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4BE3B" w14:textId="01F2A3F2" w:rsidR="00614EAC" w:rsidRDefault="00614EAC" w:rsidP="00A74635"/>
    <w:p w14:paraId="54882B77" w14:textId="06F8690D" w:rsidR="00614EAC" w:rsidRDefault="00614EAC" w:rsidP="00A74635"/>
    <w:p w14:paraId="02E2C2A9" w14:textId="2AC68F4C" w:rsidR="00614EAC" w:rsidRDefault="00614EAC" w:rsidP="00A74635"/>
    <w:p w14:paraId="1E742A15" w14:textId="0BF13735" w:rsidR="00614EAC" w:rsidRDefault="00614EAC" w:rsidP="00A74635"/>
    <w:p w14:paraId="76889976" w14:textId="77777777" w:rsidR="00A74635" w:rsidRDefault="00A74635" w:rsidP="00A74635"/>
    <w:p w14:paraId="10212BEC" w14:textId="77777777" w:rsidR="00614EAC" w:rsidRPr="004F5457" w:rsidRDefault="00614EAC" w:rsidP="00A74635">
      <w:pPr>
        <w:rPr>
          <w:b/>
        </w:rPr>
      </w:pPr>
    </w:p>
    <w:p w14:paraId="1199F4A8" w14:textId="33C3F9B8" w:rsidR="00765799" w:rsidRPr="00765799" w:rsidRDefault="00585F9C" w:rsidP="00B73093">
      <w:pPr>
        <w:pStyle w:val="Title"/>
        <w:spacing w:before="160" w:after="160"/>
        <w:contextualSpacing w:val="0"/>
        <w:rPr>
          <w:rFonts w:ascii="Arial" w:hAnsi="Arial" w:cs="Arial"/>
          <w:b/>
          <w:sz w:val="44"/>
          <w:szCs w:val="44"/>
        </w:rPr>
      </w:pPr>
      <w:r w:rsidRPr="00765799">
        <w:rPr>
          <w:rFonts w:ascii="Arial" w:hAnsi="Arial" w:cs="Arial"/>
          <w:b/>
          <w:sz w:val="44"/>
          <w:szCs w:val="44"/>
        </w:rPr>
        <w:t xml:space="preserve">Submission to the </w:t>
      </w:r>
      <w:r w:rsidR="00765799" w:rsidRPr="00765799">
        <w:rPr>
          <w:rFonts w:ascii="Arial" w:hAnsi="Arial" w:cs="Arial"/>
          <w:b/>
          <w:sz w:val="44"/>
          <w:szCs w:val="44"/>
        </w:rPr>
        <w:t>International Independent</w:t>
      </w:r>
      <w:r w:rsidRPr="00765799">
        <w:rPr>
          <w:rFonts w:ascii="Arial" w:hAnsi="Arial" w:cs="Arial"/>
          <w:b/>
          <w:sz w:val="44"/>
          <w:szCs w:val="44"/>
        </w:rPr>
        <w:t xml:space="preserve"> </w:t>
      </w:r>
      <w:r w:rsidR="00765799" w:rsidRPr="00765799">
        <w:rPr>
          <w:rFonts w:ascii="Arial" w:hAnsi="Arial" w:cs="Arial"/>
          <w:b/>
          <w:sz w:val="44"/>
          <w:szCs w:val="44"/>
        </w:rPr>
        <w:t>Expert Mechanism to Advance Racial Justice and Equality in Law Enforcement</w:t>
      </w:r>
    </w:p>
    <w:p w14:paraId="4FD97764" w14:textId="58337F36" w:rsidR="00B73093" w:rsidRPr="003614EE" w:rsidRDefault="00A74FA2" w:rsidP="00B73093">
      <w:pPr>
        <w:pStyle w:val="Title"/>
        <w:spacing w:before="160" w:after="160"/>
        <w:contextualSpacing w:val="0"/>
        <w:rPr>
          <w:rFonts w:ascii="Arial" w:hAnsi="Arial" w:cs="Arial"/>
          <w:sz w:val="48"/>
          <w:szCs w:val="48"/>
        </w:rPr>
      </w:pPr>
      <w:r w:rsidRPr="00765799">
        <w:rPr>
          <w:rFonts w:ascii="Arial" w:hAnsi="Arial" w:cs="Arial"/>
          <w:b/>
          <w:sz w:val="36"/>
          <w:szCs w:val="36"/>
        </w:rPr>
        <w:t xml:space="preserve">Call for input on </w:t>
      </w:r>
      <w:r w:rsidR="00C04AF7">
        <w:rPr>
          <w:rFonts w:ascii="Arial" w:hAnsi="Arial" w:cs="Arial"/>
          <w:b/>
          <w:sz w:val="36"/>
          <w:szCs w:val="36"/>
        </w:rPr>
        <w:t>j</w:t>
      </w:r>
      <w:r w:rsidR="00765799" w:rsidRPr="00765799">
        <w:rPr>
          <w:rFonts w:ascii="Arial" w:hAnsi="Arial" w:cs="Arial"/>
          <w:b/>
          <w:sz w:val="36"/>
          <w:szCs w:val="36"/>
        </w:rPr>
        <w:t>ustice, accountability and redress</w:t>
      </w:r>
      <w:r w:rsidR="00614EAC" w:rsidRPr="003614EE">
        <w:rPr>
          <w:rFonts w:ascii="Arial" w:hAnsi="Arial" w:cs="Arial"/>
          <w:b/>
          <w:bCs/>
          <w:sz w:val="48"/>
          <w:szCs w:val="48"/>
        </w:rPr>
        <w:br/>
      </w:r>
    </w:p>
    <w:p w14:paraId="490C2D1C" w14:textId="77777777" w:rsidR="004F5457" w:rsidRDefault="004F5457" w:rsidP="00A74635">
      <w:pPr>
        <w:rPr>
          <w:rFonts w:ascii="Arial" w:hAnsi="Arial" w:cs="Arial"/>
          <w:b/>
          <w:sz w:val="40"/>
        </w:rPr>
      </w:pPr>
    </w:p>
    <w:p w14:paraId="07E1D31E" w14:textId="77777777" w:rsidR="00A74FA2" w:rsidRDefault="00A74FA2" w:rsidP="00A74635"/>
    <w:p w14:paraId="60EA3629" w14:textId="77777777" w:rsidR="004F5457" w:rsidRDefault="004F5457" w:rsidP="00A74635"/>
    <w:p w14:paraId="553B3D72" w14:textId="77777777" w:rsidR="004F5457" w:rsidRDefault="004F5457" w:rsidP="00A74635"/>
    <w:p w14:paraId="742A6F47" w14:textId="77777777" w:rsidR="004F5457" w:rsidRDefault="004F5457" w:rsidP="00A74635"/>
    <w:p w14:paraId="18FAEFF0" w14:textId="77777777" w:rsidR="004F5457" w:rsidRDefault="004F5457" w:rsidP="00A74635"/>
    <w:p w14:paraId="6790E99D" w14:textId="77777777" w:rsidR="004F5457" w:rsidRDefault="004F5457" w:rsidP="00A74635"/>
    <w:p w14:paraId="2CCCF492" w14:textId="5890EF5F" w:rsidR="000A7F99" w:rsidRPr="003614EE" w:rsidRDefault="00765799" w:rsidP="00A74635">
      <w:pPr>
        <w:rPr>
          <w:rFonts w:ascii="Arial" w:hAnsi="Arial" w:cs="Arial"/>
          <w:b/>
        </w:rPr>
      </w:pPr>
      <w:r>
        <w:rPr>
          <w:rFonts w:ascii="Arial" w:hAnsi="Arial" w:cs="Arial"/>
          <w:b/>
          <w:sz w:val="44"/>
        </w:rPr>
        <w:t>May</w:t>
      </w:r>
      <w:r w:rsidR="004F5457" w:rsidRPr="003614EE">
        <w:rPr>
          <w:rFonts w:ascii="Arial" w:hAnsi="Arial" w:cs="Arial"/>
          <w:b/>
          <w:sz w:val="44"/>
        </w:rPr>
        <w:t xml:space="preserve"> 202</w:t>
      </w:r>
      <w:r w:rsidR="00A74FA2">
        <w:rPr>
          <w:rFonts w:ascii="Arial" w:hAnsi="Arial" w:cs="Arial"/>
          <w:b/>
          <w:sz w:val="44"/>
        </w:rPr>
        <w:t>4</w:t>
      </w:r>
      <w:r w:rsidR="000A7F99" w:rsidRPr="003614EE">
        <w:rPr>
          <w:rFonts w:ascii="Arial" w:hAnsi="Arial" w:cs="Arial"/>
          <w:b/>
        </w:rPr>
        <w:br w:type="page"/>
      </w:r>
    </w:p>
    <w:p w14:paraId="639F834D" w14:textId="1044BB76" w:rsidR="00DF50BE" w:rsidRPr="003614EE" w:rsidRDefault="00585F9C" w:rsidP="00A74635">
      <w:pPr>
        <w:pStyle w:val="Heading2"/>
        <w:rPr>
          <w:rFonts w:ascii="Arial" w:hAnsi="Arial" w:cs="Arial"/>
          <w:sz w:val="36"/>
          <w:szCs w:val="36"/>
          <w:lang w:val="en-US"/>
        </w:rPr>
      </w:pPr>
      <w:r w:rsidRPr="003614EE">
        <w:rPr>
          <w:rFonts w:ascii="Arial" w:hAnsi="Arial" w:cs="Arial"/>
          <w:sz w:val="36"/>
          <w:szCs w:val="36"/>
          <w:lang w:val="en-US"/>
        </w:rPr>
        <w:lastRenderedPageBreak/>
        <w:t>Introduction</w:t>
      </w:r>
    </w:p>
    <w:p w14:paraId="645DB9C1" w14:textId="71BD9B01" w:rsidR="00EA2F82" w:rsidRPr="00F15C99" w:rsidRDefault="00EA2F82" w:rsidP="00EA2F82">
      <w:pPr>
        <w:spacing w:line="240" w:lineRule="auto"/>
        <w:rPr>
          <w:sz w:val="24"/>
          <w:szCs w:val="24"/>
          <w:lang w:val="en-CA"/>
        </w:rPr>
      </w:pPr>
      <w:r w:rsidRPr="00F15C99">
        <w:rPr>
          <w:sz w:val="24"/>
          <w:szCs w:val="24"/>
        </w:rPr>
        <w:t xml:space="preserve">The Canadian Human Rights Commission (CHRC) welcomes the opportunity to provide this submission to the </w:t>
      </w:r>
      <w:r w:rsidR="00765799" w:rsidRPr="00765799">
        <w:rPr>
          <w:sz w:val="24"/>
          <w:szCs w:val="24"/>
        </w:rPr>
        <w:t>International Independent Expert Mechanism to Advance Racial Justice and Equality in Law Enforcement</w:t>
      </w:r>
      <w:r w:rsidR="00765799">
        <w:rPr>
          <w:sz w:val="24"/>
          <w:szCs w:val="24"/>
        </w:rPr>
        <w:t xml:space="preserve"> to inform its annual report to the UN Human Rights Council on the topics of j</w:t>
      </w:r>
      <w:r w:rsidR="00765799" w:rsidRPr="00765799">
        <w:rPr>
          <w:sz w:val="24"/>
          <w:szCs w:val="24"/>
        </w:rPr>
        <w:t>ustice, accountability and redress</w:t>
      </w:r>
      <w:r w:rsidR="00765799">
        <w:rPr>
          <w:sz w:val="24"/>
          <w:szCs w:val="24"/>
        </w:rPr>
        <w:t>.</w:t>
      </w:r>
    </w:p>
    <w:p w14:paraId="0041C059" w14:textId="5A114A56" w:rsidR="00EA2F82" w:rsidRPr="00F15C99" w:rsidRDefault="00EA2F82" w:rsidP="00EA2F82">
      <w:pPr>
        <w:spacing w:line="240" w:lineRule="auto"/>
        <w:rPr>
          <w:sz w:val="24"/>
          <w:szCs w:val="24"/>
        </w:rPr>
      </w:pPr>
      <w:r w:rsidRPr="00F15C99">
        <w:rPr>
          <w:sz w:val="24"/>
          <w:szCs w:val="24"/>
        </w:rPr>
        <w:t xml:space="preserve">The CHRC is Canada’s national human rights institution (NHRI), and in 2023 was re-accredited “A-status” by the Global Alliance of National Human Rights Institutions.  The CHRC was established by Parliament through the Canadian Human Rights Act (CHRA) in 1977.  It has a broad mandate to promote and protect human rights. </w:t>
      </w:r>
    </w:p>
    <w:p w14:paraId="1D8A00F6" w14:textId="56BA5139" w:rsidR="00123BAB" w:rsidRPr="00123BAB" w:rsidRDefault="00123BAB" w:rsidP="00EA2F82">
      <w:pPr>
        <w:spacing w:line="240" w:lineRule="auto"/>
        <w:rPr>
          <w:sz w:val="24"/>
          <w:szCs w:val="24"/>
        </w:rPr>
      </w:pPr>
      <w:r w:rsidRPr="00F15C99">
        <w:rPr>
          <w:sz w:val="24"/>
          <w:szCs w:val="24"/>
        </w:rPr>
        <w:t>As Canada’s NHRI</w:t>
      </w:r>
      <w:r>
        <w:rPr>
          <w:sz w:val="24"/>
          <w:szCs w:val="24"/>
        </w:rPr>
        <w:t>,</w:t>
      </w:r>
      <w:r w:rsidRPr="00123BAB">
        <w:rPr>
          <w:sz w:val="24"/>
          <w:szCs w:val="24"/>
        </w:rPr>
        <w:t xml:space="preserve"> </w:t>
      </w:r>
      <w:r>
        <w:rPr>
          <w:sz w:val="24"/>
          <w:szCs w:val="24"/>
        </w:rPr>
        <w:t>t</w:t>
      </w:r>
      <w:r w:rsidRPr="00123BAB">
        <w:rPr>
          <w:sz w:val="24"/>
          <w:szCs w:val="24"/>
        </w:rPr>
        <w:t>he CHRC is committed to working with the Government of Canada as well as domestic and international partners and stakeholders to ensure continued progress in the protection of human rights, including Canada’s implementation of the rights and obligations enshrined in the various human rights treaties to which Canada is a party.</w:t>
      </w:r>
    </w:p>
    <w:p w14:paraId="17BCD6AD" w14:textId="4F080DAE" w:rsidR="00C437E1" w:rsidRPr="00C437E1" w:rsidRDefault="00765799" w:rsidP="00C437E1">
      <w:pPr>
        <w:pStyle w:val="Heading2"/>
        <w:rPr>
          <w:rFonts w:ascii="Arial" w:hAnsi="Arial" w:cs="Arial"/>
          <w:sz w:val="36"/>
          <w:szCs w:val="36"/>
          <w:lang w:val="en-CA"/>
        </w:rPr>
      </w:pPr>
      <w:r>
        <w:rPr>
          <w:rFonts w:ascii="Arial" w:hAnsi="Arial" w:cs="Arial"/>
          <w:sz w:val="36"/>
          <w:szCs w:val="36"/>
          <w:lang w:val="en-CA"/>
        </w:rPr>
        <w:t xml:space="preserve">Context </w:t>
      </w:r>
    </w:p>
    <w:p w14:paraId="408B355E" w14:textId="06B8D386" w:rsidR="00D028EA" w:rsidRDefault="00D028EA" w:rsidP="00D028EA">
      <w:pPr>
        <w:rPr>
          <w:sz w:val="24"/>
          <w:szCs w:val="24"/>
        </w:rPr>
      </w:pPr>
      <w:r>
        <w:rPr>
          <w:sz w:val="24"/>
          <w:szCs w:val="24"/>
        </w:rPr>
        <w:t xml:space="preserve">As stated in the CHRC’s </w:t>
      </w:r>
      <w:r w:rsidR="00BA6158">
        <w:rPr>
          <w:sz w:val="24"/>
          <w:szCs w:val="24"/>
        </w:rPr>
        <w:t>June 2021</w:t>
      </w:r>
      <w:r>
        <w:rPr>
          <w:sz w:val="24"/>
          <w:szCs w:val="24"/>
        </w:rPr>
        <w:t xml:space="preserve"> submission </w:t>
      </w:r>
      <w:r w:rsidRPr="00D32A56">
        <w:rPr>
          <w:sz w:val="24"/>
          <w:szCs w:val="24"/>
        </w:rPr>
        <w:t>to the working group of experts on people of African descent</w:t>
      </w:r>
      <w:r>
        <w:rPr>
          <w:sz w:val="24"/>
          <w:szCs w:val="24"/>
        </w:rPr>
        <w:t>,</w:t>
      </w:r>
      <w:r w:rsidRPr="00F7643F">
        <w:rPr>
          <w:vertAlign w:val="superscript"/>
        </w:rPr>
        <w:footnoteReference w:id="1"/>
      </w:r>
      <w:r w:rsidRPr="00F7643F">
        <w:rPr>
          <w:sz w:val="24"/>
          <w:szCs w:val="24"/>
          <w:vertAlign w:val="superscript"/>
        </w:rPr>
        <w:t xml:space="preserve"> </w:t>
      </w:r>
      <w:r w:rsidRPr="00D32A56">
        <w:rPr>
          <w:sz w:val="24"/>
          <w:szCs w:val="24"/>
        </w:rPr>
        <w:t>the realities of systemic and institutionalized racism and discrimination</w:t>
      </w:r>
      <w:r w:rsidR="003666AE">
        <w:rPr>
          <w:sz w:val="24"/>
          <w:szCs w:val="24"/>
        </w:rPr>
        <w:t xml:space="preserve"> i</w:t>
      </w:r>
      <w:r w:rsidR="003666AE" w:rsidRPr="00D32A56">
        <w:rPr>
          <w:sz w:val="24"/>
          <w:szCs w:val="24"/>
        </w:rPr>
        <w:t xml:space="preserve">n Canada’s justice </w:t>
      </w:r>
      <w:r w:rsidR="00683346" w:rsidRPr="00D32A56">
        <w:rPr>
          <w:sz w:val="24"/>
          <w:szCs w:val="24"/>
        </w:rPr>
        <w:t>system have</w:t>
      </w:r>
      <w:r w:rsidRPr="00D32A56">
        <w:rPr>
          <w:sz w:val="24"/>
          <w:szCs w:val="24"/>
        </w:rPr>
        <w:t xml:space="preserve"> been repeatedly recognized by international and regional human rights mechanisms, by civil society, and by domestic human rights institutions. </w:t>
      </w:r>
      <w:r w:rsidR="00F05860">
        <w:rPr>
          <w:sz w:val="24"/>
          <w:szCs w:val="24"/>
        </w:rPr>
        <w:t>S</w:t>
      </w:r>
      <w:r w:rsidRPr="00D32A56">
        <w:rPr>
          <w:sz w:val="24"/>
          <w:szCs w:val="24"/>
        </w:rPr>
        <w:t>ubstantive progress towards addressing these realities remains largely elusive.</w:t>
      </w:r>
    </w:p>
    <w:p w14:paraId="6316B598" w14:textId="5DC21EFE" w:rsidR="00D028EA" w:rsidRPr="00D028EA" w:rsidRDefault="00D028EA" w:rsidP="002A0630">
      <w:pPr>
        <w:rPr>
          <w:sz w:val="24"/>
          <w:szCs w:val="24"/>
        </w:rPr>
      </w:pPr>
      <w:r w:rsidRPr="00D028EA">
        <w:rPr>
          <w:rFonts w:eastAsia="Cambria"/>
          <w:bCs/>
          <w:sz w:val="24"/>
          <w:szCs w:val="24"/>
        </w:rPr>
        <w:t xml:space="preserve">Rates of use of force by law enforcement against Indigenous, Black and racialized people are higher than the general population. This is true of police interactions with the public, as well as among people in prison. </w:t>
      </w:r>
      <w:r w:rsidR="003606B8">
        <w:rPr>
          <w:rFonts w:eastAsia="Cambria"/>
          <w:bCs/>
          <w:sz w:val="24"/>
          <w:szCs w:val="24"/>
        </w:rPr>
        <w:t>Detainees, many of whom are racialized,</w:t>
      </w:r>
      <w:r w:rsidRPr="00D028EA">
        <w:rPr>
          <w:rFonts w:eastAsia="Cambria"/>
          <w:bCs/>
          <w:sz w:val="24"/>
          <w:szCs w:val="24"/>
        </w:rPr>
        <w:t xml:space="preserve"> are also vulnerable to abuse and discrimination by officials </w:t>
      </w:r>
      <w:r w:rsidR="003606B8" w:rsidRPr="00D028EA">
        <w:rPr>
          <w:rFonts w:eastAsia="Cambria"/>
          <w:bCs/>
          <w:sz w:val="24"/>
          <w:szCs w:val="24"/>
        </w:rPr>
        <w:t xml:space="preserve">while being held in immigration detention </w:t>
      </w:r>
      <w:r w:rsidRPr="00D028EA">
        <w:rPr>
          <w:rFonts w:eastAsia="Cambria"/>
          <w:bCs/>
          <w:sz w:val="24"/>
          <w:szCs w:val="24"/>
        </w:rPr>
        <w:t>without adequate oversight, recourse or accountability.</w:t>
      </w:r>
    </w:p>
    <w:p w14:paraId="334B4072" w14:textId="229FBD07" w:rsidR="00DB435F" w:rsidRPr="00AB2294" w:rsidRDefault="00DB435F" w:rsidP="00AB2294">
      <w:pPr>
        <w:pStyle w:val="Heading3"/>
        <w:rPr>
          <w:sz w:val="22"/>
          <w:szCs w:val="22"/>
          <w:lang w:val="en-CA"/>
        </w:rPr>
      </w:pPr>
      <w:r w:rsidRPr="00AB2294">
        <w:rPr>
          <w:sz w:val="24"/>
          <w:szCs w:val="24"/>
          <w:lang w:val="en-CA"/>
        </w:rPr>
        <w:t>Representation within the criminal justice system</w:t>
      </w:r>
    </w:p>
    <w:p w14:paraId="0E63722D" w14:textId="3F732E4E" w:rsidR="00E86F15" w:rsidRDefault="008A4DAE" w:rsidP="00AE7F0D">
      <w:pPr>
        <w:rPr>
          <w:sz w:val="24"/>
          <w:szCs w:val="24"/>
          <w:lang w:val="en-CA"/>
        </w:rPr>
      </w:pPr>
      <w:r w:rsidRPr="002A0630">
        <w:rPr>
          <w:sz w:val="24"/>
          <w:szCs w:val="24"/>
          <w:lang w:val="en-CA"/>
        </w:rPr>
        <w:t xml:space="preserve">Among the many underlying factors that contribute to, and perpetuate, systemic racism in </w:t>
      </w:r>
      <w:r w:rsidRPr="00576226">
        <w:rPr>
          <w:sz w:val="24"/>
          <w:szCs w:val="24"/>
          <w:lang w:val="en-CA"/>
        </w:rPr>
        <w:t xml:space="preserve">law enforcement is the lack of diversity and representation of Indigenous, Black and </w:t>
      </w:r>
      <w:r w:rsidRPr="00576226">
        <w:rPr>
          <w:sz w:val="24"/>
          <w:szCs w:val="24"/>
          <w:lang w:val="en-CA"/>
        </w:rPr>
        <w:lastRenderedPageBreak/>
        <w:t>other racialized people in the legal process – including amongst judges</w:t>
      </w:r>
      <w:r w:rsidR="00AF5168" w:rsidRPr="00576226">
        <w:rPr>
          <w:rStyle w:val="FootnoteReference"/>
          <w:sz w:val="24"/>
          <w:szCs w:val="24"/>
          <w:lang w:val="en-CA"/>
        </w:rPr>
        <w:footnoteReference w:id="2"/>
      </w:r>
      <w:r w:rsidRPr="00576226">
        <w:rPr>
          <w:sz w:val="24"/>
          <w:szCs w:val="24"/>
          <w:lang w:val="en-CA"/>
        </w:rPr>
        <w:t>, lawyers</w:t>
      </w:r>
      <w:r w:rsidR="00377EA6" w:rsidRPr="00576226">
        <w:rPr>
          <w:rStyle w:val="FootnoteReference"/>
          <w:sz w:val="24"/>
          <w:szCs w:val="24"/>
          <w:lang w:val="en-CA"/>
        </w:rPr>
        <w:footnoteReference w:id="3"/>
      </w:r>
      <w:r w:rsidRPr="00576226">
        <w:rPr>
          <w:sz w:val="24"/>
          <w:szCs w:val="24"/>
          <w:lang w:val="en-CA"/>
        </w:rPr>
        <w:t xml:space="preserve"> and juries</w:t>
      </w:r>
      <w:r w:rsidR="00AF5168" w:rsidRPr="00576226">
        <w:rPr>
          <w:rStyle w:val="FootnoteReference"/>
          <w:sz w:val="24"/>
          <w:szCs w:val="24"/>
          <w:lang w:val="en-CA"/>
        </w:rPr>
        <w:footnoteReference w:id="4"/>
      </w:r>
      <w:r w:rsidRPr="00576226">
        <w:rPr>
          <w:sz w:val="24"/>
          <w:szCs w:val="24"/>
          <w:lang w:val="en-CA"/>
        </w:rPr>
        <w:t>.</w:t>
      </w:r>
      <w:r w:rsidRPr="002A0630">
        <w:rPr>
          <w:sz w:val="24"/>
          <w:szCs w:val="24"/>
          <w:lang w:val="en-CA"/>
        </w:rPr>
        <w:t xml:space="preserve"> Limited familiarity and consideration of the unique circumstances and social histories of these groups by individuals within the legal profession, can reinforce racial bias and unfair treatment by law enforcement.</w:t>
      </w:r>
      <w:r w:rsidR="003606B8">
        <w:rPr>
          <w:sz w:val="24"/>
          <w:szCs w:val="24"/>
          <w:lang w:val="en-CA"/>
        </w:rPr>
        <w:t xml:space="preserve"> </w:t>
      </w:r>
    </w:p>
    <w:p w14:paraId="5369900C" w14:textId="1E3C4C0D" w:rsidR="002F44F7" w:rsidRPr="00E86F15" w:rsidRDefault="003606B8" w:rsidP="00AE7F0D">
      <w:pPr>
        <w:rPr>
          <w:sz w:val="24"/>
          <w:szCs w:val="24"/>
          <w:lang w:val="en-CA"/>
        </w:rPr>
      </w:pPr>
      <w:r>
        <w:rPr>
          <w:sz w:val="24"/>
          <w:szCs w:val="24"/>
          <w:lang w:val="en-CA"/>
        </w:rPr>
        <w:t xml:space="preserve">Among police forces across Canada, the diversity of officers is not consistent with the communities they are engaged to serve. According to </w:t>
      </w:r>
      <w:r w:rsidR="00E86F15">
        <w:rPr>
          <w:sz w:val="24"/>
          <w:szCs w:val="24"/>
          <w:lang w:val="en-CA"/>
        </w:rPr>
        <w:t xml:space="preserve">a </w:t>
      </w:r>
      <w:r w:rsidR="004D3411">
        <w:rPr>
          <w:sz w:val="24"/>
          <w:szCs w:val="24"/>
          <w:lang w:val="en-CA"/>
        </w:rPr>
        <w:t xml:space="preserve">2023 </w:t>
      </w:r>
      <w:r>
        <w:rPr>
          <w:sz w:val="24"/>
          <w:szCs w:val="24"/>
          <w:lang w:val="en-CA"/>
        </w:rPr>
        <w:t>Statistics Canada</w:t>
      </w:r>
      <w:r w:rsidR="00E86F15">
        <w:rPr>
          <w:sz w:val="24"/>
          <w:szCs w:val="24"/>
          <w:lang w:val="en-CA"/>
        </w:rPr>
        <w:t xml:space="preserve"> report</w:t>
      </w:r>
      <w:r>
        <w:rPr>
          <w:sz w:val="24"/>
          <w:szCs w:val="24"/>
          <w:lang w:val="en-CA"/>
        </w:rPr>
        <w:t xml:space="preserve">, </w:t>
      </w:r>
      <w:r w:rsidR="00E86F15">
        <w:rPr>
          <w:sz w:val="24"/>
          <w:szCs w:val="24"/>
          <w:lang w:val="en-CA"/>
        </w:rPr>
        <w:t>fewer than</w:t>
      </w:r>
      <w:r w:rsidRPr="003606B8">
        <w:rPr>
          <w:sz w:val="24"/>
          <w:szCs w:val="24"/>
          <w:lang w:val="en-CA"/>
        </w:rPr>
        <w:t xml:space="preserve"> </w:t>
      </w:r>
      <w:r w:rsidR="00E86F15">
        <w:rPr>
          <w:sz w:val="24"/>
          <w:szCs w:val="24"/>
          <w:lang w:val="en-CA"/>
        </w:rPr>
        <w:t>1 in 10 police officers in Canada are part of a racialized group</w:t>
      </w:r>
      <w:r>
        <w:rPr>
          <w:sz w:val="24"/>
          <w:szCs w:val="24"/>
          <w:lang w:val="en-CA"/>
        </w:rPr>
        <w:t xml:space="preserve">, which stands in contrast to </w:t>
      </w:r>
      <w:r w:rsidR="00E86F15">
        <w:rPr>
          <w:sz w:val="24"/>
          <w:szCs w:val="24"/>
          <w:lang w:val="en-CA"/>
        </w:rPr>
        <w:t xml:space="preserve">2021 </w:t>
      </w:r>
      <w:r>
        <w:rPr>
          <w:sz w:val="24"/>
          <w:szCs w:val="24"/>
          <w:lang w:val="en-CA"/>
        </w:rPr>
        <w:t xml:space="preserve">Census data showing that </w:t>
      </w:r>
      <w:r w:rsidRPr="003606B8">
        <w:rPr>
          <w:sz w:val="24"/>
          <w:szCs w:val="24"/>
          <w:lang w:val="en-CA"/>
        </w:rPr>
        <w:t xml:space="preserve">26.5 per cent of Canada’s population </w:t>
      </w:r>
      <w:r w:rsidR="00E86F15">
        <w:rPr>
          <w:sz w:val="24"/>
          <w:szCs w:val="24"/>
          <w:lang w:val="en-CA"/>
        </w:rPr>
        <w:t>is racialized</w:t>
      </w:r>
      <w:r>
        <w:rPr>
          <w:sz w:val="24"/>
          <w:szCs w:val="24"/>
          <w:lang w:val="en-CA"/>
        </w:rPr>
        <w:t>.</w:t>
      </w:r>
      <w:r w:rsidR="00E86F15" w:rsidRPr="00E86F15">
        <w:rPr>
          <w:sz w:val="24"/>
          <w:szCs w:val="24"/>
          <w:lang w:val="en-CA"/>
        </w:rPr>
        <w:t xml:space="preserve"> </w:t>
      </w:r>
      <w:r w:rsidR="00E86F15">
        <w:rPr>
          <w:sz w:val="24"/>
          <w:szCs w:val="24"/>
          <w:lang w:val="en-CA"/>
        </w:rPr>
        <w:t>Indigenous representation in police forces varies across the country, standing at 4 per cent overall.</w:t>
      </w:r>
      <w:r w:rsidR="001A2B6D">
        <w:rPr>
          <w:sz w:val="24"/>
          <w:szCs w:val="24"/>
          <w:lang w:val="en-CA"/>
        </w:rPr>
        <w:t xml:space="preserve"> Representation is lowest in municipal police services (2%) and provincial forces in Ontario (1%) and Québec (2%), Canada’s two largest provinces.</w:t>
      </w:r>
      <w:r w:rsidR="00E86F15">
        <w:rPr>
          <w:rStyle w:val="FootnoteReference"/>
          <w:sz w:val="24"/>
          <w:szCs w:val="24"/>
          <w:lang w:val="en-CA"/>
        </w:rPr>
        <w:footnoteReference w:id="5"/>
      </w:r>
      <w:r w:rsidR="00E86F15">
        <w:rPr>
          <w:sz w:val="24"/>
          <w:szCs w:val="24"/>
          <w:lang w:val="en-CA"/>
        </w:rPr>
        <w:t xml:space="preserve"> Indigenous peoples make up 5 per cent of Canada’s total population.</w:t>
      </w:r>
    </w:p>
    <w:p w14:paraId="2C327A21" w14:textId="18EE5EB6" w:rsidR="009921F1" w:rsidRPr="00612D6D" w:rsidRDefault="009921F1" w:rsidP="009921F1">
      <w:pPr>
        <w:pStyle w:val="Heading2"/>
        <w:rPr>
          <w:sz w:val="32"/>
          <w:szCs w:val="32"/>
          <w:lang w:val="en-CA"/>
        </w:rPr>
      </w:pPr>
      <w:r w:rsidRPr="00612D6D">
        <w:rPr>
          <w:sz w:val="32"/>
          <w:szCs w:val="32"/>
          <w:lang w:val="en-CA"/>
        </w:rPr>
        <w:t>Policing</w:t>
      </w:r>
      <w:r w:rsidR="00CE1357">
        <w:rPr>
          <w:sz w:val="32"/>
          <w:szCs w:val="32"/>
          <w:lang w:val="en-CA"/>
        </w:rPr>
        <w:t xml:space="preserve"> Indigenous,</w:t>
      </w:r>
      <w:r w:rsidRPr="00612D6D">
        <w:rPr>
          <w:sz w:val="32"/>
          <w:szCs w:val="32"/>
          <w:lang w:val="en-CA"/>
        </w:rPr>
        <w:t xml:space="preserve"> Black and racialized communities</w:t>
      </w:r>
    </w:p>
    <w:p w14:paraId="6B21378B" w14:textId="67670F9A" w:rsidR="00C437E1" w:rsidRPr="002F44F7" w:rsidRDefault="00C437E1" w:rsidP="00C437E1">
      <w:pPr>
        <w:rPr>
          <w:sz w:val="24"/>
          <w:szCs w:val="24"/>
        </w:rPr>
      </w:pPr>
      <w:r w:rsidRPr="00F7643F">
        <w:rPr>
          <w:sz w:val="24"/>
          <w:szCs w:val="24"/>
        </w:rPr>
        <w:t xml:space="preserve">The CHRC notes that, across Canada, concerns continue to be raised that racial profiling by police, security agencies, and other authority figures is a daily reality, reducing public trust, and having harmful impacts on Indigenous, Black and other racialized communities. </w:t>
      </w:r>
    </w:p>
    <w:p w14:paraId="1D7CF7C4" w14:textId="07E72690" w:rsidR="00C437E1" w:rsidRDefault="00C437E1" w:rsidP="00C437E1">
      <w:pPr>
        <w:rPr>
          <w:sz w:val="24"/>
          <w:szCs w:val="24"/>
        </w:rPr>
      </w:pPr>
      <w:r w:rsidRPr="002F44F7">
        <w:rPr>
          <w:sz w:val="24"/>
          <w:szCs w:val="24"/>
        </w:rPr>
        <w:t xml:space="preserve">These concerns have been expressed by the UN Working Group of Experts on People of African Descent. For instance, following an October 2016 visit to Canada, the Working Group indicated that “there is clear evidence that racial profiling is endemic in the strategies and practices used by law enforcement,” and further expressed concern over </w:t>
      </w:r>
      <w:r w:rsidRPr="002F44F7">
        <w:rPr>
          <w:sz w:val="24"/>
          <w:szCs w:val="24"/>
        </w:rPr>
        <w:lastRenderedPageBreak/>
        <w:t>the “excessive use of force and police-involved deaths, especially when responding to cases involving vulnerable people of African descent, such as those who are mentally ill.”</w:t>
      </w:r>
      <w:r w:rsidRPr="00F7643F">
        <w:rPr>
          <w:vertAlign w:val="superscript"/>
        </w:rPr>
        <w:footnoteReference w:id="6"/>
      </w:r>
    </w:p>
    <w:p w14:paraId="7E262F05" w14:textId="2370125B" w:rsidR="00612D6D" w:rsidRPr="004A083B" w:rsidRDefault="00612D6D" w:rsidP="00612D6D">
      <w:pPr>
        <w:rPr>
          <w:sz w:val="24"/>
          <w:szCs w:val="24"/>
          <w:lang w:val="en-CA"/>
        </w:rPr>
      </w:pPr>
      <w:r w:rsidRPr="004A083B">
        <w:rPr>
          <w:sz w:val="24"/>
          <w:szCs w:val="24"/>
        </w:rPr>
        <w:t xml:space="preserve">In June 2021, following extensive testimony by rights holders, advocates and representatives of law enforcement agencies, the </w:t>
      </w:r>
      <w:r w:rsidR="00C900E3">
        <w:rPr>
          <w:sz w:val="24"/>
          <w:szCs w:val="24"/>
        </w:rPr>
        <w:t xml:space="preserve">House of Commons </w:t>
      </w:r>
      <w:r w:rsidRPr="004A083B">
        <w:rPr>
          <w:sz w:val="24"/>
          <w:szCs w:val="24"/>
        </w:rPr>
        <w:t xml:space="preserve">Standing Committee on Public Safety and National Security </w:t>
      </w:r>
      <w:r w:rsidR="00C900E3">
        <w:rPr>
          <w:sz w:val="24"/>
          <w:szCs w:val="24"/>
        </w:rPr>
        <w:t xml:space="preserve">(the Committee) </w:t>
      </w:r>
      <w:r w:rsidRPr="004A083B">
        <w:rPr>
          <w:sz w:val="24"/>
          <w:szCs w:val="24"/>
        </w:rPr>
        <w:t>released its report on Systemic Racism in Policing in Canada.</w:t>
      </w:r>
      <w:r w:rsidRPr="004A083B">
        <w:rPr>
          <w:rStyle w:val="FootnoteReference"/>
          <w:sz w:val="24"/>
          <w:szCs w:val="24"/>
        </w:rPr>
        <w:footnoteReference w:id="7"/>
      </w:r>
      <w:r w:rsidRPr="004A083B">
        <w:rPr>
          <w:sz w:val="24"/>
          <w:szCs w:val="24"/>
        </w:rPr>
        <w:t xml:space="preserve"> </w:t>
      </w:r>
    </w:p>
    <w:p w14:paraId="0AC3371E" w14:textId="0BF92A9C" w:rsidR="00612D6D" w:rsidRPr="00612D6D" w:rsidRDefault="00B914BC" w:rsidP="009921F1">
      <w:pPr>
        <w:rPr>
          <w:sz w:val="24"/>
          <w:szCs w:val="24"/>
          <w:lang w:val="en-CA"/>
        </w:rPr>
      </w:pPr>
      <w:r>
        <w:rPr>
          <w:sz w:val="24"/>
          <w:szCs w:val="24"/>
          <w:lang w:val="en-CA"/>
        </w:rPr>
        <w:t>T</w:t>
      </w:r>
      <w:r w:rsidR="00C900E3">
        <w:rPr>
          <w:sz w:val="24"/>
          <w:szCs w:val="24"/>
          <w:lang w:val="en-CA"/>
        </w:rPr>
        <w:t xml:space="preserve">he Committee </w:t>
      </w:r>
      <w:r w:rsidR="006B353B">
        <w:rPr>
          <w:sz w:val="24"/>
          <w:szCs w:val="24"/>
          <w:lang w:val="en-CA"/>
        </w:rPr>
        <w:t>heard a variety of concerns about systemic racism in policing and calls for accountability, oversight and transparency in order to restore trust with Indigenous</w:t>
      </w:r>
      <w:r w:rsidR="00CB7EB1">
        <w:rPr>
          <w:sz w:val="24"/>
          <w:szCs w:val="24"/>
          <w:lang w:val="en-CA"/>
        </w:rPr>
        <w:t>, Black</w:t>
      </w:r>
      <w:r w:rsidR="006B353B">
        <w:rPr>
          <w:sz w:val="24"/>
          <w:szCs w:val="24"/>
          <w:lang w:val="en-CA"/>
        </w:rPr>
        <w:t xml:space="preserve"> and racialized communities.</w:t>
      </w:r>
      <w:r w:rsidR="003527C7">
        <w:rPr>
          <w:sz w:val="24"/>
          <w:szCs w:val="24"/>
          <w:lang w:val="en-CA"/>
        </w:rPr>
        <w:t xml:space="preserve"> We encourage the Expert Mechanism to review this report, which addresses a wide variety of issues, including use of force and other discriminatory policing practices. </w:t>
      </w:r>
    </w:p>
    <w:p w14:paraId="10F7F263" w14:textId="27F358BF" w:rsidR="00612D6D" w:rsidRPr="00DB435F" w:rsidRDefault="00612D6D" w:rsidP="00CB7EB1">
      <w:pPr>
        <w:rPr>
          <w:sz w:val="24"/>
          <w:szCs w:val="24"/>
        </w:rPr>
      </w:pPr>
      <w:r w:rsidRPr="002F44F7">
        <w:rPr>
          <w:sz w:val="24"/>
          <w:szCs w:val="24"/>
        </w:rPr>
        <w:t>Several provincial human rights commissions in Canada have also raised these concerns through various inquiries, reports and recommendations related to racial profiling and harmful policing practices.</w:t>
      </w:r>
      <w:r w:rsidRPr="002F44F7">
        <w:rPr>
          <w:rStyle w:val="FootnoteReference"/>
          <w:sz w:val="24"/>
          <w:szCs w:val="24"/>
        </w:rPr>
        <w:footnoteReference w:id="8"/>
      </w:r>
      <w:r w:rsidRPr="002F44F7">
        <w:rPr>
          <w:sz w:val="24"/>
          <w:szCs w:val="24"/>
        </w:rPr>
        <w:t xml:space="preserve"> </w:t>
      </w:r>
      <w:r w:rsidR="00E854C6">
        <w:rPr>
          <w:sz w:val="24"/>
          <w:szCs w:val="24"/>
        </w:rPr>
        <w:t>For example, a</w:t>
      </w:r>
      <w:r w:rsidRPr="002F44F7">
        <w:rPr>
          <w:sz w:val="24"/>
          <w:szCs w:val="24"/>
        </w:rPr>
        <w:t xml:space="preserve"> </w:t>
      </w:r>
      <w:r w:rsidR="00273C7D">
        <w:rPr>
          <w:sz w:val="24"/>
          <w:szCs w:val="24"/>
        </w:rPr>
        <w:t xml:space="preserve">December </w:t>
      </w:r>
      <w:r w:rsidRPr="002F44F7">
        <w:rPr>
          <w:sz w:val="24"/>
          <w:szCs w:val="24"/>
        </w:rPr>
        <w:t>202</w:t>
      </w:r>
      <w:r w:rsidR="00273C7D">
        <w:rPr>
          <w:sz w:val="24"/>
          <w:szCs w:val="24"/>
        </w:rPr>
        <w:t>3</w:t>
      </w:r>
      <w:r w:rsidRPr="002F44F7">
        <w:rPr>
          <w:sz w:val="24"/>
          <w:szCs w:val="24"/>
        </w:rPr>
        <w:t xml:space="preserve"> report from the Ontario Human Rights Commission (OHRC) on racial profiling and racial discrimination of Black persons by the Toronto Police Service</w:t>
      </w:r>
      <w:r w:rsidRPr="002F44F7">
        <w:rPr>
          <w:rStyle w:val="FootnoteReference"/>
          <w:sz w:val="24"/>
          <w:szCs w:val="24"/>
        </w:rPr>
        <w:footnoteReference w:id="9"/>
      </w:r>
      <w:r w:rsidRPr="002F44F7">
        <w:rPr>
          <w:sz w:val="24"/>
          <w:szCs w:val="24"/>
        </w:rPr>
        <w:t xml:space="preserve"> found that Black people are more likely to be proactively arrested, charged and subjected to uses of force in a wide range of police interactions. In addition, the data obtained by the OHRC further confirmed that Black communities are subjected to a disproportionate burden of law enforcement in a way that is consistent with systemic racism and anti-Black racial bias. All of these findings </w:t>
      </w:r>
      <w:r w:rsidRPr="002F44F7">
        <w:rPr>
          <w:sz w:val="24"/>
          <w:szCs w:val="24"/>
        </w:rPr>
        <w:lastRenderedPageBreak/>
        <w:t>have added considerable weight to the groundswell of calls for systemic reform to policing services across Canada.</w:t>
      </w:r>
    </w:p>
    <w:p w14:paraId="12FCEF20" w14:textId="3F9B7AD9" w:rsidR="0012239D" w:rsidRPr="003063D3" w:rsidRDefault="003063D3" w:rsidP="0012239D">
      <w:pPr>
        <w:pStyle w:val="Heading3"/>
        <w:rPr>
          <w:sz w:val="24"/>
          <w:szCs w:val="24"/>
          <w:lang w:val="en-CA"/>
        </w:rPr>
      </w:pPr>
      <w:r>
        <w:rPr>
          <w:sz w:val="24"/>
          <w:szCs w:val="24"/>
          <w:lang w:val="en-CA"/>
        </w:rPr>
        <w:t>Use of force data</w:t>
      </w:r>
    </w:p>
    <w:p w14:paraId="73A440F0" w14:textId="729E4F81" w:rsidR="00442F10" w:rsidRPr="000F4B5C" w:rsidRDefault="00442F10" w:rsidP="00ED726A">
      <w:pPr>
        <w:rPr>
          <w:sz w:val="24"/>
          <w:szCs w:val="24"/>
          <w:lang w:val="en-CA"/>
        </w:rPr>
      </w:pPr>
      <w:r w:rsidRPr="000F4B5C">
        <w:rPr>
          <w:sz w:val="24"/>
          <w:szCs w:val="24"/>
          <w:lang w:val="en-CA"/>
        </w:rPr>
        <w:t xml:space="preserve">In the absence of </w:t>
      </w:r>
      <w:r w:rsidR="00AF565F" w:rsidRPr="000F4B5C">
        <w:rPr>
          <w:sz w:val="24"/>
          <w:szCs w:val="24"/>
          <w:lang w:val="en-CA"/>
        </w:rPr>
        <w:t xml:space="preserve">a publicly available, verified, sustained, and comprehensive source for data on police use of force, police-involved deaths, and deaths in custody in Canada, a group of advocates and researchers initiated a project to track </w:t>
      </w:r>
      <w:r w:rsidR="003063D3" w:rsidRPr="000F4B5C">
        <w:rPr>
          <w:sz w:val="24"/>
          <w:szCs w:val="24"/>
          <w:lang w:val="en-CA"/>
        </w:rPr>
        <w:t xml:space="preserve">such </w:t>
      </w:r>
      <w:r w:rsidR="00AF565F" w:rsidRPr="000F4B5C">
        <w:rPr>
          <w:sz w:val="24"/>
          <w:szCs w:val="24"/>
          <w:lang w:val="en-CA"/>
        </w:rPr>
        <w:t>incidents. Described as a “law enforcement and criminal justice data and transparency project,” Tracking (In)Justice</w:t>
      </w:r>
      <w:r w:rsidR="00AF565F" w:rsidRPr="000F4B5C">
        <w:rPr>
          <w:rStyle w:val="FootnoteReference"/>
          <w:sz w:val="24"/>
          <w:szCs w:val="24"/>
          <w:lang w:val="en-CA"/>
        </w:rPr>
        <w:footnoteReference w:id="10"/>
      </w:r>
      <w:r w:rsidR="00AF565F" w:rsidRPr="000F4B5C">
        <w:rPr>
          <w:sz w:val="24"/>
          <w:szCs w:val="24"/>
          <w:lang w:val="en-CA"/>
        </w:rPr>
        <w:t xml:space="preserve"> </w:t>
      </w:r>
      <w:r w:rsidR="003063D3" w:rsidRPr="000F4B5C">
        <w:rPr>
          <w:sz w:val="24"/>
          <w:szCs w:val="24"/>
          <w:lang w:val="en-CA"/>
        </w:rPr>
        <w:t>provides academics, researchers, victims, families of victims, communities, and advocates with a comprehensive database of information to answer basic questions and to support analysis, policy work and systemic change</w:t>
      </w:r>
      <w:r w:rsidR="00AF565F" w:rsidRPr="000F4B5C">
        <w:rPr>
          <w:sz w:val="24"/>
          <w:szCs w:val="24"/>
          <w:lang w:val="en-CA"/>
        </w:rPr>
        <w:t>.</w:t>
      </w:r>
    </w:p>
    <w:p w14:paraId="4B031673" w14:textId="5F3A4D6D" w:rsidR="009E510E" w:rsidRPr="009E510E" w:rsidRDefault="003063D3" w:rsidP="00124A82">
      <w:pPr>
        <w:rPr>
          <w:sz w:val="24"/>
          <w:szCs w:val="24"/>
        </w:rPr>
      </w:pPr>
      <w:r w:rsidRPr="000F4B5C">
        <w:rPr>
          <w:sz w:val="24"/>
          <w:szCs w:val="24"/>
          <w:lang w:val="en-CA"/>
        </w:rPr>
        <w:t xml:space="preserve">The Tracking (In)Justice database reveals that </w:t>
      </w:r>
      <w:r w:rsidR="006223A5" w:rsidRPr="000F4B5C">
        <w:rPr>
          <w:sz w:val="24"/>
          <w:szCs w:val="24"/>
          <w:lang w:val="en-CA"/>
        </w:rPr>
        <w:t xml:space="preserve">the rate of police involved deaths where force was used is increasing disproportionately in relation to population growth, </w:t>
      </w:r>
      <w:r w:rsidR="00DB435F">
        <w:rPr>
          <w:sz w:val="24"/>
          <w:szCs w:val="24"/>
          <w:lang w:val="en-CA"/>
        </w:rPr>
        <w:t xml:space="preserve">with </w:t>
      </w:r>
      <w:r w:rsidR="006223A5" w:rsidRPr="000F4B5C">
        <w:rPr>
          <w:sz w:val="24"/>
          <w:szCs w:val="24"/>
          <w:lang w:val="en-CA"/>
        </w:rPr>
        <w:t xml:space="preserve">Black and Indigenous individuals over-represented in </w:t>
      </w:r>
      <w:r w:rsidR="000F4B5C" w:rsidRPr="000F4B5C">
        <w:rPr>
          <w:sz w:val="24"/>
          <w:szCs w:val="24"/>
          <w:lang w:val="en-CA"/>
        </w:rPr>
        <w:t xml:space="preserve">the </w:t>
      </w:r>
      <w:r w:rsidR="006223A5" w:rsidRPr="000F4B5C">
        <w:rPr>
          <w:sz w:val="24"/>
          <w:szCs w:val="24"/>
          <w:lang w:val="en-CA"/>
        </w:rPr>
        <w:t>total numbers.</w:t>
      </w:r>
      <w:r w:rsidR="006223A5" w:rsidRPr="000F4B5C">
        <w:rPr>
          <w:rStyle w:val="FootnoteReference"/>
          <w:sz w:val="24"/>
          <w:szCs w:val="24"/>
          <w:lang w:val="en-CA"/>
        </w:rPr>
        <w:footnoteReference w:id="11"/>
      </w:r>
      <w:r w:rsidR="006223A5" w:rsidRPr="000F4B5C">
        <w:rPr>
          <w:sz w:val="24"/>
          <w:szCs w:val="24"/>
          <w:lang w:val="en-CA"/>
        </w:rPr>
        <w:t xml:space="preserve"> </w:t>
      </w:r>
    </w:p>
    <w:p w14:paraId="4B081F33" w14:textId="52A41F4C" w:rsidR="00124A82" w:rsidRPr="00007AAE" w:rsidRDefault="009E510E" w:rsidP="00007AAE">
      <w:pPr>
        <w:pStyle w:val="Heading2"/>
        <w:rPr>
          <w:sz w:val="32"/>
          <w:szCs w:val="32"/>
          <w:lang w:val="en-CA"/>
        </w:rPr>
      </w:pPr>
      <w:bookmarkStart w:id="0" w:name="_Toc73572291"/>
      <w:bookmarkStart w:id="1" w:name="_Toc73632688"/>
      <w:bookmarkStart w:id="2" w:name="_Toc73904189"/>
      <w:bookmarkStart w:id="3" w:name="_Toc73974165"/>
      <w:bookmarkStart w:id="4" w:name="_Toc74142031"/>
      <w:bookmarkStart w:id="5" w:name="_Toc74213125"/>
      <w:bookmarkStart w:id="6" w:name="_Toc74311882"/>
      <w:bookmarkStart w:id="7" w:name="_Toc74747152"/>
      <w:bookmarkStart w:id="8" w:name="_Toc74747298"/>
      <w:bookmarkStart w:id="9" w:name="_Toc75154931"/>
      <w:r w:rsidRPr="00010164">
        <w:rPr>
          <w:sz w:val="32"/>
          <w:szCs w:val="32"/>
          <w:lang w:val="en-CA"/>
        </w:rPr>
        <w:t>Indigenous, Black and Racialized prisoners</w:t>
      </w:r>
      <w:bookmarkEnd w:id="0"/>
      <w:bookmarkEnd w:id="1"/>
      <w:bookmarkEnd w:id="2"/>
      <w:bookmarkEnd w:id="3"/>
      <w:bookmarkEnd w:id="4"/>
      <w:bookmarkEnd w:id="5"/>
      <w:bookmarkEnd w:id="6"/>
      <w:bookmarkEnd w:id="7"/>
      <w:bookmarkEnd w:id="8"/>
      <w:bookmarkEnd w:id="9"/>
      <w:r w:rsidRPr="00010164">
        <w:rPr>
          <w:sz w:val="32"/>
          <w:szCs w:val="32"/>
          <w:lang w:val="en-CA"/>
        </w:rPr>
        <w:t xml:space="preserve"> </w:t>
      </w:r>
    </w:p>
    <w:p w14:paraId="3C9F5793" w14:textId="0AC88E4F" w:rsidR="009E510E" w:rsidRPr="009E510E" w:rsidRDefault="009E510E" w:rsidP="009E510E">
      <w:pPr>
        <w:spacing w:after="0" w:line="240" w:lineRule="auto"/>
        <w:rPr>
          <w:sz w:val="24"/>
          <w:szCs w:val="24"/>
        </w:rPr>
      </w:pPr>
      <w:r w:rsidRPr="009E510E">
        <w:rPr>
          <w:sz w:val="24"/>
          <w:szCs w:val="24"/>
        </w:rPr>
        <w:t xml:space="preserve">The CHRC remains deeply concerned by reports that recent prison population growth has been exclusively driven by increases in the composition of racially, ethnically and culturally diverse prisoners, and that the situation for certain groups, such as Indigenous prisoners, has deteriorated further. </w:t>
      </w:r>
    </w:p>
    <w:p w14:paraId="47EF7499" w14:textId="77777777" w:rsidR="009E510E" w:rsidRPr="009E510E" w:rsidRDefault="009E510E" w:rsidP="009E510E">
      <w:pPr>
        <w:spacing w:after="0" w:line="240" w:lineRule="auto"/>
        <w:rPr>
          <w:sz w:val="24"/>
          <w:szCs w:val="24"/>
        </w:rPr>
      </w:pPr>
    </w:p>
    <w:p w14:paraId="17CAAEB5" w14:textId="6167FE9F" w:rsidR="009E510E" w:rsidRPr="009E510E" w:rsidRDefault="00494B92" w:rsidP="00935061">
      <w:pPr>
        <w:spacing w:line="240" w:lineRule="auto"/>
        <w:rPr>
          <w:sz w:val="24"/>
          <w:szCs w:val="24"/>
        </w:rPr>
      </w:pPr>
      <w:r>
        <w:rPr>
          <w:sz w:val="24"/>
          <w:szCs w:val="24"/>
        </w:rPr>
        <w:t>T</w:t>
      </w:r>
      <w:r w:rsidR="009E510E" w:rsidRPr="009E510E">
        <w:rPr>
          <w:sz w:val="24"/>
          <w:szCs w:val="24"/>
        </w:rPr>
        <w:t xml:space="preserve">he Office of the Correctional Investigator (OCI) </w:t>
      </w:r>
      <w:r>
        <w:rPr>
          <w:sz w:val="24"/>
          <w:szCs w:val="24"/>
        </w:rPr>
        <w:t xml:space="preserve">has repeatedly </w:t>
      </w:r>
      <w:r w:rsidR="009E510E" w:rsidRPr="009E510E">
        <w:rPr>
          <w:sz w:val="24"/>
          <w:szCs w:val="24"/>
        </w:rPr>
        <w:t>highlight</w:t>
      </w:r>
      <w:r>
        <w:rPr>
          <w:sz w:val="24"/>
          <w:szCs w:val="24"/>
        </w:rPr>
        <w:t>ed</w:t>
      </w:r>
      <w:r w:rsidR="009E510E" w:rsidRPr="009E510E">
        <w:rPr>
          <w:sz w:val="24"/>
          <w:szCs w:val="24"/>
        </w:rPr>
        <w:t xml:space="preserve"> that Indigenous overrepresentation in federal custody </w:t>
      </w:r>
      <w:r>
        <w:rPr>
          <w:sz w:val="24"/>
          <w:szCs w:val="24"/>
        </w:rPr>
        <w:t>continues to worsen. In its recent report on Indigenous corrections the OCI notes that “[o]</w:t>
      </w:r>
      <w:proofErr w:type="spellStart"/>
      <w:r w:rsidRPr="00494B92">
        <w:rPr>
          <w:sz w:val="24"/>
          <w:szCs w:val="24"/>
        </w:rPr>
        <w:t>ver</w:t>
      </w:r>
      <w:proofErr w:type="spellEnd"/>
      <w:r w:rsidRPr="00494B92">
        <w:rPr>
          <w:sz w:val="24"/>
          <w:szCs w:val="24"/>
        </w:rPr>
        <w:t xml:space="preserve"> the last decade alone, the total Indigenous offender population (incarcerated and community) has increased by 40.8%</w:t>
      </w:r>
      <w:r>
        <w:rPr>
          <w:sz w:val="24"/>
          <w:szCs w:val="24"/>
        </w:rPr>
        <w:t>”</w:t>
      </w:r>
      <w:r>
        <w:rPr>
          <w:rStyle w:val="FootnoteReference"/>
          <w:sz w:val="24"/>
          <w:szCs w:val="24"/>
        </w:rPr>
        <w:footnoteReference w:id="12"/>
      </w:r>
      <w:r>
        <w:rPr>
          <w:sz w:val="24"/>
          <w:szCs w:val="24"/>
        </w:rPr>
        <w:t xml:space="preserve"> </w:t>
      </w:r>
      <w:r w:rsidR="009E510E" w:rsidRPr="009E510E">
        <w:rPr>
          <w:sz w:val="24"/>
          <w:szCs w:val="24"/>
        </w:rPr>
        <w:t>despite the</w:t>
      </w:r>
      <w:r>
        <w:rPr>
          <w:sz w:val="24"/>
          <w:szCs w:val="24"/>
        </w:rPr>
        <w:t xml:space="preserve"> overall federal prison population decreasing by 16.5 per cent over the same period.</w:t>
      </w:r>
      <w:r w:rsidR="00007AAE">
        <w:rPr>
          <w:sz w:val="24"/>
          <w:szCs w:val="24"/>
        </w:rPr>
        <w:t xml:space="preserve"> Across federal prisons designated for men and women, Indigenous people make up 32 per cent of the total population despite making up just 5 per cent</w:t>
      </w:r>
      <w:r w:rsidR="009E510E" w:rsidRPr="009E510E">
        <w:rPr>
          <w:sz w:val="24"/>
          <w:szCs w:val="24"/>
        </w:rPr>
        <w:t xml:space="preserve"> </w:t>
      </w:r>
      <w:r w:rsidR="00007AAE">
        <w:rPr>
          <w:sz w:val="24"/>
          <w:szCs w:val="24"/>
        </w:rPr>
        <w:t xml:space="preserve">of the country’s overall population. </w:t>
      </w:r>
      <w:r>
        <w:rPr>
          <w:sz w:val="24"/>
          <w:szCs w:val="24"/>
        </w:rPr>
        <w:t>O</w:t>
      </w:r>
      <w:r w:rsidR="009E510E" w:rsidRPr="009E510E">
        <w:rPr>
          <w:sz w:val="24"/>
          <w:szCs w:val="24"/>
        </w:rPr>
        <w:t xml:space="preserve">verrepresentation </w:t>
      </w:r>
      <w:r>
        <w:rPr>
          <w:sz w:val="24"/>
          <w:szCs w:val="24"/>
        </w:rPr>
        <w:t xml:space="preserve">of Indigenous individuals </w:t>
      </w:r>
      <w:r w:rsidR="009E510E" w:rsidRPr="009E510E">
        <w:rPr>
          <w:sz w:val="24"/>
          <w:szCs w:val="24"/>
        </w:rPr>
        <w:t xml:space="preserve">is even higher in </w:t>
      </w:r>
      <w:r w:rsidR="00124A82">
        <w:rPr>
          <w:sz w:val="24"/>
          <w:szCs w:val="24"/>
        </w:rPr>
        <w:t>prisons</w:t>
      </w:r>
      <w:r w:rsidR="009E510E" w:rsidRPr="009E510E">
        <w:rPr>
          <w:sz w:val="24"/>
          <w:szCs w:val="24"/>
        </w:rPr>
        <w:t xml:space="preserve"> designated for women </w:t>
      </w:r>
      <w:r>
        <w:rPr>
          <w:sz w:val="24"/>
          <w:szCs w:val="24"/>
        </w:rPr>
        <w:t xml:space="preserve">at nearly </w:t>
      </w:r>
      <w:r w:rsidR="00124A82">
        <w:rPr>
          <w:sz w:val="24"/>
          <w:szCs w:val="24"/>
        </w:rPr>
        <w:t>50</w:t>
      </w:r>
      <w:r>
        <w:rPr>
          <w:sz w:val="24"/>
          <w:szCs w:val="24"/>
        </w:rPr>
        <w:t xml:space="preserve"> per cent.</w:t>
      </w:r>
      <w:r w:rsidR="009E510E" w:rsidRPr="009E510E">
        <w:rPr>
          <w:sz w:val="24"/>
          <w:szCs w:val="24"/>
        </w:rPr>
        <w:t xml:space="preserve"> Black individuals </w:t>
      </w:r>
      <w:r>
        <w:rPr>
          <w:sz w:val="24"/>
          <w:szCs w:val="24"/>
        </w:rPr>
        <w:t xml:space="preserve">are also overrepresented in federal </w:t>
      </w:r>
      <w:r w:rsidR="009E510E" w:rsidRPr="009E510E">
        <w:rPr>
          <w:sz w:val="24"/>
          <w:szCs w:val="24"/>
        </w:rPr>
        <w:t>prisons, account</w:t>
      </w:r>
      <w:r>
        <w:rPr>
          <w:sz w:val="24"/>
          <w:szCs w:val="24"/>
        </w:rPr>
        <w:t>ing</w:t>
      </w:r>
      <w:r w:rsidR="009E510E" w:rsidRPr="009E510E">
        <w:rPr>
          <w:sz w:val="24"/>
          <w:szCs w:val="24"/>
        </w:rPr>
        <w:t xml:space="preserve"> for 8.</w:t>
      </w:r>
      <w:r w:rsidR="00727427">
        <w:rPr>
          <w:sz w:val="24"/>
          <w:szCs w:val="24"/>
        </w:rPr>
        <w:t>1</w:t>
      </w:r>
      <w:r w:rsidR="009E510E" w:rsidRPr="009E510E">
        <w:rPr>
          <w:sz w:val="24"/>
          <w:szCs w:val="24"/>
        </w:rPr>
        <w:t xml:space="preserve">% of the federally-incarcerated </w:t>
      </w:r>
      <w:r w:rsidR="009E510E" w:rsidRPr="009E510E">
        <w:rPr>
          <w:sz w:val="24"/>
          <w:szCs w:val="24"/>
        </w:rPr>
        <w:lastRenderedPageBreak/>
        <w:t>population, while making up only 2.9% of the general population.</w:t>
      </w:r>
      <w:r w:rsidR="009E510E" w:rsidRPr="009E510E">
        <w:rPr>
          <w:rStyle w:val="FootnoteReference"/>
          <w:sz w:val="24"/>
          <w:szCs w:val="24"/>
        </w:rPr>
        <w:footnoteReference w:id="13"/>
      </w:r>
      <w:r w:rsidR="009E510E" w:rsidRPr="009E510E">
        <w:rPr>
          <w:sz w:val="24"/>
          <w:szCs w:val="24"/>
        </w:rPr>
        <w:t xml:space="preserve"> In contrast, there has been a relative and proportional decline in the number </w:t>
      </w:r>
      <w:r w:rsidR="009E510E" w:rsidRPr="009178EE">
        <w:rPr>
          <w:sz w:val="24"/>
          <w:szCs w:val="24"/>
        </w:rPr>
        <w:t xml:space="preserve">of </w:t>
      </w:r>
      <w:r w:rsidR="00022B3A" w:rsidRPr="009178EE">
        <w:rPr>
          <w:sz w:val="24"/>
          <w:szCs w:val="24"/>
        </w:rPr>
        <w:t>white</w:t>
      </w:r>
      <w:r w:rsidR="00022B3A" w:rsidRPr="009E510E">
        <w:rPr>
          <w:sz w:val="24"/>
          <w:szCs w:val="24"/>
        </w:rPr>
        <w:t xml:space="preserve"> </w:t>
      </w:r>
      <w:r w:rsidR="009E510E" w:rsidRPr="009E510E">
        <w:rPr>
          <w:sz w:val="24"/>
          <w:szCs w:val="24"/>
        </w:rPr>
        <w:t>prisoners, which has steadily decreased over the past 10 years.</w:t>
      </w:r>
      <w:r w:rsidR="009E510E" w:rsidRPr="009E510E">
        <w:rPr>
          <w:rStyle w:val="FootnoteReference"/>
          <w:sz w:val="24"/>
          <w:szCs w:val="24"/>
        </w:rPr>
        <w:footnoteReference w:id="14"/>
      </w:r>
      <w:r w:rsidR="009E510E" w:rsidRPr="009E510E">
        <w:rPr>
          <w:sz w:val="24"/>
          <w:szCs w:val="24"/>
        </w:rPr>
        <w:t xml:space="preserve"> </w:t>
      </w:r>
    </w:p>
    <w:p w14:paraId="7F1B90D9" w14:textId="309D864A" w:rsidR="009E510E" w:rsidRDefault="007A31DA" w:rsidP="009E510E">
      <w:pPr>
        <w:spacing w:line="240" w:lineRule="auto"/>
        <w:rPr>
          <w:sz w:val="24"/>
          <w:szCs w:val="24"/>
        </w:rPr>
      </w:pPr>
      <w:r>
        <w:rPr>
          <w:sz w:val="24"/>
          <w:szCs w:val="24"/>
        </w:rPr>
        <w:t>B</w:t>
      </w:r>
      <w:r w:rsidR="009E510E" w:rsidRPr="009E510E">
        <w:rPr>
          <w:sz w:val="24"/>
          <w:szCs w:val="24"/>
        </w:rPr>
        <w:t xml:space="preserve">eyond overrepresentation, these populations also experience discrimination in relation to their conditions of confinement, including with respect to </w:t>
      </w:r>
      <w:r>
        <w:rPr>
          <w:sz w:val="24"/>
          <w:szCs w:val="24"/>
        </w:rPr>
        <w:t xml:space="preserve">security </w:t>
      </w:r>
      <w:r w:rsidR="009E510E" w:rsidRPr="009E510E">
        <w:rPr>
          <w:sz w:val="24"/>
          <w:szCs w:val="24"/>
        </w:rPr>
        <w:t>classification and treatment. For instance, Indigenous and Black prisoners</w:t>
      </w:r>
      <w:r>
        <w:rPr>
          <w:sz w:val="24"/>
          <w:szCs w:val="24"/>
        </w:rPr>
        <w:t xml:space="preserve"> </w:t>
      </w:r>
      <w:r w:rsidR="009E510E" w:rsidRPr="009E510E">
        <w:rPr>
          <w:sz w:val="24"/>
          <w:szCs w:val="24"/>
        </w:rPr>
        <w:t>are more likely to be over-classified as maximum security and are more likely to be involved in incidents of use of force.</w:t>
      </w:r>
      <w:r w:rsidR="009E510E" w:rsidRPr="009E510E">
        <w:rPr>
          <w:rStyle w:val="FootnoteReference"/>
          <w:sz w:val="24"/>
          <w:szCs w:val="24"/>
        </w:rPr>
        <w:footnoteReference w:id="15"/>
      </w:r>
    </w:p>
    <w:p w14:paraId="6CE0C18F" w14:textId="69C8F879" w:rsidR="009E510E" w:rsidRDefault="009E510E" w:rsidP="009E510E">
      <w:pPr>
        <w:spacing w:line="240" w:lineRule="auto"/>
        <w:rPr>
          <w:sz w:val="24"/>
          <w:szCs w:val="24"/>
        </w:rPr>
      </w:pPr>
      <w:r w:rsidRPr="009E510E">
        <w:rPr>
          <w:sz w:val="24"/>
          <w:szCs w:val="24"/>
          <w:lang w:val="en"/>
        </w:rPr>
        <w:t>The CHRC also wishes to highlight a 20</w:t>
      </w:r>
      <w:r w:rsidR="009921F1">
        <w:rPr>
          <w:sz w:val="24"/>
          <w:szCs w:val="24"/>
          <w:lang w:val="en"/>
        </w:rPr>
        <w:t>21</w:t>
      </w:r>
      <w:r w:rsidRPr="009E510E">
        <w:rPr>
          <w:sz w:val="24"/>
          <w:szCs w:val="24"/>
          <w:lang w:val="en"/>
        </w:rPr>
        <w:t xml:space="preserve"> report</w:t>
      </w:r>
      <w:r w:rsidRPr="009E510E">
        <w:rPr>
          <w:rStyle w:val="FootnoteReference"/>
          <w:sz w:val="24"/>
          <w:szCs w:val="24"/>
          <w:lang w:val="en"/>
        </w:rPr>
        <w:footnoteReference w:id="16"/>
      </w:r>
      <w:r w:rsidRPr="009E510E">
        <w:rPr>
          <w:sz w:val="24"/>
          <w:szCs w:val="24"/>
          <w:lang w:val="en"/>
        </w:rPr>
        <w:t xml:space="preserve"> from the Standing Senate Committee on Human Rights echoing the above-mentioned concerns </w:t>
      </w:r>
      <w:r w:rsidR="00547C40">
        <w:rPr>
          <w:sz w:val="24"/>
          <w:szCs w:val="24"/>
          <w:lang w:val="en"/>
        </w:rPr>
        <w:t>about</w:t>
      </w:r>
      <w:r w:rsidRPr="009E510E">
        <w:rPr>
          <w:sz w:val="24"/>
          <w:szCs w:val="24"/>
          <w:lang w:val="en"/>
        </w:rPr>
        <w:t xml:space="preserve"> Canada’s correctional system. </w:t>
      </w:r>
    </w:p>
    <w:p w14:paraId="6959904B" w14:textId="339E928D" w:rsidR="009E510E" w:rsidRPr="003527C7" w:rsidRDefault="009E510E" w:rsidP="009E510E">
      <w:pPr>
        <w:pStyle w:val="Heading2"/>
        <w:rPr>
          <w:sz w:val="28"/>
          <w:szCs w:val="28"/>
          <w:lang w:val="en-CA"/>
        </w:rPr>
      </w:pPr>
      <w:r w:rsidRPr="003527C7">
        <w:rPr>
          <w:sz w:val="28"/>
          <w:szCs w:val="28"/>
          <w:lang w:val="en-CA"/>
        </w:rPr>
        <w:t>Immigration detention</w:t>
      </w:r>
    </w:p>
    <w:p w14:paraId="6E7147E0" w14:textId="7F35E257" w:rsidR="00EC04BC" w:rsidRDefault="009E510E" w:rsidP="009E510E">
      <w:pPr>
        <w:spacing w:line="240" w:lineRule="auto"/>
        <w:rPr>
          <w:sz w:val="24"/>
          <w:szCs w:val="24"/>
        </w:rPr>
      </w:pPr>
      <w:r w:rsidRPr="009E510E">
        <w:rPr>
          <w:sz w:val="24"/>
          <w:szCs w:val="24"/>
        </w:rPr>
        <w:t xml:space="preserve">The CHRC remains deeply concerned by Canada’s immigration detention regime, including the treatment of individuals who are detained, as well as the associated conditions of confinement. Every year, thousands of migrants who are not serving a criminal sentence are detained in Canada at the direction of the Canada Border Services Agency (CBSA). </w:t>
      </w:r>
      <w:r w:rsidR="009741C5">
        <w:rPr>
          <w:sz w:val="24"/>
          <w:szCs w:val="24"/>
        </w:rPr>
        <w:t>In a March 2024 article, Human Rights Watch noted that “over the past five years the [CBSA] has incarcerated thousands of people on immigration grounds in dozens of provincial jails.”</w:t>
      </w:r>
      <w:r w:rsidR="009741C5">
        <w:rPr>
          <w:rStyle w:val="FootnoteReference"/>
          <w:sz w:val="24"/>
          <w:szCs w:val="24"/>
        </w:rPr>
        <w:footnoteReference w:id="17"/>
      </w:r>
      <w:r w:rsidR="009741C5">
        <w:rPr>
          <w:sz w:val="24"/>
          <w:szCs w:val="24"/>
        </w:rPr>
        <w:t xml:space="preserve"> A 2021 report from the same organization documented that “racialized people, and in particular Black men, are confined in more restrictive conditions and for longer periods […] than other detainees.”</w:t>
      </w:r>
      <w:r w:rsidR="009741C5">
        <w:rPr>
          <w:rStyle w:val="FootnoteReference"/>
          <w:sz w:val="24"/>
          <w:szCs w:val="24"/>
        </w:rPr>
        <w:footnoteReference w:id="18"/>
      </w:r>
      <w:r w:rsidR="009741C5">
        <w:rPr>
          <w:sz w:val="24"/>
          <w:szCs w:val="24"/>
        </w:rPr>
        <w:t xml:space="preserve"> These detainees do not have access to recourse mechanisms to address mistreatment by law enforcement officials in the facilities in which they are held. </w:t>
      </w:r>
    </w:p>
    <w:p w14:paraId="4E357514" w14:textId="6D3433B4" w:rsidR="00516E12" w:rsidRDefault="00EC04BC" w:rsidP="00516E12">
      <w:pPr>
        <w:spacing w:line="240" w:lineRule="auto"/>
        <w:rPr>
          <w:sz w:val="24"/>
          <w:szCs w:val="24"/>
        </w:rPr>
      </w:pPr>
      <w:r>
        <w:rPr>
          <w:sz w:val="24"/>
          <w:szCs w:val="24"/>
        </w:rPr>
        <w:lastRenderedPageBreak/>
        <w:t>A</w:t>
      </w:r>
      <w:r w:rsidRPr="00EC04BC">
        <w:rPr>
          <w:sz w:val="24"/>
          <w:szCs w:val="24"/>
        </w:rPr>
        <w:t xml:space="preserve">lthough the government has introduced legislation that </w:t>
      </w:r>
      <w:r w:rsidR="00A1433A">
        <w:rPr>
          <w:sz w:val="24"/>
          <w:szCs w:val="24"/>
        </w:rPr>
        <w:t xml:space="preserve">proposes to </w:t>
      </w:r>
      <w:r w:rsidRPr="00EC04BC">
        <w:rPr>
          <w:sz w:val="24"/>
          <w:szCs w:val="24"/>
        </w:rPr>
        <w:t>introduce an oversight body for the CBSA, including a complaint mechanism for detainees, progress on this legislation has stalled.</w:t>
      </w:r>
      <w:r>
        <w:rPr>
          <w:sz w:val="24"/>
          <w:szCs w:val="24"/>
        </w:rPr>
        <w:t xml:space="preserve"> </w:t>
      </w:r>
      <w:r w:rsidR="009741C5" w:rsidRPr="001C135D">
        <w:rPr>
          <w:sz w:val="24"/>
          <w:szCs w:val="24"/>
        </w:rPr>
        <w:t>Beyond oversight and monitoring, a significant gap exists in the human rights protections afforded to migrants detained in Canada.</w:t>
      </w:r>
      <w:r w:rsidR="009741C5">
        <w:rPr>
          <w:sz w:val="24"/>
          <w:szCs w:val="24"/>
        </w:rPr>
        <w:t xml:space="preserve"> Currently</w:t>
      </w:r>
      <w:r w:rsidR="009741C5" w:rsidRPr="001C135D">
        <w:rPr>
          <w:sz w:val="24"/>
          <w:szCs w:val="24"/>
        </w:rPr>
        <w:t>, to file a complaint under the CHRA about a situation or practice occurring in Canada, an individual must be either “lawfully present” in Canada or, if temporarily absent, entitled to return to Canada.</w:t>
      </w:r>
      <w:r w:rsidR="009741C5" w:rsidRPr="001C135D">
        <w:rPr>
          <w:sz w:val="24"/>
          <w:szCs w:val="24"/>
          <w:vertAlign w:val="superscript"/>
        </w:rPr>
        <w:footnoteReference w:id="19"/>
      </w:r>
      <w:r w:rsidR="009741C5">
        <w:rPr>
          <w:sz w:val="24"/>
          <w:szCs w:val="24"/>
        </w:rPr>
        <w:t xml:space="preserve"> By virtue of their immigration status, detainees </w:t>
      </w:r>
      <w:r w:rsidR="00527DEE">
        <w:rPr>
          <w:sz w:val="24"/>
          <w:szCs w:val="24"/>
        </w:rPr>
        <w:t>do not have access to human rights protections</w:t>
      </w:r>
      <w:r w:rsidR="0002724D">
        <w:rPr>
          <w:sz w:val="24"/>
          <w:szCs w:val="24"/>
        </w:rPr>
        <w:t>.</w:t>
      </w:r>
      <w:r w:rsidR="00F54EBF">
        <w:rPr>
          <w:sz w:val="24"/>
          <w:szCs w:val="24"/>
        </w:rPr>
        <w:t xml:space="preserve"> </w:t>
      </w:r>
      <w:r w:rsidR="00F54EBF" w:rsidRPr="00F54EBF">
        <w:rPr>
          <w:sz w:val="24"/>
          <w:szCs w:val="24"/>
        </w:rPr>
        <w:t>The CHRC believes that human rights protections should be available to all individuals present in Canada – lawfully or not – and has highlighted the need for Parliament to repeal these provisions</w:t>
      </w:r>
      <w:r w:rsidR="00F54EBF">
        <w:rPr>
          <w:sz w:val="24"/>
          <w:szCs w:val="24"/>
        </w:rPr>
        <w:t xml:space="preserve"> of the CHRA.</w:t>
      </w:r>
    </w:p>
    <w:p w14:paraId="3BD1FDEF" w14:textId="77777777" w:rsidR="00F54EBF" w:rsidRDefault="00F54EBF" w:rsidP="00516E12">
      <w:pPr>
        <w:spacing w:line="240" w:lineRule="auto"/>
        <w:rPr>
          <w:sz w:val="24"/>
          <w:szCs w:val="24"/>
        </w:rPr>
      </w:pPr>
    </w:p>
    <w:p w14:paraId="78BE46A8" w14:textId="77777777" w:rsidR="00F54EBF" w:rsidRPr="00516E12" w:rsidRDefault="00F54EBF" w:rsidP="00516E12">
      <w:pPr>
        <w:spacing w:line="240" w:lineRule="auto"/>
      </w:pPr>
    </w:p>
    <w:p w14:paraId="7AA98747" w14:textId="7DB3FEAD" w:rsidR="00C33DE6" w:rsidRDefault="00C33DE6" w:rsidP="005F2248">
      <w:pPr>
        <w:pStyle w:val="Heading2"/>
        <w:rPr>
          <w:sz w:val="32"/>
          <w:szCs w:val="32"/>
          <w:lang w:val="en-CA"/>
        </w:rPr>
      </w:pPr>
      <w:r>
        <w:rPr>
          <w:sz w:val="32"/>
          <w:szCs w:val="32"/>
          <w:lang w:val="en-CA"/>
        </w:rPr>
        <w:t>Oversight and Accountability</w:t>
      </w:r>
    </w:p>
    <w:p w14:paraId="6BA41E9F" w14:textId="699B0206" w:rsidR="006B353B" w:rsidRPr="005F2248" w:rsidRDefault="006B353B" w:rsidP="005F2248">
      <w:pPr>
        <w:pStyle w:val="Heading2"/>
        <w:rPr>
          <w:sz w:val="32"/>
          <w:szCs w:val="32"/>
          <w:lang w:val="en-CA"/>
        </w:rPr>
      </w:pPr>
      <w:r w:rsidRPr="00AB2294">
        <w:rPr>
          <w:sz w:val="24"/>
          <w:szCs w:val="24"/>
          <w:lang w:val="en-CA"/>
        </w:rPr>
        <w:t>Independent oversight and complaint mechanisms</w:t>
      </w:r>
    </w:p>
    <w:p w14:paraId="0EC90340" w14:textId="76AE7989" w:rsidR="00C33DE6" w:rsidRPr="00ED726A" w:rsidRDefault="00C33DE6" w:rsidP="00C33DE6">
      <w:pPr>
        <w:pStyle w:val="Heading4"/>
        <w:rPr>
          <w:i w:val="0"/>
          <w:iCs w:val="0"/>
        </w:rPr>
      </w:pPr>
      <w:r w:rsidRPr="00ED726A">
        <w:rPr>
          <w:i w:val="0"/>
          <w:iCs w:val="0"/>
        </w:rPr>
        <w:t>Civilian Complaints and Review Commission</w:t>
      </w:r>
      <w:r w:rsidR="005244FB">
        <w:rPr>
          <w:i w:val="0"/>
          <w:iCs w:val="0"/>
        </w:rPr>
        <w:t xml:space="preserve"> (CRCC)</w:t>
      </w:r>
    </w:p>
    <w:p w14:paraId="508E6433" w14:textId="77777777" w:rsidR="00C33DE6" w:rsidRPr="00FD7122" w:rsidRDefault="00C33DE6" w:rsidP="00C33DE6">
      <w:pPr>
        <w:rPr>
          <w:sz w:val="24"/>
          <w:szCs w:val="24"/>
          <w:lang w:val="en-CA"/>
        </w:rPr>
      </w:pPr>
      <w:r w:rsidRPr="00FD7122">
        <w:rPr>
          <w:sz w:val="24"/>
          <w:szCs w:val="24"/>
          <w:lang w:val="en-CA"/>
        </w:rPr>
        <w:t xml:space="preserve">The </w:t>
      </w:r>
      <w:r>
        <w:rPr>
          <w:sz w:val="24"/>
          <w:szCs w:val="24"/>
          <w:lang w:val="en-CA"/>
        </w:rPr>
        <w:t>CRCC</w:t>
      </w:r>
      <w:r w:rsidRPr="00FD7122">
        <w:rPr>
          <w:sz w:val="24"/>
          <w:szCs w:val="24"/>
          <w:lang w:val="en-CA"/>
        </w:rPr>
        <w:t xml:space="preserve"> is an independent agency created by the Canadian parliament in 1988 to review public complaints made about the conduct of Royal Canadian Mounted Police (RCMP) members. </w:t>
      </w:r>
    </w:p>
    <w:p w14:paraId="507E0D17" w14:textId="5672CAED" w:rsidR="00C33DE6" w:rsidRPr="00C33DE6" w:rsidRDefault="00C33DE6" w:rsidP="00442F10">
      <w:pPr>
        <w:rPr>
          <w:sz w:val="24"/>
          <w:szCs w:val="24"/>
        </w:rPr>
      </w:pPr>
      <w:r w:rsidRPr="00FD7122">
        <w:rPr>
          <w:sz w:val="24"/>
          <w:szCs w:val="24"/>
          <w:lang w:val="en-CA"/>
        </w:rPr>
        <w:t xml:space="preserve">In the aforementioned </w:t>
      </w:r>
      <w:r>
        <w:rPr>
          <w:sz w:val="24"/>
          <w:szCs w:val="24"/>
          <w:lang w:val="en-CA"/>
        </w:rPr>
        <w:t xml:space="preserve">June 2021 </w:t>
      </w:r>
      <w:r w:rsidRPr="00FD7122">
        <w:rPr>
          <w:sz w:val="24"/>
          <w:szCs w:val="24"/>
          <w:lang w:val="en-CA"/>
        </w:rPr>
        <w:t xml:space="preserve">House of Commons </w:t>
      </w:r>
      <w:r w:rsidRPr="004A083B">
        <w:rPr>
          <w:sz w:val="24"/>
          <w:szCs w:val="24"/>
        </w:rPr>
        <w:t>Standing Committee</w:t>
      </w:r>
      <w:r>
        <w:rPr>
          <w:sz w:val="24"/>
          <w:szCs w:val="24"/>
        </w:rPr>
        <w:t xml:space="preserve"> Report on systemic racism in policing, the Committee’s first recommendation was to “</w:t>
      </w:r>
      <w:r w:rsidRPr="00FD7122">
        <w:rPr>
          <w:sz w:val="24"/>
          <w:szCs w:val="24"/>
        </w:rPr>
        <w:t>clarify and strengthen the mandate, independence and efficacy of the Civilian Review and Complaints Commission</w:t>
      </w:r>
      <w:r>
        <w:rPr>
          <w:sz w:val="24"/>
          <w:szCs w:val="24"/>
        </w:rPr>
        <w:t>.”</w:t>
      </w:r>
      <w:r>
        <w:rPr>
          <w:rStyle w:val="FootnoteReference"/>
          <w:sz w:val="24"/>
          <w:szCs w:val="24"/>
        </w:rPr>
        <w:footnoteReference w:id="20"/>
      </w:r>
      <w:r>
        <w:rPr>
          <w:sz w:val="24"/>
          <w:szCs w:val="24"/>
        </w:rPr>
        <w:t xml:space="preserve"> Among the recommended improvements was to empower the CRCC to refer </w:t>
      </w:r>
      <w:r w:rsidRPr="0001111F">
        <w:rPr>
          <w:sz w:val="24"/>
          <w:szCs w:val="24"/>
        </w:rPr>
        <w:t xml:space="preserve">cases </w:t>
      </w:r>
      <w:r>
        <w:rPr>
          <w:sz w:val="24"/>
          <w:szCs w:val="24"/>
        </w:rPr>
        <w:t>for</w:t>
      </w:r>
      <w:r w:rsidRPr="0001111F">
        <w:rPr>
          <w:sz w:val="24"/>
          <w:szCs w:val="24"/>
        </w:rPr>
        <w:t xml:space="preserve"> criminal investigation of police conduct</w:t>
      </w:r>
      <w:r>
        <w:rPr>
          <w:sz w:val="24"/>
          <w:szCs w:val="24"/>
        </w:rPr>
        <w:t xml:space="preserve"> and recommend the filing of criminal charges against officers where there is a </w:t>
      </w:r>
      <w:r w:rsidRPr="0001111F">
        <w:rPr>
          <w:sz w:val="24"/>
          <w:szCs w:val="24"/>
        </w:rPr>
        <w:t>reasonable belief that the matter involves criminal conduct</w:t>
      </w:r>
      <w:r>
        <w:rPr>
          <w:sz w:val="24"/>
          <w:szCs w:val="24"/>
        </w:rPr>
        <w:t>.</w:t>
      </w:r>
    </w:p>
    <w:p w14:paraId="22AD8522" w14:textId="46FC87DF" w:rsidR="00442F10" w:rsidRDefault="00F91731" w:rsidP="00442F10">
      <w:pPr>
        <w:rPr>
          <w:sz w:val="24"/>
          <w:szCs w:val="24"/>
          <w:lang w:val="en-CA"/>
        </w:rPr>
      </w:pPr>
      <w:r w:rsidRPr="00B5543B">
        <w:rPr>
          <w:sz w:val="24"/>
          <w:szCs w:val="24"/>
          <w:lang w:val="en-CA"/>
        </w:rPr>
        <w:t xml:space="preserve">Legislation introduced by the government </w:t>
      </w:r>
      <w:r w:rsidR="00C33DE6">
        <w:rPr>
          <w:sz w:val="24"/>
          <w:szCs w:val="24"/>
          <w:lang w:val="en-CA"/>
        </w:rPr>
        <w:t xml:space="preserve">in May 2022 </w:t>
      </w:r>
      <w:r w:rsidRPr="00B5543B">
        <w:rPr>
          <w:sz w:val="24"/>
          <w:szCs w:val="24"/>
          <w:lang w:val="en-CA"/>
        </w:rPr>
        <w:t>to replace the current CCRC with the Public Complaints Review Commission (PCRC) would “require the PCRC to collect and publish disaggregated race-based data, in consultation with the RCMP and the CBSA, to increase knowledge about systemic racism in law enforcement and inform solutions to better respond to it.”</w:t>
      </w:r>
      <w:r w:rsidRPr="00B5543B">
        <w:rPr>
          <w:rStyle w:val="FootnoteReference"/>
          <w:sz w:val="24"/>
          <w:szCs w:val="24"/>
          <w:lang w:val="en-CA"/>
        </w:rPr>
        <w:footnoteReference w:id="21"/>
      </w:r>
      <w:r w:rsidR="005244FB">
        <w:rPr>
          <w:sz w:val="24"/>
          <w:szCs w:val="24"/>
          <w:lang w:val="en-CA"/>
        </w:rPr>
        <w:t xml:space="preserve"> </w:t>
      </w:r>
      <w:r w:rsidR="00D84768">
        <w:rPr>
          <w:sz w:val="24"/>
          <w:szCs w:val="24"/>
          <w:lang w:val="en-CA"/>
        </w:rPr>
        <w:t>As of the date of this submission, t</w:t>
      </w:r>
      <w:r w:rsidR="005244FB">
        <w:rPr>
          <w:sz w:val="24"/>
          <w:szCs w:val="24"/>
          <w:lang w:val="en-CA"/>
        </w:rPr>
        <w:t xml:space="preserve">he proposed legislation </w:t>
      </w:r>
      <w:r w:rsidR="00D84768">
        <w:rPr>
          <w:sz w:val="24"/>
          <w:szCs w:val="24"/>
          <w:lang w:val="en-CA"/>
        </w:rPr>
        <w:t>is still being studied by Parliament</w:t>
      </w:r>
      <w:r w:rsidR="005244FB">
        <w:rPr>
          <w:sz w:val="24"/>
          <w:szCs w:val="24"/>
          <w:lang w:val="en-CA"/>
        </w:rPr>
        <w:t>.</w:t>
      </w:r>
    </w:p>
    <w:p w14:paraId="1A97BD16" w14:textId="7454AF90" w:rsidR="00782CB1" w:rsidRPr="00782CB1" w:rsidRDefault="00782CB1" w:rsidP="00782CB1">
      <w:pPr>
        <w:pStyle w:val="Heading4"/>
        <w:rPr>
          <w:i w:val="0"/>
          <w:iCs w:val="0"/>
        </w:rPr>
      </w:pPr>
      <w:r w:rsidRPr="00782CB1">
        <w:rPr>
          <w:i w:val="0"/>
          <w:iCs w:val="0"/>
        </w:rPr>
        <w:t>Office of the Correctional Investigator</w:t>
      </w:r>
    </w:p>
    <w:p w14:paraId="028D04FB" w14:textId="108AA080" w:rsidR="00782CB1" w:rsidRPr="00782CB1" w:rsidRDefault="00782CB1" w:rsidP="00782CB1">
      <w:pPr>
        <w:rPr>
          <w:sz w:val="24"/>
          <w:szCs w:val="24"/>
          <w:lang w:val="en-CA"/>
        </w:rPr>
      </w:pPr>
      <w:r>
        <w:rPr>
          <w:sz w:val="24"/>
          <w:szCs w:val="24"/>
          <w:lang w:val="en-CA"/>
        </w:rPr>
        <w:t>The Office of the Correctional Investigator, Canada’s federal prison ombuds, has conducted a number of investigations and produced reports highlighting the situations of Indigenous</w:t>
      </w:r>
      <w:r w:rsidR="00A1433A">
        <w:rPr>
          <w:sz w:val="24"/>
          <w:szCs w:val="24"/>
          <w:lang w:val="en-CA"/>
        </w:rPr>
        <w:t>,</w:t>
      </w:r>
      <w:r>
        <w:rPr>
          <w:sz w:val="24"/>
          <w:szCs w:val="24"/>
          <w:lang w:val="en-CA"/>
        </w:rPr>
        <w:t xml:space="preserve"> Black </w:t>
      </w:r>
      <w:r w:rsidR="00A1433A">
        <w:rPr>
          <w:sz w:val="24"/>
          <w:szCs w:val="24"/>
          <w:lang w:val="en-CA"/>
        </w:rPr>
        <w:t xml:space="preserve">and racialized </w:t>
      </w:r>
      <w:r>
        <w:rPr>
          <w:sz w:val="24"/>
          <w:szCs w:val="24"/>
          <w:lang w:val="en-CA"/>
        </w:rPr>
        <w:t>prisoners housed in federal correctional facilities. These reports include important quantitative and qualitative data on use of force incidents involving members of these prison sub-populations. The CHRC encourages the Working Group to review the findings of these investigations</w:t>
      </w:r>
      <w:r w:rsidR="00A1433A">
        <w:rPr>
          <w:sz w:val="24"/>
          <w:szCs w:val="24"/>
          <w:lang w:val="en-CA"/>
        </w:rPr>
        <w:t>, which have been cited above on page 5 of this submission.</w:t>
      </w:r>
    </w:p>
    <w:p w14:paraId="68B6F834" w14:textId="23CBA438" w:rsidR="00585F9C" w:rsidRPr="00ED726A" w:rsidRDefault="009321D6" w:rsidP="00ED726A">
      <w:pPr>
        <w:pStyle w:val="Heading4"/>
        <w:rPr>
          <w:i w:val="0"/>
          <w:iCs w:val="0"/>
          <w:lang w:val="en-CA"/>
        </w:rPr>
      </w:pPr>
      <w:r w:rsidRPr="00ED726A">
        <w:rPr>
          <w:i w:val="0"/>
          <w:iCs w:val="0"/>
          <w:lang w:val="en-CA"/>
        </w:rPr>
        <w:t>O</w:t>
      </w:r>
      <w:r w:rsidR="00E52725">
        <w:rPr>
          <w:i w:val="0"/>
          <w:iCs w:val="0"/>
          <w:lang w:val="en-CA"/>
        </w:rPr>
        <w:t>ptional Protocol to the Convention Against Torture (O</w:t>
      </w:r>
      <w:r w:rsidRPr="00ED726A">
        <w:rPr>
          <w:i w:val="0"/>
          <w:iCs w:val="0"/>
          <w:lang w:val="en-CA"/>
        </w:rPr>
        <w:t>PCAT</w:t>
      </w:r>
      <w:r w:rsidR="00E52725">
        <w:rPr>
          <w:i w:val="0"/>
          <w:iCs w:val="0"/>
          <w:lang w:val="en-CA"/>
        </w:rPr>
        <w:t>)</w:t>
      </w:r>
      <w:r w:rsidRPr="00ED726A">
        <w:rPr>
          <w:i w:val="0"/>
          <w:iCs w:val="0"/>
          <w:lang w:val="en-CA"/>
        </w:rPr>
        <w:t xml:space="preserve"> advocacy</w:t>
      </w:r>
    </w:p>
    <w:p w14:paraId="4BF60FC7" w14:textId="3D57BC59" w:rsidR="00711551" w:rsidRDefault="00711551" w:rsidP="00711551">
      <w:r w:rsidRPr="00A1433A">
        <w:rPr>
          <w:sz w:val="24"/>
          <w:szCs w:val="24"/>
        </w:rPr>
        <w:t>The CHRC</w:t>
      </w:r>
      <w:r w:rsidR="00A1433A">
        <w:rPr>
          <w:sz w:val="24"/>
          <w:szCs w:val="24"/>
        </w:rPr>
        <w:t xml:space="preserve">’s position is </w:t>
      </w:r>
      <w:r w:rsidRPr="00A1433A">
        <w:rPr>
          <w:sz w:val="24"/>
          <w:szCs w:val="24"/>
        </w:rPr>
        <w:t>that having transparent and independent oversight and accountability mechanisms in all places of detention lessens the risk of abuse and ill-treatment, reduces corruption, and restores dignity and human rights for those in the most vulnerable circumstances. However, many places of deprivation of liberty in Canada – or aspects of detention in those places – are not subject to such ongoing independent oversight. The CHRC believes that the ratification of the OPCAT and the subsequent designation of an appropriate</w:t>
      </w:r>
      <w:r>
        <w:t xml:space="preserve"> </w:t>
      </w:r>
      <w:r w:rsidRPr="00A1433A">
        <w:rPr>
          <w:sz w:val="24"/>
          <w:szCs w:val="24"/>
        </w:rPr>
        <w:t xml:space="preserve">National Preventive Mechanism (NPM) is an important and necessary step that Canada needs to take. </w:t>
      </w:r>
    </w:p>
    <w:p w14:paraId="39C827C0" w14:textId="3E0300A3" w:rsidR="00711551" w:rsidRPr="00A1433A" w:rsidRDefault="00711551" w:rsidP="00711551">
      <w:pPr>
        <w:spacing w:line="240" w:lineRule="auto"/>
        <w:contextualSpacing/>
        <w:rPr>
          <w:sz w:val="24"/>
          <w:szCs w:val="24"/>
        </w:rPr>
      </w:pPr>
      <w:bookmarkStart w:id="10" w:name="_Hlk166485122"/>
      <w:r w:rsidRPr="00A1433A">
        <w:rPr>
          <w:sz w:val="24"/>
          <w:szCs w:val="24"/>
        </w:rPr>
        <w:t>In May 2016, Canada announced its intention to ratify the OPCAT</w:t>
      </w:r>
      <w:r w:rsidR="00301E13">
        <w:rPr>
          <w:i/>
          <w:sz w:val="24"/>
          <w:szCs w:val="24"/>
        </w:rPr>
        <w:t xml:space="preserve">. </w:t>
      </w:r>
      <w:r w:rsidR="00301E13">
        <w:rPr>
          <w:iCs/>
          <w:sz w:val="24"/>
          <w:szCs w:val="24"/>
        </w:rPr>
        <w:t>Since then, there have been</w:t>
      </w:r>
      <w:r w:rsidR="00380A96">
        <w:rPr>
          <w:iCs/>
          <w:sz w:val="24"/>
          <w:szCs w:val="24"/>
        </w:rPr>
        <w:t xml:space="preserve"> </w:t>
      </w:r>
      <w:r w:rsidRPr="00A1433A">
        <w:rPr>
          <w:sz w:val="24"/>
          <w:szCs w:val="24"/>
        </w:rPr>
        <w:t xml:space="preserve">numerous calls for Canada to ratify the OPCAT </w:t>
      </w:r>
      <w:r w:rsidR="00301E13">
        <w:rPr>
          <w:sz w:val="24"/>
          <w:szCs w:val="24"/>
        </w:rPr>
        <w:t xml:space="preserve">including most recently by the CHRC </w:t>
      </w:r>
      <w:r w:rsidR="00E75345">
        <w:rPr>
          <w:sz w:val="24"/>
          <w:szCs w:val="24"/>
        </w:rPr>
        <w:t>during</w:t>
      </w:r>
      <w:r w:rsidR="00301E13">
        <w:rPr>
          <w:sz w:val="24"/>
          <w:szCs w:val="24"/>
        </w:rPr>
        <w:t xml:space="preserve"> Canada’s Fourth Universal Periodic Review.</w:t>
      </w:r>
      <w:r w:rsidR="00E75345">
        <w:rPr>
          <w:rStyle w:val="FootnoteReference"/>
          <w:sz w:val="24"/>
          <w:szCs w:val="24"/>
        </w:rPr>
        <w:footnoteReference w:id="22"/>
      </w:r>
      <w:r w:rsidR="00301E13">
        <w:rPr>
          <w:sz w:val="24"/>
          <w:szCs w:val="24"/>
        </w:rPr>
        <w:t xml:space="preserve"> </w:t>
      </w:r>
    </w:p>
    <w:bookmarkEnd w:id="10"/>
    <w:p w14:paraId="1F79C6D5" w14:textId="100ACC1D" w:rsidR="00C33DE6" w:rsidRPr="00A1433A" w:rsidRDefault="00A1433A" w:rsidP="00A1433A">
      <w:pPr>
        <w:pStyle w:val="Heading4"/>
        <w:rPr>
          <w:i w:val="0"/>
          <w:iCs w:val="0"/>
          <w:lang w:val="en-CA"/>
        </w:rPr>
      </w:pPr>
      <w:r>
        <w:rPr>
          <w:i w:val="0"/>
          <w:iCs w:val="0"/>
          <w:lang w:val="en-CA"/>
        </w:rPr>
        <w:t xml:space="preserve">Ontario Human Rights Commission’s ‘Framework </w:t>
      </w:r>
      <w:r w:rsidRPr="00A1433A">
        <w:rPr>
          <w:i w:val="0"/>
          <w:iCs w:val="0"/>
          <w:lang w:val="en-CA"/>
        </w:rPr>
        <w:t>for change to address systemic racism in policing</w:t>
      </w:r>
      <w:r>
        <w:rPr>
          <w:i w:val="0"/>
          <w:iCs w:val="0"/>
          <w:lang w:val="en-CA"/>
        </w:rPr>
        <w:t>’</w:t>
      </w:r>
    </w:p>
    <w:p w14:paraId="6178E35F" w14:textId="3D05524F" w:rsidR="001936F9" w:rsidRPr="00387F94" w:rsidRDefault="0053306F" w:rsidP="00387F94">
      <w:pPr>
        <w:rPr>
          <w:sz w:val="28"/>
          <w:szCs w:val="28"/>
          <w:lang w:val="en-CA"/>
        </w:rPr>
      </w:pPr>
      <w:r>
        <w:rPr>
          <w:color w:val="000000"/>
          <w:sz w:val="24"/>
          <w:szCs w:val="24"/>
        </w:rPr>
        <w:t>In a July 2021 publication, the Ontario Human Rights Commission (OHRC) called on the Ontario government “</w:t>
      </w:r>
      <w:r w:rsidRPr="00E52725">
        <w:rPr>
          <w:color w:val="000000"/>
          <w:sz w:val="24"/>
          <w:szCs w:val="24"/>
        </w:rPr>
        <w:t>to establish a legislative and regulatory framework to directly address systemic racial discrimination in policing across the province.”</w:t>
      </w:r>
      <w:r w:rsidR="00C33DE6" w:rsidRPr="00E52725">
        <w:rPr>
          <w:rStyle w:val="FootnoteReference"/>
          <w:color w:val="000000"/>
          <w:sz w:val="24"/>
          <w:szCs w:val="24"/>
        </w:rPr>
        <w:footnoteReference w:id="23"/>
      </w:r>
      <w:r w:rsidR="00C33DE6">
        <w:rPr>
          <w:color w:val="000000"/>
          <w:sz w:val="24"/>
          <w:szCs w:val="24"/>
        </w:rPr>
        <w:t xml:space="preserve"> </w:t>
      </w:r>
      <w:r>
        <w:rPr>
          <w:color w:val="000000"/>
          <w:sz w:val="24"/>
          <w:szCs w:val="24"/>
        </w:rPr>
        <w:t xml:space="preserve">To support this work, the OHRC developed </w:t>
      </w:r>
      <w:r w:rsidR="00387F94">
        <w:rPr>
          <w:color w:val="000000"/>
          <w:sz w:val="24"/>
          <w:szCs w:val="24"/>
        </w:rPr>
        <w:t xml:space="preserve">the </w:t>
      </w:r>
      <w:r w:rsidR="00A1433A">
        <w:rPr>
          <w:color w:val="000000"/>
          <w:sz w:val="24"/>
          <w:szCs w:val="24"/>
        </w:rPr>
        <w:t>‘</w:t>
      </w:r>
      <w:r w:rsidR="00387F94">
        <w:rPr>
          <w:color w:val="000000"/>
          <w:sz w:val="24"/>
          <w:szCs w:val="24"/>
        </w:rPr>
        <w:t>F</w:t>
      </w:r>
      <w:r>
        <w:rPr>
          <w:color w:val="000000"/>
          <w:sz w:val="24"/>
          <w:szCs w:val="24"/>
        </w:rPr>
        <w:t xml:space="preserve">ramework </w:t>
      </w:r>
      <w:r w:rsidR="00387F94" w:rsidRPr="00387F94">
        <w:rPr>
          <w:color w:val="000000"/>
          <w:sz w:val="24"/>
          <w:szCs w:val="24"/>
        </w:rPr>
        <w:t>for change to address systemic racism in policing</w:t>
      </w:r>
      <w:r w:rsidR="00A1433A">
        <w:rPr>
          <w:color w:val="000000"/>
          <w:sz w:val="24"/>
          <w:szCs w:val="24"/>
        </w:rPr>
        <w:t>’</w:t>
      </w:r>
      <w:r w:rsidR="00387F94" w:rsidRPr="00387F94">
        <w:rPr>
          <w:color w:val="000000"/>
          <w:sz w:val="24"/>
          <w:szCs w:val="24"/>
        </w:rPr>
        <w:t xml:space="preserve"> </w:t>
      </w:r>
      <w:r>
        <w:rPr>
          <w:color w:val="000000"/>
          <w:sz w:val="24"/>
          <w:szCs w:val="24"/>
        </w:rPr>
        <w:t>comprised of ten (10) steps to address systemic racism, a number of which are related to preventing, tracking and dealing with incidents of police use of force. The CHRC encourages the Working Group to consult this valuable resource.</w:t>
      </w:r>
    </w:p>
    <w:p w14:paraId="4EDDBD44" w14:textId="1C002197" w:rsidR="0046070C" w:rsidRPr="00D8717C" w:rsidRDefault="00BD4293" w:rsidP="0046070C">
      <w:pPr>
        <w:rPr>
          <w:sz w:val="24"/>
          <w:szCs w:val="24"/>
          <w:lang w:val="en-CA"/>
        </w:rPr>
      </w:pPr>
      <w:r w:rsidRPr="00D8717C">
        <w:rPr>
          <w:sz w:val="24"/>
          <w:szCs w:val="24"/>
        </w:rPr>
        <w:t xml:space="preserve"> </w:t>
      </w:r>
    </w:p>
    <w:sectPr w:rsidR="0046070C" w:rsidRPr="00D8717C" w:rsidSect="00CE351F">
      <w:footerReference w:type="default" r:id="rId8"/>
      <w:headerReference w:type="firs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7BAEA" w14:textId="77777777" w:rsidR="0062633F" w:rsidRDefault="0062633F" w:rsidP="00A74635">
      <w:r>
        <w:separator/>
      </w:r>
    </w:p>
    <w:p w14:paraId="6FEFDA5D" w14:textId="77777777" w:rsidR="009E658F" w:rsidRDefault="009E658F"/>
  </w:endnote>
  <w:endnote w:type="continuationSeparator" w:id="0">
    <w:p w14:paraId="346F14BD" w14:textId="77777777" w:rsidR="0062633F" w:rsidRDefault="0062633F" w:rsidP="00A74635">
      <w:r>
        <w:continuationSeparator/>
      </w:r>
    </w:p>
    <w:p w14:paraId="00C8DEAA" w14:textId="77777777" w:rsidR="009E658F" w:rsidRDefault="009E6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442754375"/>
      <w:docPartObj>
        <w:docPartGallery w:val="Page Numbers (Bottom of Page)"/>
        <w:docPartUnique/>
      </w:docPartObj>
    </w:sdtPr>
    <w:sdtEndPr/>
    <w:sdtContent>
      <w:p w14:paraId="1516BC8A" w14:textId="0A4EB58A" w:rsidR="00C35475" w:rsidRPr="002D1806" w:rsidRDefault="00C35475">
        <w:pPr>
          <w:pStyle w:val="Footer"/>
          <w:jc w:val="right"/>
          <w:rPr>
            <w:rFonts w:ascii="Arial" w:hAnsi="Arial" w:cs="Arial"/>
            <w:sz w:val="24"/>
            <w:szCs w:val="24"/>
          </w:rPr>
        </w:pPr>
        <w:r w:rsidRPr="002D1806">
          <w:rPr>
            <w:rFonts w:ascii="Arial" w:hAnsi="Arial" w:cs="Arial"/>
            <w:sz w:val="24"/>
            <w:szCs w:val="24"/>
          </w:rPr>
          <w:fldChar w:fldCharType="begin"/>
        </w:r>
        <w:r w:rsidRPr="002D1806">
          <w:rPr>
            <w:rFonts w:ascii="Arial" w:hAnsi="Arial" w:cs="Arial"/>
            <w:sz w:val="24"/>
            <w:szCs w:val="24"/>
          </w:rPr>
          <w:instrText>PAGE   \* MERGEFORMAT</w:instrText>
        </w:r>
        <w:r w:rsidRPr="002D1806">
          <w:rPr>
            <w:rFonts w:ascii="Arial" w:hAnsi="Arial" w:cs="Arial"/>
            <w:sz w:val="24"/>
            <w:szCs w:val="24"/>
          </w:rPr>
          <w:fldChar w:fldCharType="separate"/>
        </w:r>
        <w:r w:rsidR="009C630B" w:rsidRPr="009C630B">
          <w:rPr>
            <w:rFonts w:ascii="Arial" w:hAnsi="Arial" w:cs="Arial"/>
            <w:noProof/>
            <w:sz w:val="24"/>
            <w:szCs w:val="24"/>
            <w:lang w:val="fr-FR"/>
          </w:rPr>
          <w:t>5</w:t>
        </w:r>
        <w:r w:rsidRPr="002D1806">
          <w:rPr>
            <w:rFonts w:ascii="Arial" w:hAnsi="Arial" w:cs="Arial"/>
            <w:sz w:val="24"/>
            <w:szCs w:val="24"/>
          </w:rPr>
          <w:fldChar w:fldCharType="end"/>
        </w:r>
      </w:p>
    </w:sdtContent>
  </w:sdt>
  <w:p w14:paraId="3E26E26F" w14:textId="77777777" w:rsidR="00C35475" w:rsidRDefault="00C35475">
    <w:pPr>
      <w:pStyle w:val="Footer"/>
    </w:pPr>
  </w:p>
  <w:p w14:paraId="6D25E710" w14:textId="77777777" w:rsidR="009E658F" w:rsidRDefault="009E65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06681" w14:textId="77777777" w:rsidR="0062633F" w:rsidRDefault="0062633F" w:rsidP="00A74635">
      <w:r>
        <w:separator/>
      </w:r>
    </w:p>
    <w:p w14:paraId="37FF0B5B" w14:textId="77777777" w:rsidR="009E658F" w:rsidRDefault="009E658F"/>
  </w:footnote>
  <w:footnote w:type="continuationSeparator" w:id="0">
    <w:p w14:paraId="5567B731" w14:textId="77777777" w:rsidR="0062633F" w:rsidRDefault="0062633F" w:rsidP="00A74635">
      <w:r>
        <w:continuationSeparator/>
      </w:r>
    </w:p>
    <w:p w14:paraId="65753165" w14:textId="77777777" w:rsidR="009E658F" w:rsidRDefault="009E658F"/>
  </w:footnote>
  <w:footnote w:id="1">
    <w:p w14:paraId="378B2FB7" w14:textId="7D4DE749" w:rsidR="00D028EA" w:rsidRPr="005370B1" w:rsidRDefault="00D028EA" w:rsidP="00D028EA">
      <w:pPr>
        <w:pStyle w:val="FootnoteText"/>
        <w:rPr>
          <w:rFonts w:asciiTheme="minorHAnsi" w:hAnsiTheme="minorHAnsi" w:cstheme="minorHAnsi"/>
        </w:rPr>
      </w:pPr>
      <w:r w:rsidRPr="005370B1">
        <w:rPr>
          <w:rStyle w:val="FootnoteReference"/>
          <w:rFonts w:asciiTheme="minorHAnsi" w:hAnsiTheme="minorHAnsi" w:cstheme="minorHAnsi"/>
        </w:rPr>
        <w:footnoteRef/>
      </w:r>
      <w:r w:rsidRPr="005370B1">
        <w:rPr>
          <w:rFonts w:asciiTheme="minorHAnsi" w:hAnsiTheme="minorHAnsi" w:cstheme="minorHAnsi"/>
        </w:rPr>
        <w:t xml:space="preserve"> CHRC Submission to the working group of experts on people of African descent in Advance of the Working Group’s Annual Report to the UN General Assembly (June2021), available at</w:t>
      </w:r>
      <w:r w:rsidR="004E669A">
        <w:rPr>
          <w:rFonts w:asciiTheme="minorHAnsi" w:hAnsiTheme="minorHAnsi" w:cstheme="minorHAnsi"/>
        </w:rPr>
        <w:t>:</w:t>
      </w:r>
      <w:r w:rsidRPr="005370B1">
        <w:rPr>
          <w:rFonts w:asciiTheme="minorHAnsi" w:hAnsiTheme="minorHAnsi" w:cstheme="minorHAnsi"/>
        </w:rPr>
        <w:t xml:space="preserve"> </w:t>
      </w:r>
      <w:hyperlink r:id="rId1" w:history="1">
        <w:r w:rsidRPr="005370B1">
          <w:rPr>
            <w:rStyle w:val="Hyperlink"/>
            <w:rFonts w:asciiTheme="minorHAnsi" w:hAnsiTheme="minorHAnsi" w:cstheme="minorHAnsi"/>
          </w:rPr>
          <w:t>https://www.chrc-ccdp.gc.ca/en/resources/publications/submission-the-working-group-experts-people-african-descent</w:t>
        </w:r>
      </w:hyperlink>
      <w:r w:rsidRPr="005370B1">
        <w:rPr>
          <w:rFonts w:asciiTheme="minorHAnsi" w:hAnsiTheme="minorHAnsi" w:cstheme="minorHAnsi"/>
        </w:rPr>
        <w:t xml:space="preserve"> </w:t>
      </w:r>
    </w:p>
  </w:footnote>
  <w:footnote w:id="2">
    <w:p w14:paraId="2D31BD7E" w14:textId="3AF7C1BA" w:rsidR="00AF5168" w:rsidRPr="00AF5168" w:rsidRDefault="00AF5168">
      <w:pPr>
        <w:pStyle w:val="FootnoteText"/>
      </w:pPr>
      <w:r>
        <w:rPr>
          <w:rStyle w:val="FootnoteReference"/>
        </w:rPr>
        <w:footnoteRef/>
      </w:r>
      <w:r>
        <w:t xml:space="preserve"> </w:t>
      </w:r>
      <w:r w:rsidRPr="00AF5168">
        <w:rPr>
          <w:rFonts w:asciiTheme="minorHAnsi" w:hAnsiTheme="minorHAnsi" w:cstheme="minorHAnsi"/>
        </w:rPr>
        <w:t>Beg, Samreen and Lorne Sossin. "Diversity, Transparency &amp; Inclusion in Canada’s Judiciary." In Debating Judicial Appointments in an Age of Diversity, eds. Graham Gee and Erika Rackley (London: Routledge 2017)</w:t>
      </w:r>
      <w:r>
        <w:rPr>
          <w:rFonts w:asciiTheme="minorHAnsi" w:hAnsiTheme="minorHAnsi" w:cstheme="minorHAnsi"/>
        </w:rPr>
        <w:t xml:space="preserve">, available at: </w:t>
      </w:r>
      <w:hyperlink r:id="rId2" w:history="1">
        <w:r w:rsidRPr="00F50A61">
          <w:rPr>
            <w:rStyle w:val="Hyperlink"/>
            <w:rFonts w:asciiTheme="minorHAnsi" w:hAnsiTheme="minorHAnsi" w:cstheme="minorHAnsi"/>
          </w:rPr>
          <w:t>https://digitalcommons.osgoode.yorku.ca/cgi/viewcontent.cgi?referer=&amp;httpsredir=1&amp;article=3595&amp;context=scholarly_works</w:t>
        </w:r>
      </w:hyperlink>
      <w:r>
        <w:rPr>
          <w:rFonts w:asciiTheme="minorHAnsi" w:hAnsiTheme="minorHAnsi" w:cstheme="minorHAnsi"/>
        </w:rPr>
        <w:t xml:space="preserve"> </w:t>
      </w:r>
    </w:p>
  </w:footnote>
  <w:footnote w:id="3">
    <w:p w14:paraId="40C429B2" w14:textId="39149D93" w:rsidR="00377EA6" w:rsidRPr="00652362" w:rsidRDefault="00377EA6" w:rsidP="00652362">
      <w:pPr>
        <w:pStyle w:val="FootnoteText"/>
        <w:rPr>
          <w:rFonts w:asciiTheme="minorHAnsi" w:hAnsiTheme="minorHAnsi" w:cstheme="minorHAnsi"/>
        </w:rPr>
      </w:pPr>
      <w:r w:rsidRPr="00CE56C8">
        <w:rPr>
          <w:rStyle w:val="FootnoteReference"/>
          <w:rFonts w:asciiTheme="minorHAnsi" w:hAnsiTheme="minorHAnsi" w:cstheme="minorHAnsi"/>
        </w:rPr>
        <w:footnoteRef/>
      </w:r>
      <w:r w:rsidRPr="00CE56C8">
        <w:rPr>
          <w:rFonts w:asciiTheme="minorHAnsi" w:hAnsiTheme="minorHAnsi" w:cstheme="minorHAnsi"/>
        </w:rPr>
        <w:t xml:space="preserve"> </w:t>
      </w:r>
      <w:r w:rsidR="00CE56C8" w:rsidRPr="00CE56C8">
        <w:rPr>
          <w:rFonts w:asciiTheme="minorHAnsi" w:hAnsiTheme="minorHAnsi" w:cstheme="minorHAnsi"/>
        </w:rPr>
        <w:t>Morris J. Wosk Centre for Dialogue, Simon Fraser University</w:t>
      </w:r>
      <w:r w:rsidR="00CE56C8">
        <w:rPr>
          <w:rFonts w:asciiTheme="minorHAnsi" w:hAnsiTheme="minorHAnsi" w:cstheme="minorHAnsi"/>
        </w:rPr>
        <w:t>,</w:t>
      </w:r>
      <w:r w:rsidR="00CE56C8">
        <w:t xml:space="preserve"> ‘</w:t>
      </w:r>
      <w:r w:rsidR="00CE56C8" w:rsidRPr="00CE56C8">
        <w:rPr>
          <w:rFonts w:asciiTheme="minorHAnsi" w:hAnsiTheme="minorHAnsi" w:cstheme="minorHAnsi"/>
        </w:rPr>
        <w:t>Experiences of Indigenous families in the family justice system: A literature review and perspectives from legal and frontline family justice professionals</w:t>
      </w:r>
      <w:r w:rsidR="00CE56C8">
        <w:rPr>
          <w:rFonts w:asciiTheme="minorHAnsi" w:hAnsiTheme="minorHAnsi" w:cstheme="minorHAnsi"/>
        </w:rPr>
        <w:t>’ published by Justice Canada (May 2023), see Section 3.2</w:t>
      </w:r>
      <w:r w:rsidR="00652362">
        <w:rPr>
          <w:rFonts w:asciiTheme="minorHAnsi" w:hAnsiTheme="minorHAnsi" w:cstheme="minorHAnsi"/>
        </w:rPr>
        <w:t>.1 Racism and Cultural Safety</w:t>
      </w:r>
      <w:r w:rsidR="00CE56C8">
        <w:rPr>
          <w:rFonts w:asciiTheme="minorHAnsi" w:hAnsiTheme="minorHAnsi" w:cstheme="minorHAnsi"/>
        </w:rPr>
        <w:t xml:space="preserve">, available at: </w:t>
      </w:r>
      <w:hyperlink r:id="rId3" w:anchor="s2_1" w:history="1">
        <w:r w:rsidR="00652362" w:rsidRPr="00F50A61">
          <w:rPr>
            <w:rStyle w:val="Hyperlink"/>
            <w:rFonts w:asciiTheme="minorHAnsi" w:hAnsiTheme="minorHAnsi" w:cstheme="minorHAnsi"/>
          </w:rPr>
          <w:t>https://www.justice.gc.ca/eng/rp-pr/jr/eiffjs-efasjf/p4.html#s2_1</w:t>
        </w:r>
      </w:hyperlink>
      <w:r w:rsidR="00652362">
        <w:rPr>
          <w:rFonts w:asciiTheme="minorHAnsi" w:hAnsiTheme="minorHAnsi" w:cstheme="minorHAnsi"/>
        </w:rPr>
        <w:t xml:space="preserve"> See also: Canadian Centre for Diversity and Inclusion, ‘</w:t>
      </w:r>
      <w:r w:rsidR="00652362" w:rsidRPr="00652362">
        <w:rPr>
          <w:rFonts w:asciiTheme="minorHAnsi" w:hAnsiTheme="minorHAnsi" w:cstheme="minorHAnsi"/>
        </w:rPr>
        <w:t>Power, privilege and</w:t>
      </w:r>
      <w:r w:rsidR="00652362">
        <w:rPr>
          <w:rFonts w:asciiTheme="minorHAnsi" w:hAnsiTheme="minorHAnsi" w:cstheme="minorHAnsi"/>
        </w:rPr>
        <w:t xml:space="preserve"> </w:t>
      </w:r>
      <w:r w:rsidR="00652362" w:rsidRPr="00652362">
        <w:rPr>
          <w:rFonts w:asciiTheme="minorHAnsi" w:hAnsiTheme="minorHAnsi" w:cstheme="minorHAnsi"/>
        </w:rPr>
        <w:t>inequities in the legal</w:t>
      </w:r>
      <w:r w:rsidR="00652362">
        <w:rPr>
          <w:rFonts w:asciiTheme="minorHAnsi" w:hAnsiTheme="minorHAnsi" w:cstheme="minorHAnsi"/>
        </w:rPr>
        <w:t xml:space="preserve"> </w:t>
      </w:r>
      <w:r w:rsidR="00652362" w:rsidRPr="00652362">
        <w:rPr>
          <w:rFonts w:asciiTheme="minorHAnsi" w:hAnsiTheme="minorHAnsi" w:cstheme="minorHAnsi"/>
        </w:rPr>
        <w:t>profession</w:t>
      </w:r>
      <w:r w:rsidR="00652362">
        <w:rPr>
          <w:rFonts w:asciiTheme="minorHAnsi" w:hAnsiTheme="minorHAnsi" w:cstheme="minorHAnsi"/>
        </w:rPr>
        <w:t xml:space="preserve">,’ (January 2018), available at: </w:t>
      </w:r>
      <w:hyperlink r:id="rId4" w:history="1">
        <w:r w:rsidR="00652362" w:rsidRPr="00F50A61">
          <w:rPr>
            <w:rStyle w:val="Hyperlink"/>
            <w:rFonts w:asciiTheme="minorHAnsi" w:hAnsiTheme="minorHAnsi" w:cstheme="minorHAnsi"/>
          </w:rPr>
          <w:t>https://ccdi.ca/media/2020/20180125-report-power-privilege-and-inequities-in-the-legal-profession.pdf</w:t>
        </w:r>
      </w:hyperlink>
      <w:r w:rsidR="00652362">
        <w:rPr>
          <w:rFonts w:asciiTheme="minorHAnsi" w:hAnsiTheme="minorHAnsi" w:cstheme="minorHAnsi"/>
        </w:rPr>
        <w:t xml:space="preserve"> </w:t>
      </w:r>
    </w:p>
  </w:footnote>
  <w:footnote w:id="4">
    <w:p w14:paraId="6E71A158" w14:textId="0064BFDF" w:rsidR="00AF5168" w:rsidRPr="00AF5168" w:rsidRDefault="00AF5168" w:rsidP="00AA1374">
      <w:pPr>
        <w:pStyle w:val="FootnoteText"/>
      </w:pPr>
      <w:r>
        <w:rPr>
          <w:rStyle w:val="FootnoteReference"/>
        </w:rPr>
        <w:footnoteRef/>
      </w:r>
      <w:r w:rsidRPr="00AF5168">
        <w:t xml:space="preserve"> </w:t>
      </w:r>
      <w:r w:rsidR="00AA1374" w:rsidRPr="00AA1374">
        <w:rPr>
          <w:rFonts w:asciiTheme="minorHAnsi" w:hAnsiTheme="minorHAnsi" w:cstheme="minorHAnsi"/>
        </w:rPr>
        <w:t xml:space="preserve">Afilalo, Nathan, Jury Representation in Canada – Systemic Barriers and Biases in the “Conscience of the Community”, Report of the Canadian Institute for the Administration of Justice (July 2018), </w:t>
      </w:r>
      <w:r w:rsidRPr="00AA1374">
        <w:rPr>
          <w:rFonts w:asciiTheme="minorHAnsi" w:hAnsiTheme="minorHAnsi" w:cstheme="minorHAnsi"/>
        </w:rPr>
        <w:t xml:space="preserve">available </w:t>
      </w:r>
      <w:r w:rsidRPr="00AA1374">
        <w:rPr>
          <w:rFonts w:asciiTheme="minorHAnsi" w:hAnsiTheme="minorHAnsi" w:cstheme="minorHAnsi"/>
          <w:lang w:val="en-CA"/>
        </w:rPr>
        <w:t xml:space="preserve">at: </w:t>
      </w:r>
      <w:hyperlink r:id="rId5" w:history="1">
        <w:r w:rsidR="00576226" w:rsidRPr="00F50A61">
          <w:rPr>
            <w:rStyle w:val="Hyperlink"/>
            <w:rFonts w:asciiTheme="minorHAnsi" w:hAnsiTheme="minorHAnsi" w:cstheme="minorHAnsi"/>
          </w:rPr>
          <w:t>https://ciaj-icaj.ca/wp-content/uploads/page/2019/02/r83_preliminary-report_jury-representation-in-canada.pdf</w:t>
        </w:r>
      </w:hyperlink>
      <w:r w:rsidR="00576226">
        <w:rPr>
          <w:rFonts w:asciiTheme="minorHAnsi" w:hAnsiTheme="minorHAnsi" w:cstheme="minorHAnsi"/>
        </w:rPr>
        <w:t xml:space="preserve"> </w:t>
      </w:r>
    </w:p>
  </w:footnote>
  <w:footnote w:id="5">
    <w:p w14:paraId="42D98563" w14:textId="30AED7FA" w:rsidR="00E86F15" w:rsidRPr="00E86F15" w:rsidRDefault="00E86F15">
      <w:pPr>
        <w:pStyle w:val="FootnoteText"/>
        <w:rPr>
          <w:lang w:val="en-CA"/>
        </w:rPr>
      </w:pPr>
      <w:r w:rsidRPr="005370B1">
        <w:rPr>
          <w:rStyle w:val="FootnoteReference"/>
          <w:rFonts w:asciiTheme="minorHAnsi" w:hAnsiTheme="minorHAnsi" w:cstheme="minorHAnsi"/>
        </w:rPr>
        <w:footnoteRef/>
      </w:r>
      <w:r w:rsidRPr="005370B1">
        <w:rPr>
          <w:rFonts w:asciiTheme="minorHAnsi" w:hAnsiTheme="minorHAnsi" w:cstheme="minorHAnsi"/>
        </w:rPr>
        <w:t xml:space="preserve"> Statistics Canada, ‘Police resources in Canada, 2023’ available at</w:t>
      </w:r>
      <w:r w:rsidR="004E669A">
        <w:rPr>
          <w:rFonts w:asciiTheme="minorHAnsi" w:hAnsiTheme="minorHAnsi" w:cstheme="minorHAnsi"/>
        </w:rPr>
        <w:t>:</w:t>
      </w:r>
      <w:r w:rsidRPr="005370B1">
        <w:rPr>
          <w:rFonts w:asciiTheme="minorHAnsi" w:hAnsiTheme="minorHAnsi" w:cstheme="minorHAnsi"/>
        </w:rPr>
        <w:t xml:space="preserve"> </w:t>
      </w:r>
      <w:hyperlink r:id="rId6" w:history="1">
        <w:r w:rsidRPr="005370B1">
          <w:rPr>
            <w:rStyle w:val="Hyperlink"/>
            <w:rFonts w:asciiTheme="minorHAnsi" w:hAnsiTheme="minorHAnsi" w:cstheme="minorHAnsi"/>
          </w:rPr>
          <w:t>https://www150.statcan.gc.ca/n1/daily-quotidien/240326/dq240326a-eng.htm</w:t>
        </w:r>
      </w:hyperlink>
      <w:r>
        <w:t xml:space="preserve"> </w:t>
      </w:r>
    </w:p>
  </w:footnote>
  <w:footnote w:id="6">
    <w:p w14:paraId="70D534A6" w14:textId="70CE280F" w:rsidR="00C437E1" w:rsidRPr="005370B1" w:rsidRDefault="00C437E1" w:rsidP="00C437E1">
      <w:pPr>
        <w:pStyle w:val="FootnoteText"/>
        <w:rPr>
          <w:rFonts w:asciiTheme="minorHAnsi" w:hAnsiTheme="minorHAnsi" w:cstheme="minorHAnsi"/>
          <w:szCs w:val="20"/>
        </w:rPr>
      </w:pPr>
      <w:r w:rsidRPr="005370B1">
        <w:rPr>
          <w:rStyle w:val="FootnoteReference"/>
          <w:rFonts w:asciiTheme="minorHAnsi" w:hAnsiTheme="minorHAnsi" w:cstheme="minorHAnsi"/>
          <w:szCs w:val="20"/>
        </w:rPr>
        <w:footnoteRef/>
      </w:r>
      <w:r w:rsidRPr="005370B1">
        <w:rPr>
          <w:rFonts w:asciiTheme="minorHAnsi" w:hAnsiTheme="minorHAnsi" w:cstheme="minorHAnsi"/>
          <w:szCs w:val="20"/>
        </w:rPr>
        <w:t xml:space="preserve"> </w:t>
      </w:r>
      <w:r w:rsidRPr="005370B1">
        <w:rPr>
          <w:rFonts w:asciiTheme="minorHAnsi" w:hAnsiTheme="minorHAnsi" w:cstheme="minorHAnsi"/>
          <w:szCs w:val="20"/>
          <w:lang w:val="en-CA"/>
        </w:rPr>
        <w:t xml:space="preserve">UNGA, </w:t>
      </w:r>
      <w:r w:rsidR="005370B1" w:rsidRPr="005370B1">
        <w:rPr>
          <w:rFonts w:asciiTheme="minorHAnsi" w:hAnsiTheme="minorHAnsi" w:cstheme="minorHAnsi"/>
          <w:szCs w:val="20"/>
          <w:lang w:val="en-CA"/>
        </w:rPr>
        <w:t>‘</w:t>
      </w:r>
      <w:r w:rsidRPr="005370B1">
        <w:rPr>
          <w:rFonts w:asciiTheme="minorHAnsi" w:hAnsiTheme="minorHAnsi" w:cstheme="minorHAnsi"/>
          <w:iCs/>
          <w:szCs w:val="20"/>
          <w:lang w:val="en-CA"/>
        </w:rPr>
        <w:t>Report of the Working Group of Experts on People of African Descent on its mission to Canada</w:t>
      </w:r>
      <w:r w:rsidR="005370B1" w:rsidRPr="005370B1">
        <w:rPr>
          <w:rFonts w:asciiTheme="minorHAnsi" w:hAnsiTheme="minorHAnsi" w:cstheme="minorHAnsi"/>
          <w:iCs/>
          <w:szCs w:val="20"/>
          <w:lang w:val="en-CA"/>
        </w:rPr>
        <w:t>’</w:t>
      </w:r>
      <w:r w:rsidRPr="005370B1">
        <w:rPr>
          <w:rFonts w:asciiTheme="minorHAnsi" w:hAnsiTheme="minorHAnsi" w:cstheme="minorHAnsi"/>
          <w:szCs w:val="20"/>
          <w:lang w:val="en-CA"/>
        </w:rPr>
        <w:t>, 36</w:t>
      </w:r>
      <w:r w:rsidRPr="005370B1">
        <w:rPr>
          <w:rFonts w:asciiTheme="minorHAnsi" w:hAnsiTheme="minorHAnsi" w:cstheme="minorHAnsi"/>
          <w:szCs w:val="20"/>
          <w:vertAlign w:val="superscript"/>
          <w:lang w:val="en-CA"/>
        </w:rPr>
        <w:t>th</w:t>
      </w:r>
      <w:r w:rsidRPr="005370B1">
        <w:rPr>
          <w:rFonts w:asciiTheme="minorHAnsi" w:hAnsiTheme="minorHAnsi" w:cstheme="minorHAnsi"/>
          <w:szCs w:val="20"/>
          <w:lang w:val="en-CA"/>
        </w:rPr>
        <w:t xml:space="preserve"> Sess, Item 9, UN Doc </w:t>
      </w:r>
      <w:r w:rsidRPr="005370B1">
        <w:rPr>
          <w:rFonts w:asciiTheme="minorHAnsi" w:hAnsiTheme="minorHAnsi" w:cstheme="minorHAnsi"/>
          <w:bCs/>
          <w:szCs w:val="20"/>
          <w:lang w:val="en-CA"/>
        </w:rPr>
        <w:t xml:space="preserve">A/HRC/36/60/Add.1, (16 August 2017), para. 78, available at: </w:t>
      </w:r>
      <w:hyperlink r:id="rId7" w:history="1">
        <w:r w:rsidRPr="005370B1">
          <w:rPr>
            <w:rStyle w:val="Hyperlink"/>
            <w:rFonts w:asciiTheme="minorHAnsi" w:hAnsiTheme="minorHAnsi" w:cstheme="minorHAnsi"/>
            <w:bCs/>
            <w:szCs w:val="20"/>
            <w:lang w:val="en-CA"/>
          </w:rPr>
          <w:t>https://documents-dds-ny.un.org/doc/UNDOC/GEN/G17/239/60/PDF/G1723960.pdf?OpenElement</w:t>
        </w:r>
      </w:hyperlink>
      <w:r w:rsidRPr="005370B1">
        <w:rPr>
          <w:rFonts w:asciiTheme="minorHAnsi" w:hAnsiTheme="minorHAnsi" w:cstheme="minorHAnsi"/>
          <w:bCs/>
          <w:szCs w:val="20"/>
          <w:lang w:val="en-CA"/>
        </w:rPr>
        <w:t>.</w:t>
      </w:r>
    </w:p>
  </w:footnote>
  <w:footnote w:id="7">
    <w:p w14:paraId="19E6E1B3" w14:textId="2B0372A8" w:rsidR="00612D6D" w:rsidRPr="005370B1" w:rsidRDefault="00612D6D" w:rsidP="00612D6D">
      <w:pPr>
        <w:pStyle w:val="FootnoteText"/>
        <w:rPr>
          <w:rFonts w:asciiTheme="minorHAnsi" w:hAnsiTheme="minorHAnsi" w:cstheme="minorHAnsi"/>
        </w:rPr>
      </w:pPr>
      <w:r w:rsidRPr="005370B1">
        <w:rPr>
          <w:rStyle w:val="FootnoteReference"/>
          <w:rFonts w:asciiTheme="minorHAnsi" w:hAnsiTheme="minorHAnsi" w:cstheme="minorHAnsi"/>
        </w:rPr>
        <w:footnoteRef/>
      </w:r>
      <w:r w:rsidRPr="005370B1">
        <w:rPr>
          <w:rFonts w:asciiTheme="minorHAnsi" w:hAnsiTheme="minorHAnsi" w:cstheme="minorHAnsi"/>
        </w:rPr>
        <w:t xml:space="preserve"> </w:t>
      </w:r>
      <w:r w:rsidR="00C900E3" w:rsidRPr="005370B1">
        <w:rPr>
          <w:rFonts w:asciiTheme="minorHAnsi" w:hAnsiTheme="minorHAnsi" w:cstheme="minorHAnsi"/>
        </w:rPr>
        <w:t xml:space="preserve">House of Commons </w:t>
      </w:r>
      <w:r w:rsidRPr="005370B1">
        <w:rPr>
          <w:rFonts w:asciiTheme="minorHAnsi" w:hAnsiTheme="minorHAnsi" w:cstheme="minorHAnsi"/>
        </w:rPr>
        <w:t>Standing Committee on Public Safety and National Security, Systemic Racism in Policing in Canada</w:t>
      </w:r>
      <w:r w:rsidR="00F90EEF" w:rsidRPr="005370B1">
        <w:rPr>
          <w:rFonts w:asciiTheme="minorHAnsi" w:hAnsiTheme="minorHAnsi" w:cstheme="minorHAnsi"/>
        </w:rPr>
        <w:t xml:space="preserve"> (June 2021),</w:t>
      </w:r>
      <w:r w:rsidRPr="005370B1">
        <w:rPr>
          <w:rFonts w:asciiTheme="minorHAnsi" w:hAnsiTheme="minorHAnsi" w:cstheme="minorHAnsi"/>
        </w:rPr>
        <w:t xml:space="preserve"> available at</w:t>
      </w:r>
      <w:r w:rsidR="00FF769A">
        <w:rPr>
          <w:rFonts w:asciiTheme="minorHAnsi" w:hAnsiTheme="minorHAnsi" w:cstheme="minorHAnsi"/>
        </w:rPr>
        <w:t>:</w:t>
      </w:r>
      <w:r w:rsidRPr="005370B1">
        <w:rPr>
          <w:rFonts w:asciiTheme="minorHAnsi" w:hAnsiTheme="minorHAnsi" w:cstheme="minorHAnsi"/>
        </w:rPr>
        <w:t xml:space="preserve"> </w:t>
      </w:r>
      <w:hyperlink r:id="rId8" w:history="1">
        <w:r w:rsidRPr="005370B1">
          <w:rPr>
            <w:rStyle w:val="Hyperlink"/>
            <w:rFonts w:asciiTheme="minorHAnsi" w:hAnsiTheme="minorHAnsi" w:cstheme="minorHAnsi"/>
          </w:rPr>
          <w:t>https://www.ourcommons.ca/Content/Committee/432/SECU/Reports/RP11434998/securp06/securp06-e.pdf</w:t>
        </w:r>
      </w:hyperlink>
      <w:r w:rsidRPr="005370B1">
        <w:rPr>
          <w:rFonts w:asciiTheme="minorHAnsi" w:hAnsiTheme="minorHAnsi" w:cstheme="minorHAnsi"/>
        </w:rPr>
        <w:t xml:space="preserve"> </w:t>
      </w:r>
    </w:p>
  </w:footnote>
  <w:footnote w:id="8">
    <w:p w14:paraId="6E24E203" w14:textId="33EB141F" w:rsidR="00612D6D" w:rsidRPr="00FE68A2" w:rsidRDefault="00612D6D" w:rsidP="00612D6D">
      <w:pPr>
        <w:pStyle w:val="FootnoteText"/>
        <w:rPr>
          <w:rFonts w:cs="Arial"/>
          <w:szCs w:val="20"/>
        </w:rPr>
      </w:pPr>
      <w:r w:rsidRPr="005370B1">
        <w:rPr>
          <w:rStyle w:val="FootnoteReference"/>
          <w:rFonts w:asciiTheme="minorHAnsi" w:hAnsiTheme="minorHAnsi" w:cstheme="minorHAnsi"/>
          <w:szCs w:val="20"/>
        </w:rPr>
        <w:footnoteRef/>
      </w:r>
      <w:r w:rsidRPr="005370B1">
        <w:rPr>
          <w:rFonts w:asciiTheme="minorHAnsi" w:hAnsiTheme="minorHAnsi" w:cstheme="minorHAnsi"/>
          <w:szCs w:val="20"/>
        </w:rPr>
        <w:t xml:space="preserve"> See: </w:t>
      </w:r>
      <w:r w:rsidRPr="005370B1">
        <w:rPr>
          <w:rFonts w:asciiTheme="minorHAnsi" w:hAnsiTheme="minorHAnsi" w:cstheme="minorHAnsi"/>
          <w:szCs w:val="20"/>
          <w:lang w:val="en-CA"/>
        </w:rPr>
        <w:t xml:space="preserve">Commission des droits de la personne et des droits de la jeunesse, </w:t>
      </w:r>
      <w:r w:rsidRPr="005370B1">
        <w:rPr>
          <w:rFonts w:asciiTheme="minorHAnsi" w:hAnsiTheme="minorHAnsi" w:cstheme="minorHAnsi"/>
          <w:iCs/>
          <w:szCs w:val="20"/>
          <w:lang w:val="en-CA"/>
        </w:rPr>
        <w:t>Review of Implementation of the Recommendations Issued in the Report of the Consultation on Racial Profiling and its Consequences</w:t>
      </w:r>
      <w:r w:rsidRPr="005370B1">
        <w:rPr>
          <w:rFonts w:asciiTheme="minorHAnsi" w:hAnsiTheme="minorHAnsi" w:cstheme="minorHAnsi"/>
          <w:szCs w:val="20"/>
          <w:lang w:val="en-CA"/>
        </w:rPr>
        <w:t xml:space="preserve">, 2020, </w:t>
      </w:r>
      <w:r w:rsidR="00FF769A">
        <w:rPr>
          <w:rFonts w:asciiTheme="minorHAnsi" w:hAnsiTheme="minorHAnsi" w:cstheme="minorHAnsi"/>
          <w:szCs w:val="20"/>
          <w:lang w:val="en-CA"/>
        </w:rPr>
        <w:t xml:space="preserve">available </w:t>
      </w:r>
      <w:r w:rsidRPr="005370B1">
        <w:rPr>
          <w:rFonts w:asciiTheme="minorHAnsi" w:hAnsiTheme="minorHAnsi" w:cstheme="minorHAnsi"/>
          <w:szCs w:val="20"/>
          <w:lang w:val="en-CA"/>
        </w:rPr>
        <w:t xml:space="preserve">at: </w:t>
      </w:r>
      <w:hyperlink r:id="rId9" w:history="1">
        <w:r w:rsidRPr="005370B1">
          <w:rPr>
            <w:rStyle w:val="Hyperlink"/>
            <w:rFonts w:asciiTheme="minorHAnsi" w:hAnsiTheme="minorHAnsi" w:cstheme="minorHAnsi"/>
            <w:szCs w:val="20"/>
            <w:lang w:val="en-CA"/>
          </w:rPr>
          <w:t>https://cdpdj.qc.ca/storage/app/media/publications/bilan-profilage-racial_synthese_EN.pdf</w:t>
        </w:r>
      </w:hyperlink>
      <w:r w:rsidRPr="005370B1">
        <w:rPr>
          <w:rFonts w:asciiTheme="minorHAnsi" w:hAnsiTheme="minorHAnsi" w:cstheme="minorHAnsi"/>
          <w:szCs w:val="20"/>
          <w:lang w:val="en-CA"/>
        </w:rPr>
        <w:t>; See</w:t>
      </w:r>
      <w:r w:rsidR="003D053C" w:rsidRPr="005370B1">
        <w:rPr>
          <w:rFonts w:asciiTheme="minorHAnsi" w:hAnsiTheme="minorHAnsi" w:cstheme="minorHAnsi"/>
          <w:szCs w:val="20"/>
          <w:lang w:val="en-CA"/>
        </w:rPr>
        <w:t>:</w:t>
      </w:r>
      <w:r w:rsidRPr="005370B1">
        <w:rPr>
          <w:rFonts w:asciiTheme="minorHAnsi" w:hAnsiTheme="minorHAnsi" w:cstheme="minorHAnsi"/>
          <w:szCs w:val="20"/>
          <w:lang w:val="en-CA"/>
        </w:rPr>
        <w:t xml:space="preserve"> Nova Scotia Human Rights Commission, </w:t>
      </w:r>
      <w:r w:rsidRPr="005370B1">
        <w:rPr>
          <w:rFonts w:asciiTheme="minorHAnsi" w:hAnsiTheme="minorHAnsi" w:cstheme="minorHAnsi"/>
          <w:iCs/>
          <w:szCs w:val="20"/>
          <w:lang w:val="en-CA"/>
        </w:rPr>
        <w:t>Halifax, Nova Scotia: Street Checks Report,</w:t>
      </w:r>
      <w:r w:rsidRPr="005370B1">
        <w:rPr>
          <w:rFonts w:asciiTheme="minorHAnsi" w:hAnsiTheme="minorHAnsi" w:cstheme="minorHAnsi"/>
          <w:szCs w:val="20"/>
          <w:lang w:val="en-CA"/>
        </w:rPr>
        <w:t xml:space="preserve"> 2019, at: </w:t>
      </w:r>
      <w:hyperlink r:id="rId10" w:history="1">
        <w:r w:rsidRPr="005370B1">
          <w:rPr>
            <w:rStyle w:val="Hyperlink"/>
            <w:rFonts w:asciiTheme="minorHAnsi" w:hAnsiTheme="minorHAnsi" w:cstheme="minorHAnsi"/>
            <w:szCs w:val="20"/>
            <w:lang w:val="en-CA"/>
          </w:rPr>
          <w:t>https://humanrights.novascotia.ca/sites/default/files/editor-uploads/halifax_street_checks_report_march_2019_0.pdf</w:t>
        </w:r>
      </w:hyperlink>
      <w:r w:rsidRPr="005370B1">
        <w:rPr>
          <w:rFonts w:asciiTheme="minorHAnsi" w:hAnsiTheme="minorHAnsi" w:cstheme="minorHAnsi"/>
          <w:szCs w:val="20"/>
          <w:lang w:val="en-CA"/>
        </w:rPr>
        <w:t>; See</w:t>
      </w:r>
      <w:r w:rsidR="003D053C" w:rsidRPr="005370B1">
        <w:rPr>
          <w:rFonts w:asciiTheme="minorHAnsi" w:hAnsiTheme="minorHAnsi" w:cstheme="minorHAnsi"/>
          <w:szCs w:val="20"/>
          <w:lang w:val="en-CA"/>
        </w:rPr>
        <w:t>:</w:t>
      </w:r>
      <w:r w:rsidRPr="005370B1">
        <w:rPr>
          <w:rFonts w:asciiTheme="minorHAnsi" w:hAnsiTheme="minorHAnsi" w:cstheme="minorHAnsi"/>
          <w:szCs w:val="20"/>
          <w:lang w:val="en-CA"/>
        </w:rPr>
        <w:t xml:space="preserve"> Ontario Human Rights Commission, </w:t>
      </w:r>
      <w:r w:rsidRPr="005370B1">
        <w:rPr>
          <w:rFonts w:asciiTheme="minorHAnsi" w:hAnsiTheme="minorHAnsi" w:cstheme="minorHAnsi"/>
          <w:iCs/>
          <w:szCs w:val="20"/>
          <w:lang w:val="en-CA"/>
        </w:rPr>
        <w:t>Under Suspicion: Research and Consultation Report on Racial Profiling in Ontario</w:t>
      </w:r>
      <w:r w:rsidRPr="005370B1">
        <w:rPr>
          <w:rFonts w:asciiTheme="minorHAnsi" w:hAnsiTheme="minorHAnsi" w:cstheme="minorHAnsi"/>
          <w:szCs w:val="20"/>
          <w:lang w:val="en-CA"/>
        </w:rPr>
        <w:t xml:space="preserve">, 2017, at: </w:t>
      </w:r>
      <w:hyperlink r:id="rId11" w:history="1">
        <w:r w:rsidRPr="005370B1">
          <w:rPr>
            <w:rStyle w:val="Hyperlink"/>
            <w:rFonts w:asciiTheme="minorHAnsi" w:hAnsiTheme="minorHAnsi" w:cstheme="minorHAnsi"/>
            <w:szCs w:val="20"/>
            <w:lang w:val="en-CA"/>
          </w:rPr>
          <w:t>http://www3.ohrc.on.ca/sites/default/files/Under%20suspicion_research%20and%20consultation%20report%20on%20racial%20profiling%20in%20Ontario_2017.pdf</w:t>
        </w:r>
      </w:hyperlink>
      <w:r w:rsidRPr="005370B1">
        <w:rPr>
          <w:rFonts w:asciiTheme="minorHAnsi" w:hAnsiTheme="minorHAnsi" w:cstheme="minorHAnsi"/>
          <w:szCs w:val="20"/>
          <w:lang w:val="en-CA"/>
        </w:rPr>
        <w:t>.</w:t>
      </w:r>
      <w:r>
        <w:rPr>
          <w:rFonts w:cs="Arial"/>
          <w:szCs w:val="20"/>
          <w:lang w:val="en-CA"/>
        </w:rPr>
        <w:t xml:space="preserve"> </w:t>
      </w:r>
    </w:p>
  </w:footnote>
  <w:footnote w:id="9">
    <w:p w14:paraId="17FF8341" w14:textId="137FDD25" w:rsidR="00612D6D" w:rsidRPr="005370B1" w:rsidRDefault="00612D6D" w:rsidP="00612D6D">
      <w:pPr>
        <w:pStyle w:val="FootnoteText"/>
        <w:rPr>
          <w:rFonts w:asciiTheme="minorHAnsi" w:hAnsiTheme="minorHAnsi" w:cstheme="minorHAnsi"/>
          <w:szCs w:val="20"/>
        </w:rPr>
      </w:pPr>
      <w:r w:rsidRPr="005370B1">
        <w:rPr>
          <w:rStyle w:val="FootnoteReference"/>
          <w:rFonts w:asciiTheme="minorHAnsi" w:hAnsiTheme="minorHAnsi" w:cstheme="minorHAnsi"/>
          <w:szCs w:val="20"/>
        </w:rPr>
        <w:footnoteRef/>
      </w:r>
      <w:r w:rsidRPr="005370B1">
        <w:rPr>
          <w:rFonts w:asciiTheme="minorHAnsi" w:hAnsiTheme="minorHAnsi" w:cstheme="minorHAnsi"/>
          <w:szCs w:val="20"/>
        </w:rPr>
        <w:t xml:space="preserve"> </w:t>
      </w:r>
      <w:r w:rsidR="003D053C" w:rsidRPr="005370B1">
        <w:rPr>
          <w:rFonts w:asciiTheme="minorHAnsi" w:hAnsiTheme="minorHAnsi" w:cstheme="minorHAnsi"/>
          <w:szCs w:val="20"/>
        </w:rPr>
        <w:t xml:space="preserve">See: </w:t>
      </w:r>
      <w:r w:rsidR="0061735F" w:rsidRPr="005370B1">
        <w:rPr>
          <w:rFonts w:asciiTheme="minorHAnsi" w:hAnsiTheme="minorHAnsi" w:cstheme="minorHAnsi"/>
          <w:szCs w:val="20"/>
        </w:rPr>
        <w:t>Ontario Human Rights Commission, From Impact to Action</w:t>
      </w:r>
      <w:r w:rsidR="000921A5" w:rsidRPr="005370B1">
        <w:rPr>
          <w:rFonts w:asciiTheme="minorHAnsi" w:hAnsiTheme="minorHAnsi" w:cstheme="minorHAnsi"/>
          <w:szCs w:val="20"/>
        </w:rPr>
        <w:t xml:space="preserve"> - Final report into anti-Black racism by the Toronto Police Service, a</w:t>
      </w:r>
      <w:r w:rsidRPr="005370B1">
        <w:rPr>
          <w:rFonts w:asciiTheme="minorHAnsi" w:hAnsiTheme="minorHAnsi" w:cstheme="minorHAnsi"/>
          <w:szCs w:val="20"/>
        </w:rPr>
        <w:t xml:space="preserve">vailable at: </w:t>
      </w:r>
      <w:hyperlink r:id="rId12" w:history="1">
        <w:r w:rsidR="00316FFF" w:rsidRPr="005370B1">
          <w:rPr>
            <w:rStyle w:val="Hyperlink"/>
            <w:rFonts w:asciiTheme="minorHAnsi" w:hAnsiTheme="minorHAnsi" w:cstheme="minorHAnsi"/>
            <w:szCs w:val="20"/>
          </w:rPr>
          <w:t>https://www.ohrc.on.ca/en/impact-action-final-report-anti-black-racism-toronto-police-service</w:t>
        </w:r>
      </w:hyperlink>
      <w:r w:rsidR="00316FFF" w:rsidRPr="005370B1">
        <w:rPr>
          <w:rFonts w:asciiTheme="minorHAnsi" w:hAnsiTheme="minorHAnsi" w:cstheme="minorHAnsi"/>
          <w:szCs w:val="20"/>
        </w:rPr>
        <w:t xml:space="preserve">. </w:t>
      </w:r>
      <w:r w:rsidRPr="005370B1">
        <w:rPr>
          <w:rFonts w:asciiTheme="minorHAnsi" w:hAnsiTheme="minorHAnsi" w:cstheme="minorHAnsi"/>
          <w:szCs w:val="20"/>
        </w:rPr>
        <w:t xml:space="preserve"> </w:t>
      </w:r>
    </w:p>
  </w:footnote>
  <w:footnote w:id="10">
    <w:p w14:paraId="29B3CA97" w14:textId="79182958" w:rsidR="00AF565F" w:rsidRPr="005370B1" w:rsidRDefault="00AF565F">
      <w:pPr>
        <w:pStyle w:val="FootnoteText"/>
        <w:rPr>
          <w:rFonts w:asciiTheme="minorHAnsi" w:hAnsiTheme="minorHAnsi" w:cstheme="minorHAnsi"/>
          <w:szCs w:val="20"/>
        </w:rPr>
      </w:pPr>
      <w:r w:rsidRPr="005370B1">
        <w:rPr>
          <w:rStyle w:val="FootnoteReference"/>
          <w:rFonts w:asciiTheme="minorHAnsi" w:hAnsiTheme="minorHAnsi" w:cstheme="minorHAnsi"/>
          <w:szCs w:val="20"/>
        </w:rPr>
        <w:footnoteRef/>
      </w:r>
      <w:r w:rsidRPr="005370B1">
        <w:rPr>
          <w:rFonts w:asciiTheme="minorHAnsi" w:hAnsiTheme="minorHAnsi" w:cstheme="minorHAnsi"/>
          <w:szCs w:val="20"/>
        </w:rPr>
        <w:t xml:space="preserve"> </w:t>
      </w:r>
      <w:hyperlink r:id="rId13" w:history="1">
        <w:r w:rsidRPr="005370B1">
          <w:rPr>
            <w:rStyle w:val="Hyperlink"/>
            <w:rFonts w:asciiTheme="minorHAnsi" w:hAnsiTheme="minorHAnsi" w:cstheme="minorHAnsi"/>
            <w:szCs w:val="20"/>
          </w:rPr>
          <w:t>https://trackinginjustice.ca/</w:t>
        </w:r>
      </w:hyperlink>
      <w:r w:rsidRPr="005370B1">
        <w:rPr>
          <w:rFonts w:asciiTheme="minorHAnsi" w:hAnsiTheme="minorHAnsi" w:cstheme="minorHAnsi"/>
          <w:szCs w:val="20"/>
        </w:rPr>
        <w:t xml:space="preserve"> </w:t>
      </w:r>
    </w:p>
  </w:footnote>
  <w:footnote w:id="11">
    <w:p w14:paraId="0CFFCB2B" w14:textId="28DE2EB5" w:rsidR="006223A5" w:rsidRPr="006223A5" w:rsidRDefault="006223A5" w:rsidP="00007AAE">
      <w:pPr>
        <w:spacing w:line="240" w:lineRule="auto"/>
        <w:contextualSpacing/>
      </w:pPr>
      <w:r w:rsidRPr="005370B1">
        <w:rPr>
          <w:rStyle w:val="FootnoteReference"/>
          <w:sz w:val="20"/>
          <w:szCs w:val="20"/>
        </w:rPr>
        <w:footnoteRef/>
      </w:r>
      <w:r w:rsidRPr="005370B1">
        <w:rPr>
          <w:sz w:val="20"/>
          <w:szCs w:val="20"/>
        </w:rPr>
        <w:t xml:space="preserve"> Tracking (In)Justice, Police-involved Deaths are on the Rise, as are Racial Disparities in Canada (February 2023), available at </w:t>
      </w:r>
      <w:hyperlink r:id="rId14" w:history="1">
        <w:r w:rsidR="00007AAE" w:rsidRPr="005370B1">
          <w:rPr>
            <w:rStyle w:val="Hyperlink"/>
            <w:sz w:val="20"/>
            <w:szCs w:val="20"/>
          </w:rPr>
          <w:t>https://trackinginjustice.ca/analysis-increase-in-deaths-and-racial-disparities/</w:t>
        </w:r>
      </w:hyperlink>
      <w:r>
        <w:t xml:space="preserve"> </w:t>
      </w:r>
    </w:p>
  </w:footnote>
  <w:footnote w:id="12">
    <w:p w14:paraId="0D9261E9" w14:textId="707E9A8C" w:rsidR="00494B92" w:rsidRPr="006D594F" w:rsidRDefault="00494B92" w:rsidP="00494B92">
      <w:pPr>
        <w:pStyle w:val="FootnoteText"/>
        <w:rPr>
          <w:rFonts w:asciiTheme="minorHAnsi" w:hAnsiTheme="minorHAnsi" w:cstheme="minorHAnsi"/>
          <w:lang w:val="en-CA"/>
        </w:rPr>
      </w:pPr>
      <w:r w:rsidRPr="006D594F">
        <w:rPr>
          <w:rStyle w:val="FootnoteReference"/>
          <w:rFonts w:asciiTheme="minorHAnsi" w:hAnsiTheme="minorHAnsi" w:cstheme="minorHAnsi"/>
        </w:rPr>
        <w:footnoteRef/>
      </w:r>
      <w:r w:rsidRPr="006D594F">
        <w:rPr>
          <w:rFonts w:asciiTheme="minorHAnsi" w:hAnsiTheme="minorHAnsi" w:cstheme="minorHAnsi"/>
        </w:rPr>
        <w:t xml:space="preserve"> Office of the Correctional Investigator, ‘Ten Years since Spirit Matters: A Roadmap for the Reform of Indigenous Corrections in Canada’ (November 2023), available at</w:t>
      </w:r>
      <w:r w:rsidR="0002724D" w:rsidRPr="006D594F">
        <w:rPr>
          <w:rFonts w:asciiTheme="minorHAnsi" w:hAnsiTheme="minorHAnsi" w:cstheme="minorHAnsi"/>
        </w:rPr>
        <w:t>:</w:t>
      </w:r>
      <w:r w:rsidRPr="006D594F">
        <w:rPr>
          <w:rFonts w:asciiTheme="minorHAnsi" w:hAnsiTheme="minorHAnsi" w:cstheme="minorHAnsi"/>
        </w:rPr>
        <w:t xml:space="preserve"> </w:t>
      </w:r>
      <w:hyperlink r:id="rId15" w:anchor="fn5-rf" w:history="1">
        <w:r w:rsidR="00727427" w:rsidRPr="006D594F">
          <w:rPr>
            <w:rStyle w:val="Hyperlink"/>
            <w:rFonts w:asciiTheme="minorHAnsi" w:hAnsiTheme="minorHAnsi" w:cstheme="minorHAnsi"/>
          </w:rPr>
          <w:t>https://oci-bec.gc.ca/en/content/ten-years-spirit-matters-roadmap-reform-indigenous-corrections-canada#fn5-rf</w:t>
        </w:r>
      </w:hyperlink>
    </w:p>
  </w:footnote>
  <w:footnote w:id="13">
    <w:p w14:paraId="2CB4D9F3" w14:textId="19577552" w:rsidR="009E510E" w:rsidRPr="006D594F" w:rsidRDefault="009E510E" w:rsidP="009E510E">
      <w:pPr>
        <w:pStyle w:val="FootnoteText"/>
        <w:rPr>
          <w:rFonts w:asciiTheme="minorHAnsi" w:hAnsiTheme="minorHAnsi" w:cstheme="minorHAnsi"/>
          <w:szCs w:val="20"/>
        </w:rPr>
      </w:pPr>
      <w:r w:rsidRPr="006D594F">
        <w:rPr>
          <w:rStyle w:val="FootnoteReference"/>
          <w:rFonts w:asciiTheme="minorHAnsi" w:hAnsiTheme="minorHAnsi" w:cstheme="minorHAnsi"/>
          <w:szCs w:val="20"/>
        </w:rPr>
        <w:footnoteRef/>
      </w:r>
      <w:r w:rsidRPr="006D594F">
        <w:rPr>
          <w:rFonts w:asciiTheme="minorHAnsi" w:hAnsiTheme="minorHAnsi" w:cstheme="minorHAnsi"/>
          <w:szCs w:val="20"/>
        </w:rPr>
        <w:t xml:space="preserve"> </w:t>
      </w:r>
      <w:r w:rsidR="00727427" w:rsidRPr="006D594F">
        <w:rPr>
          <w:rFonts w:asciiTheme="minorHAnsi" w:hAnsiTheme="minorHAnsi" w:cstheme="minorHAnsi"/>
          <w:szCs w:val="20"/>
        </w:rPr>
        <w:t>Public Safety Canada. (2022 Jan.), ‘2020 Corrections and Conditional Release Statistical Overview (CCRSO)’, available at</w:t>
      </w:r>
      <w:r w:rsidR="0002724D" w:rsidRPr="006D594F">
        <w:rPr>
          <w:rFonts w:asciiTheme="minorHAnsi" w:hAnsiTheme="minorHAnsi" w:cstheme="minorHAnsi"/>
          <w:szCs w:val="20"/>
        </w:rPr>
        <w:t>:</w:t>
      </w:r>
      <w:r w:rsidR="00727427" w:rsidRPr="006D594F">
        <w:rPr>
          <w:rFonts w:asciiTheme="minorHAnsi" w:hAnsiTheme="minorHAnsi" w:cstheme="minorHAnsi"/>
          <w:szCs w:val="20"/>
        </w:rPr>
        <w:t xml:space="preserve"> </w:t>
      </w:r>
      <w:hyperlink r:id="rId16" w:anchor="sc" w:history="1">
        <w:r w:rsidR="00727427" w:rsidRPr="006D594F">
          <w:rPr>
            <w:rStyle w:val="Hyperlink"/>
            <w:rFonts w:asciiTheme="minorHAnsi" w:eastAsia="Calibri" w:hAnsiTheme="minorHAnsi" w:cstheme="minorHAnsi"/>
            <w:szCs w:val="20"/>
          </w:rPr>
          <w:t>https://www.publicsafety.gc.ca/cnt/rsrcs/pblctns/ccrso-2020/index-en.aspx#sc</w:t>
        </w:r>
      </w:hyperlink>
      <w:r w:rsidR="00727427" w:rsidRPr="006D594F">
        <w:rPr>
          <w:rFonts w:asciiTheme="minorHAnsi" w:eastAsia="Calibri" w:hAnsiTheme="minorHAnsi" w:cstheme="minorHAnsi"/>
          <w:szCs w:val="20"/>
        </w:rPr>
        <w:t xml:space="preserve"> </w:t>
      </w:r>
    </w:p>
  </w:footnote>
  <w:footnote w:id="14">
    <w:p w14:paraId="3119FA8C" w14:textId="565E5ABE" w:rsidR="009E510E" w:rsidRPr="006D594F" w:rsidRDefault="009E510E" w:rsidP="009E510E">
      <w:pPr>
        <w:pStyle w:val="FootnoteText"/>
        <w:rPr>
          <w:rFonts w:asciiTheme="minorHAnsi" w:hAnsiTheme="minorHAnsi" w:cstheme="minorHAnsi"/>
          <w:szCs w:val="20"/>
        </w:rPr>
      </w:pPr>
      <w:r w:rsidRPr="006D594F">
        <w:rPr>
          <w:rStyle w:val="FootnoteReference"/>
          <w:rFonts w:asciiTheme="minorHAnsi" w:hAnsiTheme="minorHAnsi" w:cstheme="minorHAnsi"/>
          <w:szCs w:val="20"/>
        </w:rPr>
        <w:footnoteRef/>
      </w:r>
      <w:r w:rsidRPr="006D594F">
        <w:rPr>
          <w:rFonts w:asciiTheme="minorHAnsi" w:hAnsiTheme="minorHAnsi" w:cstheme="minorHAnsi"/>
          <w:szCs w:val="20"/>
        </w:rPr>
        <w:t xml:space="preserve"> </w:t>
      </w:r>
      <w:r w:rsidR="00727427" w:rsidRPr="006D594F">
        <w:rPr>
          <w:rFonts w:asciiTheme="minorHAnsi" w:hAnsiTheme="minorHAnsi" w:cstheme="minorHAnsi"/>
          <w:szCs w:val="20"/>
        </w:rPr>
        <w:t xml:space="preserve">Supra, Note </w:t>
      </w:r>
      <w:r w:rsidR="002F3D4B">
        <w:rPr>
          <w:rFonts w:asciiTheme="minorHAnsi" w:hAnsiTheme="minorHAnsi" w:cstheme="minorHAnsi"/>
          <w:szCs w:val="20"/>
        </w:rPr>
        <w:t>12</w:t>
      </w:r>
      <w:r w:rsidR="00727427" w:rsidRPr="006D594F">
        <w:rPr>
          <w:rFonts w:asciiTheme="minorHAnsi" w:hAnsiTheme="minorHAnsi" w:cstheme="minorHAnsi"/>
          <w:szCs w:val="20"/>
        </w:rPr>
        <w:t>.</w:t>
      </w:r>
      <w:r w:rsidRPr="006D594F">
        <w:rPr>
          <w:rFonts w:asciiTheme="minorHAnsi" w:hAnsiTheme="minorHAnsi" w:cstheme="minorHAnsi"/>
          <w:szCs w:val="20"/>
        </w:rPr>
        <w:t xml:space="preserve"> </w:t>
      </w:r>
    </w:p>
  </w:footnote>
  <w:footnote w:id="15">
    <w:p w14:paraId="4CAD9A56" w14:textId="2454D0BD" w:rsidR="009E510E" w:rsidRPr="006D594F" w:rsidRDefault="009E510E" w:rsidP="009E510E">
      <w:pPr>
        <w:pStyle w:val="FootnoteText"/>
        <w:rPr>
          <w:rFonts w:asciiTheme="minorHAnsi" w:hAnsiTheme="minorHAnsi" w:cstheme="minorHAnsi"/>
          <w:szCs w:val="20"/>
        </w:rPr>
      </w:pPr>
      <w:r w:rsidRPr="006D594F">
        <w:rPr>
          <w:rStyle w:val="FootnoteReference"/>
          <w:rFonts w:asciiTheme="minorHAnsi" w:hAnsiTheme="minorHAnsi" w:cstheme="minorHAnsi"/>
          <w:szCs w:val="20"/>
        </w:rPr>
        <w:footnoteRef/>
      </w:r>
      <w:r w:rsidRPr="006D594F">
        <w:rPr>
          <w:rFonts w:asciiTheme="minorHAnsi" w:hAnsiTheme="minorHAnsi" w:cstheme="minorHAnsi"/>
          <w:szCs w:val="20"/>
        </w:rPr>
        <w:t xml:space="preserve"> OCI</w:t>
      </w:r>
      <w:r w:rsidR="007A31DA" w:rsidRPr="006D594F">
        <w:rPr>
          <w:rFonts w:asciiTheme="minorHAnsi" w:hAnsiTheme="minorHAnsi" w:cstheme="minorHAnsi"/>
          <w:szCs w:val="20"/>
        </w:rPr>
        <w:t>,</w:t>
      </w:r>
      <w:r w:rsidR="00425E41" w:rsidRPr="006D594F">
        <w:rPr>
          <w:rFonts w:asciiTheme="minorHAnsi" w:hAnsiTheme="minorHAnsi" w:cstheme="minorHAnsi"/>
          <w:szCs w:val="20"/>
        </w:rPr>
        <w:t xml:space="preserve"> Annual Report 2020-21,</w:t>
      </w:r>
      <w:r w:rsidR="007A31DA" w:rsidRPr="006D594F">
        <w:rPr>
          <w:rFonts w:asciiTheme="minorHAnsi" w:hAnsiTheme="minorHAnsi" w:cstheme="minorHAnsi"/>
          <w:szCs w:val="20"/>
        </w:rPr>
        <w:t xml:space="preserve"> ‘</w:t>
      </w:r>
      <w:r w:rsidR="00425E41" w:rsidRPr="006D594F">
        <w:rPr>
          <w:rFonts w:asciiTheme="minorHAnsi" w:hAnsiTheme="minorHAnsi" w:cstheme="minorHAnsi"/>
          <w:szCs w:val="20"/>
        </w:rPr>
        <w:t>Investigation into Uses of Force Involving Federally Incarcerated Black, Indigenous, Peoples of Colour (BIPOC) and Other Vulnerable Populations’</w:t>
      </w:r>
      <w:r w:rsidR="007A31DA" w:rsidRPr="006D594F">
        <w:rPr>
          <w:rFonts w:asciiTheme="minorHAnsi" w:hAnsiTheme="minorHAnsi" w:cstheme="minorHAnsi"/>
          <w:szCs w:val="20"/>
        </w:rPr>
        <w:t xml:space="preserve">, </w:t>
      </w:r>
      <w:r w:rsidRPr="006D594F">
        <w:rPr>
          <w:rFonts w:asciiTheme="minorHAnsi" w:hAnsiTheme="minorHAnsi" w:cstheme="minorHAnsi"/>
          <w:szCs w:val="20"/>
        </w:rPr>
        <w:t xml:space="preserve">available at </w:t>
      </w:r>
      <w:hyperlink r:id="rId17" w:anchor="s4" w:history="1">
        <w:r w:rsidR="00425E41" w:rsidRPr="006D594F">
          <w:rPr>
            <w:rStyle w:val="Hyperlink"/>
            <w:rFonts w:asciiTheme="minorHAnsi" w:hAnsiTheme="minorHAnsi" w:cstheme="minorHAnsi"/>
          </w:rPr>
          <w:t>https://oci-bec.gc.ca/en/content/office-correctional-investigator-annual-report-2020-2021#s4</w:t>
        </w:r>
      </w:hyperlink>
    </w:p>
  </w:footnote>
  <w:footnote w:id="16">
    <w:p w14:paraId="7C30B0AC" w14:textId="15FDA8BA" w:rsidR="009E510E" w:rsidRPr="009921F1" w:rsidRDefault="009E510E" w:rsidP="009E510E">
      <w:pPr>
        <w:pStyle w:val="FootnoteText"/>
        <w:rPr>
          <w:rFonts w:cs="Arial"/>
          <w:i/>
          <w:szCs w:val="20"/>
          <w:lang w:val="en-CA"/>
        </w:rPr>
      </w:pPr>
      <w:r w:rsidRPr="006D594F">
        <w:rPr>
          <w:rStyle w:val="FootnoteReference"/>
          <w:rFonts w:asciiTheme="minorHAnsi" w:hAnsiTheme="minorHAnsi" w:cstheme="minorHAnsi"/>
          <w:szCs w:val="20"/>
        </w:rPr>
        <w:footnoteRef/>
      </w:r>
      <w:r w:rsidRPr="006D594F">
        <w:rPr>
          <w:rFonts w:asciiTheme="minorHAnsi" w:hAnsiTheme="minorHAnsi" w:cstheme="minorHAnsi"/>
          <w:szCs w:val="20"/>
          <w:lang w:val="en-CA"/>
        </w:rPr>
        <w:t xml:space="preserve"> </w:t>
      </w:r>
      <w:r w:rsidR="009921F1" w:rsidRPr="006D594F">
        <w:rPr>
          <w:rFonts w:asciiTheme="minorHAnsi" w:hAnsiTheme="minorHAnsi" w:cstheme="minorHAnsi"/>
          <w:szCs w:val="20"/>
        </w:rPr>
        <w:t xml:space="preserve">See: Report of the Standing Senate Committee on Human Rights, </w:t>
      </w:r>
      <w:r w:rsidR="009921F1" w:rsidRPr="006D594F">
        <w:rPr>
          <w:rFonts w:asciiTheme="minorHAnsi" w:hAnsiTheme="minorHAnsi" w:cstheme="minorHAnsi"/>
          <w:i/>
          <w:szCs w:val="20"/>
        </w:rPr>
        <w:t>Human Rights of Federally-Sentenced Persons</w:t>
      </w:r>
      <w:r w:rsidR="009921F1" w:rsidRPr="006D594F">
        <w:rPr>
          <w:rFonts w:asciiTheme="minorHAnsi" w:hAnsiTheme="minorHAnsi" w:cstheme="minorHAnsi"/>
          <w:szCs w:val="20"/>
        </w:rPr>
        <w:t xml:space="preserve">, June 2021, </w:t>
      </w:r>
      <w:r w:rsidR="0002724D" w:rsidRPr="006D594F">
        <w:rPr>
          <w:rFonts w:asciiTheme="minorHAnsi" w:hAnsiTheme="minorHAnsi" w:cstheme="minorHAnsi"/>
          <w:szCs w:val="20"/>
        </w:rPr>
        <w:t xml:space="preserve">available </w:t>
      </w:r>
      <w:r w:rsidR="009921F1" w:rsidRPr="006D594F">
        <w:rPr>
          <w:rFonts w:asciiTheme="minorHAnsi" w:hAnsiTheme="minorHAnsi" w:cstheme="minorHAnsi"/>
          <w:szCs w:val="20"/>
        </w:rPr>
        <w:t xml:space="preserve">at: </w:t>
      </w:r>
      <w:hyperlink r:id="rId18" w:history="1">
        <w:r w:rsidR="009921F1" w:rsidRPr="006D594F">
          <w:rPr>
            <w:rStyle w:val="Hyperlink"/>
            <w:rFonts w:asciiTheme="minorHAnsi" w:hAnsiTheme="minorHAnsi" w:cstheme="minorHAnsi"/>
            <w:szCs w:val="20"/>
          </w:rPr>
          <w:t>https://sencanada.ca/en/info-page/parl-43-2/ridr-federally-sentenced-persons/</w:t>
        </w:r>
      </w:hyperlink>
      <w:r w:rsidR="009921F1" w:rsidRPr="006D594F">
        <w:rPr>
          <w:rFonts w:asciiTheme="minorHAnsi" w:hAnsiTheme="minorHAnsi" w:cstheme="minorHAnsi"/>
          <w:szCs w:val="20"/>
        </w:rPr>
        <w:t>.</w:t>
      </w:r>
    </w:p>
  </w:footnote>
  <w:footnote w:id="17">
    <w:p w14:paraId="71E7BD8F" w14:textId="64E2EBAB" w:rsidR="009741C5" w:rsidRPr="006D594F" w:rsidRDefault="009741C5">
      <w:pPr>
        <w:pStyle w:val="FootnoteText"/>
        <w:rPr>
          <w:rFonts w:asciiTheme="minorHAnsi" w:hAnsiTheme="minorHAnsi" w:cstheme="minorHAnsi"/>
          <w:lang w:val="en-CA"/>
        </w:rPr>
      </w:pPr>
      <w:r w:rsidRPr="006D594F">
        <w:rPr>
          <w:rStyle w:val="FootnoteReference"/>
          <w:rFonts w:asciiTheme="minorHAnsi" w:hAnsiTheme="minorHAnsi" w:cstheme="minorHAnsi"/>
        </w:rPr>
        <w:footnoteRef/>
      </w:r>
      <w:r>
        <w:t xml:space="preserve"> </w:t>
      </w:r>
      <w:r w:rsidR="0002724D" w:rsidRPr="006D594F">
        <w:rPr>
          <w:rFonts w:asciiTheme="minorHAnsi" w:hAnsiTheme="minorHAnsi" w:cstheme="minorHAnsi"/>
        </w:rPr>
        <w:t>Human Rights Watch, Canada: All 10 Provinces To End Immigration Detention in Jails (March 2024), available at:</w:t>
      </w:r>
      <w:r w:rsidR="0002724D">
        <w:t xml:space="preserve"> </w:t>
      </w:r>
      <w:hyperlink r:id="rId19" w:anchor=":~:text=People%20in%20immigration%20detention%20are,with%20no%20end%20in%20sight" w:history="1">
        <w:r w:rsidR="004837C4" w:rsidRPr="00F50A61">
          <w:rPr>
            <w:rStyle w:val="Hyperlink"/>
            <w:rFonts w:asciiTheme="minorHAnsi" w:hAnsiTheme="minorHAnsi" w:cstheme="minorHAnsi"/>
          </w:rPr>
          <w:t>https://www.hrw.org/news/2024/03/21/canada-all-10-provinces-end-immigration-detention-jails#:~:text=People%20in%20immigration%20detention%20are,with%20no%20end%20in%20sight</w:t>
        </w:r>
      </w:hyperlink>
    </w:p>
  </w:footnote>
  <w:footnote w:id="18">
    <w:p w14:paraId="4893DE1E" w14:textId="3644F390" w:rsidR="009741C5" w:rsidRPr="006D594F" w:rsidRDefault="009741C5" w:rsidP="0002724D">
      <w:pPr>
        <w:pStyle w:val="FootnoteText"/>
        <w:rPr>
          <w:rFonts w:asciiTheme="minorHAnsi" w:hAnsiTheme="minorHAnsi" w:cstheme="minorHAnsi"/>
        </w:rPr>
      </w:pPr>
      <w:r w:rsidRPr="006D594F">
        <w:rPr>
          <w:rStyle w:val="FootnoteReference"/>
          <w:rFonts w:asciiTheme="minorHAnsi" w:hAnsiTheme="minorHAnsi" w:cstheme="minorHAnsi"/>
        </w:rPr>
        <w:footnoteRef/>
      </w:r>
      <w:r w:rsidRPr="006D594F">
        <w:rPr>
          <w:rFonts w:asciiTheme="minorHAnsi" w:hAnsiTheme="minorHAnsi" w:cstheme="minorHAnsi"/>
        </w:rPr>
        <w:t xml:space="preserve"> </w:t>
      </w:r>
      <w:r w:rsidR="0002724D" w:rsidRPr="006D594F">
        <w:rPr>
          <w:rFonts w:asciiTheme="minorHAnsi" w:hAnsiTheme="minorHAnsi" w:cstheme="minorHAnsi"/>
        </w:rPr>
        <w:t xml:space="preserve">Human Rights Watch, “I Didn’t Feel Like a Human in There” - Immigration Detention in Canada and its Impact on Mental Health (June 2021), available at: </w:t>
      </w:r>
      <w:hyperlink r:id="rId20" w:history="1">
        <w:r w:rsidR="004837C4" w:rsidRPr="00F50A61">
          <w:rPr>
            <w:rStyle w:val="Hyperlink"/>
            <w:rFonts w:asciiTheme="minorHAnsi" w:hAnsiTheme="minorHAnsi" w:cstheme="minorHAnsi"/>
          </w:rPr>
          <w:t>https://www.hrw.org/report/2021/06/17/i-didnt-feel-human-there/immigration-detention-canada-and-its-impact-mental</w:t>
        </w:r>
      </w:hyperlink>
      <w:r w:rsidR="004837C4">
        <w:rPr>
          <w:rFonts w:asciiTheme="minorHAnsi" w:hAnsiTheme="minorHAnsi" w:cstheme="minorHAnsi"/>
        </w:rPr>
        <w:t xml:space="preserve"> </w:t>
      </w:r>
    </w:p>
  </w:footnote>
  <w:footnote w:id="19">
    <w:p w14:paraId="59901315" w14:textId="77777777" w:rsidR="009741C5" w:rsidRPr="00734810" w:rsidRDefault="009741C5" w:rsidP="009741C5">
      <w:pPr>
        <w:pStyle w:val="FootnoteText"/>
        <w:rPr>
          <w:rFonts w:cs="Arial"/>
          <w:szCs w:val="20"/>
        </w:rPr>
      </w:pPr>
      <w:r w:rsidRPr="006D594F">
        <w:rPr>
          <w:rStyle w:val="FootnoteReference"/>
          <w:rFonts w:asciiTheme="minorHAnsi" w:hAnsiTheme="minorHAnsi" w:cstheme="minorHAnsi"/>
          <w:szCs w:val="20"/>
        </w:rPr>
        <w:footnoteRef/>
      </w:r>
      <w:r w:rsidRPr="006D594F">
        <w:rPr>
          <w:rFonts w:asciiTheme="minorHAnsi" w:hAnsiTheme="minorHAnsi" w:cstheme="minorHAnsi"/>
          <w:szCs w:val="20"/>
        </w:rPr>
        <w:t xml:space="preserve"> Section 40(5).</w:t>
      </w:r>
    </w:p>
  </w:footnote>
  <w:footnote w:id="20">
    <w:p w14:paraId="769F404D" w14:textId="3E003C12" w:rsidR="00C33DE6" w:rsidRPr="006D594F" w:rsidRDefault="00C33DE6" w:rsidP="00C33DE6">
      <w:pPr>
        <w:pStyle w:val="FootnoteText"/>
        <w:rPr>
          <w:rFonts w:asciiTheme="minorHAnsi" w:hAnsiTheme="minorHAnsi" w:cstheme="minorHAnsi"/>
          <w:lang w:val="en-CA"/>
        </w:rPr>
      </w:pPr>
      <w:r w:rsidRPr="006D594F">
        <w:rPr>
          <w:rStyle w:val="FootnoteReference"/>
          <w:rFonts w:asciiTheme="minorHAnsi" w:hAnsiTheme="minorHAnsi" w:cstheme="minorHAnsi"/>
        </w:rPr>
        <w:footnoteRef/>
      </w:r>
      <w:r w:rsidRPr="006D594F">
        <w:rPr>
          <w:rFonts w:asciiTheme="minorHAnsi" w:hAnsiTheme="minorHAnsi" w:cstheme="minorHAnsi"/>
          <w:lang w:val="en-CA"/>
        </w:rPr>
        <w:t xml:space="preserve"> </w:t>
      </w:r>
      <w:r w:rsidRPr="006D594F">
        <w:rPr>
          <w:rFonts w:asciiTheme="minorHAnsi" w:hAnsiTheme="minorHAnsi" w:cstheme="minorHAnsi"/>
        </w:rPr>
        <w:t>House of Commons Standing Committee on Public Safety and National Security, Systemic Racism in Policing in Canada (June 2021) at page 3, a</w:t>
      </w:r>
      <w:r w:rsidRPr="006D594F">
        <w:rPr>
          <w:rFonts w:asciiTheme="minorHAnsi" w:hAnsiTheme="minorHAnsi" w:cstheme="minorHAnsi"/>
          <w:lang w:val="en-CA"/>
        </w:rPr>
        <w:t>vailable at</w:t>
      </w:r>
      <w:r w:rsidR="00873901">
        <w:rPr>
          <w:rFonts w:asciiTheme="minorHAnsi" w:hAnsiTheme="minorHAnsi" w:cstheme="minorHAnsi"/>
          <w:lang w:val="en-CA"/>
        </w:rPr>
        <w:t>:</w:t>
      </w:r>
      <w:r w:rsidRPr="006D594F">
        <w:rPr>
          <w:rFonts w:asciiTheme="minorHAnsi" w:hAnsiTheme="minorHAnsi" w:cstheme="minorHAnsi"/>
          <w:lang w:val="en-CA"/>
        </w:rPr>
        <w:t xml:space="preserve"> </w:t>
      </w:r>
      <w:hyperlink r:id="rId21" w:history="1">
        <w:r w:rsidRPr="006D594F">
          <w:rPr>
            <w:rStyle w:val="Hyperlink"/>
            <w:rFonts w:asciiTheme="minorHAnsi" w:hAnsiTheme="minorHAnsi" w:cstheme="minorHAnsi"/>
            <w:lang w:val="en-CA"/>
          </w:rPr>
          <w:t>https://www.ourcommons.ca/Content/Committee/432/SECU/Reports/RP11434998/securp06/securp06-e.pdf</w:t>
        </w:r>
      </w:hyperlink>
      <w:r w:rsidRPr="006D594F">
        <w:rPr>
          <w:rFonts w:asciiTheme="minorHAnsi" w:hAnsiTheme="minorHAnsi" w:cstheme="minorHAnsi"/>
          <w:lang w:val="en-CA"/>
        </w:rPr>
        <w:t xml:space="preserve"> </w:t>
      </w:r>
    </w:p>
  </w:footnote>
  <w:footnote w:id="21">
    <w:p w14:paraId="752EEEF2" w14:textId="2CCFE13A" w:rsidR="00F91731" w:rsidRPr="00F91731" w:rsidRDefault="00F91731">
      <w:pPr>
        <w:pStyle w:val="FootnoteText"/>
      </w:pPr>
      <w:r w:rsidRPr="006D594F">
        <w:rPr>
          <w:rStyle w:val="FootnoteReference"/>
          <w:rFonts w:asciiTheme="minorHAnsi" w:hAnsiTheme="minorHAnsi" w:cstheme="minorHAnsi"/>
        </w:rPr>
        <w:footnoteRef/>
      </w:r>
      <w:r w:rsidRPr="006D594F">
        <w:rPr>
          <w:rFonts w:asciiTheme="minorHAnsi" w:hAnsiTheme="minorHAnsi" w:cstheme="minorHAnsi"/>
        </w:rPr>
        <w:t xml:space="preserve"> Bill C-20 – An Act establishing the Public Complaints and Review Commission and amending certain Acts and statutory instruments, Backgrounder, available at</w:t>
      </w:r>
      <w:r w:rsidR="00873901">
        <w:rPr>
          <w:rFonts w:asciiTheme="minorHAnsi" w:hAnsiTheme="minorHAnsi" w:cstheme="minorHAnsi"/>
        </w:rPr>
        <w:t>:</w:t>
      </w:r>
      <w:r w:rsidRPr="006D594F">
        <w:rPr>
          <w:rFonts w:asciiTheme="minorHAnsi" w:hAnsiTheme="minorHAnsi" w:cstheme="minorHAnsi"/>
        </w:rPr>
        <w:t xml:space="preserve"> </w:t>
      </w:r>
      <w:hyperlink r:id="rId22" w:history="1">
        <w:r w:rsidR="00B5543B" w:rsidRPr="006D594F">
          <w:rPr>
            <w:rStyle w:val="Hyperlink"/>
            <w:rFonts w:asciiTheme="minorHAnsi" w:hAnsiTheme="minorHAnsi" w:cstheme="minorHAnsi"/>
          </w:rPr>
          <w:t>https://www.canada.ca/en/public-safety-canada/news/2022/05/bill-c-20--an-act-establishing-the-public-complaints-and-review-commission-and-amending-certain-acts-and-statutory-instruments.html</w:t>
        </w:r>
      </w:hyperlink>
      <w:r>
        <w:t xml:space="preserve"> </w:t>
      </w:r>
    </w:p>
  </w:footnote>
  <w:footnote w:id="22">
    <w:p w14:paraId="143C2FD4" w14:textId="1260BA7E" w:rsidR="00E75345" w:rsidRPr="00E75345" w:rsidRDefault="00E75345">
      <w:pPr>
        <w:pStyle w:val="FootnoteText"/>
      </w:pPr>
      <w:r>
        <w:rPr>
          <w:rStyle w:val="FootnoteReference"/>
        </w:rPr>
        <w:footnoteRef/>
      </w:r>
      <w:r>
        <w:t xml:space="preserve"> </w:t>
      </w:r>
      <w:r w:rsidRPr="00E75345">
        <w:rPr>
          <w:rFonts w:asciiTheme="minorHAnsi" w:hAnsiTheme="minorHAnsi" w:cstheme="minorHAnsi"/>
        </w:rPr>
        <w:t xml:space="preserve">CHRC Submission to the United Nations Human Rights Council on the occasion of its review of Canada during the 4th cycle of the Universal Periodic Review (April 2023) available at: </w:t>
      </w:r>
      <w:hyperlink r:id="rId23" w:history="1">
        <w:r w:rsidRPr="00B56777">
          <w:rPr>
            <w:rStyle w:val="Hyperlink"/>
            <w:rFonts w:asciiTheme="minorHAnsi" w:hAnsiTheme="minorHAnsi" w:cstheme="minorHAnsi"/>
          </w:rPr>
          <w:t>https://www.chrc-ccdp.gc.ca/en/resources/publications/submission-the-united-nations-human-rights-council</w:t>
        </w:r>
      </w:hyperlink>
      <w:r>
        <w:t xml:space="preserve"> </w:t>
      </w:r>
    </w:p>
  </w:footnote>
  <w:footnote w:id="23">
    <w:p w14:paraId="7513F786" w14:textId="59245946" w:rsidR="00C33DE6" w:rsidRPr="00FF769A" w:rsidRDefault="00C33DE6" w:rsidP="00C33DE6">
      <w:pPr>
        <w:pStyle w:val="FootnoteText"/>
        <w:rPr>
          <w:rFonts w:asciiTheme="minorHAnsi" w:hAnsiTheme="minorHAnsi" w:cstheme="minorHAnsi"/>
        </w:rPr>
      </w:pPr>
      <w:r w:rsidRPr="00FF769A">
        <w:rPr>
          <w:rStyle w:val="FootnoteReference"/>
          <w:rFonts w:asciiTheme="minorHAnsi" w:hAnsiTheme="minorHAnsi" w:cstheme="minorHAnsi"/>
        </w:rPr>
        <w:footnoteRef/>
      </w:r>
      <w:r w:rsidR="0053306F" w:rsidRPr="00FF769A">
        <w:rPr>
          <w:rFonts w:asciiTheme="minorHAnsi" w:hAnsiTheme="minorHAnsi" w:cstheme="minorHAnsi"/>
        </w:rPr>
        <w:t xml:space="preserve"> Ontario Human Rights Commission, ‘Framework for change to address systemic racism in policing’ (July 2021), </w:t>
      </w:r>
      <w:hyperlink r:id="rId24" w:history="1">
        <w:r w:rsidR="0053306F" w:rsidRPr="00FF769A">
          <w:rPr>
            <w:rStyle w:val="Hyperlink"/>
            <w:rFonts w:asciiTheme="minorHAnsi" w:hAnsiTheme="minorHAnsi" w:cstheme="minorHAnsi"/>
          </w:rPr>
          <w:t>https://www.ohrc.on.ca/en/framework-change-address-systemic-racism-policing</w:t>
        </w:r>
      </w:hyperlink>
      <w:r w:rsidRPr="00FF769A">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E556" w14:textId="1F58A715" w:rsidR="000A7F99" w:rsidRDefault="000A7F99" w:rsidP="00A74635">
    <w:pPr>
      <w:pStyle w:val="Header"/>
    </w:pPr>
    <w:r>
      <w:rPr>
        <w:noProof/>
        <w:lang w:val="en-CA" w:eastAsia="en-CA"/>
      </w:rPr>
      <w:drawing>
        <wp:anchor distT="0" distB="0" distL="114300" distR="114300" simplePos="0" relativeHeight="251657216" behindDoc="1" locked="0" layoutInCell="1" allowOverlap="1" wp14:anchorId="270EA407" wp14:editId="44939695">
          <wp:simplePos x="0" y="0"/>
          <wp:positionH relativeFrom="column">
            <wp:posOffset>-1171575</wp:posOffset>
          </wp:positionH>
          <wp:positionV relativeFrom="paragraph">
            <wp:posOffset>-495300</wp:posOffset>
          </wp:positionV>
          <wp:extent cx="7825928" cy="10127672"/>
          <wp:effectExtent l="0" t="0" r="3810" b="6985"/>
          <wp:wrapNone/>
          <wp:docPr id="3" name="Image 2" descr="Cover page with a black banner at the top containing the Canadian Human Rights Commission logo and two colored triangles at the bottom. On the right side, it is inscribed &quot;Human Righ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over page with a black banner at the top containing the Canadian Human Rights Commission logo and two colored triangles at the bottom. On the right side, it is inscribed &quot;Human Rights&quot;."/>
                  <pic:cNvPicPr/>
                </pic:nvPicPr>
                <pic:blipFill>
                  <a:blip r:embed="rId1">
                    <a:extLst>
                      <a:ext uri="{28A0092B-C50C-407E-A947-70E740481C1C}">
                        <a14:useLocalDpi xmlns:a14="http://schemas.microsoft.com/office/drawing/2010/main" val="0"/>
                      </a:ext>
                    </a:extLst>
                  </a:blip>
                  <a:stretch>
                    <a:fillRect/>
                  </a:stretch>
                </pic:blipFill>
                <pic:spPr>
                  <a:xfrm>
                    <a:off x="0" y="0"/>
                    <a:ext cx="7825928" cy="101276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4404"/>
    <w:multiLevelType w:val="hybridMultilevel"/>
    <w:tmpl w:val="17EAAD2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BB1134"/>
    <w:multiLevelType w:val="hybridMultilevel"/>
    <w:tmpl w:val="C3F2AC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7D75298"/>
    <w:multiLevelType w:val="hybridMultilevel"/>
    <w:tmpl w:val="C98C9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17388F"/>
    <w:multiLevelType w:val="hybridMultilevel"/>
    <w:tmpl w:val="2E7A6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BC73EC"/>
    <w:multiLevelType w:val="multilevel"/>
    <w:tmpl w:val="7C9293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1080"/>
        </w:tabs>
        <w:ind w:left="1080" w:hanging="360"/>
      </w:pPr>
      <w:rPr>
        <w:rFonts w:ascii="Symbol" w:hAnsi="Symbol" w:hint="default"/>
        <w:sz w:val="20"/>
      </w:rPr>
    </w:lvl>
    <w:lvl w:ilvl="3">
      <w:numFmt w:val="bullet"/>
      <w:lvlText w:val="-"/>
      <w:lvlJc w:val="left"/>
      <w:pPr>
        <w:ind w:left="1800" w:hanging="360"/>
      </w:pPr>
      <w:rPr>
        <w:rFonts w:ascii="Calibri" w:eastAsia="Times New Roman" w:hAnsi="Calibri" w:cs="Calibri" w:hint="default"/>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5" w15:restartNumberingAfterBreak="0">
    <w:nsid w:val="30C8221A"/>
    <w:multiLevelType w:val="hybridMultilevel"/>
    <w:tmpl w:val="09A20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890541"/>
    <w:multiLevelType w:val="hybridMultilevel"/>
    <w:tmpl w:val="8488C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BC278F"/>
    <w:multiLevelType w:val="hybridMultilevel"/>
    <w:tmpl w:val="AA1A3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1254E3"/>
    <w:multiLevelType w:val="hybridMultilevel"/>
    <w:tmpl w:val="BEE8718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0040FA1"/>
    <w:multiLevelType w:val="multilevel"/>
    <w:tmpl w:val="2236C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8725B"/>
    <w:multiLevelType w:val="hybridMultilevel"/>
    <w:tmpl w:val="368A9FC2"/>
    <w:lvl w:ilvl="0" w:tplc="D3B69470">
      <w:start w:val="2022"/>
      <w:numFmt w:val="bullet"/>
      <w:lvlText w:val=""/>
      <w:lvlJc w:val="left"/>
      <w:pPr>
        <w:ind w:left="720" w:hanging="360"/>
      </w:pPr>
      <w:rPr>
        <w:rFonts w:ascii="Symbol" w:eastAsiaTheme="minorHAnsi"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BD6FC2"/>
    <w:multiLevelType w:val="hybridMultilevel"/>
    <w:tmpl w:val="FF480B2C"/>
    <w:lvl w:ilvl="0" w:tplc="DB085E7A">
      <w:start w:val="1"/>
      <w:numFmt w:val="bullet"/>
      <w:pStyle w:val="Bulle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75254A3"/>
    <w:multiLevelType w:val="hybridMultilevel"/>
    <w:tmpl w:val="1B4A2B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5065C0"/>
    <w:multiLevelType w:val="hybridMultilevel"/>
    <w:tmpl w:val="6980B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3F1289"/>
    <w:multiLevelType w:val="hybridMultilevel"/>
    <w:tmpl w:val="97FC3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4D11C1"/>
    <w:multiLevelType w:val="hybridMultilevel"/>
    <w:tmpl w:val="91D06C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5B7A15AB"/>
    <w:multiLevelType w:val="hybridMultilevel"/>
    <w:tmpl w:val="06B8FD0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618E4BFB"/>
    <w:multiLevelType w:val="multilevel"/>
    <w:tmpl w:val="312CD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015637"/>
    <w:multiLevelType w:val="hybridMultilevel"/>
    <w:tmpl w:val="E9F01BBE"/>
    <w:lvl w:ilvl="0" w:tplc="67DA6D1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0F4791"/>
    <w:multiLevelType w:val="multilevel"/>
    <w:tmpl w:val="9B46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8E70A1"/>
    <w:multiLevelType w:val="hybridMultilevel"/>
    <w:tmpl w:val="5A2CDA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775554FA"/>
    <w:multiLevelType w:val="hybridMultilevel"/>
    <w:tmpl w:val="3154B252"/>
    <w:lvl w:ilvl="0" w:tplc="D438E4BA">
      <w:start w:val="15"/>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1934783">
    <w:abstractNumId w:val="11"/>
  </w:num>
  <w:num w:numId="2" w16cid:durableId="1621259223">
    <w:abstractNumId w:val="8"/>
  </w:num>
  <w:num w:numId="3" w16cid:durableId="55667586">
    <w:abstractNumId w:val="0"/>
  </w:num>
  <w:num w:numId="4" w16cid:durableId="841431610">
    <w:abstractNumId w:val="13"/>
  </w:num>
  <w:num w:numId="5" w16cid:durableId="1726642042">
    <w:abstractNumId w:val="2"/>
  </w:num>
  <w:num w:numId="6" w16cid:durableId="823425302">
    <w:abstractNumId w:val="6"/>
  </w:num>
  <w:num w:numId="7" w16cid:durableId="716006688">
    <w:abstractNumId w:val="10"/>
  </w:num>
  <w:num w:numId="8" w16cid:durableId="2054441">
    <w:abstractNumId w:val="20"/>
  </w:num>
  <w:num w:numId="9" w16cid:durableId="121655324">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 w16cid:durableId="1187597411">
    <w:abstractNumId w:val="9"/>
  </w:num>
  <w:num w:numId="11" w16cid:durableId="1856111668">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2020500551">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3" w16cid:durableId="1173181594">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num>
  <w:num w:numId="14" w16cid:durableId="423183425">
    <w:abstractNumId w:val="14"/>
  </w:num>
  <w:num w:numId="15" w16cid:durableId="2093237014">
    <w:abstractNumId w:val="5"/>
  </w:num>
  <w:num w:numId="16" w16cid:durableId="1368064604">
    <w:abstractNumId w:val="7"/>
  </w:num>
  <w:num w:numId="17" w16cid:durableId="221061447">
    <w:abstractNumId w:val="15"/>
  </w:num>
  <w:num w:numId="18" w16cid:durableId="1333948153">
    <w:abstractNumId w:val="18"/>
  </w:num>
  <w:num w:numId="19" w16cid:durableId="138882541">
    <w:abstractNumId w:val="21"/>
  </w:num>
  <w:num w:numId="20" w16cid:durableId="2037072954">
    <w:abstractNumId w:val="3"/>
  </w:num>
  <w:num w:numId="21" w16cid:durableId="255485283">
    <w:abstractNumId w:val="12"/>
  </w:num>
  <w:num w:numId="22" w16cid:durableId="1984117649">
    <w:abstractNumId w:val="19"/>
  </w:num>
  <w:num w:numId="23" w16cid:durableId="407774722">
    <w:abstractNumId w:val="16"/>
  </w:num>
  <w:num w:numId="24" w16cid:durableId="151129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fr-CA" w:vendorID="64" w:dllVersion="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C"/>
    <w:rsid w:val="00007AAE"/>
    <w:rsid w:val="00010164"/>
    <w:rsid w:val="000103D0"/>
    <w:rsid w:val="0001111F"/>
    <w:rsid w:val="00011E6A"/>
    <w:rsid w:val="00012EE2"/>
    <w:rsid w:val="0001587B"/>
    <w:rsid w:val="000161CB"/>
    <w:rsid w:val="00022B3A"/>
    <w:rsid w:val="0002441B"/>
    <w:rsid w:val="0002640D"/>
    <w:rsid w:val="00027154"/>
    <w:rsid w:val="0002724D"/>
    <w:rsid w:val="0002736B"/>
    <w:rsid w:val="00030286"/>
    <w:rsid w:val="00031B08"/>
    <w:rsid w:val="00031FC9"/>
    <w:rsid w:val="00034E49"/>
    <w:rsid w:val="00042B8A"/>
    <w:rsid w:val="000434C7"/>
    <w:rsid w:val="00043CB8"/>
    <w:rsid w:val="00044D8B"/>
    <w:rsid w:val="00052442"/>
    <w:rsid w:val="0005258E"/>
    <w:rsid w:val="000528DE"/>
    <w:rsid w:val="0005315F"/>
    <w:rsid w:val="00060760"/>
    <w:rsid w:val="00062C56"/>
    <w:rsid w:val="000630A0"/>
    <w:rsid w:val="0007501F"/>
    <w:rsid w:val="00075F25"/>
    <w:rsid w:val="00084048"/>
    <w:rsid w:val="00087250"/>
    <w:rsid w:val="000921A5"/>
    <w:rsid w:val="00093C02"/>
    <w:rsid w:val="000A213E"/>
    <w:rsid w:val="000A7211"/>
    <w:rsid w:val="000A7F99"/>
    <w:rsid w:val="000B1702"/>
    <w:rsid w:val="000B6052"/>
    <w:rsid w:val="000B6558"/>
    <w:rsid w:val="000C1226"/>
    <w:rsid w:val="000C4089"/>
    <w:rsid w:val="000D3BE8"/>
    <w:rsid w:val="000D5EF0"/>
    <w:rsid w:val="000D6545"/>
    <w:rsid w:val="000E0757"/>
    <w:rsid w:val="000E43BB"/>
    <w:rsid w:val="000E6CA9"/>
    <w:rsid w:val="000F190E"/>
    <w:rsid w:val="000F3E08"/>
    <w:rsid w:val="000F4840"/>
    <w:rsid w:val="000F4B5C"/>
    <w:rsid w:val="00103139"/>
    <w:rsid w:val="0012239D"/>
    <w:rsid w:val="001225B2"/>
    <w:rsid w:val="00123BAB"/>
    <w:rsid w:val="00124A82"/>
    <w:rsid w:val="00133D55"/>
    <w:rsid w:val="00137842"/>
    <w:rsid w:val="00143E7D"/>
    <w:rsid w:val="00147B41"/>
    <w:rsid w:val="00150210"/>
    <w:rsid w:val="00150657"/>
    <w:rsid w:val="00154022"/>
    <w:rsid w:val="00166C5F"/>
    <w:rsid w:val="00171ADD"/>
    <w:rsid w:val="00180346"/>
    <w:rsid w:val="001915CE"/>
    <w:rsid w:val="001936F9"/>
    <w:rsid w:val="00196E4B"/>
    <w:rsid w:val="001A09D8"/>
    <w:rsid w:val="001A2B6D"/>
    <w:rsid w:val="001A4674"/>
    <w:rsid w:val="001A50C3"/>
    <w:rsid w:val="001B2400"/>
    <w:rsid w:val="001C135D"/>
    <w:rsid w:val="001C1578"/>
    <w:rsid w:val="001D5464"/>
    <w:rsid w:val="001D60F6"/>
    <w:rsid w:val="001D66AE"/>
    <w:rsid w:val="001E527B"/>
    <w:rsid w:val="001F1C56"/>
    <w:rsid w:val="001F2D0A"/>
    <w:rsid w:val="001F316A"/>
    <w:rsid w:val="00211973"/>
    <w:rsid w:val="00222042"/>
    <w:rsid w:val="002232FF"/>
    <w:rsid w:val="0023268A"/>
    <w:rsid w:val="00247358"/>
    <w:rsid w:val="00251F5A"/>
    <w:rsid w:val="00252BD3"/>
    <w:rsid w:val="002579DD"/>
    <w:rsid w:val="00257C62"/>
    <w:rsid w:val="00271F0E"/>
    <w:rsid w:val="00273C7D"/>
    <w:rsid w:val="00274AE8"/>
    <w:rsid w:val="00275C21"/>
    <w:rsid w:val="00284D96"/>
    <w:rsid w:val="002918C7"/>
    <w:rsid w:val="0029459C"/>
    <w:rsid w:val="00295520"/>
    <w:rsid w:val="0029763F"/>
    <w:rsid w:val="002A0630"/>
    <w:rsid w:val="002A0B18"/>
    <w:rsid w:val="002A4FAF"/>
    <w:rsid w:val="002B079E"/>
    <w:rsid w:val="002B625B"/>
    <w:rsid w:val="002B73BB"/>
    <w:rsid w:val="002D1806"/>
    <w:rsid w:val="002D4D5C"/>
    <w:rsid w:val="002D59E9"/>
    <w:rsid w:val="002D5A28"/>
    <w:rsid w:val="002E3753"/>
    <w:rsid w:val="002E500D"/>
    <w:rsid w:val="002E5756"/>
    <w:rsid w:val="002E65C5"/>
    <w:rsid w:val="002F1219"/>
    <w:rsid w:val="002F3D4B"/>
    <w:rsid w:val="002F44F7"/>
    <w:rsid w:val="00300227"/>
    <w:rsid w:val="00301E13"/>
    <w:rsid w:val="003063D3"/>
    <w:rsid w:val="0031458B"/>
    <w:rsid w:val="00316FFF"/>
    <w:rsid w:val="003221AC"/>
    <w:rsid w:val="00331153"/>
    <w:rsid w:val="00331D3D"/>
    <w:rsid w:val="00336019"/>
    <w:rsid w:val="003361FF"/>
    <w:rsid w:val="003377D2"/>
    <w:rsid w:val="003513ED"/>
    <w:rsid w:val="003527C7"/>
    <w:rsid w:val="003606B8"/>
    <w:rsid w:val="003614EE"/>
    <w:rsid w:val="003666AE"/>
    <w:rsid w:val="00373D59"/>
    <w:rsid w:val="00374198"/>
    <w:rsid w:val="00377EA6"/>
    <w:rsid w:val="00380A96"/>
    <w:rsid w:val="00383805"/>
    <w:rsid w:val="00387F94"/>
    <w:rsid w:val="00392634"/>
    <w:rsid w:val="003927ED"/>
    <w:rsid w:val="003A0C8A"/>
    <w:rsid w:val="003C38B1"/>
    <w:rsid w:val="003C6DF6"/>
    <w:rsid w:val="003D053C"/>
    <w:rsid w:val="003D2A76"/>
    <w:rsid w:val="003D3D50"/>
    <w:rsid w:val="003D56AE"/>
    <w:rsid w:val="003E0C1F"/>
    <w:rsid w:val="003E1D8E"/>
    <w:rsid w:val="003E340C"/>
    <w:rsid w:val="003E4428"/>
    <w:rsid w:val="003E5B83"/>
    <w:rsid w:val="003F4CC3"/>
    <w:rsid w:val="003F5DF1"/>
    <w:rsid w:val="003F7D4C"/>
    <w:rsid w:val="0040153F"/>
    <w:rsid w:val="004026E2"/>
    <w:rsid w:val="004148F4"/>
    <w:rsid w:val="004171D2"/>
    <w:rsid w:val="00423145"/>
    <w:rsid w:val="00425E41"/>
    <w:rsid w:val="004357AA"/>
    <w:rsid w:val="00440095"/>
    <w:rsid w:val="00440FBC"/>
    <w:rsid w:val="00442F10"/>
    <w:rsid w:val="00446B32"/>
    <w:rsid w:val="00455986"/>
    <w:rsid w:val="00455B59"/>
    <w:rsid w:val="0045664C"/>
    <w:rsid w:val="00456EEC"/>
    <w:rsid w:val="0046070C"/>
    <w:rsid w:val="00471347"/>
    <w:rsid w:val="004741E2"/>
    <w:rsid w:val="00476893"/>
    <w:rsid w:val="0048310D"/>
    <w:rsid w:val="004837C4"/>
    <w:rsid w:val="00484620"/>
    <w:rsid w:val="00492901"/>
    <w:rsid w:val="00494B92"/>
    <w:rsid w:val="00495AA1"/>
    <w:rsid w:val="00496C85"/>
    <w:rsid w:val="004A083B"/>
    <w:rsid w:val="004A27F5"/>
    <w:rsid w:val="004A2F57"/>
    <w:rsid w:val="004B2BBD"/>
    <w:rsid w:val="004B52C2"/>
    <w:rsid w:val="004D3411"/>
    <w:rsid w:val="004D5C8D"/>
    <w:rsid w:val="004E26A1"/>
    <w:rsid w:val="004E33F3"/>
    <w:rsid w:val="004E3BCD"/>
    <w:rsid w:val="004E669A"/>
    <w:rsid w:val="004F0D48"/>
    <w:rsid w:val="004F3E3D"/>
    <w:rsid w:val="004F5457"/>
    <w:rsid w:val="004F7532"/>
    <w:rsid w:val="00501101"/>
    <w:rsid w:val="00506984"/>
    <w:rsid w:val="00511D51"/>
    <w:rsid w:val="00513672"/>
    <w:rsid w:val="00516E12"/>
    <w:rsid w:val="005174D0"/>
    <w:rsid w:val="00521D20"/>
    <w:rsid w:val="005244FB"/>
    <w:rsid w:val="00524BE8"/>
    <w:rsid w:val="00527DEE"/>
    <w:rsid w:val="00530C38"/>
    <w:rsid w:val="005315ED"/>
    <w:rsid w:val="0053306F"/>
    <w:rsid w:val="00536603"/>
    <w:rsid w:val="005370B1"/>
    <w:rsid w:val="005411EE"/>
    <w:rsid w:val="0054164D"/>
    <w:rsid w:val="00547C40"/>
    <w:rsid w:val="00547E8E"/>
    <w:rsid w:val="00555489"/>
    <w:rsid w:val="00555E64"/>
    <w:rsid w:val="00562357"/>
    <w:rsid w:val="00565499"/>
    <w:rsid w:val="00567558"/>
    <w:rsid w:val="00576226"/>
    <w:rsid w:val="00577F3D"/>
    <w:rsid w:val="0058344F"/>
    <w:rsid w:val="005840A2"/>
    <w:rsid w:val="00585F9C"/>
    <w:rsid w:val="005924EF"/>
    <w:rsid w:val="005A0925"/>
    <w:rsid w:val="005A3928"/>
    <w:rsid w:val="005B081C"/>
    <w:rsid w:val="005B31FE"/>
    <w:rsid w:val="005B7AA4"/>
    <w:rsid w:val="005C4CA3"/>
    <w:rsid w:val="005C62B8"/>
    <w:rsid w:val="005C72F5"/>
    <w:rsid w:val="005E4BA4"/>
    <w:rsid w:val="005F0032"/>
    <w:rsid w:val="005F2248"/>
    <w:rsid w:val="00602D4C"/>
    <w:rsid w:val="00611D61"/>
    <w:rsid w:val="00612D6D"/>
    <w:rsid w:val="00614EAC"/>
    <w:rsid w:val="0061735F"/>
    <w:rsid w:val="00617D50"/>
    <w:rsid w:val="006223A5"/>
    <w:rsid w:val="0062564D"/>
    <w:rsid w:val="00625D17"/>
    <w:rsid w:val="0062633F"/>
    <w:rsid w:val="0063373A"/>
    <w:rsid w:val="0063760F"/>
    <w:rsid w:val="00637B7C"/>
    <w:rsid w:val="00642912"/>
    <w:rsid w:val="00643843"/>
    <w:rsid w:val="00652362"/>
    <w:rsid w:val="00653C31"/>
    <w:rsid w:val="00654940"/>
    <w:rsid w:val="00657861"/>
    <w:rsid w:val="0066105E"/>
    <w:rsid w:val="00666907"/>
    <w:rsid w:val="00673296"/>
    <w:rsid w:val="00683346"/>
    <w:rsid w:val="0069108F"/>
    <w:rsid w:val="00694B7B"/>
    <w:rsid w:val="006A4849"/>
    <w:rsid w:val="006A5979"/>
    <w:rsid w:val="006B0210"/>
    <w:rsid w:val="006B13B7"/>
    <w:rsid w:val="006B19B5"/>
    <w:rsid w:val="006B353B"/>
    <w:rsid w:val="006B619D"/>
    <w:rsid w:val="006C26EF"/>
    <w:rsid w:val="006D28DA"/>
    <w:rsid w:val="006D594F"/>
    <w:rsid w:val="006E3BC3"/>
    <w:rsid w:val="006E6034"/>
    <w:rsid w:val="006F2284"/>
    <w:rsid w:val="00707518"/>
    <w:rsid w:val="00711551"/>
    <w:rsid w:val="007144DC"/>
    <w:rsid w:val="00715735"/>
    <w:rsid w:val="007202EC"/>
    <w:rsid w:val="00727427"/>
    <w:rsid w:val="00734735"/>
    <w:rsid w:val="007347E9"/>
    <w:rsid w:val="00744DD8"/>
    <w:rsid w:val="007602F2"/>
    <w:rsid w:val="00760FD5"/>
    <w:rsid w:val="00762CF1"/>
    <w:rsid w:val="00765799"/>
    <w:rsid w:val="00765FB5"/>
    <w:rsid w:val="00771909"/>
    <w:rsid w:val="00782CB1"/>
    <w:rsid w:val="00786869"/>
    <w:rsid w:val="0079162B"/>
    <w:rsid w:val="00792E56"/>
    <w:rsid w:val="0079626D"/>
    <w:rsid w:val="00797459"/>
    <w:rsid w:val="007A1134"/>
    <w:rsid w:val="007A31DA"/>
    <w:rsid w:val="007A5F8E"/>
    <w:rsid w:val="007A6549"/>
    <w:rsid w:val="007B3F7A"/>
    <w:rsid w:val="007B58A8"/>
    <w:rsid w:val="007C20D2"/>
    <w:rsid w:val="007C2549"/>
    <w:rsid w:val="007C4822"/>
    <w:rsid w:val="007D076C"/>
    <w:rsid w:val="007D7A11"/>
    <w:rsid w:val="007E060A"/>
    <w:rsid w:val="007E142E"/>
    <w:rsid w:val="007E173D"/>
    <w:rsid w:val="007E4E68"/>
    <w:rsid w:val="007E5496"/>
    <w:rsid w:val="007E682F"/>
    <w:rsid w:val="007F5FF8"/>
    <w:rsid w:val="008004BF"/>
    <w:rsid w:val="00830851"/>
    <w:rsid w:val="00832C62"/>
    <w:rsid w:val="00834EDF"/>
    <w:rsid w:val="00835F8D"/>
    <w:rsid w:val="00836DE7"/>
    <w:rsid w:val="00841B4F"/>
    <w:rsid w:val="00864D53"/>
    <w:rsid w:val="008709F9"/>
    <w:rsid w:val="00871AA1"/>
    <w:rsid w:val="00873901"/>
    <w:rsid w:val="00876782"/>
    <w:rsid w:val="008833BB"/>
    <w:rsid w:val="00883D37"/>
    <w:rsid w:val="00885D67"/>
    <w:rsid w:val="0088645A"/>
    <w:rsid w:val="00895311"/>
    <w:rsid w:val="0089699E"/>
    <w:rsid w:val="008A08B9"/>
    <w:rsid w:val="008A4267"/>
    <w:rsid w:val="008A4AFF"/>
    <w:rsid w:val="008A4DAE"/>
    <w:rsid w:val="008B43FD"/>
    <w:rsid w:val="008B54AE"/>
    <w:rsid w:val="008C0436"/>
    <w:rsid w:val="008C076D"/>
    <w:rsid w:val="008D2DFB"/>
    <w:rsid w:val="008E5078"/>
    <w:rsid w:val="008E659F"/>
    <w:rsid w:val="008F62A5"/>
    <w:rsid w:val="008F6862"/>
    <w:rsid w:val="008F76DC"/>
    <w:rsid w:val="008F7C0F"/>
    <w:rsid w:val="009048D3"/>
    <w:rsid w:val="009074F4"/>
    <w:rsid w:val="00913227"/>
    <w:rsid w:val="009139B6"/>
    <w:rsid w:val="009178EE"/>
    <w:rsid w:val="0092055A"/>
    <w:rsid w:val="009321D6"/>
    <w:rsid w:val="00935061"/>
    <w:rsid w:val="00936C89"/>
    <w:rsid w:val="00946B9A"/>
    <w:rsid w:val="00951E10"/>
    <w:rsid w:val="00952D7E"/>
    <w:rsid w:val="00953A9F"/>
    <w:rsid w:val="00954254"/>
    <w:rsid w:val="0096325C"/>
    <w:rsid w:val="0096669F"/>
    <w:rsid w:val="009741C5"/>
    <w:rsid w:val="0098356E"/>
    <w:rsid w:val="009921F1"/>
    <w:rsid w:val="009955D7"/>
    <w:rsid w:val="0099638E"/>
    <w:rsid w:val="00997F7E"/>
    <w:rsid w:val="009A198C"/>
    <w:rsid w:val="009A34EA"/>
    <w:rsid w:val="009A43D5"/>
    <w:rsid w:val="009A5D09"/>
    <w:rsid w:val="009B4F12"/>
    <w:rsid w:val="009B59E7"/>
    <w:rsid w:val="009B780F"/>
    <w:rsid w:val="009C260D"/>
    <w:rsid w:val="009C3639"/>
    <w:rsid w:val="009C630B"/>
    <w:rsid w:val="009D0774"/>
    <w:rsid w:val="009D129C"/>
    <w:rsid w:val="009D5E97"/>
    <w:rsid w:val="009E0C34"/>
    <w:rsid w:val="009E4886"/>
    <w:rsid w:val="009E510E"/>
    <w:rsid w:val="009E5CF8"/>
    <w:rsid w:val="009E603B"/>
    <w:rsid w:val="009E658F"/>
    <w:rsid w:val="009F424A"/>
    <w:rsid w:val="00A03ADB"/>
    <w:rsid w:val="00A1183C"/>
    <w:rsid w:val="00A11977"/>
    <w:rsid w:val="00A1332D"/>
    <w:rsid w:val="00A1433A"/>
    <w:rsid w:val="00A17753"/>
    <w:rsid w:val="00A26F63"/>
    <w:rsid w:val="00A36905"/>
    <w:rsid w:val="00A37335"/>
    <w:rsid w:val="00A40C2C"/>
    <w:rsid w:val="00A411A8"/>
    <w:rsid w:val="00A42796"/>
    <w:rsid w:val="00A53A29"/>
    <w:rsid w:val="00A61982"/>
    <w:rsid w:val="00A70896"/>
    <w:rsid w:val="00A74635"/>
    <w:rsid w:val="00A74FA2"/>
    <w:rsid w:val="00A8038D"/>
    <w:rsid w:val="00A87B63"/>
    <w:rsid w:val="00A87E6C"/>
    <w:rsid w:val="00A907E7"/>
    <w:rsid w:val="00A91403"/>
    <w:rsid w:val="00A94A01"/>
    <w:rsid w:val="00AA1374"/>
    <w:rsid w:val="00AB10E2"/>
    <w:rsid w:val="00AB2294"/>
    <w:rsid w:val="00AC0A64"/>
    <w:rsid w:val="00AC7873"/>
    <w:rsid w:val="00AD0F7F"/>
    <w:rsid w:val="00AE11EA"/>
    <w:rsid w:val="00AE324A"/>
    <w:rsid w:val="00AE365D"/>
    <w:rsid w:val="00AE67C1"/>
    <w:rsid w:val="00AE7F0D"/>
    <w:rsid w:val="00AF487A"/>
    <w:rsid w:val="00AF5168"/>
    <w:rsid w:val="00AF565F"/>
    <w:rsid w:val="00B034D1"/>
    <w:rsid w:val="00B048FE"/>
    <w:rsid w:val="00B10CF4"/>
    <w:rsid w:val="00B15B6E"/>
    <w:rsid w:val="00B25D13"/>
    <w:rsid w:val="00B26FB5"/>
    <w:rsid w:val="00B309B3"/>
    <w:rsid w:val="00B333C8"/>
    <w:rsid w:val="00B34BFD"/>
    <w:rsid w:val="00B3750D"/>
    <w:rsid w:val="00B45648"/>
    <w:rsid w:val="00B46691"/>
    <w:rsid w:val="00B46BCF"/>
    <w:rsid w:val="00B46E1C"/>
    <w:rsid w:val="00B46EF2"/>
    <w:rsid w:val="00B50961"/>
    <w:rsid w:val="00B5543B"/>
    <w:rsid w:val="00B66630"/>
    <w:rsid w:val="00B73093"/>
    <w:rsid w:val="00B82815"/>
    <w:rsid w:val="00B85895"/>
    <w:rsid w:val="00B914BC"/>
    <w:rsid w:val="00BA29E2"/>
    <w:rsid w:val="00BA6158"/>
    <w:rsid w:val="00BA6C7D"/>
    <w:rsid w:val="00BB4982"/>
    <w:rsid w:val="00BB4EA4"/>
    <w:rsid w:val="00BB5E3F"/>
    <w:rsid w:val="00BC65D0"/>
    <w:rsid w:val="00BD1AAD"/>
    <w:rsid w:val="00BD4293"/>
    <w:rsid w:val="00BD4720"/>
    <w:rsid w:val="00BD5396"/>
    <w:rsid w:val="00BD62BE"/>
    <w:rsid w:val="00BD789D"/>
    <w:rsid w:val="00BE0624"/>
    <w:rsid w:val="00BE2F4A"/>
    <w:rsid w:val="00BE542C"/>
    <w:rsid w:val="00BE7752"/>
    <w:rsid w:val="00BF4C25"/>
    <w:rsid w:val="00BF577F"/>
    <w:rsid w:val="00BF62FE"/>
    <w:rsid w:val="00C02385"/>
    <w:rsid w:val="00C04AF7"/>
    <w:rsid w:val="00C17AE9"/>
    <w:rsid w:val="00C2018A"/>
    <w:rsid w:val="00C23EEE"/>
    <w:rsid w:val="00C33DE6"/>
    <w:rsid w:val="00C34E96"/>
    <w:rsid w:val="00C35475"/>
    <w:rsid w:val="00C41BD8"/>
    <w:rsid w:val="00C42507"/>
    <w:rsid w:val="00C437E1"/>
    <w:rsid w:val="00C44B11"/>
    <w:rsid w:val="00C51600"/>
    <w:rsid w:val="00C565EB"/>
    <w:rsid w:val="00C608C0"/>
    <w:rsid w:val="00C635CC"/>
    <w:rsid w:val="00C64B0B"/>
    <w:rsid w:val="00C70311"/>
    <w:rsid w:val="00C74144"/>
    <w:rsid w:val="00C762A1"/>
    <w:rsid w:val="00C77033"/>
    <w:rsid w:val="00C84F8D"/>
    <w:rsid w:val="00C900E3"/>
    <w:rsid w:val="00C94A95"/>
    <w:rsid w:val="00C95478"/>
    <w:rsid w:val="00CA03DD"/>
    <w:rsid w:val="00CA1321"/>
    <w:rsid w:val="00CB7EB1"/>
    <w:rsid w:val="00CC2416"/>
    <w:rsid w:val="00CC38A0"/>
    <w:rsid w:val="00CC5036"/>
    <w:rsid w:val="00CD5A86"/>
    <w:rsid w:val="00CD681C"/>
    <w:rsid w:val="00CD79E3"/>
    <w:rsid w:val="00CE04F8"/>
    <w:rsid w:val="00CE1357"/>
    <w:rsid w:val="00CE351F"/>
    <w:rsid w:val="00CE56C8"/>
    <w:rsid w:val="00CE631C"/>
    <w:rsid w:val="00CE69F5"/>
    <w:rsid w:val="00CE71E5"/>
    <w:rsid w:val="00CF28A9"/>
    <w:rsid w:val="00CF2939"/>
    <w:rsid w:val="00CF3065"/>
    <w:rsid w:val="00CF3298"/>
    <w:rsid w:val="00CF5274"/>
    <w:rsid w:val="00D028EA"/>
    <w:rsid w:val="00D13544"/>
    <w:rsid w:val="00D140AD"/>
    <w:rsid w:val="00D158FC"/>
    <w:rsid w:val="00D15EA7"/>
    <w:rsid w:val="00D17711"/>
    <w:rsid w:val="00D31780"/>
    <w:rsid w:val="00D32A56"/>
    <w:rsid w:val="00D32CAC"/>
    <w:rsid w:val="00D35CB0"/>
    <w:rsid w:val="00D36261"/>
    <w:rsid w:val="00D37267"/>
    <w:rsid w:val="00D41DDE"/>
    <w:rsid w:val="00D45B36"/>
    <w:rsid w:val="00D50B42"/>
    <w:rsid w:val="00D51502"/>
    <w:rsid w:val="00D52F04"/>
    <w:rsid w:val="00D65BBE"/>
    <w:rsid w:val="00D71BE9"/>
    <w:rsid w:val="00D7782D"/>
    <w:rsid w:val="00D81312"/>
    <w:rsid w:val="00D8133F"/>
    <w:rsid w:val="00D84768"/>
    <w:rsid w:val="00D852AD"/>
    <w:rsid w:val="00D85D10"/>
    <w:rsid w:val="00D8667D"/>
    <w:rsid w:val="00D8717C"/>
    <w:rsid w:val="00D9087E"/>
    <w:rsid w:val="00DA342F"/>
    <w:rsid w:val="00DB0EAD"/>
    <w:rsid w:val="00DB21ED"/>
    <w:rsid w:val="00DB2627"/>
    <w:rsid w:val="00DB435F"/>
    <w:rsid w:val="00DB5ED9"/>
    <w:rsid w:val="00DC4677"/>
    <w:rsid w:val="00DC74A1"/>
    <w:rsid w:val="00DD4C2F"/>
    <w:rsid w:val="00DE28A1"/>
    <w:rsid w:val="00DE5D41"/>
    <w:rsid w:val="00DE7E75"/>
    <w:rsid w:val="00DF2D48"/>
    <w:rsid w:val="00DF2FAF"/>
    <w:rsid w:val="00DF50BE"/>
    <w:rsid w:val="00DF5FEA"/>
    <w:rsid w:val="00E02F16"/>
    <w:rsid w:val="00E03A49"/>
    <w:rsid w:val="00E03D41"/>
    <w:rsid w:val="00E056C3"/>
    <w:rsid w:val="00E108EE"/>
    <w:rsid w:val="00E15BDE"/>
    <w:rsid w:val="00E23FEC"/>
    <w:rsid w:val="00E26A3B"/>
    <w:rsid w:val="00E27195"/>
    <w:rsid w:val="00E27A4E"/>
    <w:rsid w:val="00E3012E"/>
    <w:rsid w:val="00E31885"/>
    <w:rsid w:val="00E32A5C"/>
    <w:rsid w:val="00E36B8E"/>
    <w:rsid w:val="00E52725"/>
    <w:rsid w:val="00E52A8D"/>
    <w:rsid w:val="00E61796"/>
    <w:rsid w:val="00E61FAD"/>
    <w:rsid w:val="00E63453"/>
    <w:rsid w:val="00E647B2"/>
    <w:rsid w:val="00E64EFE"/>
    <w:rsid w:val="00E75345"/>
    <w:rsid w:val="00E8068E"/>
    <w:rsid w:val="00E83CB7"/>
    <w:rsid w:val="00E848E8"/>
    <w:rsid w:val="00E854C6"/>
    <w:rsid w:val="00E86F15"/>
    <w:rsid w:val="00E90951"/>
    <w:rsid w:val="00EA03D1"/>
    <w:rsid w:val="00EA2F82"/>
    <w:rsid w:val="00EA68A0"/>
    <w:rsid w:val="00EA7A19"/>
    <w:rsid w:val="00EB4CA9"/>
    <w:rsid w:val="00EB4DBF"/>
    <w:rsid w:val="00EC04BC"/>
    <w:rsid w:val="00EC0ED6"/>
    <w:rsid w:val="00ED31BF"/>
    <w:rsid w:val="00ED726A"/>
    <w:rsid w:val="00F036E9"/>
    <w:rsid w:val="00F05860"/>
    <w:rsid w:val="00F1088C"/>
    <w:rsid w:val="00F11210"/>
    <w:rsid w:val="00F144F3"/>
    <w:rsid w:val="00F1480B"/>
    <w:rsid w:val="00F14956"/>
    <w:rsid w:val="00F15C99"/>
    <w:rsid w:val="00F15CF8"/>
    <w:rsid w:val="00F2521B"/>
    <w:rsid w:val="00F32859"/>
    <w:rsid w:val="00F37910"/>
    <w:rsid w:val="00F407A3"/>
    <w:rsid w:val="00F427AC"/>
    <w:rsid w:val="00F53E64"/>
    <w:rsid w:val="00F54EBF"/>
    <w:rsid w:val="00F617F6"/>
    <w:rsid w:val="00F62317"/>
    <w:rsid w:val="00F724EA"/>
    <w:rsid w:val="00F7528B"/>
    <w:rsid w:val="00F7643F"/>
    <w:rsid w:val="00F81517"/>
    <w:rsid w:val="00F82F87"/>
    <w:rsid w:val="00F90EEF"/>
    <w:rsid w:val="00F91731"/>
    <w:rsid w:val="00F91F57"/>
    <w:rsid w:val="00F92F5A"/>
    <w:rsid w:val="00F93FED"/>
    <w:rsid w:val="00F940F3"/>
    <w:rsid w:val="00F943AC"/>
    <w:rsid w:val="00F94609"/>
    <w:rsid w:val="00F95127"/>
    <w:rsid w:val="00FB37EB"/>
    <w:rsid w:val="00FC5E47"/>
    <w:rsid w:val="00FD7122"/>
    <w:rsid w:val="00FE30F0"/>
    <w:rsid w:val="00FE4884"/>
    <w:rsid w:val="00FE51A0"/>
    <w:rsid w:val="00FE5D96"/>
    <w:rsid w:val="00FF5D7C"/>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77C92C6"/>
  <w15:docId w15:val="{63074413-C5AA-44E6-ACF5-66A7D82C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35"/>
    <w:rPr>
      <w:rFonts w:cstheme="minorHAnsi"/>
      <w:shd w:val="clear" w:color="auto" w:fill="FFFFFF"/>
    </w:rPr>
  </w:style>
  <w:style w:type="paragraph" w:styleId="Heading1">
    <w:name w:val="heading 1"/>
    <w:basedOn w:val="Normal"/>
    <w:next w:val="Normal"/>
    <w:link w:val="Heading1Char"/>
    <w:uiPriority w:val="9"/>
    <w:qFormat/>
    <w:rsid w:val="00FE30F0"/>
    <w:pPr>
      <w:jc w:val="center"/>
      <w:outlineLvl w:val="0"/>
    </w:pPr>
    <w:rPr>
      <w:b/>
      <w:bCs/>
      <w:sz w:val="72"/>
      <w:szCs w:val="72"/>
      <w:lang w:val="fr-CA"/>
    </w:rPr>
  </w:style>
  <w:style w:type="paragraph" w:styleId="Heading2">
    <w:name w:val="heading 2"/>
    <w:basedOn w:val="Normal"/>
    <w:next w:val="Normal"/>
    <w:link w:val="Heading2Char"/>
    <w:uiPriority w:val="9"/>
    <w:unhideWhenUsed/>
    <w:qFormat/>
    <w:rsid w:val="00A74635"/>
    <w:pPr>
      <w:outlineLvl w:val="1"/>
    </w:pPr>
    <w:rPr>
      <w:b/>
      <w:bCs/>
      <w:sz w:val="40"/>
      <w:szCs w:val="40"/>
      <w:lang w:val="fr-CA"/>
    </w:rPr>
  </w:style>
  <w:style w:type="paragraph" w:styleId="Heading3">
    <w:name w:val="heading 3"/>
    <w:basedOn w:val="Normal"/>
    <w:next w:val="Normal"/>
    <w:link w:val="Heading3Char"/>
    <w:uiPriority w:val="9"/>
    <w:unhideWhenUsed/>
    <w:qFormat/>
    <w:rsid w:val="00A74635"/>
    <w:pPr>
      <w:outlineLvl w:val="2"/>
    </w:pPr>
    <w:rPr>
      <w:b/>
      <w:bCs/>
      <w:sz w:val="28"/>
      <w:szCs w:val="28"/>
      <w:lang w:val="fr-CA"/>
    </w:rPr>
  </w:style>
  <w:style w:type="paragraph" w:styleId="Heading4">
    <w:name w:val="heading 4"/>
    <w:basedOn w:val="Normal"/>
    <w:next w:val="Normal"/>
    <w:link w:val="Heading4Char"/>
    <w:uiPriority w:val="9"/>
    <w:unhideWhenUsed/>
    <w:qFormat/>
    <w:rsid w:val="007144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E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4EAC"/>
  </w:style>
  <w:style w:type="paragraph" w:styleId="Footer">
    <w:name w:val="footer"/>
    <w:basedOn w:val="Normal"/>
    <w:link w:val="FooterChar"/>
    <w:uiPriority w:val="99"/>
    <w:unhideWhenUsed/>
    <w:rsid w:val="00614E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4EAC"/>
  </w:style>
  <w:style w:type="character" w:customStyle="1" w:styleId="Heading1Char">
    <w:name w:val="Heading 1 Char"/>
    <w:basedOn w:val="DefaultParagraphFont"/>
    <w:link w:val="Heading1"/>
    <w:uiPriority w:val="9"/>
    <w:rsid w:val="00FE30F0"/>
    <w:rPr>
      <w:rFonts w:cstheme="minorHAnsi"/>
      <w:b/>
      <w:bCs/>
      <w:sz w:val="72"/>
      <w:szCs w:val="72"/>
      <w:lang w:val="fr-CA"/>
    </w:rPr>
  </w:style>
  <w:style w:type="character" w:customStyle="1" w:styleId="Heading2Char">
    <w:name w:val="Heading 2 Char"/>
    <w:basedOn w:val="DefaultParagraphFont"/>
    <w:link w:val="Heading2"/>
    <w:uiPriority w:val="9"/>
    <w:rsid w:val="00A74635"/>
    <w:rPr>
      <w:b/>
      <w:bCs/>
      <w:sz w:val="40"/>
      <w:szCs w:val="40"/>
      <w:lang w:val="fr-CA"/>
    </w:rPr>
  </w:style>
  <w:style w:type="character" w:styleId="Strong">
    <w:name w:val="Strong"/>
    <w:uiPriority w:val="22"/>
    <w:qFormat/>
    <w:rsid w:val="00A74635"/>
    <w:rPr>
      <w:rFonts w:ascii="Century Gothic" w:hAnsi="Century Gothic"/>
      <w:sz w:val="44"/>
      <w:szCs w:val="44"/>
      <w:lang w:val="fr-CA"/>
    </w:rPr>
  </w:style>
  <w:style w:type="character" w:customStyle="1" w:styleId="Heading3Char">
    <w:name w:val="Heading 3 Char"/>
    <w:basedOn w:val="DefaultParagraphFont"/>
    <w:link w:val="Heading3"/>
    <w:uiPriority w:val="9"/>
    <w:rsid w:val="00A74635"/>
    <w:rPr>
      <w:rFonts w:cstheme="minorHAnsi"/>
      <w:b/>
      <w:bCs/>
      <w:sz w:val="28"/>
      <w:szCs w:val="28"/>
      <w:lang w:val="fr-CA"/>
    </w:rPr>
  </w:style>
  <w:style w:type="paragraph" w:customStyle="1" w:styleId="Bullets">
    <w:name w:val="Bullets"/>
    <w:basedOn w:val="ListParagraph"/>
    <w:qFormat/>
    <w:rsid w:val="00FE30F0"/>
    <w:pPr>
      <w:numPr>
        <w:numId w:val="1"/>
      </w:numPr>
      <w:spacing w:before="240" w:after="0" w:line="276" w:lineRule="auto"/>
    </w:pPr>
    <w:rPr>
      <w:rFonts w:cs="Calibri"/>
      <w:shd w:val="clear" w:color="auto" w:fill="auto"/>
      <w:lang w:val="fr-CA"/>
    </w:rPr>
  </w:style>
  <w:style w:type="paragraph" w:styleId="ListParagraph">
    <w:name w:val="List Paragraph"/>
    <w:basedOn w:val="Normal"/>
    <w:uiPriority w:val="34"/>
    <w:qFormat/>
    <w:rsid w:val="00FE30F0"/>
    <w:pPr>
      <w:ind w:left="720"/>
      <w:contextualSpacing/>
    </w:pPr>
  </w:style>
  <w:style w:type="paragraph" w:styleId="Title">
    <w:name w:val="Title"/>
    <w:basedOn w:val="Normal"/>
    <w:next w:val="Normal"/>
    <w:link w:val="TitleChar"/>
    <w:uiPriority w:val="10"/>
    <w:qFormat/>
    <w:rsid w:val="00585F9C"/>
    <w:pPr>
      <w:spacing w:after="0" w:line="240" w:lineRule="auto"/>
      <w:contextualSpacing/>
    </w:pPr>
    <w:rPr>
      <w:rFonts w:asciiTheme="majorHAnsi" w:eastAsiaTheme="majorEastAsia" w:hAnsiTheme="majorHAnsi" w:cstheme="majorBidi"/>
      <w:spacing w:val="-10"/>
      <w:kern w:val="28"/>
      <w:sz w:val="56"/>
      <w:szCs w:val="56"/>
      <w:shd w:val="clear" w:color="auto" w:fill="auto"/>
      <w:lang w:val="en-CA"/>
    </w:rPr>
  </w:style>
  <w:style w:type="character" w:customStyle="1" w:styleId="TitleChar">
    <w:name w:val="Title Char"/>
    <w:basedOn w:val="DefaultParagraphFont"/>
    <w:link w:val="Title"/>
    <w:uiPriority w:val="10"/>
    <w:rsid w:val="00585F9C"/>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585F9C"/>
    <w:rPr>
      <w:color w:val="0563C1" w:themeColor="hyperlink"/>
      <w:u w:val="single"/>
    </w:rPr>
  </w:style>
  <w:style w:type="paragraph" w:styleId="NoSpacing">
    <w:name w:val="No Spacing"/>
    <w:uiPriority w:val="1"/>
    <w:qFormat/>
    <w:rsid w:val="00585F9C"/>
    <w:pPr>
      <w:spacing w:after="0" w:line="240" w:lineRule="auto"/>
    </w:pPr>
    <w:rPr>
      <w:lang w:val="en-CA"/>
    </w:rPr>
  </w:style>
  <w:style w:type="paragraph" w:styleId="FootnoteText">
    <w:name w:val="footnote text"/>
    <w:aliases w:val="Carattere,Footnote Text Char1 Char,Footnote Text Char Char Char,Footnote Text Char1 Char Char Char,Footnote Text Char Char Char Char Char,Footnote Text Char2 Char Char Char Char Char,Footnote Text Char1,FA Fu,Char,FA,FA Fußnotentext"/>
    <w:basedOn w:val="Normal"/>
    <w:link w:val="FootnoteTextChar"/>
    <w:uiPriority w:val="99"/>
    <w:unhideWhenUsed/>
    <w:rsid w:val="00B82815"/>
    <w:pPr>
      <w:spacing w:after="0" w:line="240" w:lineRule="auto"/>
    </w:pPr>
    <w:rPr>
      <w:rFonts w:ascii="Arial" w:eastAsia="Cambria" w:hAnsi="Arial" w:cs="Times New Roman"/>
      <w:noProof/>
      <w:sz w:val="20"/>
      <w:szCs w:val="24"/>
      <w:shd w:val="clear" w:color="auto" w:fill="auto"/>
    </w:rPr>
  </w:style>
  <w:style w:type="character" w:customStyle="1" w:styleId="FootnoteTextChar">
    <w:name w:val="Footnote Text Char"/>
    <w:aliases w:val="Carattere Char,Footnote Text Char1 Char Char,Footnote Text Char Char Char Char,Footnote Text Char1 Char Char Char Char,Footnote Text Char Char Char Char Char Char,Footnote Text Char2 Char Char Char Char Char Char,FA Fu Char,Char Char"/>
    <w:basedOn w:val="DefaultParagraphFont"/>
    <w:link w:val="FootnoteText"/>
    <w:uiPriority w:val="99"/>
    <w:rsid w:val="00B82815"/>
    <w:rPr>
      <w:rFonts w:ascii="Arial" w:eastAsia="Cambria" w:hAnsi="Arial" w:cs="Times New Roman"/>
      <w:noProof/>
      <w:sz w:val="20"/>
      <w:szCs w:val="24"/>
    </w:rPr>
  </w:style>
  <w:style w:type="character" w:styleId="FootnoteReference">
    <w:name w:val="footnote reference"/>
    <w:aliases w:val="Appel note de bas de page,Footnotes refss,Fago Fu?notenzeichen,Fago Fußnotenzeichen,Footnote number,Fago Fuﬂnotenzeichen"/>
    <w:uiPriority w:val="99"/>
    <w:unhideWhenUsed/>
    <w:rsid w:val="00585F9C"/>
    <w:rPr>
      <w:vertAlign w:val="superscript"/>
    </w:rPr>
  </w:style>
  <w:style w:type="character" w:customStyle="1" w:styleId="Heading4Char">
    <w:name w:val="Heading 4 Char"/>
    <w:basedOn w:val="DefaultParagraphFont"/>
    <w:link w:val="Heading4"/>
    <w:uiPriority w:val="9"/>
    <w:rsid w:val="007144DC"/>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F617F6"/>
    <w:rPr>
      <w:sz w:val="16"/>
      <w:szCs w:val="16"/>
    </w:rPr>
  </w:style>
  <w:style w:type="paragraph" w:styleId="CommentText">
    <w:name w:val="annotation text"/>
    <w:basedOn w:val="Normal"/>
    <w:link w:val="CommentTextChar"/>
    <w:uiPriority w:val="99"/>
    <w:unhideWhenUsed/>
    <w:rsid w:val="00F617F6"/>
    <w:pPr>
      <w:spacing w:line="240" w:lineRule="auto"/>
    </w:pPr>
    <w:rPr>
      <w:sz w:val="20"/>
      <w:szCs w:val="20"/>
    </w:rPr>
  </w:style>
  <w:style w:type="character" w:customStyle="1" w:styleId="CommentTextChar">
    <w:name w:val="Comment Text Char"/>
    <w:basedOn w:val="DefaultParagraphFont"/>
    <w:link w:val="CommentText"/>
    <w:uiPriority w:val="99"/>
    <w:rsid w:val="00F617F6"/>
    <w:rPr>
      <w:rFonts w:cstheme="minorHAnsi"/>
      <w:sz w:val="20"/>
      <w:szCs w:val="20"/>
    </w:rPr>
  </w:style>
  <w:style w:type="paragraph" w:styleId="BalloonText">
    <w:name w:val="Balloon Text"/>
    <w:basedOn w:val="Normal"/>
    <w:link w:val="BalloonTextChar"/>
    <w:uiPriority w:val="99"/>
    <w:semiHidden/>
    <w:unhideWhenUsed/>
    <w:rsid w:val="00F61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7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7033"/>
    <w:rPr>
      <w:b/>
      <w:bCs/>
    </w:rPr>
  </w:style>
  <w:style w:type="character" w:customStyle="1" w:styleId="CommentSubjectChar">
    <w:name w:val="Comment Subject Char"/>
    <w:basedOn w:val="CommentTextChar"/>
    <w:link w:val="CommentSubject"/>
    <w:uiPriority w:val="99"/>
    <w:semiHidden/>
    <w:rsid w:val="00C77033"/>
    <w:rPr>
      <w:rFonts w:cstheme="minorHAnsi"/>
      <w:b/>
      <w:bCs/>
      <w:sz w:val="20"/>
      <w:szCs w:val="20"/>
    </w:rPr>
  </w:style>
  <w:style w:type="character" w:styleId="FollowedHyperlink">
    <w:name w:val="FollowedHyperlink"/>
    <w:basedOn w:val="DefaultParagraphFont"/>
    <w:uiPriority w:val="99"/>
    <w:semiHidden/>
    <w:unhideWhenUsed/>
    <w:rsid w:val="00147B41"/>
    <w:rPr>
      <w:color w:val="954F72" w:themeColor="followedHyperlink"/>
      <w:u w:val="single"/>
    </w:rPr>
  </w:style>
  <w:style w:type="paragraph" w:styleId="Subtitle">
    <w:name w:val="Subtitle"/>
    <w:basedOn w:val="Normal"/>
    <w:next w:val="Normal"/>
    <w:link w:val="SubtitleChar"/>
    <w:uiPriority w:val="11"/>
    <w:qFormat/>
    <w:rsid w:val="004F5457"/>
    <w:pPr>
      <w:numPr>
        <w:ilvl w:val="1"/>
      </w:numPr>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F5457"/>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3E0C1F"/>
    <w:rPr>
      <w:color w:val="605E5C"/>
      <w:shd w:val="clear" w:color="auto" w:fill="E1DFDD"/>
    </w:rPr>
  </w:style>
  <w:style w:type="paragraph" w:styleId="Revision">
    <w:name w:val="Revision"/>
    <w:hidden/>
    <w:uiPriority w:val="99"/>
    <w:semiHidden/>
    <w:rsid w:val="000D3BE8"/>
    <w:pPr>
      <w:spacing w:after="0" w:line="240" w:lineRule="auto"/>
    </w:pPr>
    <w:rPr>
      <w:rFonts w:cstheme="minorHAnsi"/>
      <w:shd w:val="clear" w:color="auto" w:fill="FFFFFF"/>
    </w:rPr>
  </w:style>
  <w:style w:type="paragraph" w:styleId="NormalWeb">
    <w:name w:val="Normal (Web)"/>
    <w:basedOn w:val="Normal"/>
    <w:uiPriority w:val="99"/>
    <w:semiHidden/>
    <w:unhideWhenUsed/>
    <w:rsid w:val="00A91403"/>
    <w:pPr>
      <w:spacing w:before="100" w:beforeAutospacing="1" w:after="100" w:afterAutospacing="1" w:line="240" w:lineRule="auto"/>
    </w:pPr>
    <w:rPr>
      <w:rFonts w:ascii="Times New Roman" w:eastAsia="Times New Roman" w:hAnsi="Times New Roman" w:cs="Times New Roman"/>
      <w:sz w:val="24"/>
      <w:szCs w:val="24"/>
      <w:shd w:val="clear" w:color="auto" w:fill="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6409">
      <w:bodyDiv w:val="1"/>
      <w:marLeft w:val="0"/>
      <w:marRight w:val="0"/>
      <w:marTop w:val="0"/>
      <w:marBottom w:val="0"/>
      <w:divBdr>
        <w:top w:val="none" w:sz="0" w:space="0" w:color="auto"/>
        <w:left w:val="none" w:sz="0" w:space="0" w:color="auto"/>
        <w:bottom w:val="none" w:sz="0" w:space="0" w:color="auto"/>
        <w:right w:val="none" w:sz="0" w:space="0" w:color="auto"/>
      </w:divBdr>
    </w:div>
    <w:div w:id="44986198">
      <w:bodyDiv w:val="1"/>
      <w:marLeft w:val="0"/>
      <w:marRight w:val="0"/>
      <w:marTop w:val="0"/>
      <w:marBottom w:val="0"/>
      <w:divBdr>
        <w:top w:val="none" w:sz="0" w:space="0" w:color="auto"/>
        <w:left w:val="none" w:sz="0" w:space="0" w:color="auto"/>
        <w:bottom w:val="none" w:sz="0" w:space="0" w:color="auto"/>
        <w:right w:val="none" w:sz="0" w:space="0" w:color="auto"/>
      </w:divBdr>
    </w:div>
    <w:div w:id="73938023">
      <w:bodyDiv w:val="1"/>
      <w:marLeft w:val="0"/>
      <w:marRight w:val="0"/>
      <w:marTop w:val="0"/>
      <w:marBottom w:val="0"/>
      <w:divBdr>
        <w:top w:val="none" w:sz="0" w:space="0" w:color="auto"/>
        <w:left w:val="none" w:sz="0" w:space="0" w:color="auto"/>
        <w:bottom w:val="none" w:sz="0" w:space="0" w:color="auto"/>
        <w:right w:val="none" w:sz="0" w:space="0" w:color="auto"/>
      </w:divBdr>
    </w:div>
    <w:div w:id="86772179">
      <w:bodyDiv w:val="1"/>
      <w:marLeft w:val="0"/>
      <w:marRight w:val="0"/>
      <w:marTop w:val="0"/>
      <w:marBottom w:val="0"/>
      <w:divBdr>
        <w:top w:val="none" w:sz="0" w:space="0" w:color="auto"/>
        <w:left w:val="none" w:sz="0" w:space="0" w:color="auto"/>
        <w:bottom w:val="none" w:sz="0" w:space="0" w:color="auto"/>
        <w:right w:val="none" w:sz="0" w:space="0" w:color="auto"/>
      </w:divBdr>
    </w:div>
    <w:div w:id="107360932">
      <w:bodyDiv w:val="1"/>
      <w:marLeft w:val="0"/>
      <w:marRight w:val="0"/>
      <w:marTop w:val="0"/>
      <w:marBottom w:val="0"/>
      <w:divBdr>
        <w:top w:val="none" w:sz="0" w:space="0" w:color="auto"/>
        <w:left w:val="none" w:sz="0" w:space="0" w:color="auto"/>
        <w:bottom w:val="none" w:sz="0" w:space="0" w:color="auto"/>
        <w:right w:val="none" w:sz="0" w:space="0" w:color="auto"/>
      </w:divBdr>
    </w:div>
    <w:div w:id="195431823">
      <w:bodyDiv w:val="1"/>
      <w:marLeft w:val="0"/>
      <w:marRight w:val="0"/>
      <w:marTop w:val="0"/>
      <w:marBottom w:val="0"/>
      <w:divBdr>
        <w:top w:val="none" w:sz="0" w:space="0" w:color="auto"/>
        <w:left w:val="none" w:sz="0" w:space="0" w:color="auto"/>
        <w:bottom w:val="none" w:sz="0" w:space="0" w:color="auto"/>
        <w:right w:val="none" w:sz="0" w:space="0" w:color="auto"/>
      </w:divBdr>
    </w:div>
    <w:div w:id="195894945">
      <w:bodyDiv w:val="1"/>
      <w:marLeft w:val="0"/>
      <w:marRight w:val="0"/>
      <w:marTop w:val="0"/>
      <w:marBottom w:val="0"/>
      <w:divBdr>
        <w:top w:val="none" w:sz="0" w:space="0" w:color="auto"/>
        <w:left w:val="none" w:sz="0" w:space="0" w:color="auto"/>
        <w:bottom w:val="none" w:sz="0" w:space="0" w:color="auto"/>
        <w:right w:val="none" w:sz="0" w:space="0" w:color="auto"/>
      </w:divBdr>
    </w:div>
    <w:div w:id="260644596">
      <w:bodyDiv w:val="1"/>
      <w:marLeft w:val="0"/>
      <w:marRight w:val="0"/>
      <w:marTop w:val="0"/>
      <w:marBottom w:val="0"/>
      <w:divBdr>
        <w:top w:val="none" w:sz="0" w:space="0" w:color="auto"/>
        <w:left w:val="none" w:sz="0" w:space="0" w:color="auto"/>
        <w:bottom w:val="none" w:sz="0" w:space="0" w:color="auto"/>
        <w:right w:val="none" w:sz="0" w:space="0" w:color="auto"/>
      </w:divBdr>
    </w:div>
    <w:div w:id="360934474">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35835346">
      <w:bodyDiv w:val="1"/>
      <w:marLeft w:val="0"/>
      <w:marRight w:val="0"/>
      <w:marTop w:val="0"/>
      <w:marBottom w:val="0"/>
      <w:divBdr>
        <w:top w:val="none" w:sz="0" w:space="0" w:color="auto"/>
        <w:left w:val="none" w:sz="0" w:space="0" w:color="auto"/>
        <w:bottom w:val="none" w:sz="0" w:space="0" w:color="auto"/>
        <w:right w:val="none" w:sz="0" w:space="0" w:color="auto"/>
      </w:divBdr>
    </w:div>
    <w:div w:id="469247080">
      <w:bodyDiv w:val="1"/>
      <w:marLeft w:val="0"/>
      <w:marRight w:val="0"/>
      <w:marTop w:val="0"/>
      <w:marBottom w:val="0"/>
      <w:divBdr>
        <w:top w:val="none" w:sz="0" w:space="0" w:color="auto"/>
        <w:left w:val="none" w:sz="0" w:space="0" w:color="auto"/>
        <w:bottom w:val="none" w:sz="0" w:space="0" w:color="auto"/>
        <w:right w:val="none" w:sz="0" w:space="0" w:color="auto"/>
      </w:divBdr>
    </w:div>
    <w:div w:id="490372434">
      <w:bodyDiv w:val="1"/>
      <w:marLeft w:val="0"/>
      <w:marRight w:val="0"/>
      <w:marTop w:val="0"/>
      <w:marBottom w:val="0"/>
      <w:divBdr>
        <w:top w:val="none" w:sz="0" w:space="0" w:color="auto"/>
        <w:left w:val="none" w:sz="0" w:space="0" w:color="auto"/>
        <w:bottom w:val="none" w:sz="0" w:space="0" w:color="auto"/>
        <w:right w:val="none" w:sz="0" w:space="0" w:color="auto"/>
      </w:divBdr>
    </w:div>
    <w:div w:id="542524284">
      <w:bodyDiv w:val="1"/>
      <w:marLeft w:val="0"/>
      <w:marRight w:val="0"/>
      <w:marTop w:val="0"/>
      <w:marBottom w:val="0"/>
      <w:divBdr>
        <w:top w:val="none" w:sz="0" w:space="0" w:color="auto"/>
        <w:left w:val="none" w:sz="0" w:space="0" w:color="auto"/>
        <w:bottom w:val="none" w:sz="0" w:space="0" w:color="auto"/>
        <w:right w:val="none" w:sz="0" w:space="0" w:color="auto"/>
      </w:divBdr>
    </w:div>
    <w:div w:id="548567587">
      <w:bodyDiv w:val="1"/>
      <w:marLeft w:val="0"/>
      <w:marRight w:val="0"/>
      <w:marTop w:val="0"/>
      <w:marBottom w:val="0"/>
      <w:divBdr>
        <w:top w:val="none" w:sz="0" w:space="0" w:color="auto"/>
        <w:left w:val="none" w:sz="0" w:space="0" w:color="auto"/>
        <w:bottom w:val="none" w:sz="0" w:space="0" w:color="auto"/>
        <w:right w:val="none" w:sz="0" w:space="0" w:color="auto"/>
      </w:divBdr>
    </w:div>
    <w:div w:id="602807368">
      <w:bodyDiv w:val="1"/>
      <w:marLeft w:val="0"/>
      <w:marRight w:val="0"/>
      <w:marTop w:val="0"/>
      <w:marBottom w:val="0"/>
      <w:divBdr>
        <w:top w:val="none" w:sz="0" w:space="0" w:color="auto"/>
        <w:left w:val="none" w:sz="0" w:space="0" w:color="auto"/>
        <w:bottom w:val="none" w:sz="0" w:space="0" w:color="auto"/>
        <w:right w:val="none" w:sz="0" w:space="0" w:color="auto"/>
      </w:divBdr>
    </w:div>
    <w:div w:id="707951443">
      <w:bodyDiv w:val="1"/>
      <w:marLeft w:val="0"/>
      <w:marRight w:val="0"/>
      <w:marTop w:val="0"/>
      <w:marBottom w:val="0"/>
      <w:divBdr>
        <w:top w:val="none" w:sz="0" w:space="0" w:color="auto"/>
        <w:left w:val="none" w:sz="0" w:space="0" w:color="auto"/>
        <w:bottom w:val="none" w:sz="0" w:space="0" w:color="auto"/>
        <w:right w:val="none" w:sz="0" w:space="0" w:color="auto"/>
      </w:divBdr>
    </w:div>
    <w:div w:id="753748215">
      <w:bodyDiv w:val="1"/>
      <w:marLeft w:val="0"/>
      <w:marRight w:val="0"/>
      <w:marTop w:val="0"/>
      <w:marBottom w:val="0"/>
      <w:divBdr>
        <w:top w:val="none" w:sz="0" w:space="0" w:color="auto"/>
        <w:left w:val="none" w:sz="0" w:space="0" w:color="auto"/>
        <w:bottom w:val="none" w:sz="0" w:space="0" w:color="auto"/>
        <w:right w:val="none" w:sz="0" w:space="0" w:color="auto"/>
      </w:divBdr>
    </w:div>
    <w:div w:id="811366648">
      <w:bodyDiv w:val="1"/>
      <w:marLeft w:val="0"/>
      <w:marRight w:val="0"/>
      <w:marTop w:val="0"/>
      <w:marBottom w:val="0"/>
      <w:divBdr>
        <w:top w:val="none" w:sz="0" w:space="0" w:color="auto"/>
        <w:left w:val="none" w:sz="0" w:space="0" w:color="auto"/>
        <w:bottom w:val="none" w:sz="0" w:space="0" w:color="auto"/>
        <w:right w:val="none" w:sz="0" w:space="0" w:color="auto"/>
      </w:divBdr>
    </w:div>
    <w:div w:id="875778500">
      <w:bodyDiv w:val="1"/>
      <w:marLeft w:val="0"/>
      <w:marRight w:val="0"/>
      <w:marTop w:val="0"/>
      <w:marBottom w:val="0"/>
      <w:divBdr>
        <w:top w:val="none" w:sz="0" w:space="0" w:color="auto"/>
        <w:left w:val="none" w:sz="0" w:space="0" w:color="auto"/>
        <w:bottom w:val="none" w:sz="0" w:space="0" w:color="auto"/>
        <w:right w:val="none" w:sz="0" w:space="0" w:color="auto"/>
      </w:divBdr>
    </w:div>
    <w:div w:id="974063838">
      <w:bodyDiv w:val="1"/>
      <w:marLeft w:val="0"/>
      <w:marRight w:val="0"/>
      <w:marTop w:val="0"/>
      <w:marBottom w:val="0"/>
      <w:divBdr>
        <w:top w:val="none" w:sz="0" w:space="0" w:color="auto"/>
        <w:left w:val="none" w:sz="0" w:space="0" w:color="auto"/>
        <w:bottom w:val="none" w:sz="0" w:space="0" w:color="auto"/>
        <w:right w:val="none" w:sz="0" w:space="0" w:color="auto"/>
      </w:divBdr>
    </w:div>
    <w:div w:id="981689830">
      <w:bodyDiv w:val="1"/>
      <w:marLeft w:val="0"/>
      <w:marRight w:val="0"/>
      <w:marTop w:val="0"/>
      <w:marBottom w:val="0"/>
      <w:divBdr>
        <w:top w:val="none" w:sz="0" w:space="0" w:color="auto"/>
        <w:left w:val="none" w:sz="0" w:space="0" w:color="auto"/>
        <w:bottom w:val="none" w:sz="0" w:space="0" w:color="auto"/>
        <w:right w:val="none" w:sz="0" w:space="0" w:color="auto"/>
      </w:divBdr>
    </w:div>
    <w:div w:id="1147166130">
      <w:bodyDiv w:val="1"/>
      <w:marLeft w:val="0"/>
      <w:marRight w:val="0"/>
      <w:marTop w:val="0"/>
      <w:marBottom w:val="0"/>
      <w:divBdr>
        <w:top w:val="none" w:sz="0" w:space="0" w:color="auto"/>
        <w:left w:val="none" w:sz="0" w:space="0" w:color="auto"/>
        <w:bottom w:val="none" w:sz="0" w:space="0" w:color="auto"/>
        <w:right w:val="none" w:sz="0" w:space="0" w:color="auto"/>
      </w:divBdr>
    </w:div>
    <w:div w:id="1158838308">
      <w:bodyDiv w:val="1"/>
      <w:marLeft w:val="0"/>
      <w:marRight w:val="0"/>
      <w:marTop w:val="0"/>
      <w:marBottom w:val="0"/>
      <w:divBdr>
        <w:top w:val="none" w:sz="0" w:space="0" w:color="auto"/>
        <w:left w:val="none" w:sz="0" w:space="0" w:color="auto"/>
        <w:bottom w:val="none" w:sz="0" w:space="0" w:color="auto"/>
        <w:right w:val="none" w:sz="0" w:space="0" w:color="auto"/>
      </w:divBdr>
    </w:div>
    <w:div w:id="1326519882">
      <w:bodyDiv w:val="1"/>
      <w:marLeft w:val="0"/>
      <w:marRight w:val="0"/>
      <w:marTop w:val="0"/>
      <w:marBottom w:val="0"/>
      <w:divBdr>
        <w:top w:val="none" w:sz="0" w:space="0" w:color="auto"/>
        <w:left w:val="none" w:sz="0" w:space="0" w:color="auto"/>
        <w:bottom w:val="none" w:sz="0" w:space="0" w:color="auto"/>
        <w:right w:val="none" w:sz="0" w:space="0" w:color="auto"/>
      </w:divBdr>
    </w:div>
    <w:div w:id="1390225169">
      <w:bodyDiv w:val="1"/>
      <w:marLeft w:val="0"/>
      <w:marRight w:val="0"/>
      <w:marTop w:val="0"/>
      <w:marBottom w:val="0"/>
      <w:divBdr>
        <w:top w:val="none" w:sz="0" w:space="0" w:color="auto"/>
        <w:left w:val="none" w:sz="0" w:space="0" w:color="auto"/>
        <w:bottom w:val="none" w:sz="0" w:space="0" w:color="auto"/>
        <w:right w:val="none" w:sz="0" w:space="0" w:color="auto"/>
      </w:divBdr>
    </w:div>
    <w:div w:id="1441953570">
      <w:bodyDiv w:val="1"/>
      <w:marLeft w:val="0"/>
      <w:marRight w:val="0"/>
      <w:marTop w:val="0"/>
      <w:marBottom w:val="0"/>
      <w:divBdr>
        <w:top w:val="none" w:sz="0" w:space="0" w:color="auto"/>
        <w:left w:val="none" w:sz="0" w:space="0" w:color="auto"/>
        <w:bottom w:val="none" w:sz="0" w:space="0" w:color="auto"/>
        <w:right w:val="none" w:sz="0" w:space="0" w:color="auto"/>
      </w:divBdr>
    </w:div>
    <w:div w:id="1524124333">
      <w:bodyDiv w:val="1"/>
      <w:marLeft w:val="0"/>
      <w:marRight w:val="0"/>
      <w:marTop w:val="0"/>
      <w:marBottom w:val="0"/>
      <w:divBdr>
        <w:top w:val="none" w:sz="0" w:space="0" w:color="auto"/>
        <w:left w:val="none" w:sz="0" w:space="0" w:color="auto"/>
        <w:bottom w:val="none" w:sz="0" w:space="0" w:color="auto"/>
        <w:right w:val="none" w:sz="0" w:space="0" w:color="auto"/>
      </w:divBdr>
    </w:div>
    <w:div w:id="1562715551">
      <w:bodyDiv w:val="1"/>
      <w:marLeft w:val="0"/>
      <w:marRight w:val="0"/>
      <w:marTop w:val="0"/>
      <w:marBottom w:val="0"/>
      <w:divBdr>
        <w:top w:val="none" w:sz="0" w:space="0" w:color="auto"/>
        <w:left w:val="none" w:sz="0" w:space="0" w:color="auto"/>
        <w:bottom w:val="none" w:sz="0" w:space="0" w:color="auto"/>
        <w:right w:val="none" w:sz="0" w:space="0" w:color="auto"/>
      </w:divBdr>
    </w:div>
    <w:div w:id="1630014038">
      <w:bodyDiv w:val="1"/>
      <w:marLeft w:val="0"/>
      <w:marRight w:val="0"/>
      <w:marTop w:val="0"/>
      <w:marBottom w:val="0"/>
      <w:divBdr>
        <w:top w:val="none" w:sz="0" w:space="0" w:color="auto"/>
        <w:left w:val="none" w:sz="0" w:space="0" w:color="auto"/>
        <w:bottom w:val="none" w:sz="0" w:space="0" w:color="auto"/>
        <w:right w:val="none" w:sz="0" w:space="0" w:color="auto"/>
      </w:divBdr>
    </w:div>
    <w:div w:id="1652253581">
      <w:bodyDiv w:val="1"/>
      <w:marLeft w:val="0"/>
      <w:marRight w:val="0"/>
      <w:marTop w:val="0"/>
      <w:marBottom w:val="0"/>
      <w:divBdr>
        <w:top w:val="none" w:sz="0" w:space="0" w:color="auto"/>
        <w:left w:val="none" w:sz="0" w:space="0" w:color="auto"/>
        <w:bottom w:val="none" w:sz="0" w:space="0" w:color="auto"/>
        <w:right w:val="none" w:sz="0" w:space="0" w:color="auto"/>
      </w:divBdr>
    </w:div>
    <w:div w:id="1663315489">
      <w:bodyDiv w:val="1"/>
      <w:marLeft w:val="0"/>
      <w:marRight w:val="0"/>
      <w:marTop w:val="0"/>
      <w:marBottom w:val="0"/>
      <w:divBdr>
        <w:top w:val="none" w:sz="0" w:space="0" w:color="auto"/>
        <w:left w:val="none" w:sz="0" w:space="0" w:color="auto"/>
        <w:bottom w:val="none" w:sz="0" w:space="0" w:color="auto"/>
        <w:right w:val="none" w:sz="0" w:space="0" w:color="auto"/>
      </w:divBdr>
    </w:div>
    <w:div w:id="1680307200">
      <w:bodyDiv w:val="1"/>
      <w:marLeft w:val="0"/>
      <w:marRight w:val="0"/>
      <w:marTop w:val="0"/>
      <w:marBottom w:val="0"/>
      <w:divBdr>
        <w:top w:val="none" w:sz="0" w:space="0" w:color="auto"/>
        <w:left w:val="none" w:sz="0" w:space="0" w:color="auto"/>
        <w:bottom w:val="none" w:sz="0" w:space="0" w:color="auto"/>
        <w:right w:val="none" w:sz="0" w:space="0" w:color="auto"/>
      </w:divBdr>
    </w:div>
    <w:div w:id="1691758750">
      <w:bodyDiv w:val="1"/>
      <w:marLeft w:val="0"/>
      <w:marRight w:val="0"/>
      <w:marTop w:val="0"/>
      <w:marBottom w:val="0"/>
      <w:divBdr>
        <w:top w:val="none" w:sz="0" w:space="0" w:color="auto"/>
        <w:left w:val="none" w:sz="0" w:space="0" w:color="auto"/>
        <w:bottom w:val="none" w:sz="0" w:space="0" w:color="auto"/>
        <w:right w:val="none" w:sz="0" w:space="0" w:color="auto"/>
      </w:divBdr>
    </w:div>
    <w:div w:id="1812165295">
      <w:bodyDiv w:val="1"/>
      <w:marLeft w:val="0"/>
      <w:marRight w:val="0"/>
      <w:marTop w:val="0"/>
      <w:marBottom w:val="0"/>
      <w:divBdr>
        <w:top w:val="none" w:sz="0" w:space="0" w:color="auto"/>
        <w:left w:val="none" w:sz="0" w:space="0" w:color="auto"/>
        <w:bottom w:val="none" w:sz="0" w:space="0" w:color="auto"/>
        <w:right w:val="none" w:sz="0" w:space="0" w:color="auto"/>
      </w:divBdr>
    </w:div>
    <w:div w:id="1833520234">
      <w:bodyDiv w:val="1"/>
      <w:marLeft w:val="0"/>
      <w:marRight w:val="0"/>
      <w:marTop w:val="0"/>
      <w:marBottom w:val="0"/>
      <w:divBdr>
        <w:top w:val="none" w:sz="0" w:space="0" w:color="auto"/>
        <w:left w:val="none" w:sz="0" w:space="0" w:color="auto"/>
        <w:bottom w:val="none" w:sz="0" w:space="0" w:color="auto"/>
        <w:right w:val="none" w:sz="0" w:space="0" w:color="auto"/>
      </w:divBdr>
    </w:div>
    <w:div w:id="1853060243">
      <w:bodyDiv w:val="1"/>
      <w:marLeft w:val="0"/>
      <w:marRight w:val="0"/>
      <w:marTop w:val="0"/>
      <w:marBottom w:val="0"/>
      <w:divBdr>
        <w:top w:val="none" w:sz="0" w:space="0" w:color="auto"/>
        <w:left w:val="none" w:sz="0" w:space="0" w:color="auto"/>
        <w:bottom w:val="none" w:sz="0" w:space="0" w:color="auto"/>
        <w:right w:val="none" w:sz="0" w:space="0" w:color="auto"/>
      </w:divBdr>
    </w:div>
    <w:div w:id="1886481310">
      <w:bodyDiv w:val="1"/>
      <w:marLeft w:val="0"/>
      <w:marRight w:val="0"/>
      <w:marTop w:val="0"/>
      <w:marBottom w:val="0"/>
      <w:divBdr>
        <w:top w:val="none" w:sz="0" w:space="0" w:color="auto"/>
        <w:left w:val="none" w:sz="0" w:space="0" w:color="auto"/>
        <w:bottom w:val="none" w:sz="0" w:space="0" w:color="auto"/>
        <w:right w:val="none" w:sz="0" w:space="0" w:color="auto"/>
      </w:divBdr>
    </w:div>
    <w:div w:id="1922910122">
      <w:bodyDiv w:val="1"/>
      <w:marLeft w:val="0"/>
      <w:marRight w:val="0"/>
      <w:marTop w:val="0"/>
      <w:marBottom w:val="0"/>
      <w:divBdr>
        <w:top w:val="none" w:sz="0" w:space="0" w:color="auto"/>
        <w:left w:val="none" w:sz="0" w:space="0" w:color="auto"/>
        <w:bottom w:val="none" w:sz="0" w:space="0" w:color="auto"/>
        <w:right w:val="none" w:sz="0" w:space="0" w:color="auto"/>
      </w:divBdr>
    </w:div>
    <w:div w:id="1923025234">
      <w:bodyDiv w:val="1"/>
      <w:marLeft w:val="0"/>
      <w:marRight w:val="0"/>
      <w:marTop w:val="0"/>
      <w:marBottom w:val="0"/>
      <w:divBdr>
        <w:top w:val="none" w:sz="0" w:space="0" w:color="auto"/>
        <w:left w:val="none" w:sz="0" w:space="0" w:color="auto"/>
        <w:bottom w:val="none" w:sz="0" w:space="0" w:color="auto"/>
        <w:right w:val="none" w:sz="0" w:space="0" w:color="auto"/>
      </w:divBdr>
    </w:div>
    <w:div w:id="2067365511">
      <w:bodyDiv w:val="1"/>
      <w:marLeft w:val="0"/>
      <w:marRight w:val="0"/>
      <w:marTop w:val="0"/>
      <w:marBottom w:val="0"/>
      <w:divBdr>
        <w:top w:val="none" w:sz="0" w:space="0" w:color="auto"/>
        <w:left w:val="none" w:sz="0" w:space="0" w:color="auto"/>
        <w:bottom w:val="none" w:sz="0" w:space="0" w:color="auto"/>
        <w:right w:val="none" w:sz="0" w:space="0" w:color="auto"/>
      </w:divBdr>
    </w:div>
    <w:div w:id="2144494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ourcommons.ca/Content/Committee/432/SECU/Reports/RP11434998/securp06/securp06-e.pdf" TargetMode="External"/><Relationship Id="rId13" Type="http://schemas.openxmlformats.org/officeDocument/2006/relationships/hyperlink" Target="https://trackinginjustice.ca/" TargetMode="External"/><Relationship Id="rId18" Type="http://schemas.openxmlformats.org/officeDocument/2006/relationships/hyperlink" Target="https://sencanada.ca/en/info-page/parl-43-2/ridr-federally-sentenced-persons/" TargetMode="External"/><Relationship Id="rId3" Type="http://schemas.openxmlformats.org/officeDocument/2006/relationships/hyperlink" Target="https://www.justice.gc.ca/eng/rp-pr/jr/eiffjs-efasjf/p4.html" TargetMode="External"/><Relationship Id="rId21" Type="http://schemas.openxmlformats.org/officeDocument/2006/relationships/hyperlink" Target="https://www.ourcommons.ca/Content/Committee/432/SECU/Reports/RP11434998/securp06/securp06-e.pdf" TargetMode="External"/><Relationship Id="rId7" Type="http://schemas.openxmlformats.org/officeDocument/2006/relationships/hyperlink" Target="https://documents-dds-ny.un.org/doc/UNDOC/GEN/G17/239/60/PDF/G1723960.pdf?OpenElement" TargetMode="External"/><Relationship Id="rId12" Type="http://schemas.openxmlformats.org/officeDocument/2006/relationships/hyperlink" Target="https://www.ohrc.on.ca/en/impact-action-final-report-anti-black-racism-toronto-police-service" TargetMode="External"/><Relationship Id="rId17" Type="http://schemas.openxmlformats.org/officeDocument/2006/relationships/hyperlink" Target="https://oci-bec.gc.ca/en/content/office-correctional-investigator-annual-report-2020-2021" TargetMode="External"/><Relationship Id="rId2" Type="http://schemas.openxmlformats.org/officeDocument/2006/relationships/hyperlink" Target="https://digitalcommons.osgoode.yorku.ca/cgi/viewcontent.cgi?referer=&amp;httpsredir=1&amp;article=3595&amp;context=scholarly_works" TargetMode="External"/><Relationship Id="rId16" Type="http://schemas.openxmlformats.org/officeDocument/2006/relationships/hyperlink" Target="https://www.publicsafety.gc.ca/cnt/rsrcs/pblctns/ccrso-2020/index-en.aspx" TargetMode="External"/><Relationship Id="rId20" Type="http://schemas.openxmlformats.org/officeDocument/2006/relationships/hyperlink" Target="https://www.hrw.org/report/2021/06/17/i-didnt-feel-human-there/immigration-detention-canada-and-its-impact-mental" TargetMode="External"/><Relationship Id="rId1" Type="http://schemas.openxmlformats.org/officeDocument/2006/relationships/hyperlink" Target="https://www.chrc-ccdp.gc.ca/en/resources/publications/submission-the-working-group-experts-people-african-descent" TargetMode="External"/><Relationship Id="rId6" Type="http://schemas.openxmlformats.org/officeDocument/2006/relationships/hyperlink" Target="https://www150.statcan.gc.ca/n1/daily-quotidien/240326/dq240326a-eng.htm" TargetMode="External"/><Relationship Id="rId11" Type="http://schemas.openxmlformats.org/officeDocument/2006/relationships/hyperlink" Target="http://www3.ohrc.on.ca/sites/default/files/Under%20suspicion_research%20and%20consultation%20report%20on%20racial%20profiling%20in%20Ontario_2017.pdf" TargetMode="External"/><Relationship Id="rId24" Type="http://schemas.openxmlformats.org/officeDocument/2006/relationships/hyperlink" Target="https://www.ohrc.on.ca/en/framework-change-address-systemic-racism-policing" TargetMode="External"/><Relationship Id="rId5" Type="http://schemas.openxmlformats.org/officeDocument/2006/relationships/hyperlink" Target="https://ciaj-icaj.ca/wp-content/uploads/page/2019/02/r83_preliminary-report_jury-representation-in-canada.pdf" TargetMode="External"/><Relationship Id="rId15" Type="http://schemas.openxmlformats.org/officeDocument/2006/relationships/hyperlink" Target="https://oci-bec.gc.ca/en/content/ten-years-spirit-matters-roadmap-reform-indigenous-corrections-canada" TargetMode="External"/><Relationship Id="rId23" Type="http://schemas.openxmlformats.org/officeDocument/2006/relationships/hyperlink" Target="https://www.chrc-ccdp.gc.ca/en/resources/publications/submission-the-united-nations-human-rights-council" TargetMode="External"/><Relationship Id="rId10" Type="http://schemas.openxmlformats.org/officeDocument/2006/relationships/hyperlink" Target="https://humanrights.novascotia.ca/sites/default/files/editor-uploads/halifax_street_checks_report_march_2019_0.pdf" TargetMode="External"/><Relationship Id="rId19" Type="http://schemas.openxmlformats.org/officeDocument/2006/relationships/hyperlink" Target="https://www.hrw.org/news/2024/03/21/canada-all-10-provinces-end-immigration-detention-jails" TargetMode="External"/><Relationship Id="rId4" Type="http://schemas.openxmlformats.org/officeDocument/2006/relationships/hyperlink" Target="https://ccdi.ca/media/2020/20180125-report-power-privilege-and-inequities-in-the-legal-profession.pdf" TargetMode="External"/><Relationship Id="rId9" Type="http://schemas.openxmlformats.org/officeDocument/2006/relationships/hyperlink" Target="https://cdpdj.qc.ca/storage/app/media/publications/bilan-profilage-racial_synthese_EN.pdf" TargetMode="External"/><Relationship Id="rId14" Type="http://schemas.openxmlformats.org/officeDocument/2006/relationships/hyperlink" Target="https://trackinginjustice.ca/analysis-increase-in-deaths-and-racial-disparities/" TargetMode="External"/><Relationship Id="rId22" Type="http://schemas.openxmlformats.org/officeDocument/2006/relationships/hyperlink" Target="https://www.canada.ca/en/public-safety-canada/news/2022/05/bill-c-20--an-act-establishing-the-public-complaints-and-review-commission-and-amending-certain-acts-and-statutory-instrumen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Canadian Human Rights Commission </Contributor>
  </documentManagement>
</p:properties>
</file>

<file path=customXml/itemProps1.xml><?xml version="1.0" encoding="utf-8"?>
<ds:datastoreItem xmlns:ds="http://schemas.openxmlformats.org/officeDocument/2006/customXml" ds:itemID="{8001C82C-3D1D-47BF-B23D-235E5E32DD9C}">
  <ds:schemaRefs>
    <ds:schemaRef ds:uri="http://schemas.openxmlformats.org/officeDocument/2006/bibliography"/>
  </ds:schemaRefs>
</ds:datastoreItem>
</file>

<file path=customXml/itemProps2.xml><?xml version="1.0" encoding="utf-8"?>
<ds:datastoreItem xmlns:ds="http://schemas.openxmlformats.org/officeDocument/2006/customXml" ds:itemID="{A57D2CB3-FE2D-4C25-807F-17280A14235E}"/>
</file>

<file path=customXml/itemProps3.xml><?xml version="1.0" encoding="utf-8"?>
<ds:datastoreItem xmlns:ds="http://schemas.openxmlformats.org/officeDocument/2006/customXml" ds:itemID="{0325405A-9A91-42F2-9DE3-6FA08E406C9C}"/>
</file>

<file path=customXml/itemProps4.xml><?xml version="1.0" encoding="utf-8"?>
<ds:datastoreItem xmlns:ds="http://schemas.openxmlformats.org/officeDocument/2006/customXml" ds:itemID="{77C3C38A-1535-4C1E-A100-9888192C9522}"/>
</file>

<file path=docProps/app.xml><?xml version="1.0" encoding="utf-8"?>
<Properties xmlns="http://schemas.openxmlformats.org/officeDocument/2006/extended-properties" xmlns:vt="http://schemas.openxmlformats.org/officeDocument/2006/docPropsVTypes">
  <Template>Normal.dotm</Template>
  <TotalTime>0</TotalTime>
  <Pages>7</Pages>
  <Words>2046</Words>
  <Characters>11668</Characters>
  <Application>Microsoft Office Word</Application>
  <DocSecurity>4</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Lafontaine</dc:creator>
  <cp:keywords/>
  <dc:description/>
  <cp:lastModifiedBy>Uzoma, Emma (CHRC/CCDP)</cp:lastModifiedBy>
  <cp:revision>2</cp:revision>
  <dcterms:created xsi:type="dcterms:W3CDTF">2024-05-24T14:47:00Z</dcterms:created>
  <dcterms:modified xsi:type="dcterms:W3CDTF">2024-05-24T14:47:00Z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0x0101009D953D6983EF5F4EB0B6A5354F975E96</vt:lpwstr>
  </property>
  <property fmtid="{D5CDD505-2E9C-101B-9397-08002B2CF9AE}" pid="4" name="MediaServiceImageTags">
    <vt:lpwstr/>
  </property>
</Properties>
</file>