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5F18" w14:textId="77777777" w:rsidR="00D645BA" w:rsidRDefault="00D645BA" w:rsidP="00D645BA">
      <w:pPr>
        <w:jc w:val="center"/>
        <w:rPr>
          <w:b/>
          <w:sz w:val="21"/>
          <w:szCs w:val="21"/>
        </w:rPr>
      </w:pPr>
      <w:r w:rsidRPr="00C51D63">
        <w:rPr>
          <w:b/>
          <w:sz w:val="21"/>
          <w:szCs w:val="21"/>
        </w:rPr>
        <w:t>RESPUESTA DE ESPAÑA A LA</w:t>
      </w:r>
      <w:r w:rsidR="00FA77E6">
        <w:rPr>
          <w:b/>
          <w:sz w:val="21"/>
          <w:szCs w:val="21"/>
        </w:rPr>
        <w:t xml:space="preserve"> SOLICITUD DE APORTACIONES PARA</w:t>
      </w:r>
      <w:r w:rsidRPr="00C51D63">
        <w:rPr>
          <w:b/>
          <w:sz w:val="21"/>
          <w:szCs w:val="21"/>
        </w:rPr>
        <w:t xml:space="preserve"> LA APLICACIÓN Y </w:t>
      </w:r>
      <w:r w:rsidR="00FA77E6">
        <w:rPr>
          <w:b/>
          <w:sz w:val="21"/>
          <w:szCs w:val="21"/>
        </w:rPr>
        <w:t xml:space="preserve">EL </w:t>
      </w:r>
      <w:r w:rsidRPr="00C51D63">
        <w:rPr>
          <w:b/>
          <w:sz w:val="21"/>
          <w:szCs w:val="21"/>
        </w:rPr>
        <w:t>SEGUIMIENTO</w:t>
      </w:r>
      <w:r w:rsidR="00FA77E6">
        <w:rPr>
          <w:b/>
          <w:sz w:val="21"/>
          <w:szCs w:val="21"/>
        </w:rPr>
        <w:t xml:space="preserve"> GENERALES</w:t>
      </w:r>
      <w:r w:rsidRPr="00C51D63">
        <w:rPr>
          <w:b/>
          <w:sz w:val="21"/>
          <w:szCs w:val="21"/>
        </w:rPr>
        <w:t xml:space="preserve"> DE LA DECLARACIÓN Y EL PROGRAMA DE ACCIÓN DE DURBAN</w:t>
      </w:r>
    </w:p>
    <w:p w14:paraId="6D9D09C9" w14:textId="77777777" w:rsidR="00475799" w:rsidRDefault="00475799" w:rsidP="00D645BA">
      <w:pPr>
        <w:jc w:val="center"/>
        <w:rPr>
          <w:b/>
          <w:sz w:val="21"/>
          <w:szCs w:val="21"/>
        </w:rPr>
      </w:pPr>
    </w:p>
    <w:p w14:paraId="3C8D5DC7" w14:textId="77777777" w:rsidR="00855541" w:rsidRDefault="002F4215" w:rsidP="00475799">
      <w:pPr>
        <w:spacing w:after="0" w:line="240" w:lineRule="auto"/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 xml:space="preserve">Atendiendo a la solicitud de información </w:t>
      </w:r>
      <w:r w:rsidR="00FA77E6">
        <w:rPr>
          <w:sz w:val="21"/>
          <w:szCs w:val="21"/>
        </w:rPr>
        <w:t>d</w:t>
      </w:r>
      <w:r w:rsidR="00FA77E6" w:rsidRPr="00D54C20">
        <w:rPr>
          <w:sz w:val="21"/>
          <w:szCs w:val="21"/>
        </w:rPr>
        <w:t xml:space="preserve">e la Oficina del Alto Comisionado de las Naciones Unidas para los Derechos Humanos (OACNUDH) </w:t>
      </w:r>
      <w:r w:rsidRPr="00C51D63">
        <w:rPr>
          <w:sz w:val="21"/>
          <w:szCs w:val="21"/>
        </w:rPr>
        <w:t xml:space="preserve">para la preparación del informe </w:t>
      </w:r>
      <w:r w:rsidR="00D54C20" w:rsidRPr="00D54C20">
        <w:rPr>
          <w:sz w:val="21"/>
          <w:szCs w:val="21"/>
        </w:rPr>
        <w:t>titulado “Llamamiento mundial para la adopción de medidas concretas para la eliminación del racismo, la discriminación racial, la xenofobia y las formas conexas de intolerancia y para la aplicación y el seguimiento generales de la Declaración y el Programa de Acción de Durban”,</w:t>
      </w:r>
      <w:r w:rsidRPr="00C51D63">
        <w:rPr>
          <w:sz w:val="21"/>
          <w:szCs w:val="21"/>
        </w:rPr>
        <w:t xml:space="preserve"> de conformidad con la </w:t>
      </w:r>
      <w:r w:rsidR="00D54C20" w:rsidRPr="00D54C20">
        <w:rPr>
          <w:sz w:val="21"/>
          <w:szCs w:val="21"/>
        </w:rPr>
        <w:t>resolución A/RES/78/234 de la Asamblea General de Naciones Unidas</w:t>
      </w:r>
      <w:r w:rsidRPr="00C51D63">
        <w:rPr>
          <w:sz w:val="21"/>
          <w:szCs w:val="21"/>
        </w:rPr>
        <w:t xml:space="preserve">, España </w:t>
      </w:r>
      <w:r w:rsidR="00454232">
        <w:rPr>
          <w:sz w:val="21"/>
          <w:szCs w:val="21"/>
        </w:rPr>
        <w:t>realiza</w:t>
      </w:r>
      <w:r w:rsidRPr="00C51D63">
        <w:rPr>
          <w:sz w:val="21"/>
          <w:szCs w:val="21"/>
        </w:rPr>
        <w:t xml:space="preserve"> las siguientes aportaciones:</w:t>
      </w:r>
    </w:p>
    <w:p w14:paraId="16537B94" w14:textId="77777777" w:rsidR="00EB4005" w:rsidRDefault="00EB4005" w:rsidP="00475799">
      <w:pPr>
        <w:spacing w:after="0" w:line="240" w:lineRule="auto"/>
        <w:ind w:firstLine="357"/>
        <w:jc w:val="both"/>
        <w:rPr>
          <w:sz w:val="21"/>
          <w:szCs w:val="21"/>
        </w:rPr>
      </w:pPr>
    </w:p>
    <w:p w14:paraId="1BB89FE7" w14:textId="77777777" w:rsidR="00475799" w:rsidRPr="00C51D63" w:rsidRDefault="00475799" w:rsidP="00475799">
      <w:pPr>
        <w:spacing w:after="0" w:line="240" w:lineRule="auto"/>
        <w:ind w:firstLine="357"/>
        <w:jc w:val="both"/>
        <w:rPr>
          <w:sz w:val="21"/>
          <w:szCs w:val="21"/>
        </w:rPr>
      </w:pPr>
    </w:p>
    <w:p w14:paraId="14DB312B" w14:textId="77777777" w:rsidR="002F4215" w:rsidRPr="00C51D63" w:rsidRDefault="00A33D10" w:rsidP="00C16EB8">
      <w:pPr>
        <w:pStyle w:val="ListParagraph"/>
        <w:numPr>
          <w:ilvl w:val="0"/>
          <w:numId w:val="11"/>
        </w:numPr>
        <w:jc w:val="both"/>
        <w:rPr>
          <w:sz w:val="21"/>
          <w:szCs w:val="21"/>
        </w:rPr>
      </w:pPr>
      <w:r w:rsidRPr="00C51D63">
        <w:rPr>
          <w:b/>
          <w:sz w:val="21"/>
          <w:szCs w:val="21"/>
        </w:rPr>
        <w:t>Discurso de odio, incitación a la discriminación racial, la hostilidad y la violencia (párrafo 6 de preámbulo).</w:t>
      </w:r>
    </w:p>
    <w:p w14:paraId="37FA06B4" w14:textId="77777777" w:rsidR="00E47331" w:rsidRPr="00C51D63" w:rsidRDefault="003A102E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 xml:space="preserve">Del 7 </w:t>
      </w:r>
      <w:r w:rsidR="007B4DEF" w:rsidRPr="00C51D63">
        <w:rPr>
          <w:sz w:val="21"/>
          <w:szCs w:val="21"/>
        </w:rPr>
        <w:t xml:space="preserve">al 18 de septiembre de 2023 se llevaron a cabo las </w:t>
      </w:r>
      <w:r w:rsidR="007B4DEF" w:rsidRPr="00C51D63">
        <w:rPr>
          <w:b/>
          <w:sz w:val="21"/>
          <w:szCs w:val="21"/>
        </w:rPr>
        <w:t xml:space="preserve">Jornadas de actualización de conocimientos de los </w:t>
      </w:r>
      <w:proofErr w:type="spellStart"/>
      <w:r w:rsidR="007B4DEF" w:rsidRPr="00C51D63">
        <w:rPr>
          <w:b/>
          <w:i/>
          <w:sz w:val="21"/>
          <w:szCs w:val="21"/>
        </w:rPr>
        <w:t>trusted</w:t>
      </w:r>
      <w:proofErr w:type="spellEnd"/>
      <w:r w:rsidR="005D0042">
        <w:rPr>
          <w:b/>
          <w:i/>
          <w:sz w:val="21"/>
          <w:szCs w:val="21"/>
        </w:rPr>
        <w:t xml:space="preserve"> </w:t>
      </w:r>
      <w:proofErr w:type="spellStart"/>
      <w:r w:rsidR="007B4DEF" w:rsidRPr="00C51D63">
        <w:rPr>
          <w:b/>
          <w:i/>
          <w:sz w:val="21"/>
          <w:szCs w:val="21"/>
        </w:rPr>
        <w:t>flaggers</w:t>
      </w:r>
      <w:proofErr w:type="spellEnd"/>
      <w:r w:rsidR="007B4DEF" w:rsidRPr="00C51D63">
        <w:rPr>
          <w:sz w:val="21"/>
          <w:szCs w:val="21"/>
        </w:rPr>
        <w:t xml:space="preserve"> </w:t>
      </w:r>
      <w:r w:rsidR="006C2179">
        <w:rPr>
          <w:sz w:val="21"/>
          <w:szCs w:val="21"/>
        </w:rPr>
        <w:t xml:space="preserve">en </w:t>
      </w:r>
      <w:r w:rsidR="006C2179" w:rsidRPr="006C2179">
        <w:rPr>
          <w:sz w:val="21"/>
          <w:szCs w:val="21"/>
        </w:rPr>
        <w:t>el Centro Universitario de la Guardia Civil (CUGC)</w:t>
      </w:r>
      <w:r w:rsidR="001A64E4">
        <w:rPr>
          <w:sz w:val="21"/>
          <w:szCs w:val="21"/>
        </w:rPr>
        <w:t>,</w:t>
      </w:r>
      <w:r w:rsidR="006C2179" w:rsidRPr="006C2179">
        <w:rPr>
          <w:sz w:val="21"/>
          <w:szCs w:val="21"/>
        </w:rPr>
        <w:t xml:space="preserve"> en colaboración con el Observatorio Español del Racismo y la Xenofobia (OBERAXE)</w:t>
      </w:r>
      <w:r w:rsidR="001A64E4">
        <w:rPr>
          <w:sz w:val="21"/>
          <w:szCs w:val="21"/>
        </w:rPr>
        <w:t xml:space="preserve"> del </w:t>
      </w:r>
      <w:r w:rsidR="001A64E4" w:rsidRPr="001A64E4">
        <w:rPr>
          <w:sz w:val="21"/>
          <w:szCs w:val="21"/>
        </w:rPr>
        <w:t>Ministerio de Inclusión, Seguridad Social y Migraciones</w:t>
      </w:r>
      <w:r w:rsidR="000B5918" w:rsidRPr="00C51D63">
        <w:rPr>
          <w:sz w:val="21"/>
          <w:szCs w:val="21"/>
        </w:rPr>
        <w:t>.</w:t>
      </w:r>
      <w:r w:rsidR="007B4DEF" w:rsidRPr="00C51D63">
        <w:rPr>
          <w:sz w:val="21"/>
          <w:szCs w:val="21"/>
        </w:rPr>
        <w:t xml:space="preserve"> Esta actividad</w:t>
      </w:r>
      <w:r w:rsidR="001A64E4">
        <w:rPr>
          <w:sz w:val="21"/>
          <w:szCs w:val="21"/>
        </w:rPr>
        <w:t xml:space="preserve"> tuvo como finalidad </w:t>
      </w:r>
      <w:r w:rsidR="001A64E4" w:rsidRPr="00C51D63">
        <w:rPr>
          <w:sz w:val="21"/>
          <w:szCs w:val="21"/>
        </w:rPr>
        <w:t>combatir el discurso de odio ilegal en línea, en el marco del “Acuerdo interinstitucional para combatir el</w:t>
      </w:r>
      <w:r w:rsidR="001A64E4">
        <w:rPr>
          <w:sz w:val="21"/>
          <w:szCs w:val="21"/>
        </w:rPr>
        <w:t xml:space="preserve"> racismo, la xenofobia, la </w:t>
      </w:r>
      <w:proofErr w:type="spellStart"/>
      <w:r w:rsidR="001A64E4">
        <w:rPr>
          <w:sz w:val="21"/>
          <w:szCs w:val="21"/>
        </w:rPr>
        <w:t>LGT</w:t>
      </w:r>
      <w:r w:rsidR="001A64E4" w:rsidRPr="00C51D63">
        <w:rPr>
          <w:sz w:val="21"/>
          <w:szCs w:val="21"/>
        </w:rPr>
        <w:t>BIfobia</w:t>
      </w:r>
      <w:proofErr w:type="spellEnd"/>
      <w:r w:rsidR="001A64E4" w:rsidRPr="00C51D63">
        <w:rPr>
          <w:sz w:val="21"/>
          <w:szCs w:val="21"/>
        </w:rPr>
        <w:t xml:space="preserve"> y otras formas conexas de intolerancia”</w:t>
      </w:r>
      <w:r w:rsidR="001A64E4">
        <w:rPr>
          <w:sz w:val="21"/>
          <w:szCs w:val="21"/>
        </w:rPr>
        <w:t xml:space="preserve"> y concluyó con un s</w:t>
      </w:r>
      <w:r w:rsidR="007B4DEF" w:rsidRPr="00C51D63">
        <w:rPr>
          <w:sz w:val="21"/>
          <w:szCs w:val="21"/>
        </w:rPr>
        <w:t>eminario internacional</w:t>
      </w:r>
      <w:r w:rsidR="0073106D">
        <w:rPr>
          <w:sz w:val="21"/>
          <w:szCs w:val="21"/>
        </w:rPr>
        <w:t xml:space="preserve">, celebrado </w:t>
      </w:r>
      <w:r w:rsidR="0073106D" w:rsidRPr="00C51D63">
        <w:rPr>
          <w:sz w:val="21"/>
          <w:szCs w:val="21"/>
        </w:rPr>
        <w:t>el 20 de septiembre</w:t>
      </w:r>
      <w:r w:rsidR="0073106D">
        <w:rPr>
          <w:sz w:val="21"/>
          <w:szCs w:val="21"/>
        </w:rPr>
        <w:t>, que fue</w:t>
      </w:r>
      <w:r w:rsidR="007B4DEF" w:rsidRPr="00C51D63">
        <w:rPr>
          <w:sz w:val="21"/>
          <w:szCs w:val="21"/>
        </w:rPr>
        <w:t xml:space="preserve"> cofinanciado por la Comisión Europea</w:t>
      </w:r>
      <w:r w:rsidR="0073106D">
        <w:rPr>
          <w:sz w:val="21"/>
          <w:szCs w:val="21"/>
        </w:rPr>
        <w:t>,</w:t>
      </w:r>
      <w:r w:rsidR="007B4DEF" w:rsidRPr="00C51D63">
        <w:rPr>
          <w:sz w:val="21"/>
          <w:szCs w:val="21"/>
        </w:rPr>
        <w:t xml:space="preserve"> </w:t>
      </w:r>
      <w:r w:rsidR="00791636" w:rsidRPr="00C51D63">
        <w:rPr>
          <w:sz w:val="21"/>
          <w:szCs w:val="21"/>
        </w:rPr>
        <w:t>en el que</w:t>
      </w:r>
      <w:r w:rsidR="007B4DEF" w:rsidRPr="00C51D63">
        <w:rPr>
          <w:sz w:val="21"/>
          <w:szCs w:val="21"/>
        </w:rPr>
        <w:t xml:space="preserve"> participaron representantes de 1</w:t>
      </w:r>
      <w:r w:rsidR="00D15E2F" w:rsidRPr="00C51D63">
        <w:rPr>
          <w:sz w:val="21"/>
          <w:szCs w:val="21"/>
        </w:rPr>
        <w:t>7 entidades públicas y privadas.</w:t>
      </w:r>
    </w:p>
    <w:p w14:paraId="0DDFF731" w14:textId="77777777" w:rsidR="00C51D63" w:rsidRPr="00C51D63" w:rsidRDefault="000B5918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>Ademá</w:t>
      </w:r>
      <w:r w:rsidR="001A64E4">
        <w:rPr>
          <w:sz w:val="21"/>
          <w:szCs w:val="21"/>
        </w:rPr>
        <w:t>s, el OBERAXE</w:t>
      </w:r>
      <w:r w:rsidR="0073106D">
        <w:rPr>
          <w:sz w:val="21"/>
          <w:szCs w:val="21"/>
        </w:rPr>
        <w:t xml:space="preserve"> participa</w:t>
      </w:r>
      <w:r w:rsidRPr="00C51D63">
        <w:rPr>
          <w:sz w:val="21"/>
          <w:szCs w:val="21"/>
        </w:rPr>
        <w:t xml:space="preserve"> en los </w:t>
      </w:r>
      <w:r w:rsidRPr="00C51D63">
        <w:rPr>
          <w:b/>
          <w:sz w:val="21"/>
          <w:szCs w:val="21"/>
        </w:rPr>
        <w:t>ejercicios de evaluación del cumplimiento del “</w:t>
      </w:r>
      <w:r w:rsidR="00E23567" w:rsidRPr="00C51D63">
        <w:rPr>
          <w:b/>
          <w:sz w:val="21"/>
          <w:szCs w:val="21"/>
        </w:rPr>
        <w:t>Código</w:t>
      </w:r>
      <w:r w:rsidRPr="00C51D63">
        <w:rPr>
          <w:b/>
          <w:sz w:val="21"/>
          <w:szCs w:val="21"/>
        </w:rPr>
        <w:t xml:space="preserve"> de Conducta para la lucha contra la incitación ilegal al odio en Internet”</w:t>
      </w:r>
      <w:r w:rsidR="0073106D" w:rsidRPr="0073106D">
        <w:rPr>
          <w:sz w:val="21"/>
          <w:szCs w:val="21"/>
        </w:rPr>
        <w:t>,</w:t>
      </w:r>
      <w:r w:rsidR="0073106D">
        <w:rPr>
          <w:b/>
          <w:sz w:val="21"/>
          <w:szCs w:val="21"/>
        </w:rPr>
        <w:t xml:space="preserve"> </w:t>
      </w:r>
      <w:r w:rsidRPr="00C51D63">
        <w:rPr>
          <w:sz w:val="21"/>
          <w:szCs w:val="21"/>
        </w:rPr>
        <w:t>firmado en 2016 por YouTube, Twitter, Facebook y Microsoft con la Comisión Europea, y al que se han adherido otras plataf</w:t>
      </w:r>
      <w:r w:rsidR="00E23567" w:rsidRPr="00C51D63">
        <w:rPr>
          <w:sz w:val="21"/>
          <w:szCs w:val="21"/>
        </w:rPr>
        <w:t xml:space="preserve">ormas como Instagram y </w:t>
      </w:r>
      <w:proofErr w:type="spellStart"/>
      <w:r w:rsidR="00E23567" w:rsidRPr="00C51D63">
        <w:rPr>
          <w:sz w:val="21"/>
          <w:szCs w:val="21"/>
        </w:rPr>
        <w:t>TikTok</w:t>
      </w:r>
      <w:proofErr w:type="spellEnd"/>
      <w:r w:rsidR="00E23567" w:rsidRPr="00C51D63">
        <w:rPr>
          <w:sz w:val="21"/>
          <w:szCs w:val="21"/>
        </w:rPr>
        <w:t>.</w:t>
      </w:r>
      <w:r w:rsidR="0073106D">
        <w:rPr>
          <w:sz w:val="21"/>
          <w:szCs w:val="21"/>
        </w:rPr>
        <w:t xml:space="preserve"> </w:t>
      </w:r>
      <w:r w:rsidR="002522E3" w:rsidRPr="00C51D63">
        <w:rPr>
          <w:sz w:val="21"/>
          <w:szCs w:val="21"/>
        </w:rPr>
        <w:t>E</w:t>
      </w:r>
      <w:r w:rsidR="001E0D5F" w:rsidRPr="00C51D63">
        <w:rPr>
          <w:sz w:val="21"/>
          <w:szCs w:val="21"/>
        </w:rPr>
        <w:t xml:space="preserve">l OBERAXE </w:t>
      </w:r>
      <w:r w:rsidR="002522E3" w:rsidRPr="00C51D63">
        <w:rPr>
          <w:sz w:val="21"/>
          <w:szCs w:val="21"/>
        </w:rPr>
        <w:t xml:space="preserve">también </w:t>
      </w:r>
      <w:r w:rsidR="001E0D5F" w:rsidRPr="00C51D63">
        <w:rPr>
          <w:sz w:val="21"/>
          <w:szCs w:val="21"/>
        </w:rPr>
        <w:t xml:space="preserve">lleva a cabo un </w:t>
      </w:r>
      <w:r w:rsidR="001E0D5F" w:rsidRPr="00C51D63">
        <w:rPr>
          <w:b/>
          <w:sz w:val="21"/>
          <w:szCs w:val="21"/>
        </w:rPr>
        <w:t>proyecto de monitorización diaria y sistemática del discurso de odio</w:t>
      </w:r>
      <w:r w:rsidR="001E0D5F" w:rsidRPr="00C51D63">
        <w:rPr>
          <w:sz w:val="21"/>
          <w:szCs w:val="21"/>
        </w:rPr>
        <w:t xml:space="preserve"> en las plataformas de servicios de alojamiento de datos más importantes de España, cuyos resultados se publican cada dos meses en un boletín disponible en el sitio web del OBERAXE.</w:t>
      </w:r>
      <w:r w:rsidR="0073106D">
        <w:rPr>
          <w:sz w:val="21"/>
          <w:szCs w:val="21"/>
        </w:rPr>
        <w:t xml:space="preserve"> </w:t>
      </w:r>
      <w:proofErr w:type="gramStart"/>
      <w:r w:rsidR="001E0D5F" w:rsidRPr="00C51D63">
        <w:rPr>
          <w:sz w:val="21"/>
          <w:szCs w:val="21"/>
        </w:rPr>
        <w:t>Otro proyecto a destacar</w:t>
      </w:r>
      <w:proofErr w:type="gramEnd"/>
      <w:r w:rsidR="001E0D5F" w:rsidRPr="00C51D63">
        <w:rPr>
          <w:sz w:val="21"/>
          <w:szCs w:val="21"/>
        </w:rPr>
        <w:t xml:space="preserve"> es el </w:t>
      </w:r>
      <w:r w:rsidR="001E0D5F" w:rsidRPr="00C51D63">
        <w:rPr>
          <w:b/>
          <w:sz w:val="21"/>
          <w:szCs w:val="21"/>
        </w:rPr>
        <w:t xml:space="preserve">proyecto europeo REAL UP de Discurso de odio, racismo y xenofobia: Mecanismos de Alerta y Respuesta, análisis del discurso </w:t>
      </w:r>
      <w:proofErr w:type="spellStart"/>
      <w:r w:rsidR="001E0D5F" w:rsidRPr="0073106D">
        <w:rPr>
          <w:b/>
          <w:i/>
          <w:sz w:val="21"/>
          <w:szCs w:val="21"/>
        </w:rPr>
        <w:t>Upstander</w:t>
      </w:r>
      <w:proofErr w:type="spellEnd"/>
      <w:r w:rsidR="000E0334" w:rsidRPr="000E0334">
        <w:rPr>
          <w:i/>
          <w:sz w:val="21"/>
          <w:szCs w:val="21"/>
        </w:rPr>
        <w:t xml:space="preserve"> </w:t>
      </w:r>
      <w:r w:rsidR="00C51D63" w:rsidRPr="000E0334">
        <w:rPr>
          <w:rStyle w:val="EndnoteReference"/>
          <w:sz w:val="21"/>
          <w:szCs w:val="21"/>
        </w:rPr>
        <w:endnoteReference w:id="1"/>
      </w:r>
      <w:r w:rsidR="00C51D63" w:rsidRPr="000E0334">
        <w:rPr>
          <w:sz w:val="21"/>
          <w:szCs w:val="21"/>
        </w:rPr>
        <w:t xml:space="preserve">, </w:t>
      </w:r>
      <w:r w:rsidR="00C51D63" w:rsidRPr="00C51D63">
        <w:rPr>
          <w:sz w:val="21"/>
          <w:szCs w:val="21"/>
        </w:rPr>
        <w:t>li</w:t>
      </w:r>
      <w:r w:rsidR="0073106D">
        <w:rPr>
          <w:sz w:val="21"/>
          <w:szCs w:val="21"/>
        </w:rPr>
        <w:t>derado en España por OBERAXE, que está previsto concluya</w:t>
      </w:r>
      <w:r w:rsidR="00C51D63" w:rsidRPr="00C51D63">
        <w:rPr>
          <w:sz w:val="21"/>
          <w:szCs w:val="21"/>
        </w:rPr>
        <w:t xml:space="preserve"> el</w:t>
      </w:r>
      <w:r w:rsidR="0073106D">
        <w:rPr>
          <w:sz w:val="21"/>
          <w:szCs w:val="21"/>
        </w:rPr>
        <w:t xml:space="preserve"> día</w:t>
      </w:r>
      <w:r w:rsidR="00C51D63" w:rsidRPr="00C51D63">
        <w:rPr>
          <w:sz w:val="21"/>
          <w:szCs w:val="21"/>
        </w:rPr>
        <w:t xml:space="preserve"> 30 de junio de 2024. </w:t>
      </w:r>
    </w:p>
    <w:p w14:paraId="641AD76F" w14:textId="77777777" w:rsidR="00C51D63" w:rsidRDefault="00C51D63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>Paralelamente</w:t>
      </w:r>
      <w:r w:rsidR="0073106D">
        <w:rPr>
          <w:sz w:val="21"/>
          <w:szCs w:val="21"/>
        </w:rPr>
        <w:t>,</w:t>
      </w:r>
      <w:r w:rsidRPr="00C51D63">
        <w:rPr>
          <w:sz w:val="21"/>
          <w:szCs w:val="21"/>
        </w:rPr>
        <w:t xml:space="preserve"> se ha implementado el proyecto </w:t>
      </w:r>
      <w:r w:rsidRPr="00C51D63">
        <w:rPr>
          <w:b/>
          <w:sz w:val="21"/>
          <w:szCs w:val="21"/>
        </w:rPr>
        <w:t xml:space="preserve">“CISDO” (Cooperación </w:t>
      </w:r>
      <w:proofErr w:type="spellStart"/>
      <w:r w:rsidRPr="00C51D63">
        <w:rPr>
          <w:b/>
          <w:sz w:val="21"/>
          <w:szCs w:val="21"/>
        </w:rPr>
        <w:t>Inter-policial</w:t>
      </w:r>
      <w:proofErr w:type="spellEnd"/>
      <w:r w:rsidRPr="00C51D63">
        <w:rPr>
          <w:b/>
          <w:sz w:val="21"/>
          <w:szCs w:val="21"/>
        </w:rPr>
        <w:t xml:space="preserve"> y Social contra los delitos de odio)</w:t>
      </w:r>
      <w:r w:rsidRPr="00C51D63">
        <w:rPr>
          <w:sz w:val="21"/>
          <w:szCs w:val="21"/>
        </w:rPr>
        <w:t xml:space="preserve"> para la mejora de las capacidades de las fuerzas policiales</w:t>
      </w:r>
      <w:r w:rsidR="00FA1F83">
        <w:rPr>
          <w:sz w:val="21"/>
          <w:szCs w:val="21"/>
        </w:rPr>
        <w:t>,</w:t>
      </w:r>
      <w:r w:rsidRPr="00C51D63">
        <w:rPr>
          <w:sz w:val="21"/>
          <w:szCs w:val="21"/>
        </w:rPr>
        <w:t xml:space="preserve"> a nivel nacional y local</w:t>
      </w:r>
      <w:r w:rsidR="00FA1F83">
        <w:rPr>
          <w:sz w:val="21"/>
          <w:szCs w:val="21"/>
        </w:rPr>
        <w:t>,</w:t>
      </w:r>
      <w:r w:rsidRPr="00C51D63">
        <w:rPr>
          <w:sz w:val="21"/>
          <w:szCs w:val="21"/>
        </w:rPr>
        <w:t xml:space="preserve"> en cooperación con las organi</w:t>
      </w:r>
      <w:r w:rsidR="00FA1F83">
        <w:rPr>
          <w:sz w:val="21"/>
          <w:szCs w:val="21"/>
        </w:rPr>
        <w:t xml:space="preserve">zaciones de la sociedad civil.  A través de CISDO se busca </w:t>
      </w:r>
      <w:r w:rsidRPr="00C51D63">
        <w:rPr>
          <w:sz w:val="21"/>
          <w:szCs w:val="21"/>
        </w:rPr>
        <w:t xml:space="preserve">prevenir, identificar y responder a los incidentes racistas y xenófobos, así como a los delitos de odio, </w:t>
      </w:r>
      <w:r w:rsidR="001553EB">
        <w:rPr>
          <w:sz w:val="21"/>
          <w:szCs w:val="21"/>
        </w:rPr>
        <w:t>mejorándose, con ello,</w:t>
      </w:r>
      <w:r w:rsidRPr="00C51D63">
        <w:rPr>
          <w:sz w:val="21"/>
          <w:szCs w:val="21"/>
        </w:rPr>
        <w:t xml:space="preserve"> el conocimiento mutuo y creando lazos de confianza para reducir las tasas de </w:t>
      </w:r>
      <w:proofErr w:type="spellStart"/>
      <w:r w:rsidRPr="00C51D63">
        <w:rPr>
          <w:sz w:val="21"/>
          <w:szCs w:val="21"/>
        </w:rPr>
        <w:t>infradenuncia</w:t>
      </w:r>
      <w:proofErr w:type="spellEnd"/>
      <w:r w:rsidRPr="00C51D63">
        <w:rPr>
          <w:sz w:val="21"/>
          <w:szCs w:val="21"/>
        </w:rPr>
        <w:t xml:space="preserve">. </w:t>
      </w:r>
      <w:r w:rsidR="00FA1F83">
        <w:rPr>
          <w:sz w:val="21"/>
          <w:szCs w:val="21"/>
        </w:rPr>
        <w:t xml:space="preserve"> CIS</w:t>
      </w:r>
      <w:r w:rsidR="001553EB">
        <w:rPr>
          <w:sz w:val="21"/>
          <w:szCs w:val="21"/>
        </w:rPr>
        <w:t>D</w:t>
      </w:r>
      <w:r w:rsidR="00FA1F83">
        <w:rPr>
          <w:sz w:val="21"/>
          <w:szCs w:val="21"/>
        </w:rPr>
        <w:t xml:space="preserve">O sirve asimismo </w:t>
      </w:r>
      <w:r w:rsidRPr="00C51D63">
        <w:rPr>
          <w:sz w:val="21"/>
          <w:szCs w:val="21"/>
        </w:rPr>
        <w:t>para proporcionar una mejor asistencia a las víctimas.</w:t>
      </w:r>
    </w:p>
    <w:p w14:paraId="74C7A5D9" w14:textId="77777777" w:rsidR="00FA1F83" w:rsidRPr="00C51D63" w:rsidRDefault="00FA1F83" w:rsidP="00C16EB8">
      <w:pPr>
        <w:ind w:firstLine="708"/>
        <w:jc w:val="both"/>
        <w:rPr>
          <w:sz w:val="21"/>
          <w:szCs w:val="21"/>
        </w:rPr>
      </w:pPr>
    </w:p>
    <w:p w14:paraId="2A325E95" w14:textId="77777777" w:rsidR="00C51D63" w:rsidRPr="00C16EB8" w:rsidRDefault="00C51D63" w:rsidP="00C16EB8">
      <w:pPr>
        <w:pStyle w:val="ListParagraph"/>
        <w:numPr>
          <w:ilvl w:val="0"/>
          <w:numId w:val="11"/>
        </w:numPr>
        <w:jc w:val="both"/>
        <w:rPr>
          <w:b/>
          <w:sz w:val="21"/>
          <w:szCs w:val="21"/>
        </w:rPr>
      </w:pPr>
      <w:r w:rsidRPr="00C51D63">
        <w:rPr>
          <w:b/>
          <w:sz w:val="21"/>
          <w:szCs w:val="21"/>
        </w:rPr>
        <w:t>Alcance e impacto del racismo sistémico y medidas jurídicas, normativas e institucionales eficaces que aborden el racismo como algo más que una suma de actos individualizados (párrafo dispositivo 26).</w:t>
      </w:r>
    </w:p>
    <w:p w14:paraId="69635191" w14:textId="77777777" w:rsidR="00D65F2E" w:rsidRPr="00C51D63" w:rsidRDefault="00C51D63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  <w:lang w:val="es-ES_tradnl"/>
        </w:rPr>
        <w:t>En el Plan Anual Normativo para 2024</w:t>
      </w:r>
      <w:r w:rsidR="001553EB">
        <w:rPr>
          <w:sz w:val="21"/>
          <w:szCs w:val="21"/>
          <w:lang w:val="es-ES_tradnl"/>
        </w:rPr>
        <w:t>,</w:t>
      </w:r>
      <w:r w:rsidRPr="00C51D63">
        <w:rPr>
          <w:sz w:val="21"/>
          <w:szCs w:val="21"/>
          <w:lang w:val="es-ES_tradnl"/>
        </w:rPr>
        <w:t xml:space="preserve"> el Gobierno </w:t>
      </w:r>
      <w:r w:rsidR="001553EB">
        <w:rPr>
          <w:sz w:val="21"/>
          <w:szCs w:val="21"/>
          <w:lang w:val="es-ES_tradnl"/>
        </w:rPr>
        <w:t xml:space="preserve">de España </w:t>
      </w:r>
      <w:r w:rsidRPr="00C51D63">
        <w:rPr>
          <w:sz w:val="21"/>
          <w:szCs w:val="21"/>
          <w:lang w:val="es-ES_tradnl"/>
        </w:rPr>
        <w:t xml:space="preserve">incluyó la aprobación de la </w:t>
      </w:r>
      <w:r w:rsidRPr="00C51D63">
        <w:rPr>
          <w:b/>
          <w:sz w:val="21"/>
          <w:szCs w:val="21"/>
          <w:lang w:val="es-ES_tradnl"/>
        </w:rPr>
        <w:t>proposición de Ley Orgánica contra el Racismo, la Discriminación Racial y formas conexas de intolerancia</w:t>
      </w:r>
      <w:r w:rsidR="000E0334">
        <w:rPr>
          <w:b/>
          <w:sz w:val="21"/>
          <w:szCs w:val="21"/>
          <w:lang w:val="es-ES_tradnl"/>
        </w:rPr>
        <w:t xml:space="preserve"> </w:t>
      </w:r>
      <w:r w:rsidRPr="00C51D63">
        <w:rPr>
          <w:rStyle w:val="EndnoteReference"/>
          <w:sz w:val="21"/>
          <w:szCs w:val="21"/>
          <w:lang w:val="es-ES_tradnl"/>
        </w:rPr>
        <w:endnoteReference w:id="2"/>
      </w:r>
      <w:r w:rsidRPr="00C51D63">
        <w:rPr>
          <w:sz w:val="21"/>
          <w:szCs w:val="21"/>
          <w:lang w:val="es-ES_tradnl"/>
        </w:rPr>
        <w:t>,</w:t>
      </w:r>
      <w:r w:rsidR="007D102A" w:rsidRPr="00C51D63">
        <w:rPr>
          <w:sz w:val="21"/>
          <w:szCs w:val="21"/>
          <w:lang w:val="es-ES_tradnl"/>
        </w:rPr>
        <w:t xml:space="preserve"> para cuya redacción se </w:t>
      </w:r>
      <w:r w:rsidR="001553EB">
        <w:rPr>
          <w:sz w:val="21"/>
          <w:szCs w:val="21"/>
          <w:lang w:val="es-ES_tradnl"/>
        </w:rPr>
        <w:t>realizó una consulta pública entre el 21 de marzo y el</w:t>
      </w:r>
      <w:r w:rsidR="007D102A" w:rsidRPr="00C51D63">
        <w:rPr>
          <w:sz w:val="21"/>
          <w:szCs w:val="21"/>
          <w:lang w:val="es-ES_tradnl"/>
        </w:rPr>
        <w:t xml:space="preserve"> 20 de mayo de 2022</w:t>
      </w:r>
      <w:r w:rsidR="000E0334">
        <w:rPr>
          <w:sz w:val="21"/>
          <w:szCs w:val="21"/>
          <w:lang w:val="es-ES_tradnl"/>
        </w:rPr>
        <w:t xml:space="preserve"> </w:t>
      </w:r>
      <w:r w:rsidRPr="00C51D63">
        <w:rPr>
          <w:rStyle w:val="EndnoteReference"/>
          <w:sz w:val="21"/>
          <w:szCs w:val="21"/>
          <w:lang w:val="es-ES_tradnl"/>
        </w:rPr>
        <w:endnoteReference w:id="3"/>
      </w:r>
      <w:r w:rsidRPr="00C51D63">
        <w:rPr>
          <w:sz w:val="21"/>
          <w:szCs w:val="21"/>
          <w:lang w:val="es-ES_tradnl"/>
        </w:rPr>
        <w:t>.</w:t>
      </w:r>
      <w:r w:rsidR="00573DC7" w:rsidRPr="00C51D63">
        <w:rPr>
          <w:sz w:val="21"/>
          <w:szCs w:val="21"/>
          <w:lang w:val="es-ES_tradnl"/>
        </w:rPr>
        <w:t xml:space="preserve"> Dicha proposición de ley pretende </w:t>
      </w:r>
      <w:r w:rsidR="006B1838" w:rsidRPr="00C51D63">
        <w:rPr>
          <w:sz w:val="21"/>
          <w:szCs w:val="21"/>
          <w:lang w:val="es-ES_tradnl"/>
        </w:rPr>
        <w:t xml:space="preserve">reconocer el racismo estructural, que afecta a </w:t>
      </w:r>
      <w:r w:rsidR="006B1838" w:rsidRPr="00C51D63">
        <w:rPr>
          <w:sz w:val="21"/>
          <w:szCs w:val="21"/>
          <w:lang w:val="es-ES_tradnl"/>
        </w:rPr>
        <w:lastRenderedPageBreak/>
        <w:t>determinados grupos poblacionales y étnicos, como propone la Comisión Europea en el Plan Antirracista de la UE para 2020</w:t>
      </w:r>
      <w:r w:rsidR="001553EB">
        <w:rPr>
          <w:sz w:val="21"/>
          <w:szCs w:val="21"/>
          <w:lang w:val="es-ES_tradnl"/>
        </w:rPr>
        <w:t xml:space="preserve"> </w:t>
      </w:r>
      <w:r w:rsidR="008832AC">
        <w:rPr>
          <w:sz w:val="21"/>
          <w:szCs w:val="21"/>
          <w:lang w:val="es-ES_tradnl"/>
        </w:rPr>
        <w:t>–</w:t>
      </w:r>
      <w:r w:rsidR="001553EB">
        <w:rPr>
          <w:sz w:val="21"/>
          <w:szCs w:val="21"/>
          <w:lang w:val="es-ES_tradnl"/>
        </w:rPr>
        <w:t xml:space="preserve"> </w:t>
      </w:r>
      <w:r w:rsidR="008832AC">
        <w:rPr>
          <w:sz w:val="21"/>
          <w:szCs w:val="21"/>
          <w:lang w:val="es-ES_tradnl"/>
        </w:rPr>
        <w:t xml:space="preserve">2025. </w:t>
      </w:r>
      <w:r w:rsidR="001553EB">
        <w:rPr>
          <w:sz w:val="21"/>
          <w:szCs w:val="21"/>
          <w:lang w:val="es-ES_tradnl"/>
        </w:rPr>
        <w:t xml:space="preserve">En la </w:t>
      </w:r>
      <w:r w:rsidR="00DF7BF6">
        <w:rPr>
          <w:sz w:val="21"/>
          <w:szCs w:val="21"/>
          <w:lang w:val="es-ES_tradnl"/>
        </w:rPr>
        <w:t>proposición se d</w:t>
      </w:r>
      <w:r w:rsidR="0099119F" w:rsidRPr="00C51D63">
        <w:rPr>
          <w:sz w:val="21"/>
          <w:szCs w:val="21"/>
          <w:lang w:val="es-ES_tradnl"/>
        </w:rPr>
        <w:t xml:space="preserve">estaca </w:t>
      </w:r>
      <w:r w:rsidR="006B1838" w:rsidRPr="00C51D63">
        <w:rPr>
          <w:sz w:val="21"/>
          <w:szCs w:val="21"/>
          <w:lang w:val="es-ES_tradnl"/>
        </w:rPr>
        <w:t>la necesidad de tener datos de origen étnico de una manera estructurada en las estadísticas, encuestas y estudios para evaluar su alcance y</w:t>
      </w:r>
      <w:r w:rsidR="0099119F" w:rsidRPr="00C51D63">
        <w:rPr>
          <w:sz w:val="21"/>
          <w:szCs w:val="21"/>
          <w:lang w:val="es-ES_tradnl"/>
        </w:rPr>
        <w:t>,</w:t>
      </w:r>
      <w:r w:rsidR="006B1838" w:rsidRPr="00C51D63">
        <w:rPr>
          <w:sz w:val="21"/>
          <w:szCs w:val="21"/>
          <w:lang w:val="es-ES_tradnl"/>
        </w:rPr>
        <w:t xml:space="preserve"> en su caso, posibilitar la activación temporal</w:t>
      </w:r>
      <w:r w:rsidR="0099119F" w:rsidRPr="00C51D63">
        <w:rPr>
          <w:sz w:val="21"/>
          <w:szCs w:val="21"/>
          <w:lang w:val="es-ES_tradnl"/>
        </w:rPr>
        <w:t xml:space="preserve"> de medidas de acción positiva.</w:t>
      </w:r>
    </w:p>
    <w:p w14:paraId="223D26E8" w14:textId="77777777" w:rsidR="00C51D63" w:rsidRPr="00C51D63" w:rsidRDefault="00DF7BF6" w:rsidP="00C16EB8">
      <w:pPr>
        <w:spacing w:line="276" w:lineRule="auto"/>
        <w:ind w:firstLine="708"/>
        <w:jc w:val="both"/>
        <w:rPr>
          <w:sz w:val="21"/>
          <w:szCs w:val="21"/>
          <w:lang w:val="es-ES_tradnl"/>
        </w:rPr>
      </w:pPr>
      <w:r>
        <w:rPr>
          <w:sz w:val="21"/>
          <w:szCs w:val="21"/>
          <w:lang w:val="es-ES_tradnl"/>
        </w:rPr>
        <w:t>C</w:t>
      </w:r>
      <w:r w:rsidR="00C52443" w:rsidRPr="00C51D63">
        <w:rPr>
          <w:sz w:val="21"/>
          <w:szCs w:val="21"/>
          <w:lang w:val="es-ES_tradnl"/>
        </w:rPr>
        <w:t xml:space="preserve">on el </w:t>
      </w:r>
      <w:r w:rsidR="00C16EB8">
        <w:rPr>
          <w:sz w:val="21"/>
          <w:szCs w:val="21"/>
          <w:lang w:val="es-ES_tradnl"/>
        </w:rPr>
        <w:t>fin</w:t>
      </w:r>
      <w:r w:rsidR="00C52443" w:rsidRPr="00C51D63">
        <w:rPr>
          <w:sz w:val="21"/>
          <w:szCs w:val="21"/>
          <w:lang w:val="es-ES_tradnl"/>
        </w:rPr>
        <w:t xml:space="preserve"> de obtener datos desagregados para la formulación de políticas públicas, </w:t>
      </w:r>
      <w:r w:rsidR="00400737" w:rsidRPr="00C51D63">
        <w:rPr>
          <w:sz w:val="21"/>
          <w:szCs w:val="21"/>
          <w:lang w:val="es-ES_tradnl"/>
        </w:rPr>
        <w:t xml:space="preserve">se ha </w:t>
      </w:r>
      <w:r w:rsidR="00185369" w:rsidRPr="00C51D63">
        <w:rPr>
          <w:sz w:val="21"/>
          <w:szCs w:val="21"/>
          <w:lang w:val="es-ES_tradnl"/>
        </w:rPr>
        <w:t xml:space="preserve">propuesto </w:t>
      </w:r>
      <w:r>
        <w:rPr>
          <w:sz w:val="21"/>
          <w:szCs w:val="21"/>
          <w:lang w:val="es-ES_tradnl"/>
        </w:rPr>
        <w:t xml:space="preserve">además </w:t>
      </w:r>
      <w:r w:rsidR="004B50FA" w:rsidRPr="00C51D63">
        <w:rPr>
          <w:sz w:val="21"/>
          <w:szCs w:val="21"/>
          <w:lang w:val="es-ES_tradnl"/>
        </w:rPr>
        <w:t xml:space="preserve">incluir una </w:t>
      </w:r>
      <w:r w:rsidR="004B50FA" w:rsidRPr="00C51D63">
        <w:rPr>
          <w:b/>
          <w:sz w:val="21"/>
          <w:szCs w:val="21"/>
          <w:lang w:val="es-ES_tradnl"/>
        </w:rPr>
        <w:t xml:space="preserve">pregunta sobre el origen étnico </w:t>
      </w:r>
      <w:r w:rsidR="004B50FA" w:rsidRPr="00C51D63">
        <w:rPr>
          <w:sz w:val="21"/>
          <w:szCs w:val="21"/>
          <w:lang w:val="es-ES_tradnl"/>
        </w:rPr>
        <w:t>de las personas en la Encuesta de Características Esenciales de la Población y la Vivienda (ECEPOV) del Instituto Nacional de Estadística (INE) del 2026</w:t>
      </w:r>
      <w:r w:rsidR="000E0334">
        <w:rPr>
          <w:sz w:val="21"/>
          <w:szCs w:val="21"/>
          <w:lang w:val="es-ES_tradnl"/>
        </w:rPr>
        <w:t xml:space="preserve"> </w:t>
      </w:r>
      <w:r w:rsidR="00C51D63" w:rsidRPr="00C51D63">
        <w:rPr>
          <w:rStyle w:val="EndnoteReference"/>
          <w:sz w:val="21"/>
          <w:szCs w:val="21"/>
          <w:lang w:val="es-ES_tradnl"/>
        </w:rPr>
        <w:endnoteReference w:id="4"/>
      </w:r>
      <w:r>
        <w:rPr>
          <w:sz w:val="21"/>
          <w:szCs w:val="21"/>
          <w:lang w:val="es-ES_tradnl"/>
        </w:rPr>
        <w:t>, bajo los criterios de auto</w:t>
      </w:r>
      <w:r w:rsidR="00C51D63" w:rsidRPr="00C51D63">
        <w:rPr>
          <w:sz w:val="21"/>
          <w:szCs w:val="21"/>
          <w:lang w:val="es-ES_tradnl"/>
        </w:rPr>
        <w:t>identificación, no causar daños, anonimato y voluntariedad.</w:t>
      </w:r>
    </w:p>
    <w:p w14:paraId="1F0A5618" w14:textId="77777777" w:rsidR="00C51D63" w:rsidRDefault="0006628E" w:rsidP="000E0334">
      <w:pPr>
        <w:spacing w:after="0" w:line="240" w:lineRule="auto"/>
        <w:ind w:firstLine="709"/>
        <w:jc w:val="both"/>
        <w:rPr>
          <w:sz w:val="21"/>
          <w:szCs w:val="21"/>
        </w:rPr>
      </w:pPr>
      <w:r>
        <w:rPr>
          <w:sz w:val="21"/>
          <w:szCs w:val="21"/>
          <w:lang w:val="es-ES_tradnl"/>
        </w:rPr>
        <w:t>E</w:t>
      </w:r>
      <w:r w:rsidR="00C51D63" w:rsidRPr="00C51D63">
        <w:rPr>
          <w:sz w:val="21"/>
          <w:szCs w:val="21"/>
          <w:lang w:val="es-ES_tradnl"/>
        </w:rPr>
        <w:t xml:space="preserve">n relación con el racismo sistémico, </w:t>
      </w:r>
      <w:r w:rsidR="00C51D63" w:rsidRPr="00C51D63">
        <w:rPr>
          <w:sz w:val="21"/>
          <w:szCs w:val="21"/>
        </w:rPr>
        <w:t xml:space="preserve">se ha iniciado </w:t>
      </w:r>
      <w:r>
        <w:rPr>
          <w:sz w:val="21"/>
          <w:szCs w:val="21"/>
        </w:rPr>
        <w:t xml:space="preserve">también </w:t>
      </w:r>
      <w:r w:rsidR="00C51D63" w:rsidRPr="00C51D63">
        <w:rPr>
          <w:sz w:val="21"/>
          <w:szCs w:val="21"/>
        </w:rPr>
        <w:t xml:space="preserve">el proceso de creación de una </w:t>
      </w:r>
      <w:r w:rsidR="00C51D63" w:rsidRPr="00C51D63">
        <w:rPr>
          <w:b/>
          <w:sz w:val="21"/>
          <w:szCs w:val="21"/>
        </w:rPr>
        <w:t>Autoridad Independiente para la Igualdad de Trato y la No Discriminación</w:t>
      </w:r>
      <w:r w:rsidR="00C51D63" w:rsidRPr="00C51D63">
        <w:rPr>
          <w:sz w:val="21"/>
          <w:szCs w:val="21"/>
        </w:rPr>
        <w:t>, que ofrezca protección frente a la discriminación y promueva el cumplimiento del dere</w:t>
      </w:r>
      <w:r>
        <w:rPr>
          <w:sz w:val="21"/>
          <w:szCs w:val="21"/>
        </w:rPr>
        <w:t xml:space="preserve">cho antidiscriminatorio. </w:t>
      </w:r>
      <w:r w:rsidR="00FF5FE8">
        <w:rPr>
          <w:sz w:val="21"/>
          <w:szCs w:val="21"/>
        </w:rPr>
        <w:t xml:space="preserve">Se trata de un organismo que vigilará la igualdad de trato y </w:t>
      </w:r>
      <w:r w:rsidR="00C51D63" w:rsidRPr="00C51D63">
        <w:rPr>
          <w:sz w:val="21"/>
          <w:szCs w:val="21"/>
        </w:rPr>
        <w:t>estar</w:t>
      </w:r>
      <w:r w:rsidR="00FF5FE8">
        <w:rPr>
          <w:sz w:val="21"/>
          <w:szCs w:val="21"/>
        </w:rPr>
        <w:t>á</w:t>
      </w:r>
      <w:r w:rsidR="00C51D63" w:rsidRPr="00C51D63">
        <w:rPr>
          <w:sz w:val="21"/>
          <w:szCs w:val="21"/>
        </w:rPr>
        <w:t xml:space="preserve"> obligado por ley (art. 40 Ley 15/2022, de 12 de julio, integral para la libertad de trato y la no discriminación) a iniciar investigaciones sobre la existencia de posibles situaciones de discriminación en el ámbito privado, así como ejercitar acciones judiciales y realizar estudios sobre discriminación estruc</w:t>
      </w:r>
      <w:r w:rsidR="000E0334">
        <w:rPr>
          <w:sz w:val="21"/>
          <w:szCs w:val="21"/>
        </w:rPr>
        <w:t xml:space="preserve">tural </w:t>
      </w:r>
      <w:r w:rsidR="00C51D63" w:rsidRPr="00C51D63">
        <w:rPr>
          <w:rStyle w:val="EndnoteReference"/>
          <w:sz w:val="21"/>
          <w:szCs w:val="21"/>
        </w:rPr>
        <w:endnoteReference w:id="5"/>
      </w:r>
      <w:r w:rsidR="000E0334">
        <w:rPr>
          <w:sz w:val="21"/>
          <w:szCs w:val="21"/>
        </w:rPr>
        <w:t>.</w:t>
      </w:r>
    </w:p>
    <w:p w14:paraId="6A9598F4" w14:textId="77777777" w:rsidR="000E0334" w:rsidRDefault="000E0334" w:rsidP="000E0334">
      <w:pPr>
        <w:spacing w:after="0" w:line="240" w:lineRule="auto"/>
        <w:ind w:firstLine="709"/>
        <w:jc w:val="both"/>
        <w:rPr>
          <w:sz w:val="21"/>
          <w:szCs w:val="21"/>
        </w:rPr>
      </w:pPr>
    </w:p>
    <w:p w14:paraId="0819B85D" w14:textId="77777777" w:rsidR="001555F4" w:rsidRPr="00C51D63" w:rsidRDefault="001555F4" w:rsidP="000E0334">
      <w:pPr>
        <w:spacing w:after="0" w:line="240" w:lineRule="auto"/>
        <w:ind w:firstLine="709"/>
        <w:jc w:val="both"/>
        <w:rPr>
          <w:sz w:val="21"/>
          <w:szCs w:val="21"/>
        </w:rPr>
      </w:pPr>
    </w:p>
    <w:p w14:paraId="5DC27497" w14:textId="77777777" w:rsidR="00C51D63" w:rsidRPr="00C51D63" w:rsidRDefault="00C51D63" w:rsidP="00C16EB8">
      <w:pPr>
        <w:pStyle w:val="ListParagraph"/>
        <w:numPr>
          <w:ilvl w:val="0"/>
          <w:numId w:val="11"/>
        </w:numPr>
        <w:jc w:val="both"/>
        <w:rPr>
          <w:sz w:val="21"/>
          <w:szCs w:val="21"/>
        </w:rPr>
      </w:pPr>
      <w:r w:rsidRPr="00C51D63">
        <w:rPr>
          <w:b/>
          <w:sz w:val="21"/>
          <w:szCs w:val="21"/>
        </w:rPr>
        <w:t>Procesos participativos e inclusivos de formación e implementación que contribuyan a detener, cambiar y reparar las consecuencias duraderas y las manifestaciones actuales del racismo sistémico, incluyendo el rol de las personas y comunidades afrodescendientes, así como de las y los jóvenes, en estos procesos (párrafo dispositivo 25).</w:t>
      </w:r>
    </w:p>
    <w:p w14:paraId="07FFB687" w14:textId="77777777" w:rsidR="00C51D63" w:rsidRPr="00C51D63" w:rsidRDefault="00E65DB3" w:rsidP="00C16EB8">
      <w:pPr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En los últimos años se han lanzado </w:t>
      </w:r>
      <w:r w:rsidR="001555F4">
        <w:rPr>
          <w:sz w:val="21"/>
          <w:szCs w:val="21"/>
        </w:rPr>
        <w:t xml:space="preserve">distintas </w:t>
      </w:r>
      <w:r w:rsidR="00C51D63" w:rsidRPr="00C51D63">
        <w:rPr>
          <w:sz w:val="21"/>
          <w:szCs w:val="21"/>
        </w:rPr>
        <w:t>campañas d</w:t>
      </w:r>
      <w:r>
        <w:rPr>
          <w:sz w:val="21"/>
          <w:szCs w:val="21"/>
        </w:rPr>
        <w:t xml:space="preserve">e prevención y sensibilización con el ánimo de favorecer </w:t>
      </w:r>
      <w:r w:rsidR="00C51D63" w:rsidRPr="00C51D63">
        <w:rPr>
          <w:sz w:val="21"/>
          <w:szCs w:val="21"/>
        </w:rPr>
        <w:t>la participación de las personas racializadas en los medios de comunicación, especialmente en</w:t>
      </w:r>
      <w:r>
        <w:rPr>
          <w:sz w:val="21"/>
          <w:szCs w:val="21"/>
        </w:rPr>
        <w:t xml:space="preserve"> las televisiones públicas, señalándose</w:t>
      </w:r>
      <w:r w:rsidR="00C51D63" w:rsidRPr="00C51D63">
        <w:rPr>
          <w:sz w:val="21"/>
          <w:szCs w:val="21"/>
        </w:rPr>
        <w:t xml:space="preserve"> referentes positivos que desactiven los prejuicios y estereotipos. Cabe resaltar la campaña institucional ‘Sí es racismo’</w:t>
      </w:r>
      <w:r w:rsidR="000E0334">
        <w:rPr>
          <w:sz w:val="21"/>
          <w:szCs w:val="21"/>
        </w:rPr>
        <w:t xml:space="preserve"> </w:t>
      </w:r>
      <w:r w:rsidR="00C51D63" w:rsidRPr="00C51D63">
        <w:rPr>
          <w:sz w:val="21"/>
          <w:szCs w:val="21"/>
          <w:vertAlign w:val="superscript"/>
        </w:rPr>
        <w:endnoteReference w:id="6"/>
      </w:r>
      <w:r w:rsidR="00C51D63" w:rsidRPr="00C51D63">
        <w:rPr>
          <w:sz w:val="21"/>
          <w:szCs w:val="21"/>
        </w:rPr>
        <w:t>,</w:t>
      </w:r>
      <w:r w:rsidR="001555F4">
        <w:rPr>
          <w:sz w:val="21"/>
          <w:szCs w:val="21"/>
        </w:rPr>
        <w:t xml:space="preserve"> </w:t>
      </w:r>
      <w:r w:rsidR="00C51D63" w:rsidRPr="00C51D63">
        <w:rPr>
          <w:sz w:val="21"/>
          <w:szCs w:val="21"/>
        </w:rPr>
        <w:t>que lanzó el Ministerio de Igualdad en 2022 y 2023</w:t>
      </w:r>
      <w:r>
        <w:rPr>
          <w:sz w:val="21"/>
          <w:szCs w:val="21"/>
        </w:rPr>
        <w:t>,</w:t>
      </w:r>
      <w:r w:rsidR="00C51D63" w:rsidRPr="00C51D63">
        <w:rPr>
          <w:sz w:val="21"/>
          <w:szCs w:val="21"/>
        </w:rPr>
        <w:t xml:space="preserve"> con el objetivo de luchar contra el racismo y la discriminación racial y dar a conocer el servicio de asistencia a víctimas de discriminación racial o étnica. Actualmente se está trabajando en la elaboración de una nueva campaña de sensibilización social contra el racismo y la discriminación racial que se difundirá en diferentes medios de comunicación en el último trimestre de 2024.</w:t>
      </w:r>
    </w:p>
    <w:p w14:paraId="7809FB35" w14:textId="77777777" w:rsidR="00C51D63" w:rsidRDefault="00C51D63" w:rsidP="00475799">
      <w:pPr>
        <w:spacing w:after="0" w:line="240" w:lineRule="auto"/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>Asimismo, se ha reforzado el Servicio de Asistencia y Orientación a Víctimas de discriminación racial o étnica del Consejo para la Eliminación de la Discriminación Racial o Étnica (CEDRE), que cuenta con un servicio con teléfono de marcación rápida 021 accesible los 365 días del año de 9 a 21h, con oficinas de atención repartidas en todas las comunidades autónomas y en las dos ciudades autónomas</w:t>
      </w:r>
      <w:r w:rsidR="000E0334">
        <w:rPr>
          <w:sz w:val="21"/>
          <w:szCs w:val="21"/>
        </w:rPr>
        <w:t xml:space="preserve"> </w:t>
      </w:r>
      <w:r w:rsidRPr="00C51D63">
        <w:rPr>
          <w:sz w:val="21"/>
          <w:szCs w:val="21"/>
          <w:vertAlign w:val="superscript"/>
        </w:rPr>
        <w:endnoteReference w:id="7"/>
      </w:r>
      <w:r w:rsidRPr="00C51D63">
        <w:rPr>
          <w:sz w:val="21"/>
          <w:szCs w:val="21"/>
        </w:rPr>
        <w:t xml:space="preserve">, y con un servicio de asistencia jurídica gratuita. El objetivo </w:t>
      </w:r>
      <w:r w:rsidR="00E65DB3">
        <w:rPr>
          <w:sz w:val="21"/>
          <w:szCs w:val="21"/>
        </w:rPr>
        <w:t xml:space="preserve">de este servicio </w:t>
      </w:r>
      <w:r w:rsidRPr="00C51D63">
        <w:rPr>
          <w:sz w:val="21"/>
          <w:szCs w:val="21"/>
        </w:rPr>
        <w:t xml:space="preserve">es combatir la </w:t>
      </w:r>
      <w:proofErr w:type="spellStart"/>
      <w:r w:rsidRPr="00C51D63">
        <w:rPr>
          <w:sz w:val="21"/>
          <w:szCs w:val="21"/>
        </w:rPr>
        <w:t>infradenuncia</w:t>
      </w:r>
      <w:proofErr w:type="spellEnd"/>
      <w:r w:rsidRPr="00C51D63">
        <w:rPr>
          <w:sz w:val="21"/>
          <w:szCs w:val="21"/>
        </w:rPr>
        <w:t xml:space="preserve"> existente (solamente 2 de cada 10 personas denuncian los actos de discriminación racial como atestiguan informes nacionales e internacionales); se ha pasado de asesorar a las víctimas en 500 incidentes racistas anuales, a asesorar a las víctimas en más 1.500 incidentes racistas anuales en el año 2022 </w:t>
      </w:r>
      <w:r w:rsidR="000E0334">
        <w:rPr>
          <w:sz w:val="21"/>
          <w:szCs w:val="21"/>
        </w:rPr>
        <w:t xml:space="preserve">y a más de 2.500 en el año 2023 </w:t>
      </w:r>
      <w:r w:rsidRPr="00C51D63">
        <w:rPr>
          <w:sz w:val="21"/>
          <w:szCs w:val="21"/>
          <w:vertAlign w:val="superscript"/>
        </w:rPr>
        <w:endnoteReference w:id="8"/>
      </w:r>
      <w:r w:rsidR="000E0334">
        <w:rPr>
          <w:sz w:val="21"/>
          <w:szCs w:val="21"/>
        </w:rPr>
        <w:t>.</w:t>
      </w:r>
    </w:p>
    <w:p w14:paraId="31F719DD" w14:textId="77777777" w:rsidR="00C51D63" w:rsidRDefault="00C51D63" w:rsidP="00475799">
      <w:pPr>
        <w:pStyle w:val="ListParagraph"/>
        <w:spacing w:after="0" w:line="240" w:lineRule="auto"/>
        <w:ind w:left="360"/>
        <w:jc w:val="both"/>
        <w:rPr>
          <w:b/>
          <w:sz w:val="21"/>
          <w:szCs w:val="21"/>
          <w:highlight w:val="yellow"/>
        </w:rPr>
      </w:pPr>
    </w:p>
    <w:p w14:paraId="6FA805A1" w14:textId="77777777" w:rsidR="00475799" w:rsidRPr="00C51D63" w:rsidRDefault="00475799" w:rsidP="00475799">
      <w:pPr>
        <w:pStyle w:val="ListParagraph"/>
        <w:spacing w:after="0" w:line="240" w:lineRule="auto"/>
        <w:ind w:left="360"/>
        <w:jc w:val="both"/>
        <w:rPr>
          <w:b/>
          <w:sz w:val="21"/>
          <w:szCs w:val="21"/>
          <w:highlight w:val="yellow"/>
        </w:rPr>
      </w:pPr>
    </w:p>
    <w:p w14:paraId="1BECE33B" w14:textId="77777777" w:rsidR="00A45581" w:rsidRPr="00C51D63" w:rsidRDefault="00FC7495" w:rsidP="00C16EB8">
      <w:pPr>
        <w:pStyle w:val="ListParagraph"/>
        <w:numPr>
          <w:ilvl w:val="0"/>
          <w:numId w:val="11"/>
        </w:numPr>
        <w:jc w:val="both"/>
        <w:rPr>
          <w:b/>
          <w:sz w:val="21"/>
          <w:szCs w:val="21"/>
        </w:rPr>
      </w:pPr>
      <w:r w:rsidRPr="00C51D63">
        <w:rPr>
          <w:b/>
          <w:sz w:val="21"/>
          <w:szCs w:val="21"/>
        </w:rPr>
        <w:t>La promoción y la protección de los derechos humanos y las libertades fundamentales de las personas africanas y afrodescendientes frente al uso excesivo de la fuerza y otras violaciones de los derechos humanos por agentes de las fuerzas del orden (párrafo dispositivo 30).</w:t>
      </w:r>
    </w:p>
    <w:p w14:paraId="69D61E15" w14:textId="77777777" w:rsidR="00A45581" w:rsidRPr="00C51D63" w:rsidRDefault="00A45581" w:rsidP="00BC25A1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>Se han ido actualizando</w:t>
      </w:r>
      <w:r w:rsidR="00BC25A1">
        <w:rPr>
          <w:sz w:val="21"/>
          <w:szCs w:val="21"/>
        </w:rPr>
        <w:t>,</w:t>
      </w:r>
      <w:r w:rsidRPr="00C51D63">
        <w:rPr>
          <w:sz w:val="21"/>
          <w:szCs w:val="21"/>
        </w:rPr>
        <w:t xml:space="preserve"> de forma periódica</w:t>
      </w:r>
      <w:r w:rsidR="00BC25A1">
        <w:rPr>
          <w:sz w:val="21"/>
          <w:szCs w:val="21"/>
        </w:rPr>
        <w:t>,</w:t>
      </w:r>
      <w:r w:rsidRPr="00C51D63">
        <w:rPr>
          <w:sz w:val="21"/>
          <w:szCs w:val="21"/>
        </w:rPr>
        <w:t xml:space="preserve"> los contenidos impartidos en el marco de la </w:t>
      </w:r>
      <w:r w:rsidRPr="00C51D63">
        <w:rPr>
          <w:b/>
          <w:sz w:val="21"/>
          <w:szCs w:val="21"/>
        </w:rPr>
        <w:t>formación integral</w:t>
      </w:r>
      <w:r w:rsidRPr="00C51D63">
        <w:rPr>
          <w:sz w:val="21"/>
          <w:szCs w:val="21"/>
        </w:rPr>
        <w:t xml:space="preserve"> recibida por el personal de las Fuerzas y Cuerpos de Seguridad</w:t>
      </w:r>
      <w:r w:rsidR="00D21574" w:rsidRPr="00C51D63">
        <w:rPr>
          <w:sz w:val="21"/>
          <w:szCs w:val="21"/>
        </w:rPr>
        <w:t xml:space="preserve"> (FCSE)</w:t>
      </w:r>
      <w:r w:rsidRPr="00C51D63">
        <w:rPr>
          <w:sz w:val="21"/>
          <w:szCs w:val="21"/>
        </w:rPr>
        <w:t xml:space="preserve"> en materia de derechos humanos, prejuicios, diversidad, delitos de odio y en la correcta aplicación de las </w:t>
      </w:r>
      <w:r w:rsidRPr="00C51D63">
        <w:rPr>
          <w:sz w:val="21"/>
          <w:szCs w:val="21"/>
        </w:rPr>
        <w:lastRenderedPageBreak/>
        <w:t xml:space="preserve">distintas normativas existentes, tanto en el ámbito penal como administrativo. </w:t>
      </w:r>
      <w:r w:rsidR="00BC25A1">
        <w:rPr>
          <w:sz w:val="21"/>
          <w:szCs w:val="21"/>
        </w:rPr>
        <w:t>Destaca, en este sentido, el papel del OBERAXE en la</w:t>
      </w:r>
      <w:r w:rsidRPr="00C51D63">
        <w:rPr>
          <w:sz w:val="21"/>
          <w:szCs w:val="21"/>
        </w:rPr>
        <w:t xml:space="preserve"> capacitación de las </w:t>
      </w:r>
      <w:r w:rsidR="00D21574" w:rsidRPr="00C51D63">
        <w:rPr>
          <w:sz w:val="21"/>
          <w:szCs w:val="21"/>
        </w:rPr>
        <w:t>FCSE</w:t>
      </w:r>
      <w:r w:rsidR="00BC25A1">
        <w:rPr>
          <w:sz w:val="21"/>
          <w:szCs w:val="21"/>
        </w:rPr>
        <w:t xml:space="preserve"> con el fin de</w:t>
      </w:r>
      <w:r w:rsidRPr="00C51D63">
        <w:rPr>
          <w:sz w:val="21"/>
          <w:szCs w:val="21"/>
        </w:rPr>
        <w:t xml:space="preserve"> prevenir y abordar adecuadamente casos de uso excesivo de la fuerza y otras formas de discriminación racial. </w:t>
      </w:r>
    </w:p>
    <w:p w14:paraId="564CE8B0" w14:textId="77777777" w:rsidR="00494B7C" w:rsidRPr="00C51D63" w:rsidRDefault="000960DB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 xml:space="preserve">Como mecanismo tendente a garantizar que se lleve a cabo un correcto uso de la fuerza y armas empleadas, </w:t>
      </w:r>
      <w:r w:rsidR="00B21076">
        <w:rPr>
          <w:sz w:val="21"/>
          <w:szCs w:val="21"/>
        </w:rPr>
        <w:t>en la Policía Nacional se aplica</w:t>
      </w:r>
      <w:r w:rsidR="00F06D09" w:rsidRPr="00C51D63">
        <w:rPr>
          <w:sz w:val="21"/>
          <w:szCs w:val="21"/>
        </w:rPr>
        <w:t xml:space="preserve"> la </w:t>
      </w:r>
      <w:r w:rsidR="00F06D09" w:rsidRPr="00C51D63">
        <w:rPr>
          <w:b/>
          <w:sz w:val="21"/>
          <w:szCs w:val="21"/>
        </w:rPr>
        <w:t>Ley Orgánica 4/2010, de 20 de mayo, del Régimen Disciplinario del Cuerpo Nacional de Policía</w:t>
      </w:r>
      <w:r w:rsidR="00F06D09" w:rsidRPr="00C51D63">
        <w:rPr>
          <w:sz w:val="21"/>
          <w:szCs w:val="21"/>
        </w:rPr>
        <w:t xml:space="preserve">, que contempla como falta muy grave toda actuación que suponga discriminación por razón de origen racial o étnico, religión o convicciones, </w:t>
      </w:r>
      <w:r w:rsidR="00476EC2" w:rsidRPr="00C51D63">
        <w:rPr>
          <w:sz w:val="21"/>
          <w:szCs w:val="21"/>
        </w:rPr>
        <w:t>lengua</w:t>
      </w:r>
      <w:r w:rsidR="00F06D09" w:rsidRPr="00C51D63">
        <w:rPr>
          <w:sz w:val="21"/>
          <w:szCs w:val="21"/>
        </w:rPr>
        <w:t>, lugar de nacimiento o vecindad,</w:t>
      </w:r>
      <w:r w:rsidR="00476EC2" w:rsidRPr="00C51D63">
        <w:rPr>
          <w:sz w:val="21"/>
          <w:szCs w:val="21"/>
        </w:rPr>
        <w:t xml:space="preserve"> entre otras</w:t>
      </w:r>
      <w:r w:rsidR="00F06D09" w:rsidRPr="00C51D63">
        <w:rPr>
          <w:sz w:val="21"/>
          <w:szCs w:val="21"/>
        </w:rPr>
        <w:t xml:space="preserve"> (art. 7.n). Las sanciones contempladas para la comisión de faltas muy graves son la separación del servicio, la suspensión de funciones desde </w:t>
      </w:r>
      <w:r w:rsidR="00476EC2" w:rsidRPr="00C51D63">
        <w:rPr>
          <w:sz w:val="21"/>
          <w:szCs w:val="21"/>
        </w:rPr>
        <w:t xml:space="preserve">3 </w:t>
      </w:r>
      <w:r w:rsidR="00F06D09" w:rsidRPr="00C51D63">
        <w:rPr>
          <w:sz w:val="21"/>
          <w:szCs w:val="21"/>
        </w:rPr>
        <w:t xml:space="preserve">meses y un día hasta un máximo de </w:t>
      </w:r>
      <w:r w:rsidR="00476EC2" w:rsidRPr="00C51D63">
        <w:rPr>
          <w:sz w:val="21"/>
          <w:szCs w:val="21"/>
        </w:rPr>
        <w:t>6</w:t>
      </w:r>
      <w:r w:rsidR="00F06D09" w:rsidRPr="00C51D63">
        <w:rPr>
          <w:sz w:val="21"/>
          <w:szCs w:val="21"/>
        </w:rPr>
        <w:t xml:space="preserve"> años, y el traslado forzoso (art. 10.1).</w:t>
      </w:r>
    </w:p>
    <w:p w14:paraId="5F8798B4" w14:textId="77777777" w:rsidR="001E4741" w:rsidRPr="00C51D63" w:rsidRDefault="00476EC2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>Por otra parte, cabe destacar</w:t>
      </w:r>
      <w:r w:rsidR="001E4741" w:rsidRPr="00C51D63">
        <w:rPr>
          <w:sz w:val="21"/>
          <w:szCs w:val="21"/>
        </w:rPr>
        <w:t xml:space="preserve"> </w:t>
      </w:r>
      <w:r w:rsidR="00B21076">
        <w:rPr>
          <w:sz w:val="21"/>
          <w:szCs w:val="21"/>
        </w:rPr>
        <w:t xml:space="preserve">la labor que se desarrolla desde </w:t>
      </w:r>
      <w:r w:rsidR="001E4741" w:rsidRPr="00C51D63">
        <w:rPr>
          <w:sz w:val="21"/>
          <w:szCs w:val="21"/>
        </w:rPr>
        <w:t xml:space="preserve">la </w:t>
      </w:r>
      <w:r w:rsidR="001E4741" w:rsidRPr="00C51D63">
        <w:rPr>
          <w:b/>
          <w:sz w:val="21"/>
          <w:szCs w:val="21"/>
        </w:rPr>
        <w:t>Oficina Nacional de Garantía de los Derechos Humanos (ONGADH)</w:t>
      </w:r>
      <w:r w:rsidR="00B21076">
        <w:rPr>
          <w:b/>
          <w:sz w:val="21"/>
          <w:szCs w:val="21"/>
        </w:rPr>
        <w:t xml:space="preserve"> </w:t>
      </w:r>
      <w:r w:rsidR="001E4741" w:rsidRPr="00C51D63">
        <w:rPr>
          <w:sz w:val="21"/>
          <w:szCs w:val="21"/>
        </w:rPr>
        <w:t>de la Secretaría de Estado de Seguridad</w:t>
      </w:r>
      <w:r w:rsidR="00494B7C" w:rsidRPr="00C51D63">
        <w:rPr>
          <w:sz w:val="21"/>
          <w:szCs w:val="21"/>
        </w:rPr>
        <w:t xml:space="preserve"> (SES)</w:t>
      </w:r>
      <w:r w:rsidR="001E4741" w:rsidRPr="00C51D63">
        <w:rPr>
          <w:sz w:val="21"/>
          <w:szCs w:val="21"/>
        </w:rPr>
        <w:t xml:space="preserve">, que tiene por objeto el establecimiento de un mecanismo de seguimiento, coordinación y evaluación que coadyuve a visibilizar e impulsar </w:t>
      </w:r>
      <w:r w:rsidR="00D21574" w:rsidRPr="00C51D63">
        <w:rPr>
          <w:sz w:val="21"/>
          <w:szCs w:val="21"/>
        </w:rPr>
        <w:t xml:space="preserve">el compromiso de las FCSE </w:t>
      </w:r>
      <w:r w:rsidR="001E4741" w:rsidRPr="00C51D63">
        <w:rPr>
          <w:sz w:val="21"/>
          <w:szCs w:val="21"/>
        </w:rPr>
        <w:t>en el respeto de los derechos humanos, contribuyendo al cumplimiento de las normas nacionales e internacionales contra la tortura y otros tratos o penas crueles, inhumanos o degradantes por las FSCE</w:t>
      </w:r>
      <w:r w:rsidRPr="00C51D63">
        <w:rPr>
          <w:sz w:val="21"/>
          <w:szCs w:val="21"/>
        </w:rPr>
        <w:t>.</w:t>
      </w:r>
    </w:p>
    <w:p w14:paraId="6FFA1963" w14:textId="77777777" w:rsidR="00FC7495" w:rsidRPr="00C51D63" w:rsidRDefault="00FC7495" w:rsidP="00C16EB8">
      <w:pPr>
        <w:pStyle w:val="ListParagraph"/>
        <w:numPr>
          <w:ilvl w:val="0"/>
          <w:numId w:val="11"/>
        </w:numPr>
        <w:jc w:val="both"/>
        <w:rPr>
          <w:b/>
          <w:sz w:val="21"/>
          <w:szCs w:val="21"/>
        </w:rPr>
      </w:pPr>
      <w:r w:rsidRPr="00C51D63">
        <w:rPr>
          <w:b/>
          <w:sz w:val="21"/>
          <w:szCs w:val="21"/>
        </w:rPr>
        <w:t>La discriminación racial y la desigualdad que experimentan las y los niños y jóvenes afrodescendientes en todos los ámbitos de la vida, como la administración de justicia, la aplicación de la ley, la educación, la salud, la vida familiar y el desarrollo (párrafo dispositivo 26).</w:t>
      </w:r>
    </w:p>
    <w:p w14:paraId="68ACEFA9" w14:textId="77777777" w:rsidR="006C3BDF" w:rsidRPr="00C51D63" w:rsidRDefault="000875CF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 xml:space="preserve">En primer lugar, </w:t>
      </w:r>
      <w:r w:rsidR="007C0BAB" w:rsidRPr="00C51D63">
        <w:rPr>
          <w:sz w:val="21"/>
          <w:szCs w:val="21"/>
        </w:rPr>
        <w:t xml:space="preserve">la </w:t>
      </w:r>
      <w:r w:rsidR="007C0BAB" w:rsidRPr="00C51D63">
        <w:rPr>
          <w:b/>
          <w:sz w:val="21"/>
          <w:szCs w:val="21"/>
        </w:rPr>
        <w:t>Ley Orgánica 1/1996, de 15 de enero, de Protección Jurídica del Menor</w:t>
      </w:r>
      <w:r w:rsidR="000E2E53" w:rsidRPr="00C51D63">
        <w:rPr>
          <w:sz w:val="21"/>
          <w:szCs w:val="21"/>
        </w:rPr>
        <w:t xml:space="preserve"> establece</w:t>
      </w:r>
      <w:r w:rsidR="00B21076">
        <w:rPr>
          <w:sz w:val="21"/>
          <w:szCs w:val="21"/>
        </w:rPr>
        <w:t>,</w:t>
      </w:r>
      <w:r w:rsidR="000E2E53" w:rsidRPr="00C51D63">
        <w:rPr>
          <w:sz w:val="21"/>
          <w:szCs w:val="21"/>
        </w:rPr>
        <w:t xml:space="preserve"> en su art. 10.3</w:t>
      </w:r>
      <w:r w:rsidR="00B21076">
        <w:rPr>
          <w:sz w:val="21"/>
          <w:szCs w:val="21"/>
        </w:rPr>
        <w:t xml:space="preserve">, que las y los </w:t>
      </w:r>
      <w:r w:rsidR="000E2E53" w:rsidRPr="00C51D63">
        <w:rPr>
          <w:sz w:val="21"/>
          <w:szCs w:val="21"/>
        </w:rPr>
        <w:t xml:space="preserve">menores extranjeros que se encuentren en España tienen derecho a la educación, asistencia sanitaria y servicios y prestaciones sociales básicas, en las mismas condiciones que los menores españoles. </w:t>
      </w:r>
      <w:r w:rsidR="00205696" w:rsidRPr="00C51D63">
        <w:rPr>
          <w:sz w:val="21"/>
          <w:szCs w:val="21"/>
        </w:rPr>
        <w:t xml:space="preserve">Además, el art. 11.2 de la misma </w:t>
      </w:r>
      <w:r w:rsidR="00B21076">
        <w:rPr>
          <w:sz w:val="21"/>
          <w:szCs w:val="21"/>
        </w:rPr>
        <w:t xml:space="preserve">ley </w:t>
      </w:r>
      <w:r w:rsidR="00205696" w:rsidRPr="00C51D63">
        <w:rPr>
          <w:sz w:val="21"/>
          <w:szCs w:val="21"/>
        </w:rPr>
        <w:t>señala, entre los principios rectores de la actuación de los poderes públicos en relación con los menores, la protección contra toda forma de violencia, la igualdad de oportunidades y no discriminación por cualquier circunstancia y el respeto y la valoración de la diversidad étnica y cultural.</w:t>
      </w:r>
    </w:p>
    <w:p w14:paraId="4D731A9C" w14:textId="77777777" w:rsidR="008B7223" w:rsidRPr="00C51D63" w:rsidRDefault="00647BCF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>Por otro lado,</w:t>
      </w:r>
      <w:r w:rsidR="008B7223" w:rsidRPr="00C51D63">
        <w:rPr>
          <w:sz w:val="21"/>
          <w:szCs w:val="21"/>
        </w:rPr>
        <w:t xml:space="preserve"> la </w:t>
      </w:r>
      <w:r w:rsidR="008B7223" w:rsidRPr="00C51D63">
        <w:rPr>
          <w:b/>
          <w:sz w:val="21"/>
          <w:szCs w:val="21"/>
        </w:rPr>
        <w:t>Ley Orgánica 8/2021, de 4 de junio, de protección integral a la infancia y la adolescencia frente a la violencia (LOPIVI)</w:t>
      </w:r>
      <w:r w:rsidR="00B21076">
        <w:rPr>
          <w:b/>
          <w:sz w:val="21"/>
          <w:szCs w:val="21"/>
        </w:rPr>
        <w:t xml:space="preserve"> </w:t>
      </w:r>
      <w:r w:rsidRPr="00C51D63">
        <w:rPr>
          <w:sz w:val="21"/>
          <w:szCs w:val="21"/>
        </w:rPr>
        <w:t xml:space="preserve">establece como uno de sus fines la erradicación </w:t>
      </w:r>
      <w:r w:rsidR="002169D9" w:rsidRPr="00C51D63">
        <w:rPr>
          <w:sz w:val="21"/>
          <w:szCs w:val="21"/>
        </w:rPr>
        <w:t>y la protección frente a cualquier tipo de discriminación y la superación de los estereotipos, entre otros, de carácter racista, homofóbico, bifóbico, tr</w:t>
      </w:r>
      <w:r w:rsidRPr="00C51D63">
        <w:rPr>
          <w:sz w:val="21"/>
          <w:szCs w:val="21"/>
        </w:rPr>
        <w:t>an</w:t>
      </w:r>
      <w:r w:rsidR="001D3F12">
        <w:rPr>
          <w:sz w:val="21"/>
          <w:szCs w:val="21"/>
        </w:rPr>
        <w:t>s</w:t>
      </w:r>
      <w:r w:rsidRPr="00C51D63">
        <w:rPr>
          <w:sz w:val="21"/>
          <w:szCs w:val="21"/>
        </w:rPr>
        <w:t>fóbico o por razones étnicas.</w:t>
      </w:r>
      <w:r w:rsidR="00B21076">
        <w:rPr>
          <w:sz w:val="21"/>
          <w:szCs w:val="21"/>
        </w:rPr>
        <w:t xml:space="preserve"> </w:t>
      </w:r>
      <w:r w:rsidR="008B7223" w:rsidRPr="00C51D63">
        <w:rPr>
          <w:sz w:val="21"/>
          <w:szCs w:val="21"/>
        </w:rPr>
        <w:t xml:space="preserve">En cumplimiento de la LOPIVI, </w:t>
      </w:r>
      <w:r w:rsidR="00B14E72" w:rsidRPr="00C51D63">
        <w:rPr>
          <w:sz w:val="21"/>
          <w:szCs w:val="21"/>
        </w:rPr>
        <w:t xml:space="preserve">se aprobó </w:t>
      </w:r>
      <w:r w:rsidR="008B7223" w:rsidRPr="00C51D63">
        <w:rPr>
          <w:sz w:val="21"/>
          <w:szCs w:val="21"/>
        </w:rPr>
        <w:t xml:space="preserve">la </w:t>
      </w:r>
      <w:r w:rsidR="008B7223" w:rsidRPr="00C51D63">
        <w:rPr>
          <w:b/>
          <w:sz w:val="21"/>
          <w:szCs w:val="21"/>
        </w:rPr>
        <w:t>Estrategia de erradicación de la violencia sobre la infancia para el periodo 2023-2030</w:t>
      </w:r>
      <w:r w:rsidR="00B14E72" w:rsidRPr="00C51D63">
        <w:rPr>
          <w:sz w:val="21"/>
          <w:szCs w:val="21"/>
        </w:rPr>
        <w:t xml:space="preserve">, cuya </w:t>
      </w:r>
      <w:r w:rsidR="0070375E">
        <w:rPr>
          <w:sz w:val="21"/>
          <w:szCs w:val="21"/>
        </w:rPr>
        <w:t>área estratégica 2</w:t>
      </w:r>
      <w:r w:rsidR="008B7223" w:rsidRPr="00C51D63">
        <w:rPr>
          <w:sz w:val="21"/>
          <w:szCs w:val="21"/>
        </w:rPr>
        <w:t xml:space="preserve"> tiene como objetivo crear una cultura de buen trato y tolerancia cero ante la violencia contra la infancia y adolescencia.</w:t>
      </w:r>
      <w:r w:rsidR="00AD23A7" w:rsidRPr="00C51D63">
        <w:rPr>
          <w:sz w:val="21"/>
          <w:szCs w:val="21"/>
        </w:rPr>
        <w:t xml:space="preserve"> Para lograrlo </w:t>
      </w:r>
      <w:r w:rsidR="0070375E">
        <w:rPr>
          <w:sz w:val="21"/>
          <w:szCs w:val="21"/>
        </w:rPr>
        <w:t>se contemplan, entre otros aspectos</w:t>
      </w:r>
      <w:r w:rsidR="008B7223" w:rsidRPr="00C51D63">
        <w:rPr>
          <w:sz w:val="21"/>
          <w:szCs w:val="21"/>
        </w:rPr>
        <w:t>, la sensibilización y concienciación a la ciudadanía sobre su responsabilidad en la erradicación de la violencia contra la infancia y adolescencia y acabar con los estereotipos sobre los niños, niñas y</w:t>
      </w:r>
      <w:r w:rsidR="00EA0585" w:rsidRPr="00C51D63">
        <w:rPr>
          <w:sz w:val="21"/>
          <w:szCs w:val="21"/>
        </w:rPr>
        <w:t xml:space="preserve"> adolescentes, </w:t>
      </w:r>
      <w:r w:rsidR="00AD23A7" w:rsidRPr="00C51D63">
        <w:rPr>
          <w:sz w:val="21"/>
          <w:szCs w:val="21"/>
        </w:rPr>
        <w:t xml:space="preserve">entre ellos los </w:t>
      </w:r>
      <w:r w:rsidR="008B7223" w:rsidRPr="00C51D63">
        <w:rPr>
          <w:sz w:val="21"/>
          <w:szCs w:val="21"/>
        </w:rPr>
        <w:t>xenófobo</w:t>
      </w:r>
      <w:r w:rsidR="00AD23A7" w:rsidRPr="00C51D63">
        <w:rPr>
          <w:sz w:val="21"/>
          <w:szCs w:val="21"/>
        </w:rPr>
        <w:t xml:space="preserve">s y </w:t>
      </w:r>
      <w:r w:rsidR="00EA0585" w:rsidRPr="00C51D63">
        <w:rPr>
          <w:sz w:val="21"/>
          <w:szCs w:val="21"/>
        </w:rPr>
        <w:t>ra</w:t>
      </w:r>
      <w:r w:rsidR="008B7223" w:rsidRPr="00C51D63">
        <w:rPr>
          <w:sz w:val="21"/>
          <w:szCs w:val="21"/>
        </w:rPr>
        <w:t>cistas</w:t>
      </w:r>
      <w:r w:rsidR="00AD23A7" w:rsidRPr="00C51D63">
        <w:rPr>
          <w:sz w:val="21"/>
          <w:szCs w:val="21"/>
        </w:rPr>
        <w:t>.</w:t>
      </w:r>
    </w:p>
    <w:p w14:paraId="53D0A1F2" w14:textId="77777777" w:rsidR="00EA0585" w:rsidRPr="00C51D63" w:rsidRDefault="008B7223" w:rsidP="00C16EB8">
      <w:pPr>
        <w:ind w:firstLine="708"/>
        <w:jc w:val="both"/>
        <w:rPr>
          <w:color w:val="FF0000"/>
          <w:sz w:val="21"/>
          <w:szCs w:val="21"/>
        </w:rPr>
      </w:pPr>
      <w:r w:rsidRPr="00C51D63">
        <w:rPr>
          <w:sz w:val="21"/>
          <w:szCs w:val="21"/>
        </w:rPr>
        <w:t xml:space="preserve">Por último, </w:t>
      </w:r>
      <w:r w:rsidR="00475799">
        <w:rPr>
          <w:sz w:val="21"/>
          <w:szCs w:val="21"/>
        </w:rPr>
        <w:t>el pasado año</w:t>
      </w:r>
      <w:r w:rsidR="0070375E">
        <w:rPr>
          <w:sz w:val="21"/>
          <w:szCs w:val="21"/>
        </w:rPr>
        <w:t xml:space="preserve"> se aprobó </w:t>
      </w:r>
      <w:r w:rsidRPr="00C51D63">
        <w:rPr>
          <w:sz w:val="21"/>
          <w:szCs w:val="21"/>
        </w:rPr>
        <w:t xml:space="preserve">la </w:t>
      </w:r>
      <w:r w:rsidRPr="00C51D63">
        <w:rPr>
          <w:b/>
          <w:sz w:val="21"/>
          <w:szCs w:val="21"/>
        </w:rPr>
        <w:t>Estrategia Estatal de Derechos de la Infancia y de la Adolescencia (2023-2030)</w:t>
      </w:r>
      <w:r w:rsidRPr="00C51D63">
        <w:rPr>
          <w:sz w:val="21"/>
          <w:szCs w:val="21"/>
        </w:rPr>
        <w:t xml:space="preserve">, cuya área estratégica 7 </w:t>
      </w:r>
      <w:r w:rsidR="00AD23A7" w:rsidRPr="00C51D63">
        <w:rPr>
          <w:sz w:val="21"/>
          <w:szCs w:val="21"/>
        </w:rPr>
        <w:t>hace referencia a la construcción de</w:t>
      </w:r>
      <w:r w:rsidRPr="00C51D63">
        <w:rPr>
          <w:sz w:val="21"/>
          <w:szCs w:val="21"/>
        </w:rPr>
        <w:t xml:space="preserve"> un marco común de protección para la infancia migrante.</w:t>
      </w:r>
    </w:p>
    <w:p w14:paraId="05E1A180" w14:textId="77777777" w:rsidR="00A33D10" w:rsidRPr="00C51D63" w:rsidRDefault="00FC7495" w:rsidP="00C16EB8">
      <w:pPr>
        <w:pStyle w:val="ListParagraph"/>
        <w:numPr>
          <w:ilvl w:val="0"/>
          <w:numId w:val="11"/>
        </w:numPr>
        <w:jc w:val="both"/>
        <w:rPr>
          <w:b/>
          <w:sz w:val="21"/>
          <w:szCs w:val="21"/>
        </w:rPr>
      </w:pPr>
      <w:r w:rsidRPr="00C51D63">
        <w:rPr>
          <w:b/>
          <w:sz w:val="21"/>
          <w:szCs w:val="21"/>
        </w:rPr>
        <w:t>El racismo, la discriminación racial, la xenofobia y las formas conexas de intolerancia contra las personas migrantes y refugiadas (párrafos 9 y 10 del preámbulo).</w:t>
      </w:r>
    </w:p>
    <w:p w14:paraId="3BFD6425" w14:textId="77777777" w:rsidR="00E02394" w:rsidRPr="00C51D63" w:rsidRDefault="00E659B0" w:rsidP="00C16EB8">
      <w:pPr>
        <w:ind w:firstLine="708"/>
        <w:jc w:val="both"/>
        <w:rPr>
          <w:sz w:val="21"/>
          <w:szCs w:val="21"/>
        </w:rPr>
      </w:pPr>
      <w:r w:rsidRPr="00C51D63">
        <w:rPr>
          <w:sz w:val="21"/>
          <w:szCs w:val="21"/>
        </w:rPr>
        <w:t>Además de lo ya mencionado con rela</w:t>
      </w:r>
      <w:r w:rsidR="0070375E">
        <w:rPr>
          <w:sz w:val="21"/>
          <w:szCs w:val="21"/>
        </w:rPr>
        <w:t>ción a las y los</w:t>
      </w:r>
      <w:r w:rsidRPr="00C51D63">
        <w:rPr>
          <w:sz w:val="21"/>
          <w:szCs w:val="21"/>
        </w:rPr>
        <w:t xml:space="preserve"> migrantes menores de edad en la anterior pregunta, el OBERAXE es una pieza clave en la recopilación de datos y promoción de políticas que aborden la discriminación racial y la xenofobia- este observatorio trabaja en colaboración con </w:t>
      </w:r>
      <w:r w:rsidRPr="00C51D63">
        <w:rPr>
          <w:sz w:val="21"/>
          <w:szCs w:val="21"/>
        </w:rPr>
        <w:lastRenderedPageBreak/>
        <w:t>administraciones públicas y organizaciones de la sociedad civil para implementar mejores prácticas en la inclusión de personas migrantes y refugiadas.</w:t>
      </w:r>
    </w:p>
    <w:sectPr w:rsidR="00E02394" w:rsidRPr="00C51D63" w:rsidSect="001A7B2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AFB4C" w14:textId="77777777" w:rsidR="002E417F" w:rsidRDefault="002E417F" w:rsidP="004C673C">
      <w:pPr>
        <w:spacing w:after="0" w:line="240" w:lineRule="auto"/>
      </w:pPr>
      <w:r>
        <w:separator/>
      </w:r>
    </w:p>
  </w:endnote>
  <w:endnote w:type="continuationSeparator" w:id="0">
    <w:p w14:paraId="2CC5E7DC" w14:textId="77777777" w:rsidR="002E417F" w:rsidRDefault="002E417F" w:rsidP="004C673C">
      <w:pPr>
        <w:spacing w:after="0" w:line="240" w:lineRule="auto"/>
      </w:pPr>
      <w:r>
        <w:continuationSeparator/>
      </w:r>
    </w:p>
  </w:endnote>
  <w:endnote w:id="1">
    <w:p w14:paraId="76F075F9" w14:textId="77777777" w:rsidR="00C51D63" w:rsidRPr="00B0133F" w:rsidRDefault="00C51D63" w:rsidP="001E0D5F">
      <w:pPr>
        <w:pStyle w:val="EndnoteText"/>
        <w:jc w:val="both"/>
        <w:rPr>
          <w:rFonts w:cstheme="minorHAnsi"/>
          <w:sz w:val="18"/>
        </w:rPr>
      </w:pPr>
      <w:r w:rsidRPr="00B0133F">
        <w:rPr>
          <w:rStyle w:val="EndnoteReference"/>
          <w:rFonts w:cstheme="minorHAnsi"/>
          <w:sz w:val="18"/>
        </w:rPr>
        <w:endnoteRef/>
      </w:r>
      <w:r w:rsidRPr="00B0133F">
        <w:rPr>
          <w:rFonts w:cstheme="minorHAnsi"/>
          <w:sz w:val="18"/>
        </w:rPr>
        <w:t xml:space="preserve"> Su objetivo es mejorar las capacidades  de las autoridades estatales para identificar, analizar, supervisar y evaluar el discurso de odio en línea con el fin de desarrollar y fortalecer las estrategias de contranarrativa contra el discurso de odio motivado por la xenofobia, el racismo, el antisemitismo, la islamofobia y el antigitanismo, mediante el debate y la generación de un mapa de buenas prácticas y herramientas didácticas efectivas, así como la descripción de los perfiles de los perpetradores y las víctimas, a través de los cuales  se puede evaluar la intensidad, distribución y potencial del impacto del discurso de odio, para establecer recomendaciones de actuación relacionadas con el discurso positivo. Para más información </w:t>
      </w:r>
      <w:r w:rsidR="00B11A69">
        <w:rPr>
          <w:rFonts w:cstheme="minorHAnsi"/>
          <w:sz w:val="18"/>
        </w:rPr>
        <w:t xml:space="preserve">se puede </w:t>
      </w:r>
      <w:r w:rsidRPr="00B0133F">
        <w:rPr>
          <w:rFonts w:cstheme="minorHAnsi"/>
          <w:sz w:val="18"/>
        </w:rPr>
        <w:t xml:space="preserve">consultar: </w:t>
      </w:r>
      <w:hyperlink r:id="rId1" w:history="1">
        <w:r w:rsidRPr="00B0133F">
          <w:rPr>
            <w:rStyle w:val="Hyperlink"/>
            <w:rFonts w:cstheme="minorHAnsi"/>
            <w:sz w:val="18"/>
          </w:rPr>
          <w:t>https://real-up.eu/</w:t>
        </w:r>
      </w:hyperlink>
    </w:p>
  </w:endnote>
  <w:endnote w:id="2">
    <w:p w14:paraId="01EAB856" w14:textId="77777777" w:rsidR="00C51D63" w:rsidRPr="00B0133F" w:rsidRDefault="00C51D63" w:rsidP="005A7B8C">
      <w:pPr>
        <w:pStyle w:val="EndnoteText"/>
        <w:jc w:val="both"/>
        <w:rPr>
          <w:rFonts w:cstheme="minorHAnsi"/>
          <w:sz w:val="18"/>
        </w:rPr>
      </w:pPr>
      <w:r w:rsidRPr="00B0133F">
        <w:rPr>
          <w:rStyle w:val="EndnoteReference"/>
          <w:rFonts w:cstheme="minorHAnsi"/>
          <w:sz w:val="18"/>
        </w:rPr>
        <w:endnoteRef/>
      </w:r>
      <w:r w:rsidR="00F0749B">
        <w:t xml:space="preserve"> </w:t>
      </w:r>
      <w:hyperlink r:id="rId2" w:history="1">
        <w:r w:rsidRPr="00B0133F">
          <w:rPr>
            <w:rStyle w:val="Hyperlink"/>
            <w:rFonts w:cstheme="minorHAnsi"/>
            <w:sz w:val="18"/>
          </w:rPr>
          <w:t>https://www.congreso.es/public_oficiales/L15/CONG/BOCG/B/BOCG-15-B-79-1.PDF</w:t>
        </w:r>
      </w:hyperlink>
    </w:p>
  </w:endnote>
  <w:endnote w:id="3">
    <w:p w14:paraId="24AE7DDB" w14:textId="77777777" w:rsidR="00C51D63" w:rsidRPr="00B0133F" w:rsidRDefault="00C51D63" w:rsidP="005A7B8C">
      <w:pPr>
        <w:pStyle w:val="EndnoteText"/>
        <w:jc w:val="both"/>
        <w:rPr>
          <w:rFonts w:cstheme="minorHAnsi"/>
          <w:sz w:val="18"/>
        </w:rPr>
      </w:pPr>
      <w:r w:rsidRPr="00B0133F">
        <w:rPr>
          <w:rStyle w:val="EndnoteReference"/>
          <w:rFonts w:cstheme="minorHAnsi"/>
          <w:sz w:val="18"/>
        </w:rPr>
        <w:endnoteRef/>
      </w:r>
      <w:r w:rsidR="00F0749B">
        <w:t xml:space="preserve"> </w:t>
      </w:r>
      <w:hyperlink r:id="rId3" w:history="1">
        <w:r w:rsidRPr="00B0133F">
          <w:rPr>
            <w:rStyle w:val="Hyperlink"/>
            <w:rFonts w:cstheme="minorHAnsi"/>
            <w:sz w:val="18"/>
          </w:rPr>
          <w:t>Consulta pública previa a la elaboración de un proyecto normativo consistente en una Ley Orgánica contra el Racismo, la Discriminación Racial y formas conexas de intolerancia (igualdad.gob.es)</w:t>
        </w:r>
      </w:hyperlink>
    </w:p>
  </w:endnote>
  <w:endnote w:id="4">
    <w:p w14:paraId="551F0065" w14:textId="77777777" w:rsidR="00C51D63" w:rsidRPr="00B0133F" w:rsidRDefault="00C51D63" w:rsidP="004B50FA">
      <w:pPr>
        <w:pStyle w:val="EndnoteText"/>
        <w:jc w:val="both"/>
        <w:rPr>
          <w:rFonts w:cstheme="minorHAnsi"/>
          <w:sz w:val="18"/>
        </w:rPr>
      </w:pPr>
      <w:r w:rsidRPr="00B0133F">
        <w:rPr>
          <w:rStyle w:val="EndnoteReference"/>
          <w:rFonts w:cstheme="minorHAnsi"/>
          <w:sz w:val="18"/>
        </w:rPr>
        <w:endnoteRef/>
      </w:r>
      <w:r w:rsidR="00F0749B">
        <w:t xml:space="preserve"> </w:t>
      </w:r>
      <w:hyperlink r:id="rId4" w:history="1">
        <w:r w:rsidRPr="00B0133F">
          <w:rPr>
            <w:rStyle w:val="Hyperlink"/>
            <w:rFonts w:cstheme="minorHAnsi"/>
            <w:sz w:val="18"/>
          </w:rPr>
          <w:t>EN_Proposal-consensus-introducing-an-ethnic-origin-question.pdf (igualdad.gob.es)</w:t>
        </w:r>
      </w:hyperlink>
    </w:p>
  </w:endnote>
  <w:endnote w:id="5">
    <w:p w14:paraId="215EF843" w14:textId="77777777" w:rsidR="00C51D63" w:rsidRPr="00B0133F" w:rsidRDefault="00C51D63" w:rsidP="005A7B8C">
      <w:pPr>
        <w:pStyle w:val="EndnoteText"/>
        <w:jc w:val="both"/>
        <w:rPr>
          <w:rFonts w:cstheme="minorHAnsi"/>
          <w:sz w:val="18"/>
        </w:rPr>
      </w:pPr>
      <w:r w:rsidRPr="00B0133F">
        <w:rPr>
          <w:rStyle w:val="EndnoteReference"/>
          <w:rFonts w:cstheme="minorHAnsi"/>
          <w:sz w:val="18"/>
        </w:rPr>
        <w:endnoteRef/>
      </w:r>
      <w:r w:rsidR="00F0749B">
        <w:t xml:space="preserve"> </w:t>
      </w:r>
      <w:hyperlink r:id="rId5" w:history="1">
        <w:r w:rsidRPr="00B0133F">
          <w:rPr>
            <w:rStyle w:val="Hyperlink"/>
            <w:rFonts w:cstheme="minorHAnsi"/>
            <w:sz w:val="18"/>
          </w:rPr>
          <w:t>BOE-A-2022-11589 Ley 15/2022, de 12 de julio, integral para la igualdad de trato y la no discriminación.</w:t>
        </w:r>
      </w:hyperlink>
    </w:p>
  </w:endnote>
  <w:endnote w:id="6">
    <w:p w14:paraId="5366E673" w14:textId="77777777" w:rsidR="00C51D63" w:rsidRPr="00B0133F" w:rsidRDefault="00C51D63" w:rsidP="005A7B8C">
      <w:pPr>
        <w:pStyle w:val="EndnoteText"/>
        <w:jc w:val="both"/>
        <w:rPr>
          <w:rFonts w:cstheme="minorHAnsi"/>
          <w:sz w:val="18"/>
        </w:rPr>
      </w:pPr>
      <w:r w:rsidRPr="00B0133F">
        <w:rPr>
          <w:rStyle w:val="EndnoteReference"/>
          <w:rFonts w:cstheme="minorHAnsi"/>
          <w:sz w:val="18"/>
        </w:rPr>
        <w:endnoteRef/>
      </w:r>
      <w:r w:rsidR="00F0749B">
        <w:t xml:space="preserve"> </w:t>
      </w:r>
      <w:hyperlink r:id="rId6" w:history="1">
        <w:r w:rsidRPr="00B0133F">
          <w:rPr>
            <w:rFonts w:eastAsia="Times New Roman" w:cstheme="minorHAnsi"/>
            <w:color w:val="0000FF"/>
            <w:sz w:val="18"/>
            <w:u w:val="single"/>
          </w:rPr>
          <w:t>Campaña 'Sí es racismo' - Ministerio de Igualdad</w:t>
        </w:r>
      </w:hyperlink>
    </w:p>
  </w:endnote>
  <w:endnote w:id="7">
    <w:p w14:paraId="2DA3A7E4" w14:textId="77777777" w:rsidR="00C51D63" w:rsidRPr="00B0133F" w:rsidRDefault="00C51D63" w:rsidP="00190F35">
      <w:pPr>
        <w:pStyle w:val="EndnoteText"/>
        <w:jc w:val="both"/>
        <w:rPr>
          <w:rFonts w:cstheme="minorHAnsi"/>
          <w:sz w:val="18"/>
        </w:rPr>
      </w:pPr>
      <w:r w:rsidRPr="00B0133F">
        <w:rPr>
          <w:rStyle w:val="EndnoteReference"/>
          <w:rFonts w:cstheme="minorHAnsi"/>
          <w:sz w:val="18"/>
        </w:rPr>
        <w:endnoteRef/>
      </w:r>
      <w:r w:rsidR="00F0749B">
        <w:t xml:space="preserve"> </w:t>
      </w:r>
      <w:hyperlink r:id="rId7" w:history="1">
        <w:r w:rsidRPr="00B0133F">
          <w:rPr>
            <w:rFonts w:eastAsia="Times New Roman" w:cstheme="minorHAnsi"/>
            <w:color w:val="0000FF"/>
            <w:sz w:val="18"/>
            <w:u w:val="single"/>
          </w:rPr>
          <w:t>Consejo No Discriminación - Red de oficinas (igualdad.gob.es)</w:t>
        </w:r>
      </w:hyperlink>
    </w:p>
  </w:endnote>
  <w:endnote w:id="8">
    <w:p w14:paraId="7A6C8EB2" w14:textId="77777777" w:rsidR="00C51D63" w:rsidRPr="00102DAC" w:rsidRDefault="00C51D63" w:rsidP="005A7B8C">
      <w:pPr>
        <w:pStyle w:val="EndnoteText"/>
        <w:jc w:val="both"/>
      </w:pPr>
      <w:r w:rsidRPr="00B0133F">
        <w:rPr>
          <w:rStyle w:val="EndnoteReference"/>
          <w:rFonts w:cstheme="minorHAnsi"/>
          <w:sz w:val="18"/>
        </w:rPr>
        <w:endnoteRef/>
      </w:r>
      <w:r w:rsidR="00F0749B">
        <w:t xml:space="preserve"> </w:t>
      </w:r>
      <w:hyperlink r:id="rId8" w:history="1">
        <w:r w:rsidRPr="00B0133F">
          <w:rPr>
            <w:rFonts w:eastAsia="Times New Roman" w:cstheme="minorHAnsi"/>
            <w:color w:val="0000FF"/>
            <w:sz w:val="18"/>
            <w:u w:val="single"/>
          </w:rPr>
          <w:t>Consejo No Discriminación - Novedades - Memoria anual de resultados del Servicio de asistencia y orientación a víctimas de discriminación 2022 (igualdad.gob.es)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90505"/>
      <w:docPartObj>
        <w:docPartGallery w:val="Page Numbers (Bottom of Page)"/>
        <w:docPartUnique/>
      </w:docPartObj>
    </w:sdtPr>
    <w:sdtEndPr/>
    <w:sdtContent>
      <w:p w14:paraId="60587DD3" w14:textId="77777777" w:rsidR="003326AA" w:rsidRDefault="00A02E7C">
        <w:pPr>
          <w:pStyle w:val="Footer"/>
          <w:jc w:val="center"/>
        </w:pPr>
        <w:r>
          <w:fldChar w:fldCharType="begin"/>
        </w:r>
        <w:r w:rsidR="003326AA">
          <w:instrText>PAGE   \* MERGEFORMAT</w:instrText>
        </w:r>
        <w:r>
          <w:fldChar w:fldCharType="separate"/>
        </w:r>
        <w:r w:rsidR="00D50F47">
          <w:rPr>
            <w:noProof/>
          </w:rPr>
          <w:t>2</w:t>
        </w:r>
        <w:r>
          <w:fldChar w:fldCharType="end"/>
        </w:r>
      </w:p>
    </w:sdtContent>
  </w:sdt>
  <w:p w14:paraId="3DDFFA38" w14:textId="77777777" w:rsidR="003326AA" w:rsidRDefault="00332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C593" w14:textId="77777777" w:rsidR="002E417F" w:rsidRDefault="002E417F" w:rsidP="004C673C">
      <w:pPr>
        <w:spacing w:after="0" w:line="240" w:lineRule="auto"/>
      </w:pPr>
      <w:r>
        <w:separator/>
      </w:r>
    </w:p>
  </w:footnote>
  <w:footnote w:type="continuationSeparator" w:id="0">
    <w:p w14:paraId="57F3047A" w14:textId="77777777" w:rsidR="002E417F" w:rsidRDefault="002E417F" w:rsidP="004C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1F6D"/>
    <w:multiLevelType w:val="hybridMultilevel"/>
    <w:tmpl w:val="BFB88B78"/>
    <w:lvl w:ilvl="0" w:tplc="87DEE0E8">
      <w:numFmt w:val="bullet"/>
      <w:lvlText w:val="-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758"/>
    <w:multiLevelType w:val="hybridMultilevel"/>
    <w:tmpl w:val="1A04622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7E7"/>
    <w:multiLevelType w:val="hybridMultilevel"/>
    <w:tmpl w:val="258019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474BC"/>
    <w:multiLevelType w:val="hybridMultilevel"/>
    <w:tmpl w:val="31C83CCA"/>
    <w:lvl w:ilvl="0" w:tplc="87DEE0E8">
      <w:numFmt w:val="bullet"/>
      <w:lvlText w:val="-"/>
      <w:lvlJc w:val="left"/>
      <w:pPr>
        <w:ind w:left="360" w:hanging="360"/>
      </w:pPr>
      <w:rPr>
        <w:rFonts w:ascii="Arial" w:eastAsia="Tahom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A52AE3"/>
    <w:multiLevelType w:val="hybridMultilevel"/>
    <w:tmpl w:val="84AE6F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6A0C21"/>
    <w:multiLevelType w:val="hybridMultilevel"/>
    <w:tmpl w:val="D2745A0A"/>
    <w:lvl w:ilvl="0" w:tplc="9498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F607D8"/>
    <w:multiLevelType w:val="hybridMultilevel"/>
    <w:tmpl w:val="3280E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45A1"/>
    <w:multiLevelType w:val="hybridMultilevel"/>
    <w:tmpl w:val="E9FCE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F3FB1"/>
    <w:multiLevelType w:val="hybridMultilevel"/>
    <w:tmpl w:val="7CFA1876"/>
    <w:lvl w:ilvl="0" w:tplc="94980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24771"/>
    <w:multiLevelType w:val="hybridMultilevel"/>
    <w:tmpl w:val="1542CC1E"/>
    <w:lvl w:ilvl="0" w:tplc="0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9337E3F"/>
    <w:multiLevelType w:val="hybridMultilevel"/>
    <w:tmpl w:val="3BC41978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215"/>
    <w:rsid w:val="000506CF"/>
    <w:rsid w:val="0006628E"/>
    <w:rsid w:val="000705C7"/>
    <w:rsid w:val="000875CF"/>
    <w:rsid w:val="00087FAC"/>
    <w:rsid w:val="0009605D"/>
    <w:rsid w:val="000960DB"/>
    <w:rsid w:val="000A4532"/>
    <w:rsid w:val="000B5918"/>
    <w:rsid w:val="000B6353"/>
    <w:rsid w:val="000E0334"/>
    <w:rsid w:val="000E2E53"/>
    <w:rsid w:val="00102DAC"/>
    <w:rsid w:val="00103BC3"/>
    <w:rsid w:val="001553EB"/>
    <w:rsid w:val="001555F4"/>
    <w:rsid w:val="00174DB4"/>
    <w:rsid w:val="00185369"/>
    <w:rsid w:val="00190F35"/>
    <w:rsid w:val="001A64E4"/>
    <w:rsid w:val="001A7B2F"/>
    <w:rsid w:val="001D3F12"/>
    <w:rsid w:val="001E0D5F"/>
    <w:rsid w:val="001E4741"/>
    <w:rsid w:val="00205696"/>
    <w:rsid w:val="002169D9"/>
    <w:rsid w:val="00223928"/>
    <w:rsid w:val="002522E3"/>
    <w:rsid w:val="00273D48"/>
    <w:rsid w:val="002966FD"/>
    <w:rsid w:val="002C5B10"/>
    <w:rsid w:val="002D5B6E"/>
    <w:rsid w:val="002D6563"/>
    <w:rsid w:val="002E417F"/>
    <w:rsid w:val="002F4215"/>
    <w:rsid w:val="00301758"/>
    <w:rsid w:val="003225C5"/>
    <w:rsid w:val="003326AA"/>
    <w:rsid w:val="00361197"/>
    <w:rsid w:val="003720BC"/>
    <w:rsid w:val="003909BE"/>
    <w:rsid w:val="0039487B"/>
    <w:rsid w:val="003A102E"/>
    <w:rsid w:val="003A4F37"/>
    <w:rsid w:val="003E3FD9"/>
    <w:rsid w:val="003E5CD2"/>
    <w:rsid w:val="003F6AEE"/>
    <w:rsid w:val="003F6C12"/>
    <w:rsid w:val="00400737"/>
    <w:rsid w:val="00411E49"/>
    <w:rsid w:val="00440419"/>
    <w:rsid w:val="00454232"/>
    <w:rsid w:val="00457B9C"/>
    <w:rsid w:val="00460F56"/>
    <w:rsid w:val="00475799"/>
    <w:rsid w:val="00476EC2"/>
    <w:rsid w:val="00480B3C"/>
    <w:rsid w:val="00492832"/>
    <w:rsid w:val="00494B7C"/>
    <w:rsid w:val="004B50FA"/>
    <w:rsid w:val="004C58CF"/>
    <w:rsid w:val="004C673C"/>
    <w:rsid w:val="004E313F"/>
    <w:rsid w:val="004F0518"/>
    <w:rsid w:val="004F712E"/>
    <w:rsid w:val="00500F70"/>
    <w:rsid w:val="005241E1"/>
    <w:rsid w:val="005406B3"/>
    <w:rsid w:val="00547B7C"/>
    <w:rsid w:val="00573DC7"/>
    <w:rsid w:val="00593185"/>
    <w:rsid w:val="005A5372"/>
    <w:rsid w:val="005A7B8C"/>
    <w:rsid w:val="005D0042"/>
    <w:rsid w:val="005E5627"/>
    <w:rsid w:val="0064327F"/>
    <w:rsid w:val="00647BCF"/>
    <w:rsid w:val="00657A78"/>
    <w:rsid w:val="006B1838"/>
    <w:rsid w:val="006C2179"/>
    <w:rsid w:val="006C3BDF"/>
    <w:rsid w:val="0070375E"/>
    <w:rsid w:val="007103A9"/>
    <w:rsid w:val="0072271D"/>
    <w:rsid w:val="0073106D"/>
    <w:rsid w:val="00732A2C"/>
    <w:rsid w:val="007419F5"/>
    <w:rsid w:val="00757075"/>
    <w:rsid w:val="0076147E"/>
    <w:rsid w:val="007719D1"/>
    <w:rsid w:val="00791636"/>
    <w:rsid w:val="0079364D"/>
    <w:rsid w:val="007A75C8"/>
    <w:rsid w:val="007B4DEF"/>
    <w:rsid w:val="007B54B8"/>
    <w:rsid w:val="007C0BAB"/>
    <w:rsid w:val="007C7BC8"/>
    <w:rsid w:val="007D102A"/>
    <w:rsid w:val="00813372"/>
    <w:rsid w:val="00863F4D"/>
    <w:rsid w:val="00871012"/>
    <w:rsid w:val="00875688"/>
    <w:rsid w:val="008832AC"/>
    <w:rsid w:val="008B7223"/>
    <w:rsid w:val="009171AC"/>
    <w:rsid w:val="00921233"/>
    <w:rsid w:val="00947D06"/>
    <w:rsid w:val="0099119F"/>
    <w:rsid w:val="009C05AC"/>
    <w:rsid w:val="00A02E7C"/>
    <w:rsid w:val="00A27098"/>
    <w:rsid w:val="00A33D10"/>
    <w:rsid w:val="00A3554C"/>
    <w:rsid w:val="00A45581"/>
    <w:rsid w:val="00A90EBE"/>
    <w:rsid w:val="00A92A24"/>
    <w:rsid w:val="00AB5AE6"/>
    <w:rsid w:val="00AD23A7"/>
    <w:rsid w:val="00AE0DBB"/>
    <w:rsid w:val="00B0133F"/>
    <w:rsid w:val="00B1031F"/>
    <w:rsid w:val="00B11A69"/>
    <w:rsid w:val="00B14E72"/>
    <w:rsid w:val="00B21076"/>
    <w:rsid w:val="00B34E8E"/>
    <w:rsid w:val="00B40678"/>
    <w:rsid w:val="00B45373"/>
    <w:rsid w:val="00B666B5"/>
    <w:rsid w:val="00B74475"/>
    <w:rsid w:val="00BB09DB"/>
    <w:rsid w:val="00BB1923"/>
    <w:rsid w:val="00BC02F4"/>
    <w:rsid w:val="00BC25A1"/>
    <w:rsid w:val="00C014FF"/>
    <w:rsid w:val="00C16EB8"/>
    <w:rsid w:val="00C51D63"/>
    <w:rsid w:val="00C52443"/>
    <w:rsid w:val="00C84370"/>
    <w:rsid w:val="00D0410F"/>
    <w:rsid w:val="00D10150"/>
    <w:rsid w:val="00D15E2F"/>
    <w:rsid w:val="00D21574"/>
    <w:rsid w:val="00D26505"/>
    <w:rsid w:val="00D317A4"/>
    <w:rsid w:val="00D3309C"/>
    <w:rsid w:val="00D50F47"/>
    <w:rsid w:val="00D54C20"/>
    <w:rsid w:val="00D645BA"/>
    <w:rsid w:val="00D65F2E"/>
    <w:rsid w:val="00DA02B9"/>
    <w:rsid w:val="00DA1B75"/>
    <w:rsid w:val="00DF7BF6"/>
    <w:rsid w:val="00E01F0B"/>
    <w:rsid w:val="00E02394"/>
    <w:rsid w:val="00E23567"/>
    <w:rsid w:val="00E47331"/>
    <w:rsid w:val="00E52C5F"/>
    <w:rsid w:val="00E659B0"/>
    <w:rsid w:val="00E65DB3"/>
    <w:rsid w:val="00E7538A"/>
    <w:rsid w:val="00E92DF6"/>
    <w:rsid w:val="00EA0585"/>
    <w:rsid w:val="00EA631D"/>
    <w:rsid w:val="00EB4005"/>
    <w:rsid w:val="00EB6551"/>
    <w:rsid w:val="00ED5926"/>
    <w:rsid w:val="00F04390"/>
    <w:rsid w:val="00F06D09"/>
    <w:rsid w:val="00F0749B"/>
    <w:rsid w:val="00F1257B"/>
    <w:rsid w:val="00F210E2"/>
    <w:rsid w:val="00F50B26"/>
    <w:rsid w:val="00FA1F83"/>
    <w:rsid w:val="00FA77E6"/>
    <w:rsid w:val="00FC7495"/>
    <w:rsid w:val="00FF5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2877"/>
  <w15:docId w15:val="{413BA164-AA93-4454-B60F-8FEB29DB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árrafo de lista - cat,Párrafo Numerado,Párrafo de lista1,Lista sin Numerar,List Paragraph (numbered (a)),References,WB List Paragraph,Numbered Paragraph,Main numbered paragraph,Numbered List Paragraph,123 List Paragraph"/>
    <w:basedOn w:val="Normal"/>
    <w:link w:val="ListParagraphChar"/>
    <w:uiPriority w:val="34"/>
    <w:qFormat/>
    <w:rsid w:val="00A33D1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4C67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rsid w:val="004C673C"/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nhideWhenUsed/>
    <w:rsid w:val="004C673C"/>
    <w:rPr>
      <w:vertAlign w:val="superscript"/>
    </w:rPr>
  </w:style>
  <w:style w:type="character" w:customStyle="1" w:styleId="ListParagraphChar">
    <w:name w:val="List Paragraph Char"/>
    <w:aliases w:val="Párrafo de lista - cat Char,Párrafo Numerado Char,Párrafo de lista1 Char,Lista sin Numerar Char,List Paragraph (numbered (a)) Char,References Char,WB List Paragraph Char,Numbered Paragraph Char,Main numbered paragraph Char"/>
    <w:link w:val="ListParagraph"/>
    <w:uiPriority w:val="34"/>
    <w:qFormat/>
    <w:rsid w:val="004C673C"/>
  </w:style>
  <w:style w:type="character" w:styleId="Hyperlink">
    <w:name w:val="Hyperlink"/>
    <w:basedOn w:val="DefaultParagraphFont"/>
    <w:uiPriority w:val="99"/>
    <w:rsid w:val="007D10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3DC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AA"/>
  </w:style>
  <w:style w:type="paragraph" w:styleId="Footer">
    <w:name w:val="footer"/>
    <w:basedOn w:val="Normal"/>
    <w:link w:val="FooterChar"/>
    <w:uiPriority w:val="99"/>
    <w:unhideWhenUsed/>
    <w:rsid w:val="00332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AA"/>
  </w:style>
  <w:style w:type="character" w:styleId="CommentReference">
    <w:name w:val="annotation reference"/>
    <w:basedOn w:val="DefaultParagraphFont"/>
    <w:uiPriority w:val="99"/>
    <w:semiHidden/>
    <w:unhideWhenUsed/>
    <w:rsid w:val="00096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0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0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05D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1D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1D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1D63"/>
    <w:rPr>
      <w:vertAlign w:val="superscript"/>
    </w:rPr>
  </w:style>
  <w:style w:type="paragraph" w:customStyle="1" w:styleId="Default">
    <w:name w:val="Default"/>
    <w:rsid w:val="00FA7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gualdadynodiscriminacion.igualdad.gob.es/novedades/novedades/2023/Memoria_servicio_asistencia_victimas_2022.htm" TargetMode="External"/><Relationship Id="rId3" Type="http://schemas.openxmlformats.org/officeDocument/2006/relationships/hyperlink" Target="https://www.igualdad.gob.es/servicios/participacion/consultapublica/consulta-previa-ley-organica-contra-el-racismo/" TargetMode="External"/><Relationship Id="rId7" Type="http://schemas.openxmlformats.org/officeDocument/2006/relationships/hyperlink" Target="https://igualdadynodiscriminacion.igualdad.gob.es/redOficinas/portada/home.htm" TargetMode="External"/><Relationship Id="rId2" Type="http://schemas.openxmlformats.org/officeDocument/2006/relationships/hyperlink" Target="https://www.congreso.es/public_oficiales/L15/CONG/BOCG/B/BOCG-15-B-79-1.PDF" TargetMode="External"/><Relationship Id="rId1" Type="http://schemas.openxmlformats.org/officeDocument/2006/relationships/hyperlink" Target="https://real-up.eu/" TargetMode="External"/><Relationship Id="rId6" Type="http://schemas.openxmlformats.org/officeDocument/2006/relationships/hyperlink" Target="https://www.igualdad.gob.es/comunicacion/campanas/campana-si-es-racismo/" TargetMode="External"/><Relationship Id="rId5" Type="http://schemas.openxmlformats.org/officeDocument/2006/relationships/hyperlink" Target="https://www.boe.es/buscar/act.php?id=BOE-A-2022-11589" TargetMode="External"/><Relationship Id="rId4" Type="http://schemas.openxmlformats.org/officeDocument/2006/relationships/hyperlink" Target="https://www.igualdad.gob.es/wp-content/uploads/EN_Proposal-consensus-introducing-an-ethnic-origin-quest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lcf76f155ced4ddcb4097134ff3c332f xmlns="d42e65b2-cf21-49c1-b27d-d23f90380c0e">
      <Terms xmlns="http://schemas.microsoft.com/office/infopath/2007/PartnerControls"/>
    </lcf76f155ced4ddcb4097134ff3c332f>
    <Filename xmlns="d42e65b2-cf21-49c1-b27d-d23f90380c0e" xsi:nil="true"/>
    <Doctype xmlns="d42e65b2-cf21-49c1-b27d-d23f90380c0e">input</Doctype>
    <TaxCatchAll xmlns="985ec44e-1bab-4c0b-9df0-6ba128686fc9" xsi:nil="true"/>
    <Contributor xmlns="d42e65b2-cf21-49c1-b27d-d23f90380c0e">SPAIN</Contributo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B0760-8C4C-49A3-80AD-00A575BDC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BA7E9-3F59-466B-B1FB-CF839ABA40FF}"/>
</file>

<file path=customXml/itemProps3.xml><?xml version="1.0" encoding="utf-8"?>
<ds:datastoreItem xmlns:ds="http://schemas.openxmlformats.org/officeDocument/2006/customXml" ds:itemID="{1D60F8A2-7D87-45EE-B6A5-145DEBFA9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B3DAF-E157-441D-9420-66F234DDF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Torresano Emperador, María</dc:creator>
  <cp:lastModifiedBy>Kellie-Shandra Ognimba</cp:lastModifiedBy>
  <cp:revision>2</cp:revision>
  <dcterms:created xsi:type="dcterms:W3CDTF">2024-07-05T14:35:00Z</dcterms:created>
  <dcterms:modified xsi:type="dcterms:W3CDTF">2024-07-05T14:35:00Z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