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6650" w14:textId="35314BF0" w:rsidR="00911479" w:rsidRPr="00EF75B8" w:rsidRDefault="00A2466D" w:rsidP="006C1699">
      <w:pPr>
        <w:spacing w:after="0" w:line="360" w:lineRule="auto"/>
        <w:ind w:left="0" w:firstLine="0"/>
        <w:jc w:val="center"/>
        <w:rPr>
          <w:rFonts w:cs="Times New Roman"/>
          <w:b/>
          <w:bCs/>
          <w:u w:val="single"/>
        </w:rPr>
      </w:pPr>
      <w:r w:rsidRPr="00EF75B8">
        <w:rPr>
          <w:rFonts w:cs="Times New Roman"/>
          <w:b/>
          <w:bCs/>
          <w:u w:val="single"/>
        </w:rPr>
        <w:t xml:space="preserve">RESPONSE TO </w:t>
      </w:r>
      <w:r w:rsidR="006C1699" w:rsidRPr="00EF75B8">
        <w:rPr>
          <w:rFonts w:cs="Times New Roman"/>
          <w:b/>
          <w:bCs/>
          <w:u w:val="single"/>
        </w:rPr>
        <w:t xml:space="preserve">THE </w:t>
      </w:r>
      <w:r w:rsidRPr="00EF75B8">
        <w:rPr>
          <w:rFonts w:cs="Times New Roman"/>
          <w:b/>
          <w:bCs/>
          <w:u w:val="single"/>
        </w:rPr>
        <w:t>CALL FOR INPUTS</w:t>
      </w:r>
    </w:p>
    <w:p w14:paraId="37CFC2DF" w14:textId="73778064" w:rsidR="00A2466D" w:rsidRPr="00EF75B8" w:rsidRDefault="00A2466D" w:rsidP="006C1699">
      <w:pPr>
        <w:spacing w:after="0" w:line="360" w:lineRule="auto"/>
        <w:ind w:left="0" w:firstLine="0"/>
        <w:jc w:val="center"/>
        <w:rPr>
          <w:rFonts w:cs="Times New Roman"/>
          <w:b/>
          <w:bCs/>
          <w:u w:val="single"/>
        </w:rPr>
      </w:pPr>
      <w:r w:rsidRPr="00EF75B8">
        <w:rPr>
          <w:rFonts w:cs="Times New Roman"/>
          <w:b/>
          <w:bCs/>
          <w:u w:val="single"/>
        </w:rPr>
        <w:t xml:space="preserve">Commissioner for Administration and the Protection of Human Rights </w:t>
      </w:r>
    </w:p>
    <w:p w14:paraId="7E68FAC1" w14:textId="0407E7E3" w:rsidR="00A2466D" w:rsidRPr="00EF75B8" w:rsidRDefault="00A2466D" w:rsidP="006C1699">
      <w:pPr>
        <w:spacing w:after="0" w:line="360" w:lineRule="auto"/>
        <w:ind w:left="0" w:firstLine="0"/>
        <w:jc w:val="center"/>
        <w:rPr>
          <w:rFonts w:cs="Times New Roman"/>
          <w:b/>
          <w:bCs/>
          <w:u w:val="single"/>
          <w:lang w:val="el-GR"/>
        </w:rPr>
      </w:pPr>
      <w:r w:rsidRPr="00EF75B8">
        <w:rPr>
          <w:rFonts w:cs="Times New Roman"/>
          <w:b/>
          <w:bCs/>
          <w:u w:val="single"/>
        </w:rPr>
        <w:t>Cyprus</w:t>
      </w:r>
    </w:p>
    <w:p w14:paraId="43E49FC8" w14:textId="59548297" w:rsidR="00A2466D" w:rsidRPr="00EF75B8" w:rsidRDefault="00A2466D" w:rsidP="006C1699">
      <w:pPr>
        <w:pStyle w:val="Heading1"/>
        <w:numPr>
          <w:ilvl w:val="0"/>
          <w:numId w:val="1"/>
        </w:numPr>
        <w:ind w:left="0" w:firstLine="0"/>
        <w:rPr>
          <w:rFonts w:cs="Times New Roman"/>
          <w:b/>
          <w:bCs/>
          <w:szCs w:val="24"/>
        </w:rPr>
      </w:pPr>
      <w:r w:rsidRPr="00EF75B8">
        <w:rPr>
          <w:rFonts w:cs="Times New Roman"/>
          <w:b/>
          <w:bCs/>
          <w:szCs w:val="24"/>
        </w:rPr>
        <w:t>Legislation and regulations in Cyprus</w:t>
      </w:r>
    </w:p>
    <w:p w14:paraId="4BB1AB2B" w14:textId="77777777" w:rsidR="0090278A" w:rsidRPr="00EF75B8" w:rsidRDefault="0090278A" w:rsidP="006C1699">
      <w:pPr>
        <w:ind w:left="0" w:firstLine="0"/>
        <w:rPr>
          <w:rFonts w:cs="Times New Roman"/>
        </w:rPr>
      </w:pPr>
      <w:r w:rsidRPr="00EF75B8">
        <w:rPr>
          <w:rFonts w:cs="Times New Roman"/>
        </w:rPr>
        <w:t>In Cyprus, the following legislation is applicable regarding racial discrimination, xenophobia and racism:</w:t>
      </w:r>
    </w:p>
    <w:p w14:paraId="785B2966" w14:textId="726582EA" w:rsidR="0090278A" w:rsidRPr="00EF75B8" w:rsidRDefault="0090278A" w:rsidP="006C1699">
      <w:pPr>
        <w:ind w:left="0" w:firstLine="0"/>
        <w:rPr>
          <w:rFonts w:cs="Times New Roman"/>
          <w:u w:val="single"/>
        </w:rPr>
      </w:pPr>
      <w:r w:rsidRPr="00EF75B8">
        <w:rPr>
          <w:rFonts w:cs="Times New Roman"/>
          <w:u w:val="single"/>
        </w:rPr>
        <w:t>Hate crimes in the Criminal Code</w:t>
      </w:r>
    </w:p>
    <w:p w14:paraId="0BB7E3F8" w14:textId="77777777" w:rsidR="0090278A" w:rsidRPr="00EF75B8" w:rsidRDefault="0090278A" w:rsidP="006C1699">
      <w:pPr>
        <w:ind w:left="0" w:firstLine="0"/>
        <w:rPr>
          <w:rFonts w:cs="Times New Roman"/>
        </w:rPr>
      </w:pPr>
      <w:r w:rsidRPr="00EF75B8">
        <w:rPr>
          <w:rFonts w:cs="Times New Roman"/>
          <w:b/>
        </w:rPr>
        <w:t xml:space="preserve">Section 35A – </w:t>
      </w:r>
      <w:r w:rsidRPr="00EF75B8">
        <w:rPr>
          <w:rFonts w:cs="Times New Roman"/>
        </w:rPr>
        <w:t xml:space="preserve">aggravating circumstance provision that may be considered by the court at sentencing: The Court, in the context of the exercise of its powers when imposing the penalty, may take into account as an aggravating factor the motivation of prejudice against a group of persons or a member of such a group of persons on the basis of race, colour, national or ethnic origin, religion or other belief, descent, sexual orientation or gender identity. </w:t>
      </w:r>
    </w:p>
    <w:p w14:paraId="3470E8F2" w14:textId="77777777" w:rsidR="0090278A" w:rsidRPr="00EF75B8" w:rsidRDefault="0090278A" w:rsidP="006C1699">
      <w:pPr>
        <w:ind w:left="0" w:firstLine="0"/>
        <w:rPr>
          <w:rFonts w:cs="Times New Roman"/>
          <w:b/>
        </w:rPr>
      </w:pPr>
      <w:r w:rsidRPr="00EF75B8">
        <w:rPr>
          <w:rFonts w:cs="Times New Roman"/>
          <w:b/>
        </w:rPr>
        <w:t xml:space="preserve">Section 138 </w:t>
      </w:r>
      <w:r w:rsidRPr="00EF75B8">
        <w:rPr>
          <w:rFonts w:cs="Times New Roman"/>
        </w:rPr>
        <w:t>– any person who destroys, damages or defiles any place of worship or any object which is held sacred by any class of persons with the intention of thereby insulting the religion of any class of persons or with the knowledge that any class of persons is likely to consider such destruction, damage or defilement as an insult to their religion, is guilty of a misdemeanour.</w:t>
      </w:r>
      <w:r w:rsidRPr="00EF75B8">
        <w:rPr>
          <w:rFonts w:cs="Times New Roman"/>
          <w:b/>
        </w:rPr>
        <w:t xml:space="preserve"> </w:t>
      </w:r>
    </w:p>
    <w:p w14:paraId="6703C5DC" w14:textId="5D26A7CC" w:rsidR="0090278A" w:rsidRPr="00EF75B8" w:rsidRDefault="0090278A" w:rsidP="006C1699">
      <w:pPr>
        <w:ind w:left="0" w:firstLine="0"/>
        <w:rPr>
          <w:rFonts w:cs="Times New Roman"/>
          <w:u w:val="single"/>
        </w:rPr>
      </w:pPr>
      <w:r w:rsidRPr="00EF75B8">
        <w:rPr>
          <w:rFonts w:cs="Times New Roman"/>
          <w:u w:val="single"/>
        </w:rPr>
        <w:t>Hate speech and other provisions in the Criminal Code</w:t>
      </w:r>
    </w:p>
    <w:p w14:paraId="25839640" w14:textId="77777777" w:rsidR="006C1699" w:rsidRPr="00EF75B8" w:rsidRDefault="0090278A" w:rsidP="006C1699">
      <w:pPr>
        <w:ind w:left="0" w:firstLine="0"/>
        <w:rPr>
          <w:rFonts w:cs="Times New Roman"/>
        </w:rPr>
      </w:pPr>
      <w:r w:rsidRPr="00EF75B8">
        <w:rPr>
          <w:rFonts w:cs="Times New Roman"/>
        </w:rPr>
        <w:t>Incitement to hatred and violence</w:t>
      </w:r>
      <w:r w:rsidR="006C1699" w:rsidRPr="00EF75B8">
        <w:rPr>
          <w:rFonts w:cs="Times New Roman"/>
        </w:rPr>
        <w:t xml:space="preserve"> in the Criminal Code include the following provisions</w:t>
      </w:r>
      <w:r w:rsidRPr="00EF75B8">
        <w:rPr>
          <w:rFonts w:cs="Times New Roman"/>
        </w:rPr>
        <w:t>:</w:t>
      </w:r>
    </w:p>
    <w:p w14:paraId="708B9E5C" w14:textId="4427CB93" w:rsidR="0090278A" w:rsidRPr="00EF75B8" w:rsidRDefault="0090278A" w:rsidP="006C1699">
      <w:pPr>
        <w:pStyle w:val="ListParagraph"/>
        <w:numPr>
          <w:ilvl w:val="0"/>
          <w:numId w:val="12"/>
        </w:numPr>
        <w:jc w:val="both"/>
        <w:rPr>
          <w:rFonts w:ascii="Times New Roman" w:hAnsi="Times New Roman" w:cs="Times New Roman"/>
          <w:sz w:val="24"/>
          <w:szCs w:val="24"/>
        </w:rPr>
      </w:pPr>
      <w:r w:rsidRPr="00EF75B8">
        <w:rPr>
          <w:rFonts w:ascii="Times New Roman" w:hAnsi="Times New Roman" w:cs="Times New Roman"/>
          <w:b/>
          <w:sz w:val="24"/>
          <w:szCs w:val="24"/>
        </w:rPr>
        <w:t>Section 47 (1)(b</w:t>
      </w:r>
      <w:r w:rsidRPr="00EF75B8">
        <w:rPr>
          <w:rFonts w:ascii="Times New Roman" w:hAnsi="Times New Roman" w:cs="Times New Roman"/>
          <w:sz w:val="24"/>
          <w:szCs w:val="24"/>
        </w:rPr>
        <w:t xml:space="preserve">) penalizes the commission of acts in public with intent to promote enmity between the communities’ religious groups on account of race, religion, colour or gender. </w:t>
      </w:r>
    </w:p>
    <w:p w14:paraId="3CF2ED3A" w14:textId="7EE3AD64" w:rsidR="0090278A" w:rsidRPr="00EF75B8" w:rsidRDefault="0090278A" w:rsidP="006C1699">
      <w:pPr>
        <w:pStyle w:val="ListParagraph"/>
        <w:numPr>
          <w:ilvl w:val="0"/>
          <w:numId w:val="12"/>
        </w:numPr>
        <w:jc w:val="both"/>
        <w:rPr>
          <w:rFonts w:ascii="Times New Roman" w:hAnsi="Times New Roman" w:cs="Times New Roman"/>
          <w:sz w:val="24"/>
          <w:szCs w:val="24"/>
          <w:u w:val="single"/>
        </w:rPr>
      </w:pPr>
      <w:r w:rsidRPr="00EF75B8">
        <w:rPr>
          <w:rFonts w:ascii="Times New Roman" w:hAnsi="Times New Roman" w:cs="Times New Roman"/>
          <w:b/>
          <w:sz w:val="24"/>
          <w:szCs w:val="24"/>
        </w:rPr>
        <w:t>Section 51</w:t>
      </w:r>
      <w:r w:rsidR="00222D8F" w:rsidRPr="00EF75B8">
        <w:rPr>
          <w:rFonts w:ascii="Times New Roman" w:hAnsi="Times New Roman" w:cs="Times New Roman"/>
          <w:b/>
          <w:sz w:val="24"/>
          <w:szCs w:val="24"/>
          <w:lang w:val="el-GR"/>
        </w:rPr>
        <w:t>Α</w:t>
      </w:r>
      <w:r w:rsidRPr="00EF75B8">
        <w:rPr>
          <w:rFonts w:ascii="Times New Roman" w:hAnsi="Times New Roman" w:cs="Times New Roman"/>
          <w:sz w:val="24"/>
          <w:szCs w:val="24"/>
        </w:rPr>
        <w:t xml:space="preserve"> criminalizes public statements likely to instigate ill will between communities and acts of violence, mutual discord or a spirit of intolerance. </w:t>
      </w:r>
    </w:p>
    <w:p w14:paraId="28A1B0EF" w14:textId="77777777" w:rsidR="0090278A" w:rsidRPr="00EF75B8" w:rsidRDefault="0090278A" w:rsidP="006C1699">
      <w:pPr>
        <w:pStyle w:val="ListParagraph"/>
        <w:numPr>
          <w:ilvl w:val="0"/>
          <w:numId w:val="12"/>
        </w:numPr>
        <w:jc w:val="both"/>
        <w:rPr>
          <w:rFonts w:ascii="Times New Roman" w:hAnsi="Times New Roman" w:cs="Times New Roman"/>
          <w:sz w:val="24"/>
          <w:szCs w:val="24"/>
        </w:rPr>
      </w:pPr>
      <w:r w:rsidRPr="00EF75B8">
        <w:rPr>
          <w:rFonts w:ascii="Times New Roman" w:hAnsi="Times New Roman" w:cs="Times New Roman"/>
          <w:b/>
          <w:sz w:val="24"/>
          <w:szCs w:val="24"/>
        </w:rPr>
        <w:t xml:space="preserve">Sections 141 </w:t>
      </w:r>
      <w:r w:rsidRPr="00EF75B8">
        <w:rPr>
          <w:rFonts w:ascii="Times New Roman" w:hAnsi="Times New Roman" w:cs="Times New Roman"/>
          <w:sz w:val="24"/>
          <w:szCs w:val="24"/>
        </w:rPr>
        <w:t>– any person who with the deliberate intention of wounding the religious feelings of any person utters any word or makes any sound in the hearing of that person, or makes any gesture in the sight of that person, or places any object in the sight of that person, is guilty of a misdemeanour and is liable for imprisonment for one year.</w:t>
      </w:r>
    </w:p>
    <w:p w14:paraId="4894B8B8" w14:textId="2F003659" w:rsidR="0090278A" w:rsidRPr="00EF75B8" w:rsidRDefault="0090278A" w:rsidP="006C1699">
      <w:pPr>
        <w:ind w:left="0" w:firstLine="0"/>
        <w:rPr>
          <w:rFonts w:cs="Times New Roman"/>
        </w:rPr>
      </w:pPr>
      <w:r w:rsidRPr="00EF75B8">
        <w:rPr>
          <w:rFonts w:cs="Times New Roman"/>
        </w:rPr>
        <w:t xml:space="preserve">The </w:t>
      </w:r>
      <w:r w:rsidRPr="00EF75B8">
        <w:rPr>
          <w:rFonts w:cs="Times New Roman"/>
          <w:b/>
        </w:rPr>
        <w:t>ratification law of the International Convention on the Elimination of All Forms of Racial Discrimination and its additional protocols, Law 12/1967</w:t>
      </w:r>
      <w:r w:rsidRPr="00EF75B8">
        <w:rPr>
          <w:rFonts w:cs="Times New Roman"/>
        </w:rPr>
        <w:t xml:space="preserve"> and its amendment, criminalize oral or written or in any other manner, public incitement to acts likely to cause discrimination, hatred or violence against persons or groups on account of their racial or ethnic origin or religion, also covering offensive ideas expressed on the same grounds. The conduct carries imprisonment of up to two years or a fine of up to 1000 pounds (around 1500 euros) or both. </w:t>
      </w:r>
    </w:p>
    <w:p w14:paraId="065876A2" w14:textId="64C948F3" w:rsidR="0090278A" w:rsidRPr="00EF75B8" w:rsidRDefault="0090278A" w:rsidP="006C1699">
      <w:pPr>
        <w:ind w:left="0" w:firstLine="0"/>
        <w:rPr>
          <w:rFonts w:cs="Times New Roman"/>
        </w:rPr>
      </w:pPr>
      <w:r w:rsidRPr="00EF75B8">
        <w:rPr>
          <w:rFonts w:cs="Times New Roman"/>
        </w:rPr>
        <w:t xml:space="preserve">The </w:t>
      </w:r>
      <w:r w:rsidR="00297270" w:rsidRPr="00EF75B8">
        <w:rPr>
          <w:rFonts w:cs="Times New Roman"/>
        </w:rPr>
        <w:t>C</w:t>
      </w:r>
      <w:r w:rsidRPr="00EF75B8">
        <w:rPr>
          <w:rFonts w:cs="Times New Roman"/>
        </w:rPr>
        <w:t xml:space="preserve">ode’s amendment in May 2015 by </w:t>
      </w:r>
      <w:r w:rsidRPr="00EF75B8">
        <w:rPr>
          <w:rFonts w:cs="Times New Roman"/>
          <w:b/>
        </w:rPr>
        <w:t>Law 87(I)2015 integrated Section 99(A)</w:t>
      </w:r>
      <w:r w:rsidRPr="00EF75B8">
        <w:rPr>
          <w:rFonts w:cs="Times New Roman"/>
        </w:rPr>
        <w:t xml:space="preserve"> which punishes public incitement to violence or hatred against a group of persons or a member of such a group on the basis of their sexual orientation or their gender identity. The commission of such act </w:t>
      </w:r>
      <w:r w:rsidR="004C5749" w:rsidRPr="00EF75B8">
        <w:rPr>
          <w:rFonts w:cs="Times New Roman"/>
        </w:rPr>
        <w:t>constitutes a criminal offense</w:t>
      </w:r>
      <w:r w:rsidRPr="00EF75B8">
        <w:rPr>
          <w:rFonts w:cs="Times New Roman"/>
        </w:rPr>
        <w:t xml:space="preserve"> if done by public dissemination or distribution of </w:t>
      </w:r>
      <w:r w:rsidRPr="00EF75B8">
        <w:rPr>
          <w:rFonts w:cs="Times New Roman"/>
        </w:rPr>
        <w:lastRenderedPageBreak/>
        <w:t>tracts, pictures or other material or in any other manner. Hate speech is prohibited when it targets a person or a group of persons on the basis (or the assumption) of their ethnic origin, race, colour, religion, gender identity and sexual orientation.</w:t>
      </w:r>
    </w:p>
    <w:p w14:paraId="4908E242" w14:textId="5BC9B7EE" w:rsidR="0090278A" w:rsidRPr="00EF75B8" w:rsidRDefault="0090278A" w:rsidP="006C1699">
      <w:pPr>
        <w:ind w:left="0" w:firstLine="0"/>
        <w:rPr>
          <w:rFonts w:cs="Times New Roman"/>
        </w:rPr>
      </w:pPr>
      <w:r w:rsidRPr="00EF75B8">
        <w:rPr>
          <w:rFonts w:cs="Times New Roman"/>
        </w:rPr>
        <w:t xml:space="preserve">The Combating of Certain Forms and Expressions of Racism and Xenophobia by means of Criminal Law, Law of 2011 </w:t>
      </w:r>
      <w:r w:rsidRPr="00EF75B8">
        <w:rPr>
          <w:rFonts w:cs="Times New Roman"/>
          <w:b/>
        </w:rPr>
        <w:t>(Law 134(I)/2011)</w:t>
      </w:r>
      <w:r w:rsidRPr="00EF75B8">
        <w:rPr>
          <w:rFonts w:cs="Times New Roman"/>
        </w:rPr>
        <w:t xml:space="preserve"> is the major legislation relevant to hate crime and it was introduced for reasons of </w:t>
      </w:r>
      <w:r w:rsidRPr="00EF75B8">
        <w:rPr>
          <w:rFonts w:cs="Times New Roman"/>
          <w:b/>
        </w:rPr>
        <w:t>transposing Council Framework Decision 2008/913/JHA</w:t>
      </w:r>
      <w:r w:rsidRPr="00EF75B8">
        <w:rPr>
          <w:rFonts w:cs="Times New Roman"/>
        </w:rPr>
        <w:t xml:space="preserve"> of 28 November 2008, on combating certain forms and expressions of racism and xenophobia by means of criminal law, which only criminalises the specific conduct provided in the Council Framework Decision. In addition, Law 134(I)/2011 establishes that racist and/ or xenophobic motive must be taken into account as an aggravating factor on the imposition of the penalty, but it does not cover any other protected characteristics (such as homophobia, misogyny, transphobia, ableism, ageism) as an aggravating factor. There is no specific reference to the denial of the holocaust, but certain forms or speech are specifically criminalized in the Law, such as: </w:t>
      </w:r>
    </w:p>
    <w:p w14:paraId="74DCCC93" w14:textId="77777777" w:rsidR="0090278A" w:rsidRPr="00EF75B8" w:rsidRDefault="0090278A" w:rsidP="006C1699">
      <w:pPr>
        <w:ind w:left="720" w:firstLine="0"/>
        <w:rPr>
          <w:rFonts w:cs="Times New Roman"/>
        </w:rPr>
      </w:pPr>
      <w:r w:rsidRPr="00EF75B8">
        <w:rPr>
          <w:rFonts w:cs="Times New Roman"/>
        </w:rPr>
        <w:t xml:space="preserve">a) intentionally publicly condoning, denying or grossly trivializing crimes of genocide, crimes against humanity and war crimes as defined in Articles 6, 7 and 8 of the Statute of the International Criminal Court, directed against a group of persons or a member of such a group defined by reference to race, colour, religion, descent or national or ethnic origin when the conduct is carried out in a manner likely to incite to violence or hatred against such a group or a member of such a group; </w:t>
      </w:r>
    </w:p>
    <w:p w14:paraId="1F3C4160" w14:textId="2B5272F9" w:rsidR="0090278A" w:rsidRPr="00EF75B8" w:rsidRDefault="0090278A" w:rsidP="006C1699">
      <w:pPr>
        <w:ind w:left="720" w:firstLine="0"/>
        <w:rPr>
          <w:rFonts w:cs="Times New Roman"/>
        </w:rPr>
      </w:pPr>
      <w:r w:rsidRPr="00EF75B8">
        <w:rPr>
          <w:rFonts w:cs="Times New Roman"/>
        </w:rPr>
        <w:t xml:space="preserve">b) intentionally publicly condoning, denying or grossly trivializing the crimes defined in Article 6 of the Charter of the International Military Tribunal appended to the London Agreement of 8 August 1945, directed against a group of persons or a member of such a group defined by reference to race, colour, religion, descent or national or ethnic origin when the conduct is carried out in a manner likely to incite to violence or hatred against such a group or a member of such a group only when the above mentioned crimes have been established by a final decision of an international court. </w:t>
      </w:r>
    </w:p>
    <w:p w14:paraId="42804B0F" w14:textId="13ADAF21" w:rsidR="00A2466D" w:rsidRPr="00EF75B8" w:rsidRDefault="0090278A" w:rsidP="006C1699">
      <w:pPr>
        <w:pStyle w:val="Heading1"/>
        <w:numPr>
          <w:ilvl w:val="0"/>
          <w:numId w:val="1"/>
        </w:numPr>
        <w:ind w:left="0" w:firstLine="0"/>
        <w:rPr>
          <w:rFonts w:cs="Times New Roman"/>
          <w:b/>
          <w:bCs/>
          <w:szCs w:val="24"/>
        </w:rPr>
      </w:pPr>
      <w:r w:rsidRPr="00EF75B8">
        <w:rPr>
          <w:rFonts w:cs="Times New Roman"/>
          <w:b/>
          <w:bCs/>
          <w:szCs w:val="24"/>
        </w:rPr>
        <w:t xml:space="preserve">Data collection </w:t>
      </w:r>
    </w:p>
    <w:p w14:paraId="6CB74630" w14:textId="7F7FD561" w:rsidR="006C1699" w:rsidRPr="00EF75B8" w:rsidRDefault="006C1699" w:rsidP="006C1699">
      <w:pPr>
        <w:ind w:left="0" w:firstLine="0"/>
        <w:rPr>
          <w:rFonts w:cs="Times New Roman"/>
        </w:rPr>
      </w:pPr>
      <w:r w:rsidRPr="00EF75B8">
        <w:rPr>
          <w:rFonts w:cs="Times New Roman"/>
        </w:rPr>
        <w:t xml:space="preserve">Since 2005, Cyprus Police operate an internal official system for recording hate crimes, called </w:t>
      </w:r>
      <w:r w:rsidRPr="00EF75B8">
        <w:rPr>
          <w:rFonts w:cs="Times New Roman"/>
          <w:b/>
          <w:i/>
        </w:rPr>
        <w:t>racial or racially motivated incidents/offences</w:t>
      </w:r>
      <w:r w:rsidRPr="00EF75B8">
        <w:rPr>
          <w:rFonts w:cs="Times New Roman"/>
        </w:rPr>
        <w:t xml:space="preserve">. The system functions primarily, but not exclusively, on the basis of the broader Police national electronic Crime Report Registry. The establishment and operation of the system is regulated by Police Order 3/38, which put into practice a </w:t>
      </w:r>
      <w:r w:rsidRPr="00EF75B8">
        <w:rPr>
          <w:rFonts w:cs="Times New Roman"/>
          <w:b/>
          <w:i/>
        </w:rPr>
        <w:t>perception-based recording of hate crimes</w:t>
      </w:r>
      <w:r w:rsidRPr="00EF75B8">
        <w:rPr>
          <w:rFonts w:cs="Times New Roman"/>
        </w:rPr>
        <w:t xml:space="preserve">: any </w:t>
      </w:r>
      <w:r w:rsidRPr="00EF75B8">
        <w:rPr>
          <w:rFonts w:cs="Times New Roman"/>
          <w:b/>
          <w:i/>
        </w:rPr>
        <w:t>offence or incident</w:t>
      </w:r>
      <w:r w:rsidRPr="00EF75B8">
        <w:rPr>
          <w:rFonts w:cs="Times New Roman"/>
        </w:rPr>
        <w:t xml:space="preserve"> shall be defined and registered as racial or racially motivated if it is reported or perceived as such by:</w:t>
      </w:r>
    </w:p>
    <w:p w14:paraId="4E0CA303" w14:textId="77777777" w:rsidR="006C1699" w:rsidRPr="00EF75B8" w:rsidRDefault="006C1699" w:rsidP="006C1699">
      <w:pPr>
        <w:numPr>
          <w:ilvl w:val="0"/>
          <w:numId w:val="8"/>
        </w:numPr>
        <w:spacing w:after="0"/>
        <w:rPr>
          <w:rFonts w:cs="Times New Roman"/>
        </w:rPr>
      </w:pPr>
      <w:r w:rsidRPr="00EF75B8">
        <w:rPr>
          <w:rFonts w:cs="Times New Roman"/>
        </w:rPr>
        <w:t>the victim, or;</w:t>
      </w:r>
    </w:p>
    <w:p w14:paraId="55D6826E" w14:textId="77777777" w:rsidR="006C1699" w:rsidRPr="00EF75B8" w:rsidRDefault="006C1699" w:rsidP="006C1699">
      <w:pPr>
        <w:numPr>
          <w:ilvl w:val="0"/>
          <w:numId w:val="8"/>
        </w:numPr>
        <w:spacing w:after="0"/>
        <w:rPr>
          <w:rFonts w:cs="Times New Roman"/>
        </w:rPr>
      </w:pPr>
      <w:r w:rsidRPr="00EF75B8">
        <w:rPr>
          <w:rFonts w:cs="Times New Roman"/>
        </w:rPr>
        <w:t>a person acting on behalf of the victim, or;</w:t>
      </w:r>
    </w:p>
    <w:p w14:paraId="215695B9" w14:textId="77777777" w:rsidR="006C1699" w:rsidRPr="00EF75B8" w:rsidRDefault="006C1699" w:rsidP="006C1699">
      <w:pPr>
        <w:numPr>
          <w:ilvl w:val="0"/>
          <w:numId w:val="8"/>
        </w:numPr>
        <w:spacing w:after="0"/>
        <w:rPr>
          <w:rFonts w:cs="Times New Roman"/>
        </w:rPr>
      </w:pPr>
      <w:r w:rsidRPr="00EF75B8">
        <w:rPr>
          <w:rFonts w:cs="Times New Roman"/>
        </w:rPr>
        <w:t>a person who was present and witnessed the incident, or;</w:t>
      </w:r>
    </w:p>
    <w:p w14:paraId="11BA92EE" w14:textId="77777777" w:rsidR="006C1699" w:rsidRPr="00EF75B8" w:rsidRDefault="006C1699" w:rsidP="006C1699">
      <w:pPr>
        <w:numPr>
          <w:ilvl w:val="0"/>
          <w:numId w:val="8"/>
        </w:numPr>
        <w:spacing w:after="0"/>
        <w:rPr>
          <w:rFonts w:cs="Times New Roman"/>
        </w:rPr>
      </w:pPr>
      <w:r w:rsidRPr="00EF75B8">
        <w:rPr>
          <w:rFonts w:cs="Times New Roman"/>
        </w:rPr>
        <w:t>a member of the Police, or;</w:t>
      </w:r>
    </w:p>
    <w:p w14:paraId="3DA37B32" w14:textId="77777777" w:rsidR="006C1699" w:rsidRPr="00EF75B8" w:rsidRDefault="006C1699" w:rsidP="00BF2E6A">
      <w:pPr>
        <w:numPr>
          <w:ilvl w:val="0"/>
          <w:numId w:val="8"/>
        </w:numPr>
        <w:rPr>
          <w:rFonts w:cs="Times New Roman"/>
        </w:rPr>
      </w:pPr>
      <w:r w:rsidRPr="00EF75B8">
        <w:rPr>
          <w:rFonts w:cs="Times New Roman"/>
        </w:rPr>
        <w:t>the Ombudsman</w:t>
      </w:r>
    </w:p>
    <w:p w14:paraId="2796DB0C" w14:textId="5DF8EA3D" w:rsidR="006C1699" w:rsidRPr="00EF75B8" w:rsidRDefault="006C1699" w:rsidP="006C1699">
      <w:pPr>
        <w:ind w:left="0" w:firstLine="0"/>
        <w:rPr>
          <w:rFonts w:cs="Times New Roman"/>
        </w:rPr>
      </w:pPr>
      <w:r w:rsidRPr="00EF75B8">
        <w:rPr>
          <w:rFonts w:cs="Times New Roman"/>
        </w:rPr>
        <w:t xml:space="preserve">The Order defines that for the </w:t>
      </w:r>
      <w:proofErr w:type="gramStart"/>
      <w:r w:rsidRPr="00EF75B8">
        <w:rPr>
          <w:rFonts w:cs="Times New Roman"/>
        </w:rPr>
        <w:t>terms</w:t>
      </w:r>
      <w:proofErr w:type="gramEnd"/>
      <w:r w:rsidRPr="00EF75B8">
        <w:rPr>
          <w:rFonts w:cs="Times New Roman"/>
        </w:rPr>
        <w:t xml:space="preserve"> “discrimination”, “racism” and “xenophobia”, include among others, any act or omission in relation to any of the following (</w:t>
      </w:r>
      <w:r w:rsidRPr="00EF75B8">
        <w:rPr>
          <w:rFonts w:cs="Times New Roman"/>
          <w:b/>
          <w:i/>
        </w:rPr>
        <w:t>monitoring definition, with grounds broader than in the law</w:t>
      </w:r>
      <w:r w:rsidRPr="00EF75B8">
        <w:rPr>
          <w:rFonts w:cs="Times New Roman"/>
        </w:rPr>
        <w:t>): race, ethnic origin, community,</w:t>
      </w:r>
      <w:r w:rsidR="0056052F" w:rsidRPr="00EF75B8">
        <w:rPr>
          <w:rFonts w:cs="Times New Roman"/>
        </w:rPr>
        <w:t xml:space="preserve"> </w:t>
      </w:r>
      <w:r w:rsidRPr="00EF75B8">
        <w:rPr>
          <w:rFonts w:cs="Times New Roman"/>
        </w:rPr>
        <w:t>disability, language, age, colour, sexual orientation, religion, gender (identity), political or other beliefs.</w:t>
      </w:r>
    </w:p>
    <w:p w14:paraId="719F8B93" w14:textId="77777777" w:rsidR="006C1699" w:rsidRPr="00EF75B8" w:rsidRDefault="006C1699" w:rsidP="006C1699">
      <w:pPr>
        <w:ind w:left="0" w:firstLine="0"/>
        <w:rPr>
          <w:rFonts w:cs="Times New Roman"/>
        </w:rPr>
      </w:pPr>
      <w:r w:rsidRPr="00EF75B8">
        <w:rPr>
          <w:rFonts w:cs="Times New Roman"/>
        </w:rPr>
        <w:lastRenderedPageBreak/>
        <w:t xml:space="preserve">The system for recording racial crimes is supported and maintained by the </w:t>
      </w:r>
      <w:r w:rsidRPr="00EF75B8">
        <w:rPr>
          <w:rFonts w:cs="Times New Roman"/>
          <w:b/>
          <w:i/>
        </w:rPr>
        <w:t>Office for Combating Discrimination (POCD), Department C’ - CID, Police Headquarters</w:t>
      </w:r>
      <w:r w:rsidRPr="00EF75B8">
        <w:rPr>
          <w:rFonts w:cs="Times New Roman"/>
        </w:rPr>
        <w:t xml:space="preserve">. </w:t>
      </w:r>
    </w:p>
    <w:p w14:paraId="10BA7334" w14:textId="77777777" w:rsidR="006C1699" w:rsidRPr="00EF75B8" w:rsidRDefault="006C1699" w:rsidP="006C1699">
      <w:pPr>
        <w:ind w:left="0" w:firstLine="0"/>
        <w:rPr>
          <w:rFonts w:cs="Times New Roman"/>
        </w:rPr>
      </w:pPr>
      <w:r w:rsidRPr="00EF75B8">
        <w:rPr>
          <w:rFonts w:cs="Times New Roman"/>
        </w:rPr>
        <w:t>The recorded data normally account for the following information per case/incident:</w:t>
      </w:r>
    </w:p>
    <w:p w14:paraId="5BE23B79" w14:textId="77777777" w:rsidR="006C1699" w:rsidRPr="00EF75B8" w:rsidRDefault="006C1699" w:rsidP="006C1699">
      <w:pPr>
        <w:numPr>
          <w:ilvl w:val="0"/>
          <w:numId w:val="10"/>
        </w:numPr>
        <w:spacing w:after="0"/>
        <w:rPr>
          <w:rFonts w:cs="Times New Roman"/>
        </w:rPr>
      </w:pPr>
      <w:r w:rsidRPr="00EF75B8">
        <w:rPr>
          <w:rFonts w:cs="Times New Roman"/>
        </w:rPr>
        <w:t>Victim/complainant and offender/accused (name, age, nationality);</w:t>
      </w:r>
    </w:p>
    <w:p w14:paraId="111089E5" w14:textId="77777777" w:rsidR="006C1699" w:rsidRPr="00EF75B8" w:rsidRDefault="006C1699" w:rsidP="006C1699">
      <w:pPr>
        <w:numPr>
          <w:ilvl w:val="0"/>
          <w:numId w:val="10"/>
        </w:numPr>
        <w:spacing w:after="0"/>
        <w:rPr>
          <w:rFonts w:cs="Times New Roman"/>
        </w:rPr>
      </w:pPr>
      <w:r w:rsidRPr="00EF75B8">
        <w:rPr>
          <w:rFonts w:cs="Times New Roman"/>
        </w:rPr>
        <w:t>Brief (telegraphic) description of the incident/offence which allows for their classification;</w:t>
      </w:r>
    </w:p>
    <w:p w14:paraId="4286D01C" w14:textId="77777777" w:rsidR="006C1699" w:rsidRPr="00EF75B8" w:rsidRDefault="006C1699" w:rsidP="006C1699">
      <w:pPr>
        <w:numPr>
          <w:ilvl w:val="0"/>
          <w:numId w:val="10"/>
        </w:numPr>
        <w:spacing w:after="0"/>
        <w:rPr>
          <w:rFonts w:cs="Times New Roman"/>
        </w:rPr>
      </w:pPr>
      <w:r w:rsidRPr="00EF75B8">
        <w:rPr>
          <w:rFonts w:cs="Times New Roman"/>
        </w:rPr>
        <w:t>Whether it was officially recorded as a criminal offence or as a reported incident, and the reference details in each case;</w:t>
      </w:r>
    </w:p>
    <w:p w14:paraId="48EAABAC" w14:textId="77777777" w:rsidR="006C1699" w:rsidRPr="00EF75B8" w:rsidRDefault="006C1699" w:rsidP="006C1699">
      <w:pPr>
        <w:numPr>
          <w:ilvl w:val="0"/>
          <w:numId w:val="10"/>
        </w:numPr>
        <w:spacing w:after="0"/>
        <w:rPr>
          <w:rFonts w:cs="Times New Roman"/>
        </w:rPr>
      </w:pPr>
      <w:r w:rsidRPr="00EF75B8">
        <w:rPr>
          <w:rFonts w:cs="Times New Roman"/>
        </w:rPr>
        <w:t>Charges raised and whether specific racial charges were investigated;</w:t>
      </w:r>
    </w:p>
    <w:p w14:paraId="6DC8B5BB" w14:textId="77777777" w:rsidR="006C1699" w:rsidRPr="00EF75B8" w:rsidRDefault="006C1699" w:rsidP="006C1699">
      <w:pPr>
        <w:numPr>
          <w:ilvl w:val="0"/>
          <w:numId w:val="10"/>
        </w:numPr>
        <w:spacing w:after="0"/>
        <w:rPr>
          <w:rFonts w:cs="Times New Roman"/>
        </w:rPr>
      </w:pPr>
      <w:r w:rsidRPr="00EF75B8">
        <w:rPr>
          <w:rFonts w:cs="Times New Roman"/>
        </w:rPr>
        <w:t>Court verdict / outcome / result.</w:t>
      </w:r>
    </w:p>
    <w:p w14:paraId="131E2B57" w14:textId="77777777" w:rsidR="006C1699" w:rsidRPr="00EF75B8" w:rsidRDefault="006C1699" w:rsidP="006C1699">
      <w:pPr>
        <w:spacing w:after="0"/>
        <w:ind w:left="0" w:firstLine="0"/>
        <w:rPr>
          <w:rFonts w:cs="Times New Roman"/>
          <w:u w:val="single"/>
        </w:rPr>
      </w:pPr>
    </w:p>
    <w:p w14:paraId="6E340B28" w14:textId="5BB6E93A" w:rsidR="006C1699" w:rsidRPr="00EF75B8" w:rsidRDefault="006C1699" w:rsidP="006C1699">
      <w:pPr>
        <w:ind w:left="0" w:firstLine="0"/>
        <w:rPr>
          <w:rFonts w:cs="Times New Roman"/>
        </w:rPr>
      </w:pPr>
      <w:r w:rsidRPr="00EF75B8">
        <w:rPr>
          <w:rFonts w:cs="Times New Roman"/>
        </w:rPr>
        <w:t>Further to data recorded in the Crime Report Registry, by Police Stations/CIDs concerning racial offences or offences with racial motives, the Office additionally collects information from additional official and/or non-official channels:</w:t>
      </w:r>
    </w:p>
    <w:p w14:paraId="5D9CF4F7" w14:textId="77777777" w:rsidR="006C1699" w:rsidRPr="00EF75B8" w:rsidRDefault="006C1699" w:rsidP="006C1699">
      <w:pPr>
        <w:numPr>
          <w:ilvl w:val="0"/>
          <w:numId w:val="11"/>
        </w:numPr>
        <w:spacing w:after="0"/>
        <w:rPr>
          <w:rFonts w:cs="Times New Roman"/>
        </w:rPr>
      </w:pPr>
      <w:r w:rsidRPr="00EF75B8">
        <w:rPr>
          <w:rFonts w:cs="Times New Roman"/>
        </w:rPr>
        <w:t xml:space="preserve">Police Station logbooks </w:t>
      </w:r>
    </w:p>
    <w:p w14:paraId="696E963F" w14:textId="77777777" w:rsidR="006C1699" w:rsidRPr="00EF75B8" w:rsidRDefault="006C1699" w:rsidP="006C1699">
      <w:pPr>
        <w:numPr>
          <w:ilvl w:val="0"/>
          <w:numId w:val="11"/>
        </w:numPr>
        <w:spacing w:after="0"/>
        <w:rPr>
          <w:rFonts w:cs="Times New Roman"/>
        </w:rPr>
      </w:pPr>
      <w:r w:rsidRPr="00EF75B8">
        <w:rPr>
          <w:rFonts w:cs="Times New Roman"/>
        </w:rPr>
        <w:t xml:space="preserve">NGOs or other non-Police Agencies </w:t>
      </w:r>
    </w:p>
    <w:p w14:paraId="5286EC04" w14:textId="77777777" w:rsidR="006C1699" w:rsidRPr="00EF75B8" w:rsidRDefault="006C1699" w:rsidP="006C1699">
      <w:pPr>
        <w:numPr>
          <w:ilvl w:val="0"/>
          <w:numId w:val="11"/>
        </w:numPr>
        <w:spacing w:after="0"/>
        <w:rPr>
          <w:rFonts w:cs="Times New Roman"/>
        </w:rPr>
      </w:pPr>
      <w:r w:rsidRPr="00EF75B8">
        <w:rPr>
          <w:rFonts w:cs="Times New Roman"/>
        </w:rPr>
        <w:t>Media reports</w:t>
      </w:r>
    </w:p>
    <w:p w14:paraId="1D193C55" w14:textId="77777777" w:rsidR="006C1699" w:rsidRPr="00EF75B8" w:rsidRDefault="006C1699" w:rsidP="006C1699">
      <w:pPr>
        <w:numPr>
          <w:ilvl w:val="0"/>
          <w:numId w:val="11"/>
        </w:numPr>
        <w:spacing w:after="0"/>
        <w:rPr>
          <w:rFonts w:cs="Times New Roman"/>
        </w:rPr>
      </w:pPr>
      <w:r w:rsidRPr="00EF75B8">
        <w:rPr>
          <w:rFonts w:cs="Times New Roman"/>
        </w:rPr>
        <w:t xml:space="preserve">Direct disclosures by victims or persons involved </w:t>
      </w:r>
    </w:p>
    <w:p w14:paraId="74688606" w14:textId="2BFBB4F1" w:rsidR="00F23C76" w:rsidRPr="00EF75B8" w:rsidRDefault="00B7164A" w:rsidP="00F23C76">
      <w:pPr>
        <w:pStyle w:val="Heading1"/>
        <w:numPr>
          <w:ilvl w:val="0"/>
          <w:numId w:val="1"/>
        </w:numPr>
        <w:ind w:left="0" w:firstLine="0"/>
        <w:rPr>
          <w:rFonts w:cs="Times New Roman"/>
          <w:b/>
          <w:bCs/>
          <w:szCs w:val="24"/>
        </w:rPr>
      </w:pPr>
      <w:r w:rsidRPr="00EF75B8">
        <w:rPr>
          <w:rFonts w:cs="Times New Roman"/>
          <w:b/>
          <w:bCs/>
          <w:szCs w:val="24"/>
        </w:rPr>
        <w:t>I</w:t>
      </w:r>
      <w:r w:rsidR="00F23C76" w:rsidRPr="00EF75B8">
        <w:rPr>
          <w:rFonts w:cs="Times New Roman"/>
          <w:b/>
          <w:bCs/>
          <w:szCs w:val="24"/>
        </w:rPr>
        <w:t xml:space="preserve">nterventions by the Office of the Commissioner for Administration and the Protection of Human Rights </w:t>
      </w:r>
    </w:p>
    <w:p w14:paraId="57F853E4" w14:textId="69AA2BF2" w:rsidR="006C1699" w:rsidRPr="00EF75B8" w:rsidRDefault="00B7164A" w:rsidP="006C1699">
      <w:pPr>
        <w:ind w:left="0" w:firstLine="0"/>
        <w:rPr>
          <w:rFonts w:cs="Times New Roman"/>
        </w:rPr>
      </w:pPr>
      <w:r w:rsidRPr="00EF75B8">
        <w:rPr>
          <w:rFonts w:cs="Times New Roman"/>
        </w:rPr>
        <w:t xml:space="preserve">The Office of the Commissioner for Administration and the Protection of Human Rights has made several interventions regarding racial incidents. Some interventions are indicated below. </w:t>
      </w:r>
    </w:p>
    <w:p w14:paraId="1183E5E0" w14:textId="77777777" w:rsidR="00F678FD" w:rsidRPr="00EF75B8" w:rsidRDefault="004C4E82" w:rsidP="00B7164A">
      <w:pPr>
        <w:pStyle w:val="ListParagraph"/>
        <w:numPr>
          <w:ilvl w:val="0"/>
          <w:numId w:val="14"/>
        </w:numPr>
        <w:ind w:hanging="79"/>
        <w:jc w:val="both"/>
        <w:rPr>
          <w:rFonts w:ascii="Times New Roman" w:hAnsi="Times New Roman" w:cs="Times New Roman"/>
          <w:sz w:val="24"/>
          <w:szCs w:val="24"/>
        </w:rPr>
      </w:pPr>
      <w:r w:rsidRPr="00EF75B8">
        <w:rPr>
          <w:rFonts w:ascii="Times New Roman" w:hAnsi="Times New Roman" w:cs="Times New Roman"/>
          <w:b/>
          <w:bCs/>
          <w:sz w:val="24"/>
          <w:szCs w:val="24"/>
        </w:rPr>
        <w:t>Racial discrimination</w:t>
      </w:r>
      <w:r w:rsidR="00B7164A" w:rsidRPr="00EF75B8">
        <w:rPr>
          <w:rFonts w:ascii="Times New Roman" w:hAnsi="Times New Roman" w:cs="Times New Roman"/>
          <w:sz w:val="24"/>
          <w:szCs w:val="24"/>
        </w:rPr>
        <w:t xml:space="preserve">: The Office has received numerous complaints regarding degrading and discriminatory treatment based on race by public and private entities, and upon interventions, these incidents were addressed and relevant recommendations were submitted to the competent authorities. </w:t>
      </w:r>
    </w:p>
    <w:p w14:paraId="56E76485" w14:textId="77777777" w:rsidR="00F678FD" w:rsidRPr="00EF75B8" w:rsidRDefault="00F678FD" w:rsidP="00F678FD">
      <w:pPr>
        <w:pStyle w:val="ListParagraph"/>
        <w:ind w:left="363"/>
        <w:jc w:val="both"/>
        <w:rPr>
          <w:rFonts w:ascii="Times New Roman" w:hAnsi="Times New Roman" w:cs="Times New Roman"/>
          <w:b/>
          <w:bCs/>
          <w:sz w:val="24"/>
          <w:szCs w:val="24"/>
        </w:rPr>
      </w:pPr>
    </w:p>
    <w:p w14:paraId="766A4A19" w14:textId="0C16848A" w:rsidR="00B7164A" w:rsidRPr="00EF75B8" w:rsidRDefault="00B7164A" w:rsidP="00F678FD">
      <w:pPr>
        <w:pStyle w:val="ListParagraph"/>
        <w:ind w:left="363"/>
        <w:jc w:val="both"/>
        <w:rPr>
          <w:rFonts w:ascii="Times New Roman" w:hAnsi="Times New Roman" w:cs="Times New Roman"/>
          <w:sz w:val="24"/>
          <w:szCs w:val="24"/>
        </w:rPr>
      </w:pPr>
      <w:r w:rsidRPr="00EF75B8">
        <w:rPr>
          <w:rFonts w:ascii="Times New Roman" w:hAnsi="Times New Roman" w:cs="Times New Roman"/>
          <w:sz w:val="24"/>
          <w:szCs w:val="24"/>
        </w:rPr>
        <w:t xml:space="preserve">Indicatively, in March 2020, a Report was submitted upon an ex officio investigation the Office conducted, which related to the racial discrimination against a black football player, who was verbally abused with racial comments during a football match by players from the opposite team and other persons in the stadium. The Report stressed the state’s responsibility to apply preventive and combating measures with respect to racial incidents. </w:t>
      </w:r>
    </w:p>
    <w:p w14:paraId="26CF40F5" w14:textId="77777777" w:rsidR="00611AB2" w:rsidRPr="00EF75B8" w:rsidRDefault="00611AB2" w:rsidP="00611AB2">
      <w:pPr>
        <w:pStyle w:val="ListParagraph"/>
        <w:ind w:left="363"/>
        <w:jc w:val="both"/>
        <w:rPr>
          <w:rFonts w:ascii="Times New Roman" w:hAnsi="Times New Roman" w:cs="Times New Roman"/>
          <w:sz w:val="24"/>
          <w:szCs w:val="24"/>
        </w:rPr>
      </w:pPr>
    </w:p>
    <w:p w14:paraId="7B21078A" w14:textId="77777777" w:rsidR="00F678FD" w:rsidRPr="00EF75B8" w:rsidRDefault="00B7164A" w:rsidP="002732EA">
      <w:pPr>
        <w:pStyle w:val="ListParagraph"/>
        <w:numPr>
          <w:ilvl w:val="0"/>
          <w:numId w:val="14"/>
        </w:numPr>
        <w:ind w:hanging="79"/>
        <w:jc w:val="both"/>
        <w:rPr>
          <w:rFonts w:ascii="Times New Roman" w:hAnsi="Times New Roman" w:cs="Times New Roman"/>
          <w:sz w:val="24"/>
          <w:szCs w:val="24"/>
        </w:rPr>
      </w:pPr>
      <w:r w:rsidRPr="00EF75B8">
        <w:rPr>
          <w:rFonts w:ascii="Times New Roman" w:hAnsi="Times New Roman" w:cs="Times New Roman"/>
          <w:b/>
          <w:bCs/>
          <w:sz w:val="24"/>
          <w:szCs w:val="24"/>
        </w:rPr>
        <w:t>Offen</w:t>
      </w:r>
      <w:r w:rsidR="002732EA" w:rsidRPr="00EF75B8">
        <w:rPr>
          <w:rFonts w:ascii="Times New Roman" w:hAnsi="Times New Roman" w:cs="Times New Roman"/>
          <w:b/>
          <w:bCs/>
          <w:sz w:val="24"/>
          <w:szCs w:val="24"/>
        </w:rPr>
        <w:t>c</w:t>
      </w:r>
      <w:r w:rsidRPr="00EF75B8">
        <w:rPr>
          <w:rFonts w:ascii="Times New Roman" w:hAnsi="Times New Roman" w:cs="Times New Roman"/>
          <w:b/>
          <w:bCs/>
          <w:sz w:val="24"/>
          <w:szCs w:val="24"/>
        </w:rPr>
        <w:t>es with racial motives</w:t>
      </w:r>
      <w:r w:rsidRPr="00EF75B8">
        <w:rPr>
          <w:rFonts w:ascii="Times New Roman" w:hAnsi="Times New Roman" w:cs="Times New Roman"/>
          <w:sz w:val="24"/>
          <w:szCs w:val="24"/>
        </w:rPr>
        <w:t xml:space="preserve">: The Office has made interventions regarding attacks against people on a racial basis, </w:t>
      </w:r>
      <w:r w:rsidR="002732EA" w:rsidRPr="00EF75B8">
        <w:rPr>
          <w:rFonts w:ascii="Times New Roman" w:hAnsi="Times New Roman" w:cs="Times New Roman"/>
          <w:sz w:val="24"/>
          <w:szCs w:val="24"/>
        </w:rPr>
        <w:t xml:space="preserve">and reiterated the Police to investigate such offences by also taking into account the racist motive of the attackers against persons with specific ethnic characteristics, in light of the relevant legal framework related to hate crime. </w:t>
      </w:r>
    </w:p>
    <w:p w14:paraId="3D2B25EE" w14:textId="77777777" w:rsidR="00F678FD" w:rsidRPr="00EF75B8" w:rsidRDefault="00F678FD" w:rsidP="00F678FD">
      <w:pPr>
        <w:pStyle w:val="ListParagraph"/>
        <w:rPr>
          <w:rFonts w:ascii="Times New Roman" w:hAnsi="Times New Roman" w:cs="Times New Roman"/>
          <w:sz w:val="24"/>
          <w:szCs w:val="24"/>
        </w:rPr>
      </w:pPr>
    </w:p>
    <w:p w14:paraId="3FF5B4B6" w14:textId="11DA8A52" w:rsidR="00B7164A" w:rsidRPr="00EF75B8" w:rsidRDefault="002732EA" w:rsidP="00F678FD">
      <w:pPr>
        <w:pStyle w:val="ListParagraph"/>
        <w:ind w:left="363"/>
        <w:jc w:val="both"/>
        <w:rPr>
          <w:rFonts w:ascii="Times New Roman" w:hAnsi="Times New Roman" w:cs="Times New Roman"/>
          <w:sz w:val="24"/>
          <w:szCs w:val="24"/>
        </w:rPr>
      </w:pPr>
      <w:r w:rsidRPr="00EF75B8">
        <w:rPr>
          <w:rFonts w:ascii="Times New Roman" w:hAnsi="Times New Roman" w:cs="Times New Roman"/>
          <w:sz w:val="24"/>
          <w:szCs w:val="24"/>
        </w:rPr>
        <w:t>Indicatively, in our interventions regarding the attacks against young foreigners working as food distributor</w:t>
      </w:r>
      <w:r w:rsidR="009E73E9" w:rsidRPr="00EF75B8">
        <w:rPr>
          <w:rFonts w:ascii="Times New Roman" w:hAnsi="Times New Roman" w:cs="Times New Roman"/>
          <w:sz w:val="24"/>
          <w:szCs w:val="24"/>
        </w:rPr>
        <w:t>s</w:t>
      </w:r>
      <w:r w:rsidRPr="00EF75B8">
        <w:rPr>
          <w:rFonts w:ascii="Times New Roman" w:hAnsi="Times New Roman" w:cs="Times New Roman"/>
          <w:sz w:val="24"/>
          <w:szCs w:val="24"/>
        </w:rPr>
        <w:t xml:space="preserve">, </w:t>
      </w:r>
      <w:r w:rsidR="009E73E9" w:rsidRPr="00EF75B8">
        <w:rPr>
          <w:rFonts w:ascii="Times New Roman" w:hAnsi="Times New Roman" w:cs="Times New Roman"/>
          <w:sz w:val="24"/>
          <w:szCs w:val="24"/>
        </w:rPr>
        <w:t>as well as against migrants in certain regions in Cyprus (</w:t>
      </w:r>
      <w:proofErr w:type="spellStart"/>
      <w:r w:rsidR="009E73E9" w:rsidRPr="00EF75B8">
        <w:rPr>
          <w:rFonts w:ascii="Times New Roman" w:hAnsi="Times New Roman" w:cs="Times New Roman"/>
          <w:sz w:val="24"/>
          <w:szCs w:val="24"/>
        </w:rPr>
        <w:t>Chloraka</w:t>
      </w:r>
      <w:proofErr w:type="spellEnd"/>
      <w:r w:rsidR="009E73E9" w:rsidRPr="00EF75B8">
        <w:rPr>
          <w:rFonts w:ascii="Times New Roman" w:hAnsi="Times New Roman" w:cs="Times New Roman"/>
          <w:sz w:val="24"/>
          <w:szCs w:val="24"/>
        </w:rPr>
        <w:t xml:space="preserve"> and Limassol), </w:t>
      </w:r>
      <w:r w:rsidRPr="00EF75B8">
        <w:rPr>
          <w:rFonts w:ascii="Times New Roman" w:hAnsi="Times New Roman" w:cs="Times New Roman"/>
          <w:sz w:val="24"/>
          <w:szCs w:val="24"/>
        </w:rPr>
        <w:t xml:space="preserve">the Office stressed the obligation of the competent authorities to take immediate and drastic actions for the exemplary punishment of the perpetrators and for granting the </w:t>
      </w:r>
      <w:r w:rsidRPr="00EF75B8">
        <w:rPr>
          <w:rFonts w:ascii="Times New Roman" w:hAnsi="Times New Roman" w:cs="Times New Roman"/>
          <w:sz w:val="24"/>
          <w:szCs w:val="24"/>
        </w:rPr>
        <w:lastRenderedPageBreak/>
        <w:t xml:space="preserve">appropriate support to the victims. It was reiterated that zero tolerance should be shown to persons who commit racist hate crimes, and that such offences should be investigated on the basis of the specialised anti-discrimination legislation, taking into account the racist motive of the perpetrators. </w:t>
      </w:r>
    </w:p>
    <w:p w14:paraId="55A20A1F" w14:textId="77777777" w:rsidR="00611AB2" w:rsidRPr="00EF75B8" w:rsidRDefault="00611AB2" w:rsidP="00611AB2">
      <w:pPr>
        <w:pStyle w:val="ListParagraph"/>
        <w:rPr>
          <w:rFonts w:ascii="Times New Roman" w:hAnsi="Times New Roman" w:cs="Times New Roman"/>
          <w:sz w:val="24"/>
          <w:szCs w:val="24"/>
        </w:rPr>
      </w:pPr>
    </w:p>
    <w:p w14:paraId="7FCB4099" w14:textId="77777777" w:rsidR="00F678FD" w:rsidRPr="00EF75B8" w:rsidRDefault="002732EA" w:rsidP="002732EA">
      <w:pPr>
        <w:pStyle w:val="ListParagraph"/>
        <w:numPr>
          <w:ilvl w:val="0"/>
          <w:numId w:val="14"/>
        </w:numPr>
        <w:ind w:hanging="79"/>
        <w:jc w:val="both"/>
        <w:rPr>
          <w:rFonts w:ascii="Times New Roman" w:hAnsi="Times New Roman" w:cs="Times New Roman"/>
          <w:sz w:val="24"/>
          <w:szCs w:val="24"/>
        </w:rPr>
      </w:pPr>
      <w:r w:rsidRPr="00EF75B8">
        <w:rPr>
          <w:rFonts w:ascii="Times New Roman" w:hAnsi="Times New Roman" w:cs="Times New Roman"/>
          <w:b/>
          <w:bCs/>
          <w:sz w:val="24"/>
          <w:szCs w:val="24"/>
        </w:rPr>
        <w:t>Hate speech</w:t>
      </w:r>
      <w:r w:rsidRPr="00EF75B8">
        <w:rPr>
          <w:rFonts w:ascii="Times New Roman" w:hAnsi="Times New Roman" w:cs="Times New Roman"/>
          <w:sz w:val="24"/>
          <w:szCs w:val="24"/>
        </w:rPr>
        <w:t xml:space="preserve">: </w:t>
      </w:r>
      <w:r w:rsidR="00D94489" w:rsidRPr="00EF75B8">
        <w:rPr>
          <w:rFonts w:ascii="Times New Roman" w:hAnsi="Times New Roman" w:cs="Times New Roman"/>
          <w:sz w:val="24"/>
          <w:szCs w:val="24"/>
        </w:rPr>
        <w:t xml:space="preserve">The Office has made several interventions regarding hate speech, either based on ex officio investigation, or upon the investigation of relevant complaints. </w:t>
      </w:r>
    </w:p>
    <w:p w14:paraId="6F2A618F" w14:textId="77777777" w:rsidR="00F678FD" w:rsidRPr="00EF75B8" w:rsidRDefault="00F678FD" w:rsidP="00F678FD">
      <w:pPr>
        <w:pStyle w:val="ListParagraph"/>
        <w:ind w:left="363"/>
        <w:jc w:val="both"/>
        <w:rPr>
          <w:rFonts w:ascii="Times New Roman" w:hAnsi="Times New Roman" w:cs="Times New Roman"/>
          <w:b/>
          <w:bCs/>
          <w:sz w:val="24"/>
          <w:szCs w:val="24"/>
        </w:rPr>
      </w:pPr>
    </w:p>
    <w:p w14:paraId="498F3585" w14:textId="337A2000" w:rsidR="002732EA" w:rsidRPr="00EF75B8" w:rsidRDefault="00D94489" w:rsidP="00F678FD">
      <w:pPr>
        <w:pStyle w:val="ListParagraph"/>
        <w:ind w:left="363"/>
        <w:jc w:val="both"/>
        <w:rPr>
          <w:rFonts w:ascii="Times New Roman" w:hAnsi="Times New Roman" w:cs="Times New Roman"/>
          <w:sz w:val="24"/>
          <w:szCs w:val="24"/>
        </w:rPr>
      </w:pPr>
      <w:r w:rsidRPr="00EF75B8">
        <w:rPr>
          <w:rFonts w:ascii="Times New Roman" w:hAnsi="Times New Roman" w:cs="Times New Roman"/>
          <w:sz w:val="24"/>
          <w:szCs w:val="24"/>
        </w:rPr>
        <w:t xml:space="preserve">Indicatively, in 2021, the Office issued a Report regarding the phenomenon of speech that promotes or incites racism and xenophobia, and indicated the specific implications such speech has for the enjoyment of one’s human rights. In this Report, several complaints were cited, which concerned online hate speech, including online publications and comments, as well as social media posts, which were found to be derogatory and offensive to specific groups of people, and contributed to the cultivation of negative stereotypes and hostility against them, on the basis of their origin and/or religion. The Office recommended to the Police that they should take measures to facilitate the identification and investigation of public statements, publications or posts that constitute hate speech and, in collaboration with the Law Office of the Republic, the effective prosecution of the perpetrators should be aimed for. </w:t>
      </w:r>
    </w:p>
    <w:sectPr w:rsidR="002732EA" w:rsidRPr="00EF75B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A1D3B" w14:textId="77777777" w:rsidR="007636C6" w:rsidRDefault="007636C6" w:rsidP="0090278A">
      <w:pPr>
        <w:spacing w:after="0" w:line="240" w:lineRule="auto"/>
      </w:pPr>
      <w:r>
        <w:separator/>
      </w:r>
    </w:p>
  </w:endnote>
  <w:endnote w:type="continuationSeparator" w:id="0">
    <w:p w14:paraId="2D910F72" w14:textId="77777777" w:rsidR="007636C6" w:rsidRDefault="007636C6" w:rsidP="00902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797722"/>
      <w:docPartObj>
        <w:docPartGallery w:val="Page Numbers (Bottom of Page)"/>
        <w:docPartUnique/>
      </w:docPartObj>
    </w:sdtPr>
    <w:sdtEndPr>
      <w:rPr>
        <w:noProof/>
      </w:rPr>
    </w:sdtEndPr>
    <w:sdtContent>
      <w:p w14:paraId="3C6B47FE" w14:textId="787DDA6C" w:rsidR="00BF2E6A" w:rsidRDefault="00BF2E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00A626" w14:textId="77777777" w:rsidR="00BF2E6A" w:rsidRDefault="00BF2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CA50" w14:textId="77777777" w:rsidR="007636C6" w:rsidRDefault="007636C6" w:rsidP="0090278A">
      <w:pPr>
        <w:spacing w:after="0" w:line="240" w:lineRule="auto"/>
      </w:pPr>
      <w:r>
        <w:separator/>
      </w:r>
    </w:p>
  </w:footnote>
  <w:footnote w:type="continuationSeparator" w:id="0">
    <w:p w14:paraId="17C7E693" w14:textId="77777777" w:rsidR="007636C6" w:rsidRDefault="007636C6" w:rsidP="00902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F3B"/>
    <w:multiLevelType w:val="hybridMultilevel"/>
    <w:tmpl w:val="C9D8D9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347FC"/>
    <w:multiLevelType w:val="hybridMultilevel"/>
    <w:tmpl w:val="631227D0"/>
    <w:lvl w:ilvl="0" w:tplc="04090001">
      <w:start w:val="1"/>
      <w:numFmt w:val="bullet"/>
      <w:lvlText w:val=""/>
      <w:lvlJc w:val="left"/>
      <w:pPr>
        <w:ind w:left="720" w:hanging="360"/>
      </w:pPr>
      <w:rPr>
        <w:rFonts w:ascii="Symbol" w:hAnsi="Symbol" w:hint="default"/>
        <w:u w:val="none"/>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B20F85"/>
    <w:multiLevelType w:val="hybridMultilevel"/>
    <w:tmpl w:val="75328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B43FE"/>
    <w:multiLevelType w:val="hybridMultilevel"/>
    <w:tmpl w:val="1D06C3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1372D2"/>
    <w:multiLevelType w:val="hybridMultilevel"/>
    <w:tmpl w:val="455A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D3DDE"/>
    <w:multiLevelType w:val="hybridMultilevel"/>
    <w:tmpl w:val="F20AF1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6B50C75"/>
    <w:multiLevelType w:val="hybridMultilevel"/>
    <w:tmpl w:val="3486715C"/>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B711C33"/>
    <w:multiLevelType w:val="hybridMultilevel"/>
    <w:tmpl w:val="95B0209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F17287"/>
    <w:multiLevelType w:val="hybridMultilevel"/>
    <w:tmpl w:val="1E1A38A0"/>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BC7568D"/>
    <w:multiLevelType w:val="hybridMultilevel"/>
    <w:tmpl w:val="5DB08B14"/>
    <w:lvl w:ilvl="0" w:tplc="26AE45C8">
      <w:start w:val="1"/>
      <w:numFmt w:val="lowerRoman"/>
      <w:lvlText w:val="%1."/>
      <w:lvlJc w:val="right"/>
      <w:pPr>
        <w:ind w:left="363" w:hanging="360"/>
      </w:pPr>
      <w:rPr>
        <w:rFonts w:ascii="Times New Roman" w:hAnsi="Times New Roman" w:cs="Times New Roman" w:hint="default"/>
        <w:sz w:val="24"/>
        <w:szCs w:val="24"/>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0" w15:restartNumberingAfterBreak="0">
    <w:nsid w:val="578012FA"/>
    <w:multiLevelType w:val="hybridMultilevel"/>
    <w:tmpl w:val="8390D324"/>
    <w:lvl w:ilvl="0" w:tplc="0809001B">
      <w:start w:val="1"/>
      <w:numFmt w:val="lowerRoman"/>
      <w:lvlText w:val="%1."/>
      <w:lvlJc w:val="right"/>
      <w:pPr>
        <w:ind w:left="720" w:hanging="360"/>
      </w:pPr>
      <w:rPr>
        <w:rFonts w:hint="default"/>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1362E5A"/>
    <w:multiLevelType w:val="hybridMultilevel"/>
    <w:tmpl w:val="043853F4"/>
    <w:lvl w:ilvl="0" w:tplc="0809001B">
      <w:start w:val="1"/>
      <w:numFmt w:val="lowerRoman"/>
      <w:lvlText w:val="%1."/>
      <w:lvlJc w:val="righ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4915B86"/>
    <w:multiLevelType w:val="hybridMultilevel"/>
    <w:tmpl w:val="C2A0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3733E3"/>
    <w:multiLevelType w:val="hybridMultilevel"/>
    <w:tmpl w:val="46AE15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5"/>
  </w:num>
  <w:num w:numId="5">
    <w:abstractNumId w:val="12"/>
  </w:num>
  <w:num w:numId="6">
    <w:abstractNumId w:val="4"/>
  </w:num>
  <w:num w:numId="7">
    <w:abstractNumId w:val="13"/>
  </w:num>
  <w:num w:numId="8">
    <w:abstractNumId w:val="10"/>
  </w:num>
  <w:num w:numId="9">
    <w:abstractNumId w:val="11"/>
  </w:num>
  <w:num w:numId="10">
    <w:abstractNumId w:val="6"/>
  </w:num>
  <w:num w:numId="11">
    <w:abstractNumId w:val="8"/>
  </w:num>
  <w:num w:numId="12">
    <w:abstractNumId w:val="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11"/>
    <w:rsid w:val="00130CE3"/>
    <w:rsid w:val="00160A7A"/>
    <w:rsid w:val="001830CF"/>
    <w:rsid w:val="00186E8C"/>
    <w:rsid w:val="00222D8F"/>
    <w:rsid w:val="002732EA"/>
    <w:rsid w:val="00297270"/>
    <w:rsid w:val="002B3D5D"/>
    <w:rsid w:val="003E3F1E"/>
    <w:rsid w:val="0049797A"/>
    <w:rsid w:val="004C4E82"/>
    <w:rsid w:val="004C5749"/>
    <w:rsid w:val="0056052F"/>
    <w:rsid w:val="00611AB2"/>
    <w:rsid w:val="00614ABF"/>
    <w:rsid w:val="006A0801"/>
    <w:rsid w:val="006C1699"/>
    <w:rsid w:val="006D4C35"/>
    <w:rsid w:val="00713823"/>
    <w:rsid w:val="007636C6"/>
    <w:rsid w:val="0090278A"/>
    <w:rsid w:val="00911479"/>
    <w:rsid w:val="00925BAD"/>
    <w:rsid w:val="00943186"/>
    <w:rsid w:val="009B2FD7"/>
    <w:rsid w:val="009E73E9"/>
    <w:rsid w:val="00A00229"/>
    <w:rsid w:val="00A2466D"/>
    <w:rsid w:val="00A31611"/>
    <w:rsid w:val="00A75A00"/>
    <w:rsid w:val="00B53B3A"/>
    <w:rsid w:val="00B7164A"/>
    <w:rsid w:val="00BF2E6A"/>
    <w:rsid w:val="00D83DB7"/>
    <w:rsid w:val="00D94489"/>
    <w:rsid w:val="00EF75B8"/>
    <w:rsid w:val="00F23C76"/>
    <w:rsid w:val="00F67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4C7E"/>
  <w15:chartTrackingRefBased/>
  <w15:docId w15:val="{1186DCF1-513C-4E7B-9B29-0D14D146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kern w:val="2"/>
        <w:sz w:val="24"/>
        <w:szCs w:val="24"/>
        <w:lang w:val="en-GB" w:eastAsia="en-US" w:bidi="ar-SA"/>
        <w14:ligatures w14:val="standardContextual"/>
      </w:rPr>
    </w:rPrDefault>
    <w:pPrDefault>
      <w:pPr>
        <w:spacing w:after="160" w:line="259"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C35"/>
    <w:pPr>
      <w:keepNext/>
      <w:keepLines/>
      <w:spacing w:before="240" w:after="0"/>
      <w:outlineLvl w:val="0"/>
    </w:pPr>
    <w:rPr>
      <w:rFonts w:eastAsiaTheme="majorEastAsia"/>
      <w:szCs w:val="32"/>
    </w:rPr>
  </w:style>
  <w:style w:type="paragraph" w:styleId="Heading2">
    <w:name w:val="heading 2"/>
    <w:basedOn w:val="Normal"/>
    <w:next w:val="Normal"/>
    <w:link w:val="Heading2Char"/>
    <w:uiPriority w:val="9"/>
    <w:unhideWhenUsed/>
    <w:qFormat/>
    <w:rsid w:val="006D4C35"/>
    <w:pPr>
      <w:keepNext/>
      <w:keepLines/>
      <w:spacing w:before="40" w:after="0"/>
      <w:outlineLvl w:val="1"/>
    </w:pPr>
    <w:rPr>
      <w:rFonts w:eastAsiaTheme="majorEastAsia"/>
      <w:szCs w:val="26"/>
    </w:rPr>
  </w:style>
  <w:style w:type="paragraph" w:styleId="Heading3">
    <w:name w:val="heading 3"/>
    <w:basedOn w:val="Normal"/>
    <w:next w:val="Normal"/>
    <w:link w:val="Heading3Char"/>
    <w:uiPriority w:val="9"/>
    <w:semiHidden/>
    <w:unhideWhenUsed/>
    <w:qFormat/>
    <w:rsid w:val="006D4C35"/>
    <w:pPr>
      <w:keepNext/>
      <w:keepLines/>
      <w:spacing w:before="40" w:after="0"/>
      <w:outlineLvl w:val="2"/>
    </w:pPr>
    <w:rPr>
      <w:rFonts w:eastAsiaTheme="majorEastAsia"/>
    </w:rPr>
  </w:style>
  <w:style w:type="paragraph" w:styleId="Heading4">
    <w:name w:val="heading 4"/>
    <w:basedOn w:val="Normal"/>
    <w:next w:val="Normal"/>
    <w:link w:val="Heading4Char"/>
    <w:uiPriority w:val="9"/>
    <w:semiHidden/>
    <w:unhideWhenUsed/>
    <w:qFormat/>
    <w:rsid w:val="006D4C35"/>
    <w:pPr>
      <w:keepNext/>
      <w:keepLines/>
      <w:spacing w:before="40" w:after="0"/>
      <w:outlineLvl w:val="3"/>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C35"/>
    <w:rPr>
      <w:rFonts w:eastAsiaTheme="majorEastAsia" w:cstheme="majorBidi"/>
      <w:szCs w:val="32"/>
    </w:rPr>
  </w:style>
  <w:style w:type="character" w:customStyle="1" w:styleId="Heading2Char">
    <w:name w:val="Heading 2 Char"/>
    <w:basedOn w:val="DefaultParagraphFont"/>
    <w:link w:val="Heading2"/>
    <w:uiPriority w:val="9"/>
    <w:rsid w:val="006D4C35"/>
    <w:rPr>
      <w:rFonts w:eastAsiaTheme="majorEastAsia" w:cstheme="majorBidi"/>
      <w:szCs w:val="26"/>
    </w:rPr>
  </w:style>
  <w:style w:type="character" w:customStyle="1" w:styleId="Heading3Char">
    <w:name w:val="Heading 3 Char"/>
    <w:basedOn w:val="DefaultParagraphFont"/>
    <w:link w:val="Heading3"/>
    <w:uiPriority w:val="9"/>
    <w:semiHidden/>
    <w:rsid w:val="006D4C35"/>
    <w:rPr>
      <w:rFonts w:eastAsiaTheme="majorEastAsia" w:cstheme="majorBidi"/>
      <w:szCs w:val="24"/>
    </w:rPr>
  </w:style>
  <w:style w:type="character" w:customStyle="1" w:styleId="Heading4Char">
    <w:name w:val="Heading 4 Char"/>
    <w:basedOn w:val="DefaultParagraphFont"/>
    <w:link w:val="Heading4"/>
    <w:uiPriority w:val="9"/>
    <w:semiHidden/>
    <w:rsid w:val="006D4C35"/>
    <w:rPr>
      <w:rFonts w:eastAsiaTheme="majorEastAsia" w:cstheme="majorBidi"/>
      <w:iCs/>
    </w:rPr>
  </w:style>
  <w:style w:type="paragraph" w:styleId="EnvelopeAddress">
    <w:name w:val="envelope address"/>
    <w:basedOn w:val="Normal"/>
    <w:uiPriority w:val="99"/>
    <w:semiHidden/>
    <w:unhideWhenUsed/>
    <w:rsid w:val="001830CF"/>
    <w:pPr>
      <w:framePr w:w="7920" w:h="1980" w:hRule="exact" w:hSpace="180" w:wrap="auto" w:hAnchor="page" w:xAlign="center" w:yAlign="bottom"/>
      <w:spacing w:after="0" w:line="240" w:lineRule="auto"/>
      <w:ind w:left="2880"/>
    </w:pPr>
    <w:rPr>
      <w:rFonts w:eastAsiaTheme="majorEastAsia"/>
    </w:rPr>
  </w:style>
  <w:style w:type="paragraph" w:styleId="FootnoteText">
    <w:name w:val="footnote text"/>
    <w:basedOn w:val="Normal"/>
    <w:link w:val="FootnoteTextChar"/>
    <w:uiPriority w:val="99"/>
    <w:semiHidden/>
    <w:unhideWhenUsed/>
    <w:rsid w:val="00902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78A"/>
    <w:rPr>
      <w:sz w:val="20"/>
      <w:szCs w:val="20"/>
    </w:rPr>
  </w:style>
  <w:style w:type="paragraph" w:styleId="ListParagraph">
    <w:name w:val="List Paragraph"/>
    <w:basedOn w:val="Normal"/>
    <w:uiPriority w:val="34"/>
    <w:qFormat/>
    <w:rsid w:val="0090278A"/>
    <w:pPr>
      <w:spacing w:after="200" w:line="276" w:lineRule="auto"/>
      <w:ind w:left="720" w:firstLine="0"/>
      <w:contextualSpacing/>
      <w:jc w:val="left"/>
    </w:pPr>
    <w:rPr>
      <w:rFonts w:asciiTheme="minorHAnsi" w:hAnsiTheme="minorHAnsi" w:cstheme="minorBidi"/>
      <w:kern w:val="0"/>
      <w:sz w:val="22"/>
      <w:szCs w:val="22"/>
      <w14:ligatures w14:val="none"/>
    </w:rPr>
  </w:style>
  <w:style w:type="paragraph" w:styleId="CommentText">
    <w:name w:val="annotation text"/>
    <w:basedOn w:val="Normal"/>
    <w:link w:val="CommentTextChar"/>
    <w:uiPriority w:val="99"/>
    <w:unhideWhenUsed/>
    <w:rsid w:val="0090278A"/>
    <w:pPr>
      <w:spacing w:after="200" w:line="240" w:lineRule="auto"/>
      <w:ind w:left="0" w:firstLine="0"/>
      <w:jc w:val="left"/>
    </w:pPr>
    <w:rPr>
      <w:rFonts w:asciiTheme="minorHAnsi" w:hAnsiTheme="minorHAnsi" w:cstheme="minorBidi"/>
      <w:kern w:val="0"/>
      <w:sz w:val="20"/>
      <w:szCs w:val="20"/>
      <w14:ligatures w14:val="none"/>
    </w:rPr>
  </w:style>
  <w:style w:type="character" w:customStyle="1" w:styleId="CommentTextChar">
    <w:name w:val="Comment Text Char"/>
    <w:basedOn w:val="DefaultParagraphFont"/>
    <w:link w:val="CommentText"/>
    <w:uiPriority w:val="99"/>
    <w:rsid w:val="0090278A"/>
    <w:rPr>
      <w:rFonts w:asciiTheme="minorHAnsi" w:hAnsiTheme="minorHAnsi" w:cstheme="minorBidi"/>
      <w:kern w:val="0"/>
      <w:sz w:val="20"/>
      <w:szCs w:val="20"/>
      <w14:ligatures w14:val="none"/>
    </w:rPr>
  </w:style>
  <w:style w:type="character" w:styleId="FootnoteReference">
    <w:name w:val="footnote reference"/>
    <w:basedOn w:val="DefaultParagraphFont"/>
    <w:uiPriority w:val="99"/>
    <w:unhideWhenUsed/>
    <w:rsid w:val="0090278A"/>
    <w:rPr>
      <w:vertAlign w:val="superscript"/>
    </w:rPr>
  </w:style>
  <w:style w:type="paragraph" w:styleId="Header">
    <w:name w:val="header"/>
    <w:basedOn w:val="Normal"/>
    <w:link w:val="HeaderChar"/>
    <w:uiPriority w:val="99"/>
    <w:unhideWhenUsed/>
    <w:rsid w:val="00BF2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E6A"/>
  </w:style>
  <w:style w:type="paragraph" w:styleId="Footer">
    <w:name w:val="footer"/>
    <w:basedOn w:val="Normal"/>
    <w:link w:val="FooterChar"/>
    <w:uiPriority w:val="99"/>
    <w:unhideWhenUsed/>
    <w:rsid w:val="00BF2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E6A"/>
  </w:style>
  <w:style w:type="character" w:styleId="Hyperlink">
    <w:name w:val="Hyperlink"/>
    <w:basedOn w:val="DefaultParagraphFont"/>
    <w:uiPriority w:val="99"/>
    <w:unhideWhenUsed/>
    <w:rsid w:val="00713823"/>
    <w:rPr>
      <w:color w:val="0563C1" w:themeColor="hyperlink"/>
      <w:u w:val="single"/>
    </w:rPr>
  </w:style>
  <w:style w:type="character" w:styleId="UnresolvedMention">
    <w:name w:val="Unresolved Mention"/>
    <w:basedOn w:val="DefaultParagraphFont"/>
    <w:uiPriority w:val="99"/>
    <w:semiHidden/>
    <w:unhideWhenUsed/>
    <w:rsid w:val="00713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CYPRUS</Contributor>
  </documentManagement>
</p:properties>
</file>

<file path=customXml/itemProps1.xml><?xml version="1.0" encoding="utf-8"?>
<ds:datastoreItem xmlns:ds="http://schemas.openxmlformats.org/officeDocument/2006/customXml" ds:itemID="{E0919792-47B7-4C46-B554-8A1B4988B500}">
  <ds:schemaRefs>
    <ds:schemaRef ds:uri="http://schemas.microsoft.com/sharepoint/v3/contenttype/forms"/>
  </ds:schemaRefs>
</ds:datastoreItem>
</file>

<file path=customXml/itemProps2.xml><?xml version="1.0" encoding="utf-8"?>
<ds:datastoreItem xmlns:ds="http://schemas.openxmlformats.org/officeDocument/2006/customXml" ds:itemID="{CE87A4C8-22EA-4C8D-AC4B-27995102BD63}"/>
</file>

<file path=customXml/itemProps3.xml><?xml version="1.0" encoding="utf-8"?>
<ds:datastoreItem xmlns:ds="http://schemas.openxmlformats.org/officeDocument/2006/customXml" ds:itemID="{A58A70B7-FF0B-46DB-92C1-8D95E4ED22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Nayia Christodoulou</dc:creator>
  <cp:keywords/>
  <dc:description/>
  <cp:lastModifiedBy>Kellie-Shandra Ognimba</cp:lastModifiedBy>
  <cp:revision>2</cp:revision>
  <cp:lastPrinted>2024-06-28T10:07:00Z</cp:lastPrinted>
  <dcterms:created xsi:type="dcterms:W3CDTF">2024-07-03T13:44:00Z</dcterms:created>
  <dcterms:modified xsi:type="dcterms:W3CDTF">2024-07-03T13:44:00Z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