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9EA6" w14:textId="77777777" w:rsidR="00A83D43" w:rsidRDefault="00A83D43">
      <w:pPr>
        <w:pStyle w:val="Title"/>
        <w:keepNext/>
        <w:keepLines/>
        <w:spacing w:before="0" w:after="6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0" w:name="_8nnofdtei2nk" w:colFirst="0" w:colLast="0"/>
      <w:bookmarkEnd w:id="0"/>
    </w:p>
    <w:p w14:paraId="77DD25AF" w14:textId="77777777" w:rsidR="00A83D43" w:rsidRDefault="00A83D43">
      <w:pPr>
        <w:pStyle w:val="Title"/>
        <w:keepNext/>
        <w:keepLines/>
        <w:spacing w:before="0" w:after="6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1" w:name="_jptlixy0tkq0" w:colFirst="0" w:colLast="0"/>
      <w:bookmarkEnd w:id="1"/>
    </w:p>
    <w:p w14:paraId="79FBB38A" w14:textId="77777777" w:rsidR="00A83D43" w:rsidRDefault="00A83D43">
      <w:pPr>
        <w:pStyle w:val="Title"/>
        <w:keepNext/>
        <w:keepLines/>
        <w:spacing w:before="0" w:after="6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2" w:name="_blzkvm6oo13d" w:colFirst="0" w:colLast="0"/>
      <w:bookmarkEnd w:id="2"/>
    </w:p>
    <w:p w14:paraId="4823B6D5" w14:textId="77777777" w:rsidR="00A83D43" w:rsidRDefault="00A83D43">
      <w:pPr>
        <w:pStyle w:val="Title"/>
        <w:keepNext/>
        <w:keepLines/>
        <w:spacing w:before="0" w:after="6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3" w:name="_sr0oae6j6flm" w:colFirst="0" w:colLast="0"/>
      <w:bookmarkEnd w:id="3"/>
    </w:p>
    <w:p w14:paraId="1D29F368" w14:textId="77777777" w:rsidR="00A83D43" w:rsidRDefault="00A83D43">
      <w:pPr>
        <w:pStyle w:val="Title"/>
        <w:keepNext/>
        <w:keepLines/>
        <w:spacing w:before="0" w:after="6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4" w:name="_a9nawg6yp7q8" w:colFirst="0" w:colLast="0"/>
      <w:bookmarkEnd w:id="4"/>
    </w:p>
    <w:p w14:paraId="6D6B9114" w14:textId="77777777" w:rsidR="00A83D43" w:rsidRDefault="00A83D43">
      <w:pPr>
        <w:pStyle w:val="Title"/>
        <w:keepNext/>
        <w:keepLines/>
        <w:spacing w:before="0" w:after="60" w:line="276" w:lineRule="auto"/>
        <w:jc w:val="left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5" w:name="_iekac37j8rpa" w:colFirst="0" w:colLast="0"/>
      <w:bookmarkEnd w:id="5"/>
    </w:p>
    <w:p w14:paraId="52A9A43A" w14:textId="77777777" w:rsidR="00A83D43" w:rsidRDefault="003A4ABB">
      <w:pPr>
        <w:pStyle w:val="Title"/>
        <w:keepNext/>
        <w:keepLines/>
        <w:spacing w:before="0" w:after="6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6" w:name="_43nz7frdoaxo" w:colFirst="0" w:colLast="0"/>
      <w:bookmarkEnd w:id="6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Aportaciones para la preparación del informe del 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Secretario General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de conformidad con la resolución A/RES/78/234</w:t>
      </w:r>
    </w:p>
    <w:p w14:paraId="510E1791" w14:textId="77777777" w:rsidR="00A83D43" w:rsidRDefault="00A83D43">
      <w:pPr>
        <w:spacing w:before="0" w:line="276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4AAEEFE" w14:textId="77777777" w:rsidR="00A83D43" w:rsidRDefault="00A83D43">
      <w:pPr>
        <w:spacing w:before="0" w:line="276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C9F4D88" w14:textId="77777777" w:rsidR="00A83D43" w:rsidRDefault="00A83D43">
      <w:pPr>
        <w:spacing w:before="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66E2A48" w14:textId="77777777" w:rsidR="00A83D43" w:rsidRDefault="00A83D43">
      <w:pPr>
        <w:spacing w:before="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B58D7C3" w14:textId="77777777" w:rsidR="00A83D43" w:rsidRDefault="00A83D43">
      <w:pPr>
        <w:spacing w:before="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A5A11E2" w14:textId="77777777" w:rsidR="00A83D43" w:rsidRDefault="003A4ABB">
      <w:pPr>
        <w:spacing w:before="0" w:line="276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Observatorio de Racismo en México y Centroamérica</w:t>
      </w:r>
    </w:p>
    <w:p w14:paraId="2C6CCDDD" w14:textId="77777777" w:rsidR="00A83D43" w:rsidRDefault="003A4ABB">
      <w:pPr>
        <w:jc w:val="center"/>
      </w:pPr>
      <w:r>
        <w:t>conformado por:</w:t>
      </w:r>
    </w:p>
    <w:p w14:paraId="65226B0E" w14:textId="77777777" w:rsidR="00A83D43" w:rsidRDefault="003A4ABB">
      <w:pPr>
        <w:jc w:val="center"/>
      </w:pPr>
      <w:proofErr w:type="spellStart"/>
      <w:r>
        <w:t>RacismoMX</w:t>
      </w:r>
      <w:proofErr w:type="spellEnd"/>
      <w:r>
        <w:t xml:space="preserve">, Centro por la Justicia y Derecho Internacional (CEJIL), Instituto para las Mujeres en la Migración, A.C. (IMUMI), Asociación Enlaces Nicaragüenses, Asociación Pop </w:t>
      </w:r>
      <w:proofErr w:type="spellStart"/>
      <w:r>
        <w:t>No’J</w:t>
      </w:r>
      <w:proofErr w:type="spellEnd"/>
      <w:r>
        <w:t>, Grupo de Monitoreo Independiente de El Salvador, Comisión de Acción Social M</w:t>
      </w:r>
      <w:r>
        <w:t xml:space="preserve">enonita, Trans Queer Pueblo, Casa </w:t>
      </w:r>
      <w:proofErr w:type="spellStart"/>
      <w:r>
        <w:t>Arcoiris</w:t>
      </w:r>
      <w:proofErr w:type="spellEnd"/>
      <w:r>
        <w:t xml:space="preserve">, Espacio Migrante, Una Mano Amiga en la Lucha contra el Sida, Programa de Asuntos Migratorios de la Universidad Iberoamericana, Jardín de las Mariposas, A.C., </w:t>
      </w:r>
      <w:proofErr w:type="spellStart"/>
      <w:r>
        <w:t>Kanan</w:t>
      </w:r>
      <w:proofErr w:type="spellEnd"/>
      <w:r>
        <w:t xml:space="preserve"> DDHH, A.C., Centro por la Justicia, Democracia e</w:t>
      </w:r>
      <w:r>
        <w:t xml:space="preserve"> Igualdad, A.C. (CEJUDI), Las </w:t>
      </w:r>
      <w:proofErr w:type="spellStart"/>
      <w:r>
        <w:t>Vanders</w:t>
      </w:r>
      <w:proofErr w:type="spellEnd"/>
      <w:r>
        <w:t xml:space="preserve"> y Casa del Migrante San Juan Diego-San Francisco de Asís, A.C</w:t>
      </w:r>
    </w:p>
    <w:p w14:paraId="7471D4C5" w14:textId="77777777" w:rsidR="00A83D43" w:rsidRDefault="00A83D43">
      <w:pPr>
        <w:jc w:val="center"/>
      </w:pPr>
    </w:p>
    <w:p w14:paraId="4DFC7DDB" w14:textId="77777777" w:rsidR="00A83D43" w:rsidRDefault="003A4ABB">
      <w:pPr>
        <w:jc w:val="center"/>
      </w:pPr>
      <w:r>
        <w:pict w14:anchorId="5A6EF843">
          <v:rect id="_x0000_i1025" style="width:0;height:1.5pt" o:hralign="center" o:hrstd="t" o:hr="t" fillcolor="#a0a0a0" stroked="f"/>
        </w:pict>
      </w:r>
    </w:p>
    <w:p w14:paraId="6A7510CC" w14:textId="77777777" w:rsidR="00A83D43" w:rsidRDefault="003A4ABB">
      <w:pPr>
        <w:jc w:val="center"/>
      </w:pPr>
      <w:r>
        <w:t xml:space="preserve">El presente documento está apegado a los lineamientos de la convocatoria. La portada no entra en el límite de páginas establecido. </w:t>
      </w:r>
    </w:p>
    <w:p w14:paraId="281264F0" w14:textId="77777777" w:rsidR="00A83D43" w:rsidRDefault="00A83D43">
      <w:pP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4B70435" w14:textId="77777777" w:rsidR="00A83D43" w:rsidRDefault="00A83D43">
      <w:pP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C2947DC" w14:textId="77777777" w:rsidR="00A83D43" w:rsidRDefault="003A4ABB">
      <w:pP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A83D4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080" w:right="1440" w:bottom="1080" w:left="1440" w:header="0" w:footer="720" w:gutter="0"/>
          <w:pgNumType w:start="0"/>
          <w:cols w:space="720"/>
          <w:titlePg/>
        </w:sect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Junio 2024</w:t>
      </w:r>
    </w:p>
    <w:p w14:paraId="36B69E43" w14:textId="77777777" w:rsidR="00A83D43" w:rsidRDefault="00A83D43">
      <w:pPr>
        <w:spacing w:before="0" w:line="276" w:lineRule="auto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6E233EE" w14:textId="77777777" w:rsidR="00A83D43" w:rsidRDefault="00A83D43">
      <w:pPr>
        <w:spacing w:before="0" w:line="276" w:lineRule="auto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EEEDECA" w14:textId="77777777" w:rsidR="00A83D43" w:rsidRDefault="003A4A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Las organizaciones del Observatorio de Racismo en México y Centroamérica</w:t>
      </w:r>
      <w:r>
        <w:rPr>
          <w:color w:val="000000"/>
        </w:rPr>
        <w:t xml:space="preserve"> hemos tenido la oportunidad de acompañar y asesorar tanto a personas en situación de movilidad en México, Centroamérica y Estados Unidos, así como a las organizaciones de la sociedad civil que les acompañan. Por tanto, la información que aportamos para su</w:t>
      </w:r>
      <w:r>
        <w:rPr>
          <w:color w:val="000000"/>
        </w:rPr>
        <w:t xml:space="preserve"> informe surge de nuestra labor en la región. En este sentido, nos permitimos observar lo siguiente sobre la relación de racismo, discriminación racial, xenofobia y otras formas conexas de intolerancia contra las personas migrantes y con necesidad de prote</w:t>
      </w:r>
      <w:r>
        <w:rPr>
          <w:color w:val="000000"/>
        </w:rPr>
        <w:t>cción internacional, así como la necesidad de eliminar la discriminación racial contra estas personas:</w:t>
      </w:r>
    </w:p>
    <w:p w14:paraId="2CE5E777" w14:textId="77777777" w:rsidR="00A83D43" w:rsidRDefault="003A4A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 xenofobia debe ser entendida como el rechazo, exclusión y discriminación contra personas extranjeras o ajenas a la identidad nacional, exacerbadas en </w:t>
      </w:r>
      <w:r>
        <w:rPr>
          <w:color w:val="000000"/>
        </w:rPr>
        <w:t>el marco de un sistema racista. Al abordar la relación entre racismo y xenofobia, es importante observar que ambos conceptos no operan de forma excluyente o separada en general y en el contexto de la movilidad humana, sino que tienen una relación concomita</w:t>
      </w:r>
      <w:r>
        <w:rPr>
          <w:color w:val="000000"/>
        </w:rPr>
        <w:t xml:space="preserve">nte. Las políticas migratorias afectan de forma diferenciada a las personas extranjeras en ocasión de su racialización. Por tanto, la prevención y erradicación de la xenofobia debe darse desde un enfoque antirracista que, considere a la racialización como </w:t>
      </w:r>
      <w:r>
        <w:rPr>
          <w:color w:val="000000"/>
        </w:rPr>
        <w:t>factor clave de la jerarquización y discriminación contra personas migrantes y sujetas a protección internacional.</w:t>
      </w:r>
    </w:p>
    <w:p w14:paraId="0AED9248" w14:textId="77777777" w:rsidR="00A83D43" w:rsidRDefault="003A4ABB">
      <w:pPr>
        <w:rPr>
          <w:rFonts w:ascii="Arial" w:eastAsia="Arial" w:hAnsi="Arial" w:cs="Arial"/>
          <w:color w:val="000000"/>
        </w:rPr>
      </w:pPr>
      <w:r>
        <w:rPr>
          <w:color w:val="000000"/>
        </w:rPr>
        <w:t>En el marco del proceso de reconocimiento de la condición de persona refugiada hemos documentado que algunos países no aplican la definición ampliada de la Declaración de Cartagena a todas las nacionalidades. Algunas nacionalidades históricamente racializa</w:t>
      </w:r>
      <w:r>
        <w:rPr>
          <w:color w:val="000000"/>
        </w:rPr>
        <w:t>das como la haitiana han sido excluidas de este criterio, resultando en tasas de reconocimiento muy bajas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>. Así, la aplicación de la definición ampliada suele estar influenciada por interpretaciones racistas y xenófobas. Además, a través del trabajo del O</w:t>
      </w:r>
      <w:r>
        <w:rPr>
          <w:color w:val="000000"/>
        </w:rPr>
        <w:t>bservatorio hemos documentado que las personas migrantes y personas sujetas de protección internacional están expuestas a ser víctimas de formas interrelacionadas de xenofobia, basadas en condiciones diversas —como género, orientación sexual, origen nacion</w:t>
      </w:r>
      <w:r>
        <w:rPr>
          <w:color w:val="000000"/>
        </w:rPr>
        <w:t>al, pertenencia a pueblos indígenas— en los países de origen, tránsito, destino y retorno. Por ejemplo, en México mujeres migrantes enfrentan discriminación tanto por ser migrantes racializadas y por su género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. </w:t>
      </w:r>
    </w:p>
    <w:p w14:paraId="571183A9" w14:textId="77777777" w:rsidR="00A83D43" w:rsidRDefault="003A4ABB">
      <w:pPr>
        <w:rPr>
          <w:color w:val="000000"/>
        </w:rPr>
      </w:pPr>
      <w:r>
        <w:rPr>
          <w:color w:val="000000"/>
        </w:rPr>
        <w:lastRenderedPageBreak/>
        <w:t>En esta línea, bajo las obligaciones de pr</w:t>
      </w:r>
      <w:r>
        <w:rPr>
          <w:color w:val="000000"/>
        </w:rPr>
        <w:t xml:space="preserve">evención y erradicación de la discriminación, los Estados deben abstenerse de </w:t>
      </w:r>
      <w:r>
        <w:rPr>
          <w:i/>
          <w:color w:val="000000"/>
        </w:rPr>
        <w:t>“realizar acciones que de cualquier manera vayan dirigidas, directa o indirectamente, a crear situaciones de discriminación racial y adopt(en) medidas positivas para revertir o c</w:t>
      </w:r>
      <w:r>
        <w:rPr>
          <w:i/>
          <w:color w:val="000000"/>
        </w:rPr>
        <w:t>ambiar situaciones discriminatorias existentes en sus sociedades, con fundamento en la noción de igualdad y el principio de no discriminación”</w:t>
      </w:r>
      <w:r>
        <w:rPr>
          <w:color w:val="000000"/>
        </w:rPr>
        <w:t xml:space="preserve"> (sic)</w:t>
      </w:r>
      <w:r>
        <w:rPr>
          <w:color w:val="000000"/>
          <w:vertAlign w:val="superscript"/>
        </w:rPr>
        <w:footnoteReference w:id="3"/>
      </w:r>
      <w:r>
        <w:rPr>
          <w:color w:val="000000"/>
        </w:rPr>
        <w:t>. Sin embargo, en nuestra experiencia, son muy pocos países en Centroamérica o México que realizan accione</w:t>
      </w:r>
      <w:r>
        <w:rPr>
          <w:color w:val="000000"/>
        </w:rPr>
        <w:t>s preventivas frente a la discriminación racial hacia personas en situación de movilidad humana.</w:t>
      </w:r>
    </w:p>
    <w:p w14:paraId="55F4CA60" w14:textId="77777777" w:rsidR="00A83D43" w:rsidRDefault="003A4ABB">
      <w:pPr>
        <w:rPr>
          <w:color w:val="000000"/>
        </w:rPr>
      </w:pPr>
      <w:r>
        <w:rPr>
          <w:color w:val="000000"/>
        </w:rPr>
        <w:t>Es necesario que los Estados implementen políticas claras destinadas a prevenir y erradicar la xenofobia en contra de personas migrantes y con necesidad de pro</w:t>
      </w:r>
      <w:r>
        <w:rPr>
          <w:color w:val="000000"/>
        </w:rPr>
        <w:t>tección internacional. Para esto, es esencial que se consideren al menos dos elementos específicos: 1) La obligación de implementar mecanismos que garanticen la participación directa y eficaz de las personas migrantes, personas sujetas a protección interna</w:t>
      </w:r>
      <w:r>
        <w:rPr>
          <w:color w:val="000000"/>
        </w:rPr>
        <w:t>cional y las organizaciones de derechos humanos que les acompañan en cualquier decisión que involucre el ejercicio de sus derechos; y 2) la obligación de implementar un enfoque intersectorial en los varios niveles gubernamentales que permita monitorear y r</w:t>
      </w:r>
      <w:r>
        <w:rPr>
          <w:color w:val="000000"/>
        </w:rPr>
        <w:t xml:space="preserve">esponder a todas las situaciones de discriminación o xenofobia que surjan de las acciones u omisiones del Estado. </w:t>
      </w:r>
    </w:p>
    <w:p w14:paraId="2B04B8DE" w14:textId="77777777" w:rsidR="00A83D43" w:rsidRDefault="003A4ABB">
      <w:pPr>
        <w:rPr>
          <w:rFonts w:ascii="Arial" w:eastAsia="Arial" w:hAnsi="Arial" w:cs="Arial"/>
          <w:color w:val="000000"/>
        </w:rPr>
      </w:pPr>
      <w:r>
        <w:rPr>
          <w:color w:val="000000"/>
        </w:rPr>
        <w:t>Respecto del primer elemento, es importante que este mecanismo observe ciertos criterios para garantizar la participación igualitaria con rep</w:t>
      </w:r>
      <w:r>
        <w:rPr>
          <w:color w:val="000000"/>
        </w:rPr>
        <w:t>resentatividad de diversas condiciones de las personas migrantes y sujetas de protección internacional, especificando además claramente las rutas para garantizar y subsanar las barreras existentes en su participación.  Además, este mecanismo debe buscar si</w:t>
      </w:r>
      <w:r>
        <w:rPr>
          <w:color w:val="000000"/>
        </w:rPr>
        <w:t xml:space="preserve">tuar las voces y experiencias de las personas migrantes y sujetas de protección internacional en el centro de los procesos de toma de decisiones, en cualquier proceso de interés público. </w:t>
      </w:r>
    </w:p>
    <w:p w14:paraId="6F34D704" w14:textId="77777777" w:rsidR="00A83D43" w:rsidRDefault="003A4ABB">
      <w:pPr>
        <w:rPr>
          <w:color w:val="000000"/>
        </w:rPr>
      </w:pPr>
      <w:r>
        <w:rPr>
          <w:color w:val="000000"/>
        </w:rPr>
        <w:t>Respecto del segundo elemento, correspondiente al monitoreo y respue</w:t>
      </w:r>
      <w:r>
        <w:rPr>
          <w:color w:val="000000"/>
        </w:rPr>
        <w:t xml:space="preserve">sta intersectorial a la discriminación y xenofobia, es necesario que existan espacios de acción periódicos y sostenidos a fin de dar una respuesta rápida y eficaz por parte de las autoridades. Además, estos espacios de monitoreo y de respuesta deben estar </w:t>
      </w:r>
      <w:r>
        <w:rPr>
          <w:color w:val="000000"/>
        </w:rPr>
        <w:t xml:space="preserve">suficientemente sensibilizados para entender las complejas dinámicas en las que opera la discriminación racial. </w:t>
      </w:r>
    </w:p>
    <w:p w14:paraId="5929A166" w14:textId="77777777" w:rsidR="00A83D43" w:rsidRDefault="003A4ABB">
      <w:pPr>
        <w:rPr>
          <w:color w:val="000000"/>
        </w:rPr>
      </w:pPr>
      <w:r>
        <w:rPr>
          <w:color w:val="000000"/>
        </w:rPr>
        <w:t>Por ejemplo, en nuestra experiencia, algunos grupos históricamente discriminados como las personas migrantes racializadas, han sido sometidas a</w:t>
      </w:r>
      <w:r>
        <w:rPr>
          <w:color w:val="000000"/>
        </w:rPr>
        <w:t xml:space="preserve"> estándares probatorios más altos por la infravaloración a sus testimonios debido a una clara discriminación racial</w:t>
      </w:r>
      <w:r>
        <w:rPr>
          <w:color w:val="000000"/>
          <w:vertAlign w:val="superscript"/>
        </w:rPr>
        <w:footnoteReference w:id="4"/>
      </w:r>
      <w:r>
        <w:rPr>
          <w:color w:val="000000"/>
        </w:rPr>
        <w:t>. Asimismo, las personas en situación migratoria irregular no interponen denuncias de los actos de violencia y discriminación debido al tem</w:t>
      </w:r>
      <w:r>
        <w:rPr>
          <w:color w:val="000000"/>
        </w:rPr>
        <w:t>or de ser privadas de la libertad y a ser deportadas por autoridades migratorias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. </w:t>
      </w:r>
    </w:p>
    <w:p w14:paraId="2D21A417" w14:textId="77777777" w:rsidR="00A83D43" w:rsidRDefault="003A4ABB">
      <w:pPr>
        <w:rPr>
          <w:color w:val="000000"/>
        </w:rPr>
      </w:pPr>
      <w:r>
        <w:rPr>
          <w:color w:val="000000"/>
        </w:rPr>
        <w:t>Por lo tanto, estos espacios de monitoreo y respuesta intersectorial deben tener especial consideración a la inversión de las cargas probatorias y a las complejas relacion</w:t>
      </w:r>
      <w:r>
        <w:rPr>
          <w:color w:val="000000"/>
        </w:rPr>
        <w:t>es de poder que aparecen frente a la discriminación racial y el acceso a la justicia.</w:t>
      </w:r>
    </w:p>
    <w:p w14:paraId="7EA0DE9E" w14:textId="77777777" w:rsidR="00A83D43" w:rsidRDefault="003A4ABB">
      <w:pPr>
        <w:rPr>
          <w:color w:val="000000"/>
        </w:rPr>
      </w:pPr>
      <w:r>
        <w:rPr>
          <w:color w:val="000000"/>
        </w:rPr>
        <w:t>Así también, la respuesta debe reconocer a las personas migrantes y sujetas de protección internacional como agentes de cambio, no solamente como personas en situación de</w:t>
      </w:r>
      <w:r>
        <w:rPr>
          <w:color w:val="000000"/>
        </w:rPr>
        <w:t xml:space="preserve"> vulnerabilidad, ya que contribuyen positivamente al desarrollo de los países receptores. Por tanto, es indispensable reconocer la agencia y capacidades de las personas migrantes y sujetas de protección internacional, y que, como sujetas de derechos humano</w:t>
      </w:r>
      <w:r>
        <w:rPr>
          <w:color w:val="000000"/>
        </w:rPr>
        <w:t>s deben estar en el centro en los procesos para la garantía de su acceso a la justicia, reparación del daño y garantías de no repetición.</w:t>
      </w:r>
    </w:p>
    <w:p w14:paraId="7C89528C" w14:textId="77777777" w:rsidR="00A83D43" w:rsidRDefault="003A4ABB">
      <w:pPr>
        <w:rPr>
          <w:color w:val="000000"/>
        </w:rPr>
      </w:pPr>
      <w:r>
        <w:rPr>
          <w:color w:val="000000"/>
        </w:rPr>
        <w:t>Un ejemplo claro de las consecuencias de la falta de prevención de la xenofobia, es el desalojo forzado por parte de l</w:t>
      </w:r>
      <w:r>
        <w:rPr>
          <w:color w:val="000000"/>
        </w:rPr>
        <w:t>as autoridades mexicanas de un campamento de personas racializadas, que buscaban protección internacional, en la Plaza Giordano Bruno de la Ciudad de México, situación reiterada a lo largo de los años y que evidencia el desborde del sistema de acogida mexi</w:t>
      </w:r>
      <w:r>
        <w:rPr>
          <w:color w:val="000000"/>
        </w:rPr>
        <w:t>cano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>. El desalojo de estas personas, se produjo en un contexto de violencia racial y xenófoba en contra de cientos de personas migrantes y con necesidad de protección internacional, que se basó en narrativas xenófobas y aporofóbicas. En respuesta a esto,</w:t>
      </w:r>
      <w:r>
        <w:rPr>
          <w:color w:val="000000"/>
        </w:rPr>
        <w:t xml:space="preserve"> sin buscar alternativas de estadía y utilizando de forma ilegítima la fuerza, las autoridades realizaron el desalojo forzado de estas personas, lo que generó una serie de vulneraciones a sus derechos.  Todo esto, sin considerar el rol de la prevención de </w:t>
      </w:r>
      <w:r>
        <w:rPr>
          <w:color w:val="000000"/>
        </w:rPr>
        <w:t>la xenofobia a personas racializadas. Este evento no es exclusivo de la Ciudad de México, sino que se reproduce a lo largo de América contra las personas migrantes y personas racializadas con necesidad de protección internacional.</w:t>
      </w:r>
    </w:p>
    <w:p w14:paraId="3B30CE81" w14:textId="77777777" w:rsidR="00A83D43" w:rsidRDefault="003A4ABB">
      <w:pPr>
        <w:rPr>
          <w:color w:val="000000"/>
        </w:rPr>
      </w:pPr>
      <w:r>
        <w:rPr>
          <w:color w:val="000000"/>
        </w:rPr>
        <w:t xml:space="preserve">En conclusión, urgimos a </w:t>
      </w:r>
      <w:r>
        <w:rPr>
          <w:color w:val="000000"/>
        </w:rPr>
        <w:t xml:space="preserve">su mandato que se pronuncie sobre la necesidad de construir e implementar políticas públicas que incluyan mecanismos efectivos para la prevención, atención y respuesta de la violencia racista y xenófoba. Asimismo se debe observar con particular antención, </w:t>
      </w:r>
      <w:r>
        <w:rPr>
          <w:color w:val="000000"/>
        </w:rPr>
        <w:t xml:space="preserve">como estos mecanismos deberían prevenir el favorecimiento del las narrativas xenófobas y racistas; y responder a los procesos de discriminación racial que ocurren en varios países. </w:t>
      </w:r>
    </w:p>
    <w:sectPr w:rsidR="00A83D43">
      <w:headerReference w:type="default" r:id="rId11"/>
      <w:headerReference w:type="first" r:id="rId12"/>
      <w:footerReference w:type="first" r:id="rId13"/>
      <w:pgSz w:w="12240" w:h="15840"/>
      <w:pgMar w:top="1080" w:right="1440" w:bottom="1080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8711" w14:textId="77777777" w:rsidR="00000000" w:rsidRDefault="003A4ABB">
      <w:pPr>
        <w:spacing w:before="0" w:line="240" w:lineRule="auto"/>
      </w:pPr>
      <w:r>
        <w:separator/>
      </w:r>
    </w:p>
  </w:endnote>
  <w:endnote w:type="continuationSeparator" w:id="0">
    <w:p w14:paraId="13684AAE" w14:textId="77777777" w:rsidR="00000000" w:rsidRDefault="003A4AB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5C26" w14:textId="107E428C" w:rsidR="00A83D43" w:rsidRDefault="003A4AB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F0C6" w14:textId="77777777" w:rsidR="00A83D43" w:rsidRDefault="00A83D43">
    <w:pPr>
      <w:pBdr>
        <w:top w:val="nil"/>
        <w:left w:val="nil"/>
        <w:bottom w:val="nil"/>
        <w:right w:val="nil"/>
        <w:between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6093" w14:textId="77777777" w:rsidR="00A83D43" w:rsidRDefault="00A83D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1487" w14:textId="77777777" w:rsidR="00000000" w:rsidRDefault="003A4ABB">
      <w:pPr>
        <w:spacing w:before="0" w:line="240" w:lineRule="auto"/>
      </w:pPr>
      <w:r>
        <w:separator/>
      </w:r>
    </w:p>
  </w:footnote>
  <w:footnote w:type="continuationSeparator" w:id="0">
    <w:p w14:paraId="02E4F189" w14:textId="77777777" w:rsidR="00000000" w:rsidRDefault="003A4ABB">
      <w:pPr>
        <w:spacing w:before="0" w:line="240" w:lineRule="auto"/>
      </w:pPr>
      <w:r>
        <w:continuationSeparator/>
      </w:r>
    </w:p>
  </w:footnote>
  <w:footnote w:id="1">
    <w:p w14:paraId="525B30D8" w14:textId="77777777" w:rsidR="00A83D43" w:rsidRDefault="003A4ABB">
      <w:pPr>
        <w:spacing w:before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Priya Morley, S., Bookey, B., Bolt, B., &amp; Bloch, I. (2021). </w:t>
      </w:r>
      <w:r>
        <w:rPr>
          <w:i/>
          <w:sz w:val="16"/>
          <w:szCs w:val="16"/>
        </w:rPr>
        <w:t>Un Viaje de Esperanza: La Migración de Mujeres Haitianas a Tapachula</w:t>
      </w:r>
      <w:r>
        <w:rPr>
          <w:sz w:val="16"/>
          <w:szCs w:val="16"/>
        </w:rPr>
        <w:t xml:space="preserve">. Center for Gender and Refugee Studies. </w:t>
      </w:r>
      <w:hyperlink r:id="rId1">
        <w:r>
          <w:rPr>
            <w:color w:val="1155CC"/>
            <w:sz w:val="16"/>
            <w:szCs w:val="16"/>
            <w:u w:val="single"/>
          </w:rPr>
          <w:t>https://imumi.org/2023/Un-viaje-de-esperanza-La-Migracion-de-Mujeres-Haitianas-a-Tapachula-Mexico.pdf</w:t>
        </w:r>
      </w:hyperlink>
      <w:r>
        <w:rPr>
          <w:sz w:val="16"/>
          <w:szCs w:val="16"/>
        </w:rPr>
        <w:t xml:space="preserve"> </w:t>
      </w:r>
    </w:p>
  </w:footnote>
  <w:footnote w:id="2">
    <w:p w14:paraId="0F6DAAB5" w14:textId="77777777" w:rsidR="00A83D43" w:rsidRDefault="003A4ABB">
      <w:pPr>
        <w:spacing w:before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Frías, M. (2022). </w:t>
      </w:r>
      <w:r>
        <w:rPr>
          <w:i/>
          <w:sz w:val="16"/>
          <w:szCs w:val="16"/>
        </w:rPr>
        <w:t>La interseccionalidad de la discriminación por razones de raza, etnia y género</w:t>
      </w:r>
      <w:r>
        <w:rPr>
          <w:sz w:val="16"/>
          <w:szCs w:val="16"/>
        </w:rPr>
        <w:t xml:space="preserve">. Cyan, Proyectos Editoriales. </w:t>
      </w:r>
      <w:hyperlink r:id="rId2">
        <w:r>
          <w:rPr>
            <w:color w:val="1155CC"/>
            <w:sz w:val="16"/>
            <w:szCs w:val="16"/>
            <w:u w:val="single"/>
          </w:rPr>
          <w:t>https://www.inclusion.gob.es/oberaxe/ficher</w:t>
        </w:r>
        <w:r>
          <w:rPr>
            <w:color w:val="1155CC"/>
            <w:sz w:val="16"/>
            <w:szCs w:val="16"/>
            <w:u w:val="single"/>
          </w:rPr>
          <w:t>os/documentos/I_Interseccionalidad_ES.pdf</w:t>
        </w:r>
      </w:hyperlink>
      <w:r>
        <w:rPr>
          <w:sz w:val="16"/>
          <w:szCs w:val="16"/>
        </w:rPr>
        <w:t xml:space="preserve"> </w:t>
      </w:r>
    </w:p>
  </w:footnote>
  <w:footnote w:id="3">
    <w:p w14:paraId="7D3AAC3B" w14:textId="77777777" w:rsidR="00A83D43" w:rsidRDefault="003A4ABB">
      <w:pPr>
        <w:spacing w:before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Comisión Interamericana de Derechos Humanos. (2019, febrero 12). </w:t>
      </w:r>
      <w:r>
        <w:rPr>
          <w:i/>
          <w:sz w:val="16"/>
          <w:szCs w:val="16"/>
        </w:rPr>
        <w:t>Compendio sobre la igualdad y no discriminación: Estándares Interamericanos</w:t>
      </w:r>
      <w:r>
        <w:rPr>
          <w:sz w:val="16"/>
          <w:szCs w:val="16"/>
        </w:rPr>
        <w:t>. CIDH. Recuperado en marzo 20, 2024, en</w:t>
      </w:r>
      <w:r>
        <w:rPr>
          <w:color w:val="000000"/>
          <w:sz w:val="16"/>
          <w:szCs w:val="16"/>
        </w:rPr>
        <w:t xml:space="preserve"> </w:t>
      </w:r>
      <w:hyperlink r:id="rId3">
        <w:r>
          <w:rPr>
            <w:color w:val="1155CC"/>
            <w:sz w:val="16"/>
            <w:szCs w:val="16"/>
            <w:u w:val="single"/>
          </w:rPr>
          <w:t>https://www.oas.org/es/cidh/informes/pdfs/Compendio-IgualdadNoDiscriminacion.pdf</w:t>
        </w:r>
      </w:hyperlink>
      <w:r>
        <w:rPr>
          <w:color w:val="000000"/>
          <w:sz w:val="16"/>
          <w:szCs w:val="16"/>
        </w:rPr>
        <w:t xml:space="preserve">, </w:t>
      </w:r>
      <w:r>
        <w:rPr>
          <w:sz w:val="16"/>
          <w:szCs w:val="16"/>
        </w:rPr>
        <w:t xml:space="preserve">Párr. 8 </w:t>
      </w:r>
    </w:p>
  </w:footnote>
  <w:footnote w:id="4">
    <w:p w14:paraId="4EEE4267" w14:textId="77777777" w:rsidR="00A83D43" w:rsidRDefault="003A4ABB">
      <w:pPr>
        <w:spacing w:before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Suprema Corte de Justicia de la Nación. (2021). Protocolo para Juzgar Casos que involucren Pe</w:t>
      </w:r>
      <w:r>
        <w:rPr>
          <w:sz w:val="16"/>
          <w:szCs w:val="16"/>
        </w:rPr>
        <w:t xml:space="preserve">rsonas Migrantes y Sujetas de Protección Internacional. Suprema Corte de Justicia. Recuperado en marzo 12, 2024, de </w:t>
      </w:r>
      <w:hyperlink r:id="rId4">
        <w:r>
          <w:rPr>
            <w:color w:val="1155CC"/>
            <w:sz w:val="16"/>
            <w:szCs w:val="16"/>
            <w:u w:val="single"/>
          </w:rPr>
          <w:t>https://www.scjn.gob.mx/derechos-humanos/sites/default/files/protocolos/archivos/2021-06/Protocolo%20para%20juzgar%20casos%20que%20involucren%20personas%20migrantes.pdf</w:t>
        </w:r>
      </w:hyperlink>
      <w:r>
        <w:rPr>
          <w:sz w:val="16"/>
          <w:szCs w:val="16"/>
        </w:rPr>
        <w:t xml:space="preserve"> </w:t>
      </w:r>
    </w:p>
  </w:footnote>
  <w:footnote w:id="5">
    <w:p w14:paraId="257643B5" w14:textId="77777777" w:rsidR="00A83D43" w:rsidRDefault="003A4ABB">
      <w:pPr>
        <w:spacing w:before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Suárez, X, Díaz, A, Knippen, J y Mey</w:t>
      </w:r>
      <w:r>
        <w:rPr>
          <w:sz w:val="16"/>
          <w:szCs w:val="16"/>
        </w:rPr>
        <w:t xml:space="preserve">er, M. (2017). EL ACCESO A LA JUSTICIA PARA PERSONAS MIGRANTES EN MÉXICO Un derecho que existe sólo en el papel. WOLA. Recuperado en marzo 19 2024 de </w:t>
      </w:r>
      <w:hyperlink r:id="rId5">
        <w:r>
          <w:rPr>
            <w:color w:val="1155CC"/>
            <w:sz w:val="16"/>
            <w:szCs w:val="16"/>
            <w:u w:val="single"/>
          </w:rPr>
          <w:t>EL ACCESO A LA JUSTICIA PARA PERSONAS MIGRANTES EN MÉXICO</w:t>
        </w:r>
      </w:hyperlink>
      <w:r>
        <w:rPr>
          <w:sz w:val="16"/>
          <w:szCs w:val="16"/>
        </w:rPr>
        <w:t xml:space="preserve"> </w:t>
      </w:r>
    </w:p>
  </w:footnote>
  <w:footnote w:id="6">
    <w:p w14:paraId="45104BDF" w14:textId="77777777" w:rsidR="00A83D43" w:rsidRDefault="003A4ABB">
      <w:pPr>
        <w:spacing w:before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Santos Cid, A. (2024, junio 6). Ciudad de México desaloja el campamento migrante de la plaza Giordano Bruno ante las presiones vecinales. </w:t>
      </w:r>
      <w:r>
        <w:rPr>
          <w:i/>
          <w:sz w:val="16"/>
          <w:szCs w:val="16"/>
        </w:rPr>
        <w:t>EL PAÍS</w:t>
      </w:r>
      <w:r>
        <w:rPr>
          <w:sz w:val="16"/>
          <w:szCs w:val="16"/>
        </w:rPr>
        <w:t xml:space="preserve">. </w:t>
      </w:r>
      <w:hyperlink r:id="rId6">
        <w:r>
          <w:rPr>
            <w:color w:val="1155CC"/>
            <w:sz w:val="16"/>
            <w:szCs w:val="16"/>
            <w:u w:val="single"/>
          </w:rPr>
          <w:t>https://elpais.com/mexico/2024-06-06/ciudad-de-mexico-desaloja-el-campamento-migrante-de-la-plaza-giordano-bruno-ante-las-presiones-v</w:t>
        </w:r>
        <w:r>
          <w:rPr>
            <w:color w:val="1155CC"/>
            <w:sz w:val="16"/>
            <w:szCs w:val="16"/>
            <w:u w:val="single"/>
          </w:rPr>
          <w:t>ecinales.html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41F2" w14:textId="77777777" w:rsidR="00A83D43" w:rsidRDefault="003A4ABB">
    <w:pPr>
      <w:spacing w:before="0" w:after="200"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578227" wp14:editId="3028E736">
          <wp:simplePos x="0" y="0"/>
          <wp:positionH relativeFrom="column">
            <wp:posOffset>19051</wp:posOffset>
          </wp:positionH>
          <wp:positionV relativeFrom="paragraph">
            <wp:posOffset>287867</wp:posOffset>
          </wp:positionV>
          <wp:extent cx="5943600" cy="63500"/>
          <wp:effectExtent l="0" t="0" r="0" b="0"/>
          <wp:wrapNone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33D3" w14:textId="77777777" w:rsidR="00A83D43" w:rsidRDefault="003A4ABB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inline distT="114300" distB="114300" distL="114300" distR="114300" wp14:anchorId="2C3AE2AD" wp14:editId="6A16DB71">
          <wp:extent cx="1183217" cy="88741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217" cy="887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5D9D" w14:textId="77777777" w:rsidR="00A83D43" w:rsidRDefault="00A83D4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25D9" w14:textId="77777777" w:rsidR="00A83D43" w:rsidRDefault="003A4ABB">
    <w:pPr>
      <w:jc w:val="center"/>
    </w:pPr>
    <w:r>
      <w:rPr>
        <w:noProof/>
      </w:rPr>
      <w:drawing>
        <wp:inline distT="114300" distB="114300" distL="114300" distR="114300" wp14:anchorId="09ED5AAA" wp14:editId="71BBF2B6">
          <wp:extent cx="1110993" cy="8350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0993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43"/>
    <w:rsid w:val="003A4ABB"/>
    <w:rsid w:val="00A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F5D1CC"/>
  <w15:docId w15:val="{F42E2D4A-FC4C-46D0-AA79-5B38FCA4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s-419" w:eastAsia="en-GB" w:bidi="ar-SA"/>
      </w:rPr>
    </w:rPrDefault>
    <w:pPrDefault>
      <w:pPr>
        <w:spacing w:before="20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as.org/es/cidh/informes/pdfs/Compendio-IgualdadNoDiscriminacion.pdf" TargetMode="External"/><Relationship Id="rId2" Type="http://schemas.openxmlformats.org/officeDocument/2006/relationships/hyperlink" Target="https://www.inclusion.gob.es/oberaxe/ficheros/documentos/I_Interseccionalidad_ES.pdf" TargetMode="External"/><Relationship Id="rId1" Type="http://schemas.openxmlformats.org/officeDocument/2006/relationships/hyperlink" Target="https://imumi.org/2023/Un-viaje-de-esperanza-La-Migracion-de-Mujeres-Haitianas-a-Tapachula-Mexico.pdf" TargetMode="External"/><Relationship Id="rId6" Type="http://schemas.openxmlformats.org/officeDocument/2006/relationships/hyperlink" Target="https://elpais.com/mexico/2024-06-06/ciudad-de-mexico-desaloja-el-campamento-migrante-de-la-plaza-giordano-bruno-ante-las-presiones-vecinales.html" TargetMode="External"/><Relationship Id="rId5" Type="http://schemas.openxmlformats.org/officeDocument/2006/relationships/hyperlink" Target="https://www.wola.org/wp-content/uploads/2017/07/Accesoalajusticia_Versionweb_Julio20172.pdf" TargetMode="External"/><Relationship Id="rId4" Type="http://schemas.openxmlformats.org/officeDocument/2006/relationships/hyperlink" Target="https://www.scjn.gob.mx/derechos-humanos/sites/default/files/protocolos/archivos/2021-06/Protocolo%20para%20juzgar%20casos%20que%20involucren%20personas%20migrant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Year>2012</b:Year>
    <b:SourceType>Book</b:SourceType>
    <b:Title>Intersecciones: cuerpos y sexualidades en la encrucijada : temas contemporáneos</b:Title>
    <b:Publisher>Edicions Bellaterra</b:Publisher>
    <b:Gdcea>{"AccessedType":"Website"}</b:Gdcea>
    <b:Author>
      <b:Author>
        <b:NameList>
          <b:Person>
            <b:First>Kimberlé</b:First>
            <b:Last>Williams Crenshaw</b:Last>
          </b:Person>
        </b:NameList>
      </b:Author>
    </b:Author>
  </b:Source>
  <b:Source>
    <b:Tag>source2</b:Tag>
    <b:DayAccessed>12</b:DayAccessed>
    <b:Year>2023</b:Year>
    <b:SourceType>DocumentFromInternetSite</b:SourceType>
    <b:URL>https://img1.wsimg.com/blobby/go/2162eb29-0e52-4c83-bfc7-3b4e7a757f73/SIMBOLO%20DE%20ODIO%20%20(1).pdf</b:URL>
    <b:Title>Símbolo de odio racistas: monumento a Los Montejo</b:Title>
    <b:InternetSiteTitle>RacismoMX</b:InternetSiteTitle>
    <b:MonthAccessed>marzo</b:MonthAccessed>
    <b:YearAccessed>2024</b:YearAccessed>
    <b:Gdcea>{"CorporateAuthors":["Kanan DDHH"],"AccessedType":"Website"}</b:Gdcea>
    <b:Author>
      <b:Author>
        <b:Corporate>RacismoMX</b:Corporate>
      </b:Author>
    </b:Author>
  </b:Source>
  <b:Source>
    <b:Tag>source3</b:Tag>
    <b:Year>2022</b:Year>
    <b:SourceType>BookSection</b:SourceType>
    <b:URL>https://books.google.es/books?hl=es&amp;lr=&amp;id=Nq5wEAAAQBAJ&amp;oi=fnd&amp;pg=PT274&amp;dq=Definici%C3%B3n+Xenofobia&amp;ots=Ubr6EiMMKo&amp;sig=7KJUMRk_dO89RgdmdwjbyhfC2vM</b:URL>
    <b:Title>Xenofobia en el derecho penal internacional: la anomalía de la discriminación</b:Title>
    <b:BookTitle>El derecho como laboratorio de los saberes: meditaciones sobre la epistemología</b:BookTitle>
    <b:Publisher>Universidad del Rosario</b:Publisher>
    <b:Gdcea>{"AccessedType":"Website"}</b:Gdcea>
    <b:Author>
      <b:Author>
        <b:NameList>
          <b:Person>
            <b:First>María</b:First>
            <b:Middle>Paula</b:Middle>
            <b:Last>López Velázquez</b:Last>
          </b:Person>
        </b:NameList>
      </b:Author>
    </b:Author>
  </b:Source>
  <b:Source>
    <b:Tag>source4</b:Tag>
    <b:Year>2022</b:Year>
    <b:SourceType>Book</b:SourceType>
    <b:URL>https://www.inclusion.gob.es/oberaxe/ficheros/documentos/I_Interseccionalidad_ES.pdf</b:URL>
    <b:Title>La interseccionalidad de la discriminación por razones de raza, etnia y género</b:Title>
    <b:Publisher>Cyan, Proyectos Editoriales</b:Publisher>
    <b:Gdcea>{"AccessedType":"Website"}</b:Gdcea>
    <b:Author>
      <b:Author>
        <b:NameList>
          <b:Person>
            <b:First>María</b:First>
            <b:Last>Frías</b:Last>
          </b:Person>
        </b:NameList>
      </b:Author>
    </b:Author>
  </b:Source>
  <b:Source>
    <b:Tag>source5</b:Tag>
    <b:DayAccessed>12</b:DayAccessed>
    <b:Year>2023</b:Year>
    <b:SourceType>DocumentFromInternetSite</b:SourceType>
    <b:URL>https://www.inegi.org.mx/programas/enadis/2022/</b:URL>
    <b:Title>Encuesta Nacional sobre Discriminación (ENADIS) 2022</b:Title>
    <b:InternetSiteTitle>Inegi</b:InternetSiteTitle>
    <b:MonthAccessed>marzo</b:MonthAccessed>
    <b:YearAccessed>2024</b:YearAccessed>
    <b:Gdcea>{"AccessedType":"Website"}</b:Gdcea>
    <b:Author>
      <b:Author>
        <b:Corporate>Instituto Nacional de Estadística y Geografía</b:Corporate>
      </b:Author>
    </b:Author>
  </b:Source>
  <b:Source>
    <b:Tag>source6</b:Tag>
    <b:Month>febrero</b:Month>
    <b:DayAccessed>12</b:DayAccessed>
    <b:Day>1</b:Day>
    <b:Year>2023</b:Year>
    <b:SourceType>DocumentFromInternetSite</b:SourceType>
    <b:URL>https://robuenosaires.iom.int/sites/g/files/tmzbdl626/files/documents/2023-04/Tendencias-Migratorias-en-las-Americas-ESP-Feb-2023.pdf</b:URL>
    <b:Title>TENDENCIAS MIGRATORIAS EN LAS AMÉRICAS CONTENIDOS FEBRERO 2023</b:Title>
    <b:InternetSiteTitle>OIM</b:InternetSiteTitle>
    <b:MonthAccessed>marzo</b:MonthAccessed>
    <b:YearAccessed>2024</b:YearAccessed>
    <b:Gdcea>{"CorporateAuthors":["Oficina del Enviado Especial para la Respuesta Regional a la situación de Venezuela","Oficina Regional de la OIM en Buenos Aires, Argentina","Oficina Regional de la OIM en San José, Costa Rica."],"AccessedType":"Website"}</b:Gdcea>
    <b:Author>
      <b:Author>
        <b:Corporate>Organización Internacional para las Migraciones</b:Corporate>
      </b:Author>
    </b:Author>
  </b:Source>
  <b:Source>
    <b:Tag>source7</b:Tag>
    <b:DayAccessed>12</b:DayAccessed>
    <b:Year>2021</b:Year>
    <b:SourceType>DocumentFromInternetSite</b:SourceType>
    <b:URL>https://www.scjn.gob.mx/derechos-humanos/sites/default/files/protocolos/archivos/2021-06/Protocolo%20para%20juzgar%20casos%20que%20involucren%20personas%20migrantes.pdf</b:URL>
    <b:Title>Protocolo para Juzgar Casos que involucren Personas Migrantes y Sujetas de Protección Internacional</b:Title>
    <b:InternetSiteTitle>Suprema Corte de Justicia</b:InternetSiteTitle>
    <b:MonthAccessed>marzo</b:MonthAccessed>
    <b:YearAccessed>2024</b:YearAccessed>
    <b:Gdcea>{"AccessedType":"Website"}</b:Gdcea>
    <b:Author>
      <b:Author>
        <b:Corporate>Suprema Corte de Justicia de la Nación</b:Corporate>
      </b:Author>
    </b:Author>
  </b:Source>
  <b:Source>
    <b:Tag>source8</b:Tag>
    <b:Year>2019</b:Year>
    <b:SourceType>Book</b:SourceType>
    <b:URL>https://www.oas.org/es/cidh/informes/pdfs/Compendio-IgualdadNoDiscriminacion.pdf</b:URL>
    <b:Title>Compendio sobre la igualdad y no discriminación. Estándares Interamericanos</b:Title>
    <b:Publisher>CIDH</b:Publisher>
    <b:Gdcea>{"AccessedType":"Website"}</b:Gdcea>
    <b:Author>
      <b:Author>
        <b:Corporate>Comisión Interamericana de Derechos Humanos</b:Corporate>
      </b:Author>
    </b:Author>
  </b:Source>
  <b:Source>
    <b:Tag>source9</b:Tag>
    <b:Month>agosto</b:Month>
    <b:DayAccessed>12</b:DayAccessed>
    <b:Year>2023</b:Year>
    <b:SourceType>Misc</b:SourceType>
    <b:URL>https://hchr.org.mx/wp/wp-content/uploads/2023/10/Boletin-Derechos-Humanos-Migrantes.pdf</b:URL>
    <b:Title>Los derechos humanos de las personas migrantes en México y América Central</b:Title>
    <b:InternetSiteTitle>OACNUDH</b:InternetSiteTitle>
    <b:MonthAccessed>marzo</b:MonthAccessed>
    <b:YearAccessed>2024</b:YearAccessed>
    <b:Gdcea>{"Description":"Boletín","AccessedType":"Website"}</b:Gdcea>
    <b:Author>
      <b:Author>
        <b:Corporate>Oficina del Alto Comisionado de Naciones Unidas para los Derechos Humanos</b:Corporate>
      </b:Author>
    </b:Author>
  </b:Source>
  <b:Source>
    <b:Tag>source10</b:Tag>
    <b:Year>2023</b:Year>
    <b:SourceType>Book</b:SourceType>
    <b:URL>https://womeninmigration.org/wp-content/uploads/2023/08/DialoguesReport-ES-Final2.pdf</b:URL>
    <b:Title>Reflexiones de los Diálogos Interseccionales sobre Migración</b:Title>
    <b:Publisher>Women in Migration Network</b:Publisher>
    <b:Gdcea>{"AccessedType":"Website"}</b:Gdcea>
    <b:Author>
      <b:Author>
        <b:NameList>
          <b:Person>
            <b:First>Paola</b:First>
            <b:Last>Cyment</b:Last>
          </b:Person>
        </b:NameList>
      </b:Author>
      <b:Editor>
        <b:NameList>
          <b:Person>
            <b:First>Carol</b:First>
            <b:Last>Barton</b:Last>
          </b:Person>
          <b:Person>
            <b:First>Catherine</b:First>
            <b:Last>Tactaquin</b:Last>
          </b:Person>
        </b:NameList>
      </b:Editor>
      <b:Translator>
        <b:NameList>
          <b:Person>
            <b:First>Alondra</b:First>
            <b:Last>Carillo Vidal</b:Last>
          </b:Person>
          <b:Person>
            <b:First>Ethel</b:First>
            <b:Last>Odriozola Monzón</b:Last>
          </b:Person>
        </b:NameList>
      </b:Translator>
    </b:Author>
  </b:Source>
  <b:Source>
    <b:Tag>source11</b:Tag>
    <b:Year>2021</b:Year>
    <b:SourceType>Book</b:SourceType>
    <b:URL>https://publications.iom.int/system/files/pdf/Harnessing-Twitter.pdf</b:URL>
    <b:Title>Sentiment towards Migration during COVID-19 What Twitter Data Can Tell Us</b:Title>
    <b:Publisher>OIM</b:Publisher>
    <b:Gdcea>{"AccessedType":"Website"}</b:Gdcea>
    <b:Author>
      <b:Author>
        <b:NameList>
          <b:Person>
            <b:First>Niklas</b:First>
            <b:Last>Sievers</b:Last>
          </b:Person>
          <b:Person>
            <b:First>Marzia</b:First>
            <b:Last>Rango</b:Last>
          </b:Person>
          <b:Person>
            <b:First>Francisco</b:First>
            <b:Last>Rowe</b:Last>
          </b:Person>
          <b:Person>
            <b:First>Michael</b:First>
            <b:Last>Mahony</b:Last>
          </b:Person>
          <b:Person>
            <b:First>Eduardo</b:First>
            <b:Last>Grells</b:Last>
          </b:Person>
        </b:NameList>
      </b:Author>
      <b:Editor>
        <b:NameList>
          <b:Person>
            <b:First>Laarni</b:First>
            <b:Last>Alfaro</b:Last>
          </b:Person>
        </b:NameList>
      </b:Editor>
      <b:Compiler>
        <b:NameList>
          <b:Person>
            <b:First>Marzia</b:First>
            <b:Last>Rango</b:Last>
          </b:Person>
        </b:NameList>
      </b:Compiler>
    </b:Author>
  </b:Source>
  <b:Source>
    <b:Tag>source12</b:Tag>
    <b:Year>2022</b:Year>
    <b:SourceType>Misc</b:SourceType>
    <b:URL>​​https://www.youtube.com/watch?v=IRxG7Rse15w</b:URL>
    <b:Title>Resistencia Migrante</b:Title>
    <b:Medium>YouTube</b:Medium>
    <b:Publisher>Espacio Migrante</b:Publisher>
    <b:Gdcea>{"CorporateExecutiveProducers":["Espacio Migrante"],"AccessedType":"Website","SourceType":"TelevisionEpisode"}</b:Gdcea>
  </b:Source>
  <b:Source>
    <b:Tag>source13</b:Tag>
    <b:Year>2019</b:Year>
    <b:SourceType>Book</b:SourceType>
    <b:URL>https://publications.iom.int/system/files/pdf/iml-34-glossary-es.pdf</b:URL>
    <b:Title>Glosario de la OIM sobre la Migración</b:Title>
    <b:Publisher>OIM</b:Publisher>
    <b:Gdcea>{"AccessedType":"Website"}</b:Gdcea>
    <b:Author>
      <b:Author>
        <b:Corporate>Organización Internacional para las Migraciones</b:Corporate>
      </b:Author>
    </b:Author>
  </b:Source>
  <b:Source>
    <b:Tag>source14</b:Tag>
    <b:Month>octubre</b:Month>
    <b:Day>26</b:Day>
    <b:Year>2022</b:Year>
    <b:SourceType>ArticleInAPeriodical</b:SourceType>
    <b:URL>https://www.eleconomista.com.mx/estados/CDMX-quiere-ser-el-hogar-de-los-nomadas-digitales-con-ayuda-de-Airbnb-20221026-0081.html</b:URL>
    <b:Title>CDMX quiere ser el hogar de los nómadas digitales con ayuda de Airbnb</b:Title>
    <b:PeriodicalTitle>El Economista</b:PeriodicalTitle>
    <b:Gdcea>{"AccessedType":"Website"}</b:Gdcea>
    <b:Author>
      <b:Author>
        <b:NameList>
          <b:Person>
            <b:First>Camila</b:First>
            <b:Last>Ayala</b:Last>
          </b:Person>
        </b:NameList>
      </b:Author>
    </b:Author>
  </b:Source>
  <b:Source>
    <b:Tag>source15</b:Tag>
    <b:Month>January</b:Month>
    <b:Day>19</b:Day>
    <b:Year>2023</b:Year>
    <b:SourceType>ArticleInAPeriodical</b:SourceType>
    <b:URL>https://www.dw.com/es/el-lado-negativo-del-fen%C3%B3meno-de-los-n%C3%B3madas-digitales-en-latinoamerica/a-64452982</b:URL>
    <b:Title>El lado negativo de los nómadas digitales en Latinoamerica – DW – 19/01/2023</b:Title>
    <b:PeriodicalTitle>DW</b:PeriodicalTitle>
    <b:Gdcea>{"AccessedType":"Website"}</b:Gdcea>
    <b:Author>
      <b:Author>
        <b:NameList>
          <b:Person>
            <b:First>Valentina</b:First>
            <b:Last>Obando</b:Last>
          </b:Person>
        </b:NameList>
      </b:Author>
    </b:Author>
  </b:Source>
  <b:Source>
    <b:Tag>source16</b:Tag>
    <b:Month>mayo</b:Month>
    <b:Day>17</b:Day>
    <b:Year>2023</b:Year>
    <b:SourceType>ArticleInAPeriodical</b:SourceType>
    <b:URL>https://animalpolitico.com/sociedad/albergue-migrantes-tlahuac-sobrecupo-sheinbaum</b:URL>
    <b:Title>Albergue de Tláhuac se cerró por sobrecupo, señala Sheinbaum; gobierno evalúa abrir otro si llegan más migrantes a la CDMX</b:Title>
    <b:PeriodicalTitle>Animal Político</b:PeriodicalTitle>
    <b:Gdcea>{"AccessedType":"Website"}</b:Gdcea>
    <b:Author>
      <b:Author>
        <b:NameList>
          <b:Person>
            <b:First>Dalia</b:First>
            <b:Last>Sarabia</b:Last>
          </b:Person>
        </b:NameList>
      </b:Author>
    </b:Author>
  </b:Source>
  <b:Source>
    <b:Tag>source17</b:Tag>
    <b:Year>2021</b:Year>
    <b:SourceType>Book</b:SourceType>
    <b:URL>https://imumi.org/2023/Un-viaje-de-esperanza-La-Migracion-de-Mujeres-Haitianas-a-Tapachula-Mexico.pdf</b:URL>
    <b:Title>Un Viaje de Esperanza: La Migración de Mujeres Haitianas a Tapachula</b:Title>
    <b:Publisher>Center for Gender and Refugee Studies</b:Publisher>
    <b:Gdcea>{"AccessedType":"Website"}</b:Gdcea>
    <b:Author>
      <b:Author>
        <b:NameList>
          <b:Person>
            <b:First>S</b:First>
            <b:Last>Priya Morley</b:Last>
          </b:Person>
          <b:Person>
            <b:First>Blaine</b:First>
            <b:Last>Bookey</b:Last>
          </b:Person>
          <b:Person>
            <b:First>Brynna</b:First>
            <b:Last>Bolt</b:Last>
          </b:Person>
          <b:Person>
            <b:First>Isaac</b:First>
            <b:Last>Bloch</b:Last>
          </b:Person>
        </b:NameList>
      </b:Author>
    </b:Author>
  </b:Source>
  <b:Source>
    <b:Tag>source18</b:Tag>
    <b:Month>mayo</b:Month>
    <b:DayAccessed>15</b:DayAccessed>
    <b:Day>18</b:Day>
    <b:Year>2022</b:Year>
    <b:CountryRegion>Estados Unidos Mexicanos</b:CountryRegion>
    <b:SourceType>Misc</b:SourceType>
    <b:URL>https://www.scjn.gob.mx/sites/default/files/listas/documento_dos/2022-01/AR-275-2019-220106.pdf</b:URL>
    <b:Title>Amparo en Revisión 275/2019</b:Title>
    <b:City>Ciudad de México</b:City>
    <b:InternetSiteTitle>Suprema Corte de Justicia de la Nación</b:InternetSiteTitle>
    <b:MonthAccessed>marzo</b:MonthAccessed>
    <b:YearAccessed>2024</b:YearAccessed>
    <b:Publisher>SCJN</b:Publisher>
    <b:Gdcea>{"Description":"Sentencia del Amparo en Revisión emitido por la Primera Sala de la Suprema Corte de Justicia de la Nación","AccessedType":"Website"}</b:Gdcea>
    <b:Author>
      <b:Author>
        <b:NameList>
          <b:Person>
            <b:First>Ana</b:First>
            <b:Middle>Margarita</b:Middle>
            <b:Last>Ríos Farjat</b:Last>
          </b:Person>
        </b:NameList>
      </b:Author>
    </b:Author>
  </b:Source>
  <b:Source>
    <b:Tag>source19</b:Tag>
    <b:Month>agosto</b:Month>
    <b:DayAccessed>15</b:DayAccessed>
    <b:Day>29</b:Day>
    <b:Year>2019</b:Year>
    <b:SourceType>Misc</b:SourceType>
    <b:URL>https://hchr.org.mx/wp/wp-content/themes/hchr/images/doc_pub/CERD_C_MEX_CO_18-21_36936_S.pdf</b:URL>
    <b:Title>Observaciones finales sobre los informes periódicos 18ᵒ a 21ᵒ combinados de México</b:Title>
    <b:Version>Versión avanzada no editada</b:Version>
    <b:InternetSiteTitle>Oficina del Alto Comisionado de Naciones Unidas para los Derechos Humanos</b:InternetSiteTitle>
    <b:MonthAccessed>marzo</b:MonthAccessed>
    <b:ShortTitle>CERD/C/MEX/CO/18-21</b:ShortTitle>
    <b:YearAccessed>2024</b:YearAccessed>
    <b:Gdcea>{"AccessedType":"Website"}</b:Gdcea>
    <b:Author>
      <b:Author>
        <b:Corporate>Comité para la Eliminación de la Discriminación Racial</b:Corporate>
      </b:Author>
    </b:Author>
  </b:Source>
  <b:Source>
    <b:Tag>source20</b:Tag>
    <b:Month>septiembre</b:Month>
    <b:DayAccessed>20</b:DayAccessed>
    <b:Day>17</b:Day>
    <b:Year>2003</b:Year>
    <b:CountryRegion>Costa Rica</b:CountryRegion>
    <b:SourceType>Misc</b:SourceType>
    <b:URL>https://www.acnur.org/fileadmin/Documentos/BDL/2003/2351.pdf</b:URL>
    <b:Title>Opinión Consultiva OC-18/03</b:Title>
    <b:City>San José</b:City>
    <b:InternetSiteTitle>ACNUR</b:InternetSiteTitle>
    <b:MonthAccessed>marzo</b:MonthAccessed>
    <b:YearAccessed>2024</b:YearAccessed>
    <b:Gdcea>{"Description":"Sobre la condición jurídica y derechos de los migrantes indocumentados","AccessedType":"Website"}</b:Gdcea>
    <b:Author>
      <b:Author>
        <b:Corporate>Corte Interamericana de Derechos Humanos</b:Corporate>
      </b:Author>
    </b:Author>
  </b:Source>
  <b:Source>
    <b:Tag>source21</b:Tag>
    <b:Month>febrero</b:Month>
    <b:DayAccessed>20</b:DayAccessed>
    <b:Day>12</b:Day>
    <b:Year>2019</b:Year>
    <b:CountryRegion>EEUU</b:CountryRegion>
    <b:SourceType>Misc</b:SourceType>
    <b:URL>https://www.oas.org/es/cidh/informes/pdfs/Compendio-IgualdadNoDiscriminacion.pdf</b:URL>
    <b:Title>Compendio sobre la igualdad y no discriminación: Estándares Interamericanos</b:Title>
    <b:City>Washington, D.C.</b:City>
    <b:InternetSiteTitle>CIDH</b:InternetSiteTitle>
    <b:MonthAccessed>marzo</b:MonthAccessed>
    <b:ShortTitle>OEA/Ser.L/V/II.170 Doc. 31.</b:ShortTitle>
    <b:YearAccessed>2024</b:YearAccessed>
    <b:Gdcea>{"AccessedType":"Website"}</b:Gdcea>
    <b:Author>
      <b:Author>
        <b:Corporate>Comisión Interamericana de Derechos Humanos</b:Corporate>
      </b:Author>
    </b:Author>
  </b:Source>
  <b:Source>
    <b:Tag>source22</b:Tag>
    <b:DayAccessed>20</b:DayAccessed>
    <b:Year>2023</b:Year>
    <b:SourceType>Misc</b:SourceType>
    <b:URL>https://publications.iom.int/system/files/pdf/pub2023-086-l-mgi-municipalidad-de-upala-cr-es-v06.pdf</b:URL>
    <b:Title>Indicadores de Gobernanza de la Migración a Nivel Local Perfil 2023 -</b:Title>
    <b:InternetSiteTitle>OIM</b:InternetSiteTitle>
    <b:MonthAccessed>marzo</b:MonthAccessed>
    <b:YearAccessed>2024</b:YearAccessed>
    <b:Gdcea>{"AccessedType":"Website"}</b:Gdcea>
    <b:Author>
      <b:Author>
        <b:Corporate>Organización Internacional para las Migraciones</b:Corporate>
      </b:Author>
    </b:Author>
  </b:Source>
  <b:Source>
    <b:Tag>source23</b:Tag>
    <b:DayAccessed>20</b:DayAccessed>
    <b:Year>2022</b:Year>
    <b:SourceType>Misc</b:SourceType>
    <b:URL>https://img1.wsimg.com/blobby/go/86f2ada1-8037-4dc1-bc3c-dfb4844a64f7/COMOMEVEN.pdf</b:URL>
    <b:Title>Como me ven, me tratan: el perfilamiento racial en la migración</b:Title>
    <b:InternetSiteTitle>Observatorio de Racismo en México y Centroamérica</b:InternetSiteTitle>
    <b:MonthAccessed>marzo</b:MonthAccessed>
    <b:YearAccessed>2024</b:YearAccessed>
    <b:Publisher>Observatorio de Racismo en México y Centroamérica</b:Publisher>
    <b:Gdcea>{"AccessedType":"Website"}</b:Gdcea>
    <b:Author>
      <b:Author>
        <b:NameList>
          <b:Person>
            <b:First>María</b:First>
            <b:Middle>De los Ángeles</b:Middle>
            <b:Last>Cruz Rosel</b:Last>
          </b:Person>
          <b:Person>
            <b:First>Marisol</b:First>
            <b:Last>Aguilar Contreras</b:Last>
          </b:Person>
          <b:Person>
            <b:First>Otto</b:First>
            <b:Middle>Cuauhtémoc</b:Middle>
            <b:Last>Castillo González</b:Last>
          </b:Person>
        </b:NameList>
      </b:Author>
    </b:Author>
  </b:Source>
  <b:Source>
    <b:Tag>source24</b:Tag>
    <b:Issue>42</b:Issue>
    <b:Volume>9</b:Volume>
    <b:Year>2017</b:Year>
    <b:Pages>53-76</b:Pages>
    <b:SourceType>JournalArticle</b:SourceType>
    <b:URL>https://www.redalyc.org/journal/4264/426453128004/html/</b:URL>
    <b:Title>Capacidades, reconocimiento y representación: las contribuciones de Nancy Fraser, Iris Marion Young y Amartya Sen a la teoría de la justicia de John Rawls</b:Title>
    <b:JournalName>Estudios Políticos, UNAM.</b:JournalName>
    <b:Gdcea>{"AccessedType":"Website"}</b:Gdcea>
    <b:Author>
      <b:Author>
        <b:NameList>
          <b:Person>
            <b:First>Jesús</b:First>
            <b:Last>Rivero Casas</b:Last>
          </b:Person>
        </b:NameList>
      </b:Author>
    </b:Author>
  </b:Source>
  <b:Source>
    <b:Tag>source25</b:Tag>
    <b:Year>2023</b:Year>
    <b:SourceType>Film</b:SourceType>
    <b:URL>https://www.ambulante.org/catalogo/el-digno-retorno</b:URL>
    <b:Title>El digno retorno</b:Title>
    <b:Publisher>Ambulante</b:Publisher>
    <b:Gdcea>{"AccessedType":"Website"}</b:Gdcea>
    <b:Author>
      <b:Director>
        <b:NameList>
          <b:Person>
            <b:First>José</b:First>
            <b:Middle>Eduardo</b:Middle>
            <b:Last>Aguilar</b:Last>
          </b:Person>
        </b:NameList>
      </b:Director>
    </b:Author>
  </b:Source>
  <b:Source>
    <b:Tag>source26</b:Tag>
    <b:Month>junio</b:Month>
    <b:Day>6</b:Day>
    <b:Year>2024</b:Year>
    <b:SourceType>ArticleInAPeriodical</b:SourceType>
    <b:URL>https://elpais.com/mexico/2024-06-06/ciudad-de-mexico-desaloja-el-campamento-migrante-de-la-plaza-giordano-bruno-ante-las-presiones-vecinales.html</b:URL>
    <b:Title>Ciudad de México desaloja el campamento migrante de la plaza Giordano Bruno ante las presiones vecinales</b:Title>
    <b:PeriodicalTitle>EL PAÍS</b:PeriodicalTitle>
    <b:Gdcea>{"AccessedType":"Website"}</b:Gdcea>
    <b:Author>
      <b:Author>
        <b:NameList>
          <b:Person>
            <b:First>Alejandro</b:First>
            <b:Last>Santos Cid</b:Last>
          </b:Person>
        </b:NameList>
      </b:Author>
    </b:Autho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lcf76f155ced4ddcb4097134ff3c332f xmlns="d42e65b2-cf21-49c1-b27d-d23f90380c0e">
      <Terms xmlns="http://schemas.microsoft.com/office/infopath/2007/PartnerControls"/>
    </lcf76f155ced4ddcb4097134ff3c332f>
    <Filename xmlns="d42e65b2-cf21-49c1-b27d-d23f90380c0e" xsi:nil="true"/>
    <Doctype xmlns="d42e65b2-cf21-49c1-b27d-d23f90380c0e">input-1</Doctype>
    <TaxCatchAll xmlns="985ec44e-1bab-4c0b-9df0-6ba128686fc9" xsi:nil="true"/>
    <Contributor xmlns="d42e65b2-cf21-49c1-b27d-d23f90380c0e">OBSERVATORIO DE RACISMO INSUMO EN MEXICO Y CENTROAMERICA</Contributor>
  </documentManagement>
</p:properti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7D25D-F516-4D98-95F8-06B58F17DA6E}"/>
</file>

<file path=customXml/itemProps3.xml><?xml version="1.0" encoding="utf-8"?>
<ds:datastoreItem xmlns:ds="http://schemas.openxmlformats.org/officeDocument/2006/customXml" ds:itemID="{569657A5-5DDF-41B3-8DF7-F9BDBBAADB36}"/>
</file>

<file path=customXml/itemProps4.xml><?xml version="1.0" encoding="utf-8"?>
<ds:datastoreItem xmlns:ds="http://schemas.openxmlformats.org/officeDocument/2006/customXml" ds:itemID="{C4CD5FEC-BABE-489C-8355-C704B2E947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OGNIMBA Kellie Shandra</dc:creator>
  <cp:lastModifiedBy>Kellie-Shandra Ognimba</cp:lastModifiedBy>
  <cp:revision>2</cp:revision>
  <dcterms:created xsi:type="dcterms:W3CDTF">2024-07-03T12:24:00Z</dcterms:created>
  <dcterms:modified xsi:type="dcterms:W3CDTF">2024-07-03T12:24:00Z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