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5434C" w14:textId="3C7BCDBD" w:rsidR="05FF20CB" w:rsidRDefault="05FF20CB" w:rsidP="0BC05BEC">
      <w:pPr>
        <w:spacing w:after="0"/>
        <w:jc w:val="center"/>
        <w:rPr>
          <w:rFonts w:ascii="Calibri" w:eastAsia="Calibri" w:hAnsi="Calibri" w:cs="Calibri"/>
          <w:color w:val="000000" w:themeColor="text1"/>
          <w:sz w:val="22"/>
          <w:szCs w:val="22"/>
        </w:rPr>
      </w:pPr>
      <w:r w:rsidRPr="0BC05BEC">
        <w:rPr>
          <w:rFonts w:ascii="Calibri" w:eastAsia="Calibri" w:hAnsi="Calibri" w:cs="Calibri"/>
          <w:color w:val="000000" w:themeColor="text1"/>
          <w:sz w:val="22"/>
          <w:szCs w:val="22"/>
        </w:rPr>
        <w:t>IHRC SUBMISSION TO THE OFFICE OF THE HIGH COMMISSIONER FOR HUMAN RIGHTS</w:t>
      </w:r>
    </w:p>
    <w:p w14:paraId="75784016" w14:textId="25891602" w:rsidR="0BC05BEC" w:rsidRDefault="0BC05BEC" w:rsidP="0BC05BEC">
      <w:pPr>
        <w:spacing w:after="0"/>
        <w:jc w:val="center"/>
        <w:rPr>
          <w:rFonts w:ascii="Calibri" w:eastAsia="Calibri" w:hAnsi="Calibri" w:cs="Calibri"/>
          <w:b/>
          <w:bCs/>
          <w:color w:val="000000" w:themeColor="text1"/>
          <w:sz w:val="22"/>
          <w:szCs w:val="22"/>
          <w:u w:val="single"/>
        </w:rPr>
      </w:pPr>
    </w:p>
    <w:p w14:paraId="4F9DE0EA" w14:textId="402ABEFE" w:rsidR="05FF20CB" w:rsidRDefault="05FF20CB" w:rsidP="0BC05BEC">
      <w:pPr>
        <w:pStyle w:val="ListParagraph"/>
        <w:numPr>
          <w:ilvl w:val="0"/>
          <w:numId w:val="2"/>
        </w:numPr>
        <w:spacing w:after="0"/>
        <w:jc w:val="both"/>
        <w:rPr>
          <w:rFonts w:ascii="Calibri" w:eastAsia="Calibri" w:hAnsi="Calibri" w:cs="Calibri"/>
          <w:b/>
          <w:bCs/>
          <w:color w:val="000000" w:themeColor="text1"/>
          <w:sz w:val="22"/>
          <w:szCs w:val="22"/>
          <w:u w:val="single"/>
        </w:rPr>
      </w:pPr>
      <w:r w:rsidRPr="0BC05BEC">
        <w:rPr>
          <w:rFonts w:ascii="Calibri" w:eastAsia="Calibri" w:hAnsi="Calibri" w:cs="Calibri"/>
          <w:b/>
          <w:bCs/>
          <w:color w:val="000000" w:themeColor="text1"/>
          <w:sz w:val="22"/>
          <w:szCs w:val="22"/>
          <w:u w:val="single"/>
        </w:rPr>
        <w:t>Information concerning the author(s) of the communication:</w:t>
      </w:r>
    </w:p>
    <w:p w14:paraId="6F1D6611" w14:textId="0ED4473E" w:rsidR="05FF20CB" w:rsidRDefault="05FF20CB" w:rsidP="0BC05BEC">
      <w:pPr>
        <w:spacing w:after="0"/>
        <w:ind w:left="360"/>
        <w:rPr>
          <w:rFonts w:ascii="Calibri" w:eastAsia="Calibri" w:hAnsi="Calibri" w:cs="Calibri"/>
          <w:color w:val="000000" w:themeColor="text1"/>
          <w:sz w:val="22"/>
          <w:szCs w:val="22"/>
        </w:rPr>
      </w:pPr>
      <w:r w:rsidRPr="0BC05BEC">
        <w:rPr>
          <w:rFonts w:ascii="Calibri" w:eastAsia="Calibri" w:hAnsi="Calibri" w:cs="Calibri"/>
          <w:color w:val="000000" w:themeColor="text1"/>
          <w:sz w:val="22"/>
          <w:szCs w:val="22"/>
        </w:rPr>
        <w:t>Type: NGO</w:t>
      </w:r>
    </w:p>
    <w:p w14:paraId="1C8FFBFA" w14:textId="0204266E" w:rsidR="05FF20CB" w:rsidRDefault="05FF20CB" w:rsidP="0BC05BEC">
      <w:pPr>
        <w:spacing w:after="0"/>
        <w:ind w:left="360"/>
        <w:rPr>
          <w:rFonts w:ascii="Calibri" w:eastAsia="Calibri" w:hAnsi="Calibri" w:cs="Calibri"/>
          <w:color w:val="000000" w:themeColor="text1"/>
          <w:sz w:val="22"/>
          <w:szCs w:val="22"/>
        </w:rPr>
      </w:pPr>
      <w:r w:rsidRPr="0BC05BEC">
        <w:rPr>
          <w:rFonts w:ascii="Calibri" w:eastAsia="Calibri" w:hAnsi="Calibri" w:cs="Calibri"/>
          <w:color w:val="000000" w:themeColor="text1"/>
          <w:sz w:val="22"/>
          <w:szCs w:val="22"/>
        </w:rPr>
        <w:t>Name: Islamic Human Rights Commission</w:t>
      </w:r>
    </w:p>
    <w:p w14:paraId="70E38B9B" w14:textId="4F071B83" w:rsidR="05FF20CB" w:rsidRDefault="05FF20CB" w:rsidP="0BC05BEC">
      <w:pPr>
        <w:spacing w:after="0"/>
        <w:ind w:left="360"/>
        <w:rPr>
          <w:rFonts w:ascii="Calibri" w:eastAsia="Calibri" w:hAnsi="Calibri" w:cs="Calibri"/>
          <w:color w:val="000000" w:themeColor="text1"/>
          <w:sz w:val="22"/>
          <w:szCs w:val="22"/>
        </w:rPr>
      </w:pPr>
      <w:r w:rsidRPr="0BC05BEC">
        <w:rPr>
          <w:rFonts w:ascii="Calibri" w:eastAsia="Calibri" w:hAnsi="Calibri" w:cs="Calibri"/>
          <w:color w:val="000000" w:themeColor="text1"/>
          <w:sz w:val="22"/>
          <w:szCs w:val="22"/>
        </w:rPr>
        <w:t>Country: UK</w:t>
      </w:r>
    </w:p>
    <w:p w14:paraId="14E50265" w14:textId="0E963682" w:rsidR="05FF20CB" w:rsidRDefault="05FF20CB" w:rsidP="0BC05BEC">
      <w:pPr>
        <w:spacing w:after="0"/>
        <w:ind w:left="360"/>
        <w:rPr>
          <w:rFonts w:ascii="Calibri" w:eastAsia="Calibri" w:hAnsi="Calibri" w:cs="Calibri"/>
          <w:color w:val="000000" w:themeColor="text1"/>
          <w:sz w:val="22"/>
          <w:szCs w:val="22"/>
        </w:rPr>
      </w:pPr>
      <w:r w:rsidRPr="0BC05BEC">
        <w:rPr>
          <w:rFonts w:ascii="Calibri" w:eastAsia="Calibri" w:hAnsi="Calibri" w:cs="Calibri"/>
          <w:color w:val="000000" w:themeColor="text1"/>
          <w:sz w:val="22"/>
          <w:szCs w:val="22"/>
        </w:rPr>
        <w:t xml:space="preserve">Address: </w:t>
      </w:r>
    </w:p>
    <w:p w14:paraId="3EBDF8A1" w14:textId="3DB99ABE" w:rsidR="05FF20CB" w:rsidRDefault="05FF20CB" w:rsidP="0BC05BEC">
      <w:pPr>
        <w:spacing w:after="0"/>
        <w:ind w:left="360"/>
        <w:rPr>
          <w:rFonts w:ascii="Calibri" w:eastAsia="Calibri" w:hAnsi="Calibri" w:cs="Calibri"/>
          <w:color w:val="000000" w:themeColor="text1"/>
          <w:sz w:val="22"/>
          <w:szCs w:val="22"/>
        </w:rPr>
      </w:pPr>
      <w:r w:rsidRPr="0BC05BEC">
        <w:rPr>
          <w:rFonts w:ascii="Calibri" w:eastAsia="Calibri" w:hAnsi="Calibri" w:cs="Calibri"/>
          <w:color w:val="000000" w:themeColor="text1"/>
          <w:sz w:val="22"/>
          <w:szCs w:val="22"/>
        </w:rPr>
        <w:t>Email:</w:t>
      </w:r>
    </w:p>
    <w:p w14:paraId="492145D2" w14:textId="108A3209" w:rsidR="05FF20CB" w:rsidRDefault="05FF20CB" w:rsidP="0BC05BEC">
      <w:pPr>
        <w:spacing w:after="0"/>
        <w:ind w:left="360"/>
        <w:rPr>
          <w:rFonts w:ascii="Calibri" w:eastAsia="Calibri" w:hAnsi="Calibri" w:cs="Calibri"/>
          <w:color w:val="000000" w:themeColor="text1"/>
          <w:sz w:val="22"/>
          <w:szCs w:val="22"/>
        </w:rPr>
      </w:pPr>
      <w:r w:rsidRPr="0BC05BEC">
        <w:rPr>
          <w:rFonts w:ascii="Calibri" w:eastAsia="Calibri" w:hAnsi="Calibri" w:cs="Calibri"/>
          <w:color w:val="000000" w:themeColor="text1"/>
          <w:sz w:val="22"/>
          <w:szCs w:val="22"/>
        </w:rPr>
        <w:t>Website:</w:t>
      </w:r>
    </w:p>
    <w:p w14:paraId="6B9FA65B" w14:textId="1D18CA1A" w:rsidR="05FF20CB" w:rsidRDefault="05FF20CB" w:rsidP="0BC05BEC">
      <w:pPr>
        <w:spacing w:after="0"/>
        <w:ind w:left="360"/>
        <w:rPr>
          <w:rFonts w:ascii="Calibri" w:eastAsia="Calibri" w:hAnsi="Calibri" w:cs="Calibri"/>
          <w:color w:val="000000" w:themeColor="text1"/>
          <w:sz w:val="22"/>
          <w:szCs w:val="22"/>
        </w:rPr>
      </w:pPr>
      <w:r w:rsidRPr="0BC05BEC">
        <w:rPr>
          <w:rFonts w:ascii="Calibri" w:eastAsia="Calibri" w:hAnsi="Calibri" w:cs="Calibri"/>
          <w:color w:val="000000" w:themeColor="text1"/>
          <w:sz w:val="22"/>
          <w:szCs w:val="22"/>
        </w:rPr>
        <w:t>Contact’s Officer</w:t>
      </w:r>
    </w:p>
    <w:p w14:paraId="6286906E" w14:textId="1D72988F" w:rsidR="05FF20CB" w:rsidRDefault="05FF20CB" w:rsidP="0BC05BEC">
      <w:pPr>
        <w:pStyle w:val="ListParagraph"/>
        <w:numPr>
          <w:ilvl w:val="0"/>
          <w:numId w:val="2"/>
        </w:numPr>
        <w:spacing w:after="0"/>
        <w:jc w:val="both"/>
        <w:rPr>
          <w:rFonts w:ascii="Calibri" w:eastAsia="Calibri" w:hAnsi="Calibri" w:cs="Calibri"/>
          <w:b/>
          <w:bCs/>
          <w:color w:val="000000" w:themeColor="text1"/>
          <w:sz w:val="22"/>
          <w:szCs w:val="22"/>
          <w:u w:val="single"/>
        </w:rPr>
      </w:pPr>
      <w:r w:rsidRPr="0BC05BEC">
        <w:rPr>
          <w:rFonts w:ascii="Calibri" w:eastAsia="Calibri" w:hAnsi="Calibri" w:cs="Calibri"/>
          <w:b/>
          <w:bCs/>
          <w:color w:val="000000" w:themeColor="text1"/>
          <w:sz w:val="22"/>
          <w:szCs w:val="22"/>
          <w:u w:val="single"/>
        </w:rPr>
        <w:t xml:space="preserve"> Information concerning the Communication </w:t>
      </w:r>
    </w:p>
    <w:p w14:paraId="1810EF36" w14:textId="4B05D00D" w:rsidR="05FF20CB" w:rsidRDefault="05FF20CB" w:rsidP="0BC05BEC">
      <w:pPr>
        <w:spacing w:after="0"/>
        <w:jc w:val="both"/>
        <w:rPr>
          <w:rFonts w:ascii="Calibri" w:eastAsia="Calibri" w:hAnsi="Calibri" w:cs="Calibri"/>
          <w:color w:val="000000" w:themeColor="text1"/>
          <w:sz w:val="22"/>
          <w:szCs w:val="22"/>
        </w:rPr>
      </w:pPr>
      <w:r w:rsidRPr="0BC05BEC">
        <w:rPr>
          <w:rFonts w:ascii="Calibri" w:eastAsia="Calibri" w:hAnsi="Calibri" w:cs="Calibri"/>
          <w:color w:val="000000" w:themeColor="text1"/>
          <w:sz w:val="22"/>
          <w:szCs w:val="22"/>
        </w:rPr>
        <w:t>Type of Communication:  Call for input for the preparation of the report of the UN Secretary-General pursuant to the UN General Assembly resolution A/RES/78/234 “A global call for concrete action for the elimination of racism, racial discrimination, xenophobia and related intolerance and the comprehensive implementation of and follow-up to the Durban Declaration and Programme of Action”, to be presented to the seventy-ninth session of the UN General Assembly.</w:t>
      </w:r>
    </w:p>
    <w:p w14:paraId="0C502A1F" w14:textId="397ED010" w:rsidR="05FF20CB" w:rsidRDefault="05FF20CB" w:rsidP="0BC05BEC">
      <w:pPr>
        <w:pStyle w:val="ListParagraph"/>
        <w:numPr>
          <w:ilvl w:val="0"/>
          <w:numId w:val="2"/>
        </w:numPr>
        <w:spacing w:after="0"/>
        <w:jc w:val="both"/>
        <w:rPr>
          <w:rFonts w:ascii="Calibri" w:eastAsia="Calibri" w:hAnsi="Calibri" w:cs="Calibri"/>
          <w:b/>
          <w:bCs/>
          <w:color w:val="000000" w:themeColor="text1"/>
          <w:sz w:val="22"/>
          <w:szCs w:val="22"/>
          <w:u w:val="single"/>
        </w:rPr>
      </w:pPr>
      <w:r w:rsidRPr="0BC05BEC">
        <w:rPr>
          <w:rFonts w:ascii="Calibri" w:eastAsia="Calibri" w:hAnsi="Calibri" w:cs="Calibri"/>
          <w:b/>
          <w:bCs/>
          <w:color w:val="000000" w:themeColor="text1"/>
          <w:sz w:val="22"/>
          <w:szCs w:val="22"/>
          <w:u w:val="single"/>
        </w:rPr>
        <w:t xml:space="preserve">Information on the State concerned </w:t>
      </w:r>
    </w:p>
    <w:p w14:paraId="035C15B5" w14:textId="5E641FB3" w:rsidR="05FF20CB" w:rsidRDefault="05FF20CB" w:rsidP="0BC05BEC">
      <w:pPr>
        <w:spacing w:after="0"/>
        <w:ind w:left="360"/>
        <w:jc w:val="both"/>
        <w:rPr>
          <w:rFonts w:ascii="Calibri" w:eastAsia="Calibri" w:hAnsi="Calibri" w:cs="Calibri"/>
          <w:color w:val="000000" w:themeColor="text1"/>
          <w:sz w:val="22"/>
          <w:szCs w:val="22"/>
        </w:rPr>
      </w:pPr>
      <w:r w:rsidRPr="0BC05BEC">
        <w:rPr>
          <w:rFonts w:ascii="Calibri" w:eastAsia="Calibri" w:hAnsi="Calibri" w:cs="Calibri"/>
          <w:color w:val="000000" w:themeColor="text1"/>
          <w:sz w:val="22"/>
          <w:szCs w:val="22"/>
        </w:rPr>
        <w:t>United Kingdom; France; Germany</w:t>
      </w:r>
    </w:p>
    <w:p w14:paraId="294183DD" w14:textId="0D9C7048" w:rsidR="05FF20CB" w:rsidRDefault="05FF20CB" w:rsidP="0BC05BEC">
      <w:pPr>
        <w:pStyle w:val="ListParagraph"/>
        <w:numPr>
          <w:ilvl w:val="0"/>
          <w:numId w:val="2"/>
        </w:numPr>
        <w:spacing w:after="0"/>
        <w:jc w:val="both"/>
        <w:rPr>
          <w:rFonts w:ascii="Calibri" w:eastAsia="Calibri" w:hAnsi="Calibri" w:cs="Calibri"/>
          <w:b/>
          <w:bCs/>
          <w:color w:val="000000" w:themeColor="text1"/>
          <w:sz w:val="22"/>
          <w:szCs w:val="22"/>
        </w:rPr>
      </w:pPr>
      <w:r w:rsidRPr="0BC05BEC">
        <w:rPr>
          <w:rFonts w:ascii="Calibri" w:eastAsia="Calibri" w:hAnsi="Calibri" w:cs="Calibri"/>
          <w:b/>
          <w:bCs/>
          <w:color w:val="000000" w:themeColor="text1"/>
          <w:sz w:val="22"/>
          <w:szCs w:val="22"/>
        </w:rPr>
        <w:t>Time covered:</w:t>
      </w:r>
    </w:p>
    <w:p w14:paraId="5EAB0D2F" w14:textId="637A7BC9" w:rsidR="05FF20CB" w:rsidRDefault="05FF20CB" w:rsidP="0BC05BEC">
      <w:pPr>
        <w:spacing w:after="0"/>
        <w:ind w:left="360"/>
        <w:jc w:val="both"/>
        <w:rPr>
          <w:rFonts w:ascii="Calibri" w:eastAsia="Calibri" w:hAnsi="Calibri" w:cs="Calibri"/>
          <w:color w:val="000000" w:themeColor="text1"/>
          <w:sz w:val="22"/>
          <w:szCs w:val="22"/>
        </w:rPr>
      </w:pPr>
      <w:r w:rsidRPr="00BA7B88">
        <w:rPr>
          <w:rFonts w:ascii="Calibri" w:eastAsia="Calibri" w:hAnsi="Calibri" w:cs="Calibri"/>
          <w:color w:val="000000" w:themeColor="text1"/>
          <w:sz w:val="22"/>
          <w:szCs w:val="22"/>
        </w:rPr>
        <w:t>October 2023-June2024</w:t>
      </w:r>
    </w:p>
    <w:p w14:paraId="2AD3C9CA" w14:textId="619F1CF8" w:rsidR="05FF20CB" w:rsidRDefault="05FF20CB" w:rsidP="0BC05BEC">
      <w:pPr>
        <w:pStyle w:val="ListParagraph"/>
        <w:numPr>
          <w:ilvl w:val="0"/>
          <w:numId w:val="2"/>
        </w:numPr>
        <w:spacing w:after="0"/>
        <w:jc w:val="both"/>
        <w:rPr>
          <w:rFonts w:ascii="Calibri" w:eastAsia="Calibri" w:hAnsi="Calibri" w:cs="Calibri"/>
          <w:b/>
          <w:bCs/>
          <w:color w:val="000000" w:themeColor="text1"/>
          <w:sz w:val="22"/>
          <w:szCs w:val="22"/>
          <w:u w:val="single"/>
        </w:rPr>
      </w:pPr>
      <w:r w:rsidRPr="0BC05BEC">
        <w:rPr>
          <w:rFonts w:ascii="Calibri" w:eastAsia="Calibri" w:hAnsi="Calibri" w:cs="Calibri"/>
          <w:b/>
          <w:bCs/>
          <w:color w:val="000000" w:themeColor="text1"/>
          <w:sz w:val="22"/>
          <w:szCs w:val="22"/>
          <w:u w:val="single"/>
        </w:rPr>
        <w:t>Facts of the complaint</w:t>
      </w:r>
    </w:p>
    <w:p w14:paraId="068E6E4D" w14:textId="1F893913" w:rsidR="473077FB" w:rsidRDefault="473077FB" w:rsidP="0BC05BEC">
      <w:pPr>
        <w:spacing w:after="0"/>
        <w:jc w:val="both"/>
        <w:rPr>
          <w:rFonts w:ascii="Calibri" w:eastAsia="Calibri" w:hAnsi="Calibri" w:cs="Calibri"/>
          <w:i/>
          <w:iCs/>
          <w:color w:val="000000" w:themeColor="text1"/>
          <w:sz w:val="22"/>
          <w:szCs w:val="22"/>
        </w:rPr>
      </w:pPr>
      <w:r w:rsidRPr="0BC05BEC">
        <w:rPr>
          <w:rFonts w:ascii="Calibri" w:eastAsia="Calibri" w:hAnsi="Calibri" w:cs="Calibri"/>
          <w:i/>
          <w:iCs/>
          <w:color w:val="000000" w:themeColor="text1"/>
          <w:sz w:val="22"/>
          <w:szCs w:val="22"/>
        </w:rPr>
        <w:t>IHRC Statement</w:t>
      </w:r>
    </w:p>
    <w:p w14:paraId="2141C3AB" w14:textId="1E0CB7A7" w:rsidR="05FF20CB" w:rsidRDefault="05FF20CB" w:rsidP="0BC05BEC">
      <w:pPr>
        <w:spacing w:after="0"/>
        <w:jc w:val="both"/>
        <w:rPr>
          <w:rFonts w:ascii="Calibri" w:eastAsia="Calibri" w:hAnsi="Calibri" w:cs="Calibri"/>
          <w:color w:val="000000" w:themeColor="text1"/>
          <w:sz w:val="22"/>
          <w:szCs w:val="22"/>
        </w:rPr>
      </w:pPr>
      <w:r w:rsidRPr="0BC05BEC">
        <w:rPr>
          <w:rFonts w:ascii="Calibri" w:eastAsia="Calibri" w:hAnsi="Calibri" w:cs="Calibri"/>
          <w:color w:val="000000" w:themeColor="text1"/>
          <w:sz w:val="22"/>
          <w:szCs w:val="22"/>
        </w:rPr>
        <w:t>Since the escalation of hostilities between Palestine and Israel on the 7</w:t>
      </w:r>
      <w:r w:rsidRPr="0BC05BEC">
        <w:rPr>
          <w:rFonts w:ascii="Calibri" w:eastAsia="Calibri" w:hAnsi="Calibri" w:cs="Calibri"/>
          <w:color w:val="000000" w:themeColor="text1"/>
          <w:sz w:val="22"/>
          <w:szCs w:val="22"/>
          <w:vertAlign w:val="superscript"/>
        </w:rPr>
        <w:t>th</w:t>
      </w:r>
      <w:r w:rsidRPr="0BC05BEC">
        <w:rPr>
          <w:rFonts w:ascii="Calibri" w:eastAsia="Calibri" w:hAnsi="Calibri" w:cs="Calibri"/>
          <w:color w:val="000000" w:themeColor="text1"/>
          <w:sz w:val="22"/>
          <w:szCs w:val="22"/>
        </w:rPr>
        <w:t xml:space="preserve"> of October 2023, IHRC believes that the governments of United Kingdom, France and Germany have reached an alarming level of repression against </w:t>
      </w:r>
      <w:r w:rsidR="0627B994" w:rsidRPr="0BC05BEC">
        <w:rPr>
          <w:rFonts w:ascii="Calibri" w:eastAsia="Calibri" w:hAnsi="Calibri" w:cs="Calibri"/>
          <w:color w:val="000000" w:themeColor="text1"/>
          <w:sz w:val="22"/>
          <w:szCs w:val="22"/>
        </w:rPr>
        <w:t>the Pro-Palestine movement.</w:t>
      </w:r>
      <w:r w:rsidRPr="0BC05BEC">
        <w:rPr>
          <w:rFonts w:ascii="Calibri" w:eastAsia="Calibri" w:hAnsi="Calibri" w:cs="Calibri"/>
          <w:color w:val="000000" w:themeColor="text1"/>
          <w:sz w:val="22"/>
          <w:szCs w:val="22"/>
        </w:rPr>
        <w:t xml:space="preserve"> Although the distinction is self-evident and well documented, the conflation of anti-Semitism and anti-Zionism by states is clearly dangerous and malicious, with serious implications for a more toxic environment of hate, a stronger polarization of public opinion, and the resulting criminalization of dissenting views and the impairment of citizenry’s political membership. </w:t>
      </w:r>
      <w:r w:rsidR="33DB5D01" w:rsidRPr="0BC05BEC">
        <w:rPr>
          <w:rFonts w:ascii="Calibri" w:eastAsia="Calibri" w:hAnsi="Calibri" w:cs="Calibri"/>
          <w:color w:val="000000" w:themeColor="text1"/>
          <w:sz w:val="22"/>
          <w:szCs w:val="22"/>
        </w:rPr>
        <w:t xml:space="preserve">By advancing the war on terror with a ‘clash of civilisations’ narrative”, all the European countries make use of the same rhetorical device of labelling legitimate criticism as anti-Semitic, with the dangerous effect of conflating critical discourse with hate speech while neglecting the real and pressing issues of rising anti-Semitism and Islamophobia across the region. Undoubtedly, singling out the Muslim community with threats of deportation and criminalisation in a context where antisemitism is very often conflated with legitimate criticism of Israel, creates a climate of fear which is not conducive to freedom of expression. In this regard, the Special Rapporteur on freedom of religion or belief has reported that “collective blame cast on Muslims for terrorist acts […] have fuelled acts of discrimination, hostility and violence against Muslim individuals and communities”. (Human Rights Council, 46th session, 2021) Nevertheless, similar episodes have occurred in Germany; the German Vice Chancellor Robert </w:t>
      </w:r>
      <w:proofErr w:type="spellStart"/>
      <w:r w:rsidR="33DB5D01" w:rsidRPr="0BC05BEC">
        <w:rPr>
          <w:rFonts w:ascii="Calibri" w:eastAsia="Calibri" w:hAnsi="Calibri" w:cs="Calibri"/>
          <w:color w:val="000000" w:themeColor="text1"/>
          <w:sz w:val="22"/>
          <w:szCs w:val="22"/>
        </w:rPr>
        <w:t>Habeck</w:t>
      </w:r>
      <w:proofErr w:type="spellEnd"/>
      <w:r w:rsidR="33DB5D01" w:rsidRPr="0BC05BEC">
        <w:rPr>
          <w:rFonts w:ascii="Calibri" w:eastAsia="Calibri" w:hAnsi="Calibri" w:cs="Calibri"/>
          <w:color w:val="000000" w:themeColor="text1"/>
          <w:sz w:val="22"/>
          <w:szCs w:val="22"/>
        </w:rPr>
        <w:t xml:space="preserve"> </w:t>
      </w:r>
      <w:hyperlink r:id="rId8">
        <w:r w:rsidR="33DB5D01" w:rsidRPr="0BC05BEC">
          <w:rPr>
            <w:rStyle w:val="Hyperlink"/>
            <w:rFonts w:ascii="Calibri" w:eastAsia="Calibri" w:hAnsi="Calibri" w:cs="Calibri"/>
            <w:sz w:val="22"/>
            <w:szCs w:val="22"/>
          </w:rPr>
          <w:t>has singled out</w:t>
        </w:r>
      </w:hyperlink>
      <w:r w:rsidR="33DB5D01" w:rsidRPr="0BC05BEC">
        <w:rPr>
          <w:rFonts w:ascii="Calibri" w:eastAsia="Calibri" w:hAnsi="Calibri" w:cs="Calibri"/>
          <w:color w:val="000000" w:themeColor="text1"/>
          <w:sz w:val="22"/>
          <w:szCs w:val="22"/>
        </w:rPr>
        <w:t xml:space="preserve"> Muslim associations to “clearly distance themselves from antisemitism so as not to undermine their own right to tolerance”. Equally, the German President Frank-Walter Steinmeier </w:t>
      </w:r>
      <w:hyperlink r:id="rId9" w:anchor=":~:text=German%20President%20Frank%2DWalter%20Steinmeier%20says%20Germans%20of%20Arab%20and,the%20country%20have%20triggered%20controversy">
        <w:r w:rsidR="33DB5D01" w:rsidRPr="0BC05BEC">
          <w:rPr>
            <w:rStyle w:val="Hyperlink"/>
            <w:rFonts w:ascii="Calibri" w:eastAsia="Calibri" w:hAnsi="Calibri" w:cs="Calibri"/>
            <w:sz w:val="22"/>
            <w:szCs w:val="22"/>
          </w:rPr>
          <w:t>called</w:t>
        </w:r>
      </w:hyperlink>
      <w:r w:rsidR="33DB5D01" w:rsidRPr="0BC05BEC">
        <w:rPr>
          <w:rFonts w:ascii="Calibri" w:eastAsia="Calibri" w:hAnsi="Calibri" w:cs="Calibri"/>
          <w:color w:val="000000" w:themeColor="text1"/>
          <w:sz w:val="22"/>
          <w:szCs w:val="22"/>
        </w:rPr>
        <w:t xml:space="preserve"> on Germans of Arab and Palestinian descent to take steps to distance themselves from anti-Semitism and the </w:t>
      </w:r>
      <w:r w:rsidR="33DB5D01" w:rsidRPr="0BC05BEC">
        <w:rPr>
          <w:rFonts w:ascii="Calibri" w:eastAsia="Calibri" w:hAnsi="Calibri" w:cs="Calibri"/>
          <w:color w:val="000000" w:themeColor="text1"/>
          <w:sz w:val="22"/>
          <w:szCs w:val="22"/>
        </w:rPr>
        <w:lastRenderedPageBreak/>
        <w:t>Palestinian political group Hamas. The lack of an international definition of terrorism, and a precise understanding of what constitutes “support” for it, may pose problems for any bans, as will also the lack of any agreement on what constitutes legitimate criticism of Israel’s human rights record and what constitutes genuine hate speech.</w:t>
      </w:r>
    </w:p>
    <w:p w14:paraId="7E466940" w14:textId="0C60339B" w:rsidR="0BC05BEC" w:rsidRDefault="0BC05BEC" w:rsidP="0BC05BEC">
      <w:pPr>
        <w:spacing w:after="0"/>
        <w:jc w:val="both"/>
        <w:rPr>
          <w:rFonts w:ascii="Calibri" w:eastAsia="Calibri" w:hAnsi="Calibri" w:cs="Calibri"/>
          <w:b/>
          <w:bCs/>
          <w:color w:val="000000" w:themeColor="text1"/>
          <w:sz w:val="22"/>
          <w:szCs w:val="22"/>
        </w:rPr>
      </w:pPr>
    </w:p>
    <w:p w14:paraId="626390B5" w14:textId="01FDBA9B" w:rsidR="05FF20CB" w:rsidRDefault="05FF20CB" w:rsidP="0BC05BEC">
      <w:pPr>
        <w:spacing w:after="0"/>
        <w:jc w:val="both"/>
        <w:rPr>
          <w:rFonts w:ascii="Calibri" w:eastAsia="Calibri" w:hAnsi="Calibri" w:cs="Calibri"/>
          <w:b/>
          <w:bCs/>
          <w:color w:val="000000" w:themeColor="text1"/>
          <w:sz w:val="22"/>
          <w:szCs w:val="22"/>
        </w:rPr>
      </w:pPr>
      <w:r w:rsidRPr="0BC05BEC">
        <w:rPr>
          <w:rFonts w:ascii="Calibri" w:eastAsia="Calibri" w:hAnsi="Calibri" w:cs="Calibri"/>
          <w:b/>
          <w:bCs/>
          <w:color w:val="000000" w:themeColor="text1"/>
          <w:sz w:val="22"/>
          <w:szCs w:val="22"/>
        </w:rPr>
        <w:t xml:space="preserve">Fact of complaint: </w:t>
      </w:r>
    </w:p>
    <w:p w14:paraId="14F4DD6D" w14:textId="5944C5ED" w:rsidR="454B266B" w:rsidRDefault="454B266B" w:rsidP="0BC05BEC">
      <w:pPr>
        <w:spacing w:after="0"/>
        <w:jc w:val="both"/>
        <w:rPr>
          <w:rFonts w:ascii="Calibri" w:eastAsia="Calibri" w:hAnsi="Calibri" w:cs="Calibri"/>
          <w:color w:val="000000" w:themeColor="text1"/>
          <w:sz w:val="22"/>
          <w:szCs w:val="22"/>
        </w:rPr>
      </w:pPr>
      <w:r w:rsidRPr="0BC05BEC">
        <w:rPr>
          <w:rFonts w:ascii="Calibri" w:eastAsia="Calibri" w:hAnsi="Calibri" w:cs="Calibri"/>
          <w:color w:val="000000" w:themeColor="text1"/>
          <w:sz w:val="22"/>
          <w:szCs w:val="22"/>
        </w:rPr>
        <w:t xml:space="preserve">In responding to </w:t>
      </w:r>
      <w:r w:rsidRPr="0BC05BEC">
        <w:rPr>
          <w:rFonts w:ascii="Calibri" w:eastAsia="Calibri" w:hAnsi="Calibri" w:cs="Calibri"/>
          <w:i/>
          <w:iCs/>
          <w:color w:val="000000" w:themeColor="text1"/>
          <w:sz w:val="22"/>
          <w:szCs w:val="22"/>
        </w:rPr>
        <w:t>preambular paragraph 6, see in detail:</w:t>
      </w:r>
    </w:p>
    <w:p w14:paraId="5AD1AF86" w14:textId="794E2325" w:rsidR="454B266B" w:rsidRDefault="00B672EE" w:rsidP="005B1BE7">
      <w:pPr>
        <w:pStyle w:val="ListParagraph"/>
        <w:numPr>
          <w:ilvl w:val="1"/>
          <w:numId w:val="3"/>
        </w:numPr>
        <w:spacing w:after="0"/>
        <w:rPr>
          <w:rFonts w:ascii="Calibri" w:eastAsia="Calibri" w:hAnsi="Calibri" w:cs="Calibri"/>
          <w:sz w:val="22"/>
          <w:szCs w:val="22"/>
        </w:rPr>
      </w:pPr>
      <w:hyperlink r:id="rId10" w:history="1">
        <w:r w:rsidR="454B266B" w:rsidRPr="00BA7B88">
          <w:rPr>
            <w:rStyle w:val="Hyperlink"/>
            <w:rFonts w:ascii="Calibri" w:eastAsia="Calibri" w:hAnsi="Calibri" w:cs="Calibri"/>
            <w:sz w:val="22"/>
            <w:szCs w:val="22"/>
          </w:rPr>
          <w:t>Attachment 1</w:t>
        </w:r>
      </w:hyperlink>
    </w:p>
    <w:p w14:paraId="33E9C67A" w14:textId="2CAEC559" w:rsidR="454B266B" w:rsidRDefault="454B266B" w:rsidP="0BC05BEC">
      <w:pPr>
        <w:spacing w:after="0"/>
        <w:jc w:val="both"/>
        <w:rPr>
          <w:rFonts w:ascii="Calibri" w:eastAsia="Calibri" w:hAnsi="Calibri" w:cs="Calibri"/>
          <w:i/>
          <w:iCs/>
          <w:color w:val="000000" w:themeColor="text1"/>
          <w:sz w:val="22"/>
          <w:szCs w:val="22"/>
        </w:rPr>
      </w:pPr>
      <w:r w:rsidRPr="0BC05BEC">
        <w:rPr>
          <w:rFonts w:ascii="Calibri" w:eastAsia="Calibri" w:hAnsi="Calibri" w:cs="Calibri"/>
          <w:i/>
          <w:iCs/>
          <w:color w:val="000000" w:themeColor="text1"/>
          <w:sz w:val="22"/>
          <w:szCs w:val="22"/>
        </w:rPr>
        <w:t>In responding to paragraph 26, see in detail</w:t>
      </w:r>
    </w:p>
    <w:p w14:paraId="4896C2C6" w14:textId="34CDB8B4" w:rsidR="454B266B" w:rsidRDefault="00B672EE" w:rsidP="005B1BE7">
      <w:pPr>
        <w:pStyle w:val="ListParagraph"/>
        <w:numPr>
          <w:ilvl w:val="1"/>
          <w:numId w:val="4"/>
        </w:numPr>
        <w:spacing w:after="0"/>
        <w:jc w:val="both"/>
        <w:rPr>
          <w:rFonts w:ascii="Calibri" w:eastAsia="Calibri" w:hAnsi="Calibri" w:cs="Calibri"/>
          <w:color w:val="000000" w:themeColor="text1"/>
          <w:sz w:val="22"/>
          <w:szCs w:val="22"/>
        </w:rPr>
      </w:pPr>
      <w:hyperlink r:id="rId11" w:history="1">
        <w:r w:rsidR="454B266B" w:rsidRPr="00BA7B88">
          <w:rPr>
            <w:rStyle w:val="Hyperlink"/>
            <w:rFonts w:ascii="Calibri" w:eastAsia="Calibri" w:hAnsi="Calibri" w:cs="Calibri"/>
            <w:sz w:val="22"/>
            <w:szCs w:val="22"/>
          </w:rPr>
          <w:t>Attachment 2</w:t>
        </w:r>
      </w:hyperlink>
    </w:p>
    <w:p w14:paraId="0240672B" w14:textId="63372AF8" w:rsidR="0BAC823B" w:rsidRDefault="0BAC823B" w:rsidP="0BC05BEC">
      <w:pPr>
        <w:spacing w:after="0"/>
        <w:rPr>
          <w:rFonts w:ascii="Calibri" w:eastAsia="Calibri" w:hAnsi="Calibri" w:cs="Calibri"/>
          <w:b/>
          <w:bCs/>
          <w:sz w:val="22"/>
          <w:szCs w:val="22"/>
        </w:rPr>
      </w:pPr>
      <w:r w:rsidRPr="0BC05BEC">
        <w:rPr>
          <w:rFonts w:ascii="Calibri" w:eastAsia="Calibri" w:hAnsi="Calibri" w:cs="Calibri"/>
          <w:b/>
          <w:bCs/>
          <w:sz w:val="22"/>
          <w:szCs w:val="22"/>
        </w:rPr>
        <w:t>Policy Recommendations</w:t>
      </w:r>
    </w:p>
    <w:p w14:paraId="15E6604A" w14:textId="0F19D6D6" w:rsidR="085340F5" w:rsidRDefault="085340F5" w:rsidP="0BC05BEC">
      <w:pPr>
        <w:spacing w:after="0"/>
        <w:jc w:val="both"/>
        <w:rPr>
          <w:rFonts w:ascii="Calibri" w:eastAsia="Calibri" w:hAnsi="Calibri" w:cs="Calibri"/>
          <w:sz w:val="22"/>
          <w:szCs w:val="22"/>
        </w:rPr>
      </w:pPr>
      <w:r w:rsidRPr="0BC05BEC">
        <w:rPr>
          <w:rFonts w:ascii="Calibri" w:eastAsia="Calibri" w:hAnsi="Calibri" w:cs="Calibri"/>
          <w:sz w:val="22"/>
          <w:szCs w:val="22"/>
        </w:rPr>
        <w:t>The UN should call on the national authorities of the states of German, France, UK:</w:t>
      </w:r>
    </w:p>
    <w:p w14:paraId="24373F9B" w14:textId="56B75DB1" w:rsidR="085340F5" w:rsidRDefault="085340F5" w:rsidP="0BC05BEC">
      <w:pPr>
        <w:pStyle w:val="ListParagraph"/>
        <w:numPr>
          <w:ilvl w:val="0"/>
          <w:numId w:val="1"/>
        </w:numPr>
        <w:spacing w:after="0"/>
        <w:jc w:val="both"/>
        <w:rPr>
          <w:rFonts w:ascii="Calibri" w:eastAsia="Calibri" w:hAnsi="Calibri" w:cs="Calibri"/>
          <w:sz w:val="22"/>
          <w:szCs w:val="22"/>
        </w:rPr>
      </w:pPr>
      <w:r w:rsidRPr="0BC05BEC">
        <w:rPr>
          <w:rFonts w:ascii="Calibri" w:eastAsia="Calibri" w:hAnsi="Calibri" w:cs="Calibri"/>
          <w:sz w:val="22"/>
          <w:szCs w:val="22"/>
        </w:rPr>
        <w:t xml:space="preserve">To clarify by legislation of what constitutes “support/apology of terrorism”. The lack of any measures that adequately address what constitutes legitimate criticism of Israel’s human rights record and what constitutes genuine hate speech </w:t>
      </w:r>
      <w:r w:rsidR="00D40EE0">
        <w:rPr>
          <w:rFonts w:ascii="Calibri" w:eastAsia="Calibri" w:hAnsi="Calibri" w:cs="Calibri"/>
          <w:sz w:val="22"/>
          <w:szCs w:val="22"/>
        </w:rPr>
        <w:t>is</w:t>
      </w:r>
      <w:r w:rsidR="00D40EE0" w:rsidRPr="0BC05BEC">
        <w:rPr>
          <w:rFonts w:ascii="Calibri" w:eastAsia="Calibri" w:hAnsi="Calibri" w:cs="Calibri"/>
          <w:sz w:val="22"/>
          <w:szCs w:val="22"/>
        </w:rPr>
        <w:t xml:space="preserve"> </w:t>
      </w:r>
      <w:r w:rsidRPr="0BC05BEC">
        <w:rPr>
          <w:rFonts w:ascii="Calibri" w:eastAsia="Calibri" w:hAnsi="Calibri" w:cs="Calibri"/>
          <w:sz w:val="22"/>
          <w:szCs w:val="22"/>
        </w:rPr>
        <w:t>contribut</w:t>
      </w:r>
      <w:r w:rsidR="00D40EE0">
        <w:rPr>
          <w:rFonts w:ascii="Calibri" w:eastAsia="Calibri" w:hAnsi="Calibri" w:cs="Calibri"/>
          <w:sz w:val="22"/>
          <w:szCs w:val="22"/>
        </w:rPr>
        <w:t>ing</w:t>
      </w:r>
      <w:r w:rsidRPr="0BC05BEC">
        <w:rPr>
          <w:rFonts w:ascii="Calibri" w:eastAsia="Calibri" w:hAnsi="Calibri" w:cs="Calibri"/>
          <w:sz w:val="22"/>
          <w:szCs w:val="22"/>
        </w:rPr>
        <w:t xml:space="preserve"> to human rights violations. Too broad and vague definitions could be</w:t>
      </w:r>
      <w:r w:rsidR="00D40EE0">
        <w:rPr>
          <w:rFonts w:ascii="Calibri" w:eastAsia="Calibri" w:hAnsi="Calibri" w:cs="Calibri"/>
          <w:sz w:val="22"/>
          <w:szCs w:val="22"/>
        </w:rPr>
        <w:t xml:space="preserve"> and are being</w:t>
      </w:r>
      <w:r w:rsidRPr="0BC05BEC">
        <w:rPr>
          <w:rFonts w:ascii="Calibri" w:eastAsia="Calibri" w:hAnsi="Calibri" w:cs="Calibri"/>
          <w:sz w:val="22"/>
          <w:szCs w:val="22"/>
        </w:rPr>
        <w:t xml:space="preserve"> weaponized against pro-Palestinian activists.</w:t>
      </w:r>
    </w:p>
    <w:p w14:paraId="1567A9ED" w14:textId="0992324C" w:rsidR="085340F5" w:rsidRDefault="085340F5" w:rsidP="0BC05BEC">
      <w:pPr>
        <w:pStyle w:val="ListParagraph"/>
        <w:numPr>
          <w:ilvl w:val="0"/>
          <w:numId w:val="1"/>
        </w:numPr>
        <w:spacing w:after="0"/>
        <w:jc w:val="both"/>
        <w:rPr>
          <w:rFonts w:ascii="Calibri" w:eastAsia="Calibri" w:hAnsi="Calibri" w:cs="Calibri"/>
          <w:sz w:val="22"/>
          <w:szCs w:val="22"/>
        </w:rPr>
      </w:pPr>
      <w:r w:rsidRPr="0BC05BEC">
        <w:rPr>
          <w:rFonts w:ascii="Calibri" w:eastAsia="Calibri" w:hAnsi="Calibri" w:cs="Calibri"/>
          <w:sz w:val="22"/>
          <w:szCs w:val="22"/>
        </w:rPr>
        <w:t xml:space="preserve">To avoid singling out of the Muslim community with threats of deportation and criminalisation by fuelling a climate of fear which is not conducive to freedom of expression. </w:t>
      </w:r>
    </w:p>
    <w:p w14:paraId="4DB3D8BB" w14:textId="585C20D0" w:rsidR="085340F5" w:rsidRDefault="085340F5" w:rsidP="0BC05BEC">
      <w:pPr>
        <w:pStyle w:val="ListParagraph"/>
        <w:numPr>
          <w:ilvl w:val="0"/>
          <w:numId w:val="1"/>
        </w:numPr>
        <w:spacing w:after="0"/>
        <w:jc w:val="both"/>
        <w:rPr>
          <w:rFonts w:ascii="Calibri" w:eastAsia="Calibri" w:hAnsi="Calibri" w:cs="Calibri"/>
          <w:sz w:val="22"/>
          <w:szCs w:val="22"/>
        </w:rPr>
      </w:pPr>
      <w:r w:rsidRPr="0BC05BEC">
        <w:rPr>
          <w:rFonts w:ascii="Calibri" w:eastAsia="Calibri" w:hAnsi="Calibri" w:cs="Calibri"/>
          <w:color w:val="000000" w:themeColor="text1"/>
          <w:sz w:val="22"/>
          <w:szCs w:val="22"/>
        </w:rPr>
        <w:t xml:space="preserve">To discourage from using national security and counter-terrorism legislation and measures, along with </w:t>
      </w:r>
      <w:r w:rsidR="00D40EE0">
        <w:rPr>
          <w:rFonts w:ascii="Calibri" w:eastAsia="Calibri" w:hAnsi="Calibri" w:cs="Calibri"/>
          <w:color w:val="000000" w:themeColor="text1"/>
          <w:sz w:val="22"/>
          <w:szCs w:val="22"/>
        </w:rPr>
        <w:t xml:space="preserve">legislating and or implementing </w:t>
      </w:r>
      <w:r w:rsidRPr="0BC05BEC">
        <w:rPr>
          <w:rFonts w:ascii="Calibri" w:eastAsia="Calibri" w:hAnsi="Calibri" w:cs="Calibri"/>
          <w:color w:val="000000" w:themeColor="text1"/>
          <w:sz w:val="22"/>
          <w:szCs w:val="22"/>
        </w:rPr>
        <w:t xml:space="preserve">laws regulating civil society organisation or directives addressing law enforcement agencies as a means of targeting </w:t>
      </w:r>
      <w:r w:rsidR="715D445D" w:rsidRPr="0BC05BEC">
        <w:rPr>
          <w:rFonts w:ascii="Calibri" w:eastAsia="Calibri" w:hAnsi="Calibri" w:cs="Calibri"/>
          <w:color w:val="000000" w:themeColor="text1"/>
          <w:sz w:val="22"/>
          <w:szCs w:val="22"/>
        </w:rPr>
        <w:t xml:space="preserve">critical movements </w:t>
      </w:r>
      <w:r w:rsidRPr="0BC05BEC">
        <w:rPr>
          <w:rFonts w:ascii="Calibri" w:eastAsia="Calibri" w:hAnsi="Calibri" w:cs="Calibri"/>
          <w:color w:val="000000" w:themeColor="text1"/>
          <w:sz w:val="22"/>
          <w:szCs w:val="22"/>
        </w:rPr>
        <w:t xml:space="preserve">in a manner contrary to international human rights law. </w:t>
      </w:r>
      <w:r w:rsidRPr="0BC05BEC">
        <w:rPr>
          <w:rFonts w:ascii="Calibri" w:eastAsia="Calibri" w:hAnsi="Calibri" w:cs="Calibri"/>
          <w:sz w:val="22"/>
          <w:szCs w:val="22"/>
        </w:rPr>
        <w:t xml:space="preserve">An ideologically-driven approach when legislating on counter-terrorism and counter-extremism otherwise can be politicised and weaponised against large segments of Muslim </w:t>
      </w:r>
      <w:r w:rsidR="00D40EE0">
        <w:rPr>
          <w:rFonts w:ascii="Calibri" w:eastAsia="Calibri" w:hAnsi="Calibri" w:cs="Calibri"/>
          <w:sz w:val="22"/>
          <w:szCs w:val="22"/>
        </w:rPr>
        <w:t xml:space="preserve">and other dissenting sections of </w:t>
      </w:r>
      <w:r w:rsidRPr="0BC05BEC">
        <w:rPr>
          <w:rFonts w:ascii="Calibri" w:eastAsia="Calibri" w:hAnsi="Calibri" w:cs="Calibri"/>
          <w:sz w:val="22"/>
          <w:szCs w:val="22"/>
        </w:rPr>
        <w:t xml:space="preserve">civil society </w:t>
      </w:r>
    </w:p>
    <w:p w14:paraId="7E22ACC5" w14:textId="539241F1" w:rsidR="085340F5" w:rsidRDefault="085340F5" w:rsidP="0BC05BEC">
      <w:pPr>
        <w:pStyle w:val="ListParagraph"/>
        <w:numPr>
          <w:ilvl w:val="0"/>
          <w:numId w:val="1"/>
        </w:numPr>
        <w:spacing w:after="0"/>
        <w:jc w:val="both"/>
        <w:rPr>
          <w:rFonts w:ascii="Calibri" w:eastAsia="Calibri" w:hAnsi="Calibri" w:cs="Calibri"/>
          <w:sz w:val="22"/>
          <w:szCs w:val="22"/>
        </w:rPr>
      </w:pPr>
      <w:r w:rsidRPr="0BC05BEC">
        <w:rPr>
          <w:rFonts w:ascii="Calibri" w:eastAsia="Calibri" w:hAnsi="Calibri" w:cs="Calibri"/>
          <w:sz w:val="22"/>
          <w:szCs w:val="22"/>
        </w:rPr>
        <w:t>To discourage from binding the entitlement to citizenship and residence permit to specific political stances</w:t>
      </w:r>
      <w:r w:rsidR="41D554A8" w:rsidRPr="0BC05BEC">
        <w:rPr>
          <w:rFonts w:ascii="Calibri" w:eastAsia="Calibri" w:hAnsi="Calibri" w:cs="Calibri"/>
          <w:sz w:val="22"/>
          <w:szCs w:val="22"/>
        </w:rPr>
        <w:t xml:space="preserve">. </w:t>
      </w:r>
      <w:r w:rsidRPr="0BC05BEC">
        <w:rPr>
          <w:rFonts w:ascii="Calibri" w:eastAsia="Calibri" w:hAnsi="Calibri" w:cs="Calibri"/>
          <w:sz w:val="22"/>
          <w:szCs w:val="22"/>
        </w:rPr>
        <w:t xml:space="preserve">To protect individuals’ right to citizenship, which admits of no gradations or rankings. In no case </w:t>
      </w:r>
      <w:r w:rsidR="04554BC1" w:rsidRPr="0BC05BEC">
        <w:rPr>
          <w:rFonts w:ascii="Calibri" w:eastAsia="Calibri" w:hAnsi="Calibri" w:cs="Calibri"/>
          <w:sz w:val="22"/>
          <w:szCs w:val="22"/>
        </w:rPr>
        <w:t>should the citizenship acquisition process</w:t>
      </w:r>
      <w:r w:rsidRPr="0BC05BEC">
        <w:rPr>
          <w:rFonts w:ascii="Calibri" w:eastAsia="Calibri" w:hAnsi="Calibri" w:cs="Calibri"/>
          <w:sz w:val="22"/>
          <w:szCs w:val="22"/>
        </w:rPr>
        <w:t xml:space="preserve"> lead to discrimination between native citizens and citizens with a foreign background, whose citizenry credentials are routinely challenged. A ‘tiered system of entitlement to right’ might amount to saying that a ‘native citizen can commit the same crimes as his or her mid and bottom-tiered peers, but receive a different legal treatment and punishment. </w:t>
      </w:r>
    </w:p>
    <w:p w14:paraId="665EF11F" w14:textId="4CD6E6D1" w:rsidR="085340F5" w:rsidRDefault="085340F5" w:rsidP="0BC05BEC">
      <w:pPr>
        <w:spacing w:after="0"/>
        <w:jc w:val="both"/>
        <w:rPr>
          <w:rFonts w:ascii="Calibri" w:eastAsia="Calibri" w:hAnsi="Calibri" w:cs="Calibri"/>
          <w:sz w:val="22"/>
          <w:szCs w:val="22"/>
        </w:rPr>
      </w:pPr>
      <w:r w:rsidRPr="0BC05BEC">
        <w:rPr>
          <w:rFonts w:ascii="Calibri" w:eastAsia="Calibri" w:hAnsi="Calibri" w:cs="Calibri"/>
          <w:sz w:val="22"/>
          <w:szCs w:val="22"/>
        </w:rPr>
        <w:t>In addition, the UN should:</w:t>
      </w:r>
    </w:p>
    <w:p w14:paraId="64D39F48" w14:textId="29AC6693" w:rsidR="085340F5" w:rsidRDefault="085340F5" w:rsidP="0BC05BEC">
      <w:pPr>
        <w:pStyle w:val="ListParagraph"/>
        <w:numPr>
          <w:ilvl w:val="0"/>
          <w:numId w:val="1"/>
        </w:numPr>
        <w:spacing w:after="0"/>
        <w:jc w:val="both"/>
        <w:rPr>
          <w:rFonts w:ascii="Calibri" w:eastAsia="Calibri" w:hAnsi="Calibri" w:cs="Calibri"/>
          <w:sz w:val="22"/>
          <w:szCs w:val="22"/>
        </w:rPr>
      </w:pPr>
      <w:r w:rsidRPr="0BC05BEC">
        <w:rPr>
          <w:rFonts w:ascii="Calibri" w:eastAsia="Calibri" w:hAnsi="Calibri" w:cs="Calibri"/>
          <w:sz w:val="22"/>
          <w:szCs w:val="22"/>
        </w:rPr>
        <w:t xml:space="preserve">establish an ad-hoc body in charge of gathering data, monitoring restrictions on civic space and their impact on racialised groups, especially Muslims and people of Arab-descent and Jewish people, and those perceived as such. The body should be competent in sending public alerts and urgent statements to the national states concerned. </w:t>
      </w:r>
    </w:p>
    <w:p w14:paraId="21FFF395" w14:textId="25081DE9" w:rsidR="085340F5" w:rsidRDefault="085340F5" w:rsidP="0BC05BEC">
      <w:pPr>
        <w:pStyle w:val="ListParagraph"/>
        <w:numPr>
          <w:ilvl w:val="0"/>
          <w:numId w:val="1"/>
        </w:numPr>
        <w:spacing w:after="0"/>
        <w:jc w:val="both"/>
        <w:rPr>
          <w:rFonts w:ascii="Calibri" w:eastAsia="Calibri" w:hAnsi="Calibri" w:cs="Calibri"/>
          <w:sz w:val="22"/>
          <w:szCs w:val="22"/>
        </w:rPr>
      </w:pPr>
      <w:r w:rsidRPr="0BC05BEC">
        <w:rPr>
          <w:rFonts w:ascii="Calibri" w:eastAsia="Calibri" w:hAnsi="Calibri" w:cs="Calibri"/>
          <w:sz w:val="22"/>
          <w:szCs w:val="22"/>
        </w:rPr>
        <w:t>publish reports every six-month</w:t>
      </w:r>
      <w:r w:rsidR="00D40EE0">
        <w:rPr>
          <w:rFonts w:ascii="Calibri" w:eastAsia="Calibri" w:hAnsi="Calibri" w:cs="Calibri"/>
          <w:sz w:val="22"/>
          <w:szCs w:val="22"/>
        </w:rPr>
        <w:t>s</w:t>
      </w:r>
      <w:r w:rsidRPr="0BC05BEC">
        <w:rPr>
          <w:rFonts w:ascii="Calibri" w:eastAsia="Calibri" w:hAnsi="Calibri" w:cs="Calibri"/>
          <w:sz w:val="22"/>
          <w:szCs w:val="22"/>
        </w:rPr>
        <w:t xml:space="preserve"> on a specific case of repression, spanning from harassment, censorship, violence, </w:t>
      </w:r>
      <w:r w:rsidR="09C33923" w:rsidRPr="0BC05BEC">
        <w:rPr>
          <w:rFonts w:ascii="Calibri" w:eastAsia="Calibri" w:hAnsi="Calibri" w:cs="Calibri"/>
          <w:sz w:val="22"/>
          <w:szCs w:val="22"/>
        </w:rPr>
        <w:t xml:space="preserve">hate speech, </w:t>
      </w:r>
      <w:r w:rsidRPr="0BC05BEC">
        <w:rPr>
          <w:rFonts w:ascii="Calibri" w:eastAsia="Calibri" w:hAnsi="Calibri" w:cs="Calibri"/>
          <w:sz w:val="22"/>
          <w:szCs w:val="22"/>
        </w:rPr>
        <w:t xml:space="preserve">illegal arrests to other discriminatory acts.  </w:t>
      </w:r>
    </w:p>
    <w:p w14:paraId="6FF2312F" w14:textId="75C5C50A" w:rsidR="085340F5" w:rsidRDefault="085340F5" w:rsidP="0BC05BEC">
      <w:pPr>
        <w:pStyle w:val="ListParagraph"/>
        <w:numPr>
          <w:ilvl w:val="0"/>
          <w:numId w:val="1"/>
        </w:numPr>
        <w:spacing w:after="0"/>
        <w:jc w:val="both"/>
        <w:rPr>
          <w:rFonts w:ascii="Calibri" w:eastAsia="Calibri" w:hAnsi="Calibri" w:cs="Calibri"/>
          <w:sz w:val="22"/>
          <w:szCs w:val="22"/>
        </w:rPr>
      </w:pPr>
      <w:r w:rsidRPr="0BC05BEC">
        <w:rPr>
          <w:rFonts w:ascii="Calibri" w:eastAsia="Calibri" w:hAnsi="Calibri" w:cs="Calibri"/>
          <w:sz w:val="22"/>
          <w:szCs w:val="22"/>
        </w:rPr>
        <w:t>address restrictions on peaceful assembly and expression in the Annual Rule of Law Cycle.</w:t>
      </w:r>
    </w:p>
    <w:p w14:paraId="138BE497" w14:textId="3C14095E" w:rsidR="0BC05BEC" w:rsidRPr="005B1BE7" w:rsidRDefault="0BC05BEC" w:rsidP="005B1BE7">
      <w:pPr>
        <w:spacing w:before="240" w:after="0"/>
        <w:jc w:val="both"/>
        <w:rPr>
          <w:rFonts w:ascii="Calibri" w:eastAsia="Calibri" w:hAnsi="Calibri" w:cs="Calibri"/>
          <w:color w:val="000000" w:themeColor="text1"/>
          <w:sz w:val="22"/>
          <w:szCs w:val="22"/>
        </w:rPr>
      </w:pPr>
    </w:p>
    <w:sectPr w:rsidR="0BC05BEC" w:rsidRPr="005B1B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mbria"/>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58D39"/>
    <w:multiLevelType w:val="hybridMultilevel"/>
    <w:tmpl w:val="C39E0EB0"/>
    <w:lvl w:ilvl="0" w:tplc="E34EAD88">
      <w:start w:val="1"/>
      <w:numFmt w:val="bullet"/>
      <w:lvlText w:val=""/>
      <w:lvlJc w:val="left"/>
      <w:pPr>
        <w:ind w:left="720" w:hanging="360"/>
      </w:pPr>
      <w:rPr>
        <w:rFonts w:ascii="Symbol" w:hAnsi="Symbol" w:hint="default"/>
      </w:rPr>
    </w:lvl>
    <w:lvl w:ilvl="1" w:tplc="A9ACBB94">
      <w:start w:val="1"/>
      <w:numFmt w:val="bullet"/>
      <w:lvlText w:val=""/>
      <w:lvlJc w:val="left"/>
      <w:pPr>
        <w:ind w:left="1440" w:hanging="360"/>
      </w:pPr>
      <w:rPr>
        <w:rFonts w:ascii="Symbol" w:hAnsi="Symbol" w:hint="default"/>
      </w:rPr>
    </w:lvl>
    <w:lvl w:ilvl="2" w:tplc="D7A0D256">
      <w:start w:val="1"/>
      <w:numFmt w:val="bullet"/>
      <w:lvlText w:val=""/>
      <w:lvlJc w:val="left"/>
      <w:pPr>
        <w:ind w:left="2160" w:hanging="360"/>
      </w:pPr>
      <w:rPr>
        <w:rFonts w:ascii="Wingdings" w:hAnsi="Wingdings" w:hint="default"/>
      </w:rPr>
    </w:lvl>
    <w:lvl w:ilvl="3" w:tplc="E870D71C">
      <w:start w:val="1"/>
      <w:numFmt w:val="bullet"/>
      <w:lvlText w:val=""/>
      <w:lvlJc w:val="left"/>
      <w:pPr>
        <w:ind w:left="2880" w:hanging="360"/>
      </w:pPr>
      <w:rPr>
        <w:rFonts w:ascii="Symbol" w:hAnsi="Symbol" w:hint="default"/>
      </w:rPr>
    </w:lvl>
    <w:lvl w:ilvl="4" w:tplc="0E227BB6">
      <w:start w:val="1"/>
      <w:numFmt w:val="bullet"/>
      <w:lvlText w:val="o"/>
      <w:lvlJc w:val="left"/>
      <w:pPr>
        <w:ind w:left="3600" w:hanging="360"/>
      </w:pPr>
      <w:rPr>
        <w:rFonts w:ascii="Courier New" w:hAnsi="Courier New" w:hint="default"/>
      </w:rPr>
    </w:lvl>
    <w:lvl w:ilvl="5" w:tplc="8B0CB4C8">
      <w:start w:val="1"/>
      <w:numFmt w:val="bullet"/>
      <w:lvlText w:val=""/>
      <w:lvlJc w:val="left"/>
      <w:pPr>
        <w:ind w:left="4320" w:hanging="360"/>
      </w:pPr>
      <w:rPr>
        <w:rFonts w:ascii="Wingdings" w:hAnsi="Wingdings" w:hint="default"/>
      </w:rPr>
    </w:lvl>
    <w:lvl w:ilvl="6" w:tplc="07BCFA4A">
      <w:start w:val="1"/>
      <w:numFmt w:val="bullet"/>
      <w:lvlText w:val=""/>
      <w:lvlJc w:val="left"/>
      <w:pPr>
        <w:ind w:left="5040" w:hanging="360"/>
      </w:pPr>
      <w:rPr>
        <w:rFonts w:ascii="Symbol" w:hAnsi="Symbol" w:hint="default"/>
      </w:rPr>
    </w:lvl>
    <w:lvl w:ilvl="7" w:tplc="AE6E5AA6">
      <w:start w:val="1"/>
      <w:numFmt w:val="bullet"/>
      <w:lvlText w:val="o"/>
      <w:lvlJc w:val="left"/>
      <w:pPr>
        <w:ind w:left="5760" w:hanging="360"/>
      </w:pPr>
      <w:rPr>
        <w:rFonts w:ascii="Courier New" w:hAnsi="Courier New" w:hint="default"/>
      </w:rPr>
    </w:lvl>
    <w:lvl w:ilvl="8" w:tplc="FB163B22">
      <w:start w:val="1"/>
      <w:numFmt w:val="bullet"/>
      <w:lvlText w:val=""/>
      <w:lvlJc w:val="left"/>
      <w:pPr>
        <w:ind w:left="6480" w:hanging="360"/>
      </w:pPr>
      <w:rPr>
        <w:rFonts w:ascii="Wingdings" w:hAnsi="Wingdings" w:hint="default"/>
      </w:rPr>
    </w:lvl>
  </w:abstractNum>
  <w:abstractNum w:abstractNumId="1" w15:restartNumberingAfterBreak="0">
    <w:nsid w:val="373880BC"/>
    <w:multiLevelType w:val="hybridMultilevel"/>
    <w:tmpl w:val="3398BF40"/>
    <w:lvl w:ilvl="0" w:tplc="987080B8">
      <w:start w:val="1"/>
      <w:numFmt w:val="bullet"/>
      <w:lvlText w:val=""/>
      <w:lvlJc w:val="left"/>
      <w:pPr>
        <w:ind w:left="720" w:hanging="360"/>
      </w:pPr>
      <w:rPr>
        <w:rFonts w:ascii="Symbol" w:hAnsi="Symbol" w:hint="default"/>
      </w:rPr>
    </w:lvl>
    <w:lvl w:ilvl="1" w:tplc="7062F620">
      <w:start w:val="1"/>
      <w:numFmt w:val="bullet"/>
      <w:lvlText w:val="o"/>
      <w:lvlJc w:val="left"/>
      <w:pPr>
        <w:ind w:left="1440" w:hanging="360"/>
      </w:pPr>
      <w:rPr>
        <w:rFonts w:ascii="Courier New" w:hAnsi="Courier New" w:hint="default"/>
      </w:rPr>
    </w:lvl>
    <w:lvl w:ilvl="2" w:tplc="C8C6F4B4">
      <w:start w:val="1"/>
      <w:numFmt w:val="bullet"/>
      <w:lvlText w:val=""/>
      <w:lvlJc w:val="left"/>
      <w:pPr>
        <w:ind w:left="2160" w:hanging="360"/>
      </w:pPr>
      <w:rPr>
        <w:rFonts w:ascii="Wingdings" w:hAnsi="Wingdings" w:hint="default"/>
      </w:rPr>
    </w:lvl>
    <w:lvl w:ilvl="3" w:tplc="1EB67014">
      <w:start w:val="1"/>
      <w:numFmt w:val="bullet"/>
      <w:lvlText w:val=""/>
      <w:lvlJc w:val="left"/>
      <w:pPr>
        <w:ind w:left="2880" w:hanging="360"/>
      </w:pPr>
      <w:rPr>
        <w:rFonts w:ascii="Symbol" w:hAnsi="Symbol" w:hint="default"/>
      </w:rPr>
    </w:lvl>
    <w:lvl w:ilvl="4" w:tplc="35705E28">
      <w:start w:val="1"/>
      <w:numFmt w:val="bullet"/>
      <w:lvlText w:val="o"/>
      <w:lvlJc w:val="left"/>
      <w:pPr>
        <w:ind w:left="3600" w:hanging="360"/>
      </w:pPr>
      <w:rPr>
        <w:rFonts w:ascii="Courier New" w:hAnsi="Courier New" w:hint="default"/>
      </w:rPr>
    </w:lvl>
    <w:lvl w:ilvl="5" w:tplc="C08EBA70">
      <w:start w:val="1"/>
      <w:numFmt w:val="bullet"/>
      <w:lvlText w:val=""/>
      <w:lvlJc w:val="left"/>
      <w:pPr>
        <w:ind w:left="4320" w:hanging="360"/>
      </w:pPr>
      <w:rPr>
        <w:rFonts w:ascii="Wingdings" w:hAnsi="Wingdings" w:hint="default"/>
      </w:rPr>
    </w:lvl>
    <w:lvl w:ilvl="6" w:tplc="F8161486">
      <w:start w:val="1"/>
      <w:numFmt w:val="bullet"/>
      <w:lvlText w:val=""/>
      <w:lvlJc w:val="left"/>
      <w:pPr>
        <w:ind w:left="5040" w:hanging="360"/>
      </w:pPr>
      <w:rPr>
        <w:rFonts w:ascii="Symbol" w:hAnsi="Symbol" w:hint="default"/>
      </w:rPr>
    </w:lvl>
    <w:lvl w:ilvl="7" w:tplc="AB709C0C">
      <w:start w:val="1"/>
      <w:numFmt w:val="bullet"/>
      <w:lvlText w:val="o"/>
      <w:lvlJc w:val="left"/>
      <w:pPr>
        <w:ind w:left="5760" w:hanging="360"/>
      </w:pPr>
      <w:rPr>
        <w:rFonts w:ascii="Courier New" w:hAnsi="Courier New" w:hint="default"/>
      </w:rPr>
    </w:lvl>
    <w:lvl w:ilvl="8" w:tplc="00AE88D4">
      <w:start w:val="1"/>
      <w:numFmt w:val="bullet"/>
      <w:lvlText w:val=""/>
      <w:lvlJc w:val="left"/>
      <w:pPr>
        <w:ind w:left="6480" w:hanging="360"/>
      </w:pPr>
      <w:rPr>
        <w:rFonts w:ascii="Wingdings" w:hAnsi="Wingdings" w:hint="default"/>
      </w:rPr>
    </w:lvl>
  </w:abstractNum>
  <w:abstractNum w:abstractNumId="2" w15:restartNumberingAfterBreak="0">
    <w:nsid w:val="3B89AE54"/>
    <w:multiLevelType w:val="hybridMultilevel"/>
    <w:tmpl w:val="5CD013BC"/>
    <w:lvl w:ilvl="0" w:tplc="70F04868">
      <w:start w:val="1"/>
      <w:numFmt w:val="bullet"/>
      <w:lvlText w:val=""/>
      <w:lvlJc w:val="left"/>
      <w:pPr>
        <w:ind w:left="720" w:hanging="360"/>
      </w:pPr>
      <w:rPr>
        <w:rFonts w:ascii="Symbol" w:hAnsi="Symbol" w:hint="default"/>
      </w:rPr>
    </w:lvl>
    <w:lvl w:ilvl="1" w:tplc="4F3E4B78">
      <w:start w:val="1"/>
      <w:numFmt w:val="bullet"/>
      <w:lvlText w:val=""/>
      <w:lvlJc w:val="left"/>
      <w:pPr>
        <w:ind w:left="1440" w:hanging="360"/>
      </w:pPr>
      <w:rPr>
        <w:rFonts w:ascii="Symbol" w:hAnsi="Symbol" w:hint="default"/>
      </w:rPr>
    </w:lvl>
    <w:lvl w:ilvl="2" w:tplc="D37007E6">
      <w:start w:val="1"/>
      <w:numFmt w:val="bullet"/>
      <w:lvlText w:val=""/>
      <w:lvlJc w:val="left"/>
      <w:pPr>
        <w:ind w:left="2160" w:hanging="360"/>
      </w:pPr>
      <w:rPr>
        <w:rFonts w:ascii="Wingdings" w:hAnsi="Wingdings" w:hint="default"/>
      </w:rPr>
    </w:lvl>
    <w:lvl w:ilvl="3" w:tplc="4FC0CF00">
      <w:start w:val="1"/>
      <w:numFmt w:val="bullet"/>
      <w:lvlText w:val=""/>
      <w:lvlJc w:val="left"/>
      <w:pPr>
        <w:ind w:left="2880" w:hanging="360"/>
      </w:pPr>
      <w:rPr>
        <w:rFonts w:ascii="Symbol" w:hAnsi="Symbol" w:hint="default"/>
      </w:rPr>
    </w:lvl>
    <w:lvl w:ilvl="4" w:tplc="D07809F2">
      <w:start w:val="1"/>
      <w:numFmt w:val="bullet"/>
      <w:lvlText w:val="o"/>
      <w:lvlJc w:val="left"/>
      <w:pPr>
        <w:ind w:left="3600" w:hanging="360"/>
      </w:pPr>
      <w:rPr>
        <w:rFonts w:ascii="Courier New" w:hAnsi="Courier New" w:hint="default"/>
      </w:rPr>
    </w:lvl>
    <w:lvl w:ilvl="5" w:tplc="EC8A102A">
      <w:start w:val="1"/>
      <w:numFmt w:val="bullet"/>
      <w:lvlText w:val=""/>
      <w:lvlJc w:val="left"/>
      <w:pPr>
        <w:ind w:left="4320" w:hanging="360"/>
      </w:pPr>
      <w:rPr>
        <w:rFonts w:ascii="Wingdings" w:hAnsi="Wingdings" w:hint="default"/>
      </w:rPr>
    </w:lvl>
    <w:lvl w:ilvl="6" w:tplc="889C3174">
      <w:start w:val="1"/>
      <w:numFmt w:val="bullet"/>
      <w:lvlText w:val=""/>
      <w:lvlJc w:val="left"/>
      <w:pPr>
        <w:ind w:left="5040" w:hanging="360"/>
      </w:pPr>
      <w:rPr>
        <w:rFonts w:ascii="Symbol" w:hAnsi="Symbol" w:hint="default"/>
      </w:rPr>
    </w:lvl>
    <w:lvl w:ilvl="7" w:tplc="9D8A3554">
      <w:start w:val="1"/>
      <w:numFmt w:val="bullet"/>
      <w:lvlText w:val="o"/>
      <w:lvlJc w:val="left"/>
      <w:pPr>
        <w:ind w:left="5760" w:hanging="360"/>
      </w:pPr>
      <w:rPr>
        <w:rFonts w:ascii="Courier New" w:hAnsi="Courier New" w:hint="default"/>
      </w:rPr>
    </w:lvl>
    <w:lvl w:ilvl="8" w:tplc="44C23716">
      <w:start w:val="1"/>
      <w:numFmt w:val="bullet"/>
      <w:lvlText w:val=""/>
      <w:lvlJc w:val="left"/>
      <w:pPr>
        <w:ind w:left="6480" w:hanging="360"/>
      </w:pPr>
      <w:rPr>
        <w:rFonts w:ascii="Wingdings" w:hAnsi="Wingdings" w:hint="default"/>
      </w:rPr>
    </w:lvl>
  </w:abstractNum>
  <w:abstractNum w:abstractNumId="3" w15:restartNumberingAfterBreak="0">
    <w:nsid w:val="53C76D44"/>
    <w:multiLevelType w:val="hybridMultilevel"/>
    <w:tmpl w:val="33489ED8"/>
    <w:lvl w:ilvl="0" w:tplc="4344D68E">
      <w:start w:val="1"/>
      <w:numFmt w:val="decimal"/>
      <w:lvlText w:val="%1."/>
      <w:lvlJc w:val="left"/>
      <w:pPr>
        <w:ind w:left="720" w:hanging="360"/>
      </w:pPr>
    </w:lvl>
    <w:lvl w:ilvl="1" w:tplc="823CB698">
      <w:start w:val="1"/>
      <w:numFmt w:val="lowerLetter"/>
      <w:lvlText w:val="%2."/>
      <w:lvlJc w:val="left"/>
      <w:pPr>
        <w:ind w:left="1440" w:hanging="360"/>
      </w:pPr>
    </w:lvl>
    <w:lvl w:ilvl="2" w:tplc="7A74173A">
      <w:start w:val="1"/>
      <w:numFmt w:val="lowerRoman"/>
      <w:lvlText w:val="%3."/>
      <w:lvlJc w:val="right"/>
      <w:pPr>
        <w:ind w:left="2160" w:hanging="180"/>
      </w:pPr>
    </w:lvl>
    <w:lvl w:ilvl="3" w:tplc="57B8B81A">
      <w:start w:val="1"/>
      <w:numFmt w:val="decimal"/>
      <w:lvlText w:val="%4."/>
      <w:lvlJc w:val="left"/>
      <w:pPr>
        <w:ind w:left="2880" w:hanging="360"/>
      </w:pPr>
    </w:lvl>
    <w:lvl w:ilvl="4" w:tplc="573E6464">
      <w:start w:val="1"/>
      <w:numFmt w:val="lowerLetter"/>
      <w:lvlText w:val="%5."/>
      <w:lvlJc w:val="left"/>
      <w:pPr>
        <w:ind w:left="3600" w:hanging="360"/>
      </w:pPr>
    </w:lvl>
    <w:lvl w:ilvl="5" w:tplc="E08AB0D0">
      <w:start w:val="1"/>
      <w:numFmt w:val="lowerRoman"/>
      <w:lvlText w:val="%6."/>
      <w:lvlJc w:val="right"/>
      <w:pPr>
        <w:ind w:left="4320" w:hanging="180"/>
      </w:pPr>
    </w:lvl>
    <w:lvl w:ilvl="6" w:tplc="97E2211E">
      <w:start w:val="1"/>
      <w:numFmt w:val="decimal"/>
      <w:lvlText w:val="%7."/>
      <w:lvlJc w:val="left"/>
      <w:pPr>
        <w:ind w:left="5040" w:hanging="360"/>
      </w:pPr>
    </w:lvl>
    <w:lvl w:ilvl="7" w:tplc="C4B86AD8">
      <w:start w:val="1"/>
      <w:numFmt w:val="lowerLetter"/>
      <w:lvlText w:val="%8."/>
      <w:lvlJc w:val="left"/>
      <w:pPr>
        <w:ind w:left="5760" w:hanging="360"/>
      </w:pPr>
    </w:lvl>
    <w:lvl w:ilvl="8" w:tplc="826A9E3A">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87AFFE"/>
    <w:rsid w:val="005B1BE7"/>
    <w:rsid w:val="00B6495A"/>
    <w:rsid w:val="00B672EE"/>
    <w:rsid w:val="00BA7B88"/>
    <w:rsid w:val="00D40EE0"/>
    <w:rsid w:val="04554BC1"/>
    <w:rsid w:val="046F088A"/>
    <w:rsid w:val="05058E6E"/>
    <w:rsid w:val="0583E1FA"/>
    <w:rsid w:val="05AA9987"/>
    <w:rsid w:val="05FF20CB"/>
    <w:rsid w:val="0627B994"/>
    <w:rsid w:val="085340F5"/>
    <w:rsid w:val="09C33923"/>
    <w:rsid w:val="0B693360"/>
    <w:rsid w:val="0BAC823B"/>
    <w:rsid w:val="0BC05BEC"/>
    <w:rsid w:val="0BF3D58D"/>
    <w:rsid w:val="136C3815"/>
    <w:rsid w:val="13B1C39F"/>
    <w:rsid w:val="14670897"/>
    <w:rsid w:val="16729A54"/>
    <w:rsid w:val="17497951"/>
    <w:rsid w:val="1ADAAC78"/>
    <w:rsid w:val="2114160A"/>
    <w:rsid w:val="28F79049"/>
    <w:rsid w:val="3087AFFE"/>
    <w:rsid w:val="33907005"/>
    <w:rsid w:val="33DB5D01"/>
    <w:rsid w:val="34B52871"/>
    <w:rsid w:val="39316DF4"/>
    <w:rsid w:val="3CF336F3"/>
    <w:rsid w:val="41D554A8"/>
    <w:rsid w:val="454B266B"/>
    <w:rsid w:val="45793780"/>
    <w:rsid w:val="46366846"/>
    <w:rsid w:val="473077FB"/>
    <w:rsid w:val="4B5E626A"/>
    <w:rsid w:val="4E10A4AC"/>
    <w:rsid w:val="521955DC"/>
    <w:rsid w:val="52BA4F08"/>
    <w:rsid w:val="541052F1"/>
    <w:rsid w:val="56C654F7"/>
    <w:rsid w:val="58868B1D"/>
    <w:rsid w:val="5E396393"/>
    <w:rsid w:val="5FA16AD0"/>
    <w:rsid w:val="62042770"/>
    <w:rsid w:val="6649E7D3"/>
    <w:rsid w:val="6DB9A4A2"/>
    <w:rsid w:val="70DA7C18"/>
    <w:rsid w:val="715D445D"/>
    <w:rsid w:val="7454EC41"/>
    <w:rsid w:val="74D4DC1F"/>
    <w:rsid w:val="78CA7F48"/>
    <w:rsid w:val="78D2A450"/>
    <w:rsid w:val="795AB6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02B6"/>
  <w15:chartTrackingRefBased/>
  <w15:docId w15:val="{1CBCD1D0-0598-4DA0-AB84-2AE8C7AC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BC05BEC"/>
    <w:rPr>
      <w:lang w:val="en-GB"/>
    </w:rPr>
  </w:style>
  <w:style w:type="paragraph" w:styleId="Heading1">
    <w:name w:val="heading 1"/>
    <w:basedOn w:val="Normal"/>
    <w:next w:val="Normal"/>
    <w:link w:val="Heading1Char"/>
    <w:uiPriority w:val="9"/>
    <w:qFormat/>
    <w:rsid w:val="0BC05B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BC05B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BC05B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BC05B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BC05B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BC05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BC05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BC05BEC"/>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0BC05BEC"/>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BC05BEC"/>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BC05BEC"/>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0BC05BEC"/>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0BC05BEC"/>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BC05BEC"/>
    <w:pPr>
      <w:ind w:left="720"/>
      <w:contextualSpacing/>
    </w:pPr>
  </w:style>
  <w:style w:type="paragraph" w:styleId="TOC1">
    <w:name w:val="toc 1"/>
    <w:basedOn w:val="Normal"/>
    <w:next w:val="Normal"/>
    <w:uiPriority w:val="39"/>
    <w:unhideWhenUsed/>
    <w:rsid w:val="0BC05BEC"/>
    <w:pPr>
      <w:spacing w:after="100"/>
    </w:pPr>
  </w:style>
  <w:style w:type="paragraph" w:styleId="TOC2">
    <w:name w:val="toc 2"/>
    <w:basedOn w:val="Normal"/>
    <w:next w:val="Normal"/>
    <w:uiPriority w:val="39"/>
    <w:unhideWhenUsed/>
    <w:rsid w:val="0BC05BEC"/>
    <w:pPr>
      <w:spacing w:after="100"/>
      <w:ind w:left="220"/>
    </w:pPr>
  </w:style>
  <w:style w:type="paragraph" w:styleId="TOC3">
    <w:name w:val="toc 3"/>
    <w:basedOn w:val="Normal"/>
    <w:next w:val="Normal"/>
    <w:uiPriority w:val="39"/>
    <w:unhideWhenUsed/>
    <w:rsid w:val="0BC05BEC"/>
    <w:pPr>
      <w:spacing w:after="100"/>
      <w:ind w:left="440"/>
    </w:pPr>
  </w:style>
  <w:style w:type="paragraph" w:styleId="TOC4">
    <w:name w:val="toc 4"/>
    <w:basedOn w:val="Normal"/>
    <w:next w:val="Normal"/>
    <w:uiPriority w:val="39"/>
    <w:unhideWhenUsed/>
    <w:rsid w:val="0BC05BEC"/>
    <w:pPr>
      <w:spacing w:after="100"/>
      <w:ind w:left="660"/>
    </w:pPr>
  </w:style>
  <w:style w:type="paragraph" w:styleId="TOC5">
    <w:name w:val="toc 5"/>
    <w:basedOn w:val="Normal"/>
    <w:next w:val="Normal"/>
    <w:uiPriority w:val="39"/>
    <w:unhideWhenUsed/>
    <w:rsid w:val="0BC05BEC"/>
    <w:pPr>
      <w:spacing w:after="100"/>
      <w:ind w:left="880"/>
    </w:pPr>
  </w:style>
  <w:style w:type="paragraph" w:styleId="TOC6">
    <w:name w:val="toc 6"/>
    <w:basedOn w:val="Normal"/>
    <w:next w:val="Normal"/>
    <w:uiPriority w:val="39"/>
    <w:unhideWhenUsed/>
    <w:rsid w:val="0BC05BEC"/>
    <w:pPr>
      <w:spacing w:after="100"/>
      <w:ind w:left="1100"/>
    </w:pPr>
  </w:style>
  <w:style w:type="paragraph" w:styleId="TOC7">
    <w:name w:val="toc 7"/>
    <w:basedOn w:val="Normal"/>
    <w:next w:val="Normal"/>
    <w:uiPriority w:val="39"/>
    <w:unhideWhenUsed/>
    <w:rsid w:val="0BC05BEC"/>
    <w:pPr>
      <w:spacing w:after="100"/>
      <w:ind w:left="1320"/>
    </w:pPr>
  </w:style>
  <w:style w:type="paragraph" w:styleId="TOC8">
    <w:name w:val="toc 8"/>
    <w:basedOn w:val="Normal"/>
    <w:next w:val="Normal"/>
    <w:uiPriority w:val="39"/>
    <w:unhideWhenUsed/>
    <w:rsid w:val="0BC05BEC"/>
    <w:pPr>
      <w:spacing w:after="100"/>
      <w:ind w:left="1540"/>
    </w:pPr>
  </w:style>
  <w:style w:type="paragraph" w:styleId="TOC9">
    <w:name w:val="toc 9"/>
    <w:basedOn w:val="Normal"/>
    <w:next w:val="Normal"/>
    <w:uiPriority w:val="39"/>
    <w:unhideWhenUsed/>
    <w:rsid w:val="0BC05BEC"/>
    <w:pPr>
      <w:spacing w:after="100"/>
      <w:ind w:left="1760"/>
    </w:pPr>
  </w:style>
  <w:style w:type="paragraph" w:styleId="EndnoteText">
    <w:name w:val="endnote text"/>
    <w:basedOn w:val="Normal"/>
    <w:uiPriority w:val="99"/>
    <w:semiHidden/>
    <w:unhideWhenUsed/>
    <w:rsid w:val="0BC05BEC"/>
    <w:pPr>
      <w:spacing w:after="0" w:line="240" w:lineRule="auto"/>
    </w:pPr>
    <w:rPr>
      <w:sz w:val="20"/>
      <w:szCs w:val="20"/>
    </w:rPr>
  </w:style>
  <w:style w:type="paragraph" w:styleId="Footer">
    <w:name w:val="footer"/>
    <w:basedOn w:val="Normal"/>
    <w:uiPriority w:val="99"/>
    <w:unhideWhenUsed/>
    <w:rsid w:val="0BC05BEC"/>
    <w:pPr>
      <w:tabs>
        <w:tab w:val="center" w:pos="4680"/>
        <w:tab w:val="right" w:pos="9360"/>
      </w:tabs>
      <w:spacing w:after="0" w:line="240" w:lineRule="auto"/>
    </w:pPr>
  </w:style>
  <w:style w:type="paragraph" w:styleId="FootnoteText">
    <w:name w:val="footnote text"/>
    <w:basedOn w:val="Normal"/>
    <w:uiPriority w:val="99"/>
    <w:semiHidden/>
    <w:unhideWhenUsed/>
    <w:rsid w:val="0BC05BEC"/>
    <w:pPr>
      <w:spacing w:after="0" w:line="240" w:lineRule="auto"/>
    </w:pPr>
    <w:rPr>
      <w:sz w:val="20"/>
      <w:szCs w:val="20"/>
    </w:rPr>
  </w:style>
  <w:style w:type="paragraph" w:styleId="Header">
    <w:name w:val="header"/>
    <w:basedOn w:val="Normal"/>
    <w:uiPriority w:val="99"/>
    <w:unhideWhenUsed/>
    <w:rsid w:val="0BC05BEC"/>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D40EE0"/>
    <w:pPr>
      <w:spacing w:after="0" w:line="240" w:lineRule="auto"/>
    </w:pPr>
    <w:rPr>
      <w:lang w:val="en-GB"/>
    </w:rPr>
  </w:style>
  <w:style w:type="paragraph" w:styleId="BalloonText">
    <w:name w:val="Balloon Text"/>
    <w:basedOn w:val="Normal"/>
    <w:link w:val="BalloonTextChar"/>
    <w:uiPriority w:val="99"/>
    <w:semiHidden/>
    <w:unhideWhenUsed/>
    <w:rsid w:val="00BA7B8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7B88"/>
    <w:rPr>
      <w:rFonts w:ascii="Times New Roman" w:hAnsi="Times New Roman" w:cs="Times New Roman"/>
      <w:sz w:val="18"/>
      <w:szCs w:val="18"/>
      <w:lang w:val="en-GB"/>
    </w:rPr>
  </w:style>
  <w:style w:type="character" w:styleId="UnresolvedMention">
    <w:name w:val="Unresolved Mention"/>
    <w:basedOn w:val="DefaultParagraphFont"/>
    <w:uiPriority w:val="99"/>
    <w:semiHidden/>
    <w:unhideWhenUsed/>
    <w:rsid w:val="00BA7B88"/>
    <w:rPr>
      <w:color w:val="605E5C"/>
      <w:shd w:val="clear" w:color="auto" w:fill="E1DFDD"/>
    </w:rPr>
  </w:style>
  <w:style w:type="character" w:styleId="FollowedHyperlink">
    <w:name w:val="FollowedHyperlink"/>
    <w:basedOn w:val="DefaultParagraphFont"/>
    <w:uiPriority w:val="99"/>
    <w:semiHidden/>
    <w:unhideWhenUsed/>
    <w:rsid w:val="00BA7B8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wk.de/Redaktion/DE/Downloads/M-O/manuskripte-habeck-ueber-israel-und-antisemitismus-en.pdf?__blob=publicationFile&amp;v=4"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hrc.org.uk/wp-content/uploads/2024/06/Attachment-2_merged.pdf" TargetMode="External"/><Relationship Id="rId5" Type="http://schemas.openxmlformats.org/officeDocument/2006/relationships/styles" Target="styles.xml"/><Relationship Id="rId10" Type="http://schemas.openxmlformats.org/officeDocument/2006/relationships/hyperlink" Target="https://www.ihrc.org.uk/wp-content/uploads/2024/06/Attachment-1_UN-Secretary-General_Durban.pdf" TargetMode="External"/><Relationship Id="rId4" Type="http://schemas.openxmlformats.org/officeDocument/2006/relationships/numbering" Target="numbering.xml"/><Relationship Id="rId9" Type="http://schemas.openxmlformats.org/officeDocument/2006/relationships/hyperlink" Target="https://www.aljazeera.com/news/2023/11/8/german-president-says-arab-citizens-must-distance-themselves-from-ha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ISLAMIC HUMAN RIGHTS COMMISSION</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96BC43-9DF2-44A0-BF4B-AB7AF12B6244}"/>
</file>

<file path=customXml/itemProps2.xml><?xml version="1.0" encoding="utf-8"?>
<ds:datastoreItem xmlns:ds="http://schemas.openxmlformats.org/officeDocument/2006/customXml" ds:itemID="{AFC499CC-C5A2-4BB3-9BA6-EFBFF74B85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3C8376-2455-4A5E-A57E-A8134113B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957</Words>
  <Characters>5455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Aiena</dc:creator>
  <cp:keywords/>
  <dc:description/>
  <cp:lastModifiedBy>Kellie-Shandra Ognimba</cp:lastModifiedBy>
  <cp:revision>2</cp:revision>
  <dcterms:created xsi:type="dcterms:W3CDTF">2024-07-03T13:34:00Z</dcterms:created>
  <dcterms:modified xsi:type="dcterms:W3CDTF">2024-07-03T13:34:00Z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