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13F3" w14:textId="1820372F" w:rsidR="000E7824" w:rsidRDefault="000E7824" w:rsidP="000E7824">
      <w:pPr>
        <w:spacing w:after="0"/>
        <w:jc w:val="center"/>
        <w:rPr>
          <w:rFonts w:ascii="Times New Roman" w:hAnsi="Times New Roman" w:cs="Times New Roman"/>
          <w:b/>
          <w:bCs/>
          <w:lang w:val="es-ES"/>
        </w:rPr>
      </w:pPr>
    </w:p>
    <w:p w14:paraId="26F1BAC0" w14:textId="229625D4" w:rsidR="000E7824" w:rsidRDefault="000E7824" w:rsidP="000E7824">
      <w:pPr>
        <w:spacing w:after="0"/>
        <w:jc w:val="center"/>
        <w:rPr>
          <w:rFonts w:ascii="Times New Roman" w:hAnsi="Times New Roman" w:cs="Times New Roman"/>
          <w:b/>
          <w:bCs/>
          <w:lang w:val="es-ES"/>
        </w:rPr>
      </w:pPr>
    </w:p>
    <w:p w14:paraId="7535F3D4" w14:textId="31D80699" w:rsidR="000E7824" w:rsidRDefault="000E7824" w:rsidP="000E7824">
      <w:pPr>
        <w:spacing w:after="0"/>
        <w:jc w:val="center"/>
        <w:rPr>
          <w:rFonts w:ascii="Times New Roman" w:hAnsi="Times New Roman" w:cs="Times New Roman"/>
          <w:b/>
          <w:bCs/>
          <w:lang w:val="es-ES"/>
        </w:rPr>
      </w:pPr>
    </w:p>
    <w:p w14:paraId="4781FBB7" w14:textId="60A2770B" w:rsidR="000E7824" w:rsidRDefault="000E7824" w:rsidP="000E7824">
      <w:pPr>
        <w:spacing w:after="0"/>
        <w:jc w:val="center"/>
        <w:rPr>
          <w:rFonts w:ascii="Times New Roman" w:hAnsi="Times New Roman" w:cs="Times New Roman"/>
          <w:b/>
          <w:bCs/>
          <w:lang w:val="es-ES"/>
        </w:rPr>
      </w:pPr>
    </w:p>
    <w:p w14:paraId="53BDB97C" w14:textId="3081B7BE" w:rsidR="000E7824" w:rsidRDefault="000E7824" w:rsidP="000E7824">
      <w:pPr>
        <w:spacing w:after="0"/>
        <w:jc w:val="center"/>
        <w:rPr>
          <w:rFonts w:ascii="Times New Roman" w:hAnsi="Times New Roman" w:cs="Times New Roman"/>
          <w:b/>
          <w:bCs/>
          <w:lang w:val="es-ES"/>
        </w:rPr>
      </w:pPr>
    </w:p>
    <w:p w14:paraId="7B72CADD" w14:textId="7DDD6E20" w:rsidR="000E7824" w:rsidRDefault="000E7824" w:rsidP="000E7824">
      <w:pPr>
        <w:spacing w:after="0"/>
        <w:jc w:val="center"/>
        <w:rPr>
          <w:rFonts w:ascii="Times New Roman" w:hAnsi="Times New Roman" w:cs="Times New Roman"/>
          <w:b/>
          <w:bCs/>
          <w:lang w:val="es-ES"/>
        </w:rPr>
      </w:pPr>
    </w:p>
    <w:p w14:paraId="4F705804" w14:textId="0B4AD67C" w:rsidR="000E7824" w:rsidRDefault="000E7824" w:rsidP="000E7824">
      <w:pPr>
        <w:spacing w:after="0"/>
        <w:jc w:val="center"/>
        <w:rPr>
          <w:rFonts w:ascii="Times New Roman" w:hAnsi="Times New Roman" w:cs="Times New Roman"/>
          <w:b/>
          <w:bCs/>
          <w:lang w:val="es-ES"/>
        </w:rPr>
      </w:pPr>
      <w:r>
        <w:rPr>
          <w:rFonts w:ascii="Times New Roman" w:hAnsi="Times New Roman" w:cs="Times New Roman"/>
          <w:b/>
          <w:bCs/>
          <w:lang w:val="es-ES"/>
        </w:rPr>
        <w:t>INTRODUCCIÓN</w:t>
      </w:r>
    </w:p>
    <w:p w14:paraId="51130985" w14:textId="62610F2D" w:rsidR="000E7824" w:rsidRDefault="000E7824" w:rsidP="000E7824">
      <w:pPr>
        <w:spacing w:after="0"/>
        <w:jc w:val="center"/>
        <w:rPr>
          <w:rFonts w:ascii="Times New Roman" w:hAnsi="Times New Roman" w:cs="Times New Roman"/>
          <w:b/>
          <w:bCs/>
          <w:lang w:val="es-ES"/>
        </w:rPr>
      </w:pPr>
    </w:p>
    <w:p w14:paraId="409025B6" w14:textId="75039453" w:rsidR="000E7824" w:rsidRDefault="000E7824" w:rsidP="000E7824">
      <w:pPr>
        <w:spacing w:after="0"/>
        <w:jc w:val="center"/>
        <w:rPr>
          <w:rFonts w:ascii="Times New Roman" w:hAnsi="Times New Roman" w:cs="Times New Roman"/>
          <w:b/>
          <w:bCs/>
          <w:lang w:val="es-ES"/>
        </w:rPr>
      </w:pPr>
    </w:p>
    <w:p w14:paraId="255E32DC" w14:textId="6A21CBBA" w:rsidR="000E7824" w:rsidRPr="00E11AC5" w:rsidRDefault="000E7824" w:rsidP="000E7824">
      <w:pPr>
        <w:spacing w:after="0"/>
        <w:jc w:val="both"/>
        <w:rPr>
          <w:rFonts w:ascii="Times New Roman" w:hAnsi="Times New Roman" w:cs="Times New Roman"/>
          <w:lang w:val="es-ES"/>
        </w:rPr>
      </w:pPr>
      <w:r w:rsidRPr="00E11AC5">
        <w:rPr>
          <w:rFonts w:ascii="Times New Roman" w:hAnsi="Times New Roman" w:cs="Times New Roman"/>
          <w:lang w:val="es-ES"/>
        </w:rPr>
        <w:t>El presente informe se emite en mérito al pedido de contribuciones formulado por el Comité de protección de los derechos de todos los trabajadores migratorios y sus familiares, y el Comité contra la Discriminación Racial de las Naciones Unidas en el marco del proceso de elaboración de su Observación/Recomendación General Conjunta sobre las obligaciones de los Estados partes sobre las políticas públicas integrales para abordar y erradicar la xenofobia y su impacto en los derechos de las personas migrantes, sus familias y otros no-ciudadanos afectados por la discriminación racial.</w:t>
      </w:r>
    </w:p>
    <w:p w14:paraId="4E92B4F3" w14:textId="6D34BB38" w:rsidR="00D54530" w:rsidRPr="00E11AC5" w:rsidRDefault="00D54530" w:rsidP="000E7824">
      <w:pPr>
        <w:spacing w:after="0"/>
        <w:jc w:val="both"/>
        <w:rPr>
          <w:rFonts w:ascii="Times New Roman" w:hAnsi="Times New Roman" w:cs="Times New Roman"/>
          <w:lang w:val="es-ES"/>
        </w:rPr>
      </w:pPr>
    </w:p>
    <w:p w14:paraId="09C84140" w14:textId="54A6152B" w:rsidR="00D54530" w:rsidRDefault="00D54530" w:rsidP="000E7824">
      <w:pPr>
        <w:spacing w:after="0"/>
        <w:jc w:val="both"/>
        <w:rPr>
          <w:rFonts w:ascii="Times New Roman" w:hAnsi="Times New Roman" w:cs="Times New Roman"/>
          <w:lang w:val="es-ES"/>
        </w:rPr>
      </w:pPr>
      <w:r w:rsidRPr="00E11AC5">
        <w:rPr>
          <w:rFonts w:ascii="Times New Roman" w:hAnsi="Times New Roman" w:cs="Times New Roman"/>
          <w:lang w:val="es-ES"/>
        </w:rPr>
        <w:t>En el informe elaborado se consolidan l</w:t>
      </w:r>
      <w:r w:rsidR="00E1091A">
        <w:rPr>
          <w:rFonts w:ascii="Times New Roman" w:hAnsi="Times New Roman" w:cs="Times New Roman"/>
          <w:lang w:val="es-ES"/>
        </w:rPr>
        <w:t>os aportes brindados por diversos sectores del Estado en el marco del “Protocolo Intersectorial para la participación del Estado peruano ante los Sistemas de Protección Internacional de Derechos Humanos”</w:t>
      </w:r>
      <w:r w:rsidR="00E1091A">
        <w:rPr>
          <w:rStyle w:val="Refdenotaalpie"/>
          <w:rFonts w:ascii="Times New Roman" w:hAnsi="Times New Roman" w:cs="Times New Roman"/>
          <w:lang w:val="es-ES"/>
        </w:rPr>
        <w:footnoteReference w:id="1"/>
      </w:r>
      <w:r w:rsidRPr="00E11AC5">
        <w:rPr>
          <w:rFonts w:ascii="Times New Roman" w:hAnsi="Times New Roman" w:cs="Times New Roman"/>
          <w:lang w:val="es-ES"/>
        </w:rPr>
        <w:t>, a partir de normas, políticas y buenas prácticas relacionadas a la temática.</w:t>
      </w:r>
      <w:r w:rsidR="00E1091A">
        <w:rPr>
          <w:rFonts w:ascii="Times New Roman" w:hAnsi="Times New Roman" w:cs="Times New Roman"/>
          <w:lang w:val="es-ES"/>
        </w:rPr>
        <w:t xml:space="preserve"> Además</w:t>
      </w:r>
      <w:r w:rsidRPr="00E11AC5">
        <w:rPr>
          <w:rFonts w:ascii="Times New Roman" w:hAnsi="Times New Roman" w:cs="Times New Roman"/>
          <w:lang w:val="es-ES"/>
        </w:rPr>
        <w:t>, se realizó una revisión de la legislación nacional en la materia a través del sitio web del Sistema Peruano de Información Jurídica – SPIJ (</w:t>
      </w:r>
      <w:hyperlink r:id="rId8" w:anchor="/sidenav/resultado" w:history="1">
        <w:r w:rsidRPr="00E11AC5">
          <w:rPr>
            <w:rStyle w:val="Hipervnculo"/>
            <w:rFonts w:ascii="Times New Roman" w:hAnsi="Times New Roman" w:cs="Times New Roman"/>
            <w:lang w:val="es-ES"/>
          </w:rPr>
          <w:t>https://spij.minjus.gob.pe/spij-ext-web/#/sidenav/resultado</w:t>
        </w:r>
      </w:hyperlink>
      <w:r w:rsidRPr="00E11AC5">
        <w:rPr>
          <w:rFonts w:ascii="Times New Roman" w:hAnsi="Times New Roman" w:cs="Times New Roman"/>
          <w:lang w:val="es-ES"/>
        </w:rPr>
        <w:t>).</w:t>
      </w:r>
      <w:r>
        <w:rPr>
          <w:rFonts w:ascii="Times New Roman" w:hAnsi="Times New Roman" w:cs="Times New Roman"/>
          <w:lang w:val="es-ES"/>
        </w:rPr>
        <w:t xml:space="preserve"> </w:t>
      </w:r>
    </w:p>
    <w:p w14:paraId="1C2F3304" w14:textId="59C4F1C0" w:rsidR="00D54530" w:rsidRDefault="00D54530" w:rsidP="000E7824">
      <w:pPr>
        <w:spacing w:after="0"/>
        <w:jc w:val="both"/>
        <w:rPr>
          <w:rFonts w:ascii="Times New Roman" w:hAnsi="Times New Roman" w:cs="Times New Roman"/>
          <w:lang w:val="es-ES"/>
        </w:rPr>
      </w:pPr>
    </w:p>
    <w:p w14:paraId="737B2FA9" w14:textId="57E04939" w:rsidR="00D54530" w:rsidRDefault="00D54530" w:rsidP="000E7824">
      <w:pPr>
        <w:spacing w:after="0"/>
        <w:jc w:val="both"/>
        <w:rPr>
          <w:rFonts w:ascii="Times New Roman" w:hAnsi="Times New Roman" w:cs="Times New Roman"/>
          <w:lang w:val="es-ES"/>
        </w:rPr>
      </w:pPr>
    </w:p>
    <w:p w14:paraId="52660006" w14:textId="2E1BCABC" w:rsidR="00D54530" w:rsidRDefault="00D54530" w:rsidP="000E7824">
      <w:pPr>
        <w:spacing w:after="0"/>
        <w:jc w:val="both"/>
        <w:rPr>
          <w:rFonts w:ascii="Times New Roman" w:hAnsi="Times New Roman" w:cs="Times New Roman"/>
          <w:lang w:val="es-ES"/>
        </w:rPr>
      </w:pPr>
    </w:p>
    <w:p w14:paraId="7B3D5EFE" w14:textId="7C722829" w:rsidR="00D54530" w:rsidRDefault="00D54530" w:rsidP="000E7824">
      <w:pPr>
        <w:spacing w:after="0"/>
        <w:jc w:val="both"/>
        <w:rPr>
          <w:rFonts w:ascii="Times New Roman" w:hAnsi="Times New Roman" w:cs="Times New Roman"/>
          <w:lang w:val="es-ES"/>
        </w:rPr>
      </w:pPr>
    </w:p>
    <w:p w14:paraId="427BB0B2" w14:textId="1E3663A0" w:rsidR="00D54530" w:rsidRDefault="00D54530" w:rsidP="000E7824">
      <w:pPr>
        <w:spacing w:after="0"/>
        <w:jc w:val="both"/>
        <w:rPr>
          <w:rFonts w:ascii="Times New Roman" w:hAnsi="Times New Roman" w:cs="Times New Roman"/>
          <w:lang w:val="es-ES"/>
        </w:rPr>
      </w:pPr>
    </w:p>
    <w:p w14:paraId="2798A521" w14:textId="260398B7" w:rsidR="00D54530" w:rsidRDefault="00D54530" w:rsidP="000E7824">
      <w:pPr>
        <w:spacing w:after="0"/>
        <w:jc w:val="both"/>
        <w:rPr>
          <w:rFonts w:ascii="Times New Roman" w:hAnsi="Times New Roman" w:cs="Times New Roman"/>
          <w:lang w:val="es-ES"/>
        </w:rPr>
      </w:pPr>
    </w:p>
    <w:p w14:paraId="73066105" w14:textId="56C4F407" w:rsidR="00D54530" w:rsidRDefault="00D54530" w:rsidP="000E7824">
      <w:pPr>
        <w:spacing w:after="0"/>
        <w:jc w:val="both"/>
        <w:rPr>
          <w:rFonts w:ascii="Times New Roman" w:hAnsi="Times New Roman" w:cs="Times New Roman"/>
          <w:lang w:val="es-ES"/>
        </w:rPr>
      </w:pPr>
    </w:p>
    <w:p w14:paraId="5CD28A15" w14:textId="140823CB" w:rsidR="00D54530" w:rsidRDefault="00D54530" w:rsidP="000E7824">
      <w:pPr>
        <w:spacing w:after="0"/>
        <w:jc w:val="both"/>
        <w:rPr>
          <w:rFonts w:ascii="Times New Roman" w:hAnsi="Times New Roman" w:cs="Times New Roman"/>
          <w:lang w:val="es-ES"/>
        </w:rPr>
      </w:pPr>
    </w:p>
    <w:p w14:paraId="1751E642" w14:textId="3BFB3EB4" w:rsidR="00D54530" w:rsidRDefault="00D54530" w:rsidP="000E7824">
      <w:pPr>
        <w:spacing w:after="0"/>
        <w:jc w:val="both"/>
        <w:rPr>
          <w:rFonts w:ascii="Times New Roman" w:hAnsi="Times New Roman" w:cs="Times New Roman"/>
          <w:lang w:val="es-ES"/>
        </w:rPr>
      </w:pPr>
    </w:p>
    <w:p w14:paraId="30A1593B" w14:textId="38E8FE1B" w:rsidR="00D54530" w:rsidRDefault="00D54530" w:rsidP="000E7824">
      <w:pPr>
        <w:spacing w:after="0"/>
        <w:jc w:val="both"/>
        <w:rPr>
          <w:rFonts w:ascii="Times New Roman" w:hAnsi="Times New Roman" w:cs="Times New Roman"/>
          <w:lang w:val="es-ES"/>
        </w:rPr>
      </w:pPr>
    </w:p>
    <w:p w14:paraId="5D692B32" w14:textId="26AB11C1" w:rsidR="00D54530" w:rsidRDefault="00D54530" w:rsidP="000E7824">
      <w:pPr>
        <w:spacing w:after="0"/>
        <w:jc w:val="both"/>
        <w:rPr>
          <w:rFonts w:ascii="Times New Roman" w:hAnsi="Times New Roman" w:cs="Times New Roman"/>
          <w:lang w:val="es-ES"/>
        </w:rPr>
      </w:pPr>
    </w:p>
    <w:p w14:paraId="0BD4E4DF" w14:textId="015CE4A1" w:rsidR="00D54530" w:rsidRDefault="00D54530" w:rsidP="000E7824">
      <w:pPr>
        <w:spacing w:after="0"/>
        <w:jc w:val="both"/>
        <w:rPr>
          <w:rFonts w:ascii="Times New Roman" w:hAnsi="Times New Roman" w:cs="Times New Roman"/>
          <w:lang w:val="es-ES"/>
        </w:rPr>
      </w:pPr>
    </w:p>
    <w:p w14:paraId="63BBAF01" w14:textId="3235B43F" w:rsidR="00D54530" w:rsidRDefault="00D54530" w:rsidP="000E7824">
      <w:pPr>
        <w:spacing w:after="0"/>
        <w:jc w:val="both"/>
        <w:rPr>
          <w:rFonts w:ascii="Times New Roman" w:hAnsi="Times New Roman" w:cs="Times New Roman"/>
          <w:lang w:val="es-ES"/>
        </w:rPr>
      </w:pPr>
    </w:p>
    <w:p w14:paraId="5150B5FE" w14:textId="2062BAB3" w:rsidR="00D54530" w:rsidRDefault="00D54530" w:rsidP="000E7824">
      <w:pPr>
        <w:spacing w:after="0"/>
        <w:jc w:val="both"/>
        <w:rPr>
          <w:rFonts w:ascii="Times New Roman" w:hAnsi="Times New Roman" w:cs="Times New Roman"/>
          <w:lang w:val="es-ES"/>
        </w:rPr>
      </w:pPr>
    </w:p>
    <w:p w14:paraId="06A12E50" w14:textId="707A58E6" w:rsidR="00D54530" w:rsidRDefault="00D54530" w:rsidP="000E7824">
      <w:pPr>
        <w:spacing w:after="0"/>
        <w:jc w:val="both"/>
        <w:rPr>
          <w:rFonts w:ascii="Times New Roman" w:hAnsi="Times New Roman" w:cs="Times New Roman"/>
          <w:lang w:val="es-ES"/>
        </w:rPr>
      </w:pPr>
    </w:p>
    <w:p w14:paraId="20B16558" w14:textId="5089A920" w:rsidR="00D54530" w:rsidRDefault="00D54530" w:rsidP="000E7824">
      <w:pPr>
        <w:spacing w:after="0"/>
        <w:jc w:val="both"/>
        <w:rPr>
          <w:rFonts w:ascii="Times New Roman" w:hAnsi="Times New Roman" w:cs="Times New Roman"/>
          <w:lang w:val="es-ES"/>
        </w:rPr>
      </w:pPr>
    </w:p>
    <w:p w14:paraId="4C2A0764" w14:textId="036A6E35" w:rsidR="00D54530" w:rsidRDefault="00D54530" w:rsidP="000E7824">
      <w:pPr>
        <w:spacing w:after="0"/>
        <w:jc w:val="both"/>
        <w:rPr>
          <w:rFonts w:ascii="Times New Roman" w:hAnsi="Times New Roman" w:cs="Times New Roman"/>
          <w:lang w:val="es-ES"/>
        </w:rPr>
      </w:pPr>
    </w:p>
    <w:p w14:paraId="2512A9CB" w14:textId="58088F9C" w:rsidR="00D54530" w:rsidRDefault="00D54530" w:rsidP="000E7824">
      <w:pPr>
        <w:spacing w:after="0"/>
        <w:jc w:val="both"/>
        <w:rPr>
          <w:rFonts w:ascii="Times New Roman" w:hAnsi="Times New Roman" w:cs="Times New Roman"/>
          <w:lang w:val="es-ES"/>
        </w:rPr>
      </w:pPr>
    </w:p>
    <w:p w14:paraId="5B7A3CB8" w14:textId="7B785201" w:rsidR="00D54530" w:rsidRDefault="00D54530" w:rsidP="000E7824">
      <w:pPr>
        <w:spacing w:after="0"/>
        <w:jc w:val="both"/>
        <w:rPr>
          <w:rFonts w:ascii="Times New Roman" w:hAnsi="Times New Roman" w:cs="Times New Roman"/>
          <w:lang w:val="es-ES"/>
        </w:rPr>
      </w:pPr>
    </w:p>
    <w:p w14:paraId="51EEF788" w14:textId="579B1052" w:rsidR="00D54530" w:rsidRDefault="00D54530" w:rsidP="000E7824">
      <w:pPr>
        <w:spacing w:after="0"/>
        <w:jc w:val="both"/>
        <w:rPr>
          <w:rFonts w:ascii="Times New Roman" w:hAnsi="Times New Roman" w:cs="Times New Roman"/>
          <w:lang w:val="es-ES"/>
        </w:rPr>
      </w:pPr>
    </w:p>
    <w:p w14:paraId="72CDF38D" w14:textId="6205594A" w:rsidR="00D54530" w:rsidRDefault="00D54530" w:rsidP="000E7824">
      <w:pPr>
        <w:spacing w:after="0"/>
        <w:jc w:val="both"/>
        <w:rPr>
          <w:rFonts w:ascii="Times New Roman" w:hAnsi="Times New Roman" w:cs="Times New Roman"/>
          <w:lang w:val="es-ES"/>
        </w:rPr>
      </w:pPr>
    </w:p>
    <w:p w14:paraId="64F45309" w14:textId="77777777" w:rsidR="00D54530" w:rsidRDefault="00D54530" w:rsidP="000E7824">
      <w:pPr>
        <w:spacing w:after="0"/>
        <w:jc w:val="both"/>
        <w:rPr>
          <w:rFonts w:ascii="Times New Roman" w:hAnsi="Times New Roman" w:cs="Times New Roman"/>
          <w:lang w:val="es-ES"/>
        </w:rPr>
      </w:pPr>
    </w:p>
    <w:p w14:paraId="200C91A2" w14:textId="1D3BCA3F" w:rsidR="00D54530" w:rsidRDefault="00D54530" w:rsidP="00D54530">
      <w:pPr>
        <w:spacing w:after="0"/>
        <w:jc w:val="center"/>
        <w:rPr>
          <w:rFonts w:ascii="Times New Roman" w:hAnsi="Times New Roman" w:cs="Times New Roman"/>
          <w:b/>
          <w:bCs/>
          <w:lang w:val="es-ES"/>
        </w:rPr>
      </w:pPr>
    </w:p>
    <w:sdt>
      <w:sdtPr>
        <w:rPr>
          <w:rFonts w:asciiTheme="minorHAnsi" w:eastAsiaTheme="minorHAnsi" w:hAnsiTheme="minorHAnsi" w:cstheme="minorBidi"/>
          <w:color w:val="auto"/>
          <w:sz w:val="22"/>
          <w:szCs w:val="22"/>
          <w:lang w:val="es-ES" w:eastAsia="en-US"/>
        </w:rPr>
        <w:id w:val="1482508118"/>
        <w:docPartObj>
          <w:docPartGallery w:val="Table of Contents"/>
          <w:docPartUnique/>
        </w:docPartObj>
      </w:sdtPr>
      <w:sdtEndPr>
        <w:rPr>
          <w:b/>
          <w:bCs/>
        </w:rPr>
      </w:sdtEndPr>
      <w:sdtContent>
        <w:p w14:paraId="0480FEFF" w14:textId="5D92D0D1" w:rsidR="00BC40DC" w:rsidRPr="003D39AD" w:rsidRDefault="00BC40DC" w:rsidP="00BC40DC">
          <w:pPr>
            <w:pStyle w:val="TtuloTDC"/>
            <w:jc w:val="center"/>
            <w:rPr>
              <w:rFonts w:ascii="Times New Roman" w:hAnsi="Times New Roman" w:cs="Times New Roman"/>
              <w:b/>
              <w:bCs/>
              <w:color w:val="auto"/>
              <w:lang w:val="es-ES"/>
            </w:rPr>
          </w:pPr>
          <w:r w:rsidRPr="003D39AD">
            <w:rPr>
              <w:rFonts w:ascii="Times New Roman" w:hAnsi="Times New Roman" w:cs="Times New Roman"/>
              <w:b/>
              <w:bCs/>
              <w:color w:val="auto"/>
              <w:lang w:val="es-ES"/>
            </w:rPr>
            <w:t>Contenido</w:t>
          </w:r>
        </w:p>
        <w:p w14:paraId="6461CA00" w14:textId="77777777" w:rsidR="00BC40DC" w:rsidRPr="003D39AD" w:rsidRDefault="00BC40DC" w:rsidP="00BC40DC">
          <w:pPr>
            <w:rPr>
              <w:lang w:val="es-ES" w:eastAsia="es-PE"/>
            </w:rPr>
          </w:pPr>
        </w:p>
        <w:p w14:paraId="4FCB8800" w14:textId="440A087C" w:rsidR="003D39AD" w:rsidRPr="003D39AD" w:rsidRDefault="00BC40DC" w:rsidP="003D39AD">
          <w:pPr>
            <w:pStyle w:val="TDC1"/>
            <w:jc w:val="both"/>
            <w:rPr>
              <w:rStyle w:val="Hipervnculo"/>
              <w:b w:val="0"/>
              <w:bCs w:val="0"/>
            </w:rPr>
          </w:pPr>
          <w:r w:rsidRPr="003D39AD">
            <w:rPr>
              <w:b w:val="0"/>
              <w:bCs w:val="0"/>
            </w:rPr>
            <w:fldChar w:fldCharType="begin"/>
          </w:r>
          <w:r w:rsidRPr="003D39AD">
            <w:rPr>
              <w:b w:val="0"/>
              <w:bCs w:val="0"/>
            </w:rPr>
            <w:instrText xml:space="preserve"> TOC \o "1-3" \h \z \u </w:instrText>
          </w:r>
          <w:r w:rsidRPr="003D39AD">
            <w:rPr>
              <w:b w:val="0"/>
              <w:bCs w:val="0"/>
            </w:rPr>
            <w:fldChar w:fldCharType="separate"/>
          </w:r>
          <w:hyperlink w:anchor="_Toc162441642" w:history="1">
            <w:r w:rsidR="003D39AD" w:rsidRPr="003D39AD">
              <w:rPr>
                <w:rStyle w:val="Hipervnculo"/>
                <w:b w:val="0"/>
                <w:bCs w:val="0"/>
              </w:rPr>
              <w:t>I.</w:t>
            </w:r>
            <w:r w:rsidR="003D39AD" w:rsidRPr="003D39AD">
              <w:rPr>
                <w:rFonts w:asciiTheme="minorHAnsi" w:eastAsiaTheme="minorEastAsia" w:hAnsiTheme="minorHAnsi" w:cstheme="minorBidi"/>
                <w:b w:val="0"/>
                <w:bCs w:val="0"/>
                <w:lang w:val="es-PE" w:eastAsia="es-PE"/>
              </w:rPr>
              <w:tab/>
            </w:r>
            <w:r w:rsidR="003D39AD" w:rsidRPr="003D39AD">
              <w:rPr>
                <w:rStyle w:val="Hipervnculo"/>
                <w:b w:val="0"/>
                <w:bCs w:val="0"/>
              </w:rPr>
              <w:t>El tratamiento y protección de las personas migrantes contra la xenofobia y discriminación en la legislación y política pública nacional</w:t>
            </w:r>
            <w:r w:rsidR="003D39AD" w:rsidRPr="003D39AD">
              <w:rPr>
                <w:b w:val="0"/>
                <w:bCs w:val="0"/>
                <w:webHidden/>
              </w:rPr>
              <w:tab/>
            </w:r>
            <w:r w:rsidR="003D39AD" w:rsidRPr="003D39AD">
              <w:rPr>
                <w:b w:val="0"/>
                <w:bCs w:val="0"/>
                <w:webHidden/>
              </w:rPr>
              <w:fldChar w:fldCharType="begin"/>
            </w:r>
            <w:r w:rsidR="003D39AD" w:rsidRPr="003D39AD">
              <w:rPr>
                <w:b w:val="0"/>
                <w:bCs w:val="0"/>
                <w:webHidden/>
              </w:rPr>
              <w:instrText xml:space="preserve"> PAGEREF _Toc162441642 \h </w:instrText>
            </w:r>
            <w:r w:rsidR="003D39AD" w:rsidRPr="003D39AD">
              <w:rPr>
                <w:b w:val="0"/>
                <w:bCs w:val="0"/>
                <w:webHidden/>
              </w:rPr>
            </w:r>
            <w:r w:rsidR="003D39AD" w:rsidRPr="003D39AD">
              <w:rPr>
                <w:b w:val="0"/>
                <w:bCs w:val="0"/>
                <w:webHidden/>
              </w:rPr>
              <w:fldChar w:fldCharType="separate"/>
            </w:r>
            <w:r w:rsidR="003D39AD" w:rsidRPr="003D39AD">
              <w:rPr>
                <w:b w:val="0"/>
                <w:bCs w:val="0"/>
                <w:webHidden/>
              </w:rPr>
              <w:t>3</w:t>
            </w:r>
            <w:r w:rsidR="003D39AD" w:rsidRPr="003D39AD">
              <w:rPr>
                <w:b w:val="0"/>
                <w:bCs w:val="0"/>
                <w:webHidden/>
              </w:rPr>
              <w:fldChar w:fldCharType="end"/>
            </w:r>
          </w:hyperlink>
        </w:p>
        <w:p w14:paraId="4FF45D08" w14:textId="77777777" w:rsidR="003D39AD" w:rsidRPr="003D39AD" w:rsidRDefault="003D39AD" w:rsidP="003D39AD">
          <w:pPr>
            <w:rPr>
              <w:lang w:val="es-ES"/>
            </w:rPr>
          </w:pPr>
        </w:p>
        <w:p w14:paraId="4E2D3626" w14:textId="6B2C6F26" w:rsidR="003D39AD" w:rsidRPr="003D39AD" w:rsidRDefault="003B3FCC" w:rsidP="003D39AD">
          <w:pPr>
            <w:pStyle w:val="TDC1"/>
            <w:jc w:val="both"/>
            <w:rPr>
              <w:rStyle w:val="Hipervnculo"/>
              <w:b w:val="0"/>
              <w:bCs w:val="0"/>
            </w:rPr>
          </w:pPr>
          <w:hyperlink w:anchor="_Toc162441643" w:history="1">
            <w:r w:rsidR="003D39AD" w:rsidRPr="003D39AD">
              <w:rPr>
                <w:rStyle w:val="Hipervnculo"/>
                <w:b w:val="0"/>
                <w:bCs w:val="0"/>
              </w:rPr>
              <w:t>II.</w:t>
            </w:r>
            <w:r w:rsidR="003D39AD" w:rsidRPr="003D39AD">
              <w:rPr>
                <w:rFonts w:asciiTheme="minorHAnsi" w:eastAsiaTheme="minorEastAsia" w:hAnsiTheme="minorHAnsi" w:cstheme="minorBidi"/>
                <w:b w:val="0"/>
                <w:bCs w:val="0"/>
                <w:lang w:val="es-PE" w:eastAsia="es-PE"/>
              </w:rPr>
              <w:tab/>
            </w:r>
            <w:r w:rsidR="003D39AD" w:rsidRPr="003D39AD">
              <w:rPr>
                <w:rStyle w:val="Hipervnculo"/>
                <w:b w:val="0"/>
                <w:bCs w:val="0"/>
              </w:rPr>
              <w:t>Espacios y herramientas dirigidas a la lucha contra la xenofobia y discriminación contra las personas migrantes</w:t>
            </w:r>
            <w:r w:rsidR="003D39AD" w:rsidRPr="003D39AD">
              <w:rPr>
                <w:b w:val="0"/>
                <w:bCs w:val="0"/>
                <w:webHidden/>
              </w:rPr>
              <w:tab/>
            </w:r>
            <w:r w:rsidR="003D39AD" w:rsidRPr="003D39AD">
              <w:rPr>
                <w:b w:val="0"/>
                <w:bCs w:val="0"/>
                <w:webHidden/>
              </w:rPr>
              <w:fldChar w:fldCharType="begin"/>
            </w:r>
            <w:r w:rsidR="003D39AD" w:rsidRPr="003D39AD">
              <w:rPr>
                <w:b w:val="0"/>
                <w:bCs w:val="0"/>
                <w:webHidden/>
              </w:rPr>
              <w:instrText xml:space="preserve"> PAGEREF _Toc162441643 \h </w:instrText>
            </w:r>
            <w:r w:rsidR="003D39AD" w:rsidRPr="003D39AD">
              <w:rPr>
                <w:b w:val="0"/>
                <w:bCs w:val="0"/>
                <w:webHidden/>
              </w:rPr>
            </w:r>
            <w:r w:rsidR="003D39AD" w:rsidRPr="003D39AD">
              <w:rPr>
                <w:b w:val="0"/>
                <w:bCs w:val="0"/>
                <w:webHidden/>
              </w:rPr>
              <w:fldChar w:fldCharType="separate"/>
            </w:r>
            <w:r w:rsidR="003D39AD" w:rsidRPr="003D39AD">
              <w:rPr>
                <w:b w:val="0"/>
                <w:bCs w:val="0"/>
                <w:webHidden/>
              </w:rPr>
              <w:t>5</w:t>
            </w:r>
            <w:r w:rsidR="003D39AD" w:rsidRPr="003D39AD">
              <w:rPr>
                <w:b w:val="0"/>
                <w:bCs w:val="0"/>
                <w:webHidden/>
              </w:rPr>
              <w:fldChar w:fldCharType="end"/>
            </w:r>
          </w:hyperlink>
        </w:p>
        <w:p w14:paraId="22B0F161" w14:textId="77777777" w:rsidR="003D39AD" w:rsidRPr="003D39AD" w:rsidRDefault="003D39AD" w:rsidP="003D39AD">
          <w:pPr>
            <w:rPr>
              <w:lang w:val="es-ES"/>
            </w:rPr>
          </w:pPr>
        </w:p>
        <w:p w14:paraId="37833AF4" w14:textId="28EE7C9E" w:rsidR="003D39AD" w:rsidRPr="003D39AD" w:rsidRDefault="003B3FCC" w:rsidP="003D39AD">
          <w:pPr>
            <w:pStyle w:val="TDC1"/>
            <w:jc w:val="both"/>
            <w:rPr>
              <w:rFonts w:asciiTheme="minorHAnsi" w:eastAsiaTheme="minorEastAsia" w:hAnsiTheme="minorHAnsi" w:cstheme="minorBidi"/>
              <w:b w:val="0"/>
              <w:bCs w:val="0"/>
              <w:lang w:val="es-PE" w:eastAsia="es-PE"/>
            </w:rPr>
          </w:pPr>
          <w:hyperlink w:anchor="_Toc162441644" w:history="1">
            <w:r w:rsidR="003D39AD" w:rsidRPr="003D39AD">
              <w:rPr>
                <w:rStyle w:val="Hipervnculo"/>
                <w:b w:val="0"/>
                <w:bCs w:val="0"/>
              </w:rPr>
              <w:t>III.</w:t>
            </w:r>
            <w:r w:rsidR="003D39AD" w:rsidRPr="003D39AD">
              <w:rPr>
                <w:rFonts w:asciiTheme="minorHAnsi" w:eastAsiaTheme="minorEastAsia" w:hAnsiTheme="minorHAnsi" w:cstheme="minorBidi"/>
                <w:b w:val="0"/>
                <w:bCs w:val="0"/>
                <w:lang w:val="es-PE" w:eastAsia="es-PE"/>
              </w:rPr>
              <w:tab/>
            </w:r>
            <w:r w:rsidR="003D39AD" w:rsidRPr="003D39AD">
              <w:rPr>
                <w:rStyle w:val="Hipervnculo"/>
                <w:b w:val="0"/>
                <w:bCs w:val="0"/>
              </w:rPr>
              <w:t>Iniciativas para la promoción de narrativas positivas sobre la migración a nivel comunicacional</w:t>
            </w:r>
            <w:r w:rsidR="003D39AD" w:rsidRPr="003D39AD">
              <w:rPr>
                <w:b w:val="0"/>
                <w:bCs w:val="0"/>
                <w:webHidden/>
              </w:rPr>
              <w:tab/>
            </w:r>
            <w:r w:rsidR="003D39AD" w:rsidRPr="003D39AD">
              <w:rPr>
                <w:b w:val="0"/>
                <w:bCs w:val="0"/>
                <w:webHidden/>
              </w:rPr>
              <w:fldChar w:fldCharType="begin"/>
            </w:r>
            <w:r w:rsidR="003D39AD" w:rsidRPr="003D39AD">
              <w:rPr>
                <w:b w:val="0"/>
                <w:bCs w:val="0"/>
                <w:webHidden/>
              </w:rPr>
              <w:instrText xml:space="preserve"> PAGEREF _Toc162441644 \h </w:instrText>
            </w:r>
            <w:r w:rsidR="003D39AD" w:rsidRPr="003D39AD">
              <w:rPr>
                <w:b w:val="0"/>
                <w:bCs w:val="0"/>
                <w:webHidden/>
              </w:rPr>
            </w:r>
            <w:r w:rsidR="003D39AD" w:rsidRPr="003D39AD">
              <w:rPr>
                <w:b w:val="0"/>
                <w:bCs w:val="0"/>
                <w:webHidden/>
              </w:rPr>
              <w:fldChar w:fldCharType="separate"/>
            </w:r>
            <w:r w:rsidR="003D39AD" w:rsidRPr="003D39AD">
              <w:rPr>
                <w:b w:val="0"/>
                <w:bCs w:val="0"/>
                <w:webHidden/>
              </w:rPr>
              <w:t>6</w:t>
            </w:r>
            <w:r w:rsidR="003D39AD" w:rsidRPr="003D39AD">
              <w:rPr>
                <w:b w:val="0"/>
                <w:bCs w:val="0"/>
                <w:webHidden/>
              </w:rPr>
              <w:fldChar w:fldCharType="end"/>
            </w:r>
          </w:hyperlink>
        </w:p>
        <w:p w14:paraId="63C34251" w14:textId="407972BD" w:rsidR="00BC40DC" w:rsidRDefault="00BC40DC" w:rsidP="003D39AD">
          <w:pPr>
            <w:spacing w:after="0"/>
            <w:jc w:val="both"/>
          </w:pPr>
          <w:r w:rsidRPr="003D39AD">
            <w:rPr>
              <w:lang w:val="es-ES"/>
            </w:rPr>
            <w:fldChar w:fldCharType="end"/>
          </w:r>
        </w:p>
      </w:sdtContent>
    </w:sdt>
    <w:p w14:paraId="19CA96ED" w14:textId="455126E2" w:rsidR="00D54530" w:rsidRDefault="00D54530" w:rsidP="00D54530">
      <w:pPr>
        <w:spacing w:after="0"/>
        <w:jc w:val="both"/>
        <w:rPr>
          <w:rFonts w:ascii="Times New Roman" w:hAnsi="Times New Roman" w:cs="Times New Roman"/>
          <w:lang w:val="es-ES"/>
        </w:rPr>
      </w:pPr>
    </w:p>
    <w:p w14:paraId="66CFC185" w14:textId="4B3FEADA" w:rsidR="000D0813" w:rsidRDefault="000D0813" w:rsidP="00D54530">
      <w:pPr>
        <w:spacing w:after="0"/>
        <w:jc w:val="both"/>
        <w:rPr>
          <w:rFonts w:ascii="Times New Roman" w:hAnsi="Times New Roman" w:cs="Times New Roman"/>
          <w:lang w:val="es-ES"/>
        </w:rPr>
      </w:pPr>
    </w:p>
    <w:p w14:paraId="6E21775F" w14:textId="14ED70F9" w:rsidR="000D0813" w:rsidRDefault="000D0813" w:rsidP="00D54530">
      <w:pPr>
        <w:spacing w:after="0"/>
        <w:jc w:val="both"/>
        <w:rPr>
          <w:rFonts w:ascii="Times New Roman" w:hAnsi="Times New Roman" w:cs="Times New Roman"/>
          <w:lang w:val="es-ES"/>
        </w:rPr>
      </w:pPr>
    </w:p>
    <w:p w14:paraId="7413C4DD" w14:textId="35744C45" w:rsidR="000D0813" w:rsidRDefault="000D0813" w:rsidP="00D54530">
      <w:pPr>
        <w:spacing w:after="0"/>
        <w:jc w:val="both"/>
        <w:rPr>
          <w:rFonts w:ascii="Times New Roman" w:hAnsi="Times New Roman" w:cs="Times New Roman"/>
          <w:lang w:val="es-ES"/>
        </w:rPr>
      </w:pPr>
    </w:p>
    <w:p w14:paraId="499EC1D1" w14:textId="6A7E4517" w:rsidR="000D0813" w:rsidRDefault="000D0813" w:rsidP="00D54530">
      <w:pPr>
        <w:spacing w:after="0"/>
        <w:jc w:val="both"/>
        <w:rPr>
          <w:rFonts w:ascii="Times New Roman" w:hAnsi="Times New Roman" w:cs="Times New Roman"/>
          <w:lang w:val="es-ES"/>
        </w:rPr>
      </w:pPr>
    </w:p>
    <w:p w14:paraId="092D7F37" w14:textId="31761E20" w:rsidR="000D0813" w:rsidRDefault="000D0813" w:rsidP="00D54530">
      <w:pPr>
        <w:spacing w:after="0"/>
        <w:jc w:val="both"/>
        <w:rPr>
          <w:rFonts w:ascii="Times New Roman" w:hAnsi="Times New Roman" w:cs="Times New Roman"/>
          <w:lang w:val="es-ES"/>
        </w:rPr>
      </w:pPr>
    </w:p>
    <w:p w14:paraId="1B6E6D7F" w14:textId="766B59A1" w:rsidR="000D0813" w:rsidRDefault="000D0813" w:rsidP="00D54530">
      <w:pPr>
        <w:spacing w:after="0"/>
        <w:jc w:val="both"/>
        <w:rPr>
          <w:rFonts w:ascii="Times New Roman" w:hAnsi="Times New Roman" w:cs="Times New Roman"/>
          <w:lang w:val="es-ES"/>
        </w:rPr>
      </w:pPr>
    </w:p>
    <w:p w14:paraId="0F5A740C" w14:textId="1C229BE5" w:rsidR="000D0813" w:rsidRDefault="000D0813" w:rsidP="00D54530">
      <w:pPr>
        <w:spacing w:after="0"/>
        <w:jc w:val="both"/>
        <w:rPr>
          <w:rFonts w:ascii="Times New Roman" w:hAnsi="Times New Roman" w:cs="Times New Roman"/>
          <w:lang w:val="es-ES"/>
        </w:rPr>
      </w:pPr>
    </w:p>
    <w:p w14:paraId="76C3681F" w14:textId="417E557D" w:rsidR="000D0813" w:rsidRDefault="000D0813" w:rsidP="00D54530">
      <w:pPr>
        <w:spacing w:after="0"/>
        <w:jc w:val="both"/>
        <w:rPr>
          <w:rFonts w:ascii="Times New Roman" w:hAnsi="Times New Roman" w:cs="Times New Roman"/>
          <w:lang w:val="es-ES"/>
        </w:rPr>
      </w:pPr>
    </w:p>
    <w:p w14:paraId="26A2695D" w14:textId="3FB0DD2B" w:rsidR="000D0813" w:rsidRDefault="000D0813" w:rsidP="00D54530">
      <w:pPr>
        <w:spacing w:after="0"/>
        <w:jc w:val="both"/>
        <w:rPr>
          <w:rFonts w:ascii="Times New Roman" w:hAnsi="Times New Roman" w:cs="Times New Roman"/>
          <w:lang w:val="es-ES"/>
        </w:rPr>
      </w:pPr>
    </w:p>
    <w:p w14:paraId="7F217FED" w14:textId="4335A7F9" w:rsidR="000D0813" w:rsidRDefault="000D0813" w:rsidP="00D54530">
      <w:pPr>
        <w:spacing w:after="0"/>
        <w:jc w:val="both"/>
        <w:rPr>
          <w:rFonts w:ascii="Times New Roman" w:hAnsi="Times New Roman" w:cs="Times New Roman"/>
          <w:lang w:val="es-ES"/>
        </w:rPr>
      </w:pPr>
    </w:p>
    <w:p w14:paraId="7C79E57A" w14:textId="6B657A58" w:rsidR="000D0813" w:rsidRDefault="000D0813" w:rsidP="00D54530">
      <w:pPr>
        <w:spacing w:after="0"/>
        <w:jc w:val="both"/>
        <w:rPr>
          <w:rFonts w:ascii="Times New Roman" w:hAnsi="Times New Roman" w:cs="Times New Roman"/>
          <w:lang w:val="es-ES"/>
        </w:rPr>
      </w:pPr>
    </w:p>
    <w:p w14:paraId="2F137A15" w14:textId="193F31B3" w:rsidR="000D0813" w:rsidRDefault="000D0813" w:rsidP="00D54530">
      <w:pPr>
        <w:spacing w:after="0"/>
        <w:jc w:val="both"/>
        <w:rPr>
          <w:rFonts w:ascii="Times New Roman" w:hAnsi="Times New Roman" w:cs="Times New Roman"/>
          <w:lang w:val="es-ES"/>
        </w:rPr>
      </w:pPr>
    </w:p>
    <w:p w14:paraId="2862711A" w14:textId="6399BA73" w:rsidR="000D0813" w:rsidRDefault="000D0813" w:rsidP="00D54530">
      <w:pPr>
        <w:spacing w:after="0"/>
        <w:jc w:val="both"/>
        <w:rPr>
          <w:rFonts w:ascii="Times New Roman" w:hAnsi="Times New Roman" w:cs="Times New Roman"/>
          <w:lang w:val="es-ES"/>
        </w:rPr>
      </w:pPr>
    </w:p>
    <w:p w14:paraId="1B92BCF9" w14:textId="67686536" w:rsidR="000D0813" w:rsidRDefault="000D0813" w:rsidP="00D54530">
      <w:pPr>
        <w:spacing w:after="0"/>
        <w:jc w:val="both"/>
        <w:rPr>
          <w:rFonts w:ascii="Times New Roman" w:hAnsi="Times New Roman" w:cs="Times New Roman"/>
          <w:lang w:val="es-ES"/>
        </w:rPr>
      </w:pPr>
    </w:p>
    <w:p w14:paraId="2AFFB0C5" w14:textId="2E2D3B7A" w:rsidR="000D0813" w:rsidRDefault="000D0813" w:rsidP="00D54530">
      <w:pPr>
        <w:spacing w:after="0"/>
        <w:jc w:val="both"/>
        <w:rPr>
          <w:rFonts w:ascii="Times New Roman" w:hAnsi="Times New Roman" w:cs="Times New Roman"/>
          <w:lang w:val="es-ES"/>
        </w:rPr>
      </w:pPr>
    </w:p>
    <w:p w14:paraId="184F7CDB" w14:textId="3C75A69D" w:rsidR="000D0813" w:rsidRDefault="000D0813" w:rsidP="00D54530">
      <w:pPr>
        <w:spacing w:after="0"/>
        <w:jc w:val="both"/>
        <w:rPr>
          <w:rFonts w:ascii="Times New Roman" w:hAnsi="Times New Roman" w:cs="Times New Roman"/>
          <w:lang w:val="es-ES"/>
        </w:rPr>
      </w:pPr>
    </w:p>
    <w:p w14:paraId="0885B2B3" w14:textId="0C253274" w:rsidR="000D0813" w:rsidRDefault="000D0813" w:rsidP="00D54530">
      <w:pPr>
        <w:spacing w:after="0"/>
        <w:jc w:val="both"/>
        <w:rPr>
          <w:rFonts w:ascii="Times New Roman" w:hAnsi="Times New Roman" w:cs="Times New Roman"/>
          <w:lang w:val="es-ES"/>
        </w:rPr>
      </w:pPr>
    </w:p>
    <w:p w14:paraId="0A0D532D" w14:textId="3C3CA051" w:rsidR="000D0813" w:rsidRDefault="000D0813" w:rsidP="00D54530">
      <w:pPr>
        <w:spacing w:after="0"/>
        <w:jc w:val="both"/>
        <w:rPr>
          <w:rFonts w:ascii="Times New Roman" w:hAnsi="Times New Roman" w:cs="Times New Roman"/>
          <w:lang w:val="es-ES"/>
        </w:rPr>
      </w:pPr>
    </w:p>
    <w:p w14:paraId="7CDF1B63" w14:textId="162AAE9C" w:rsidR="000D0813" w:rsidRDefault="000D0813" w:rsidP="00D54530">
      <w:pPr>
        <w:spacing w:after="0"/>
        <w:jc w:val="both"/>
        <w:rPr>
          <w:rFonts w:ascii="Times New Roman" w:hAnsi="Times New Roman" w:cs="Times New Roman"/>
          <w:lang w:val="es-ES"/>
        </w:rPr>
      </w:pPr>
    </w:p>
    <w:p w14:paraId="7E796412" w14:textId="1200F8BC" w:rsidR="000D0813" w:rsidRDefault="000D0813" w:rsidP="00D54530">
      <w:pPr>
        <w:spacing w:after="0"/>
        <w:jc w:val="both"/>
        <w:rPr>
          <w:rFonts w:ascii="Times New Roman" w:hAnsi="Times New Roman" w:cs="Times New Roman"/>
          <w:lang w:val="es-ES"/>
        </w:rPr>
      </w:pPr>
    </w:p>
    <w:p w14:paraId="4A52F0E1" w14:textId="6AEFC47F" w:rsidR="000D0813" w:rsidRDefault="000D0813" w:rsidP="00D54530">
      <w:pPr>
        <w:spacing w:after="0"/>
        <w:jc w:val="both"/>
        <w:rPr>
          <w:rFonts w:ascii="Times New Roman" w:hAnsi="Times New Roman" w:cs="Times New Roman"/>
          <w:lang w:val="es-ES"/>
        </w:rPr>
      </w:pPr>
    </w:p>
    <w:p w14:paraId="0B523766" w14:textId="6C23EFE3" w:rsidR="000D0813" w:rsidRDefault="000D0813" w:rsidP="00D54530">
      <w:pPr>
        <w:spacing w:after="0"/>
        <w:jc w:val="both"/>
        <w:rPr>
          <w:rFonts w:ascii="Times New Roman" w:hAnsi="Times New Roman" w:cs="Times New Roman"/>
          <w:lang w:val="es-ES"/>
        </w:rPr>
      </w:pPr>
    </w:p>
    <w:p w14:paraId="39B6BB45" w14:textId="323B1DCF" w:rsidR="000D0813" w:rsidRDefault="000D0813" w:rsidP="00D54530">
      <w:pPr>
        <w:spacing w:after="0"/>
        <w:jc w:val="both"/>
        <w:rPr>
          <w:rFonts w:ascii="Times New Roman" w:hAnsi="Times New Roman" w:cs="Times New Roman"/>
          <w:lang w:val="es-ES"/>
        </w:rPr>
      </w:pPr>
    </w:p>
    <w:p w14:paraId="20F35C94" w14:textId="33334D18" w:rsidR="000D0813" w:rsidRDefault="000D0813" w:rsidP="00D54530">
      <w:pPr>
        <w:spacing w:after="0"/>
        <w:jc w:val="both"/>
        <w:rPr>
          <w:rFonts w:ascii="Times New Roman" w:hAnsi="Times New Roman" w:cs="Times New Roman"/>
          <w:lang w:val="es-ES"/>
        </w:rPr>
      </w:pPr>
    </w:p>
    <w:p w14:paraId="52215574" w14:textId="63D824C5" w:rsidR="000D0813" w:rsidRDefault="000D0813" w:rsidP="00D54530">
      <w:pPr>
        <w:spacing w:after="0"/>
        <w:jc w:val="both"/>
        <w:rPr>
          <w:rFonts w:ascii="Times New Roman" w:hAnsi="Times New Roman" w:cs="Times New Roman"/>
          <w:lang w:val="es-ES"/>
        </w:rPr>
      </w:pPr>
    </w:p>
    <w:p w14:paraId="76078D67" w14:textId="1AC8A194" w:rsidR="000D0813" w:rsidRDefault="000D0813" w:rsidP="00D54530">
      <w:pPr>
        <w:spacing w:after="0"/>
        <w:jc w:val="both"/>
        <w:rPr>
          <w:rFonts w:ascii="Times New Roman" w:hAnsi="Times New Roman" w:cs="Times New Roman"/>
          <w:lang w:val="es-ES"/>
        </w:rPr>
      </w:pPr>
    </w:p>
    <w:p w14:paraId="1DEB79AB" w14:textId="0286FA1A" w:rsidR="000D0813" w:rsidRDefault="000D0813" w:rsidP="00D54530">
      <w:pPr>
        <w:spacing w:after="0"/>
        <w:jc w:val="both"/>
        <w:rPr>
          <w:rFonts w:ascii="Times New Roman" w:hAnsi="Times New Roman" w:cs="Times New Roman"/>
          <w:lang w:val="es-ES"/>
        </w:rPr>
      </w:pPr>
    </w:p>
    <w:p w14:paraId="0F356501" w14:textId="77777777" w:rsidR="00E1091A" w:rsidRDefault="00E1091A" w:rsidP="00D54530">
      <w:pPr>
        <w:spacing w:after="0"/>
        <w:jc w:val="both"/>
        <w:rPr>
          <w:rFonts w:ascii="Times New Roman" w:hAnsi="Times New Roman" w:cs="Times New Roman"/>
          <w:lang w:val="es-ES"/>
        </w:rPr>
      </w:pPr>
    </w:p>
    <w:p w14:paraId="4722B589" w14:textId="199B2D1A" w:rsidR="000D0813" w:rsidRDefault="000D0813" w:rsidP="00D54530">
      <w:pPr>
        <w:spacing w:after="0"/>
        <w:jc w:val="both"/>
        <w:rPr>
          <w:rFonts w:ascii="Times New Roman" w:hAnsi="Times New Roman" w:cs="Times New Roman"/>
          <w:lang w:val="es-ES"/>
        </w:rPr>
      </w:pPr>
    </w:p>
    <w:p w14:paraId="2C7C9FF2" w14:textId="77777777" w:rsidR="00123B20" w:rsidRDefault="00123B20" w:rsidP="00D54530">
      <w:pPr>
        <w:spacing w:after="0"/>
        <w:jc w:val="both"/>
        <w:rPr>
          <w:rFonts w:ascii="Times New Roman" w:hAnsi="Times New Roman" w:cs="Times New Roman"/>
          <w:lang w:val="es-ES"/>
        </w:rPr>
      </w:pPr>
    </w:p>
    <w:p w14:paraId="6C3BFB1B" w14:textId="3F312320" w:rsidR="00212E04" w:rsidRDefault="00834103" w:rsidP="0027155F">
      <w:pPr>
        <w:pStyle w:val="Ttulo1"/>
        <w:numPr>
          <w:ilvl w:val="0"/>
          <w:numId w:val="2"/>
        </w:numPr>
        <w:spacing w:before="0"/>
        <w:jc w:val="both"/>
        <w:rPr>
          <w:rFonts w:ascii="Times New Roman" w:hAnsi="Times New Roman" w:cs="Times New Roman"/>
          <w:b/>
          <w:bCs/>
          <w:color w:val="000000" w:themeColor="text1"/>
          <w:sz w:val="22"/>
          <w:szCs w:val="22"/>
          <w:lang w:val="es-ES"/>
        </w:rPr>
      </w:pPr>
      <w:bookmarkStart w:id="0" w:name="_Toc162441642"/>
      <w:r>
        <w:rPr>
          <w:rFonts w:ascii="Times New Roman" w:hAnsi="Times New Roman" w:cs="Times New Roman"/>
          <w:b/>
          <w:bCs/>
          <w:color w:val="000000" w:themeColor="text1"/>
          <w:sz w:val="22"/>
          <w:szCs w:val="22"/>
          <w:lang w:val="es-ES"/>
        </w:rPr>
        <w:t>El tratamiento y protección de las personas migrantes contra la xenofobia y discrimina</w:t>
      </w:r>
      <w:r w:rsidR="003D7FC0">
        <w:rPr>
          <w:rFonts w:ascii="Times New Roman" w:hAnsi="Times New Roman" w:cs="Times New Roman"/>
          <w:b/>
          <w:bCs/>
          <w:color w:val="000000" w:themeColor="text1"/>
          <w:sz w:val="22"/>
          <w:szCs w:val="22"/>
          <w:lang w:val="es-ES"/>
        </w:rPr>
        <w:t xml:space="preserve">ción </w:t>
      </w:r>
      <w:r>
        <w:rPr>
          <w:rFonts w:ascii="Times New Roman" w:hAnsi="Times New Roman" w:cs="Times New Roman"/>
          <w:b/>
          <w:bCs/>
          <w:color w:val="000000" w:themeColor="text1"/>
          <w:sz w:val="22"/>
          <w:szCs w:val="22"/>
          <w:lang w:val="es-ES"/>
        </w:rPr>
        <w:t xml:space="preserve">en la </w:t>
      </w:r>
      <w:r w:rsidR="00212E04">
        <w:rPr>
          <w:rFonts w:ascii="Times New Roman" w:hAnsi="Times New Roman" w:cs="Times New Roman"/>
          <w:b/>
          <w:bCs/>
          <w:color w:val="000000" w:themeColor="text1"/>
          <w:sz w:val="22"/>
          <w:szCs w:val="22"/>
          <w:lang w:val="es-ES"/>
        </w:rPr>
        <w:t xml:space="preserve">legislación y política pública </w:t>
      </w:r>
      <w:r w:rsidR="0027155F">
        <w:rPr>
          <w:rFonts w:ascii="Times New Roman" w:hAnsi="Times New Roman" w:cs="Times New Roman"/>
          <w:b/>
          <w:bCs/>
          <w:color w:val="000000" w:themeColor="text1"/>
          <w:sz w:val="22"/>
          <w:szCs w:val="22"/>
          <w:lang w:val="es-ES"/>
        </w:rPr>
        <w:t>nacional</w:t>
      </w:r>
      <w:bookmarkEnd w:id="0"/>
    </w:p>
    <w:p w14:paraId="2C82853A" w14:textId="1D7194C0" w:rsidR="0092635D" w:rsidRDefault="0092635D" w:rsidP="0092635D">
      <w:pPr>
        <w:spacing w:after="0"/>
        <w:rPr>
          <w:lang w:val="es-ES"/>
        </w:rPr>
      </w:pPr>
    </w:p>
    <w:p w14:paraId="143F9973" w14:textId="124DC138" w:rsidR="00A246D9" w:rsidRDefault="0027155F" w:rsidP="00E14CE0">
      <w:pPr>
        <w:pStyle w:val="Prrafodelista"/>
        <w:numPr>
          <w:ilvl w:val="1"/>
          <w:numId w:val="2"/>
        </w:numPr>
        <w:spacing w:after="0"/>
        <w:jc w:val="both"/>
        <w:rPr>
          <w:rFonts w:ascii="Times New Roman" w:hAnsi="Times New Roman" w:cs="Times New Roman"/>
          <w:lang w:val="es-ES"/>
        </w:rPr>
      </w:pPr>
      <w:r w:rsidRPr="00E14CE0">
        <w:rPr>
          <w:rFonts w:ascii="Times New Roman" w:hAnsi="Times New Roman" w:cs="Times New Roman"/>
          <w:lang w:val="es-ES"/>
        </w:rPr>
        <w:t>L</w:t>
      </w:r>
      <w:r w:rsidR="00A246D9">
        <w:rPr>
          <w:rFonts w:ascii="Times New Roman" w:hAnsi="Times New Roman" w:cs="Times New Roman"/>
          <w:lang w:val="es-ES"/>
        </w:rPr>
        <w:t>a Constitución Política del Perú, en su artículo 2.2, determina que todas las personas tienen derecho a la igualdad, y prohíbe la discriminación por múltiples motivos prohibidos, incluyendo el origen, la raza, el idioma, o cualquier otra índole.</w:t>
      </w:r>
    </w:p>
    <w:p w14:paraId="69068FC1" w14:textId="77777777" w:rsidR="00A246D9" w:rsidRDefault="00A246D9" w:rsidP="00A246D9">
      <w:pPr>
        <w:pStyle w:val="Prrafodelista"/>
        <w:spacing w:after="0"/>
        <w:ind w:left="360"/>
        <w:jc w:val="both"/>
        <w:rPr>
          <w:rFonts w:ascii="Times New Roman" w:hAnsi="Times New Roman" w:cs="Times New Roman"/>
          <w:lang w:val="es-ES"/>
        </w:rPr>
      </w:pPr>
    </w:p>
    <w:p w14:paraId="72DCA970" w14:textId="16C5A382" w:rsidR="0092635D" w:rsidRDefault="00122863" w:rsidP="00E14CE0">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En cuanto a una</w:t>
      </w:r>
      <w:r w:rsidR="0092635D" w:rsidRPr="00E14CE0">
        <w:rPr>
          <w:rFonts w:ascii="Times New Roman" w:hAnsi="Times New Roman" w:cs="Times New Roman"/>
          <w:lang w:val="es-ES"/>
        </w:rPr>
        <w:t xml:space="preserve"> definición de xenofobia</w:t>
      </w:r>
      <w:r w:rsidR="003B072C">
        <w:rPr>
          <w:rFonts w:ascii="Times New Roman" w:hAnsi="Times New Roman" w:cs="Times New Roman"/>
          <w:lang w:val="es-ES"/>
        </w:rPr>
        <w:t xml:space="preserve">, </w:t>
      </w:r>
      <w:r>
        <w:rPr>
          <w:rFonts w:ascii="Times New Roman" w:hAnsi="Times New Roman" w:cs="Times New Roman"/>
          <w:lang w:val="es-ES"/>
        </w:rPr>
        <w:t xml:space="preserve">las normas peruanas no la establecen; sin embargo, </w:t>
      </w:r>
      <w:r w:rsidR="0092635D" w:rsidRPr="00E14CE0">
        <w:rPr>
          <w:rFonts w:ascii="Times New Roman" w:hAnsi="Times New Roman" w:cs="Times New Roman"/>
          <w:lang w:val="es-ES"/>
        </w:rPr>
        <w:t>encontramos que se hace mención a este fenómeno en diversos instrumentos vinculados a la gestión migratoria y protección de personas migrantes en situación de vulnerabilidad. Por ejemplo, el Decreto Legislativo No. 1350, Decreto Legislativo de Migraciones, establece en el artículo VIII del Título Preliminar, al regular e</w:t>
      </w:r>
      <w:r w:rsidR="003B072C">
        <w:rPr>
          <w:rFonts w:ascii="Times New Roman" w:hAnsi="Times New Roman" w:cs="Times New Roman"/>
          <w:lang w:val="es-ES"/>
        </w:rPr>
        <w:t>l</w:t>
      </w:r>
      <w:r w:rsidR="0092635D" w:rsidRPr="00E14CE0">
        <w:rPr>
          <w:rFonts w:ascii="Times New Roman" w:hAnsi="Times New Roman" w:cs="Times New Roman"/>
          <w:lang w:val="es-ES"/>
        </w:rPr>
        <w:t xml:space="preserve"> principio de no discriminación, que “el Estado promueve la abolición de todo tipo de discriminación y la eliminación de todo tipo de prejuicio en materia migratoria y </w:t>
      </w:r>
      <w:r w:rsidR="0092635D" w:rsidRPr="006C28BF">
        <w:rPr>
          <w:rFonts w:ascii="Times New Roman" w:hAnsi="Times New Roman" w:cs="Times New Roman"/>
          <w:b/>
          <w:bCs/>
          <w:u w:val="single"/>
          <w:lang w:val="es-ES"/>
        </w:rPr>
        <w:t>rechaza de manera especial la xenofobia y el racismo</w:t>
      </w:r>
      <w:r w:rsidR="0092635D" w:rsidRPr="00E14CE0">
        <w:rPr>
          <w:rFonts w:ascii="Times New Roman" w:hAnsi="Times New Roman" w:cs="Times New Roman"/>
          <w:lang w:val="es-ES"/>
        </w:rPr>
        <w:t>”</w:t>
      </w:r>
      <w:r w:rsidR="006C28BF">
        <w:rPr>
          <w:rFonts w:ascii="Times New Roman" w:hAnsi="Times New Roman" w:cs="Times New Roman"/>
          <w:lang w:val="es-ES"/>
        </w:rPr>
        <w:t xml:space="preserve"> (énfasis agregado)</w:t>
      </w:r>
      <w:r w:rsidR="00531357">
        <w:rPr>
          <w:rStyle w:val="Refdenotaalpie"/>
          <w:rFonts w:ascii="Times New Roman" w:hAnsi="Times New Roman" w:cs="Times New Roman"/>
          <w:lang w:val="es-ES"/>
        </w:rPr>
        <w:footnoteReference w:id="2"/>
      </w:r>
      <w:r w:rsidR="0092635D" w:rsidRPr="00E14CE0">
        <w:rPr>
          <w:rFonts w:ascii="Times New Roman" w:hAnsi="Times New Roman" w:cs="Times New Roman"/>
          <w:lang w:val="es-ES"/>
        </w:rPr>
        <w:t>.</w:t>
      </w:r>
    </w:p>
    <w:p w14:paraId="60C668C6" w14:textId="77777777" w:rsidR="00E14CE0" w:rsidRPr="00E14CE0" w:rsidRDefault="00E14CE0" w:rsidP="00E14CE0">
      <w:pPr>
        <w:pStyle w:val="Prrafodelista"/>
        <w:spacing w:after="0"/>
        <w:ind w:left="360"/>
        <w:jc w:val="both"/>
        <w:rPr>
          <w:rFonts w:ascii="Times New Roman" w:hAnsi="Times New Roman" w:cs="Times New Roman"/>
          <w:lang w:val="es-ES"/>
        </w:rPr>
      </w:pPr>
    </w:p>
    <w:p w14:paraId="706E20E0" w14:textId="760656CB" w:rsidR="00FC2062" w:rsidRPr="00E14CE0" w:rsidRDefault="00531357" w:rsidP="00E14CE0">
      <w:pPr>
        <w:pStyle w:val="Prrafodelista"/>
        <w:numPr>
          <w:ilvl w:val="1"/>
          <w:numId w:val="2"/>
        </w:numPr>
        <w:spacing w:after="0"/>
        <w:jc w:val="both"/>
        <w:rPr>
          <w:rFonts w:ascii="Times New Roman" w:hAnsi="Times New Roman" w:cs="Times New Roman"/>
          <w:lang w:val="es-ES"/>
        </w:rPr>
      </w:pPr>
      <w:r w:rsidRPr="00E14CE0">
        <w:rPr>
          <w:rFonts w:ascii="Times New Roman" w:hAnsi="Times New Roman" w:cs="Times New Roman"/>
          <w:lang w:val="es-ES"/>
        </w:rPr>
        <w:t>En la misma línea, las “Directrices Intersectoriales para la prevención y persecución del delito, y la atención y protección de las personas en situación de tráfico ilícito de migrantes y víctimas de delitos en el contexto de la migración”</w:t>
      </w:r>
      <w:r>
        <w:rPr>
          <w:rStyle w:val="Refdenotaalpie"/>
          <w:rFonts w:ascii="Times New Roman" w:hAnsi="Times New Roman" w:cs="Times New Roman"/>
          <w:lang w:val="es-ES"/>
        </w:rPr>
        <w:footnoteReference w:id="3"/>
      </w:r>
      <w:r w:rsidR="0082083F" w:rsidRPr="00E14CE0">
        <w:rPr>
          <w:rFonts w:ascii="Times New Roman" w:hAnsi="Times New Roman" w:cs="Times New Roman"/>
          <w:lang w:val="es-ES"/>
        </w:rPr>
        <w:t xml:space="preserve"> </w:t>
      </w:r>
      <w:r w:rsidR="006A56AF" w:rsidRPr="00E14CE0">
        <w:rPr>
          <w:rFonts w:ascii="Times New Roman" w:hAnsi="Times New Roman" w:cs="Times New Roman"/>
          <w:lang w:val="es-ES"/>
        </w:rPr>
        <w:t xml:space="preserve">(en adelante, las Directrices Intersectoriales) </w:t>
      </w:r>
      <w:r w:rsidR="0082083F" w:rsidRPr="00E14CE0">
        <w:rPr>
          <w:rFonts w:ascii="Times New Roman" w:hAnsi="Times New Roman" w:cs="Times New Roman"/>
          <w:lang w:val="es-ES"/>
        </w:rPr>
        <w:t>establecen que para el abordaje del tráfico ilícito de migrantes (TIM) desde una perspectiva de derechos humanos se requiere, en otras cosas, “</w:t>
      </w:r>
      <w:r w:rsidR="0082083F" w:rsidRPr="002E7E00">
        <w:rPr>
          <w:rFonts w:ascii="Times New Roman" w:hAnsi="Times New Roman" w:cs="Times New Roman"/>
          <w:b/>
          <w:bCs/>
          <w:u w:val="single"/>
          <w:lang w:val="es-ES"/>
        </w:rPr>
        <w:t>una prevención que busque evitar el racismo, la xenofobia y la intolerancia hacia las personas migrantes</w:t>
      </w:r>
      <w:r w:rsidR="0082083F" w:rsidRPr="00E14CE0">
        <w:rPr>
          <w:rFonts w:ascii="Times New Roman" w:hAnsi="Times New Roman" w:cs="Times New Roman"/>
          <w:lang w:val="es-ES"/>
        </w:rPr>
        <w:t xml:space="preserve"> y una persecución respetuosa de las obligaciones internacionales asumidas por el Estado […]”</w:t>
      </w:r>
      <w:r w:rsidR="002E7E00">
        <w:rPr>
          <w:rStyle w:val="Refdenotaalpie"/>
          <w:rFonts w:ascii="Times New Roman" w:hAnsi="Times New Roman" w:cs="Times New Roman"/>
          <w:lang w:val="es-ES"/>
        </w:rPr>
        <w:footnoteReference w:id="4"/>
      </w:r>
      <w:r w:rsidR="002E7E00">
        <w:rPr>
          <w:rFonts w:ascii="Times New Roman" w:hAnsi="Times New Roman" w:cs="Times New Roman"/>
          <w:lang w:val="es-ES"/>
        </w:rPr>
        <w:t xml:space="preserve"> (énfasis agregado)</w:t>
      </w:r>
      <w:r w:rsidR="0082083F" w:rsidRPr="00E14CE0">
        <w:rPr>
          <w:rFonts w:ascii="Times New Roman" w:hAnsi="Times New Roman" w:cs="Times New Roman"/>
          <w:lang w:val="es-ES"/>
        </w:rPr>
        <w:t>.</w:t>
      </w:r>
      <w:r w:rsidR="006A56AF" w:rsidRPr="00E14CE0">
        <w:rPr>
          <w:rFonts w:ascii="Times New Roman" w:hAnsi="Times New Roman" w:cs="Times New Roman"/>
          <w:lang w:val="es-ES"/>
        </w:rPr>
        <w:t xml:space="preserve"> </w:t>
      </w:r>
    </w:p>
    <w:p w14:paraId="3E02B459" w14:textId="77777777" w:rsidR="00E14CE0" w:rsidRPr="00E14CE0" w:rsidRDefault="00E14CE0" w:rsidP="00E14CE0">
      <w:pPr>
        <w:pStyle w:val="Prrafodelista"/>
        <w:rPr>
          <w:rFonts w:ascii="Times New Roman" w:hAnsi="Times New Roman" w:cs="Times New Roman"/>
          <w:lang w:val="es-ES"/>
        </w:rPr>
      </w:pPr>
    </w:p>
    <w:p w14:paraId="7842B8B9" w14:textId="551860C9" w:rsidR="00E14CE0" w:rsidRDefault="006A56AF" w:rsidP="0092635D">
      <w:pPr>
        <w:pStyle w:val="Prrafodelista"/>
        <w:numPr>
          <w:ilvl w:val="1"/>
          <w:numId w:val="2"/>
        </w:numPr>
        <w:spacing w:after="0"/>
        <w:jc w:val="both"/>
        <w:rPr>
          <w:rFonts w:ascii="Times New Roman" w:hAnsi="Times New Roman" w:cs="Times New Roman"/>
          <w:lang w:val="es-ES"/>
        </w:rPr>
      </w:pPr>
      <w:r w:rsidRPr="00E14CE0">
        <w:rPr>
          <w:rFonts w:ascii="Times New Roman" w:hAnsi="Times New Roman" w:cs="Times New Roman"/>
          <w:lang w:val="es-ES"/>
        </w:rPr>
        <w:t xml:space="preserve">Las Directrices Intersectoriales también </w:t>
      </w:r>
      <w:r w:rsidR="0027155F" w:rsidRPr="00E14CE0">
        <w:rPr>
          <w:rFonts w:ascii="Times New Roman" w:hAnsi="Times New Roman" w:cs="Times New Roman"/>
          <w:lang w:val="es-ES"/>
        </w:rPr>
        <w:t>incorporan para su aplicación el enfoque de interculturalidad, y reconocen, conforme lo ha establecido la Comisión Interamericana de Derechos Humanos (CIDH), que “existen cada vez más frecuentes manifestaciones de racismo, xenofobia y otras formas de discriminación y trato inhumano y degradante contra los migrantes y sus familias en diferentes partes del mundo”</w:t>
      </w:r>
      <w:r w:rsidR="0027155F">
        <w:rPr>
          <w:rStyle w:val="Refdenotaalpie"/>
          <w:rFonts w:ascii="Times New Roman" w:hAnsi="Times New Roman" w:cs="Times New Roman"/>
          <w:lang w:val="es-ES"/>
        </w:rPr>
        <w:footnoteReference w:id="5"/>
      </w:r>
      <w:r w:rsidR="0027155F" w:rsidRPr="00E14CE0">
        <w:rPr>
          <w:rFonts w:ascii="Times New Roman" w:hAnsi="Times New Roman" w:cs="Times New Roman"/>
          <w:lang w:val="es-ES"/>
        </w:rPr>
        <w:t>.</w:t>
      </w:r>
      <w:r w:rsidR="00FC2062" w:rsidRPr="00E14CE0">
        <w:rPr>
          <w:rFonts w:ascii="Times New Roman" w:hAnsi="Times New Roman" w:cs="Times New Roman"/>
          <w:lang w:val="es-ES"/>
        </w:rPr>
        <w:t xml:space="preserve"> Además, en materia de información y sensibilización a la población sobre el TIM, las Directrices Intersectoriales contemplan el desarrollo de acciones de sensibilización contra la discriminación y la xenofobia hacia los/as migrantes en el país</w:t>
      </w:r>
      <w:r w:rsidR="002E7E00">
        <w:rPr>
          <w:rStyle w:val="Refdenotaalpie"/>
          <w:rFonts w:ascii="Times New Roman" w:hAnsi="Times New Roman" w:cs="Times New Roman"/>
          <w:lang w:val="es-ES"/>
        </w:rPr>
        <w:footnoteReference w:id="6"/>
      </w:r>
      <w:r w:rsidR="00FC2062" w:rsidRPr="00E14CE0">
        <w:rPr>
          <w:rFonts w:ascii="Times New Roman" w:hAnsi="Times New Roman" w:cs="Times New Roman"/>
          <w:lang w:val="es-ES"/>
        </w:rPr>
        <w:t>.</w:t>
      </w:r>
    </w:p>
    <w:p w14:paraId="32B57670" w14:textId="77777777" w:rsidR="00E14CE0" w:rsidRPr="00E14CE0" w:rsidRDefault="00E14CE0" w:rsidP="00E14CE0">
      <w:pPr>
        <w:pStyle w:val="Prrafodelista"/>
        <w:rPr>
          <w:rFonts w:ascii="Times New Roman" w:hAnsi="Times New Roman" w:cs="Times New Roman"/>
          <w:lang w:val="es-ES"/>
        </w:rPr>
      </w:pPr>
    </w:p>
    <w:p w14:paraId="3B298A80" w14:textId="0EB60F93" w:rsidR="00E14CE0" w:rsidRDefault="00C70773" w:rsidP="0092635D">
      <w:pPr>
        <w:pStyle w:val="Prrafodelista"/>
        <w:numPr>
          <w:ilvl w:val="1"/>
          <w:numId w:val="2"/>
        </w:numPr>
        <w:spacing w:after="0"/>
        <w:jc w:val="both"/>
        <w:rPr>
          <w:rFonts w:ascii="Times New Roman" w:hAnsi="Times New Roman" w:cs="Times New Roman"/>
          <w:lang w:val="es-ES"/>
        </w:rPr>
      </w:pPr>
      <w:r w:rsidRPr="00E14CE0">
        <w:rPr>
          <w:rFonts w:ascii="Times New Roman" w:hAnsi="Times New Roman" w:cs="Times New Roman"/>
          <w:lang w:val="es-ES"/>
        </w:rPr>
        <w:t>Cabe destacar también que la Ley de los Consejos de Consulta de las Comunidades Peruanas en el Exterior</w:t>
      </w:r>
      <w:r>
        <w:rPr>
          <w:rStyle w:val="Refdenotaalpie"/>
          <w:rFonts w:ascii="Times New Roman" w:hAnsi="Times New Roman" w:cs="Times New Roman"/>
          <w:lang w:val="es-ES"/>
        </w:rPr>
        <w:footnoteReference w:id="7"/>
      </w:r>
      <w:r w:rsidRPr="00E14CE0">
        <w:rPr>
          <w:rFonts w:ascii="Times New Roman" w:hAnsi="Times New Roman" w:cs="Times New Roman"/>
          <w:lang w:val="es-ES"/>
        </w:rPr>
        <w:t xml:space="preserve"> </w:t>
      </w:r>
      <w:r w:rsidR="002E7E00">
        <w:rPr>
          <w:rFonts w:ascii="Times New Roman" w:hAnsi="Times New Roman" w:cs="Times New Roman"/>
          <w:lang w:val="es-ES"/>
        </w:rPr>
        <w:t>contempla</w:t>
      </w:r>
      <w:r w:rsidRPr="00E14CE0">
        <w:rPr>
          <w:rFonts w:ascii="Times New Roman" w:hAnsi="Times New Roman" w:cs="Times New Roman"/>
          <w:lang w:val="es-ES"/>
        </w:rPr>
        <w:t xml:space="preserve"> como función de estos espacios el “rechazar y denunciar </w:t>
      </w:r>
      <w:r w:rsidRPr="002E7E00">
        <w:rPr>
          <w:rFonts w:ascii="Times New Roman" w:hAnsi="Times New Roman" w:cs="Times New Roman"/>
          <w:b/>
          <w:bCs/>
          <w:u w:val="single"/>
          <w:lang w:val="es-ES"/>
        </w:rPr>
        <w:t>toda expresión de intolerancia, discriminación, racismo y xenofobia</w:t>
      </w:r>
      <w:r w:rsidRPr="00E14CE0">
        <w:rPr>
          <w:rFonts w:ascii="Times New Roman" w:hAnsi="Times New Roman" w:cs="Times New Roman"/>
          <w:lang w:val="es-ES"/>
        </w:rPr>
        <w:t>”</w:t>
      </w:r>
      <w:r>
        <w:rPr>
          <w:rStyle w:val="Refdenotaalpie"/>
          <w:rFonts w:ascii="Times New Roman" w:hAnsi="Times New Roman" w:cs="Times New Roman"/>
          <w:lang w:val="es-ES"/>
        </w:rPr>
        <w:footnoteReference w:id="8"/>
      </w:r>
      <w:r w:rsidR="002E7E00">
        <w:rPr>
          <w:rFonts w:ascii="Times New Roman" w:hAnsi="Times New Roman" w:cs="Times New Roman"/>
          <w:lang w:val="es-ES"/>
        </w:rPr>
        <w:t xml:space="preserve"> (énfasis agregado)</w:t>
      </w:r>
      <w:r w:rsidRPr="00E14CE0">
        <w:rPr>
          <w:rFonts w:ascii="Times New Roman" w:hAnsi="Times New Roman" w:cs="Times New Roman"/>
          <w:lang w:val="es-ES"/>
        </w:rPr>
        <w:t>.</w:t>
      </w:r>
    </w:p>
    <w:p w14:paraId="6D85CAD6" w14:textId="2AE733ED" w:rsidR="00E14CE0" w:rsidRDefault="00E14CE0" w:rsidP="00E14CE0">
      <w:pPr>
        <w:spacing w:after="0"/>
        <w:jc w:val="both"/>
        <w:rPr>
          <w:rFonts w:ascii="Times New Roman" w:hAnsi="Times New Roman" w:cs="Times New Roman"/>
          <w:lang w:val="es-ES"/>
        </w:rPr>
      </w:pPr>
    </w:p>
    <w:p w14:paraId="5C84B2B7" w14:textId="0FE0C1D0" w:rsidR="00B95330" w:rsidRDefault="00B95330" w:rsidP="001B5E72">
      <w:pPr>
        <w:pStyle w:val="Prrafodelista"/>
        <w:numPr>
          <w:ilvl w:val="1"/>
          <w:numId w:val="2"/>
        </w:numPr>
        <w:spacing w:after="0"/>
        <w:jc w:val="both"/>
        <w:rPr>
          <w:rFonts w:ascii="Times New Roman" w:hAnsi="Times New Roman" w:cs="Times New Roman"/>
          <w:lang w:val="es-ES"/>
        </w:rPr>
      </w:pPr>
      <w:r w:rsidRPr="00B95330">
        <w:rPr>
          <w:rFonts w:ascii="Times New Roman" w:hAnsi="Times New Roman" w:cs="Times New Roman"/>
          <w:lang w:val="es-ES"/>
        </w:rPr>
        <w:t xml:space="preserve">De lo señalado, se puede inferir que </w:t>
      </w:r>
      <w:r w:rsidR="000A033E">
        <w:rPr>
          <w:rFonts w:ascii="Times New Roman" w:hAnsi="Times New Roman" w:cs="Times New Roman"/>
          <w:lang w:val="es-ES"/>
        </w:rPr>
        <w:t>si bien la legislación peruana carece</w:t>
      </w:r>
      <w:r w:rsidRPr="00B95330">
        <w:rPr>
          <w:rFonts w:ascii="Times New Roman" w:hAnsi="Times New Roman" w:cs="Times New Roman"/>
          <w:lang w:val="es-ES"/>
        </w:rPr>
        <w:t xml:space="preserve"> de una definición establecida de xenofobia, </w:t>
      </w:r>
      <w:r w:rsidR="000A033E">
        <w:rPr>
          <w:rFonts w:ascii="Times New Roman" w:hAnsi="Times New Roman" w:cs="Times New Roman"/>
          <w:lang w:val="es-ES"/>
        </w:rPr>
        <w:t>cuenta con instrumentos que reconocen</w:t>
      </w:r>
      <w:r w:rsidRPr="00B95330">
        <w:rPr>
          <w:rFonts w:ascii="Times New Roman" w:hAnsi="Times New Roman" w:cs="Times New Roman"/>
          <w:lang w:val="es-ES"/>
        </w:rPr>
        <w:t xml:space="preserve"> que: i) la xenofobia es una práctica asociada a la discriminación e intolerancia que afecta a las personas migrantes en particular; ii) los actos de xenofobia tienen un efecto dañino en la protección de la población migrante, y afectan el ejercicio de sus derechos; y iii) es un deber del Estado el combatir los actos de xenofobia contra los/as migrantes.</w:t>
      </w:r>
    </w:p>
    <w:p w14:paraId="03C21A65" w14:textId="77777777" w:rsidR="001B5E72" w:rsidRPr="001B5E72" w:rsidRDefault="001B5E72" w:rsidP="001B5E72">
      <w:pPr>
        <w:pStyle w:val="Prrafodelista"/>
        <w:rPr>
          <w:rFonts w:ascii="Times New Roman" w:hAnsi="Times New Roman" w:cs="Times New Roman"/>
          <w:lang w:val="es-ES"/>
        </w:rPr>
      </w:pPr>
    </w:p>
    <w:p w14:paraId="3CF97F42" w14:textId="274A39B1" w:rsidR="001B5E72" w:rsidRPr="004D24B9" w:rsidRDefault="004D24B9" w:rsidP="001B5E72">
      <w:pPr>
        <w:pStyle w:val="Prrafodelista"/>
        <w:numPr>
          <w:ilvl w:val="1"/>
          <w:numId w:val="2"/>
        </w:numPr>
        <w:spacing w:after="0"/>
        <w:jc w:val="both"/>
        <w:rPr>
          <w:rFonts w:ascii="Times New Roman" w:hAnsi="Times New Roman" w:cs="Times New Roman"/>
          <w:lang w:val="es-ES"/>
        </w:rPr>
      </w:pPr>
      <w:r w:rsidRPr="004D24B9">
        <w:rPr>
          <w:rFonts w:ascii="Times New Roman" w:hAnsi="Times New Roman" w:cs="Times New Roman"/>
          <w:lang w:val="es-ES"/>
        </w:rPr>
        <w:t>Aunque en las normas generales no se establece una sanción contra los actos de xenofobia, encontramos que el</w:t>
      </w:r>
      <w:r w:rsidR="001B5E72" w:rsidRPr="004D24B9">
        <w:rPr>
          <w:rFonts w:ascii="Times New Roman" w:hAnsi="Times New Roman" w:cs="Times New Roman"/>
          <w:lang w:val="es-ES"/>
        </w:rPr>
        <w:t xml:space="preserve"> artículo 323 del Código Penal</w:t>
      </w:r>
      <w:r w:rsidR="001B5E72">
        <w:rPr>
          <w:rStyle w:val="Refdenotaalpie"/>
          <w:rFonts w:ascii="Times New Roman" w:hAnsi="Times New Roman" w:cs="Times New Roman"/>
          <w:lang w:val="es-ES"/>
        </w:rPr>
        <w:footnoteReference w:id="9"/>
      </w:r>
      <w:r w:rsidR="001B5E72" w:rsidRPr="004D24B9">
        <w:rPr>
          <w:rFonts w:ascii="Times New Roman" w:hAnsi="Times New Roman" w:cs="Times New Roman"/>
          <w:lang w:val="es-ES"/>
        </w:rPr>
        <w:t xml:space="preserve"> peruano </w:t>
      </w:r>
      <w:r>
        <w:rPr>
          <w:rFonts w:ascii="Times New Roman" w:hAnsi="Times New Roman" w:cs="Times New Roman"/>
          <w:lang w:val="es-ES"/>
        </w:rPr>
        <w:t>sí castiga los actos de</w:t>
      </w:r>
      <w:r w:rsidR="001B5E72" w:rsidRPr="004D24B9">
        <w:rPr>
          <w:rFonts w:ascii="Times New Roman" w:hAnsi="Times New Roman" w:cs="Times New Roman"/>
          <w:lang w:val="es-ES"/>
        </w:rPr>
        <w:t xml:space="preserve"> discriminación e incitación a la discriminación en los siguientes términos: </w:t>
      </w:r>
    </w:p>
    <w:p w14:paraId="4A93CAB6" w14:textId="77777777" w:rsidR="001B5E72" w:rsidRDefault="001B5E72" w:rsidP="001B5E72">
      <w:pPr>
        <w:spacing w:after="0"/>
        <w:jc w:val="both"/>
        <w:rPr>
          <w:rFonts w:ascii="Times New Roman" w:hAnsi="Times New Roman" w:cs="Times New Roman"/>
          <w:lang w:val="es-ES"/>
        </w:rPr>
      </w:pPr>
    </w:p>
    <w:p w14:paraId="22D489C0" w14:textId="77777777" w:rsidR="001B5E72" w:rsidRDefault="001B5E72" w:rsidP="001B5E72">
      <w:pPr>
        <w:spacing w:after="0"/>
        <w:ind w:left="708"/>
        <w:jc w:val="both"/>
        <w:rPr>
          <w:rFonts w:ascii="Times New Roman" w:hAnsi="Times New Roman" w:cs="Times New Roman"/>
          <w:lang w:val="es-ES"/>
        </w:rPr>
      </w:pPr>
      <w:r>
        <w:rPr>
          <w:rFonts w:ascii="Times New Roman" w:hAnsi="Times New Roman" w:cs="Times New Roman"/>
          <w:lang w:val="es-ES"/>
        </w:rPr>
        <w:t xml:space="preserve">“El que por sí o mediante terceros realiza actos de distinción, exclusión, restricción o preferencia que anulan o menoscaban el reconocimiento, goce o ejercicio de cualquier derecho de una persona o grupo de personas reconocido en la ley, la Constitución o en los tratados de derechos humanos de los cuales el Perú es parte, basada en motivos raciales, […] nacionalidad, […] idioma, […] identidad étnica o cultural, […] condición migratoria, […] o cualquier otro motivo, será reprimido con pena privativa de la libertad no menor de dos ni mayor de tres años, o con prestación de servicios a la comunidad de sesenta a ciento veinte jornadas”. </w:t>
      </w:r>
    </w:p>
    <w:p w14:paraId="4EB5583A" w14:textId="77777777" w:rsidR="001B5E72" w:rsidRDefault="001B5E72" w:rsidP="001B5E72">
      <w:pPr>
        <w:spacing w:after="0"/>
        <w:jc w:val="both"/>
        <w:rPr>
          <w:rFonts w:ascii="Times New Roman" w:hAnsi="Times New Roman" w:cs="Times New Roman"/>
          <w:lang w:val="es-ES"/>
        </w:rPr>
      </w:pPr>
    </w:p>
    <w:p w14:paraId="1E067BDE" w14:textId="1FA0DD7A" w:rsidR="001B5E72" w:rsidRDefault="001B5E72" w:rsidP="001B5E72">
      <w:pPr>
        <w:pStyle w:val="Prrafodelista"/>
        <w:numPr>
          <w:ilvl w:val="1"/>
          <w:numId w:val="2"/>
        </w:numPr>
        <w:spacing w:after="0"/>
        <w:jc w:val="both"/>
        <w:rPr>
          <w:rFonts w:ascii="Times New Roman" w:hAnsi="Times New Roman" w:cs="Times New Roman"/>
          <w:lang w:val="es-ES"/>
        </w:rPr>
      </w:pPr>
      <w:r w:rsidRPr="00E14CE0">
        <w:rPr>
          <w:rFonts w:ascii="Times New Roman" w:hAnsi="Times New Roman" w:cs="Times New Roman"/>
          <w:lang w:val="es-ES"/>
        </w:rPr>
        <w:t xml:space="preserve">Asimismo, se establece un agravante en caso quien realice el acto de discriminación lo haga en su calidad de servidor/a civil, o si el hecho se comete “mediante actos de violencia física o mental, a través de internet u otro medio análogo”. En dichos casos, la sanción debe ser no menor de dos ni mayor de cuatro años, y se aplica la inhabilitación para el ejercicio de la función pública. </w:t>
      </w:r>
    </w:p>
    <w:p w14:paraId="795D65E9" w14:textId="77777777" w:rsidR="008A3B20" w:rsidRDefault="008A3B20" w:rsidP="008A3B20">
      <w:pPr>
        <w:pStyle w:val="Prrafodelista"/>
        <w:spacing w:after="0"/>
        <w:ind w:left="360"/>
        <w:jc w:val="both"/>
        <w:rPr>
          <w:rFonts w:ascii="Times New Roman" w:hAnsi="Times New Roman" w:cs="Times New Roman"/>
          <w:lang w:val="es-ES"/>
        </w:rPr>
      </w:pPr>
    </w:p>
    <w:p w14:paraId="7B90E7BC" w14:textId="0B81983A" w:rsidR="008A3B20" w:rsidRDefault="008A3B20" w:rsidP="001B5E72">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 xml:space="preserve">Adicionalmente, a nivel general, el Código Penal contempla como parte de las circunstancias agravantes de todos los hechos punibles regulados el “ejecutar el delito bajo móviles de intolerancia o discriminación, tales como el origen, raza, religión, sexo, orientación sexual, identidad de género, factor genético, </w:t>
      </w:r>
      <w:r w:rsidRPr="008A3B20">
        <w:rPr>
          <w:rFonts w:ascii="Times New Roman" w:hAnsi="Times New Roman" w:cs="Times New Roman"/>
          <w:lang w:val="es-ES"/>
        </w:rPr>
        <w:t>filiación, edad, discapacidad, idioma, identidad étnica y cultural, indumentaria, opinión, condición económica, o de cualquier otra índole</w:t>
      </w:r>
      <w:r>
        <w:rPr>
          <w:rFonts w:ascii="Times New Roman" w:hAnsi="Times New Roman" w:cs="Times New Roman"/>
          <w:lang w:val="es-ES"/>
        </w:rPr>
        <w:t>”</w:t>
      </w:r>
      <w:r>
        <w:rPr>
          <w:rStyle w:val="Refdenotaalpie"/>
          <w:rFonts w:ascii="Times New Roman" w:hAnsi="Times New Roman" w:cs="Times New Roman"/>
          <w:lang w:val="es-ES"/>
        </w:rPr>
        <w:footnoteReference w:id="10"/>
      </w:r>
      <w:r w:rsidRPr="008A3B20">
        <w:rPr>
          <w:rFonts w:ascii="Times New Roman" w:hAnsi="Times New Roman" w:cs="Times New Roman"/>
          <w:lang w:val="es-ES"/>
        </w:rPr>
        <w:t>.</w:t>
      </w:r>
    </w:p>
    <w:p w14:paraId="54320149" w14:textId="409DDBE1" w:rsidR="004D24B9" w:rsidRDefault="004D24B9" w:rsidP="004D24B9">
      <w:pPr>
        <w:pStyle w:val="Prrafodelista"/>
        <w:spacing w:after="0"/>
        <w:ind w:left="360"/>
        <w:jc w:val="both"/>
        <w:rPr>
          <w:rFonts w:ascii="Times New Roman" w:hAnsi="Times New Roman" w:cs="Times New Roman"/>
          <w:lang w:val="es-ES"/>
        </w:rPr>
      </w:pPr>
    </w:p>
    <w:p w14:paraId="7AFC2EC4" w14:textId="212429B3" w:rsidR="004D24B9" w:rsidRPr="00E14CE0" w:rsidRDefault="00401762" w:rsidP="001B5E72">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Si bien el uso del Derecho Penal no debe ser la regla o única herramienta en la lucha contra la discriminación, se destaca la existencia de esta disposición que brinda una opción a nivel legal para recurrir a la justicia frente a situaciones en las que otros mecanismos de control social han fallado para prevenir y erradicar los actos de discriminación por motivos prohibidos, incluyendo aquellos asociados a la nacionalidad, origen, condición migratoria, entre otros.</w:t>
      </w:r>
    </w:p>
    <w:p w14:paraId="7B2634BC" w14:textId="77777777" w:rsidR="001B5E72" w:rsidRPr="001B5E72" w:rsidRDefault="001B5E72" w:rsidP="001B5E72">
      <w:pPr>
        <w:spacing w:after="0"/>
        <w:jc w:val="both"/>
        <w:rPr>
          <w:rFonts w:ascii="Times New Roman" w:hAnsi="Times New Roman" w:cs="Times New Roman"/>
          <w:lang w:val="es-ES"/>
        </w:rPr>
      </w:pPr>
    </w:p>
    <w:p w14:paraId="58F72DDD" w14:textId="3C9FD217" w:rsidR="00A246D9" w:rsidRDefault="00E1752D" w:rsidP="00B95330">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 xml:space="preserve">Los gobiernos regionales y locales en el país también cumplen un importante rol en la promoción de la igualdad y no discriminación. En el ámbito legal, se observa que se han emitido ordenanzas municipales por parte de varios gobiernos a nivel descentralizado que </w:t>
      </w:r>
      <w:r>
        <w:rPr>
          <w:rFonts w:ascii="Times New Roman" w:hAnsi="Times New Roman" w:cs="Times New Roman"/>
          <w:lang w:val="es-ES"/>
        </w:rPr>
        <w:lastRenderedPageBreak/>
        <w:t xml:space="preserve">tienen por objetivo promover la igualdad, y prevenir, prohibir y sancionar toda manifestación de prácticas o actos discriminatorios en espacios públicos, en concreto </w:t>
      </w:r>
      <w:r w:rsidR="005A6D0A">
        <w:rPr>
          <w:rFonts w:ascii="Times New Roman" w:hAnsi="Times New Roman" w:cs="Times New Roman"/>
          <w:lang w:val="es-ES"/>
        </w:rPr>
        <w:t xml:space="preserve">en </w:t>
      </w:r>
      <w:r>
        <w:rPr>
          <w:rFonts w:ascii="Times New Roman" w:hAnsi="Times New Roman" w:cs="Times New Roman"/>
          <w:lang w:val="es-ES"/>
        </w:rPr>
        <w:t>establecimientos y servicios. Un ejemplo de ello es la Ordenanza No. 2160 de la Municipalidad Metropolitana de Lima</w:t>
      </w:r>
      <w:r w:rsidR="001F699C">
        <w:rPr>
          <w:rStyle w:val="Refdenotaalpie"/>
          <w:rFonts w:ascii="Times New Roman" w:hAnsi="Times New Roman" w:cs="Times New Roman"/>
          <w:lang w:val="es-ES"/>
        </w:rPr>
        <w:footnoteReference w:id="11"/>
      </w:r>
      <w:r>
        <w:rPr>
          <w:rFonts w:ascii="Times New Roman" w:hAnsi="Times New Roman" w:cs="Times New Roman"/>
          <w:lang w:val="es-ES"/>
        </w:rPr>
        <w:t>, que define las manifestaciones de prácticas o actos discriminatorios como</w:t>
      </w:r>
      <w:r w:rsidR="004B2482">
        <w:rPr>
          <w:rFonts w:ascii="Times New Roman" w:hAnsi="Times New Roman" w:cs="Times New Roman"/>
          <w:lang w:val="es-ES"/>
        </w:rPr>
        <w:t xml:space="preserve">: i) </w:t>
      </w:r>
      <w:r>
        <w:rPr>
          <w:rFonts w:ascii="Times New Roman" w:hAnsi="Times New Roman" w:cs="Times New Roman"/>
          <w:lang w:val="es-ES"/>
        </w:rPr>
        <w:t>acciones que buscan impedir o negar el acceso</w:t>
      </w:r>
      <w:r w:rsidR="004B2482">
        <w:rPr>
          <w:rFonts w:ascii="Times New Roman" w:hAnsi="Times New Roman" w:cs="Times New Roman"/>
          <w:lang w:val="es-ES"/>
        </w:rPr>
        <w:t xml:space="preserve"> a espacios o servicios</w:t>
      </w:r>
      <w:r>
        <w:rPr>
          <w:rFonts w:ascii="Times New Roman" w:hAnsi="Times New Roman" w:cs="Times New Roman"/>
          <w:lang w:val="es-ES"/>
        </w:rPr>
        <w:t xml:space="preserve"> por motivos prohibidos,</w:t>
      </w:r>
      <w:r w:rsidR="004B2482">
        <w:rPr>
          <w:rFonts w:ascii="Times New Roman" w:hAnsi="Times New Roman" w:cs="Times New Roman"/>
          <w:lang w:val="es-ES"/>
        </w:rPr>
        <w:t xml:space="preserve"> ii) </w:t>
      </w:r>
      <w:r>
        <w:rPr>
          <w:rFonts w:ascii="Times New Roman" w:hAnsi="Times New Roman" w:cs="Times New Roman"/>
          <w:lang w:val="es-ES"/>
        </w:rPr>
        <w:t>conductas como el hacer comentarios relacionados a, entre otros motivos, la raza, origen étnico, lugar de origen o residencia, idioma, o de cualquier otra índole</w:t>
      </w:r>
      <w:r w:rsidR="004B2482">
        <w:rPr>
          <w:rFonts w:ascii="Times New Roman" w:hAnsi="Times New Roman" w:cs="Times New Roman"/>
          <w:lang w:val="es-ES"/>
        </w:rPr>
        <w:t xml:space="preserve">; </w:t>
      </w:r>
      <w:r w:rsidR="001F699C">
        <w:rPr>
          <w:rFonts w:ascii="Times New Roman" w:hAnsi="Times New Roman" w:cs="Times New Roman"/>
          <w:lang w:val="es-ES"/>
        </w:rPr>
        <w:t>u</w:t>
      </w:r>
      <w:r w:rsidR="004B2482">
        <w:rPr>
          <w:rFonts w:ascii="Times New Roman" w:hAnsi="Times New Roman" w:cs="Times New Roman"/>
          <w:lang w:val="es-ES"/>
        </w:rPr>
        <w:t xml:space="preserve"> iii) </w:t>
      </w:r>
      <w:r w:rsidR="001F699C">
        <w:rPr>
          <w:rFonts w:ascii="Times New Roman" w:hAnsi="Times New Roman" w:cs="Times New Roman"/>
          <w:lang w:val="es-ES"/>
        </w:rPr>
        <w:t>otras conductas derivadas de las prácticas o actos discriminatorios</w:t>
      </w:r>
      <w:r w:rsidR="001F699C">
        <w:rPr>
          <w:rStyle w:val="Refdenotaalpie"/>
          <w:rFonts w:ascii="Times New Roman" w:hAnsi="Times New Roman" w:cs="Times New Roman"/>
          <w:lang w:val="es-ES"/>
        </w:rPr>
        <w:footnoteReference w:id="12"/>
      </w:r>
      <w:r w:rsidR="001F699C">
        <w:rPr>
          <w:rFonts w:ascii="Times New Roman" w:hAnsi="Times New Roman" w:cs="Times New Roman"/>
          <w:lang w:val="es-ES"/>
        </w:rPr>
        <w:t>.</w:t>
      </w:r>
    </w:p>
    <w:p w14:paraId="1DA7661B" w14:textId="77777777" w:rsidR="00A246D9" w:rsidRPr="00A246D9" w:rsidRDefault="00A246D9" w:rsidP="00A246D9">
      <w:pPr>
        <w:pStyle w:val="Prrafodelista"/>
        <w:rPr>
          <w:rFonts w:ascii="Times New Roman" w:hAnsi="Times New Roman" w:cs="Times New Roman"/>
          <w:lang w:val="es-ES"/>
        </w:rPr>
      </w:pPr>
    </w:p>
    <w:p w14:paraId="76751AFF" w14:textId="1FCDF512" w:rsidR="00B95330" w:rsidRDefault="00B95330" w:rsidP="00B95330">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A nivel d</w:t>
      </w:r>
      <w:r w:rsidR="00A246D9">
        <w:rPr>
          <w:rFonts w:ascii="Times New Roman" w:hAnsi="Times New Roman" w:cs="Times New Roman"/>
          <w:lang w:val="es-ES"/>
        </w:rPr>
        <w:t>e</w:t>
      </w:r>
      <w:r>
        <w:rPr>
          <w:rFonts w:ascii="Times New Roman" w:hAnsi="Times New Roman" w:cs="Times New Roman"/>
          <w:lang w:val="es-ES"/>
        </w:rPr>
        <w:t xml:space="preserve"> políticas públicas, encontramos que la Política Nacional Migratoria (PNM) 2017-2025</w:t>
      </w:r>
      <w:r w:rsidR="00551937">
        <w:rPr>
          <w:rFonts w:ascii="Times New Roman" w:hAnsi="Times New Roman" w:cs="Times New Roman"/>
          <w:lang w:val="es-ES"/>
        </w:rPr>
        <w:t xml:space="preserve"> en su Objetivo Específico N° 5, dirigido a la promoción de la integración de personas extranjeras en el país, establece como su Lineamiento 1: “Fortalecer acciones de prevención, investigación y sanción contra toda forma de violencia, en especial la violencia de género, discriminación, xenofobia y racismo hacia la población migrante”</w:t>
      </w:r>
      <w:r w:rsidR="005B110E">
        <w:rPr>
          <w:rFonts w:ascii="Times New Roman" w:hAnsi="Times New Roman" w:cs="Times New Roman"/>
          <w:lang w:val="es-ES"/>
        </w:rPr>
        <w:t xml:space="preserve">. </w:t>
      </w:r>
    </w:p>
    <w:p w14:paraId="5AA7883C" w14:textId="77777777" w:rsidR="00813C71" w:rsidRPr="00813C71" w:rsidRDefault="00813C71" w:rsidP="00813C71">
      <w:pPr>
        <w:pStyle w:val="Prrafodelista"/>
        <w:rPr>
          <w:rFonts w:ascii="Times New Roman" w:hAnsi="Times New Roman" w:cs="Times New Roman"/>
          <w:lang w:val="es-ES"/>
        </w:rPr>
      </w:pPr>
    </w:p>
    <w:p w14:paraId="4878BAEA" w14:textId="044F2909" w:rsidR="00813C71" w:rsidRDefault="00813C71" w:rsidP="00B95330">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La</w:t>
      </w:r>
      <w:r w:rsidR="00B41FCF">
        <w:rPr>
          <w:rFonts w:ascii="Times New Roman" w:hAnsi="Times New Roman" w:cs="Times New Roman"/>
          <w:lang w:val="es-ES"/>
        </w:rPr>
        <w:t xml:space="preserve"> articulación para la</w:t>
      </w:r>
      <w:r>
        <w:rPr>
          <w:rFonts w:ascii="Times New Roman" w:hAnsi="Times New Roman" w:cs="Times New Roman"/>
          <w:lang w:val="es-ES"/>
        </w:rPr>
        <w:t xml:space="preserve"> implementación</w:t>
      </w:r>
      <w:r w:rsidR="00B41FCF">
        <w:rPr>
          <w:rFonts w:ascii="Times New Roman" w:hAnsi="Times New Roman" w:cs="Times New Roman"/>
          <w:lang w:val="es-ES"/>
        </w:rPr>
        <w:t>, monitoreo y evaluación</w:t>
      </w:r>
      <w:r>
        <w:rPr>
          <w:rFonts w:ascii="Times New Roman" w:hAnsi="Times New Roman" w:cs="Times New Roman"/>
          <w:lang w:val="es-ES"/>
        </w:rPr>
        <w:t xml:space="preserve"> de la PNM 2017-2025, incluyendo el lineamiento referido, </w:t>
      </w:r>
      <w:r w:rsidR="00B41FCF">
        <w:rPr>
          <w:rFonts w:ascii="Times New Roman" w:hAnsi="Times New Roman" w:cs="Times New Roman"/>
          <w:lang w:val="es-ES"/>
        </w:rPr>
        <w:t>está a cargo del Ministerio de Relaciones Exteriores y</w:t>
      </w:r>
      <w:r>
        <w:rPr>
          <w:rFonts w:ascii="Times New Roman" w:hAnsi="Times New Roman" w:cs="Times New Roman"/>
          <w:lang w:val="es-ES"/>
        </w:rPr>
        <w:t xml:space="preserve"> la Mesa de Trabajo Intersectorial para la Gestión Migratoria (MTIGM), espacio de coordinación multisectorial en el que participan diversos sectores del Estado, incluyendo la Presidencia del Consejo de Ministros, el Ministerio de Trabajo y Promoción del Empleo, el Ministerio del Interior, el Ministerio de Educación, el Ministerio de la Mujer y Poblaciones Vulnerables, el Ministerio de Justicia y Derechos Humanos, el Ministerio de Salud, el Instituto Nacional de Estadística e Informática, entre otros. </w:t>
      </w:r>
    </w:p>
    <w:p w14:paraId="2264C41F" w14:textId="77777777" w:rsidR="00813C71" w:rsidRPr="00813C71" w:rsidRDefault="00813C71" w:rsidP="00813C71">
      <w:pPr>
        <w:pStyle w:val="Prrafodelista"/>
        <w:rPr>
          <w:rFonts w:ascii="Times New Roman" w:hAnsi="Times New Roman" w:cs="Times New Roman"/>
          <w:lang w:val="es-ES"/>
        </w:rPr>
      </w:pPr>
    </w:p>
    <w:p w14:paraId="607923F1" w14:textId="5A13AA28" w:rsidR="00813C71" w:rsidRDefault="00813C71" w:rsidP="00B95330">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Una de las premisas asociadas a encargar a la MTIGM la ejecución y seguimiento de la PNM es lograr su aplicación desde un enfoque transversal por parte de todas las instituciones concernidas en l</w:t>
      </w:r>
      <w:r w:rsidR="006D7687">
        <w:rPr>
          <w:rFonts w:ascii="Times New Roman" w:hAnsi="Times New Roman" w:cs="Times New Roman"/>
          <w:lang w:val="es-ES"/>
        </w:rPr>
        <w:t>a atención y protección de los/as migrantes</w:t>
      </w:r>
      <w:r w:rsidR="006C3FE6">
        <w:rPr>
          <w:rFonts w:ascii="Times New Roman" w:hAnsi="Times New Roman" w:cs="Times New Roman"/>
          <w:lang w:val="es-ES"/>
        </w:rPr>
        <w:t>, y lograr acuerdos en el marco de dicho espacio para su implementación efectiva.</w:t>
      </w:r>
    </w:p>
    <w:p w14:paraId="69F8F3A7" w14:textId="77777777" w:rsidR="006D7687" w:rsidRPr="006D7687" w:rsidRDefault="006D7687" w:rsidP="006D7687">
      <w:pPr>
        <w:pStyle w:val="Prrafodelista"/>
        <w:rPr>
          <w:rFonts w:ascii="Times New Roman" w:hAnsi="Times New Roman" w:cs="Times New Roman"/>
          <w:lang w:val="es-ES"/>
        </w:rPr>
      </w:pPr>
    </w:p>
    <w:p w14:paraId="65B4F3C7" w14:textId="75D7D82F" w:rsidR="006D7687" w:rsidRDefault="00D11519" w:rsidP="00B95330">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A la fecha, la PNM se encuentra en proceso de actualización a fin de optimizar su contenido. Un aspecto clave que se busca incorporar en este proceso en línea con las directrices dictadas por Centro Nacional de Planeamiento Estratégico (CEPLAN), organismo técnico del Estado que conduce el proceso de formulación y difusión de la visión compartida y concertada del futuro del país</w:t>
      </w:r>
      <w:r w:rsidR="00E11AC5">
        <w:rPr>
          <w:rStyle w:val="Refdenotaalpie"/>
          <w:rFonts w:ascii="Times New Roman" w:hAnsi="Times New Roman" w:cs="Times New Roman"/>
          <w:lang w:val="es-ES"/>
        </w:rPr>
        <w:footnoteReference w:id="13"/>
      </w:r>
      <w:r>
        <w:rPr>
          <w:rFonts w:ascii="Times New Roman" w:hAnsi="Times New Roman" w:cs="Times New Roman"/>
          <w:lang w:val="es-ES"/>
        </w:rPr>
        <w:t>, es el diseño e inclusión de indicadores para la medición de los avances y el logro de la visión futura deseada a partir de dicha política pública.</w:t>
      </w:r>
    </w:p>
    <w:p w14:paraId="52E7C7B0" w14:textId="77777777" w:rsidR="00123B20" w:rsidRPr="00591257" w:rsidRDefault="00123B20" w:rsidP="00591257">
      <w:pPr>
        <w:spacing w:after="0"/>
        <w:jc w:val="both"/>
        <w:rPr>
          <w:rFonts w:ascii="Times New Roman" w:hAnsi="Times New Roman" w:cs="Times New Roman"/>
          <w:lang w:val="es-ES"/>
        </w:rPr>
      </w:pPr>
    </w:p>
    <w:p w14:paraId="611AA06C" w14:textId="17D6D9F7" w:rsidR="003D7FC0" w:rsidRPr="00BC40DC" w:rsidRDefault="003D7FC0" w:rsidP="00591257">
      <w:pPr>
        <w:pStyle w:val="Ttulo1"/>
        <w:numPr>
          <w:ilvl w:val="0"/>
          <w:numId w:val="2"/>
        </w:numPr>
        <w:spacing w:before="0"/>
        <w:jc w:val="both"/>
        <w:rPr>
          <w:rFonts w:ascii="Times New Roman" w:hAnsi="Times New Roman" w:cs="Times New Roman"/>
          <w:b/>
          <w:bCs/>
          <w:color w:val="auto"/>
          <w:sz w:val="22"/>
          <w:szCs w:val="22"/>
          <w:lang w:val="es-ES"/>
        </w:rPr>
      </w:pPr>
      <w:bookmarkStart w:id="1" w:name="_Toc162441643"/>
      <w:r w:rsidRPr="00BC40DC">
        <w:rPr>
          <w:rFonts w:ascii="Times New Roman" w:hAnsi="Times New Roman" w:cs="Times New Roman"/>
          <w:b/>
          <w:bCs/>
          <w:color w:val="auto"/>
          <w:sz w:val="22"/>
          <w:szCs w:val="22"/>
          <w:lang w:val="es-ES"/>
        </w:rPr>
        <w:t>Espacios y herramientas dirigidas a la lucha contra la xenofobia y discriminación contra las personas migrantes</w:t>
      </w:r>
      <w:bookmarkEnd w:id="1"/>
    </w:p>
    <w:p w14:paraId="45143C92" w14:textId="179E7747" w:rsidR="003D7FC0" w:rsidRDefault="003D7FC0" w:rsidP="003D7FC0">
      <w:pPr>
        <w:spacing w:after="0"/>
        <w:jc w:val="both"/>
        <w:rPr>
          <w:rFonts w:ascii="Times New Roman" w:hAnsi="Times New Roman" w:cs="Times New Roman"/>
          <w:lang w:val="es-ES"/>
        </w:rPr>
      </w:pPr>
    </w:p>
    <w:p w14:paraId="3552945E" w14:textId="0C724479" w:rsidR="003D7FC0" w:rsidRDefault="00C514B5" w:rsidP="003D7FC0">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 xml:space="preserve">Los mecanismos de articulación, seguimiento y reporte de actos de discriminación resultan clave para la lucha contra prácticas que perpetúan estereotipos y la exclusión de determinados grupos con base en motivos prohibidos. En el caso peruano, </w:t>
      </w:r>
      <w:r w:rsidR="00EC1EE9">
        <w:rPr>
          <w:rFonts w:ascii="Times New Roman" w:hAnsi="Times New Roman" w:cs="Times New Roman"/>
          <w:lang w:val="es-ES"/>
        </w:rPr>
        <w:t>en 2013 se creó la Comisión Nacional Contra la Discriminación (CONACOD)</w:t>
      </w:r>
      <w:r w:rsidR="00BA7745">
        <w:rPr>
          <w:rStyle w:val="Refdenotaalpie"/>
          <w:rFonts w:ascii="Times New Roman" w:hAnsi="Times New Roman" w:cs="Times New Roman"/>
          <w:lang w:val="es-ES"/>
        </w:rPr>
        <w:footnoteReference w:id="14"/>
      </w:r>
      <w:r w:rsidR="00EC1EE9">
        <w:rPr>
          <w:rFonts w:ascii="Times New Roman" w:hAnsi="Times New Roman" w:cs="Times New Roman"/>
          <w:lang w:val="es-ES"/>
        </w:rPr>
        <w:t xml:space="preserve"> como órgano multisectorial cuya </w:t>
      </w:r>
      <w:r w:rsidR="00EC1EE9">
        <w:rPr>
          <w:rFonts w:ascii="Times New Roman" w:hAnsi="Times New Roman" w:cs="Times New Roman"/>
          <w:lang w:val="es-ES"/>
        </w:rPr>
        <w:lastRenderedPageBreak/>
        <w:t>finalidad es contribuir a la efectiva vigencia de los derechos a la igualdad y no discriminación en atención a la normativa interna y a las obligaciones internacionales de derechos humanos del Estado</w:t>
      </w:r>
      <w:r w:rsidR="00BA7745">
        <w:rPr>
          <w:rFonts w:ascii="Times New Roman" w:hAnsi="Times New Roman" w:cs="Times New Roman"/>
          <w:lang w:val="es-ES"/>
        </w:rPr>
        <w:t>, para la consolidación de una sociedad democrática donde primen los principios del respeto de la persona, así como la convivencia pacífica y libre de toda forma de discriminación</w:t>
      </w:r>
      <w:r w:rsidR="00BA7745">
        <w:rPr>
          <w:rStyle w:val="Refdenotaalpie"/>
          <w:rFonts w:ascii="Times New Roman" w:hAnsi="Times New Roman" w:cs="Times New Roman"/>
          <w:lang w:val="es-ES"/>
        </w:rPr>
        <w:footnoteReference w:id="15"/>
      </w:r>
      <w:r w:rsidR="00EC1EE9">
        <w:rPr>
          <w:rFonts w:ascii="Times New Roman" w:hAnsi="Times New Roman" w:cs="Times New Roman"/>
          <w:lang w:val="es-ES"/>
        </w:rPr>
        <w:t>.</w:t>
      </w:r>
    </w:p>
    <w:p w14:paraId="16B98B62" w14:textId="0FF02930" w:rsidR="00557A54" w:rsidRDefault="00557A54" w:rsidP="00557A54">
      <w:pPr>
        <w:pStyle w:val="Prrafodelista"/>
        <w:spacing w:after="0"/>
        <w:ind w:left="360"/>
        <w:jc w:val="both"/>
        <w:rPr>
          <w:rFonts w:ascii="Times New Roman" w:hAnsi="Times New Roman" w:cs="Times New Roman"/>
          <w:lang w:val="es-ES"/>
        </w:rPr>
      </w:pPr>
    </w:p>
    <w:p w14:paraId="4CB9147F" w14:textId="2BE51859" w:rsidR="00DC3224" w:rsidRDefault="0047170C" w:rsidP="00DC3224">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 xml:space="preserve">A través de la CONACOD, se proponen acciones en materia de igualdad y no discriminación, así como lineamientos nacionales en </w:t>
      </w:r>
      <w:r w:rsidRPr="00D033F4">
        <w:rPr>
          <w:rFonts w:ascii="Times New Roman" w:hAnsi="Times New Roman" w:cs="Times New Roman"/>
          <w:lang w:val="es-ES"/>
        </w:rPr>
        <w:t>el tema, se monitorean los avances del Estado para la garantía de la igualdad y no discriminación, entre otras ac</w:t>
      </w:r>
      <w:r w:rsidR="00D033F4" w:rsidRPr="00D033F4">
        <w:rPr>
          <w:rFonts w:ascii="Times New Roman" w:hAnsi="Times New Roman" w:cs="Times New Roman"/>
          <w:lang w:val="es-ES"/>
        </w:rPr>
        <w:t>tividades</w:t>
      </w:r>
      <w:r w:rsidRPr="00D033F4">
        <w:rPr>
          <w:rFonts w:ascii="Times New Roman" w:hAnsi="Times New Roman" w:cs="Times New Roman"/>
          <w:lang w:val="es-ES"/>
        </w:rPr>
        <w:t xml:space="preserve">. Si bien en su norma de creación no se contempla la palabra “xenofobia”, </w:t>
      </w:r>
      <w:r w:rsidR="00A15FC3" w:rsidRPr="00D033F4">
        <w:rPr>
          <w:rFonts w:ascii="Times New Roman" w:hAnsi="Times New Roman" w:cs="Times New Roman"/>
          <w:lang w:val="es-ES"/>
        </w:rPr>
        <w:t xml:space="preserve">en tanto su mandato es el abordaje de “toda forma de discriminación” se entiende que </w:t>
      </w:r>
      <w:r w:rsidR="00D033F4" w:rsidRPr="00D033F4">
        <w:rPr>
          <w:rFonts w:ascii="Times New Roman" w:hAnsi="Times New Roman" w:cs="Times New Roman"/>
          <w:lang w:val="es-ES"/>
        </w:rPr>
        <w:t>las discusiones</w:t>
      </w:r>
      <w:r w:rsidR="00D033F4">
        <w:rPr>
          <w:rFonts w:ascii="Times New Roman" w:hAnsi="Times New Roman" w:cs="Times New Roman"/>
          <w:lang w:val="es-ES"/>
        </w:rPr>
        <w:t xml:space="preserve"> y medidas que proponga o implemente la CONACOD</w:t>
      </w:r>
      <w:r w:rsidR="00A15FC3">
        <w:rPr>
          <w:rFonts w:ascii="Times New Roman" w:hAnsi="Times New Roman" w:cs="Times New Roman"/>
          <w:lang w:val="es-ES"/>
        </w:rPr>
        <w:t xml:space="preserve"> se pueden ampliar a cualquier práctica que afecte el ejercicio de</w:t>
      </w:r>
      <w:r w:rsidR="00D033F4">
        <w:rPr>
          <w:rFonts w:ascii="Times New Roman" w:hAnsi="Times New Roman" w:cs="Times New Roman"/>
          <w:lang w:val="es-ES"/>
        </w:rPr>
        <w:t>l principio-derecho a la</w:t>
      </w:r>
      <w:r w:rsidR="00A15FC3">
        <w:rPr>
          <w:rFonts w:ascii="Times New Roman" w:hAnsi="Times New Roman" w:cs="Times New Roman"/>
          <w:lang w:val="es-ES"/>
        </w:rPr>
        <w:t xml:space="preserve"> igualdad de todas las personas en el país, incluyendo los/as migrantes.</w:t>
      </w:r>
    </w:p>
    <w:p w14:paraId="25F9FC6D" w14:textId="77777777" w:rsidR="00557A54" w:rsidRPr="00557A54" w:rsidRDefault="00557A54" w:rsidP="00557A54">
      <w:pPr>
        <w:spacing w:after="0"/>
        <w:jc w:val="both"/>
        <w:rPr>
          <w:rFonts w:ascii="Times New Roman" w:hAnsi="Times New Roman" w:cs="Times New Roman"/>
          <w:lang w:val="es-ES"/>
        </w:rPr>
      </w:pPr>
    </w:p>
    <w:p w14:paraId="097C0F80" w14:textId="27F3BC51" w:rsidR="00DC3224" w:rsidRDefault="00D033F4" w:rsidP="003D7FC0">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Sobre las plataformas sectoriales para denunciar situaciones o casos de discriminación (además de la vía judicial ya referida en el apartado I del presente documento), encontramos:</w:t>
      </w:r>
    </w:p>
    <w:p w14:paraId="3A4E651F" w14:textId="77777777" w:rsidR="00D033F4" w:rsidRPr="00D033F4" w:rsidRDefault="00D033F4" w:rsidP="00D033F4">
      <w:pPr>
        <w:pStyle w:val="Prrafodelista"/>
        <w:rPr>
          <w:rFonts w:ascii="Times New Roman" w:hAnsi="Times New Roman" w:cs="Times New Roman"/>
          <w:lang w:val="es-ES"/>
        </w:rPr>
      </w:pPr>
    </w:p>
    <w:p w14:paraId="4C8C3808" w14:textId="5DECB7CF" w:rsidR="00D033F4" w:rsidRDefault="00D033F4" w:rsidP="00D033F4">
      <w:pPr>
        <w:pStyle w:val="Prrafodelista"/>
        <w:numPr>
          <w:ilvl w:val="2"/>
          <w:numId w:val="2"/>
        </w:numPr>
        <w:spacing w:after="0"/>
        <w:ind w:left="1134"/>
        <w:jc w:val="both"/>
        <w:rPr>
          <w:rFonts w:ascii="Times New Roman" w:hAnsi="Times New Roman" w:cs="Times New Roman"/>
          <w:lang w:val="es-ES"/>
        </w:rPr>
      </w:pPr>
      <w:r>
        <w:rPr>
          <w:rFonts w:ascii="Times New Roman" w:hAnsi="Times New Roman" w:cs="Times New Roman"/>
          <w:lang w:val="es-ES"/>
        </w:rPr>
        <w:t>La plataforma “Alerta contra el Racismo” del Ministerio de Cultura, que permite reportar casos relacionados a la discriminación étnico-racial</w:t>
      </w:r>
      <w:r w:rsidR="003503D3">
        <w:rPr>
          <w:rStyle w:val="Refdenotaalpie"/>
          <w:rFonts w:ascii="Times New Roman" w:hAnsi="Times New Roman" w:cs="Times New Roman"/>
          <w:lang w:val="es-ES"/>
        </w:rPr>
        <w:footnoteReference w:id="16"/>
      </w:r>
      <w:r>
        <w:rPr>
          <w:rFonts w:ascii="Times New Roman" w:hAnsi="Times New Roman" w:cs="Times New Roman"/>
          <w:lang w:val="es-ES"/>
        </w:rPr>
        <w:t>. La herramienta de reporte admite la presentación de denuncias con documentos como el carné de extranjería o pasaporte, a fin de garantizar el acceso de migrantes a la misma.</w:t>
      </w:r>
    </w:p>
    <w:p w14:paraId="7C2E58FF" w14:textId="77777777" w:rsidR="00D033F4" w:rsidRDefault="00D033F4" w:rsidP="00D033F4">
      <w:pPr>
        <w:pStyle w:val="Prrafodelista"/>
        <w:spacing w:after="0"/>
        <w:ind w:left="1134"/>
        <w:jc w:val="both"/>
        <w:rPr>
          <w:rFonts w:ascii="Times New Roman" w:hAnsi="Times New Roman" w:cs="Times New Roman"/>
          <w:lang w:val="es-ES"/>
        </w:rPr>
      </w:pPr>
    </w:p>
    <w:p w14:paraId="1784AC0F" w14:textId="096E709F" w:rsidR="00D033F4" w:rsidRDefault="00D033F4" w:rsidP="00D033F4">
      <w:pPr>
        <w:pStyle w:val="Prrafodelista"/>
        <w:numPr>
          <w:ilvl w:val="2"/>
          <w:numId w:val="2"/>
        </w:numPr>
        <w:spacing w:after="0"/>
        <w:ind w:left="1134"/>
        <w:jc w:val="both"/>
        <w:rPr>
          <w:rFonts w:ascii="Times New Roman" w:hAnsi="Times New Roman" w:cs="Times New Roman"/>
          <w:lang w:val="es-ES"/>
        </w:rPr>
      </w:pPr>
      <w:r>
        <w:rPr>
          <w:rFonts w:ascii="Times New Roman" w:hAnsi="Times New Roman" w:cs="Times New Roman"/>
          <w:lang w:val="es-ES"/>
        </w:rPr>
        <w:t>La plataforma “SíSeVe” del Ministerio de Educación, que permite la denuncia de todo acto de violencia escolar, incluyendo actos de discriminación por motivos prohibidos en el acceso al servicio educativo o en la prestación del mismo</w:t>
      </w:r>
      <w:r w:rsidR="003503D3">
        <w:rPr>
          <w:rStyle w:val="Refdenotaalpie"/>
          <w:rFonts w:ascii="Times New Roman" w:hAnsi="Times New Roman" w:cs="Times New Roman"/>
          <w:lang w:val="es-ES"/>
        </w:rPr>
        <w:footnoteReference w:id="17"/>
      </w:r>
      <w:r>
        <w:rPr>
          <w:rFonts w:ascii="Times New Roman" w:hAnsi="Times New Roman" w:cs="Times New Roman"/>
          <w:lang w:val="es-ES"/>
        </w:rPr>
        <w:t>. Al igual que “Altera contra el Racismo”, admite la presentación de denuncias con documentos como el carné de extranjería, pasaporte o carné de permiso temporal de permanencia (CPP). De forma complementaria a la plataforma, el MINEDU cuenta con un correo electrónico para el reporte y consulta de casos.</w:t>
      </w:r>
    </w:p>
    <w:p w14:paraId="68CB1611" w14:textId="77777777" w:rsidR="00123B20" w:rsidRPr="00591257" w:rsidRDefault="00123B20" w:rsidP="00591257">
      <w:pPr>
        <w:spacing w:after="0"/>
        <w:jc w:val="both"/>
        <w:rPr>
          <w:rFonts w:ascii="Times New Roman" w:hAnsi="Times New Roman" w:cs="Times New Roman"/>
          <w:lang w:val="es-ES"/>
        </w:rPr>
      </w:pPr>
    </w:p>
    <w:p w14:paraId="27FF3751" w14:textId="05315C1F" w:rsidR="003D7FC0" w:rsidRPr="00BC40DC" w:rsidRDefault="003D7FC0" w:rsidP="00591257">
      <w:pPr>
        <w:pStyle w:val="Ttulo1"/>
        <w:numPr>
          <w:ilvl w:val="0"/>
          <w:numId w:val="2"/>
        </w:numPr>
        <w:spacing w:before="0"/>
        <w:jc w:val="both"/>
        <w:rPr>
          <w:rFonts w:ascii="Times New Roman" w:hAnsi="Times New Roman" w:cs="Times New Roman"/>
          <w:b/>
          <w:bCs/>
          <w:color w:val="auto"/>
          <w:sz w:val="22"/>
          <w:szCs w:val="22"/>
          <w:lang w:val="es-ES"/>
        </w:rPr>
      </w:pPr>
      <w:bookmarkStart w:id="2" w:name="_Toc162441644"/>
      <w:r w:rsidRPr="00BC40DC">
        <w:rPr>
          <w:rFonts w:ascii="Times New Roman" w:hAnsi="Times New Roman" w:cs="Times New Roman"/>
          <w:b/>
          <w:bCs/>
          <w:color w:val="auto"/>
          <w:sz w:val="22"/>
          <w:szCs w:val="22"/>
          <w:lang w:val="es-ES"/>
        </w:rPr>
        <w:t>Iniciativas para la promoción de narrativas positivas sobre la migración a nivel comunicacional</w:t>
      </w:r>
      <w:bookmarkEnd w:id="2"/>
    </w:p>
    <w:p w14:paraId="0AE099A2" w14:textId="058E96C4" w:rsidR="003D7FC0" w:rsidRDefault="003D7FC0" w:rsidP="003D7FC0">
      <w:pPr>
        <w:spacing w:after="0"/>
        <w:jc w:val="both"/>
        <w:rPr>
          <w:rFonts w:ascii="Times New Roman" w:hAnsi="Times New Roman" w:cs="Times New Roman"/>
          <w:lang w:val="es-ES"/>
        </w:rPr>
      </w:pPr>
    </w:p>
    <w:p w14:paraId="46378D57" w14:textId="560C44F2" w:rsidR="003D7FC0" w:rsidRDefault="00AB10BD" w:rsidP="003D7FC0">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En el marco de la</w:t>
      </w:r>
      <w:r w:rsidR="00E27CA0">
        <w:rPr>
          <w:rFonts w:ascii="Times New Roman" w:hAnsi="Times New Roman" w:cs="Times New Roman"/>
          <w:lang w:val="es-ES"/>
        </w:rPr>
        <w:t xml:space="preserve"> MTIGM, se viene trabajando la iniciativa “Perú Contigo” mediante el cual se busca facilitar la coordinación y el diálogo en torno a estrategias que permitan abordar los retos y oportunidades culturales, sociales y económicas que genera la movilidad internacional en el país</w:t>
      </w:r>
      <w:r w:rsidR="00E27CA0">
        <w:rPr>
          <w:rStyle w:val="Refdenotaalpie"/>
          <w:rFonts w:ascii="Times New Roman" w:hAnsi="Times New Roman" w:cs="Times New Roman"/>
          <w:lang w:val="es-ES"/>
        </w:rPr>
        <w:footnoteReference w:id="18"/>
      </w:r>
      <w:r w:rsidR="00E27CA0">
        <w:rPr>
          <w:rFonts w:ascii="Times New Roman" w:hAnsi="Times New Roman" w:cs="Times New Roman"/>
          <w:lang w:val="es-ES"/>
        </w:rPr>
        <w:t>. Para ello, se centraliza el trabajo mediante subgrupos temáticos</w:t>
      </w:r>
      <w:r w:rsidR="005546A4">
        <w:rPr>
          <w:rFonts w:ascii="Times New Roman" w:hAnsi="Times New Roman" w:cs="Times New Roman"/>
          <w:lang w:val="es-ES"/>
        </w:rPr>
        <w:t xml:space="preserve"> dentro de la Mesa</w:t>
      </w:r>
      <w:r w:rsidR="00E27CA0">
        <w:rPr>
          <w:rFonts w:ascii="Times New Roman" w:hAnsi="Times New Roman" w:cs="Times New Roman"/>
          <w:lang w:val="es-ES"/>
        </w:rPr>
        <w:t>.</w:t>
      </w:r>
    </w:p>
    <w:p w14:paraId="164EACE5" w14:textId="77777777" w:rsidR="00E27CA0" w:rsidRDefault="00E27CA0" w:rsidP="00E27CA0">
      <w:pPr>
        <w:pStyle w:val="Prrafodelista"/>
        <w:spacing w:after="0"/>
        <w:ind w:left="360"/>
        <w:jc w:val="both"/>
        <w:rPr>
          <w:rFonts w:ascii="Times New Roman" w:hAnsi="Times New Roman" w:cs="Times New Roman"/>
          <w:lang w:val="es-ES"/>
        </w:rPr>
      </w:pPr>
    </w:p>
    <w:p w14:paraId="23EBB148" w14:textId="54484F2A" w:rsidR="003D7FC0" w:rsidRPr="003D7FC0" w:rsidRDefault="005546A4" w:rsidP="00E1091A">
      <w:pPr>
        <w:pStyle w:val="Prrafodelista"/>
        <w:numPr>
          <w:ilvl w:val="1"/>
          <w:numId w:val="2"/>
        </w:numPr>
        <w:spacing w:after="0"/>
        <w:jc w:val="both"/>
        <w:rPr>
          <w:rFonts w:ascii="Times New Roman" w:hAnsi="Times New Roman" w:cs="Times New Roman"/>
          <w:lang w:val="es-ES"/>
        </w:rPr>
      </w:pPr>
      <w:r>
        <w:rPr>
          <w:rFonts w:ascii="Times New Roman" w:hAnsi="Times New Roman" w:cs="Times New Roman"/>
          <w:lang w:val="es-ES"/>
        </w:rPr>
        <w:t xml:space="preserve">Como parte de los temas abordados por el subgrupo de Comunicaciones de la MTIGM, se han promovido investigaciones dirigidas a identificar los discursos en torno a la migración en el país a nivel político y social. Asimismo, se </w:t>
      </w:r>
      <w:r w:rsidR="00E1091A">
        <w:rPr>
          <w:rFonts w:ascii="Times New Roman" w:hAnsi="Times New Roman" w:cs="Times New Roman"/>
          <w:lang w:val="es-ES"/>
        </w:rPr>
        <w:t xml:space="preserve">han elaborado </w:t>
      </w:r>
      <w:r>
        <w:rPr>
          <w:rFonts w:ascii="Times New Roman" w:hAnsi="Times New Roman" w:cs="Times New Roman"/>
          <w:lang w:val="es-ES"/>
        </w:rPr>
        <w:t xml:space="preserve">herramientas como el “Handbook </w:t>
      </w:r>
      <w:r>
        <w:rPr>
          <w:rFonts w:ascii="Times New Roman" w:hAnsi="Times New Roman" w:cs="Times New Roman"/>
          <w:lang w:val="es-ES"/>
        </w:rPr>
        <w:lastRenderedPageBreak/>
        <w:t>de lenguaje común”</w:t>
      </w:r>
      <w:r w:rsidR="00E1091A">
        <w:rPr>
          <w:rStyle w:val="Refdenotaalpie"/>
          <w:rFonts w:ascii="Times New Roman" w:hAnsi="Times New Roman" w:cs="Times New Roman"/>
          <w:lang w:val="es-ES"/>
        </w:rPr>
        <w:footnoteReference w:id="19"/>
      </w:r>
      <w:r>
        <w:rPr>
          <w:rFonts w:ascii="Times New Roman" w:hAnsi="Times New Roman" w:cs="Times New Roman"/>
          <w:lang w:val="es-ES"/>
        </w:rPr>
        <w:t xml:space="preserve"> </w:t>
      </w:r>
      <w:r w:rsidR="00E1091A" w:rsidRPr="00E1091A">
        <w:rPr>
          <w:rFonts w:ascii="Times New Roman" w:hAnsi="Times New Roman" w:cs="Times New Roman"/>
          <w:lang w:val="es-ES"/>
        </w:rPr>
        <w:t>que contiene lineamientos dirigidos a armonizar las acciones de comunicación que despliegan los miembros de la MTIGM para luchar contra la xenofobia y la discriminación</w:t>
      </w:r>
      <w:r w:rsidR="00E1091A">
        <w:rPr>
          <w:rStyle w:val="Refdenotaalpie"/>
          <w:rFonts w:ascii="Times New Roman" w:hAnsi="Times New Roman" w:cs="Times New Roman"/>
          <w:lang w:val="es-ES"/>
        </w:rPr>
        <w:footnoteReference w:id="20"/>
      </w:r>
      <w:r w:rsidR="00E1091A">
        <w:rPr>
          <w:rFonts w:ascii="Times New Roman" w:hAnsi="Times New Roman" w:cs="Times New Roman"/>
          <w:lang w:val="es-ES"/>
        </w:rPr>
        <w:t>.</w:t>
      </w:r>
    </w:p>
    <w:sectPr w:rsidR="003D7FC0" w:rsidRPr="003D7FC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43CC" w14:textId="77777777" w:rsidR="00E04795" w:rsidRDefault="00E04795" w:rsidP="000E7824">
      <w:pPr>
        <w:spacing w:after="0" w:line="240" w:lineRule="auto"/>
      </w:pPr>
      <w:r>
        <w:separator/>
      </w:r>
    </w:p>
  </w:endnote>
  <w:endnote w:type="continuationSeparator" w:id="0">
    <w:p w14:paraId="5C297296" w14:textId="77777777" w:rsidR="00E04795" w:rsidRDefault="00E04795" w:rsidP="000E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8C3F" w14:textId="77777777" w:rsidR="00D54530" w:rsidRPr="00D54530" w:rsidRDefault="00D54530">
    <w:pPr>
      <w:pStyle w:val="Piedepgina"/>
      <w:jc w:val="center"/>
      <w:rPr>
        <w:rFonts w:ascii="Times New Roman" w:hAnsi="Times New Roman" w:cs="Times New Roman"/>
      </w:rPr>
    </w:pPr>
    <w:r w:rsidRPr="00D54530">
      <w:rPr>
        <w:rFonts w:ascii="Times New Roman" w:hAnsi="Times New Roman" w:cs="Times New Roman"/>
        <w:lang w:val="es-ES"/>
      </w:rPr>
      <w:t xml:space="preserve">Página </w:t>
    </w:r>
    <w:r w:rsidRPr="00D54530">
      <w:rPr>
        <w:rFonts w:ascii="Times New Roman" w:hAnsi="Times New Roman" w:cs="Times New Roman"/>
      </w:rPr>
      <w:fldChar w:fldCharType="begin"/>
    </w:r>
    <w:r w:rsidRPr="00D54530">
      <w:rPr>
        <w:rFonts w:ascii="Times New Roman" w:hAnsi="Times New Roman" w:cs="Times New Roman"/>
      </w:rPr>
      <w:instrText>PAGE  \* Arabic  \* MERGEFORMAT</w:instrText>
    </w:r>
    <w:r w:rsidRPr="00D54530">
      <w:rPr>
        <w:rFonts w:ascii="Times New Roman" w:hAnsi="Times New Roman" w:cs="Times New Roman"/>
      </w:rPr>
      <w:fldChar w:fldCharType="separate"/>
    </w:r>
    <w:r w:rsidRPr="00D54530">
      <w:rPr>
        <w:rFonts w:ascii="Times New Roman" w:hAnsi="Times New Roman" w:cs="Times New Roman"/>
        <w:lang w:val="es-ES"/>
      </w:rPr>
      <w:t>2</w:t>
    </w:r>
    <w:r w:rsidRPr="00D54530">
      <w:rPr>
        <w:rFonts w:ascii="Times New Roman" w:hAnsi="Times New Roman" w:cs="Times New Roman"/>
      </w:rPr>
      <w:fldChar w:fldCharType="end"/>
    </w:r>
    <w:r w:rsidRPr="00D54530">
      <w:rPr>
        <w:rFonts w:ascii="Times New Roman" w:hAnsi="Times New Roman" w:cs="Times New Roman"/>
        <w:lang w:val="es-ES"/>
      </w:rPr>
      <w:t xml:space="preserve"> de </w:t>
    </w:r>
    <w:r w:rsidRPr="00D54530">
      <w:rPr>
        <w:rFonts w:ascii="Times New Roman" w:hAnsi="Times New Roman" w:cs="Times New Roman"/>
      </w:rPr>
      <w:fldChar w:fldCharType="begin"/>
    </w:r>
    <w:r w:rsidRPr="00D54530">
      <w:rPr>
        <w:rFonts w:ascii="Times New Roman" w:hAnsi="Times New Roman" w:cs="Times New Roman"/>
      </w:rPr>
      <w:instrText>NUMPAGES  \* Arabic  \* MERGEFORMAT</w:instrText>
    </w:r>
    <w:r w:rsidRPr="00D54530">
      <w:rPr>
        <w:rFonts w:ascii="Times New Roman" w:hAnsi="Times New Roman" w:cs="Times New Roman"/>
      </w:rPr>
      <w:fldChar w:fldCharType="separate"/>
    </w:r>
    <w:r w:rsidRPr="00D54530">
      <w:rPr>
        <w:rFonts w:ascii="Times New Roman" w:hAnsi="Times New Roman" w:cs="Times New Roman"/>
        <w:lang w:val="es-ES"/>
      </w:rPr>
      <w:t>2</w:t>
    </w:r>
    <w:r w:rsidRPr="00D54530">
      <w:rPr>
        <w:rFonts w:ascii="Times New Roman" w:hAnsi="Times New Roman" w:cs="Times New Roman"/>
      </w:rPr>
      <w:fldChar w:fldCharType="end"/>
    </w:r>
  </w:p>
  <w:p w14:paraId="07FB06FA" w14:textId="77777777" w:rsidR="00D54530" w:rsidRDefault="00D545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2F15" w14:textId="77777777" w:rsidR="00E04795" w:rsidRDefault="00E04795" w:rsidP="000E7824">
      <w:pPr>
        <w:spacing w:after="0" w:line="240" w:lineRule="auto"/>
      </w:pPr>
      <w:r>
        <w:separator/>
      </w:r>
    </w:p>
  </w:footnote>
  <w:footnote w:type="continuationSeparator" w:id="0">
    <w:p w14:paraId="657C7CAE" w14:textId="77777777" w:rsidR="00E04795" w:rsidRDefault="00E04795" w:rsidP="000E7824">
      <w:pPr>
        <w:spacing w:after="0" w:line="240" w:lineRule="auto"/>
      </w:pPr>
      <w:r>
        <w:continuationSeparator/>
      </w:r>
    </w:p>
  </w:footnote>
  <w:footnote w:id="1">
    <w:p w14:paraId="67049C9A" w14:textId="2FD25919" w:rsidR="00E1091A" w:rsidRDefault="00E1091A" w:rsidP="00E1091A">
      <w:pPr>
        <w:pStyle w:val="Textonotapie"/>
        <w:jc w:val="both"/>
        <w:rPr>
          <w:rFonts w:ascii="Times New Roman" w:hAnsi="Times New Roman" w:cs="Times New Roman"/>
          <w:sz w:val="16"/>
          <w:szCs w:val="16"/>
          <w:lang w:val="es-ES"/>
        </w:rPr>
      </w:pPr>
      <w:r w:rsidRPr="00E1091A">
        <w:rPr>
          <w:rStyle w:val="Refdenotaalpie"/>
          <w:rFonts w:ascii="Times New Roman" w:hAnsi="Times New Roman" w:cs="Times New Roman"/>
          <w:sz w:val="16"/>
          <w:szCs w:val="16"/>
        </w:rPr>
        <w:footnoteRef/>
      </w:r>
      <w:r w:rsidRPr="00E1091A">
        <w:rPr>
          <w:rFonts w:ascii="Times New Roman" w:hAnsi="Times New Roman" w:cs="Times New Roman"/>
          <w:sz w:val="16"/>
          <w:szCs w:val="16"/>
        </w:rPr>
        <w:t xml:space="preserve"> </w:t>
      </w:r>
      <w:r w:rsidRPr="00E1091A">
        <w:rPr>
          <w:rFonts w:ascii="Times New Roman" w:hAnsi="Times New Roman" w:cs="Times New Roman"/>
          <w:sz w:val="16"/>
          <w:szCs w:val="16"/>
          <w:lang w:val="es-ES"/>
        </w:rPr>
        <w:t>MINJUSDH. D.S. 010-2020-JUS. Publicado: 21.08.2020.</w:t>
      </w:r>
    </w:p>
    <w:p w14:paraId="33B0EF59" w14:textId="77777777" w:rsidR="003D39AD" w:rsidRPr="00E1091A" w:rsidRDefault="003D39AD" w:rsidP="00E1091A">
      <w:pPr>
        <w:pStyle w:val="Textonotapie"/>
        <w:jc w:val="both"/>
        <w:rPr>
          <w:rFonts w:ascii="Times New Roman" w:hAnsi="Times New Roman" w:cs="Times New Roman"/>
          <w:sz w:val="16"/>
          <w:szCs w:val="16"/>
          <w:lang w:val="es-ES"/>
        </w:rPr>
      </w:pPr>
    </w:p>
  </w:footnote>
  <w:footnote w:id="2">
    <w:p w14:paraId="05E75B30" w14:textId="18C09ECB" w:rsidR="00531357" w:rsidRPr="00531357" w:rsidRDefault="00531357" w:rsidP="00531357">
      <w:pPr>
        <w:pStyle w:val="Textonotapie"/>
        <w:jc w:val="both"/>
        <w:rPr>
          <w:rFonts w:ascii="Times New Roman" w:hAnsi="Times New Roman" w:cs="Times New Roman"/>
          <w:sz w:val="16"/>
          <w:szCs w:val="16"/>
          <w:lang w:val="es-ES"/>
        </w:rPr>
      </w:pPr>
      <w:r w:rsidRPr="00531357">
        <w:rPr>
          <w:rStyle w:val="Refdenotaalpie"/>
          <w:rFonts w:ascii="Times New Roman" w:hAnsi="Times New Roman" w:cs="Times New Roman"/>
          <w:sz w:val="16"/>
          <w:szCs w:val="16"/>
        </w:rPr>
        <w:footnoteRef/>
      </w:r>
      <w:r w:rsidRPr="00531357">
        <w:rPr>
          <w:rFonts w:ascii="Times New Roman" w:hAnsi="Times New Roman" w:cs="Times New Roman"/>
          <w:sz w:val="16"/>
          <w:szCs w:val="16"/>
        </w:rPr>
        <w:t xml:space="preserve"> </w:t>
      </w:r>
      <w:r w:rsidRPr="00531357">
        <w:rPr>
          <w:rFonts w:ascii="Times New Roman" w:hAnsi="Times New Roman" w:cs="Times New Roman"/>
          <w:sz w:val="16"/>
          <w:szCs w:val="16"/>
          <w:lang w:val="es-ES"/>
        </w:rPr>
        <w:t>Poder Ejecutivo. D.L. 1350. Publicado: 07.01.2017.</w:t>
      </w:r>
    </w:p>
  </w:footnote>
  <w:footnote w:id="3">
    <w:p w14:paraId="25BE6979" w14:textId="1722501E" w:rsidR="00531357" w:rsidRPr="00531357" w:rsidRDefault="00531357" w:rsidP="00531357">
      <w:pPr>
        <w:pStyle w:val="Textonotapie"/>
        <w:jc w:val="both"/>
        <w:rPr>
          <w:rFonts w:ascii="Times New Roman" w:hAnsi="Times New Roman" w:cs="Times New Roman"/>
          <w:sz w:val="16"/>
          <w:szCs w:val="16"/>
          <w:lang w:val="es-ES"/>
        </w:rPr>
      </w:pPr>
      <w:r w:rsidRPr="00531357">
        <w:rPr>
          <w:rStyle w:val="Refdenotaalpie"/>
          <w:rFonts w:ascii="Times New Roman" w:hAnsi="Times New Roman" w:cs="Times New Roman"/>
          <w:sz w:val="16"/>
          <w:szCs w:val="16"/>
        </w:rPr>
        <w:footnoteRef/>
      </w:r>
      <w:r w:rsidRPr="00531357">
        <w:rPr>
          <w:rFonts w:ascii="Times New Roman" w:hAnsi="Times New Roman" w:cs="Times New Roman"/>
          <w:sz w:val="16"/>
          <w:szCs w:val="16"/>
        </w:rPr>
        <w:t xml:space="preserve"> </w:t>
      </w:r>
      <w:r w:rsidRPr="00531357">
        <w:rPr>
          <w:rFonts w:ascii="Times New Roman" w:hAnsi="Times New Roman" w:cs="Times New Roman"/>
          <w:sz w:val="16"/>
          <w:szCs w:val="16"/>
          <w:lang w:val="es-ES"/>
        </w:rPr>
        <w:t>Ministerio del Interior. D.S. 008-2018-IN. Publicado: 07.09.2018.</w:t>
      </w:r>
    </w:p>
  </w:footnote>
  <w:footnote w:id="4">
    <w:p w14:paraId="6C3CB0D7" w14:textId="3BB6D507" w:rsidR="002E7E00" w:rsidRPr="002E7E00" w:rsidRDefault="002E7E00">
      <w:pPr>
        <w:pStyle w:val="Textonotapie"/>
        <w:rPr>
          <w:rFonts w:ascii="Times New Roman" w:hAnsi="Times New Roman" w:cs="Times New Roman"/>
          <w:sz w:val="16"/>
          <w:szCs w:val="16"/>
          <w:lang w:val="es-ES"/>
        </w:rPr>
      </w:pPr>
      <w:r w:rsidRPr="002E7E00">
        <w:rPr>
          <w:rStyle w:val="Refdenotaalpie"/>
          <w:rFonts w:ascii="Times New Roman" w:hAnsi="Times New Roman" w:cs="Times New Roman"/>
          <w:sz w:val="16"/>
          <w:szCs w:val="16"/>
        </w:rPr>
        <w:footnoteRef/>
      </w:r>
      <w:r w:rsidRPr="002E7E00">
        <w:rPr>
          <w:rFonts w:ascii="Times New Roman" w:hAnsi="Times New Roman" w:cs="Times New Roman"/>
          <w:sz w:val="16"/>
          <w:szCs w:val="16"/>
        </w:rPr>
        <w:t xml:space="preserve"> Ídem, párrafo 4.1.</w:t>
      </w:r>
    </w:p>
  </w:footnote>
  <w:footnote w:id="5">
    <w:p w14:paraId="6C4024F4" w14:textId="329339AD" w:rsidR="0027155F" w:rsidRPr="0027155F" w:rsidRDefault="0027155F">
      <w:pPr>
        <w:pStyle w:val="Textonotapie"/>
        <w:rPr>
          <w:rFonts w:ascii="Times New Roman" w:hAnsi="Times New Roman" w:cs="Times New Roman"/>
          <w:sz w:val="16"/>
          <w:szCs w:val="16"/>
          <w:lang w:val="es-ES"/>
        </w:rPr>
      </w:pPr>
      <w:r w:rsidRPr="0027155F">
        <w:rPr>
          <w:rStyle w:val="Refdenotaalpie"/>
          <w:rFonts w:ascii="Times New Roman" w:hAnsi="Times New Roman" w:cs="Times New Roman"/>
          <w:sz w:val="16"/>
          <w:szCs w:val="16"/>
        </w:rPr>
        <w:footnoteRef/>
      </w:r>
      <w:r w:rsidRPr="0027155F">
        <w:rPr>
          <w:rFonts w:ascii="Times New Roman" w:hAnsi="Times New Roman" w:cs="Times New Roman"/>
          <w:sz w:val="16"/>
          <w:szCs w:val="16"/>
        </w:rPr>
        <w:t xml:space="preserve"> </w:t>
      </w:r>
      <w:r w:rsidR="002E7E00">
        <w:rPr>
          <w:rFonts w:ascii="Times New Roman" w:hAnsi="Times New Roman" w:cs="Times New Roman"/>
          <w:sz w:val="16"/>
          <w:szCs w:val="16"/>
          <w:lang w:val="es-ES"/>
        </w:rPr>
        <w:t>Ídem, párrafo 4.4.</w:t>
      </w:r>
    </w:p>
  </w:footnote>
  <w:footnote w:id="6">
    <w:p w14:paraId="2345EF0A" w14:textId="6203122D" w:rsidR="002E7E00" w:rsidRPr="002E7E00" w:rsidRDefault="002E7E00">
      <w:pPr>
        <w:pStyle w:val="Textonotapie"/>
        <w:rPr>
          <w:rFonts w:ascii="Times New Roman" w:hAnsi="Times New Roman" w:cs="Times New Roman"/>
          <w:sz w:val="16"/>
          <w:szCs w:val="16"/>
          <w:lang w:val="es-ES"/>
        </w:rPr>
      </w:pPr>
      <w:r w:rsidRPr="002E7E00">
        <w:rPr>
          <w:rStyle w:val="Refdenotaalpie"/>
          <w:rFonts w:ascii="Times New Roman" w:hAnsi="Times New Roman" w:cs="Times New Roman"/>
          <w:sz w:val="16"/>
          <w:szCs w:val="16"/>
        </w:rPr>
        <w:footnoteRef/>
      </w:r>
      <w:r w:rsidRPr="002E7E00">
        <w:rPr>
          <w:rFonts w:ascii="Times New Roman" w:hAnsi="Times New Roman" w:cs="Times New Roman"/>
          <w:sz w:val="16"/>
          <w:szCs w:val="16"/>
        </w:rPr>
        <w:t xml:space="preserve"> </w:t>
      </w:r>
      <w:r w:rsidRPr="002E7E00">
        <w:rPr>
          <w:rFonts w:ascii="Times New Roman" w:hAnsi="Times New Roman" w:cs="Times New Roman"/>
          <w:sz w:val="16"/>
          <w:szCs w:val="16"/>
          <w:lang w:val="es-ES"/>
        </w:rPr>
        <w:t>Ídem, párrafo 5.2.1.</w:t>
      </w:r>
    </w:p>
  </w:footnote>
  <w:footnote w:id="7">
    <w:p w14:paraId="7F8E537E" w14:textId="4F2341F2" w:rsidR="00C70773" w:rsidRPr="00C70773" w:rsidRDefault="00C70773" w:rsidP="00C70773">
      <w:pPr>
        <w:pStyle w:val="Textonotapie"/>
        <w:jc w:val="both"/>
        <w:rPr>
          <w:rFonts w:ascii="Times New Roman" w:hAnsi="Times New Roman" w:cs="Times New Roman"/>
          <w:sz w:val="16"/>
          <w:szCs w:val="16"/>
          <w:lang w:val="es-ES"/>
        </w:rPr>
      </w:pPr>
      <w:r w:rsidRPr="00C70773">
        <w:rPr>
          <w:rStyle w:val="Refdenotaalpie"/>
          <w:rFonts w:ascii="Times New Roman" w:hAnsi="Times New Roman" w:cs="Times New Roman"/>
          <w:sz w:val="16"/>
          <w:szCs w:val="16"/>
        </w:rPr>
        <w:footnoteRef/>
      </w:r>
      <w:r w:rsidRPr="00C70773">
        <w:rPr>
          <w:rFonts w:ascii="Times New Roman" w:hAnsi="Times New Roman" w:cs="Times New Roman"/>
          <w:sz w:val="16"/>
          <w:szCs w:val="16"/>
        </w:rPr>
        <w:t xml:space="preserve"> </w:t>
      </w:r>
      <w:r w:rsidRPr="00C70773">
        <w:rPr>
          <w:rFonts w:ascii="Times New Roman" w:hAnsi="Times New Roman" w:cs="Times New Roman"/>
          <w:sz w:val="16"/>
          <w:szCs w:val="16"/>
          <w:lang w:val="es-ES"/>
        </w:rPr>
        <w:t>Los Consejos de Consulta de las Comunidades Peruanas en el Exterior tienen como fin constituir un espacio de diálogo y cooperación con las oficinas consulares para sumar esfuerzos a fin de contribuir y orientar en la solución de los problemas que enfrentan los connacionales residentes en la correspondiente circunscripción consular.</w:t>
      </w:r>
    </w:p>
  </w:footnote>
  <w:footnote w:id="8">
    <w:p w14:paraId="2C23E287" w14:textId="0B7DF39A" w:rsidR="00C70773" w:rsidRDefault="00C70773">
      <w:pPr>
        <w:pStyle w:val="Textonotapie"/>
        <w:rPr>
          <w:rFonts w:ascii="Times New Roman" w:hAnsi="Times New Roman" w:cs="Times New Roman"/>
          <w:sz w:val="16"/>
          <w:szCs w:val="16"/>
          <w:lang w:val="es-ES"/>
        </w:rPr>
      </w:pPr>
      <w:r w:rsidRPr="00C70773">
        <w:rPr>
          <w:rStyle w:val="Refdenotaalpie"/>
          <w:rFonts w:ascii="Times New Roman" w:hAnsi="Times New Roman" w:cs="Times New Roman"/>
          <w:sz w:val="16"/>
          <w:szCs w:val="16"/>
        </w:rPr>
        <w:footnoteRef/>
      </w:r>
      <w:r w:rsidRPr="00C70773">
        <w:rPr>
          <w:rFonts w:ascii="Times New Roman" w:hAnsi="Times New Roman" w:cs="Times New Roman"/>
          <w:sz w:val="16"/>
          <w:szCs w:val="16"/>
        </w:rPr>
        <w:t xml:space="preserve"> </w:t>
      </w:r>
      <w:r w:rsidR="00834103">
        <w:rPr>
          <w:rFonts w:ascii="Times New Roman" w:hAnsi="Times New Roman" w:cs="Times New Roman"/>
          <w:sz w:val="16"/>
          <w:szCs w:val="16"/>
          <w:lang w:val="es-ES"/>
        </w:rPr>
        <w:t>Congreso de la República. Ley 29495. Publicada: 09.01.2010.</w:t>
      </w:r>
    </w:p>
    <w:p w14:paraId="79F71264" w14:textId="77777777" w:rsidR="003D39AD" w:rsidRPr="00C70773" w:rsidRDefault="003D39AD">
      <w:pPr>
        <w:pStyle w:val="Textonotapie"/>
        <w:rPr>
          <w:rFonts w:ascii="Times New Roman" w:hAnsi="Times New Roman" w:cs="Times New Roman"/>
          <w:sz w:val="16"/>
          <w:szCs w:val="16"/>
          <w:lang w:val="es-ES"/>
        </w:rPr>
      </w:pPr>
    </w:p>
  </w:footnote>
  <w:footnote w:id="9">
    <w:p w14:paraId="79CAC278" w14:textId="77777777" w:rsidR="001B5E72" w:rsidRPr="007C64AE" w:rsidRDefault="001B5E72" w:rsidP="001B5E72">
      <w:pPr>
        <w:pStyle w:val="Textonotapie"/>
        <w:rPr>
          <w:rFonts w:ascii="Times New Roman" w:hAnsi="Times New Roman" w:cs="Times New Roman"/>
          <w:sz w:val="16"/>
          <w:szCs w:val="16"/>
          <w:lang w:val="es-ES"/>
        </w:rPr>
      </w:pPr>
      <w:r w:rsidRPr="007C64AE">
        <w:rPr>
          <w:rStyle w:val="Refdenotaalpie"/>
          <w:rFonts w:ascii="Times New Roman" w:hAnsi="Times New Roman" w:cs="Times New Roman"/>
          <w:sz w:val="16"/>
          <w:szCs w:val="16"/>
        </w:rPr>
        <w:footnoteRef/>
      </w:r>
      <w:r w:rsidRPr="007C64AE">
        <w:rPr>
          <w:rFonts w:ascii="Times New Roman" w:hAnsi="Times New Roman" w:cs="Times New Roman"/>
          <w:sz w:val="16"/>
          <w:szCs w:val="16"/>
        </w:rPr>
        <w:t xml:space="preserve"> </w:t>
      </w:r>
      <w:r w:rsidRPr="007C64AE">
        <w:rPr>
          <w:rFonts w:ascii="Times New Roman" w:hAnsi="Times New Roman" w:cs="Times New Roman"/>
          <w:sz w:val="16"/>
          <w:szCs w:val="16"/>
          <w:lang w:val="es-ES"/>
        </w:rPr>
        <w:t>Poder Ejecutivo. D.L. 635. Publicado: 08.04.1991.</w:t>
      </w:r>
    </w:p>
  </w:footnote>
  <w:footnote w:id="10">
    <w:p w14:paraId="31A100B8" w14:textId="73471892" w:rsidR="008A3B20" w:rsidRDefault="008A3B20">
      <w:pPr>
        <w:pStyle w:val="Textonotapie"/>
        <w:rPr>
          <w:rFonts w:ascii="Times New Roman" w:hAnsi="Times New Roman" w:cs="Times New Roman"/>
          <w:sz w:val="16"/>
          <w:szCs w:val="16"/>
          <w:lang w:val="es-ES"/>
        </w:rPr>
      </w:pPr>
      <w:r w:rsidRPr="008A3B20">
        <w:rPr>
          <w:rStyle w:val="Refdenotaalpie"/>
          <w:rFonts w:ascii="Times New Roman" w:hAnsi="Times New Roman" w:cs="Times New Roman"/>
          <w:sz w:val="16"/>
          <w:szCs w:val="16"/>
        </w:rPr>
        <w:footnoteRef/>
      </w:r>
      <w:r w:rsidRPr="008A3B20">
        <w:rPr>
          <w:rFonts w:ascii="Times New Roman" w:hAnsi="Times New Roman" w:cs="Times New Roman"/>
          <w:sz w:val="16"/>
          <w:szCs w:val="16"/>
        </w:rPr>
        <w:t xml:space="preserve"> </w:t>
      </w:r>
      <w:r w:rsidRPr="008A3B20">
        <w:rPr>
          <w:rFonts w:ascii="Times New Roman" w:hAnsi="Times New Roman" w:cs="Times New Roman"/>
          <w:sz w:val="16"/>
          <w:szCs w:val="16"/>
          <w:lang w:val="es-ES"/>
        </w:rPr>
        <w:t>Artículo 46 del Código Penal peruano.</w:t>
      </w:r>
    </w:p>
    <w:p w14:paraId="098697E5" w14:textId="77777777" w:rsidR="003D39AD" w:rsidRPr="008A3B20" w:rsidRDefault="003D39AD">
      <w:pPr>
        <w:pStyle w:val="Textonotapie"/>
        <w:rPr>
          <w:rFonts w:ascii="Times New Roman" w:hAnsi="Times New Roman" w:cs="Times New Roman"/>
          <w:sz w:val="16"/>
          <w:szCs w:val="16"/>
          <w:lang w:val="es-ES"/>
        </w:rPr>
      </w:pPr>
    </w:p>
  </w:footnote>
  <w:footnote w:id="11">
    <w:p w14:paraId="6A875417" w14:textId="36C6B379" w:rsidR="001F699C" w:rsidRPr="001F699C" w:rsidRDefault="001F699C" w:rsidP="001F699C">
      <w:pPr>
        <w:pStyle w:val="Textonotapie"/>
        <w:jc w:val="both"/>
        <w:rPr>
          <w:rFonts w:ascii="Times New Roman" w:hAnsi="Times New Roman" w:cs="Times New Roman"/>
          <w:sz w:val="16"/>
          <w:szCs w:val="16"/>
          <w:lang w:val="es-ES"/>
        </w:rPr>
      </w:pPr>
      <w:r w:rsidRPr="001F699C">
        <w:rPr>
          <w:rStyle w:val="Refdenotaalpie"/>
          <w:rFonts w:ascii="Times New Roman" w:hAnsi="Times New Roman" w:cs="Times New Roman"/>
          <w:sz w:val="16"/>
          <w:szCs w:val="16"/>
        </w:rPr>
        <w:footnoteRef/>
      </w:r>
      <w:r w:rsidRPr="001F699C">
        <w:rPr>
          <w:rFonts w:ascii="Times New Roman" w:hAnsi="Times New Roman" w:cs="Times New Roman"/>
          <w:sz w:val="16"/>
          <w:szCs w:val="16"/>
        </w:rPr>
        <w:t xml:space="preserve"> </w:t>
      </w:r>
      <w:r w:rsidRPr="001F699C">
        <w:rPr>
          <w:rFonts w:ascii="Times New Roman" w:hAnsi="Times New Roman" w:cs="Times New Roman"/>
          <w:sz w:val="16"/>
          <w:szCs w:val="16"/>
          <w:lang w:val="es-ES"/>
        </w:rPr>
        <w:t>Municipalidad Metropolitana de Lima. Ordenanza 2160. Publicada: 04.05.2019.</w:t>
      </w:r>
    </w:p>
  </w:footnote>
  <w:footnote w:id="12">
    <w:p w14:paraId="6C60B972" w14:textId="5596118C" w:rsidR="001F699C" w:rsidRPr="001F699C" w:rsidRDefault="001F699C">
      <w:pPr>
        <w:pStyle w:val="Textonotapie"/>
        <w:rPr>
          <w:rFonts w:ascii="Times New Roman" w:hAnsi="Times New Roman" w:cs="Times New Roman"/>
          <w:sz w:val="16"/>
          <w:szCs w:val="16"/>
          <w:lang w:val="es-ES"/>
        </w:rPr>
      </w:pPr>
      <w:r w:rsidRPr="001F699C">
        <w:rPr>
          <w:rStyle w:val="Refdenotaalpie"/>
          <w:rFonts w:ascii="Times New Roman" w:hAnsi="Times New Roman" w:cs="Times New Roman"/>
          <w:sz w:val="16"/>
          <w:szCs w:val="16"/>
        </w:rPr>
        <w:footnoteRef/>
      </w:r>
      <w:r w:rsidRPr="001F699C">
        <w:rPr>
          <w:rFonts w:ascii="Times New Roman" w:hAnsi="Times New Roman" w:cs="Times New Roman"/>
          <w:sz w:val="16"/>
          <w:szCs w:val="16"/>
        </w:rPr>
        <w:t xml:space="preserve"> </w:t>
      </w:r>
      <w:r w:rsidRPr="001F699C">
        <w:rPr>
          <w:rFonts w:ascii="Times New Roman" w:hAnsi="Times New Roman" w:cs="Times New Roman"/>
          <w:sz w:val="16"/>
          <w:szCs w:val="16"/>
          <w:lang w:val="es-ES"/>
        </w:rPr>
        <w:t>Artículo quinto de la Ordenanza 2160.</w:t>
      </w:r>
    </w:p>
  </w:footnote>
  <w:footnote w:id="13">
    <w:p w14:paraId="3CC16DB1" w14:textId="535A4AE6" w:rsidR="00E11AC5" w:rsidRPr="00E11AC5" w:rsidRDefault="00E11AC5">
      <w:pPr>
        <w:pStyle w:val="Textonotapie"/>
        <w:rPr>
          <w:rFonts w:ascii="Times New Roman" w:hAnsi="Times New Roman" w:cs="Times New Roman"/>
          <w:sz w:val="16"/>
          <w:szCs w:val="16"/>
          <w:lang w:val="es-ES"/>
        </w:rPr>
      </w:pPr>
      <w:r w:rsidRPr="00E11AC5">
        <w:rPr>
          <w:rStyle w:val="Refdenotaalpie"/>
          <w:rFonts w:ascii="Times New Roman" w:hAnsi="Times New Roman" w:cs="Times New Roman"/>
          <w:sz w:val="16"/>
          <w:szCs w:val="16"/>
        </w:rPr>
        <w:footnoteRef/>
      </w:r>
      <w:r w:rsidRPr="00E11AC5">
        <w:rPr>
          <w:rFonts w:ascii="Times New Roman" w:hAnsi="Times New Roman" w:cs="Times New Roman"/>
          <w:sz w:val="16"/>
          <w:szCs w:val="16"/>
        </w:rPr>
        <w:t xml:space="preserve"> </w:t>
      </w:r>
      <w:r w:rsidRPr="00E11AC5">
        <w:rPr>
          <w:rFonts w:ascii="Times New Roman" w:hAnsi="Times New Roman" w:cs="Times New Roman"/>
          <w:sz w:val="16"/>
          <w:szCs w:val="16"/>
          <w:lang w:val="es-ES"/>
        </w:rPr>
        <w:t>PCM. D.S. 046-2009-PCM. Publicado: 23.07.2009.</w:t>
      </w:r>
    </w:p>
  </w:footnote>
  <w:footnote w:id="14">
    <w:p w14:paraId="28B1CFBB" w14:textId="6661BFE1" w:rsidR="00BA7745" w:rsidRDefault="00BA7745">
      <w:pPr>
        <w:pStyle w:val="Textonotapie"/>
        <w:rPr>
          <w:rFonts w:ascii="Times New Roman" w:hAnsi="Times New Roman" w:cs="Times New Roman"/>
          <w:sz w:val="16"/>
          <w:szCs w:val="16"/>
          <w:lang w:val="es-ES"/>
        </w:rPr>
      </w:pPr>
      <w:r w:rsidRPr="00BA7745">
        <w:rPr>
          <w:rStyle w:val="Refdenotaalpie"/>
          <w:rFonts w:ascii="Times New Roman" w:hAnsi="Times New Roman" w:cs="Times New Roman"/>
          <w:sz w:val="16"/>
          <w:szCs w:val="16"/>
        </w:rPr>
        <w:footnoteRef/>
      </w:r>
      <w:r w:rsidRPr="00BA7745">
        <w:rPr>
          <w:rFonts w:ascii="Times New Roman" w:hAnsi="Times New Roman" w:cs="Times New Roman"/>
          <w:sz w:val="16"/>
          <w:szCs w:val="16"/>
        </w:rPr>
        <w:t xml:space="preserve"> </w:t>
      </w:r>
      <w:r w:rsidRPr="00BA7745">
        <w:rPr>
          <w:rFonts w:ascii="Times New Roman" w:hAnsi="Times New Roman" w:cs="Times New Roman"/>
          <w:sz w:val="16"/>
          <w:szCs w:val="16"/>
          <w:lang w:val="es-ES"/>
        </w:rPr>
        <w:t>MINJUSDH. D.S. 015-2013-JUS. Publicado: 06.12.2013.</w:t>
      </w:r>
    </w:p>
    <w:p w14:paraId="4F0AFADF" w14:textId="77777777" w:rsidR="003D39AD" w:rsidRPr="00BA7745" w:rsidRDefault="003D39AD">
      <w:pPr>
        <w:pStyle w:val="Textonotapie"/>
        <w:rPr>
          <w:rFonts w:ascii="Times New Roman" w:hAnsi="Times New Roman" w:cs="Times New Roman"/>
          <w:sz w:val="16"/>
          <w:szCs w:val="16"/>
          <w:lang w:val="es-ES"/>
        </w:rPr>
      </w:pPr>
    </w:p>
  </w:footnote>
  <w:footnote w:id="15">
    <w:p w14:paraId="0EB23D5A" w14:textId="2A74DD51" w:rsidR="00BA7745" w:rsidRPr="00BA7745" w:rsidRDefault="00BA7745">
      <w:pPr>
        <w:pStyle w:val="Textonotapie"/>
        <w:rPr>
          <w:lang w:val="es-ES"/>
        </w:rPr>
      </w:pPr>
      <w:r w:rsidRPr="00BA7745">
        <w:rPr>
          <w:rStyle w:val="Refdenotaalpie"/>
          <w:rFonts w:ascii="Times New Roman" w:hAnsi="Times New Roman" w:cs="Times New Roman"/>
          <w:sz w:val="16"/>
          <w:szCs w:val="16"/>
        </w:rPr>
        <w:footnoteRef/>
      </w:r>
      <w:r w:rsidRPr="00BA7745">
        <w:rPr>
          <w:rFonts w:ascii="Times New Roman" w:hAnsi="Times New Roman" w:cs="Times New Roman"/>
          <w:sz w:val="16"/>
          <w:szCs w:val="16"/>
        </w:rPr>
        <w:t xml:space="preserve"> </w:t>
      </w:r>
      <w:r w:rsidRPr="00BA7745">
        <w:rPr>
          <w:rFonts w:ascii="Times New Roman" w:hAnsi="Times New Roman" w:cs="Times New Roman"/>
          <w:sz w:val="16"/>
          <w:szCs w:val="16"/>
          <w:lang w:val="es-ES"/>
        </w:rPr>
        <w:t>Artículo 2 del D.S. 015-2013-JUS.</w:t>
      </w:r>
    </w:p>
  </w:footnote>
  <w:footnote w:id="16">
    <w:p w14:paraId="5D545B03" w14:textId="7AA59856" w:rsidR="003503D3" w:rsidRPr="003503D3" w:rsidRDefault="003503D3">
      <w:pPr>
        <w:pStyle w:val="Textonotapie"/>
        <w:rPr>
          <w:rFonts w:ascii="Times New Roman" w:hAnsi="Times New Roman" w:cs="Times New Roman"/>
          <w:sz w:val="16"/>
          <w:szCs w:val="16"/>
          <w:lang w:val="es-ES"/>
        </w:rPr>
      </w:pPr>
      <w:r w:rsidRPr="003503D3">
        <w:rPr>
          <w:rStyle w:val="Refdenotaalpie"/>
          <w:rFonts w:ascii="Times New Roman" w:hAnsi="Times New Roman" w:cs="Times New Roman"/>
          <w:sz w:val="16"/>
          <w:szCs w:val="16"/>
        </w:rPr>
        <w:footnoteRef/>
      </w:r>
      <w:r w:rsidRPr="003503D3">
        <w:rPr>
          <w:rFonts w:ascii="Times New Roman" w:hAnsi="Times New Roman" w:cs="Times New Roman"/>
          <w:sz w:val="16"/>
          <w:szCs w:val="16"/>
        </w:rPr>
        <w:t xml:space="preserve"> </w:t>
      </w:r>
      <w:r w:rsidRPr="003503D3">
        <w:rPr>
          <w:rFonts w:ascii="Times New Roman" w:hAnsi="Times New Roman" w:cs="Times New Roman"/>
          <w:sz w:val="16"/>
          <w:szCs w:val="16"/>
          <w:lang w:val="es-ES"/>
        </w:rPr>
        <w:t xml:space="preserve">Para visualizar la plataforma, dirigirse a: </w:t>
      </w:r>
      <w:hyperlink r:id="rId1" w:history="1">
        <w:r w:rsidRPr="003503D3">
          <w:rPr>
            <w:rStyle w:val="Hipervnculo"/>
            <w:rFonts w:ascii="Times New Roman" w:hAnsi="Times New Roman" w:cs="Times New Roman"/>
            <w:sz w:val="16"/>
            <w:szCs w:val="16"/>
            <w:lang w:val="es-ES"/>
          </w:rPr>
          <w:t>https://alertacontraelracismo.pe/inicio</w:t>
        </w:r>
      </w:hyperlink>
      <w:r w:rsidRPr="003503D3">
        <w:rPr>
          <w:rFonts w:ascii="Times New Roman" w:hAnsi="Times New Roman" w:cs="Times New Roman"/>
          <w:sz w:val="16"/>
          <w:szCs w:val="16"/>
          <w:lang w:val="es-ES"/>
        </w:rPr>
        <w:t xml:space="preserve"> </w:t>
      </w:r>
    </w:p>
  </w:footnote>
  <w:footnote w:id="17">
    <w:p w14:paraId="6CE34087" w14:textId="7CE440A3" w:rsidR="003503D3" w:rsidRPr="003503D3" w:rsidRDefault="003503D3">
      <w:pPr>
        <w:pStyle w:val="Textonotapie"/>
        <w:rPr>
          <w:rFonts w:ascii="Times New Roman" w:hAnsi="Times New Roman" w:cs="Times New Roman"/>
          <w:sz w:val="16"/>
          <w:szCs w:val="16"/>
          <w:lang w:val="es-ES"/>
        </w:rPr>
      </w:pPr>
      <w:r w:rsidRPr="003503D3">
        <w:rPr>
          <w:rStyle w:val="Refdenotaalpie"/>
          <w:rFonts w:ascii="Times New Roman" w:hAnsi="Times New Roman" w:cs="Times New Roman"/>
          <w:sz w:val="16"/>
          <w:szCs w:val="16"/>
        </w:rPr>
        <w:footnoteRef/>
      </w:r>
      <w:r w:rsidRPr="003503D3">
        <w:rPr>
          <w:rFonts w:ascii="Times New Roman" w:hAnsi="Times New Roman" w:cs="Times New Roman"/>
          <w:sz w:val="16"/>
          <w:szCs w:val="16"/>
        </w:rPr>
        <w:t xml:space="preserve"> </w:t>
      </w:r>
      <w:r w:rsidRPr="003503D3">
        <w:rPr>
          <w:rFonts w:ascii="Times New Roman" w:hAnsi="Times New Roman" w:cs="Times New Roman"/>
          <w:sz w:val="16"/>
          <w:szCs w:val="16"/>
          <w:lang w:val="es-ES"/>
        </w:rPr>
        <w:t xml:space="preserve">Para visualizar la plataforma, dirigirse a: </w:t>
      </w:r>
      <w:hyperlink r:id="rId2" w:history="1">
        <w:r w:rsidRPr="003503D3">
          <w:rPr>
            <w:rStyle w:val="Hipervnculo"/>
            <w:rFonts w:ascii="Times New Roman" w:hAnsi="Times New Roman" w:cs="Times New Roman"/>
            <w:sz w:val="16"/>
            <w:szCs w:val="16"/>
            <w:lang w:val="es-ES"/>
          </w:rPr>
          <w:t>https://www.siseve.pe/web/app/index</w:t>
        </w:r>
      </w:hyperlink>
      <w:r w:rsidRPr="003503D3">
        <w:rPr>
          <w:rFonts w:ascii="Times New Roman" w:hAnsi="Times New Roman" w:cs="Times New Roman"/>
          <w:sz w:val="16"/>
          <w:szCs w:val="16"/>
          <w:lang w:val="es-ES"/>
        </w:rPr>
        <w:t xml:space="preserve"> </w:t>
      </w:r>
    </w:p>
  </w:footnote>
  <w:footnote w:id="18">
    <w:p w14:paraId="65B5EDB6" w14:textId="63B5A401" w:rsidR="00E27CA0" w:rsidRDefault="00E27CA0" w:rsidP="00E27CA0">
      <w:pPr>
        <w:pStyle w:val="Textonotapie"/>
        <w:jc w:val="both"/>
        <w:rPr>
          <w:rFonts w:ascii="Times New Roman" w:hAnsi="Times New Roman" w:cs="Times New Roman"/>
          <w:sz w:val="16"/>
          <w:szCs w:val="16"/>
          <w:lang w:val="es-ES"/>
        </w:rPr>
      </w:pPr>
      <w:r w:rsidRPr="00E27CA0">
        <w:rPr>
          <w:rStyle w:val="Refdenotaalpie"/>
          <w:rFonts w:ascii="Times New Roman" w:hAnsi="Times New Roman" w:cs="Times New Roman"/>
          <w:sz w:val="16"/>
          <w:szCs w:val="16"/>
        </w:rPr>
        <w:footnoteRef/>
      </w:r>
      <w:r w:rsidRPr="00E27CA0">
        <w:rPr>
          <w:rFonts w:ascii="Times New Roman" w:hAnsi="Times New Roman" w:cs="Times New Roman"/>
          <w:sz w:val="16"/>
          <w:szCs w:val="16"/>
        </w:rPr>
        <w:t xml:space="preserve"> </w:t>
      </w:r>
      <w:r w:rsidRPr="00E27CA0">
        <w:rPr>
          <w:rFonts w:ascii="Times New Roman" w:hAnsi="Times New Roman" w:cs="Times New Roman"/>
          <w:sz w:val="16"/>
          <w:szCs w:val="16"/>
          <w:lang w:val="es-ES"/>
        </w:rPr>
        <w:t xml:space="preserve">Para mayor información sobre “Perú Contigo”, ingresar a la siguiente plataforma: </w:t>
      </w:r>
      <w:hyperlink r:id="rId3" w:history="1">
        <w:r w:rsidR="003D39AD" w:rsidRPr="00170AE7">
          <w:rPr>
            <w:rStyle w:val="Hipervnculo"/>
            <w:rFonts w:ascii="Times New Roman" w:hAnsi="Times New Roman" w:cs="Times New Roman"/>
            <w:sz w:val="16"/>
            <w:szCs w:val="16"/>
            <w:lang w:val="es-ES"/>
          </w:rPr>
          <w:t>https://perucontigo.pe/</w:t>
        </w:r>
      </w:hyperlink>
    </w:p>
    <w:p w14:paraId="319C87F4" w14:textId="77777777" w:rsidR="003D39AD" w:rsidRPr="00E27CA0" w:rsidRDefault="003D39AD" w:rsidP="00E27CA0">
      <w:pPr>
        <w:pStyle w:val="Textonotapie"/>
        <w:jc w:val="both"/>
        <w:rPr>
          <w:rFonts w:ascii="Times New Roman" w:hAnsi="Times New Roman" w:cs="Times New Roman"/>
          <w:sz w:val="16"/>
          <w:szCs w:val="16"/>
          <w:lang w:val="es-ES"/>
        </w:rPr>
      </w:pPr>
    </w:p>
  </w:footnote>
  <w:footnote w:id="19">
    <w:p w14:paraId="2D8F5B26" w14:textId="77777777" w:rsidR="00E1091A" w:rsidRPr="002F274E" w:rsidRDefault="00E1091A" w:rsidP="00E1091A">
      <w:pPr>
        <w:pStyle w:val="Textonotapie"/>
        <w:jc w:val="both"/>
        <w:rPr>
          <w:rFonts w:ascii="Times New Roman" w:hAnsi="Times New Roman" w:cs="Times New Roman"/>
          <w:sz w:val="16"/>
          <w:szCs w:val="16"/>
          <w:lang w:val="es-ES"/>
        </w:rPr>
      </w:pPr>
      <w:r w:rsidRPr="002F274E">
        <w:rPr>
          <w:rStyle w:val="Refdenotaalpie"/>
          <w:rFonts w:ascii="Times New Roman" w:hAnsi="Times New Roman" w:cs="Times New Roman"/>
          <w:sz w:val="16"/>
          <w:szCs w:val="16"/>
        </w:rPr>
        <w:footnoteRef/>
      </w:r>
      <w:r w:rsidRPr="002F274E">
        <w:rPr>
          <w:rFonts w:ascii="Times New Roman" w:hAnsi="Times New Roman" w:cs="Times New Roman"/>
          <w:sz w:val="16"/>
          <w:szCs w:val="16"/>
        </w:rPr>
        <w:t xml:space="preserve"> </w:t>
      </w:r>
      <w:r w:rsidRPr="002F274E">
        <w:rPr>
          <w:rFonts w:ascii="Times New Roman" w:hAnsi="Times New Roman" w:cs="Times New Roman"/>
          <w:sz w:val="16"/>
          <w:szCs w:val="16"/>
          <w:lang w:val="es-ES"/>
        </w:rPr>
        <w:t xml:space="preserve">Perú Contigo. Handbook de Lenguaje Común. Ver en: </w:t>
      </w:r>
      <w:hyperlink r:id="rId4" w:history="1">
        <w:r w:rsidRPr="002F274E">
          <w:rPr>
            <w:rStyle w:val="Hipervnculo"/>
            <w:rFonts w:ascii="Times New Roman" w:hAnsi="Times New Roman" w:cs="Times New Roman"/>
            <w:sz w:val="16"/>
            <w:szCs w:val="16"/>
            <w:lang w:val="es-ES"/>
          </w:rPr>
          <w:t>https://docs.google.com/document/d/1ouY0D_TQOLbYa0TwoLrXDoshi37fsYfLbdddvf8JN68/edit</w:t>
        </w:r>
      </w:hyperlink>
      <w:r w:rsidRPr="002F274E">
        <w:rPr>
          <w:rFonts w:ascii="Times New Roman" w:hAnsi="Times New Roman" w:cs="Times New Roman"/>
          <w:sz w:val="16"/>
          <w:szCs w:val="16"/>
          <w:lang w:val="es-ES"/>
        </w:rPr>
        <w:t xml:space="preserve"> </w:t>
      </w:r>
    </w:p>
  </w:footnote>
  <w:footnote w:id="20">
    <w:p w14:paraId="7511D1F3" w14:textId="407C6AC6" w:rsidR="00E1091A" w:rsidRPr="00E1091A" w:rsidRDefault="00E1091A">
      <w:pPr>
        <w:pStyle w:val="Textonotapie"/>
        <w:rPr>
          <w:rFonts w:ascii="Times New Roman" w:hAnsi="Times New Roman" w:cs="Times New Roman"/>
          <w:sz w:val="16"/>
          <w:szCs w:val="16"/>
          <w:lang w:val="es-ES"/>
        </w:rPr>
      </w:pPr>
      <w:r w:rsidRPr="00E1091A">
        <w:rPr>
          <w:rStyle w:val="Refdenotaalpie"/>
          <w:rFonts w:ascii="Times New Roman" w:hAnsi="Times New Roman" w:cs="Times New Roman"/>
          <w:sz w:val="16"/>
          <w:szCs w:val="16"/>
        </w:rPr>
        <w:footnoteRef/>
      </w:r>
      <w:r w:rsidRPr="00E1091A">
        <w:rPr>
          <w:rFonts w:ascii="Times New Roman" w:hAnsi="Times New Roman" w:cs="Times New Roman"/>
          <w:sz w:val="16"/>
          <w:szCs w:val="16"/>
        </w:rPr>
        <w:t xml:space="preserve"> MRE. OF. RE (DDH) N° 2-19-B/897. Anexo. Fecha: 25.10.2023. Pág.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C1C2" w14:textId="73F75F81" w:rsidR="00D54530" w:rsidRPr="00D54530" w:rsidRDefault="00D54530" w:rsidP="00D54530">
    <w:pPr>
      <w:pBdr>
        <w:bottom w:val="single" w:sz="12" w:space="5" w:color="auto"/>
      </w:pBdr>
      <w:jc w:val="both"/>
      <w:rPr>
        <w:rFonts w:ascii="Times New Roman" w:hAnsi="Times New Roman" w:cs="Times New Roman"/>
        <w:lang w:val="es-ES"/>
      </w:rPr>
    </w:pPr>
    <w:r w:rsidRPr="00D54530">
      <w:rPr>
        <w:rFonts w:ascii="Times New Roman" w:hAnsi="Times New Roman" w:cs="Times New Roman"/>
        <w:lang w:val="es-ES"/>
      </w:rPr>
      <w:t>Respuesta del Estado peruano al llamado a contribuciones del Comité de Protección de los Derechos de todos los Trabajadores Migratorios y de sus Familiares y el Comité contra la Discriminación Racial para la elaboración del primer borrador de su Observación/Recomendación General Conjunta sobre las obligaciones de los Estados partes sobre las políticas públicas integrales para abordar y erradicar la xenofobia y su impacto en los derechos de las personas migrantes, sus familias y otros no-ciudadanos afectados por la discriminación racial.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370F8"/>
    <w:multiLevelType w:val="multilevel"/>
    <w:tmpl w:val="760C4A34"/>
    <w:lvl w:ilvl="0">
      <w:start w:val="1"/>
      <w:numFmt w:val="upperRoman"/>
      <w:lvlText w:val="%1."/>
      <w:lvlJc w:val="left"/>
      <w:pPr>
        <w:ind w:left="720" w:hanging="72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62A81AD1"/>
    <w:multiLevelType w:val="hybridMultilevel"/>
    <w:tmpl w:val="D25461F0"/>
    <w:lvl w:ilvl="0" w:tplc="3822F08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2115788245">
    <w:abstractNumId w:val="1"/>
  </w:num>
  <w:num w:numId="2" w16cid:durableId="166239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24"/>
    <w:rsid w:val="00062444"/>
    <w:rsid w:val="0006661E"/>
    <w:rsid w:val="000A033E"/>
    <w:rsid w:val="000D0813"/>
    <w:rsid w:val="000D13D7"/>
    <w:rsid w:val="000E0302"/>
    <w:rsid w:val="000E7824"/>
    <w:rsid w:val="00122863"/>
    <w:rsid w:val="00123B20"/>
    <w:rsid w:val="001B5E72"/>
    <w:rsid w:val="001F699C"/>
    <w:rsid w:val="00200DDF"/>
    <w:rsid w:val="00212E04"/>
    <w:rsid w:val="0027155F"/>
    <w:rsid w:val="00272C37"/>
    <w:rsid w:val="00286BC8"/>
    <w:rsid w:val="002B473F"/>
    <w:rsid w:val="002E7E00"/>
    <w:rsid w:val="002F274E"/>
    <w:rsid w:val="003503D3"/>
    <w:rsid w:val="0038004F"/>
    <w:rsid w:val="003B072C"/>
    <w:rsid w:val="003B3FCC"/>
    <w:rsid w:val="003D39AD"/>
    <w:rsid w:val="003D7FC0"/>
    <w:rsid w:val="003F2BED"/>
    <w:rsid w:val="00401762"/>
    <w:rsid w:val="00440991"/>
    <w:rsid w:val="00471045"/>
    <w:rsid w:val="0047170C"/>
    <w:rsid w:val="004B2482"/>
    <w:rsid w:val="004C6B7B"/>
    <w:rsid w:val="004D24B9"/>
    <w:rsid w:val="004E123C"/>
    <w:rsid w:val="00531357"/>
    <w:rsid w:val="00534964"/>
    <w:rsid w:val="00541487"/>
    <w:rsid w:val="00551937"/>
    <w:rsid w:val="005546A4"/>
    <w:rsid w:val="00557A54"/>
    <w:rsid w:val="00567A8D"/>
    <w:rsid w:val="00591257"/>
    <w:rsid w:val="005A2F0C"/>
    <w:rsid w:val="005A6D0A"/>
    <w:rsid w:val="005B110E"/>
    <w:rsid w:val="006070C0"/>
    <w:rsid w:val="00670605"/>
    <w:rsid w:val="006825F6"/>
    <w:rsid w:val="006A56AF"/>
    <w:rsid w:val="006C28BF"/>
    <w:rsid w:val="006C3FE6"/>
    <w:rsid w:val="006D7687"/>
    <w:rsid w:val="006F01C6"/>
    <w:rsid w:val="007964AC"/>
    <w:rsid w:val="007C64AE"/>
    <w:rsid w:val="00813C71"/>
    <w:rsid w:val="0082083F"/>
    <w:rsid w:val="00834103"/>
    <w:rsid w:val="008A3B20"/>
    <w:rsid w:val="0092635D"/>
    <w:rsid w:val="00A15FC3"/>
    <w:rsid w:val="00A246D9"/>
    <w:rsid w:val="00AB10BD"/>
    <w:rsid w:val="00AE0154"/>
    <w:rsid w:val="00B26587"/>
    <w:rsid w:val="00B41FCF"/>
    <w:rsid w:val="00B61B1D"/>
    <w:rsid w:val="00B95330"/>
    <w:rsid w:val="00BA7745"/>
    <w:rsid w:val="00BC40DC"/>
    <w:rsid w:val="00C514B5"/>
    <w:rsid w:val="00C70773"/>
    <w:rsid w:val="00C75178"/>
    <w:rsid w:val="00C8325F"/>
    <w:rsid w:val="00CA06B5"/>
    <w:rsid w:val="00D033F4"/>
    <w:rsid w:val="00D11519"/>
    <w:rsid w:val="00D22DBF"/>
    <w:rsid w:val="00D54530"/>
    <w:rsid w:val="00DC3224"/>
    <w:rsid w:val="00E04795"/>
    <w:rsid w:val="00E1091A"/>
    <w:rsid w:val="00E11AC5"/>
    <w:rsid w:val="00E14CE0"/>
    <w:rsid w:val="00E1752D"/>
    <w:rsid w:val="00E27CA0"/>
    <w:rsid w:val="00EC1EE9"/>
    <w:rsid w:val="00EC5960"/>
    <w:rsid w:val="00F125E9"/>
    <w:rsid w:val="00F66CE9"/>
    <w:rsid w:val="00FC20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C1FE4"/>
  <w15:chartTrackingRefBased/>
  <w15:docId w15:val="{0B14B529-E09B-4F21-9219-03AF0357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E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78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824"/>
  </w:style>
  <w:style w:type="paragraph" w:styleId="Piedepgina">
    <w:name w:val="footer"/>
    <w:basedOn w:val="Normal"/>
    <w:link w:val="PiedepginaCar"/>
    <w:uiPriority w:val="99"/>
    <w:unhideWhenUsed/>
    <w:rsid w:val="000E78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824"/>
  </w:style>
  <w:style w:type="character" w:styleId="Hipervnculo">
    <w:name w:val="Hyperlink"/>
    <w:basedOn w:val="Fuentedeprrafopredeter"/>
    <w:uiPriority w:val="99"/>
    <w:unhideWhenUsed/>
    <w:rsid w:val="00D54530"/>
    <w:rPr>
      <w:color w:val="0563C1" w:themeColor="hyperlink"/>
      <w:u w:val="single"/>
    </w:rPr>
  </w:style>
  <w:style w:type="character" w:styleId="Mencinsinresolver">
    <w:name w:val="Unresolved Mention"/>
    <w:basedOn w:val="Fuentedeprrafopredeter"/>
    <w:uiPriority w:val="99"/>
    <w:semiHidden/>
    <w:unhideWhenUsed/>
    <w:rsid w:val="00D54530"/>
    <w:rPr>
      <w:color w:val="605E5C"/>
      <w:shd w:val="clear" w:color="auto" w:fill="E1DFDD"/>
    </w:rPr>
  </w:style>
  <w:style w:type="paragraph" w:styleId="Prrafodelista">
    <w:name w:val="List Paragraph"/>
    <w:basedOn w:val="Normal"/>
    <w:uiPriority w:val="34"/>
    <w:qFormat/>
    <w:rsid w:val="00212E04"/>
    <w:pPr>
      <w:ind w:left="720"/>
      <w:contextualSpacing/>
    </w:pPr>
  </w:style>
  <w:style w:type="character" w:customStyle="1" w:styleId="Ttulo1Car">
    <w:name w:val="Título 1 Car"/>
    <w:basedOn w:val="Fuentedeprrafopredeter"/>
    <w:link w:val="Ttulo1"/>
    <w:uiPriority w:val="9"/>
    <w:rsid w:val="00212E04"/>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5313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1357"/>
    <w:rPr>
      <w:sz w:val="20"/>
      <w:szCs w:val="20"/>
    </w:rPr>
  </w:style>
  <w:style w:type="character" w:styleId="Refdenotaalpie">
    <w:name w:val="footnote reference"/>
    <w:basedOn w:val="Fuentedeprrafopredeter"/>
    <w:uiPriority w:val="99"/>
    <w:semiHidden/>
    <w:unhideWhenUsed/>
    <w:rsid w:val="00531357"/>
    <w:rPr>
      <w:vertAlign w:val="superscript"/>
    </w:rPr>
  </w:style>
  <w:style w:type="paragraph" w:styleId="TtuloTDC">
    <w:name w:val="TOC Heading"/>
    <w:basedOn w:val="Ttulo1"/>
    <w:next w:val="Normal"/>
    <w:uiPriority w:val="39"/>
    <w:unhideWhenUsed/>
    <w:qFormat/>
    <w:rsid w:val="00BC40DC"/>
    <w:pPr>
      <w:outlineLvl w:val="9"/>
    </w:pPr>
    <w:rPr>
      <w:lang w:eastAsia="es-PE"/>
    </w:rPr>
  </w:style>
  <w:style w:type="paragraph" w:styleId="TDC1">
    <w:name w:val="toc 1"/>
    <w:basedOn w:val="Normal"/>
    <w:next w:val="Normal"/>
    <w:autoRedefine/>
    <w:uiPriority w:val="39"/>
    <w:unhideWhenUsed/>
    <w:rsid w:val="00BC40DC"/>
    <w:pPr>
      <w:tabs>
        <w:tab w:val="left" w:pos="660"/>
        <w:tab w:val="right" w:leader="dot" w:pos="8494"/>
      </w:tabs>
      <w:spacing w:after="100"/>
    </w:pPr>
    <w:rPr>
      <w:rFonts w:ascii="Times New Roman" w:hAnsi="Times New Roman" w:cs="Times New Roman"/>
      <w:b/>
      <w:bCs/>
      <w:noProo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j.minjus.gob.pe/spij-ext-web/"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perucontigo.pe/" TargetMode="External"/><Relationship Id="rId2" Type="http://schemas.openxmlformats.org/officeDocument/2006/relationships/hyperlink" Target="https://www.siseve.pe/web/app/index" TargetMode="External"/><Relationship Id="rId1" Type="http://schemas.openxmlformats.org/officeDocument/2006/relationships/hyperlink" Target="https://alertacontraelracismo.pe/inicio" TargetMode="External"/><Relationship Id="rId4" Type="http://schemas.openxmlformats.org/officeDocument/2006/relationships/hyperlink" Target="https://docs.google.com/document/d/1ouY0D_TQOLbYa0TwoLrXDoshi37fsYfLbdddvf8JN68/ed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Peru</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5C08C5F-2E5B-49FC-B8D3-720E44778519}">
  <ds:schemaRefs>
    <ds:schemaRef ds:uri="http://schemas.openxmlformats.org/officeDocument/2006/bibliography"/>
  </ds:schemaRefs>
</ds:datastoreItem>
</file>

<file path=customXml/itemProps2.xml><?xml version="1.0" encoding="utf-8"?>
<ds:datastoreItem xmlns:ds="http://schemas.openxmlformats.org/officeDocument/2006/customXml" ds:itemID="{08745FB8-91F7-46F8-82CF-BE361F41E2EC}"/>
</file>

<file path=customXml/itemProps3.xml><?xml version="1.0" encoding="utf-8"?>
<ds:datastoreItem xmlns:ds="http://schemas.openxmlformats.org/officeDocument/2006/customXml" ds:itemID="{40CAFA46-0057-493E-9C60-B1B0CB842A4E}"/>
</file>

<file path=customXml/itemProps4.xml><?xml version="1.0" encoding="utf-8"?>
<ds:datastoreItem xmlns:ds="http://schemas.openxmlformats.org/officeDocument/2006/customXml" ds:itemID="{1B0FCA3B-E40F-495B-8FCB-F5A3755EFA52}"/>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Abigail Vargas Canales</dc:creator>
  <cp:keywords/>
  <dc:description/>
  <cp:lastModifiedBy>Karen Jackelin Osorio Flores</cp:lastModifiedBy>
  <cp:revision>2</cp:revision>
  <dcterms:created xsi:type="dcterms:W3CDTF">2024-03-27T21:28:00Z</dcterms:created>
  <dcterms:modified xsi:type="dcterms:W3CDTF">2024-03-27T21:28:00Z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