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gridCol w:w="2835"/>
      </w:tblGrid>
      <w:tr w:rsidR="00DC23B8" w:rsidRPr="00DB58B5" w14:paraId="21A9C477" w14:textId="77777777" w:rsidTr="007D5F99">
        <w:trPr>
          <w:trHeight w:hRule="exact" w:val="851"/>
        </w:trPr>
        <w:tc>
          <w:tcPr>
            <w:tcW w:w="9639" w:type="dxa"/>
            <w:gridSpan w:val="2"/>
            <w:tcBorders>
              <w:bottom w:val="single" w:sz="4" w:space="0" w:color="auto"/>
            </w:tcBorders>
            <w:vAlign w:val="bottom"/>
          </w:tcPr>
          <w:p w14:paraId="2AA89D5D" w14:textId="4639249F" w:rsidR="00DC23B8" w:rsidRPr="00DB58B5" w:rsidRDefault="0093584F" w:rsidP="0093584F">
            <w:pPr>
              <w:jc w:val="right"/>
            </w:pPr>
            <w:bookmarkStart w:id="0" w:name="_GoBack"/>
            <w:bookmarkEnd w:id="0"/>
            <w:r w:rsidRPr="0093584F">
              <w:rPr>
                <w:sz w:val="40"/>
              </w:rPr>
              <w:t>A</w:t>
            </w:r>
            <w:r>
              <w:t>/HRC/47/CRP.1</w:t>
            </w:r>
          </w:p>
        </w:tc>
      </w:tr>
      <w:tr w:rsidR="00DC23B8" w:rsidRPr="00DB58B5" w14:paraId="55942267" w14:textId="77777777" w:rsidTr="007D5F99">
        <w:trPr>
          <w:trHeight w:hRule="exact" w:val="2835"/>
        </w:trPr>
        <w:tc>
          <w:tcPr>
            <w:tcW w:w="6804" w:type="dxa"/>
            <w:tcBorders>
              <w:top w:val="single" w:sz="4" w:space="0" w:color="auto"/>
              <w:bottom w:val="single" w:sz="12" w:space="0" w:color="auto"/>
            </w:tcBorders>
          </w:tcPr>
          <w:p w14:paraId="08E2CE3E" w14:textId="77777777" w:rsidR="00DC23B8" w:rsidRPr="00A574B7" w:rsidRDefault="00DC23B8" w:rsidP="007D5F99">
            <w:pPr>
              <w:spacing w:before="120" w:line="380" w:lineRule="exact"/>
            </w:pPr>
          </w:p>
        </w:tc>
        <w:tc>
          <w:tcPr>
            <w:tcW w:w="2835" w:type="dxa"/>
            <w:tcBorders>
              <w:top w:val="single" w:sz="4" w:space="0" w:color="auto"/>
              <w:bottom w:val="single" w:sz="12" w:space="0" w:color="auto"/>
            </w:tcBorders>
          </w:tcPr>
          <w:p w14:paraId="35EEB52A" w14:textId="77777777" w:rsidR="00DC23B8" w:rsidRDefault="0093584F" w:rsidP="0093584F">
            <w:pPr>
              <w:spacing w:before="240" w:line="240" w:lineRule="exact"/>
            </w:pPr>
            <w:r>
              <w:t>28 juin 2021</w:t>
            </w:r>
          </w:p>
          <w:p w14:paraId="3353D452" w14:textId="77777777" w:rsidR="0093584F" w:rsidRDefault="0093584F" w:rsidP="0093584F">
            <w:pPr>
              <w:spacing w:line="240" w:lineRule="exact"/>
            </w:pPr>
            <w:r>
              <w:t>Français</w:t>
            </w:r>
          </w:p>
          <w:p w14:paraId="66D751E7" w14:textId="77777777" w:rsidR="00C1339B" w:rsidRDefault="0093584F" w:rsidP="0093584F">
            <w:pPr>
              <w:spacing w:line="240" w:lineRule="exact"/>
            </w:pPr>
            <w:r>
              <w:t>Original : anglais</w:t>
            </w:r>
          </w:p>
          <w:p w14:paraId="000EDF2B" w14:textId="0509DFB2" w:rsidR="0093584F" w:rsidRPr="00DB58B5" w:rsidRDefault="0093584F" w:rsidP="0093584F">
            <w:pPr>
              <w:spacing w:line="240" w:lineRule="exact"/>
            </w:pPr>
            <w:r>
              <w:t>Anglais, espagnol et français seulement</w:t>
            </w:r>
          </w:p>
        </w:tc>
      </w:tr>
    </w:tbl>
    <w:p w14:paraId="2EF8A296" w14:textId="32EF17B2" w:rsidR="0093584F" w:rsidRPr="009F0237" w:rsidRDefault="00865E37" w:rsidP="009F0237">
      <w:pPr>
        <w:spacing w:before="120"/>
        <w:rPr>
          <w:b/>
          <w:bCs/>
          <w:sz w:val="24"/>
          <w:szCs w:val="24"/>
        </w:rPr>
      </w:pPr>
      <w:r w:rsidRPr="009F0237">
        <w:rPr>
          <w:b/>
          <w:bCs/>
          <w:sz w:val="24"/>
          <w:szCs w:val="24"/>
        </w:rPr>
        <w:t>Conseil des droits de l’homme</w:t>
      </w:r>
    </w:p>
    <w:p w14:paraId="4617379F" w14:textId="1DC6BB2C" w:rsidR="00865E37" w:rsidRPr="00293268" w:rsidRDefault="00865E37" w:rsidP="00865E37">
      <w:pPr>
        <w:rPr>
          <w:b/>
          <w:bCs/>
          <w:lang w:val="fr-FR"/>
        </w:rPr>
      </w:pPr>
      <w:r w:rsidRPr="00293268">
        <w:rPr>
          <w:b/>
          <w:bCs/>
          <w:lang w:val="fr-FR"/>
        </w:rPr>
        <w:t>Quarante</w:t>
      </w:r>
      <w:r w:rsidR="005F6C97">
        <w:rPr>
          <w:b/>
          <w:bCs/>
          <w:lang w:val="fr-FR"/>
        </w:rPr>
        <w:t>-</w:t>
      </w:r>
      <w:r w:rsidRPr="00293268">
        <w:rPr>
          <w:b/>
          <w:bCs/>
          <w:lang w:val="fr-FR"/>
        </w:rPr>
        <w:t>septième session</w:t>
      </w:r>
    </w:p>
    <w:p w14:paraId="03BDA71B" w14:textId="6D3DA852" w:rsidR="00865E37" w:rsidRPr="00293268" w:rsidRDefault="00865E37" w:rsidP="00865E37">
      <w:pPr>
        <w:rPr>
          <w:lang w:val="fr-FR"/>
        </w:rPr>
      </w:pPr>
      <w:r w:rsidRPr="00293268">
        <w:rPr>
          <w:lang w:val="fr-FR"/>
        </w:rPr>
        <w:t>21 juin</w:t>
      </w:r>
      <w:r w:rsidR="005F6C97">
        <w:rPr>
          <w:lang w:val="fr-FR"/>
        </w:rPr>
        <w:t>-</w:t>
      </w:r>
      <w:r w:rsidRPr="00293268">
        <w:rPr>
          <w:lang w:val="fr-FR"/>
        </w:rPr>
        <w:t>9 juillet 2021</w:t>
      </w:r>
    </w:p>
    <w:p w14:paraId="1DC07035" w14:textId="77777777" w:rsidR="00865E37" w:rsidRPr="00293268" w:rsidRDefault="00865E37" w:rsidP="00865E37">
      <w:pPr>
        <w:rPr>
          <w:lang w:val="fr-FR"/>
        </w:rPr>
      </w:pPr>
      <w:r w:rsidRPr="00293268">
        <w:rPr>
          <w:lang w:val="fr-FR"/>
        </w:rPr>
        <w:t>Points 2 et 9 de l</w:t>
      </w:r>
      <w:r>
        <w:rPr>
          <w:lang w:val="fr-FR"/>
        </w:rPr>
        <w:t>’</w:t>
      </w:r>
      <w:r w:rsidRPr="00293268">
        <w:rPr>
          <w:lang w:val="fr-FR"/>
        </w:rPr>
        <w:t>ordre du jour</w:t>
      </w:r>
    </w:p>
    <w:p w14:paraId="7A9D59F9" w14:textId="77777777" w:rsidR="00865E37" w:rsidRPr="00293268" w:rsidRDefault="00865E37" w:rsidP="00865E37">
      <w:pPr>
        <w:rPr>
          <w:b/>
          <w:bCs/>
          <w:lang w:val="fr-FR"/>
        </w:rPr>
      </w:pPr>
      <w:r w:rsidRPr="00647C71">
        <w:rPr>
          <w:b/>
          <w:bCs/>
        </w:rPr>
        <w:t>Rapport annuel du Haut-Commissaire des Nations Unies</w:t>
      </w:r>
      <w:r w:rsidRPr="00293268">
        <w:rPr>
          <w:rFonts w:ascii="TimesNewRomanPS-BoldMT" w:hAnsi="TimesNewRomanPS-BoldMT"/>
          <w:b/>
          <w:bCs/>
          <w:color w:val="000000"/>
          <w:lang w:val="fr-FR"/>
        </w:rPr>
        <w:br/>
      </w:r>
      <w:r w:rsidRPr="00647C71">
        <w:rPr>
          <w:b/>
          <w:bCs/>
        </w:rPr>
        <w:t>aux droits de l’homme et rapports du Haut-Commissariat</w:t>
      </w:r>
      <w:r w:rsidRPr="00293268">
        <w:rPr>
          <w:rFonts w:ascii="TimesNewRomanPS-BoldMT" w:hAnsi="TimesNewRomanPS-BoldMT"/>
          <w:b/>
          <w:bCs/>
          <w:color w:val="000000"/>
          <w:lang w:val="fr-FR"/>
        </w:rPr>
        <w:br/>
      </w:r>
      <w:r w:rsidRPr="00647C71">
        <w:rPr>
          <w:b/>
          <w:bCs/>
        </w:rPr>
        <w:t>et du Secrétaire général</w:t>
      </w:r>
    </w:p>
    <w:p w14:paraId="0191928F" w14:textId="5FEEF8AF" w:rsidR="00865E37" w:rsidRPr="00293268" w:rsidRDefault="00865E37" w:rsidP="00865E37">
      <w:pPr>
        <w:spacing w:before="120"/>
        <w:rPr>
          <w:b/>
          <w:bCs/>
          <w:lang w:val="fr-FR"/>
        </w:rPr>
      </w:pPr>
      <w:r w:rsidRPr="00647C71">
        <w:rPr>
          <w:b/>
          <w:bCs/>
        </w:rPr>
        <w:t>Racisme, discrimination raciale, xénophobie et intolérance</w:t>
      </w:r>
      <w:r w:rsidRPr="00293268">
        <w:rPr>
          <w:rFonts w:ascii="TimesNewRomanPS-BoldMT" w:hAnsi="TimesNewRomanPS-BoldMT"/>
          <w:b/>
          <w:bCs/>
          <w:color w:val="000000"/>
          <w:lang w:val="fr-FR"/>
        </w:rPr>
        <w:br/>
      </w:r>
      <w:r w:rsidRPr="00647C71">
        <w:rPr>
          <w:b/>
          <w:bCs/>
        </w:rPr>
        <w:t>qui y est associée</w:t>
      </w:r>
      <w:r w:rsidR="009C32AA">
        <w:rPr>
          <w:b/>
          <w:bCs/>
          <w:lang w:val="fr-FR"/>
        </w:rPr>
        <w:t> </w:t>
      </w:r>
      <w:r w:rsidRPr="00647C71">
        <w:rPr>
          <w:b/>
          <w:bCs/>
        </w:rPr>
        <w:t>: suivi et application de la Déclaration</w:t>
      </w:r>
      <w:r w:rsidRPr="00293268">
        <w:rPr>
          <w:rFonts w:ascii="TimesNewRomanPS-BoldMT" w:hAnsi="TimesNewRomanPS-BoldMT"/>
          <w:b/>
          <w:bCs/>
          <w:color w:val="000000"/>
          <w:lang w:val="fr-FR"/>
        </w:rPr>
        <w:br/>
      </w:r>
      <w:r w:rsidRPr="00647C71">
        <w:rPr>
          <w:b/>
          <w:bCs/>
        </w:rPr>
        <w:t>et du Programme d’action de Durban</w:t>
      </w:r>
    </w:p>
    <w:p w14:paraId="48B0170B" w14:textId="77777777" w:rsidR="00865E37" w:rsidRPr="00293268" w:rsidRDefault="00865E37" w:rsidP="005F6C97">
      <w:pPr>
        <w:pStyle w:val="HChG"/>
        <w:rPr>
          <w:lang w:val="fr-FR"/>
        </w:rPr>
      </w:pPr>
      <w:r w:rsidRPr="00293268">
        <w:rPr>
          <w:lang w:val="fr-FR"/>
        </w:rPr>
        <w:tab/>
      </w:r>
      <w:r w:rsidRPr="00293268">
        <w:rPr>
          <w:lang w:val="fr-FR"/>
        </w:rPr>
        <w:tab/>
        <w:t>Promotion et protection des droits de l</w:t>
      </w:r>
      <w:r>
        <w:rPr>
          <w:lang w:val="fr-FR"/>
        </w:rPr>
        <w:t>’</w:t>
      </w:r>
      <w:r w:rsidRPr="00293268">
        <w:rPr>
          <w:lang w:val="fr-FR"/>
        </w:rPr>
        <w:t>homme et des libertés</w:t>
      </w:r>
      <w:r w:rsidRPr="00293268">
        <w:rPr>
          <w:lang w:val="fr-FR"/>
        </w:rPr>
        <w:br/>
        <w:t>fondamentales des Africains et des personnes d</w:t>
      </w:r>
      <w:r>
        <w:rPr>
          <w:lang w:val="fr-FR"/>
        </w:rPr>
        <w:t>’</w:t>
      </w:r>
      <w:r w:rsidRPr="00293268">
        <w:rPr>
          <w:lang w:val="fr-FR"/>
        </w:rPr>
        <w:t>ascendance</w:t>
      </w:r>
      <w:r w:rsidRPr="00293268">
        <w:rPr>
          <w:lang w:val="fr-FR"/>
        </w:rPr>
        <w:br/>
        <w:t>africaine face au recours excessif à la force et aux autres</w:t>
      </w:r>
      <w:r w:rsidRPr="00293268">
        <w:rPr>
          <w:lang w:val="fr-FR"/>
        </w:rPr>
        <w:br/>
        <w:t>violations des droits de l</w:t>
      </w:r>
      <w:r>
        <w:rPr>
          <w:lang w:val="fr-FR"/>
        </w:rPr>
        <w:t>’</w:t>
      </w:r>
      <w:r w:rsidRPr="00293268">
        <w:rPr>
          <w:lang w:val="fr-FR"/>
        </w:rPr>
        <w:t>homme dont se rendent</w:t>
      </w:r>
      <w:r w:rsidRPr="00293268">
        <w:rPr>
          <w:lang w:val="fr-FR"/>
        </w:rPr>
        <w:br/>
        <w:t>coupables des membres des forces de l</w:t>
      </w:r>
      <w:r>
        <w:rPr>
          <w:lang w:val="fr-FR"/>
        </w:rPr>
        <w:t>’</w:t>
      </w:r>
      <w:r w:rsidRPr="00293268">
        <w:rPr>
          <w:lang w:val="fr-FR"/>
        </w:rPr>
        <w:t>ordre</w:t>
      </w:r>
    </w:p>
    <w:p w14:paraId="2670E973" w14:textId="5D3A8FFF" w:rsidR="00865E37" w:rsidRPr="00293268" w:rsidRDefault="00865E37" w:rsidP="005F6C97">
      <w:pPr>
        <w:pStyle w:val="H1G"/>
        <w:rPr>
          <w:lang w:val="fr-FR"/>
        </w:rPr>
      </w:pPr>
      <w:r w:rsidRPr="00293268">
        <w:rPr>
          <w:lang w:val="fr-FR"/>
        </w:rPr>
        <w:tab/>
      </w:r>
      <w:r w:rsidRPr="00293268">
        <w:rPr>
          <w:lang w:val="fr-FR"/>
        </w:rPr>
        <w:tab/>
      </w:r>
      <w:r>
        <w:rPr>
          <w:lang w:val="fr-FR"/>
        </w:rPr>
        <w:t>Document de séance</w:t>
      </w:r>
      <w:r w:rsidRPr="005F6C97">
        <w:rPr>
          <w:b w:val="0"/>
          <w:bCs/>
          <w:sz w:val="20"/>
          <w:lang w:val="fr-FR"/>
        </w:rPr>
        <w:footnoteReference w:customMarkFollows="1" w:id="2"/>
        <w:t>*</w:t>
      </w:r>
      <w:r w:rsidRPr="005F6C97">
        <w:rPr>
          <w:sz w:val="20"/>
          <w:vertAlign w:val="superscript"/>
          <w:lang w:val="fr-FR"/>
        </w:rPr>
        <w:t>,</w:t>
      </w:r>
      <w:r w:rsidR="005F6C97">
        <w:rPr>
          <w:b w:val="0"/>
          <w:bCs/>
          <w:sz w:val="20"/>
          <w:lang w:val="fr-FR"/>
        </w:rPr>
        <w:t xml:space="preserve"> </w:t>
      </w:r>
      <w:r w:rsidRPr="005F6C97">
        <w:rPr>
          <w:b w:val="0"/>
          <w:bCs/>
          <w:sz w:val="20"/>
          <w:lang w:val="fr-FR"/>
        </w:rPr>
        <w:t>**</w:t>
      </w:r>
    </w:p>
    <w:tbl>
      <w:tblPr>
        <w:tblStyle w:val="TableGrid"/>
        <w:tblW w:w="0" w:type="auto"/>
        <w:jc w:val="center"/>
        <w:tblLook w:val="05E0" w:firstRow="1" w:lastRow="1" w:firstColumn="1" w:lastColumn="1" w:noHBand="0" w:noVBand="1"/>
      </w:tblPr>
      <w:tblGrid>
        <w:gridCol w:w="9628"/>
      </w:tblGrid>
      <w:tr w:rsidR="00865E37" w:rsidRPr="00293268" w14:paraId="4B04D1CA" w14:textId="77777777" w:rsidTr="009F1319">
        <w:trPr>
          <w:jc w:val="center"/>
        </w:trPr>
        <w:tc>
          <w:tcPr>
            <w:tcW w:w="9637" w:type="dxa"/>
            <w:tcBorders>
              <w:bottom w:val="nil"/>
            </w:tcBorders>
          </w:tcPr>
          <w:p w14:paraId="54B8A7A9" w14:textId="77777777" w:rsidR="00865E37" w:rsidRPr="00293268" w:rsidRDefault="00865E37" w:rsidP="009F1319">
            <w:pPr>
              <w:tabs>
                <w:tab w:val="left" w:pos="255"/>
              </w:tabs>
              <w:suppressAutoHyphens w:val="0"/>
              <w:spacing w:before="240" w:after="120"/>
              <w:rPr>
                <w:sz w:val="24"/>
                <w:lang w:val="fr-FR"/>
              </w:rPr>
            </w:pPr>
            <w:r w:rsidRPr="00293268">
              <w:rPr>
                <w:lang w:val="fr-FR"/>
              </w:rPr>
              <w:tab/>
            </w:r>
            <w:r w:rsidRPr="00293268">
              <w:rPr>
                <w:i/>
                <w:sz w:val="24"/>
                <w:lang w:val="fr-FR"/>
              </w:rPr>
              <w:t>Résumé</w:t>
            </w:r>
          </w:p>
        </w:tc>
      </w:tr>
      <w:tr w:rsidR="00865E37" w:rsidRPr="00DF4EA0" w14:paraId="45630D63" w14:textId="77777777" w:rsidTr="009F1319">
        <w:trPr>
          <w:jc w:val="center"/>
        </w:trPr>
        <w:tc>
          <w:tcPr>
            <w:tcW w:w="9637" w:type="dxa"/>
            <w:tcBorders>
              <w:top w:val="nil"/>
              <w:bottom w:val="nil"/>
            </w:tcBorders>
            <w:shd w:val="clear" w:color="auto" w:fill="auto"/>
          </w:tcPr>
          <w:p w14:paraId="12F11298" w14:textId="028F0041" w:rsidR="00865E37" w:rsidRPr="00293268" w:rsidRDefault="00865E37" w:rsidP="009F1319">
            <w:pPr>
              <w:pStyle w:val="SingleTxtG"/>
              <w:ind w:firstLine="567"/>
              <w:rPr>
                <w:lang w:val="fr-FR"/>
              </w:rPr>
            </w:pPr>
            <w:r w:rsidRPr="00293268">
              <w:rPr>
                <w:lang w:val="fr-FR"/>
              </w:rPr>
              <w:t>Le meurtre de George Floyd</w:t>
            </w:r>
            <w:r>
              <w:rPr>
                <w:lang w:val="fr-FR"/>
              </w:rPr>
              <w:t>,</w:t>
            </w:r>
            <w:r w:rsidRPr="00293268">
              <w:rPr>
                <w:lang w:val="fr-FR"/>
              </w:rPr>
              <w:t xml:space="preserve"> le 25 mai 2020</w:t>
            </w:r>
            <w:r>
              <w:rPr>
                <w:lang w:val="fr-FR"/>
              </w:rPr>
              <w:t>,</w:t>
            </w:r>
            <w:r w:rsidRPr="00293268">
              <w:rPr>
                <w:lang w:val="fr-FR"/>
              </w:rPr>
              <w:t xml:space="preserve"> et les manifestations de masse qui </w:t>
            </w:r>
            <w:r>
              <w:rPr>
                <w:lang w:val="fr-FR"/>
              </w:rPr>
              <w:t xml:space="preserve">y </w:t>
            </w:r>
            <w:r w:rsidRPr="00293268">
              <w:rPr>
                <w:lang w:val="fr-FR"/>
              </w:rPr>
              <w:t xml:space="preserve">ont </w:t>
            </w:r>
            <w:r>
              <w:rPr>
                <w:lang w:val="fr-FR"/>
              </w:rPr>
              <w:t>fait suite</w:t>
            </w:r>
            <w:r w:rsidRPr="00293268">
              <w:rPr>
                <w:lang w:val="fr-FR"/>
              </w:rPr>
              <w:t xml:space="preserve"> </w:t>
            </w:r>
            <w:r>
              <w:rPr>
                <w:lang w:val="fr-FR"/>
              </w:rPr>
              <w:t xml:space="preserve">partout </w:t>
            </w:r>
            <w:r w:rsidRPr="00293268">
              <w:rPr>
                <w:lang w:val="fr-FR"/>
              </w:rPr>
              <w:t xml:space="preserve">dans le monde </w:t>
            </w:r>
            <w:r>
              <w:rPr>
                <w:lang w:val="fr-FR"/>
              </w:rPr>
              <w:t>ont marqué</w:t>
            </w:r>
            <w:r w:rsidRPr="00293268">
              <w:rPr>
                <w:lang w:val="fr-FR"/>
              </w:rPr>
              <w:t xml:space="preserve"> un tournant dans la lutte contre le racisme. </w:t>
            </w:r>
            <w:r>
              <w:rPr>
                <w:lang w:val="fr-FR"/>
              </w:rPr>
              <w:t>En</w:t>
            </w:r>
            <w:r w:rsidR="00C05A2D">
              <w:rPr>
                <w:lang w:val="fr-FR"/>
              </w:rPr>
              <w:t> </w:t>
            </w:r>
            <w:r>
              <w:rPr>
                <w:lang w:val="fr-FR"/>
              </w:rPr>
              <w:t>réaction</w:t>
            </w:r>
            <w:r w:rsidRPr="00293268">
              <w:rPr>
                <w:lang w:val="fr-FR"/>
              </w:rPr>
              <w:t>, le Conseil des droits de l</w:t>
            </w:r>
            <w:r>
              <w:rPr>
                <w:lang w:val="fr-FR"/>
              </w:rPr>
              <w:t>’</w:t>
            </w:r>
            <w:r w:rsidRPr="00293268">
              <w:rPr>
                <w:lang w:val="fr-FR"/>
              </w:rPr>
              <w:t xml:space="preserve">homme a organisé un débat en urgence et adopté la résolution </w:t>
            </w:r>
            <w:r w:rsidRPr="00A80B2B">
              <w:rPr>
                <w:lang w:val="fr-FR"/>
              </w:rPr>
              <w:t xml:space="preserve">43/1. Dans cette résolution, </w:t>
            </w:r>
            <w:r>
              <w:rPr>
                <w:lang w:val="fr-FR"/>
              </w:rPr>
              <w:t>il</w:t>
            </w:r>
            <w:r w:rsidRPr="00A80B2B">
              <w:rPr>
                <w:lang w:val="fr-FR"/>
              </w:rPr>
              <w:t xml:space="preserve"> a prié </w:t>
            </w:r>
            <w:r w:rsidRPr="00293268">
              <w:rPr>
                <w:lang w:val="fr-FR"/>
              </w:rPr>
              <w:t>la Haute-Commissaire des Nations Unies aux droits de l</w:t>
            </w:r>
            <w:r>
              <w:rPr>
                <w:lang w:val="fr-FR"/>
              </w:rPr>
              <w:t>’</w:t>
            </w:r>
            <w:r w:rsidRPr="00293268">
              <w:rPr>
                <w:lang w:val="fr-FR"/>
              </w:rPr>
              <w:t>homme d</w:t>
            </w:r>
            <w:r>
              <w:rPr>
                <w:lang w:val="fr-FR"/>
              </w:rPr>
              <w:t>’</w:t>
            </w:r>
            <w:r w:rsidRPr="00293268">
              <w:rPr>
                <w:lang w:val="fr-FR"/>
              </w:rPr>
              <w:t>élaborer un rapport sur le racisme systémique et les violations du droit international des droits de l</w:t>
            </w:r>
            <w:r>
              <w:rPr>
                <w:lang w:val="fr-FR"/>
              </w:rPr>
              <w:t>’</w:t>
            </w:r>
            <w:r w:rsidRPr="00293268">
              <w:rPr>
                <w:lang w:val="fr-FR"/>
              </w:rPr>
              <w:t>homme commises par les forces de l</w:t>
            </w:r>
            <w:r>
              <w:rPr>
                <w:lang w:val="fr-FR"/>
              </w:rPr>
              <w:t>’</w:t>
            </w:r>
            <w:r w:rsidRPr="00293268">
              <w:rPr>
                <w:lang w:val="fr-FR"/>
              </w:rPr>
              <w:t>ordre contre des Africains et des personnes d</w:t>
            </w:r>
            <w:r>
              <w:rPr>
                <w:lang w:val="fr-FR"/>
              </w:rPr>
              <w:t>’</w:t>
            </w:r>
            <w:r w:rsidRPr="00293268">
              <w:rPr>
                <w:lang w:val="fr-FR"/>
              </w:rPr>
              <w:t xml:space="preserve">ascendance africaine, en particulier les actes </w:t>
            </w:r>
            <w:r>
              <w:rPr>
                <w:lang w:val="fr-FR"/>
              </w:rPr>
              <w:t>ayant</w:t>
            </w:r>
            <w:r w:rsidRPr="00293268">
              <w:rPr>
                <w:lang w:val="fr-FR"/>
              </w:rPr>
              <w:t xml:space="preserve"> entraîné la mort de George Floyd et d</w:t>
            </w:r>
            <w:r>
              <w:rPr>
                <w:lang w:val="fr-FR"/>
              </w:rPr>
              <w:t>’</w:t>
            </w:r>
            <w:r w:rsidRPr="00293268">
              <w:rPr>
                <w:lang w:val="fr-FR"/>
              </w:rPr>
              <w:t>autres Africains et personnes d</w:t>
            </w:r>
            <w:r>
              <w:rPr>
                <w:lang w:val="fr-FR"/>
              </w:rPr>
              <w:t>’</w:t>
            </w:r>
            <w:r w:rsidRPr="00293268">
              <w:rPr>
                <w:lang w:val="fr-FR"/>
              </w:rPr>
              <w:t>ascendance africaine, afin de contribuer à l</w:t>
            </w:r>
            <w:r>
              <w:rPr>
                <w:lang w:val="fr-FR"/>
              </w:rPr>
              <w:t>’</w:t>
            </w:r>
            <w:r w:rsidRPr="00293268">
              <w:rPr>
                <w:lang w:val="fr-FR"/>
              </w:rPr>
              <w:t>établissement des responsabilités et à l</w:t>
            </w:r>
            <w:r>
              <w:rPr>
                <w:lang w:val="fr-FR"/>
              </w:rPr>
              <w:t>’</w:t>
            </w:r>
            <w:r w:rsidRPr="00293268">
              <w:rPr>
                <w:lang w:val="fr-FR"/>
              </w:rPr>
              <w:t>octroi d</w:t>
            </w:r>
            <w:r>
              <w:rPr>
                <w:lang w:val="fr-FR"/>
              </w:rPr>
              <w:t>’</w:t>
            </w:r>
            <w:r w:rsidRPr="00293268">
              <w:rPr>
                <w:lang w:val="fr-FR"/>
              </w:rPr>
              <w:t>une réparation aux victimes</w:t>
            </w:r>
            <w:r>
              <w:rPr>
                <w:lang w:val="fr-FR"/>
              </w:rPr>
              <w:t>,</w:t>
            </w:r>
            <w:r w:rsidRPr="00293268">
              <w:rPr>
                <w:lang w:val="fr-FR"/>
              </w:rPr>
              <w:t xml:space="preserve"> d</w:t>
            </w:r>
            <w:r>
              <w:rPr>
                <w:lang w:val="fr-FR"/>
              </w:rPr>
              <w:t>’</w:t>
            </w:r>
            <w:r w:rsidRPr="00293268">
              <w:rPr>
                <w:lang w:val="fr-FR"/>
              </w:rPr>
              <w:t xml:space="preserve">étudier comment les pouvoirs publics ont réagi face aux manifestations pacifiques contre le racisme et de se pencher notamment sur les allégations de recours excessif à la force contre des manifestants, des passants et des journalistes </w:t>
            </w:r>
            <w:r>
              <w:rPr>
                <w:lang w:val="fr-FR"/>
              </w:rPr>
              <w:t>et, enfin,</w:t>
            </w:r>
            <w:r w:rsidRPr="00293268">
              <w:rPr>
                <w:lang w:val="fr-FR"/>
              </w:rPr>
              <w:t xml:space="preserve"> de lui </w:t>
            </w:r>
            <w:r>
              <w:rPr>
                <w:lang w:val="fr-FR"/>
              </w:rPr>
              <w:t>soumettre</w:t>
            </w:r>
            <w:r w:rsidRPr="00293268">
              <w:rPr>
                <w:lang w:val="fr-FR"/>
              </w:rPr>
              <w:t xml:space="preserve"> un rapport complet à sa quarante-septième session.</w:t>
            </w:r>
          </w:p>
        </w:tc>
      </w:tr>
      <w:tr w:rsidR="00865E37" w:rsidRPr="00DF4EA0" w14:paraId="5DC0A1F2" w14:textId="77777777" w:rsidTr="009F1319">
        <w:trPr>
          <w:jc w:val="center"/>
        </w:trPr>
        <w:tc>
          <w:tcPr>
            <w:tcW w:w="9637" w:type="dxa"/>
            <w:tcBorders>
              <w:top w:val="nil"/>
              <w:bottom w:val="nil"/>
            </w:tcBorders>
            <w:shd w:val="clear" w:color="auto" w:fill="auto"/>
          </w:tcPr>
          <w:p w14:paraId="04056357" w14:textId="77777777" w:rsidR="00865E37" w:rsidRPr="00293268" w:rsidRDefault="00865E37" w:rsidP="009F1319">
            <w:pPr>
              <w:pStyle w:val="SingleTxtG"/>
              <w:tabs>
                <w:tab w:val="clear" w:pos="1701"/>
                <w:tab w:val="clear" w:pos="2268"/>
                <w:tab w:val="clear" w:pos="2835"/>
              </w:tabs>
              <w:ind w:firstLine="567"/>
              <w:rPr>
                <w:lang w:val="fr-FR"/>
              </w:rPr>
            </w:pPr>
            <w:r>
              <w:rPr>
                <w:lang w:val="fr-FR"/>
              </w:rPr>
              <w:t>La</w:t>
            </w:r>
            <w:r w:rsidRPr="008E0191">
              <w:rPr>
                <w:lang w:val="fr-FR"/>
              </w:rPr>
              <w:t xml:space="preserve"> Haute-Commissaire a soumis son rapport (A/HRC/47/53) au Conseil des droits de l</w:t>
            </w:r>
            <w:r>
              <w:rPr>
                <w:lang w:val="fr-FR"/>
              </w:rPr>
              <w:t>’</w:t>
            </w:r>
            <w:r w:rsidRPr="008E0191">
              <w:rPr>
                <w:lang w:val="fr-FR"/>
              </w:rPr>
              <w:t>homme</w:t>
            </w:r>
            <w:r>
              <w:rPr>
                <w:lang w:val="fr-FR"/>
              </w:rPr>
              <w:t xml:space="preserve"> comme suite à cette demande</w:t>
            </w:r>
            <w:r w:rsidRPr="008E0191">
              <w:rPr>
                <w:lang w:val="fr-FR"/>
              </w:rPr>
              <w:t xml:space="preserve">. Elle soumettra également le présent document de </w:t>
            </w:r>
            <w:r w:rsidRPr="00BA6136">
              <w:rPr>
                <w:lang w:val="fr-FR"/>
              </w:rPr>
              <w:t xml:space="preserve">séance afin </w:t>
            </w:r>
            <w:r>
              <w:rPr>
                <w:lang w:val="fr-FR"/>
              </w:rPr>
              <w:t>de compléter</w:t>
            </w:r>
            <w:r w:rsidRPr="00BA6136">
              <w:rPr>
                <w:lang w:val="fr-FR"/>
              </w:rPr>
              <w:t xml:space="preserve"> l</w:t>
            </w:r>
            <w:r>
              <w:rPr>
                <w:lang w:val="fr-FR"/>
              </w:rPr>
              <w:t>’</w:t>
            </w:r>
            <w:r w:rsidRPr="00BA6136">
              <w:rPr>
                <w:lang w:val="fr-FR"/>
              </w:rPr>
              <w:t xml:space="preserve">analyse </w:t>
            </w:r>
            <w:r>
              <w:rPr>
                <w:lang w:val="fr-FR"/>
              </w:rPr>
              <w:t>qui figure</w:t>
            </w:r>
            <w:r w:rsidRPr="00BA6136">
              <w:rPr>
                <w:lang w:val="fr-FR"/>
              </w:rPr>
              <w:t xml:space="preserve"> dans le rapport</w:t>
            </w:r>
            <w:r>
              <w:rPr>
                <w:lang w:val="fr-FR"/>
              </w:rPr>
              <w:t xml:space="preserve"> précité</w:t>
            </w:r>
            <w:r w:rsidRPr="00BA6136">
              <w:rPr>
                <w:lang w:val="fr-FR"/>
              </w:rPr>
              <w:t>.</w:t>
            </w:r>
          </w:p>
        </w:tc>
      </w:tr>
      <w:tr w:rsidR="00865E37" w:rsidRPr="00DF4EA0" w14:paraId="3D3058D2" w14:textId="77777777" w:rsidTr="009F1319">
        <w:trPr>
          <w:jc w:val="center"/>
        </w:trPr>
        <w:tc>
          <w:tcPr>
            <w:tcW w:w="9637" w:type="dxa"/>
            <w:tcBorders>
              <w:top w:val="nil"/>
              <w:bottom w:val="nil"/>
            </w:tcBorders>
            <w:shd w:val="clear" w:color="auto" w:fill="auto"/>
          </w:tcPr>
          <w:p w14:paraId="4211BA99" w14:textId="0F768916" w:rsidR="00865E37" w:rsidRPr="00293268" w:rsidRDefault="00865E37" w:rsidP="009F1319">
            <w:pPr>
              <w:pStyle w:val="SingleTxtG"/>
              <w:ind w:firstLine="567"/>
              <w:rPr>
                <w:lang w:val="fr-FR"/>
              </w:rPr>
            </w:pPr>
            <w:r>
              <w:rPr>
                <w:lang w:val="fr-FR"/>
              </w:rPr>
              <w:lastRenderedPageBreak/>
              <w:t>Dans son</w:t>
            </w:r>
            <w:r w:rsidRPr="00BA6136">
              <w:rPr>
                <w:lang w:val="fr-FR"/>
              </w:rPr>
              <w:t xml:space="preserve"> rapport</w:t>
            </w:r>
            <w:r>
              <w:rPr>
                <w:lang w:val="fr-FR"/>
              </w:rPr>
              <w:t>,</w:t>
            </w:r>
            <w:r w:rsidRPr="00BA6136">
              <w:rPr>
                <w:lang w:val="fr-FR"/>
              </w:rPr>
              <w:t xml:space="preserve"> la Haute-Commissaire </w:t>
            </w:r>
            <w:r>
              <w:rPr>
                <w:lang w:val="fr-FR"/>
              </w:rPr>
              <w:t xml:space="preserve">expose </w:t>
            </w:r>
            <w:r w:rsidRPr="00BA6136">
              <w:rPr>
                <w:lang w:val="fr-FR"/>
              </w:rPr>
              <w:t xml:space="preserve">un programme </w:t>
            </w:r>
            <w:r>
              <w:rPr>
                <w:lang w:val="fr-FR"/>
              </w:rPr>
              <w:t>axé sur la</w:t>
            </w:r>
            <w:r w:rsidRPr="00DD04E2">
              <w:rPr>
                <w:lang w:val="fr-FR"/>
              </w:rPr>
              <w:t xml:space="preserve"> transformation </w:t>
            </w:r>
            <w:r>
              <w:rPr>
                <w:lang w:val="fr-FR"/>
              </w:rPr>
              <w:t>pour</w:t>
            </w:r>
            <w:r w:rsidRPr="00BA6136">
              <w:rPr>
                <w:lang w:val="fr-FR"/>
              </w:rPr>
              <w:t xml:space="preserve"> la justice et l</w:t>
            </w:r>
            <w:r>
              <w:rPr>
                <w:lang w:val="fr-FR"/>
              </w:rPr>
              <w:t>’</w:t>
            </w:r>
            <w:r w:rsidRPr="00BA6136">
              <w:rPr>
                <w:lang w:val="fr-FR"/>
              </w:rPr>
              <w:t>égalité raciales dont les objectifs, énoncés en annexe, sont</w:t>
            </w:r>
            <w:r w:rsidR="006F5E0A">
              <w:rPr>
                <w:lang w:val="fr-FR"/>
              </w:rPr>
              <w:t> :</w:t>
            </w:r>
            <w:r w:rsidR="006F5E0A">
              <w:t xml:space="preserve"> </w:t>
            </w:r>
            <w:r w:rsidRPr="00BA6136">
              <w:rPr>
                <w:lang w:val="fr-FR"/>
              </w:rPr>
              <w:t>de remédier à la culture du déni, d</w:t>
            </w:r>
            <w:r>
              <w:rPr>
                <w:lang w:val="fr-FR"/>
              </w:rPr>
              <w:t>’</w:t>
            </w:r>
            <w:r w:rsidRPr="00BA6136">
              <w:rPr>
                <w:lang w:val="fr-FR"/>
              </w:rPr>
              <w:t>éliminer le racisme</w:t>
            </w:r>
            <w:r w:rsidRPr="00293268">
              <w:rPr>
                <w:lang w:val="fr-FR"/>
              </w:rPr>
              <w:t xml:space="preserve"> systémique et d</w:t>
            </w:r>
            <w:r>
              <w:rPr>
                <w:lang w:val="fr-FR"/>
              </w:rPr>
              <w:t>’</w:t>
            </w:r>
            <w:r w:rsidRPr="00293268">
              <w:rPr>
                <w:lang w:val="fr-FR"/>
              </w:rPr>
              <w:t>accélérer le rythme de l</w:t>
            </w:r>
            <w:r>
              <w:rPr>
                <w:lang w:val="fr-FR"/>
              </w:rPr>
              <w:t>’</w:t>
            </w:r>
            <w:r w:rsidRPr="00293268">
              <w:rPr>
                <w:lang w:val="fr-FR"/>
              </w:rPr>
              <w:t>action menée</w:t>
            </w:r>
            <w:r w:rsidR="00BF73AB">
              <w:rPr>
                <w:lang w:val="fr-FR"/>
              </w:rPr>
              <w:t> ;</w:t>
            </w:r>
            <w:r w:rsidRPr="00293268">
              <w:rPr>
                <w:lang w:val="fr-FR"/>
              </w:rPr>
              <w:t xml:space="preserve"> de mettre fin à l</w:t>
            </w:r>
            <w:r>
              <w:rPr>
                <w:lang w:val="fr-FR"/>
              </w:rPr>
              <w:t>’</w:t>
            </w:r>
            <w:r w:rsidRPr="00293268">
              <w:rPr>
                <w:lang w:val="fr-FR"/>
              </w:rPr>
              <w:t xml:space="preserve">impunité des </w:t>
            </w:r>
            <w:r>
              <w:rPr>
                <w:lang w:val="fr-FR"/>
              </w:rPr>
              <w:t>membres des forces de l’ordre</w:t>
            </w:r>
            <w:r w:rsidRPr="00293268">
              <w:rPr>
                <w:lang w:val="fr-FR"/>
              </w:rPr>
              <w:t xml:space="preserve"> qui commettent des violations des droits de l</w:t>
            </w:r>
            <w:r>
              <w:rPr>
                <w:lang w:val="fr-FR"/>
              </w:rPr>
              <w:t>’</w:t>
            </w:r>
            <w:r w:rsidRPr="00293268">
              <w:rPr>
                <w:lang w:val="fr-FR"/>
              </w:rPr>
              <w:t>homme et de remédier au déficit de confiance à cet égard</w:t>
            </w:r>
            <w:r w:rsidR="00BF73AB">
              <w:rPr>
                <w:lang w:val="fr-FR"/>
              </w:rPr>
              <w:t> ;</w:t>
            </w:r>
            <w:r>
              <w:rPr>
                <w:lang w:val="fr-FR"/>
              </w:rPr>
              <w:t xml:space="preserve"> </w:t>
            </w:r>
            <w:r w:rsidRPr="00293268">
              <w:rPr>
                <w:lang w:val="fr-FR"/>
              </w:rPr>
              <w:t>de faire en sorte que la voix des personnes d</w:t>
            </w:r>
            <w:r>
              <w:rPr>
                <w:lang w:val="fr-FR"/>
              </w:rPr>
              <w:t>’</w:t>
            </w:r>
            <w:r w:rsidRPr="00293268">
              <w:rPr>
                <w:lang w:val="fr-FR"/>
              </w:rPr>
              <w:t xml:space="preserve">ascendance africaine et de </w:t>
            </w:r>
            <w:r>
              <w:rPr>
                <w:lang w:val="fr-FR"/>
              </w:rPr>
              <w:t xml:space="preserve">celles </w:t>
            </w:r>
            <w:r w:rsidRPr="00293268">
              <w:rPr>
                <w:lang w:val="fr-FR"/>
              </w:rPr>
              <w:t xml:space="preserve">qui </w:t>
            </w:r>
            <w:r>
              <w:rPr>
                <w:lang w:val="fr-FR"/>
              </w:rPr>
              <w:t>luttent</w:t>
            </w:r>
            <w:r w:rsidRPr="00293268">
              <w:rPr>
                <w:lang w:val="fr-FR"/>
              </w:rPr>
              <w:t xml:space="preserve"> contre le racisme soit entendue et à ce qu</w:t>
            </w:r>
            <w:r>
              <w:rPr>
                <w:lang w:val="fr-FR"/>
              </w:rPr>
              <w:t>’</w:t>
            </w:r>
            <w:r w:rsidRPr="00293268">
              <w:rPr>
                <w:lang w:val="fr-FR"/>
              </w:rPr>
              <w:t>il soit répondu à leurs préoccupations</w:t>
            </w:r>
            <w:r w:rsidR="00BF73AB">
              <w:rPr>
                <w:lang w:val="fr-FR"/>
              </w:rPr>
              <w:t> ;</w:t>
            </w:r>
            <w:r w:rsidRPr="00293268">
              <w:rPr>
                <w:lang w:val="fr-FR"/>
              </w:rPr>
              <w:t xml:space="preserve"> </w:t>
            </w:r>
            <w:r>
              <w:rPr>
                <w:lang w:val="fr-FR"/>
              </w:rPr>
              <w:t>et</w:t>
            </w:r>
            <w:r w:rsidRPr="00293268">
              <w:rPr>
                <w:lang w:val="fr-FR"/>
              </w:rPr>
              <w:t xml:space="preserve"> de </w:t>
            </w:r>
            <w:r>
              <w:rPr>
                <w:lang w:val="fr-FR"/>
              </w:rPr>
              <w:t>confronter le</w:t>
            </w:r>
            <w:r w:rsidRPr="00293268">
              <w:rPr>
                <w:lang w:val="fr-FR"/>
              </w:rPr>
              <w:t xml:space="preserve"> passé, par la voie notamment de </w:t>
            </w:r>
            <w:r>
              <w:rPr>
                <w:lang w:val="fr-FR"/>
              </w:rPr>
              <w:t>l’établissement des</w:t>
            </w:r>
            <w:r w:rsidRPr="00293268">
              <w:rPr>
                <w:lang w:val="fr-FR"/>
              </w:rPr>
              <w:t xml:space="preserve"> responsabilité</w:t>
            </w:r>
            <w:r>
              <w:rPr>
                <w:lang w:val="fr-FR"/>
              </w:rPr>
              <w:t>s</w:t>
            </w:r>
            <w:r w:rsidRPr="00293268">
              <w:rPr>
                <w:lang w:val="fr-FR"/>
              </w:rPr>
              <w:t xml:space="preserve"> et </w:t>
            </w:r>
            <w:r>
              <w:rPr>
                <w:lang w:val="fr-FR"/>
              </w:rPr>
              <w:t>de l’octroi de réparations</w:t>
            </w:r>
            <w:r w:rsidRPr="00293268">
              <w:rPr>
                <w:lang w:val="fr-FR"/>
              </w:rPr>
              <w:t>.</w:t>
            </w:r>
          </w:p>
        </w:tc>
      </w:tr>
      <w:tr w:rsidR="00865E37" w:rsidRPr="00DF4EA0" w14:paraId="74302F8B" w14:textId="77777777" w:rsidTr="009F1319">
        <w:trPr>
          <w:jc w:val="center"/>
        </w:trPr>
        <w:tc>
          <w:tcPr>
            <w:tcW w:w="9637" w:type="dxa"/>
            <w:tcBorders>
              <w:top w:val="nil"/>
              <w:bottom w:val="nil"/>
            </w:tcBorders>
            <w:shd w:val="clear" w:color="auto" w:fill="auto"/>
          </w:tcPr>
          <w:p w14:paraId="02CC56F2" w14:textId="27A61548" w:rsidR="00865E37" w:rsidRPr="00293268" w:rsidRDefault="00865E37" w:rsidP="009F1319">
            <w:pPr>
              <w:pStyle w:val="SingleTxtG"/>
              <w:ind w:firstLine="567"/>
              <w:rPr>
                <w:lang w:val="fr-FR"/>
              </w:rPr>
            </w:pPr>
            <w:r>
              <w:rPr>
                <w:lang w:val="fr-FR"/>
              </w:rPr>
              <w:t>Dans son rapport, l</w:t>
            </w:r>
            <w:r w:rsidRPr="00293268">
              <w:rPr>
                <w:lang w:val="fr-FR"/>
              </w:rPr>
              <w:t>a Haute-Commissaire invite les États à traduire ce programme en plans d</w:t>
            </w:r>
            <w:r>
              <w:rPr>
                <w:lang w:val="fr-FR"/>
              </w:rPr>
              <w:t>’</w:t>
            </w:r>
            <w:r w:rsidRPr="00293268">
              <w:rPr>
                <w:lang w:val="fr-FR"/>
              </w:rPr>
              <w:t>action et en mesures concrètes</w:t>
            </w:r>
            <w:r>
              <w:rPr>
                <w:lang w:val="fr-FR"/>
              </w:rPr>
              <w:t>, qui seront</w:t>
            </w:r>
            <w:r w:rsidRPr="00293268">
              <w:rPr>
                <w:lang w:val="fr-FR"/>
              </w:rPr>
              <w:t xml:space="preserve"> élaborés dans le cadre de dialogues nationaux avec la participation active des personnes d</w:t>
            </w:r>
            <w:r>
              <w:rPr>
                <w:lang w:val="fr-FR"/>
              </w:rPr>
              <w:t>’</w:t>
            </w:r>
            <w:r w:rsidRPr="00293268">
              <w:rPr>
                <w:lang w:val="fr-FR"/>
              </w:rPr>
              <w:t>ascendance africaine, afin de tenir compte de l</w:t>
            </w:r>
            <w:r>
              <w:rPr>
                <w:lang w:val="fr-FR"/>
              </w:rPr>
              <w:t>’</w:t>
            </w:r>
            <w:r w:rsidRPr="00293268">
              <w:rPr>
                <w:lang w:val="fr-FR"/>
              </w:rPr>
              <w:t xml:space="preserve">histoire particulière, </w:t>
            </w:r>
            <w:r>
              <w:rPr>
                <w:lang w:val="fr-FR"/>
              </w:rPr>
              <w:t>du</w:t>
            </w:r>
            <w:r w:rsidRPr="00293268">
              <w:rPr>
                <w:lang w:val="fr-FR"/>
              </w:rPr>
              <w:t xml:space="preserve"> vécu et de</w:t>
            </w:r>
            <w:r>
              <w:rPr>
                <w:lang w:val="fr-FR"/>
              </w:rPr>
              <w:t xml:space="preserve"> la</w:t>
            </w:r>
            <w:r w:rsidRPr="00293268">
              <w:rPr>
                <w:lang w:val="fr-FR"/>
              </w:rPr>
              <w:t xml:space="preserve"> réalité </w:t>
            </w:r>
            <w:r>
              <w:rPr>
                <w:lang w:val="fr-FR"/>
              </w:rPr>
              <w:t>propre</w:t>
            </w:r>
            <w:r w:rsidR="00266148">
              <w:rPr>
                <w:lang w:val="fr-FR"/>
              </w:rPr>
              <w:t xml:space="preserve"> </w:t>
            </w:r>
            <w:r>
              <w:rPr>
                <w:lang w:val="fr-FR"/>
              </w:rPr>
              <w:t>à</w:t>
            </w:r>
            <w:r w:rsidRPr="00293268">
              <w:rPr>
                <w:lang w:val="fr-FR"/>
              </w:rPr>
              <w:t xml:space="preserve"> chaque État. Le</w:t>
            </w:r>
            <w:r w:rsidR="00266148">
              <w:rPr>
                <w:lang w:val="fr-FR"/>
              </w:rPr>
              <w:t> </w:t>
            </w:r>
            <w:r w:rsidRPr="00293268">
              <w:rPr>
                <w:lang w:val="fr-FR"/>
              </w:rPr>
              <w:t>Haut</w:t>
            </w:r>
            <w:r w:rsidR="00266148">
              <w:rPr>
                <w:lang w:val="fr-FR"/>
              </w:rPr>
              <w:noBreakHyphen/>
            </w:r>
            <w:r w:rsidRPr="00293268">
              <w:rPr>
                <w:lang w:val="fr-FR"/>
              </w:rPr>
              <w:t>Commissariat attend avec intérêt de coopérer avec les États et le Conseil des droits de l</w:t>
            </w:r>
            <w:r>
              <w:rPr>
                <w:lang w:val="fr-FR"/>
              </w:rPr>
              <w:t>’</w:t>
            </w:r>
            <w:r w:rsidRPr="00293268">
              <w:rPr>
                <w:lang w:val="fr-FR"/>
              </w:rPr>
              <w:t xml:space="preserve">homme pour </w:t>
            </w:r>
            <w:r>
              <w:rPr>
                <w:lang w:val="fr-FR"/>
              </w:rPr>
              <w:t xml:space="preserve">mettre en œuvre </w:t>
            </w:r>
            <w:r w:rsidRPr="00293268">
              <w:rPr>
                <w:lang w:val="fr-FR"/>
              </w:rPr>
              <w:t>ce programme, notamment</w:t>
            </w:r>
            <w:r w:rsidR="00266148">
              <w:rPr>
                <w:lang w:val="fr-FR"/>
              </w:rPr>
              <w:t xml:space="preserve"> : </w:t>
            </w:r>
            <w:r w:rsidRPr="00293268">
              <w:rPr>
                <w:lang w:val="fr-FR"/>
              </w:rPr>
              <w:t>en renforçant l</w:t>
            </w:r>
            <w:r>
              <w:rPr>
                <w:lang w:val="fr-FR"/>
              </w:rPr>
              <w:t>’</w:t>
            </w:r>
            <w:r w:rsidRPr="00293268">
              <w:rPr>
                <w:lang w:val="fr-FR"/>
              </w:rPr>
              <w:t>assistance aux États et aux autres parties prenantes</w:t>
            </w:r>
            <w:r w:rsidR="00BF73AB">
              <w:rPr>
                <w:lang w:val="fr-FR"/>
              </w:rPr>
              <w:t> ;</w:t>
            </w:r>
            <w:r w:rsidRPr="00293268">
              <w:rPr>
                <w:lang w:val="fr-FR"/>
              </w:rPr>
              <w:t xml:space="preserve"> en rassemblant des informations sur des affaires </w:t>
            </w:r>
            <w:r w:rsidRPr="00AE0828">
              <w:rPr>
                <w:lang w:val="fr-FR"/>
              </w:rPr>
              <w:t>précises et en en</w:t>
            </w:r>
            <w:r w:rsidRPr="00293268">
              <w:rPr>
                <w:lang w:val="fr-FR"/>
              </w:rPr>
              <w:t xml:space="preserve"> </w:t>
            </w:r>
            <w:r>
              <w:rPr>
                <w:lang w:val="fr-FR"/>
              </w:rPr>
              <w:t>assurant</w:t>
            </w:r>
            <w:r w:rsidRPr="00293268">
              <w:rPr>
                <w:lang w:val="fr-FR"/>
              </w:rPr>
              <w:t xml:space="preserve"> le suivi</w:t>
            </w:r>
            <w:r w:rsidR="00BF73AB">
              <w:rPr>
                <w:lang w:val="fr-FR"/>
              </w:rPr>
              <w:t> ;</w:t>
            </w:r>
            <w:r w:rsidRPr="00293268">
              <w:rPr>
                <w:lang w:val="fr-FR"/>
              </w:rPr>
              <w:t xml:space="preserve"> en consultant les victimes, les survivants et les populations touchées et en </w:t>
            </w:r>
            <w:r>
              <w:rPr>
                <w:lang w:val="fr-FR"/>
              </w:rPr>
              <w:t>collaborant</w:t>
            </w:r>
            <w:r w:rsidRPr="00293268">
              <w:rPr>
                <w:lang w:val="fr-FR"/>
              </w:rPr>
              <w:t xml:space="preserve"> avec eux</w:t>
            </w:r>
            <w:r w:rsidR="00BF73AB">
              <w:rPr>
                <w:lang w:val="fr-FR"/>
              </w:rPr>
              <w:t> ;</w:t>
            </w:r>
            <w:r w:rsidRPr="00293268">
              <w:rPr>
                <w:lang w:val="fr-FR"/>
              </w:rPr>
              <w:t xml:space="preserve"> et en offrant des conseils </w:t>
            </w:r>
            <w:r>
              <w:rPr>
                <w:lang w:val="fr-FR"/>
              </w:rPr>
              <w:t>s</w:t>
            </w:r>
            <w:r w:rsidRPr="00293268">
              <w:rPr>
                <w:lang w:val="fr-FR"/>
              </w:rPr>
              <w:t>ur les processus de justice raciale correspondants des États, pour lesquels des</w:t>
            </w:r>
            <w:r w:rsidRPr="0072327F">
              <w:rPr>
                <w:lang w:val="fr-FR"/>
              </w:rPr>
              <w:t xml:space="preserve"> ressources additionnelles </w:t>
            </w:r>
            <w:r w:rsidRPr="00293268">
              <w:rPr>
                <w:lang w:val="fr-FR"/>
              </w:rPr>
              <w:t>sont nécessaires.</w:t>
            </w:r>
          </w:p>
        </w:tc>
      </w:tr>
      <w:tr w:rsidR="00865E37" w:rsidRPr="00DF4EA0" w14:paraId="57411FFF" w14:textId="77777777" w:rsidTr="009F1319">
        <w:trPr>
          <w:jc w:val="center"/>
        </w:trPr>
        <w:tc>
          <w:tcPr>
            <w:tcW w:w="9637" w:type="dxa"/>
            <w:tcBorders>
              <w:top w:val="nil"/>
              <w:bottom w:val="nil"/>
            </w:tcBorders>
            <w:shd w:val="clear" w:color="auto" w:fill="auto"/>
          </w:tcPr>
          <w:p w14:paraId="779CD916" w14:textId="77777777" w:rsidR="00865E37" w:rsidRPr="00293268" w:rsidRDefault="00865E37" w:rsidP="009F1319">
            <w:pPr>
              <w:pStyle w:val="SingleTxtG"/>
              <w:ind w:firstLine="567"/>
              <w:rPr>
                <w:lang w:val="fr-FR"/>
              </w:rPr>
            </w:pPr>
            <w:r w:rsidRPr="00293268">
              <w:rPr>
                <w:lang w:val="fr-FR"/>
              </w:rPr>
              <w:t>La Haute-Commissaire recommande au Conseil des droits de l</w:t>
            </w:r>
            <w:r>
              <w:rPr>
                <w:lang w:val="fr-FR"/>
              </w:rPr>
              <w:t>’</w:t>
            </w:r>
            <w:r w:rsidRPr="00293268">
              <w:rPr>
                <w:lang w:val="fr-FR"/>
              </w:rPr>
              <w:t>homme de continuer de s</w:t>
            </w:r>
            <w:r>
              <w:rPr>
                <w:lang w:val="fr-FR"/>
              </w:rPr>
              <w:t>’</w:t>
            </w:r>
            <w:r w:rsidRPr="00293268">
              <w:rPr>
                <w:lang w:val="fr-FR"/>
              </w:rPr>
              <w:t xml:space="preserve">intéresser de près à ces questions et </w:t>
            </w:r>
            <w:r>
              <w:rPr>
                <w:lang w:val="fr-FR"/>
              </w:rPr>
              <w:t>d’établir</w:t>
            </w:r>
            <w:r w:rsidRPr="00293268">
              <w:rPr>
                <w:lang w:val="fr-FR"/>
              </w:rPr>
              <w:t xml:space="preserve"> un mécanisme limité dans le temps, ou de renforcer </w:t>
            </w:r>
            <w:r>
              <w:rPr>
                <w:lang w:val="fr-FR"/>
              </w:rPr>
              <w:t>tout</w:t>
            </w:r>
            <w:r w:rsidRPr="00293268">
              <w:rPr>
                <w:lang w:val="fr-FR"/>
              </w:rPr>
              <w:t xml:space="preserve"> mécanisme existant en </w:t>
            </w:r>
            <w:r>
              <w:rPr>
                <w:lang w:val="fr-FR"/>
              </w:rPr>
              <w:t xml:space="preserve">le </w:t>
            </w:r>
            <w:r w:rsidRPr="00293268">
              <w:rPr>
                <w:lang w:val="fr-FR"/>
              </w:rPr>
              <w:t>dotant de moyens supplémentaires, en vue de promouvoir la justice et l</w:t>
            </w:r>
            <w:r>
              <w:rPr>
                <w:lang w:val="fr-FR"/>
              </w:rPr>
              <w:t>’</w:t>
            </w:r>
            <w:r w:rsidRPr="00293268">
              <w:rPr>
                <w:lang w:val="fr-FR"/>
              </w:rPr>
              <w:t>égalité raciales dans le contexte de l</w:t>
            </w:r>
            <w:r>
              <w:rPr>
                <w:lang w:val="fr-FR"/>
              </w:rPr>
              <w:t>’</w:t>
            </w:r>
            <w:r w:rsidRPr="00293268">
              <w:rPr>
                <w:lang w:val="fr-FR"/>
              </w:rPr>
              <w:t>application de la loi</w:t>
            </w:r>
            <w:r>
              <w:rPr>
                <w:lang w:val="fr-FR"/>
              </w:rPr>
              <w:t>,</w:t>
            </w:r>
            <w:r w:rsidRPr="00293268">
              <w:rPr>
                <w:lang w:val="fr-FR"/>
              </w:rPr>
              <w:t xml:space="preserve"> partout dans le monde, y compris en examinant les </w:t>
            </w:r>
            <w:r>
              <w:rPr>
                <w:lang w:val="fr-FR"/>
              </w:rPr>
              <w:t>tendances</w:t>
            </w:r>
            <w:r w:rsidRPr="00293268">
              <w:rPr>
                <w:lang w:val="fr-FR"/>
              </w:rPr>
              <w:t xml:space="preserve">, les affaires, les politiques et les </w:t>
            </w:r>
            <w:r>
              <w:rPr>
                <w:lang w:val="fr-FR"/>
              </w:rPr>
              <w:t>initiatives liées à ces</w:t>
            </w:r>
            <w:r w:rsidRPr="00293268">
              <w:rPr>
                <w:lang w:val="fr-FR"/>
              </w:rPr>
              <w:t xml:space="preserve"> question</w:t>
            </w:r>
            <w:r>
              <w:rPr>
                <w:lang w:val="fr-FR"/>
              </w:rPr>
              <w:t>s</w:t>
            </w:r>
            <w:r w:rsidRPr="00293268">
              <w:rPr>
                <w:lang w:val="fr-FR"/>
              </w:rPr>
              <w:t xml:space="preserve">, </w:t>
            </w:r>
            <w:r>
              <w:rPr>
                <w:lang w:val="fr-FR"/>
              </w:rPr>
              <w:t>en particulier</w:t>
            </w:r>
            <w:r w:rsidRPr="00293268">
              <w:rPr>
                <w:lang w:val="fr-FR"/>
              </w:rPr>
              <w:t xml:space="preserve"> </w:t>
            </w:r>
            <w:r>
              <w:rPr>
                <w:lang w:val="fr-FR"/>
              </w:rPr>
              <w:t>celles</w:t>
            </w:r>
            <w:r w:rsidRPr="00293268">
              <w:rPr>
                <w:lang w:val="fr-FR"/>
              </w:rPr>
              <w:t xml:space="preserve"> </w:t>
            </w:r>
            <w:r>
              <w:rPr>
                <w:lang w:val="fr-FR"/>
              </w:rPr>
              <w:t xml:space="preserve">mises en exergue </w:t>
            </w:r>
            <w:r w:rsidRPr="00293268">
              <w:rPr>
                <w:lang w:val="fr-FR"/>
              </w:rPr>
              <w:t xml:space="preserve">dans </w:t>
            </w:r>
            <w:r>
              <w:rPr>
                <w:lang w:val="fr-FR"/>
              </w:rPr>
              <w:t>son</w:t>
            </w:r>
            <w:r w:rsidRPr="00293268">
              <w:rPr>
                <w:lang w:val="fr-FR"/>
              </w:rPr>
              <w:t xml:space="preserve"> rapport et dans le </w:t>
            </w:r>
            <w:r>
              <w:rPr>
                <w:lang w:val="fr-FR"/>
              </w:rPr>
              <w:t xml:space="preserve">présent </w:t>
            </w:r>
            <w:r w:rsidRPr="00293268">
              <w:rPr>
                <w:lang w:val="fr-FR"/>
              </w:rPr>
              <w:t>document de séance.</w:t>
            </w:r>
          </w:p>
        </w:tc>
      </w:tr>
      <w:tr w:rsidR="00865E37" w:rsidRPr="00DF4EA0" w14:paraId="4763C8C0" w14:textId="77777777" w:rsidTr="009F1319">
        <w:trPr>
          <w:jc w:val="center"/>
        </w:trPr>
        <w:tc>
          <w:tcPr>
            <w:tcW w:w="9637" w:type="dxa"/>
            <w:tcBorders>
              <w:top w:val="nil"/>
            </w:tcBorders>
          </w:tcPr>
          <w:p w14:paraId="78754EFA" w14:textId="77777777" w:rsidR="00865E37" w:rsidRPr="00293268" w:rsidRDefault="00865E37" w:rsidP="009F1319">
            <w:pPr>
              <w:suppressAutoHyphens w:val="0"/>
              <w:rPr>
                <w:lang w:val="fr-FR"/>
              </w:rPr>
            </w:pPr>
          </w:p>
        </w:tc>
      </w:tr>
    </w:tbl>
    <w:p w14:paraId="5A19585F" w14:textId="77777777" w:rsidR="00865E37" w:rsidRPr="00293268" w:rsidRDefault="00865E37" w:rsidP="00865E37">
      <w:pPr>
        <w:rPr>
          <w:lang w:val="fr-FR"/>
        </w:rPr>
      </w:pPr>
      <w:r w:rsidRPr="00293268">
        <w:rPr>
          <w:lang w:val="fr-FR"/>
        </w:rPr>
        <w:br w:type="page"/>
      </w:r>
    </w:p>
    <w:p w14:paraId="19602090" w14:textId="4968E934" w:rsidR="00865E37" w:rsidRDefault="00865E37" w:rsidP="00865E37">
      <w:pPr>
        <w:kinsoku/>
        <w:overflowPunct/>
        <w:autoSpaceDE/>
        <w:autoSpaceDN/>
        <w:adjustRightInd/>
        <w:snapToGrid/>
        <w:spacing w:after="120"/>
        <w:rPr>
          <w:rFonts w:eastAsia="Times New Roman"/>
          <w:sz w:val="28"/>
          <w:lang w:val="fr-FR"/>
        </w:rPr>
      </w:pPr>
      <w:r w:rsidRPr="00293268">
        <w:rPr>
          <w:rFonts w:eastAsia="Times New Roman"/>
          <w:sz w:val="28"/>
          <w:lang w:val="fr-FR"/>
        </w:rPr>
        <w:lastRenderedPageBreak/>
        <w:t xml:space="preserve">Table des </w:t>
      </w:r>
      <w:r w:rsidRPr="006E0D61">
        <w:rPr>
          <w:rFonts w:eastAsia="Times New Roman"/>
          <w:sz w:val="28"/>
          <w:lang w:val="fr-FR"/>
        </w:rPr>
        <w:t>matières</w:t>
      </w:r>
    </w:p>
    <w:p w14:paraId="6BE73EB4" w14:textId="537578A4" w:rsidR="00284342" w:rsidRPr="00284342" w:rsidRDefault="00284342" w:rsidP="00284342">
      <w:pPr>
        <w:tabs>
          <w:tab w:val="right" w:pos="9638"/>
        </w:tabs>
        <w:spacing w:after="120"/>
        <w:ind w:left="283"/>
        <w:rPr>
          <w:i/>
          <w:sz w:val="18"/>
        </w:rPr>
      </w:pPr>
      <w:r w:rsidRPr="00284342">
        <w:rPr>
          <w:i/>
          <w:sz w:val="18"/>
        </w:rPr>
        <w:tab/>
        <w:t>Page</w:t>
      </w:r>
    </w:p>
    <w:p w14:paraId="6C4EAE20" w14:textId="77777777" w:rsidR="00F66403" w:rsidRPr="006E0D61" w:rsidRDefault="00F66403" w:rsidP="00F66403">
      <w:pPr>
        <w:tabs>
          <w:tab w:val="right" w:pos="850"/>
          <w:tab w:val="right" w:leader="dot" w:pos="8787"/>
          <w:tab w:val="right" w:pos="9638"/>
        </w:tabs>
        <w:spacing w:after="120"/>
        <w:ind w:left="1134" w:hanging="1134"/>
        <w:rPr>
          <w:rFonts w:eastAsia="Times New Roman"/>
          <w:lang w:val="fr-FR"/>
        </w:rPr>
      </w:pPr>
      <w:bookmarkStart w:id="1" w:name="_Hlk118300617"/>
      <w:r w:rsidRPr="006E0D61">
        <w:rPr>
          <w:rFonts w:eastAsia="Times New Roman"/>
          <w:lang w:val="fr-FR"/>
        </w:rPr>
        <w:tab/>
        <w:t>I.</w:t>
      </w:r>
      <w:r w:rsidRPr="006E0D61">
        <w:rPr>
          <w:rFonts w:eastAsia="Times New Roman"/>
          <w:lang w:val="fr-FR"/>
        </w:rPr>
        <w:tab/>
        <w:t>Introduction et méthode</w:t>
      </w:r>
      <w:r w:rsidRPr="006E0D61">
        <w:rPr>
          <w:rFonts w:eastAsia="Times New Roman"/>
          <w:lang w:val="fr-FR"/>
        </w:rPr>
        <w:tab/>
      </w:r>
      <w:r w:rsidRPr="006E0D61">
        <w:rPr>
          <w:rFonts w:eastAsia="Times New Roman"/>
          <w:lang w:val="fr-FR"/>
        </w:rPr>
        <w:tab/>
      </w:r>
      <w:r>
        <w:rPr>
          <w:rFonts w:eastAsia="Times New Roman"/>
          <w:lang w:val="fr-FR"/>
        </w:rPr>
        <w:t>4</w:t>
      </w:r>
    </w:p>
    <w:p w14:paraId="217AF731" w14:textId="77777777" w:rsidR="00F66403" w:rsidRPr="00DF4EA0" w:rsidRDefault="00F66403" w:rsidP="00F66403">
      <w:pPr>
        <w:tabs>
          <w:tab w:val="right" w:pos="850"/>
          <w:tab w:val="right" w:leader="dot" w:pos="8787"/>
          <w:tab w:val="right" w:pos="9638"/>
        </w:tabs>
        <w:spacing w:after="120"/>
        <w:ind w:left="1134" w:hanging="1134"/>
        <w:rPr>
          <w:rFonts w:eastAsia="Times New Roman"/>
          <w:lang w:val="fr-FR"/>
        </w:rPr>
      </w:pPr>
      <w:r w:rsidRPr="006E0D61">
        <w:rPr>
          <w:rFonts w:eastAsia="Times New Roman"/>
          <w:lang w:val="fr-FR"/>
        </w:rPr>
        <w:tab/>
        <w:t>II.</w:t>
      </w:r>
      <w:r w:rsidRPr="006E0D61">
        <w:rPr>
          <w:rFonts w:eastAsia="Times New Roman"/>
          <w:lang w:val="fr-FR"/>
        </w:rPr>
        <w:tab/>
      </w:r>
      <w:r w:rsidRPr="006E0D61">
        <w:rPr>
          <w:lang w:val="fr-FR"/>
        </w:rPr>
        <w:t xml:space="preserve">Remédier à la culture du déni, éliminer le racisme systémique et accélérer le rythme </w:t>
      </w:r>
      <w:r>
        <w:rPr>
          <w:lang w:val="fr-FR"/>
        </w:rPr>
        <w:br/>
      </w:r>
      <w:r w:rsidRPr="006E0D61">
        <w:rPr>
          <w:lang w:val="fr-FR"/>
        </w:rPr>
        <w:t>de l</w:t>
      </w:r>
      <w:r>
        <w:rPr>
          <w:lang w:val="fr-FR"/>
        </w:rPr>
        <w:t>’</w:t>
      </w:r>
      <w:r w:rsidRPr="006E0D61">
        <w:rPr>
          <w:lang w:val="fr-FR"/>
        </w:rPr>
        <w:t>action menée</w:t>
      </w:r>
      <w:r>
        <w:rPr>
          <w:lang w:val="fr-FR"/>
        </w:rPr>
        <w:tab/>
      </w:r>
      <w:r>
        <w:rPr>
          <w:lang w:val="fr-FR"/>
        </w:rPr>
        <w:tab/>
        <w:t>7</w:t>
      </w:r>
    </w:p>
    <w:p w14:paraId="0569C621" w14:textId="77777777" w:rsidR="00F66403" w:rsidRPr="006E0D61" w:rsidRDefault="00F66403" w:rsidP="00F66403">
      <w:pPr>
        <w:tabs>
          <w:tab w:val="right" w:leader="dot" w:pos="8787"/>
          <w:tab w:val="right" w:pos="9638"/>
        </w:tabs>
        <w:spacing w:after="120"/>
        <w:ind w:left="1559" w:hanging="425"/>
        <w:rPr>
          <w:rFonts w:eastAsia="Times New Roman"/>
          <w:lang w:val="fr-FR"/>
        </w:rPr>
      </w:pPr>
      <w:r w:rsidRPr="006E0D61">
        <w:rPr>
          <w:rFonts w:eastAsia="Times New Roman"/>
          <w:lang w:val="fr-FR"/>
        </w:rPr>
        <w:t>A.</w:t>
      </w:r>
      <w:r w:rsidRPr="006E0D61">
        <w:rPr>
          <w:rFonts w:eastAsia="Times New Roman"/>
          <w:lang w:val="fr-FR"/>
        </w:rPr>
        <w:tab/>
      </w:r>
      <w:r w:rsidRPr="006E0D61">
        <w:rPr>
          <w:lang w:val="fr-FR"/>
        </w:rPr>
        <w:t xml:space="preserve">Racisme systémique, esclavage, traite transatlantique des Africains réduits en esclavage </w:t>
      </w:r>
      <w:r>
        <w:rPr>
          <w:lang w:val="fr-FR"/>
        </w:rPr>
        <w:br/>
      </w:r>
      <w:r w:rsidRPr="006E0D61">
        <w:rPr>
          <w:lang w:val="fr-FR"/>
        </w:rPr>
        <w:t>et colonialisme</w:t>
      </w:r>
      <w:r w:rsidRPr="006E0D61">
        <w:rPr>
          <w:rFonts w:eastAsia="Times New Roman"/>
          <w:lang w:val="fr-FR"/>
        </w:rPr>
        <w:tab/>
      </w:r>
      <w:r w:rsidRPr="006E0D61">
        <w:rPr>
          <w:rFonts w:eastAsia="Times New Roman"/>
          <w:lang w:val="fr-FR"/>
        </w:rPr>
        <w:tab/>
      </w:r>
      <w:r>
        <w:rPr>
          <w:rFonts w:eastAsia="Times New Roman"/>
          <w:lang w:val="fr-FR"/>
        </w:rPr>
        <w:t>7</w:t>
      </w:r>
    </w:p>
    <w:p w14:paraId="45E2A3B9" w14:textId="77777777" w:rsidR="00F66403" w:rsidRPr="006E0D61" w:rsidRDefault="00F66403" w:rsidP="00F66403">
      <w:pPr>
        <w:tabs>
          <w:tab w:val="right" w:leader="dot" w:pos="8787"/>
          <w:tab w:val="right" w:pos="9638"/>
        </w:tabs>
        <w:spacing w:after="120"/>
        <w:ind w:left="1559" w:hanging="425"/>
        <w:rPr>
          <w:rFonts w:eastAsia="Times New Roman"/>
          <w:lang w:val="fr-FR"/>
        </w:rPr>
      </w:pPr>
      <w:r w:rsidRPr="006E0D61">
        <w:rPr>
          <w:rFonts w:eastAsia="Times New Roman"/>
          <w:lang w:val="fr-FR"/>
        </w:rPr>
        <w:t>B.</w:t>
      </w:r>
      <w:r w:rsidRPr="006E0D61">
        <w:rPr>
          <w:rFonts w:eastAsia="Times New Roman"/>
          <w:lang w:val="fr-FR"/>
        </w:rPr>
        <w:tab/>
      </w:r>
      <w:r w:rsidRPr="006E0D61">
        <w:rPr>
          <w:lang w:val="fr-FR"/>
        </w:rPr>
        <w:t>Manifestations contemporaines de racisme systémique à l</w:t>
      </w:r>
      <w:r>
        <w:rPr>
          <w:lang w:val="fr-FR"/>
        </w:rPr>
        <w:t>’</w:t>
      </w:r>
      <w:r w:rsidRPr="006E0D61">
        <w:rPr>
          <w:lang w:val="fr-FR"/>
        </w:rPr>
        <w:t xml:space="preserve">égard des Africains </w:t>
      </w:r>
      <w:r>
        <w:rPr>
          <w:lang w:val="fr-FR"/>
        </w:rPr>
        <w:br/>
      </w:r>
      <w:r w:rsidRPr="006E0D61">
        <w:rPr>
          <w:lang w:val="fr-FR"/>
        </w:rPr>
        <w:t>et des personnes d</w:t>
      </w:r>
      <w:r>
        <w:rPr>
          <w:lang w:val="fr-FR"/>
        </w:rPr>
        <w:t>’</w:t>
      </w:r>
      <w:r w:rsidRPr="006E0D61">
        <w:rPr>
          <w:lang w:val="fr-FR"/>
        </w:rPr>
        <w:t>ascendance africaine</w:t>
      </w:r>
      <w:r w:rsidRPr="006E0D61">
        <w:rPr>
          <w:rFonts w:eastAsia="Times New Roman"/>
          <w:lang w:val="fr-FR"/>
        </w:rPr>
        <w:tab/>
      </w:r>
      <w:r w:rsidRPr="006E0D61">
        <w:rPr>
          <w:rFonts w:eastAsia="Times New Roman"/>
          <w:lang w:val="fr-FR"/>
        </w:rPr>
        <w:tab/>
      </w:r>
      <w:r>
        <w:rPr>
          <w:rFonts w:eastAsia="Times New Roman"/>
          <w:lang w:val="fr-FR"/>
        </w:rPr>
        <w:t>8</w:t>
      </w:r>
    </w:p>
    <w:p w14:paraId="22AFD1D7" w14:textId="77777777" w:rsidR="00F66403" w:rsidRPr="006E0D61" w:rsidRDefault="00F66403" w:rsidP="00F66403">
      <w:pPr>
        <w:tabs>
          <w:tab w:val="right" w:leader="dot" w:pos="8787"/>
          <w:tab w:val="right" w:pos="9638"/>
        </w:tabs>
        <w:spacing w:after="120"/>
        <w:ind w:left="1559" w:hanging="425"/>
        <w:rPr>
          <w:rFonts w:eastAsia="Times New Roman"/>
          <w:lang w:val="fr-FR"/>
        </w:rPr>
      </w:pPr>
      <w:r w:rsidRPr="006E0D61">
        <w:rPr>
          <w:rFonts w:eastAsia="Times New Roman"/>
          <w:lang w:val="fr-FR"/>
        </w:rPr>
        <w:t>C.</w:t>
      </w:r>
      <w:r w:rsidRPr="006E0D61">
        <w:rPr>
          <w:rFonts w:eastAsia="Times New Roman"/>
          <w:lang w:val="fr-FR"/>
        </w:rPr>
        <w:tab/>
      </w:r>
      <w:r w:rsidRPr="006E0D61">
        <w:rPr>
          <w:lang w:val="fr-FR"/>
        </w:rPr>
        <w:t>Facteurs contribuant à la persistance du racisme systémique</w:t>
      </w:r>
      <w:r w:rsidRPr="006E0D61">
        <w:rPr>
          <w:rFonts w:eastAsia="Times New Roman"/>
          <w:lang w:val="fr-FR"/>
        </w:rPr>
        <w:tab/>
      </w:r>
      <w:r w:rsidRPr="006E0D61">
        <w:rPr>
          <w:rFonts w:eastAsia="Times New Roman"/>
          <w:lang w:val="fr-FR"/>
        </w:rPr>
        <w:tab/>
      </w:r>
      <w:r>
        <w:rPr>
          <w:rFonts w:eastAsia="Times New Roman"/>
          <w:lang w:val="fr-FR"/>
        </w:rPr>
        <w:t>17</w:t>
      </w:r>
    </w:p>
    <w:p w14:paraId="4E11F295" w14:textId="50C26C2E" w:rsidR="00F66403" w:rsidRPr="006E0D61" w:rsidRDefault="00F66403" w:rsidP="00F66403">
      <w:pPr>
        <w:tabs>
          <w:tab w:val="right" w:leader="dot" w:pos="8787"/>
          <w:tab w:val="right" w:pos="9638"/>
        </w:tabs>
        <w:spacing w:after="120"/>
        <w:ind w:left="1559" w:hanging="425"/>
        <w:rPr>
          <w:rFonts w:eastAsia="Times New Roman"/>
          <w:lang w:val="fr-FR"/>
        </w:rPr>
      </w:pPr>
      <w:r w:rsidRPr="006E0D61">
        <w:rPr>
          <w:rFonts w:eastAsia="Times New Roman"/>
          <w:lang w:val="fr-FR"/>
        </w:rPr>
        <w:t>D.</w:t>
      </w:r>
      <w:r w:rsidRPr="006E0D61">
        <w:rPr>
          <w:rFonts w:eastAsia="Times New Roman"/>
          <w:lang w:val="fr-FR"/>
        </w:rPr>
        <w:tab/>
      </w:r>
      <w:r w:rsidRPr="009B3025">
        <w:rPr>
          <w:lang w:val="fr-FR"/>
        </w:rPr>
        <w:t>Programme axé sur la transformation au service de la justice et de l’égalité raciales</w:t>
      </w:r>
      <w:r>
        <w:rPr>
          <w:lang w:val="fr-FR"/>
        </w:rPr>
        <w:t xml:space="preserve"> </w:t>
      </w:r>
      <w:r>
        <w:rPr>
          <w:lang w:val="fr-FR"/>
        </w:rPr>
        <w:br/>
      </w:r>
      <w:r w:rsidRPr="00DD04E2">
        <w:rPr>
          <w:lang w:val="fr-FR"/>
        </w:rPr>
        <w:t xml:space="preserve"> </w:t>
      </w:r>
      <w:r>
        <w:rPr>
          <w:lang w:val="fr-FR"/>
        </w:rPr>
        <w:t>−</w:t>
      </w:r>
      <w:r w:rsidRPr="006E0D61">
        <w:rPr>
          <w:lang w:val="fr-FR"/>
        </w:rPr>
        <w:t xml:space="preserve"> La voie à suivre </w:t>
      </w:r>
      <w:r>
        <w:rPr>
          <w:lang w:val="fr-FR"/>
        </w:rPr>
        <w:t xml:space="preserve">− </w:t>
      </w:r>
      <w:r w:rsidRPr="006E0D61">
        <w:rPr>
          <w:lang w:val="fr-FR"/>
        </w:rPr>
        <w:t>INTENSIFIER LES EFFORTS</w:t>
      </w:r>
      <w:r>
        <w:rPr>
          <w:lang w:val="fr-FR"/>
        </w:rPr>
        <w:t xml:space="preserve"> : </w:t>
      </w:r>
      <w:r w:rsidRPr="006E0D61">
        <w:rPr>
          <w:lang w:val="fr-FR"/>
        </w:rPr>
        <w:t xml:space="preserve"> Cesser de nier et commencer </w:t>
      </w:r>
      <w:r>
        <w:rPr>
          <w:lang w:val="fr-FR"/>
        </w:rPr>
        <w:br/>
      </w:r>
      <w:r w:rsidRPr="006E0D61">
        <w:rPr>
          <w:lang w:val="fr-FR"/>
        </w:rPr>
        <w:t>à déconstruire</w:t>
      </w:r>
      <w:r w:rsidRPr="006E0D61">
        <w:rPr>
          <w:rFonts w:eastAsia="Times New Roman"/>
          <w:lang w:val="fr-FR"/>
        </w:rPr>
        <w:tab/>
      </w:r>
      <w:r w:rsidRPr="006E0D61">
        <w:rPr>
          <w:rFonts w:eastAsia="Times New Roman"/>
          <w:lang w:val="fr-FR"/>
        </w:rPr>
        <w:tab/>
      </w:r>
      <w:r>
        <w:rPr>
          <w:rFonts w:eastAsia="Times New Roman"/>
          <w:lang w:val="fr-FR"/>
        </w:rPr>
        <w:t>24</w:t>
      </w:r>
    </w:p>
    <w:p w14:paraId="219410ED" w14:textId="77777777" w:rsidR="00F66403" w:rsidRPr="00293268" w:rsidRDefault="00F66403" w:rsidP="00F66403">
      <w:pPr>
        <w:tabs>
          <w:tab w:val="right" w:pos="850"/>
          <w:tab w:val="right" w:leader="dot" w:pos="8787"/>
          <w:tab w:val="right" w:pos="9638"/>
        </w:tabs>
        <w:spacing w:after="120"/>
        <w:ind w:left="1134" w:hanging="1134"/>
        <w:rPr>
          <w:rFonts w:eastAsia="Times New Roman"/>
          <w:lang w:val="fr-FR"/>
        </w:rPr>
      </w:pPr>
      <w:r w:rsidRPr="006E0D61">
        <w:rPr>
          <w:rFonts w:eastAsia="Times New Roman"/>
          <w:lang w:val="fr-FR"/>
        </w:rPr>
        <w:tab/>
      </w:r>
      <w:r w:rsidRPr="009B3025">
        <w:rPr>
          <w:rFonts w:eastAsia="Times New Roman"/>
          <w:lang w:val="fr-FR"/>
        </w:rPr>
        <w:t>III.</w:t>
      </w:r>
      <w:r w:rsidRPr="009B3025">
        <w:rPr>
          <w:rFonts w:eastAsia="Times New Roman"/>
          <w:lang w:val="fr-FR"/>
        </w:rPr>
        <w:tab/>
      </w:r>
      <w:r w:rsidRPr="009B3025">
        <w:rPr>
          <w:rFonts w:ascii="TimesNewRomanPSMT" w:hAnsi="TimesNewRomanPSMT"/>
          <w:color w:val="000000"/>
          <w:lang w:val="fr-FR"/>
        </w:rPr>
        <w:t>Mettre fin à l’impunité des agents des forces de l’ordre qui commettent des violations</w:t>
      </w:r>
      <w:r w:rsidRPr="009B3025">
        <w:rPr>
          <w:rFonts w:ascii="TimesNewRomanPSMT" w:hAnsi="TimesNewRomanPSMT"/>
          <w:color w:val="000000"/>
          <w:lang w:val="fr-FR"/>
        </w:rPr>
        <w:br/>
        <w:t>des droits de l’homme et remédier au déficit de confiance………………………………………….</w:t>
      </w:r>
      <w:r w:rsidRPr="006E0D61">
        <w:rPr>
          <w:rFonts w:eastAsia="Times New Roman"/>
          <w:lang w:val="fr-FR"/>
        </w:rPr>
        <w:tab/>
      </w:r>
      <w:r>
        <w:rPr>
          <w:rFonts w:eastAsia="Times New Roman"/>
          <w:lang w:val="fr-FR"/>
        </w:rPr>
        <w:t>29</w:t>
      </w:r>
    </w:p>
    <w:p w14:paraId="485A22EC" w14:textId="77777777" w:rsidR="00F66403" w:rsidRPr="00293268" w:rsidRDefault="00F66403" w:rsidP="00F66403">
      <w:pPr>
        <w:tabs>
          <w:tab w:val="right" w:leader="dot" w:pos="8787"/>
          <w:tab w:val="right" w:pos="9638"/>
        </w:tabs>
        <w:spacing w:after="120"/>
        <w:ind w:left="1559" w:hanging="425"/>
        <w:rPr>
          <w:rFonts w:eastAsia="Times New Roman"/>
          <w:lang w:val="fr-FR"/>
        </w:rPr>
      </w:pPr>
      <w:r w:rsidRPr="00293268">
        <w:rPr>
          <w:rFonts w:eastAsia="Times New Roman"/>
          <w:lang w:val="fr-FR"/>
        </w:rPr>
        <w:t>A.</w:t>
      </w:r>
      <w:r w:rsidRPr="00293268">
        <w:rPr>
          <w:rFonts w:eastAsia="Times New Roman"/>
          <w:lang w:val="fr-FR"/>
        </w:rPr>
        <w:tab/>
        <w:t>Introduction</w:t>
      </w:r>
      <w:r w:rsidRPr="00293268">
        <w:rPr>
          <w:rFonts w:eastAsia="Times New Roman"/>
          <w:lang w:val="fr-FR"/>
        </w:rPr>
        <w:tab/>
      </w:r>
      <w:r w:rsidRPr="00293268">
        <w:rPr>
          <w:rFonts w:eastAsia="Times New Roman"/>
          <w:lang w:val="fr-FR"/>
        </w:rPr>
        <w:tab/>
      </w:r>
      <w:r>
        <w:rPr>
          <w:rFonts w:eastAsia="Times New Roman"/>
          <w:lang w:val="fr-FR"/>
        </w:rPr>
        <w:t>29</w:t>
      </w:r>
    </w:p>
    <w:p w14:paraId="44FA94DF" w14:textId="77777777" w:rsidR="00F66403" w:rsidRPr="00293268" w:rsidRDefault="00F66403" w:rsidP="00F66403">
      <w:pPr>
        <w:tabs>
          <w:tab w:val="right" w:leader="dot" w:pos="8787"/>
          <w:tab w:val="right" w:pos="9638"/>
        </w:tabs>
        <w:spacing w:after="120"/>
        <w:ind w:left="1559" w:hanging="425"/>
        <w:rPr>
          <w:rFonts w:eastAsia="Times New Roman"/>
          <w:lang w:val="fr-FR"/>
        </w:rPr>
      </w:pPr>
      <w:r w:rsidRPr="00293268">
        <w:rPr>
          <w:rFonts w:eastAsia="Times New Roman"/>
          <w:lang w:val="fr-FR"/>
        </w:rPr>
        <w:t>B.</w:t>
      </w:r>
      <w:r w:rsidRPr="00293268">
        <w:rPr>
          <w:rFonts w:eastAsia="Times New Roman"/>
          <w:lang w:val="fr-FR"/>
        </w:rPr>
        <w:tab/>
      </w:r>
      <w:r w:rsidRPr="00CE18C3">
        <w:rPr>
          <w:lang w:val="fr-FR"/>
        </w:rPr>
        <w:t>Personnes d</w:t>
      </w:r>
      <w:r>
        <w:rPr>
          <w:lang w:val="fr-FR"/>
        </w:rPr>
        <w:t>’</w:t>
      </w:r>
      <w:r w:rsidRPr="00CE18C3">
        <w:rPr>
          <w:lang w:val="fr-FR"/>
        </w:rPr>
        <w:t>ascendance africaine, forces de l</w:t>
      </w:r>
      <w:r>
        <w:rPr>
          <w:lang w:val="fr-FR"/>
        </w:rPr>
        <w:t>’</w:t>
      </w:r>
      <w:r w:rsidRPr="00CE18C3">
        <w:rPr>
          <w:lang w:val="fr-FR"/>
        </w:rPr>
        <w:t>ordre et système de justice pénale</w:t>
      </w:r>
      <w:r w:rsidRPr="00293268">
        <w:rPr>
          <w:rFonts w:eastAsia="Times New Roman"/>
          <w:lang w:val="fr-FR"/>
        </w:rPr>
        <w:tab/>
      </w:r>
      <w:r w:rsidRPr="00293268">
        <w:rPr>
          <w:rFonts w:eastAsia="Times New Roman"/>
          <w:lang w:val="fr-FR"/>
        </w:rPr>
        <w:tab/>
      </w:r>
      <w:r>
        <w:rPr>
          <w:rFonts w:eastAsia="Times New Roman"/>
          <w:lang w:val="fr-FR"/>
        </w:rPr>
        <w:t>29</w:t>
      </w:r>
    </w:p>
    <w:p w14:paraId="5C2E0062" w14:textId="77777777" w:rsidR="00F66403" w:rsidRPr="00293268" w:rsidRDefault="00F66403" w:rsidP="00F66403">
      <w:pPr>
        <w:tabs>
          <w:tab w:val="right" w:leader="dot" w:pos="8787"/>
          <w:tab w:val="right" w:pos="9638"/>
        </w:tabs>
        <w:spacing w:after="120"/>
        <w:ind w:left="1559" w:hanging="425"/>
        <w:rPr>
          <w:rFonts w:eastAsia="Times New Roman"/>
          <w:lang w:val="fr-FR"/>
        </w:rPr>
      </w:pPr>
      <w:r w:rsidRPr="00293268">
        <w:rPr>
          <w:rFonts w:eastAsia="Times New Roman"/>
          <w:lang w:val="fr-FR"/>
        </w:rPr>
        <w:t>C.</w:t>
      </w:r>
      <w:r w:rsidRPr="00293268">
        <w:rPr>
          <w:rFonts w:eastAsia="Times New Roman"/>
          <w:lang w:val="fr-FR"/>
        </w:rPr>
        <w:tab/>
      </w:r>
      <w:r w:rsidRPr="00B613E7">
        <w:rPr>
          <w:lang w:val="fr-FR"/>
        </w:rPr>
        <w:t xml:space="preserve">Établissement des responsabilités et réparation </w:t>
      </w:r>
      <w:r>
        <w:rPr>
          <w:lang w:val="fr-FR"/>
        </w:rPr>
        <w:t>d</w:t>
      </w:r>
      <w:r w:rsidRPr="00B613E7">
        <w:rPr>
          <w:lang w:val="fr-FR"/>
        </w:rPr>
        <w:t xml:space="preserve">es violations commises par les forces </w:t>
      </w:r>
      <w:r>
        <w:rPr>
          <w:lang w:val="fr-FR"/>
        </w:rPr>
        <w:br/>
      </w:r>
      <w:r w:rsidRPr="00B613E7">
        <w:rPr>
          <w:lang w:val="fr-FR"/>
        </w:rPr>
        <w:t>de l</w:t>
      </w:r>
      <w:r>
        <w:rPr>
          <w:lang w:val="fr-FR"/>
        </w:rPr>
        <w:t>’</w:t>
      </w:r>
      <w:r w:rsidRPr="00B613E7">
        <w:rPr>
          <w:lang w:val="fr-FR"/>
        </w:rPr>
        <w:t>ordre à l</w:t>
      </w:r>
      <w:r>
        <w:rPr>
          <w:lang w:val="fr-FR"/>
        </w:rPr>
        <w:t>’</w:t>
      </w:r>
      <w:r w:rsidRPr="00B613E7">
        <w:rPr>
          <w:lang w:val="fr-FR"/>
        </w:rPr>
        <w:t>encontre d</w:t>
      </w:r>
      <w:r>
        <w:rPr>
          <w:lang w:val="fr-FR"/>
        </w:rPr>
        <w:t>’</w:t>
      </w:r>
      <w:r w:rsidRPr="00B613E7">
        <w:rPr>
          <w:lang w:val="fr-FR"/>
        </w:rPr>
        <w:t>Africains et de personnes d</w:t>
      </w:r>
      <w:r>
        <w:rPr>
          <w:lang w:val="fr-FR"/>
        </w:rPr>
        <w:t>’</w:t>
      </w:r>
      <w:r w:rsidRPr="00B613E7">
        <w:rPr>
          <w:lang w:val="fr-FR"/>
        </w:rPr>
        <w:t>ascendance africaine</w:t>
      </w:r>
      <w:r w:rsidRPr="00293268">
        <w:rPr>
          <w:rFonts w:eastAsia="Times New Roman"/>
          <w:lang w:val="fr-FR"/>
        </w:rPr>
        <w:tab/>
      </w:r>
      <w:r w:rsidRPr="00293268">
        <w:rPr>
          <w:rFonts w:eastAsia="Times New Roman"/>
          <w:lang w:val="fr-FR"/>
        </w:rPr>
        <w:tab/>
      </w:r>
      <w:r>
        <w:rPr>
          <w:rFonts w:eastAsia="Times New Roman"/>
          <w:lang w:val="fr-FR"/>
        </w:rPr>
        <w:t>45</w:t>
      </w:r>
    </w:p>
    <w:p w14:paraId="6BD1937B" w14:textId="77777777" w:rsidR="00F66403" w:rsidRPr="00293268" w:rsidRDefault="00F66403" w:rsidP="00F66403">
      <w:pPr>
        <w:tabs>
          <w:tab w:val="right" w:leader="dot" w:pos="8787"/>
          <w:tab w:val="right" w:pos="9638"/>
        </w:tabs>
        <w:spacing w:after="120"/>
        <w:ind w:left="1559" w:hanging="425"/>
        <w:rPr>
          <w:rFonts w:eastAsia="Times New Roman"/>
          <w:lang w:val="fr-FR"/>
        </w:rPr>
      </w:pPr>
      <w:r w:rsidRPr="00293268">
        <w:rPr>
          <w:rFonts w:eastAsia="Times New Roman"/>
          <w:lang w:val="fr-FR"/>
        </w:rPr>
        <w:t>D.</w:t>
      </w:r>
      <w:r w:rsidRPr="00293268">
        <w:rPr>
          <w:rFonts w:eastAsia="Times New Roman"/>
          <w:lang w:val="fr-FR"/>
        </w:rPr>
        <w:tab/>
      </w:r>
      <w:r>
        <w:rPr>
          <w:rFonts w:eastAsia="Times New Roman"/>
          <w:lang w:val="fr-FR"/>
        </w:rPr>
        <w:t>I</w:t>
      </w:r>
      <w:r w:rsidRPr="00293268">
        <w:rPr>
          <w:rFonts w:eastAsia="Times New Roman"/>
          <w:lang w:val="fr-FR"/>
        </w:rPr>
        <w:t>nitiatives</w:t>
      </w:r>
      <w:r>
        <w:rPr>
          <w:rFonts w:eastAsia="Times New Roman"/>
          <w:lang w:val="fr-FR"/>
        </w:rPr>
        <w:t xml:space="preserve"> prometteuses</w:t>
      </w:r>
      <w:r w:rsidRPr="00293268">
        <w:rPr>
          <w:rFonts w:eastAsia="Times New Roman"/>
          <w:lang w:val="fr-FR"/>
        </w:rPr>
        <w:tab/>
      </w:r>
      <w:r w:rsidRPr="00293268">
        <w:rPr>
          <w:rFonts w:eastAsia="Times New Roman"/>
          <w:lang w:val="fr-FR"/>
        </w:rPr>
        <w:tab/>
      </w:r>
      <w:r>
        <w:rPr>
          <w:rFonts w:eastAsia="Times New Roman"/>
          <w:lang w:val="fr-FR"/>
        </w:rPr>
        <w:t>58</w:t>
      </w:r>
    </w:p>
    <w:p w14:paraId="6213B464" w14:textId="77777777" w:rsidR="00F66403" w:rsidRPr="00293268" w:rsidRDefault="00F66403" w:rsidP="00F66403">
      <w:pPr>
        <w:tabs>
          <w:tab w:val="right" w:leader="dot" w:pos="8787"/>
          <w:tab w:val="right" w:pos="9638"/>
        </w:tabs>
        <w:spacing w:after="120"/>
        <w:ind w:left="1559" w:hanging="425"/>
        <w:rPr>
          <w:rFonts w:eastAsia="Times New Roman"/>
          <w:lang w:val="fr-FR"/>
        </w:rPr>
      </w:pPr>
      <w:bookmarkStart w:id="2" w:name="_Hlk118299616"/>
      <w:r w:rsidRPr="009B3025">
        <w:rPr>
          <w:rFonts w:eastAsia="Times New Roman"/>
          <w:lang w:val="fr-FR"/>
        </w:rPr>
        <w:t>E.</w:t>
      </w:r>
      <w:r w:rsidRPr="009B3025">
        <w:rPr>
          <w:rFonts w:eastAsia="Times New Roman"/>
          <w:lang w:val="fr-FR"/>
        </w:rPr>
        <w:tab/>
      </w:r>
      <w:r w:rsidRPr="009B3025">
        <w:rPr>
          <w:lang w:val="fr-FR"/>
        </w:rPr>
        <w:t xml:space="preserve">Programme axé sur la transformation au service de la justice et de l’égalité raciales </w:t>
      </w:r>
      <w:r w:rsidRPr="009B3025">
        <w:rPr>
          <w:lang w:val="fr-FR"/>
        </w:rPr>
        <w:br/>
        <w:t xml:space="preserve">− La voie à suivre − RENDRE JUSTICE : Mettre fin à l’impunité </w:t>
      </w:r>
      <w:r w:rsidRPr="009B3025">
        <w:rPr>
          <w:lang w:val="fr-FR"/>
        </w:rPr>
        <w:br/>
        <w:t>et instaurer la confiance</w:t>
      </w:r>
      <w:r w:rsidRPr="00293268">
        <w:rPr>
          <w:rFonts w:eastAsia="Times New Roman"/>
          <w:lang w:val="fr-FR"/>
        </w:rPr>
        <w:tab/>
      </w:r>
      <w:bookmarkEnd w:id="2"/>
      <w:r>
        <w:rPr>
          <w:rFonts w:eastAsia="Times New Roman"/>
          <w:lang w:val="fr-FR"/>
        </w:rPr>
        <w:tab/>
        <w:t>59</w:t>
      </w:r>
    </w:p>
    <w:p w14:paraId="28FC50F2" w14:textId="77777777" w:rsidR="00F66403" w:rsidRPr="00293268" w:rsidRDefault="00F66403" w:rsidP="00F66403">
      <w:pPr>
        <w:tabs>
          <w:tab w:val="right" w:pos="850"/>
          <w:tab w:val="right" w:leader="dot" w:pos="8787"/>
          <w:tab w:val="right" w:pos="9638"/>
        </w:tabs>
        <w:spacing w:after="120"/>
        <w:ind w:left="1134" w:hanging="1134"/>
        <w:rPr>
          <w:rFonts w:eastAsia="Times New Roman"/>
          <w:lang w:val="fr-FR"/>
        </w:rPr>
      </w:pPr>
      <w:r w:rsidRPr="00293268">
        <w:rPr>
          <w:rFonts w:eastAsia="Times New Roman"/>
          <w:lang w:val="fr-FR"/>
        </w:rPr>
        <w:tab/>
        <w:t>IV.</w:t>
      </w:r>
      <w:r w:rsidRPr="00293268">
        <w:rPr>
          <w:rFonts w:eastAsia="Times New Roman"/>
          <w:lang w:val="fr-FR"/>
        </w:rPr>
        <w:tab/>
      </w:r>
      <w:r w:rsidRPr="00293268">
        <w:rPr>
          <w:lang w:val="fr-FR"/>
        </w:rPr>
        <w:t>Veiller à ce que la voix des personnes d</w:t>
      </w:r>
      <w:r>
        <w:rPr>
          <w:lang w:val="fr-FR"/>
        </w:rPr>
        <w:t>’</w:t>
      </w:r>
      <w:r w:rsidRPr="00293268">
        <w:rPr>
          <w:lang w:val="fr-FR"/>
        </w:rPr>
        <w:t xml:space="preserve">ascendance africaine et de </w:t>
      </w:r>
      <w:r>
        <w:rPr>
          <w:lang w:val="fr-FR"/>
        </w:rPr>
        <w:t>celles</w:t>
      </w:r>
      <w:r w:rsidRPr="00293268">
        <w:rPr>
          <w:lang w:val="fr-FR"/>
        </w:rPr>
        <w:t xml:space="preserve"> qui s</w:t>
      </w:r>
      <w:r>
        <w:rPr>
          <w:lang w:val="fr-FR"/>
        </w:rPr>
        <w:t>’</w:t>
      </w:r>
      <w:r w:rsidRPr="00293268">
        <w:rPr>
          <w:lang w:val="fr-FR"/>
        </w:rPr>
        <w:t xml:space="preserve">élèvent </w:t>
      </w:r>
      <w:r>
        <w:rPr>
          <w:lang w:val="fr-FR"/>
        </w:rPr>
        <w:br/>
      </w:r>
      <w:r w:rsidRPr="00293268">
        <w:rPr>
          <w:lang w:val="fr-FR"/>
        </w:rPr>
        <w:t>contre le racisme soit entendue et à ce qu</w:t>
      </w:r>
      <w:r>
        <w:rPr>
          <w:lang w:val="fr-FR"/>
        </w:rPr>
        <w:t>’</w:t>
      </w:r>
      <w:r w:rsidRPr="00293268">
        <w:rPr>
          <w:lang w:val="fr-FR"/>
        </w:rPr>
        <w:t>il soit répondu à leurs préoccupations</w:t>
      </w:r>
      <w:r w:rsidRPr="00293268">
        <w:rPr>
          <w:rFonts w:eastAsia="Times New Roman"/>
          <w:lang w:val="fr-FR"/>
        </w:rPr>
        <w:tab/>
      </w:r>
      <w:r w:rsidRPr="00293268">
        <w:rPr>
          <w:rFonts w:eastAsia="Times New Roman"/>
          <w:lang w:val="fr-FR"/>
        </w:rPr>
        <w:tab/>
      </w:r>
      <w:r>
        <w:rPr>
          <w:rFonts w:eastAsia="Times New Roman"/>
          <w:lang w:val="fr-FR"/>
        </w:rPr>
        <w:t>64</w:t>
      </w:r>
    </w:p>
    <w:p w14:paraId="72BA2DFA" w14:textId="77777777" w:rsidR="00F66403" w:rsidRPr="00293268" w:rsidRDefault="00F66403" w:rsidP="00F66403">
      <w:pPr>
        <w:tabs>
          <w:tab w:val="right" w:leader="dot" w:pos="8787"/>
          <w:tab w:val="right" w:pos="9638"/>
        </w:tabs>
        <w:spacing w:after="120"/>
        <w:ind w:left="1559" w:hanging="425"/>
        <w:rPr>
          <w:rFonts w:eastAsia="Times New Roman"/>
          <w:lang w:val="fr-FR"/>
        </w:rPr>
      </w:pPr>
      <w:r w:rsidRPr="00293268">
        <w:rPr>
          <w:rFonts w:eastAsia="Times New Roman"/>
          <w:lang w:val="fr-FR"/>
        </w:rPr>
        <w:t>A.</w:t>
      </w:r>
      <w:r w:rsidRPr="00293268">
        <w:rPr>
          <w:rFonts w:eastAsia="Times New Roman"/>
          <w:lang w:val="fr-FR"/>
        </w:rPr>
        <w:tab/>
        <w:t>Introduction</w:t>
      </w:r>
      <w:r w:rsidRPr="00293268">
        <w:rPr>
          <w:rFonts w:eastAsia="Times New Roman"/>
          <w:lang w:val="fr-FR"/>
        </w:rPr>
        <w:tab/>
      </w:r>
      <w:r w:rsidRPr="00293268">
        <w:rPr>
          <w:rFonts w:eastAsia="Times New Roman"/>
          <w:lang w:val="fr-FR"/>
        </w:rPr>
        <w:tab/>
      </w:r>
      <w:r>
        <w:rPr>
          <w:rFonts w:eastAsia="Times New Roman"/>
          <w:lang w:val="fr-FR"/>
        </w:rPr>
        <w:t>64</w:t>
      </w:r>
    </w:p>
    <w:p w14:paraId="6B82B665" w14:textId="77777777" w:rsidR="00F66403" w:rsidRPr="00293268" w:rsidRDefault="00F66403" w:rsidP="00F66403">
      <w:pPr>
        <w:tabs>
          <w:tab w:val="right" w:leader="dot" w:pos="8787"/>
          <w:tab w:val="right" w:pos="9638"/>
        </w:tabs>
        <w:spacing w:after="120"/>
        <w:ind w:left="1559" w:hanging="425"/>
        <w:rPr>
          <w:rFonts w:eastAsia="Times New Roman"/>
          <w:lang w:val="fr-FR"/>
        </w:rPr>
      </w:pPr>
      <w:r w:rsidRPr="00293268">
        <w:rPr>
          <w:rFonts w:eastAsia="Times New Roman"/>
          <w:lang w:val="fr-FR"/>
        </w:rPr>
        <w:t>B.</w:t>
      </w:r>
      <w:r w:rsidRPr="00293268">
        <w:rPr>
          <w:rFonts w:eastAsia="Times New Roman"/>
          <w:lang w:val="fr-FR"/>
        </w:rPr>
        <w:tab/>
      </w:r>
      <w:r w:rsidRPr="00132916">
        <w:rPr>
          <w:lang w:val="fr-FR"/>
        </w:rPr>
        <w:t xml:space="preserve">Réponses des </w:t>
      </w:r>
      <w:r>
        <w:rPr>
          <w:lang w:val="fr-FR"/>
        </w:rPr>
        <w:t>pouvoirs publics</w:t>
      </w:r>
      <w:r w:rsidRPr="00132916">
        <w:rPr>
          <w:lang w:val="fr-FR"/>
        </w:rPr>
        <w:t xml:space="preserve"> aux manifestations pacifiques contre le racisme</w:t>
      </w:r>
      <w:r w:rsidRPr="00293268">
        <w:rPr>
          <w:rFonts w:eastAsia="Times New Roman"/>
          <w:lang w:val="fr-FR"/>
        </w:rPr>
        <w:tab/>
      </w:r>
      <w:r w:rsidRPr="00293268">
        <w:rPr>
          <w:rFonts w:eastAsia="Times New Roman"/>
          <w:lang w:val="fr-FR"/>
        </w:rPr>
        <w:tab/>
      </w:r>
      <w:r>
        <w:rPr>
          <w:rFonts w:eastAsia="Times New Roman"/>
          <w:lang w:val="fr-FR"/>
        </w:rPr>
        <w:t>67</w:t>
      </w:r>
    </w:p>
    <w:p w14:paraId="109C3429" w14:textId="77777777" w:rsidR="00F66403" w:rsidRPr="00293268" w:rsidRDefault="00F66403" w:rsidP="00F66403">
      <w:pPr>
        <w:tabs>
          <w:tab w:val="right" w:leader="dot" w:pos="8787"/>
          <w:tab w:val="right" w:pos="9638"/>
        </w:tabs>
        <w:spacing w:after="120"/>
        <w:ind w:left="1559" w:hanging="425"/>
        <w:rPr>
          <w:rFonts w:eastAsia="Times New Roman"/>
          <w:lang w:val="fr-FR"/>
        </w:rPr>
      </w:pPr>
      <w:r w:rsidRPr="00293268">
        <w:rPr>
          <w:rFonts w:eastAsia="Times New Roman"/>
          <w:lang w:val="fr-FR"/>
        </w:rPr>
        <w:t>C.</w:t>
      </w:r>
      <w:r w:rsidRPr="00293268">
        <w:rPr>
          <w:rFonts w:eastAsia="Times New Roman"/>
          <w:lang w:val="fr-FR"/>
        </w:rPr>
        <w:tab/>
      </w:r>
      <w:r w:rsidRPr="008C2A57">
        <w:rPr>
          <w:lang w:val="fr-FR"/>
        </w:rPr>
        <w:t xml:space="preserve">Contexte </w:t>
      </w:r>
      <w:r>
        <w:rPr>
          <w:lang w:val="fr-FR"/>
        </w:rPr>
        <w:t>plus général</w:t>
      </w:r>
      <w:r w:rsidRPr="008C2A57">
        <w:rPr>
          <w:lang w:val="fr-FR"/>
        </w:rPr>
        <w:t xml:space="preserve"> de harcèlement, de surveillance, d</w:t>
      </w:r>
      <w:r>
        <w:rPr>
          <w:lang w:val="fr-FR"/>
        </w:rPr>
        <w:t>’</w:t>
      </w:r>
      <w:r w:rsidRPr="008C2A57">
        <w:rPr>
          <w:lang w:val="fr-FR"/>
        </w:rPr>
        <w:t xml:space="preserve">intimidation et de violence </w:t>
      </w:r>
      <w:r>
        <w:rPr>
          <w:lang w:val="fr-FR"/>
        </w:rPr>
        <w:br/>
      </w:r>
      <w:r w:rsidRPr="008C2A57">
        <w:rPr>
          <w:lang w:val="fr-FR"/>
        </w:rPr>
        <w:t>à l</w:t>
      </w:r>
      <w:r>
        <w:rPr>
          <w:lang w:val="fr-FR"/>
        </w:rPr>
        <w:t>’</w:t>
      </w:r>
      <w:r w:rsidRPr="008C2A57">
        <w:rPr>
          <w:lang w:val="fr-FR"/>
        </w:rPr>
        <w:t>encontre des défenseurs des droits de l</w:t>
      </w:r>
      <w:r>
        <w:rPr>
          <w:lang w:val="fr-FR"/>
        </w:rPr>
        <w:t>’</w:t>
      </w:r>
      <w:r w:rsidRPr="008C2A57">
        <w:rPr>
          <w:lang w:val="fr-FR"/>
        </w:rPr>
        <w:t>homme</w:t>
      </w:r>
      <w:r w:rsidRPr="00293268">
        <w:rPr>
          <w:rFonts w:eastAsia="Times New Roman"/>
          <w:lang w:val="fr-FR"/>
        </w:rPr>
        <w:tab/>
      </w:r>
      <w:r w:rsidRPr="00293268">
        <w:rPr>
          <w:rFonts w:eastAsia="Times New Roman"/>
          <w:lang w:val="fr-FR"/>
        </w:rPr>
        <w:tab/>
      </w:r>
      <w:r>
        <w:rPr>
          <w:rFonts w:eastAsia="Times New Roman"/>
          <w:lang w:val="fr-FR"/>
        </w:rPr>
        <w:t>76</w:t>
      </w:r>
    </w:p>
    <w:p w14:paraId="5389B8EC" w14:textId="77777777" w:rsidR="00F66403" w:rsidRPr="00293268" w:rsidRDefault="00F66403" w:rsidP="00F66403">
      <w:pPr>
        <w:tabs>
          <w:tab w:val="right" w:leader="dot" w:pos="8787"/>
          <w:tab w:val="right" w:pos="9638"/>
        </w:tabs>
        <w:spacing w:after="120"/>
        <w:ind w:left="1559" w:hanging="425"/>
        <w:rPr>
          <w:rFonts w:eastAsia="Times New Roman"/>
          <w:lang w:val="fr-FR"/>
        </w:rPr>
      </w:pPr>
      <w:bookmarkStart w:id="3" w:name="_Hlk118300002"/>
      <w:r w:rsidRPr="0057212F">
        <w:rPr>
          <w:rFonts w:eastAsia="Times New Roman"/>
          <w:lang w:val="fr-FR"/>
        </w:rPr>
        <w:t>D.</w:t>
      </w:r>
      <w:r w:rsidRPr="0057212F">
        <w:rPr>
          <w:rFonts w:eastAsia="Times New Roman"/>
          <w:lang w:val="fr-FR"/>
        </w:rPr>
        <w:tab/>
      </w:r>
      <w:r w:rsidRPr="0057212F">
        <w:rPr>
          <w:lang w:val="fr-FR"/>
        </w:rPr>
        <w:t>Programme axé sur la transformation au service de la justice et de l’égalité raciales</w:t>
      </w:r>
      <w:r w:rsidRPr="0057212F">
        <w:rPr>
          <w:lang w:val="fr-FR"/>
        </w:rPr>
        <w:br/>
        <w:t xml:space="preserve">et de l’égalité raciales − La voie à suivre − ÉCOUTER : les personnes d’ascendance </w:t>
      </w:r>
      <w:r w:rsidRPr="0057212F">
        <w:rPr>
          <w:lang w:val="fr-FR"/>
        </w:rPr>
        <w:br/>
        <w:t>africaine doivent être entendues</w:t>
      </w:r>
      <w:r w:rsidRPr="00293268">
        <w:rPr>
          <w:rFonts w:eastAsia="Times New Roman"/>
          <w:lang w:val="fr-FR"/>
        </w:rPr>
        <w:tab/>
      </w:r>
      <w:bookmarkEnd w:id="3"/>
      <w:r w:rsidRPr="00293268">
        <w:rPr>
          <w:rFonts w:eastAsia="Times New Roman"/>
          <w:lang w:val="fr-FR"/>
        </w:rPr>
        <w:tab/>
      </w:r>
      <w:r>
        <w:rPr>
          <w:rFonts w:eastAsia="Times New Roman"/>
          <w:lang w:val="fr-FR"/>
        </w:rPr>
        <w:t>78</w:t>
      </w:r>
    </w:p>
    <w:p w14:paraId="65882021" w14:textId="77777777" w:rsidR="00F66403" w:rsidRPr="00293268" w:rsidRDefault="00F66403" w:rsidP="00F66403">
      <w:pPr>
        <w:tabs>
          <w:tab w:val="right" w:pos="850"/>
          <w:tab w:val="right" w:leader="dot" w:pos="8787"/>
          <w:tab w:val="right" w:pos="9638"/>
        </w:tabs>
        <w:spacing w:after="120"/>
        <w:ind w:left="1134" w:hanging="1134"/>
        <w:rPr>
          <w:rFonts w:eastAsia="Times New Roman"/>
          <w:lang w:val="fr-FR"/>
        </w:rPr>
      </w:pPr>
      <w:r w:rsidRPr="00293268">
        <w:rPr>
          <w:rFonts w:eastAsia="Times New Roman"/>
          <w:lang w:val="fr-FR"/>
        </w:rPr>
        <w:tab/>
        <w:t>V.</w:t>
      </w:r>
      <w:r w:rsidRPr="00293268">
        <w:rPr>
          <w:rFonts w:eastAsia="Times New Roman"/>
          <w:lang w:val="fr-FR"/>
        </w:rPr>
        <w:tab/>
      </w:r>
      <w:r>
        <w:rPr>
          <w:lang w:val="fr-FR"/>
        </w:rPr>
        <w:t>Confronter le</w:t>
      </w:r>
      <w:r w:rsidRPr="001C2B9A">
        <w:rPr>
          <w:lang w:val="fr-FR"/>
        </w:rPr>
        <w:t xml:space="preserve"> passé, </w:t>
      </w:r>
      <w:r w:rsidRPr="00197B21">
        <w:rPr>
          <w:lang w:val="fr-FR"/>
        </w:rPr>
        <w:t>notamment en établissant les</w:t>
      </w:r>
      <w:r>
        <w:rPr>
          <w:lang w:val="fr-FR"/>
        </w:rPr>
        <w:t xml:space="preserve"> </w:t>
      </w:r>
      <w:r w:rsidRPr="00197B21">
        <w:rPr>
          <w:lang w:val="fr-FR"/>
        </w:rPr>
        <w:t xml:space="preserve">responsabilités </w:t>
      </w:r>
      <w:r>
        <w:rPr>
          <w:lang w:val="fr-FR"/>
        </w:rPr>
        <w:br/>
      </w:r>
      <w:r w:rsidRPr="00197B21">
        <w:rPr>
          <w:lang w:val="fr-FR"/>
        </w:rPr>
        <w:t xml:space="preserve">et en accordant </w:t>
      </w:r>
      <w:r>
        <w:rPr>
          <w:lang w:val="fr-FR"/>
        </w:rPr>
        <w:t xml:space="preserve">des </w:t>
      </w:r>
      <w:r w:rsidRPr="00197B21">
        <w:rPr>
          <w:lang w:val="fr-FR"/>
        </w:rPr>
        <w:t>réparation</w:t>
      </w:r>
      <w:r>
        <w:rPr>
          <w:lang w:val="fr-FR"/>
        </w:rPr>
        <w:t>s</w:t>
      </w:r>
      <w:r w:rsidRPr="00293268">
        <w:rPr>
          <w:rFonts w:eastAsia="Times New Roman"/>
          <w:lang w:val="fr-FR"/>
        </w:rPr>
        <w:tab/>
      </w:r>
      <w:r w:rsidRPr="00293268">
        <w:rPr>
          <w:rFonts w:eastAsia="Times New Roman"/>
          <w:lang w:val="fr-FR"/>
        </w:rPr>
        <w:tab/>
      </w:r>
      <w:r>
        <w:rPr>
          <w:rFonts w:eastAsia="Times New Roman"/>
          <w:lang w:val="fr-FR"/>
        </w:rPr>
        <w:t>84</w:t>
      </w:r>
    </w:p>
    <w:p w14:paraId="32458F7F" w14:textId="77777777" w:rsidR="00F66403" w:rsidRPr="00293268" w:rsidRDefault="00F66403" w:rsidP="00F66403">
      <w:pPr>
        <w:tabs>
          <w:tab w:val="right" w:leader="dot" w:pos="8787"/>
          <w:tab w:val="right" w:pos="9638"/>
        </w:tabs>
        <w:spacing w:after="120"/>
        <w:ind w:left="1559" w:hanging="425"/>
        <w:rPr>
          <w:rFonts w:eastAsia="Times New Roman"/>
          <w:lang w:val="fr-FR"/>
        </w:rPr>
      </w:pPr>
      <w:r w:rsidRPr="00293268">
        <w:rPr>
          <w:rFonts w:eastAsia="Times New Roman"/>
          <w:lang w:val="fr-FR"/>
        </w:rPr>
        <w:t>A.</w:t>
      </w:r>
      <w:r w:rsidRPr="00293268">
        <w:rPr>
          <w:rFonts w:eastAsia="Times New Roman"/>
          <w:lang w:val="fr-FR"/>
        </w:rPr>
        <w:tab/>
        <w:t>Introduction</w:t>
      </w:r>
      <w:r w:rsidRPr="00293268">
        <w:rPr>
          <w:rFonts w:eastAsia="Times New Roman"/>
          <w:lang w:val="fr-FR"/>
        </w:rPr>
        <w:tab/>
      </w:r>
      <w:r w:rsidRPr="00293268">
        <w:rPr>
          <w:rFonts w:eastAsia="Times New Roman"/>
          <w:lang w:val="fr-FR"/>
        </w:rPr>
        <w:tab/>
      </w:r>
      <w:r>
        <w:rPr>
          <w:rFonts w:eastAsia="Times New Roman"/>
          <w:lang w:val="fr-FR"/>
        </w:rPr>
        <w:t>84</w:t>
      </w:r>
    </w:p>
    <w:p w14:paraId="319EB821" w14:textId="77777777" w:rsidR="00F66403" w:rsidRPr="00293268" w:rsidRDefault="00F66403" w:rsidP="00F66403">
      <w:pPr>
        <w:tabs>
          <w:tab w:val="right" w:leader="dot" w:pos="8787"/>
          <w:tab w:val="right" w:pos="9638"/>
        </w:tabs>
        <w:spacing w:after="120"/>
        <w:ind w:left="1559" w:hanging="425"/>
        <w:rPr>
          <w:rFonts w:eastAsia="Times New Roman"/>
          <w:lang w:val="fr-FR"/>
        </w:rPr>
      </w:pPr>
      <w:r w:rsidRPr="00293268">
        <w:rPr>
          <w:rFonts w:eastAsia="Times New Roman"/>
          <w:lang w:val="fr-FR"/>
        </w:rPr>
        <w:t>B.</w:t>
      </w:r>
      <w:r w:rsidRPr="00293268">
        <w:rPr>
          <w:rFonts w:eastAsia="Times New Roman"/>
          <w:lang w:val="fr-FR"/>
        </w:rPr>
        <w:tab/>
      </w:r>
      <w:r w:rsidRPr="0040753D">
        <w:rPr>
          <w:lang w:val="fr-FR"/>
        </w:rPr>
        <w:t>Exemples d</w:t>
      </w:r>
      <w:r>
        <w:rPr>
          <w:lang w:val="fr-FR"/>
        </w:rPr>
        <w:t>’</w:t>
      </w:r>
      <w:r w:rsidRPr="0040753D">
        <w:rPr>
          <w:lang w:val="fr-FR"/>
        </w:rPr>
        <w:t xml:space="preserve">initiatives </w:t>
      </w:r>
      <w:r w:rsidRPr="00E51B03">
        <w:rPr>
          <w:lang w:val="fr-FR"/>
        </w:rPr>
        <w:t xml:space="preserve">régionales, nationales et locales </w:t>
      </w:r>
      <w:r w:rsidRPr="0040753D">
        <w:rPr>
          <w:lang w:val="fr-FR"/>
        </w:rPr>
        <w:t xml:space="preserve">pour établir les responsabilités </w:t>
      </w:r>
      <w:r>
        <w:rPr>
          <w:lang w:val="fr-FR"/>
        </w:rPr>
        <w:br/>
      </w:r>
      <w:r w:rsidRPr="0040753D">
        <w:rPr>
          <w:lang w:val="fr-FR"/>
        </w:rPr>
        <w:t xml:space="preserve">et </w:t>
      </w:r>
      <w:r>
        <w:rPr>
          <w:lang w:val="fr-FR"/>
        </w:rPr>
        <w:t>accorder des réparations</w:t>
      </w:r>
      <w:r w:rsidRPr="00293268">
        <w:rPr>
          <w:rFonts w:eastAsia="Times New Roman"/>
          <w:lang w:val="fr-FR"/>
        </w:rPr>
        <w:tab/>
      </w:r>
      <w:r w:rsidRPr="00293268">
        <w:rPr>
          <w:rFonts w:eastAsia="Times New Roman"/>
          <w:lang w:val="fr-FR"/>
        </w:rPr>
        <w:tab/>
      </w:r>
      <w:r>
        <w:rPr>
          <w:rFonts w:eastAsia="Times New Roman"/>
          <w:lang w:val="fr-FR"/>
        </w:rPr>
        <w:t>84</w:t>
      </w:r>
    </w:p>
    <w:p w14:paraId="310A9E49" w14:textId="77777777" w:rsidR="00F66403" w:rsidRPr="00293268" w:rsidRDefault="00F66403" w:rsidP="00F66403">
      <w:pPr>
        <w:tabs>
          <w:tab w:val="right" w:leader="dot" w:pos="8787"/>
          <w:tab w:val="right" w:pos="9638"/>
        </w:tabs>
        <w:spacing w:after="120"/>
        <w:ind w:left="1559" w:hanging="425"/>
        <w:rPr>
          <w:rFonts w:eastAsia="Times New Roman"/>
          <w:lang w:val="fr-FR"/>
        </w:rPr>
      </w:pPr>
      <w:bookmarkStart w:id="4" w:name="_Hlk118300317"/>
      <w:r w:rsidRPr="0057212F">
        <w:rPr>
          <w:rFonts w:eastAsia="Times New Roman"/>
          <w:lang w:val="fr-FR"/>
        </w:rPr>
        <w:t>C.</w:t>
      </w:r>
      <w:r w:rsidRPr="0057212F">
        <w:rPr>
          <w:rFonts w:eastAsia="Times New Roman"/>
          <w:lang w:val="fr-FR"/>
        </w:rPr>
        <w:tab/>
      </w:r>
      <w:r w:rsidRPr="0057212F">
        <w:rPr>
          <w:lang w:val="fr-FR"/>
        </w:rPr>
        <w:t xml:space="preserve">Programme axé sur la transformation au service de la justice et de l’égalité raciales </w:t>
      </w:r>
      <w:r>
        <w:rPr>
          <w:lang w:val="fr-FR"/>
        </w:rPr>
        <w:br/>
      </w:r>
      <w:r w:rsidRPr="0057212F">
        <w:rPr>
          <w:lang w:val="fr-FR"/>
        </w:rPr>
        <w:t xml:space="preserve">− La voie à suivre − RÉPARER : Affronter l’héritage du passé, adopter des mesures </w:t>
      </w:r>
      <w:r>
        <w:rPr>
          <w:lang w:val="fr-FR"/>
        </w:rPr>
        <w:br/>
      </w:r>
      <w:r w:rsidRPr="0057212F">
        <w:rPr>
          <w:lang w:val="fr-FR"/>
        </w:rPr>
        <w:t>spéciales et rendre une justice réparatrice</w:t>
      </w:r>
      <w:r w:rsidRPr="00293268">
        <w:rPr>
          <w:rFonts w:eastAsia="Times New Roman"/>
          <w:lang w:val="fr-FR"/>
        </w:rPr>
        <w:tab/>
      </w:r>
      <w:bookmarkEnd w:id="4"/>
      <w:r w:rsidRPr="00293268">
        <w:rPr>
          <w:rFonts w:eastAsia="Times New Roman"/>
          <w:lang w:val="fr-FR"/>
        </w:rPr>
        <w:tab/>
      </w:r>
      <w:r>
        <w:rPr>
          <w:rFonts w:eastAsia="Times New Roman"/>
          <w:lang w:val="fr-FR"/>
        </w:rPr>
        <w:t>98</w:t>
      </w:r>
    </w:p>
    <w:p w14:paraId="7F671741" w14:textId="77777777" w:rsidR="00F66403" w:rsidRPr="00293268" w:rsidRDefault="00F66403" w:rsidP="00F66403">
      <w:pPr>
        <w:tabs>
          <w:tab w:val="right" w:pos="850"/>
          <w:tab w:val="right" w:leader="dot" w:pos="8787"/>
          <w:tab w:val="right" w:pos="9638"/>
        </w:tabs>
        <w:spacing w:after="120"/>
        <w:ind w:left="1134" w:hanging="1134"/>
        <w:rPr>
          <w:rFonts w:eastAsia="Times New Roman"/>
          <w:lang w:val="fr-FR"/>
        </w:rPr>
      </w:pPr>
      <w:r w:rsidRPr="00293268">
        <w:rPr>
          <w:rFonts w:eastAsia="Times New Roman"/>
          <w:lang w:val="fr-FR"/>
        </w:rPr>
        <w:tab/>
        <w:t>VI.</w:t>
      </w:r>
      <w:r w:rsidRPr="00293268">
        <w:rPr>
          <w:rFonts w:eastAsia="Times New Roman"/>
          <w:lang w:val="fr-FR"/>
        </w:rPr>
        <w:tab/>
        <w:t>Conclusions</w:t>
      </w:r>
      <w:r w:rsidRPr="00293268">
        <w:rPr>
          <w:rFonts w:eastAsia="Times New Roman"/>
          <w:lang w:val="fr-FR"/>
        </w:rPr>
        <w:tab/>
      </w:r>
      <w:r w:rsidRPr="00293268">
        <w:rPr>
          <w:rFonts w:eastAsia="Times New Roman"/>
          <w:lang w:val="fr-FR"/>
        </w:rPr>
        <w:tab/>
      </w:r>
      <w:r>
        <w:rPr>
          <w:rFonts w:eastAsia="Times New Roman"/>
          <w:lang w:val="fr-FR"/>
        </w:rPr>
        <w:t>102</w:t>
      </w:r>
    </w:p>
    <w:bookmarkEnd w:id="1"/>
    <w:p w14:paraId="5B4FCFBD" w14:textId="0F78125D" w:rsidR="00865E37" w:rsidRPr="00293268" w:rsidRDefault="00865E37" w:rsidP="00800309">
      <w:pPr>
        <w:pStyle w:val="HChG"/>
        <w:rPr>
          <w:lang w:val="fr-FR"/>
        </w:rPr>
      </w:pPr>
      <w:r w:rsidRPr="00293268">
        <w:rPr>
          <w:rFonts w:eastAsia="Times New Roman"/>
          <w:lang w:val="fr-FR"/>
        </w:rPr>
        <w:br w:type="page"/>
      </w:r>
      <w:bookmarkStart w:id="5" w:name="_Toc60845005"/>
      <w:bookmarkStart w:id="6" w:name="_Toc62028841"/>
      <w:bookmarkStart w:id="7" w:name="_Toc62556496"/>
      <w:bookmarkStart w:id="8" w:name="_Toc63257260"/>
      <w:bookmarkStart w:id="9" w:name="_Toc63766501"/>
      <w:bookmarkStart w:id="10" w:name="_Toc63941343"/>
      <w:bookmarkStart w:id="11" w:name="_Toc64298239"/>
      <w:bookmarkStart w:id="12" w:name="_Toc64373099"/>
      <w:bookmarkStart w:id="13" w:name="_Toc66365671"/>
      <w:bookmarkStart w:id="14" w:name="_Toc71204443"/>
      <w:r w:rsidR="00800309">
        <w:rPr>
          <w:rFonts w:eastAsia="Times New Roman"/>
          <w:lang w:val="fr-FR"/>
        </w:rPr>
        <w:tab/>
      </w:r>
      <w:r w:rsidRPr="00293268">
        <w:rPr>
          <w:rFonts w:eastAsia="Times New Roman"/>
          <w:lang w:val="fr-FR"/>
        </w:rPr>
        <w:t>I.</w:t>
      </w:r>
      <w:r w:rsidRPr="00293268">
        <w:rPr>
          <w:rFonts w:eastAsia="Times New Roman"/>
          <w:lang w:val="fr-FR"/>
        </w:rPr>
        <w:tab/>
      </w:r>
      <w:r w:rsidRPr="00293268">
        <w:rPr>
          <w:lang w:val="fr-FR"/>
        </w:rPr>
        <w:t>Introduction</w:t>
      </w:r>
      <w:bookmarkEnd w:id="5"/>
      <w:bookmarkEnd w:id="6"/>
      <w:bookmarkEnd w:id="7"/>
      <w:bookmarkEnd w:id="8"/>
      <w:bookmarkEnd w:id="9"/>
      <w:bookmarkEnd w:id="10"/>
      <w:bookmarkEnd w:id="11"/>
      <w:bookmarkEnd w:id="12"/>
      <w:bookmarkEnd w:id="13"/>
      <w:bookmarkEnd w:id="14"/>
      <w:r w:rsidRPr="00293268">
        <w:rPr>
          <w:lang w:val="fr-FR"/>
        </w:rPr>
        <w:t xml:space="preserve"> et méthode</w:t>
      </w:r>
    </w:p>
    <w:p w14:paraId="1FE17275" w14:textId="747C3663" w:rsidR="00865E37" w:rsidRPr="00293268" w:rsidRDefault="00865E37" w:rsidP="00865E37">
      <w:pPr>
        <w:pStyle w:val="SingleTxtG"/>
        <w:rPr>
          <w:lang w:val="fr-FR"/>
        </w:rPr>
      </w:pPr>
      <w:r w:rsidRPr="00293268">
        <w:rPr>
          <w:lang w:val="fr-FR"/>
        </w:rPr>
        <w:t>1.</w:t>
      </w:r>
      <w:r w:rsidRPr="00293268">
        <w:rPr>
          <w:lang w:val="fr-FR"/>
        </w:rPr>
        <w:tab/>
        <w:t>Le meurtre de George Floyd le 25</w:t>
      </w:r>
      <w:r w:rsidR="00CB29C1">
        <w:rPr>
          <w:lang w:val="fr-FR"/>
        </w:rPr>
        <w:t> </w:t>
      </w:r>
      <w:r w:rsidRPr="00293268">
        <w:rPr>
          <w:lang w:val="fr-FR"/>
        </w:rPr>
        <w:t>mai 2020 dans le Minnesota, aux États-Unis d</w:t>
      </w:r>
      <w:r>
        <w:rPr>
          <w:lang w:val="fr-FR"/>
        </w:rPr>
        <w:t>’</w:t>
      </w:r>
      <w:r w:rsidRPr="00293268">
        <w:rPr>
          <w:lang w:val="fr-FR"/>
        </w:rPr>
        <w:t>Amérique</w:t>
      </w:r>
      <w:r>
        <w:rPr>
          <w:lang w:val="fr-FR"/>
        </w:rPr>
        <w:t xml:space="preserve"> (les « États-Unis</w:t>
      </w:r>
      <w:r w:rsidR="009C32AA">
        <w:rPr>
          <w:lang w:val="fr-FR"/>
        </w:rPr>
        <w:t> </w:t>
      </w:r>
      <w:r>
        <w:rPr>
          <w:lang w:val="fr-FR"/>
        </w:rPr>
        <w:t>»)</w:t>
      </w:r>
      <w:r w:rsidRPr="00293268">
        <w:rPr>
          <w:lang w:val="fr-FR"/>
        </w:rPr>
        <w:t xml:space="preserve">, les manifestations de masse qui </w:t>
      </w:r>
      <w:r>
        <w:rPr>
          <w:lang w:val="fr-FR"/>
        </w:rPr>
        <w:t xml:space="preserve">y </w:t>
      </w:r>
      <w:r w:rsidRPr="00293268">
        <w:rPr>
          <w:lang w:val="fr-FR"/>
        </w:rPr>
        <w:t xml:space="preserve">ont </w:t>
      </w:r>
      <w:r>
        <w:rPr>
          <w:lang w:val="fr-FR"/>
        </w:rPr>
        <w:t>fait suite</w:t>
      </w:r>
      <w:r w:rsidRPr="00293268">
        <w:rPr>
          <w:lang w:val="fr-FR"/>
        </w:rPr>
        <w:t xml:space="preserve"> dans de nombreux pays et le verdict historique rendu contre un agent des forces de l</w:t>
      </w:r>
      <w:r>
        <w:rPr>
          <w:lang w:val="fr-FR"/>
        </w:rPr>
        <w:t>’</w:t>
      </w:r>
      <w:r w:rsidRPr="00293268">
        <w:rPr>
          <w:lang w:val="fr-FR"/>
        </w:rPr>
        <w:t>ordre</w:t>
      </w:r>
      <w:r w:rsidRPr="00CD6B67">
        <w:rPr>
          <w:rStyle w:val="FootnoteReference"/>
        </w:rPr>
        <w:footnoteReference w:id="3"/>
      </w:r>
      <w:r w:rsidRPr="00293268">
        <w:rPr>
          <w:lang w:val="fr-FR"/>
        </w:rPr>
        <w:t xml:space="preserve"> </w:t>
      </w:r>
      <w:r>
        <w:rPr>
          <w:lang w:val="fr-FR"/>
        </w:rPr>
        <w:t>ont marqué</w:t>
      </w:r>
      <w:r w:rsidRPr="00293268">
        <w:rPr>
          <w:lang w:val="fr-FR"/>
        </w:rPr>
        <w:t xml:space="preserve"> un tournant décisif dans la lutte contre le racisme.</w:t>
      </w:r>
    </w:p>
    <w:p w14:paraId="26F0C274" w14:textId="5B0FA92B" w:rsidR="00865E37" w:rsidRPr="001D39F9" w:rsidRDefault="00865E37" w:rsidP="00865E37">
      <w:pPr>
        <w:pStyle w:val="SingleTxtG"/>
        <w:rPr>
          <w:lang w:val="fr-FR"/>
        </w:rPr>
      </w:pPr>
      <w:r w:rsidRPr="00293268">
        <w:rPr>
          <w:lang w:val="fr-FR"/>
        </w:rPr>
        <w:t>2.</w:t>
      </w:r>
      <w:r w:rsidRPr="00293268">
        <w:rPr>
          <w:lang w:val="fr-FR"/>
        </w:rPr>
        <w:tab/>
        <w:t xml:space="preserve">La mobilisation mondiale </w:t>
      </w:r>
      <w:r w:rsidRPr="001E7FF3">
        <w:rPr>
          <w:lang w:val="fr-FR"/>
        </w:rPr>
        <w:t>en faveur de la justice raciale</w:t>
      </w:r>
      <w:r w:rsidRPr="00293268">
        <w:rPr>
          <w:lang w:val="fr-FR"/>
        </w:rPr>
        <w:t xml:space="preserve"> a conduit à une prise de conscience</w:t>
      </w:r>
      <w:r>
        <w:rPr>
          <w:lang w:val="fr-FR"/>
        </w:rPr>
        <w:t xml:space="preserve"> tardive</w:t>
      </w:r>
      <w:r w:rsidRPr="00293268">
        <w:rPr>
          <w:lang w:val="fr-FR"/>
        </w:rPr>
        <w:t xml:space="preserve"> </w:t>
      </w:r>
      <w:r>
        <w:rPr>
          <w:lang w:val="fr-FR"/>
        </w:rPr>
        <w:t>de la discrimination raciale</w:t>
      </w:r>
      <w:r w:rsidRPr="00293268">
        <w:rPr>
          <w:lang w:val="fr-FR"/>
        </w:rPr>
        <w:t xml:space="preserve"> et </w:t>
      </w:r>
      <w:r>
        <w:rPr>
          <w:lang w:val="fr-FR"/>
        </w:rPr>
        <w:t>recentré le débat sur</w:t>
      </w:r>
      <w:r w:rsidRPr="00293268">
        <w:rPr>
          <w:lang w:val="fr-FR"/>
        </w:rPr>
        <w:t xml:space="preserve"> </w:t>
      </w:r>
      <w:r>
        <w:rPr>
          <w:lang w:val="fr-FR"/>
        </w:rPr>
        <w:t>le</w:t>
      </w:r>
      <w:r w:rsidRPr="00293268">
        <w:rPr>
          <w:lang w:val="fr-FR"/>
        </w:rPr>
        <w:t xml:space="preserve"> caractère systémique </w:t>
      </w:r>
      <w:r>
        <w:rPr>
          <w:lang w:val="fr-FR"/>
        </w:rPr>
        <w:t xml:space="preserve">du racisme </w:t>
      </w:r>
      <w:r w:rsidRPr="00293268">
        <w:rPr>
          <w:lang w:val="fr-FR"/>
        </w:rPr>
        <w:t xml:space="preserve">et </w:t>
      </w:r>
      <w:r>
        <w:rPr>
          <w:lang w:val="fr-FR"/>
        </w:rPr>
        <w:t xml:space="preserve">sur </w:t>
      </w:r>
      <w:r w:rsidRPr="00293268">
        <w:rPr>
          <w:lang w:val="fr-FR"/>
        </w:rPr>
        <w:t xml:space="preserve">les institutions qui le perpétuent. </w:t>
      </w:r>
      <w:r w:rsidRPr="00F206B4">
        <w:rPr>
          <w:lang w:val="fr-FR"/>
        </w:rPr>
        <w:t>Des manifestations</w:t>
      </w:r>
      <w:r w:rsidRPr="00DF4EA0">
        <w:rPr>
          <w:lang w:val="fr-FR"/>
        </w:rPr>
        <w:t xml:space="preserve"> </w:t>
      </w:r>
      <w:r w:rsidRPr="00F206B4">
        <w:rPr>
          <w:lang w:val="fr-FR"/>
        </w:rPr>
        <w:t>de grande ampleur ont été organisées pour demander qu</w:t>
      </w:r>
      <w:r>
        <w:rPr>
          <w:lang w:val="fr-FR"/>
        </w:rPr>
        <w:t>’</w:t>
      </w:r>
      <w:r w:rsidRPr="00F206B4">
        <w:rPr>
          <w:lang w:val="fr-FR"/>
        </w:rPr>
        <w:t xml:space="preserve">il soit mis fin au racisme systémique et aux brutalités policières contre les Africains et </w:t>
      </w:r>
      <w:r w:rsidR="00FC0BD8">
        <w:rPr>
          <w:lang w:val="fr-FR"/>
        </w:rPr>
        <w:t xml:space="preserve">les </w:t>
      </w:r>
      <w:r w:rsidRPr="00F206B4">
        <w:rPr>
          <w:lang w:val="fr-FR"/>
        </w:rPr>
        <w:t>personnes d</w:t>
      </w:r>
      <w:r>
        <w:rPr>
          <w:lang w:val="fr-FR"/>
        </w:rPr>
        <w:t>’</w:t>
      </w:r>
      <w:r w:rsidRPr="00F206B4">
        <w:rPr>
          <w:lang w:val="fr-FR"/>
        </w:rPr>
        <w:t>ascendance africaine</w:t>
      </w:r>
      <w:r w:rsidRPr="00CD6B67">
        <w:rPr>
          <w:rStyle w:val="FootnoteReference"/>
        </w:rPr>
        <w:footnoteReference w:id="4"/>
      </w:r>
      <w:r w:rsidRPr="00F206B4">
        <w:rPr>
          <w:lang w:val="fr-FR"/>
        </w:rPr>
        <w:t>. Réagissant</w:t>
      </w:r>
      <w:r w:rsidRPr="00293268">
        <w:rPr>
          <w:lang w:val="fr-FR"/>
        </w:rPr>
        <w:t xml:space="preserve"> à cette </w:t>
      </w:r>
      <w:r>
        <w:rPr>
          <w:lang w:val="fr-FR"/>
        </w:rPr>
        <w:t>forte mobilisation</w:t>
      </w:r>
      <w:r w:rsidRPr="00293268">
        <w:rPr>
          <w:lang w:val="fr-FR"/>
        </w:rPr>
        <w:t>, le Conseil des droits de l</w:t>
      </w:r>
      <w:r>
        <w:rPr>
          <w:lang w:val="fr-FR"/>
        </w:rPr>
        <w:t>’</w:t>
      </w:r>
      <w:r w:rsidRPr="00293268">
        <w:rPr>
          <w:lang w:val="fr-FR"/>
        </w:rPr>
        <w:t xml:space="preserve">homme a </w:t>
      </w:r>
      <w:r>
        <w:rPr>
          <w:lang w:val="fr-FR"/>
        </w:rPr>
        <w:t>tenu d’</w:t>
      </w:r>
      <w:r w:rsidRPr="00293268">
        <w:rPr>
          <w:lang w:val="fr-FR"/>
        </w:rPr>
        <w:t>urgence, le 17</w:t>
      </w:r>
      <w:r w:rsidR="00FC0BD8">
        <w:rPr>
          <w:lang w:val="fr-FR"/>
        </w:rPr>
        <w:t> </w:t>
      </w:r>
      <w:r w:rsidRPr="00293268">
        <w:rPr>
          <w:lang w:val="fr-FR"/>
        </w:rPr>
        <w:t xml:space="preserve">juin 2020, </w:t>
      </w:r>
      <w:r w:rsidRPr="008E4284">
        <w:rPr>
          <w:lang w:val="fr-FR"/>
        </w:rPr>
        <w:t xml:space="preserve">un débat </w:t>
      </w:r>
      <w:r w:rsidRPr="00400242">
        <w:rPr>
          <w:lang w:val="fr-FR"/>
        </w:rPr>
        <w:t>sur les violations des droits de l</w:t>
      </w:r>
      <w:r>
        <w:rPr>
          <w:lang w:val="fr-FR"/>
        </w:rPr>
        <w:t>’</w:t>
      </w:r>
      <w:r w:rsidRPr="00400242">
        <w:rPr>
          <w:lang w:val="fr-FR"/>
        </w:rPr>
        <w:t>homme à caractère raciste, le racisme systémique, l</w:t>
      </w:r>
      <w:r>
        <w:rPr>
          <w:lang w:val="fr-FR"/>
        </w:rPr>
        <w:t>es</w:t>
      </w:r>
      <w:r w:rsidRPr="00400242">
        <w:rPr>
          <w:lang w:val="fr-FR"/>
        </w:rPr>
        <w:t xml:space="preserve"> brutalité</w:t>
      </w:r>
      <w:r>
        <w:rPr>
          <w:lang w:val="fr-FR"/>
        </w:rPr>
        <w:t>s</w:t>
      </w:r>
      <w:r w:rsidRPr="00400242">
        <w:rPr>
          <w:lang w:val="fr-FR"/>
        </w:rPr>
        <w:t xml:space="preserve"> policière</w:t>
      </w:r>
      <w:r>
        <w:rPr>
          <w:lang w:val="fr-FR"/>
        </w:rPr>
        <w:t>s</w:t>
      </w:r>
      <w:r w:rsidRPr="00400242">
        <w:rPr>
          <w:lang w:val="fr-FR"/>
        </w:rPr>
        <w:t xml:space="preserve"> et </w:t>
      </w:r>
      <w:r>
        <w:rPr>
          <w:lang w:val="fr-FR"/>
        </w:rPr>
        <w:t>les actes de</w:t>
      </w:r>
      <w:r w:rsidRPr="00400242">
        <w:rPr>
          <w:lang w:val="fr-FR"/>
        </w:rPr>
        <w:t xml:space="preserve"> violence contre les manifestants pacifiques</w:t>
      </w:r>
      <w:r>
        <w:rPr>
          <w:lang w:val="fr-FR"/>
        </w:rPr>
        <w:t xml:space="preserve"> que l’on pouvait constater</w:t>
      </w:r>
      <w:r w:rsidRPr="00293268">
        <w:rPr>
          <w:lang w:val="fr-FR"/>
        </w:rPr>
        <w:t xml:space="preserve">. </w:t>
      </w:r>
      <w:r w:rsidRPr="00DF4EA0">
        <w:rPr>
          <w:caps/>
          <w:lang w:val="fr-FR"/>
        </w:rPr>
        <w:t>à</w:t>
      </w:r>
      <w:r w:rsidRPr="00E23D06">
        <w:rPr>
          <w:lang w:val="fr-FR"/>
        </w:rPr>
        <w:t xml:space="preserve"> ce débat, la Haute-Commissaire</w:t>
      </w:r>
      <w:r w:rsidRPr="00DF4EA0">
        <w:rPr>
          <w:lang w:val="fr-FR"/>
        </w:rPr>
        <w:t xml:space="preserve"> </w:t>
      </w:r>
      <w:r w:rsidRPr="00E23D06">
        <w:rPr>
          <w:lang w:val="fr-FR"/>
        </w:rPr>
        <w:t>des Nations Unies aux droits de l</w:t>
      </w:r>
      <w:r>
        <w:rPr>
          <w:lang w:val="fr-FR"/>
        </w:rPr>
        <w:t>’</w:t>
      </w:r>
      <w:r w:rsidRPr="00E23D06">
        <w:rPr>
          <w:lang w:val="fr-FR"/>
        </w:rPr>
        <w:t>homme a déclaré que le meurtre de George Floyd</w:t>
      </w:r>
      <w:r>
        <w:rPr>
          <w:lang w:val="fr-FR"/>
        </w:rPr>
        <w:t xml:space="preserve"> était</w:t>
      </w:r>
      <w:r w:rsidRPr="00E23D06">
        <w:rPr>
          <w:lang w:val="fr-FR"/>
        </w:rPr>
        <w:t xml:space="preserve"> </w:t>
      </w:r>
      <w:r w:rsidRPr="00E8231A">
        <w:rPr>
          <w:lang w:val="fr-FR"/>
        </w:rPr>
        <w:t xml:space="preserve">devenu le symbole </w:t>
      </w:r>
      <w:r>
        <w:rPr>
          <w:lang w:val="fr-FR"/>
        </w:rPr>
        <w:t>du</w:t>
      </w:r>
      <w:r w:rsidRPr="00E23D06">
        <w:rPr>
          <w:lang w:val="fr-FR"/>
        </w:rPr>
        <w:t xml:space="preserve"> racisme systémique qui </w:t>
      </w:r>
      <w:r>
        <w:rPr>
          <w:lang w:val="fr-FR"/>
        </w:rPr>
        <w:t>porte préjudice</w:t>
      </w:r>
      <w:r w:rsidRPr="00E23D06">
        <w:rPr>
          <w:lang w:val="fr-FR"/>
        </w:rPr>
        <w:t xml:space="preserve"> à des millions de personnes d</w:t>
      </w:r>
      <w:r>
        <w:rPr>
          <w:lang w:val="fr-FR"/>
        </w:rPr>
        <w:t>’</w:t>
      </w:r>
      <w:r w:rsidRPr="00E23D06">
        <w:rPr>
          <w:lang w:val="fr-FR"/>
        </w:rPr>
        <w:t>ascendance africaine et a appelé tous les États et toutes les parties prenantes à redoubler d</w:t>
      </w:r>
      <w:r>
        <w:rPr>
          <w:lang w:val="fr-FR"/>
        </w:rPr>
        <w:t>’</w:t>
      </w:r>
      <w:r w:rsidRPr="00E23D06">
        <w:rPr>
          <w:lang w:val="fr-FR"/>
        </w:rPr>
        <w:t xml:space="preserve">efforts pour lutter contre la discrimination raciale structurelle et systémique qui </w:t>
      </w:r>
      <w:r>
        <w:rPr>
          <w:lang w:val="fr-FR"/>
        </w:rPr>
        <w:t>empêche les personnes d’ascendance africaine d’exercer leurs</w:t>
      </w:r>
      <w:r w:rsidRPr="00E23D06">
        <w:rPr>
          <w:lang w:val="fr-FR"/>
        </w:rPr>
        <w:t xml:space="preserve"> droits de l</w:t>
      </w:r>
      <w:r>
        <w:rPr>
          <w:lang w:val="fr-FR"/>
        </w:rPr>
        <w:t>’</w:t>
      </w:r>
      <w:r w:rsidRPr="00E23D06">
        <w:rPr>
          <w:lang w:val="fr-FR"/>
        </w:rPr>
        <w:t>homme</w:t>
      </w:r>
      <w:r w:rsidRPr="00CD6B67">
        <w:rPr>
          <w:rStyle w:val="FootnoteReference"/>
        </w:rPr>
        <w:footnoteReference w:id="5"/>
      </w:r>
      <w:r w:rsidRPr="00E23D06">
        <w:rPr>
          <w:lang w:val="fr-FR"/>
        </w:rPr>
        <w:t xml:space="preserve">. Citant une tribune signée par de hauts fonctionnaires </w:t>
      </w:r>
      <w:r>
        <w:rPr>
          <w:lang w:val="fr-FR"/>
        </w:rPr>
        <w:t xml:space="preserve">de l’Organisation </w:t>
      </w:r>
      <w:r w:rsidRPr="00E23D06">
        <w:rPr>
          <w:lang w:val="fr-FR"/>
        </w:rPr>
        <w:t xml:space="preserve">des Nations Unies </w:t>
      </w:r>
      <w:r w:rsidRPr="00643699">
        <w:rPr>
          <w:lang w:val="fr-FR"/>
        </w:rPr>
        <w:t>africains ou d</w:t>
      </w:r>
      <w:r>
        <w:rPr>
          <w:lang w:val="fr-FR"/>
        </w:rPr>
        <w:t>’</w:t>
      </w:r>
      <w:r w:rsidRPr="00643699">
        <w:rPr>
          <w:lang w:val="fr-FR"/>
        </w:rPr>
        <w:t>ascendance africaine</w:t>
      </w:r>
      <w:r w:rsidRPr="00E23D06">
        <w:rPr>
          <w:lang w:val="fr-FR"/>
        </w:rPr>
        <w:t>, la Secrétaire générale adjointe</w:t>
      </w:r>
      <w:r>
        <w:rPr>
          <w:lang w:val="fr-FR"/>
        </w:rPr>
        <w:t xml:space="preserve">, </w:t>
      </w:r>
      <w:r w:rsidR="0091490B" w:rsidRPr="0091490B">
        <w:rPr>
          <w:lang w:val="fr-FR"/>
        </w:rPr>
        <w:t>M</w:t>
      </w:r>
      <w:r w:rsidR="0091490B" w:rsidRPr="0091490B">
        <w:rPr>
          <w:vertAlign w:val="superscript"/>
          <w:lang w:val="fr-FR"/>
        </w:rPr>
        <w:t>me</w:t>
      </w:r>
      <w:r w:rsidR="0091490B" w:rsidRPr="0091490B">
        <w:rPr>
          <w:lang w:val="fr-FR"/>
        </w:rPr>
        <w:t> </w:t>
      </w:r>
      <w:r w:rsidRPr="00E23D06">
        <w:rPr>
          <w:lang w:val="fr-FR"/>
        </w:rPr>
        <w:t>Amina Mohammed</w:t>
      </w:r>
      <w:r>
        <w:rPr>
          <w:lang w:val="fr-FR"/>
        </w:rPr>
        <w:t>,</w:t>
      </w:r>
      <w:r w:rsidRPr="00E23D06">
        <w:rPr>
          <w:lang w:val="fr-FR"/>
        </w:rPr>
        <w:t xml:space="preserve"> a </w:t>
      </w:r>
      <w:r>
        <w:rPr>
          <w:lang w:val="fr-FR"/>
        </w:rPr>
        <w:t xml:space="preserve">fait observer qu’on </w:t>
      </w:r>
      <w:r w:rsidRPr="0047467B">
        <w:rPr>
          <w:lang w:val="fr-FR"/>
        </w:rPr>
        <w:t>ne p</w:t>
      </w:r>
      <w:r>
        <w:rPr>
          <w:lang w:val="fr-FR"/>
        </w:rPr>
        <w:t>ourrait</w:t>
      </w:r>
      <w:r w:rsidRPr="0047467B">
        <w:rPr>
          <w:lang w:val="fr-FR"/>
        </w:rPr>
        <w:t xml:space="preserve"> jamais</w:t>
      </w:r>
      <w:r>
        <w:rPr>
          <w:lang w:val="fr-FR"/>
        </w:rPr>
        <w:t xml:space="preserve"> en dire assez</w:t>
      </w:r>
      <w:r w:rsidRPr="0047467B">
        <w:rPr>
          <w:lang w:val="fr-FR"/>
        </w:rPr>
        <w:t xml:space="preserve"> </w:t>
      </w:r>
      <w:r>
        <w:rPr>
          <w:lang w:val="fr-FR"/>
        </w:rPr>
        <w:t>sur</w:t>
      </w:r>
      <w:r w:rsidRPr="0047467B">
        <w:rPr>
          <w:lang w:val="fr-FR"/>
        </w:rPr>
        <w:t xml:space="preserve"> </w:t>
      </w:r>
      <w:r>
        <w:rPr>
          <w:lang w:val="fr-FR"/>
        </w:rPr>
        <w:t>les profonds</w:t>
      </w:r>
      <w:r w:rsidRPr="0047467B">
        <w:rPr>
          <w:lang w:val="fr-FR"/>
        </w:rPr>
        <w:t xml:space="preserve"> traumatisme</w:t>
      </w:r>
      <w:r>
        <w:rPr>
          <w:lang w:val="fr-FR"/>
        </w:rPr>
        <w:t>s</w:t>
      </w:r>
      <w:r w:rsidRPr="0047467B">
        <w:rPr>
          <w:lang w:val="fr-FR"/>
        </w:rPr>
        <w:t xml:space="preserve"> </w:t>
      </w:r>
      <w:r>
        <w:rPr>
          <w:lang w:val="fr-FR"/>
        </w:rPr>
        <w:t>et les</w:t>
      </w:r>
      <w:r w:rsidRPr="0047467B">
        <w:rPr>
          <w:lang w:val="fr-FR"/>
        </w:rPr>
        <w:t xml:space="preserve"> souffrances intergénérationnelles</w:t>
      </w:r>
      <w:r w:rsidRPr="000A0032">
        <w:rPr>
          <w:lang w:val="fr-FR"/>
        </w:rPr>
        <w:t xml:space="preserve"> </w:t>
      </w:r>
      <w:r>
        <w:rPr>
          <w:lang w:val="fr-FR"/>
        </w:rPr>
        <w:t xml:space="preserve">qui résultaient de </w:t>
      </w:r>
      <w:r w:rsidRPr="000A0032">
        <w:rPr>
          <w:lang w:val="fr-FR"/>
        </w:rPr>
        <w:t>l</w:t>
      </w:r>
      <w:r>
        <w:rPr>
          <w:lang w:val="fr-FR"/>
        </w:rPr>
        <w:t>’</w:t>
      </w:r>
      <w:r w:rsidRPr="000A0032">
        <w:rPr>
          <w:lang w:val="fr-FR"/>
        </w:rPr>
        <w:t xml:space="preserve">injustice raciale perpétrée </w:t>
      </w:r>
      <w:r>
        <w:rPr>
          <w:lang w:val="fr-FR"/>
        </w:rPr>
        <w:t>pendant des</w:t>
      </w:r>
      <w:r w:rsidRPr="000A0032">
        <w:rPr>
          <w:lang w:val="fr-FR"/>
        </w:rPr>
        <w:t xml:space="preserve"> siècles, en particulier </w:t>
      </w:r>
      <w:r>
        <w:rPr>
          <w:lang w:val="fr-FR"/>
        </w:rPr>
        <w:t xml:space="preserve">envers </w:t>
      </w:r>
      <w:r w:rsidRPr="000A0032">
        <w:rPr>
          <w:lang w:val="fr-FR"/>
        </w:rPr>
        <w:t>les personnes d</w:t>
      </w:r>
      <w:r>
        <w:rPr>
          <w:lang w:val="fr-FR"/>
        </w:rPr>
        <w:t>’</w:t>
      </w:r>
      <w:r w:rsidRPr="000A0032">
        <w:rPr>
          <w:lang w:val="fr-FR"/>
        </w:rPr>
        <w:t>ascendance africaine</w:t>
      </w:r>
      <w:r w:rsidRPr="001D39F9">
        <w:rPr>
          <w:lang w:val="fr-FR"/>
        </w:rPr>
        <w:t>. La simple condamnation des expressions et des actes de racisme ne suffit pas. Il faut aller plus loin et faire plus</w:t>
      </w:r>
      <w:r w:rsidRPr="00CD6B67">
        <w:rPr>
          <w:rStyle w:val="FootnoteReference"/>
        </w:rPr>
        <w:footnoteReference w:id="6"/>
      </w:r>
      <w:r w:rsidRPr="001D39F9">
        <w:rPr>
          <w:lang w:val="fr-FR"/>
        </w:rPr>
        <w:t>.</w:t>
      </w:r>
    </w:p>
    <w:p w14:paraId="7D60AEB5" w14:textId="77777777" w:rsidR="00865E37" w:rsidRPr="001D39F9" w:rsidRDefault="00865E37" w:rsidP="00865E37">
      <w:pPr>
        <w:pStyle w:val="SingleTxtG"/>
        <w:rPr>
          <w:lang w:val="fr-FR"/>
        </w:rPr>
      </w:pPr>
      <w:r w:rsidRPr="00BC004D">
        <w:rPr>
          <w:lang w:val="fr-FR"/>
        </w:rPr>
        <w:t>3.</w:t>
      </w:r>
      <w:r w:rsidRPr="00BC004D">
        <w:rPr>
          <w:lang w:val="fr-FR"/>
        </w:rPr>
        <w:tab/>
        <w:t xml:space="preserve">Le 8 juin 2020, </w:t>
      </w:r>
      <w:r>
        <w:rPr>
          <w:lang w:val="fr-FR"/>
        </w:rPr>
        <w:t>en amont du</w:t>
      </w:r>
      <w:r w:rsidRPr="00BC004D">
        <w:rPr>
          <w:lang w:val="fr-FR"/>
        </w:rPr>
        <w:t xml:space="preserve"> débat, les membres des familles de victimes </w:t>
      </w:r>
      <w:r w:rsidRPr="00835E41">
        <w:rPr>
          <w:lang w:val="fr-FR"/>
        </w:rPr>
        <w:t>dont le décès est imputable à la police et des organisations de la société civile du monde entier ont fait parvenir une lettre conjointe aux membres du Conseil des droits de l</w:t>
      </w:r>
      <w:r>
        <w:rPr>
          <w:lang w:val="fr-FR"/>
        </w:rPr>
        <w:t>’</w:t>
      </w:r>
      <w:r w:rsidRPr="00835E41">
        <w:rPr>
          <w:lang w:val="fr-FR"/>
        </w:rPr>
        <w:t>homme dans</w:t>
      </w:r>
      <w:r>
        <w:rPr>
          <w:lang w:val="fr-FR"/>
        </w:rPr>
        <w:t xml:space="preserve"> laquelle ils leur demandaient</w:t>
      </w:r>
      <w:r w:rsidRPr="001D39F9">
        <w:rPr>
          <w:lang w:val="fr-FR"/>
        </w:rPr>
        <w:t xml:space="preserve"> de convoquer une session extraordinaire dans le but d</w:t>
      </w:r>
      <w:r>
        <w:rPr>
          <w:lang w:val="fr-FR"/>
        </w:rPr>
        <w:t>’</w:t>
      </w:r>
      <w:r w:rsidRPr="001D39F9">
        <w:rPr>
          <w:lang w:val="fr-FR"/>
        </w:rPr>
        <w:t>obtenir l</w:t>
      </w:r>
      <w:r>
        <w:rPr>
          <w:lang w:val="fr-FR"/>
        </w:rPr>
        <w:t>’</w:t>
      </w:r>
      <w:r w:rsidRPr="001D39F9">
        <w:rPr>
          <w:lang w:val="fr-FR"/>
        </w:rPr>
        <w:t>ouverture d</w:t>
      </w:r>
      <w:r>
        <w:rPr>
          <w:lang w:val="fr-FR"/>
        </w:rPr>
        <w:t>’</w:t>
      </w:r>
      <w:r w:rsidRPr="001D39F9">
        <w:rPr>
          <w:lang w:val="fr-FR"/>
        </w:rPr>
        <w:t>une enquête indépendante</w:t>
      </w:r>
      <w:r w:rsidRPr="00CD6B67">
        <w:rPr>
          <w:rStyle w:val="FootnoteReference"/>
        </w:rPr>
        <w:footnoteReference w:id="7"/>
      </w:r>
      <w:r w:rsidRPr="001D39F9">
        <w:rPr>
          <w:lang w:val="fr-FR"/>
        </w:rPr>
        <w:t>.</w:t>
      </w:r>
    </w:p>
    <w:p w14:paraId="011B5C67" w14:textId="77777777" w:rsidR="00865E37" w:rsidRPr="00293268" w:rsidRDefault="00865E37" w:rsidP="00865E37">
      <w:pPr>
        <w:pStyle w:val="SingleTxtG"/>
        <w:rPr>
          <w:lang w:val="fr-FR"/>
        </w:rPr>
      </w:pPr>
      <w:r w:rsidRPr="001D39F9">
        <w:rPr>
          <w:lang w:val="fr-FR"/>
        </w:rPr>
        <w:t>4.</w:t>
      </w:r>
      <w:r w:rsidRPr="001D39F9">
        <w:rPr>
          <w:lang w:val="fr-FR"/>
        </w:rPr>
        <w:tab/>
        <w:t>Le 19 juin 2020, le Conseil a adopté par consensus la résolution 43/1, dans laquelle il a prié la Haute-Commissaire des Nations Unies aux droits de l</w:t>
      </w:r>
      <w:r>
        <w:rPr>
          <w:lang w:val="fr-FR"/>
        </w:rPr>
        <w:t>’</w:t>
      </w:r>
      <w:r w:rsidRPr="001D39F9">
        <w:rPr>
          <w:lang w:val="fr-FR"/>
        </w:rPr>
        <w:t>homme d</w:t>
      </w:r>
      <w:r>
        <w:rPr>
          <w:lang w:val="fr-FR"/>
        </w:rPr>
        <w:t>’</w:t>
      </w:r>
      <w:r w:rsidRPr="001D39F9">
        <w:rPr>
          <w:lang w:val="fr-FR"/>
        </w:rPr>
        <w:t>élaborer un rapport sur le racisme systémique et les violations du droit international des droits de l</w:t>
      </w:r>
      <w:r>
        <w:rPr>
          <w:lang w:val="fr-FR"/>
        </w:rPr>
        <w:t>’</w:t>
      </w:r>
      <w:r w:rsidRPr="001D39F9">
        <w:rPr>
          <w:lang w:val="fr-FR"/>
        </w:rPr>
        <w:t>homme commises par les forces de l</w:t>
      </w:r>
      <w:r>
        <w:rPr>
          <w:lang w:val="fr-FR"/>
        </w:rPr>
        <w:t>’</w:t>
      </w:r>
      <w:r w:rsidRPr="001D39F9">
        <w:rPr>
          <w:lang w:val="fr-FR"/>
        </w:rPr>
        <w:t>ordre contre des Africains et des personnes d</w:t>
      </w:r>
      <w:r>
        <w:rPr>
          <w:lang w:val="fr-FR"/>
        </w:rPr>
        <w:t>’</w:t>
      </w:r>
      <w:r w:rsidRPr="001D39F9">
        <w:rPr>
          <w:lang w:val="fr-FR"/>
        </w:rPr>
        <w:t xml:space="preserve">ascendance africaine, en particulier les actes </w:t>
      </w:r>
      <w:r>
        <w:rPr>
          <w:lang w:val="fr-FR"/>
        </w:rPr>
        <w:t>ayant</w:t>
      </w:r>
      <w:r w:rsidRPr="001D39F9">
        <w:rPr>
          <w:lang w:val="fr-FR"/>
        </w:rPr>
        <w:t xml:space="preserve"> entraîné la mort de George Floyd et d</w:t>
      </w:r>
      <w:r>
        <w:rPr>
          <w:lang w:val="fr-FR"/>
        </w:rPr>
        <w:t>’</w:t>
      </w:r>
      <w:r w:rsidRPr="001D39F9">
        <w:rPr>
          <w:lang w:val="fr-FR"/>
        </w:rPr>
        <w:t>autres Africains et personnes d</w:t>
      </w:r>
      <w:r>
        <w:rPr>
          <w:lang w:val="fr-FR"/>
        </w:rPr>
        <w:t>’</w:t>
      </w:r>
      <w:r w:rsidRPr="001D39F9">
        <w:rPr>
          <w:lang w:val="fr-FR"/>
        </w:rPr>
        <w:t>ascendance africaine, afin de contribuer à l</w:t>
      </w:r>
      <w:r>
        <w:rPr>
          <w:lang w:val="fr-FR"/>
        </w:rPr>
        <w:t>’</w:t>
      </w:r>
      <w:r w:rsidRPr="001D39F9">
        <w:rPr>
          <w:lang w:val="fr-FR"/>
        </w:rPr>
        <w:t>établissement des responsabilités et à l</w:t>
      </w:r>
      <w:r>
        <w:rPr>
          <w:lang w:val="fr-FR"/>
        </w:rPr>
        <w:t>’</w:t>
      </w:r>
      <w:r w:rsidRPr="001D39F9">
        <w:rPr>
          <w:lang w:val="fr-FR"/>
        </w:rPr>
        <w:t>octroi d</w:t>
      </w:r>
      <w:r>
        <w:rPr>
          <w:lang w:val="fr-FR"/>
        </w:rPr>
        <w:t>’</w:t>
      </w:r>
      <w:r w:rsidRPr="001D39F9">
        <w:rPr>
          <w:lang w:val="fr-FR"/>
        </w:rPr>
        <w:t>une réparation aux victimes</w:t>
      </w:r>
      <w:r>
        <w:rPr>
          <w:lang w:val="fr-FR"/>
        </w:rPr>
        <w:t>,</w:t>
      </w:r>
      <w:r w:rsidRPr="001D39F9">
        <w:rPr>
          <w:lang w:val="fr-FR"/>
        </w:rPr>
        <w:t xml:space="preserve"> d</w:t>
      </w:r>
      <w:r>
        <w:rPr>
          <w:lang w:val="fr-FR"/>
        </w:rPr>
        <w:t>’</w:t>
      </w:r>
      <w:r w:rsidRPr="001D39F9">
        <w:rPr>
          <w:lang w:val="fr-FR"/>
        </w:rPr>
        <w:t>étudier comment les pouvoirs publics ont réagi face aux manifestations pacifiques contre le racisme et de se pencher notamment sur les allégations de recours excessif à la force contre des manifestants, des passants et des journalistes et</w:t>
      </w:r>
      <w:r>
        <w:rPr>
          <w:lang w:val="fr-FR"/>
        </w:rPr>
        <w:t>, enfin,</w:t>
      </w:r>
      <w:r w:rsidRPr="001D39F9">
        <w:rPr>
          <w:lang w:val="fr-FR"/>
        </w:rPr>
        <w:t xml:space="preserve"> de lui présenter un rapport complet à sa quarante-septième session. </w:t>
      </w:r>
      <w:r>
        <w:rPr>
          <w:lang w:val="fr-FR"/>
        </w:rPr>
        <w:t>Comme suite</w:t>
      </w:r>
      <w:r w:rsidRPr="001D39F9">
        <w:rPr>
          <w:lang w:val="fr-FR"/>
        </w:rPr>
        <w:t xml:space="preserve"> à la demande du Conseil des droits de l</w:t>
      </w:r>
      <w:r>
        <w:rPr>
          <w:lang w:val="fr-FR"/>
        </w:rPr>
        <w:t>’</w:t>
      </w:r>
      <w:r w:rsidRPr="001D39F9">
        <w:rPr>
          <w:lang w:val="fr-FR"/>
        </w:rPr>
        <w:t xml:space="preserve">homme, </w:t>
      </w:r>
      <w:bookmarkStart w:id="15" w:name="_Hlk72230270"/>
      <w:r w:rsidRPr="001D39F9">
        <w:rPr>
          <w:lang w:val="fr-FR"/>
        </w:rPr>
        <w:t xml:space="preserve">le présent document de séance </w:t>
      </w:r>
      <w:r>
        <w:rPr>
          <w:lang w:val="fr-FR"/>
        </w:rPr>
        <w:t>complète l’analyse</w:t>
      </w:r>
      <w:r w:rsidRPr="001D39F9">
        <w:rPr>
          <w:lang w:val="fr-FR"/>
        </w:rPr>
        <w:t xml:space="preserve"> </w:t>
      </w:r>
      <w:r>
        <w:rPr>
          <w:lang w:val="fr-FR"/>
        </w:rPr>
        <w:t>faite</w:t>
      </w:r>
      <w:r w:rsidRPr="001D39F9">
        <w:rPr>
          <w:lang w:val="fr-FR"/>
        </w:rPr>
        <w:t xml:space="preserve"> dans le rapport A/HRC/47/53 et devrait être lu </w:t>
      </w:r>
      <w:r>
        <w:rPr>
          <w:lang w:val="fr-FR"/>
        </w:rPr>
        <w:t>en parallèle</w:t>
      </w:r>
      <w:r w:rsidRPr="001D39F9">
        <w:rPr>
          <w:lang w:val="fr-FR"/>
        </w:rPr>
        <w:t xml:space="preserve"> avec celui-ci</w:t>
      </w:r>
      <w:r w:rsidRPr="00CD6B67">
        <w:rPr>
          <w:rStyle w:val="FootnoteReference"/>
        </w:rPr>
        <w:footnoteReference w:id="8"/>
      </w:r>
      <w:bookmarkEnd w:id="15"/>
      <w:r w:rsidRPr="001D39F9">
        <w:rPr>
          <w:lang w:val="fr-FR"/>
        </w:rPr>
        <w:t>.</w:t>
      </w:r>
    </w:p>
    <w:p w14:paraId="11B49EA2" w14:textId="77777777" w:rsidR="00865E37" w:rsidRPr="00293268" w:rsidRDefault="00865E37" w:rsidP="00865E37">
      <w:pPr>
        <w:pStyle w:val="SingleTxtG"/>
        <w:rPr>
          <w:lang w:val="fr-FR"/>
        </w:rPr>
      </w:pPr>
      <w:r w:rsidRPr="00293268">
        <w:rPr>
          <w:lang w:val="fr-FR"/>
        </w:rPr>
        <w:t>5.</w:t>
      </w:r>
      <w:r w:rsidRPr="00293268">
        <w:rPr>
          <w:lang w:val="fr-FR"/>
        </w:rPr>
        <w:tab/>
      </w:r>
      <w:r w:rsidRPr="00D72179">
        <w:rPr>
          <w:lang w:val="fr-FR"/>
        </w:rPr>
        <w:t>Compte tenu de l</w:t>
      </w:r>
      <w:r>
        <w:rPr>
          <w:lang w:val="fr-FR"/>
        </w:rPr>
        <w:t>’</w:t>
      </w:r>
      <w:r w:rsidRPr="00D72179">
        <w:rPr>
          <w:lang w:val="fr-FR"/>
        </w:rPr>
        <w:t xml:space="preserve">importance cruciale </w:t>
      </w:r>
      <w:r>
        <w:rPr>
          <w:lang w:val="fr-FR"/>
        </w:rPr>
        <w:t>de ce</w:t>
      </w:r>
      <w:r w:rsidRPr="00D72179">
        <w:rPr>
          <w:lang w:val="fr-FR"/>
        </w:rPr>
        <w:t xml:space="preserve"> moment</w:t>
      </w:r>
      <w:r w:rsidRPr="00DC16A3">
        <w:rPr>
          <w:lang w:val="fr-FR"/>
        </w:rPr>
        <w:t>,</w:t>
      </w:r>
      <w:r w:rsidRPr="00293268">
        <w:rPr>
          <w:lang w:val="fr-FR"/>
        </w:rPr>
        <w:t xml:space="preserve"> </w:t>
      </w:r>
      <w:r w:rsidRPr="00362447">
        <w:rPr>
          <w:lang w:val="fr-FR"/>
        </w:rPr>
        <w:t xml:space="preserve">la Haute-Commissaire a mis en place une équipe chargée de </w:t>
      </w:r>
      <w:r w:rsidRPr="00206594">
        <w:rPr>
          <w:lang w:val="fr-FR"/>
        </w:rPr>
        <w:t>donner effet</w:t>
      </w:r>
      <w:r>
        <w:rPr>
          <w:lang w:val="fr-FR"/>
        </w:rPr>
        <w:t xml:space="preserve"> à</w:t>
      </w:r>
      <w:r w:rsidRPr="00362447">
        <w:rPr>
          <w:lang w:val="fr-FR"/>
        </w:rPr>
        <w:t xml:space="preserve"> la résolution 43/1 du Conseil des droits de l</w:t>
      </w:r>
      <w:r>
        <w:rPr>
          <w:lang w:val="fr-FR"/>
        </w:rPr>
        <w:t>’</w:t>
      </w:r>
      <w:r w:rsidRPr="00362447">
        <w:rPr>
          <w:lang w:val="fr-FR"/>
        </w:rPr>
        <w:t>homme</w:t>
      </w:r>
      <w:r w:rsidRPr="00293268">
        <w:rPr>
          <w:lang w:val="fr-FR"/>
        </w:rPr>
        <w:t xml:space="preserve">. </w:t>
      </w:r>
      <w:r w:rsidRPr="00E3700D">
        <w:rPr>
          <w:lang w:val="fr-FR"/>
        </w:rPr>
        <w:t>Le Haut-Commissariat aux droits de l</w:t>
      </w:r>
      <w:r>
        <w:rPr>
          <w:lang w:val="fr-FR"/>
        </w:rPr>
        <w:t>’</w:t>
      </w:r>
      <w:r w:rsidRPr="00E3700D">
        <w:rPr>
          <w:lang w:val="fr-FR"/>
        </w:rPr>
        <w:t xml:space="preserve">homme (HCDH) a </w:t>
      </w:r>
      <w:r>
        <w:rPr>
          <w:lang w:val="fr-FR"/>
        </w:rPr>
        <w:t>jugé</w:t>
      </w:r>
      <w:r w:rsidRPr="00E3700D">
        <w:rPr>
          <w:lang w:val="fr-FR"/>
        </w:rPr>
        <w:t xml:space="preserve"> qu</w:t>
      </w:r>
      <w:r>
        <w:rPr>
          <w:lang w:val="fr-FR"/>
        </w:rPr>
        <w:t>’</w:t>
      </w:r>
      <w:r w:rsidRPr="00E3700D">
        <w:rPr>
          <w:lang w:val="fr-FR"/>
        </w:rPr>
        <w:t>il importait de s</w:t>
      </w:r>
      <w:r>
        <w:rPr>
          <w:lang w:val="fr-FR"/>
        </w:rPr>
        <w:t>’</w:t>
      </w:r>
      <w:r w:rsidRPr="00E3700D">
        <w:rPr>
          <w:lang w:val="fr-FR"/>
        </w:rPr>
        <w:t xml:space="preserve">appuyer sur </w:t>
      </w:r>
      <w:r>
        <w:rPr>
          <w:lang w:val="fr-FR"/>
        </w:rPr>
        <w:t>plusieurs décennies de</w:t>
      </w:r>
      <w:r w:rsidRPr="00E3700D">
        <w:rPr>
          <w:lang w:val="fr-FR"/>
        </w:rPr>
        <w:t xml:space="preserve"> </w:t>
      </w:r>
      <w:r>
        <w:rPr>
          <w:lang w:val="fr-FR"/>
        </w:rPr>
        <w:t xml:space="preserve">travaux de </w:t>
      </w:r>
      <w:r w:rsidRPr="00E3700D">
        <w:rPr>
          <w:lang w:val="fr-FR"/>
        </w:rPr>
        <w:t>recherche,</w:t>
      </w:r>
      <w:r>
        <w:rPr>
          <w:lang w:val="fr-FR"/>
        </w:rPr>
        <w:t xml:space="preserve"> d’analyses et de </w:t>
      </w:r>
      <w:r w:rsidRPr="00E3700D">
        <w:rPr>
          <w:lang w:val="fr-FR"/>
        </w:rPr>
        <w:t>recommandations</w:t>
      </w:r>
      <w:r>
        <w:rPr>
          <w:lang w:val="fr-FR"/>
        </w:rPr>
        <w:t xml:space="preserve"> relatives aux questions évoquées dans la résolution,</w:t>
      </w:r>
      <w:r w:rsidRPr="0021727B">
        <w:rPr>
          <w:lang w:val="fr-FR"/>
        </w:rPr>
        <w:t xml:space="preserve"> </w:t>
      </w:r>
      <w:r>
        <w:rPr>
          <w:lang w:val="fr-FR"/>
        </w:rPr>
        <w:t xml:space="preserve">et de coordonner et poursuivre les travaux menés par les mécanismes des droits de l’homme de l’ONU, en particulier ceux du </w:t>
      </w:r>
      <w:r w:rsidRPr="00CF2DB0">
        <w:rPr>
          <w:lang w:val="fr-FR"/>
        </w:rPr>
        <w:t>Comité pour l</w:t>
      </w:r>
      <w:r>
        <w:rPr>
          <w:lang w:val="fr-FR"/>
        </w:rPr>
        <w:t>’</w:t>
      </w:r>
      <w:r w:rsidRPr="00CF2DB0">
        <w:rPr>
          <w:lang w:val="fr-FR"/>
        </w:rPr>
        <w:t>élimination de toutes les formes de discrimination raciale</w:t>
      </w:r>
      <w:r w:rsidRPr="00E3700D">
        <w:rPr>
          <w:lang w:val="fr-FR"/>
        </w:rPr>
        <w:t xml:space="preserve">, </w:t>
      </w:r>
      <w:r>
        <w:rPr>
          <w:lang w:val="fr-FR"/>
        </w:rPr>
        <w:t xml:space="preserve">du </w:t>
      </w:r>
      <w:r w:rsidRPr="00860AC0">
        <w:rPr>
          <w:lang w:val="fr-FR"/>
        </w:rPr>
        <w:t>Rapporteur spécial sur les formes contemporaines de racisme, de discrimination raciale, de xénophobie et de l</w:t>
      </w:r>
      <w:r>
        <w:rPr>
          <w:lang w:val="fr-FR"/>
        </w:rPr>
        <w:t>’</w:t>
      </w:r>
      <w:r w:rsidRPr="00860AC0">
        <w:rPr>
          <w:lang w:val="fr-FR"/>
        </w:rPr>
        <w:t xml:space="preserve">intolérance qui y est associée </w:t>
      </w:r>
      <w:r>
        <w:rPr>
          <w:lang w:val="fr-FR"/>
        </w:rPr>
        <w:t>et du</w:t>
      </w:r>
      <w:r w:rsidRPr="00DF4EA0">
        <w:rPr>
          <w:lang w:val="fr-FR"/>
        </w:rPr>
        <w:t xml:space="preserve"> </w:t>
      </w:r>
      <w:r w:rsidRPr="00E81845">
        <w:rPr>
          <w:lang w:val="fr-FR"/>
        </w:rPr>
        <w:t>Groupe de travail d</w:t>
      </w:r>
      <w:r>
        <w:rPr>
          <w:lang w:val="fr-FR"/>
        </w:rPr>
        <w:t>’</w:t>
      </w:r>
      <w:r w:rsidRPr="00E81845">
        <w:rPr>
          <w:lang w:val="fr-FR"/>
        </w:rPr>
        <w:t>experts sur les personnes d</w:t>
      </w:r>
      <w:r>
        <w:rPr>
          <w:lang w:val="fr-FR"/>
        </w:rPr>
        <w:t>’</w:t>
      </w:r>
      <w:r w:rsidRPr="00E81845">
        <w:rPr>
          <w:lang w:val="fr-FR"/>
        </w:rPr>
        <w:t xml:space="preserve">ascendance </w:t>
      </w:r>
      <w:r w:rsidRPr="00532B94">
        <w:rPr>
          <w:lang w:val="fr-FR"/>
        </w:rPr>
        <w:t>africaine.</w:t>
      </w:r>
      <w:r>
        <w:rPr>
          <w:lang w:val="fr-FR"/>
        </w:rPr>
        <w:t xml:space="preserve">  </w:t>
      </w:r>
    </w:p>
    <w:p w14:paraId="59365DB4" w14:textId="155BF564" w:rsidR="00865E37" w:rsidRPr="00293268" w:rsidRDefault="00865E37" w:rsidP="00865E37">
      <w:pPr>
        <w:pStyle w:val="SingleTxtG"/>
        <w:rPr>
          <w:lang w:val="fr-FR"/>
        </w:rPr>
      </w:pPr>
      <w:r w:rsidRPr="00293268">
        <w:rPr>
          <w:lang w:val="fr-FR"/>
        </w:rPr>
        <w:t>6.</w:t>
      </w:r>
      <w:r w:rsidRPr="00293268">
        <w:rPr>
          <w:lang w:val="fr-FR"/>
        </w:rPr>
        <w:tab/>
        <w:t>L</w:t>
      </w:r>
      <w:r>
        <w:rPr>
          <w:lang w:val="fr-FR"/>
        </w:rPr>
        <w:t>’</w:t>
      </w:r>
      <w:r w:rsidRPr="00293268">
        <w:rPr>
          <w:lang w:val="fr-FR"/>
        </w:rPr>
        <w:t xml:space="preserve">analyse effectuée par le HCDH </w:t>
      </w:r>
      <w:r>
        <w:rPr>
          <w:lang w:val="fr-FR"/>
        </w:rPr>
        <w:t>repose</w:t>
      </w:r>
      <w:r w:rsidRPr="00293268">
        <w:rPr>
          <w:lang w:val="fr-FR"/>
        </w:rPr>
        <w:t xml:space="preserve"> sur plus de 110</w:t>
      </w:r>
      <w:r w:rsidR="00303209">
        <w:rPr>
          <w:lang w:val="fr-FR"/>
        </w:rPr>
        <w:t> </w:t>
      </w:r>
      <w:r w:rsidRPr="00831FF8">
        <w:rPr>
          <w:lang w:val="fr-FR"/>
        </w:rPr>
        <w:t>contributions reçues à la suite d</w:t>
      </w:r>
      <w:r>
        <w:rPr>
          <w:lang w:val="fr-FR"/>
        </w:rPr>
        <w:t>’</w:t>
      </w:r>
      <w:r w:rsidRPr="00831FF8">
        <w:rPr>
          <w:lang w:val="fr-FR"/>
        </w:rPr>
        <w:t>un appel à communications détaillé adressé aux États et à d</w:t>
      </w:r>
      <w:r>
        <w:rPr>
          <w:lang w:val="fr-FR"/>
        </w:rPr>
        <w:t>’</w:t>
      </w:r>
      <w:r w:rsidRPr="00831FF8">
        <w:rPr>
          <w:lang w:val="fr-FR"/>
        </w:rPr>
        <w:t>autres parties prenantes, dans lequel figuraient des questions précises sur tous les points soulevés dans la résolution 43/1 du Conseil des droits de l</w:t>
      </w:r>
      <w:r>
        <w:rPr>
          <w:lang w:val="fr-FR"/>
        </w:rPr>
        <w:t>’</w:t>
      </w:r>
      <w:r w:rsidRPr="00831FF8">
        <w:rPr>
          <w:lang w:val="fr-FR"/>
        </w:rPr>
        <w:t>homme</w:t>
      </w:r>
      <w:r w:rsidRPr="00CD6B67">
        <w:rPr>
          <w:rStyle w:val="FootnoteReference"/>
        </w:rPr>
        <w:footnoteReference w:id="9"/>
      </w:r>
      <w:r>
        <w:rPr>
          <w:lang w:val="fr-FR"/>
        </w:rPr>
        <w:t>. Elle se fonde également</w:t>
      </w:r>
      <w:r w:rsidRPr="00831FF8">
        <w:rPr>
          <w:lang w:val="fr-FR"/>
        </w:rPr>
        <w:t xml:space="preserve"> sur l</w:t>
      </w:r>
      <w:r>
        <w:rPr>
          <w:lang w:val="fr-FR"/>
        </w:rPr>
        <w:t>’</w:t>
      </w:r>
      <w:r w:rsidRPr="00831FF8">
        <w:rPr>
          <w:lang w:val="fr-FR"/>
        </w:rPr>
        <w:t>examen de documents</w:t>
      </w:r>
      <w:r w:rsidRPr="00293268">
        <w:rPr>
          <w:lang w:val="fr-FR"/>
        </w:rPr>
        <w:t xml:space="preserve"> publics et sur </w:t>
      </w:r>
      <w:r>
        <w:rPr>
          <w:lang w:val="fr-FR"/>
        </w:rPr>
        <w:t xml:space="preserve">les résultats de </w:t>
      </w:r>
      <w:r w:rsidRPr="00293268">
        <w:rPr>
          <w:lang w:val="fr-FR"/>
        </w:rPr>
        <w:t>23 consultations tenues en ligne auprès de 340 personnes (dont plus de 65</w:t>
      </w:r>
      <w:r w:rsidR="00E53DDC">
        <w:rPr>
          <w:lang w:val="fr-FR"/>
        </w:rPr>
        <w:t> %</w:t>
      </w:r>
      <w:r w:rsidRPr="00293268">
        <w:rPr>
          <w:lang w:val="fr-FR"/>
        </w:rPr>
        <w:t xml:space="preserve"> de femmes), principalement d</w:t>
      </w:r>
      <w:r>
        <w:rPr>
          <w:lang w:val="fr-FR"/>
        </w:rPr>
        <w:t>’</w:t>
      </w:r>
      <w:r w:rsidRPr="00293268">
        <w:rPr>
          <w:lang w:val="fr-FR"/>
        </w:rPr>
        <w:t xml:space="preserve">ascendance africaine. </w:t>
      </w:r>
      <w:r>
        <w:rPr>
          <w:lang w:val="fr-FR"/>
        </w:rPr>
        <w:t>Au cours de ces consultations, l</w:t>
      </w:r>
      <w:r w:rsidRPr="00293268">
        <w:rPr>
          <w:lang w:val="fr-FR"/>
        </w:rPr>
        <w:t>es membres de</w:t>
      </w:r>
      <w:r>
        <w:rPr>
          <w:lang w:val="fr-FR"/>
        </w:rPr>
        <w:t>s</w:t>
      </w:r>
      <w:r w:rsidRPr="00293268">
        <w:rPr>
          <w:lang w:val="fr-FR"/>
        </w:rPr>
        <w:t xml:space="preserve"> familles de personnes d</w:t>
      </w:r>
      <w:r>
        <w:rPr>
          <w:lang w:val="fr-FR"/>
        </w:rPr>
        <w:t>’</w:t>
      </w:r>
      <w:r w:rsidRPr="00293268">
        <w:rPr>
          <w:lang w:val="fr-FR"/>
        </w:rPr>
        <w:t xml:space="preserve">ascendance africaine </w:t>
      </w:r>
      <w:r w:rsidRPr="00FA52ED">
        <w:rPr>
          <w:lang w:val="fr-FR"/>
        </w:rPr>
        <w:t>ayant perdu la vie à la suite d</w:t>
      </w:r>
      <w:r>
        <w:rPr>
          <w:lang w:val="fr-FR"/>
        </w:rPr>
        <w:t>’</w:t>
      </w:r>
      <w:r w:rsidRPr="00FA52ED">
        <w:rPr>
          <w:lang w:val="fr-FR"/>
        </w:rPr>
        <w:t>une intervention des forces de l</w:t>
      </w:r>
      <w:r>
        <w:rPr>
          <w:lang w:val="fr-FR"/>
        </w:rPr>
        <w:t>’</w:t>
      </w:r>
      <w:r w:rsidRPr="00FA52ED">
        <w:rPr>
          <w:lang w:val="fr-FR"/>
        </w:rPr>
        <w:t xml:space="preserve">ordre </w:t>
      </w:r>
      <w:r w:rsidRPr="00293268">
        <w:rPr>
          <w:lang w:val="fr-FR"/>
        </w:rPr>
        <w:t>ont été écoutés attentivement, de même que des universitaires, des professionnels</w:t>
      </w:r>
      <w:r>
        <w:rPr>
          <w:lang w:val="fr-FR"/>
        </w:rPr>
        <w:t>,</w:t>
      </w:r>
      <w:r w:rsidRPr="00293268">
        <w:rPr>
          <w:lang w:val="fr-FR"/>
        </w:rPr>
        <w:t xml:space="preserve"> des représentants de la société civile, d</w:t>
      </w:r>
      <w:r>
        <w:rPr>
          <w:lang w:val="fr-FR"/>
        </w:rPr>
        <w:t>’</w:t>
      </w:r>
      <w:r w:rsidRPr="00293268">
        <w:rPr>
          <w:lang w:val="fr-FR"/>
        </w:rPr>
        <w:t>entreprises, d</w:t>
      </w:r>
      <w:r>
        <w:rPr>
          <w:lang w:val="fr-FR"/>
        </w:rPr>
        <w:t>’</w:t>
      </w:r>
      <w:r w:rsidRPr="00293268">
        <w:rPr>
          <w:lang w:val="fr-FR"/>
        </w:rPr>
        <w:t>institutions nationales des droits de l</w:t>
      </w:r>
      <w:r>
        <w:rPr>
          <w:lang w:val="fr-FR"/>
        </w:rPr>
        <w:t>’</w:t>
      </w:r>
      <w:r w:rsidRPr="00293268">
        <w:rPr>
          <w:lang w:val="fr-FR"/>
        </w:rPr>
        <w:t>homme et d</w:t>
      </w:r>
      <w:r>
        <w:rPr>
          <w:lang w:val="fr-FR"/>
        </w:rPr>
        <w:t>’</w:t>
      </w:r>
      <w:r w:rsidRPr="00293268">
        <w:rPr>
          <w:lang w:val="fr-FR"/>
        </w:rPr>
        <w:t>institutions chargées de l</w:t>
      </w:r>
      <w:r>
        <w:rPr>
          <w:lang w:val="fr-FR"/>
        </w:rPr>
        <w:t>’</w:t>
      </w:r>
      <w:r w:rsidRPr="00293268">
        <w:rPr>
          <w:lang w:val="fr-FR"/>
        </w:rPr>
        <w:t xml:space="preserve">égalité, </w:t>
      </w:r>
      <w:r>
        <w:rPr>
          <w:lang w:val="fr-FR"/>
        </w:rPr>
        <w:t>ainsi que</w:t>
      </w:r>
      <w:r w:rsidRPr="00293268">
        <w:rPr>
          <w:lang w:val="fr-FR"/>
        </w:rPr>
        <w:t xml:space="preserve"> des experts régionaux des droits de l</w:t>
      </w:r>
      <w:r>
        <w:rPr>
          <w:lang w:val="fr-FR"/>
        </w:rPr>
        <w:t>’</w:t>
      </w:r>
      <w:r w:rsidRPr="00293268">
        <w:rPr>
          <w:lang w:val="fr-FR"/>
        </w:rPr>
        <w:t>homme</w:t>
      </w:r>
      <w:r>
        <w:rPr>
          <w:lang w:val="fr-FR"/>
        </w:rPr>
        <w:t>.</w:t>
      </w:r>
      <w:r w:rsidRPr="00293268">
        <w:rPr>
          <w:lang w:val="fr-FR"/>
        </w:rPr>
        <w:t xml:space="preserve"> Des consultations ont été menées sur les principaux thèmes </w:t>
      </w:r>
      <w:r>
        <w:rPr>
          <w:lang w:val="fr-FR"/>
        </w:rPr>
        <w:t>abordés dans le</w:t>
      </w:r>
      <w:r w:rsidRPr="00293268">
        <w:rPr>
          <w:lang w:val="fr-FR"/>
        </w:rPr>
        <w:t xml:space="preserve"> rapport : le racisme systémique, les politiques relatives </w:t>
      </w:r>
      <w:r>
        <w:rPr>
          <w:lang w:val="fr-FR"/>
        </w:rPr>
        <w:t>au maintien de l’ordre</w:t>
      </w:r>
      <w:r w:rsidRPr="00293268">
        <w:rPr>
          <w:lang w:val="fr-FR"/>
        </w:rPr>
        <w:t xml:space="preserve"> et le comportement des forces de l</w:t>
      </w:r>
      <w:r>
        <w:rPr>
          <w:lang w:val="fr-FR"/>
        </w:rPr>
        <w:t>’</w:t>
      </w:r>
      <w:r w:rsidRPr="00293268">
        <w:rPr>
          <w:lang w:val="fr-FR"/>
        </w:rPr>
        <w:t>ordre, ainsi que l</w:t>
      </w:r>
      <w:r>
        <w:rPr>
          <w:lang w:val="fr-FR"/>
        </w:rPr>
        <w:t>’</w:t>
      </w:r>
      <w:r w:rsidRPr="00293268">
        <w:rPr>
          <w:lang w:val="fr-FR"/>
        </w:rPr>
        <w:t>établissement des responsabilités et l</w:t>
      </w:r>
      <w:r>
        <w:rPr>
          <w:lang w:val="fr-FR"/>
        </w:rPr>
        <w:t>’</w:t>
      </w:r>
      <w:r w:rsidRPr="00293268">
        <w:rPr>
          <w:lang w:val="fr-FR"/>
        </w:rPr>
        <w:t>octroi d</w:t>
      </w:r>
      <w:r>
        <w:rPr>
          <w:lang w:val="fr-FR"/>
        </w:rPr>
        <w:t>’</w:t>
      </w:r>
      <w:r w:rsidRPr="00293268">
        <w:rPr>
          <w:lang w:val="fr-FR"/>
        </w:rPr>
        <w:t xml:space="preserve">une réparation aux victimes. Il était essentiel que le HCDH </w:t>
      </w:r>
      <w:r>
        <w:rPr>
          <w:lang w:val="fr-FR"/>
        </w:rPr>
        <w:t>prenne connaissance</w:t>
      </w:r>
      <w:r w:rsidRPr="00293268">
        <w:rPr>
          <w:lang w:val="fr-FR"/>
        </w:rPr>
        <w:t xml:space="preserve"> des expériences vécues par les personnes et les </w:t>
      </w:r>
      <w:r>
        <w:rPr>
          <w:lang w:val="fr-FR"/>
        </w:rPr>
        <w:t>communautés</w:t>
      </w:r>
      <w:r w:rsidRPr="00293268">
        <w:rPr>
          <w:lang w:val="fr-FR"/>
        </w:rPr>
        <w:t xml:space="preserve"> d</w:t>
      </w:r>
      <w:r>
        <w:rPr>
          <w:lang w:val="fr-FR"/>
        </w:rPr>
        <w:t>’</w:t>
      </w:r>
      <w:r w:rsidRPr="00293268">
        <w:rPr>
          <w:lang w:val="fr-FR"/>
        </w:rPr>
        <w:t xml:space="preserve">ascendance africaine afin de formuler des recommandations </w:t>
      </w:r>
      <w:r>
        <w:rPr>
          <w:lang w:val="fr-FR"/>
        </w:rPr>
        <w:t xml:space="preserve">sur </w:t>
      </w:r>
      <w:r w:rsidRPr="00293268">
        <w:rPr>
          <w:lang w:val="fr-FR"/>
        </w:rPr>
        <w:t xml:space="preserve">les moyens de parvenir à un changement </w:t>
      </w:r>
      <w:r>
        <w:rPr>
          <w:lang w:val="fr-FR"/>
        </w:rPr>
        <w:t xml:space="preserve">qui soit </w:t>
      </w:r>
      <w:r w:rsidRPr="00293268">
        <w:rPr>
          <w:lang w:val="fr-FR"/>
        </w:rPr>
        <w:t>porteur de transformation.</w:t>
      </w:r>
    </w:p>
    <w:p w14:paraId="15B5B838" w14:textId="77777777" w:rsidR="00865E37" w:rsidRPr="00293268" w:rsidRDefault="00865E37" w:rsidP="00865E37">
      <w:pPr>
        <w:pStyle w:val="SingleTxtG"/>
        <w:rPr>
          <w:lang w:val="fr-FR"/>
        </w:rPr>
      </w:pPr>
      <w:r w:rsidRPr="00293268">
        <w:rPr>
          <w:lang w:val="fr-FR"/>
        </w:rPr>
        <w:t>7.</w:t>
      </w:r>
      <w:r w:rsidRPr="00293268">
        <w:rPr>
          <w:lang w:val="fr-FR"/>
        </w:rPr>
        <w:tab/>
        <w:t xml:space="preserve">Des consultations supplémentaires ont </w:t>
      </w:r>
      <w:r>
        <w:rPr>
          <w:lang w:val="fr-FR"/>
        </w:rPr>
        <w:t>été organisées</w:t>
      </w:r>
      <w:r w:rsidRPr="00293268">
        <w:rPr>
          <w:lang w:val="fr-FR"/>
        </w:rPr>
        <w:t xml:space="preserve"> avec des titulaires de mandat au titre des procédures spéciales et des membres </w:t>
      </w:r>
      <w:r>
        <w:rPr>
          <w:lang w:val="fr-FR"/>
        </w:rPr>
        <w:t xml:space="preserve">des </w:t>
      </w:r>
      <w:r w:rsidRPr="00B16C13">
        <w:rPr>
          <w:lang w:val="fr-FR"/>
        </w:rPr>
        <w:t>organes créés en vertu d</w:t>
      </w:r>
      <w:r>
        <w:rPr>
          <w:lang w:val="fr-FR"/>
        </w:rPr>
        <w:t>’</w:t>
      </w:r>
      <w:r w:rsidRPr="00B16C13">
        <w:rPr>
          <w:lang w:val="fr-FR"/>
        </w:rPr>
        <w:t>instruments internationaux relatifs aux droits de l</w:t>
      </w:r>
      <w:r>
        <w:rPr>
          <w:lang w:val="fr-FR"/>
        </w:rPr>
        <w:t>’</w:t>
      </w:r>
      <w:r w:rsidRPr="00B16C13">
        <w:rPr>
          <w:lang w:val="fr-FR"/>
        </w:rPr>
        <w:t>homme</w:t>
      </w:r>
      <w:r w:rsidRPr="00293268">
        <w:rPr>
          <w:lang w:val="fr-FR"/>
        </w:rPr>
        <w:t xml:space="preserve">. Le HCDH a notamment bénéficié des points de vue et des </w:t>
      </w:r>
      <w:r>
        <w:rPr>
          <w:lang w:val="fr-FR"/>
        </w:rPr>
        <w:t>réflexions</w:t>
      </w:r>
      <w:r w:rsidRPr="00293268">
        <w:rPr>
          <w:lang w:val="fr-FR"/>
        </w:rPr>
        <w:t xml:space="preserve"> du Groupe de travail d</w:t>
      </w:r>
      <w:r>
        <w:rPr>
          <w:lang w:val="fr-FR"/>
        </w:rPr>
        <w:t>’</w:t>
      </w:r>
      <w:r w:rsidRPr="00293268">
        <w:rPr>
          <w:lang w:val="fr-FR"/>
        </w:rPr>
        <w:t>experts sur les personnes d</w:t>
      </w:r>
      <w:r>
        <w:rPr>
          <w:lang w:val="fr-FR"/>
        </w:rPr>
        <w:t>’</w:t>
      </w:r>
      <w:r w:rsidRPr="00293268">
        <w:rPr>
          <w:lang w:val="fr-FR"/>
        </w:rPr>
        <w:t>ascendance africaine, du Rapporteur spécial sur les formes contemporaines de racisme, de discrimination raciale, de xénophobie et de l</w:t>
      </w:r>
      <w:r>
        <w:rPr>
          <w:lang w:val="fr-FR"/>
        </w:rPr>
        <w:t>’</w:t>
      </w:r>
      <w:r w:rsidRPr="00293268">
        <w:rPr>
          <w:lang w:val="fr-FR"/>
        </w:rPr>
        <w:t>intolérance qui y est associée et du Rapporteur spécial sur les droits à la liberté de réunion pacifique et à la liberté d</w:t>
      </w:r>
      <w:r>
        <w:rPr>
          <w:lang w:val="fr-FR"/>
        </w:rPr>
        <w:t>’</w:t>
      </w:r>
      <w:r w:rsidRPr="00293268">
        <w:rPr>
          <w:lang w:val="fr-FR"/>
        </w:rPr>
        <w:t xml:space="preserve">association, </w:t>
      </w:r>
      <w:r>
        <w:rPr>
          <w:lang w:val="fr-FR"/>
        </w:rPr>
        <w:t>dont les</w:t>
      </w:r>
      <w:r w:rsidRPr="00293268">
        <w:rPr>
          <w:lang w:val="fr-FR"/>
        </w:rPr>
        <w:t xml:space="preserve"> contribution</w:t>
      </w:r>
      <w:r>
        <w:rPr>
          <w:lang w:val="fr-FR"/>
        </w:rPr>
        <w:t>s ont enrichi</w:t>
      </w:r>
      <w:r w:rsidRPr="00293268">
        <w:rPr>
          <w:lang w:val="fr-FR"/>
        </w:rPr>
        <w:t xml:space="preserve"> le </w:t>
      </w:r>
      <w:r w:rsidRPr="007468C0">
        <w:rPr>
          <w:lang w:val="fr-FR"/>
        </w:rPr>
        <w:t>présent document.</w:t>
      </w:r>
    </w:p>
    <w:p w14:paraId="7768F4D6" w14:textId="0698C5DF" w:rsidR="00865E37" w:rsidRPr="00293268" w:rsidRDefault="00865E37" w:rsidP="00865E37">
      <w:pPr>
        <w:pStyle w:val="SingleTxtG"/>
        <w:rPr>
          <w:lang w:val="fr-FR"/>
        </w:rPr>
      </w:pPr>
      <w:r w:rsidRPr="00293268">
        <w:rPr>
          <w:lang w:val="fr-FR"/>
        </w:rPr>
        <w:t>8.</w:t>
      </w:r>
      <w:r w:rsidRPr="00293268">
        <w:rPr>
          <w:lang w:val="fr-FR"/>
        </w:rPr>
        <w:tab/>
        <w:t xml:space="preserve">Le HCDH a reçu des informations </w:t>
      </w:r>
      <w:r>
        <w:rPr>
          <w:lang w:val="fr-FR"/>
        </w:rPr>
        <w:t>sur</w:t>
      </w:r>
      <w:r w:rsidRPr="00293268">
        <w:rPr>
          <w:lang w:val="fr-FR"/>
        </w:rPr>
        <w:t xml:space="preserve"> plus de 250</w:t>
      </w:r>
      <w:r w:rsidR="00303209">
        <w:rPr>
          <w:lang w:val="fr-FR"/>
        </w:rPr>
        <w:t> </w:t>
      </w:r>
      <w:r w:rsidRPr="00293268">
        <w:rPr>
          <w:lang w:val="fr-FR"/>
        </w:rPr>
        <w:t>décès d</w:t>
      </w:r>
      <w:r>
        <w:rPr>
          <w:lang w:val="fr-FR"/>
        </w:rPr>
        <w:t>’</w:t>
      </w:r>
      <w:r w:rsidRPr="00293268">
        <w:rPr>
          <w:lang w:val="fr-FR"/>
        </w:rPr>
        <w:t>Africains et de personnes d</w:t>
      </w:r>
      <w:r>
        <w:rPr>
          <w:lang w:val="fr-FR"/>
        </w:rPr>
        <w:t>’</w:t>
      </w:r>
      <w:r w:rsidRPr="00293268">
        <w:rPr>
          <w:lang w:val="fr-FR"/>
        </w:rPr>
        <w:t xml:space="preserve">ascendance africaine, dont au moins 190 </w:t>
      </w:r>
      <w:r>
        <w:rPr>
          <w:lang w:val="fr-FR"/>
        </w:rPr>
        <w:t>sont</w:t>
      </w:r>
      <w:r w:rsidRPr="00293268">
        <w:rPr>
          <w:lang w:val="fr-FR"/>
        </w:rPr>
        <w:t xml:space="preserve"> </w:t>
      </w:r>
      <w:r>
        <w:rPr>
          <w:lang w:val="fr-FR"/>
        </w:rPr>
        <w:t xml:space="preserve">liés à </w:t>
      </w:r>
      <w:r w:rsidRPr="00BA490E">
        <w:rPr>
          <w:lang w:val="fr-FR"/>
        </w:rPr>
        <w:t>une intervention des forces de l</w:t>
      </w:r>
      <w:r>
        <w:rPr>
          <w:lang w:val="fr-FR"/>
        </w:rPr>
        <w:t>’</w:t>
      </w:r>
      <w:r w:rsidRPr="00BA490E">
        <w:rPr>
          <w:lang w:val="fr-FR"/>
        </w:rPr>
        <w:t>ordre</w:t>
      </w:r>
      <w:r w:rsidRPr="00293268">
        <w:rPr>
          <w:lang w:val="fr-FR"/>
        </w:rPr>
        <w:t>. Bien que les faits se soient produits dans des pays dont les systèmes juridiques sont différents, certaines pratiques</w:t>
      </w:r>
      <w:r>
        <w:rPr>
          <w:lang w:val="fr-FR"/>
        </w:rPr>
        <w:t xml:space="preserve"> et tendances</w:t>
      </w:r>
      <w:r w:rsidRPr="00293268">
        <w:rPr>
          <w:lang w:val="fr-FR"/>
        </w:rPr>
        <w:t xml:space="preserve">, </w:t>
      </w:r>
      <w:r>
        <w:rPr>
          <w:lang w:val="fr-FR"/>
        </w:rPr>
        <w:t xml:space="preserve">de même que </w:t>
      </w:r>
      <w:r w:rsidRPr="00293268">
        <w:rPr>
          <w:lang w:val="fr-FR"/>
        </w:rPr>
        <w:t>certains problèmes</w:t>
      </w:r>
      <w:r>
        <w:rPr>
          <w:lang w:val="fr-FR"/>
        </w:rPr>
        <w:t>,</w:t>
      </w:r>
      <w:r w:rsidRPr="00293268">
        <w:rPr>
          <w:lang w:val="fr-FR"/>
        </w:rPr>
        <w:t xml:space="preserve"> étaient </w:t>
      </w:r>
      <w:r>
        <w:rPr>
          <w:lang w:val="fr-FR"/>
        </w:rPr>
        <w:t>similaires</w:t>
      </w:r>
      <w:r w:rsidRPr="00293268">
        <w:rPr>
          <w:lang w:val="fr-FR"/>
        </w:rPr>
        <w:t xml:space="preserve">. Compte tenu des limites inhérentes à ce mandat général et limité dans le temps, le HCDH a </w:t>
      </w:r>
      <w:r>
        <w:rPr>
          <w:lang w:val="fr-FR"/>
        </w:rPr>
        <w:t>retenu</w:t>
      </w:r>
      <w:r w:rsidRPr="00293268">
        <w:rPr>
          <w:lang w:val="fr-FR"/>
        </w:rPr>
        <w:t xml:space="preserve"> sept </w:t>
      </w:r>
      <w:r>
        <w:rPr>
          <w:lang w:val="fr-FR"/>
        </w:rPr>
        <w:t>affaires</w:t>
      </w:r>
      <w:r w:rsidRPr="00293268">
        <w:rPr>
          <w:lang w:val="fr-FR"/>
        </w:rPr>
        <w:t xml:space="preserve"> emblématiques et les a </w:t>
      </w:r>
      <w:r>
        <w:rPr>
          <w:lang w:val="fr-FR"/>
        </w:rPr>
        <w:t>analys</w:t>
      </w:r>
      <w:r w:rsidRPr="00293268">
        <w:rPr>
          <w:lang w:val="fr-FR"/>
        </w:rPr>
        <w:t>é</w:t>
      </w:r>
      <w:r>
        <w:rPr>
          <w:lang w:val="fr-FR"/>
        </w:rPr>
        <w:t>e</w:t>
      </w:r>
      <w:r w:rsidRPr="00293268">
        <w:rPr>
          <w:lang w:val="fr-FR"/>
        </w:rPr>
        <w:t>s en détail afin d</w:t>
      </w:r>
      <w:r>
        <w:rPr>
          <w:lang w:val="fr-FR"/>
        </w:rPr>
        <w:t>’</w:t>
      </w:r>
      <w:r w:rsidRPr="00293268">
        <w:rPr>
          <w:lang w:val="fr-FR"/>
        </w:rPr>
        <w:t xml:space="preserve">illustrer ces pratiques, </w:t>
      </w:r>
      <w:r>
        <w:rPr>
          <w:lang w:val="fr-FR"/>
        </w:rPr>
        <w:t>tendances</w:t>
      </w:r>
      <w:r w:rsidRPr="00293268">
        <w:rPr>
          <w:lang w:val="fr-FR"/>
        </w:rPr>
        <w:t xml:space="preserve"> et problèmes, et de formuler des recommandations </w:t>
      </w:r>
      <w:r w:rsidRPr="003C3BC8">
        <w:rPr>
          <w:lang w:val="fr-FR"/>
        </w:rPr>
        <w:t xml:space="preserve">concrètes </w:t>
      </w:r>
      <w:r>
        <w:rPr>
          <w:lang w:val="fr-FR"/>
        </w:rPr>
        <w:t>à l’appui</w:t>
      </w:r>
      <w:r w:rsidRPr="003C3BC8">
        <w:rPr>
          <w:lang w:val="fr-FR"/>
        </w:rPr>
        <w:t xml:space="preserve"> de changements</w:t>
      </w:r>
      <w:r w:rsidRPr="00293268">
        <w:rPr>
          <w:lang w:val="fr-FR"/>
        </w:rPr>
        <w:t xml:space="preserve"> structurels et institutionnels. Il a contacté les États concernés par ces sept </w:t>
      </w:r>
      <w:r>
        <w:rPr>
          <w:lang w:val="fr-FR"/>
        </w:rPr>
        <w:t>affaires</w:t>
      </w:r>
      <w:r w:rsidRPr="00293268">
        <w:rPr>
          <w:lang w:val="fr-FR"/>
        </w:rPr>
        <w:t xml:space="preserve"> et pris connaissance de leur</w:t>
      </w:r>
      <w:r>
        <w:rPr>
          <w:lang w:val="fr-FR"/>
        </w:rPr>
        <w:t xml:space="preserve">s </w:t>
      </w:r>
      <w:r w:rsidRPr="008E4365">
        <w:rPr>
          <w:lang w:val="fr-FR"/>
        </w:rPr>
        <w:t>vue</w:t>
      </w:r>
      <w:r>
        <w:rPr>
          <w:lang w:val="fr-FR"/>
        </w:rPr>
        <w:t>s</w:t>
      </w:r>
      <w:r w:rsidRPr="008E4365">
        <w:rPr>
          <w:lang w:val="fr-FR"/>
        </w:rPr>
        <w:t>,</w:t>
      </w:r>
      <w:r w:rsidRPr="00293268">
        <w:rPr>
          <w:lang w:val="fr-FR"/>
        </w:rPr>
        <w:t xml:space="preserve"> dont on trouvera un résumé à la </w:t>
      </w:r>
      <w:r w:rsidRPr="00EB5067">
        <w:rPr>
          <w:lang w:val="fr-FR"/>
        </w:rPr>
        <w:t>section III.</w:t>
      </w:r>
    </w:p>
    <w:p w14:paraId="1085B44D" w14:textId="77777777" w:rsidR="00865E37" w:rsidRPr="00293268" w:rsidRDefault="00865E37" w:rsidP="00865E37">
      <w:pPr>
        <w:pStyle w:val="SingleTxtG"/>
        <w:rPr>
          <w:lang w:val="fr-FR"/>
        </w:rPr>
      </w:pPr>
      <w:r w:rsidRPr="00293268">
        <w:rPr>
          <w:lang w:val="fr-FR"/>
        </w:rPr>
        <w:t>9.</w:t>
      </w:r>
      <w:r w:rsidRPr="00293268">
        <w:rPr>
          <w:lang w:val="fr-FR"/>
        </w:rPr>
        <w:tab/>
      </w:r>
      <w:r>
        <w:rPr>
          <w:lang w:val="fr-FR"/>
        </w:rPr>
        <w:t>Le HCDH a fondé son analyse sur les</w:t>
      </w:r>
      <w:r w:rsidRPr="00293268">
        <w:rPr>
          <w:lang w:val="fr-FR"/>
        </w:rPr>
        <w:t xml:space="preserve"> </w:t>
      </w:r>
      <w:r w:rsidRPr="00A126C4">
        <w:rPr>
          <w:lang w:val="fr-FR"/>
        </w:rPr>
        <w:t xml:space="preserve">obligations </w:t>
      </w:r>
      <w:r w:rsidRPr="007A3901">
        <w:rPr>
          <w:lang w:val="fr-FR"/>
        </w:rPr>
        <w:t xml:space="preserve">mises à la charge des États par </w:t>
      </w:r>
      <w:r>
        <w:rPr>
          <w:lang w:val="fr-FR"/>
        </w:rPr>
        <w:t>les instruments internationaux relatifs aux</w:t>
      </w:r>
      <w:r w:rsidRPr="00A126C4">
        <w:rPr>
          <w:lang w:val="fr-FR"/>
        </w:rPr>
        <w:t xml:space="preserve"> droits de l</w:t>
      </w:r>
      <w:r>
        <w:rPr>
          <w:lang w:val="fr-FR"/>
        </w:rPr>
        <w:t>’</w:t>
      </w:r>
      <w:r w:rsidRPr="00A126C4">
        <w:rPr>
          <w:lang w:val="fr-FR"/>
        </w:rPr>
        <w:t>homme</w:t>
      </w:r>
      <w:r w:rsidRPr="00293268">
        <w:rPr>
          <w:lang w:val="fr-FR"/>
        </w:rPr>
        <w:t>,</w:t>
      </w:r>
      <w:r>
        <w:rPr>
          <w:lang w:val="fr-FR"/>
        </w:rPr>
        <w:t xml:space="preserve"> </w:t>
      </w:r>
      <w:r w:rsidRPr="004F0F08">
        <w:rPr>
          <w:lang w:val="fr-FR"/>
        </w:rPr>
        <w:t>en particulier la Convention internationale sur l</w:t>
      </w:r>
      <w:r>
        <w:rPr>
          <w:lang w:val="fr-FR"/>
        </w:rPr>
        <w:t>’</w:t>
      </w:r>
      <w:r w:rsidRPr="004F0F08">
        <w:rPr>
          <w:lang w:val="fr-FR"/>
        </w:rPr>
        <w:t>élimination de toutes les formes de discrimination raciale</w:t>
      </w:r>
      <w:r>
        <w:rPr>
          <w:lang w:val="fr-FR"/>
        </w:rPr>
        <w:t xml:space="preserve">, les observations générales et les recommandations </w:t>
      </w:r>
      <w:r w:rsidRPr="00D6252D">
        <w:rPr>
          <w:lang w:val="fr-FR"/>
        </w:rPr>
        <w:t xml:space="preserve">des organes </w:t>
      </w:r>
      <w:r>
        <w:rPr>
          <w:lang w:val="fr-FR"/>
        </w:rPr>
        <w:t>conventionnels</w:t>
      </w:r>
      <w:r w:rsidRPr="00CD6B67">
        <w:rPr>
          <w:rStyle w:val="FootnoteReference"/>
        </w:rPr>
        <w:footnoteReference w:id="10"/>
      </w:r>
      <w:r>
        <w:rPr>
          <w:lang w:val="fr-FR"/>
        </w:rPr>
        <w:t>,</w:t>
      </w:r>
      <w:r w:rsidRPr="00293268">
        <w:rPr>
          <w:lang w:val="fr-FR"/>
        </w:rPr>
        <w:t xml:space="preserve"> </w:t>
      </w:r>
      <w:r w:rsidRPr="00146BD0">
        <w:rPr>
          <w:lang w:val="fr-FR"/>
        </w:rPr>
        <w:t>les règles et normes internationales relatives aux droits de l</w:t>
      </w:r>
      <w:r>
        <w:rPr>
          <w:lang w:val="fr-FR"/>
        </w:rPr>
        <w:t>’</w:t>
      </w:r>
      <w:r w:rsidRPr="00146BD0">
        <w:rPr>
          <w:lang w:val="fr-FR"/>
        </w:rPr>
        <w:t>homme</w:t>
      </w:r>
      <w:r w:rsidRPr="00293268">
        <w:rPr>
          <w:lang w:val="fr-FR"/>
        </w:rPr>
        <w:t xml:space="preserve">, </w:t>
      </w:r>
      <w:r>
        <w:rPr>
          <w:lang w:val="fr-FR"/>
        </w:rPr>
        <w:t>selon qu’il convenait</w:t>
      </w:r>
      <w:r w:rsidRPr="00CD6B67">
        <w:rPr>
          <w:rStyle w:val="FootnoteReference"/>
        </w:rPr>
        <w:footnoteReference w:id="11"/>
      </w:r>
      <w:r>
        <w:rPr>
          <w:lang w:val="fr-FR"/>
        </w:rPr>
        <w:t xml:space="preserve">, ainsi que les engagements de politique générale </w:t>
      </w:r>
      <w:r w:rsidRPr="00AC7A85">
        <w:rPr>
          <w:lang w:val="fr-FR"/>
        </w:rPr>
        <w:t>pris par les États</w:t>
      </w:r>
      <w:r>
        <w:rPr>
          <w:lang w:val="fr-FR"/>
        </w:rPr>
        <w:t xml:space="preserve">, notamment la Déclaration et le Programme d’action de </w:t>
      </w:r>
      <w:r w:rsidRPr="00293268">
        <w:rPr>
          <w:lang w:val="fr-FR"/>
        </w:rPr>
        <w:t>Durban</w:t>
      </w:r>
      <w:r w:rsidRPr="00CD6B67">
        <w:rPr>
          <w:rStyle w:val="FootnoteReference"/>
        </w:rPr>
        <w:footnoteReference w:id="12"/>
      </w:r>
      <w:r>
        <w:rPr>
          <w:lang w:val="fr-FR"/>
        </w:rPr>
        <w:t>.</w:t>
      </w:r>
      <w:r w:rsidRPr="00293268">
        <w:rPr>
          <w:lang w:val="fr-FR"/>
        </w:rPr>
        <w:t xml:space="preserve"> </w:t>
      </w:r>
      <w:r>
        <w:rPr>
          <w:lang w:val="fr-FR"/>
        </w:rPr>
        <w:t xml:space="preserve">Cette analyse </w:t>
      </w:r>
      <w:r w:rsidRPr="00677B3F">
        <w:rPr>
          <w:lang w:val="fr-FR"/>
        </w:rPr>
        <w:t xml:space="preserve">a été complétée par des rapports publics du HCDH, les conclusions de </w:t>
      </w:r>
      <w:r>
        <w:rPr>
          <w:lang w:val="fr-FR"/>
        </w:rPr>
        <w:t xml:space="preserve">divers </w:t>
      </w:r>
      <w:r w:rsidRPr="00677B3F">
        <w:rPr>
          <w:lang w:val="fr-FR"/>
        </w:rPr>
        <w:t>mécanismes des droits de l</w:t>
      </w:r>
      <w:r>
        <w:rPr>
          <w:lang w:val="fr-FR"/>
        </w:rPr>
        <w:t>’</w:t>
      </w:r>
      <w:r w:rsidRPr="00677B3F">
        <w:rPr>
          <w:lang w:val="fr-FR"/>
        </w:rPr>
        <w:t>homme</w:t>
      </w:r>
      <w:r>
        <w:rPr>
          <w:lang w:val="fr-FR"/>
        </w:rPr>
        <w:t xml:space="preserve"> </w:t>
      </w:r>
      <w:r w:rsidRPr="008E4365">
        <w:rPr>
          <w:lang w:val="fr-FR"/>
        </w:rPr>
        <w:t>de l</w:t>
      </w:r>
      <w:r>
        <w:rPr>
          <w:lang w:val="fr-FR"/>
        </w:rPr>
        <w:t>’</w:t>
      </w:r>
      <w:r w:rsidRPr="008E4365">
        <w:rPr>
          <w:lang w:val="fr-FR"/>
        </w:rPr>
        <w:t xml:space="preserve">ONU et de leurs homologues régionaux, ainsi que par des informations </w:t>
      </w:r>
      <w:r>
        <w:rPr>
          <w:lang w:val="fr-FR"/>
        </w:rPr>
        <w:t>en accès libre.</w:t>
      </w:r>
    </w:p>
    <w:p w14:paraId="74629981" w14:textId="77777777" w:rsidR="00865E37" w:rsidRPr="00293268" w:rsidRDefault="00865E37" w:rsidP="00865E37">
      <w:pPr>
        <w:pStyle w:val="SingleTxtG"/>
        <w:rPr>
          <w:lang w:val="fr-FR"/>
        </w:rPr>
      </w:pPr>
      <w:r w:rsidRPr="00293268">
        <w:rPr>
          <w:lang w:val="fr-FR"/>
        </w:rPr>
        <w:t>10.</w:t>
      </w:r>
      <w:r w:rsidRPr="00293268">
        <w:rPr>
          <w:lang w:val="fr-FR"/>
        </w:rPr>
        <w:tab/>
      </w:r>
      <w:r>
        <w:rPr>
          <w:lang w:val="fr-FR"/>
        </w:rPr>
        <w:t xml:space="preserve">Le HCDH </w:t>
      </w:r>
      <w:r w:rsidRPr="00830584">
        <w:rPr>
          <w:lang w:val="fr-FR"/>
        </w:rPr>
        <w:t xml:space="preserve">remercie tous ceux </w:t>
      </w:r>
      <w:r>
        <w:rPr>
          <w:lang w:val="fr-FR"/>
        </w:rPr>
        <w:t xml:space="preserve">et celles </w:t>
      </w:r>
      <w:r w:rsidRPr="00830584">
        <w:rPr>
          <w:lang w:val="fr-FR"/>
        </w:rPr>
        <w:t>qui ont prêté leur concours à l</w:t>
      </w:r>
      <w:r>
        <w:rPr>
          <w:lang w:val="fr-FR"/>
        </w:rPr>
        <w:t>’</w:t>
      </w:r>
      <w:r w:rsidRPr="00830584">
        <w:rPr>
          <w:lang w:val="fr-FR"/>
        </w:rPr>
        <w:t>établissement du</w:t>
      </w:r>
      <w:r>
        <w:rPr>
          <w:lang w:val="fr-FR"/>
        </w:rPr>
        <w:t xml:space="preserve"> rapport et du document de séance qui l’accompagne</w:t>
      </w:r>
      <w:r w:rsidRPr="00293268">
        <w:rPr>
          <w:lang w:val="fr-FR"/>
        </w:rPr>
        <w:t xml:space="preserve"> </w:t>
      </w:r>
      <w:r w:rsidRPr="009F586F">
        <w:rPr>
          <w:lang w:val="fr-FR"/>
        </w:rPr>
        <w:t xml:space="preserve">en lui communiquant des informations </w:t>
      </w:r>
      <w:r w:rsidRPr="003057E5">
        <w:rPr>
          <w:lang w:val="fr-FR"/>
        </w:rPr>
        <w:t xml:space="preserve">et en participant aux réunions </w:t>
      </w:r>
      <w:r>
        <w:rPr>
          <w:lang w:val="fr-FR"/>
        </w:rPr>
        <w:t>organisées à cet effet. Il remercie tout particulièrement les familles des victimes et les communautés</w:t>
      </w:r>
      <w:r w:rsidRPr="008F79AD">
        <w:rPr>
          <w:lang w:val="fr-FR"/>
        </w:rPr>
        <w:t xml:space="preserve"> </w:t>
      </w:r>
      <w:r>
        <w:rPr>
          <w:lang w:val="fr-FR"/>
        </w:rPr>
        <w:t>concern</w:t>
      </w:r>
      <w:r w:rsidRPr="008F79AD">
        <w:rPr>
          <w:lang w:val="fr-FR"/>
        </w:rPr>
        <w:t>ées</w:t>
      </w:r>
      <w:r>
        <w:rPr>
          <w:lang w:val="fr-FR"/>
        </w:rPr>
        <w:t>, de même que les personnes</w:t>
      </w:r>
      <w:r w:rsidRPr="00293268">
        <w:rPr>
          <w:lang w:val="fr-FR"/>
        </w:rPr>
        <w:t xml:space="preserve"> </w:t>
      </w:r>
      <w:r w:rsidRPr="00C75F31">
        <w:rPr>
          <w:lang w:val="fr-FR"/>
        </w:rPr>
        <w:t xml:space="preserve">qui ont accepté de </w:t>
      </w:r>
      <w:r>
        <w:rPr>
          <w:lang w:val="fr-FR"/>
        </w:rPr>
        <w:t>témoigner de</w:t>
      </w:r>
      <w:r w:rsidRPr="00C75F31">
        <w:rPr>
          <w:lang w:val="fr-FR"/>
        </w:rPr>
        <w:t xml:space="preserve"> ce qu</w:t>
      </w:r>
      <w:r>
        <w:rPr>
          <w:lang w:val="fr-FR"/>
        </w:rPr>
        <w:t>’elle</w:t>
      </w:r>
      <w:r w:rsidRPr="00C75F31">
        <w:rPr>
          <w:lang w:val="fr-FR"/>
        </w:rPr>
        <w:t>s ont vécu</w:t>
      </w:r>
      <w:r w:rsidRPr="00293268">
        <w:rPr>
          <w:lang w:val="fr-FR"/>
        </w:rPr>
        <w:t>.</w:t>
      </w:r>
    </w:p>
    <w:p w14:paraId="05A7D829" w14:textId="4BF43586" w:rsidR="00865E37" w:rsidRPr="00293268" w:rsidRDefault="00865E37" w:rsidP="00865E37">
      <w:pPr>
        <w:pStyle w:val="SingleTxtG"/>
        <w:rPr>
          <w:lang w:val="fr-FR"/>
        </w:rPr>
      </w:pPr>
      <w:r w:rsidRPr="00293268">
        <w:rPr>
          <w:lang w:val="fr-FR"/>
        </w:rPr>
        <w:t>11.</w:t>
      </w:r>
      <w:r w:rsidRPr="00293268">
        <w:rPr>
          <w:lang w:val="fr-FR"/>
        </w:rPr>
        <w:tab/>
        <w:t>L</w:t>
      </w:r>
      <w:r>
        <w:rPr>
          <w:lang w:val="fr-FR"/>
        </w:rPr>
        <w:t>’</w:t>
      </w:r>
      <w:r w:rsidRPr="00293268">
        <w:rPr>
          <w:lang w:val="fr-FR"/>
        </w:rPr>
        <w:t xml:space="preserve">analyse </w:t>
      </w:r>
      <w:r w:rsidRPr="001E3642">
        <w:rPr>
          <w:lang w:val="fr-FR"/>
        </w:rPr>
        <w:t>effectuée par le HCDH</w:t>
      </w:r>
      <w:r w:rsidRPr="00293268">
        <w:rPr>
          <w:lang w:val="fr-FR"/>
        </w:rPr>
        <w:t xml:space="preserve"> </w:t>
      </w:r>
      <w:r>
        <w:rPr>
          <w:lang w:val="fr-FR"/>
        </w:rPr>
        <w:t xml:space="preserve">révèle </w:t>
      </w:r>
      <w:r w:rsidRPr="00293268">
        <w:rPr>
          <w:lang w:val="fr-FR"/>
        </w:rPr>
        <w:t xml:space="preserve">que le racisme et la discrimination raciale </w:t>
      </w:r>
      <w:r>
        <w:rPr>
          <w:lang w:val="fr-FR"/>
        </w:rPr>
        <w:t>à l’égard des</w:t>
      </w:r>
      <w:r w:rsidRPr="00293268">
        <w:rPr>
          <w:lang w:val="fr-FR"/>
        </w:rPr>
        <w:t xml:space="preserve"> Africains et </w:t>
      </w:r>
      <w:r>
        <w:rPr>
          <w:lang w:val="fr-FR"/>
        </w:rPr>
        <w:t>d</w:t>
      </w:r>
      <w:r w:rsidRPr="00293268">
        <w:rPr>
          <w:lang w:val="fr-FR"/>
        </w:rPr>
        <w:t>es personnes d</w:t>
      </w:r>
      <w:r>
        <w:rPr>
          <w:lang w:val="fr-FR"/>
        </w:rPr>
        <w:t>’</w:t>
      </w:r>
      <w:r w:rsidRPr="00293268">
        <w:rPr>
          <w:lang w:val="fr-FR"/>
        </w:rPr>
        <w:t xml:space="preserve">ascendance africaine trouvent souvent leur origine dans des politiques et des pratiques fondées sur la dévalorisation du statut de certains individus dans la société. Leurs effets sont particulièrement évidents dans les </w:t>
      </w:r>
      <w:r>
        <w:rPr>
          <w:lang w:val="fr-FR"/>
        </w:rPr>
        <w:t>pays</w:t>
      </w:r>
      <w:r w:rsidRPr="00293268">
        <w:rPr>
          <w:lang w:val="fr-FR"/>
        </w:rPr>
        <w:t xml:space="preserve"> qui sont liés</w:t>
      </w:r>
      <w:r>
        <w:rPr>
          <w:lang w:val="fr-FR"/>
        </w:rPr>
        <w:t>,</w:t>
      </w:r>
      <w:r w:rsidRPr="00293268">
        <w:rPr>
          <w:lang w:val="fr-FR"/>
        </w:rPr>
        <w:t xml:space="preserve"> historiquement ou à un degré important</w:t>
      </w:r>
      <w:r>
        <w:rPr>
          <w:lang w:val="fr-FR"/>
        </w:rPr>
        <w:t>,</w:t>
      </w:r>
      <w:r w:rsidRPr="00293268">
        <w:rPr>
          <w:lang w:val="fr-FR"/>
        </w:rPr>
        <w:t xml:space="preserve"> à l</w:t>
      </w:r>
      <w:r>
        <w:rPr>
          <w:lang w:val="fr-FR"/>
        </w:rPr>
        <w:t>’</w:t>
      </w:r>
      <w:r w:rsidRPr="00293268">
        <w:rPr>
          <w:lang w:val="fr-FR"/>
        </w:rPr>
        <w:t>esclavage, à la traite transatlantique des Africains réduits en esclavage ou au colonialisme,</w:t>
      </w:r>
      <w:r>
        <w:rPr>
          <w:lang w:val="fr-FR"/>
        </w:rPr>
        <w:t xml:space="preserve"> ou à ces trois phénomènes </w:t>
      </w:r>
      <w:r w:rsidR="003B7B9E">
        <w:rPr>
          <w:lang w:val="fr-FR"/>
        </w:rPr>
        <w:t>−</w:t>
      </w:r>
      <w:r>
        <w:rPr>
          <w:lang w:val="fr-FR"/>
        </w:rPr>
        <w:t xml:space="preserve"> tous ayant</w:t>
      </w:r>
      <w:r w:rsidRPr="00293268">
        <w:rPr>
          <w:lang w:val="fr-FR"/>
        </w:rPr>
        <w:t xml:space="preserve"> conduit à </w:t>
      </w:r>
      <w:r>
        <w:rPr>
          <w:lang w:val="fr-FR"/>
        </w:rPr>
        <w:t>la formation</w:t>
      </w:r>
      <w:r w:rsidRPr="00293268">
        <w:rPr>
          <w:lang w:val="fr-FR"/>
        </w:rPr>
        <w:t xml:space="preserve"> </w:t>
      </w:r>
      <w:r>
        <w:rPr>
          <w:lang w:val="fr-FR"/>
        </w:rPr>
        <w:t>d’</w:t>
      </w:r>
      <w:r w:rsidRPr="00293268">
        <w:rPr>
          <w:lang w:val="fr-FR"/>
        </w:rPr>
        <w:t xml:space="preserve">importantes </w:t>
      </w:r>
      <w:r>
        <w:rPr>
          <w:lang w:val="fr-FR"/>
        </w:rPr>
        <w:t>communautés</w:t>
      </w:r>
      <w:r w:rsidRPr="00293268">
        <w:rPr>
          <w:lang w:val="fr-FR"/>
        </w:rPr>
        <w:t xml:space="preserve"> d</w:t>
      </w:r>
      <w:r>
        <w:rPr>
          <w:lang w:val="fr-FR"/>
        </w:rPr>
        <w:t>’</w:t>
      </w:r>
      <w:r w:rsidRPr="00293268">
        <w:rPr>
          <w:lang w:val="fr-FR"/>
        </w:rPr>
        <w:t xml:space="preserve">ascendance africaine. </w:t>
      </w:r>
      <w:r>
        <w:rPr>
          <w:lang w:val="fr-FR"/>
        </w:rPr>
        <w:t>L</w:t>
      </w:r>
      <w:r w:rsidRPr="00293268">
        <w:rPr>
          <w:lang w:val="fr-FR"/>
        </w:rPr>
        <w:t>es communications et consultations</w:t>
      </w:r>
      <w:r w:rsidRPr="00DF4EA0">
        <w:rPr>
          <w:lang w:val="fr-FR"/>
        </w:rPr>
        <w:t xml:space="preserve"> ont </w:t>
      </w:r>
      <w:r w:rsidRPr="00415C27">
        <w:rPr>
          <w:lang w:val="fr-FR"/>
        </w:rPr>
        <w:t>mis l</w:t>
      </w:r>
      <w:r>
        <w:rPr>
          <w:lang w:val="fr-FR"/>
        </w:rPr>
        <w:t>’</w:t>
      </w:r>
      <w:r w:rsidRPr="00415C27">
        <w:rPr>
          <w:lang w:val="fr-FR"/>
        </w:rPr>
        <w:t>accent à plusieurs reprises</w:t>
      </w:r>
      <w:r>
        <w:rPr>
          <w:lang w:val="fr-FR"/>
        </w:rPr>
        <w:t xml:space="preserve"> sur la</w:t>
      </w:r>
      <w:r w:rsidRPr="00DF4EA0">
        <w:rPr>
          <w:lang w:val="fr-FR"/>
        </w:rPr>
        <w:t xml:space="preserve"> </w:t>
      </w:r>
      <w:r w:rsidRPr="00415C27">
        <w:rPr>
          <w:lang w:val="fr-FR"/>
        </w:rPr>
        <w:t>situation des personnes d</w:t>
      </w:r>
      <w:r>
        <w:rPr>
          <w:lang w:val="fr-FR"/>
        </w:rPr>
        <w:t>’</w:t>
      </w:r>
      <w:r w:rsidRPr="00415C27">
        <w:rPr>
          <w:lang w:val="fr-FR"/>
        </w:rPr>
        <w:t xml:space="preserve">ascendance africaine dans ces </w:t>
      </w:r>
      <w:r>
        <w:rPr>
          <w:lang w:val="fr-FR"/>
        </w:rPr>
        <w:t>pays</w:t>
      </w:r>
      <w:r w:rsidRPr="00293268">
        <w:rPr>
          <w:lang w:val="fr-FR"/>
        </w:rPr>
        <w:t>.</w:t>
      </w:r>
    </w:p>
    <w:p w14:paraId="131C5EC2" w14:textId="77777777" w:rsidR="00865E37" w:rsidRPr="00293268" w:rsidRDefault="00865E37" w:rsidP="00865E37">
      <w:pPr>
        <w:pStyle w:val="SingleTxtG"/>
        <w:rPr>
          <w:lang w:val="fr-FR"/>
        </w:rPr>
      </w:pPr>
      <w:r w:rsidRPr="00293268">
        <w:rPr>
          <w:lang w:val="fr-FR"/>
        </w:rPr>
        <w:t>12.</w:t>
      </w:r>
      <w:r w:rsidRPr="00293268">
        <w:rPr>
          <w:lang w:val="fr-FR"/>
        </w:rPr>
        <w:tab/>
        <w:t xml:space="preserve">Bien que le présent </w:t>
      </w:r>
      <w:r w:rsidRPr="001E3642">
        <w:rPr>
          <w:lang w:val="fr-FR"/>
        </w:rPr>
        <w:t>document de séance</w:t>
      </w:r>
      <w:r w:rsidRPr="00293268">
        <w:rPr>
          <w:lang w:val="fr-FR"/>
        </w:rPr>
        <w:t xml:space="preserve"> rende compte de cette réalité,</w:t>
      </w:r>
      <w:r>
        <w:rPr>
          <w:lang w:val="fr-FR"/>
        </w:rPr>
        <w:t xml:space="preserve"> il analyse également</w:t>
      </w:r>
      <w:r w:rsidRPr="00293268">
        <w:rPr>
          <w:lang w:val="fr-FR"/>
        </w:rPr>
        <w:t xml:space="preserve"> </w:t>
      </w:r>
      <w:r w:rsidRPr="001E2814">
        <w:rPr>
          <w:lang w:val="fr-FR"/>
        </w:rPr>
        <w:t xml:space="preserve">certains des </w:t>
      </w:r>
      <w:r>
        <w:rPr>
          <w:lang w:val="fr-FR"/>
        </w:rPr>
        <w:t>aspects</w:t>
      </w:r>
      <w:r w:rsidRPr="001E2814">
        <w:rPr>
          <w:lang w:val="fr-FR"/>
        </w:rPr>
        <w:t xml:space="preserve"> les plus </w:t>
      </w:r>
      <w:r>
        <w:rPr>
          <w:lang w:val="fr-FR"/>
        </w:rPr>
        <w:t>importants du</w:t>
      </w:r>
      <w:r w:rsidRPr="00293268">
        <w:rPr>
          <w:lang w:val="fr-FR"/>
        </w:rPr>
        <w:t xml:space="preserve"> racisme </w:t>
      </w:r>
      <w:r w:rsidRPr="00FD00D9">
        <w:rPr>
          <w:lang w:val="fr-FR"/>
        </w:rPr>
        <w:t>et de la discrimination raciale</w:t>
      </w:r>
      <w:r>
        <w:rPr>
          <w:lang w:val="fr-FR"/>
        </w:rPr>
        <w:t xml:space="preserve"> dont sont toujours victimes les</w:t>
      </w:r>
      <w:r w:rsidRPr="00293268">
        <w:rPr>
          <w:lang w:val="fr-FR"/>
        </w:rPr>
        <w:t xml:space="preserve"> Africains et personnes d</w:t>
      </w:r>
      <w:r>
        <w:rPr>
          <w:lang w:val="fr-FR"/>
        </w:rPr>
        <w:t>’</w:t>
      </w:r>
      <w:r w:rsidRPr="00293268">
        <w:rPr>
          <w:lang w:val="fr-FR"/>
        </w:rPr>
        <w:t xml:space="preserve">ascendance africaine partout dans le monde, </w:t>
      </w:r>
      <w:r>
        <w:rPr>
          <w:lang w:val="fr-FR"/>
        </w:rPr>
        <w:t xml:space="preserve">par exemple </w:t>
      </w:r>
      <w:r w:rsidRPr="00DF4EA0">
        <w:rPr>
          <w:lang w:val="fr-FR"/>
        </w:rPr>
        <w:t>à l</w:t>
      </w:r>
      <w:r>
        <w:rPr>
          <w:lang w:val="fr-FR"/>
        </w:rPr>
        <w:t>’</w:t>
      </w:r>
      <w:r w:rsidRPr="00DF4EA0">
        <w:rPr>
          <w:lang w:val="fr-FR"/>
        </w:rPr>
        <w:t>égard de communautés moins nombreuses de personnes d</w:t>
      </w:r>
      <w:r>
        <w:rPr>
          <w:lang w:val="fr-FR"/>
        </w:rPr>
        <w:t>’</w:t>
      </w:r>
      <w:r w:rsidRPr="00DF4EA0">
        <w:rPr>
          <w:lang w:val="fr-FR"/>
        </w:rPr>
        <w:t>ascendance africaine</w:t>
      </w:r>
      <w:r>
        <w:rPr>
          <w:lang w:val="fr-FR"/>
        </w:rPr>
        <w:t xml:space="preserve"> </w:t>
      </w:r>
      <w:r w:rsidRPr="00293268">
        <w:rPr>
          <w:lang w:val="fr-FR"/>
        </w:rPr>
        <w:t xml:space="preserve">et </w:t>
      </w:r>
      <w:r>
        <w:rPr>
          <w:lang w:val="fr-FR"/>
        </w:rPr>
        <w:t>dans le cadre des</w:t>
      </w:r>
      <w:r w:rsidRPr="00293268">
        <w:rPr>
          <w:lang w:val="fr-FR"/>
        </w:rPr>
        <w:t xml:space="preserve"> flux migratoires contemporains.</w:t>
      </w:r>
    </w:p>
    <w:p w14:paraId="426C055A" w14:textId="232454D5" w:rsidR="00865E37" w:rsidRPr="00293268" w:rsidRDefault="00865E37" w:rsidP="00865E37">
      <w:pPr>
        <w:pStyle w:val="SingleTxtG"/>
        <w:rPr>
          <w:lang w:val="fr-FR"/>
        </w:rPr>
      </w:pPr>
      <w:r w:rsidRPr="00293268">
        <w:rPr>
          <w:lang w:val="fr-FR"/>
        </w:rPr>
        <w:t>13.</w:t>
      </w:r>
      <w:r w:rsidRPr="00293268">
        <w:rPr>
          <w:lang w:val="fr-FR"/>
        </w:rPr>
        <w:tab/>
      </w:r>
      <w:r>
        <w:rPr>
          <w:lang w:val="fr-FR"/>
        </w:rPr>
        <w:t>Le présent document de séance</w:t>
      </w:r>
      <w:r w:rsidRPr="00DF4EA0">
        <w:rPr>
          <w:lang w:val="fr-FR"/>
        </w:rPr>
        <w:t xml:space="preserve"> </w:t>
      </w:r>
      <w:r w:rsidRPr="00B3286D">
        <w:rPr>
          <w:lang w:val="fr-FR"/>
        </w:rPr>
        <w:t xml:space="preserve">examine les inégalités </w:t>
      </w:r>
      <w:r>
        <w:rPr>
          <w:lang w:val="fr-FR"/>
        </w:rPr>
        <w:t>croissantes</w:t>
      </w:r>
      <w:r w:rsidRPr="00B3286D">
        <w:rPr>
          <w:lang w:val="fr-FR"/>
        </w:rPr>
        <w:t xml:space="preserve"> </w:t>
      </w:r>
      <w:r>
        <w:rPr>
          <w:lang w:val="fr-FR"/>
        </w:rPr>
        <w:t>auxquelles se heurtent</w:t>
      </w:r>
      <w:r w:rsidRPr="00B3286D">
        <w:rPr>
          <w:lang w:val="fr-FR"/>
        </w:rPr>
        <w:t xml:space="preserve"> les Africains et les personnes d</w:t>
      </w:r>
      <w:r>
        <w:rPr>
          <w:lang w:val="fr-FR"/>
        </w:rPr>
        <w:t>’</w:t>
      </w:r>
      <w:r w:rsidRPr="00B3286D">
        <w:rPr>
          <w:lang w:val="fr-FR"/>
        </w:rPr>
        <w:t xml:space="preserve">ascendance africaine dans </w:t>
      </w:r>
      <w:r>
        <w:rPr>
          <w:lang w:val="fr-FR"/>
        </w:rPr>
        <w:t xml:space="preserve">tous les domaines </w:t>
      </w:r>
      <w:r w:rsidRPr="00B3286D">
        <w:rPr>
          <w:lang w:val="fr-FR"/>
        </w:rPr>
        <w:t xml:space="preserve">en raison de leur marginalisation et </w:t>
      </w:r>
      <w:r>
        <w:rPr>
          <w:lang w:val="fr-FR"/>
        </w:rPr>
        <w:t xml:space="preserve">de leur difficulté à avoir </w:t>
      </w:r>
      <w:r w:rsidRPr="008D4E6C">
        <w:rPr>
          <w:lang w:val="fr-FR"/>
        </w:rPr>
        <w:t xml:space="preserve">accès </w:t>
      </w:r>
      <w:r w:rsidRPr="00B3286D">
        <w:rPr>
          <w:lang w:val="fr-FR"/>
        </w:rPr>
        <w:t>aux chances, aux ressources et au pouvoir</w:t>
      </w:r>
      <w:r>
        <w:rPr>
          <w:lang w:val="fr-FR"/>
        </w:rPr>
        <w:t xml:space="preserve"> dans des conditions d’égalité</w:t>
      </w:r>
      <w:r w:rsidRPr="00293268">
        <w:rPr>
          <w:lang w:val="fr-FR"/>
        </w:rPr>
        <w:t xml:space="preserve">. </w:t>
      </w:r>
      <w:r>
        <w:rPr>
          <w:lang w:val="fr-FR"/>
        </w:rPr>
        <w:t>La Haute-Commissaire</w:t>
      </w:r>
      <w:r w:rsidRPr="004E7950">
        <w:rPr>
          <w:lang w:val="fr-FR"/>
        </w:rPr>
        <w:t xml:space="preserve"> </w:t>
      </w:r>
      <w:r>
        <w:rPr>
          <w:lang w:val="fr-FR"/>
        </w:rPr>
        <w:t>décrit comment</w:t>
      </w:r>
      <w:r w:rsidRPr="00DF4EA0">
        <w:rPr>
          <w:lang w:val="fr-FR"/>
        </w:rPr>
        <w:t xml:space="preserve"> le racisme systémique se manifeste dans le domaine de l</w:t>
      </w:r>
      <w:r>
        <w:rPr>
          <w:lang w:val="fr-FR"/>
        </w:rPr>
        <w:t>’</w:t>
      </w:r>
      <w:r w:rsidRPr="00DF4EA0">
        <w:rPr>
          <w:lang w:val="fr-FR"/>
        </w:rPr>
        <w:t>application de la loi</w:t>
      </w:r>
      <w:r w:rsidRPr="004E7950">
        <w:rPr>
          <w:lang w:val="fr-FR"/>
        </w:rPr>
        <w:t>, en centrant son attention sur des affaires dont la conséquence irréversible et la plus visible est qu</w:t>
      </w:r>
      <w:r>
        <w:rPr>
          <w:lang w:val="fr-FR"/>
        </w:rPr>
        <w:t>’</w:t>
      </w:r>
      <w:r w:rsidRPr="004E7950">
        <w:rPr>
          <w:lang w:val="fr-FR"/>
        </w:rPr>
        <w:t>elles ont entraîné la mort, et le fait que les victimes continuent de ne pas obtenir justice et réparation</w:t>
      </w:r>
      <w:r w:rsidRPr="00293268">
        <w:rPr>
          <w:lang w:val="fr-FR"/>
        </w:rPr>
        <w:t xml:space="preserve">. </w:t>
      </w:r>
      <w:r w:rsidRPr="001068FC">
        <w:rPr>
          <w:lang w:val="fr-FR"/>
        </w:rPr>
        <w:t>La Haute-Commissaire souligne qu</w:t>
      </w:r>
      <w:r>
        <w:rPr>
          <w:lang w:val="fr-FR"/>
        </w:rPr>
        <w:t>’</w:t>
      </w:r>
      <w:r w:rsidRPr="001068FC">
        <w:rPr>
          <w:lang w:val="fr-FR"/>
        </w:rPr>
        <w:t>il importe de veiller à ce que soient entendues les voix des personnes d</w:t>
      </w:r>
      <w:r>
        <w:rPr>
          <w:lang w:val="fr-FR"/>
        </w:rPr>
        <w:t>’</w:t>
      </w:r>
      <w:r w:rsidRPr="001068FC">
        <w:rPr>
          <w:lang w:val="fr-FR"/>
        </w:rPr>
        <w:t>ascendance africaine et de toutes celles qui luttent contre le racisme</w:t>
      </w:r>
      <w:r w:rsidRPr="00293268">
        <w:rPr>
          <w:lang w:val="fr-FR"/>
        </w:rPr>
        <w:t xml:space="preserve">. </w:t>
      </w:r>
      <w:r w:rsidRPr="001068FC">
        <w:rPr>
          <w:lang w:val="fr-FR"/>
        </w:rPr>
        <w:t>Elle</w:t>
      </w:r>
      <w:r w:rsidR="003B7B9E">
        <w:rPr>
          <w:lang w:val="fr-FR"/>
        </w:rPr>
        <w:t> </w:t>
      </w:r>
      <w:r w:rsidRPr="001068FC">
        <w:rPr>
          <w:lang w:val="fr-FR"/>
        </w:rPr>
        <w:t>estime qu</w:t>
      </w:r>
      <w:r>
        <w:rPr>
          <w:lang w:val="fr-FR"/>
        </w:rPr>
        <w:t>’</w:t>
      </w:r>
      <w:r w:rsidRPr="001068FC">
        <w:rPr>
          <w:lang w:val="fr-FR"/>
        </w:rPr>
        <w:t xml:space="preserve">il est grand temps de </w:t>
      </w:r>
      <w:r>
        <w:rPr>
          <w:lang w:val="fr-FR"/>
        </w:rPr>
        <w:t>regarder en face les</w:t>
      </w:r>
      <w:r w:rsidRPr="001068FC">
        <w:rPr>
          <w:lang w:val="fr-FR"/>
        </w:rPr>
        <w:t xml:space="preserve"> séquelles de l</w:t>
      </w:r>
      <w:r>
        <w:rPr>
          <w:lang w:val="fr-FR"/>
        </w:rPr>
        <w:t>’</w:t>
      </w:r>
      <w:r w:rsidRPr="001068FC">
        <w:rPr>
          <w:lang w:val="fr-FR"/>
        </w:rPr>
        <w:t xml:space="preserve">esclavage, de la traite transatlantique des Africains réduits en esclavage et du colonialisme, et </w:t>
      </w:r>
      <w:r>
        <w:rPr>
          <w:lang w:val="fr-FR"/>
        </w:rPr>
        <w:t xml:space="preserve">de </w:t>
      </w:r>
      <w:r w:rsidRPr="00CA458C">
        <w:rPr>
          <w:lang w:val="fr-FR"/>
        </w:rPr>
        <w:t>chercher à rendre une justice réparatrice</w:t>
      </w:r>
      <w:r w:rsidRPr="00293268">
        <w:rPr>
          <w:lang w:val="fr-FR"/>
        </w:rPr>
        <w:t xml:space="preserve">. </w:t>
      </w:r>
      <w:r w:rsidRPr="009E0556">
        <w:rPr>
          <w:lang w:val="fr-FR"/>
        </w:rPr>
        <w:t>Consciente qu</w:t>
      </w:r>
      <w:r>
        <w:rPr>
          <w:lang w:val="fr-FR"/>
        </w:rPr>
        <w:t>’</w:t>
      </w:r>
      <w:r w:rsidRPr="009E0556">
        <w:rPr>
          <w:lang w:val="fr-FR"/>
        </w:rPr>
        <w:t>il est impératif d</w:t>
      </w:r>
      <w:r>
        <w:rPr>
          <w:lang w:val="fr-FR"/>
        </w:rPr>
        <w:t>’</w:t>
      </w:r>
      <w:r w:rsidRPr="009E0556">
        <w:rPr>
          <w:lang w:val="fr-FR"/>
        </w:rPr>
        <w:t xml:space="preserve">agir, elle </w:t>
      </w:r>
      <w:r>
        <w:rPr>
          <w:lang w:val="fr-FR"/>
        </w:rPr>
        <w:t>présente</w:t>
      </w:r>
      <w:r w:rsidRPr="009E0556">
        <w:rPr>
          <w:lang w:val="fr-FR"/>
        </w:rPr>
        <w:t xml:space="preserve"> un </w:t>
      </w:r>
      <w:r>
        <w:rPr>
          <w:lang w:val="fr-FR"/>
        </w:rPr>
        <w:t>programme axé sur la</w:t>
      </w:r>
      <w:r w:rsidRPr="00DD04E2">
        <w:rPr>
          <w:lang w:val="fr-FR"/>
        </w:rPr>
        <w:t xml:space="preserve"> transformation </w:t>
      </w:r>
      <w:r>
        <w:rPr>
          <w:lang w:val="fr-FR"/>
        </w:rPr>
        <w:t>pour</w:t>
      </w:r>
      <w:r w:rsidRPr="00953AE2">
        <w:rPr>
          <w:lang w:val="fr-FR"/>
        </w:rPr>
        <w:t xml:space="preserve"> </w:t>
      </w:r>
      <w:r>
        <w:rPr>
          <w:lang w:val="fr-FR"/>
        </w:rPr>
        <w:t xml:space="preserve">la </w:t>
      </w:r>
      <w:r w:rsidRPr="00953AE2">
        <w:rPr>
          <w:lang w:val="fr-FR"/>
        </w:rPr>
        <w:t xml:space="preserve">justice et </w:t>
      </w:r>
      <w:r>
        <w:rPr>
          <w:lang w:val="fr-FR"/>
        </w:rPr>
        <w:t>l’</w:t>
      </w:r>
      <w:r w:rsidRPr="00953AE2">
        <w:rPr>
          <w:lang w:val="fr-FR"/>
        </w:rPr>
        <w:t xml:space="preserve">égalité raciales </w:t>
      </w:r>
      <w:r w:rsidRPr="009E0556">
        <w:rPr>
          <w:lang w:val="fr-FR"/>
        </w:rPr>
        <w:t>en faveur des Africains et des personnes d</w:t>
      </w:r>
      <w:r>
        <w:rPr>
          <w:lang w:val="fr-FR"/>
        </w:rPr>
        <w:t>’</w:t>
      </w:r>
      <w:r w:rsidRPr="009E0556">
        <w:rPr>
          <w:lang w:val="fr-FR"/>
        </w:rPr>
        <w:t xml:space="preserve">ascendance africaine </w:t>
      </w:r>
      <w:r>
        <w:rPr>
          <w:lang w:val="fr-FR"/>
        </w:rPr>
        <w:t xml:space="preserve">partout </w:t>
      </w:r>
      <w:r w:rsidRPr="009E0556">
        <w:rPr>
          <w:lang w:val="fr-FR"/>
        </w:rPr>
        <w:t xml:space="preserve">dans le monde </w:t>
      </w:r>
      <w:r w:rsidRPr="00293268">
        <w:rPr>
          <w:lang w:val="fr-FR"/>
        </w:rPr>
        <w:t>(</w:t>
      </w:r>
      <w:r>
        <w:rPr>
          <w:lang w:val="fr-FR"/>
        </w:rPr>
        <w:t>voir également l’annexe au document</w:t>
      </w:r>
      <w:r w:rsidRPr="00293268">
        <w:rPr>
          <w:lang w:val="fr-FR"/>
        </w:rPr>
        <w:t xml:space="preserve"> A/HRC/47/53)</w:t>
      </w:r>
      <w:r>
        <w:rPr>
          <w:lang w:val="fr-FR"/>
        </w:rPr>
        <w:t xml:space="preserve">. Celui-ci est décrit en détail dans les </w:t>
      </w:r>
      <w:r w:rsidRPr="00DE7F7D">
        <w:rPr>
          <w:lang w:val="fr-FR"/>
        </w:rPr>
        <w:t>sections intitulées «</w:t>
      </w:r>
      <w:r w:rsidR="00653F4E">
        <w:rPr>
          <w:lang w:val="fr-FR"/>
        </w:rPr>
        <w:t> </w:t>
      </w:r>
      <w:r w:rsidRPr="00DE7F7D">
        <w:rPr>
          <w:lang w:val="fr-FR"/>
        </w:rPr>
        <w:t>La voie à suivre</w:t>
      </w:r>
      <w:r w:rsidR="00653F4E">
        <w:rPr>
          <w:lang w:val="fr-FR"/>
        </w:rPr>
        <w:t> </w:t>
      </w:r>
      <w:r w:rsidRPr="00DE7F7D">
        <w:rPr>
          <w:lang w:val="fr-FR"/>
        </w:rPr>
        <w:t>» du présent document de séance.</w:t>
      </w:r>
    </w:p>
    <w:p w14:paraId="45163579" w14:textId="14EBF811" w:rsidR="00865E37" w:rsidRPr="00293268" w:rsidRDefault="00865E37" w:rsidP="006131B2">
      <w:pPr>
        <w:pStyle w:val="HChG"/>
        <w:spacing w:before="320"/>
        <w:rPr>
          <w:lang w:val="fr-FR"/>
        </w:rPr>
      </w:pPr>
      <w:r w:rsidRPr="00293268">
        <w:rPr>
          <w:lang w:val="fr-FR"/>
        </w:rPr>
        <w:tab/>
        <w:t>II.</w:t>
      </w:r>
      <w:r w:rsidRPr="00293268">
        <w:rPr>
          <w:lang w:val="fr-FR"/>
        </w:rPr>
        <w:tab/>
      </w:r>
      <w:bookmarkStart w:id="17" w:name="_Hlk116397155"/>
      <w:r w:rsidRPr="00293268">
        <w:rPr>
          <w:lang w:val="fr-FR"/>
        </w:rPr>
        <w:t xml:space="preserve">Remédier à la culture du déni, </w:t>
      </w:r>
      <w:r>
        <w:rPr>
          <w:lang w:val="fr-FR"/>
        </w:rPr>
        <w:t>éliminer</w:t>
      </w:r>
      <w:r w:rsidRPr="00293268">
        <w:rPr>
          <w:lang w:val="fr-FR"/>
        </w:rPr>
        <w:t xml:space="preserve"> le racisme systémique </w:t>
      </w:r>
      <w:r w:rsidR="0041610A">
        <w:rPr>
          <w:lang w:val="fr-FR"/>
        </w:rPr>
        <w:br/>
      </w:r>
      <w:r w:rsidRPr="00293268">
        <w:rPr>
          <w:lang w:val="fr-FR"/>
        </w:rPr>
        <w:t>et accélérer le rythme de l</w:t>
      </w:r>
      <w:r>
        <w:rPr>
          <w:lang w:val="fr-FR"/>
        </w:rPr>
        <w:t>’</w:t>
      </w:r>
      <w:r w:rsidRPr="00293268">
        <w:rPr>
          <w:lang w:val="fr-FR"/>
        </w:rPr>
        <w:t>action menée</w:t>
      </w:r>
      <w:bookmarkEnd w:id="17"/>
    </w:p>
    <w:p w14:paraId="000E2C64" w14:textId="7E24580D" w:rsidR="00865E37" w:rsidRPr="00293268" w:rsidRDefault="00865E37" w:rsidP="006131B2">
      <w:pPr>
        <w:pStyle w:val="H1G"/>
        <w:spacing w:before="320"/>
        <w:rPr>
          <w:lang w:val="fr-FR"/>
        </w:rPr>
      </w:pPr>
      <w:bookmarkStart w:id="18" w:name="_Toc60845018"/>
      <w:bookmarkStart w:id="19" w:name="_Toc61537996"/>
      <w:bookmarkStart w:id="20" w:name="_Toc61538049"/>
      <w:bookmarkStart w:id="21" w:name="_Toc61538101"/>
      <w:bookmarkStart w:id="22" w:name="_Toc74078702"/>
      <w:bookmarkStart w:id="23" w:name="_Toc74080631"/>
      <w:bookmarkStart w:id="24" w:name="_Toc75280458"/>
      <w:bookmarkStart w:id="25" w:name="_Toc74173697"/>
      <w:bookmarkStart w:id="26" w:name="_Toc73738818"/>
      <w:bookmarkEnd w:id="18"/>
      <w:bookmarkEnd w:id="19"/>
      <w:bookmarkEnd w:id="20"/>
      <w:bookmarkEnd w:id="21"/>
      <w:r w:rsidRPr="00293268">
        <w:rPr>
          <w:lang w:val="fr-FR"/>
        </w:rPr>
        <w:tab/>
        <w:t>A.</w:t>
      </w:r>
      <w:r w:rsidRPr="00293268">
        <w:rPr>
          <w:lang w:val="fr-FR"/>
        </w:rPr>
        <w:tab/>
      </w:r>
      <w:bookmarkStart w:id="27" w:name="_Hlk116396887"/>
      <w:r>
        <w:rPr>
          <w:lang w:val="fr-FR"/>
        </w:rPr>
        <w:t xml:space="preserve">Racisme systémique, esclavage, </w:t>
      </w:r>
      <w:r w:rsidRPr="00F84F72">
        <w:rPr>
          <w:lang w:val="fr-FR"/>
        </w:rPr>
        <w:t xml:space="preserve">traite transatlantique </w:t>
      </w:r>
      <w:r w:rsidR="0041610A">
        <w:rPr>
          <w:lang w:val="fr-FR"/>
        </w:rPr>
        <w:br/>
      </w:r>
      <w:r w:rsidRPr="00F84F72">
        <w:rPr>
          <w:lang w:val="fr-FR"/>
        </w:rPr>
        <w:t xml:space="preserve">des Africains réduits en esclavage </w:t>
      </w:r>
      <w:r>
        <w:rPr>
          <w:lang w:val="fr-FR"/>
        </w:rPr>
        <w:t>et colonialisme</w:t>
      </w:r>
      <w:bookmarkStart w:id="28" w:name="_Toc60845016"/>
      <w:bookmarkStart w:id="29" w:name="_Toc61538099"/>
      <w:bookmarkEnd w:id="22"/>
      <w:bookmarkEnd w:id="23"/>
      <w:bookmarkEnd w:id="24"/>
      <w:bookmarkEnd w:id="25"/>
      <w:bookmarkEnd w:id="26"/>
      <w:bookmarkEnd w:id="27"/>
    </w:p>
    <w:bookmarkEnd w:id="28"/>
    <w:bookmarkEnd w:id="29"/>
    <w:p w14:paraId="3AC9AC1B" w14:textId="77777777" w:rsidR="00865E37" w:rsidRPr="00293268" w:rsidRDefault="00865E37" w:rsidP="00865E37">
      <w:pPr>
        <w:pStyle w:val="SingleTxtG"/>
        <w:rPr>
          <w:lang w:val="fr-FR"/>
        </w:rPr>
      </w:pPr>
      <w:r w:rsidRPr="00293268">
        <w:rPr>
          <w:lang w:val="fr-FR"/>
        </w:rPr>
        <w:t>14.</w:t>
      </w:r>
      <w:r w:rsidRPr="00293268">
        <w:rPr>
          <w:lang w:val="fr-FR"/>
        </w:rPr>
        <w:tab/>
      </w:r>
      <w:r w:rsidRPr="001D1811">
        <w:rPr>
          <w:lang w:val="fr-FR"/>
        </w:rPr>
        <w:t xml:space="preserve">La présente section </w:t>
      </w:r>
      <w:r>
        <w:rPr>
          <w:lang w:val="fr-FR"/>
        </w:rPr>
        <w:t xml:space="preserve">fournit des exemples représentatifs de manifestations </w:t>
      </w:r>
      <w:r w:rsidRPr="00CB2AEA">
        <w:rPr>
          <w:lang w:val="fr-FR"/>
        </w:rPr>
        <w:t xml:space="preserve">contemporaines </w:t>
      </w:r>
      <w:r>
        <w:rPr>
          <w:lang w:val="fr-FR"/>
        </w:rPr>
        <w:t xml:space="preserve">du racisme systémique </w:t>
      </w:r>
      <w:r w:rsidRPr="00BC5B43">
        <w:rPr>
          <w:lang w:val="fr-FR"/>
        </w:rPr>
        <w:t xml:space="preserve">dont sont victimes </w:t>
      </w:r>
      <w:r>
        <w:rPr>
          <w:lang w:val="fr-FR"/>
        </w:rPr>
        <w:t xml:space="preserve">les Africains et les personnes d’ascendance africaine et examine les facteurs qui contribuent à le perpétuer. Elle met en outre en avant quelques-unes des initiatives les plus prometteuses menées par un certain nombre d’États et de régions et se termine par des </w:t>
      </w:r>
      <w:r w:rsidRPr="00293268">
        <w:rPr>
          <w:lang w:val="fr-FR"/>
        </w:rPr>
        <w:t xml:space="preserve">recommandations </w:t>
      </w:r>
      <w:r>
        <w:rPr>
          <w:lang w:val="fr-FR"/>
        </w:rPr>
        <w:t xml:space="preserve">sur les mesures que les États devraient prendre pour lutter contre le racisme systémique, conformément aux obligations mises à leur charge par le droit international des droits de l’homme et à leurs engagements de politique générale, notamment la </w:t>
      </w:r>
      <w:r w:rsidRPr="00A51C4C">
        <w:rPr>
          <w:lang w:val="fr-FR"/>
        </w:rPr>
        <w:t>Convention internationale sur l</w:t>
      </w:r>
      <w:r>
        <w:rPr>
          <w:lang w:val="fr-FR"/>
        </w:rPr>
        <w:t>’</w:t>
      </w:r>
      <w:r w:rsidRPr="00A51C4C">
        <w:rPr>
          <w:lang w:val="fr-FR"/>
        </w:rPr>
        <w:t>élimination de toutes les formes de discrimination raciale</w:t>
      </w:r>
      <w:r>
        <w:rPr>
          <w:lang w:val="fr-FR"/>
        </w:rPr>
        <w:t xml:space="preserve"> et la Déclaration et le Programme d’action de Durban, afin de créer des conditions de vie </w:t>
      </w:r>
      <w:r w:rsidRPr="00121DC8">
        <w:rPr>
          <w:lang w:val="fr-FR"/>
        </w:rPr>
        <w:t xml:space="preserve">respectueuses de la dignité et des droits </w:t>
      </w:r>
      <w:r>
        <w:rPr>
          <w:lang w:val="fr-FR"/>
        </w:rPr>
        <w:t xml:space="preserve">et de </w:t>
      </w:r>
      <w:r w:rsidRPr="00FD4559">
        <w:rPr>
          <w:lang w:val="fr-FR"/>
        </w:rPr>
        <w:t>parvenir à l</w:t>
      </w:r>
      <w:r>
        <w:rPr>
          <w:lang w:val="fr-FR"/>
        </w:rPr>
        <w:t>’</w:t>
      </w:r>
      <w:r w:rsidRPr="00FD4559">
        <w:rPr>
          <w:lang w:val="fr-FR"/>
        </w:rPr>
        <w:t>égalité et à la justice</w:t>
      </w:r>
      <w:r w:rsidRPr="00CD6B67">
        <w:rPr>
          <w:rStyle w:val="FootnoteReference"/>
        </w:rPr>
        <w:footnoteReference w:id="13"/>
      </w:r>
      <w:r>
        <w:rPr>
          <w:lang w:val="fr-FR"/>
        </w:rPr>
        <w:t>.</w:t>
      </w:r>
    </w:p>
    <w:p w14:paraId="65DC4EFD" w14:textId="77777777" w:rsidR="00865E37" w:rsidRPr="00293268" w:rsidRDefault="00865E37" w:rsidP="00865E37">
      <w:pPr>
        <w:pStyle w:val="SingleTxtG"/>
        <w:rPr>
          <w:lang w:val="fr-FR"/>
        </w:rPr>
      </w:pPr>
      <w:r w:rsidRPr="00293268">
        <w:rPr>
          <w:lang w:val="fr-FR"/>
        </w:rPr>
        <w:t>15.</w:t>
      </w:r>
      <w:r w:rsidRPr="00293268">
        <w:rPr>
          <w:lang w:val="fr-FR"/>
        </w:rPr>
        <w:tab/>
        <w:t>Aux fins du présent document, la notion de racisme systémique</w:t>
      </w:r>
      <w:r>
        <w:rPr>
          <w:lang w:val="fr-FR"/>
        </w:rPr>
        <w:t xml:space="preserve"> à l’égard des</w:t>
      </w:r>
      <w:r w:rsidRPr="00293268">
        <w:rPr>
          <w:lang w:val="fr-FR"/>
        </w:rPr>
        <w:t xml:space="preserve"> Africains et </w:t>
      </w:r>
      <w:r>
        <w:rPr>
          <w:lang w:val="fr-FR"/>
        </w:rPr>
        <w:t>d</w:t>
      </w:r>
      <w:r w:rsidRPr="00293268">
        <w:rPr>
          <w:lang w:val="fr-FR"/>
        </w:rPr>
        <w:t>es personnes d</w:t>
      </w:r>
      <w:r>
        <w:rPr>
          <w:lang w:val="fr-FR"/>
        </w:rPr>
        <w:t>’</w:t>
      </w:r>
      <w:r w:rsidRPr="00293268">
        <w:rPr>
          <w:lang w:val="fr-FR"/>
        </w:rPr>
        <w:t>ascendance africaine</w:t>
      </w:r>
      <w:r w:rsidRPr="00DF4EA0">
        <w:rPr>
          <w:lang w:val="fr-FR"/>
        </w:rPr>
        <w:t xml:space="preserve"> </w:t>
      </w:r>
      <w:r w:rsidRPr="004360FB">
        <w:rPr>
          <w:lang w:val="fr-FR"/>
        </w:rPr>
        <w:t>et, en particulier, de racisme structurel et institutionnel,</w:t>
      </w:r>
      <w:r w:rsidRPr="00293268">
        <w:rPr>
          <w:lang w:val="fr-FR"/>
        </w:rPr>
        <w:t xml:space="preserve"> s</w:t>
      </w:r>
      <w:r>
        <w:rPr>
          <w:lang w:val="fr-FR"/>
        </w:rPr>
        <w:t>’</w:t>
      </w:r>
      <w:r w:rsidRPr="00293268">
        <w:rPr>
          <w:lang w:val="fr-FR"/>
        </w:rPr>
        <w:t>entend d</w:t>
      </w:r>
      <w:r>
        <w:rPr>
          <w:lang w:val="fr-FR"/>
        </w:rPr>
        <w:t>’</w:t>
      </w:r>
      <w:r w:rsidRPr="00293268">
        <w:rPr>
          <w:lang w:val="fr-FR"/>
        </w:rPr>
        <w:t>un système complexe et interdépendant de lois, de politiques, de pratiques et d</w:t>
      </w:r>
      <w:r>
        <w:rPr>
          <w:lang w:val="fr-FR"/>
        </w:rPr>
        <w:t>’</w:t>
      </w:r>
      <w:r w:rsidRPr="00293268">
        <w:rPr>
          <w:lang w:val="fr-FR"/>
        </w:rPr>
        <w:t xml:space="preserve">attitudes, </w:t>
      </w:r>
      <w:r>
        <w:rPr>
          <w:lang w:val="fr-FR"/>
        </w:rPr>
        <w:t>au sein d</w:t>
      </w:r>
      <w:r w:rsidRPr="00293268">
        <w:rPr>
          <w:lang w:val="fr-FR"/>
        </w:rPr>
        <w:t>es institutions de l</w:t>
      </w:r>
      <w:r>
        <w:rPr>
          <w:lang w:val="fr-FR"/>
        </w:rPr>
        <w:t>’</w:t>
      </w:r>
      <w:r w:rsidRPr="00293268">
        <w:rPr>
          <w:lang w:val="fr-FR"/>
        </w:rPr>
        <w:t xml:space="preserve">État, </w:t>
      </w:r>
      <w:r>
        <w:rPr>
          <w:lang w:val="fr-FR"/>
        </w:rPr>
        <w:t>du</w:t>
      </w:r>
      <w:r w:rsidRPr="00293268">
        <w:rPr>
          <w:lang w:val="fr-FR"/>
        </w:rPr>
        <w:t xml:space="preserve"> secteur privé et </w:t>
      </w:r>
      <w:r>
        <w:rPr>
          <w:lang w:val="fr-FR"/>
        </w:rPr>
        <w:t>d</w:t>
      </w:r>
      <w:r w:rsidRPr="00293268">
        <w:rPr>
          <w:lang w:val="fr-FR"/>
        </w:rPr>
        <w:t>es structures sociétales qui, ensemble, produisent des formes, directes ou indirectes</w:t>
      </w:r>
      <w:r w:rsidRPr="00CD6B67">
        <w:rPr>
          <w:rStyle w:val="FootnoteReference"/>
        </w:rPr>
        <w:footnoteReference w:id="14"/>
      </w:r>
      <w:r w:rsidRPr="00293268">
        <w:rPr>
          <w:lang w:val="fr-FR"/>
        </w:rPr>
        <w:t>, intentionnelles ou non, en droit ou dans les faits, de discrimination, de différenciation, d</w:t>
      </w:r>
      <w:r>
        <w:rPr>
          <w:lang w:val="fr-FR"/>
        </w:rPr>
        <w:t>’</w:t>
      </w:r>
      <w:r w:rsidRPr="00293268">
        <w:rPr>
          <w:lang w:val="fr-FR"/>
        </w:rPr>
        <w:t>exclusion, de restriction ou de préférence ayant pour fondement la race, la couleur, l</w:t>
      </w:r>
      <w:r>
        <w:rPr>
          <w:lang w:val="fr-FR"/>
        </w:rPr>
        <w:t>’</w:t>
      </w:r>
      <w:r w:rsidRPr="00293268">
        <w:rPr>
          <w:lang w:val="fr-FR"/>
        </w:rPr>
        <w:t>ascendance ou l</w:t>
      </w:r>
      <w:r>
        <w:rPr>
          <w:lang w:val="fr-FR"/>
        </w:rPr>
        <w:t>’</w:t>
      </w:r>
      <w:r w:rsidRPr="00293268">
        <w:rPr>
          <w:lang w:val="fr-FR"/>
        </w:rPr>
        <w:t xml:space="preserve">origine nationale ou ethnique. Le racisme systémique se manifeste souvent par des stéréotypes, préjugés et partis pris raciaux </w:t>
      </w:r>
      <w:r>
        <w:rPr>
          <w:lang w:val="fr-FR"/>
        </w:rPr>
        <w:t>généralisés</w:t>
      </w:r>
      <w:r w:rsidRPr="00293268">
        <w:rPr>
          <w:lang w:val="fr-FR"/>
        </w:rPr>
        <w:t xml:space="preserve"> et trouve souvent son origine dans l</w:t>
      </w:r>
      <w:r>
        <w:rPr>
          <w:lang w:val="fr-FR"/>
        </w:rPr>
        <w:t>’</w:t>
      </w:r>
      <w:r w:rsidRPr="00293268">
        <w:rPr>
          <w:lang w:val="fr-FR"/>
        </w:rPr>
        <w:t xml:space="preserve">histoire et les </w:t>
      </w:r>
      <w:r>
        <w:rPr>
          <w:lang w:val="fr-FR"/>
        </w:rPr>
        <w:t>séquelles</w:t>
      </w:r>
      <w:r w:rsidRPr="00293268">
        <w:rPr>
          <w:lang w:val="fr-FR"/>
        </w:rPr>
        <w:t xml:space="preserve"> de l</w:t>
      </w:r>
      <w:r>
        <w:rPr>
          <w:lang w:val="fr-FR"/>
        </w:rPr>
        <w:t>’</w:t>
      </w:r>
      <w:r w:rsidRPr="00293268">
        <w:rPr>
          <w:lang w:val="fr-FR"/>
        </w:rPr>
        <w:t>esclavage</w:t>
      </w:r>
      <w:r w:rsidRPr="00CD6B67">
        <w:rPr>
          <w:rStyle w:val="FootnoteReference"/>
        </w:rPr>
        <w:footnoteReference w:id="15"/>
      </w:r>
      <w:r w:rsidRPr="00293268">
        <w:rPr>
          <w:lang w:val="fr-FR"/>
        </w:rPr>
        <w:t>, de la traite transatlantique des Africains réduits en esclavage et du colonialisme.</w:t>
      </w:r>
    </w:p>
    <w:p w14:paraId="4FCF3CD1" w14:textId="77777777" w:rsidR="00865E37" w:rsidRPr="00293268" w:rsidRDefault="00865E37" w:rsidP="00865E37">
      <w:pPr>
        <w:pStyle w:val="SingleTxtG"/>
        <w:rPr>
          <w:lang w:val="fr-FR"/>
        </w:rPr>
      </w:pPr>
      <w:r w:rsidRPr="00293268">
        <w:rPr>
          <w:lang w:val="fr-FR"/>
        </w:rPr>
        <w:t>16.</w:t>
      </w:r>
      <w:r w:rsidRPr="00293268">
        <w:rPr>
          <w:lang w:val="fr-FR"/>
        </w:rPr>
        <w:tab/>
        <w:t>De fait, l</w:t>
      </w:r>
      <w:r>
        <w:rPr>
          <w:lang w:val="fr-FR"/>
        </w:rPr>
        <w:t>a persistance du</w:t>
      </w:r>
      <w:r w:rsidRPr="00293268">
        <w:rPr>
          <w:lang w:val="fr-FR"/>
        </w:rPr>
        <w:t xml:space="preserve"> racisme systémique </w:t>
      </w:r>
      <w:r>
        <w:rPr>
          <w:lang w:val="fr-FR"/>
        </w:rPr>
        <w:t>tient</w:t>
      </w:r>
      <w:r w:rsidRPr="00293268">
        <w:rPr>
          <w:lang w:val="fr-FR"/>
        </w:rPr>
        <w:t xml:space="preserve"> en grande partie</w:t>
      </w:r>
      <w:r>
        <w:rPr>
          <w:lang w:val="fr-FR"/>
        </w:rPr>
        <w:t xml:space="preserve"> à des </w:t>
      </w:r>
      <w:r w:rsidRPr="00293268">
        <w:rPr>
          <w:lang w:val="fr-FR"/>
        </w:rPr>
        <w:t xml:space="preserve">idées </w:t>
      </w:r>
      <w:r>
        <w:rPr>
          <w:lang w:val="fr-FR"/>
        </w:rPr>
        <w:t>fausses</w:t>
      </w:r>
      <w:r w:rsidRPr="00293268">
        <w:rPr>
          <w:lang w:val="fr-FR"/>
        </w:rPr>
        <w:t xml:space="preserve"> selon lesquelles l</w:t>
      </w:r>
      <w:r>
        <w:rPr>
          <w:lang w:val="fr-FR"/>
        </w:rPr>
        <w:t>’</w:t>
      </w:r>
      <w:r w:rsidRPr="00293268">
        <w:rPr>
          <w:lang w:val="fr-FR"/>
        </w:rPr>
        <w:t>abolition de l</w:t>
      </w:r>
      <w:r>
        <w:rPr>
          <w:lang w:val="fr-FR"/>
        </w:rPr>
        <w:t>’</w:t>
      </w:r>
      <w:r w:rsidRPr="00293268">
        <w:rPr>
          <w:lang w:val="fr-FR"/>
        </w:rPr>
        <w:t>esclavage</w:t>
      </w:r>
      <w:r>
        <w:rPr>
          <w:lang w:val="fr-FR"/>
        </w:rPr>
        <w:t xml:space="preserve"> et</w:t>
      </w:r>
      <w:r w:rsidRPr="00293268">
        <w:rPr>
          <w:lang w:val="fr-FR"/>
        </w:rPr>
        <w:t xml:space="preserve"> la fin de la traite transatlantique des Africains réduits en esclavage et du colonialisme, ainsi que les mesures prises par les États jusqu</w:t>
      </w:r>
      <w:r>
        <w:rPr>
          <w:lang w:val="fr-FR"/>
        </w:rPr>
        <w:t>’</w:t>
      </w:r>
      <w:r w:rsidRPr="00293268">
        <w:rPr>
          <w:lang w:val="fr-FR"/>
        </w:rPr>
        <w:t>à aujourd</w:t>
      </w:r>
      <w:r>
        <w:rPr>
          <w:lang w:val="fr-FR"/>
        </w:rPr>
        <w:t>’</w:t>
      </w:r>
      <w:r w:rsidRPr="00293268">
        <w:rPr>
          <w:lang w:val="fr-FR"/>
        </w:rPr>
        <w:t>hui, ont permis d</w:t>
      </w:r>
      <w:r>
        <w:rPr>
          <w:lang w:val="fr-FR"/>
        </w:rPr>
        <w:t>’</w:t>
      </w:r>
      <w:r w:rsidRPr="00293268">
        <w:rPr>
          <w:lang w:val="fr-FR"/>
        </w:rPr>
        <w:t xml:space="preserve">éliminer les structures discriminatoires </w:t>
      </w:r>
      <w:r w:rsidRPr="00DC3AF3">
        <w:rPr>
          <w:lang w:val="fr-FR"/>
        </w:rPr>
        <w:t>sur le plan racial résultant de ces pratiques</w:t>
      </w:r>
      <w:r>
        <w:rPr>
          <w:lang w:val="fr-FR"/>
        </w:rPr>
        <w:t>, de lutter contre les formes contemporaines de discrimination raciale, d’inégalité et de subordination</w:t>
      </w:r>
      <w:r w:rsidRPr="00DC3AF3">
        <w:rPr>
          <w:lang w:val="fr-FR"/>
        </w:rPr>
        <w:t xml:space="preserve"> et de créer des sociétés </w:t>
      </w:r>
      <w:r>
        <w:rPr>
          <w:lang w:val="fr-FR"/>
        </w:rPr>
        <w:t>égalitaires</w:t>
      </w:r>
      <w:r w:rsidRPr="00DC3AF3">
        <w:rPr>
          <w:lang w:val="fr-FR"/>
        </w:rPr>
        <w:t>. Les données et le vécu des Africains et personnes d</w:t>
      </w:r>
      <w:r>
        <w:rPr>
          <w:lang w:val="fr-FR"/>
        </w:rPr>
        <w:t>’</w:t>
      </w:r>
      <w:r w:rsidRPr="00DC3AF3">
        <w:rPr>
          <w:lang w:val="fr-FR"/>
        </w:rPr>
        <w:t>ascendance africaine</w:t>
      </w:r>
      <w:r>
        <w:rPr>
          <w:lang w:val="fr-FR"/>
        </w:rPr>
        <w:t>, partout dans le</w:t>
      </w:r>
      <w:r w:rsidRPr="00DC3AF3">
        <w:rPr>
          <w:lang w:val="fr-FR"/>
        </w:rPr>
        <w:t xml:space="preserve"> monde</w:t>
      </w:r>
      <w:r>
        <w:rPr>
          <w:lang w:val="fr-FR"/>
        </w:rPr>
        <w:t>,</w:t>
      </w:r>
      <w:r w:rsidRPr="00DF4EA0">
        <w:rPr>
          <w:lang w:val="fr-FR"/>
        </w:rPr>
        <w:t xml:space="preserve"> </w:t>
      </w:r>
      <w:r w:rsidRPr="00DC3AF3">
        <w:rPr>
          <w:lang w:val="fr-FR"/>
        </w:rPr>
        <w:t xml:space="preserve">nous rappellent </w:t>
      </w:r>
      <w:r>
        <w:rPr>
          <w:lang w:val="fr-FR"/>
        </w:rPr>
        <w:t>constamment</w:t>
      </w:r>
      <w:r w:rsidRPr="00DC3AF3">
        <w:rPr>
          <w:lang w:val="fr-FR"/>
        </w:rPr>
        <w:t xml:space="preserve"> </w:t>
      </w:r>
      <w:r>
        <w:rPr>
          <w:lang w:val="fr-FR"/>
        </w:rPr>
        <w:t>que le</w:t>
      </w:r>
      <w:r w:rsidRPr="00DC3AF3">
        <w:rPr>
          <w:lang w:val="fr-FR"/>
        </w:rPr>
        <w:t xml:space="preserve"> racisme </w:t>
      </w:r>
      <w:r w:rsidRPr="00224140">
        <w:rPr>
          <w:lang w:val="fr-FR"/>
        </w:rPr>
        <w:t>systémique appelle des réponses systémiques.</w:t>
      </w:r>
    </w:p>
    <w:p w14:paraId="5C5CEFE5" w14:textId="32915881" w:rsidR="00865E37" w:rsidRPr="00293268" w:rsidRDefault="00865E37" w:rsidP="00865E37">
      <w:pPr>
        <w:pStyle w:val="SingleTxtG"/>
        <w:rPr>
          <w:lang w:val="fr-FR"/>
        </w:rPr>
      </w:pPr>
      <w:r w:rsidRPr="00293268">
        <w:rPr>
          <w:lang w:val="fr-FR"/>
        </w:rPr>
        <w:t>17.</w:t>
      </w:r>
      <w:r w:rsidRPr="00293268">
        <w:rPr>
          <w:lang w:val="fr-FR"/>
        </w:rPr>
        <w:tab/>
        <w:t xml:space="preserve">Les communications et les consultations ont mis en évidence </w:t>
      </w:r>
      <w:r>
        <w:rPr>
          <w:lang w:val="fr-FR"/>
        </w:rPr>
        <w:t xml:space="preserve">le fait </w:t>
      </w:r>
      <w:r w:rsidRPr="00293268">
        <w:rPr>
          <w:lang w:val="fr-FR"/>
        </w:rPr>
        <w:t>que les personnes d</w:t>
      </w:r>
      <w:r>
        <w:rPr>
          <w:lang w:val="fr-FR"/>
        </w:rPr>
        <w:t>’</w:t>
      </w:r>
      <w:r w:rsidRPr="00293268">
        <w:rPr>
          <w:lang w:val="fr-FR"/>
        </w:rPr>
        <w:t>ascendance africaine sont victimes de formes de discrimination, de marginalisation et d</w:t>
      </w:r>
      <w:r>
        <w:rPr>
          <w:lang w:val="fr-FR"/>
        </w:rPr>
        <w:t>’</w:t>
      </w:r>
      <w:r w:rsidRPr="00293268">
        <w:rPr>
          <w:lang w:val="fr-FR"/>
        </w:rPr>
        <w:t xml:space="preserve">exclusion raciales qui sont liées </w:t>
      </w:r>
      <w:r w:rsidRPr="00DF4EA0">
        <w:rPr>
          <w:lang w:val="fr-FR"/>
        </w:rPr>
        <w:t>entre elles, se recoupent et s</w:t>
      </w:r>
      <w:r>
        <w:rPr>
          <w:lang w:val="fr-FR"/>
        </w:rPr>
        <w:t>’</w:t>
      </w:r>
      <w:r w:rsidRPr="00DF4EA0">
        <w:rPr>
          <w:lang w:val="fr-FR"/>
        </w:rPr>
        <w:t>additionnent,</w:t>
      </w:r>
      <w:r w:rsidRPr="00293268">
        <w:rPr>
          <w:lang w:val="fr-FR"/>
        </w:rPr>
        <w:t xml:space="preserve"> sont déterminées </w:t>
      </w:r>
      <w:r w:rsidRPr="006131B2">
        <w:rPr>
          <w:spacing w:val="-2"/>
          <w:lang w:val="fr-FR"/>
        </w:rPr>
        <w:t>par des séquelles historiques et se renforcent mutuellement par des cycles d’inégalités structurelles existant depuis des générations. Le racisme systémique dont sont victimes les Africains et les personnes d’ascendance africaine est également déterminé par l’intersectionnalité ou la conjugaison de plusieurs facteurs identitaires, notamment le sexe, l’orientation sexuelle, l’identité de genre, la nationalité, le statut migratoire, le handicap, la religion, la situation socioéconomique et d’autres caractéristiques. Les femmes d’ascendance africaine se situent au carrefour de l’intersectionnalité et des inégalités et sont par conséquent victimes de multiples formes de discrimination résultant de leur origine raciale ou ethnique et de leur sexe, conjuguées à des discriminations et à des stéréotypes néfastes fondés sur le genre</w:t>
      </w:r>
      <w:r w:rsidRPr="006131B2">
        <w:rPr>
          <w:rStyle w:val="FootnoteReference"/>
          <w:spacing w:val="-2"/>
        </w:rPr>
        <w:footnoteReference w:id="16"/>
      </w:r>
      <w:r w:rsidRPr="006131B2">
        <w:rPr>
          <w:spacing w:val="-2"/>
          <w:lang w:val="fr-FR"/>
        </w:rPr>
        <w:t>.</w:t>
      </w:r>
    </w:p>
    <w:p w14:paraId="746C1974" w14:textId="0A5DB23E" w:rsidR="00865E37" w:rsidRPr="00293268" w:rsidRDefault="00865E37" w:rsidP="0041610A">
      <w:pPr>
        <w:pStyle w:val="H1G"/>
        <w:rPr>
          <w:lang w:val="fr-FR"/>
        </w:rPr>
      </w:pPr>
      <w:bookmarkStart w:id="30" w:name="_Toc73734584"/>
      <w:bookmarkStart w:id="31" w:name="_Toc73735285"/>
      <w:bookmarkStart w:id="32" w:name="_Toc73736593"/>
      <w:bookmarkStart w:id="33" w:name="_Toc73736627"/>
      <w:bookmarkStart w:id="34" w:name="_Toc73736833"/>
      <w:bookmarkStart w:id="35" w:name="_Toc73737097"/>
      <w:bookmarkStart w:id="36" w:name="_Toc73737416"/>
      <w:bookmarkStart w:id="37" w:name="_Toc73737458"/>
      <w:bookmarkStart w:id="38" w:name="_Toc73737670"/>
      <w:bookmarkStart w:id="39" w:name="_Toc73738650"/>
      <w:bookmarkStart w:id="40" w:name="_Toc73738819"/>
      <w:bookmarkStart w:id="41" w:name="_Toc73738860"/>
      <w:bookmarkStart w:id="42" w:name="_Toc73734585"/>
      <w:bookmarkStart w:id="43" w:name="_Toc73734586"/>
      <w:bookmarkStart w:id="44" w:name="_Toc73734587"/>
      <w:bookmarkStart w:id="45" w:name="_Toc73734588"/>
      <w:bookmarkStart w:id="46" w:name="_Toc73734589"/>
      <w:bookmarkStart w:id="47" w:name="_Toc73734590"/>
      <w:bookmarkStart w:id="48" w:name="_Toc73734591"/>
      <w:bookmarkStart w:id="49" w:name="_Toc73734592"/>
      <w:bookmarkStart w:id="50" w:name="_Toc73738820"/>
      <w:bookmarkStart w:id="51" w:name="_Toc74078703"/>
      <w:bookmarkStart w:id="52" w:name="_Toc74080632"/>
      <w:bookmarkStart w:id="53" w:name="_Toc75280459"/>
      <w:bookmarkStart w:id="54" w:name="_Toc741736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93268">
        <w:rPr>
          <w:lang w:val="fr-FR"/>
        </w:rPr>
        <w:tab/>
      </w:r>
      <w:r w:rsidRPr="00481DD5">
        <w:rPr>
          <w:lang w:val="fr-FR"/>
        </w:rPr>
        <w:t>B.</w:t>
      </w:r>
      <w:r w:rsidRPr="00481DD5">
        <w:rPr>
          <w:lang w:val="fr-FR"/>
        </w:rPr>
        <w:tab/>
        <w:t xml:space="preserve">Manifestations contemporaines de racisme systémique </w:t>
      </w:r>
      <w:bookmarkEnd w:id="50"/>
      <w:bookmarkEnd w:id="51"/>
      <w:bookmarkEnd w:id="52"/>
      <w:bookmarkEnd w:id="53"/>
      <w:bookmarkEnd w:id="54"/>
      <w:r w:rsidRPr="00481DD5">
        <w:rPr>
          <w:lang w:val="fr-FR"/>
        </w:rPr>
        <w:t xml:space="preserve">à l’égard </w:t>
      </w:r>
      <w:r w:rsidR="0041610A" w:rsidRPr="00481DD5">
        <w:rPr>
          <w:lang w:val="fr-FR"/>
        </w:rPr>
        <w:br/>
      </w:r>
      <w:r w:rsidRPr="00481DD5">
        <w:rPr>
          <w:lang w:val="fr-FR"/>
        </w:rPr>
        <w:t>des Africains et des personnes d’ascendance africaine</w:t>
      </w:r>
    </w:p>
    <w:p w14:paraId="72195B3E" w14:textId="6A3D4E0E" w:rsidR="00865E37" w:rsidRPr="00293268" w:rsidRDefault="00865E37" w:rsidP="00865E37">
      <w:pPr>
        <w:pStyle w:val="SingleTxtG"/>
        <w:rPr>
          <w:lang w:val="fr-FR"/>
        </w:rPr>
      </w:pPr>
      <w:r w:rsidRPr="00293268">
        <w:rPr>
          <w:lang w:val="fr-FR"/>
        </w:rPr>
        <w:t>18.</w:t>
      </w:r>
      <w:r w:rsidRPr="00293268">
        <w:rPr>
          <w:lang w:val="fr-FR"/>
        </w:rPr>
        <w:tab/>
      </w:r>
      <w:r>
        <w:rPr>
          <w:lang w:val="fr-FR"/>
        </w:rPr>
        <w:t>L</w:t>
      </w:r>
      <w:r w:rsidRPr="00293268">
        <w:rPr>
          <w:lang w:val="fr-FR"/>
        </w:rPr>
        <w:t xml:space="preserve">e racisme systémique </w:t>
      </w:r>
      <w:r>
        <w:rPr>
          <w:lang w:val="fr-FR"/>
        </w:rPr>
        <w:t>dont sont victimes</w:t>
      </w:r>
      <w:r w:rsidRPr="008346F7">
        <w:rPr>
          <w:lang w:val="fr-FR"/>
        </w:rPr>
        <w:t xml:space="preserve"> les Africains et les personnes d</w:t>
      </w:r>
      <w:r>
        <w:rPr>
          <w:lang w:val="fr-FR"/>
        </w:rPr>
        <w:t>’</w:t>
      </w:r>
      <w:r w:rsidRPr="008346F7">
        <w:rPr>
          <w:lang w:val="fr-FR"/>
        </w:rPr>
        <w:t>ascendance africaine compromet l</w:t>
      </w:r>
      <w:r>
        <w:rPr>
          <w:lang w:val="fr-FR"/>
        </w:rPr>
        <w:t>’</w:t>
      </w:r>
      <w:r w:rsidRPr="008346F7">
        <w:rPr>
          <w:lang w:val="fr-FR"/>
        </w:rPr>
        <w:t>exercice</w:t>
      </w:r>
      <w:r>
        <w:rPr>
          <w:lang w:val="fr-FR"/>
        </w:rPr>
        <w:t xml:space="preserve"> </w:t>
      </w:r>
      <w:r w:rsidRPr="008346F7">
        <w:rPr>
          <w:lang w:val="fr-FR"/>
        </w:rPr>
        <w:t xml:space="preserve">de leurs droits </w:t>
      </w:r>
      <w:r>
        <w:rPr>
          <w:lang w:val="fr-FR"/>
        </w:rPr>
        <w:t>fondamentaux</w:t>
      </w:r>
      <w:r w:rsidRPr="008346F7">
        <w:rPr>
          <w:lang w:val="fr-FR"/>
        </w:rPr>
        <w:t xml:space="preserve"> </w:t>
      </w:r>
      <w:r w:rsidRPr="0072504D">
        <w:rPr>
          <w:lang w:val="fr-FR"/>
        </w:rPr>
        <w:t>dans tous les domaines</w:t>
      </w:r>
      <w:r w:rsidRPr="00293268">
        <w:rPr>
          <w:lang w:val="fr-FR"/>
        </w:rPr>
        <w:t xml:space="preserve">. </w:t>
      </w:r>
      <w:r>
        <w:rPr>
          <w:lang w:val="fr-FR"/>
        </w:rPr>
        <w:t>Des</w:t>
      </w:r>
      <w:r w:rsidR="00481DD5">
        <w:rPr>
          <w:lang w:val="fr-FR"/>
        </w:rPr>
        <w:t> </w:t>
      </w:r>
      <w:r>
        <w:rPr>
          <w:lang w:val="fr-FR"/>
        </w:rPr>
        <w:t>exemples représentatifs de ces manifestations contemporaines de racisme sont présentés dans les pages qui suivent</w:t>
      </w:r>
      <w:r w:rsidRPr="00293268">
        <w:rPr>
          <w:lang w:val="fr-FR"/>
        </w:rPr>
        <w:t xml:space="preserve">. </w:t>
      </w:r>
      <w:r>
        <w:rPr>
          <w:lang w:val="fr-FR"/>
        </w:rPr>
        <w:t xml:space="preserve">Les informations présentées ci-après sont tirées, entre autres, des communications et consultations, ainsi que des constatations du </w:t>
      </w:r>
      <w:r w:rsidRPr="000F7F44">
        <w:rPr>
          <w:lang w:val="fr-FR"/>
        </w:rPr>
        <w:t>Groupe de travail d</w:t>
      </w:r>
      <w:r>
        <w:rPr>
          <w:lang w:val="fr-FR"/>
        </w:rPr>
        <w:t>’</w:t>
      </w:r>
      <w:r w:rsidRPr="000F7F44">
        <w:rPr>
          <w:lang w:val="fr-FR"/>
        </w:rPr>
        <w:t>experts sur les personnes</w:t>
      </w:r>
      <w:r>
        <w:rPr>
          <w:lang w:val="fr-FR"/>
        </w:rPr>
        <w:t xml:space="preserve"> </w:t>
      </w:r>
      <w:r w:rsidRPr="000F7F44">
        <w:rPr>
          <w:lang w:val="fr-FR"/>
        </w:rPr>
        <w:t>d</w:t>
      </w:r>
      <w:r>
        <w:rPr>
          <w:lang w:val="fr-FR"/>
        </w:rPr>
        <w:t>’</w:t>
      </w:r>
      <w:r w:rsidRPr="000F7F44">
        <w:rPr>
          <w:lang w:val="fr-FR"/>
        </w:rPr>
        <w:t>ascendance africaine</w:t>
      </w:r>
      <w:r w:rsidRPr="00293268">
        <w:rPr>
          <w:lang w:val="fr-FR"/>
        </w:rPr>
        <w:t xml:space="preserve">, </w:t>
      </w:r>
      <w:r>
        <w:rPr>
          <w:lang w:val="fr-FR"/>
        </w:rPr>
        <w:t xml:space="preserve">du </w:t>
      </w:r>
      <w:r w:rsidRPr="0006422D">
        <w:rPr>
          <w:lang w:val="fr-FR"/>
        </w:rPr>
        <w:t>Rapporteur spécial sur les formes contemporaines de racisme, de discrimination raciale, de xénophobie et de l</w:t>
      </w:r>
      <w:r>
        <w:rPr>
          <w:lang w:val="fr-FR"/>
        </w:rPr>
        <w:t>’</w:t>
      </w:r>
      <w:r w:rsidRPr="0006422D">
        <w:rPr>
          <w:lang w:val="fr-FR"/>
        </w:rPr>
        <w:t xml:space="preserve">intolérance qui y est associée </w:t>
      </w:r>
      <w:r>
        <w:rPr>
          <w:lang w:val="fr-FR"/>
        </w:rPr>
        <w:t xml:space="preserve">et du </w:t>
      </w:r>
      <w:r w:rsidRPr="00D97FFE">
        <w:rPr>
          <w:lang w:val="fr-FR"/>
        </w:rPr>
        <w:t>Comité pour l</w:t>
      </w:r>
      <w:r>
        <w:rPr>
          <w:lang w:val="fr-FR"/>
        </w:rPr>
        <w:t>’</w:t>
      </w:r>
      <w:r w:rsidRPr="00D97FFE">
        <w:rPr>
          <w:lang w:val="fr-FR"/>
        </w:rPr>
        <w:t>élimination de la discrimination raciale</w:t>
      </w:r>
      <w:r>
        <w:rPr>
          <w:lang w:val="fr-FR"/>
        </w:rPr>
        <w:t xml:space="preserve">, ainsi que d’autres </w:t>
      </w:r>
      <w:r w:rsidRPr="00763CED">
        <w:rPr>
          <w:lang w:val="fr-FR"/>
        </w:rPr>
        <w:t xml:space="preserve">mécanismes des droits de </w:t>
      </w:r>
      <w:r w:rsidRPr="00DE7F7D">
        <w:rPr>
          <w:lang w:val="fr-FR"/>
        </w:rPr>
        <w:t>l</w:t>
      </w:r>
      <w:r>
        <w:rPr>
          <w:lang w:val="fr-FR"/>
        </w:rPr>
        <w:t>’</w:t>
      </w:r>
      <w:r w:rsidRPr="00DE7F7D">
        <w:rPr>
          <w:lang w:val="fr-FR"/>
        </w:rPr>
        <w:t>homme de l</w:t>
      </w:r>
      <w:r>
        <w:rPr>
          <w:lang w:val="fr-FR"/>
        </w:rPr>
        <w:t>’</w:t>
      </w:r>
      <w:r w:rsidRPr="00DE7F7D">
        <w:rPr>
          <w:lang w:val="fr-FR"/>
        </w:rPr>
        <w:t>ONU</w:t>
      </w:r>
      <w:r w:rsidRPr="00CD6B67">
        <w:rPr>
          <w:rStyle w:val="FootnoteReference"/>
        </w:rPr>
        <w:footnoteReference w:id="17"/>
      </w:r>
      <w:r w:rsidRPr="00DE7F7D">
        <w:rPr>
          <w:lang w:val="fr-FR"/>
        </w:rPr>
        <w:t xml:space="preserve"> et leurs homologues régionaux</w:t>
      </w:r>
      <w:r w:rsidRPr="00CD6B67">
        <w:rPr>
          <w:rStyle w:val="FootnoteReference"/>
        </w:rPr>
        <w:footnoteReference w:id="18"/>
      </w:r>
      <w:r w:rsidRPr="00DE7F7D">
        <w:rPr>
          <w:lang w:val="fr-FR"/>
        </w:rPr>
        <w:t>, et différents</w:t>
      </w:r>
      <w:r w:rsidRPr="00DF4EA0">
        <w:rPr>
          <w:lang w:val="fr-FR"/>
        </w:rPr>
        <w:t xml:space="preserve"> </w:t>
      </w:r>
      <w:r w:rsidRPr="00DE7F7D">
        <w:rPr>
          <w:lang w:val="fr-FR"/>
        </w:rPr>
        <w:t>organismes et programmes des</w:t>
      </w:r>
      <w:r w:rsidRPr="00F106A0">
        <w:rPr>
          <w:lang w:val="fr-FR"/>
        </w:rPr>
        <w:t xml:space="preserve"> Nations Unies</w:t>
      </w:r>
      <w:r w:rsidRPr="00CD6B67">
        <w:rPr>
          <w:rStyle w:val="FootnoteReference"/>
        </w:rPr>
        <w:footnoteReference w:id="19"/>
      </w:r>
      <w:r>
        <w:rPr>
          <w:lang w:val="fr-FR"/>
        </w:rPr>
        <w:t>.</w:t>
      </w:r>
    </w:p>
    <w:p w14:paraId="51CE4D23" w14:textId="77777777" w:rsidR="00865E37" w:rsidRPr="00293268" w:rsidRDefault="00865E37" w:rsidP="00865E37">
      <w:pPr>
        <w:pStyle w:val="SingleTxtG"/>
        <w:rPr>
          <w:lang w:val="fr-FR"/>
        </w:rPr>
      </w:pPr>
      <w:r w:rsidRPr="00293268">
        <w:rPr>
          <w:lang w:val="fr-FR"/>
        </w:rPr>
        <w:t>19.</w:t>
      </w:r>
      <w:r w:rsidRPr="00293268">
        <w:rPr>
          <w:lang w:val="fr-FR"/>
        </w:rPr>
        <w:tab/>
      </w:r>
      <w:r w:rsidRPr="00062993">
        <w:rPr>
          <w:spacing w:val="-2"/>
          <w:lang w:val="fr-FR"/>
        </w:rPr>
        <w:t>Bien que les données soient souvent rares, lorsqu’elles existent, elles brossent un tableau préoccupant de la situation des personnes d’ascendance africaine dans de nombreux pays. Les mécanismes et organes des droits de l’homme de l’ONU et leurs homologues régionaux ont recommandé la collecte et la ventilation de données, notamment par race ou origine ethnique, conformément aux normes internationales en matière de droits de l’homme, afin d’analyser les effets des lois, des politiques et des programmes sur telles ou telles populations, notamment les Africains et les personnes d’ascendance africaine</w:t>
      </w:r>
      <w:r w:rsidRPr="00062993">
        <w:rPr>
          <w:rStyle w:val="FootnoteReference"/>
          <w:spacing w:val="-2"/>
        </w:rPr>
        <w:footnoteReference w:id="20"/>
      </w:r>
      <w:r w:rsidRPr="00062993">
        <w:rPr>
          <w:spacing w:val="-2"/>
          <w:lang w:val="fr-FR"/>
        </w:rPr>
        <w:t>. Cependant, plusieurs États continuent d’être réticents à l’idée de s’engager dans une telle entreprise (voir plus loin).</w:t>
      </w:r>
    </w:p>
    <w:p w14:paraId="72721C0B" w14:textId="77777777" w:rsidR="00865E37" w:rsidRPr="00293268" w:rsidRDefault="00865E37" w:rsidP="00C450DE">
      <w:pPr>
        <w:pStyle w:val="H23G"/>
        <w:rPr>
          <w:lang w:val="fr-FR"/>
        </w:rPr>
      </w:pPr>
      <w:bookmarkStart w:id="55" w:name="_Toc73738821"/>
      <w:bookmarkStart w:id="56" w:name="_Toc74078704"/>
      <w:bookmarkStart w:id="57" w:name="_Toc74080633"/>
      <w:bookmarkStart w:id="58" w:name="_Toc75280460"/>
      <w:bookmarkStart w:id="59" w:name="_Toc74173699"/>
      <w:r w:rsidRPr="00293268">
        <w:rPr>
          <w:lang w:val="fr-FR"/>
        </w:rPr>
        <w:tab/>
        <w:t>1.</w:t>
      </w:r>
      <w:r w:rsidRPr="00293268">
        <w:rPr>
          <w:lang w:val="fr-FR"/>
        </w:rPr>
        <w:tab/>
      </w:r>
      <w:r>
        <w:rPr>
          <w:lang w:val="fr-FR"/>
        </w:rPr>
        <w:t>Marginalisation s</w:t>
      </w:r>
      <w:r w:rsidRPr="00293268">
        <w:rPr>
          <w:lang w:val="fr-FR"/>
        </w:rPr>
        <w:t xml:space="preserve">ocioéconomique </w:t>
      </w:r>
      <w:bookmarkEnd w:id="55"/>
      <w:bookmarkEnd w:id="56"/>
      <w:bookmarkEnd w:id="57"/>
      <w:bookmarkEnd w:id="58"/>
      <w:bookmarkEnd w:id="59"/>
    </w:p>
    <w:p w14:paraId="1EAAB428" w14:textId="1978B2C4" w:rsidR="00865E37" w:rsidRPr="00293268" w:rsidRDefault="00865E37" w:rsidP="00865E37">
      <w:pPr>
        <w:pStyle w:val="SingleTxtG"/>
        <w:rPr>
          <w:lang w:val="fr-FR"/>
        </w:rPr>
      </w:pPr>
      <w:r w:rsidRPr="00293268">
        <w:rPr>
          <w:lang w:val="fr-FR"/>
        </w:rPr>
        <w:t>20.</w:t>
      </w:r>
      <w:r w:rsidRPr="00293268">
        <w:rPr>
          <w:lang w:val="fr-FR"/>
        </w:rPr>
        <w:tab/>
      </w:r>
      <w:r w:rsidRPr="00B9569B">
        <w:rPr>
          <w:lang w:val="fr-FR"/>
        </w:rPr>
        <w:t xml:space="preserve">Dans </w:t>
      </w:r>
      <w:r>
        <w:rPr>
          <w:lang w:val="fr-FR"/>
        </w:rPr>
        <w:t>nombre</w:t>
      </w:r>
      <w:r w:rsidRPr="00B9569B">
        <w:rPr>
          <w:lang w:val="fr-FR"/>
        </w:rPr>
        <w:t xml:space="preserve"> d</w:t>
      </w:r>
      <w:r>
        <w:rPr>
          <w:lang w:val="fr-FR"/>
        </w:rPr>
        <w:t>’</w:t>
      </w:r>
      <w:r w:rsidRPr="00B9569B">
        <w:rPr>
          <w:lang w:val="fr-FR"/>
        </w:rPr>
        <w:t>États et de régions, la vie des personnes d</w:t>
      </w:r>
      <w:r>
        <w:rPr>
          <w:lang w:val="fr-FR"/>
        </w:rPr>
        <w:t>’</w:t>
      </w:r>
      <w:r w:rsidRPr="00B9569B">
        <w:rPr>
          <w:lang w:val="fr-FR"/>
        </w:rPr>
        <w:t xml:space="preserve">ascendance africaine est marquée par une forte marginalisation socioéconomique </w:t>
      </w:r>
      <w:r w:rsidRPr="00293268">
        <w:rPr>
          <w:lang w:val="fr-FR"/>
        </w:rPr>
        <w:t>et politique. Dans les pays où il existe d</w:t>
      </w:r>
      <w:r>
        <w:rPr>
          <w:lang w:val="fr-FR"/>
        </w:rPr>
        <w:t>’</w:t>
      </w:r>
      <w:r w:rsidRPr="00293268">
        <w:rPr>
          <w:lang w:val="fr-FR"/>
        </w:rPr>
        <w:t xml:space="preserve">importantes </w:t>
      </w:r>
      <w:r>
        <w:rPr>
          <w:lang w:val="fr-FR"/>
        </w:rPr>
        <w:t>populations</w:t>
      </w:r>
      <w:r w:rsidRPr="00293268">
        <w:rPr>
          <w:lang w:val="fr-FR"/>
        </w:rPr>
        <w:t xml:space="preserve"> d</w:t>
      </w:r>
      <w:r>
        <w:rPr>
          <w:lang w:val="fr-FR"/>
        </w:rPr>
        <w:t>’</w:t>
      </w:r>
      <w:r w:rsidRPr="00293268">
        <w:rPr>
          <w:lang w:val="fr-FR"/>
        </w:rPr>
        <w:t xml:space="preserve">ascendance africaine, </w:t>
      </w:r>
      <w:r>
        <w:rPr>
          <w:lang w:val="fr-FR"/>
        </w:rPr>
        <w:t>celles-ci</w:t>
      </w:r>
      <w:r w:rsidRPr="00293268">
        <w:rPr>
          <w:lang w:val="fr-FR"/>
        </w:rPr>
        <w:t xml:space="preserve"> sont plus susceptibles de vivre dans la pauvreté ou d</w:t>
      </w:r>
      <w:r>
        <w:rPr>
          <w:lang w:val="fr-FR"/>
        </w:rPr>
        <w:t>’</w:t>
      </w:r>
      <w:r w:rsidRPr="00293268">
        <w:rPr>
          <w:lang w:val="fr-FR"/>
        </w:rPr>
        <w:t xml:space="preserve">y être exposées. </w:t>
      </w:r>
      <w:r w:rsidRPr="004743E8">
        <w:rPr>
          <w:lang w:val="fr-FR"/>
        </w:rPr>
        <w:t xml:space="preserve">En 2018, une </w:t>
      </w:r>
      <w:r>
        <w:rPr>
          <w:lang w:val="fr-FR"/>
        </w:rPr>
        <w:t>étude</w:t>
      </w:r>
      <w:r w:rsidRPr="004743E8">
        <w:rPr>
          <w:lang w:val="fr-FR"/>
        </w:rPr>
        <w:t xml:space="preserve"> menée par le Groupe de la Banque mondiale a </w:t>
      </w:r>
      <w:r>
        <w:rPr>
          <w:lang w:val="fr-FR"/>
        </w:rPr>
        <w:t>révélé</w:t>
      </w:r>
      <w:r w:rsidRPr="004743E8">
        <w:rPr>
          <w:lang w:val="fr-FR"/>
        </w:rPr>
        <w:t xml:space="preserve"> que </w:t>
      </w:r>
      <w:r>
        <w:rPr>
          <w:lang w:val="fr-FR"/>
        </w:rPr>
        <w:t xml:space="preserve">la longue </w:t>
      </w:r>
      <w:r w:rsidRPr="004743E8">
        <w:rPr>
          <w:lang w:val="fr-FR"/>
        </w:rPr>
        <w:t>exclusion historique des personnes d</w:t>
      </w:r>
      <w:r>
        <w:rPr>
          <w:lang w:val="fr-FR"/>
        </w:rPr>
        <w:t>’</w:t>
      </w:r>
      <w:r w:rsidRPr="004743E8">
        <w:rPr>
          <w:lang w:val="fr-FR"/>
        </w:rPr>
        <w:t>ascendance africaine</w:t>
      </w:r>
      <w:r>
        <w:rPr>
          <w:lang w:val="fr-FR"/>
        </w:rPr>
        <w:t>,</w:t>
      </w:r>
      <w:r w:rsidRPr="004743E8">
        <w:rPr>
          <w:lang w:val="fr-FR"/>
        </w:rPr>
        <w:t xml:space="preserve"> </w:t>
      </w:r>
      <w:r>
        <w:rPr>
          <w:lang w:val="fr-FR"/>
        </w:rPr>
        <w:t>conjuguée aux</w:t>
      </w:r>
      <w:r w:rsidRPr="004743E8">
        <w:rPr>
          <w:lang w:val="fr-FR"/>
        </w:rPr>
        <w:t xml:space="preserve"> processus contemporains de discrimination structurelle dont elles sont victimes</w:t>
      </w:r>
      <w:r>
        <w:rPr>
          <w:lang w:val="fr-FR"/>
        </w:rPr>
        <w:t>,</w:t>
      </w:r>
      <w:r w:rsidRPr="004743E8">
        <w:rPr>
          <w:lang w:val="fr-FR"/>
        </w:rPr>
        <w:t xml:space="preserve"> avait eu pour effet d</w:t>
      </w:r>
      <w:r>
        <w:rPr>
          <w:lang w:val="fr-FR"/>
        </w:rPr>
        <w:t>’</w:t>
      </w:r>
      <w:r w:rsidRPr="004743E8">
        <w:rPr>
          <w:lang w:val="fr-FR"/>
        </w:rPr>
        <w:t>en faire l</w:t>
      </w:r>
      <w:r>
        <w:rPr>
          <w:lang w:val="fr-FR"/>
        </w:rPr>
        <w:t>’</w:t>
      </w:r>
      <w:r w:rsidRPr="004743E8">
        <w:rPr>
          <w:lang w:val="fr-FR"/>
        </w:rPr>
        <w:t xml:space="preserve">un des </w:t>
      </w:r>
      <w:r>
        <w:rPr>
          <w:lang w:val="fr-FR"/>
        </w:rPr>
        <w:t>groupes</w:t>
      </w:r>
      <w:r w:rsidRPr="004743E8">
        <w:rPr>
          <w:lang w:val="fr-FR"/>
        </w:rPr>
        <w:t xml:space="preserve"> de la population les plus durablement pauvres d</w:t>
      </w:r>
      <w:r>
        <w:rPr>
          <w:lang w:val="fr-FR"/>
        </w:rPr>
        <w:t>’</w:t>
      </w:r>
      <w:r w:rsidRPr="004743E8">
        <w:rPr>
          <w:lang w:val="fr-FR"/>
        </w:rPr>
        <w:t>Amérique latine</w:t>
      </w:r>
      <w:r w:rsidRPr="00293268">
        <w:rPr>
          <w:lang w:val="fr-FR"/>
        </w:rPr>
        <w:t xml:space="preserve">. </w:t>
      </w:r>
      <w:r>
        <w:rPr>
          <w:lang w:val="fr-FR"/>
        </w:rPr>
        <w:t>Ces personnes</w:t>
      </w:r>
      <w:r w:rsidRPr="00C75DB2">
        <w:rPr>
          <w:lang w:val="fr-FR"/>
        </w:rPr>
        <w:t xml:space="preserve"> </w:t>
      </w:r>
      <w:r w:rsidRPr="00C8398C">
        <w:rPr>
          <w:lang w:val="fr-FR"/>
        </w:rPr>
        <w:t xml:space="preserve">couraient </w:t>
      </w:r>
      <w:r>
        <w:rPr>
          <w:lang w:val="fr-FR"/>
        </w:rPr>
        <w:t xml:space="preserve">en effet </w:t>
      </w:r>
      <w:r w:rsidRPr="00C8398C">
        <w:rPr>
          <w:lang w:val="fr-FR"/>
        </w:rPr>
        <w:t>un risque 2,5</w:t>
      </w:r>
      <w:r w:rsidR="00982FDC">
        <w:rPr>
          <w:lang w:val="fr-FR"/>
        </w:rPr>
        <w:t> </w:t>
      </w:r>
      <w:r w:rsidRPr="00C8398C">
        <w:rPr>
          <w:lang w:val="fr-FR"/>
        </w:rPr>
        <w:t>fois plus élevé que les autres</w:t>
      </w:r>
      <w:r w:rsidRPr="00C75DB2">
        <w:rPr>
          <w:lang w:val="fr-FR"/>
        </w:rPr>
        <w:t xml:space="preserve"> </w:t>
      </w:r>
      <w:r w:rsidRPr="00CC5956">
        <w:rPr>
          <w:lang w:val="fr-FR"/>
        </w:rPr>
        <w:t xml:space="preserve">de vivre dans </w:t>
      </w:r>
      <w:r>
        <w:rPr>
          <w:lang w:val="fr-FR"/>
        </w:rPr>
        <w:t>une</w:t>
      </w:r>
      <w:r w:rsidRPr="00CC5956">
        <w:rPr>
          <w:lang w:val="fr-FR"/>
        </w:rPr>
        <w:t xml:space="preserve"> pauvreté chronique</w:t>
      </w:r>
      <w:r w:rsidRPr="00CD6B67">
        <w:rPr>
          <w:rStyle w:val="FootnoteReference"/>
        </w:rPr>
        <w:footnoteReference w:id="21"/>
      </w:r>
      <w:r>
        <w:rPr>
          <w:lang w:val="fr-FR"/>
        </w:rPr>
        <w:t>,</w:t>
      </w:r>
      <w:r w:rsidRPr="00293268">
        <w:rPr>
          <w:lang w:val="fr-FR"/>
        </w:rPr>
        <w:t xml:space="preserve"> </w:t>
      </w:r>
      <w:r w:rsidRPr="0090584B">
        <w:rPr>
          <w:lang w:val="fr-FR"/>
        </w:rPr>
        <w:t>tandis que les femmes d</w:t>
      </w:r>
      <w:r>
        <w:rPr>
          <w:lang w:val="fr-FR"/>
        </w:rPr>
        <w:t>’</w:t>
      </w:r>
      <w:r w:rsidRPr="0090584B">
        <w:rPr>
          <w:lang w:val="fr-FR"/>
        </w:rPr>
        <w:t xml:space="preserve">ascendance africaine </w:t>
      </w:r>
      <w:r>
        <w:rPr>
          <w:lang w:val="fr-FR"/>
        </w:rPr>
        <w:t>vivaient dans une plus grande</w:t>
      </w:r>
      <w:r w:rsidRPr="0090584B">
        <w:rPr>
          <w:lang w:val="fr-FR"/>
        </w:rPr>
        <w:t xml:space="preserve"> pauvreté que le reste de la population</w:t>
      </w:r>
      <w:r w:rsidRPr="00CD6B67">
        <w:rPr>
          <w:rStyle w:val="FootnoteReference"/>
        </w:rPr>
        <w:footnoteReference w:id="22"/>
      </w:r>
      <w:r>
        <w:rPr>
          <w:lang w:val="fr-FR"/>
        </w:rPr>
        <w:t>.</w:t>
      </w:r>
      <w:r w:rsidRPr="00293268">
        <w:rPr>
          <w:lang w:val="fr-FR"/>
        </w:rPr>
        <w:t xml:space="preserve"> </w:t>
      </w:r>
      <w:r w:rsidRPr="004B07B2">
        <w:rPr>
          <w:lang w:val="fr-FR"/>
        </w:rPr>
        <w:t>Ainsi, un rapport de 2018 a souligné que la probabilité d</w:t>
      </w:r>
      <w:r>
        <w:rPr>
          <w:lang w:val="fr-FR"/>
        </w:rPr>
        <w:t>’</w:t>
      </w:r>
      <w:r w:rsidRPr="004B07B2">
        <w:rPr>
          <w:lang w:val="fr-FR"/>
        </w:rPr>
        <w:t xml:space="preserve">être pauvre au Brésil, en Colombie, en Équateur et en Uruguay est </w:t>
      </w:r>
      <w:r>
        <w:rPr>
          <w:lang w:val="fr-FR"/>
        </w:rPr>
        <w:t>entre</w:t>
      </w:r>
      <w:r w:rsidRPr="004B07B2">
        <w:rPr>
          <w:lang w:val="fr-FR"/>
        </w:rPr>
        <w:t xml:space="preserve"> 4 </w:t>
      </w:r>
      <w:r>
        <w:rPr>
          <w:lang w:val="fr-FR"/>
        </w:rPr>
        <w:t>et</w:t>
      </w:r>
      <w:r w:rsidRPr="004B07B2">
        <w:rPr>
          <w:lang w:val="fr-FR"/>
        </w:rPr>
        <w:t xml:space="preserve"> 7</w:t>
      </w:r>
      <w:r w:rsidR="00E53DDC">
        <w:rPr>
          <w:lang w:val="fr-FR"/>
        </w:rPr>
        <w:t> %</w:t>
      </w:r>
      <w:r w:rsidRPr="004B07B2">
        <w:rPr>
          <w:lang w:val="fr-FR"/>
        </w:rPr>
        <w:t xml:space="preserve"> plus élevée pour les personnes d</w:t>
      </w:r>
      <w:r>
        <w:rPr>
          <w:lang w:val="fr-FR"/>
        </w:rPr>
        <w:t>’</w:t>
      </w:r>
      <w:r w:rsidRPr="004B07B2">
        <w:rPr>
          <w:lang w:val="fr-FR"/>
        </w:rPr>
        <w:t>ascendance</w:t>
      </w:r>
      <w:r>
        <w:rPr>
          <w:lang w:val="fr-FR"/>
        </w:rPr>
        <w:t xml:space="preserve"> </w:t>
      </w:r>
      <w:r w:rsidRPr="004B07B2">
        <w:rPr>
          <w:lang w:val="fr-FR"/>
        </w:rPr>
        <w:t>africaine</w:t>
      </w:r>
      <w:r>
        <w:rPr>
          <w:lang w:val="fr-FR"/>
        </w:rPr>
        <w:t xml:space="preserve"> que pour les autres</w:t>
      </w:r>
      <w:r w:rsidRPr="004B07B2">
        <w:rPr>
          <w:lang w:val="fr-FR"/>
        </w:rPr>
        <w:t>, tandis qu</w:t>
      </w:r>
      <w:r>
        <w:rPr>
          <w:lang w:val="fr-FR"/>
        </w:rPr>
        <w:t>’</w:t>
      </w:r>
      <w:r w:rsidRPr="004B07B2">
        <w:rPr>
          <w:lang w:val="fr-FR"/>
        </w:rPr>
        <w:t>en Uruguay, les enfants d</w:t>
      </w:r>
      <w:r>
        <w:rPr>
          <w:lang w:val="fr-FR"/>
        </w:rPr>
        <w:t>’</w:t>
      </w:r>
      <w:r w:rsidRPr="004B07B2">
        <w:rPr>
          <w:lang w:val="fr-FR"/>
        </w:rPr>
        <w:t>ascendance africaine connaissent des taux de pauvreté plus élevés et des niveaux de vie inférieurs</w:t>
      </w:r>
      <w:r w:rsidRPr="00CD6B67">
        <w:rPr>
          <w:rStyle w:val="FootnoteReference"/>
        </w:rPr>
        <w:footnoteReference w:id="23"/>
      </w:r>
      <w:r>
        <w:rPr>
          <w:lang w:val="fr-FR"/>
        </w:rPr>
        <w:t>.</w:t>
      </w:r>
      <w:r w:rsidRPr="00293268">
        <w:rPr>
          <w:lang w:val="fr-FR"/>
        </w:rPr>
        <w:t xml:space="preserve"> </w:t>
      </w:r>
      <w:r w:rsidRPr="008B275E">
        <w:rPr>
          <w:lang w:val="fr-FR"/>
        </w:rPr>
        <w:t>Des constatations similaires ont été faites dans des pays d</w:t>
      </w:r>
      <w:r>
        <w:rPr>
          <w:lang w:val="fr-FR"/>
        </w:rPr>
        <w:t>’</w:t>
      </w:r>
      <w:r w:rsidRPr="008B275E">
        <w:rPr>
          <w:lang w:val="fr-FR"/>
        </w:rPr>
        <w:t xml:space="preserve">autres régions, </w:t>
      </w:r>
      <w:r>
        <w:rPr>
          <w:lang w:val="fr-FR"/>
        </w:rPr>
        <w:t xml:space="preserve">comme </w:t>
      </w:r>
      <w:r w:rsidRPr="008B275E">
        <w:rPr>
          <w:lang w:val="fr-FR"/>
        </w:rPr>
        <w:t>au Portugal</w:t>
      </w:r>
      <w:r w:rsidRPr="00CD6B67">
        <w:rPr>
          <w:rStyle w:val="FootnoteReference"/>
        </w:rPr>
        <w:footnoteReference w:id="24"/>
      </w:r>
      <w:r>
        <w:rPr>
          <w:lang w:val="fr-FR"/>
        </w:rPr>
        <w:t>, et</w:t>
      </w:r>
      <w:r w:rsidRPr="00293268">
        <w:rPr>
          <w:lang w:val="fr-FR"/>
        </w:rPr>
        <w:t xml:space="preserve"> </w:t>
      </w:r>
      <w:r>
        <w:rPr>
          <w:lang w:val="fr-FR"/>
        </w:rPr>
        <w:t>d</w:t>
      </w:r>
      <w:r w:rsidRPr="006A3E9C">
        <w:rPr>
          <w:lang w:val="fr-FR"/>
        </w:rPr>
        <w:t xml:space="preserve">es préoccupations </w:t>
      </w:r>
      <w:r>
        <w:rPr>
          <w:lang w:val="fr-FR"/>
        </w:rPr>
        <w:t>identiques</w:t>
      </w:r>
      <w:r w:rsidRPr="006A3E9C">
        <w:rPr>
          <w:lang w:val="fr-FR"/>
        </w:rPr>
        <w:t xml:space="preserve"> ont été soulevées </w:t>
      </w:r>
      <w:r w:rsidRPr="00EB53B8">
        <w:rPr>
          <w:lang w:val="fr-FR"/>
        </w:rPr>
        <w:t xml:space="preserve">dans </w:t>
      </w:r>
      <w:r>
        <w:rPr>
          <w:lang w:val="fr-FR"/>
        </w:rPr>
        <w:t>d</w:t>
      </w:r>
      <w:r w:rsidRPr="00EB53B8">
        <w:rPr>
          <w:lang w:val="fr-FR"/>
        </w:rPr>
        <w:t xml:space="preserve">es </w:t>
      </w:r>
      <w:r>
        <w:rPr>
          <w:lang w:val="fr-FR"/>
        </w:rPr>
        <w:t>pays</w:t>
      </w:r>
      <w:r w:rsidRPr="00EB53B8">
        <w:rPr>
          <w:lang w:val="fr-FR"/>
        </w:rPr>
        <w:t xml:space="preserve"> où </w:t>
      </w:r>
      <w:r>
        <w:rPr>
          <w:lang w:val="fr-FR"/>
        </w:rPr>
        <w:t xml:space="preserve">les personnes </w:t>
      </w:r>
      <w:r w:rsidRPr="00EB53B8">
        <w:rPr>
          <w:lang w:val="fr-FR"/>
        </w:rPr>
        <w:t>d</w:t>
      </w:r>
      <w:r>
        <w:rPr>
          <w:lang w:val="fr-FR"/>
        </w:rPr>
        <w:t>’</w:t>
      </w:r>
      <w:r w:rsidRPr="00EB53B8">
        <w:rPr>
          <w:lang w:val="fr-FR"/>
        </w:rPr>
        <w:t>ascendance africaine</w:t>
      </w:r>
      <w:r>
        <w:rPr>
          <w:lang w:val="fr-FR"/>
        </w:rPr>
        <w:t xml:space="preserve"> sont peu nombreuses</w:t>
      </w:r>
      <w:r w:rsidRPr="00293268">
        <w:rPr>
          <w:lang w:val="fr-FR"/>
        </w:rPr>
        <w:t xml:space="preserve">. </w:t>
      </w:r>
      <w:r w:rsidRPr="00817EAB">
        <w:rPr>
          <w:lang w:val="fr-FR"/>
        </w:rPr>
        <w:t>En 2017, par exemple, les personnes d</w:t>
      </w:r>
      <w:r>
        <w:rPr>
          <w:lang w:val="fr-FR"/>
        </w:rPr>
        <w:t>’</w:t>
      </w:r>
      <w:r w:rsidRPr="00817EAB">
        <w:rPr>
          <w:lang w:val="fr-FR"/>
        </w:rPr>
        <w:t xml:space="preserve">ascendance africaine </w:t>
      </w:r>
      <w:r>
        <w:rPr>
          <w:lang w:val="fr-FR"/>
        </w:rPr>
        <w:t xml:space="preserve">vivant </w:t>
      </w:r>
      <w:r w:rsidRPr="00817EAB">
        <w:rPr>
          <w:lang w:val="fr-FR"/>
        </w:rPr>
        <w:t>en Arabie saoudite ont été victimes de discrimination dans l</w:t>
      </w:r>
      <w:r>
        <w:rPr>
          <w:lang w:val="fr-FR"/>
        </w:rPr>
        <w:t>’</w:t>
      </w:r>
      <w:r w:rsidRPr="00817EAB">
        <w:rPr>
          <w:lang w:val="fr-FR"/>
        </w:rPr>
        <w:t>accès au logement, à l</w:t>
      </w:r>
      <w:r>
        <w:rPr>
          <w:lang w:val="fr-FR"/>
        </w:rPr>
        <w:t>’</w:t>
      </w:r>
      <w:r w:rsidRPr="00817EAB">
        <w:rPr>
          <w:lang w:val="fr-FR"/>
        </w:rPr>
        <w:t>éducation, aux soins de santé et à l</w:t>
      </w:r>
      <w:r>
        <w:rPr>
          <w:lang w:val="fr-FR"/>
        </w:rPr>
        <w:t>’</w:t>
      </w:r>
      <w:r w:rsidRPr="00817EAB">
        <w:rPr>
          <w:lang w:val="fr-FR"/>
        </w:rPr>
        <w:t>emploi, ainsi que de racisme au sein de la société</w:t>
      </w:r>
      <w:r w:rsidRPr="00CD6B67">
        <w:rPr>
          <w:rStyle w:val="FootnoteReference"/>
        </w:rPr>
        <w:footnoteReference w:id="25"/>
      </w:r>
      <w:r>
        <w:rPr>
          <w:lang w:val="fr-FR"/>
        </w:rPr>
        <w:t>.</w:t>
      </w:r>
    </w:p>
    <w:p w14:paraId="15CE1436" w14:textId="370DF888" w:rsidR="00865E37" w:rsidRPr="00293268" w:rsidRDefault="00865E37" w:rsidP="00865E37">
      <w:pPr>
        <w:pStyle w:val="SingleTxtG"/>
        <w:rPr>
          <w:lang w:val="fr-FR"/>
        </w:rPr>
      </w:pPr>
      <w:r w:rsidRPr="00293268">
        <w:rPr>
          <w:lang w:val="fr-FR"/>
        </w:rPr>
        <w:t>21.</w:t>
      </w:r>
      <w:r w:rsidRPr="00293268">
        <w:rPr>
          <w:lang w:val="fr-FR"/>
        </w:rPr>
        <w:tab/>
      </w:r>
      <w:r w:rsidRPr="007330B9">
        <w:rPr>
          <w:lang w:val="fr-FR"/>
        </w:rPr>
        <w:t>En 2019, selon le Bureau du recensement des États-Unis, les Noirs continu</w:t>
      </w:r>
      <w:r w:rsidR="00252C2A">
        <w:rPr>
          <w:lang w:val="fr-FR"/>
        </w:rPr>
        <w:t>ai</w:t>
      </w:r>
      <w:r>
        <w:rPr>
          <w:lang w:val="fr-FR"/>
        </w:rPr>
        <w:t>en</w:t>
      </w:r>
      <w:r w:rsidRPr="007330B9">
        <w:rPr>
          <w:lang w:val="fr-FR"/>
        </w:rPr>
        <w:t>t d</w:t>
      </w:r>
      <w:r>
        <w:rPr>
          <w:lang w:val="fr-FR"/>
        </w:rPr>
        <w:t>’</w:t>
      </w:r>
      <w:r w:rsidRPr="007330B9">
        <w:rPr>
          <w:lang w:val="fr-FR"/>
        </w:rPr>
        <w:t>être surreprésentés dans la population en situation de pauvreté</w:t>
      </w:r>
      <w:r>
        <w:rPr>
          <w:lang w:val="fr-FR"/>
        </w:rPr>
        <w:t>,</w:t>
      </w:r>
      <w:r w:rsidRPr="007330B9">
        <w:rPr>
          <w:lang w:val="fr-FR"/>
        </w:rPr>
        <w:t xml:space="preserve"> </w:t>
      </w:r>
      <w:r>
        <w:rPr>
          <w:lang w:val="fr-FR"/>
        </w:rPr>
        <w:t xml:space="preserve">par rapport </w:t>
      </w:r>
      <w:r w:rsidRPr="007330B9">
        <w:rPr>
          <w:lang w:val="fr-FR"/>
        </w:rPr>
        <w:t>à leur représentation dans l</w:t>
      </w:r>
      <w:r>
        <w:rPr>
          <w:lang w:val="fr-FR"/>
        </w:rPr>
        <w:t>’</w:t>
      </w:r>
      <w:r w:rsidRPr="007330B9">
        <w:rPr>
          <w:lang w:val="fr-FR"/>
        </w:rPr>
        <w:t>ensemble de la population et alors qu</w:t>
      </w:r>
      <w:r>
        <w:rPr>
          <w:lang w:val="fr-FR"/>
        </w:rPr>
        <w:t>’</w:t>
      </w:r>
      <w:r w:rsidRPr="007330B9">
        <w:rPr>
          <w:lang w:val="fr-FR"/>
        </w:rPr>
        <w:t>ils constituaient 13,2</w:t>
      </w:r>
      <w:r w:rsidR="00E53DDC">
        <w:rPr>
          <w:lang w:val="fr-FR"/>
        </w:rPr>
        <w:t> %</w:t>
      </w:r>
      <w:r w:rsidRPr="007330B9">
        <w:rPr>
          <w:lang w:val="fr-FR"/>
        </w:rPr>
        <w:t xml:space="preserve"> de la population totale, ils représentaient 23,8</w:t>
      </w:r>
      <w:r w:rsidR="00E53DDC">
        <w:rPr>
          <w:lang w:val="fr-FR"/>
        </w:rPr>
        <w:t> %</w:t>
      </w:r>
      <w:r w:rsidRPr="007330B9">
        <w:rPr>
          <w:lang w:val="fr-FR"/>
        </w:rPr>
        <w:t xml:space="preserve"> des personnes </w:t>
      </w:r>
      <w:r>
        <w:rPr>
          <w:lang w:val="fr-FR"/>
        </w:rPr>
        <w:t>démunies</w:t>
      </w:r>
      <w:r w:rsidRPr="00CD6B67">
        <w:rPr>
          <w:rStyle w:val="FootnoteReference"/>
        </w:rPr>
        <w:footnoteReference w:id="26"/>
      </w:r>
      <w:r>
        <w:rPr>
          <w:lang w:val="fr-FR"/>
        </w:rPr>
        <w:t>.</w:t>
      </w:r>
      <w:r w:rsidRPr="00293268">
        <w:rPr>
          <w:lang w:val="fr-FR"/>
        </w:rPr>
        <w:t xml:space="preserve"> </w:t>
      </w:r>
      <w:r w:rsidRPr="00C31032">
        <w:rPr>
          <w:lang w:val="fr-FR"/>
        </w:rPr>
        <w:t xml:space="preserve">En outre, en 2015, la situation de pauvreté </w:t>
      </w:r>
      <w:r w:rsidRPr="00341566">
        <w:rPr>
          <w:lang w:val="fr-FR"/>
        </w:rPr>
        <w:t xml:space="preserve">structurelle </w:t>
      </w:r>
      <w:r w:rsidRPr="00C31032">
        <w:rPr>
          <w:lang w:val="fr-FR"/>
        </w:rPr>
        <w:t>dans laquelle viv</w:t>
      </w:r>
      <w:r w:rsidRPr="00CE6D21">
        <w:rPr>
          <w:lang w:val="fr-FR"/>
        </w:rPr>
        <w:t>aient</w:t>
      </w:r>
      <w:r w:rsidRPr="00C31032">
        <w:rPr>
          <w:lang w:val="fr-FR"/>
        </w:rPr>
        <w:t xml:space="preserve"> de nombreux Afro-Américains était au cœur de leur surreprésentation dans les arrestations, le système carcéral et les inégalité</w:t>
      </w:r>
      <w:r>
        <w:rPr>
          <w:lang w:val="fr-FR"/>
        </w:rPr>
        <w:t>s</w:t>
      </w:r>
      <w:r w:rsidRPr="00C31032">
        <w:rPr>
          <w:lang w:val="fr-FR"/>
        </w:rPr>
        <w:t xml:space="preserve"> d</w:t>
      </w:r>
      <w:r>
        <w:rPr>
          <w:lang w:val="fr-FR"/>
        </w:rPr>
        <w:t>’</w:t>
      </w:r>
      <w:r w:rsidRPr="00C31032">
        <w:rPr>
          <w:lang w:val="fr-FR"/>
        </w:rPr>
        <w:t>accès à la justice (voir sect</w:t>
      </w:r>
      <w:r w:rsidR="00284DBD">
        <w:rPr>
          <w:lang w:val="fr-FR"/>
        </w:rPr>
        <w:t>. </w:t>
      </w:r>
      <w:r w:rsidRPr="00C31032">
        <w:rPr>
          <w:lang w:val="fr-FR"/>
        </w:rPr>
        <w:t>III</w:t>
      </w:r>
      <w:r w:rsidRPr="00293268">
        <w:rPr>
          <w:lang w:val="fr-FR"/>
        </w:rPr>
        <w:t>)</w:t>
      </w:r>
      <w:r w:rsidRPr="00CD6B67">
        <w:rPr>
          <w:rStyle w:val="FootnoteReference"/>
        </w:rPr>
        <w:footnoteReference w:id="27"/>
      </w:r>
      <w:r>
        <w:rPr>
          <w:lang w:val="fr-FR"/>
        </w:rPr>
        <w:t>.</w:t>
      </w:r>
      <w:r w:rsidRPr="00293268">
        <w:rPr>
          <w:lang w:val="fr-FR"/>
        </w:rPr>
        <w:t xml:space="preserve"> </w:t>
      </w:r>
      <w:r w:rsidRPr="001436C2">
        <w:rPr>
          <w:lang w:val="fr-FR"/>
        </w:rPr>
        <w:t>En Europe, 55</w:t>
      </w:r>
      <w:r w:rsidR="00E53DDC">
        <w:rPr>
          <w:lang w:val="fr-FR"/>
        </w:rPr>
        <w:t> %</w:t>
      </w:r>
      <w:r w:rsidRPr="001436C2">
        <w:rPr>
          <w:lang w:val="fr-FR"/>
        </w:rPr>
        <w:t xml:space="preserve"> des personnes d</w:t>
      </w:r>
      <w:r>
        <w:rPr>
          <w:lang w:val="fr-FR"/>
        </w:rPr>
        <w:t>’</w:t>
      </w:r>
      <w:r w:rsidRPr="001436C2">
        <w:rPr>
          <w:lang w:val="fr-FR"/>
        </w:rPr>
        <w:t>ascendance africaine interrogées dans le cadre d</w:t>
      </w:r>
      <w:r>
        <w:rPr>
          <w:lang w:val="fr-FR"/>
        </w:rPr>
        <w:t>’</w:t>
      </w:r>
      <w:r w:rsidRPr="001436C2">
        <w:rPr>
          <w:lang w:val="fr-FR"/>
        </w:rPr>
        <w:t>une enquête menée en 2018 par l</w:t>
      </w:r>
      <w:r>
        <w:rPr>
          <w:lang w:val="fr-FR"/>
        </w:rPr>
        <w:t>’</w:t>
      </w:r>
      <w:r w:rsidRPr="001436C2">
        <w:rPr>
          <w:lang w:val="fr-FR"/>
        </w:rPr>
        <w:t>Agence des droits fondamentaux de l</w:t>
      </w:r>
      <w:r>
        <w:rPr>
          <w:lang w:val="fr-FR"/>
        </w:rPr>
        <w:t>’</w:t>
      </w:r>
      <w:r w:rsidRPr="001436C2">
        <w:rPr>
          <w:lang w:val="fr-FR"/>
        </w:rPr>
        <w:t xml:space="preserve">Union européenne </w:t>
      </w:r>
      <w:r>
        <w:rPr>
          <w:lang w:val="fr-FR"/>
        </w:rPr>
        <w:t>(UE) disposai</w:t>
      </w:r>
      <w:r w:rsidRPr="001436C2">
        <w:rPr>
          <w:lang w:val="fr-FR"/>
        </w:rPr>
        <w:t xml:space="preserve">ent </w:t>
      </w:r>
      <w:r>
        <w:rPr>
          <w:lang w:val="fr-FR"/>
        </w:rPr>
        <w:t>d’</w:t>
      </w:r>
      <w:r w:rsidRPr="001436C2">
        <w:rPr>
          <w:lang w:val="fr-FR"/>
        </w:rPr>
        <w:t>un revenu familial inférieur au seuil de pauvreté</w:t>
      </w:r>
      <w:r w:rsidRPr="00CD6B67">
        <w:rPr>
          <w:rStyle w:val="FootnoteReference"/>
        </w:rPr>
        <w:footnoteReference w:id="28"/>
      </w:r>
      <w:r>
        <w:rPr>
          <w:lang w:val="fr-FR"/>
        </w:rPr>
        <w:t>.</w:t>
      </w:r>
      <w:r w:rsidRPr="00293268">
        <w:rPr>
          <w:lang w:val="fr-FR"/>
        </w:rPr>
        <w:t xml:space="preserve"> </w:t>
      </w:r>
    </w:p>
    <w:p w14:paraId="1DEA1F81" w14:textId="301D68BE" w:rsidR="00865E37" w:rsidRPr="00293268" w:rsidRDefault="00865E37" w:rsidP="00865E37">
      <w:pPr>
        <w:pStyle w:val="SingleTxtG"/>
        <w:rPr>
          <w:lang w:val="fr-FR"/>
        </w:rPr>
      </w:pPr>
      <w:r w:rsidRPr="00293268">
        <w:rPr>
          <w:lang w:val="fr-FR"/>
        </w:rPr>
        <w:t>22.</w:t>
      </w:r>
      <w:r w:rsidRPr="00293268">
        <w:rPr>
          <w:lang w:val="fr-FR"/>
        </w:rPr>
        <w:tab/>
      </w:r>
      <w:r w:rsidRPr="003A7412">
        <w:rPr>
          <w:lang w:val="fr-FR"/>
        </w:rPr>
        <w:t>Dans les pays et régions où</w:t>
      </w:r>
      <w:r>
        <w:rPr>
          <w:lang w:val="fr-FR"/>
        </w:rPr>
        <w:t xml:space="preserve"> vivent</w:t>
      </w:r>
      <w:r w:rsidRPr="003A7412">
        <w:rPr>
          <w:lang w:val="fr-FR"/>
        </w:rPr>
        <w:t xml:space="preserve"> </w:t>
      </w:r>
      <w:r>
        <w:rPr>
          <w:lang w:val="fr-FR"/>
        </w:rPr>
        <w:t>de nombreuses personnes</w:t>
      </w:r>
      <w:r w:rsidRPr="003A7412">
        <w:rPr>
          <w:lang w:val="fr-FR"/>
        </w:rPr>
        <w:t xml:space="preserve"> d</w:t>
      </w:r>
      <w:r>
        <w:rPr>
          <w:lang w:val="fr-FR"/>
        </w:rPr>
        <w:t>’</w:t>
      </w:r>
      <w:r w:rsidRPr="003A7412">
        <w:rPr>
          <w:lang w:val="fr-FR"/>
        </w:rPr>
        <w:t xml:space="preserve">ascendance africaine, </w:t>
      </w:r>
      <w:r>
        <w:rPr>
          <w:lang w:val="fr-FR"/>
        </w:rPr>
        <w:t>celles</w:t>
      </w:r>
      <w:r w:rsidR="002B4082">
        <w:rPr>
          <w:lang w:val="fr-FR"/>
        </w:rPr>
        <w:noBreakHyphen/>
      </w:r>
      <w:r>
        <w:rPr>
          <w:lang w:val="fr-FR"/>
        </w:rPr>
        <w:t>ci</w:t>
      </w:r>
      <w:r w:rsidRPr="003A7412">
        <w:rPr>
          <w:lang w:val="fr-FR"/>
        </w:rPr>
        <w:t xml:space="preserve"> sont plus susceptibles </w:t>
      </w:r>
      <w:r w:rsidRPr="00943592">
        <w:rPr>
          <w:lang w:val="fr-FR"/>
        </w:rPr>
        <w:t>d</w:t>
      </w:r>
      <w:r>
        <w:rPr>
          <w:lang w:val="fr-FR"/>
        </w:rPr>
        <w:t>’</w:t>
      </w:r>
      <w:r w:rsidRPr="00943592">
        <w:rPr>
          <w:lang w:val="fr-FR"/>
        </w:rPr>
        <w:t>afficher des taux de chômage disproportionnés</w:t>
      </w:r>
      <w:r w:rsidRPr="003A7412">
        <w:rPr>
          <w:lang w:val="fr-FR"/>
        </w:rPr>
        <w:t xml:space="preserve">, </w:t>
      </w:r>
      <w:r>
        <w:rPr>
          <w:lang w:val="fr-FR"/>
        </w:rPr>
        <w:t>d’être moins bien rémunérées</w:t>
      </w:r>
      <w:r w:rsidRPr="003A7412">
        <w:rPr>
          <w:lang w:val="fr-FR"/>
        </w:rPr>
        <w:t xml:space="preserve"> et d</w:t>
      </w:r>
      <w:r>
        <w:rPr>
          <w:lang w:val="fr-FR"/>
        </w:rPr>
        <w:t>’</w:t>
      </w:r>
      <w:r w:rsidRPr="003A7412">
        <w:rPr>
          <w:lang w:val="fr-FR"/>
        </w:rPr>
        <w:t>occuper des postes moins qualifiés</w:t>
      </w:r>
      <w:r>
        <w:rPr>
          <w:lang w:val="fr-FR"/>
        </w:rPr>
        <w:t>, en plus d’être</w:t>
      </w:r>
      <w:r w:rsidRPr="003A7412">
        <w:rPr>
          <w:lang w:val="fr-FR"/>
        </w:rPr>
        <w:t xml:space="preserve"> sous</w:t>
      </w:r>
      <w:r w:rsidR="002B4082">
        <w:rPr>
          <w:lang w:val="fr-FR"/>
        </w:rPr>
        <w:noBreakHyphen/>
      </w:r>
      <w:r w:rsidRPr="003A7412">
        <w:rPr>
          <w:lang w:val="fr-FR"/>
        </w:rPr>
        <w:t>représentées aux postes de direction</w:t>
      </w:r>
      <w:r w:rsidRPr="00CD6B67">
        <w:rPr>
          <w:rStyle w:val="FootnoteReference"/>
        </w:rPr>
        <w:footnoteReference w:id="29"/>
      </w:r>
      <w:r>
        <w:rPr>
          <w:lang w:val="fr-FR"/>
        </w:rPr>
        <w:t>.</w:t>
      </w:r>
      <w:r w:rsidRPr="00293268">
        <w:rPr>
          <w:lang w:val="fr-FR"/>
        </w:rPr>
        <w:t xml:space="preserve"> </w:t>
      </w:r>
      <w:r w:rsidRPr="009232AE">
        <w:rPr>
          <w:lang w:val="fr-FR"/>
        </w:rPr>
        <w:t>Ainsi, dans l</w:t>
      </w:r>
      <w:r>
        <w:rPr>
          <w:lang w:val="fr-FR"/>
        </w:rPr>
        <w:t>’</w:t>
      </w:r>
      <w:r w:rsidRPr="009232AE">
        <w:rPr>
          <w:lang w:val="fr-FR"/>
        </w:rPr>
        <w:t>Union européenne, les personnes d</w:t>
      </w:r>
      <w:r>
        <w:rPr>
          <w:lang w:val="fr-FR"/>
        </w:rPr>
        <w:t>’</w:t>
      </w:r>
      <w:r w:rsidRPr="009232AE">
        <w:rPr>
          <w:lang w:val="fr-FR"/>
        </w:rPr>
        <w:t>ascendance africaine faisaient partie des groupes victimes du plus haut niveau de discrimination dans l</w:t>
      </w:r>
      <w:r>
        <w:rPr>
          <w:lang w:val="fr-FR"/>
        </w:rPr>
        <w:t>’</w:t>
      </w:r>
      <w:r w:rsidRPr="009232AE">
        <w:rPr>
          <w:lang w:val="fr-FR"/>
        </w:rPr>
        <w:t xml:space="preserve">emploi en 2017, selon les données recueillies par </w:t>
      </w:r>
      <w:r>
        <w:rPr>
          <w:lang w:val="fr-FR"/>
        </w:rPr>
        <w:t>d</w:t>
      </w:r>
      <w:r w:rsidRPr="009232AE">
        <w:rPr>
          <w:lang w:val="fr-FR"/>
        </w:rPr>
        <w:t>es organisations non gouvernementales</w:t>
      </w:r>
      <w:r w:rsidRPr="00CD6B67">
        <w:rPr>
          <w:rStyle w:val="FootnoteReference"/>
        </w:rPr>
        <w:footnoteReference w:id="30"/>
      </w:r>
      <w:r>
        <w:rPr>
          <w:lang w:val="fr-FR"/>
        </w:rPr>
        <w:t>,</w:t>
      </w:r>
      <w:r w:rsidRPr="00293268">
        <w:rPr>
          <w:lang w:val="fr-FR"/>
        </w:rPr>
        <w:t xml:space="preserve"> </w:t>
      </w:r>
      <w:r w:rsidRPr="00727081">
        <w:rPr>
          <w:lang w:val="fr-FR"/>
        </w:rPr>
        <w:t xml:space="preserve">et exerçaient des métiers non qualifiés qui ne correspondaient pas à leur niveau </w:t>
      </w:r>
      <w:r>
        <w:rPr>
          <w:lang w:val="fr-FR"/>
        </w:rPr>
        <w:t>d’instruction</w:t>
      </w:r>
      <w:r w:rsidRPr="00727081">
        <w:rPr>
          <w:lang w:val="fr-FR"/>
        </w:rPr>
        <w:t>, selon une enquête de 2018 de l</w:t>
      </w:r>
      <w:r>
        <w:rPr>
          <w:lang w:val="fr-FR"/>
        </w:rPr>
        <w:t>’</w:t>
      </w:r>
      <w:r w:rsidRPr="00727081">
        <w:rPr>
          <w:lang w:val="fr-FR"/>
        </w:rPr>
        <w:t>Agence des droits fondamentaux de l</w:t>
      </w:r>
      <w:r>
        <w:rPr>
          <w:lang w:val="fr-FR"/>
        </w:rPr>
        <w:t>’</w:t>
      </w:r>
      <w:r w:rsidRPr="00727081">
        <w:rPr>
          <w:lang w:val="fr-FR"/>
        </w:rPr>
        <w:t>U</w:t>
      </w:r>
      <w:r>
        <w:rPr>
          <w:lang w:val="fr-FR"/>
        </w:rPr>
        <w:t>E</w:t>
      </w:r>
      <w:r w:rsidRPr="00CD6B67">
        <w:rPr>
          <w:rStyle w:val="FootnoteReference"/>
        </w:rPr>
        <w:footnoteReference w:id="31"/>
      </w:r>
      <w:r>
        <w:rPr>
          <w:lang w:val="fr-FR"/>
        </w:rPr>
        <w:t>.</w:t>
      </w:r>
      <w:r w:rsidRPr="00293268">
        <w:rPr>
          <w:lang w:val="fr-FR"/>
        </w:rPr>
        <w:t xml:space="preserve"> </w:t>
      </w:r>
      <w:r w:rsidRPr="000C454F">
        <w:rPr>
          <w:lang w:val="fr-FR"/>
        </w:rPr>
        <w:t>En Amérique latine, selon des rapports de l</w:t>
      </w:r>
      <w:r>
        <w:rPr>
          <w:lang w:val="fr-FR"/>
        </w:rPr>
        <w:t>’</w:t>
      </w:r>
      <w:r w:rsidRPr="000C454F">
        <w:rPr>
          <w:lang w:val="fr-FR"/>
        </w:rPr>
        <w:t>ONU et du Groupe de la Banque mondiale, les femmes d</w:t>
      </w:r>
      <w:r>
        <w:rPr>
          <w:lang w:val="fr-FR"/>
        </w:rPr>
        <w:t>’</w:t>
      </w:r>
      <w:r w:rsidRPr="000C454F">
        <w:rPr>
          <w:lang w:val="fr-FR"/>
        </w:rPr>
        <w:t xml:space="preserve">ascendance africaine sont particulièrement touchées par le chômage et </w:t>
      </w:r>
      <w:r>
        <w:rPr>
          <w:lang w:val="fr-FR"/>
        </w:rPr>
        <w:t>plus nombreuses à exercer des</w:t>
      </w:r>
      <w:r w:rsidRPr="000C454F">
        <w:rPr>
          <w:lang w:val="fr-FR"/>
        </w:rPr>
        <w:t xml:space="preserve"> emplois faiblement rémunérés</w:t>
      </w:r>
      <w:r w:rsidRPr="00CD6B67">
        <w:rPr>
          <w:rStyle w:val="FootnoteReference"/>
        </w:rPr>
        <w:footnoteReference w:id="32"/>
      </w:r>
      <w:r>
        <w:rPr>
          <w:lang w:val="fr-FR"/>
        </w:rPr>
        <w:t>.</w:t>
      </w:r>
      <w:r w:rsidRPr="00293268">
        <w:rPr>
          <w:lang w:val="fr-FR"/>
        </w:rPr>
        <w:t xml:space="preserve"> </w:t>
      </w:r>
      <w:r w:rsidRPr="004F1B0F">
        <w:rPr>
          <w:lang w:val="fr-FR"/>
        </w:rPr>
        <w:t>En 2020</w:t>
      </w:r>
      <w:r>
        <w:rPr>
          <w:lang w:val="fr-FR"/>
        </w:rPr>
        <w:t>,</w:t>
      </w:r>
      <w:r w:rsidRPr="004F1B0F">
        <w:rPr>
          <w:lang w:val="fr-FR"/>
        </w:rPr>
        <w:t xml:space="preserve"> au Royaume</w:t>
      </w:r>
      <w:r w:rsidR="00F733A4">
        <w:rPr>
          <w:lang w:val="fr-FR"/>
        </w:rPr>
        <w:noBreakHyphen/>
      </w:r>
      <w:r w:rsidRPr="004F1B0F">
        <w:rPr>
          <w:lang w:val="fr-FR"/>
        </w:rPr>
        <w:t>Uni de Grande-Bretagne et d</w:t>
      </w:r>
      <w:r>
        <w:rPr>
          <w:lang w:val="fr-FR"/>
        </w:rPr>
        <w:t>’</w:t>
      </w:r>
      <w:r w:rsidRPr="004F1B0F">
        <w:rPr>
          <w:lang w:val="fr-FR"/>
        </w:rPr>
        <w:t>Irlande du Nord (</w:t>
      </w:r>
      <w:r>
        <w:rPr>
          <w:lang w:val="fr-FR"/>
        </w:rPr>
        <w:t>le «</w:t>
      </w:r>
      <w:r w:rsidR="00F733A4">
        <w:rPr>
          <w:lang w:val="fr-FR"/>
        </w:rPr>
        <w:t> Royaume-Uni </w:t>
      </w:r>
      <w:r>
        <w:rPr>
          <w:lang w:val="fr-FR"/>
        </w:rPr>
        <w:t>»</w:t>
      </w:r>
      <w:r w:rsidRPr="004F1B0F">
        <w:rPr>
          <w:lang w:val="fr-FR"/>
        </w:rPr>
        <w:t xml:space="preserve">), </w:t>
      </w:r>
      <w:r>
        <w:rPr>
          <w:lang w:val="fr-FR"/>
        </w:rPr>
        <w:t xml:space="preserve">les données révèlent que </w:t>
      </w:r>
      <w:r w:rsidRPr="004F1B0F">
        <w:rPr>
          <w:lang w:val="fr-FR"/>
        </w:rPr>
        <w:t>9</w:t>
      </w:r>
      <w:r w:rsidR="00E53DDC">
        <w:rPr>
          <w:lang w:val="fr-FR"/>
        </w:rPr>
        <w:t> %</w:t>
      </w:r>
      <w:r w:rsidRPr="004F1B0F">
        <w:rPr>
          <w:lang w:val="fr-FR"/>
        </w:rPr>
        <w:t xml:space="preserve"> des Noirs </w:t>
      </w:r>
      <w:r>
        <w:rPr>
          <w:lang w:val="fr-FR"/>
        </w:rPr>
        <w:t>étaient</w:t>
      </w:r>
      <w:r w:rsidRPr="004F1B0F">
        <w:rPr>
          <w:lang w:val="fr-FR"/>
        </w:rPr>
        <w:t xml:space="preserve"> au chômage, soit deux fois plus que les Blancs</w:t>
      </w:r>
      <w:r w:rsidRPr="00CD6B67">
        <w:rPr>
          <w:rStyle w:val="FootnoteReference"/>
        </w:rPr>
        <w:footnoteReference w:id="33"/>
      </w:r>
      <w:r w:rsidRPr="00293268">
        <w:rPr>
          <w:lang w:val="fr-FR"/>
        </w:rPr>
        <w:t xml:space="preserve"> </w:t>
      </w:r>
      <w:r w:rsidR="00F733A4">
        <w:rPr>
          <w:lang w:val="fr-FR"/>
        </w:rPr>
        <w:t>−</w:t>
      </w:r>
      <w:r w:rsidRPr="00293268">
        <w:rPr>
          <w:lang w:val="fr-FR"/>
        </w:rPr>
        <w:t xml:space="preserve"> </w:t>
      </w:r>
      <w:r w:rsidRPr="002B79A5">
        <w:rPr>
          <w:lang w:val="fr-FR"/>
        </w:rPr>
        <w:t>comme c</w:t>
      </w:r>
      <w:r>
        <w:rPr>
          <w:lang w:val="fr-FR"/>
        </w:rPr>
        <w:t>’</w:t>
      </w:r>
      <w:r w:rsidRPr="002B79A5">
        <w:rPr>
          <w:lang w:val="fr-FR"/>
        </w:rPr>
        <w:t xml:space="preserve">était le cas aux États-Unis en 2017 où, selon les </w:t>
      </w:r>
      <w:r>
        <w:rPr>
          <w:lang w:val="fr-FR"/>
        </w:rPr>
        <w:t>données rapportée</w:t>
      </w:r>
      <w:r w:rsidRPr="002B79A5">
        <w:rPr>
          <w:lang w:val="fr-FR"/>
        </w:rPr>
        <w:t>s, le taux de chômage des Noirs s</w:t>
      </w:r>
      <w:r>
        <w:rPr>
          <w:lang w:val="fr-FR"/>
        </w:rPr>
        <w:t>’</w:t>
      </w:r>
      <w:r w:rsidRPr="002B79A5">
        <w:rPr>
          <w:lang w:val="fr-FR"/>
        </w:rPr>
        <w:t>établissait à 7,5</w:t>
      </w:r>
      <w:r w:rsidR="00E53DDC">
        <w:rPr>
          <w:lang w:val="fr-FR"/>
        </w:rPr>
        <w:t> %</w:t>
      </w:r>
      <w:r w:rsidRPr="002B79A5">
        <w:rPr>
          <w:lang w:val="fr-FR"/>
        </w:rPr>
        <w:t xml:space="preserve">  et rest</w:t>
      </w:r>
      <w:r>
        <w:rPr>
          <w:lang w:val="fr-FR"/>
        </w:rPr>
        <w:t>ait</w:t>
      </w:r>
      <w:r w:rsidRPr="002B79A5">
        <w:rPr>
          <w:lang w:val="fr-FR"/>
        </w:rPr>
        <w:t xml:space="preserve"> près de deux fois plus élevé que le taux de chômage des Blancs</w:t>
      </w:r>
      <w:r w:rsidRPr="00CD6B67">
        <w:rPr>
          <w:rStyle w:val="FootnoteReference"/>
        </w:rPr>
        <w:footnoteReference w:id="34"/>
      </w:r>
      <w:r>
        <w:rPr>
          <w:lang w:val="fr-FR"/>
        </w:rPr>
        <w:t>.</w:t>
      </w:r>
      <w:r w:rsidRPr="00293268">
        <w:rPr>
          <w:lang w:val="fr-FR"/>
        </w:rPr>
        <w:t xml:space="preserve"> </w:t>
      </w:r>
      <w:r>
        <w:rPr>
          <w:lang w:val="fr-FR"/>
        </w:rPr>
        <w:t xml:space="preserve">D’après </w:t>
      </w:r>
      <w:r w:rsidRPr="000A4B0E">
        <w:rPr>
          <w:lang w:val="fr-FR"/>
        </w:rPr>
        <w:t>les données du recensement de 2016</w:t>
      </w:r>
      <w:r>
        <w:rPr>
          <w:lang w:val="fr-FR"/>
        </w:rPr>
        <w:t xml:space="preserve"> de</w:t>
      </w:r>
      <w:r w:rsidRPr="00F900E8">
        <w:rPr>
          <w:lang w:val="fr-FR"/>
        </w:rPr>
        <w:t xml:space="preserve"> Statistique Canada, l</w:t>
      </w:r>
      <w:r>
        <w:rPr>
          <w:lang w:val="fr-FR"/>
        </w:rPr>
        <w:t>’</w:t>
      </w:r>
      <w:r w:rsidRPr="00F900E8">
        <w:rPr>
          <w:lang w:val="fr-FR"/>
        </w:rPr>
        <w:t>Office national de</w:t>
      </w:r>
      <w:r>
        <w:rPr>
          <w:lang w:val="fr-FR"/>
        </w:rPr>
        <w:t xml:space="preserve"> la</w:t>
      </w:r>
      <w:r w:rsidRPr="00F900E8">
        <w:rPr>
          <w:lang w:val="fr-FR"/>
        </w:rPr>
        <w:t xml:space="preserve"> statistique du Canada, «</w:t>
      </w:r>
      <w:r w:rsidR="00F733A4">
        <w:rPr>
          <w:lang w:val="fr-FR"/>
        </w:rPr>
        <w:t> </w:t>
      </w:r>
      <w:r w:rsidRPr="00F900E8">
        <w:rPr>
          <w:lang w:val="fr-FR"/>
        </w:rPr>
        <w:t xml:space="preserve">le taux de chômage de la population noire </w:t>
      </w:r>
      <w:r w:rsidRPr="00845219">
        <w:rPr>
          <w:lang w:val="fr-FR"/>
        </w:rPr>
        <w:t>est plus élevé que celui de l</w:t>
      </w:r>
      <w:r>
        <w:rPr>
          <w:lang w:val="fr-FR"/>
        </w:rPr>
        <w:t>’</w:t>
      </w:r>
      <w:r w:rsidRPr="00845219">
        <w:rPr>
          <w:lang w:val="fr-FR"/>
        </w:rPr>
        <w:t>ensemble de la population canadienne</w:t>
      </w:r>
      <w:r w:rsidR="00F733A4">
        <w:rPr>
          <w:lang w:val="fr-FR"/>
        </w:rPr>
        <w:t> </w:t>
      </w:r>
      <w:r w:rsidRPr="00845219">
        <w:rPr>
          <w:lang w:val="fr-FR"/>
        </w:rPr>
        <w:t>»</w:t>
      </w:r>
      <w:r w:rsidRPr="00CD6B67">
        <w:rPr>
          <w:rStyle w:val="FootnoteReference"/>
        </w:rPr>
        <w:footnoteReference w:id="35"/>
      </w:r>
      <w:r w:rsidRPr="00845219">
        <w:rPr>
          <w:lang w:val="fr-FR"/>
        </w:rPr>
        <w:t>, et 24</w:t>
      </w:r>
      <w:r w:rsidR="00E53DDC">
        <w:rPr>
          <w:lang w:val="fr-FR"/>
        </w:rPr>
        <w:t> %</w:t>
      </w:r>
      <w:r w:rsidRPr="00845219">
        <w:rPr>
          <w:lang w:val="fr-FR"/>
        </w:rPr>
        <w:t xml:space="preserve"> des femmes d</w:t>
      </w:r>
      <w:r>
        <w:rPr>
          <w:lang w:val="fr-FR"/>
        </w:rPr>
        <w:t>’</w:t>
      </w:r>
      <w:r w:rsidRPr="00845219">
        <w:rPr>
          <w:lang w:val="fr-FR"/>
        </w:rPr>
        <w:t>ascendance africaine perçoivent</w:t>
      </w:r>
      <w:r w:rsidRPr="00170CDE">
        <w:rPr>
          <w:lang w:val="fr-FR"/>
        </w:rPr>
        <w:t xml:space="preserve"> de faibles revenus contre 14</w:t>
      </w:r>
      <w:r w:rsidR="00E53DDC">
        <w:rPr>
          <w:lang w:val="fr-FR"/>
        </w:rPr>
        <w:t> %</w:t>
      </w:r>
      <w:r w:rsidRPr="00170CDE">
        <w:rPr>
          <w:lang w:val="fr-FR"/>
        </w:rPr>
        <w:t xml:space="preserve"> </w:t>
      </w:r>
      <w:r>
        <w:rPr>
          <w:lang w:val="fr-FR"/>
        </w:rPr>
        <w:t>de</w:t>
      </w:r>
      <w:r w:rsidRPr="00170CDE">
        <w:rPr>
          <w:lang w:val="fr-FR"/>
        </w:rPr>
        <w:t xml:space="preserve"> l</w:t>
      </w:r>
      <w:r>
        <w:rPr>
          <w:lang w:val="fr-FR"/>
        </w:rPr>
        <w:t>’</w:t>
      </w:r>
      <w:r w:rsidRPr="00170CDE">
        <w:rPr>
          <w:lang w:val="fr-FR"/>
        </w:rPr>
        <w:t>ensemble des Canadiennes</w:t>
      </w:r>
      <w:r w:rsidRPr="00CD6B67">
        <w:rPr>
          <w:rStyle w:val="FootnoteReference"/>
        </w:rPr>
        <w:footnoteReference w:id="36"/>
      </w:r>
      <w:r>
        <w:rPr>
          <w:lang w:val="fr-FR"/>
        </w:rPr>
        <w:t>.</w:t>
      </w:r>
    </w:p>
    <w:p w14:paraId="39C76112" w14:textId="25922FED" w:rsidR="00865E37" w:rsidRPr="00293268" w:rsidRDefault="00865E37" w:rsidP="00865E37">
      <w:pPr>
        <w:pStyle w:val="SingleTxtG"/>
        <w:rPr>
          <w:lang w:val="fr-FR"/>
        </w:rPr>
      </w:pPr>
      <w:r w:rsidRPr="00293268">
        <w:rPr>
          <w:lang w:val="fr-FR"/>
        </w:rPr>
        <w:t>23.</w:t>
      </w:r>
      <w:r w:rsidRPr="00293268">
        <w:rPr>
          <w:lang w:val="fr-FR"/>
        </w:rPr>
        <w:tab/>
      </w:r>
      <w:r w:rsidRPr="00853C34">
        <w:rPr>
          <w:lang w:val="fr-FR"/>
        </w:rPr>
        <w:t>Les personnes d</w:t>
      </w:r>
      <w:r>
        <w:rPr>
          <w:lang w:val="fr-FR"/>
        </w:rPr>
        <w:t>’</w:t>
      </w:r>
      <w:r w:rsidRPr="00853C34">
        <w:rPr>
          <w:lang w:val="fr-FR"/>
        </w:rPr>
        <w:t xml:space="preserve">ascendance africaine </w:t>
      </w:r>
      <w:r w:rsidRPr="00293268">
        <w:rPr>
          <w:lang w:val="fr-FR"/>
        </w:rPr>
        <w:t xml:space="preserve">sont plus susceptibles de ne pas avoir accès à un logement </w:t>
      </w:r>
      <w:r>
        <w:rPr>
          <w:lang w:val="fr-FR"/>
        </w:rPr>
        <w:t>convenable</w:t>
      </w:r>
      <w:r w:rsidRPr="00CD6B67">
        <w:rPr>
          <w:rStyle w:val="FootnoteReference"/>
        </w:rPr>
        <w:footnoteReference w:id="37"/>
      </w:r>
      <w:r w:rsidRPr="00293268">
        <w:rPr>
          <w:lang w:val="fr-FR"/>
        </w:rPr>
        <w:t xml:space="preserve"> et de vivre dans des quartiers </w:t>
      </w:r>
      <w:r>
        <w:rPr>
          <w:lang w:val="fr-FR"/>
        </w:rPr>
        <w:t>ségrégués</w:t>
      </w:r>
      <w:r w:rsidRPr="00CD6B67">
        <w:rPr>
          <w:rStyle w:val="FootnoteReference"/>
        </w:rPr>
        <w:footnoteReference w:id="38"/>
      </w:r>
      <w:r w:rsidRPr="00293268">
        <w:rPr>
          <w:lang w:val="fr-FR"/>
        </w:rPr>
        <w:t>, défavorisés et dangereux</w:t>
      </w:r>
      <w:r w:rsidRPr="00CD6B67">
        <w:rPr>
          <w:rStyle w:val="FootnoteReference"/>
        </w:rPr>
        <w:footnoteReference w:id="39"/>
      </w:r>
      <w:r w:rsidRPr="00293268">
        <w:rPr>
          <w:lang w:val="fr-FR"/>
        </w:rPr>
        <w:t xml:space="preserve">. </w:t>
      </w:r>
      <w:r w:rsidRPr="003A2EA3">
        <w:rPr>
          <w:lang w:val="fr-FR"/>
        </w:rPr>
        <w:t>Dans l</w:t>
      </w:r>
      <w:r>
        <w:rPr>
          <w:lang w:val="fr-FR"/>
        </w:rPr>
        <w:t>’</w:t>
      </w:r>
      <w:r w:rsidRPr="003A2EA3">
        <w:rPr>
          <w:lang w:val="fr-FR"/>
        </w:rPr>
        <w:t>Union européenne, l</w:t>
      </w:r>
      <w:r>
        <w:rPr>
          <w:lang w:val="fr-FR"/>
        </w:rPr>
        <w:t>’</w:t>
      </w:r>
      <w:r w:rsidRPr="003A2EA3">
        <w:rPr>
          <w:lang w:val="fr-FR"/>
        </w:rPr>
        <w:t>enquête de 2018 susmentionnée a révélé que 45</w:t>
      </w:r>
      <w:r w:rsidR="00E53DDC">
        <w:rPr>
          <w:lang w:val="fr-FR"/>
        </w:rPr>
        <w:t> %</w:t>
      </w:r>
      <w:r w:rsidRPr="003A2EA3">
        <w:rPr>
          <w:lang w:val="fr-FR"/>
        </w:rPr>
        <w:t xml:space="preserve"> des répondants d</w:t>
      </w:r>
      <w:r>
        <w:rPr>
          <w:lang w:val="fr-FR"/>
        </w:rPr>
        <w:t>’</w:t>
      </w:r>
      <w:r w:rsidRPr="003A2EA3">
        <w:rPr>
          <w:lang w:val="fr-FR"/>
        </w:rPr>
        <w:t>ascendance africaine viv</w:t>
      </w:r>
      <w:r>
        <w:rPr>
          <w:lang w:val="fr-FR"/>
        </w:rPr>
        <w:t>ai</w:t>
      </w:r>
      <w:r w:rsidRPr="003A2EA3">
        <w:rPr>
          <w:lang w:val="fr-FR"/>
        </w:rPr>
        <w:t>ent dans des logements surpeuplés, contre 17</w:t>
      </w:r>
      <w:r w:rsidR="00E53DDC">
        <w:rPr>
          <w:lang w:val="fr-FR"/>
        </w:rPr>
        <w:t> %</w:t>
      </w:r>
      <w:r w:rsidRPr="003A2EA3">
        <w:rPr>
          <w:lang w:val="fr-FR"/>
        </w:rPr>
        <w:t xml:space="preserve"> pour la population générale</w:t>
      </w:r>
      <w:r w:rsidR="007013E8">
        <w:rPr>
          <w:lang w:val="fr-FR"/>
        </w:rPr>
        <w:t xml:space="preserve"> </w:t>
      </w:r>
      <w:r>
        <w:rPr>
          <w:lang w:val="fr-FR"/>
        </w:rPr>
        <w:t xml:space="preserve">et que </w:t>
      </w:r>
      <w:r w:rsidRPr="00063380">
        <w:rPr>
          <w:lang w:val="fr-FR"/>
        </w:rPr>
        <w:t>15</w:t>
      </w:r>
      <w:r w:rsidR="00E53DDC">
        <w:rPr>
          <w:lang w:val="fr-FR"/>
        </w:rPr>
        <w:t> %</w:t>
      </w:r>
      <w:r w:rsidRPr="00063380">
        <w:rPr>
          <w:lang w:val="fr-FR"/>
        </w:rPr>
        <w:t xml:space="preserve"> des personnes d</w:t>
      </w:r>
      <w:r>
        <w:rPr>
          <w:lang w:val="fr-FR"/>
        </w:rPr>
        <w:t>’</w:t>
      </w:r>
      <w:r w:rsidRPr="00063380">
        <w:rPr>
          <w:lang w:val="fr-FR"/>
        </w:rPr>
        <w:t xml:space="preserve">ascendance africaine </w:t>
      </w:r>
      <w:r>
        <w:rPr>
          <w:lang w:val="fr-FR"/>
        </w:rPr>
        <w:t>étaie</w:t>
      </w:r>
      <w:r w:rsidRPr="00063380">
        <w:rPr>
          <w:lang w:val="fr-FR"/>
        </w:rPr>
        <w:t>nt propriétaires de leur logement, contre 70</w:t>
      </w:r>
      <w:r w:rsidR="00E53DDC">
        <w:rPr>
          <w:lang w:val="fr-FR"/>
        </w:rPr>
        <w:t> %</w:t>
      </w:r>
      <w:r w:rsidRPr="00063380">
        <w:rPr>
          <w:lang w:val="fr-FR"/>
        </w:rPr>
        <w:t xml:space="preserve"> pour la population générale</w:t>
      </w:r>
      <w:r w:rsidRPr="00CD6B67">
        <w:rPr>
          <w:rStyle w:val="FootnoteReference"/>
        </w:rPr>
        <w:footnoteReference w:id="40"/>
      </w:r>
      <w:r>
        <w:rPr>
          <w:lang w:val="fr-FR"/>
        </w:rPr>
        <w:t>.</w:t>
      </w:r>
      <w:r w:rsidRPr="00293268">
        <w:rPr>
          <w:lang w:val="fr-FR"/>
        </w:rPr>
        <w:t xml:space="preserve"> </w:t>
      </w:r>
      <w:r w:rsidRPr="00203447">
        <w:rPr>
          <w:lang w:val="fr-FR"/>
        </w:rPr>
        <w:t>Au Royaume</w:t>
      </w:r>
      <w:r w:rsidR="007013E8">
        <w:rPr>
          <w:lang w:val="fr-FR"/>
        </w:rPr>
        <w:noBreakHyphen/>
      </w:r>
      <w:r w:rsidRPr="00203447">
        <w:rPr>
          <w:lang w:val="fr-FR"/>
        </w:rPr>
        <w:t>Uni, selon un rapport de 2020, 20</w:t>
      </w:r>
      <w:r w:rsidR="00E53DDC">
        <w:rPr>
          <w:lang w:val="fr-FR"/>
        </w:rPr>
        <w:t> %</w:t>
      </w:r>
      <w:r w:rsidRPr="00203447">
        <w:rPr>
          <w:lang w:val="fr-FR"/>
        </w:rPr>
        <w:t xml:space="preserve"> des ménages africains noirs </w:t>
      </w:r>
      <w:r>
        <w:rPr>
          <w:lang w:val="fr-FR"/>
        </w:rPr>
        <w:t>possédaient</w:t>
      </w:r>
      <w:r w:rsidRPr="00203447">
        <w:rPr>
          <w:lang w:val="fr-FR"/>
        </w:rPr>
        <w:t xml:space="preserve"> leur propre logement, contre 68</w:t>
      </w:r>
      <w:r w:rsidR="00E53DDC">
        <w:rPr>
          <w:lang w:val="fr-FR"/>
        </w:rPr>
        <w:t> %</w:t>
      </w:r>
      <w:r w:rsidRPr="00203447">
        <w:rPr>
          <w:lang w:val="fr-FR"/>
        </w:rPr>
        <w:t xml:space="preserve"> des ménages blancs</w:t>
      </w:r>
      <w:r w:rsidRPr="00CD6B67">
        <w:rPr>
          <w:rStyle w:val="FootnoteReference"/>
        </w:rPr>
        <w:footnoteReference w:id="41"/>
      </w:r>
      <w:r>
        <w:rPr>
          <w:lang w:val="fr-FR"/>
        </w:rPr>
        <w:t>.</w:t>
      </w:r>
      <w:r w:rsidRPr="00293268">
        <w:rPr>
          <w:lang w:val="fr-FR"/>
        </w:rPr>
        <w:t xml:space="preserve"> </w:t>
      </w:r>
      <w:r>
        <w:rPr>
          <w:lang w:val="fr-FR"/>
        </w:rPr>
        <w:t>E</w:t>
      </w:r>
      <w:r w:rsidRPr="00293268">
        <w:rPr>
          <w:lang w:val="fr-FR"/>
        </w:rPr>
        <w:t>n 2016,</w:t>
      </w:r>
      <w:r w:rsidRPr="00DF4EA0">
        <w:rPr>
          <w:lang w:val="fr-FR"/>
        </w:rPr>
        <w:t xml:space="preserve"> </w:t>
      </w:r>
      <w:r w:rsidRPr="00AF4DA6">
        <w:rPr>
          <w:lang w:val="fr-FR"/>
        </w:rPr>
        <w:t>une enquête du Défenseur des droits en France a révélé</w:t>
      </w:r>
      <w:r>
        <w:rPr>
          <w:lang w:val="fr-FR"/>
        </w:rPr>
        <w:t xml:space="preserve"> «</w:t>
      </w:r>
      <w:r w:rsidR="007013E8">
        <w:rPr>
          <w:lang w:val="fr-FR"/>
        </w:rPr>
        <w:t> </w:t>
      </w:r>
      <w:r w:rsidRPr="00AF4DA6">
        <w:rPr>
          <w:lang w:val="fr-FR"/>
        </w:rPr>
        <w:t xml:space="preserve">que les ressortissants français et ceux perçus comme </w:t>
      </w:r>
      <w:r w:rsidR="001D0A8E">
        <w:rPr>
          <w:lang w:val="fr-FR"/>
        </w:rPr>
        <w:t>“</w:t>
      </w:r>
      <w:r w:rsidRPr="00AF4DA6">
        <w:rPr>
          <w:lang w:val="fr-FR"/>
        </w:rPr>
        <w:t>blancs</w:t>
      </w:r>
      <w:r w:rsidR="001D0A8E">
        <w:rPr>
          <w:lang w:val="fr-FR"/>
        </w:rPr>
        <w:t>”</w:t>
      </w:r>
      <w:r w:rsidRPr="00AF4DA6">
        <w:rPr>
          <w:lang w:val="fr-FR"/>
        </w:rPr>
        <w:t xml:space="preserve"> avaient deux fois plus de chances que les personnes immigrées et les personnes perçues comme </w:t>
      </w:r>
      <w:r w:rsidR="001D0A8E">
        <w:rPr>
          <w:lang w:val="fr-FR"/>
        </w:rPr>
        <w:t>“</w:t>
      </w:r>
      <w:r w:rsidRPr="00AF4DA6">
        <w:rPr>
          <w:lang w:val="fr-FR"/>
        </w:rPr>
        <w:t>arabes</w:t>
      </w:r>
      <w:r w:rsidR="001D0A8E">
        <w:rPr>
          <w:lang w:val="fr-FR"/>
        </w:rPr>
        <w:t>”</w:t>
      </w:r>
      <w:r w:rsidRPr="00AF4DA6">
        <w:rPr>
          <w:lang w:val="fr-FR"/>
        </w:rPr>
        <w:t xml:space="preserve"> ou </w:t>
      </w:r>
      <w:r w:rsidR="001D0A8E">
        <w:rPr>
          <w:lang w:val="fr-FR"/>
        </w:rPr>
        <w:t>“</w:t>
      </w:r>
      <w:r w:rsidRPr="00AF4DA6">
        <w:rPr>
          <w:lang w:val="fr-FR"/>
        </w:rPr>
        <w:t>noire</w:t>
      </w:r>
      <w:r w:rsidR="00FD6912">
        <w:rPr>
          <w:lang w:val="fr-FR"/>
        </w:rPr>
        <w:t>s</w:t>
      </w:r>
      <w:r w:rsidR="001D0A8E">
        <w:rPr>
          <w:lang w:val="fr-FR"/>
        </w:rPr>
        <w:t>”</w:t>
      </w:r>
      <w:r w:rsidRPr="00AF4DA6">
        <w:rPr>
          <w:lang w:val="fr-FR"/>
        </w:rPr>
        <w:t xml:space="preserve"> de trouver un logement dans l</w:t>
      </w:r>
      <w:r>
        <w:rPr>
          <w:lang w:val="fr-FR"/>
        </w:rPr>
        <w:t>’</w:t>
      </w:r>
      <w:r w:rsidRPr="00AF4DA6">
        <w:rPr>
          <w:lang w:val="fr-FR"/>
        </w:rPr>
        <w:t>année suivant le début de leur recherche</w:t>
      </w:r>
      <w:r>
        <w:rPr>
          <w:lang w:val="fr-FR"/>
        </w:rPr>
        <w:t> »</w:t>
      </w:r>
      <w:r w:rsidRPr="00CD6B67">
        <w:rPr>
          <w:rStyle w:val="FootnoteReference"/>
        </w:rPr>
        <w:footnoteReference w:id="42"/>
      </w:r>
      <w:r>
        <w:rPr>
          <w:lang w:val="fr-FR"/>
        </w:rPr>
        <w:t>.</w:t>
      </w:r>
    </w:p>
    <w:p w14:paraId="30E3B4C6" w14:textId="1A93999B" w:rsidR="00865E37" w:rsidRPr="00293268" w:rsidRDefault="00865E37" w:rsidP="00865E37">
      <w:pPr>
        <w:pStyle w:val="SingleTxtG"/>
        <w:rPr>
          <w:lang w:val="fr-FR"/>
        </w:rPr>
      </w:pPr>
      <w:r w:rsidRPr="00293268">
        <w:rPr>
          <w:lang w:val="fr-FR"/>
        </w:rPr>
        <w:t>24.</w:t>
      </w:r>
      <w:r w:rsidRPr="00293268">
        <w:rPr>
          <w:lang w:val="fr-FR"/>
        </w:rPr>
        <w:tab/>
      </w:r>
      <w:r w:rsidRPr="008524BE">
        <w:rPr>
          <w:lang w:val="fr-FR"/>
        </w:rPr>
        <w:t>Aux États-Unis, les personnes d</w:t>
      </w:r>
      <w:r>
        <w:rPr>
          <w:lang w:val="fr-FR"/>
        </w:rPr>
        <w:t>’</w:t>
      </w:r>
      <w:r w:rsidRPr="008524BE">
        <w:rPr>
          <w:lang w:val="fr-FR"/>
        </w:rPr>
        <w:t>ascendance africaine sont touchées de manière disproportionnée par la ségrégation raciale dans certains quartiers</w:t>
      </w:r>
      <w:r w:rsidRPr="00CD6B67">
        <w:rPr>
          <w:rStyle w:val="FootnoteReference"/>
        </w:rPr>
        <w:footnoteReference w:id="43"/>
      </w:r>
      <w:r>
        <w:rPr>
          <w:lang w:val="fr-FR"/>
        </w:rPr>
        <w:t>, la</w:t>
      </w:r>
      <w:r w:rsidRPr="00293268">
        <w:rPr>
          <w:lang w:val="fr-FR"/>
        </w:rPr>
        <w:t xml:space="preserve"> gentrification</w:t>
      </w:r>
      <w:r w:rsidRPr="00CD6B67">
        <w:rPr>
          <w:rStyle w:val="FootnoteReference"/>
        </w:rPr>
        <w:footnoteReference w:id="44"/>
      </w:r>
      <w:r>
        <w:rPr>
          <w:lang w:val="fr-FR"/>
        </w:rPr>
        <w:t xml:space="preserve">, </w:t>
      </w:r>
      <w:r w:rsidRPr="00FE4CC3">
        <w:rPr>
          <w:lang w:val="fr-FR"/>
        </w:rPr>
        <w:t xml:space="preserve">le </w:t>
      </w:r>
      <w:r>
        <w:rPr>
          <w:lang w:val="fr-FR"/>
        </w:rPr>
        <w:t>« </w:t>
      </w:r>
      <w:r w:rsidRPr="00FE4CC3">
        <w:rPr>
          <w:lang w:val="fr-FR"/>
        </w:rPr>
        <w:t>reverse redlining</w:t>
      </w:r>
      <w:r w:rsidR="001D0A8E">
        <w:rPr>
          <w:lang w:val="fr-FR"/>
        </w:rPr>
        <w:t> </w:t>
      </w:r>
      <w:r>
        <w:rPr>
          <w:lang w:val="fr-FR"/>
        </w:rPr>
        <w:t>»</w:t>
      </w:r>
      <w:r w:rsidRPr="00FE4CC3">
        <w:rPr>
          <w:lang w:val="fr-FR"/>
        </w:rPr>
        <w:t xml:space="preserve"> (pratique consistant à accorder des crédits à des conditions iniques)</w:t>
      </w:r>
      <w:r w:rsidRPr="00CD6B67">
        <w:rPr>
          <w:rStyle w:val="FootnoteReference"/>
        </w:rPr>
        <w:footnoteReference w:id="45"/>
      </w:r>
      <w:r>
        <w:rPr>
          <w:lang w:val="fr-FR"/>
        </w:rPr>
        <w:t xml:space="preserve"> et le sans-abrisme</w:t>
      </w:r>
      <w:r w:rsidRPr="00CD6B67">
        <w:rPr>
          <w:rStyle w:val="FootnoteReference"/>
        </w:rPr>
        <w:footnoteReference w:id="46"/>
      </w:r>
      <w:r>
        <w:rPr>
          <w:lang w:val="fr-FR"/>
        </w:rPr>
        <w:t xml:space="preserve">. </w:t>
      </w:r>
      <w:r w:rsidRPr="0056639C">
        <w:rPr>
          <w:lang w:val="fr-FR"/>
        </w:rPr>
        <w:t xml:space="preserve">Un décret publié en janvier 2021 </w:t>
      </w:r>
      <w:r w:rsidRPr="00CD7E75">
        <w:rPr>
          <w:lang w:val="fr-FR"/>
        </w:rPr>
        <w:t xml:space="preserve">par le </w:t>
      </w:r>
      <w:r>
        <w:rPr>
          <w:lang w:val="fr-FR"/>
        </w:rPr>
        <w:t>P</w:t>
      </w:r>
      <w:r w:rsidRPr="00CD7E75">
        <w:rPr>
          <w:lang w:val="fr-FR"/>
        </w:rPr>
        <w:t xml:space="preserve">résident des États-Unis </w:t>
      </w:r>
      <w:r>
        <w:rPr>
          <w:lang w:val="fr-FR"/>
        </w:rPr>
        <w:t>a reconnu</w:t>
      </w:r>
      <w:r w:rsidRPr="0056639C">
        <w:rPr>
          <w:lang w:val="fr-FR"/>
        </w:rPr>
        <w:t xml:space="preserve"> qu</w:t>
      </w:r>
      <w:r>
        <w:rPr>
          <w:lang w:val="fr-FR"/>
        </w:rPr>
        <w:t>’</w:t>
      </w:r>
      <w:r w:rsidRPr="0056639C">
        <w:rPr>
          <w:lang w:val="fr-FR"/>
        </w:rPr>
        <w:t>au cours du XX</w:t>
      </w:r>
      <w:r w:rsidRPr="00B63884">
        <w:rPr>
          <w:vertAlign w:val="superscript"/>
          <w:lang w:val="fr-FR"/>
        </w:rPr>
        <w:t>e</w:t>
      </w:r>
      <w:r w:rsidR="00381C41">
        <w:rPr>
          <w:lang w:val="fr-FR"/>
        </w:rPr>
        <w:t> </w:t>
      </w:r>
      <w:r w:rsidRPr="0056639C">
        <w:rPr>
          <w:lang w:val="fr-FR"/>
        </w:rPr>
        <w:t xml:space="preserve">siècle, </w:t>
      </w:r>
      <w:r>
        <w:rPr>
          <w:lang w:val="fr-FR"/>
        </w:rPr>
        <w:t xml:space="preserve">le </w:t>
      </w:r>
      <w:r w:rsidRPr="00DA1B01">
        <w:rPr>
          <w:lang w:val="fr-FR"/>
        </w:rPr>
        <w:t xml:space="preserve">Gouvernement fédéral, </w:t>
      </w:r>
      <w:r>
        <w:rPr>
          <w:lang w:val="fr-FR"/>
        </w:rPr>
        <w:t>l</w:t>
      </w:r>
      <w:r w:rsidRPr="00DA1B01">
        <w:rPr>
          <w:lang w:val="fr-FR"/>
        </w:rPr>
        <w:t xml:space="preserve">es gouvernements des États et </w:t>
      </w:r>
      <w:r>
        <w:rPr>
          <w:lang w:val="fr-FR"/>
        </w:rPr>
        <w:t>l</w:t>
      </w:r>
      <w:r w:rsidRPr="00DA1B01">
        <w:rPr>
          <w:lang w:val="fr-FR"/>
        </w:rPr>
        <w:t xml:space="preserve">es autorités locales </w:t>
      </w:r>
      <w:r>
        <w:rPr>
          <w:lang w:val="fr-FR"/>
        </w:rPr>
        <w:t>avaient</w:t>
      </w:r>
      <w:r w:rsidRPr="0056639C">
        <w:rPr>
          <w:lang w:val="fr-FR"/>
        </w:rPr>
        <w:t xml:space="preserve"> systématiquement </w:t>
      </w:r>
      <w:r>
        <w:rPr>
          <w:lang w:val="fr-FR"/>
        </w:rPr>
        <w:t>appliqué</w:t>
      </w:r>
      <w:r w:rsidRPr="0056639C">
        <w:rPr>
          <w:lang w:val="fr-FR"/>
        </w:rPr>
        <w:t xml:space="preserve"> des politiques de logement discriminatoires sur le plan racial qui </w:t>
      </w:r>
      <w:r w:rsidRPr="000C3E45">
        <w:rPr>
          <w:lang w:val="fr-FR"/>
        </w:rPr>
        <w:t xml:space="preserve">avaient </w:t>
      </w:r>
      <w:r w:rsidRPr="0056639C">
        <w:rPr>
          <w:lang w:val="fr-FR"/>
        </w:rPr>
        <w:t>contribué à la ségrégation des quartiers et empêché les Noirs et d</w:t>
      </w:r>
      <w:r>
        <w:rPr>
          <w:lang w:val="fr-FR"/>
        </w:rPr>
        <w:t>’</w:t>
      </w:r>
      <w:r w:rsidRPr="0056639C">
        <w:rPr>
          <w:lang w:val="fr-FR"/>
        </w:rPr>
        <w:t xml:space="preserve">autres </w:t>
      </w:r>
      <w:r>
        <w:rPr>
          <w:lang w:val="fr-FR"/>
        </w:rPr>
        <w:t>population</w:t>
      </w:r>
      <w:r w:rsidRPr="0056639C">
        <w:rPr>
          <w:lang w:val="fr-FR"/>
        </w:rPr>
        <w:t>s mal desservies de bénéficier de chances égales et de créer de la richesse</w:t>
      </w:r>
      <w:r w:rsidRPr="00CD6B67">
        <w:rPr>
          <w:rStyle w:val="FootnoteReference"/>
        </w:rPr>
        <w:footnoteReference w:id="47"/>
      </w:r>
      <w:r>
        <w:rPr>
          <w:lang w:val="fr-FR"/>
        </w:rPr>
        <w:t>.</w:t>
      </w:r>
      <w:r w:rsidRPr="00293268">
        <w:rPr>
          <w:lang w:val="fr-FR"/>
        </w:rPr>
        <w:t xml:space="preserve"> </w:t>
      </w:r>
      <w:r>
        <w:rPr>
          <w:lang w:val="fr-FR"/>
        </w:rPr>
        <w:t>D</w:t>
      </w:r>
      <w:r w:rsidRPr="00526E87">
        <w:rPr>
          <w:lang w:val="fr-FR"/>
        </w:rPr>
        <w:t>ans certains pays d</w:t>
      </w:r>
      <w:r>
        <w:rPr>
          <w:lang w:val="fr-FR"/>
        </w:rPr>
        <w:t>’</w:t>
      </w:r>
      <w:r w:rsidRPr="00526E87">
        <w:rPr>
          <w:lang w:val="fr-FR"/>
        </w:rPr>
        <w:t xml:space="preserve">Amérique latine, </w:t>
      </w:r>
      <w:r>
        <w:rPr>
          <w:lang w:val="fr-FR"/>
        </w:rPr>
        <w:t>s</w:t>
      </w:r>
      <w:r w:rsidRPr="009D7CFA">
        <w:rPr>
          <w:lang w:val="fr-FR"/>
        </w:rPr>
        <w:t>elon les informations reçues,</w:t>
      </w:r>
      <w:r>
        <w:rPr>
          <w:lang w:val="fr-FR"/>
        </w:rPr>
        <w:t xml:space="preserve"> </w:t>
      </w:r>
      <w:r w:rsidRPr="00526E87">
        <w:rPr>
          <w:lang w:val="fr-FR"/>
        </w:rPr>
        <w:t>les personnes d</w:t>
      </w:r>
      <w:r>
        <w:rPr>
          <w:lang w:val="fr-FR"/>
        </w:rPr>
        <w:t>’</w:t>
      </w:r>
      <w:r w:rsidRPr="00526E87">
        <w:rPr>
          <w:lang w:val="fr-FR"/>
        </w:rPr>
        <w:t xml:space="preserve">ascendance africaine étaient, en 2018, environ deux fois plus susceptibles de vivre dans des bidonvilles que </w:t>
      </w:r>
      <w:r>
        <w:rPr>
          <w:lang w:val="fr-FR"/>
        </w:rPr>
        <w:t>le reste de la population</w:t>
      </w:r>
      <w:r w:rsidRPr="00CD6B67">
        <w:rPr>
          <w:rStyle w:val="FootnoteReference"/>
        </w:rPr>
        <w:footnoteReference w:id="48"/>
      </w:r>
      <w:r>
        <w:rPr>
          <w:lang w:val="fr-FR"/>
        </w:rPr>
        <w:t>.</w:t>
      </w:r>
    </w:p>
    <w:p w14:paraId="2A9AE37A" w14:textId="73D648F6" w:rsidR="00865E37" w:rsidRPr="00293268" w:rsidRDefault="00865E37" w:rsidP="00865E37">
      <w:pPr>
        <w:pStyle w:val="SingleTxtG"/>
        <w:rPr>
          <w:lang w:val="fr-FR"/>
        </w:rPr>
      </w:pPr>
      <w:r w:rsidRPr="00293268">
        <w:rPr>
          <w:lang w:val="fr-FR"/>
        </w:rPr>
        <w:t>25.</w:t>
      </w:r>
      <w:r w:rsidRPr="00293268">
        <w:rPr>
          <w:lang w:val="fr-FR"/>
        </w:rPr>
        <w:tab/>
        <w:t xml:space="preserve">Dans </w:t>
      </w:r>
      <w:r>
        <w:rPr>
          <w:lang w:val="fr-FR"/>
        </w:rPr>
        <w:t>plusieurs</w:t>
      </w:r>
      <w:r w:rsidRPr="00293268">
        <w:rPr>
          <w:lang w:val="fr-FR"/>
        </w:rPr>
        <w:t xml:space="preserve"> pays, </w:t>
      </w:r>
      <w:r>
        <w:rPr>
          <w:lang w:val="fr-FR"/>
        </w:rPr>
        <w:t>ces personnes</w:t>
      </w:r>
      <w:r w:rsidRPr="00293268">
        <w:rPr>
          <w:lang w:val="fr-FR"/>
        </w:rPr>
        <w:t xml:space="preserve"> subissent également de manière disproportionnée la pollution de l</w:t>
      </w:r>
      <w:r>
        <w:rPr>
          <w:lang w:val="fr-FR"/>
        </w:rPr>
        <w:t>’</w:t>
      </w:r>
      <w:r w:rsidRPr="00293268">
        <w:rPr>
          <w:lang w:val="fr-FR"/>
        </w:rPr>
        <w:t>environnement et le manque d</w:t>
      </w:r>
      <w:r>
        <w:rPr>
          <w:lang w:val="fr-FR"/>
        </w:rPr>
        <w:t>’</w:t>
      </w:r>
      <w:r w:rsidRPr="00293268">
        <w:rPr>
          <w:lang w:val="fr-FR"/>
        </w:rPr>
        <w:t>accès à l</w:t>
      </w:r>
      <w:r>
        <w:rPr>
          <w:lang w:val="fr-FR"/>
        </w:rPr>
        <w:t>’</w:t>
      </w:r>
      <w:r w:rsidRPr="00293268">
        <w:rPr>
          <w:lang w:val="fr-FR"/>
        </w:rPr>
        <w:t>eau potable</w:t>
      </w:r>
      <w:r w:rsidRPr="00CD6B67">
        <w:rPr>
          <w:rStyle w:val="FootnoteReference"/>
        </w:rPr>
        <w:footnoteReference w:id="49"/>
      </w:r>
      <w:r w:rsidRPr="00293268">
        <w:rPr>
          <w:lang w:val="fr-FR"/>
        </w:rPr>
        <w:t xml:space="preserve">. </w:t>
      </w:r>
      <w:r>
        <w:rPr>
          <w:lang w:val="fr-FR"/>
        </w:rPr>
        <w:t>Ainsi</w:t>
      </w:r>
      <w:r w:rsidRPr="00367B84">
        <w:rPr>
          <w:lang w:val="fr-FR"/>
        </w:rPr>
        <w:t>, selon le Groupe de travail d</w:t>
      </w:r>
      <w:r>
        <w:rPr>
          <w:lang w:val="fr-FR"/>
        </w:rPr>
        <w:t>’</w:t>
      </w:r>
      <w:r w:rsidRPr="00367B84">
        <w:rPr>
          <w:lang w:val="fr-FR"/>
        </w:rPr>
        <w:t>experts sur les personnes d</w:t>
      </w:r>
      <w:r>
        <w:rPr>
          <w:lang w:val="fr-FR"/>
        </w:rPr>
        <w:t>’</w:t>
      </w:r>
      <w:r w:rsidRPr="00367B84">
        <w:rPr>
          <w:lang w:val="fr-FR"/>
        </w:rPr>
        <w:t>ascendance africaine, dans certaines régions de l</w:t>
      </w:r>
      <w:r>
        <w:rPr>
          <w:lang w:val="fr-FR"/>
        </w:rPr>
        <w:t>’</w:t>
      </w:r>
      <w:r w:rsidRPr="00367B84">
        <w:rPr>
          <w:lang w:val="fr-FR"/>
        </w:rPr>
        <w:t xml:space="preserve">Équateur, les </w:t>
      </w:r>
      <w:r>
        <w:rPr>
          <w:lang w:val="fr-FR"/>
        </w:rPr>
        <w:t>populations</w:t>
      </w:r>
      <w:r w:rsidRPr="00367B84">
        <w:rPr>
          <w:lang w:val="fr-FR"/>
        </w:rPr>
        <w:t xml:space="preserve"> d</w:t>
      </w:r>
      <w:r>
        <w:rPr>
          <w:lang w:val="fr-FR"/>
        </w:rPr>
        <w:t>’</w:t>
      </w:r>
      <w:r w:rsidRPr="00367B84">
        <w:rPr>
          <w:lang w:val="fr-FR"/>
        </w:rPr>
        <w:t xml:space="preserve">ascendance africaine sont exposées à des substances dangereuses dans </w:t>
      </w:r>
      <w:r>
        <w:rPr>
          <w:lang w:val="fr-FR"/>
        </w:rPr>
        <w:t>leur eau</w:t>
      </w:r>
      <w:r w:rsidRPr="00CD6B67">
        <w:rPr>
          <w:rStyle w:val="FootnoteReference"/>
        </w:rPr>
        <w:footnoteReference w:id="50"/>
      </w:r>
      <w:r w:rsidRPr="00293268">
        <w:rPr>
          <w:lang w:val="fr-FR"/>
        </w:rPr>
        <w:t xml:space="preserve"> </w:t>
      </w:r>
      <w:r>
        <w:rPr>
          <w:lang w:val="fr-FR"/>
        </w:rPr>
        <w:t xml:space="preserve">et, au Pérou, </w:t>
      </w:r>
      <w:r w:rsidRPr="00403238">
        <w:rPr>
          <w:lang w:val="fr-FR"/>
        </w:rPr>
        <w:t>certaines pratiques d</w:t>
      </w:r>
      <w:r>
        <w:rPr>
          <w:lang w:val="fr-FR"/>
        </w:rPr>
        <w:t>’</w:t>
      </w:r>
      <w:r w:rsidRPr="00403238">
        <w:rPr>
          <w:lang w:val="fr-FR"/>
        </w:rPr>
        <w:t>exploitation adoptées par les entreprises agroalimentaires et hydroélectriques ont pour effet de priver les Afro</w:t>
      </w:r>
      <w:r w:rsidR="005A1F62">
        <w:rPr>
          <w:lang w:val="fr-FR"/>
        </w:rPr>
        <w:noBreakHyphen/>
      </w:r>
      <w:r w:rsidRPr="00403238">
        <w:rPr>
          <w:lang w:val="fr-FR"/>
        </w:rPr>
        <w:t>Péruviens de l</w:t>
      </w:r>
      <w:r>
        <w:rPr>
          <w:lang w:val="fr-FR"/>
        </w:rPr>
        <w:t>’</w:t>
      </w:r>
      <w:r w:rsidRPr="00403238">
        <w:rPr>
          <w:lang w:val="fr-FR"/>
        </w:rPr>
        <w:t>accès à l</w:t>
      </w:r>
      <w:r>
        <w:rPr>
          <w:lang w:val="fr-FR"/>
        </w:rPr>
        <w:t>’</w:t>
      </w:r>
      <w:r w:rsidRPr="00403238">
        <w:rPr>
          <w:lang w:val="fr-FR"/>
        </w:rPr>
        <w:t>eau potable</w:t>
      </w:r>
      <w:r w:rsidRPr="00CD6B67">
        <w:rPr>
          <w:rStyle w:val="FootnoteReference"/>
        </w:rPr>
        <w:footnoteReference w:id="51"/>
      </w:r>
      <w:r>
        <w:rPr>
          <w:lang w:val="fr-FR"/>
        </w:rPr>
        <w:t>.</w:t>
      </w:r>
      <w:r w:rsidRPr="00293268">
        <w:rPr>
          <w:lang w:val="fr-FR"/>
        </w:rPr>
        <w:t xml:space="preserve"> </w:t>
      </w:r>
      <w:r w:rsidRPr="000A46F1">
        <w:rPr>
          <w:lang w:val="fr-FR"/>
        </w:rPr>
        <w:t xml:space="preserve">Aux États-Unis, des </w:t>
      </w:r>
      <w:r>
        <w:rPr>
          <w:lang w:val="fr-FR"/>
        </w:rPr>
        <w:t>informations révèlent</w:t>
      </w:r>
      <w:r w:rsidRPr="000A46F1">
        <w:rPr>
          <w:lang w:val="fr-FR"/>
        </w:rPr>
        <w:t xml:space="preserve"> que </w:t>
      </w:r>
      <w:r>
        <w:rPr>
          <w:lang w:val="fr-FR"/>
        </w:rPr>
        <w:t>des</w:t>
      </w:r>
      <w:r w:rsidRPr="000A46F1">
        <w:rPr>
          <w:lang w:val="fr-FR"/>
        </w:rPr>
        <w:t xml:space="preserve"> personnes d</w:t>
      </w:r>
      <w:r>
        <w:rPr>
          <w:lang w:val="fr-FR"/>
        </w:rPr>
        <w:t>’</w:t>
      </w:r>
      <w:r w:rsidRPr="000A46F1">
        <w:rPr>
          <w:lang w:val="fr-FR"/>
        </w:rPr>
        <w:t>ascendance africaine vivent dans des quartiers où l</w:t>
      </w:r>
      <w:r>
        <w:rPr>
          <w:lang w:val="fr-FR"/>
        </w:rPr>
        <w:t>’</w:t>
      </w:r>
      <w:r w:rsidRPr="000A46F1">
        <w:rPr>
          <w:lang w:val="fr-FR"/>
        </w:rPr>
        <w:t>environnement est dangereux, ce qui a des répercussions sur leurs conditions de vie et leur santé</w:t>
      </w:r>
      <w:r w:rsidRPr="00CD6B67">
        <w:rPr>
          <w:rStyle w:val="FootnoteReference"/>
        </w:rPr>
        <w:footnoteReference w:id="52"/>
      </w:r>
      <w:r>
        <w:rPr>
          <w:lang w:val="fr-FR"/>
        </w:rPr>
        <w:t>.</w:t>
      </w:r>
      <w:r w:rsidRPr="00293268">
        <w:rPr>
          <w:lang w:val="fr-FR"/>
        </w:rPr>
        <w:t xml:space="preserve"> </w:t>
      </w:r>
      <w:r w:rsidRPr="00456C1F">
        <w:rPr>
          <w:lang w:val="fr-FR"/>
        </w:rPr>
        <w:t>Dans les zones majoritairement occupées par des personnes d</w:t>
      </w:r>
      <w:r>
        <w:rPr>
          <w:lang w:val="fr-FR"/>
        </w:rPr>
        <w:t>’</w:t>
      </w:r>
      <w:r w:rsidRPr="00456C1F">
        <w:rPr>
          <w:lang w:val="fr-FR"/>
        </w:rPr>
        <w:t xml:space="preserve">ascendance africaine, des préoccupations ont également été soulevées concernant </w:t>
      </w:r>
      <w:r>
        <w:rPr>
          <w:lang w:val="fr-FR"/>
        </w:rPr>
        <w:t>l’implantation</w:t>
      </w:r>
      <w:r w:rsidRPr="00456C1F">
        <w:rPr>
          <w:lang w:val="fr-FR"/>
        </w:rPr>
        <w:t xml:space="preserve"> d</w:t>
      </w:r>
      <w:r>
        <w:rPr>
          <w:lang w:val="fr-FR"/>
        </w:rPr>
        <w:t>’</w:t>
      </w:r>
      <w:r w:rsidRPr="00456C1F">
        <w:rPr>
          <w:lang w:val="fr-FR"/>
        </w:rPr>
        <w:t xml:space="preserve">installations pétrochimiques et de complexes de méthanol, qui </w:t>
      </w:r>
      <w:r>
        <w:rPr>
          <w:lang w:val="fr-FR"/>
        </w:rPr>
        <w:t>entraînent</w:t>
      </w:r>
      <w:r w:rsidRPr="00456C1F">
        <w:rPr>
          <w:lang w:val="fr-FR"/>
        </w:rPr>
        <w:t xml:space="preserve"> une pollution environnementale et des effets néfastes sur la santé et qui, dans certains cas, contraignent ces personnes à </w:t>
      </w:r>
      <w:r>
        <w:rPr>
          <w:lang w:val="fr-FR"/>
        </w:rPr>
        <w:t>déménager</w:t>
      </w:r>
      <w:r w:rsidRPr="00CD6B67">
        <w:rPr>
          <w:rStyle w:val="FootnoteReference"/>
        </w:rPr>
        <w:footnoteReference w:id="53"/>
      </w:r>
      <w:r>
        <w:rPr>
          <w:lang w:val="fr-FR"/>
        </w:rPr>
        <w:t>.</w:t>
      </w:r>
    </w:p>
    <w:p w14:paraId="1315871B" w14:textId="0C090FA2" w:rsidR="00865E37" w:rsidRPr="00293268" w:rsidRDefault="00865E37" w:rsidP="00865E37">
      <w:pPr>
        <w:pStyle w:val="SingleTxtG"/>
        <w:rPr>
          <w:lang w:val="fr-FR"/>
        </w:rPr>
      </w:pPr>
      <w:r w:rsidRPr="00293268">
        <w:rPr>
          <w:lang w:val="fr-FR"/>
        </w:rPr>
        <w:t>26.</w:t>
      </w:r>
      <w:r w:rsidRPr="00293268">
        <w:rPr>
          <w:lang w:val="fr-FR"/>
        </w:rPr>
        <w:tab/>
        <w:t>Les personnes d</w:t>
      </w:r>
      <w:r>
        <w:rPr>
          <w:lang w:val="fr-FR"/>
        </w:rPr>
        <w:t>’</w:t>
      </w:r>
      <w:r w:rsidRPr="00293268">
        <w:rPr>
          <w:lang w:val="fr-FR"/>
        </w:rPr>
        <w:t xml:space="preserve">ascendance africaine </w:t>
      </w:r>
      <w:r>
        <w:rPr>
          <w:lang w:val="fr-FR"/>
        </w:rPr>
        <w:t>se heurtent</w:t>
      </w:r>
      <w:r w:rsidRPr="00293268">
        <w:rPr>
          <w:lang w:val="fr-FR"/>
        </w:rPr>
        <w:t xml:space="preserve"> également </w:t>
      </w:r>
      <w:r>
        <w:rPr>
          <w:lang w:val="fr-FR"/>
        </w:rPr>
        <w:t xml:space="preserve">à </w:t>
      </w:r>
      <w:r w:rsidRPr="00293268">
        <w:rPr>
          <w:lang w:val="fr-FR"/>
        </w:rPr>
        <w:t xml:space="preserve">des obstacles </w:t>
      </w:r>
      <w:r>
        <w:rPr>
          <w:lang w:val="fr-FR"/>
        </w:rPr>
        <w:t>en matière d’</w:t>
      </w:r>
      <w:r w:rsidRPr="00293268">
        <w:rPr>
          <w:lang w:val="fr-FR"/>
        </w:rPr>
        <w:t>accès à une éducation de qualité</w:t>
      </w:r>
      <w:r>
        <w:rPr>
          <w:lang w:val="fr-FR"/>
        </w:rPr>
        <w:t>, dans des conditions d’égalité</w:t>
      </w:r>
      <w:r w:rsidRPr="00293268">
        <w:rPr>
          <w:lang w:val="fr-FR"/>
        </w:rPr>
        <w:t xml:space="preserve">. Dans plusieurs pays, des </w:t>
      </w:r>
      <w:r>
        <w:rPr>
          <w:lang w:val="fr-FR"/>
        </w:rPr>
        <w:t>information</w:t>
      </w:r>
      <w:r w:rsidRPr="00293268">
        <w:rPr>
          <w:lang w:val="fr-FR"/>
        </w:rPr>
        <w:t xml:space="preserve">s </w:t>
      </w:r>
      <w:r>
        <w:rPr>
          <w:lang w:val="fr-FR"/>
        </w:rPr>
        <w:t>indiquent que les taux</w:t>
      </w:r>
      <w:r w:rsidRPr="00293268">
        <w:rPr>
          <w:lang w:val="fr-FR"/>
        </w:rPr>
        <w:t xml:space="preserve"> d</w:t>
      </w:r>
      <w:r>
        <w:rPr>
          <w:lang w:val="fr-FR"/>
        </w:rPr>
        <w:t>’</w:t>
      </w:r>
      <w:r w:rsidRPr="00293268">
        <w:rPr>
          <w:lang w:val="fr-FR"/>
        </w:rPr>
        <w:t>analphabétisme et d</w:t>
      </w:r>
      <w:r>
        <w:rPr>
          <w:lang w:val="fr-FR"/>
        </w:rPr>
        <w:t>’</w:t>
      </w:r>
      <w:r w:rsidRPr="00293268">
        <w:rPr>
          <w:lang w:val="fr-FR"/>
        </w:rPr>
        <w:t>abandon scolaire</w:t>
      </w:r>
      <w:r>
        <w:rPr>
          <w:lang w:val="fr-FR"/>
        </w:rPr>
        <w:t xml:space="preserve"> chez les personnes d’ascendance africaine sont</w:t>
      </w:r>
      <w:r w:rsidRPr="00293268">
        <w:rPr>
          <w:lang w:val="fr-FR"/>
        </w:rPr>
        <w:t xml:space="preserve"> plus élevés </w:t>
      </w:r>
      <w:r>
        <w:rPr>
          <w:lang w:val="fr-FR"/>
        </w:rPr>
        <w:t>que chez les</w:t>
      </w:r>
      <w:r w:rsidRPr="00293268">
        <w:rPr>
          <w:lang w:val="fr-FR"/>
        </w:rPr>
        <w:t xml:space="preserve"> personnes </w:t>
      </w:r>
      <w:r w:rsidRPr="005F5DEB">
        <w:rPr>
          <w:lang w:val="fr-FR"/>
        </w:rPr>
        <w:t>non afro</w:t>
      </w:r>
      <w:r w:rsidR="00156EBF">
        <w:rPr>
          <w:lang w:val="fr-FR"/>
        </w:rPr>
        <w:noBreakHyphen/>
      </w:r>
      <w:r w:rsidRPr="005F5DEB">
        <w:rPr>
          <w:lang w:val="fr-FR"/>
        </w:rPr>
        <w:t>descendantes</w:t>
      </w:r>
      <w:r w:rsidRPr="00CD6B67">
        <w:rPr>
          <w:rStyle w:val="FootnoteReference"/>
        </w:rPr>
        <w:footnoteReference w:id="54"/>
      </w:r>
      <w:r w:rsidRPr="00293268">
        <w:rPr>
          <w:lang w:val="fr-FR"/>
        </w:rPr>
        <w:t xml:space="preserve">. </w:t>
      </w:r>
      <w:r>
        <w:rPr>
          <w:lang w:val="fr-FR"/>
        </w:rPr>
        <w:t>D</w:t>
      </w:r>
      <w:r w:rsidRPr="00EA2C6C">
        <w:rPr>
          <w:lang w:val="fr-FR"/>
        </w:rPr>
        <w:t xml:space="preserve">ans certains cas, </w:t>
      </w:r>
      <w:r>
        <w:rPr>
          <w:lang w:val="fr-FR"/>
        </w:rPr>
        <w:t>selon des information</w:t>
      </w:r>
      <w:r w:rsidRPr="00B70965">
        <w:rPr>
          <w:lang w:val="fr-FR"/>
        </w:rPr>
        <w:t>s, les enfants d</w:t>
      </w:r>
      <w:r>
        <w:rPr>
          <w:lang w:val="fr-FR"/>
        </w:rPr>
        <w:t>’</w:t>
      </w:r>
      <w:r w:rsidRPr="00B70965">
        <w:rPr>
          <w:lang w:val="fr-FR"/>
        </w:rPr>
        <w:t>ascendance africaine se voient attribuer des notes inférieures</w:t>
      </w:r>
      <w:r w:rsidRPr="00CD6B67">
        <w:rPr>
          <w:rStyle w:val="FootnoteReference"/>
        </w:rPr>
        <w:footnoteReference w:id="55"/>
      </w:r>
      <w:r w:rsidRPr="00293268">
        <w:rPr>
          <w:lang w:val="fr-FR"/>
        </w:rPr>
        <w:t xml:space="preserve"> </w:t>
      </w:r>
      <w:r w:rsidRPr="004D5293">
        <w:rPr>
          <w:lang w:val="fr-FR"/>
        </w:rPr>
        <w:t>et sont orientés vers des formations professionnelles ou manuell</w:t>
      </w:r>
      <w:r>
        <w:rPr>
          <w:lang w:val="fr-FR"/>
        </w:rPr>
        <w:t>es</w:t>
      </w:r>
      <w:r w:rsidRPr="00CD6B67">
        <w:rPr>
          <w:rStyle w:val="FootnoteReference"/>
        </w:rPr>
        <w:footnoteReference w:id="56"/>
      </w:r>
      <w:r>
        <w:rPr>
          <w:lang w:val="fr-FR"/>
        </w:rPr>
        <w:t>.</w:t>
      </w:r>
      <w:r w:rsidRPr="00293268">
        <w:rPr>
          <w:lang w:val="fr-FR"/>
        </w:rPr>
        <w:t xml:space="preserve"> </w:t>
      </w:r>
      <w:r w:rsidRPr="00767781">
        <w:rPr>
          <w:lang w:val="fr-FR"/>
        </w:rPr>
        <w:t>Les Africains et les personnes d</w:t>
      </w:r>
      <w:r>
        <w:rPr>
          <w:lang w:val="fr-FR"/>
        </w:rPr>
        <w:t>’</w:t>
      </w:r>
      <w:r w:rsidRPr="00767781">
        <w:rPr>
          <w:lang w:val="fr-FR"/>
        </w:rPr>
        <w:t xml:space="preserve">ascendance africaine </w:t>
      </w:r>
      <w:r>
        <w:rPr>
          <w:lang w:val="fr-FR"/>
        </w:rPr>
        <w:t>ont</w:t>
      </w:r>
      <w:r w:rsidRPr="00767781">
        <w:rPr>
          <w:lang w:val="fr-FR"/>
        </w:rPr>
        <w:t xml:space="preserve"> des difficultés </w:t>
      </w:r>
      <w:r>
        <w:rPr>
          <w:lang w:val="fr-FR"/>
        </w:rPr>
        <w:t>à</w:t>
      </w:r>
      <w:r w:rsidRPr="00767781">
        <w:rPr>
          <w:lang w:val="fr-FR"/>
        </w:rPr>
        <w:t xml:space="preserve"> faire reconnaître </w:t>
      </w:r>
      <w:r>
        <w:rPr>
          <w:lang w:val="fr-FR"/>
        </w:rPr>
        <w:t xml:space="preserve">à l’étranger </w:t>
      </w:r>
      <w:r w:rsidRPr="00767781">
        <w:rPr>
          <w:lang w:val="fr-FR"/>
        </w:rPr>
        <w:t>les qualifications et diplômes qu</w:t>
      </w:r>
      <w:r>
        <w:rPr>
          <w:lang w:val="fr-FR"/>
        </w:rPr>
        <w:t>’</w:t>
      </w:r>
      <w:r w:rsidRPr="00767781">
        <w:rPr>
          <w:lang w:val="fr-FR"/>
        </w:rPr>
        <w:t>ils ont obtenus dans leur pays</w:t>
      </w:r>
      <w:r>
        <w:rPr>
          <w:lang w:val="fr-FR"/>
        </w:rPr>
        <w:t xml:space="preserve"> de résidence</w:t>
      </w:r>
      <w:r w:rsidRPr="00CD6B67">
        <w:rPr>
          <w:rStyle w:val="FootnoteReference"/>
        </w:rPr>
        <w:footnoteReference w:id="57"/>
      </w:r>
      <w:r w:rsidRPr="00767781">
        <w:rPr>
          <w:lang w:val="fr-FR"/>
        </w:rPr>
        <w:t xml:space="preserve"> et, dans certains pays, la proportion de femmes d</w:t>
      </w:r>
      <w:r>
        <w:rPr>
          <w:lang w:val="fr-FR"/>
        </w:rPr>
        <w:t>’</w:t>
      </w:r>
      <w:r w:rsidRPr="00767781">
        <w:rPr>
          <w:lang w:val="fr-FR"/>
        </w:rPr>
        <w:t xml:space="preserve">ascendance africaine ayant un faible niveau </w:t>
      </w:r>
      <w:r>
        <w:rPr>
          <w:lang w:val="fr-FR"/>
        </w:rPr>
        <w:t>d’instruction</w:t>
      </w:r>
      <w:r w:rsidRPr="00767781">
        <w:rPr>
          <w:lang w:val="fr-FR"/>
        </w:rPr>
        <w:t xml:space="preserve"> est beaucoup plus élevée que celle des femmes de la population générale</w:t>
      </w:r>
      <w:r w:rsidRPr="00CD6B67">
        <w:rPr>
          <w:rStyle w:val="FootnoteReference"/>
        </w:rPr>
        <w:footnoteReference w:id="58"/>
      </w:r>
      <w:r>
        <w:rPr>
          <w:lang w:val="fr-FR"/>
        </w:rPr>
        <w:t>.</w:t>
      </w:r>
    </w:p>
    <w:p w14:paraId="3BECCABC" w14:textId="0CB03D4F" w:rsidR="00865E37" w:rsidRPr="00293268" w:rsidRDefault="00865E37" w:rsidP="00865E37">
      <w:pPr>
        <w:pStyle w:val="SingleTxtG"/>
        <w:rPr>
          <w:lang w:val="fr-FR"/>
        </w:rPr>
      </w:pPr>
      <w:r w:rsidRPr="00293268">
        <w:rPr>
          <w:lang w:val="fr-FR"/>
        </w:rPr>
        <w:t>27.</w:t>
      </w:r>
      <w:r w:rsidRPr="00293268">
        <w:rPr>
          <w:lang w:val="fr-FR"/>
        </w:rPr>
        <w:tab/>
      </w:r>
      <w:r w:rsidRPr="00320D66">
        <w:rPr>
          <w:lang w:val="fr-FR"/>
        </w:rPr>
        <w:t>Dans certains pays, les enfants d</w:t>
      </w:r>
      <w:r>
        <w:rPr>
          <w:lang w:val="fr-FR"/>
        </w:rPr>
        <w:t>’</w:t>
      </w:r>
      <w:r w:rsidRPr="00320D66">
        <w:rPr>
          <w:lang w:val="fr-FR"/>
        </w:rPr>
        <w:t xml:space="preserve">ascendance africaine sont également </w:t>
      </w:r>
      <w:r>
        <w:rPr>
          <w:lang w:val="fr-FR"/>
        </w:rPr>
        <w:t>victimes de</w:t>
      </w:r>
      <w:r w:rsidRPr="00320D66">
        <w:rPr>
          <w:lang w:val="fr-FR"/>
        </w:rPr>
        <w:t xml:space="preserve"> discrimination </w:t>
      </w:r>
      <w:r>
        <w:rPr>
          <w:lang w:val="fr-FR"/>
        </w:rPr>
        <w:t xml:space="preserve">raciale </w:t>
      </w:r>
      <w:r w:rsidRPr="00320D66">
        <w:rPr>
          <w:lang w:val="fr-FR"/>
        </w:rPr>
        <w:t xml:space="preserve">et </w:t>
      </w:r>
      <w:r>
        <w:rPr>
          <w:lang w:val="fr-FR"/>
        </w:rPr>
        <w:t>de</w:t>
      </w:r>
      <w:r w:rsidRPr="00320D66">
        <w:rPr>
          <w:lang w:val="fr-FR"/>
        </w:rPr>
        <w:t xml:space="preserve"> violence </w:t>
      </w:r>
      <w:r>
        <w:rPr>
          <w:lang w:val="fr-FR"/>
        </w:rPr>
        <w:t>à l’école</w:t>
      </w:r>
      <w:r w:rsidRPr="00320D66">
        <w:rPr>
          <w:lang w:val="fr-FR"/>
        </w:rPr>
        <w:t xml:space="preserve"> et plus susceptibles d</w:t>
      </w:r>
      <w:r>
        <w:rPr>
          <w:lang w:val="fr-FR"/>
        </w:rPr>
        <w:t xml:space="preserve">’en </w:t>
      </w:r>
      <w:r w:rsidRPr="00320D66">
        <w:rPr>
          <w:lang w:val="fr-FR"/>
        </w:rPr>
        <w:t xml:space="preserve">être </w:t>
      </w:r>
      <w:r>
        <w:rPr>
          <w:lang w:val="fr-FR"/>
        </w:rPr>
        <w:t>exclus</w:t>
      </w:r>
      <w:r w:rsidRPr="00320D66">
        <w:rPr>
          <w:lang w:val="fr-FR"/>
        </w:rPr>
        <w:t xml:space="preserve">. </w:t>
      </w:r>
      <w:r>
        <w:rPr>
          <w:lang w:val="fr-FR"/>
        </w:rPr>
        <w:t>Des</w:t>
      </w:r>
      <w:r w:rsidR="00FA0F30">
        <w:rPr>
          <w:lang w:val="fr-FR"/>
        </w:rPr>
        <w:t> </w:t>
      </w:r>
      <w:r>
        <w:rPr>
          <w:lang w:val="fr-FR"/>
        </w:rPr>
        <w:t>informations révèlent que d</w:t>
      </w:r>
      <w:r w:rsidRPr="00320D66">
        <w:rPr>
          <w:lang w:val="fr-FR"/>
        </w:rPr>
        <w:t>ans certains pays européens, ils sont souvent victimes de harcèlement, d</w:t>
      </w:r>
      <w:r>
        <w:rPr>
          <w:lang w:val="fr-FR"/>
        </w:rPr>
        <w:t>’</w:t>
      </w:r>
      <w:r w:rsidRPr="00320D66">
        <w:rPr>
          <w:lang w:val="fr-FR"/>
        </w:rPr>
        <w:t>intimidation et de racisme à l</w:t>
      </w:r>
      <w:r>
        <w:rPr>
          <w:lang w:val="fr-FR"/>
        </w:rPr>
        <w:t>’</w:t>
      </w:r>
      <w:r w:rsidRPr="00320D66">
        <w:rPr>
          <w:lang w:val="fr-FR"/>
        </w:rPr>
        <w:t>école, en particulier de la part des enseignants et des autres enfants</w:t>
      </w:r>
      <w:r w:rsidRPr="00CD6B67">
        <w:rPr>
          <w:rStyle w:val="FootnoteReference"/>
        </w:rPr>
        <w:footnoteReference w:id="59"/>
      </w:r>
      <w:r>
        <w:rPr>
          <w:lang w:val="fr-FR"/>
        </w:rPr>
        <w:t>.</w:t>
      </w:r>
      <w:r w:rsidRPr="00293268">
        <w:rPr>
          <w:lang w:val="fr-FR"/>
        </w:rPr>
        <w:t xml:space="preserve"> </w:t>
      </w:r>
      <w:r w:rsidRPr="003E457B">
        <w:rPr>
          <w:lang w:val="fr-FR"/>
        </w:rPr>
        <w:t>Le Comité britannique pour l</w:t>
      </w:r>
      <w:r>
        <w:rPr>
          <w:lang w:val="fr-FR"/>
        </w:rPr>
        <w:t xml:space="preserve">e </w:t>
      </w:r>
      <w:r w:rsidRPr="00DC6530">
        <w:rPr>
          <w:lang w:val="fr-FR"/>
        </w:rPr>
        <w:t>Fonds des Nations Unies pour l</w:t>
      </w:r>
      <w:r>
        <w:rPr>
          <w:lang w:val="fr-FR"/>
        </w:rPr>
        <w:t>’</w:t>
      </w:r>
      <w:r w:rsidRPr="00DC6530">
        <w:rPr>
          <w:lang w:val="fr-FR"/>
        </w:rPr>
        <w:t>enfance</w:t>
      </w:r>
      <w:r w:rsidRPr="003E457B">
        <w:rPr>
          <w:lang w:val="fr-FR"/>
        </w:rPr>
        <w:t xml:space="preserve"> (UNICEF UK) a indiqué que les données disponibles les plus récentes (2018-2019) </w:t>
      </w:r>
      <w:r>
        <w:rPr>
          <w:lang w:val="fr-FR"/>
        </w:rPr>
        <w:t>montrent</w:t>
      </w:r>
      <w:r w:rsidRPr="003E457B">
        <w:rPr>
          <w:lang w:val="fr-FR"/>
        </w:rPr>
        <w:t xml:space="preserve"> qu</w:t>
      </w:r>
      <w:r>
        <w:rPr>
          <w:lang w:val="fr-FR"/>
        </w:rPr>
        <w:t>’un nombre disproportionné d’enfants issus de</w:t>
      </w:r>
      <w:r w:rsidRPr="003E457B">
        <w:rPr>
          <w:lang w:val="fr-FR"/>
        </w:rPr>
        <w:t xml:space="preserve"> </w:t>
      </w:r>
      <w:r>
        <w:rPr>
          <w:lang w:val="fr-FR"/>
        </w:rPr>
        <w:t>certains</w:t>
      </w:r>
      <w:r w:rsidRPr="003E457B">
        <w:rPr>
          <w:lang w:val="fr-FR"/>
        </w:rPr>
        <w:t xml:space="preserve"> groupes ethniques, </w:t>
      </w:r>
      <w:r>
        <w:rPr>
          <w:lang w:val="fr-FR"/>
        </w:rPr>
        <w:t>en particulier</w:t>
      </w:r>
      <w:r w:rsidRPr="003E457B">
        <w:rPr>
          <w:lang w:val="fr-FR"/>
        </w:rPr>
        <w:t xml:space="preserve"> </w:t>
      </w:r>
      <w:r>
        <w:rPr>
          <w:lang w:val="fr-FR"/>
        </w:rPr>
        <w:t>les enfants</w:t>
      </w:r>
      <w:r w:rsidRPr="003E457B">
        <w:rPr>
          <w:lang w:val="fr-FR"/>
        </w:rPr>
        <w:t xml:space="preserve"> d</w:t>
      </w:r>
      <w:r>
        <w:rPr>
          <w:lang w:val="fr-FR"/>
        </w:rPr>
        <w:t>’</w:t>
      </w:r>
      <w:r w:rsidRPr="003E457B">
        <w:rPr>
          <w:lang w:val="fr-FR"/>
        </w:rPr>
        <w:t xml:space="preserve">ascendance caribéenne, </w:t>
      </w:r>
      <w:r>
        <w:rPr>
          <w:lang w:val="fr-FR"/>
        </w:rPr>
        <w:t>sont exclus de l’école</w:t>
      </w:r>
      <w:r w:rsidRPr="003E457B">
        <w:rPr>
          <w:lang w:val="fr-FR"/>
        </w:rPr>
        <w:t xml:space="preserve"> en Angleterre</w:t>
      </w:r>
      <w:r w:rsidRPr="00CD6B67">
        <w:rPr>
          <w:rStyle w:val="FootnoteReference"/>
        </w:rPr>
        <w:footnoteReference w:id="60"/>
      </w:r>
      <w:r>
        <w:rPr>
          <w:lang w:val="fr-FR"/>
        </w:rPr>
        <w:t>.</w:t>
      </w:r>
      <w:r w:rsidRPr="00293268">
        <w:rPr>
          <w:lang w:val="fr-FR"/>
        </w:rPr>
        <w:t xml:space="preserve"> </w:t>
      </w:r>
      <w:r w:rsidRPr="007A7667">
        <w:rPr>
          <w:lang w:val="fr-FR"/>
        </w:rPr>
        <w:t>En 2014, selon les données du Bureau des droits civils du Ministère de l</w:t>
      </w:r>
      <w:r>
        <w:rPr>
          <w:lang w:val="fr-FR"/>
        </w:rPr>
        <w:t>’</w:t>
      </w:r>
      <w:r w:rsidRPr="007A7667">
        <w:rPr>
          <w:lang w:val="fr-FR"/>
        </w:rPr>
        <w:t>éducation des États-Unis, un nombre disproportionné d</w:t>
      </w:r>
      <w:r>
        <w:rPr>
          <w:lang w:val="fr-FR"/>
        </w:rPr>
        <w:t>’</w:t>
      </w:r>
      <w:r w:rsidRPr="007A7667">
        <w:rPr>
          <w:lang w:val="fr-FR"/>
        </w:rPr>
        <w:t xml:space="preserve">enfants afro-américains </w:t>
      </w:r>
      <w:r>
        <w:rPr>
          <w:lang w:val="fr-FR"/>
        </w:rPr>
        <w:t>ont été</w:t>
      </w:r>
      <w:r w:rsidRPr="007A7667">
        <w:rPr>
          <w:lang w:val="fr-FR"/>
        </w:rPr>
        <w:t xml:space="preserve"> suspendus, expulsés, </w:t>
      </w:r>
      <w:r w:rsidRPr="00A31BFE">
        <w:rPr>
          <w:lang w:val="fr-FR"/>
        </w:rPr>
        <w:t>adressé</w:t>
      </w:r>
      <w:r>
        <w:rPr>
          <w:lang w:val="fr-FR"/>
        </w:rPr>
        <w:t>s</w:t>
      </w:r>
      <w:r w:rsidRPr="00A31BFE">
        <w:rPr>
          <w:lang w:val="fr-FR"/>
        </w:rPr>
        <w:t xml:space="preserve"> aux forces de l</w:t>
      </w:r>
      <w:r>
        <w:rPr>
          <w:lang w:val="fr-FR"/>
        </w:rPr>
        <w:t>’</w:t>
      </w:r>
      <w:r w:rsidRPr="00A31BFE">
        <w:rPr>
          <w:lang w:val="fr-FR"/>
        </w:rPr>
        <w:t>ordre</w:t>
      </w:r>
      <w:r w:rsidRPr="007A7667">
        <w:rPr>
          <w:lang w:val="fr-FR"/>
        </w:rPr>
        <w:t xml:space="preserve"> et </w:t>
      </w:r>
      <w:r>
        <w:rPr>
          <w:lang w:val="fr-FR"/>
        </w:rPr>
        <w:t>arrêtés</w:t>
      </w:r>
      <w:r w:rsidRPr="007A7667">
        <w:rPr>
          <w:lang w:val="fr-FR"/>
        </w:rPr>
        <w:t xml:space="preserve"> en lien avec l</w:t>
      </w:r>
      <w:r>
        <w:rPr>
          <w:lang w:val="fr-FR"/>
        </w:rPr>
        <w:t>’</w:t>
      </w:r>
      <w:r w:rsidRPr="007A7667">
        <w:rPr>
          <w:lang w:val="fr-FR"/>
        </w:rPr>
        <w:t>école</w:t>
      </w:r>
      <w:r w:rsidRPr="00CD6B67">
        <w:rPr>
          <w:rStyle w:val="FootnoteReference"/>
        </w:rPr>
        <w:footnoteReference w:id="61"/>
      </w:r>
      <w:r>
        <w:rPr>
          <w:lang w:val="fr-FR"/>
        </w:rPr>
        <w:t>.</w:t>
      </w:r>
      <w:r w:rsidRPr="00293268">
        <w:rPr>
          <w:lang w:val="fr-FR"/>
        </w:rPr>
        <w:t xml:space="preserve"> </w:t>
      </w:r>
      <w:r w:rsidRPr="00917428">
        <w:rPr>
          <w:lang w:val="fr-FR"/>
        </w:rPr>
        <w:t xml:space="preserve">Au Honduras, en 2016, </w:t>
      </w:r>
      <w:r w:rsidRPr="004001D7">
        <w:rPr>
          <w:lang w:val="fr-FR"/>
        </w:rPr>
        <w:t xml:space="preserve">des inquiétudes ont été exprimées </w:t>
      </w:r>
      <w:r>
        <w:rPr>
          <w:lang w:val="fr-FR"/>
        </w:rPr>
        <w:t>au sujet des</w:t>
      </w:r>
      <w:r w:rsidRPr="00917428">
        <w:rPr>
          <w:lang w:val="fr-FR"/>
        </w:rPr>
        <w:t xml:space="preserve"> taux </w:t>
      </w:r>
      <w:r>
        <w:rPr>
          <w:lang w:val="fr-FR"/>
        </w:rPr>
        <w:t xml:space="preserve">sensiblement plus élevés </w:t>
      </w:r>
      <w:r w:rsidRPr="00917428">
        <w:rPr>
          <w:lang w:val="fr-FR"/>
        </w:rPr>
        <w:t>d</w:t>
      </w:r>
      <w:r>
        <w:rPr>
          <w:lang w:val="fr-FR"/>
        </w:rPr>
        <w:t>’</w:t>
      </w:r>
      <w:r w:rsidRPr="00917428">
        <w:rPr>
          <w:lang w:val="fr-FR"/>
        </w:rPr>
        <w:t xml:space="preserve">analphabétisme et </w:t>
      </w:r>
      <w:r>
        <w:rPr>
          <w:lang w:val="fr-FR"/>
        </w:rPr>
        <w:t>d’</w:t>
      </w:r>
      <w:r w:rsidRPr="00917428">
        <w:rPr>
          <w:lang w:val="fr-FR"/>
        </w:rPr>
        <w:t xml:space="preserve">abandons </w:t>
      </w:r>
      <w:r>
        <w:rPr>
          <w:lang w:val="fr-FR"/>
        </w:rPr>
        <w:t>de scolarité</w:t>
      </w:r>
      <w:r w:rsidRPr="00917428">
        <w:rPr>
          <w:lang w:val="fr-FR"/>
        </w:rPr>
        <w:t xml:space="preserve"> </w:t>
      </w:r>
      <w:r>
        <w:rPr>
          <w:lang w:val="fr-FR"/>
        </w:rPr>
        <w:t>dans le</w:t>
      </w:r>
      <w:r w:rsidRPr="00917428">
        <w:rPr>
          <w:lang w:val="fr-FR"/>
        </w:rPr>
        <w:t xml:space="preserve"> secondaire </w:t>
      </w:r>
      <w:r>
        <w:rPr>
          <w:lang w:val="fr-FR"/>
        </w:rPr>
        <w:t>parmi l</w:t>
      </w:r>
      <w:r w:rsidRPr="00917428">
        <w:rPr>
          <w:lang w:val="fr-FR"/>
        </w:rPr>
        <w:t>es filles des zones rurales et reculées et</w:t>
      </w:r>
      <w:r>
        <w:rPr>
          <w:lang w:val="fr-FR"/>
        </w:rPr>
        <w:t xml:space="preserve">, plus particulièrement, parmi celles </w:t>
      </w:r>
      <w:r w:rsidRPr="00917428">
        <w:rPr>
          <w:lang w:val="fr-FR"/>
        </w:rPr>
        <w:t>d</w:t>
      </w:r>
      <w:r>
        <w:rPr>
          <w:lang w:val="fr-FR"/>
        </w:rPr>
        <w:t>’</w:t>
      </w:r>
      <w:r w:rsidRPr="00917428">
        <w:rPr>
          <w:lang w:val="fr-FR"/>
        </w:rPr>
        <w:t>ascendance africaine</w:t>
      </w:r>
      <w:r>
        <w:rPr>
          <w:lang w:val="fr-FR"/>
        </w:rPr>
        <w:t>,</w:t>
      </w:r>
      <w:r w:rsidRPr="00917428">
        <w:rPr>
          <w:lang w:val="fr-FR"/>
        </w:rPr>
        <w:t xml:space="preserve"> </w:t>
      </w:r>
      <w:r>
        <w:rPr>
          <w:lang w:val="fr-FR"/>
        </w:rPr>
        <w:t>par rapport</w:t>
      </w:r>
      <w:r w:rsidRPr="00917428">
        <w:rPr>
          <w:lang w:val="fr-FR"/>
        </w:rPr>
        <w:t xml:space="preserve"> au reste de la population</w:t>
      </w:r>
      <w:r>
        <w:rPr>
          <w:lang w:val="fr-FR"/>
        </w:rPr>
        <w:t xml:space="preserve"> </w:t>
      </w:r>
      <w:r w:rsidR="00DE1EC6">
        <w:rPr>
          <w:lang w:val="fr-FR"/>
        </w:rPr>
        <w:t>− </w:t>
      </w:r>
      <w:r w:rsidRPr="00917428">
        <w:rPr>
          <w:lang w:val="fr-FR"/>
        </w:rPr>
        <w:t>situation souvent imputable à la pauvreté, aux grossesses et mariages précoces et au travail des enfants</w:t>
      </w:r>
      <w:r w:rsidRPr="00CD6B67">
        <w:rPr>
          <w:rStyle w:val="FootnoteReference"/>
        </w:rPr>
        <w:footnoteReference w:id="62"/>
      </w:r>
      <w:r>
        <w:rPr>
          <w:lang w:val="fr-FR"/>
        </w:rPr>
        <w:t>.</w:t>
      </w:r>
    </w:p>
    <w:p w14:paraId="062A636B" w14:textId="57AFC6F3" w:rsidR="00865E37" w:rsidRPr="00293268" w:rsidRDefault="00865E37" w:rsidP="00865E37">
      <w:pPr>
        <w:pStyle w:val="SingleTxtG"/>
        <w:rPr>
          <w:lang w:val="fr-FR"/>
        </w:rPr>
      </w:pPr>
      <w:r w:rsidRPr="00293268">
        <w:rPr>
          <w:lang w:val="fr-FR"/>
        </w:rPr>
        <w:t>28.</w:t>
      </w:r>
      <w:r w:rsidRPr="00293268">
        <w:rPr>
          <w:lang w:val="fr-FR"/>
        </w:rPr>
        <w:tab/>
        <w:t>Les personnes d</w:t>
      </w:r>
      <w:r>
        <w:rPr>
          <w:lang w:val="fr-FR"/>
        </w:rPr>
        <w:t>’</w:t>
      </w:r>
      <w:r w:rsidRPr="00293268">
        <w:rPr>
          <w:lang w:val="fr-FR"/>
        </w:rPr>
        <w:t xml:space="preserve">ascendance africaine </w:t>
      </w:r>
      <w:r>
        <w:rPr>
          <w:lang w:val="fr-FR"/>
        </w:rPr>
        <w:t>se heurtent</w:t>
      </w:r>
      <w:r w:rsidRPr="00293268">
        <w:rPr>
          <w:lang w:val="fr-FR"/>
        </w:rPr>
        <w:t xml:space="preserve"> également </w:t>
      </w:r>
      <w:r>
        <w:rPr>
          <w:lang w:val="fr-FR"/>
        </w:rPr>
        <w:t xml:space="preserve">à </w:t>
      </w:r>
      <w:r w:rsidRPr="00293268">
        <w:rPr>
          <w:lang w:val="fr-FR"/>
        </w:rPr>
        <w:t xml:space="preserve">des obstacles </w:t>
      </w:r>
      <w:r>
        <w:rPr>
          <w:lang w:val="fr-FR"/>
        </w:rPr>
        <w:t>en matière d’accès aux</w:t>
      </w:r>
      <w:r w:rsidRPr="00293268">
        <w:rPr>
          <w:lang w:val="fr-FR"/>
        </w:rPr>
        <w:t xml:space="preserve"> soins de santé</w:t>
      </w:r>
      <w:r w:rsidRPr="00DF4EA0">
        <w:rPr>
          <w:lang w:val="fr-FR"/>
        </w:rPr>
        <w:t xml:space="preserve"> </w:t>
      </w:r>
      <w:r>
        <w:rPr>
          <w:lang w:val="fr-FR"/>
        </w:rPr>
        <w:t>dans des conditions</w:t>
      </w:r>
      <w:r w:rsidRPr="00B26CCF">
        <w:rPr>
          <w:lang w:val="fr-FR"/>
        </w:rPr>
        <w:t xml:space="preserve"> d</w:t>
      </w:r>
      <w:r>
        <w:rPr>
          <w:lang w:val="fr-FR"/>
        </w:rPr>
        <w:t>’</w:t>
      </w:r>
      <w:r w:rsidRPr="00B26CCF">
        <w:rPr>
          <w:lang w:val="fr-FR"/>
        </w:rPr>
        <w:t>égalité</w:t>
      </w:r>
      <w:r w:rsidRPr="00293268">
        <w:rPr>
          <w:lang w:val="fr-FR"/>
        </w:rPr>
        <w:t>. Des taux de mortalité plus élevés à tous les âges</w:t>
      </w:r>
      <w:r>
        <w:rPr>
          <w:lang w:val="fr-FR"/>
        </w:rPr>
        <w:t xml:space="preserve"> de la vie</w:t>
      </w:r>
      <w:r w:rsidRPr="00293268">
        <w:rPr>
          <w:lang w:val="fr-FR"/>
        </w:rPr>
        <w:t xml:space="preserve"> et une incidence </w:t>
      </w:r>
      <w:r>
        <w:rPr>
          <w:lang w:val="fr-FR"/>
        </w:rPr>
        <w:t>plus élevée de</w:t>
      </w:r>
      <w:r w:rsidRPr="00293268">
        <w:rPr>
          <w:lang w:val="fr-FR"/>
        </w:rPr>
        <w:t xml:space="preserve"> problèmes de santé par rapport aux autres groupes ethniques ont également été signalés, </w:t>
      </w:r>
      <w:r>
        <w:rPr>
          <w:lang w:val="fr-FR"/>
        </w:rPr>
        <w:t>en particulier</w:t>
      </w:r>
      <w:r w:rsidRPr="00293268">
        <w:rPr>
          <w:lang w:val="fr-FR"/>
        </w:rPr>
        <w:t xml:space="preserve"> dans les pays où il existe d</w:t>
      </w:r>
      <w:r>
        <w:rPr>
          <w:lang w:val="fr-FR"/>
        </w:rPr>
        <w:t>’importantes</w:t>
      </w:r>
      <w:r w:rsidRPr="00293268">
        <w:rPr>
          <w:lang w:val="fr-FR"/>
        </w:rPr>
        <w:t xml:space="preserve"> </w:t>
      </w:r>
      <w:r>
        <w:rPr>
          <w:lang w:val="fr-FR"/>
        </w:rPr>
        <w:t>populations</w:t>
      </w:r>
      <w:r w:rsidRPr="00293268">
        <w:rPr>
          <w:lang w:val="fr-FR"/>
        </w:rPr>
        <w:t xml:space="preserve"> d</w:t>
      </w:r>
      <w:r>
        <w:rPr>
          <w:lang w:val="fr-FR"/>
        </w:rPr>
        <w:t>’</w:t>
      </w:r>
      <w:r w:rsidRPr="00293268">
        <w:rPr>
          <w:lang w:val="fr-FR"/>
        </w:rPr>
        <w:t>ascendance africaine</w:t>
      </w:r>
      <w:r w:rsidRPr="00CD6B67">
        <w:rPr>
          <w:rStyle w:val="FootnoteReference"/>
        </w:rPr>
        <w:footnoteReference w:id="63"/>
      </w:r>
      <w:r w:rsidRPr="00293268">
        <w:rPr>
          <w:lang w:val="fr-FR"/>
        </w:rPr>
        <w:t xml:space="preserve">. </w:t>
      </w:r>
      <w:r w:rsidRPr="0037680E">
        <w:rPr>
          <w:lang w:val="fr-FR"/>
        </w:rPr>
        <w:t>Des études montrent que l</w:t>
      </w:r>
      <w:r>
        <w:rPr>
          <w:lang w:val="fr-FR"/>
        </w:rPr>
        <w:t>a transmission du</w:t>
      </w:r>
      <w:r w:rsidRPr="0037680E">
        <w:rPr>
          <w:lang w:val="fr-FR"/>
        </w:rPr>
        <w:t xml:space="preserve"> traumatisme </w:t>
      </w:r>
      <w:r>
        <w:rPr>
          <w:lang w:val="fr-FR"/>
        </w:rPr>
        <w:t>du</w:t>
      </w:r>
      <w:r w:rsidRPr="0037680E">
        <w:rPr>
          <w:lang w:val="fr-FR"/>
        </w:rPr>
        <w:t xml:space="preserve"> racisme </w:t>
      </w:r>
      <w:r w:rsidRPr="002232CA">
        <w:rPr>
          <w:lang w:val="fr-FR"/>
        </w:rPr>
        <w:t xml:space="preserve">de génération en génération depuis des siècles </w:t>
      </w:r>
      <w:r w:rsidRPr="0037680E">
        <w:rPr>
          <w:lang w:val="fr-FR"/>
        </w:rPr>
        <w:t xml:space="preserve">a des </w:t>
      </w:r>
      <w:r>
        <w:rPr>
          <w:lang w:val="fr-FR"/>
        </w:rPr>
        <w:t>répercussions néfastes</w:t>
      </w:r>
      <w:r w:rsidRPr="0037680E">
        <w:rPr>
          <w:lang w:val="fr-FR"/>
        </w:rPr>
        <w:t xml:space="preserve"> sur la santé de certaines personnes d</w:t>
      </w:r>
      <w:r>
        <w:rPr>
          <w:lang w:val="fr-FR"/>
        </w:rPr>
        <w:t>’</w:t>
      </w:r>
      <w:r w:rsidRPr="0037680E">
        <w:rPr>
          <w:lang w:val="fr-FR"/>
        </w:rPr>
        <w:t>ascendance africaine</w:t>
      </w:r>
      <w:r w:rsidRPr="00CD6B67">
        <w:rPr>
          <w:rStyle w:val="FootnoteReference"/>
        </w:rPr>
        <w:footnoteReference w:id="64"/>
      </w:r>
      <w:r>
        <w:rPr>
          <w:lang w:val="fr-FR"/>
        </w:rPr>
        <w:t>.</w:t>
      </w:r>
      <w:r w:rsidRPr="00293268">
        <w:rPr>
          <w:lang w:val="fr-FR"/>
        </w:rPr>
        <w:t xml:space="preserve"> </w:t>
      </w:r>
      <w:r w:rsidRPr="006C6E53">
        <w:rPr>
          <w:lang w:val="fr-FR"/>
        </w:rPr>
        <w:t xml:space="preserve">Les microagressions racistes répétées et les expériences ordinaires du racisme sont sources de stress et de traumatisme et ont des </w:t>
      </w:r>
      <w:r>
        <w:rPr>
          <w:lang w:val="fr-FR"/>
        </w:rPr>
        <w:t>effets</w:t>
      </w:r>
      <w:r w:rsidRPr="006C6E53">
        <w:rPr>
          <w:lang w:val="fr-FR"/>
        </w:rPr>
        <w:t xml:space="preserve"> disproportionnés sur leur santé, en particulier leur santé mentale</w:t>
      </w:r>
      <w:r w:rsidRPr="00CD6B67">
        <w:rPr>
          <w:rStyle w:val="FootnoteReference"/>
        </w:rPr>
        <w:footnoteReference w:id="65"/>
      </w:r>
      <w:r>
        <w:rPr>
          <w:lang w:val="fr-FR"/>
        </w:rPr>
        <w:t>.</w:t>
      </w:r>
      <w:r w:rsidRPr="00293268">
        <w:rPr>
          <w:lang w:val="fr-FR"/>
        </w:rPr>
        <w:t xml:space="preserve"> </w:t>
      </w:r>
      <w:r w:rsidRPr="00347FB7">
        <w:rPr>
          <w:lang w:val="fr-FR"/>
        </w:rPr>
        <w:t xml:space="preserve">En outre, des </w:t>
      </w:r>
      <w:r>
        <w:rPr>
          <w:lang w:val="fr-FR"/>
        </w:rPr>
        <w:t>études</w:t>
      </w:r>
      <w:r w:rsidRPr="00347FB7">
        <w:rPr>
          <w:lang w:val="fr-FR"/>
        </w:rPr>
        <w:t xml:space="preserve"> menées aux États-Unis </w:t>
      </w:r>
      <w:r>
        <w:rPr>
          <w:lang w:val="fr-FR"/>
        </w:rPr>
        <w:t>révèlent</w:t>
      </w:r>
      <w:r w:rsidRPr="00347FB7">
        <w:rPr>
          <w:lang w:val="fr-FR"/>
        </w:rPr>
        <w:t xml:space="preserve"> que les préjugés et les stéréotypes raciaux des prestataires de soins se répercutent sur la qualité des soins de santé dispensés aux personnes d</w:t>
      </w:r>
      <w:r>
        <w:rPr>
          <w:lang w:val="fr-FR"/>
        </w:rPr>
        <w:t>’</w:t>
      </w:r>
      <w:r w:rsidRPr="00347FB7">
        <w:rPr>
          <w:lang w:val="fr-FR"/>
        </w:rPr>
        <w:t>ascendance africaine</w:t>
      </w:r>
      <w:r w:rsidRPr="00CD6B67">
        <w:rPr>
          <w:rStyle w:val="FootnoteReference"/>
        </w:rPr>
        <w:footnoteReference w:id="66"/>
      </w:r>
      <w:r>
        <w:rPr>
          <w:lang w:val="fr-FR"/>
        </w:rPr>
        <w:t>.</w:t>
      </w:r>
      <w:r w:rsidRPr="00293268">
        <w:rPr>
          <w:lang w:val="fr-FR"/>
        </w:rPr>
        <w:t xml:space="preserve"> </w:t>
      </w:r>
      <w:r w:rsidRPr="00D73AAD">
        <w:rPr>
          <w:lang w:val="fr-FR"/>
        </w:rPr>
        <w:t>Au Royaume-Uni, les données officielles indiquaient en 2020 que si la mortalité maternelle concern</w:t>
      </w:r>
      <w:r>
        <w:rPr>
          <w:lang w:val="fr-FR"/>
        </w:rPr>
        <w:t>ait</w:t>
      </w:r>
      <w:r w:rsidRPr="00D73AAD">
        <w:rPr>
          <w:lang w:val="fr-FR"/>
        </w:rPr>
        <w:t xml:space="preserve"> désormais moins </w:t>
      </w:r>
      <w:r w:rsidR="00231FD7">
        <w:rPr>
          <w:lang w:val="fr-FR"/>
        </w:rPr>
        <w:t>de 1 </w:t>
      </w:r>
      <w:r w:rsidRPr="00D73AAD">
        <w:rPr>
          <w:lang w:val="fr-FR"/>
        </w:rPr>
        <w:t>grossesse sur 10</w:t>
      </w:r>
      <w:r w:rsidR="00231FD7">
        <w:rPr>
          <w:lang w:val="fr-FR"/>
        </w:rPr>
        <w:t> </w:t>
      </w:r>
      <w:r w:rsidRPr="00D73AAD">
        <w:rPr>
          <w:lang w:val="fr-FR"/>
        </w:rPr>
        <w:t xml:space="preserve">000, </w:t>
      </w:r>
      <w:r>
        <w:rPr>
          <w:lang w:val="fr-FR"/>
        </w:rPr>
        <w:t>l’écart</w:t>
      </w:r>
      <w:r w:rsidRPr="00D73AAD">
        <w:rPr>
          <w:lang w:val="fr-FR"/>
        </w:rPr>
        <w:t xml:space="preserve"> entre les femmes noires et les femmes blanches s</w:t>
      </w:r>
      <w:r>
        <w:rPr>
          <w:lang w:val="fr-FR"/>
        </w:rPr>
        <w:t>’était</w:t>
      </w:r>
      <w:r w:rsidRPr="00D73AAD">
        <w:rPr>
          <w:lang w:val="fr-FR"/>
        </w:rPr>
        <w:t xml:space="preserve"> creusé et les britanniques noires </w:t>
      </w:r>
      <w:r>
        <w:rPr>
          <w:lang w:val="fr-FR"/>
        </w:rPr>
        <w:t>étaient</w:t>
      </w:r>
      <w:r w:rsidRPr="00D73AAD">
        <w:rPr>
          <w:lang w:val="fr-FR"/>
        </w:rPr>
        <w:t xml:space="preserve"> cinq fois plus susceptibles de mourir pendant leur grossesse ou six semaines après leur accouchement que les blanches</w:t>
      </w:r>
      <w:r w:rsidRPr="00CD6B67">
        <w:rPr>
          <w:rStyle w:val="FootnoteReference"/>
        </w:rPr>
        <w:footnoteReference w:id="67"/>
      </w:r>
      <w:r>
        <w:rPr>
          <w:lang w:val="fr-FR"/>
        </w:rPr>
        <w:t>.</w:t>
      </w:r>
    </w:p>
    <w:p w14:paraId="2334C089" w14:textId="60869F26" w:rsidR="00865E37" w:rsidRPr="00293268" w:rsidRDefault="00865E37" w:rsidP="00865E37">
      <w:pPr>
        <w:pStyle w:val="SingleTxtG"/>
        <w:rPr>
          <w:lang w:val="fr-FR"/>
        </w:rPr>
      </w:pPr>
      <w:r w:rsidRPr="00293268">
        <w:rPr>
          <w:lang w:val="fr-FR"/>
        </w:rPr>
        <w:t>29.</w:t>
      </w:r>
      <w:r w:rsidRPr="00293268">
        <w:rPr>
          <w:lang w:val="fr-FR"/>
        </w:rPr>
        <w:tab/>
        <w:t>Les inégalités structurelles de longue date dans le domaine de la santé et en ce qui concerne les principaux déterminants sociaux de la santé ont été aggravées par la pandémie de maladie à coronavirus 2019 (COVID-19)</w:t>
      </w:r>
      <w:r w:rsidRPr="00CD6B67">
        <w:rPr>
          <w:rStyle w:val="FootnoteReference"/>
        </w:rPr>
        <w:footnoteReference w:id="68"/>
      </w:r>
      <w:r w:rsidRPr="00293268">
        <w:rPr>
          <w:lang w:val="fr-FR"/>
        </w:rPr>
        <w:t xml:space="preserve">. </w:t>
      </w:r>
      <w:r w:rsidRPr="00C77D40">
        <w:rPr>
          <w:lang w:val="fr-FR"/>
        </w:rPr>
        <w:t>Dans un certain nombre de pays, les taux d</w:t>
      </w:r>
      <w:r>
        <w:rPr>
          <w:lang w:val="fr-FR"/>
        </w:rPr>
        <w:t>’</w:t>
      </w:r>
      <w:r w:rsidRPr="00C77D40">
        <w:rPr>
          <w:lang w:val="fr-FR"/>
        </w:rPr>
        <w:t>infection, d</w:t>
      </w:r>
      <w:r>
        <w:rPr>
          <w:lang w:val="fr-FR"/>
        </w:rPr>
        <w:t>’</w:t>
      </w:r>
      <w:r w:rsidRPr="00C77D40">
        <w:rPr>
          <w:lang w:val="fr-FR"/>
        </w:rPr>
        <w:t>hospitalisation et de mortalité dus à la COVID-19 enregistrés chez les personnes d</w:t>
      </w:r>
      <w:r>
        <w:rPr>
          <w:lang w:val="fr-FR"/>
        </w:rPr>
        <w:t>’</w:t>
      </w:r>
      <w:r w:rsidRPr="00C77D40">
        <w:rPr>
          <w:lang w:val="fr-FR"/>
        </w:rPr>
        <w:t xml:space="preserve">ascendance africaine </w:t>
      </w:r>
      <w:r>
        <w:rPr>
          <w:lang w:val="fr-FR"/>
        </w:rPr>
        <w:t>ont été</w:t>
      </w:r>
      <w:r w:rsidRPr="00C77D40">
        <w:rPr>
          <w:lang w:val="fr-FR"/>
        </w:rPr>
        <w:t xml:space="preserve"> plus élevés que dans le reste de la population</w:t>
      </w:r>
      <w:r w:rsidRPr="00CD6B67">
        <w:rPr>
          <w:rStyle w:val="FootnoteReference"/>
        </w:rPr>
        <w:footnoteReference w:id="69"/>
      </w:r>
      <w:r>
        <w:rPr>
          <w:lang w:val="fr-FR"/>
        </w:rPr>
        <w:t>.</w:t>
      </w:r>
      <w:r w:rsidRPr="00293268">
        <w:rPr>
          <w:lang w:val="fr-FR"/>
        </w:rPr>
        <w:t xml:space="preserve"> </w:t>
      </w:r>
      <w:r w:rsidRPr="00D61FBA">
        <w:rPr>
          <w:lang w:val="fr-FR"/>
        </w:rPr>
        <w:t>Par</w:t>
      </w:r>
      <w:r w:rsidR="005213AD">
        <w:rPr>
          <w:lang w:val="fr-FR"/>
        </w:rPr>
        <w:t> </w:t>
      </w:r>
      <w:r w:rsidRPr="00D61FBA">
        <w:rPr>
          <w:lang w:val="fr-FR"/>
        </w:rPr>
        <w:t xml:space="preserve">exemple, en 2020 aux États-Unis, les Afro-Américains </w:t>
      </w:r>
      <w:r>
        <w:rPr>
          <w:lang w:val="fr-FR"/>
        </w:rPr>
        <w:t>av</w:t>
      </w:r>
      <w:r w:rsidRPr="00D61FBA">
        <w:rPr>
          <w:lang w:val="fr-FR"/>
        </w:rPr>
        <w:t>aient trois fois plus de risques d</w:t>
      </w:r>
      <w:r>
        <w:rPr>
          <w:lang w:val="fr-FR"/>
        </w:rPr>
        <w:t>’</w:t>
      </w:r>
      <w:r w:rsidRPr="00D61FBA">
        <w:rPr>
          <w:lang w:val="fr-FR"/>
        </w:rPr>
        <w:t xml:space="preserve">être contaminés par le coronavirus et près de deux fois plus de </w:t>
      </w:r>
      <w:r>
        <w:rPr>
          <w:lang w:val="fr-FR"/>
        </w:rPr>
        <w:t>risques</w:t>
      </w:r>
      <w:r w:rsidRPr="00D61FBA">
        <w:rPr>
          <w:lang w:val="fr-FR"/>
        </w:rPr>
        <w:t xml:space="preserve"> de mourir de la COVID</w:t>
      </w:r>
      <w:r w:rsidR="005213AD">
        <w:rPr>
          <w:lang w:val="fr-FR"/>
        </w:rPr>
        <w:noBreakHyphen/>
      </w:r>
      <w:r w:rsidRPr="00D61FBA">
        <w:rPr>
          <w:lang w:val="fr-FR"/>
        </w:rPr>
        <w:t>19 que les Blancs</w:t>
      </w:r>
      <w:r w:rsidRPr="00CD6B67">
        <w:rPr>
          <w:rStyle w:val="FootnoteReference"/>
        </w:rPr>
        <w:footnoteReference w:id="70"/>
      </w:r>
      <w:r>
        <w:rPr>
          <w:lang w:val="fr-FR"/>
        </w:rPr>
        <w:t>.</w:t>
      </w:r>
      <w:r w:rsidRPr="00293268">
        <w:rPr>
          <w:lang w:val="fr-FR"/>
        </w:rPr>
        <w:t xml:space="preserve"> </w:t>
      </w:r>
      <w:r w:rsidRPr="00241AAA">
        <w:rPr>
          <w:lang w:val="fr-FR"/>
        </w:rPr>
        <w:t xml:space="preserve">En Norvège, selon les informations communiquées, les personnes nées en Somalie ont </w:t>
      </w:r>
      <w:r>
        <w:rPr>
          <w:lang w:val="fr-FR"/>
        </w:rPr>
        <w:t xml:space="preserve">présenté </w:t>
      </w:r>
      <w:r w:rsidRPr="00241AAA">
        <w:rPr>
          <w:lang w:val="fr-FR"/>
        </w:rPr>
        <w:t>des taux d</w:t>
      </w:r>
      <w:r>
        <w:rPr>
          <w:lang w:val="fr-FR"/>
        </w:rPr>
        <w:t>’</w:t>
      </w:r>
      <w:r w:rsidRPr="00241AAA">
        <w:rPr>
          <w:lang w:val="fr-FR"/>
        </w:rPr>
        <w:t xml:space="preserve">infection plus de </w:t>
      </w:r>
      <w:r w:rsidR="005213AD">
        <w:rPr>
          <w:lang w:val="fr-FR"/>
        </w:rPr>
        <w:t>10 </w:t>
      </w:r>
      <w:r w:rsidRPr="00241AAA">
        <w:rPr>
          <w:lang w:val="fr-FR"/>
        </w:rPr>
        <w:t>fois supérieurs à la moyenne nationale</w:t>
      </w:r>
      <w:r w:rsidRPr="00CD6B67">
        <w:rPr>
          <w:rStyle w:val="FootnoteReference"/>
        </w:rPr>
        <w:footnoteReference w:id="71"/>
      </w:r>
      <w:r w:rsidRPr="00293268">
        <w:rPr>
          <w:lang w:val="fr-FR"/>
        </w:rPr>
        <w:t xml:space="preserve"> </w:t>
      </w:r>
      <w:r w:rsidRPr="00A8716A">
        <w:rPr>
          <w:lang w:val="fr-FR"/>
        </w:rPr>
        <w:t>et à Sao Paulo</w:t>
      </w:r>
      <w:r>
        <w:rPr>
          <w:lang w:val="fr-FR"/>
        </w:rPr>
        <w:t>,</w:t>
      </w:r>
      <w:r w:rsidRPr="00A8716A">
        <w:rPr>
          <w:lang w:val="fr-FR"/>
        </w:rPr>
        <w:t xml:space="preserve"> au Brésil, les personnes de couleur </w:t>
      </w:r>
      <w:r>
        <w:rPr>
          <w:lang w:val="fr-FR"/>
        </w:rPr>
        <w:t>avaient</w:t>
      </w:r>
      <w:r w:rsidRPr="00A8716A">
        <w:rPr>
          <w:lang w:val="fr-FR"/>
        </w:rPr>
        <w:t xml:space="preserve"> 62</w:t>
      </w:r>
      <w:r w:rsidR="00E53DDC">
        <w:rPr>
          <w:lang w:val="fr-FR"/>
        </w:rPr>
        <w:t> %</w:t>
      </w:r>
      <w:r w:rsidRPr="00A8716A">
        <w:rPr>
          <w:lang w:val="fr-FR"/>
        </w:rPr>
        <w:t xml:space="preserve"> plus de risques de mourir de la COVID-19 que les </w:t>
      </w:r>
      <w:r w:rsidR="00716575">
        <w:rPr>
          <w:lang w:val="fr-FR"/>
        </w:rPr>
        <w:t>B</w:t>
      </w:r>
      <w:r>
        <w:rPr>
          <w:lang w:val="fr-FR"/>
        </w:rPr>
        <w:t>lancs</w:t>
      </w:r>
      <w:r w:rsidRPr="00CD6B67">
        <w:rPr>
          <w:rStyle w:val="FootnoteReference"/>
        </w:rPr>
        <w:footnoteReference w:id="72"/>
      </w:r>
      <w:r>
        <w:rPr>
          <w:lang w:val="fr-FR"/>
        </w:rPr>
        <w:t>.</w:t>
      </w:r>
      <w:r w:rsidRPr="00293268">
        <w:rPr>
          <w:lang w:val="fr-FR"/>
        </w:rPr>
        <w:t xml:space="preserve"> </w:t>
      </w:r>
      <w:r>
        <w:rPr>
          <w:lang w:val="fr-FR"/>
        </w:rPr>
        <w:t xml:space="preserve">Il a été rapporté que les </w:t>
      </w:r>
      <w:r w:rsidRPr="00AA53BE">
        <w:rPr>
          <w:lang w:val="fr-FR"/>
        </w:rPr>
        <w:t>femmes et les hommes d</w:t>
      </w:r>
      <w:r>
        <w:rPr>
          <w:lang w:val="fr-FR"/>
        </w:rPr>
        <w:t>’</w:t>
      </w:r>
      <w:r w:rsidRPr="00AA53BE">
        <w:rPr>
          <w:lang w:val="fr-FR"/>
        </w:rPr>
        <w:t xml:space="preserve">ascendance africaine avaient respectivement 4,3 et 4,2 fois plus de risques de mourir de la COVID-19 que les </w:t>
      </w:r>
      <w:r w:rsidR="006E6C49">
        <w:rPr>
          <w:lang w:val="fr-FR"/>
        </w:rPr>
        <w:t>B</w:t>
      </w:r>
      <w:r w:rsidRPr="00AA53BE">
        <w:rPr>
          <w:lang w:val="fr-FR"/>
        </w:rPr>
        <w:t>lancs au Royaume-Uni</w:t>
      </w:r>
      <w:r w:rsidRPr="00CD6B67">
        <w:rPr>
          <w:rStyle w:val="FootnoteReference"/>
        </w:rPr>
        <w:footnoteReference w:id="73"/>
      </w:r>
      <w:r>
        <w:rPr>
          <w:lang w:val="fr-FR"/>
        </w:rPr>
        <w:t>.</w:t>
      </w:r>
      <w:r w:rsidRPr="00293268">
        <w:rPr>
          <w:lang w:val="fr-FR"/>
        </w:rPr>
        <w:t xml:space="preserve"> </w:t>
      </w:r>
      <w:r w:rsidRPr="00346BFD">
        <w:rPr>
          <w:lang w:val="fr-FR"/>
        </w:rPr>
        <w:t>En outre, en 2020, les mécanismes relatifs aux droits de l</w:t>
      </w:r>
      <w:r>
        <w:rPr>
          <w:lang w:val="fr-FR"/>
        </w:rPr>
        <w:t>’</w:t>
      </w:r>
      <w:r w:rsidRPr="00346BFD">
        <w:rPr>
          <w:lang w:val="fr-FR"/>
        </w:rPr>
        <w:t>homme de l</w:t>
      </w:r>
      <w:r>
        <w:rPr>
          <w:lang w:val="fr-FR"/>
        </w:rPr>
        <w:t>’</w:t>
      </w:r>
      <w:r w:rsidRPr="00346BFD">
        <w:rPr>
          <w:lang w:val="fr-FR"/>
        </w:rPr>
        <w:t>ONU ont fait part de leurs préoccupations concernant la discrimination raciale, la xénophobie, les expulsions forcées et le ciblage disproportionné des Africains et des personnes d</w:t>
      </w:r>
      <w:r>
        <w:rPr>
          <w:lang w:val="fr-FR"/>
        </w:rPr>
        <w:t>’</w:t>
      </w:r>
      <w:r w:rsidRPr="00346BFD">
        <w:rPr>
          <w:lang w:val="fr-FR"/>
        </w:rPr>
        <w:t>ascendance africaine par des acteurs publics et privés dans le cadre des mesures et des restrictions visant à contenir la pandémie dans certaines régions de Chine</w:t>
      </w:r>
      <w:r w:rsidRPr="00CD6B67">
        <w:rPr>
          <w:rStyle w:val="FootnoteReference"/>
        </w:rPr>
        <w:footnoteReference w:id="74"/>
      </w:r>
      <w:r>
        <w:rPr>
          <w:lang w:val="fr-FR"/>
        </w:rPr>
        <w:t>.</w:t>
      </w:r>
    </w:p>
    <w:p w14:paraId="39CB183E" w14:textId="084A4C77" w:rsidR="00865E37" w:rsidRPr="00293268" w:rsidRDefault="00865E37" w:rsidP="00865E37">
      <w:pPr>
        <w:pStyle w:val="SingleTxtG"/>
        <w:rPr>
          <w:lang w:val="fr-FR"/>
        </w:rPr>
      </w:pPr>
      <w:r w:rsidRPr="00293268">
        <w:rPr>
          <w:lang w:val="fr-FR"/>
        </w:rPr>
        <w:t>30.</w:t>
      </w:r>
      <w:r w:rsidRPr="00293268">
        <w:rPr>
          <w:lang w:val="fr-FR"/>
        </w:rPr>
        <w:tab/>
      </w:r>
      <w:r w:rsidRPr="004C04FB">
        <w:rPr>
          <w:lang w:val="fr-FR"/>
        </w:rPr>
        <w:t>Le Comité pour</w:t>
      </w:r>
      <w:r w:rsidRPr="00F31DA2">
        <w:rPr>
          <w:lang w:val="fr-FR"/>
        </w:rPr>
        <w:t xml:space="preserve"> l</w:t>
      </w:r>
      <w:r>
        <w:rPr>
          <w:lang w:val="fr-FR"/>
        </w:rPr>
        <w:t>’</w:t>
      </w:r>
      <w:r w:rsidRPr="00F31DA2">
        <w:rPr>
          <w:lang w:val="fr-FR"/>
        </w:rPr>
        <w:t>élimination de la discrimination raciale a constaté que l</w:t>
      </w:r>
      <w:r>
        <w:rPr>
          <w:lang w:val="fr-FR"/>
        </w:rPr>
        <w:t>’</w:t>
      </w:r>
      <w:r w:rsidRPr="00F31DA2">
        <w:rPr>
          <w:lang w:val="fr-FR"/>
        </w:rPr>
        <w:t>utilisation croissante de nouveaux outils technologiques, notamment de l</w:t>
      </w:r>
      <w:r>
        <w:rPr>
          <w:lang w:val="fr-FR"/>
        </w:rPr>
        <w:t>’</w:t>
      </w:r>
      <w:r w:rsidRPr="00F31DA2">
        <w:rPr>
          <w:lang w:val="fr-FR"/>
        </w:rPr>
        <w:t xml:space="preserve">intelligence artificielle, dans des secteurs comme la sécurité, le contrôle </w:t>
      </w:r>
      <w:r>
        <w:rPr>
          <w:lang w:val="fr-FR"/>
        </w:rPr>
        <w:t>aux</w:t>
      </w:r>
      <w:r w:rsidRPr="00F31DA2">
        <w:rPr>
          <w:lang w:val="fr-FR"/>
        </w:rPr>
        <w:t xml:space="preserve"> frontières et l</w:t>
      </w:r>
      <w:r>
        <w:rPr>
          <w:lang w:val="fr-FR"/>
        </w:rPr>
        <w:t>’</w:t>
      </w:r>
      <w:r w:rsidRPr="00F31DA2">
        <w:rPr>
          <w:lang w:val="fr-FR"/>
        </w:rPr>
        <w:t>accès aux services sociaux, est susceptible d</w:t>
      </w:r>
      <w:r>
        <w:rPr>
          <w:lang w:val="fr-FR"/>
        </w:rPr>
        <w:t>’exacerber</w:t>
      </w:r>
      <w:r w:rsidRPr="00F31DA2">
        <w:rPr>
          <w:lang w:val="fr-FR"/>
        </w:rPr>
        <w:t xml:space="preserve"> le racisme, la discrimination raciale, la xénophobie et d</w:t>
      </w:r>
      <w:r>
        <w:rPr>
          <w:lang w:val="fr-FR"/>
        </w:rPr>
        <w:t>’</w:t>
      </w:r>
      <w:r w:rsidRPr="00F31DA2">
        <w:rPr>
          <w:lang w:val="fr-FR"/>
        </w:rPr>
        <w:t>autres formes d</w:t>
      </w:r>
      <w:r>
        <w:rPr>
          <w:lang w:val="fr-FR"/>
        </w:rPr>
        <w:t>’</w:t>
      </w:r>
      <w:r w:rsidRPr="00F31DA2">
        <w:rPr>
          <w:lang w:val="fr-FR"/>
        </w:rPr>
        <w:t>exclusion</w:t>
      </w:r>
      <w:r w:rsidRPr="00CD6B67">
        <w:rPr>
          <w:rStyle w:val="FootnoteReference"/>
        </w:rPr>
        <w:footnoteReference w:id="75"/>
      </w:r>
      <w:r>
        <w:rPr>
          <w:lang w:val="fr-FR"/>
        </w:rPr>
        <w:t>.</w:t>
      </w:r>
      <w:r w:rsidRPr="00293268">
        <w:rPr>
          <w:lang w:val="fr-FR"/>
        </w:rPr>
        <w:t xml:space="preserve"> </w:t>
      </w:r>
      <w:r w:rsidRPr="00020C60">
        <w:rPr>
          <w:lang w:val="fr-FR"/>
        </w:rPr>
        <w:t xml:space="preserve">Ainsi, aux États-Unis, une étude de 2019 a révélé un </w:t>
      </w:r>
      <w:r>
        <w:rPr>
          <w:lang w:val="fr-FR"/>
        </w:rPr>
        <w:t>préjugé</w:t>
      </w:r>
      <w:r w:rsidRPr="00020C60">
        <w:rPr>
          <w:lang w:val="fr-FR"/>
        </w:rPr>
        <w:t xml:space="preserve"> racial </w:t>
      </w:r>
      <w:r>
        <w:rPr>
          <w:lang w:val="fr-FR"/>
        </w:rPr>
        <w:t xml:space="preserve">important </w:t>
      </w:r>
      <w:r w:rsidRPr="00020C60">
        <w:rPr>
          <w:lang w:val="fr-FR"/>
        </w:rPr>
        <w:t xml:space="preserve">dans un algorithme commercial largement utilisé pour </w:t>
      </w:r>
      <w:r>
        <w:rPr>
          <w:lang w:val="fr-FR"/>
        </w:rPr>
        <w:t>déterminer si</w:t>
      </w:r>
      <w:r w:rsidRPr="00020C60">
        <w:rPr>
          <w:lang w:val="fr-FR"/>
        </w:rPr>
        <w:t xml:space="preserve"> les patients </w:t>
      </w:r>
      <w:r>
        <w:rPr>
          <w:lang w:val="fr-FR"/>
        </w:rPr>
        <w:t>doivent être orientés vers</w:t>
      </w:r>
      <w:r w:rsidRPr="00020C60">
        <w:rPr>
          <w:lang w:val="fr-FR"/>
        </w:rPr>
        <w:t xml:space="preserve"> des programmes </w:t>
      </w:r>
      <w:r>
        <w:rPr>
          <w:lang w:val="fr-FR"/>
        </w:rPr>
        <w:t xml:space="preserve">de prise en charge </w:t>
      </w:r>
      <w:r w:rsidRPr="00020C60">
        <w:rPr>
          <w:lang w:val="fr-FR"/>
        </w:rPr>
        <w:t>qui allouent des ressources supplémentaires considérables</w:t>
      </w:r>
      <w:r w:rsidR="00721042">
        <w:rPr>
          <w:lang w:val="fr-FR"/>
        </w:rPr>
        <w:t> </w:t>
      </w:r>
      <w:r w:rsidRPr="00020C60">
        <w:rPr>
          <w:lang w:val="fr-FR"/>
        </w:rPr>
        <w:t>: les patients blancs étaient beaucoup plus susceptibles d</w:t>
      </w:r>
      <w:r>
        <w:rPr>
          <w:lang w:val="fr-FR"/>
        </w:rPr>
        <w:t>’</w:t>
      </w:r>
      <w:r w:rsidRPr="00020C60">
        <w:rPr>
          <w:lang w:val="fr-FR"/>
        </w:rPr>
        <w:t xml:space="preserve">être </w:t>
      </w:r>
      <w:r>
        <w:rPr>
          <w:lang w:val="fr-FR"/>
        </w:rPr>
        <w:t>orientés vers ce</w:t>
      </w:r>
      <w:r w:rsidRPr="00020C60">
        <w:rPr>
          <w:lang w:val="fr-FR"/>
        </w:rPr>
        <w:t xml:space="preserve"> le programme et de bénéficier de ses ressources que les patients noirs </w:t>
      </w:r>
      <w:r>
        <w:rPr>
          <w:lang w:val="fr-FR"/>
        </w:rPr>
        <w:t>ayant</w:t>
      </w:r>
      <w:r w:rsidRPr="00020C60">
        <w:rPr>
          <w:lang w:val="fr-FR"/>
        </w:rPr>
        <w:t xml:space="preserve"> un état de santé comparable</w:t>
      </w:r>
      <w:r w:rsidRPr="00CD6B67">
        <w:rPr>
          <w:rStyle w:val="FootnoteReference"/>
        </w:rPr>
        <w:footnoteReference w:id="76"/>
      </w:r>
      <w:r>
        <w:rPr>
          <w:lang w:val="fr-FR"/>
        </w:rPr>
        <w:t>.</w:t>
      </w:r>
      <w:r w:rsidRPr="00293268">
        <w:rPr>
          <w:lang w:val="fr-FR"/>
        </w:rPr>
        <w:t xml:space="preserve"> </w:t>
      </w:r>
      <w:r w:rsidRPr="003F318A">
        <w:rPr>
          <w:lang w:val="fr-FR"/>
        </w:rPr>
        <w:t xml:space="preserve">De même, en Suisse, </w:t>
      </w:r>
      <w:r>
        <w:rPr>
          <w:lang w:val="fr-FR"/>
        </w:rPr>
        <w:t>des</w:t>
      </w:r>
      <w:r w:rsidRPr="003F318A">
        <w:rPr>
          <w:lang w:val="fr-FR"/>
        </w:rPr>
        <w:t xml:space="preserve"> hôpitaux utiliseraient des algorithmes de santé qui «</w:t>
      </w:r>
      <w:r w:rsidR="00721042">
        <w:rPr>
          <w:lang w:val="fr-FR"/>
        </w:rPr>
        <w:t> </w:t>
      </w:r>
      <w:r w:rsidRPr="003F318A">
        <w:rPr>
          <w:lang w:val="fr-FR"/>
        </w:rPr>
        <w:t>exercent une discrimination à l</w:t>
      </w:r>
      <w:r>
        <w:rPr>
          <w:lang w:val="fr-FR"/>
        </w:rPr>
        <w:t>’</w:t>
      </w:r>
      <w:r w:rsidRPr="003F318A">
        <w:rPr>
          <w:lang w:val="fr-FR"/>
        </w:rPr>
        <w:t>égard des patients noirs »</w:t>
      </w:r>
      <w:r w:rsidRPr="00CD6B67">
        <w:rPr>
          <w:rStyle w:val="FootnoteReference"/>
        </w:rPr>
        <w:footnoteReference w:id="77"/>
      </w:r>
      <w:r>
        <w:rPr>
          <w:lang w:val="fr-FR"/>
        </w:rPr>
        <w:t>.</w:t>
      </w:r>
      <w:r w:rsidRPr="00293268">
        <w:rPr>
          <w:lang w:val="fr-FR"/>
        </w:rPr>
        <w:t xml:space="preserve"> </w:t>
      </w:r>
      <w:r w:rsidRPr="0058089C">
        <w:rPr>
          <w:lang w:val="fr-FR"/>
        </w:rPr>
        <w:t xml:space="preserve">En ce qui concerne le logement, des études menées aux États-Unis en 2016 ont montré que la discrimination ethnique dans les publicités ciblées de Facebook pourrait être utilisée pour empêcher les personnes noires de consulter </w:t>
      </w:r>
      <w:r>
        <w:rPr>
          <w:lang w:val="fr-FR"/>
        </w:rPr>
        <w:t>certaines</w:t>
      </w:r>
      <w:r w:rsidRPr="0058089C">
        <w:rPr>
          <w:lang w:val="fr-FR"/>
        </w:rPr>
        <w:t xml:space="preserve"> annonces de logement</w:t>
      </w:r>
      <w:r w:rsidRPr="00CD6B67">
        <w:rPr>
          <w:rStyle w:val="FootnoteReference"/>
        </w:rPr>
        <w:footnoteReference w:id="78"/>
      </w:r>
      <w:r>
        <w:rPr>
          <w:lang w:val="fr-FR"/>
        </w:rPr>
        <w:t>.</w:t>
      </w:r>
      <w:r w:rsidRPr="00293268">
        <w:rPr>
          <w:lang w:val="fr-FR"/>
        </w:rPr>
        <w:t xml:space="preserve"> </w:t>
      </w:r>
      <w:r>
        <w:rPr>
          <w:lang w:val="fr-FR"/>
        </w:rPr>
        <w:t xml:space="preserve">Parmi les </w:t>
      </w:r>
      <w:r w:rsidRPr="001D5D1E">
        <w:rPr>
          <w:lang w:val="fr-FR"/>
        </w:rPr>
        <w:t xml:space="preserve">autres exemples </w:t>
      </w:r>
      <w:r>
        <w:rPr>
          <w:lang w:val="fr-FR"/>
        </w:rPr>
        <w:t xml:space="preserve">figurent </w:t>
      </w:r>
      <w:r w:rsidRPr="001D5D1E">
        <w:rPr>
          <w:lang w:val="fr-FR"/>
        </w:rPr>
        <w:t>les algorithmes que les écoles personnalisent et utilisent pour les admissions</w:t>
      </w:r>
      <w:r w:rsidRPr="00CD6B67">
        <w:rPr>
          <w:rStyle w:val="FootnoteReference"/>
        </w:rPr>
        <w:footnoteReference w:id="79"/>
      </w:r>
      <w:r>
        <w:rPr>
          <w:lang w:val="fr-FR"/>
        </w:rPr>
        <w:t>.</w:t>
      </w:r>
      <w:r w:rsidRPr="00293268">
        <w:rPr>
          <w:lang w:val="fr-FR"/>
        </w:rPr>
        <w:t xml:space="preserve"> </w:t>
      </w:r>
      <w:r w:rsidRPr="009B389C">
        <w:rPr>
          <w:lang w:val="fr-FR"/>
        </w:rPr>
        <w:t xml:space="preserve">Dans le contexte </w:t>
      </w:r>
      <w:r>
        <w:rPr>
          <w:lang w:val="fr-FR"/>
        </w:rPr>
        <w:t>des</w:t>
      </w:r>
      <w:r w:rsidRPr="009B389C">
        <w:rPr>
          <w:lang w:val="fr-FR"/>
        </w:rPr>
        <w:t xml:space="preserve"> migration</w:t>
      </w:r>
      <w:r>
        <w:rPr>
          <w:lang w:val="fr-FR"/>
        </w:rPr>
        <w:t>s</w:t>
      </w:r>
      <w:r w:rsidRPr="009B389C">
        <w:rPr>
          <w:lang w:val="fr-FR"/>
        </w:rPr>
        <w:t xml:space="preserve">, </w:t>
      </w:r>
      <w:r>
        <w:rPr>
          <w:lang w:val="fr-FR"/>
        </w:rPr>
        <w:t xml:space="preserve">il semblerait que </w:t>
      </w:r>
      <w:r w:rsidRPr="009B389C">
        <w:rPr>
          <w:lang w:val="fr-FR"/>
        </w:rPr>
        <w:t>malgré le fait que même avec les meilleurs algorithmes, il y ait 20 fois plus d</w:t>
      </w:r>
      <w:r>
        <w:rPr>
          <w:lang w:val="fr-FR"/>
        </w:rPr>
        <w:t>’</w:t>
      </w:r>
      <w:r w:rsidRPr="009B389C">
        <w:rPr>
          <w:lang w:val="fr-FR"/>
        </w:rPr>
        <w:t>erreurs dans la reconnaissance des femmes noires que des hommes blancs, ces techniques sont de plus en plus utilisées dans le monde</w:t>
      </w:r>
      <w:r w:rsidRPr="00CD6B67">
        <w:rPr>
          <w:rStyle w:val="FootnoteReference"/>
        </w:rPr>
        <w:footnoteReference w:id="80"/>
      </w:r>
      <w:r>
        <w:rPr>
          <w:lang w:val="fr-FR"/>
        </w:rPr>
        <w:t>.</w:t>
      </w:r>
    </w:p>
    <w:p w14:paraId="3F6DDF83" w14:textId="77777777" w:rsidR="00865E37" w:rsidRPr="00293268" w:rsidRDefault="00865E37" w:rsidP="00865E37">
      <w:pPr>
        <w:pStyle w:val="SingleTxtG"/>
        <w:rPr>
          <w:lang w:val="fr-FR"/>
        </w:rPr>
      </w:pPr>
      <w:r w:rsidRPr="00293268">
        <w:rPr>
          <w:lang w:val="fr-FR"/>
        </w:rPr>
        <w:t>31.</w:t>
      </w:r>
      <w:r w:rsidRPr="00293268">
        <w:rPr>
          <w:lang w:val="fr-FR"/>
        </w:rPr>
        <w:tab/>
      </w:r>
      <w:r w:rsidRPr="001B6257">
        <w:rPr>
          <w:lang w:val="fr-FR"/>
        </w:rPr>
        <w:t>La reconnaissance et la protection du droit à la terre des personnes d</w:t>
      </w:r>
      <w:r>
        <w:rPr>
          <w:lang w:val="fr-FR"/>
        </w:rPr>
        <w:t>’</w:t>
      </w:r>
      <w:r w:rsidRPr="001B6257">
        <w:rPr>
          <w:lang w:val="fr-FR"/>
        </w:rPr>
        <w:t>ascendance africaine sont progressivement intégrées dans certains cadres réglementaires nationaux, notamment en Amérique latine</w:t>
      </w:r>
      <w:r w:rsidRPr="00293268">
        <w:rPr>
          <w:lang w:val="fr-FR"/>
        </w:rPr>
        <w:t xml:space="preserve">. </w:t>
      </w:r>
      <w:r w:rsidRPr="00E6557B">
        <w:rPr>
          <w:lang w:val="fr-FR"/>
        </w:rPr>
        <w:t>Toutefois, malgré l</w:t>
      </w:r>
      <w:r>
        <w:rPr>
          <w:lang w:val="fr-FR"/>
        </w:rPr>
        <w:t>’</w:t>
      </w:r>
      <w:r w:rsidRPr="00E6557B">
        <w:rPr>
          <w:lang w:val="fr-FR"/>
        </w:rPr>
        <w:t xml:space="preserve">adoption de mesures officielles visant à protéger les droits fonciers, des préoccupations ont été soulevées quant aux progrès limités réalisés dans </w:t>
      </w:r>
      <w:r>
        <w:rPr>
          <w:lang w:val="fr-FR"/>
        </w:rPr>
        <w:t>l’application</w:t>
      </w:r>
      <w:r w:rsidRPr="00E6557B">
        <w:rPr>
          <w:lang w:val="fr-FR"/>
        </w:rPr>
        <w:t xml:space="preserve"> de </w:t>
      </w:r>
      <w:r>
        <w:rPr>
          <w:lang w:val="fr-FR"/>
        </w:rPr>
        <w:t>ces lois et</w:t>
      </w:r>
      <w:r w:rsidRPr="00E6557B">
        <w:rPr>
          <w:lang w:val="fr-FR"/>
        </w:rPr>
        <w:t xml:space="preserve"> mesures, et au fait que les personnes d</w:t>
      </w:r>
      <w:r>
        <w:rPr>
          <w:lang w:val="fr-FR"/>
        </w:rPr>
        <w:t>’</w:t>
      </w:r>
      <w:r w:rsidRPr="00E6557B">
        <w:rPr>
          <w:lang w:val="fr-FR"/>
        </w:rPr>
        <w:t>ascendance africaine continuent d</w:t>
      </w:r>
      <w:r>
        <w:rPr>
          <w:lang w:val="fr-FR"/>
        </w:rPr>
        <w:t>’</w:t>
      </w:r>
      <w:r w:rsidRPr="00E6557B">
        <w:rPr>
          <w:lang w:val="fr-FR"/>
        </w:rPr>
        <w:t>être déplacées, dépossédées, ex</w:t>
      </w:r>
      <w:r>
        <w:rPr>
          <w:lang w:val="fr-FR"/>
        </w:rPr>
        <w:t>pulsée</w:t>
      </w:r>
      <w:r w:rsidRPr="00E6557B">
        <w:rPr>
          <w:lang w:val="fr-FR"/>
        </w:rPr>
        <w:t>s et expropriées de leurs terres dans certains pays</w:t>
      </w:r>
      <w:r w:rsidRPr="00CD6B67">
        <w:rPr>
          <w:rStyle w:val="FootnoteReference"/>
        </w:rPr>
        <w:footnoteReference w:id="81"/>
      </w:r>
      <w:r w:rsidRPr="00293268">
        <w:rPr>
          <w:lang w:val="fr-FR"/>
        </w:rPr>
        <w:t>.</w:t>
      </w:r>
    </w:p>
    <w:p w14:paraId="75246806" w14:textId="7C07220B" w:rsidR="00865E37" w:rsidRPr="00293268" w:rsidRDefault="00865E37" w:rsidP="00F37D50">
      <w:pPr>
        <w:pStyle w:val="H23G"/>
        <w:rPr>
          <w:lang w:val="fr-FR"/>
        </w:rPr>
      </w:pPr>
      <w:bookmarkStart w:id="61" w:name="_Toc73738822"/>
      <w:bookmarkStart w:id="62" w:name="_Toc74078705"/>
      <w:bookmarkStart w:id="63" w:name="_Toc74080634"/>
      <w:bookmarkStart w:id="64" w:name="_Toc74173700"/>
      <w:bookmarkStart w:id="65" w:name="_Toc75280461"/>
      <w:r w:rsidRPr="00293268">
        <w:rPr>
          <w:lang w:val="fr-FR"/>
        </w:rPr>
        <w:tab/>
        <w:t>2.</w:t>
      </w:r>
      <w:r w:rsidRPr="00293268">
        <w:rPr>
          <w:lang w:val="fr-FR"/>
        </w:rPr>
        <w:tab/>
      </w:r>
      <w:bookmarkEnd w:id="61"/>
      <w:bookmarkEnd w:id="62"/>
      <w:bookmarkEnd w:id="63"/>
      <w:bookmarkEnd w:id="64"/>
      <w:bookmarkEnd w:id="65"/>
      <w:r w:rsidRPr="0097601C">
        <w:rPr>
          <w:lang w:val="fr-FR"/>
        </w:rPr>
        <w:t>Marginalisation et droits civils et politiques</w:t>
      </w:r>
      <w:r w:rsidR="00E35339">
        <w:rPr>
          <w:lang w:val="fr-FR"/>
        </w:rPr>
        <w:t> </w:t>
      </w:r>
      <w:r w:rsidRPr="0097601C">
        <w:rPr>
          <w:lang w:val="fr-FR"/>
        </w:rPr>
        <w:t xml:space="preserve">: </w:t>
      </w:r>
      <w:r>
        <w:rPr>
          <w:lang w:val="fr-FR"/>
        </w:rPr>
        <w:t xml:space="preserve">manque de </w:t>
      </w:r>
      <w:r w:rsidRPr="0097601C">
        <w:rPr>
          <w:lang w:val="fr-FR"/>
        </w:rPr>
        <w:t xml:space="preserve">participation </w:t>
      </w:r>
      <w:r w:rsidR="00F37D50">
        <w:rPr>
          <w:lang w:val="fr-FR"/>
        </w:rPr>
        <w:br/>
      </w:r>
      <w:r w:rsidRPr="0097601C">
        <w:rPr>
          <w:lang w:val="fr-FR"/>
        </w:rPr>
        <w:t xml:space="preserve">et </w:t>
      </w:r>
      <w:r>
        <w:rPr>
          <w:lang w:val="fr-FR"/>
        </w:rPr>
        <w:t xml:space="preserve">de </w:t>
      </w:r>
      <w:r w:rsidRPr="0097601C">
        <w:rPr>
          <w:lang w:val="fr-FR"/>
        </w:rPr>
        <w:t>représentation, citoyenneté et immigration</w:t>
      </w:r>
    </w:p>
    <w:p w14:paraId="10B79A4E" w14:textId="1B9E0863" w:rsidR="00865E37" w:rsidRPr="00293268" w:rsidRDefault="00865E37" w:rsidP="00865E37">
      <w:pPr>
        <w:pStyle w:val="SingleTxtG"/>
        <w:rPr>
          <w:lang w:val="fr-FR"/>
        </w:rPr>
      </w:pPr>
      <w:r w:rsidRPr="00293268">
        <w:rPr>
          <w:lang w:val="fr-FR"/>
        </w:rPr>
        <w:t>32.</w:t>
      </w:r>
      <w:r w:rsidRPr="00293268">
        <w:rPr>
          <w:lang w:val="fr-FR"/>
        </w:rPr>
        <w:tab/>
        <w:t xml:space="preserve">Du fait de la racialisation de la pauvreté, </w:t>
      </w:r>
      <w:r>
        <w:rPr>
          <w:lang w:val="fr-FR"/>
        </w:rPr>
        <w:t>l</w:t>
      </w:r>
      <w:r w:rsidRPr="007F1DAB">
        <w:rPr>
          <w:lang w:val="fr-FR"/>
        </w:rPr>
        <w:t>es inégalités constatées dans l</w:t>
      </w:r>
      <w:r>
        <w:rPr>
          <w:lang w:val="fr-FR"/>
        </w:rPr>
        <w:t>’</w:t>
      </w:r>
      <w:r w:rsidRPr="007F1DAB">
        <w:rPr>
          <w:lang w:val="fr-FR"/>
        </w:rPr>
        <w:t>exercice, par les personnes d</w:t>
      </w:r>
      <w:r>
        <w:rPr>
          <w:lang w:val="fr-FR"/>
        </w:rPr>
        <w:t>’</w:t>
      </w:r>
      <w:r w:rsidRPr="007F1DAB">
        <w:rPr>
          <w:lang w:val="fr-FR"/>
        </w:rPr>
        <w:t xml:space="preserve">ascendance africaine, de leurs droits économiques et sociaux sont encore aggravées </w:t>
      </w:r>
      <w:r w:rsidRPr="009E0A60">
        <w:rPr>
          <w:lang w:val="fr-FR"/>
        </w:rPr>
        <w:t xml:space="preserve">par </w:t>
      </w:r>
      <w:r>
        <w:rPr>
          <w:lang w:val="fr-FR"/>
        </w:rPr>
        <w:t>leur</w:t>
      </w:r>
      <w:r w:rsidRPr="009E0A60">
        <w:rPr>
          <w:lang w:val="fr-FR"/>
        </w:rPr>
        <w:t xml:space="preserve"> </w:t>
      </w:r>
      <w:r>
        <w:rPr>
          <w:lang w:val="fr-FR"/>
        </w:rPr>
        <w:t xml:space="preserve">manque de </w:t>
      </w:r>
      <w:r w:rsidRPr="009E0A60">
        <w:rPr>
          <w:lang w:val="fr-FR"/>
        </w:rPr>
        <w:t xml:space="preserve">participation et </w:t>
      </w:r>
      <w:r>
        <w:rPr>
          <w:lang w:val="fr-FR"/>
        </w:rPr>
        <w:t>de</w:t>
      </w:r>
      <w:r w:rsidRPr="009E0A60">
        <w:rPr>
          <w:lang w:val="fr-FR"/>
        </w:rPr>
        <w:t xml:space="preserve"> représentation dans les processus décisionnels et </w:t>
      </w:r>
      <w:r>
        <w:rPr>
          <w:lang w:val="fr-FR"/>
        </w:rPr>
        <w:t>dans les affaires publiques</w:t>
      </w:r>
      <w:r w:rsidRPr="00CD6B67">
        <w:rPr>
          <w:rStyle w:val="FootnoteReference"/>
        </w:rPr>
        <w:footnoteReference w:id="82"/>
      </w:r>
      <w:r w:rsidRPr="00293268">
        <w:rPr>
          <w:lang w:val="fr-FR"/>
        </w:rPr>
        <w:t xml:space="preserve">. </w:t>
      </w:r>
      <w:r>
        <w:rPr>
          <w:lang w:val="fr-FR"/>
        </w:rPr>
        <w:t xml:space="preserve">Ce constat </w:t>
      </w:r>
      <w:r w:rsidRPr="00CC1794">
        <w:rPr>
          <w:lang w:val="fr-FR"/>
        </w:rPr>
        <w:t xml:space="preserve">met en évidence les inégalités raciales structurelles auxquelles </w:t>
      </w:r>
      <w:r>
        <w:rPr>
          <w:lang w:val="fr-FR"/>
        </w:rPr>
        <w:t>se heurtent c</w:t>
      </w:r>
      <w:r w:rsidRPr="00CC1794">
        <w:rPr>
          <w:lang w:val="fr-FR"/>
        </w:rPr>
        <w:t xml:space="preserve">es personnes pour accéder aux structures de pouvoir et </w:t>
      </w:r>
      <w:r>
        <w:rPr>
          <w:lang w:val="fr-FR"/>
        </w:rPr>
        <w:t xml:space="preserve">peser sur </w:t>
      </w:r>
      <w:r w:rsidRPr="00CC1794">
        <w:rPr>
          <w:lang w:val="fr-FR"/>
        </w:rPr>
        <w:t xml:space="preserve">les politiques, </w:t>
      </w:r>
      <w:r>
        <w:rPr>
          <w:lang w:val="fr-FR"/>
        </w:rPr>
        <w:t>ainsi que des</w:t>
      </w:r>
      <w:r w:rsidRPr="00CC1794">
        <w:rPr>
          <w:lang w:val="fr-FR"/>
        </w:rPr>
        <w:t xml:space="preserve"> mesures et pratiques qui ont un effet disproportionné sur leur droit de vote et leur participation à la vie publique</w:t>
      </w:r>
      <w:r w:rsidRPr="00293268">
        <w:rPr>
          <w:lang w:val="fr-FR"/>
        </w:rPr>
        <w:t xml:space="preserve">. Aux États-Unis, par exemple, </w:t>
      </w:r>
      <w:r>
        <w:rPr>
          <w:lang w:val="fr-FR"/>
        </w:rPr>
        <w:t>des</w:t>
      </w:r>
      <w:r w:rsidRPr="00293268">
        <w:rPr>
          <w:lang w:val="fr-FR"/>
        </w:rPr>
        <w:t xml:space="preserve"> personnes d</w:t>
      </w:r>
      <w:r>
        <w:rPr>
          <w:lang w:val="fr-FR"/>
        </w:rPr>
        <w:t>’</w:t>
      </w:r>
      <w:r w:rsidRPr="00293268">
        <w:rPr>
          <w:lang w:val="fr-FR"/>
        </w:rPr>
        <w:t xml:space="preserve">ascendance africaine sont privées de leur droit de vote </w:t>
      </w:r>
      <w:r>
        <w:rPr>
          <w:lang w:val="fr-FR"/>
        </w:rPr>
        <w:t>en raison de</w:t>
      </w:r>
      <w:r w:rsidRPr="00293268">
        <w:rPr>
          <w:lang w:val="fr-FR"/>
        </w:rPr>
        <w:t xml:space="preserve"> mesures qui les touchent de manière disproportionnée</w:t>
      </w:r>
      <w:r>
        <w:rPr>
          <w:lang w:val="fr-FR"/>
        </w:rPr>
        <w:t xml:space="preserve"> </w:t>
      </w:r>
      <w:r w:rsidR="00396AA7">
        <w:rPr>
          <w:lang w:val="fr-FR"/>
        </w:rPr>
        <w:t>− </w:t>
      </w:r>
      <w:r>
        <w:rPr>
          <w:lang w:val="fr-FR"/>
        </w:rPr>
        <w:t>une tendance qui prend de plus en plus d’ampleur</w:t>
      </w:r>
      <w:r w:rsidR="00396AA7">
        <w:rPr>
          <w:lang w:val="fr-FR"/>
        </w:rPr>
        <w:t> −</w:t>
      </w:r>
      <w:r>
        <w:rPr>
          <w:lang w:val="fr-FR"/>
        </w:rPr>
        <w:t>,</w:t>
      </w:r>
      <w:r w:rsidRPr="00293268">
        <w:rPr>
          <w:lang w:val="fr-FR"/>
        </w:rPr>
        <w:t xml:space="preserve"> </w:t>
      </w:r>
      <w:r>
        <w:rPr>
          <w:lang w:val="fr-FR"/>
        </w:rPr>
        <w:t>comme</w:t>
      </w:r>
      <w:r w:rsidRPr="00293268">
        <w:rPr>
          <w:lang w:val="fr-FR"/>
        </w:rPr>
        <w:t xml:space="preserve"> </w:t>
      </w:r>
      <w:r>
        <w:rPr>
          <w:lang w:val="fr-FR"/>
        </w:rPr>
        <w:t>la p</w:t>
      </w:r>
      <w:r w:rsidRPr="007065CB">
        <w:rPr>
          <w:lang w:val="fr-FR"/>
        </w:rPr>
        <w:t xml:space="preserve">rivation des droits électoraux </w:t>
      </w:r>
      <w:r>
        <w:rPr>
          <w:lang w:val="fr-FR"/>
        </w:rPr>
        <w:t>e</w:t>
      </w:r>
      <w:r w:rsidRPr="007C7C23">
        <w:rPr>
          <w:lang w:val="fr-FR"/>
        </w:rPr>
        <w:t>n cas de condamnation pour</w:t>
      </w:r>
      <w:r>
        <w:rPr>
          <w:lang w:val="fr-FR"/>
        </w:rPr>
        <w:t xml:space="preserve"> </w:t>
      </w:r>
      <w:r w:rsidRPr="007C7C23">
        <w:rPr>
          <w:lang w:val="fr-FR"/>
        </w:rPr>
        <w:t>infractions graves</w:t>
      </w:r>
      <w:r w:rsidRPr="00CD6B67">
        <w:rPr>
          <w:rStyle w:val="FootnoteReference"/>
        </w:rPr>
        <w:footnoteReference w:id="83"/>
      </w:r>
      <w:r w:rsidRPr="00293268">
        <w:rPr>
          <w:lang w:val="fr-FR"/>
        </w:rPr>
        <w:t xml:space="preserve">. </w:t>
      </w:r>
      <w:r w:rsidRPr="00CE5F15">
        <w:rPr>
          <w:lang w:val="fr-FR"/>
        </w:rPr>
        <w:t xml:space="preserve">Des préoccupations ont également été exprimées au sujet </w:t>
      </w:r>
      <w:r>
        <w:rPr>
          <w:lang w:val="fr-FR"/>
        </w:rPr>
        <w:t>des taux d’inscriptions des personnes d’ascendance africaine sur les listes électorales</w:t>
      </w:r>
      <w:r w:rsidRPr="00A95E60">
        <w:rPr>
          <w:lang w:val="fr-FR"/>
        </w:rPr>
        <w:t xml:space="preserve"> </w:t>
      </w:r>
      <w:r>
        <w:rPr>
          <w:lang w:val="fr-FR"/>
        </w:rPr>
        <w:t xml:space="preserve">qui seraient </w:t>
      </w:r>
      <w:r w:rsidRPr="00A95E60">
        <w:rPr>
          <w:lang w:val="fr-FR"/>
        </w:rPr>
        <w:t xml:space="preserve">inférieurs à la moyenne </w:t>
      </w:r>
      <w:r>
        <w:rPr>
          <w:lang w:val="fr-FR"/>
        </w:rPr>
        <w:t>au Royaume-Uni</w:t>
      </w:r>
      <w:r w:rsidRPr="00CD6B67">
        <w:rPr>
          <w:rStyle w:val="FootnoteReference"/>
        </w:rPr>
        <w:footnoteReference w:id="84"/>
      </w:r>
      <w:r>
        <w:rPr>
          <w:lang w:val="fr-FR"/>
        </w:rPr>
        <w:t>.</w:t>
      </w:r>
      <w:r w:rsidRPr="00293268">
        <w:rPr>
          <w:b/>
          <w:lang w:val="fr-FR"/>
        </w:rPr>
        <w:t xml:space="preserve"> </w:t>
      </w:r>
      <w:r w:rsidRPr="00E5448C">
        <w:rPr>
          <w:lang w:val="fr-FR"/>
        </w:rPr>
        <w:t xml:space="preserve">En ce qui concerne la participation </w:t>
      </w:r>
      <w:r>
        <w:rPr>
          <w:lang w:val="fr-FR"/>
        </w:rPr>
        <w:t>aux affaires</w:t>
      </w:r>
      <w:r w:rsidRPr="00E5448C">
        <w:rPr>
          <w:lang w:val="fr-FR"/>
        </w:rPr>
        <w:t xml:space="preserve"> publique</w:t>
      </w:r>
      <w:r>
        <w:rPr>
          <w:lang w:val="fr-FR"/>
        </w:rPr>
        <w:t>s</w:t>
      </w:r>
      <w:r w:rsidRPr="00E5448C">
        <w:rPr>
          <w:lang w:val="fr-FR"/>
        </w:rPr>
        <w:t xml:space="preserve">, par exemple, </w:t>
      </w:r>
      <w:r>
        <w:rPr>
          <w:lang w:val="fr-FR"/>
        </w:rPr>
        <w:t>des</w:t>
      </w:r>
      <w:r w:rsidRPr="00E5448C">
        <w:rPr>
          <w:lang w:val="fr-FR"/>
        </w:rPr>
        <w:t xml:space="preserve"> militants de la société civile d</w:t>
      </w:r>
      <w:r>
        <w:rPr>
          <w:lang w:val="fr-FR"/>
        </w:rPr>
        <w:t>’</w:t>
      </w:r>
      <w:r w:rsidRPr="00E5448C">
        <w:rPr>
          <w:lang w:val="fr-FR"/>
        </w:rPr>
        <w:t>ascendance africaine en Europe ont fait remarquer qu</w:t>
      </w:r>
      <w:r>
        <w:rPr>
          <w:lang w:val="fr-FR"/>
        </w:rPr>
        <w:t>’</w:t>
      </w:r>
      <w:r w:rsidRPr="00E5448C">
        <w:rPr>
          <w:lang w:val="fr-FR"/>
        </w:rPr>
        <w:t xml:space="preserve">ils ne </w:t>
      </w:r>
      <w:r>
        <w:rPr>
          <w:lang w:val="fr-FR"/>
        </w:rPr>
        <w:t xml:space="preserve">sont pas réellement </w:t>
      </w:r>
      <w:r w:rsidRPr="00DB5D2A">
        <w:rPr>
          <w:lang w:val="fr-FR"/>
        </w:rPr>
        <w:t>associés aux processus de consultation et de</w:t>
      </w:r>
      <w:r>
        <w:rPr>
          <w:lang w:val="fr-FR"/>
        </w:rPr>
        <w:t xml:space="preserve"> </w:t>
      </w:r>
      <w:r w:rsidRPr="00DB5D2A">
        <w:rPr>
          <w:lang w:val="fr-FR"/>
        </w:rPr>
        <w:t>prise de décision</w:t>
      </w:r>
      <w:r>
        <w:rPr>
          <w:lang w:val="fr-FR"/>
        </w:rPr>
        <w:t xml:space="preserve"> </w:t>
      </w:r>
      <w:r w:rsidRPr="00E5448C">
        <w:rPr>
          <w:lang w:val="fr-FR"/>
        </w:rPr>
        <w:t>et que leurs connaissances et leur expérience ne sont pas suffisamment prises en compte, notamment dans la conception et l</w:t>
      </w:r>
      <w:r>
        <w:rPr>
          <w:lang w:val="fr-FR"/>
        </w:rPr>
        <w:t>’</w:t>
      </w:r>
      <w:r w:rsidRPr="00E5448C">
        <w:rPr>
          <w:lang w:val="fr-FR"/>
        </w:rPr>
        <w:t>application des mesures de politique générale visant à éliminer le racisme</w:t>
      </w:r>
      <w:r w:rsidRPr="00CD6B67">
        <w:rPr>
          <w:rStyle w:val="FootnoteReference"/>
        </w:rPr>
        <w:footnoteReference w:id="85"/>
      </w:r>
      <w:r>
        <w:rPr>
          <w:lang w:val="fr-FR"/>
        </w:rPr>
        <w:t>.</w:t>
      </w:r>
    </w:p>
    <w:p w14:paraId="6EA75A01" w14:textId="77777777" w:rsidR="00865E37" w:rsidRPr="00293268" w:rsidRDefault="00865E37" w:rsidP="00341D02">
      <w:pPr>
        <w:pStyle w:val="SingleTxtG"/>
        <w:keepLines/>
        <w:rPr>
          <w:lang w:val="fr-FR"/>
        </w:rPr>
      </w:pPr>
      <w:r w:rsidRPr="004F60EB">
        <w:rPr>
          <w:lang w:val="fr-FR"/>
        </w:rPr>
        <w:t>33.</w:t>
      </w:r>
      <w:r w:rsidRPr="004F60EB">
        <w:rPr>
          <w:lang w:val="fr-FR"/>
        </w:rPr>
        <w:tab/>
        <w:t>Dans les États où il existe d’importantes populations d’ascendance africaine, leur représentation dans les organes électifs et les autres organes de décision est nettement inférieure au pourcentage de la population générale qu’elles représentent</w:t>
      </w:r>
      <w:r w:rsidRPr="004F60EB">
        <w:rPr>
          <w:rStyle w:val="FootnoteReference"/>
        </w:rPr>
        <w:footnoteReference w:id="86"/>
      </w:r>
      <w:r w:rsidRPr="004F60EB">
        <w:rPr>
          <w:lang w:val="fr-FR"/>
        </w:rPr>
        <w:t>.</w:t>
      </w:r>
      <w:r w:rsidRPr="004F60EB">
        <w:rPr>
          <w:b/>
          <w:lang w:val="fr-FR"/>
        </w:rPr>
        <w:t xml:space="preserve"> </w:t>
      </w:r>
      <w:r w:rsidRPr="004F60EB">
        <w:rPr>
          <w:lang w:val="fr-FR"/>
        </w:rPr>
        <w:t>En Amérique latine, selon un rapport de 2018 du Groupe de la Banque mondiale, les personnes d’ascendance africaine étaient encore largement sous-représentées aux postes de décision, tant dans le secteur privé que dans le secteur public</w:t>
      </w:r>
      <w:r w:rsidRPr="004F60EB">
        <w:rPr>
          <w:rStyle w:val="FootnoteReference"/>
        </w:rPr>
        <w:footnoteReference w:id="87"/>
      </w:r>
      <w:r w:rsidRPr="004F60EB">
        <w:rPr>
          <w:lang w:val="fr-FR"/>
        </w:rPr>
        <w:t>. Selon un rapport de 2021 de l’Assemblée parlementaire du Conseil de l’Europe, les personnes d’ascendance africaine sont largement sous-représentées à tous les niveaux des organes élus et des autres organes décisionnels et dans certains pays, elles ne sont quasiment pas représentées du tout</w:t>
      </w:r>
      <w:r w:rsidRPr="004F60EB">
        <w:rPr>
          <w:rStyle w:val="FootnoteReference"/>
        </w:rPr>
        <w:footnoteReference w:id="88"/>
      </w:r>
      <w:r w:rsidRPr="004F60EB">
        <w:rPr>
          <w:lang w:val="fr-FR"/>
        </w:rPr>
        <w:t>.</w:t>
      </w:r>
    </w:p>
    <w:p w14:paraId="2534D6FE" w14:textId="017754C4" w:rsidR="00865E37" w:rsidRPr="00293268" w:rsidRDefault="00865E37" w:rsidP="00865E37">
      <w:pPr>
        <w:pStyle w:val="SingleTxtG"/>
        <w:rPr>
          <w:lang w:val="fr-FR"/>
        </w:rPr>
      </w:pPr>
      <w:r w:rsidRPr="00293268">
        <w:rPr>
          <w:lang w:val="fr-FR"/>
        </w:rPr>
        <w:t>34.</w:t>
      </w:r>
      <w:r w:rsidRPr="00293268">
        <w:rPr>
          <w:lang w:val="fr-FR"/>
        </w:rPr>
        <w:tab/>
      </w:r>
      <w:r w:rsidRPr="00C057FE">
        <w:rPr>
          <w:lang w:val="fr-FR"/>
        </w:rPr>
        <w:t>Lorsqu</w:t>
      </w:r>
      <w:r>
        <w:rPr>
          <w:lang w:val="fr-FR"/>
        </w:rPr>
        <w:t>’</w:t>
      </w:r>
      <w:r w:rsidRPr="00C057FE">
        <w:rPr>
          <w:lang w:val="fr-FR"/>
        </w:rPr>
        <w:t xml:space="preserve">ils exercent leur droit de participer à la vie politique, les hommes </w:t>
      </w:r>
      <w:r>
        <w:rPr>
          <w:lang w:val="fr-FR"/>
        </w:rPr>
        <w:t xml:space="preserve">et femmes </w:t>
      </w:r>
      <w:r w:rsidRPr="00C057FE">
        <w:rPr>
          <w:lang w:val="fr-FR"/>
        </w:rPr>
        <w:t>politiques d</w:t>
      </w:r>
      <w:r>
        <w:rPr>
          <w:lang w:val="fr-FR"/>
        </w:rPr>
        <w:t>’</w:t>
      </w:r>
      <w:r w:rsidRPr="00C057FE">
        <w:rPr>
          <w:lang w:val="fr-FR"/>
        </w:rPr>
        <w:t>ascendance africaine sont victimes d</w:t>
      </w:r>
      <w:r>
        <w:rPr>
          <w:lang w:val="fr-FR"/>
        </w:rPr>
        <w:t>’</w:t>
      </w:r>
      <w:r w:rsidRPr="00C057FE">
        <w:rPr>
          <w:lang w:val="fr-FR"/>
        </w:rPr>
        <w:t>actes et de violences racistes</w:t>
      </w:r>
      <w:r w:rsidRPr="00CD6B67">
        <w:rPr>
          <w:rStyle w:val="FootnoteReference"/>
        </w:rPr>
        <w:footnoteReference w:id="89"/>
      </w:r>
      <w:r>
        <w:rPr>
          <w:lang w:val="fr-FR"/>
        </w:rPr>
        <w:t>.</w:t>
      </w:r>
      <w:r w:rsidRPr="00293268">
        <w:rPr>
          <w:lang w:val="fr-FR"/>
        </w:rPr>
        <w:t xml:space="preserve"> </w:t>
      </w:r>
      <w:r w:rsidRPr="004E18D8">
        <w:rPr>
          <w:lang w:val="fr-FR"/>
        </w:rPr>
        <w:t>L</w:t>
      </w:r>
      <w:r>
        <w:rPr>
          <w:lang w:val="fr-FR"/>
        </w:rPr>
        <w:t xml:space="preserve">e </w:t>
      </w:r>
      <w:r w:rsidRPr="004E18D8">
        <w:rPr>
          <w:lang w:val="fr-FR"/>
        </w:rPr>
        <w:t xml:space="preserve">sexisme </w:t>
      </w:r>
      <w:r>
        <w:rPr>
          <w:lang w:val="fr-FR"/>
        </w:rPr>
        <w:t>conjugué au</w:t>
      </w:r>
      <w:r w:rsidRPr="004E18D8">
        <w:rPr>
          <w:lang w:val="fr-FR"/>
        </w:rPr>
        <w:t xml:space="preserve"> racisme a</w:t>
      </w:r>
      <w:r>
        <w:rPr>
          <w:lang w:val="fr-FR"/>
        </w:rPr>
        <w:t xml:space="preserve"> eu pour effet d’exposer</w:t>
      </w:r>
      <w:r w:rsidRPr="004E18D8">
        <w:rPr>
          <w:lang w:val="fr-FR"/>
        </w:rPr>
        <w:t xml:space="preserve"> </w:t>
      </w:r>
      <w:r>
        <w:rPr>
          <w:lang w:val="fr-FR"/>
        </w:rPr>
        <w:t>des</w:t>
      </w:r>
      <w:r w:rsidRPr="004E18D8">
        <w:rPr>
          <w:lang w:val="fr-FR"/>
        </w:rPr>
        <w:t xml:space="preserve"> femmes </w:t>
      </w:r>
      <w:r>
        <w:rPr>
          <w:lang w:val="fr-FR"/>
        </w:rPr>
        <w:t xml:space="preserve">politiques </w:t>
      </w:r>
      <w:r w:rsidRPr="004E18D8">
        <w:rPr>
          <w:lang w:val="fr-FR"/>
        </w:rPr>
        <w:t>d</w:t>
      </w:r>
      <w:r>
        <w:rPr>
          <w:lang w:val="fr-FR"/>
        </w:rPr>
        <w:t>’</w:t>
      </w:r>
      <w:r w:rsidRPr="004E18D8">
        <w:rPr>
          <w:lang w:val="fr-FR"/>
        </w:rPr>
        <w:t xml:space="preserve">ascendance africaine à des </w:t>
      </w:r>
      <w:r>
        <w:rPr>
          <w:lang w:val="fr-FR"/>
        </w:rPr>
        <w:t xml:space="preserve">agressions </w:t>
      </w:r>
      <w:r w:rsidRPr="004E18D8">
        <w:rPr>
          <w:lang w:val="fr-FR"/>
        </w:rPr>
        <w:t>particulièrement virulentes</w:t>
      </w:r>
      <w:r w:rsidRPr="00293268">
        <w:rPr>
          <w:lang w:val="fr-FR"/>
        </w:rPr>
        <w:t xml:space="preserve">. </w:t>
      </w:r>
      <w:r w:rsidRPr="004B0D36">
        <w:rPr>
          <w:lang w:val="fr-FR"/>
        </w:rPr>
        <w:t>Ce fut notamment le cas, en France, de Christiane Taubira, femme d</w:t>
      </w:r>
      <w:r>
        <w:rPr>
          <w:lang w:val="fr-FR"/>
        </w:rPr>
        <w:t>’</w:t>
      </w:r>
      <w:r w:rsidRPr="004B0D36">
        <w:rPr>
          <w:lang w:val="fr-FR"/>
        </w:rPr>
        <w:t xml:space="preserve">ascendance africaine qui a été Ministre de la justice de 2012 à 2016 et </w:t>
      </w:r>
      <w:r>
        <w:rPr>
          <w:lang w:val="fr-FR"/>
        </w:rPr>
        <w:t>la cible d’</w:t>
      </w:r>
      <w:r w:rsidRPr="004B0D36">
        <w:rPr>
          <w:lang w:val="fr-FR"/>
        </w:rPr>
        <w:t>attaques racistes et sexistes de la part des médias pendant son mandat</w:t>
      </w:r>
      <w:r w:rsidRPr="00CD6B67">
        <w:rPr>
          <w:rStyle w:val="FootnoteReference"/>
        </w:rPr>
        <w:footnoteReference w:id="90"/>
      </w:r>
      <w:r>
        <w:rPr>
          <w:lang w:val="fr-FR"/>
        </w:rPr>
        <w:t xml:space="preserve"> </w:t>
      </w:r>
      <w:r w:rsidRPr="007A129F">
        <w:rPr>
          <w:lang w:val="fr-FR"/>
        </w:rPr>
        <w:t xml:space="preserve">et, en Italie, de Cécile Kyenge, </w:t>
      </w:r>
      <w:r>
        <w:rPr>
          <w:lang w:val="fr-FR"/>
        </w:rPr>
        <w:t>également</w:t>
      </w:r>
      <w:r w:rsidRPr="007A129F">
        <w:rPr>
          <w:lang w:val="fr-FR"/>
        </w:rPr>
        <w:t xml:space="preserve"> d</w:t>
      </w:r>
      <w:r>
        <w:rPr>
          <w:lang w:val="fr-FR"/>
        </w:rPr>
        <w:t>’</w:t>
      </w:r>
      <w:r w:rsidRPr="007A129F">
        <w:rPr>
          <w:lang w:val="fr-FR"/>
        </w:rPr>
        <w:t xml:space="preserve">ascendance africaine et ancienne </w:t>
      </w:r>
      <w:r>
        <w:rPr>
          <w:lang w:val="fr-FR"/>
        </w:rPr>
        <w:t>M</w:t>
      </w:r>
      <w:r w:rsidRPr="007A129F">
        <w:rPr>
          <w:lang w:val="fr-FR"/>
        </w:rPr>
        <w:t>inistre de l</w:t>
      </w:r>
      <w:r>
        <w:rPr>
          <w:lang w:val="fr-FR"/>
        </w:rPr>
        <w:t>’</w:t>
      </w:r>
      <w:r w:rsidRPr="007A129F">
        <w:rPr>
          <w:lang w:val="fr-FR"/>
        </w:rPr>
        <w:t xml:space="preserve">intérieur, qui a été </w:t>
      </w:r>
      <w:r>
        <w:rPr>
          <w:lang w:val="fr-FR"/>
        </w:rPr>
        <w:t>victime</w:t>
      </w:r>
      <w:r w:rsidRPr="007A129F">
        <w:rPr>
          <w:lang w:val="fr-FR"/>
        </w:rPr>
        <w:t xml:space="preserve"> d</w:t>
      </w:r>
      <w:r>
        <w:rPr>
          <w:lang w:val="fr-FR"/>
        </w:rPr>
        <w:t>’</w:t>
      </w:r>
      <w:r w:rsidRPr="007A129F">
        <w:rPr>
          <w:lang w:val="fr-FR"/>
        </w:rPr>
        <w:t>actes racistes</w:t>
      </w:r>
      <w:r w:rsidRPr="00CD6B67">
        <w:rPr>
          <w:rStyle w:val="FootnoteReference"/>
        </w:rPr>
        <w:footnoteReference w:id="91"/>
      </w:r>
      <w:r>
        <w:rPr>
          <w:lang w:val="fr-FR"/>
        </w:rPr>
        <w:t>.</w:t>
      </w:r>
      <w:r w:rsidRPr="00293268">
        <w:rPr>
          <w:lang w:val="fr-FR"/>
        </w:rPr>
        <w:t xml:space="preserve"> </w:t>
      </w:r>
      <w:r w:rsidRPr="000F3CA0">
        <w:rPr>
          <w:lang w:val="fr-FR"/>
        </w:rPr>
        <w:t xml:space="preserve">De même, </w:t>
      </w:r>
      <w:r>
        <w:rPr>
          <w:lang w:val="fr-FR"/>
        </w:rPr>
        <w:t xml:space="preserve">la députée </w:t>
      </w:r>
      <w:r w:rsidRPr="000F3CA0">
        <w:rPr>
          <w:lang w:val="fr-FR"/>
        </w:rPr>
        <w:t>Diane Abbott</w:t>
      </w:r>
      <w:r w:rsidRPr="00DF4EA0">
        <w:rPr>
          <w:lang w:val="fr-FR"/>
        </w:rPr>
        <w:t xml:space="preserve"> </w:t>
      </w:r>
      <w:r w:rsidRPr="004E550F">
        <w:rPr>
          <w:lang w:val="fr-FR"/>
        </w:rPr>
        <w:t>qui siège depuis le plus longtemps</w:t>
      </w:r>
      <w:r>
        <w:rPr>
          <w:lang w:val="fr-FR"/>
        </w:rPr>
        <w:t xml:space="preserve"> </w:t>
      </w:r>
      <w:r w:rsidRPr="004E550F">
        <w:rPr>
          <w:lang w:val="fr-FR"/>
        </w:rPr>
        <w:t xml:space="preserve">au Parlement du Royaume-Uni et qui a été </w:t>
      </w:r>
      <w:r w:rsidR="00D5245F">
        <w:rPr>
          <w:lang w:val="fr-FR"/>
        </w:rPr>
        <w:t>S</w:t>
      </w:r>
      <w:r w:rsidRPr="004E550F">
        <w:rPr>
          <w:lang w:val="fr-FR"/>
        </w:rPr>
        <w:t>ecrétaire d</w:t>
      </w:r>
      <w:r>
        <w:rPr>
          <w:lang w:val="fr-FR"/>
        </w:rPr>
        <w:t>’</w:t>
      </w:r>
      <w:r w:rsidRPr="004E550F">
        <w:rPr>
          <w:lang w:val="fr-FR"/>
        </w:rPr>
        <w:t>État à l</w:t>
      </w:r>
      <w:r>
        <w:rPr>
          <w:lang w:val="fr-FR"/>
        </w:rPr>
        <w:t>’i</w:t>
      </w:r>
      <w:r w:rsidRPr="004E550F">
        <w:rPr>
          <w:lang w:val="fr-FR"/>
        </w:rPr>
        <w:t>ntérieur du cabinet fantôme</w:t>
      </w:r>
      <w:r w:rsidRPr="000F3CA0">
        <w:rPr>
          <w:lang w:val="fr-FR"/>
        </w:rPr>
        <w:t>, a été victime d</w:t>
      </w:r>
      <w:r>
        <w:rPr>
          <w:lang w:val="fr-FR"/>
        </w:rPr>
        <w:t>’</w:t>
      </w:r>
      <w:r w:rsidRPr="000F3CA0">
        <w:rPr>
          <w:lang w:val="fr-FR"/>
        </w:rPr>
        <w:t>un nombre record d</w:t>
      </w:r>
      <w:r>
        <w:rPr>
          <w:lang w:val="fr-FR"/>
        </w:rPr>
        <w:t>’</w:t>
      </w:r>
      <w:r w:rsidRPr="000F3CA0">
        <w:rPr>
          <w:lang w:val="fr-FR"/>
        </w:rPr>
        <w:t>attaques racistes en ligne pendant la campagne électorale de 2017</w:t>
      </w:r>
      <w:r w:rsidRPr="00CD6B67">
        <w:rPr>
          <w:rStyle w:val="FootnoteReference"/>
        </w:rPr>
        <w:footnoteReference w:id="92"/>
      </w:r>
      <w:r>
        <w:rPr>
          <w:lang w:val="fr-FR"/>
        </w:rPr>
        <w:t>.</w:t>
      </w:r>
      <w:r w:rsidRPr="00293268">
        <w:rPr>
          <w:lang w:val="fr-FR"/>
        </w:rPr>
        <w:t xml:space="preserve"> </w:t>
      </w:r>
      <w:r w:rsidRPr="003068F5">
        <w:rPr>
          <w:lang w:val="fr-FR"/>
        </w:rPr>
        <w:t>En Allemagne, Karamba Diaby, le premier député allemand d</w:t>
      </w:r>
      <w:r>
        <w:rPr>
          <w:lang w:val="fr-FR"/>
        </w:rPr>
        <w:t>’</w:t>
      </w:r>
      <w:r w:rsidRPr="003068F5">
        <w:rPr>
          <w:lang w:val="fr-FR"/>
        </w:rPr>
        <w:t>ascendance africaine, a</w:t>
      </w:r>
      <w:r>
        <w:rPr>
          <w:lang w:val="fr-FR"/>
        </w:rPr>
        <w:t xml:space="preserve"> lui aussi</w:t>
      </w:r>
      <w:r w:rsidRPr="003068F5">
        <w:rPr>
          <w:lang w:val="fr-FR"/>
        </w:rPr>
        <w:t xml:space="preserve"> été </w:t>
      </w:r>
      <w:r>
        <w:rPr>
          <w:lang w:val="fr-FR"/>
        </w:rPr>
        <w:t xml:space="preserve">visé par des </w:t>
      </w:r>
      <w:r w:rsidRPr="003068F5">
        <w:rPr>
          <w:lang w:val="fr-FR"/>
        </w:rPr>
        <w:t>actes et de</w:t>
      </w:r>
      <w:r>
        <w:rPr>
          <w:lang w:val="fr-FR"/>
        </w:rPr>
        <w:t>s</w:t>
      </w:r>
      <w:r w:rsidRPr="003068F5">
        <w:rPr>
          <w:lang w:val="fr-FR"/>
        </w:rPr>
        <w:t xml:space="preserve"> violences racistes</w:t>
      </w:r>
      <w:r w:rsidRPr="00CD6B67">
        <w:rPr>
          <w:rStyle w:val="FootnoteReference"/>
        </w:rPr>
        <w:footnoteReference w:id="93"/>
      </w:r>
      <w:r>
        <w:rPr>
          <w:lang w:val="fr-FR"/>
        </w:rPr>
        <w:t>.</w:t>
      </w:r>
    </w:p>
    <w:p w14:paraId="7728A736" w14:textId="64EAAA2C" w:rsidR="00865E37" w:rsidRPr="00293268" w:rsidRDefault="00865E37" w:rsidP="00865E37">
      <w:pPr>
        <w:pStyle w:val="SingleTxtG"/>
        <w:rPr>
          <w:lang w:val="fr-FR"/>
        </w:rPr>
      </w:pPr>
      <w:r w:rsidRPr="00293268">
        <w:rPr>
          <w:lang w:val="fr-FR"/>
        </w:rPr>
        <w:t>35.</w:t>
      </w:r>
      <w:r w:rsidRPr="00293268">
        <w:rPr>
          <w:lang w:val="fr-FR"/>
        </w:rPr>
        <w:tab/>
      </w:r>
      <w:r w:rsidRPr="00C377AE">
        <w:rPr>
          <w:lang w:val="fr-FR"/>
        </w:rPr>
        <w:t xml:space="preserve">Dans certains cas, les mesures relatives à la citoyenneté et au statut </w:t>
      </w:r>
      <w:r>
        <w:rPr>
          <w:lang w:val="fr-FR"/>
        </w:rPr>
        <w:t>au regard</w:t>
      </w:r>
      <w:r w:rsidRPr="00C377AE">
        <w:rPr>
          <w:lang w:val="fr-FR"/>
        </w:rPr>
        <w:t xml:space="preserve"> des services de l</w:t>
      </w:r>
      <w:r>
        <w:rPr>
          <w:lang w:val="fr-FR"/>
        </w:rPr>
        <w:t>’</w:t>
      </w:r>
      <w:r w:rsidRPr="00C377AE">
        <w:rPr>
          <w:lang w:val="fr-FR"/>
        </w:rPr>
        <w:t xml:space="preserve">immigration auraient eu des effets discriminatoires </w:t>
      </w:r>
      <w:r>
        <w:rPr>
          <w:lang w:val="fr-FR"/>
        </w:rPr>
        <w:t>s</w:t>
      </w:r>
      <w:r w:rsidRPr="00C377AE">
        <w:rPr>
          <w:lang w:val="fr-FR"/>
        </w:rPr>
        <w:t xml:space="preserve">ur </w:t>
      </w:r>
      <w:r>
        <w:rPr>
          <w:lang w:val="fr-FR"/>
        </w:rPr>
        <w:t>des</w:t>
      </w:r>
      <w:r w:rsidRPr="00C377AE">
        <w:rPr>
          <w:lang w:val="fr-FR"/>
        </w:rPr>
        <w:t xml:space="preserve"> personnes d</w:t>
      </w:r>
      <w:r>
        <w:rPr>
          <w:lang w:val="fr-FR"/>
        </w:rPr>
        <w:t>’</w:t>
      </w:r>
      <w:r w:rsidRPr="00C377AE">
        <w:rPr>
          <w:lang w:val="fr-FR"/>
        </w:rPr>
        <w:t>ascendance africaine</w:t>
      </w:r>
      <w:r w:rsidRPr="00CD6B67">
        <w:rPr>
          <w:rStyle w:val="FootnoteReference"/>
        </w:rPr>
        <w:footnoteReference w:id="94"/>
      </w:r>
      <w:r>
        <w:rPr>
          <w:lang w:val="fr-FR"/>
        </w:rPr>
        <w:t>.</w:t>
      </w:r>
      <w:r w:rsidRPr="00293268">
        <w:rPr>
          <w:lang w:val="fr-FR"/>
        </w:rPr>
        <w:t xml:space="preserve"> </w:t>
      </w:r>
      <w:r w:rsidRPr="005C0388">
        <w:rPr>
          <w:lang w:val="fr-FR"/>
        </w:rPr>
        <w:t>Dans certains pays, celles-ci continuent d</w:t>
      </w:r>
      <w:r>
        <w:rPr>
          <w:lang w:val="fr-FR"/>
        </w:rPr>
        <w:t>’</w:t>
      </w:r>
      <w:r w:rsidRPr="005C0388">
        <w:rPr>
          <w:lang w:val="fr-FR"/>
        </w:rPr>
        <w:t>être perçues comme étrangères même si elles possèdent la citoyenneté plein</w:t>
      </w:r>
      <w:r>
        <w:rPr>
          <w:lang w:val="fr-FR"/>
        </w:rPr>
        <w:t>e</w:t>
      </w:r>
      <w:r w:rsidRPr="005C0388">
        <w:rPr>
          <w:lang w:val="fr-FR"/>
        </w:rPr>
        <w:t xml:space="preserve"> et entière </w:t>
      </w:r>
      <w:r>
        <w:rPr>
          <w:lang w:val="fr-FR"/>
        </w:rPr>
        <w:t xml:space="preserve">et entretiennent </w:t>
      </w:r>
      <w:r w:rsidRPr="005C0388">
        <w:rPr>
          <w:lang w:val="fr-FR"/>
        </w:rPr>
        <w:t>des liens profonds et durables avec leur pays</w:t>
      </w:r>
      <w:r w:rsidR="0069189C">
        <w:rPr>
          <w:lang w:val="fr-FR"/>
        </w:rPr>
        <w:t>,</w:t>
      </w:r>
      <w:r w:rsidRPr="00DF4EA0">
        <w:rPr>
          <w:lang w:val="fr-FR"/>
        </w:rPr>
        <w:t xml:space="preserve"> </w:t>
      </w:r>
      <w:r w:rsidRPr="005C0388">
        <w:rPr>
          <w:lang w:val="fr-FR"/>
        </w:rPr>
        <w:t>et ce, depuis plusieurs générations</w:t>
      </w:r>
      <w:r w:rsidRPr="00CD6B67">
        <w:rPr>
          <w:rStyle w:val="FootnoteReference"/>
        </w:rPr>
        <w:footnoteReference w:id="95"/>
      </w:r>
      <w:r>
        <w:rPr>
          <w:lang w:val="fr-FR"/>
        </w:rPr>
        <w:t>.</w:t>
      </w:r>
      <w:r w:rsidRPr="00293268">
        <w:rPr>
          <w:lang w:val="fr-FR"/>
        </w:rPr>
        <w:t xml:space="preserve"> </w:t>
      </w:r>
      <w:r w:rsidRPr="005A5288">
        <w:rPr>
          <w:lang w:val="fr-FR"/>
        </w:rPr>
        <w:t>Ainsi, au Pakistan, les membres de la communauté sheedi (descendants d</w:t>
      </w:r>
      <w:r>
        <w:rPr>
          <w:lang w:val="fr-FR"/>
        </w:rPr>
        <w:t>’</w:t>
      </w:r>
      <w:r w:rsidRPr="005A5288">
        <w:rPr>
          <w:lang w:val="fr-FR"/>
        </w:rPr>
        <w:t>Africains de l</w:t>
      </w:r>
      <w:r>
        <w:rPr>
          <w:lang w:val="fr-FR"/>
        </w:rPr>
        <w:t>’</w:t>
      </w:r>
      <w:r w:rsidRPr="005A5288">
        <w:rPr>
          <w:lang w:val="fr-FR"/>
        </w:rPr>
        <w:t xml:space="preserve">Est) auraient été empêchés de participer </w:t>
      </w:r>
      <w:r>
        <w:rPr>
          <w:lang w:val="fr-FR"/>
        </w:rPr>
        <w:t>à des</w:t>
      </w:r>
      <w:r w:rsidRPr="005A5288">
        <w:rPr>
          <w:lang w:val="fr-FR"/>
        </w:rPr>
        <w:t xml:space="preserve"> activités culturelles, notamment à la Sheedi Mela annuelle qui se tient à Karachi depuis des siècles</w:t>
      </w:r>
      <w:r w:rsidRPr="00CD6B67">
        <w:rPr>
          <w:rStyle w:val="FootnoteReference"/>
        </w:rPr>
        <w:footnoteReference w:id="96"/>
      </w:r>
      <w:r>
        <w:rPr>
          <w:lang w:val="fr-FR"/>
        </w:rPr>
        <w:t>.</w:t>
      </w:r>
      <w:r w:rsidRPr="00293268">
        <w:rPr>
          <w:lang w:val="fr-FR"/>
        </w:rPr>
        <w:t xml:space="preserve"> </w:t>
      </w:r>
      <w:r w:rsidRPr="00966F11">
        <w:rPr>
          <w:lang w:val="fr-FR"/>
        </w:rPr>
        <w:t>En Mauritanie, en 2016, les Haratines et les Afro</w:t>
      </w:r>
      <w:r w:rsidR="0069189C">
        <w:rPr>
          <w:lang w:val="fr-FR"/>
        </w:rPr>
        <w:noBreakHyphen/>
      </w:r>
      <w:r w:rsidRPr="00966F11">
        <w:rPr>
          <w:lang w:val="fr-FR"/>
        </w:rPr>
        <w:t>Mauritaniens constituaient l</w:t>
      </w:r>
      <w:r>
        <w:rPr>
          <w:lang w:val="fr-FR"/>
        </w:rPr>
        <w:t>’</w:t>
      </w:r>
      <w:r w:rsidRPr="00966F11">
        <w:rPr>
          <w:lang w:val="fr-FR"/>
        </w:rPr>
        <w:t xml:space="preserve">écrasante majorité de ceux qui </w:t>
      </w:r>
      <w:r>
        <w:rPr>
          <w:lang w:val="fr-FR"/>
        </w:rPr>
        <w:t>n’avaient</w:t>
      </w:r>
      <w:r w:rsidRPr="00966F11">
        <w:rPr>
          <w:lang w:val="fr-FR"/>
        </w:rPr>
        <w:t xml:space="preserve"> pas pu obtenir une carte d</w:t>
      </w:r>
      <w:r>
        <w:rPr>
          <w:lang w:val="fr-FR"/>
        </w:rPr>
        <w:t>’</w:t>
      </w:r>
      <w:r w:rsidRPr="00966F11">
        <w:rPr>
          <w:lang w:val="fr-FR"/>
        </w:rPr>
        <w:t>identité nationale</w:t>
      </w:r>
      <w:r w:rsidRPr="00CD6B67">
        <w:rPr>
          <w:rStyle w:val="FootnoteReference"/>
        </w:rPr>
        <w:footnoteReference w:id="97"/>
      </w:r>
      <w:r>
        <w:rPr>
          <w:lang w:val="fr-FR"/>
        </w:rPr>
        <w:t>.</w:t>
      </w:r>
      <w:r w:rsidRPr="00293268">
        <w:rPr>
          <w:lang w:val="fr-FR"/>
        </w:rPr>
        <w:t xml:space="preserve"> </w:t>
      </w:r>
      <w:r w:rsidRPr="0069423B">
        <w:rPr>
          <w:lang w:val="fr-FR"/>
        </w:rPr>
        <w:t>Au Royaume-Uni, un examen indépendant commandé par le Gouvernement en 2020 a révélé que des centaines de personnes d</w:t>
      </w:r>
      <w:r>
        <w:rPr>
          <w:lang w:val="fr-FR"/>
        </w:rPr>
        <w:t>’</w:t>
      </w:r>
      <w:r w:rsidRPr="0069423B">
        <w:rPr>
          <w:lang w:val="fr-FR"/>
        </w:rPr>
        <w:t>ascendance africaine ou leurs descendants, connus sous le nom de «</w:t>
      </w:r>
      <w:r>
        <w:rPr>
          <w:lang w:val="fr-FR"/>
        </w:rPr>
        <w:t> </w:t>
      </w:r>
      <w:r w:rsidRPr="0069423B">
        <w:rPr>
          <w:lang w:val="fr-FR"/>
        </w:rPr>
        <w:t>génération Windrush</w:t>
      </w:r>
      <w:r>
        <w:rPr>
          <w:lang w:val="fr-FR"/>
        </w:rPr>
        <w:t> </w:t>
      </w:r>
      <w:r w:rsidRPr="0069423B">
        <w:rPr>
          <w:lang w:val="fr-FR"/>
        </w:rPr>
        <w:t>», ont été détenus à tort, expulsés et privés des droits qui leur étaient reconnus par la loi</w:t>
      </w:r>
      <w:r w:rsidRPr="00CD6B67">
        <w:rPr>
          <w:rStyle w:val="FootnoteReference"/>
        </w:rPr>
        <w:footnoteReference w:id="98"/>
      </w:r>
      <w:r w:rsidRPr="0069423B">
        <w:rPr>
          <w:lang w:val="fr-FR"/>
        </w:rPr>
        <w:t>, dans ce que l</w:t>
      </w:r>
      <w:r>
        <w:rPr>
          <w:lang w:val="fr-FR"/>
        </w:rPr>
        <w:t>’</w:t>
      </w:r>
      <w:r w:rsidRPr="0069423B">
        <w:rPr>
          <w:lang w:val="fr-FR"/>
        </w:rPr>
        <w:t>examen a décrit comme une ignorance institutionnelle et une insouciance à l</w:t>
      </w:r>
      <w:r>
        <w:rPr>
          <w:lang w:val="fr-FR"/>
        </w:rPr>
        <w:t>’</w:t>
      </w:r>
      <w:r w:rsidRPr="0069423B">
        <w:rPr>
          <w:lang w:val="fr-FR"/>
        </w:rPr>
        <w:t>égard de la question de la race et de l</w:t>
      </w:r>
      <w:r>
        <w:rPr>
          <w:lang w:val="fr-FR"/>
        </w:rPr>
        <w:t>’</w:t>
      </w:r>
      <w:r w:rsidRPr="0069423B">
        <w:rPr>
          <w:lang w:val="fr-FR"/>
        </w:rPr>
        <w:t xml:space="preserve">histoire de la génération Windrush qui </w:t>
      </w:r>
      <w:r>
        <w:rPr>
          <w:lang w:val="fr-FR"/>
        </w:rPr>
        <w:t>concordaient</w:t>
      </w:r>
      <w:r w:rsidRPr="0069423B">
        <w:rPr>
          <w:lang w:val="fr-FR"/>
        </w:rPr>
        <w:t xml:space="preserve"> avec certains éléments de la définition du racisme institutionnel</w:t>
      </w:r>
      <w:r w:rsidRPr="00CD6B67">
        <w:rPr>
          <w:rStyle w:val="FootnoteReference"/>
        </w:rPr>
        <w:footnoteReference w:id="99"/>
      </w:r>
      <w:r>
        <w:rPr>
          <w:lang w:val="fr-FR"/>
        </w:rPr>
        <w:t>.</w:t>
      </w:r>
      <w:r w:rsidRPr="00293268">
        <w:rPr>
          <w:lang w:val="fr-FR"/>
        </w:rPr>
        <w:t xml:space="preserve"> </w:t>
      </w:r>
      <w:r w:rsidRPr="006446E6">
        <w:rPr>
          <w:lang w:val="fr-FR"/>
        </w:rPr>
        <w:t>En réponse, le Gouvernement a présenté ses excuses et a mis en place un plan d</w:t>
      </w:r>
      <w:r>
        <w:rPr>
          <w:lang w:val="fr-FR"/>
        </w:rPr>
        <w:t>’</w:t>
      </w:r>
      <w:r w:rsidRPr="006446E6">
        <w:rPr>
          <w:lang w:val="fr-FR"/>
        </w:rPr>
        <w:t xml:space="preserve">amélioration global et un </w:t>
      </w:r>
      <w:r>
        <w:rPr>
          <w:lang w:val="fr-FR"/>
        </w:rPr>
        <w:t>régime</w:t>
      </w:r>
      <w:r w:rsidRPr="006446E6">
        <w:rPr>
          <w:lang w:val="fr-FR"/>
        </w:rPr>
        <w:t xml:space="preserve"> d</w:t>
      </w:r>
      <w:r>
        <w:rPr>
          <w:lang w:val="fr-FR"/>
        </w:rPr>
        <w:t>’</w:t>
      </w:r>
      <w:r w:rsidRPr="006446E6">
        <w:rPr>
          <w:lang w:val="fr-FR"/>
        </w:rPr>
        <w:t>indemnisation</w:t>
      </w:r>
      <w:r w:rsidRPr="00CD6B67">
        <w:rPr>
          <w:rStyle w:val="FootnoteReference"/>
        </w:rPr>
        <w:footnoteReference w:id="100"/>
      </w:r>
      <w:r>
        <w:rPr>
          <w:lang w:val="fr-FR"/>
        </w:rPr>
        <w:t>.</w:t>
      </w:r>
    </w:p>
    <w:p w14:paraId="6DA3B3C2" w14:textId="776AA90C" w:rsidR="00865E37" w:rsidRPr="00293268" w:rsidRDefault="00865E37" w:rsidP="00865E37">
      <w:pPr>
        <w:pStyle w:val="SingleTxtG"/>
        <w:rPr>
          <w:lang w:val="fr-FR"/>
        </w:rPr>
      </w:pPr>
      <w:r w:rsidRPr="00293268">
        <w:rPr>
          <w:lang w:val="fr-FR"/>
        </w:rPr>
        <w:t>36.</w:t>
      </w:r>
      <w:r w:rsidRPr="00293268">
        <w:rPr>
          <w:lang w:val="fr-FR"/>
        </w:rPr>
        <w:tab/>
      </w:r>
      <w:r w:rsidRPr="00F3747F">
        <w:rPr>
          <w:lang w:val="fr-FR"/>
        </w:rPr>
        <w:t xml:space="preserve">Les </w:t>
      </w:r>
      <w:r>
        <w:rPr>
          <w:lang w:val="fr-FR"/>
        </w:rPr>
        <w:t>mécanismes des</w:t>
      </w:r>
      <w:r w:rsidRPr="00F3747F">
        <w:rPr>
          <w:lang w:val="fr-FR"/>
        </w:rPr>
        <w:t xml:space="preserve"> droits de l</w:t>
      </w:r>
      <w:r>
        <w:rPr>
          <w:lang w:val="fr-FR"/>
        </w:rPr>
        <w:t>’</w:t>
      </w:r>
      <w:r w:rsidRPr="00F3747F">
        <w:rPr>
          <w:lang w:val="fr-FR"/>
        </w:rPr>
        <w:t>homme de l</w:t>
      </w:r>
      <w:r>
        <w:rPr>
          <w:lang w:val="fr-FR"/>
        </w:rPr>
        <w:t>’</w:t>
      </w:r>
      <w:r w:rsidRPr="00F3747F">
        <w:rPr>
          <w:lang w:val="fr-FR"/>
        </w:rPr>
        <w:t>ONU et d</w:t>
      </w:r>
      <w:r>
        <w:rPr>
          <w:lang w:val="fr-FR"/>
        </w:rPr>
        <w:t>’</w:t>
      </w:r>
      <w:r w:rsidRPr="00F3747F">
        <w:rPr>
          <w:lang w:val="fr-FR"/>
        </w:rPr>
        <w:t xml:space="preserve">autres </w:t>
      </w:r>
      <w:r>
        <w:rPr>
          <w:lang w:val="fr-FR"/>
        </w:rPr>
        <w:t xml:space="preserve">entités </w:t>
      </w:r>
      <w:r w:rsidRPr="00F3747F">
        <w:rPr>
          <w:lang w:val="fr-FR"/>
        </w:rPr>
        <w:t xml:space="preserve">ont </w:t>
      </w:r>
      <w:r>
        <w:rPr>
          <w:lang w:val="fr-FR"/>
        </w:rPr>
        <w:t>alerté</w:t>
      </w:r>
      <w:r w:rsidRPr="00F3747F">
        <w:rPr>
          <w:lang w:val="fr-FR"/>
        </w:rPr>
        <w:t xml:space="preserve"> à plusieurs reprises </w:t>
      </w:r>
      <w:r>
        <w:rPr>
          <w:lang w:val="fr-FR"/>
        </w:rPr>
        <w:t xml:space="preserve">sur </w:t>
      </w:r>
      <w:r w:rsidRPr="00F3747F">
        <w:rPr>
          <w:lang w:val="fr-FR"/>
        </w:rPr>
        <w:t xml:space="preserve">la situation des migrants africains employés comme domestiques, surtout </w:t>
      </w:r>
      <w:r>
        <w:rPr>
          <w:lang w:val="fr-FR"/>
        </w:rPr>
        <w:t xml:space="preserve">celle </w:t>
      </w:r>
      <w:r w:rsidRPr="00F3747F">
        <w:rPr>
          <w:lang w:val="fr-FR"/>
        </w:rPr>
        <w:t>des femmes, dans plusieurs pays et en particulier au Moyen-Orient, où ils auraient été victimes d</w:t>
      </w:r>
      <w:r>
        <w:rPr>
          <w:lang w:val="fr-FR"/>
        </w:rPr>
        <w:t>’</w:t>
      </w:r>
      <w:r w:rsidRPr="00F3747F">
        <w:rPr>
          <w:lang w:val="fr-FR"/>
        </w:rPr>
        <w:t xml:space="preserve">exploitation et de </w:t>
      </w:r>
      <w:r>
        <w:rPr>
          <w:lang w:val="fr-FR"/>
        </w:rPr>
        <w:t>violences</w:t>
      </w:r>
      <w:r w:rsidRPr="00F3747F">
        <w:rPr>
          <w:lang w:val="fr-FR"/>
        </w:rPr>
        <w:t>, notamment sexuel</w:t>
      </w:r>
      <w:r>
        <w:rPr>
          <w:lang w:val="fr-FR"/>
        </w:rPr>
        <w:t>le</w:t>
      </w:r>
      <w:r w:rsidRPr="00F3747F">
        <w:rPr>
          <w:lang w:val="fr-FR"/>
        </w:rPr>
        <w:t>s, d</w:t>
      </w:r>
      <w:r>
        <w:rPr>
          <w:lang w:val="fr-FR"/>
        </w:rPr>
        <w:t>’</w:t>
      </w:r>
      <w:r w:rsidRPr="00F3747F">
        <w:rPr>
          <w:lang w:val="fr-FR"/>
        </w:rPr>
        <w:t>arrestations arbitraires et d</w:t>
      </w:r>
      <w:r>
        <w:rPr>
          <w:lang w:val="fr-FR"/>
        </w:rPr>
        <w:t>’expulsions</w:t>
      </w:r>
      <w:r w:rsidRPr="00CD6B67">
        <w:rPr>
          <w:rStyle w:val="FootnoteReference"/>
        </w:rPr>
        <w:footnoteReference w:id="101"/>
      </w:r>
      <w:r>
        <w:rPr>
          <w:lang w:val="fr-FR"/>
        </w:rPr>
        <w:t>.</w:t>
      </w:r>
      <w:r w:rsidRPr="00293268">
        <w:rPr>
          <w:lang w:val="fr-FR"/>
        </w:rPr>
        <w:t xml:space="preserve"> </w:t>
      </w:r>
      <w:r w:rsidRPr="008E526E">
        <w:rPr>
          <w:lang w:val="fr-FR"/>
        </w:rPr>
        <w:t>En 2027</w:t>
      </w:r>
      <w:r>
        <w:rPr>
          <w:lang w:val="fr-FR"/>
        </w:rPr>
        <w:t>,</w:t>
      </w:r>
      <w:r w:rsidRPr="008E526E">
        <w:rPr>
          <w:lang w:val="fr-FR"/>
        </w:rPr>
        <w:t xml:space="preserve"> selon Human Rights Watch, 2,4</w:t>
      </w:r>
      <w:r w:rsidR="00BA5E99">
        <w:rPr>
          <w:lang w:val="fr-FR"/>
        </w:rPr>
        <w:t> </w:t>
      </w:r>
      <w:r w:rsidRPr="008E526E">
        <w:rPr>
          <w:lang w:val="fr-FR"/>
        </w:rPr>
        <w:t>millions de migrants employés comme domestiques, pour la plupart originaires d</w:t>
      </w:r>
      <w:r>
        <w:rPr>
          <w:lang w:val="fr-FR"/>
        </w:rPr>
        <w:t>’</w:t>
      </w:r>
      <w:r w:rsidRPr="008E526E">
        <w:rPr>
          <w:lang w:val="fr-FR"/>
        </w:rPr>
        <w:t>Asie et d</w:t>
      </w:r>
      <w:r>
        <w:rPr>
          <w:lang w:val="fr-FR"/>
        </w:rPr>
        <w:t>’</w:t>
      </w:r>
      <w:r w:rsidRPr="008E526E">
        <w:rPr>
          <w:lang w:val="fr-FR"/>
        </w:rPr>
        <w:t xml:space="preserve">Afrique, vivaient dans les États du Golfe au Moyen-Orient, où ils étaient liés </w:t>
      </w:r>
      <w:r w:rsidRPr="00DB72C3">
        <w:rPr>
          <w:lang w:val="fr-FR"/>
        </w:rPr>
        <w:t xml:space="preserve">à un employeur </w:t>
      </w:r>
      <w:r>
        <w:rPr>
          <w:lang w:val="fr-FR"/>
        </w:rPr>
        <w:t>selon le</w:t>
      </w:r>
      <w:r w:rsidRPr="00DB72C3">
        <w:rPr>
          <w:lang w:val="fr-FR"/>
        </w:rPr>
        <w:t xml:space="preserve"> système de la </w:t>
      </w:r>
      <w:r w:rsidRPr="00BA5E99">
        <w:rPr>
          <w:i/>
          <w:iCs/>
          <w:lang w:val="fr-FR"/>
        </w:rPr>
        <w:t>kafala</w:t>
      </w:r>
      <w:r w:rsidRPr="00DB72C3">
        <w:rPr>
          <w:lang w:val="fr-FR"/>
        </w:rPr>
        <w:t xml:space="preserve"> (parrainage)</w:t>
      </w:r>
      <w:r w:rsidRPr="00CD6B67">
        <w:rPr>
          <w:rStyle w:val="FootnoteReference"/>
        </w:rPr>
        <w:footnoteReference w:id="102"/>
      </w:r>
      <w:r>
        <w:rPr>
          <w:lang w:val="fr-FR"/>
        </w:rPr>
        <w:t>.</w:t>
      </w:r>
    </w:p>
    <w:p w14:paraId="3C33FE1B" w14:textId="77777777" w:rsidR="00865E37" w:rsidRPr="00293268" w:rsidRDefault="00865E37" w:rsidP="00865E37">
      <w:pPr>
        <w:pStyle w:val="SingleTxtG"/>
        <w:rPr>
          <w:lang w:val="fr-FR"/>
        </w:rPr>
      </w:pPr>
      <w:r w:rsidRPr="00293268">
        <w:rPr>
          <w:lang w:val="fr-FR"/>
        </w:rPr>
        <w:t>37.</w:t>
      </w:r>
      <w:r w:rsidRPr="00293268">
        <w:rPr>
          <w:lang w:val="fr-FR"/>
        </w:rPr>
        <w:tab/>
      </w:r>
      <w:r w:rsidRPr="007F6F88">
        <w:rPr>
          <w:lang w:val="fr-FR"/>
        </w:rPr>
        <w:t>Les consultations ont mis en évidence le rôle que les entreprises commerciales peuvent jouer dans la lutte contre le racisme systémique, notamment en adoptant des mesures visant à renforcer la diversité et l</w:t>
      </w:r>
      <w:r>
        <w:rPr>
          <w:lang w:val="fr-FR"/>
        </w:rPr>
        <w:t>’</w:t>
      </w:r>
      <w:r w:rsidRPr="007F6F88">
        <w:rPr>
          <w:lang w:val="fr-FR"/>
        </w:rPr>
        <w:t>inclusion sur le lieu de travail</w:t>
      </w:r>
      <w:r w:rsidRPr="00293268">
        <w:rPr>
          <w:lang w:val="fr-FR"/>
        </w:rPr>
        <w:t xml:space="preserve">. </w:t>
      </w:r>
      <w:r w:rsidRPr="008E533F">
        <w:rPr>
          <w:lang w:val="fr-FR"/>
        </w:rPr>
        <w:t xml:space="preserve">Néanmoins, les </w:t>
      </w:r>
      <w:r>
        <w:rPr>
          <w:lang w:val="fr-FR"/>
        </w:rPr>
        <w:t>informations</w:t>
      </w:r>
      <w:r w:rsidRPr="008E533F">
        <w:rPr>
          <w:lang w:val="fr-FR"/>
        </w:rPr>
        <w:t xml:space="preserve"> </w:t>
      </w:r>
      <w:r>
        <w:rPr>
          <w:lang w:val="fr-FR"/>
        </w:rPr>
        <w:t>révèlent</w:t>
      </w:r>
      <w:r w:rsidRPr="008E533F">
        <w:rPr>
          <w:lang w:val="fr-FR"/>
        </w:rPr>
        <w:t xml:space="preserve"> de</w:t>
      </w:r>
      <w:r>
        <w:rPr>
          <w:lang w:val="fr-FR"/>
        </w:rPr>
        <w:t>s</w:t>
      </w:r>
      <w:r w:rsidRPr="008E533F">
        <w:rPr>
          <w:lang w:val="fr-FR"/>
        </w:rPr>
        <w:t xml:space="preserve"> pratiques de travail et de prêts immobiliers abusifs qui peuvent se révéler discriminatoires à l</w:t>
      </w:r>
      <w:r>
        <w:rPr>
          <w:lang w:val="fr-FR"/>
        </w:rPr>
        <w:t>’</w:t>
      </w:r>
      <w:r w:rsidRPr="008E533F">
        <w:rPr>
          <w:lang w:val="fr-FR"/>
        </w:rPr>
        <w:t>égard des personnes d</w:t>
      </w:r>
      <w:r>
        <w:rPr>
          <w:lang w:val="fr-FR"/>
        </w:rPr>
        <w:t>’</w:t>
      </w:r>
      <w:r w:rsidRPr="008E533F">
        <w:rPr>
          <w:lang w:val="fr-FR"/>
        </w:rPr>
        <w:t>ascendance africaine</w:t>
      </w:r>
      <w:r w:rsidRPr="00CD6B67">
        <w:rPr>
          <w:rStyle w:val="FootnoteReference"/>
        </w:rPr>
        <w:footnoteReference w:id="103"/>
      </w:r>
      <w:r w:rsidRPr="00293268">
        <w:rPr>
          <w:lang w:val="fr-FR"/>
        </w:rPr>
        <w:t xml:space="preserve"> </w:t>
      </w:r>
      <w:r>
        <w:rPr>
          <w:lang w:val="fr-FR"/>
        </w:rPr>
        <w:t>et montrent</w:t>
      </w:r>
      <w:r w:rsidRPr="00293268">
        <w:rPr>
          <w:lang w:val="fr-FR"/>
        </w:rPr>
        <w:t xml:space="preserve"> </w:t>
      </w:r>
      <w:r w:rsidRPr="00387E6D">
        <w:rPr>
          <w:lang w:val="fr-FR"/>
        </w:rPr>
        <w:t xml:space="preserve">que les entreprises de médias sociaux peuvent </w:t>
      </w:r>
      <w:r>
        <w:rPr>
          <w:lang w:val="fr-FR"/>
        </w:rPr>
        <w:t>contribuer à</w:t>
      </w:r>
      <w:r w:rsidRPr="00387E6D">
        <w:rPr>
          <w:lang w:val="fr-FR"/>
        </w:rPr>
        <w:t xml:space="preserve"> mettre </w:t>
      </w:r>
      <w:r>
        <w:rPr>
          <w:lang w:val="fr-FR"/>
        </w:rPr>
        <w:t>fin</w:t>
      </w:r>
      <w:r w:rsidRPr="00387E6D">
        <w:rPr>
          <w:lang w:val="fr-FR"/>
        </w:rPr>
        <w:t xml:space="preserve"> à la propagation des discours de haine sur leurs plateformes</w:t>
      </w:r>
      <w:r w:rsidRPr="00CD6B67">
        <w:rPr>
          <w:rStyle w:val="FootnoteReference"/>
        </w:rPr>
        <w:footnoteReference w:id="104"/>
      </w:r>
      <w:r>
        <w:rPr>
          <w:lang w:val="fr-FR"/>
        </w:rPr>
        <w:t>, par exemple</w:t>
      </w:r>
      <w:r w:rsidRPr="00293268">
        <w:rPr>
          <w:lang w:val="fr-FR"/>
        </w:rPr>
        <w:t xml:space="preserve">. </w:t>
      </w:r>
      <w:r>
        <w:rPr>
          <w:lang w:val="fr-FR"/>
        </w:rPr>
        <w:t>Les effets</w:t>
      </w:r>
      <w:r w:rsidRPr="006668CF">
        <w:rPr>
          <w:lang w:val="fr-FR"/>
        </w:rPr>
        <w:t xml:space="preserve"> des activités des entreprises sur l</w:t>
      </w:r>
      <w:r>
        <w:rPr>
          <w:lang w:val="fr-FR"/>
        </w:rPr>
        <w:t>’</w:t>
      </w:r>
      <w:r w:rsidRPr="006668CF">
        <w:rPr>
          <w:lang w:val="fr-FR"/>
        </w:rPr>
        <w:t>environnement et les droits des co</w:t>
      </w:r>
      <w:r>
        <w:rPr>
          <w:lang w:val="fr-FR"/>
        </w:rPr>
        <w:t>llectivi</w:t>
      </w:r>
      <w:r w:rsidRPr="006668CF">
        <w:rPr>
          <w:lang w:val="fr-FR"/>
        </w:rPr>
        <w:t xml:space="preserve">tés locales dans certains </w:t>
      </w:r>
      <w:r>
        <w:rPr>
          <w:lang w:val="fr-FR"/>
        </w:rPr>
        <w:t>contexte</w:t>
      </w:r>
      <w:r w:rsidRPr="006668CF">
        <w:rPr>
          <w:lang w:val="fr-FR"/>
        </w:rPr>
        <w:t xml:space="preserve">s, comme les industries agro-alimentaires et les projets de développement à grande échelle, </w:t>
      </w:r>
      <w:r>
        <w:rPr>
          <w:lang w:val="fr-FR"/>
        </w:rPr>
        <w:t>ont</w:t>
      </w:r>
      <w:r w:rsidRPr="006668CF">
        <w:rPr>
          <w:lang w:val="fr-FR"/>
        </w:rPr>
        <w:t xml:space="preserve"> également été évoqué</w:t>
      </w:r>
      <w:r>
        <w:rPr>
          <w:lang w:val="fr-FR"/>
        </w:rPr>
        <w:t>s</w:t>
      </w:r>
      <w:r w:rsidRPr="00CD6B67">
        <w:rPr>
          <w:rStyle w:val="FootnoteReference"/>
        </w:rPr>
        <w:footnoteReference w:id="105"/>
      </w:r>
      <w:r>
        <w:rPr>
          <w:lang w:val="fr-FR"/>
        </w:rPr>
        <w:t>.</w:t>
      </w:r>
    </w:p>
    <w:p w14:paraId="31A8298D" w14:textId="77777777" w:rsidR="00865E37" w:rsidRPr="00293268" w:rsidRDefault="00865E37" w:rsidP="00865E37">
      <w:pPr>
        <w:pStyle w:val="SingleTxtG"/>
        <w:rPr>
          <w:lang w:val="fr-FR"/>
        </w:rPr>
      </w:pPr>
      <w:r w:rsidRPr="00293268">
        <w:rPr>
          <w:lang w:val="fr-FR"/>
        </w:rPr>
        <w:t>38.</w:t>
      </w:r>
      <w:r w:rsidRPr="00293268">
        <w:rPr>
          <w:lang w:val="fr-FR"/>
        </w:rPr>
        <w:tab/>
      </w:r>
      <w:r w:rsidRPr="00FE3E94">
        <w:rPr>
          <w:lang w:val="fr-FR"/>
        </w:rPr>
        <w:t>Les personnes d</w:t>
      </w:r>
      <w:r>
        <w:rPr>
          <w:lang w:val="fr-FR"/>
        </w:rPr>
        <w:t>’</w:t>
      </w:r>
      <w:r w:rsidRPr="00FE3E94">
        <w:rPr>
          <w:lang w:val="fr-FR"/>
        </w:rPr>
        <w:t xml:space="preserve">ascendance africaine continuent de pâtir du manque de connaissance et de reconnaissance de leur histoire, en particulier des torts et des injustices raciales dont </w:t>
      </w:r>
      <w:r w:rsidRPr="00DE7F7D">
        <w:rPr>
          <w:lang w:val="fr-FR"/>
        </w:rPr>
        <w:t>elles sont</w:t>
      </w:r>
      <w:r w:rsidRPr="00FE3E94">
        <w:rPr>
          <w:lang w:val="fr-FR"/>
        </w:rPr>
        <w:t xml:space="preserve"> victimes, de leur culture, de leur patrimoine et de leurs contributions. Leur histoire reste insuffisamment ou inexactement abordée dans les programmes d</w:t>
      </w:r>
      <w:r>
        <w:rPr>
          <w:lang w:val="fr-FR"/>
        </w:rPr>
        <w:t>’</w:t>
      </w:r>
      <w:r w:rsidRPr="00FE3E94">
        <w:rPr>
          <w:lang w:val="fr-FR"/>
        </w:rPr>
        <w:t xml:space="preserve">enseignement, </w:t>
      </w:r>
      <w:r>
        <w:rPr>
          <w:lang w:val="fr-FR"/>
        </w:rPr>
        <w:t>particulièrement</w:t>
      </w:r>
      <w:r w:rsidRPr="00FE3E94">
        <w:rPr>
          <w:lang w:val="fr-FR"/>
        </w:rPr>
        <w:t xml:space="preserve"> en ce qui concerne l</w:t>
      </w:r>
      <w:r>
        <w:rPr>
          <w:lang w:val="fr-FR"/>
        </w:rPr>
        <w:t>’</w:t>
      </w:r>
      <w:r w:rsidRPr="00FE3E94">
        <w:rPr>
          <w:lang w:val="fr-FR"/>
        </w:rPr>
        <w:t>esclavage, le commerce transatlantique des Africains réduits en esclavage et le colonialisme</w:t>
      </w:r>
      <w:r w:rsidRPr="00CD6B67">
        <w:rPr>
          <w:rStyle w:val="FootnoteReference"/>
        </w:rPr>
        <w:footnoteReference w:id="106"/>
      </w:r>
      <w:r>
        <w:rPr>
          <w:lang w:val="fr-FR"/>
        </w:rPr>
        <w:t>.</w:t>
      </w:r>
    </w:p>
    <w:p w14:paraId="1B4ED49A" w14:textId="77777777" w:rsidR="00865E37" w:rsidRPr="00293268" w:rsidRDefault="00865E37" w:rsidP="005C36EA">
      <w:pPr>
        <w:pStyle w:val="H23G"/>
        <w:rPr>
          <w:lang w:val="fr-FR"/>
        </w:rPr>
      </w:pPr>
      <w:bookmarkStart w:id="68" w:name="_Toc73738823"/>
      <w:bookmarkStart w:id="69" w:name="_Toc74078706"/>
      <w:bookmarkStart w:id="70" w:name="_Toc74080635"/>
      <w:bookmarkStart w:id="71" w:name="_Toc75280462"/>
      <w:bookmarkStart w:id="72" w:name="_Toc74173701"/>
      <w:r w:rsidRPr="00293268">
        <w:rPr>
          <w:lang w:val="fr-FR"/>
        </w:rPr>
        <w:tab/>
        <w:t>3.</w:t>
      </w:r>
      <w:r w:rsidRPr="00293268">
        <w:rPr>
          <w:lang w:val="fr-FR"/>
        </w:rPr>
        <w:tab/>
      </w:r>
      <w:bookmarkEnd w:id="68"/>
      <w:bookmarkEnd w:id="69"/>
      <w:bookmarkEnd w:id="70"/>
      <w:bookmarkEnd w:id="71"/>
      <w:bookmarkEnd w:id="72"/>
      <w:r w:rsidRPr="00F578D9">
        <w:rPr>
          <w:lang w:val="fr-FR"/>
        </w:rPr>
        <w:t>Actes de violence et de haine à caractère raciste, y compris les discours de haine</w:t>
      </w:r>
    </w:p>
    <w:p w14:paraId="3A3ECB46" w14:textId="15B5506D" w:rsidR="00865E37" w:rsidRPr="00293268" w:rsidRDefault="00865E37" w:rsidP="00865E37">
      <w:pPr>
        <w:pStyle w:val="SingleTxtG"/>
        <w:rPr>
          <w:lang w:val="fr-FR"/>
        </w:rPr>
      </w:pPr>
      <w:r w:rsidRPr="00293268">
        <w:rPr>
          <w:lang w:val="fr-FR"/>
        </w:rPr>
        <w:t>39.</w:t>
      </w:r>
      <w:r w:rsidRPr="00293268">
        <w:rPr>
          <w:lang w:val="fr-FR"/>
        </w:rPr>
        <w:tab/>
      </w:r>
      <w:r w:rsidRPr="004642EE">
        <w:rPr>
          <w:lang w:val="fr-FR"/>
        </w:rPr>
        <w:t xml:space="preserve">Dans de nombreux pays, </w:t>
      </w:r>
      <w:r w:rsidRPr="00684930">
        <w:rPr>
          <w:lang w:val="fr-FR"/>
        </w:rPr>
        <w:t>la violence et la haine à caractère raciste</w:t>
      </w:r>
      <w:r w:rsidRPr="004642EE">
        <w:rPr>
          <w:lang w:val="fr-FR"/>
        </w:rPr>
        <w:t>, y compris les discours de haine, qui s</w:t>
      </w:r>
      <w:r>
        <w:rPr>
          <w:lang w:val="fr-FR"/>
        </w:rPr>
        <w:t>’</w:t>
      </w:r>
      <w:r w:rsidRPr="004642EE">
        <w:rPr>
          <w:lang w:val="fr-FR"/>
        </w:rPr>
        <w:t>inspirent d</w:t>
      </w:r>
      <w:r>
        <w:rPr>
          <w:lang w:val="fr-FR"/>
        </w:rPr>
        <w:t>’</w:t>
      </w:r>
      <w:r w:rsidRPr="004642EE">
        <w:rPr>
          <w:lang w:val="fr-FR"/>
        </w:rPr>
        <w:t>idéologies suprématistes, font partie de la réalité quotidienne des personnes d</w:t>
      </w:r>
      <w:r>
        <w:rPr>
          <w:lang w:val="fr-FR"/>
        </w:rPr>
        <w:t>’</w:t>
      </w:r>
      <w:r w:rsidRPr="004642EE">
        <w:rPr>
          <w:lang w:val="fr-FR"/>
        </w:rPr>
        <w:t>ascendance africaine</w:t>
      </w:r>
      <w:r w:rsidRPr="00CD6B67">
        <w:rPr>
          <w:rStyle w:val="FootnoteReference"/>
        </w:rPr>
        <w:footnoteReference w:id="107"/>
      </w:r>
      <w:r>
        <w:rPr>
          <w:lang w:val="fr-FR"/>
        </w:rPr>
        <w:t>.</w:t>
      </w:r>
      <w:r w:rsidRPr="00293268">
        <w:rPr>
          <w:b/>
          <w:lang w:val="fr-FR"/>
        </w:rPr>
        <w:t xml:space="preserve"> </w:t>
      </w:r>
      <w:r w:rsidRPr="00806F71">
        <w:rPr>
          <w:lang w:val="fr-FR"/>
        </w:rPr>
        <w:t xml:space="preserve">Dans certains pays et régions, </w:t>
      </w:r>
      <w:r>
        <w:rPr>
          <w:lang w:val="fr-FR"/>
        </w:rPr>
        <w:t>celles-ci</w:t>
      </w:r>
      <w:r w:rsidRPr="00806F71">
        <w:rPr>
          <w:lang w:val="fr-FR"/>
        </w:rPr>
        <w:t xml:space="preserve"> figurent parmi les victimes les plus fréquentes de </w:t>
      </w:r>
      <w:r w:rsidRPr="00A86771">
        <w:rPr>
          <w:lang w:val="fr-FR"/>
        </w:rPr>
        <w:t>discours de haine et de violences</w:t>
      </w:r>
      <w:r>
        <w:rPr>
          <w:lang w:val="fr-FR"/>
        </w:rPr>
        <w:t xml:space="preserve">, ainsi </w:t>
      </w:r>
      <w:r w:rsidRPr="00923F54">
        <w:rPr>
          <w:lang w:val="fr-FR"/>
        </w:rPr>
        <w:t>que d</w:t>
      </w:r>
      <w:r>
        <w:rPr>
          <w:lang w:val="fr-FR"/>
        </w:rPr>
        <w:t>’</w:t>
      </w:r>
      <w:r w:rsidRPr="00923F54">
        <w:rPr>
          <w:lang w:val="fr-FR"/>
        </w:rPr>
        <w:t>homicides</w:t>
      </w:r>
      <w:r w:rsidRPr="00CD6B67">
        <w:rPr>
          <w:rStyle w:val="FootnoteReference"/>
        </w:rPr>
        <w:footnoteReference w:id="108"/>
      </w:r>
      <w:r>
        <w:rPr>
          <w:lang w:val="fr-FR"/>
        </w:rPr>
        <w:t>.</w:t>
      </w:r>
      <w:r w:rsidRPr="00293268">
        <w:rPr>
          <w:lang w:val="fr-FR"/>
        </w:rPr>
        <w:t xml:space="preserve"> </w:t>
      </w:r>
      <w:r w:rsidRPr="009A67BA">
        <w:rPr>
          <w:lang w:val="fr-FR"/>
        </w:rPr>
        <w:t>Ainsi, en 2018, les personnes d</w:t>
      </w:r>
      <w:r>
        <w:rPr>
          <w:lang w:val="fr-FR"/>
        </w:rPr>
        <w:t>’</w:t>
      </w:r>
      <w:r w:rsidRPr="009A67BA">
        <w:rPr>
          <w:lang w:val="fr-FR"/>
        </w:rPr>
        <w:t>ascendance africaine auraient été parmi les principales victimes de la violence en Amérique latine et au Brésil</w:t>
      </w:r>
      <w:r>
        <w:rPr>
          <w:lang w:val="fr-FR"/>
        </w:rPr>
        <w:t xml:space="preserve"> où</w:t>
      </w:r>
      <w:r w:rsidRPr="009A67BA">
        <w:rPr>
          <w:lang w:val="fr-FR"/>
        </w:rPr>
        <w:t>,</w:t>
      </w:r>
      <w:r w:rsidRPr="00DF4EA0">
        <w:rPr>
          <w:lang w:val="fr-FR"/>
        </w:rPr>
        <w:t xml:space="preserve"> </w:t>
      </w:r>
      <w:r w:rsidRPr="00971DF5">
        <w:rPr>
          <w:lang w:val="fr-FR"/>
        </w:rPr>
        <w:t xml:space="preserve">selon </w:t>
      </w:r>
      <w:r>
        <w:rPr>
          <w:lang w:val="fr-FR"/>
        </w:rPr>
        <w:t>d</w:t>
      </w:r>
      <w:r w:rsidRPr="00971DF5">
        <w:rPr>
          <w:lang w:val="fr-FR"/>
        </w:rPr>
        <w:t>es informations</w:t>
      </w:r>
      <w:r>
        <w:rPr>
          <w:lang w:val="fr-FR"/>
        </w:rPr>
        <w:t>,</w:t>
      </w:r>
      <w:r w:rsidRPr="009A67BA">
        <w:rPr>
          <w:lang w:val="fr-FR"/>
        </w:rPr>
        <w:t xml:space="preserve"> jusqu</w:t>
      </w:r>
      <w:r>
        <w:rPr>
          <w:lang w:val="fr-FR"/>
        </w:rPr>
        <w:t>’</w:t>
      </w:r>
      <w:r w:rsidRPr="009A67BA">
        <w:rPr>
          <w:lang w:val="fr-FR"/>
        </w:rPr>
        <w:t>à trois victimes d</w:t>
      </w:r>
      <w:r>
        <w:rPr>
          <w:lang w:val="fr-FR"/>
        </w:rPr>
        <w:t>’</w:t>
      </w:r>
      <w:r w:rsidRPr="009A67BA">
        <w:rPr>
          <w:lang w:val="fr-FR"/>
        </w:rPr>
        <w:t xml:space="preserve">homicide sur quatre </w:t>
      </w:r>
      <w:r>
        <w:rPr>
          <w:lang w:val="fr-FR"/>
        </w:rPr>
        <w:t xml:space="preserve">sont </w:t>
      </w:r>
      <w:r w:rsidRPr="009A67BA">
        <w:rPr>
          <w:lang w:val="fr-FR"/>
        </w:rPr>
        <w:t>d</w:t>
      </w:r>
      <w:r>
        <w:rPr>
          <w:lang w:val="fr-FR"/>
        </w:rPr>
        <w:t>’</w:t>
      </w:r>
      <w:r w:rsidRPr="009A67BA">
        <w:rPr>
          <w:lang w:val="fr-FR"/>
        </w:rPr>
        <w:t>ascendance africaine</w:t>
      </w:r>
      <w:r w:rsidRPr="00CD6B67">
        <w:rPr>
          <w:rStyle w:val="FootnoteReference"/>
        </w:rPr>
        <w:footnoteReference w:id="109"/>
      </w:r>
      <w:r>
        <w:rPr>
          <w:lang w:val="fr-FR"/>
        </w:rPr>
        <w:t>.</w:t>
      </w:r>
      <w:r w:rsidRPr="00293268">
        <w:rPr>
          <w:lang w:val="fr-FR"/>
        </w:rPr>
        <w:t xml:space="preserve"> </w:t>
      </w:r>
      <w:r w:rsidRPr="00C67895">
        <w:rPr>
          <w:lang w:val="fr-FR"/>
        </w:rPr>
        <w:t>Un rapport commandé par le Gouvernement suédois en 2014 a révélé que les Afro-Suédois étaient la minorité suédoise la plus exposée aux infractions motivées par la haine et que les «</w:t>
      </w:r>
      <w:r w:rsidR="00A07977">
        <w:rPr>
          <w:lang w:val="fr-FR"/>
        </w:rPr>
        <w:t> </w:t>
      </w:r>
      <w:r w:rsidRPr="000F19CC">
        <w:rPr>
          <w:lang w:val="fr-FR"/>
        </w:rPr>
        <w:t>crimes de haine motivés par l</w:t>
      </w:r>
      <w:r>
        <w:rPr>
          <w:lang w:val="fr-FR"/>
        </w:rPr>
        <w:t>’</w:t>
      </w:r>
      <w:r w:rsidRPr="000F19CC">
        <w:rPr>
          <w:lang w:val="fr-FR"/>
        </w:rPr>
        <w:t xml:space="preserve">afrophobie </w:t>
      </w:r>
      <w:r w:rsidRPr="00C67895">
        <w:rPr>
          <w:lang w:val="fr-FR"/>
        </w:rPr>
        <w:t>avaient augmenté de 24</w:t>
      </w:r>
      <w:r w:rsidR="00E53DDC">
        <w:rPr>
          <w:lang w:val="fr-FR"/>
        </w:rPr>
        <w:t> %</w:t>
      </w:r>
      <w:r w:rsidRPr="00C67895">
        <w:rPr>
          <w:lang w:val="fr-FR"/>
        </w:rPr>
        <w:t xml:space="preserve"> depuis 2008</w:t>
      </w:r>
      <w:r w:rsidR="00A07977">
        <w:rPr>
          <w:lang w:val="fr-FR"/>
        </w:rPr>
        <w:t> »</w:t>
      </w:r>
      <w:r w:rsidRPr="00CD6B67">
        <w:rPr>
          <w:rStyle w:val="FootnoteReference"/>
        </w:rPr>
        <w:footnoteReference w:id="110"/>
      </w:r>
      <w:r>
        <w:rPr>
          <w:lang w:val="fr-FR"/>
        </w:rPr>
        <w:t>.</w:t>
      </w:r>
    </w:p>
    <w:p w14:paraId="1609002B" w14:textId="2847DA5B" w:rsidR="00865E37" w:rsidRPr="00293268" w:rsidRDefault="00865E37" w:rsidP="00865E37">
      <w:pPr>
        <w:pStyle w:val="SingleTxtG"/>
        <w:rPr>
          <w:lang w:val="fr-FR"/>
        </w:rPr>
      </w:pPr>
      <w:r w:rsidRPr="00293268">
        <w:rPr>
          <w:lang w:val="fr-FR"/>
        </w:rPr>
        <w:t>40.</w:t>
      </w:r>
      <w:r w:rsidRPr="00293268">
        <w:rPr>
          <w:lang w:val="fr-FR"/>
        </w:rPr>
        <w:tab/>
      </w:r>
      <w:r w:rsidRPr="009065C7">
        <w:rPr>
          <w:lang w:val="fr-FR"/>
        </w:rPr>
        <w:t>Les mécanismes des droits de l</w:t>
      </w:r>
      <w:r>
        <w:rPr>
          <w:lang w:val="fr-FR"/>
        </w:rPr>
        <w:t>’</w:t>
      </w:r>
      <w:r w:rsidRPr="009065C7">
        <w:rPr>
          <w:lang w:val="fr-FR"/>
        </w:rPr>
        <w:t>homme de l</w:t>
      </w:r>
      <w:r>
        <w:rPr>
          <w:lang w:val="fr-FR"/>
        </w:rPr>
        <w:t>’</w:t>
      </w:r>
      <w:r w:rsidRPr="009065C7">
        <w:rPr>
          <w:lang w:val="fr-FR"/>
        </w:rPr>
        <w:t xml:space="preserve">ONU ont fait part de leurs préoccupations concernant les agressions dont sont victimes </w:t>
      </w:r>
      <w:r>
        <w:rPr>
          <w:lang w:val="fr-FR"/>
        </w:rPr>
        <w:t>d</w:t>
      </w:r>
      <w:r w:rsidRPr="009065C7">
        <w:rPr>
          <w:lang w:val="fr-FR"/>
        </w:rPr>
        <w:t xml:space="preserve">es Africains et </w:t>
      </w:r>
      <w:r>
        <w:rPr>
          <w:lang w:val="fr-FR"/>
        </w:rPr>
        <w:t>d</w:t>
      </w:r>
      <w:r w:rsidRPr="009065C7">
        <w:rPr>
          <w:lang w:val="fr-FR"/>
        </w:rPr>
        <w:t>es personnes d</w:t>
      </w:r>
      <w:r>
        <w:rPr>
          <w:lang w:val="fr-FR"/>
        </w:rPr>
        <w:t>’</w:t>
      </w:r>
      <w:r w:rsidRPr="009065C7">
        <w:rPr>
          <w:lang w:val="fr-FR"/>
        </w:rPr>
        <w:t>ascendance africaine en Inde</w:t>
      </w:r>
      <w:r w:rsidRPr="00CD6B67">
        <w:rPr>
          <w:rStyle w:val="FootnoteReference"/>
        </w:rPr>
        <w:footnoteReference w:id="111"/>
      </w:r>
      <w:r>
        <w:rPr>
          <w:lang w:val="fr-FR"/>
        </w:rPr>
        <w:t>, en Slovaquie</w:t>
      </w:r>
      <w:r w:rsidRPr="00CD6B67">
        <w:rPr>
          <w:rStyle w:val="FootnoteReference"/>
        </w:rPr>
        <w:footnoteReference w:id="112"/>
      </w:r>
      <w:r>
        <w:rPr>
          <w:lang w:val="fr-FR"/>
        </w:rPr>
        <w:t>, en Fédération de Russie</w:t>
      </w:r>
      <w:r w:rsidRPr="00CD6B67">
        <w:rPr>
          <w:rStyle w:val="FootnoteReference"/>
        </w:rPr>
        <w:footnoteReference w:id="113"/>
      </w:r>
      <w:r w:rsidRPr="00293268">
        <w:rPr>
          <w:lang w:val="fr-FR"/>
        </w:rPr>
        <w:t xml:space="preserve"> </w:t>
      </w:r>
      <w:r>
        <w:rPr>
          <w:lang w:val="fr-FR"/>
        </w:rPr>
        <w:t>et en</w:t>
      </w:r>
      <w:r w:rsidRPr="00293268">
        <w:rPr>
          <w:lang w:val="fr-FR"/>
        </w:rPr>
        <w:t xml:space="preserve"> Ukraine</w:t>
      </w:r>
      <w:r w:rsidRPr="00CD6B67">
        <w:rPr>
          <w:rStyle w:val="FootnoteReference"/>
        </w:rPr>
        <w:footnoteReference w:id="114"/>
      </w:r>
      <w:r>
        <w:rPr>
          <w:lang w:val="fr-FR"/>
        </w:rPr>
        <w:t>.</w:t>
      </w:r>
      <w:r w:rsidRPr="00293268">
        <w:rPr>
          <w:lang w:val="fr-FR"/>
        </w:rPr>
        <w:t xml:space="preserve"> </w:t>
      </w:r>
      <w:r w:rsidRPr="00EF445A">
        <w:rPr>
          <w:lang w:val="fr-FR"/>
        </w:rPr>
        <w:t xml:space="preserve">En 2019, des inquiétudes ont été exprimées en Israël </w:t>
      </w:r>
      <w:r>
        <w:rPr>
          <w:lang w:val="fr-FR"/>
        </w:rPr>
        <w:t>au sujet de</w:t>
      </w:r>
      <w:r w:rsidRPr="00EF445A">
        <w:rPr>
          <w:lang w:val="fr-FR"/>
        </w:rPr>
        <w:t xml:space="preserve"> la multiplication des actes racistes et xénophobes ciblant les migrants et les demandeurs d</w:t>
      </w:r>
      <w:r>
        <w:rPr>
          <w:lang w:val="fr-FR"/>
        </w:rPr>
        <w:t>’</w:t>
      </w:r>
      <w:r w:rsidRPr="00EF445A">
        <w:rPr>
          <w:lang w:val="fr-FR"/>
        </w:rPr>
        <w:t>asile d</w:t>
      </w:r>
      <w:r>
        <w:rPr>
          <w:lang w:val="fr-FR"/>
        </w:rPr>
        <w:t>’</w:t>
      </w:r>
      <w:r w:rsidRPr="00EF445A">
        <w:rPr>
          <w:lang w:val="fr-FR"/>
        </w:rPr>
        <w:t>origine africaine, et le retour forcé présumé de ressortissants érythréens et soudanais</w:t>
      </w:r>
      <w:r w:rsidRPr="00CD6B67">
        <w:rPr>
          <w:rStyle w:val="FootnoteReference"/>
        </w:rPr>
        <w:footnoteReference w:id="115"/>
      </w:r>
      <w:r>
        <w:rPr>
          <w:lang w:val="fr-FR"/>
        </w:rPr>
        <w:t>.</w:t>
      </w:r>
      <w:r w:rsidRPr="00293268">
        <w:rPr>
          <w:lang w:val="fr-FR"/>
        </w:rPr>
        <w:t xml:space="preserve"> </w:t>
      </w:r>
      <w:r w:rsidRPr="00E27252">
        <w:rPr>
          <w:lang w:val="fr-FR"/>
        </w:rPr>
        <w:t>En 2019, en Pologne, «</w:t>
      </w:r>
      <w:r w:rsidR="00A07977">
        <w:rPr>
          <w:lang w:val="fr-FR"/>
        </w:rPr>
        <w:t> </w:t>
      </w:r>
      <w:r w:rsidRPr="00E27252">
        <w:rPr>
          <w:lang w:val="fr-FR"/>
        </w:rPr>
        <w:t>des discours de haine à caractère raciste tenus envers des groupes minoritaires [...], en particulier des personnes d</w:t>
      </w:r>
      <w:r>
        <w:rPr>
          <w:lang w:val="fr-FR"/>
        </w:rPr>
        <w:t>’</w:t>
      </w:r>
      <w:r w:rsidRPr="00E27252">
        <w:rPr>
          <w:lang w:val="fr-FR"/>
        </w:rPr>
        <w:t>ascendance africaine</w:t>
      </w:r>
      <w:r w:rsidR="00A07977">
        <w:rPr>
          <w:lang w:val="fr-FR"/>
        </w:rPr>
        <w:t> </w:t>
      </w:r>
      <w:r w:rsidRPr="00E27252">
        <w:rPr>
          <w:lang w:val="fr-FR"/>
        </w:rPr>
        <w:t>» ont été constatés</w:t>
      </w:r>
      <w:r w:rsidRPr="00CD6B67">
        <w:rPr>
          <w:rStyle w:val="FootnoteReference"/>
        </w:rPr>
        <w:footnoteReference w:id="116"/>
      </w:r>
      <w:r>
        <w:rPr>
          <w:lang w:val="fr-FR"/>
        </w:rPr>
        <w:t>.</w:t>
      </w:r>
      <w:r w:rsidRPr="00293268">
        <w:rPr>
          <w:lang w:val="fr-FR"/>
        </w:rPr>
        <w:t xml:space="preserve"> </w:t>
      </w:r>
      <w:r w:rsidRPr="00C73261">
        <w:rPr>
          <w:lang w:val="fr-FR"/>
        </w:rPr>
        <w:t>En Hongrie, des propos racistes contre les Africains, entre autres, de la part d</w:t>
      </w:r>
      <w:r>
        <w:rPr>
          <w:lang w:val="fr-FR"/>
        </w:rPr>
        <w:t>’</w:t>
      </w:r>
      <w:r w:rsidRPr="00C73261">
        <w:rPr>
          <w:lang w:val="fr-FR"/>
        </w:rPr>
        <w:t>un fonctionnaire du Gouvernement ont été signalés en 2018</w:t>
      </w:r>
      <w:r w:rsidRPr="00CD6B67">
        <w:rPr>
          <w:rStyle w:val="FootnoteReference"/>
        </w:rPr>
        <w:footnoteReference w:id="117"/>
      </w:r>
      <w:r>
        <w:rPr>
          <w:lang w:val="fr-FR"/>
        </w:rPr>
        <w:t>.</w:t>
      </w:r>
      <w:r w:rsidRPr="00293268">
        <w:rPr>
          <w:lang w:val="fr-FR"/>
        </w:rPr>
        <w:t xml:space="preserve"> </w:t>
      </w:r>
      <w:r w:rsidRPr="000E468F">
        <w:rPr>
          <w:lang w:val="fr-FR"/>
        </w:rPr>
        <w:t>En Fédération de Russie, en 2017, des inquiétudes ont été exprimées quant au fait que les manifestations racistes demeur</w:t>
      </w:r>
      <w:r>
        <w:rPr>
          <w:lang w:val="fr-FR"/>
        </w:rPr>
        <w:t>ai</w:t>
      </w:r>
      <w:r w:rsidRPr="000E468F">
        <w:rPr>
          <w:lang w:val="fr-FR"/>
        </w:rPr>
        <w:t>ent profondément enracinées chez les supporteurs d</w:t>
      </w:r>
      <w:r>
        <w:rPr>
          <w:lang w:val="fr-FR"/>
        </w:rPr>
        <w:t>’</w:t>
      </w:r>
      <w:r w:rsidRPr="000E468F">
        <w:rPr>
          <w:lang w:val="fr-FR"/>
        </w:rPr>
        <w:t>équipes de football, notamment à l</w:t>
      </w:r>
      <w:r>
        <w:rPr>
          <w:lang w:val="fr-FR"/>
        </w:rPr>
        <w:t>’</w:t>
      </w:r>
      <w:r w:rsidRPr="000E468F">
        <w:rPr>
          <w:lang w:val="fr-FR"/>
        </w:rPr>
        <w:t>égard des personnes d</w:t>
      </w:r>
      <w:r>
        <w:rPr>
          <w:lang w:val="fr-FR"/>
        </w:rPr>
        <w:t>’</w:t>
      </w:r>
      <w:r w:rsidRPr="000E468F">
        <w:rPr>
          <w:lang w:val="fr-FR"/>
        </w:rPr>
        <w:t>ascendance africaine</w:t>
      </w:r>
      <w:r w:rsidRPr="00CD6B67">
        <w:rPr>
          <w:rStyle w:val="FootnoteReference"/>
        </w:rPr>
        <w:footnoteReference w:id="118"/>
      </w:r>
      <w:r>
        <w:rPr>
          <w:lang w:val="fr-FR"/>
        </w:rPr>
        <w:t>.</w:t>
      </w:r>
      <w:r w:rsidRPr="00293268">
        <w:rPr>
          <w:lang w:val="fr-FR"/>
        </w:rPr>
        <w:t xml:space="preserve"> </w:t>
      </w:r>
      <w:r w:rsidRPr="00547639">
        <w:rPr>
          <w:lang w:val="fr-FR"/>
        </w:rPr>
        <w:t>En 2015, des informations concernant la discrimination et la stigmatisation sociale dont s</w:t>
      </w:r>
      <w:r>
        <w:rPr>
          <w:lang w:val="fr-FR"/>
        </w:rPr>
        <w:t>o</w:t>
      </w:r>
      <w:r w:rsidRPr="00547639">
        <w:rPr>
          <w:lang w:val="fr-FR"/>
        </w:rPr>
        <w:t xml:space="preserve">nt victimes les membres de la </w:t>
      </w:r>
      <w:r>
        <w:rPr>
          <w:lang w:val="fr-FR"/>
        </w:rPr>
        <w:t>communauté</w:t>
      </w:r>
      <w:r w:rsidRPr="00547639">
        <w:rPr>
          <w:lang w:val="fr-FR"/>
        </w:rPr>
        <w:t xml:space="preserve"> noire d</w:t>
      </w:r>
      <w:r>
        <w:rPr>
          <w:lang w:val="fr-FR"/>
        </w:rPr>
        <w:t>’</w:t>
      </w:r>
      <w:r w:rsidRPr="00547639">
        <w:rPr>
          <w:lang w:val="fr-FR"/>
        </w:rPr>
        <w:t>Égypte, et qui affecteraient les Égyptiens ayant une peau plus foncée que d</w:t>
      </w:r>
      <w:r>
        <w:rPr>
          <w:lang w:val="fr-FR"/>
        </w:rPr>
        <w:t>’</w:t>
      </w:r>
      <w:r w:rsidRPr="00547639">
        <w:rPr>
          <w:lang w:val="fr-FR"/>
        </w:rPr>
        <w:t>autres mais aussi et surtout les non</w:t>
      </w:r>
      <w:r w:rsidR="00946670">
        <w:rPr>
          <w:lang w:val="fr-FR"/>
        </w:rPr>
        <w:noBreakHyphen/>
      </w:r>
      <w:r w:rsidRPr="00547639">
        <w:rPr>
          <w:lang w:val="fr-FR"/>
        </w:rPr>
        <w:t>ressortissants, en particulier ceux en provenance d</w:t>
      </w:r>
      <w:r>
        <w:rPr>
          <w:lang w:val="fr-FR"/>
        </w:rPr>
        <w:t>’</w:t>
      </w:r>
      <w:r w:rsidRPr="00547639">
        <w:rPr>
          <w:lang w:val="fr-FR"/>
        </w:rPr>
        <w:t>Afrique subsaharienne</w:t>
      </w:r>
      <w:r>
        <w:rPr>
          <w:lang w:val="fr-FR"/>
        </w:rPr>
        <w:t>,</w:t>
      </w:r>
      <w:r w:rsidRPr="00547639">
        <w:rPr>
          <w:lang w:val="fr-FR"/>
        </w:rPr>
        <w:t xml:space="preserve"> ont </w:t>
      </w:r>
      <w:r>
        <w:rPr>
          <w:lang w:val="fr-FR"/>
        </w:rPr>
        <w:t>suscité les mêmes inquiétudes</w:t>
      </w:r>
      <w:r w:rsidRPr="00CD6B67">
        <w:rPr>
          <w:rStyle w:val="FootnoteReference"/>
        </w:rPr>
        <w:footnoteReference w:id="119"/>
      </w:r>
      <w:r>
        <w:rPr>
          <w:lang w:val="fr-FR"/>
        </w:rPr>
        <w:t>.</w:t>
      </w:r>
    </w:p>
    <w:p w14:paraId="72582CE3" w14:textId="77777777" w:rsidR="00865E37" w:rsidRPr="00293268" w:rsidRDefault="00865E37" w:rsidP="00865E37">
      <w:pPr>
        <w:pStyle w:val="H1G"/>
        <w:rPr>
          <w:lang w:val="fr-FR"/>
        </w:rPr>
      </w:pPr>
      <w:bookmarkStart w:id="73" w:name="_Toc73714086"/>
      <w:bookmarkStart w:id="74" w:name="_Toc73734598"/>
      <w:bookmarkStart w:id="75" w:name="_Toc73735290"/>
      <w:bookmarkStart w:id="76" w:name="_Toc73736598"/>
      <w:bookmarkStart w:id="77" w:name="_Toc73736632"/>
      <w:bookmarkStart w:id="78" w:name="_Toc73736838"/>
      <w:bookmarkStart w:id="79" w:name="_Toc73737102"/>
      <w:bookmarkStart w:id="80" w:name="_Toc73737421"/>
      <w:bookmarkStart w:id="81" w:name="_Toc73737463"/>
      <w:bookmarkStart w:id="82" w:name="_Toc73737675"/>
      <w:bookmarkStart w:id="83" w:name="_Toc73738655"/>
      <w:bookmarkStart w:id="84" w:name="_Toc73738824"/>
      <w:bookmarkStart w:id="85" w:name="_Toc73738865"/>
      <w:bookmarkStart w:id="86" w:name="_Toc73714087"/>
      <w:bookmarkStart w:id="87" w:name="_Toc73734599"/>
      <w:bookmarkStart w:id="88" w:name="_Toc73738825"/>
      <w:bookmarkStart w:id="89" w:name="_Toc74078707"/>
      <w:bookmarkStart w:id="90" w:name="_Toc74080636"/>
      <w:bookmarkStart w:id="91" w:name="_Toc75280463"/>
      <w:bookmarkStart w:id="92" w:name="_Toc7417370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93268">
        <w:rPr>
          <w:lang w:val="fr-FR"/>
        </w:rPr>
        <w:tab/>
        <w:t>C.</w:t>
      </w:r>
      <w:r w:rsidRPr="00293268">
        <w:rPr>
          <w:lang w:val="fr-FR"/>
        </w:rPr>
        <w:tab/>
      </w:r>
      <w:bookmarkStart w:id="93" w:name="_Toc73738826"/>
      <w:bookmarkEnd w:id="88"/>
      <w:bookmarkEnd w:id="89"/>
      <w:bookmarkEnd w:id="90"/>
      <w:bookmarkEnd w:id="91"/>
      <w:bookmarkEnd w:id="92"/>
      <w:bookmarkEnd w:id="93"/>
      <w:r w:rsidRPr="00457651">
        <w:rPr>
          <w:lang w:val="fr-FR"/>
        </w:rPr>
        <w:t>Facteurs contribuant à la persistance du racisme systémique</w:t>
      </w:r>
    </w:p>
    <w:p w14:paraId="3BBEF44E" w14:textId="77777777" w:rsidR="00865E37" w:rsidRPr="00293268" w:rsidRDefault="00865E37" w:rsidP="00865E37">
      <w:pPr>
        <w:pStyle w:val="H23G"/>
        <w:rPr>
          <w:lang w:val="fr-FR"/>
        </w:rPr>
      </w:pPr>
      <w:bookmarkStart w:id="94" w:name="_Toc73738827"/>
      <w:bookmarkStart w:id="95" w:name="_Toc74078708"/>
      <w:bookmarkStart w:id="96" w:name="_Toc74080637"/>
      <w:bookmarkStart w:id="97" w:name="_Toc75280464"/>
      <w:bookmarkStart w:id="98" w:name="_Toc74173703"/>
      <w:r w:rsidRPr="00293268">
        <w:rPr>
          <w:lang w:val="fr-FR"/>
        </w:rPr>
        <w:tab/>
        <w:t>1.</w:t>
      </w:r>
      <w:r w:rsidRPr="00293268">
        <w:rPr>
          <w:lang w:val="fr-FR"/>
        </w:rPr>
        <w:tab/>
      </w:r>
      <w:bookmarkEnd w:id="94"/>
      <w:bookmarkEnd w:id="95"/>
      <w:bookmarkEnd w:id="96"/>
      <w:bookmarkEnd w:id="97"/>
      <w:bookmarkEnd w:id="98"/>
      <w:r w:rsidRPr="00085989">
        <w:rPr>
          <w:lang w:val="fr-FR"/>
        </w:rPr>
        <w:t>Culture du déni et absence d</w:t>
      </w:r>
      <w:r>
        <w:rPr>
          <w:lang w:val="fr-FR"/>
        </w:rPr>
        <w:t>’</w:t>
      </w:r>
      <w:r w:rsidRPr="00085989">
        <w:rPr>
          <w:lang w:val="fr-FR"/>
        </w:rPr>
        <w:t>une approche systémique du racisme systémique</w:t>
      </w:r>
    </w:p>
    <w:p w14:paraId="27AF2749" w14:textId="6F9BA2DB" w:rsidR="00865E37" w:rsidRPr="00293268" w:rsidRDefault="00865E37" w:rsidP="00865E37">
      <w:pPr>
        <w:pStyle w:val="SingleTxtG"/>
        <w:rPr>
          <w:lang w:val="fr-FR"/>
        </w:rPr>
      </w:pPr>
      <w:r w:rsidRPr="00293268">
        <w:rPr>
          <w:lang w:val="fr-FR"/>
        </w:rPr>
        <w:t>41.</w:t>
      </w:r>
      <w:r w:rsidRPr="00293268">
        <w:rPr>
          <w:lang w:val="fr-FR"/>
        </w:rPr>
        <w:tab/>
      </w:r>
      <w:r w:rsidRPr="00841E61">
        <w:rPr>
          <w:lang w:val="fr-FR"/>
        </w:rPr>
        <w:t>S</w:t>
      </w:r>
      <w:r>
        <w:rPr>
          <w:lang w:val="fr-FR"/>
        </w:rPr>
        <w:t>’</w:t>
      </w:r>
      <w:r w:rsidRPr="00841E61">
        <w:rPr>
          <w:lang w:val="fr-FR"/>
        </w:rPr>
        <w:t xml:space="preserve">il existe des signes prometteurs, certains États </w:t>
      </w:r>
      <w:r w:rsidR="00946670">
        <w:rPr>
          <w:lang w:val="fr-FR"/>
        </w:rPr>
        <w:t>− </w:t>
      </w:r>
      <w:r w:rsidRPr="00841E61">
        <w:rPr>
          <w:lang w:val="fr-FR"/>
        </w:rPr>
        <w:t>en particulier ceux qui ont des liens avec l</w:t>
      </w:r>
      <w:r>
        <w:rPr>
          <w:lang w:val="fr-FR"/>
        </w:rPr>
        <w:t>’</w:t>
      </w:r>
      <w:r w:rsidRPr="00841E61">
        <w:rPr>
          <w:lang w:val="fr-FR"/>
        </w:rPr>
        <w:t>esclavage, le commerce transatlantique d</w:t>
      </w:r>
      <w:r>
        <w:rPr>
          <w:lang w:val="fr-FR"/>
        </w:rPr>
        <w:t>’</w:t>
      </w:r>
      <w:r w:rsidRPr="00841E61">
        <w:rPr>
          <w:lang w:val="fr-FR"/>
        </w:rPr>
        <w:t>Africains réduits en esclavage et le colonialisme</w:t>
      </w:r>
      <w:r w:rsidR="00946670">
        <w:rPr>
          <w:lang w:val="fr-FR"/>
        </w:rPr>
        <w:t> −</w:t>
      </w:r>
      <w:r w:rsidRPr="00841E61">
        <w:rPr>
          <w:lang w:val="fr-FR"/>
        </w:rPr>
        <w:t xml:space="preserve"> continuent de nier l</w:t>
      </w:r>
      <w:r>
        <w:rPr>
          <w:lang w:val="fr-FR"/>
        </w:rPr>
        <w:t>’</w:t>
      </w:r>
      <w:r w:rsidRPr="00841E61">
        <w:rPr>
          <w:lang w:val="fr-FR"/>
        </w:rPr>
        <w:t>existence et les répercussions du racisme systémique, en particulier le racisme institutionnel, à l</w:t>
      </w:r>
      <w:r>
        <w:rPr>
          <w:lang w:val="fr-FR"/>
        </w:rPr>
        <w:t>’</w:t>
      </w:r>
      <w:r w:rsidRPr="00841E61">
        <w:rPr>
          <w:lang w:val="fr-FR"/>
        </w:rPr>
        <w:t>égard des Africains et des personnes d</w:t>
      </w:r>
      <w:r>
        <w:rPr>
          <w:lang w:val="fr-FR"/>
        </w:rPr>
        <w:t>’</w:t>
      </w:r>
      <w:r w:rsidRPr="00841E61">
        <w:rPr>
          <w:lang w:val="fr-FR"/>
        </w:rPr>
        <w:t>ascendance africaine</w:t>
      </w:r>
      <w:r>
        <w:rPr>
          <w:lang w:val="fr-FR"/>
        </w:rPr>
        <w:t xml:space="preserve"> </w:t>
      </w:r>
      <w:r w:rsidRPr="00841E61">
        <w:rPr>
          <w:lang w:val="fr-FR"/>
        </w:rPr>
        <w:t>ou ses liens avec l</w:t>
      </w:r>
      <w:r>
        <w:rPr>
          <w:lang w:val="fr-FR"/>
        </w:rPr>
        <w:t>’</w:t>
      </w:r>
      <w:r w:rsidRPr="00841E61">
        <w:rPr>
          <w:lang w:val="fr-FR"/>
        </w:rPr>
        <w:t>esclavage et le colonialisme</w:t>
      </w:r>
      <w:r>
        <w:rPr>
          <w:lang w:val="fr-FR"/>
        </w:rPr>
        <w:t>, ou n’ont pas reconnu le problème</w:t>
      </w:r>
      <w:r w:rsidRPr="00841E61">
        <w:rPr>
          <w:lang w:val="fr-FR"/>
        </w:rPr>
        <w:t>. Par conséquent, ils n</w:t>
      </w:r>
      <w:r>
        <w:rPr>
          <w:lang w:val="fr-FR"/>
        </w:rPr>
        <w:t>’</w:t>
      </w:r>
      <w:r w:rsidRPr="00841E61">
        <w:rPr>
          <w:lang w:val="fr-FR"/>
        </w:rPr>
        <w:t xml:space="preserve">ont pas suffisamment examiné les </w:t>
      </w:r>
      <w:r>
        <w:rPr>
          <w:lang w:val="fr-FR"/>
        </w:rPr>
        <w:t>différents effets</w:t>
      </w:r>
      <w:r w:rsidRPr="00841E61">
        <w:rPr>
          <w:lang w:val="fr-FR"/>
        </w:rPr>
        <w:t xml:space="preserve"> de leur législation, de leurs politiques et de leurs pratiques sur certains groupes de la population, notamment les Africains et les personnes d</w:t>
      </w:r>
      <w:r>
        <w:rPr>
          <w:lang w:val="fr-FR"/>
        </w:rPr>
        <w:t>’</w:t>
      </w:r>
      <w:r w:rsidRPr="00841E61">
        <w:rPr>
          <w:lang w:val="fr-FR"/>
        </w:rPr>
        <w:t>ascendance africaine</w:t>
      </w:r>
      <w:r w:rsidRPr="00293268">
        <w:rPr>
          <w:lang w:val="fr-FR"/>
        </w:rPr>
        <w:t xml:space="preserve">. </w:t>
      </w:r>
    </w:p>
    <w:p w14:paraId="0582D1EC" w14:textId="624E3C1D" w:rsidR="00865E37" w:rsidRPr="00293268" w:rsidRDefault="00865E37" w:rsidP="00865E37">
      <w:pPr>
        <w:pStyle w:val="SingleTxtG"/>
        <w:rPr>
          <w:lang w:val="fr-FR"/>
        </w:rPr>
      </w:pPr>
      <w:r w:rsidRPr="00293268">
        <w:rPr>
          <w:lang w:val="fr-FR"/>
        </w:rPr>
        <w:t>42.</w:t>
      </w:r>
      <w:r w:rsidRPr="00293268">
        <w:rPr>
          <w:lang w:val="fr-FR"/>
        </w:rPr>
        <w:tab/>
      </w:r>
      <w:r w:rsidRPr="00DA6DEC">
        <w:rPr>
          <w:lang w:val="fr-FR"/>
        </w:rPr>
        <w:t xml:space="preserve">En outre, </w:t>
      </w:r>
      <w:r w:rsidR="00916CF0">
        <w:rPr>
          <w:lang w:val="fr-FR"/>
        </w:rPr>
        <w:t>même</w:t>
      </w:r>
      <w:r w:rsidRPr="00DA6DEC">
        <w:rPr>
          <w:lang w:val="fr-FR"/>
        </w:rPr>
        <w:t xml:space="preserve"> </w:t>
      </w:r>
      <w:r>
        <w:rPr>
          <w:lang w:val="fr-FR"/>
        </w:rPr>
        <w:t>si des États ont adopté des</w:t>
      </w:r>
      <w:r w:rsidRPr="00DA6DEC">
        <w:rPr>
          <w:lang w:val="fr-FR"/>
        </w:rPr>
        <w:t xml:space="preserve"> dispositions constitutionnelles, de</w:t>
      </w:r>
      <w:r>
        <w:rPr>
          <w:lang w:val="fr-FR"/>
        </w:rPr>
        <w:t>s</w:t>
      </w:r>
      <w:r w:rsidRPr="00DA6DEC">
        <w:rPr>
          <w:lang w:val="fr-FR"/>
        </w:rPr>
        <w:t xml:space="preserve"> lois et de</w:t>
      </w:r>
      <w:r>
        <w:rPr>
          <w:lang w:val="fr-FR"/>
        </w:rPr>
        <w:t>s</w:t>
      </w:r>
      <w:r w:rsidRPr="00DA6DEC">
        <w:rPr>
          <w:lang w:val="fr-FR"/>
        </w:rPr>
        <w:t xml:space="preserve"> politiques et mis en place d</w:t>
      </w:r>
      <w:r>
        <w:rPr>
          <w:lang w:val="fr-FR"/>
        </w:rPr>
        <w:t xml:space="preserve">es </w:t>
      </w:r>
      <w:r w:rsidRPr="00DA6DEC">
        <w:rPr>
          <w:lang w:val="fr-FR"/>
        </w:rPr>
        <w:t>institutions pour lutter contre la discrimination raciale à l</w:t>
      </w:r>
      <w:r>
        <w:rPr>
          <w:lang w:val="fr-FR"/>
        </w:rPr>
        <w:t>’</w:t>
      </w:r>
      <w:r w:rsidRPr="00DA6DEC">
        <w:rPr>
          <w:lang w:val="fr-FR"/>
        </w:rPr>
        <w:t>égard des Africains et des personnes d</w:t>
      </w:r>
      <w:r>
        <w:rPr>
          <w:lang w:val="fr-FR"/>
        </w:rPr>
        <w:t>’</w:t>
      </w:r>
      <w:r w:rsidRPr="00DA6DEC">
        <w:rPr>
          <w:lang w:val="fr-FR"/>
        </w:rPr>
        <w:t xml:space="preserve">ascendance africaine, ces initiatives ne sont pas systématiquement considérées comme prioritaires et ont donné des résultats souvent très insuffisants, en partie </w:t>
      </w:r>
      <w:r>
        <w:rPr>
          <w:lang w:val="fr-FR"/>
        </w:rPr>
        <w:t xml:space="preserve">par </w:t>
      </w:r>
      <w:r w:rsidRPr="00DA6DEC">
        <w:rPr>
          <w:lang w:val="fr-FR"/>
        </w:rPr>
        <w:t>manque de volonté politique</w:t>
      </w:r>
      <w:r w:rsidRPr="00293268">
        <w:rPr>
          <w:lang w:val="fr-FR"/>
        </w:rPr>
        <w:t>.</w:t>
      </w:r>
    </w:p>
    <w:p w14:paraId="06BBF945" w14:textId="4DDDC1EA" w:rsidR="00865E37" w:rsidRPr="00293268" w:rsidRDefault="00865E37" w:rsidP="00D148FD">
      <w:pPr>
        <w:pStyle w:val="H23G"/>
        <w:rPr>
          <w:lang w:val="fr-FR"/>
        </w:rPr>
      </w:pPr>
      <w:bookmarkStart w:id="99" w:name="_Toc73738828"/>
      <w:bookmarkStart w:id="100" w:name="_Toc74078709"/>
      <w:bookmarkStart w:id="101" w:name="_Toc74080638"/>
      <w:bookmarkStart w:id="102" w:name="_Toc75280465"/>
      <w:bookmarkStart w:id="103" w:name="_Toc74173704"/>
      <w:r w:rsidRPr="00293268">
        <w:rPr>
          <w:lang w:val="fr-FR"/>
        </w:rPr>
        <w:tab/>
        <w:t>2.</w:t>
      </w:r>
      <w:r w:rsidRPr="00293268">
        <w:rPr>
          <w:lang w:val="fr-FR"/>
        </w:rPr>
        <w:tab/>
      </w:r>
      <w:bookmarkEnd w:id="99"/>
      <w:bookmarkEnd w:id="100"/>
      <w:bookmarkEnd w:id="101"/>
      <w:bookmarkEnd w:id="102"/>
      <w:bookmarkEnd w:id="103"/>
      <w:r>
        <w:rPr>
          <w:lang w:val="fr-FR"/>
        </w:rPr>
        <w:t xml:space="preserve">Insuffisance de la collecte, de l’analyse et de l’utilisation </w:t>
      </w:r>
      <w:r w:rsidRPr="00B4253D">
        <w:rPr>
          <w:lang w:val="fr-FR"/>
        </w:rPr>
        <w:t xml:space="preserve">de données ventilées </w:t>
      </w:r>
      <w:r w:rsidR="00D148FD">
        <w:rPr>
          <w:lang w:val="fr-FR"/>
        </w:rPr>
        <w:br/>
      </w:r>
      <w:r>
        <w:rPr>
          <w:lang w:val="fr-FR"/>
        </w:rPr>
        <w:t>par</w:t>
      </w:r>
      <w:r w:rsidRPr="00B4253D">
        <w:rPr>
          <w:lang w:val="fr-FR"/>
        </w:rPr>
        <w:t xml:space="preserve"> race ou origine ethnique</w:t>
      </w:r>
    </w:p>
    <w:p w14:paraId="745677D2" w14:textId="77777777" w:rsidR="00865E37" w:rsidRPr="00293268" w:rsidRDefault="00865E37" w:rsidP="00865E37">
      <w:pPr>
        <w:pStyle w:val="SingleTxtG"/>
        <w:rPr>
          <w:lang w:val="fr-FR"/>
        </w:rPr>
      </w:pPr>
      <w:r w:rsidRPr="00293268">
        <w:rPr>
          <w:lang w:val="fr-FR"/>
        </w:rPr>
        <w:t>43.</w:t>
      </w:r>
      <w:r w:rsidRPr="00293268">
        <w:rPr>
          <w:lang w:val="fr-FR"/>
        </w:rPr>
        <w:tab/>
      </w:r>
      <w:r w:rsidRPr="000826CF">
        <w:rPr>
          <w:lang w:val="fr-FR"/>
        </w:rPr>
        <w:t>Les problèmes susmentionnés illustrent l</w:t>
      </w:r>
      <w:r>
        <w:rPr>
          <w:lang w:val="fr-FR"/>
        </w:rPr>
        <w:t>’</w:t>
      </w:r>
      <w:r w:rsidRPr="000826CF">
        <w:rPr>
          <w:lang w:val="fr-FR"/>
        </w:rPr>
        <w:t xml:space="preserve">importance </w:t>
      </w:r>
      <w:r>
        <w:rPr>
          <w:lang w:val="fr-FR"/>
        </w:rPr>
        <w:t>que revêtent les</w:t>
      </w:r>
      <w:r w:rsidRPr="000826CF">
        <w:rPr>
          <w:lang w:val="fr-FR"/>
        </w:rPr>
        <w:t xml:space="preserve"> données pour analyser et comprendre les différentes dynamiques du racisme systémique. La collecte, l</w:t>
      </w:r>
      <w:r>
        <w:rPr>
          <w:lang w:val="fr-FR"/>
        </w:rPr>
        <w:t>’</w:t>
      </w:r>
      <w:r w:rsidRPr="000826CF">
        <w:rPr>
          <w:lang w:val="fr-FR"/>
        </w:rPr>
        <w:t>analyse et l</w:t>
      </w:r>
      <w:r>
        <w:rPr>
          <w:lang w:val="fr-FR"/>
        </w:rPr>
        <w:t xml:space="preserve">’utilisation </w:t>
      </w:r>
      <w:r w:rsidRPr="000826CF">
        <w:rPr>
          <w:lang w:val="fr-FR"/>
        </w:rPr>
        <w:t xml:space="preserve">de données ventilées par race ou origine ethnique, ainsi que par sexe, âge et autres </w:t>
      </w:r>
      <w:r>
        <w:rPr>
          <w:lang w:val="fr-FR"/>
        </w:rPr>
        <w:t>paramètres,</w:t>
      </w:r>
      <w:r w:rsidRPr="000826CF">
        <w:rPr>
          <w:lang w:val="fr-FR"/>
        </w:rPr>
        <w:t xml:space="preserve"> sur l</w:t>
      </w:r>
      <w:r>
        <w:rPr>
          <w:lang w:val="fr-FR"/>
        </w:rPr>
        <w:t>’</w:t>
      </w:r>
      <w:r w:rsidRPr="000826CF">
        <w:rPr>
          <w:lang w:val="fr-FR"/>
        </w:rPr>
        <w:t xml:space="preserve">effet des lois, des politiques et des pratiques sur certains groupes raciaux ou ethniques, </w:t>
      </w:r>
      <w:r w:rsidRPr="00152E4A">
        <w:rPr>
          <w:lang w:val="fr-FR"/>
        </w:rPr>
        <w:t>dans le respect de garanties strictes et du droit international des droits de l</w:t>
      </w:r>
      <w:r>
        <w:rPr>
          <w:lang w:val="fr-FR"/>
        </w:rPr>
        <w:t>’</w:t>
      </w:r>
      <w:r w:rsidRPr="00152E4A">
        <w:rPr>
          <w:lang w:val="fr-FR"/>
        </w:rPr>
        <w:t>homme</w:t>
      </w:r>
      <w:r>
        <w:rPr>
          <w:lang w:val="fr-FR"/>
        </w:rPr>
        <w:t xml:space="preserve">, </w:t>
      </w:r>
      <w:r w:rsidRPr="000826CF">
        <w:rPr>
          <w:lang w:val="fr-FR"/>
        </w:rPr>
        <w:t>restent l</w:t>
      </w:r>
      <w:r>
        <w:rPr>
          <w:lang w:val="fr-FR"/>
        </w:rPr>
        <w:t>’</w:t>
      </w:r>
      <w:r w:rsidRPr="000826CF">
        <w:rPr>
          <w:lang w:val="fr-FR"/>
        </w:rPr>
        <w:t>exception plutôt que la norme</w:t>
      </w:r>
      <w:r w:rsidRPr="00293268">
        <w:rPr>
          <w:lang w:val="fr-FR"/>
        </w:rPr>
        <w:t>.</w:t>
      </w:r>
    </w:p>
    <w:p w14:paraId="343FB67D" w14:textId="4F6B3F48" w:rsidR="00865E37" w:rsidRPr="00293268" w:rsidRDefault="00865E37" w:rsidP="00865E37">
      <w:pPr>
        <w:pStyle w:val="SingleTxtG"/>
        <w:rPr>
          <w:lang w:val="fr-FR"/>
        </w:rPr>
      </w:pPr>
      <w:r w:rsidRPr="00293268">
        <w:rPr>
          <w:lang w:val="fr-FR"/>
        </w:rPr>
        <w:t>44.</w:t>
      </w:r>
      <w:r w:rsidRPr="00293268">
        <w:rPr>
          <w:lang w:val="fr-FR"/>
        </w:rPr>
        <w:tab/>
      </w:r>
      <w:r w:rsidRPr="00252A1A">
        <w:rPr>
          <w:lang w:val="fr-FR"/>
        </w:rPr>
        <w:t xml:space="preserve">Malgré les </w:t>
      </w:r>
      <w:r>
        <w:rPr>
          <w:lang w:val="fr-FR"/>
        </w:rPr>
        <w:t>multiples</w:t>
      </w:r>
      <w:r w:rsidRPr="00252A1A">
        <w:rPr>
          <w:lang w:val="fr-FR"/>
        </w:rPr>
        <w:t xml:space="preserve"> recommandations et orientations des mécanismes et </w:t>
      </w:r>
      <w:r>
        <w:rPr>
          <w:lang w:val="fr-FR"/>
        </w:rPr>
        <w:t>organes</w:t>
      </w:r>
      <w:r w:rsidRPr="00252A1A">
        <w:rPr>
          <w:lang w:val="fr-FR"/>
        </w:rPr>
        <w:t xml:space="preserve"> des droits de l</w:t>
      </w:r>
      <w:r>
        <w:rPr>
          <w:lang w:val="fr-FR"/>
        </w:rPr>
        <w:t>’</w:t>
      </w:r>
      <w:r w:rsidRPr="00252A1A">
        <w:rPr>
          <w:lang w:val="fr-FR"/>
        </w:rPr>
        <w:t>homme</w:t>
      </w:r>
      <w:r>
        <w:rPr>
          <w:lang w:val="fr-FR"/>
        </w:rPr>
        <w:t xml:space="preserve"> de l’ONU ou</w:t>
      </w:r>
      <w:r w:rsidRPr="00252A1A">
        <w:rPr>
          <w:lang w:val="fr-FR"/>
        </w:rPr>
        <w:t xml:space="preserve"> </w:t>
      </w:r>
      <w:r>
        <w:rPr>
          <w:lang w:val="fr-FR"/>
        </w:rPr>
        <w:t xml:space="preserve">de leurs homologues </w:t>
      </w:r>
      <w:r w:rsidRPr="00252A1A">
        <w:rPr>
          <w:lang w:val="fr-FR"/>
        </w:rPr>
        <w:t>régionaux</w:t>
      </w:r>
      <w:r>
        <w:rPr>
          <w:lang w:val="fr-FR"/>
        </w:rPr>
        <w:t xml:space="preserve"> </w:t>
      </w:r>
      <w:r w:rsidRPr="00952381">
        <w:rPr>
          <w:lang w:val="fr-FR"/>
        </w:rPr>
        <w:t>sur la ventilation des données</w:t>
      </w:r>
      <w:r w:rsidRPr="00252A1A">
        <w:rPr>
          <w:lang w:val="fr-FR"/>
        </w:rPr>
        <w:t>, notamment par race ou origine ethnique</w:t>
      </w:r>
      <w:r>
        <w:rPr>
          <w:lang w:val="fr-FR"/>
        </w:rPr>
        <w:t>, dans le respect des</w:t>
      </w:r>
      <w:r w:rsidRPr="00252A1A">
        <w:rPr>
          <w:lang w:val="fr-FR"/>
        </w:rPr>
        <w:t xml:space="preserve"> normes internationales relatives aux droits de l</w:t>
      </w:r>
      <w:r>
        <w:rPr>
          <w:lang w:val="fr-FR"/>
        </w:rPr>
        <w:t>’</w:t>
      </w:r>
      <w:r w:rsidRPr="00252A1A">
        <w:rPr>
          <w:lang w:val="fr-FR"/>
        </w:rPr>
        <w:t>homme</w:t>
      </w:r>
      <w:r w:rsidRPr="00CD6B67">
        <w:rPr>
          <w:rStyle w:val="FootnoteReference"/>
        </w:rPr>
        <w:footnoteReference w:id="120"/>
      </w:r>
      <w:r>
        <w:rPr>
          <w:lang w:val="fr-FR"/>
        </w:rPr>
        <w:t>,</w:t>
      </w:r>
      <w:r w:rsidRPr="00293268">
        <w:rPr>
          <w:lang w:val="fr-FR"/>
        </w:rPr>
        <w:t xml:space="preserve"> </w:t>
      </w:r>
      <w:r w:rsidRPr="007F09A0">
        <w:rPr>
          <w:lang w:val="fr-FR"/>
        </w:rPr>
        <w:t>la plupart des États continuent d</w:t>
      </w:r>
      <w:r>
        <w:rPr>
          <w:lang w:val="fr-FR"/>
        </w:rPr>
        <w:t>’</w:t>
      </w:r>
      <w:r w:rsidRPr="007F09A0">
        <w:rPr>
          <w:lang w:val="fr-FR"/>
        </w:rPr>
        <w:t>être réticents à l</w:t>
      </w:r>
      <w:r>
        <w:rPr>
          <w:lang w:val="fr-FR"/>
        </w:rPr>
        <w:t>’</w:t>
      </w:r>
      <w:r w:rsidRPr="007F09A0">
        <w:rPr>
          <w:lang w:val="fr-FR"/>
        </w:rPr>
        <w:t>idée de collecter et de publier de telles données</w:t>
      </w:r>
      <w:r w:rsidRPr="00293268">
        <w:rPr>
          <w:lang w:val="fr-FR"/>
        </w:rPr>
        <w:t xml:space="preserve">. </w:t>
      </w:r>
      <w:r>
        <w:rPr>
          <w:lang w:val="fr-FR"/>
        </w:rPr>
        <w:t>Ils invoquent</w:t>
      </w:r>
      <w:r w:rsidRPr="009C4768">
        <w:rPr>
          <w:lang w:val="fr-FR"/>
        </w:rPr>
        <w:t xml:space="preserve"> la crainte que la collecte de </w:t>
      </w:r>
      <w:r>
        <w:rPr>
          <w:lang w:val="fr-FR"/>
        </w:rPr>
        <w:t>telles</w:t>
      </w:r>
      <w:r w:rsidRPr="009C4768">
        <w:rPr>
          <w:lang w:val="fr-FR"/>
        </w:rPr>
        <w:t xml:space="preserve"> données ne fasse obstacle à la construction d</w:t>
      </w:r>
      <w:r>
        <w:rPr>
          <w:lang w:val="fr-FR"/>
        </w:rPr>
        <w:t>’</w:t>
      </w:r>
      <w:r w:rsidRPr="009C4768">
        <w:rPr>
          <w:lang w:val="fr-FR"/>
        </w:rPr>
        <w:t>une identité nationale unifiée, n</w:t>
      </w:r>
      <w:r>
        <w:rPr>
          <w:lang w:val="fr-FR"/>
        </w:rPr>
        <w:t>’</w:t>
      </w:r>
      <w:r w:rsidRPr="009C4768">
        <w:rPr>
          <w:lang w:val="fr-FR"/>
        </w:rPr>
        <w:t>entraîne de nouvelles discriminations et n</w:t>
      </w:r>
      <w:r>
        <w:rPr>
          <w:lang w:val="fr-FR"/>
        </w:rPr>
        <w:t>’</w:t>
      </w:r>
      <w:r w:rsidRPr="009C4768">
        <w:rPr>
          <w:lang w:val="fr-FR"/>
        </w:rPr>
        <w:t xml:space="preserve">aggrave les tensions entre les différents groupes ethniques, </w:t>
      </w:r>
      <w:r>
        <w:rPr>
          <w:lang w:val="fr-FR"/>
        </w:rPr>
        <w:t>ou encore qu’une telle</w:t>
      </w:r>
      <w:r w:rsidRPr="009C4768">
        <w:rPr>
          <w:lang w:val="fr-FR"/>
        </w:rPr>
        <w:t xml:space="preserve"> </w:t>
      </w:r>
      <w:r>
        <w:rPr>
          <w:lang w:val="fr-FR"/>
        </w:rPr>
        <w:t>ventilation</w:t>
      </w:r>
      <w:r w:rsidRPr="009C4768">
        <w:rPr>
          <w:lang w:val="fr-FR"/>
        </w:rPr>
        <w:t xml:space="preserve"> est interdite au motif que la législation garantit l</w:t>
      </w:r>
      <w:r>
        <w:rPr>
          <w:lang w:val="fr-FR"/>
        </w:rPr>
        <w:t>’</w:t>
      </w:r>
      <w:r w:rsidRPr="009C4768">
        <w:rPr>
          <w:lang w:val="fr-FR"/>
        </w:rPr>
        <w:t>égalité de tous les citoyens devant la loi, sans distinction de race ou d</w:t>
      </w:r>
      <w:r>
        <w:rPr>
          <w:lang w:val="fr-FR"/>
        </w:rPr>
        <w:t>’</w:t>
      </w:r>
      <w:r w:rsidRPr="009C4768">
        <w:rPr>
          <w:lang w:val="fr-FR"/>
        </w:rPr>
        <w:t>origine ethnique</w:t>
      </w:r>
      <w:r w:rsidRPr="00CD6B67">
        <w:rPr>
          <w:rStyle w:val="FootnoteReference"/>
        </w:rPr>
        <w:footnoteReference w:id="121"/>
      </w:r>
      <w:r>
        <w:rPr>
          <w:lang w:val="fr-FR"/>
        </w:rPr>
        <w:t>.</w:t>
      </w:r>
      <w:r w:rsidRPr="00293268">
        <w:rPr>
          <w:lang w:val="fr-FR"/>
        </w:rPr>
        <w:t xml:space="preserve"> </w:t>
      </w:r>
      <w:r w:rsidRPr="00C41F08">
        <w:rPr>
          <w:lang w:val="fr-FR"/>
        </w:rPr>
        <w:t>La France, par exemple, considère depuis de nombreuses années que la ventilation des données par race ou origine ethnique est contraire à sa Constitution qui garantit l</w:t>
      </w:r>
      <w:r>
        <w:rPr>
          <w:lang w:val="fr-FR"/>
        </w:rPr>
        <w:t>’</w:t>
      </w:r>
      <w:r w:rsidRPr="00C41F08">
        <w:rPr>
          <w:lang w:val="fr-FR"/>
        </w:rPr>
        <w:t>égalité de tous les citoyens devant la loi sans distinction d</w:t>
      </w:r>
      <w:r>
        <w:rPr>
          <w:lang w:val="fr-FR"/>
        </w:rPr>
        <w:t>’</w:t>
      </w:r>
      <w:r w:rsidRPr="00C41F08">
        <w:rPr>
          <w:lang w:val="fr-FR"/>
        </w:rPr>
        <w:t>origine, de race ou de religion</w:t>
      </w:r>
      <w:r w:rsidRPr="00CD6B67">
        <w:rPr>
          <w:rStyle w:val="FootnoteReference"/>
        </w:rPr>
        <w:footnoteReference w:id="122"/>
      </w:r>
      <w:r w:rsidR="00B301FC">
        <w:rPr>
          <w:lang w:val="fr-FR"/>
        </w:rPr>
        <w:t>,</w:t>
      </w:r>
      <w:r w:rsidRPr="00293268">
        <w:rPr>
          <w:lang w:val="fr-FR"/>
        </w:rPr>
        <w:t xml:space="preserve"> </w:t>
      </w:r>
      <w:r w:rsidRPr="00BA04CC">
        <w:rPr>
          <w:lang w:val="fr-FR"/>
        </w:rPr>
        <w:t>et ce</w:t>
      </w:r>
      <w:r>
        <w:rPr>
          <w:lang w:val="fr-FR"/>
        </w:rPr>
        <w:t>,</w:t>
      </w:r>
      <w:r w:rsidRPr="00BA04CC">
        <w:rPr>
          <w:lang w:val="fr-FR"/>
        </w:rPr>
        <w:t xml:space="preserve"> malgré les nombreuses recommandations des mécanismes </w:t>
      </w:r>
      <w:r>
        <w:rPr>
          <w:lang w:val="fr-FR"/>
        </w:rPr>
        <w:t>des</w:t>
      </w:r>
      <w:r w:rsidRPr="00BA04CC">
        <w:rPr>
          <w:lang w:val="fr-FR"/>
        </w:rPr>
        <w:t xml:space="preserve"> droits de l</w:t>
      </w:r>
      <w:r>
        <w:rPr>
          <w:lang w:val="fr-FR"/>
        </w:rPr>
        <w:t>’</w:t>
      </w:r>
      <w:r w:rsidRPr="00BA04CC">
        <w:rPr>
          <w:lang w:val="fr-FR"/>
        </w:rPr>
        <w:t>homme</w:t>
      </w:r>
      <w:r>
        <w:rPr>
          <w:lang w:val="fr-FR"/>
        </w:rPr>
        <w:t xml:space="preserve"> de l’ONU</w:t>
      </w:r>
      <w:r w:rsidRPr="00BA04CC">
        <w:rPr>
          <w:lang w:val="fr-FR"/>
        </w:rPr>
        <w:t xml:space="preserve"> </w:t>
      </w:r>
      <w:r>
        <w:rPr>
          <w:lang w:val="fr-FR"/>
        </w:rPr>
        <w:t>appelant au recueil</w:t>
      </w:r>
      <w:r w:rsidRPr="00BA04CC">
        <w:rPr>
          <w:lang w:val="fr-FR"/>
        </w:rPr>
        <w:t xml:space="preserve"> de telles données</w:t>
      </w:r>
      <w:r w:rsidRPr="00CD6B67">
        <w:rPr>
          <w:rStyle w:val="FootnoteReference"/>
        </w:rPr>
        <w:footnoteReference w:id="123"/>
      </w:r>
      <w:r>
        <w:rPr>
          <w:lang w:val="fr-FR"/>
        </w:rPr>
        <w:t>.</w:t>
      </w:r>
      <w:r w:rsidRPr="00293268">
        <w:rPr>
          <w:lang w:val="fr-FR"/>
        </w:rPr>
        <w:t xml:space="preserve"> </w:t>
      </w:r>
      <w:r w:rsidRPr="00CD4923">
        <w:rPr>
          <w:lang w:val="fr-FR"/>
        </w:rPr>
        <w:t>D</w:t>
      </w:r>
      <w:r>
        <w:rPr>
          <w:lang w:val="fr-FR"/>
        </w:rPr>
        <w:t>’</w:t>
      </w:r>
      <w:r w:rsidRPr="00CD4923">
        <w:rPr>
          <w:lang w:val="fr-FR"/>
        </w:rPr>
        <w:t>autres États invoquent des préoccupations liées aux droits de l</w:t>
      </w:r>
      <w:r>
        <w:rPr>
          <w:lang w:val="fr-FR"/>
        </w:rPr>
        <w:t>’</w:t>
      </w:r>
      <w:r w:rsidRPr="00CD4923">
        <w:rPr>
          <w:lang w:val="fr-FR"/>
        </w:rPr>
        <w:t>homme, telles que l</w:t>
      </w:r>
      <w:r>
        <w:rPr>
          <w:lang w:val="fr-FR"/>
        </w:rPr>
        <w:t>’</w:t>
      </w:r>
      <w:r w:rsidRPr="00CD4923">
        <w:rPr>
          <w:lang w:val="fr-FR"/>
        </w:rPr>
        <w:t>utilisation abusive des données pour des politiques racistes et d</w:t>
      </w:r>
      <w:r>
        <w:rPr>
          <w:lang w:val="fr-FR"/>
        </w:rPr>
        <w:t>’</w:t>
      </w:r>
      <w:r w:rsidRPr="00CD4923">
        <w:rPr>
          <w:lang w:val="fr-FR"/>
        </w:rPr>
        <w:t>exclusion, la violation du droit à la vie privée et la protection des données personnelles</w:t>
      </w:r>
      <w:r w:rsidRPr="00293268">
        <w:rPr>
          <w:lang w:val="fr-FR"/>
        </w:rPr>
        <w:t xml:space="preserve">. </w:t>
      </w:r>
      <w:r w:rsidRPr="002A271E">
        <w:rPr>
          <w:lang w:val="fr-FR"/>
        </w:rPr>
        <w:t>Dans certains cas, cependant, l</w:t>
      </w:r>
      <w:r>
        <w:rPr>
          <w:lang w:val="fr-FR"/>
        </w:rPr>
        <w:t>’</w:t>
      </w:r>
      <w:r w:rsidRPr="002A271E">
        <w:rPr>
          <w:lang w:val="fr-FR"/>
        </w:rPr>
        <w:t>absence de données ventilées par race ou origine ethnique est le résultat d</w:t>
      </w:r>
      <w:r>
        <w:rPr>
          <w:lang w:val="fr-FR"/>
        </w:rPr>
        <w:t>’</w:t>
      </w:r>
      <w:r w:rsidRPr="002A271E">
        <w:rPr>
          <w:lang w:val="fr-FR"/>
        </w:rPr>
        <w:t>une interprétation restrictive de la législation et, en particulier</w:t>
      </w:r>
      <w:r>
        <w:rPr>
          <w:lang w:val="fr-FR"/>
        </w:rPr>
        <w:t>,</w:t>
      </w:r>
      <w:r w:rsidRPr="002A271E">
        <w:rPr>
          <w:lang w:val="fr-FR"/>
        </w:rPr>
        <w:t xml:space="preserve"> des lois relatives à la protection des données qui sont </w:t>
      </w:r>
      <w:r>
        <w:rPr>
          <w:lang w:val="fr-FR"/>
        </w:rPr>
        <w:t>considér</w:t>
      </w:r>
      <w:r w:rsidRPr="002A271E">
        <w:rPr>
          <w:lang w:val="fr-FR"/>
        </w:rPr>
        <w:t>ées comme des obstacles insurmontables</w:t>
      </w:r>
      <w:r>
        <w:rPr>
          <w:lang w:val="fr-FR"/>
        </w:rPr>
        <w:t>,</w:t>
      </w:r>
      <w:r w:rsidRPr="002A271E">
        <w:rPr>
          <w:lang w:val="fr-FR"/>
        </w:rPr>
        <w:t xml:space="preserve"> alors qu</w:t>
      </w:r>
      <w:r>
        <w:rPr>
          <w:lang w:val="fr-FR"/>
        </w:rPr>
        <w:t>’</w:t>
      </w:r>
      <w:r w:rsidRPr="002A271E">
        <w:rPr>
          <w:lang w:val="fr-FR"/>
        </w:rPr>
        <w:t xml:space="preserve">en réalité leurs dispositions permettent la collecte de </w:t>
      </w:r>
      <w:r>
        <w:rPr>
          <w:lang w:val="fr-FR"/>
        </w:rPr>
        <w:t>ce type de</w:t>
      </w:r>
      <w:r w:rsidRPr="002A271E">
        <w:rPr>
          <w:lang w:val="fr-FR"/>
        </w:rPr>
        <w:t xml:space="preserve"> données</w:t>
      </w:r>
      <w:r w:rsidRPr="00CD6B67">
        <w:rPr>
          <w:rStyle w:val="FootnoteReference"/>
        </w:rPr>
        <w:footnoteReference w:id="124"/>
      </w:r>
      <w:r>
        <w:rPr>
          <w:lang w:val="fr-FR"/>
        </w:rPr>
        <w:t>.</w:t>
      </w:r>
      <w:r w:rsidRPr="00293268">
        <w:rPr>
          <w:lang w:val="fr-FR"/>
        </w:rPr>
        <w:t xml:space="preserve"> </w:t>
      </w:r>
      <w:r w:rsidRPr="003C4C9B">
        <w:rPr>
          <w:lang w:val="fr-FR"/>
        </w:rPr>
        <w:t>D</w:t>
      </w:r>
      <w:r>
        <w:rPr>
          <w:lang w:val="fr-FR"/>
        </w:rPr>
        <w:t>’</w:t>
      </w:r>
      <w:r w:rsidRPr="003C4C9B">
        <w:rPr>
          <w:lang w:val="fr-FR"/>
        </w:rPr>
        <w:t xml:space="preserve">autres États, enfin, </w:t>
      </w:r>
      <w:r>
        <w:rPr>
          <w:lang w:val="fr-FR"/>
        </w:rPr>
        <w:t>ne disposent pas de</w:t>
      </w:r>
      <w:r w:rsidRPr="003C4C9B">
        <w:rPr>
          <w:lang w:val="fr-FR"/>
        </w:rPr>
        <w:t xml:space="preserve"> capacités et de ressources </w:t>
      </w:r>
      <w:r>
        <w:rPr>
          <w:lang w:val="fr-FR"/>
        </w:rPr>
        <w:t>suffisantes</w:t>
      </w:r>
      <w:r w:rsidRPr="003C4C9B">
        <w:rPr>
          <w:lang w:val="fr-FR"/>
        </w:rPr>
        <w:t xml:space="preserve"> pour </w:t>
      </w:r>
      <w:r>
        <w:rPr>
          <w:lang w:val="fr-FR"/>
        </w:rPr>
        <w:t>procéder à leur recueil</w:t>
      </w:r>
      <w:r w:rsidRPr="00CD6B67">
        <w:rPr>
          <w:rStyle w:val="FootnoteReference"/>
        </w:rPr>
        <w:footnoteReference w:id="125"/>
      </w:r>
      <w:r>
        <w:rPr>
          <w:lang w:val="fr-FR"/>
        </w:rPr>
        <w:t>.</w:t>
      </w:r>
    </w:p>
    <w:p w14:paraId="0B48B55A" w14:textId="7D1D7F8B" w:rsidR="00865E37" w:rsidRPr="00293268" w:rsidRDefault="00865E37" w:rsidP="00865E37">
      <w:pPr>
        <w:pStyle w:val="SingleTxtG"/>
        <w:rPr>
          <w:lang w:val="fr-FR"/>
        </w:rPr>
      </w:pPr>
      <w:r w:rsidRPr="00293268">
        <w:rPr>
          <w:lang w:val="fr-FR"/>
        </w:rPr>
        <w:t>45.</w:t>
      </w:r>
      <w:r w:rsidRPr="00293268">
        <w:rPr>
          <w:lang w:val="fr-FR"/>
        </w:rPr>
        <w:tab/>
      </w:r>
      <w:r w:rsidRPr="00B965B0">
        <w:rPr>
          <w:lang w:val="fr-FR"/>
        </w:rPr>
        <w:t>Dans de nombreux États membres de l</w:t>
      </w:r>
      <w:r>
        <w:rPr>
          <w:lang w:val="fr-FR"/>
        </w:rPr>
        <w:t>’</w:t>
      </w:r>
      <w:r w:rsidRPr="00B965B0">
        <w:rPr>
          <w:lang w:val="fr-FR"/>
        </w:rPr>
        <w:t xml:space="preserve">Union européenne, les données ventilées par race ou origine ethnique sont relativement rares </w:t>
      </w:r>
      <w:r>
        <w:rPr>
          <w:lang w:val="fr-FR"/>
        </w:rPr>
        <w:t>par rapport</w:t>
      </w:r>
      <w:r w:rsidRPr="00B965B0">
        <w:rPr>
          <w:lang w:val="fr-FR"/>
        </w:rPr>
        <w:t xml:space="preserve"> aux données </w:t>
      </w:r>
      <w:r>
        <w:rPr>
          <w:lang w:val="fr-FR"/>
        </w:rPr>
        <w:t>concernant</w:t>
      </w:r>
      <w:r w:rsidRPr="00B965B0">
        <w:rPr>
          <w:lang w:val="fr-FR"/>
        </w:rPr>
        <w:t xml:space="preserve"> </w:t>
      </w:r>
      <w:r>
        <w:rPr>
          <w:lang w:val="fr-FR"/>
        </w:rPr>
        <w:t>d’</w:t>
      </w:r>
      <w:r w:rsidRPr="00B965B0">
        <w:rPr>
          <w:lang w:val="fr-FR"/>
        </w:rPr>
        <w:t>autres motifs de discrimination</w:t>
      </w:r>
      <w:r w:rsidRPr="00CD6B67">
        <w:rPr>
          <w:rStyle w:val="FootnoteReference"/>
        </w:rPr>
        <w:footnoteReference w:id="126"/>
      </w:r>
      <w:r>
        <w:rPr>
          <w:lang w:val="fr-FR"/>
        </w:rPr>
        <w:t>.</w:t>
      </w:r>
      <w:r w:rsidRPr="00293268">
        <w:rPr>
          <w:lang w:val="fr-FR"/>
        </w:rPr>
        <w:t xml:space="preserve"> </w:t>
      </w:r>
      <w:r w:rsidRPr="00C45510">
        <w:rPr>
          <w:lang w:val="fr-FR"/>
        </w:rPr>
        <w:t xml:space="preserve">Prenant acte de cet </w:t>
      </w:r>
      <w:r w:rsidRPr="00F34B48">
        <w:rPr>
          <w:lang w:val="fr-FR"/>
        </w:rPr>
        <w:t>écueil</w:t>
      </w:r>
      <w:r w:rsidRPr="00C45510">
        <w:rPr>
          <w:lang w:val="fr-FR"/>
        </w:rPr>
        <w:t xml:space="preserve">, le </w:t>
      </w:r>
      <w:r>
        <w:rPr>
          <w:lang w:val="fr-FR"/>
        </w:rPr>
        <w:t>G</w:t>
      </w:r>
      <w:r w:rsidRPr="00C45510">
        <w:rPr>
          <w:lang w:val="fr-FR"/>
        </w:rPr>
        <w:t>roupe de haut niveau sur la non</w:t>
      </w:r>
      <w:r w:rsidR="00B301FC">
        <w:rPr>
          <w:lang w:val="fr-FR"/>
        </w:rPr>
        <w:noBreakHyphen/>
      </w:r>
      <w:r w:rsidRPr="00C45510">
        <w:rPr>
          <w:lang w:val="fr-FR"/>
        </w:rPr>
        <w:t>discrimination, l</w:t>
      </w:r>
      <w:r>
        <w:rPr>
          <w:lang w:val="fr-FR"/>
        </w:rPr>
        <w:t>’</w:t>
      </w:r>
      <w:r w:rsidRPr="00C45510">
        <w:rPr>
          <w:lang w:val="fr-FR"/>
        </w:rPr>
        <w:t>égalité et la diversité de la Commission européenne a approuvé en 2019 des orientations pour améliorer la collecte et l</w:t>
      </w:r>
      <w:r>
        <w:rPr>
          <w:lang w:val="fr-FR"/>
        </w:rPr>
        <w:t>’</w:t>
      </w:r>
      <w:r w:rsidRPr="00C45510">
        <w:rPr>
          <w:lang w:val="fr-FR"/>
        </w:rPr>
        <w:t>utilisation des données sur l</w:t>
      </w:r>
      <w:r>
        <w:rPr>
          <w:lang w:val="fr-FR"/>
        </w:rPr>
        <w:t>’</w:t>
      </w:r>
      <w:r w:rsidRPr="00C45510">
        <w:rPr>
          <w:lang w:val="fr-FR"/>
        </w:rPr>
        <w:t>égalité</w:t>
      </w:r>
      <w:r w:rsidRPr="00CD6B67">
        <w:rPr>
          <w:rStyle w:val="FootnoteReference"/>
        </w:rPr>
        <w:footnoteReference w:id="127"/>
      </w:r>
      <w:r>
        <w:rPr>
          <w:lang w:val="fr-FR"/>
        </w:rPr>
        <w:t>.</w:t>
      </w:r>
      <w:r w:rsidRPr="00293268">
        <w:rPr>
          <w:lang w:val="fr-FR"/>
        </w:rPr>
        <w:t xml:space="preserve"> </w:t>
      </w:r>
      <w:r w:rsidRPr="00BA0196">
        <w:rPr>
          <w:lang w:val="fr-FR"/>
        </w:rPr>
        <w:t xml:space="preserve">De plus, le </w:t>
      </w:r>
      <w:r>
        <w:rPr>
          <w:lang w:val="fr-FR"/>
        </w:rPr>
        <w:t>P</w:t>
      </w:r>
      <w:r w:rsidRPr="00BA0196">
        <w:rPr>
          <w:lang w:val="fr-FR"/>
        </w:rPr>
        <w:t>lan d</w:t>
      </w:r>
      <w:r>
        <w:rPr>
          <w:lang w:val="fr-FR"/>
        </w:rPr>
        <w:t>’</w:t>
      </w:r>
      <w:r w:rsidRPr="00BA0196">
        <w:rPr>
          <w:lang w:val="fr-FR"/>
        </w:rPr>
        <w:t>action de l</w:t>
      </w:r>
      <w:r>
        <w:rPr>
          <w:lang w:val="fr-FR"/>
        </w:rPr>
        <w:t>’</w:t>
      </w:r>
      <w:r w:rsidRPr="00BA0196">
        <w:rPr>
          <w:lang w:val="fr-FR"/>
        </w:rPr>
        <w:t>Union européenne contre le racisme compte parmi ses objectifs l</w:t>
      </w:r>
      <w:r>
        <w:rPr>
          <w:lang w:val="fr-FR"/>
        </w:rPr>
        <w:t>’</w:t>
      </w:r>
      <w:r w:rsidRPr="00BA0196">
        <w:rPr>
          <w:lang w:val="fr-FR"/>
        </w:rPr>
        <w:t>amélioration de la collecte de ces données</w:t>
      </w:r>
      <w:r w:rsidRPr="00CD6B67">
        <w:rPr>
          <w:rStyle w:val="FootnoteReference"/>
        </w:rPr>
        <w:footnoteReference w:id="128"/>
      </w:r>
      <w:r>
        <w:rPr>
          <w:lang w:val="fr-FR"/>
        </w:rPr>
        <w:t>.</w:t>
      </w:r>
      <w:r w:rsidRPr="00293268">
        <w:rPr>
          <w:lang w:val="fr-FR"/>
        </w:rPr>
        <w:t xml:space="preserve"> </w:t>
      </w:r>
      <w:r w:rsidRPr="00E811A6">
        <w:rPr>
          <w:lang w:val="fr-FR"/>
        </w:rPr>
        <w:t>En 2021, selon la Commission européenne, plusieurs États membres de l</w:t>
      </w:r>
      <w:r>
        <w:rPr>
          <w:lang w:val="fr-FR"/>
        </w:rPr>
        <w:t>’</w:t>
      </w:r>
      <w:r w:rsidRPr="00E811A6">
        <w:rPr>
          <w:lang w:val="fr-FR"/>
        </w:rPr>
        <w:t>UE ont expliqué comment ils procédaient au recueil de données sur l</w:t>
      </w:r>
      <w:r>
        <w:rPr>
          <w:lang w:val="fr-FR"/>
        </w:rPr>
        <w:t>’</w:t>
      </w:r>
      <w:r w:rsidRPr="00E811A6">
        <w:rPr>
          <w:lang w:val="fr-FR"/>
        </w:rPr>
        <w:t>égalité. Parmi les méthodes employées figurent en particulier les tests de situation pour examiner les modes de discrimination, la participation d</w:t>
      </w:r>
      <w:r>
        <w:rPr>
          <w:lang w:val="fr-FR"/>
        </w:rPr>
        <w:t>’</w:t>
      </w:r>
      <w:r w:rsidRPr="00E811A6">
        <w:rPr>
          <w:lang w:val="fr-FR"/>
        </w:rPr>
        <w:t>organisations des minorités à la collecte et à la diffusion de données sur l</w:t>
      </w:r>
      <w:r>
        <w:rPr>
          <w:lang w:val="fr-FR"/>
        </w:rPr>
        <w:t>’</w:t>
      </w:r>
      <w:r w:rsidRPr="00E811A6">
        <w:rPr>
          <w:lang w:val="fr-FR"/>
        </w:rPr>
        <w:t>égalité, l</w:t>
      </w:r>
      <w:r>
        <w:rPr>
          <w:lang w:val="fr-FR"/>
        </w:rPr>
        <w:t>’</w:t>
      </w:r>
      <w:r w:rsidRPr="00E811A6">
        <w:rPr>
          <w:lang w:val="fr-FR"/>
        </w:rPr>
        <w:t xml:space="preserve">élaboration de données statistiques pouvant servir de preuves de </w:t>
      </w:r>
      <w:r>
        <w:rPr>
          <w:lang w:val="fr-FR"/>
        </w:rPr>
        <w:t>l’</w:t>
      </w:r>
      <w:r w:rsidRPr="00E811A6">
        <w:rPr>
          <w:lang w:val="fr-FR"/>
        </w:rPr>
        <w:t>existence d</w:t>
      </w:r>
      <w:r>
        <w:rPr>
          <w:lang w:val="fr-FR"/>
        </w:rPr>
        <w:t>’</w:t>
      </w:r>
      <w:r w:rsidRPr="00E811A6">
        <w:rPr>
          <w:lang w:val="fr-FR"/>
        </w:rPr>
        <w:t>une discrimination indirecte, la collecte de données ventilées sur l</w:t>
      </w:r>
      <w:r>
        <w:rPr>
          <w:lang w:val="fr-FR"/>
        </w:rPr>
        <w:t>’</w:t>
      </w:r>
      <w:r w:rsidRPr="00E811A6">
        <w:rPr>
          <w:lang w:val="fr-FR"/>
        </w:rPr>
        <w:t>égalité dans les recensements de la population et la publication de données sur les plaintes reçues par les organismes de promotion de l</w:t>
      </w:r>
      <w:r>
        <w:rPr>
          <w:lang w:val="fr-FR"/>
        </w:rPr>
        <w:t>’</w:t>
      </w:r>
      <w:r w:rsidRPr="00E811A6">
        <w:rPr>
          <w:lang w:val="fr-FR"/>
        </w:rPr>
        <w:t>égalité, la police, les services publics, le pouvoir judiciaire</w:t>
      </w:r>
      <w:r>
        <w:rPr>
          <w:lang w:val="fr-FR"/>
        </w:rPr>
        <w:t>, ainsi que</w:t>
      </w:r>
      <w:r w:rsidRPr="00E811A6">
        <w:rPr>
          <w:lang w:val="fr-FR"/>
        </w:rPr>
        <w:t xml:space="preserve"> </w:t>
      </w:r>
      <w:r>
        <w:rPr>
          <w:lang w:val="fr-FR"/>
        </w:rPr>
        <w:t xml:space="preserve">de données </w:t>
      </w:r>
      <w:r w:rsidRPr="00E811A6">
        <w:rPr>
          <w:lang w:val="fr-FR"/>
        </w:rPr>
        <w:t>sur les jugements rendus</w:t>
      </w:r>
      <w:r w:rsidRPr="00CD6B67">
        <w:rPr>
          <w:rStyle w:val="FootnoteReference"/>
        </w:rPr>
        <w:footnoteReference w:id="129"/>
      </w:r>
      <w:r>
        <w:rPr>
          <w:lang w:val="fr-FR"/>
        </w:rPr>
        <w:t>.</w:t>
      </w:r>
      <w:r w:rsidRPr="00293268">
        <w:rPr>
          <w:lang w:val="fr-FR"/>
        </w:rPr>
        <w:t xml:space="preserve"> </w:t>
      </w:r>
      <w:r w:rsidRPr="00EB0FDE">
        <w:rPr>
          <w:lang w:val="fr-FR"/>
        </w:rPr>
        <w:t>Néanmoins, la Commission européenne a souligné que de nombreux États membres considèrent toujours le manque de données sur l</w:t>
      </w:r>
      <w:r>
        <w:rPr>
          <w:lang w:val="fr-FR"/>
        </w:rPr>
        <w:t>’</w:t>
      </w:r>
      <w:r w:rsidRPr="00EB0FDE">
        <w:rPr>
          <w:lang w:val="fr-FR"/>
        </w:rPr>
        <w:t>égalité comme un problème au niveau national</w:t>
      </w:r>
      <w:r w:rsidRPr="00CD6B67">
        <w:rPr>
          <w:rStyle w:val="FootnoteReference"/>
        </w:rPr>
        <w:footnoteReference w:id="130"/>
      </w:r>
      <w:r>
        <w:rPr>
          <w:lang w:val="fr-FR"/>
        </w:rPr>
        <w:t>.</w:t>
      </w:r>
    </w:p>
    <w:p w14:paraId="7F61EC4C" w14:textId="6D2B508D" w:rsidR="00865E37" w:rsidRPr="00293268" w:rsidRDefault="00865E37" w:rsidP="00865E37">
      <w:pPr>
        <w:pStyle w:val="SingleTxtG"/>
        <w:rPr>
          <w:lang w:val="fr-FR"/>
        </w:rPr>
      </w:pPr>
      <w:r w:rsidRPr="00293268">
        <w:rPr>
          <w:lang w:val="fr-FR"/>
        </w:rPr>
        <w:t>46.</w:t>
      </w:r>
      <w:r w:rsidRPr="00293268">
        <w:rPr>
          <w:lang w:val="fr-FR"/>
        </w:rPr>
        <w:tab/>
      </w:r>
      <w:r w:rsidRPr="000905D2">
        <w:rPr>
          <w:lang w:val="fr-FR"/>
        </w:rPr>
        <w:t>Le Royaume-Uni s</w:t>
      </w:r>
      <w:r>
        <w:rPr>
          <w:lang w:val="fr-FR"/>
        </w:rPr>
        <w:t>’</w:t>
      </w:r>
      <w:r w:rsidRPr="000905D2">
        <w:rPr>
          <w:lang w:val="fr-FR"/>
        </w:rPr>
        <w:t>attache de longue date à collecter et à publier ce type de données</w:t>
      </w:r>
      <w:r w:rsidRPr="00CD6B67">
        <w:rPr>
          <w:rStyle w:val="FootnoteReference"/>
        </w:rPr>
        <w:footnoteReference w:id="131"/>
      </w:r>
      <w:r>
        <w:rPr>
          <w:lang w:val="fr-FR"/>
        </w:rPr>
        <w:t>,</w:t>
      </w:r>
      <w:r w:rsidRPr="00293268">
        <w:rPr>
          <w:lang w:val="fr-FR"/>
        </w:rPr>
        <w:t xml:space="preserve"> </w:t>
      </w:r>
      <w:r>
        <w:rPr>
          <w:lang w:val="fr-FR"/>
        </w:rPr>
        <w:t>au moyen</w:t>
      </w:r>
      <w:r w:rsidRPr="00056789">
        <w:rPr>
          <w:lang w:val="fr-FR"/>
        </w:rPr>
        <w:t xml:space="preserve">, par exemple, </w:t>
      </w:r>
      <w:r>
        <w:rPr>
          <w:lang w:val="fr-FR"/>
        </w:rPr>
        <w:t xml:space="preserve">de </w:t>
      </w:r>
      <w:r w:rsidRPr="00056789">
        <w:rPr>
          <w:lang w:val="fr-FR"/>
        </w:rPr>
        <w:t>l</w:t>
      </w:r>
      <w:r>
        <w:rPr>
          <w:lang w:val="fr-FR"/>
        </w:rPr>
        <w:t>’</w:t>
      </w:r>
      <w:r w:rsidRPr="00056789">
        <w:rPr>
          <w:lang w:val="fr-FR"/>
        </w:rPr>
        <w:t>examen des disparités entre les races de 2016 («</w:t>
      </w:r>
      <w:r>
        <w:rPr>
          <w:lang w:val="fr-FR"/>
        </w:rPr>
        <w:t> </w:t>
      </w:r>
      <w:r w:rsidRPr="00056789">
        <w:rPr>
          <w:lang w:val="fr-FR"/>
        </w:rPr>
        <w:t>Race Disparity Audit</w:t>
      </w:r>
      <w:r w:rsidR="00175C4A">
        <w:rPr>
          <w:lang w:val="fr-FR"/>
        </w:rPr>
        <w:t> </w:t>
      </w:r>
      <w:r w:rsidRPr="00056789">
        <w:rPr>
          <w:lang w:val="fr-FR"/>
        </w:rPr>
        <w:t>»)</w:t>
      </w:r>
      <w:r w:rsidRPr="00CD6B67">
        <w:rPr>
          <w:rStyle w:val="FootnoteReference"/>
        </w:rPr>
        <w:footnoteReference w:id="132"/>
      </w:r>
      <w:r>
        <w:rPr>
          <w:lang w:val="fr-FR"/>
        </w:rPr>
        <w:t>.</w:t>
      </w:r>
      <w:r w:rsidRPr="00293268">
        <w:rPr>
          <w:lang w:val="fr-FR"/>
        </w:rPr>
        <w:t xml:space="preserve"> </w:t>
      </w:r>
      <w:r w:rsidRPr="009358E8">
        <w:rPr>
          <w:lang w:val="fr-FR"/>
        </w:rPr>
        <w:t>De même, aux États-Unis, des données officielles ventilées sont souvent disponibles, encore que de nombreux ensembles de données fédéra</w:t>
      </w:r>
      <w:r>
        <w:rPr>
          <w:lang w:val="fr-FR"/>
        </w:rPr>
        <w:t>ux</w:t>
      </w:r>
      <w:r w:rsidRPr="009358E8">
        <w:rPr>
          <w:lang w:val="fr-FR"/>
        </w:rPr>
        <w:t xml:space="preserve"> ne soient pas ventilés par race, origine ethnique, sexe, handicap ou autres indicateurs cl</w:t>
      </w:r>
      <w:r w:rsidR="00175C4A">
        <w:rPr>
          <w:lang w:val="fr-FR"/>
        </w:rPr>
        <w:t>ef</w:t>
      </w:r>
      <w:r w:rsidRPr="009358E8">
        <w:rPr>
          <w:lang w:val="fr-FR"/>
        </w:rPr>
        <w:t>s</w:t>
      </w:r>
      <w:r w:rsidRPr="00CD6B67">
        <w:rPr>
          <w:rStyle w:val="FootnoteReference"/>
        </w:rPr>
        <w:footnoteReference w:id="133"/>
      </w:r>
      <w:r>
        <w:rPr>
          <w:lang w:val="fr-FR"/>
        </w:rPr>
        <w:t>.</w:t>
      </w:r>
      <w:r w:rsidRPr="00293268">
        <w:rPr>
          <w:lang w:val="fr-FR"/>
        </w:rPr>
        <w:t xml:space="preserve"> </w:t>
      </w:r>
      <w:r w:rsidRPr="00BD53EA">
        <w:rPr>
          <w:lang w:val="fr-FR"/>
        </w:rPr>
        <w:t>En 2021, le vaste dispositif mis en place dans ce pays pour réunir et analyser des données statistiques désagrégées, notamment par race</w:t>
      </w:r>
      <w:r w:rsidRPr="00CD6B67">
        <w:rPr>
          <w:rStyle w:val="FootnoteReference"/>
        </w:rPr>
        <w:footnoteReference w:id="134"/>
      </w:r>
      <w:r>
        <w:rPr>
          <w:lang w:val="fr-FR"/>
        </w:rPr>
        <w:t>,</w:t>
      </w:r>
      <w:r w:rsidRPr="00293268">
        <w:rPr>
          <w:lang w:val="fr-FR"/>
        </w:rPr>
        <w:t xml:space="preserve"> </w:t>
      </w:r>
      <w:r w:rsidRPr="00BC121C">
        <w:rPr>
          <w:lang w:val="fr-FR"/>
        </w:rPr>
        <w:t>a été renforcé par la création d</w:t>
      </w:r>
      <w:r>
        <w:rPr>
          <w:lang w:val="fr-FR"/>
        </w:rPr>
        <w:t>’</w:t>
      </w:r>
      <w:r w:rsidRPr="00BC121C">
        <w:rPr>
          <w:lang w:val="fr-FR"/>
        </w:rPr>
        <w:t xml:space="preserve">un groupe de travail interinstitutionnel sur les </w:t>
      </w:r>
      <w:r w:rsidRPr="00AC6805">
        <w:rPr>
          <w:lang w:val="fr-FR"/>
        </w:rPr>
        <w:t>données équitables</w:t>
      </w:r>
      <w:r w:rsidRPr="00CD6B67">
        <w:rPr>
          <w:rStyle w:val="FootnoteReference"/>
        </w:rPr>
        <w:footnoteReference w:id="135"/>
      </w:r>
      <w:r>
        <w:rPr>
          <w:lang w:val="fr-FR"/>
        </w:rPr>
        <w:t>.</w:t>
      </w:r>
      <w:r w:rsidRPr="00293268">
        <w:rPr>
          <w:lang w:val="fr-FR"/>
        </w:rPr>
        <w:t xml:space="preserve"> </w:t>
      </w:r>
      <w:r w:rsidRPr="00687007">
        <w:rPr>
          <w:lang w:val="fr-FR"/>
        </w:rPr>
        <w:t xml:space="preserve">En Amérique latine, plusieurs </w:t>
      </w:r>
      <w:r>
        <w:rPr>
          <w:lang w:val="fr-FR"/>
        </w:rPr>
        <w:t>pays</w:t>
      </w:r>
      <w:r w:rsidRPr="00687007">
        <w:rPr>
          <w:lang w:val="fr-FR"/>
        </w:rPr>
        <w:t xml:space="preserve"> ont progressivement adopté des réformes pour remédier au manque de données </w:t>
      </w:r>
      <w:r>
        <w:rPr>
          <w:lang w:val="fr-FR"/>
        </w:rPr>
        <w:t>ventil</w:t>
      </w:r>
      <w:r w:rsidRPr="00687007">
        <w:rPr>
          <w:lang w:val="fr-FR"/>
        </w:rPr>
        <w:t>ées</w:t>
      </w:r>
      <w:r w:rsidRPr="00293268">
        <w:rPr>
          <w:lang w:val="fr-FR"/>
        </w:rPr>
        <w:t xml:space="preserve">. </w:t>
      </w:r>
      <w:r>
        <w:rPr>
          <w:lang w:val="fr-FR"/>
        </w:rPr>
        <w:t xml:space="preserve">De plus en plus d’instituts de la statistique intègrent </w:t>
      </w:r>
      <w:r w:rsidRPr="00393C32">
        <w:rPr>
          <w:lang w:val="fr-FR"/>
        </w:rPr>
        <w:t>ces variables dans les recensements nationaux, les enquêtes sur les ménages et d</w:t>
      </w:r>
      <w:r>
        <w:rPr>
          <w:lang w:val="fr-FR"/>
        </w:rPr>
        <w:t>’</w:t>
      </w:r>
      <w:r w:rsidRPr="00393C32">
        <w:rPr>
          <w:lang w:val="fr-FR"/>
        </w:rPr>
        <w:t>autres outils statistiques</w:t>
      </w:r>
      <w:r w:rsidRPr="00CD6B67">
        <w:rPr>
          <w:rStyle w:val="FootnoteReference"/>
        </w:rPr>
        <w:footnoteReference w:id="136"/>
      </w:r>
      <w:r w:rsidRPr="00293268">
        <w:rPr>
          <w:lang w:val="fr-FR"/>
        </w:rPr>
        <w:t xml:space="preserve"> </w:t>
      </w:r>
      <w:r w:rsidRPr="00393C32">
        <w:rPr>
          <w:lang w:val="fr-FR"/>
        </w:rPr>
        <w:t>, notamment en Argentin</w:t>
      </w:r>
      <w:r>
        <w:rPr>
          <w:lang w:val="fr-FR"/>
        </w:rPr>
        <w:t>e</w:t>
      </w:r>
      <w:r w:rsidRPr="00CD6B67">
        <w:rPr>
          <w:rStyle w:val="FootnoteReference"/>
        </w:rPr>
        <w:footnoteReference w:id="137"/>
      </w:r>
      <w:r>
        <w:rPr>
          <w:lang w:val="fr-FR"/>
        </w:rPr>
        <w:t>, en Bolivie</w:t>
      </w:r>
      <w:r w:rsidRPr="00293268">
        <w:rPr>
          <w:lang w:val="fr-FR"/>
        </w:rPr>
        <w:t xml:space="preserve"> (</w:t>
      </w:r>
      <w:r>
        <w:rPr>
          <w:lang w:val="fr-FR"/>
        </w:rPr>
        <w:t>État plurinational de</w:t>
      </w:r>
      <w:r w:rsidRPr="00293268">
        <w:rPr>
          <w:lang w:val="fr-FR"/>
        </w:rPr>
        <w:t>)</w:t>
      </w:r>
      <w:r w:rsidRPr="00CD6B67">
        <w:rPr>
          <w:rStyle w:val="FootnoteReference"/>
        </w:rPr>
        <w:footnoteReference w:id="138"/>
      </w:r>
      <w:r>
        <w:rPr>
          <w:lang w:val="fr-FR"/>
        </w:rPr>
        <w:t>, au Brésil</w:t>
      </w:r>
      <w:r w:rsidRPr="00CD6B67">
        <w:rPr>
          <w:rStyle w:val="FootnoteReference"/>
        </w:rPr>
        <w:footnoteReference w:id="139"/>
      </w:r>
      <w:r>
        <w:rPr>
          <w:lang w:val="fr-FR"/>
        </w:rPr>
        <w:t>, en Colombie</w:t>
      </w:r>
      <w:r w:rsidRPr="00CD6B67">
        <w:rPr>
          <w:rStyle w:val="FootnoteReference"/>
        </w:rPr>
        <w:footnoteReference w:id="140"/>
      </w:r>
      <w:r>
        <w:rPr>
          <w:lang w:val="fr-FR"/>
        </w:rPr>
        <w:t>, en Équateur</w:t>
      </w:r>
      <w:r w:rsidRPr="00CD6B67">
        <w:rPr>
          <w:rStyle w:val="FootnoteReference"/>
        </w:rPr>
        <w:footnoteReference w:id="141"/>
      </w:r>
      <w:r>
        <w:rPr>
          <w:lang w:val="fr-FR"/>
        </w:rPr>
        <w:t>,</w:t>
      </w:r>
      <w:r w:rsidRPr="00293268">
        <w:rPr>
          <w:lang w:val="fr-FR"/>
        </w:rPr>
        <w:t xml:space="preserve"> </w:t>
      </w:r>
      <w:r>
        <w:rPr>
          <w:lang w:val="fr-FR"/>
        </w:rPr>
        <w:t xml:space="preserve">au </w:t>
      </w:r>
      <w:r w:rsidRPr="00293268">
        <w:rPr>
          <w:lang w:val="fr-FR"/>
        </w:rPr>
        <w:t>Guatemala</w:t>
      </w:r>
      <w:r w:rsidRPr="00CD6B67">
        <w:rPr>
          <w:rStyle w:val="FootnoteReference"/>
        </w:rPr>
        <w:footnoteReference w:id="142"/>
      </w:r>
      <w:r>
        <w:rPr>
          <w:lang w:val="fr-FR"/>
        </w:rPr>
        <w:t>, au Mexique</w:t>
      </w:r>
      <w:r w:rsidRPr="00CD6B67">
        <w:rPr>
          <w:rStyle w:val="FootnoteReference"/>
        </w:rPr>
        <w:footnoteReference w:id="143"/>
      </w:r>
      <w:r>
        <w:rPr>
          <w:lang w:val="fr-FR"/>
        </w:rPr>
        <w:t>, au Pérou</w:t>
      </w:r>
      <w:r w:rsidRPr="00CD6B67">
        <w:rPr>
          <w:rStyle w:val="FootnoteReference"/>
        </w:rPr>
        <w:footnoteReference w:id="144"/>
      </w:r>
      <w:r w:rsidRPr="00293268">
        <w:rPr>
          <w:lang w:val="fr-FR"/>
        </w:rPr>
        <w:t xml:space="preserve"> </w:t>
      </w:r>
      <w:r>
        <w:rPr>
          <w:lang w:val="fr-FR"/>
        </w:rPr>
        <w:t>et en</w:t>
      </w:r>
      <w:r w:rsidRPr="00293268">
        <w:rPr>
          <w:lang w:val="fr-FR"/>
        </w:rPr>
        <w:t xml:space="preserve"> Uruguay</w:t>
      </w:r>
      <w:r w:rsidRPr="00CD6B67">
        <w:rPr>
          <w:rStyle w:val="FootnoteReference"/>
        </w:rPr>
        <w:footnoteReference w:id="145"/>
      </w:r>
      <w:r>
        <w:rPr>
          <w:lang w:val="fr-FR"/>
        </w:rPr>
        <w:t>.</w:t>
      </w:r>
      <w:r w:rsidRPr="00293268">
        <w:rPr>
          <w:lang w:val="fr-FR"/>
        </w:rPr>
        <w:t xml:space="preserve"> </w:t>
      </w:r>
      <w:r w:rsidRPr="006F04D1">
        <w:rPr>
          <w:lang w:val="fr-FR"/>
        </w:rPr>
        <w:t xml:space="preserve">Dans </w:t>
      </w:r>
      <w:r>
        <w:rPr>
          <w:lang w:val="fr-FR"/>
        </w:rPr>
        <w:t>des</w:t>
      </w:r>
      <w:r w:rsidRPr="006F04D1">
        <w:rPr>
          <w:lang w:val="fr-FR"/>
        </w:rPr>
        <w:t xml:space="preserve"> pays où les données de recensement sont ventilées par race ou origine ethnique, les personnes d</w:t>
      </w:r>
      <w:r>
        <w:rPr>
          <w:lang w:val="fr-FR"/>
        </w:rPr>
        <w:t>’</w:t>
      </w:r>
      <w:r w:rsidRPr="006F04D1">
        <w:rPr>
          <w:lang w:val="fr-FR"/>
        </w:rPr>
        <w:t>ascendance africaine ne sont pas toujours d</w:t>
      </w:r>
      <w:r>
        <w:rPr>
          <w:lang w:val="fr-FR"/>
        </w:rPr>
        <w:t>’</w:t>
      </w:r>
      <w:r w:rsidRPr="006F04D1">
        <w:rPr>
          <w:lang w:val="fr-FR"/>
        </w:rPr>
        <w:t xml:space="preserve">accord avec les estimations officielles </w:t>
      </w:r>
      <w:r>
        <w:rPr>
          <w:lang w:val="fr-FR"/>
        </w:rPr>
        <w:t>les concernant</w:t>
      </w:r>
      <w:r w:rsidRPr="006F04D1">
        <w:rPr>
          <w:lang w:val="fr-FR"/>
        </w:rPr>
        <w:t xml:space="preserve">, comme </w:t>
      </w:r>
      <w:r>
        <w:rPr>
          <w:lang w:val="fr-FR"/>
        </w:rPr>
        <w:t xml:space="preserve">c’est le cas </w:t>
      </w:r>
      <w:r w:rsidRPr="006F04D1">
        <w:rPr>
          <w:lang w:val="fr-FR"/>
        </w:rPr>
        <w:t>en Argentine et au Chili</w:t>
      </w:r>
      <w:r w:rsidRPr="00CD6B67">
        <w:rPr>
          <w:rStyle w:val="FootnoteReference"/>
        </w:rPr>
        <w:footnoteReference w:id="146"/>
      </w:r>
      <w:r>
        <w:rPr>
          <w:lang w:val="fr-FR"/>
        </w:rPr>
        <w:t>.</w:t>
      </w:r>
    </w:p>
    <w:p w14:paraId="6AB31F0F" w14:textId="77777777" w:rsidR="00865E37" w:rsidRPr="00293268" w:rsidRDefault="00865E37" w:rsidP="00865E37">
      <w:pPr>
        <w:pStyle w:val="SingleTxtG"/>
        <w:rPr>
          <w:lang w:val="fr-FR"/>
        </w:rPr>
      </w:pPr>
      <w:r w:rsidRPr="00293268">
        <w:rPr>
          <w:lang w:val="fr-FR"/>
        </w:rPr>
        <w:t>47.</w:t>
      </w:r>
      <w:r w:rsidRPr="00293268">
        <w:rPr>
          <w:lang w:val="fr-FR"/>
        </w:rPr>
        <w:tab/>
      </w:r>
      <w:r w:rsidRPr="00E30928">
        <w:rPr>
          <w:lang w:val="fr-FR"/>
        </w:rPr>
        <w:t xml:space="preserve">Même dans les pays où de telles données sont recueillies, </w:t>
      </w:r>
      <w:r>
        <w:rPr>
          <w:lang w:val="fr-FR"/>
        </w:rPr>
        <w:t>celles-ci</w:t>
      </w:r>
      <w:r w:rsidRPr="00E30928">
        <w:rPr>
          <w:lang w:val="fr-FR"/>
        </w:rPr>
        <w:t xml:space="preserve"> ne semblent pas être utilisées de manière systématique pour orienter l</w:t>
      </w:r>
      <w:r>
        <w:rPr>
          <w:lang w:val="fr-FR"/>
        </w:rPr>
        <w:t>’</w:t>
      </w:r>
      <w:r w:rsidRPr="00E30928">
        <w:rPr>
          <w:lang w:val="fr-FR"/>
        </w:rPr>
        <w:t>élaboration de politiques efficaces</w:t>
      </w:r>
      <w:r w:rsidRPr="00CD6B67">
        <w:rPr>
          <w:rStyle w:val="FootnoteReference"/>
        </w:rPr>
        <w:footnoteReference w:id="147"/>
      </w:r>
      <w:r>
        <w:rPr>
          <w:lang w:val="fr-FR"/>
        </w:rPr>
        <w:t>.</w:t>
      </w:r>
      <w:r w:rsidRPr="00293268">
        <w:rPr>
          <w:lang w:val="fr-FR"/>
        </w:rPr>
        <w:t xml:space="preserve"> </w:t>
      </w:r>
      <w:r w:rsidRPr="00846C87">
        <w:rPr>
          <w:lang w:val="fr-FR"/>
        </w:rPr>
        <w:t xml:space="preserve">Cela empêche également </w:t>
      </w:r>
      <w:r>
        <w:rPr>
          <w:lang w:val="fr-FR"/>
        </w:rPr>
        <w:t>l’application</w:t>
      </w:r>
      <w:r w:rsidRPr="00846C87">
        <w:rPr>
          <w:lang w:val="fr-FR"/>
        </w:rPr>
        <w:t xml:space="preserve"> effective des mesures adoptées pour éliminer le racisme et le</w:t>
      </w:r>
      <w:r>
        <w:rPr>
          <w:lang w:val="fr-FR"/>
        </w:rPr>
        <w:t>ur</w:t>
      </w:r>
      <w:r w:rsidRPr="00846C87">
        <w:rPr>
          <w:lang w:val="fr-FR"/>
        </w:rPr>
        <w:t xml:space="preserve"> suivi</w:t>
      </w:r>
      <w:r w:rsidRPr="00293268">
        <w:rPr>
          <w:lang w:val="fr-FR"/>
        </w:rPr>
        <w:t>.</w:t>
      </w:r>
    </w:p>
    <w:p w14:paraId="74BB819A" w14:textId="77777777" w:rsidR="00865E37" w:rsidRPr="00293268" w:rsidRDefault="00865E37" w:rsidP="00865E37">
      <w:pPr>
        <w:pStyle w:val="H23G"/>
        <w:rPr>
          <w:lang w:val="fr-FR"/>
        </w:rPr>
      </w:pPr>
      <w:bookmarkStart w:id="104" w:name="_Toc74078710"/>
      <w:bookmarkStart w:id="105" w:name="_Toc74080639"/>
      <w:bookmarkStart w:id="106" w:name="_Toc75280466"/>
      <w:bookmarkStart w:id="107" w:name="_Toc74173705"/>
      <w:r w:rsidRPr="00293268">
        <w:rPr>
          <w:lang w:val="fr-FR"/>
        </w:rPr>
        <w:tab/>
        <w:t>3.</w:t>
      </w:r>
      <w:r w:rsidRPr="00293268">
        <w:rPr>
          <w:lang w:val="fr-FR"/>
        </w:rPr>
        <w:tab/>
      </w:r>
      <w:bookmarkEnd w:id="104"/>
      <w:bookmarkEnd w:id="105"/>
      <w:bookmarkEnd w:id="106"/>
      <w:bookmarkEnd w:id="107"/>
      <w:r w:rsidRPr="008F77F1">
        <w:rPr>
          <w:lang w:val="fr-FR"/>
        </w:rPr>
        <w:t>Persistance et omniprésence des stéréotypes raciaux</w:t>
      </w:r>
    </w:p>
    <w:p w14:paraId="5867D426" w14:textId="063F99CF" w:rsidR="00865E37" w:rsidRPr="00293268" w:rsidRDefault="00865E37" w:rsidP="00865E37">
      <w:pPr>
        <w:pStyle w:val="SingleTxtG"/>
        <w:rPr>
          <w:lang w:val="fr-FR"/>
        </w:rPr>
      </w:pPr>
      <w:r w:rsidRPr="00293268">
        <w:rPr>
          <w:lang w:val="fr-FR"/>
        </w:rPr>
        <w:t>48.</w:t>
      </w:r>
      <w:r w:rsidRPr="00293268">
        <w:rPr>
          <w:lang w:val="fr-FR"/>
        </w:rPr>
        <w:tab/>
      </w:r>
      <w:r w:rsidRPr="00CA16C2">
        <w:rPr>
          <w:spacing w:val="-3"/>
          <w:lang w:val="fr-FR"/>
        </w:rPr>
        <w:t xml:space="preserve">La déshumanisation des personnes d’ascendance africaine </w:t>
      </w:r>
      <w:r w:rsidR="008B1399" w:rsidRPr="00CA16C2">
        <w:rPr>
          <w:spacing w:val="-3"/>
          <w:lang w:val="fr-FR"/>
        </w:rPr>
        <w:t>−</w:t>
      </w:r>
      <w:r w:rsidRPr="00CA16C2">
        <w:rPr>
          <w:spacing w:val="-3"/>
          <w:lang w:val="fr-FR"/>
        </w:rPr>
        <w:t xml:space="preserve"> une pratique qui trouve son origine dans des conceptions sociales erronées sur les races élaborées au cours de l’histoire pour justifier l’esclavage, des stéréotypes raciaux généralisés</w:t>
      </w:r>
      <w:r w:rsidRPr="00CA16C2">
        <w:rPr>
          <w:rStyle w:val="FootnoteReference"/>
          <w:spacing w:val="-3"/>
        </w:rPr>
        <w:footnoteReference w:id="148"/>
      </w:r>
      <w:r w:rsidRPr="00CA16C2">
        <w:rPr>
          <w:spacing w:val="-3"/>
          <w:vertAlign w:val="superscript"/>
          <w:lang w:val="fr-FR"/>
        </w:rPr>
        <w:t xml:space="preserve"> </w:t>
      </w:r>
      <w:r w:rsidRPr="00CA16C2">
        <w:rPr>
          <w:spacing w:val="-3"/>
          <w:lang w:val="fr-FR"/>
        </w:rPr>
        <w:t>et des pratiques et traditions néfastes largement acceptées</w:t>
      </w:r>
      <w:r w:rsidRPr="00CA16C2">
        <w:rPr>
          <w:rStyle w:val="FootnoteReference"/>
          <w:spacing w:val="-3"/>
        </w:rPr>
        <w:footnoteReference w:id="149"/>
      </w:r>
      <w:r w:rsidRPr="00CA16C2">
        <w:rPr>
          <w:spacing w:val="-3"/>
          <w:lang w:val="fr-FR"/>
        </w:rPr>
        <w:t xml:space="preserve"> </w:t>
      </w:r>
      <w:r w:rsidR="00E13E3E" w:rsidRPr="00CA16C2">
        <w:rPr>
          <w:spacing w:val="-3"/>
          <w:lang w:val="fr-FR"/>
        </w:rPr>
        <w:t>−</w:t>
      </w:r>
      <w:r w:rsidRPr="00CA16C2">
        <w:rPr>
          <w:spacing w:val="-3"/>
          <w:lang w:val="fr-FR"/>
        </w:rPr>
        <w:t xml:space="preserve"> a entretenu et favorisé une attitude de tolérance à l’égard de la discrimination, des inégalités et des violences raciales, qui continue d’avoir un effet disproportionné sur la jouissance, par ces personnes, de leurs droits fondamentaux</w:t>
      </w:r>
      <w:r w:rsidRPr="00CA16C2">
        <w:rPr>
          <w:rStyle w:val="FootnoteReference"/>
          <w:spacing w:val="-3"/>
        </w:rPr>
        <w:footnoteReference w:id="150"/>
      </w:r>
      <w:r w:rsidRPr="00CA16C2">
        <w:rPr>
          <w:spacing w:val="-3"/>
          <w:lang w:val="fr-FR"/>
        </w:rPr>
        <w:t>. Ces stéréotypes peuvent se manifester dès l’enfance. Ainsi, dans certains cas, des stéréotypes omniprésents sur les aptitudes scolaires des enfants d’ascendance africaine auraient conduit les enseignants à les orienter vers des filières qui limitent leur accès à l’enseignement supérieur</w:t>
      </w:r>
      <w:r w:rsidRPr="00CA16C2">
        <w:rPr>
          <w:rStyle w:val="FootnoteReference"/>
          <w:spacing w:val="-3"/>
        </w:rPr>
        <w:footnoteReference w:id="151"/>
      </w:r>
      <w:r w:rsidRPr="00CA16C2">
        <w:rPr>
          <w:spacing w:val="-3"/>
          <w:lang w:val="fr-FR"/>
        </w:rPr>
        <w:t>. Des arguments racistes fondés sur des stéréotypes désobligeants et fallacieux, qui assimilent les personnes d’ascendance africaine à la paresse, sont parfois employés pour justifier leur pauvreté</w:t>
      </w:r>
      <w:r w:rsidRPr="00CA16C2">
        <w:rPr>
          <w:rStyle w:val="FootnoteReference"/>
          <w:spacing w:val="-3"/>
        </w:rPr>
        <w:footnoteReference w:id="152"/>
      </w:r>
      <w:r w:rsidRPr="00CA16C2">
        <w:rPr>
          <w:spacing w:val="-3"/>
          <w:lang w:val="fr-FR"/>
        </w:rPr>
        <w:t>. Les stéréotypes sont également perpétués par la « folklorisation » et « l’exotisation » des personnes d’ascendance africaine</w:t>
      </w:r>
      <w:r w:rsidRPr="00CA16C2">
        <w:rPr>
          <w:rStyle w:val="FootnoteReference"/>
          <w:spacing w:val="-3"/>
        </w:rPr>
        <w:footnoteReference w:id="153"/>
      </w:r>
      <w:r w:rsidRPr="00CA16C2">
        <w:rPr>
          <w:spacing w:val="-3"/>
          <w:lang w:val="fr-FR"/>
        </w:rPr>
        <w:t xml:space="preserve">, ainsi que par des traditions déshumanisantes, telles que « Pierre le </w:t>
      </w:r>
      <w:r w:rsidR="00E13E3E" w:rsidRPr="00CA16C2">
        <w:rPr>
          <w:spacing w:val="-3"/>
          <w:lang w:val="fr-FR"/>
        </w:rPr>
        <w:t>N</w:t>
      </w:r>
      <w:r w:rsidRPr="00CA16C2">
        <w:rPr>
          <w:spacing w:val="-3"/>
          <w:lang w:val="fr-FR"/>
        </w:rPr>
        <w:t>oir</w:t>
      </w:r>
      <w:r w:rsidR="00E13E3E" w:rsidRPr="00CA16C2">
        <w:rPr>
          <w:spacing w:val="-3"/>
          <w:lang w:val="fr-FR"/>
        </w:rPr>
        <w:t> </w:t>
      </w:r>
      <w:r w:rsidRPr="00CA16C2">
        <w:rPr>
          <w:spacing w:val="-3"/>
          <w:lang w:val="fr-FR"/>
        </w:rPr>
        <w:t xml:space="preserve">» aux Pays-Bas </w:t>
      </w:r>
      <w:r w:rsidRPr="00CA16C2">
        <w:rPr>
          <w:rStyle w:val="FootnoteReference"/>
          <w:spacing w:val="-3"/>
        </w:rPr>
        <w:footnoteReference w:id="154"/>
      </w:r>
      <w:r w:rsidRPr="00CA16C2">
        <w:rPr>
          <w:spacing w:val="-3"/>
          <w:vertAlign w:val="superscript"/>
          <w:lang w:val="fr-FR"/>
        </w:rPr>
        <w:t xml:space="preserve"> </w:t>
      </w:r>
      <w:r w:rsidRPr="00CA16C2">
        <w:rPr>
          <w:spacing w:val="-3"/>
          <w:lang w:val="fr-FR"/>
        </w:rPr>
        <w:t xml:space="preserve">et une « exposition de type zoo humain mettant en scène huit </w:t>
      </w:r>
      <w:r w:rsidR="00E13E3E" w:rsidRPr="00CA16C2">
        <w:rPr>
          <w:spacing w:val="-3"/>
          <w:lang w:val="fr-FR"/>
        </w:rPr>
        <w:t>“</w:t>
      </w:r>
      <w:r w:rsidRPr="00CA16C2">
        <w:rPr>
          <w:spacing w:val="-3"/>
          <w:lang w:val="fr-FR"/>
        </w:rPr>
        <w:t>pygmées</w:t>
      </w:r>
      <w:r w:rsidR="00E13E3E" w:rsidRPr="00CA16C2">
        <w:rPr>
          <w:spacing w:val="-3"/>
          <w:lang w:val="fr-FR"/>
        </w:rPr>
        <w:t>”</w:t>
      </w:r>
      <w:r w:rsidRPr="00CA16C2">
        <w:rPr>
          <w:spacing w:val="-3"/>
          <w:lang w:val="fr-FR"/>
        </w:rPr>
        <w:t xml:space="preserve"> Baka du Cameroun</w:t>
      </w:r>
      <w:r w:rsidR="0047744C" w:rsidRPr="00CA16C2">
        <w:rPr>
          <w:spacing w:val="-3"/>
          <w:lang w:val="fr-FR"/>
        </w:rPr>
        <w:t> </w:t>
      </w:r>
      <w:r w:rsidRPr="00CA16C2">
        <w:rPr>
          <w:spacing w:val="-3"/>
          <w:lang w:val="fr-FR"/>
        </w:rPr>
        <w:t>» en Belgique, pas plus tard qu’en 2002</w:t>
      </w:r>
      <w:r w:rsidRPr="00CD6B67">
        <w:rPr>
          <w:rStyle w:val="FootnoteReference"/>
        </w:rPr>
        <w:footnoteReference w:id="155"/>
      </w:r>
      <w:r>
        <w:rPr>
          <w:lang w:val="fr-FR"/>
        </w:rPr>
        <w:t>.</w:t>
      </w:r>
    </w:p>
    <w:p w14:paraId="2242A287" w14:textId="49B7A2C4" w:rsidR="00865E37" w:rsidRPr="00293268" w:rsidRDefault="00865E37" w:rsidP="00865E37">
      <w:pPr>
        <w:pStyle w:val="SingleTxtG"/>
        <w:rPr>
          <w:lang w:val="fr-FR"/>
        </w:rPr>
      </w:pPr>
      <w:r w:rsidRPr="00293268">
        <w:rPr>
          <w:lang w:val="fr-FR"/>
        </w:rPr>
        <w:t>49.</w:t>
      </w:r>
      <w:r w:rsidRPr="00293268">
        <w:rPr>
          <w:lang w:val="fr-FR"/>
        </w:rPr>
        <w:tab/>
      </w:r>
      <w:r w:rsidRPr="0074280D">
        <w:rPr>
          <w:lang w:val="fr-FR"/>
        </w:rPr>
        <w:t>Ces stéréotypes sont aggravés par des représentations négatives ou fallacieuse</w:t>
      </w:r>
      <w:r>
        <w:rPr>
          <w:lang w:val="fr-FR"/>
        </w:rPr>
        <w:t>s</w:t>
      </w:r>
      <w:r w:rsidRPr="0074280D">
        <w:rPr>
          <w:lang w:val="fr-FR"/>
        </w:rPr>
        <w:t xml:space="preserve"> des personnes d</w:t>
      </w:r>
      <w:r>
        <w:rPr>
          <w:lang w:val="fr-FR"/>
        </w:rPr>
        <w:t>’</w:t>
      </w:r>
      <w:r w:rsidRPr="0074280D">
        <w:rPr>
          <w:lang w:val="fr-FR"/>
        </w:rPr>
        <w:t>ascendance africaine dans les programmes scolaires, le</w:t>
      </w:r>
      <w:r>
        <w:rPr>
          <w:lang w:val="fr-FR"/>
        </w:rPr>
        <w:t>s supports pédagogiques</w:t>
      </w:r>
      <w:r w:rsidRPr="0074280D">
        <w:rPr>
          <w:lang w:val="fr-FR"/>
        </w:rPr>
        <w:t xml:space="preserve"> et les salles de classe</w:t>
      </w:r>
      <w:r w:rsidRPr="00CD6B67">
        <w:rPr>
          <w:rStyle w:val="FootnoteReference"/>
        </w:rPr>
        <w:footnoteReference w:id="156"/>
      </w:r>
      <w:r>
        <w:rPr>
          <w:lang w:val="fr-FR"/>
        </w:rPr>
        <w:t>.</w:t>
      </w:r>
      <w:r w:rsidRPr="00293268">
        <w:rPr>
          <w:vertAlign w:val="superscript"/>
          <w:lang w:val="fr-FR"/>
        </w:rPr>
        <w:t xml:space="preserve"> </w:t>
      </w:r>
      <w:r w:rsidRPr="00FC5373">
        <w:rPr>
          <w:lang w:val="fr-FR"/>
        </w:rPr>
        <w:t xml:space="preserve">Dans le matériel pédagogique </w:t>
      </w:r>
      <w:r>
        <w:rPr>
          <w:lang w:val="fr-FR"/>
        </w:rPr>
        <w:t>mais pas seulement</w:t>
      </w:r>
      <w:r w:rsidRPr="00FC5373">
        <w:rPr>
          <w:lang w:val="fr-FR"/>
        </w:rPr>
        <w:t>, les contributions des personnes d</w:t>
      </w:r>
      <w:r>
        <w:rPr>
          <w:lang w:val="fr-FR"/>
        </w:rPr>
        <w:t>’</w:t>
      </w:r>
      <w:r w:rsidRPr="00FC5373">
        <w:rPr>
          <w:lang w:val="fr-FR"/>
        </w:rPr>
        <w:t>ascendance africaine sont rarement mises en valeur</w:t>
      </w:r>
      <w:r w:rsidRPr="00CD6B67">
        <w:rPr>
          <w:rStyle w:val="FootnoteReference"/>
        </w:rPr>
        <w:footnoteReference w:id="157"/>
      </w:r>
      <w:r>
        <w:rPr>
          <w:lang w:val="fr-FR"/>
        </w:rPr>
        <w:t>,</w:t>
      </w:r>
      <w:r w:rsidRPr="00293268">
        <w:rPr>
          <w:lang w:val="fr-FR"/>
        </w:rPr>
        <w:t xml:space="preserve"> </w:t>
      </w:r>
      <w:r>
        <w:rPr>
          <w:lang w:val="fr-FR"/>
        </w:rPr>
        <w:t>au-delà de leurs performances en tant que chanteurs, danseurs ou athlètes</w:t>
      </w:r>
      <w:r w:rsidRPr="00CD6B67">
        <w:rPr>
          <w:rStyle w:val="FootnoteReference"/>
        </w:rPr>
        <w:footnoteReference w:id="158"/>
      </w:r>
      <w:r>
        <w:rPr>
          <w:lang w:val="fr-FR"/>
        </w:rPr>
        <w:t>.</w:t>
      </w:r>
      <w:r w:rsidRPr="00293268">
        <w:rPr>
          <w:lang w:val="fr-FR"/>
        </w:rPr>
        <w:t xml:space="preserve"> </w:t>
      </w:r>
      <w:r w:rsidRPr="003413AD">
        <w:rPr>
          <w:lang w:val="fr-FR"/>
        </w:rPr>
        <w:t xml:space="preserve">Les préjugés sexistes conjugués aux stéréotypes raciaux peuvent également influencer </w:t>
      </w:r>
      <w:r w:rsidRPr="009C2B02">
        <w:rPr>
          <w:lang w:val="fr-FR"/>
        </w:rPr>
        <w:t>la</w:t>
      </w:r>
      <w:r>
        <w:rPr>
          <w:lang w:val="fr-FR"/>
        </w:rPr>
        <w:t xml:space="preserve"> </w:t>
      </w:r>
      <w:r w:rsidRPr="009C2B02">
        <w:rPr>
          <w:lang w:val="fr-FR"/>
        </w:rPr>
        <w:t xml:space="preserve">façon dont </w:t>
      </w:r>
      <w:r>
        <w:rPr>
          <w:lang w:val="fr-FR"/>
        </w:rPr>
        <w:t>l</w:t>
      </w:r>
      <w:r w:rsidRPr="003413AD">
        <w:rPr>
          <w:lang w:val="fr-FR"/>
        </w:rPr>
        <w:t xml:space="preserve">es comportements et </w:t>
      </w:r>
      <w:r>
        <w:rPr>
          <w:lang w:val="fr-FR"/>
        </w:rPr>
        <w:t>l</w:t>
      </w:r>
      <w:r w:rsidRPr="003413AD">
        <w:rPr>
          <w:lang w:val="fr-FR"/>
        </w:rPr>
        <w:t>es actions des femmes et des filles d</w:t>
      </w:r>
      <w:r>
        <w:rPr>
          <w:lang w:val="fr-FR"/>
        </w:rPr>
        <w:t>’</w:t>
      </w:r>
      <w:r w:rsidRPr="003413AD">
        <w:rPr>
          <w:lang w:val="fr-FR"/>
        </w:rPr>
        <w:t>ascendance africaine</w:t>
      </w:r>
      <w:r>
        <w:rPr>
          <w:lang w:val="fr-FR"/>
        </w:rPr>
        <w:t xml:space="preserve"> sont interprétés</w:t>
      </w:r>
      <w:r w:rsidRPr="00293268">
        <w:rPr>
          <w:lang w:val="fr-FR"/>
        </w:rPr>
        <w:t xml:space="preserve">. </w:t>
      </w:r>
      <w:r w:rsidRPr="001874E7">
        <w:rPr>
          <w:lang w:val="fr-FR"/>
        </w:rPr>
        <w:t xml:space="preserve">La féminité noire </w:t>
      </w:r>
      <w:r>
        <w:rPr>
          <w:lang w:val="fr-FR"/>
        </w:rPr>
        <w:t>reste</w:t>
      </w:r>
      <w:r w:rsidRPr="001874E7">
        <w:rPr>
          <w:lang w:val="fr-FR"/>
        </w:rPr>
        <w:t xml:space="preserve"> associée à des stéréotypes réducteurs </w:t>
      </w:r>
      <w:r>
        <w:rPr>
          <w:lang w:val="fr-FR"/>
        </w:rPr>
        <w:t xml:space="preserve">persistants </w:t>
      </w:r>
      <w:r w:rsidRPr="001874E7">
        <w:rPr>
          <w:lang w:val="fr-FR"/>
        </w:rPr>
        <w:t>selon</w:t>
      </w:r>
      <w:r>
        <w:rPr>
          <w:lang w:val="fr-FR"/>
        </w:rPr>
        <w:t xml:space="preserve"> </w:t>
      </w:r>
      <w:r w:rsidRPr="001874E7">
        <w:rPr>
          <w:lang w:val="fr-FR"/>
        </w:rPr>
        <w:t xml:space="preserve">lesquels les femmes et les filles </w:t>
      </w:r>
      <w:r>
        <w:rPr>
          <w:lang w:val="fr-FR"/>
        </w:rPr>
        <w:t>d’ascendance africaine</w:t>
      </w:r>
      <w:r w:rsidRPr="001874E7">
        <w:rPr>
          <w:lang w:val="fr-FR"/>
        </w:rPr>
        <w:t xml:space="preserve"> seraient </w:t>
      </w:r>
      <w:r w:rsidRPr="00E637E0">
        <w:rPr>
          <w:lang w:val="fr-FR"/>
        </w:rPr>
        <w:t>« </w:t>
      </w:r>
      <w:r w:rsidRPr="00DF4EA0">
        <w:rPr>
          <w:lang w:val="fr-FR"/>
        </w:rPr>
        <w:t>hypersexuelles</w:t>
      </w:r>
      <w:r w:rsidRPr="001874E7">
        <w:rPr>
          <w:lang w:val="fr-FR"/>
        </w:rPr>
        <w:t>, impertinentes,</w:t>
      </w:r>
      <w:r>
        <w:rPr>
          <w:lang w:val="fr-FR"/>
        </w:rPr>
        <w:t xml:space="preserve"> </w:t>
      </w:r>
      <w:r w:rsidRPr="001874E7">
        <w:rPr>
          <w:lang w:val="fr-FR"/>
        </w:rPr>
        <w:t>sournoises ou bruyantes</w:t>
      </w:r>
      <w:r>
        <w:rPr>
          <w:lang w:val="fr-FR"/>
        </w:rPr>
        <w:t> »</w:t>
      </w:r>
      <w:r w:rsidRPr="00CD6B67">
        <w:rPr>
          <w:rStyle w:val="FootnoteReference"/>
        </w:rPr>
        <w:footnoteReference w:id="159"/>
      </w:r>
      <w:r>
        <w:rPr>
          <w:lang w:val="fr-FR"/>
        </w:rPr>
        <w:t>.</w:t>
      </w:r>
      <w:r w:rsidRPr="00293268">
        <w:rPr>
          <w:vertAlign w:val="superscript"/>
          <w:lang w:val="fr-FR"/>
        </w:rPr>
        <w:t xml:space="preserve"> </w:t>
      </w:r>
      <w:r w:rsidRPr="006620D5">
        <w:rPr>
          <w:lang w:val="fr-FR"/>
        </w:rPr>
        <w:t>Des préoccupations ont été exprimées sur  l</w:t>
      </w:r>
      <w:r>
        <w:rPr>
          <w:lang w:val="fr-FR"/>
        </w:rPr>
        <w:t>’</w:t>
      </w:r>
      <w:r w:rsidRPr="006620D5">
        <w:rPr>
          <w:lang w:val="fr-FR"/>
        </w:rPr>
        <w:t>association entre l</w:t>
      </w:r>
      <w:r>
        <w:rPr>
          <w:lang w:val="fr-FR"/>
        </w:rPr>
        <w:t>’</w:t>
      </w:r>
      <w:r w:rsidRPr="006620D5">
        <w:rPr>
          <w:lang w:val="fr-FR"/>
        </w:rPr>
        <w:t>identité noire et la violence, la misogynie, le matérialisme et la déviance dans la musique populaire</w:t>
      </w:r>
      <w:r w:rsidRPr="00CD6B67">
        <w:rPr>
          <w:rStyle w:val="FootnoteReference"/>
        </w:rPr>
        <w:footnoteReference w:id="160"/>
      </w:r>
      <w:r>
        <w:rPr>
          <w:lang w:val="fr-FR"/>
        </w:rPr>
        <w:t xml:space="preserve"> </w:t>
      </w:r>
      <w:r w:rsidR="00936FE3">
        <w:rPr>
          <w:lang w:val="fr-FR"/>
        </w:rPr>
        <w:t>− </w:t>
      </w:r>
      <w:r>
        <w:rPr>
          <w:lang w:val="fr-FR"/>
        </w:rPr>
        <w:t xml:space="preserve">association par ailleurs </w:t>
      </w:r>
      <w:r w:rsidRPr="00936BB5">
        <w:rPr>
          <w:lang w:val="fr-FR"/>
        </w:rPr>
        <w:t xml:space="preserve">renforcée et </w:t>
      </w:r>
      <w:r>
        <w:rPr>
          <w:lang w:val="fr-FR"/>
        </w:rPr>
        <w:t>relayée</w:t>
      </w:r>
      <w:r w:rsidRPr="00936BB5">
        <w:rPr>
          <w:lang w:val="fr-FR"/>
        </w:rPr>
        <w:t xml:space="preserve"> </w:t>
      </w:r>
      <w:r w:rsidRPr="009926F1">
        <w:rPr>
          <w:lang w:val="fr-FR"/>
        </w:rPr>
        <w:t>dans d</w:t>
      </w:r>
      <w:r>
        <w:rPr>
          <w:lang w:val="fr-FR"/>
        </w:rPr>
        <w:t>’</w:t>
      </w:r>
      <w:r w:rsidRPr="009926F1">
        <w:rPr>
          <w:lang w:val="fr-FR"/>
        </w:rPr>
        <w:t>autres domaines de la culture populaire,</w:t>
      </w:r>
      <w:r w:rsidRPr="00936BB5">
        <w:rPr>
          <w:lang w:val="fr-FR"/>
        </w:rPr>
        <w:t xml:space="preserve"> tels que</w:t>
      </w:r>
      <w:r>
        <w:rPr>
          <w:lang w:val="fr-FR"/>
        </w:rPr>
        <w:t xml:space="preserve"> </w:t>
      </w:r>
      <w:r w:rsidRPr="00936BB5">
        <w:rPr>
          <w:lang w:val="fr-FR"/>
        </w:rPr>
        <w:t>la télévision et le cinéma</w:t>
      </w:r>
      <w:r w:rsidRPr="00293268">
        <w:rPr>
          <w:lang w:val="fr-FR"/>
        </w:rPr>
        <w:t xml:space="preserve">. </w:t>
      </w:r>
      <w:r w:rsidRPr="00531E07">
        <w:rPr>
          <w:lang w:val="fr-FR"/>
        </w:rPr>
        <w:t xml:space="preserve">Ces stéréotypes </w:t>
      </w:r>
      <w:r>
        <w:rPr>
          <w:lang w:val="fr-FR"/>
        </w:rPr>
        <w:t xml:space="preserve">sont reflétés </w:t>
      </w:r>
      <w:r w:rsidRPr="00531E07">
        <w:rPr>
          <w:lang w:val="fr-FR"/>
        </w:rPr>
        <w:t>dans les comportements sociaux, les institutions publiques et privées, la vie publique et la politique, les médias, la publicité et la production culturelle</w:t>
      </w:r>
      <w:r w:rsidRPr="00CD6B67">
        <w:rPr>
          <w:rStyle w:val="FootnoteReference"/>
        </w:rPr>
        <w:footnoteReference w:id="161"/>
      </w:r>
      <w:r>
        <w:rPr>
          <w:lang w:val="fr-FR"/>
        </w:rPr>
        <w:t>.</w:t>
      </w:r>
    </w:p>
    <w:p w14:paraId="7161DE05" w14:textId="77777777" w:rsidR="00865E37" w:rsidRPr="00293268" w:rsidRDefault="00865E37" w:rsidP="00865E37">
      <w:pPr>
        <w:pStyle w:val="H23G"/>
        <w:rPr>
          <w:lang w:val="fr-FR"/>
        </w:rPr>
      </w:pPr>
      <w:bookmarkStart w:id="108" w:name="_Toc74120398"/>
      <w:bookmarkStart w:id="109" w:name="_Toc74120479"/>
      <w:bookmarkStart w:id="110" w:name="_Toc73738829"/>
      <w:bookmarkStart w:id="111" w:name="_Toc74078711"/>
      <w:bookmarkStart w:id="112" w:name="_Toc74080640"/>
      <w:bookmarkStart w:id="113" w:name="_Toc75280467"/>
      <w:bookmarkEnd w:id="108"/>
      <w:bookmarkEnd w:id="109"/>
      <w:r w:rsidRPr="00293268">
        <w:rPr>
          <w:lang w:val="fr-FR"/>
        </w:rPr>
        <w:tab/>
        <w:t>4.</w:t>
      </w:r>
      <w:r w:rsidRPr="00293268">
        <w:rPr>
          <w:lang w:val="fr-FR"/>
        </w:rPr>
        <w:tab/>
      </w:r>
      <w:r w:rsidRPr="005843AA">
        <w:rPr>
          <w:lang w:val="fr-FR"/>
        </w:rPr>
        <w:t xml:space="preserve">Des </w:t>
      </w:r>
      <w:r>
        <w:rPr>
          <w:lang w:val="fr-FR"/>
        </w:rPr>
        <w:t>faits nouveaux prometteurs mais</w:t>
      </w:r>
      <w:r w:rsidRPr="005843AA">
        <w:rPr>
          <w:lang w:val="fr-FR"/>
        </w:rPr>
        <w:t xml:space="preserve"> un</w:t>
      </w:r>
      <w:r w:rsidRPr="006837B4">
        <w:rPr>
          <w:lang w:val="fr-FR"/>
        </w:rPr>
        <w:t xml:space="preserve"> engagement insuffisant des États</w:t>
      </w:r>
    </w:p>
    <w:p w14:paraId="528F62DF" w14:textId="77777777" w:rsidR="00865E37" w:rsidRPr="00293268" w:rsidRDefault="00865E37" w:rsidP="0088036D">
      <w:pPr>
        <w:pStyle w:val="SingleTxtG"/>
        <w:spacing w:line="236" w:lineRule="atLeast"/>
        <w:rPr>
          <w:lang w:val="fr-FR"/>
        </w:rPr>
      </w:pPr>
      <w:r w:rsidRPr="00293268">
        <w:rPr>
          <w:lang w:val="fr-FR"/>
        </w:rPr>
        <w:t>50.</w:t>
      </w:r>
      <w:r w:rsidRPr="00293268">
        <w:rPr>
          <w:lang w:val="fr-FR"/>
        </w:rPr>
        <w:tab/>
      </w:r>
      <w:r w:rsidRPr="003F6E41">
        <w:rPr>
          <w:lang w:val="fr-FR"/>
        </w:rPr>
        <w:t>Des lois, politiques et cadres ont été adoptés aux niveaux national et régional pour lutter contre le racisme systémique à l</w:t>
      </w:r>
      <w:r>
        <w:rPr>
          <w:lang w:val="fr-FR"/>
        </w:rPr>
        <w:t>’</w:t>
      </w:r>
      <w:r w:rsidRPr="003F6E41">
        <w:rPr>
          <w:lang w:val="fr-FR"/>
        </w:rPr>
        <w:t>égard des Africains et des personnes d</w:t>
      </w:r>
      <w:r>
        <w:rPr>
          <w:lang w:val="fr-FR"/>
        </w:rPr>
        <w:t>’</w:t>
      </w:r>
      <w:r w:rsidRPr="003F6E41">
        <w:rPr>
          <w:lang w:val="fr-FR"/>
        </w:rPr>
        <w:t>ascendance africaine</w:t>
      </w:r>
      <w:r w:rsidRPr="00293268">
        <w:rPr>
          <w:lang w:val="fr-FR"/>
        </w:rPr>
        <w:t xml:space="preserve">. </w:t>
      </w:r>
      <w:r w:rsidRPr="00B57C23">
        <w:rPr>
          <w:lang w:val="fr-FR"/>
        </w:rPr>
        <w:t xml:space="preserve">Des </w:t>
      </w:r>
      <w:r>
        <w:rPr>
          <w:lang w:val="fr-FR"/>
        </w:rPr>
        <w:t>faits nouveaux prometteurs</w:t>
      </w:r>
      <w:r w:rsidRPr="00B57C23">
        <w:rPr>
          <w:lang w:val="fr-FR"/>
        </w:rPr>
        <w:t xml:space="preserve"> ont été enregistrés, des progrès ont été réalisés et une prise de conscience du racisme systémique a été constatée, notamment grâce au rôle crucial joué par les personnes d</w:t>
      </w:r>
      <w:r>
        <w:rPr>
          <w:lang w:val="fr-FR"/>
        </w:rPr>
        <w:t>’</w:t>
      </w:r>
      <w:r w:rsidRPr="00B57C23">
        <w:rPr>
          <w:lang w:val="fr-FR"/>
        </w:rPr>
        <w:t>ascendance africaine et leurs organisations</w:t>
      </w:r>
      <w:r w:rsidRPr="00CD6B67">
        <w:rPr>
          <w:rStyle w:val="FootnoteReference"/>
        </w:rPr>
        <w:footnoteReference w:id="162"/>
      </w:r>
      <w:r>
        <w:rPr>
          <w:lang w:val="fr-FR"/>
        </w:rPr>
        <w:t>.</w:t>
      </w:r>
      <w:r w:rsidRPr="00293268">
        <w:rPr>
          <w:lang w:val="fr-FR"/>
        </w:rPr>
        <w:t xml:space="preserve"> </w:t>
      </w:r>
      <w:r w:rsidRPr="00E725F6">
        <w:rPr>
          <w:lang w:val="fr-FR"/>
        </w:rPr>
        <w:t>Pourtant, de nombreux États n</w:t>
      </w:r>
      <w:r>
        <w:rPr>
          <w:lang w:val="fr-FR"/>
        </w:rPr>
        <w:t>’</w:t>
      </w:r>
      <w:r w:rsidRPr="00E725F6">
        <w:rPr>
          <w:lang w:val="fr-FR"/>
        </w:rPr>
        <w:t>ont pas suffisamment examiné leur</w:t>
      </w:r>
      <w:r>
        <w:rPr>
          <w:lang w:val="fr-FR"/>
        </w:rPr>
        <w:t>s</w:t>
      </w:r>
      <w:r w:rsidRPr="00E725F6">
        <w:rPr>
          <w:lang w:val="fr-FR"/>
        </w:rPr>
        <w:t xml:space="preserve"> </w:t>
      </w:r>
      <w:r>
        <w:rPr>
          <w:lang w:val="fr-FR"/>
        </w:rPr>
        <w:t>lois</w:t>
      </w:r>
      <w:r w:rsidRPr="00E725F6">
        <w:rPr>
          <w:lang w:val="fr-FR"/>
        </w:rPr>
        <w:t>, politiques et pratiques, ainsi que le rôle éventuel des institutions publiques dans la perpétuation du racisme systémique, en partie par manque de volonté politique</w:t>
      </w:r>
      <w:r w:rsidRPr="00293268">
        <w:rPr>
          <w:lang w:val="fr-FR"/>
        </w:rPr>
        <w:t>.</w:t>
      </w:r>
    </w:p>
    <w:p w14:paraId="61D0E4FE" w14:textId="77777777" w:rsidR="00865E37" w:rsidRPr="00293268" w:rsidRDefault="00865E37" w:rsidP="0088036D">
      <w:pPr>
        <w:pStyle w:val="SingleTxtG"/>
        <w:spacing w:line="236" w:lineRule="atLeast"/>
        <w:rPr>
          <w:lang w:val="fr-FR"/>
        </w:rPr>
      </w:pPr>
      <w:r w:rsidRPr="00293268">
        <w:rPr>
          <w:lang w:val="fr-FR"/>
        </w:rPr>
        <w:t>51.</w:t>
      </w:r>
      <w:r w:rsidRPr="00293268">
        <w:rPr>
          <w:lang w:val="fr-FR"/>
        </w:rPr>
        <w:tab/>
      </w:r>
      <w:r>
        <w:rPr>
          <w:lang w:val="fr-FR"/>
        </w:rPr>
        <w:t>De fait</w:t>
      </w:r>
      <w:r w:rsidRPr="007658F0">
        <w:rPr>
          <w:lang w:val="fr-FR"/>
        </w:rPr>
        <w:t xml:space="preserve">, les lois et politiques </w:t>
      </w:r>
      <w:r>
        <w:rPr>
          <w:lang w:val="fr-FR"/>
        </w:rPr>
        <w:t>visant à combattre</w:t>
      </w:r>
      <w:r w:rsidRPr="007658F0">
        <w:rPr>
          <w:lang w:val="fr-FR"/>
        </w:rPr>
        <w:t xml:space="preserve"> le racisme reconnaissent rarement les personnes d</w:t>
      </w:r>
      <w:r>
        <w:rPr>
          <w:lang w:val="fr-FR"/>
        </w:rPr>
        <w:t>’</w:t>
      </w:r>
      <w:r w:rsidRPr="007658F0">
        <w:rPr>
          <w:lang w:val="fr-FR"/>
        </w:rPr>
        <w:t xml:space="preserve">ascendance africaine comme un groupe distinct victime de racisme et proposent des </w:t>
      </w:r>
      <w:r>
        <w:rPr>
          <w:lang w:val="fr-FR"/>
        </w:rPr>
        <w:t xml:space="preserve">réponses </w:t>
      </w:r>
      <w:r w:rsidRPr="00D34DE8">
        <w:rPr>
          <w:lang w:val="fr-FR"/>
        </w:rPr>
        <w:t>parcellaires visant généralement des problèmes individuels</w:t>
      </w:r>
      <w:r w:rsidRPr="007658F0">
        <w:rPr>
          <w:lang w:val="fr-FR"/>
        </w:rPr>
        <w:t xml:space="preserve">, </w:t>
      </w:r>
      <w:r>
        <w:rPr>
          <w:lang w:val="fr-FR"/>
        </w:rPr>
        <w:t>au détriment d’</w:t>
      </w:r>
      <w:r w:rsidRPr="007658F0">
        <w:rPr>
          <w:lang w:val="fr-FR"/>
        </w:rPr>
        <w:t>une approche globale et intersectionnelle</w:t>
      </w:r>
      <w:r w:rsidRPr="00CD6B67">
        <w:rPr>
          <w:rStyle w:val="FootnoteReference"/>
        </w:rPr>
        <w:footnoteReference w:id="163"/>
      </w:r>
      <w:r>
        <w:rPr>
          <w:lang w:val="fr-FR"/>
        </w:rPr>
        <w:t>.</w:t>
      </w:r>
      <w:r w:rsidRPr="00293268">
        <w:rPr>
          <w:lang w:val="fr-FR"/>
        </w:rPr>
        <w:t xml:space="preserve"> </w:t>
      </w:r>
      <w:r w:rsidRPr="00CA5D0F">
        <w:rPr>
          <w:lang w:val="fr-FR"/>
        </w:rPr>
        <w:t>À cela s</w:t>
      </w:r>
      <w:r>
        <w:rPr>
          <w:lang w:val="fr-FR"/>
        </w:rPr>
        <w:t>’</w:t>
      </w:r>
      <w:r w:rsidRPr="00CA5D0F">
        <w:rPr>
          <w:lang w:val="fr-FR"/>
        </w:rPr>
        <w:t>ajoute le fait que les États n</w:t>
      </w:r>
      <w:r>
        <w:rPr>
          <w:lang w:val="fr-FR"/>
        </w:rPr>
        <w:t>’</w:t>
      </w:r>
      <w:r w:rsidRPr="00CA5D0F">
        <w:rPr>
          <w:lang w:val="fr-FR"/>
        </w:rPr>
        <w:t xml:space="preserve">ont pas saisi les occasions qui leur ont été données </w:t>
      </w:r>
      <w:r>
        <w:rPr>
          <w:lang w:val="fr-FR"/>
        </w:rPr>
        <w:t>d’appliquer</w:t>
      </w:r>
      <w:r w:rsidRPr="00CA5D0F">
        <w:rPr>
          <w:lang w:val="fr-FR"/>
        </w:rPr>
        <w:t xml:space="preserve"> effectivement les recommandations formulées par les mécanismes et </w:t>
      </w:r>
      <w:r>
        <w:rPr>
          <w:lang w:val="fr-FR"/>
        </w:rPr>
        <w:t>organes</w:t>
      </w:r>
      <w:r w:rsidRPr="00CA5D0F">
        <w:rPr>
          <w:lang w:val="fr-FR"/>
        </w:rPr>
        <w:t xml:space="preserve"> des droits de l</w:t>
      </w:r>
      <w:r>
        <w:rPr>
          <w:lang w:val="fr-FR"/>
        </w:rPr>
        <w:t>’</w:t>
      </w:r>
      <w:r w:rsidRPr="00CA5D0F">
        <w:rPr>
          <w:lang w:val="fr-FR"/>
        </w:rPr>
        <w:t>homme</w:t>
      </w:r>
      <w:r>
        <w:rPr>
          <w:lang w:val="fr-FR"/>
        </w:rPr>
        <w:t xml:space="preserve"> </w:t>
      </w:r>
      <w:r w:rsidRPr="00CA5D0F">
        <w:rPr>
          <w:lang w:val="fr-FR"/>
        </w:rPr>
        <w:t>de l</w:t>
      </w:r>
      <w:r>
        <w:rPr>
          <w:lang w:val="fr-FR"/>
        </w:rPr>
        <w:t>’</w:t>
      </w:r>
      <w:r w:rsidRPr="00CA5D0F">
        <w:rPr>
          <w:lang w:val="fr-FR"/>
        </w:rPr>
        <w:t xml:space="preserve">ONU </w:t>
      </w:r>
      <w:r>
        <w:rPr>
          <w:lang w:val="fr-FR"/>
        </w:rPr>
        <w:t>et de leurs homologues régionaux</w:t>
      </w:r>
      <w:r w:rsidRPr="00CA5D0F">
        <w:rPr>
          <w:lang w:val="fr-FR"/>
        </w:rPr>
        <w:t>, les institutions nationales des droits de l</w:t>
      </w:r>
      <w:r>
        <w:rPr>
          <w:lang w:val="fr-FR"/>
        </w:rPr>
        <w:t>’</w:t>
      </w:r>
      <w:r w:rsidRPr="00CA5D0F">
        <w:rPr>
          <w:lang w:val="fr-FR"/>
        </w:rPr>
        <w:t>homme, les commissions parlementaires et les organisations de la société civile, qui pourraient contribuer à mettre fin au racisme systémique à l</w:t>
      </w:r>
      <w:r>
        <w:rPr>
          <w:lang w:val="fr-FR"/>
        </w:rPr>
        <w:t>’</w:t>
      </w:r>
      <w:r w:rsidRPr="00CA5D0F">
        <w:rPr>
          <w:lang w:val="fr-FR"/>
        </w:rPr>
        <w:t>encontre des personnes d</w:t>
      </w:r>
      <w:r>
        <w:rPr>
          <w:lang w:val="fr-FR"/>
        </w:rPr>
        <w:t>’</w:t>
      </w:r>
      <w:r w:rsidRPr="00CA5D0F">
        <w:rPr>
          <w:lang w:val="fr-FR"/>
        </w:rPr>
        <w:t>ascendance africaine et à instaurer la justice et l</w:t>
      </w:r>
      <w:r>
        <w:rPr>
          <w:lang w:val="fr-FR"/>
        </w:rPr>
        <w:t>’</w:t>
      </w:r>
      <w:r w:rsidRPr="00CA5D0F">
        <w:rPr>
          <w:lang w:val="fr-FR"/>
        </w:rPr>
        <w:t>égalité raciales</w:t>
      </w:r>
      <w:r w:rsidRPr="00293268">
        <w:rPr>
          <w:lang w:val="fr-FR"/>
        </w:rPr>
        <w:t xml:space="preserve">. </w:t>
      </w:r>
      <w:r w:rsidRPr="007A3FB0">
        <w:rPr>
          <w:lang w:val="fr-FR"/>
        </w:rPr>
        <w:t>En outre, les États n</w:t>
      </w:r>
      <w:r>
        <w:rPr>
          <w:lang w:val="fr-FR"/>
        </w:rPr>
        <w:t>’</w:t>
      </w:r>
      <w:r w:rsidRPr="007A3FB0">
        <w:rPr>
          <w:lang w:val="fr-FR"/>
        </w:rPr>
        <w:t>utilisent pas suffisamment les cadres existants, tels que la Décennie internationale des personnes d</w:t>
      </w:r>
      <w:r>
        <w:rPr>
          <w:lang w:val="fr-FR"/>
        </w:rPr>
        <w:t>’</w:t>
      </w:r>
      <w:r w:rsidRPr="007A3FB0">
        <w:rPr>
          <w:lang w:val="fr-FR"/>
        </w:rPr>
        <w:t>ascendance africaine, pour améliorer effectivement la situation dans ce domaine</w:t>
      </w:r>
      <w:r w:rsidRPr="00CD6B67">
        <w:rPr>
          <w:rStyle w:val="FootnoteReference"/>
        </w:rPr>
        <w:footnoteReference w:id="164"/>
      </w:r>
      <w:r>
        <w:rPr>
          <w:lang w:val="fr-FR"/>
        </w:rPr>
        <w:t>.</w:t>
      </w:r>
    </w:p>
    <w:p w14:paraId="25EDD844" w14:textId="00F1D810" w:rsidR="00865E37" w:rsidRPr="00293268" w:rsidRDefault="00865E37" w:rsidP="0088036D">
      <w:pPr>
        <w:pStyle w:val="SingleTxtG"/>
        <w:spacing w:line="236" w:lineRule="atLeast"/>
        <w:rPr>
          <w:lang w:val="fr-FR"/>
        </w:rPr>
      </w:pPr>
      <w:r w:rsidRPr="00293268">
        <w:rPr>
          <w:lang w:val="fr-FR"/>
        </w:rPr>
        <w:t>52.</w:t>
      </w:r>
      <w:r w:rsidRPr="00293268">
        <w:rPr>
          <w:lang w:val="fr-FR"/>
        </w:rPr>
        <w:tab/>
      </w:r>
      <w:r w:rsidRPr="001D75BB">
        <w:rPr>
          <w:lang w:val="fr-FR"/>
        </w:rPr>
        <w:t>En ce qui concerne les mesures législatives, plusieurs États, notamment en Amérique latine, ont reconnu expressément les personnes d</w:t>
      </w:r>
      <w:r>
        <w:rPr>
          <w:lang w:val="fr-FR"/>
        </w:rPr>
        <w:t>’</w:t>
      </w:r>
      <w:r w:rsidRPr="001D75BB">
        <w:rPr>
          <w:lang w:val="fr-FR"/>
        </w:rPr>
        <w:t>ascendance africaine</w:t>
      </w:r>
      <w:r w:rsidRPr="00DF4EA0">
        <w:rPr>
          <w:lang w:val="fr-FR"/>
        </w:rPr>
        <w:t xml:space="preserve"> </w:t>
      </w:r>
      <w:r w:rsidRPr="000D4B02">
        <w:rPr>
          <w:lang w:val="fr-FR"/>
        </w:rPr>
        <w:t>dans leur</w:t>
      </w:r>
      <w:r>
        <w:rPr>
          <w:lang w:val="fr-FR"/>
        </w:rPr>
        <w:t>s</w:t>
      </w:r>
      <w:r w:rsidRPr="000D4B02">
        <w:rPr>
          <w:lang w:val="fr-FR"/>
        </w:rPr>
        <w:t xml:space="preserve"> constitution</w:t>
      </w:r>
      <w:r>
        <w:rPr>
          <w:lang w:val="fr-FR"/>
        </w:rPr>
        <w:t>s</w:t>
      </w:r>
      <w:r w:rsidRPr="000D4B02">
        <w:rPr>
          <w:lang w:val="fr-FR"/>
        </w:rPr>
        <w:t xml:space="preserve"> ou leur législation</w:t>
      </w:r>
      <w:r w:rsidRPr="001D75BB">
        <w:rPr>
          <w:lang w:val="fr-FR"/>
        </w:rPr>
        <w:t xml:space="preserve">, </w:t>
      </w:r>
      <w:r>
        <w:rPr>
          <w:lang w:val="fr-FR"/>
        </w:rPr>
        <w:t xml:space="preserve">de même que </w:t>
      </w:r>
      <w:r w:rsidRPr="001D75BB">
        <w:rPr>
          <w:lang w:val="fr-FR"/>
        </w:rPr>
        <w:t>leurs droits, leur identité et leur culture</w:t>
      </w:r>
      <w:r w:rsidRPr="00CD6B67">
        <w:rPr>
          <w:rStyle w:val="FootnoteReference"/>
        </w:rPr>
        <w:footnoteReference w:id="165"/>
      </w:r>
      <w:r w:rsidRPr="00293268">
        <w:rPr>
          <w:lang w:val="fr-FR"/>
        </w:rPr>
        <w:t xml:space="preserve"> </w:t>
      </w:r>
      <w:r w:rsidRPr="00EC4435">
        <w:rPr>
          <w:lang w:val="fr-FR"/>
        </w:rPr>
        <w:t>et ont adopté des lois pour prévenir et sanctionner la discrimination raciale</w:t>
      </w:r>
      <w:r w:rsidRPr="00293268">
        <w:rPr>
          <w:lang w:val="fr-FR"/>
        </w:rPr>
        <w:t xml:space="preserve">. </w:t>
      </w:r>
      <w:r w:rsidRPr="009658B9">
        <w:rPr>
          <w:lang w:val="fr-FR"/>
        </w:rPr>
        <w:t xml:space="preserve">Par exemple, </w:t>
      </w:r>
      <w:r>
        <w:rPr>
          <w:lang w:val="fr-FR"/>
        </w:rPr>
        <w:t>dans sa d</w:t>
      </w:r>
      <w:r w:rsidRPr="009658B9">
        <w:rPr>
          <w:lang w:val="fr-FR"/>
        </w:rPr>
        <w:t>écision-cadre de 2008 sur la lutte contre certaines formes et manifestations de racisme et de xénophobie au moyen du droit pénal</w:t>
      </w:r>
      <w:r>
        <w:rPr>
          <w:lang w:val="fr-FR"/>
        </w:rPr>
        <w:t>,</w:t>
      </w:r>
      <w:r w:rsidRPr="009658B9">
        <w:rPr>
          <w:lang w:val="fr-FR"/>
        </w:rPr>
        <w:t xml:space="preserve"> l</w:t>
      </w:r>
      <w:r>
        <w:rPr>
          <w:lang w:val="fr-FR"/>
        </w:rPr>
        <w:t>’</w:t>
      </w:r>
      <w:r w:rsidRPr="009658B9">
        <w:rPr>
          <w:lang w:val="fr-FR"/>
        </w:rPr>
        <w:t>Union européenne exige des États membres qu</w:t>
      </w:r>
      <w:r>
        <w:rPr>
          <w:lang w:val="fr-FR"/>
        </w:rPr>
        <w:t>’</w:t>
      </w:r>
      <w:r w:rsidRPr="009658B9">
        <w:rPr>
          <w:lang w:val="fr-FR"/>
        </w:rPr>
        <w:t>ils érigent en infraction pénale l</w:t>
      </w:r>
      <w:r>
        <w:rPr>
          <w:lang w:val="fr-FR"/>
        </w:rPr>
        <w:t>’</w:t>
      </w:r>
      <w:r w:rsidRPr="009658B9">
        <w:rPr>
          <w:lang w:val="fr-FR"/>
        </w:rPr>
        <w:t>incitation publique à la violence ou à la haine à l</w:t>
      </w:r>
      <w:r>
        <w:rPr>
          <w:lang w:val="fr-FR"/>
        </w:rPr>
        <w:t>’</w:t>
      </w:r>
      <w:r w:rsidRPr="009658B9">
        <w:rPr>
          <w:lang w:val="fr-FR"/>
        </w:rPr>
        <w:t>égard d</w:t>
      </w:r>
      <w:r>
        <w:rPr>
          <w:lang w:val="fr-FR"/>
        </w:rPr>
        <w:t>’</w:t>
      </w:r>
      <w:r w:rsidRPr="009658B9">
        <w:rPr>
          <w:lang w:val="fr-FR"/>
        </w:rPr>
        <w:t>une personne en raison de sa race, de sa couleur, de sa religion, de son ascendance ou de son origine nationale ou ethnique, y compris lorsqu</w:t>
      </w:r>
      <w:r>
        <w:rPr>
          <w:lang w:val="fr-FR"/>
        </w:rPr>
        <w:t>’</w:t>
      </w:r>
      <w:r w:rsidRPr="009658B9">
        <w:rPr>
          <w:lang w:val="fr-FR"/>
        </w:rPr>
        <w:t>elle est commise en ligne</w:t>
      </w:r>
      <w:r w:rsidRPr="00CD6B67">
        <w:rPr>
          <w:rStyle w:val="FootnoteReference"/>
        </w:rPr>
        <w:footnoteReference w:id="166"/>
      </w:r>
      <w:r>
        <w:rPr>
          <w:lang w:val="fr-FR"/>
        </w:rPr>
        <w:t>.</w:t>
      </w:r>
      <w:r w:rsidRPr="00293268">
        <w:rPr>
          <w:lang w:val="fr-FR"/>
        </w:rPr>
        <w:t xml:space="preserve"> </w:t>
      </w:r>
      <w:r w:rsidRPr="006E6272">
        <w:rPr>
          <w:lang w:val="fr-FR"/>
        </w:rPr>
        <w:t>Si la directive de 2000 sur l</w:t>
      </w:r>
      <w:r>
        <w:rPr>
          <w:lang w:val="fr-FR"/>
        </w:rPr>
        <w:t>’</w:t>
      </w:r>
      <w:r w:rsidRPr="006E6272">
        <w:rPr>
          <w:lang w:val="fr-FR"/>
        </w:rPr>
        <w:t xml:space="preserve">égalité raciale interdit expressément la discrimination raciale et </w:t>
      </w:r>
      <w:r>
        <w:rPr>
          <w:lang w:val="fr-FR"/>
        </w:rPr>
        <w:t>protège</w:t>
      </w:r>
      <w:r w:rsidRPr="006E6272">
        <w:rPr>
          <w:lang w:val="fr-FR"/>
        </w:rPr>
        <w:t xml:space="preserve"> contre la discrimination fondée sur la race ou l</w:t>
      </w:r>
      <w:r>
        <w:rPr>
          <w:lang w:val="fr-FR"/>
        </w:rPr>
        <w:t>’</w:t>
      </w:r>
      <w:r w:rsidRPr="006E6272">
        <w:rPr>
          <w:lang w:val="fr-FR"/>
        </w:rPr>
        <w:t xml:space="preserve">origine ethnique </w:t>
      </w:r>
      <w:r>
        <w:rPr>
          <w:lang w:val="fr-FR"/>
        </w:rPr>
        <w:t>dans l’</w:t>
      </w:r>
      <w:r w:rsidRPr="006E6272">
        <w:rPr>
          <w:lang w:val="fr-FR"/>
        </w:rPr>
        <w:t xml:space="preserve">emploi, </w:t>
      </w:r>
      <w:r>
        <w:rPr>
          <w:lang w:val="fr-FR"/>
        </w:rPr>
        <w:t>l’</w:t>
      </w:r>
      <w:r w:rsidRPr="006E6272">
        <w:rPr>
          <w:lang w:val="fr-FR"/>
        </w:rPr>
        <w:t xml:space="preserve">éducation, </w:t>
      </w:r>
      <w:r>
        <w:rPr>
          <w:lang w:val="fr-FR"/>
        </w:rPr>
        <w:t>la</w:t>
      </w:r>
      <w:r w:rsidRPr="006E6272">
        <w:rPr>
          <w:lang w:val="fr-FR"/>
        </w:rPr>
        <w:t xml:space="preserve"> protection sociale et </w:t>
      </w:r>
      <w:r>
        <w:rPr>
          <w:lang w:val="fr-FR"/>
        </w:rPr>
        <w:t>l’</w:t>
      </w:r>
      <w:r w:rsidRPr="006E6272">
        <w:rPr>
          <w:lang w:val="fr-FR"/>
        </w:rPr>
        <w:t xml:space="preserve">accès aux biens et services, elle </w:t>
      </w:r>
      <w:r>
        <w:rPr>
          <w:lang w:val="fr-FR"/>
        </w:rPr>
        <w:t>ne vise pas le</w:t>
      </w:r>
      <w:r w:rsidRPr="006E6272">
        <w:rPr>
          <w:lang w:val="fr-FR"/>
        </w:rPr>
        <w:t xml:space="preserve"> comportement des forces de l</w:t>
      </w:r>
      <w:r>
        <w:rPr>
          <w:lang w:val="fr-FR"/>
        </w:rPr>
        <w:t>’</w:t>
      </w:r>
      <w:r w:rsidRPr="006E6272">
        <w:rPr>
          <w:lang w:val="fr-FR"/>
        </w:rPr>
        <w:t>ordre</w:t>
      </w:r>
      <w:r>
        <w:rPr>
          <w:lang w:val="fr-FR"/>
        </w:rPr>
        <w:t>, pas plus qu’elle n’engage à lutter contre le</w:t>
      </w:r>
      <w:r w:rsidRPr="006E6272">
        <w:rPr>
          <w:lang w:val="fr-FR"/>
        </w:rPr>
        <w:t xml:space="preserve"> racisme systémique</w:t>
      </w:r>
      <w:r w:rsidRPr="00CD6B67">
        <w:rPr>
          <w:rStyle w:val="FootnoteReference"/>
        </w:rPr>
        <w:footnoteReference w:id="167"/>
      </w:r>
      <w:r>
        <w:rPr>
          <w:lang w:val="fr-FR"/>
        </w:rPr>
        <w:t>. En outre, selon des</w:t>
      </w:r>
      <w:r w:rsidRPr="00834847">
        <w:rPr>
          <w:lang w:val="fr-FR"/>
        </w:rPr>
        <w:t xml:space="preserve"> </w:t>
      </w:r>
      <w:r>
        <w:rPr>
          <w:lang w:val="fr-FR"/>
        </w:rPr>
        <w:t xml:space="preserve">informations, tout porte à croire </w:t>
      </w:r>
      <w:r w:rsidRPr="00834847">
        <w:rPr>
          <w:lang w:val="fr-FR"/>
        </w:rPr>
        <w:t>que la directive n</w:t>
      </w:r>
      <w:r>
        <w:rPr>
          <w:lang w:val="fr-FR"/>
        </w:rPr>
        <w:t>’</w:t>
      </w:r>
      <w:r w:rsidRPr="00834847">
        <w:rPr>
          <w:lang w:val="fr-FR"/>
        </w:rPr>
        <w:t xml:space="preserve">est pas suffisamment </w:t>
      </w:r>
      <w:r>
        <w:rPr>
          <w:lang w:val="fr-FR"/>
        </w:rPr>
        <w:t>appliquée</w:t>
      </w:r>
      <w:r w:rsidRPr="00CD6B67">
        <w:rPr>
          <w:rStyle w:val="FootnoteReference"/>
        </w:rPr>
        <w:footnoteReference w:id="168"/>
      </w:r>
      <w:r>
        <w:rPr>
          <w:lang w:val="fr-FR"/>
        </w:rPr>
        <w:t xml:space="preserve">. </w:t>
      </w:r>
      <w:r w:rsidRPr="00902929">
        <w:rPr>
          <w:lang w:val="fr-FR"/>
        </w:rPr>
        <w:t>En</w:t>
      </w:r>
      <w:r w:rsidR="000421C2">
        <w:rPr>
          <w:lang w:val="fr-FR"/>
        </w:rPr>
        <w:t> </w:t>
      </w:r>
      <w:r w:rsidRPr="00902929">
        <w:rPr>
          <w:lang w:val="fr-FR"/>
        </w:rPr>
        <w:t xml:space="preserve">Amérique latine, </w:t>
      </w:r>
      <w:r w:rsidRPr="002B56BC">
        <w:rPr>
          <w:lang w:val="fr-FR"/>
        </w:rPr>
        <w:t xml:space="preserve">selon les informations recueillies, </w:t>
      </w:r>
      <w:r w:rsidRPr="00902929">
        <w:rPr>
          <w:lang w:val="fr-FR"/>
        </w:rPr>
        <w:t>le cadre juridique protégeant les droits des personnes d</w:t>
      </w:r>
      <w:r>
        <w:rPr>
          <w:lang w:val="fr-FR"/>
        </w:rPr>
        <w:t>’</w:t>
      </w:r>
      <w:r w:rsidRPr="00902929">
        <w:rPr>
          <w:lang w:val="fr-FR"/>
        </w:rPr>
        <w:t>ascendance africaine demeurait</w:t>
      </w:r>
      <w:r w:rsidRPr="00DF4EA0">
        <w:rPr>
          <w:lang w:val="fr-FR"/>
        </w:rPr>
        <w:t xml:space="preserve"> </w:t>
      </w:r>
      <w:r w:rsidRPr="00F11879">
        <w:rPr>
          <w:lang w:val="fr-FR"/>
        </w:rPr>
        <w:t>fragmentaire et incomplet,</w:t>
      </w:r>
      <w:r w:rsidRPr="00902929">
        <w:rPr>
          <w:lang w:val="fr-FR"/>
        </w:rPr>
        <w:t xml:space="preserve"> avec une capacité d</w:t>
      </w:r>
      <w:r>
        <w:rPr>
          <w:lang w:val="fr-FR"/>
        </w:rPr>
        <w:t>’</w:t>
      </w:r>
      <w:r w:rsidRPr="00902929">
        <w:rPr>
          <w:lang w:val="fr-FR"/>
        </w:rPr>
        <w:t>application limitée</w:t>
      </w:r>
      <w:r w:rsidRPr="00CD6B67">
        <w:rPr>
          <w:rStyle w:val="FootnoteReference"/>
        </w:rPr>
        <w:footnoteReference w:id="169"/>
      </w:r>
      <w:r>
        <w:rPr>
          <w:lang w:val="fr-FR"/>
        </w:rPr>
        <w:t>.</w:t>
      </w:r>
    </w:p>
    <w:p w14:paraId="308E6313" w14:textId="7C8DBAAE" w:rsidR="00865E37" w:rsidRPr="00293268" w:rsidRDefault="00865E37" w:rsidP="0088036D">
      <w:pPr>
        <w:pStyle w:val="SingleTxtG"/>
        <w:spacing w:line="236" w:lineRule="atLeast"/>
        <w:rPr>
          <w:lang w:val="fr-FR"/>
        </w:rPr>
      </w:pPr>
      <w:r w:rsidRPr="00293268">
        <w:rPr>
          <w:lang w:val="fr-FR"/>
        </w:rPr>
        <w:t>53.</w:t>
      </w:r>
      <w:r w:rsidRPr="00293268">
        <w:rPr>
          <w:lang w:val="fr-FR"/>
        </w:rPr>
        <w:tab/>
      </w:r>
      <w:r w:rsidRPr="00364A8E">
        <w:rPr>
          <w:lang w:val="fr-FR"/>
        </w:rPr>
        <w:t>L</w:t>
      </w:r>
      <w:r>
        <w:rPr>
          <w:lang w:val="fr-FR"/>
        </w:rPr>
        <w:t>’</w:t>
      </w:r>
      <w:r w:rsidRPr="00364A8E">
        <w:rPr>
          <w:lang w:val="fr-FR"/>
        </w:rPr>
        <w:t>Organisation des États américains a adopté la Convention interaméricaine contre le racisme, la discrimination raciale et les formes connexes d</w:t>
      </w:r>
      <w:r>
        <w:rPr>
          <w:lang w:val="fr-FR"/>
        </w:rPr>
        <w:t>’</w:t>
      </w:r>
      <w:r w:rsidRPr="00364A8E">
        <w:rPr>
          <w:lang w:val="fr-FR"/>
        </w:rPr>
        <w:t>intolérance en 2017</w:t>
      </w:r>
      <w:r w:rsidRPr="00CD6B67">
        <w:rPr>
          <w:rStyle w:val="FootnoteReference"/>
        </w:rPr>
        <w:footnoteReference w:id="170"/>
      </w:r>
      <w:r>
        <w:rPr>
          <w:lang w:val="fr-FR"/>
        </w:rPr>
        <w:t>,</w:t>
      </w:r>
      <w:r w:rsidRPr="00293268">
        <w:rPr>
          <w:lang w:val="fr-FR"/>
        </w:rPr>
        <w:t xml:space="preserve"> </w:t>
      </w:r>
      <w:r w:rsidRPr="000D0837">
        <w:rPr>
          <w:lang w:val="fr-FR"/>
        </w:rPr>
        <w:t>ainsi qu</w:t>
      </w:r>
      <w:r>
        <w:rPr>
          <w:lang w:val="fr-FR"/>
        </w:rPr>
        <w:t>’</w:t>
      </w:r>
      <w:r w:rsidRPr="000D0837">
        <w:rPr>
          <w:lang w:val="fr-FR"/>
        </w:rPr>
        <w:t xml:space="preserve">un </w:t>
      </w:r>
      <w:r>
        <w:rPr>
          <w:lang w:val="fr-FR"/>
        </w:rPr>
        <w:t>P</w:t>
      </w:r>
      <w:r w:rsidRPr="000D0837">
        <w:rPr>
          <w:lang w:val="fr-FR"/>
        </w:rPr>
        <w:t>lan d</w:t>
      </w:r>
      <w:r>
        <w:rPr>
          <w:lang w:val="fr-FR"/>
        </w:rPr>
        <w:t>’</w:t>
      </w:r>
      <w:r w:rsidRPr="000D0837">
        <w:rPr>
          <w:lang w:val="fr-FR"/>
        </w:rPr>
        <w:t xml:space="preserve">action pour la Décennie des personnes </w:t>
      </w:r>
      <w:r w:rsidRPr="00140A55">
        <w:rPr>
          <w:lang w:val="fr-FR"/>
        </w:rPr>
        <w:t>d</w:t>
      </w:r>
      <w:r>
        <w:rPr>
          <w:lang w:val="fr-FR"/>
        </w:rPr>
        <w:t>’</w:t>
      </w:r>
      <w:r w:rsidRPr="00140A55">
        <w:rPr>
          <w:lang w:val="fr-FR"/>
        </w:rPr>
        <w:t>ascendance africaine dans les Amériques (2016</w:t>
      </w:r>
      <w:r w:rsidR="0088036D">
        <w:rPr>
          <w:lang w:val="fr-FR"/>
        </w:rPr>
        <w:noBreakHyphen/>
      </w:r>
      <w:r w:rsidRPr="00140A55">
        <w:rPr>
          <w:lang w:val="fr-FR"/>
        </w:rPr>
        <w:t>2025)</w:t>
      </w:r>
      <w:r w:rsidRPr="00CD6B67">
        <w:rPr>
          <w:rStyle w:val="FootnoteReference"/>
        </w:rPr>
        <w:footnoteReference w:id="171"/>
      </w:r>
      <w:r w:rsidRPr="00140A55">
        <w:rPr>
          <w:lang w:val="fr-FR"/>
        </w:rPr>
        <w:t>. Ledit plan  réaffirme l</w:t>
      </w:r>
      <w:r>
        <w:rPr>
          <w:lang w:val="fr-FR"/>
        </w:rPr>
        <w:t>’</w:t>
      </w:r>
      <w:r w:rsidRPr="00140A55">
        <w:rPr>
          <w:lang w:val="fr-FR"/>
        </w:rPr>
        <w:t>engagement des États membres à combattre le racisme et à lutter contre toutes ses manifestations individuelles, structurelles et institutionnelles</w:t>
      </w:r>
      <w:r w:rsidRPr="00CD6B67">
        <w:rPr>
          <w:rStyle w:val="FootnoteReference"/>
        </w:rPr>
        <w:footnoteReference w:id="172"/>
      </w:r>
      <w:r w:rsidRPr="00140A55">
        <w:rPr>
          <w:lang w:val="fr-FR"/>
        </w:rPr>
        <w:t xml:space="preserve"> et renforce les engagements pris dans le cadre du Consensus</w:t>
      </w:r>
      <w:r w:rsidRPr="00B0283C">
        <w:rPr>
          <w:lang w:val="fr-FR"/>
        </w:rPr>
        <w:t xml:space="preserve"> de Montevideo de 2013 sur la population et le développement en Amérique latine et dans les Caraïbes</w:t>
      </w:r>
      <w:r w:rsidRPr="00CD6B67">
        <w:rPr>
          <w:rStyle w:val="FootnoteReference"/>
        </w:rPr>
        <w:footnoteReference w:id="173"/>
      </w:r>
      <w:r w:rsidRPr="00293268">
        <w:rPr>
          <w:lang w:val="fr-FR"/>
        </w:rPr>
        <w:t xml:space="preserve"> </w:t>
      </w:r>
      <w:r w:rsidRPr="00E14283">
        <w:rPr>
          <w:lang w:val="fr-FR"/>
        </w:rPr>
        <w:t>de s</w:t>
      </w:r>
      <w:r>
        <w:rPr>
          <w:lang w:val="fr-FR"/>
        </w:rPr>
        <w:t>’</w:t>
      </w:r>
      <w:r w:rsidRPr="00E14283">
        <w:rPr>
          <w:lang w:val="fr-FR"/>
        </w:rPr>
        <w:t>attaquer aux facteurs structurels tels que le racisme qui entravent l</w:t>
      </w:r>
      <w:r>
        <w:rPr>
          <w:lang w:val="fr-FR"/>
        </w:rPr>
        <w:t>’</w:t>
      </w:r>
      <w:r w:rsidRPr="00E14283">
        <w:rPr>
          <w:lang w:val="fr-FR"/>
        </w:rPr>
        <w:t>exercice, par les personnes d</w:t>
      </w:r>
      <w:r>
        <w:rPr>
          <w:lang w:val="fr-FR"/>
        </w:rPr>
        <w:t>’</w:t>
      </w:r>
      <w:r w:rsidRPr="00E14283">
        <w:rPr>
          <w:lang w:val="fr-FR"/>
        </w:rPr>
        <w:t>ascendance africaine, des droits qui leur sont reconnus</w:t>
      </w:r>
      <w:r w:rsidRPr="00CD6B67">
        <w:rPr>
          <w:rStyle w:val="FootnoteReference"/>
        </w:rPr>
        <w:footnoteReference w:id="174"/>
      </w:r>
      <w:r>
        <w:rPr>
          <w:lang w:val="fr-FR"/>
        </w:rPr>
        <w:t>.</w:t>
      </w:r>
    </w:p>
    <w:p w14:paraId="617B967C" w14:textId="13F7026E" w:rsidR="00865E37" w:rsidRPr="00293268" w:rsidRDefault="00865E37" w:rsidP="00865E37">
      <w:pPr>
        <w:pStyle w:val="SingleTxtG"/>
        <w:rPr>
          <w:b/>
          <w:bCs/>
          <w:lang w:val="fr-FR"/>
        </w:rPr>
      </w:pPr>
      <w:r w:rsidRPr="00293268">
        <w:rPr>
          <w:lang w:val="fr-FR"/>
        </w:rPr>
        <w:t>54.</w:t>
      </w:r>
      <w:r w:rsidRPr="00293268">
        <w:rPr>
          <w:lang w:val="fr-FR"/>
        </w:rPr>
        <w:tab/>
      </w:r>
      <w:r>
        <w:rPr>
          <w:lang w:val="fr-FR"/>
        </w:rPr>
        <w:t>Des</w:t>
      </w:r>
      <w:r w:rsidRPr="00185A9F">
        <w:rPr>
          <w:lang w:val="fr-FR"/>
        </w:rPr>
        <w:t xml:space="preserve"> États ont adopté des plans d</w:t>
      </w:r>
      <w:r>
        <w:rPr>
          <w:lang w:val="fr-FR"/>
        </w:rPr>
        <w:t>’</w:t>
      </w:r>
      <w:r w:rsidRPr="00185A9F">
        <w:rPr>
          <w:lang w:val="fr-FR"/>
        </w:rPr>
        <w:t xml:space="preserve">action nationaux et des politiques </w:t>
      </w:r>
      <w:r>
        <w:rPr>
          <w:lang w:val="fr-FR"/>
        </w:rPr>
        <w:t>qui concernent les</w:t>
      </w:r>
      <w:r w:rsidRPr="00185A9F">
        <w:rPr>
          <w:lang w:val="fr-FR"/>
        </w:rPr>
        <w:t xml:space="preserve"> personnes d</w:t>
      </w:r>
      <w:r>
        <w:rPr>
          <w:lang w:val="fr-FR"/>
        </w:rPr>
        <w:t>’</w:t>
      </w:r>
      <w:r w:rsidRPr="00185A9F">
        <w:rPr>
          <w:lang w:val="fr-FR"/>
        </w:rPr>
        <w:t>ascendance africaine ou accord</w:t>
      </w:r>
      <w:r>
        <w:rPr>
          <w:lang w:val="fr-FR"/>
        </w:rPr>
        <w:t>e</w:t>
      </w:r>
      <w:r w:rsidRPr="00185A9F">
        <w:rPr>
          <w:lang w:val="fr-FR"/>
        </w:rPr>
        <w:t>nt une attention particulière à leurs besoins</w:t>
      </w:r>
      <w:r w:rsidRPr="00CD6B67">
        <w:rPr>
          <w:rStyle w:val="FootnoteReference"/>
        </w:rPr>
        <w:footnoteReference w:id="175"/>
      </w:r>
      <w:r w:rsidRPr="00185A9F">
        <w:rPr>
          <w:lang w:val="fr-FR"/>
        </w:rPr>
        <w:t xml:space="preserve"> et certains pays, notamment en Europe, reconnaissent que </w:t>
      </w:r>
      <w:r>
        <w:rPr>
          <w:lang w:val="fr-FR"/>
        </w:rPr>
        <w:t>ces personnes</w:t>
      </w:r>
      <w:r w:rsidRPr="00185A9F">
        <w:rPr>
          <w:lang w:val="fr-FR"/>
        </w:rPr>
        <w:t xml:space="preserve"> sont victimes de racisme et de discrimination raciale</w:t>
      </w:r>
      <w:r w:rsidRPr="00CD6B67">
        <w:rPr>
          <w:rStyle w:val="FootnoteReference"/>
        </w:rPr>
        <w:footnoteReference w:id="176"/>
      </w:r>
      <w:r>
        <w:rPr>
          <w:lang w:val="fr-FR"/>
        </w:rPr>
        <w:t>.</w:t>
      </w:r>
      <w:r w:rsidRPr="00293268">
        <w:rPr>
          <w:lang w:val="fr-FR"/>
        </w:rPr>
        <w:t xml:space="preserve"> </w:t>
      </w:r>
      <w:r>
        <w:rPr>
          <w:lang w:val="fr-FR"/>
        </w:rPr>
        <w:t>Des</w:t>
      </w:r>
      <w:r w:rsidRPr="00AB0131">
        <w:rPr>
          <w:lang w:val="fr-FR"/>
        </w:rPr>
        <w:t xml:space="preserve"> États ont institué des journées officielles pour commémorer l</w:t>
      </w:r>
      <w:r>
        <w:rPr>
          <w:lang w:val="fr-FR"/>
        </w:rPr>
        <w:t>’</w:t>
      </w:r>
      <w:r w:rsidRPr="00AB0131">
        <w:rPr>
          <w:lang w:val="fr-FR"/>
        </w:rPr>
        <w:t>abolition de l</w:t>
      </w:r>
      <w:r>
        <w:rPr>
          <w:lang w:val="fr-FR"/>
        </w:rPr>
        <w:t>’</w:t>
      </w:r>
      <w:r w:rsidRPr="00AB0131">
        <w:rPr>
          <w:lang w:val="fr-FR"/>
        </w:rPr>
        <w:t xml:space="preserve">esclavage et </w:t>
      </w:r>
      <w:r>
        <w:rPr>
          <w:lang w:val="fr-FR"/>
        </w:rPr>
        <w:t>mené</w:t>
      </w:r>
      <w:r w:rsidRPr="00AB0131">
        <w:rPr>
          <w:lang w:val="fr-FR"/>
        </w:rPr>
        <w:t xml:space="preserve"> des activités visant à reconnaître la contribution des personnes d</w:t>
      </w:r>
      <w:r>
        <w:rPr>
          <w:lang w:val="fr-FR"/>
        </w:rPr>
        <w:t>’</w:t>
      </w:r>
      <w:r w:rsidRPr="00AB0131">
        <w:rPr>
          <w:lang w:val="fr-FR"/>
        </w:rPr>
        <w:t xml:space="preserve">ascendance africaine et à promouvoir leur culture et leur </w:t>
      </w:r>
      <w:r>
        <w:rPr>
          <w:lang w:val="fr-FR"/>
        </w:rPr>
        <w:t>patrimoine</w:t>
      </w:r>
      <w:r w:rsidRPr="00CD6B67">
        <w:rPr>
          <w:rStyle w:val="FootnoteReference"/>
        </w:rPr>
        <w:footnoteReference w:id="177"/>
      </w:r>
      <w:r>
        <w:rPr>
          <w:lang w:val="fr-FR"/>
        </w:rPr>
        <w:t>,</w:t>
      </w:r>
      <w:r w:rsidRPr="00293268">
        <w:rPr>
          <w:lang w:val="fr-FR"/>
        </w:rPr>
        <w:t xml:space="preserve"> </w:t>
      </w:r>
      <w:r w:rsidRPr="00EA05E2">
        <w:rPr>
          <w:lang w:val="fr-FR"/>
        </w:rPr>
        <w:t>tandis que plusieurs États ont cherché à garantir l</w:t>
      </w:r>
      <w:r>
        <w:rPr>
          <w:lang w:val="fr-FR"/>
        </w:rPr>
        <w:t>’</w:t>
      </w:r>
      <w:r w:rsidRPr="00EA05E2">
        <w:rPr>
          <w:lang w:val="fr-FR"/>
        </w:rPr>
        <w:t xml:space="preserve">enseignement de leur histoire et de leur culture </w:t>
      </w:r>
      <w:r>
        <w:rPr>
          <w:lang w:val="fr-FR"/>
        </w:rPr>
        <w:t>à l’école</w:t>
      </w:r>
      <w:r w:rsidRPr="00CD6B67">
        <w:rPr>
          <w:rStyle w:val="FootnoteReference"/>
        </w:rPr>
        <w:footnoteReference w:id="178"/>
      </w:r>
      <w:r>
        <w:rPr>
          <w:lang w:val="fr-FR"/>
        </w:rPr>
        <w:t>.</w:t>
      </w:r>
      <w:r w:rsidRPr="00293268">
        <w:rPr>
          <w:vertAlign w:val="superscript"/>
          <w:lang w:val="fr-FR"/>
        </w:rPr>
        <w:t xml:space="preserve"> </w:t>
      </w:r>
      <w:r w:rsidRPr="00547F27">
        <w:rPr>
          <w:lang w:val="fr-FR"/>
        </w:rPr>
        <w:t>Au niveau régional, le premier plan d</w:t>
      </w:r>
      <w:r>
        <w:rPr>
          <w:lang w:val="fr-FR"/>
        </w:rPr>
        <w:t>’</w:t>
      </w:r>
      <w:r w:rsidRPr="00547F27">
        <w:rPr>
          <w:lang w:val="fr-FR"/>
        </w:rPr>
        <w:t>action antiraciste de l</w:t>
      </w:r>
      <w:r>
        <w:rPr>
          <w:lang w:val="fr-FR"/>
        </w:rPr>
        <w:t>’</w:t>
      </w:r>
      <w:r w:rsidRPr="00547F27">
        <w:rPr>
          <w:lang w:val="fr-FR"/>
        </w:rPr>
        <w:t xml:space="preserve">Union européenne pour 2020-2025 reconnaît </w:t>
      </w:r>
      <w:r>
        <w:rPr>
          <w:lang w:val="fr-FR"/>
        </w:rPr>
        <w:t>et admet l’existence d’un</w:t>
      </w:r>
      <w:r w:rsidRPr="00547F27">
        <w:rPr>
          <w:lang w:val="fr-FR"/>
        </w:rPr>
        <w:t xml:space="preserve"> </w:t>
      </w:r>
      <w:r>
        <w:rPr>
          <w:lang w:val="fr-FR"/>
        </w:rPr>
        <w:t>« </w:t>
      </w:r>
      <w:r w:rsidRPr="00547F27">
        <w:rPr>
          <w:lang w:val="fr-FR"/>
        </w:rPr>
        <w:t>racisme anti-noir</w:t>
      </w:r>
      <w:r>
        <w:rPr>
          <w:lang w:val="fr-FR"/>
        </w:rPr>
        <w:t xml:space="preserve">s » </w:t>
      </w:r>
      <w:r w:rsidRPr="00547F27">
        <w:rPr>
          <w:lang w:val="fr-FR"/>
        </w:rPr>
        <w:t>et d</w:t>
      </w:r>
      <w:r>
        <w:rPr>
          <w:lang w:val="fr-FR"/>
        </w:rPr>
        <w:t>’</w:t>
      </w:r>
      <w:r w:rsidRPr="00547F27">
        <w:rPr>
          <w:lang w:val="fr-FR"/>
        </w:rPr>
        <w:t>un racisme structurel</w:t>
      </w:r>
      <w:r w:rsidRPr="00CD6B67">
        <w:rPr>
          <w:rStyle w:val="FootnoteReference"/>
        </w:rPr>
        <w:footnoteReference w:id="179"/>
      </w:r>
      <w:r>
        <w:rPr>
          <w:lang w:val="fr-FR"/>
        </w:rPr>
        <w:t>.</w:t>
      </w:r>
      <w:r w:rsidRPr="00293268">
        <w:rPr>
          <w:lang w:val="fr-FR"/>
        </w:rPr>
        <w:t xml:space="preserve"> </w:t>
      </w:r>
      <w:r w:rsidRPr="00D33D71">
        <w:rPr>
          <w:lang w:val="fr-FR"/>
        </w:rPr>
        <w:t xml:space="preserve">En outre, le Parlement européen a adopté en 2019 une résolution appelant les États membres </w:t>
      </w:r>
      <w:r>
        <w:rPr>
          <w:lang w:val="fr-FR"/>
        </w:rPr>
        <w:t xml:space="preserve">« </w:t>
      </w:r>
      <w:r w:rsidRPr="00D33D71">
        <w:rPr>
          <w:lang w:val="fr-FR"/>
        </w:rPr>
        <w:t>à dénoncer et à décourager le maintien de traditions racistes et afrophobes</w:t>
      </w:r>
      <w:r>
        <w:rPr>
          <w:lang w:val="fr-FR"/>
        </w:rPr>
        <w:t xml:space="preserve"> »</w:t>
      </w:r>
      <w:r w:rsidRPr="00D33D71">
        <w:rPr>
          <w:lang w:val="fr-FR"/>
        </w:rPr>
        <w:t xml:space="preserve"> et </w:t>
      </w:r>
      <w:r>
        <w:rPr>
          <w:lang w:val="fr-FR"/>
        </w:rPr>
        <w:t>invité les</w:t>
      </w:r>
      <w:r w:rsidRPr="00D33D71">
        <w:rPr>
          <w:lang w:val="fr-FR"/>
        </w:rPr>
        <w:t xml:space="preserve"> institutions de l</w:t>
      </w:r>
      <w:r>
        <w:rPr>
          <w:lang w:val="fr-FR"/>
        </w:rPr>
        <w:t>’</w:t>
      </w:r>
      <w:r w:rsidRPr="00D33D71">
        <w:rPr>
          <w:lang w:val="fr-FR"/>
        </w:rPr>
        <w:t xml:space="preserve">Union européenne </w:t>
      </w:r>
      <w:r>
        <w:rPr>
          <w:lang w:val="fr-FR"/>
        </w:rPr>
        <w:t>et les États membres à</w:t>
      </w:r>
      <w:r w:rsidRPr="00D33D71">
        <w:rPr>
          <w:lang w:val="fr-FR"/>
        </w:rPr>
        <w:t xml:space="preserve"> lutter contre le racisme structurel à l</w:t>
      </w:r>
      <w:r>
        <w:rPr>
          <w:lang w:val="fr-FR"/>
        </w:rPr>
        <w:t>’</w:t>
      </w:r>
      <w:r w:rsidRPr="00D33D71">
        <w:rPr>
          <w:lang w:val="fr-FR"/>
        </w:rPr>
        <w:t>égard des personnes d</w:t>
      </w:r>
      <w:r>
        <w:rPr>
          <w:lang w:val="fr-FR"/>
        </w:rPr>
        <w:t>’</w:t>
      </w:r>
      <w:r w:rsidRPr="00D33D71">
        <w:rPr>
          <w:lang w:val="fr-FR"/>
        </w:rPr>
        <w:t>ascendance africaine</w:t>
      </w:r>
      <w:r w:rsidRPr="00CD6B67">
        <w:rPr>
          <w:rStyle w:val="FootnoteReference"/>
        </w:rPr>
        <w:footnoteReference w:id="180"/>
      </w:r>
      <w:r>
        <w:rPr>
          <w:lang w:val="fr-FR"/>
        </w:rPr>
        <w:t>, tandis que le premier sommet européen contre le racisme s’est tenu en</w:t>
      </w:r>
      <w:r w:rsidRPr="00293268">
        <w:rPr>
          <w:bCs/>
          <w:lang w:val="fr-FR"/>
        </w:rPr>
        <w:t xml:space="preserve"> 2021</w:t>
      </w:r>
      <w:r w:rsidRPr="00CD6B67">
        <w:rPr>
          <w:rStyle w:val="FootnoteReference"/>
        </w:rPr>
        <w:footnoteReference w:id="181"/>
      </w:r>
      <w:r>
        <w:rPr>
          <w:bCs/>
          <w:lang w:val="fr-FR"/>
        </w:rPr>
        <w:t>.</w:t>
      </w:r>
    </w:p>
    <w:p w14:paraId="5D48F0EE" w14:textId="0D247850" w:rsidR="00865E37" w:rsidRPr="00293268" w:rsidRDefault="00865E37" w:rsidP="00865E37">
      <w:pPr>
        <w:pStyle w:val="SingleTxtG"/>
        <w:rPr>
          <w:lang w:val="fr-FR"/>
        </w:rPr>
      </w:pPr>
      <w:r w:rsidRPr="00293268">
        <w:rPr>
          <w:lang w:val="fr-FR"/>
        </w:rPr>
        <w:t>55.</w:t>
      </w:r>
      <w:r w:rsidRPr="00293268">
        <w:rPr>
          <w:lang w:val="fr-FR"/>
        </w:rPr>
        <w:tab/>
      </w:r>
      <w:r w:rsidRPr="00E04F9A">
        <w:rPr>
          <w:lang w:val="fr-FR"/>
        </w:rPr>
        <w:t>En janvier 2021, le Président des États-Unis a publié un décret soulignant les coûts humains insupportables du racisme systémique et la nécessité de réduire les inégalités frappant les personnes d</w:t>
      </w:r>
      <w:r>
        <w:rPr>
          <w:lang w:val="fr-FR"/>
        </w:rPr>
        <w:t>’</w:t>
      </w:r>
      <w:r w:rsidRPr="00E04F9A">
        <w:rPr>
          <w:lang w:val="fr-FR"/>
        </w:rPr>
        <w:t>ascendance africaine en adoptant une approche globale et systématique</w:t>
      </w:r>
      <w:r w:rsidRPr="00CD6B67">
        <w:rPr>
          <w:rStyle w:val="FootnoteReference"/>
        </w:rPr>
        <w:footnoteReference w:id="182"/>
      </w:r>
      <w:r w:rsidRPr="00293268">
        <w:rPr>
          <w:lang w:val="fr-FR"/>
        </w:rPr>
        <w:t xml:space="preserve"> </w:t>
      </w:r>
      <w:r w:rsidR="00482330">
        <w:rPr>
          <w:lang w:val="fr-FR"/>
        </w:rPr>
        <w:t>−</w:t>
      </w:r>
      <w:r w:rsidRPr="00293268">
        <w:rPr>
          <w:lang w:val="fr-FR"/>
        </w:rPr>
        <w:t xml:space="preserve"> </w:t>
      </w:r>
      <w:r>
        <w:rPr>
          <w:lang w:val="fr-FR"/>
        </w:rPr>
        <w:t xml:space="preserve">donnant ainsi le coup d’envoi à </w:t>
      </w:r>
      <w:r w:rsidRPr="00F038FF">
        <w:rPr>
          <w:lang w:val="fr-FR"/>
        </w:rPr>
        <w:t>un programme d</w:t>
      </w:r>
      <w:r>
        <w:rPr>
          <w:lang w:val="fr-FR"/>
        </w:rPr>
        <w:t>’</w:t>
      </w:r>
      <w:r w:rsidRPr="00F038FF">
        <w:rPr>
          <w:lang w:val="fr-FR"/>
        </w:rPr>
        <w:t>équité raciale dans tous les domaines de l</w:t>
      </w:r>
      <w:r>
        <w:rPr>
          <w:lang w:val="fr-FR"/>
        </w:rPr>
        <w:t>’</w:t>
      </w:r>
      <w:r w:rsidRPr="00F038FF">
        <w:rPr>
          <w:lang w:val="fr-FR"/>
        </w:rPr>
        <w:t xml:space="preserve">action publique </w:t>
      </w:r>
      <w:r w:rsidRPr="00EF0630">
        <w:rPr>
          <w:lang w:val="fr-FR"/>
        </w:rPr>
        <w:t>dont l</w:t>
      </w:r>
      <w:r>
        <w:rPr>
          <w:lang w:val="fr-FR"/>
        </w:rPr>
        <w:t>’</w:t>
      </w:r>
      <w:r w:rsidRPr="00EF0630">
        <w:rPr>
          <w:lang w:val="fr-FR"/>
        </w:rPr>
        <w:t>ambition est à la mesure des possibilités et des difficultés qui existent dans le pays</w:t>
      </w:r>
      <w:r w:rsidRPr="00CD6B67">
        <w:rPr>
          <w:rStyle w:val="FootnoteReference"/>
        </w:rPr>
        <w:footnoteReference w:id="183"/>
      </w:r>
      <w:r>
        <w:rPr>
          <w:lang w:val="fr-FR"/>
        </w:rPr>
        <w:t>.</w:t>
      </w:r>
      <w:r w:rsidRPr="00293268">
        <w:rPr>
          <w:lang w:val="fr-FR"/>
        </w:rPr>
        <w:t xml:space="preserve"> </w:t>
      </w:r>
      <w:r>
        <w:rPr>
          <w:lang w:val="fr-FR"/>
        </w:rPr>
        <w:t>Toujours en</w:t>
      </w:r>
      <w:r w:rsidRPr="00293268">
        <w:rPr>
          <w:lang w:val="fr-FR"/>
        </w:rPr>
        <w:t xml:space="preserve"> 2021, </w:t>
      </w:r>
      <w:r>
        <w:rPr>
          <w:lang w:val="fr-FR"/>
        </w:rPr>
        <w:t>le Président</w:t>
      </w:r>
      <w:r w:rsidRPr="00293268">
        <w:rPr>
          <w:lang w:val="fr-FR"/>
        </w:rPr>
        <w:t xml:space="preserve"> </w:t>
      </w:r>
      <w:r w:rsidRPr="00530678">
        <w:rPr>
          <w:lang w:val="fr-FR"/>
        </w:rPr>
        <w:t>a publié d</w:t>
      </w:r>
      <w:r>
        <w:rPr>
          <w:lang w:val="fr-FR"/>
        </w:rPr>
        <w:t>’</w:t>
      </w:r>
      <w:r w:rsidRPr="00530678">
        <w:rPr>
          <w:lang w:val="fr-FR"/>
        </w:rPr>
        <w:t>autres décrets visant, entre autres</w:t>
      </w:r>
      <w:r>
        <w:rPr>
          <w:lang w:val="fr-FR"/>
        </w:rPr>
        <w:t xml:space="preserve"> objectifs</w:t>
      </w:r>
      <w:r w:rsidRPr="00530678">
        <w:rPr>
          <w:lang w:val="fr-FR"/>
        </w:rPr>
        <w:t>, à lutter contre la discrimination et les inégalités raciales dans divers secteurs</w:t>
      </w:r>
      <w:r w:rsidRPr="00CD6B67">
        <w:rPr>
          <w:rStyle w:val="FootnoteReference"/>
        </w:rPr>
        <w:footnoteReference w:id="184"/>
      </w:r>
      <w:r>
        <w:rPr>
          <w:lang w:val="fr-FR"/>
        </w:rPr>
        <w:t>.</w:t>
      </w:r>
      <w:r w:rsidRPr="00293268">
        <w:rPr>
          <w:lang w:val="fr-FR"/>
        </w:rPr>
        <w:t xml:space="preserve"> </w:t>
      </w:r>
      <w:r w:rsidRPr="009E751F">
        <w:rPr>
          <w:lang w:val="fr-FR"/>
        </w:rPr>
        <w:t>Au Canada, la Stratégie canadienne de lutte contre le racisme 2019</w:t>
      </w:r>
      <w:r w:rsidR="00482330">
        <w:rPr>
          <w:lang w:val="fr-FR"/>
        </w:rPr>
        <w:noBreakHyphen/>
      </w:r>
      <w:r w:rsidRPr="009E751F">
        <w:rPr>
          <w:lang w:val="fr-FR"/>
        </w:rPr>
        <w:t>2022 reconnaît la nécessité de s</w:t>
      </w:r>
      <w:r>
        <w:rPr>
          <w:lang w:val="fr-FR"/>
        </w:rPr>
        <w:t>’</w:t>
      </w:r>
      <w:r w:rsidRPr="009E751F">
        <w:rPr>
          <w:lang w:val="fr-FR"/>
        </w:rPr>
        <w:t>attaquer au racisme systémique et institutionnel et porte création d</w:t>
      </w:r>
      <w:r>
        <w:rPr>
          <w:lang w:val="fr-FR"/>
        </w:rPr>
        <w:t>’</w:t>
      </w:r>
      <w:r w:rsidRPr="009E751F">
        <w:rPr>
          <w:lang w:val="fr-FR"/>
        </w:rPr>
        <w:t>un nouveau secrétariat chargé de la lutte contre le racisme qui sera appuyé par les c</w:t>
      </w:r>
      <w:r>
        <w:rPr>
          <w:lang w:val="fr-FR"/>
        </w:rPr>
        <w:t>ommissions</w:t>
      </w:r>
      <w:r w:rsidRPr="009E751F">
        <w:rPr>
          <w:lang w:val="fr-FR"/>
        </w:rPr>
        <w:t xml:space="preserve"> interministériel</w:t>
      </w:r>
      <w:r>
        <w:rPr>
          <w:lang w:val="fr-FR"/>
        </w:rPr>
        <w:t>le</w:t>
      </w:r>
      <w:r w:rsidRPr="009E751F">
        <w:rPr>
          <w:lang w:val="fr-FR"/>
        </w:rPr>
        <w:t>s existant</w:t>
      </w:r>
      <w:r>
        <w:rPr>
          <w:lang w:val="fr-FR"/>
        </w:rPr>
        <w:t>e</w:t>
      </w:r>
      <w:r w:rsidRPr="009E751F">
        <w:rPr>
          <w:lang w:val="fr-FR"/>
        </w:rPr>
        <w:t xml:space="preserve">s et pilotera une approche pangouvernementale de lutte contre le racisme, </w:t>
      </w:r>
      <w:r>
        <w:rPr>
          <w:lang w:val="fr-FR"/>
        </w:rPr>
        <w:t>partant du principe</w:t>
      </w:r>
      <w:r w:rsidRPr="009E751F">
        <w:rPr>
          <w:lang w:val="fr-FR"/>
        </w:rPr>
        <w:t xml:space="preserve"> que «</w:t>
      </w:r>
      <w:r w:rsidR="00482330">
        <w:rPr>
          <w:lang w:val="fr-FR"/>
        </w:rPr>
        <w:t> </w:t>
      </w:r>
      <w:r w:rsidRPr="009E751F">
        <w:rPr>
          <w:lang w:val="fr-FR"/>
        </w:rPr>
        <w:t xml:space="preserve">le racisme </w:t>
      </w:r>
      <w:r>
        <w:rPr>
          <w:lang w:val="fr-FR"/>
        </w:rPr>
        <w:t xml:space="preserve">envers les </w:t>
      </w:r>
      <w:r w:rsidRPr="009E751F">
        <w:rPr>
          <w:lang w:val="fr-FR"/>
        </w:rPr>
        <w:t>Noirs est profondément enraciné dans les institutions, les politiques et les pratiques canadiennes, de sorte qu</w:t>
      </w:r>
      <w:r>
        <w:rPr>
          <w:lang w:val="fr-FR"/>
        </w:rPr>
        <w:t>’</w:t>
      </w:r>
      <w:r w:rsidRPr="009E751F">
        <w:rPr>
          <w:lang w:val="fr-FR"/>
        </w:rPr>
        <w:t>il est fonctionnellement normalisé ou rendu invisible à l</w:t>
      </w:r>
      <w:r>
        <w:rPr>
          <w:lang w:val="fr-FR"/>
        </w:rPr>
        <w:t>’</w:t>
      </w:r>
      <w:r w:rsidRPr="009E751F">
        <w:rPr>
          <w:lang w:val="fr-FR"/>
        </w:rPr>
        <w:t>ensemble de la société blanche</w:t>
      </w:r>
      <w:r w:rsidR="00482330">
        <w:rPr>
          <w:lang w:val="fr-FR"/>
        </w:rPr>
        <w:t> </w:t>
      </w:r>
      <w:r w:rsidRPr="009E751F">
        <w:rPr>
          <w:lang w:val="fr-FR"/>
        </w:rPr>
        <w:t>»</w:t>
      </w:r>
      <w:r w:rsidRPr="00CD6B67" w:rsidDel="006E6C33">
        <w:rPr>
          <w:rStyle w:val="FootnoteReference"/>
        </w:rPr>
        <w:footnoteReference w:id="185"/>
      </w:r>
      <w:r>
        <w:rPr>
          <w:lang w:val="fr-FR"/>
        </w:rPr>
        <w:t>.</w:t>
      </w:r>
    </w:p>
    <w:p w14:paraId="524FCB27" w14:textId="5303B7C0" w:rsidR="00865E37" w:rsidRPr="00293268" w:rsidRDefault="00865E37" w:rsidP="00865E37">
      <w:pPr>
        <w:pStyle w:val="SingleTxtG"/>
        <w:rPr>
          <w:lang w:val="fr-FR"/>
        </w:rPr>
      </w:pPr>
      <w:r w:rsidRPr="00293268">
        <w:rPr>
          <w:lang w:val="fr-FR"/>
        </w:rPr>
        <w:t>56.</w:t>
      </w:r>
      <w:r w:rsidRPr="00293268">
        <w:rPr>
          <w:lang w:val="fr-FR"/>
        </w:rPr>
        <w:tab/>
      </w:r>
      <w:r w:rsidRPr="003F32DA">
        <w:rPr>
          <w:lang w:val="fr-FR"/>
        </w:rPr>
        <w:t>Outre les exemples ci-dessus</w:t>
      </w:r>
      <w:r w:rsidRPr="002A6534">
        <w:rPr>
          <w:lang w:val="fr-FR"/>
        </w:rPr>
        <w:t>, le manque de plans d</w:t>
      </w:r>
      <w:r>
        <w:rPr>
          <w:lang w:val="fr-FR"/>
        </w:rPr>
        <w:t>’</w:t>
      </w:r>
      <w:r w:rsidRPr="002A6534">
        <w:rPr>
          <w:lang w:val="fr-FR"/>
        </w:rPr>
        <w:t xml:space="preserve">action ou de stratégies nationales visant à lutter </w:t>
      </w:r>
      <w:r w:rsidRPr="007B2A2A">
        <w:rPr>
          <w:lang w:val="fr-FR"/>
        </w:rPr>
        <w:t xml:space="preserve">expressément et globalement </w:t>
      </w:r>
      <w:r w:rsidRPr="002A6534">
        <w:rPr>
          <w:lang w:val="fr-FR"/>
        </w:rPr>
        <w:t>contre le racisme et la discrimination raciale a été mis en évidence. Ainsi, en 2019 dans l</w:t>
      </w:r>
      <w:r>
        <w:rPr>
          <w:lang w:val="fr-FR"/>
        </w:rPr>
        <w:t>’</w:t>
      </w:r>
      <w:r w:rsidRPr="002A6534">
        <w:rPr>
          <w:lang w:val="fr-FR"/>
        </w:rPr>
        <w:t>Union européenne, seulement 15</w:t>
      </w:r>
      <w:r w:rsidR="000C4766">
        <w:rPr>
          <w:lang w:val="fr-FR"/>
        </w:rPr>
        <w:t> </w:t>
      </w:r>
      <w:r w:rsidRPr="002A6534">
        <w:rPr>
          <w:lang w:val="fr-FR"/>
        </w:rPr>
        <w:t>États membres avaient lancé de tels plans d</w:t>
      </w:r>
      <w:r>
        <w:rPr>
          <w:lang w:val="fr-FR"/>
        </w:rPr>
        <w:t>’</w:t>
      </w:r>
      <w:r w:rsidRPr="002A6534">
        <w:rPr>
          <w:lang w:val="fr-FR"/>
        </w:rPr>
        <w:t>action</w:t>
      </w:r>
      <w:r w:rsidRPr="00CD6B67">
        <w:rPr>
          <w:rStyle w:val="FootnoteReference"/>
        </w:rPr>
        <w:footnoteReference w:id="186"/>
      </w:r>
      <w:r>
        <w:rPr>
          <w:lang w:val="fr-FR"/>
        </w:rPr>
        <w:t xml:space="preserve"> et, selon les informations, seuls quelques-uns</w:t>
      </w:r>
      <w:r w:rsidRPr="00293268">
        <w:rPr>
          <w:lang w:val="fr-FR"/>
        </w:rPr>
        <w:t xml:space="preserve"> </w:t>
      </w:r>
      <w:r w:rsidRPr="000D54B9">
        <w:rPr>
          <w:lang w:val="fr-FR"/>
        </w:rPr>
        <w:t xml:space="preserve">avaient pris des mesures pour assurer la pleine </w:t>
      </w:r>
      <w:r w:rsidRPr="00E473E7">
        <w:rPr>
          <w:lang w:val="fr-FR"/>
        </w:rPr>
        <w:t>participation et l</w:t>
      </w:r>
      <w:r>
        <w:rPr>
          <w:lang w:val="fr-FR"/>
        </w:rPr>
        <w:t>’</w:t>
      </w:r>
      <w:r w:rsidRPr="00E473E7">
        <w:rPr>
          <w:lang w:val="fr-FR"/>
        </w:rPr>
        <w:t>égalité des droits des</w:t>
      </w:r>
      <w:r w:rsidRPr="000D54B9">
        <w:rPr>
          <w:lang w:val="fr-FR"/>
        </w:rPr>
        <w:t xml:space="preserve"> personnes d</w:t>
      </w:r>
      <w:r>
        <w:rPr>
          <w:lang w:val="fr-FR"/>
        </w:rPr>
        <w:t>’</w:t>
      </w:r>
      <w:r w:rsidRPr="000D54B9">
        <w:rPr>
          <w:lang w:val="fr-FR"/>
        </w:rPr>
        <w:t>ascendance africaine</w:t>
      </w:r>
      <w:r w:rsidRPr="00CD6B67">
        <w:rPr>
          <w:rStyle w:val="FootnoteReference"/>
        </w:rPr>
        <w:footnoteReference w:id="187"/>
      </w:r>
      <w:r>
        <w:rPr>
          <w:lang w:val="fr-FR"/>
        </w:rPr>
        <w:t>.</w:t>
      </w:r>
      <w:r w:rsidRPr="00293268">
        <w:rPr>
          <w:lang w:val="fr-FR"/>
        </w:rPr>
        <w:t xml:space="preserve"> </w:t>
      </w:r>
      <w:r w:rsidRPr="009E7CF3">
        <w:rPr>
          <w:lang w:val="fr-FR"/>
        </w:rPr>
        <w:t>Dans plusieurs États d</w:t>
      </w:r>
      <w:r>
        <w:rPr>
          <w:lang w:val="fr-FR"/>
        </w:rPr>
        <w:t>’</w:t>
      </w:r>
      <w:r w:rsidRPr="009E7CF3">
        <w:rPr>
          <w:lang w:val="fr-FR"/>
        </w:rPr>
        <w:t>Amérique latine, les politiques publiques ignorent encore largement les personnes d</w:t>
      </w:r>
      <w:r>
        <w:rPr>
          <w:lang w:val="fr-FR"/>
        </w:rPr>
        <w:t>’</w:t>
      </w:r>
      <w:r w:rsidRPr="009E7CF3">
        <w:rPr>
          <w:lang w:val="fr-FR"/>
        </w:rPr>
        <w:t>ascendance africaine</w:t>
      </w:r>
      <w:r w:rsidRPr="00CD6B67">
        <w:rPr>
          <w:rStyle w:val="FootnoteReference"/>
        </w:rPr>
        <w:footnoteReference w:id="188"/>
      </w:r>
      <w:r>
        <w:rPr>
          <w:lang w:val="fr-FR"/>
        </w:rPr>
        <w:t>.</w:t>
      </w:r>
    </w:p>
    <w:p w14:paraId="5A317833" w14:textId="77777777" w:rsidR="00865E37" w:rsidRPr="00293268" w:rsidRDefault="00865E37" w:rsidP="00865E37">
      <w:pPr>
        <w:pStyle w:val="SingleTxtG"/>
        <w:rPr>
          <w:lang w:val="fr-FR"/>
        </w:rPr>
      </w:pPr>
      <w:r w:rsidRPr="00293268">
        <w:rPr>
          <w:lang w:val="fr-FR"/>
        </w:rPr>
        <w:t>57.</w:t>
      </w:r>
      <w:r w:rsidRPr="00293268">
        <w:rPr>
          <w:lang w:val="fr-FR"/>
        </w:rPr>
        <w:tab/>
      </w:r>
      <w:r w:rsidRPr="00D000DB">
        <w:rPr>
          <w:lang w:val="fr-FR"/>
        </w:rPr>
        <w:t>Conformément à la recommandation du Comité pour l</w:t>
      </w:r>
      <w:r>
        <w:rPr>
          <w:lang w:val="fr-FR"/>
        </w:rPr>
        <w:t>’</w:t>
      </w:r>
      <w:r w:rsidRPr="00D000DB">
        <w:rPr>
          <w:lang w:val="fr-FR"/>
        </w:rPr>
        <w:t>élimination de la discrimination raciale concernant l</w:t>
      </w:r>
      <w:r>
        <w:rPr>
          <w:lang w:val="fr-FR"/>
        </w:rPr>
        <w:t>’</w:t>
      </w:r>
      <w:r w:rsidRPr="00D000DB">
        <w:rPr>
          <w:lang w:val="fr-FR"/>
        </w:rPr>
        <w:t>adoption urgente de mesures spéciales pour combattre la discrimination structurelle à l</w:t>
      </w:r>
      <w:r>
        <w:rPr>
          <w:lang w:val="fr-FR"/>
        </w:rPr>
        <w:t>’</w:t>
      </w:r>
      <w:r w:rsidRPr="00D000DB">
        <w:rPr>
          <w:lang w:val="fr-FR"/>
        </w:rPr>
        <w:t>égard des Africains et les personnes d</w:t>
      </w:r>
      <w:r>
        <w:rPr>
          <w:lang w:val="fr-FR"/>
        </w:rPr>
        <w:t>’</w:t>
      </w:r>
      <w:r w:rsidRPr="00D000DB">
        <w:rPr>
          <w:lang w:val="fr-FR"/>
        </w:rPr>
        <w:t>ascendance africaine</w:t>
      </w:r>
      <w:r w:rsidRPr="00CD6B67">
        <w:rPr>
          <w:rStyle w:val="FootnoteReference"/>
        </w:rPr>
        <w:footnoteReference w:id="189"/>
      </w:r>
      <w:r>
        <w:rPr>
          <w:lang w:val="fr-FR"/>
        </w:rPr>
        <w:t>,</w:t>
      </w:r>
      <w:r w:rsidRPr="00293268">
        <w:rPr>
          <w:lang w:val="fr-FR"/>
        </w:rPr>
        <w:t xml:space="preserve"> </w:t>
      </w:r>
      <w:r w:rsidRPr="0006551E">
        <w:rPr>
          <w:lang w:val="fr-FR"/>
        </w:rPr>
        <w:t>une minorité de pays d</w:t>
      </w:r>
      <w:r>
        <w:rPr>
          <w:lang w:val="fr-FR"/>
        </w:rPr>
        <w:t>’</w:t>
      </w:r>
      <w:r w:rsidRPr="0006551E">
        <w:rPr>
          <w:lang w:val="fr-FR"/>
        </w:rPr>
        <w:t>Amérique latine</w:t>
      </w:r>
      <w:r w:rsidRPr="00CD6B67">
        <w:rPr>
          <w:rStyle w:val="FootnoteReference"/>
        </w:rPr>
        <w:footnoteReference w:id="190"/>
      </w:r>
      <w:r w:rsidRPr="00293268">
        <w:rPr>
          <w:lang w:val="fr-FR"/>
        </w:rPr>
        <w:t xml:space="preserve"> </w:t>
      </w:r>
      <w:r w:rsidRPr="0006551E">
        <w:rPr>
          <w:lang w:val="fr-FR"/>
        </w:rPr>
        <w:t>et les États-Unis</w:t>
      </w:r>
      <w:r w:rsidRPr="00CD6B67">
        <w:rPr>
          <w:rStyle w:val="FootnoteReference"/>
        </w:rPr>
        <w:footnoteReference w:id="191"/>
      </w:r>
      <w:r w:rsidRPr="00293268">
        <w:rPr>
          <w:lang w:val="fr-FR"/>
        </w:rPr>
        <w:t xml:space="preserve"> </w:t>
      </w:r>
      <w:r w:rsidRPr="00702E71">
        <w:rPr>
          <w:lang w:val="fr-FR"/>
        </w:rPr>
        <w:t>ont pris des mesures à cet effet, en particulier dans les domaines de l</w:t>
      </w:r>
      <w:r>
        <w:rPr>
          <w:lang w:val="fr-FR"/>
        </w:rPr>
        <w:t>’</w:t>
      </w:r>
      <w:r w:rsidRPr="00702E71">
        <w:rPr>
          <w:lang w:val="fr-FR"/>
        </w:rPr>
        <w:t>emploi et de l</w:t>
      </w:r>
      <w:r>
        <w:rPr>
          <w:lang w:val="fr-FR"/>
        </w:rPr>
        <w:t>’</w:t>
      </w:r>
      <w:r w:rsidRPr="00702E71">
        <w:rPr>
          <w:lang w:val="fr-FR"/>
        </w:rPr>
        <w:t>éducation</w:t>
      </w:r>
      <w:r w:rsidRPr="00293268">
        <w:rPr>
          <w:lang w:val="fr-FR"/>
        </w:rPr>
        <w:t xml:space="preserve">. </w:t>
      </w:r>
      <w:r w:rsidRPr="008142D1">
        <w:rPr>
          <w:lang w:val="fr-FR"/>
        </w:rPr>
        <w:t>Cependant, l</w:t>
      </w:r>
      <w:r>
        <w:rPr>
          <w:lang w:val="fr-FR"/>
        </w:rPr>
        <w:t>’</w:t>
      </w:r>
      <w:r w:rsidRPr="008142D1">
        <w:rPr>
          <w:lang w:val="fr-FR"/>
        </w:rPr>
        <w:t>opposition croissante qu</w:t>
      </w:r>
      <w:r>
        <w:rPr>
          <w:lang w:val="fr-FR"/>
        </w:rPr>
        <w:t>’</w:t>
      </w:r>
      <w:r w:rsidRPr="008142D1">
        <w:rPr>
          <w:lang w:val="fr-FR"/>
        </w:rPr>
        <w:t>elles suscitent et les coupures budgétaires</w:t>
      </w:r>
      <w:r>
        <w:rPr>
          <w:lang w:val="fr-FR"/>
        </w:rPr>
        <w:t xml:space="preserve"> risquent de compromettre leurs effets</w:t>
      </w:r>
      <w:r w:rsidRPr="00CD6B67">
        <w:rPr>
          <w:rStyle w:val="FootnoteReference"/>
        </w:rPr>
        <w:footnoteReference w:id="192"/>
      </w:r>
      <w:r>
        <w:rPr>
          <w:lang w:val="fr-FR"/>
        </w:rPr>
        <w:t>.</w:t>
      </w:r>
    </w:p>
    <w:p w14:paraId="36DD1EFC" w14:textId="0A16A87D" w:rsidR="00865E37" w:rsidRPr="00293268" w:rsidRDefault="00865E37" w:rsidP="00865E37">
      <w:pPr>
        <w:pStyle w:val="SingleTxtG"/>
        <w:rPr>
          <w:lang w:val="fr-FR"/>
        </w:rPr>
      </w:pPr>
      <w:r w:rsidRPr="00293268">
        <w:rPr>
          <w:lang w:val="fr-FR"/>
        </w:rPr>
        <w:t>58.</w:t>
      </w:r>
      <w:r w:rsidRPr="00293268">
        <w:rPr>
          <w:lang w:val="fr-FR"/>
        </w:rPr>
        <w:tab/>
      </w:r>
      <w:r w:rsidRPr="004B699C">
        <w:rPr>
          <w:lang w:val="fr-FR"/>
        </w:rPr>
        <w:t>Au cours des vingt dernières années, le nombre d</w:t>
      </w:r>
      <w:r>
        <w:rPr>
          <w:lang w:val="fr-FR"/>
        </w:rPr>
        <w:t>’</w:t>
      </w:r>
      <w:r w:rsidRPr="004B699C">
        <w:rPr>
          <w:lang w:val="fr-FR"/>
        </w:rPr>
        <w:t>institutions chargées, en Amérique latine, des questions relatives aux personnes d</w:t>
      </w:r>
      <w:r>
        <w:rPr>
          <w:lang w:val="fr-FR"/>
        </w:rPr>
        <w:t>’</w:t>
      </w:r>
      <w:r w:rsidRPr="004B699C">
        <w:rPr>
          <w:lang w:val="fr-FR"/>
        </w:rPr>
        <w:t>ascendance africaine ou de la promotion de l</w:t>
      </w:r>
      <w:r>
        <w:rPr>
          <w:lang w:val="fr-FR"/>
        </w:rPr>
        <w:t>’</w:t>
      </w:r>
      <w:r w:rsidRPr="004B699C">
        <w:rPr>
          <w:lang w:val="fr-FR"/>
        </w:rPr>
        <w:t>égalité raciale a augmenté</w:t>
      </w:r>
      <w:r w:rsidRPr="00CD6B67">
        <w:rPr>
          <w:rStyle w:val="FootnoteReference"/>
        </w:rPr>
        <w:footnoteReference w:id="193"/>
      </w:r>
      <w:r>
        <w:rPr>
          <w:lang w:val="fr-FR"/>
        </w:rPr>
        <w:t xml:space="preserve"> et</w:t>
      </w:r>
      <w:r w:rsidRPr="009F1E66">
        <w:rPr>
          <w:lang w:val="fr-FR"/>
        </w:rPr>
        <w:t xml:space="preserve"> les États</w:t>
      </w:r>
      <w:r>
        <w:rPr>
          <w:lang w:val="fr-FR"/>
        </w:rPr>
        <w:t xml:space="preserve"> membres</w:t>
      </w:r>
      <w:r w:rsidRPr="009F1E66">
        <w:rPr>
          <w:lang w:val="fr-FR"/>
        </w:rPr>
        <w:t xml:space="preserve"> de l</w:t>
      </w:r>
      <w:r>
        <w:rPr>
          <w:lang w:val="fr-FR"/>
        </w:rPr>
        <w:t>’</w:t>
      </w:r>
      <w:r w:rsidRPr="009F1E66">
        <w:rPr>
          <w:lang w:val="fr-FR"/>
        </w:rPr>
        <w:t>Union européenne ont mis en place des organismes chargés de promouvoir l</w:t>
      </w:r>
      <w:r>
        <w:rPr>
          <w:lang w:val="fr-FR"/>
        </w:rPr>
        <w:t>’</w:t>
      </w:r>
      <w:r w:rsidRPr="009F1E66">
        <w:rPr>
          <w:lang w:val="fr-FR"/>
        </w:rPr>
        <w:t>égalité</w:t>
      </w:r>
      <w:r w:rsidRPr="00CD6B67">
        <w:rPr>
          <w:rStyle w:val="FootnoteReference"/>
        </w:rPr>
        <w:footnoteReference w:id="194"/>
      </w:r>
      <w:r>
        <w:rPr>
          <w:lang w:val="fr-FR"/>
        </w:rPr>
        <w:t>.</w:t>
      </w:r>
      <w:r w:rsidRPr="00293268">
        <w:rPr>
          <w:lang w:val="fr-FR"/>
        </w:rPr>
        <w:t xml:space="preserve"> </w:t>
      </w:r>
      <w:r w:rsidRPr="000A438B">
        <w:rPr>
          <w:lang w:val="fr-FR"/>
        </w:rPr>
        <w:t xml:space="preserve">Dans certains </w:t>
      </w:r>
      <w:r>
        <w:rPr>
          <w:lang w:val="fr-FR"/>
        </w:rPr>
        <w:t>États</w:t>
      </w:r>
      <w:r w:rsidRPr="000A438B">
        <w:rPr>
          <w:lang w:val="fr-FR"/>
        </w:rPr>
        <w:t>, ces organismes ne disposent pas de ressources suffisantes pour s</w:t>
      </w:r>
      <w:r>
        <w:rPr>
          <w:lang w:val="fr-FR"/>
        </w:rPr>
        <w:t>’</w:t>
      </w:r>
      <w:r w:rsidRPr="000A438B">
        <w:rPr>
          <w:lang w:val="fr-FR"/>
        </w:rPr>
        <w:t xml:space="preserve">acquitter de leur mandat </w:t>
      </w:r>
      <w:r w:rsidR="005F431A">
        <w:rPr>
          <w:lang w:val="fr-FR"/>
        </w:rPr>
        <w:t>−</w:t>
      </w:r>
      <w:r>
        <w:rPr>
          <w:lang w:val="fr-FR"/>
        </w:rPr>
        <w:t xml:space="preserve"> e</w:t>
      </w:r>
      <w:r w:rsidRPr="000A438B">
        <w:rPr>
          <w:lang w:val="fr-FR"/>
        </w:rPr>
        <w:t xml:space="preserve">t parfois ne sont pas habilités à </w:t>
      </w:r>
      <w:r>
        <w:rPr>
          <w:lang w:val="fr-FR"/>
        </w:rPr>
        <w:t>s’occuper</w:t>
      </w:r>
      <w:r w:rsidRPr="000A438B">
        <w:rPr>
          <w:lang w:val="fr-FR"/>
        </w:rPr>
        <w:t xml:space="preserve"> </w:t>
      </w:r>
      <w:r>
        <w:rPr>
          <w:lang w:val="fr-FR"/>
        </w:rPr>
        <w:t>d</w:t>
      </w:r>
      <w:r w:rsidRPr="000A438B">
        <w:rPr>
          <w:lang w:val="fr-FR"/>
        </w:rPr>
        <w:t>es questions relatives à la discrimination raciale</w:t>
      </w:r>
      <w:r w:rsidRPr="00CD6B67">
        <w:rPr>
          <w:rStyle w:val="FootnoteReference"/>
        </w:rPr>
        <w:footnoteReference w:id="195"/>
      </w:r>
      <w:r>
        <w:rPr>
          <w:lang w:val="fr-FR"/>
        </w:rPr>
        <w:t>.</w:t>
      </w:r>
      <w:r w:rsidRPr="00293268">
        <w:rPr>
          <w:lang w:val="fr-FR"/>
        </w:rPr>
        <w:t xml:space="preserve"> </w:t>
      </w:r>
      <w:r w:rsidRPr="00FD2348">
        <w:rPr>
          <w:lang w:val="fr-FR"/>
        </w:rPr>
        <w:t>En outre, en Amérique latine, les personnes d</w:t>
      </w:r>
      <w:r>
        <w:rPr>
          <w:lang w:val="fr-FR"/>
        </w:rPr>
        <w:t>’</w:t>
      </w:r>
      <w:r w:rsidRPr="00FD2348">
        <w:rPr>
          <w:lang w:val="fr-FR"/>
        </w:rPr>
        <w:t>ascendance africaine sont rarement représentées dans ces instances et n</w:t>
      </w:r>
      <w:r>
        <w:rPr>
          <w:lang w:val="fr-FR"/>
        </w:rPr>
        <w:t>’</w:t>
      </w:r>
      <w:r w:rsidRPr="00FD2348">
        <w:rPr>
          <w:lang w:val="fr-FR"/>
        </w:rPr>
        <w:t>ont pas toujours connaissance de leurs mandats</w:t>
      </w:r>
      <w:r w:rsidRPr="00CD6B67">
        <w:rPr>
          <w:rStyle w:val="FootnoteReference"/>
        </w:rPr>
        <w:footnoteReference w:id="196"/>
      </w:r>
      <w:r>
        <w:rPr>
          <w:lang w:val="fr-FR"/>
        </w:rPr>
        <w:t>.</w:t>
      </w:r>
      <w:r w:rsidRPr="00293268">
        <w:rPr>
          <w:lang w:val="fr-FR"/>
        </w:rPr>
        <w:t xml:space="preserve"> </w:t>
      </w:r>
      <w:r w:rsidRPr="00E2297E">
        <w:rPr>
          <w:lang w:val="fr-FR"/>
        </w:rPr>
        <w:t xml:space="preserve">Selon </w:t>
      </w:r>
      <w:r>
        <w:rPr>
          <w:lang w:val="fr-FR"/>
        </w:rPr>
        <w:t>des</w:t>
      </w:r>
      <w:r w:rsidRPr="00E2297E">
        <w:rPr>
          <w:lang w:val="fr-FR"/>
        </w:rPr>
        <w:t xml:space="preserve"> informations, les organisations non gouvernementales travaillant à la réalisation de l</w:t>
      </w:r>
      <w:r>
        <w:rPr>
          <w:lang w:val="fr-FR"/>
        </w:rPr>
        <w:t>’</w:t>
      </w:r>
      <w:r w:rsidRPr="00E2297E">
        <w:rPr>
          <w:lang w:val="fr-FR"/>
        </w:rPr>
        <w:t>égalité pour les personnes d</w:t>
      </w:r>
      <w:r>
        <w:rPr>
          <w:lang w:val="fr-FR"/>
        </w:rPr>
        <w:t>’</w:t>
      </w:r>
      <w:r w:rsidRPr="00E2297E">
        <w:rPr>
          <w:lang w:val="fr-FR"/>
        </w:rPr>
        <w:t>ascendance africaine ont souvent un accès limité aux aides financières pertinentes mises en place par leurs gouvernements</w:t>
      </w:r>
      <w:r w:rsidRPr="00CD6B67">
        <w:rPr>
          <w:rStyle w:val="FootnoteReference"/>
        </w:rPr>
        <w:footnoteReference w:id="197"/>
      </w:r>
      <w:r>
        <w:rPr>
          <w:lang w:val="fr-FR"/>
        </w:rPr>
        <w:t>.</w:t>
      </w:r>
    </w:p>
    <w:p w14:paraId="5BFA76F2" w14:textId="77777777" w:rsidR="00865E37" w:rsidRPr="00293268" w:rsidRDefault="00865E37" w:rsidP="00865E37">
      <w:pPr>
        <w:pStyle w:val="SingleTxtG"/>
        <w:rPr>
          <w:lang w:val="fr-FR"/>
        </w:rPr>
      </w:pPr>
      <w:r w:rsidRPr="00293268">
        <w:rPr>
          <w:lang w:val="fr-FR"/>
        </w:rPr>
        <w:t>59.</w:t>
      </w:r>
      <w:r w:rsidRPr="00293268">
        <w:rPr>
          <w:lang w:val="fr-FR"/>
        </w:rPr>
        <w:tab/>
      </w:r>
      <w:r w:rsidRPr="00121237">
        <w:rPr>
          <w:lang w:val="fr-FR"/>
        </w:rPr>
        <w:t>Plusieurs États et organisations régionales ont officiellement lancé la Décennie internationale des personnes d</w:t>
      </w:r>
      <w:r>
        <w:rPr>
          <w:lang w:val="fr-FR"/>
        </w:rPr>
        <w:t>’</w:t>
      </w:r>
      <w:r w:rsidRPr="00121237">
        <w:rPr>
          <w:lang w:val="fr-FR"/>
        </w:rPr>
        <w:t>ascendance africaine (2015-2024)</w:t>
      </w:r>
      <w:r>
        <w:rPr>
          <w:lang w:val="fr-FR"/>
        </w:rPr>
        <w:t xml:space="preserve"> et</w:t>
      </w:r>
      <w:r w:rsidRPr="00121237">
        <w:rPr>
          <w:lang w:val="fr-FR"/>
        </w:rPr>
        <w:t xml:space="preserve"> </w:t>
      </w:r>
      <w:r>
        <w:rPr>
          <w:lang w:val="fr-FR"/>
        </w:rPr>
        <w:t>mené</w:t>
      </w:r>
      <w:r w:rsidRPr="00121237">
        <w:rPr>
          <w:lang w:val="fr-FR"/>
        </w:rPr>
        <w:t xml:space="preserve"> diverses activités et initiatives en vue de </w:t>
      </w:r>
      <w:r>
        <w:rPr>
          <w:lang w:val="fr-FR"/>
        </w:rPr>
        <w:t>son application</w:t>
      </w:r>
      <w:r w:rsidRPr="00121237">
        <w:rPr>
          <w:lang w:val="fr-FR"/>
        </w:rPr>
        <w:t>, comme l</w:t>
      </w:r>
      <w:r>
        <w:rPr>
          <w:lang w:val="fr-FR"/>
        </w:rPr>
        <w:t>’</w:t>
      </w:r>
      <w:r w:rsidRPr="00121237">
        <w:rPr>
          <w:lang w:val="fr-FR"/>
        </w:rPr>
        <w:t>élaboration de programmes d</w:t>
      </w:r>
      <w:r>
        <w:rPr>
          <w:lang w:val="fr-FR"/>
        </w:rPr>
        <w:t>’</w:t>
      </w:r>
      <w:r w:rsidRPr="00121237">
        <w:rPr>
          <w:lang w:val="fr-FR"/>
        </w:rPr>
        <w:t>action nationaux</w:t>
      </w:r>
      <w:r w:rsidRPr="00CD6B67">
        <w:rPr>
          <w:rStyle w:val="FootnoteReference"/>
        </w:rPr>
        <w:footnoteReference w:id="198"/>
      </w:r>
      <w:r>
        <w:rPr>
          <w:lang w:val="fr-FR"/>
        </w:rPr>
        <w:t>.</w:t>
      </w:r>
      <w:r w:rsidRPr="00293268">
        <w:rPr>
          <w:lang w:val="fr-FR"/>
        </w:rPr>
        <w:t xml:space="preserve"> </w:t>
      </w:r>
      <w:r w:rsidRPr="00583E0B">
        <w:rPr>
          <w:lang w:val="fr-FR"/>
        </w:rPr>
        <w:t>S</w:t>
      </w:r>
      <w:r>
        <w:rPr>
          <w:lang w:val="fr-FR"/>
        </w:rPr>
        <w:t>’</w:t>
      </w:r>
      <w:r w:rsidRPr="00583E0B">
        <w:rPr>
          <w:lang w:val="fr-FR"/>
        </w:rPr>
        <w:t>il faut s</w:t>
      </w:r>
      <w:r>
        <w:rPr>
          <w:lang w:val="fr-FR"/>
        </w:rPr>
        <w:t>’</w:t>
      </w:r>
      <w:r w:rsidRPr="00583E0B">
        <w:rPr>
          <w:lang w:val="fr-FR"/>
        </w:rPr>
        <w:t xml:space="preserve">en féliciter, il reste encore beaucoup à faire pour tirer le meilleur parti de son potentiel, pour que les initiatives </w:t>
      </w:r>
      <w:r>
        <w:rPr>
          <w:lang w:val="fr-FR"/>
        </w:rPr>
        <w:t xml:space="preserve">prévues dans son cadre </w:t>
      </w:r>
      <w:r w:rsidRPr="00583E0B">
        <w:rPr>
          <w:lang w:val="fr-FR"/>
        </w:rPr>
        <w:t xml:space="preserve">donnent des résultats tangibles et pour que </w:t>
      </w:r>
      <w:r>
        <w:rPr>
          <w:lang w:val="fr-FR"/>
        </w:rPr>
        <w:t>d’</w:t>
      </w:r>
      <w:r w:rsidRPr="00583E0B">
        <w:rPr>
          <w:lang w:val="fr-FR"/>
        </w:rPr>
        <w:t xml:space="preserve">autres </w:t>
      </w:r>
      <w:r>
        <w:rPr>
          <w:lang w:val="fr-FR"/>
        </w:rPr>
        <w:t>États</w:t>
      </w:r>
      <w:r w:rsidRPr="00583E0B">
        <w:rPr>
          <w:lang w:val="fr-FR"/>
        </w:rPr>
        <w:t xml:space="preserve"> approuvent la Décennie et </w:t>
      </w:r>
      <w:r>
        <w:rPr>
          <w:lang w:val="fr-FR"/>
        </w:rPr>
        <w:t xml:space="preserve">mettent en œuvre </w:t>
      </w:r>
      <w:r w:rsidRPr="00583E0B">
        <w:rPr>
          <w:lang w:val="fr-FR"/>
        </w:rPr>
        <w:t>son programme d</w:t>
      </w:r>
      <w:r>
        <w:rPr>
          <w:lang w:val="fr-FR"/>
        </w:rPr>
        <w:t>’</w:t>
      </w:r>
      <w:r w:rsidRPr="00583E0B">
        <w:rPr>
          <w:lang w:val="fr-FR"/>
        </w:rPr>
        <w:t>activités</w:t>
      </w:r>
      <w:r w:rsidRPr="00CD6B67">
        <w:rPr>
          <w:rStyle w:val="FootnoteReference"/>
        </w:rPr>
        <w:footnoteReference w:id="199"/>
      </w:r>
      <w:r>
        <w:rPr>
          <w:lang w:val="fr-FR"/>
        </w:rPr>
        <w:t>.</w:t>
      </w:r>
    </w:p>
    <w:p w14:paraId="32B2141B" w14:textId="77777777" w:rsidR="00865E37" w:rsidRPr="00293268" w:rsidRDefault="00865E37" w:rsidP="00865E37">
      <w:pPr>
        <w:pStyle w:val="SingleTxtG"/>
        <w:rPr>
          <w:lang w:val="fr-FR"/>
        </w:rPr>
      </w:pPr>
      <w:r w:rsidRPr="00293268">
        <w:rPr>
          <w:lang w:val="fr-FR"/>
        </w:rPr>
        <w:t>60.</w:t>
      </w:r>
      <w:r w:rsidRPr="00293268">
        <w:rPr>
          <w:lang w:val="fr-FR"/>
        </w:rPr>
        <w:tab/>
      </w:r>
      <w:r w:rsidRPr="00AB19BB">
        <w:rPr>
          <w:lang w:val="fr-FR"/>
        </w:rPr>
        <w:t>Dans l</w:t>
      </w:r>
      <w:r>
        <w:rPr>
          <w:lang w:val="fr-FR"/>
        </w:rPr>
        <w:t>’</w:t>
      </w:r>
      <w:r w:rsidRPr="00AB19BB">
        <w:rPr>
          <w:lang w:val="fr-FR"/>
        </w:rPr>
        <w:t>ensemble et en partie parce que les États n</w:t>
      </w:r>
      <w:r>
        <w:rPr>
          <w:lang w:val="fr-FR"/>
        </w:rPr>
        <w:t>’</w:t>
      </w:r>
      <w:r w:rsidRPr="00AB19BB">
        <w:rPr>
          <w:lang w:val="fr-FR"/>
        </w:rPr>
        <w:t>ont pas pleinement reconnu l</w:t>
      </w:r>
      <w:r>
        <w:rPr>
          <w:lang w:val="fr-FR"/>
        </w:rPr>
        <w:t>’</w:t>
      </w:r>
      <w:r w:rsidRPr="00AB19BB">
        <w:rPr>
          <w:lang w:val="fr-FR"/>
        </w:rPr>
        <w:t>existence du racisme systémique</w:t>
      </w:r>
      <w:r w:rsidRPr="00293268">
        <w:rPr>
          <w:lang w:val="fr-FR"/>
        </w:rPr>
        <w:t xml:space="preserve">, </w:t>
      </w:r>
      <w:r w:rsidRPr="00FE50FF">
        <w:rPr>
          <w:lang w:val="fr-FR"/>
        </w:rPr>
        <w:t>les mesures adoptées n</w:t>
      </w:r>
      <w:r>
        <w:rPr>
          <w:lang w:val="fr-FR"/>
        </w:rPr>
        <w:t>’</w:t>
      </w:r>
      <w:r w:rsidRPr="00FE50FF">
        <w:rPr>
          <w:lang w:val="fr-FR"/>
        </w:rPr>
        <w:t xml:space="preserve">ont pas été </w:t>
      </w:r>
      <w:r>
        <w:rPr>
          <w:lang w:val="fr-FR"/>
        </w:rPr>
        <w:t>à la hauteur des</w:t>
      </w:r>
      <w:r w:rsidRPr="00FE50FF">
        <w:rPr>
          <w:lang w:val="fr-FR"/>
        </w:rPr>
        <w:t xml:space="preserve"> </w:t>
      </w:r>
      <w:r>
        <w:rPr>
          <w:lang w:val="fr-FR"/>
        </w:rPr>
        <w:t xml:space="preserve">enjeux et n’ont pas réussi à combattre le racisme systémique ni à susciter le changement nécessaire pour parvenir  </w:t>
      </w:r>
      <w:r w:rsidRPr="00775131">
        <w:rPr>
          <w:lang w:val="fr-FR"/>
        </w:rPr>
        <w:t>à la justice et à l</w:t>
      </w:r>
      <w:r>
        <w:rPr>
          <w:lang w:val="fr-FR"/>
        </w:rPr>
        <w:t>’</w:t>
      </w:r>
      <w:r w:rsidRPr="00775131">
        <w:rPr>
          <w:lang w:val="fr-FR"/>
        </w:rPr>
        <w:t>égalité raciales</w:t>
      </w:r>
      <w:r w:rsidRPr="00293268">
        <w:rPr>
          <w:lang w:val="fr-FR"/>
        </w:rPr>
        <w:t>.</w:t>
      </w:r>
    </w:p>
    <w:p w14:paraId="74BA22C0" w14:textId="33A26E1A" w:rsidR="00865E37" w:rsidRPr="00F277BF" w:rsidRDefault="00865E37" w:rsidP="00D8748D">
      <w:pPr>
        <w:pStyle w:val="H1G"/>
        <w:rPr>
          <w:lang w:val="fr-FR"/>
        </w:rPr>
      </w:pPr>
      <w:bookmarkStart w:id="114" w:name="_Toc74078713"/>
      <w:bookmarkStart w:id="115" w:name="_Toc74080642"/>
      <w:bookmarkStart w:id="116" w:name="_Toc75280469"/>
      <w:bookmarkStart w:id="117" w:name="_Toc74173708"/>
      <w:bookmarkStart w:id="118" w:name="_Toc73738832"/>
      <w:bookmarkEnd w:id="110"/>
      <w:bookmarkEnd w:id="111"/>
      <w:bookmarkEnd w:id="112"/>
      <w:bookmarkEnd w:id="113"/>
      <w:r w:rsidRPr="00293268">
        <w:rPr>
          <w:lang w:val="fr-FR"/>
        </w:rPr>
        <w:tab/>
        <w:t>D.</w:t>
      </w:r>
      <w:r w:rsidRPr="00293268">
        <w:rPr>
          <w:lang w:val="fr-FR"/>
        </w:rPr>
        <w:tab/>
      </w:r>
      <w:bookmarkEnd w:id="114"/>
      <w:bookmarkEnd w:id="115"/>
      <w:bookmarkEnd w:id="116"/>
      <w:bookmarkEnd w:id="117"/>
      <w:bookmarkEnd w:id="118"/>
      <w:r w:rsidRPr="00F277BF">
        <w:rPr>
          <w:lang w:val="fr-FR"/>
        </w:rPr>
        <w:t xml:space="preserve">Programme </w:t>
      </w:r>
      <w:r>
        <w:rPr>
          <w:lang w:val="fr-FR"/>
        </w:rPr>
        <w:t>axé sur la</w:t>
      </w:r>
      <w:r w:rsidRPr="00DD04E2">
        <w:rPr>
          <w:lang w:val="fr-FR"/>
        </w:rPr>
        <w:t xml:space="preserve"> transformation </w:t>
      </w:r>
      <w:r>
        <w:rPr>
          <w:lang w:val="fr-FR"/>
        </w:rPr>
        <w:t xml:space="preserve">pour </w:t>
      </w:r>
      <w:r w:rsidRPr="00F277BF">
        <w:rPr>
          <w:lang w:val="fr-FR"/>
        </w:rPr>
        <w:t>la justice et</w:t>
      </w:r>
      <w:r>
        <w:rPr>
          <w:lang w:val="fr-FR"/>
        </w:rPr>
        <w:t xml:space="preserve"> </w:t>
      </w:r>
      <w:r w:rsidRPr="00F277BF">
        <w:rPr>
          <w:lang w:val="fr-FR"/>
        </w:rPr>
        <w:t>l</w:t>
      </w:r>
      <w:r>
        <w:rPr>
          <w:lang w:val="fr-FR"/>
        </w:rPr>
        <w:t>’</w:t>
      </w:r>
      <w:r w:rsidRPr="00F277BF">
        <w:rPr>
          <w:lang w:val="fr-FR"/>
        </w:rPr>
        <w:t xml:space="preserve">égalité raciales </w:t>
      </w:r>
      <w:r w:rsidR="00C34F42">
        <w:rPr>
          <w:lang w:val="fr-FR"/>
        </w:rPr>
        <w:t>−</w:t>
      </w:r>
      <w:r w:rsidRPr="00F277BF">
        <w:rPr>
          <w:lang w:val="fr-FR"/>
        </w:rPr>
        <w:t xml:space="preserve"> La voie à suivre </w:t>
      </w:r>
      <w:r w:rsidR="00C34F42">
        <w:rPr>
          <w:lang w:val="fr-FR"/>
        </w:rPr>
        <w:t>−</w:t>
      </w:r>
      <w:r w:rsidRPr="00F277BF">
        <w:rPr>
          <w:lang w:val="fr-FR"/>
        </w:rPr>
        <w:t xml:space="preserve"> INTENSIFIER LES EFFORTS</w:t>
      </w:r>
      <w:r w:rsidR="00E53DDC">
        <w:rPr>
          <w:lang w:val="fr-FR"/>
        </w:rPr>
        <w:t> </w:t>
      </w:r>
      <w:r w:rsidRPr="00F277BF">
        <w:rPr>
          <w:lang w:val="fr-FR"/>
        </w:rPr>
        <w:t xml:space="preserve">: </w:t>
      </w:r>
      <w:r w:rsidR="00C34F42">
        <w:rPr>
          <w:lang w:val="fr-FR"/>
        </w:rPr>
        <w:br/>
      </w:r>
      <w:r w:rsidRPr="00F277BF">
        <w:rPr>
          <w:lang w:val="fr-FR"/>
        </w:rPr>
        <w:t xml:space="preserve">Cesser de nier et </w:t>
      </w:r>
      <w:r w:rsidRPr="00E83090">
        <w:rPr>
          <w:lang w:val="fr-FR"/>
        </w:rPr>
        <w:t>commencer à déconstruire</w:t>
      </w:r>
    </w:p>
    <w:p w14:paraId="23D422E0" w14:textId="7A225AF7" w:rsidR="00865E37" w:rsidRPr="00293268" w:rsidRDefault="00865E37" w:rsidP="00C34F42">
      <w:pPr>
        <w:pStyle w:val="SingleTxtG"/>
        <w:rPr>
          <w:lang w:val="fr-FR"/>
        </w:rPr>
      </w:pPr>
      <w:r w:rsidRPr="00293268">
        <w:rPr>
          <w:lang w:val="fr-FR"/>
        </w:rPr>
        <w:t>61.</w:t>
      </w:r>
      <w:r w:rsidRPr="00293268">
        <w:rPr>
          <w:lang w:val="fr-FR"/>
        </w:rPr>
        <w:tab/>
      </w:r>
      <w:r w:rsidRPr="00DE3B2A">
        <w:rPr>
          <w:lang w:val="fr-FR"/>
        </w:rPr>
        <w:t xml:space="preserve">Les exemples susmentionnés montrent </w:t>
      </w:r>
      <w:r>
        <w:rPr>
          <w:lang w:val="fr-FR"/>
        </w:rPr>
        <w:t>à quel point il</w:t>
      </w:r>
      <w:r w:rsidRPr="00DE3B2A">
        <w:rPr>
          <w:lang w:val="fr-FR"/>
        </w:rPr>
        <w:t xml:space="preserve"> est urgent que les États mettent en place des conditions de vie respectueuses de la dignité, de l</w:t>
      </w:r>
      <w:r>
        <w:rPr>
          <w:lang w:val="fr-FR"/>
        </w:rPr>
        <w:t>’</w:t>
      </w:r>
      <w:r w:rsidRPr="00DE3B2A">
        <w:rPr>
          <w:lang w:val="fr-FR"/>
        </w:rPr>
        <w:t>égalité et des droits</w:t>
      </w:r>
      <w:r w:rsidRPr="00CD6B67" w:rsidDel="00B22321">
        <w:rPr>
          <w:rStyle w:val="FootnoteReference"/>
        </w:rPr>
        <w:footnoteReference w:id="200"/>
      </w:r>
      <w:r>
        <w:rPr>
          <w:lang w:val="fr-FR"/>
        </w:rPr>
        <w:t>.</w:t>
      </w:r>
      <w:r w:rsidRPr="00293268">
        <w:rPr>
          <w:lang w:val="fr-FR"/>
        </w:rPr>
        <w:t xml:space="preserve"> </w:t>
      </w:r>
      <w:r w:rsidRPr="00AE0C4C">
        <w:rPr>
          <w:lang w:val="fr-FR"/>
        </w:rPr>
        <w:t>Le</w:t>
      </w:r>
      <w:r w:rsidR="0037599F">
        <w:rPr>
          <w:lang w:val="fr-FR"/>
        </w:rPr>
        <w:t> </w:t>
      </w:r>
      <w:r w:rsidRPr="00AE0C4C">
        <w:rPr>
          <w:lang w:val="fr-FR"/>
        </w:rPr>
        <w:t xml:space="preserve">racisme systémique appelle une réponse systémique </w:t>
      </w:r>
      <w:r w:rsidRPr="004B2BBA">
        <w:rPr>
          <w:lang w:val="fr-FR"/>
        </w:rPr>
        <w:t>pour mettre fin rapidement au déni</w:t>
      </w:r>
      <w:r w:rsidRPr="00AE0C4C">
        <w:rPr>
          <w:lang w:val="fr-FR"/>
        </w:rPr>
        <w:t xml:space="preserve"> et transformer les structures, les institutions et les comportements qui provoquent</w:t>
      </w:r>
      <w:r>
        <w:rPr>
          <w:lang w:val="fr-FR"/>
        </w:rPr>
        <w:t>,</w:t>
      </w:r>
      <w:r w:rsidRPr="00AE0C4C">
        <w:rPr>
          <w:lang w:val="fr-FR"/>
        </w:rPr>
        <w:t xml:space="preserve"> directement et indirectement</w:t>
      </w:r>
      <w:r>
        <w:rPr>
          <w:lang w:val="fr-FR"/>
        </w:rPr>
        <w:t>,</w:t>
      </w:r>
      <w:r w:rsidRPr="00AE0C4C">
        <w:rPr>
          <w:lang w:val="fr-FR"/>
        </w:rPr>
        <w:t xml:space="preserve"> </w:t>
      </w:r>
      <w:r>
        <w:rPr>
          <w:lang w:val="fr-FR"/>
        </w:rPr>
        <w:t>une</w:t>
      </w:r>
      <w:r w:rsidRPr="00AE0C4C">
        <w:rPr>
          <w:lang w:val="fr-FR"/>
        </w:rPr>
        <w:t xml:space="preserve"> discrimination à l</w:t>
      </w:r>
      <w:r>
        <w:rPr>
          <w:lang w:val="fr-FR"/>
        </w:rPr>
        <w:t>’</w:t>
      </w:r>
      <w:r w:rsidRPr="00AE0C4C">
        <w:rPr>
          <w:lang w:val="fr-FR"/>
        </w:rPr>
        <w:t>égard des Africains et des personnes d</w:t>
      </w:r>
      <w:r>
        <w:rPr>
          <w:lang w:val="fr-FR"/>
        </w:rPr>
        <w:t>’</w:t>
      </w:r>
      <w:r w:rsidRPr="00AE0C4C">
        <w:rPr>
          <w:lang w:val="fr-FR"/>
        </w:rPr>
        <w:t>ascendance africaine dans tous les domaines</w:t>
      </w:r>
      <w:r w:rsidRPr="00293268">
        <w:rPr>
          <w:lang w:val="fr-FR"/>
        </w:rPr>
        <w:t xml:space="preserve">. </w:t>
      </w:r>
      <w:r w:rsidRPr="003A14B3">
        <w:rPr>
          <w:lang w:val="fr-FR"/>
        </w:rPr>
        <w:t>Dans certains pays, le caractère systémique du racisme dont sont victimes les Africains et les personnes d</w:t>
      </w:r>
      <w:r>
        <w:rPr>
          <w:lang w:val="fr-FR"/>
        </w:rPr>
        <w:t>’</w:t>
      </w:r>
      <w:r w:rsidRPr="003A14B3">
        <w:rPr>
          <w:lang w:val="fr-FR"/>
        </w:rPr>
        <w:t xml:space="preserve">ascendance africaine est désormais largement reconnu, de même que la nécessité </w:t>
      </w:r>
      <w:r>
        <w:rPr>
          <w:lang w:val="fr-FR"/>
        </w:rPr>
        <w:t>de confronter le</w:t>
      </w:r>
      <w:r w:rsidRPr="003A14B3">
        <w:rPr>
          <w:lang w:val="fr-FR"/>
        </w:rPr>
        <w:t xml:space="preserve"> passé</w:t>
      </w:r>
      <w:r w:rsidRPr="00293268">
        <w:rPr>
          <w:lang w:val="fr-FR"/>
        </w:rPr>
        <w:t xml:space="preserve">. </w:t>
      </w:r>
      <w:r w:rsidRPr="00367C0B">
        <w:rPr>
          <w:lang w:val="fr-FR"/>
        </w:rPr>
        <w:t>Pourtant, une volonté politique plus forte et une action</w:t>
      </w:r>
      <w:r>
        <w:rPr>
          <w:lang w:val="fr-FR"/>
        </w:rPr>
        <w:t xml:space="preserve"> plus</w:t>
      </w:r>
      <w:r w:rsidRPr="00367C0B">
        <w:rPr>
          <w:lang w:val="fr-FR"/>
        </w:rPr>
        <w:t xml:space="preserve"> résolue sont nécessaires de la part des États et des autres parties prenantes pour promouvoir l</w:t>
      </w:r>
      <w:r>
        <w:rPr>
          <w:lang w:val="fr-FR"/>
        </w:rPr>
        <w:t>’</w:t>
      </w:r>
      <w:r w:rsidRPr="00367C0B">
        <w:rPr>
          <w:lang w:val="fr-FR"/>
        </w:rPr>
        <w:t xml:space="preserve">égalité et la dignité </w:t>
      </w:r>
      <w:r>
        <w:rPr>
          <w:lang w:val="fr-FR"/>
        </w:rPr>
        <w:t xml:space="preserve">de ces personnes </w:t>
      </w:r>
      <w:r w:rsidRPr="00367C0B">
        <w:rPr>
          <w:lang w:val="fr-FR"/>
        </w:rPr>
        <w:t>et pour lutter efficacement contre le racisme systémique</w:t>
      </w:r>
      <w:r w:rsidRPr="00CD6B67">
        <w:rPr>
          <w:rStyle w:val="FootnoteReference"/>
        </w:rPr>
        <w:footnoteReference w:id="201"/>
      </w:r>
      <w:r>
        <w:rPr>
          <w:lang w:val="fr-FR"/>
        </w:rPr>
        <w:t>.</w:t>
      </w:r>
      <w:r w:rsidRPr="00293268">
        <w:rPr>
          <w:lang w:val="fr-FR"/>
        </w:rPr>
        <w:t xml:space="preserve"> </w:t>
      </w:r>
      <w:r w:rsidRPr="009D2693">
        <w:rPr>
          <w:lang w:val="fr-FR"/>
        </w:rPr>
        <w:t xml:space="preserve">Il est de notre devoir collectif de </w:t>
      </w:r>
      <w:r>
        <w:rPr>
          <w:lang w:val="fr-FR"/>
        </w:rPr>
        <w:t>traiter ces problèmes</w:t>
      </w:r>
      <w:r w:rsidRPr="009D2693">
        <w:rPr>
          <w:lang w:val="fr-FR"/>
        </w:rPr>
        <w:t>, immédiatement et partout dans le monde</w:t>
      </w:r>
      <w:r w:rsidRPr="00293268">
        <w:rPr>
          <w:lang w:val="fr-FR"/>
        </w:rPr>
        <w:t>.</w:t>
      </w:r>
    </w:p>
    <w:p w14:paraId="1C4AC06C" w14:textId="67677F63" w:rsidR="00865E37" w:rsidRPr="00293268" w:rsidRDefault="00865E37" w:rsidP="00C34F42">
      <w:pPr>
        <w:pStyle w:val="H23G"/>
        <w:rPr>
          <w:lang w:val="fr-FR"/>
        </w:rPr>
      </w:pPr>
      <w:bookmarkStart w:id="119" w:name="_Toc73738833"/>
      <w:bookmarkStart w:id="120" w:name="_Toc74078714"/>
      <w:bookmarkStart w:id="121" w:name="_Toc74080643"/>
      <w:bookmarkStart w:id="122" w:name="_Toc75280470"/>
      <w:bookmarkStart w:id="123" w:name="_Toc74173709"/>
      <w:r w:rsidRPr="00293268">
        <w:rPr>
          <w:lang w:val="fr-FR"/>
        </w:rPr>
        <w:tab/>
        <w:t>1.</w:t>
      </w:r>
      <w:r w:rsidRPr="00293268">
        <w:rPr>
          <w:lang w:val="fr-FR"/>
        </w:rPr>
        <w:tab/>
      </w:r>
      <w:bookmarkEnd w:id="119"/>
      <w:bookmarkEnd w:id="120"/>
      <w:bookmarkEnd w:id="121"/>
      <w:bookmarkEnd w:id="122"/>
      <w:bookmarkEnd w:id="123"/>
      <w:r w:rsidRPr="0094151B">
        <w:rPr>
          <w:lang w:val="fr-FR"/>
        </w:rPr>
        <w:t>Adopter des réformes et des mesures globales mobilisant l</w:t>
      </w:r>
      <w:r>
        <w:rPr>
          <w:lang w:val="fr-FR"/>
        </w:rPr>
        <w:t>’</w:t>
      </w:r>
      <w:r w:rsidRPr="0094151B">
        <w:rPr>
          <w:lang w:val="fr-FR"/>
        </w:rPr>
        <w:t xml:space="preserve">ensemble des pouvoirs </w:t>
      </w:r>
      <w:r w:rsidR="00C34F42">
        <w:rPr>
          <w:lang w:val="fr-FR"/>
        </w:rPr>
        <w:br/>
      </w:r>
      <w:r w:rsidRPr="0094151B">
        <w:rPr>
          <w:lang w:val="fr-FR"/>
        </w:rPr>
        <w:t>publics et de la société pour éradiquer le racisme systémique</w:t>
      </w:r>
      <w:r>
        <w:rPr>
          <w:lang w:val="fr-FR"/>
        </w:rPr>
        <w:t xml:space="preserve"> et les inscrire</w:t>
      </w:r>
      <w:r w:rsidRPr="0094151B">
        <w:rPr>
          <w:lang w:val="fr-FR"/>
        </w:rPr>
        <w:t xml:space="preserve"> </w:t>
      </w:r>
      <w:r w:rsidR="00C34F42">
        <w:rPr>
          <w:lang w:val="fr-FR"/>
        </w:rPr>
        <w:br/>
      </w:r>
      <w:r w:rsidRPr="0094151B">
        <w:rPr>
          <w:lang w:val="fr-FR"/>
        </w:rPr>
        <w:t xml:space="preserve">dans </w:t>
      </w:r>
      <w:r>
        <w:rPr>
          <w:lang w:val="fr-FR"/>
        </w:rPr>
        <w:t>le cadre de</w:t>
      </w:r>
      <w:r w:rsidRPr="0094151B">
        <w:rPr>
          <w:lang w:val="fr-FR"/>
        </w:rPr>
        <w:t xml:space="preserve"> plans d</w:t>
      </w:r>
      <w:r>
        <w:rPr>
          <w:lang w:val="fr-FR"/>
        </w:rPr>
        <w:t>’</w:t>
      </w:r>
      <w:r w:rsidRPr="0094151B">
        <w:rPr>
          <w:lang w:val="fr-FR"/>
        </w:rPr>
        <w:t xml:space="preserve">action nationaux et régionaux détaillés et dotés </w:t>
      </w:r>
      <w:r w:rsidR="00C34F42">
        <w:rPr>
          <w:lang w:val="fr-FR"/>
        </w:rPr>
        <w:br/>
      </w:r>
      <w:r w:rsidRPr="0094151B">
        <w:rPr>
          <w:lang w:val="fr-FR"/>
        </w:rPr>
        <w:t>de ressources suffisantes</w:t>
      </w:r>
    </w:p>
    <w:p w14:paraId="7AC4A8ED" w14:textId="2971E936" w:rsidR="00865E37" w:rsidRPr="00293268" w:rsidRDefault="00865E37" w:rsidP="00BA7A1A">
      <w:pPr>
        <w:pStyle w:val="SingleTxtG"/>
        <w:spacing w:line="242" w:lineRule="atLeast"/>
        <w:rPr>
          <w:lang w:val="fr-FR"/>
        </w:rPr>
      </w:pPr>
      <w:r w:rsidRPr="00293268">
        <w:rPr>
          <w:lang w:val="fr-FR"/>
        </w:rPr>
        <w:t>62.</w:t>
      </w:r>
      <w:r w:rsidRPr="00293268">
        <w:rPr>
          <w:lang w:val="fr-FR"/>
        </w:rPr>
        <w:tab/>
      </w:r>
      <w:r w:rsidRPr="00FA7548">
        <w:rPr>
          <w:lang w:val="fr-FR"/>
        </w:rPr>
        <w:t>Les États devraient adopter une approche systémique pour combattre le racisme et la discrimination raciale et prendre des mesures à tous les échelons de l</w:t>
      </w:r>
      <w:r>
        <w:rPr>
          <w:lang w:val="fr-FR"/>
        </w:rPr>
        <w:t>’</w:t>
      </w:r>
      <w:r w:rsidRPr="00FA7548">
        <w:rPr>
          <w:lang w:val="fr-FR"/>
        </w:rPr>
        <w:t>administration et à l</w:t>
      </w:r>
      <w:r>
        <w:rPr>
          <w:lang w:val="fr-FR"/>
        </w:rPr>
        <w:t>’</w:t>
      </w:r>
      <w:r w:rsidRPr="00FA7548">
        <w:rPr>
          <w:lang w:val="fr-FR"/>
        </w:rPr>
        <w:t>échelle de toute la société</w:t>
      </w:r>
      <w:r>
        <w:rPr>
          <w:lang w:val="fr-FR"/>
        </w:rPr>
        <w:t xml:space="preserve"> </w:t>
      </w:r>
      <w:r w:rsidR="006E6842">
        <w:rPr>
          <w:lang w:val="fr-FR"/>
        </w:rPr>
        <w:t>− </w:t>
      </w:r>
      <w:r w:rsidRPr="00FA7548">
        <w:rPr>
          <w:lang w:val="fr-FR"/>
        </w:rPr>
        <w:t>élaborées en étroite collaboration avec les personnes d</w:t>
      </w:r>
      <w:r>
        <w:rPr>
          <w:lang w:val="fr-FR"/>
        </w:rPr>
        <w:t>’</w:t>
      </w:r>
      <w:r w:rsidRPr="00FA7548">
        <w:rPr>
          <w:lang w:val="fr-FR"/>
        </w:rPr>
        <w:t>ascendance africaine et leurs organisations et mouvements</w:t>
      </w:r>
      <w:r w:rsidR="006E6842">
        <w:rPr>
          <w:lang w:val="fr-FR"/>
        </w:rPr>
        <w:t> −</w:t>
      </w:r>
      <w:r>
        <w:rPr>
          <w:lang w:val="fr-FR"/>
        </w:rPr>
        <w:t>,</w:t>
      </w:r>
      <w:r w:rsidRPr="00FA7548">
        <w:rPr>
          <w:lang w:val="fr-FR"/>
        </w:rPr>
        <w:t xml:space="preserve"> </w:t>
      </w:r>
      <w:r>
        <w:rPr>
          <w:lang w:val="fr-FR"/>
        </w:rPr>
        <w:t xml:space="preserve">inscrites </w:t>
      </w:r>
      <w:r w:rsidRPr="00FA7548">
        <w:rPr>
          <w:lang w:val="fr-FR"/>
        </w:rPr>
        <w:t>dans des plans d</w:t>
      </w:r>
      <w:r>
        <w:rPr>
          <w:lang w:val="fr-FR"/>
        </w:rPr>
        <w:t>’</w:t>
      </w:r>
      <w:r w:rsidRPr="00FA7548">
        <w:rPr>
          <w:lang w:val="fr-FR"/>
        </w:rPr>
        <w:t>action nationaux et régionaux complets et dotés de ressources suffisantes et prévoyant, s</w:t>
      </w:r>
      <w:r>
        <w:rPr>
          <w:lang w:val="fr-FR"/>
        </w:rPr>
        <w:t>’</w:t>
      </w:r>
      <w:r w:rsidRPr="00FA7548">
        <w:rPr>
          <w:lang w:val="fr-FR"/>
        </w:rPr>
        <w:t>il y a lieu, des mesures spéciales visant à garantir aux groupes défavorisés, notamment aux Africains et aux personnes d</w:t>
      </w:r>
      <w:r>
        <w:rPr>
          <w:lang w:val="fr-FR"/>
        </w:rPr>
        <w:t>’</w:t>
      </w:r>
      <w:r w:rsidRPr="00FA7548">
        <w:rPr>
          <w:lang w:val="fr-FR"/>
        </w:rPr>
        <w:t>ascendance africaine, le plein exercice des droits de l</w:t>
      </w:r>
      <w:r>
        <w:rPr>
          <w:lang w:val="fr-FR"/>
        </w:rPr>
        <w:t>’</w:t>
      </w:r>
      <w:r w:rsidRPr="00FA7548">
        <w:rPr>
          <w:lang w:val="fr-FR"/>
        </w:rPr>
        <w:t>homme dans des conditions d</w:t>
      </w:r>
      <w:r>
        <w:rPr>
          <w:lang w:val="fr-FR"/>
        </w:rPr>
        <w:t>’</w:t>
      </w:r>
      <w:r w:rsidRPr="00FA7548">
        <w:rPr>
          <w:lang w:val="fr-FR"/>
        </w:rPr>
        <w:t>égalité, et en suivre les résultats</w:t>
      </w:r>
      <w:r w:rsidRPr="00CD6B67">
        <w:rPr>
          <w:rStyle w:val="FootnoteReference"/>
        </w:rPr>
        <w:footnoteReference w:id="202"/>
      </w:r>
      <w:r>
        <w:rPr>
          <w:lang w:val="fr-FR"/>
        </w:rPr>
        <w:t>.</w:t>
      </w:r>
      <w:r w:rsidRPr="00293268">
        <w:rPr>
          <w:lang w:val="fr-FR"/>
        </w:rPr>
        <w:t xml:space="preserve"> </w:t>
      </w:r>
      <w:r w:rsidRPr="000D2DF5">
        <w:rPr>
          <w:lang w:val="fr-FR"/>
        </w:rPr>
        <w:t>Dans les États fédéraux, les gouvernements devraient soutenir, inciter et encourager les autorités infranationales, y</w:t>
      </w:r>
      <w:r w:rsidR="0037599F">
        <w:rPr>
          <w:lang w:val="fr-FR"/>
        </w:rPr>
        <w:t> </w:t>
      </w:r>
      <w:r w:rsidRPr="000D2DF5">
        <w:rPr>
          <w:lang w:val="fr-FR"/>
        </w:rPr>
        <w:t>compris les organismes de défense des droits civils et des droits de l</w:t>
      </w:r>
      <w:r>
        <w:rPr>
          <w:lang w:val="fr-FR"/>
        </w:rPr>
        <w:t>’</w:t>
      </w:r>
      <w:r w:rsidRPr="000D2DF5">
        <w:rPr>
          <w:lang w:val="fr-FR"/>
        </w:rPr>
        <w:t xml:space="preserve">homme </w:t>
      </w:r>
      <w:r>
        <w:rPr>
          <w:lang w:val="fr-FR"/>
        </w:rPr>
        <w:t>des États</w:t>
      </w:r>
      <w:r w:rsidRPr="000D2DF5">
        <w:rPr>
          <w:lang w:val="fr-FR"/>
        </w:rPr>
        <w:t xml:space="preserve"> et </w:t>
      </w:r>
      <w:r>
        <w:rPr>
          <w:lang w:val="fr-FR"/>
        </w:rPr>
        <w:t>locaux</w:t>
      </w:r>
      <w:r w:rsidRPr="000D2DF5">
        <w:rPr>
          <w:lang w:val="fr-FR"/>
        </w:rPr>
        <w:t>, à agir conformément aux principes des droits de l</w:t>
      </w:r>
      <w:r>
        <w:rPr>
          <w:lang w:val="fr-FR"/>
        </w:rPr>
        <w:t>’</w:t>
      </w:r>
      <w:r w:rsidRPr="000D2DF5">
        <w:rPr>
          <w:lang w:val="fr-FR"/>
        </w:rPr>
        <w:t>homme et en particulier aux recommandations visant à cerner et éliminer les causes profondes du racisme systémique et de la discrimination structurelle, et à rendre compte publiquement de la réalisation des droits des personnes d</w:t>
      </w:r>
      <w:r>
        <w:rPr>
          <w:lang w:val="fr-FR"/>
        </w:rPr>
        <w:t>’</w:t>
      </w:r>
      <w:r w:rsidRPr="000D2DF5">
        <w:rPr>
          <w:lang w:val="fr-FR"/>
        </w:rPr>
        <w:t>ascendance africaine</w:t>
      </w:r>
      <w:r w:rsidRPr="00293268">
        <w:rPr>
          <w:lang w:val="fr-FR"/>
        </w:rPr>
        <w:t xml:space="preserve">. </w:t>
      </w:r>
      <w:r w:rsidRPr="00CB6CB3">
        <w:rPr>
          <w:lang w:val="fr-FR"/>
        </w:rPr>
        <w:t>Tous les échelons de l</w:t>
      </w:r>
      <w:r>
        <w:rPr>
          <w:lang w:val="fr-FR"/>
        </w:rPr>
        <w:t>’</w:t>
      </w:r>
      <w:r w:rsidRPr="00CB6CB3">
        <w:rPr>
          <w:lang w:val="fr-FR"/>
        </w:rPr>
        <w:t xml:space="preserve">administration devraient être équipés pour </w:t>
      </w:r>
      <w:r>
        <w:rPr>
          <w:lang w:val="fr-FR"/>
        </w:rPr>
        <w:t xml:space="preserve">repérer </w:t>
      </w:r>
      <w:r w:rsidRPr="00CB6CB3">
        <w:rPr>
          <w:lang w:val="fr-FR"/>
        </w:rPr>
        <w:t>et analyser les formes existantes de discrimination raciale</w:t>
      </w:r>
      <w:r>
        <w:rPr>
          <w:lang w:val="fr-FR"/>
        </w:rPr>
        <w:t>,</w:t>
      </w:r>
      <w:r w:rsidRPr="00CB6CB3">
        <w:rPr>
          <w:lang w:val="fr-FR"/>
        </w:rPr>
        <w:t xml:space="preserve"> recueillir et publier des données ventilées pertinentes et collaborer avec les </w:t>
      </w:r>
      <w:r>
        <w:rPr>
          <w:lang w:val="fr-FR"/>
        </w:rPr>
        <w:t>population</w:t>
      </w:r>
      <w:r w:rsidRPr="00CB6CB3">
        <w:rPr>
          <w:lang w:val="fr-FR"/>
        </w:rPr>
        <w:t>s pour élaborer des lois et des politiques, améliorer la qualité de vie de toutes et tous et promouvoir la justice</w:t>
      </w:r>
      <w:r w:rsidRPr="00293268">
        <w:rPr>
          <w:lang w:val="fr-FR"/>
        </w:rPr>
        <w:t>.</w:t>
      </w:r>
    </w:p>
    <w:p w14:paraId="6591870E" w14:textId="2C95C6AA" w:rsidR="00865E37" w:rsidRPr="00293268" w:rsidRDefault="00865E37" w:rsidP="00865E37">
      <w:pPr>
        <w:pStyle w:val="SingleTxtG"/>
        <w:rPr>
          <w:lang w:val="fr-FR"/>
        </w:rPr>
      </w:pPr>
      <w:r w:rsidRPr="00293268">
        <w:rPr>
          <w:lang w:val="fr-FR"/>
        </w:rPr>
        <w:t>63.</w:t>
      </w:r>
      <w:r w:rsidRPr="00293268">
        <w:rPr>
          <w:lang w:val="fr-FR"/>
        </w:rPr>
        <w:tab/>
        <w:t>Les États devraient examiner l</w:t>
      </w:r>
      <w:r>
        <w:rPr>
          <w:lang w:val="fr-FR"/>
        </w:rPr>
        <w:t>’</w:t>
      </w:r>
      <w:r w:rsidRPr="00293268">
        <w:rPr>
          <w:lang w:val="fr-FR"/>
        </w:rPr>
        <w:t xml:space="preserve">ampleur et les effets du racisme systémique et adopter des mesures </w:t>
      </w:r>
      <w:r>
        <w:rPr>
          <w:lang w:val="fr-FR"/>
        </w:rPr>
        <w:t>juridiques</w:t>
      </w:r>
      <w:r w:rsidRPr="00293268">
        <w:rPr>
          <w:lang w:val="fr-FR"/>
        </w:rPr>
        <w:t xml:space="preserve">, stratégiques et institutionnelles efficaces </w:t>
      </w:r>
      <w:r>
        <w:rPr>
          <w:lang w:val="fr-FR"/>
        </w:rPr>
        <w:t xml:space="preserve">de lutte contre ce phénomène fondées sur l’idée que le racisme n’est pas </w:t>
      </w:r>
      <w:r w:rsidRPr="00CF72A4">
        <w:rPr>
          <w:lang w:val="fr-FR"/>
        </w:rPr>
        <w:t>la somme d</w:t>
      </w:r>
      <w:r>
        <w:rPr>
          <w:lang w:val="fr-FR"/>
        </w:rPr>
        <w:t>’</w:t>
      </w:r>
      <w:r w:rsidRPr="00CF72A4">
        <w:rPr>
          <w:lang w:val="fr-FR"/>
        </w:rPr>
        <w:t>actes individuels</w:t>
      </w:r>
      <w:r w:rsidRPr="00293268">
        <w:rPr>
          <w:lang w:val="fr-FR"/>
        </w:rPr>
        <w:t>. Un</w:t>
      </w:r>
      <w:r w:rsidR="00FB5B79">
        <w:rPr>
          <w:lang w:val="fr-FR"/>
        </w:rPr>
        <w:t> </w:t>
      </w:r>
      <w:r w:rsidRPr="00293268">
        <w:rPr>
          <w:lang w:val="fr-FR"/>
        </w:rPr>
        <w:t xml:space="preserve">examen rigoureux est donc essentiel pour </w:t>
      </w:r>
      <w:r>
        <w:rPr>
          <w:lang w:val="fr-FR"/>
        </w:rPr>
        <w:t>démanteler</w:t>
      </w:r>
      <w:r w:rsidRPr="00293268">
        <w:rPr>
          <w:lang w:val="fr-FR"/>
        </w:rPr>
        <w:t xml:space="preserve"> les structures et les mesures qui contribuent aux inégalités politiques, sociales et économiques et pour s</w:t>
      </w:r>
      <w:r>
        <w:rPr>
          <w:lang w:val="fr-FR"/>
        </w:rPr>
        <w:t>’</w:t>
      </w:r>
      <w:r w:rsidRPr="00293268">
        <w:rPr>
          <w:lang w:val="fr-FR"/>
        </w:rPr>
        <w:t>attaquer de manière globale aux manifestations, aux causes profondes et aux vecteurs du racisme systémique</w:t>
      </w:r>
      <w:r w:rsidRPr="00CD6B67">
        <w:rPr>
          <w:rStyle w:val="FootnoteReference"/>
        </w:rPr>
        <w:footnoteReference w:id="203"/>
      </w:r>
      <w:r w:rsidRPr="00293268">
        <w:rPr>
          <w:lang w:val="fr-FR"/>
        </w:rPr>
        <w:t xml:space="preserve">. </w:t>
      </w:r>
      <w:r w:rsidRPr="002B530C">
        <w:rPr>
          <w:lang w:val="fr-FR"/>
        </w:rPr>
        <w:t xml:space="preserve">Au premier rang de ces vecteurs figurent les stéréotypes raciaux et représentations erronées </w:t>
      </w:r>
      <w:r>
        <w:rPr>
          <w:lang w:val="fr-FR"/>
        </w:rPr>
        <w:t>qu’il importe de déconstruire</w:t>
      </w:r>
      <w:r w:rsidRPr="002B530C">
        <w:rPr>
          <w:lang w:val="fr-FR"/>
        </w:rPr>
        <w:t>, en particulier en reconnaissant</w:t>
      </w:r>
      <w:r>
        <w:rPr>
          <w:lang w:val="fr-FR"/>
        </w:rPr>
        <w:t xml:space="preserve">, </w:t>
      </w:r>
      <w:r w:rsidRPr="002B530C">
        <w:rPr>
          <w:lang w:val="fr-FR"/>
        </w:rPr>
        <w:t>dans les constitutions et législations nationales,</w:t>
      </w:r>
      <w:r w:rsidRPr="00DF4EA0">
        <w:rPr>
          <w:lang w:val="fr-FR"/>
        </w:rPr>
        <w:t xml:space="preserve"> </w:t>
      </w:r>
      <w:r w:rsidRPr="001E56EB">
        <w:rPr>
          <w:lang w:val="fr-FR"/>
        </w:rPr>
        <w:t>que les personnes d</w:t>
      </w:r>
      <w:r>
        <w:rPr>
          <w:lang w:val="fr-FR"/>
        </w:rPr>
        <w:t>’</w:t>
      </w:r>
      <w:r w:rsidRPr="001E56EB">
        <w:rPr>
          <w:lang w:val="fr-FR"/>
        </w:rPr>
        <w:t>ascendance africaine constituent un groupe distinct</w:t>
      </w:r>
      <w:r>
        <w:rPr>
          <w:lang w:val="fr-FR"/>
        </w:rPr>
        <w:t>, en promouvant l’éducation</w:t>
      </w:r>
      <w:r w:rsidRPr="00BF71F2">
        <w:rPr>
          <w:lang w:val="fr-FR"/>
        </w:rPr>
        <w:t xml:space="preserve">, </w:t>
      </w:r>
      <w:r>
        <w:rPr>
          <w:lang w:val="fr-FR"/>
        </w:rPr>
        <w:t>en menant des actions</w:t>
      </w:r>
      <w:r w:rsidRPr="00BF71F2">
        <w:rPr>
          <w:lang w:val="fr-FR"/>
        </w:rPr>
        <w:t xml:space="preserve"> de sensibilisation</w:t>
      </w:r>
      <w:r>
        <w:rPr>
          <w:lang w:val="fr-FR"/>
        </w:rPr>
        <w:t>,</w:t>
      </w:r>
      <w:r w:rsidRPr="00BF71F2">
        <w:rPr>
          <w:lang w:val="fr-FR"/>
        </w:rPr>
        <w:t xml:space="preserve"> </w:t>
      </w:r>
      <w:r>
        <w:rPr>
          <w:lang w:val="fr-FR"/>
        </w:rPr>
        <w:t>en favorisant le</w:t>
      </w:r>
      <w:r w:rsidRPr="00BF71F2">
        <w:rPr>
          <w:lang w:val="fr-FR"/>
        </w:rPr>
        <w:t xml:space="preserve"> respect de leurs droits</w:t>
      </w:r>
      <w:r>
        <w:rPr>
          <w:lang w:val="fr-FR"/>
        </w:rPr>
        <w:t xml:space="preserve"> </w:t>
      </w:r>
      <w:r w:rsidRPr="00BF71F2">
        <w:rPr>
          <w:lang w:val="fr-FR"/>
        </w:rPr>
        <w:t>culturels</w:t>
      </w:r>
      <w:r w:rsidRPr="002B530C">
        <w:rPr>
          <w:lang w:val="fr-FR"/>
        </w:rPr>
        <w:t xml:space="preserve"> et </w:t>
      </w:r>
      <w:r>
        <w:rPr>
          <w:lang w:val="fr-FR"/>
        </w:rPr>
        <w:t>en prenant des mesures de nature à p</w:t>
      </w:r>
      <w:r w:rsidRPr="001820D7">
        <w:rPr>
          <w:lang w:val="fr-FR"/>
        </w:rPr>
        <w:t>romouvoir une meilleure connaissance et un plus grand respect de</w:t>
      </w:r>
      <w:r>
        <w:rPr>
          <w:lang w:val="fr-FR"/>
        </w:rPr>
        <w:t xml:space="preserve"> </w:t>
      </w:r>
      <w:r w:rsidRPr="001820D7">
        <w:rPr>
          <w:lang w:val="fr-FR"/>
        </w:rPr>
        <w:t>l</w:t>
      </w:r>
      <w:r>
        <w:rPr>
          <w:lang w:val="fr-FR"/>
        </w:rPr>
        <w:t xml:space="preserve">eur </w:t>
      </w:r>
      <w:r w:rsidRPr="001820D7">
        <w:rPr>
          <w:lang w:val="fr-FR"/>
        </w:rPr>
        <w:t>histoire</w:t>
      </w:r>
      <w:r w:rsidRPr="00CD6B67">
        <w:rPr>
          <w:rStyle w:val="FootnoteReference"/>
        </w:rPr>
        <w:footnoteReference w:id="204"/>
      </w:r>
      <w:r>
        <w:rPr>
          <w:lang w:val="fr-FR"/>
        </w:rPr>
        <w:t>.</w:t>
      </w:r>
      <w:r w:rsidRPr="00293268">
        <w:rPr>
          <w:lang w:val="fr-FR"/>
        </w:rPr>
        <w:t xml:space="preserve"> </w:t>
      </w:r>
      <w:r w:rsidRPr="00294988">
        <w:rPr>
          <w:lang w:val="fr-FR"/>
        </w:rPr>
        <w:t>En outre, les États devraient redoubler d</w:t>
      </w:r>
      <w:r>
        <w:rPr>
          <w:lang w:val="fr-FR"/>
        </w:rPr>
        <w:t>’</w:t>
      </w:r>
      <w:r w:rsidRPr="00294988">
        <w:rPr>
          <w:lang w:val="fr-FR"/>
        </w:rPr>
        <w:t xml:space="preserve">efforts pour </w:t>
      </w:r>
      <w:r>
        <w:rPr>
          <w:lang w:val="fr-FR"/>
        </w:rPr>
        <w:t xml:space="preserve">établir des matériels </w:t>
      </w:r>
      <w:r w:rsidRPr="00294988">
        <w:rPr>
          <w:lang w:val="fr-FR"/>
        </w:rPr>
        <w:t xml:space="preserve">pédagogiques, </w:t>
      </w:r>
      <w:r>
        <w:rPr>
          <w:lang w:val="fr-FR"/>
        </w:rPr>
        <w:t>notamment</w:t>
      </w:r>
      <w:r w:rsidRPr="00294988">
        <w:rPr>
          <w:lang w:val="fr-FR"/>
        </w:rPr>
        <w:t xml:space="preserve"> des manuels scolaires et des dictionnaires, </w:t>
      </w:r>
      <w:r w:rsidRPr="0098486F">
        <w:rPr>
          <w:lang w:val="fr-FR"/>
        </w:rPr>
        <w:t>de façon à</w:t>
      </w:r>
      <w:r>
        <w:rPr>
          <w:lang w:val="fr-FR"/>
        </w:rPr>
        <w:t xml:space="preserve"> </w:t>
      </w:r>
      <w:r w:rsidRPr="0098486F">
        <w:rPr>
          <w:lang w:val="fr-FR"/>
        </w:rPr>
        <w:t>éliminer tout élément de nature à promouvoir le racisme, la discrimination</w:t>
      </w:r>
      <w:r>
        <w:rPr>
          <w:lang w:val="fr-FR"/>
        </w:rPr>
        <w:t xml:space="preserve"> </w:t>
      </w:r>
      <w:r w:rsidRPr="0098486F">
        <w:rPr>
          <w:lang w:val="fr-FR"/>
        </w:rPr>
        <w:t>raciale, la xénophobie et l</w:t>
      </w:r>
      <w:r>
        <w:rPr>
          <w:lang w:val="fr-FR"/>
        </w:rPr>
        <w:t>’</w:t>
      </w:r>
      <w:r w:rsidRPr="0098486F">
        <w:rPr>
          <w:lang w:val="fr-FR"/>
        </w:rPr>
        <w:t>intolérance qui y est associée ou à renforcer les</w:t>
      </w:r>
      <w:r>
        <w:rPr>
          <w:lang w:val="fr-FR"/>
        </w:rPr>
        <w:t xml:space="preserve"> </w:t>
      </w:r>
      <w:r w:rsidRPr="0098486F">
        <w:rPr>
          <w:lang w:val="fr-FR"/>
        </w:rPr>
        <w:t>stéréotypes négatifs, et y inclure des éléments qui réfutent ces stéréotypes</w:t>
      </w:r>
      <w:r w:rsidRPr="00CD6B67">
        <w:rPr>
          <w:rStyle w:val="FootnoteReference"/>
        </w:rPr>
        <w:footnoteReference w:id="205"/>
      </w:r>
      <w:r>
        <w:rPr>
          <w:lang w:val="fr-FR"/>
        </w:rPr>
        <w:t>.</w:t>
      </w:r>
    </w:p>
    <w:p w14:paraId="1AF700C6" w14:textId="77777777" w:rsidR="00865E37" w:rsidRPr="00293268" w:rsidRDefault="00865E37" w:rsidP="00865E37">
      <w:pPr>
        <w:pStyle w:val="SingleTxtG"/>
        <w:rPr>
          <w:lang w:val="fr-FR"/>
        </w:rPr>
      </w:pPr>
      <w:r w:rsidRPr="00293268">
        <w:rPr>
          <w:lang w:val="fr-FR"/>
        </w:rPr>
        <w:t>64.</w:t>
      </w:r>
      <w:r w:rsidRPr="00293268">
        <w:rPr>
          <w:lang w:val="fr-FR"/>
        </w:rPr>
        <w:tab/>
        <w:t>Les progrès d</w:t>
      </w:r>
      <w:r>
        <w:rPr>
          <w:lang w:val="fr-FR"/>
        </w:rPr>
        <w:t>evrai</w:t>
      </w:r>
      <w:r w:rsidRPr="00293268">
        <w:rPr>
          <w:lang w:val="fr-FR"/>
        </w:rPr>
        <w:t xml:space="preserve">ent être mesurés </w:t>
      </w:r>
      <w:r w:rsidRPr="00F560AC">
        <w:rPr>
          <w:lang w:val="fr-FR"/>
        </w:rPr>
        <w:t>au moyen d</w:t>
      </w:r>
      <w:r>
        <w:rPr>
          <w:lang w:val="fr-FR"/>
        </w:rPr>
        <w:t>’</w:t>
      </w:r>
      <w:r w:rsidRPr="00F560AC">
        <w:rPr>
          <w:lang w:val="fr-FR"/>
        </w:rPr>
        <w:t xml:space="preserve">indicateurs fondés sur </w:t>
      </w:r>
      <w:r>
        <w:rPr>
          <w:lang w:val="fr-FR"/>
        </w:rPr>
        <w:t>d</w:t>
      </w:r>
      <w:r w:rsidRPr="00F560AC">
        <w:rPr>
          <w:lang w:val="fr-FR"/>
        </w:rPr>
        <w:t xml:space="preserve">es résultats plutôt que </w:t>
      </w:r>
      <w:r>
        <w:rPr>
          <w:lang w:val="fr-FR"/>
        </w:rPr>
        <w:t>sur d</w:t>
      </w:r>
      <w:r w:rsidRPr="00F560AC">
        <w:rPr>
          <w:lang w:val="fr-FR"/>
        </w:rPr>
        <w:t>es intentions</w:t>
      </w:r>
      <w:r w:rsidRPr="00293268">
        <w:rPr>
          <w:lang w:val="fr-FR"/>
        </w:rPr>
        <w:t xml:space="preserve">. Il est essentiel de veiller à ce que les systèmes et les institutions ne profitent pas du racisme et </w:t>
      </w:r>
      <w:r>
        <w:rPr>
          <w:lang w:val="fr-FR"/>
        </w:rPr>
        <w:t>d’éliminer</w:t>
      </w:r>
      <w:r w:rsidRPr="0023593B">
        <w:rPr>
          <w:lang w:val="fr-FR"/>
        </w:rPr>
        <w:t xml:space="preserve"> tout ce qui </w:t>
      </w:r>
      <w:r>
        <w:rPr>
          <w:lang w:val="fr-FR"/>
        </w:rPr>
        <w:t>contribue</w:t>
      </w:r>
      <w:r w:rsidRPr="0023593B">
        <w:rPr>
          <w:lang w:val="fr-FR"/>
        </w:rPr>
        <w:t xml:space="preserve"> </w:t>
      </w:r>
      <w:r w:rsidRPr="00293268">
        <w:rPr>
          <w:lang w:val="fr-FR"/>
        </w:rPr>
        <w:t>à le perpétuer.</w:t>
      </w:r>
    </w:p>
    <w:p w14:paraId="10E579DC" w14:textId="305E51A8" w:rsidR="00865E37" w:rsidRPr="00293268" w:rsidRDefault="00865E37" w:rsidP="00C34F42">
      <w:pPr>
        <w:pStyle w:val="H23G"/>
        <w:rPr>
          <w:lang w:val="fr-FR"/>
        </w:rPr>
      </w:pPr>
      <w:bookmarkStart w:id="124" w:name="_Toc73738834"/>
      <w:bookmarkStart w:id="125" w:name="_Toc74078715"/>
      <w:bookmarkStart w:id="126" w:name="_Toc74080644"/>
      <w:bookmarkStart w:id="127" w:name="_Toc75280471"/>
      <w:bookmarkStart w:id="128" w:name="_Toc74173710"/>
      <w:r w:rsidRPr="00293268">
        <w:rPr>
          <w:lang w:val="fr-FR"/>
        </w:rPr>
        <w:tab/>
        <w:t>2.</w:t>
      </w:r>
      <w:r w:rsidRPr="00293268">
        <w:rPr>
          <w:lang w:val="fr-FR"/>
        </w:rPr>
        <w:tab/>
      </w:r>
      <w:bookmarkEnd w:id="124"/>
      <w:bookmarkEnd w:id="125"/>
      <w:bookmarkEnd w:id="126"/>
      <w:bookmarkEnd w:id="127"/>
      <w:bookmarkEnd w:id="128"/>
      <w:r w:rsidRPr="0026699A">
        <w:rPr>
          <w:lang w:val="fr-FR"/>
        </w:rPr>
        <w:t>Prendre</w:t>
      </w:r>
      <w:r>
        <w:rPr>
          <w:lang w:val="fr-FR"/>
        </w:rPr>
        <w:t xml:space="preserve"> publiquement</w:t>
      </w:r>
      <w:r w:rsidRPr="0026699A">
        <w:rPr>
          <w:lang w:val="fr-FR"/>
        </w:rPr>
        <w:t xml:space="preserve"> des engagements assortis </w:t>
      </w:r>
      <w:r>
        <w:rPr>
          <w:lang w:val="fr-FR"/>
        </w:rPr>
        <w:t xml:space="preserve">de délais </w:t>
      </w:r>
      <w:r w:rsidRPr="0026699A">
        <w:rPr>
          <w:lang w:val="fr-FR"/>
        </w:rPr>
        <w:t xml:space="preserve">sur </w:t>
      </w:r>
      <w:r>
        <w:rPr>
          <w:lang w:val="fr-FR"/>
        </w:rPr>
        <w:t xml:space="preserve">le déploiement </w:t>
      </w:r>
      <w:r w:rsidR="00833946">
        <w:rPr>
          <w:lang w:val="fr-FR"/>
        </w:rPr>
        <w:br/>
      </w:r>
      <w:r>
        <w:rPr>
          <w:lang w:val="fr-FR"/>
        </w:rPr>
        <w:t>de</w:t>
      </w:r>
      <w:r w:rsidRPr="0026699A">
        <w:rPr>
          <w:lang w:val="fr-FR"/>
        </w:rPr>
        <w:t xml:space="preserve"> stratégies et </w:t>
      </w:r>
      <w:r>
        <w:rPr>
          <w:lang w:val="fr-FR"/>
        </w:rPr>
        <w:t xml:space="preserve">de </w:t>
      </w:r>
      <w:r w:rsidRPr="0026699A">
        <w:rPr>
          <w:lang w:val="fr-FR"/>
        </w:rPr>
        <w:t>plans d</w:t>
      </w:r>
      <w:r>
        <w:rPr>
          <w:lang w:val="fr-FR"/>
        </w:rPr>
        <w:t>’</w:t>
      </w:r>
      <w:r w:rsidRPr="0026699A">
        <w:rPr>
          <w:lang w:val="fr-FR"/>
        </w:rPr>
        <w:t xml:space="preserve">action nationaux et régionaux </w:t>
      </w:r>
      <w:r>
        <w:rPr>
          <w:lang w:val="fr-FR"/>
        </w:rPr>
        <w:t>visant à</w:t>
      </w:r>
      <w:r w:rsidRPr="0026699A">
        <w:rPr>
          <w:lang w:val="fr-FR"/>
        </w:rPr>
        <w:t xml:space="preserve"> mettre fin </w:t>
      </w:r>
      <w:r w:rsidR="00833946">
        <w:rPr>
          <w:lang w:val="fr-FR"/>
        </w:rPr>
        <w:br/>
      </w:r>
      <w:r w:rsidRPr="0026699A">
        <w:rPr>
          <w:lang w:val="fr-FR"/>
        </w:rPr>
        <w:t xml:space="preserve">au racisme systémique, et habiliter des institutions indépendantes à contrôler </w:t>
      </w:r>
      <w:r w:rsidR="00833946">
        <w:rPr>
          <w:lang w:val="fr-FR"/>
        </w:rPr>
        <w:br/>
      </w:r>
      <w:r w:rsidRPr="0026699A">
        <w:rPr>
          <w:lang w:val="fr-FR"/>
        </w:rPr>
        <w:t>et rendre compte de la manière dont ces engagements sont respectés</w:t>
      </w:r>
    </w:p>
    <w:p w14:paraId="4E809CCD" w14:textId="77777777" w:rsidR="00865E37" w:rsidRPr="00293268" w:rsidRDefault="00865E37" w:rsidP="00865E37">
      <w:pPr>
        <w:pStyle w:val="SingleTxtG"/>
        <w:rPr>
          <w:lang w:val="fr-FR"/>
        </w:rPr>
      </w:pPr>
      <w:r w:rsidRPr="00293268">
        <w:rPr>
          <w:lang w:val="fr-FR"/>
        </w:rPr>
        <w:t>65.</w:t>
      </w:r>
      <w:r w:rsidRPr="00293268">
        <w:rPr>
          <w:lang w:val="fr-FR"/>
        </w:rPr>
        <w:tab/>
      </w:r>
      <w:r w:rsidRPr="009E4D4B">
        <w:rPr>
          <w:lang w:val="fr-FR"/>
        </w:rPr>
        <w:t>Le moment est venu de passer à l</w:t>
      </w:r>
      <w:r>
        <w:rPr>
          <w:lang w:val="fr-FR"/>
        </w:rPr>
        <w:t>’</w:t>
      </w:r>
      <w:r w:rsidRPr="009E4D4B">
        <w:rPr>
          <w:lang w:val="fr-FR"/>
        </w:rPr>
        <w:t>action</w:t>
      </w:r>
      <w:r w:rsidRPr="00EC705E">
        <w:rPr>
          <w:lang w:val="fr-FR"/>
        </w:rPr>
        <w:t xml:space="preserve">. Les États doivent </w:t>
      </w:r>
      <w:r>
        <w:rPr>
          <w:lang w:val="fr-FR"/>
        </w:rPr>
        <w:t>dé</w:t>
      </w:r>
      <w:r w:rsidRPr="00EC705E">
        <w:rPr>
          <w:lang w:val="fr-FR"/>
        </w:rPr>
        <w:t xml:space="preserve">passer </w:t>
      </w:r>
      <w:r>
        <w:rPr>
          <w:lang w:val="fr-FR"/>
        </w:rPr>
        <w:t>l</w:t>
      </w:r>
      <w:r w:rsidRPr="00EC705E">
        <w:rPr>
          <w:lang w:val="fr-FR"/>
        </w:rPr>
        <w:t>es déclarations d</w:t>
      </w:r>
      <w:r>
        <w:rPr>
          <w:lang w:val="fr-FR"/>
        </w:rPr>
        <w:t>’</w:t>
      </w:r>
      <w:r w:rsidRPr="00EC705E">
        <w:rPr>
          <w:lang w:val="fr-FR"/>
        </w:rPr>
        <w:t xml:space="preserve">intention </w:t>
      </w:r>
      <w:r>
        <w:rPr>
          <w:lang w:val="fr-FR"/>
        </w:rPr>
        <w:t>et prendre</w:t>
      </w:r>
      <w:r w:rsidRPr="00EC705E">
        <w:rPr>
          <w:lang w:val="fr-FR"/>
        </w:rPr>
        <w:t xml:space="preserve"> des engagements assortis </w:t>
      </w:r>
      <w:r>
        <w:rPr>
          <w:lang w:val="fr-FR"/>
        </w:rPr>
        <w:t>de délais</w:t>
      </w:r>
      <w:r w:rsidRPr="00EC705E">
        <w:rPr>
          <w:lang w:val="fr-FR"/>
        </w:rPr>
        <w:t xml:space="preserve"> pour obtenir des résultats, notamment </w:t>
      </w:r>
      <w:r>
        <w:rPr>
          <w:lang w:val="fr-FR"/>
        </w:rPr>
        <w:t xml:space="preserve">au moyen </w:t>
      </w:r>
      <w:r w:rsidRPr="00EC705E">
        <w:rPr>
          <w:lang w:val="fr-FR"/>
        </w:rPr>
        <w:t>de stratégies et de plans d</w:t>
      </w:r>
      <w:r>
        <w:rPr>
          <w:lang w:val="fr-FR"/>
        </w:rPr>
        <w:t>’</w:t>
      </w:r>
      <w:r w:rsidRPr="00EC705E">
        <w:rPr>
          <w:lang w:val="fr-FR"/>
        </w:rPr>
        <w:t xml:space="preserve">action nationaux et régionaux visant à mettre fin au racisme systémique. Les États devraient reconnaître effectivement dans leurs politiques et initiatives les effets </w:t>
      </w:r>
      <w:r>
        <w:rPr>
          <w:lang w:val="fr-FR"/>
        </w:rPr>
        <w:t>préjudiciables</w:t>
      </w:r>
      <w:r w:rsidRPr="00EC705E">
        <w:rPr>
          <w:lang w:val="fr-FR"/>
        </w:rPr>
        <w:t xml:space="preserve"> des</w:t>
      </w:r>
      <w:r w:rsidRPr="00730538">
        <w:rPr>
          <w:lang w:val="fr-FR"/>
        </w:rPr>
        <w:t xml:space="preserve"> </w:t>
      </w:r>
      <w:r w:rsidRPr="002F238C">
        <w:rPr>
          <w:lang w:val="fr-FR"/>
        </w:rPr>
        <w:t xml:space="preserve">préjudices causés par le passé </w:t>
      </w:r>
      <w:r>
        <w:rPr>
          <w:lang w:val="fr-FR"/>
        </w:rPr>
        <w:t xml:space="preserve">aux </w:t>
      </w:r>
      <w:r w:rsidRPr="00EC705E">
        <w:rPr>
          <w:lang w:val="fr-FR"/>
        </w:rPr>
        <w:t>personnes d</w:t>
      </w:r>
      <w:r>
        <w:rPr>
          <w:lang w:val="fr-FR"/>
        </w:rPr>
        <w:t>’</w:t>
      </w:r>
      <w:r w:rsidRPr="00EC705E">
        <w:rPr>
          <w:lang w:val="fr-FR"/>
        </w:rPr>
        <w:t xml:space="preserve">ascendance africaine, en particulier le colonialisme et la traite transatlantique des esclaves, dont </w:t>
      </w:r>
      <w:r>
        <w:rPr>
          <w:lang w:val="fr-FR"/>
        </w:rPr>
        <w:t xml:space="preserve">ils subissent encore aujourd’hui </w:t>
      </w:r>
      <w:r w:rsidRPr="00EC705E">
        <w:rPr>
          <w:lang w:val="fr-FR"/>
        </w:rPr>
        <w:t>les séquelles</w:t>
      </w:r>
      <w:r w:rsidRPr="00CD6B67">
        <w:rPr>
          <w:rStyle w:val="FootnoteReference"/>
        </w:rPr>
        <w:footnoteReference w:id="206"/>
      </w:r>
      <w:r>
        <w:rPr>
          <w:lang w:val="fr-FR"/>
        </w:rPr>
        <w:t>.</w:t>
      </w:r>
    </w:p>
    <w:p w14:paraId="370C40EF" w14:textId="77777777" w:rsidR="00865E37" w:rsidRPr="00293268" w:rsidRDefault="00865E37" w:rsidP="00865E37">
      <w:pPr>
        <w:pStyle w:val="SingleTxtG"/>
        <w:rPr>
          <w:lang w:val="fr-FR"/>
        </w:rPr>
      </w:pPr>
      <w:r w:rsidRPr="00293268">
        <w:rPr>
          <w:lang w:val="fr-FR"/>
        </w:rPr>
        <w:t>66.</w:t>
      </w:r>
      <w:r w:rsidRPr="00293268">
        <w:rPr>
          <w:lang w:val="fr-FR"/>
        </w:rPr>
        <w:tab/>
      </w:r>
      <w:r>
        <w:rPr>
          <w:lang w:val="fr-FR"/>
        </w:rPr>
        <w:t>Il faudrait établir d</w:t>
      </w:r>
      <w:r w:rsidRPr="008A5E12">
        <w:rPr>
          <w:lang w:val="fr-FR"/>
        </w:rPr>
        <w:t>es institutions nationales des droits de l</w:t>
      </w:r>
      <w:r>
        <w:rPr>
          <w:lang w:val="fr-FR"/>
        </w:rPr>
        <w:t>’</w:t>
      </w:r>
      <w:r w:rsidRPr="008A5E12">
        <w:rPr>
          <w:lang w:val="fr-FR"/>
        </w:rPr>
        <w:t xml:space="preserve">homme et des organismes </w:t>
      </w:r>
      <w:r>
        <w:rPr>
          <w:lang w:val="fr-FR"/>
        </w:rPr>
        <w:t>de promotion de</w:t>
      </w:r>
      <w:r w:rsidRPr="008A5E12">
        <w:rPr>
          <w:lang w:val="fr-FR"/>
        </w:rPr>
        <w:t xml:space="preserve"> l</w:t>
      </w:r>
      <w:r>
        <w:rPr>
          <w:lang w:val="fr-FR"/>
        </w:rPr>
        <w:t>’</w:t>
      </w:r>
      <w:r w:rsidRPr="008A5E12">
        <w:rPr>
          <w:lang w:val="fr-FR"/>
        </w:rPr>
        <w:t>égalité</w:t>
      </w:r>
      <w:r>
        <w:rPr>
          <w:lang w:val="fr-FR"/>
        </w:rPr>
        <w:t xml:space="preserve"> </w:t>
      </w:r>
      <w:r w:rsidRPr="008A5E12">
        <w:rPr>
          <w:lang w:val="fr-FR"/>
        </w:rPr>
        <w:t>indépendants</w:t>
      </w:r>
      <w:r w:rsidRPr="00CD6B67">
        <w:rPr>
          <w:rStyle w:val="FootnoteReference"/>
        </w:rPr>
        <w:footnoteReference w:id="207"/>
      </w:r>
      <w:r w:rsidRPr="00CC090F">
        <w:rPr>
          <w:lang w:val="fr-FR"/>
        </w:rPr>
        <w:t xml:space="preserve">, </w:t>
      </w:r>
      <w:r>
        <w:rPr>
          <w:lang w:val="fr-FR"/>
        </w:rPr>
        <w:t xml:space="preserve">les </w:t>
      </w:r>
      <w:r w:rsidRPr="00CC090F">
        <w:rPr>
          <w:lang w:val="fr-FR"/>
        </w:rPr>
        <w:t>dot</w:t>
      </w:r>
      <w:r>
        <w:rPr>
          <w:lang w:val="fr-FR"/>
        </w:rPr>
        <w:t>er</w:t>
      </w:r>
      <w:r w:rsidRPr="00CC090F">
        <w:rPr>
          <w:lang w:val="fr-FR"/>
        </w:rPr>
        <w:t xml:space="preserve"> de ressources suffisantes et </w:t>
      </w:r>
      <w:r>
        <w:rPr>
          <w:lang w:val="fr-FR"/>
        </w:rPr>
        <w:t xml:space="preserve">les investir de </w:t>
      </w:r>
      <w:r w:rsidRPr="00E34D8E">
        <w:rPr>
          <w:lang w:val="fr-FR"/>
        </w:rPr>
        <w:t xml:space="preserve">mandats solides </w:t>
      </w:r>
      <w:r w:rsidRPr="00CC090F">
        <w:rPr>
          <w:lang w:val="fr-FR"/>
        </w:rPr>
        <w:t>en vue de mettre fin au racisme systémique, notamment parmi les forces de l</w:t>
      </w:r>
      <w:r>
        <w:rPr>
          <w:lang w:val="fr-FR"/>
        </w:rPr>
        <w:t>’</w:t>
      </w:r>
      <w:r w:rsidRPr="00CC090F">
        <w:rPr>
          <w:lang w:val="fr-FR"/>
        </w:rPr>
        <w:t>ordre et dans le système de justice pénale</w:t>
      </w:r>
      <w:r>
        <w:rPr>
          <w:lang w:val="fr-FR"/>
        </w:rPr>
        <w:t>, ou renforcer les institutions existantes</w:t>
      </w:r>
      <w:r w:rsidRPr="00293268">
        <w:rPr>
          <w:lang w:val="fr-FR"/>
        </w:rPr>
        <w:t>.</w:t>
      </w:r>
    </w:p>
    <w:p w14:paraId="6C23F035" w14:textId="77777777" w:rsidR="00865E37" w:rsidRPr="00293268" w:rsidRDefault="00865E37" w:rsidP="00865E37">
      <w:pPr>
        <w:pStyle w:val="SingleTxtG"/>
        <w:rPr>
          <w:lang w:val="fr-FR"/>
        </w:rPr>
      </w:pPr>
      <w:r w:rsidRPr="00293268">
        <w:rPr>
          <w:lang w:val="fr-FR"/>
        </w:rPr>
        <w:t>67.</w:t>
      </w:r>
      <w:r w:rsidRPr="00293268">
        <w:rPr>
          <w:lang w:val="fr-FR"/>
        </w:rPr>
        <w:tab/>
      </w:r>
      <w:r w:rsidRPr="00B245DE">
        <w:rPr>
          <w:lang w:val="fr-FR"/>
        </w:rPr>
        <w:t>Les États devraient assurer la participation et la représentation actives et effectives des personnes d</w:t>
      </w:r>
      <w:r>
        <w:rPr>
          <w:lang w:val="fr-FR"/>
        </w:rPr>
        <w:t>’</w:t>
      </w:r>
      <w:r w:rsidRPr="00B245DE">
        <w:rPr>
          <w:lang w:val="fr-FR"/>
        </w:rPr>
        <w:t xml:space="preserve">ascendance africaine, </w:t>
      </w:r>
      <w:r>
        <w:rPr>
          <w:lang w:val="fr-FR"/>
        </w:rPr>
        <w:t>en particulier</w:t>
      </w:r>
      <w:r w:rsidRPr="00B245DE">
        <w:rPr>
          <w:lang w:val="fr-FR"/>
        </w:rPr>
        <w:t xml:space="preserve"> des femmes, </w:t>
      </w:r>
      <w:r>
        <w:rPr>
          <w:lang w:val="fr-FR"/>
        </w:rPr>
        <w:t>ainsi que</w:t>
      </w:r>
      <w:r w:rsidRPr="00B245DE">
        <w:rPr>
          <w:lang w:val="fr-FR"/>
        </w:rPr>
        <w:t xml:space="preserve"> des organisations qui les représentent dans les institutions de l</w:t>
      </w:r>
      <w:r>
        <w:rPr>
          <w:lang w:val="fr-FR"/>
        </w:rPr>
        <w:t>’</w:t>
      </w:r>
      <w:r w:rsidRPr="00B245DE">
        <w:rPr>
          <w:lang w:val="fr-FR"/>
        </w:rPr>
        <w:t>État, notamment les forces de l</w:t>
      </w:r>
      <w:r>
        <w:rPr>
          <w:lang w:val="fr-FR"/>
        </w:rPr>
        <w:t>’</w:t>
      </w:r>
      <w:r w:rsidRPr="00B245DE">
        <w:rPr>
          <w:lang w:val="fr-FR"/>
        </w:rPr>
        <w:t xml:space="preserve">ordre et le système de justice pénale, </w:t>
      </w:r>
      <w:r>
        <w:rPr>
          <w:lang w:val="fr-FR"/>
        </w:rPr>
        <w:t xml:space="preserve">de même </w:t>
      </w:r>
      <w:r w:rsidRPr="00B245DE">
        <w:rPr>
          <w:lang w:val="fr-FR"/>
        </w:rPr>
        <w:t>que dans les processus décisionnels et l</w:t>
      </w:r>
      <w:r>
        <w:rPr>
          <w:lang w:val="fr-FR"/>
        </w:rPr>
        <w:t>’</w:t>
      </w:r>
      <w:r w:rsidRPr="00B245DE">
        <w:rPr>
          <w:lang w:val="fr-FR"/>
        </w:rPr>
        <w:t xml:space="preserve">élaboration de stratégies, en mobilisant des ressources et </w:t>
      </w:r>
      <w:r>
        <w:rPr>
          <w:lang w:val="fr-FR"/>
        </w:rPr>
        <w:t>des budgets</w:t>
      </w:r>
      <w:r w:rsidRPr="00B245DE">
        <w:rPr>
          <w:lang w:val="fr-FR"/>
        </w:rPr>
        <w:t xml:space="preserve"> suffisants</w:t>
      </w:r>
      <w:r w:rsidRPr="00CD6B67">
        <w:rPr>
          <w:rStyle w:val="FootnoteReference"/>
        </w:rPr>
        <w:footnoteReference w:id="208"/>
      </w:r>
      <w:r>
        <w:rPr>
          <w:lang w:val="fr-FR"/>
        </w:rPr>
        <w:t>.</w:t>
      </w:r>
    </w:p>
    <w:p w14:paraId="39C303DC" w14:textId="310F19A2" w:rsidR="00865E37" w:rsidRPr="00293268" w:rsidRDefault="00865E37" w:rsidP="00865E37">
      <w:pPr>
        <w:pStyle w:val="SingleTxtG"/>
        <w:rPr>
          <w:lang w:val="fr-FR"/>
        </w:rPr>
      </w:pPr>
      <w:r w:rsidRPr="00293268">
        <w:rPr>
          <w:lang w:val="fr-FR"/>
        </w:rPr>
        <w:t>68.</w:t>
      </w:r>
      <w:r w:rsidRPr="00293268">
        <w:rPr>
          <w:lang w:val="fr-FR"/>
        </w:rPr>
        <w:tab/>
      </w:r>
      <w:r w:rsidRPr="00CB6793">
        <w:rPr>
          <w:lang w:val="fr-FR"/>
        </w:rPr>
        <w:t xml:space="preserve">Les États sont instamment priés de mettre en place des cadres pour </w:t>
      </w:r>
      <w:r>
        <w:rPr>
          <w:lang w:val="fr-FR"/>
        </w:rPr>
        <w:t>surveiller et suivre les</w:t>
      </w:r>
      <w:r w:rsidRPr="00CB6793">
        <w:rPr>
          <w:lang w:val="fr-FR"/>
        </w:rPr>
        <w:t xml:space="preserve"> stratégies et plans d</w:t>
      </w:r>
      <w:r>
        <w:rPr>
          <w:lang w:val="fr-FR"/>
        </w:rPr>
        <w:t>’</w:t>
      </w:r>
      <w:r w:rsidRPr="00CB6793">
        <w:rPr>
          <w:lang w:val="fr-FR"/>
        </w:rPr>
        <w:t xml:space="preserve">action nationaux et régionaux susmentionnés </w:t>
      </w:r>
      <w:r>
        <w:rPr>
          <w:lang w:val="fr-FR"/>
        </w:rPr>
        <w:t>visant à</w:t>
      </w:r>
      <w:r w:rsidRPr="00CB6793">
        <w:rPr>
          <w:lang w:val="fr-FR"/>
        </w:rPr>
        <w:t xml:space="preserve"> mettre fin au racisme systémique, notamment par l</w:t>
      </w:r>
      <w:r>
        <w:rPr>
          <w:lang w:val="fr-FR"/>
        </w:rPr>
        <w:t>’</w:t>
      </w:r>
      <w:r w:rsidRPr="00CB6793">
        <w:rPr>
          <w:lang w:val="fr-FR"/>
        </w:rPr>
        <w:t>intermédiaire d</w:t>
      </w:r>
      <w:r>
        <w:rPr>
          <w:lang w:val="fr-FR"/>
        </w:rPr>
        <w:t>’</w:t>
      </w:r>
      <w:r w:rsidRPr="00CB6793">
        <w:rPr>
          <w:lang w:val="fr-FR"/>
        </w:rPr>
        <w:t>institutions indépendantes, comme indiqué, avec la participation pleine et entière des personnes d</w:t>
      </w:r>
      <w:r>
        <w:rPr>
          <w:lang w:val="fr-FR"/>
        </w:rPr>
        <w:t>’</w:t>
      </w:r>
      <w:r w:rsidRPr="00CB6793">
        <w:rPr>
          <w:lang w:val="fr-FR"/>
        </w:rPr>
        <w:t>ascendance africaine. Ils</w:t>
      </w:r>
      <w:r w:rsidR="00C34278">
        <w:rPr>
          <w:lang w:val="fr-FR"/>
        </w:rPr>
        <w:t> </w:t>
      </w:r>
      <w:r w:rsidRPr="00CB6793">
        <w:rPr>
          <w:lang w:val="fr-FR"/>
        </w:rPr>
        <w:t>devraient promouvoir les partenariats avec les organisations de la société civile, le secteur privé, les médias, les parlements et les syndicats</w:t>
      </w:r>
      <w:r w:rsidRPr="00293268">
        <w:rPr>
          <w:lang w:val="fr-FR"/>
        </w:rPr>
        <w:t>.</w:t>
      </w:r>
    </w:p>
    <w:p w14:paraId="0977EA43" w14:textId="77777777" w:rsidR="00865E37" w:rsidRPr="00293268" w:rsidRDefault="00865E37" w:rsidP="00865E37">
      <w:pPr>
        <w:pStyle w:val="SingleTxtG"/>
        <w:rPr>
          <w:lang w:val="fr-FR"/>
        </w:rPr>
      </w:pPr>
      <w:r w:rsidRPr="00293268">
        <w:rPr>
          <w:lang w:val="fr-FR"/>
        </w:rPr>
        <w:t>69.</w:t>
      </w:r>
      <w:r w:rsidRPr="00293268">
        <w:rPr>
          <w:lang w:val="fr-FR"/>
        </w:rPr>
        <w:tab/>
        <w:t>Les entreprises devraient reconnaître qu</w:t>
      </w:r>
      <w:r>
        <w:rPr>
          <w:lang w:val="fr-FR"/>
        </w:rPr>
        <w:t>’</w:t>
      </w:r>
      <w:r w:rsidRPr="00293268">
        <w:rPr>
          <w:lang w:val="fr-FR"/>
        </w:rPr>
        <w:t>elles ont un rôle à jouer dans la lutte contre le racisme systémique et s</w:t>
      </w:r>
      <w:r>
        <w:rPr>
          <w:lang w:val="fr-FR"/>
        </w:rPr>
        <w:t>’</w:t>
      </w:r>
      <w:r w:rsidRPr="00293268">
        <w:rPr>
          <w:lang w:val="fr-FR"/>
        </w:rPr>
        <w:t>acquitter de la responsabilité qui leur incombe en tant que personnes morales de respecter les droits de l</w:t>
      </w:r>
      <w:r>
        <w:rPr>
          <w:lang w:val="fr-FR"/>
        </w:rPr>
        <w:t>’</w:t>
      </w:r>
      <w:r w:rsidRPr="00293268">
        <w:rPr>
          <w:lang w:val="fr-FR"/>
        </w:rPr>
        <w:t xml:space="preserve">homme, y compris </w:t>
      </w:r>
      <w:r>
        <w:rPr>
          <w:lang w:val="fr-FR"/>
        </w:rPr>
        <w:t>ceux</w:t>
      </w:r>
      <w:r w:rsidRPr="00293268">
        <w:rPr>
          <w:lang w:val="fr-FR"/>
        </w:rPr>
        <w:t xml:space="preserve"> des personnes d</w:t>
      </w:r>
      <w:r>
        <w:rPr>
          <w:lang w:val="fr-FR"/>
        </w:rPr>
        <w:t>’</w:t>
      </w:r>
      <w:r w:rsidRPr="00293268">
        <w:rPr>
          <w:lang w:val="fr-FR"/>
        </w:rPr>
        <w:t>ascendance africaine.</w:t>
      </w:r>
      <w:r w:rsidRPr="00293268">
        <w:rPr>
          <w:b/>
          <w:bCs/>
          <w:lang w:val="fr-FR"/>
        </w:rPr>
        <w:t xml:space="preserve"> </w:t>
      </w:r>
      <w:r w:rsidRPr="00AD2842">
        <w:rPr>
          <w:bCs/>
          <w:lang w:val="fr-FR"/>
        </w:rPr>
        <w:t xml:space="preserve">Pour cela, celles-ci </w:t>
      </w:r>
      <w:r w:rsidRPr="000D2601">
        <w:rPr>
          <w:bCs/>
          <w:lang w:val="fr-FR"/>
        </w:rPr>
        <w:t>doivent exercer</w:t>
      </w:r>
      <w:r w:rsidRPr="00AD2842">
        <w:rPr>
          <w:bCs/>
          <w:lang w:val="fr-FR"/>
        </w:rPr>
        <w:t xml:space="preserve"> une diligence raisonnable </w:t>
      </w:r>
      <w:r>
        <w:rPr>
          <w:bCs/>
          <w:lang w:val="fr-FR"/>
        </w:rPr>
        <w:t>pour</w:t>
      </w:r>
      <w:r w:rsidRPr="00293268">
        <w:rPr>
          <w:b/>
          <w:bCs/>
          <w:lang w:val="fr-FR"/>
        </w:rPr>
        <w:t xml:space="preserve"> </w:t>
      </w:r>
      <w:r w:rsidRPr="00293268">
        <w:rPr>
          <w:lang w:val="fr-FR"/>
        </w:rPr>
        <w:t xml:space="preserve">éviter </w:t>
      </w:r>
      <w:r w:rsidRPr="00140A2B">
        <w:rPr>
          <w:lang w:val="fr-FR"/>
        </w:rPr>
        <w:t>d</w:t>
      </w:r>
      <w:r>
        <w:rPr>
          <w:lang w:val="fr-FR"/>
        </w:rPr>
        <w:t>’</w:t>
      </w:r>
      <w:r w:rsidRPr="00140A2B">
        <w:rPr>
          <w:lang w:val="fr-FR"/>
        </w:rPr>
        <w:t xml:space="preserve">avoir des </w:t>
      </w:r>
      <w:r>
        <w:rPr>
          <w:lang w:val="fr-FR"/>
        </w:rPr>
        <w:t>effets préjudiciables</w:t>
      </w:r>
      <w:r w:rsidRPr="00140A2B">
        <w:rPr>
          <w:lang w:val="fr-FR"/>
        </w:rPr>
        <w:t xml:space="preserve"> sur les droits de l</w:t>
      </w:r>
      <w:r>
        <w:rPr>
          <w:lang w:val="fr-FR"/>
        </w:rPr>
        <w:t>’</w:t>
      </w:r>
      <w:r w:rsidRPr="00140A2B">
        <w:rPr>
          <w:lang w:val="fr-FR"/>
        </w:rPr>
        <w:t>homme ou d</w:t>
      </w:r>
      <w:r>
        <w:rPr>
          <w:lang w:val="fr-FR"/>
        </w:rPr>
        <w:t>’</w:t>
      </w:r>
      <w:r w:rsidRPr="00140A2B">
        <w:rPr>
          <w:lang w:val="fr-FR"/>
        </w:rPr>
        <w:t xml:space="preserve">y contribuer par leurs propres activités, </w:t>
      </w:r>
      <w:r>
        <w:rPr>
          <w:lang w:val="fr-FR"/>
        </w:rPr>
        <w:t>remédier</w:t>
      </w:r>
      <w:r w:rsidRPr="00140A2B">
        <w:rPr>
          <w:lang w:val="fr-FR"/>
        </w:rPr>
        <w:t xml:space="preserve"> à ces </w:t>
      </w:r>
      <w:r>
        <w:rPr>
          <w:lang w:val="fr-FR"/>
        </w:rPr>
        <w:t>effets</w:t>
      </w:r>
      <w:r w:rsidRPr="00140A2B">
        <w:rPr>
          <w:lang w:val="fr-FR"/>
        </w:rPr>
        <w:t xml:space="preserve"> lorsqu</w:t>
      </w:r>
      <w:r>
        <w:rPr>
          <w:lang w:val="fr-FR"/>
        </w:rPr>
        <w:t>’il</w:t>
      </w:r>
      <w:r w:rsidRPr="00140A2B">
        <w:rPr>
          <w:lang w:val="fr-FR"/>
        </w:rPr>
        <w:t xml:space="preserve">s se produisent et </w:t>
      </w:r>
      <w:r>
        <w:rPr>
          <w:lang w:val="fr-FR"/>
        </w:rPr>
        <w:t>s’efforcer</w:t>
      </w:r>
      <w:r w:rsidRPr="00140A2B">
        <w:rPr>
          <w:lang w:val="fr-FR"/>
        </w:rPr>
        <w:t xml:space="preserve"> de prévenir ou d</w:t>
      </w:r>
      <w:r>
        <w:rPr>
          <w:lang w:val="fr-FR"/>
        </w:rPr>
        <w:t>’</w:t>
      </w:r>
      <w:r w:rsidRPr="00140A2B">
        <w:rPr>
          <w:lang w:val="fr-FR"/>
        </w:rPr>
        <w:t>atténuer les incidences négatives sur les droits de l</w:t>
      </w:r>
      <w:r>
        <w:rPr>
          <w:lang w:val="fr-FR"/>
        </w:rPr>
        <w:t>’</w:t>
      </w:r>
      <w:r w:rsidRPr="00140A2B">
        <w:rPr>
          <w:lang w:val="fr-FR"/>
        </w:rPr>
        <w:t>homme qui sont directement imputables à leurs activités, produits ou services par le jeu de leurs relations commerciales, même si elles n</w:t>
      </w:r>
      <w:r>
        <w:rPr>
          <w:lang w:val="fr-FR"/>
        </w:rPr>
        <w:t>’</w:t>
      </w:r>
      <w:r w:rsidRPr="00140A2B">
        <w:rPr>
          <w:lang w:val="fr-FR"/>
        </w:rPr>
        <w:t xml:space="preserve">ont pas contribué à ces </w:t>
      </w:r>
      <w:r w:rsidRPr="0020170D">
        <w:rPr>
          <w:lang w:val="fr-FR"/>
        </w:rPr>
        <w:t>incidences, et élaborer des indicateurs de performance en matière d</w:t>
      </w:r>
      <w:r>
        <w:rPr>
          <w:lang w:val="fr-FR"/>
        </w:rPr>
        <w:t>’</w:t>
      </w:r>
      <w:r w:rsidRPr="0020170D">
        <w:rPr>
          <w:lang w:val="fr-FR"/>
        </w:rPr>
        <w:t>égalité raciale pour en faire une priorité</w:t>
      </w:r>
      <w:r w:rsidRPr="00BB2EA7">
        <w:rPr>
          <w:lang w:val="fr-FR"/>
        </w:rPr>
        <w:t xml:space="preserve"> </w:t>
      </w:r>
      <w:r>
        <w:rPr>
          <w:lang w:val="fr-FR"/>
        </w:rPr>
        <w:t xml:space="preserve">dans </w:t>
      </w:r>
      <w:r w:rsidRPr="00BB2EA7">
        <w:rPr>
          <w:lang w:val="fr-FR"/>
        </w:rPr>
        <w:t>toutes leurs activités</w:t>
      </w:r>
      <w:r w:rsidRPr="00293268">
        <w:rPr>
          <w:lang w:val="fr-FR"/>
        </w:rPr>
        <w:t>.</w:t>
      </w:r>
      <w:r w:rsidRPr="00B56039">
        <w:rPr>
          <w:lang w:val="fr-FR"/>
        </w:rPr>
        <w:t xml:space="preserve"> La diligence raisonnable en matière de droits de l</w:t>
      </w:r>
      <w:r>
        <w:rPr>
          <w:lang w:val="fr-FR"/>
        </w:rPr>
        <w:t>’</w:t>
      </w:r>
      <w:r w:rsidRPr="00B56039">
        <w:rPr>
          <w:lang w:val="fr-FR"/>
        </w:rPr>
        <w:t xml:space="preserve">homme devrait </w:t>
      </w:r>
      <w:r>
        <w:rPr>
          <w:lang w:val="fr-FR"/>
        </w:rPr>
        <w:t xml:space="preserve">comporter </w:t>
      </w:r>
      <w:r w:rsidRPr="00B56039">
        <w:rPr>
          <w:lang w:val="fr-FR"/>
        </w:rPr>
        <w:t>de véritables consultations avec les groupes et autres acteurs</w:t>
      </w:r>
      <w:r>
        <w:rPr>
          <w:lang w:val="fr-FR"/>
        </w:rPr>
        <w:t xml:space="preserve"> susceptibles d’être </w:t>
      </w:r>
      <w:r w:rsidRPr="00B56039">
        <w:rPr>
          <w:lang w:val="fr-FR"/>
        </w:rPr>
        <w:t>concernés</w:t>
      </w:r>
      <w:r w:rsidRPr="00293268">
        <w:rPr>
          <w:lang w:val="fr-FR"/>
        </w:rPr>
        <w:t>,</w:t>
      </w:r>
      <w:r>
        <w:rPr>
          <w:lang w:val="fr-FR"/>
        </w:rPr>
        <w:t xml:space="preserve"> des collaborations directes</w:t>
      </w:r>
      <w:r w:rsidRPr="00293268">
        <w:rPr>
          <w:lang w:val="fr-FR"/>
        </w:rPr>
        <w:t xml:space="preserve"> avec les </w:t>
      </w:r>
      <w:r>
        <w:rPr>
          <w:lang w:val="fr-FR"/>
        </w:rPr>
        <w:t>populations</w:t>
      </w:r>
      <w:r w:rsidRPr="00293268">
        <w:rPr>
          <w:lang w:val="fr-FR"/>
        </w:rPr>
        <w:t xml:space="preserve"> concernées et </w:t>
      </w:r>
      <w:r>
        <w:rPr>
          <w:lang w:val="fr-FR"/>
        </w:rPr>
        <w:t xml:space="preserve">l’obtention de </w:t>
      </w:r>
      <w:r w:rsidRPr="00293268">
        <w:rPr>
          <w:lang w:val="fr-FR"/>
        </w:rPr>
        <w:t>leur consentement préalable, libre et éclairé s</w:t>
      </w:r>
      <w:r>
        <w:rPr>
          <w:lang w:val="fr-FR"/>
        </w:rPr>
        <w:t>’</w:t>
      </w:r>
      <w:r w:rsidRPr="00293268">
        <w:rPr>
          <w:lang w:val="fr-FR"/>
        </w:rPr>
        <w:t xml:space="preserve">il y a lieu. </w:t>
      </w:r>
      <w:r w:rsidRPr="005B1ADA">
        <w:rPr>
          <w:lang w:val="fr-FR"/>
        </w:rPr>
        <w:t>Lorsque les entreprises déterminent qu</w:t>
      </w:r>
      <w:r>
        <w:rPr>
          <w:lang w:val="fr-FR"/>
        </w:rPr>
        <w:t>’</w:t>
      </w:r>
      <w:r w:rsidRPr="005B1ADA">
        <w:rPr>
          <w:lang w:val="fr-FR"/>
        </w:rPr>
        <w:t>elles ont eu des incidences négatives, ou y ont</w:t>
      </w:r>
      <w:r>
        <w:rPr>
          <w:lang w:val="fr-FR"/>
        </w:rPr>
        <w:t xml:space="preserve"> </w:t>
      </w:r>
      <w:r w:rsidRPr="005B1ADA">
        <w:rPr>
          <w:lang w:val="fr-FR"/>
        </w:rPr>
        <w:t>contribué, elles devraient prévoir des mesures de réparation ou collaborer à leur mise</w:t>
      </w:r>
      <w:r>
        <w:rPr>
          <w:lang w:val="fr-FR"/>
        </w:rPr>
        <w:t xml:space="preserve"> </w:t>
      </w:r>
      <w:r w:rsidRPr="005B1ADA">
        <w:rPr>
          <w:lang w:val="fr-FR"/>
        </w:rPr>
        <w:t>en œuvre suivant des procédures légitimes</w:t>
      </w:r>
      <w:r w:rsidRPr="00CD6B67">
        <w:rPr>
          <w:rStyle w:val="FootnoteReference"/>
        </w:rPr>
        <w:footnoteReference w:id="209"/>
      </w:r>
      <w:r>
        <w:rPr>
          <w:lang w:val="fr-FR"/>
        </w:rPr>
        <w:t>.</w:t>
      </w:r>
      <w:r w:rsidRPr="00293268">
        <w:rPr>
          <w:lang w:val="fr-FR"/>
        </w:rPr>
        <w:t xml:space="preserve"> </w:t>
      </w:r>
      <w:r>
        <w:rPr>
          <w:lang w:val="fr-FR"/>
        </w:rPr>
        <w:t>Eu égard à</w:t>
      </w:r>
      <w:r w:rsidRPr="00B07346">
        <w:rPr>
          <w:lang w:val="fr-FR"/>
        </w:rPr>
        <w:t xml:space="preserve"> la responsabilité leur incombant de respecter </w:t>
      </w:r>
      <w:r w:rsidRPr="00C04B29">
        <w:rPr>
          <w:lang w:val="fr-FR"/>
        </w:rPr>
        <w:t>les droits de l</w:t>
      </w:r>
      <w:r>
        <w:rPr>
          <w:lang w:val="fr-FR"/>
        </w:rPr>
        <w:t>’</w:t>
      </w:r>
      <w:r w:rsidRPr="00C04B29">
        <w:rPr>
          <w:lang w:val="fr-FR"/>
        </w:rPr>
        <w:t>homme, les entreprises devraient prendre des mesures concrètes pour que le</w:t>
      </w:r>
      <w:r>
        <w:rPr>
          <w:lang w:val="fr-FR"/>
        </w:rPr>
        <w:t>ur</w:t>
      </w:r>
      <w:r w:rsidRPr="00C04B29">
        <w:rPr>
          <w:lang w:val="fr-FR"/>
        </w:rPr>
        <w:t>s pratiques en matière d</w:t>
      </w:r>
      <w:r>
        <w:rPr>
          <w:lang w:val="fr-FR"/>
        </w:rPr>
        <w:t>’</w:t>
      </w:r>
      <w:r w:rsidRPr="00C04B29">
        <w:rPr>
          <w:lang w:val="fr-FR"/>
        </w:rPr>
        <w:t>emploi et de recrutement soient divers</w:t>
      </w:r>
      <w:r>
        <w:rPr>
          <w:lang w:val="fr-FR"/>
        </w:rPr>
        <w:t>ifié</w:t>
      </w:r>
      <w:r w:rsidRPr="00C04B29">
        <w:rPr>
          <w:lang w:val="fr-FR"/>
        </w:rPr>
        <w:t>es, inclusives et équitables</w:t>
      </w:r>
      <w:r w:rsidRPr="00293268">
        <w:rPr>
          <w:lang w:val="fr-FR"/>
        </w:rPr>
        <w:t xml:space="preserve">. </w:t>
      </w:r>
      <w:r w:rsidRPr="00C041C7">
        <w:rPr>
          <w:lang w:val="fr-FR"/>
        </w:rPr>
        <w:t>Les entreprises devraient également promouvoir la diversité au sein de leurs chaînes d</w:t>
      </w:r>
      <w:r>
        <w:rPr>
          <w:lang w:val="fr-FR"/>
        </w:rPr>
        <w:t>’</w:t>
      </w:r>
      <w:r w:rsidRPr="00C041C7">
        <w:rPr>
          <w:lang w:val="fr-FR"/>
        </w:rPr>
        <w:t>approvisionnement et de valeur en établissant des relations commerciales avec des entreprises appartenant à des Noirs</w:t>
      </w:r>
      <w:r w:rsidRPr="00293268">
        <w:rPr>
          <w:lang w:val="fr-FR"/>
        </w:rPr>
        <w:t xml:space="preserve">. </w:t>
      </w:r>
      <w:r w:rsidRPr="00E9066C">
        <w:rPr>
          <w:lang w:val="fr-FR"/>
        </w:rPr>
        <w:t xml:space="preserve">En outre, elles sont encouragées à </w:t>
      </w:r>
      <w:r>
        <w:rPr>
          <w:lang w:val="fr-FR"/>
        </w:rPr>
        <w:t>contribuer</w:t>
      </w:r>
      <w:r w:rsidRPr="00E9066C">
        <w:rPr>
          <w:lang w:val="fr-FR"/>
        </w:rPr>
        <w:t xml:space="preserve"> à </w:t>
      </w:r>
      <w:r>
        <w:rPr>
          <w:lang w:val="fr-FR"/>
        </w:rPr>
        <w:t xml:space="preserve">la </w:t>
      </w:r>
      <w:r w:rsidRPr="00E9066C">
        <w:rPr>
          <w:lang w:val="fr-FR"/>
        </w:rPr>
        <w:t>lutte contre la discrimination raciale et à soutenir les organisations qui luttent pour la justice raciale, en particulier celles dirigées par des personnes d</w:t>
      </w:r>
      <w:r>
        <w:rPr>
          <w:lang w:val="fr-FR"/>
        </w:rPr>
        <w:t>’</w:t>
      </w:r>
      <w:r w:rsidRPr="00E9066C">
        <w:rPr>
          <w:lang w:val="fr-FR"/>
        </w:rPr>
        <w:t>ascendance africaine</w:t>
      </w:r>
      <w:r w:rsidRPr="00293268">
        <w:rPr>
          <w:lang w:val="fr-FR"/>
        </w:rPr>
        <w:t>.</w:t>
      </w:r>
    </w:p>
    <w:p w14:paraId="5862CFED" w14:textId="4566464E" w:rsidR="00865E37" w:rsidRPr="00293268" w:rsidRDefault="00865E37" w:rsidP="00833946">
      <w:pPr>
        <w:pStyle w:val="H23G"/>
        <w:rPr>
          <w:lang w:val="fr-FR"/>
        </w:rPr>
      </w:pPr>
      <w:bookmarkStart w:id="129" w:name="_Toc74120404"/>
      <w:bookmarkStart w:id="130" w:name="_Toc74120485"/>
      <w:bookmarkStart w:id="131" w:name="_Toc73738835"/>
      <w:bookmarkStart w:id="132" w:name="_Toc74078716"/>
      <w:bookmarkStart w:id="133" w:name="_Toc74080645"/>
      <w:bookmarkStart w:id="134" w:name="_Toc75280472"/>
      <w:bookmarkStart w:id="135" w:name="_Toc74173711"/>
      <w:bookmarkEnd w:id="129"/>
      <w:bookmarkEnd w:id="130"/>
      <w:r w:rsidRPr="00293268">
        <w:rPr>
          <w:lang w:val="fr-FR"/>
        </w:rPr>
        <w:tab/>
        <w:t>3.</w:t>
      </w:r>
      <w:r w:rsidRPr="00293268">
        <w:rPr>
          <w:lang w:val="fr-FR"/>
        </w:rPr>
        <w:tab/>
      </w:r>
      <w:bookmarkEnd w:id="131"/>
      <w:bookmarkEnd w:id="132"/>
      <w:bookmarkEnd w:id="133"/>
      <w:bookmarkEnd w:id="134"/>
      <w:bookmarkEnd w:id="135"/>
      <w:r w:rsidRPr="00052419">
        <w:rPr>
          <w:lang w:val="fr-FR"/>
        </w:rPr>
        <w:t>Utiliser les données pour orienter et évaluer les réponses au racisme systémique</w:t>
      </w:r>
      <w:r w:rsidR="00BF73AB">
        <w:rPr>
          <w:lang w:val="fr-FR"/>
        </w:rPr>
        <w:t> ;</w:t>
      </w:r>
      <w:r w:rsidRPr="00052419">
        <w:rPr>
          <w:lang w:val="fr-FR"/>
        </w:rPr>
        <w:t xml:space="preserve"> </w:t>
      </w:r>
      <w:r w:rsidR="00833946">
        <w:rPr>
          <w:lang w:val="fr-FR"/>
        </w:rPr>
        <w:br/>
      </w:r>
      <w:r w:rsidRPr="00052419">
        <w:rPr>
          <w:lang w:val="fr-FR"/>
        </w:rPr>
        <w:t xml:space="preserve">recueillir et publier </w:t>
      </w:r>
      <w:r w:rsidRPr="00F73140">
        <w:rPr>
          <w:lang w:val="fr-FR"/>
        </w:rPr>
        <w:t>de</w:t>
      </w:r>
      <w:r>
        <w:rPr>
          <w:lang w:val="fr-FR"/>
        </w:rPr>
        <w:t>s</w:t>
      </w:r>
      <w:r w:rsidRPr="00F73140">
        <w:rPr>
          <w:lang w:val="fr-FR"/>
        </w:rPr>
        <w:t xml:space="preserve"> données</w:t>
      </w:r>
      <w:r>
        <w:rPr>
          <w:lang w:val="fr-FR"/>
        </w:rPr>
        <w:t xml:space="preserve"> </w:t>
      </w:r>
      <w:r w:rsidR="00CF0FA5">
        <w:rPr>
          <w:lang w:val="fr-FR"/>
        </w:rPr>
        <w:t>−</w:t>
      </w:r>
      <w:r w:rsidRPr="00F73140">
        <w:rPr>
          <w:lang w:val="fr-FR"/>
        </w:rPr>
        <w:t xml:space="preserve"> assorties de garanties strictes et conformes </w:t>
      </w:r>
      <w:r w:rsidR="00833946">
        <w:rPr>
          <w:lang w:val="fr-FR"/>
        </w:rPr>
        <w:br/>
      </w:r>
      <w:r w:rsidRPr="00F73140">
        <w:rPr>
          <w:lang w:val="fr-FR"/>
        </w:rPr>
        <w:t>au droit international</w:t>
      </w:r>
      <w:r>
        <w:rPr>
          <w:lang w:val="fr-FR"/>
        </w:rPr>
        <w:t xml:space="preserve"> </w:t>
      </w:r>
      <w:r w:rsidR="00CF0FA5">
        <w:rPr>
          <w:lang w:val="fr-FR"/>
        </w:rPr>
        <w:t>−</w:t>
      </w:r>
      <w:r w:rsidRPr="00F73140">
        <w:rPr>
          <w:lang w:val="fr-FR"/>
        </w:rPr>
        <w:t xml:space="preserve"> </w:t>
      </w:r>
      <w:r>
        <w:rPr>
          <w:lang w:val="fr-FR"/>
        </w:rPr>
        <w:t xml:space="preserve">qui soient </w:t>
      </w:r>
      <w:r w:rsidRPr="00F73140">
        <w:rPr>
          <w:lang w:val="fr-FR"/>
        </w:rPr>
        <w:t xml:space="preserve">ventilées par </w:t>
      </w:r>
      <w:r>
        <w:rPr>
          <w:lang w:val="fr-FR"/>
        </w:rPr>
        <w:t>race</w:t>
      </w:r>
      <w:r w:rsidRPr="00F73140">
        <w:rPr>
          <w:lang w:val="fr-FR"/>
        </w:rPr>
        <w:t xml:space="preserve"> </w:t>
      </w:r>
      <w:r w:rsidRPr="00052419">
        <w:rPr>
          <w:lang w:val="fr-FR"/>
        </w:rPr>
        <w:t xml:space="preserve">ou origine ethnique, </w:t>
      </w:r>
      <w:r w:rsidR="00CF0FA5">
        <w:rPr>
          <w:lang w:val="fr-FR"/>
        </w:rPr>
        <w:br/>
      </w:r>
      <w:r w:rsidRPr="00052419">
        <w:rPr>
          <w:lang w:val="fr-FR"/>
        </w:rPr>
        <w:t>genre, âge et autres facteurs</w:t>
      </w:r>
      <w:r w:rsidRPr="006A3F22">
        <w:rPr>
          <w:lang w:val="fr-FR"/>
        </w:rPr>
        <w:t xml:space="preserve"> </w:t>
      </w:r>
      <w:r>
        <w:rPr>
          <w:lang w:val="fr-FR"/>
        </w:rPr>
        <w:t>afin d’</w:t>
      </w:r>
      <w:r w:rsidRPr="00052419">
        <w:rPr>
          <w:lang w:val="fr-FR"/>
        </w:rPr>
        <w:t>analyser les effets</w:t>
      </w:r>
      <w:r>
        <w:rPr>
          <w:lang w:val="fr-FR"/>
        </w:rPr>
        <w:t xml:space="preserve"> </w:t>
      </w:r>
      <w:r w:rsidRPr="00052419">
        <w:rPr>
          <w:lang w:val="fr-FR"/>
        </w:rPr>
        <w:t xml:space="preserve">des lois et des politiques </w:t>
      </w:r>
      <w:r w:rsidR="00CF0FA5">
        <w:rPr>
          <w:lang w:val="fr-FR"/>
        </w:rPr>
        <w:br/>
      </w:r>
      <w:r w:rsidRPr="00052419">
        <w:rPr>
          <w:lang w:val="fr-FR"/>
        </w:rPr>
        <w:t>sur les Africains et les personnes d</w:t>
      </w:r>
      <w:r>
        <w:rPr>
          <w:lang w:val="fr-FR"/>
        </w:rPr>
        <w:t>’</w:t>
      </w:r>
      <w:r w:rsidRPr="00052419">
        <w:rPr>
          <w:lang w:val="fr-FR"/>
        </w:rPr>
        <w:t>ascendance africaine</w:t>
      </w:r>
    </w:p>
    <w:p w14:paraId="61CF8ACA" w14:textId="486DA5B8" w:rsidR="00865E37" w:rsidRPr="00293268" w:rsidRDefault="00865E37" w:rsidP="00865E37">
      <w:pPr>
        <w:pStyle w:val="SingleTxtG"/>
        <w:rPr>
          <w:lang w:val="fr-FR"/>
        </w:rPr>
      </w:pPr>
      <w:r w:rsidRPr="00293268">
        <w:rPr>
          <w:lang w:val="fr-FR"/>
        </w:rPr>
        <w:t>70.</w:t>
      </w:r>
      <w:r w:rsidRPr="00293268">
        <w:rPr>
          <w:lang w:val="fr-FR"/>
        </w:rPr>
        <w:tab/>
      </w:r>
      <w:r w:rsidRPr="00A34F37">
        <w:rPr>
          <w:lang w:val="fr-FR"/>
        </w:rPr>
        <w:t>Les États devraient recueillir et publier des données complètes</w:t>
      </w:r>
      <w:r>
        <w:rPr>
          <w:lang w:val="fr-FR"/>
        </w:rPr>
        <w:t>,</w:t>
      </w:r>
      <w:r w:rsidRPr="00A34F37">
        <w:rPr>
          <w:lang w:val="fr-FR"/>
        </w:rPr>
        <w:t xml:space="preserve"> ventilées </w:t>
      </w:r>
      <w:r>
        <w:rPr>
          <w:lang w:val="fr-FR"/>
        </w:rPr>
        <w:t>par race</w:t>
      </w:r>
      <w:r w:rsidRPr="00A34F37">
        <w:rPr>
          <w:lang w:val="fr-FR"/>
        </w:rPr>
        <w:t xml:space="preserve"> ou origine ethnique, sexe</w:t>
      </w:r>
      <w:r>
        <w:rPr>
          <w:lang w:val="fr-FR"/>
        </w:rPr>
        <w:t xml:space="preserve">, genre, âge et </w:t>
      </w:r>
      <w:r w:rsidRPr="00A34F37">
        <w:rPr>
          <w:lang w:val="fr-FR"/>
        </w:rPr>
        <w:t>autres facteurs, dans le respect de garanties strictes et du droit international des droits de l</w:t>
      </w:r>
      <w:r>
        <w:rPr>
          <w:lang w:val="fr-FR"/>
        </w:rPr>
        <w:t>’</w:t>
      </w:r>
      <w:r w:rsidRPr="00A34F37">
        <w:rPr>
          <w:lang w:val="fr-FR"/>
        </w:rPr>
        <w:t>homme</w:t>
      </w:r>
      <w:r w:rsidRPr="00CD6B67">
        <w:rPr>
          <w:rStyle w:val="FootnoteReference"/>
        </w:rPr>
        <w:footnoteReference w:id="210"/>
      </w:r>
      <w:r>
        <w:rPr>
          <w:lang w:val="fr-FR"/>
        </w:rPr>
        <w:t>.</w:t>
      </w:r>
      <w:r w:rsidRPr="00293268">
        <w:rPr>
          <w:lang w:val="fr-FR"/>
        </w:rPr>
        <w:t xml:space="preserve"> </w:t>
      </w:r>
      <w:r w:rsidRPr="00B647C8">
        <w:rPr>
          <w:lang w:val="fr-FR"/>
        </w:rPr>
        <w:t xml:space="preserve">En outre, les États devraient analyser les effets cumulés des lois, des politiques et des pratiques sur </w:t>
      </w:r>
      <w:r>
        <w:rPr>
          <w:lang w:val="fr-FR"/>
        </w:rPr>
        <w:t>des</w:t>
      </w:r>
      <w:r w:rsidRPr="00B647C8">
        <w:rPr>
          <w:lang w:val="fr-FR"/>
        </w:rPr>
        <w:t xml:space="preserve"> groupes raciaux et ethniques</w:t>
      </w:r>
      <w:r>
        <w:rPr>
          <w:lang w:val="fr-FR"/>
        </w:rPr>
        <w:t xml:space="preserve"> particuliers</w:t>
      </w:r>
      <w:r w:rsidRPr="00293268">
        <w:rPr>
          <w:lang w:val="fr-FR"/>
        </w:rPr>
        <w:t xml:space="preserve">. </w:t>
      </w:r>
      <w:r>
        <w:rPr>
          <w:lang w:val="fr-FR"/>
        </w:rPr>
        <w:t xml:space="preserve">Pour ce faire, ils </w:t>
      </w:r>
      <w:r w:rsidRPr="000D2601">
        <w:rPr>
          <w:lang w:val="fr-FR"/>
        </w:rPr>
        <w:t>doivent</w:t>
      </w:r>
      <w:r>
        <w:rPr>
          <w:lang w:val="fr-FR"/>
        </w:rPr>
        <w:t xml:space="preserve"> concilier</w:t>
      </w:r>
      <w:r w:rsidRPr="00495583">
        <w:rPr>
          <w:lang w:val="fr-FR"/>
        </w:rPr>
        <w:t xml:space="preserve"> leur obligation de garantir, d</w:t>
      </w:r>
      <w:r>
        <w:rPr>
          <w:lang w:val="fr-FR"/>
        </w:rPr>
        <w:t>’</w:t>
      </w:r>
      <w:r w:rsidRPr="00495583">
        <w:rPr>
          <w:lang w:val="fr-FR"/>
        </w:rPr>
        <w:t>une part, la</w:t>
      </w:r>
      <w:r>
        <w:rPr>
          <w:lang w:val="fr-FR"/>
        </w:rPr>
        <w:t xml:space="preserve"> </w:t>
      </w:r>
      <w:r w:rsidRPr="00495583">
        <w:rPr>
          <w:lang w:val="fr-FR"/>
        </w:rPr>
        <w:t>protection des données et le droit au respect de la vie privée et, d</w:t>
      </w:r>
      <w:r>
        <w:rPr>
          <w:lang w:val="fr-FR"/>
        </w:rPr>
        <w:t>’</w:t>
      </w:r>
      <w:r w:rsidRPr="00495583">
        <w:rPr>
          <w:lang w:val="fr-FR"/>
        </w:rPr>
        <w:t>autre part, leur</w:t>
      </w:r>
      <w:r>
        <w:rPr>
          <w:lang w:val="fr-FR"/>
        </w:rPr>
        <w:t xml:space="preserve"> </w:t>
      </w:r>
      <w:r w:rsidRPr="00495583">
        <w:rPr>
          <w:lang w:val="fr-FR"/>
        </w:rPr>
        <w:t>obligation de supprimer les obstacles à la</w:t>
      </w:r>
      <w:r>
        <w:rPr>
          <w:lang w:val="fr-FR"/>
        </w:rPr>
        <w:t xml:space="preserve"> </w:t>
      </w:r>
      <w:r w:rsidRPr="00495583">
        <w:rPr>
          <w:lang w:val="fr-FR"/>
        </w:rPr>
        <w:t>collecte de telles données</w:t>
      </w:r>
      <w:r w:rsidRPr="00CD6B67">
        <w:rPr>
          <w:rStyle w:val="FootnoteReference"/>
        </w:rPr>
        <w:footnoteReference w:id="211"/>
      </w:r>
      <w:r>
        <w:rPr>
          <w:lang w:val="fr-FR"/>
        </w:rPr>
        <w:t>.</w:t>
      </w:r>
      <w:r w:rsidRPr="00293268">
        <w:rPr>
          <w:lang w:val="fr-FR"/>
        </w:rPr>
        <w:t xml:space="preserve"> </w:t>
      </w:r>
      <w:r>
        <w:rPr>
          <w:lang w:val="fr-FR"/>
        </w:rPr>
        <w:t xml:space="preserve">Il faut aussi pour cela adopter des </w:t>
      </w:r>
      <w:r w:rsidRPr="002541E0">
        <w:rPr>
          <w:lang w:val="fr-FR"/>
        </w:rPr>
        <w:t xml:space="preserve">lois réglementant la collecte et le traitement des données avec le consentement </w:t>
      </w:r>
      <w:r>
        <w:rPr>
          <w:lang w:val="fr-FR"/>
        </w:rPr>
        <w:t>exprès</w:t>
      </w:r>
      <w:r w:rsidRPr="002541E0">
        <w:rPr>
          <w:lang w:val="fr-FR"/>
        </w:rPr>
        <w:t xml:space="preserve"> des individus et des groupes victimes de discrimination raciale, sur la base de leur autoidentification </w:t>
      </w:r>
      <w:r w:rsidRPr="00B2621E">
        <w:rPr>
          <w:lang w:val="fr-FR"/>
        </w:rPr>
        <w:t>et conformément aux dispositions relatives aux droits de l</w:t>
      </w:r>
      <w:r>
        <w:rPr>
          <w:lang w:val="fr-FR"/>
        </w:rPr>
        <w:t>’</w:t>
      </w:r>
      <w:r w:rsidRPr="00B2621E">
        <w:rPr>
          <w:lang w:val="fr-FR"/>
        </w:rPr>
        <w:t>homme et aux libertés fondamentales, dont le droit au respect de la vie</w:t>
      </w:r>
      <w:r w:rsidRPr="001F7879">
        <w:rPr>
          <w:lang w:val="fr-FR"/>
        </w:rPr>
        <w:t xml:space="preserve"> privée, la protection des données contre les utilisations</w:t>
      </w:r>
      <w:r>
        <w:rPr>
          <w:lang w:val="fr-FR"/>
        </w:rPr>
        <w:t xml:space="preserve"> </w:t>
      </w:r>
      <w:r w:rsidRPr="001F7879">
        <w:rPr>
          <w:lang w:val="fr-FR"/>
        </w:rPr>
        <w:t xml:space="preserve">abusives et la garantie de la confidentialité des informations </w:t>
      </w:r>
      <w:r w:rsidRPr="00CD6B67">
        <w:rPr>
          <w:rStyle w:val="FootnoteReference"/>
        </w:rPr>
        <w:footnoteReference w:id="212"/>
      </w:r>
      <w:r>
        <w:rPr>
          <w:lang w:val="fr-FR"/>
        </w:rPr>
        <w:t>.</w:t>
      </w:r>
      <w:r w:rsidRPr="00293268">
        <w:rPr>
          <w:lang w:val="fr-FR"/>
        </w:rPr>
        <w:t xml:space="preserve"> </w:t>
      </w:r>
      <w:r>
        <w:rPr>
          <w:lang w:val="fr-FR"/>
        </w:rPr>
        <w:t>D</w:t>
      </w:r>
      <w:r w:rsidRPr="002375E0">
        <w:rPr>
          <w:lang w:val="fr-FR"/>
        </w:rPr>
        <w:t>es</w:t>
      </w:r>
      <w:r w:rsidR="00836541">
        <w:rPr>
          <w:lang w:val="fr-FR"/>
        </w:rPr>
        <w:t> </w:t>
      </w:r>
      <w:r w:rsidRPr="002375E0">
        <w:rPr>
          <w:lang w:val="fr-FR"/>
        </w:rPr>
        <w:t xml:space="preserve">stratégies volontaires, consensuelles et participatives </w:t>
      </w:r>
      <w:r>
        <w:rPr>
          <w:lang w:val="fr-FR"/>
        </w:rPr>
        <w:t xml:space="preserve">devront être élaborées </w:t>
      </w:r>
      <w:r w:rsidRPr="002375E0">
        <w:rPr>
          <w:lang w:val="fr-FR"/>
        </w:rPr>
        <w:t>pour la collecte, le</w:t>
      </w:r>
      <w:r>
        <w:rPr>
          <w:lang w:val="fr-FR"/>
        </w:rPr>
        <w:t xml:space="preserve"> </w:t>
      </w:r>
      <w:r w:rsidRPr="002375E0">
        <w:rPr>
          <w:lang w:val="fr-FR"/>
        </w:rPr>
        <w:t>traitement et l</w:t>
      </w:r>
      <w:r>
        <w:rPr>
          <w:lang w:val="fr-FR"/>
        </w:rPr>
        <w:t>’</w:t>
      </w:r>
      <w:r w:rsidRPr="002375E0">
        <w:rPr>
          <w:lang w:val="fr-FR"/>
        </w:rPr>
        <w:t xml:space="preserve">utilisation des données </w:t>
      </w:r>
      <w:r>
        <w:rPr>
          <w:lang w:val="fr-FR"/>
        </w:rPr>
        <w:t>avec la participation active des personnes d’ascendance africaine et des organisations de la société civile</w:t>
      </w:r>
      <w:r w:rsidRPr="00CD6B67">
        <w:rPr>
          <w:rStyle w:val="FootnoteReference"/>
        </w:rPr>
        <w:footnoteReference w:id="213"/>
      </w:r>
      <w:r>
        <w:rPr>
          <w:lang w:val="fr-FR"/>
        </w:rPr>
        <w:t>.</w:t>
      </w:r>
    </w:p>
    <w:p w14:paraId="720C6376" w14:textId="77777777" w:rsidR="00865E37" w:rsidRPr="00293268" w:rsidRDefault="00865E37" w:rsidP="00865E37">
      <w:pPr>
        <w:pStyle w:val="SingleTxtG"/>
        <w:rPr>
          <w:lang w:val="fr-FR"/>
        </w:rPr>
      </w:pPr>
      <w:r w:rsidRPr="00293268">
        <w:rPr>
          <w:lang w:val="fr-FR"/>
        </w:rPr>
        <w:t>71.</w:t>
      </w:r>
      <w:r w:rsidRPr="00293268">
        <w:rPr>
          <w:lang w:val="fr-FR"/>
        </w:rPr>
        <w:tab/>
      </w:r>
      <w:r w:rsidRPr="00A80E82">
        <w:rPr>
          <w:lang w:val="fr-FR"/>
        </w:rPr>
        <w:t>La collecte de ces données et indicateurs ventilés d</w:t>
      </w:r>
      <w:r>
        <w:rPr>
          <w:lang w:val="fr-FR"/>
        </w:rPr>
        <w:t>evra</w:t>
      </w:r>
      <w:r w:rsidRPr="00A80E82">
        <w:rPr>
          <w:lang w:val="fr-FR"/>
        </w:rPr>
        <w:t>it être considérée comme un élément à part entière du droit des personnes d</w:t>
      </w:r>
      <w:r>
        <w:rPr>
          <w:lang w:val="fr-FR"/>
        </w:rPr>
        <w:t>’</w:t>
      </w:r>
      <w:r w:rsidRPr="00A80E82">
        <w:rPr>
          <w:lang w:val="fr-FR"/>
        </w:rPr>
        <w:t xml:space="preserve">ascendance </w:t>
      </w:r>
      <w:r w:rsidRPr="00D26938">
        <w:rPr>
          <w:lang w:val="fr-FR"/>
        </w:rPr>
        <w:t>africaine d</w:t>
      </w:r>
      <w:r>
        <w:rPr>
          <w:lang w:val="fr-FR"/>
        </w:rPr>
        <w:t>’</w:t>
      </w:r>
      <w:r w:rsidRPr="00D26938">
        <w:rPr>
          <w:lang w:val="fr-FR"/>
        </w:rPr>
        <w:t>être protégé</w:t>
      </w:r>
      <w:r>
        <w:rPr>
          <w:lang w:val="fr-FR"/>
        </w:rPr>
        <w:t>es</w:t>
      </w:r>
      <w:r w:rsidRPr="00D26938">
        <w:rPr>
          <w:lang w:val="fr-FR"/>
        </w:rPr>
        <w:t xml:space="preserve"> du</w:t>
      </w:r>
      <w:r w:rsidRPr="00A80E82">
        <w:rPr>
          <w:lang w:val="fr-FR"/>
        </w:rPr>
        <w:t xml:space="preserve"> racisme et comme une obligation pour les États de garantir l</w:t>
      </w:r>
      <w:r>
        <w:rPr>
          <w:lang w:val="fr-FR"/>
        </w:rPr>
        <w:t>’</w:t>
      </w:r>
      <w:r w:rsidRPr="00A80E82">
        <w:rPr>
          <w:lang w:val="fr-FR"/>
        </w:rPr>
        <w:t>égalité raciale et d</w:t>
      </w:r>
      <w:r>
        <w:rPr>
          <w:lang w:val="fr-FR"/>
        </w:rPr>
        <w:t>’</w:t>
      </w:r>
      <w:r w:rsidRPr="00A80E82">
        <w:rPr>
          <w:lang w:val="fr-FR"/>
        </w:rPr>
        <w:t>éliminer le racisme</w:t>
      </w:r>
      <w:r w:rsidRPr="00293268">
        <w:rPr>
          <w:lang w:val="fr-FR"/>
        </w:rPr>
        <w:t xml:space="preserve">. </w:t>
      </w:r>
      <w:r w:rsidRPr="006E29EB">
        <w:rPr>
          <w:lang w:val="fr-FR"/>
        </w:rPr>
        <w:t xml:space="preserve">Bien que certains États aient déclaré </w:t>
      </w:r>
      <w:r>
        <w:rPr>
          <w:lang w:val="fr-FR"/>
        </w:rPr>
        <w:t>éprouver</w:t>
      </w:r>
      <w:r w:rsidRPr="006E29EB">
        <w:rPr>
          <w:lang w:val="fr-FR"/>
        </w:rPr>
        <w:t xml:space="preserve"> des difficultés à collecter des données ventilées</w:t>
      </w:r>
      <w:r w:rsidRPr="00CD6B67">
        <w:rPr>
          <w:rStyle w:val="FootnoteReference"/>
        </w:rPr>
        <w:footnoteReference w:id="214"/>
      </w:r>
      <w:r>
        <w:rPr>
          <w:lang w:val="fr-FR"/>
        </w:rPr>
        <w:t>,</w:t>
      </w:r>
      <w:r w:rsidRPr="00293268">
        <w:rPr>
          <w:lang w:val="fr-FR"/>
        </w:rPr>
        <w:t xml:space="preserve"> </w:t>
      </w:r>
      <w:r w:rsidRPr="00341522">
        <w:rPr>
          <w:lang w:val="fr-FR"/>
        </w:rPr>
        <w:t>celles-ci permettent de disposer d</w:t>
      </w:r>
      <w:r>
        <w:rPr>
          <w:lang w:val="fr-FR"/>
        </w:rPr>
        <w:t>’</w:t>
      </w:r>
      <w:r w:rsidRPr="00341522">
        <w:rPr>
          <w:lang w:val="fr-FR"/>
        </w:rPr>
        <w:t>éléments empiriques pour mieux comprendre la nature, l</w:t>
      </w:r>
      <w:r>
        <w:rPr>
          <w:lang w:val="fr-FR"/>
        </w:rPr>
        <w:t>’</w:t>
      </w:r>
      <w:r w:rsidRPr="00341522">
        <w:rPr>
          <w:lang w:val="fr-FR"/>
        </w:rPr>
        <w:t xml:space="preserve">ampleur et les répercussions du racisme systémique au niveau local et des mesures institutionnelles qui ont été prises (ou non). </w:t>
      </w:r>
      <w:r>
        <w:rPr>
          <w:lang w:val="fr-FR"/>
        </w:rPr>
        <w:t>Il</w:t>
      </w:r>
      <w:r w:rsidRPr="00341522">
        <w:rPr>
          <w:lang w:val="fr-FR"/>
        </w:rPr>
        <w:t xml:space="preserve"> </w:t>
      </w:r>
      <w:r>
        <w:rPr>
          <w:lang w:val="fr-FR"/>
        </w:rPr>
        <w:t>importe en outre de fonder l’orientation et l’élaboration de</w:t>
      </w:r>
      <w:r w:rsidRPr="00341522">
        <w:rPr>
          <w:lang w:val="fr-FR"/>
        </w:rPr>
        <w:t xml:space="preserve"> politiques antiracistes solides</w:t>
      </w:r>
      <w:r w:rsidRPr="00DF4EA0">
        <w:rPr>
          <w:lang w:val="fr-FR"/>
        </w:rPr>
        <w:t xml:space="preserve"> </w:t>
      </w:r>
      <w:r w:rsidRPr="004D46F3">
        <w:rPr>
          <w:lang w:val="fr-FR"/>
        </w:rPr>
        <w:t>sur des données empiriques</w:t>
      </w:r>
      <w:r>
        <w:rPr>
          <w:lang w:val="fr-FR"/>
        </w:rPr>
        <w:t xml:space="preserve">, </w:t>
      </w:r>
      <w:r w:rsidRPr="00341522">
        <w:rPr>
          <w:lang w:val="fr-FR"/>
        </w:rPr>
        <w:t>d</w:t>
      </w:r>
      <w:r>
        <w:rPr>
          <w:lang w:val="fr-FR"/>
        </w:rPr>
        <w:t>’</w:t>
      </w:r>
      <w:r w:rsidRPr="00341522">
        <w:rPr>
          <w:lang w:val="fr-FR"/>
        </w:rPr>
        <w:t>identifier les domaines dans lesquels des mesures spéciales sont nécessaires pour les personnes d</w:t>
      </w:r>
      <w:r>
        <w:rPr>
          <w:lang w:val="fr-FR"/>
        </w:rPr>
        <w:t>’</w:t>
      </w:r>
      <w:r w:rsidRPr="00341522">
        <w:rPr>
          <w:lang w:val="fr-FR"/>
        </w:rPr>
        <w:t xml:space="preserve">ascendance africaine et de </w:t>
      </w:r>
      <w:r>
        <w:rPr>
          <w:lang w:val="fr-FR"/>
        </w:rPr>
        <w:t>suivre</w:t>
      </w:r>
      <w:r w:rsidRPr="00341522">
        <w:rPr>
          <w:lang w:val="fr-FR"/>
        </w:rPr>
        <w:t xml:space="preserve"> l</w:t>
      </w:r>
      <w:r>
        <w:rPr>
          <w:lang w:val="fr-FR"/>
        </w:rPr>
        <w:t>’</w:t>
      </w:r>
      <w:r w:rsidRPr="00341522">
        <w:rPr>
          <w:lang w:val="fr-FR"/>
        </w:rPr>
        <w:t>efficacité des mesures de politique générale et les progrès accomplis</w:t>
      </w:r>
      <w:r w:rsidRPr="00293268">
        <w:rPr>
          <w:lang w:val="fr-FR"/>
        </w:rPr>
        <w:t>.</w:t>
      </w:r>
    </w:p>
    <w:p w14:paraId="60509E46" w14:textId="77777777" w:rsidR="00865E37" w:rsidRPr="00293268" w:rsidRDefault="00865E37" w:rsidP="00865E37">
      <w:pPr>
        <w:pStyle w:val="SingleTxtG"/>
        <w:rPr>
          <w:lang w:val="fr-FR"/>
        </w:rPr>
      </w:pPr>
      <w:r w:rsidRPr="00293268">
        <w:rPr>
          <w:lang w:val="fr-FR"/>
        </w:rPr>
        <w:t>72.</w:t>
      </w:r>
      <w:r w:rsidRPr="00293268">
        <w:rPr>
          <w:lang w:val="fr-FR"/>
        </w:rPr>
        <w:tab/>
      </w:r>
      <w:r>
        <w:rPr>
          <w:lang w:val="fr-FR"/>
        </w:rPr>
        <w:t>D</w:t>
      </w:r>
      <w:r w:rsidRPr="00BF2818">
        <w:rPr>
          <w:lang w:val="fr-FR"/>
        </w:rPr>
        <w:t>es données sont nécessaires pour que les personnes d</w:t>
      </w:r>
      <w:r>
        <w:rPr>
          <w:lang w:val="fr-FR"/>
        </w:rPr>
        <w:t>’</w:t>
      </w:r>
      <w:r w:rsidRPr="00BF2818">
        <w:rPr>
          <w:lang w:val="fr-FR"/>
        </w:rPr>
        <w:t xml:space="preserve">ascendance africaine soient reconnues et pour </w:t>
      </w:r>
      <w:r>
        <w:rPr>
          <w:lang w:val="fr-FR"/>
        </w:rPr>
        <w:t>remédier à</w:t>
      </w:r>
      <w:r w:rsidRPr="00BF2818">
        <w:rPr>
          <w:lang w:val="fr-FR"/>
        </w:rPr>
        <w:t xml:space="preserve"> leur invisibilité historique, sociale et structurelle. Le fait de reconnaître expressément les personnes d</w:t>
      </w:r>
      <w:r>
        <w:rPr>
          <w:lang w:val="fr-FR"/>
        </w:rPr>
        <w:t>’</w:t>
      </w:r>
      <w:r w:rsidRPr="00BF2818">
        <w:rPr>
          <w:lang w:val="fr-FR"/>
        </w:rPr>
        <w:t xml:space="preserve">ascendance africaine dans les statistiques et les recensements nationaux est également un pas vers la reconnaissance de leur identité et de leur </w:t>
      </w:r>
      <w:r>
        <w:rPr>
          <w:lang w:val="fr-FR"/>
        </w:rPr>
        <w:t>patrimoine</w:t>
      </w:r>
      <w:r w:rsidRPr="00BF2818">
        <w:rPr>
          <w:lang w:val="fr-FR"/>
        </w:rPr>
        <w:t xml:space="preserve"> et </w:t>
      </w:r>
      <w:r>
        <w:rPr>
          <w:lang w:val="fr-FR"/>
        </w:rPr>
        <w:t>indissociable de</w:t>
      </w:r>
      <w:r w:rsidRPr="00BF2818">
        <w:rPr>
          <w:lang w:val="fr-FR"/>
        </w:rPr>
        <w:t xml:space="preserve"> leur droit à la dignité</w:t>
      </w:r>
      <w:r w:rsidRPr="00293268">
        <w:rPr>
          <w:lang w:val="fr-FR"/>
        </w:rPr>
        <w:t xml:space="preserve">. </w:t>
      </w:r>
      <w:r w:rsidRPr="00444DEB">
        <w:rPr>
          <w:lang w:val="fr-FR"/>
        </w:rPr>
        <w:t>Les États devraient également investir dans des programmes éducatifs et des initiatives culturelles visant à sensibiliser aux cultures, histoires, héritages et contributions des Africains et des personnes d</w:t>
      </w:r>
      <w:r>
        <w:rPr>
          <w:lang w:val="fr-FR"/>
        </w:rPr>
        <w:t>’</w:t>
      </w:r>
      <w:r w:rsidRPr="00444DEB">
        <w:rPr>
          <w:lang w:val="fr-FR"/>
        </w:rPr>
        <w:t>ascendance africaine. Les États devraient en outre réviser tous les passages des manuels scolaires qui véhiculent des images, des expressions, des noms ou des opinions stéréotypés ou dégradants à l</w:t>
      </w:r>
      <w:r>
        <w:rPr>
          <w:lang w:val="fr-FR"/>
        </w:rPr>
        <w:t>’</w:t>
      </w:r>
      <w:r w:rsidRPr="00444DEB">
        <w:rPr>
          <w:lang w:val="fr-FR"/>
        </w:rPr>
        <w:t>égard des personnes d</w:t>
      </w:r>
      <w:r>
        <w:rPr>
          <w:lang w:val="fr-FR"/>
        </w:rPr>
        <w:t>’</w:t>
      </w:r>
      <w:r w:rsidRPr="00444DEB">
        <w:rPr>
          <w:lang w:val="fr-FR"/>
        </w:rPr>
        <w:t>ascendance africaine et les remplacer par des images, des expressions, des noms et des opinions qui affirment la dignité inhérente à tous les êtres humains et leur égalité en tant qu</w:t>
      </w:r>
      <w:r>
        <w:rPr>
          <w:lang w:val="fr-FR"/>
        </w:rPr>
        <w:t>’</w:t>
      </w:r>
      <w:r w:rsidRPr="00444DEB">
        <w:rPr>
          <w:lang w:val="fr-FR"/>
        </w:rPr>
        <w:t>êtres humains</w:t>
      </w:r>
      <w:r w:rsidRPr="00CD6B67">
        <w:rPr>
          <w:rStyle w:val="FootnoteReference"/>
        </w:rPr>
        <w:footnoteReference w:id="215"/>
      </w:r>
      <w:r>
        <w:rPr>
          <w:lang w:val="fr-FR"/>
        </w:rPr>
        <w:t>.</w:t>
      </w:r>
    </w:p>
    <w:p w14:paraId="0FD4DFBD" w14:textId="7B02D49E" w:rsidR="00865E37" w:rsidRPr="00293268" w:rsidRDefault="00865E37" w:rsidP="00833946">
      <w:pPr>
        <w:pStyle w:val="H23G"/>
        <w:rPr>
          <w:lang w:val="fr-FR"/>
        </w:rPr>
      </w:pPr>
      <w:bookmarkStart w:id="136" w:name="_Toc73714099"/>
      <w:bookmarkStart w:id="137" w:name="_Toc73734614"/>
      <w:bookmarkStart w:id="138" w:name="_Toc73738836"/>
      <w:bookmarkStart w:id="139" w:name="_Toc74078717"/>
      <w:bookmarkStart w:id="140" w:name="_Toc74080646"/>
      <w:bookmarkStart w:id="141" w:name="_Toc75280473"/>
      <w:bookmarkStart w:id="142" w:name="_Toc74173712"/>
      <w:bookmarkEnd w:id="136"/>
      <w:bookmarkEnd w:id="137"/>
      <w:r w:rsidRPr="00293268">
        <w:rPr>
          <w:lang w:val="fr-FR"/>
        </w:rPr>
        <w:tab/>
        <w:t>4.</w:t>
      </w:r>
      <w:r w:rsidRPr="00293268">
        <w:rPr>
          <w:lang w:val="fr-FR"/>
        </w:rPr>
        <w:tab/>
      </w:r>
      <w:bookmarkEnd w:id="138"/>
      <w:bookmarkEnd w:id="139"/>
      <w:bookmarkEnd w:id="140"/>
      <w:bookmarkEnd w:id="141"/>
      <w:bookmarkEnd w:id="142"/>
      <w:r w:rsidRPr="003C3FC2">
        <w:rPr>
          <w:lang w:val="fr-FR"/>
        </w:rPr>
        <w:t>Réprimer</w:t>
      </w:r>
      <w:r w:rsidRPr="00DF4EA0">
        <w:rPr>
          <w:lang w:val="fr-FR"/>
        </w:rPr>
        <w:t xml:space="preserve"> </w:t>
      </w:r>
      <w:r w:rsidRPr="00152544">
        <w:rPr>
          <w:lang w:val="fr-FR"/>
        </w:rPr>
        <w:t>les comportements</w:t>
      </w:r>
      <w:r>
        <w:rPr>
          <w:lang w:val="fr-FR"/>
        </w:rPr>
        <w:t>,</w:t>
      </w:r>
      <w:r w:rsidRPr="00152544">
        <w:rPr>
          <w:lang w:val="fr-FR"/>
        </w:rPr>
        <w:t xml:space="preserve"> </w:t>
      </w:r>
      <w:r>
        <w:rPr>
          <w:lang w:val="fr-FR"/>
        </w:rPr>
        <w:t>les violences</w:t>
      </w:r>
      <w:r w:rsidRPr="00FF0F8D">
        <w:rPr>
          <w:lang w:val="fr-FR"/>
        </w:rPr>
        <w:t xml:space="preserve"> et les crimes de haine </w:t>
      </w:r>
      <w:r>
        <w:rPr>
          <w:lang w:val="fr-FR"/>
        </w:rPr>
        <w:t xml:space="preserve">racistes </w:t>
      </w:r>
      <w:r w:rsidR="00833946">
        <w:rPr>
          <w:lang w:val="fr-FR"/>
        </w:rPr>
        <w:br/>
      </w:r>
      <w:r w:rsidRPr="00152544">
        <w:rPr>
          <w:lang w:val="fr-FR"/>
        </w:rPr>
        <w:t xml:space="preserve">avec toute la force de la loi et </w:t>
      </w:r>
      <w:r>
        <w:rPr>
          <w:lang w:val="fr-FR"/>
        </w:rPr>
        <w:t>de l’</w:t>
      </w:r>
      <w:r w:rsidRPr="00152544">
        <w:rPr>
          <w:lang w:val="fr-FR"/>
        </w:rPr>
        <w:t xml:space="preserve">autorité, y compris en contraignant </w:t>
      </w:r>
      <w:r w:rsidR="00833946">
        <w:rPr>
          <w:lang w:val="fr-FR"/>
        </w:rPr>
        <w:br/>
      </w:r>
      <w:r w:rsidRPr="00152544">
        <w:rPr>
          <w:lang w:val="fr-FR"/>
        </w:rPr>
        <w:t>le</w:t>
      </w:r>
      <w:r>
        <w:rPr>
          <w:lang w:val="fr-FR"/>
        </w:rPr>
        <w:t>ur</w:t>
      </w:r>
      <w:r w:rsidRPr="00152544">
        <w:rPr>
          <w:lang w:val="fr-FR"/>
        </w:rPr>
        <w:t xml:space="preserve">s </w:t>
      </w:r>
      <w:r>
        <w:rPr>
          <w:lang w:val="fr-FR"/>
        </w:rPr>
        <w:t>auteurs</w:t>
      </w:r>
      <w:r w:rsidRPr="00152544">
        <w:rPr>
          <w:lang w:val="fr-FR"/>
        </w:rPr>
        <w:t xml:space="preserve"> à répondre de leurs actes</w:t>
      </w:r>
      <w:r w:rsidRPr="003C3FC2">
        <w:rPr>
          <w:lang w:val="fr-FR"/>
        </w:rPr>
        <w:t xml:space="preserve"> </w:t>
      </w:r>
    </w:p>
    <w:p w14:paraId="7498163F" w14:textId="77777777" w:rsidR="00865E37" w:rsidRPr="00293268" w:rsidRDefault="00865E37" w:rsidP="00865E37">
      <w:pPr>
        <w:pStyle w:val="SingleTxtG"/>
        <w:rPr>
          <w:lang w:val="fr-FR"/>
        </w:rPr>
      </w:pPr>
      <w:r w:rsidRPr="00293268">
        <w:rPr>
          <w:lang w:val="fr-FR"/>
        </w:rPr>
        <w:t>73.</w:t>
      </w:r>
      <w:r w:rsidRPr="00293268">
        <w:rPr>
          <w:lang w:val="fr-FR"/>
        </w:rPr>
        <w:tab/>
      </w:r>
      <w:r w:rsidRPr="00B30F0E">
        <w:rPr>
          <w:lang w:val="fr-FR"/>
        </w:rPr>
        <w:t>Les États devraient prévenir et réprimer les comportements, les violence</w:t>
      </w:r>
      <w:r>
        <w:rPr>
          <w:lang w:val="fr-FR"/>
        </w:rPr>
        <w:t>s</w:t>
      </w:r>
      <w:r w:rsidRPr="00B30F0E">
        <w:rPr>
          <w:lang w:val="fr-FR"/>
        </w:rPr>
        <w:t xml:space="preserve"> et les crimes de haine racistes, notamment ceux commis par des groupes qui incitent à la haine raciale ou à la discrimination contre les personnes d</w:t>
      </w:r>
      <w:r>
        <w:rPr>
          <w:lang w:val="fr-FR"/>
        </w:rPr>
        <w:t>’</w:t>
      </w:r>
      <w:r w:rsidRPr="00B30F0E">
        <w:rPr>
          <w:lang w:val="fr-FR"/>
        </w:rPr>
        <w:t>ascendance africaine, ou qui encouragent de tels actes</w:t>
      </w:r>
      <w:r w:rsidRPr="00293268">
        <w:rPr>
          <w:lang w:val="fr-FR"/>
        </w:rPr>
        <w:t xml:space="preserve">. </w:t>
      </w:r>
      <w:r w:rsidRPr="00B9405E">
        <w:rPr>
          <w:lang w:val="fr-FR"/>
        </w:rPr>
        <w:t>Ils devraient prendre des mesures pour empêcher toute diffusion d</w:t>
      </w:r>
      <w:r>
        <w:rPr>
          <w:lang w:val="fr-FR"/>
        </w:rPr>
        <w:t>’</w:t>
      </w:r>
      <w:r w:rsidRPr="00B9405E">
        <w:rPr>
          <w:lang w:val="fr-FR"/>
        </w:rPr>
        <w:t>idées prônant la supériorité ou l</w:t>
      </w:r>
      <w:r>
        <w:rPr>
          <w:lang w:val="fr-FR"/>
        </w:rPr>
        <w:t>’</w:t>
      </w:r>
      <w:r w:rsidRPr="00B9405E">
        <w:rPr>
          <w:lang w:val="fr-FR"/>
        </w:rPr>
        <w:t>infériorité d</w:t>
      </w:r>
      <w:r>
        <w:rPr>
          <w:lang w:val="fr-FR"/>
        </w:rPr>
        <w:t>’</w:t>
      </w:r>
      <w:r w:rsidRPr="00B9405E">
        <w:rPr>
          <w:lang w:val="fr-FR"/>
        </w:rPr>
        <w:t>une race ou tentant de justifier la violence, la haine ou la discrimination à l</w:t>
      </w:r>
      <w:r>
        <w:rPr>
          <w:lang w:val="fr-FR"/>
        </w:rPr>
        <w:t>’</w:t>
      </w:r>
      <w:r w:rsidRPr="00B9405E">
        <w:rPr>
          <w:lang w:val="fr-FR"/>
        </w:rPr>
        <w:t>égard des personnes d</w:t>
      </w:r>
      <w:r>
        <w:rPr>
          <w:lang w:val="fr-FR"/>
        </w:rPr>
        <w:t>’</w:t>
      </w:r>
      <w:r w:rsidRPr="00B9405E">
        <w:rPr>
          <w:lang w:val="fr-FR"/>
        </w:rPr>
        <w:t>ascendance africaine</w:t>
      </w:r>
      <w:r w:rsidRPr="00CD6B67">
        <w:rPr>
          <w:rStyle w:val="FootnoteReference"/>
        </w:rPr>
        <w:footnoteReference w:id="216"/>
      </w:r>
      <w:r>
        <w:rPr>
          <w:lang w:val="fr-FR"/>
        </w:rPr>
        <w:t>.</w:t>
      </w:r>
      <w:r w:rsidRPr="00293268">
        <w:rPr>
          <w:lang w:val="fr-FR"/>
        </w:rPr>
        <w:t xml:space="preserve"> </w:t>
      </w:r>
      <w:r w:rsidRPr="00185785">
        <w:rPr>
          <w:lang w:val="fr-FR"/>
        </w:rPr>
        <w:t>En réponse aux violences à motivation raciale à l</w:t>
      </w:r>
      <w:r>
        <w:rPr>
          <w:lang w:val="fr-FR"/>
        </w:rPr>
        <w:t>’</w:t>
      </w:r>
      <w:r w:rsidRPr="00185785">
        <w:rPr>
          <w:lang w:val="fr-FR"/>
        </w:rPr>
        <w:t>encontre des personnes d</w:t>
      </w:r>
      <w:r>
        <w:rPr>
          <w:lang w:val="fr-FR"/>
        </w:rPr>
        <w:t>’</w:t>
      </w:r>
      <w:r w:rsidRPr="00185785">
        <w:rPr>
          <w:lang w:val="fr-FR"/>
        </w:rPr>
        <w:t>ascendance africaine, les États devraient veiller à une prompte intervention de la police, du parquet et des juges aux fins d</w:t>
      </w:r>
      <w:r>
        <w:rPr>
          <w:lang w:val="fr-FR"/>
        </w:rPr>
        <w:t>’</w:t>
      </w:r>
      <w:r w:rsidRPr="00185785">
        <w:rPr>
          <w:lang w:val="fr-FR"/>
        </w:rPr>
        <w:t>enquêter sur de tels actes</w:t>
      </w:r>
      <w:r>
        <w:rPr>
          <w:lang w:val="fr-FR"/>
        </w:rPr>
        <w:t>,</w:t>
      </w:r>
      <w:r w:rsidRPr="00185785">
        <w:rPr>
          <w:lang w:val="fr-FR"/>
        </w:rPr>
        <w:t xml:space="preserve"> de les réprimer et </w:t>
      </w:r>
      <w:r>
        <w:rPr>
          <w:lang w:val="fr-FR"/>
        </w:rPr>
        <w:t xml:space="preserve">de </w:t>
      </w:r>
      <w:r w:rsidRPr="00185785">
        <w:rPr>
          <w:lang w:val="fr-FR"/>
        </w:rPr>
        <w:t>faire en sorte que leurs responsables, qu</w:t>
      </w:r>
      <w:r>
        <w:rPr>
          <w:lang w:val="fr-FR"/>
        </w:rPr>
        <w:t>’</w:t>
      </w:r>
      <w:r w:rsidRPr="00185785">
        <w:rPr>
          <w:lang w:val="fr-FR"/>
        </w:rPr>
        <w:t>il s</w:t>
      </w:r>
      <w:r>
        <w:rPr>
          <w:lang w:val="fr-FR"/>
        </w:rPr>
        <w:t>’</w:t>
      </w:r>
      <w:r w:rsidRPr="00185785">
        <w:rPr>
          <w:lang w:val="fr-FR"/>
        </w:rPr>
        <w:t>agisse d</w:t>
      </w:r>
      <w:r>
        <w:rPr>
          <w:lang w:val="fr-FR"/>
        </w:rPr>
        <w:t>’</w:t>
      </w:r>
      <w:r w:rsidRPr="00185785">
        <w:rPr>
          <w:lang w:val="fr-FR"/>
        </w:rPr>
        <w:t>agents publics ou d</w:t>
      </w:r>
      <w:r>
        <w:rPr>
          <w:lang w:val="fr-FR"/>
        </w:rPr>
        <w:t>’</w:t>
      </w:r>
      <w:r w:rsidRPr="00185785">
        <w:rPr>
          <w:lang w:val="fr-FR"/>
        </w:rPr>
        <w:t>autres personnes, ne jouissent d</w:t>
      </w:r>
      <w:r>
        <w:rPr>
          <w:lang w:val="fr-FR"/>
        </w:rPr>
        <w:t>’</w:t>
      </w:r>
      <w:r w:rsidRPr="00185785">
        <w:rPr>
          <w:lang w:val="fr-FR"/>
        </w:rPr>
        <w:t>aucune impunité</w:t>
      </w:r>
      <w:r w:rsidRPr="00CD6B67">
        <w:rPr>
          <w:rStyle w:val="FootnoteReference"/>
        </w:rPr>
        <w:footnoteReference w:id="217"/>
      </w:r>
      <w:r>
        <w:rPr>
          <w:lang w:val="fr-FR"/>
        </w:rPr>
        <w:t>.</w:t>
      </w:r>
    </w:p>
    <w:p w14:paraId="099A5EC2" w14:textId="1C5A05F7" w:rsidR="00865E37" w:rsidRPr="00293268" w:rsidRDefault="00865E37" w:rsidP="00865E37">
      <w:pPr>
        <w:pStyle w:val="SingleTxtG"/>
        <w:rPr>
          <w:lang w:val="fr-FR"/>
        </w:rPr>
      </w:pPr>
      <w:r w:rsidRPr="00293268">
        <w:rPr>
          <w:lang w:val="fr-FR"/>
        </w:rPr>
        <w:t>74.</w:t>
      </w:r>
      <w:r w:rsidRPr="00293268">
        <w:rPr>
          <w:lang w:val="fr-FR"/>
        </w:rPr>
        <w:tab/>
      </w:r>
      <w:r w:rsidRPr="00E42A84">
        <w:rPr>
          <w:lang w:val="fr-FR"/>
        </w:rPr>
        <w:t xml:space="preserve">Les États sont également invités à </w:t>
      </w:r>
      <w:r>
        <w:rPr>
          <w:lang w:val="fr-FR"/>
        </w:rPr>
        <w:t>i</w:t>
      </w:r>
      <w:r w:rsidRPr="00173829">
        <w:rPr>
          <w:lang w:val="fr-FR"/>
        </w:rPr>
        <w:t xml:space="preserve">nstaurer des mesures et des procédures destinées à empêcher </w:t>
      </w:r>
      <w:r>
        <w:rPr>
          <w:lang w:val="fr-FR"/>
        </w:rPr>
        <w:t xml:space="preserve">tous les acteurs, en particulier </w:t>
      </w:r>
      <w:r w:rsidRPr="00173829">
        <w:rPr>
          <w:lang w:val="fr-FR"/>
        </w:rPr>
        <w:t>les médias</w:t>
      </w:r>
      <w:r>
        <w:rPr>
          <w:lang w:val="fr-FR"/>
        </w:rPr>
        <w:t xml:space="preserve">, </w:t>
      </w:r>
      <w:r w:rsidRPr="00173829">
        <w:rPr>
          <w:lang w:val="fr-FR"/>
        </w:rPr>
        <w:t>de perpétuer des stéréotypes négatifs</w:t>
      </w:r>
      <w:r w:rsidRPr="00CD6B67">
        <w:rPr>
          <w:rStyle w:val="FootnoteReference"/>
        </w:rPr>
        <w:footnoteReference w:id="218"/>
      </w:r>
      <w:r>
        <w:rPr>
          <w:lang w:val="fr-FR"/>
        </w:rPr>
        <w:t>,</w:t>
      </w:r>
      <w:r w:rsidRPr="00293268">
        <w:rPr>
          <w:lang w:val="fr-FR"/>
        </w:rPr>
        <w:t xml:space="preserve"> </w:t>
      </w:r>
      <w:r w:rsidRPr="00E911F7">
        <w:rPr>
          <w:lang w:val="fr-FR"/>
        </w:rPr>
        <w:t>à prendre des mesures pour sensibiliser les professionnels des médias à la responsabilité qui leur incombe de ne pas perpétuer</w:t>
      </w:r>
      <w:r>
        <w:rPr>
          <w:lang w:val="fr-FR"/>
        </w:rPr>
        <w:t xml:space="preserve"> les préjugés</w:t>
      </w:r>
      <w:r w:rsidRPr="00CD6B67">
        <w:rPr>
          <w:rStyle w:val="FootnoteReference"/>
        </w:rPr>
        <w:footnoteReference w:id="219"/>
      </w:r>
      <w:r>
        <w:rPr>
          <w:lang w:val="fr-FR"/>
        </w:rPr>
        <w:t xml:space="preserve"> et à mettre en place un </w:t>
      </w:r>
      <w:r w:rsidRPr="00711789">
        <w:rPr>
          <w:lang w:val="fr-FR"/>
        </w:rPr>
        <w:t>organe indépendant et impartial doté des</w:t>
      </w:r>
      <w:r>
        <w:rPr>
          <w:lang w:val="fr-FR"/>
        </w:rPr>
        <w:t xml:space="preserve"> </w:t>
      </w:r>
      <w:r w:rsidRPr="00711789">
        <w:rPr>
          <w:lang w:val="fr-FR"/>
        </w:rPr>
        <w:t xml:space="preserve">moyens qui lui sont nécessaires pour superviser </w:t>
      </w:r>
      <w:r>
        <w:rPr>
          <w:lang w:val="fr-FR"/>
        </w:rPr>
        <w:t>l’application</w:t>
      </w:r>
      <w:r w:rsidRPr="00711789">
        <w:rPr>
          <w:lang w:val="fr-FR"/>
        </w:rPr>
        <w:t xml:space="preserve"> de ces mesures</w:t>
      </w:r>
      <w:r w:rsidRPr="00CD6B67">
        <w:rPr>
          <w:rStyle w:val="FootnoteReference"/>
        </w:rPr>
        <w:footnoteReference w:id="220"/>
      </w:r>
      <w:r>
        <w:rPr>
          <w:lang w:val="fr-FR"/>
        </w:rPr>
        <w:t>.</w:t>
      </w:r>
      <w:r w:rsidRPr="00293268">
        <w:rPr>
          <w:lang w:val="fr-FR"/>
        </w:rPr>
        <w:t xml:space="preserve"> </w:t>
      </w:r>
      <w:r w:rsidRPr="004E3103">
        <w:rPr>
          <w:lang w:val="fr-FR"/>
        </w:rPr>
        <w:t xml:space="preserve">Les codes </w:t>
      </w:r>
      <w:r>
        <w:rPr>
          <w:lang w:val="fr-FR"/>
        </w:rPr>
        <w:t>de conduite</w:t>
      </w:r>
      <w:r w:rsidRPr="004E3103">
        <w:rPr>
          <w:lang w:val="fr-FR"/>
        </w:rPr>
        <w:t xml:space="preserve"> volontaires des professionnels des médias devraient prévoir des </w:t>
      </w:r>
      <w:r>
        <w:rPr>
          <w:lang w:val="fr-FR"/>
        </w:rPr>
        <w:t>dispositifs</w:t>
      </w:r>
      <w:r w:rsidRPr="004E3103">
        <w:rPr>
          <w:lang w:val="fr-FR"/>
        </w:rPr>
        <w:t xml:space="preserve"> d</w:t>
      </w:r>
      <w:r>
        <w:rPr>
          <w:lang w:val="fr-FR"/>
        </w:rPr>
        <w:t>’</w:t>
      </w:r>
      <w:r w:rsidRPr="004E3103">
        <w:rPr>
          <w:lang w:val="fr-FR"/>
        </w:rPr>
        <w:t xml:space="preserve">autosurveillance et </w:t>
      </w:r>
      <w:r>
        <w:rPr>
          <w:lang w:val="fr-FR"/>
        </w:rPr>
        <w:t>tenir compte du</w:t>
      </w:r>
      <w:r w:rsidRPr="004E3103">
        <w:rPr>
          <w:lang w:val="fr-FR"/>
        </w:rPr>
        <w:t xml:space="preserve"> principe d</w:t>
      </w:r>
      <w:r>
        <w:rPr>
          <w:lang w:val="fr-FR"/>
        </w:rPr>
        <w:t>’</w:t>
      </w:r>
      <w:r w:rsidRPr="004E3103">
        <w:rPr>
          <w:lang w:val="fr-FR"/>
        </w:rPr>
        <w:t>égalité afin de proscrire l</w:t>
      </w:r>
      <w:r>
        <w:rPr>
          <w:lang w:val="fr-FR"/>
        </w:rPr>
        <w:t>’</w:t>
      </w:r>
      <w:r w:rsidRPr="004E3103">
        <w:rPr>
          <w:lang w:val="fr-FR"/>
        </w:rPr>
        <w:t>emploi d</w:t>
      </w:r>
      <w:r>
        <w:rPr>
          <w:lang w:val="fr-FR"/>
        </w:rPr>
        <w:t>’</w:t>
      </w:r>
      <w:r w:rsidRPr="004E3103">
        <w:rPr>
          <w:lang w:val="fr-FR"/>
        </w:rPr>
        <w:t>expressions et d</w:t>
      </w:r>
      <w:r>
        <w:rPr>
          <w:lang w:val="fr-FR"/>
        </w:rPr>
        <w:t>’</w:t>
      </w:r>
      <w:r w:rsidRPr="004E3103">
        <w:rPr>
          <w:lang w:val="fr-FR"/>
        </w:rPr>
        <w:t>images à connotation raciale, discriminatoire ou péjorativ</w:t>
      </w:r>
      <w:r>
        <w:rPr>
          <w:lang w:val="fr-FR"/>
        </w:rPr>
        <w:t>e</w:t>
      </w:r>
      <w:r w:rsidRPr="00CD6B67">
        <w:rPr>
          <w:rStyle w:val="FootnoteReference"/>
        </w:rPr>
        <w:footnoteReference w:id="221"/>
      </w:r>
      <w:r>
        <w:rPr>
          <w:lang w:val="fr-FR"/>
        </w:rPr>
        <w:t>.</w:t>
      </w:r>
      <w:r w:rsidRPr="00293268">
        <w:rPr>
          <w:lang w:val="fr-FR"/>
        </w:rPr>
        <w:t xml:space="preserve"> </w:t>
      </w:r>
      <w:r w:rsidRPr="00992794">
        <w:rPr>
          <w:lang w:val="fr-FR"/>
        </w:rPr>
        <w:t xml:space="preserve">En outre, les États et la société civile </w:t>
      </w:r>
      <w:r w:rsidRPr="004A273B">
        <w:rPr>
          <w:lang w:val="fr-FR"/>
        </w:rPr>
        <w:t>devraient œuvrer avec les médias</w:t>
      </w:r>
      <w:r>
        <w:rPr>
          <w:lang w:val="fr-FR"/>
        </w:rPr>
        <w:t xml:space="preserve"> </w:t>
      </w:r>
      <w:r w:rsidRPr="004A273B">
        <w:rPr>
          <w:lang w:val="fr-FR"/>
        </w:rPr>
        <w:t>et les entreprises de communication à la promotion d</w:t>
      </w:r>
      <w:r>
        <w:rPr>
          <w:lang w:val="fr-FR"/>
        </w:rPr>
        <w:t>’</w:t>
      </w:r>
      <w:r w:rsidRPr="004A273B">
        <w:rPr>
          <w:lang w:val="fr-FR"/>
        </w:rPr>
        <w:t>images et de représentations</w:t>
      </w:r>
      <w:r>
        <w:rPr>
          <w:lang w:val="fr-FR"/>
        </w:rPr>
        <w:t xml:space="preserve"> </w:t>
      </w:r>
      <w:r w:rsidRPr="004754EE">
        <w:rPr>
          <w:lang w:val="fr-FR"/>
        </w:rPr>
        <w:t xml:space="preserve">plus positives </w:t>
      </w:r>
      <w:r>
        <w:rPr>
          <w:lang w:val="fr-FR"/>
        </w:rPr>
        <w:t xml:space="preserve">et inclusives </w:t>
      </w:r>
      <w:r w:rsidRPr="004754EE">
        <w:rPr>
          <w:lang w:val="fr-FR"/>
        </w:rPr>
        <w:t>des personnes d</w:t>
      </w:r>
      <w:r>
        <w:rPr>
          <w:lang w:val="fr-FR"/>
        </w:rPr>
        <w:t>’</w:t>
      </w:r>
      <w:r w:rsidRPr="004754EE">
        <w:rPr>
          <w:lang w:val="fr-FR"/>
        </w:rPr>
        <w:t>ascendance africaine, afin d</w:t>
      </w:r>
      <w:r>
        <w:rPr>
          <w:lang w:val="fr-FR"/>
        </w:rPr>
        <w:t>’</w:t>
      </w:r>
      <w:r w:rsidRPr="004754EE">
        <w:rPr>
          <w:lang w:val="fr-FR"/>
        </w:rPr>
        <w:t>en accroître la visibilité</w:t>
      </w:r>
      <w:r>
        <w:rPr>
          <w:lang w:val="fr-FR"/>
        </w:rPr>
        <w:t xml:space="preserve"> </w:t>
      </w:r>
      <w:r w:rsidRPr="004754EE">
        <w:rPr>
          <w:lang w:val="fr-FR"/>
        </w:rPr>
        <w:t xml:space="preserve">dans la société et de combattre les stéréotypes négatifs et la discrimination </w:t>
      </w:r>
      <w:r w:rsidRPr="001C37EA">
        <w:rPr>
          <w:lang w:val="fr-FR"/>
        </w:rPr>
        <w:t>qui en résulte</w:t>
      </w:r>
      <w:r w:rsidRPr="00CD6B67">
        <w:rPr>
          <w:rStyle w:val="FootnoteReference"/>
        </w:rPr>
        <w:footnoteReference w:id="222"/>
      </w:r>
      <w:r>
        <w:rPr>
          <w:lang w:val="fr-FR"/>
        </w:rPr>
        <w:t>.</w:t>
      </w:r>
    </w:p>
    <w:p w14:paraId="0231F34D" w14:textId="77777777" w:rsidR="00865E37" w:rsidRPr="00293268" w:rsidRDefault="00865E37" w:rsidP="00865E37">
      <w:pPr>
        <w:pStyle w:val="SingleTxtG"/>
        <w:rPr>
          <w:lang w:val="fr-FR"/>
        </w:rPr>
      </w:pPr>
      <w:r w:rsidRPr="00293268">
        <w:rPr>
          <w:lang w:val="fr-FR"/>
        </w:rPr>
        <w:t>75.</w:t>
      </w:r>
      <w:r w:rsidRPr="00293268">
        <w:rPr>
          <w:lang w:val="fr-FR"/>
        </w:rPr>
        <w:tab/>
      </w:r>
      <w:r w:rsidRPr="00595802">
        <w:rPr>
          <w:lang w:val="fr-FR"/>
        </w:rPr>
        <w:t xml:space="preserve">Les responsables politiques </w:t>
      </w:r>
      <w:r w:rsidRPr="00B73B46">
        <w:rPr>
          <w:lang w:val="fr-FR"/>
        </w:rPr>
        <w:t>devraient s</w:t>
      </w:r>
      <w:r>
        <w:rPr>
          <w:lang w:val="fr-FR"/>
        </w:rPr>
        <w:t>’</w:t>
      </w:r>
      <w:r w:rsidRPr="00B73B46">
        <w:rPr>
          <w:lang w:val="fr-FR"/>
        </w:rPr>
        <w:t>abstenir de transmettre des messages d</w:t>
      </w:r>
      <w:r>
        <w:rPr>
          <w:lang w:val="fr-FR"/>
        </w:rPr>
        <w:t>’</w:t>
      </w:r>
      <w:r w:rsidRPr="00B73B46">
        <w:rPr>
          <w:lang w:val="fr-FR"/>
        </w:rPr>
        <w:t>intolérance ou d</w:t>
      </w:r>
      <w:r>
        <w:rPr>
          <w:lang w:val="fr-FR"/>
        </w:rPr>
        <w:t>’</w:t>
      </w:r>
      <w:r w:rsidRPr="00B73B46">
        <w:rPr>
          <w:lang w:val="fr-FR"/>
        </w:rPr>
        <w:t>employer des expressions susceptibles d</w:t>
      </w:r>
      <w:r>
        <w:rPr>
          <w:lang w:val="fr-FR"/>
        </w:rPr>
        <w:t>’</w:t>
      </w:r>
      <w:r w:rsidRPr="00B73B46">
        <w:rPr>
          <w:lang w:val="fr-FR"/>
        </w:rPr>
        <w:t>inciter à la violence, à l</w:t>
      </w:r>
      <w:r>
        <w:rPr>
          <w:lang w:val="fr-FR"/>
        </w:rPr>
        <w:t>’</w:t>
      </w:r>
      <w:r w:rsidRPr="00B73B46">
        <w:rPr>
          <w:lang w:val="fr-FR"/>
        </w:rPr>
        <w:t>hostilité ou à la discrimination</w:t>
      </w:r>
      <w:r w:rsidRPr="00595802">
        <w:rPr>
          <w:lang w:val="fr-FR"/>
        </w:rPr>
        <w:t>. Il</w:t>
      </w:r>
      <w:r>
        <w:rPr>
          <w:lang w:val="fr-FR"/>
        </w:rPr>
        <w:t xml:space="preserve"> leur appartient </w:t>
      </w:r>
      <w:r w:rsidRPr="00595802">
        <w:rPr>
          <w:lang w:val="fr-FR"/>
        </w:rPr>
        <w:t xml:space="preserve">également </w:t>
      </w:r>
      <w:r>
        <w:rPr>
          <w:lang w:val="fr-FR"/>
        </w:rPr>
        <w:t>au premier chef de</w:t>
      </w:r>
      <w:r w:rsidRPr="00595802">
        <w:rPr>
          <w:lang w:val="fr-FR"/>
        </w:rPr>
        <w:t xml:space="preserve"> dénoncer fermement et sans délai l</w:t>
      </w:r>
      <w:r>
        <w:rPr>
          <w:lang w:val="fr-FR"/>
        </w:rPr>
        <w:t>’</w:t>
      </w:r>
      <w:r w:rsidRPr="00595802">
        <w:rPr>
          <w:lang w:val="fr-FR"/>
        </w:rPr>
        <w:t>intolérance, les stéréotypes discriminatoires et les propos haineux</w:t>
      </w:r>
      <w:r w:rsidRPr="00CD6B67">
        <w:rPr>
          <w:rStyle w:val="FootnoteReference"/>
        </w:rPr>
        <w:footnoteReference w:id="223"/>
      </w:r>
      <w:r>
        <w:rPr>
          <w:lang w:val="fr-FR"/>
        </w:rPr>
        <w:t>.</w:t>
      </w:r>
      <w:r w:rsidRPr="00293268">
        <w:rPr>
          <w:lang w:val="fr-FR"/>
        </w:rPr>
        <w:t xml:space="preserve"> </w:t>
      </w:r>
      <w:r w:rsidRPr="00FB7378">
        <w:rPr>
          <w:lang w:val="fr-FR"/>
        </w:rPr>
        <w:t xml:space="preserve">Les partis politiques devraient adopter et appliquer des directives éthiques concernant la conduite de leurs représentants, en particulier </w:t>
      </w:r>
      <w:r>
        <w:rPr>
          <w:lang w:val="fr-FR"/>
        </w:rPr>
        <w:t>lorsqu’ils prononcent des</w:t>
      </w:r>
      <w:r w:rsidRPr="00FB7378">
        <w:rPr>
          <w:lang w:val="fr-FR"/>
        </w:rPr>
        <w:t xml:space="preserve"> discours publics</w:t>
      </w:r>
      <w:r w:rsidRPr="00CD6B67">
        <w:rPr>
          <w:rStyle w:val="FootnoteReference"/>
        </w:rPr>
        <w:footnoteReference w:id="224"/>
      </w:r>
      <w:r>
        <w:rPr>
          <w:lang w:val="fr-FR"/>
        </w:rPr>
        <w:t>.</w:t>
      </w:r>
    </w:p>
    <w:p w14:paraId="514F74A3" w14:textId="77777777" w:rsidR="00865E37" w:rsidRPr="00293268" w:rsidRDefault="00865E37" w:rsidP="00865E37">
      <w:pPr>
        <w:pStyle w:val="SingleTxtG"/>
        <w:rPr>
          <w:lang w:val="fr-FR"/>
        </w:rPr>
      </w:pPr>
      <w:r w:rsidRPr="00293268">
        <w:rPr>
          <w:lang w:val="fr-FR"/>
        </w:rPr>
        <w:t>76.</w:t>
      </w:r>
      <w:r w:rsidRPr="00293268">
        <w:rPr>
          <w:lang w:val="fr-FR"/>
        </w:rPr>
        <w:tab/>
      </w:r>
      <w:r w:rsidRPr="00532060">
        <w:rPr>
          <w:lang w:val="fr-FR"/>
        </w:rPr>
        <w:t>Les États</w:t>
      </w:r>
      <w:r>
        <w:rPr>
          <w:lang w:val="fr-FR"/>
        </w:rPr>
        <w:t xml:space="preserve"> et</w:t>
      </w:r>
      <w:r w:rsidRPr="00532060">
        <w:rPr>
          <w:lang w:val="fr-FR"/>
        </w:rPr>
        <w:t xml:space="preserve"> les fédérations et associations sportives internationales et régionales devraient intensifier leur collaboration pour appliquer des mesures concrètes visant à éradiquer le racisme systémique à l</w:t>
      </w:r>
      <w:r>
        <w:rPr>
          <w:lang w:val="fr-FR"/>
        </w:rPr>
        <w:t>’</w:t>
      </w:r>
      <w:r w:rsidRPr="00532060">
        <w:rPr>
          <w:lang w:val="fr-FR"/>
        </w:rPr>
        <w:t>encontre des Africains et des personnes d</w:t>
      </w:r>
      <w:r>
        <w:rPr>
          <w:lang w:val="fr-FR"/>
        </w:rPr>
        <w:t>’</w:t>
      </w:r>
      <w:r w:rsidRPr="00532060">
        <w:rPr>
          <w:lang w:val="fr-FR"/>
        </w:rPr>
        <w:t>ascendance africaine dans le sport et combattre le racisme dans le sport, notamment par des activités de sensibilisation. Les États devraient veiller à ce que des sanctions appropriées soient appliquées pour lutter contre le racisme dans le sport et les associations sportives devraient élaborer des cadres ou des plans d</w:t>
      </w:r>
      <w:r>
        <w:rPr>
          <w:lang w:val="fr-FR"/>
        </w:rPr>
        <w:t>’</w:t>
      </w:r>
      <w:r w:rsidRPr="00532060">
        <w:rPr>
          <w:lang w:val="fr-FR"/>
        </w:rPr>
        <w:t xml:space="preserve">action pour combattre le racisme dans leurs </w:t>
      </w:r>
      <w:r>
        <w:rPr>
          <w:lang w:val="fr-FR"/>
        </w:rPr>
        <w:t>discipline</w:t>
      </w:r>
      <w:r w:rsidRPr="00532060">
        <w:rPr>
          <w:lang w:val="fr-FR"/>
        </w:rPr>
        <w:t xml:space="preserve">s </w:t>
      </w:r>
      <w:r>
        <w:rPr>
          <w:lang w:val="fr-FR"/>
        </w:rPr>
        <w:t xml:space="preserve">sportives </w:t>
      </w:r>
      <w:r w:rsidRPr="00532060">
        <w:rPr>
          <w:lang w:val="fr-FR"/>
        </w:rPr>
        <w:t>respecti</w:t>
      </w:r>
      <w:r>
        <w:rPr>
          <w:lang w:val="fr-FR"/>
        </w:rPr>
        <w:t>ve</w:t>
      </w:r>
      <w:r w:rsidRPr="00532060">
        <w:rPr>
          <w:lang w:val="fr-FR"/>
        </w:rPr>
        <w:t>s</w:t>
      </w:r>
      <w:r w:rsidRPr="00CD6B67">
        <w:rPr>
          <w:rStyle w:val="FootnoteReference"/>
        </w:rPr>
        <w:footnoteReference w:id="225"/>
      </w:r>
      <w:r>
        <w:rPr>
          <w:lang w:val="fr-FR"/>
        </w:rPr>
        <w:t>.</w:t>
      </w:r>
    </w:p>
    <w:p w14:paraId="703A7CBD" w14:textId="662F1CA4" w:rsidR="00865E37" w:rsidRPr="00293268" w:rsidRDefault="00865E37" w:rsidP="00F5398E">
      <w:pPr>
        <w:pStyle w:val="H23G"/>
        <w:rPr>
          <w:lang w:val="fr-FR"/>
        </w:rPr>
      </w:pPr>
      <w:bookmarkStart w:id="143" w:name="_Toc74120407"/>
      <w:bookmarkStart w:id="144" w:name="_Toc74120488"/>
      <w:bookmarkStart w:id="145" w:name="_Toc74120408"/>
      <w:bookmarkStart w:id="146" w:name="_Toc74120489"/>
      <w:bookmarkStart w:id="147" w:name="_Toc73738837"/>
      <w:bookmarkStart w:id="148" w:name="_Toc74078718"/>
      <w:bookmarkStart w:id="149" w:name="_Toc74080647"/>
      <w:bookmarkStart w:id="150" w:name="_Toc75280474"/>
      <w:bookmarkStart w:id="151" w:name="_Toc74173713"/>
      <w:bookmarkEnd w:id="143"/>
      <w:bookmarkEnd w:id="144"/>
      <w:bookmarkEnd w:id="145"/>
      <w:bookmarkEnd w:id="146"/>
      <w:r w:rsidRPr="00293268">
        <w:rPr>
          <w:lang w:val="fr-FR"/>
        </w:rPr>
        <w:tab/>
        <w:t>5.</w:t>
      </w:r>
      <w:r w:rsidRPr="00293268">
        <w:rPr>
          <w:lang w:val="fr-FR"/>
        </w:rPr>
        <w:tab/>
      </w:r>
      <w:bookmarkEnd w:id="147"/>
      <w:bookmarkEnd w:id="148"/>
      <w:bookmarkEnd w:id="149"/>
      <w:bookmarkEnd w:id="150"/>
      <w:bookmarkEnd w:id="151"/>
      <w:r w:rsidRPr="00DC099A">
        <w:rPr>
          <w:lang w:val="fr-FR"/>
        </w:rPr>
        <w:t xml:space="preserve">Intensifier </w:t>
      </w:r>
      <w:r>
        <w:rPr>
          <w:lang w:val="fr-FR"/>
        </w:rPr>
        <w:t>l’application</w:t>
      </w:r>
      <w:r w:rsidRPr="00DC099A">
        <w:rPr>
          <w:lang w:val="fr-FR"/>
        </w:rPr>
        <w:t xml:space="preserve"> des recommandations des mécanismes des droits de l</w:t>
      </w:r>
      <w:r>
        <w:rPr>
          <w:lang w:val="fr-FR"/>
        </w:rPr>
        <w:t>’</w:t>
      </w:r>
      <w:r w:rsidRPr="00DC099A">
        <w:rPr>
          <w:lang w:val="fr-FR"/>
        </w:rPr>
        <w:t>homme</w:t>
      </w:r>
      <w:r>
        <w:rPr>
          <w:lang w:val="fr-FR"/>
        </w:rPr>
        <w:t xml:space="preserve"> </w:t>
      </w:r>
      <w:r w:rsidR="00F5398E">
        <w:rPr>
          <w:lang w:val="fr-FR"/>
        </w:rPr>
        <w:br/>
      </w:r>
      <w:r>
        <w:rPr>
          <w:lang w:val="fr-FR"/>
        </w:rPr>
        <w:t>de l’ONU et de leurs homologues régionaux, ainsi que celles</w:t>
      </w:r>
      <w:r w:rsidRPr="00DC099A">
        <w:rPr>
          <w:lang w:val="fr-FR"/>
        </w:rPr>
        <w:t xml:space="preserve"> des commissions </w:t>
      </w:r>
      <w:r w:rsidR="00F5398E">
        <w:rPr>
          <w:lang w:val="fr-FR"/>
        </w:rPr>
        <w:br/>
      </w:r>
      <w:r w:rsidRPr="00DC099A">
        <w:rPr>
          <w:lang w:val="fr-FR"/>
        </w:rPr>
        <w:t>et enquêtes nationales, des institutions nationales des droits de l</w:t>
      </w:r>
      <w:r>
        <w:rPr>
          <w:lang w:val="fr-FR"/>
        </w:rPr>
        <w:t>’</w:t>
      </w:r>
      <w:r w:rsidRPr="00DC099A">
        <w:rPr>
          <w:lang w:val="fr-FR"/>
        </w:rPr>
        <w:t xml:space="preserve">homme </w:t>
      </w:r>
      <w:r w:rsidR="00F5398E">
        <w:rPr>
          <w:lang w:val="fr-FR"/>
        </w:rPr>
        <w:br/>
      </w:r>
      <w:r w:rsidRPr="00DC099A">
        <w:rPr>
          <w:lang w:val="fr-FR"/>
        </w:rPr>
        <w:t>et des institutions chargées de l</w:t>
      </w:r>
      <w:r>
        <w:rPr>
          <w:lang w:val="fr-FR"/>
        </w:rPr>
        <w:t>’</w:t>
      </w:r>
      <w:r w:rsidRPr="00DC099A">
        <w:rPr>
          <w:lang w:val="fr-FR"/>
        </w:rPr>
        <w:t xml:space="preserve">égalité, </w:t>
      </w:r>
      <w:r w:rsidRPr="004C6273">
        <w:rPr>
          <w:lang w:val="fr-FR"/>
        </w:rPr>
        <w:t xml:space="preserve">suivre les progrès réalisés </w:t>
      </w:r>
      <w:r w:rsidR="00F5398E">
        <w:rPr>
          <w:lang w:val="fr-FR"/>
        </w:rPr>
        <w:br/>
      </w:r>
      <w:r w:rsidRPr="00DC099A">
        <w:rPr>
          <w:lang w:val="fr-FR"/>
        </w:rPr>
        <w:t xml:space="preserve">et </w:t>
      </w:r>
      <w:r>
        <w:rPr>
          <w:lang w:val="fr-FR"/>
        </w:rPr>
        <w:t xml:space="preserve">en </w:t>
      </w:r>
      <w:r w:rsidRPr="00DC099A">
        <w:rPr>
          <w:lang w:val="fr-FR"/>
        </w:rPr>
        <w:t xml:space="preserve">rendre compte </w:t>
      </w:r>
    </w:p>
    <w:p w14:paraId="0ED0423E" w14:textId="77777777" w:rsidR="00865E37" w:rsidRPr="00293268" w:rsidRDefault="00865E37" w:rsidP="00865E37">
      <w:pPr>
        <w:pStyle w:val="SingleTxtG"/>
        <w:rPr>
          <w:b/>
          <w:lang w:val="fr-FR"/>
        </w:rPr>
      </w:pPr>
      <w:r w:rsidRPr="00293268">
        <w:rPr>
          <w:lang w:val="fr-FR"/>
        </w:rPr>
        <w:t>77.</w:t>
      </w:r>
      <w:r w:rsidRPr="00293268">
        <w:rPr>
          <w:lang w:val="fr-FR"/>
        </w:rPr>
        <w:tab/>
      </w:r>
      <w:r w:rsidRPr="006F5FD5">
        <w:rPr>
          <w:lang w:val="fr-FR"/>
        </w:rPr>
        <w:t>Conformément aux obligations et engagements énoncés notamment dans la Convention internationale sur l</w:t>
      </w:r>
      <w:r>
        <w:rPr>
          <w:lang w:val="fr-FR"/>
        </w:rPr>
        <w:t>’</w:t>
      </w:r>
      <w:r w:rsidRPr="006F5FD5">
        <w:rPr>
          <w:lang w:val="fr-FR"/>
        </w:rPr>
        <w:t>élimination de toutes les formes de discrimination raciale et dans la Déclaration et le Programme d</w:t>
      </w:r>
      <w:r>
        <w:rPr>
          <w:lang w:val="fr-FR"/>
        </w:rPr>
        <w:t>’</w:t>
      </w:r>
      <w:r w:rsidRPr="006F5FD5">
        <w:rPr>
          <w:lang w:val="fr-FR"/>
        </w:rPr>
        <w:t>action de Durban, les États devraient interdire et éliminer la discrimination raciale sous toutes ses formes</w:t>
      </w:r>
      <w:r w:rsidRPr="00CD6B67">
        <w:rPr>
          <w:rStyle w:val="FootnoteReference"/>
        </w:rPr>
        <w:footnoteReference w:id="226"/>
      </w:r>
      <w:r>
        <w:rPr>
          <w:lang w:val="fr-FR"/>
        </w:rPr>
        <w:t>,</w:t>
      </w:r>
      <w:r w:rsidRPr="00293268">
        <w:rPr>
          <w:lang w:val="fr-FR"/>
        </w:rPr>
        <w:t xml:space="preserve"> </w:t>
      </w:r>
      <w:r>
        <w:rPr>
          <w:lang w:val="fr-FR"/>
        </w:rPr>
        <w:t xml:space="preserve">en particulier le </w:t>
      </w:r>
      <w:r w:rsidRPr="00DF4EA0">
        <w:rPr>
          <w:lang w:val="fr-FR"/>
        </w:rPr>
        <w:t>racisme systémique</w:t>
      </w:r>
      <w:r w:rsidRPr="00CD6B67">
        <w:rPr>
          <w:rStyle w:val="FootnoteReference"/>
        </w:rPr>
        <w:footnoteReference w:id="227"/>
      </w:r>
      <w:r w:rsidRPr="00DF4EA0">
        <w:rPr>
          <w:lang w:val="fr-FR"/>
        </w:rPr>
        <w:t>,</w:t>
      </w:r>
      <w:r w:rsidRPr="00293268">
        <w:rPr>
          <w:lang w:val="fr-FR"/>
        </w:rPr>
        <w:t xml:space="preserve"> </w:t>
      </w:r>
      <w:r w:rsidRPr="003B0CCB">
        <w:rPr>
          <w:lang w:val="fr-FR"/>
        </w:rPr>
        <w:t>indépendamment du statut juridique</w:t>
      </w:r>
      <w:r w:rsidRPr="00CD6B67">
        <w:rPr>
          <w:rStyle w:val="FootnoteReference"/>
        </w:rPr>
        <w:footnoteReference w:id="228"/>
      </w:r>
      <w:r>
        <w:rPr>
          <w:lang w:val="fr-FR"/>
        </w:rPr>
        <w:t>.</w:t>
      </w:r>
      <w:r w:rsidRPr="00293268">
        <w:rPr>
          <w:lang w:val="fr-FR"/>
        </w:rPr>
        <w:t xml:space="preserve"> </w:t>
      </w:r>
      <w:r w:rsidRPr="009B4DF9">
        <w:rPr>
          <w:lang w:val="fr-FR"/>
        </w:rPr>
        <w:t>Le droit international des droits de l</w:t>
      </w:r>
      <w:r>
        <w:rPr>
          <w:lang w:val="fr-FR"/>
        </w:rPr>
        <w:t>’</w:t>
      </w:r>
      <w:r w:rsidRPr="009B4DF9">
        <w:rPr>
          <w:lang w:val="fr-FR"/>
        </w:rPr>
        <w:t xml:space="preserve">homme et les engagements de politique générale fournissent un cadre clair permettant de </w:t>
      </w:r>
      <w:r>
        <w:rPr>
          <w:lang w:val="fr-FR"/>
        </w:rPr>
        <w:t>parvenir à</w:t>
      </w:r>
      <w:r w:rsidRPr="009B4DF9">
        <w:rPr>
          <w:lang w:val="fr-FR"/>
        </w:rPr>
        <w:t xml:space="preserve"> une justice et une égalité raciales </w:t>
      </w:r>
      <w:r>
        <w:rPr>
          <w:lang w:val="fr-FR"/>
        </w:rPr>
        <w:t>effectives</w:t>
      </w:r>
      <w:r w:rsidRPr="009B4DF9">
        <w:rPr>
          <w:lang w:val="fr-FR"/>
        </w:rPr>
        <w:t>,</w:t>
      </w:r>
      <w:r>
        <w:rPr>
          <w:lang w:val="fr-FR"/>
        </w:rPr>
        <w:t xml:space="preserve"> qui vont</w:t>
      </w:r>
      <w:r w:rsidRPr="00577248">
        <w:rPr>
          <w:lang w:val="fr-FR"/>
        </w:rPr>
        <w:t xml:space="preserve"> bien au-delà d</w:t>
      </w:r>
      <w:r>
        <w:rPr>
          <w:lang w:val="fr-FR"/>
        </w:rPr>
        <w:t>’</w:t>
      </w:r>
      <w:r w:rsidRPr="00577248">
        <w:rPr>
          <w:lang w:val="fr-FR"/>
        </w:rPr>
        <w:t>une conception formelle de l</w:t>
      </w:r>
      <w:r>
        <w:rPr>
          <w:lang w:val="fr-FR"/>
        </w:rPr>
        <w:t>’</w:t>
      </w:r>
      <w:r w:rsidRPr="00577248">
        <w:rPr>
          <w:lang w:val="fr-FR"/>
        </w:rPr>
        <w:t>égalité</w:t>
      </w:r>
      <w:r w:rsidRPr="00CD6B67">
        <w:rPr>
          <w:rStyle w:val="FootnoteReference"/>
        </w:rPr>
        <w:footnoteReference w:id="229"/>
      </w:r>
      <w:r>
        <w:rPr>
          <w:lang w:val="fr-FR"/>
        </w:rPr>
        <w:t>.</w:t>
      </w:r>
      <w:r w:rsidRPr="00293268">
        <w:rPr>
          <w:lang w:val="fr-FR"/>
        </w:rPr>
        <w:t xml:space="preserve"> </w:t>
      </w:r>
      <w:r>
        <w:rPr>
          <w:lang w:val="fr-FR"/>
        </w:rPr>
        <w:t>Il importe pour ce faire de réviser</w:t>
      </w:r>
      <w:r w:rsidRPr="00FB46F6">
        <w:rPr>
          <w:lang w:val="fr-FR"/>
        </w:rPr>
        <w:t xml:space="preserve"> la législation, </w:t>
      </w:r>
      <w:r>
        <w:rPr>
          <w:lang w:val="fr-FR"/>
        </w:rPr>
        <w:t>l</w:t>
      </w:r>
      <w:r w:rsidRPr="00FB46F6">
        <w:rPr>
          <w:lang w:val="fr-FR"/>
        </w:rPr>
        <w:t xml:space="preserve">es politiques et </w:t>
      </w:r>
      <w:r>
        <w:rPr>
          <w:lang w:val="fr-FR"/>
        </w:rPr>
        <w:t>l</w:t>
      </w:r>
      <w:r w:rsidRPr="00FB46F6">
        <w:rPr>
          <w:lang w:val="fr-FR"/>
        </w:rPr>
        <w:t>es pratiques qui n</w:t>
      </w:r>
      <w:r>
        <w:rPr>
          <w:lang w:val="fr-FR"/>
        </w:rPr>
        <w:t>’</w:t>
      </w:r>
      <w:r w:rsidRPr="00FB46F6">
        <w:rPr>
          <w:lang w:val="fr-FR"/>
        </w:rPr>
        <w:t xml:space="preserve">ont pas nécessairement un but discriminatoire, mais le sont dans les faits, </w:t>
      </w:r>
      <w:r>
        <w:rPr>
          <w:lang w:val="fr-FR"/>
        </w:rPr>
        <w:t>et de réformer l</w:t>
      </w:r>
      <w:r w:rsidRPr="00FB46F6">
        <w:rPr>
          <w:lang w:val="fr-FR"/>
        </w:rPr>
        <w:t xml:space="preserve">es institutions en </w:t>
      </w:r>
      <w:r>
        <w:rPr>
          <w:lang w:val="fr-FR"/>
        </w:rPr>
        <w:t xml:space="preserve">procédant à </w:t>
      </w:r>
      <w:r w:rsidRPr="00FB46F6">
        <w:rPr>
          <w:lang w:val="fr-FR"/>
        </w:rPr>
        <w:t xml:space="preserve">une analyse </w:t>
      </w:r>
      <w:r>
        <w:rPr>
          <w:lang w:val="fr-FR"/>
        </w:rPr>
        <w:t>transversale</w:t>
      </w:r>
      <w:r w:rsidRPr="00CD6B67">
        <w:rPr>
          <w:rStyle w:val="FootnoteReference"/>
        </w:rPr>
        <w:footnoteReference w:id="230"/>
      </w:r>
      <w:r>
        <w:rPr>
          <w:lang w:val="fr-FR"/>
        </w:rPr>
        <w:t>.</w:t>
      </w:r>
    </w:p>
    <w:p w14:paraId="668A076F" w14:textId="46A97DFD" w:rsidR="00865E37" w:rsidRPr="00293268" w:rsidRDefault="00865E37" w:rsidP="00865E37">
      <w:pPr>
        <w:pStyle w:val="SingleTxtG"/>
        <w:rPr>
          <w:lang w:val="fr-FR"/>
        </w:rPr>
      </w:pPr>
      <w:r w:rsidRPr="00293268">
        <w:rPr>
          <w:lang w:val="fr-FR"/>
        </w:rPr>
        <w:t>78.</w:t>
      </w:r>
      <w:r w:rsidRPr="00293268">
        <w:rPr>
          <w:lang w:val="fr-FR"/>
        </w:rPr>
        <w:tab/>
      </w:r>
      <w:r w:rsidRPr="00541920">
        <w:rPr>
          <w:lang w:val="fr-FR"/>
        </w:rPr>
        <w:t xml:space="preserve">Les États devraient saisir </w:t>
      </w:r>
      <w:r w:rsidRPr="00F703B7">
        <w:rPr>
          <w:lang w:val="fr-FR"/>
        </w:rPr>
        <w:t>les occasions de faire progresser la lutte contre le racisme</w:t>
      </w:r>
      <w:r w:rsidRPr="00541920">
        <w:rPr>
          <w:lang w:val="fr-FR"/>
        </w:rPr>
        <w:t>, se fixer comme priorité de parvenir à l</w:t>
      </w:r>
      <w:r>
        <w:rPr>
          <w:lang w:val="fr-FR"/>
        </w:rPr>
        <w:t>’</w:t>
      </w:r>
      <w:r w:rsidRPr="00541920">
        <w:rPr>
          <w:lang w:val="fr-FR"/>
        </w:rPr>
        <w:t>équité raciale dans l</w:t>
      </w:r>
      <w:r>
        <w:rPr>
          <w:lang w:val="fr-FR"/>
        </w:rPr>
        <w:t>’</w:t>
      </w:r>
      <w:r w:rsidRPr="00541920">
        <w:rPr>
          <w:lang w:val="fr-FR"/>
        </w:rPr>
        <w:t>application du Programme 2030 et veiller à ce que les personnes d</w:t>
      </w:r>
      <w:r>
        <w:rPr>
          <w:lang w:val="fr-FR"/>
        </w:rPr>
        <w:t>’</w:t>
      </w:r>
      <w:r w:rsidRPr="00541920">
        <w:rPr>
          <w:lang w:val="fr-FR"/>
        </w:rPr>
        <w:t>ascendance africaine ne soient pas laissées de côté. La</w:t>
      </w:r>
      <w:r w:rsidR="00425252">
        <w:rPr>
          <w:lang w:val="fr-FR"/>
        </w:rPr>
        <w:t> </w:t>
      </w:r>
      <w:r w:rsidRPr="00541920">
        <w:rPr>
          <w:lang w:val="fr-FR"/>
        </w:rPr>
        <w:t>célébration</w:t>
      </w:r>
      <w:r w:rsidR="00425252">
        <w:rPr>
          <w:lang w:val="fr-FR"/>
        </w:rPr>
        <w:t xml:space="preserve"> </w:t>
      </w:r>
      <w:r w:rsidRPr="00541920">
        <w:rPr>
          <w:lang w:val="fr-FR"/>
        </w:rPr>
        <w:t>du vingtième anniversaire de la Conférence mondiale contre le racisme, la discrimination raciale, la xénophobie et l</w:t>
      </w:r>
      <w:r>
        <w:rPr>
          <w:lang w:val="fr-FR"/>
        </w:rPr>
        <w:t>’</w:t>
      </w:r>
      <w:r w:rsidRPr="00541920">
        <w:rPr>
          <w:lang w:val="fr-FR"/>
        </w:rPr>
        <w:t>intolérance qui y est associée, qui s</w:t>
      </w:r>
      <w:r>
        <w:rPr>
          <w:lang w:val="fr-FR"/>
        </w:rPr>
        <w:t>’</w:t>
      </w:r>
      <w:r w:rsidRPr="00541920">
        <w:rPr>
          <w:lang w:val="fr-FR"/>
        </w:rPr>
        <w:t>est tenue à Durban en Afrique du Sud en 2001, est l</w:t>
      </w:r>
      <w:r>
        <w:rPr>
          <w:lang w:val="fr-FR"/>
        </w:rPr>
        <w:t>’</w:t>
      </w:r>
      <w:r w:rsidRPr="00541920">
        <w:rPr>
          <w:lang w:val="fr-FR"/>
        </w:rPr>
        <w:t>occasion d</w:t>
      </w:r>
      <w:r>
        <w:rPr>
          <w:lang w:val="fr-FR"/>
        </w:rPr>
        <w:t>’</w:t>
      </w:r>
      <w:r w:rsidRPr="00541920">
        <w:rPr>
          <w:lang w:val="fr-FR"/>
        </w:rPr>
        <w:t>intensifier sans plus attendre le rythme de cette action. La Décennie internationale des personnes d</w:t>
      </w:r>
      <w:r>
        <w:rPr>
          <w:lang w:val="fr-FR"/>
        </w:rPr>
        <w:t>’</w:t>
      </w:r>
      <w:r w:rsidRPr="00541920">
        <w:rPr>
          <w:lang w:val="fr-FR"/>
        </w:rPr>
        <w:t xml:space="preserve">ascendance africaine </w:t>
      </w:r>
      <w:r>
        <w:rPr>
          <w:lang w:val="fr-FR"/>
        </w:rPr>
        <w:t>est</w:t>
      </w:r>
      <w:r w:rsidRPr="00541920">
        <w:rPr>
          <w:lang w:val="fr-FR"/>
        </w:rPr>
        <w:t xml:space="preserve"> un </w:t>
      </w:r>
      <w:r>
        <w:rPr>
          <w:lang w:val="fr-FR"/>
        </w:rPr>
        <w:t xml:space="preserve">autre </w:t>
      </w:r>
      <w:r w:rsidRPr="00541920">
        <w:rPr>
          <w:lang w:val="fr-FR"/>
        </w:rPr>
        <w:t>moyen de promouvoir la reconnaissance, la justice et le développement. L</w:t>
      </w:r>
      <w:r>
        <w:rPr>
          <w:lang w:val="fr-FR"/>
        </w:rPr>
        <w:t>’</w:t>
      </w:r>
      <w:r w:rsidRPr="00541920">
        <w:rPr>
          <w:lang w:val="fr-FR"/>
        </w:rPr>
        <w:t>Instance permanente pour les personnes d</w:t>
      </w:r>
      <w:r>
        <w:rPr>
          <w:lang w:val="fr-FR"/>
        </w:rPr>
        <w:t>’</w:t>
      </w:r>
      <w:r w:rsidRPr="00541920">
        <w:rPr>
          <w:lang w:val="fr-FR"/>
        </w:rPr>
        <w:t xml:space="preserve">ascendance africaine pourrait </w:t>
      </w:r>
      <w:r>
        <w:rPr>
          <w:lang w:val="fr-FR"/>
        </w:rPr>
        <w:t xml:space="preserve">offrir </w:t>
      </w:r>
      <w:r w:rsidRPr="00541920">
        <w:rPr>
          <w:lang w:val="fr-FR"/>
        </w:rPr>
        <w:t xml:space="preserve">une plateforme </w:t>
      </w:r>
      <w:r>
        <w:rPr>
          <w:lang w:val="fr-FR"/>
        </w:rPr>
        <w:t>aux</w:t>
      </w:r>
      <w:r w:rsidRPr="00541920">
        <w:rPr>
          <w:lang w:val="fr-FR"/>
        </w:rPr>
        <w:t xml:space="preserve"> mouvements dirigés par des personnes d</w:t>
      </w:r>
      <w:r>
        <w:rPr>
          <w:lang w:val="fr-FR"/>
        </w:rPr>
        <w:t>’</w:t>
      </w:r>
      <w:r w:rsidRPr="00541920">
        <w:rPr>
          <w:lang w:val="fr-FR"/>
        </w:rPr>
        <w:t>ascendance africaine et contribuer à l</w:t>
      </w:r>
      <w:r>
        <w:rPr>
          <w:lang w:val="fr-FR"/>
        </w:rPr>
        <w:t>’</w:t>
      </w:r>
      <w:r w:rsidRPr="00541920">
        <w:rPr>
          <w:lang w:val="fr-FR"/>
        </w:rPr>
        <w:t>élaboration d</w:t>
      </w:r>
      <w:r>
        <w:rPr>
          <w:lang w:val="fr-FR"/>
        </w:rPr>
        <w:t>’</w:t>
      </w:r>
      <w:r w:rsidRPr="00541920">
        <w:rPr>
          <w:lang w:val="fr-FR"/>
        </w:rPr>
        <w:t>un projet de déclaration de l</w:t>
      </w:r>
      <w:r>
        <w:rPr>
          <w:lang w:val="fr-FR"/>
        </w:rPr>
        <w:t>’</w:t>
      </w:r>
      <w:r w:rsidRPr="00541920">
        <w:rPr>
          <w:lang w:val="fr-FR"/>
        </w:rPr>
        <w:t>ONU sur la promotion et le plein respect de</w:t>
      </w:r>
      <w:r>
        <w:rPr>
          <w:lang w:val="fr-FR"/>
        </w:rPr>
        <w:t xml:space="preserve"> leur</w:t>
      </w:r>
      <w:r w:rsidRPr="00541920">
        <w:rPr>
          <w:lang w:val="fr-FR"/>
        </w:rPr>
        <w:t xml:space="preserve">s droits </w:t>
      </w:r>
      <w:r>
        <w:rPr>
          <w:lang w:val="fr-FR"/>
        </w:rPr>
        <w:t>de l’homme</w:t>
      </w:r>
      <w:r w:rsidRPr="00541920">
        <w:rPr>
          <w:lang w:val="fr-FR"/>
        </w:rPr>
        <w:t>. Ces processus d</w:t>
      </w:r>
      <w:r>
        <w:rPr>
          <w:lang w:val="fr-FR"/>
        </w:rPr>
        <w:t>evrai</w:t>
      </w:r>
      <w:r w:rsidRPr="00541920">
        <w:rPr>
          <w:lang w:val="fr-FR"/>
        </w:rPr>
        <w:t xml:space="preserve">ent être </w:t>
      </w:r>
      <w:r>
        <w:rPr>
          <w:lang w:val="fr-FR"/>
        </w:rPr>
        <w:t xml:space="preserve">mis à profit </w:t>
      </w:r>
      <w:r w:rsidRPr="00541920">
        <w:rPr>
          <w:lang w:val="fr-FR"/>
        </w:rPr>
        <w:t>de manière intégrée et tournée vers l</w:t>
      </w:r>
      <w:r>
        <w:rPr>
          <w:lang w:val="fr-FR"/>
        </w:rPr>
        <w:t>’</w:t>
      </w:r>
      <w:r w:rsidRPr="00541920">
        <w:rPr>
          <w:lang w:val="fr-FR"/>
        </w:rPr>
        <w:t xml:space="preserve">avenir pour en optimiser </w:t>
      </w:r>
      <w:r>
        <w:rPr>
          <w:lang w:val="fr-FR"/>
        </w:rPr>
        <w:t>les effets collectifs</w:t>
      </w:r>
      <w:r w:rsidRPr="00293268">
        <w:rPr>
          <w:lang w:val="fr-FR"/>
        </w:rPr>
        <w:t>.</w:t>
      </w:r>
    </w:p>
    <w:p w14:paraId="584C0F08" w14:textId="1F66EAA4" w:rsidR="00865E37" w:rsidRPr="00293268" w:rsidRDefault="00865E37" w:rsidP="003207C0">
      <w:pPr>
        <w:pStyle w:val="HChG"/>
        <w:rPr>
          <w:lang w:val="fr-FR"/>
        </w:rPr>
      </w:pPr>
      <w:bookmarkStart w:id="152" w:name="_Toc73352114"/>
      <w:bookmarkStart w:id="153" w:name="_Hlk118299349"/>
      <w:r w:rsidRPr="00293268">
        <w:rPr>
          <w:lang w:val="fr-FR"/>
        </w:rPr>
        <w:tab/>
      </w:r>
      <w:r w:rsidRPr="00981BD2">
        <w:rPr>
          <w:lang w:val="fr-FR"/>
        </w:rPr>
        <w:t>III.</w:t>
      </w:r>
      <w:r w:rsidRPr="00981BD2">
        <w:rPr>
          <w:lang w:val="fr-FR"/>
        </w:rPr>
        <w:tab/>
      </w:r>
      <w:bookmarkEnd w:id="152"/>
      <w:r w:rsidRPr="00981BD2">
        <w:rPr>
          <w:lang w:val="fr-FR"/>
        </w:rPr>
        <w:t xml:space="preserve">Mettre fin à l’impunité des agents des forces de l’ordre </w:t>
      </w:r>
      <w:r w:rsidR="003207C0" w:rsidRPr="00981BD2">
        <w:rPr>
          <w:lang w:val="fr-FR"/>
        </w:rPr>
        <w:br/>
      </w:r>
      <w:r w:rsidRPr="00981BD2">
        <w:rPr>
          <w:lang w:val="fr-FR"/>
        </w:rPr>
        <w:t xml:space="preserve">qui commettent des violations des droits de l’homme </w:t>
      </w:r>
      <w:r w:rsidR="003207C0" w:rsidRPr="00981BD2">
        <w:rPr>
          <w:lang w:val="fr-FR"/>
        </w:rPr>
        <w:br/>
      </w:r>
      <w:r w:rsidRPr="00981BD2">
        <w:rPr>
          <w:lang w:val="fr-FR"/>
        </w:rPr>
        <w:t>et remédier au déficit de confiance à cet égard</w:t>
      </w:r>
    </w:p>
    <w:p w14:paraId="78E97A59" w14:textId="77777777" w:rsidR="00865E37" w:rsidRPr="00293268" w:rsidRDefault="00865E37" w:rsidP="003207C0">
      <w:pPr>
        <w:pStyle w:val="H1G"/>
        <w:rPr>
          <w:lang w:val="fr-FR"/>
        </w:rPr>
      </w:pPr>
      <w:bookmarkStart w:id="154" w:name="_Toc73641996"/>
      <w:bookmarkStart w:id="155" w:name="_Toc73702701"/>
      <w:bookmarkStart w:id="156" w:name="_Toc73724426"/>
      <w:bookmarkStart w:id="157" w:name="_Toc74254794"/>
      <w:bookmarkStart w:id="158" w:name="_Toc74303360"/>
      <w:bookmarkStart w:id="159" w:name="_Toc74305485"/>
      <w:bookmarkStart w:id="160" w:name="_Toc74337081"/>
      <w:bookmarkStart w:id="161" w:name="_Toc74340201"/>
      <w:bookmarkStart w:id="162" w:name="_Toc74344097"/>
      <w:bookmarkStart w:id="163" w:name="_Toc74561076"/>
      <w:bookmarkStart w:id="164" w:name="_Toc74562568"/>
      <w:bookmarkStart w:id="165" w:name="_Toc74657679"/>
      <w:bookmarkStart w:id="166" w:name="_Toc74661205"/>
      <w:bookmarkStart w:id="167" w:name="_Toc74666498"/>
      <w:bookmarkStart w:id="168" w:name="_Toc74671421"/>
      <w:bookmarkStart w:id="169" w:name="_Toc74867337"/>
      <w:bookmarkStart w:id="170" w:name="_Toc74919090"/>
      <w:bookmarkStart w:id="171" w:name="_Toc74919745"/>
      <w:bookmarkStart w:id="172" w:name="_Toc74925780"/>
      <w:bookmarkStart w:id="173" w:name="_Toc74927629"/>
      <w:bookmarkEnd w:id="153"/>
      <w:r w:rsidRPr="00293268">
        <w:rPr>
          <w:lang w:val="fr-FR"/>
        </w:rPr>
        <w:tab/>
        <w:t>A.</w:t>
      </w:r>
      <w:r w:rsidRPr="00293268">
        <w:rPr>
          <w:lang w:val="fr-FR"/>
        </w:rPr>
        <w:tab/>
        <w:t>Introduction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0079D5F" w14:textId="77777777" w:rsidR="00865E37" w:rsidRPr="00170BE3" w:rsidRDefault="00865E37" w:rsidP="00865E37">
      <w:pPr>
        <w:pStyle w:val="SingleTxtG"/>
        <w:rPr>
          <w:lang w:val="fr-FR"/>
        </w:rPr>
      </w:pPr>
      <w:r w:rsidRPr="00293268">
        <w:rPr>
          <w:lang w:val="fr-FR"/>
        </w:rPr>
        <w:t>79.</w:t>
      </w:r>
      <w:r w:rsidRPr="00293268">
        <w:rPr>
          <w:lang w:val="fr-FR"/>
        </w:rPr>
        <w:tab/>
      </w:r>
      <w:r w:rsidRPr="00C266D9">
        <w:rPr>
          <w:lang w:val="fr-FR"/>
        </w:rPr>
        <w:t xml:space="preserve">Cette section porte sur les </w:t>
      </w:r>
      <w:r>
        <w:rPr>
          <w:lang w:val="fr-FR"/>
        </w:rPr>
        <w:t>relations</w:t>
      </w:r>
      <w:r w:rsidRPr="00C266D9">
        <w:rPr>
          <w:lang w:val="fr-FR"/>
        </w:rPr>
        <w:t xml:space="preserve"> entre, d</w:t>
      </w:r>
      <w:r>
        <w:rPr>
          <w:lang w:val="fr-FR"/>
        </w:rPr>
        <w:t>’</w:t>
      </w:r>
      <w:r w:rsidRPr="00C266D9">
        <w:rPr>
          <w:lang w:val="fr-FR"/>
        </w:rPr>
        <w:t>une part, les Africains et les personnes d</w:t>
      </w:r>
      <w:r>
        <w:rPr>
          <w:lang w:val="fr-FR"/>
        </w:rPr>
        <w:t>’</w:t>
      </w:r>
      <w:r w:rsidRPr="00C266D9">
        <w:rPr>
          <w:lang w:val="fr-FR"/>
        </w:rPr>
        <w:t>ascendance africaine et, d</w:t>
      </w:r>
      <w:r>
        <w:rPr>
          <w:lang w:val="fr-FR"/>
        </w:rPr>
        <w:t>’</w:t>
      </w:r>
      <w:r w:rsidRPr="00C266D9">
        <w:rPr>
          <w:lang w:val="fr-FR"/>
        </w:rPr>
        <w:t>autre part, les forces de l</w:t>
      </w:r>
      <w:r>
        <w:rPr>
          <w:lang w:val="fr-FR"/>
        </w:rPr>
        <w:t>’</w:t>
      </w:r>
      <w:r w:rsidRPr="00C266D9">
        <w:rPr>
          <w:lang w:val="fr-FR"/>
        </w:rPr>
        <w:t xml:space="preserve">ordre et le système de justice pénale, qui sont </w:t>
      </w:r>
      <w:r>
        <w:rPr>
          <w:lang w:val="fr-FR"/>
        </w:rPr>
        <w:t>emblématiques</w:t>
      </w:r>
      <w:r w:rsidRPr="00C266D9">
        <w:rPr>
          <w:lang w:val="fr-FR"/>
        </w:rPr>
        <w:t xml:space="preserve"> d</w:t>
      </w:r>
      <w:r>
        <w:rPr>
          <w:lang w:val="fr-FR"/>
        </w:rPr>
        <w:t>’</w:t>
      </w:r>
      <w:r w:rsidRPr="00C266D9">
        <w:rPr>
          <w:lang w:val="fr-FR"/>
        </w:rPr>
        <w:t>un racisme systémique, et en fournit des exemples dans plusieurs contextes. Elle analyse l</w:t>
      </w:r>
      <w:r>
        <w:rPr>
          <w:lang w:val="fr-FR"/>
        </w:rPr>
        <w:t>’</w:t>
      </w:r>
      <w:r w:rsidRPr="00C266D9">
        <w:rPr>
          <w:lang w:val="fr-FR"/>
        </w:rPr>
        <w:t xml:space="preserve">incapacité des institutions et systèmes concernés à prendre en compte les </w:t>
      </w:r>
      <w:r>
        <w:rPr>
          <w:lang w:val="fr-FR"/>
        </w:rPr>
        <w:t xml:space="preserve">effets très différents </w:t>
      </w:r>
      <w:r w:rsidRPr="00C266D9">
        <w:rPr>
          <w:lang w:val="fr-FR"/>
        </w:rPr>
        <w:t xml:space="preserve">des politiques et des pratiques des services répressifs sur </w:t>
      </w:r>
      <w:r>
        <w:rPr>
          <w:lang w:val="fr-FR"/>
        </w:rPr>
        <w:t>l</w:t>
      </w:r>
      <w:r w:rsidRPr="00C266D9">
        <w:rPr>
          <w:lang w:val="fr-FR"/>
        </w:rPr>
        <w:t>es personnes</w:t>
      </w:r>
      <w:r w:rsidRPr="00DF4EA0">
        <w:rPr>
          <w:lang w:val="fr-FR"/>
        </w:rPr>
        <w:t xml:space="preserve"> </w:t>
      </w:r>
      <w:r w:rsidRPr="006C78CC">
        <w:rPr>
          <w:lang w:val="fr-FR"/>
        </w:rPr>
        <w:t>d</w:t>
      </w:r>
      <w:r>
        <w:rPr>
          <w:lang w:val="fr-FR"/>
        </w:rPr>
        <w:t>’</w:t>
      </w:r>
      <w:r w:rsidRPr="006C78CC">
        <w:rPr>
          <w:lang w:val="fr-FR"/>
        </w:rPr>
        <w:t>ascendance africaine</w:t>
      </w:r>
      <w:r w:rsidRPr="00C266D9">
        <w:rPr>
          <w:lang w:val="fr-FR"/>
        </w:rPr>
        <w:t>, au-delà de l</w:t>
      </w:r>
      <w:r>
        <w:rPr>
          <w:lang w:val="fr-FR"/>
        </w:rPr>
        <w:t>’</w:t>
      </w:r>
      <w:r w:rsidRPr="00C266D9">
        <w:rPr>
          <w:lang w:val="fr-FR"/>
        </w:rPr>
        <w:t xml:space="preserve">attribution des excès individuels à « quelques </w:t>
      </w:r>
      <w:r>
        <w:rPr>
          <w:lang w:val="fr-FR"/>
        </w:rPr>
        <w:t>brebis galeuses</w:t>
      </w:r>
      <w:r w:rsidRPr="00C266D9">
        <w:rPr>
          <w:lang w:val="fr-FR"/>
        </w:rPr>
        <w:t> ». Elle examine également les difficultés que soulèvent l</w:t>
      </w:r>
      <w:r>
        <w:rPr>
          <w:lang w:val="fr-FR"/>
        </w:rPr>
        <w:t>’</w:t>
      </w:r>
      <w:r w:rsidRPr="00C266D9">
        <w:rPr>
          <w:lang w:val="fr-FR"/>
        </w:rPr>
        <w:t>établissement des responsabilités et la réparation des violations des droits de l</w:t>
      </w:r>
      <w:r>
        <w:rPr>
          <w:lang w:val="fr-FR"/>
        </w:rPr>
        <w:t>’</w:t>
      </w:r>
      <w:r w:rsidRPr="00C266D9">
        <w:rPr>
          <w:lang w:val="fr-FR"/>
        </w:rPr>
        <w:t>homme commises par les forces de l</w:t>
      </w:r>
      <w:r>
        <w:rPr>
          <w:lang w:val="fr-FR"/>
        </w:rPr>
        <w:t>’</w:t>
      </w:r>
      <w:r w:rsidRPr="00C266D9">
        <w:rPr>
          <w:lang w:val="fr-FR"/>
        </w:rPr>
        <w:t>ordre à l</w:t>
      </w:r>
      <w:r>
        <w:rPr>
          <w:lang w:val="fr-FR"/>
        </w:rPr>
        <w:t>’</w:t>
      </w:r>
      <w:r w:rsidRPr="00C266D9">
        <w:rPr>
          <w:lang w:val="fr-FR"/>
        </w:rPr>
        <w:t>encontre des Africains et des personnes d</w:t>
      </w:r>
      <w:r>
        <w:rPr>
          <w:lang w:val="fr-FR"/>
        </w:rPr>
        <w:t>’</w:t>
      </w:r>
      <w:r w:rsidRPr="00C266D9">
        <w:rPr>
          <w:lang w:val="fr-FR"/>
        </w:rPr>
        <w:t xml:space="preserve">ascendance africaine. Se concentrant </w:t>
      </w:r>
      <w:r>
        <w:rPr>
          <w:lang w:val="fr-FR"/>
        </w:rPr>
        <w:t xml:space="preserve">plus </w:t>
      </w:r>
      <w:r w:rsidRPr="00C266D9">
        <w:rPr>
          <w:lang w:val="fr-FR"/>
        </w:rPr>
        <w:t>particulièr</w:t>
      </w:r>
      <w:r>
        <w:rPr>
          <w:lang w:val="fr-FR"/>
        </w:rPr>
        <w:t>ement</w:t>
      </w:r>
      <w:r w:rsidRPr="00C266D9">
        <w:rPr>
          <w:lang w:val="fr-FR"/>
        </w:rPr>
        <w:t xml:space="preserve"> sur les décès imputables aux forces de l</w:t>
      </w:r>
      <w:r>
        <w:rPr>
          <w:lang w:val="fr-FR"/>
        </w:rPr>
        <w:t>’</w:t>
      </w:r>
      <w:r w:rsidRPr="00C266D9">
        <w:rPr>
          <w:lang w:val="fr-FR"/>
        </w:rPr>
        <w:t>ordre, elle expose également les difficultés particulières auxquelles se heurtent les familles des victimes. En outre, elle illustre certain</w:t>
      </w:r>
      <w:r>
        <w:rPr>
          <w:lang w:val="fr-FR"/>
        </w:rPr>
        <w:t>e</w:t>
      </w:r>
      <w:r w:rsidRPr="00C266D9">
        <w:rPr>
          <w:lang w:val="fr-FR"/>
        </w:rPr>
        <w:t xml:space="preserve">s </w:t>
      </w:r>
      <w:r>
        <w:rPr>
          <w:lang w:val="fr-FR"/>
        </w:rPr>
        <w:t>tendances</w:t>
      </w:r>
      <w:r w:rsidRPr="00C266D9">
        <w:rPr>
          <w:lang w:val="fr-FR"/>
        </w:rPr>
        <w:t xml:space="preserve"> </w:t>
      </w:r>
      <w:r w:rsidRPr="00170BE3">
        <w:rPr>
          <w:lang w:val="fr-FR"/>
        </w:rPr>
        <w:t xml:space="preserve">et difficultés au moyen des données disponibles et sur la base de sept </w:t>
      </w:r>
      <w:r>
        <w:rPr>
          <w:lang w:val="fr-FR"/>
        </w:rPr>
        <w:t xml:space="preserve">affaires </w:t>
      </w:r>
      <w:r w:rsidRPr="00170BE3">
        <w:rPr>
          <w:lang w:val="fr-FR"/>
        </w:rPr>
        <w:t>bien précis</w:t>
      </w:r>
      <w:r>
        <w:rPr>
          <w:lang w:val="fr-FR"/>
        </w:rPr>
        <w:t>es</w:t>
      </w:r>
      <w:r w:rsidRPr="00170BE3">
        <w:rPr>
          <w:lang w:val="fr-FR"/>
        </w:rPr>
        <w:t>. La section se termine par des exemples d</w:t>
      </w:r>
      <w:r>
        <w:rPr>
          <w:lang w:val="fr-FR"/>
        </w:rPr>
        <w:t>’</w:t>
      </w:r>
      <w:r w:rsidRPr="00170BE3">
        <w:rPr>
          <w:lang w:val="fr-FR"/>
        </w:rPr>
        <w:t>initiatives prometteuses et des recommandations sur la voie à suivre pour garantir une approche fondée sur les droits de l</w:t>
      </w:r>
      <w:r>
        <w:rPr>
          <w:lang w:val="fr-FR"/>
        </w:rPr>
        <w:t>’</w:t>
      </w:r>
      <w:r w:rsidRPr="00170BE3">
        <w:rPr>
          <w:lang w:val="fr-FR"/>
        </w:rPr>
        <w:t>homme en vue de mettre fin à l</w:t>
      </w:r>
      <w:r>
        <w:rPr>
          <w:lang w:val="fr-FR"/>
        </w:rPr>
        <w:t>’</w:t>
      </w:r>
      <w:r w:rsidRPr="00170BE3">
        <w:rPr>
          <w:lang w:val="fr-FR"/>
        </w:rPr>
        <w:t>impunité des agents des forces de l</w:t>
      </w:r>
      <w:r>
        <w:rPr>
          <w:lang w:val="fr-FR"/>
        </w:rPr>
        <w:t>’</w:t>
      </w:r>
      <w:r w:rsidRPr="00170BE3">
        <w:rPr>
          <w:lang w:val="fr-FR"/>
        </w:rPr>
        <w:t>ordre qui commettent des violations des droits de l</w:t>
      </w:r>
      <w:r>
        <w:rPr>
          <w:lang w:val="fr-FR"/>
        </w:rPr>
        <w:t>’</w:t>
      </w:r>
      <w:r w:rsidRPr="00170BE3">
        <w:rPr>
          <w:lang w:val="fr-FR"/>
        </w:rPr>
        <w:t xml:space="preserve">homme et de combler le déficit de confiance à cet égard.  </w:t>
      </w:r>
    </w:p>
    <w:p w14:paraId="2F2D14DD" w14:textId="4A444B60" w:rsidR="00865E37" w:rsidRPr="00293268" w:rsidRDefault="00865E37" w:rsidP="003207C0">
      <w:pPr>
        <w:pStyle w:val="H1G"/>
        <w:rPr>
          <w:lang w:val="fr-FR"/>
        </w:rPr>
      </w:pPr>
      <w:bookmarkStart w:id="174" w:name="_Toc74649549"/>
      <w:bookmarkStart w:id="175" w:name="_Toc74649828"/>
      <w:bookmarkStart w:id="176" w:name="_Toc74650006"/>
      <w:bookmarkStart w:id="177" w:name="_Toc74650092"/>
      <w:bookmarkStart w:id="178" w:name="_Toc74651740"/>
      <w:bookmarkStart w:id="179" w:name="_Toc74651833"/>
      <w:bookmarkStart w:id="180" w:name="_Toc74652432"/>
      <w:bookmarkStart w:id="181" w:name="_Toc74652564"/>
      <w:bookmarkStart w:id="182" w:name="_Toc74652702"/>
      <w:bookmarkStart w:id="183" w:name="_Toc74652727"/>
      <w:bookmarkStart w:id="184" w:name="_Toc74653565"/>
      <w:bookmarkStart w:id="185" w:name="_Toc74653664"/>
      <w:bookmarkStart w:id="186" w:name="_Toc74655771"/>
      <w:bookmarkStart w:id="187" w:name="_Toc74656838"/>
      <w:bookmarkStart w:id="188" w:name="_Toc74656932"/>
      <w:bookmarkStart w:id="189" w:name="_Toc74657298"/>
      <w:bookmarkStart w:id="190" w:name="_Toc74657376"/>
      <w:bookmarkStart w:id="191" w:name="_Toc74657458"/>
      <w:bookmarkStart w:id="192" w:name="_Toc74657597"/>
      <w:bookmarkStart w:id="193" w:name="_Toc74657653"/>
      <w:bookmarkStart w:id="194" w:name="_Toc74658748"/>
      <w:bookmarkStart w:id="195" w:name="_Toc74660159"/>
      <w:bookmarkStart w:id="196" w:name="_Toc74661002"/>
      <w:bookmarkStart w:id="197" w:name="_Toc74661354"/>
      <w:bookmarkStart w:id="198" w:name="_Toc74662592"/>
      <w:bookmarkStart w:id="199" w:name="_Toc74663766"/>
      <w:bookmarkStart w:id="200" w:name="_Toc74666499"/>
      <w:bookmarkStart w:id="201" w:name="_Toc74649550"/>
      <w:bookmarkStart w:id="202" w:name="_Toc74649829"/>
      <w:bookmarkStart w:id="203" w:name="_Toc74650007"/>
      <w:bookmarkStart w:id="204" w:name="_Toc74650093"/>
      <w:bookmarkStart w:id="205" w:name="_Toc74651741"/>
      <w:bookmarkStart w:id="206" w:name="_Toc74651834"/>
      <w:bookmarkStart w:id="207" w:name="_Toc74652433"/>
      <w:bookmarkStart w:id="208" w:name="_Toc74652565"/>
      <w:bookmarkStart w:id="209" w:name="_Toc74652703"/>
      <w:bookmarkStart w:id="210" w:name="_Toc74652728"/>
      <w:bookmarkStart w:id="211" w:name="_Toc74653566"/>
      <w:bookmarkStart w:id="212" w:name="_Toc74653665"/>
      <w:bookmarkStart w:id="213" w:name="_Toc74655772"/>
      <w:bookmarkStart w:id="214" w:name="_Toc74656839"/>
      <w:bookmarkStart w:id="215" w:name="_Toc74656933"/>
      <w:bookmarkStart w:id="216" w:name="_Toc74657299"/>
      <w:bookmarkStart w:id="217" w:name="_Toc74657377"/>
      <w:bookmarkStart w:id="218" w:name="_Toc74657459"/>
      <w:bookmarkStart w:id="219" w:name="_Toc74657598"/>
      <w:bookmarkStart w:id="220" w:name="_Toc74657654"/>
      <w:bookmarkStart w:id="221" w:name="_Toc74658749"/>
      <w:bookmarkStart w:id="222" w:name="_Toc74660160"/>
      <w:bookmarkStart w:id="223" w:name="_Toc74661003"/>
      <w:bookmarkStart w:id="224" w:name="_Toc74661355"/>
      <w:bookmarkStart w:id="225" w:name="_Toc74662593"/>
      <w:bookmarkStart w:id="226" w:name="_Toc74663767"/>
      <w:bookmarkStart w:id="227" w:name="_Toc74666500"/>
      <w:bookmarkStart w:id="228" w:name="_Toc60845027"/>
      <w:bookmarkStart w:id="229" w:name="_Toc62028861"/>
      <w:bookmarkStart w:id="230" w:name="_Toc62556516"/>
      <w:bookmarkStart w:id="231" w:name="_Toc63257278"/>
      <w:bookmarkStart w:id="232" w:name="_Toc63766519"/>
      <w:bookmarkStart w:id="233" w:name="_Toc63941361"/>
      <w:bookmarkStart w:id="234" w:name="_Toc64298257"/>
      <w:bookmarkStart w:id="235" w:name="_Toc64373117"/>
      <w:bookmarkStart w:id="236" w:name="_Toc74254795"/>
      <w:bookmarkStart w:id="237" w:name="_Toc74303361"/>
      <w:bookmarkStart w:id="238" w:name="_Toc74305486"/>
      <w:bookmarkStart w:id="239" w:name="_Toc74337082"/>
      <w:bookmarkStart w:id="240" w:name="_Toc74340202"/>
      <w:bookmarkStart w:id="241" w:name="_Toc74344098"/>
      <w:bookmarkStart w:id="242" w:name="_Toc74561077"/>
      <w:bookmarkStart w:id="243" w:name="_Toc74562569"/>
      <w:bookmarkStart w:id="244" w:name="_Toc74657680"/>
      <w:bookmarkStart w:id="245" w:name="_Toc74661206"/>
      <w:bookmarkStart w:id="246" w:name="_Toc74666501"/>
      <w:bookmarkStart w:id="247" w:name="_Toc74671422"/>
      <w:bookmarkStart w:id="248" w:name="_Toc74867338"/>
      <w:bookmarkStart w:id="249" w:name="_Toc74919091"/>
      <w:bookmarkStart w:id="250" w:name="_Toc74919746"/>
      <w:bookmarkStart w:id="251" w:name="_Toc74925781"/>
      <w:bookmarkStart w:id="252" w:name="_Toc74927630"/>
      <w:bookmarkStart w:id="253" w:name="_Toc66365686"/>
      <w:bookmarkStart w:id="254" w:name="_Toc73352115"/>
      <w:bookmarkStart w:id="255" w:name="_Toc73641997"/>
      <w:bookmarkStart w:id="256" w:name="_Toc73702702"/>
      <w:bookmarkStart w:id="257" w:name="_Toc73724427"/>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293268">
        <w:rPr>
          <w:lang w:val="fr-FR"/>
        </w:rPr>
        <w:tab/>
        <w:t>B.</w:t>
      </w:r>
      <w:r w:rsidRPr="00293268">
        <w:rPr>
          <w:lang w:val="fr-FR"/>
        </w:rPr>
        <w:tab/>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CE18C3">
        <w:rPr>
          <w:lang w:val="fr-FR"/>
        </w:rPr>
        <w:t>Personnes d</w:t>
      </w:r>
      <w:r>
        <w:rPr>
          <w:lang w:val="fr-FR"/>
        </w:rPr>
        <w:t>’</w:t>
      </w:r>
      <w:r w:rsidRPr="00CE18C3">
        <w:rPr>
          <w:lang w:val="fr-FR"/>
        </w:rPr>
        <w:t>ascendance africaine, forces de l</w:t>
      </w:r>
      <w:r>
        <w:rPr>
          <w:lang w:val="fr-FR"/>
        </w:rPr>
        <w:t>’</w:t>
      </w:r>
      <w:r w:rsidRPr="00CE18C3">
        <w:rPr>
          <w:lang w:val="fr-FR"/>
        </w:rPr>
        <w:t xml:space="preserve">ordre </w:t>
      </w:r>
      <w:r w:rsidR="003207C0">
        <w:rPr>
          <w:lang w:val="fr-FR"/>
        </w:rPr>
        <w:br/>
      </w:r>
      <w:r w:rsidRPr="00CE18C3">
        <w:rPr>
          <w:lang w:val="fr-FR"/>
        </w:rPr>
        <w:t>et système de justice pénale</w:t>
      </w:r>
    </w:p>
    <w:bookmarkEnd w:id="253"/>
    <w:bookmarkEnd w:id="254"/>
    <w:bookmarkEnd w:id="255"/>
    <w:bookmarkEnd w:id="256"/>
    <w:bookmarkEnd w:id="257"/>
    <w:p w14:paraId="6F862378" w14:textId="77777777" w:rsidR="00865E37" w:rsidRPr="00293268" w:rsidRDefault="00865E37" w:rsidP="00865E37">
      <w:pPr>
        <w:pStyle w:val="SingleTxtG"/>
        <w:rPr>
          <w:lang w:val="fr-FR"/>
        </w:rPr>
      </w:pPr>
      <w:r w:rsidRPr="00293268">
        <w:rPr>
          <w:lang w:val="fr-FR"/>
        </w:rPr>
        <w:t>80.</w:t>
      </w:r>
      <w:r w:rsidRPr="00293268">
        <w:rPr>
          <w:lang w:val="fr-FR"/>
        </w:rPr>
        <w:tab/>
        <w:t>Le racisme systémique et les a</w:t>
      </w:r>
      <w:r>
        <w:rPr>
          <w:lang w:val="fr-FR"/>
        </w:rPr>
        <w:t>malgames</w:t>
      </w:r>
      <w:r w:rsidRPr="00293268">
        <w:rPr>
          <w:lang w:val="fr-FR"/>
        </w:rPr>
        <w:t xml:space="preserve"> </w:t>
      </w:r>
      <w:r>
        <w:rPr>
          <w:lang w:val="fr-FR"/>
        </w:rPr>
        <w:t xml:space="preserve">tenaces, </w:t>
      </w:r>
      <w:r w:rsidRPr="00293268">
        <w:rPr>
          <w:lang w:val="fr-FR"/>
        </w:rPr>
        <w:t xml:space="preserve">néfastes et dégradants qui </w:t>
      </w:r>
      <w:r>
        <w:rPr>
          <w:lang w:val="fr-FR"/>
        </w:rPr>
        <w:t xml:space="preserve">associent </w:t>
      </w:r>
      <w:r w:rsidRPr="00293268">
        <w:rPr>
          <w:lang w:val="fr-FR"/>
        </w:rPr>
        <w:t>le fait d</w:t>
      </w:r>
      <w:r>
        <w:rPr>
          <w:lang w:val="fr-FR"/>
        </w:rPr>
        <w:t>’</w:t>
      </w:r>
      <w:r w:rsidRPr="00293268">
        <w:rPr>
          <w:lang w:val="fr-FR"/>
        </w:rPr>
        <w:t xml:space="preserve">être Noir </w:t>
      </w:r>
      <w:r>
        <w:rPr>
          <w:lang w:val="fr-FR"/>
        </w:rPr>
        <w:t xml:space="preserve">à </w:t>
      </w:r>
      <w:r w:rsidRPr="00293268">
        <w:rPr>
          <w:lang w:val="fr-FR"/>
        </w:rPr>
        <w:t xml:space="preserve">la criminalité et </w:t>
      </w:r>
      <w:r>
        <w:rPr>
          <w:lang w:val="fr-FR"/>
        </w:rPr>
        <w:t xml:space="preserve">à </w:t>
      </w:r>
      <w:r w:rsidRPr="00293268">
        <w:rPr>
          <w:lang w:val="fr-FR"/>
        </w:rPr>
        <w:t xml:space="preserve">la </w:t>
      </w:r>
      <w:r w:rsidRPr="00030FF0">
        <w:rPr>
          <w:lang w:val="fr-FR"/>
        </w:rPr>
        <w:t>délinquance façonnent les</w:t>
      </w:r>
      <w:r>
        <w:rPr>
          <w:lang w:val="fr-FR"/>
        </w:rPr>
        <w:t xml:space="preserve"> relations entre, d’une part, les</w:t>
      </w:r>
      <w:r w:rsidRPr="00293268">
        <w:rPr>
          <w:lang w:val="fr-FR"/>
        </w:rPr>
        <w:t xml:space="preserve"> personnes d</w:t>
      </w:r>
      <w:r>
        <w:rPr>
          <w:lang w:val="fr-FR"/>
        </w:rPr>
        <w:t>’</w:t>
      </w:r>
      <w:r w:rsidRPr="00293268">
        <w:rPr>
          <w:lang w:val="fr-FR"/>
        </w:rPr>
        <w:t>ascendance africaine</w:t>
      </w:r>
      <w:r>
        <w:rPr>
          <w:lang w:val="fr-FR"/>
        </w:rPr>
        <w:t xml:space="preserve"> et, d’autre part, les forces de l’ordre</w:t>
      </w:r>
      <w:r w:rsidRPr="00293268">
        <w:rPr>
          <w:lang w:val="fr-FR"/>
        </w:rPr>
        <w:t xml:space="preserve"> et le système de justice pénale</w:t>
      </w:r>
      <w:r w:rsidRPr="00CD6B67">
        <w:rPr>
          <w:rStyle w:val="FootnoteReference"/>
        </w:rPr>
        <w:footnoteReference w:id="231"/>
      </w:r>
      <w:r w:rsidRPr="00293268">
        <w:rPr>
          <w:lang w:val="fr-FR"/>
        </w:rPr>
        <w:t>. Le manque de données officielles ventilées par race ou origine ethnique empêche souvent d</w:t>
      </w:r>
      <w:r>
        <w:rPr>
          <w:lang w:val="fr-FR"/>
        </w:rPr>
        <w:t>’</w:t>
      </w:r>
      <w:r w:rsidRPr="00293268">
        <w:rPr>
          <w:lang w:val="fr-FR"/>
        </w:rPr>
        <w:t xml:space="preserve">évaluer précisément </w:t>
      </w:r>
      <w:r>
        <w:rPr>
          <w:lang w:val="fr-FR"/>
        </w:rPr>
        <w:t>les effets que</w:t>
      </w:r>
      <w:r w:rsidRPr="006B2332">
        <w:rPr>
          <w:lang w:val="fr-FR"/>
        </w:rPr>
        <w:t xml:space="preserve"> ces relations </w:t>
      </w:r>
      <w:r>
        <w:rPr>
          <w:lang w:val="fr-FR"/>
        </w:rPr>
        <w:t xml:space="preserve">ont </w:t>
      </w:r>
      <w:r w:rsidRPr="006B2332">
        <w:rPr>
          <w:lang w:val="fr-FR"/>
        </w:rPr>
        <w:t>sur la jouissance des droits des personnes d</w:t>
      </w:r>
      <w:r>
        <w:rPr>
          <w:lang w:val="fr-FR"/>
        </w:rPr>
        <w:t>’</w:t>
      </w:r>
      <w:r w:rsidRPr="006B2332">
        <w:rPr>
          <w:lang w:val="fr-FR"/>
        </w:rPr>
        <w:t>ascendance africaine</w:t>
      </w:r>
      <w:r w:rsidRPr="002C47D3">
        <w:rPr>
          <w:lang w:val="fr-FR"/>
        </w:rPr>
        <w:t>, et sur les autres domaines dont il est question dans le présent document. Comme illustré</w:t>
      </w:r>
      <w:r w:rsidRPr="00620421">
        <w:rPr>
          <w:lang w:val="fr-FR"/>
        </w:rPr>
        <w:t xml:space="preserve"> ci-dessous, lorsqu</w:t>
      </w:r>
      <w:r>
        <w:rPr>
          <w:lang w:val="fr-FR"/>
        </w:rPr>
        <w:t>’il n’existait pas de</w:t>
      </w:r>
      <w:r w:rsidRPr="00620421">
        <w:rPr>
          <w:lang w:val="fr-FR"/>
        </w:rPr>
        <w:t xml:space="preserve"> données officielles, </w:t>
      </w:r>
      <w:r w:rsidRPr="00293268">
        <w:rPr>
          <w:lang w:val="fr-FR"/>
        </w:rPr>
        <w:t xml:space="preserve">des organismes régionaux, des organisations de la société civile, des organes de presse, des universités et des groupes de réflexion ont cherché </w:t>
      </w:r>
      <w:r>
        <w:rPr>
          <w:lang w:val="fr-FR"/>
        </w:rPr>
        <w:t>à combler ce déficit</w:t>
      </w:r>
      <w:r w:rsidRPr="00293268">
        <w:rPr>
          <w:lang w:val="fr-FR"/>
        </w:rPr>
        <w:t>.</w:t>
      </w:r>
    </w:p>
    <w:p w14:paraId="080BB3D9" w14:textId="323F39DD" w:rsidR="00865E37" w:rsidRPr="00293268" w:rsidRDefault="00865E37" w:rsidP="00865E37">
      <w:pPr>
        <w:pStyle w:val="SingleTxtG"/>
        <w:rPr>
          <w:lang w:val="fr-FR"/>
        </w:rPr>
      </w:pPr>
      <w:r w:rsidRPr="00293268">
        <w:rPr>
          <w:lang w:val="fr-FR"/>
        </w:rPr>
        <w:t>81.</w:t>
      </w:r>
      <w:r w:rsidRPr="00293268">
        <w:rPr>
          <w:lang w:val="fr-FR"/>
        </w:rPr>
        <w:tab/>
      </w:r>
      <w:r w:rsidRPr="009C5894">
        <w:rPr>
          <w:lang w:val="fr-FR"/>
        </w:rPr>
        <w:t>Les mécanismes des droits de l</w:t>
      </w:r>
      <w:r>
        <w:rPr>
          <w:lang w:val="fr-FR"/>
        </w:rPr>
        <w:t>’</w:t>
      </w:r>
      <w:r w:rsidRPr="009C5894">
        <w:rPr>
          <w:lang w:val="fr-FR"/>
        </w:rPr>
        <w:t>homme de l</w:t>
      </w:r>
      <w:r>
        <w:rPr>
          <w:lang w:val="fr-FR"/>
        </w:rPr>
        <w:t>’</w:t>
      </w:r>
      <w:r w:rsidRPr="009C5894">
        <w:rPr>
          <w:lang w:val="fr-FR"/>
        </w:rPr>
        <w:t xml:space="preserve">ONU </w:t>
      </w:r>
      <w:r>
        <w:rPr>
          <w:lang w:val="fr-FR"/>
        </w:rPr>
        <w:t xml:space="preserve">font état </w:t>
      </w:r>
      <w:r w:rsidRPr="009C5894">
        <w:rPr>
          <w:lang w:val="fr-FR"/>
        </w:rPr>
        <w:t xml:space="preserve">depuis de nombreuses années des </w:t>
      </w:r>
      <w:r>
        <w:rPr>
          <w:lang w:val="fr-FR"/>
        </w:rPr>
        <w:t>inquiétudes que suscitent les diverses conséquences que peuvent avoir les</w:t>
      </w:r>
      <w:r w:rsidRPr="009C5894">
        <w:rPr>
          <w:lang w:val="fr-FR"/>
        </w:rPr>
        <w:t xml:space="preserve"> politiques et pratiques des forces de l</w:t>
      </w:r>
      <w:r>
        <w:rPr>
          <w:lang w:val="fr-FR"/>
        </w:rPr>
        <w:t>’</w:t>
      </w:r>
      <w:r w:rsidRPr="009C5894">
        <w:rPr>
          <w:lang w:val="fr-FR"/>
        </w:rPr>
        <w:t>ordre sur les personnes d</w:t>
      </w:r>
      <w:r>
        <w:rPr>
          <w:lang w:val="fr-FR"/>
        </w:rPr>
        <w:t>’</w:t>
      </w:r>
      <w:r w:rsidRPr="009C5894">
        <w:rPr>
          <w:lang w:val="fr-FR"/>
        </w:rPr>
        <w:t>ascendance africaine.</w:t>
      </w:r>
      <w:r w:rsidRPr="00293268">
        <w:rPr>
          <w:lang w:val="fr-FR"/>
        </w:rPr>
        <w:t xml:space="preserve"> </w:t>
      </w:r>
      <w:r w:rsidRPr="00735A39">
        <w:rPr>
          <w:lang w:val="fr-FR"/>
        </w:rPr>
        <w:t>Les données disponibles, ainsi que les rapports et les recommandations de ces mécanismes et d</w:t>
      </w:r>
      <w:r>
        <w:rPr>
          <w:lang w:val="fr-FR"/>
        </w:rPr>
        <w:t>’</w:t>
      </w:r>
      <w:r w:rsidRPr="00735A39">
        <w:rPr>
          <w:lang w:val="fr-FR"/>
        </w:rPr>
        <w:t>autres organismes,</w:t>
      </w:r>
      <w:r>
        <w:rPr>
          <w:lang w:val="fr-FR"/>
        </w:rPr>
        <w:t xml:space="preserve"> </w:t>
      </w:r>
      <w:r w:rsidRPr="00735A39">
        <w:rPr>
          <w:lang w:val="fr-FR"/>
        </w:rPr>
        <w:t xml:space="preserve">dressent un tableau alarmant </w:t>
      </w:r>
      <w:r w:rsidRPr="00C76C18">
        <w:rPr>
          <w:lang w:val="fr-FR"/>
        </w:rPr>
        <w:t>des effets systémiques, disproportionnés et discriminatoires que les interventions des forces de l</w:t>
      </w:r>
      <w:r>
        <w:rPr>
          <w:lang w:val="fr-FR"/>
        </w:rPr>
        <w:t>’</w:t>
      </w:r>
      <w:r w:rsidRPr="00C76C18">
        <w:rPr>
          <w:lang w:val="fr-FR"/>
        </w:rPr>
        <w:t>ordre et le système de justice pénale exercent sur les</w:t>
      </w:r>
      <w:r w:rsidRPr="00735A39">
        <w:rPr>
          <w:lang w:val="fr-FR"/>
        </w:rPr>
        <w:t xml:space="preserve"> personnes d</w:t>
      </w:r>
      <w:r>
        <w:rPr>
          <w:lang w:val="fr-FR"/>
        </w:rPr>
        <w:t>’</w:t>
      </w:r>
      <w:r w:rsidRPr="00735A39">
        <w:rPr>
          <w:lang w:val="fr-FR"/>
        </w:rPr>
        <w:t xml:space="preserve">ascendance africaine dans certains </w:t>
      </w:r>
      <w:r>
        <w:rPr>
          <w:lang w:val="fr-FR"/>
        </w:rPr>
        <w:t>pay</w:t>
      </w:r>
      <w:r w:rsidRPr="00735A39">
        <w:rPr>
          <w:lang w:val="fr-FR"/>
        </w:rPr>
        <w:t xml:space="preserve">s (voir </w:t>
      </w:r>
      <w:r>
        <w:rPr>
          <w:lang w:val="fr-FR"/>
        </w:rPr>
        <w:t>ci-après</w:t>
      </w:r>
      <w:r w:rsidRPr="00293268">
        <w:rPr>
          <w:lang w:val="fr-FR"/>
        </w:rPr>
        <w:t xml:space="preserve">). </w:t>
      </w:r>
      <w:r w:rsidRPr="00735A39">
        <w:rPr>
          <w:lang w:val="fr-FR"/>
        </w:rPr>
        <w:t>Les</w:t>
      </w:r>
      <w:r w:rsidR="004A7F16">
        <w:rPr>
          <w:lang w:val="fr-FR"/>
        </w:rPr>
        <w:t> </w:t>
      </w:r>
      <w:r w:rsidRPr="00735A39">
        <w:rPr>
          <w:lang w:val="fr-FR"/>
        </w:rPr>
        <w:t>mécanismes des droits de l</w:t>
      </w:r>
      <w:r>
        <w:rPr>
          <w:lang w:val="fr-FR"/>
        </w:rPr>
        <w:t>’</w:t>
      </w:r>
      <w:r w:rsidRPr="00735A39">
        <w:rPr>
          <w:lang w:val="fr-FR"/>
        </w:rPr>
        <w:t xml:space="preserve">homme </w:t>
      </w:r>
      <w:r>
        <w:rPr>
          <w:lang w:val="fr-FR"/>
        </w:rPr>
        <w:t>de l’ONU</w:t>
      </w:r>
      <w:r w:rsidRPr="00735A39">
        <w:rPr>
          <w:lang w:val="fr-FR"/>
        </w:rPr>
        <w:t xml:space="preserve"> ont en particulier </w:t>
      </w:r>
      <w:r>
        <w:rPr>
          <w:lang w:val="fr-FR"/>
        </w:rPr>
        <w:t>appelé l’attention sur le</w:t>
      </w:r>
      <w:r w:rsidRPr="00735A39">
        <w:rPr>
          <w:lang w:val="fr-FR"/>
        </w:rPr>
        <w:t xml:space="preserve"> profilage racial et les effets disproportionnés du harcèlement policier, de la violence verbale et de</w:t>
      </w:r>
      <w:r>
        <w:rPr>
          <w:lang w:val="fr-FR"/>
        </w:rPr>
        <w:t xml:space="preserve">s </w:t>
      </w:r>
      <w:r w:rsidRPr="00735A39">
        <w:rPr>
          <w:lang w:val="fr-FR"/>
        </w:rPr>
        <w:t>abus de pouvoir, des interpellations et fouilles discriminatoires, des mauvais traitements, des arrestations arbitraires, de l</w:t>
      </w:r>
      <w:r>
        <w:rPr>
          <w:lang w:val="fr-FR"/>
        </w:rPr>
        <w:t>’</w:t>
      </w:r>
      <w:r w:rsidRPr="00735A39">
        <w:rPr>
          <w:lang w:val="fr-FR"/>
        </w:rPr>
        <w:t xml:space="preserve">usage excessif de la force </w:t>
      </w:r>
      <w:r>
        <w:rPr>
          <w:lang w:val="fr-FR"/>
        </w:rPr>
        <w:t>à l’en</w:t>
      </w:r>
      <w:r w:rsidRPr="00735A39">
        <w:rPr>
          <w:lang w:val="fr-FR"/>
        </w:rPr>
        <w:t xml:space="preserve">contre </w:t>
      </w:r>
      <w:r w:rsidR="004A7F16">
        <w:rPr>
          <w:lang w:val="fr-FR"/>
        </w:rPr>
        <w:t>d</w:t>
      </w:r>
      <w:r w:rsidRPr="00735A39">
        <w:rPr>
          <w:lang w:val="fr-FR"/>
        </w:rPr>
        <w:t>es personnes d</w:t>
      </w:r>
      <w:r>
        <w:rPr>
          <w:lang w:val="fr-FR"/>
        </w:rPr>
        <w:t>’</w:t>
      </w:r>
      <w:r w:rsidRPr="00735A39">
        <w:rPr>
          <w:lang w:val="fr-FR"/>
        </w:rPr>
        <w:t>ascendance africaine par les forces de l</w:t>
      </w:r>
      <w:r>
        <w:rPr>
          <w:lang w:val="fr-FR"/>
        </w:rPr>
        <w:t>’</w:t>
      </w:r>
      <w:r w:rsidRPr="00735A39">
        <w:rPr>
          <w:lang w:val="fr-FR"/>
        </w:rPr>
        <w:t xml:space="preserve">ordre dans certains </w:t>
      </w:r>
      <w:r>
        <w:rPr>
          <w:lang w:val="fr-FR"/>
        </w:rPr>
        <w:t>pays</w:t>
      </w:r>
      <w:r w:rsidRPr="00735A39">
        <w:rPr>
          <w:lang w:val="fr-FR"/>
        </w:rPr>
        <w:t>, et de l</w:t>
      </w:r>
      <w:r>
        <w:rPr>
          <w:lang w:val="fr-FR"/>
        </w:rPr>
        <w:t>’</w:t>
      </w:r>
      <w:r w:rsidRPr="00735A39">
        <w:rPr>
          <w:lang w:val="fr-FR"/>
        </w:rPr>
        <w:t xml:space="preserve">impunité générale </w:t>
      </w:r>
      <w:r>
        <w:rPr>
          <w:lang w:val="fr-FR"/>
        </w:rPr>
        <w:t>dont jouissent les auteurs de telles</w:t>
      </w:r>
      <w:r w:rsidRPr="00735A39">
        <w:rPr>
          <w:lang w:val="fr-FR"/>
        </w:rPr>
        <w:t xml:space="preserve"> violations</w:t>
      </w:r>
      <w:r w:rsidRPr="00CD6B67">
        <w:rPr>
          <w:rStyle w:val="FootnoteReference"/>
        </w:rPr>
        <w:footnoteReference w:id="232"/>
      </w:r>
      <w:r>
        <w:rPr>
          <w:lang w:val="fr-FR"/>
        </w:rPr>
        <w:t>.</w:t>
      </w:r>
    </w:p>
    <w:p w14:paraId="43FF4C0C" w14:textId="77777777" w:rsidR="00865E37" w:rsidRPr="00293268" w:rsidRDefault="00865E37" w:rsidP="00865E37">
      <w:pPr>
        <w:pStyle w:val="SingleTxtG"/>
        <w:rPr>
          <w:lang w:val="fr-FR"/>
        </w:rPr>
      </w:pPr>
      <w:r w:rsidRPr="00480AE0">
        <w:rPr>
          <w:lang w:val="fr-FR"/>
        </w:rPr>
        <w:t>82.</w:t>
      </w:r>
      <w:r w:rsidRPr="00293268">
        <w:rPr>
          <w:lang w:val="fr-FR"/>
        </w:rPr>
        <w:tab/>
      </w:r>
      <w:r w:rsidRPr="00EC67A2">
        <w:rPr>
          <w:lang w:val="fr-FR"/>
        </w:rPr>
        <w:t xml:space="preserve">Dans leurs recommandations, ces mécanismes ont </w:t>
      </w:r>
      <w:r>
        <w:rPr>
          <w:lang w:val="fr-FR"/>
        </w:rPr>
        <w:t>engagé</w:t>
      </w:r>
      <w:r w:rsidRPr="00EC67A2">
        <w:rPr>
          <w:lang w:val="fr-FR"/>
        </w:rPr>
        <w:t xml:space="preserve"> les forces de l</w:t>
      </w:r>
      <w:r>
        <w:rPr>
          <w:lang w:val="fr-FR"/>
        </w:rPr>
        <w:t>’</w:t>
      </w:r>
      <w:r w:rsidRPr="00EC67A2">
        <w:rPr>
          <w:lang w:val="fr-FR"/>
        </w:rPr>
        <w:t>ordre à s</w:t>
      </w:r>
      <w:r>
        <w:rPr>
          <w:lang w:val="fr-FR"/>
        </w:rPr>
        <w:t>’</w:t>
      </w:r>
      <w:r w:rsidRPr="00EC67A2">
        <w:rPr>
          <w:lang w:val="fr-FR"/>
        </w:rPr>
        <w:t>efforcer d</w:t>
      </w:r>
      <w:r>
        <w:rPr>
          <w:lang w:val="fr-FR"/>
        </w:rPr>
        <w:t>’</w:t>
      </w:r>
      <w:r w:rsidRPr="00EC67A2">
        <w:rPr>
          <w:lang w:val="fr-FR"/>
        </w:rPr>
        <w:t xml:space="preserve">apporter des changements structurels et comportementaux </w:t>
      </w:r>
      <w:r>
        <w:rPr>
          <w:lang w:val="fr-FR"/>
        </w:rPr>
        <w:t>axés sur la prévention de t</w:t>
      </w:r>
      <w:r w:rsidRPr="00EC67A2">
        <w:rPr>
          <w:lang w:val="fr-FR"/>
        </w:rPr>
        <w:t xml:space="preserve">elles violations, </w:t>
      </w:r>
      <w:r>
        <w:rPr>
          <w:lang w:val="fr-FR"/>
        </w:rPr>
        <w:t xml:space="preserve">au moyen de mécanismes </w:t>
      </w:r>
      <w:r w:rsidRPr="00EC67A2">
        <w:rPr>
          <w:lang w:val="fr-FR"/>
        </w:rPr>
        <w:t xml:space="preserve">de surveillance, de suivi et de signalement des violations, de </w:t>
      </w:r>
      <w:r>
        <w:rPr>
          <w:lang w:val="fr-FR"/>
        </w:rPr>
        <w:t xml:space="preserve">la </w:t>
      </w:r>
      <w:r w:rsidRPr="00EC67A2">
        <w:rPr>
          <w:lang w:val="fr-FR"/>
        </w:rPr>
        <w:t xml:space="preserve">collecte et </w:t>
      </w:r>
      <w:r>
        <w:rPr>
          <w:lang w:val="fr-FR"/>
        </w:rPr>
        <w:t>de la publication de</w:t>
      </w:r>
      <w:r w:rsidRPr="00EC67A2">
        <w:rPr>
          <w:lang w:val="fr-FR"/>
        </w:rPr>
        <w:t xml:space="preserve"> données ventilées exhaustives, ainsi que </w:t>
      </w:r>
      <w:r>
        <w:rPr>
          <w:lang w:val="fr-FR"/>
        </w:rPr>
        <w:t xml:space="preserve">par </w:t>
      </w:r>
      <w:r w:rsidRPr="00EC67A2">
        <w:rPr>
          <w:lang w:val="fr-FR"/>
        </w:rPr>
        <w:t>la formation et la sensibilisation des forces de l</w:t>
      </w:r>
      <w:r>
        <w:rPr>
          <w:lang w:val="fr-FR"/>
        </w:rPr>
        <w:t>’</w:t>
      </w:r>
      <w:r w:rsidRPr="00EC67A2">
        <w:rPr>
          <w:lang w:val="fr-FR"/>
        </w:rPr>
        <w:t>ordre aux droits de l</w:t>
      </w:r>
      <w:r>
        <w:rPr>
          <w:lang w:val="fr-FR"/>
        </w:rPr>
        <w:t>’</w:t>
      </w:r>
      <w:r w:rsidRPr="00EC67A2">
        <w:rPr>
          <w:lang w:val="fr-FR"/>
        </w:rPr>
        <w:t xml:space="preserve">homme afin de lutter contre les préjugés, conscients et inconscients, </w:t>
      </w:r>
      <w:r w:rsidRPr="00704F5B">
        <w:rPr>
          <w:lang w:val="fr-FR"/>
        </w:rPr>
        <w:t xml:space="preserve">la stigmatisation et la discrimination </w:t>
      </w:r>
      <w:r w:rsidRPr="00EC67A2">
        <w:rPr>
          <w:lang w:val="fr-FR"/>
        </w:rPr>
        <w:t xml:space="preserve">et de garantir </w:t>
      </w:r>
      <w:r>
        <w:rPr>
          <w:lang w:val="fr-FR"/>
        </w:rPr>
        <w:t xml:space="preserve">que les </w:t>
      </w:r>
      <w:r w:rsidRPr="00EC67A2">
        <w:rPr>
          <w:lang w:val="fr-FR"/>
        </w:rPr>
        <w:t>personnes d</w:t>
      </w:r>
      <w:r>
        <w:rPr>
          <w:lang w:val="fr-FR"/>
        </w:rPr>
        <w:t>’</w:t>
      </w:r>
      <w:r w:rsidRPr="00EC67A2">
        <w:rPr>
          <w:lang w:val="fr-FR"/>
        </w:rPr>
        <w:t>ascendance africaine</w:t>
      </w:r>
      <w:r>
        <w:rPr>
          <w:lang w:val="fr-FR"/>
        </w:rPr>
        <w:t xml:space="preserve"> soient traitées sur un pied d’égalité avec les autres.</w:t>
      </w:r>
      <w:r w:rsidRPr="00293268">
        <w:rPr>
          <w:lang w:val="fr-FR"/>
        </w:rPr>
        <w:t xml:space="preserve"> </w:t>
      </w:r>
      <w:r>
        <w:rPr>
          <w:lang w:val="fr-FR"/>
        </w:rPr>
        <w:t xml:space="preserve">Ces recommandations insistent également sur la </w:t>
      </w:r>
      <w:r w:rsidRPr="00E86FE8">
        <w:rPr>
          <w:lang w:val="fr-FR"/>
        </w:rPr>
        <w:t xml:space="preserve">nécessité </w:t>
      </w:r>
      <w:r>
        <w:rPr>
          <w:lang w:val="fr-FR"/>
        </w:rPr>
        <w:t>d’établir les responsabilités en cas de violations</w:t>
      </w:r>
      <w:r w:rsidRPr="00E86FE8">
        <w:rPr>
          <w:lang w:val="fr-FR"/>
        </w:rPr>
        <w:t xml:space="preserve"> des droits de l</w:t>
      </w:r>
      <w:r>
        <w:rPr>
          <w:lang w:val="fr-FR"/>
        </w:rPr>
        <w:t>’</w:t>
      </w:r>
      <w:r w:rsidRPr="00E86FE8">
        <w:rPr>
          <w:lang w:val="fr-FR"/>
        </w:rPr>
        <w:t>homme commises par les forces de l</w:t>
      </w:r>
      <w:r>
        <w:rPr>
          <w:lang w:val="fr-FR"/>
        </w:rPr>
        <w:t>’</w:t>
      </w:r>
      <w:r w:rsidRPr="00E86FE8">
        <w:rPr>
          <w:lang w:val="fr-FR"/>
        </w:rPr>
        <w:t>ordre comme moyen de dissuasion</w:t>
      </w:r>
      <w:r w:rsidRPr="00CD6B67">
        <w:rPr>
          <w:rStyle w:val="FootnoteReference"/>
        </w:rPr>
        <w:footnoteReference w:id="233"/>
      </w:r>
      <w:r>
        <w:rPr>
          <w:lang w:val="fr-FR"/>
        </w:rPr>
        <w:t>, ainsi que sur le renforcement de la</w:t>
      </w:r>
      <w:r w:rsidRPr="00ED73F8">
        <w:rPr>
          <w:lang w:val="fr-FR"/>
        </w:rPr>
        <w:t xml:space="preserve"> confiance du public et la promotion de relations solides entre les forces de l</w:t>
      </w:r>
      <w:r>
        <w:rPr>
          <w:lang w:val="fr-FR"/>
        </w:rPr>
        <w:t>’</w:t>
      </w:r>
      <w:r w:rsidRPr="00ED73F8">
        <w:rPr>
          <w:lang w:val="fr-FR"/>
        </w:rPr>
        <w:t xml:space="preserve">ordre et </w:t>
      </w:r>
      <w:r>
        <w:rPr>
          <w:lang w:val="fr-FR"/>
        </w:rPr>
        <w:t>la population</w:t>
      </w:r>
      <w:r w:rsidRPr="00ED73F8">
        <w:rPr>
          <w:lang w:val="fr-FR"/>
        </w:rPr>
        <w:t>, afin de réduire la criminalité et d</w:t>
      </w:r>
      <w:r>
        <w:rPr>
          <w:lang w:val="fr-FR"/>
        </w:rPr>
        <w:t>’</w:t>
      </w:r>
      <w:r w:rsidRPr="00ED73F8">
        <w:rPr>
          <w:lang w:val="fr-FR"/>
        </w:rPr>
        <w:t>a</w:t>
      </w:r>
      <w:r>
        <w:rPr>
          <w:lang w:val="fr-FR"/>
        </w:rPr>
        <w:t>méliorer</w:t>
      </w:r>
      <w:r w:rsidRPr="00ED73F8">
        <w:rPr>
          <w:lang w:val="fr-FR"/>
        </w:rPr>
        <w:t xml:space="preserve"> la sécurité, notamment par le recrutement, le maintien et la promotion de personnes d</w:t>
      </w:r>
      <w:r>
        <w:rPr>
          <w:lang w:val="fr-FR"/>
        </w:rPr>
        <w:t>’</w:t>
      </w:r>
      <w:r w:rsidRPr="00ED73F8">
        <w:rPr>
          <w:lang w:val="fr-FR"/>
        </w:rPr>
        <w:t xml:space="preserve">ascendance africaine dans les </w:t>
      </w:r>
      <w:r>
        <w:rPr>
          <w:lang w:val="fr-FR"/>
        </w:rPr>
        <w:t>institutions des forces de l’ordre</w:t>
      </w:r>
      <w:r w:rsidRPr="00ED73F8">
        <w:rPr>
          <w:lang w:val="fr-FR"/>
        </w:rPr>
        <w:t xml:space="preserve"> et de la justice pénale</w:t>
      </w:r>
      <w:r w:rsidRPr="00CD6B67">
        <w:rPr>
          <w:rStyle w:val="FootnoteReference"/>
        </w:rPr>
        <w:footnoteReference w:id="234"/>
      </w:r>
      <w:r>
        <w:rPr>
          <w:lang w:val="fr-FR"/>
        </w:rPr>
        <w:t>.</w:t>
      </w:r>
    </w:p>
    <w:p w14:paraId="34153563" w14:textId="77777777" w:rsidR="00865E37" w:rsidRPr="00293268" w:rsidRDefault="00865E37" w:rsidP="00865E37">
      <w:pPr>
        <w:pStyle w:val="SingleTxtG"/>
        <w:rPr>
          <w:lang w:val="fr-FR"/>
        </w:rPr>
      </w:pPr>
      <w:r w:rsidRPr="00293268">
        <w:rPr>
          <w:lang w:val="fr-FR"/>
        </w:rPr>
        <w:t>83.</w:t>
      </w:r>
      <w:r w:rsidRPr="00293268">
        <w:rPr>
          <w:lang w:val="fr-FR"/>
        </w:rPr>
        <w:tab/>
      </w:r>
      <w:r w:rsidRPr="00ED73F8">
        <w:rPr>
          <w:lang w:val="fr-FR"/>
        </w:rPr>
        <w:t>Ainsi, au fil des an</w:t>
      </w:r>
      <w:r>
        <w:rPr>
          <w:lang w:val="fr-FR"/>
        </w:rPr>
        <w:t>née</w:t>
      </w:r>
      <w:r w:rsidRPr="00ED73F8">
        <w:rPr>
          <w:lang w:val="fr-FR"/>
        </w:rPr>
        <w:t>s</w:t>
      </w:r>
      <w:r>
        <w:rPr>
          <w:lang w:val="fr-FR"/>
        </w:rPr>
        <w:t xml:space="preserve"> et au moyen de </w:t>
      </w:r>
      <w:r w:rsidRPr="00ED73F8">
        <w:rPr>
          <w:lang w:val="fr-FR"/>
        </w:rPr>
        <w:t>ces recommandations, les mécanismes des droits de l</w:t>
      </w:r>
      <w:r>
        <w:rPr>
          <w:lang w:val="fr-FR"/>
        </w:rPr>
        <w:t>’</w:t>
      </w:r>
      <w:r w:rsidRPr="00ED73F8">
        <w:rPr>
          <w:lang w:val="fr-FR"/>
        </w:rPr>
        <w:t xml:space="preserve">homme </w:t>
      </w:r>
      <w:r>
        <w:rPr>
          <w:lang w:val="fr-FR"/>
        </w:rPr>
        <w:t>de l’ONU</w:t>
      </w:r>
      <w:r w:rsidRPr="00ED73F8">
        <w:rPr>
          <w:lang w:val="fr-FR"/>
        </w:rPr>
        <w:t xml:space="preserve"> </w:t>
      </w:r>
      <w:r>
        <w:rPr>
          <w:lang w:val="fr-FR"/>
        </w:rPr>
        <w:t>ont cherché à lutter contre les</w:t>
      </w:r>
      <w:r w:rsidRPr="00ED73F8">
        <w:rPr>
          <w:lang w:val="fr-FR"/>
        </w:rPr>
        <w:t xml:space="preserve"> systèmes, pratiques et </w:t>
      </w:r>
      <w:r>
        <w:rPr>
          <w:lang w:val="fr-FR"/>
        </w:rPr>
        <w:t>tendances</w:t>
      </w:r>
      <w:r w:rsidRPr="00ED73F8">
        <w:rPr>
          <w:lang w:val="fr-FR"/>
        </w:rPr>
        <w:t xml:space="preserve"> qui sous-tendent et </w:t>
      </w:r>
      <w:r w:rsidRPr="00C76C18">
        <w:rPr>
          <w:lang w:val="fr-FR"/>
        </w:rPr>
        <w:t>perpétuent les effets disproportionnés et discriminatoires du maintien de l</w:t>
      </w:r>
      <w:r>
        <w:rPr>
          <w:lang w:val="fr-FR"/>
        </w:rPr>
        <w:t>’</w:t>
      </w:r>
      <w:r w:rsidRPr="00C76C18">
        <w:rPr>
          <w:lang w:val="fr-FR"/>
        </w:rPr>
        <w:t>ordre et de l</w:t>
      </w:r>
      <w:r>
        <w:rPr>
          <w:lang w:val="fr-FR"/>
        </w:rPr>
        <w:t>’</w:t>
      </w:r>
      <w:r w:rsidRPr="00C76C18">
        <w:rPr>
          <w:lang w:val="fr-FR"/>
        </w:rPr>
        <w:t>administration de la justice pénale sur les</w:t>
      </w:r>
      <w:r w:rsidRPr="00ED73F8">
        <w:rPr>
          <w:lang w:val="fr-FR"/>
        </w:rPr>
        <w:t xml:space="preserve"> personnes d</w:t>
      </w:r>
      <w:r>
        <w:rPr>
          <w:lang w:val="fr-FR"/>
        </w:rPr>
        <w:t>’</w:t>
      </w:r>
      <w:r w:rsidRPr="00ED73F8">
        <w:rPr>
          <w:lang w:val="fr-FR"/>
        </w:rPr>
        <w:t>ascendance africaine. Leurs recommandations montrent qu</w:t>
      </w:r>
      <w:r>
        <w:rPr>
          <w:lang w:val="fr-FR"/>
        </w:rPr>
        <w:t>’</w:t>
      </w:r>
      <w:r w:rsidRPr="00ED73F8">
        <w:rPr>
          <w:lang w:val="fr-FR"/>
        </w:rPr>
        <w:t xml:space="preserve">il est urgent </w:t>
      </w:r>
      <w:r>
        <w:rPr>
          <w:lang w:val="fr-FR"/>
        </w:rPr>
        <w:t>de dépasser le cadre du simple</w:t>
      </w:r>
      <w:r w:rsidRPr="00ED73F8">
        <w:rPr>
          <w:lang w:val="fr-FR"/>
        </w:rPr>
        <w:t xml:space="preserve"> traitement des violations individuelles commises par </w:t>
      </w:r>
      <w:r>
        <w:rPr>
          <w:lang w:val="fr-FR"/>
        </w:rPr>
        <w:t>les agents des forces de l’ordre</w:t>
      </w:r>
      <w:r w:rsidRPr="00ED73F8">
        <w:rPr>
          <w:lang w:val="fr-FR"/>
        </w:rPr>
        <w:t>. L</w:t>
      </w:r>
      <w:r>
        <w:rPr>
          <w:lang w:val="fr-FR"/>
        </w:rPr>
        <w:t>’insuffisante application de ces</w:t>
      </w:r>
      <w:r w:rsidRPr="00ED73F8">
        <w:rPr>
          <w:lang w:val="fr-FR"/>
        </w:rPr>
        <w:t xml:space="preserve"> recommandations </w:t>
      </w:r>
      <w:r>
        <w:rPr>
          <w:lang w:val="fr-FR"/>
        </w:rPr>
        <w:t>n’</w:t>
      </w:r>
      <w:r w:rsidRPr="00ED73F8">
        <w:rPr>
          <w:lang w:val="fr-FR"/>
        </w:rPr>
        <w:t xml:space="preserve">a </w:t>
      </w:r>
      <w:r>
        <w:rPr>
          <w:lang w:val="fr-FR"/>
        </w:rPr>
        <w:t>fait que perpétuer les</w:t>
      </w:r>
      <w:r w:rsidRPr="00ED73F8">
        <w:rPr>
          <w:lang w:val="fr-FR"/>
        </w:rPr>
        <w:t xml:space="preserve"> cycles d</w:t>
      </w:r>
      <w:r>
        <w:rPr>
          <w:lang w:val="fr-FR"/>
        </w:rPr>
        <w:t>’</w:t>
      </w:r>
      <w:r w:rsidRPr="00ED73F8">
        <w:rPr>
          <w:lang w:val="fr-FR"/>
        </w:rPr>
        <w:t>abus et de violence à l</w:t>
      </w:r>
      <w:r>
        <w:rPr>
          <w:lang w:val="fr-FR"/>
        </w:rPr>
        <w:t>’</w:t>
      </w:r>
      <w:r w:rsidRPr="00ED73F8">
        <w:rPr>
          <w:lang w:val="fr-FR"/>
        </w:rPr>
        <w:t>encontre des personnes d</w:t>
      </w:r>
      <w:r>
        <w:rPr>
          <w:lang w:val="fr-FR"/>
        </w:rPr>
        <w:t>’</w:t>
      </w:r>
      <w:r w:rsidRPr="00ED73F8">
        <w:rPr>
          <w:lang w:val="fr-FR"/>
        </w:rPr>
        <w:t>ascendance africaine</w:t>
      </w:r>
      <w:r w:rsidRPr="00293268">
        <w:rPr>
          <w:lang w:val="fr-FR"/>
        </w:rPr>
        <w:t>.</w:t>
      </w:r>
    </w:p>
    <w:p w14:paraId="2CADE651" w14:textId="77777777" w:rsidR="00865E37" w:rsidRPr="00293268" w:rsidRDefault="00865E37" w:rsidP="003207C0">
      <w:pPr>
        <w:pStyle w:val="H23G"/>
        <w:rPr>
          <w:lang w:val="fr-FR"/>
        </w:rPr>
      </w:pPr>
      <w:bookmarkStart w:id="258" w:name="_Toc74556544"/>
      <w:bookmarkStart w:id="259" w:name="_Toc74558679"/>
      <w:bookmarkStart w:id="260" w:name="_Toc74559124"/>
      <w:bookmarkStart w:id="261" w:name="_Toc74560651"/>
      <w:bookmarkStart w:id="262" w:name="_Toc74561078"/>
      <w:bookmarkStart w:id="263" w:name="_Toc74561812"/>
      <w:bookmarkStart w:id="264" w:name="_Toc74562724"/>
      <w:bookmarkStart w:id="265" w:name="_Toc74254796"/>
      <w:bookmarkStart w:id="266" w:name="_Toc74303362"/>
      <w:bookmarkStart w:id="267" w:name="_Toc74305487"/>
      <w:bookmarkStart w:id="268" w:name="_Toc74337083"/>
      <w:bookmarkStart w:id="269" w:name="_Toc74340203"/>
      <w:bookmarkStart w:id="270" w:name="_Toc74344099"/>
      <w:bookmarkStart w:id="271" w:name="_Toc74561079"/>
      <w:bookmarkStart w:id="272" w:name="_Toc74562570"/>
      <w:bookmarkStart w:id="273" w:name="_Toc74657681"/>
      <w:bookmarkStart w:id="274" w:name="_Toc74661207"/>
      <w:bookmarkStart w:id="275" w:name="_Toc74666502"/>
      <w:bookmarkStart w:id="276" w:name="_Toc74671423"/>
      <w:bookmarkStart w:id="277" w:name="_Toc74867339"/>
      <w:bookmarkStart w:id="278" w:name="_Toc74919092"/>
      <w:bookmarkStart w:id="279" w:name="_Toc74919747"/>
      <w:bookmarkStart w:id="280" w:name="_Toc74925782"/>
      <w:bookmarkStart w:id="281" w:name="_Toc74927631"/>
      <w:bookmarkEnd w:id="258"/>
      <w:bookmarkEnd w:id="259"/>
      <w:bookmarkEnd w:id="260"/>
      <w:bookmarkEnd w:id="261"/>
      <w:bookmarkEnd w:id="262"/>
      <w:bookmarkEnd w:id="263"/>
      <w:bookmarkEnd w:id="264"/>
      <w:r w:rsidRPr="00293268">
        <w:rPr>
          <w:lang w:val="fr-FR"/>
        </w:rPr>
        <w:tab/>
        <w:t>1.</w:t>
      </w:r>
      <w:r w:rsidRPr="00293268">
        <w:rPr>
          <w:lang w:val="fr-FR"/>
        </w:rPr>
        <w:tab/>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4B4A5B">
        <w:rPr>
          <w:lang w:val="fr-FR"/>
        </w:rPr>
        <w:t>Profilage racial, arrestations, interpellations et fouilles</w:t>
      </w:r>
    </w:p>
    <w:p w14:paraId="2669729E" w14:textId="469540AB" w:rsidR="00865E37" w:rsidRPr="00293268" w:rsidRDefault="00865E37" w:rsidP="00865E37">
      <w:pPr>
        <w:pStyle w:val="SingleTxtG"/>
        <w:rPr>
          <w:lang w:val="fr-FR"/>
        </w:rPr>
      </w:pPr>
      <w:r w:rsidRPr="00293268">
        <w:rPr>
          <w:lang w:val="fr-FR"/>
        </w:rPr>
        <w:t>84.</w:t>
      </w:r>
      <w:r w:rsidRPr="00293268">
        <w:rPr>
          <w:lang w:val="fr-FR"/>
        </w:rPr>
        <w:tab/>
      </w:r>
      <w:r w:rsidRPr="00486E9F">
        <w:rPr>
          <w:lang w:val="fr-FR"/>
        </w:rPr>
        <w:t>Dans un certain nombre d</w:t>
      </w:r>
      <w:r>
        <w:rPr>
          <w:lang w:val="fr-FR"/>
        </w:rPr>
        <w:t>’</w:t>
      </w:r>
      <w:r w:rsidRPr="00486E9F">
        <w:rPr>
          <w:lang w:val="fr-FR"/>
        </w:rPr>
        <w:t>États, les Africains et les personnes d</w:t>
      </w:r>
      <w:r>
        <w:rPr>
          <w:lang w:val="fr-FR"/>
        </w:rPr>
        <w:t>’</w:t>
      </w:r>
      <w:r w:rsidRPr="00486E9F">
        <w:rPr>
          <w:lang w:val="fr-FR"/>
        </w:rPr>
        <w:t>ascendance africaine sont particulièrement exposés au profilage racial</w:t>
      </w:r>
      <w:r w:rsidRPr="00CD6B67">
        <w:rPr>
          <w:rStyle w:val="FootnoteReference"/>
        </w:rPr>
        <w:footnoteReference w:id="235"/>
      </w:r>
      <w:r>
        <w:rPr>
          <w:lang w:val="fr-FR"/>
        </w:rPr>
        <w:t>,</w:t>
      </w:r>
      <w:r w:rsidRPr="00293268">
        <w:rPr>
          <w:lang w:val="fr-FR"/>
        </w:rPr>
        <w:t xml:space="preserve"> </w:t>
      </w:r>
      <w:r w:rsidRPr="00B87491">
        <w:rPr>
          <w:lang w:val="fr-FR"/>
        </w:rPr>
        <w:t>qui sert notamment de base à des contrôles d</w:t>
      </w:r>
      <w:r>
        <w:rPr>
          <w:lang w:val="fr-FR"/>
        </w:rPr>
        <w:t>’</w:t>
      </w:r>
      <w:r w:rsidRPr="00B87491">
        <w:rPr>
          <w:lang w:val="fr-FR"/>
        </w:rPr>
        <w:t xml:space="preserve">identité discriminatoires, à des interpellations et des fouilles, à des arrestations et aux abus et violences qui en découlent, </w:t>
      </w:r>
      <w:r w:rsidRPr="00220E0B">
        <w:rPr>
          <w:lang w:val="fr-FR"/>
        </w:rPr>
        <w:t>y compris des blessures graves et des décès</w:t>
      </w:r>
      <w:r w:rsidRPr="00CD6B67">
        <w:rPr>
          <w:rStyle w:val="FootnoteReference"/>
        </w:rPr>
        <w:footnoteReference w:id="236"/>
      </w:r>
      <w:r>
        <w:rPr>
          <w:lang w:val="fr-FR"/>
        </w:rPr>
        <w:t>.</w:t>
      </w:r>
      <w:r w:rsidRPr="00293268">
        <w:rPr>
          <w:lang w:val="fr-FR"/>
        </w:rPr>
        <w:t xml:space="preserve"> </w:t>
      </w:r>
      <w:r w:rsidRPr="005215F1">
        <w:rPr>
          <w:lang w:val="fr-FR"/>
        </w:rPr>
        <w:t xml:space="preserve">Certains </w:t>
      </w:r>
      <w:r>
        <w:rPr>
          <w:lang w:val="fr-FR"/>
        </w:rPr>
        <w:t>États</w:t>
      </w:r>
      <w:r w:rsidRPr="005215F1">
        <w:rPr>
          <w:lang w:val="fr-FR"/>
        </w:rPr>
        <w:t xml:space="preserve"> collectent, ventilent et publient des données relatives à ces questions, ce qui est louable. Lorsque de telles données sont disponibles, elles soulèvent toutefois de sérieuses préoccupations quant au fond. Ainsi, en 2019, </w:t>
      </w:r>
      <w:r>
        <w:rPr>
          <w:lang w:val="fr-FR"/>
        </w:rPr>
        <w:t>alors</w:t>
      </w:r>
      <w:r w:rsidRPr="005215F1">
        <w:rPr>
          <w:lang w:val="fr-FR"/>
        </w:rPr>
        <w:t xml:space="preserve"> qu</w:t>
      </w:r>
      <w:r>
        <w:rPr>
          <w:lang w:val="fr-FR"/>
        </w:rPr>
        <w:t>’</w:t>
      </w:r>
      <w:r w:rsidRPr="005215F1">
        <w:rPr>
          <w:lang w:val="fr-FR"/>
        </w:rPr>
        <w:t>ils représentaient 13</w:t>
      </w:r>
      <w:r w:rsidR="00E53DDC">
        <w:rPr>
          <w:lang w:val="fr-FR"/>
        </w:rPr>
        <w:t> %</w:t>
      </w:r>
      <w:r w:rsidRPr="005215F1">
        <w:rPr>
          <w:lang w:val="fr-FR"/>
        </w:rPr>
        <w:t xml:space="preserve"> de la population des États-Unis, 26</w:t>
      </w:r>
      <w:r w:rsidR="00E53DDC">
        <w:rPr>
          <w:lang w:val="fr-FR"/>
        </w:rPr>
        <w:t> %</w:t>
      </w:r>
      <w:r w:rsidRPr="005215F1">
        <w:rPr>
          <w:lang w:val="fr-FR"/>
        </w:rPr>
        <w:t xml:space="preserve"> du </w:t>
      </w:r>
      <w:r>
        <w:rPr>
          <w:lang w:val="fr-FR"/>
        </w:rPr>
        <w:t xml:space="preserve">nombre </w:t>
      </w:r>
      <w:r w:rsidRPr="005215F1">
        <w:rPr>
          <w:lang w:val="fr-FR"/>
        </w:rPr>
        <w:t>total d</w:t>
      </w:r>
      <w:r>
        <w:rPr>
          <w:lang w:val="fr-FR"/>
        </w:rPr>
        <w:t>’</w:t>
      </w:r>
      <w:r w:rsidRPr="005215F1">
        <w:rPr>
          <w:lang w:val="fr-FR"/>
        </w:rPr>
        <w:t>arrestations dans ce pays</w:t>
      </w:r>
      <w:r>
        <w:rPr>
          <w:lang w:val="fr-FR"/>
        </w:rPr>
        <w:t xml:space="preserve"> concernaient des Afro-Américains</w:t>
      </w:r>
      <w:r w:rsidRPr="00CD6B67">
        <w:rPr>
          <w:rStyle w:val="FootnoteReference"/>
        </w:rPr>
        <w:footnoteReference w:id="237"/>
      </w:r>
      <w:r>
        <w:rPr>
          <w:lang w:val="fr-FR"/>
        </w:rPr>
        <w:t>.</w:t>
      </w:r>
      <w:r w:rsidRPr="00293268">
        <w:rPr>
          <w:lang w:val="fr-FR"/>
        </w:rPr>
        <w:t xml:space="preserve"> </w:t>
      </w:r>
      <w:r w:rsidRPr="009622A0">
        <w:rPr>
          <w:lang w:val="fr-FR"/>
        </w:rPr>
        <w:t>Un rapport de 2015 du Bureau des statistiques judiciaires des États</w:t>
      </w:r>
      <w:r w:rsidR="00B12402">
        <w:rPr>
          <w:lang w:val="fr-FR"/>
        </w:rPr>
        <w:noBreakHyphen/>
      </w:r>
      <w:r w:rsidRPr="009622A0">
        <w:rPr>
          <w:lang w:val="fr-FR"/>
        </w:rPr>
        <w:t xml:space="preserve">Unis sur les </w:t>
      </w:r>
      <w:r>
        <w:rPr>
          <w:lang w:val="fr-FR"/>
        </w:rPr>
        <w:t>relations</w:t>
      </w:r>
      <w:r w:rsidRPr="009622A0">
        <w:rPr>
          <w:lang w:val="fr-FR"/>
        </w:rPr>
        <w:t xml:space="preserve"> entre la police et le public a révélé que les Noirs étaient plus susceptibles d</w:t>
      </w:r>
      <w:r>
        <w:rPr>
          <w:lang w:val="fr-FR"/>
        </w:rPr>
        <w:t>’</w:t>
      </w:r>
      <w:r w:rsidRPr="009622A0">
        <w:rPr>
          <w:lang w:val="fr-FR"/>
        </w:rPr>
        <w:t>être interpellés lors de contrôles routiers que les Blancs et les Hispaniques</w:t>
      </w:r>
      <w:r w:rsidRPr="00CD6B67">
        <w:rPr>
          <w:rStyle w:val="FootnoteReference"/>
        </w:rPr>
        <w:footnoteReference w:id="238"/>
      </w:r>
      <w:r>
        <w:rPr>
          <w:lang w:val="fr-FR"/>
        </w:rPr>
        <w:t>.</w:t>
      </w:r>
      <w:r w:rsidRPr="00293268">
        <w:rPr>
          <w:lang w:val="fr-FR"/>
        </w:rPr>
        <w:t xml:space="preserve"> </w:t>
      </w:r>
      <w:r w:rsidRPr="00DF6A21">
        <w:rPr>
          <w:lang w:val="fr-FR"/>
        </w:rPr>
        <w:t>Au Royaume</w:t>
      </w:r>
      <w:r w:rsidR="0013625B">
        <w:rPr>
          <w:lang w:val="fr-FR"/>
        </w:rPr>
        <w:noBreakHyphen/>
      </w:r>
      <w:r w:rsidRPr="00DF6A21">
        <w:rPr>
          <w:lang w:val="fr-FR"/>
        </w:rPr>
        <w:t>Uni , les statistiques du Ministère de la justice révèlent qu</w:t>
      </w:r>
      <w:r>
        <w:rPr>
          <w:lang w:val="fr-FR"/>
        </w:rPr>
        <w:t>’</w:t>
      </w:r>
      <w:r w:rsidRPr="00DF6A21">
        <w:rPr>
          <w:lang w:val="fr-FR"/>
        </w:rPr>
        <w:t xml:space="preserve"> il y a eu, entre avril 2019 et mars 2020, </w:t>
      </w:r>
      <w:r>
        <w:rPr>
          <w:lang w:val="fr-FR"/>
        </w:rPr>
        <w:t xml:space="preserve">six </w:t>
      </w:r>
      <w:r w:rsidRPr="00DF6A21">
        <w:rPr>
          <w:lang w:val="fr-FR"/>
        </w:rPr>
        <w:t>interpellations avec fouille pour 1</w:t>
      </w:r>
      <w:r w:rsidR="005267B8">
        <w:rPr>
          <w:lang w:val="fr-FR"/>
        </w:rPr>
        <w:t> </w:t>
      </w:r>
      <w:r w:rsidRPr="00DF6A21">
        <w:rPr>
          <w:lang w:val="fr-FR"/>
        </w:rPr>
        <w:t>000</w:t>
      </w:r>
      <w:r w:rsidR="005267B8">
        <w:rPr>
          <w:lang w:val="fr-FR"/>
        </w:rPr>
        <w:t> </w:t>
      </w:r>
      <w:r w:rsidRPr="00DF6A21">
        <w:rPr>
          <w:lang w:val="fr-FR"/>
        </w:rPr>
        <w:t>personnes blanches, contre 54 pour 1</w:t>
      </w:r>
      <w:r w:rsidR="005267B8">
        <w:rPr>
          <w:lang w:val="fr-FR"/>
        </w:rPr>
        <w:t> </w:t>
      </w:r>
      <w:r w:rsidRPr="00DF6A21">
        <w:rPr>
          <w:lang w:val="fr-FR"/>
        </w:rPr>
        <w:t>000</w:t>
      </w:r>
      <w:r w:rsidR="005267B8">
        <w:rPr>
          <w:lang w:val="fr-FR"/>
        </w:rPr>
        <w:t> </w:t>
      </w:r>
      <w:r w:rsidRPr="00DF6A21">
        <w:rPr>
          <w:lang w:val="fr-FR"/>
        </w:rPr>
        <w:t>personnes noires</w:t>
      </w:r>
      <w:r w:rsidRPr="00CD6B67">
        <w:rPr>
          <w:rStyle w:val="FootnoteReference"/>
        </w:rPr>
        <w:footnoteReference w:id="239"/>
      </w:r>
      <w:r>
        <w:rPr>
          <w:lang w:val="fr-FR"/>
        </w:rPr>
        <w:t>.</w:t>
      </w:r>
    </w:p>
    <w:p w14:paraId="365ECBED" w14:textId="780587F9" w:rsidR="00865E37" w:rsidRPr="00293268" w:rsidRDefault="00865E37" w:rsidP="00865E37">
      <w:pPr>
        <w:pStyle w:val="SingleTxtG"/>
        <w:rPr>
          <w:lang w:val="fr-FR"/>
        </w:rPr>
      </w:pPr>
      <w:r w:rsidRPr="00293268">
        <w:rPr>
          <w:lang w:val="fr-FR"/>
        </w:rPr>
        <w:t>85.</w:t>
      </w:r>
      <w:r w:rsidRPr="00293268">
        <w:rPr>
          <w:lang w:val="fr-FR"/>
        </w:rPr>
        <w:tab/>
      </w:r>
      <w:r w:rsidRPr="006F6F03">
        <w:rPr>
          <w:lang w:val="fr-FR"/>
        </w:rPr>
        <w:t>Une étude réalisée en 2021 par l</w:t>
      </w:r>
      <w:r>
        <w:rPr>
          <w:lang w:val="fr-FR"/>
        </w:rPr>
        <w:t>’</w:t>
      </w:r>
      <w:r w:rsidRPr="006F6F03">
        <w:rPr>
          <w:lang w:val="fr-FR"/>
        </w:rPr>
        <w:t>Agence des droits fondamentaux de l</w:t>
      </w:r>
      <w:r>
        <w:rPr>
          <w:lang w:val="fr-FR"/>
        </w:rPr>
        <w:t>’</w:t>
      </w:r>
      <w:r w:rsidRPr="006F6F03">
        <w:rPr>
          <w:lang w:val="fr-FR"/>
        </w:rPr>
        <w:t xml:space="preserve">Union européenne </w:t>
      </w:r>
      <w:r>
        <w:rPr>
          <w:lang w:val="fr-FR"/>
        </w:rPr>
        <w:t>révèle</w:t>
      </w:r>
      <w:r w:rsidRPr="006F6F03">
        <w:rPr>
          <w:lang w:val="fr-FR"/>
        </w:rPr>
        <w:t xml:space="preserve"> que les Africains et les personnes d</w:t>
      </w:r>
      <w:r>
        <w:rPr>
          <w:lang w:val="fr-FR"/>
        </w:rPr>
        <w:t>’</w:t>
      </w:r>
      <w:r w:rsidRPr="006F6F03">
        <w:rPr>
          <w:lang w:val="fr-FR"/>
        </w:rPr>
        <w:t>ascendance africaine sont plus susceptibles d</w:t>
      </w:r>
      <w:r>
        <w:rPr>
          <w:lang w:val="fr-FR"/>
        </w:rPr>
        <w:t>’</w:t>
      </w:r>
      <w:r w:rsidRPr="006F6F03">
        <w:rPr>
          <w:lang w:val="fr-FR"/>
        </w:rPr>
        <w:t>être interpellés et fouillés par la police, ce qui entame leur confiance dans les services de police</w:t>
      </w:r>
      <w:r w:rsidRPr="00CD6B67">
        <w:rPr>
          <w:rStyle w:val="FootnoteReference"/>
        </w:rPr>
        <w:footnoteReference w:id="240"/>
      </w:r>
      <w:r>
        <w:rPr>
          <w:lang w:val="fr-FR"/>
        </w:rPr>
        <w:t>.</w:t>
      </w:r>
      <w:r w:rsidRPr="00293268">
        <w:rPr>
          <w:lang w:val="fr-FR"/>
        </w:rPr>
        <w:t xml:space="preserve"> </w:t>
      </w:r>
      <w:r w:rsidRPr="00A10BA0">
        <w:rPr>
          <w:lang w:val="fr-FR"/>
        </w:rPr>
        <w:t xml:space="preserve">Une précédente enquête menée en 2018 par la même </w:t>
      </w:r>
      <w:r>
        <w:rPr>
          <w:lang w:val="fr-FR"/>
        </w:rPr>
        <w:t>institution</w:t>
      </w:r>
      <w:r w:rsidRPr="00A10BA0">
        <w:rPr>
          <w:lang w:val="fr-FR"/>
        </w:rPr>
        <w:t xml:space="preserve"> a révélé que sur les 24</w:t>
      </w:r>
      <w:r w:rsidR="00E53DDC">
        <w:rPr>
          <w:lang w:val="fr-FR"/>
        </w:rPr>
        <w:t> %</w:t>
      </w:r>
      <w:r w:rsidRPr="00A10BA0">
        <w:rPr>
          <w:lang w:val="fr-FR"/>
        </w:rPr>
        <w:t xml:space="preserve"> de répondants d</w:t>
      </w:r>
      <w:r>
        <w:rPr>
          <w:lang w:val="fr-FR"/>
        </w:rPr>
        <w:t>’</w:t>
      </w:r>
      <w:r w:rsidRPr="00A10BA0">
        <w:rPr>
          <w:lang w:val="fr-FR"/>
        </w:rPr>
        <w:t>ascendance africaine interpellés par la police au cours des cinq années précédant l</w:t>
      </w:r>
      <w:r>
        <w:rPr>
          <w:lang w:val="fr-FR"/>
        </w:rPr>
        <w:t>’</w:t>
      </w:r>
      <w:r w:rsidRPr="00A10BA0">
        <w:rPr>
          <w:lang w:val="fr-FR"/>
        </w:rPr>
        <w:t>enquête, 41</w:t>
      </w:r>
      <w:r w:rsidR="00E53DDC">
        <w:rPr>
          <w:lang w:val="fr-FR"/>
        </w:rPr>
        <w:t> %</w:t>
      </w:r>
      <w:r w:rsidRPr="00A10BA0">
        <w:rPr>
          <w:lang w:val="fr-FR"/>
        </w:rPr>
        <w:t xml:space="preserve"> estimaient que l</w:t>
      </w:r>
      <w:r>
        <w:rPr>
          <w:lang w:val="fr-FR"/>
        </w:rPr>
        <w:t>’</w:t>
      </w:r>
      <w:r w:rsidRPr="00A10BA0">
        <w:rPr>
          <w:lang w:val="fr-FR"/>
        </w:rPr>
        <w:t>interpellation était le résultat d</w:t>
      </w:r>
      <w:r>
        <w:rPr>
          <w:lang w:val="fr-FR"/>
        </w:rPr>
        <w:t>’</w:t>
      </w:r>
      <w:r w:rsidRPr="00A10BA0">
        <w:rPr>
          <w:lang w:val="fr-FR"/>
        </w:rPr>
        <w:t>un profilage racial</w:t>
      </w:r>
      <w:r>
        <w:rPr>
          <w:lang w:val="fr-FR"/>
        </w:rPr>
        <w:t>, tandis que</w:t>
      </w:r>
      <w:r w:rsidRPr="00A10BA0">
        <w:rPr>
          <w:lang w:val="fr-FR"/>
        </w:rPr>
        <w:t xml:space="preserve"> 63</w:t>
      </w:r>
      <w:r w:rsidR="00E53DDC">
        <w:rPr>
          <w:lang w:val="fr-FR"/>
        </w:rPr>
        <w:t> %</w:t>
      </w:r>
      <w:r w:rsidRPr="00A10BA0">
        <w:rPr>
          <w:lang w:val="fr-FR"/>
        </w:rPr>
        <w:t xml:space="preserve"> des victimes d</w:t>
      </w:r>
      <w:r>
        <w:rPr>
          <w:lang w:val="fr-FR"/>
        </w:rPr>
        <w:t>’</w:t>
      </w:r>
      <w:r w:rsidRPr="00A10BA0">
        <w:rPr>
          <w:lang w:val="fr-FR"/>
        </w:rPr>
        <w:t xml:space="preserve">agressions physiques racistes </w:t>
      </w:r>
      <w:r>
        <w:rPr>
          <w:lang w:val="fr-FR"/>
        </w:rPr>
        <w:t>commises par des policiers</w:t>
      </w:r>
      <w:r w:rsidRPr="00A10BA0">
        <w:rPr>
          <w:lang w:val="fr-FR"/>
        </w:rPr>
        <w:t xml:space="preserve"> </w:t>
      </w:r>
      <w:r>
        <w:rPr>
          <w:lang w:val="fr-FR"/>
        </w:rPr>
        <w:t>n’avaient</w:t>
      </w:r>
      <w:r w:rsidRPr="00A10BA0">
        <w:rPr>
          <w:lang w:val="fr-FR"/>
        </w:rPr>
        <w:t xml:space="preserve"> pas signalé </w:t>
      </w:r>
      <w:r>
        <w:rPr>
          <w:lang w:val="fr-FR"/>
        </w:rPr>
        <w:t>les faits</w:t>
      </w:r>
      <w:r w:rsidRPr="00A10BA0">
        <w:rPr>
          <w:lang w:val="fr-FR"/>
        </w:rPr>
        <w:t xml:space="preserve"> parce qu</w:t>
      </w:r>
      <w:r>
        <w:rPr>
          <w:lang w:val="fr-FR"/>
        </w:rPr>
        <w:t>’</w:t>
      </w:r>
      <w:r w:rsidRPr="00A10BA0">
        <w:rPr>
          <w:lang w:val="fr-FR"/>
        </w:rPr>
        <w:t>elles estimaient que cela ne changerait rien ou parce qu</w:t>
      </w:r>
      <w:r>
        <w:rPr>
          <w:lang w:val="fr-FR"/>
        </w:rPr>
        <w:t>’</w:t>
      </w:r>
      <w:r w:rsidRPr="00A10BA0">
        <w:rPr>
          <w:lang w:val="fr-FR"/>
        </w:rPr>
        <w:t>elles ne faisaient pas confiance à la police</w:t>
      </w:r>
      <w:r w:rsidRPr="00CD6B67">
        <w:rPr>
          <w:rStyle w:val="FootnoteReference"/>
        </w:rPr>
        <w:footnoteReference w:id="241"/>
      </w:r>
      <w:r>
        <w:rPr>
          <w:lang w:val="fr-FR"/>
        </w:rPr>
        <w:t>.</w:t>
      </w:r>
      <w:r w:rsidRPr="00293268">
        <w:rPr>
          <w:lang w:val="fr-FR"/>
        </w:rPr>
        <w:t xml:space="preserve"> En France, d</w:t>
      </w:r>
      <w:r>
        <w:rPr>
          <w:lang w:val="fr-FR"/>
        </w:rPr>
        <w:t>’</w:t>
      </w:r>
      <w:r w:rsidRPr="00293268">
        <w:rPr>
          <w:lang w:val="fr-FR"/>
        </w:rPr>
        <w:t>après les résultats d</w:t>
      </w:r>
      <w:r>
        <w:rPr>
          <w:lang w:val="fr-FR"/>
        </w:rPr>
        <w:t>’</w:t>
      </w:r>
      <w:r w:rsidRPr="00293268">
        <w:rPr>
          <w:lang w:val="fr-FR"/>
        </w:rPr>
        <w:t>une enquête de 2016 du Défenseur des droits, «</w:t>
      </w:r>
      <w:r w:rsidR="00EC4F99">
        <w:rPr>
          <w:lang w:val="fr-FR"/>
        </w:rPr>
        <w:t> </w:t>
      </w:r>
      <w:r w:rsidRPr="007927B9">
        <w:rPr>
          <w:lang w:val="fr-FR"/>
        </w:rPr>
        <w:t xml:space="preserve">les jeunes hommes qui sont perçus comme </w:t>
      </w:r>
      <w:r w:rsidR="00EC4F99">
        <w:rPr>
          <w:lang w:val="fr-FR"/>
        </w:rPr>
        <w:t>A</w:t>
      </w:r>
      <w:r w:rsidRPr="007927B9">
        <w:rPr>
          <w:lang w:val="fr-FR"/>
        </w:rPr>
        <w:t>rabes/</w:t>
      </w:r>
      <w:r w:rsidR="00EC4F99">
        <w:rPr>
          <w:lang w:val="fr-FR"/>
        </w:rPr>
        <w:t>M</w:t>
      </w:r>
      <w:r w:rsidRPr="007927B9">
        <w:rPr>
          <w:lang w:val="fr-FR"/>
        </w:rPr>
        <w:t xml:space="preserve">aghrébins ou </w:t>
      </w:r>
      <w:r w:rsidR="00EC4F99">
        <w:rPr>
          <w:lang w:val="fr-FR"/>
        </w:rPr>
        <w:t>N</w:t>
      </w:r>
      <w:r w:rsidRPr="007927B9">
        <w:rPr>
          <w:lang w:val="fr-FR"/>
        </w:rPr>
        <w:t>oirs ont une probabilité 20 fois plus élevée d</w:t>
      </w:r>
      <w:r>
        <w:rPr>
          <w:lang w:val="fr-FR"/>
        </w:rPr>
        <w:t>’</w:t>
      </w:r>
      <w:r w:rsidRPr="007927B9">
        <w:rPr>
          <w:lang w:val="fr-FR"/>
        </w:rPr>
        <w:t>être contrôlés que les autres</w:t>
      </w:r>
      <w:r w:rsidR="00EC4F99">
        <w:rPr>
          <w:lang w:val="fr-FR"/>
        </w:rPr>
        <w:t> </w:t>
      </w:r>
      <w:r>
        <w:rPr>
          <w:lang w:val="fr-FR"/>
        </w:rPr>
        <w:t>»</w:t>
      </w:r>
      <w:r w:rsidRPr="00293268">
        <w:rPr>
          <w:lang w:val="fr-FR"/>
        </w:rPr>
        <w:t xml:space="preserve"> et ont déclaré </w:t>
      </w:r>
      <w:r>
        <w:rPr>
          <w:lang w:val="fr-FR"/>
        </w:rPr>
        <w:t>être</w:t>
      </w:r>
      <w:r w:rsidRPr="00293268">
        <w:rPr>
          <w:lang w:val="fr-FR"/>
        </w:rPr>
        <w:t xml:space="preserve"> bien plus souvent</w:t>
      </w:r>
      <w:r>
        <w:rPr>
          <w:lang w:val="fr-FR"/>
        </w:rPr>
        <w:t xml:space="preserve"> victimes de </w:t>
      </w:r>
      <w:r w:rsidRPr="00293268">
        <w:rPr>
          <w:lang w:val="fr-FR"/>
        </w:rPr>
        <w:t>comportements insultants et de violences physiques lors de</w:t>
      </w:r>
      <w:r>
        <w:rPr>
          <w:lang w:val="fr-FR"/>
        </w:rPr>
        <w:t>s</w:t>
      </w:r>
      <w:r w:rsidRPr="00293268">
        <w:rPr>
          <w:lang w:val="fr-FR"/>
        </w:rPr>
        <w:t xml:space="preserve"> contrôles de police</w:t>
      </w:r>
      <w:r w:rsidRPr="00CD6B67">
        <w:rPr>
          <w:rStyle w:val="FootnoteReference"/>
        </w:rPr>
        <w:footnoteReference w:id="242"/>
      </w:r>
      <w:r w:rsidRPr="00293268">
        <w:rPr>
          <w:lang w:val="fr-FR"/>
        </w:rPr>
        <w:t>.</w:t>
      </w:r>
    </w:p>
    <w:p w14:paraId="6DC2033C" w14:textId="2D1699CA" w:rsidR="00865E37" w:rsidRPr="00293268" w:rsidRDefault="00865E37" w:rsidP="00865E37">
      <w:pPr>
        <w:pStyle w:val="SingleTxtG"/>
        <w:rPr>
          <w:lang w:val="fr-FR"/>
        </w:rPr>
      </w:pPr>
      <w:r w:rsidRPr="00293268">
        <w:rPr>
          <w:lang w:val="fr-FR"/>
        </w:rPr>
        <w:t>86.</w:t>
      </w:r>
      <w:r w:rsidRPr="00293268">
        <w:rPr>
          <w:lang w:val="fr-FR"/>
        </w:rPr>
        <w:tab/>
        <w:t>En Colombie, une enquête menée en 2019</w:t>
      </w:r>
      <w:r w:rsidRPr="00DF4EA0">
        <w:rPr>
          <w:lang w:val="fr-FR"/>
        </w:rPr>
        <w:t xml:space="preserve"> </w:t>
      </w:r>
      <w:r w:rsidRPr="00293268">
        <w:rPr>
          <w:lang w:val="fr-FR"/>
        </w:rPr>
        <w:t xml:space="preserve">par une organisation non gouvernementale </w:t>
      </w:r>
      <w:r w:rsidRPr="00CE4990">
        <w:rPr>
          <w:lang w:val="fr-FR"/>
        </w:rPr>
        <w:t xml:space="preserve">dans deux quartiers de Bogota </w:t>
      </w:r>
      <w:r w:rsidRPr="00293268">
        <w:rPr>
          <w:lang w:val="fr-FR"/>
        </w:rPr>
        <w:t>a révélé que les «</w:t>
      </w:r>
      <w:r w:rsidR="00950FA8">
        <w:rPr>
          <w:lang w:val="fr-FR"/>
        </w:rPr>
        <w:t> </w:t>
      </w:r>
      <w:r w:rsidRPr="00293268">
        <w:rPr>
          <w:lang w:val="fr-FR"/>
        </w:rPr>
        <w:t>personnes au teint foncé</w:t>
      </w:r>
      <w:r w:rsidR="00950FA8">
        <w:rPr>
          <w:lang w:val="fr-FR"/>
        </w:rPr>
        <w:t> </w:t>
      </w:r>
      <w:r w:rsidRPr="00293268">
        <w:rPr>
          <w:lang w:val="fr-FR"/>
        </w:rPr>
        <w:t xml:space="preserve">» </w:t>
      </w:r>
      <w:r>
        <w:rPr>
          <w:lang w:val="fr-FR"/>
        </w:rPr>
        <w:t>avaien</w:t>
      </w:r>
      <w:r w:rsidRPr="00293268">
        <w:rPr>
          <w:lang w:val="fr-FR"/>
        </w:rPr>
        <w:t>t 2,5</w:t>
      </w:r>
      <w:r w:rsidR="00950FA8">
        <w:rPr>
          <w:lang w:val="fr-FR"/>
        </w:rPr>
        <w:t> </w:t>
      </w:r>
      <w:r w:rsidRPr="00293268">
        <w:rPr>
          <w:lang w:val="fr-FR"/>
        </w:rPr>
        <w:t xml:space="preserve">fois plus de </w:t>
      </w:r>
      <w:r>
        <w:rPr>
          <w:lang w:val="fr-FR"/>
        </w:rPr>
        <w:t>probabilité</w:t>
      </w:r>
      <w:r w:rsidRPr="00293268">
        <w:rPr>
          <w:lang w:val="fr-FR"/>
        </w:rPr>
        <w:t xml:space="preserve"> </w:t>
      </w:r>
      <w:r>
        <w:rPr>
          <w:lang w:val="fr-FR"/>
        </w:rPr>
        <w:t>d’être interpellées</w:t>
      </w:r>
      <w:r w:rsidRPr="00293268">
        <w:rPr>
          <w:lang w:val="fr-FR"/>
        </w:rPr>
        <w:t>, arrêtées, verbalisées ou fouillées</w:t>
      </w:r>
      <w:r w:rsidRPr="00DF4EA0">
        <w:rPr>
          <w:lang w:val="fr-FR"/>
        </w:rPr>
        <w:t xml:space="preserve"> </w:t>
      </w:r>
      <w:r w:rsidRPr="00267D27">
        <w:rPr>
          <w:lang w:val="fr-FR"/>
        </w:rPr>
        <w:t>par la police</w:t>
      </w:r>
      <w:r w:rsidRPr="00CD6B67">
        <w:rPr>
          <w:rStyle w:val="FootnoteReference"/>
        </w:rPr>
        <w:footnoteReference w:id="243"/>
      </w:r>
      <w:r w:rsidRPr="00293268">
        <w:rPr>
          <w:lang w:val="fr-FR"/>
        </w:rPr>
        <w:t>. En</w:t>
      </w:r>
      <w:r w:rsidR="00950FA8">
        <w:rPr>
          <w:lang w:val="fr-FR"/>
        </w:rPr>
        <w:t> </w:t>
      </w:r>
      <w:r w:rsidRPr="00293268">
        <w:rPr>
          <w:lang w:val="fr-FR"/>
        </w:rPr>
        <w:t xml:space="preserve">Guyane, </w:t>
      </w:r>
      <w:r w:rsidRPr="008E3A89">
        <w:rPr>
          <w:lang w:val="fr-FR"/>
        </w:rPr>
        <w:t>25</w:t>
      </w:r>
      <w:r w:rsidR="00E53DDC">
        <w:rPr>
          <w:lang w:val="fr-FR"/>
        </w:rPr>
        <w:t> %</w:t>
      </w:r>
      <w:r w:rsidRPr="008E3A89">
        <w:rPr>
          <w:lang w:val="fr-FR"/>
        </w:rPr>
        <w:t xml:space="preserve"> des personnes interrogées dans le cadre d</w:t>
      </w:r>
      <w:r>
        <w:rPr>
          <w:lang w:val="fr-FR"/>
        </w:rPr>
        <w:t>’</w:t>
      </w:r>
      <w:r w:rsidRPr="008E3A89">
        <w:rPr>
          <w:lang w:val="fr-FR"/>
        </w:rPr>
        <w:t xml:space="preserve">une enquête menée </w:t>
      </w:r>
      <w:r>
        <w:rPr>
          <w:lang w:val="fr-FR"/>
        </w:rPr>
        <w:t xml:space="preserve">en 2020 </w:t>
      </w:r>
      <w:r w:rsidRPr="008E3A89">
        <w:rPr>
          <w:lang w:val="fr-FR"/>
        </w:rPr>
        <w:t xml:space="preserve">par une organisation non gouvernementale auprès </w:t>
      </w:r>
      <w:r>
        <w:rPr>
          <w:lang w:val="fr-FR"/>
        </w:rPr>
        <w:t>de la population</w:t>
      </w:r>
      <w:r w:rsidRPr="008E3A89">
        <w:rPr>
          <w:lang w:val="fr-FR"/>
        </w:rPr>
        <w:t xml:space="preserve"> afr</w:t>
      </w:r>
      <w:r>
        <w:rPr>
          <w:lang w:val="fr-FR"/>
        </w:rPr>
        <w:t>o-</w:t>
      </w:r>
      <w:r w:rsidRPr="008E3A89">
        <w:rPr>
          <w:lang w:val="fr-FR"/>
        </w:rPr>
        <w:t xml:space="preserve">guyanaise ont </w:t>
      </w:r>
      <w:r>
        <w:rPr>
          <w:lang w:val="fr-FR"/>
        </w:rPr>
        <w:t>indiqué</w:t>
      </w:r>
      <w:r w:rsidRPr="008E3A89">
        <w:rPr>
          <w:lang w:val="fr-FR"/>
        </w:rPr>
        <w:t xml:space="preserve"> avoir le sentiment d</w:t>
      </w:r>
      <w:r>
        <w:rPr>
          <w:lang w:val="fr-FR"/>
        </w:rPr>
        <w:t>’</w:t>
      </w:r>
      <w:r w:rsidRPr="008E3A89">
        <w:rPr>
          <w:lang w:val="fr-FR"/>
        </w:rPr>
        <w:t>être victimes de profilage racial de la part des forces de l</w:t>
      </w:r>
      <w:r>
        <w:rPr>
          <w:lang w:val="fr-FR"/>
        </w:rPr>
        <w:t>’</w:t>
      </w:r>
      <w:r w:rsidRPr="008E3A89">
        <w:rPr>
          <w:lang w:val="fr-FR"/>
        </w:rPr>
        <w:t>ordre, notamment lors d</w:t>
      </w:r>
      <w:r>
        <w:rPr>
          <w:lang w:val="fr-FR"/>
        </w:rPr>
        <w:t>’interpella</w:t>
      </w:r>
      <w:r w:rsidRPr="008E3A89">
        <w:rPr>
          <w:lang w:val="fr-FR"/>
        </w:rPr>
        <w:t>tions</w:t>
      </w:r>
      <w:r w:rsidRPr="00CD6B67">
        <w:rPr>
          <w:rStyle w:val="FootnoteReference"/>
        </w:rPr>
        <w:footnoteReference w:id="244"/>
      </w:r>
      <w:r>
        <w:rPr>
          <w:lang w:val="fr-FR"/>
        </w:rPr>
        <w:t xml:space="preserve">. </w:t>
      </w:r>
      <w:r w:rsidRPr="00293268">
        <w:rPr>
          <w:lang w:val="fr-FR"/>
        </w:rPr>
        <w:t xml:space="preserve">Aux États-Unis, selon diverses </w:t>
      </w:r>
      <w:r w:rsidRPr="00267D27">
        <w:rPr>
          <w:lang w:val="fr-FR"/>
        </w:rPr>
        <w:t>communications,</w:t>
      </w:r>
      <w:r w:rsidRPr="00293268">
        <w:rPr>
          <w:lang w:val="fr-FR"/>
        </w:rPr>
        <w:t xml:space="preserve"> </w:t>
      </w:r>
      <w:r w:rsidRPr="002555D8">
        <w:rPr>
          <w:lang w:val="fr-FR"/>
        </w:rPr>
        <w:t xml:space="preserve">les travailleurs du sexe noirs constituent parfois la majorité écrasante des personnes arrêtées en </w:t>
      </w:r>
      <w:r>
        <w:rPr>
          <w:lang w:val="fr-FR"/>
        </w:rPr>
        <w:t>application</w:t>
      </w:r>
      <w:r w:rsidRPr="002555D8">
        <w:rPr>
          <w:lang w:val="fr-FR"/>
        </w:rPr>
        <w:t xml:space="preserve"> des lois sur le vagabondage et la lutte contre la prostitution (dans certains cas,</w:t>
      </w:r>
      <w:r>
        <w:rPr>
          <w:lang w:val="fr-FR"/>
        </w:rPr>
        <w:t xml:space="preserve"> cette proportion dépasse les</w:t>
      </w:r>
      <w:r w:rsidRPr="002555D8">
        <w:rPr>
          <w:lang w:val="fr-FR"/>
        </w:rPr>
        <w:t xml:space="preserve"> 90</w:t>
      </w:r>
      <w:r w:rsidR="00E53DDC">
        <w:rPr>
          <w:lang w:val="fr-FR"/>
        </w:rPr>
        <w:t> %</w:t>
      </w:r>
      <w:r w:rsidRPr="002555D8">
        <w:rPr>
          <w:lang w:val="fr-FR"/>
        </w:rPr>
        <w:t>)</w:t>
      </w:r>
      <w:r w:rsidRPr="00CD6B67">
        <w:rPr>
          <w:rStyle w:val="FootnoteReference"/>
        </w:rPr>
        <w:footnoteReference w:id="245"/>
      </w:r>
      <w:r>
        <w:rPr>
          <w:lang w:val="fr-FR"/>
        </w:rPr>
        <w:t>.</w:t>
      </w:r>
    </w:p>
    <w:p w14:paraId="47030138" w14:textId="77777777" w:rsidR="00865E37" w:rsidRPr="00293268" w:rsidRDefault="00865E37" w:rsidP="00865E37">
      <w:pPr>
        <w:pStyle w:val="SingleTxtG"/>
        <w:rPr>
          <w:lang w:val="fr-FR"/>
        </w:rPr>
      </w:pPr>
      <w:r w:rsidRPr="00293268">
        <w:rPr>
          <w:lang w:val="fr-FR"/>
        </w:rPr>
        <w:t>87.</w:t>
      </w:r>
      <w:r w:rsidRPr="00293268">
        <w:rPr>
          <w:lang w:val="fr-FR"/>
        </w:rPr>
        <w:tab/>
      </w:r>
      <w:r>
        <w:rPr>
          <w:lang w:val="fr-FR"/>
        </w:rPr>
        <w:t>D</w:t>
      </w:r>
      <w:r w:rsidRPr="003D4AF6">
        <w:rPr>
          <w:lang w:val="fr-FR"/>
        </w:rPr>
        <w:t>ans le contexte des confinements dus à la COVID-19, une augmentation des arrestations et des fouilles fondées sur le profilage racial a été signalée</w:t>
      </w:r>
      <w:r w:rsidRPr="00DF4EA0">
        <w:rPr>
          <w:lang w:val="fr-FR"/>
        </w:rPr>
        <w:t xml:space="preserve"> </w:t>
      </w:r>
      <w:r w:rsidRPr="005A656F">
        <w:rPr>
          <w:lang w:val="fr-FR"/>
        </w:rPr>
        <w:t>dans certains États,</w:t>
      </w:r>
      <w:r w:rsidRPr="003D4AF6">
        <w:rPr>
          <w:lang w:val="fr-FR"/>
        </w:rPr>
        <w:t xml:space="preserve"> </w:t>
      </w:r>
      <w:r>
        <w:rPr>
          <w:lang w:val="fr-FR"/>
        </w:rPr>
        <w:t xml:space="preserve">de même </w:t>
      </w:r>
      <w:r w:rsidRPr="003D4AF6">
        <w:rPr>
          <w:lang w:val="fr-FR"/>
        </w:rPr>
        <w:t>que l</w:t>
      </w:r>
      <w:r>
        <w:rPr>
          <w:lang w:val="fr-FR"/>
        </w:rPr>
        <w:t>’</w:t>
      </w:r>
      <w:r w:rsidRPr="003D4AF6">
        <w:rPr>
          <w:lang w:val="fr-FR"/>
        </w:rPr>
        <w:t>imposition d</w:t>
      </w:r>
      <w:r>
        <w:rPr>
          <w:lang w:val="fr-FR"/>
        </w:rPr>
        <w:t>’</w:t>
      </w:r>
      <w:r w:rsidRPr="003D4AF6">
        <w:rPr>
          <w:lang w:val="fr-FR"/>
        </w:rPr>
        <w:t>amendes frappant de manière disproportionnée les personnes d</w:t>
      </w:r>
      <w:r>
        <w:rPr>
          <w:lang w:val="fr-FR"/>
        </w:rPr>
        <w:t>’ascendance</w:t>
      </w:r>
      <w:r w:rsidRPr="003D4AF6">
        <w:rPr>
          <w:lang w:val="fr-FR"/>
        </w:rPr>
        <w:t xml:space="preserve"> africaine</w:t>
      </w:r>
      <w:r w:rsidRPr="00CD6B67">
        <w:rPr>
          <w:rStyle w:val="FootnoteReference"/>
        </w:rPr>
        <w:footnoteReference w:id="246"/>
      </w:r>
      <w:r>
        <w:rPr>
          <w:lang w:val="fr-FR"/>
        </w:rPr>
        <w:t xml:space="preserve"> et l’application</w:t>
      </w:r>
      <w:r w:rsidRPr="00E515AA">
        <w:rPr>
          <w:lang w:val="fr-FR"/>
        </w:rPr>
        <w:t xml:space="preserve"> discrétionnaire de </w:t>
      </w:r>
      <w:r>
        <w:rPr>
          <w:lang w:val="fr-FR"/>
        </w:rPr>
        <w:t>restrictions</w:t>
      </w:r>
      <w:r w:rsidRPr="00E515AA">
        <w:rPr>
          <w:lang w:val="fr-FR"/>
        </w:rPr>
        <w:t xml:space="preserve"> </w:t>
      </w:r>
      <w:r>
        <w:rPr>
          <w:lang w:val="fr-FR"/>
        </w:rPr>
        <w:t>visant les</w:t>
      </w:r>
      <w:r w:rsidRPr="00E515AA">
        <w:rPr>
          <w:lang w:val="fr-FR"/>
        </w:rPr>
        <w:t xml:space="preserve"> personnes LGBTI d</w:t>
      </w:r>
      <w:r>
        <w:rPr>
          <w:lang w:val="fr-FR"/>
        </w:rPr>
        <w:t>’</w:t>
      </w:r>
      <w:r w:rsidRPr="00E515AA">
        <w:rPr>
          <w:lang w:val="fr-FR"/>
        </w:rPr>
        <w:t>ascendance africaine</w:t>
      </w:r>
      <w:r w:rsidRPr="00CD6B67">
        <w:rPr>
          <w:rStyle w:val="FootnoteReference"/>
        </w:rPr>
        <w:footnoteReference w:id="247"/>
      </w:r>
      <w:r>
        <w:rPr>
          <w:lang w:val="fr-FR"/>
        </w:rPr>
        <w:t>.</w:t>
      </w:r>
    </w:p>
    <w:p w14:paraId="595294E3" w14:textId="77777777" w:rsidR="00865E37" w:rsidRPr="00293268" w:rsidRDefault="00865E37" w:rsidP="00865E37">
      <w:pPr>
        <w:pStyle w:val="SingleTxtG"/>
        <w:rPr>
          <w:lang w:val="fr-FR"/>
        </w:rPr>
      </w:pPr>
      <w:r w:rsidRPr="00293268">
        <w:rPr>
          <w:lang w:val="fr-FR"/>
        </w:rPr>
        <w:t>88.</w:t>
      </w:r>
      <w:r w:rsidRPr="00293268">
        <w:rPr>
          <w:lang w:val="fr-FR"/>
        </w:rPr>
        <w:tab/>
      </w:r>
      <w:r>
        <w:rPr>
          <w:lang w:val="fr-FR"/>
        </w:rPr>
        <w:t>Dans certains États, l</w:t>
      </w:r>
      <w:r w:rsidRPr="00010DA0">
        <w:rPr>
          <w:lang w:val="fr-FR"/>
        </w:rPr>
        <w:t>a présence</w:t>
      </w:r>
      <w:r>
        <w:rPr>
          <w:lang w:val="fr-FR"/>
        </w:rPr>
        <w:t xml:space="preserve"> </w:t>
      </w:r>
      <w:r w:rsidRPr="00010DA0">
        <w:rPr>
          <w:lang w:val="fr-FR"/>
        </w:rPr>
        <w:t xml:space="preserve">dans les écoles </w:t>
      </w:r>
      <w:r>
        <w:rPr>
          <w:lang w:val="fr-FR"/>
        </w:rPr>
        <w:t>de policiers</w:t>
      </w:r>
      <w:r w:rsidRPr="00010DA0">
        <w:rPr>
          <w:lang w:val="fr-FR"/>
        </w:rPr>
        <w:t xml:space="preserve"> habilités à appréhender, fouiller et arrêter les élèves d</w:t>
      </w:r>
      <w:r>
        <w:rPr>
          <w:lang w:val="fr-FR"/>
        </w:rPr>
        <w:t>’</w:t>
      </w:r>
      <w:r w:rsidRPr="00010DA0">
        <w:rPr>
          <w:lang w:val="fr-FR"/>
        </w:rPr>
        <w:t>ascendance africaine a conduit à une criminalisation croissante de ces enfants</w:t>
      </w:r>
      <w:r w:rsidRPr="00CD6B67">
        <w:rPr>
          <w:rStyle w:val="FootnoteReference"/>
        </w:rPr>
        <w:footnoteReference w:id="248"/>
      </w:r>
      <w:r>
        <w:rPr>
          <w:lang w:val="fr-FR"/>
        </w:rPr>
        <w:t>.</w:t>
      </w:r>
      <w:r w:rsidRPr="00293268">
        <w:rPr>
          <w:lang w:val="fr-FR"/>
        </w:rPr>
        <w:t xml:space="preserve"> </w:t>
      </w:r>
      <w:r>
        <w:rPr>
          <w:lang w:val="fr-FR"/>
        </w:rPr>
        <w:t>Ainsi</w:t>
      </w:r>
      <w:r w:rsidRPr="00140A2E">
        <w:rPr>
          <w:lang w:val="fr-FR"/>
        </w:rPr>
        <w:t>, les données de Bureau des droits civils du Ministère de l</w:t>
      </w:r>
      <w:r>
        <w:rPr>
          <w:lang w:val="fr-FR"/>
        </w:rPr>
        <w:t>’</w:t>
      </w:r>
      <w:r w:rsidRPr="00140A2E">
        <w:rPr>
          <w:lang w:val="fr-FR"/>
        </w:rPr>
        <w:t xml:space="preserve">éducation des États-Unis montrent que les enfants afro-américains sont </w:t>
      </w:r>
      <w:r>
        <w:rPr>
          <w:lang w:val="fr-FR"/>
        </w:rPr>
        <w:t>considérablement plus nombreux à être</w:t>
      </w:r>
      <w:r w:rsidRPr="00140A2E">
        <w:rPr>
          <w:lang w:val="fr-FR"/>
        </w:rPr>
        <w:t xml:space="preserve"> expulsés, suspendus</w:t>
      </w:r>
      <w:r>
        <w:rPr>
          <w:lang w:val="fr-FR"/>
        </w:rPr>
        <w:t>,</w:t>
      </w:r>
      <w:r w:rsidRPr="00140A2E">
        <w:rPr>
          <w:lang w:val="fr-FR"/>
        </w:rPr>
        <w:t xml:space="preserve"> renvoyés devant les forces de l</w:t>
      </w:r>
      <w:r>
        <w:rPr>
          <w:lang w:val="fr-FR"/>
        </w:rPr>
        <w:t>’</w:t>
      </w:r>
      <w:r w:rsidRPr="00140A2E">
        <w:rPr>
          <w:lang w:val="fr-FR"/>
        </w:rPr>
        <w:t>ordre et placés en état d</w:t>
      </w:r>
      <w:r>
        <w:rPr>
          <w:lang w:val="fr-FR"/>
        </w:rPr>
        <w:t>’</w:t>
      </w:r>
      <w:r w:rsidRPr="00140A2E">
        <w:rPr>
          <w:lang w:val="fr-FR"/>
        </w:rPr>
        <w:t>arrestation</w:t>
      </w:r>
      <w:r w:rsidRPr="00CD6B67">
        <w:rPr>
          <w:rStyle w:val="FootnoteReference"/>
        </w:rPr>
        <w:footnoteReference w:id="249"/>
      </w:r>
      <w:r w:rsidRPr="00293268">
        <w:rPr>
          <w:lang w:val="fr-FR"/>
        </w:rPr>
        <w:t xml:space="preserve"> </w:t>
      </w:r>
      <w:r w:rsidRPr="00DB6470">
        <w:rPr>
          <w:lang w:val="fr-FR"/>
        </w:rPr>
        <w:t>dans le cadre de l</w:t>
      </w:r>
      <w:r>
        <w:rPr>
          <w:lang w:val="fr-FR"/>
        </w:rPr>
        <w:t>’</w:t>
      </w:r>
      <w:r w:rsidRPr="00DB6470">
        <w:rPr>
          <w:lang w:val="fr-FR"/>
        </w:rPr>
        <w:t xml:space="preserve">application de la politique de la tolérance zéro qui </w:t>
      </w:r>
      <w:r>
        <w:rPr>
          <w:lang w:val="fr-FR"/>
        </w:rPr>
        <w:t>incrimine</w:t>
      </w:r>
      <w:r w:rsidRPr="00DB6470">
        <w:rPr>
          <w:lang w:val="fr-FR"/>
        </w:rPr>
        <w:t xml:space="preserve"> les infractions mineures au règlement des écoles</w:t>
      </w:r>
      <w:r w:rsidRPr="00CD6B67">
        <w:rPr>
          <w:rStyle w:val="FootnoteReference"/>
        </w:rPr>
        <w:footnoteReference w:id="250"/>
      </w:r>
      <w:r>
        <w:rPr>
          <w:lang w:val="fr-FR"/>
        </w:rPr>
        <w:t>.</w:t>
      </w:r>
      <w:r w:rsidRPr="00293268">
        <w:rPr>
          <w:lang w:val="fr-FR"/>
        </w:rPr>
        <w:t xml:space="preserve"> </w:t>
      </w:r>
      <w:r w:rsidRPr="000029DA">
        <w:rPr>
          <w:lang w:val="fr-FR"/>
        </w:rPr>
        <w:t>En outre, les données officielles ont montré que, pour l</w:t>
      </w:r>
      <w:r>
        <w:rPr>
          <w:lang w:val="fr-FR"/>
        </w:rPr>
        <w:t>’</w:t>
      </w:r>
      <w:r w:rsidRPr="000029DA">
        <w:rPr>
          <w:lang w:val="fr-FR"/>
        </w:rPr>
        <w:t xml:space="preserve">année clôturée en mars 2019 en Angleterre et au Pays de Galles, les enfants noirs </w:t>
      </w:r>
      <w:r>
        <w:rPr>
          <w:lang w:val="fr-FR"/>
        </w:rPr>
        <w:t>av</w:t>
      </w:r>
      <w:r w:rsidRPr="000029DA">
        <w:rPr>
          <w:lang w:val="fr-FR"/>
        </w:rPr>
        <w:t xml:space="preserve">aient plus de quatre fois plus </w:t>
      </w:r>
      <w:r>
        <w:rPr>
          <w:lang w:val="fr-FR"/>
        </w:rPr>
        <w:t xml:space="preserve">de probabilité </w:t>
      </w:r>
      <w:r w:rsidRPr="000029DA">
        <w:rPr>
          <w:lang w:val="fr-FR"/>
        </w:rPr>
        <w:t>d</w:t>
      </w:r>
      <w:r>
        <w:rPr>
          <w:lang w:val="fr-FR"/>
        </w:rPr>
        <w:t>’</w:t>
      </w:r>
      <w:r w:rsidRPr="000029DA">
        <w:rPr>
          <w:lang w:val="fr-FR"/>
        </w:rPr>
        <w:t>être arrêtés que les enfants blancs</w:t>
      </w:r>
      <w:r w:rsidRPr="00CD6B67">
        <w:rPr>
          <w:rStyle w:val="FootnoteReference"/>
        </w:rPr>
        <w:footnoteReference w:id="251"/>
      </w:r>
      <w:r>
        <w:rPr>
          <w:lang w:val="fr-FR"/>
        </w:rPr>
        <w:t>.</w:t>
      </w:r>
    </w:p>
    <w:p w14:paraId="5026B69C" w14:textId="6F821786" w:rsidR="00865E37" w:rsidRPr="00293268" w:rsidRDefault="00865E37" w:rsidP="00865E37">
      <w:pPr>
        <w:pStyle w:val="SingleTxtG"/>
        <w:rPr>
          <w:lang w:val="fr-FR"/>
        </w:rPr>
      </w:pPr>
      <w:r w:rsidRPr="00293268">
        <w:rPr>
          <w:lang w:val="fr-FR"/>
        </w:rPr>
        <w:t>89.</w:t>
      </w:r>
      <w:r w:rsidRPr="00293268">
        <w:rPr>
          <w:lang w:val="fr-FR"/>
        </w:rPr>
        <w:tab/>
      </w:r>
      <w:r w:rsidRPr="008802D4">
        <w:rPr>
          <w:lang w:val="fr-FR"/>
        </w:rPr>
        <w:t>En outre, les lois et les pratiques comme celles autorisant la confiscation des biens sans condamnation pénale peuvent créer des incitations économiques au profilage racial et à d</w:t>
      </w:r>
      <w:r>
        <w:rPr>
          <w:lang w:val="fr-FR"/>
        </w:rPr>
        <w:t>’</w:t>
      </w:r>
      <w:r w:rsidRPr="008802D4">
        <w:rPr>
          <w:lang w:val="fr-FR"/>
        </w:rPr>
        <w:t>autres pratiques discriminatoires parmi les populations vulnérables</w:t>
      </w:r>
      <w:r w:rsidRPr="00CD6B67">
        <w:rPr>
          <w:rStyle w:val="FootnoteReference"/>
        </w:rPr>
        <w:footnoteReference w:id="252"/>
      </w:r>
      <w:r>
        <w:rPr>
          <w:lang w:val="fr-FR"/>
        </w:rPr>
        <w:t>.</w:t>
      </w:r>
      <w:r w:rsidRPr="00293268">
        <w:rPr>
          <w:lang w:val="fr-FR"/>
        </w:rPr>
        <w:t xml:space="preserve"> </w:t>
      </w:r>
      <w:r w:rsidRPr="00134909">
        <w:rPr>
          <w:lang w:val="fr-FR"/>
        </w:rPr>
        <w:t xml:space="preserve">Dans son enquête sur </w:t>
      </w:r>
      <w:r>
        <w:rPr>
          <w:lang w:val="fr-FR"/>
        </w:rPr>
        <w:t xml:space="preserve">la mort </w:t>
      </w:r>
      <w:r w:rsidRPr="00134909">
        <w:rPr>
          <w:lang w:val="fr-FR"/>
        </w:rPr>
        <w:t xml:space="preserve">de Michael Brown </w:t>
      </w:r>
      <w:r>
        <w:rPr>
          <w:lang w:val="fr-FR"/>
        </w:rPr>
        <w:t>sous les coups de</w:t>
      </w:r>
      <w:r w:rsidRPr="00134909">
        <w:rPr>
          <w:lang w:val="fr-FR"/>
        </w:rPr>
        <w:t xml:space="preserve"> la police en 2014, le Ministère de la justice des États-Unis a jugé préoccupant le fait que les forces de police de Fergusson, dans le Missouri, se </w:t>
      </w:r>
      <w:r>
        <w:rPr>
          <w:lang w:val="fr-FR"/>
        </w:rPr>
        <w:t>préoccupent davantage de générer des recettes que de répondre</w:t>
      </w:r>
      <w:r w:rsidRPr="00134909">
        <w:rPr>
          <w:lang w:val="fr-FR"/>
        </w:rPr>
        <w:t xml:space="preserve"> aux besoins de sécurité publique</w:t>
      </w:r>
      <w:r w:rsidRPr="00293268">
        <w:rPr>
          <w:lang w:val="fr-FR"/>
        </w:rPr>
        <w:t xml:space="preserve">. </w:t>
      </w:r>
      <w:r w:rsidRPr="007536AD">
        <w:rPr>
          <w:lang w:val="fr-FR"/>
        </w:rPr>
        <w:t>Le rapport d</w:t>
      </w:r>
      <w:r>
        <w:rPr>
          <w:lang w:val="fr-FR"/>
        </w:rPr>
        <w:t>’</w:t>
      </w:r>
      <w:r w:rsidRPr="007536AD">
        <w:rPr>
          <w:lang w:val="fr-FR"/>
        </w:rPr>
        <w:t>enquête a également noté que la convergence entre le maintien de l</w:t>
      </w:r>
      <w:r>
        <w:rPr>
          <w:lang w:val="fr-FR"/>
        </w:rPr>
        <w:t>’</w:t>
      </w:r>
      <w:r w:rsidRPr="007536AD">
        <w:rPr>
          <w:lang w:val="fr-FR"/>
        </w:rPr>
        <w:t>ordre dans une optique d</w:t>
      </w:r>
      <w:r>
        <w:rPr>
          <w:lang w:val="fr-FR"/>
        </w:rPr>
        <w:t>’</w:t>
      </w:r>
      <w:r w:rsidRPr="007536AD">
        <w:rPr>
          <w:lang w:val="fr-FR"/>
        </w:rPr>
        <w:t>augmentation des recettes et les préjugés raciaux a causé des préjudices directs aux individus et sap</w:t>
      </w:r>
      <w:r>
        <w:rPr>
          <w:lang w:val="fr-FR"/>
        </w:rPr>
        <w:t>é</w:t>
      </w:r>
      <w:r w:rsidRPr="007536AD">
        <w:rPr>
          <w:lang w:val="fr-FR"/>
        </w:rPr>
        <w:t xml:space="preserve"> la confiance de nombreux Afro</w:t>
      </w:r>
      <w:r w:rsidR="00021576">
        <w:rPr>
          <w:lang w:val="fr-FR"/>
        </w:rPr>
        <w:noBreakHyphen/>
      </w:r>
      <w:r w:rsidRPr="007536AD">
        <w:rPr>
          <w:lang w:val="fr-FR"/>
        </w:rPr>
        <w:t>Américains</w:t>
      </w:r>
      <w:r w:rsidRPr="00CD6B67">
        <w:rPr>
          <w:rStyle w:val="FootnoteReference"/>
        </w:rPr>
        <w:footnoteReference w:id="253"/>
      </w:r>
      <w:r>
        <w:rPr>
          <w:lang w:val="fr-FR"/>
        </w:rPr>
        <w:t>.</w:t>
      </w:r>
      <w:r w:rsidRPr="00293268">
        <w:rPr>
          <w:lang w:val="fr-FR"/>
        </w:rPr>
        <w:t xml:space="preserve"> </w:t>
      </w:r>
      <w:r w:rsidRPr="00E35C13">
        <w:rPr>
          <w:lang w:val="fr-FR"/>
        </w:rPr>
        <w:t>Parmi les autres incitations signalées figurent les quotas d</w:t>
      </w:r>
      <w:r>
        <w:rPr>
          <w:lang w:val="fr-FR"/>
        </w:rPr>
        <w:t>’</w:t>
      </w:r>
      <w:r w:rsidRPr="00E35C13">
        <w:rPr>
          <w:lang w:val="fr-FR"/>
        </w:rPr>
        <w:t>arrestations ou les objectifs de performance en matière d</w:t>
      </w:r>
      <w:r>
        <w:rPr>
          <w:lang w:val="fr-FR"/>
        </w:rPr>
        <w:t>’</w:t>
      </w:r>
      <w:r w:rsidRPr="00E35C13">
        <w:rPr>
          <w:lang w:val="fr-FR"/>
        </w:rPr>
        <w:t>interpellations et de fouilles</w:t>
      </w:r>
      <w:r w:rsidRPr="00CD6B67">
        <w:rPr>
          <w:rStyle w:val="FootnoteReference"/>
        </w:rPr>
        <w:footnoteReference w:id="254"/>
      </w:r>
      <w:r>
        <w:rPr>
          <w:lang w:val="fr-FR"/>
        </w:rPr>
        <w:t>.</w:t>
      </w:r>
    </w:p>
    <w:p w14:paraId="783858F5" w14:textId="3EDAC233" w:rsidR="00865E37" w:rsidRPr="00293268" w:rsidRDefault="00865E37" w:rsidP="00865E37">
      <w:pPr>
        <w:pStyle w:val="SingleTxtG"/>
        <w:rPr>
          <w:lang w:val="fr-FR"/>
        </w:rPr>
      </w:pPr>
      <w:r w:rsidRPr="00293268">
        <w:rPr>
          <w:lang w:val="fr-FR"/>
        </w:rPr>
        <w:t>90.</w:t>
      </w:r>
      <w:r w:rsidRPr="00293268">
        <w:rPr>
          <w:lang w:val="fr-FR"/>
        </w:rPr>
        <w:tab/>
      </w:r>
      <w:r w:rsidRPr="007B32B5">
        <w:rPr>
          <w:lang w:val="fr-FR"/>
        </w:rPr>
        <w:t>Comme indiqué ci-dessus, des stéréotypes préjudiciables ont également façonné les relations entre</w:t>
      </w:r>
      <w:r w:rsidR="00021576">
        <w:rPr>
          <w:lang w:val="fr-FR"/>
        </w:rPr>
        <w:t>,</w:t>
      </w:r>
      <w:r w:rsidRPr="007B32B5">
        <w:rPr>
          <w:lang w:val="fr-FR"/>
        </w:rPr>
        <w:t xml:space="preserve"> </w:t>
      </w:r>
      <w:r>
        <w:rPr>
          <w:lang w:val="fr-FR"/>
        </w:rPr>
        <w:t xml:space="preserve">d’une part, </w:t>
      </w:r>
      <w:r w:rsidRPr="007B32B5">
        <w:rPr>
          <w:lang w:val="fr-FR"/>
        </w:rPr>
        <w:t>les Africains et personnes d</w:t>
      </w:r>
      <w:r>
        <w:rPr>
          <w:lang w:val="fr-FR"/>
        </w:rPr>
        <w:t>’</w:t>
      </w:r>
      <w:r w:rsidRPr="007B32B5">
        <w:rPr>
          <w:lang w:val="fr-FR"/>
        </w:rPr>
        <w:t>ascendance africaine et</w:t>
      </w:r>
      <w:r w:rsidR="00021576">
        <w:rPr>
          <w:lang w:val="fr-FR"/>
        </w:rPr>
        <w:t>,</w:t>
      </w:r>
      <w:r w:rsidRPr="007B32B5">
        <w:rPr>
          <w:lang w:val="fr-FR"/>
        </w:rPr>
        <w:t xml:space="preserve"> </w:t>
      </w:r>
      <w:r>
        <w:rPr>
          <w:lang w:val="fr-FR"/>
        </w:rPr>
        <w:t xml:space="preserve">d’autre part, </w:t>
      </w:r>
      <w:r w:rsidRPr="007B32B5">
        <w:rPr>
          <w:lang w:val="fr-FR"/>
        </w:rPr>
        <w:t>les forces de l</w:t>
      </w:r>
      <w:r>
        <w:rPr>
          <w:lang w:val="fr-FR"/>
        </w:rPr>
        <w:t>’</w:t>
      </w:r>
      <w:r w:rsidRPr="007B32B5">
        <w:rPr>
          <w:lang w:val="fr-FR"/>
        </w:rPr>
        <w:t>ordre et le système de justice pénale</w:t>
      </w:r>
      <w:r w:rsidRPr="00CD6B67">
        <w:rPr>
          <w:rStyle w:val="FootnoteReference"/>
        </w:rPr>
        <w:footnoteReference w:id="255"/>
      </w:r>
      <w:r>
        <w:rPr>
          <w:lang w:val="fr-FR"/>
        </w:rPr>
        <w:t>.</w:t>
      </w:r>
      <w:r w:rsidRPr="00293268">
        <w:rPr>
          <w:lang w:val="fr-FR"/>
        </w:rPr>
        <w:t xml:space="preserve"> </w:t>
      </w:r>
      <w:r w:rsidRPr="00FA6BBD">
        <w:rPr>
          <w:lang w:val="fr-FR"/>
        </w:rPr>
        <w:t>Le Groupe de travail d</w:t>
      </w:r>
      <w:r>
        <w:rPr>
          <w:lang w:val="fr-FR"/>
        </w:rPr>
        <w:t>’</w:t>
      </w:r>
      <w:r w:rsidRPr="00FA6BBD">
        <w:rPr>
          <w:lang w:val="fr-FR"/>
        </w:rPr>
        <w:t>experts sur les personnes d</w:t>
      </w:r>
      <w:r>
        <w:rPr>
          <w:lang w:val="fr-FR"/>
        </w:rPr>
        <w:t>’</w:t>
      </w:r>
      <w:r w:rsidRPr="00FA6BBD">
        <w:rPr>
          <w:lang w:val="fr-FR"/>
        </w:rPr>
        <w:t xml:space="preserve">ascendance africaine a souligné que les disparités raciales </w:t>
      </w:r>
      <w:r>
        <w:rPr>
          <w:lang w:val="fr-FR"/>
        </w:rPr>
        <w:t>profondément ancrées</w:t>
      </w:r>
      <w:r w:rsidRPr="00FA6BBD">
        <w:rPr>
          <w:lang w:val="fr-FR"/>
        </w:rPr>
        <w:t xml:space="preserve"> dans le système de justice pénale </w:t>
      </w:r>
      <w:r>
        <w:rPr>
          <w:lang w:val="fr-FR"/>
        </w:rPr>
        <w:t>« sont le reflet</w:t>
      </w:r>
      <w:r w:rsidRPr="008645E5">
        <w:rPr>
          <w:lang w:val="fr-FR"/>
        </w:rPr>
        <w:t xml:space="preserve"> de stéréotypes nuisibles </w:t>
      </w:r>
      <w:r>
        <w:rPr>
          <w:lang w:val="fr-FR"/>
        </w:rPr>
        <w:t>fondés sur</w:t>
      </w:r>
      <w:r w:rsidRPr="008645E5">
        <w:rPr>
          <w:lang w:val="fr-FR"/>
        </w:rPr>
        <w:t xml:space="preserve"> l</w:t>
      </w:r>
      <w:r>
        <w:rPr>
          <w:lang w:val="fr-FR"/>
        </w:rPr>
        <w:t>’</w:t>
      </w:r>
      <w:r w:rsidRPr="008645E5">
        <w:rPr>
          <w:lang w:val="fr-FR"/>
        </w:rPr>
        <w:t>héritage historique de la traite mondiale des Africains réduits en esclavage</w:t>
      </w:r>
      <w:r>
        <w:rPr>
          <w:lang w:val="fr-FR"/>
        </w:rPr>
        <w:t xml:space="preserve"> et</w:t>
      </w:r>
      <w:r w:rsidRPr="008645E5">
        <w:rPr>
          <w:lang w:val="fr-FR"/>
        </w:rPr>
        <w:t xml:space="preserve"> de la colonisation et </w:t>
      </w:r>
      <w:r>
        <w:rPr>
          <w:lang w:val="fr-FR"/>
        </w:rPr>
        <w:t>sur</w:t>
      </w:r>
      <w:r w:rsidRPr="008645E5">
        <w:rPr>
          <w:lang w:val="fr-FR"/>
        </w:rPr>
        <w:t xml:space="preserve"> la manière dont les récits </w:t>
      </w:r>
      <w:r>
        <w:rPr>
          <w:lang w:val="fr-FR"/>
        </w:rPr>
        <w:t xml:space="preserve">sociaux </w:t>
      </w:r>
      <w:r w:rsidRPr="008645E5">
        <w:rPr>
          <w:lang w:val="fr-FR"/>
        </w:rPr>
        <w:t xml:space="preserve">modernes ont évolué </w:t>
      </w:r>
      <w:r>
        <w:rPr>
          <w:lang w:val="fr-FR"/>
        </w:rPr>
        <w:t>vers une</w:t>
      </w:r>
      <w:r w:rsidRPr="008645E5">
        <w:rPr>
          <w:lang w:val="fr-FR"/>
        </w:rPr>
        <w:t xml:space="preserve"> rhétorique </w:t>
      </w:r>
      <w:r>
        <w:rPr>
          <w:lang w:val="fr-FR"/>
        </w:rPr>
        <w:t>visant</w:t>
      </w:r>
      <w:r w:rsidRPr="008645E5">
        <w:rPr>
          <w:lang w:val="fr-FR"/>
        </w:rPr>
        <w:t xml:space="preserve"> à justifier ces institutions et l</w:t>
      </w:r>
      <w:r>
        <w:rPr>
          <w:lang w:val="fr-FR"/>
        </w:rPr>
        <w:t>’</w:t>
      </w:r>
      <w:r w:rsidRPr="008645E5">
        <w:rPr>
          <w:lang w:val="fr-FR"/>
        </w:rPr>
        <w:t>exploitation des personnes d</w:t>
      </w:r>
      <w:r>
        <w:rPr>
          <w:lang w:val="fr-FR"/>
        </w:rPr>
        <w:t>’</w:t>
      </w:r>
      <w:r w:rsidRPr="008645E5">
        <w:rPr>
          <w:lang w:val="fr-FR"/>
        </w:rPr>
        <w:t>ascendance africaine</w:t>
      </w:r>
      <w:r>
        <w:rPr>
          <w:lang w:val="fr-FR"/>
        </w:rPr>
        <w:t xml:space="preserve"> »</w:t>
      </w:r>
      <w:r w:rsidRPr="00CD6B67">
        <w:rPr>
          <w:rStyle w:val="FootnoteReference"/>
        </w:rPr>
        <w:footnoteReference w:id="256"/>
      </w:r>
      <w:r>
        <w:rPr>
          <w:lang w:val="fr-FR"/>
        </w:rPr>
        <w:t>.</w:t>
      </w:r>
      <w:r w:rsidRPr="00293268" w:rsidDel="00A530CB">
        <w:rPr>
          <w:lang w:val="fr-FR"/>
        </w:rPr>
        <w:t xml:space="preserve"> </w:t>
      </w:r>
      <w:r w:rsidRPr="00804990">
        <w:rPr>
          <w:lang w:val="fr-FR"/>
        </w:rPr>
        <w:t>Selon une étude réalisée en 2021 par l</w:t>
      </w:r>
      <w:r>
        <w:rPr>
          <w:lang w:val="fr-FR"/>
        </w:rPr>
        <w:t>’</w:t>
      </w:r>
      <w:r w:rsidRPr="00804990">
        <w:rPr>
          <w:lang w:val="fr-FR"/>
        </w:rPr>
        <w:t>Université de Chicago sur les directives relatives au recours à la force meurtrière dans les plus grandes villes des 29 pays les plus riches, les préjugés et les stéréotypes raciaux influencent la décision des agents des forces de l</w:t>
      </w:r>
      <w:r>
        <w:rPr>
          <w:lang w:val="fr-FR"/>
        </w:rPr>
        <w:t>’</w:t>
      </w:r>
      <w:r w:rsidRPr="00804990">
        <w:rPr>
          <w:lang w:val="fr-FR"/>
        </w:rPr>
        <w:t>ordre de recourir à la force dans l</w:t>
      </w:r>
      <w:r>
        <w:rPr>
          <w:lang w:val="fr-FR"/>
        </w:rPr>
        <w:t>’</w:t>
      </w:r>
      <w:r w:rsidRPr="00804990">
        <w:rPr>
          <w:lang w:val="fr-FR"/>
        </w:rPr>
        <w:t>exercice de leurs fonctions</w:t>
      </w:r>
      <w:r w:rsidRPr="00CD6B67">
        <w:rPr>
          <w:rStyle w:val="FootnoteReference"/>
        </w:rPr>
        <w:footnoteReference w:id="257"/>
      </w:r>
      <w:r>
        <w:rPr>
          <w:lang w:val="fr-FR"/>
        </w:rPr>
        <w:t>.</w:t>
      </w:r>
    </w:p>
    <w:p w14:paraId="24B9AA7D" w14:textId="5EB63784" w:rsidR="00865E37" w:rsidRPr="00293268" w:rsidRDefault="00865E37" w:rsidP="00865E37">
      <w:pPr>
        <w:pStyle w:val="SingleTxtG"/>
        <w:rPr>
          <w:lang w:val="fr-FR"/>
        </w:rPr>
      </w:pPr>
      <w:r w:rsidRPr="00293268">
        <w:rPr>
          <w:lang w:val="fr-FR"/>
        </w:rPr>
        <w:t>91.</w:t>
      </w:r>
      <w:r w:rsidRPr="00293268">
        <w:rPr>
          <w:lang w:val="fr-FR"/>
        </w:rPr>
        <w:tab/>
      </w:r>
      <w:r w:rsidRPr="002C2C73">
        <w:rPr>
          <w:lang w:val="fr-FR"/>
        </w:rPr>
        <w:t>Certaines organisations de la société civile ont signalé qu</w:t>
      </w:r>
      <w:r>
        <w:rPr>
          <w:lang w:val="fr-FR"/>
        </w:rPr>
        <w:t>’</w:t>
      </w:r>
      <w:r w:rsidRPr="002C2C73">
        <w:rPr>
          <w:lang w:val="fr-FR"/>
        </w:rPr>
        <w:t>aux États-Unis, «</w:t>
      </w:r>
      <w:r w:rsidR="00413EF7">
        <w:rPr>
          <w:lang w:val="fr-FR"/>
        </w:rPr>
        <w:t> </w:t>
      </w:r>
      <w:r w:rsidRPr="002C2C73">
        <w:rPr>
          <w:lang w:val="fr-FR"/>
        </w:rPr>
        <w:t xml:space="preserve">les </w:t>
      </w:r>
      <w:r>
        <w:rPr>
          <w:lang w:val="fr-FR"/>
        </w:rPr>
        <w:t>policiers</w:t>
      </w:r>
      <w:r w:rsidRPr="002C2C73">
        <w:rPr>
          <w:lang w:val="fr-FR"/>
        </w:rPr>
        <w:t xml:space="preserve"> sont plus susceptibles de percevoir à tort les </w:t>
      </w:r>
      <w:r>
        <w:rPr>
          <w:lang w:val="fr-FR"/>
        </w:rPr>
        <w:t>population</w:t>
      </w:r>
      <w:r w:rsidRPr="002C2C73">
        <w:rPr>
          <w:lang w:val="fr-FR"/>
        </w:rPr>
        <w:t>s majoritairement noires comme intrinsèquement dangereuses, menaçantes et violentes en raison de stéréotypes et de préjugés raciaux</w:t>
      </w:r>
      <w:r w:rsidR="00413EF7">
        <w:rPr>
          <w:lang w:val="fr-FR"/>
        </w:rPr>
        <w:t> </w:t>
      </w:r>
      <w:r w:rsidRPr="002C2C73">
        <w:rPr>
          <w:lang w:val="fr-FR"/>
        </w:rPr>
        <w:t>»</w:t>
      </w:r>
      <w:r w:rsidRPr="00CD6B67">
        <w:rPr>
          <w:rStyle w:val="FootnoteReference"/>
        </w:rPr>
        <w:footnoteReference w:id="258"/>
      </w:r>
      <w:r>
        <w:rPr>
          <w:lang w:val="fr-FR"/>
        </w:rPr>
        <w:t>.</w:t>
      </w:r>
      <w:r w:rsidRPr="00293268">
        <w:rPr>
          <w:lang w:val="fr-FR"/>
        </w:rPr>
        <w:t xml:space="preserve"> </w:t>
      </w:r>
      <w:r w:rsidRPr="00E550DA">
        <w:rPr>
          <w:lang w:val="fr-FR"/>
        </w:rPr>
        <w:t xml:space="preserve">En Colombie, selon les informations de la société civile, </w:t>
      </w:r>
      <w:r>
        <w:rPr>
          <w:lang w:val="fr-FR"/>
        </w:rPr>
        <w:t>d</w:t>
      </w:r>
      <w:r w:rsidRPr="00E550DA">
        <w:rPr>
          <w:lang w:val="fr-FR"/>
        </w:rPr>
        <w:t>es femmes d</w:t>
      </w:r>
      <w:r>
        <w:rPr>
          <w:lang w:val="fr-FR"/>
        </w:rPr>
        <w:t>’</w:t>
      </w:r>
      <w:r w:rsidRPr="00E550DA">
        <w:rPr>
          <w:lang w:val="fr-FR"/>
        </w:rPr>
        <w:t xml:space="preserve">ascendance africaine ont signalé </w:t>
      </w:r>
      <w:r>
        <w:rPr>
          <w:lang w:val="fr-FR"/>
        </w:rPr>
        <w:t>avoir été victimes</w:t>
      </w:r>
      <w:r w:rsidRPr="00E550DA">
        <w:rPr>
          <w:lang w:val="fr-FR"/>
        </w:rPr>
        <w:t xml:space="preserve"> de harcèlement sexuel et d</w:t>
      </w:r>
      <w:r>
        <w:rPr>
          <w:lang w:val="fr-FR"/>
        </w:rPr>
        <w:t>’</w:t>
      </w:r>
      <w:r w:rsidRPr="00E550DA">
        <w:rPr>
          <w:lang w:val="fr-FR"/>
        </w:rPr>
        <w:t xml:space="preserve">intimidation verbale de la part </w:t>
      </w:r>
      <w:r>
        <w:rPr>
          <w:lang w:val="fr-FR"/>
        </w:rPr>
        <w:t>de policiers</w:t>
      </w:r>
      <w:r w:rsidRPr="00E550DA">
        <w:rPr>
          <w:lang w:val="fr-FR"/>
        </w:rPr>
        <w:t>, fondés sur des stéréotypes raciaux</w:t>
      </w:r>
      <w:r w:rsidRPr="00CD6B67">
        <w:rPr>
          <w:rStyle w:val="FootnoteReference"/>
        </w:rPr>
        <w:footnoteReference w:id="259"/>
      </w:r>
      <w:r>
        <w:rPr>
          <w:lang w:val="fr-FR"/>
        </w:rPr>
        <w:t>.</w:t>
      </w:r>
      <w:r w:rsidRPr="00293268">
        <w:rPr>
          <w:lang w:val="fr-FR"/>
        </w:rPr>
        <w:t xml:space="preserve"> </w:t>
      </w:r>
      <w:r w:rsidRPr="007F69A8">
        <w:rPr>
          <w:lang w:val="fr-FR"/>
        </w:rPr>
        <w:t>L</w:t>
      </w:r>
      <w:r>
        <w:rPr>
          <w:lang w:val="fr-FR"/>
        </w:rPr>
        <w:t>’</w:t>
      </w:r>
      <w:r w:rsidRPr="007F69A8">
        <w:rPr>
          <w:lang w:val="fr-FR"/>
        </w:rPr>
        <w:t xml:space="preserve">une des préoccupations </w:t>
      </w:r>
      <w:r w:rsidRPr="00B94E49">
        <w:rPr>
          <w:lang w:val="fr-FR"/>
        </w:rPr>
        <w:t xml:space="preserve">souvent </w:t>
      </w:r>
      <w:r w:rsidRPr="007F69A8">
        <w:rPr>
          <w:lang w:val="fr-FR"/>
        </w:rPr>
        <w:t>exprimées</w:t>
      </w:r>
      <w:r w:rsidRPr="00B94E49">
        <w:rPr>
          <w:lang w:val="fr-FR"/>
        </w:rPr>
        <w:t xml:space="preserve"> au cours des consultations </w:t>
      </w:r>
      <w:r>
        <w:rPr>
          <w:lang w:val="fr-FR"/>
        </w:rPr>
        <w:t>était</w:t>
      </w:r>
      <w:r w:rsidRPr="00B94E49">
        <w:rPr>
          <w:lang w:val="fr-FR"/>
        </w:rPr>
        <w:t xml:space="preserve"> </w:t>
      </w:r>
      <w:r>
        <w:rPr>
          <w:lang w:val="fr-FR"/>
        </w:rPr>
        <w:t>la</w:t>
      </w:r>
      <w:r w:rsidRPr="00B94E49">
        <w:rPr>
          <w:lang w:val="fr-FR"/>
        </w:rPr>
        <w:t xml:space="preserve"> surveillance policière </w:t>
      </w:r>
      <w:r>
        <w:rPr>
          <w:lang w:val="fr-FR"/>
        </w:rPr>
        <w:t xml:space="preserve">excessive </w:t>
      </w:r>
      <w:r w:rsidRPr="00B94E49">
        <w:rPr>
          <w:lang w:val="fr-FR"/>
        </w:rPr>
        <w:t xml:space="preserve">à </w:t>
      </w:r>
      <w:r>
        <w:rPr>
          <w:lang w:val="fr-FR"/>
        </w:rPr>
        <w:t xml:space="preserve">laquelle étaient soumises les </w:t>
      </w:r>
      <w:r w:rsidRPr="00145850">
        <w:rPr>
          <w:lang w:val="fr-FR"/>
        </w:rPr>
        <w:t xml:space="preserve">entités et </w:t>
      </w:r>
      <w:r>
        <w:rPr>
          <w:lang w:val="fr-FR"/>
        </w:rPr>
        <w:t>communautés</w:t>
      </w:r>
      <w:r w:rsidRPr="00B94E49">
        <w:rPr>
          <w:lang w:val="fr-FR"/>
        </w:rPr>
        <w:t xml:space="preserve"> noires, ce qui les fai</w:t>
      </w:r>
      <w:r>
        <w:rPr>
          <w:lang w:val="fr-FR"/>
        </w:rPr>
        <w:t>sai</w:t>
      </w:r>
      <w:r w:rsidRPr="00B94E49">
        <w:rPr>
          <w:lang w:val="fr-FR"/>
        </w:rPr>
        <w:t>t se sentir davantage menacées que protégée</w:t>
      </w:r>
      <w:r>
        <w:rPr>
          <w:lang w:val="fr-FR"/>
        </w:rPr>
        <w:t>s</w:t>
      </w:r>
      <w:r w:rsidRPr="00CD6B67">
        <w:rPr>
          <w:rStyle w:val="FootnoteReference"/>
        </w:rPr>
        <w:footnoteReference w:id="260"/>
      </w:r>
      <w:r>
        <w:rPr>
          <w:lang w:val="fr-FR"/>
        </w:rPr>
        <w:t>.</w:t>
      </w:r>
      <w:r w:rsidRPr="00293268">
        <w:rPr>
          <w:lang w:val="fr-FR"/>
        </w:rPr>
        <w:t xml:space="preserve"> </w:t>
      </w:r>
      <w:r w:rsidRPr="006413F5">
        <w:rPr>
          <w:lang w:val="fr-FR"/>
        </w:rPr>
        <w:t>Selon d</w:t>
      </w:r>
      <w:r>
        <w:rPr>
          <w:lang w:val="fr-FR"/>
        </w:rPr>
        <w:t>’</w:t>
      </w:r>
      <w:r w:rsidRPr="006413F5">
        <w:rPr>
          <w:lang w:val="fr-FR"/>
        </w:rPr>
        <w:t xml:space="preserve">autres </w:t>
      </w:r>
      <w:r>
        <w:rPr>
          <w:lang w:val="fr-FR"/>
        </w:rPr>
        <w:t>informations</w:t>
      </w:r>
      <w:r w:rsidRPr="006413F5">
        <w:rPr>
          <w:lang w:val="fr-FR"/>
        </w:rPr>
        <w:t>, dans certains pays, les résidents de quartiers majoritairement peuplés de personnes d</w:t>
      </w:r>
      <w:r>
        <w:rPr>
          <w:lang w:val="fr-FR"/>
        </w:rPr>
        <w:t>’</w:t>
      </w:r>
      <w:r w:rsidRPr="006413F5">
        <w:rPr>
          <w:lang w:val="fr-FR"/>
        </w:rPr>
        <w:t>ascendance africaine ont le sentiment d</w:t>
      </w:r>
      <w:r>
        <w:rPr>
          <w:lang w:val="fr-FR"/>
        </w:rPr>
        <w:t>’</w:t>
      </w:r>
      <w:r w:rsidRPr="006413F5">
        <w:rPr>
          <w:lang w:val="fr-FR"/>
        </w:rPr>
        <w:t xml:space="preserve">être souvent soumis à des tactiques et pratiques policières excessivement agressives et de ne pas bénéficier </w:t>
      </w:r>
      <w:r>
        <w:rPr>
          <w:lang w:val="fr-FR"/>
        </w:rPr>
        <w:t xml:space="preserve">de la même </w:t>
      </w:r>
      <w:r w:rsidRPr="006413F5">
        <w:rPr>
          <w:lang w:val="fr-FR"/>
        </w:rPr>
        <w:t xml:space="preserve">protection policière </w:t>
      </w:r>
      <w:r>
        <w:rPr>
          <w:lang w:val="fr-FR"/>
        </w:rPr>
        <w:t>que les autres</w:t>
      </w:r>
      <w:r w:rsidRPr="006413F5">
        <w:rPr>
          <w:lang w:val="fr-FR"/>
        </w:rPr>
        <w:t xml:space="preserve"> en cas de besoin</w:t>
      </w:r>
      <w:r w:rsidRPr="00CD6B67">
        <w:rPr>
          <w:rStyle w:val="FootnoteReference"/>
        </w:rPr>
        <w:footnoteReference w:id="261"/>
      </w:r>
      <w:r>
        <w:rPr>
          <w:lang w:val="fr-FR"/>
        </w:rPr>
        <w:t>.</w:t>
      </w:r>
    </w:p>
    <w:p w14:paraId="1A32D5AB" w14:textId="2B3BB7D2" w:rsidR="00FD57E1" w:rsidRPr="00293268" w:rsidRDefault="00865E37" w:rsidP="00865E37">
      <w:pPr>
        <w:pStyle w:val="SingleTxtG"/>
        <w:rPr>
          <w:lang w:val="fr-FR"/>
        </w:rPr>
      </w:pPr>
      <w:r w:rsidRPr="00293268">
        <w:rPr>
          <w:lang w:val="fr-FR"/>
        </w:rPr>
        <w:t>92.</w:t>
      </w:r>
      <w:r w:rsidRPr="00293268">
        <w:rPr>
          <w:lang w:val="fr-FR"/>
        </w:rPr>
        <w:tab/>
      </w:r>
      <w:r w:rsidRPr="00843A8B">
        <w:rPr>
          <w:lang w:val="fr-FR"/>
        </w:rPr>
        <w:t>Un autre phénomène inquiétant est la militarisation des forces de l</w:t>
      </w:r>
      <w:r>
        <w:rPr>
          <w:lang w:val="fr-FR"/>
        </w:rPr>
        <w:t>’</w:t>
      </w:r>
      <w:r w:rsidRPr="00843A8B">
        <w:rPr>
          <w:lang w:val="fr-FR"/>
        </w:rPr>
        <w:t xml:space="preserve">ordre </w:t>
      </w:r>
      <w:r>
        <w:rPr>
          <w:lang w:val="fr-FR"/>
        </w:rPr>
        <w:t xml:space="preserve">signalée </w:t>
      </w:r>
      <w:r w:rsidRPr="00843A8B">
        <w:rPr>
          <w:lang w:val="fr-FR"/>
        </w:rPr>
        <w:t>dans certains pays, où le déploiement de personnel et de matériel militaires a favorisé dans certains cas une accélération du recours à la force létale</w:t>
      </w:r>
      <w:r w:rsidRPr="00CD6B67">
        <w:rPr>
          <w:rStyle w:val="FootnoteReference"/>
        </w:rPr>
        <w:footnoteReference w:id="262"/>
      </w:r>
      <w:r>
        <w:rPr>
          <w:lang w:val="fr-FR"/>
        </w:rPr>
        <w:t>,</w:t>
      </w:r>
      <w:r w:rsidRPr="00293268">
        <w:rPr>
          <w:lang w:val="fr-FR"/>
        </w:rPr>
        <w:t xml:space="preserve"> </w:t>
      </w:r>
      <w:r>
        <w:rPr>
          <w:lang w:val="fr-FR"/>
        </w:rPr>
        <w:t xml:space="preserve">en particulier dans le cadre de </w:t>
      </w:r>
      <w:r w:rsidRPr="00A9384B">
        <w:rPr>
          <w:lang w:val="fr-FR"/>
        </w:rPr>
        <w:t>la «</w:t>
      </w:r>
      <w:r>
        <w:rPr>
          <w:lang w:val="fr-FR"/>
        </w:rPr>
        <w:t> </w:t>
      </w:r>
      <w:r w:rsidRPr="00A9384B">
        <w:rPr>
          <w:lang w:val="fr-FR"/>
        </w:rPr>
        <w:t>guerre contre la drogue</w:t>
      </w:r>
      <w:r w:rsidR="004E37F6">
        <w:rPr>
          <w:lang w:val="fr-FR"/>
        </w:rPr>
        <w:t> </w:t>
      </w:r>
      <w:r w:rsidRPr="00A9384B">
        <w:rPr>
          <w:lang w:val="fr-FR"/>
        </w:rPr>
        <w:t>»</w:t>
      </w:r>
      <w:r w:rsidRPr="00CD6B67">
        <w:rPr>
          <w:rStyle w:val="FootnoteReference"/>
        </w:rPr>
        <w:footnoteReference w:id="263"/>
      </w:r>
      <w:r>
        <w:rPr>
          <w:lang w:val="fr-FR"/>
        </w:rPr>
        <w:t>.</w:t>
      </w:r>
      <w:r w:rsidRPr="00293268">
        <w:rPr>
          <w:lang w:val="fr-FR"/>
        </w:rPr>
        <w:t xml:space="preserve"> </w:t>
      </w:r>
      <w:r w:rsidRPr="00E5531D">
        <w:rPr>
          <w:lang w:val="fr-FR"/>
        </w:rPr>
        <w:t>La militarisation du maintien de l</w:t>
      </w:r>
      <w:r>
        <w:rPr>
          <w:lang w:val="fr-FR"/>
        </w:rPr>
        <w:t>’</w:t>
      </w:r>
      <w:r w:rsidRPr="00E5531D">
        <w:rPr>
          <w:lang w:val="fr-FR"/>
        </w:rPr>
        <w:t>ordre augmente le risque de violence et de préjudice</w:t>
      </w:r>
      <w:r>
        <w:rPr>
          <w:lang w:val="fr-FR"/>
        </w:rPr>
        <w:t>,</w:t>
      </w:r>
      <w:r w:rsidRPr="00E5531D">
        <w:rPr>
          <w:lang w:val="fr-FR"/>
        </w:rPr>
        <w:t xml:space="preserve"> tant pour les forces de l</w:t>
      </w:r>
      <w:r>
        <w:rPr>
          <w:lang w:val="fr-FR"/>
        </w:rPr>
        <w:t>’</w:t>
      </w:r>
      <w:r w:rsidRPr="00E5531D">
        <w:rPr>
          <w:lang w:val="fr-FR"/>
        </w:rPr>
        <w:t>ordre que pour les civils</w:t>
      </w:r>
      <w:r w:rsidRPr="00CD6B67">
        <w:rPr>
          <w:rStyle w:val="FootnoteReference"/>
        </w:rPr>
        <w:footnoteReference w:id="264"/>
      </w:r>
      <w:r>
        <w:rPr>
          <w:lang w:val="fr-FR"/>
        </w:rPr>
        <w:t>, et</w:t>
      </w:r>
      <w:r w:rsidRPr="00293268">
        <w:rPr>
          <w:lang w:val="fr-FR"/>
        </w:rPr>
        <w:t xml:space="preserve"> </w:t>
      </w:r>
      <w:r w:rsidRPr="000E46DA">
        <w:rPr>
          <w:lang w:val="fr-FR"/>
        </w:rPr>
        <w:t>n</w:t>
      </w:r>
      <w:r>
        <w:rPr>
          <w:lang w:val="fr-FR"/>
        </w:rPr>
        <w:t>’</w:t>
      </w:r>
      <w:r w:rsidRPr="000E46DA">
        <w:rPr>
          <w:lang w:val="fr-FR"/>
        </w:rPr>
        <w:t xml:space="preserve">est pas considérée comme efficace car elle ne permet pas </w:t>
      </w:r>
      <w:r>
        <w:rPr>
          <w:lang w:val="fr-FR"/>
        </w:rPr>
        <w:t>d’apaiser les tensions</w:t>
      </w:r>
      <w:r w:rsidRPr="000E46DA">
        <w:rPr>
          <w:lang w:val="fr-FR"/>
        </w:rPr>
        <w:t>, de réduire les préjugés, d</w:t>
      </w:r>
      <w:r>
        <w:rPr>
          <w:lang w:val="fr-FR"/>
        </w:rPr>
        <w:t>’</w:t>
      </w:r>
      <w:r w:rsidRPr="000E46DA">
        <w:rPr>
          <w:lang w:val="fr-FR"/>
        </w:rPr>
        <w:t xml:space="preserve">améliorer les relations entre la police et la </w:t>
      </w:r>
      <w:r>
        <w:rPr>
          <w:lang w:val="fr-FR"/>
        </w:rPr>
        <w:t>population</w:t>
      </w:r>
      <w:r w:rsidRPr="000E46DA">
        <w:rPr>
          <w:lang w:val="fr-FR"/>
        </w:rPr>
        <w:t xml:space="preserve"> ou de renforcer la sécurité publique</w:t>
      </w:r>
      <w:r w:rsidRPr="00CD6B67">
        <w:rPr>
          <w:rStyle w:val="FootnoteReference"/>
        </w:rPr>
        <w:footnoteReference w:id="265"/>
      </w:r>
      <w:r>
        <w:rPr>
          <w:lang w:val="fr-FR"/>
        </w:rPr>
        <w:t>.</w:t>
      </w:r>
      <w:r w:rsidRPr="00293268">
        <w:rPr>
          <w:lang w:val="fr-FR"/>
        </w:rPr>
        <w:t xml:space="preserve"> </w:t>
      </w:r>
      <w:r w:rsidRPr="00F730DA">
        <w:rPr>
          <w:lang w:val="fr-FR"/>
        </w:rPr>
        <w:t>Les recherches montrent également que la militarisation du maintien de l</w:t>
      </w:r>
      <w:r>
        <w:rPr>
          <w:lang w:val="fr-FR"/>
        </w:rPr>
        <w:t>’</w:t>
      </w:r>
      <w:r w:rsidRPr="00F730DA">
        <w:rPr>
          <w:lang w:val="fr-FR"/>
        </w:rPr>
        <w:t xml:space="preserve">ordre a </w:t>
      </w:r>
      <w:r>
        <w:rPr>
          <w:lang w:val="fr-FR"/>
        </w:rPr>
        <w:t>des</w:t>
      </w:r>
      <w:r w:rsidRPr="00F730DA">
        <w:rPr>
          <w:lang w:val="fr-FR"/>
        </w:rPr>
        <w:t xml:space="preserve"> répercussions disproportionnées sur les minorités raciales et ethniques</w:t>
      </w:r>
      <w:r w:rsidRPr="00CD6B67">
        <w:rPr>
          <w:rStyle w:val="FootnoteReference"/>
        </w:rPr>
        <w:footnoteReference w:id="266"/>
      </w:r>
      <w:r>
        <w:rPr>
          <w:lang w:val="fr-FR"/>
        </w:rPr>
        <w:t>.</w:t>
      </w:r>
      <w:r w:rsidRPr="00293268">
        <w:rPr>
          <w:lang w:val="fr-FR"/>
        </w:rPr>
        <w:t xml:space="preserve"> </w:t>
      </w:r>
      <w:r w:rsidRPr="00761593">
        <w:rPr>
          <w:lang w:val="fr-FR"/>
        </w:rPr>
        <w:t>En effet, le rôle de l</w:t>
      </w:r>
      <w:r>
        <w:rPr>
          <w:lang w:val="fr-FR"/>
        </w:rPr>
        <w:t>’</w:t>
      </w:r>
      <w:r w:rsidRPr="00761593">
        <w:rPr>
          <w:lang w:val="fr-FR"/>
        </w:rPr>
        <w:t>armée, qui est censée s</w:t>
      </w:r>
      <w:r>
        <w:rPr>
          <w:lang w:val="fr-FR"/>
        </w:rPr>
        <w:t>’</w:t>
      </w:r>
      <w:r w:rsidRPr="00761593">
        <w:rPr>
          <w:lang w:val="fr-FR"/>
        </w:rPr>
        <w:t>occuper des conflits armés, diffère considérablement de celui de la police, qui s</w:t>
      </w:r>
      <w:r>
        <w:rPr>
          <w:lang w:val="fr-FR"/>
        </w:rPr>
        <w:t>’</w:t>
      </w:r>
      <w:r w:rsidRPr="00761593">
        <w:rPr>
          <w:lang w:val="fr-FR"/>
        </w:rPr>
        <w:t>occupe des questions civiles. L</w:t>
      </w:r>
      <w:r>
        <w:rPr>
          <w:lang w:val="fr-FR"/>
        </w:rPr>
        <w:t>’</w:t>
      </w:r>
      <w:r w:rsidRPr="00761593">
        <w:rPr>
          <w:lang w:val="fr-FR"/>
        </w:rPr>
        <w:t>objectif que l</w:t>
      </w:r>
      <w:r>
        <w:rPr>
          <w:lang w:val="fr-FR"/>
        </w:rPr>
        <w:t>’</w:t>
      </w:r>
      <w:r w:rsidRPr="00761593">
        <w:rPr>
          <w:lang w:val="fr-FR"/>
        </w:rPr>
        <w:t>armée est censée servir, ainsi que la formation et la préparation qu</w:t>
      </w:r>
      <w:r>
        <w:rPr>
          <w:lang w:val="fr-FR"/>
        </w:rPr>
        <w:t>’</w:t>
      </w:r>
      <w:r w:rsidRPr="00761593">
        <w:rPr>
          <w:lang w:val="fr-FR"/>
        </w:rPr>
        <w:t>elle reçoit, ne sont pas adaptés à la gestion des problèmes de sécurité civile</w:t>
      </w:r>
      <w:r w:rsidRPr="00CD6B67">
        <w:rPr>
          <w:rStyle w:val="FootnoteReference"/>
        </w:rPr>
        <w:footnoteReference w:id="267"/>
      </w:r>
      <w:r>
        <w:rPr>
          <w:lang w:val="fr-FR"/>
        </w:rPr>
        <w:t>.</w:t>
      </w:r>
      <w:r w:rsidRPr="00293268">
        <w:rPr>
          <w:lang w:val="fr-FR"/>
        </w:rPr>
        <w:t xml:space="preserve"> </w:t>
      </w:r>
      <w:r w:rsidRPr="009B616B">
        <w:rPr>
          <w:lang w:val="fr-FR"/>
        </w:rPr>
        <w:t>La militarisation de la police, notamment par le déploiement de personnel militaire, a également brouillé et influencé négativement l</w:t>
      </w:r>
      <w:r>
        <w:rPr>
          <w:lang w:val="fr-FR"/>
        </w:rPr>
        <w:t>’</w:t>
      </w:r>
      <w:r w:rsidRPr="009B616B">
        <w:rPr>
          <w:lang w:val="fr-FR"/>
        </w:rPr>
        <w:t xml:space="preserve">établissement des responsabilités </w:t>
      </w:r>
      <w:r>
        <w:rPr>
          <w:lang w:val="fr-FR"/>
        </w:rPr>
        <w:t>pour les atteintes et</w:t>
      </w:r>
      <w:r w:rsidRPr="009B616B">
        <w:rPr>
          <w:lang w:val="fr-FR"/>
        </w:rPr>
        <w:t xml:space="preserve"> violations</w:t>
      </w:r>
      <w:r>
        <w:rPr>
          <w:lang w:val="fr-FR"/>
        </w:rPr>
        <w:t xml:space="preserve"> commises</w:t>
      </w:r>
      <w:r w:rsidRPr="00CD6B67">
        <w:rPr>
          <w:rStyle w:val="FootnoteReference"/>
        </w:rPr>
        <w:footnoteReference w:id="268"/>
      </w:r>
      <w:r>
        <w:rPr>
          <w:lang w:val="fr-FR"/>
        </w:rPr>
        <w:t>.</w:t>
      </w:r>
    </w:p>
    <w:p w14:paraId="60302F60" w14:textId="46607B7A" w:rsidR="00865E37" w:rsidRPr="00293268" w:rsidRDefault="00865E37" w:rsidP="00865E37">
      <w:pPr>
        <w:pStyle w:val="SingleTxtG"/>
        <w:rPr>
          <w:lang w:val="fr-FR"/>
        </w:rPr>
      </w:pPr>
      <w:r w:rsidRPr="00FD57E1">
        <w:rPr>
          <w:lang w:val="fr-FR"/>
        </w:rPr>
        <w:t>93.</w:t>
      </w:r>
      <w:r w:rsidRPr="00FD57E1">
        <w:rPr>
          <w:lang w:val="fr-FR"/>
        </w:rPr>
        <w:tab/>
        <w:t>L’utilisation des nouvelles technologies, en particulier l’intelligence artificielle, peut également exacerber les discriminations exercées par la police à l’égard des personnes d’ascendance africaine. Le Comité pour l’élimination de la discrimination raciale a signalé que l’utilisation croissante de ces outils technologiques comporte un  vrai risque de partialité induite par les algorithmes quand l’intelligence artificielle sert à la prise des décisions des représentants de la loi</w:t>
      </w:r>
      <w:r w:rsidRPr="00FD57E1">
        <w:rPr>
          <w:rStyle w:val="FootnoteReference"/>
        </w:rPr>
        <w:footnoteReference w:id="269"/>
      </w:r>
      <w:r w:rsidRPr="00FD57E1">
        <w:rPr>
          <w:lang w:val="fr-FR"/>
        </w:rPr>
        <w:t>. Des risques particuliers de reproduction et de renforcement des préjugés surviennent lorsque le profilage algorithmique est utilisé pour déterminer la probabilité de délinquance, soit dans certaines localités, sur la base de données antérieures sur les arrestations dans des quartiers marqués par un interventionnisme excessif de la police, soit parmi certains groupes, voire certains individus, par le jeu de la «</w:t>
      </w:r>
      <w:r w:rsidR="00FD57E1">
        <w:rPr>
          <w:lang w:val="fr-FR"/>
        </w:rPr>
        <w:t> </w:t>
      </w:r>
      <w:r w:rsidRPr="00FD57E1">
        <w:rPr>
          <w:lang w:val="fr-FR"/>
        </w:rPr>
        <w:t>police prédictive</w:t>
      </w:r>
      <w:r w:rsidR="00FD57E1">
        <w:rPr>
          <w:lang w:val="fr-FR"/>
        </w:rPr>
        <w:t> </w:t>
      </w:r>
      <w:r w:rsidRPr="00FD57E1">
        <w:rPr>
          <w:lang w:val="fr-FR"/>
        </w:rPr>
        <w:t>»</w:t>
      </w:r>
      <w:r w:rsidRPr="00FD57E1">
        <w:rPr>
          <w:rStyle w:val="FootnoteReference"/>
        </w:rPr>
        <w:footnoteReference w:id="270"/>
      </w:r>
      <w:r w:rsidRPr="00FD57E1">
        <w:rPr>
          <w:lang w:val="fr-FR"/>
        </w:rPr>
        <w:t>.</w:t>
      </w:r>
    </w:p>
    <w:p w14:paraId="339652DD" w14:textId="77777777" w:rsidR="00865E37" w:rsidRPr="00293268" w:rsidRDefault="00865E37" w:rsidP="00865E37">
      <w:pPr>
        <w:pStyle w:val="SingleTxtG"/>
        <w:rPr>
          <w:lang w:val="fr-FR"/>
        </w:rPr>
      </w:pPr>
      <w:r w:rsidRPr="00293268">
        <w:rPr>
          <w:lang w:val="fr-FR"/>
        </w:rPr>
        <w:t>94.</w:t>
      </w:r>
      <w:r w:rsidRPr="00293268">
        <w:rPr>
          <w:lang w:val="fr-FR"/>
        </w:rPr>
        <w:tab/>
      </w:r>
      <w:r w:rsidRPr="00295615">
        <w:rPr>
          <w:lang w:val="fr-FR"/>
        </w:rPr>
        <w:t>De même, l</w:t>
      </w:r>
      <w:r>
        <w:rPr>
          <w:lang w:val="fr-FR"/>
        </w:rPr>
        <w:t>’</w:t>
      </w:r>
      <w:r w:rsidRPr="00295615">
        <w:rPr>
          <w:lang w:val="fr-FR"/>
        </w:rPr>
        <w:t xml:space="preserve">identification </w:t>
      </w:r>
      <w:r>
        <w:rPr>
          <w:lang w:val="fr-FR"/>
        </w:rPr>
        <w:t xml:space="preserve">des </w:t>
      </w:r>
      <w:r w:rsidRPr="00295615">
        <w:rPr>
          <w:lang w:val="fr-FR"/>
        </w:rPr>
        <w:t xml:space="preserve">individus </w:t>
      </w:r>
      <w:r>
        <w:rPr>
          <w:lang w:val="fr-FR"/>
        </w:rPr>
        <w:t>d’après la</w:t>
      </w:r>
      <w:r w:rsidRPr="00295615">
        <w:rPr>
          <w:lang w:val="fr-FR"/>
        </w:rPr>
        <w:t xml:space="preserve"> géométrie </w:t>
      </w:r>
      <w:r>
        <w:rPr>
          <w:lang w:val="fr-FR"/>
        </w:rPr>
        <w:t xml:space="preserve">de leur visage </w:t>
      </w:r>
      <w:r w:rsidRPr="00005225">
        <w:rPr>
          <w:lang w:val="fr-FR"/>
        </w:rPr>
        <w:t>peut aboutir à un profilage fondé sur des motifs de</w:t>
      </w:r>
      <w:r>
        <w:rPr>
          <w:lang w:val="fr-FR"/>
        </w:rPr>
        <w:t xml:space="preserve"> </w:t>
      </w:r>
      <w:r w:rsidRPr="00005225">
        <w:rPr>
          <w:lang w:val="fr-FR"/>
        </w:rPr>
        <w:t>discrimination comme la race, la couleur, l</w:t>
      </w:r>
      <w:r>
        <w:rPr>
          <w:lang w:val="fr-FR"/>
        </w:rPr>
        <w:t>’</w:t>
      </w:r>
      <w:r w:rsidRPr="00005225">
        <w:rPr>
          <w:lang w:val="fr-FR"/>
        </w:rPr>
        <w:t>origine nationale ou ethnique ou le sexe</w:t>
      </w:r>
      <w:r w:rsidRPr="00295615">
        <w:rPr>
          <w:lang w:val="fr-FR"/>
        </w:rPr>
        <w:t xml:space="preserve">, étant donné que </w:t>
      </w:r>
      <w:r w:rsidRPr="001800D0">
        <w:rPr>
          <w:lang w:val="fr-FR"/>
        </w:rPr>
        <w:t>la précision de la technologie de reconnaissance faciale peut varier en fonction</w:t>
      </w:r>
      <w:r>
        <w:rPr>
          <w:lang w:val="fr-FR"/>
        </w:rPr>
        <w:t xml:space="preserve"> </w:t>
      </w:r>
      <w:r w:rsidRPr="001800D0">
        <w:rPr>
          <w:lang w:val="fr-FR"/>
        </w:rPr>
        <w:t>de la couleur, de l</w:t>
      </w:r>
      <w:r>
        <w:rPr>
          <w:lang w:val="fr-FR"/>
        </w:rPr>
        <w:t>’</w:t>
      </w:r>
      <w:r w:rsidRPr="001800D0">
        <w:rPr>
          <w:lang w:val="fr-FR"/>
        </w:rPr>
        <w:t xml:space="preserve">origine ethnique ou du sexe </w:t>
      </w:r>
      <w:r>
        <w:rPr>
          <w:lang w:val="fr-FR"/>
        </w:rPr>
        <w:t xml:space="preserve">des </w:t>
      </w:r>
      <w:r w:rsidRPr="001800D0">
        <w:rPr>
          <w:lang w:val="fr-FR"/>
        </w:rPr>
        <w:t>personne</w:t>
      </w:r>
      <w:r>
        <w:rPr>
          <w:lang w:val="fr-FR"/>
        </w:rPr>
        <w:t>s</w:t>
      </w:r>
      <w:r w:rsidRPr="001800D0">
        <w:rPr>
          <w:lang w:val="fr-FR"/>
        </w:rPr>
        <w:t xml:space="preserve"> concernée</w:t>
      </w:r>
      <w:r>
        <w:rPr>
          <w:lang w:val="fr-FR"/>
        </w:rPr>
        <w:t>s</w:t>
      </w:r>
      <w:r w:rsidRPr="00CD6B67">
        <w:rPr>
          <w:rStyle w:val="FootnoteReference"/>
        </w:rPr>
        <w:footnoteReference w:id="271"/>
      </w:r>
      <w:r>
        <w:rPr>
          <w:lang w:val="fr-FR"/>
        </w:rPr>
        <w:t>.</w:t>
      </w:r>
      <w:r w:rsidRPr="00293268">
        <w:rPr>
          <w:lang w:val="fr-FR"/>
        </w:rPr>
        <w:t xml:space="preserve"> </w:t>
      </w:r>
      <w:r w:rsidRPr="000A67C6">
        <w:rPr>
          <w:lang w:val="fr-FR"/>
        </w:rPr>
        <w:t>En outre, bien qu</w:t>
      </w:r>
      <w:r>
        <w:rPr>
          <w:lang w:val="fr-FR"/>
        </w:rPr>
        <w:t>’</w:t>
      </w:r>
      <w:r w:rsidRPr="000A67C6">
        <w:rPr>
          <w:lang w:val="fr-FR"/>
        </w:rPr>
        <w:t>il n</w:t>
      </w:r>
      <w:r>
        <w:rPr>
          <w:lang w:val="fr-FR"/>
        </w:rPr>
        <w:t>’</w:t>
      </w:r>
      <w:r w:rsidRPr="000A67C6">
        <w:rPr>
          <w:lang w:val="fr-FR"/>
        </w:rPr>
        <w:t xml:space="preserve">existe </w:t>
      </w:r>
      <w:r>
        <w:rPr>
          <w:lang w:val="fr-FR"/>
        </w:rPr>
        <w:t xml:space="preserve">pas </w:t>
      </w:r>
      <w:r w:rsidRPr="00C933C4">
        <w:rPr>
          <w:lang w:val="fr-FR"/>
        </w:rPr>
        <w:t>de lien direct entre la composition de l</w:t>
      </w:r>
      <w:r>
        <w:rPr>
          <w:lang w:val="fr-FR"/>
        </w:rPr>
        <w:t>’</w:t>
      </w:r>
      <w:r w:rsidRPr="00C933C4">
        <w:rPr>
          <w:lang w:val="fr-FR"/>
        </w:rPr>
        <w:t>ADN d</w:t>
      </w:r>
      <w:r>
        <w:rPr>
          <w:lang w:val="fr-FR"/>
        </w:rPr>
        <w:t>’</w:t>
      </w:r>
      <w:r w:rsidRPr="00C933C4">
        <w:rPr>
          <w:lang w:val="fr-FR"/>
        </w:rPr>
        <w:t>un individu et</w:t>
      </w:r>
      <w:r>
        <w:rPr>
          <w:lang w:val="fr-FR"/>
        </w:rPr>
        <w:t xml:space="preserve"> </w:t>
      </w:r>
      <w:r w:rsidRPr="00C933C4">
        <w:rPr>
          <w:lang w:val="fr-FR"/>
        </w:rPr>
        <w:t>son origine ethnique ou sa nationalité</w:t>
      </w:r>
      <w:r w:rsidRPr="000A67C6">
        <w:rPr>
          <w:lang w:val="fr-FR"/>
        </w:rPr>
        <w:t xml:space="preserve">, les </w:t>
      </w:r>
      <w:r>
        <w:rPr>
          <w:lang w:val="fr-FR"/>
        </w:rPr>
        <w:t xml:space="preserve">forces de l’ordre </w:t>
      </w:r>
      <w:r w:rsidRPr="000A67C6">
        <w:rPr>
          <w:lang w:val="fr-FR"/>
        </w:rPr>
        <w:t>ont parfois utilisé le profilage ADN pour</w:t>
      </w:r>
      <w:r w:rsidRPr="001C5BD9">
        <w:rPr>
          <w:lang w:val="fr-FR"/>
        </w:rPr>
        <w:t xml:space="preserve"> attribuer</w:t>
      </w:r>
      <w:r>
        <w:rPr>
          <w:lang w:val="fr-FR"/>
        </w:rPr>
        <w:t xml:space="preserve"> </w:t>
      </w:r>
      <w:r w:rsidRPr="001C5BD9">
        <w:rPr>
          <w:lang w:val="fr-FR"/>
        </w:rPr>
        <w:t>faussement à certaines minorités ethniques une propension plus grande à la violence, en</w:t>
      </w:r>
      <w:r>
        <w:rPr>
          <w:lang w:val="fr-FR"/>
        </w:rPr>
        <w:t xml:space="preserve"> </w:t>
      </w:r>
      <w:r w:rsidRPr="001C5BD9">
        <w:rPr>
          <w:lang w:val="fr-FR"/>
        </w:rPr>
        <w:t>conséquence de quoi ces groupes ont subi des pratiques policières discriminatoires</w:t>
      </w:r>
      <w:r w:rsidRPr="00CD6B67">
        <w:rPr>
          <w:rStyle w:val="FootnoteReference"/>
        </w:rPr>
        <w:footnoteReference w:id="272"/>
      </w:r>
      <w:r>
        <w:rPr>
          <w:lang w:val="fr-FR"/>
        </w:rPr>
        <w:t>.</w:t>
      </w:r>
    </w:p>
    <w:p w14:paraId="28F5C2BA" w14:textId="77777777" w:rsidR="00865E37" w:rsidRDefault="00865E37" w:rsidP="00656E61">
      <w:pPr>
        <w:pStyle w:val="H23G"/>
        <w:rPr>
          <w:lang w:val="fr-FR"/>
        </w:rPr>
      </w:pPr>
      <w:bookmarkStart w:id="282" w:name="_Toc74254797"/>
      <w:bookmarkStart w:id="283" w:name="_Toc74303363"/>
      <w:bookmarkStart w:id="284" w:name="_Toc74305488"/>
      <w:bookmarkStart w:id="285" w:name="_Toc74337084"/>
      <w:bookmarkStart w:id="286" w:name="_Toc74340204"/>
      <w:bookmarkStart w:id="287" w:name="_Toc74344100"/>
      <w:bookmarkStart w:id="288" w:name="_Toc74561080"/>
      <w:bookmarkStart w:id="289" w:name="_Toc74562571"/>
      <w:bookmarkStart w:id="290" w:name="_Toc74657682"/>
      <w:bookmarkStart w:id="291" w:name="_Toc74661208"/>
      <w:bookmarkStart w:id="292" w:name="_Toc74666503"/>
      <w:bookmarkStart w:id="293" w:name="_Toc74671424"/>
      <w:bookmarkStart w:id="294" w:name="_Toc74867340"/>
      <w:bookmarkStart w:id="295" w:name="_Toc74919093"/>
      <w:bookmarkStart w:id="296" w:name="_Toc74919748"/>
      <w:bookmarkStart w:id="297" w:name="_Toc74925783"/>
      <w:bookmarkStart w:id="298" w:name="_Toc74927632"/>
      <w:r w:rsidRPr="00293268">
        <w:rPr>
          <w:lang w:val="fr-FR"/>
        </w:rPr>
        <w:tab/>
        <w:t>2.</w:t>
      </w:r>
      <w:r w:rsidRPr="00293268">
        <w:rPr>
          <w:lang w:val="fr-FR"/>
        </w:rPr>
        <w:tab/>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0C215D">
        <w:rPr>
          <w:lang w:val="fr-FR"/>
        </w:rPr>
        <w:t>Prononcé des peines et privation de liberté</w:t>
      </w:r>
    </w:p>
    <w:p w14:paraId="773C1642" w14:textId="58391E96" w:rsidR="00865E37" w:rsidRPr="00293268" w:rsidRDefault="00865E37" w:rsidP="00865E37">
      <w:pPr>
        <w:pStyle w:val="SingleTxtG"/>
        <w:rPr>
          <w:lang w:val="fr-FR"/>
        </w:rPr>
      </w:pPr>
      <w:r w:rsidRPr="00293268">
        <w:rPr>
          <w:lang w:val="fr-FR"/>
        </w:rPr>
        <w:t>95.</w:t>
      </w:r>
      <w:r w:rsidRPr="00293268">
        <w:rPr>
          <w:lang w:val="fr-FR"/>
        </w:rPr>
        <w:tab/>
      </w:r>
      <w:r>
        <w:rPr>
          <w:lang w:val="fr-FR"/>
        </w:rPr>
        <w:t xml:space="preserve">Des rapports soulignent que les stéréotypes et préjugés raciaux, en particulier au sein des organes </w:t>
      </w:r>
      <w:r w:rsidRPr="00164BD2">
        <w:rPr>
          <w:lang w:val="fr-FR"/>
        </w:rPr>
        <w:t>judiciaire</w:t>
      </w:r>
      <w:r>
        <w:rPr>
          <w:lang w:val="fr-FR"/>
        </w:rPr>
        <w:t>s,</w:t>
      </w:r>
      <w:r w:rsidRPr="00164BD2">
        <w:rPr>
          <w:lang w:val="fr-FR"/>
        </w:rPr>
        <w:t xml:space="preserve"> </w:t>
      </w:r>
      <w:r>
        <w:rPr>
          <w:lang w:val="fr-FR"/>
        </w:rPr>
        <w:t>sont le reflet des</w:t>
      </w:r>
      <w:r w:rsidRPr="00164BD2">
        <w:rPr>
          <w:lang w:val="fr-FR"/>
        </w:rPr>
        <w:t xml:space="preserve"> </w:t>
      </w:r>
      <w:r>
        <w:rPr>
          <w:lang w:val="fr-FR"/>
        </w:rPr>
        <w:t>« </w:t>
      </w:r>
      <w:r w:rsidRPr="00164BD2">
        <w:rPr>
          <w:lang w:val="fr-FR"/>
        </w:rPr>
        <w:t>préjugés prévalant dans la société qu</w:t>
      </w:r>
      <w:r>
        <w:rPr>
          <w:lang w:val="fr-FR"/>
        </w:rPr>
        <w:t>’il</w:t>
      </w:r>
      <w:r w:rsidRPr="00164BD2">
        <w:rPr>
          <w:lang w:val="fr-FR"/>
        </w:rPr>
        <w:t>s servent</w:t>
      </w:r>
      <w:r>
        <w:rPr>
          <w:lang w:val="fr-FR"/>
        </w:rPr>
        <w:t> »</w:t>
      </w:r>
      <w:r w:rsidRPr="00CD6B67">
        <w:rPr>
          <w:rStyle w:val="FootnoteReference"/>
        </w:rPr>
        <w:footnoteReference w:id="273"/>
      </w:r>
      <w:r>
        <w:rPr>
          <w:lang w:val="fr-FR"/>
        </w:rPr>
        <w:t>.</w:t>
      </w:r>
      <w:r w:rsidRPr="00293268">
        <w:rPr>
          <w:lang w:val="fr-FR"/>
        </w:rPr>
        <w:t xml:space="preserve"> </w:t>
      </w:r>
      <w:r w:rsidRPr="00861F9D">
        <w:rPr>
          <w:lang w:val="fr-FR"/>
        </w:rPr>
        <w:t>Ils font également état de la présence disproportionnée d</w:t>
      </w:r>
      <w:r>
        <w:rPr>
          <w:lang w:val="fr-FR"/>
        </w:rPr>
        <w:t>’</w:t>
      </w:r>
      <w:r w:rsidRPr="00861F9D">
        <w:rPr>
          <w:lang w:val="fr-FR"/>
        </w:rPr>
        <w:t>Africains et de personnes d</w:t>
      </w:r>
      <w:r>
        <w:rPr>
          <w:lang w:val="fr-FR"/>
        </w:rPr>
        <w:t>’</w:t>
      </w:r>
      <w:r w:rsidRPr="00861F9D">
        <w:rPr>
          <w:lang w:val="fr-FR"/>
        </w:rPr>
        <w:t>ascendance africaine dans les établissements pénitentiaires</w:t>
      </w:r>
      <w:r w:rsidRPr="00CD6B67">
        <w:rPr>
          <w:rStyle w:val="FootnoteReference"/>
        </w:rPr>
        <w:footnoteReference w:id="274"/>
      </w:r>
      <w:r w:rsidRPr="00861F9D">
        <w:rPr>
          <w:lang w:val="fr-FR"/>
        </w:rPr>
        <w:t xml:space="preserve">, en particulier au </w:t>
      </w:r>
      <w:r w:rsidRPr="00293268">
        <w:rPr>
          <w:lang w:val="fr-FR"/>
        </w:rPr>
        <w:t>Br</w:t>
      </w:r>
      <w:r>
        <w:rPr>
          <w:lang w:val="fr-FR"/>
        </w:rPr>
        <w:t>és</w:t>
      </w:r>
      <w:r w:rsidRPr="00293268">
        <w:rPr>
          <w:lang w:val="fr-FR"/>
        </w:rPr>
        <w:t>il</w:t>
      </w:r>
      <w:r w:rsidRPr="00CD6B67">
        <w:rPr>
          <w:rStyle w:val="FootnoteReference"/>
        </w:rPr>
        <w:footnoteReference w:id="275"/>
      </w:r>
      <w:r>
        <w:rPr>
          <w:lang w:val="fr-FR"/>
        </w:rPr>
        <w:t>,</w:t>
      </w:r>
      <w:r w:rsidRPr="00293268">
        <w:rPr>
          <w:lang w:val="fr-FR"/>
        </w:rPr>
        <w:t xml:space="preserve"> </w:t>
      </w:r>
      <w:r>
        <w:rPr>
          <w:lang w:val="fr-FR"/>
        </w:rPr>
        <w:t xml:space="preserve">en </w:t>
      </w:r>
      <w:r w:rsidRPr="00293268">
        <w:rPr>
          <w:lang w:val="fr-FR"/>
        </w:rPr>
        <w:t>Colombi</w:t>
      </w:r>
      <w:r>
        <w:rPr>
          <w:lang w:val="fr-FR"/>
        </w:rPr>
        <w:t>e</w:t>
      </w:r>
      <w:r w:rsidRPr="00CD6B67">
        <w:rPr>
          <w:rStyle w:val="FootnoteReference"/>
        </w:rPr>
        <w:footnoteReference w:id="276"/>
      </w:r>
      <w:r w:rsidRPr="00293268">
        <w:rPr>
          <w:lang w:val="fr-FR"/>
        </w:rPr>
        <w:t xml:space="preserve">, </w:t>
      </w:r>
      <w:r>
        <w:rPr>
          <w:lang w:val="fr-FR"/>
        </w:rPr>
        <w:t>en Équateur</w:t>
      </w:r>
      <w:r w:rsidRPr="00CD6B67">
        <w:rPr>
          <w:rStyle w:val="FootnoteReference"/>
        </w:rPr>
        <w:footnoteReference w:id="277"/>
      </w:r>
      <w:r>
        <w:rPr>
          <w:lang w:val="fr-FR"/>
        </w:rPr>
        <w:t>,</w:t>
      </w:r>
      <w:r w:rsidRPr="00293268">
        <w:rPr>
          <w:lang w:val="fr-FR"/>
        </w:rPr>
        <w:t xml:space="preserve"> </w:t>
      </w:r>
      <w:r>
        <w:rPr>
          <w:lang w:val="fr-FR"/>
        </w:rPr>
        <w:t xml:space="preserve">en </w:t>
      </w:r>
      <w:r w:rsidRPr="00293268">
        <w:rPr>
          <w:lang w:val="fr-FR"/>
        </w:rPr>
        <w:t>Italie</w:t>
      </w:r>
      <w:r w:rsidRPr="00CD6B67">
        <w:rPr>
          <w:rStyle w:val="FootnoteReference"/>
        </w:rPr>
        <w:footnoteReference w:id="278"/>
      </w:r>
      <w:r>
        <w:rPr>
          <w:lang w:val="fr-FR"/>
        </w:rPr>
        <w:t>,</w:t>
      </w:r>
      <w:r w:rsidRPr="00293268">
        <w:rPr>
          <w:lang w:val="fr-FR"/>
        </w:rPr>
        <w:t xml:space="preserve"> </w:t>
      </w:r>
      <w:r>
        <w:rPr>
          <w:lang w:val="fr-FR"/>
        </w:rPr>
        <w:t xml:space="preserve">au </w:t>
      </w:r>
      <w:r w:rsidRPr="00293268">
        <w:rPr>
          <w:lang w:val="fr-FR"/>
        </w:rPr>
        <w:t>Portugal</w:t>
      </w:r>
      <w:r w:rsidRPr="00CD6B67">
        <w:rPr>
          <w:rStyle w:val="FootnoteReference"/>
        </w:rPr>
        <w:footnoteReference w:id="279"/>
      </w:r>
      <w:r w:rsidRPr="00293268">
        <w:rPr>
          <w:lang w:val="fr-FR"/>
        </w:rPr>
        <w:t xml:space="preserve"> </w:t>
      </w:r>
      <w:r>
        <w:rPr>
          <w:lang w:val="fr-FR"/>
        </w:rPr>
        <w:t xml:space="preserve">et </w:t>
      </w:r>
      <w:r w:rsidRPr="00551E0C">
        <w:rPr>
          <w:lang w:val="fr-FR"/>
        </w:rPr>
        <w:t xml:space="preserve">aux États-Unis </w:t>
      </w:r>
      <w:r w:rsidRPr="00293268">
        <w:rPr>
          <w:lang w:val="fr-FR"/>
        </w:rPr>
        <w:t>(</w:t>
      </w:r>
      <w:r>
        <w:rPr>
          <w:lang w:val="fr-FR"/>
        </w:rPr>
        <w:t>pour plus de détails, voir ci-après</w:t>
      </w:r>
      <w:r w:rsidRPr="00293268">
        <w:rPr>
          <w:lang w:val="fr-FR"/>
        </w:rPr>
        <w:t xml:space="preserve">). </w:t>
      </w:r>
      <w:r w:rsidRPr="00EF5130">
        <w:rPr>
          <w:lang w:val="fr-FR"/>
        </w:rPr>
        <w:t>Ainsi, selon des statistiques officielles de 2020, les personnes d</w:t>
      </w:r>
      <w:r>
        <w:rPr>
          <w:lang w:val="fr-FR"/>
        </w:rPr>
        <w:t>’</w:t>
      </w:r>
      <w:r w:rsidRPr="00EF5130">
        <w:rPr>
          <w:lang w:val="fr-FR"/>
        </w:rPr>
        <w:t>ascendance africaine représentent 65,9</w:t>
      </w:r>
      <w:r w:rsidR="00E53DDC">
        <w:rPr>
          <w:lang w:val="fr-FR"/>
        </w:rPr>
        <w:t> %</w:t>
      </w:r>
      <w:r w:rsidRPr="00EF5130">
        <w:rPr>
          <w:lang w:val="fr-FR"/>
        </w:rPr>
        <w:t xml:space="preserve"> de la population carcérale au Brésil alors qu</w:t>
      </w:r>
      <w:r>
        <w:rPr>
          <w:lang w:val="fr-FR"/>
        </w:rPr>
        <w:t>’</w:t>
      </w:r>
      <w:r w:rsidRPr="00EF5130">
        <w:rPr>
          <w:lang w:val="fr-FR"/>
        </w:rPr>
        <w:t>elles constituent 56,8</w:t>
      </w:r>
      <w:r w:rsidR="00E53DDC">
        <w:rPr>
          <w:lang w:val="fr-FR"/>
        </w:rPr>
        <w:t> %</w:t>
      </w:r>
      <w:r w:rsidRPr="00EF5130">
        <w:rPr>
          <w:lang w:val="fr-FR"/>
        </w:rPr>
        <w:t xml:space="preserve"> de la population globale</w:t>
      </w:r>
      <w:r w:rsidRPr="00CD6B67">
        <w:rPr>
          <w:rStyle w:val="FootnoteReference"/>
        </w:rPr>
        <w:footnoteReference w:id="280"/>
      </w:r>
      <w:r>
        <w:rPr>
          <w:lang w:val="fr-FR"/>
        </w:rPr>
        <w:t xml:space="preserve">. </w:t>
      </w:r>
      <w:r w:rsidRPr="00C828D5">
        <w:rPr>
          <w:lang w:val="fr-FR"/>
        </w:rPr>
        <w:t>De plus, «</w:t>
      </w:r>
      <w:r w:rsidR="00F24C6F">
        <w:rPr>
          <w:lang w:val="fr-FR"/>
        </w:rPr>
        <w:t> </w:t>
      </w:r>
      <w:r w:rsidRPr="00C828D5">
        <w:rPr>
          <w:lang w:val="fr-FR"/>
        </w:rPr>
        <w:t xml:space="preserve">les Afro-Brésiliens seraient condamnés à des peines plus lourdes que leurs homologues blancs pour </w:t>
      </w:r>
      <w:r>
        <w:rPr>
          <w:lang w:val="fr-FR"/>
        </w:rPr>
        <w:t>le</w:t>
      </w:r>
      <w:r w:rsidRPr="00C828D5">
        <w:rPr>
          <w:lang w:val="fr-FR"/>
        </w:rPr>
        <w:t xml:space="preserve"> même délit et seraient plus susceptibles d</w:t>
      </w:r>
      <w:r>
        <w:rPr>
          <w:lang w:val="fr-FR"/>
        </w:rPr>
        <w:t>’</w:t>
      </w:r>
      <w:r w:rsidRPr="00C828D5">
        <w:rPr>
          <w:lang w:val="fr-FR"/>
        </w:rPr>
        <w:t>être victimes de discrimination en prison</w:t>
      </w:r>
      <w:r w:rsidR="00F24C6F">
        <w:rPr>
          <w:lang w:val="fr-FR"/>
        </w:rPr>
        <w:t> </w:t>
      </w:r>
      <w:r w:rsidRPr="00C828D5">
        <w:rPr>
          <w:lang w:val="fr-FR"/>
        </w:rPr>
        <w:t>»</w:t>
      </w:r>
      <w:r w:rsidRPr="00CD6B67">
        <w:rPr>
          <w:rStyle w:val="FootnoteReference"/>
        </w:rPr>
        <w:footnoteReference w:id="281"/>
      </w:r>
      <w:r>
        <w:rPr>
          <w:lang w:val="fr-FR"/>
        </w:rPr>
        <w:t>,</w:t>
      </w:r>
      <w:r w:rsidRPr="00293268">
        <w:rPr>
          <w:lang w:val="fr-FR"/>
        </w:rPr>
        <w:t xml:space="preserve"> </w:t>
      </w:r>
      <w:r w:rsidRPr="00880268">
        <w:rPr>
          <w:lang w:val="fr-FR"/>
        </w:rPr>
        <w:t>sans possibilité de bénéficier de peines de substitution</w:t>
      </w:r>
      <w:r w:rsidRPr="00CD6B67">
        <w:rPr>
          <w:rStyle w:val="FootnoteReference"/>
        </w:rPr>
        <w:footnoteReference w:id="282"/>
      </w:r>
      <w:r>
        <w:rPr>
          <w:lang w:val="fr-FR"/>
        </w:rPr>
        <w:t>.</w:t>
      </w:r>
      <w:r w:rsidRPr="00293268">
        <w:rPr>
          <w:lang w:val="fr-FR"/>
        </w:rPr>
        <w:t xml:space="preserve"> </w:t>
      </w:r>
      <w:r w:rsidRPr="00657E8B">
        <w:rPr>
          <w:lang w:val="fr-FR"/>
        </w:rPr>
        <w:t>Le Bureau du Défenseur public de Rio de Janeiro a constaté qu</w:t>
      </w:r>
      <w:r>
        <w:rPr>
          <w:lang w:val="fr-FR"/>
        </w:rPr>
        <w:t>’</w:t>
      </w:r>
      <w:r w:rsidRPr="00657E8B">
        <w:rPr>
          <w:lang w:val="fr-FR"/>
        </w:rPr>
        <w:t>entre 2017 et 2019, 77</w:t>
      </w:r>
      <w:r w:rsidR="00E53DDC">
        <w:rPr>
          <w:lang w:val="fr-FR"/>
        </w:rPr>
        <w:t> %</w:t>
      </w:r>
      <w:r w:rsidRPr="00657E8B">
        <w:rPr>
          <w:lang w:val="fr-FR"/>
        </w:rPr>
        <w:t xml:space="preserve"> des personnes présentées aux audiences de garde à vue dans l</w:t>
      </w:r>
      <w:r>
        <w:rPr>
          <w:lang w:val="fr-FR"/>
        </w:rPr>
        <w:t>’</w:t>
      </w:r>
      <w:r w:rsidRPr="00657E8B">
        <w:rPr>
          <w:lang w:val="fr-FR"/>
        </w:rPr>
        <w:t xml:space="preserve">État étaient </w:t>
      </w:r>
      <w:r w:rsidR="00F24C6F">
        <w:rPr>
          <w:lang w:val="fr-FR"/>
        </w:rPr>
        <w:t>N</w:t>
      </w:r>
      <w:r w:rsidRPr="00657E8B">
        <w:rPr>
          <w:lang w:val="fr-FR"/>
        </w:rPr>
        <w:t>oires</w:t>
      </w:r>
      <w:r w:rsidRPr="00CD6B67">
        <w:rPr>
          <w:rStyle w:val="FootnoteReference"/>
        </w:rPr>
        <w:footnoteReference w:id="283"/>
      </w:r>
      <w:r>
        <w:rPr>
          <w:lang w:val="fr-FR"/>
        </w:rPr>
        <w:t>.</w:t>
      </w:r>
    </w:p>
    <w:p w14:paraId="572EE720" w14:textId="783D721D" w:rsidR="00865E37" w:rsidRPr="00293268" w:rsidRDefault="00865E37" w:rsidP="00865E37">
      <w:pPr>
        <w:pStyle w:val="SingleTxtG"/>
        <w:rPr>
          <w:lang w:val="fr-FR"/>
        </w:rPr>
      </w:pPr>
      <w:r w:rsidRPr="00293268">
        <w:rPr>
          <w:lang w:val="fr-FR"/>
        </w:rPr>
        <w:t>96.</w:t>
      </w:r>
      <w:r w:rsidRPr="00293268">
        <w:rPr>
          <w:lang w:val="fr-FR"/>
        </w:rPr>
        <w:tab/>
      </w:r>
      <w:r w:rsidRPr="00643B6F">
        <w:rPr>
          <w:lang w:val="fr-FR"/>
        </w:rPr>
        <w:t>Aux États-Unis, des rapports indiquent qu</w:t>
      </w:r>
      <w:r>
        <w:rPr>
          <w:lang w:val="fr-FR"/>
        </w:rPr>
        <w:t>’</w:t>
      </w:r>
      <w:r w:rsidRPr="00643B6F">
        <w:rPr>
          <w:lang w:val="fr-FR"/>
        </w:rPr>
        <w:t>en 2019, les Afro-Américains représentaient environ 33</w:t>
      </w:r>
      <w:r w:rsidR="00E53DDC">
        <w:rPr>
          <w:lang w:val="fr-FR"/>
        </w:rPr>
        <w:t> %</w:t>
      </w:r>
      <w:r w:rsidRPr="00643B6F">
        <w:rPr>
          <w:lang w:val="fr-FR"/>
        </w:rPr>
        <w:t xml:space="preserve"> de la population carcérale</w:t>
      </w:r>
      <w:r w:rsidRPr="00CD6B67">
        <w:rPr>
          <w:rStyle w:val="FootnoteReference"/>
        </w:rPr>
        <w:footnoteReference w:id="284"/>
      </w:r>
      <w:r>
        <w:rPr>
          <w:lang w:val="fr-FR"/>
        </w:rPr>
        <w:t>.</w:t>
      </w:r>
      <w:r w:rsidRPr="00293268">
        <w:rPr>
          <w:lang w:val="fr-FR"/>
        </w:rPr>
        <w:t xml:space="preserve"> </w:t>
      </w:r>
      <w:r>
        <w:rPr>
          <w:lang w:val="fr-FR"/>
        </w:rPr>
        <w:t>E</w:t>
      </w:r>
      <w:r w:rsidRPr="00293268">
        <w:rPr>
          <w:lang w:val="fr-FR"/>
        </w:rPr>
        <w:t xml:space="preserve">n 2016, </w:t>
      </w:r>
      <w:r w:rsidRPr="00C139A6">
        <w:rPr>
          <w:lang w:val="fr-FR"/>
        </w:rPr>
        <w:t>«</w:t>
      </w:r>
      <w:r w:rsidR="004D0152">
        <w:rPr>
          <w:lang w:val="fr-FR"/>
        </w:rPr>
        <w:t> </w:t>
      </w:r>
      <w:r w:rsidRPr="00C139A6">
        <w:rPr>
          <w:lang w:val="fr-FR"/>
        </w:rPr>
        <w:t>les taux d</w:t>
      </w:r>
      <w:r>
        <w:rPr>
          <w:lang w:val="fr-FR"/>
        </w:rPr>
        <w:t>’</w:t>
      </w:r>
      <w:r w:rsidRPr="00C139A6">
        <w:rPr>
          <w:lang w:val="fr-FR"/>
        </w:rPr>
        <w:t>incarcération des Afro-Américains [étaient] 6,4 fois plus élevés que ceux des Blancs</w:t>
      </w:r>
      <w:r w:rsidR="004D0152">
        <w:rPr>
          <w:lang w:val="fr-FR"/>
        </w:rPr>
        <w:t> </w:t>
      </w:r>
      <w:r w:rsidRPr="00C139A6">
        <w:rPr>
          <w:lang w:val="fr-FR"/>
        </w:rPr>
        <w:t>»</w:t>
      </w:r>
      <w:r w:rsidRPr="00CD6B67">
        <w:rPr>
          <w:rStyle w:val="FootnoteReference"/>
        </w:rPr>
        <w:footnoteReference w:id="285"/>
      </w:r>
      <w:r w:rsidRPr="00293268">
        <w:rPr>
          <w:lang w:val="fr-FR"/>
        </w:rPr>
        <w:t xml:space="preserve"> </w:t>
      </w:r>
      <w:r w:rsidRPr="00011EF1">
        <w:rPr>
          <w:lang w:val="fr-FR"/>
        </w:rPr>
        <w:t>et le taux d</w:t>
      </w:r>
      <w:r>
        <w:rPr>
          <w:lang w:val="fr-FR"/>
        </w:rPr>
        <w:t>’</w:t>
      </w:r>
      <w:r w:rsidRPr="00011EF1">
        <w:rPr>
          <w:lang w:val="fr-FR"/>
        </w:rPr>
        <w:t>incarcération des femmes afro-américaines «</w:t>
      </w:r>
      <w:r w:rsidR="004D0152">
        <w:rPr>
          <w:lang w:val="fr-FR"/>
        </w:rPr>
        <w:t> </w:t>
      </w:r>
      <w:r w:rsidRPr="00011EF1">
        <w:rPr>
          <w:lang w:val="fr-FR"/>
        </w:rPr>
        <w:t>2,1 fois plus élevé que celui des femmes blanches</w:t>
      </w:r>
      <w:r w:rsidR="004D0152">
        <w:rPr>
          <w:lang w:val="fr-FR"/>
        </w:rPr>
        <w:t> </w:t>
      </w:r>
      <w:r w:rsidRPr="00011EF1">
        <w:rPr>
          <w:lang w:val="fr-FR"/>
        </w:rPr>
        <w:t>»</w:t>
      </w:r>
      <w:r w:rsidRPr="00CD6B67">
        <w:rPr>
          <w:rStyle w:val="FootnoteReference"/>
        </w:rPr>
        <w:footnoteReference w:id="286"/>
      </w:r>
      <w:r>
        <w:rPr>
          <w:lang w:val="fr-FR"/>
        </w:rPr>
        <w:t>.</w:t>
      </w:r>
      <w:r w:rsidRPr="00293268">
        <w:rPr>
          <w:lang w:val="fr-FR"/>
        </w:rPr>
        <w:t xml:space="preserve"> </w:t>
      </w:r>
      <w:r w:rsidRPr="0006307D">
        <w:rPr>
          <w:lang w:val="fr-FR"/>
        </w:rPr>
        <w:t>Les recherches ont également révélé qu</w:t>
      </w:r>
      <w:r>
        <w:rPr>
          <w:lang w:val="fr-FR"/>
        </w:rPr>
        <w:t>’</w:t>
      </w:r>
      <w:r w:rsidRPr="0006307D">
        <w:rPr>
          <w:lang w:val="fr-FR"/>
        </w:rPr>
        <w:t>entre 2012 et 2016, «</w:t>
      </w:r>
      <w:r w:rsidR="004D0152">
        <w:rPr>
          <w:lang w:val="fr-FR"/>
        </w:rPr>
        <w:t> </w:t>
      </w:r>
      <w:r w:rsidRPr="0006307D">
        <w:rPr>
          <w:lang w:val="fr-FR"/>
        </w:rPr>
        <w:t>les peines imposées aux hommes et garçons noirs par le système fédéral étaient près de 20</w:t>
      </w:r>
      <w:r w:rsidR="00E53DDC">
        <w:rPr>
          <w:lang w:val="fr-FR"/>
        </w:rPr>
        <w:t> %</w:t>
      </w:r>
      <w:r w:rsidRPr="0006307D">
        <w:rPr>
          <w:lang w:val="fr-FR"/>
        </w:rPr>
        <w:t xml:space="preserve"> plus longues que celles imposées aux hommes blancs condamnés pour des infractions similaires</w:t>
      </w:r>
      <w:r>
        <w:rPr>
          <w:lang w:val="fr-FR"/>
        </w:rPr>
        <w:t> </w:t>
      </w:r>
      <w:r w:rsidRPr="0006307D">
        <w:rPr>
          <w:lang w:val="fr-FR"/>
        </w:rPr>
        <w:t>»</w:t>
      </w:r>
      <w:r w:rsidRPr="00CD6B67">
        <w:rPr>
          <w:rStyle w:val="FootnoteReference"/>
        </w:rPr>
        <w:footnoteReference w:id="287"/>
      </w:r>
      <w:r>
        <w:rPr>
          <w:lang w:val="fr-FR"/>
        </w:rPr>
        <w:t>.</w:t>
      </w:r>
      <w:r w:rsidRPr="00293268">
        <w:rPr>
          <w:lang w:val="fr-FR"/>
        </w:rPr>
        <w:t xml:space="preserve"> </w:t>
      </w:r>
      <w:r w:rsidRPr="00616A31">
        <w:rPr>
          <w:lang w:val="fr-FR"/>
        </w:rPr>
        <w:t>Une telle surreprésentation dans les prisons serait due, du moins en partie, à la surveillance policière excessive dont font l</w:t>
      </w:r>
      <w:r>
        <w:rPr>
          <w:lang w:val="fr-FR"/>
        </w:rPr>
        <w:t>’</w:t>
      </w:r>
      <w:r w:rsidRPr="00616A31">
        <w:rPr>
          <w:lang w:val="fr-FR"/>
        </w:rPr>
        <w:t>objet les Afro-Américains et leurs quartiers</w:t>
      </w:r>
      <w:r w:rsidRPr="00CD6B67">
        <w:rPr>
          <w:rStyle w:val="FootnoteReference"/>
        </w:rPr>
        <w:footnoteReference w:id="288"/>
      </w:r>
      <w:r>
        <w:rPr>
          <w:lang w:val="fr-FR"/>
        </w:rPr>
        <w:t>,</w:t>
      </w:r>
      <w:r w:rsidRPr="00293268">
        <w:rPr>
          <w:lang w:val="fr-FR"/>
        </w:rPr>
        <w:t xml:space="preserve"> </w:t>
      </w:r>
      <w:r w:rsidRPr="004C4C58">
        <w:rPr>
          <w:lang w:val="fr-FR"/>
        </w:rPr>
        <w:t>ainsi qu</w:t>
      </w:r>
      <w:r>
        <w:rPr>
          <w:lang w:val="fr-FR"/>
        </w:rPr>
        <w:t>’</w:t>
      </w:r>
      <w:r w:rsidRPr="004C4C58">
        <w:rPr>
          <w:lang w:val="fr-FR"/>
        </w:rPr>
        <w:t>à des poursuites et des accords de plaider-coupable plus agressifs de la part des procureurs locaux et fédérau</w:t>
      </w:r>
      <w:r>
        <w:rPr>
          <w:lang w:val="fr-FR"/>
        </w:rPr>
        <w:t>x</w:t>
      </w:r>
      <w:r w:rsidRPr="00CD6B67">
        <w:rPr>
          <w:rStyle w:val="FootnoteReference"/>
        </w:rPr>
        <w:footnoteReference w:id="289"/>
      </w:r>
      <w:r>
        <w:rPr>
          <w:lang w:val="fr-FR"/>
        </w:rPr>
        <w:t>.</w:t>
      </w:r>
      <w:r w:rsidRPr="00293268">
        <w:rPr>
          <w:lang w:val="fr-FR"/>
        </w:rPr>
        <w:t xml:space="preserve"> </w:t>
      </w:r>
      <w:r w:rsidRPr="0028462F">
        <w:rPr>
          <w:lang w:val="fr-FR"/>
        </w:rPr>
        <w:t>Les recherches indiquent également qu</w:t>
      </w:r>
      <w:r>
        <w:rPr>
          <w:lang w:val="fr-FR"/>
        </w:rPr>
        <w:t>’</w:t>
      </w:r>
      <w:r w:rsidRPr="0028462F">
        <w:rPr>
          <w:lang w:val="fr-FR"/>
        </w:rPr>
        <w:t>un nombre disproportionné d</w:t>
      </w:r>
      <w:r>
        <w:rPr>
          <w:lang w:val="fr-FR"/>
        </w:rPr>
        <w:t>’</w:t>
      </w:r>
      <w:r w:rsidRPr="0028462F">
        <w:rPr>
          <w:lang w:val="fr-FR"/>
        </w:rPr>
        <w:t>Afro-Américains sont injustement condamnés</w:t>
      </w:r>
      <w:r>
        <w:rPr>
          <w:lang w:val="fr-FR"/>
        </w:rPr>
        <w:t>. De fait,</w:t>
      </w:r>
      <w:r w:rsidRPr="0028462F">
        <w:rPr>
          <w:lang w:val="fr-FR"/>
        </w:rPr>
        <w:t xml:space="preserve"> 63</w:t>
      </w:r>
      <w:r w:rsidR="00E53DDC">
        <w:rPr>
          <w:lang w:val="fr-FR"/>
        </w:rPr>
        <w:t> %</w:t>
      </w:r>
      <w:r w:rsidRPr="0028462F">
        <w:rPr>
          <w:lang w:val="fr-FR"/>
        </w:rPr>
        <w:t xml:space="preserve"> des personnes disculpées grâce à des preuves génétiques sont </w:t>
      </w:r>
      <w:r w:rsidR="00F42889">
        <w:rPr>
          <w:lang w:val="fr-FR"/>
        </w:rPr>
        <w:t>A</w:t>
      </w:r>
      <w:r w:rsidRPr="0028462F">
        <w:rPr>
          <w:lang w:val="fr-FR"/>
        </w:rPr>
        <w:t>fro-</w:t>
      </w:r>
      <w:r w:rsidR="00F42889">
        <w:rPr>
          <w:lang w:val="fr-FR"/>
        </w:rPr>
        <w:t>A</w:t>
      </w:r>
      <w:r w:rsidRPr="0028462F">
        <w:rPr>
          <w:lang w:val="fr-FR"/>
        </w:rPr>
        <w:t>méricaines</w:t>
      </w:r>
      <w:r w:rsidRPr="00CD6B67">
        <w:rPr>
          <w:rStyle w:val="FootnoteReference"/>
        </w:rPr>
        <w:footnoteReference w:id="290"/>
      </w:r>
      <w:r>
        <w:rPr>
          <w:lang w:val="fr-FR"/>
        </w:rPr>
        <w:t>.</w:t>
      </w:r>
    </w:p>
    <w:p w14:paraId="3D6587EC" w14:textId="163ECC2D" w:rsidR="00865E37" w:rsidRPr="00293268" w:rsidRDefault="00865E37" w:rsidP="00865E37">
      <w:pPr>
        <w:pStyle w:val="SingleTxtG"/>
        <w:rPr>
          <w:lang w:val="fr-FR"/>
        </w:rPr>
      </w:pPr>
      <w:r w:rsidRPr="00293268">
        <w:rPr>
          <w:lang w:val="fr-FR"/>
        </w:rPr>
        <w:t>97.</w:t>
      </w:r>
      <w:r w:rsidRPr="00293268">
        <w:rPr>
          <w:lang w:val="fr-FR"/>
        </w:rPr>
        <w:tab/>
      </w:r>
      <w:r w:rsidRPr="00FB6BED">
        <w:rPr>
          <w:lang w:val="fr-FR"/>
        </w:rPr>
        <w:t>En juin 2020, selon des données officielles, 12,8</w:t>
      </w:r>
      <w:r w:rsidR="00E53DDC">
        <w:rPr>
          <w:lang w:val="fr-FR"/>
        </w:rPr>
        <w:t> %</w:t>
      </w:r>
      <w:r w:rsidRPr="00FB6BED">
        <w:rPr>
          <w:lang w:val="fr-FR"/>
        </w:rPr>
        <w:t xml:space="preserve"> de la population carcérale</w:t>
      </w:r>
      <w:r w:rsidRPr="00CD6B67">
        <w:rPr>
          <w:rStyle w:val="FootnoteReference"/>
        </w:rPr>
        <w:footnoteReference w:id="291"/>
      </w:r>
      <w:r w:rsidRPr="00293268">
        <w:rPr>
          <w:lang w:val="fr-FR"/>
        </w:rPr>
        <w:t xml:space="preserve"> </w:t>
      </w:r>
      <w:r w:rsidRPr="0041602F">
        <w:rPr>
          <w:lang w:val="fr-FR"/>
        </w:rPr>
        <w:t>en Angleterre et au Pays de Galles était «</w:t>
      </w:r>
      <w:r w:rsidR="00A3507E">
        <w:rPr>
          <w:lang w:val="fr-FR"/>
        </w:rPr>
        <w:t>N</w:t>
      </w:r>
      <w:r w:rsidRPr="0041602F">
        <w:rPr>
          <w:lang w:val="fr-FR"/>
        </w:rPr>
        <w:t xml:space="preserve">oire ou </w:t>
      </w:r>
      <w:r w:rsidR="00A3507E">
        <w:rPr>
          <w:lang w:val="fr-FR"/>
        </w:rPr>
        <w:t>N</w:t>
      </w:r>
      <w:r w:rsidRPr="0041602F">
        <w:rPr>
          <w:lang w:val="fr-FR"/>
        </w:rPr>
        <w:t>oire britannique »</w:t>
      </w:r>
      <w:r>
        <w:rPr>
          <w:lang w:val="fr-FR"/>
        </w:rPr>
        <w:t>,</w:t>
      </w:r>
      <w:r w:rsidRPr="00293268">
        <w:rPr>
          <w:lang w:val="fr-FR"/>
        </w:rPr>
        <w:t xml:space="preserve"> </w:t>
      </w:r>
      <w:r>
        <w:rPr>
          <w:lang w:val="fr-FR"/>
        </w:rPr>
        <w:t xml:space="preserve">alors même que les Noirs ne représentaient, selon le recensement national de </w:t>
      </w:r>
      <w:r w:rsidRPr="00293268">
        <w:rPr>
          <w:lang w:val="fr-FR"/>
        </w:rPr>
        <w:t xml:space="preserve">2011, </w:t>
      </w:r>
      <w:r>
        <w:rPr>
          <w:lang w:val="fr-FR"/>
        </w:rPr>
        <w:t>que</w:t>
      </w:r>
      <w:r w:rsidRPr="00293268">
        <w:rPr>
          <w:lang w:val="fr-FR"/>
        </w:rPr>
        <w:t xml:space="preserve"> 3</w:t>
      </w:r>
      <w:r>
        <w:rPr>
          <w:lang w:val="fr-FR"/>
        </w:rPr>
        <w:t>,</w:t>
      </w:r>
      <w:r w:rsidRPr="00293268">
        <w:rPr>
          <w:lang w:val="fr-FR"/>
        </w:rPr>
        <w:t>4</w:t>
      </w:r>
      <w:r w:rsidR="00E53DDC">
        <w:rPr>
          <w:lang w:val="fr-FR"/>
        </w:rPr>
        <w:t> %</w:t>
      </w:r>
      <w:r>
        <w:rPr>
          <w:lang w:val="fr-FR"/>
        </w:rPr>
        <w:t xml:space="preserve"> de la population totale du Royaume-Uni</w:t>
      </w:r>
      <w:r w:rsidRPr="00CD6B67">
        <w:rPr>
          <w:rStyle w:val="FootnoteReference"/>
        </w:rPr>
        <w:footnoteReference w:id="292"/>
      </w:r>
      <w:r>
        <w:rPr>
          <w:lang w:val="fr-FR"/>
        </w:rPr>
        <w:t>.</w:t>
      </w:r>
      <w:r w:rsidRPr="00293268">
        <w:rPr>
          <w:lang w:val="fr-FR"/>
        </w:rPr>
        <w:t xml:space="preserve"> </w:t>
      </w:r>
      <w:r w:rsidRPr="00EE4CF8">
        <w:rPr>
          <w:lang w:val="fr-FR"/>
        </w:rPr>
        <w:t>En outre, la société civile a indiqué que «</w:t>
      </w:r>
      <w:r w:rsidR="00A0070E">
        <w:rPr>
          <w:lang w:val="fr-FR"/>
        </w:rPr>
        <w:t> </w:t>
      </w:r>
      <w:r w:rsidRPr="00EE4CF8">
        <w:rPr>
          <w:lang w:val="fr-FR"/>
        </w:rPr>
        <w:t>les Noirs ont deux fois plus de risques de mourir en garde à vue que toute autre ethnie</w:t>
      </w:r>
      <w:r w:rsidR="00A0070E">
        <w:rPr>
          <w:lang w:val="fr-FR"/>
        </w:rPr>
        <w:t> </w:t>
      </w:r>
      <w:r w:rsidRPr="00EE4CF8">
        <w:rPr>
          <w:lang w:val="fr-FR"/>
        </w:rPr>
        <w:t>»</w:t>
      </w:r>
      <w:r w:rsidRPr="00CD6B67">
        <w:rPr>
          <w:rStyle w:val="FootnoteReference"/>
        </w:rPr>
        <w:footnoteReference w:id="293"/>
      </w:r>
      <w:r w:rsidRPr="00293268">
        <w:rPr>
          <w:lang w:val="fr-FR"/>
        </w:rPr>
        <w:t xml:space="preserve"> </w:t>
      </w:r>
      <w:r w:rsidRPr="0008643A">
        <w:rPr>
          <w:lang w:val="fr-FR"/>
        </w:rPr>
        <w:t>et que plus d</w:t>
      </w:r>
      <w:r>
        <w:rPr>
          <w:lang w:val="fr-FR"/>
        </w:rPr>
        <w:t>’</w:t>
      </w:r>
      <w:r w:rsidRPr="0008643A">
        <w:rPr>
          <w:lang w:val="fr-FR"/>
        </w:rPr>
        <w:t>un tiers des décès de personnes détenues par les services de l</w:t>
      </w:r>
      <w:r>
        <w:rPr>
          <w:lang w:val="fr-FR"/>
        </w:rPr>
        <w:t>’</w:t>
      </w:r>
      <w:r w:rsidRPr="0008643A">
        <w:rPr>
          <w:lang w:val="fr-FR"/>
        </w:rPr>
        <w:t xml:space="preserve">immigration depuis 2000 </w:t>
      </w:r>
      <w:r>
        <w:rPr>
          <w:lang w:val="fr-FR"/>
        </w:rPr>
        <w:t>étaient</w:t>
      </w:r>
      <w:r w:rsidRPr="0008643A">
        <w:rPr>
          <w:lang w:val="fr-FR"/>
        </w:rPr>
        <w:t xml:space="preserve"> «</w:t>
      </w:r>
      <w:r w:rsidR="00A0070E">
        <w:rPr>
          <w:lang w:val="fr-FR"/>
        </w:rPr>
        <w:t> </w:t>
      </w:r>
      <w:r w:rsidRPr="0008643A">
        <w:rPr>
          <w:lang w:val="fr-FR"/>
        </w:rPr>
        <w:t>des Noirs d</w:t>
      </w:r>
      <w:r>
        <w:rPr>
          <w:lang w:val="fr-FR"/>
        </w:rPr>
        <w:t>’</w:t>
      </w:r>
      <w:r w:rsidRPr="0008643A">
        <w:rPr>
          <w:lang w:val="fr-FR"/>
        </w:rPr>
        <w:t>Afrique, des Caraïbes ou d</w:t>
      </w:r>
      <w:r>
        <w:rPr>
          <w:lang w:val="fr-FR"/>
        </w:rPr>
        <w:t>’</w:t>
      </w:r>
      <w:r w:rsidRPr="0008643A">
        <w:rPr>
          <w:lang w:val="fr-FR"/>
        </w:rPr>
        <w:t>autres ethnies noires</w:t>
      </w:r>
      <w:r w:rsidR="00A0070E">
        <w:rPr>
          <w:lang w:val="fr-FR"/>
        </w:rPr>
        <w:t> </w:t>
      </w:r>
      <w:r w:rsidRPr="0008643A">
        <w:rPr>
          <w:lang w:val="fr-FR"/>
        </w:rPr>
        <w:t>»</w:t>
      </w:r>
      <w:r w:rsidRPr="00CD6B67">
        <w:rPr>
          <w:rStyle w:val="FootnoteReference"/>
        </w:rPr>
        <w:footnoteReference w:id="294"/>
      </w:r>
      <w:r>
        <w:rPr>
          <w:lang w:val="fr-FR"/>
        </w:rPr>
        <w:t>.</w:t>
      </w:r>
      <w:r w:rsidRPr="00293268">
        <w:rPr>
          <w:lang w:val="fr-FR"/>
        </w:rPr>
        <w:t xml:space="preserve"> </w:t>
      </w:r>
      <w:r>
        <w:rPr>
          <w:lang w:val="fr-FR"/>
        </w:rPr>
        <w:t>E</w:t>
      </w:r>
      <w:r w:rsidRPr="00293268">
        <w:rPr>
          <w:lang w:val="fr-FR"/>
        </w:rPr>
        <w:t xml:space="preserve">n 2018-2019, </w:t>
      </w:r>
      <w:r w:rsidRPr="003E3A0F">
        <w:rPr>
          <w:lang w:val="fr-FR"/>
        </w:rPr>
        <w:t>«</w:t>
      </w:r>
      <w:r w:rsidR="00A0070E">
        <w:rPr>
          <w:lang w:val="fr-FR"/>
        </w:rPr>
        <w:t> </w:t>
      </w:r>
      <w:r w:rsidRPr="003E3A0F">
        <w:rPr>
          <w:lang w:val="fr-FR"/>
        </w:rPr>
        <w:t xml:space="preserve">les taux connus de détention de personnes noires ou noires britanniques en </w:t>
      </w:r>
      <w:r>
        <w:rPr>
          <w:lang w:val="fr-FR"/>
        </w:rPr>
        <w:t>application</w:t>
      </w:r>
      <w:r w:rsidRPr="003E3A0F">
        <w:rPr>
          <w:lang w:val="fr-FR"/>
        </w:rPr>
        <w:t xml:space="preserve"> de la loi sur la santé mentale étaient quatre fois plus élevés que c</w:t>
      </w:r>
      <w:r>
        <w:rPr>
          <w:lang w:val="fr-FR"/>
        </w:rPr>
        <w:t xml:space="preserve">eux </w:t>
      </w:r>
      <w:r w:rsidRPr="003E3A0F">
        <w:rPr>
          <w:lang w:val="fr-FR"/>
        </w:rPr>
        <w:t>des personnes blanches britanniques</w:t>
      </w:r>
      <w:r w:rsidR="00A0070E">
        <w:rPr>
          <w:lang w:val="fr-FR"/>
        </w:rPr>
        <w:t> </w:t>
      </w:r>
      <w:r>
        <w:rPr>
          <w:lang w:val="fr-FR"/>
        </w:rPr>
        <w:t>»</w:t>
      </w:r>
      <w:r w:rsidRPr="00CD6B67">
        <w:rPr>
          <w:rStyle w:val="FootnoteReference"/>
        </w:rPr>
        <w:footnoteReference w:id="295"/>
      </w:r>
      <w:r>
        <w:rPr>
          <w:lang w:val="fr-FR"/>
        </w:rPr>
        <w:t>. Au</w:t>
      </w:r>
      <w:r w:rsidR="00A0070E">
        <w:rPr>
          <w:lang w:val="fr-FR"/>
        </w:rPr>
        <w:t> </w:t>
      </w:r>
      <w:r w:rsidRPr="00293268">
        <w:rPr>
          <w:lang w:val="fr-FR"/>
        </w:rPr>
        <w:t xml:space="preserve">Canada, </w:t>
      </w:r>
      <w:r w:rsidRPr="00D42C2B">
        <w:rPr>
          <w:lang w:val="fr-FR"/>
        </w:rPr>
        <w:t>alors qu</w:t>
      </w:r>
      <w:r>
        <w:rPr>
          <w:lang w:val="fr-FR"/>
        </w:rPr>
        <w:t>’</w:t>
      </w:r>
      <w:r w:rsidRPr="00D42C2B">
        <w:rPr>
          <w:lang w:val="fr-FR"/>
        </w:rPr>
        <w:t>ils représentaient 3,5</w:t>
      </w:r>
      <w:r w:rsidR="00E53DDC">
        <w:rPr>
          <w:lang w:val="fr-FR"/>
        </w:rPr>
        <w:t> %</w:t>
      </w:r>
      <w:r w:rsidRPr="00D42C2B">
        <w:rPr>
          <w:lang w:val="fr-FR"/>
        </w:rPr>
        <w:t xml:space="preserve"> de la population totale en 2019</w:t>
      </w:r>
      <w:r w:rsidRPr="00CD6B67">
        <w:rPr>
          <w:rStyle w:val="FootnoteReference"/>
        </w:rPr>
        <w:footnoteReference w:id="296"/>
      </w:r>
      <w:r w:rsidRPr="00D42C2B">
        <w:rPr>
          <w:lang w:val="fr-FR"/>
        </w:rPr>
        <w:t xml:space="preserve">, </w:t>
      </w:r>
      <w:r>
        <w:rPr>
          <w:lang w:val="fr-FR"/>
        </w:rPr>
        <w:t>les «</w:t>
      </w:r>
      <w:r w:rsidR="00A0070E">
        <w:rPr>
          <w:lang w:val="fr-FR"/>
        </w:rPr>
        <w:t> </w:t>
      </w:r>
      <w:r>
        <w:rPr>
          <w:lang w:val="fr-FR"/>
        </w:rPr>
        <w:t>détenus noirs</w:t>
      </w:r>
      <w:r w:rsidRPr="00293268">
        <w:rPr>
          <w:lang w:val="fr-FR"/>
        </w:rPr>
        <w:t xml:space="preserve"> […]</w:t>
      </w:r>
      <w:r>
        <w:rPr>
          <w:lang w:val="fr-FR"/>
        </w:rPr>
        <w:t xml:space="preserve"> représent[ai]ent</w:t>
      </w:r>
      <w:r w:rsidRPr="00293268">
        <w:rPr>
          <w:lang w:val="fr-FR"/>
        </w:rPr>
        <w:t xml:space="preserve"> </w:t>
      </w:r>
      <w:r w:rsidRPr="0086070B">
        <w:rPr>
          <w:lang w:val="fr-FR"/>
        </w:rPr>
        <w:t>8</w:t>
      </w:r>
      <w:r w:rsidR="00E53DDC">
        <w:rPr>
          <w:lang w:val="fr-FR"/>
        </w:rPr>
        <w:t> %</w:t>
      </w:r>
      <w:r w:rsidRPr="0086070B">
        <w:rPr>
          <w:lang w:val="fr-FR"/>
        </w:rPr>
        <w:t xml:space="preserve"> de la population carcérale totale</w:t>
      </w:r>
      <w:r w:rsidR="00A0070E">
        <w:rPr>
          <w:lang w:val="fr-FR"/>
        </w:rPr>
        <w:t> </w:t>
      </w:r>
      <w:r>
        <w:rPr>
          <w:lang w:val="fr-FR"/>
        </w:rPr>
        <w:t>»</w:t>
      </w:r>
      <w:r w:rsidRPr="00CD6B67">
        <w:rPr>
          <w:rStyle w:val="FootnoteReference"/>
        </w:rPr>
        <w:footnoteReference w:id="297"/>
      </w:r>
      <w:r>
        <w:rPr>
          <w:lang w:val="fr-FR"/>
        </w:rPr>
        <w:t>, selon</w:t>
      </w:r>
      <w:r w:rsidRPr="00DF4EA0">
        <w:rPr>
          <w:lang w:val="fr-FR"/>
        </w:rPr>
        <w:t xml:space="preserve"> </w:t>
      </w:r>
      <w:r w:rsidRPr="004C5320">
        <w:rPr>
          <w:lang w:val="fr-FR"/>
        </w:rPr>
        <w:t>les statistiques officielles de 2018-2019</w:t>
      </w:r>
      <w:r>
        <w:rPr>
          <w:lang w:val="fr-FR"/>
        </w:rPr>
        <w:t>.</w:t>
      </w:r>
    </w:p>
    <w:p w14:paraId="7B1C45A4" w14:textId="7A7BAD5D" w:rsidR="00865E37" w:rsidRPr="00656151" w:rsidRDefault="00865E37" w:rsidP="00865E37">
      <w:pPr>
        <w:pStyle w:val="SingleTxtG"/>
        <w:rPr>
          <w:lang w:val="fr-FR"/>
        </w:rPr>
      </w:pPr>
      <w:r w:rsidRPr="00293268">
        <w:rPr>
          <w:lang w:val="fr-FR"/>
        </w:rPr>
        <w:t>98.</w:t>
      </w:r>
      <w:r w:rsidRPr="00293268">
        <w:rPr>
          <w:lang w:val="fr-FR"/>
        </w:rPr>
        <w:tab/>
      </w:r>
      <w:r w:rsidRPr="00BB00C6">
        <w:rPr>
          <w:lang w:val="fr-FR"/>
        </w:rPr>
        <w:t xml:space="preserve">Certains États ont recours à de nouvelles technologies, comme le profilage algorithmique, </w:t>
      </w:r>
      <w:r w:rsidRPr="00520752">
        <w:rPr>
          <w:lang w:val="fr-FR"/>
        </w:rPr>
        <w:t xml:space="preserve">de manière à prévoir </w:t>
      </w:r>
      <w:r>
        <w:rPr>
          <w:lang w:val="fr-FR"/>
        </w:rPr>
        <w:t>la probabilité qu’</w:t>
      </w:r>
      <w:r w:rsidRPr="00520752">
        <w:rPr>
          <w:lang w:val="fr-FR"/>
        </w:rPr>
        <w:t xml:space="preserve">un individu </w:t>
      </w:r>
      <w:r>
        <w:rPr>
          <w:lang w:val="fr-FR"/>
        </w:rPr>
        <w:t>commette</w:t>
      </w:r>
      <w:r w:rsidRPr="00520752">
        <w:rPr>
          <w:lang w:val="fr-FR"/>
        </w:rPr>
        <w:t xml:space="preserve"> un</w:t>
      </w:r>
      <w:r>
        <w:rPr>
          <w:lang w:val="fr-FR"/>
        </w:rPr>
        <w:t>e</w:t>
      </w:r>
      <w:r w:rsidRPr="00520752">
        <w:rPr>
          <w:lang w:val="fr-FR"/>
        </w:rPr>
        <w:t xml:space="preserve"> ou plusieurs </w:t>
      </w:r>
      <w:r>
        <w:rPr>
          <w:lang w:val="fr-FR"/>
        </w:rPr>
        <w:t>infraction</w:t>
      </w:r>
      <w:r w:rsidRPr="00520752">
        <w:rPr>
          <w:lang w:val="fr-FR"/>
        </w:rPr>
        <w:t>s</w:t>
      </w:r>
      <w:r w:rsidRPr="00293268">
        <w:rPr>
          <w:lang w:val="fr-FR"/>
        </w:rPr>
        <w:t>.</w:t>
      </w:r>
      <w:r>
        <w:rPr>
          <w:lang w:val="fr-FR"/>
        </w:rPr>
        <w:t xml:space="preserve"> Il semblerait que les</w:t>
      </w:r>
      <w:r w:rsidRPr="00E42CB6">
        <w:rPr>
          <w:lang w:val="fr-FR"/>
        </w:rPr>
        <w:t xml:space="preserve"> autorités </w:t>
      </w:r>
      <w:r>
        <w:rPr>
          <w:lang w:val="fr-FR"/>
        </w:rPr>
        <w:t xml:space="preserve">cherchent à recueillir </w:t>
      </w:r>
      <w:r w:rsidRPr="00CA1E6C">
        <w:rPr>
          <w:lang w:val="fr-FR"/>
        </w:rPr>
        <w:t>des renseignements au</w:t>
      </w:r>
      <w:r>
        <w:rPr>
          <w:lang w:val="fr-FR"/>
        </w:rPr>
        <w:t xml:space="preserve"> </w:t>
      </w:r>
      <w:r w:rsidRPr="00CA1E6C">
        <w:rPr>
          <w:lang w:val="fr-FR"/>
        </w:rPr>
        <w:t xml:space="preserve">sujet des antécédents judiciaires </w:t>
      </w:r>
      <w:r>
        <w:rPr>
          <w:lang w:val="fr-FR"/>
        </w:rPr>
        <w:t>de certains individus</w:t>
      </w:r>
      <w:r w:rsidRPr="00CA1E6C">
        <w:rPr>
          <w:lang w:val="fr-FR"/>
        </w:rPr>
        <w:t xml:space="preserve">, de </w:t>
      </w:r>
      <w:r>
        <w:rPr>
          <w:lang w:val="fr-FR"/>
        </w:rPr>
        <w:t>leur</w:t>
      </w:r>
      <w:r w:rsidRPr="00CA1E6C">
        <w:rPr>
          <w:lang w:val="fr-FR"/>
        </w:rPr>
        <w:t xml:space="preserve"> famille et de </w:t>
      </w:r>
      <w:r>
        <w:rPr>
          <w:lang w:val="fr-FR"/>
        </w:rPr>
        <w:t>leurs</w:t>
      </w:r>
      <w:r w:rsidRPr="00CA1E6C">
        <w:rPr>
          <w:lang w:val="fr-FR"/>
        </w:rPr>
        <w:t xml:space="preserve"> amis et de </w:t>
      </w:r>
      <w:r>
        <w:rPr>
          <w:lang w:val="fr-FR"/>
        </w:rPr>
        <w:t>leur</w:t>
      </w:r>
      <w:r w:rsidRPr="00CA1E6C">
        <w:rPr>
          <w:lang w:val="fr-FR"/>
        </w:rPr>
        <w:t xml:space="preserve"> situation</w:t>
      </w:r>
      <w:r>
        <w:rPr>
          <w:lang w:val="fr-FR"/>
        </w:rPr>
        <w:t xml:space="preserve"> </w:t>
      </w:r>
      <w:r w:rsidRPr="00CA1E6C">
        <w:rPr>
          <w:lang w:val="fr-FR"/>
        </w:rPr>
        <w:t>sociale</w:t>
      </w:r>
      <w:r>
        <w:rPr>
          <w:lang w:val="fr-FR"/>
        </w:rPr>
        <w:t>, ainsi que d’autres renseignement,</w:t>
      </w:r>
      <w:r w:rsidRPr="00293268">
        <w:rPr>
          <w:lang w:val="fr-FR"/>
        </w:rPr>
        <w:t xml:space="preserve"> </w:t>
      </w:r>
      <w:r w:rsidRPr="000E21F9">
        <w:rPr>
          <w:lang w:val="fr-FR"/>
        </w:rPr>
        <w:t>afin d</w:t>
      </w:r>
      <w:r>
        <w:rPr>
          <w:lang w:val="fr-FR"/>
        </w:rPr>
        <w:t>’</w:t>
      </w:r>
      <w:r w:rsidRPr="000E21F9">
        <w:rPr>
          <w:lang w:val="fr-FR"/>
        </w:rPr>
        <w:t>évaluer le</w:t>
      </w:r>
      <w:r>
        <w:rPr>
          <w:lang w:val="fr-FR"/>
        </w:rPr>
        <w:t xml:space="preserve"> niveau de «</w:t>
      </w:r>
      <w:r w:rsidR="003064B5">
        <w:rPr>
          <w:lang w:val="fr-FR"/>
        </w:rPr>
        <w:t> </w:t>
      </w:r>
      <w:r>
        <w:rPr>
          <w:lang w:val="fr-FR"/>
        </w:rPr>
        <w:t>danger</w:t>
      </w:r>
      <w:r w:rsidR="003064B5">
        <w:rPr>
          <w:lang w:val="fr-FR"/>
        </w:rPr>
        <w:t> </w:t>
      </w:r>
      <w:r>
        <w:rPr>
          <w:lang w:val="fr-FR"/>
        </w:rPr>
        <w:t>» qu’ils</w:t>
      </w:r>
      <w:r w:rsidRPr="00C9671C">
        <w:rPr>
          <w:lang w:val="fr-FR"/>
        </w:rPr>
        <w:t xml:space="preserve"> représente</w:t>
      </w:r>
      <w:r>
        <w:rPr>
          <w:lang w:val="fr-FR"/>
        </w:rPr>
        <w:t>nt</w:t>
      </w:r>
      <w:r w:rsidRPr="00CD6B67">
        <w:rPr>
          <w:rStyle w:val="FootnoteReference"/>
        </w:rPr>
        <w:footnoteReference w:id="298"/>
      </w:r>
      <w:r>
        <w:rPr>
          <w:lang w:val="fr-FR"/>
        </w:rPr>
        <w:t>.</w:t>
      </w:r>
      <w:r w:rsidRPr="00293268">
        <w:rPr>
          <w:lang w:val="fr-FR"/>
        </w:rPr>
        <w:t xml:space="preserve"> </w:t>
      </w:r>
      <w:r w:rsidRPr="005B7155">
        <w:rPr>
          <w:lang w:val="fr-FR"/>
        </w:rPr>
        <w:t xml:space="preserve">Comme pour la police prédictive (voir ci-dessus), des inquiétudes ont été </w:t>
      </w:r>
      <w:r>
        <w:rPr>
          <w:lang w:val="fr-FR"/>
        </w:rPr>
        <w:t>exprimées</w:t>
      </w:r>
      <w:r w:rsidRPr="005B7155">
        <w:rPr>
          <w:lang w:val="fr-FR"/>
        </w:rPr>
        <w:t xml:space="preserve"> quant </w:t>
      </w:r>
      <w:r w:rsidR="003064B5">
        <w:rPr>
          <w:lang w:val="fr-FR"/>
        </w:rPr>
        <w:t xml:space="preserve">au </w:t>
      </w:r>
      <w:r>
        <w:rPr>
          <w:lang w:val="fr-FR"/>
        </w:rPr>
        <w:t>risque</w:t>
      </w:r>
      <w:r w:rsidRPr="005B7155">
        <w:rPr>
          <w:lang w:val="fr-FR"/>
        </w:rPr>
        <w:t xml:space="preserve"> que de telles pratiques </w:t>
      </w:r>
      <w:r>
        <w:rPr>
          <w:lang w:val="fr-FR"/>
        </w:rPr>
        <w:t xml:space="preserve">ne </w:t>
      </w:r>
      <w:r w:rsidRPr="005B7155">
        <w:rPr>
          <w:lang w:val="fr-FR"/>
        </w:rPr>
        <w:t>reproduisent et renforcent les préjugés</w:t>
      </w:r>
      <w:r w:rsidRPr="00CD6B67">
        <w:rPr>
          <w:rStyle w:val="FootnoteReference"/>
        </w:rPr>
        <w:footnoteReference w:id="299"/>
      </w:r>
      <w:r>
        <w:rPr>
          <w:lang w:val="fr-FR"/>
        </w:rPr>
        <w:t>.</w:t>
      </w:r>
      <w:r w:rsidRPr="00293268">
        <w:rPr>
          <w:lang w:val="fr-FR"/>
        </w:rPr>
        <w:t xml:space="preserve"> </w:t>
      </w:r>
      <w:r w:rsidRPr="00106851">
        <w:rPr>
          <w:lang w:val="fr-FR"/>
        </w:rPr>
        <w:t>Par exemple, un rapport d</w:t>
      </w:r>
      <w:r>
        <w:rPr>
          <w:lang w:val="fr-FR"/>
        </w:rPr>
        <w:t>’</w:t>
      </w:r>
      <w:r w:rsidRPr="00106851">
        <w:rPr>
          <w:lang w:val="fr-FR"/>
        </w:rPr>
        <w:t>un journaliste d</w:t>
      </w:r>
      <w:r>
        <w:rPr>
          <w:lang w:val="fr-FR"/>
        </w:rPr>
        <w:t>’</w:t>
      </w:r>
      <w:r w:rsidRPr="00106851">
        <w:rPr>
          <w:lang w:val="fr-FR"/>
        </w:rPr>
        <w:t>investigation sur le</w:t>
      </w:r>
      <w:r>
        <w:rPr>
          <w:lang w:val="fr-FR"/>
        </w:rPr>
        <w:t xml:space="preserve"> </w:t>
      </w:r>
      <w:r w:rsidRPr="00106851">
        <w:rPr>
          <w:lang w:val="fr-FR"/>
        </w:rPr>
        <w:t xml:space="preserve">Correctional Offender Management Profiling for Alternative Sanctions (COMPAS), un </w:t>
      </w:r>
      <w:r>
        <w:rPr>
          <w:lang w:val="fr-FR"/>
        </w:rPr>
        <w:t>logiciel</w:t>
      </w:r>
      <w:r w:rsidRPr="00106851">
        <w:rPr>
          <w:lang w:val="fr-FR"/>
        </w:rPr>
        <w:t xml:space="preserve"> largement utilisé par les tribunaux aux États-Unis, a révélé que </w:t>
      </w:r>
      <w:r>
        <w:rPr>
          <w:lang w:val="fr-FR"/>
        </w:rPr>
        <w:t>«</w:t>
      </w:r>
      <w:r w:rsidR="003064B5">
        <w:rPr>
          <w:lang w:val="fr-FR"/>
        </w:rPr>
        <w:t> </w:t>
      </w:r>
      <w:r w:rsidRPr="00106851">
        <w:rPr>
          <w:lang w:val="fr-FR"/>
        </w:rPr>
        <w:t>les Noirs sont presque deux fois plus susceptibles que les Blancs d</w:t>
      </w:r>
      <w:r>
        <w:rPr>
          <w:lang w:val="fr-FR"/>
        </w:rPr>
        <w:t>’</w:t>
      </w:r>
      <w:r w:rsidRPr="00106851">
        <w:rPr>
          <w:lang w:val="fr-FR"/>
        </w:rPr>
        <w:t xml:space="preserve">être </w:t>
      </w:r>
      <w:r w:rsidRPr="005F166C">
        <w:rPr>
          <w:lang w:val="fr-FR"/>
        </w:rPr>
        <w:t xml:space="preserve">considérées comme étant </w:t>
      </w:r>
      <w:r>
        <w:rPr>
          <w:lang w:val="fr-FR"/>
        </w:rPr>
        <w:t>à haut risque de récidive,</w:t>
      </w:r>
      <w:r w:rsidRPr="00106851">
        <w:rPr>
          <w:lang w:val="fr-FR"/>
        </w:rPr>
        <w:t xml:space="preserve"> </w:t>
      </w:r>
      <w:r w:rsidRPr="00C778C4">
        <w:rPr>
          <w:lang w:val="fr-FR"/>
        </w:rPr>
        <w:t xml:space="preserve">sans que </w:t>
      </w:r>
      <w:r>
        <w:rPr>
          <w:lang w:val="fr-FR"/>
        </w:rPr>
        <w:t>cela ne se vérifie dans les</w:t>
      </w:r>
      <w:r w:rsidRPr="00C778C4">
        <w:rPr>
          <w:lang w:val="fr-FR"/>
        </w:rPr>
        <w:t xml:space="preserve"> faits</w:t>
      </w:r>
      <w:r w:rsidR="003064B5">
        <w:rPr>
          <w:lang w:val="fr-FR"/>
        </w:rPr>
        <w:t> </w:t>
      </w:r>
      <w:r>
        <w:rPr>
          <w:lang w:val="fr-FR"/>
        </w:rPr>
        <w:t>»</w:t>
      </w:r>
      <w:r w:rsidRPr="00CD6B67">
        <w:rPr>
          <w:rStyle w:val="FootnoteReference"/>
        </w:rPr>
        <w:footnoteReference w:id="300"/>
      </w:r>
      <w:r>
        <w:rPr>
          <w:lang w:val="fr-FR"/>
        </w:rPr>
        <w:t>.</w:t>
      </w:r>
      <w:r w:rsidRPr="00293268">
        <w:rPr>
          <w:lang w:val="fr-FR"/>
        </w:rPr>
        <w:t xml:space="preserve"> </w:t>
      </w:r>
      <w:r w:rsidRPr="000929E6">
        <w:rPr>
          <w:lang w:val="fr-FR"/>
        </w:rPr>
        <w:t xml:space="preserve">Étant donné que ces algorithmes influencent le prononcé de la </w:t>
      </w:r>
      <w:r w:rsidRPr="00656151">
        <w:rPr>
          <w:lang w:val="fr-FR"/>
        </w:rPr>
        <w:t>peine, ils peuvent violer les droits d</w:t>
      </w:r>
      <w:r>
        <w:rPr>
          <w:lang w:val="fr-FR"/>
        </w:rPr>
        <w:t>’</w:t>
      </w:r>
      <w:r w:rsidRPr="00656151">
        <w:rPr>
          <w:lang w:val="fr-FR"/>
        </w:rPr>
        <w:t>une personne à l</w:t>
      </w:r>
      <w:r>
        <w:rPr>
          <w:lang w:val="fr-FR"/>
        </w:rPr>
        <w:t>’</w:t>
      </w:r>
      <w:r w:rsidRPr="00656151">
        <w:rPr>
          <w:lang w:val="fr-FR"/>
        </w:rPr>
        <w:t>égalité devant la loi, à un procès équitable et à ne pas être arrêtée ou détenue arbitrairement</w:t>
      </w:r>
      <w:r w:rsidRPr="00CD6B67">
        <w:rPr>
          <w:rStyle w:val="FootnoteReference"/>
        </w:rPr>
        <w:footnoteReference w:id="301"/>
      </w:r>
      <w:r w:rsidRPr="00656151">
        <w:rPr>
          <w:lang w:val="fr-FR"/>
        </w:rPr>
        <w:t>.</w:t>
      </w:r>
    </w:p>
    <w:p w14:paraId="06A8ADC7" w14:textId="77777777" w:rsidR="00865E37" w:rsidRPr="00293268" w:rsidRDefault="00865E37" w:rsidP="00865E37">
      <w:pPr>
        <w:pStyle w:val="H23G"/>
        <w:rPr>
          <w:lang w:val="fr-FR"/>
        </w:rPr>
      </w:pPr>
      <w:bookmarkStart w:id="299" w:name="_Toc74254798"/>
      <w:bookmarkStart w:id="300" w:name="_Toc74303364"/>
      <w:bookmarkStart w:id="301" w:name="_Toc74305489"/>
      <w:bookmarkStart w:id="302" w:name="_Toc74337085"/>
      <w:bookmarkStart w:id="303" w:name="_Toc74340205"/>
      <w:bookmarkStart w:id="304" w:name="_Toc74344101"/>
      <w:bookmarkStart w:id="305" w:name="_Toc74561081"/>
      <w:bookmarkStart w:id="306" w:name="_Toc74562572"/>
      <w:bookmarkStart w:id="307" w:name="_Toc74657683"/>
      <w:bookmarkStart w:id="308" w:name="_Toc74661209"/>
      <w:bookmarkStart w:id="309" w:name="_Toc74666504"/>
      <w:bookmarkStart w:id="310" w:name="_Toc74671425"/>
      <w:bookmarkStart w:id="311" w:name="_Toc74867341"/>
      <w:bookmarkStart w:id="312" w:name="_Toc74919094"/>
      <w:bookmarkStart w:id="313" w:name="_Toc74919749"/>
      <w:bookmarkStart w:id="314" w:name="_Toc74925784"/>
      <w:bookmarkStart w:id="315" w:name="_Toc74927633"/>
      <w:r w:rsidRPr="00656151">
        <w:rPr>
          <w:lang w:val="fr-FR"/>
        </w:rPr>
        <w:tab/>
        <w:t>3.</w:t>
      </w:r>
      <w:r w:rsidRPr="00656151">
        <w:rPr>
          <w:lang w:val="fr-FR"/>
        </w:rPr>
        <w:tab/>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656151">
        <w:rPr>
          <w:lang w:val="fr-FR"/>
        </w:rPr>
        <w:t>Politiques punitives en matière de drogues et peine de mort</w:t>
      </w:r>
    </w:p>
    <w:p w14:paraId="101F4EE3" w14:textId="51E1837F" w:rsidR="00865E37" w:rsidRPr="00293268" w:rsidRDefault="00865E37" w:rsidP="000C20B5">
      <w:pPr>
        <w:pStyle w:val="SingleTxtG"/>
        <w:spacing w:line="236" w:lineRule="atLeast"/>
        <w:rPr>
          <w:lang w:val="fr-FR"/>
        </w:rPr>
      </w:pPr>
      <w:r w:rsidRPr="00293268">
        <w:rPr>
          <w:lang w:val="fr-FR"/>
        </w:rPr>
        <w:t>99.</w:t>
      </w:r>
      <w:r w:rsidRPr="00293268">
        <w:rPr>
          <w:lang w:val="fr-FR"/>
        </w:rPr>
        <w:tab/>
      </w:r>
      <w:r w:rsidRPr="00E90874">
        <w:rPr>
          <w:lang w:val="fr-FR"/>
        </w:rPr>
        <w:t>Les personnes d</w:t>
      </w:r>
      <w:r>
        <w:rPr>
          <w:lang w:val="fr-FR"/>
        </w:rPr>
        <w:t>’</w:t>
      </w:r>
      <w:r w:rsidRPr="00E90874">
        <w:rPr>
          <w:lang w:val="fr-FR"/>
        </w:rPr>
        <w:t xml:space="preserve">ascendance africaine sont touchées de </w:t>
      </w:r>
      <w:r>
        <w:rPr>
          <w:lang w:val="fr-FR"/>
        </w:rPr>
        <w:t>manière</w:t>
      </w:r>
      <w:r w:rsidRPr="00E90874">
        <w:rPr>
          <w:lang w:val="fr-FR"/>
        </w:rPr>
        <w:t xml:space="preserve"> disproportionnée par </w:t>
      </w:r>
      <w:r>
        <w:rPr>
          <w:lang w:val="fr-FR"/>
        </w:rPr>
        <w:t>d</w:t>
      </w:r>
      <w:r w:rsidRPr="00E90874">
        <w:rPr>
          <w:lang w:val="fr-FR"/>
        </w:rPr>
        <w:t>es politiques antidrogues excessivement punitives et risquent davantage d</w:t>
      </w:r>
      <w:r>
        <w:rPr>
          <w:lang w:val="fr-FR"/>
        </w:rPr>
        <w:t>’</w:t>
      </w:r>
      <w:r w:rsidRPr="00E90874">
        <w:rPr>
          <w:lang w:val="fr-FR"/>
        </w:rPr>
        <w:t>être appréhendées, fouillées, arrêtées, reconnues coupables et condamnées à mort pour des infractions liées à la drogue</w:t>
      </w:r>
      <w:r w:rsidRPr="00CD6B67">
        <w:rPr>
          <w:rStyle w:val="FootnoteReference"/>
        </w:rPr>
        <w:footnoteReference w:id="302"/>
      </w:r>
      <w:r>
        <w:rPr>
          <w:lang w:val="fr-FR"/>
        </w:rPr>
        <w:t>.</w:t>
      </w:r>
      <w:r w:rsidRPr="00293268">
        <w:rPr>
          <w:lang w:val="fr-FR"/>
        </w:rPr>
        <w:t xml:space="preserve"> </w:t>
      </w:r>
      <w:r w:rsidRPr="003762A8">
        <w:rPr>
          <w:lang w:val="fr-FR"/>
        </w:rPr>
        <w:t>Certaines communications ont souligné qu</w:t>
      </w:r>
      <w:r>
        <w:rPr>
          <w:lang w:val="fr-FR"/>
        </w:rPr>
        <w:t>’</w:t>
      </w:r>
      <w:r w:rsidRPr="003762A8">
        <w:rPr>
          <w:lang w:val="fr-FR"/>
        </w:rPr>
        <w:t>en 2015, aux États</w:t>
      </w:r>
      <w:r w:rsidR="005B1C86">
        <w:rPr>
          <w:lang w:val="fr-FR"/>
        </w:rPr>
        <w:noBreakHyphen/>
      </w:r>
      <w:r w:rsidRPr="003762A8">
        <w:rPr>
          <w:lang w:val="fr-FR"/>
        </w:rPr>
        <w:t>Unis, «</w:t>
      </w:r>
      <w:r w:rsidR="005B1C86">
        <w:rPr>
          <w:lang w:val="fr-FR"/>
        </w:rPr>
        <w:t> </w:t>
      </w:r>
      <w:r w:rsidRPr="003762A8">
        <w:rPr>
          <w:lang w:val="fr-FR"/>
        </w:rPr>
        <w:t xml:space="preserve">les Afro-Américains </w:t>
      </w:r>
      <w:r>
        <w:rPr>
          <w:lang w:val="fr-FR"/>
        </w:rPr>
        <w:t>[</w:t>
      </w:r>
      <w:r w:rsidRPr="003762A8">
        <w:rPr>
          <w:lang w:val="fr-FR"/>
        </w:rPr>
        <w:t>étaient</w:t>
      </w:r>
      <w:r>
        <w:rPr>
          <w:lang w:val="fr-FR"/>
        </w:rPr>
        <w:t>]</w:t>
      </w:r>
      <w:r w:rsidRPr="003762A8">
        <w:rPr>
          <w:lang w:val="fr-FR"/>
        </w:rPr>
        <w:t xml:space="preserve"> environ trois fois plus susceptibles d</w:t>
      </w:r>
      <w:r>
        <w:rPr>
          <w:lang w:val="fr-FR"/>
        </w:rPr>
        <w:t>’</w:t>
      </w:r>
      <w:r w:rsidRPr="003762A8">
        <w:rPr>
          <w:lang w:val="fr-FR"/>
        </w:rPr>
        <w:t>être arrêtés pour possession de drogue</w:t>
      </w:r>
      <w:r w:rsidR="000D0DD1">
        <w:rPr>
          <w:lang w:val="fr-FR"/>
        </w:rPr>
        <w:t>s</w:t>
      </w:r>
      <w:r w:rsidRPr="003762A8">
        <w:rPr>
          <w:lang w:val="fr-FR"/>
        </w:rPr>
        <w:t xml:space="preserve"> que leurs homologues blancs</w:t>
      </w:r>
      <w:r w:rsidR="005B1C86">
        <w:rPr>
          <w:lang w:val="fr-FR"/>
        </w:rPr>
        <w:t> </w:t>
      </w:r>
      <w:r w:rsidRPr="003762A8">
        <w:rPr>
          <w:lang w:val="fr-FR"/>
        </w:rPr>
        <w:t xml:space="preserve">» </w:t>
      </w:r>
      <w:r w:rsidRPr="00CD6B67">
        <w:rPr>
          <w:rStyle w:val="FootnoteReference"/>
        </w:rPr>
        <w:footnoteReference w:id="303"/>
      </w:r>
      <w:r w:rsidRPr="00293268">
        <w:rPr>
          <w:lang w:val="fr-FR"/>
        </w:rPr>
        <w:t xml:space="preserve">, </w:t>
      </w:r>
      <w:r w:rsidRPr="00185373">
        <w:rPr>
          <w:lang w:val="fr-FR"/>
        </w:rPr>
        <w:t>tandis qu</w:t>
      </w:r>
      <w:r>
        <w:rPr>
          <w:lang w:val="fr-FR"/>
        </w:rPr>
        <w:t>’</w:t>
      </w:r>
      <w:r w:rsidRPr="00185373">
        <w:rPr>
          <w:lang w:val="fr-FR"/>
        </w:rPr>
        <w:t>en 2017, «</w:t>
      </w:r>
      <w:r w:rsidR="005B1C86">
        <w:rPr>
          <w:lang w:val="fr-FR"/>
        </w:rPr>
        <w:t> </w:t>
      </w:r>
      <w:r w:rsidRPr="00185373">
        <w:rPr>
          <w:lang w:val="fr-FR"/>
        </w:rPr>
        <w:t xml:space="preserve">les Noirs américains </w:t>
      </w:r>
      <w:r>
        <w:rPr>
          <w:lang w:val="fr-FR"/>
        </w:rPr>
        <w:t>[</w:t>
      </w:r>
      <w:r w:rsidRPr="00185373">
        <w:rPr>
          <w:lang w:val="fr-FR"/>
        </w:rPr>
        <w:t>étaient</w:t>
      </w:r>
      <w:r>
        <w:rPr>
          <w:lang w:val="fr-FR"/>
        </w:rPr>
        <w:t>]</w:t>
      </w:r>
      <w:r w:rsidRPr="00185373">
        <w:rPr>
          <w:lang w:val="fr-FR"/>
        </w:rPr>
        <w:t xml:space="preserve"> 6 à 10 fois plus susceptibles d</w:t>
      </w:r>
      <w:r>
        <w:rPr>
          <w:lang w:val="fr-FR"/>
        </w:rPr>
        <w:t>’</w:t>
      </w:r>
      <w:r w:rsidRPr="00185373">
        <w:rPr>
          <w:lang w:val="fr-FR"/>
        </w:rPr>
        <w:t xml:space="preserve">être incarcérés pour des infractions liées à la drogue que leurs </w:t>
      </w:r>
      <w:r>
        <w:rPr>
          <w:lang w:val="fr-FR"/>
        </w:rPr>
        <w:t>compatriote</w:t>
      </w:r>
      <w:r w:rsidRPr="00185373">
        <w:rPr>
          <w:lang w:val="fr-FR"/>
        </w:rPr>
        <w:t>s blancs</w:t>
      </w:r>
      <w:r w:rsidR="00BF2B1F">
        <w:rPr>
          <w:lang w:val="fr-FR"/>
        </w:rPr>
        <w:t> </w:t>
      </w:r>
      <w:r w:rsidRPr="00185373">
        <w:rPr>
          <w:lang w:val="fr-FR"/>
        </w:rPr>
        <w:t>»</w:t>
      </w:r>
      <w:r w:rsidRPr="00CD6B67">
        <w:rPr>
          <w:rStyle w:val="FootnoteReference"/>
        </w:rPr>
        <w:footnoteReference w:id="304"/>
      </w:r>
      <w:r>
        <w:rPr>
          <w:lang w:val="fr-FR"/>
        </w:rPr>
        <w:t>.</w:t>
      </w:r>
    </w:p>
    <w:p w14:paraId="1C2218A8" w14:textId="27F8DE25" w:rsidR="00865E37" w:rsidRPr="00293268" w:rsidRDefault="00865E37" w:rsidP="000C20B5">
      <w:pPr>
        <w:pStyle w:val="SingleTxtG"/>
        <w:spacing w:line="236" w:lineRule="atLeast"/>
        <w:rPr>
          <w:lang w:val="fr-FR"/>
        </w:rPr>
      </w:pPr>
      <w:r w:rsidRPr="00293268">
        <w:rPr>
          <w:lang w:val="fr-FR"/>
        </w:rPr>
        <w:t>100.</w:t>
      </w:r>
      <w:r w:rsidRPr="00293268">
        <w:rPr>
          <w:lang w:val="fr-FR"/>
        </w:rPr>
        <w:tab/>
      </w:r>
      <w:r w:rsidRPr="00956064">
        <w:rPr>
          <w:lang w:val="fr-FR"/>
        </w:rPr>
        <w:t xml:space="preserve">Au Royaume-Uni, en 2017, </w:t>
      </w:r>
      <w:r>
        <w:rPr>
          <w:lang w:val="fr-FR"/>
        </w:rPr>
        <w:t>il a été signalé que</w:t>
      </w:r>
      <w:r w:rsidRPr="00956064">
        <w:rPr>
          <w:lang w:val="fr-FR"/>
        </w:rPr>
        <w:t xml:space="preserve"> « les</w:t>
      </w:r>
      <w:r w:rsidR="00BF2B1F">
        <w:rPr>
          <w:lang w:val="fr-FR"/>
        </w:rPr>
        <w:t> </w:t>
      </w:r>
      <w:r w:rsidRPr="00956064">
        <w:rPr>
          <w:lang w:val="fr-FR"/>
        </w:rPr>
        <w:t>Noirs [</w:t>
      </w:r>
      <w:r>
        <w:rPr>
          <w:lang w:val="fr-FR"/>
        </w:rPr>
        <w:t>étaient</w:t>
      </w:r>
      <w:r w:rsidRPr="00956064">
        <w:rPr>
          <w:lang w:val="fr-FR"/>
        </w:rPr>
        <w:t>] huit fois plus poursuivis pour des infractions liées à la drogue que les Blancs</w:t>
      </w:r>
      <w:r>
        <w:rPr>
          <w:lang w:val="fr-FR"/>
        </w:rPr>
        <w:t> </w:t>
      </w:r>
      <w:r w:rsidRPr="00956064">
        <w:rPr>
          <w:lang w:val="fr-FR"/>
        </w:rPr>
        <w:t>»</w:t>
      </w:r>
      <w:r w:rsidRPr="00CD6B67">
        <w:rPr>
          <w:rStyle w:val="FootnoteReference"/>
        </w:rPr>
        <w:footnoteReference w:id="305"/>
      </w:r>
      <w:r w:rsidRPr="00293268">
        <w:rPr>
          <w:lang w:val="fr-FR"/>
        </w:rPr>
        <w:t xml:space="preserve"> </w:t>
      </w:r>
      <w:r w:rsidRPr="00F95227">
        <w:rPr>
          <w:lang w:val="fr-FR"/>
        </w:rPr>
        <w:t>et</w:t>
      </w:r>
      <w:r>
        <w:rPr>
          <w:lang w:val="fr-FR"/>
        </w:rPr>
        <w:t>, pour la même année,</w:t>
      </w:r>
      <w:r w:rsidRPr="00F95227">
        <w:rPr>
          <w:lang w:val="fr-FR"/>
        </w:rPr>
        <w:t xml:space="preserve"> </w:t>
      </w:r>
      <w:r>
        <w:rPr>
          <w:lang w:val="fr-FR"/>
        </w:rPr>
        <w:t xml:space="preserve">que </w:t>
      </w:r>
      <w:r w:rsidRPr="00F95227">
        <w:rPr>
          <w:lang w:val="fr-FR"/>
        </w:rPr>
        <w:t>«</w:t>
      </w:r>
      <w:r w:rsidR="00BF2B1F">
        <w:rPr>
          <w:lang w:val="fr-FR"/>
        </w:rPr>
        <w:t> </w:t>
      </w:r>
      <w:r w:rsidRPr="00F95227">
        <w:rPr>
          <w:lang w:val="fr-FR"/>
        </w:rPr>
        <w:t xml:space="preserve">les </w:t>
      </w:r>
      <w:r>
        <w:rPr>
          <w:lang w:val="fr-FR"/>
        </w:rPr>
        <w:t>probabilités</w:t>
      </w:r>
      <w:r w:rsidRPr="00F95227">
        <w:rPr>
          <w:lang w:val="fr-FR"/>
        </w:rPr>
        <w:t xml:space="preserve"> d</w:t>
      </w:r>
      <w:r>
        <w:rPr>
          <w:lang w:val="fr-FR"/>
        </w:rPr>
        <w:t>’</w:t>
      </w:r>
      <w:r w:rsidRPr="00F95227">
        <w:rPr>
          <w:lang w:val="fr-FR"/>
        </w:rPr>
        <w:t>être condamné</w:t>
      </w:r>
      <w:r>
        <w:rPr>
          <w:lang w:val="fr-FR"/>
        </w:rPr>
        <w:t>s</w:t>
      </w:r>
      <w:r w:rsidRPr="00F95227">
        <w:rPr>
          <w:lang w:val="fr-FR"/>
        </w:rPr>
        <w:t xml:space="preserve"> à une peine de prison étaient environ 240</w:t>
      </w:r>
      <w:r w:rsidR="00E53DDC">
        <w:rPr>
          <w:lang w:val="fr-FR"/>
        </w:rPr>
        <w:t> %</w:t>
      </w:r>
      <w:r w:rsidRPr="00F95227">
        <w:rPr>
          <w:lang w:val="fr-FR"/>
        </w:rPr>
        <w:t xml:space="preserve"> plus élevées pour les [Noirs, Asiatiques et </w:t>
      </w:r>
      <w:r>
        <w:rPr>
          <w:lang w:val="fr-FR"/>
        </w:rPr>
        <w:t xml:space="preserve">membres de </w:t>
      </w:r>
      <w:r w:rsidRPr="00F95227">
        <w:rPr>
          <w:lang w:val="fr-FR"/>
        </w:rPr>
        <w:t>minorités ethniques]</w:t>
      </w:r>
      <w:r>
        <w:rPr>
          <w:lang w:val="fr-FR"/>
        </w:rPr>
        <w:t> </w:t>
      </w:r>
      <w:r w:rsidRPr="00F95227">
        <w:rPr>
          <w:lang w:val="fr-FR"/>
        </w:rPr>
        <w:t>»</w:t>
      </w:r>
      <w:r w:rsidRPr="00CD6B67">
        <w:rPr>
          <w:rStyle w:val="FootnoteReference"/>
        </w:rPr>
        <w:footnoteReference w:id="306"/>
      </w:r>
      <w:r>
        <w:rPr>
          <w:lang w:val="fr-FR"/>
        </w:rPr>
        <w:t>.</w:t>
      </w:r>
      <w:r w:rsidRPr="00293268">
        <w:rPr>
          <w:lang w:val="fr-FR"/>
        </w:rPr>
        <w:t xml:space="preserve"> </w:t>
      </w:r>
      <w:r>
        <w:rPr>
          <w:lang w:val="fr-FR"/>
        </w:rPr>
        <w:t>Selon de</w:t>
      </w:r>
      <w:r w:rsidRPr="00D17686">
        <w:rPr>
          <w:lang w:val="fr-FR"/>
        </w:rPr>
        <w:t>s données de 2014</w:t>
      </w:r>
      <w:r>
        <w:rPr>
          <w:lang w:val="fr-FR"/>
        </w:rPr>
        <w:t>, «</w:t>
      </w:r>
      <w:r w:rsidR="00BF2B1F">
        <w:rPr>
          <w:lang w:val="fr-FR"/>
        </w:rPr>
        <w:t> </w:t>
      </w:r>
      <w:r w:rsidRPr="00D17686">
        <w:rPr>
          <w:lang w:val="fr-FR"/>
        </w:rPr>
        <w:t>les femmes noires étaient environ 2,3 fois plus susceptibles d</w:t>
      </w:r>
      <w:r>
        <w:rPr>
          <w:lang w:val="fr-FR"/>
        </w:rPr>
        <w:t>’</w:t>
      </w:r>
      <w:r w:rsidRPr="00D17686">
        <w:rPr>
          <w:lang w:val="fr-FR"/>
        </w:rPr>
        <w:t>être condamnées à une peine privative de liberté pour des infractions liées aux drogues que les femmes blanches</w:t>
      </w:r>
      <w:r w:rsidR="00BF2B1F">
        <w:rPr>
          <w:lang w:val="fr-FR"/>
        </w:rPr>
        <w:t> </w:t>
      </w:r>
      <w:r>
        <w:rPr>
          <w:lang w:val="fr-FR"/>
        </w:rPr>
        <w:t>»</w:t>
      </w:r>
      <w:r w:rsidRPr="00CD6B67">
        <w:rPr>
          <w:rStyle w:val="FootnoteReference"/>
        </w:rPr>
        <w:footnoteReference w:id="307"/>
      </w:r>
      <w:r>
        <w:rPr>
          <w:lang w:val="fr-FR"/>
        </w:rPr>
        <w:t>. Au</w:t>
      </w:r>
      <w:r w:rsidRPr="00293268">
        <w:rPr>
          <w:lang w:val="fr-FR"/>
        </w:rPr>
        <w:t xml:space="preserve"> Canada, </w:t>
      </w:r>
      <w:r w:rsidRPr="00E56F4F">
        <w:rPr>
          <w:lang w:val="fr-FR"/>
        </w:rPr>
        <w:t>des recherches non gouvernementales publiées en 2018</w:t>
      </w:r>
      <w:r w:rsidRPr="00CD6B67">
        <w:rPr>
          <w:rStyle w:val="FootnoteReference"/>
        </w:rPr>
        <w:footnoteReference w:id="308"/>
      </w:r>
      <w:r w:rsidRPr="00293268">
        <w:rPr>
          <w:lang w:val="fr-FR"/>
        </w:rPr>
        <w:t xml:space="preserve"> </w:t>
      </w:r>
      <w:r>
        <w:rPr>
          <w:lang w:val="fr-FR"/>
        </w:rPr>
        <w:t>et en</w:t>
      </w:r>
      <w:r w:rsidRPr="00293268">
        <w:rPr>
          <w:lang w:val="fr-FR"/>
        </w:rPr>
        <w:t xml:space="preserve"> 2020</w:t>
      </w:r>
      <w:r w:rsidRPr="00CD6B67">
        <w:rPr>
          <w:rStyle w:val="FootnoteReference"/>
        </w:rPr>
        <w:footnoteReference w:id="309"/>
      </w:r>
      <w:r w:rsidRPr="00293268">
        <w:rPr>
          <w:lang w:val="fr-FR"/>
        </w:rPr>
        <w:t xml:space="preserve"> </w:t>
      </w:r>
      <w:r w:rsidRPr="00E56171">
        <w:rPr>
          <w:lang w:val="fr-FR"/>
        </w:rPr>
        <w:t xml:space="preserve">ont révélé que les Noirs et les </w:t>
      </w:r>
      <w:r w:rsidR="00C27939">
        <w:rPr>
          <w:lang w:val="fr-FR"/>
        </w:rPr>
        <w:t>a</w:t>
      </w:r>
      <w:r w:rsidRPr="00E56171">
        <w:rPr>
          <w:lang w:val="fr-FR"/>
        </w:rPr>
        <w:t>utochtones étaient surreprésentés dans les arrestations pour possession de cannabis</w:t>
      </w:r>
      <w:r w:rsidRPr="00293268">
        <w:rPr>
          <w:lang w:val="fr-FR"/>
        </w:rPr>
        <w:t xml:space="preserve">. </w:t>
      </w:r>
      <w:r w:rsidRPr="007C2538">
        <w:rPr>
          <w:lang w:val="fr-FR"/>
        </w:rPr>
        <w:t>Au Brésil, en 2017, des rapports signalent que «</w:t>
      </w:r>
      <w:r>
        <w:rPr>
          <w:lang w:val="fr-FR"/>
        </w:rPr>
        <w:t> </w:t>
      </w:r>
      <w:r w:rsidRPr="007C2538">
        <w:rPr>
          <w:lang w:val="fr-FR"/>
        </w:rPr>
        <w:t>dans près de 50</w:t>
      </w:r>
      <w:r w:rsidR="00E53DDC">
        <w:rPr>
          <w:lang w:val="fr-FR"/>
        </w:rPr>
        <w:t> %</w:t>
      </w:r>
      <w:r w:rsidRPr="007C2538">
        <w:rPr>
          <w:lang w:val="fr-FR"/>
        </w:rPr>
        <w:t xml:space="preserve"> des cas de trafic de drogue</w:t>
      </w:r>
      <w:r w:rsidR="00C124F2">
        <w:rPr>
          <w:lang w:val="fr-FR"/>
        </w:rPr>
        <w:t>s</w:t>
      </w:r>
      <w:r w:rsidRPr="007C2538">
        <w:rPr>
          <w:lang w:val="fr-FR"/>
        </w:rPr>
        <w:t xml:space="preserve"> mettant en cause des Blancs, l</w:t>
      </w:r>
      <w:r>
        <w:rPr>
          <w:lang w:val="fr-FR"/>
        </w:rPr>
        <w:t>’</w:t>
      </w:r>
      <w:r w:rsidRPr="007C2538">
        <w:rPr>
          <w:lang w:val="fr-FR"/>
        </w:rPr>
        <w:t>infraction est requalifiée en possession de drogue</w:t>
      </w:r>
      <w:r w:rsidR="00C124F2">
        <w:rPr>
          <w:lang w:val="fr-FR"/>
        </w:rPr>
        <w:t>s</w:t>
      </w:r>
      <w:r w:rsidRPr="007C2538">
        <w:rPr>
          <w:lang w:val="fr-FR"/>
        </w:rPr>
        <w:t xml:space="preserve"> </w:t>
      </w:r>
      <w:r>
        <w:rPr>
          <w:lang w:val="fr-FR"/>
        </w:rPr>
        <w:t>pour un</w:t>
      </w:r>
      <w:r w:rsidRPr="007C2538">
        <w:rPr>
          <w:lang w:val="fr-FR"/>
        </w:rPr>
        <w:t xml:space="preserve"> usage personnel, avec une réduction significative des peines, alors que la même chose </w:t>
      </w:r>
      <w:r>
        <w:rPr>
          <w:lang w:val="fr-FR"/>
        </w:rPr>
        <w:t xml:space="preserve">ne </w:t>
      </w:r>
      <w:r w:rsidRPr="007C2538">
        <w:rPr>
          <w:lang w:val="fr-FR"/>
        </w:rPr>
        <w:t xml:space="preserve">se produit </w:t>
      </w:r>
      <w:r>
        <w:rPr>
          <w:lang w:val="fr-FR"/>
        </w:rPr>
        <w:t>que dans</w:t>
      </w:r>
      <w:r w:rsidRPr="007C2538">
        <w:rPr>
          <w:lang w:val="fr-FR"/>
        </w:rPr>
        <w:t xml:space="preserve"> 5,3% des cas </w:t>
      </w:r>
      <w:r>
        <w:rPr>
          <w:lang w:val="fr-FR"/>
        </w:rPr>
        <w:t>lorsque</w:t>
      </w:r>
      <w:r w:rsidRPr="007C2538">
        <w:rPr>
          <w:lang w:val="fr-FR"/>
        </w:rPr>
        <w:t xml:space="preserve"> les accusés sont </w:t>
      </w:r>
      <w:r w:rsidR="00C124F2">
        <w:rPr>
          <w:lang w:val="fr-FR"/>
        </w:rPr>
        <w:t>N</w:t>
      </w:r>
      <w:r w:rsidRPr="007C2538">
        <w:rPr>
          <w:lang w:val="fr-FR"/>
        </w:rPr>
        <w:t>oirs</w:t>
      </w:r>
      <w:r w:rsidR="00C124F2">
        <w:rPr>
          <w:lang w:val="fr-FR"/>
        </w:rPr>
        <w:t> </w:t>
      </w:r>
      <w:r w:rsidRPr="007C2538">
        <w:rPr>
          <w:lang w:val="fr-FR"/>
        </w:rPr>
        <w:t xml:space="preserve">» </w:t>
      </w:r>
      <w:r>
        <w:rPr>
          <w:lang w:val="fr-FR"/>
        </w:rPr>
        <w:t>et que</w:t>
      </w:r>
      <w:r w:rsidRPr="007C2538">
        <w:rPr>
          <w:lang w:val="fr-FR"/>
        </w:rPr>
        <w:t xml:space="preserve"> «</w:t>
      </w:r>
      <w:r w:rsidR="00C124F2">
        <w:rPr>
          <w:lang w:val="fr-FR"/>
        </w:rPr>
        <w:t> </w:t>
      </w:r>
      <w:r w:rsidRPr="007C2538">
        <w:rPr>
          <w:lang w:val="fr-FR"/>
        </w:rPr>
        <w:t xml:space="preserve">les Noirs sont poursuivis et condamnés pour le commerce illicite de quantités inférieures </w:t>
      </w:r>
      <w:r w:rsidRPr="001C4BC4">
        <w:rPr>
          <w:lang w:val="fr-FR"/>
        </w:rPr>
        <w:t>de drogue</w:t>
      </w:r>
      <w:r w:rsidR="00C124F2">
        <w:rPr>
          <w:lang w:val="fr-FR"/>
        </w:rPr>
        <w:t>s</w:t>
      </w:r>
      <w:r w:rsidRPr="001C4BC4">
        <w:rPr>
          <w:lang w:val="fr-FR"/>
        </w:rPr>
        <w:t xml:space="preserve"> </w:t>
      </w:r>
      <w:r w:rsidRPr="007C2538">
        <w:rPr>
          <w:lang w:val="fr-FR"/>
        </w:rPr>
        <w:t>à celles des Blancs</w:t>
      </w:r>
      <w:r>
        <w:rPr>
          <w:lang w:val="fr-FR"/>
        </w:rPr>
        <w:t> </w:t>
      </w:r>
      <w:r w:rsidRPr="007C2538">
        <w:rPr>
          <w:lang w:val="fr-FR"/>
        </w:rPr>
        <w:t>»</w:t>
      </w:r>
      <w:r w:rsidRPr="00CD6B67">
        <w:rPr>
          <w:rStyle w:val="FootnoteReference"/>
        </w:rPr>
        <w:footnoteReference w:id="310"/>
      </w:r>
      <w:r>
        <w:rPr>
          <w:lang w:val="fr-FR"/>
        </w:rPr>
        <w:t>.</w:t>
      </w:r>
    </w:p>
    <w:p w14:paraId="6318B5BA" w14:textId="77777777" w:rsidR="00865E37" w:rsidRPr="00293268" w:rsidRDefault="00865E37" w:rsidP="000C20B5">
      <w:pPr>
        <w:pStyle w:val="SingleTxtG"/>
        <w:spacing w:line="236" w:lineRule="atLeast"/>
        <w:rPr>
          <w:lang w:val="fr-FR"/>
        </w:rPr>
      </w:pPr>
      <w:r w:rsidRPr="00056B7D">
        <w:rPr>
          <w:lang w:val="fr-FR"/>
        </w:rPr>
        <w:t>101.</w:t>
      </w:r>
      <w:r w:rsidRPr="00056B7D">
        <w:rPr>
          <w:lang w:val="fr-FR"/>
        </w:rPr>
        <w:tab/>
        <w:t>Selon des informations, la</w:t>
      </w:r>
      <w:r w:rsidRPr="00414C55">
        <w:rPr>
          <w:lang w:val="fr-FR"/>
        </w:rPr>
        <w:t xml:space="preserve"> peine de mort affecte les pauvres de manière disproportionnée, tandis que la pauvreté s</w:t>
      </w:r>
      <w:r>
        <w:rPr>
          <w:lang w:val="fr-FR"/>
        </w:rPr>
        <w:t>’</w:t>
      </w:r>
      <w:r w:rsidRPr="00414C55">
        <w:rPr>
          <w:lang w:val="fr-FR"/>
        </w:rPr>
        <w:t xml:space="preserve">ajoute également aux obstacles auxquels les groupes vulnérables et défavorisés de la société sont déjà confrontés et </w:t>
      </w:r>
      <w:r>
        <w:rPr>
          <w:lang w:val="fr-FR"/>
        </w:rPr>
        <w:t>plus particulièrement</w:t>
      </w:r>
      <w:r w:rsidRPr="00414C55">
        <w:rPr>
          <w:lang w:val="fr-FR"/>
        </w:rPr>
        <w:t>, dans de nombreux pays, les personnes d</w:t>
      </w:r>
      <w:r>
        <w:rPr>
          <w:lang w:val="fr-FR"/>
        </w:rPr>
        <w:t>’</w:t>
      </w:r>
      <w:r w:rsidRPr="00414C55">
        <w:rPr>
          <w:lang w:val="fr-FR"/>
        </w:rPr>
        <w:t>ascendance africaine</w:t>
      </w:r>
      <w:r w:rsidRPr="00CD6B67">
        <w:rPr>
          <w:rStyle w:val="FootnoteReference"/>
        </w:rPr>
        <w:footnoteReference w:id="311"/>
      </w:r>
      <w:r>
        <w:rPr>
          <w:lang w:val="fr-FR"/>
        </w:rPr>
        <w:t>.</w:t>
      </w:r>
      <w:r w:rsidRPr="00293268">
        <w:rPr>
          <w:lang w:val="fr-FR"/>
        </w:rPr>
        <w:t xml:space="preserve"> </w:t>
      </w:r>
      <w:r w:rsidRPr="007F2D87">
        <w:rPr>
          <w:lang w:val="fr-FR"/>
        </w:rPr>
        <w:t>Les services d</w:t>
      </w:r>
      <w:r>
        <w:rPr>
          <w:lang w:val="fr-FR"/>
        </w:rPr>
        <w:t>’</w:t>
      </w:r>
      <w:r w:rsidRPr="007F2D87">
        <w:rPr>
          <w:lang w:val="fr-FR"/>
        </w:rPr>
        <w:t>aide juridictionnelle étant limités voire insuffisants, les pauvres et les personnes défavorisées n</w:t>
      </w:r>
      <w:r>
        <w:rPr>
          <w:lang w:val="fr-FR"/>
        </w:rPr>
        <w:t>’</w:t>
      </w:r>
      <w:r w:rsidRPr="007F2D87">
        <w:rPr>
          <w:lang w:val="fr-FR"/>
        </w:rPr>
        <w:t xml:space="preserve">ont souvent pas accès à une représentation utile devant les tribunaux et </w:t>
      </w:r>
      <w:r>
        <w:rPr>
          <w:lang w:val="fr-FR"/>
        </w:rPr>
        <w:t>risquent davantage</w:t>
      </w:r>
      <w:r w:rsidRPr="007F2D87">
        <w:rPr>
          <w:lang w:val="fr-FR"/>
        </w:rPr>
        <w:t xml:space="preserve"> d</w:t>
      </w:r>
      <w:r>
        <w:rPr>
          <w:lang w:val="fr-FR"/>
        </w:rPr>
        <w:t>’</w:t>
      </w:r>
      <w:r w:rsidRPr="007F2D87">
        <w:rPr>
          <w:lang w:val="fr-FR"/>
        </w:rPr>
        <w:t>être condamnés à la peine de mort, ce qui influe forcément sur ce à quoi ils devront faire face dans le système de justice pénale</w:t>
      </w:r>
      <w:r w:rsidRPr="00CD6B67">
        <w:rPr>
          <w:rStyle w:val="FootnoteReference"/>
        </w:rPr>
        <w:footnoteReference w:id="312"/>
      </w:r>
      <w:r>
        <w:rPr>
          <w:lang w:val="fr-FR"/>
        </w:rPr>
        <w:t>.</w:t>
      </w:r>
    </w:p>
    <w:p w14:paraId="46009276" w14:textId="41F84E05" w:rsidR="00865E37" w:rsidRPr="00293268" w:rsidRDefault="00865E37" w:rsidP="000C20B5">
      <w:pPr>
        <w:pStyle w:val="SingleTxtG"/>
        <w:spacing w:line="236" w:lineRule="atLeast"/>
        <w:rPr>
          <w:lang w:val="fr-FR"/>
        </w:rPr>
      </w:pPr>
      <w:r w:rsidRPr="00293268">
        <w:rPr>
          <w:lang w:val="fr-FR"/>
        </w:rPr>
        <w:t>102.</w:t>
      </w:r>
      <w:r w:rsidRPr="00293268">
        <w:rPr>
          <w:lang w:val="fr-FR"/>
        </w:rPr>
        <w:tab/>
      </w:r>
      <w:r w:rsidRPr="00AD5F16">
        <w:rPr>
          <w:lang w:val="fr-FR"/>
        </w:rPr>
        <w:t>Selon des données non gouvernementales datant de 2020, les Afro-Américains représentaient 41</w:t>
      </w:r>
      <w:r w:rsidR="00E53DDC">
        <w:rPr>
          <w:lang w:val="fr-FR"/>
        </w:rPr>
        <w:t> %</w:t>
      </w:r>
      <w:r w:rsidRPr="00AD5F16">
        <w:rPr>
          <w:lang w:val="fr-FR"/>
        </w:rPr>
        <w:t xml:space="preserve"> des condamnés à mort</w:t>
      </w:r>
      <w:r w:rsidRPr="00CD6B67">
        <w:rPr>
          <w:rStyle w:val="FootnoteReference"/>
        </w:rPr>
        <w:footnoteReference w:id="313"/>
      </w:r>
      <w:r w:rsidRPr="00293268">
        <w:rPr>
          <w:lang w:val="fr-FR"/>
        </w:rPr>
        <w:t xml:space="preserve"> </w:t>
      </w:r>
      <w:r w:rsidRPr="009D0D47">
        <w:rPr>
          <w:lang w:val="fr-FR"/>
        </w:rPr>
        <w:t>et 34</w:t>
      </w:r>
      <w:r w:rsidR="00E53DDC">
        <w:rPr>
          <w:lang w:val="fr-FR"/>
        </w:rPr>
        <w:t> %</w:t>
      </w:r>
      <w:r w:rsidRPr="009D0D47">
        <w:rPr>
          <w:lang w:val="fr-FR"/>
        </w:rPr>
        <w:t xml:space="preserve"> de toutes les personnes exécutées aux États-Unis entre 1976 et mai 2021</w:t>
      </w:r>
      <w:r w:rsidRPr="00CD6B67">
        <w:rPr>
          <w:rStyle w:val="FootnoteReference"/>
        </w:rPr>
        <w:footnoteReference w:id="314"/>
      </w:r>
      <w:r>
        <w:rPr>
          <w:lang w:val="fr-FR"/>
        </w:rPr>
        <w:t>.</w:t>
      </w:r>
      <w:r w:rsidRPr="00293268">
        <w:rPr>
          <w:lang w:val="fr-FR"/>
        </w:rPr>
        <w:t xml:space="preserve"> </w:t>
      </w:r>
      <w:r>
        <w:rPr>
          <w:lang w:val="fr-FR"/>
        </w:rPr>
        <w:t>En</w:t>
      </w:r>
      <w:r w:rsidRPr="00293268">
        <w:rPr>
          <w:lang w:val="fr-FR"/>
        </w:rPr>
        <w:t xml:space="preserve"> 2021, </w:t>
      </w:r>
      <w:r>
        <w:rPr>
          <w:lang w:val="fr-FR"/>
        </w:rPr>
        <w:t>le Gouvernement américain</w:t>
      </w:r>
      <w:r w:rsidRPr="00293268">
        <w:rPr>
          <w:lang w:val="fr-FR"/>
        </w:rPr>
        <w:t xml:space="preserve"> </w:t>
      </w:r>
      <w:r>
        <w:rPr>
          <w:lang w:val="fr-FR"/>
        </w:rPr>
        <w:t>s’est déclaré à nouveau</w:t>
      </w:r>
      <w:r w:rsidRPr="00C77D52">
        <w:rPr>
          <w:lang w:val="fr-FR"/>
        </w:rPr>
        <w:t xml:space="preserve"> favorable à l</w:t>
      </w:r>
      <w:r>
        <w:rPr>
          <w:lang w:val="fr-FR"/>
        </w:rPr>
        <w:t>’</w:t>
      </w:r>
      <w:r w:rsidRPr="00C77D52">
        <w:rPr>
          <w:lang w:val="fr-FR"/>
        </w:rPr>
        <w:t>abolition de la peine de mort au niveau</w:t>
      </w:r>
      <w:r>
        <w:rPr>
          <w:lang w:val="fr-FR"/>
        </w:rPr>
        <w:t xml:space="preserve"> </w:t>
      </w:r>
      <w:r w:rsidRPr="00C77D52">
        <w:rPr>
          <w:lang w:val="fr-FR"/>
        </w:rPr>
        <w:t xml:space="preserve">fédéral et </w:t>
      </w:r>
      <w:r>
        <w:rPr>
          <w:lang w:val="fr-FR"/>
        </w:rPr>
        <w:t xml:space="preserve">a </w:t>
      </w:r>
      <w:r w:rsidRPr="00C77D52">
        <w:rPr>
          <w:lang w:val="fr-FR"/>
        </w:rPr>
        <w:t>encourag</w:t>
      </w:r>
      <w:r>
        <w:rPr>
          <w:lang w:val="fr-FR"/>
        </w:rPr>
        <w:t>é</w:t>
      </w:r>
      <w:r w:rsidRPr="00C77D52">
        <w:rPr>
          <w:lang w:val="fr-FR"/>
        </w:rPr>
        <w:t xml:space="preserve"> les États à suivre cet exemple</w:t>
      </w:r>
      <w:r w:rsidRPr="00CD6B67">
        <w:rPr>
          <w:rStyle w:val="FootnoteReference"/>
        </w:rPr>
        <w:footnoteReference w:id="315"/>
      </w:r>
      <w:r>
        <w:rPr>
          <w:lang w:val="fr-FR"/>
        </w:rPr>
        <w:t>.</w:t>
      </w:r>
    </w:p>
    <w:p w14:paraId="1EFF964E" w14:textId="0189F9DF" w:rsidR="00865E37" w:rsidRPr="00293268" w:rsidRDefault="00865E37" w:rsidP="000C20B5">
      <w:pPr>
        <w:pStyle w:val="SingleTxtG"/>
        <w:spacing w:line="236" w:lineRule="atLeast"/>
        <w:rPr>
          <w:lang w:val="fr-FR"/>
        </w:rPr>
      </w:pPr>
      <w:r w:rsidRPr="00293268">
        <w:rPr>
          <w:lang w:val="fr-FR"/>
        </w:rPr>
        <w:t>103.</w:t>
      </w:r>
      <w:r w:rsidRPr="00293268">
        <w:rPr>
          <w:lang w:val="fr-FR"/>
        </w:rPr>
        <w:tab/>
      </w:r>
      <w:r w:rsidRPr="00E94F33">
        <w:rPr>
          <w:lang w:val="fr-FR"/>
        </w:rPr>
        <w:t xml:space="preserve">Dans de nombreux autres pays qui </w:t>
      </w:r>
      <w:r>
        <w:rPr>
          <w:lang w:val="fr-FR"/>
        </w:rPr>
        <w:t>pratiquent l</w:t>
      </w:r>
      <w:r w:rsidRPr="00E94F33">
        <w:rPr>
          <w:lang w:val="fr-FR"/>
        </w:rPr>
        <w:t xml:space="preserve">a peine de mort, les données et les informations sur son application sont limitées. Dans certains États, les ressortissants étrangers, notamment de pays africains, semblent être surreprésentés parmi les condamnés à mort. </w:t>
      </w:r>
      <w:r>
        <w:rPr>
          <w:lang w:val="fr-FR"/>
        </w:rPr>
        <w:t>Ainsi</w:t>
      </w:r>
      <w:r w:rsidRPr="00E94F33">
        <w:rPr>
          <w:lang w:val="fr-FR"/>
        </w:rPr>
        <w:t>, en Arabie saoudite</w:t>
      </w:r>
      <w:r w:rsidR="005B3261">
        <w:rPr>
          <w:lang w:val="fr-FR"/>
        </w:rPr>
        <w:t>,</w:t>
      </w:r>
      <w:r w:rsidRPr="00E94F33">
        <w:rPr>
          <w:lang w:val="fr-FR"/>
        </w:rPr>
        <w:t xml:space="preserve"> en 2018, sur 59 exécutions pour des infractions liées à la drogue, au moins sept concernaient des ressortissants nigérians et quatre des </w:t>
      </w:r>
      <w:r>
        <w:rPr>
          <w:lang w:val="fr-FR"/>
        </w:rPr>
        <w:t>Nord-Africains</w:t>
      </w:r>
      <w:r w:rsidRPr="00E94F33">
        <w:rPr>
          <w:lang w:val="fr-FR"/>
        </w:rPr>
        <w:t>. En 2019, sur 84 exécutions confirmées, au moins 11 concernaient des personnes originaires d</w:t>
      </w:r>
      <w:r>
        <w:rPr>
          <w:lang w:val="fr-FR"/>
        </w:rPr>
        <w:t>’</w:t>
      </w:r>
      <w:r w:rsidRPr="00E94F33">
        <w:rPr>
          <w:lang w:val="fr-FR"/>
        </w:rPr>
        <w:t>Afrique du Nord</w:t>
      </w:r>
      <w:r w:rsidRPr="00CD6B67">
        <w:rPr>
          <w:rStyle w:val="FootnoteReference"/>
        </w:rPr>
        <w:footnoteReference w:id="316"/>
      </w:r>
      <w:r>
        <w:rPr>
          <w:lang w:val="fr-FR"/>
        </w:rPr>
        <w:t>.</w:t>
      </w:r>
      <w:r w:rsidRPr="00293268">
        <w:rPr>
          <w:lang w:val="fr-FR"/>
        </w:rPr>
        <w:t xml:space="preserve"> </w:t>
      </w:r>
      <w:r w:rsidRPr="00C20D20">
        <w:rPr>
          <w:lang w:val="fr-FR"/>
        </w:rPr>
        <w:t>En 2020, l</w:t>
      </w:r>
      <w:r>
        <w:rPr>
          <w:lang w:val="fr-FR"/>
        </w:rPr>
        <w:t>’</w:t>
      </w:r>
      <w:r w:rsidRPr="00C20D20">
        <w:rPr>
          <w:lang w:val="fr-FR"/>
        </w:rPr>
        <w:t xml:space="preserve">Arabie saoudite aurait </w:t>
      </w:r>
      <w:r>
        <w:rPr>
          <w:lang w:val="fr-FR"/>
        </w:rPr>
        <w:t>déclaré</w:t>
      </w:r>
      <w:r w:rsidRPr="00C20D20">
        <w:rPr>
          <w:lang w:val="fr-FR"/>
        </w:rPr>
        <w:t xml:space="preserve"> un moratoire sur le recours à la peine de mort pour les infractions liées à la drogue</w:t>
      </w:r>
      <w:r w:rsidRPr="00CD6B67">
        <w:rPr>
          <w:rStyle w:val="FootnoteReference"/>
        </w:rPr>
        <w:footnoteReference w:id="317"/>
      </w:r>
      <w:r>
        <w:rPr>
          <w:lang w:val="fr-FR"/>
        </w:rPr>
        <w:t>.</w:t>
      </w:r>
    </w:p>
    <w:p w14:paraId="4E35F538" w14:textId="1EFE7CEE" w:rsidR="00865E37" w:rsidRPr="00293268" w:rsidRDefault="00865E37" w:rsidP="00865E37">
      <w:pPr>
        <w:pStyle w:val="SingleTxtG"/>
        <w:rPr>
          <w:lang w:val="fr-FR"/>
        </w:rPr>
      </w:pPr>
      <w:r w:rsidRPr="00293268">
        <w:rPr>
          <w:lang w:val="fr-FR"/>
        </w:rPr>
        <w:t>104.</w:t>
      </w:r>
      <w:r w:rsidRPr="00293268">
        <w:rPr>
          <w:lang w:val="fr-FR"/>
        </w:rPr>
        <w:tab/>
      </w:r>
      <w:r w:rsidRPr="00F60B5C">
        <w:rPr>
          <w:lang w:val="fr-FR"/>
        </w:rPr>
        <w:t xml:space="preserve">En Indonésie, </w:t>
      </w:r>
      <w:r w:rsidR="00F94B40">
        <w:rPr>
          <w:lang w:val="fr-FR"/>
        </w:rPr>
        <w:t>6</w:t>
      </w:r>
      <w:r w:rsidRPr="00F60B5C">
        <w:rPr>
          <w:lang w:val="fr-FR"/>
        </w:rPr>
        <w:t xml:space="preserve"> des 14 personnes exécutées en 2015 et trois des quatre personnes </w:t>
      </w:r>
      <w:r>
        <w:rPr>
          <w:lang w:val="fr-FR"/>
        </w:rPr>
        <w:t>qui l’ont été</w:t>
      </w:r>
      <w:r w:rsidRPr="00F60B5C">
        <w:rPr>
          <w:lang w:val="fr-FR"/>
        </w:rPr>
        <w:t xml:space="preserve"> en 2016 (toutes pour des infractions liées à la drogue) étaient </w:t>
      </w:r>
      <w:r w:rsidR="00BD1CD3">
        <w:rPr>
          <w:lang w:val="fr-FR"/>
        </w:rPr>
        <w:t>A</w:t>
      </w:r>
      <w:r w:rsidRPr="00F60B5C">
        <w:rPr>
          <w:lang w:val="fr-FR"/>
        </w:rPr>
        <w:t>fricaines</w:t>
      </w:r>
      <w:r w:rsidRPr="00CD6B67">
        <w:rPr>
          <w:rStyle w:val="FootnoteReference"/>
        </w:rPr>
        <w:footnoteReference w:id="318"/>
      </w:r>
      <w:r>
        <w:rPr>
          <w:lang w:val="fr-FR"/>
        </w:rPr>
        <w:t>.</w:t>
      </w:r>
    </w:p>
    <w:p w14:paraId="070D38BE" w14:textId="37A05766" w:rsidR="00865E37" w:rsidRPr="00293268" w:rsidRDefault="00865E37" w:rsidP="00865E37">
      <w:pPr>
        <w:pStyle w:val="H23G"/>
        <w:rPr>
          <w:lang w:val="fr-FR"/>
        </w:rPr>
      </w:pPr>
      <w:bookmarkStart w:id="317" w:name="_Toc74254801"/>
      <w:bookmarkStart w:id="318" w:name="_Toc74303367"/>
      <w:bookmarkStart w:id="319" w:name="_Toc74305492"/>
      <w:bookmarkStart w:id="320" w:name="_Toc74337087"/>
      <w:bookmarkStart w:id="321" w:name="_Toc74340208"/>
      <w:bookmarkStart w:id="322" w:name="_Toc74344104"/>
      <w:bookmarkStart w:id="323" w:name="_Toc74561084"/>
      <w:bookmarkStart w:id="324" w:name="_Toc74562576"/>
      <w:bookmarkStart w:id="325" w:name="_Toc74657685"/>
      <w:bookmarkStart w:id="326" w:name="_Toc74661211"/>
      <w:bookmarkStart w:id="327" w:name="_Toc74666506"/>
      <w:bookmarkStart w:id="328" w:name="_Toc74671427"/>
      <w:bookmarkStart w:id="329" w:name="_Toc74867342"/>
      <w:bookmarkStart w:id="330" w:name="_Toc74919095"/>
      <w:bookmarkStart w:id="331" w:name="_Toc74919750"/>
      <w:bookmarkStart w:id="332" w:name="_Toc74925785"/>
      <w:bookmarkStart w:id="333" w:name="_Toc74927634"/>
      <w:r w:rsidRPr="00293268">
        <w:rPr>
          <w:lang w:val="fr-FR"/>
        </w:rPr>
        <w:tab/>
        <w:t>4.</w:t>
      </w:r>
      <w:r w:rsidRPr="00293268">
        <w:rPr>
          <w:lang w:val="fr-FR"/>
        </w:rPr>
        <w:tab/>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lang w:val="fr-FR"/>
        </w:rPr>
        <w:t>Actes</w:t>
      </w:r>
      <w:r w:rsidRPr="0079089B">
        <w:rPr>
          <w:lang w:val="fr-FR"/>
        </w:rPr>
        <w:t xml:space="preserve"> de violence et décès d</w:t>
      </w:r>
      <w:r>
        <w:rPr>
          <w:lang w:val="fr-FR"/>
        </w:rPr>
        <w:t>’</w:t>
      </w:r>
      <w:r w:rsidRPr="0079089B">
        <w:rPr>
          <w:lang w:val="fr-FR"/>
        </w:rPr>
        <w:t>Africains et de personnes d</w:t>
      </w:r>
      <w:r>
        <w:rPr>
          <w:lang w:val="fr-FR"/>
        </w:rPr>
        <w:t>’</w:t>
      </w:r>
      <w:r w:rsidRPr="0079089B">
        <w:rPr>
          <w:lang w:val="fr-FR"/>
        </w:rPr>
        <w:t xml:space="preserve">ascendance africaine </w:t>
      </w:r>
      <w:r w:rsidR="00F674DB">
        <w:rPr>
          <w:lang w:val="fr-FR"/>
        </w:rPr>
        <w:br/>
      </w:r>
      <w:r>
        <w:rPr>
          <w:lang w:val="fr-FR"/>
        </w:rPr>
        <w:t>imputables aux</w:t>
      </w:r>
      <w:r w:rsidRPr="0079089B">
        <w:rPr>
          <w:lang w:val="fr-FR"/>
        </w:rPr>
        <w:t xml:space="preserve"> forces de l</w:t>
      </w:r>
      <w:r>
        <w:rPr>
          <w:lang w:val="fr-FR"/>
        </w:rPr>
        <w:t>’</w:t>
      </w:r>
      <w:r w:rsidRPr="0079089B">
        <w:rPr>
          <w:lang w:val="fr-FR"/>
        </w:rPr>
        <w:t>ordre</w:t>
      </w:r>
    </w:p>
    <w:p w14:paraId="21468ADF" w14:textId="09557847" w:rsidR="00865E37" w:rsidRPr="00293268" w:rsidRDefault="00865E37" w:rsidP="00865E37">
      <w:pPr>
        <w:pStyle w:val="SingleTxtG"/>
        <w:rPr>
          <w:lang w:val="fr-FR"/>
        </w:rPr>
      </w:pPr>
      <w:r w:rsidRPr="00293268">
        <w:rPr>
          <w:lang w:val="fr-FR"/>
        </w:rPr>
        <w:t>105.</w:t>
      </w:r>
      <w:r w:rsidRPr="00293268">
        <w:rPr>
          <w:lang w:val="fr-FR"/>
        </w:rPr>
        <w:tab/>
      </w:r>
      <w:r w:rsidRPr="00DE0B65">
        <w:rPr>
          <w:lang w:val="fr-FR"/>
        </w:rPr>
        <w:t>Lorsqu</w:t>
      </w:r>
      <w:r>
        <w:rPr>
          <w:lang w:val="fr-FR"/>
        </w:rPr>
        <w:t>’</w:t>
      </w:r>
      <w:r w:rsidRPr="00DE0B65">
        <w:rPr>
          <w:lang w:val="fr-FR"/>
        </w:rPr>
        <w:t xml:space="preserve">elles sont disponibles, les données ventilées par race ou origine ethnique </w:t>
      </w:r>
      <w:r>
        <w:rPr>
          <w:lang w:val="fr-FR"/>
        </w:rPr>
        <w:t>relatives à</w:t>
      </w:r>
      <w:r w:rsidRPr="00DE0B65">
        <w:rPr>
          <w:lang w:val="fr-FR"/>
        </w:rPr>
        <w:t xml:space="preserve"> la violence exercée par les forces de l</w:t>
      </w:r>
      <w:r>
        <w:rPr>
          <w:lang w:val="fr-FR"/>
        </w:rPr>
        <w:t>’</w:t>
      </w:r>
      <w:r w:rsidRPr="00DE0B65">
        <w:rPr>
          <w:lang w:val="fr-FR"/>
        </w:rPr>
        <w:t>ordre à l</w:t>
      </w:r>
      <w:r>
        <w:rPr>
          <w:lang w:val="fr-FR"/>
        </w:rPr>
        <w:t>’</w:t>
      </w:r>
      <w:r w:rsidRPr="00DE0B65">
        <w:rPr>
          <w:lang w:val="fr-FR"/>
        </w:rPr>
        <w:t>encontre des Africains et des personnes d</w:t>
      </w:r>
      <w:r>
        <w:rPr>
          <w:lang w:val="fr-FR"/>
        </w:rPr>
        <w:t>’</w:t>
      </w:r>
      <w:r w:rsidRPr="00DE0B65">
        <w:rPr>
          <w:lang w:val="fr-FR"/>
        </w:rPr>
        <w:t xml:space="preserve">ascendance africaine et le risque de décès au cours de ces affrontements, sont particulièrement préoccupantes. Par exemple, aux États-Unis, des données officielles de 2015 révèlent que </w:t>
      </w:r>
      <w:r>
        <w:rPr>
          <w:lang w:val="fr-FR"/>
        </w:rPr>
        <w:t>«</w:t>
      </w:r>
      <w:r w:rsidR="00C07CF2">
        <w:rPr>
          <w:lang w:val="fr-FR"/>
        </w:rPr>
        <w:t> </w:t>
      </w:r>
      <w:r w:rsidRPr="00DE0B65">
        <w:rPr>
          <w:lang w:val="fr-FR"/>
        </w:rPr>
        <w:t>[l]orsque la police pren</w:t>
      </w:r>
      <w:r>
        <w:rPr>
          <w:lang w:val="fr-FR"/>
        </w:rPr>
        <w:t>ait</w:t>
      </w:r>
      <w:r w:rsidRPr="00DE0B65">
        <w:rPr>
          <w:lang w:val="fr-FR"/>
        </w:rPr>
        <w:t xml:space="preserve"> l</w:t>
      </w:r>
      <w:r>
        <w:rPr>
          <w:lang w:val="fr-FR"/>
        </w:rPr>
        <w:t>’</w:t>
      </w:r>
      <w:r w:rsidRPr="00DE0B65">
        <w:rPr>
          <w:lang w:val="fr-FR"/>
        </w:rPr>
        <w:t>initiative du contact, les Noirs (5,2</w:t>
      </w:r>
      <w:r w:rsidR="00E53DDC">
        <w:rPr>
          <w:lang w:val="fr-FR"/>
        </w:rPr>
        <w:t> %</w:t>
      </w:r>
      <w:r w:rsidRPr="00DE0B65">
        <w:rPr>
          <w:lang w:val="fr-FR"/>
        </w:rPr>
        <w:t xml:space="preserve">) [...] </w:t>
      </w:r>
      <w:r>
        <w:rPr>
          <w:lang w:val="fr-FR"/>
        </w:rPr>
        <w:t xml:space="preserve">étaient plus susceptibles d’être exposés à la menace de la force et victimes de son emploi </w:t>
      </w:r>
      <w:r w:rsidRPr="00DE0B65">
        <w:rPr>
          <w:lang w:val="fr-FR"/>
        </w:rPr>
        <w:t>que les Blancs (2,4</w:t>
      </w:r>
      <w:r w:rsidR="00E53DDC">
        <w:rPr>
          <w:lang w:val="fr-FR"/>
        </w:rPr>
        <w:t> %</w:t>
      </w:r>
      <w:r w:rsidRPr="00DE0B65">
        <w:rPr>
          <w:lang w:val="fr-FR"/>
        </w:rPr>
        <w:t>)</w:t>
      </w:r>
      <w:r>
        <w:rPr>
          <w:lang w:val="fr-FR"/>
        </w:rPr>
        <w:t> »</w:t>
      </w:r>
      <w:r w:rsidRPr="00CD6B67">
        <w:rPr>
          <w:rStyle w:val="FootnoteReference"/>
        </w:rPr>
        <w:footnoteReference w:id="319"/>
      </w:r>
      <w:r>
        <w:rPr>
          <w:lang w:val="fr-FR"/>
        </w:rPr>
        <w:t>.</w:t>
      </w:r>
      <w:r w:rsidRPr="00293268">
        <w:rPr>
          <w:lang w:val="fr-FR"/>
        </w:rPr>
        <w:t xml:space="preserve"> </w:t>
      </w:r>
      <w:r w:rsidRPr="008658D2">
        <w:rPr>
          <w:lang w:val="fr-FR"/>
        </w:rPr>
        <w:t>Selon des données non gouvernementales, les Afro-Américains représentaient 28</w:t>
      </w:r>
      <w:r w:rsidR="00E53DDC">
        <w:rPr>
          <w:lang w:val="fr-FR"/>
        </w:rPr>
        <w:t> %</w:t>
      </w:r>
      <w:r w:rsidRPr="008658D2">
        <w:rPr>
          <w:lang w:val="fr-FR"/>
        </w:rPr>
        <w:t xml:space="preserve"> des personnes tuées par la police en 2020</w:t>
      </w:r>
      <w:r w:rsidRPr="00CD6B67">
        <w:rPr>
          <w:rStyle w:val="FootnoteReference"/>
        </w:rPr>
        <w:footnoteReference w:id="320"/>
      </w:r>
      <w:r>
        <w:rPr>
          <w:lang w:val="fr-FR"/>
        </w:rPr>
        <w:t>.</w:t>
      </w:r>
      <w:r w:rsidRPr="00293268">
        <w:rPr>
          <w:lang w:val="fr-FR"/>
        </w:rPr>
        <w:t xml:space="preserve"> </w:t>
      </w:r>
      <w:r w:rsidRPr="00111F2B">
        <w:rPr>
          <w:lang w:val="fr-FR"/>
        </w:rPr>
        <w:t>Des données officielles provenant du Canada montrent qu</w:t>
      </w:r>
      <w:r>
        <w:rPr>
          <w:lang w:val="fr-FR"/>
        </w:rPr>
        <w:t>’e</w:t>
      </w:r>
      <w:r w:rsidRPr="00111F2B">
        <w:rPr>
          <w:lang w:val="fr-FR"/>
        </w:rPr>
        <w:t xml:space="preserve">ntre 2013 et 2017, à Toronto, </w:t>
      </w:r>
      <w:r w:rsidR="00C07CF2">
        <w:rPr>
          <w:lang w:val="fr-FR"/>
        </w:rPr>
        <w:t>l</w:t>
      </w:r>
      <w:r w:rsidRPr="00FE11B7">
        <w:rPr>
          <w:lang w:val="fr-FR"/>
        </w:rPr>
        <w:t>es personnes noires étaient près de 20 fois plus susceptibles que les personnes blanches d</w:t>
      </w:r>
      <w:r>
        <w:rPr>
          <w:lang w:val="fr-FR"/>
        </w:rPr>
        <w:t>’</w:t>
      </w:r>
      <w:r w:rsidRPr="00FE11B7">
        <w:rPr>
          <w:lang w:val="fr-FR"/>
        </w:rPr>
        <w:t>être abattues lors d</w:t>
      </w:r>
      <w:r>
        <w:rPr>
          <w:lang w:val="fr-FR"/>
        </w:rPr>
        <w:t>’</w:t>
      </w:r>
      <w:r w:rsidRPr="00FE11B7">
        <w:rPr>
          <w:lang w:val="fr-FR"/>
        </w:rPr>
        <w:t>une fusillade par des agents du service de police de Toronto (SPT)</w:t>
      </w:r>
      <w:r w:rsidRPr="00CD6B67">
        <w:rPr>
          <w:rStyle w:val="FootnoteReference"/>
        </w:rPr>
        <w:footnoteReference w:id="321"/>
      </w:r>
      <w:r>
        <w:rPr>
          <w:lang w:val="fr-FR"/>
        </w:rPr>
        <w:t>.</w:t>
      </w:r>
      <w:r w:rsidRPr="00293268">
        <w:rPr>
          <w:lang w:val="fr-FR"/>
        </w:rPr>
        <w:t xml:space="preserve"> </w:t>
      </w:r>
      <w:r w:rsidRPr="001D3A93">
        <w:rPr>
          <w:lang w:val="fr-FR"/>
        </w:rPr>
        <w:t>En 2019, au Brésil, selon le Forum brésilien pour la sécurité publique, les personnes d</w:t>
      </w:r>
      <w:r>
        <w:rPr>
          <w:lang w:val="fr-FR"/>
        </w:rPr>
        <w:t>’</w:t>
      </w:r>
      <w:r w:rsidRPr="001D3A93">
        <w:rPr>
          <w:lang w:val="fr-FR"/>
        </w:rPr>
        <w:t>ascendance africaine représentaient 79</w:t>
      </w:r>
      <w:r w:rsidR="00E53DDC">
        <w:rPr>
          <w:lang w:val="fr-FR"/>
        </w:rPr>
        <w:t> %</w:t>
      </w:r>
      <w:r w:rsidRPr="001D3A93">
        <w:rPr>
          <w:lang w:val="fr-FR"/>
        </w:rPr>
        <w:t xml:space="preserve"> des décès lors d</w:t>
      </w:r>
      <w:r>
        <w:rPr>
          <w:lang w:val="fr-FR"/>
        </w:rPr>
        <w:t>’</w:t>
      </w:r>
      <w:r w:rsidRPr="001D3A93">
        <w:rPr>
          <w:lang w:val="fr-FR"/>
        </w:rPr>
        <w:t>interventions policières</w:t>
      </w:r>
      <w:r w:rsidRPr="00CD6B67">
        <w:rPr>
          <w:rStyle w:val="FootnoteReference"/>
        </w:rPr>
        <w:footnoteReference w:id="322"/>
      </w:r>
      <w:r>
        <w:rPr>
          <w:lang w:val="fr-FR"/>
        </w:rPr>
        <w:t>,</w:t>
      </w:r>
      <w:r w:rsidRPr="00293268">
        <w:rPr>
          <w:lang w:val="fr-FR"/>
        </w:rPr>
        <w:t xml:space="preserve"> </w:t>
      </w:r>
      <w:r w:rsidRPr="00337876">
        <w:rPr>
          <w:lang w:val="fr-FR"/>
        </w:rPr>
        <w:t>un taux supérieur de 183</w:t>
      </w:r>
      <w:r w:rsidR="00E53DDC">
        <w:rPr>
          <w:lang w:val="fr-FR"/>
        </w:rPr>
        <w:t> %</w:t>
      </w:r>
      <w:r w:rsidRPr="00337876">
        <w:rPr>
          <w:lang w:val="fr-FR"/>
        </w:rPr>
        <w:t xml:space="preserve"> à celui des </w:t>
      </w:r>
      <w:r>
        <w:rPr>
          <w:lang w:val="fr-FR"/>
        </w:rPr>
        <w:t>« </w:t>
      </w:r>
      <w:r w:rsidR="00B62A33">
        <w:rPr>
          <w:lang w:val="fr-FR"/>
        </w:rPr>
        <w:t>B</w:t>
      </w:r>
      <w:r w:rsidRPr="00337876">
        <w:rPr>
          <w:lang w:val="fr-FR"/>
        </w:rPr>
        <w:t>rancos</w:t>
      </w:r>
      <w:r>
        <w:rPr>
          <w:lang w:val="fr-FR"/>
        </w:rPr>
        <w:t> »</w:t>
      </w:r>
      <w:r w:rsidRPr="00337876">
        <w:rPr>
          <w:lang w:val="fr-FR"/>
        </w:rPr>
        <w:t xml:space="preserve"> (</w:t>
      </w:r>
      <w:r>
        <w:rPr>
          <w:lang w:val="fr-FR"/>
        </w:rPr>
        <w:t>« </w:t>
      </w:r>
      <w:r w:rsidR="00633EF3">
        <w:rPr>
          <w:lang w:val="fr-FR"/>
        </w:rPr>
        <w:t>Blancs</w:t>
      </w:r>
      <w:r w:rsidR="00B62A33">
        <w:rPr>
          <w:lang w:val="fr-FR"/>
        </w:rPr>
        <w:t> </w:t>
      </w:r>
      <w:r>
        <w:rPr>
          <w:lang w:val="fr-FR"/>
        </w:rPr>
        <w:t>»</w:t>
      </w:r>
      <w:r w:rsidRPr="00337876">
        <w:rPr>
          <w:lang w:val="fr-FR"/>
        </w:rPr>
        <w:t>)</w:t>
      </w:r>
      <w:r w:rsidRPr="00CD6B67">
        <w:rPr>
          <w:rStyle w:val="FootnoteReference"/>
        </w:rPr>
        <w:footnoteReference w:id="323"/>
      </w:r>
      <w:r>
        <w:rPr>
          <w:lang w:val="fr-FR"/>
        </w:rPr>
        <w:t>.</w:t>
      </w:r>
      <w:r w:rsidRPr="00293268">
        <w:rPr>
          <w:lang w:val="fr-FR"/>
        </w:rPr>
        <w:t xml:space="preserve"> </w:t>
      </w:r>
      <w:r w:rsidRPr="004C3886">
        <w:rPr>
          <w:lang w:val="fr-FR"/>
        </w:rPr>
        <w:t>À Rio de Janeiro, des données similaires révèlent qu</w:t>
      </w:r>
      <w:r>
        <w:rPr>
          <w:lang w:val="fr-FR"/>
        </w:rPr>
        <w:t>’</w:t>
      </w:r>
      <w:r w:rsidRPr="004C3886">
        <w:rPr>
          <w:lang w:val="fr-FR"/>
        </w:rPr>
        <w:t>en 2019, 1</w:t>
      </w:r>
      <w:r w:rsidR="00B62A33">
        <w:rPr>
          <w:lang w:val="fr-FR"/>
        </w:rPr>
        <w:t> </w:t>
      </w:r>
      <w:r w:rsidRPr="004C3886">
        <w:rPr>
          <w:lang w:val="fr-FR"/>
        </w:rPr>
        <w:t>423 des 1</w:t>
      </w:r>
      <w:r w:rsidR="00B62A33">
        <w:rPr>
          <w:lang w:val="fr-FR"/>
        </w:rPr>
        <w:t> </w:t>
      </w:r>
      <w:r w:rsidRPr="004C3886">
        <w:rPr>
          <w:lang w:val="fr-FR"/>
        </w:rPr>
        <w:t xml:space="preserve">814 personnes </w:t>
      </w:r>
      <w:r>
        <w:rPr>
          <w:lang w:val="fr-FR"/>
        </w:rPr>
        <w:t>tuées par la</w:t>
      </w:r>
      <w:r w:rsidRPr="004C3886">
        <w:rPr>
          <w:lang w:val="fr-FR"/>
        </w:rPr>
        <w:t xml:space="preserve"> police étaient d</w:t>
      </w:r>
      <w:r>
        <w:rPr>
          <w:lang w:val="fr-FR"/>
        </w:rPr>
        <w:t>’</w:t>
      </w:r>
      <w:r w:rsidRPr="004C3886">
        <w:rPr>
          <w:lang w:val="fr-FR"/>
        </w:rPr>
        <w:t>ascendance africaine</w:t>
      </w:r>
      <w:r w:rsidRPr="00CD6B67">
        <w:rPr>
          <w:rStyle w:val="FootnoteReference"/>
        </w:rPr>
        <w:footnoteReference w:id="324"/>
      </w:r>
      <w:r>
        <w:rPr>
          <w:lang w:val="fr-FR"/>
        </w:rPr>
        <w:t>.</w:t>
      </w:r>
    </w:p>
    <w:p w14:paraId="2A4A492E" w14:textId="16260D96" w:rsidR="00865E37" w:rsidRDefault="00865E37" w:rsidP="00865E37">
      <w:pPr>
        <w:pStyle w:val="SingleTxtG"/>
        <w:rPr>
          <w:lang w:val="fr-FR"/>
        </w:rPr>
      </w:pPr>
      <w:r w:rsidRPr="00293268">
        <w:rPr>
          <w:lang w:val="fr-FR"/>
        </w:rPr>
        <w:t>106.</w:t>
      </w:r>
      <w:r w:rsidRPr="00293268">
        <w:rPr>
          <w:lang w:val="fr-FR"/>
        </w:rPr>
        <w:tab/>
      </w:r>
      <w:r w:rsidRPr="00F52ADE">
        <w:rPr>
          <w:lang w:val="fr-FR"/>
        </w:rPr>
        <w:t>Selon les informations reçues, la législation adoptée par certains États de même que les politiques et les contrôles de plus en plus restrictifs appliqués aux frontières internationales ont conduit à l</w:t>
      </w:r>
      <w:r>
        <w:rPr>
          <w:lang w:val="fr-FR"/>
        </w:rPr>
        <w:t>’</w:t>
      </w:r>
      <w:r w:rsidRPr="00F52ADE">
        <w:rPr>
          <w:lang w:val="fr-FR"/>
        </w:rPr>
        <w:t xml:space="preserve">adoption de mesures et pratiques qui restreignent les droits </w:t>
      </w:r>
      <w:r>
        <w:rPr>
          <w:lang w:val="fr-FR"/>
        </w:rPr>
        <w:t>humains</w:t>
      </w:r>
      <w:r w:rsidRPr="00F52ADE">
        <w:rPr>
          <w:lang w:val="fr-FR"/>
        </w:rPr>
        <w:t xml:space="preserve"> des migrants et les voies de migration régulière</w:t>
      </w:r>
      <w:r w:rsidRPr="00CD6B67">
        <w:rPr>
          <w:rStyle w:val="FootnoteReference"/>
        </w:rPr>
        <w:footnoteReference w:id="325"/>
      </w:r>
      <w:r>
        <w:rPr>
          <w:lang w:val="fr-FR"/>
        </w:rPr>
        <w:t>,</w:t>
      </w:r>
      <w:r w:rsidRPr="00293268">
        <w:rPr>
          <w:lang w:val="fr-FR"/>
        </w:rPr>
        <w:t xml:space="preserve"> </w:t>
      </w:r>
      <w:r w:rsidRPr="001F7A65">
        <w:rPr>
          <w:lang w:val="fr-FR"/>
        </w:rPr>
        <w:t>avec des conséquences disproportionné</w:t>
      </w:r>
      <w:r>
        <w:rPr>
          <w:lang w:val="fr-FR"/>
        </w:rPr>
        <w:t>e</w:t>
      </w:r>
      <w:r w:rsidRPr="001F7A65">
        <w:rPr>
          <w:lang w:val="fr-FR"/>
        </w:rPr>
        <w:t xml:space="preserve">s </w:t>
      </w:r>
      <w:r>
        <w:rPr>
          <w:lang w:val="fr-FR"/>
        </w:rPr>
        <w:t>pour</w:t>
      </w:r>
      <w:r w:rsidRPr="001F7A65">
        <w:rPr>
          <w:lang w:val="fr-FR"/>
        </w:rPr>
        <w:t xml:space="preserve"> les Africains et les personnes d</w:t>
      </w:r>
      <w:r>
        <w:rPr>
          <w:lang w:val="fr-FR"/>
        </w:rPr>
        <w:t>’</w:t>
      </w:r>
      <w:r w:rsidRPr="001F7A65">
        <w:rPr>
          <w:lang w:val="fr-FR"/>
        </w:rPr>
        <w:t>ascendance africaine</w:t>
      </w:r>
      <w:r w:rsidRPr="00CD6B67">
        <w:rPr>
          <w:rStyle w:val="FootnoteReference"/>
        </w:rPr>
        <w:footnoteReference w:id="326"/>
      </w:r>
      <w:r>
        <w:rPr>
          <w:lang w:val="fr-FR"/>
        </w:rPr>
        <w:t xml:space="preserve">. </w:t>
      </w:r>
      <w:r w:rsidRPr="007B3B4F">
        <w:rPr>
          <w:lang w:val="fr-FR"/>
        </w:rPr>
        <w:t>Selon l</w:t>
      </w:r>
      <w:r>
        <w:rPr>
          <w:lang w:val="fr-FR"/>
        </w:rPr>
        <w:t>’</w:t>
      </w:r>
      <w:r w:rsidRPr="007B3B4F">
        <w:rPr>
          <w:lang w:val="fr-FR"/>
        </w:rPr>
        <w:t>Organisation internationale pour les migrations, 20</w:t>
      </w:r>
      <w:r w:rsidR="00A837EB">
        <w:rPr>
          <w:lang w:val="fr-FR"/>
        </w:rPr>
        <w:t> </w:t>
      </w:r>
      <w:r w:rsidRPr="007B3B4F">
        <w:rPr>
          <w:lang w:val="fr-FR"/>
        </w:rPr>
        <w:t>781 migrants, en majorité des Africains, se sont noyés en Méditerranée entre le 1</w:t>
      </w:r>
      <w:r w:rsidRPr="007B3B4F">
        <w:rPr>
          <w:vertAlign w:val="superscript"/>
          <w:lang w:val="fr-FR"/>
        </w:rPr>
        <w:t>er</w:t>
      </w:r>
      <w:r w:rsidR="00A837EB">
        <w:rPr>
          <w:lang w:val="fr-FR"/>
        </w:rPr>
        <w:t> </w:t>
      </w:r>
      <w:r w:rsidRPr="007B3B4F">
        <w:rPr>
          <w:lang w:val="fr-FR"/>
        </w:rPr>
        <w:t>janvier 2014 et le 1</w:t>
      </w:r>
      <w:r w:rsidRPr="007B3B4F">
        <w:rPr>
          <w:vertAlign w:val="superscript"/>
          <w:lang w:val="fr-FR"/>
        </w:rPr>
        <w:t>er</w:t>
      </w:r>
      <w:r w:rsidR="00A837EB">
        <w:rPr>
          <w:lang w:val="fr-FR"/>
        </w:rPr>
        <w:t> </w:t>
      </w:r>
      <w:r w:rsidRPr="007B3B4F">
        <w:rPr>
          <w:lang w:val="fr-FR"/>
        </w:rPr>
        <w:t>décembre 2020</w:t>
      </w:r>
      <w:r w:rsidRPr="00CD6B67">
        <w:rPr>
          <w:rStyle w:val="FootnoteReference"/>
        </w:rPr>
        <w:footnoteReference w:id="327"/>
      </w:r>
      <w:r>
        <w:rPr>
          <w:lang w:val="fr-FR"/>
        </w:rPr>
        <w:t>.</w:t>
      </w:r>
      <w:r w:rsidRPr="00293268">
        <w:rPr>
          <w:lang w:val="fr-FR"/>
        </w:rPr>
        <w:t xml:space="preserve"> </w:t>
      </w:r>
      <w:r w:rsidRPr="00871068">
        <w:rPr>
          <w:lang w:val="fr-FR"/>
        </w:rPr>
        <w:t>Les communications font état de violations présumées des droits de l</w:t>
      </w:r>
      <w:r>
        <w:rPr>
          <w:lang w:val="fr-FR"/>
        </w:rPr>
        <w:t>’</w:t>
      </w:r>
      <w:r w:rsidRPr="00871068">
        <w:rPr>
          <w:lang w:val="fr-FR"/>
        </w:rPr>
        <w:t>homme et en particulier de décès, de détentions arbitraires et d</w:t>
      </w:r>
      <w:r>
        <w:rPr>
          <w:lang w:val="fr-FR"/>
        </w:rPr>
        <w:t>’</w:t>
      </w:r>
      <w:r w:rsidRPr="00871068">
        <w:rPr>
          <w:lang w:val="fr-FR"/>
        </w:rPr>
        <w:t>expulsions illégales de migrants africains et d</w:t>
      </w:r>
      <w:r>
        <w:rPr>
          <w:lang w:val="fr-FR"/>
        </w:rPr>
        <w:t>’</w:t>
      </w:r>
      <w:r w:rsidRPr="00871068">
        <w:rPr>
          <w:lang w:val="fr-FR"/>
        </w:rPr>
        <w:t>ascendance africaine, ainsi que d</w:t>
      </w:r>
      <w:r>
        <w:rPr>
          <w:lang w:val="fr-FR"/>
        </w:rPr>
        <w:t>’</w:t>
      </w:r>
      <w:r w:rsidRPr="00871068">
        <w:rPr>
          <w:lang w:val="fr-FR"/>
        </w:rPr>
        <w:t>un manque de garanties juridiques</w:t>
      </w:r>
      <w:r w:rsidRPr="00CD6B67">
        <w:rPr>
          <w:rStyle w:val="FootnoteReference"/>
        </w:rPr>
        <w:footnoteReference w:id="328"/>
      </w:r>
      <w:r>
        <w:rPr>
          <w:lang w:val="fr-FR"/>
        </w:rPr>
        <w:t>.</w:t>
      </w:r>
      <w:r w:rsidRPr="00293268">
        <w:rPr>
          <w:lang w:val="fr-FR"/>
        </w:rPr>
        <w:t xml:space="preserve"> </w:t>
      </w:r>
      <w:r w:rsidRPr="006F28FD">
        <w:rPr>
          <w:lang w:val="fr-FR"/>
        </w:rPr>
        <w:t>Le HCDH a aussi mis en évidence les graves violations des droits de l</w:t>
      </w:r>
      <w:r>
        <w:rPr>
          <w:lang w:val="fr-FR"/>
        </w:rPr>
        <w:t>’</w:t>
      </w:r>
      <w:r w:rsidRPr="006F28FD">
        <w:rPr>
          <w:lang w:val="fr-FR"/>
        </w:rPr>
        <w:t>homme et atteintes à ces droits dont ont été victimes des migrants africains en Libye, en particulier leur réduction en esclavage</w:t>
      </w:r>
      <w:r w:rsidRPr="00CD6B67">
        <w:rPr>
          <w:rStyle w:val="FootnoteReference"/>
        </w:rPr>
        <w:footnoteReference w:id="329"/>
      </w:r>
      <w:r>
        <w:rPr>
          <w:lang w:val="fr-FR"/>
        </w:rPr>
        <w:t>.</w:t>
      </w:r>
    </w:p>
    <w:p w14:paraId="61146BDD" w14:textId="6C83BA9F" w:rsidR="00D301C6" w:rsidRPr="00293268" w:rsidRDefault="00D301C6" w:rsidP="00D301C6">
      <w:pPr>
        <w:pStyle w:val="SingleTxtG"/>
        <w:rPr>
          <w:lang w:val="fr-FR"/>
        </w:rPr>
      </w:pPr>
      <w:r w:rsidRPr="00293268">
        <w:rPr>
          <w:lang w:val="fr-FR"/>
        </w:rPr>
        <w:t>107.</w:t>
      </w:r>
      <w:r w:rsidRPr="00293268">
        <w:rPr>
          <w:lang w:val="fr-FR"/>
        </w:rPr>
        <w:tab/>
      </w:r>
      <w:r w:rsidRPr="008055E9">
        <w:rPr>
          <w:lang w:val="fr-FR"/>
        </w:rPr>
        <w:t>Selon les communications reçues, les</w:t>
      </w:r>
      <w:r w:rsidRPr="00370593">
        <w:rPr>
          <w:lang w:val="fr-FR"/>
        </w:rPr>
        <w:t xml:space="preserve"> personnes transgenres d</w:t>
      </w:r>
      <w:r>
        <w:rPr>
          <w:lang w:val="fr-FR"/>
        </w:rPr>
        <w:t>’</w:t>
      </w:r>
      <w:r w:rsidRPr="00370593">
        <w:rPr>
          <w:lang w:val="fr-FR"/>
        </w:rPr>
        <w:t>ascendance africaine semblent être particulièrement exposées à un niveau élevé de violence et d</w:t>
      </w:r>
      <w:r>
        <w:rPr>
          <w:lang w:val="fr-FR"/>
        </w:rPr>
        <w:t>’</w:t>
      </w:r>
      <w:r w:rsidRPr="00370593">
        <w:rPr>
          <w:lang w:val="fr-FR"/>
        </w:rPr>
        <w:t>usage excessif de la force, ainsi qu</w:t>
      </w:r>
      <w:r>
        <w:rPr>
          <w:lang w:val="fr-FR"/>
        </w:rPr>
        <w:t>’</w:t>
      </w:r>
      <w:r w:rsidRPr="00370593">
        <w:rPr>
          <w:lang w:val="fr-FR"/>
        </w:rPr>
        <w:t xml:space="preserve">à des </w:t>
      </w:r>
      <w:r>
        <w:rPr>
          <w:lang w:val="fr-FR"/>
        </w:rPr>
        <w:t>risques</w:t>
      </w:r>
      <w:r w:rsidRPr="00370593">
        <w:rPr>
          <w:lang w:val="fr-FR"/>
        </w:rPr>
        <w:t xml:space="preserve"> de détention arbitraire et de torture</w:t>
      </w:r>
      <w:r w:rsidRPr="00CD6B67">
        <w:rPr>
          <w:rStyle w:val="FootnoteReference"/>
        </w:rPr>
        <w:footnoteReference w:id="330"/>
      </w:r>
      <w:r>
        <w:rPr>
          <w:lang w:val="fr-FR"/>
        </w:rPr>
        <w:t>.</w:t>
      </w:r>
      <w:r w:rsidRPr="00293268">
        <w:rPr>
          <w:lang w:val="fr-FR"/>
        </w:rPr>
        <w:t xml:space="preserve"> </w:t>
      </w:r>
      <w:r w:rsidRPr="00636620">
        <w:rPr>
          <w:lang w:val="fr-FR"/>
        </w:rPr>
        <w:t xml:space="preserve">Il ressort des consultations et des communications que de nombreuses familles pensent que la race et la situation socioéconomique sont des facteurs déterminants de la violence et du recours à la force </w:t>
      </w:r>
      <w:r>
        <w:rPr>
          <w:lang w:val="fr-FR"/>
        </w:rPr>
        <w:t>exercés à l’en</w:t>
      </w:r>
      <w:r w:rsidRPr="00636620">
        <w:rPr>
          <w:lang w:val="fr-FR"/>
        </w:rPr>
        <w:t xml:space="preserve">contre </w:t>
      </w:r>
      <w:r>
        <w:rPr>
          <w:lang w:val="fr-FR"/>
        </w:rPr>
        <w:t>d</w:t>
      </w:r>
      <w:r w:rsidRPr="00636620">
        <w:rPr>
          <w:lang w:val="fr-FR"/>
        </w:rPr>
        <w:t xml:space="preserve">es </w:t>
      </w:r>
      <w:r>
        <w:rPr>
          <w:lang w:val="fr-FR"/>
        </w:rPr>
        <w:t>populations</w:t>
      </w:r>
      <w:r w:rsidRPr="00636620">
        <w:rPr>
          <w:lang w:val="fr-FR"/>
        </w:rPr>
        <w:t xml:space="preserve"> d</w:t>
      </w:r>
      <w:r>
        <w:rPr>
          <w:lang w:val="fr-FR"/>
        </w:rPr>
        <w:t>’</w:t>
      </w:r>
      <w:r w:rsidRPr="00636620">
        <w:rPr>
          <w:lang w:val="fr-FR"/>
        </w:rPr>
        <w:t>ascendance africaine</w:t>
      </w:r>
      <w:r w:rsidRPr="00CD6B67">
        <w:rPr>
          <w:rStyle w:val="FootnoteReference"/>
        </w:rPr>
        <w:footnoteReference w:id="331"/>
      </w:r>
      <w:r>
        <w:rPr>
          <w:lang w:val="fr-FR"/>
        </w:rPr>
        <w:t>.</w:t>
      </w:r>
    </w:p>
    <w:p w14:paraId="677AE090" w14:textId="44440CB7" w:rsidR="00D301C6" w:rsidRPr="00293268" w:rsidRDefault="00D301C6" w:rsidP="00D301C6">
      <w:pPr>
        <w:pStyle w:val="SingleTxtG"/>
        <w:rPr>
          <w:lang w:val="fr-FR"/>
        </w:rPr>
      </w:pPr>
      <w:r w:rsidRPr="00293268">
        <w:rPr>
          <w:lang w:val="fr-FR"/>
        </w:rPr>
        <w:t>108.</w:t>
      </w:r>
      <w:r w:rsidRPr="00293268">
        <w:rPr>
          <w:lang w:val="fr-FR"/>
        </w:rPr>
        <w:tab/>
      </w:r>
      <w:r w:rsidRPr="00134A3B">
        <w:rPr>
          <w:lang w:val="fr-FR"/>
        </w:rPr>
        <w:t xml:space="preserve">En ce qui concerne des </w:t>
      </w:r>
      <w:r>
        <w:rPr>
          <w:lang w:val="fr-FR"/>
        </w:rPr>
        <w:t>faits</w:t>
      </w:r>
      <w:r w:rsidRPr="00134A3B">
        <w:rPr>
          <w:lang w:val="fr-FR"/>
        </w:rPr>
        <w:t xml:space="preserve"> particuliers, le HCDH a reçu des informations concernant plus de 190 décès d</w:t>
      </w:r>
      <w:r>
        <w:rPr>
          <w:lang w:val="fr-FR"/>
        </w:rPr>
        <w:t>’</w:t>
      </w:r>
      <w:r w:rsidRPr="00134A3B">
        <w:rPr>
          <w:lang w:val="fr-FR"/>
        </w:rPr>
        <w:t>Africains et de personnes d</w:t>
      </w:r>
      <w:r>
        <w:rPr>
          <w:lang w:val="fr-FR"/>
        </w:rPr>
        <w:t>’</w:t>
      </w:r>
      <w:r w:rsidRPr="00134A3B">
        <w:rPr>
          <w:lang w:val="fr-FR"/>
        </w:rPr>
        <w:t xml:space="preserve">ascendance africaine pendant ou après </w:t>
      </w:r>
      <w:r>
        <w:rPr>
          <w:lang w:val="fr-FR"/>
        </w:rPr>
        <w:t xml:space="preserve">une intervention </w:t>
      </w:r>
      <w:r w:rsidRPr="00134A3B">
        <w:rPr>
          <w:lang w:val="fr-FR"/>
        </w:rPr>
        <w:t>des forces de l</w:t>
      </w:r>
      <w:r>
        <w:rPr>
          <w:lang w:val="fr-FR"/>
        </w:rPr>
        <w:t>’</w:t>
      </w:r>
      <w:r w:rsidRPr="00134A3B">
        <w:rPr>
          <w:lang w:val="fr-FR"/>
        </w:rPr>
        <w:t>ordre</w:t>
      </w:r>
      <w:r w:rsidRPr="00293268">
        <w:rPr>
          <w:lang w:val="fr-FR"/>
        </w:rPr>
        <w:t xml:space="preserve">. </w:t>
      </w:r>
      <w:r w:rsidRPr="00ED0E84">
        <w:rPr>
          <w:lang w:val="fr-FR"/>
        </w:rPr>
        <w:t xml:space="preserve">Sur ces 190 </w:t>
      </w:r>
      <w:r>
        <w:rPr>
          <w:lang w:val="fr-FR"/>
        </w:rPr>
        <w:t>décès</w:t>
      </w:r>
      <w:r w:rsidRPr="00ED0E84">
        <w:rPr>
          <w:lang w:val="fr-FR"/>
        </w:rPr>
        <w:t>, 98</w:t>
      </w:r>
      <w:r w:rsidR="00E53DDC">
        <w:rPr>
          <w:lang w:val="fr-FR"/>
        </w:rPr>
        <w:t> %</w:t>
      </w:r>
      <w:r w:rsidRPr="00ED0E84">
        <w:rPr>
          <w:lang w:val="fr-FR"/>
        </w:rPr>
        <w:t xml:space="preserve"> </w:t>
      </w:r>
      <w:r>
        <w:rPr>
          <w:lang w:val="fr-FR"/>
        </w:rPr>
        <w:t>o</w:t>
      </w:r>
      <w:r w:rsidRPr="00ED0E84">
        <w:rPr>
          <w:lang w:val="fr-FR"/>
        </w:rPr>
        <w:t>nt eu lieu en Europe, en Amérique latine et en Amérique du Nord</w:t>
      </w:r>
      <w:r w:rsidRPr="00CD6B67">
        <w:rPr>
          <w:rStyle w:val="FootnoteReference"/>
        </w:rPr>
        <w:footnoteReference w:id="332"/>
      </w:r>
      <w:r>
        <w:rPr>
          <w:lang w:val="fr-FR"/>
        </w:rPr>
        <w:t>.</w:t>
      </w:r>
      <w:r w:rsidRPr="00293268">
        <w:rPr>
          <w:lang w:val="fr-FR"/>
        </w:rPr>
        <w:t xml:space="preserve"> </w:t>
      </w:r>
      <w:r w:rsidRPr="00454F3D">
        <w:rPr>
          <w:lang w:val="fr-FR"/>
        </w:rPr>
        <w:t>La grande majorité des victimes étaient des personnes d</w:t>
      </w:r>
      <w:r>
        <w:rPr>
          <w:lang w:val="fr-FR"/>
        </w:rPr>
        <w:t>’</w:t>
      </w:r>
      <w:r w:rsidRPr="00454F3D">
        <w:rPr>
          <w:lang w:val="fr-FR"/>
        </w:rPr>
        <w:t>ascendance africaine (92</w:t>
      </w:r>
      <w:r w:rsidR="00E53DDC">
        <w:rPr>
          <w:lang w:val="fr-FR"/>
        </w:rPr>
        <w:t> %</w:t>
      </w:r>
      <w:r w:rsidRPr="00454F3D">
        <w:rPr>
          <w:lang w:val="fr-FR"/>
        </w:rPr>
        <w:t>)</w:t>
      </w:r>
      <w:r>
        <w:rPr>
          <w:lang w:val="fr-FR"/>
        </w:rPr>
        <w:t xml:space="preserve"> et</w:t>
      </w:r>
      <w:r w:rsidRPr="00454F3D">
        <w:rPr>
          <w:lang w:val="fr-FR"/>
        </w:rPr>
        <w:t xml:space="preserve"> 8</w:t>
      </w:r>
      <w:r w:rsidR="00E53DDC">
        <w:rPr>
          <w:lang w:val="fr-FR"/>
        </w:rPr>
        <w:t> %</w:t>
      </w:r>
      <w:r w:rsidRPr="00454F3D">
        <w:rPr>
          <w:lang w:val="fr-FR"/>
        </w:rPr>
        <w:t xml:space="preserve"> des Africains. Si la plupart des victimes </w:t>
      </w:r>
      <w:r>
        <w:rPr>
          <w:lang w:val="fr-FR"/>
        </w:rPr>
        <w:t>étaien</w:t>
      </w:r>
      <w:r w:rsidRPr="00454F3D">
        <w:rPr>
          <w:lang w:val="fr-FR"/>
        </w:rPr>
        <w:t>t des hommes (80</w:t>
      </w:r>
      <w:r w:rsidR="00E53DDC">
        <w:rPr>
          <w:lang w:val="fr-FR"/>
        </w:rPr>
        <w:t> %</w:t>
      </w:r>
      <w:r w:rsidRPr="00454F3D">
        <w:rPr>
          <w:lang w:val="fr-FR"/>
        </w:rPr>
        <w:t xml:space="preserve">) </w:t>
      </w:r>
      <w:r w:rsidR="00C0678A">
        <w:rPr>
          <w:lang w:val="fr-FR"/>
        </w:rPr>
        <w:t>−</w:t>
      </w:r>
      <w:r w:rsidRPr="00454F3D">
        <w:rPr>
          <w:lang w:val="fr-FR"/>
        </w:rPr>
        <w:t xml:space="preserve"> en particulier des hommes jeunes (moins de 30 ans), souvent issus de </w:t>
      </w:r>
      <w:r>
        <w:rPr>
          <w:lang w:val="fr-FR"/>
        </w:rPr>
        <w:t>milieux</w:t>
      </w:r>
      <w:r w:rsidRPr="00454F3D">
        <w:rPr>
          <w:lang w:val="fr-FR"/>
        </w:rPr>
        <w:t xml:space="preserve"> pauvres ou </w:t>
      </w:r>
      <w:r>
        <w:rPr>
          <w:lang w:val="fr-FR"/>
        </w:rPr>
        <w:t>ayant un</w:t>
      </w:r>
      <w:r w:rsidRPr="00454F3D">
        <w:rPr>
          <w:lang w:val="fr-FR"/>
        </w:rPr>
        <w:t xml:space="preserve"> handicap psychosocia</w:t>
      </w:r>
      <w:r>
        <w:rPr>
          <w:lang w:val="fr-FR"/>
        </w:rPr>
        <w:t>l</w:t>
      </w:r>
      <w:r w:rsidRPr="00454F3D">
        <w:rPr>
          <w:lang w:val="fr-FR"/>
        </w:rPr>
        <w:t xml:space="preserve"> </w:t>
      </w:r>
      <w:r w:rsidR="00C0678A">
        <w:rPr>
          <w:lang w:val="fr-FR"/>
        </w:rPr>
        <w:t>−</w:t>
      </w:r>
      <w:r w:rsidRPr="00454F3D">
        <w:rPr>
          <w:lang w:val="fr-FR"/>
        </w:rPr>
        <w:t xml:space="preserve"> environ 16</w:t>
      </w:r>
      <w:r w:rsidR="00E53DDC">
        <w:rPr>
          <w:lang w:val="fr-FR"/>
        </w:rPr>
        <w:t> %</w:t>
      </w:r>
      <w:r w:rsidRPr="00454F3D">
        <w:rPr>
          <w:lang w:val="fr-FR"/>
        </w:rPr>
        <w:t xml:space="preserve"> du nombre total de victimes </w:t>
      </w:r>
      <w:r>
        <w:rPr>
          <w:lang w:val="fr-FR"/>
        </w:rPr>
        <w:t>étai</w:t>
      </w:r>
      <w:r w:rsidRPr="00454F3D">
        <w:rPr>
          <w:lang w:val="fr-FR"/>
        </w:rPr>
        <w:t>ent des femmes, 11</w:t>
      </w:r>
      <w:r w:rsidR="00E53DDC">
        <w:rPr>
          <w:lang w:val="fr-FR"/>
        </w:rPr>
        <w:t> %</w:t>
      </w:r>
      <w:r w:rsidRPr="00454F3D">
        <w:rPr>
          <w:lang w:val="fr-FR"/>
        </w:rPr>
        <w:t xml:space="preserve"> des enfants et 4</w:t>
      </w:r>
      <w:r w:rsidR="00E53DDC">
        <w:rPr>
          <w:lang w:val="fr-FR"/>
        </w:rPr>
        <w:t> %</w:t>
      </w:r>
      <w:r w:rsidRPr="00454F3D">
        <w:rPr>
          <w:lang w:val="fr-FR"/>
        </w:rPr>
        <w:t xml:space="preserve"> des personnes LGBTI. Les </w:t>
      </w:r>
      <w:r>
        <w:rPr>
          <w:lang w:val="fr-FR"/>
        </w:rPr>
        <w:t xml:space="preserve">cas présumés de </w:t>
      </w:r>
      <w:r w:rsidRPr="00CB4911">
        <w:rPr>
          <w:lang w:val="fr-FR"/>
        </w:rPr>
        <w:t xml:space="preserve">recours abusif à la force </w:t>
      </w:r>
      <w:r>
        <w:rPr>
          <w:lang w:val="fr-FR"/>
        </w:rPr>
        <w:t>correspondaient</w:t>
      </w:r>
      <w:r w:rsidRPr="00454F3D">
        <w:rPr>
          <w:lang w:val="fr-FR"/>
        </w:rPr>
        <w:t xml:space="preserve"> le plus souvent à des tirs mortels, au recours disproportionné ou superflu à des mesures de contrainte, à l</w:t>
      </w:r>
      <w:r>
        <w:rPr>
          <w:lang w:val="fr-FR"/>
        </w:rPr>
        <w:t>’</w:t>
      </w:r>
      <w:r w:rsidRPr="00454F3D">
        <w:rPr>
          <w:lang w:val="fr-FR"/>
        </w:rPr>
        <w:t>utilisation d</w:t>
      </w:r>
      <w:r>
        <w:rPr>
          <w:lang w:val="fr-FR"/>
        </w:rPr>
        <w:t>’</w:t>
      </w:r>
      <w:r w:rsidRPr="00454F3D">
        <w:rPr>
          <w:lang w:val="fr-FR"/>
        </w:rPr>
        <w:t xml:space="preserve">armes moins létales ou à </w:t>
      </w:r>
      <w:r>
        <w:rPr>
          <w:lang w:val="fr-FR"/>
        </w:rPr>
        <w:t>une combinaison de ces différentes pratiques</w:t>
      </w:r>
      <w:r w:rsidRPr="00293268">
        <w:rPr>
          <w:lang w:val="fr-FR"/>
        </w:rPr>
        <w:t>.</w:t>
      </w:r>
    </w:p>
    <w:p w14:paraId="7005E800" w14:textId="236FFEEF" w:rsidR="00D301C6" w:rsidRPr="00293268" w:rsidRDefault="00D301C6" w:rsidP="00D301C6">
      <w:pPr>
        <w:pStyle w:val="SingleTxtG"/>
        <w:rPr>
          <w:lang w:val="fr-FR"/>
        </w:rPr>
      </w:pPr>
      <w:r w:rsidRPr="00293268">
        <w:rPr>
          <w:lang w:val="fr-FR"/>
        </w:rPr>
        <w:t>109.</w:t>
      </w:r>
      <w:r w:rsidRPr="00293268">
        <w:rPr>
          <w:lang w:val="fr-FR"/>
        </w:rPr>
        <w:tab/>
        <w:t>L</w:t>
      </w:r>
      <w:r>
        <w:rPr>
          <w:lang w:val="fr-FR"/>
        </w:rPr>
        <w:t>’</w:t>
      </w:r>
      <w:r w:rsidRPr="00293268">
        <w:rPr>
          <w:lang w:val="fr-FR"/>
        </w:rPr>
        <w:t xml:space="preserve">analyse que le HCDH a faite de ces </w:t>
      </w:r>
      <w:r>
        <w:rPr>
          <w:lang w:val="fr-FR"/>
        </w:rPr>
        <w:t>faits</w:t>
      </w:r>
      <w:r w:rsidRPr="00293268">
        <w:rPr>
          <w:lang w:val="fr-FR"/>
        </w:rPr>
        <w:t xml:space="preserve"> </w:t>
      </w:r>
      <w:r>
        <w:rPr>
          <w:lang w:val="fr-FR"/>
        </w:rPr>
        <w:t>donne à penser</w:t>
      </w:r>
      <w:r w:rsidRPr="00293268">
        <w:rPr>
          <w:lang w:val="fr-FR"/>
        </w:rPr>
        <w:t xml:space="preserve"> </w:t>
      </w:r>
      <w:r>
        <w:rPr>
          <w:lang w:val="fr-FR"/>
        </w:rPr>
        <w:t>que</w:t>
      </w:r>
      <w:r w:rsidRPr="00293268">
        <w:rPr>
          <w:lang w:val="fr-FR"/>
        </w:rPr>
        <w:t xml:space="preserve"> plus de 85</w:t>
      </w:r>
      <w:r w:rsidR="00E53DDC">
        <w:rPr>
          <w:lang w:val="fr-FR"/>
        </w:rPr>
        <w:t> %</w:t>
      </w:r>
      <w:r w:rsidRPr="00293268">
        <w:rPr>
          <w:lang w:val="fr-FR"/>
        </w:rPr>
        <w:t xml:space="preserve"> des décès </w:t>
      </w:r>
      <w:r>
        <w:rPr>
          <w:lang w:val="fr-FR"/>
        </w:rPr>
        <w:t>imputables</w:t>
      </w:r>
      <w:r w:rsidRPr="00293268">
        <w:rPr>
          <w:lang w:val="fr-FR"/>
        </w:rPr>
        <w:t xml:space="preserve"> à la police</w:t>
      </w:r>
      <w:r>
        <w:rPr>
          <w:lang w:val="fr-FR"/>
        </w:rPr>
        <w:t xml:space="preserve"> surviennent dans le cadre de trois contextes principaux</w:t>
      </w:r>
      <w:r w:rsidR="000603D8">
        <w:rPr>
          <w:lang w:val="fr-FR"/>
        </w:rPr>
        <w:t> </w:t>
      </w:r>
      <w:r w:rsidRPr="00293268">
        <w:rPr>
          <w:lang w:val="fr-FR"/>
        </w:rPr>
        <w:t xml:space="preserve">: la répression des </w:t>
      </w:r>
      <w:r>
        <w:rPr>
          <w:lang w:val="fr-FR"/>
        </w:rPr>
        <w:t>infractions mineures</w:t>
      </w:r>
      <w:r w:rsidRPr="00293268">
        <w:rPr>
          <w:lang w:val="fr-FR"/>
        </w:rPr>
        <w:t xml:space="preserve">, les contrôles routiers et les interpellations, comme dans les cas de George Floyd (États-Unis), </w:t>
      </w:r>
      <w:r>
        <w:rPr>
          <w:lang w:val="fr-FR"/>
        </w:rPr>
        <w:t>d’</w:t>
      </w:r>
      <w:r w:rsidRPr="00293268">
        <w:rPr>
          <w:lang w:val="fr-FR"/>
        </w:rPr>
        <w:t xml:space="preserve">Adama Traoré (France) et </w:t>
      </w:r>
      <w:r>
        <w:rPr>
          <w:lang w:val="fr-FR"/>
        </w:rPr>
        <w:t xml:space="preserve">de </w:t>
      </w:r>
      <w:r w:rsidRPr="00293268">
        <w:rPr>
          <w:lang w:val="fr-FR"/>
        </w:rPr>
        <w:t>Luana Barbosa dos Reis Santos (Brésil)</w:t>
      </w:r>
      <w:r w:rsidR="00BF73AB">
        <w:rPr>
          <w:lang w:val="fr-FR"/>
        </w:rPr>
        <w:t> ;</w:t>
      </w:r>
      <w:r w:rsidRPr="00293268">
        <w:rPr>
          <w:lang w:val="fr-FR"/>
        </w:rPr>
        <w:t xml:space="preserve"> l</w:t>
      </w:r>
      <w:r>
        <w:rPr>
          <w:lang w:val="fr-FR"/>
        </w:rPr>
        <w:t>’</w:t>
      </w:r>
      <w:r w:rsidRPr="00293268">
        <w:rPr>
          <w:lang w:val="fr-FR"/>
        </w:rPr>
        <w:t>intervention de la police désignée comme première intervenante pour les crises de santé mentale, comme dans le cas de Kevin Clarke (Royaume-Uni)</w:t>
      </w:r>
      <w:r w:rsidR="00BF73AB">
        <w:rPr>
          <w:lang w:val="fr-FR"/>
        </w:rPr>
        <w:t> ;</w:t>
      </w:r>
      <w:r w:rsidRPr="00293268">
        <w:rPr>
          <w:lang w:val="fr-FR"/>
        </w:rPr>
        <w:t xml:space="preserve"> et la conduite d</w:t>
      </w:r>
      <w:r>
        <w:rPr>
          <w:lang w:val="fr-FR"/>
        </w:rPr>
        <w:t>’</w:t>
      </w:r>
      <w:r w:rsidRPr="00293268">
        <w:rPr>
          <w:lang w:val="fr-FR"/>
        </w:rPr>
        <w:t xml:space="preserve">opérations de police spéciale, comme dans les cas de Breonna Taylor (États-Unis), </w:t>
      </w:r>
      <w:r>
        <w:rPr>
          <w:lang w:val="fr-FR"/>
        </w:rPr>
        <w:t xml:space="preserve">de </w:t>
      </w:r>
      <w:r w:rsidRPr="00293268">
        <w:rPr>
          <w:lang w:val="fr-FR"/>
        </w:rPr>
        <w:t>Janner García Palomino (Colombie) et</w:t>
      </w:r>
      <w:r>
        <w:rPr>
          <w:lang w:val="fr-FR"/>
        </w:rPr>
        <w:t xml:space="preserve"> de</w:t>
      </w:r>
      <w:r w:rsidRPr="00293268">
        <w:rPr>
          <w:lang w:val="fr-FR"/>
        </w:rPr>
        <w:t xml:space="preserve"> João Pedro Matos Pinto (Brésil). Nombre de ces interventions ont été </w:t>
      </w:r>
      <w:r>
        <w:rPr>
          <w:lang w:val="fr-FR"/>
        </w:rPr>
        <w:t>qualifiées d’opérations menées dans le cadre</w:t>
      </w:r>
      <w:r w:rsidRPr="00293268">
        <w:rPr>
          <w:lang w:val="fr-FR"/>
        </w:rPr>
        <w:t xml:space="preserve"> de la «</w:t>
      </w:r>
      <w:r w:rsidR="000603D8">
        <w:rPr>
          <w:lang w:val="fr-FR"/>
        </w:rPr>
        <w:t> </w:t>
      </w:r>
      <w:r w:rsidRPr="00293268">
        <w:rPr>
          <w:lang w:val="fr-FR"/>
        </w:rPr>
        <w:t>guerre contre la drogue</w:t>
      </w:r>
      <w:r w:rsidR="000603D8">
        <w:rPr>
          <w:lang w:val="fr-FR"/>
        </w:rPr>
        <w:t> </w:t>
      </w:r>
      <w:r w:rsidRPr="00293268">
        <w:rPr>
          <w:lang w:val="fr-FR"/>
        </w:rPr>
        <w:t xml:space="preserve">» ou </w:t>
      </w:r>
      <w:r>
        <w:rPr>
          <w:lang w:val="fr-FR"/>
        </w:rPr>
        <w:t>d’</w:t>
      </w:r>
      <w:r w:rsidRPr="00293268">
        <w:rPr>
          <w:lang w:val="fr-FR"/>
        </w:rPr>
        <w:t>opérations antigang.</w:t>
      </w:r>
    </w:p>
    <w:p w14:paraId="2DA23339" w14:textId="77777777" w:rsidR="00D301C6" w:rsidRPr="00293268" w:rsidRDefault="00D301C6" w:rsidP="00D301C6">
      <w:pPr>
        <w:pStyle w:val="SingleTxtG"/>
        <w:rPr>
          <w:lang w:val="fr-FR"/>
        </w:rPr>
      </w:pPr>
      <w:r w:rsidRPr="00293268">
        <w:rPr>
          <w:lang w:val="fr-FR"/>
        </w:rPr>
        <w:t>110.</w:t>
      </w:r>
      <w:r w:rsidRPr="00293268">
        <w:rPr>
          <w:lang w:val="fr-FR"/>
        </w:rPr>
        <w:tab/>
      </w:r>
      <w:r w:rsidRPr="00EA08E9">
        <w:rPr>
          <w:lang w:val="fr-FR"/>
        </w:rPr>
        <w:t xml:space="preserve">Si les plus de 190 </w:t>
      </w:r>
      <w:r>
        <w:rPr>
          <w:lang w:val="fr-FR"/>
        </w:rPr>
        <w:t>décès</w:t>
      </w:r>
      <w:r w:rsidRPr="00EA08E9">
        <w:rPr>
          <w:lang w:val="fr-FR"/>
        </w:rPr>
        <w:t xml:space="preserve"> examinés par le HCDH se sont produits dans </w:t>
      </w:r>
      <w:r>
        <w:rPr>
          <w:lang w:val="fr-FR"/>
        </w:rPr>
        <w:t>des</w:t>
      </w:r>
      <w:r w:rsidRPr="00EA08E9">
        <w:rPr>
          <w:lang w:val="fr-FR"/>
        </w:rPr>
        <w:t xml:space="preserve"> pays dotés de systèmes juridiques </w:t>
      </w:r>
      <w:r>
        <w:rPr>
          <w:lang w:val="fr-FR"/>
        </w:rPr>
        <w:t>différents,</w:t>
      </w:r>
      <w:r w:rsidRPr="00EA08E9">
        <w:rPr>
          <w:lang w:val="fr-FR"/>
        </w:rPr>
        <w:t xml:space="preserve"> les informations reçues font état de pratiques, </w:t>
      </w:r>
      <w:r>
        <w:rPr>
          <w:lang w:val="fr-FR"/>
        </w:rPr>
        <w:t>tendances et</w:t>
      </w:r>
      <w:r w:rsidRPr="00EA08E9">
        <w:rPr>
          <w:lang w:val="fr-FR"/>
        </w:rPr>
        <w:t xml:space="preserve"> difficultés plus généra</w:t>
      </w:r>
      <w:r>
        <w:rPr>
          <w:lang w:val="fr-FR"/>
        </w:rPr>
        <w:t>les communes à tous les États</w:t>
      </w:r>
      <w:r w:rsidRPr="00EA08E9">
        <w:rPr>
          <w:lang w:val="fr-FR"/>
        </w:rPr>
        <w:t>, ce que confirment d</w:t>
      </w:r>
      <w:r>
        <w:rPr>
          <w:lang w:val="fr-FR"/>
        </w:rPr>
        <w:t>’</w:t>
      </w:r>
      <w:r w:rsidRPr="00EA08E9">
        <w:rPr>
          <w:lang w:val="fr-FR"/>
        </w:rPr>
        <w:t xml:space="preserve">autres </w:t>
      </w:r>
      <w:r>
        <w:rPr>
          <w:lang w:val="fr-FR"/>
        </w:rPr>
        <w:t xml:space="preserve">travaux de </w:t>
      </w:r>
      <w:r w:rsidRPr="00EA08E9">
        <w:rPr>
          <w:lang w:val="fr-FR"/>
        </w:rPr>
        <w:t>recherche. Par exemple, l</w:t>
      </w:r>
      <w:r>
        <w:rPr>
          <w:lang w:val="fr-FR"/>
        </w:rPr>
        <w:t>’</w:t>
      </w:r>
      <w:r w:rsidRPr="00EA08E9">
        <w:rPr>
          <w:lang w:val="fr-FR"/>
        </w:rPr>
        <w:t>étude précitée de 2021 menée par l</w:t>
      </w:r>
      <w:r>
        <w:rPr>
          <w:lang w:val="fr-FR"/>
        </w:rPr>
        <w:t>’</w:t>
      </w:r>
      <w:r w:rsidRPr="00EA08E9">
        <w:rPr>
          <w:lang w:val="fr-FR"/>
        </w:rPr>
        <w:t xml:space="preserve">Université de Chicago a révélé que, dans les plus grandes villes des 29 pays les plus riches, la législation et les directives sur </w:t>
      </w:r>
      <w:r>
        <w:rPr>
          <w:lang w:val="fr-FR"/>
        </w:rPr>
        <w:t xml:space="preserve">le recours à </w:t>
      </w:r>
      <w:r w:rsidRPr="00EA08E9">
        <w:rPr>
          <w:lang w:val="fr-FR"/>
        </w:rPr>
        <w:t>la force ne sont souvent pas conformes au droit international des droits de l</w:t>
      </w:r>
      <w:r>
        <w:rPr>
          <w:lang w:val="fr-FR"/>
        </w:rPr>
        <w:t>’</w:t>
      </w:r>
      <w:r w:rsidRPr="00EA08E9">
        <w:rPr>
          <w:lang w:val="fr-FR"/>
        </w:rPr>
        <w:t xml:space="preserve">homme. De plus, les directives </w:t>
      </w:r>
      <w:r w:rsidRPr="00962A15">
        <w:rPr>
          <w:lang w:val="fr-FR"/>
        </w:rPr>
        <w:t xml:space="preserve">relatives au recours à la force létale </w:t>
      </w:r>
      <w:r w:rsidRPr="00EA08E9">
        <w:rPr>
          <w:lang w:val="fr-FR"/>
        </w:rPr>
        <w:t xml:space="preserve">sont souvent </w:t>
      </w:r>
      <w:r>
        <w:rPr>
          <w:lang w:val="fr-FR"/>
        </w:rPr>
        <w:t>obsolètes</w:t>
      </w:r>
      <w:r w:rsidRPr="00EA08E9">
        <w:rPr>
          <w:lang w:val="fr-FR"/>
        </w:rPr>
        <w:t xml:space="preserve"> et donnent un pouvoir d</w:t>
      </w:r>
      <w:r>
        <w:rPr>
          <w:lang w:val="fr-FR"/>
        </w:rPr>
        <w:t>’</w:t>
      </w:r>
      <w:r w:rsidRPr="00EA08E9">
        <w:rPr>
          <w:lang w:val="fr-FR"/>
        </w:rPr>
        <w:t xml:space="preserve">appréciation trop large à la police, </w:t>
      </w:r>
      <w:r>
        <w:rPr>
          <w:lang w:val="fr-FR"/>
        </w:rPr>
        <w:t>à quoi s’ajoute l’absence</w:t>
      </w:r>
      <w:r w:rsidRPr="00EA08E9">
        <w:rPr>
          <w:lang w:val="fr-FR"/>
        </w:rPr>
        <w:t xml:space="preserve"> de mécanismes efficaces d</w:t>
      </w:r>
      <w:r>
        <w:rPr>
          <w:lang w:val="fr-FR"/>
        </w:rPr>
        <w:t>’</w:t>
      </w:r>
      <w:r w:rsidRPr="00EA08E9">
        <w:rPr>
          <w:lang w:val="fr-FR"/>
        </w:rPr>
        <w:t xml:space="preserve">établissement des responsabilités </w:t>
      </w:r>
      <w:r>
        <w:rPr>
          <w:lang w:val="fr-FR"/>
        </w:rPr>
        <w:t xml:space="preserve">et </w:t>
      </w:r>
      <w:r w:rsidRPr="00EA08E9">
        <w:rPr>
          <w:lang w:val="fr-FR"/>
        </w:rPr>
        <w:t xml:space="preserve">de transparence </w:t>
      </w:r>
      <w:r>
        <w:rPr>
          <w:lang w:val="fr-FR"/>
        </w:rPr>
        <w:t>au sujet de</w:t>
      </w:r>
      <w:r w:rsidRPr="00EA08E9">
        <w:rPr>
          <w:lang w:val="fr-FR"/>
        </w:rPr>
        <w:t xml:space="preserve"> ces violations</w:t>
      </w:r>
      <w:r w:rsidRPr="00CD6B67">
        <w:rPr>
          <w:rStyle w:val="FootnoteReference"/>
        </w:rPr>
        <w:footnoteReference w:id="333"/>
      </w:r>
      <w:r>
        <w:rPr>
          <w:lang w:val="fr-FR"/>
        </w:rPr>
        <w:t>.</w:t>
      </w:r>
    </w:p>
    <w:p w14:paraId="4293E8D9" w14:textId="77777777" w:rsidR="00D301C6" w:rsidRPr="00293268" w:rsidRDefault="00D301C6" w:rsidP="00D301C6">
      <w:pPr>
        <w:pStyle w:val="SingleTxtG"/>
        <w:rPr>
          <w:lang w:val="fr-FR"/>
        </w:rPr>
      </w:pPr>
      <w:r w:rsidRPr="00293268">
        <w:rPr>
          <w:lang w:val="fr-FR"/>
        </w:rPr>
        <w:t>111.</w:t>
      </w:r>
      <w:r w:rsidRPr="00293268">
        <w:rPr>
          <w:lang w:val="fr-FR"/>
        </w:rPr>
        <w:tab/>
      </w:r>
      <w:r w:rsidRPr="00C67376">
        <w:rPr>
          <w:lang w:val="fr-FR"/>
        </w:rPr>
        <w:t xml:space="preserve">Le HCDH a </w:t>
      </w:r>
      <w:r>
        <w:rPr>
          <w:lang w:val="fr-FR"/>
        </w:rPr>
        <w:t>retenu</w:t>
      </w:r>
      <w:r w:rsidRPr="00C67376">
        <w:rPr>
          <w:lang w:val="fr-FR"/>
        </w:rPr>
        <w:t xml:space="preserve"> sept </w:t>
      </w:r>
      <w:r>
        <w:rPr>
          <w:lang w:val="fr-FR"/>
        </w:rPr>
        <w:t>affaires</w:t>
      </w:r>
      <w:r w:rsidRPr="00C67376">
        <w:rPr>
          <w:lang w:val="fr-FR"/>
        </w:rPr>
        <w:t xml:space="preserve"> particuli</w:t>
      </w:r>
      <w:r>
        <w:rPr>
          <w:lang w:val="fr-FR"/>
        </w:rPr>
        <w:t>ères</w:t>
      </w:r>
      <w:r w:rsidRPr="00C67376">
        <w:rPr>
          <w:lang w:val="fr-FR"/>
        </w:rPr>
        <w:t xml:space="preserve"> pour illustrer ces pratiques et ces </w:t>
      </w:r>
      <w:r>
        <w:rPr>
          <w:lang w:val="fr-FR"/>
        </w:rPr>
        <w:t>tendances</w:t>
      </w:r>
      <w:r w:rsidRPr="00C67376">
        <w:rPr>
          <w:lang w:val="fr-FR"/>
        </w:rPr>
        <w:t xml:space="preserve">, ainsi que les difficultés </w:t>
      </w:r>
      <w:r>
        <w:rPr>
          <w:lang w:val="fr-FR"/>
        </w:rPr>
        <w:t xml:space="preserve">qu’elles ont soulevées </w:t>
      </w:r>
      <w:r w:rsidRPr="00C67376">
        <w:rPr>
          <w:lang w:val="fr-FR"/>
        </w:rPr>
        <w:t>en matière d</w:t>
      </w:r>
      <w:r>
        <w:rPr>
          <w:lang w:val="fr-FR"/>
        </w:rPr>
        <w:t>’</w:t>
      </w:r>
      <w:r w:rsidRPr="00C67376">
        <w:rPr>
          <w:lang w:val="fr-FR"/>
        </w:rPr>
        <w:t xml:space="preserve">établissement des responsabilités et de réparation. Parmi ces </w:t>
      </w:r>
      <w:r>
        <w:rPr>
          <w:lang w:val="fr-FR"/>
        </w:rPr>
        <w:t>affaires</w:t>
      </w:r>
      <w:r w:rsidRPr="00C67376">
        <w:rPr>
          <w:lang w:val="fr-FR"/>
        </w:rPr>
        <w:t xml:space="preserve"> représentati</w:t>
      </w:r>
      <w:r>
        <w:rPr>
          <w:lang w:val="fr-FR"/>
        </w:rPr>
        <w:t>ve</w:t>
      </w:r>
      <w:r w:rsidRPr="00C67376">
        <w:rPr>
          <w:lang w:val="fr-FR"/>
        </w:rPr>
        <w:t>s figure le cas emblématique du meurtre de George Floyd, tandis que les six autres sont également devenu</w:t>
      </w:r>
      <w:r>
        <w:rPr>
          <w:lang w:val="fr-FR"/>
        </w:rPr>
        <w:t>e</w:t>
      </w:r>
      <w:r w:rsidRPr="00C67376">
        <w:rPr>
          <w:lang w:val="fr-FR"/>
        </w:rPr>
        <w:t xml:space="preserve">s symboliques dans leurs pays respectifs et représentent </w:t>
      </w:r>
      <w:r>
        <w:rPr>
          <w:lang w:val="fr-FR"/>
        </w:rPr>
        <w:t>collectivement</w:t>
      </w:r>
      <w:r w:rsidRPr="00C67376">
        <w:rPr>
          <w:lang w:val="fr-FR"/>
        </w:rPr>
        <w:t xml:space="preserve"> différents profils de victimes. Dans tous les cas, les familles des victimes cherchent à établir la vérité et à obtenir justice et des garanties de non-répétition, et demandent que les responsables soient poursuivis et sanctionnés. Comme indiqué </w:t>
      </w:r>
      <w:r>
        <w:rPr>
          <w:lang w:val="fr-FR"/>
        </w:rPr>
        <w:t>à</w:t>
      </w:r>
      <w:r w:rsidRPr="00C67376">
        <w:rPr>
          <w:lang w:val="fr-FR"/>
        </w:rPr>
        <w:t xml:space="preserve"> la section I, le HCDH a invité les États concernés à fournir des informations sur ces </w:t>
      </w:r>
      <w:r>
        <w:rPr>
          <w:lang w:val="fr-FR"/>
        </w:rPr>
        <w:t>affaire</w:t>
      </w:r>
      <w:r w:rsidRPr="00C67376">
        <w:rPr>
          <w:lang w:val="fr-FR"/>
        </w:rPr>
        <w:t>s. Les réponses reçues de ces États ont été soigneusement examinées, en particulier sous l</w:t>
      </w:r>
      <w:r>
        <w:rPr>
          <w:lang w:val="fr-FR"/>
        </w:rPr>
        <w:t>’</w:t>
      </w:r>
      <w:r w:rsidRPr="00C67376">
        <w:rPr>
          <w:lang w:val="fr-FR"/>
        </w:rPr>
        <w:t>angle de l</w:t>
      </w:r>
      <w:r>
        <w:rPr>
          <w:lang w:val="fr-FR"/>
        </w:rPr>
        <w:t>’</w:t>
      </w:r>
      <w:r w:rsidRPr="00C67376">
        <w:rPr>
          <w:lang w:val="fr-FR"/>
        </w:rPr>
        <w:t>établissement des responsabilités et de</w:t>
      </w:r>
      <w:r>
        <w:rPr>
          <w:lang w:val="fr-FR"/>
        </w:rPr>
        <w:t xml:space="preserve"> l’octroi d’une</w:t>
      </w:r>
      <w:r w:rsidRPr="00C67376">
        <w:rPr>
          <w:lang w:val="fr-FR"/>
        </w:rPr>
        <w:t xml:space="preserve"> réparation </w:t>
      </w:r>
      <w:r w:rsidRPr="00462C28">
        <w:rPr>
          <w:lang w:val="fr-FR"/>
        </w:rPr>
        <w:t>pour chaque affaire en particulier et de manière plus générale (voir ci-</w:t>
      </w:r>
      <w:r>
        <w:rPr>
          <w:lang w:val="fr-FR"/>
        </w:rPr>
        <w:t>après</w:t>
      </w:r>
      <w:r w:rsidRPr="00462C28">
        <w:rPr>
          <w:lang w:val="fr-FR"/>
        </w:rPr>
        <w:t xml:space="preserve"> les résumés des réponses). En consultation avec ces États et moyennant</w:t>
      </w:r>
      <w:r w:rsidRPr="00C67376">
        <w:rPr>
          <w:lang w:val="fr-FR"/>
        </w:rPr>
        <w:t xml:space="preserve"> leur consentement, les réponses ont été </w:t>
      </w:r>
      <w:r>
        <w:rPr>
          <w:lang w:val="fr-FR"/>
        </w:rPr>
        <w:t>diffusées</w:t>
      </w:r>
      <w:r w:rsidRPr="00C67376">
        <w:rPr>
          <w:lang w:val="fr-FR"/>
        </w:rPr>
        <w:t xml:space="preserve"> soit telles qu</w:t>
      </w:r>
      <w:r>
        <w:rPr>
          <w:lang w:val="fr-FR"/>
        </w:rPr>
        <w:t>’</w:t>
      </w:r>
      <w:r w:rsidRPr="00C67376">
        <w:rPr>
          <w:lang w:val="fr-FR"/>
        </w:rPr>
        <w:t xml:space="preserve">elles ont été reçues, soit expurgées à </w:t>
      </w:r>
      <w:r>
        <w:rPr>
          <w:lang w:val="fr-FR"/>
        </w:rPr>
        <w:t>leur</w:t>
      </w:r>
      <w:r w:rsidRPr="00C67376">
        <w:rPr>
          <w:lang w:val="fr-FR"/>
        </w:rPr>
        <w:t xml:space="preserve"> demande</w:t>
      </w:r>
      <w:r w:rsidRPr="00CD6B67">
        <w:rPr>
          <w:rStyle w:val="FootnoteReference"/>
        </w:rPr>
        <w:footnoteReference w:id="334"/>
      </w:r>
      <w:r>
        <w:rPr>
          <w:lang w:val="fr-FR"/>
        </w:rPr>
        <w:t>.</w:t>
      </w:r>
    </w:p>
    <w:p w14:paraId="3F58B030" w14:textId="77777777" w:rsidR="00D301C6" w:rsidRPr="00E0198C" w:rsidRDefault="00D301C6" w:rsidP="00A819EA">
      <w:pPr>
        <w:pStyle w:val="H4G"/>
        <w:rPr>
          <w:lang w:val="fr-FR"/>
        </w:rPr>
      </w:pPr>
      <w:bookmarkStart w:id="334" w:name="_Toc74254802"/>
      <w:bookmarkStart w:id="335" w:name="_Toc74303368"/>
      <w:bookmarkStart w:id="336" w:name="_Toc74305493"/>
      <w:bookmarkStart w:id="337" w:name="_Toc74337088"/>
      <w:bookmarkStart w:id="338" w:name="_Toc74340209"/>
      <w:bookmarkStart w:id="339" w:name="_Toc74344105"/>
      <w:bookmarkStart w:id="340" w:name="_Toc74561085"/>
      <w:bookmarkStart w:id="341" w:name="_Toc74562577"/>
      <w:bookmarkStart w:id="342" w:name="_Toc74657686"/>
      <w:bookmarkStart w:id="343" w:name="_Toc74661212"/>
      <w:bookmarkStart w:id="344" w:name="_Toc74666507"/>
      <w:bookmarkStart w:id="345" w:name="_Toc74671428"/>
      <w:bookmarkStart w:id="346" w:name="_Toc74867343"/>
      <w:bookmarkStart w:id="347" w:name="_Toc74919096"/>
      <w:bookmarkStart w:id="348" w:name="_Toc74919751"/>
      <w:bookmarkStart w:id="349" w:name="_Toc74925786"/>
      <w:bookmarkStart w:id="350" w:name="_Toc74927635"/>
      <w:r w:rsidRPr="00293268">
        <w:rPr>
          <w:lang w:val="fr-FR"/>
        </w:rPr>
        <w:tab/>
        <w:t>a)</w:t>
      </w:r>
      <w:r w:rsidRPr="00293268">
        <w:rPr>
          <w:lang w:val="fr-FR"/>
        </w:rPr>
        <w:tab/>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E0198C">
        <w:rPr>
          <w:lang w:val="fr-FR"/>
        </w:rPr>
        <w:t>Répression des infractions mineures, contrôles routiers, interpellations et fouilles</w:t>
      </w:r>
    </w:p>
    <w:p w14:paraId="486BF5BB" w14:textId="73740646" w:rsidR="00D301C6" w:rsidRPr="00293268" w:rsidRDefault="00D301C6" w:rsidP="00D301C6">
      <w:pPr>
        <w:pStyle w:val="SingleTxtG"/>
        <w:rPr>
          <w:lang w:val="fr-FR"/>
        </w:rPr>
      </w:pPr>
      <w:r w:rsidRPr="00E0198C">
        <w:rPr>
          <w:lang w:val="fr-FR"/>
        </w:rPr>
        <w:t>112.</w:t>
      </w:r>
      <w:r w:rsidRPr="00E0198C">
        <w:rPr>
          <w:lang w:val="fr-FR"/>
        </w:rPr>
        <w:tab/>
        <w:t>Eu égard aux données ci-dessus, les</w:t>
      </w:r>
      <w:r w:rsidRPr="008665BE">
        <w:rPr>
          <w:lang w:val="fr-FR"/>
        </w:rPr>
        <w:t xml:space="preserve"> informations reçues confirment que, dans certains États, les opérations de police de routine </w:t>
      </w:r>
      <w:r>
        <w:rPr>
          <w:lang w:val="fr-FR"/>
        </w:rPr>
        <w:t xml:space="preserve">concernant des </w:t>
      </w:r>
      <w:r w:rsidRPr="008665BE">
        <w:rPr>
          <w:lang w:val="fr-FR"/>
        </w:rPr>
        <w:t>infractions mineures (y compris en réponse à des appels à l</w:t>
      </w:r>
      <w:r>
        <w:rPr>
          <w:lang w:val="fr-FR"/>
        </w:rPr>
        <w:t>’</w:t>
      </w:r>
      <w:r w:rsidRPr="008665BE">
        <w:rPr>
          <w:lang w:val="fr-FR"/>
        </w:rPr>
        <w:t>intervention), les contrôles routiers et les interpellations et fouilles sont effectués d</w:t>
      </w:r>
      <w:r>
        <w:rPr>
          <w:lang w:val="fr-FR"/>
        </w:rPr>
        <w:t>’</w:t>
      </w:r>
      <w:r w:rsidRPr="008665BE">
        <w:rPr>
          <w:lang w:val="fr-FR"/>
        </w:rPr>
        <w:t>une manière qui met souvent en danger les personnes d</w:t>
      </w:r>
      <w:r>
        <w:rPr>
          <w:lang w:val="fr-FR"/>
        </w:rPr>
        <w:t>’</w:t>
      </w:r>
      <w:r w:rsidRPr="008665BE">
        <w:rPr>
          <w:lang w:val="fr-FR"/>
        </w:rPr>
        <w:t>ascendance africaine. Dans nombre de cas examinés par le HCDH, il ressort que les victimes ne faisaient pas peser de menace imminente de mort ou de blessure grave sur les agents des forces de l</w:t>
      </w:r>
      <w:r>
        <w:rPr>
          <w:lang w:val="fr-FR"/>
        </w:rPr>
        <w:t>’</w:t>
      </w:r>
      <w:r w:rsidRPr="008665BE">
        <w:rPr>
          <w:lang w:val="fr-FR"/>
        </w:rPr>
        <w:t>ordre ou le public au point de justifier le degré de force employé. L</w:t>
      </w:r>
      <w:r>
        <w:rPr>
          <w:lang w:val="fr-FR"/>
        </w:rPr>
        <w:t>a</w:t>
      </w:r>
      <w:r w:rsidRPr="008665BE">
        <w:rPr>
          <w:lang w:val="fr-FR"/>
        </w:rPr>
        <w:t xml:space="preserve"> police semble également ne pas avoir réussi à désamorcer la situation de manière adéquate. Dans de nombreux cas, lorsqu</w:t>
      </w:r>
      <w:r>
        <w:rPr>
          <w:lang w:val="fr-FR"/>
        </w:rPr>
        <w:t>’</w:t>
      </w:r>
      <w:r w:rsidRPr="008665BE">
        <w:rPr>
          <w:lang w:val="fr-FR"/>
        </w:rPr>
        <w:t xml:space="preserve">il y a eu résistance, il semble que les policiers </w:t>
      </w:r>
      <w:r>
        <w:rPr>
          <w:lang w:val="fr-FR"/>
        </w:rPr>
        <w:t>aie</w:t>
      </w:r>
      <w:r w:rsidRPr="008665BE">
        <w:rPr>
          <w:lang w:val="fr-FR"/>
        </w:rPr>
        <w:t>nt répondu par une force disproportionnée, y</w:t>
      </w:r>
      <w:r w:rsidR="00F20990">
        <w:rPr>
          <w:lang w:val="fr-FR"/>
        </w:rPr>
        <w:t> </w:t>
      </w:r>
      <w:r w:rsidRPr="008665BE">
        <w:rPr>
          <w:lang w:val="fr-FR"/>
        </w:rPr>
        <w:t xml:space="preserve">compris létale, avec une arme à feu ou par la contrainte, ou les deux, ce qui aurait contribué au décès des intéressés ou </w:t>
      </w:r>
      <w:r>
        <w:rPr>
          <w:lang w:val="fr-FR"/>
        </w:rPr>
        <w:t xml:space="preserve">directement </w:t>
      </w:r>
      <w:r w:rsidRPr="008665BE">
        <w:rPr>
          <w:lang w:val="fr-FR"/>
        </w:rPr>
        <w:t>causé leur décès</w:t>
      </w:r>
      <w:r w:rsidRPr="00293268">
        <w:rPr>
          <w:lang w:val="fr-FR"/>
        </w:rPr>
        <w:t>.</w:t>
      </w:r>
    </w:p>
    <w:p w14:paraId="70BEEE08" w14:textId="4F16BD65" w:rsidR="00D301C6" w:rsidRDefault="00D301C6" w:rsidP="00D301C6">
      <w:pPr>
        <w:pStyle w:val="SingleTxtG"/>
        <w:rPr>
          <w:lang w:val="fr-FR"/>
        </w:rPr>
      </w:pPr>
      <w:r w:rsidRPr="00293268">
        <w:rPr>
          <w:lang w:val="fr-FR"/>
        </w:rPr>
        <w:t>113.</w:t>
      </w:r>
      <w:r w:rsidRPr="00293268">
        <w:rPr>
          <w:lang w:val="fr-FR"/>
        </w:rPr>
        <w:tab/>
      </w:r>
      <w:r w:rsidRPr="00DA6893">
        <w:rPr>
          <w:lang w:val="fr-FR"/>
        </w:rPr>
        <w:t>Le meurtre de George Floyd est devenu emblématique des violations des droits de l</w:t>
      </w:r>
      <w:r>
        <w:rPr>
          <w:lang w:val="fr-FR"/>
        </w:rPr>
        <w:t>’</w:t>
      </w:r>
      <w:r w:rsidRPr="00DA6893">
        <w:rPr>
          <w:lang w:val="fr-FR"/>
        </w:rPr>
        <w:t xml:space="preserve">homme liées </w:t>
      </w:r>
      <w:r>
        <w:rPr>
          <w:lang w:val="fr-FR"/>
        </w:rPr>
        <w:t>au recours à</w:t>
      </w:r>
      <w:r w:rsidRPr="00DA6893">
        <w:rPr>
          <w:lang w:val="fr-FR"/>
        </w:rPr>
        <w:t xml:space="preserve"> la force par les forces de l</w:t>
      </w:r>
      <w:r>
        <w:rPr>
          <w:lang w:val="fr-FR"/>
        </w:rPr>
        <w:t>’</w:t>
      </w:r>
      <w:r w:rsidRPr="00DA6893">
        <w:rPr>
          <w:lang w:val="fr-FR"/>
        </w:rPr>
        <w:t>ordre à l</w:t>
      </w:r>
      <w:r>
        <w:rPr>
          <w:lang w:val="fr-FR"/>
        </w:rPr>
        <w:t>’</w:t>
      </w:r>
      <w:r w:rsidRPr="00DA6893">
        <w:rPr>
          <w:lang w:val="fr-FR"/>
        </w:rPr>
        <w:t>encontre des personnes d</w:t>
      </w:r>
      <w:r>
        <w:rPr>
          <w:lang w:val="fr-FR"/>
        </w:rPr>
        <w:t>’</w:t>
      </w:r>
      <w:r w:rsidRPr="00DA6893">
        <w:rPr>
          <w:lang w:val="fr-FR"/>
        </w:rPr>
        <w:t>ascendance africaine</w:t>
      </w:r>
      <w:r w:rsidRPr="00293268">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F20990" w14:paraId="2B171DC4"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F22F4D2" w14:textId="77777777" w:rsidR="00F20990" w:rsidRDefault="00F20990"/>
        </w:tc>
      </w:tr>
      <w:tr w:rsidR="00D31062" w:rsidRPr="00754C54" w14:paraId="62A63E48" w14:textId="77777777" w:rsidTr="00BE3A5F">
        <w:trPr>
          <w:jc w:val="center"/>
        </w:trPr>
        <w:tc>
          <w:tcPr>
            <w:tcW w:w="7653" w:type="dxa"/>
            <w:tcBorders>
              <w:left w:val="single" w:sz="4" w:space="0" w:color="auto"/>
              <w:bottom w:val="nil"/>
              <w:right w:val="single" w:sz="4" w:space="0" w:color="auto"/>
            </w:tcBorders>
            <w:shd w:val="clear" w:color="auto" w:fill="auto"/>
          </w:tcPr>
          <w:p w14:paraId="2E433072" w14:textId="14553811" w:rsidR="00D31062" w:rsidRPr="00754C54" w:rsidRDefault="00D31062" w:rsidP="00D31062">
            <w:pPr>
              <w:spacing w:after="120"/>
              <w:rPr>
                <w:b/>
                <w:bCs/>
              </w:rPr>
            </w:pPr>
            <w:r w:rsidRPr="00754C54">
              <w:rPr>
                <w:b/>
                <w:bCs/>
              </w:rPr>
              <w:t>George Floyd, 46 ans</w:t>
            </w:r>
            <w:r w:rsidRPr="00754C54">
              <w:rPr>
                <w:b/>
                <w:bCs/>
              </w:rPr>
              <w:br/>
              <w:t>25 mai 2020, Minneapolis (</w:t>
            </w:r>
            <w:r w:rsidR="00754C54" w:rsidRPr="00754C54">
              <w:rPr>
                <w:b/>
                <w:bCs/>
              </w:rPr>
              <w:t>Minnesota, États-Unis)</w:t>
            </w:r>
          </w:p>
        </w:tc>
      </w:tr>
      <w:tr w:rsidR="00D31062" w:rsidRPr="00754C54" w14:paraId="6C415404" w14:textId="77777777" w:rsidTr="00BE3A5F">
        <w:trPr>
          <w:jc w:val="center"/>
        </w:trPr>
        <w:tc>
          <w:tcPr>
            <w:tcW w:w="7653" w:type="dxa"/>
            <w:tcBorders>
              <w:left w:val="single" w:sz="4" w:space="0" w:color="auto"/>
              <w:bottom w:val="nil"/>
              <w:right w:val="single" w:sz="4" w:space="0" w:color="auto"/>
            </w:tcBorders>
            <w:shd w:val="clear" w:color="auto" w:fill="auto"/>
          </w:tcPr>
          <w:p w14:paraId="1EB04B31" w14:textId="516A9F47" w:rsidR="00D31062" w:rsidRPr="00754C54" w:rsidRDefault="00754C54" w:rsidP="00754C54">
            <w:pPr>
              <w:spacing w:after="120"/>
              <w:ind w:firstLine="567"/>
              <w:jc w:val="both"/>
              <w:rPr>
                <w:b/>
                <w:lang w:val="fr-FR"/>
              </w:rPr>
            </w:pPr>
            <w:r w:rsidRPr="00754C54">
              <w:rPr>
                <w:lang w:val="fr-FR"/>
              </w:rPr>
              <w:t>«</w:t>
            </w:r>
            <w:r>
              <w:rPr>
                <w:lang w:val="fr-FR"/>
              </w:rPr>
              <w:t> </w:t>
            </w:r>
            <w:r w:rsidRPr="00402279">
              <w:rPr>
                <w:i/>
                <w:iCs/>
                <w:lang w:val="fr-FR"/>
              </w:rPr>
              <w:t>Les policiers doivent être tenus responsables de leurs actes. Pour que nous puissions sentir que l</w:t>
            </w:r>
            <w:r>
              <w:rPr>
                <w:i/>
                <w:iCs/>
                <w:lang w:val="fr-FR"/>
              </w:rPr>
              <w:t>’</w:t>
            </w:r>
            <w:r w:rsidRPr="00402279">
              <w:rPr>
                <w:i/>
                <w:iCs/>
                <w:lang w:val="fr-FR"/>
              </w:rPr>
              <w:t>Amérique est avec nous, nous avons besoin de justice</w:t>
            </w:r>
            <w:r>
              <w:rPr>
                <w:i/>
                <w:iCs/>
                <w:lang w:val="fr-FR"/>
              </w:rPr>
              <w:t xml:space="preserve"> et</w:t>
            </w:r>
            <w:r w:rsidRPr="00402279">
              <w:rPr>
                <w:i/>
                <w:iCs/>
                <w:lang w:val="fr-FR"/>
              </w:rPr>
              <w:t xml:space="preserve"> d</w:t>
            </w:r>
            <w:r>
              <w:rPr>
                <w:i/>
                <w:iCs/>
                <w:lang w:val="fr-FR"/>
              </w:rPr>
              <w:t>’</w:t>
            </w:r>
            <w:r w:rsidRPr="00402279">
              <w:rPr>
                <w:i/>
                <w:iCs/>
                <w:lang w:val="fr-FR"/>
              </w:rPr>
              <w:t>une condamnation à l</w:t>
            </w:r>
            <w:r>
              <w:rPr>
                <w:i/>
                <w:iCs/>
                <w:lang w:val="fr-FR"/>
              </w:rPr>
              <w:t>’</w:t>
            </w:r>
            <w:r w:rsidRPr="00402279">
              <w:rPr>
                <w:i/>
                <w:iCs/>
                <w:lang w:val="fr-FR"/>
              </w:rPr>
              <w:t>issue de cette procédure</w:t>
            </w:r>
            <w:r w:rsidR="003A25B1">
              <w:rPr>
                <w:i/>
                <w:iCs/>
                <w:lang w:val="fr-FR"/>
              </w:rPr>
              <w:t>.</w:t>
            </w:r>
            <w:r w:rsidR="00296A05">
              <w:rPr>
                <w:i/>
                <w:iCs/>
                <w:lang w:val="fr-FR"/>
              </w:rPr>
              <w:t> </w:t>
            </w:r>
            <w:r w:rsidRPr="00296A05">
              <w:rPr>
                <w:lang w:val="fr-FR"/>
              </w:rPr>
              <w:t>»</w:t>
            </w:r>
            <w:r w:rsidRPr="00402279">
              <w:rPr>
                <w:lang w:val="fr-FR"/>
              </w:rPr>
              <w:t xml:space="preserve"> </w:t>
            </w:r>
            <w:r w:rsidRPr="00293268">
              <w:rPr>
                <w:lang w:val="fr-FR"/>
              </w:rPr>
              <w:t>(</w:t>
            </w:r>
            <w:r>
              <w:rPr>
                <w:lang w:val="fr-FR"/>
              </w:rPr>
              <w:t xml:space="preserve">le frère de </w:t>
            </w:r>
            <w:r w:rsidRPr="00293268">
              <w:rPr>
                <w:lang w:val="fr-FR"/>
              </w:rPr>
              <w:t>George Floyd)</w:t>
            </w:r>
          </w:p>
        </w:tc>
      </w:tr>
      <w:tr w:rsidR="00D31062" w:rsidRPr="00754C54" w14:paraId="56A90F68" w14:textId="77777777" w:rsidTr="00BE3A5F">
        <w:trPr>
          <w:jc w:val="center"/>
        </w:trPr>
        <w:tc>
          <w:tcPr>
            <w:tcW w:w="7653" w:type="dxa"/>
            <w:tcBorders>
              <w:left w:val="single" w:sz="4" w:space="0" w:color="auto"/>
              <w:bottom w:val="nil"/>
              <w:right w:val="single" w:sz="4" w:space="0" w:color="auto"/>
            </w:tcBorders>
            <w:shd w:val="clear" w:color="auto" w:fill="auto"/>
          </w:tcPr>
          <w:p w14:paraId="214106A8" w14:textId="5648D4A4" w:rsidR="00D31062" w:rsidRPr="00754C54" w:rsidRDefault="00754C54" w:rsidP="00D31062">
            <w:pPr>
              <w:spacing w:after="120"/>
              <w:ind w:firstLine="567"/>
              <w:jc w:val="both"/>
            </w:pPr>
            <w:r>
              <w:rPr>
                <w:lang w:val="fr-FR"/>
              </w:rPr>
              <w:t>L</w:t>
            </w:r>
            <w:r w:rsidRPr="00363697">
              <w:rPr>
                <w:lang w:val="fr-FR"/>
              </w:rPr>
              <w:t xml:space="preserve">e 25 mai 2020, </w:t>
            </w:r>
            <w:r>
              <w:rPr>
                <w:lang w:val="fr-FR"/>
              </w:rPr>
              <w:t>s</w:t>
            </w:r>
            <w:r w:rsidRPr="000104DC">
              <w:rPr>
                <w:lang w:val="fr-FR"/>
              </w:rPr>
              <w:t xml:space="preserve">elon les informations reçues, </w:t>
            </w:r>
            <w:r w:rsidRPr="00363697">
              <w:rPr>
                <w:lang w:val="fr-FR"/>
              </w:rPr>
              <w:t>George Floyd, un Afro-Américain de 46</w:t>
            </w:r>
            <w:r w:rsidR="00296A05">
              <w:rPr>
                <w:lang w:val="fr-FR"/>
              </w:rPr>
              <w:t> </w:t>
            </w:r>
            <w:r w:rsidRPr="00363697">
              <w:rPr>
                <w:lang w:val="fr-FR"/>
              </w:rPr>
              <w:t>ans, est décédé après avoir été maîtrisé par des agents de la police de Minneapolis pour avoir tenté de se procurer des cigarettes avec un billet de 20</w:t>
            </w:r>
            <w:r w:rsidR="003335C3">
              <w:rPr>
                <w:lang w:val="fr-FR"/>
              </w:rPr>
              <w:t> </w:t>
            </w:r>
            <w:r w:rsidRPr="00363697">
              <w:rPr>
                <w:lang w:val="fr-FR"/>
              </w:rPr>
              <w:t>dollars prétendument contrefait dans un magasin de Minneapolis</w:t>
            </w:r>
            <w:r>
              <w:rPr>
                <w:lang w:val="fr-FR"/>
              </w:rPr>
              <w:t>,</w:t>
            </w:r>
            <w:r w:rsidRPr="00363697">
              <w:rPr>
                <w:lang w:val="fr-FR"/>
              </w:rPr>
              <w:t xml:space="preserve"> au Minnesota. Il a été menotté et plaqué au sol par l</w:t>
            </w:r>
            <w:r>
              <w:rPr>
                <w:lang w:val="fr-FR"/>
              </w:rPr>
              <w:t>’</w:t>
            </w:r>
            <w:r w:rsidRPr="00363697">
              <w:rPr>
                <w:lang w:val="fr-FR"/>
              </w:rPr>
              <w:t xml:space="preserve">agent Derek Chauvin, qui a maintenu son genou sur son cou pendant </w:t>
            </w:r>
            <w:r w:rsidR="003335C3">
              <w:rPr>
                <w:lang w:val="fr-FR"/>
              </w:rPr>
              <w:t>9</w:t>
            </w:r>
            <w:r w:rsidRPr="00363697">
              <w:rPr>
                <w:lang w:val="fr-FR"/>
              </w:rPr>
              <w:t xml:space="preserve"> minutes et 29 secondes. Deux autres </w:t>
            </w:r>
            <w:r>
              <w:rPr>
                <w:lang w:val="fr-FR"/>
              </w:rPr>
              <w:t>policiers</w:t>
            </w:r>
            <w:r w:rsidRPr="00363697">
              <w:rPr>
                <w:lang w:val="fr-FR"/>
              </w:rPr>
              <w:t xml:space="preserve"> </w:t>
            </w:r>
            <w:r>
              <w:rPr>
                <w:lang w:val="fr-FR"/>
              </w:rPr>
              <w:t>se sont agenouillés sur</w:t>
            </w:r>
            <w:r w:rsidRPr="00363697">
              <w:rPr>
                <w:lang w:val="fr-FR"/>
              </w:rPr>
              <w:t xml:space="preserve"> le dos et les jambes de M.</w:t>
            </w:r>
            <w:r w:rsidR="00DB41E7">
              <w:rPr>
                <w:lang w:val="fr-FR"/>
              </w:rPr>
              <w:t> </w:t>
            </w:r>
            <w:r w:rsidRPr="00363697">
              <w:rPr>
                <w:lang w:val="fr-FR"/>
              </w:rPr>
              <w:t>Floyd, tandis qu</w:t>
            </w:r>
            <w:r>
              <w:rPr>
                <w:lang w:val="fr-FR"/>
              </w:rPr>
              <w:t>’</w:t>
            </w:r>
            <w:r w:rsidRPr="00363697">
              <w:rPr>
                <w:lang w:val="fr-FR"/>
              </w:rPr>
              <w:t xml:space="preserve">un quatrième </w:t>
            </w:r>
            <w:r>
              <w:rPr>
                <w:lang w:val="fr-FR"/>
              </w:rPr>
              <w:t>montait la garde</w:t>
            </w:r>
            <w:r w:rsidRPr="00363697">
              <w:rPr>
                <w:lang w:val="fr-FR"/>
              </w:rPr>
              <w:t xml:space="preserve"> à leurs côtés. M.</w:t>
            </w:r>
            <w:r w:rsidR="00DB41E7">
              <w:rPr>
                <w:lang w:val="fr-FR"/>
              </w:rPr>
              <w:t> </w:t>
            </w:r>
            <w:r w:rsidRPr="00363697">
              <w:rPr>
                <w:lang w:val="fr-FR"/>
              </w:rPr>
              <w:t>Floyd n</w:t>
            </w:r>
            <w:r>
              <w:rPr>
                <w:lang w:val="fr-FR"/>
              </w:rPr>
              <w:t>’</w:t>
            </w:r>
            <w:r w:rsidRPr="00363697">
              <w:rPr>
                <w:lang w:val="fr-FR"/>
              </w:rPr>
              <w:t xml:space="preserve">a opposé aucune résistance à partir du moment où les trois </w:t>
            </w:r>
            <w:r>
              <w:rPr>
                <w:lang w:val="fr-FR"/>
              </w:rPr>
              <w:t>policiers</w:t>
            </w:r>
            <w:r w:rsidRPr="00363697">
              <w:rPr>
                <w:lang w:val="fr-FR"/>
              </w:rPr>
              <w:t xml:space="preserve"> l</w:t>
            </w:r>
            <w:r>
              <w:rPr>
                <w:lang w:val="fr-FR"/>
              </w:rPr>
              <w:t>’</w:t>
            </w:r>
            <w:r w:rsidRPr="00363697">
              <w:rPr>
                <w:lang w:val="fr-FR"/>
              </w:rPr>
              <w:t>ont immobilisé avec leurs genoux. Pendant les premières minutes de son immobilisation, M.</w:t>
            </w:r>
            <w:r w:rsidR="00DB41E7">
              <w:rPr>
                <w:lang w:val="fr-FR"/>
              </w:rPr>
              <w:t> </w:t>
            </w:r>
            <w:r w:rsidRPr="00363697">
              <w:rPr>
                <w:lang w:val="fr-FR"/>
              </w:rPr>
              <w:t>Floyd a exprimé plusieurs fois sa douleur et sa détresse et notamment déclaré «</w:t>
            </w:r>
            <w:r w:rsidR="00DB41E7">
              <w:rPr>
                <w:lang w:val="fr-FR"/>
              </w:rPr>
              <w:t> </w:t>
            </w:r>
            <w:r w:rsidRPr="00363697">
              <w:rPr>
                <w:lang w:val="fr-FR"/>
              </w:rPr>
              <w:t>Je ne peux plus respirer</w:t>
            </w:r>
            <w:r>
              <w:rPr>
                <w:lang w:val="fr-FR"/>
              </w:rPr>
              <w:t> </w:t>
            </w:r>
            <w:r w:rsidRPr="00363697">
              <w:rPr>
                <w:lang w:val="fr-FR"/>
              </w:rPr>
              <w:t>». Des passants ont alerté l</w:t>
            </w:r>
            <w:r>
              <w:rPr>
                <w:lang w:val="fr-FR"/>
              </w:rPr>
              <w:t>es</w:t>
            </w:r>
            <w:r w:rsidRPr="00363697">
              <w:rPr>
                <w:lang w:val="fr-FR"/>
              </w:rPr>
              <w:t xml:space="preserve"> polic</w:t>
            </w:r>
            <w:r>
              <w:rPr>
                <w:lang w:val="fr-FR"/>
              </w:rPr>
              <w:t>iers</w:t>
            </w:r>
            <w:r w:rsidRPr="00363697">
              <w:rPr>
                <w:lang w:val="fr-FR"/>
              </w:rPr>
              <w:t xml:space="preserve"> que M.</w:t>
            </w:r>
            <w:r w:rsidR="00DB41E7">
              <w:rPr>
                <w:lang w:val="fr-FR"/>
              </w:rPr>
              <w:t> </w:t>
            </w:r>
            <w:r w:rsidRPr="00363697">
              <w:rPr>
                <w:lang w:val="fr-FR"/>
              </w:rPr>
              <w:t xml:space="preserve">Floyd ne réagissait plus et proposé une aide médicale, mais </w:t>
            </w:r>
            <w:r>
              <w:rPr>
                <w:lang w:val="fr-FR"/>
              </w:rPr>
              <w:t>ceux-ci</w:t>
            </w:r>
            <w:r w:rsidRPr="00363697">
              <w:rPr>
                <w:lang w:val="fr-FR"/>
              </w:rPr>
              <w:t xml:space="preserve"> les ont </w:t>
            </w:r>
            <w:r>
              <w:rPr>
                <w:lang w:val="fr-FR"/>
              </w:rPr>
              <w:t>main</w:t>
            </w:r>
            <w:r w:rsidRPr="00363697">
              <w:rPr>
                <w:lang w:val="fr-FR"/>
              </w:rPr>
              <w:t xml:space="preserve">tenus à distance. </w:t>
            </w:r>
            <w:r>
              <w:rPr>
                <w:lang w:val="fr-FR"/>
              </w:rPr>
              <w:t xml:space="preserve">Bien </w:t>
            </w:r>
            <w:r w:rsidRPr="00363697">
              <w:rPr>
                <w:lang w:val="fr-FR"/>
              </w:rPr>
              <w:t>qu</w:t>
            </w:r>
            <w:r>
              <w:rPr>
                <w:lang w:val="fr-FR"/>
              </w:rPr>
              <w:t>’</w:t>
            </w:r>
            <w:r w:rsidRPr="00363697">
              <w:rPr>
                <w:lang w:val="fr-FR"/>
              </w:rPr>
              <w:t>un policier a</w:t>
            </w:r>
            <w:r>
              <w:rPr>
                <w:lang w:val="fr-FR"/>
              </w:rPr>
              <w:t>it</w:t>
            </w:r>
            <w:r w:rsidRPr="00363697">
              <w:rPr>
                <w:lang w:val="fr-FR"/>
              </w:rPr>
              <w:t xml:space="preserve"> déclaré ne </w:t>
            </w:r>
            <w:r w:rsidRPr="00D51B6C">
              <w:rPr>
                <w:lang w:val="fr-FR"/>
              </w:rPr>
              <w:t xml:space="preserve">plus détecter </w:t>
            </w:r>
            <w:r>
              <w:rPr>
                <w:lang w:val="fr-FR"/>
              </w:rPr>
              <w:t>d</w:t>
            </w:r>
            <w:r w:rsidRPr="00D51B6C">
              <w:rPr>
                <w:lang w:val="fr-FR"/>
              </w:rPr>
              <w:t>e pouls</w:t>
            </w:r>
            <w:r w:rsidRPr="00363697">
              <w:rPr>
                <w:lang w:val="fr-FR"/>
              </w:rPr>
              <w:t>, l</w:t>
            </w:r>
            <w:r>
              <w:rPr>
                <w:lang w:val="fr-FR"/>
              </w:rPr>
              <w:t>’</w:t>
            </w:r>
            <w:r w:rsidRPr="00363697">
              <w:rPr>
                <w:lang w:val="fr-FR"/>
              </w:rPr>
              <w:t>agent Chauvin a continué de faire pression sur le cou de M.</w:t>
            </w:r>
            <w:r w:rsidR="00DB41E7">
              <w:rPr>
                <w:lang w:val="fr-FR"/>
              </w:rPr>
              <w:t> </w:t>
            </w:r>
            <w:r w:rsidRPr="00363697">
              <w:rPr>
                <w:lang w:val="fr-FR"/>
              </w:rPr>
              <w:t>Floyd jusqu</w:t>
            </w:r>
            <w:r>
              <w:rPr>
                <w:lang w:val="fr-FR"/>
              </w:rPr>
              <w:t>’</w:t>
            </w:r>
            <w:r w:rsidRPr="00363697">
              <w:rPr>
                <w:lang w:val="fr-FR"/>
              </w:rPr>
              <w:t>à l</w:t>
            </w:r>
            <w:r>
              <w:rPr>
                <w:lang w:val="fr-FR"/>
              </w:rPr>
              <w:t>’</w:t>
            </w:r>
            <w:r w:rsidRPr="00363697">
              <w:rPr>
                <w:lang w:val="fr-FR"/>
              </w:rPr>
              <w:t>arrivée du personnel médical d</w:t>
            </w:r>
            <w:r>
              <w:rPr>
                <w:lang w:val="fr-FR"/>
              </w:rPr>
              <w:t>’</w:t>
            </w:r>
            <w:r w:rsidRPr="00363697">
              <w:rPr>
                <w:lang w:val="fr-FR"/>
              </w:rPr>
              <w:t xml:space="preserve">urgence. </w:t>
            </w:r>
            <w:r>
              <w:rPr>
                <w:lang w:val="fr-FR"/>
              </w:rPr>
              <w:t>Son</w:t>
            </w:r>
            <w:r w:rsidRPr="00363697">
              <w:rPr>
                <w:lang w:val="fr-FR"/>
              </w:rPr>
              <w:t xml:space="preserve"> décès a été prononcé une heure plus tard à l</w:t>
            </w:r>
            <w:r>
              <w:rPr>
                <w:lang w:val="fr-FR"/>
              </w:rPr>
              <w:t>’</w:t>
            </w:r>
            <w:r w:rsidRPr="00363697">
              <w:rPr>
                <w:lang w:val="fr-FR"/>
              </w:rPr>
              <w:t>hôpital</w:t>
            </w:r>
            <w:r w:rsidRPr="00293268">
              <w:rPr>
                <w:lang w:val="fr-FR"/>
              </w:rPr>
              <w:t>.</w:t>
            </w:r>
          </w:p>
        </w:tc>
      </w:tr>
      <w:tr w:rsidR="00F20990" w:rsidRPr="00754C54" w14:paraId="2A1790D7"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7CE8D82" w14:textId="77777777" w:rsidR="00F20990" w:rsidRPr="00754C54" w:rsidRDefault="00F20990"/>
        </w:tc>
      </w:tr>
    </w:tbl>
    <w:p w14:paraId="73F26E28" w14:textId="77777777" w:rsidR="00D301C6" w:rsidRPr="00293268" w:rsidRDefault="00D301C6" w:rsidP="00D301C6">
      <w:pPr>
        <w:pStyle w:val="SingleTxtG"/>
        <w:rPr>
          <w:lang w:val="fr-FR"/>
        </w:rPr>
      </w:pPr>
    </w:p>
    <w:p w14:paraId="3678F3D6" w14:textId="239916DA" w:rsidR="00D301C6" w:rsidRDefault="00D301C6" w:rsidP="00D301C6">
      <w:pPr>
        <w:pStyle w:val="SingleTxtG"/>
        <w:rPr>
          <w:lang w:val="fr-FR"/>
        </w:rPr>
      </w:pPr>
      <w:r w:rsidRPr="00293268">
        <w:rPr>
          <w:lang w:val="fr-FR"/>
        </w:rPr>
        <w:t>114.</w:t>
      </w:r>
      <w:r w:rsidRPr="00293268">
        <w:rPr>
          <w:lang w:val="fr-FR"/>
        </w:rPr>
        <w:tab/>
      </w:r>
      <w:r w:rsidRPr="00E66FA8">
        <w:rPr>
          <w:lang w:val="fr-FR"/>
        </w:rPr>
        <w:t xml:space="preserve">La mort </w:t>
      </w:r>
      <w:r w:rsidR="001F3F1E">
        <w:rPr>
          <w:lang w:val="fr-FR"/>
        </w:rPr>
        <w:t>d’</w:t>
      </w:r>
      <w:r w:rsidRPr="00E66FA8">
        <w:rPr>
          <w:lang w:val="fr-FR"/>
        </w:rPr>
        <w:t>Adama Traoré dans un quartier défavorisé en France en 2016 illustre combien il est difficile d</w:t>
      </w:r>
      <w:r>
        <w:rPr>
          <w:lang w:val="fr-FR"/>
        </w:rPr>
        <w:t>’</w:t>
      </w:r>
      <w:r w:rsidRPr="00E66FA8">
        <w:rPr>
          <w:lang w:val="fr-FR"/>
        </w:rPr>
        <w:t xml:space="preserve">établir </w:t>
      </w:r>
      <w:r>
        <w:rPr>
          <w:lang w:val="fr-FR"/>
        </w:rPr>
        <w:t xml:space="preserve">rapidement </w:t>
      </w:r>
      <w:r w:rsidRPr="00E66FA8">
        <w:rPr>
          <w:lang w:val="fr-FR"/>
        </w:rPr>
        <w:t>la vérité et d</w:t>
      </w:r>
      <w:r>
        <w:rPr>
          <w:lang w:val="fr-FR"/>
        </w:rPr>
        <w:t>’</w:t>
      </w:r>
      <w:r w:rsidRPr="00E66FA8">
        <w:rPr>
          <w:lang w:val="fr-FR"/>
        </w:rPr>
        <w:t xml:space="preserve">obtenir justice dans les cas de décès </w:t>
      </w:r>
      <w:r>
        <w:rPr>
          <w:lang w:val="fr-FR"/>
        </w:rPr>
        <w:t xml:space="preserve">en garde à vue </w:t>
      </w:r>
      <w:r w:rsidRPr="00E66FA8">
        <w:rPr>
          <w:lang w:val="fr-FR"/>
        </w:rPr>
        <w:t>d</w:t>
      </w:r>
      <w:r>
        <w:rPr>
          <w:lang w:val="fr-FR"/>
        </w:rPr>
        <w:t>’</w:t>
      </w:r>
      <w:r w:rsidRPr="00E66FA8">
        <w:rPr>
          <w:lang w:val="fr-FR"/>
        </w:rPr>
        <w:t>Africains et de personnes d</w:t>
      </w:r>
      <w:r>
        <w:rPr>
          <w:lang w:val="fr-FR"/>
        </w:rPr>
        <w:t>’</w:t>
      </w:r>
      <w:r w:rsidRPr="00E66FA8">
        <w:rPr>
          <w:lang w:val="fr-FR"/>
        </w:rPr>
        <w:t>ascendance africaine</w:t>
      </w:r>
      <w:r w:rsidRPr="005A51DF">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1F3F1E" w14:paraId="238B045E"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161E496" w14:textId="77777777" w:rsidR="001F3F1E" w:rsidRDefault="001F3F1E"/>
        </w:tc>
      </w:tr>
      <w:tr w:rsidR="001F3F1E" w14:paraId="00068830" w14:textId="77777777" w:rsidTr="00BE3A5F">
        <w:trPr>
          <w:jc w:val="center"/>
        </w:trPr>
        <w:tc>
          <w:tcPr>
            <w:tcW w:w="7653" w:type="dxa"/>
            <w:tcBorders>
              <w:left w:val="single" w:sz="4" w:space="0" w:color="auto"/>
              <w:bottom w:val="nil"/>
              <w:right w:val="single" w:sz="4" w:space="0" w:color="auto"/>
            </w:tcBorders>
            <w:shd w:val="clear" w:color="auto" w:fill="auto"/>
          </w:tcPr>
          <w:p w14:paraId="26F42A46" w14:textId="3524BC35" w:rsidR="001F3F1E" w:rsidRDefault="001F3F1E" w:rsidP="001F3F1E">
            <w:pPr>
              <w:spacing w:after="120"/>
            </w:pPr>
            <w:r w:rsidRPr="00293268">
              <w:rPr>
                <w:b/>
                <w:lang w:val="fr-FR"/>
              </w:rPr>
              <w:t xml:space="preserve">Adama Traoré, 24 </w:t>
            </w:r>
            <w:r>
              <w:rPr>
                <w:b/>
                <w:lang w:val="fr-FR"/>
              </w:rPr>
              <w:t>ans</w:t>
            </w:r>
            <w:r>
              <w:rPr>
                <w:b/>
                <w:lang w:val="fr-FR"/>
              </w:rPr>
              <w:br/>
            </w:r>
            <w:r w:rsidRPr="00293268">
              <w:rPr>
                <w:b/>
                <w:lang w:val="fr-FR"/>
              </w:rPr>
              <w:t xml:space="preserve">19 </w:t>
            </w:r>
            <w:r>
              <w:rPr>
                <w:b/>
                <w:lang w:val="fr-FR"/>
              </w:rPr>
              <w:t>juillet</w:t>
            </w:r>
            <w:r w:rsidRPr="00293268">
              <w:rPr>
                <w:b/>
                <w:lang w:val="fr-FR"/>
              </w:rPr>
              <w:t xml:space="preserve"> 2016, Persan</w:t>
            </w:r>
            <w:r w:rsidR="003A25B1">
              <w:rPr>
                <w:b/>
                <w:lang w:val="fr-FR"/>
              </w:rPr>
              <w:t xml:space="preserve"> (France)</w:t>
            </w:r>
          </w:p>
        </w:tc>
      </w:tr>
      <w:tr w:rsidR="001F3F1E" w14:paraId="36EF85FB" w14:textId="77777777" w:rsidTr="00BE3A5F">
        <w:trPr>
          <w:jc w:val="center"/>
        </w:trPr>
        <w:tc>
          <w:tcPr>
            <w:tcW w:w="7653" w:type="dxa"/>
            <w:tcBorders>
              <w:left w:val="single" w:sz="4" w:space="0" w:color="auto"/>
              <w:bottom w:val="nil"/>
              <w:right w:val="single" w:sz="4" w:space="0" w:color="auto"/>
            </w:tcBorders>
            <w:shd w:val="clear" w:color="auto" w:fill="auto"/>
          </w:tcPr>
          <w:p w14:paraId="15A35B3A" w14:textId="43106426" w:rsidR="001F3F1E" w:rsidRDefault="003A25B1" w:rsidP="003A25B1">
            <w:pPr>
              <w:spacing w:after="120"/>
              <w:ind w:firstLine="567"/>
              <w:jc w:val="both"/>
            </w:pPr>
            <w:r w:rsidRPr="003A25B1">
              <w:rPr>
                <w:iCs/>
                <w:lang w:val="fr-FR"/>
              </w:rPr>
              <w:t>«</w:t>
            </w:r>
            <w:r w:rsidRPr="005A51DF">
              <w:rPr>
                <w:lang w:val="fr-FR"/>
              </w:rPr>
              <w:t> </w:t>
            </w:r>
            <w:r w:rsidRPr="005A51DF">
              <w:rPr>
                <w:i/>
                <w:iCs/>
                <w:lang w:val="fr-FR"/>
              </w:rPr>
              <w:t>Dans le combat que nous menons, nous sommes dé</w:t>
            </w:r>
            <w:r>
              <w:rPr>
                <w:i/>
                <w:iCs/>
                <w:lang w:val="fr-FR"/>
              </w:rPr>
              <w:t>s</w:t>
            </w:r>
            <w:r w:rsidRPr="005A51DF">
              <w:rPr>
                <w:i/>
                <w:iCs/>
                <w:lang w:val="fr-FR"/>
              </w:rPr>
              <w:t>humanisés</w:t>
            </w:r>
            <w:r w:rsidRPr="007412C3">
              <w:rPr>
                <w:i/>
                <w:lang w:val="fr-FR"/>
              </w:rPr>
              <w:t>, comme si la mort de notre frère était légitime. Cela fait cinq ans que nous nous battons contre un système judiciaire qui protège la police. Quand il y a du racisme, il n</w:t>
            </w:r>
            <w:r>
              <w:rPr>
                <w:i/>
                <w:lang w:val="fr-FR"/>
              </w:rPr>
              <w:t>’</w:t>
            </w:r>
            <w:r w:rsidRPr="007412C3">
              <w:rPr>
                <w:i/>
                <w:lang w:val="fr-FR"/>
              </w:rPr>
              <w:t>y a pas de sanction</w:t>
            </w:r>
            <w:r w:rsidRPr="003A25B1">
              <w:rPr>
                <w:iCs/>
                <w:lang w:val="fr-FR"/>
              </w:rPr>
              <w:t>. »</w:t>
            </w:r>
            <w:r w:rsidRPr="00293268">
              <w:rPr>
                <w:i/>
                <w:lang w:val="fr-FR"/>
              </w:rPr>
              <w:t xml:space="preserve"> </w:t>
            </w:r>
            <w:r w:rsidRPr="00293268">
              <w:rPr>
                <w:lang w:val="fr-FR"/>
              </w:rPr>
              <w:t>(</w:t>
            </w:r>
            <w:r>
              <w:rPr>
                <w:lang w:val="fr-FR"/>
              </w:rPr>
              <w:t>la sœur d’</w:t>
            </w:r>
            <w:r w:rsidRPr="00293268">
              <w:rPr>
                <w:lang w:val="fr-FR"/>
              </w:rPr>
              <w:t>Adama Traoré)</w:t>
            </w:r>
          </w:p>
        </w:tc>
      </w:tr>
      <w:tr w:rsidR="001F3F1E" w14:paraId="77427898" w14:textId="77777777">
        <w:trPr>
          <w:jc w:val="center"/>
        </w:trPr>
        <w:tc>
          <w:tcPr>
            <w:tcW w:w="7653" w:type="dxa"/>
            <w:tcBorders>
              <w:left w:val="single" w:sz="4" w:space="0" w:color="auto"/>
              <w:bottom w:val="nil"/>
              <w:right w:val="single" w:sz="4" w:space="0" w:color="auto"/>
            </w:tcBorders>
            <w:shd w:val="clear" w:color="auto" w:fill="auto"/>
          </w:tcPr>
          <w:p w14:paraId="273354A1" w14:textId="4368644B" w:rsidR="001F3F1E" w:rsidRDefault="00101358" w:rsidP="00101358">
            <w:pPr>
              <w:spacing w:after="120"/>
              <w:ind w:firstLine="567"/>
              <w:jc w:val="both"/>
            </w:pPr>
            <w:r w:rsidRPr="00313018">
              <w:rPr>
                <w:lang w:val="fr-FR"/>
              </w:rPr>
              <w:t>Selon les informations reçues, le 19 juillet 2016, M.</w:t>
            </w:r>
            <w:r w:rsidR="009704DC">
              <w:rPr>
                <w:lang w:val="fr-FR"/>
              </w:rPr>
              <w:t> </w:t>
            </w:r>
            <w:r w:rsidRPr="00313018">
              <w:rPr>
                <w:lang w:val="fr-FR"/>
              </w:rPr>
              <w:t>Adama Traoré, un Français d</w:t>
            </w:r>
            <w:r>
              <w:rPr>
                <w:lang w:val="fr-FR"/>
              </w:rPr>
              <w:t>’</w:t>
            </w:r>
            <w:r w:rsidRPr="00313018">
              <w:rPr>
                <w:lang w:val="fr-FR"/>
              </w:rPr>
              <w:t>origine malienne de 24</w:t>
            </w:r>
            <w:r w:rsidR="009704DC">
              <w:rPr>
                <w:lang w:val="fr-FR"/>
              </w:rPr>
              <w:t> </w:t>
            </w:r>
            <w:r w:rsidRPr="00313018">
              <w:rPr>
                <w:lang w:val="fr-FR"/>
              </w:rPr>
              <w:t>ans, est décédé quelques heures après son interpellation par la police dans un appartement de la commune de Persan, dans le département du Val-d</w:t>
            </w:r>
            <w:r>
              <w:rPr>
                <w:lang w:val="fr-FR"/>
              </w:rPr>
              <w:t>’</w:t>
            </w:r>
            <w:r w:rsidRPr="00313018">
              <w:rPr>
                <w:lang w:val="fr-FR"/>
              </w:rPr>
              <w:t>Oise. M.</w:t>
            </w:r>
            <w:r w:rsidR="009704DC">
              <w:rPr>
                <w:lang w:val="fr-FR"/>
              </w:rPr>
              <w:t> </w:t>
            </w:r>
            <w:r w:rsidRPr="00313018">
              <w:rPr>
                <w:lang w:val="fr-FR"/>
              </w:rPr>
              <w:t>Traoré se serait enfui après avoir assisté à l</w:t>
            </w:r>
            <w:r>
              <w:rPr>
                <w:lang w:val="fr-FR"/>
              </w:rPr>
              <w:t>’</w:t>
            </w:r>
            <w:r w:rsidRPr="00313018">
              <w:rPr>
                <w:lang w:val="fr-FR"/>
              </w:rPr>
              <w:t>arrestation de son frère par la police, et il aurait refusé de présenter sa carte d</w:t>
            </w:r>
            <w:r>
              <w:rPr>
                <w:lang w:val="fr-FR"/>
              </w:rPr>
              <w:t>’</w:t>
            </w:r>
            <w:r w:rsidRPr="00313018">
              <w:rPr>
                <w:lang w:val="fr-FR"/>
              </w:rPr>
              <w:t xml:space="preserve">identité à la demande des </w:t>
            </w:r>
            <w:r>
              <w:rPr>
                <w:lang w:val="fr-FR"/>
              </w:rPr>
              <w:t>policiers</w:t>
            </w:r>
            <w:r w:rsidRPr="00313018">
              <w:rPr>
                <w:lang w:val="fr-FR"/>
              </w:rPr>
              <w:t xml:space="preserve">. </w:t>
            </w:r>
            <w:r>
              <w:rPr>
                <w:lang w:val="fr-FR"/>
              </w:rPr>
              <w:t>P</w:t>
            </w:r>
            <w:r w:rsidRPr="00313018">
              <w:rPr>
                <w:lang w:val="fr-FR"/>
              </w:rPr>
              <w:t>ris en chasse</w:t>
            </w:r>
            <w:r>
              <w:rPr>
                <w:lang w:val="fr-FR"/>
              </w:rPr>
              <w:t>, il</w:t>
            </w:r>
            <w:r w:rsidRPr="00313018">
              <w:rPr>
                <w:lang w:val="fr-FR"/>
              </w:rPr>
              <w:t xml:space="preserve"> a fini par être retrouvé caché dans un appartement, où il a été arrêté par trois policiers. Selon les autorités, M.</w:t>
            </w:r>
            <w:r w:rsidR="00E62B40">
              <w:rPr>
                <w:lang w:val="fr-FR"/>
              </w:rPr>
              <w:t> </w:t>
            </w:r>
            <w:r w:rsidRPr="00313018">
              <w:rPr>
                <w:lang w:val="fr-FR"/>
              </w:rPr>
              <w:t>Traoré a résisté à son arrestation et a été maîtrisé à l</w:t>
            </w:r>
            <w:r>
              <w:rPr>
                <w:lang w:val="fr-FR"/>
              </w:rPr>
              <w:t>’</w:t>
            </w:r>
            <w:r w:rsidRPr="00313018">
              <w:rPr>
                <w:lang w:val="fr-FR"/>
              </w:rPr>
              <w:t>intérieur de l</w:t>
            </w:r>
            <w:r>
              <w:rPr>
                <w:lang w:val="fr-FR"/>
              </w:rPr>
              <w:t>’</w:t>
            </w:r>
            <w:r w:rsidRPr="00313018">
              <w:rPr>
                <w:lang w:val="fr-FR"/>
              </w:rPr>
              <w:t>appartement. Pendant le court trajet en voiture jusqu</w:t>
            </w:r>
            <w:r>
              <w:rPr>
                <w:lang w:val="fr-FR"/>
              </w:rPr>
              <w:t>’</w:t>
            </w:r>
            <w:r w:rsidRPr="00313018">
              <w:rPr>
                <w:lang w:val="fr-FR"/>
              </w:rPr>
              <w:t xml:space="preserve">au commissariat de Persan, </w:t>
            </w:r>
            <w:r>
              <w:rPr>
                <w:lang w:val="fr-FR"/>
              </w:rPr>
              <w:t>l</w:t>
            </w:r>
            <w:r w:rsidRPr="00313018">
              <w:rPr>
                <w:lang w:val="fr-FR"/>
              </w:rPr>
              <w:t>es informations indiquent que M.</w:t>
            </w:r>
            <w:r w:rsidR="00E62B40">
              <w:rPr>
                <w:lang w:val="fr-FR"/>
              </w:rPr>
              <w:t> </w:t>
            </w:r>
            <w:r w:rsidRPr="00313018">
              <w:rPr>
                <w:lang w:val="fr-FR"/>
              </w:rPr>
              <w:t xml:space="preserve">Traoré </w:t>
            </w:r>
            <w:r>
              <w:rPr>
                <w:lang w:val="fr-FR"/>
              </w:rPr>
              <w:t>aurait eu un malaise</w:t>
            </w:r>
            <w:r w:rsidRPr="00313018">
              <w:rPr>
                <w:lang w:val="fr-FR"/>
              </w:rPr>
              <w:t>. À son arrivée au commissariat, les policiers l</w:t>
            </w:r>
            <w:r>
              <w:rPr>
                <w:lang w:val="fr-FR"/>
              </w:rPr>
              <w:t>’</w:t>
            </w:r>
            <w:r w:rsidRPr="00313018">
              <w:rPr>
                <w:lang w:val="fr-FR"/>
              </w:rPr>
              <w:t xml:space="preserve">auraient placé, menotté, dans la cour, et auraient appelé les </w:t>
            </w:r>
            <w:r>
              <w:rPr>
                <w:lang w:val="fr-FR"/>
              </w:rPr>
              <w:t>urgences</w:t>
            </w:r>
            <w:r w:rsidRPr="00313018">
              <w:rPr>
                <w:lang w:val="fr-FR"/>
              </w:rPr>
              <w:t xml:space="preserve">. Malgré les tentatives des </w:t>
            </w:r>
            <w:r>
              <w:rPr>
                <w:lang w:val="fr-FR"/>
              </w:rPr>
              <w:t>urgences de</w:t>
            </w:r>
            <w:r w:rsidRPr="00313018">
              <w:rPr>
                <w:lang w:val="fr-FR"/>
              </w:rPr>
              <w:t xml:space="preserve"> le ranimer, M.</w:t>
            </w:r>
            <w:r w:rsidR="00E62B40">
              <w:rPr>
                <w:lang w:val="fr-FR"/>
              </w:rPr>
              <w:t> </w:t>
            </w:r>
            <w:r w:rsidRPr="00313018">
              <w:rPr>
                <w:lang w:val="fr-FR"/>
              </w:rPr>
              <w:t xml:space="preserve">Traoré est décédé le soir même, le jour de </w:t>
            </w:r>
            <w:r>
              <w:rPr>
                <w:lang w:val="fr-FR"/>
              </w:rPr>
              <w:t>ses 24</w:t>
            </w:r>
            <w:r w:rsidR="00E62B40">
              <w:rPr>
                <w:lang w:val="fr-FR"/>
              </w:rPr>
              <w:t> </w:t>
            </w:r>
            <w:r>
              <w:rPr>
                <w:lang w:val="fr-FR"/>
              </w:rPr>
              <w:t>ans</w:t>
            </w:r>
            <w:r w:rsidRPr="00293268">
              <w:rPr>
                <w:lang w:val="fr-FR"/>
              </w:rPr>
              <w:t>.</w:t>
            </w:r>
          </w:p>
        </w:tc>
      </w:tr>
      <w:tr w:rsidR="001F3F1E" w14:paraId="00EF1C3C"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C194815" w14:textId="77777777" w:rsidR="001F3F1E" w:rsidRDefault="001F3F1E"/>
        </w:tc>
      </w:tr>
    </w:tbl>
    <w:p w14:paraId="78ECDD32" w14:textId="0348FCAF" w:rsidR="00D301C6" w:rsidRPr="00293268" w:rsidRDefault="00D301C6" w:rsidP="00101358">
      <w:pPr>
        <w:pStyle w:val="SingleTxtG"/>
        <w:spacing w:before="240"/>
        <w:rPr>
          <w:lang w:val="fr-FR"/>
        </w:rPr>
      </w:pPr>
      <w:r w:rsidRPr="00293268">
        <w:rPr>
          <w:lang w:val="fr-FR"/>
        </w:rPr>
        <w:t>115.</w:t>
      </w:r>
      <w:r w:rsidRPr="00293268">
        <w:rPr>
          <w:lang w:val="fr-FR"/>
        </w:rPr>
        <w:tab/>
      </w:r>
      <w:r w:rsidRPr="00AC5365">
        <w:rPr>
          <w:lang w:val="fr-FR"/>
        </w:rPr>
        <w:t>Les préjugés</w:t>
      </w:r>
      <w:r>
        <w:rPr>
          <w:lang w:val="fr-FR"/>
        </w:rPr>
        <w:t xml:space="preserve"> et</w:t>
      </w:r>
      <w:r w:rsidRPr="00AC5365">
        <w:rPr>
          <w:lang w:val="fr-FR"/>
        </w:rPr>
        <w:t xml:space="preserve"> stéréotypes</w:t>
      </w:r>
      <w:r w:rsidRPr="00813782">
        <w:rPr>
          <w:lang w:val="fr-FR"/>
        </w:rPr>
        <w:t xml:space="preserve"> </w:t>
      </w:r>
      <w:r w:rsidRPr="0044700F">
        <w:rPr>
          <w:lang w:val="fr-FR"/>
        </w:rPr>
        <w:t>raciaux</w:t>
      </w:r>
      <w:r w:rsidRPr="00AC5365">
        <w:rPr>
          <w:lang w:val="fr-FR"/>
        </w:rPr>
        <w:t xml:space="preserve"> et le profilage des personnes d</w:t>
      </w:r>
      <w:r>
        <w:rPr>
          <w:lang w:val="fr-FR"/>
        </w:rPr>
        <w:t>’</w:t>
      </w:r>
      <w:r w:rsidRPr="00AC5365">
        <w:rPr>
          <w:lang w:val="fr-FR"/>
        </w:rPr>
        <w:t>ascendance africaine par les forces de l</w:t>
      </w:r>
      <w:r>
        <w:rPr>
          <w:lang w:val="fr-FR"/>
        </w:rPr>
        <w:t>’</w:t>
      </w:r>
      <w:r w:rsidRPr="00AC5365">
        <w:rPr>
          <w:lang w:val="fr-FR"/>
        </w:rPr>
        <w:t xml:space="preserve">ordre sont souvent démultipliés et aggravés par des facteurs intersectionnels. </w:t>
      </w:r>
      <w:r>
        <w:rPr>
          <w:lang w:val="fr-FR"/>
        </w:rPr>
        <w:t>Ainsi, l</w:t>
      </w:r>
      <w:r w:rsidRPr="00AC5365">
        <w:rPr>
          <w:lang w:val="fr-FR"/>
        </w:rPr>
        <w:t>es femmes d</w:t>
      </w:r>
      <w:r>
        <w:rPr>
          <w:lang w:val="fr-FR"/>
        </w:rPr>
        <w:t>’</w:t>
      </w:r>
      <w:r w:rsidRPr="00AC5365">
        <w:rPr>
          <w:lang w:val="fr-FR"/>
        </w:rPr>
        <w:t xml:space="preserve">ascendance africaine sont </w:t>
      </w:r>
      <w:r>
        <w:rPr>
          <w:lang w:val="fr-FR"/>
        </w:rPr>
        <w:t>victimes d’</w:t>
      </w:r>
      <w:r w:rsidRPr="00AC5365">
        <w:rPr>
          <w:lang w:val="fr-FR"/>
        </w:rPr>
        <w:t xml:space="preserve">une discrimination multiple </w:t>
      </w:r>
      <w:r>
        <w:rPr>
          <w:lang w:val="fr-FR"/>
        </w:rPr>
        <w:t>tenant à</w:t>
      </w:r>
      <w:r w:rsidRPr="00AC5365">
        <w:rPr>
          <w:lang w:val="fr-FR"/>
        </w:rPr>
        <w:t xml:space="preserve"> leur origine raciale ou ethnique, </w:t>
      </w:r>
      <w:r>
        <w:rPr>
          <w:lang w:val="fr-FR"/>
        </w:rPr>
        <w:t>conjuguée</w:t>
      </w:r>
      <w:r w:rsidRPr="00AC5365">
        <w:rPr>
          <w:lang w:val="fr-FR"/>
        </w:rPr>
        <w:t xml:space="preserve"> à une discrimination fondée sur le</w:t>
      </w:r>
      <w:r>
        <w:rPr>
          <w:lang w:val="fr-FR"/>
        </w:rPr>
        <w:t>ur</w:t>
      </w:r>
      <w:r w:rsidRPr="00AC5365">
        <w:rPr>
          <w:lang w:val="fr-FR"/>
        </w:rPr>
        <w:t xml:space="preserve"> sexe et à des stéréotypes sexistes néfastes</w:t>
      </w:r>
      <w:r w:rsidRPr="00CD6B67">
        <w:rPr>
          <w:rStyle w:val="FootnoteReference"/>
        </w:rPr>
        <w:footnoteReference w:id="335"/>
      </w:r>
      <w:r>
        <w:rPr>
          <w:lang w:val="fr-FR"/>
        </w:rPr>
        <w:t>. Ces</w:t>
      </w:r>
      <w:r w:rsidRPr="00293268">
        <w:rPr>
          <w:lang w:val="fr-FR"/>
        </w:rPr>
        <w:t xml:space="preserve"> </w:t>
      </w:r>
      <w:r>
        <w:rPr>
          <w:lang w:val="fr-FR"/>
        </w:rPr>
        <w:t xml:space="preserve">phénomènes </w:t>
      </w:r>
      <w:r w:rsidRPr="00CD65ED">
        <w:rPr>
          <w:lang w:val="fr-FR"/>
        </w:rPr>
        <w:t>s</w:t>
      </w:r>
      <w:r>
        <w:rPr>
          <w:lang w:val="fr-FR"/>
        </w:rPr>
        <w:t>ont s</w:t>
      </w:r>
      <w:r w:rsidRPr="00CD65ED">
        <w:rPr>
          <w:lang w:val="fr-FR"/>
        </w:rPr>
        <w:t>ouvent accentué</w:t>
      </w:r>
      <w:r>
        <w:rPr>
          <w:lang w:val="fr-FR"/>
        </w:rPr>
        <w:t>s</w:t>
      </w:r>
      <w:r w:rsidRPr="00CD65ED">
        <w:rPr>
          <w:lang w:val="fr-FR"/>
        </w:rPr>
        <w:t xml:space="preserve"> pour les femmes lesbiennes d</w:t>
      </w:r>
      <w:r>
        <w:rPr>
          <w:lang w:val="fr-FR"/>
        </w:rPr>
        <w:t>’</w:t>
      </w:r>
      <w:r w:rsidRPr="00CD65ED">
        <w:rPr>
          <w:lang w:val="fr-FR"/>
        </w:rPr>
        <w:t>ascendance africaine</w:t>
      </w:r>
      <w:r w:rsidRPr="00CD6B67">
        <w:rPr>
          <w:rStyle w:val="FootnoteReference"/>
        </w:rPr>
        <w:footnoteReference w:id="336"/>
      </w:r>
      <w:r>
        <w:rPr>
          <w:lang w:val="fr-FR"/>
        </w:rPr>
        <w:t>,</w:t>
      </w:r>
      <w:r w:rsidRPr="00293268">
        <w:rPr>
          <w:lang w:val="fr-FR"/>
        </w:rPr>
        <w:t xml:space="preserve"> </w:t>
      </w:r>
      <w:r>
        <w:rPr>
          <w:lang w:val="fr-FR"/>
        </w:rPr>
        <w:t xml:space="preserve">ce qui les expose encore plus </w:t>
      </w:r>
      <w:r w:rsidRPr="00A809E8">
        <w:rPr>
          <w:lang w:val="fr-FR"/>
        </w:rPr>
        <w:t>à la violence policière</w:t>
      </w:r>
      <w:r w:rsidRPr="00CD6B67">
        <w:rPr>
          <w:rStyle w:val="FootnoteReference"/>
        </w:rPr>
        <w:footnoteReference w:id="337"/>
      </w:r>
      <w:r>
        <w:rPr>
          <w:lang w:val="fr-FR"/>
        </w:rPr>
        <w:t>.</w:t>
      </w:r>
      <w:r w:rsidRPr="00293268">
        <w:rPr>
          <w:lang w:val="fr-FR"/>
        </w:rPr>
        <w:t xml:space="preserve"> </w:t>
      </w:r>
      <w:r>
        <w:rPr>
          <w:lang w:val="fr-FR"/>
        </w:rPr>
        <w:t>L’affaire</w:t>
      </w:r>
      <w:r w:rsidRPr="00361BD1">
        <w:rPr>
          <w:lang w:val="fr-FR"/>
        </w:rPr>
        <w:t xml:space="preserve"> dont il est question ci-dessous, concernant Luana Barbosa dos Reis Santos, qui a eu lieu lors d</w:t>
      </w:r>
      <w:r>
        <w:rPr>
          <w:lang w:val="fr-FR"/>
        </w:rPr>
        <w:t>’</w:t>
      </w:r>
      <w:r w:rsidRPr="00361BD1">
        <w:rPr>
          <w:lang w:val="fr-FR"/>
        </w:rPr>
        <w:t>un contrôle de police et d</w:t>
      </w:r>
      <w:r>
        <w:rPr>
          <w:lang w:val="fr-FR"/>
        </w:rPr>
        <w:t>’</w:t>
      </w:r>
      <w:r w:rsidRPr="00361BD1">
        <w:rPr>
          <w:lang w:val="fr-FR"/>
        </w:rPr>
        <w:t xml:space="preserve">une fouille, illustre </w:t>
      </w:r>
      <w:r>
        <w:rPr>
          <w:lang w:val="fr-FR"/>
        </w:rPr>
        <w:t>ce constat</w:t>
      </w:r>
      <w:r w:rsidRPr="00361BD1">
        <w:rPr>
          <w:lang w:val="fr-FR"/>
        </w:rPr>
        <w:t>. En mai 2016, le HCDH et ONU</w:t>
      </w:r>
      <w:r w:rsidR="0047519F">
        <w:rPr>
          <w:lang w:val="fr-FR"/>
        </w:rPr>
        <w:t>-</w:t>
      </w:r>
      <w:r w:rsidRPr="00361BD1">
        <w:rPr>
          <w:lang w:val="fr-FR"/>
        </w:rPr>
        <w:t xml:space="preserve">Femmes ont appelé les autorités à mener une enquête impartiale sur ce meurtre, </w:t>
      </w:r>
      <w:r>
        <w:rPr>
          <w:lang w:val="fr-FR"/>
        </w:rPr>
        <w:t>en tenant compte des dimensions de genre et de race</w:t>
      </w:r>
      <w:r w:rsidRPr="00361BD1">
        <w:rPr>
          <w:lang w:val="fr-FR"/>
        </w:rPr>
        <w:t xml:space="preserve">. Ils ont </w:t>
      </w:r>
      <w:r>
        <w:rPr>
          <w:lang w:val="fr-FR"/>
        </w:rPr>
        <w:t>insisté sur le fait</w:t>
      </w:r>
      <w:r w:rsidRPr="00361BD1">
        <w:rPr>
          <w:lang w:val="fr-FR"/>
        </w:rPr>
        <w:t xml:space="preserve"> que le recours à une force inutile ou disproportionnée, ainsi que tout type de discrimination fondée sur le sexe, la race, l</w:t>
      </w:r>
      <w:r>
        <w:rPr>
          <w:lang w:val="fr-FR"/>
        </w:rPr>
        <w:t>’</w:t>
      </w:r>
      <w:r w:rsidRPr="00361BD1">
        <w:rPr>
          <w:lang w:val="fr-FR"/>
        </w:rPr>
        <w:t>origine ethnique, l</w:t>
      </w:r>
      <w:r>
        <w:rPr>
          <w:lang w:val="fr-FR"/>
        </w:rPr>
        <w:t>’</w:t>
      </w:r>
      <w:r w:rsidRPr="00361BD1">
        <w:rPr>
          <w:lang w:val="fr-FR"/>
        </w:rPr>
        <w:t xml:space="preserve">orientation sexuelle ou tout autre motif, sont inadmissibles dans </w:t>
      </w:r>
      <w:r w:rsidRPr="000F266F">
        <w:rPr>
          <w:lang w:val="fr-FR"/>
        </w:rPr>
        <w:t>l</w:t>
      </w:r>
      <w:r>
        <w:rPr>
          <w:lang w:val="fr-FR"/>
        </w:rPr>
        <w:t>’</w:t>
      </w:r>
      <w:r w:rsidRPr="000F266F">
        <w:rPr>
          <w:lang w:val="fr-FR"/>
        </w:rPr>
        <w:t xml:space="preserve">exercice de la fonction de police </w:t>
      </w:r>
      <w:r w:rsidRPr="00361BD1">
        <w:rPr>
          <w:lang w:val="fr-FR"/>
        </w:rPr>
        <w:t>et doivent être éradiqués des forces de sécurité au Brésil</w:t>
      </w:r>
      <w:r w:rsidRPr="00CD6B67">
        <w:rPr>
          <w:rStyle w:val="FootnoteReference"/>
        </w:rPr>
        <w:footnoteReference w:id="338"/>
      </w:r>
      <w:r>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A127A" w14:paraId="07D9AD28"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1460FD1" w14:textId="77777777" w:rsidR="008A127A" w:rsidRDefault="008A127A" w:rsidP="00010AF0">
            <w:pPr>
              <w:keepNext/>
            </w:pPr>
          </w:p>
        </w:tc>
      </w:tr>
      <w:tr w:rsidR="008A127A" w:rsidRPr="00E21F93" w14:paraId="70C8869B" w14:textId="77777777" w:rsidTr="00BE3A5F">
        <w:trPr>
          <w:jc w:val="center"/>
        </w:trPr>
        <w:tc>
          <w:tcPr>
            <w:tcW w:w="7653" w:type="dxa"/>
            <w:tcBorders>
              <w:left w:val="single" w:sz="4" w:space="0" w:color="auto"/>
              <w:bottom w:val="nil"/>
              <w:right w:val="single" w:sz="4" w:space="0" w:color="auto"/>
            </w:tcBorders>
            <w:shd w:val="clear" w:color="auto" w:fill="auto"/>
          </w:tcPr>
          <w:p w14:paraId="1630FF8D" w14:textId="59BCD9A1" w:rsidR="008A127A" w:rsidRPr="008A127A" w:rsidRDefault="008A127A" w:rsidP="003C79EB">
            <w:pPr>
              <w:keepNext/>
              <w:spacing w:after="120"/>
              <w:rPr>
                <w:lang w:val="es-ES"/>
              </w:rPr>
            </w:pPr>
            <w:r w:rsidRPr="00813782">
              <w:rPr>
                <w:b/>
                <w:lang w:val="es-ES"/>
              </w:rPr>
              <w:t>Luana Barbosa dos Reis Santos, 34 ans</w:t>
            </w:r>
            <w:r>
              <w:rPr>
                <w:b/>
                <w:lang w:val="es-ES"/>
              </w:rPr>
              <w:br/>
            </w:r>
            <w:r w:rsidRPr="00813782">
              <w:rPr>
                <w:b/>
                <w:lang w:val="es-ES"/>
              </w:rPr>
              <w:t>8 avril 2016, Ribeirão Preto</w:t>
            </w:r>
            <w:r w:rsidR="00BB2D29">
              <w:rPr>
                <w:b/>
                <w:lang w:val="es-ES"/>
              </w:rPr>
              <w:t xml:space="preserve">, </w:t>
            </w:r>
            <w:r w:rsidRPr="00813782">
              <w:rPr>
                <w:b/>
                <w:lang w:val="es-ES"/>
              </w:rPr>
              <w:t>São Paulo</w:t>
            </w:r>
            <w:r>
              <w:rPr>
                <w:b/>
                <w:lang w:val="es-ES"/>
              </w:rPr>
              <w:t xml:space="preserve"> (</w:t>
            </w:r>
            <w:r w:rsidRPr="00813782">
              <w:rPr>
                <w:b/>
                <w:lang w:val="es-ES"/>
              </w:rPr>
              <w:t>Brésil</w:t>
            </w:r>
            <w:r>
              <w:rPr>
                <w:b/>
                <w:lang w:val="es-ES"/>
              </w:rPr>
              <w:t>)</w:t>
            </w:r>
          </w:p>
        </w:tc>
      </w:tr>
      <w:tr w:rsidR="008A127A" w:rsidRPr="008A127A" w14:paraId="69E2FFBB" w14:textId="77777777" w:rsidTr="00BE3A5F">
        <w:trPr>
          <w:jc w:val="center"/>
        </w:trPr>
        <w:tc>
          <w:tcPr>
            <w:tcW w:w="7653" w:type="dxa"/>
            <w:tcBorders>
              <w:left w:val="single" w:sz="4" w:space="0" w:color="auto"/>
              <w:bottom w:val="nil"/>
              <w:right w:val="single" w:sz="4" w:space="0" w:color="auto"/>
            </w:tcBorders>
            <w:shd w:val="clear" w:color="auto" w:fill="auto"/>
          </w:tcPr>
          <w:p w14:paraId="57E0E5F6" w14:textId="40A9DD8C" w:rsidR="008A127A" w:rsidRPr="008A127A" w:rsidRDefault="003C79EB" w:rsidP="003C79EB">
            <w:pPr>
              <w:spacing w:after="120"/>
              <w:ind w:firstLine="567"/>
              <w:jc w:val="both"/>
              <w:rPr>
                <w:lang w:val="es-ES"/>
              </w:rPr>
            </w:pPr>
            <w:r w:rsidRPr="003C79EB">
              <w:rPr>
                <w:iCs/>
                <w:lang w:val="fr-FR"/>
              </w:rPr>
              <w:t>« </w:t>
            </w:r>
            <w:r w:rsidRPr="00C75F4A">
              <w:rPr>
                <w:i/>
                <w:lang w:val="fr-FR"/>
              </w:rPr>
              <w:t>Penser que c</w:t>
            </w:r>
            <w:r>
              <w:rPr>
                <w:i/>
                <w:lang w:val="fr-FR"/>
              </w:rPr>
              <w:t>’</w:t>
            </w:r>
            <w:r w:rsidRPr="00C75F4A">
              <w:rPr>
                <w:i/>
                <w:lang w:val="fr-FR"/>
              </w:rPr>
              <w:t xml:space="preserve">est uniquement parce que Luana était </w:t>
            </w:r>
            <w:r>
              <w:rPr>
                <w:i/>
                <w:lang w:val="fr-FR"/>
              </w:rPr>
              <w:t>N</w:t>
            </w:r>
            <w:r w:rsidRPr="00C75F4A">
              <w:rPr>
                <w:i/>
                <w:lang w:val="fr-FR"/>
              </w:rPr>
              <w:t>oire, lesbienne et pauvre qu</w:t>
            </w:r>
            <w:r>
              <w:rPr>
                <w:i/>
                <w:lang w:val="fr-FR"/>
              </w:rPr>
              <w:t>’</w:t>
            </w:r>
            <w:r w:rsidRPr="00C75F4A">
              <w:rPr>
                <w:i/>
                <w:lang w:val="fr-FR"/>
              </w:rPr>
              <w:t xml:space="preserve">ils </w:t>
            </w:r>
            <w:r>
              <w:rPr>
                <w:i/>
                <w:lang w:val="fr-FR"/>
              </w:rPr>
              <w:t>croy</w:t>
            </w:r>
            <w:r w:rsidRPr="00C75F4A">
              <w:rPr>
                <w:i/>
                <w:lang w:val="fr-FR"/>
              </w:rPr>
              <w:t>aient pouvoir la battre à mort</w:t>
            </w:r>
            <w:r>
              <w:rPr>
                <w:i/>
                <w:lang w:val="fr-FR"/>
              </w:rPr>
              <w:t xml:space="preserve"> est très douloureux</w:t>
            </w:r>
            <w:r w:rsidRPr="00C75F4A">
              <w:rPr>
                <w:i/>
                <w:lang w:val="fr-FR"/>
              </w:rPr>
              <w:t>. Mais cela nous révolte aussi et nous donne la force de continuer à nous battre pour la justice</w:t>
            </w:r>
            <w:r>
              <w:rPr>
                <w:i/>
                <w:lang w:val="fr-FR"/>
              </w:rPr>
              <w:t> ;</w:t>
            </w:r>
            <w:r w:rsidRPr="00C75F4A">
              <w:rPr>
                <w:i/>
                <w:lang w:val="fr-FR"/>
              </w:rPr>
              <w:t xml:space="preserve"> parce que c</w:t>
            </w:r>
            <w:r>
              <w:rPr>
                <w:i/>
                <w:lang w:val="fr-FR"/>
              </w:rPr>
              <w:t>’</w:t>
            </w:r>
            <w:r w:rsidRPr="00C75F4A">
              <w:rPr>
                <w:i/>
                <w:lang w:val="fr-FR"/>
              </w:rPr>
              <w:t xml:space="preserve">est la seule </w:t>
            </w:r>
            <w:r>
              <w:rPr>
                <w:i/>
                <w:lang w:val="fr-FR"/>
              </w:rPr>
              <w:t>manière que nous ayons</w:t>
            </w:r>
            <w:r w:rsidRPr="00C75F4A">
              <w:rPr>
                <w:i/>
                <w:lang w:val="fr-FR"/>
              </w:rPr>
              <w:t xml:space="preserve"> d</w:t>
            </w:r>
            <w:r>
              <w:rPr>
                <w:i/>
                <w:lang w:val="fr-FR"/>
              </w:rPr>
              <w:t>’</w:t>
            </w:r>
            <w:r w:rsidRPr="00C75F4A">
              <w:rPr>
                <w:i/>
                <w:lang w:val="fr-FR"/>
              </w:rPr>
              <w:t xml:space="preserve">honorer la mémoire de ma </w:t>
            </w:r>
            <w:r>
              <w:rPr>
                <w:i/>
                <w:lang w:val="fr-FR"/>
              </w:rPr>
              <w:t>sœur</w:t>
            </w:r>
            <w:r w:rsidRPr="00293268">
              <w:rPr>
                <w:i/>
                <w:lang w:val="fr-FR"/>
              </w:rPr>
              <w:t>.</w:t>
            </w:r>
            <w:r>
              <w:rPr>
                <w:i/>
                <w:lang w:val="fr-FR"/>
              </w:rPr>
              <w:t> </w:t>
            </w:r>
            <w:r w:rsidRPr="003C79EB">
              <w:rPr>
                <w:iCs/>
                <w:lang w:val="fr-FR"/>
              </w:rPr>
              <w:t>»</w:t>
            </w:r>
            <w:r w:rsidRPr="00293268">
              <w:rPr>
                <w:i/>
                <w:lang w:val="fr-FR"/>
              </w:rPr>
              <w:t xml:space="preserve"> </w:t>
            </w:r>
            <w:r w:rsidRPr="00293268">
              <w:rPr>
                <w:lang w:val="fr-FR"/>
              </w:rPr>
              <w:t>(</w:t>
            </w:r>
            <w:r>
              <w:rPr>
                <w:lang w:val="fr-FR"/>
              </w:rPr>
              <w:t xml:space="preserve">la sœur de </w:t>
            </w:r>
            <w:r w:rsidRPr="00293268">
              <w:rPr>
                <w:lang w:val="fr-FR"/>
              </w:rPr>
              <w:t>Luana Barbosa dos Reis Santos)</w:t>
            </w:r>
          </w:p>
        </w:tc>
      </w:tr>
      <w:tr w:rsidR="008A127A" w:rsidRPr="00BB700C" w14:paraId="26F453C6" w14:textId="77777777">
        <w:trPr>
          <w:jc w:val="center"/>
        </w:trPr>
        <w:tc>
          <w:tcPr>
            <w:tcW w:w="7653" w:type="dxa"/>
            <w:tcBorders>
              <w:left w:val="single" w:sz="4" w:space="0" w:color="auto"/>
              <w:bottom w:val="nil"/>
              <w:right w:val="single" w:sz="4" w:space="0" w:color="auto"/>
            </w:tcBorders>
            <w:shd w:val="clear" w:color="auto" w:fill="auto"/>
          </w:tcPr>
          <w:p w14:paraId="44D47E0B" w14:textId="40411EE9" w:rsidR="008A127A" w:rsidRPr="00BB700C" w:rsidRDefault="00AC3492" w:rsidP="003C79EB">
            <w:pPr>
              <w:spacing w:after="120"/>
              <w:ind w:firstLine="567"/>
              <w:jc w:val="both"/>
            </w:pPr>
            <w:r w:rsidRPr="00302939">
              <w:rPr>
                <w:lang w:val="fr-FR"/>
              </w:rPr>
              <w:t>Selon les informations reçues, le 8 avril 2016, Luana Barbosa dos Reis Santos, une lesbienne afro-brésilienne de 34</w:t>
            </w:r>
            <w:r>
              <w:rPr>
                <w:lang w:val="fr-FR"/>
              </w:rPr>
              <w:t> </w:t>
            </w:r>
            <w:r w:rsidRPr="00302939">
              <w:rPr>
                <w:lang w:val="fr-FR"/>
              </w:rPr>
              <w:t xml:space="preserve">ans, a été interpellée par une patrouille de la police militaire qui la soupçonnait de conduire une moto volée. Au cours de la fouille qui a suivi, à laquelle </w:t>
            </w:r>
            <w:r w:rsidRPr="00AC3492">
              <w:rPr>
                <w:lang w:val="fr-FR"/>
              </w:rPr>
              <w:t>M</w:t>
            </w:r>
            <w:r w:rsidRPr="00AC3492">
              <w:rPr>
                <w:vertAlign w:val="superscript"/>
                <w:lang w:val="fr-FR"/>
              </w:rPr>
              <w:t>me</w:t>
            </w:r>
            <w:r w:rsidRPr="00AC3492">
              <w:rPr>
                <w:lang w:val="fr-FR"/>
              </w:rPr>
              <w:t> </w:t>
            </w:r>
            <w:r w:rsidRPr="00302939">
              <w:rPr>
                <w:lang w:val="fr-FR"/>
              </w:rPr>
              <w:t>dos Reis Santos aurait résisté après avoir demandé qu</w:t>
            </w:r>
            <w:r>
              <w:rPr>
                <w:lang w:val="fr-FR"/>
              </w:rPr>
              <w:t>’</w:t>
            </w:r>
            <w:r w:rsidRPr="00302939">
              <w:rPr>
                <w:lang w:val="fr-FR"/>
              </w:rPr>
              <w:t xml:space="preserve">elle soit effectuée par une policière, trois policiers </w:t>
            </w:r>
            <w:r>
              <w:rPr>
                <w:lang w:val="fr-FR"/>
              </w:rPr>
              <w:t>l’</w:t>
            </w:r>
            <w:r w:rsidRPr="00302939">
              <w:rPr>
                <w:lang w:val="fr-FR"/>
              </w:rPr>
              <w:t xml:space="preserve">auraient </w:t>
            </w:r>
            <w:r>
              <w:rPr>
                <w:lang w:val="fr-FR"/>
              </w:rPr>
              <w:t>rouée de</w:t>
            </w:r>
            <w:r w:rsidRPr="00302939">
              <w:rPr>
                <w:lang w:val="fr-FR"/>
              </w:rPr>
              <w:t xml:space="preserve"> coups de poing, de pied et de matraque. Les policiers ont menotté </w:t>
            </w:r>
            <w:r w:rsidRPr="00AC3492">
              <w:rPr>
                <w:lang w:val="fr-FR"/>
              </w:rPr>
              <w:t>M</w:t>
            </w:r>
            <w:r w:rsidRPr="00AC3492">
              <w:rPr>
                <w:vertAlign w:val="superscript"/>
                <w:lang w:val="fr-FR"/>
              </w:rPr>
              <w:t>me</w:t>
            </w:r>
            <w:r w:rsidRPr="00AC3492">
              <w:rPr>
                <w:lang w:val="fr-FR"/>
              </w:rPr>
              <w:t> </w:t>
            </w:r>
            <w:r w:rsidRPr="00302939">
              <w:rPr>
                <w:lang w:val="fr-FR"/>
              </w:rPr>
              <w:t>dos Reis Santos et l</w:t>
            </w:r>
            <w:r>
              <w:rPr>
                <w:lang w:val="fr-FR"/>
              </w:rPr>
              <w:t>’</w:t>
            </w:r>
            <w:r w:rsidRPr="00302939">
              <w:rPr>
                <w:lang w:val="fr-FR"/>
              </w:rPr>
              <w:t xml:space="preserve">ont emmenée au poste de police. Plus tard dans la journée, après sa </w:t>
            </w:r>
            <w:r>
              <w:rPr>
                <w:lang w:val="fr-FR"/>
              </w:rPr>
              <w:t>mise en liberté</w:t>
            </w:r>
            <w:r w:rsidRPr="00302939">
              <w:rPr>
                <w:lang w:val="fr-FR"/>
              </w:rPr>
              <w:t xml:space="preserve">, une vidéo a montré </w:t>
            </w:r>
            <w:r w:rsidR="00AD6663" w:rsidRPr="00AD6663">
              <w:rPr>
                <w:lang w:val="fr-FR"/>
              </w:rPr>
              <w:t>M</w:t>
            </w:r>
            <w:r w:rsidR="00AD6663" w:rsidRPr="00AD6663">
              <w:rPr>
                <w:vertAlign w:val="superscript"/>
                <w:lang w:val="fr-FR"/>
              </w:rPr>
              <w:t>me</w:t>
            </w:r>
            <w:r w:rsidR="00AD6663" w:rsidRPr="00AD6663">
              <w:rPr>
                <w:lang w:val="fr-FR"/>
              </w:rPr>
              <w:t> </w:t>
            </w:r>
            <w:r w:rsidRPr="00302939">
              <w:rPr>
                <w:lang w:val="fr-FR"/>
              </w:rPr>
              <w:t>dos Reis Santos assise sur le trottoir</w:t>
            </w:r>
            <w:r>
              <w:rPr>
                <w:lang w:val="fr-FR"/>
              </w:rPr>
              <w:t>, couverte de</w:t>
            </w:r>
            <w:r w:rsidRPr="00302939">
              <w:rPr>
                <w:lang w:val="fr-FR"/>
              </w:rPr>
              <w:t xml:space="preserve"> bleus et de blessures au visage et aux jambes, déclarant que les policiers avaient menacé de la tuer, elle et sa famille. </w:t>
            </w:r>
            <w:r>
              <w:rPr>
                <w:lang w:val="fr-FR"/>
              </w:rPr>
              <w:t>Hospitalisée</w:t>
            </w:r>
            <w:r w:rsidRPr="00302939">
              <w:rPr>
                <w:lang w:val="fr-FR"/>
              </w:rPr>
              <w:t xml:space="preserve"> le 9 avril</w:t>
            </w:r>
            <w:r>
              <w:rPr>
                <w:lang w:val="fr-FR"/>
              </w:rPr>
              <w:t>, elle</w:t>
            </w:r>
            <w:r w:rsidRPr="00302939">
              <w:rPr>
                <w:lang w:val="fr-FR"/>
              </w:rPr>
              <w:t xml:space="preserve"> est décédée le 13 avril</w:t>
            </w:r>
            <w:r w:rsidRPr="00293268">
              <w:rPr>
                <w:lang w:val="fr-FR"/>
              </w:rPr>
              <w:t>.</w:t>
            </w:r>
          </w:p>
        </w:tc>
      </w:tr>
      <w:tr w:rsidR="008A127A" w:rsidRPr="00BB700C" w14:paraId="2B014F90"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63E9C5D" w14:textId="77777777" w:rsidR="008A127A" w:rsidRPr="00BB700C" w:rsidRDefault="008A127A"/>
        </w:tc>
      </w:tr>
    </w:tbl>
    <w:p w14:paraId="40F2DFD7" w14:textId="2BF0EB8C" w:rsidR="00D301C6" w:rsidRPr="00293268" w:rsidRDefault="00D301C6" w:rsidP="00D301C6">
      <w:pPr>
        <w:pStyle w:val="H4G"/>
        <w:rPr>
          <w:lang w:val="fr-FR"/>
        </w:rPr>
      </w:pPr>
      <w:bookmarkStart w:id="351" w:name="_Toc74254803"/>
      <w:bookmarkStart w:id="352" w:name="_Toc74303369"/>
      <w:bookmarkStart w:id="353" w:name="_Toc74305494"/>
      <w:bookmarkStart w:id="354" w:name="_Toc74337089"/>
      <w:bookmarkStart w:id="355" w:name="_Toc74340210"/>
      <w:bookmarkStart w:id="356" w:name="_Toc74344106"/>
      <w:bookmarkStart w:id="357" w:name="_Toc74561086"/>
      <w:bookmarkStart w:id="358" w:name="_Toc74562578"/>
      <w:bookmarkStart w:id="359" w:name="_Toc74657687"/>
      <w:bookmarkStart w:id="360" w:name="_Toc74661213"/>
      <w:bookmarkStart w:id="361" w:name="_Toc74666508"/>
      <w:bookmarkStart w:id="362" w:name="_Toc74671429"/>
      <w:bookmarkStart w:id="363" w:name="_Toc74867344"/>
      <w:bookmarkStart w:id="364" w:name="_Toc74919097"/>
      <w:bookmarkStart w:id="365" w:name="_Toc74919752"/>
      <w:bookmarkStart w:id="366" w:name="_Toc74925787"/>
      <w:bookmarkStart w:id="367" w:name="_Toc74927636"/>
      <w:r w:rsidRPr="00293268">
        <w:rPr>
          <w:lang w:val="fr-FR"/>
        </w:rPr>
        <w:tab/>
        <w:t>b)</w:t>
      </w:r>
      <w:r w:rsidRPr="00293268">
        <w:rPr>
          <w:lang w:val="fr-FR"/>
        </w:rPr>
        <w:tab/>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lang w:val="fr-FR"/>
        </w:rPr>
        <w:t>Intervention de la police</w:t>
      </w:r>
      <w:r w:rsidRPr="00CF0D82">
        <w:rPr>
          <w:lang w:val="fr-FR"/>
        </w:rPr>
        <w:t xml:space="preserve"> </w:t>
      </w:r>
      <w:r w:rsidRPr="00630F7C">
        <w:rPr>
          <w:lang w:val="fr-FR"/>
        </w:rPr>
        <w:t xml:space="preserve">désignée comme première intervenante </w:t>
      </w:r>
      <w:r w:rsidR="00BB700C">
        <w:rPr>
          <w:lang w:val="fr-FR"/>
        </w:rPr>
        <w:br/>
      </w:r>
      <w:r w:rsidRPr="00630F7C">
        <w:rPr>
          <w:lang w:val="fr-FR"/>
        </w:rPr>
        <w:t>lors de crises de santé mentale</w:t>
      </w:r>
    </w:p>
    <w:p w14:paraId="40821877" w14:textId="159B7A40" w:rsidR="00D301C6" w:rsidRPr="00293268" w:rsidRDefault="00D301C6" w:rsidP="00D301C6">
      <w:pPr>
        <w:pStyle w:val="SingleTxtG"/>
        <w:rPr>
          <w:lang w:val="fr-FR"/>
        </w:rPr>
      </w:pPr>
      <w:r w:rsidRPr="00293268">
        <w:rPr>
          <w:lang w:val="fr-FR"/>
        </w:rPr>
        <w:t>116.</w:t>
      </w:r>
      <w:r w:rsidRPr="00293268">
        <w:rPr>
          <w:lang w:val="fr-FR"/>
        </w:rPr>
        <w:tab/>
      </w:r>
      <w:r w:rsidRPr="002B4724">
        <w:rPr>
          <w:lang w:val="fr-FR"/>
        </w:rPr>
        <w:t xml:space="preserve">Plusieurs </w:t>
      </w:r>
      <w:r>
        <w:rPr>
          <w:lang w:val="fr-FR"/>
        </w:rPr>
        <w:t>des affaires</w:t>
      </w:r>
      <w:r w:rsidRPr="002B4724">
        <w:rPr>
          <w:lang w:val="fr-FR"/>
        </w:rPr>
        <w:t xml:space="preserve"> analysé</w:t>
      </w:r>
      <w:r>
        <w:rPr>
          <w:lang w:val="fr-FR"/>
        </w:rPr>
        <w:t>e</w:t>
      </w:r>
      <w:r w:rsidRPr="002B4724">
        <w:rPr>
          <w:lang w:val="fr-FR"/>
        </w:rPr>
        <w:t>s par le HCDH se sont produit</w:t>
      </w:r>
      <w:r>
        <w:rPr>
          <w:lang w:val="fr-FR"/>
        </w:rPr>
        <w:t>e</w:t>
      </w:r>
      <w:r w:rsidRPr="002B4724">
        <w:rPr>
          <w:lang w:val="fr-FR"/>
        </w:rPr>
        <w:t>s après des appels aux services d</w:t>
      </w:r>
      <w:r>
        <w:rPr>
          <w:lang w:val="fr-FR"/>
        </w:rPr>
        <w:t>’</w:t>
      </w:r>
      <w:r w:rsidRPr="002B4724">
        <w:rPr>
          <w:lang w:val="fr-FR"/>
        </w:rPr>
        <w:t>urgence dans des situations de crise de santé mentale</w:t>
      </w:r>
      <w:r w:rsidRPr="00CD6B67">
        <w:rPr>
          <w:rStyle w:val="FootnoteReference"/>
        </w:rPr>
        <w:footnoteReference w:id="339"/>
      </w:r>
      <w:r>
        <w:rPr>
          <w:lang w:val="fr-FR"/>
        </w:rPr>
        <w:t>.</w:t>
      </w:r>
      <w:r w:rsidRPr="00293268">
        <w:rPr>
          <w:lang w:val="fr-FR"/>
        </w:rPr>
        <w:t xml:space="preserve"> </w:t>
      </w:r>
      <w:r w:rsidRPr="00155E4A">
        <w:rPr>
          <w:lang w:val="fr-FR"/>
        </w:rPr>
        <w:t xml:space="preserve">Selon </w:t>
      </w:r>
      <w:r>
        <w:rPr>
          <w:lang w:val="fr-FR"/>
        </w:rPr>
        <w:t xml:space="preserve">cette </w:t>
      </w:r>
      <w:r w:rsidRPr="00155E4A">
        <w:rPr>
          <w:lang w:val="fr-FR"/>
        </w:rPr>
        <w:t>analyse, lorsqu</w:t>
      </w:r>
      <w:r>
        <w:rPr>
          <w:lang w:val="fr-FR"/>
        </w:rPr>
        <w:t>’</w:t>
      </w:r>
      <w:r w:rsidRPr="00155E4A">
        <w:rPr>
          <w:lang w:val="fr-FR"/>
        </w:rPr>
        <w:t>elle agit comme première intervenante, la police aggrave souvent la situation, notamment en raison de l</w:t>
      </w:r>
      <w:r>
        <w:rPr>
          <w:lang w:val="fr-FR"/>
        </w:rPr>
        <w:t>’</w:t>
      </w:r>
      <w:r w:rsidRPr="00155E4A">
        <w:rPr>
          <w:lang w:val="fr-FR"/>
        </w:rPr>
        <w:t xml:space="preserve">utilisation de moyens de contention, </w:t>
      </w:r>
      <w:r>
        <w:rPr>
          <w:lang w:val="fr-FR"/>
        </w:rPr>
        <w:t>sans compter que</w:t>
      </w:r>
      <w:r w:rsidRPr="00155E4A">
        <w:rPr>
          <w:lang w:val="fr-FR"/>
        </w:rPr>
        <w:t xml:space="preserve"> les protocoles de désamorçage des crises ne prévoient pas toujours des services de soutien appropriés. De plus, la police perçoit rarement les victimes comme des individus en détresse </w:t>
      </w:r>
      <w:r>
        <w:rPr>
          <w:lang w:val="fr-FR"/>
        </w:rPr>
        <w:t>a</w:t>
      </w:r>
      <w:r w:rsidRPr="00155E4A">
        <w:rPr>
          <w:lang w:val="fr-FR"/>
        </w:rPr>
        <w:t xml:space="preserve">yant besoin </w:t>
      </w:r>
      <w:r>
        <w:rPr>
          <w:lang w:val="fr-FR"/>
        </w:rPr>
        <w:t>d’une intervention des services de</w:t>
      </w:r>
      <w:r w:rsidRPr="00155E4A">
        <w:rPr>
          <w:lang w:val="fr-FR"/>
        </w:rPr>
        <w:t xml:space="preserve"> santé mentale</w:t>
      </w:r>
      <w:r>
        <w:rPr>
          <w:lang w:val="fr-FR"/>
        </w:rPr>
        <w:t>, dans le respect de leurs</w:t>
      </w:r>
      <w:r w:rsidRPr="00155E4A">
        <w:rPr>
          <w:lang w:val="fr-FR"/>
        </w:rPr>
        <w:t xml:space="preserve"> droits. Au contraire, les préjugés et les stéréotypes raciaux, combinés aux stéréotypes liés au handicap, semblent conduire les agents des forces de l</w:t>
      </w:r>
      <w:r>
        <w:rPr>
          <w:lang w:val="fr-FR"/>
        </w:rPr>
        <w:t>’</w:t>
      </w:r>
      <w:r w:rsidRPr="00155E4A">
        <w:rPr>
          <w:lang w:val="fr-FR"/>
        </w:rPr>
        <w:t>ordre à percevoir la victime comme «</w:t>
      </w:r>
      <w:r>
        <w:rPr>
          <w:lang w:val="fr-FR"/>
        </w:rPr>
        <w:t> </w:t>
      </w:r>
      <w:r w:rsidRPr="00155E4A">
        <w:rPr>
          <w:lang w:val="fr-FR"/>
        </w:rPr>
        <w:t>dangereuse</w:t>
      </w:r>
      <w:r>
        <w:rPr>
          <w:lang w:val="fr-FR"/>
        </w:rPr>
        <w:t> </w:t>
      </w:r>
      <w:r w:rsidRPr="00155E4A">
        <w:rPr>
          <w:lang w:val="fr-FR"/>
        </w:rPr>
        <w:t>»</w:t>
      </w:r>
      <w:r w:rsidRPr="00CD6B67">
        <w:rPr>
          <w:rStyle w:val="FootnoteReference"/>
        </w:rPr>
        <w:footnoteReference w:id="340"/>
      </w:r>
      <w:r>
        <w:rPr>
          <w:lang w:val="fr-FR"/>
        </w:rPr>
        <w:t>, et prennent</w:t>
      </w:r>
      <w:r w:rsidRPr="00624444">
        <w:rPr>
          <w:lang w:val="fr-FR"/>
        </w:rPr>
        <w:t xml:space="preserve"> le pas sur les considérations relatives à la sécurité et au bien</w:t>
      </w:r>
      <w:r w:rsidR="00010AF0">
        <w:rPr>
          <w:lang w:val="fr-FR"/>
        </w:rPr>
        <w:noBreakHyphen/>
      </w:r>
      <w:r w:rsidRPr="00624444">
        <w:rPr>
          <w:lang w:val="fr-FR"/>
        </w:rPr>
        <w:t>être de l</w:t>
      </w:r>
      <w:r>
        <w:rPr>
          <w:lang w:val="fr-FR"/>
        </w:rPr>
        <w:t>’</w:t>
      </w:r>
      <w:r w:rsidRPr="00624444">
        <w:rPr>
          <w:lang w:val="fr-FR"/>
        </w:rPr>
        <w:t xml:space="preserve">individu et à la fourniture </w:t>
      </w:r>
      <w:r>
        <w:rPr>
          <w:lang w:val="fr-FR"/>
        </w:rPr>
        <w:t>de premiers secours et de</w:t>
      </w:r>
      <w:r w:rsidRPr="00624444">
        <w:rPr>
          <w:lang w:val="fr-FR"/>
        </w:rPr>
        <w:t xml:space="preserve"> soins appropriés. Le décès de Kevin Clarke au Royaume-Uni est emblématique de ce constat</w:t>
      </w:r>
      <w:r w:rsidRPr="00293268">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10AF0" w14:paraId="0B2B5C3C" w14:textId="77777777" w:rsidTr="00BE3A5F">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EB6857A" w14:textId="77777777" w:rsidR="00010AF0" w:rsidRDefault="00010AF0" w:rsidP="00BE3A5F">
            <w:pPr>
              <w:keepNext/>
            </w:pPr>
          </w:p>
        </w:tc>
      </w:tr>
      <w:tr w:rsidR="00010AF0" w:rsidRPr="008A127A" w14:paraId="1763AA86" w14:textId="77777777" w:rsidTr="00BE3A5F">
        <w:trPr>
          <w:jc w:val="center"/>
        </w:trPr>
        <w:tc>
          <w:tcPr>
            <w:tcW w:w="7653" w:type="dxa"/>
            <w:tcBorders>
              <w:left w:val="single" w:sz="4" w:space="0" w:color="auto"/>
              <w:bottom w:val="nil"/>
              <w:right w:val="single" w:sz="4" w:space="0" w:color="auto"/>
            </w:tcBorders>
            <w:shd w:val="clear" w:color="auto" w:fill="auto"/>
          </w:tcPr>
          <w:p w14:paraId="197E2525" w14:textId="495A5D3A" w:rsidR="00010AF0" w:rsidRPr="008A127A" w:rsidRDefault="00010AF0" w:rsidP="00BE3A5F">
            <w:pPr>
              <w:keepNext/>
              <w:spacing w:after="120"/>
              <w:rPr>
                <w:lang w:val="es-ES"/>
              </w:rPr>
            </w:pPr>
            <w:r w:rsidRPr="00293268">
              <w:rPr>
                <w:b/>
                <w:lang w:val="fr-FR"/>
              </w:rPr>
              <w:t xml:space="preserve">Kevin Clarke, 35 </w:t>
            </w:r>
            <w:r>
              <w:rPr>
                <w:b/>
                <w:lang w:val="fr-FR"/>
              </w:rPr>
              <w:t>ans</w:t>
            </w:r>
            <w:r>
              <w:rPr>
                <w:b/>
                <w:lang w:val="fr-FR"/>
              </w:rPr>
              <w:br/>
            </w:r>
            <w:r w:rsidRPr="00293268">
              <w:rPr>
                <w:b/>
                <w:lang w:val="fr-FR"/>
              </w:rPr>
              <w:t xml:space="preserve">9 </w:t>
            </w:r>
            <w:r>
              <w:rPr>
                <w:b/>
                <w:lang w:val="fr-FR"/>
              </w:rPr>
              <w:t>mars</w:t>
            </w:r>
            <w:r w:rsidRPr="00293268">
              <w:rPr>
                <w:b/>
                <w:lang w:val="fr-FR"/>
              </w:rPr>
              <w:t xml:space="preserve"> 2018, Lewisham, South London</w:t>
            </w:r>
            <w:r w:rsidR="00BB2D29">
              <w:rPr>
                <w:b/>
                <w:lang w:val="fr-FR"/>
              </w:rPr>
              <w:t xml:space="preserve"> (Royaume-Uni)</w:t>
            </w:r>
          </w:p>
        </w:tc>
      </w:tr>
      <w:tr w:rsidR="00010AF0" w:rsidRPr="0026595B" w14:paraId="1F816343" w14:textId="77777777" w:rsidTr="00BE3A5F">
        <w:trPr>
          <w:jc w:val="center"/>
        </w:trPr>
        <w:tc>
          <w:tcPr>
            <w:tcW w:w="7653" w:type="dxa"/>
            <w:tcBorders>
              <w:left w:val="single" w:sz="4" w:space="0" w:color="auto"/>
              <w:bottom w:val="nil"/>
              <w:right w:val="single" w:sz="4" w:space="0" w:color="auto"/>
            </w:tcBorders>
            <w:shd w:val="clear" w:color="auto" w:fill="auto"/>
          </w:tcPr>
          <w:p w14:paraId="6591A55A" w14:textId="561629A4" w:rsidR="00010AF0" w:rsidRPr="0026595B" w:rsidRDefault="0026595B" w:rsidP="00BE3A5F">
            <w:pPr>
              <w:spacing w:after="120"/>
              <w:ind w:firstLine="567"/>
              <w:jc w:val="both"/>
            </w:pPr>
            <w:r w:rsidRPr="0026595B">
              <w:rPr>
                <w:lang w:val="fr-FR"/>
              </w:rPr>
              <w:t>«</w:t>
            </w:r>
            <w:r>
              <w:rPr>
                <w:i/>
                <w:iCs/>
                <w:lang w:val="fr-FR"/>
              </w:rPr>
              <w:t> </w:t>
            </w:r>
            <w:r w:rsidRPr="00294AA5">
              <w:rPr>
                <w:i/>
                <w:iCs/>
                <w:lang w:val="fr-FR"/>
              </w:rPr>
              <w:t xml:space="preserve">Mon fils </w:t>
            </w:r>
            <w:r>
              <w:rPr>
                <w:i/>
                <w:iCs/>
                <w:lang w:val="fr-FR"/>
              </w:rPr>
              <w:t xml:space="preserve">Kevin </w:t>
            </w:r>
            <w:r w:rsidRPr="00294AA5">
              <w:rPr>
                <w:i/>
                <w:iCs/>
                <w:lang w:val="fr-FR"/>
              </w:rPr>
              <w:t xml:space="preserve">est mort </w:t>
            </w:r>
            <w:r>
              <w:rPr>
                <w:i/>
                <w:iCs/>
                <w:lang w:val="fr-FR"/>
              </w:rPr>
              <w:t>parce que</w:t>
            </w:r>
            <w:r w:rsidRPr="00294AA5">
              <w:rPr>
                <w:i/>
                <w:iCs/>
                <w:lang w:val="fr-FR"/>
              </w:rPr>
              <w:t xml:space="preserve"> l</w:t>
            </w:r>
            <w:r>
              <w:rPr>
                <w:i/>
                <w:iCs/>
                <w:lang w:val="fr-FR"/>
              </w:rPr>
              <w:t>’</w:t>
            </w:r>
            <w:r w:rsidRPr="00294AA5">
              <w:rPr>
                <w:i/>
                <w:iCs/>
                <w:lang w:val="fr-FR"/>
              </w:rPr>
              <w:t xml:space="preserve">équipe de santé mentale, son logeur, la police et </w:t>
            </w:r>
            <w:r>
              <w:rPr>
                <w:i/>
                <w:iCs/>
                <w:lang w:val="fr-FR"/>
              </w:rPr>
              <w:t>l</w:t>
            </w:r>
            <w:r w:rsidRPr="00294AA5">
              <w:rPr>
                <w:i/>
                <w:iCs/>
                <w:lang w:val="fr-FR"/>
              </w:rPr>
              <w:t xml:space="preserve">es ambulanciers </w:t>
            </w:r>
            <w:r>
              <w:rPr>
                <w:i/>
                <w:iCs/>
                <w:lang w:val="fr-FR"/>
              </w:rPr>
              <w:t>ont manqué à leurs devoirs,</w:t>
            </w:r>
            <w:r w:rsidRPr="00294AA5">
              <w:rPr>
                <w:i/>
                <w:iCs/>
                <w:lang w:val="fr-FR"/>
              </w:rPr>
              <w:t xml:space="preserve"> </w:t>
            </w:r>
            <w:r>
              <w:rPr>
                <w:i/>
                <w:iCs/>
                <w:lang w:val="fr-FR"/>
              </w:rPr>
              <w:t xml:space="preserve">qu’ils </w:t>
            </w:r>
            <w:r w:rsidRPr="00294AA5">
              <w:rPr>
                <w:i/>
                <w:iCs/>
                <w:lang w:val="fr-FR"/>
              </w:rPr>
              <w:t xml:space="preserve">sont tous restés sans rien faire et </w:t>
            </w:r>
            <w:r>
              <w:rPr>
                <w:i/>
                <w:iCs/>
                <w:lang w:val="fr-FR"/>
              </w:rPr>
              <w:t>l’</w:t>
            </w:r>
            <w:r w:rsidRPr="00294AA5">
              <w:rPr>
                <w:i/>
                <w:iCs/>
                <w:lang w:val="fr-FR"/>
              </w:rPr>
              <w:t>ont laissé mourir</w:t>
            </w:r>
            <w:r w:rsidRPr="0026595B">
              <w:rPr>
                <w:lang w:val="fr-FR"/>
              </w:rPr>
              <w:t>.</w:t>
            </w:r>
            <w:r>
              <w:rPr>
                <w:lang w:val="fr-FR"/>
              </w:rPr>
              <w:t> </w:t>
            </w:r>
            <w:r w:rsidRPr="0026595B">
              <w:rPr>
                <w:lang w:val="fr-FR"/>
              </w:rPr>
              <w:t>»</w:t>
            </w:r>
          </w:p>
        </w:tc>
      </w:tr>
      <w:tr w:rsidR="00045438" w:rsidRPr="00BB700C" w14:paraId="1AC64E81" w14:textId="77777777" w:rsidTr="00BE3A5F">
        <w:trPr>
          <w:jc w:val="center"/>
        </w:trPr>
        <w:tc>
          <w:tcPr>
            <w:tcW w:w="7653" w:type="dxa"/>
            <w:tcBorders>
              <w:left w:val="single" w:sz="4" w:space="0" w:color="auto"/>
              <w:bottom w:val="nil"/>
              <w:right w:val="single" w:sz="4" w:space="0" w:color="auto"/>
            </w:tcBorders>
            <w:shd w:val="clear" w:color="auto" w:fill="auto"/>
          </w:tcPr>
          <w:p w14:paraId="1F6C5A06" w14:textId="742E95A8" w:rsidR="00045438" w:rsidRPr="00BB700C" w:rsidRDefault="00045438" w:rsidP="00BE3A5F">
            <w:pPr>
              <w:spacing w:after="120"/>
              <w:ind w:firstLine="567"/>
              <w:jc w:val="both"/>
            </w:pPr>
            <w:r w:rsidRPr="00045438">
              <w:rPr>
                <w:lang w:val="fr-FR"/>
              </w:rPr>
              <w:t>« </w:t>
            </w:r>
            <w:r w:rsidRPr="00DC2424">
              <w:rPr>
                <w:i/>
                <w:iCs/>
                <w:lang w:val="fr-FR"/>
              </w:rPr>
              <w:t>Nous voulons que les responsabilités soient établies et qu</w:t>
            </w:r>
            <w:r>
              <w:rPr>
                <w:i/>
                <w:iCs/>
                <w:lang w:val="fr-FR"/>
              </w:rPr>
              <w:t>’</w:t>
            </w:r>
            <w:r w:rsidRPr="00DC2424">
              <w:rPr>
                <w:i/>
                <w:iCs/>
                <w:lang w:val="fr-FR"/>
              </w:rPr>
              <w:t>un vrai changement s</w:t>
            </w:r>
            <w:r>
              <w:rPr>
                <w:i/>
                <w:iCs/>
                <w:lang w:val="fr-FR"/>
              </w:rPr>
              <w:t>’</w:t>
            </w:r>
            <w:r w:rsidRPr="00DC2424">
              <w:rPr>
                <w:i/>
                <w:iCs/>
                <w:lang w:val="fr-FR"/>
              </w:rPr>
              <w:t>opère, pas seulement en matière de formation, mais aussi dans la manière dont la police et les autres intervenants perçoivent les personnes noires</w:t>
            </w:r>
            <w:r>
              <w:rPr>
                <w:i/>
                <w:iCs/>
                <w:lang w:val="fr-FR"/>
              </w:rPr>
              <w:t xml:space="preserve"> et se comportent à leur égard</w:t>
            </w:r>
            <w:r w:rsidRPr="00DC2424">
              <w:rPr>
                <w:i/>
                <w:iCs/>
                <w:lang w:val="fr-FR"/>
              </w:rPr>
              <w:t>. Nous voulons que les services de santé mentale soient mieux financés afin que les premiers intervenants ne soient pas seulement des policiers</w:t>
            </w:r>
            <w:r w:rsidRPr="00293268">
              <w:rPr>
                <w:i/>
                <w:iCs/>
                <w:lang w:val="fr-FR"/>
              </w:rPr>
              <w:t>.</w:t>
            </w:r>
            <w:r>
              <w:rPr>
                <w:i/>
                <w:iCs/>
                <w:lang w:val="fr-FR"/>
              </w:rPr>
              <w:t> </w:t>
            </w:r>
            <w:r w:rsidRPr="00045438">
              <w:rPr>
                <w:lang w:val="fr-FR"/>
              </w:rPr>
              <w:t>»</w:t>
            </w:r>
            <w:r w:rsidRPr="00CD6B67">
              <w:rPr>
                <w:rStyle w:val="FootnoteReference"/>
              </w:rPr>
              <w:footnoteReference w:id="341"/>
            </w:r>
            <w:r w:rsidRPr="00293268">
              <w:rPr>
                <w:i/>
                <w:iCs/>
                <w:lang w:val="fr-FR"/>
              </w:rPr>
              <w:t xml:space="preserve"> </w:t>
            </w:r>
            <w:r w:rsidRPr="00293268">
              <w:rPr>
                <w:lang w:val="fr-FR"/>
              </w:rPr>
              <w:t>(</w:t>
            </w:r>
            <w:r>
              <w:rPr>
                <w:lang w:val="fr-FR"/>
              </w:rPr>
              <w:t xml:space="preserve">la mère de </w:t>
            </w:r>
            <w:r w:rsidRPr="00293268">
              <w:rPr>
                <w:lang w:val="fr-FR"/>
              </w:rPr>
              <w:t>Kevin Clarke)</w:t>
            </w:r>
          </w:p>
        </w:tc>
      </w:tr>
      <w:tr w:rsidR="00010AF0" w:rsidRPr="00BB700C" w14:paraId="7221E7FC" w14:textId="77777777" w:rsidTr="00BE3A5F">
        <w:trPr>
          <w:jc w:val="center"/>
        </w:trPr>
        <w:tc>
          <w:tcPr>
            <w:tcW w:w="7653" w:type="dxa"/>
            <w:tcBorders>
              <w:left w:val="single" w:sz="4" w:space="0" w:color="auto"/>
              <w:bottom w:val="nil"/>
              <w:right w:val="single" w:sz="4" w:space="0" w:color="auto"/>
            </w:tcBorders>
            <w:shd w:val="clear" w:color="auto" w:fill="auto"/>
          </w:tcPr>
          <w:p w14:paraId="41C9B497" w14:textId="392282A5" w:rsidR="00010AF0" w:rsidRPr="00BB700C" w:rsidRDefault="00045438" w:rsidP="00BE3A5F">
            <w:pPr>
              <w:spacing w:after="120"/>
              <w:ind w:firstLine="567"/>
              <w:jc w:val="both"/>
            </w:pPr>
            <w:r w:rsidRPr="00D70039">
              <w:rPr>
                <w:lang w:val="fr-FR"/>
              </w:rPr>
              <w:t xml:space="preserve">Selon les informations reçues, le 9 mars 2018, la police a été appelée au sujet de Kevin Clarke, qui présentait des signes de </w:t>
            </w:r>
            <w:r>
              <w:rPr>
                <w:lang w:val="fr-FR"/>
              </w:rPr>
              <w:t>décompensation psychiatrique</w:t>
            </w:r>
            <w:r w:rsidRPr="00D70039">
              <w:rPr>
                <w:lang w:val="fr-FR"/>
              </w:rPr>
              <w:t xml:space="preserve"> </w:t>
            </w:r>
            <w:r>
              <w:rPr>
                <w:lang w:val="fr-FR"/>
              </w:rPr>
              <w:t>près de chez lui</w:t>
            </w:r>
            <w:r w:rsidRPr="00D70039">
              <w:rPr>
                <w:lang w:val="fr-FR"/>
              </w:rPr>
              <w:t>. Lorsque la police est arrivée</w:t>
            </w:r>
            <w:r>
              <w:rPr>
                <w:lang w:val="fr-FR"/>
              </w:rPr>
              <w:t xml:space="preserve"> sur les lieux</w:t>
            </w:r>
            <w:r w:rsidRPr="00D70039">
              <w:rPr>
                <w:lang w:val="fr-FR"/>
              </w:rPr>
              <w:t xml:space="preserve">, elle a </w:t>
            </w:r>
            <w:r>
              <w:rPr>
                <w:lang w:val="fr-FR"/>
              </w:rPr>
              <w:t>jugé</w:t>
            </w:r>
            <w:r w:rsidRPr="00D70039">
              <w:rPr>
                <w:lang w:val="fr-FR"/>
              </w:rPr>
              <w:t xml:space="preserve"> que son comportement ne justifiait pas son placement en détention. </w:t>
            </w:r>
            <w:r>
              <w:rPr>
                <w:lang w:val="fr-FR"/>
              </w:rPr>
              <w:t>L</w:t>
            </w:r>
            <w:r w:rsidRPr="00D70039">
              <w:rPr>
                <w:lang w:val="fr-FR"/>
              </w:rPr>
              <w:t>a police a été rappelée</w:t>
            </w:r>
            <w:r>
              <w:rPr>
                <w:lang w:val="fr-FR"/>
              </w:rPr>
              <w:t xml:space="preserve"> peu de temps après</w:t>
            </w:r>
            <w:r w:rsidRPr="00D70039">
              <w:rPr>
                <w:lang w:val="fr-FR"/>
              </w:rPr>
              <w:t xml:space="preserve"> et a trouvé M.</w:t>
            </w:r>
            <w:r w:rsidR="00F474FB">
              <w:rPr>
                <w:lang w:val="fr-FR"/>
              </w:rPr>
              <w:t> </w:t>
            </w:r>
            <w:r w:rsidRPr="00D70039">
              <w:rPr>
                <w:lang w:val="fr-FR"/>
              </w:rPr>
              <w:t>Clarke dans un état d</w:t>
            </w:r>
            <w:r>
              <w:rPr>
                <w:lang w:val="fr-FR"/>
              </w:rPr>
              <w:t>’</w:t>
            </w:r>
            <w:r w:rsidRPr="00D70039">
              <w:rPr>
                <w:lang w:val="fr-FR"/>
              </w:rPr>
              <w:t>épuisement</w:t>
            </w:r>
            <w:r>
              <w:rPr>
                <w:lang w:val="fr-FR"/>
              </w:rPr>
              <w:t>,</w:t>
            </w:r>
            <w:r w:rsidRPr="00813782">
              <w:rPr>
                <w:lang w:val="fr-FR"/>
              </w:rPr>
              <w:t xml:space="preserve"> </w:t>
            </w:r>
            <w:r w:rsidRPr="00971828">
              <w:rPr>
                <w:lang w:val="fr-FR"/>
              </w:rPr>
              <w:t>allongé par terre dans un terrain de jeu</w:t>
            </w:r>
            <w:r w:rsidRPr="00D70039">
              <w:rPr>
                <w:lang w:val="fr-FR"/>
              </w:rPr>
              <w:t>. La police a appelé une ambulance et d</w:t>
            </w:r>
            <w:r>
              <w:rPr>
                <w:lang w:val="fr-FR"/>
              </w:rPr>
              <w:t>’</w:t>
            </w:r>
            <w:r w:rsidRPr="00D70039">
              <w:rPr>
                <w:lang w:val="fr-FR"/>
              </w:rPr>
              <w:t xml:space="preserve">autres </w:t>
            </w:r>
            <w:r>
              <w:rPr>
                <w:lang w:val="fr-FR"/>
              </w:rPr>
              <w:t>policiers</w:t>
            </w:r>
            <w:r w:rsidRPr="00D70039">
              <w:rPr>
                <w:lang w:val="fr-FR"/>
              </w:rPr>
              <w:t xml:space="preserve"> sont arrivés sur les lieux. M.</w:t>
            </w:r>
            <w:r w:rsidR="00F474FB">
              <w:rPr>
                <w:lang w:val="fr-FR"/>
              </w:rPr>
              <w:t> </w:t>
            </w:r>
            <w:r w:rsidRPr="00D70039">
              <w:rPr>
                <w:lang w:val="fr-FR"/>
              </w:rPr>
              <w:t>Clarke a été maîtrisé alors qu</w:t>
            </w:r>
            <w:r>
              <w:rPr>
                <w:lang w:val="fr-FR"/>
              </w:rPr>
              <w:t>’</w:t>
            </w:r>
            <w:r w:rsidRPr="00D70039">
              <w:rPr>
                <w:lang w:val="fr-FR"/>
              </w:rPr>
              <w:t>il tentait de se mettre à genoux</w:t>
            </w:r>
            <w:r>
              <w:rPr>
                <w:lang w:val="fr-FR"/>
              </w:rPr>
              <w:t> </w:t>
            </w:r>
            <w:r w:rsidRPr="00D70039">
              <w:rPr>
                <w:lang w:val="fr-FR"/>
              </w:rPr>
              <w:t>: il a été menotté mains dans le dos et placé en position semi</w:t>
            </w:r>
            <w:r w:rsidR="00F474FB">
              <w:rPr>
                <w:lang w:val="fr-FR"/>
              </w:rPr>
              <w:noBreakHyphen/>
            </w:r>
            <w:r w:rsidRPr="00D70039">
              <w:rPr>
                <w:lang w:val="fr-FR"/>
              </w:rPr>
              <w:t xml:space="preserve">allongée. Comme il devenait </w:t>
            </w:r>
            <w:r>
              <w:rPr>
                <w:lang w:val="fr-FR"/>
              </w:rPr>
              <w:t xml:space="preserve">de plus en </w:t>
            </w:r>
            <w:r w:rsidRPr="00D70039">
              <w:rPr>
                <w:lang w:val="fr-FR"/>
              </w:rPr>
              <w:t xml:space="preserve">plus agité, ses jambes ont été entravées. Il a été forcé de se lever et a été conduit, sous forte contrainte, vers </w:t>
            </w:r>
            <w:r>
              <w:rPr>
                <w:lang w:val="fr-FR"/>
              </w:rPr>
              <w:t>l’</w:t>
            </w:r>
            <w:r w:rsidRPr="00D70039">
              <w:rPr>
                <w:lang w:val="fr-FR"/>
              </w:rPr>
              <w:t xml:space="preserve">ambulance. Pendant la période de contention, il a exprimé à plusieurs reprises sa douleur et sa détresse et </w:t>
            </w:r>
            <w:r>
              <w:rPr>
                <w:lang w:val="fr-FR"/>
              </w:rPr>
              <w:t xml:space="preserve">a </w:t>
            </w:r>
            <w:r w:rsidRPr="00D70039">
              <w:rPr>
                <w:lang w:val="fr-FR"/>
              </w:rPr>
              <w:t xml:space="preserve">notamment </w:t>
            </w:r>
            <w:r>
              <w:rPr>
                <w:lang w:val="fr-FR"/>
              </w:rPr>
              <w:t>signalé</w:t>
            </w:r>
            <w:r w:rsidRPr="00D70039">
              <w:rPr>
                <w:lang w:val="fr-FR"/>
              </w:rPr>
              <w:t xml:space="preserve"> </w:t>
            </w:r>
            <w:r>
              <w:rPr>
                <w:lang w:val="fr-FR"/>
              </w:rPr>
              <w:t>qu’il ne pouvait «</w:t>
            </w:r>
            <w:r w:rsidR="00F474FB">
              <w:rPr>
                <w:lang w:val="fr-FR"/>
              </w:rPr>
              <w:t> </w:t>
            </w:r>
            <w:r w:rsidRPr="00D70039">
              <w:rPr>
                <w:lang w:val="fr-FR"/>
              </w:rPr>
              <w:t>plus respirer</w:t>
            </w:r>
            <w:r w:rsidR="00F474FB">
              <w:rPr>
                <w:lang w:val="fr-FR"/>
              </w:rPr>
              <w:t> </w:t>
            </w:r>
            <w:r w:rsidRPr="00D70039">
              <w:rPr>
                <w:lang w:val="fr-FR"/>
              </w:rPr>
              <w:t>». Après s</w:t>
            </w:r>
            <w:r>
              <w:rPr>
                <w:lang w:val="fr-FR"/>
              </w:rPr>
              <w:t>’</w:t>
            </w:r>
            <w:r w:rsidRPr="00D70039">
              <w:rPr>
                <w:lang w:val="fr-FR"/>
              </w:rPr>
              <w:t>être effondré et avoir perdu connaissance, il a été placé sur une civière et transporté dans l</w:t>
            </w:r>
            <w:r>
              <w:rPr>
                <w:lang w:val="fr-FR"/>
              </w:rPr>
              <w:t>’</w:t>
            </w:r>
            <w:r w:rsidRPr="00D70039">
              <w:rPr>
                <w:lang w:val="fr-FR"/>
              </w:rPr>
              <w:t xml:space="preserve">ambulance. Les menottes </w:t>
            </w:r>
            <w:r>
              <w:rPr>
                <w:lang w:val="fr-FR"/>
              </w:rPr>
              <w:t xml:space="preserve">lui </w:t>
            </w:r>
            <w:r w:rsidRPr="00D70039">
              <w:rPr>
                <w:lang w:val="fr-FR"/>
              </w:rPr>
              <w:t>ont été retirées après qu</w:t>
            </w:r>
            <w:r>
              <w:rPr>
                <w:lang w:val="fr-FR"/>
              </w:rPr>
              <w:t>’</w:t>
            </w:r>
            <w:r w:rsidRPr="00D70039">
              <w:rPr>
                <w:lang w:val="fr-FR"/>
              </w:rPr>
              <w:t xml:space="preserve">un arrêt cardiaque </w:t>
            </w:r>
            <w:r>
              <w:rPr>
                <w:lang w:val="fr-FR"/>
              </w:rPr>
              <w:t>eut</w:t>
            </w:r>
            <w:r w:rsidRPr="00D70039">
              <w:rPr>
                <w:lang w:val="fr-FR"/>
              </w:rPr>
              <w:t xml:space="preserve"> été </w:t>
            </w:r>
            <w:r>
              <w:rPr>
                <w:lang w:val="fr-FR"/>
              </w:rPr>
              <w:t xml:space="preserve">constaté. Un </w:t>
            </w:r>
            <w:r w:rsidRPr="00D70039">
              <w:rPr>
                <w:lang w:val="fr-FR"/>
              </w:rPr>
              <w:t xml:space="preserve">massage cardiaque </w:t>
            </w:r>
            <w:r>
              <w:rPr>
                <w:lang w:val="fr-FR"/>
              </w:rPr>
              <w:t xml:space="preserve">a été </w:t>
            </w:r>
            <w:r w:rsidRPr="00D70039">
              <w:rPr>
                <w:lang w:val="fr-FR"/>
              </w:rPr>
              <w:t>pratiqué. Son décès a été prononcé une heure plus tard à l</w:t>
            </w:r>
            <w:r>
              <w:rPr>
                <w:lang w:val="fr-FR"/>
              </w:rPr>
              <w:t>’</w:t>
            </w:r>
            <w:r w:rsidRPr="00D70039">
              <w:rPr>
                <w:lang w:val="fr-FR"/>
              </w:rPr>
              <w:t>hôpital</w:t>
            </w:r>
            <w:r w:rsidRPr="00293268">
              <w:rPr>
                <w:lang w:val="fr-FR"/>
              </w:rPr>
              <w:t>.</w:t>
            </w:r>
          </w:p>
        </w:tc>
      </w:tr>
      <w:tr w:rsidR="00010AF0" w:rsidRPr="00BB700C" w14:paraId="7EBF1B38" w14:textId="77777777" w:rsidTr="00BE3A5F">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9CD944D" w14:textId="77777777" w:rsidR="00010AF0" w:rsidRPr="00BB700C" w:rsidRDefault="00010AF0" w:rsidP="00BE3A5F"/>
        </w:tc>
      </w:tr>
    </w:tbl>
    <w:p w14:paraId="574EF199" w14:textId="77777777" w:rsidR="00D301C6" w:rsidRPr="00293268" w:rsidRDefault="00D301C6" w:rsidP="00326946">
      <w:pPr>
        <w:pStyle w:val="H4G"/>
        <w:rPr>
          <w:lang w:val="fr-FR"/>
        </w:rPr>
      </w:pPr>
      <w:bookmarkStart w:id="368" w:name="_Toc74254804"/>
      <w:bookmarkStart w:id="369" w:name="_Toc74303370"/>
      <w:bookmarkStart w:id="370" w:name="_Toc74305495"/>
      <w:bookmarkStart w:id="371" w:name="_Toc74337090"/>
      <w:bookmarkStart w:id="372" w:name="_Toc74340211"/>
      <w:bookmarkStart w:id="373" w:name="_Toc74344107"/>
      <w:bookmarkStart w:id="374" w:name="_Toc74561087"/>
      <w:bookmarkStart w:id="375" w:name="_Toc74562579"/>
      <w:bookmarkStart w:id="376" w:name="_Toc74657688"/>
      <w:bookmarkStart w:id="377" w:name="_Toc74661214"/>
      <w:bookmarkStart w:id="378" w:name="_Toc74666509"/>
      <w:bookmarkStart w:id="379" w:name="_Toc74671430"/>
      <w:bookmarkStart w:id="380" w:name="_Toc74867345"/>
      <w:bookmarkStart w:id="381" w:name="_Toc74919098"/>
      <w:bookmarkStart w:id="382" w:name="_Toc74919753"/>
      <w:bookmarkStart w:id="383" w:name="_Toc74925788"/>
      <w:bookmarkStart w:id="384" w:name="_Toc74927637"/>
      <w:r w:rsidRPr="00293268">
        <w:rPr>
          <w:lang w:val="fr-FR"/>
        </w:rPr>
        <w:tab/>
        <w:t>c)</w:t>
      </w:r>
      <w:r w:rsidRPr="00293268">
        <w:rPr>
          <w:lang w:val="fr-FR"/>
        </w:rPr>
        <w:tab/>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807907">
        <w:rPr>
          <w:lang w:val="fr-FR"/>
        </w:rPr>
        <w:t>Opérations spéciales des forces de police</w:t>
      </w:r>
    </w:p>
    <w:p w14:paraId="0A9757CC" w14:textId="7A4EAB81" w:rsidR="00D301C6" w:rsidRPr="00293268" w:rsidRDefault="00D301C6" w:rsidP="00D301C6">
      <w:pPr>
        <w:pStyle w:val="SingleTxtG"/>
        <w:rPr>
          <w:lang w:val="fr-FR"/>
        </w:rPr>
      </w:pPr>
      <w:r w:rsidRPr="00293268">
        <w:rPr>
          <w:lang w:val="fr-FR"/>
        </w:rPr>
        <w:t>117.</w:t>
      </w:r>
      <w:r w:rsidRPr="00293268">
        <w:rPr>
          <w:lang w:val="fr-FR"/>
        </w:rPr>
        <w:tab/>
      </w:r>
      <w:r w:rsidRPr="00650215">
        <w:rPr>
          <w:lang w:val="fr-FR"/>
        </w:rPr>
        <w:t xml:space="preserve">Les informations reçues par le HCDH </w:t>
      </w:r>
      <w:r>
        <w:rPr>
          <w:lang w:val="fr-FR"/>
        </w:rPr>
        <w:t>révèlent</w:t>
      </w:r>
      <w:r w:rsidRPr="00650215">
        <w:rPr>
          <w:lang w:val="fr-FR"/>
        </w:rPr>
        <w:t xml:space="preserve"> que le</w:t>
      </w:r>
      <w:r>
        <w:rPr>
          <w:lang w:val="fr-FR"/>
        </w:rPr>
        <w:t>s</w:t>
      </w:r>
      <w:r w:rsidRPr="00650215">
        <w:rPr>
          <w:lang w:val="fr-FR"/>
        </w:rPr>
        <w:t xml:space="preserve"> décès de personnes d</w:t>
      </w:r>
      <w:r>
        <w:rPr>
          <w:lang w:val="fr-FR"/>
        </w:rPr>
        <w:t>’</w:t>
      </w:r>
      <w:r w:rsidRPr="00650215">
        <w:rPr>
          <w:lang w:val="fr-FR"/>
        </w:rPr>
        <w:t xml:space="preserve">ascendance africaine </w:t>
      </w:r>
      <w:r>
        <w:rPr>
          <w:lang w:val="fr-FR"/>
        </w:rPr>
        <w:t xml:space="preserve">surviennent </w:t>
      </w:r>
      <w:r w:rsidRPr="00650215">
        <w:rPr>
          <w:lang w:val="fr-FR"/>
        </w:rPr>
        <w:t>de manière répétée lors d</w:t>
      </w:r>
      <w:r>
        <w:rPr>
          <w:lang w:val="fr-FR"/>
        </w:rPr>
        <w:t>’</w:t>
      </w:r>
      <w:r w:rsidRPr="00650215">
        <w:rPr>
          <w:lang w:val="fr-FR"/>
        </w:rPr>
        <w:t xml:space="preserve">opérations de police </w:t>
      </w:r>
      <w:r>
        <w:rPr>
          <w:lang w:val="fr-FR"/>
        </w:rPr>
        <w:t>de grande envergure</w:t>
      </w:r>
      <w:r w:rsidRPr="00650215">
        <w:rPr>
          <w:lang w:val="fr-FR"/>
        </w:rPr>
        <w:t xml:space="preserve">, souvent dans le cadre de la </w:t>
      </w:r>
      <w:r w:rsidR="004F64E4">
        <w:rPr>
          <w:lang w:val="fr-FR"/>
        </w:rPr>
        <w:t>« </w:t>
      </w:r>
      <w:r w:rsidRPr="00650215">
        <w:rPr>
          <w:lang w:val="fr-FR"/>
        </w:rPr>
        <w:t>guerre contre la drogue</w:t>
      </w:r>
      <w:r w:rsidR="004F64E4">
        <w:rPr>
          <w:lang w:val="fr-FR"/>
        </w:rPr>
        <w:t> »</w:t>
      </w:r>
      <w:r w:rsidRPr="00650215">
        <w:rPr>
          <w:lang w:val="fr-FR"/>
        </w:rPr>
        <w:t xml:space="preserve"> et d</w:t>
      </w:r>
      <w:r>
        <w:rPr>
          <w:lang w:val="fr-FR"/>
        </w:rPr>
        <w:t>’</w:t>
      </w:r>
      <w:r w:rsidRPr="00650215">
        <w:rPr>
          <w:lang w:val="fr-FR"/>
        </w:rPr>
        <w:t>opérations antigangs menées dans des quartiers ségrégués, défavorisés et dangereux</w:t>
      </w:r>
      <w:r w:rsidRPr="00CD6B67">
        <w:rPr>
          <w:rStyle w:val="FootnoteReference"/>
        </w:rPr>
        <w:footnoteReference w:id="342"/>
      </w:r>
      <w:r>
        <w:rPr>
          <w:lang w:val="fr-FR"/>
        </w:rPr>
        <w:t>.</w:t>
      </w:r>
      <w:r w:rsidRPr="00293268">
        <w:rPr>
          <w:lang w:val="fr-FR"/>
        </w:rPr>
        <w:t xml:space="preserve"> </w:t>
      </w:r>
      <w:r w:rsidRPr="0009534B">
        <w:rPr>
          <w:lang w:val="fr-FR"/>
        </w:rPr>
        <w:t xml:space="preserve">Le meurtre de Breonna Taylor aux États-Unis est emblématique des </w:t>
      </w:r>
      <w:r>
        <w:rPr>
          <w:lang w:val="fr-FR"/>
        </w:rPr>
        <w:t>opérations</w:t>
      </w:r>
      <w:r w:rsidRPr="0009534B">
        <w:rPr>
          <w:lang w:val="fr-FR"/>
        </w:rPr>
        <w:t xml:space="preserve"> lié</w:t>
      </w:r>
      <w:r>
        <w:rPr>
          <w:lang w:val="fr-FR"/>
        </w:rPr>
        <w:t>e</w:t>
      </w:r>
      <w:r w:rsidRPr="0009534B">
        <w:rPr>
          <w:lang w:val="fr-FR"/>
        </w:rPr>
        <w:t xml:space="preserve">s à la guerre contre la drogue, </w:t>
      </w:r>
      <w:r>
        <w:rPr>
          <w:lang w:val="fr-FR"/>
        </w:rPr>
        <w:t>dans le cadre desquelles des</w:t>
      </w:r>
      <w:r w:rsidRPr="0009534B">
        <w:rPr>
          <w:lang w:val="fr-FR"/>
        </w:rPr>
        <w:t xml:space="preserve"> personnes d</w:t>
      </w:r>
      <w:r>
        <w:rPr>
          <w:lang w:val="fr-FR"/>
        </w:rPr>
        <w:t>’</w:t>
      </w:r>
      <w:r w:rsidRPr="0009534B">
        <w:rPr>
          <w:lang w:val="fr-FR"/>
        </w:rPr>
        <w:t xml:space="preserve">ascendance africaine, en particulier des femmes, </w:t>
      </w:r>
      <w:r>
        <w:rPr>
          <w:lang w:val="fr-FR"/>
        </w:rPr>
        <w:t>se retrouvent</w:t>
      </w:r>
      <w:r w:rsidRPr="0009534B">
        <w:rPr>
          <w:lang w:val="fr-FR"/>
        </w:rPr>
        <w:t xml:space="preserve"> prises sous </w:t>
      </w:r>
      <w:r>
        <w:rPr>
          <w:lang w:val="fr-FR"/>
        </w:rPr>
        <w:t>les tirs</w:t>
      </w:r>
      <w:r w:rsidRPr="0009534B">
        <w:rPr>
          <w:lang w:val="fr-FR"/>
        </w:rPr>
        <w:t xml:space="preserve"> </w:t>
      </w:r>
      <w:r>
        <w:rPr>
          <w:lang w:val="fr-FR"/>
        </w:rPr>
        <w:t>de la</w:t>
      </w:r>
      <w:r w:rsidRPr="0009534B">
        <w:rPr>
          <w:lang w:val="fr-FR"/>
        </w:rPr>
        <w:t xml:space="preserve"> police, avec des conséquences irréversibles</w:t>
      </w:r>
      <w:r w:rsidRPr="00293268">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4F64E4" w14:paraId="61C48813" w14:textId="77777777" w:rsidTr="00BE3A5F">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4E5659EC" w14:textId="77777777" w:rsidR="004F64E4" w:rsidRDefault="004F64E4" w:rsidP="00BE3A5F">
            <w:pPr>
              <w:keepNext/>
            </w:pPr>
          </w:p>
        </w:tc>
      </w:tr>
      <w:tr w:rsidR="004F64E4" w:rsidRPr="004F64E4" w14:paraId="1D1BA1DB" w14:textId="77777777" w:rsidTr="00BE3A5F">
        <w:trPr>
          <w:jc w:val="center"/>
        </w:trPr>
        <w:tc>
          <w:tcPr>
            <w:tcW w:w="7653" w:type="dxa"/>
            <w:tcBorders>
              <w:left w:val="single" w:sz="4" w:space="0" w:color="auto"/>
              <w:bottom w:val="nil"/>
              <w:right w:val="single" w:sz="4" w:space="0" w:color="auto"/>
            </w:tcBorders>
            <w:shd w:val="clear" w:color="auto" w:fill="auto"/>
          </w:tcPr>
          <w:p w14:paraId="4BA53CD5" w14:textId="0EBBB91F" w:rsidR="004F64E4" w:rsidRPr="004F64E4" w:rsidRDefault="004F64E4" w:rsidP="00BE3A5F">
            <w:pPr>
              <w:keepNext/>
              <w:spacing w:after="120"/>
            </w:pPr>
            <w:r w:rsidRPr="00293268">
              <w:rPr>
                <w:b/>
                <w:lang w:val="fr-FR"/>
              </w:rPr>
              <w:t xml:space="preserve">Breonna Taylor, 26 </w:t>
            </w:r>
            <w:r>
              <w:rPr>
                <w:b/>
                <w:lang w:val="fr-FR"/>
              </w:rPr>
              <w:t>ans</w:t>
            </w:r>
            <w:r>
              <w:rPr>
                <w:b/>
                <w:lang w:val="fr-FR"/>
              </w:rPr>
              <w:br/>
            </w:r>
            <w:r w:rsidRPr="00293268">
              <w:rPr>
                <w:b/>
                <w:lang w:val="fr-FR"/>
              </w:rPr>
              <w:t xml:space="preserve">13 </w:t>
            </w:r>
            <w:r>
              <w:rPr>
                <w:b/>
                <w:lang w:val="fr-FR"/>
              </w:rPr>
              <w:t>mars</w:t>
            </w:r>
            <w:r w:rsidRPr="00293268">
              <w:rPr>
                <w:b/>
                <w:lang w:val="fr-FR"/>
              </w:rPr>
              <w:t xml:space="preserve"> 2020, Louisville, Kentucky</w:t>
            </w:r>
            <w:r>
              <w:rPr>
                <w:b/>
                <w:lang w:val="fr-FR"/>
              </w:rPr>
              <w:t xml:space="preserve"> (États-Unis)</w:t>
            </w:r>
          </w:p>
        </w:tc>
      </w:tr>
      <w:tr w:rsidR="004F64E4" w:rsidRPr="0026595B" w14:paraId="1C87BD93" w14:textId="77777777" w:rsidTr="00BE3A5F">
        <w:trPr>
          <w:jc w:val="center"/>
        </w:trPr>
        <w:tc>
          <w:tcPr>
            <w:tcW w:w="7653" w:type="dxa"/>
            <w:tcBorders>
              <w:left w:val="single" w:sz="4" w:space="0" w:color="auto"/>
              <w:bottom w:val="nil"/>
              <w:right w:val="single" w:sz="4" w:space="0" w:color="auto"/>
            </w:tcBorders>
            <w:shd w:val="clear" w:color="auto" w:fill="auto"/>
          </w:tcPr>
          <w:p w14:paraId="481D064E" w14:textId="29EA4B4D" w:rsidR="004F64E4" w:rsidRPr="00D32E2B" w:rsidRDefault="00D74223" w:rsidP="00BE3A5F">
            <w:pPr>
              <w:spacing w:after="120"/>
              <w:ind w:firstLine="567"/>
              <w:jc w:val="both"/>
              <w:rPr>
                <w:i/>
                <w:lang w:val="fr-FR"/>
              </w:rPr>
            </w:pPr>
            <w:r w:rsidRPr="00D74223">
              <w:rPr>
                <w:iCs/>
                <w:lang w:val="fr-FR"/>
              </w:rPr>
              <w:t>«</w:t>
            </w:r>
            <w:r>
              <w:rPr>
                <w:i/>
                <w:lang w:val="fr-FR"/>
              </w:rPr>
              <w:t> </w:t>
            </w:r>
            <w:r w:rsidRPr="0044708D">
              <w:rPr>
                <w:i/>
                <w:lang w:val="fr-FR"/>
              </w:rPr>
              <w:t>Aussi importante que soit la date d</w:t>
            </w:r>
            <w:r>
              <w:rPr>
                <w:i/>
                <w:lang w:val="fr-FR"/>
              </w:rPr>
              <w:t>’</w:t>
            </w:r>
            <w:r w:rsidRPr="0044708D">
              <w:rPr>
                <w:i/>
                <w:lang w:val="fr-FR"/>
              </w:rPr>
              <w:t>aujourd</w:t>
            </w:r>
            <w:r>
              <w:rPr>
                <w:i/>
                <w:lang w:val="fr-FR"/>
              </w:rPr>
              <w:t>’</w:t>
            </w:r>
            <w:r w:rsidRPr="0044708D">
              <w:rPr>
                <w:i/>
                <w:lang w:val="fr-FR"/>
              </w:rPr>
              <w:t>hui, ce n</w:t>
            </w:r>
            <w:r>
              <w:rPr>
                <w:i/>
                <w:lang w:val="fr-FR"/>
              </w:rPr>
              <w:t>’</w:t>
            </w:r>
            <w:r w:rsidRPr="0044708D">
              <w:rPr>
                <w:i/>
                <w:lang w:val="fr-FR"/>
              </w:rPr>
              <w:t>est qu</w:t>
            </w:r>
            <w:r>
              <w:rPr>
                <w:i/>
                <w:lang w:val="fr-FR"/>
              </w:rPr>
              <w:t>’</w:t>
            </w:r>
            <w:r w:rsidRPr="0044708D">
              <w:rPr>
                <w:i/>
                <w:lang w:val="fr-FR"/>
              </w:rPr>
              <w:t>une première étape en vue d</w:t>
            </w:r>
            <w:r>
              <w:rPr>
                <w:i/>
                <w:lang w:val="fr-FR"/>
              </w:rPr>
              <w:t>’</w:t>
            </w:r>
            <w:r w:rsidRPr="0044708D">
              <w:rPr>
                <w:i/>
                <w:lang w:val="fr-FR"/>
              </w:rPr>
              <w:t xml:space="preserve">obtenir justice </w:t>
            </w:r>
            <w:r>
              <w:rPr>
                <w:i/>
                <w:lang w:val="fr-FR"/>
              </w:rPr>
              <w:t>pour</w:t>
            </w:r>
            <w:r w:rsidRPr="0044708D">
              <w:rPr>
                <w:i/>
                <w:lang w:val="fr-FR"/>
              </w:rPr>
              <w:t xml:space="preserve"> Breonn</w:t>
            </w:r>
            <w:r>
              <w:rPr>
                <w:i/>
                <w:lang w:val="fr-FR"/>
              </w:rPr>
              <w:t>a.</w:t>
            </w:r>
            <w:r w:rsidRPr="0044708D">
              <w:rPr>
                <w:i/>
                <w:lang w:val="fr-FR"/>
              </w:rPr>
              <w:t xml:space="preserve"> Nous ne devons pas perdre de vue l</w:t>
            </w:r>
            <w:r>
              <w:rPr>
                <w:i/>
                <w:lang w:val="fr-FR"/>
              </w:rPr>
              <w:t>’</w:t>
            </w:r>
            <w:r w:rsidRPr="0044708D">
              <w:rPr>
                <w:i/>
                <w:lang w:val="fr-FR"/>
              </w:rPr>
              <w:t>essentiel. Il est temps d</w:t>
            </w:r>
            <w:r>
              <w:rPr>
                <w:i/>
                <w:lang w:val="fr-FR"/>
              </w:rPr>
              <w:t>’</w:t>
            </w:r>
            <w:r w:rsidRPr="0044708D">
              <w:rPr>
                <w:i/>
                <w:lang w:val="fr-FR"/>
              </w:rPr>
              <w:t>aller de l</w:t>
            </w:r>
            <w:r>
              <w:rPr>
                <w:i/>
                <w:lang w:val="fr-FR"/>
              </w:rPr>
              <w:t>’</w:t>
            </w:r>
            <w:r w:rsidRPr="0044708D">
              <w:rPr>
                <w:i/>
                <w:lang w:val="fr-FR"/>
              </w:rPr>
              <w:t>avant et de porter des accusations pénales, car elle le mérite et mérite bien plus encore</w:t>
            </w:r>
            <w:r w:rsidRPr="00D74223">
              <w:rPr>
                <w:iCs/>
                <w:lang w:val="fr-FR"/>
              </w:rPr>
              <w:t>.</w:t>
            </w:r>
            <w:r w:rsidR="00D32E2B">
              <w:rPr>
                <w:iCs/>
                <w:lang w:val="fr-FR"/>
              </w:rPr>
              <w:t> </w:t>
            </w:r>
            <w:r w:rsidRPr="00D74223">
              <w:rPr>
                <w:iCs/>
                <w:lang w:val="fr-FR"/>
              </w:rPr>
              <w:t>»</w:t>
            </w:r>
            <w:r w:rsidRPr="00293268">
              <w:rPr>
                <w:i/>
                <w:lang w:val="fr-FR"/>
              </w:rPr>
              <w:t xml:space="preserve"> </w:t>
            </w:r>
            <w:r w:rsidRPr="00293268">
              <w:rPr>
                <w:lang w:val="fr-FR"/>
              </w:rPr>
              <w:t>(</w:t>
            </w:r>
            <w:r>
              <w:rPr>
                <w:lang w:val="fr-FR"/>
              </w:rPr>
              <w:t xml:space="preserve">la </w:t>
            </w:r>
            <w:r w:rsidRPr="001518E9">
              <w:rPr>
                <w:lang w:val="fr-FR"/>
              </w:rPr>
              <w:t>mère de Breonna Taylor, à l</w:t>
            </w:r>
            <w:r>
              <w:rPr>
                <w:lang w:val="fr-FR"/>
              </w:rPr>
              <w:t>’</w:t>
            </w:r>
            <w:r w:rsidRPr="001518E9">
              <w:rPr>
                <w:lang w:val="fr-FR"/>
              </w:rPr>
              <w:t>occasion du règlement de l</w:t>
            </w:r>
            <w:r>
              <w:rPr>
                <w:lang w:val="fr-FR"/>
              </w:rPr>
              <w:t>’</w:t>
            </w:r>
            <w:r w:rsidRPr="001518E9">
              <w:rPr>
                <w:lang w:val="fr-FR"/>
              </w:rPr>
              <w:t>affaire au civil</w:t>
            </w:r>
            <w:r w:rsidRPr="00293268">
              <w:rPr>
                <w:lang w:val="fr-FR"/>
              </w:rPr>
              <w:t>)</w:t>
            </w:r>
            <w:r w:rsidRPr="00CD6B67">
              <w:rPr>
                <w:rStyle w:val="FootnoteReference"/>
              </w:rPr>
              <w:footnoteReference w:id="343"/>
            </w:r>
          </w:p>
        </w:tc>
      </w:tr>
      <w:tr w:rsidR="004F64E4" w:rsidRPr="00BB700C" w14:paraId="3DBE2956" w14:textId="77777777" w:rsidTr="00BE3A5F">
        <w:trPr>
          <w:jc w:val="center"/>
        </w:trPr>
        <w:tc>
          <w:tcPr>
            <w:tcW w:w="7653" w:type="dxa"/>
            <w:tcBorders>
              <w:left w:val="single" w:sz="4" w:space="0" w:color="auto"/>
              <w:bottom w:val="nil"/>
              <w:right w:val="single" w:sz="4" w:space="0" w:color="auto"/>
            </w:tcBorders>
            <w:shd w:val="clear" w:color="auto" w:fill="auto"/>
          </w:tcPr>
          <w:p w14:paraId="1E805EB6" w14:textId="77DF6CBD" w:rsidR="004F64E4" w:rsidRPr="00BB700C" w:rsidRDefault="00D32E2B" w:rsidP="00BE3A5F">
            <w:pPr>
              <w:spacing w:after="120"/>
              <w:ind w:firstLine="567"/>
              <w:jc w:val="both"/>
            </w:pPr>
            <w:r w:rsidRPr="00F61BEA">
              <w:rPr>
                <w:lang w:val="fr-FR"/>
              </w:rPr>
              <w:t>Selon les informations reçues, le 13 mars 2020, peu après minuit, à Louisville, dans le Kentucky, trois policiers ont fait irruption dans l</w:t>
            </w:r>
            <w:r>
              <w:rPr>
                <w:lang w:val="fr-FR"/>
              </w:rPr>
              <w:t>’</w:t>
            </w:r>
            <w:r w:rsidRPr="00F61BEA">
              <w:rPr>
                <w:lang w:val="fr-FR"/>
              </w:rPr>
              <w:t>appartement de Breonna Taylor, une aide-soignante afro-américaine de 26 ans, dans le cadre d</w:t>
            </w:r>
            <w:r>
              <w:rPr>
                <w:lang w:val="fr-FR"/>
              </w:rPr>
              <w:t>’</w:t>
            </w:r>
            <w:r w:rsidRPr="00F61BEA">
              <w:rPr>
                <w:lang w:val="fr-FR"/>
              </w:rPr>
              <w:t xml:space="preserve">une enquête pour trafic de stupéfiants visant son ancien petit ami, qui ne vivait pas dans son appartement. Selon les informations, </w:t>
            </w:r>
            <w:r w:rsidR="00DB50E2" w:rsidRPr="00DB50E2">
              <w:rPr>
                <w:lang w:val="fr-FR"/>
              </w:rPr>
              <w:t>M</w:t>
            </w:r>
            <w:r w:rsidR="00DB50E2" w:rsidRPr="00DB50E2">
              <w:rPr>
                <w:vertAlign w:val="superscript"/>
                <w:lang w:val="fr-FR"/>
              </w:rPr>
              <w:t>me</w:t>
            </w:r>
            <w:r w:rsidR="00DB50E2" w:rsidRPr="00DB50E2">
              <w:rPr>
                <w:lang w:val="fr-FR"/>
              </w:rPr>
              <w:t> </w:t>
            </w:r>
            <w:r w:rsidRPr="00F61BEA">
              <w:rPr>
                <w:lang w:val="fr-FR"/>
              </w:rPr>
              <w:t>Taylor et son partenaire ont été réveillés par des coups violents frappés à la porte. Croyant qu</w:t>
            </w:r>
            <w:r>
              <w:rPr>
                <w:lang w:val="fr-FR"/>
              </w:rPr>
              <w:t>’</w:t>
            </w:r>
            <w:r w:rsidRPr="00F61BEA">
              <w:rPr>
                <w:lang w:val="fr-FR"/>
              </w:rPr>
              <w:t>il s</w:t>
            </w:r>
            <w:r>
              <w:rPr>
                <w:lang w:val="fr-FR"/>
              </w:rPr>
              <w:t>’</w:t>
            </w:r>
            <w:r w:rsidRPr="00F61BEA">
              <w:rPr>
                <w:lang w:val="fr-FR"/>
              </w:rPr>
              <w:t xml:space="preserve">agissait </w:t>
            </w:r>
            <w:r>
              <w:rPr>
                <w:lang w:val="fr-FR"/>
              </w:rPr>
              <w:t>d’intrus</w:t>
            </w:r>
            <w:r w:rsidRPr="00F61BEA">
              <w:rPr>
                <w:lang w:val="fr-FR"/>
              </w:rPr>
              <w:t xml:space="preserve">, le partenaire de </w:t>
            </w:r>
            <w:r w:rsidR="00DB50E2" w:rsidRPr="00DB50E2">
              <w:rPr>
                <w:lang w:val="fr-FR"/>
              </w:rPr>
              <w:t>M</w:t>
            </w:r>
            <w:r w:rsidR="00DB50E2" w:rsidRPr="00DB50E2">
              <w:rPr>
                <w:vertAlign w:val="superscript"/>
                <w:lang w:val="fr-FR"/>
              </w:rPr>
              <w:t>me</w:t>
            </w:r>
            <w:r w:rsidR="00DB50E2" w:rsidRPr="00DB50E2">
              <w:rPr>
                <w:lang w:val="fr-FR"/>
              </w:rPr>
              <w:t> </w:t>
            </w:r>
            <w:r w:rsidRPr="00F61BEA">
              <w:rPr>
                <w:lang w:val="fr-FR"/>
              </w:rPr>
              <w:t>Taylor aurait saisi son arme</w:t>
            </w:r>
            <w:r>
              <w:rPr>
                <w:lang w:val="fr-FR"/>
              </w:rPr>
              <w:t>,</w:t>
            </w:r>
            <w:r w:rsidRPr="00F61BEA">
              <w:rPr>
                <w:lang w:val="fr-FR"/>
              </w:rPr>
              <w:t xml:space="preserve"> détenue légalement</w:t>
            </w:r>
            <w:r>
              <w:rPr>
                <w:lang w:val="fr-FR"/>
              </w:rPr>
              <w:t>,</w:t>
            </w:r>
            <w:r w:rsidRPr="00F61BEA">
              <w:rPr>
                <w:lang w:val="fr-FR"/>
              </w:rPr>
              <w:t xml:space="preserve"> et demandé qui était à la porte. </w:t>
            </w:r>
            <w:r>
              <w:rPr>
                <w:lang w:val="fr-FR"/>
              </w:rPr>
              <w:t>L</w:t>
            </w:r>
            <w:r w:rsidRPr="00F61BEA">
              <w:rPr>
                <w:lang w:val="fr-FR"/>
              </w:rPr>
              <w:t xml:space="preserve">orsque les </w:t>
            </w:r>
            <w:r>
              <w:rPr>
                <w:lang w:val="fr-FR"/>
              </w:rPr>
              <w:t>policiers</w:t>
            </w:r>
            <w:r w:rsidRPr="00F61BEA">
              <w:rPr>
                <w:lang w:val="fr-FR"/>
              </w:rPr>
              <w:t xml:space="preserve"> </w:t>
            </w:r>
            <w:r>
              <w:rPr>
                <w:lang w:val="fr-FR"/>
              </w:rPr>
              <w:t>ont pénétré</w:t>
            </w:r>
            <w:r w:rsidRPr="00F61BEA">
              <w:rPr>
                <w:lang w:val="fr-FR"/>
              </w:rPr>
              <w:t xml:space="preserve"> dans l</w:t>
            </w:r>
            <w:r>
              <w:rPr>
                <w:lang w:val="fr-FR"/>
              </w:rPr>
              <w:t>’</w:t>
            </w:r>
            <w:r w:rsidRPr="00F61BEA">
              <w:rPr>
                <w:lang w:val="fr-FR"/>
              </w:rPr>
              <w:t xml:space="preserve">appartement, le partenaire de </w:t>
            </w:r>
            <w:r w:rsidR="00DB50E2" w:rsidRPr="00DB50E2">
              <w:rPr>
                <w:lang w:val="fr-FR"/>
              </w:rPr>
              <w:t>M</w:t>
            </w:r>
            <w:r w:rsidR="00DB50E2" w:rsidRPr="00DB50E2">
              <w:rPr>
                <w:vertAlign w:val="superscript"/>
                <w:lang w:val="fr-FR"/>
              </w:rPr>
              <w:t>me</w:t>
            </w:r>
            <w:r w:rsidR="00DB50E2" w:rsidRPr="00DB50E2">
              <w:rPr>
                <w:lang w:val="fr-FR"/>
              </w:rPr>
              <w:t> </w:t>
            </w:r>
            <w:r w:rsidRPr="00F61BEA">
              <w:rPr>
                <w:lang w:val="fr-FR"/>
              </w:rPr>
              <w:t xml:space="preserve">Taylor </w:t>
            </w:r>
            <w:r>
              <w:rPr>
                <w:lang w:val="fr-FR"/>
              </w:rPr>
              <w:t>aurait fait feu</w:t>
            </w:r>
            <w:r w:rsidRPr="00F61BEA">
              <w:rPr>
                <w:lang w:val="fr-FR"/>
              </w:rPr>
              <w:t xml:space="preserve"> et les trois </w:t>
            </w:r>
            <w:r>
              <w:rPr>
                <w:lang w:val="fr-FR"/>
              </w:rPr>
              <w:t>policiers auraient</w:t>
            </w:r>
            <w:r w:rsidRPr="00F61BEA">
              <w:rPr>
                <w:lang w:val="fr-FR"/>
              </w:rPr>
              <w:t xml:space="preserve"> </w:t>
            </w:r>
            <w:r>
              <w:rPr>
                <w:lang w:val="fr-FR"/>
              </w:rPr>
              <w:t>riposté par</w:t>
            </w:r>
            <w:r w:rsidRPr="00F61BEA">
              <w:rPr>
                <w:lang w:val="fr-FR"/>
              </w:rPr>
              <w:t xml:space="preserve"> plusieurs coups de feu, y compris </w:t>
            </w:r>
            <w:r>
              <w:rPr>
                <w:lang w:val="fr-FR"/>
              </w:rPr>
              <w:t>à</w:t>
            </w:r>
            <w:r w:rsidRPr="00F61BEA">
              <w:rPr>
                <w:lang w:val="fr-FR"/>
              </w:rPr>
              <w:t xml:space="preserve"> travers</w:t>
            </w:r>
            <w:r>
              <w:rPr>
                <w:lang w:val="fr-FR"/>
              </w:rPr>
              <w:t xml:space="preserve"> </w:t>
            </w:r>
            <w:r w:rsidRPr="00F61BEA">
              <w:rPr>
                <w:lang w:val="fr-FR"/>
              </w:rPr>
              <w:t xml:space="preserve">une cloison. </w:t>
            </w:r>
            <w:r>
              <w:rPr>
                <w:lang w:val="fr-FR"/>
              </w:rPr>
              <w:t>To</w:t>
            </w:r>
            <w:r w:rsidRPr="00F61BEA">
              <w:rPr>
                <w:lang w:val="fr-FR"/>
              </w:rPr>
              <w:t>uchée par six balles</w:t>
            </w:r>
            <w:r>
              <w:rPr>
                <w:lang w:val="fr-FR"/>
              </w:rPr>
              <w:t>,</w:t>
            </w:r>
            <w:r w:rsidRPr="00F61BEA">
              <w:rPr>
                <w:lang w:val="fr-FR"/>
              </w:rPr>
              <w:t xml:space="preserve"> </w:t>
            </w:r>
            <w:r w:rsidR="00DB50E2" w:rsidRPr="00DB50E2">
              <w:rPr>
                <w:lang w:val="fr-FR"/>
              </w:rPr>
              <w:t>M</w:t>
            </w:r>
            <w:r w:rsidR="00DB50E2" w:rsidRPr="00DB50E2">
              <w:rPr>
                <w:vertAlign w:val="superscript"/>
                <w:lang w:val="fr-FR"/>
              </w:rPr>
              <w:t>me</w:t>
            </w:r>
            <w:r w:rsidR="00DB50E2" w:rsidRPr="00DB50E2">
              <w:rPr>
                <w:lang w:val="fr-FR"/>
              </w:rPr>
              <w:t> </w:t>
            </w:r>
            <w:r w:rsidRPr="00567409">
              <w:rPr>
                <w:lang w:val="fr-FR"/>
              </w:rPr>
              <w:t>Taylor</w:t>
            </w:r>
            <w:r w:rsidRPr="00F61BEA">
              <w:rPr>
                <w:lang w:val="fr-FR"/>
              </w:rPr>
              <w:t xml:space="preserve"> est décédée peu après à l</w:t>
            </w:r>
            <w:r>
              <w:rPr>
                <w:lang w:val="fr-FR"/>
              </w:rPr>
              <w:t>’</w:t>
            </w:r>
            <w:r w:rsidRPr="00F61BEA">
              <w:rPr>
                <w:lang w:val="fr-FR"/>
              </w:rPr>
              <w:t>hôpital local</w:t>
            </w:r>
            <w:r w:rsidRPr="00293268">
              <w:rPr>
                <w:lang w:val="fr-FR"/>
              </w:rPr>
              <w:t>.</w:t>
            </w:r>
          </w:p>
        </w:tc>
      </w:tr>
      <w:tr w:rsidR="004F64E4" w:rsidRPr="00BB700C" w14:paraId="63EF9FC2" w14:textId="77777777" w:rsidTr="00BE3A5F">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A9B53ED" w14:textId="77777777" w:rsidR="004F64E4" w:rsidRPr="00BB700C" w:rsidRDefault="004F64E4" w:rsidP="00BE3A5F"/>
        </w:tc>
      </w:tr>
    </w:tbl>
    <w:p w14:paraId="13B78778" w14:textId="6326DC4D" w:rsidR="00D301C6" w:rsidRPr="00293268" w:rsidRDefault="00D301C6" w:rsidP="00D32E2B">
      <w:pPr>
        <w:pStyle w:val="SingleTxtG"/>
        <w:spacing w:before="240"/>
        <w:rPr>
          <w:lang w:val="fr-FR"/>
        </w:rPr>
      </w:pPr>
      <w:r w:rsidRPr="00293268">
        <w:rPr>
          <w:lang w:val="fr-FR"/>
        </w:rPr>
        <w:t>118.</w:t>
      </w:r>
      <w:r w:rsidRPr="00293268">
        <w:rPr>
          <w:lang w:val="fr-FR"/>
        </w:rPr>
        <w:tab/>
      </w:r>
      <w:r w:rsidRPr="006F23F8">
        <w:rPr>
          <w:lang w:val="fr-FR"/>
        </w:rPr>
        <w:t>L</w:t>
      </w:r>
      <w:r>
        <w:rPr>
          <w:lang w:val="fr-FR"/>
        </w:rPr>
        <w:t>’affaire</w:t>
      </w:r>
      <w:r w:rsidRPr="006F23F8">
        <w:rPr>
          <w:lang w:val="fr-FR"/>
        </w:rPr>
        <w:t xml:space="preserve"> suivant</w:t>
      </w:r>
      <w:r>
        <w:rPr>
          <w:lang w:val="fr-FR"/>
        </w:rPr>
        <w:t>e</w:t>
      </w:r>
      <w:r w:rsidRPr="006F23F8">
        <w:rPr>
          <w:lang w:val="fr-FR"/>
        </w:rPr>
        <w:t>, concernant João Pedro Matos Pinto, est également représentati</w:t>
      </w:r>
      <w:r>
        <w:rPr>
          <w:lang w:val="fr-FR"/>
        </w:rPr>
        <w:t>ve</w:t>
      </w:r>
      <w:r w:rsidRPr="006F23F8">
        <w:rPr>
          <w:lang w:val="fr-FR"/>
        </w:rPr>
        <w:t xml:space="preserve"> d</w:t>
      </w:r>
      <w:r>
        <w:rPr>
          <w:lang w:val="fr-FR"/>
        </w:rPr>
        <w:t>’</w:t>
      </w:r>
      <w:r w:rsidRPr="006F23F8">
        <w:rPr>
          <w:lang w:val="fr-FR"/>
        </w:rPr>
        <w:t>un décès lors d</w:t>
      </w:r>
      <w:r>
        <w:rPr>
          <w:lang w:val="fr-FR"/>
        </w:rPr>
        <w:t>’</w:t>
      </w:r>
      <w:r w:rsidRPr="006F23F8">
        <w:rPr>
          <w:lang w:val="fr-FR"/>
        </w:rPr>
        <w:t>une opération antidrogue</w:t>
      </w:r>
      <w:r w:rsidR="00751864">
        <w:rPr>
          <w:lang w:val="fr-FR"/>
        </w:rPr>
        <w:t>s</w:t>
      </w:r>
      <w:r w:rsidRPr="006F23F8">
        <w:rPr>
          <w:lang w:val="fr-FR"/>
        </w:rPr>
        <w:t>. Survenu</w:t>
      </w:r>
      <w:r w:rsidR="00751864">
        <w:rPr>
          <w:lang w:val="fr-FR"/>
        </w:rPr>
        <w:t>e</w:t>
      </w:r>
      <w:r w:rsidRPr="006F23F8">
        <w:rPr>
          <w:lang w:val="fr-FR"/>
        </w:rPr>
        <w:t xml:space="preserve"> dans une </w:t>
      </w:r>
      <w:r w:rsidRPr="00751864">
        <w:rPr>
          <w:i/>
          <w:iCs/>
          <w:lang w:val="fr-FR"/>
        </w:rPr>
        <w:t>favela</w:t>
      </w:r>
      <w:r w:rsidRPr="006F23F8">
        <w:rPr>
          <w:lang w:val="fr-FR"/>
        </w:rPr>
        <w:t xml:space="preserve"> au Brésil, </w:t>
      </w:r>
      <w:r>
        <w:rPr>
          <w:lang w:val="fr-FR"/>
        </w:rPr>
        <w:t xml:space="preserve">elle </w:t>
      </w:r>
      <w:r w:rsidRPr="006F23F8">
        <w:rPr>
          <w:lang w:val="fr-FR"/>
        </w:rPr>
        <w:t xml:space="preserve">illustre également </w:t>
      </w:r>
      <w:r>
        <w:rPr>
          <w:lang w:val="fr-FR"/>
        </w:rPr>
        <w:t>les conséquences</w:t>
      </w:r>
      <w:r w:rsidRPr="006F23F8">
        <w:rPr>
          <w:lang w:val="fr-FR"/>
        </w:rPr>
        <w:t xml:space="preserve"> disproportionné</w:t>
      </w:r>
      <w:r>
        <w:rPr>
          <w:lang w:val="fr-FR"/>
        </w:rPr>
        <w:t>es</w:t>
      </w:r>
      <w:r w:rsidRPr="006F23F8">
        <w:rPr>
          <w:lang w:val="fr-FR"/>
        </w:rPr>
        <w:t xml:space="preserve"> de certaines politiques de sécurité publique </w:t>
      </w:r>
      <w:r>
        <w:rPr>
          <w:lang w:val="fr-FR"/>
        </w:rPr>
        <w:t>pour</w:t>
      </w:r>
      <w:r w:rsidRPr="006F23F8">
        <w:rPr>
          <w:lang w:val="fr-FR"/>
        </w:rPr>
        <w:t xml:space="preserve"> les </w:t>
      </w:r>
      <w:r>
        <w:rPr>
          <w:lang w:val="fr-FR"/>
        </w:rPr>
        <w:t>populations</w:t>
      </w:r>
      <w:r w:rsidRPr="006F23F8">
        <w:rPr>
          <w:lang w:val="fr-FR"/>
        </w:rPr>
        <w:t xml:space="preserve"> d</w:t>
      </w:r>
      <w:r>
        <w:rPr>
          <w:lang w:val="fr-FR"/>
        </w:rPr>
        <w:t>’</w:t>
      </w:r>
      <w:r w:rsidRPr="006F23F8">
        <w:rPr>
          <w:lang w:val="fr-FR"/>
        </w:rPr>
        <w:t>ascendance africaine</w:t>
      </w:r>
      <w:r w:rsidRPr="00CD6B67">
        <w:rPr>
          <w:rStyle w:val="FootnoteReference"/>
        </w:rPr>
        <w:footnoteReference w:id="344"/>
      </w:r>
      <w:r>
        <w:rPr>
          <w:lang w:val="fr-FR"/>
        </w:rPr>
        <w:t>.</w:t>
      </w:r>
      <w:r w:rsidRPr="00293268">
        <w:rPr>
          <w:lang w:val="fr-FR"/>
        </w:rPr>
        <w:t xml:space="preserve"> </w:t>
      </w:r>
      <w:r w:rsidRPr="00DA5D2D">
        <w:rPr>
          <w:lang w:val="fr-FR"/>
        </w:rPr>
        <w:t xml:space="preserve">La militarisation progressive des politiques de sécurité a été liée à un nombre élevé de </w:t>
      </w:r>
      <w:r>
        <w:rPr>
          <w:lang w:val="fr-FR"/>
        </w:rPr>
        <w:t>décè</w:t>
      </w:r>
      <w:r w:rsidRPr="00DA5D2D">
        <w:rPr>
          <w:lang w:val="fr-FR"/>
        </w:rPr>
        <w:t>s, notamment dans le cadre d</w:t>
      </w:r>
      <w:r>
        <w:rPr>
          <w:lang w:val="fr-FR"/>
        </w:rPr>
        <w:t>’</w:t>
      </w:r>
      <w:r w:rsidRPr="00DA5D2D">
        <w:rPr>
          <w:lang w:val="fr-FR"/>
        </w:rPr>
        <w:t>opérations menées par la police militaire</w:t>
      </w:r>
      <w:r w:rsidRPr="00CD6B67">
        <w:rPr>
          <w:rStyle w:val="FootnoteReference"/>
        </w:rPr>
        <w:footnoteReference w:id="345"/>
      </w:r>
      <w:r>
        <w:rPr>
          <w:lang w:val="fr-FR"/>
        </w:rPr>
        <w:t>.</w:t>
      </w:r>
      <w:r w:rsidRPr="00293268">
        <w:rPr>
          <w:lang w:val="fr-FR"/>
        </w:rPr>
        <w:t xml:space="preserve"> </w:t>
      </w:r>
      <w:r w:rsidRPr="00135B27">
        <w:rPr>
          <w:lang w:val="fr-FR"/>
        </w:rPr>
        <w:t>En 2020, l</w:t>
      </w:r>
      <w:r>
        <w:rPr>
          <w:lang w:val="fr-FR"/>
        </w:rPr>
        <w:t>’</w:t>
      </w:r>
      <w:r w:rsidRPr="00135B27">
        <w:rPr>
          <w:lang w:val="fr-FR"/>
        </w:rPr>
        <w:t>ONU et la Commission interaméricaine des droits de l</w:t>
      </w:r>
      <w:r>
        <w:rPr>
          <w:lang w:val="fr-FR"/>
        </w:rPr>
        <w:t>’</w:t>
      </w:r>
      <w:r w:rsidRPr="00135B27">
        <w:rPr>
          <w:lang w:val="fr-FR"/>
        </w:rPr>
        <w:t>homme ont exprimé leur inquiétude concernant la mort de João Pedro Matos Pinto et l</w:t>
      </w:r>
      <w:r>
        <w:rPr>
          <w:lang w:val="fr-FR"/>
        </w:rPr>
        <w:t>’</w:t>
      </w:r>
      <w:r w:rsidRPr="00135B27">
        <w:rPr>
          <w:lang w:val="fr-FR"/>
        </w:rPr>
        <w:t>augmentation des interventions policières mortelles au Brésil, qui touche</w:t>
      </w:r>
      <w:r>
        <w:rPr>
          <w:lang w:val="fr-FR"/>
        </w:rPr>
        <w:t>nt</w:t>
      </w:r>
      <w:r w:rsidRPr="00135B27">
        <w:rPr>
          <w:lang w:val="fr-FR"/>
        </w:rPr>
        <w:t xml:space="preserve"> plus particulièrement les personnes d</w:t>
      </w:r>
      <w:r>
        <w:rPr>
          <w:lang w:val="fr-FR"/>
        </w:rPr>
        <w:t>’</w:t>
      </w:r>
      <w:r w:rsidRPr="00135B27">
        <w:rPr>
          <w:lang w:val="fr-FR"/>
        </w:rPr>
        <w:t>ascendance africaine</w:t>
      </w:r>
      <w:r w:rsidRPr="00CD6B67">
        <w:rPr>
          <w:rStyle w:val="FootnoteReference"/>
        </w:rPr>
        <w:footnoteReference w:id="346"/>
      </w:r>
      <w:r>
        <w:rPr>
          <w:lang w:val="fr-FR"/>
        </w:rPr>
        <w:t>.</w:t>
      </w:r>
      <w:r w:rsidRPr="00293268">
        <w:rPr>
          <w:lang w:val="fr-FR"/>
        </w:rPr>
        <w:t xml:space="preserve"> </w:t>
      </w:r>
      <w:r w:rsidRPr="00C6354E">
        <w:rPr>
          <w:lang w:val="fr-FR"/>
        </w:rPr>
        <w:t xml:space="preserve">En juin 2020, la Cour suprême du Brésil a interdit les opérations de la police militaire dans les </w:t>
      </w:r>
      <w:r w:rsidRPr="00BA7BE5">
        <w:rPr>
          <w:i/>
          <w:iCs/>
          <w:lang w:val="fr-FR"/>
        </w:rPr>
        <w:t>favelas</w:t>
      </w:r>
      <w:r w:rsidRPr="00C6354E">
        <w:rPr>
          <w:lang w:val="fr-FR"/>
        </w:rPr>
        <w:t xml:space="preserve"> de Rio de Janeiro pendant la pandémie de COVID-19</w:t>
      </w:r>
      <w:r w:rsidRPr="00CD6B67">
        <w:rPr>
          <w:rStyle w:val="FootnoteReference"/>
        </w:rPr>
        <w:footnoteReference w:id="347"/>
      </w:r>
      <w:r>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BA7BE5" w14:paraId="0CD3A6A8" w14:textId="77777777" w:rsidTr="00BE3A5F">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B920B98" w14:textId="77777777" w:rsidR="00BA7BE5" w:rsidRDefault="00BA7BE5" w:rsidP="00BE3A5F">
            <w:pPr>
              <w:keepNext/>
            </w:pPr>
          </w:p>
        </w:tc>
      </w:tr>
      <w:tr w:rsidR="00BA7BE5" w:rsidRPr="00E21F93" w14:paraId="438DB208" w14:textId="77777777" w:rsidTr="00BE3A5F">
        <w:trPr>
          <w:jc w:val="center"/>
        </w:trPr>
        <w:tc>
          <w:tcPr>
            <w:tcW w:w="7653" w:type="dxa"/>
            <w:tcBorders>
              <w:left w:val="single" w:sz="4" w:space="0" w:color="auto"/>
              <w:bottom w:val="nil"/>
              <w:right w:val="single" w:sz="4" w:space="0" w:color="auto"/>
            </w:tcBorders>
            <w:shd w:val="clear" w:color="auto" w:fill="auto"/>
          </w:tcPr>
          <w:p w14:paraId="2EAD25BE" w14:textId="0D53591A" w:rsidR="00BA7BE5" w:rsidRPr="00BA7BE5" w:rsidRDefault="00BA7BE5" w:rsidP="00BE3A5F">
            <w:pPr>
              <w:keepNext/>
              <w:spacing w:after="120"/>
              <w:rPr>
                <w:lang w:val="es-ES"/>
              </w:rPr>
            </w:pPr>
            <w:r w:rsidRPr="00813782">
              <w:rPr>
                <w:b/>
                <w:lang w:val="es-ES"/>
              </w:rPr>
              <w:t>João Pedro Matos Pinto, 14 ans</w:t>
            </w:r>
            <w:r>
              <w:rPr>
                <w:b/>
                <w:lang w:val="es-ES"/>
              </w:rPr>
              <w:br/>
            </w:r>
            <w:r w:rsidRPr="00813782">
              <w:rPr>
                <w:b/>
                <w:lang w:val="es-ES"/>
              </w:rPr>
              <w:t>18 mai 2020, Rio de Janeiro</w:t>
            </w:r>
            <w:r>
              <w:rPr>
                <w:b/>
                <w:lang w:val="es-ES"/>
              </w:rPr>
              <w:t xml:space="preserve"> (</w:t>
            </w:r>
            <w:r w:rsidRPr="00813782">
              <w:rPr>
                <w:b/>
                <w:lang w:val="es-ES"/>
              </w:rPr>
              <w:t>Brésil</w:t>
            </w:r>
            <w:r>
              <w:rPr>
                <w:b/>
                <w:lang w:val="es-ES"/>
              </w:rPr>
              <w:t>)</w:t>
            </w:r>
          </w:p>
        </w:tc>
      </w:tr>
      <w:tr w:rsidR="00BA7BE5" w:rsidRPr="00BA7BE5" w14:paraId="772A0C6A" w14:textId="77777777" w:rsidTr="00BE3A5F">
        <w:trPr>
          <w:jc w:val="center"/>
        </w:trPr>
        <w:tc>
          <w:tcPr>
            <w:tcW w:w="7653" w:type="dxa"/>
            <w:tcBorders>
              <w:left w:val="single" w:sz="4" w:space="0" w:color="auto"/>
              <w:bottom w:val="nil"/>
              <w:right w:val="single" w:sz="4" w:space="0" w:color="auto"/>
            </w:tcBorders>
            <w:shd w:val="clear" w:color="auto" w:fill="auto"/>
          </w:tcPr>
          <w:p w14:paraId="2DF3A5BD" w14:textId="20AE9395" w:rsidR="00BA7BE5" w:rsidRPr="00E21F93" w:rsidRDefault="00B42973" w:rsidP="00BE3A5F">
            <w:pPr>
              <w:spacing w:after="120"/>
              <w:ind w:firstLine="567"/>
              <w:jc w:val="both"/>
              <w:rPr>
                <w:i/>
              </w:rPr>
            </w:pPr>
            <w:r w:rsidRPr="00B42973">
              <w:rPr>
                <w:iCs/>
                <w:lang w:val="fr-FR"/>
              </w:rPr>
              <w:t>«</w:t>
            </w:r>
            <w:r>
              <w:rPr>
                <w:iCs/>
                <w:lang w:val="fr-FR"/>
              </w:rPr>
              <w:t> </w:t>
            </w:r>
            <w:r w:rsidRPr="00530B84">
              <w:rPr>
                <w:i/>
                <w:lang w:val="fr-FR"/>
              </w:rPr>
              <w:t xml:space="preserve">Les familles de Rio de Janeiro [ne devraient] plus être </w:t>
            </w:r>
            <w:r w:rsidRPr="00E419A3">
              <w:rPr>
                <w:i/>
                <w:lang w:val="fr-FR"/>
              </w:rPr>
              <w:t>victimes d</w:t>
            </w:r>
            <w:r>
              <w:rPr>
                <w:i/>
                <w:lang w:val="fr-FR"/>
              </w:rPr>
              <w:t>’</w:t>
            </w:r>
            <w:r w:rsidRPr="00E20CA5">
              <w:rPr>
                <w:i/>
                <w:lang w:val="fr-FR"/>
              </w:rPr>
              <w:t>assassinat</w:t>
            </w:r>
            <w:r>
              <w:rPr>
                <w:i/>
                <w:lang w:val="fr-FR"/>
              </w:rPr>
              <w:t>s,</w:t>
            </w:r>
            <w:r w:rsidRPr="00E20CA5">
              <w:rPr>
                <w:i/>
                <w:lang w:val="fr-FR"/>
              </w:rPr>
              <w:t xml:space="preserve"> par la police</w:t>
            </w:r>
            <w:r>
              <w:rPr>
                <w:i/>
                <w:lang w:val="fr-FR"/>
              </w:rPr>
              <w:t>,</w:t>
            </w:r>
            <w:r w:rsidRPr="00530B84">
              <w:rPr>
                <w:i/>
                <w:lang w:val="fr-FR"/>
              </w:rPr>
              <w:t xml:space="preserve"> de personnes d</w:t>
            </w:r>
            <w:r>
              <w:rPr>
                <w:i/>
                <w:lang w:val="fr-FR"/>
              </w:rPr>
              <w:t>’</w:t>
            </w:r>
            <w:r w:rsidRPr="00530B84">
              <w:rPr>
                <w:i/>
                <w:lang w:val="fr-FR"/>
              </w:rPr>
              <w:t>ascendance africaine, en particulier d</w:t>
            </w:r>
            <w:r>
              <w:rPr>
                <w:i/>
                <w:lang w:val="fr-FR"/>
              </w:rPr>
              <w:t>’</w:t>
            </w:r>
            <w:r w:rsidRPr="00530B84">
              <w:rPr>
                <w:i/>
                <w:lang w:val="fr-FR"/>
              </w:rPr>
              <w:t>enfants. Ces crimes ne doivent pas rester impunis</w:t>
            </w:r>
            <w:r w:rsidRPr="00B42973">
              <w:rPr>
                <w:iCs/>
                <w:lang w:val="fr-FR"/>
              </w:rPr>
              <w:t>.</w:t>
            </w:r>
            <w:r>
              <w:rPr>
                <w:iCs/>
                <w:lang w:val="fr-FR"/>
              </w:rPr>
              <w:t> </w:t>
            </w:r>
            <w:r w:rsidRPr="00B42973">
              <w:rPr>
                <w:iCs/>
                <w:lang w:val="fr-FR"/>
              </w:rPr>
              <w:t>»</w:t>
            </w:r>
            <w:r w:rsidRPr="00293268">
              <w:rPr>
                <w:i/>
                <w:lang w:val="fr-FR"/>
              </w:rPr>
              <w:t xml:space="preserve"> </w:t>
            </w:r>
            <w:r w:rsidRPr="00293268">
              <w:rPr>
                <w:lang w:val="fr-FR"/>
              </w:rPr>
              <w:t>(</w:t>
            </w:r>
            <w:r>
              <w:rPr>
                <w:lang w:val="fr-FR"/>
              </w:rPr>
              <w:t xml:space="preserve">les parents de </w:t>
            </w:r>
            <w:r w:rsidRPr="00293268">
              <w:rPr>
                <w:lang w:val="fr-FR"/>
              </w:rPr>
              <w:t>João Pedro Matos Pinto)</w:t>
            </w:r>
          </w:p>
        </w:tc>
      </w:tr>
      <w:tr w:rsidR="00BA7BE5" w:rsidRPr="007672F2" w14:paraId="4976E774" w14:textId="77777777" w:rsidTr="00BE3A5F">
        <w:trPr>
          <w:jc w:val="center"/>
        </w:trPr>
        <w:tc>
          <w:tcPr>
            <w:tcW w:w="7653" w:type="dxa"/>
            <w:tcBorders>
              <w:left w:val="single" w:sz="4" w:space="0" w:color="auto"/>
              <w:bottom w:val="nil"/>
              <w:right w:val="single" w:sz="4" w:space="0" w:color="auto"/>
            </w:tcBorders>
            <w:shd w:val="clear" w:color="auto" w:fill="auto"/>
          </w:tcPr>
          <w:p w14:paraId="232B26A9" w14:textId="4CDF134A" w:rsidR="00BA7BE5" w:rsidRPr="007672F2" w:rsidRDefault="00390860" w:rsidP="00BE3A5F">
            <w:pPr>
              <w:spacing w:after="120"/>
              <w:ind w:firstLine="567"/>
              <w:jc w:val="both"/>
            </w:pPr>
            <w:r w:rsidRPr="001D194A">
              <w:rPr>
                <w:lang w:val="fr-FR"/>
              </w:rPr>
              <w:t xml:space="preserve">Selon les informations reçues, le 18 mai 2020, João Pedro Matos Pinto, jeune </w:t>
            </w:r>
            <w:r w:rsidR="00C90069">
              <w:rPr>
                <w:lang w:val="fr-FR"/>
              </w:rPr>
              <w:t>A</w:t>
            </w:r>
            <w:r w:rsidRPr="001D194A">
              <w:rPr>
                <w:lang w:val="fr-FR"/>
              </w:rPr>
              <w:t>fro</w:t>
            </w:r>
            <w:r w:rsidR="00C90069">
              <w:rPr>
                <w:lang w:val="fr-FR"/>
              </w:rPr>
              <w:noBreakHyphen/>
              <w:t>B</w:t>
            </w:r>
            <w:r w:rsidRPr="001D194A">
              <w:rPr>
                <w:lang w:val="fr-FR"/>
              </w:rPr>
              <w:t>résilien de 14 ans, a été tué lors d</w:t>
            </w:r>
            <w:r>
              <w:rPr>
                <w:lang w:val="fr-FR"/>
              </w:rPr>
              <w:t>’</w:t>
            </w:r>
            <w:r w:rsidRPr="001D194A">
              <w:rPr>
                <w:lang w:val="fr-FR"/>
              </w:rPr>
              <w:t>une opération antidrogue</w:t>
            </w:r>
            <w:r w:rsidR="00C90069">
              <w:rPr>
                <w:lang w:val="fr-FR"/>
              </w:rPr>
              <w:t>s</w:t>
            </w:r>
            <w:r w:rsidRPr="001D194A">
              <w:rPr>
                <w:lang w:val="fr-FR"/>
              </w:rPr>
              <w:t xml:space="preserve"> menée conjointement par </w:t>
            </w:r>
            <w:r>
              <w:rPr>
                <w:lang w:val="fr-FR"/>
              </w:rPr>
              <w:t xml:space="preserve">les forces de </w:t>
            </w:r>
            <w:r w:rsidRPr="001D194A">
              <w:rPr>
                <w:lang w:val="fr-FR"/>
              </w:rPr>
              <w:t>police civile et militaire de l</w:t>
            </w:r>
            <w:r>
              <w:rPr>
                <w:lang w:val="fr-FR"/>
              </w:rPr>
              <w:t>’</w:t>
            </w:r>
            <w:r w:rsidRPr="001D194A">
              <w:rPr>
                <w:lang w:val="fr-FR"/>
              </w:rPr>
              <w:t>État de Rio de Janeiro et la police fédérale de São Gonçalo. João Pedro jouait avec des amis devant la maison de son oncle lorsqu</w:t>
            </w:r>
            <w:r>
              <w:rPr>
                <w:lang w:val="fr-FR"/>
              </w:rPr>
              <w:t>’</w:t>
            </w:r>
            <w:r w:rsidRPr="001D194A">
              <w:rPr>
                <w:lang w:val="fr-FR"/>
              </w:rPr>
              <w:t>ils ont entendu des coups de feu tirés depuis un hélicoptère</w:t>
            </w:r>
            <w:r>
              <w:rPr>
                <w:lang w:val="fr-FR"/>
              </w:rPr>
              <w:t>. Ils se sont alors réfugiés</w:t>
            </w:r>
            <w:r w:rsidRPr="001D194A">
              <w:rPr>
                <w:lang w:val="fr-FR"/>
              </w:rPr>
              <w:t xml:space="preserve"> dans la maison. Des agents de l</w:t>
            </w:r>
            <w:r>
              <w:rPr>
                <w:lang w:val="fr-FR"/>
              </w:rPr>
              <w:t>’</w:t>
            </w:r>
            <w:r w:rsidRPr="001D194A">
              <w:rPr>
                <w:lang w:val="fr-FR"/>
              </w:rPr>
              <w:t xml:space="preserve">unité tactique spéciale de la police civile (CORE) auraient fait irruption dans la cour et tiré </w:t>
            </w:r>
            <w:r>
              <w:rPr>
                <w:lang w:val="fr-FR"/>
              </w:rPr>
              <w:t>sur</w:t>
            </w:r>
            <w:r w:rsidRPr="001D194A">
              <w:rPr>
                <w:lang w:val="fr-FR"/>
              </w:rPr>
              <w:t xml:space="preserve"> la maison, touchant et tuant João Pedro. </w:t>
            </w:r>
            <w:r>
              <w:rPr>
                <w:lang w:val="fr-FR"/>
              </w:rPr>
              <w:t xml:space="preserve">Celui-ci </w:t>
            </w:r>
            <w:r w:rsidRPr="001D194A">
              <w:rPr>
                <w:lang w:val="fr-FR"/>
              </w:rPr>
              <w:t>a été transporté par un hélicoptère de la CORE vers un héliport, où son décès a été constaté quelques heures plus tard. Selon les agents de la police civile qui ont participé à l</w:t>
            </w:r>
            <w:r>
              <w:rPr>
                <w:lang w:val="fr-FR"/>
              </w:rPr>
              <w:t>’</w:t>
            </w:r>
            <w:r w:rsidRPr="001D194A">
              <w:rPr>
                <w:lang w:val="fr-FR"/>
              </w:rPr>
              <w:t>opération, João Pedro a été pris dans des échanges de coups de feu entre la police et les trafiquants de drogue</w:t>
            </w:r>
            <w:r w:rsidR="00FB5021">
              <w:rPr>
                <w:lang w:val="fr-FR"/>
              </w:rPr>
              <w:t>s</w:t>
            </w:r>
            <w:r w:rsidRPr="001D194A">
              <w:rPr>
                <w:lang w:val="fr-FR"/>
              </w:rPr>
              <w:t>, qui tentaient de s</w:t>
            </w:r>
            <w:r>
              <w:rPr>
                <w:lang w:val="fr-FR"/>
              </w:rPr>
              <w:t>’</w:t>
            </w:r>
            <w:r w:rsidRPr="001D194A">
              <w:rPr>
                <w:lang w:val="fr-FR"/>
              </w:rPr>
              <w:t>enfuir</w:t>
            </w:r>
            <w:r w:rsidRPr="00293268">
              <w:rPr>
                <w:lang w:val="fr-FR"/>
              </w:rPr>
              <w:t>.</w:t>
            </w:r>
          </w:p>
        </w:tc>
      </w:tr>
      <w:tr w:rsidR="00BA7BE5" w:rsidRPr="007672F2" w14:paraId="40E1E7D9" w14:textId="77777777" w:rsidTr="00BE3A5F">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19A209C" w14:textId="77777777" w:rsidR="00BA7BE5" w:rsidRPr="007672F2" w:rsidRDefault="00BA7BE5" w:rsidP="00BE3A5F"/>
        </w:tc>
      </w:tr>
    </w:tbl>
    <w:p w14:paraId="3F4C954C" w14:textId="51EF321F" w:rsidR="00D301C6" w:rsidRPr="00293268" w:rsidRDefault="00D301C6" w:rsidP="00390860">
      <w:pPr>
        <w:pStyle w:val="SingleTxtG"/>
        <w:spacing w:before="240"/>
        <w:rPr>
          <w:lang w:val="fr-FR"/>
        </w:rPr>
      </w:pPr>
      <w:r w:rsidRPr="00293268">
        <w:rPr>
          <w:lang w:val="fr-FR"/>
        </w:rPr>
        <w:t>119.</w:t>
      </w:r>
      <w:r w:rsidRPr="00293268">
        <w:rPr>
          <w:lang w:val="fr-FR"/>
        </w:rPr>
        <w:tab/>
      </w:r>
      <w:r w:rsidRPr="00832D59">
        <w:rPr>
          <w:lang w:val="fr-FR"/>
        </w:rPr>
        <w:t>Dans un certain nombre d</w:t>
      </w:r>
      <w:r>
        <w:rPr>
          <w:lang w:val="fr-FR"/>
        </w:rPr>
        <w:t>’</w:t>
      </w:r>
      <w:r w:rsidRPr="00832D59">
        <w:rPr>
          <w:lang w:val="fr-FR"/>
        </w:rPr>
        <w:t xml:space="preserve">États, les interventions policières antigang sont souvent menées dans </w:t>
      </w:r>
      <w:r>
        <w:rPr>
          <w:lang w:val="fr-FR"/>
        </w:rPr>
        <w:t>d</w:t>
      </w:r>
      <w:r w:rsidRPr="00832D59">
        <w:rPr>
          <w:lang w:val="fr-FR"/>
        </w:rPr>
        <w:t xml:space="preserve">es </w:t>
      </w:r>
      <w:r>
        <w:rPr>
          <w:lang w:val="fr-FR"/>
        </w:rPr>
        <w:t xml:space="preserve">quartiers où vivent des </w:t>
      </w:r>
      <w:r w:rsidRPr="00832D59">
        <w:rPr>
          <w:lang w:val="fr-FR"/>
        </w:rPr>
        <w:t>personnes d</w:t>
      </w:r>
      <w:r>
        <w:rPr>
          <w:lang w:val="fr-FR"/>
        </w:rPr>
        <w:t>’</w:t>
      </w:r>
      <w:r w:rsidRPr="00832D59">
        <w:rPr>
          <w:lang w:val="fr-FR"/>
        </w:rPr>
        <w:t>ascendance africaine</w:t>
      </w:r>
      <w:r>
        <w:rPr>
          <w:lang w:val="fr-FR"/>
        </w:rPr>
        <w:t>, tant les</w:t>
      </w:r>
      <w:r w:rsidRPr="00832D59">
        <w:rPr>
          <w:lang w:val="fr-FR"/>
        </w:rPr>
        <w:t xml:space="preserve"> préjugés raciaux et les stéréotypes associant ces </w:t>
      </w:r>
      <w:r>
        <w:rPr>
          <w:lang w:val="fr-FR"/>
        </w:rPr>
        <w:t>populations</w:t>
      </w:r>
      <w:r w:rsidRPr="00832D59">
        <w:rPr>
          <w:lang w:val="fr-FR"/>
        </w:rPr>
        <w:t xml:space="preserve"> à la criminalité semblent particulièrement influencer les opérations de police. Selon les informations reçues, les policiers impliqués sont rarement poursuivis </w:t>
      </w:r>
      <w:r>
        <w:rPr>
          <w:lang w:val="fr-FR"/>
        </w:rPr>
        <w:t>en justice,</w:t>
      </w:r>
      <w:r w:rsidRPr="00832D59">
        <w:rPr>
          <w:lang w:val="fr-FR"/>
        </w:rPr>
        <w:t xml:space="preserve"> les autorités f</w:t>
      </w:r>
      <w:r>
        <w:rPr>
          <w:lang w:val="fr-FR"/>
        </w:rPr>
        <w:t>aisan</w:t>
      </w:r>
      <w:r w:rsidRPr="00832D59">
        <w:rPr>
          <w:lang w:val="fr-FR"/>
        </w:rPr>
        <w:t>t valoir que les décès ont eu lieu dans le cadre d</w:t>
      </w:r>
      <w:r>
        <w:rPr>
          <w:lang w:val="fr-FR"/>
        </w:rPr>
        <w:t>’</w:t>
      </w:r>
      <w:r w:rsidRPr="00832D59">
        <w:rPr>
          <w:lang w:val="fr-FR"/>
        </w:rPr>
        <w:t>affrontements avec des gangs ou des trafiquants de drogue</w:t>
      </w:r>
      <w:r w:rsidR="007672F2">
        <w:rPr>
          <w:lang w:val="fr-FR"/>
        </w:rPr>
        <w:t>s</w:t>
      </w:r>
      <w:r w:rsidRPr="00832D59">
        <w:rPr>
          <w:lang w:val="fr-FR"/>
        </w:rPr>
        <w:t>, dans un contexte de «</w:t>
      </w:r>
      <w:r w:rsidR="007672F2">
        <w:rPr>
          <w:lang w:val="fr-FR"/>
        </w:rPr>
        <w:t> </w:t>
      </w:r>
      <w:r w:rsidRPr="00832D59">
        <w:rPr>
          <w:lang w:val="fr-FR"/>
        </w:rPr>
        <w:t>présomption de culpabilité</w:t>
      </w:r>
      <w:r w:rsidR="007672F2">
        <w:rPr>
          <w:lang w:val="fr-FR"/>
        </w:rPr>
        <w:t> </w:t>
      </w:r>
      <w:r w:rsidRPr="00832D59">
        <w:rPr>
          <w:lang w:val="fr-FR"/>
        </w:rPr>
        <w:t>» généralisée</w:t>
      </w:r>
      <w:r w:rsidRPr="00CD6B67">
        <w:rPr>
          <w:rStyle w:val="FootnoteReference"/>
        </w:rPr>
        <w:footnoteReference w:id="348"/>
      </w:r>
      <w:r>
        <w:rPr>
          <w:lang w:val="fr-FR"/>
        </w:rPr>
        <w:t>.</w:t>
      </w:r>
      <w:r w:rsidRPr="00293268">
        <w:rPr>
          <w:lang w:val="fr-FR"/>
        </w:rPr>
        <w:t xml:space="preserve"> </w:t>
      </w:r>
      <w:r>
        <w:rPr>
          <w:lang w:val="fr-FR"/>
        </w:rPr>
        <w:t>La dernière affaire</w:t>
      </w:r>
      <w:r w:rsidRPr="004B525A">
        <w:rPr>
          <w:lang w:val="fr-FR"/>
        </w:rPr>
        <w:t xml:space="preserve"> représentati</w:t>
      </w:r>
      <w:r>
        <w:rPr>
          <w:lang w:val="fr-FR"/>
        </w:rPr>
        <w:t>ve</w:t>
      </w:r>
      <w:r w:rsidRPr="004B525A">
        <w:rPr>
          <w:lang w:val="fr-FR"/>
        </w:rPr>
        <w:t xml:space="preserve"> ci-dessous concerne la mort d</w:t>
      </w:r>
      <w:r>
        <w:rPr>
          <w:lang w:val="fr-FR"/>
        </w:rPr>
        <w:t>’</w:t>
      </w:r>
      <w:r w:rsidRPr="004B525A">
        <w:rPr>
          <w:lang w:val="fr-FR"/>
        </w:rPr>
        <w:t xml:space="preserve">un jeune </w:t>
      </w:r>
      <w:r>
        <w:rPr>
          <w:lang w:val="fr-FR"/>
        </w:rPr>
        <w:t xml:space="preserve">homme </w:t>
      </w:r>
      <w:r w:rsidRPr="004B525A">
        <w:rPr>
          <w:lang w:val="fr-FR"/>
        </w:rPr>
        <w:t>d</w:t>
      </w:r>
      <w:r>
        <w:rPr>
          <w:lang w:val="fr-FR"/>
        </w:rPr>
        <w:t>’</w:t>
      </w:r>
      <w:r w:rsidRPr="004B525A">
        <w:rPr>
          <w:lang w:val="fr-FR"/>
        </w:rPr>
        <w:t>ascendance africain</w:t>
      </w:r>
      <w:r>
        <w:rPr>
          <w:lang w:val="fr-FR"/>
        </w:rPr>
        <w:t>e lors</w:t>
      </w:r>
      <w:r w:rsidRPr="004B525A">
        <w:rPr>
          <w:lang w:val="fr-FR"/>
        </w:rPr>
        <w:t xml:space="preserve"> d</w:t>
      </w:r>
      <w:r>
        <w:rPr>
          <w:lang w:val="fr-FR"/>
        </w:rPr>
        <w:t>’</w:t>
      </w:r>
      <w:r w:rsidRPr="004B525A">
        <w:rPr>
          <w:lang w:val="fr-FR"/>
        </w:rPr>
        <w:t xml:space="preserve">une </w:t>
      </w:r>
      <w:r>
        <w:rPr>
          <w:lang w:val="fr-FR"/>
        </w:rPr>
        <w:t>opération antigang menée par la police</w:t>
      </w:r>
      <w:r w:rsidRPr="004B525A">
        <w:rPr>
          <w:lang w:val="fr-FR"/>
        </w:rPr>
        <w:t xml:space="preserve"> </w:t>
      </w:r>
      <w:r>
        <w:rPr>
          <w:lang w:val="fr-FR"/>
        </w:rPr>
        <w:t>colombienne</w:t>
      </w:r>
      <w:r w:rsidRPr="00293268">
        <w:rPr>
          <w:lang w:val="fr-FR"/>
        </w:rP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672F2" w14:paraId="45F5257C" w14:textId="77777777" w:rsidTr="00BE3A5F">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062B636" w14:textId="77777777" w:rsidR="007672F2" w:rsidRDefault="007672F2" w:rsidP="00BE3A5F">
            <w:pPr>
              <w:keepNext/>
            </w:pPr>
          </w:p>
        </w:tc>
      </w:tr>
      <w:tr w:rsidR="007672F2" w:rsidRPr="00E21F93" w14:paraId="25CFAC98" w14:textId="77777777" w:rsidTr="00BE3A5F">
        <w:trPr>
          <w:jc w:val="center"/>
        </w:trPr>
        <w:tc>
          <w:tcPr>
            <w:tcW w:w="7653" w:type="dxa"/>
            <w:tcBorders>
              <w:left w:val="single" w:sz="4" w:space="0" w:color="auto"/>
              <w:bottom w:val="nil"/>
              <w:right w:val="single" w:sz="4" w:space="0" w:color="auto"/>
            </w:tcBorders>
            <w:shd w:val="clear" w:color="auto" w:fill="auto"/>
          </w:tcPr>
          <w:p w14:paraId="68ABE727" w14:textId="3C25E1C4" w:rsidR="007672F2" w:rsidRPr="00BA7BE5" w:rsidRDefault="007672F2" w:rsidP="00BE3A5F">
            <w:pPr>
              <w:keepNext/>
              <w:spacing w:after="120"/>
              <w:rPr>
                <w:lang w:val="es-ES"/>
              </w:rPr>
            </w:pPr>
            <w:r w:rsidRPr="00813782">
              <w:rPr>
                <w:b/>
                <w:lang w:val="es-ES"/>
              </w:rPr>
              <w:t>Janner García Palomino, 22 ans</w:t>
            </w:r>
            <w:r>
              <w:rPr>
                <w:b/>
                <w:lang w:val="es-ES"/>
              </w:rPr>
              <w:br/>
            </w:r>
            <w:r w:rsidRPr="00813782">
              <w:rPr>
                <w:b/>
                <w:lang w:val="es-ES"/>
              </w:rPr>
              <w:t>20 avril 2020, Puerto Tejada, Cauca</w:t>
            </w:r>
            <w:r>
              <w:rPr>
                <w:b/>
                <w:lang w:val="es-ES"/>
              </w:rPr>
              <w:t xml:space="preserve"> (</w:t>
            </w:r>
            <w:r w:rsidRPr="00813782">
              <w:rPr>
                <w:b/>
                <w:lang w:val="es-ES"/>
              </w:rPr>
              <w:t>Colombie</w:t>
            </w:r>
            <w:r>
              <w:rPr>
                <w:b/>
                <w:lang w:val="es-ES"/>
              </w:rPr>
              <w:t>)</w:t>
            </w:r>
          </w:p>
        </w:tc>
      </w:tr>
      <w:tr w:rsidR="007672F2" w:rsidRPr="007672F2" w14:paraId="147556B4" w14:textId="77777777" w:rsidTr="00BE3A5F">
        <w:trPr>
          <w:jc w:val="center"/>
        </w:trPr>
        <w:tc>
          <w:tcPr>
            <w:tcW w:w="7653" w:type="dxa"/>
            <w:tcBorders>
              <w:left w:val="single" w:sz="4" w:space="0" w:color="auto"/>
              <w:bottom w:val="nil"/>
              <w:right w:val="single" w:sz="4" w:space="0" w:color="auto"/>
            </w:tcBorders>
            <w:shd w:val="clear" w:color="auto" w:fill="auto"/>
          </w:tcPr>
          <w:p w14:paraId="2B1D0C80" w14:textId="1CE2AB28" w:rsidR="007672F2" w:rsidRPr="007672F2" w:rsidRDefault="007672F2" w:rsidP="00BE3A5F">
            <w:pPr>
              <w:spacing w:after="120"/>
              <w:ind w:firstLine="567"/>
              <w:jc w:val="both"/>
              <w:rPr>
                <w:i/>
                <w:lang w:val="es-ES"/>
              </w:rPr>
            </w:pPr>
            <w:r w:rsidRPr="007672F2">
              <w:rPr>
                <w:iCs/>
              </w:rPr>
              <w:t>« </w:t>
            </w:r>
            <w:r w:rsidRPr="00226443">
              <w:rPr>
                <w:i/>
                <w:lang w:val="fr-FR"/>
              </w:rPr>
              <w:t xml:space="preserve">Je veux que justice soit </w:t>
            </w:r>
            <w:r>
              <w:rPr>
                <w:i/>
                <w:lang w:val="fr-FR"/>
              </w:rPr>
              <w:t>rendue ;</w:t>
            </w:r>
            <w:r w:rsidRPr="00226443">
              <w:rPr>
                <w:i/>
                <w:lang w:val="fr-FR"/>
              </w:rPr>
              <w:t xml:space="preserve"> je veux que </w:t>
            </w:r>
            <w:r>
              <w:rPr>
                <w:i/>
                <w:lang w:val="fr-FR"/>
              </w:rPr>
              <w:t>le policier</w:t>
            </w:r>
            <w:r w:rsidRPr="00226443">
              <w:rPr>
                <w:i/>
                <w:lang w:val="fr-FR"/>
              </w:rPr>
              <w:t xml:space="preserve"> qui a tué mon fils, et qui m</w:t>
            </w:r>
            <w:r>
              <w:rPr>
                <w:i/>
                <w:lang w:val="fr-FR"/>
              </w:rPr>
              <w:t>’</w:t>
            </w:r>
            <w:r w:rsidRPr="00226443">
              <w:rPr>
                <w:i/>
                <w:lang w:val="fr-FR"/>
              </w:rPr>
              <w:t xml:space="preserve">a causé tant de </w:t>
            </w:r>
            <w:r>
              <w:rPr>
                <w:i/>
                <w:lang w:val="fr-FR"/>
              </w:rPr>
              <w:t>chagrin</w:t>
            </w:r>
            <w:r w:rsidRPr="00226443">
              <w:rPr>
                <w:i/>
                <w:lang w:val="fr-FR"/>
              </w:rPr>
              <w:t>, paie pour ce qu</w:t>
            </w:r>
            <w:r>
              <w:rPr>
                <w:i/>
                <w:lang w:val="fr-FR"/>
              </w:rPr>
              <w:t>’</w:t>
            </w:r>
            <w:r w:rsidRPr="00226443">
              <w:rPr>
                <w:i/>
                <w:lang w:val="fr-FR"/>
              </w:rPr>
              <w:t xml:space="preserve">il a fait. </w:t>
            </w:r>
            <w:r>
              <w:rPr>
                <w:i/>
                <w:lang w:val="fr-FR"/>
              </w:rPr>
              <w:t>E</w:t>
            </w:r>
            <w:r w:rsidRPr="00226443">
              <w:rPr>
                <w:i/>
                <w:lang w:val="fr-FR"/>
              </w:rPr>
              <w:t>ntendre dire que mon fils était un criminel armé</w:t>
            </w:r>
            <w:r>
              <w:rPr>
                <w:i/>
                <w:lang w:val="fr-FR"/>
              </w:rPr>
              <w:t xml:space="preserve"> est très douloureux</w:t>
            </w:r>
            <w:r w:rsidRPr="00226443">
              <w:rPr>
                <w:i/>
                <w:lang w:val="fr-FR"/>
              </w:rPr>
              <w:t>. Mon fils n</w:t>
            </w:r>
            <w:r>
              <w:rPr>
                <w:i/>
                <w:lang w:val="fr-FR"/>
              </w:rPr>
              <w:t>’</w:t>
            </w:r>
            <w:r w:rsidRPr="00226443">
              <w:rPr>
                <w:i/>
                <w:lang w:val="fr-FR"/>
              </w:rPr>
              <w:t>était pas un criminel</w:t>
            </w:r>
            <w:r>
              <w:rPr>
                <w:i/>
                <w:lang w:val="fr-FR"/>
              </w:rPr>
              <w:t> ;</w:t>
            </w:r>
            <w:r w:rsidRPr="00226443">
              <w:rPr>
                <w:i/>
                <w:lang w:val="fr-FR"/>
              </w:rPr>
              <w:t xml:space="preserve"> c</w:t>
            </w:r>
            <w:r>
              <w:rPr>
                <w:i/>
                <w:lang w:val="fr-FR"/>
              </w:rPr>
              <w:t>’</w:t>
            </w:r>
            <w:r w:rsidRPr="00226443">
              <w:rPr>
                <w:i/>
                <w:lang w:val="fr-FR"/>
              </w:rPr>
              <w:t>était un jeune homme honnête. Je demande que son cas et celui de nombreux autres soi</w:t>
            </w:r>
            <w:r>
              <w:rPr>
                <w:i/>
                <w:lang w:val="fr-FR"/>
              </w:rPr>
              <w:t>en</w:t>
            </w:r>
            <w:r w:rsidRPr="00226443">
              <w:rPr>
                <w:i/>
                <w:lang w:val="fr-FR"/>
              </w:rPr>
              <w:t>t examiné</w:t>
            </w:r>
            <w:r>
              <w:rPr>
                <w:i/>
                <w:lang w:val="fr-FR"/>
              </w:rPr>
              <w:t>s</w:t>
            </w:r>
            <w:r w:rsidRPr="00226443">
              <w:rPr>
                <w:i/>
                <w:lang w:val="fr-FR"/>
              </w:rPr>
              <w:t xml:space="preserve">, que la vérité soit établie, </w:t>
            </w:r>
            <w:r>
              <w:rPr>
                <w:i/>
                <w:lang w:val="fr-FR"/>
              </w:rPr>
              <w:t>qu’il soit</w:t>
            </w:r>
            <w:r w:rsidRPr="00226443">
              <w:rPr>
                <w:i/>
                <w:lang w:val="fr-FR"/>
              </w:rPr>
              <w:t xml:space="preserve"> blanchi et que justice soit rendue</w:t>
            </w:r>
            <w:r w:rsidRPr="00293268">
              <w:rPr>
                <w:i/>
                <w:lang w:val="fr-FR"/>
              </w:rPr>
              <w:t>.</w:t>
            </w:r>
            <w:r>
              <w:rPr>
                <w:i/>
                <w:lang w:val="fr-FR"/>
              </w:rPr>
              <w:t> </w:t>
            </w:r>
            <w:r w:rsidRPr="007672F2">
              <w:rPr>
                <w:iCs/>
              </w:rPr>
              <w:t>»</w:t>
            </w:r>
            <w:r w:rsidRPr="00293268">
              <w:rPr>
                <w:i/>
                <w:lang w:val="fr-FR"/>
              </w:rPr>
              <w:t xml:space="preserve"> </w:t>
            </w:r>
            <w:r w:rsidRPr="00293268">
              <w:rPr>
                <w:lang w:val="fr-FR"/>
              </w:rPr>
              <w:t>(</w:t>
            </w:r>
            <w:r>
              <w:rPr>
                <w:lang w:val="fr-FR"/>
              </w:rPr>
              <w:t xml:space="preserve">la mère de </w:t>
            </w:r>
            <w:r w:rsidRPr="00293268">
              <w:rPr>
                <w:lang w:val="fr-FR"/>
              </w:rPr>
              <w:t>Janner García Palomino)</w:t>
            </w:r>
          </w:p>
        </w:tc>
      </w:tr>
      <w:tr w:rsidR="007672F2" w:rsidRPr="007672F2" w14:paraId="3AEE4815" w14:textId="77777777" w:rsidTr="00BE3A5F">
        <w:trPr>
          <w:jc w:val="center"/>
        </w:trPr>
        <w:tc>
          <w:tcPr>
            <w:tcW w:w="7653" w:type="dxa"/>
            <w:tcBorders>
              <w:left w:val="single" w:sz="4" w:space="0" w:color="auto"/>
              <w:bottom w:val="nil"/>
              <w:right w:val="single" w:sz="4" w:space="0" w:color="auto"/>
            </w:tcBorders>
            <w:shd w:val="clear" w:color="auto" w:fill="auto"/>
          </w:tcPr>
          <w:p w14:paraId="748C06D0" w14:textId="290F589F" w:rsidR="007672F2" w:rsidRPr="007672F2" w:rsidRDefault="007672F2" w:rsidP="00BE3A5F">
            <w:pPr>
              <w:spacing w:after="120"/>
              <w:ind w:firstLine="567"/>
              <w:jc w:val="both"/>
            </w:pPr>
            <w:r w:rsidRPr="000E200C">
              <w:rPr>
                <w:lang w:val="fr-FR"/>
              </w:rPr>
              <w:t xml:space="preserve">Selon les informations reçues, dans la nuit du 20 avril 2020, Janner (Hanner) García Palomino, </w:t>
            </w:r>
            <w:r>
              <w:rPr>
                <w:lang w:val="fr-FR"/>
              </w:rPr>
              <w:t xml:space="preserve">jeune </w:t>
            </w:r>
            <w:r w:rsidR="00702E29">
              <w:rPr>
                <w:lang w:val="fr-FR"/>
              </w:rPr>
              <w:t>A</w:t>
            </w:r>
            <w:r w:rsidRPr="000E200C">
              <w:rPr>
                <w:lang w:val="fr-FR"/>
              </w:rPr>
              <w:t>fro-</w:t>
            </w:r>
            <w:r w:rsidR="00702E29">
              <w:rPr>
                <w:lang w:val="fr-FR"/>
              </w:rPr>
              <w:t>C</w:t>
            </w:r>
            <w:r w:rsidRPr="000E200C">
              <w:rPr>
                <w:lang w:val="fr-FR"/>
              </w:rPr>
              <w:t>olombien de 22 ans, aurait été abattu par un policier lors d</w:t>
            </w:r>
            <w:r>
              <w:rPr>
                <w:lang w:val="fr-FR"/>
              </w:rPr>
              <w:t>’</w:t>
            </w:r>
            <w:r w:rsidRPr="000E200C">
              <w:rPr>
                <w:lang w:val="fr-FR"/>
              </w:rPr>
              <w:t xml:space="preserve">une opération </w:t>
            </w:r>
            <w:r>
              <w:rPr>
                <w:lang w:val="fr-FR"/>
              </w:rPr>
              <w:t>menée par</w:t>
            </w:r>
            <w:r w:rsidRPr="000E200C">
              <w:rPr>
                <w:lang w:val="fr-FR"/>
              </w:rPr>
              <w:t xml:space="preserve"> la </w:t>
            </w:r>
            <w:r w:rsidR="00702E29">
              <w:rPr>
                <w:lang w:val="fr-FR"/>
              </w:rPr>
              <w:t>P</w:t>
            </w:r>
            <w:r w:rsidRPr="000E200C">
              <w:rPr>
                <w:lang w:val="fr-FR"/>
              </w:rPr>
              <w:t xml:space="preserve">olice nationale à </w:t>
            </w:r>
            <w:r>
              <w:rPr>
                <w:lang w:val="fr-FR"/>
              </w:rPr>
              <w:t xml:space="preserve">la suite </w:t>
            </w:r>
            <w:r w:rsidRPr="000E200C">
              <w:rPr>
                <w:lang w:val="fr-FR"/>
              </w:rPr>
              <w:t>d</w:t>
            </w:r>
            <w:r>
              <w:rPr>
                <w:lang w:val="fr-FR"/>
              </w:rPr>
              <w:t>’</w:t>
            </w:r>
            <w:r w:rsidRPr="000E200C">
              <w:rPr>
                <w:lang w:val="fr-FR"/>
              </w:rPr>
              <w:t>échanges de tirs entre gangs rivaux</w:t>
            </w:r>
            <w:r>
              <w:rPr>
                <w:lang w:val="fr-FR"/>
              </w:rPr>
              <w:t>,</w:t>
            </w:r>
            <w:r w:rsidRPr="000E200C">
              <w:rPr>
                <w:lang w:val="fr-FR"/>
              </w:rPr>
              <w:t xml:space="preserve"> dans un quartier proche du domicile de </w:t>
            </w:r>
            <w:r>
              <w:rPr>
                <w:lang w:val="fr-FR"/>
              </w:rPr>
              <w:t>l’intéressé</w:t>
            </w:r>
            <w:r w:rsidRPr="000E200C">
              <w:rPr>
                <w:lang w:val="fr-FR"/>
              </w:rPr>
              <w:t xml:space="preserve">. Réveillé par les coups de feu, </w:t>
            </w:r>
            <w:r>
              <w:rPr>
                <w:lang w:val="fr-FR"/>
              </w:rPr>
              <w:t xml:space="preserve">celui-ci </w:t>
            </w:r>
            <w:r w:rsidRPr="000E200C">
              <w:rPr>
                <w:lang w:val="fr-FR"/>
              </w:rPr>
              <w:t xml:space="preserve">est sorti de </w:t>
            </w:r>
            <w:r>
              <w:rPr>
                <w:lang w:val="fr-FR"/>
              </w:rPr>
              <w:t>chez lui</w:t>
            </w:r>
            <w:r w:rsidRPr="000E200C">
              <w:rPr>
                <w:lang w:val="fr-FR"/>
              </w:rPr>
              <w:t xml:space="preserve"> avec sa petite amie et ses voisins. </w:t>
            </w:r>
            <w:r>
              <w:rPr>
                <w:lang w:val="fr-FR"/>
              </w:rPr>
              <w:t>L</w:t>
            </w:r>
            <w:r w:rsidRPr="000E200C">
              <w:rPr>
                <w:lang w:val="fr-FR"/>
              </w:rPr>
              <w:t xml:space="preserve">es policiers </w:t>
            </w:r>
            <w:r>
              <w:rPr>
                <w:lang w:val="fr-FR"/>
              </w:rPr>
              <w:t>leur auraient</w:t>
            </w:r>
            <w:r w:rsidRPr="000E200C">
              <w:rPr>
                <w:lang w:val="fr-FR"/>
              </w:rPr>
              <w:t xml:space="preserve"> demandé </w:t>
            </w:r>
            <w:r>
              <w:rPr>
                <w:lang w:val="fr-FR"/>
              </w:rPr>
              <w:t>de regagner leur domicile, mais a</w:t>
            </w:r>
            <w:r w:rsidRPr="000E200C">
              <w:rPr>
                <w:lang w:val="fr-FR"/>
              </w:rPr>
              <w:t>lors que M.</w:t>
            </w:r>
            <w:r w:rsidR="00702E29">
              <w:rPr>
                <w:lang w:val="fr-FR"/>
              </w:rPr>
              <w:t> </w:t>
            </w:r>
            <w:r w:rsidRPr="000E200C">
              <w:rPr>
                <w:lang w:val="fr-FR"/>
              </w:rPr>
              <w:t xml:space="preserve">García Palomino </w:t>
            </w:r>
            <w:r>
              <w:rPr>
                <w:lang w:val="fr-FR"/>
              </w:rPr>
              <w:t>s’apprêtait à rentrer chez lui</w:t>
            </w:r>
            <w:r w:rsidRPr="000E200C">
              <w:rPr>
                <w:lang w:val="fr-FR"/>
              </w:rPr>
              <w:t>, l</w:t>
            </w:r>
            <w:r>
              <w:rPr>
                <w:lang w:val="fr-FR"/>
              </w:rPr>
              <w:t>’</w:t>
            </w:r>
            <w:r w:rsidRPr="000E200C">
              <w:rPr>
                <w:lang w:val="fr-FR"/>
              </w:rPr>
              <w:t>un des policiers a</w:t>
            </w:r>
            <w:r>
              <w:rPr>
                <w:lang w:val="fr-FR"/>
              </w:rPr>
              <w:t>urait</w:t>
            </w:r>
            <w:r w:rsidRPr="000E200C">
              <w:rPr>
                <w:lang w:val="fr-FR"/>
              </w:rPr>
              <w:t xml:space="preserve"> tiré sur lui à bout portant, devant de nombreux témoins. </w:t>
            </w:r>
            <w:r>
              <w:rPr>
                <w:lang w:val="fr-FR"/>
              </w:rPr>
              <w:t>Il</w:t>
            </w:r>
            <w:r w:rsidRPr="000E200C">
              <w:rPr>
                <w:lang w:val="fr-FR"/>
              </w:rPr>
              <w:t xml:space="preserve"> est décédé peu après avoir été conduit à l</w:t>
            </w:r>
            <w:r>
              <w:rPr>
                <w:lang w:val="fr-FR"/>
              </w:rPr>
              <w:t>’</w:t>
            </w:r>
            <w:r w:rsidRPr="000E200C">
              <w:rPr>
                <w:lang w:val="fr-FR"/>
              </w:rPr>
              <w:t>hôpital. Selon les informations officielles, un policier a été blessé par balle au cours de l</w:t>
            </w:r>
            <w:r>
              <w:rPr>
                <w:lang w:val="fr-FR"/>
              </w:rPr>
              <w:t>’intervention</w:t>
            </w:r>
            <w:r w:rsidRPr="000E200C">
              <w:rPr>
                <w:lang w:val="fr-FR"/>
              </w:rPr>
              <w:t xml:space="preserve"> et M.</w:t>
            </w:r>
            <w:r w:rsidR="00E411D9">
              <w:rPr>
                <w:lang w:val="fr-FR"/>
              </w:rPr>
              <w:t> </w:t>
            </w:r>
            <w:r w:rsidRPr="000E200C">
              <w:rPr>
                <w:lang w:val="fr-FR"/>
              </w:rPr>
              <w:t xml:space="preserve">García Palomino </w:t>
            </w:r>
            <w:r>
              <w:rPr>
                <w:lang w:val="fr-FR"/>
              </w:rPr>
              <w:t>aurait figuré</w:t>
            </w:r>
            <w:r w:rsidRPr="000E200C">
              <w:rPr>
                <w:lang w:val="fr-FR"/>
              </w:rPr>
              <w:t xml:space="preserve"> parmi </w:t>
            </w:r>
            <w:r>
              <w:rPr>
                <w:lang w:val="fr-FR"/>
              </w:rPr>
              <w:t>les tireurs</w:t>
            </w:r>
            <w:r w:rsidRPr="00293268">
              <w:rPr>
                <w:lang w:val="fr-FR"/>
              </w:rPr>
              <w:t>.</w:t>
            </w:r>
          </w:p>
        </w:tc>
      </w:tr>
      <w:tr w:rsidR="007672F2" w:rsidRPr="007672F2" w14:paraId="3793FD71" w14:textId="77777777" w:rsidTr="00BE3A5F">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2502478" w14:textId="77777777" w:rsidR="007672F2" w:rsidRPr="007672F2" w:rsidRDefault="007672F2" w:rsidP="00BE3A5F"/>
        </w:tc>
      </w:tr>
    </w:tbl>
    <w:p w14:paraId="4CE982AE" w14:textId="6DE355DE" w:rsidR="00D301C6" w:rsidRPr="00293268" w:rsidRDefault="00D301C6" w:rsidP="00D301C6">
      <w:pPr>
        <w:pStyle w:val="H1G"/>
        <w:rPr>
          <w:lang w:val="fr-FR"/>
        </w:rPr>
      </w:pPr>
      <w:bookmarkStart w:id="385" w:name="_Toc66365692"/>
      <w:bookmarkStart w:id="386" w:name="_Toc74254805"/>
      <w:bookmarkStart w:id="387" w:name="_Toc74303371"/>
      <w:bookmarkStart w:id="388" w:name="_Toc74305496"/>
      <w:bookmarkStart w:id="389" w:name="_Toc74337091"/>
      <w:bookmarkStart w:id="390" w:name="_Toc74340212"/>
      <w:bookmarkStart w:id="391" w:name="_Toc74344108"/>
      <w:bookmarkStart w:id="392" w:name="_Toc74561088"/>
      <w:bookmarkStart w:id="393" w:name="_Toc74562580"/>
      <w:bookmarkStart w:id="394" w:name="_Toc74657689"/>
      <w:bookmarkStart w:id="395" w:name="_Toc74661215"/>
      <w:bookmarkStart w:id="396" w:name="_Toc74666510"/>
      <w:bookmarkStart w:id="397" w:name="_Toc74671431"/>
      <w:bookmarkStart w:id="398" w:name="_Toc74867346"/>
      <w:bookmarkStart w:id="399" w:name="_Toc74919099"/>
      <w:bookmarkStart w:id="400" w:name="_Toc74919754"/>
      <w:bookmarkStart w:id="401" w:name="_Toc74925789"/>
      <w:bookmarkStart w:id="402" w:name="_Toc74927638"/>
      <w:bookmarkStart w:id="403" w:name="_Toc73352116"/>
      <w:bookmarkStart w:id="404" w:name="_Toc73641998"/>
      <w:bookmarkStart w:id="405" w:name="_Toc73702703"/>
      <w:bookmarkStart w:id="406" w:name="_Toc73724428"/>
      <w:bookmarkStart w:id="407" w:name="_Toc63257284"/>
      <w:bookmarkStart w:id="408" w:name="_Toc63766525"/>
      <w:bookmarkStart w:id="409" w:name="_Toc63941369"/>
      <w:bookmarkStart w:id="410" w:name="_Toc64298265"/>
      <w:bookmarkStart w:id="411" w:name="_Toc64373125"/>
      <w:r w:rsidRPr="00293268">
        <w:rPr>
          <w:lang w:val="fr-FR"/>
        </w:rPr>
        <w:tab/>
        <w:t>C.</w:t>
      </w:r>
      <w:r w:rsidRPr="00293268">
        <w:rPr>
          <w:lang w:val="fr-FR"/>
        </w:rPr>
        <w:tab/>
      </w:r>
      <w:bookmarkStart w:id="412" w:name="_Hlk116397323"/>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B613E7">
        <w:rPr>
          <w:lang w:val="fr-FR"/>
        </w:rPr>
        <w:t xml:space="preserve">Établissement des responsabilités et réparation </w:t>
      </w:r>
      <w:r>
        <w:rPr>
          <w:lang w:val="fr-FR"/>
        </w:rPr>
        <w:t>d</w:t>
      </w:r>
      <w:r w:rsidRPr="00B613E7">
        <w:rPr>
          <w:lang w:val="fr-FR"/>
        </w:rPr>
        <w:t xml:space="preserve">es violations commises </w:t>
      </w:r>
      <w:r w:rsidR="0058565B">
        <w:rPr>
          <w:lang w:val="fr-FR"/>
        </w:rPr>
        <w:br/>
      </w:r>
      <w:r w:rsidRPr="00B613E7">
        <w:rPr>
          <w:lang w:val="fr-FR"/>
        </w:rPr>
        <w:t>par les forces de l</w:t>
      </w:r>
      <w:r>
        <w:rPr>
          <w:lang w:val="fr-FR"/>
        </w:rPr>
        <w:t>’</w:t>
      </w:r>
      <w:r w:rsidRPr="00B613E7">
        <w:rPr>
          <w:lang w:val="fr-FR"/>
        </w:rPr>
        <w:t>ordre à l</w:t>
      </w:r>
      <w:r>
        <w:rPr>
          <w:lang w:val="fr-FR"/>
        </w:rPr>
        <w:t>’</w:t>
      </w:r>
      <w:r w:rsidRPr="00B613E7">
        <w:rPr>
          <w:lang w:val="fr-FR"/>
        </w:rPr>
        <w:t>encontre d</w:t>
      </w:r>
      <w:r>
        <w:rPr>
          <w:lang w:val="fr-FR"/>
        </w:rPr>
        <w:t>’</w:t>
      </w:r>
      <w:r w:rsidRPr="00B613E7">
        <w:rPr>
          <w:lang w:val="fr-FR"/>
        </w:rPr>
        <w:t xml:space="preserve">Africains et de personnes </w:t>
      </w:r>
      <w:r w:rsidR="0058565B">
        <w:rPr>
          <w:lang w:val="fr-FR"/>
        </w:rPr>
        <w:br/>
      </w:r>
      <w:r w:rsidRPr="00B613E7">
        <w:rPr>
          <w:lang w:val="fr-FR"/>
        </w:rPr>
        <w:t>d</w:t>
      </w:r>
      <w:r>
        <w:rPr>
          <w:lang w:val="fr-FR"/>
        </w:rPr>
        <w:t>’</w:t>
      </w:r>
      <w:r w:rsidRPr="00B613E7">
        <w:rPr>
          <w:lang w:val="fr-FR"/>
        </w:rPr>
        <w:t>ascendance africaine</w:t>
      </w:r>
      <w:bookmarkEnd w:id="412"/>
    </w:p>
    <w:bookmarkEnd w:id="403"/>
    <w:bookmarkEnd w:id="404"/>
    <w:bookmarkEnd w:id="405"/>
    <w:bookmarkEnd w:id="406"/>
    <w:p w14:paraId="35472E9E" w14:textId="77777777" w:rsidR="00D301C6" w:rsidRPr="00293268" w:rsidRDefault="00D301C6" w:rsidP="00D301C6">
      <w:pPr>
        <w:pStyle w:val="SingleTxtG"/>
        <w:rPr>
          <w:lang w:val="fr-FR"/>
        </w:rPr>
      </w:pPr>
      <w:r w:rsidRPr="00293268">
        <w:rPr>
          <w:lang w:val="fr-FR"/>
        </w:rPr>
        <w:t>120.</w:t>
      </w:r>
      <w:r w:rsidRPr="00293268">
        <w:rPr>
          <w:lang w:val="fr-FR"/>
        </w:rPr>
        <w:tab/>
      </w:r>
      <w:r>
        <w:rPr>
          <w:lang w:val="fr-FR"/>
        </w:rPr>
        <w:t>Dans la présente section, il est question des</w:t>
      </w:r>
      <w:r w:rsidRPr="009B4AB0">
        <w:rPr>
          <w:lang w:val="fr-FR"/>
        </w:rPr>
        <w:t xml:space="preserve"> mesures </w:t>
      </w:r>
      <w:r>
        <w:rPr>
          <w:lang w:val="fr-FR"/>
        </w:rPr>
        <w:t xml:space="preserve">qui ont été </w:t>
      </w:r>
      <w:r w:rsidRPr="009B4AB0">
        <w:rPr>
          <w:lang w:val="fr-FR"/>
        </w:rPr>
        <w:t>prises pour établir les responsabilité</w:t>
      </w:r>
      <w:r>
        <w:rPr>
          <w:lang w:val="fr-FR"/>
        </w:rPr>
        <w:t>s</w:t>
      </w:r>
      <w:r w:rsidRPr="009B4AB0">
        <w:rPr>
          <w:lang w:val="fr-FR"/>
        </w:rPr>
        <w:t xml:space="preserve"> et </w:t>
      </w:r>
      <w:r>
        <w:rPr>
          <w:lang w:val="fr-FR"/>
        </w:rPr>
        <w:t>octroyer des</w:t>
      </w:r>
      <w:r w:rsidRPr="009B4AB0">
        <w:rPr>
          <w:lang w:val="fr-FR"/>
        </w:rPr>
        <w:t xml:space="preserve"> réparation</w:t>
      </w:r>
      <w:r>
        <w:rPr>
          <w:lang w:val="fr-FR"/>
        </w:rPr>
        <w:t>s</w:t>
      </w:r>
      <w:r w:rsidRPr="009B4AB0">
        <w:rPr>
          <w:lang w:val="fr-FR"/>
        </w:rPr>
        <w:t xml:space="preserve"> dans le cadre des sept </w:t>
      </w:r>
      <w:r>
        <w:rPr>
          <w:lang w:val="fr-FR"/>
        </w:rPr>
        <w:t xml:space="preserve">affaires </w:t>
      </w:r>
      <w:r w:rsidRPr="009B4AB0">
        <w:rPr>
          <w:lang w:val="fr-FR"/>
        </w:rPr>
        <w:t>représentati</w:t>
      </w:r>
      <w:r>
        <w:rPr>
          <w:lang w:val="fr-FR"/>
        </w:rPr>
        <w:t>ve</w:t>
      </w:r>
      <w:r w:rsidRPr="009B4AB0">
        <w:rPr>
          <w:lang w:val="fr-FR"/>
        </w:rPr>
        <w:t xml:space="preserve">s </w:t>
      </w:r>
      <w:r>
        <w:rPr>
          <w:lang w:val="fr-FR"/>
        </w:rPr>
        <w:t>évoquées ci-dessus</w:t>
      </w:r>
      <w:r w:rsidRPr="009B4AB0">
        <w:rPr>
          <w:lang w:val="fr-FR"/>
        </w:rPr>
        <w:t xml:space="preserve">. </w:t>
      </w:r>
      <w:r>
        <w:rPr>
          <w:lang w:val="fr-FR"/>
        </w:rPr>
        <w:t>Sont également exposés les</w:t>
      </w:r>
      <w:r w:rsidRPr="009B4AB0">
        <w:rPr>
          <w:lang w:val="fr-FR"/>
        </w:rPr>
        <w:t xml:space="preserve"> quatre grands types de difficulté</w:t>
      </w:r>
      <w:r>
        <w:rPr>
          <w:lang w:val="fr-FR"/>
        </w:rPr>
        <w:t>s</w:t>
      </w:r>
      <w:r w:rsidRPr="009B4AB0">
        <w:rPr>
          <w:lang w:val="fr-FR"/>
        </w:rPr>
        <w:t xml:space="preserve"> </w:t>
      </w:r>
      <w:r>
        <w:rPr>
          <w:lang w:val="fr-FR"/>
        </w:rPr>
        <w:t>que soulèvent plus généralement</w:t>
      </w:r>
      <w:r w:rsidRPr="009B4AB0">
        <w:rPr>
          <w:lang w:val="fr-FR"/>
        </w:rPr>
        <w:t xml:space="preserve"> l</w:t>
      </w:r>
      <w:r>
        <w:rPr>
          <w:lang w:val="fr-FR"/>
        </w:rPr>
        <w:t>’</w:t>
      </w:r>
      <w:r w:rsidRPr="009B4AB0">
        <w:rPr>
          <w:lang w:val="fr-FR"/>
        </w:rPr>
        <w:t>établissement des responsabilité</w:t>
      </w:r>
      <w:r>
        <w:rPr>
          <w:lang w:val="fr-FR"/>
        </w:rPr>
        <w:t>s</w:t>
      </w:r>
      <w:r w:rsidRPr="009B4AB0">
        <w:rPr>
          <w:lang w:val="fr-FR"/>
        </w:rPr>
        <w:t xml:space="preserve"> et </w:t>
      </w:r>
      <w:r>
        <w:rPr>
          <w:lang w:val="fr-FR"/>
        </w:rPr>
        <w:t>l’octroi de réparations</w:t>
      </w:r>
      <w:r w:rsidRPr="009B4AB0">
        <w:rPr>
          <w:lang w:val="fr-FR"/>
        </w:rPr>
        <w:t xml:space="preserve"> </w:t>
      </w:r>
      <w:r>
        <w:rPr>
          <w:lang w:val="fr-FR"/>
        </w:rPr>
        <w:t xml:space="preserve">lorsque les forces de l’ordre font </w:t>
      </w:r>
      <w:r w:rsidRPr="009B4AB0">
        <w:rPr>
          <w:lang w:val="fr-FR"/>
        </w:rPr>
        <w:t xml:space="preserve">usage de la force et </w:t>
      </w:r>
      <w:r>
        <w:rPr>
          <w:lang w:val="fr-FR"/>
        </w:rPr>
        <w:t>commettent des</w:t>
      </w:r>
      <w:r w:rsidRPr="009B4AB0">
        <w:rPr>
          <w:lang w:val="fr-FR"/>
        </w:rPr>
        <w:t xml:space="preserve"> violations des droits de l</w:t>
      </w:r>
      <w:r>
        <w:rPr>
          <w:lang w:val="fr-FR"/>
        </w:rPr>
        <w:t>’</w:t>
      </w:r>
      <w:r w:rsidRPr="009B4AB0">
        <w:rPr>
          <w:lang w:val="fr-FR"/>
        </w:rPr>
        <w:t>homme</w:t>
      </w:r>
      <w:r>
        <w:rPr>
          <w:lang w:val="fr-FR"/>
        </w:rPr>
        <w:t xml:space="preserve"> à l’encontre de personnes d’ascendance africaine</w:t>
      </w:r>
      <w:r w:rsidRPr="009B4AB0">
        <w:rPr>
          <w:lang w:val="fr-FR"/>
        </w:rPr>
        <w:t>, en particulier celles qui entraînent la mort</w:t>
      </w:r>
      <w:r w:rsidRPr="00293268">
        <w:rPr>
          <w:lang w:val="fr-FR"/>
        </w:rPr>
        <w:t>.</w:t>
      </w:r>
    </w:p>
    <w:p w14:paraId="06D44256" w14:textId="54359D38" w:rsidR="00D301C6" w:rsidRPr="00A92CC3" w:rsidRDefault="00A92CC3" w:rsidP="00A92CC3">
      <w:pPr>
        <w:pStyle w:val="H4G"/>
        <w:rPr>
          <w:b/>
          <w:bCs/>
          <w:lang w:val="fr-FR"/>
        </w:rPr>
      </w:pPr>
      <w:r w:rsidRPr="00A92CC3">
        <w:rPr>
          <w:b/>
          <w:bCs/>
          <w:lang w:val="fr-FR"/>
        </w:rPr>
        <w:tab/>
      </w:r>
      <w:r w:rsidRPr="00A92CC3">
        <w:rPr>
          <w:b/>
          <w:bCs/>
          <w:lang w:val="fr-FR"/>
        </w:rPr>
        <w:tab/>
      </w:r>
      <w:r w:rsidR="00D301C6" w:rsidRPr="00A92CC3">
        <w:rPr>
          <w:b/>
          <w:bCs/>
          <w:lang w:val="fr-FR"/>
        </w:rPr>
        <w:t>George Floyd (États-Unis, mai 2020)</w:t>
      </w:r>
    </w:p>
    <w:p w14:paraId="1801960A" w14:textId="2FFD00EC" w:rsidR="00D301C6" w:rsidRPr="00293268" w:rsidRDefault="00D301C6" w:rsidP="00A92CC3">
      <w:pPr>
        <w:pStyle w:val="SingleTxtG"/>
        <w:rPr>
          <w:lang w:val="fr-FR"/>
        </w:rPr>
      </w:pPr>
      <w:r w:rsidRPr="00293268">
        <w:rPr>
          <w:lang w:val="fr-FR"/>
        </w:rPr>
        <w:t>121.</w:t>
      </w:r>
      <w:r w:rsidRPr="00293268">
        <w:rPr>
          <w:lang w:val="fr-FR"/>
        </w:rPr>
        <w:tab/>
      </w:r>
      <w:r w:rsidRPr="00D24F59">
        <w:rPr>
          <w:lang w:val="fr-FR"/>
        </w:rPr>
        <w:t xml:space="preserve">Le 20 avril 2021, </w:t>
      </w:r>
      <w:r>
        <w:rPr>
          <w:lang w:val="fr-FR"/>
        </w:rPr>
        <w:t>à l’issue d’</w:t>
      </w:r>
      <w:r w:rsidRPr="00D24F59">
        <w:rPr>
          <w:lang w:val="fr-FR"/>
        </w:rPr>
        <w:t>un procès de six semaines, un jury a déclaré à l</w:t>
      </w:r>
      <w:r>
        <w:rPr>
          <w:lang w:val="fr-FR"/>
        </w:rPr>
        <w:t>’</w:t>
      </w:r>
      <w:r w:rsidRPr="00D24F59">
        <w:rPr>
          <w:lang w:val="fr-FR"/>
        </w:rPr>
        <w:t>unanimité que l</w:t>
      </w:r>
      <w:r>
        <w:rPr>
          <w:lang w:val="fr-FR"/>
        </w:rPr>
        <w:t>’</w:t>
      </w:r>
      <w:r w:rsidRPr="00D24F59">
        <w:rPr>
          <w:lang w:val="fr-FR"/>
        </w:rPr>
        <w:t>agent de police Chauvin s</w:t>
      </w:r>
      <w:r>
        <w:rPr>
          <w:lang w:val="fr-FR"/>
        </w:rPr>
        <w:t>’</w:t>
      </w:r>
      <w:r w:rsidRPr="00D24F59">
        <w:rPr>
          <w:lang w:val="fr-FR"/>
        </w:rPr>
        <w:t xml:space="preserve">était rendu coupable de meurtre au deuxième et </w:t>
      </w:r>
      <w:r w:rsidR="00A92CC3">
        <w:rPr>
          <w:lang w:val="fr-FR"/>
        </w:rPr>
        <w:t xml:space="preserve">au </w:t>
      </w:r>
      <w:r w:rsidRPr="00D24F59">
        <w:rPr>
          <w:lang w:val="fr-FR"/>
        </w:rPr>
        <w:t>troisième degré</w:t>
      </w:r>
      <w:r w:rsidR="00A92CC3">
        <w:rPr>
          <w:lang w:val="fr-FR"/>
        </w:rPr>
        <w:t>s</w:t>
      </w:r>
      <w:r w:rsidRPr="00D24F59">
        <w:rPr>
          <w:lang w:val="fr-FR"/>
        </w:rPr>
        <w:t xml:space="preserve"> et d</w:t>
      </w:r>
      <w:r>
        <w:rPr>
          <w:lang w:val="fr-FR"/>
        </w:rPr>
        <w:t>’</w:t>
      </w:r>
      <w:r w:rsidRPr="00D24F59">
        <w:rPr>
          <w:lang w:val="fr-FR"/>
        </w:rPr>
        <w:t>homicide involontaire sur la personne de M.</w:t>
      </w:r>
      <w:r w:rsidR="00B22C19">
        <w:rPr>
          <w:lang w:val="fr-FR"/>
        </w:rPr>
        <w:t> </w:t>
      </w:r>
      <w:r w:rsidRPr="00D24F59">
        <w:rPr>
          <w:lang w:val="fr-FR"/>
        </w:rPr>
        <w:t xml:space="preserve">Floyd. Le 25 juin 2021, </w:t>
      </w:r>
      <w:r>
        <w:rPr>
          <w:lang w:val="fr-FR"/>
        </w:rPr>
        <w:t xml:space="preserve">celui-ci </w:t>
      </w:r>
      <w:r w:rsidRPr="00D24F59">
        <w:rPr>
          <w:lang w:val="fr-FR"/>
        </w:rPr>
        <w:t xml:space="preserve">a été condamné à </w:t>
      </w:r>
      <w:r w:rsidR="00B22C19">
        <w:rPr>
          <w:lang w:val="fr-FR"/>
        </w:rPr>
        <w:t>deux cent soixante-dix</w:t>
      </w:r>
      <w:r w:rsidRPr="00D24F59">
        <w:rPr>
          <w:lang w:val="fr-FR"/>
        </w:rPr>
        <w:t xml:space="preserve"> mois (22 ans et six mois) de prison</w:t>
      </w:r>
      <w:r w:rsidRPr="00CD6B67">
        <w:rPr>
          <w:rStyle w:val="FootnoteReference"/>
        </w:rPr>
        <w:footnoteReference w:id="349"/>
      </w:r>
      <w:r w:rsidRPr="00D24F59">
        <w:rPr>
          <w:lang w:val="fr-FR"/>
        </w:rPr>
        <w:t>. Selon les informations reçues, des accusations de complicité de meurtre et d</w:t>
      </w:r>
      <w:r>
        <w:rPr>
          <w:lang w:val="fr-FR"/>
        </w:rPr>
        <w:t>’</w:t>
      </w:r>
      <w:r w:rsidRPr="00D24F59">
        <w:rPr>
          <w:lang w:val="fr-FR"/>
        </w:rPr>
        <w:t xml:space="preserve">homicide involontaire ont été portées contre les trois autres anciens </w:t>
      </w:r>
      <w:r>
        <w:rPr>
          <w:lang w:val="fr-FR"/>
        </w:rPr>
        <w:t>policiers présents au moment des faits</w:t>
      </w:r>
      <w:r w:rsidRPr="00D24F59">
        <w:rPr>
          <w:lang w:val="fr-FR"/>
        </w:rPr>
        <w:t xml:space="preserve">. En juin 2021, </w:t>
      </w:r>
      <w:r>
        <w:rPr>
          <w:lang w:val="fr-FR"/>
        </w:rPr>
        <w:t>ceux-ci</w:t>
      </w:r>
      <w:r w:rsidRPr="00D24F59">
        <w:rPr>
          <w:lang w:val="fr-FR"/>
        </w:rPr>
        <w:t xml:space="preserve"> devaient être jugés </w:t>
      </w:r>
      <w:r>
        <w:rPr>
          <w:lang w:val="fr-FR"/>
        </w:rPr>
        <w:t>séparément lors d’un procès</w:t>
      </w:r>
      <w:r w:rsidRPr="00D24F59">
        <w:rPr>
          <w:lang w:val="fr-FR"/>
        </w:rPr>
        <w:t xml:space="preserve"> prévu en mars 2022. Outre les poursuites pénales engagées dans l</w:t>
      </w:r>
      <w:r>
        <w:rPr>
          <w:lang w:val="fr-FR"/>
        </w:rPr>
        <w:t>’</w:t>
      </w:r>
      <w:r w:rsidRPr="00D24F59">
        <w:rPr>
          <w:lang w:val="fr-FR"/>
        </w:rPr>
        <w:t xml:space="preserve">État du Minnesota, en mai 2021, un grand jury fédéral de Minneapolis a inculpé les quatre agents de police </w:t>
      </w:r>
      <w:r>
        <w:rPr>
          <w:lang w:val="fr-FR"/>
        </w:rPr>
        <w:t>de violation de</w:t>
      </w:r>
      <w:r w:rsidRPr="00D24F59">
        <w:rPr>
          <w:lang w:val="fr-FR"/>
        </w:rPr>
        <w:t xml:space="preserve"> la législation fédérale sur les droits civils pour leur rôle dans </w:t>
      </w:r>
      <w:r>
        <w:rPr>
          <w:lang w:val="fr-FR"/>
        </w:rPr>
        <w:t xml:space="preserve">le décès </w:t>
      </w:r>
      <w:r w:rsidRPr="00D24F59">
        <w:rPr>
          <w:lang w:val="fr-FR"/>
        </w:rPr>
        <w:t>de M.</w:t>
      </w:r>
      <w:r w:rsidR="00AC7431">
        <w:rPr>
          <w:lang w:val="fr-FR"/>
        </w:rPr>
        <w:t> </w:t>
      </w:r>
      <w:r w:rsidRPr="00D24F59">
        <w:rPr>
          <w:lang w:val="fr-FR"/>
        </w:rPr>
        <w:t>Floyd. Si le verdict de culpabilité</w:t>
      </w:r>
      <w:r>
        <w:rPr>
          <w:lang w:val="fr-FR"/>
        </w:rPr>
        <w:t xml:space="preserve"> prononcé</w:t>
      </w:r>
      <w:r w:rsidRPr="00D24F59">
        <w:rPr>
          <w:lang w:val="fr-FR"/>
        </w:rPr>
        <w:t xml:space="preserve"> à l</w:t>
      </w:r>
      <w:r>
        <w:rPr>
          <w:lang w:val="fr-FR"/>
        </w:rPr>
        <w:t>’</w:t>
      </w:r>
      <w:r w:rsidRPr="00D24F59">
        <w:rPr>
          <w:lang w:val="fr-FR"/>
        </w:rPr>
        <w:t>encontre de l</w:t>
      </w:r>
      <w:r>
        <w:rPr>
          <w:lang w:val="fr-FR"/>
        </w:rPr>
        <w:t>’</w:t>
      </w:r>
      <w:r w:rsidRPr="00D24F59">
        <w:rPr>
          <w:lang w:val="fr-FR"/>
        </w:rPr>
        <w:t>agent Chauvin a été salué comme «</w:t>
      </w:r>
      <w:r w:rsidR="00AC7431">
        <w:rPr>
          <w:lang w:val="fr-FR"/>
        </w:rPr>
        <w:t> </w:t>
      </w:r>
      <w:r w:rsidRPr="00D24F59">
        <w:rPr>
          <w:lang w:val="fr-FR"/>
        </w:rPr>
        <w:t>mémorable</w:t>
      </w:r>
      <w:r w:rsidR="00AC7431">
        <w:rPr>
          <w:lang w:val="fr-FR"/>
        </w:rPr>
        <w:t> </w:t>
      </w:r>
      <w:r w:rsidRPr="00D24F59">
        <w:rPr>
          <w:lang w:val="fr-FR"/>
        </w:rPr>
        <w:t>»</w:t>
      </w:r>
      <w:r w:rsidRPr="00CD6B67">
        <w:rPr>
          <w:rStyle w:val="FootnoteReference"/>
        </w:rPr>
        <w:footnoteReference w:id="350"/>
      </w:r>
      <w:r>
        <w:rPr>
          <w:lang w:val="fr-FR"/>
        </w:rPr>
        <w:t xml:space="preserve">, </w:t>
      </w:r>
      <w:r w:rsidRPr="002E0477">
        <w:rPr>
          <w:lang w:val="fr-FR"/>
        </w:rPr>
        <w:t>il s</w:t>
      </w:r>
      <w:r>
        <w:rPr>
          <w:lang w:val="fr-FR"/>
        </w:rPr>
        <w:t>’</w:t>
      </w:r>
      <w:r w:rsidRPr="002E0477">
        <w:rPr>
          <w:lang w:val="fr-FR"/>
        </w:rPr>
        <w:t>agit d</w:t>
      </w:r>
      <w:r>
        <w:rPr>
          <w:lang w:val="fr-FR"/>
        </w:rPr>
        <w:t>’</w:t>
      </w:r>
      <w:r w:rsidRPr="002E0477">
        <w:rPr>
          <w:lang w:val="fr-FR"/>
        </w:rPr>
        <w:t>un exemple rare, quel que soit le pays, d</w:t>
      </w:r>
      <w:r>
        <w:rPr>
          <w:lang w:val="fr-FR"/>
        </w:rPr>
        <w:t>’</w:t>
      </w:r>
      <w:r w:rsidRPr="002E0477">
        <w:rPr>
          <w:lang w:val="fr-FR"/>
        </w:rPr>
        <w:t xml:space="preserve">un cas de décès </w:t>
      </w:r>
      <w:r>
        <w:rPr>
          <w:lang w:val="fr-FR"/>
        </w:rPr>
        <w:t>imputable aux</w:t>
      </w:r>
      <w:r w:rsidRPr="002E0477">
        <w:rPr>
          <w:lang w:val="fr-FR"/>
        </w:rPr>
        <w:t xml:space="preserve"> forces de l</w:t>
      </w:r>
      <w:r>
        <w:rPr>
          <w:lang w:val="fr-FR"/>
        </w:rPr>
        <w:t>’</w:t>
      </w:r>
      <w:r w:rsidRPr="002E0477">
        <w:rPr>
          <w:lang w:val="fr-FR"/>
        </w:rPr>
        <w:t>ordre ayant abouti à une condamnation</w:t>
      </w:r>
      <w:r w:rsidRPr="00293268">
        <w:rPr>
          <w:lang w:val="fr-FR"/>
        </w:rPr>
        <w:t>.</w:t>
      </w:r>
    </w:p>
    <w:p w14:paraId="0FE5CB56" w14:textId="1432847D" w:rsidR="00D301C6" w:rsidRPr="00293268" w:rsidRDefault="00D301C6" w:rsidP="00A92CC3">
      <w:pPr>
        <w:pStyle w:val="SingleTxtG"/>
        <w:rPr>
          <w:lang w:val="fr-FR"/>
        </w:rPr>
      </w:pPr>
      <w:r w:rsidRPr="00293268">
        <w:rPr>
          <w:lang w:val="fr-FR"/>
        </w:rPr>
        <w:t>122.</w:t>
      </w:r>
      <w:r w:rsidRPr="00293268">
        <w:rPr>
          <w:lang w:val="fr-FR"/>
        </w:rPr>
        <w:tab/>
      </w:r>
      <w:r>
        <w:rPr>
          <w:lang w:val="fr-FR"/>
        </w:rPr>
        <w:t>Dans sa réponse</w:t>
      </w:r>
      <w:r w:rsidRPr="00CD6B67">
        <w:rPr>
          <w:rStyle w:val="FootnoteReference"/>
        </w:rPr>
        <w:footnoteReference w:id="351"/>
      </w:r>
      <w:r>
        <w:rPr>
          <w:lang w:val="fr-FR"/>
        </w:rPr>
        <w:t>,</w:t>
      </w:r>
      <w:r w:rsidRPr="00293268">
        <w:rPr>
          <w:lang w:val="fr-FR"/>
        </w:rPr>
        <w:t xml:space="preserve"> </w:t>
      </w:r>
      <w:r w:rsidRPr="006578C9">
        <w:rPr>
          <w:lang w:val="fr-FR"/>
        </w:rPr>
        <w:t xml:space="preserve">le Gouvernement des États-Unis a </w:t>
      </w:r>
      <w:r>
        <w:rPr>
          <w:lang w:val="fr-FR"/>
        </w:rPr>
        <w:t>indiqué</w:t>
      </w:r>
      <w:r w:rsidRPr="006578C9">
        <w:rPr>
          <w:lang w:val="fr-FR"/>
        </w:rPr>
        <w:t xml:space="preserve"> que les décès tragiques de George Floyd et </w:t>
      </w:r>
      <w:r>
        <w:rPr>
          <w:lang w:val="fr-FR"/>
        </w:rPr>
        <w:t xml:space="preserve">de </w:t>
      </w:r>
      <w:r w:rsidRPr="006578C9">
        <w:rPr>
          <w:lang w:val="fr-FR"/>
        </w:rPr>
        <w:t>Breonna Taylor rappelaient la nature omniprésente du racisme systémique aux États-Unis et l</w:t>
      </w:r>
      <w:r>
        <w:rPr>
          <w:lang w:val="fr-FR"/>
        </w:rPr>
        <w:t>’</w:t>
      </w:r>
      <w:r w:rsidRPr="006578C9">
        <w:rPr>
          <w:lang w:val="fr-FR"/>
        </w:rPr>
        <w:t>urgence d</w:t>
      </w:r>
      <w:r>
        <w:rPr>
          <w:lang w:val="fr-FR"/>
        </w:rPr>
        <w:t>’</w:t>
      </w:r>
      <w:r w:rsidRPr="006578C9">
        <w:rPr>
          <w:lang w:val="fr-FR"/>
        </w:rPr>
        <w:t xml:space="preserve">agir pour </w:t>
      </w:r>
      <w:r>
        <w:rPr>
          <w:lang w:val="fr-FR"/>
        </w:rPr>
        <w:t>le combattre</w:t>
      </w:r>
      <w:r w:rsidRPr="00293268">
        <w:rPr>
          <w:lang w:val="fr-FR"/>
        </w:rPr>
        <w:t xml:space="preserve">. </w:t>
      </w:r>
      <w:r w:rsidRPr="002C1992">
        <w:rPr>
          <w:lang w:val="fr-FR"/>
        </w:rPr>
        <w:t>Il a souligné que les États</w:t>
      </w:r>
      <w:r w:rsidR="003B270D">
        <w:rPr>
          <w:lang w:val="fr-FR"/>
        </w:rPr>
        <w:noBreakHyphen/>
      </w:r>
      <w:r w:rsidRPr="002C1992">
        <w:rPr>
          <w:lang w:val="fr-FR"/>
        </w:rPr>
        <w:t>Unis étaient déterminés à éliminer la discrimination raciale et le recours excessif à la force dans le maintien de l</w:t>
      </w:r>
      <w:r>
        <w:rPr>
          <w:lang w:val="fr-FR"/>
        </w:rPr>
        <w:t>’</w:t>
      </w:r>
      <w:r w:rsidRPr="002C1992">
        <w:rPr>
          <w:lang w:val="fr-FR"/>
        </w:rPr>
        <w:t xml:space="preserve">ordre et a </w:t>
      </w:r>
      <w:r>
        <w:rPr>
          <w:lang w:val="fr-FR"/>
        </w:rPr>
        <w:t>souligné</w:t>
      </w:r>
      <w:r w:rsidRPr="002C1992">
        <w:rPr>
          <w:lang w:val="fr-FR"/>
        </w:rPr>
        <w:t xml:space="preserve"> que, outre les procédures pénales engagées au niveau de l</w:t>
      </w:r>
      <w:r>
        <w:rPr>
          <w:lang w:val="fr-FR"/>
        </w:rPr>
        <w:t>’</w:t>
      </w:r>
      <w:r w:rsidRPr="002C1992">
        <w:rPr>
          <w:lang w:val="fr-FR"/>
        </w:rPr>
        <w:t>État et au niveau fédéral dans l</w:t>
      </w:r>
      <w:r>
        <w:rPr>
          <w:lang w:val="fr-FR"/>
        </w:rPr>
        <w:t>’</w:t>
      </w:r>
      <w:r w:rsidRPr="002C1992">
        <w:rPr>
          <w:lang w:val="fr-FR"/>
        </w:rPr>
        <w:t>affaire de M.</w:t>
      </w:r>
      <w:r w:rsidR="00350986">
        <w:rPr>
          <w:lang w:val="fr-FR"/>
        </w:rPr>
        <w:t> </w:t>
      </w:r>
      <w:r w:rsidRPr="002C1992">
        <w:rPr>
          <w:lang w:val="fr-FR"/>
        </w:rPr>
        <w:t xml:space="preserve">Floyd et les mesures civiles adoptées au niveau local, des mesures législatives </w:t>
      </w:r>
      <w:r>
        <w:rPr>
          <w:lang w:val="fr-FR"/>
        </w:rPr>
        <w:t>avaien</w:t>
      </w:r>
      <w:r w:rsidRPr="002C1992">
        <w:rPr>
          <w:lang w:val="fr-FR"/>
        </w:rPr>
        <w:t xml:space="preserve">t été prises </w:t>
      </w:r>
      <w:r w:rsidRPr="005439F5">
        <w:rPr>
          <w:lang w:val="fr-FR"/>
        </w:rPr>
        <w:t>au niveau local, à l</w:t>
      </w:r>
      <w:r>
        <w:rPr>
          <w:lang w:val="fr-FR"/>
        </w:rPr>
        <w:t>’</w:t>
      </w:r>
      <w:r w:rsidRPr="005439F5">
        <w:rPr>
          <w:lang w:val="fr-FR"/>
        </w:rPr>
        <w:t>échelon des États et sur le plan fédéral</w:t>
      </w:r>
      <w:r w:rsidRPr="002C1992">
        <w:rPr>
          <w:lang w:val="fr-FR"/>
        </w:rPr>
        <w:t>,</w:t>
      </w:r>
      <w:r w:rsidRPr="00813782">
        <w:rPr>
          <w:lang w:val="fr-FR"/>
        </w:rPr>
        <w:t xml:space="preserve"> </w:t>
      </w:r>
      <w:r>
        <w:rPr>
          <w:lang w:val="fr-FR"/>
        </w:rPr>
        <w:t>afin de</w:t>
      </w:r>
      <w:r w:rsidRPr="00713624">
        <w:rPr>
          <w:lang w:val="fr-FR"/>
        </w:rPr>
        <w:t xml:space="preserve"> réformer la police et les procédures d’établissement des responsabilités </w:t>
      </w:r>
      <w:r>
        <w:rPr>
          <w:lang w:val="fr-FR"/>
        </w:rPr>
        <w:t xml:space="preserve">et, en particulier, de </w:t>
      </w:r>
      <w:r w:rsidRPr="002C1992">
        <w:rPr>
          <w:lang w:val="fr-FR"/>
        </w:rPr>
        <w:t xml:space="preserve">traiter les </w:t>
      </w:r>
      <w:r>
        <w:rPr>
          <w:lang w:val="fr-FR"/>
        </w:rPr>
        <w:t>question</w:t>
      </w:r>
      <w:r w:rsidRPr="002C1992">
        <w:rPr>
          <w:lang w:val="fr-FR"/>
        </w:rPr>
        <w:t>s sous-jacent</w:t>
      </w:r>
      <w:r>
        <w:rPr>
          <w:lang w:val="fr-FR"/>
        </w:rPr>
        <w:t>e</w:t>
      </w:r>
      <w:r w:rsidRPr="002C1992">
        <w:rPr>
          <w:lang w:val="fr-FR"/>
        </w:rPr>
        <w:t xml:space="preserve">s de discrimination raciale et de recours excessif à la force </w:t>
      </w:r>
      <w:r>
        <w:rPr>
          <w:lang w:val="fr-FR"/>
        </w:rPr>
        <w:t>lors d’opérations de</w:t>
      </w:r>
      <w:r w:rsidRPr="002C1992">
        <w:rPr>
          <w:lang w:val="fr-FR"/>
        </w:rPr>
        <w:t xml:space="preserve"> maintien de l</w:t>
      </w:r>
      <w:r>
        <w:rPr>
          <w:lang w:val="fr-FR"/>
        </w:rPr>
        <w:t>’</w:t>
      </w:r>
      <w:r w:rsidRPr="002C1992">
        <w:rPr>
          <w:lang w:val="fr-FR"/>
        </w:rPr>
        <w:t>ordre. Le 21</w:t>
      </w:r>
      <w:r w:rsidR="00350986">
        <w:rPr>
          <w:lang w:val="fr-FR"/>
        </w:rPr>
        <w:t> </w:t>
      </w:r>
      <w:r w:rsidRPr="002C1992">
        <w:rPr>
          <w:lang w:val="fr-FR"/>
        </w:rPr>
        <w:t xml:space="preserve">avril 2021, le </w:t>
      </w:r>
      <w:r>
        <w:rPr>
          <w:lang w:val="fr-FR"/>
        </w:rPr>
        <w:t>M</w:t>
      </w:r>
      <w:r w:rsidRPr="002C1992">
        <w:rPr>
          <w:lang w:val="fr-FR"/>
        </w:rPr>
        <w:t xml:space="preserve">inistère de la </w:t>
      </w:r>
      <w:r>
        <w:rPr>
          <w:lang w:val="fr-FR"/>
        </w:rPr>
        <w:t>j</w:t>
      </w:r>
      <w:r w:rsidRPr="002C1992">
        <w:rPr>
          <w:lang w:val="fr-FR"/>
        </w:rPr>
        <w:t>ustice a annoncé l</w:t>
      </w:r>
      <w:r>
        <w:rPr>
          <w:lang w:val="fr-FR"/>
        </w:rPr>
        <w:t>’</w:t>
      </w:r>
      <w:r w:rsidRPr="002C1992">
        <w:rPr>
          <w:lang w:val="fr-FR"/>
        </w:rPr>
        <w:t>ouverture d</w:t>
      </w:r>
      <w:r>
        <w:rPr>
          <w:lang w:val="fr-FR"/>
        </w:rPr>
        <w:t>’</w:t>
      </w:r>
      <w:r w:rsidRPr="002C1992">
        <w:rPr>
          <w:lang w:val="fr-FR"/>
        </w:rPr>
        <w:t>une enquête sur les pratiques de la ville de Minneapolis et d</w:t>
      </w:r>
      <w:r>
        <w:rPr>
          <w:lang w:val="fr-FR"/>
        </w:rPr>
        <w:t>e son</w:t>
      </w:r>
      <w:r w:rsidRPr="002C1992">
        <w:rPr>
          <w:lang w:val="fr-FR"/>
        </w:rPr>
        <w:t xml:space="preserve"> </w:t>
      </w:r>
      <w:r>
        <w:rPr>
          <w:lang w:val="fr-FR"/>
        </w:rPr>
        <w:t xml:space="preserve">service </w:t>
      </w:r>
      <w:r w:rsidRPr="002C1992">
        <w:rPr>
          <w:lang w:val="fr-FR"/>
        </w:rPr>
        <w:t>de police. L</w:t>
      </w:r>
      <w:r>
        <w:rPr>
          <w:lang w:val="fr-FR"/>
        </w:rPr>
        <w:t>’</w:t>
      </w:r>
      <w:r w:rsidRPr="002C1992">
        <w:rPr>
          <w:lang w:val="fr-FR"/>
        </w:rPr>
        <w:t xml:space="preserve">enquête évaluera tous les types de force utilisés par </w:t>
      </w:r>
      <w:r>
        <w:rPr>
          <w:lang w:val="fr-FR"/>
        </w:rPr>
        <w:t>les policiers</w:t>
      </w:r>
      <w:r w:rsidRPr="002C1992">
        <w:rPr>
          <w:lang w:val="fr-FR"/>
        </w:rPr>
        <w:t>, y compris à l</w:t>
      </w:r>
      <w:r>
        <w:rPr>
          <w:lang w:val="fr-FR"/>
        </w:rPr>
        <w:t>’</w:t>
      </w:r>
      <w:r w:rsidRPr="002C1992">
        <w:rPr>
          <w:lang w:val="fr-FR"/>
        </w:rPr>
        <w:t xml:space="preserve">égard des personnes </w:t>
      </w:r>
      <w:r>
        <w:rPr>
          <w:lang w:val="fr-FR"/>
        </w:rPr>
        <w:t>présentant des</w:t>
      </w:r>
      <w:r w:rsidRPr="002C1992">
        <w:rPr>
          <w:lang w:val="fr-FR"/>
        </w:rPr>
        <w:t xml:space="preserve"> handicaps psychosociaux, et déterminera si le</w:t>
      </w:r>
      <w:r>
        <w:rPr>
          <w:lang w:val="fr-FR"/>
        </w:rPr>
        <w:t>s pratiques du</w:t>
      </w:r>
      <w:r w:rsidRPr="002C1992">
        <w:rPr>
          <w:lang w:val="fr-FR"/>
        </w:rPr>
        <w:t xml:space="preserve"> service de police </w:t>
      </w:r>
      <w:r>
        <w:rPr>
          <w:lang w:val="fr-FR"/>
        </w:rPr>
        <w:t>sont</w:t>
      </w:r>
      <w:r w:rsidRPr="002C1992">
        <w:rPr>
          <w:lang w:val="fr-FR"/>
        </w:rPr>
        <w:t xml:space="preserve"> discriminatoire</w:t>
      </w:r>
      <w:r>
        <w:rPr>
          <w:lang w:val="fr-FR"/>
        </w:rPr>
        <w:t>s</w:t>
      </w:r>
      <w:r w:rsidRPr="00CD6B67">
        <w:rPr>
          <w:rStyle w:val="FootnoteReference"/>
        </w:rPr>
        <w:footnoteReference w:id="352"/>
      </w:r>
      <w:r>
        <w:rPr>
          <w:lang w:val="fr-FR"/>
        </w:rPr>
        <w:t>.</w:t>
      </w:r>
    </w:p>
    <w:p w14:paraId="7DB66394" w14:textId="3DC31A79" w:rsidR="00D301C6" w:rsidRPr="0008671A" w:rsidRDefault="0008671A" w:rsidP="0008671A">
      <w:pPr>
        <w:pStyle w:val="H4G"/>
        <w:rPr>
          <w:b/>
          <w:bCs/>
          <w:lang w:val="fr-FR"/>
        </w:rPr>
      </w:pPr>
      <w:r>
        <w:rPr>
          <w:lang w:val="fr-FR"/>
        </w:rPr>
        <w:tab/>
      </w:r>
      <w:r>
        <w:rPr>
          <w:lang w:val="fr-FR"/>
        </w:rPr>
        <w:tab/>
      </w:r>
      <w:r w:rsidR="00D301C6" w:rsidRPr="0008671A">
        <w:rPr>
          <w:b/>
          <w:bCs/>
          <w:lang w:val="fr-FR"/>
        </w:rPr>
        <w:t>Adama Traoré (France, juillet 2016)</w:t>
      </w:r>
    </w:p>
    <w:p w14:paraId="59170D97" w14:textId="7382328C" w:rsidR="00D301C6" w:rsidRPr="00293268" w:rsidRDefault="00D301C6" w:rsidP="00D301C6">
      <w:pPr>
        <w:pStyle w:val="SingleTxtG"/>
        <w:rPr>
          <w:lang w:val="fr-FR"/>
        </w:rPr>
      </w:pPr>
      <w:r w:rsidRPr="00293268">
        <w:rPr>
          <w:lang w:val="fr-FR"/>
        </w:rPr>
        <w:t>123.</w:t>
      </w:r>
      <w:r w:rsidRPr="00293268">
        <w:rPr>
          <w:lang w:val="fr-FR"/>
        </w:rPr>
        <w:tab/>
      </w:r>
      <w:r w:rsidRPr="001D33E0">
        <w:rPr>
          <w:lang w:val="fr-FR"/>
        </w:rPr>
        <w:t>Selon les informations reçues, le 19 juillet 2016, le parquet a chargé l</w:t>
      </w:r>
      <w:r>
        <w:rPr>
          <w:lang w:val="fr-FR"/>
        </w:rPr>
        <w:t>’</w:t>
      </w:r>
      <w:r w:rsidRPr="001D33E0">
        <w:rPr>
          <w:lang w:val="fr-FR"/>
        </w:rPr>
        <w:t xml:space="preserve">Inspection générale de la </w:t>
      </w:r>
      <w:r w:rsidR="006A44E6">
        <w:rPr>
          <w:lang w:val="fr-FR"/>
        </w:rPr>
        <w:t>G</w:t>
      </w:r>
      <w:r w:rsidRPr="001D33E0">
        <w:rPr>
          <w:lang w:val="fr-FR"/>
        </w:rPr>
        <w:t>endarmerie nationale d</w:t>
      </w:r>
      <w:r>
        <w:rPr>
          <w:lang w:val="fr-FR"/>
        </w:rPr>
        <w:t>’</w:t>
      </w:r>
      <w:r w:rsidRPr="001D33E0">
        <w:rPr>
          <w:lang w:val="fr-FR"/>
        </w:rPr>
        <w:t>établir la cause du décès de M.</w:t>
      </w:r>
      <w:r w:rsidR="006A44E6">
        <w:rPr>
          <w:lang w:val="fr-FR"/>
        </w:rPr>
        <w:t> </w:t>
      </w:r>
      <w:r w:rsidRPr="001D33E0">
        <w:rPr>
          <w:lang w:val="fr-FR"/>
        </w:rPr>
        <w:t>Traoré. Dans le même temps, la famille a déposé une plainte contre les trois policiers</w:t>
      </w:r>
      <w:r>
        <w:rPr>
          <w:lang w:val="fr-FR"/>
        </w:rPr>
        <w:t xml:space="preserve"> mis en cause</w:t>
      </w:r>
      <w:r w:rsidRPr="001D33E0">
        <w:rPr>
          <w:lang w:val="fr-FR"/>
        </w:rPr>
        <w:t>. En octobre 2016, la Cour de cassation a ordonné le renvoi de l</w:t>
      </w:r>
      <w:r>
        <w:rPr>
          <w:lang w:val="fr-FR"/>
        </w:rPr>
        <w:t>’</w:t>
      </w:r>
      <w:r w:rsidRPr="001D33E0">
        <w:rPr>
          <w:lang w:val="fr-FR"/>
        </w:rPr>
        <w:t xml:space="preserve">affaire devant le </w:t>
      </w:r>
      <w:r>
        <w:rPr>
          <w:lang w:val="fr-FR"/>
        </w:rPr>
        <w:t>T</w:t>
      </w:r>
      <w:r w:rsidRPr="001D33E0">
        <w:rPr>
          <w:lang w:val="fr-FR"/>
        </w:rPr>
        <w:t>ribunal de grande instance de Paris et des magistrats ont été désignés pour enquêter. En mai 2021, soit près de cinq ans plus tard, l</w:t>
      </w:r>
      <w:r>
        <w:rPr>
          <w:lang w:val="fr-FR"/>
        </w:rPr>
        <w:t>’</w:t>
      </w:r>
      <w:r w:rsidRPr="001D33E0">
        <w:rPr>
          <w:lang w:val="fr-FR"/>
        </w:rPr>
        <w:t xml:space="preserve">enquête judiciaire se poursuit, les trois </w:t>
      </w:r>
      <w:r>
        <w:rPr>
          <w:lang w:val="fr-FR"/>
        </w:rPr>
        <w:t>gendarmes</w:t>
      </w:r>
      <w:r w:rsidRPr="001D33E0">
        <w:rPr>
          <w:lang w:val="fr-FR"/>
        </w:rPr>
        <w:t xml:space="preserve"> mis en cause </w:t>
      </w:r>
      <w:r>
        <w:rPr>
          <w:lang w:val="fr-FR"/>
        </w:rPr>
        <w:t>ayant été</w:t>
      </w:r>
      <w:r w:rsidRPr="001D33E0">
        <w:rPr>
          <w:lang w:val="fr-FR"/>
        </w:rPr>
        <w:t xml:space="preserve"> placés sous le statut de «</w:t>
      </w:r>
      <w:r w:rsidR="006A44E6">
        <w:rPr>
          <w:lang w:val="fr-FR"/>
        </w:rPr>
        <w:t> </w:t>
      </w:r>
      <w:r w:rsidRPr="001D33E0">
        <w:rPr>
          <w:lang w:val="fr-FR"/>
        </w:rPr>
        <w:t>témoin assisté</w:t>
      </w:r>
      <w:r w:rsidR="006A44E6">
        <w:rPr>
          <w:lang w:val="fr-FR"/>
        </w:rPr>
        <w:t> </w:t>
      </w:r>
      <w:r w:rsidRPr="001D33E0">
        <w:rPr>
          <w:lang w:val="fr-FR"/>
        </w:rPr>
        <w:t xml:space="preserve">». Les </w:t>
      </w:r>
      <w:r>
        <w:rPr>
          <w:lang w:val="fr-FR"/>
        </w:rPr>
        <w:t>investigations</w:t>
      </w:r>
      <w:r w:rsidRPr="001D33E0">
        <w:rPr>
          <w:lang w:val="fr-FR"/>
        </w:rPr>
        <w:t xml:space="preserve"> et expertises médicales </w:t>
      </w:r>
      <w:r>
        <w:rPr>
          <w:lang w:val="fr-FR"/>
        </w:rPr>
        <w:t xml:space="preserve">réalisées </w:t>
      </w:r>
      <w:r w:rsidRPr="001D33E0">
        <w:rPr>
          <w:lang w:val="fr-FR"/>
        </w:rPr>
        <w:t>à ce jour n</w:t>
      </w:r>
      <w:r>
        <w:rPr>
          <w:lang w:val="fr-FR"/>
        </w:rPr>
        <w:t>’</w:t>
      </w:r>
      <w:r w:rsidRPr="001D33E0">
        <w:rPr>
          <w:lang w:val="fr-FR"/>
        </w:rPr>
        <w:t>ont pas permis d</w:t>
      </w:r>
      <w:r>
        <w:rPr>
          <w:lang w:val="fr-FR"/>
        </w:rPr>
        <w:t>’</w:t>
      </w:r>
      <w:r w:rsidRPr="001D33E0">
        <w:rPr>
          <w:lang w:val="fr-FR"/>
        </w:rPr>
        <w:t xml:space="preserve">établir </w:t>
      </w:r>
      <w:r>
        <w:rPr>
          <w:lang w:val="fr-FR"/>
        </w:rPr>
        <w:t>de façon certaine ou univoque les</w:t>
      </w:r>
      <w:r w:rsidRPr="001D33E0">
        <w:rPr>
          <w:lang w:val="fr-FR"/>
        </w:rPr>
        <w:t xml:space="preserve"> cause</w:t>
      </w:r>
      <w:r>
        <w:rPr>
          <w:lang w:val="fr-FR"/>
        </w:rPr>
        <w:t>s</w:t>
      </w:r>
      <w:r w:rsidRPr="001D33E0">
        <w:rPr>
          <w:lang w:val="fr-FR"/>
        </w:rPr>
        <w:t xml:space="preserve"> du décès. Près de cinq ans après sa mort, aucune version unique de ce qui s</w:t>
      </w:r>
      <w:r>
        <w:rPr>
          <w:lang w:val="fr-FR"/>
        </w:rPr>
        <w:t>’</w:t>
      </w:r>
      <w:r w:rsidRPr="001D33E0">
        <w:rPr>
          <w:lang w:val="fr-FR"/>
        </w:rPr>
        <w:t>est passé dans l</w:t>
      </w:r>
      <w:r>
        <w:rPr>
          <w:lang w:val="fr-FR"/>
        </w:rPr>
        <w:t>’</w:t>
      </w:r>
      <w:r w:rsidRPr="001D33E0">
        <w:rPr>
          <w:lang w:val="fr-FR"/>
        </w:rPr>
        <w:t>appartement n</w:t>
      </w:r>
      <w:r>
        <w:rPr>
          <w:lang w:val="fr-FR"/>
        </w:rPr>
        <w:t>’</w:t>
      </w:r>
      <w:r w:rsidRPr="001D33E0">
        <w:rPr>
          <w:lang w:val="fr-FR"/>
        </w:rPr>
        <w:t>a encore émergé et aucune accusation n</w:t>
      </w:r>
      <w:r>
        <w:rPr>
          <w:lang w:val="fr-FR"/>
        </w:rPr>
        <w:t>’</w:t>
      </w:r>
      <w:r w:rsidRPr="001D33E0">
        <w:rPr>
          <w:lang w:val="fr-FR"/>
        </w:rPr>
        <w:t>a été portée</w:t>
      </w:r>
      <w:r w:rsidRPr="00293268">
        <w:rPr>
          <w:lang w:val="fr-FR"/>
        </w:rPr>
        <w:t>.</w:t>
      </w:r>
    </w:p>
    <w:p w14:paraId="64713830" w14:textId="77777777" w:rsidR="00D301C6" w:rsidRPr="00293268" w:rsidRDefault="00D301C6" w:rsidP="00D301C6">
      <w:pPr>
        <w:pStyle w:val="SingleTxtG"/>
        <w:rPr>
          <w:lang w:val="fr-FR"/>
        </w:rPr>
      </w:pPr>
      <w:r w:rsidRPr="00293268">
        <w:rPr>
          <w:lang w:val="fr-FR"/>
        </w:rPr>
        <w:t>124.</w:t>
      </w:r>
      <w:r w:rsidRPr="00293268">
        <w:rPr>
          <w:lang w:val="fr-FR"/>
        </w:rPr>
        <w:tab/>
      </w:r>
      <w:r>
        <w:rPr>
          <w:lang w:val="fr-FR"/>
        </w:rPr>
        <w:t>Dans sa réponse</w:t>
      </w:r>
      <w:r w:rsidRPr="00CD6B67">
        <w:rPr>
          <w:rStyle w:val="FootnoteReference"/>
        </w:rPr>
        <w:footnoteReference w:id="353"/>
      </w:r>
      <w:r>
        <w:rPr>
          <w:lang w:val="fr-FR"/>
        </w:rPr>
        <w:t>,</w:t>
      </w:r>
      <w:r w:rsidRPr="00293268">
        <w:rPr>
          <w:lang w:val="fr-FR"/>
        </w:rPr>
        <w:t xml:space="preserve"> </w:t>
      </w:r>
      <w:r w:rsidRPr="00BE50B3">
        <w:rPr>
          <w:lang w:val="fr-FR"/>
        </w:rPr>
        <w:t xml:space="preserve">le Gouvernement français </w:t>
      </w:r>
      <w:r>
        <w:rPr>
          <w:lang w:val="fr-FR"/>
        </w:rPr>
        <w:t>rappelle que la procédure d’instruction est couverte par le secret</w:t>
      </w:r>
      <w:r w:rsidRPr="00BE50B3">
        <w:rPr>
          <w:lang w:val="fr-FR"/>
        </w:rPr>
        <w:t xml:space="preserve">. Il </w:t>
      </w:r>
      <w:r>
        <w:rPr>
          <w:lang w:val="fr-FR"/>
        </w:rPr>
        <w:t>souligne</w:t>
      </w:r>
      <w:r w:rsidRPr="00BE50B3">
        <w:rPr>
          <w:lang w:val="fr-FR"/>
        </w:rPr>
        <w:t xml:space="preserve"> qu</w:t>
      </w:r>
      <w:r>
        <w:rPr>
          <w:lang w:val="fr-FR"/>
        </w:rPr>
        <w:t>’</w:t>
      </w:r>
      <w:r w:rsidRPr="00BE50B3">
        <w:rPr>
          <w:lang w:val="fr-FR"/>
        </w:rPr>
        <w:t xml:space="preserve">en France, </w:t>
      </w:r>
      <w:r>
        <w:rPr>
          <w:lang w:val="fr-FR"/>
        </w:rPr>
        <w:t>l’usage</w:t>
      </w:r>
      <w:r w:rsidRPr="00BE50B3">
        <w:rPr>
          <w:lang w:val="fr-FR"/>
        </w:rPr>
        <w:t xml:space="preserve"> </w:t>
      </w:r>
      <w:r>
        <w:rPr>
          <w:lang w:val="fr-FR"/>
        </w:rPr>
        <w:t xml:space="preserve">de </w:t>
      </w:r>
      <w:r w:rsidRPr="00BE50B3">
        <w:rPr>
          <w:lang w:val="fr-FR"/>
        </w:rPr>
        <w:t>la force par les forces de l</w:t>
      </w:r>
      <w:r>
        <w:rPr>
          <w:lang w:val="fr-FR"/>
        </w:rPr>
        <w:t>’</w:t>
      </w:r>
      <w:r w:rsidRPr="00BE50B3">
        <w:rPr>
          <w:lang w:val="fr-FR"/>
        </w:rPr>
        <w:t xml:space="preserve">ordre est </w:t>
      </w:r>
      <w:r>
        <w:rPr>
          <w:lang w:val="fr-FR"/>
        </w:rPr>
        <w:t>encadré par</w:t>
      </w:r>
      <w:r w:rsidRPr="00BE50B3">
        <w:rPr>
          <w:lang w:val="fr-FR"/>
        </w:rPr>
        <w:t xml:space="preserve"> les principes d</w:t>
      </w:r>
      <w:r>
        <w:rPr>
          <w:lang w:val="fr-FR"/>
        </w:rPr>
        <w:t>’</w:t>
      </w:r>
      <w:r w:rsidRPr="00BE50B3">
        <w:rPr>
          <w:lang w:val="fr-FR"/>
        </w:rPr>
        <w:t>absolue nécessité et de proportionnalité découl</w:t>
      </w:r>
      <w:r>
        <w:rPr>
          <w:lang w:val="fr-FR"/>
        </w:rPr>
        <w:t>a</w:t>
      </w:r>
      <w:r w:rsidRPr="00BE50B3">
        <w:rPr>
          <w:lang w:val="fr-FR"/>
        </w:rPr>
        <w:t>nt de la jurisprudence de la Convention européenne des droits de l</w:t>
      </w:r>
      <w:r>
        <w:rPr>
          <w:lang w:val="fr-FR"/>
        </w:rPr>
        <w:t>’</w:t>
      </w:r>
      <w:r w:rsidRPr="00BE50B3">
        <w:rPr>
          <w:lang w:val="fr-FR"/>
        </w:rPr>
        <w:t xml:space="preserve">homme et de la Cour de cassation. Il fait remarquer que les autorités françaises mènent une réflexion </w:t>
      </w:r>
      <w:r>
        <w:rPr>
          <w:lang w:val="fr-FR"/>
        </w:rPr>
        <w:t>continue</w:t>
      </w:r>
      <w:r w:rsidRPr="00BE50B3">
        <w:rPr>
          <w:lang w:val="fr-FR"/>
        </w:rPr>
        <w:t xml:space="preserve"> sur l</w:t>
      </w:r>
      <w:r>
        <w:rPr>
          <w:lang w:val="fr-FR"/>
        </w:rPr>
        <w:t>’</w:t>
      </w:r>
      <w:r w:rsidRPr="00BE50B3">
        <w:rPr>
          <w:lang w:val="fr-FR"/>
        </w:rPr>
        <w:t xml:space="preserve">évolution des techniques </w:t>
      </w:r>
      <w:r>
        <w:rPr>
          <w:lang w:val="fr-FR"/>
        </w:rPr>
        <w:t xml:space="preserve">utilisées par les forces de l’ordre </w:t>
      </w:r>
      <w:r w:rsidRPr="00BE50B3">
        <w:rPr>
          <w:lang w:val="fr-FR"/>
        </w:rPr>
        <w:t>afin d</w:t>
      </w:r>
      <w:r>
        <w:rPr>
          <w:lang w:val="fr-FR"/>
        </w:rPr>
        <w:t>’</w:t>
      </w:r>
      <w:r w:rsidRPr="00BE50B3">
        <w:rPr>
          <w:lang w:val="fr-FR"/>
        </w:rPr>
        <w:t>écarter celles qui ne présentent pas de garanties suffisantes pour préserver l</w:t>
      </w:r>
      <w:r>
        <w:rPr>
          <w:lang w:val="fr-FR"/>
        </w:rPr>
        <w:t>’</w:t>
      </w:r>
      <w:r w:rsidRPr="00BE50B3">
        <w:rPr>
          <w:lang w:val="fr-FR"/>
        </w:rPr>
        <w:t>intégrité physique de la personne arrêtée et qu</w:t>
      </w:r>
      <w:r>
        <w:rPr>
          <w:lang w:val="fr-FR"/>
        </w:rPr>
        <w:t>’</w:t>
      </w:r>
      <w:r w:rsidRPr="00BE50B3">
        <w:rPr>
          <w:lang w:val="fr-FR"/>
        </w:rPr>
        <w:t xml:space="preserve">elles actualisent en conséquence </w:t>
      </w:r>
      <w:r>
        <w:rPr>
          <w:lang w:val="fr-FR"/>
        </w:rPr>
        <w:t>les instructions</w:t>
      </w:r>
      <w:r w:rsidRPr="00BE50B3">
        <w:rPr>
          <w:lang w:val="fr-FR"/>
        </w:rPr>
        <w:t xml:space="preserve"> à ce sujet</w:t>
      </w:r>
      <w:r w:rsidRPr="00293268">
        <w:rPr>
          <w:lang w:val="fr-FR"/>
        </w:rPr>
        <w:t>.</w:t>
      </w:r>
    </w:p>
    <w:p w14:paraId="66857D93" w14:textId="176E6F20" w:rsidR="00D301C6" w:rsidRPr="003105F9" w:rsidRDefault="003105F9" w:rsidP="003105F9">
      <w:pPr>
        <w:pStyle w:val="H4G"/>
        <w:rPr>
          <w:b/>
          <w:bCs/>
          <w:lang w:val="es-ES"/>
        </w:rPr>
      </w:pPr>
      <w:r w:rsidRPr="00E21F93">
        <w:tab/>
      </w:r>
      <w:r w:rsidRPr="00E21F93">
        <w:tab/>
      </w:r>
      <w:r w:rsidR="00D301C6" w:rsidRPr="003105F9">
        <w:rPr>
          <w:b/>
          <w:bCs/>
          <w:lang w:val="es-ES"/>
        </w:rPr>
        <w:t>Luana dos Reis Santos (Brésil, avril 2016)</w:t>
      </w:r>
    </w:p>
    <w:p w14:paraId="2A2F5F13" w14:textId="464F67EA" w:rsidR="00D301C6" w:rsidRPr="00293268" w:rsidRDefault="00D301C6" w:rsidP="00D301C6">
      <w:pPr>
        <w:pStyle w:val="SingleTxtG"/>
        <w:rPr>
          <w:lang w:val="fr-FR"/>
        </w:rPr>
      </w:pPr>
      <w:r w:rsidRPr="00293268">
        <w:rPr>
          <w:lang w:val="fr-FR"/>
        </w:rPr>
        <w:t>125.</w:t>
      </w:r>
      <w:r w:rsidRPr="00293268">
        <w:rPr>
          <w:lang w:val="fr-FR"/>
        </w:rPr>
        <w:tab/>
      </w:r>
      <w:r w:rsidRPr="00694013">
        <w:rPr>
          <w:lang w:val="fr-FR"/>
        </w:rPr>
        <w:t>Selon les informations reçues, la police</w:t>
      </w:r>
      <w:r w:rsidRPr="006C47D9">
        <w:rPr>
          <w:lang w:val="fr-FR"/>
        </w:rPr>
        <w:t xml:space="preserve"> militaire, la police civile et le ministère public de l</w:t>
      </w:r>
      <w:r>
        <w:rPr>
          <w:lang w:val="fr-FR"/>
        </w:rPr>
        <w:t>’</w:t>
      </w:r>
      <w:r w:rsidRPr="006C47D9">
        <w:rPr>
          <w:lang w:val="fr-FR"/>
        </w:rPr>
        <w:t xml:space="preserve">État de São Paulo ont ouvert des enquêtes sur la mort de </w:t>
      </w:r>
      <w:r w:rsidR="00E428EA" w:rsidRPr="00E428EA">
        <w:rPr>
          <w:lang w:val="fr-FR"/>
        </w:rPr>
        <w:t>M</w:t>
      </w:r>
      <w:r w:rsidR="00E428EA" w:rsidRPr="00E428EA">
        <w:rPr>
          <w:vertAlign w:val="superscript"/>
          <w:lang w:val="fr-FR"/>
        </w:rPr>
        <w:t>me</w:t>
      </w:r>
      <w:r w:rsidR="00E428EA" w:rsidRPr="00E428EA">
        <w:rPr>
          <w:lang w:val="fr-FR"/>
        </w:rPr>
        <w:t> </w:t>
      </w:r>
      <w:r w:rsidRPr="006C47D9">
        <w:rPr>
          <w:lang w:val="fr-FR"/>
        </w:rPr>
        <w:t xml:space="preserve">dos Reis Santos. </w:t>
      </w:r>
      <w:r>
        <w:rPr>
          <w:lang w:val="fr-FR"/>
        </w:rPr>
        <w:t xml:space="preserve">Bien </w:t>
      </w:r>
      <w:r w:rsidRPr="006C47D9">
        <w:rPr>
          <w:lang w:val="fr-FR"/>
        </w:rPr>
        <w:t>que la demande de placement en détention provisoire des trois agents de la police militaire mis en cause dans cette affaire a</w:t>
      </w:r>
      <w:r>
        <w:rPr>
          <w:lang w:val="fr-FR"/>
        </w:rPr>
        <w:t>it</w:t>
      </w:r>
      <w:r w:rsidRPr="006C47D9">
        <w:rPr>
          <w:lang w:val="fr-FR"/>
        </w:rPr>
        <w:t xml:space="preserve"> été rejetée, ceux-ci ont été affectés à des tâches administratives jusqu</w:t>
      </w:r>
      <w:r>
        <w:rPr>
          <w:lang w:val="fr-FR"/>
        </w:rPr>
        <w:t>’</w:t>
      </w:r>
      <w:r w:rsidRPr="006C47D9">
        <w:rPr>
          <w:lang w:val="fr-FR"/>
        </w:rPr>
        <w:t>à la fin des enquêtes</w:t>
      </w:r>
      <w:r w:rsidRPr="00813782">
        <w:rPr>
          <w:lang w:val="fr-FR"/>
        </w:rPr>
        <w:t xml:space="preserve"> </w:t>
      </w:r>
      <w:r>
        <w:rPr>
          <w:lang w:val="fr-FR"/>
        </w:rPr>
        <w:t>grâce à l’intervention</w:t>
      </w:r>
      <w:r w:rsidRPr="00937878">
        <w:rPr>
          <w:lang w:val="fr-FR"/>
        </w:rPr>
        <w:t xml:space="preserve"> de l</w:t>
      </w:r>
      <w:r>
        <w:rPr>
          <w:lang w:val="fr-FR"/>
        </w:rPr>
        <w:t>’</w:t>
      </w:r>
      <w:r w:rsidRPr="00937878">
        <w:rPr>
          <w:lang w:val="fr-FR"/>
        </w:rPr>
        <w:t xml:space="preserve">Association du </w:t>
      </w:r>
      <w:r w:rsidR="00E428EA">
        <w:rPr>
          <w:lang w:val="fr-FR"/>
        </w:rPr>
        <w:t>b</w:t>
      </w:r>
      <w:r w:rsidRPr="00937878">
        <w:rPr>
          <w:lang w:val="fr-FR"/>
        </w:rPr>
        <w:t>arreau brésilien</w:t>
      </w:r>
      <w:r w:rsidRPr="006C47D9">
        <w:rPr>
          <w:lang w:val="fr-FR"/>
        </w:rPr>
        <w:t>. En</w:t>
      </w:r>
      <w:r w:rsidR="00E428EA">
        <w:rPr>
          <w:lang w:val="fr-FR"/>
        </w:rPr>
        <w:t> </w:t>
      </w:r>
      <w:r w:rsidRPr="006C47D9">
        <w:rPr>
          <w:lang w:val="fr-FR"/>
        </w:rPr>
        <w:t>mai 2016, l</w:t>
      </w:r>
      <w:r>
        <w:rPr>
          <w:lang w:val="fr-FR"/>
        </w:rPr>
        <w:t>’</w:t>
      </w:r>
      <w:r w:rsidRPr="006C47D9">
        <w:rPr>
          <w:lang w:val="fr-FR"/>
        </w:rPr>
        <w:t xml:space="preserve">affaire a été renvoyée devant la justice militaire, </w:t>
      </w:r>
      <w:r>
        <w:rPr>
          <w:lang w:val="fr-FR"/>
        </w:rPr>
        <w:t>car il ne s’agissait pas d’un homicide mais de blessures</w:t>
      </w:r>
      <w:r w:rsidRPr="006C47D9">
        <w:rPr>
          <w:lang w:val="fr-FR"/>
        </w:rPr>
        <w:t xml:space="preserve"> corporelles ayant occasionné le décès et </w:t>
      </w:r>
      <w:r>
        <w:rPr>
          <w:lang w:val="fr-FR"/>
        </w:rPr>
        <w:t xml:space="preserve">que, partant, cette affaire </w:t>
      </w:r>
      <w:r w:rsidRPr="006C47D9">
        <w:rPr>
          <w:lang w:val="fr-FR"/>
        </w:rPr>
        <w:t xml:space="preserve">ne relevait pas de la justice civile. </w:t>
      </w:r>
      <w:r>
        <w:rPr>
          <w:lang w:val="fr-FR"/>
        </w:rPr>
        <w:t>Le</w:t>
      </w:r>
      <w:r w:rsidRPr="006C47D9">
        <w:rPr>
          <w:lang w:val="fr-FR"/>
        </w:rPr>
        <w:t xml:space="preserve"> tribunal militaire de l</w:t>
      </w:r>
      <w:r>
        <w:rPr>
          <w:lang w:val="fr-FR"/>
        </w:rPr>
        <w:t>’</w:t>
      </w:r>
      <w:r w:rsidRPr="006C47D9">
        <w:rPr>
          <w:lang w:val="fr-FR"/>
        </w:rPr>
        <w:t xml:space="preserve">État de São Paulo a </w:t>
      </w:r>
      <w:r>
        <w:rPr>
          <w:lang w:val="fr-FR"/>
        </w:rPr>
        <w:t xml:space="preserve">ensuite </w:t>
      </w:r>
      <w:r w:rsidRPr="006C47D9">
        <w:rPr>
          <w:lang w:val="fr-FR"/>
        </w:rPr>
        <w:t>classé l</w:t>
      </w:r>
      <w:r>
        <w:rPr>
          <w:lang w:val="fr-FR"/>
        </w:rPr>
        <w:t>’</w:t>
      </w:r>
      <w:r w:rsidRPr="006C47D9">
        <w:rPr>
          <w:lang w:val="fr-FR"/>
        </w:rPr>
        <w:t xml:space="preserve">affaire faute de preuves. La famille de </w:t>
      </w:r>
      <w:r w:rsidR="00424068" w:rsidRPr="00424068">
        <w:rPr>
          <w:lang w:val="fr-FR"/>
        </w:rPr>
        <w:t>M</w:t>
      </w:r>
      <w:r w:rsidR="00424068" w:rsidRPr="00424068">
        <w:rPr>
          <w:vertAlign w:val="superscript"/>
          <w:lang w:val="fr-FR"/>
        </w:rPr>
        <w:t>me</w:t>
      </w:r>
      <w:r w:rsidR="00424068" w:rsidRPr="00424068">
        <w:rPr>
          <w:lang w:val="fr-FR"/>
        </w:rPr>
        <w:t> </w:t>
      </w:r>
      <w:r w:rsidRPr="006C47D9">
        <w:rPr>
          <w:lang w:val="fr-FR"/>
        </w:rPr>
        <w:t>dos Reis Santos a fait appel de la décision de mai 2016 et</w:t>
      </w:r>
      <w:r w:rsidR="00ED5DF2" w:rsidRPr="006C47D9">
        <w:rPr>
          <w:lang w:val="fr-FR"/>
        </w:rPr>
        <w:t>,</w:t>
      </w:r>
      <w:r w:rsidRPr="006C47D9">
        <w:rPr>
          <w:lang w:val="fr-FR"/>
        </w:rPr>
        <w:t xml:space="preserve"> le 31 janvier 2017, la cour d</w:t>
      </w:r>
      <w:r>
        <w:rPr>
          <w:lang w:val="fr-FR"/>
        </w:rPr>
        <w:t>’</w:t>
      </w:r>
      <w:r w:rsidRPr="006C47D9">
        <w:rPr>
          <w:lang w:val="fr-FR"/>
        </w:rPr>
        <w:t>appel a déterminé que l</w:t>
      </w:r>
      <w:r>
        <w:rPr>
          <w:lang w:val="fr-FR"/>
        </w:rPr>
        <w:t>’</w:t>
      </w:r>
      <w:r w:rsidRPr="006C47D9">
        <w:rPr>
          <w:lang w:val="fr-FR"/>
        </w:rPr>
        <w:t xml:space="preserve">affaire devait être renvoyée devant la justice civile. Par conséquent, la police civile a rouvert le dossier et a conclu son enquête le 5 avril 2018. </w:t>
      </w:r>
      <w:r>
        <w:rPr>
          <w:lang w:val="fr-FR"/>
        </w:rPr>
        <w:t>L</w:t>
      </w:r>
      <w:r w:rsidRPr="00247E16">
        <w:rPr>
          <w:lang w:val="fr-FR"/>
        </w:rPr>
        <w:t>e 21 février 2020,</w:t>
      </w:r>
      <w:r>
        <w:rPr>
          <w:lang w:val="fr-FR"/>
        </w:rPr>
        <w:t xml:space="preserve"> soit p</w:t>
      </w:r>
      <w:r w:rsidRPr="006C47D9">
        <w:rPr>
          <w:lang w:val="fr-FR"/>
        </w:rPr>
        <w:t xml:space="preserve">rès de quatre ans après la mort de </w:t>
      </w:r>
      <w:r w:rsidR="00ED5DF2" w:rsidRPr="00ED5DF2">
        <w:rPr>
          <w:lang w:val="fr-FR"/>
        </w:rPr>
        <w:t>M</w:t>
      </w:r>
      <w:r w:rsidR="00ED5DF2" w:rsidRPr="00ED5DF2">
        <w:rPr>
          <w:vertAlign w:val="superscript"/>
          <w:lang w:val="fr-FR"/>
        </w:rPr>
        <w:t>me</w:t>
      </w:r>
      <w:r w:rsidR="00ED5DF2" w:rsidRPr="00ED5DF2">
        <w:rPr>
          <w:lang w:val="fr-FR"/>
        </w:rPr>
        <w:t> </w:t>
      </w:r>
      <w:r w:rsidRPr="006C47D9">
        <w:rPr>
          <w:lang w:val="fr-FR"/>
        </w:rPr>
        <w:t xml:space="preserve">dos Reis Santos, les trois agents de la police militaire ont été mis en examen pour homicide aggravé. La défense a fait appel de cette décision. En mai 2021, </w:t>
      </w:r>
      <w:r>
        <w:rPr>
          <w:lang w:val="fr-FR"/>
        </w:rPr>
        <w:t xml:space="preserve">soit </w:t>
      </w:r>
      <w:r w:rsidRPr="006C47D9">
        <w:rPr>
          <w:lang w:val="fr-FR"/>
        </w:rPr>
        <w:t xml:space="preserve">cinq ans </w:t>
      </w:r>
      <w:r>
        <w:rPr>
          <w:lang w:val="fr-FR"/>
        </w:rPr>
        <w:t>plus tard</w:t>
      </w:r>
      <w:r w:rsidRPr="006C47D9">
        <w:rPr>
          <w:lang w:val="fr-FR"/>
        </w:rPr>
        <w:t>, aucun procès n</w:t>
      </w:r>
      <w:r>
        <w:rPr>
          <w:lang w:val="fr-FR"/>
        </w:rPr>
        <w:t>’</w:t>
      </w:r>
      <w:r w:rsidRPr="006C47D9">
        <w:rPr>
          <w:lang w:val="fr-FR"/>
        </w:rPr>
        <w:t>a</w:t>
      </w:r>
      <w:r>
        <w:rPr>
          <w:lang w:val="fr-FR"/>
        </w:rPr>
        <w:t>vait</w:t>
      </w:r>
      <w:r w:rsidRPr="006C47D9">
        <w:rPr>
          <w:lang w:val="fr-FR"/>
        </w:rPr>
        <w:t xml:space="preserve"> encore commencé</w:t>
      </w:r>
      <w:r w:rsidRPr="00293268">
        <w:rPr>
          <w:lang w:val="fr-FR"/>
        </w:rPr>
        <w:t>.</w:t>
      </w:r>
    </w:p>
    <w:p w14:paraId="765F1A3D" w14:textId="5644702D" w:rsidR="00D301C6" w:rsidRPr="00293268" w:rsidRDefault="00D301C6" w:rsidP="00D301C6">
      <w:pPr>
        <w:pStyle w:val="SingleTxtG"/>
        <w:rPr>
          <w:lang w:val="fr-FR"/>
        </w:rPr>
      </w:pPr>
      <w:r w:rsidRPr="00293268">
        <w:rPr>
          <w:lang w:val="fr-FR"/>
        </w:rPr>
        <w:t>126.</w:t>
      </w:r>
      <w:r w:rsidR="00ED5DF2">
        <w:rPr>
          <w:lang w:val="fr-FR"/>
        </w:rPr>
        <w:tab/>
      </w:r>
      <w:r>
        <w:rPr>
          <w:lang w:val="fr-FR"/>
        </w:rPr>
        <w:t>Dans sa réponse</w:t>
      </w:r>
      <w:r w:rsidRPr="00CD6B67">
        <w:rPr>
          <w:rStyle w:val="FootnoteReference"/>
        </w:rPr>
        <w:footnoteReference w:id="354"/>
      </w:r>
      <w:r>
        <w:rPr>
          <w:lang w:val="fr-FR"/>
        </w:rPr>
        <w:t xml:space="preserve">, </w:t>
      </w:r>
      <w:r w:rsidRPr="00610788">
        <w:rPr>
          <w:lang w:val="fr-FR"/>
        </w:rPr>
        <w:t>le Gouvernement brésilien a indiqué que l</w:t>
      </w:r>
      <w:r>
        <w:rPr>
          <w:lang w:val="fr-FR"/>
        </w:rPr>
        <w:t>’</w:t>
      </w:r>
      <w:r w:rsidRPr="00610788">
        <w:rPr>
          <w:lang w:val="fr-FR"/>
        </w:rPr>
        <w:t xml:space="preserve">affaire pénale </w:t>
      </w:r>
      <w:r>
        <w:rPr>
          <w:lang w:val="fr-FR"/>
        </w:rPr>
        <w:t>étai</w:t>
      </w:r>
      <w:r w:rsidRPr="00610788">
        <w:rPr>
          <w:lang w:val="fr-FR"/>
        </w:rPr>
        <w:t>t devant la Cour de justice de São Paulo, qui se prononcera sur l</w:t>
      </w:r>
      <w:r>
        <w:rPr>
          <w:lang w:val="fr-FR"/>
        </w:rPr>
        <w:t>’</w:t>
      </w:r>
      <w:r w:rsidRPr="00610788">
        <w:rPr>
          <w:lang w:val="fr-FR"/>
        </w:rPr>
        <w:t>appel déposé par les avocats de la défense. En outre, le Secrétariat national aux politiques de promotion de l</w:t>
      </w:r>
      <w:r>
        <w:rPr>
          <w:lang w:val="fr-FR"/>
        </w:rPr>
        <w:t>’</w:t>
      </w:r>
      <w:r w:rsidRPr="00610788">
        <w:rPr>
          <w:lang w:val="fr-FR"/>
        </w:rPr>
        <w:t>égalité raciale du Ministère de la femme, de la famille et des droits de l</w:t>
      </w:r>
      <w:r>
        <w:rPr>
          <w:lang w:val="fr-FR"/>
        </w:rPr>
        <w:t>’</w:t>
      </w:r>
      <w:r w:rsidRPr="00610788">
        <w:rPr>
          <w:lang w:val="fr-FR"/>
        </w:rPr>
        <w:t xml:space="preserve">homme a regretté que des </w:t>
      </w:r>
      <w:r>
        <w:rPr>
          <w:lang w:val="fr-FR"/>
        </w:rPr>
        <w:t>affaires comme celle</w:t>
      </w:r>
      <w:r w:rsidRPr="00610788">
        <w:rPr>
          <w:lang w:val="fr-FR"/>
        </w:rPr>
        <w:t xml:space="preserve"> ayant entraîné la mort de Luana Barbosa dos Reis Santos et de João Pedro Matos Pinto (voir ci-dessous) se produisent encore au Brésil et a souligné qu</w:t>
      </w:r>
      <w:r>
        <w:rPr>
          <w:lang w:val="fr-FR"/>
        </w:rPr>
        <w:t>’</w:t>
      </w:r>
      <w:r w:rsidRPr="00610788">
        <w:rPr>
          <w:lang w:val="fr-FR"/>
        </w:rPr>
        <w:t>il s</w:t>
      </w:r>
      <w:r>
        <w:rPr>
          <w:lang w:val="fr-FR"/>
        </w:rPr>
        <w:t>’</w:t>
      </w:r>
      <w:r w:rsidRPr="00610788">
        <w:rPr>
          <w:lang w:val="fr-FR"/>
        </w:rPr>
        <w:t>effor</w:t>
      </w:r>
      <w:r>
        <w:rPr>
          <w:lang w:val="fr-FR"/>
        </w:rPr>
        <w:t>çait</w:t>
      </w:r>
      <w:r w:rsidRPr="00610788">
        <w:rPr>
          <w:lang w:val="fr-FR"/>
        </w:rPr>
        <w:t xml:space="preserve"> d</w:t>
      </w:r>
      <w:r>
        <w:rPr>
          <w:lang w:val="fr-FR"/>
        </w:rPr>
        <w:t>’</w:t>
      </w:r>
      <w:r w:rsidRPr="00610788">
        <w:rPr>
          <w:lang w:val="fr-FR"/>
        </w:rPr>
        <w:t>empêcher que le racisme ne devienne la cause du malheur des Brésiliens d</w:t>
      </w:r>
      <w:r>
        <w:rPr>
          <w:lang w:val="fr-FR"/>
        </w:rPr>
        <w:t>’</w:t>
      </w:r>
      <w:r w:rsidRPr="00610788">
        <w:rPr>
          <w:lang w:val="fr-FR"/>
        </w:rPr>
        <w:t xml:space="preserve">ascendance africaine, au moyen de mesures juridiques, institutionnelles et politiques. Le Gouvernement brésilien a également fourni des informations sur son cadre juridique, notamment </w:t>
      </w:r>
      <w:r>
        <w:rPr>
          <w:lang w:val="fr-FR"/>
        </w:rPr>
        <w:t xml:space="preserve">sur </w:t>
      </w:r>
      <w:r w:rsidRPr="00610788">
        <w:rPr>
          <w:lang w:val="fr-FR"/>
        </w:rPr>
        <w:t xml:space="preserve">la loi </w:t>
      </w:r>
      <w:r w:rsidR="000F4ED1" w:rsidRPr="000F4ED1">
        <w:rPr>
          <w:rFonts w:eastAsia="MS Mincho"/>
          <w:lang w:val="fr-FR"/>
        </w:rPr>
        <w:t>n</w:t>
      </w:r>
      <w:r w:rsidR="000F4ED1" w:rsidRPr="000F4ED1">
        <w:rPr>
          <w:rFonts w:eastAsia="MS Mincho"/>
          <w:vertAlign w:val="superscript"/>
          <w:lang w:val="fr-FR"/>
        </w:rPr>
        <w:t>o</w:t>
      </w:r>
      <w:r w:rsidR="000F4ED1">
        <w:rPr>
          <w:lang w:val="fr-FR"/>
        </w:rPr>
        <w:t> </w:t>
      </w:r>
      <w:r w:rsidRPr="00610788">
        <w:rPr>
          <w:lang w:val="fr-FR"/>
        </w:rPr>
        <w:t xml:space="preserve">7716 de 1989 (modifiée par la loi </w:t>
      </w:r>
      <w:r w:rsidR="000F4ED1" w:rsidRPr="000F4ED1">
        <w:rPr>
          <w:rFonts w:eastAsia="MS Mincho"/>
          <w:lang w:val="fr-FR"/>
        </w:rPr>
        <w:t>n</w:t>
      </w:r>
      <w:r w:rsidR="000F4ED1" w:rsidRPr="000F4ED1">
        <w:rPr>
          <w:rFonts w:eastAsia="MS Mincho"/>
          <w:vertAlign w:val="superscript"/>
          <w:lang w:val="fr-FR"/>
        </w:rPr>
        <w:t>o</w:t>
      </w:r>
      <w:r w:rsidR="000F4ED1">
        <w:rPr>
          <w:lang w:val="fr-FR"/>
        </w:rPr>
        <w:t> </w:t>
      </w:r>
      <w:r w:rsidRPr="00610788">
        <w:rPr>
          <w:lang w:val="fr-FR"/>
        </w:rPr>
        <w:t>9459 de 1997) qui érige en infractions les actes motivés par des «</w:t>
      </w:r>
      <w:r w:rsidR="000F4ED1">
        <w:rPr>
          <w:lang w:val="fr-FR"/>
        </w:rPr>
        <w:t> </w:t>
      </w:r>
      <w:r w:rsidRPr="00610788">
        <w:rPr>
          <w:lang w:val="fr-FR"/>
        </w:rPr>
        <w:t>préjugés de race ou de couleur</w:t>
      </w:r>
      <w:r w:rsidR="000F4ED1">
        <w:rPr>
          <w:lang w:val="fr-FR"/>
        </w:rPr>
        <w:t> </w:t>
      </w:r>
      <w:r w:rsidRPr="00610788">
        <w:rPr>
          <w:lang w:val="fr-FR"/>
        </w:rPr>
        <w:t>»</w:t>
      </w:r>
      <w:r>
        <w:rPr>
          <w:lang w:val="fr-FR"/>
        </w:rPr>
        <w:t>.</w:t>
      </w:r>
    </w:p>
    <w:p w14:paraId="397E9B29" w14:textId="30613ABE" w:rsidR="00D301C6" w:rsidRPr="000F4ED1" w:rsidRDefault="000F4ED1" w:rsidP="000F4ED1">
      <w:pPr>
        <w:pStyle w:val="H4G"/>
        <w:rPr>
          <w:b/>
          <w:bCs/>
          <w:lang w:val="fr-FR"/>
        </w:rPr>
      </w:pPr>
      <w:r>
        <w:rPr>
          <w:lang w:val="fr-FR"/>
        </w:rPr>
        <w:tab/>
      </w:r>
      <w:r>
        <w:rPr>
          <w:lang w:val="fr-FR"/>
        </w:rPr>
        <w:tab/>
      </w:r>
      <w:r w:rsidR="00D301C6" w:rsidRPr="000F4ED1">
        <w:rPr>
          <w:b/>
          <w:bCs/>
          <w:lang w:val="fr-FR"/>
        </w:rPr>
        <w:t>Kevin Clarke (Royaume-Uni, mars 2018)</w:t>
      </w:r>
    </w:p>
    <w:p w14:paraId="49133741" w14:textId="10E137F6" w:rsidR="00D301C6" w:rsidRPr="00293268" w:rsidRDefault="00D301C6" w:rsidP="00D301C6">
      <w:pPr>
        <w:pStyle w:val="SingleTxtG"/>
        <w:rPr>
          <w:lang w:val="fr-FR"/>
        </w:rPr>
      </w:pPr>
      <w:r w:rsidRPr="00293268">
        <w:rPr>
          <w:lang w:val="fr-FR"/>
        </w:rPr>
        <w:t>127.</w:t>
      </w:r>
      <w:r w:rsidRPr="00293268">
        <w:rPr>
          <w:lang w:val="fr-FR"/>
        </w:rPr>
        <w:tab/>
      </w:r>
      <w:r w:rsidRPr="00A8064E">
        <w:rPr>
          <w:lang w:val="fr-FR"/>
        </w:rPr>
        <w:t xml:space="preserve">Selon les informations reçues, le </w:t>
      </w:r>
      <w:r w:rsidRPr="009A7644">
        <w:rPr>
          <w:lang w:val="fr-FR"/>
        </w:rPr>
        <w:t xml:space="preserve">Service de la police métropolitaine </w:t>
      </w:r>
      <w:r w:rsidRPr="00A8064E">
        <w:rPr>
          <w:lang w:val="fr-FR"/>
        </w:rPr>
        <w:t>a transmis l</w:t>
      </w:r>
      <w:r>
        <w:rPr>
          <w:lang w:val="fr-FR"/>
        </w:rPr>
        <w:t>’</w:t>
      </w:r>
      <w:r w:rsidRPr="00A8064E">
        <w:rPr>
          <w:lang w:val="fr-FR"/>
        </w:rPr>
        <w:t xml:space="preserve">affaire </w:t>
      </w:r>
      <w:r>
        <w:rPr>
          <w:lang w:val="fr-FR"/>
        </w:rPr>
        <w:t xml:space="preserve">au </w:t>
      </w:r>
      <w:r w:rsidRPr="007A66D7">
        <w:rPr>
          <w:lang w:val="fr-FR"/>
        </w:rPr>
        <w:t>Bureau des enquêtes indépendantes sur la police</w:t>
      </w:r>
      <w:r>
        <w:rPr>
          <w:lang w:val="fr-FR"/>
        </w:rPr>
        <w:t xml:space="preserve"> (</w:t>
      </w:r>
      <w:r w:rsidRPr="00293268">
        <w:rPr>
          <w:lang w:val="fr-FR"/>
        </w:rPr>
        <w:t>Independent Office for Police Conduct</w:t>
      </w:r>
      <w:r>
        <w:rPr>
          <w:lang w:val="fr-FR"/>
        </w:rPr>
        <w:t xml:space="preserve">, </w:t>
      </w:r>
      <w:r w:rsidRPr="00293268">
        <w:rPr>
          <w:lang w:val="fr-FR"/>
        </w:rPr>
        <w:t>IOPC)</w:t>
      </w:r>
      <w:r w:rsidRPr="00CD6B67">
        <w:rPr>
          <w:rStyle w:val="FootnoteReference"/>
        </w:rPr>
        <w:footnoteReference w:id="355"/>
      </w:r>
      <w:r>
        <w:rPr>
          <w:lang w:val="fr-FR"/>
        </w:rPr>
        <w:t>,</w:t>
      </w:r>
      <w:r w:rsidRPr="00293268">
        <w:rPr>
          <w:lang w:val="fr-FR"/>
        </w:rPr>
        <w:t xml:space="preserve"> </w:t>
      </w:r>
      <w:r w:rsidRPr="00975794">
        <w:rPr>
          <w:lang w:val="fr-FR"/>
        </w:rPr>
        <w:t>qui a c</w:t>
      </w:r>
      <w:r>
        <w:rPr>
          <w:lang w:val="fr-FR"/>
        </w:rPr>
        <w:t>lôturé</w:t>
      </w:r>
      <w:r w:rsidRPr="00975794">
        <w:rPr>
          <w:lang w:val="fr-FR"/>
        </w:rPr>
        <w:t xml:space="preserve"> son enquête sur les </w:t>
      </w:r>
      <w:r>
        <w:rPr>
          <w:lang w:val="fr-FR"/>
        </w:rPr>
        <w:t xml:space="preserve">agissements </w:t>
      </w:r>
      <w:r w:rsidRPr="00975794">
        <w:rPr>
          <w:lang w:val="fr-FR"/>
        </w:rPr>
        <w:t>d</w:t>
      </w:r>
      <w:r>
        <w:rPr>
          <w:lang w:val="fr-FR"/>
        </w:rPr>
        <w:t>’</w:t>
      </w:r>
      <w:r w:rsidRPr="00975794">
        <w:rPr>
          <w:lang w:val="fr-FR"/>
        </w:rPr>
        <w:t xml:space="preserve">un certain nombre de policiers en mai 2019. En octobre 2020, une </w:t>
      </w:r>
      <w:r w:rsidRPr="00C05808">
        <w:rPr>
          <w:lang w:val="fr-FR"/>
        </w:rPr>
        <w:t>information judiciaire</w:t>
      </w:r>
      <w:r w:rsidRPr="00CD6B67">
        <w:rPr>
          <w:rStyle w:val="FootnoteReference"/>
        </w:rPr>
        <w:footnoteReference w:id="356"/>
      </w:r>
      <w:r w:rsidRPr="00293268">
        <w:rPr>
          <w:lang w:val="fr-FR"/>
        </w:rPr>
        <w:t xml:space="preserve"> </w:t>
      </w:r>
      <w:r w:rsidRPr="008D5B3F">
        <w:rPr>
          <w:lang w:val="fr-FR"/>
        </w:rPr>
        <w:t>a conclu que l</w:t>
      </w:r>
      <w:r>
        <w:rPr>
          <w:lang w:val="fr-FR"/>
        </w:rPr>
        <w:t>’</w:t>
      </w:r>
      <w:r w:rsidRPr="008D5B3F">
        <w:rPr>
          <w:lang w:val="fr-FR"/>
        </w:rPr>
        <w:t>utilisation de moyens de contention avait contribué au décès de M.</w:t>
      </w:r>
      <w:r w:rsidR="00246FF6">
        <w:rPr>
          <w:lang w:val="fr-FR"/>
        </w:rPr>
        <w:t> </w:t>
      </w:r>
      <w:r w:rsidRPr="008D5B3F">
        <w:rPr>
          <w:lang w:val="fr-FR"/>
        </w:rPr>
        <w:t xml:space="preserve">Clarke et a mis en évidence de graves </w:t>
      </w:r>
      <w:r>
        <w:rPr>
          <w:lang w:val="fr-FR"/>
        </w:rPr>
        <w:t>manquement</w:t>
      </w:r>
      <w:r w:rsidRPr="008D5B3F">
        <w:rPr>
          <w:lang w:val="fr-FR"/>
        </w:rPr>
        <w:t xml:space="preserve">s dans la </w:t>
      </w:r>
      <w:r>
        <w:rPr>
          <w:lang w:val="fr-FR"/>
        </w:rPr>
        <w:t>prise en charge</w:t>
      </w:r>
      <w:r w:rsidRPr="008D5B3F">
        <w:rPr>
          <w:lang w:val="fr-FR"/>
        </w:rPr>
        <w:t xml:space="preserve"> de l</w:t>
      </w:r>
      <w:r>
        <w:rPr>
          <w:lang w:val="fr-FR"/>
        </w:rPr>
        <w:t>’</w:t>
      </w:r>
      <w:r w:rsidRPr="008D5B3F">
        <w:rPr>
          <w:lang w:val="fr-FR"/>
        </w:rPr>
        <w:t>incident par la police, les ambulanc</w:t>
      </w:r>
      <w:r>
        <w:rPr>
          <w:lang w:val="fr-FR"/>
        </w:rPr>
        <w:t>ier</w:t>
      </w:r>
      <w:r w:rsidRPr="008D5B3F">
        <w:rPr>
          <w:lang w:val="fr-FR"/>
        </w:rPr>
        <w:t>s et les services de santé mentale</w:t>
      </w:r>
      <w:r w:rsidRPr="00293268">
        <w:rPr>
          <w:lang w:val="fr-FR"/>
        </w:rPr>
        <w:t xml:space="preserve">. </w:t>
      </w:r>
      <w:r>
        <w:rPr>
          <w:lang w:val="fr-FR"/>
        </w:rPr>
        <w:t xml:space="preserve">La police londonienne et les services d’ambulance </w:t>
      </w:r>
      <w:r w:rsidRPr="00D44BC2">
        <w:rPr>
          <w:lang w:val="fr-FR"/>
        </w:rPr>
        <w:t>ont présenté leurs excuses pour les manquements identifiés par le jury. Sur la base des résultats de l</w:t>
      </w:r>
      <w:r>
        <w:rPr>
          <w:lang w:val="fr-FR"/>
        </w:rPr>
        <w:t>’information judiciaire</w:t>
      </w:r>
      <w:r w:rsidRPr="00D44BC2">
        <w:rPr>
          <w:lang w:val="fr-FR"/>
        </w:rPr>
        <w:t>, la famille de M.</w:t>
      </w:r>
      <w:r w:rsidR="00246FF6">
        <w:rPr>
          <w:lang w:val="fr-FR"/>
        </w:rPr>
        <w:t> </w:t>
      </w:r>
      <w:r w:rsidRPr="00D44BC2">
        <w:rPr>
          <w:lang w:val="fr-FR"/>
        </w:rPr>
        <w:t xml:space="preserve">Clarke a demandé </w:t>
      </w:r>
      <w:r>
        <w:rPr>
          <w:lang w:val="fr-FR"/>
        </w:rPr>
        <w:t>à l’</w:t>
      </w:r>
      <w:r w:rsidRPr="00293268">
        <w:rPr>
          <w:lang w:val="fr-FR"/>
        </w:rPr>
        <w:t xml:space="preserve">IOPC </w:t>
      </w:r>
      <w:r w:rsidRPr="00CE55FD">
        <w:rPr>
          <w:lang w:val="fr-FR"/>
        </w:rPr>
        <w:t>de revoir les conclusions de son enquête. Bien que l</w:t>
      </w:r>
      <w:r>
        <w:rPr>
          <w:lang w:val="fr-FR"/>
        </w:rPr>
        <w:t>’information judiciaire</w:t>
      </w:r>
      <w:r w:rsidRPr="00CE55FD">
        <w:rPr>
          <w:lang w:val="fr-FR"/>
        </w:rPr>
        <w:t xml:space="preserve"> ait conclu à des </w:t>
      </w:r>
      <w:r>
        <w:rPr>
          <w:lang w:val="fr-FR"/>
        </w:rPr>
        <w:t>fautes</w:t>
      </w:r>
      <w:r w:rsidRPr="00CE55FD">
        <w:rPr>
          <w:lang w:val="fr-FR"/>
        </w:rPr>
        <w:t>, aucune enquête pénale n</w:t>
      </w:r>
      <w:r>
        <w:rPr>
          <w:lang w:val="fr-FR"/>
        </w:rPr>
        <w:t>’</w:t>
      </w:r>
      <w:r w:rsidRPr="00CE55FD">
        <w:rPr>
          <w:lang w:val="fr-FR"/>
        </w:rPr>
        <w:t>a été ouverte</w:t>
      </w:r>
      <w:r w:rsidRPr="00293268">
        <w:rPr>
          <w:lang w:val="fr-FR"/>
        </w:rPr>
        <w:t>.</w:t>
      </w:r>
    </w:p>
    <w:p w14:paraId="013B9DC5" w14:textId="65F050E3" w:rsidR="00D301C6" w:rsidRPr="00293268" w:rsidRDefault="00D301C6" w:rsidP="00D301C6">
      <w:pPr>
        <w:pStyle w:val="SingleTxtG"/>
        <w:rPr>
          <w:lang w:val="fr-FR"/>
        </w:rPr>
      </w:pPr>
      <w:r w:rsidRPr="00293268">
        <w:rPr>
          <w:lang w:val="fr-FR"/>
        </w:rPr>
        <w:t>128.</w:t>
      </w:r>
      <w:r w:rsidRPr="00293268">
        <w:rPr>
          <w:lang w:val="fr-FR"/>
        </w:rPr>
        <w:tab/>
      </w:r>
      <w:r>
        <w:rPr>
          <w:lang w:val="fr-FR"/>
        </w:rPr>
        <w:t>Dans sa réponse</w:t>
      </w:r>
      <w:r w:rsidRPr="00CD6B67">
        <w:rPr>
          <w:rStyle w:val="FootnoteReference"/>
        </w:rPr>
        <w:footnoteReference w:id="357"/>
      </w:r>
      <w:r>
        <w:rPr>
          <w:lang w:val="fr-FR"/>
        </w:rPr>
        <w:t>,</w:t>
      </w:r>
      <w:r w:rsidRPr="00293268" w:rsidDel="00D61164">
        <w:rPr>
          <w:lang w:val="fr-FR"/>
        </w:rPr>
        <w:t xml:space="preserve"> </w:t>
      </w:r>
      <w:r w:rsidRPr="00F349E5">
        <w:rPr>
          <w:lang w:val="fr-FR"/>
        </w:rPr>
        <w:t>le Gouvernement britannique a indiqué qu</w:t>
      </w:r>
      <w:r>
        <w:rPr>
          <w:lang w:val="fr-FR"/>
        </w:rPr>
        <w:t>’</w:t>
      </w:r>
      <w:r w:rsidRPr="00F349E5">
        <w:rPr>
          <w:lang w:val="fr-FR"/>
        </w:rPr>
        <w:t xml:space="preserve">il ne pouvait toujours pas </w:t>
      </w:r>
      <w:r>
        <w:rPr>
          <w:lang w:val="fr-FR"/>
        </w:rPr>
        <w:t>formuler de remarques</w:t>
      </w:r>
      <w:r w:rsidRPr="00F349E5">
        <w:rPr>
          <w:lang w:val="fr-FR"/>
        </w:rPr>
        <w:t xml:space="preserve"> sur l</w:t>
      </w:r>
      <w:r>
        <w:rPr>
          <w:lang w:val="fr-FR"/>
        </w:rPr>
        <w:t>’</w:t>
      </w:r>
      <w:r w:rsidRPr="00F349E5">
        <w:rPr>
          <w:lang w:val="fr-FR"/>
        </w:rPr>
        <w:t xml:space="preserve">affaire </w:t>
      </w:r>
      <w:r>
        <w:rPr>
          <w:lang w:val="fr-FR"/>
        </w:rPr>
        <w:t>car les</w:t>
      </w:r>
      <w:r w:rsidRPr="00F349E5">
        <w:rPr>
          <w:lang w:val="fr-FR"/>
        </w:rPr>
        <w:t xml:space="preserve"> procédures judiciaires </w:t>
      </w:r>
      <w:r>
        <w:rPr>
          <w:lang w:val="fr-FR"/>
        </w:rPr>
        <w:t>n’étaient pas terminées</w:t>
      </w:r>
      <w:r w:rsidRPr="00F349E5">
        <w:rPr>
          <w:lang w:val="fr-FR"/>
        </w:rPr>
        <w:t>. Il a souligné les progrès réalisés dans trois domaines cl</w:t>
      </w:r>
      <w:r w:rsidR="00246FF6">
        <w:rPr>
          <w:lang w:val="fr-FR"/>
        </w:rPr>
        <w:t>ef</w:t>
      </w:r>
      <w:r w:rsidRPr="00F349E5">
        <w:rPr>
          <w:lang w:val="fr-FR"/>
        </w:rPr>
        <w:t>s. Le premier était la prévention des décès en garde à vue</w:t>
      </w:r>
      <w:r>
        <w:rPr>
          <w:lang w:val="fr-FR"/>
        </w:rPr>
        <w:t xml:space="preserve">, en évitant par exemple de consigner au commissariat les </w:t>
      </w:r>
      <w:r w:rsidRPr="00B156EA">
        <w:rPr>
          <w:lang w:val="fr-FR"/>
        </w:rPr>
        <w:t xml:space="preserve">personnes </w:t>
      </w:r>
      <w:r w:rsidRPr="0029619A">
        <w:rPr>
          <w:lang w:val="fr-FR"/>
        </w:rPr>
        <w:t>ayant des problèmes de santé mentale qui sont en situation de crise</w:t>
      </w:r>
      <w:r>
        <w:rPr>
          <w:lang w:val="fr-FR"/>
        </w:rPr>
        <w:t xml:space="preserve">, en apprenant aux policiers à détecter les risques sanitaires chez les détenus et en publiant annuellement des données sur l’usage de la force par la police, ventilées par origine ethnique. Le second était l’amélioration du </w:t>
      </w:r>
      <w:r w:rsidRPr="008565E8">
        <w:rPr>
          <w:lang w:val="fr-FR"/>
        </w:rPr>
        <w:t xml:space="preserve">soutien </w:t>
      </w:r>
      <w:r>
        <w:rPr>
          <w:lang w:val="fr-FR"/>
        </w:rPr>
        <w:t xml:space="preserve">apporté </w:t>
      </w:r>
      <w:r w:rsidRPr="008565E8">
        <w:rPr>
          <w:lang w:val="fr-FR"/>
        </w:rPr>
        <w:t xml:space="preserve">aux familles </w:t>
      </w:r>
      <w:r>
        <w:rPr>
          <w:lang w:val="fr-FR"/>
        </w:rPr>
        <w:t>en</w:t>
      </w:r>
      <w:r w:rsidRPr="008565E8">
        <w:rPr>
          <w:lang w:val="fr-FR"/>
        </w:rPr>
        <w:t xml:space="preserve"> cas de décès en garde à vue</w:t>
      </w:r>
      <w:r>
        <w:rPr>
          <w:lang w:val="fr-FR"/>
        </w:rPr>
        <w:t xml:space="preserve">, </w:t>
      </w:r>
      <w:r w:rsidRPr="0019310F">
        <w:rPr>
          <w:lang w:val="fr-FR"/>
        </w:rPr>
        <w:t xml:space="preserve">en </w:t>
      </w:r>
      <w:r>
        <w:rPr>
          <w:lang w:val="fr-FR"/>
        </w:rPr>
        <w:t>examinant</w:t>
      </w:r>
      <w:r w:rsidRPr="0019310F">
        <w:rPr>
          <w:lang w:val="fr-FR"/>
        </w:rPr>
        <w:t xml:space="preserve"> par exemple l’aide juridictionnelle fournie lors des informations judiciaires</w:t>
      </w:r>
      <w:r>
        <w:rPr>
          <w:lang w:val="fr-FR"/>
        </w:rPr>
        <w:t xml:space="preserve">. Le troisième était l’amélioration des </w:t>
      </w:r>
      <w:r w:rsidRPr="008D731A">
        <w:rPr>
          <w:lang w:val="fr-FR"/>
        </w:rPr>
        <w:t xml:space="preserve">informations disponibles immédiatement après un décès en </w:t>
      </w:r>
      <w:r>
        <w:rPr>
          <w:lang w:val="fr-FR"/>
        </w:rPr>
        <w:t>garde à vue et la garantie que la police soit tenue de rendre des comptes.</w:t>
      </w:r>
    </w:p>
    <w:p w14:paraId="67204A48" w14:textId="16FCBF0D" w:rsidR="00D301C6" w:rsidRPr="00740A7C" w:rsidRDefault="00740A7C" w:rsidP="00740A7C">
      <w:pPr>
        <w:pStyle w:val="H4G"/>
        <w:rPr>
          <w:b/>
          <w:bCs/>
          <w:lang w:val="fr-FR"/>
        </w:rPr>
      </w:pPr>
      <w:r>
        <w:rPr>
          <w:lang w:val="fr-FR"/>
        </w:rPr>
        <w:tab/>
      </w:r>
      <w:r>
        <w:rPr>
          <w:lang w:val="fr-FR"/>
        </w:rPr>
        <w:tab/>
      </w:r>
      <w:r w:rsidR="00D301C6" w:rsidRPr="00740A7C">
        <w:rPr>
          <w:b/>
          <w:bCs/>
          <w:lang w:val="fr-FR"/>
        </w:rPr>
        <w:t>Breonna Taylor (États-Unis, mars 2020)</w:t>
      </w:r>
    </w:p>
    <w:p w14:paraId="5CCEA371" w14:textId="67AC2B70" w:rsidR="00D301C6" w:rsidRPr="00293268" w:rsidRDefault="00D301C6" w:rsidP="00D301C6">
      <w:pPr>
        <w:pStyle w:val="SingleTxtG"/>
        <w:rPr>
          <w:lang w:val="fr-FR"/>
        </w:rPr>
      </w:pPr>
      <w:r w:rsidRPr="00293268">
        <w:rPr>
          <w:lang w:val="fr-FR"/>
        </w:rPr>
        <w:t>129.</w:t>
      </w:r>
      <w:r w:rsidRPr="00293268">
        <w:rPr>
          <w:lang w:val="fr-FR"/>
        </w:rPr>
        <w:tab/>
      </w:r>
      <w:r w:rsidRPr="000C545A">
        <w:rPr>
          <w:lang w:val="fr-FR"/>
        </w:rPr>
        <w:t>Selon les informations reçues, l</w:t>
      </w:r>
      <w:r>
        <w:rPr>
          <w:lang w:val="fr-FR"/>
        </w:rPr>
        <w:t>’</w:t>
      </w:r>
      <w:r w:rsidRPr="000C545A">
        <w:rPr>
          <w:lang w:val="fr-FR"/>
        </w:rPr>
        <w:t>unité de l</w:t>
      </w:r>
      <w:r>
        <w:rPr>
          <w:lang w:val="fr-FR"/>
        </w:rPr>
        <w:t>’</w:t>
      </w:r>
      <w:r w:rsidRPr="000C545A">
        <w:rPr>
          <w:lang w:val="fr-FR"/>
        </w:rPr>
        <w:t>intégrité publique de la police métropolitaine de Louisville a remis les conclusions de l</w:t>
      </w:r>
      <w:r>
        <w:rPr>
          <w:lang w:val="fr-FR"/>
        </w:rPr>
        <w:t>’</w:t>
      </w:r>
      <w:r w:rsidRPr="000C545A">
        <w:rPr>
          <w:lang w:val="fr-FR"/>
        </w:rPr>
        <w:t>enquête pénale le 20</w:t>
      </w:r>
      <w:r w:rsidR="00453497">
        <w:rPr>
          <w:lang w:val="fr-FR"/>
        </w:rPr>
        <w:t> </w:t>
      </w:r>
      <w:r w:rsidRPr="000C545A">
        <w:rPr>
          <w:lang w:val="fr-FR"/>
        </w:rPr>
        <w:t>mai 2020. Le</w:t>
      </w:r>
      <w:r w:rsidR="00453497">
        <w:rPr>
          <w:lang w:val="fr-FR"/>
        </w:rPr>
        <w:t> </w:t>
      </w:r>
      <w:r w:rsidRPr="000C545A">
        <w:rPr>
          <w:lang w:val="fr-FR"/>
        </w:rPr>
        <w:t xml:space="preserve">lendemain, le Federal Bureau of Investigation a annoncé </w:t>
      </w:r>
      <w:r>
        <w:rPr>
          <w:lang w:val="fr-FR"/>
        </w:rPr>
        <w:t>l’ouverture d’</w:t>
      </w:r>
      <w:r w:rsidRPr="000C545A">
        <w:rPr>
          <w:lang w:val="fr-FR"/>
        </w:rPr>
        <w:t xml:space="preserve">une enquête indépendante sur le décès de </w:t>
      </w:r>
      <w:r w:rsidR="00453497" w:rsidRPr="00453497">
        <w:rPr>
          <w:lang w:val="fr-FR"/>
        </w:rPr>
        <w:t>M</w:t>
      </w:r>
      <w:r w:rsidR="00453497" w:rsidRPr="00453497">
        <w:rPr>
          <w:vertAlign w:val="superscript"/>
          <w:lang w:val="fr-FR"/>
        </w:rPr>
        <w:t>me</w:t>
      </w:r>
      <w:r w:rsidR="00453497" w:rsidRPr="00453497">
        <w:rPr>
          <w:lang w:val="fr-FR"/>
        </w:rPr>
        <w:t> </w:t>
      </w:r>
      <w:r w:rsidRPr="000C545A">
        <w:rPr>
          <w:lang w:val="fr-FR"/>
        </w:rPr>
        <w:t xml:space="preserve">Taylor </w:t>
      </w:r>
      <w:r>
        <w:rPr>
          <w:lang w:val="fr-FR"/>
        </w:rPr>
        <w:t>dans le but de</w:t>
      </w:r>
      <w:r w:rsidRPr="000C545A">
        <w:rPr>
          <w:lang w:val="fr-FR"/>
        </w:rPr>
        <w:t xml:space="preserve"> déterminer si les policiers avaient violé ses droits constitutionnels. En septembre 2020, le </w:t>
      </w:r>
      <w:r w:rsidR="00453497">
        <w:rPr>
          <w:lang w:val="fr-FR"/>
        </w:rPr>
        <w:t>P</w:t>
      </w:r>
      <w:r w:rsidRPr="000C545A">
        <w:rPr>
          <w:lang w:val="fr-FR"/>
        </w:rPr>
        <w:t>rocureur général du Kentucky a annoncé qu</w:t>
      </w:r>
      <w:r>
        <w:rPr>
          <w:lang w:val="fr-FR"/>
        </w:rPr>
        <w:t>’</w:t>
      </w:r>
      <w:r w:rsidRPr="000C545A">
        <w:rPr>
          <w:lang w:val="fr-FR"/>
        </w:rPr>
        <w:t>un grand jury avait décidé d</w:t>
      </w:r>
      <w:r>
        <w:rPr>
          <w:lang w:val="fr-FR"/>
        </w:rPr>
        <w:t>’</w:t>
      </w:r>
      <w:r w:rsidRPr="000C545A">
        <w:rPr>
          <w:lang w:val="fr-FR"/>
        </w:rPr>
        <w:t>inculper l</w:t>
      </w:r>
      <w:r>
        <w:rPr>
          <w:lang w:val="fr-FR"/>
        </w:rPr>
        <w:t>’</w:t>
      </w:r>
      <w:r w:rsidRPr="000C545A">
        <w:rPr>
          <w:lang w:val="fr-FR"/>
        </w:rPr>
        <w:t xml:space="preserve">un des trois policiers </w:t>
      </w:r>
      <w:r>
        <w:rPr>
          <w:lang w:val="fr-FR"/>
        </w:rPr>
        <w:t xml:space="preserve">de trois chefs de mise en danger </w:t>
      </w:r>
      <w:r w:rsidRPr="005272DA">
        <w:rPr>
          <w:lang w:val="fr-FR"/>
        </w:rPr>
        <w:t>délibérée de la vie d</w:t>
      </w:r>
      <w:r>
        <w:rPr>
          <w:lang w:val="fr-FR"/>
        </w:rPr>
        <w:t>’</w:t>
      </w:r>
      <w:r w:rsidRPr="005272DA">
        <w:rPr>
          <w:lang w:val="fr-FR"/>
        </w:rPr>
        <w:t xml:space="preserve">autrui </w:t>
      </w:r>
      <w:r w:rsidRPr="000C545A">
        <w:rPr>
          <w:lang w:val="fr-FR"/>
        </w:rPr>
        <w:t>au premier degré pour avoir tiré dans l</w:t>
      </w:r>
      <w:r>
        <w:rPr>
          <w:lang w:val="fr-FR"/>
        </w:rPr>
        <w:t>’</w:t>
      </w:r>
      <w:r w:rsidRPr="000C545A">
        <w:rPr>
          <w:lang w:val="fr-FR"/>
        </w:rPr>
        <w:t xml:space="preserve">appartement de </w:t>
      </w:r>
      <w:r w:rsidR="00453497" w:rsidRPr="00453497">
        <w:rPr>
          <w:lang w:val="fr-FR"/>
        </w:rPr>
        <w:t>M</w:t>
      </w:r>
      <w:r w:rsidR="00453497" w:rsidRPr="00453497">
        <w:rPr>
          <w:vertAlign w:val="superscript"/>
          <w:lang w:val="fr-FR"/>
        </w:rPr>
        <w:t>me</w:t>
      </w:r>
      <w:r w:rsidR="00453497" w:rsidRPr="00453497">
        <w:rPr>
          <w:lang w:val="fr-FR"/>
        </w:rPr>
        <w:t> </w:t>
      </w:r>
      <w:r w:rsidRPr="000C545A">
        <w:rPr>
          <w:lang w:val="fr-FR"/>
        </w:rPr>
        <w:t>Taylor et mis en danger ses voisins. En mai 2021, l</w:t>
      </w:r>
      <w:r>
        <w:rPr>
          <w:lang w:val="fr-FR"/>
        </w:rPr>
        <w:t>’</w:t>
      </w:r>
      <w:r w:rsidRPr="000C545A">
        <w:rPr>
          <w:lang w:val="fr-FR"/>
        </w:rPr>
        <w:t>enquête fédérale était toujours en cours. Aucun policier n</w:t>
      </w:r>
      <w:r>
        <w:rPr>
          <w:lang w:val="fr-FR"/>
        </w:rPr>
        <w:t>’</w:t>
      </w:r>
      <w:r w:rsidRPr="000C545A">
        <w:rPr>
          <w:lang w:val="fr-FR"/>
        </w:rPr>
        <w:t>a été inculpé en relation avec ce décès</w:t>
      </w:r>
      <w:r w:rsidRPr="00293268">
        <w:rPr>
          <w:lang w:val="fr-FR"/>
        </w:rPr>
        <w:t>.</w:t>
      </w:r>
    </w:p>
    <w:p w14:paraId="7E6111F2" w14:textId="23467D5C" w:rsidR="00D301C6" w:rsidRPr="00293268" w:rsidRDefault="00D301C6" w:rsidP="00D301C6">
      <w:pPr>
        <w:pStyle w:val="SingleTxtG"/>
        <w:rPr>
          <w:lang w:val="fr-FR"/>
        </w:rPr>
      </w:pPr>
      <w:r w:rsidRPr="00293268">
        <w:rPr>
          <w:lang w:val="fr-FR"/>
        </w:rPr>
        <w:t>130.</w:t>
      </w:r>
      <w:r w:rsidRPr="00293268">
        <w:rPr>
          <w:lang w:val="fr-FR"/>
        </w:rPr>
        <w:tab/>
      </w:r>
      <w:r>
        <w:rPr>
          <w:lang w:val="fr-FR"/>
        </w:rPr>
        <w:t>Dans sa réponse</w:t>
      </w:r>
      <w:r w:rsidRPr="00CD6B67">
        <w:rPr>
          <w:rStyle w:val="FootnoteReference"/>
        </w:rPr>
        <w:footnoteReference w:id="358"/>
      </w:r>
      <w:r>
        <w:rPr>
          <w:lang w:val="fr-FR"/>
        </w:rPr>
        <w:t>,</w:t>
      </w:r>
      <w:r w:rsidRPr="00293268">
        <w:rPr>
          <w:lang w:val="fr-FR"/>
        </w:rPr>
        <w:t xml:space="preserve"> </w:t>
      </w:r>
      <w:r w:rsidRPr="00682E59">
        <w:rPr>
          <w:lang w:val="fr-FR"/>
        </w:rPr>
        <w:t xml:space="preserve">le Gouvernement américain </w:t>
      </w:r>
      <w:r>
        <w:rPr>
          <w:lang w:val="fr-FR"/>
        </w:rPr>
        <w:t>a signalé</w:t>
      </w:r>
      <w:r w:rsidRPr="00682E59">
        <w:rPr>
          <w:lang w:val="fr-FR"/>
        </w:rPr>
        <w:t xml:space="preserve"> que, le 11</w:t>
      </w:r>
      <w:r w:rsidR="00BA5692">
        <w:rPr>
          <w:lang w:val="fr-FR"/>
        </w:rPr>
        <w:t> </w:t>
      </w:r>
      <w:r w:rsidRPr="00682E59">
        <w:rPr>
          <w:lang w:val="fr-FR"/>
        </w:rPr>
        <w:t xml:space="preserve">juin 2020, le conseil municipal de Louisville avait adopté la loi </w:t>
      </w:r>
      <w:r w:rsidRPr="00BA5692">
        <w:rPr>
          <w:i/>
          <w:iCs/>
          <w:lang w:val="fr-FR"/>
        </w:rPr>
        <w:t>Breonna Taylor</w:t>
      </w:r>
      <w:r w:rsidRPr="00682E59">
        <w:rPr>
          <w:lang w:val="fr-FR"/>
        </w:rPr>
        <w:t xml:space="preserve"> interdisant </w:t>
      </w:r>
      <w:r>
        <w:rPr>
          <w:lang w:val="fr-FR"/>
        </w:rPr>
        <w:t>les</w:t>
      </w:r>
      <w:r w:rsidRPr="00682E59">
        <w:rPr>
          <w:lang w:val="fr-FR"/>
        </w:rPr>
        <w:t xml:space="preserve"> perquisition</w:t>
      </w:r>
      <w:r>
        <w:rPr>
          <w:lang w:val="fr-FR"/>
        </w:rPr>
        <w:t>s</w:t>
      </w:r>
      <w:r w:rsidRPr="00682E59">
        <w:rPr>
          <w:lang w:val="fr-FR"/>
        </w:rPr>
        <w:t xml:space="preserve"> «</w:t>
      </w:r>
      <w:r w:rsidR="00BA5692">
        <w:rPr>
          <w:lang w:val="fr-FR"/>
        </w:rPr>
        <w:t> </w:t>
      </w:r>
      <w:r w:rsidRPr="00682E59">
        <w:rPr>
          <w:lang w:val="fr-FR"/>
        </w:rPr>
        <w:t>sans frapper</w:t>
      </w:r>
      <w:r w:rsidR="00BA5692">
        <w:rPr>
          <w:lang w:val="fr-FR"/>
        </w:rPr>
        <w:t> </w:t>
      </w:r>
      <w:r w:rsidRPr="00682E59">
        <w:rPr>
          <w:lang w:val="fr-FR"/>
        </w:rPr>
        <w:t>» (</w:t>
      </w:r>
      <w:r w:rsidRPr="00B36A1F">
        <w:rPr>
          <w:i/>
          <w:iCs/>
          <w:lang w:val="fr-FR"/>
        </w:rPr>
        <w:t>no-knock warrants</w:t>
      </w:r>
      <w:r w:rsidRPr="00682E59">
        <w:rPr>
          <w:lang w:val="fr-FR"/>
        </w:rPr>
        <w:t xml:space="preserve">) et exigeant que tous les </w:t>
      </w:r>
      <w:r>
        <w:rPr>
          <w:lang w:val="fr-FR"/>
        </w:rPr>
        <w:t>policiers</w:t>
      </w:r>
      <w:r w:rsidRPr="00682E59">
        <w:rPr>
          <w:lang w:val="fr-FR"/>
        </w:rPr>
        <w:t xml:space="preserve"> de Louisville soient équipés de caméras-piétons en état de marche lorsqu</w:t>
      </w:r>
      <w:r>
        <w:rPr>
          <w:lang w:val="fr-FR"/>
        </w:rPr>
        <w:t>’</w:t>
      </w:r>
      <w:r w:rsidRPr="00682E59">
        <w:rPr>
          <w:lang w:val="fr-FR"/>
        </w:rPr>
        <w:t xml:space="preserve">ils exécutent un mandat de perquisition. Le même jour, la loi </w:t>
      </w:r>
      <w:r w:rsidRPr="00FA014A">
        <w:rPr>
          <w:i/>
          <w:iCs/>
          <w:lang w:val="fr-FR"/>
        </w:rPr>
        <w:t>Justice pour Breonna Taylor</w:t>
      </w:r>
      <w:r w:rsidRPr="00682E59">
        <w:rPr>
          <w:lang w:val="fr-FR"/>
        </w:rPr>
        <w:t xml:space="preserve"> interdisant le recours aux perquisition</w:t>
      </w:r>
      <w:r>
        <w:rPr>
          <w:lang w:val="fr-FR"/>
        </w:rPr>
        <w:t>s</w:t>
      </w:r>
      <w:r w:rsidRPr="00682E59">
        <w:rPr>
          <w:lang w:val="fr-FR"/>
        </w:rPr>
        <w:t xml:space="preserve"> </w:t>
      </w:r>
      <w:r w:rsidR="0097679C">
        <w:rPr>
          <w:lang w:val="fr-FR"/>
        </w:rPr>
        <w:t>« </w:t>
      </w:r>
      <w:r w:rsidRPr="00682E59">
        <w:rPr>
          <w:lang w:val="fr-FR"/>
        </w:rPr>
        <w:t>sans frapper</w:t>
      </w:r>
      <w:r w:rsidR="0097679C">
        <w:rPr>
          <w:lang w:val="fr-FR"/>
        </w:rPr>
        <w:t> »</w:t>
      </w:r>
      <w:r w:rsidRPr="00682E59">
        <w:rPr>
          <w:lang w:val="fr-FR"/>
        </w:rPr>
        <w:t xml:space="preserve"> au niveau fédéral, a été introduite au Congrès</w:t>
      </w:r>
      <w:r w:rsidRPr="00CD6B67">
        <w:rPr>
          <w:rStyle w:val="FootnoteReference"/>
        </w:rPr>
        <w:footnoteReference w:id="359"/>
      </w:r>
      <w:r w:rsidRPr="00682E59">
        <w:rPr>
          <w:lang w:val="fr-FR"/>
        </w:rPr>
        <w:t>. Le 26 avril 2021, le Ministère de la justice a ouvert une enquête sur les pratiques de l</w:t>
      </w:r>
      <w:r>
        <w:rPr>
          <w:lang w:val="fr-FR"/>
        </w:rPr>
        <w:t>’</w:t>
      </w:r>
      <w:r w:rsidRPr="00682E59">
        <w:rPr>
          <w:lang w:val="fr-FR"/>
        </w:rPr>
        <w:t>administration de Louisville</w:t>
      </w:r>
      <w:r w:rsidR="0097679C">
        <w:rPr>
          <w:lang w:val="fr-FR"/>
        </w:rPr>
        <w:t>,</w:t>
      </w:r>
      <w:r>
        <w:rPr>
          <w:lang w:val="fr-FR"/>
        </w:rPr>
        <w:t xml:space="preserve"> du </w:t>
      </w:r>
      <w:r w:rsidRPr="00682E59">
        <w:rPr>
          <w:lang w:val="fr-FR"/>
        </w:rPr>
        <w:t>comté de Jefferson et du service de police de Louisville afin d</w:t>
      </w:r>
      <w:r>
        <w:rPr>
          <w:lang w:val="fr-FR"/>
        </w:rPr>
        <w:t>’</w:t>
      </w:r>
      <w:r w:rsidRPr="00682E59">
        <w:rPr>
          <w:lang w:val="fr-FR"/>
        </w:rPr>
        <w:t>évaluer l</w:t>
      </w:r>
      <w:r>
        <w:rPr>
          <w:lang w:val="fr-FR"/>
        </w:rPr>
        <w:t>’</w:t>
      </w:r>
      <w:r w:rsidRPr="00682E59">
        <w:rPr>
          <w:lang w:val="fr-FR"/>
        </w:rPr>
        <w:t>usage de la force par la police</w:t>
      </w:r>
      <w:r w:rsidR="00DD3D0D">
        <w:rPr>
          <w:lang w:val="fr-FR"/>
        </w:rPr>
        <w:t xml:space="preserve"> et</w:t>
      </w:r>
      <w:r w:rsidRPr="00682E59">
        <w:rPr>
          <w:lang w:val="fr-FR"/>
        </w:rPr>
        <w:t xml:space="preserve"> de déterminer si le service de police pratique un maintien de l</w:t>
      </w:r>
      <w:r>
        <w:rPr>
          <w:lang w:val="fr-FR"/>
        </w:rPr>
        <w:t>’</w:t>
      </w:r>
      <w:r w:rsidRPr="00682E59">
        <w:rPr>
          <w:lang w:val="fr-FR"/>
        </w:rPr>
        <w:t xml:space="preserve">ordre discriminatoire et procède à des interpellations, des saisies et des arrestations déraisonnables, tant lors </w:t>
      </w:r>
      <w:r>
        <w:rPr>
          <w:lang w:val="fr-FR"/>
        </w:rPr>
        <w:t>de</w:t>
      </w:r>
      <w:r w:rsidRPr="00682E59">
        <w:rPr>
          <w:lang w:val="fr-FR"/>
        </w:rPr>
        <w:t xml:space="preserve"> patrouille</w:t>
      </w:r>
      <w:r>
        <w:rPr>
          <w:lang w:val="fr-FR"/>
        </w:rPr>
        <w:t>s</w:t>
      </w:r>
      <w:r w:rsidRPr="00682E59">
        <w:rPr>
          <w:lang w:val="fr-FR"/>
        </w:rPr>
        <w:t xml:space="preserve"> que lors de l</w:t>
      </w:r>
      <w:r>
        <w:rPr>
          <w:lang w:val="fr-FR"/>
        </w:rPr>
        <w:t>’</w:t>
      </w:r>
      <w:r w:rsidRPr="00682E59">
        <w:rPr>
          <w:lang w:val="fr-FR"/>
        </w:rPr>
        <w:t>obtention et de l</w:t>
      </w:r>
      <w:r>
        <w:rPr>
          <w:lang w:val="fr-FR"/>
        </w:rPr>
        <w:t>’</w:t>
      </w:r>
      <w:r w:rsidRPr="00682E59">
        <w:rPr>
          <w:lang w:val="fr-FR"/>
        </w:rPr>
        <w:t xml:space="preserve">exécution de mandats de perquisition </w:t>
      </w:r>
      <w:r>
        <w:rPr>
          <w:lang w:val="fr-FR"/>
        </w:rPr>
        <w:t>au domicile de particuliers</w:t>
      </w:r>
      <w:r w:rsidRPr="00CD6B67">
        <w:rPr>
          <w:rStyle w:val="FootnoteReference"/>
        </w:rPr>
        <w:footnoteReference w:id="360"/>
      </w:r>
      <w:r>
        <w:rPr>
          <w:lang w:val="fr-FR"/>
        </w:rPr>
        <w:t>.</w:t>
      </w:r>
    </w:p>
    <w:p w14:paraId="6CFA6054" w14:textId="3E87B2B4" w:rsidR="00D301C6" w:rsidRPr="00AD33E9" w:rsidRDefault="00AD33E9" w:rsidP="00AD33E9">
      <w:pPr>
        <w:pStyle w:val="H4G"/>
        <w:rPr>
          <w:b/>
          <w:bCs/>
          <w:lang w:val="es-ES"/>
        </w:rPr>
      </w:pPr>
      <w:r w:rsidRPr="00E21F93">
        <w:tab/>
      </w:r>
      <w:r w:rsidRPr="00E21F93">
        <w:tab/>
      </w:r>
      <w:r w:rsidR="00D301C6" w:rsidRPr="00AD33E9">
        <w:rPr>
          <w:b/>
          <w:bCs/>
          <w:lang w:val="es-ES"/>
        </w:rPr>
        <w:t>João Pedro Matos Pinto (Brésil, mai 2020)</w:t>
      </w:r>
    </w:p>
    <w:p w14:paraId="5C4E7A9D" w14:textId="77777777" w:rsidR="00D301C6" w:rsidRPr="00293268" w:rsidRDefault="00D301C6" w:rsidP="00D301C6">
      <w:pPr>
        <w:pStyle w:val="SingleTxtG"/>
        <w:rPr>
          <w:lang w:val="fr-FR"/>
        </w:rPr>
      </w:pPr>
      <w:r w:rsidRPr="00293268">
        <w:rPr>
          <w:lang w:val="fr-FR"/>
        </w:rPr>
        <w:t>131.</w:t>
      </w:r>
      <w:r w:rsidRPr="00293268">
        <w:rPr>
          <w:lang w:val="fr-FR"/>
        </w:rPr>
        <w:tab/>
      </w:r>
      <w:r w:rsidRPr="000E2D5B">
        <w:rPr>
          <w:lang w:val="fr-FR"/>
        </w:rPr>
        <w:t xml:space="preserve">Selon les informations </w:t>
      </w:r>
      <w:r>
        <w:rPr>
          <w:lang w:val="fr-FR"/>
        </w:rPr>
        <w:t>transmis</w:t>
      </w:r>
      <w:r w:rsidRPr="000E2D5B">
        <w:rPr>
          <w:lang w:val="fr-FR"/>
        </w:rPr>
        <w:t>es, l</w:t>
      </w:r>
      <w:r>
        <w:rPr>
          <w:lang w:val="fr-FR"/>
        </w:rPr>
        <w:t>’</w:t>
      </w:r>
      <w:r w:rsidRPr="000E2D5B">
        <w:rPr>
          <w:lang w:val="fr-FR"/>
        </w:rPr>
        <w:t>unité des homicides de la police civile et le parquet de l</w:t>
      </w:r>
      <w:r>
        <w:rPr>
          <w:lang w:val="fr-FR"/>
        </w:rPr>
        <w:t>’</w:t>
      </w:r>
      <w:r w:rsidRPr="000E2D5B">
        <w:rPr>
          <w:lang w:val="fr-FR"/>
        </w:rPr>
        <w:t xml:space="preserve">État de Rio de Janeiro ont ouvert une enquête pénale sur ce décès. </w:t>
      </w:r>
      <w:r>
        <w:rPr>
          <w:lang w:val="fr-FR"/>
        </w:rPr>
        <w:t>L</w:t>
      </w:r>
      <w:r w:rsidRPr="000E2D5B">
        <w:rPr>
          <w:lang w:val="fr-FR"/>
        </w:rPr>
        <w:t xml:space="preserve">e ministère public fédéral et la police fédérale ont </w:t>
      </w:r>
      <w:r>
        <w:rPr>
          <w:lang w:val="fr-FR"/>
        </w:rPr>
        <w:t xml:space="preserve">également </w:t>
      </w:r>
      <w:r w:rsidRPr="000E2D5B">
        <w:rPr>
          <w:lang w:val="fr-FR"/>
        </w:rPr>
        <w:t xml:space="preserve">ouvert des enquêtes sur les agissements de la police fédérale. </w:t>
      </w:r>
      <w:r>
        <w:rPr>
          <w:lang w:val="fr-FR"/>
        </w:rPr>
        <w:t>L</w:t>
      </w:r>
      <w:r w:rsidRPr="000E2D5B">
        <w:rPr>
          <w:lang w:val="fr-FR"/>
        </w:rPr>
        <w:t>es trois agents de la police civile ayant pris part à l</w:t>
      </w:r>
      <w:r>
        <w:rPr>
          <w:lang w:val="fr-FR"/>
        </w:rPr>
        <w:t>’</w:t>
      </w:r>
      <w:r w:rsidRPr="000E2D5B">
        <w:rPr>
          <w:lang w:val="fr-FR"/>
        </w:rPr>
        <w:t xml:space="preserve">intervention </w:t>
      </w:r>
      <w:r>
        <w:rPr>
          <w:lang w:val="fr-FR"/>
        </w:rPr>
        <w:t>auraie</w:t>
      </w:r>
      <w:r w:rsidRPr="000E2D5B">
        <w:rPr>
          <w:lang w:val="fr-FR"/>
        </w:rPr>
        <w:t xml:space="preserve">nt été suspendus. </w:t>
      </w:r>
      <w:r>
        <w:rPr>
          <w:lang w:val="fr-FR"/>
        </w:rPr>
        <w:t>D’après</w:t>
      </w:r>
      <w:r w:rsidRPr="000E2D5B">
        <w:rPr>
          <w:lang w:val="fr-FR"/>
        </w:rPr>
        <w:t xml:space="preserve"> les agents de la police civile </w:t>
      </w:r>
      <w:r>
        <w:rPr>
          <w:lang w:val="fr-FR"/>
        </w:rPr>
        <w:t>mis en cause dans ce décès</w:t>
      </w:r>
      <w:r w:rsidRPr="000E2D5B">
        <w:rPr>
          <w:lang w:val="fr-FR"/>
        </w:rPr>
        <w:t>, João Pedro</w:t>
      </w:r>
      <w:r w:rsidRPr="00813782">
        <w:rPr>
          <w:lang w:val="fr-FR"/>
        </w:rPr>
        <w:t xml:space="preserve"> </w:t>
      </w:r>
      <w:r w:rsidRPr="00FC715B">
        <w:rPr>
          <w:lang w:val="fr-FR"/>
        </w:rPr>
        <w:t>Matos Pinto</w:t>
      </w:r>
      <w:r w:rsidRPr="000E2D5B">
        <w:rPr>
          <w:lang w:val="fr-FR"/>
        </w:rPr>
        <w:t xml:space="preserve"> </w:t>
      </w:r>
      <w:r>
        <w:rPr>
          <w:lang w:val="fr-FR"/>
        </w:rPr>
        <w:t>s’est retrouvé pris</w:t>
      </w:r>
      <w:r w:rsidRPr="000E2D5B">
        <w:rPr>
          <w:lang w:val="fr-FR"/>
        </w:rPr>
        <w:t xml:space="preserve"> entre deux feux lors d</w:t>
      </w:r>
      <w:r>
        <w:rPr>
          <w:lang w:val="fr-FR"/>
        </w:rPr>
        <w:t>’</w:t>
      </w:r>
      <w:r w:rsidRPr="000E2D5B">
        <w:rPr>
          <w:lang w:val="fr-FR"/>
        </w:rPr>
        <w:t xml:space="preserve">une confrontation entre la police et des trafiquants de drogue qui </w:t>
      </w:r>
      <w:r>
        <w:rPr>
          <w:lang w:val="fr-FR"/>
        </w:rPr>
        <w:t>tentaient de s’enfuir</w:t>
      </w:r>
      <w:r w:rsidRPr="000E2D5B">
        <w:rPr>
          <w:lang w:val="fr-FR"/>
        </w:rPr>
        <w:t>. En mai 2021, aucune accusation n</w:t>
      </w:r>
      <w:r>
        <w:rPr>
          <w:lang w:val="fr-FR"/>
        </w:rPr>
        <w:t>’</w:t>
      </w:r>
      <w:r w:rsidRPr="000E2D5B">
        <w:rPr>
          <w:lang w:val="fr-FR"/>
        </w:rPr>
        <w:t>avait été portée et l</w:t>
      </w:r>
      <w:r>
        <w:rPr>
          <w:lang w:val="fr-FR"/>
        </w:rPr>
        <w:t>’</w:t>
      </w:r>
      <w:r w:rsidRPr="000E2D5B">
        <w:rPr>
          <w:lang w:val="fr-FR"/>
        </w:rPr>
        <w:t>enquête de la police civile n</w:t>
      </w:r>
      <w:r>
        <w:rPr>
          <w:lang w:val="fr-FR"/>
        </w:rPr>
        <w:t>’</w:t>
      </w:r>
      <w:r w:rsidRPr="000E2D5B">
        <w:rPr>
          <w:lang w:val="fr-FR"/>
        </w:rPr>
        <w:t>était toujours pas conclue</w:t>
      </w:r>
      <w:r w:rsidRPr="00293268">
        <w:rPr>
          <w:lang w:val="fr-FR"/>
        </w:rPr>
        <w:t>.</w:t>
      </w:r>
    </w:p>
    <w:p w14:paraId="49C2BBDE" w14:textId="77777777" w:rsidR="00D301C6" w:rsidRPr="00293268" w:rsidRDefault="00D301C6" w:rsidP="00D301C6">
      <w:pPr>
        <w:pStyle w:val="SingleTxtG"/>
        <w:rPr>
          <w:lang w:val="fr-FR"/>
        </w:rPr>
      </w:pPr>
      <w:r w:rsidRPr="00293268">
        <w:rPr>
          <w:lang w:val="fr-FR"/>
        </w:rPr>
        <w:t>132.</w:t>
      </w:r>
      <w:r w:rsidRPr="00293268">
        <w:rPr>
          <w:lang w:val="fr-FR"/>
        </w:rPr>
        <w:tab/>
      </w:r>
      <w:r>
        <w:rPr>
          <w:lang w:val="fr-FR"/>
        </w:rPr>
        <w:t>Dans sa réponse</w:t>
      </w:r>
      <w:r w:rsidRPr="00CD6B67">
        <w:rPr>
          <w:rStyle w:val="FootnoteReference"/>
        </w:rPr>
        <w:footnoteReference w:id="361"/>
      </w:r>
      <w:r>
        <w:rPr>
          <w:lang w:val="fr-FR"/>
        </w:rPr>
        <w:t>,</w:t>
      </w:r>
      <w:r w:rsidRPr="00293268">
        <w:rPr>
          <w:lang w:val="fr-FR"/>
        </w:rPr>
        <w:t xml:space="preserve"> </w:t>
      </w:r>
      <w:r w:rsidRPr="00344F83">
        <w:rPr>
          <w:lang w:val="fr-FR"/>
        </w:rPr>
        <w:t xml:space="preserve">le Gouvernement brésilien a indiqué que, outre les enquêtes et les procédures pénales en cours </w:t>
      </w:r>
      <w:r>
        <w:rPr>
          <w:lang w:val="fr-FR"/>
        </w:rPr>
        <w:t>évoquées</w:t>
      </w:r>
      <w:r w:rsidRPr="00344F83">
        <w:rPr>
          <w:lang w:val="fr-FR"/>
        </w:rPr>
        <w:t xml:space="preserve"> ci-dessus, </w:t>
      </w:r>
      <w:r w:rsidRPr="009823C5">
        <w:rPr>
          <w:lang w:val="fr-FR"/>
        </w:rPr>
        <w:t xml:space="preserve">le Ministère de la justice et de la sécurité publique a élaboré plusieurs projets </w:t>
      </w:r>
      <w:r>
        <w:rPr>
          <w:lang w:val="fr-FR"/>
        </w:rPr>
        <w:t>visant à améliorer</w:t>
      </w:r>
      <w:r w:rsidRPr="009823C5">
        <w:rPr>
          <w:lang w:val="fr-FR"/>
        </w:rPr>
        <w:t xml:space="preserve"> les performances de la police de proximité au sein des entités fédérales, au moyen d’une aide </w:t>
      </w:r>
      <w:r>
        <w:rPr>
          <w:lang w:val="fr-FR"/>
        </w:rPr>
        <w:t>pour l</w:t>
      </w:r>
      <w:r w:rsidRPr="009823C5">
        <w:rPr>
          <w:lang w:val="fr-FR"/>
        </w:rPr>
        <w:t>’é</w:t>
      </w:r>
      <w:r>
        <w:rPr>
          <w:lang w:val="fr-FR"/>
        </w:rPr>
        <w:t>laboration</w:t>
      </w:r>
      <w:r w:rsidRPr="009823C5">
        <w:rPr>
          <w:lang w:val="fr-FR"/>
        </w:rPr>
        <w:t xml:space="preserve">, </w:t>
      </w:r>
      <w:r>
        <w:rPr>
          <w:lang w:val="fr-FR"/>
        </w:rPr>
        <w:t>l</w:t>
      </w:r>
      <w:r w:rsidRPr="009823C5">
        <w:rPr>
          <w:lang w:val="fr-FR"/>
        </w:rPr>
        <w:t xml:space="preserve">’application et </w:t>
      </w:r>
      <w:r>
        <w:rPr>
          <w:lang w:val="fr-FR"/>
        </w:rPr>
        <w:t>la</w:t>
      </w:r>
      <w:r w:rsidRPr="009823C5">
        <w:rPr>
          <w:lang w:val="fr-FR"/>
        </w:rPr>
        <w:t xml:space="preserve"> diffusion de bonnes pratiques en matière de prévention</w:t>
      </w:r>
      <w:r w:rsidRPr="00344F83">
        <w:rPr>
          <w:lang w:val="fr-FR"/>
        </w:rPr>
        <w:t xml:space="preserve"> de la violence, et en accordant la priorité aux groupes exposés à la violence. Le Ministère de la justice et de la sécurité publique élabore également des lignes directrices fédéral</w:t>
      </w:r>
      <w:r>
        <w:rPr>
          <w:lang w:val="fr-FR"/>
        </w:rPr>
        <w:t>es</w:t>
      </w:r>
      <w:r w:rsidRPr="00344F83">
        <w:rPr>
          <w:lang w:val="fr-FR"/>
        </w:rPr>
        <w:t xml:space="preserve"> sur le soutien à apporter aux groupes vulnérables, ainsi que des formations </w:t>
      </w:r>
      <w:r>
        <w:rPr>
          <w:lang w:val="fr-FR"/>
        </w:rPr>
        <w:t>pour les</w:t>
      </w:r>
      <w:r w:rsidRPr="00344F83">
        <w:rPr>
          <w:lang w:val="fr-FR"/>
        </w:rPr>
        <w:t xml:space="preserve"> agents de sécurité publique. Comme indiqué ci-dessus, le Secrétariat national des politiques de promotion de l</w:t>
      </w:r>
      <w:r>
        <w:rPr>
          <w:lang w:val="fr-FR"/>
        </w:rPr>
        <w:t>’</w:t>
      </w:r>
      <w:r w:rsidRPr="00344F83">
        <w:rPr>
          <w:lang w:val="fr-FR"/>
        </w:rPr>
        <w:t>égalité raciale du Ministère de la femme, de la famille et des droits de l</w:t>
      </w:r>
      <w:r>
        <w:rPr>
          <w:lang w:val="fr-FR"/>
        </w:rPr>
        <w:t>’</w:t>
      </w:r>
      <w:r w:rsidRPr="00344F83">
        <w:rPr>
          <w:lang w:val="fr-FR"/>
        </w:rPr>
        <w:t xml:space="preserve">homme a </w:t>
      </w:r>
      <w:r>
        <w:rPr>
          <w:lang w:val="fr-FR"/>
        </w:rPr>
        <w:t xml:space="preserve">déclaré </w:t>
      </w:r>
      <w:r w:rsidRPr="00344F83">
        <w:rPr>
          <w:lang w:val="fr-FR"/>
        </w:rPr>
        <w:t>regrett</w:t>
      </w:r>
      <w:r>
        <w:rPr>
          <w:lang w:val="fr-FR"/>
        </w:rPr>
        <w:t>er</w:t>
      </w:r>
      <w:r w:rsidRPr="00344F83">
        <w:rPr>
          <w:lang w:val="fr-FR"/>
        </w:rPr>
        <w:t xml:space="preserve"> que des </w:t>
      </w:r>
      <w:r>
        <w:rPr>
          <w:lang w:val="fr-FR"/>
        </w:rPr>
        <w:t>affaires comme</w:t>
      </w:r>
      <w:r w:rsidRPr="00344F83">
        <w:rPr>
          <w:lang w:val="fr-FR"/>
        </w:rPr>
        <w:t xml:space="preserve"> la mort de Luana Barbosa dos Reis Santos et de João Pedro Matos Pinto se produisent encore au Brésil, et souligné qu</w:t>
      </w:r>
      <w:r>
        <w:rPr>
          <w:lang w:val="fr-FR"/>
        </w:rPr>
        <w:t>’</w:t>
      </w:r>
      <w:r w:rsidRPr="00344F83">
        <w:rPr>
          <w:lang w:val="fr-FR"/>
        </w:rPr>
        <w:t>il s</w:t>
      </w:r>
      <w:r>
        <w:rPr>
          <w:lang w:val="fr-FR"/>
        </w:rPr>
        <w:t>’</w:t>
      </w:r>
      <w:r w:rsidRPr="00344F83">
        <w:rPr>
          <w:lang w:val="fr-FR"/>
        </w:rPr>
        <w:t>e</w:t>
      </w:r>
      <w:r>
        <w:rPr>
          <w:lang w:val="fr-FR"/>
        </w:rPr>
        <w:t>fforç</w:t>
      </w:r>
      <w:r w:rsidRPr="00344F83">
        <w:rPr>
          <w:lang w:val="fr-FR"/>
        </w:rPr>
        <w:t xml:space="preserve">ait </w:t>
      </w:r>
      <w:r>
        <w:rPr>
          <w:lang w:val="fr-FR"/>
        </w:rPr>
        <w:t>de prévenir leur répétition</w:t>
      </w:r>
      <w:r w:rsidRPr="00293268">
        <w:rPr>
          <w:lang w:val="fr-FR"/>
        </w:rPr>
        <w:t>.</w:t>
      </w:r>
    </w:p>
    <w:p w14:paraId="4EADFD87" w14:textId="0AD92F6A" w:rsidR="00D301C6" w:rsidRPr="00F20464" w:rsidRDefault="00F20464" w:rsidP="00F20464">
      <w:pPr>
        <w:pStyle w:val="H4G"/>
        <w:rPr>
          <w:b/>
          <w:bCs/>
          <w:lang w:val="fr-FR"/>
        </w:rPr>
      </w:pPr>
      <w:r>
        <w:rPr>
          <w:lang w:val="fr-FR"/>
        </w:rPr>
        <w:tab/>
      </w:r>
      <w:r>
        <w:rPr>
          <w:lang w:val="fr-FR"/>
        </w:rPr>
        <w:tab/>
      </w:r>
      <w:r w:rsidR="00D301C6" w:rsidRPr="00F20464">
        <w:rPr>
          <w:b/>
          <w:bCs/>
          <w:lang w:val="fr-FR"/>
        </w:rPr>
        <w:t>Janner García Palomino (Colombie, avril 2020)</w:t>
      </w:r>
    </w:p>
    <w:p w14:paraId="03E401A2" w14:textId="709563BF" w:rsidR="00D301C6" w:rsidRPr="00293268" w:rsidRDefault="00D301C6" w:rsidP="00D301C6">
      <w:pPr>
        <w:pStyle w:val="SingleTxtG"/>
        <w:rPr>
          <w:lang w:val="fr-FR"/>
        </w:rPr>
      </w:pPr>
      <w:r w:rsidRPr="00293268">
        <w:rPr>
          <w:lang w:val="fr-FR"/>
        </w:rPr>
        <w:t>133.</w:t>
      </w:r>
      <w:r w:rsidRPr="00293268">
        <w:rPr>
          <w:lang w:val="fr-FR"/>
        </w:rPr>
        <w:tab/>
      </w:r>
      <w:r w:rsidRPr="00330BC0">
        <w:rPr>
          <w:lang w:val="fr-FR"/>
        </w:rPr>
        <w:t xml:space="preserve">Selon les informations reçues, le Bureau du </w:t>
      </w:r>
      <w:r w:rsidR="008539A7">
        <w:rPr>
          <w:lang w:val="fr-FR"/>
        </w:rPr>
        <w:t>P</w:t>
      </w:r>
      <w:r w:rsidRPr="00330BC0">
        <w:rPr>
          <w:lang w:val="fr-FR"/>
        </w:rPr>
        <w:t>rocureur général a ouvert une enquête pour homicide. En mai 2021, l</w:t>
      </w:r>
      <w:r>
        <w:rPr>
          <w:lang w:val="fr-FR"/>
        </w:rPr>
        <w:t>’</w:t>
      </w:r>
      <w:r w:rsidRPr="00330BC0">
        <w:rPr>
          <w:lang w:val="fr-FR"/>
        </w:rPr>
        <w:t xml:space="preserve">enquête pénale était encore ouverte et </w:t>
      </w:r>
      <w:r>
        <w:rPr>
          <w:lang w:val="fr-FR"/>
        </w:rPr>
        <w:t xml:space="preserve">personne </w:t>
      </w:r>
      <w:r w:rsidRPr="00330BC0">
        <w:rPr>
          <w:lang w:val="fr-FR"/>
        </w:rPr>
        <w:t>n</w:t>
      </w:r>
      <w:r>
        <w:rPr>
          <w:lang w:val="fr-FR"/>
        </w:rPr>
        <w:t>’</w:t>
      </w:r>
      <w:r w:rsidRPr="00330BC0">
        <w:rPr>
          <w:lang w:val="fr-FR"/>
        </w:rPr>
        <w:t>avait été inculpé pour la mort de M.</w:t>
      </w:r>
      <w:r w:rsidR="00B14642">
        <w:rPr>
          <w:lang w:val="fr-FR"/>
        </w:rPr>
        <w:t> </w:t>
      </w:r>
      <w:r w:rsidRPr="00330BC0">
        <w:rPr>
          <w:lang w:val="fr-FR"/>
        </w:rPr>
        <w:t>García Palomino</w:t>
      </w:r>
      <w:r w:rsidRPr="00293268">
        <w:rPr>
          <w:lang w:val="fr-FR"/>
        </w:rPr>
        <w:t>.</w:t>
      </w:r>
    </w:p>
    <w:p w14:paraId="5D1F524E" w14:textId="0A413E7D" w:rsidR="00D301C6" w:rsidRPr="00293268" w:rsidRDefault="00D301C6" w:rsidP="00D301C6">
      <w:pPr>
        <w:pStyle w:val="SingleTxtG"/>
        <w:rPr>
          <w:lang w:val="fr-FR"/>
        </w:rPr>
      </w:pPr>
      <w:r w:rsidRPr="00293268">
        <w:rPr>
          <w:lang w:val="fr-FR"/>
        </w:rPr>
        <w:t>134.</w:t>
      </w:r>
      <w:r w:rsidRPr="00293268">
        <w:rPr>
          <w:lang w:val="fr-FR"/>
        </w:rPr>
        <w:tab/>
      </w:r>
      <w:r w:rsidRPr="003C792A">
        <w:rPr>
          <w:lang w:val="fr-FR"/>
        </w:rPr>
        <w:t>Dans sa réponse, le Gouvernement colombien a indiqué que le procureur a</w:t>
      </w:r>
      <w:r>
        <w:rPr>
          <w:lang w:val="fr-FR"/>
        </w:rPr>
        <w:t>vait</w:t>
      </w:r>
      <w:r w:rsidRPr="003C792A">
        <w:rPr>
          <w:lang w:val="fr-FR"/>
        </w:rPr>
        <w:t xml:space="preserve"> ouvert </w:t>
      </w:r>
      <w:r w:rsidR="007565BA">
        <w:rPr>
          <w:lang w:val="fr-FR"/>
        </w:rPr>
        <w:t>20 </w:t>
      </w:r>
      <w:r w:rsidRPr="003C792A">
        <w:rPr>
          <w:lang w:val="fr-FR"/>
        </w:rPr>
        <w:t>procédures et ordonné à la police judiciaire d</w:t>
      </w:r>
      <w:r>
        <w:rPr>
          <w:lang w:val="fr-FR"/>
        </w:rPr>
        <w:t>’</w:t>
      </w:r>
      <w:r w:rsidRPr="003C792A">
        <w:rPr>
          <w:lang w:val="fr-FR"/>
        </w:rPr>
        <w:t>établir les faits et d</w:t>
      </w:r>
      <w:r>
        <w:rPr>
          <w:lang w:val="fr-FR"/>
        </w:rPr>
        <w:t>’</w:t>
      </w:r>
      <w:r w:rsidRPr="003C792A">
        <w:rPr>
          <w:lang w:val="fr-FR"/>
        </w:rPr>
        <w:t xml:space="preserve">identifier leurs auteurs. Il a également </w:t>
      </w:r>
      <w:r>
        <w:rPr>
          <w:lang w:val="fr-FR"/>
        </w:rPr>
        <w:t>signalé</w:t>
      </w:r>
      <w:r w:rsidRPr="003C792A">
        <w:rPr>
          <w:lang w:val="fr-FR"/>
        </w:rPr>
        <w:t xml:space="preserve"> que l</w:t>
      </w:r>
      <w:r>
        <w:rPr>
          <w:lang w:val="fr-FR"/>
        </w:rPr>
        <w:t>’</w:t>
      </w:r>
      <w:r w:rsidRPr="003C792A">
        <w:rPr>
          <w:lang w:val="fr-FR"/>
        </w:rPr>
        <w:t>enquête pénale se poursui</w:t>
      </w:r>
      <w:r>
        <w:rPr>
          <w:lang w:val="fr-FR"/>
        </w:rPr>
        <w:t>vai</w:t>
      </w:r>
      <w:r w:rsidRPr="003C792A">
        <w:rPr>
          <w:lang w:val="fr-FR"/>
        </w:rPr>
        <w:t>t et que les organes juridictionnels allaient établir les faits et les responsabilités pertinentes, selon les principes du système juridique national. Il a ajouté qu</w:t>
      </w:r>
      <w:r>
        <w:rPr>
          <w:lang w:val="fr-FR"/>
        </w:rPr>
        <w:t>’</w:t>
      </w:r>
      <w:r w:rsidRPr="003C792A">
        <w:rPr>
          <w:lang w:val="fr-FR"/>
        </w:rPr>
        <w:t>il continuerait à informer le HCDH des progrès et des résultats de l</w:t>
      </w:r>
      <w:r>
        <w:rPr>
          <w:lang w:val="fr-FR"/>
        </w:rPr>
        <w:t>’</w:t>
      </w:r>
      <w:r w:rsidRPr="003C792A">
        <w:rPr>
          <w:lang w:val="fr-FR"/>
        </w:rPr>
        <w:t>enquête, tels qu</w:t>
      </w:r>
      <w:r>
        <w:rPr>
          <w:lang w:val="fr-FR"/>
        </w:rPr>
        <w:t>’</w:t>
      </w:r>
      <w:r w:rsidRPr="003C792A">
        <w:rPr>
          <w:lang w:val="fr-FR"/>
        </w:rPr>
        <w:t>ils sont communiqués par les autorités compétentes</w:t>
      </w:r>
      <w:r w:rsidRPr="00293268">
        <w:rPr>
          <w:lang w:val="fr-FR"/>
        </w:rPr>
        <w:t>.</w:t>
      </w:r>
    </w:p>
    <w:p w14:paraId="15A56BDB" w14:textId="77777777" w:rsidR="00D301C6" w:rsidRPr="00293268" w:rsidRDefault="00D301C6" w:rsidP="00D301C6">
      <w:pPr>
        <w:pStyle w:val="SingleTxtG"/>
        <w:rPr>
          <w:lang w:val="fr-FR"/>
        </w:rPr>
      </w:pPr>
      <w:r w:rsidRPr="00293268">
        <w:rPr>
          <w:lang w:val="fr-FR"/>
        </w:rPr>
        <w:t>135.</w:t>
      </w:r>
      <w:r w:rsidRPr="00293268">
        <w:rPr>
          <w:lang w:val="fr-FR"/>
        </w:rPr>
        <w:tab/>
      </w:r>
      <w:r w:rsidRPr="004607EA">
        <w:rPr>
          <w:lang w:val="fr-FR"/>
        </w:rPr>
        <w:t xml:space="preserve">Comme indiqué ci-dessous, la section qui suit met  en évidence </w:t>
      </w:r>
      <w:r>
        <w:rPr>
          <w:lang w:val="fr-FR"/>
        </w:rPr>
        <w:t xml:space="preserve">les </w:t>
      </w:r>
      <w:r w:rsidRPr="004607EA">
        <w:rPr>
          <w:lang w:val="fr-FR"/>
        </w:rPr>
        <w:t>quatre grands types de difficulté</w:t>
      </w:r>
      <w:r>
        <w:rPr>
          <w:lang w:val="fr-FR"/>
        </w:rPr>
        <w:t>s</w:t>
      </w:r>
      <w:r w:rsidRPr="004607EA">
        <w:rPr>
          <w:lang w:val="fr-FR"/>
        </w:rPr>
        <w:t xml:space="preserve"> </w:t>
      </w:r>
      <w:r w:rsidRPr="000354AC">
        <w:rPr>
          <w:lang w:val="fr-FR"/>
        </w:rPr>
        <w:t>que soulèvent l</w:t>
      </w:r>
      <w:r>
        <w:rPr>
          <w:lang w:val="fr-FR"/>
        </w:rPr>
        <w:t>’</w:t>
      </w:r>
      <w:r w:rsidRPr="000354AC">
        <w:rPr>
          <w:lang w:val="fr-FR"/>
        </w:rPr>
        <w:t xml:space="preserve">établissement des responsabilités et </w:t>
      </w:r>
      <w:r>
        <w:rPr>
          <w:lang w:val="fr-FR"/>
        </w:rPr>
        <w:t>l’octroi d’une</w:t>
      </w:r>
      <w:r w:rsidRPr="000354AC">
        <w:rPr>
          <w:lang w:val="fr-FR"/>
        </w:rPr>
        <w:t xml:space="preserve"> réparation lorsque les forces de l</w:t>
      </w:r>
      <w:r>
        <w:rPr>
          <w:lang w:val="fr-FR"/>
        </w:rPr>
        <w:t>’</w:t>
      </w:r>
      <w:r w:rsidRPr="000354AC">
        <w:rPr>
          <w:lang w:val="fr-FR"/>
        </w:rPr>
        <w:t>ordre font usage de la force et commettent des violations des droits de l</w:t>
      </w:r>
      <w:r>
        <w:rPr>
          <w:lang w:val="fr-FR"/>
        </w:rPr>
        <w:t>’</w:t>
      </w:r>
      <w:r w:rsidRPr="000354AC">
        <w:rPr>
          <w:lang w:val="fr-FR"/>
        </w:rPr>
        <w:t>homme à l</w:t>
      </w:r>
      <w:r>
        <w:rPr>
          <w:lang w:val="fr-FR"/>
        </w:rPr>
        <w:t>’</w:t>
      </w:r>
      <w:r w:rsidRPr="000354AC">
        <w:rPr>
          <w:lang w:val="fr-FR"/>
        </w:rPr>
        <w:t>encontre de personnes d</w:t>
      </w:r>
      <w:r>
        <w:rPr>
          <w:lang w:val="fr-FR"/>
        </w:rPr>
        <w:t>’</w:t>
      </w:r>
      <w:r w:rsidRPr="000354AC">
        <w:rPr>
          <w:lang w:val="fr-FR"/>
        </w:rPr>
        <w:t>ascendance africaine, en particulier celles qui entraînent la mort</w:t>
      </w:r>
      <w:r w:rsidRPr="00293268">
        <w:rPr>
          <w:lang w:val="fr-FR"/>
        </w:rPr>
        <w:t>.</w:t>
      </w:r>
    </w:p>
    <w:p w14:paraId="06276B28" w14:textId="18B9E7FA" w:rsidR="00D301C6" w:rsidRPr="00293268" w:rsidRDefault="00D301C6" w:rsidP="007565BA">
      <w:pPr>
        <w:pStyle w:val="H23G"/>
        <w:rPr>
          <w:lang w:val="fr-FR"/>
        </w:rPr>
      </w:pPr>
      <w:bookmarkStart w:id="414" w:name="_Toc74562583"/>
      <w:bookmarkStart w:id="415" w:name="_Toc74657692"/>
      <w:bookmarkStart w:id="416" w:name="_Toc74661218"/>
      <w:bookmarkStart w:id="417" w:name="_Toc74666513"/>
      <w:bookmarkStart w:id="418" w:name="_Toc74671434"/>
      <w:bookmarkStart w:id="419" w:name="_Toc74867347"/>
      <w:bookmarkStart w:id="420" w:name="_Toc74919100"/>
      <w:bookmarkStart w:id="421" w:name="_Toc74919755"/>
      <w:bookmarkStart w:id="422" w:name="_Toc74925790"/>
      <w:bookmarkStart w:id="423" w:name="_Toc74927639"/>
      <w:r w:rsidRPr="00293268">
        <w:rPr>
          <w:lang w:val="fr-FR"/>
        </w:rPr>
        <w:tab/>
        <w:t>1.</w:t>
      </w:r>
      <w:r w:rsidRPr="00293268">
        <w:rPr>
          <w:lang w:val="fr-FR"/>
        </w:rPr>
        <w:tab/>
      </w:r>
      <w:bookmarkEnd w:id="414"/>
      <w:bookmarkEnd w:id="415"/>
      <w:bookmarkEnd w:id="416"/>
      <w:bookmarkEnd w:id="417"/>
      <w:bookmarkEnd w:id="418"/>
      <w:bookmarkEnd w:id="419"/>
      <w:bookmarkEnd w:id="420"/>
      <w:bookmarkEnd w:id="421"/>
      <w:bookmarkEnd w:id="422"/>
      <w:bookmarkEnd w:id="423"/>
      <w:r w:rsidRPr="00021913">
        <w:rPr>
          <w:lang w:val="fr-FR"/>
        </w:rPr>
        <w:t>Faire en sorte que l</w:t>
      </w:r>
      <w:r>
        <w:rPr>
          <w:lang w:val="fr-FR"/>
        </w:rPr>
        <w:t>’</w:t>
      </w:r>
      <w:r w:rsidRPr="00021913">
        <w:rPr>
          <w:lang w:val="fr-FR"/>
        </w:rPr>
        <w:t xml:space="preserve">examen du rôle de la discrimination raciale, des stéréotypes </w:t>
      </w:r>
      <w:r w:rsidR="007565BA">
        <w:rPr>
          <w:lang w:val="fr-FR"/>
        </w:rPr>
        <w:br/>
      </w:r>
      <w:r w:rsidRPr="00021913">
        <w:rPr>
          <w:lang w:val="fr-FR"/>
        </w:rPr>
        <w:t>et des préjugés racistes soit au cœur du processus d</w:t>
      </w:r>
      <w:r>
        <w:rPr>
          <w:lang w:val="fr-FR"/>
        </w:rPr>
        <w:t>’</w:t>
      </w:r>
      <w:r w:rsidRPr="00021913">
        <w:rPr>
          <w:lang w:val="fr-FR"/>
        </w:rPr>
        <w:t xml:space="preserve">établissement </w:t>
      </w:r>
      <w:r w:rsidR="007565BA">
        <w:rPr>
          <w:lang w:val="fr-FR"/>
        </w:rPr>
        <w:br/>
      </w:r>
      <w:r w:rsidRPr="00021913">
        <w:rPr>
          <w:lang w:val="fr-FR"/>
        </w:rPr>
        <w:t>des responsabilités</w:t>
      </w:r>
    </w:p>
    <w:p w14:paraId="314692A8" w14:textId="77777777" w:rsidR="00D301C6" w:rsidRPr="00293268" w:rsidRDefault="00D301C6" w:rsidP="00D301C6">
      <w:pPr>
        <w:pStyle w:val="SingleTxtG"/>
        <w:rPr>
          <w:lang w:val="fr-FR"/>
        </w:rPr>
      </w:pPr>
      <w:r w:rsidRPr="00293268">
        <w:rPr>
          <w:lang w:val="fr-FR"/>
        </w:rPr>
        <w:t>136.</w:t>
      </w:r>
      <w:r w:rsidRPr="00293268">
        <w:rPr>
          <w:lang w:val="fr-FR"/>
        </w:rPr>
        <w:tab/>
      </w:r>
      <w:r w:rsidRPr="002C489D">
        <w:rPr>
          <w:lang w:val="fr-FR"/>
        </w:rPr>
        <w:t>Toute privation de la vie fondée sur une</w:t>
      </w:r>
      <w:r>
        <w:rPr>
          <w:lang w:val="fr-FR"/>
        </w:rPr>
        <w:t xml:space="preserve"> </w:t>
      </w:r>
      <w:r w:rsidRPr="002C489D">
        <w:rPr>
          <w:lang w:val="fr-FR"/>
        </w:rPr>
        <w:t xml:space="preserve">discrimination dans la loi ou dans la pratique est </w:t>
      </w:r>
      <w:r w:rsidRPr="00BB4106">
        <w:rPr>
          <w:i/>
          <w:iCs/>
          <w:lang w:val="fr-FR"/>
        </w:rPr>
        <w:t>ipso facto</w:t>
      </w:r>
      <w:r w:rsidRPr="002C489D">
        <w:rPr>
          <w:lang w:val="fr-FR"/>
        </w:rPr>
        <w:t xml:space="preserve"> de nature arbitraire</w:t>
      </w:r>
      <w:r w:rsidRPr="00CD6B67">
        <w:rPr>
          <w:rStyle w:val="FootnoteReference"/>
        </w:rPr>
        <w:footnoteReference w:id="362"/>
      </w:r>
      <w:r>
        <w:rPr>
          <w:lang w:val="fr-FR"/>
        </w:rPr>
        <w:t>.</w:t>
      </w:r>
      <w:r w:rsidRPr="00293268">
        <w:rPr>
          <w:lang w:val="fr-FR"/>
        </w:rPr>
        <w:t xml:space="preserve"> </w:t>
      </w:r>
      <w:r>
        <w:rPr>
          <w:lang w:val="fr-FR"/>
        </w:rPr>
        <w:t xml:space="preserve">Les États doivent </w:t>
      </w:r>
      <w:r w:rsidRPr="00EF3174">
        <w:rPr>
          <w:lang w:val="fr-FR"/>
        </w:rPr>
        <w:t>prendre des mesures appropriées pour établir la vérité sur les faits ayant abouti à la</w:t>
      </w:r>
      <w:r>
        <w:rPr>
          <w:lang w:val="fr-FR"/>
        </w:rPr>
        <w:t xml:space="preserve"> </w:t>
      </w:r>
      <w:r w:rsidRPr="00EF3174">
        <w:rPr>
          <w:lang w:val="fr-FR"/>
        </w:rPr>
        <w:t>privation de la vie, notamment les raisons pour lesquelles certains individus ont été visés, et</w:t>
      </w:r>
      <w:r>
        <w:rPr>
          <w:lang w:val="fr-FR"/>
        </w:rPr>
        <w:t xml:space="preserve"> </w:t>
      </w:r>
      <w:r w:rsidRPr="00EF3174">
        <w:rPr>
          <w:lang w:val="fr-FR"/>
        </w:rPr>
        <w:t>sur quelle base juridique, et les procédures appliquées par les forces de l</w:t>
      </w:r>
      <w:r>
        <w:rPr>
          <w:lang w:val="fr-FR"/>
        </w:rPr>
        <w:t>’</w:t>
      </w:r>
      <w:r w:rsidRPr="00EF3174">
        <w:rPr>
          <w:lang w:val="fr-FR"/>
        </w:rPr>
        <w:t>État avant,</w:t>
      </w:r>
      <w:r>
        <w:rPr>
          <w:lang w:val="fr-FR"/>
        </w:rPr>
        <w:t xml:space="preserve"> </w:t>
      </w:r>
      <w:r w:rsidRPr="00EF3174">
        <w:rPr>
          <w:lang w:val="fr-FR"/>
        </w:rPr>
        <w:t>pendant et après le moment où la privation de la vie a eu lieu</w:t>
      </w:r>
      <w:r w:rsidRPr="00CD6B67">
        <w:rPr>
          <w:rStyle w:val="FootnoteReference"/>
        </w:rPr>
        <w:footnoteReference w:id="363"/>
      </w:r>
      <w:r>
        <w:rPr>
          <w:lang w:val="fr-FR"/>
        </w:rPr>
        <w:t>.</w:t>
      </w:r>
      <w:r w:rsidRPr="00293268">
        <w:rPr>
          <w:lang w:val="fr-FR"/>
        </w:rPr>
        <w:t xml:space="preserve"> </w:t>
      </w:r>
      <w:r>
        <w:rPr>
          <w:lang w:val="fr-FR"/>
        </w:rPr>
        <w:t>En outre,</w:t>
      </w:r>
      <w:r w:rsidRPr="00293268">
        <w:rPr>
          <w:lang w:val="fr-FR"/>
        </w:rPr>
        <w:t xml:space="preserve"> </w:t>
      </w:r>
      <w:r>
        <w:rPr>
          <w:lang w:val="fr-FR"/>
        </w:rPr>
        <w:t>l’</w:t>
      </w:r>
      <w:r w:rsidRPr="00A162FA">
        <w:rPr>
          <w:lang w:val="fr-FR"/>
        </w:rPr>
        <w:t>obligation de protéger le droit à la vie exige des États</w:t>
      </w:r>
      <w:r>
        <w:rPr>
          <w:lang w:val="fr-FR"/>
        </w:rPr>
        <w:t xml:space="preserve"> </w:t>
      </w:r>
      <w:r w:rsidRPr="008A1CD8">
        <w:rPr>
          <w:lang w:val="fr-FR"/>
        </w:rPr>
        <w:t>qu</w:t>
      </w:r>
      <w:r>
        <w:rPr>
          <w:lang w:val="fr-FR"/>
        </w:rPr>
        <w:t>’</w:t>
      </w:r>
      <w:r w:rsidRPr="008A1CD8">
        <w:rPr>
          <w:lang w:val="fr-FR"/>
        </w:rPr>
        <w:t>ils prennent des</w:t>
      </w:r>
      <w:r>
        <w:rPr>
          <w:lang w:val="fr-FR"/>
        </w:rPr>
        <w:t xml:space="preserve"> </w:t>
      </w:r>
      <w:r w:rsidRPr="008A1CD8">
        <w:rPr>
          <w:lang w:val="fr-FR"/>
        </w:rPr>
        <w:t>mesures de protection spéciales en faveur des personnes en situation de vulnérabilité dont la</w:t>
      </w:r>
      <w:r>
        <w:rPr>
          <w:lang w:val="fr-FR"/>
        </w:rPr>
        <w:t xml:space="preserve"> </w:t>
      </w:r>
      <w:r w:rsidRPr="008A1CD8">
        <w:rPr>
          <w:lang w:val="fr-FR"/>
        </w:rPr>
        <w:t>vie est exposée à un risque particulier</w:t>
      </w:r>
      <w:r>
        <w:rPr>
          <w:lang w:val="fr-FR"/>
        </w:rPr>
        <w:t>, notamment</w:t>
      </w:r>
      <w:r w:rsidRPr="008A1CD8">
        <w:rPr>
          <w:lang w:val="fr-FR"/>
        </w:rPr>
        <w:t xml:space="preserve"> en raison de </w:t>
      </w:r>
      <w:r w:rsidRPr="00B77354">
        <w:rPr>
          <w:lang w:val="fr-FR"/>
        </w:rPr>
        <w:t>schémas de</w:t>
      </w:r>
      <w:r>
        <w:rPr>
          <w:lang w:val="fr-FR"/>
        </w:rPr>
        <w:t xml:space="preserve"> </w:t>
      </w:r>
      <w:r w:rsidRPr="00B77354">
        <w:rPr>
          <w:lang w:val="fr-FR"/>
        </w:rPr>
        <w:t>violence préexistants</w:t>
      </w:r>
      <w:r w:rsidRPr="00293268">
        <w:rPr>
          <w:lang w:val="fr-FR"/>
        </w:rPr>
        <w:t xml:space="preserve">. </w:t>
      </w:r>
      <w:r>
        <w:rPr>
          <w:lang w:val="fr-FR"/>
        </w:rPr>
        <w:t xml:space="preserve">Sont également concernés les </w:t>
      </w:r>
      <w:r w:rsidRPr="002D003A">
        <w:rPr>
          <w:lang w:val="fr-FR"/>
        </w:rPr>
        <w:t>membres de minorités ethniques et</w:t>
      </w:r>
      <w:r>
        <w:rPr>
          <w:lang w:val="fr-FR"/>
        </w:rPr>
        <w:t xml:space="preserve"> r</w:t>
      </w:r>
      <w:r w:rsidRPr="002D003A">
        <w:rPr>
          <w:lang w:val="fr-FR"/>
        </w:rPr>
        <w:t>eligieuses</w:t>
      </w:r>
      <w:r w:rsidRPr="00CD6B67">
        <w:rPr>
          <w:rStyle w:val="FootnoteReference"/>
        </w:rPr>
        <w:footnoteReference w:id="364"/>
      </w:r>
      <w:r>
        <w:rPr>
          <w:lang w:val="fr-FR"/>
        </w:rPr>
        <w:t>.</w:t>
      </w:r>
    </w:p>
    <w:p w14:paraId="7B75088D" w14:textId="6625B7E1" w:rsidR="00D301C6" w:rsidRPr="00293268" w:rsidRDefault="00D301C6" w:rsidP="00D301C6">
      <w:pPr>
        <w:pStyle w:val="SingleTxtG"/>
        <w:rPr>
          <w:lang w:val="fr-FR"/>
        </w:rPr>
      </w:pPr>
      <w:r w:rsidRPr="00293268">
        <w:rPr>
          <w:lang w:val="fr-FR"/>
        </w:rPr>
        <w:t>137.</w:t>
      </w:r>
      <w:r w:rsidRPr="00293268">
        <w:rPr>
          <w:lang w:val="fr-FR"/>
        </w:rPr>
        <w:tab/>
      </w:r>
      <w:r w:rsidRPr="00AC5EA8">
        <w:rPr>
          <w:lang w:val="fr-FR"/>
        </w:rPr>
        <w:t>L</w:t>
      </w:r>
      <w:r>
        <w:rPr>
          <w:lang w:val="fr-FR"/>
        </w:rPr>
        <w:t>’</w:t>
      </w:r>
      <w:r w:rsidRPr="00AC5EA8">
        <w:rPr>
          <w:lang w:val="fr-FR"/>
        </w:rPr>
        <w:t xml:space="preserve">analyse de plus de 190 incidents </w:t>
      </w:r>
      <w:r>
        <w:rPr>
          <w:lang w:val="fr-FR"/>
        </w:rPr>
        <w:t>révèle</w:t>
      </w:r>
      <w:r w:rsidRPr="00AC5EA8">
        <w:rPr>
          <w:lang w:val="fr-FR"/>
        </w:rPr>
        <w:t xml:space="preserve"> que </w:t>
      </w:r>
      <w:r w:rsidRPr="00EE6AD7">
        <w:rPr>
          <w:lang w:val="fr-FR"/>
        </w:rPr>
        <w:t xml:space="preserve">les préjugés et stéréotypes raciaux et le profilage </w:t>
      </w:r>
      <w:r>
        <w:rPr>
          <w:lang w:val="fr-FR"/>
        </w:rPr>
        <w:t xml:space="preserve">racial </w:t>
      </w:r>
      <w:r w:rsidRPr="00EE6AD7">
        <w:rPr>
          <w:lang w:val="fr-FR"/>
        </w:rPr>
        <w:t xml:space="preserve">semblent jouer un rôle récurrent et prédominant </w:t>
      </w:r>
      <w:r w:rsidRPr="00AC5EA8">
        <w:rPr>
          <w:lang w:val="fr-FR"/>
        </w:rPr>
        <w:t xml:space="preserve">dans les trois </w:t>
      </w:r>
      <w:r>
        <w:rPr>
          <w:lang w:val="fr-FR"/>
        </w:rPr>
        <w:t>situations</w:t>
      </w:r>
      <w:r w:rsidRPr="00AC5EA8">
        <w:rPr>
          <w:lang w:val="fr-FR"/>
        </w:rPr>
        <w:t xml:space="preserve"> dans lesquel</w:t>
      </w:r>
      <w:r>
        <w:rPr>
          <w:lang w:val="fr-FR"/>
        </w:rPr>
        <w:t>le</w:t>
      </w:r>
      <w:r w:rsidRPr="00AC5EA8">
        <w:rPr>
          <w:lang w:val="fr-FR"/>
        </w:rPr>
        <w:t>s le décès de personnes d</w:t>
      </w:r>
      <w:r>
        <w:rPr>
          <w:lang w:val="fr-FR"/>
        </w:rPr>
        <w:t>’</w:t>
      </w:r>
      <w:r w:rsidRPr="00AC5EA8">
        <w:rPr>
          <w:lang w:val="fr-FR"/>
        </w:rPr>
        <w:t xml:space="preserve">ascendance africaine </w:t>
      </w:r>
      <w:r>
        <w:rPr>
          <w:lang w:val="fr-FR"/>
        </w:rPr>
        <w:t xml:space="preserve">causé </w:t>
      </w:r>
      <w:r w:rsidRPr="00AC5EA8">
        <w:rPr>
          <w:lang w:val="fr-FR"/>
        </w:rPr>
        <w:t>par les forces de l</w:t>
      </w:r>
      <w:r>
        <w:rPr>
          <w:lang w:val="fr-FR"/>
        </w:rPr>
        <w:t>’</w:t>
      </w:r>
      <w:r w:rsidRPr="00AC5EA8">
        <w:rPr>
          <w:lang w:val="fr-FR"/>
        </w:rPr>
        <w:t xml:space="preserve">ordre se produit le plus souvent. Apparemment, certaines représentations ou perceptions erronées et stéréotypées du danger inhérent à telle ou telle situation ou à tel ou tel individu continuent de présider à la logique des décisions prises dans le contexte </w:t>
      </w:r>
      <w:r>
        <w:rPr>
          <w:lang w:val="fr-FR"/>
        </w:rPr>
        <w:t>du maintien de l’ordre</w:t>
      </w:r>
      <w:r w:rsidRPr="00AC5EA8">
        <w:rPr>
          <w:lang w:val="fr-FR"/>
        </w:rPr>
        <w:t xml:space="preserve">. Cette situation est aggravée par des facteurs de discrimination </w:t>
      </w:r>
      <w:r>
        <w:rPr>
          <w:lang w:val="fr-FR"/>
        </w:rPr>
        <w:t>qui se recoupent entre eux</w:t>
      </w:r>
      <w:r w:rsidRPr="00AC5EA8">
        <w:rPr>
          <w:lang w:val="fr-FR"/>
        </w:rPr>
        <w:t xml:space="preserve">, </w:t>
      </w:r>
      <w:r>
        <w:rPr>
          <w:lang w:val="fr-FR"/>
        </w:rPr>
        <w:t>comme</w:t>
      </w:r>
      <w:r w:rsidRPr="00AC5EA8">
        <w:rPr>
          <w:lang w:val="fr-FR"/>
        </w:rPr>
        <w:t xml:space="preserve"> le statut socioéconomique, </w:t>
      </w:r>
      <w:r>
        <w:rPr>
          <w:lang w:val="fr-FR"/>
        </w:rPr>
        <w:t>professionnel ou migratoire</w:t>
      </w:r>
      <w:r w:rsidRPr="00AC5EA8">
        <w:rPr>
          <w:lang w:val="fr-FR"/>
        </w:rPr>
        <w:t>, le sexe, l</w:t>
      </w:r>
      <w:r>
        <w:rPr>
          <w:lang w:val="fr-FR"/>
        </w:rPr>
        <w:t>’</w:t>
      </w:r>
      <w:r w:rsidRPr="00AC5EA8">
        <w:rPr>
          <w:lang w:val="fr-FR"/>
        </w:rPr>
        <w:t>orientation sexuelle et l</w:t>
      </w:r>
      <w:r>
        <w:rPr>
          <w:lang w:val="fr-FR"/>
        </w:rPr>
        <w:t>’</w:t>
      </w:r>
      <w:r w:rsidRPr="00AC5EA8">
        <w:rPr>
          <w:lang w:val="fr-FR"/>
        </w:rPr>
        <w:t xml:space="preserve">identité de genre, la religion et les handicaps psychosociaux. En outre, dans les sept </w:t>
      </w:r>
      <w:r>
        <w:rPr>
          <w:lang w:val="fr-FR"/>
        </w:rPr>
        <w:t xml:space="preserve">affaires </w:t>
      </w:r>
      <w:r w:rsidRPr="00AC5EA8">
        <w:rPr>
          <w:lang w:val="fr-FR"/>
        </w:rPr>
        <w:t>cité</w:t>
      </w:r>
      <w:r>
        <w:rPr>
          <w:lang w:val="fr-FR"/>
        </w:rPr>
        <w:t>e</w:t>
      </w:r>
      <w:r w:rsidRPr="00AC5EA8">
        <w:rPr>
          <w:lang w:val="fr-FR"/>
        </w:rPr>
        <w:t xml:space="preserve">s en exemple, les enquêtes ne semblent pas avoir pleinement pris en </w:t>
      </w:r>
      <w:r>
        <w:rPr>
          <w:lang w:val="fr-FR"/>
        </w:rPr>
        <w:t>considération</w:t>
      </w:r>
      <w:r w:rsidRPr="00AC5EA8">
        <w:rPr>
          <w:lang w:val="fr-FR"/>
        </w:rPr>
        <w:t xml:space="preserve"> le rôle que la discrimination raciale et les stéréotypes et préjugés raciaux ont pu jouer dans </w:t>
      </w:r>
      <w:r>
        <w:rPr>
          <w:lang w:val="fr-FR"/>
        </w:rPr>
        <w:t>c</w:t>
      </w:r>
      <w:r w:rsidRPr="00AC5EA8">
        <w:rPr>
          <w:lang w:val="fr-FR"/>
        </w:rPr>
        <w:t>es décès. Lorsque l</w:t>
      </w:r>
      <w:r>
        <w:rPr>
          <w:lang w:val="fr-FR"/>
        </w:rPr>
        <w:t>’</w:t>
      </w:r>
      <w:r w:rsidRPr="00AC5EA8">
        <w:rPr>
          <w:lang w:val="fr-FR"/>
        </w:rPr>
        <w:t>affaire a dépassé le stade de l</w:t>
      </w:r>
      <w:r>
        <w:rPr>
          <w:lang w:val="fr-FR"/>
        </w:rPr>
        <w:t>’</w:t>
      </w:r>
      <w:r w:rsidRPr="00AC5EA8">
        <w:rPr>
          <w:lang w:val="fr-FR"/>
        </w:rPr>
        <w:t>enquête, les poursuites, le</w:t>
      </w:r>
      <w:r>
        <w:rPr>
          <w:lang w:val="fr-FR"/>
        </w:rPr>
        <w:t>s</w:t>
      </w:r>
      <w:r w:rsidRPr="00AC5EA8">
        <w:rPr>
          <w:lang w:val="fr-FR"/>
        </w:rPr>
        <w:t xml:space="preserve"> procès et les décisions de justice n</w:t>
      </w:r>
      <w:r>
        <w:rPr>
          <w:lang w:val="fr-FR"/>
        </w:rPr>
        <w:t>’</w:t>
      </w:r>
      <w:r w:rsidRPr="00AC5EA8">
        <w:rPr>
          <w:lang w:val="fr-FR"/>
        </w:rPr>
        <w:t xml:space="preserve">ont pas non plus </w:t>
      </w:r>
      <w:r>
        <w:rPr>
          <w:lang w:val="fr-FR"/>
        </w:rPr>
        <w:t>tenu</w:t>
      </w:r>
      <w:r w:rsidRPr="00AC5EA8">
        <w:rPr>
          <w:lang w:val="fr-FR"/>
        </w:rPr>
        <w:t xml:space="preserve"> compte </w:t>
      </w:r>
      <w:r>
        <w:rPr>
          <w:lang w:val="fr-FR"/>
        </w:rPr>
        <w:t xml:space="preserve">de </w:t>
      </w:r>
      <w:r w:rsidRPr="00AC5EA8">
        <w:rPr>
          <w:lang w:val="fr-FR"/>
        </w:rPr>
        <w:t>ce</w:t>
      </w:r>
      <w:r>
        <w:rPr>
          <w:lang w:val="fr-FR"/>
        </w:rPr>
        <w:t>s</w:t>
      </w:r>
      <w:r w:rsidRPr="00AC5EA8">
        <w:rPr>
          <w:lang w:val="fr-FR"/>
        </w:rPr>
        <w:t xml:space="preserve"> </w:t>
      </w:r>
      <w:r>
        <w:rPr>
          <w:lang w:val="fr-FR"/>
        </w:rPr>
        <w:t>dimensions</w:t>
      </w:r>
      <w:r w:rsidRPr="00AC5EA8">
        <w:rPr>
          <w:lang w:val="fr-FR"/>
        </w:rPr>
        <w:t xml:space="preserve">. Les informations reçues donnent à penser </w:t>
      </w:r>
      <w:r>
        <w:rPr>
          <w:lang w:val="fr-FR"/>
        </w:rPr>
        <w:t>qu’il en va de même pour</w:t>
      </w:r>
      <w:r w:rsidRPr="00AC5EA8">
        <w:rPr>
          <w:lang w:val="fr-FR"/>
        </w:rPr>
        <w:t xml:space="preserve"> la plupart des </w:t>
      </w:r>
      <w:r>
        <w:rPr>
          <w:lang w:val="fr-FR"/>
        </w:rPr>
        <w:t>cas</w:t>
      </w:r>
      <w:r w:rsidRPr="00AC5EA8">
        <w:rPr>
          <w:lang w:val="fr-FR"/>
        </w:rPr>
        <w:t xml:space="preserve"> similaires</w:t>
      </w:r>
      <w:r w:rsidRPr="00CD6B67">
        <w:rPr>
          <w:rStyle w:val="FootnoteReference"/>
        </w:rPr>
        <w:footnoteReference w:id="365"/>
      </w:r>
      <w:r>
        <w:rPr>
          <w:lang w:val="fr-FR"/>
        </w:rPr>
        <w:t>.</w:t>
      </w:r>
    </w:p>
    <w:p w14:paraId="53D5FB0A" w14:textId="08CF51A6" w:rsidR="00D301C6" w:rsidRPr="00293268" w:rsidRDefault="00D301C6" w:rsidP="00D301C6">
      <w:pPr>
        <w:pStyle w:val="SingleTxtG"/>
        <w:rPr>
          <w:lang w:val="fr-FR"/>
        </w:rPr>
      </w:pPr>
      <w:r w:rsidRPr="00293268">
        <w:rPr>
          <w:lang w:val="fr-FR"/>
        </w:rPr>
        <w:t>138.</w:t>
      </w:r>
      <w:r w:rsidRPr="00293268">
        <w:rPr>
          <w:lang w:val="fr-FR"/>
        </w:rPr>
        <w:tab/>
      </w:r>
      <w:r w:rsidRPr="00C608F1">
        <w:rPr>
          <w:lang w:val="fr-FR"/>
        </w:rPr>
        <w:t>Pourtant, les données disponibles et les expériences vécues par les Africains et les personnes d</w:t>
      </w:r>
      <w:r>
        <w:rPr>
          <w:lang w:val="fr-FR"/>
        </w:rPr>
        <w:t>’</w:t>
      </w:r>
      <w:r w:rsidRPr="00C608F1">
        <w:rPr>
          <w:lang w:val="fr-FR"/>
        </w:rPr>
        <w:t>ascendance africaine montrent qu</w:t>
      </w:r>
      <w:r>
        <w:rPr>
          <w:lang w:val="fr-FR"/>
        </w:rPr>
        <w:t>’</w:t>
      </w:r>
      <w:r w:rsidRPr="00C608F1">
        <w:rPr>
          <w:lang w:val="fr-FR"/>
        </w:rPr>
        <w:t xml:space="preserve">il est urgent de prendre en compte </w:t>
      </w:r>
      <w:r>
        <w:rPr>
          <w:lang w:val="fr-FR"/>
        </w:rPr>
        <w:t>la dimension centrale de la</w:t>
      </w:r>
      <w:r w:rsidRPr="00C608F1">
        <w:rPr>
          <w:lang w:val="fr-FR"/>
        </w:rPr>
        <w:t xml:space="preserve"> race lors des enquêtes et des poursuites. Premièrement, cela permettra aux États de veiller à ce que toutes les personnes qui commettent des infractions à motivation raciale contre des personnes d</w:t>
      </w:r>
      <w:r>
        <w:rPr>
          <w:lang w:val="fr-FR"/>
        </w:rPr>
        <w:t>’</w:t>
      </w:r>
      <w:r w:rsidRPr="00C608F1">
        <w:rPr>
          <w:lang w:val="fr-FR"/>
        </w:rPr>
        <w:t xml:space="preserve">ascendance africaine soient poursuivies </w:t>
      </w:r>
      <w:r w:rsidRPr="00540669">
        <w:rPr>
          <w:lang w:val="fr-FR"/>
        </w:rPr>
        <w:t>et à ce que les</w:t>
      </w:r>
      <w:r>
        <w:rPr>
          <w:lang w:val="fr-FR"/>
        </w:rPr>
        <w:t xml:space="preserve"> </w:t>
      </w:r>
      <w:r w:rsidRPr="00540669">
        <w:rPr>
          <w:lang w:val="fr-FR"/>
        </w:rPr>
        <w:t>victimes de ces infractions soient dûment indemnisées</w:t>
      </w:r>
      <w:r w:rsidRPr="00CD6B67">
        <w:rPr>
          <w:rStyle w:val="FootnoteReference"/>
        </w:rPr>
        <w:t xml:space="preserve"> </w:t>
      </w:r>
      <w:r w:rsidRPr="00CD6B67">
        <w:rPr>
          <w:rStyle w:val="FootnoteReference"/>
        </w:rPr>
        <w:footnoteReference w:id="366"/>
      </w:r>
      <w:r>
        <w:rPr>
          <w:lang w:val="fr-FR"/>
        </w:rPr>
        <w:t>.</w:t>
      </w:r>
      <w:r w:rsidRPr="00293268">
        <w:rPr>
          <w:lang w:val="fr-FR"/>
        </w:rPr>
        <w:t xml:space="preserve"> </w:t>
      </w:r>
      <w:r w:rsidRPr="00C416CA">
        <w:rPr>
          <w:lang w:val="fr-FR"/>
        </w:rPr>
        <w:t xml:space="preserve">Deuxièmement, la prise en compte du rôle que la race a pu jouer est essentielle </w:t>
      </w:r>
      <w:r>
        <w:rPr>
          <w:lang w:val="fr-FR"/>
        </w:rPr>
        <w:t>pour comprendre les</w:t>
      </w:r>
      <w:r w:rsidRPr="00C416CA">
        <w:rPr>
          <w:lang w:val="fr-FR"/>
        </w:rPr>
        <w:t xml:space="preserve"> causes et circonstances des décès, </w:t>
      </w:r>
      <w:r w:rsidRPr="00854990">
        <w:rPr>
          <w:lang w:val="fr-FR"/>
        </w:rPr>
        <w:t xml:space="preserve">dégager </w:t>
      </w:r>
      <w:r>
        <w:rPr>
          <w:lang w:val="fr-FR"/>
        </w:rPr>
        <w:t>des</w:t>
      </w:r>
      <w:r w:rsidRPr="00854990">
        <w:rPr>
          <w:lang w:val="fr-FR"/>
        </w:rPr>
        <w:t xml:space="preserve"> tendances claires</w:t>
      </w:r>
      <w:r>
        <w:rPr>
          <w:lang w:val="fr-FR"/>
        </w:rPr>
        <w:t xml:space="preserve"> et déterminer les initiatives à engager</w:t>
      </w:r>
      <w:r w:rsidRPr="00C416CA">
        <w:rPr>
          <w:lang w:val="fr-FR"/>
        </w:rPr>
        <w:t xml:space="preserve"> pour empêcher que des actes similaires ne se produisent à l</w:t>
      </w:r>
      <w:r>
        <w:rPr>
          <w:lang w:val="fr-FR"/>
        </w:rPr>
        <w:t>’</w:t>
      </w:r>
      <w:r w:rsidRPr="00C416CA">
        <w:rPr>
          <w:lang w:val="fr-FR"/>
        </w:rPr>
        <w:t xml:space="preserve">avenir </w:t>
      </w:r>
      <w:r>
        <w:rPr>
          <w:lang w:val="fr-FR"/>
        </w:rPr>
        <w:t>en en tirant tous les enseignements voulus</w:t>
      </w:r>
      <w:r w:rsidRPr="00CD6B67">
        <w:rPr>
          <w:rStyle w:val="FootnoteReference"/>
        </w:rPr>
        <w:footnoteReference w:id="367"/>
      </w:r>
      <w:r>
        <w:rPr>
          <w:lang w:val="fr-FR"/>
        </w:rPr>
        <w:t>.</w:t>
      </w:r>
    </w:p>
    <w:p w14:paraId="530C852D" w14:textId="77777777" w:rsidR="00D301C6" w:rsidRPr="00293268" w:rsidRDefault="00D301C6" w:rsidP="00D301C6">
      <w:pPr>
        <w:pStyle w:val="SingleTxtG"/>
        <w:rPr>
          <w:lang w:val="fr-FR"/>
        </w:rPr>
      </w:pPr>
      <w:r w:rsidRPr="00293268">
        <w:rPr>
          <w:lang w:val="fr-FR"/>
        </w:rPr>
        <w:t>139.</w:t>
      </w:r>
      <w:r w:rsidRPr="00293268">
        <w:rPr>
          <w:lang w:val="fr-FR"/>
        </w:rPr>
        <w:tab/>
      </w:r>
      <w:r w:rsidRPr="003D22B6">
        <w:rPr>
          <w:lang w:val="fr-FR"/>
        </w:rPr>
        <w:t>En effet, l</w:t>
      </w:r>
      <w:r>
        <w:rPr>
          <w:lang w:val="fr-FR"/>
        </w:rPr>
        <w:t>’</w:t>
      </w:r>
      <w:r w:rsidRPr="003D22B6">
        <w:rPr>
          <w:lang w:val="fr-FR"/>
        </w:rPr>
        <w:t>établissement des responsabilités permet également de rétablir la confiance dans les institutions</w:t>
      </w:r>
      <w:r>
        <w:rPr>
          <w:lang w:val="fr-FR"/>
        </w:rPr>
        <w:t xml:space="preserve"> et,</w:t>
      </w:r>
      <w:r w:rsidRPr="003D22B6">
        <w:rPr>
          <w:lang w:val="fr-FR"/>
        </w:rPr>
        <w:t xml:space="preserve"> en particulier</w:t>
      </w:r>
      <w:r>
        <w:rPr>
          <w:lang w:val="fr-FR"/>
        </w:rPr>
        <w:t>,</w:t>
      </w:r>
      <w:r w:rsidRPr="003D22B6">
        <w:rPr>
          <w:lang w:val="fr-FR"/>
        </w:rPr>
        <w:t xml:space="preserve"> dans les forces de l</w:t>
      </w:r>
      <w:r>
        <w:rPr>
          <w:lang w:val="fr-FR"/>
        </w:rPr>
        <w:t>’</w:t>
      </w:r>
      <w:r w:rsidRPr="003D22B6">
        <w:rPr>
          <w:lang w:val="fr-FR"/>
        </w:rPr>
        <w:t xml:space="preserve">ordre parmi les </w:t>
      </w:r>
      <w:r>
        <w:rPr>
          <w:lang w:val="fr-FR"/>
        </w:rPr>
        <w:t>populations</w:t>
      </w:r>
      <w:r w:rsidRPr="003D22B6">
        <w:rPr>
          <w:lang w:val="fr-FR"/>
        </w:rPr>
        <w:t xml:space="preserve"> d</w:t>
      </w:r>
      <w:r>
        <w:rPr>
          <w:lang w:val="fr-FR"/>
        </w:rPr>
        <w:t>’</w:t>
      </w:r>
      <w:r w:rsidRPr="003D22B6">
        <w:rPr>
          <w:lang w:val="fr-FR"/>
        </w:rPr>
        <w:t xml:space="preserve">ascendance africaine qui ont majoritairement le sentiment que les décisions et </w:t>
      </w:r>
      <w:r>
        <w:rPr>
          <w:lang w:val="fr-FR"/>
        </w:rPr>
        <w:t>conclusions</w:t>
      </w:r>
      <w:r w:rsidRPr="003D22B6">
        <w:rPr>
          <w:lang w:val="fr-FR"/>
        </w:rPr>
        <w:t xml:space="preserve"> sont </w:t>
      </w:r>
      <w:r>
        <w:rPr>
          <w:lang w:val="fr-FR"/>
        </w:rPr>
        <w:t>entachées de</w:t>
      </w:r>
      <w:r w:rsidRPr="003D22B6">
        <w:rPr>
          <w:lang w:val="fr-FR"/>
        </w:rPr>
        <w:t xml:space="preserve"> discrimination raciale et </w:t>
      </w:r>
      <w:r>
        <w:rPr>
          <w:lang w:val="fr-FR"/>
        </w:rPr>
        <w:t>fondées par d</w:t>
      </w:r>
      <w:r w:rsidRPr="003D22B6">
        <w:rPr>
          <w:lang w:val="fr-FR"/>
        </w:rPr>
        <w:t xml:space="preserve">es stéréotypes et préjugés raciaux. Comme le signale un examen indépendant mené en 2017 au Royaume-Uni sur les décès et </w:t>
      </w:r>
      <w:r>
        <w:rPr>
          <w:lang w:val="fr-FR"/>
        </w:rPr>
        <w:t>faits</w:t>
      </w:r>
      <w:r w:rsidRPr="003D22B6">
        <w:rPr>
          <w:lang w:val="fr-FR"/>
        </w:rPr>
        <w:t xml:space="preserve"> graves survenus en garde à vue</w:t>
      </w:r>
      <w:r>
        <w:rPr>
          <w:lang w:val="fr-FR"/>
        </w:rPr>
        <w:t>,</w:t>
      </w:r>
      <w:r w:rsidRPr="00813782">
        <w:rPr>
          <w:lang w:val="fr-FR"/>
        </w:rPr>
        <w:t xml:space="preserve"> </w:t>
      </w:r>
      <w:r w:rsidRPr="00B3568A">
        <w:rPr>
          <w:lang w:val="fr-FR"/>
        </w:rPr>
        <w:t>à la demande du Ministre de l</w:t>
      </w:r>
      <w:r>
        <w:rPr>
          <w:lang w:val="fr-FR"/>
        </w:rPr>
        <w:t>’</w:t>
      </w:r>
      <w:r w:rsidRPr="00B3568A">
        <w:rPr>
          <w:lang w:val="fr-FR"/>
        </w:rPr>
        <w:t>intérieur</w:t>
      </w:r>
      <w:r>
        <w:rPr>
          <w:lang w:val="fr-FR"/>
        </w:rPr>
        <w:t>,</w:t>
      </w:r>
      <w:r w:rsidRPr="003D22B6">
        <w:rPr>
          <w:lang w:val="fr-FR"/>
        </w:rPr>
        <w:t xml:space="preserve"> «</w:t>
      </w:r>
      <w:r>
        <w:rPr>
          <w:lang w:val="fr-FR"/>
        </w:rPr>
        <w:t> </w:t>
      </w:r>
      <w:r w:rsidRPr="003D22B6">
        <w:rPr>
          <w:lang w:val="fr-FR"/>
        </w:rPr>
        <w:t xml:space="preserve">tant que les organes </w:t>
      </w:r>
      <w:r>
        <w:rPr>
          <w:lang w:val="fr-FR"/>
        </w:rPr>
        <w:t xml:space="preserve">chargés des </w:t>
      </w:r>
      <w:r w:rsidRPr="003D22B6">
        <w:rPr>
          <w:lang w:val="fr-FR"/>
        </w:rPr>
        <w:t>enquête</w:t>
      </w:r>
      <w:r>
        <w:rPr>
          <w:lang w:val="fr-FR"/>
        </w:rPr>
        <w:t>s</w:t>
      </w:r>
      <w:r w:rsidRPr="003D22B6">
        <w:rPr>
          <w:lang w:val="fr-FR"/>
        </w:rPr>
        <w:t xml:space="preserve"> n</w:t>
      </w:r>
      <w:r>
        <w:rPr>
          <w:lang w:val="fr-FR"/>
        </w:rPr>
        <w:t>’</w:t>
      </w:r>
      <w:r w:rsidRPr="003D22B6">
        <w:rPr>
          <w:lang w:val="fr-FR"/>
        </w:rPr>
        <w:t>agiront pas en toute transparence et ne seront pas perçus comme accordant toute l</w:t>
      </w:r>
      <w:r>
        <w:rPr>
          <w:lang w:val="fr-FR"/>
        </w:rPr>
        <w:t>’</w:t>
      </w:r>
      <w:r w:rsidRPr="003D22B6">
        <w:rPr>
          <w:lang w:val="fr-FR"/>
        </w:rPr>
        <w:t>attention voulue à la possibilité que des stéréotypes aient pu entrer en ligne de compte ou qu</w:t>
      </w:r>
      <w:r>
        <w:rPr>
          <w:lang w:val="fr-FR"/>
        </w:rPr>
        <w:t>’</w:t>
      </w:r>
      <w:r w:rsidRPr="003D22B6">
        <w:rPr>
          <w:lang w:val="fr-FR"/>
        </w:rPr>
        <w:t xml:space="preserve">une discrimination ait été exercée dans une affaire donnée, les familles et les </w:t>
      </w:r>
      <w:r w:rsidRPr="00397F08">
        <w:rPr>
          <w:lang w:val="fr-FR"/>
        </w:rPr>
        <w:t>communautés continueront</w:t>
      </w:r>
      <w:r w:rsidRPr="003D22B6">
        <w:rPr>
          <w:lang w:val="fr-FR"/>
        </w:rPr>
        <w:t xml:space="preserve"> d</w:t>
      </w:r>
      <w:r>
        <w:rPr>
          <w:lang w:val="fr-FR"/>
        </w:rPr>
        <w:t>’</w:t>
      </w:r>
      <w:r w:rsidRPr="003D22B6">
        <w:rPr>
          <w:lang w:val="fr-FR"/>
        </w:rPr>
        <w:t xml:space="preserve">avoir le sentiment que le système est </w:t>
      </w:r>
      <w:r>
        <w:rPr>
          <w:lang w:val="fr-FR"/>
        </w:rPr>
        <w:t>dressé</w:t>
      </w:r>
      <w:r w:rsidRPr="003D22B6">
        <w:rPr>
          <w:lang w:val="fr-FR"/>
        </w:rPr>
        <w:t xml:space="preserve"> contre elles.</w:t>
      </w:r>
      <w:r>
        <w:rPr>
          <w:lang w:val="fr-FR"/>
        </w:rPr>
        <w:t> </w:t>
      </w:r>
      <w:r w:rsidRPr="003D22B6">
        <w:rPr>
          <w:lang w:val="fr-FR"/>
        </w:rPr>
        <w:t>»</w:t>
      </w:r>
      <w:r w:rsidRPr="00CD6B67">
        <w:rPr>
          <w:rStyle w:val="FootnoteReference"/>
        </w:rPr>
        <w:footnoteReference w:id="368"/>
      </w:r>
      <w:r>
        <w:rPr>
          <w:lang w:val="fr-FR"/>
        </w:rPr>
        <w:t>.</w:t>
      </w:r>
    </w:p>
    <w:p w14:paraId="225DE152" w14:textId="601D9350" w:rsidR="00D301C6" w:rsidRPr="00293268" w:rsidRDefault="00D301C6" w:rsidP="00D301C6">
      <w:pPr>
        <w:pStyle w:val="SingleTxtG"/>
        <w:rPr>
          <w:lang w:val="fr-FR"/>
        </w:rPr>
      </w:pPr>
      <w:r w:rsidRPr="00293268">
        <w:rPr>
          <w:lang w:val="fr-FR"/>
        </w:rPr>
        <w:t>140.</w:t>
      </w:r>
      <w:r w:rsidRPr="00293268">
        <w:rPr>
          <w:lang w:val="fr-FR"/>
        </w:rPr>
        <w:tab/>
      </w:r>
      <w:r>
        <w:rPr>
          <w:lang w:val="fr-FR"/>
        </w:rPr>
        <w:t>L</w:t>
      </w:r>
      <w:r w:rsidRPr="00892EB4">
        <w:rPr>
          <w:lang w:val="fr-FR"/>
        </w:rPr>
        <w:t>es institutions</w:t>
      </w:r>
      <w:r>
        <w:rPr>
          <w:lang w:val="fr-FR"/>
        </w:rPr>
        <w:t xml:space="preserve"> de certains États</w:t>
      </w:r>
      <w:r w:rsidRPr="00892EB4">
        <w:rPr>
          <w:lang w:val="fr-FR"/>
        </w:rPr>
        <w:t xml:space="preserve"> ont pris des mesures dans ce sens. Au Royaume-Uni, les auteurs de l</w:t>
      </w:r>
      <w:r>
        <w:rPr>
          <w:lang w:val="fr-FR"/>
        </w:rPr>
        <w:t>’</w:t>
      </w:r>
      <w:r w:rsidRPr="00892EB4">
        <w:rPr>
          <w:lang w:val="fr-FR"/>
        </w:rPr>
        <w:t xml:space="preserve">examen indépendant de 2017 susmentionné ont recommandé que </w:t>
      </w:r>
      <w:r>
        <w:rPr>
          <w:lang w:val="fr-FR"/>
        </w:rPr>
        <w:t>« </w:t>
      </w:r>
      <w:r w:rsidRPr="00892EB4">
        <w:rPr>
          <w:lang w:val="fr-FR"/>
        </w:rPr>
        <w:t>l</w:t>
      </w:r>
      <w:r>
        <w:rPr>
          <w:lang w:val="fr-FR"/>
        </w:rPr>
        <w:t>’</w:t>
      </w:r>
      <w:r w:rsidRPr="00892EB4">
        <w:rPr>
          <w:lang w:val="fr-FR"/>
        </w:rPr>
        <w:t xml:space="preserve">IPCC </w:t>
      </w:r>
      <w:r w:rsidR="00C356BE">
        <w:rPr>
          <w:lang w:val="fr-FR"/>
        </w:rPr>
        <w:t>(</w:t>
      </w:r>
      <w:r w:rsidRPr="00892EB4">
        <w:rPr>
          <w:lang w:val="fr-FR"/>
        </w:rPr>
        <w:t>Commission indépendante des plaintes contre la police</w:t>
      </w:r>
      <w:r w:rsidR="00C356BE">
        <w:rPr>
          <w:lang w:val="fr-FR"/>
        </w:rPr>
        <w:t>)</w:t>
      </w:r>
      <w:r w:rsidRPr="00892EB4">
        <w:rPr>
          <w:lang w:val="fr-FR"/>
        </w:rPr>
        <w:t xml:space="preserve"> veille à ce que les questions de race et de discrimination fassent partie intégrante de son travail</w:t>
      </w:r>
      <w:r w:rsidR="006B6ED1">
        <w:rPr>
          <w:lang w:val="fr-FR"/>
        </w:rPr>
        <w:t> </w:t>
      </w:r>
      <w:r>
        <w:rPr>
          <w:lang w:val="fr-FR"/>
        </w:rPr>
        <w:t>»</w:t>
      </w:r>
      <w:r w:rsidRPr="00892EB4">
        <w:rPr>
          <w:lang w:val="fr-FR"/>
        </w:rPr>
        <w:t xml:space="preserve">, </w:t>
      </w:r>
      <w:r>
        <w:rPr>
          <w:lang w:val="fr-FR"/>
        </w:rPr>
        <w:t>qu’elles</w:t>
      </w:r>
      <w:r w:rsidRPr="00892EB4">
        <w:rPr>
          <w:lang w:val="fr-FR"/>
        </w:rPr>
        <w:t xml:space="preserve"> devrai</w:t>
      </w:r>
      <w:r>
        <w:rPr>
          <w:lang w:val="fr-FR"/>
        </w:rPr>
        <w:t>en</w:t>
      </w:r>
      <w:r w:rsidRPr="00892EB4">
        <w:rPr>
          <w:lang w:val="fr-FR"/>
        </w:rPr>
        <w:t>t faire l</w:t>
      </w:r>
      <w:r>
        <w:rPr>
          <w:lang w:val="fr-FR"/>
        </w:rPr>
        <w:t>’</w:t>
      </w:r>
      <w:r w:rsidRPr="00892EB4">
        <w:rPr>
          <w:lang w:val="fr-FR"/>
        </w:rPr>
        <w:t>objet d</w:t>
      </w:r>
      <w:r>
        <w:rPr>
          <w:lang w:val="fr-FR"/>
        </w:rPr>
        <w:t>’</w:t>
      </w:r>
      <w:r w:rsidRPr="00892EB4">
        <w:rPr>
          <w:lang w:val="fr-FR"/>
        </w:rPr>
        <w:t>un suivi et être intégré</w:t>
      </w:r>
      <w:r>
        <w:rPr>
          <w:lang w:val="fr-FR"/>
        </w:rPr>
        <w:t>es</w:t>
      </w:r>
      <w:r w:rsidRPr="00892EB4">
        <w:rPr>
          <w:lang w:val="fr-FR"/>
        </w:rPr>
        <w:t xml:space="preserve"> dans les formations internes et dans le rôle de </w:t>
      </w:r>
      <w:r>
        <w:rPr>
          <w:lang w:val="fr-FR"/>
        </w:rPr>
        <w:t>« </w:t>
      </w:r>
      <w:r w:rsidRPr="00892EB4">
        <w:rPr>
          <w:lang w:val="fr-FR"/>
        </w:rPr>
        <w:t>chien de garde</w:t>
      </w:r>
      <w:r>
        <w:rPr>
          <w:lang w:val="fr-FR"/>
        </w:rPr>
        <w:t> »</w:t>
      </w:r>
      <w:r w:rsidRPr="00892EB4">
        <w:rPr>
          <w:lang w:val="fr-FR"/>
        </w:rPr>
        <w:t xml:space="preserve"> de </w:t>
      </w:r>
      <w:r>
        <w:rPr>
          <w:lang w:val="fr-FR"/>
        </w:rPr>
        <w:t>cette commission</w:t>
      </w:r>
      <w:r w:rsidRPr="00CD6B67">
        <w:rPr>
          <w:rStyle w:val="FootnoteReference"/>
        </w:rPr>
        <w:footnoteReference w:id="369"/>
      </w:r>
      <w:r>
        <w:rPr>
          <w:lang w:val="fr-FR"/>
        </w:rPr>
        <w:t>.</w:t>
      </w:r>
      <w:r w:rsidRPr="00293268">
        <w:rPr>
          <w:lang w:val="fr-FR"/>
        </w:rPr>
        <w:t xml:space="preserve"> </w:t>
      </w:r>
      <w:r w:rsidRPr="004121E3">
        <w:rPr>
          <w:lang w:val="fr-FR"/>
        </w:rPr>
        <w:t>En outre, une enquête publique à venir sur la mort de Sheku Bayoh</w:t>
      </w:r>
      <w:r>
        <w:rPr>
          <w:lang w:val="fr-FR"/>
        </w:rPr>
        <w:t xml:space="preserve">, survenue </w:t>
      </w:r>
      <w:r w:rsidRPr="004121E3">
        <w:rPr>
          <w:lang w:val="fr-FR"/>
        </w:rPr>
        <w:t>en Écosse en 2019</w:t>
      </w:r>
      <w:r>
        <w:rPr>
          <w:lang w:val="fr-FR"/>
        </w:rPr>
        <w:t>,</w:t>
      </w:r>
      <w:r w:rsidRPr="004121E3">
        <w:rPr>
          <w:lang w:val="fr-FR"/>
        </w:rPr>
        <w:t xml:space="preserve"> examinera dans quelle mesure les actions des </w:t>
      </w:r>
      <w:r>
        <w:rPr>
          <w:lang w:val="fr-FR"/>
        </w:rPr>
        <w:t>policiers</w:t>
      </w:r>
      <w:r w:rsidRPr="004121E3">
        <w:rPr>
          <w:lang w:val="fr-FR"/>
        </w:rPr>
        <w:t xml:space="preserve"> ont été </w:t>
      </w:r>
      <w:r>
        <w:rPr>
          <w:lang w:val="fr-FR"/>
        </w:rPr>
        <w:t>influen</w:t>
      </w:r>
      <w:r w:rsidRPr="004121E3">
        <w:rPr>
          <w:lang w:val="fr-FR"/>
        </w:rPr>
        <w:t>cées par sa race, réelle ou perçue</w:t>
      </w:r>
      <w:r w:rsidRPr="00CD6B67">
        <w:rPr>
          <w:rStyle w:val="FootnoteReference"/>
        </w:rPr>
        <w:footnoteReference w:id="370"/>
      </w:r>
      <w:r>
        <w:rPr>
          <w:lang w:val="fr-FR"/>
        </w:rPr>
        <w:t>.</w:t>
      </w:r>
      <w:r w:rsidRPr="00293268">
        <w:rPr>
          <w:lang w:val="fr-FR"/>
        </w:rPr>
        <w:t xml:space="preserve"> </w:t>
      </w:r>
      <w:r>
        <w:rPr>
          <w:lang w:val="fr-FR"/>
        </w:rPr>
        <w:t>Par ailleurs</w:t>
      </w:r>
      <w:r w:rsidRPr="00397F08">
        <w:rPr>
          <w:lang w:val="fr-FR"/>
        </w:rPr>
        <w:t>, l’IOPC a annoncé</w:t>
      </w:r>
      <w:r w:rsidRPr="009D6E01">
        <w:rPr>
          <w:lang w:val="fr-FR"/>
        </w:rPr>
        <w:t xml:space="preserve"> en juillet 2020 que la discrimination raciale serait un domaine d</w:t>
      </w:r>
      <w:r>
        <w:rPr>
          <w:lang w:val="fr-FR"/>
        </w:rPr>
        <w:t>’</w:t>
      </w:r>
      <w:r w:rsidRPr="009D6E01">
        <w:rPr>
          <w:lang w:val="fr-FR"/>
        </w:rPr>
        <w:t>intérêt thématique afin d</w:t>
      </w:r>
      <w:r>
        <w:rPr>
          <w:lang w:val="fr-FR"/>
        </w:rPr>
        <w:t>’</w:t>
      </w:r>
      <w:r w:rsidRPr="009D6E01">
        <w:rPr>
          <w:lang w:val="fr-FR"/>
        </w:rPr>
        <w:t xml:space="preserve">enquêter de manière indépendante sur un plus grand nombre </w:t>
      </w:r>
      <w:r>
        <w:rPr>
          <w:lang w:val="fr-FR"/>
        </w:rPr>
        <w:t>d’affaires</w:t>
      </w:r>
      <w:r w:rsidRPr="009D6E01">
        <w:rPr>
          <w:lang w:val="fr-FR"/>
        </w:rPr>
        <w:t xml:space="preserve"> </w:t>
      </w:r>
      <w:r>
        <w:rPr>
          <w:lang w:val="fr-FR"/>
        </w:rPr>
        <w:t>dans lesquelles</w:t>
      </w:r>
      <w:r w:rsidRPr="009D6E01">
        <w:rPr>
          <w:lang w:val="fr-FR"/>
        </w:rPr>
        <w:t xml:space="preserve"> la discrimination raciale </w:t>
      </w:r>
      <w:r>
        <w:rPr>
          <w:lang w:val="fr-FR"/>
        </w:rPr>
        <w:t>aurait pu jouer un rôle, afin de</w:t>
      </w:r>
      <w:r w:rsidRPr="009D6E01">
        <w:rPr>
          <w:lang w:val="fr-FR"/>
        </w:rPr>
        <w:t xml:space="preserve"> constituer un ensemble de </w:t>
      </w:r>
      <w:r>
        <w:rPr>
          <w:lang w:val="fr-FR"/>
        </w:rPr>
        <w:t>données</w:t>
      </w:r>
      <w:r w:rsidRPr="009D6E01">
        <w:rPr>
          <w:lang w:val="fr-FR"/>
        </w:rPr>
        <w:t xml:space="preserve"> permettant de dresser la liste des problèmes systémiques auxquels il convien</w:t>
      </w:r>
      <w:r>
        <w:rPr>
          <w:lang w:val="fr-FR"/>
        </w:rPr>
        <w:t>drai</w:t>
      </w:r>
      <w:r w:rsidRPr="009D6E01">
        <w:rPr>
          <w:lang w:val="fr-FR"/>
        </w:rPr>
        <w:t>t de s</w:t>
      </w:r>
      <w:r>
        <w:rPr>
          <w:lang w:val="fr-FR"/>
        </w:rPr>
        <w:t>’</w:t>
      </w:r>
      <w:r w:rsidRPr="009D6E01">
        <w:rPr>
          <w:lang w:val="fr-FR"/>
        </w:rPr>
        <w:t>attaquer</w:t>
      </w:r>
      <w:r w:rsidRPr="00CD6B67">
        <w:rPr>
          <w:rStyle w:val="FootnoteReference"/>
        </w:rPr>
        <w:footnoteReference w:id="371"/>
      </w:r>
      <w:r>
        <w:rPr>
          <w:lang w:val="fr-FR"/>
        </w:rPr>
        <w:t>.</w:t>
      </w:r>
    </w:p>
    <w:p w14:paraId="0699D5B1" w14:textId="6C7A70AE" w:rsidR="00D301C6" w:rsidRPr="00293268" w:rsidRDefault="00D301C6" w:rsidP="00AF6976">
      <w:pPr>
        <w:pStyle w:val="SingleTxtG"/>
        <w:keepLines/>
        <w:rPr>
          <w:lang w:val="fr-FR"/>
        </w:rPr>
      </w:pPr>
      <w:r w:rsidRPr="00293268">
        <w:rPr>
          <w:lang w:val="fr-FR"/>
        </w:rPr>
        <w:t>141.</w:t>
      </w:r>
      <w:r w:rsidRPr="00293268">
        <w:rPr>
          <w:lang w:val="fr-FR"/>
        </w:rPr>
        <w:tab/>
      </w:r>
      <w:r w:rsidRPr="00FE73BD">
        <w:rPr>
          <w:lang w:val="fr-FR"/>
        </w:rPr>
        <w:t>De plus, les enquêtes sur les pratiques des services de police de Minneapolis et de Louisville, diligentées par le Ministère américain de la justice en avril 2021, permettront de déterminer si le maintien de l</w:t>
      </w:r>
      <w:r>
        <w:rPr>
          <w:lang w:val="fr-FR"/>
        </w:rPr>
        <w:t>’</w:t>
      </w:r>
      <w:r w:rsidRPr="00FE73BD">
        <w:rPr>
          <w:lang w:val="fr-FR"/>
        </w:rPr>
        <w:t>ordre assuré par ces services est, entre autres, discriminatoire</w:t>
      </w:r>
      <w:r w:rsidRPr="00CD6B67">
        <w:rPr>
          <w:rStyle w:val="FootnoteReference"/>
        </w:rPr>
        <w:footnoteReference w:id="372"/>
      </w:r>
      <w:r>
        <w:rPr>
          <w:lang w:val="fr-FR"/>
        </w:rPr>
        <w:t>.</w:t>
      </w:r>
      <w:r w:rsidRPr="00293268">
        <w:rPr>
          <w:lang w:val="fr-FR"/>
        </w:rPr>
        <w:t xml:space="preserve"> </w:t>
      </w:r>
      <w:r w:rsidRPr="00184EFC">
        <w:rPr>
          <w:lang w:val="fr-FR"/>
        </w:rPr>
        <w:t>En 2020, la Cour interaméricaine des droits de l</w:t>
      </w:r>
      <w:r>
        <w:rPr>
          <w:lang w:val="fr-FR"/>
        </w:rPr>
        <w:t>’</w:t>
      </w:r>
      <w:r w:rsidRPr="00184EFC">
        <w:rPr>
          <w:lang w:val="fr-FR"/>
        </w:rPr>
        <w:t>homme a estimé que l</w:t>
      </w:r>
      <w:r>
        <w:rPr>
          <w:lang w:val="fr-FR"/>
        </w:rPr>
        <w:t>’</w:t>
      </w:r>
      <w:r w:rsidRPr="00184EFC">
        <w:rPr>
          <w:lang w:val="fr-FR"/>
        </w:rPr>
        <w:t>Argentine avait violé les droits à la liberté individuelle, à l</w:t>
      </w:r>
      <w:r>
        <w:rPr>
          <w:lang w:val="fr-FR"/>
        </w:rPr>
        <w:t>’</w:t>
      </w:r>
      <w:r w:rsidRPr="00184EFC">
        <w:rPr>
          <w:lang w:val="fr-FR"/>
        </w:rPr>
        <w:t>égalité et à la non-discrimination lors du décès en garde à vue de José Delfín Acosta Martínez</w:t>
      </w:r>
      <w:r w:rsidRPr="00CD6B67">
        <w:rPr>
          <w:rStyle w:val="FootnoteReference"/>
        </w:rPr>
        <w:footnoteReference w:id="373"/>
      </w:r>
      <w:r>
        <w:rPr>
          <w:lang w:val="fr-FR"/>
        </w:rPr>
        <w:t>.</w:t>
      </w:r>
      <w:r w:rsidRPr="00293268">
        <w:rPr>
          <w:lang w:val="fr-FR"/>
        </w:rPr>
        <w:t xml:space="preserve"> </w:t>
      </w:r>
      <w:r w:rsidRPr="00E63BE7">
        <w:rPr>
          <w:lang w:val="fr-FR"/>
        </w:rPr>
        <w:t>Lors de l</w:t>
      </w:r>
      <w:r>
        <w:rPr>
          <w:lang w:val="fr-FR"/>
        </w:rPr>
        <w:t>’</w:t>
      </w:r>
      <w:r w:rsidRPr="00E63BE7">
        <w:rPr>
          <w:lang w:val="fr-FR"/>
        </w:rPr>
        <w:t>audience publique, l</w:t>
      </w:r>
      <w:r>
        <w:rPr>
          <w:lang w:val="fr-FR"/>
        </w:rPr>
        <w:t>’</w:t>
      </w:r>
      <w:r w:rsidRPr="00E63BE7">
        <w:rPr>
          <w:lang w:val="fr-FR"/>
        </w:rPr>
        <w:t>Argentine a reconnu que l</w:t>
      </w:r>
      <w:r>
        <w:rPr>
          <w:lang w:val="fr-FR"/>
        </w:rPr>
        <w:t>’</w:t>
      </w:r>
      <w:r w:rsidRPr="00E63BE7">
        <w:rPr>
          <w:lang w:val="fr-FR"/>
        </w:rPr>
        <w:t xml:space="preserve">affaire était </w:t>
      </w:r>
      <w:r>
        <w:rPr>
          <w:lang w:val="fr-FR"/>
        </w:rPr>
        <w:t>« </w:t>
      </w:r>
      <w:r w:rsidRPr="00E63BE7">
        <w:rPr>
          <w:lang w:val="fr-FR"/>
        </w:rPr>
        <w:t xml:space="preserve">caractéristique de la persécution et de la stigmatisation </w:t>
      </w:r>
      <w:r>
        <w:rPr>
          <w:lang w:val="fr-FR"/>
        </w:rPr>
        <w:t>dont sont victimes les</w:t>
      </w:r>
      <w:r w:rsidRPr="00E63BE7">
        <w:rPr>
          <w:lang w:val="fr-FR"/>
        </w:rPr>
        <w:t xml:space="preserve"> descendants d</w:t>
      </w:r>
      <w:r>
        <w:rPr>
          <w:lang w:val="fr-FR"/>
        </w:rPr>
        <w:t>’</w:t>
      </w:r>
      <w:r w:rsidRPr="00E63BE7">
        <w:rPr>
          <w:lang w:val="fr-FR"/>
        </w:rPr>
        <w:t>Africains dans le pays</w:t>
      </w:r>
      <w:r w:rsidR="00D57D2A">
        <w:rPr>
          <w:lang w:val="fr-FR"/>
        </w:rPr>
        <w:t> </w:t>
      </w:r>
      <w:r>
        <w:rPr>
          <w:lang w:val="fr-FR"/>
        </w:rPr>
        <w:t>»</w:t>
      </w:r>
      <w:r w:rsidRPr="00E63BE7">
        <w:rPr>
          <w:lang w:val="fr-FR"/>
        </w:rPr>
        <w:t>, a présenté ses excuses et reconnu sa responsabilité</w:t>
      </w:r>
      <w:r w:rsidRPr="00CD6B67">
        <w:rPr>
          <w:rStyle w:val="FootnoteReference"/>
        </w:rPr>
        <w:footnoteReference w:id="374"/>
      </w:r>
      <w:r>
        <w:rPr>
          <w:lang w:val="fr-FR"/>
        </w:rPr>
        <w:t>.</w:t>
      </w:r>
      <w:r w:rsidRPr="00293268">
        <w:rPr>
          <w:lang w:val="fr-FR"/>
        </w:rPr>
        <w:t xml:space="preserve"> </w:t>
      </w:r>
      <w:r w:rsidRPr="00785A6D">
        <w:rPr>
          <w:lang w:val="fr-FR"/>
        </w:rPr>
        <w:t xml:space="preserve">Dans une affaire de 2017 au Brésil, la Cour interaméricaine a reconnu </w:t>
      </w:r>
      <w:r>
        <w:rPr>
          <w:lang w:val="fr-FR"/>
        </w:rPr>
        <w:t>l’existence de</w:t>
      </w:r>
      <w:r w:rsidRPr="00785A6D">
        <w:rPr>
          <w:lang w:val="fr-FR"/>
        </w:rPr>
        <w:t xml:space="preserve"> </w:t>
      </w:r>
      <w:r w:rsidRPr="00887AB1">
        <w:rPr>
          <w:lang w:val="fr-FR"/>
        </w:rPr>
        <w:t>tendances générales de discrimination structurelle, sans toutefois se prononcer spécifiquement sur les effets de la discrimination raciale</w:t>
      </w:r>
      <w:r w:rsidRPr="00CD6B67">
        <w:rPr>
          <w:rStyle w:val="FootnoteReference"/>
        </w:rPr>
        <w:footnoteReference w:id="375"/>
      </w:r>
      <w:r>
        <w:rPr>
          <w:lang w:val="fr-FR"/>
        </w:rPr>
        <w:t>.</w:t>
      </w:r>
    </w:p>
    <w:p w14:paraId="56A7A50A" w14:textId="77777777" w:rsidR="00D301C6" w:rsidRPr="00293268" w:rsidRDefault="00D301C6" w:rsidP="00D57D2A">
      <w:pPr>
        <w:pStyle w:val="H23G"/>
        <w:rPr>
          <w:lang w:val="fr-FR"/>
        </w:rPr>
      </w:pPr>
      <w:bookmarkStart w:id="424" w:name="_Toc74254806"/>
      <w:bookmarkStart w:id="425" w:name="_Toc74303372"/>
      <w:bookmarkStart w:id="426" w:name="_Toc74305497"/>
      <w:bookmarkStart w:id="427" w:name="_Toc74337092"/>
      <w:bookmarkStart w:id="428" w:name="_Toc74340213"/>
      <w:bookmarkStart w:id="429" w:name="_Toc74344109"/>
      <w:bookmarkStart w:id="430" w:name="_Toc74562581"/>
      <w:bookmarkStart w:id="431" w:name="_Toc74657690"/>
      <w:bookmarkStart w:id="432" w:name="_Toc74661216"/>
      <w:bookmarkStart w:id="433" w:name="_Toc74666511"/>
      <w:bookmarkStart w:id="434" w:name="_Toc74671432"/>
      <w:bookmarkStart w:id="435" w:name="_Toc74867348"/>
      <w:bookmarkStart w:id="436" w:name="_Toc74919101"/>
      <w:bookmarkStart w:id="437" w:name="_Toc74919756"/>
      <w:bookmarkStart w:id="438" w:name="_Toc74925791"/>
      <w:bookmarkStart w:id="439" w:name="_Toc74927640"/>
      <w:r w:rsidRPr="00293268">
        <w:rPr>
          <w:lang w:val="fr-FR"/>
        </w:rPr>
        <w:tab/>
        <w:t>2.</w:t>
      </w:r>
      <w:r w:rsidRPr="00293268">
        <w:rPr>
          <w:lang w:val="fr-FR"/>
        </w:rPr>
        <w:tab/>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9C5BD6">
        <w:rPr>
          <w:lang w:val="fr-FR"/>
        </w:rPr>
        <w:t>Enquêtes et poursuites</w:t>
      </w:r>
    </w:p>
    <w:p w14:paraId="7873643E" w14:textId="33C857E9" w:rsidR="00D301C6" w:rsidRPr="00293268" w:rsidRDefault="00D301C6" w:rsidP="00D301C6">
      <w:pPr>
        <w:pStyle w:val="SingleTxtG"/>
        <w:rPr>
          <w:lang w:val="fr-FR"/>
        </w:rPr>
      </w:pPr>
      <w:r w:rsidRPr="00293268">
        <w:rPr>
          <w:lang w:val="fr-FR"/>
        </w:rPr>
        <w:t>142.</w:t>
      </w:r>
      <w:r w:rsidRPr="00293268">
        <w:rPr>
          <w:lang w:val="fr-FR"/>
        </w:rPr>
        <w:tab/>
      </w:r>
      <w:r w:rsidRPr="00292233">
        <w:rPr>
          <w:lang w:val="fr-FR"/>
        </w:rPr>
        <w:t>Un élément important de la protection du droit à la vie</w:t>
      </w:r>
      <w:r>
        <w:rPr>
          <w:lang w:val="fr-FR"/>
        </w:rPr>
        <w:t xml:space="preserve"> </w:t>
      </w:r>
      <w:r w:rsidRPr="003B7EAA">
        <w:rPr>
          <w:lang w:val="fr-FR"/>
        </w:rPr>
        <w:t>est</w:t>
      </w:r>
      <w:r>
        <w:rPr>
          <w:lang w:val="fr-FR"/>
        </w:rPr>
        <w:t xml:space="preserve"> </w:t>
      </w:r>
      <w:r w:rsidRPr="003B7EAA">
        <w:rPr>
          <w:lang w:val="fr-FR"/>
        </w:rPr>
        <w:t>l</w:t>
      </w:r>
      <w:r>
        <w:rPr>
          <w:lang w:val="fr-FR"/>
        </w:rPr>
        <w:t>’</w:t>
      </w:r>
      <w:r w:rsidRPr="003B7EAA">
        <w:rPr>
          <w:lang w:val="fr-FR"/>
        </w:rPr>
        <w:t>obligation qu</w:t>
      </w:r>
      <w:r>
        <w:rPr>
          <w:lang w:val="fr-FR"/>
        </w:rPr>
        <w:t>’</w:t>
      </w:r>
      <w:r w:rsidRPr="003B7EAA">
        <w:rPr>
          <w:lang w:val="fr-FR"/>
        </w:rPr>
        <w:t>ont les États</w:t>
      </w:r>
      <w:r>
        <w:rPr>
          <w:lang w:val="fr-FR"/>
        </w:rPr>
        <w:t xml:space="preserve"> </w:t>
      </w:r>
      <w:r w:rsidRPr="009E4980">
        <w:rPr>
          <w:lang w:val="fr-FR"/>
        </w:rPr>
        <w:t>de faire</w:t>
      </w:r>
      <w:r>
        <w:rPr>
          <w:lang w:val="fr-FR"/>
        </w:rPr>
        <w:t xml:space="preserve"> </w:t>
      </w:r>
      <w:r w:rsidRPr="009E4980">
        <w:rPr>
          <w:lang w:val="fr-FR"/>
        </w:rPr>
        <w:t xml:space="preserve">procéder à une enquête </w:t>
      </w:r>
      <w:r w:rsidRPr="00BD30D1">
        <w:rPr>
          <w:lang w:val="fr-FR"/>
        </w:rPr>
        <w:t>sur les privations de la vie résultant potentiellement d</w:t>
      </w:r>
      <w:r>
        <w:rPr>
          <w:lang w:val="fr-FR"/>
        </w:rPr>
        <w:t>’</w:t>
      </w:r>
      <w:r w:rsidRPr="00BD30D1">
        <w:rPr>
          <w:lang w:val="fr-FR"/>
        </w:rPr>
        <w:t>actes illégaux et, le cas échéant, d</w:t>
      </w:r>
      <w:r>
        <w:rPr>
          <w:lang w:val="fr-FR"/>
        </w:rPr>
        <w:t>’</w:t>
      </w:r>
      <w:r w:rsidRPr="00BD30D1">
        <w:rPr>
          <w:lang w:val="fr-FR"/>
        </w:rPr>
        <w:t>engager des poursuites contre le</w:t>
      </w:r>
      <w:r>
        <w:rPr>
          <w:lang w:val="fr-FR"/>
        </w:rPr>
        <w:t>ur</w:t>
      </w:r>
      <w:r w:rsidRPr="00BD30D1">
        <w:rPr>
          <w:lang w:val="fr-FR"/>
        </w:rPr>
        <w:t>s auteurs présumés</w:t>
      </w:r>
      <w:r w:rsidRPr="00CD6B67">
        <w:rPr>
          <w:rStyle w:val="FootnoteReference"/>
        </w:rPr>
        <w:footnoteReference w:id="376"/>
      </w:r>
      <w:r>
        <w:rPr>
          <w:lang w:val="fr-FR"/>
        </w:rPr>
        <w:t>.</w:t>
      </w:r>
      <w:r w:rsidRPr="00293268">
        <w:rPr>
          <w:lang w:val="fr-FR"/>
        </w:rPr>
        <w:t xml:space="preserve"> </w:t>
      </w:r>
      <w:r w:rsidRPr="00224731">
        <w:rPr>
          <w:lang w:val="fr-FR"/>
        </w:rPr>
        <w:t>Ces</w:t>
      </w:r>
      <w:r w:rsidR="00D57D2A">
        <w:rPr>
          <w:lang w:val="fr-FR"/>
        </w:rPr>
        <w:t> </w:t>
      </w:r>
      <w:r w:rsidRPr="00224731">
        <w:rPr>
          <w:lang w:val="fr-FR"/>
        </w:rPr>
        <w:t>enquêtes doivent viser à établir la vérité sur les faits et à déterminer s</w:t>
      </w:r>
      <w:r>
        <w:rPr>
          <w:lang w:val="fr-FR"/>
        </w:rPr>
        <w:t>’</w:t>
      </w:r>
      <w:r w:rsidRPr="00224731">
        <w:rPr>
          <w:lang w:val="fr-FR"/>
        </w:rPr>
        <w:t>il convient de prendre d</w:t>
      </w:r>
      <w:r>
        <w:rPr>
          <w:lang w:val="fr-FR"/>
        </w:rPr>
        <w:t>’</w:t>
      </w:r>
      <w:r w:rsidRPr="00224731">
        <w:rPr>
          <w:lang w:val="fr-FR"/>
        </w:rPr>
        <w:t>autres mesures, ainsi qu</w:t>
      </w:r>
      <w:r>
        <w:rPr>
          <w:lang w:val="fr-FR"/>
        </w:rPr>
        <w:t>’</w:t>
      </w:r>
      <w:r w:rsidRPr="00224731">
        <w:rPr>
          <w:lang w:val="fr-FR"/>
        </w:rPr>
        <w:t>à rétablir et à renforcer la confiance du public</w:t>
      </w:r>
      <w:r w:rsidRPr="00CD6B67">
        <w:rPr>
          <w:rStyle w:val="FootnoteReference"/>
        </w:rPr>
        <w:footnoteReference w:id="377"/>
      </w:r>
      <w:r>
        <w:rPr>
          <w:lang w:val="fr-FR"/>
        </w:rPr>
        <w:t>.</w:t>
      </w:r>
      <w:r w:rsidRPr="00293268">
        <w:rPr>
          <w:lang w:val="fr-FR"/>
        </w:rPr>
        <w:t xml:space="preserve"> </w:t>
      </w:r>
      <w:r w:rsidRPr="00C8593B">
        <w:rPr>
          <w:lang w:val="fr-FR"/>
        </w:rPr>
        <w:t>Outre le fait qu</w:t>
      </w:r>
      <w:r>
        <w:rPr>
          <w:lang w:val="fr-FR"/>
        </w:rPr>
        <w:t>’</w:t>
      </w:r>
      <w:r w:rsidRPr="00C8593B">
        <w:rPr>
          <w:lang w:val="fr-FR"/>
        </w:rPr>
        <w:t>elles permettent d</w:t>
      </w:r>
      <w:r>
        <w:rPr>
          <w:lang w:val="fr-FR"/>
        </w:rPr>
        <w:t>’</w:t>
      </w:r>
      <w:r w:rsidRPr="00C8593B">
        <w:rPr>
          <w:lang w:val="fr-FR"/>
        </w:rPr>
        <w:t>identifier l</w:t>
      </w:r>
      <w:r>
        <w:rPr>
          <w:lang w:val="fr-FR"/>
        </w:rPr>
        <w:t>’</w:t>
      </w:r>
      <w:r w:rsidRPr="00C8593B">
        <w:rPr>
          <w:lang w:val="fr-FR"/>
        </w:rPr>
        <w:t xml:space="preserve">auteur présumé des faits, les enquêtes devraient également contribuer à détecter toute défaillance dans les procédures </w:t>
      </w:r>
      <w:r>
        <w:rPr>
          <w:lang w:val="fr-FR"/>
        </w:rPr>
        <w:t>et</w:t>
      </w:r>
      <w:r w:rsidRPr="00C8593B">
        <w:rPr>
          <w:lang w:val="fr-FR"/>
        </w:rPr>
        <w:t xml:space="preserve"> structures</w:t>
      </w:r>
      <w:r w:rsidRPr="00813782">
        <w:rPr>
          <w:lang w:val="fr-FR"/>
        </w:rPr>
        <w:t xml:space="preserve"> </w:t>
      </w:r>
      <w:r w:rsidRPr="00C8593B">
        <w:rPr>
          <w:lang w:val="fr-FR"/>
        </w:rPr>
        <w:t xml:space="preserve">organisationnelles ou </w:t>
      </w:r>
      <w:r>
        <w:rPr>
          <w:lang w:val="fr-FR"/>
        </w:rPr>
        <w:t xml:space="preserve">dans </w:t>
      </w:r>
      <w:r w:rsidRPr="00C8593B">
        <w:rPr>
          <w:lang w:val="fr-FR"/>
        </w:rPr>
        <w:t>l</w:t>
      </w:r>
      <w:r>
        <w:rPr>
          <w:lang w:val="fr-FR"/>
        </w:rPr>
        <w:t xml:space="preserve">eur </w:t>
      </w:r>
      <w:r w:rsidRPr="00C8593B">
        <w:rPr>
          <w:lang w:val="fr-FR"/>
        </w:rPr>
        <w:t>encadrement</w:t>
      </w:r>
      <w:r w:rsidRPr="00CD6B67">
        <w:rPr>
          <w:rStyle w:val="FootnoteReference"/>
        </w:rPr>
        <w:footnoteReference w:id="378"/>
      </w:r>
      <w:r>
        <w:rPr>
          <w:lang w:val="fr-FR"/>
        </w:rPr>
        <w:t>.</w:t>
      </w:r>
    </w:p>
    <w:p w14:paraId="7DD9A923" w14:textId="77777777" w:rsidR="00D301C6" w:rsidRPr="00293268" w:rsidRDefault="00D301C6" w:rsidP="00D301C6">
      <w:pPr>
        <w:pStyle w:val="SingleTxtG"/>
        <w:rPr>
          <w:lang w:val="fr-FR"/>
        </w:rPr>
      </w:pPr>
      <w:r w:rsidRPr="00293268">
        <w:rPr>
          <w:lang w:val="fr-FR"/>
        </w:rPr>
        <w:t>143.</w:t>
      </w:r>
      <w:r w:rsidRPr="00293268">
        <w:rPr>
          <w:lang w:val="fr-FR"/>
        </w:rPr>
        <w:tab/>
      </w:r>
      <w:r w:rsidRPr="000C5BCF">
        <w:rPr>
          <w:lang w:val="fr-FR"/>
        </w:rPr>
        <w:t xml:space="preserve">Comme </w:t>
      </w:r>
      <w:r w:rsidRPr="003C5292">
        <w:rPr>
          <w:lang w:val="fr-FR"/>
        </w:rPr>
        <w:t>exposé en détail ci-après</w:t>
      </w:r>
      <w:r w:rsidRPr="000C5BCF">
        <w:rPr>
          <w:lang w:val="fr-FR"/>
        </w:rPr>
        <w:t xml:space="preserve">, </w:t>
      </w:r>
      <w:r>
        <w:rPr>
          <w:lang w:val="fr-FR"/>
        </w:rPr>
        <w:t>l</w:t>
      </w:r>
      <w:r w:rsidRPr="000C5BCF">
        <w:rPr>
          <w:lang w:val="fr-FR"/>
        </w:rPr>
        <w:t>es enquêtes et poursuites auxquelles donnent lieu les privations présumées illégales de la vie devraient être indépendantes, impartiales, promptes, approfondies, efficaces, crédibles et transparentes et menées conformément aux protocoles internationaux pertinents, notamment le Protocole du Minnesota relatif aux enquêtes sur les homicides résultant potentiellement d</w:t>
      </w:r>
      <w:r>
        <w:rPr>
          <w:lang w:val="fr-FR"/>
        </w:rPr>
        <w:t>’</w:t>
      </w:r>
      <w:r w:rsidRPr="000C5BCF">
        <w:rPr>
          <w:lang w:val="fr-FR"/>
        </w:rPr>
        <w:t>actes illégaux</w:t>
      </w:r>
      <w:r w:rsidRPr="00CD6B67">
        <w:rPr>
          <w:rStyle w:val="FootnoteReference"/>
        </w:rPr>
        <w:footnoteReference w:id="379"/>
      </w:r>
      <w:r>
        <w:rPr>
          <w:lang w:val="fr-FR"/>
        </w:rPr>
        <w:t>. Elles</w:t>
      </w:r>
      <w:r w:rsidRPr="00293268">
        <w:rPr>
          <w:lang w:val="fr-FR"/>
        </w:rPr>
        <w:t xml:space="preserve"> </w:t>
      </w:r>
      <w:r w:rsidRPr="004729FD">
        <w:rPr>
          <w:lang w:val="fr-FR"/>
        </w:rPr>
        <w:t>doivent permettre de garantir que les responsables s</w:t>
      </w:r>
      <w:r>
        <w:rPr>
          <w:lang w:val="fr-FR"/>
        </w:rPr>
        <w:t>ero</w:t>
      </w:r>
      <w:r w:rsidRPr="004729FD">
        <w:rPr>
          <w:lang w:val="fr-FR"/>
        </w:rPr>
        <w:t>nt traduits en</w:t>
      </w:r>
      <w:r>
        <w:rPr>
          <w:lang w:val="fr-FR"/>
        </w:rPr>
        <w:t xml:space="preserve"> </w:t>
      </w:r>
      <w:r w:rsidRPr="004729FD">
        <w:rPr>
          <w:lang w:val="fr-FR"/>
        </w:rPr>
        <w:t>justice</w:t>
      </w:r>
      <w:r>
        <w:rPr>
          <w:lang w:val="fr-FR"/>
        </w:rPr>
        <w:t xml:space="preserve"> et d’offrir une réparation intégrale</w:t>
      </w:r>
      <w:r w:rsidRPr="00CD6B67">
        <w:rPr>
          <w:rStyle w:val="FootnoteReference"/>
        </w:rPr>
        <w:footnoteReference w:id="380"/>
      </w:r>
      <w:r>
        <w:rPr>
          <w:lang w:val="fr-FR"/>
        </w:rPr>
        <w:t>,</w:t>
      </w:r>
      <w:r w:rsidRPr="00293268">
        <w:rPr>
          <w:lang w:val="fr-FR"/>
        </w:rPr>
        <w:t xml:space="preserve"> </w:t>
      </w:r>
      <w:r w:rsidRPr="00486833">
        <w:rPr>
          <w:lang w:val="fr-FR"/>
        </w:rPr>
        <w:t>de promouvoir l</w:t>
      </w:r>
      <w:r>
        <w:rPr>
          <w:lang w:val="fr-FR"/>
        </w:rPr>
        <w:t>’</w:t>
      </w:r>
      <w:r w:rsidRPr="00486833">
        <w:rPr>
          <w:lang w:val="fr-FR"/>
        </w:rPr>
        <w:t>établissement des responsabilités</w:t>
      </w:r>
      <w:r>
        <w:rPr>
          <w:lang w:val="fr-FR"/>
        </w:rPr>
        <w:t xml:space="preserve"> </w:t>
      </w:r>
      <w:r w:rsidRPr="00253550">
        <w:rPr>
          <w:lang w:val="fr-FR"/>
        </w:rPr>
        <w:t>et de prévenir l</w:t>
      </w:r>
      <w:r>
        <w:rPr>
          <w:lang w:val="fr-FR"/>
        </w:rPr>
        <w:t>’</w:t>
      </w:r>
      <w:r w:rsidRPr="00253550">
        <w:rPr>
          <w:lang w:val="fr-FR"/>
        </w:rPr>
        <w:t>impunité</w:t>
      </w:r>
      <w:r w:rsidRPr="00293268">
        <w:rPr>
          <w:lang w:val="fr-FR"/>
        </w:rPr>
        <w:t xml:space="preserve">, </w:t>
      </w:r>
      <w:r w:rsidRPr="00253550">
        <w:rPr>
          <w:lang w:val="fr-FR"/>
        </w:rPr>
        <w:t>d</w:t>
      </w:r>
      <w:r>
        <w:rPr>
          <w:lang w:val="fr-FR"/>
        </w:rPr>
        <w:t>’</w:t>
      </w:r>
      <w:r w:rsidRPr="00253550">
        <w:rPr>
          <w:lang w:val="fr-FR"/>
        </w:rPr>
        <w:t>éviter le déni de justice</w:t>
      </w:r>
      <w:r>
        <w:rPr>
          <w:lang w:val="fr-FR"/>
        </w:rPr>
        <w:t xml:space="preserve"> </w:t>
      </w:r>
      <w:r w:rsidRPr="00253550">
        <w:rPr>
          <w:lang w:val="fr-FR"/>
        </w:rPr>
        <w:t>et de tirer les enseignements voulus pour revoir les pratiques et</w:t>
      </w:r>
      <w:r>
        <w:rPr>
          <w:lang w:val="fr-FR"/>
        </w:rPr>
        <w:t xml:space="preserve"> </w:t>
      </w:r>
      <w:r w:rsidRPr="00253550">
        <w:rPr>
          <w:lang w:val="fr-FR"/>
        </w:rPr>
        <w:t>méthodes employées afin d</w:t>
      </w:r>
      <w:r>
        <w:rPr>
          <w:lang w:val="fr-FR"/>
        </w:rPr>
        <w:t>’</w:t>
      </w:r>
      <w:r w:rsidRPr="00253550">
        <w:rPr>
          <w:lang w:val="fr-FR"/>
        </w:rPr>
        <w:t>empêcher de nouvelles violations</w:t>
      </w:r>
      <w:r w:rsidRPr="00293268">
        <w:rPr>
          <w:lang w:val="fr-FR"/>
        </w:rPr>
        <w:t xml:space="preserve">. </w:t>
      </w:r>
      <w:r w:rsidRPr="00C30548">
        <w:rPr>
          <w:lang w:val="fr-FR"/>
        </w:rPr>
        <w:t>En outre, afin de détecter les violations potentielles du droit à la vie, les États sont tenus d</w:t>
      </w:r>
      <w:r>
        <w:rPr>
          <w:lang w:val="fr-FR"/>
        </w:rPr>
        <w:t>’</w:t>
      </w:r>
      <w:r w:rsidRPr="00C30548">
        <w:rPr>
          <w:lang w:val="fr-FR"/>
        </w:rPr>
        <w:t>établir des règles et des procédures prévoyant le signalement obligatoire et l</w:t>
      </w:r>
      <w:r>
        <w:rPr>
          <w:lang w:val="fr-FR"/>
        </w:rPr>
        <w:t>’</w:t>
      </w:r>
      <w:r w:rsidRPr="00C30548">
        <w:rPr>
          <w:lang w:val="fr-FR"/>
        </w:rPr>
        <w:t xml:space="preserve">analyse des </w:t>
      </w:r>
      <w:r>
        <w:rPr>
          <w:lang w:val="fr-FR"/>
        </w:rPr>
        <w:t xml:space="preserve">comportements ayant entraîné la mort ou mis </w:t>
      </w:r>
      <w:r w:rsidRPr="00C30548">
        <w:rPr>
          <w:lang w:val="fr-FR"/>
        </w:rPr>
        <w:t>la vie en danger</w:t>
      </w:r>
      <w:r>
        <w:rPr>
          <w:lang w:val="fr-FR"/>
        </w:rPr>
        <w:t>, ainsi que</w:t>
      </w:r>
      <w:r w:rsidRPr="00C30548">
        <w:rPr>
          <w:lang w:val="fr-FR"/>
        </w:rPr>
        <w:t xml:space="preserve"> la conduite d</w:t>
      </w:r>
      <w:r>
        <w:rPr>
          <w:lang w:val="fr-FR"/>
        </w:rPr>
        <w:t>’</w:t>
      </w:r>
      <w:r w:rsidRPr="00C30548">
        <w:rPr>
          <w:lang w:val="fr-FR"/>
        </w:rPr>
        <w:t xml:space="preserve">enquêtes sur ces </w:t>
      </w:r>
      <w:r>
        <w:rPr>
          <w:lang w:val="fr-FR"/>
        </w:rPr>
        <w:t>comportements</w:t>
      </w:r>
      <w:r w:rsidRPr="00CD6B67">
        <w:rPr>
          <w:rStyle w:val="FootnoteReference"/>
        </w:rPr>
        <w:footnoteReference w:id="381"/>
      </w:r>
      <w:r>
        <w:rPr>
          <w:lang w:val="fr-FR"/>
        </w:rPr>
        <w:t>.</w:t>
      </w:r>
    </w:p>
    <w:p w14:paraId="223AA56B" w14:textId="77777777" w:rsidR="00D301C6" w:rsidRPr="00293268" w:rsidRDefault="00D301C6" w:rsidP="00D301C6">
      <w:pPr>
        <w:pStyle w:val="SingleTxtG"/>
        <w:rPr>
          <w:lang w:val="fr-FR"/>
        </w:rPr>
      </w:pPr>
      <w:r w:rsidRPr="00293268">
        <w:rPr>
          <w:lang w:val="fr-FR"/>
        </w:rPr>
        <w:t>144.</w:t>
      </w:r>
      <w:r w:rsidRPr="00293268">
        <w:rPr>
          <w:lang w:val="fr-FR"/>
        </w:rPr>
        <w:tab/>
      </w:r>
      <w:r w:rsidRPr="00013F90">
        <w:rPr>
          <w:lang w:val="fr-FR"/>
        </w:rPr>
        <w:t>Les États ont également une obligation particulière d</w:t>
      </w:r>
      <w:r>
        <w:rPr>
          <w:lang w:val="fr-FR"/>
        </w:rPr>
        <w:t>’</w:t>
      </w:r>
      <w:r w:rsidRPr="00013F90">
        <w:rPr>
          <w:lang w:val="fr-FR"/>
        </w:rPr>
        <w:t>enquêter sur les allégations de violation</w:t>
      </w:r>
      <w:r>
        <w:rPr>
          <w:lang w:val="fr-FR"/>
        </w:rPr>
        <w:t xml:space="preserve"> du droit à la vie</w:t>
      </w:r>
      <w:r w:rsidRPr="00293268">
        <w:rPr>
          <w:lang w:val="fr-FR"/>
        </w:rPr>
        <w:t xml:space="preserve"> </w:t>
      </w:r>
      <w:r w:rsidRPr="004767D5">
        <w:rPr>
          <w:lang w:val="fr-FR"/>
        </w:rPr>
        <w:t>chaque fois que le</w:t>
      </w:r>
      <w:r>
        <w:rPr>
          <w:lang w:val="fr-FR"/>
        </w:rPr>
        <w:t>ur</w:t>
      </w:r>
      <w:r w:rsidRPr="004767D5">
        <w:rPr>
          <w:lang w:val="fr-FR"/>
        </w:rPr>
        <w:t>s autorités ont ou semblent avoir fait usage d</w:t>
      </w:r>
      <w:r>
        <w:rPr>
          <w:lang w:val="fr-FR"/>
        </w:rPr>
        <w:t>’</w:t>
      </w:r>
      <w:r w:rsidRPr="004767D5">
        <w:rPr>
          <w:lang w:val="fr-FR"/>
        </w:rPr>
        <w:t>armes à feu ou d</w:t>
      </w:r>
      <w:r>
        <w:rPr>
          <w:lang w:val="fr-FR"/>
        </w:rPr>
        <w:t>’</w:t>
      </w:r>
      <w:r w:rsidRPr="004767D5">
        <w:rPr>
          <w:lang w:val="fr-FR"/>
        </w:rPr>
        <w:t>un autre type de force potentiellement meurtrière</w:t>
      </w:r>
      <w:r w:rsidRPr="00CD6B67">
        <w:rPr>
          <w:rStyle w:val="FootnoteReference"/>
        </w:rPr>
        <w:footnoteReference w:id="382"/>
      </w:r>
      <w:r>
        <w:rPr>
          <w:lang w:val="fr-FR"/>
        </w:rPr>
        <w:t>,</w:t>
      </w:r>
      <w:r w:rsidRPr="00293268">
        <w:rPr>
          <w:lang w:val="fr-FR"/>
        </w:rPr>
        <w:t xml:space="preserve"> </w:t>
      </w:r>
      <w:r w:rsidRPr="00F440AB">
        <w:rPr>
          <w:lang w:val="fr-FR"/>
        </w:rPr>
        <w:t xml:space="preserve">sauf en cas de légitime défense ou pour défendre </w:t>
      </w:r>
      <w:r w:rsidRPr="00D8649D">
        <w:rPr>
          <w:lang w:val="fr-FR"/>
        </w:rPr>
        <w:t>des tiers contre une menace imminente de mort ou de blessure grave, ou pour prévenir une infraction particulièrement grave mettant sérieusement en danger des vies humaines, ou pour procéder à l</w:t>
      </w:r>
      <w:r>
        <w:rPr>
          <w:lang w:val="fr-FR"/>
        </w:rPr>
        <w:t>’</w:t>
      </w:r>
      <w:r w:rsidRPr="00D8649D">
        <w:rPr>
          <w:lang w:val="fr-FR"/>
        </w:rPr>
        <w:t>arrestation d</w:t>
      </w:r>
      <w:r>
        <w:rPr>
          <w:lang w:val="fr-FR"/>
        </w:rPr>
        <w:t>’</w:t>
      </w:r>
      <w:r w:rsidRPr="00D8649D">
        <w:rPr>
          <w:lang w:val="fr-FR"/>
        </w:rPr>
        <w:t>une personne présentant un tel risque et résistant à leur autorité, ou l</w:t>
      </w:r>
      <w:r>
        <w:rPr>
          <w:lang w:val="fr-FR"/>
        </w:rPr>
        <w:t>’</w:t>
      </w:r>
      <w:r w:rsidRPr="00D8649D">
        <w:rPr>
          <w:lang w:val="fr-FR"/>
        </w:rPr>
        <w:t>empêcher de s</w:t>
      </w:r>
      <w:r>
        <w:rPr>
          <w:lang w:val="fr-FR"/>
        </w:rPr>
        <w:t>’</w:t>
      </w:r>
      <w:r w:rsidRPr="00D8649D">
        <w:rPr>
          <w:lang w:val="fr-FR"/>
        </w:rPr>
        <w:t>échapper, et seulement lorsque des mesures moins extrêmes sont insuffisantes pour atteindre</w:t>
      </w:r>
      <w:r w:rsidRPr="00F440AB">
        <w:rPr>
          <w:lang w:val="fr-FR"/>
        </w:rPr>
        <w:t xml:space="preserve"> ces objectifs</w:t>
      </w:r>
      <w:r w:rsidRPr="00CD6B67">
        <w:rPr>
          <w:rStyle w:val="FootnoteReference"/>
        </w:rPr>
        <w:footnoteReference w:id="383"/>
      </w:r>
      <w:r>
        <w:rPr>
          <w:lang w:val="fr-FR"/>
        </w:rPr>
        <w:t>.</w:t>
      </w:r>
    </w:p>
    <w:p w14:paraId="3EE8BD88" w14:textId="6AF762B0" w:rsidR="00D301C6" w:rsidRPr="00293268" w:rsidRDefault="00D301C6" w:rsidP="00D301C6">
      <w:pPr>
        <w:pStyle w:val="SingleTxtG"/>
        <w:rPr>
          <w:lang w:val="fr-FR"/>
        </w:rPr>
      </w:pPr>
      <w:r w:rsidRPr="00293268">
        <w:rPr>
          <w:lang w:val="fr-FR"/>
        </w:rPr>
        <w:t>145.</w:t>
      </w:r>
      <w:r w:rsidRPr="00293268">
        <w:rPr>
          <w:lang w:val="fr-FR"/>
        </w:rPr>
        <w:tab/>
      </w:r>
      <w:r w:rsidRPr="00AE3220">
        <w:rPr>
          <w:lang w:val="fr-FR"/>
        </w:rPr>
        <w:t xml:space="preserve">En dépit des obligations juridiques </w:t>
      </w:r>
      <w:r>
        <w:rPr>
          <w:lang w:val="fr-FR"/>
        </w:rPr>
        <w:t xml:space="preserve">précitées </w:t>
      </w:r>
      <w:r w:rsidRPr="00AE3220">
        <w:rPr>
          <w:lang w:val="fr-FR"/>
        </w:rPr>
        <w:t>d</w:t>
      </w:r>
      <w:r>
        <w:rPr>
          <w:lang w:val="fr-FR"/>
        </w:rPr>
        <w:t>’</w:t>
      </w:r>
      <w:r w:rsidRPr="00AE3220">
        <w:rPr>
          <w:lang w:val="fr-FR"/>
        </w:rPr>
        <w:t xml:space="preserve">évaluer de manière critique le recours à la force meurtrière, les données indiquent que le système de justice pénale est rarement appelé à examiner les cas de décès </w:t>
      </w:r>
      <w:r>
        <w:rPr>
          <w:lang w:val="fr-FR"/>
        </w:rPr>
        <w:t xml:space="preserve">survenus </w:t>
      </w:r>
      <w:r w:rsidRPr="00AE3220">
        <w:rPr>
          <w:lang w:val="fr-FR"/>
        </w:rPr>
        <w:t>au cours ou à la suite d</w:t>
      </w:r>
      <w:r>
        <w:rPr>
          <w:lang w:val="fr-FR"/>
        </w:rPr>
        <w:t>’</w:t>
      </w:r>
      <w:r w:rsidRPr="00AE3220">
        <w:rPr>
          <w:lang w:val="fr-FR"/>
        </w:rPr>
        <w:t>une intervention de la police, ce qui donne l</w:t>
      </w:r>
      <w:r>
        <w:rPr>
          <w:lang w:val="fr-FR"/>
        </w:rPr>
        <w:t>’</w:t>
      </w:r>
      <w:r w:rsidRPr="00AE3220">
        <w:rPr>
          <w:lang w:val="fr-FR"/>
        </w:rPr>
        <w:t>impression que leur légalité probable est présumée</w:t>
      </w:r>
      <w:r w:rsidRPr="00293268">
        <w:rPr>
          <w:lang w:val="fr-FR"/>
        </w:rPr>
        <w:t xml:space="preserve">. </w:t>
      </w:r>
      <w:r w:rsidRPr="000230D9">
        <w:rPr>
          <w:lang w:val="fr-FR"/>
        </w:rPr>
        <w:t>Dans les rares cas où ces affaires sont examinées par la justice, les condamnations sont encore plus rares. Par</w:t>
      </w:r>
      <w:r w:rsidR="007E39E8">
        <w:rPr>
          <w:lang w:val="fr-FR"/>
        </w:rPr>
        <w:t> </w:t>
      </w:r>
      <w:r w:rsidRPr="000230D9">
        <w:rPr>
          <w:lang w:val="fr-FR"/>
        </w:rPr>
        <w:t xml:space="preserve">exemple, aux États-Unis, une organisation non gouvernementale a constaté que moins de </w:t>
      </w:r>
      <w:r>
        <w:rPr>
          <w:lang w:val="fr-FR"/>
        </w:rPr>
        <w:t>3</w:t>
      </w:r>
      <w:r w:rsidR="00E53DDC">
        <w:rPr>
          <w:lang w:val="fr-FR"/>
        </w:rPr>
        <w:t> %</w:t>
      </w:r>
      <w:r w:rsidRPr="000230D9">
        <w:rPr>
          <w:lang w:val="fr-FR"/>
        </w:rPr>
        <w:t xml:space="preserve"> des </w:t>
      </w:r>
      <w:r>
        <w:rPr>
          <w:lang w:val="fr-FR"/>
        </w:rPr>
        <w:t>décès imputables à des policiers</w:t>
      </w:r>
      <w:r w:rsidRPr="000230D9">
        <w:rPr>
          <w:lang w:val="fr-FR"/>
        </w:rPr>
        <w:t xml:space="preserve"> entre 2013 et 2020 ont abouti à l</w:t>
      </w:r>
      <w:r>
        <w:rPr>
          <w:lang w:val="fr-FR"/>
        </w:rPr>
        <w:t>’</w:t>
      </w:r>
      <w:r w:rsidRPr="000230D9">
        <w:rPr>
          <w:lang w:val="fr-FR"/>
        </w:rPr>
        <w:t xml:space="preserve">inculpation </w:t>
      </w:r>
      <w:r>
        <w:rPr>
          <w:lang w:val="fr-FR"/>
        </w:rPr>
        <w:t>de leurs responsables</w:t>
      </w:r>
      <w:r w:rsidRPr="00CD6B67">
        <w:rPr>
          <w:rStyle w:val="FootnoteReference"/>
        </w:rPr>
        <w:footnoteReference w:id="384"/>
      </w:r>
      <w:r>
        <w:rPr>
          <w:lang w:val="fr-FR"/>
        </w:rPr>
        <w:t>.</w:t>
      </w:r>
      <w:r w:rsidRPr="00293268">
        <w:rPr>
          <w:lang w:val="fr-FR"/>
        </w:rPr>
        <w:t xml:space="preserve"> </w:t>
      </w:r>
      <w:r w:rsidRPr="006B1256">
        <w:rPr>
          <w:lang w:val="fr-FR"/>
        </w:rPr>
        <w:t xml:space="preserve">Au Royaume-Uni, les </w:t>
      </w:r>
      <w:r>
        <w:rPr>
          <w:lang w:val="fr-FR"/>
        </w:rPr>
        <w:t>donnée</w:t>
      </w:r>
      <w:r w:rsidRPr="006B1256">
        <w:rPr>
          <w:lang w:val="fr-FR"/>
        </w:rPr>
        <w:t xml:space="preserve">s révèlent que depuis 1990, </w:t>
      </w:r>
      <w:r>
        <w:rPr>
          <w:lang w:val="fr-FR"/>
        </w:rPr>
        <w:t>neuf conclusions de meurtre avaient été rendues par des jurys à l’issue d’informations judiciaires sur des décès survenus</w:t>
      </w:r>
      <w:r w:rsidRPr="006B1256">
        <w:rPr>
          <w:lang w:val="fr-FR"/>
        </w:rPr>
        <w:t xml:space="preserve"> </w:t>
      </w:r>
      <w:r>
        <w:rPr>
          <w:lang w:val="fr-FR"/>
        </w:rPr>
        <w:t>au cours d’une intervention de la police</w:t>
      </w:r>
      <w:r w:rsidRPr="006B1256">
        <w:rPr>
          <w:lang w:val="fr-FR"/>
        </w:rPr>
        <w:t xml:space="preserve">, </w:t>
      </w:r>
      <w:r>
        <w:rPr>
          <w:lang w:val="fr-FR"/>
        </w:rPr>
        <w:t xml:space="preserve">de même qu’une conclusion de meurtre à l’issue </w:t>
      </w:r>
      <w:r w:rsidRPr="006B1256">
        <w:rPr>
          <w:lang w:val="fr-FR"/>
        </w:rPr>
        <w:t>d</w:t>
      </w:r>
      <w:r>
        <w:rPr>
          <w:lang w:val="fr-FR"/>
        </w:rPr>
        <w:t>’</w:t>
      </w:r>
      <w:r w:rsidRPr="006B1256">
        <w:rPr>
          <w:lang w:val="fr-FR"/>
        </w:rPr>
        <w:t xml:space="preserve">une enquête publique sur une fusillade policière, mais </w:t>
      </w:r>
      <w:r>
        <w:rPr>
          <w:lang w:val="fr-FR"/>
        </w:rPr>
        <w:t>qu’</w:t>
      </w:r>
      <w:r w:rsidRPr="006B1256">
        <w:rPr>
          <w:lang w:val="fr-FR"/>
        </w:rPr>
        <w:t>aucune de ces affaires n</w:t>
      </w:r>
      <w:r>
        <w:rPr>
          <w:lang w:val="fr-FR"/>
        </w:rPr>
        <w:t>’</w:t>
      </w:r>
      <w:r w:rsidRPr="006B1256">
        <w:rPr>
          <w:lang w:val="fr-FR"/>
        </w:rPr>
        <w:t>a</w:t>
      </w:r>
      <w:r>
        <w:rPr>
          <w:lang w:val="fr-FR"/>
        </w:rPr>
        <w:t>vait</w:t>
      </w:r>
      <w:r w:rsidRPr="006B1256">
        <w:rPr>
          <w:lang w:val="fr-FR"/>
        </w:rPr>
        <w:t xml:space="preserve"> donné lieu à des poursuites pour meurtre ou homicide involontaire</w:t>
      </w:r>
      <w:r w:rsidRPr="00CD6B67">
        <w:rPr>
          <w:rStyle w:val="FootnoteReference"/>
        </w:rPr>
        <w:footnoteReference w:id="385"/>
      </w:r>
      <w:r>
        <w:rPr>
          <w:lang w:val="fr-FR"/>
        </w:rPr>
        <w:t>.</w:t>
      </w:r>
      <w:r w:rsidRPr="00293268">
        <w:rPr>
          <w:lang w:val="fr-FR"/>
        </w:rPr>
        <w:t xml:space="preserve"> </w:t>
      </w:r>
      <w:r w:rsidRPr="00A76837">
        <w:rPr>
          <w:lang w:val="fr-FR"/>
        </w:rPr>
        <w:t>Depuis 2018, la Cour européenne des droits de l</w:t>
      </w:r>
      <w:r>
        <w:rPr>
          <w:lang w:val="fr-FR"/>
        </w:rPr>
        <w:t>’</w:t>
      </w:r>
      <w:r w:rsidRPr="00A76837">
        <w:rPr>
          <w:lang w:val="fr-FR"/>
        </w:rPr>
        <w:t xml:space="preserve">homme </w:t>
      </w:r>
      <w:r w:rsidRPr="00B023FA">
        <w:rPr>
          <w:lang w:val="fr-FR"/>
        </w:rPr>
        <w:t xml:space="preserve">a conclu à des violations </w:t>
      </w:r>
      <w:r w:rsidRPr="00A76837">
        <w:rPr>
          <w:lang w:val="fr-FR"/>
        </w:rPr>
        <w:t>du droit à la vie et de l</w:t>
      </w:r>
      <w:r>
        <w:rPr>
          <w:lang w:val="fr-FR"/>
        </w:rPr>
        <w:t>’</w:t>
      </w:r>
      <w:r w:rsidRPr="00A76837">
        <w:rPr>
          <w:lang w:val="fr-FR"/>
        </w:rPr>
        <w:t xml:space="preserve">interdiction de la torture dans cinq affaires </w:t>
      </w:r>
      <w:r>
        <w:rPr>
          <w:lang w:val="fr-FR"/>
        </w:rPr>
        <w:t xml:space="preserve">en France, </w:t>
      </w:r>
      <w:r w:rsidRPr="00A76837">
        <w:rPr>
          <w:lang w:val="fr-FR"/>
        </w:rPr>
        <w:t xml:space="preserve">dont quatre concernaient des </w:t>
      </w:r>
      <w:r>
        <w:rPr>
          <w:lang w:val="fr-FR"/>
        </w:rPr>
        <w:t>personnes</w:t>
      </w:r>
      <w:r w:rsidRPr="00A76837">
        <w:rPr>
          <w:lang w:val="fr-FR"/>
        </w:rPr>
        <w:t xml:space="preserve"> d</w:t>
      </w:r>
      <w:r>
        <w:rPr>
          <w:lang w:val="fr-FR"/>
        </w:rPr>
        <w:t>’</w:t>
      </w:r>
      <w:r w:rsidRPr="00A76837">
        <w:rPr>
          <w:lang w:val="fr-FR"/>
        </w:rPr>
        <w:t>ascendance africaine</w:t>
      </w:r>
      <w:r w:rsidRPr="00293268">
        <w:rPr>
          <w:lang w:val="fr-FR"/>
        </w:rPr>
        <w:t xml:space="preserve">. </w:t>
      </w:r>
      <w:r w:rsidRPr="00B92441">
        <w:rPr>
          <w:lang w:val="fr-FR"/>
        </w:rPr>
        <w:t>Cependant, aucune de ces affaires n</w:t>
      </w:r>
      <w:r>
        <w:rPr>
          <w:lang w:val="fr-FR"/>
        </w:rPr>
        <w:t>’aurait</w:t>
      </w:r>
      <w:r w:rsidRPr="00B92441">
        <w:rPr>
          <w:lang w:val="fr-FR"/>
        </w:rPr>
        <w:t xml:space="preserve"> été portée devant les tribunaux</w:t>
      </w:r>
      <w:r w:rsidRPr="00CD6B67">
        <w:rPr>
          <w:rStyle w:val="FootnoteReference"/>
        </w:rPr>
        <w:footnoteReference w:id="386"/>
      </w:r>
      <w:r>
        <w:rPr>
          <w:lang w:val="fr-FR"/>
        </w:rPr>
        <w:t>.</w:t>
      </w:r>
      <w:r w:rsidRPr="00293268">
        <w:rPr>
          <w:lang w:val="fr-FR"/>
        </w:rPr>
        <w:t xml:space="preserve"> </w:t>
      </w:r>
      <w:r w:rsidRPr="000C6185">
        <w:rPr>
          <w:lang w:val="fr-FR"/>
        </w:rPr>
        <w:t xml:space="preserve">Selon </w:t>
      </w:r>
      <w:r>
        <w:rPr>
          <w:lang w:val="fr-FR"/>
        </w:rPr>
        <w:t>un rapport de</w:t>
      </w:r>
      <w:r w:rsidRPr="000C6185">
        <w:rPr>
          <w:lang w:val="fr-FR"/>
        </w:rPr>
        <w:t xml:space="preserve"> la société civile, </w:t>
      </w:r>
      <w:r w:rsidRPr="0061326C">
        <w:rPr>
          <w:lang w:val="fr-FR"/>
        </w:rPr>
        <w:t>entre 2017 et 2019</w:t>
      </w:r>
      <w:r>
        <w:rPr>
          <w:lang w:val="fr-FR"/>
        </w:rPr>
        <w:t xml:space="preserve">, </w:t>
      </w:r>
      <w:r w:rsidRPr="000C6185">
        <w:rPr>
          <w:lang w:val="fr-FR"/>
        </w:rPr>
        <w:t xml:space="preserve">le Bureau du </w:t>
      </w:r>
      <w:r w:rsidR="008539A7">
        <w:rPr>
          <w:lang w:val="fr-FR"/>
        </w:rPr>
        <w:t>Procureur général</w:t>
      </w:r>
      <w:r w:rsidRPr="000C6185">
        <w:rPr>
          <w:lang w:val="fr-FR"/>
        </w:rPr>
        <w:t xml:space="preserve"> de Colombie a ouvert 127 enquêtes sur un total de 289</w:t>
      </w:r>
      <w:r w:rsidR="00B61997">
        <w:rPr>
          <w:lang w:val="fr-FR"/>
        </w:rPr>
        <w:t> </w:t>
      </w:r>
      <w:r w:rsidRPr="000C6185">
        <w:rPr>
          <w:lang w:val="fr-FR"/>
        </w:rPr>
        <w:t>allégations d</w:t>
      </w:r>
      <w:r>
        <w:rPr>
          <w:lang w:val="fr-FR"/>
        </w:rPr>
        <w:t>’</w:t>
      </w:r>
      <w:r w:rsidRPr="000C6185">
        <w:rPr>
          <w:lang w:val="fr-FR"/>
        </w:rPr>
        <w:t>homicides commis par la police, soit moins de la moitié du total</w:t>
      </w:r>
      <w:r>
        <w:rPr>
          <w:lang w:val="fr-FR"/>
        </w:rPr>
        <w:t>. S</w:t>
      </w:r>
      <w:r w:rsidRPr="000C6185">
        <w:rPr>
          <w:lang w:val="fr-FR"/>
        </w:rPr>
        <w:t>eulement deux de ces enquêtes ont abouti à des condamnations pour homicide</w:t>
      </w:r>
      <w:r w:rsidRPr="00CD6B67">
        <w:rPr>
          <w:rStyle w:val="FootnoteReference"/>
        </w:rPr>
        <w:footnoteReference w:id="387"/>
      </w:r>
      <w:r>
        <w:rPr>
          <w:lang w:val="fr-FR"/>
        </w:rPr>
        <w:t>.</w:t>
      </w:r>
    </w:p>
    <w:p w14:paraId="01BBE513" w14:textId="77777777" w:rsidR="00D301C6" w:rsidRPr="00293268" w:rsidRDefault="00D301C6" w:rsidP="00D301C6">
      <w:pPr>
        <w:pStyle w:val="SingleTxtG"/>
        <w:rPr>
          <w:lang w:val="fr-FR"/>
        </w:rPr>
      </w:pPr>
      <w:r w:rsidRPr="00293268">
        <w:rPr>
          <w:lang w:val="fr-FR"/>
        </w:rPr>
        <w:t>146.</w:t>
      </w:r>
      <w:r w:rsidRPr="00293268">
        <w:rPr>
          <w:lang w:val="fr-FR"/>
        </w:rPr>
        <w:tab/>
      </w:r>
      <w:r w:rsidRPr="003D5B6A">
        <w:rPr>
          <w:lang w:val="fr-FR"/>
        </w:rPr>
        <w:t>Le fait que les auteurs de telles violations soient si peu nombreux à répond</w:t>
      </w:r>
      <w:r>
        <w:rPr>
          <w:lang w:val="fr-FR"/>
        </w:rPr>
        <w:t>re</w:t>
      </w:r>
      <w:r w:rsidRPr="003D5B6A">
        <w:rPr>
          <w:lang w:val="fr-FR"/>
        </w:rPr>
        <w:t xml:space="preserve"> pénalement de leurs actes a été attribué à de nombreuses raisons, qui semblent se renforcer mutuellement et devraient être corrigées au moyen de réformes coordonnées à </w:t>
      </w:r>
      <w:r>
        <w:rPr>
          <w:lang w:val="fr-FR"/>
        </w:rPr>
        <w:t xml:space="preserve">tous les échelons </w:t>
      </w:r>
      <w:r w:rsidRPr="003D5B6A">
        <w:rPr>
          <w:lang w:val="fr-FR"/>
        </w:rPr>
        <w:t>du système</w:t>
      </w:r>
      <w:r w:rsidRPr="00CD6B67">
        <w:rPr>
          <w:rStyle w:val="FootnoteReference"/>
        </w:rPr>
        <w:footnoteReference w:id="388"/>
      </w:r>
      <w:r>
        <w:rPr>
          <w:lang w:val="fr-FR"/>
        </w:rPr>
        <w:t>.</w:t>
      </w:r>
      <w:r w:rsidRPr="00293268">
        <w:rPr>
          <w:lang w:val="fr-FR"/>
        </w:rPr>
        <w:t xml:space="preserve"> </w:t>
      </w:r>
      <w:r w:rsidRPr="00CB7533">
        <w:rPr>
          <w:lang w:val="fr-FR"/>
        </w:rPr>
        <w:t xml:space="preserve">Parmi les </w:t>
      </w:r>
      <w:r>
        <w:rPr>
          <w:lang w:val="fr-FR"/>
        </w:rPr>
        <w:t>difficultés</w:t>
      </w:r>
      <w:r w:rsidRPr="00CB7533">
        <w:rPr>
          <w:lang w:val="fr-FR"/>
        </w:rPr>
        <w:t xml:space="preserve"> que soulève </w:t>
      </w:r>
      <w:r>
        <w:rPr>
          <w:lang w:val="fr-FR"/>
        </w:rPr>
        <w:t xml:space="preserve">la lutte contre </w:t>
      </w:r>
      <w:r w:rsidRPr="00CB7533">
        <w:rPr>
          <w:lang w:val="fr-FR"/>
        </w:rPr>
        <w:t>l</w:t>
      </w:r>
      <w:r>
        <w:rPr>
          <w:lang w:val="fr-FR"/>
        </w:rPr>
        <w:t>’</w:t>
      </w:r>
      <w:r w:rsidRPr="00CB7533">
        <w:rPr>
          <w:lang w:val="fr-FR"/>
        </w:rPr>
        <w:t>impunité</w:t>
      </w:r>
      <w:r>
        <w:rPr>
          <w:lang w:val="fr-FR"/>
        </w:rPr>
        <w:t xml:space="preserve"> figurent</w:t>
      </w:r>
      <w:r w:rsidRPr="00CB7533">
        <w:rPr>
          <w:lang w:val="fr-FR"/>
        </w:rPr>
        <w:t xml:space="preserve"> l</w:t>
      </w:r>
      <w:r>
        <w:rPr>
          <w:lang w:val="fr-FR"/>
        </w:rPr>
        <w:t>’</w:t>
      </w:r>
      <w:r w:rsidRPr="00CB7533">
        <w:rPr>
          <w:lang w:val="fr-FR"/>
        </w:rPr>
        <w:t>absence de mécanismes indépendants et robustes de surveillance, de plainte et d</w:t>
      </w:r>
      <w:r>
        <w:rPr>
          <w:lang w:val="fr-FR"/>
        </w:rPr>
        <w:t>’</w:t>
      </w:r>
      <w:r w:rsidRPr="00CB7533">
        <w:rPr>
          <w:lang w:val="fr-FR"/>
        </w:rPr>
        <w:t>établissement des responsabilités (voir ci-dessous), ainsi que les retards et les lacunes dans les enquêtes, sans accès à l</w:t>
      </w:r>
      <w:r>
        <w:rPr>
          <w:lang w:val="fr-FR"/>
        </w:rPr>
        <w:t>’</w:t>
      </w:r>
      <w:r w:rsidRPr="00CB7533">
        <w:rPr>
          <w:lang w:val="fr-FR"/>
        </w:rPr>
        <w:t>information</w:t>
      </w:r>
      <w:r w:rsidRPr="00CD6B67">
        <w:rPr>
          <w:rStyle w:val="FootnoteReference"/>
        </w:rPr>
        <w:footnoteReference w:id="389"/>
      </w:r>
      <w:r>
        <w:rPr>
          <w:lang w:val="fr-FR"/>
        </w:rPr>
        <w:t>.</w:t>
      </w:r>
      <w:r w:rsidRPr="00293268">
        <w:rPr>
          <w:lang w:val="fr-FR"/>
        </w:rPr>
        <w:t xml:space="preserve"> </w:t>
      </w:r>
      <w:r>
        <w:rPr>
          <w:lang w:val="fr-FR"/>
        </w:rPr>
        <w:t>À ces</w:t>
      </w:r>
      <w:r w:rsidRPr="00045606">
        <w:rPr>
          <w:lang w:val="fr-FR"/>
        </w:rPr>
        <w:t xml:space="preserve"> difficultés</w:t>
      </w:r>
      <w:r>
        <w:rPr>
          <w:lang w:val="fr-FR"/>
        </w:rPr>
        <w:t xml:space="preserve"> s’ajoutent</w:t>
      </w:r>
      <w:r w:rsidRPr="00045606">
        <w:rPr>
          <w:lang w:val="fr-FR"/>
        </w:rPr>
        <w:t xml:space="preserve"> le manque de coopération des </w:t>
      </w:r>
      <w:r>
        <w:rPr>
          <w:lang w:val="fr-FR"/>
        </w:rPr>
        <w:t>policiers</w:t>
      </w:r>
      <w:r w:rsidRPr="00045606">
        <w:rPr>
          <w:lang w:val="fr-FR"/>
        </w:rPr>
        <w:t xml:space="preserve"> </w:t>
      </w:r>
      <w:r>
        <w:rPr>
          <w:lang w:val="fr-FR"/>
        </w:rPr>
        <w:t>lors d</w:t>
      </w:r>
      <w:r w:rsidRPr="00045606">
        <w:rPr>
          <w:lang w:val="fr-FR"/>
        </w:rPr>
        <w:t>es enquêtes et les tentatives, dans certains cas, de saper délibérément les processus d</w:t>
      </w:r>
      <w:r>
        <w:rPr>
          <w:lang w:val="fr-FR"/>
        </w:rPr>
        <w:t>’</w:t>
      </w:r>
      <w:r w:rsidRPr="00045606">
        <w:rPr>
          <w:lang w:val="fr-FR"/>
        </w:rPr>
        <w:t>établissement des responsabilités</w:t>
      </w:r>
      <w:r w:rsidRPr="00CD6B67">
        <w:rPr>
          <w:rStyle w:val="FootnoteReference"/>
        </w:rPr>
        <w:footnoteReference w:id="390"/>
      </w:r>
      <w:r>
        <w:rPr>
          <w:lang w:val="fr-FR"/>
        </w:rPr>
        <w:t>.</w:t>
      </w:r>
      <w:r w:rsidRPr="00293268">
        <w:rPr>
          <w:lang w:val="fr-FR"/>
        </w:rPr>
        <w:t xml:space="preserve"> </w:t>
      </w:r>
      <w:r w:rsidRPr="00514064">
        <w:rPr>
          <w:lang w:val="fr-FR"/>
        </w:rPr>
        <w:t>Il existe également une inégalité des armes résultant du fait que l</w:t>
      </w:r>
      <w:r>
        <w:rPr>
          <w:lang w:val="fr-FR"/>
        </w:rPr>
        <w:t>’</w:t>
      </w:r>
      <w:r w:rsidRPr="00514064">
        <w:rPr>
          <w:lang w:val="fr-FR"/>
        </w:rPr>
        <w:t>État fournit une assistance juridictionnelle aux policiers, alors qu</w:t>
      </w:r>
      <w:r>
        <w:rPr>
          <w:lang w:val="fr-FR"/>
        </w:rPr>
        <w:t>’</w:t>
      </w:r>
      <w:r w:rsidRPr="00514064">
        <w:rPr>
          <w:lang w:val="fr-FR"/>
        </w:rPr>
        <w:t xml:space="preserve">il ne le fait pas systématiquement pour les familles des victimes </w:t>
      </w:r>
      <w:r>
        <w:rPr>
          <w:lang w:val="fr-FR"/>
        </w:rPr>
        <w:t>dont le décès aurait été causé</w:t>
      </w:r>
      <w:r w:rsidRPr="00514064">
        <w:rPr>
          <w:lang w:val="fr-FR"/>
        </w:rPr>
        <w:t xml:space="preserve"> par la police</w:t>
      </w:r>
      <w:r w:rsidRPr="00CD6B67">
        <w:rPr>
          <w:rStyle w:val="FootnoteReference"/>
        </w:rPr>
        <w:footnoteReference w:id="391"/>
      </w:r>
      <w:r>
        <w:rPr>
          <w:lang w:val="fr-FR"/>
        </w:rPr>
        <w:t>.</w:t>
      </w:r>
      <w:r w:rsidRPr="00293268">
        <w:rPr>
          <w:lang w:val="fr-FR"/>
        </w:rPr>
        <w:t xml:space="preserve"> </w:t>
      </w:r>
      <w:r w:rsidRPr="00F0082C">
        <w:rPr>
          <w:lang w:val="fr-FR"/>
        </w:rPr>
        <w:t xml:space="preserve">Les communications ont également mis en évidence le pouvoir discrétionnaire conféré aux procureurs et, parfois, leur réticence à engager des poursuites contre des </w:t>
      </w:r>
      <w:r>
        <w:rPr>
          <w:lang w:val="fr-FR"/>
        </w:rPr>
        <w:t>policiers</w:t>
      </w:r>
      <w:r w:rsidRPr="00CD6B67">
        <w:rPr>
          <w:rStyle w:val="FootnoteReference"/>
        </w:rPr>
        <w:footnoteReference w:id="392"/>
      </w:r>
      <w:r>
        <w:rPr>
          <w:lang w:val="fr-FR"/>
        </w:rPr>
        <w:t>,</w:t>
      </w:r>
      <w:r w:rsidRPr="00293268">
        <w:rPr>
          <w:lang w:val="fr-FR"/>
        </w:rPr>
        <w:t xml:space="preserve"> </w:t>
      </w:r>
      <w:r w:rsidRPr="005909F1">
        <w:rPr>
          <w:lang w:val="fr-FR"/>
        </w:rPr>
        <w:t>la difficulté de prouver l</w:t>
      </w:r>
      <w:r>
        <w:rPr>
          <w:lang w:val="fr-FR"/>
        </w:rPr>
        <w:t>’</w:t>
      </w:r>
      <w:r w:rsidRPr="005909F1">
        <w:rPr>
          <w:lang w:val="fr-FR"/>
        </w:rPr>
        <w:t xml:space="preserve">intention criminelle ou </w:t>
      </w:r>
      <w:r w:rsidRPr="005829D8">
        <w:rPr>
          <w:lang w:val="fr-FR"/>
        </w:rPr>
        <w:t>le fait que les policiers connaissent les critères très rigoureux à remplir pour obtenir une condamnation dans une procédure pénale</w:t>
      </w:r>
      <w:r w:rsidRPr="00CD6B67">
        <w:rPr>
          <w:rStyle w:val="FootnoteReference"/>
        </w:rPr>
        <w:footnoteReference w:id="393"/>
      </w:r>
      <w:r w:rsidRPr="005829D8">
        <w:rPr>
          <w:lang w:val="fr-FR"/>
        </w:rPr>
        <w:t>, ainsi que la composition raciale du jury et les</w:t>
      </w:r>
      <w:r>
        <w:rPr>
          <w:lang w:val="fr-FR"/>
        </w:rPr>
        <w:t xml:space="preserve"> préjugés éventuels de leurs membres dans les juridictions concernées</w:t>
      </w:r>
      <w:r w:rsidRPr="00CD6B67">
        <w:rPr>
          <w:rStyle w:val="FootnoteReference"/>
        </w:rPr>
        <w:footnoteReference w:id="394"/>
      </w:r>
      <w:r>
        <w:rPr>
          <w:lang w:val="fr-FR"/>
        </w:rPr>
        <w:t>.</w:t>
      </w:r>
    </w:p>
    <w:p w14:paraId="204FB523" w14:textId="24387EDD" w:rsidR="00D301C6" w:rsidRPr="00293268" w:rsidRDefault="00D301C6" w:rsidP="00D301C6">
      <w:pPr>
        <w:pStyle w:val="SingleTxtG"/>
        <w:rPr>
          <w:lang w:val="fr-FR"/>
        </w:rPr>
      </w:pPr>
      <w:r w:rsidRPr="00293268">
        <w:rPr>
          <w:lang w:val="fr-FR"/>
        </w:rPr>
        <w:t>147.</w:t>
      </w:r>
      <w:r w:rsidRPr="00293268">
        <w:rPr>
          <w:lang w:val="fr-FR"/>
        </w:rPr>
        <w:tab/>
      </w:r>
      <w:r>
        <w:rPr>
          <w:lang w:val="fr-FR"/>
        </w:rPr>
        <w:t xml:space="preserve">L’établissement des responsabilité se heurte également aux </w:t>
      </w:r>
      <w:r w:rsidRPr="0078588A">
        <w:rPr>
          <w:lang w:val="fr-FR"/>
        </w:rPr>
        <w:t>lois, politiques et réglementations régissant le maintien de l</w:t>
      </w:r>
      <w:r>
        <w:rPr>
          <w:lang w:val="fr-FR"/>
        </w:rPr>
        <w:t>’</w:t>
      </w:r>
      <w:r w:rsidRPr="0078588A">
        <w:rPr>
          <w:lang w:val="fr-FR"/>
        </w:rPr>
        <w:t>ordre qui ne sont pas conformes au droit international des droits de l</w:t>
      </w:r>
      <w:r>
        <w:rPr>
          <w:lang w:val="fr-FR"/>
        </w:rPr>
        <w:t>’</w:t>
      </w:r>
      <w:r w:rsidRPr="0078588A">
        <w:rPr>
          <w:lang w:val="fr-FR"/>
        </w:rPr>
        <w:t xml:space="preserve">homme, notamment aux principes fondamentaux relatifs </w:t>
      </w:r>
      <w:r>
        <w:rPr>
          <w:lang w:val="fr-FR"/>
        </w:rPr>
        <w:t xml:space="preserve">au recours à </w:t>
      </w:r>
      <w:r w:rsidRPr="0078588A">
        <w:rPr>
          <w:lang w:val="fr-FR"/>
        </w:rPr>
        <w:t>la force</w:t>
      </w:r>
      <w:r w:rsidRPr="00CD6B67">
        <w:rPr>
          <w:rStyle w:val="FootnoteReference"/>
        </w:rPr>
        <w:footnoteReference w:id="395"/>
      </w:r>
      <w:r>
        <w:rPr>
          <w:lang w:val="fr-FR"/>
        </w:rPr>
        <w:t>.</w:t>
      </w:r>
      <w:r w:rsidRPr="00293268">
        <w:rPr>
          <w:lang w:val="fr-FR"/>
        </w:rPr>
        <w:t xml:space="preserve"> </w:t>
      </w:r>
      <w:r w:rsidRPr="00AF3B54">
        <w:rPr>
          <w:lang w:val="fr-FR"/>
        </w:rPr>
        <w:t>La marge de manœuvre dont dispose la police dans l</w:t>
      </w:r>
      <w:r>
        <w:rPr>
          <w:lang w:val="fr-FR"/>
        </w:rPr>
        <w:t>’</w:t>
      </w:r>
      <w:r w:rsidRPr="00AF3B54">
        <w:rPr>
          <w:lang w:val="fr-FR"/>
        </w:rPr>
        <w:t>application de ces lois et règlements (ou dans l</w:t>
      </w:r>
      <w:r>
        <w:rPr>
          <w:lang w:val="fr-FR"/>
        </w:rPr>
        <w:t>’</w:t>
      </w:r>
      <w:r w:rsidRPr="00AF3B54">
        <w:rPr>
          <w:lang w:val="fr-FR"/>
        </w:rPr>
        <w:t>exercice des pouvoirs que leur confèrent ces lois et règlements, tels que l</w:t>
      </w:r>
      <w:r>
        <w:rPr>
          <w:lang w:val="fr-FR"/>
        </w:rPr>
        <w:t>’</w:t>
      </w:r>
      <w:r w:rsidRPr="00AF3B54">
        <w:rPr>
          <w:lang w:val="fr-FR"/>
        </w:rPr>
        <w:t>utilisation des mandats de perquisition aux États-Unis) et l</w:t>
      </w:r>
      <w:r>
        <w:rPr>
          <w:lang w:val="fr-FR"/>
        </w:rPr>
        <w:t>’</w:t>
      </w:r>
      <w:r w:rsidRPr="00AF3B54">
        <w:rPr>
          <w:lang w:val="fr-FR"/>
        </w:rPr>
        <w:t>absence d</w:t>
      </w:r>
      <w:r>
        <w:rPr>
          <w:lang w:val="fr-FR"/>
        </w:rPr>
        <w:t>’</w:t>
      </w:r>
      <w:r w:rsidRPr="00AF3B54">
        <w:rPr>
          <w:lang w:val="fr-FR"/>
        </w:rPr>
        <w:t>un contrôle judiciaire efficace compromettent encore davantage l</w:t>
      </w:r>
      <w:r>
        <w:rPr>
          <w:lang w:val="fr-FR"/>
        </w:rPr>
        <w:t>’</w:t>
      </w:r>
      <w:r w:rsidRPr="00AF3B54">
        <w:rPr>
          <w:lang w:val="fr-FR"/>
        </w:rPr>
        <w:t>établissement des responsabilités en cas de fautes ou de violations commises par des policiers</w:t>
      </w:r>
      <w:r w:rsidRPr="00CD6B67">
        <w:rPr>
          <w:rStyle w:val="FootnoteReference"/>
        </w:rPr>
        <w:footnoteReference w:id="396"/>
      </w:r>
      <w:r>
        <w:rPr>
          <w:lang w:val="fr-FR"/>
        </w:rPr>
        <w:t>.</w:t>
      </w:r>
      <w:r w:rsidRPr="00293268">
        <w:rPr>
          <w:lang w:val="fr-FR"/>
        </w:rPr>
        <w:t xml:space="preserve"> </w:t>
      </w:r>
      <w:r w:rsidRPr="00817968">
        <w:rPr>
          <w:lang w:val="fr-FR"/>
        </w:rPr>
        <w:t xml:space="preserve">Aux États-Unis plus précisément, </w:t>
      </w:r>
      <w:r>
        <w:rPr>
          <w:lang w:val="fr-FR"/>
        </w:rPr>
        <w:t xml:space="preserve">il convient de mentionner </w:t>
      </w:r>
      <w:r w:rsidRPr="00817968">
        <w:rPr>
          <w:lang w:val="fr-FR"/>
        </w:rPr>
        <w:t>la doctrine juridique de «</w:t>
      </w:r>
      <w:r>
        <w:rPr>
          <w:lang w:val="fr-FR"/>
        </w:rPr>
        <w:t> </w:t>
      </w:r>
      <w:r w:rsidRPr="00817968">
        <w:rPr>
          <w:lang w:val="fr-FR"/>
        </w:rPr>
        <w:t>l</w:t>
      </w:r>
      <w:r>
        <w:rPr>
          <w:lang w:val="fr-FR"/>
        </w:rPr>
        <w:t>’</w:t>
      </w:r>
      <w:r w:rsidRPr="00817968">
        <w:rPr>
          <w:lang w:val="fr-FR"/>
        </w:rPr>
        <w:t>immunité qualifiée</w:t>
      </w:r>
      <w:r>
        <w:rPr>
          <w:lang w:val="fr-FR"/>
        </w:rPr>
        <w:t> </w:t>
      </w:r>
      <w:r w:rsidRPr="00817968">
        <w:rPr>
          <w:lang w:val="fr-FR"/>
        </w:rPr>
        <w:t xml:space="preserve">» </w:t>
      </w:r>
      <w:r w:rsidR="0034542D">
        <w:rPr>
          <w:lang w:val="fr-FR"/>
        </w:rPr>
        <w:t>−</w:t>
      </w:r>
      <w:r w:rsidRPr="006C3370">
        <w:rPr>
          <w:lang w:val="fr-FR"/>
        </w:rPr>
        <w:t xml:space="preserve"> applicable à la responsabilité civile </w:t>
      </w:r>
      <w:r w:rsidR="0034542D">
        <w:rPr>
          <w:lang w:val="fr-FR"/>
        </w:rPr>
        <w:t>−</w:t>
      </w:r>
      <w:r w:rsidRPr="006C3370">
        <w:rPr>
          <w:lang w:val="fr-FR"/>
        </w:rPr>
        <w:t xml:space="preserve"> qui exonère les policiers, sauf s</w:t>
      </w:r>
      <w:r>
        <w:rPr>
          <w:lang w:val="fr-FR"/>
        </w:rPr>
        <w:t>’</w:t>
      </w:r>
      <w:r w:rsidRPr="006C3370">
        <w:rPr>
          <w:lang w:val="fr-FR"/>
        </w:rPr>
        <w:t>ils commettent un acte dont ils auraient raisonnablement dû savoir qu</w:t>
      </w:r>
      <w:r>
        <w:rPr>
          <w:lang w:val="fr-FR"/>
        </w:rPr>
        <w:t>’</w:t>
      </w:r>
      <w:r w:rsidRPr="006C3370">
        <w:rPr>
          <w:lang w:val="fr-FR"/>
        </w:rPr>
        <w:t>il était clairement établi dans la loi qu</w:t>
      </w:r>
      <w:r>
        <w:rPr>
          <w:lang w:val="fr-FR"/>
        </w:rPr>
        <w:t>’</w:t>
      </w:r>
      <w:r w:rsidRPr="006C3370">
        <w:rPr>
          <w:lang w:val="fr-FR"/>
        </w:rPr>
        <w:t>il s</w:t>
      </w:r>
      <w:r>
        <w:rPr>
          <w:lang w:val="fr-FR"/>
        </w:rPr>
        <w:t>’</w:t>
      </w:r>
      <w:r w:rsidRPr="006C3370">
        <w:rPr>
          <w:lang w:val="fr-FR"/>
        </w:rPr>
        <w:t>agissait d</w:t>
      </w:r>
      <w:r>
        <w:rPr>
          <w:lang w:val="fr-FR"/>
        </w:rPr>
        <w:t>’</w:t>
      </w:r>
      <w:r w:rsidRPr="006C3370">
        <w:rPr>
          <w:lang w:val="fr-FR"/>
        </w:rPr>
        <w:t>une violation</w:t>
      </w:r>
      <w:r w:rsidRPr="00CD6B67">
        <w:rPr>
          <w:rStyle w:val="FootnoteReference"/>
        </w:rPr>
        <w:footnoteReference w:id="397"/>
      </w:r>
      <w:r w:rsidRPr="006C3370">
        <w:rPr>
          <w:lang w:val="fr-FR"/>
        </w:rPr>
        <w:t>.</w:t>
      </w:r>
    </w:p>
    <w:p w14:paraId="2CE4D224" w14:textId="2667AB3E" w:rsidR="00D301C6" w:rsidRPr="00293268" w:rsidRDefault="00D301C6" w:rsidP="0034542D">
      <w:pPr>
        <w:pStyle w:val="H23G"/>
        <w:rPr>
          <w:lang w:val="fr-FR"/>
        </w:rPr>
      </w:pPr>
      <w:bookmarkStart w:id="442" w:name="_Toc74561825"/>
      <w:bookmarkStart w:id="443" w:name="_Toc74562737"/>
      <w:bookmarkStart w:id="444" w:name="_Toc74561828"/>
      <w:bookmarkStart w:id="445" w:name="_Toc74562740"/>
      <w:bookmarkStart w:id="446" w:name="_Toc74561829"/>
      <w:bookmarkStart w:id="447" w:name="_Toc74562741"/>
      <w:bookmarkStart w:id="448" w:name="_Toc74561830"/>
      <w:bookmarkStart w:id="449" w:name="_Toc74562742"/>
      <w:bookmarkStart w:id="450" w:name="_Toc74561831"/>
      <w:bookmarkStart w:id="451" w:name="_Toc74562743"/>
      <w:bookmarkStart w:id="452" w:name="_Toc74561832"/>
      <w:bookmarkStart w:id="453" w:name="_Toc74562744"/>
      <w:bookmarkStart w:id="454" w:name="_Toc74561833"/>
      <w:bookmarkStart w:id="455" w:name="_Toc74562745"/>
      <w:bookmarkStart w:id="456" w:name="_Toc74561835"/>
      <w:bookmarkStart w:id="457" w:name="_Toc74562747"/>
      <w:bookmarkStart w:id="458" w:name="_Toc74561836"/>
      <w:bookmarkStart w:id="459" w:name="_Toc74562748"/>
      <w:bookmarkStart w:id="460" w:name="_Toc74561837"/>
      <w:bookmarkStart w:id="461" w:name="_Toc74562749"/>
      <w:bookmarkStart w:id="462" w:name="_Toc74561839"/>
      <w:bookmarkStart w:id="463" w:name="_Toc74562751"/>
      <w:bookmarkStart w:id="464" w:name="_Toc74561840"/>
      <w:bookmarkStart w:id="465" w:name="_Toc74562752"/>
      <w:bookmarkStart w:id="466" w:name="_Toc74561841"/>
      <w:bookmarkStart w:id="467" w:name="_Toc74562753"/>
      <w:bookmarkStart w:id="468" w:name="_Toc74561842"/>
      <w:bookmarkStart w:id="469" w:name="_Toc74562754"/>
      <w:bookmarkStart w:id="470" w:name="_Toc74561844"/>
      <w:bookmarkStart w:id="471" w:name="_Toc74562756"/>
      <w:bookmarkStart w:id="472" w:name="_Toc74561845"/>
      <w:bookmarkStart w:id="473" w:name="_Toc74562757"/>
      <w:bookmarkStart w:id="474" w:name="_Toc74561846"/>
      <w:bookmarkStart w:id="475" w:name="_Toc74562758"/>
      <w:bookmarkStart w:id="476" w:name="_Toc74561847"/>
      <w:bookmarkStart w:id="477" w:name="_Toc74562759"/>
      <w:bookmarkStart w:id="478" w:name="_Toc74561848"/>
      <w:bookmarkStart w:id="479" w:name="_Toc74562760"/>
      <w:bookmarkStart w:id="480" w:name="_Toc74561849"/>
      <w:bookmarkStart w:id="481" w:name="_Toc74562761"/>
      <w:bookmarkStart w:id="482" w:name="_Toc74561850"/>
      <w:bookmarkStart w:id="483" w:name="_Toc74562762"/>
      <w:bookmarkStart w:id="484" w:name="_Toc74561851"/>
      <w:bookmarkStart w:id="485" w:name="_Toc74562763"/>
      <w:bookmarkStart w:id="486" w:name="_Toc74561852"/>
      <w:bookmarkStart w:id="487" w:name="_Toc74562764"/>
      <w:bookmarkStart w:id="488" w:name="_Toc74561853"/>
      <w:bookmarkStart w:id="489" w:name="_Toc74562765"/>
      <w:bookmarkStart w:id="490" w:name="_Toc74561854"/>
      <w:bookmarkStart w:id="491" w:name="_Toc74562766"/>
      <w:bookmarkStart w:id="492" w:name="_Toc74561855"/>
      <w:bookmarkStart w:id="493" w:name="_Toc74562767"/>
      <w:bookmarkStart w:id="494" w:name="_Toc74561856"/>
      <w:bookmarkStart w:id="495" w:name="_Toc74562768"/>
      <w:bookmarkStart w:id="496" w:name="_Toc74561858"/>
      <w:bookmarkStart w:id="497" w:name="_Toc74562770"/>
      <w:bookmarkStart w:id="498" w:name="_Toc74561859"/>
      <w:bookmarkStart w:id="499" w:name="_Toc74562771"/>
      <w:bookmarkStart w:id="500" w:name="_Toc74561860"/>
      <w:bookmarkStart w:id="501" w:name="_Toc74562772"/>
      <w:bookmarkStart w:id="502" w:name="_Toc74561861"/>
      <w:bookmarkStart w:id="503" w:name="_Toc74562773"/>
      <w:bookmarkStart w:id="504" w:name="_Toc74561862"/>
      <w:bookmarkStart w:id="505" w:name="_Toc74562774"/>
      <w:bookmarkStart w:id="506" w:name="_Toc74561863"/>
      <w:bookmarkStart w:id="507" w:name="_Toc74562775"/>
      <w:bookmarkStart w:id="508" w:name="_Toc74561864"/>
      <w:bookmarkStart w:id="509" w:name="_Toc74562776"/>
      <w:bookmarkStart w:id="510" w:name="_Toc74561865"/>
      <w:bookmarkStart w:id="511" w:name="_Toc74562777"/>
      <w:bookmarkStart w:id="512" w:name="_Toc74561866"/>
      <w:bookmarkStart w:id="513" w:name="_Toc74562778"/>
      <w:bookmarkStart w:id="514" w:name="_Toc74561867"/>
      <w:bookmarkStart w:id="515" w:name="_Toc74562779"/>
      <w:bookmarkStart w:id="516" w:name="_Toc74561868"/>
      <w:bookmarkStart w:id="517" w:name="_Toc74562780"/>
      <w:bookmarkStart w:id="518" w:name="_Toc74561869"/>
      <w:bookmarkStart w:id="519" w:name="_Toc74562781"/>
      <w:bookmarkStart w:id="520" w:name="_Toc74561870"/>
      <w:bookmarkStart w:id="521" w:name="_Toc74562782"/>
      <w:bookmarkStart w:id="522" w:name="_Toc74561871"/>
      <w:bookmarkStart w:id="523" w:name="_Toc74562783"/>
      <w:bookmarkStart w:id="524" w:name="_Toc74561872"/>
      <w:bookmarkStart w:id="525" w:name="_Toc74562784"/>
      <w:bookmarkStart w:id="526" w:name="_Toc74561873"/>
      <w:bookmarkStart w:id="527" w:name="_Toc74562785"/>
      <w:bookmarkStart w:id="528" w:name="_Toc74561874"/>
      <w:bookmarkStart w:id="529" w:name="_Toc74562786"/>
      <w:bookmarkStart w:id="530" w:name="_Toc74561876"/>
      <w:bookmarkStart w:id="531" w:name="_Toc74562788"/>
      <w:bookmarkStart w:id="532" w:name="_Toc74561877"/>
      <w:bookmarkStart w:id="533" w:name="_Toc74562789"/>
      <w:bookmarkStart w:id="534" w:name="_Toc74561879"/>
      <w:bookmarkStart w:id="535" w:name="_Toc74562791"/>
      <w:bookmarkStart w:id="536" w:name="_Toc74561880"/>
      <w:bookmarkStart w:id="537" w:name="_Toc74562792"/>
      <w:bookmarkStart w:id="538" w:name="_Toc74561881"/>
      <w:bookmarkStart w:id="539" w:name="_Toc74562793"/>
      <w:bookmarkStart w:id="540" w:name="_Toc74561882"/>
      <w:bookmarkStart w:id="541" w:name="_Toc74562794"/>
      <w:bookmarkStart w:id="542" w:name="_Toc74561883"/>
      <w:bookmarkStart w:id="543" w:name="_Toc74562795"/>
      <w:bookmarkStart w:id="544" w:name="_Toc74562582"/>
      <w:bookmarkStart w:id="545" w:name="_Toc74657691"/>
      <w:bookmarkStart w:id="546" w:name="_Toc74661217"/>
      <w:bookmarkStart w:id="547" w:name="_Toc74666512"/>
      <w:bookmarkStart w:id="548" w:name="_Toc74671433"/>
      <w:bookmarkStart w:id="549" w:name="_Toc74867349"/>
      <w:bookmarkStart w:id="550" w:name="_Toc74919102"/>
      <w:bookmarkStart w:id="551" w:name="_Toc74919757"/>
      <w:bookmarkStart w:id="552" w:name="_Toc74925792"/>
      <w:bookmarkStart w:id="553" w:name="_Toc749276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293268">
        <w:rPr>
          <w:lang w:val="fr-FR"/>
        </w:rPr>
        <w:tab/>
        <w:t>3.</w:t>
      </w:r>
      <w:r w:rsidRPr="00293268">
        <w:rPr>
          <w:lang w:val="fr-FR"/>
        </w:rPr>
        <w:tab/>
      </w:r>
      <w:bookmarkEnd w:id="544"/>
      <w:bookmarkEnd w:id="545"/>
      <w:bookmarkEnd w:id="546"/>
      <w:bookmarkEnd w:id="547"/>
      <w:bookmarkEnd w:id="548"/>
      <w:bookmarkEnd w:id="549"/>
      <w:bookmarkEnd w:id="550"/>
      <w:bookmarkEnd w:id="551"/>
      <w:bookmarkEnd w:id="552"/>
      <w:bookmarkEnd w:id="553"/>
      <w:r w:rsidRPr="000D713D">
        <w:rPr>
          <w:lang w:val="fr-FR"/>
        </w:rPr>
        <w:t>Autres mesures d</w:t>
      </w:r>
      <w:r>
        <w:rPr>
          <w:lang w:val="fr-FR"/>
        </w:rPr>
        <w:t>’</w:t>
      </w:r>
      <w:r w:rsidRPr="000D713D">
        <w:rPr>
          <w:lang w:val="fr-FR"/>
        </w:rPr>
        <w:t xml:space="preserve">établissement des responsabilités et de réparation, </w:t>
      </w:r>
      <w:r w:rsidR="0034542D">
        <w:rPr>
          <w:lang w:val="fr-FR"/>
        </w:rPr>
        <w:br/>
      </w:r>
      <w:r w:rsidRPr="000D713D">
        <w:rPr>
          <w:lang w:val="fr-FR"/>
        </w:rPr>
        <w:t>y compris les procédures disciplinaires</w:t>
      </w:r>
    </w:p>
    <w:p w14:paraId="615E7210" w14:textId="77777777" w:rsidR="00D301C6" w:rsidRPr="00293268" w:rsidRDefault="00D301C6" w:rsidP="00D301C6">
      <w:pPr>
        <w:pStyle w:val="SingleTxtG"/>
        <w:rPr>
          <w:lang w:val="fr-FR"/>
        </w:rPr>
      </w:pPr>
      <w:r w:rsidRPr="00293268">
        <w:rPr>
          <w:lang w:val="fr-FR"/>
        </w:rPr>
        <w:t>148.</w:t>
      </w:r>
      <w:r w:rsidRPr="00293268">
        <w:rPr>
          <w:lang w:val="fr-FR"/>
        </w:rPr>
        <w:tab/>
      </w:r>
      <w:r w:rsidRPr="007046C0">
        <w:rPr>
          <w:lang w:val="fr-FR"/>
        </w:rPr>
        <w:t>Les États sont censés prendre toutes les mesures nécessaires pour prévenir</w:t>
      </w:r>
      <w:r>
        <w:rPr>
          <w:lang w:val="fr-FR"/>
        </w:rPr>
        <w:t xml:space="preserve"> </w:t>
      </w:r>
      <w:r w:rsidRPr="007046C0">
        <w:rPr>
          <w:lang w:val="fr-FR"/>
        </w:rPr>
        <w:t>toute privation arbitraire de la vie par leurs agents de maintien de l</w:t>
      </w:r>
      <w:r>
        <w:rPr>
          <w:lang w:val="fr-FR"/>
        </w:rPr>
        <w:t>’</w:t>
      </w:r>
      <w:r w:rsidRPr="007046C0">
        <w:rPr>
          <w:lang w:val="fr-FR"/>
        </w:rPr>
        <w:t>ordre, y compris les</w:t>
      </w:r>
      <w:r>
        <w:rPr>
          <w:lang w:val="fr-FR"/>
        </w:rPr>
        <w:t xml:space="preserve"> </w:t>
      </w:r>
      <w:r w:rsidRPr="007046C0">
        <w:rPr>
          <w:lang w:val="fr-FR"/>
        </w:rPr>
        <w:t>soldats chargés de missions de maintien de l</w:t>
      </w:r>
      <w:r>
        <w:rPr>
          <w:lang w:val="fr-FR"/>
        </w:rPr>
        <w:t>’</w:t>
      </w:r>
      <w:r w:rsidRPr="007046C0">
        <w:rPr>
          <w:lang w:val="fr-FR"/>
        </w:rPr>
        <w:t>ordre. Ces mesures comprennent</w:t>
      </w:r>
      <w:r>
        <w:rPr>
          <w:lang w:val="fr-FR"/>
        </w:rPr>
        <w:t xml:space="preserve"> </w:t>
      </w:r>
      <w:r w:rsidRPr="007046C0">
        <w:rPr>
          <w:lang w:val="fr-FR"/>
        </w:rPr>
        <w:t>l</w:t>
      </w:r>
      <w:r>
        <w:rPr>
          <w:lang w:val="fr-FR"/>
        </w:rPr>
        <w:t>’</w:t>
      </w:r>
      <w:r w:rsidRPr="007046C0">
        <w:rPr>
          <w:lang w:val="fr-FR"/>
        </w:rPr>
        <w:t>établissement d</w:t>
      </w:r>
      <w:r>
        <w:rPr>
          <w:lang w:val="fr-FR"/>
        </w:rPr>
        <w:t>’</w:t>
      </w:r>
      <w:r w:rsidRPr="007046C0">
        <w:rPr>
          <w:lang w:val="fr-FR"/>
        </w:rPr>
        <w:t>une législation appropriée relative au contrôle de l</w:t>
      </w:r>
      <w:r>
        <w:rPr>
          <w:lang w:val="fr-FR"/>
        </w:rPr>
        <w:t>’</w:t>
      </w:r>
      <w:r w:rsidRPr="007046C0">
        <w:rPr>
          <w:lang w:val="fr-FR"/>
        </w:rPr>
        <w:t>utilisation de la force</w:t>
      </w:r>
      <w:r>
        <w:rPr>
          <w:lang w:val="fr-FR"/>
        </w:rPr>
        <w:t xml:space="preserve"> </w:t>
      </w:r>
      <w:r w:rsidRPr="007046C0">
        <w:rPr>
          <w:lang w:val="fr-FR"/>
        </w:rPr>
        <w:t>létale par les agents du maintien de l</w:t>
      </w:r>
      <w:r>
        <w:rPr>
          <w:lang w:val="fr-FR"/>
        </w:rPr>
        <w:t>’</w:t>
      </w:r>
      <w:r w:rsidRPr="007046C0">
        <w:rPr>
          <w:lang w:val="fr-FR"/>
        </w:rPr>
        <w:t>ordre</w:t>
      </w:r>
      <w:r w:rsidRPr="00CD6B67">
        <w:rPr>
          <w:rStyle w:val="FootnoteReference"/>
        </w:rPr>
        <w:footnoteReference w:id="398"/>
      </w:r>
      <w:r>
        <w:rPr>
          <w:lang w:val="fr-FR"/>
        </w:rPr>
        <w:t xml:space="preserve">. De plus, les États </w:t>
      </w:r>
      <w:r w:rsidRPr="00AC4926">
        <w:rPr>
          <w:lang w:val="fr-FR"/>
        </w:rPr>
        <w:t>sont censés mettre en place des procédures visant à garantir que les opérations de maintien de l</w:t>
      </w:r>
      <w:r>
        <w:rPr>
          <w:lang w:val="fr-FR"/>
        </w:rPr>
        <w:t>’</w:t>
      </w:r>
      <w:r w:rsidRPr="00AC4926">
        <w:rPr>
          <w:lang w:val="fr-FR"/>
        </w:rPr>
        <w:t>ordre sont conformes aux normes internationales pertinentes</w:t>
      </w:r>
      <w:r w:rsidRPr="00CD6B67">
        <w:rPr>
          <w:rStyle w:val="FootnoteReference"/>
        </w:rPr>
        <w:footnoteReference w:id="399"/>
      </w:r>
      <w:r>
        <w:rPr>
          <w:lang w:val="fr-FR"/>
        </w:rPr>
        <w:t xml:space="preserve">, </w:t>
      </w:r>
      <w:r w:rsidRPr="00AC4926">
        <w:rPr>
          <w:lang w:val="fr-FR"/>
        </w:rPr>
        <w:t xml:space="preserve">que les agents </w:t>
      </w:r>
      <w:r>
        <w:rPr>
          <w:lang w:val="fr-FR"/>
        </w:rPr>
        <w:t xml:space="preserve">des forces de l’ordre </w:t>
      </w:r>
      <w:r w:rsidRPr="00AC4926">
        <w:rPr>
          <w:lang w:val="fr-FR"/>
        </w:rPr>
        <w:t>sont formés en conséquence et que les opérations de maintien de l</w:t>
      </w:r>
      <w:r>
        <w:rPr>
          <w:lang w:val="fr-FR"/>
        </w:rPr>
        <w:t>’</w:t>
      </w:r>
      <w:r w:rsidRPr="00AC4926">
        <w:rPr>
          <w:lang w:val="fr-FR"/>
        </w:rPr>
        <w:t>ordre sont correctement planifiées compte tenu de la nécessité de réduire au minimum le risque qu</w:t>
      </w:r>
      <w:r>
        <w:rPr>
          <w:lang w:val="fr-FR"/>
        </w:rPr>
        <w:t>’</w:t>
      </w:r>
      <w:r w:rsidRPr="00AC4926">
        <w:rPr>
          <w:lang w:val="fr-FR"/>
        </w:rPr>
        <w:t>elles représentent pour la vie</w:t>
      </w:r>
      <w:r>
        <w:rPr>
          <w:lang w:val="fr-FR"/>
        </w:rPr>
        <w:t xml:space="preserve"> humaine</w:t>
      </w:r>
      <w:r w:rsidRPr="00CD6B67">
        <w:rPr>
          <w:rStyle w:val="FootnoteReference"/>
        </w:rPr>
        <w:footnoteReference w:id="400"/>
      </w:r>
      <w:r>
        <w:rPr>
          <w:lang w:val="fr-FR"/>
        </w:rPr>
        <w:t>.</w:t>
      </w:r>
    </w:p>
    <w:p w14:paraId="7F4AB87C" w14:textId="77777777" w:rsidR="00D301C6" w:rsidRPr="00293268" w:rsidRDefault="00D301C6" w:rsidP="00D301C6">
      <w:pPr>
        <w:pStyle w:val="SingleTxtG"/>
        <w:rPr>
          <w:lang w:val="fr-FR"/>
        </w:rPr>
      </w:pPr>
      <w:r w:rsidRPr="00293268">
        <w:rPr>
          <w:lang w:val="fr-FR"/>
        </w:rPr>
        <w:t>149.</w:t>
      </w:r>
      <w:r w:rsidRPr="00293268">
        <w:rPr>
          <w:lang w:val="fr-FR"/>
        </w:rPr>
        <w:tab/>
      </w:r>
      <w:r>
        <w:rPr>
          <w:lang w:val="fr-FR"/>
        </w:rPr>
        <w:t xml:space="preserve">Les États </w:t>
      </w:r>
      <w:r w:rsidRPr="0058050C">
        <w:rPr>
          <w:lang w:val="fr-FR"/>
        </w:rPr>
        <w:t>ne</w:t>
      </w:r>
      <w:r>
        <w:rPr>
          <w:lang w:val="fr-FR"/>
        </w:rPr>
        <w:t xml:space="preserve"> </w:t>
      </w:r>
      <w:r w:rsidRPr="005829D8">
        <w:rPr>
          <w:lang w:val="fr-FR"/>
        </w:rPr>
        <w:t>doivent pas, d’une manière générale, se contenter de mesures administratives ou disciplinaires, mais doivent</w:t>
      </w:r>
      <w:r w:rsidRPr="0058050C">
        <w:rPr>
          <w:lang w:val="fr-FR"/>
        </w:rPr>
        <w:t xml:space="preserve"> normalement faire procéder à une enquête pénale</w:t>
      </w:r>
      <w:r w:rsidRPr="00CD6B67">
        <w:rPr>
          <w:rStyle w:val="FootnoteReference"/>
        </w:rPr>
        <w:footnoteReference w:id="401"/>
      </w:r>
      <w:r w:rsidRPr="00293268">
        <w:rPr>
          <w:lang w:val="fr-FR"/>
        </w:rPr>
        <w:t xml:space="preserve"> </w:t>
      </w:r>
      <w:r>
        <w:rPr>
          <w:lang w:val="fr-FR"/>
        </w:rPr>
        <w:t>qui devrait aboutir</w:t>
      </w:r>
      <w:r w:rsidRPr="000917DE">
        <w:rPr>
          <w:lang w:val="fr-FR"/>
        </w:rPr>
        <w:t>, si</w:t>
      </w:r>
      <w:r>
        <w:rPr>
          <w:lang w:val="fr-FR"/>
        </w:rPr>
        <w:t xml:space="preserve"> </w:t>
      </w:r>
      <w:r w:rsidRPr="000917DE">
        <w:rPr>
          <w:lang w:val="fr-FR"/>
        </w:rPr>
        <w:t>suffisamment de preuves à charge sont réunies, à des poursuites pénales</w:t>
      </w:r>
      <w:r w:rsidRPr="00293268">
        <w:rPr>
          <w:lang w:val="fr-FR"/>
        </w:rPr>
        <w:t xml:space="preserve">, </w:t>
      </w:r>
      <w:r>
        <w:rPr>
          <w:lang w:val="fr-FR"/>
        </w:rPr>
        <w:t xml:space="preserve">de manière à faire valoir le droit fondamental à la vie. </w:t>
      </w:r>
      <w:r w:rsidRPr="00CA42B6">
        <w:rPr>
          <w:lang w:val="fr-FR"/>
        </w:rPr>
        <w:t xml:space="preserve">En outre, </w:t>
      </w:r>
      <w:r>
        <w:rPr>
          <w:lang w:val="fr-FR"/>
        </w:rPr>
        <w:t xml:space="preserve">le </w:t>
      </w:r>
      <w:r w:rsidRPr="003719BB">
        <w:rPr>
          <w:lang w:val="fr-FR"/>
        </w:rPr>
        <w:t>signalement obligatoire et l</w:t>
      </w:r>
      <w:r>
        <w:rPr>
          <w:lang w:val="fr-FR"/>
        </w:rPr>
        <w:t>’</w:t>
      </w:r>
      <w:r w:rsidRPr="003719BB">
        <w:rPr>
          <w:lang w:val="fr-FR"/>
        </w:rPr>
        <w:t xml:space="preserve">analyse des </w:t>
      </w:r>
      <w:r>
        <w:rPr>
          <w:lang w:val="fr-FR"/>
        </w:rPr>
        <w:t>comportements ayant entraîné la mort ou mis</w:t>
      </w:r>
      <w:r w:rsidRPr="003719BB">
        <w:rPr>
          <w:lang w:val="fr-FR"/>
        </w:rPr>
        <w:t xml:space="preserve"> la vie en danger et la conduite obligatoire d</w:t>
      </w:r>
      <w:r>
        <w:rPr>
          <w:lang w:val="fr-FR"/>
        </w:rPr>
        <w:t>’</w:t>
      </w:r>
      <w:r w:rsidRPr="003719BB">
        <w:rPr>
          <w:lang w:val="fr-FR"/>
        </w:rPr>
        <w:t xml:space="preserve">enquêtes sur ces </w:t>
      </w:r>
      <w:r>
        <w:rPr>
          <w:lang w:val="fr-FR"/>
        </w:rPr>
        <w:t>comportements</w:t>
      </w:r>
      <w:r w:rsidRPr="003719BB">
        <w:rPr>
          <w:lang w:val="fr-FR"/>
        </w:rPr>
        <w:t xml:space="preserve"> </w:t>
      </w:r>
      <w:r w:rsidRPr="00CA42B6">
        <w:rPr>
          <w:lang w:val="fr-FR"/>
        </w:rPr>
        <w:t>exige</w:t>
      </w:r>
      <w:r>
        <w:rPr>
          <w:lang w:val="fr-FR"/>
        </w:rPr>
        <w:t>nt</w:t>
      </w:r>
      <w:r w:rsidRPr="00CA42B6">
        <w:rPr>
          <w:lang w:val="fr-FR"/>
        </w:rPr>
        <w:t xml:space="preserve"> que les agents des forces de l</w:t>
      </w:r>
      <w:r>
        <w:rPr>
          <w:lang w:val="fr-FR"/>
        </w:rPr>
        <w:t>’</w:t>
      </w:r>
      <w:r w:rsidRPr="00CA42B6">
        <w:rPr>
          <w:lang w:val="fr-FR"/>
        </w:rPr>
        <w:t>ordre signalent rapidement à leurs supérieurs tout usage de la force ou d</w:t>
      </w:r>
      <w:r>
        <w:rPr>
          <w:lang w:val="fr-FR"/>
        </w:rPr>
        <w:t>’</w:t>
      </w:r>
      <w:r w:rsidRPr="00CA42B6">
        <w:rPr>
          <w:lang w:val="fr-FR"/>
        </w:rPr>
        <w:t xml:space="preserve">armes à feu ayant entraîné </w:t>
      </w:r>
      <w:r>
        <w:rPr>
          <w:lang w:val="fr-FR"/>
        </w:rPr>
        <w:t>la mort</w:t>
      </w:r>
      <w:r w:rsidRPr="00CA42B6">
        <w:rPr>
          <w:lang w:val="fr-FR"/>
        </w:rPr>
        <w:t xml:space="preserve"> ou des blessures graves, ainsi que le moment où ces armes ont été utilisées</w:t>
      </w:r>
      <w:r w:rsidRPr="00CD6B67">
        <w:rPr>
          <w:rStyle w:val="FootnoteReference"/>
        </w:rPr>
        <w:footnoteReference w:id="402"/>
      </w:r>
      <w:r>
        <w:rPr>
          <w:lang w:val="fr-FR"/>
        </w:rPr>
        <w:t>.</w:t>
      </w:r>
      <w:r w:rsidRPr="00293268">
        <w:rPr>
          <w:lang w:val="fr-FR"/>
        </w:rPr>
        <w:t xml:space="preserve"> </w:t>
      </w:r>
      <w:r w:rsidRPr="007B4AF2">
        <w:rPr>
          <w:lang w:val="fr-FR"/>
        </w:rPr>
        <w:t xml:space="preserve">Les </w:t>
      </w:r>
      <w:r w:rsidRPr="00067E91">
        <w:rPr>
          <w:lang w:val="fr-FR"/>
        </w:rPr>
        <w:t>autorités de police doivent établir des procédures appropriées de rapport et d</w:t>
      </w:r>
      <w:r>
        <w:rPr>
          <w:lang w:val="fr-FR"/>
        </w:rPr>
        <w:t>’</w:t>
      </w:r>
      <w:r w:rsidRPr="00067E91">
        <w:rPr>
          <w:lang w:val="fr-FR"/>
        </w:rPr>
        <w:t xml:space="preserve">enquête pour tous les </w:t>
      </w:r>
      <w:r>
        <w:rPr>
          <w:lang w:val="fr-FR"/>
        </w:rPr>
        <w:t>faits</w:t>
      </w:r>
      <w:r w:rsidRPr="00293268">
        <w:rPr>
          <w:lang w:val="fr-FR"/>
        </w:rPr>
        <w:t xml:space="preserve">. </w:t>
      </w:r>
      <w:r w:rsidRPr="00337459">
        <w:rPr>
          <w:lang w:val="fr-FR"/>
        </w:rPr>
        <w:t xml:space="preserve">Au minimum, tous les </w:t>
      </w:r>
      <w:r>
        <w:rPr>
          <w:lang w:val="fr-FR"/>
        </w:rPr>
        <w:t>accidents</w:t>
      </w:r>
      <w:r w:rsidRPr="00337459">
        <w:rPr>
          <w:lang w:val="fr-FR"/>
        </w:rPr>
        <w:t xml:space="preserve"> liés à l</w:t>
      </w:r>
      <w:r>
        <w:rPr>
          <w:lang w:val="fr-FR"/>
        </w:rPr>
        <w:t>’</w:t>
      </w:r>
      <w:r w:rsidRPr="00337459">
        <w:rPr>
          <w:lang w:val="fr-FR"/>
        </w:rPr>
        <w:t>usage de la force ou d</w:t>
      </w:r>
      <w:r>
        <w:rPr>
          <w:lang w:val="fr-FR"/>
        </w:rPr>
        <w:t>’</w:t>
      </w:r>
      <w:r w:rsidRPr="00337459">
        <w:rPr>
          <w:lang w:val="fr-FR"/>
        </w:rPr>
        <w:t xml:space="preserve">armes à feu doivent être examinés par un haut responsable </w:t>
      </w:r>
      <w:r w:rsidRPr="004B623A">
        <w:rPr>
          <w:lang w:val="fr-FR"/>
        </w:rPr>
        <w:t>de la police, qui</w:t>
      </w:r>
      <w:r w:rsidRPr="00337459">
        <w:rPr>
          <w:lang w:val="fr-FR"/>
        </w:rPr>
        <w:t xml:space="preserve"> doit prendre </w:t>
      </w:r>
      <w:r w:rsidRPr="005F220E">
        <w:rPr>
          <w:lang w:val="fr-FR"/>
        </w:rPr>
        <w:t xml:space="preserve">les mesures appropriées, définies par la loi ou la réglementation officielle, ou les deux, afin de </w:t>
      </w:r>
      <w:r>
        <w:rPr>
          <w:lang w:val="fr-FR"/>
        </w:rPr>
        <w:t>déterminer les faits, de recueillir des informations et d’enquêter à leur sujet</w:t>
      </w:r>
      <w:r w:rsidRPr="00337459">
        <w:rPr>
          <w:lang w:val="fr-FR"/>
        </w:rPr>
        <w:t>, conformément aux normes internationales</w:t>
      </w:r>
      <w:r w:rsidRPr="00CD6B67">
        <w:rPr>
          <w:rStyle w:val="FootnoteReference"/>
        </w:rPr>
        <w:footnoteReference w:id="403"/>
      </w:r>
      <w:r>
        <w:rPr>
          <w:lang w:val="fr-FR"/>
        </w:rPr>
        <w:t>.</w:t>
      </w:r>
    </w:p>
    <w:p w14:paraId="709463BB" w14:textId="25EDB4A8" w:rsidR="00D301C6" w:rsidRPr="00293268" w:rsidRDefault="00D301C6" w:rsidP="00D301C6">
      <w:pPr>
        <w:pStyle w:val="SingleTxtG"/>
        <w:rPr>
          <w:lang w:val="fr-FR"/>
        </w:rPr>
      </w:pPr>
      <w:r w:rsidRPr="00293268">
        <w:rPr>
          <w:lang w:val="fr-FR"/>
        </w:rPr>
        <w:t>150.</w:t>
      </w:r>
      <w:r w:rsidRPr="00293268">
        <w:rPr>
          <w:lang w:val="fr-FR"/>
        </w:rPr>
        <w:tab/>
      </w:r>
      <w:r w:rsidRPr="00E37891">
        <w:rPr>
          <w:lang w:val="fr-FR"/>
        </w:rPr>
        <w:t xml:space="preserve">Dans le cadre </w:t>
      </w:r>
      <w:r>
        <w:rPr>
          <w:lang w:val="fr-FR"/>
        </w:rPr>
        <w:t>du</w:t>
      </w:r>
      <w:r w:rsidRPr="00E37891">
        <w:rPr>
          <w:lang w:val="fr-FR"/>
        </w:rPr>
        <w:t xml:space="preserve"> système d</w:t>
      </w:r>
      <w:r>
        <w:rPr>
          <w:lang w:val="fr-FR"/>
        </w:rPr>
        <w:t>’</w:t>
      </w:r>
      <w:r w:rsidRPr="00E37891">
        <w:rPr>
          <w:lang w:val="fr-FR"/>
        </w:rPr>
        <w:t>établissement des responsabilités et</w:t>
      </w:r>
      <w:r w:rsidR="006259A6" w:rsidRPr="00E37891">
        <w:rPr>
          <w:lang w:val="fr-FR"/>
        </w:rPr>
        <w:t>,</w:t>
      </w:r>
      <w:r w:rsidRPr="00E37891">
        <w:rPr>
          <w:lang w:val="fr-FR"/>
        </w:rPr>
        <w:t xml:space="preserve"> en plus des procédures judiciaires, les États devraient mettre en place des cadres de responsabilité </w:t>
      </w:r>
      <w:r w:rsidRPr="009C53B1">
        <w:rPr>
          <w:lang w:val="fr-FR"/>
        </w:rPr>
        <w:t xml:space="preserve">internes </w:t>
      </w:r>
      <w:r w:rsidRPr="00E37891">
        <w:rPr>
          <w:lang w:val="fr-FR"/>
        </w:rPr>
        <w:t>effectifs, en particulier des procédures d</w:t>
      </w:r>
      <w:r>
        <w:rPr>
          <w:lang w:val="fr-FR"/>
        </w:rPr>
        <w:t>’</w:t>
      </w:r>
      <w:r w:rsidRPr="00E37891">
        <w:rPr>
          <w:lang w:val="fr-FR"/>
        </w:rPr>
        <w:t xml:space="preserve">enquête, qui sont essentiels pour favoriser </w:t>
      </w:r>
      <w:r w:rsidRPr="000F3EAD">
        <w:rPr>
          <w:lang w:val="fr-FR"/>
        </w:rPr>
        <w:t>une culture interne de la responsabilité, de la discipline et du respect des lois au sein des forces de police</w:t>
      </w:r>
      <w:r w:rsidRPr="00CD6B67">
        <w:rPr>
          <w:rStyle w:val="FootnoteReference"/>
        </w:rPr>
        <w:footnoteReference w:id="404"/>
      </w:r>
      <w:r w:rsidRPr="000F3EAD">
        <w:rPr>
          <w:lang w:val="fr-FR"/>
        </w:rPr>
        <w:t>. Les</w:t>
      </w:r>
      <w:r w:rsidRPr="003F45E7">
        <w:rPr>
          <w:lang w:val="fr-FR"/>
        </w:rPr>
        <w:t xml:space="preserve"> États devraient également mettre en place des </w:t>
      </w:r>
      <w:r w:rsidRPr="00EF13D9">
        <w:rPr>
          <w:lang w:val="fr-FR"/>
        </w:rPr>
        <w:t>systèmes adéquats pour surveiller les pratiques et prévenir les violations</w:t>
      </w:r>
      <w:r w:rsidRPr="00293268">
        <w:rPr>
          <w:lang w:val="fr-FR"/>
        </w:rPr>
        <w:t xml:space="preserve">. </w:t>
      </w:r>
      <w:r w:rsidRPr="00273D49">
        <w:rPr>
          <w:lang w:val="fr-FR"/>
        </w:rPr>
        <w:t>Les représentants des forces de l</w:t>
      </w:r>
      <w:r>
        <w:rPr>
          <w:lang w:val="fr-FR"/>
        </w:rPr>
        <w:t>’</w:t>
      </w:r>
      <w:r w:rsidRPr="00273D49">
        <w:rPr>
          <w:lang w:val="fr-FR"/>
        </w:rPr>
        <w:t xml:space="preserve">ordre </w:t>
      </w:r>
      <w:r>
        <w:rPr>
          <w:lang w:val="fr-FR"/>
        </w:rPr>
        <w:t>qui</w:t>
      </w:r>
      <w:r w:rsidRPr="00273D49">
        <w:rPr>
          <w:lang w:val="fr-FR"/>
        </w:rPr>
        <w:t xml:space="preserve"> </w:t>
      </w:r>
      <w:r w:rsidRPr="005D4EC0">
        <w:rPr>
          <w:lang w:val="fr-FR"/>
        </w:rPr>
        <w:t xml:space="preserve">occupent des fonctions de commandement </w:t>
      </w:r>
      <w:r w:rsidRPr="00273D49">
        <w:rPr>
          <w:lang w:val="fr-FR"/>
        </w:rPr>
        <w:t>ont l</w:t>
      </w:r>
      <w:r>
        <w:rPr>
          <w:lang w:val="fr-FR"/>
        </w:rPr>
        <w:t>’</w:t>
      </w:r>
      <w:r w:rsidRPr="00273D49">
        <w:rPr>
          <w:lang w:val="fr-FR"/>
        </w:rPr>
        <w:t>obligation de planifier soigneusement les opérations et de prendre toutes les mesures possibles pour éviter une situation dans laquelle la force, et éventuellement la force létale, pourrait devoir être utilis</w:t>
      </w:r>
      <w:r>
        <w:rPr>
          <w:lang w:val="fr-FR"/>
        </w:rPr>
        <w:t>ée</w:t>
      </w:r>
      <w:r w:rsidRPr="00CD6B67">
        <w:rPr>
          <w:rStyle w:val="FootnoteReference"/>
        </w:rPr>
        <w:footnoteReference w:id="405"/>
      </w:r>
      <w:r>
        <w:rPr>
          <w:lang w:val="fr-FR"/>
        </w:rPr>
        <w:t>.</w:t>
      </w:r>
      <w:r w:rsidRPr="00293268">
        <w:rPr>
          <w:lang w:val="fr-FR"/>
        </w:rPr>
        <w:t xml:space="preserve"> </w:t>
      </w:r>
      <w:r w:rsidRPr="00FB065E">
        <w:rPr>
          <w:lang w:val="fr-FR"/>
        </w:rPr>
        <w:t xml:space="preserve">Les hauts </w:t>
      </w:r>
      <w:r>
        <w:rPr>
          <w:lang w:val="fr-FR"/>
        </w:rPr>
        <w:t>responsables</w:t>
      </w:r>
      <w:r w:rsidRPr="00FB065E">
        <w:rPr>
          <w:lang w:val="fr-FR"/>
        </w:rPr>
        <w:t xml:space="preserve"> sont censés exercer un contrôle interne et une diligence raisonnable suffisants pour garantir que les forces placées sous leur commandement respectent les lois, les procédures et les bonnes pratiques enseignées lors des cours de formation</w:t>
      </w:r>
      <w:r w:rsidRPr="00293268">
        <w:rPr>
          <w:lang w:val="fr-FR"/>
        </w:rPr>
        <w:t>.</w:t>
      </w:r>
    </w:p>
    <w:p w14:paraId="07C2F25A" w14:textId="77777777" w:rsidR="00D301C6" w:rsidRPr="00293268" w:rsidRDefault="00D301C6" w:rsidP="00D301C6">
      <w:pPr>
        <w:pStyle w:val="SingleTxtG"/>
        <w:rPr>
          <w:lang w:val="fr-FR"/>
        </w:rPr>
      </w:pPr>
      <w:r w:rsidRPr="00293268">
        <w:rPr>
          <w:lang w:val="fr-FR"/>
        </w:rPr>
        <w:t>151.</w:t>
      </w:r>
      <w:r w:rsidRPr="00293268">
        <w:rPr>
          <w:lang w:val="fr-FR"/>
        </w:rPr>
        <w:tab/>
      </w:r>
      <w:r w:rsidRPr="00FE1B4D">
        <w:rPr>
          <w:lang w:val="fr-FR"/>
        </w:rPr>
        <w:t>En outre, les États devraient mettre en place un organe de contrôle civil indépendant, qui peut compléter efficacement le travail des institutions nationales des droits de l</w:t>
      </w:r>
      <w:r>
        <w:rPr>
          <w:lang w:val="fr-FR"/>
        </w:rPr>
        <w:t>’</w:t>
      </w:r>
      <w:r w:rsidRPr="00FE1B4D">
        <w:rPr>
          <w:lang w:val="fr-FR"/>
        </w:rPr>
        <w:t>homme. Pour être pleinement efficace, un tel organe doit disposer d</w:t>
      </w:r>
      <w:r>
        <w:rPr>
          <w:lang w:val="fr-FR"/>
        </w:rPr>
        <w:t>’</w:t>
      </w:r>
      <w:r w:rsidRPr="00FE1B4D">
        <w:rPr>
          <w:lang w:val="fr-FR"/>
        </w:rPr>
        <w:t>un large mandat lui permettant d</w:t>
      </w:r>
      <w:r>
        <w:rPr>
          <w:lang w:val="fr-FR"/>
        </w:rPr>
        <w:t>’</w:t>
      </w:r>
      <w:r w:rsidRPr="00FE1B4D">
        <w:rPr>
          <w:lang w:val="fr-FR"/>
        </w:rPr>
        <w:t xml:space="preserve">enquêter sur les plaintes du public, </w:t>
      </w:r>
      <w:r>
        <w:rPr>
          <w:lang w:val="fr-FR"/>
        </w:rPr>
        <w:t>de se saisir des</w:t>
      </w:r>
      <w:r w:rsidRPr="00FE1B4D">
        <w:rPr>
          <w:lang w:val="fr-FR"/>
        </w:rPr>
        <w:t xml:space="preserve"> affaires qui lui sont transmises par la police et d</w:t>
      </w:r>
      <w:r>
        <w:rPr>
          <w:lang w:val="fr-FR"/>
        </w:rPr>
        <w:t>’</w:t>
      </w:r>
      <w:r w:rsidRPr="00FE1B4D">
        <w:rPr>
          <w:lang w:val="fr-FR"/>
        </w:rPr>
        <w:t>ouvrir des enquêtes de sa propre initiative lorsqu</w:t>
      </w:r>
      <w:r>
        <w:rPr>
          <w:lang w:val="fr-FR"/>
        </w:rPr>
        <w:t>’</w:t>
      </w:r>
      <w:r w:rsidRPr="00FE1B4D">
        <w:rPr>
          <w:lang w:val="fr-FR"/>
        </w:rPr>
        <w:t>il est dans l</w:t>
      </w:r>
      <w:r>
        <w:rPr>
          <w:lang w:val="fr-FR"/>
        </w:rPr>
        <w:t>’</w:t>
      </w:r>
      <w:r w:rsidRPr="00FE1B4D">
        <w:rPr>
          <w:lang w:val="fr-FR"/>
        </w:rPr>
        <w:t>intérêt public de le faire. Il devrait avoir tous pouvoirs d</w:t>
      </w:r>
      <w:r>
        <w:rPr>
          <w:lang w:val="fr-FR"/>
        </w:rPr>
        <w:t>’</w:t>
      </w:r>
      <w:r w:rsidRPr="00FE1B4D">
        <w:rPr>
          <w:lang w:val="fr-FR"/>
        </w:rPr>
        <w:t>enquête, bénéficier d</w:t>
      </w:r>
      <w:r>
        <w:rPr>
          <w:lang w:val="fr-FR"/>
        </w:rPr>
        <w:t>’</w:t>
      </w:r>
      <w:r w:rsidRPr="00FE1B4D">
        <w:rPr>
          <w:lang w:val="fr-FR"/>
        </w:rPr>
        <w:t>un soutien politique durable, être doté de ressources humaines et financières suffisantes et de tous les pouvoirs nécessaires pour formuler des recommandations et assurer un suivi, en plus d</w:t>
      </w:r>
      <w:r>
        <w:rPr>
          <w:lang w:val="fr-FR"/>
        </w:rPr>
        <w:t>’</w:t>
      </w:r>
      <w:r w:rsidRPr="00FE1B4D">
        <w:rPr>
          <w:lang w:val="fr-FR"/>
        </w:rPr>
        <w:t>être indépendant de l</w:t>
      </w:r>
      <w:r>
        <w:rPr>
          <w:lang w:val="fr-FR"/>
        </w:rPr>
        <w:t>’</w:t>
      </w:r>
      <w:r w:rsidRPr="00FE1B4D">
        <w:rPr>
          <w:lang w:val="fr-FR"/>
        </w:rPr>
        <w:t>exécutif et de la police pour son financement et son fonctionnement</w:t>
      </w:r>
      <w:r w:rsidRPr="00CD6B67">
        <w:rPr>
          <w:rStyle w:val="FootnoteReference"/>
        </w:rPr>
        <w:footnoteReference w:id="406"/>
      </w:r>
      <w:r>
        <w:rPr>
          <w:lang w:val="fr-FR"/>
        </w:rPr>
        <w:t xml:space="preserve">. Il devrait par ailleurs </w:t>
      </w:r>
      <w:r w:rsidRPr="002E31C1">
        <w:rPr>
          <w:lang w:val="fr-FR"/>
        </w:rPr>
        <w:t xml:space="preserve">être autorisé à transmettre </w:t>
      </w:r>
      <w:r>
        <w:rPr>
          <w:lang w:val="fr-FR"/>
        </w:rPr>
        <w:t>s</w:t>
      </w:r>
      <w:r w:rsidRPr="002E31C1">
        <w:rPr>
          <w:lang w:val="fr-FR"/>
        </w:rPr>
        <w:t xml:space="preserve">es conclusions directement au </w:t>
      </w:r>
      <w:r>
        <w:rPr>
          <w:lang w:val="fr-FR"/>
        </w:rPr>
        <w:t>ministère public</w:t>
      </w:r>
      <w:r w:rsidRPr="00CD6B67">
        <w:rPr>
          <w:rStyle w:val="FootnoteReference"/>
        </w:rPr>
        <w:footnoteReference w:id="407"/>
      </w:r>
      <w:r>
        <w:rPr>
          <w:lang w:val="fr-FR"/>
        </w:rPr>
        <w:t>.</w:t>
      </w:r>
    </w:p>
    <w:p w14:paraId="5CD80C15" w14:textId="77777777" w:rsidR="00D301C6" w:rsidRPr="00293268" w:rsidRDefault="00D301C6" w:rsidP="00D301C6">
      <w:pPr>
        <w:pStyle w:val="SingleTxtG"/>
        <w:rPr>
          <w:lang w:val="fr-FR"/>
        </w:rPr>
      </w:pPr>
      <w:r w:rsidRPr="00293268">
        <w:rPr>
          <w:lang w:val="fr-FR"/>
        </w:rPr>
        <w:t>152.</w:t>
      </w:r>
      <w:r w:rsidRPr="00293268">
        <w:rPr>
          <w:lang w:val="fr-FR"/>
        </w:rPr>
        <w:tab/>
      </w:r>
      <w:r w:rsidRPr="00C078B4">
        <w:rPr>
          <w:lang w:val="fr-FR"/>
        </w:rPr>
        <w:t xml:space="preserve">Dans plusieurs des </w:t>
      </w:r>
      <w:r>
        <w:rPr>
          <w:lang w:val="fr-FR"/>
        </w:rPr>
        <w:t>affaires</w:t>
      </w:r>
      <w:r w:rsidRPr="00C078B4">
        <w:rPr>
          <w:lang w:val="fr-FR"/>
        </w:rPr>
        <w:t xml:space="preserve"> examiné</w:t>
      </w:r>
      <w:r>
        <w:rPr>
          <w:lang w:val="fr-FR"/>
        </w:rPr>
        <w:t>e</w:t>
      </w:r>
      <w:r w:rsidRPr="00C078B4">
        <w:rPr>
          <w:lang w:val="fr-FR"/>
        </w:rPr>
        <w:t>s par le HCDH, aucune mesure disciplinaire n</w:t>
      </w:r>
      <w:r>
        <w:rPr>
          <w:lang w:val="fr-FR"/>
        </w:rPr>
        <w:t>’</w:t>
      </w:r>
      <w:r w:rsidRPr="00C078B4">
        <w:rPr>
          <w:lang w:val="fr-FR"/>
        </w:rPr>
        <w:t>a été prise à l</w:t>
      </w:r>
      <w:r>
        <w:rPr>
          <w:lang w:val="fr-FR"/>
        </w:rPr>
        <w:t>’</w:t>
      </w:r>
      <w:r w:rsidRPr="00C078B4">
        <w:rPr>
          <w:lang w:val="fr-FR"/>
        </w:rPr>
        <w:t>encontre des agents des forces de l</w:t>
      </w:r>
      <w:r>
        <w:rPr>
          <w:lang w:val="fr-FR"/>
        </w:rPr>
        <w:t>’</w:t>
      </w:r>
      <w:r w:rsidRPr="00C078B4">
        <w:rPr>
          <w:lang w:val="fr-FR"/>
        </w:rPr>
        <w:t>ordre concernés et, dans certains cas, malgré l</w:t>
      </w:r>
      <w:r>
        <w:rPr>
          <w:lang w:val="fr-FR"/>
        </w:rPr>
        <w:t>’</w:t>
      </w:r>
      <w:r w:rsidRPr="00C078B4">
        <w:rPr>
          <w:lang w:val="fr-FR"/>
        </w:rPr>
        <w:t xml:space="preserve">inquiétude de la famille et de la </w:t>
      </w:r>
      <w:r w:rsidRPr="00397F08">
        <w:rPr>
          <w:lang w:val="fr-FR"/>
        </w:rPr>
        <w:t>communauté en général</w:t>
      </w:r>
      <w:r w:rsidRPr="00C078B4">
        <w:rPr>
          <w:lang w:val="fr-FR"/>
        </w:rPr>
        <w:t xml:space="preserve">, </w:t>
      </w:r>
      <w:r>
        <w:rPr>
          <w:lang w:val="fr-FR"/>
        </w:rPr>
        <w:t>ceux-ci</w:t>
      </w:r>
      <w:r w:rsidRPr="00C078B4">
        <w:rPr>
          <w:lang w:val="fr-FR"/>
        </w:rPr>
        <w:t xml:space="preserve"> ont continué d</w:t>
      </w:r>
      <w:r>
        <w:rPr>
          <w:lang w:val="fr-FR"/>
        </w:rPr>
        <w:t>’exercer</w:t>
      </w:r>
      <w:r w:rsidRPr="00C078B4">
        <w:rPr>
          <w:lang w:val="fr-FR"/>
        </w:rPr>
        <w:t xml:space="preserve"> leurs fonctions alors </w:t>
      </w:r>
      <w:r>
        <w:rPr>
          <w:lang w:val="fr-FR"/>
        </w:rPr>
        <w:t xml:space="preserve">même </w:t>
      </w:r>
      <w:r w:rsidRPr="00C078B4">
        <w:rPr>
          <w:lang w:val="fr-FR"/>
        </w:rPr>
        <w:t xml:space="preserve">que </w:t>
      </w:r>
      <w:r>
        <w:rPr>
          <w:lang w:val="fr-FR"/>
        </w:rPr>
        <w:t>d</w:t>
      </w:r>
      <w:r w:rsidRPr="00C078B4">
        <w:rPr>
          <w:lang w:val="fr-FR"/>
        </w:rPr>
        <w:t>es enquêtes pénales étaient en cours</w:t>
      </w:r>
      <w:r w:rsidRPr="00293268">
        <w:rPr>
          <w:lang w:val="fr-FR"/>
        </w:rPr>
        <w:t xml:space="preserve">. </w:t>
      </w:r>
      <w:r w:rsidRPr="00DB654F">
        <w:rPr>
          <w:lang w:val="fr-FR"/>
        </w:rPr>
        <w:t xml:space="preserve">Les consultations et les communications ont fait ressortir que, dans un certain nombre de pays, les procédures disciplinaires relatives aux fautes </w:t>
      </w:r>
      <w:r>
        <w:rPr>
          <w:lang w:val="fr-FR"/>
        </w:rPr>
        <w:t xml:space="preserve">et infractions </w:t>
      </w:r>
      <w:r w:rsidRPr="00DB654F">
        <w:rPr>
          <w:lang w:val="fr-FR"/>
        </w:rPr>
        <w:t>commises par la police à l</w:t>
      </w:r>
      <w:r>
        <w:rPr>
          <w:lang w:val="fr-FR"/>
        </w:rPr>
        <w:t>’</w:t>
      </w:r>
      <w:r w:rsidRPr="00DB654F">
        <w:rPr>
          <w:lang w:val="fr-FR"/>
        </w:rPr>
        <w:t>encontre de personnes d</w:t>
      </w:r>
      <w:r>
        <w:rPr>
          <w:lang w:val="fr-FR"/>
        </w:rPr>
        <w:t>’</w:t>
      </w:r>
      <w:r w:rsidRPr="00DB654F">
        <w:rPr>
          <w:lang w:val="fr-FR"/>
        </w:rPr>
        <w:t>ascendance africaine sont souvent inadéquates, inefficaces ou ne font pas l</w:t>
      </w:r>
      <w:r>
        <w:rPr>
          <w:lang w:val="fr-FR"/>
        </w:rPr>
        <w:t>’</w:t>
      </w:r>
      <w:r w:rsidRPr="00DB654F">
        <w:rPr>
          <w:lang w:val="fr-FR"/>
        </w:rPr>
        <w:t>objet d</w:t>
      </w:r>
      <w:r>
        <w:rPr>
          <w:lang w:val="fr-FR"/>
        </w:rPr>
        <w:t>’</w:t>
      </w:r>
      <w:r w:rsidRPr="00DB654F">
        <w:rPr>
          <w:lang w:val="fr-FR"/>
        </w:rPr>
        <w:t>un contrôle indépendant, et aboutissent rarement à des sanctions appropriées</w:t>
      </w:r>
      <w:r w:rsidRPr="00CD6B67">
        <w:rPr>
          <w:rStyle w:val="FootnoteReference"/>
        </w:rPr>
        <w:footnoteReference w:id="408"/>
      </w:r>
      <w:r>
        <w:rPr>
          <w:lang w:val="fr-FR"/>
        </w:rPr>
        <w:t>.</w:t>
      </w:r>
    </w:p>
    <w:p w14:paraId="675473F8" w14:textId="77777777" w:rsidR="00D301C6" w:rsidRPr="00293268" w:rsidRDefault="00D301C6" w:rsidP="008E004F">
      <w:pPr>
        <w:pStyle w:val="SingleTxtG"/>
        <w:keepLines/>
        <w:rPr>
          <w:lang w:val="fr-FR"/>
        </w:rPr>
      </w:pPr>
      <w:r w:rsidRPr="00293268">
        <w:rPr>
          <w:lang w:val="fr-FR"/>
        </w:rPr>
        <w:t>153.</w:t>
      </w:r>
      <w:r w:rsidRPr="00293268">
        <w:rPr>
          <w:lang w:val="fr-FR"/>
        </w:rPr>
        <w:tab/>
      </w:r>
      <w:r w:rsidRPr="00D829E3">
        <w:rPr>
          <w:lang w:val="fr-FR"/>
        </w:rPr>
        <w:t>Les consultations ont également mis en évidence que, dans certains États, les institutions nationales des droits de l</w:t>
      </w:r>
      <w:r>
        <w:rPr>
          <w:lang w:val="fr-FR"/>
        </w:rPr>
        <w:t>’</w:t>
      </w:r>
      <w:r w:rsidRPr="00D829E3">
        <w:rPr>
          <w:lang w:val="fr-FR"/>
        </w:rPr>
        <w:t>homme et les organismes de promotion de l</w:t>
      </w:r>
      <w:r>
        <w:rPr>
          <w:lang w:val="fr-FR"/>
        </w:rPr>
        <w:t>’</w:t>
      </w:r>
      <w:r w:rsidRPr="00D829E3">
        <w:rPr>
          <w:lang w:val="fr-FR"/>
        </w:rPr>
        <w:t xml:space="preserve">égalité ne sont pas suffisamment mandatés, dotés de ressources et habilités à </w:t>
      </w:r>
      <w:r>
        <w:rPr>
          <w:lang w:val="fr-FR"/>
        </w:rPr>
        <w:t>se saisir des</w:t>
      </w:r>
      <w:r w:rsidRPr="00D829E3">
        <w:rPr>
          <w:lang w:val="fr-FR"/>
        </w:rPr>
        <w:t xml:space="preserve"> questions de discrimination raciale </w:t>
      </w:r>
      <w:r w:rsidRPr="00311710">
        <w:rPr>
          <w:lang w:val="fr-FR"/>
        </w:rPr>
        <w:t>au sein des forces de l</w:t>
      </w:r>
      <w:r>
        <w:rPr>
          <w:lang w:val="fr-FR"/>
        </w:rPr>
        <w:t>’</w:t>
      </w:r>
      <w:r w:rsidRPr="00311710">
        <w:rPr>
          <w:lang w:val="fr-FR"/>
        </w:rPr>
        <w:t>ordre et du système de justice pénale.</w:t>
      </w:r>
    </w:p>
    <w:p w14:paraId="2DF1D1FA" w14:textId="6DDDF737" w:rsidR="00D301C6" w:rsidRPr="00293268" w:rsidRDefault="00D301C6" w:rsidP="00D301C6">
      <w:pPr>
        <w:pStyle w:val="SingleTxtG"/>
        <w:rPr>
          <w:lang w:val="fr-FR"/>
        </w:rPr>
      </w:pPr>
      <w:r w:rsidRPr="00293268">
        <w:rPr>
          <w:lang w:val="fr-FR"/>
        </w:rPr>
        <w:t>154.</w:t>
      </w:r>
      <w:r w:rsidRPr="00293268">
        <w:rPr>
          <w:lang w:val="fr-FR"/>
        </w:rPr>
        <w:tab/>
      </w:r>
      <w:r w:rsidRPr="00573C4A">
        <w:rPr>
          <w:lang w:val="fr-FR"/>
        </w:rPr>
        <w:t xml:space="preserve">En outre, plusieurs informations donnent à penser que les mesures prises pour répondre à de nombreuses plaintes concernant le comportement répréhensible de la police sont inadéquates. Par exemple, aux États-Unis, le </w:t>
      </w:r>
      <w:r>
        <w:rPr>
          <w:lang w:val="fr-FR"/>
        </w:rPr>
        <w:t>M</w:t>
      </w:r>
      <w:r w:rsidRPr="00573C4A">
        <w:rPr>
          <w:lang w:val="fr-FR"/>
        </w:rPr>
        <w:t xml:space="preserve">inistère de la </w:t>
      </w:r>
      <w:r>
        <w:rPr>
          <w:lang w:val="fr-FR"/>
        </w:rPr>
        <w:t>j</w:t>
      </w:r>
      <w:r w:rsidRPr="00573C4A">
        <w:rPr>
          <w:lang w:val="fr-FR"/>
        </w:rPr>
        <w:t>ustice a constaté que le service de police de Chicago n</w:t>
      </w:r>
      <w:r>
        <w:rPr>
          <w:lang w:val="fr-FR"/>
        </w:rPr>
        <w:t>’</w:t>
      </w:r>
      <w:r w:rsidRPr="00573C4A">
        <w:rPr>
          <w:lang w:val="fr-FR"/>
        </w:rPr>
        <w:t>avait pas mené d</w:t>
      </w:r>
      <w:r>
        <w:rPr>
          <w:lang w:val="fr-FR"/>
        </w:rPr>
        <w:t>’</w:t>
      </w:r>
      <w:r w:rsidRPr="00573C4A">
        <w:rPr>
          <w:lang w:val="fr-FR"/>
        </w:rPr>
        <w:t xml:space="preserve">enquête sur près de la moitié des plaintes pour inconduite qui lui </w:t>
      </w:r>
      <w:r>
        <w:rPr>
          <w:lang w:val="fr-FR"/>
        </w:rPr>
        <w:t>avaien</w:t>
      </w:r>
      <w:r w:rsidRPr="00573C4A">
        <w:rPr>
          <w:lang w:val="fr-FR"/>
        </w:rPr>
        <w:t xml:space="preserve">t été </w:t>
      </w:r>
      <w:r>
        <w:rPr>
          <w:lang w:val="fr-FR"/>
        </w:rPr>
        <w:t>transmis</w:t>
      </w:r>
      <w:r w:rsidRPr="00573C4A">
        <w:rPr>
          <w:lang w:val="fr-FR"/>
        </w:rPr>
        <w:t>es</w:t>
      </w:r>
      <w:r w:rsidRPr="00CD6B67">
        <w:rPr>
          <w:rStyle w:val="FootnoteReference"/>
        </w:rPr>
        <w:footnoteReference w:id="409"/>
      </w:r>
      <w:r>
        <w:rPr>
          <w:lang w:val="fr-FR"/>
        </w:rPr>
        <w:t>.</w:t>
      </w:r>
      <w:r w:rsidRPr="00293268">
        <w:rPr>
          <w:lang w:val="fr-FR"/>
        </w:rPr>
        <w:t xml:space="preserve"> </w:t>
      </w:r>
      <w:r w:rsidRPr="00AA47FA">
        <w:rPr>
          <w:lang w:val="fr-FR"/>
        </w:rPr>
        <w:t xml:space="preserve">De même, il a conclu que </w:t>
      </w:r>
      <w:r w:rsidRPr="00A57B61">
        <w:rPr>
          <w:lang w:val="fr-FR"/>
        </w:rPr>
        <w:t>les insuffisances de longue date des systèmes d’enquête sur les plaintes du service de police de Baltimore avaient contribué à une culture tenace de résistance à</w:t>
      </w:r>
      <w:r w:rsidRPr="007D6A74">
        <w:rPr>
          <w:lang w:val="fr-FR"/>
        </w:rPr>
        <w:t xml:space="preserve"> l</w:t>
      </w:r>
      <w:r>
        <w:rPr>
          <w:lang w:val="fr-FR"/>
        </w:rPr>
        <w:t>’</w:t>
      </w:r>
      <w:r w:rsidRPr="007D6A74">
        <w:rPr>
          <w:lang w:val="fr-FR"/>
        </w:rPr>
        <w:t>obligation de rendre des comptes</w:t>
      </w:r>
      <w:r w:rsidRPr="00CD6B67">
        <w:rPr>
          <w:rStyle w:val="FootnoteReference"/>
        </w:rPr>
        <w:footnoteReference w:id="410"/>
      </w:r>
      <w:r w:rsidRPr="00A57B61">
        <w:rPr>
          <w:lang w:val="fr-FR"/>
        </w:rPr>
        <w:t>. Les policiers</w:t>
      </w:r>
      <w:r w:rsidRPr="00B40BD9">
        <w:rPr>
          <w:lang w:val="fr-FR"/>
        </w:rPr>
        <w:t xml:space="preserve"> qui ont dénoncé des comportements répréhensibles auraient été victimes de représailles, ce qui a renforcé la culture de l</w:t>
      </w:r>
      <w:r>
        <w:rPr>
          <w:lang w:val="fr-FR"/>
        </w:rPr>
        <w:t>’</w:t>
      </w:r>
      <w:r w:rsidRPr="00B40BD9">
        <w:rPr>
          <w:lang w:val="fr-FR"/>
        </w:rPr>
        <w:t>impunité</w:t>
      </w:r>
      <w:r w:rsidRPr="00CD6B67">
        <w:rPr>
          <w:rStyle w:val="FootnoteReference"/>
        </w:rPr>
        <w:footnoteReference w:id="411"/>
      </w:r>
      <w:r>
        <w:rPr>
          <w:lang w:val="fr-FR"/>
        </w:rPr>
        <w:t>.</w:t>
      </w:r>
      <w:r w:rsidRPr="00293268">
        <w:rPr>
          <w:lang w:val="fr-FR"/>
        </w:rPr>
        <w:t xml:space="preserve"> </w:t>
      </w:r>
      <w:r w:rsidRPr="00810DDE">
        <w:rPr>
          <w:lang w:val="fr-FR"/>
        </w:rPr>
        <w:t>En France, le Défenseur des droits est habilité à ouvrir des enquêtes sur les circonstances des décès, ce qu</w:t>
      </w:r>
      <w:r>
        <w:rPr>
          <w:lang w:val="fr-FR"/>
        </w:rPr>
        <w:t>’</w:t>
      </w:r>
      <w:r w:rsidRPr="00810DDE">
        <w:rPr>
          <w:lang w:val="fr-FR"/>
        </w:rPr>
        <w:t>il a fait notamment dans le cas de M.</w:t>
      </w:r>
      <w:r w:rsidR="00001908">
        <w:rPr>
          <w:lang w:val="fr-FR"/>
        </w:rPr>
        <w:t> </w:t>
      </w:r>
      <w:r w:rsidRPr="00810DDE">
        <w:rPr>
          <w:lang w:val="fr-FR"/>
        </w:rPr>
        <w:t>Traoré</w:t>
      </w:r>
      <w:r w:rsidRPr="00CD6B67">
        <w:rPr>
          <w:rStyle w:val="FootnoteReference"/>
        </w:rPr>
        <w:footnoteReference w:id="412"/>
      </w:r>
      <w:r>
        <w:rPr>
          <w:lang w:val="fr-FR"/>
        </w:rPr>
        <w:t>.</w:t>
      </w:r>
      <w:r w:rsidRPr="00293268">
        <w:rPr>
          <w:lang w:val="fr-FR"/>
        </w:rPr>
        <w:t xml:space="preserve"> </w:t>
      </w:r>
      <w:r w:rsidRPr="003867D3">
        <w:rPr>
          <w:lang w:val="fr-FR"/>
        </w:rPr>
        <w:t>Cependant, il a constaté qu</w:t>
      </w:r>
      <w:r>
        <w:rPr>
          <w:lang w:val="fr-FR"/>
        </w:rPr>
        <w:t>’</w:t>
      </w:r>
      <w:r w:rsidRPr="003867D3">
        <w:rPr>
          <w:lang w:val="fr-FR"/>
        </w:rPr>
        <w:t>aucune des 36 demandes de poursuites disciplinaires dont il avait demandé l</w:t>
      </w:r>
      <w:r>
        <w:rPr>
          <w:lang w:val="fr-FR"/>
        </w:rPr>
        <w:t>’</w:t>
      </w:r>
      <w:r w:rsidRPr="003867D3">
        <w:rPr>
          <w:lang w:val="fr-FR"/>
        </w:rPr>
        <w:t>engagement entre 2014 et 2019 n</w:t>
      </w:r>
      <w:r>
        <w:rPr>
          <w:lang w:val="fr-FR"/>
        </w:rPr>
        <w:t>’</w:t>
      </w:r>
      <w:r w:rsidRPr="003867D3">
        <w:rPr>
          <w:lang w:val="fr-FR"/>
        </w:rPr>
        <w:t>a</w:t>
      </w:r>
      <w:r>
        <w:rPr>
          <w:lang w:val="fr-FR"/>
        </w:rPr>
        <w:t>vait</w:t>
      </w:r>
      <w:r w:rsidRPr="003867D3">
        <w:rPr>
          <w:lang w:val="fr-FR"/>
        </w:rPr>
        <w:t xml:space="preserve"> été suivie d</w:t>
      </w:r>
      <w:r>
        <w:rPr>
          <w:lang w:val="fr-FR"/>
        </w:rPr>
        <w:t>’</w:t>
      </w:r>
      <w:r w:rsidRPr="003867D3">
        <w:rPr>
          <w:lang w:val="fr-FR"/>
        </w:rPr>
        <w:t>effet</w:t>
      </w:r>
      <w:r w:rsidRPr="00CD6B67">
        <w:rPr>
          <w:rStyle w:val="FootnoteReference"/>
        </w:rPr>
        <w:footnoteReference w:id="413"/>
      </w:r>
      <w:r>
        <w:rPr>
          <w:lang w:val="fr-FR"/>
        </w:rPr>
        <w:t>.</w:t>
      </w:r>
      <w:r w:rsidRPr="00293268">
        <w:rPr>
          <w:lang w:val="fr-FR"/>
        </w:rPr>
        <w:t xml:space="preserve"> </w:t>
      </w:r>
      <w:r w:rsidRPr="008911E1">
        <w:rPr>
          <w:lang w:val="fr-FR"/>
        </w:rPr>
        <w:t>Au Royaume-Uni, 8,4</w:t>
      </w:r>
      <w:r w:rsidR="00E53DDC">
        <w:rPr>
          <w:lang w:val="fr-FR"/>
        </w:rPr>
        <w:t> %</w:t>
      </w:r>
      <w:r w:rsidRPr="008911E1">
        <w:rPr>
          <w:lang w:val="fr-FR"/>
        </w:rPr>
        <w:t xml:space="preserve"> des policiers </w:t>
      </w:r>
      <w:r>
        <w:rPr>
          <w:lang w:val="fr-FR"/>
        </w:rPr>
        <w:t>présumés</w:t>
      </w:r>
      <w:r w:rsidRPr="008911E1">
        <w:rPr>
          <w:lang w:val="fr-FR"/>
        </w:rPr>
        <w:t xml:space="preserve"> avoir commis une faute grave </w:t>
      </w:r>
      <w:r>
        <w:rPr>
          <w:lang w:val="fr-FR"/>
        </w:rPr>
        <w:t>selon les conclusions de</w:t>
      </w:r>
      <w:r w:rsidRPr="008911E1">
        <w:rPr>
          <w:lang w:val="fr-FR"/>
        </w:rPr>
        <w:t xml:space="preserve"> l</w:t>
      </w:r>
      <w:r>
        <w:rPr>
          <w:lang w:val="fr-FR"/>
        </w:rPr>
        <w:t>’</w:t>
      </w:r>
      <w:r w:rsidRPr="008911E1">
        <w:rPr>
          <w:lang w:val="fr-FR"/>
        </w:rPr>
        <w:t>Independent Office for Police Conduct auraient été licenciés entre 2015 et 2020</w:t>
      </w:r>
      <w:r w:rsidRPr="00CD6B67">
        <w:rPr>
          <w:rStyle w:val="FootnoteReference"/>
        </w:rPr>
        <w:footnoteReference w:id="414"/>
      </w:r>
      <w:r>
        <w:rPr>
          <w:lang w:val="fr-FR"/>
        </w:rPr>
        <w:t>.</w:t>
      </w:r>
    </w:p>
    <w:p w14:paraId="31113857" w14:textId="77777777" w:rsidR="00D301C6" w:rsidRPr="00293268" w:rsidRDefault="00D301C6" w:rsidP="00D301C6">
      <w:pPr>
        <w:pStyle w:val="SingleTxtG"/>
        <w:rPr>
          <w:lang w:val="fr-FR"/>
        </w:rPr>
      </w:pPr>
      <w:r w:rsidRPr="00293268">
        <w:rPr>
          <w:lang w:val="fr-FR"/>
        </w:rPr>
        <w:t>155.</w:t>
      </w:r>
      <w:r w:rsidRPr="00293268">
        <w:rPr>
          <w:lang w:val="fr-FR"/>
        </w:rPr>
        <w:tab/>
      </w:r>
      <w:r>
        <w:rPr>
          <w:lang w:val="fr-FR"/>
        </w:rPr>
        <w:t>Bien que</w:t>
      </w:r>
      <w:r w:rsidRPr="00B53F57">
        <w:rPr>
          <w:lang w:val="fr-FR"/>
        </w:rPr>
        <w:t xml:space="preserve"> les syndicats de police jouent un rôle important dans la protection des droits </w:t>
      </w:r>
      <w:r>
        <w:rPr>
          <w:lang w:val="fr-FR"/>
        </w:rPr>
        <w:t xml:space="preserve">du travail </w:t>
      </w:r>
      <w:r w:rsidRPr="00B53F57">
        <w:rPr>
          <w:lang w:val="fr-FR"/>
        </w:rPr>
        <w:t xml:space="preserve">des </w:t>
      </w:r>
      <w:r>
        <w:rPr>
          <w:lang w:val="fr-FR"/>
        </w:rPr>
        <w:t>policiers</w:t>
      </w:r>
      <w:r w:rsidRPr="00B53F57">
        <w:rPr>
          <w:lang w:val="fr-FR"/>
        </w:rPr>
        <w:t xml:space="preserve">, les communications et les consultations ont également </w:t>
      </w:r>
      <w:r>
        <w:rPr>
          <w:lang w:val="fr-FR"/>
        </w:rPr>
        <w:t>souligné qu’ils contribuaient,</w:t>
      </w:r>
      <w:r w:rsidRPr="00B53F57">
        <w:rPr>
          <w:lang w:val="fr-FR"/>
        </w:rPr>
        <w:t xml:space="preserve"> dans plusieurs cas, </w:t>
      </w:r>
      <w:r>
        <w:rPr>
          <w:lang w:val="fr-FR"/>
        </w:rPr>
        <w:t>à entraver les</w:t>
      </w:r>
      <w:r w:rsidRPr="00B53F57">
        <w:rPr>
          <w:lang w:val="fr-FR"/>
        </w:rPr>
        <w:t xml:space="preserve"> réformes et l</w:t>
      </w:r>
      <w:r>
        <w:rPr>
          <w:lang w:val="fr-FR"/>
        </w:rPr>
        <w:t>’</w:t>
      </w:r>
      <w:r w:rsidRPr="00B53F57">
        <w:rPr>
          <w:lang w:val="fr-FR"/>
        </w:rPr>
        <w:t xml:space="preserve">obligation de rendre compte des fautes commises par la police, </w:t>
      </w:r>
      <w:r>
        <w:rPr>
          <w:lang w:val="fr-FR"/>
        </w:rPr>
        <w:t>au moyen</w:t>
      </w:r>
      <w:r w:rsidRPr="00B53F57">
        <w:rPr>
          <w:lang w:val="fr-FR"/>
        </w:rPr>
        <w:t xml:space="preserve"> de pressions, de dispositions contractuelles et d</w:t>
      </w:r>
      <w:r>
        <w:rPr>
          <w:lang w:val="fr-FR"/>
        </w:rPr>
        <w:t>’</w:t>
      </w:r>
      <w:r w:rsidRPr="00B53F57">
        <w:rPr>
          <w:lang w:val="fr-FR"/>
        </w:rPr>
        <w:t xml:space="preserve">autres </w:t>
      </w:r>
      <w:r>
        <w:rPr>
          <w:lang w:val="fr-FR"/>
        </w:rPr>
        <w:t>mesure</w:t>
      </w:r>
      <w:r w:rsidRPr="00B53F57">
        <w:rPr>
          <w:lang w:val="fr-FR"/>
        </w:rPr>
        <w:t>s</w:t>
      </w:r>
      <w:r w:rsidRPr="00CD6B67">
        <w:rPr>
          <w:rStyle w:val="FootnoteReference"/>
        </w:rPr>
        <w:footnoteReference w:id="415"/>
      </w:r>
      <w:r>
        <w:rPr>
          <w:lang w:val="fr-FR"/>
        </w:rPr>
        <w:t>.</w:t>
      </w:r>
      <w:r w:rsidRPr="00293268">
        <w:rPr>
          <w:lang w:val="fr-FR"/>
        </w:rPr>
        <w:t xml:space="preserve"> </w:t>
      </w:r>
      <w:r w:rsidRPr="00AF21EE">
        <w:rPr>
          <w:lang w:val="fr-FR"/>
        </w:rPr>
        <w:t xml:space="preserve">Ainsi, les dispositions contractuelles et les lois connexes négociées et promues par leurs syndicats ont permis aux </w:t>
      </w:r>
      <w:r>
        <w:rPr>
          <w:lang w:val="fr-FR"/>
        </w:rPr>
        <w:t>policier</w:t>
      </w:r>
      <w:r w:rsidRPr="00AF21EE">
        <w:rPr>
          <w:lang w:val="fr-FR"/>
        </w:rPr>
        <w:t>s accusés de fautes graves de conserver leur emploi, d</w:t>
      </w:r>
      <w:r>
        <w:rPr>
          <w:lang w:val="fr-FR"/>
        </w:rPr>
        <w:t>’</w:t>
      </w:r>
      <w:r w:rsidRPr="00AF21EE">
        <w:rPr>
          <w:lang w:val="fr-FR"/>
        </w:rPr>
        <w:t xml:space="preserve">être promus et, dans certains cas, </w:t>
      </w:r>
      <w:r>
        <w:rPr>
          <w:lang w:val="fr-FR"/>
        </w:rPr>
        <w:t>d’obtenir que</w:t>
      </w:r>
      <w:r w:rsidRPr="00AF21EE">
        <w:rPr>
          <w:lang w:val="fr-FR"/>
        </w:rPr>
        <w:t xml:space="preserve"> leur dossier disciplinaire </w:t>
      </w:r>
      <w:r>
        <w:rPr>
          <w:lang w:val="fr-FR"/>
        </w:rPr>
        <w:t>soit expurgé</w:t>
      </w:r>
      <w:r w:rsidRPr="00CD6B67">
        <w:rPr>
          <w:rStyle w:val="FootnoteReference"/>
        </w:rPr>
        <w:footnoteReference w:id="416"/>
      </w:r>
      <w:r>
        <w:rPr>
          <w:lang w:val="fr-FR"/>
        </w:rPr>
        <w:t>.</w:t>
      </w:r>
    </w:p>
    <w:p w14:paraId="7CAB373F" w14:textId="66EF0D12" w:rsidR="00D301C6" w:rsidRPr="00293268" w:rsidRDefault="00D301C6" w:rsidP="00D301C6">
      <w:pPr>
        <w:pStyle w:val="SingleTxtG"/>
        <w:rPr>
          <w:lang w:val="fr-FR"/>
        </w:rPr>
      </w:pPr>
      <w:r w:rsidRPr="00293268">
        <w:rPr>
          <w:lang w:val="fr-FR"/>
        </w:rPr>
        <w:t>156.</w:t>
      </w:r>
      <w:r w:rsidRPr="00293268">
        <w:rPr>
          <w:lang w:val="fr-FR"/>
        </w:rPr>
        <w:tab/>
      </w:r>
      <w:r>
        <w:rPr>
          <w:lang w:val="fr-FR"/>
        </w:rPr>
        <w:t>Le règlement au civil constitue u</w:t>
      </w:r>
      <w:r w:rsidRPr="002C5B99">
        <w:rPr>
          <w:lang w:val="fr-FR"/>
        </w:rPr>
        <w:t>ne autre voie de recours dans certains États</w:t>
      </w:r>
      <w:r>
        <w:rPr>
          <w:lang w:val="fr-FR"/>
        </w:rPr>
        <w:t>, comme celui qui</w:t>
      </w:r>
      <w:r w:rsidRPr="002C5B99">
        <w:rPr>
          <w:lang w:val="fr-FR"/>
        </w:rPr>
        <w:t xml:space="preserve"> a conduit à </w:t>
      </w:r>
      <w:r>
        <w:rPr>
          <w:lang w:val="fr-FR"/>
        </w:rPr>
        <w:t>l’indemnisation des</w:t>
      </w:r>
      <w:r w:rsidRPr="002C5B99">
        <w:rPr>
          <w:lang w:val="fr-FR"/>
        </w:rPr>
        <w:t xml:space="preserve"> familles de M.</w:t>
      </w:r>
      <w:r w:rsidR="00D943BC">
        <w:rPr>
          <w:lang w:val="fr-FR"/>
        </w:rPr>
        <w:t> </w:t>
      </w:r>
      <w:r w:rsidRPr="002C5B99">
        <w:rPr>
          <w:lang w:val="fr-FR"/>
        </w:rPr>
        <w:t>Floyd</w:t>
      </w:r>
      <w:r w:rsidRPr="00CD6B67">
        <w:rPr>
          <w:rStyle w:val="FootnoteReference"/>
        </w:rPr>
        <w:footnoteReference w:id="417"/>
      </w:r>
      <w:r w:rsidRPr="00293268">
        <w:rPr>
          <w:lang w:val="fr-FR"/>
        </w:rPr>
        <w:t xml:space="preserve"> </w:t>
      </w:r>
      <w:r>
        <w:rPr>
          <w:lang w:val="fr-FR"/>
        </w:rPr>
        <w:t xml:space="preserve">et de </w:t>
      </w:r>
      <w:r w:rsidR="00D943BC" w:rsidRPr="00D943BC">
        <w:rPr>
          <w:lang w:val="fr-FR"/>
        </w:rPr>
        <w:t>M</w:t>
      </w:r>
      <w:r w:rsidR="00D943BC" w:rsidRPr="00D943BC">
        <w:rPr>
          <w:vertAlign w:val="superscript"/>
          <w:lang w:val="fr-FR"/>
        </w:rPr>
        <w:t>me</w:t>
      </w:r>
      <w:r w:rsidR="00D943BC" w:rsidRPr="00D943BC">
        <w:rPr>
          <w:lang w:val="fr-FR"/>
        </w:rPr>
        <w:t> </w:t>
      </w:r>
      <w:r w:rsidRPr="00293268">
        <w:rPr>
          <w:lang w:val="fr-FR"/>
        </w:rPr>
        <w:t>Taylor</w:t>
      </w:r>
      <w:r w:rsidRPr="00CD6B67">
        <w:rPr>
          <w:rStyle w:val="FootnoteReference"/>
        </w:rPr>
        <w:footnoteReference w:id="418"/>
      </w:r>
      <w:r>
        <w:rPr>
          <w:lang w:val="fr-FR"/>
        </w:rPr>
        <w:t>.</w:t>
      </w:r>
      <w:r w:rsidRPr="00293268">
        <w:rPr>
          <w:lang w:val="fr-FR"/>
        </w:rPr>
        <w:t xml:space="preserve"> </w:t>
      </w:r>
      <w:r w:rsidRPr="00AB123F">
        <w:rPr>
          <w:lang w:val="fr-FR"/>
        </w:rPr>
        <w:t>Les</w:t>
      </w:r>
      <w:r w:rsidR="00A800BC">
        <w:rPr>
          <w:lang w:val="fr-FR"/>
        </w:rPr>
        <w:t> </w:t>
      </w:r>
      <w:r w:rsidRPr="00AB123F">
        <w:rPr>
          <w:lang w:val="fr-FR"/>
        </w:rPr>
        <w:t xml:space="preserve">règlements prévoient souvent des mesures de réforme. </w:t>
      </w:r>
      <w:r>
        <w:rPr>
          <w:lang w:val="fr-FR"/>
        </w:rPr>
        <w:t>Ainsi</w:t>
      </w:r>
      <w:r w:rsidRPr="00AB123F">
        <w:rPr>
          <w:lang w:val="fr-FR"/>
        </w:rPr>
        <w:t xml:space="preserve">, le règlement relatif au décès de </w:t>
      </w:r>
      <w:r w:rsidR="00A800BC" w:rsidRPr="00A800BC">
        <w:rPr>
          <w:lang w:val="fr-FR"/>
        </w:rPr>
        <w:t>M</w:t>
      </w:r>
      <w:r w:rsidR="00A800BC" w:rsidRPr="00A800BC">
        <w:rPr>
          <w:vertAlign w:val="superscript"/>
          <w:lang w:val="fr-FR"/>
        </w:rPr>
        <w:t>me</w:t>
      </w:r>
      <w:r w:rsidR="00A800BC" w:rsidRPr="00A800BC">
        <w:rPr>
          <w:lang w:val="fr-FR"/>
        </w:rPr>
        <w:t> </w:t>
      </w:r>
      <w:r w:rsidRPr="00AB123F">
        <w:rPr>
          <w:lang w:val="fr-FR"/>
        </w:rPr>
        <w:t xml:space="preserve">Taylor </w:t>
      </w:r>
      <w:r>
        <w:rPr>
          <w:lang w:val="fr-FR"/>
        </w:rPr>
        <w:t>prévoyait une réforme de l’utilisation des mandats de perquisition</w:t>
      </w:r>
      <w:r w:rsidRPr="00293268">
        <w:rPr>
          <w:lang w:val="fr-FR"/>
        </w:rPr>
        <w:t xml:space="preserve">, </w:t>
      </w:r>
      <w:r w:rsidRPr="0041746B">
        <w:rPr>
          <w:lang w:val="fr-FR"/>
        </w:rPr>
        <w:t xml:space="preserve">des réformes </w:t>
      </w:r>
      <w:r>
        <w:rPr>
          <w:lang w:val="fr-FR"/>
        </w:rPr>
        <w:t xml:space="preserve">des </w:t>
      </w:r>
      <w:r w:rsidRPr="00121363">
        <w:rPr>
          <w:lang w:val="fr-FR"/>
        </w:rPr>
        <w:t xml:space="preserve">mécanismes de responsabilisation </w:t>
      </w:r>
      <w:r>
        <w:rPr>
          <w:lang w:val="fr-FR"/>
        </w:rPr>
        <w:t xml:space="preserve">de la police </w:t>
      </w:r>
      <w:r w:rsidRPr="0041746B">
        <w:rPr>
          <w:lang w:val="fr-FR"/>
        </w:rPr>
        <w:t>(</w:t>
      </w:r>
      <w:r>
        <w:rPr>
          <w:lang w:val="fr-FR"/>
        </w:rPr>
        <w:t>comme</w:t>
      </w:r>
      <w:r w:rsidRPr="0041746B">
        <w:rPr>
          <w:lang w:val="fr-FR"/>
        </w:rPr>
        <w:t xml:space="preserve"> la mise en </w:t>
      </w:r>
      <w:r>
        <w:rPr>
          <w:lang w:val="fr-FR"/>
        </w:rPr>
        <w:t>place</w:t>
      </w:r>
      <w:r w:rsidRPr="0041746B">
        <w:rPr>
          <w:lang w:val="fr-FR"/>
        </w:rPr>
        <w:t xml:space="preserve"> d</w:t>
      </w:r>
      <w:r>
        <w:rPr>
          <w:lang w:val="fr-FR"/>
        </w:rPr>
        <w:t>’</w:t>
      </w:r>
      <w:r w:rsidRPr="0041746B">
        <w:rPr>
          <w:lang w:val="fr-FR"/>
        </w:rPr>
        <w:t xml:space="preserve">un </w:t>
      </w:r>
      <w:r w:rsidRPr="00803D10">
        <w:rPr>
          <w:lang w:val="fr-FR"/>
        </w:rPr>
        <w:t>mécanisme d</w:t>
      </w:r>
      <w:r>
        <w:rPr>
          <w:lang w:val="fr-FR"/>
        </w:rPr>
        <w:t>’</w:t>
      </w:r>
      <w:r w:rsidRPr="00803D10">
        <w:rPr>
          <w:lang w:val="fr-FR"/>
        </w:rPr>
        <w:t>alerte rapid</w:t>
      </w:r>
      <w:r>
        <w:rPr>
          <w:lang w:val="fr-FR"/>
        </w:rPr>
        <w:t>e pour le suivi de</w:t>
      </w:r>
      <w:r w:rsidRPr="0041746B">
        <w:rPr>
          <w:lang w:val="fr-FR"/>
        </w:rPr>
        <w:t xml:space="preserve"> tou</w:t>
      </w:r>
      <w:r>
        <w:rPr>
          <w:lang w:val="fr-FR"/>
        </w:rPr>
        <w:t>te</w:t>
      </w:r>
      <w:r w:rsidRPr="0041746B">
        <w:rPr>
          <w:lang w:val="fr-FR"/>
        </w:rPr>
        <w:t xml:space="preserve">s les </w:t>
      </w:r>
      <w:r>
        <w:rPr>
          <w:lang w:val="fr-FR"/>
        </w:rPr>
        <w:t>affaires</w:t>
      </w:r>
      <w:r w:rsidRPr="0041746B">
        <w:rPr>
          <w:lang w:val="fr-FR"/>
        </w:rPr>
        <w:t>, plaintes et enquêtes liés à l</w:t>
      </w:r>
      <w:r>
        <w:rPr>
          <w:lang w:val="fr-FR"/>
        </w:rPr>
        <w:t>’</w:t>
      </w:r>
      <w:r w:rsidRPr="0041746B">
        <w:rPr>
          <w:lang w:val="fr-FR"/>
        </w:rPr>
        <w:t xml:space="preserve">usage de la force) et des programmes de police </w:t>
      </w:r>
      <w:r>
        <w:rPr>
          <w:lang w:val="fr-FR"/>
        </w:rPr>
        <w:t>de proximité</w:t>
      </w:r>
      <w:r w:rsidRPr="00293268">
        <w:rPr>
          <w:lang w:val="fr-FR"/>
        </w:rPr>
        <w:t xml:space="preserve">. </w:t>
      </w:r>
      <w:r w:rsidRPr="009F38B9">
        <w:rPr>
          <w:lang w:val="fr-FR"/>
        </w:rPr>
        <w:t xml:space="preserve">Les familles ont également </w:t>
      </w:r>
      <w:r>
        <w:rPr>
          <w:lang w:val="fr-FR"/>
        </w:rPr>
        <w:t>affect</w:t>
      </w:r>
      <w:r w:rsidRPr="009F38B9">
        <w:rPr>
          <w:lang w:val="fr-FR"/>
        </w:rPr>
        <w:t xml:space="preserve">é une partie des indemnités reçues au soutien de projets </w:t>
      </w:r>
      <w:r>
        <w:rPr>
          <w:lang w:val="fr-FR"/>
        </w:rPr>
        <w:t>locaux</w:t>
      </w:r>
      <w:r w:rsidRPr="009F38B9">
        <w:rPr>
          <w:lang w:val="fr-FR"/>
        </w:rPr>
        <w:t xml:space="preserve"> et </w:t>
      </w:r>
      <w:r>
        <w:rPr>
          <w:lang w:val="fr-FR"/>
        </w:rPr>
        <w:t>commémoratifs</w:t>
      </w:r>
      <w:r w:rsidRPr="00CD6B67">
        <w:rPr>
          <w:rStyle w:val="FootnoteReference"/>
        </w:rPr>
        <w:footnoteReference w:id="419"/>
      </w:r>
      <w:r>
        <w:rPr>
          <w:lang w:val="fr-FR"/>
        </w:rPr>
        <w:t>.</w:t>
      </w:r>
    </w:p>
    <w:p w14:paraId="4F735D54" w14:textId="77777777" w:rsidR="00D301C6" w:rsidRPr="00293268" w:rsidRDefault="00D301C6" w:rsidP="00D301C6">
      <w:pPr>
        <w:pStyle w:val="H23G"/>
        <w:rPr>
          <w:lang w:val="fr-FR"/>
        </w:rPr>
      </w:pPr>
      <w:bookmarkStart w:id="554" w:name="_Toc74254809"/>
      <w:bookmarkStart w:id="555" w:name="_Toc74303373"/>
      <w:bookmarkStart w:id="556" w:name="_Toc74305498"/>
      <w:bookmarkStart w:id="557" w:name="_Toc74337093"/>
      <w:bookmarkStart w:id="558" w:name="_Toc74340214"/>
      <w:bookmarkStart w:id="559" w:name="_Toc74344110"/>
      <w:bookmarkStart w:id="560" w:name="_Toc74562584"/>
      <w:bookmarkStart w:id="561" w:name="_Toc74657693"/>
      <w:bookmarkStart w:id="562" w:name="_Toc74661219"/>
      <w:bookmarkStart w:id="563" w:name="_Toc74666514"/>
      <w:bookmarkStart w:id="564" w:name="_Toc74671435"/>
      <w:bookmarkStart w:id="565" w:name="_Toc74867350"/>
      <w:bookmarkStart w:id="566" w:name="_Toc74919103"/>
      <w:bookmarkStart w:id="567" w:name="_Toc74919758"/>
      <w:bookmarkStart w:id="568" w:name="_Toc74925793"/>
      <w:bookmarkStart w:id="569" w:name="_Toc74927642"/>
      <w:r w:rsidRPr="00293268">
        <w:rPr>
          <w:lang w:val="fr-FR"/>
        </w:rPr>
        <w:tab/>
        <w:t>4.</w:t>
      </w:r>
      <w:r w:rsidRPr="00293268">
        <w:rPr>
          <w:lang w:val="fr-FR"/>
        </w:rPr>
        <w:tab/>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lang w:val="fr-FR"/>
        </w:rPr>
        <w:t>R</w:t>
      </w:r>
      <w:r w:rsidRPr="0075799D">
        <w:rPr>
          <w:lang w:val="fr-FR"/>
        </w:rPr>
        <w:t>ôle des familles des victimes dans le processus d</w:t>
      </w:r>
      <w:r>
        <w:rPr>
          <w:lang w:val="fr-FR"/>
        </w:rPr>
        <w:t>’</w:t>
      </w:r>
      <w:r w:rsidRPr="0075799D">
        <w:rPr>
          <w:lang w:val="fr-FR"/>
        </w:rPr>
        <w:t>établissement des responsabilités</w:t>
      </w:r>
    </w:p>
    <w:p w14:paraId="17D039A8" w14:textId="64DDD97E" w:rsidR="00D301C6" w:rsidRPr="00293268" w:rsidRDefault="00D301C6" w:rsidP="00D301C6">
      <w:pPr>
        <w:pStyle w:val="SingleTxtG"/>
        <w:rPr>
          <w:lang w:val="fr-FR"/>
        </w:rPr>
      </w:pPr>
      <w:r w:rsidRPr="00293268">
        <w:rPr>
          <w:lang w:val="fr-FR"/>
        </w:rPr>
        <w:t>157.</w:t>
      </w:r>
      <w:r w:rsidRPr="00293268">
        <w:rPr>
          <w:lang w:val="fr-FR"/>
        </w:rPr>
        <w:tab/>
      </w:r>
      <w:r w:rsidRPr="00C01EA7">
        <w:rPr>
          <w:lang w:val="fr-FR"/>
        </w:rPr>
        <w:t>S</w:t>
      </w:r>
      <w:r>
        <w:rPr>
          <w:lang w:val="fr-FR"/>
        </w:rPr>
        <w:t>’</w:t>
      </w:r>
      <w:r w:rsidRPr="00C01EA7">
        <w:rPr>
          <w:lang w:val="fr-FR"/>
        </w:rPr>
        <w:t>il y a lieu, en cas de décès causé par les forces de l</w:t>
      </w:r>
      <w:r>
        <w:rPr>
          <w:lang w:val="fr-FR"/>
        </w:rPr>
        <w:t>’</w:t>
      </w:r>
      <w:r w:rsidRPr="00C01EA7">
        <w:rPr>
          <w:lang w:val="fr-FR"/>
        </w:rPr>
        <w:t>ordre, l</w:t>
      </w:r>
      <w:r>
        <w:rPr>
          <w:lang w:val="fr-FR"/>
        </w:rPr>
        <w:t>’</w:t>
      </w:r>
      <w:r w:rsidRPr="00C01EA7">
        <w:rPr>
          <w:lang w:val="fr-FR"/>
        </w:rPr>
        <w:t>enquête devrait comprendre une autopsie du corps de la victime, chaque fois que cela est possible, en présence d</w:t>
      </w:r>
      <w:r>
        <w:rPr>
          <w:lang w:val="fr-FR"/>
        </w:rPr>
        <w:t>’</w:t>
      </w:r>
      <w:r w:rsidRPr="00C01EA7">
        <w:rPr>
          <w:lang w:val="fr-FR"/>
        </w:rPr>
        <w:t>un représentant des proches de la victime</w:t>
      </w:r>
      <w:r w:rsidRPr="00CD6B67">
        <w:rPr>
          <w:rStyle w:val="FootnoteReference"/>
        </w:rPr>
        <w:footnoteReference w:id="420"/>
      </w:r>
      <w:r>
        <w:rPr>
          <w:lang w:val="fr-FR"/>
        </w:rPr>
        <w:t>.</w:t>
      </w:r>
      <w:r w:rsidRPr="00293268">
        <w:rPr>
          <w:lang w:val="fr-FR"/>
        </w:rPr>
        <w:t xml:space="preserve"> </w:t>
      </w:r>
      <w:r w:rsidRPr="00183012">
        <w:rPr>
          <w:lang w:val="fr-FR"/>
        </w:rPr>
        <w:t>Les États parties devraient également divulguer les</w:t>
      </w:r>
      <w:r>
        <w:rPr>
          <w:lang w:val="fr-FR"/>
        </w:rPr>
        <w:t xml:space="preserve"> </w:t>
      </w:r>
      <w:r w:rsidRPr="00183012">
        <w:rPr>
          <w:lang w:val="fr-FR"/>
        </w:rPr>
        <w:t>détails pertinents de l</w:t>
      </w:r>
      <w:r>
        <w:rPr>
          <w:lang w:val="fr-FR"/>
        </w:rPr>
        <w:t>’</w:t>
      </w:r>
      <w:r w:rsidRPr="00183012">
        <w:rPr>
          <w:lang w:val="fr-FR"/>
        </w:rPr>
        <w:t>enquête au plus proche parent de la victime</w:t>
      </w:r>
      <w:r w:rsidRPr="00293268">
        <w:rPr>
          <w:lang w:val="fr-FR"/>
        </w:rPr>
        <w:t xml:space="preserve">, </w:t>
      </w:r>
      <w:r w:rsidRPr="003D03E8">
        <w:rPr>
          <w:lang w:val="fr-FR"/>
        </w:rPr>
        <w:t>permettre à celui</w:t>
      </w:r>
      <w:r w:rsidR="00793D4A">
        <w:rPr>
          <w:lang w:val="fr-FR"/>
        </w:rPr>
        <w:noBreakHyphen/>
      </w:r>
      <w:r w:rsidRPr="003D03E8">
        <w:rPr>
          <w:lang w:val="fr-FR"/>
        </w:rPr>
        <w:t>ci de</w:t>
      </w:r>
      <w:r>
        <w:rPr>
          <w:lang w:val="fr-FR"/>
        </w:rPr>
        <w:t xml:space="preserve"> </w:t>
      </w:r>
      <w:r w:rsidRPr="003D03E8">
        <w:rPr>
          <w:lang w:val="fr-FR"/>
        </w:rPr>
        <w:t>produire de nouveaux éléments de preuve, lui donner qualité pour agir dans l</w:t>
      </w:r>
      <w:r>
        <w:rPr>
          <w:lang w:val="fr-FR"/>
        </w:rPr>
        <w:t>’</w:t>
      </w:r>
      <w:r w:rsidRPr="003D03E8">
        <w:rPr>
          <w:lang w:val="fr-FR"/>
        </w:rPr>
        <w:t>enquête</w:t>
      </w:r>
      <w:r w:rsidRPr="00293268">
        <w:rPr>
          <w:lang w:val="fr-FR"/>
        </w:rPr>
        <w:t xml:space="preserve">, </w:t>
      </w:r>
      <w:r w:rsidRPr="005A61F1">
        <w:rPr>
          <w:lang w:val="fr-FR"/>
        </w:rPr>
        <w:t>et</w:t>
      </w:r>
      <w:r>
        <w:rPr>
          <w:lang w:val="fr-FR"/>
        </w:rPr>
        <w:t xml:space="preserve"> </w:t>
      </w:r>
      <w:r w:rsidRPr="005A61F1">
        <w:rPr>
          <w:lang w:val="fr-FR"/>
        </w:rPr>
        <w:t>rendre publiques l</w:t>
      </w:r>
      <w:r>
        <w:rPr>
          <w:lang w:val="fr-FR"/>
        </w:rPr>
        <w:t>’</w:t>
      </w:r>
      <w:r w:rsidRPr="005A61F1">
        <w:rPr>
          <w:lang w:val="fr-FR"/>
        </w:rPr>
        <w:t>information sur les mesures d</w:t>
      </w:r>
      <w:r>
        <w:rPr>
          <w:lang w:val="fr-FR"/>
        </w:rPr>
        <w:t>’</w:t>
      </w:r>
      <w:r w:rsidRPr="005A61F1">
        <w:rPr>
          <w:lang w:val="fr-FR"/>
        </w:rPr>
        <w:t xml:space="preserve">enquête qui ont été prises et </w:t>
      </w:r>
      <w:r w:rsidRPr="00CD4A20">
        <w:rPr>
          <w:lang w:val="fr-FR"/>
        </w:rPr>
        <w:t>les constatations, conclusions et recommandations issues de l’enquête. Les États parties doivent aussi</w:t>
      </w:r>
      <w:r w:rsidRPr="00E73199">
        <w:rPr>
          <w:lang w:val="fr-FR"/>
        </w:rPr>
        <w:t xml:space="preserve"> prendre les mesures nécessaires pour protéger les témoins, les</w:t>
      </w:r>
      <w:r>
        <w:rPr>
          <w:lang w:val="fr-FR"/>
        </w:rPr>
        <w:t xml:space="preserve"> </w:t>
      </w:r>
      <w:r w:rsidRPr="00E73199">
        <w:rPr>
          <w:lang w:val="fr-FR"/>
        </w:rPr>
        <w:t>victimes et leurs proches</w:t>
      </w:r>
      <w:r>
        <w:rPr>
          <w:lang w:val="fr-FR"/>
        </w:rPr>
        <w:t>,</w:t>
      </w:r>
      <w:r w:rsidRPr="00E73199">
        <w:rPr>
          <w:lang w:val="fr-FR"/>
        </w:rPr>
        <w:t xml:space="preserve"> ainsi que les personnes qui conduisent l</w:t>
      </w:r>
      <w:r>
        <w:rPr>
          <w:lang w:val="fr-FR"/>
        </w:rPr>
        <w:t>’</w:t>
      </w:r>
      <w:r w:rsidRPr="00E73199">
        <w:rPr>
          <w:lang w:val="fr-FR"/>
        </w:rPr>
        <w:t>enquête</w:t>
      </w:r>
      <w:r>
        <w:rPr>
          <w:lang w:val="fr-FR"/>
        </w:rPr>
        <w:t>,</w:t>
      </w:r>
      <w:r w:rsidRPr="00E73199">
        <w:rPr>
          <w:lang w:val="fr-FR"/>
        </w:rPr>
        <w:t xml:space="preserve"> contre les</w:t>
      </w:r>
      <w:r>
        <w:rPr>
          <w:lang w:val="fr-FR"/>
        </w:rPr>
        <w:t xml:space="preserve"> </w:t>
      </w:r>
      <w:r w:rsidRPr="00E73199">
        <w:rPr>
          <w:lang w:val="fr-FR"/>
        </w:rPr>
        <w:t>menaces, les attaques et tout acte de représailles</w:t>
      </w:r>
      <w:r w:rsidRPr="00CD6B67">
        <w:rPr>
          <w:rStyle w:val="FootnoteReference"/>
        </w:rPr>
        <w:footnoteReference w:id="421"/>
      </w:r>
      <w:r>
        <w:rPr>
          <w:lang w:val="fr-FR"/>
        </w:rPr>
        <w:t>.</w:t>
      </w:r>
    </w:p>
    <w:p w14:paraId="2A40A937" w14:textId="77777777" w:rsidR="00D301C6" w:rsidRPr="00293268" w:rsidRDefault="00D301C6" w:rsidP="00D301C6">
      <w:pPr>
        <w:pStyle w:val="SingleTxtG"/>
        <w:rPr>
          <w:lang w:val="fr-FR"/>
        </w:rPr>
      </w:pPr>
      <w:r w:rsidRPr="00293268">
        <w:rPr>
          <w:lang w:val="fr-FR"/>
        </w:rPr>
        <w:t>158.</w:t>
      </w:r>
      <w:r w:rsidRPr="00293268">
        <w:rPr>
          <w:lang w:val="fr-FR"/>
        </w:rPr>
        <w:tab/>
      </w:r>
      <w:r w:rsidRPr="00FF6FC8">
        <w:rPr>
          <w:lang w:val="fr-FR"/>
        </w:rPr>
        <w:t>Malgré cela, les familles des personnes d</w:t>
      </w:r>
      <w:r>
        <w:rPr>
          <w:lang w:val="fr-FR"/>
        </w:rPr>
        <w:t>’</w:t>
      </w:r>
      <w:r w:rsidRPr="00FF6FC8">
        <w:rPr>
          <w:lang w:val="fr-FR"/>
        </w:rPr>
        <w:t>ascendance africaine décédées à la suite d</w:t>
      </w:r>
      <w:r>
        <w:rPr>
          <w:lang w:val="fr-FR"/>
        </w:rPr>
        <w:t>’</w:t>
      </w:r>
      <w:r w:rsidRPr="00FF6FC8">
        <w:rPr>
          <w:lang w:val="fr-FR"/>
        </w:rPr>
        <w:t>altercations avec les forces de l</w:t>
      </w:r>
      <w:r>
        <w:rPr>
          <w:lang w:val="fr-FR"/>
        </w:rPr>
        <w:t>’</w:t>
      </w:r>
      <w:r w:rsidRPr="00FF6FC8">
        <w:rPr>
          <w:lang w:val="fr-FR"/>
        </w:rPr>
        <w:t>ordre se heurtent à des difficultés considérables lorsqu</w:t>
      </w:r>
      <w:r>
        <w:rPr>
          <w:lang w:val="fr-FR"/>
        </w:rPr>
        <w:t>’</w:t>
      </w:r>
      <w:r w:rsidRPr="00FF6FC8">
        <w:rPr>
          <w:lang w:val="fr-FR"/>
        </w:rPr>
        <w:t xml:space="preserve">elles demandent que la vérité soit établie et </w:t>
      </w:r>
      <w:r>
        <w:rPr>
          <w:lang w:val="fr-FR"/>
        </w:rPr>
        <w:t xml:space="preserve">que </w:t>
      </w:r>
      <w:r w:rsidRPr="00FF6FC8">
        <w:rPr>
          <w:lang w:val="fr-FR"/>
        </w:rPr>
        <w:t xml:space="preserve">justice </w:t>
      </w:r>
      <w:r>
        <w:rPr>
          <w:lang w:val="fr-FR"/>
        </w:rPr>
        <w:t xml:space="preserve">soit </w:t>
      </w:r>
      <w:r w:rsidRPr="00FF6FC8">
        <w:rPr>
          <w:lang w:val="fr-FR"/>
        </w:rPr>
        <w:t>rendue</w:t>
      </w:r>
      <w:r w:rsidRPr="00293268">
        <w:rPr>
          <w:lang w:val="fr-FR"/>
        </w:rPr>
        <w:t xml:space="preserve">. </w:t>
      </w:r>
      <w:r w:rsidRPr="00BA6D3F">
        <w:rPr>
          <w:lang w:val="fr-FR"/>
        </w:rPr>
        <w:t xml:space="preserve">Si, dans certaines juridictions, les familles ont </w:t>
      </w:r>
      <w:r>
        <w:rPr>
          <w:lang w:val="fr-FR"/>
        </w:rPr>
        <w:t xml:space="preserve">officiellement </w:t>
      </w:r>
      <w:r w:rsidRPr="00BA6D3F">
        <w:rPr>
          <w:lang w:val="fr-FR"/>
        </w:rPr>
        <w:t>un rôle ou une participation dans certaines parties des processus d</w:t>
      </w:r>
      <w:r>
        <w:rPr>
          <w:lang w:val="fr-FR"/>
        </w:rPr>
        <w:t>’</w:t>
      </w:r>
      <w:r w:rsidRPr="00BA6D3F">
        <w:rPr>
          <w:lang w:val="fr-FR"/>
        </w:rPr>
        <w:t>établissement des responsabilités</w:t>
      </w:r>
      <w:r w:rsidRPr="00CD6B67">
        <w:rPr>
          <w:rStyle w:val="FootnoteReference"/>
        </w:rPr>
        <w:footnoteReference w:id="422"/>
      </w:r>
      <w:r>
        <w:rPr>
          <w:lang w:val="fr-FR"/>
        </w:rPr>
        <w:t>,</w:t>
      </w:r>
      <w:r w:rsidRPr="00293268">
        <w:rPr>
          <w:lang w:val="fr-FR"/>
        </w:rPr>
        <w:t xml:space="preserve"> </w:t>
      </w:r>
      <w:r w:rsidRPr="00E87FFD">
        <w:rPr>
          <w:lang w:val="fr-FR"/>
        </w:rPr>
        <w:t>la plupart d</w:t>
      </w:r>
      <w:r>
        <w:rPr>
          <w:lang w:val="fr-FR"/>
        </w:rPr>
        <w:t>’</w:t>
      </w:r>
      <w:r w:rsidRPr="00E87FFD">
        <w:rPr>
          <w:lang w:val="fr-FR"/>
        </w:rPr>
        <w:t>entre elles font état d</w:t>
      </w:r>
      <w:r>
        <w:rPr>
          <w:lang w:val="fr-FR"/>
        </w:rPr>
        <w:t>’</w:t>
      </w:r>
      <w:r w:rsidRPr="00E87FFD">
        <w:rPr>
          <w:lang w:val="fr-FR"/>
        </w:rPr>
        <w:t>un manque profond d</w:t>
      </w:r>
      <w:r>
        <w:rPr>
          <w:lang w:val="fr-FR"/>
        </w:rPr>
        <w:t>’</w:t>
      </w:r>
      <w:r w:rsidRPr="00E87FFD">
        <w:rPr>
          <w:lang w:val="fr-FR"/>
        </w:rPr>
        <w:t xml:space="preserve">informations sur les </w:t>
      </w:r>
      <w:r>
        <w:rPr>
          <w:lang w:val="fr-FR"/>
        </w:rPr>
        <w:t>procédures</w:t>
      </w:r>
      <w:r w:rsidRPr="00E87FFD">
        <w:rPr>
          <w:lang w:val="fr-FR"/>
        </w:rPr>
        <w:t xml:space="preserve"> possibles ou en cours</w:t>
      </w:r>
      <w:r w:rsidRPr="00293268">
        <w:rPr>
          <w:lang w:val="fr-FR"/>
        </w:rPr>
        <w:t xml:space="preserve">. </w:t>
      </w:r>
      <w:r w:rsidRPr="00514C91">
        <w:rPr>
          <w:lang w:val="fr-FR"/>
        </w:rPr>
        <w:t>Lors des consultations, les familles ont souligné leur besoin impérieux de connaître la vérité sur la façon dont leur proche est décédé, de demander des comptes aux responsables, d</w:t>
      </w:r>
      <w:r>
        <w:rPr>
          <w:lang w:val="fr-FR"/>
        </w:rPr>
        <w:t>’</w:t>
      </w:r>
      <w:r w:rsidRPr="00514C91">
        <w:rPr>
          <w:lang w:val="fr-FR"/>
        </w:rPr>
        <w:t>apporter des changements pour éviter d</w:t>
      </w:r>
      <w:r>
        <w:rPr>
          <w:lang w:val="fr-FR"/>
        </w:rPr>
        <w:t>’</w:t>
      </w:r>
      <w:r w:rsidRPr="00514C91">
        <w:rPr>
          <w:lang w:val="fr-FR"/>
        </w:rPr>
        <w:t>autres décès et de faire en sorte que nul n</w:t>
      </w:r>
      <w:r>
        <w:rPr>
          <w:lang w:val="fr-FR"/>
        </w:rPr>
        <w:t>’</w:t>
      </w:r>
      <w:r w:rsidRPr="00514C91">
        <w:rPr>
          <w:lang w:val="fr-FR"/>
        </w:rPr>
        <w:t>ait à subir les mêmes souffrances. Le fait de ne pas donner aux proches d</w:t>
      </w:r>
      <w:r>
        <w:rPr>
          <w:lang w:val="fr-FR"/>
        </w:rPr>
        <w:t>’</w:t>
      </w:r>
      <w:r w:rsidRPr="00514C91">
        <w:rPr>
          <w:lang w:val="fr-FR"/>
        </w:rPr>
        <w:t>une personne des informations sur les circonstances de sa mort peut constituer une violation de l</w:t>
      </w:r>
      <w:r>
        <w:rPr>
          <w:lang w:val="fr-FR"/>
        </w:rPr>
        <w:t>’</w:t>
      </w:r>
      <w:r w:rsidRPr="00514C91">
        <w:rPr>
          <w:lang w:val="fr-FR"/>
        </w:rPr>
        <w:t>interdiction absolue de la torture ou d</w:t>
      </w:r>
      <w:r>
        <w:rPr>
          <w:lang w:val="fr-FR"/>
        </w:rPr>
        <w:t>’</w:t>
      </w:r>
      <w:r w:rsidRPr="00514C91">
        <w:rPr>
          <w:lang w:val="fr-FR"/>
        </w:rPr>
        <w:t>autres peines ou traitements cruels, inhumains ou dégradants</w:t>
      </w:r>
      <w:r w:rsidRPr="00CD6B67">
        <w:rPr>
          <w:rStyle w:val="FootnoteReference"/>
        </w:rPr>
        <w:footnoteReference w:id="423"/>
      </w:r>
      <w:r>
        <w:rPr>
          <w:lang w:val="fr-FR"/>
        </w:rPr>
        <w:t>.</w:t>
      </w:r>
    </w:p>
    <w:p w14:paraId="0DA86BE4" w14:textId="5DC92EC4" w:rsidR="00D301C6" w:rsidRPr="00293268" w:rsidRDefault="00D301C6" w:rsidP="00D301C6">
      <w:pPr>
        <w:pStyle w:val="SingleTxtG"/>
        <w:rPr>
          <w:lang w:val="fr-FR"/>
        </w:rPr>
      </w:pPr>
      <w:r w:rsidRPr="00293268">
        <w:rPr>
          <w:lang w:val="fr-FR"/>
        </w:rPr>
        <w:t>159.</w:t>
      </w:r>
      <w:r w:rsidRPr="00293268">
        <w:rPr>
          <w:lang w:val="fr-FR"/>
        </w:rPr>
        <w:tab/>
      </w:r>
      <w:r w:rsidRPr="008B5ECC">
        <w:rPr>
          <w:lang w:val="fr-FR"/>
        </w:rPr>
        <w:t>Les consultations et les communications ont révélé que les personnes d</w:t>
      </w:r>
      <w:r>
        <w:rPr>
          <w:lang w:val="fr-FR"/>
        </w:rPr>
        <w:t>’</w:t>
      </w:r>
      <w:r w:rsidRPr="008B5ECC">
        <w:rPr>
          <w:lang w:val="fr-FR"/>
        </w:rPr>
        <w:t>ascendance africaine se sentent continuellement «</w:t>
      </w:r>
      <w:r w:rsidR="00090164">
        <w:rPr>
          <w:lang w:val="fr-FR"/>
        </w:rPr>
        <w:t> </w:t>
      </w:r>
      <w:r w:rsidRPr="008B5ECC">
        <w:rPr>
          <w:lang w:val="fr-FR"/>
        </w:rPr>
        <w:t>trahies par le système</w:t>
      </w:r>
      <w:r w:rsidR="00090164">
        <w:rPr>
          <w:lang w:val="fr-FR"/>
        </w:rPr>
        <w:t> </w:t>
      </w:r>
      <w:r w:rsidRPr="008B5ECC">
        <w:rPr>
          <w:lang w:val="fr-FR"/>
        </w:rPr>
        <w:t>» et que les difficultés auxquelles elles se heurtent pour accéder à la justice présentent des similitudes frappantes d</w:t>
      </w:r>
      <w:r>
        <w:rPr>
          <w:lang w:val="fr-FR"/>
        </w:rPr>
        <w:t>’</w:t>
      </w:r>
      <w:r w:rsidRPr="008B5ECC">
        <w:rPr>
          <w:lang w:val="fr-FR"/>
        </w:rPr>
        <w:t>un pays à l</w:t>
      </w:r>
      <w:r>
        <w:rPr>
          <w:lang w:val="fr-FR"/>
        </w:rPr>
        <w:t>’</w:t>
      </w:r>
      <w:r w:rsidRPr="008B5ECC">
        <w:rPr>
          <w:lang w:val="fr-FR"/>
        </w:rPr>
        <w:t>autre</w:t>
      </w:r>
      <w:r w:rsidRPr="00293268">
        <w:rPr>
          <w:lang w:val="fr-FR"/>
        </w:rPr>
        <w:t xml:space="preserve">. </w:t>
      </w:r>
      <w:r w:rsidRPr="009C4FDB">
        <w:rPr>
          <w:lang w:val="fr-FR"/>
        </w:rPr>
        <w:t>Nombre d</w:t>
      </w:r>
      <w:r>
        <w:rPr>
          <w:lang w:val="fr-FR"/>
        </w:rPr>
        <w:t>’</w:t>
      </w:r>
      <w:r w:rsidRPr="009C4FDB">
        <w:rPr>
          <w:lang w:val="fr-FR"/>
        </w:rPr>
        <w:t xml:space="preserve">entre elles ont fait part de leur profond manque de confiance dans les </w:t>
      </w:r>
      <w:r>
        <w:rPr>
          <w:lang w:val="fr-FR"/>
        </w:rPr>
        <w:t>forces de l’ordre</w:t>
      </w:r>
      <w:r w:rsidRPr="009C4FDB">
        <w:rPr>
          <w:lang w:val="fr-FR"/>
        </w:rPr>
        <w:t xml:space="preserve"> et le système de justice pénale, principalement en raison de </w:t>
      </w:r>
      <w:r>
        <w:rPr>
          <w:lang w:val="fr-FR"/>
        </w:rPr>
        <w:t>l’</w:t>
      </w:r>
      <w:r w:rsidRPr="009C4FDB">
        <w:rPr>
          <w:lang w:val="fr-FR"/>
        </w:rPr>
        <w:t>impunité</w:t>
      </w:r>
      <w:r>
        <w:rPr>
          <w:lang w:val="fr-FR"/>
        </w:rPr>
        <w:t xml:space="preserve"> dont ils jouissent</w:t>
      </w:r>
      <w:r w:rsidRPr="00293268">
        <w:rPr>
          <w:lang w:val="fr-FR"/>
        </w:rPr>
        <w:t xml:space="preserve">. </w:t>
      </w:r>
      <w:r w:rsidRPr="00DC012E">
        <w:rPr>
          <w:lang w:val="fr-FR"/>
        </w:rPr>
        <w:t>Il appartient souvent aux victimes et aux familles de se battre pour obtenir que les responsabilités soient établies, sans aide appropriée, alors qu</w:t>
      </w:r>
      <w:r>
        <w:rPr>
          <w:lang w:val="fr-FR"/>
        </w:rPr>
        <w:t>’</w:t>
      </w:r>
      <w:r w:rsidRPr="00DC012E">
        <w:rPr>
          <w:lang w:val="fr-FR"/>
        </w:rPr>
        <w:t>elles sont déjà traumatisées par un interventionnisme policier excessif</w:t>
      </w:r>
      <w:r w:rsidRPr="00293268">
        <w:rPr>
          <w:lang w:val="fr-FR"/>
        </w:rPr>
        <w:t xml:space="preserve">. </w:t>
      </w:r>
      <w:r w:rsidRPr="00CB7313">
        <w:rPr>
          <w:lang w:val="fr-FR"/>
        </w:rPr>
        <w:t>À cela s</w:t>
      </w:r>
      <w:r>
        <w:rPr>
          <w:lang w:val="fr-FR"/>
        </w:rPr>
        <w:t>’</w:t>
      </w:r>
      <w:r w:rsidRPr="00CB7313">
        <w:rPr>
          <w:lang w:val="fr-FR"/>
        </w:rPr>
        <w:t>ajoute</w:t>
      </w:r>
      <w:r w:rsidR="00090164">
        <w:rPr>
          <w:lang w:val="fr-FR"/>
        </w:rPr>
        <w:t>nt</w:t>
      </w:r>
      <w:r w:rsidRPr="00CB7313">
        <w:rPr>
          <w:lang w:val="fr-FR"/>
        </w:rPr>
        <w:t xml:space="preserve"> les difficultés rencontrées par les familles pour obtenir un rapport d</w:t>
      </w:r>
      <w:r>
        <w:rPr>
          <w:lang w:val="fr-FR"/>
        </w:rPr>
        <w:t>’</w:t>
      </w:r>
      <w:r w:rsidRPr="00CB7313">
        <w:rPr>
          <w:lang w:val="fr-FR"/>
        </w:rPr>
        <w:t>autopsie officiel ou pour réaliser leurs propres autopsies, faute de soutien financier, ainsi que les difficultés et retards, dans certains cas, pour récupérer le corps du défunt pour son inhumation</w:t>
      </w:r>
      <w:r w:rsidRPr="00293268">
        <w:rPr>
          <w:lang w:val="fr-FR"/>
        </w:rPr>
        <w:t>.</w:t>
      </w:r>
    </w:p>
    <w:p w14:paraId="113FB331" w14:textId="6E6BDA82" w:rsidR="00D301C6" w:rsidRPr="00293268" w:rsidRDefault="00D301C6" w:rsidP="00D301C6">
      <w:pPr>
        <w:pStyle w:val="SingleTxtG"/>
        <w:rPr>
          <w:lang w:val="fr-FR"/>
        </w:rPr>
      </w:pPr>
      <w:r w:rsidRPr="00293268">
        <w:rPr>
          <w:lang w:val="fr-FR"/>
        </w:rPr>
        <w:t>160.</w:t>
      </w:r>
      <w:r w:rsidRPr="00293268">
        <w:rPr>
          <w:lang w:val="fr-FR"/>
        </w:rPr>
        <w:tab/>
      </w:r>
      <w:r w:rsidRPr="00891886">
        <w:rPr>
          <w:lang w:val="fr-FR"/>
        </w:rPr>
        <w:t xml:space="preserve">Les familles ont également </w:t>
      </w:r>
      <w:r>
        <w:rPr>
          <w:lang w:val="fr-FR"/>
        </w:rPr>
        <w:t xml:space="preserve">déploré </w:t>
      </w:r>
      <w:r w:rsidRPr="00891886">
        <w:rPr>
          <w:lang w:val="fr-FR"/>
        </w:rPr>
        <w:t>le manque d</w:t>
      </w:r>
      <w:r>
        <w:rPr>
          <w:lang w:val="fr-FR"/>
        </w:rPr>
        <w:t>’</w:t>
      </w:r>
      <w:r w:rsidRPr="00891886">
        <w:rPr>
          <w:lang w:val="fr-FR"/>
        </w:rPr>
        <w:t>accès à une aide juridictionnelle et à un soutien psychosocial appropriés pendant des procédures souvent longues et éprouvantes, financièrement et humainement. Le traumatisme psychologique et physique durable s</w:t>
      </w:r>
      <w:r>
        <w:rPr>
          <w:lang w:val="fr-FR"/>
        </w:rPr>
        <w:t>’</w:t>
      </w:r>
      <w:r w:rsidRPr="00891886">
        <w:rPr>
          <w:lang w:val="fr-FR"/>
        </w:rPr>
        <w:t xml:space="preserve">étend souvent au groupe social. Les consultations ont mis en évidence le fait que chaque nouveau meurtre </w:t>
      </w:r>
      <w:r>
        <w:rPr>
          <w:lang w:val="fr-FR"/>
        </w:rPr>
        <w:t>ravive le souvenir de</w:t>
      </w:r>
      <w:r w:rsidRPr="00891886">
        <w:rPr>
          <w:lang w:val="fr-FR"/>
        </w:rPr>
        <w:t xml:space="preserve"> ceux qui l</w:t>
      </w:r>
      <w:r>
        <w:rPr>
          <w:lang w:val="fr-FR"/>
        </w:rPr>
        <w:t>’</w:t>
      </w:r>
      <w:r w:rsidRPr="00891886">
        <w:rPr>
          <w:lang w:val="fr-FR"/>
        </w:rPr>
        <w:t xml:space="preserve">ont précédé, </w:t>
      </w:r>
      <w:r>
        <w:rPr>
          <w:lang w:val="fr-FR"/>
        </w:rPr>
        <w:t xml:space="preserve">ainsi que </w:t>
      </w:r>
      <w:r w:rsidRPr="00891886">
        <w:rPr>
          <w:lang w:val="fr-FR"/>
        </w:rPr>
        <w:t xml:space="preserve">la douleur et les traumatismes </w:t>
      </w:r>
      <w:r w:rsidRPr="006927A1">
        <w:rPr>
          <w:lang w:val="fr-FR"/>
        </w:rPr>
        <w:t>qu’ils ont causé</w:t>
      </w:r>
      <w:r>
        <w:rPr>
          <w:lang w:val="fr-FR"/>
        </w:rPr>
        <w:t>s</w:t>
      </w:r>
      <w:r w:rsidRPr="00891886">
        <w:rPr>
          <w:lang w:val="fr-FR"/>
        </w:rPr>
        <w:t xml:space="preserve">. Elle renforce les expériences des </w:t>
      </w:r>
      <w:r>
        <w:rPr>
          <w:lang w:val="fr-FR"/>
        </w:rPr>
        <w:t>populations</w:t>
      </w:r>
      <w:r w:rsidRPr="00891886">
        <w:rPr>
          <w:lang w:val="fr-FR"/>
        </w:rPr>
        <w:t xml:space="preserve"> en matière de racisme systémique, d</w:t>
      </w:r>
      <w:r>
        <w:rPr>
          <w:lang w:val="fr-FR"/>
        </w:rPr>
        <w:t>’</w:t>
      </w:r>
      <w:r w:rsidRPr="00891886">
        <w:rPr>
          <w:lang w:val="fr-FR"/>
        </w:rPr>
        <w:t>interventionnisme policier excessif et de criminalisation, et approfondit l</w:t>
      </w:r>
      <w:r>
        <w:rPr>
          <w:lang w:val="fr-FR"/>
        </w:rPr>
        <w:t>eur</w:t>
      </w:r>
      <w:r w:rsidRPr="00891886">
        <w:rPr>
          <w:lang w:val="fr-FR"/>
        </w:rPr>
        <w:t xml:space="preserve"> méfiance à l</w:t>
      </w:r>
      <w:r>
        <w:rPr>
          <w:lang w:val="fr-FR"/>
        </w:rPr>
        <w:t>’</w:t>
      </w:r>
      <w:r w:rsidRPr="00891886">
        <w:rPr>
          <w:lang w:val="fr-FR"/>
        </w:rPr>
        <w:t>égard des forces de l</w:t>
      </w:r>
      <w:r>
        <w:rPr>
          <w:lang w:val="fr-FR"/>
        </w:rPr>
        <w:t>’</w:t>
      </w:r>
      <w:r w:rsidRPr="00891886">
        <w:rPr>
          <w:lang w:val="fr-FR"/>
        </w:rPr>
        <w:t>ordre</w:t>
      </w:r>
      <w:r w:rsidRPr="00CD6B67">
        <w:rPr>
          <w:rStyle w:val="FootnoteReference"/>
        </w:rPr>
        <w:footnoteReference w:id="424"/>
      </w:r>
      <w:r>
        <w:rPr>
          <w:lang w:val="fr-FR"/>
        </w:rPr>
        <w:t>.</w:t>
      </w:r>
      <w:r w:rsidRPr="00293268">
        <w:rPr>
          <w:lang w:val="fr-FR"/>
        </w:rPr>
        <w:t xml:space="preserve"> </w:t>
      </w:r>
      <w:r w:rsidRPr="00DF38B3">
        <w:rPr>
          <w:lang w:val="fr-FR"/>
        </w:rPr>
        <w:t xml:space="preserve">Certaines familles </w:t>
      </w:r>
      <w:r>
        <w:rPr>
          <w:lang w:val="fr-FR"/>
        </w:rPr>
        <w:t>craignent également les</w:t>
      </w:r>
      <w:r w:rsidRPr="00DF38B3">
        <w:rPr>
          <w:lang w:val="fr-FR"/>
        </w:rPr>
        <w:t xml:space="preserve"> représailles et </w:t>
      </w:r>
      <w:r>
        <w:rPr>
          <w:lang w:val="fr-FR"/>
        </w:rPr>
        <w:t>l</w:t>
      </w:r>
      <w:r w:rsidRPr="00DF38B3">
        <w:rPr>
          <w:lang w:val="fr-FR"/>
        </w:rPr>
        <w:t>e harcèlement</w:t>
      </w:r>
      <w:r w:rsidRPr="00CD6B67">
        <w:rPr>
          <w:rStyle w:val="FootnoteReference"/>
        </w:rPr>
        <w:footnoteReference w:id="425"/>
      </w:r>
      <w:r>
        <w:rPr>
          <w:lang w:val="fr-FR"/>
        </w:rPr>
        <w:t>.</w:t>
      </w:r>
      <w:r w:rsidRPr="00293268">
        <w:rPr>
          <w:lang w:val="fr-FR"/>
        </w:rPr>
        <w:t xml:space="preserve"> </w:t>
      </w:r>
      <w:r w:rsidRPr="009B4FC0">
        <w:rPr>
          <w:lang w:val="fr-FR"/>
        </w:rPr>
        <w:t xml:space="preserve">Elles trouvent </w:t>
      </w:r>
      <w:r>
        <w:rPr>
          <w:lang w:val="fr-FR"/>
        </w:rPr>
        <w:t xml:space="preserve">enfin </w:t>
      </w:r>
      <w:r w:rsidRPr="009B4FC0">
        <w:rPr>
          <w:lang w:val="fr-FR"/>
        </w:rPr>
        <w:t xml:space="preserve">particulièrement difficile </w:t>
      </w:r>
      <w:r>
        <w:rPr>
          <w:lang w:val="fr-FR"/>
        </w:rPr>
        <w:t>d’</w:t>
      </w:r>
      <w:r w:rsidRPr="009B4FC0">
        <w:rPr>
          <w:lang w:val="fr-FR"/>
        </w:rPr>
        <w:t xml:space="preserve">accepter que les victimes </w:t>
      </w:r>
      <w:r>
        <w:rPr>
          <w:lang w:val="fr-FR"/>
        </w:rPr>
        <w:t xml:space="preserve">soient </w:t>
      </w:r>
      <w:r w:rsidRPr="001D6D78">
        <w:rPr>
          <w:lang w:val="fr-FR"/>
        </w:rPr>
        <w:t>souvent dépeint</w:t>
      </w:r>
      <w:r>
        <w:rPr>
          <w:lang w:val="fr-FR"/>
        </w:rPr>
        <w:t>e</w:t>
      </w:r>
      <w:r w:rsidRPr="001D6D78">
        <w:rPr>
          <w:lang w:val="fr-FR"/>
        </w:rPr>
        <w:t xml:space="preserve">s </w:t>
      </w:r>
      <w:r>
        <w:rPr>
          <w:lang w:val="fr-FR"/>
        </w:rPr>
        <w:t>comme</w:t>
      </w:r>
      <w:r w:rsidRPr="009B4FC0">
        <w:rPr>
          <w:lang w:val="fr-FR"/>
        </w:rPr>
        <w:t xml:space="preserve"> ayant «</w:t>
      </w:r>
      <w:r w:rsidR="007308DD">
        <w:rPr>
          <w:lang w:val="fr-FR"/>
        </w:rPr>
        <w:t> </w:t>
      </w:r>
      <w:r w:rsidRPr="009B4FC0">
        <w:rPr>
          <w:lang w:val="fr-FR"/>
        </w:rPr>
        <w:t>mérité</w:t>
      </w:r>
      <w:r w:rsidR="007308DD">
        <w:rPr>
          <w:lang w:val="fr-FR"/>
        </w:rPr>
        <w:t> </w:t>
      </w:r>
      <w:r w:rsidRPr="009B4FC0">
        <w:rPr>
          <w:lang w:val="fr-FR"/>
        </w:rPr>
        <w:t>» le traitement que les forces de l</w:t>
      </w:r>
      <w:r>
        <w:rPr>
          <w:lang w:val="fr-FR"/>
        </w:rPr>
        <w:t>’</w:t>
      </w:r>
      <w:r w:rsidRPr="009B4FC0">
        <w:rPr>
          <w:lang w:val="fr-FR"/>
        </w:rPr>
        <w:t>ordre leur ont infligé</w:t>
      </w:r>
      <w:r w:rsidRPr="00293268">
        <w:rPr>
          <w:lang w:val="fr-FR"/>
        </w:rPr>
        <w:t>.</w:t>
      </w:r>
    </w:p>
    <w:p w14:paraId="53CA1C77" w14:textId="77777777" w:rsidR="00D301C6" w:rsidRPr="00293268" w:rsidRDefault="00D301C6" w:rsidP="00D301C6">
      <w:pPr>
        <w:pStyle w:val="SingleTxtG"/>
        <w:rPr>
          <w:lang w:val="fr-FR"/>
        </w:rPr>
      </w:pPr>
      <w:r w:rsidRPr="00293268">
        <w:rPr>
          <w:lang w:val="fr-FR"/>
        </w:rPr>
        <w:t>161.</w:t>
      </w:r>
      <w:r w:rsidRPr="00293268">
        <w:rPr>
          <w:lang w:val="fr-FR"/>
        </w:rPr>
        <w:tab/>
      </w:r>
      <w:r w:rsidRPr="00F93002">
        <w:rPr>
          <w:lang w:val="fr-FR"/>
        </w:rPr>
        <w:t>En France, par exemple, le Défenseur des droits a signalé</w:t>
      </w:r>
      <w:r>
        <w:rPr>
          <w:lang w:val="fr-FR"/>
        </w:rPr>
        <w:t>,</w:t>
      </w:r>
      <w:r w:rsidRPr="00F93002">
        <w:rPr>
          <w:lang w:val="fr-FR"/>
        </w:rPr>
        <w:t xml:space="preserve"> en 2016</w:t>
      </w:r>
      <w:r>
        <w:rPr>
          <w:lang w:val="fr-FR"/>
        </w:rPr>
        <w:t>,</w:t>
      </w:r>
      <w:r w:rsidRPr="00F93002">
        <w:rPr>
          <w:lang w:val="fr-FR"/>
        </w:rPr>
        <w:t xml:space="preserve"> que de nombreuses personnes d</w:t>
      </w:r>
      <w:r>
        <w:rPr>
          <w:lang w:val="fr-FR"/>
        </w:rPr>
        <w:t>’</w:t>
      </w:r>
      <w:r w:rsidRPr="00F93002">
        <w:rPr>
          <w:lang w:val="fr-FR"/>
        </w:rPr>
        <w:t>ascendance africaine ne signalent pas les violations présumées commises par les forces de l</w:t>
      </w:r>
      <w:r>
        <w:rPr>
          <w:lang w:val="fr-FR"/>
        </w:rPr>
        <w:t>’</w:t>
      </w:r>
      <w:r w:rsidRPr="00F93002">
        <w:rPr>
          <w:lang w:val="fr-FR"/>
        </w:rPr>
        <w:t>ordre, notamment parce qu</w:t>
      </w:r>
      <w:r>
        <w:rPr>
          <w:lang w:val="fr-FR"/>
        </w:rPr>
        <w:t>’</w:t>
      </w:r>
      <w:r w:rsidRPr="00F93002">
        <w:rPr>
          <w:lang w:val="fr-FR"/>
        </w:rPr>
        <w:t>elles jugent que ces plaintes sont difficiles à déposer, qu</w:t>
      </w:r>
      <w:r>
        <w:rPr>
          <w:lang w:val="fr-FR"/>
        </w:rPr>
        <w:t>’</w:t>
      </w:r>
      <w:r w:rsidRPr="00F93002">
        <w:rPr>
          <w:lang w:val="fr-FR"/>
        </w:rPr>
        <w:t>elles ne font pas confiance au système judiciaire et à la police, et que cela ne sert à rien</w:t>
      </w:r>
      <w:r w:rsidRPr="00CD6B67">
        <w:rPr>
          <w:rStyle w:val="FootnoteReference"/>
        </w:rPr>
        <w:footnoteReference w:id="426"/>
      </w:r>
      <w:r>
        <w:rPr>
          <w:lang w:val="fr-FR"/>
        </w:rPr>
        <w:t>.</w:t>
      </w:r>
      <w:r w:rsidRPr="00293268">
        <w:rPr>
          <w:lang w:val="fr-FR"/>
        </w:rPr>
        <w:t xml:space="preserve"> </w:t>
      </w:r>
      <w:r w:rsidRPr="00095A95">
        <w:rPr>
          <w:lang w:val="fr-FR"/>
        </w:rPr>
        <w:t>En Colombie, une organisation non gouvernementale a indiqué que le faible nombre de plaintes contre les violences policières est en partie dû à la peur des représailles, au manque de garanties de protection, à la méconnaissance des mécanismes de plainte et au manque de confiance dans le système judiciaire</w:t>
      </w:r>
      <w:r w:rsidRPr="00CD6B67">
        <w:rPr>
          <w:rStyle w:val="FootnoteReference"/>
        </w:rPr>
        <w:footnoteReference w:id="427"/>
      </w:r>
      <w:r>
        <w:rPr>
          <w:lang w:val="fr-FR"/>
        </w:rPr>
        <w:t>.</w:t>
      </w:r>
    </w:p>
    <w:p w14:paraId="0BB2EDE1" w14:textId="77777777" w:rsidR="00D301C6" w:rsidRPr="00293268" w:rsidRDefault="00D301C6" w:rsidP="00D301C6">
      <w:pPr>
        <w:pStyle w:val="H23G"/>
        <w:rPr>
          <w:lang w:val="fr-FR"/>
        </w:rPr>
      </w:pPr>
      <w:bookmarkStart w:id="570" w:name="_Toc74306982"/>
      <w:bookmarkStart w:id="571" w:name="_Toc74307111"/>
      <w:bookmarkStart w:id="572" w:name="_Toc74309780"/>
      <w:bookmarkStart w:id="573" w:name="_Toc74311559"/>
      <w:bookmarkStart w:id="574" w:name="_Toc74312777"/>
      <w:bookmarkStart w:id="575" w:name="_Toc74313161"/>
      <w:bookmarkStart w:id="576" w:name="_Toc74313626"/>
      <w:bookmarkStart w:id="577" w:name="_Toc74313655"/>
      <w:bookmarkStart w:id="578" w:name="_Toc74313864"/>
      <w:bookmarkStart w:id="579" w:name="_Toc74314906"/>
      <w:bookmarkStart w:id="580" w:name="_Toc74315359"/>
      <w:bookmarkStart w:id="581" w:name="_Toc74315672"/>
      <w:bookmarkStart w:id="582" w:name="_Toc74315994"/>
      <w:bookmarkStart w:id="583" w:name="_Toc74316416"/>
      <w:bookmarkStart w:id="584" w:name="_Toc74316700"/>
      <w:bookmarkStart w:id="585" w:name="_Toc74317435"/>
      <w:bookmarkStart w:id="586" w:name="_Toc74317637"/>
      <w:bookmarkStart w:id="587" w:name="_Toc74318518"/>
      <w:bookmarkStart w:id="588" w:name="_Toc74318825"/>
      <w:bookmarkStart w:id="589" w:name="_Toc74319399"/>
      <w:bookmarkStart w:id="590" w:name="_Toc74320772"/>
      <w:bookmarkStart w:id="591" w:name="_Toc74321187"/>
      <w:bookmarkStart w:id="592" w:name="_Toc74321732"/>
      <w:bookmarkStart w:id="593" w:name="_Toc74322541"/>
      <w:bookmarkStart w:id="594" w:name="_Toc74323117"/>
      <w:bookmarkStart w:id="595" w:name="_Toc74323944"/>
      <w:bookmarkStart w:id="596" w:name="_Toc74324650"/>
      <w:bookmarkStart w:id="597" w:name="_Toc74325352"/>
      <w:bookmarkStart w:id="598" w:name="_Toc74325841"/>
      <w:bookmarkStart w:id="599" w:name="_Toc74335589"/>
      <w:bookmarkStart w:id="600" w:name="_Toc74335837"/>
      <w:bookmarkStart w:id="601" w:name="_Toc74336066"/>
      <w:bookmarkStart w:id="602" w:name="_Toc74337007"/>
      <w:bookmarkStart w:id="603" w:name="_Toc74337036"/>
      <w:bookmarkStart w:id="604" w:name="_Toc74337095"/>
      <w:bookmarkStart w:id="605" w:name="_Toc74306984"/>
      <w:bookmarkStart w:id="606" w:name="_Toc74307113"/>
      <w:bookmarkStart w:id="607" w:name="_Toc74309782"/>
      <w:bookmarkStart w:id="608" w:name="_Toc74311561"/>
      <w:bookmarkStart w:id="609" w:name="_Toc74312779"/>
      <w:bookmarkStart w:id="610" w:name="_Toc74313163"/>
      <w:bookmarkStart w:id="611" w:name="_Toc74313628"/>
      <w:bookmarkStart w:id="612" w:name="_Toc74313657"/>
      <w:bookmarkStart w:id="613" w:name="_Toc74313866"/>
      <w:bookmarkStart w:id="614" w:name="_Toc74314908"/>
      <w:bookmarkStart w:id="615" w:name="_Toc74315361"/>
      <w:bookmarkStart w:id="616" w:name="_Toc74315674"/>
      <w:bookmarkStart w:id="617" w:name="_Toc74315996"/>
      <w:bookmarkStart w:id="618" w:name="_Toc74316418"/>
      <w:bookmarkStart w:id="619" w:name="_Toc74316702"/>
      <w:bookmarkStart w:id="620" w:name="_Toc74317437"/>
      <w:bookmarkStart w:id="621" w:name="_Toc74317639"/>
      <w:bookmarkStart w:id="622" w:name="_Toc74318520"/>
      <w:bookmarkStart w:id="623" w:name="_Toc74318827"/>
      <w:bookmarkStart w:id="624" w:name="_Toc74319401"/>
      <w:bookmarkStart w:id="625" w:name="_Toc74320774"/>
      <w:bookmarkStart w:id="626" w:name="_Toc74321189"/>
      <w:bookmarkStart w:id="627" w:name="_Toc74321734"/>
      <w:bookmarkStart w:id="628" w:name="_Toc74322543"/>
      <w:bookmarkStart w:id="629" w:name="_Toc74323119"/>
      <w:bookmarkStart w:id="630" w:name="_Toc74323946"/>
      <w:bookmarkStart w:id="631" w:name="_Toc74324652"/>
      <w:bookmarkStart w:id="632" w:name="_Toc74325354"/>
      <w:bookmarkStart w:id="633" w:name="_Toc74325843"/>
      <w:bookmarkStart w:id="634" w:name="_Toc74335591"/>
      <w:bookmarkStart w:id="635" w:name="_Toc74335839"/>
      <w:bookmarkStart w:id="636" w:name="_Toc74336068"/>
      <w:bookmarkStart w:id="637" w:name="_Toc74337009"/>
      <w:bookmarkStart w:id="638" w:name="_Toc74337038"/>
      <w:bookmarkStart w:id="639" w:name="_Toc74337097"/>
      <w:bookmarkStart w:id="640" w:name="_Toc74306985"/>
      <w:bookmarkStart w:id="641" w:name="_Toc74307114"/>
      <w:bookmarkStart w:id="642" w:name="_Toc74309783"/>
      <w:bookmarkStart w:id="643" w:name="_Toc74311562"/>
      <w:bookmarkStart w:id="644" w:name="_Toc74312780"/>
      <w:bookmarkStart w:id="645" w:name="_Toc74313164"/>
      <w:bookmarkStart w:id="646" w:name="_Toc74313629"/>
      <w:bookmarkStart w:id="647" w:name="_Toc74313658"/>
      <w:bookmarkStart w:id="648" w:name="_Toc74313867"/>
      <w:bookmarkStart w:id="649" w:name="_Toc74314909"/>
      <w:bookmarkStart w:id="650" w:name="_Toc74315362"/>
      <w:bookmarkStart w:id="651" w:name="_Toc74315675"/>
      <w:bookmarkStart w:id="652" w:name="_Toc74315997"/>
      <w:bookmarkStart w:id="653" w:name="_Toc74316419"/>
      <w:bookmarkStart w:id="654" w:name="_Toc74316703"/>
      <w:bookmarkStart w:id="655" w:name="_Toc74317438"/>
      <w:bookmarkStart w:id="656" w:name="_Toc74317640"/>
      <w:bookmarkStart w:id="657" w:name="_Toc74318521"/>
      <w:bookmarkStart w:id="658" w:name="_Toc74318828"/>
      <w:bookmarkStart w:id="659" w:name="_Toc74319402"/>
      <w:bookmarkStart w:id="660" w:name="_Toc74320775"/>
      <w:bookmarkStart w:id="661" w:name="_Toc74321190"/>
      <w:bookmarkStart w:id="662" w:name="_Toc74321735"/>
      <w:bookmarkStart w:id="663" w:name="_Toc74322544"/>
      <w:bookmarkStart w:id="664" w:name="_Toc74323120"/>
      <w:bookmarkStart w:id="665" w:name="_Toc74323947"/>
      <w:bookmarkStart w:id="666" w:name="_Toc74324653"/>
      <w:bookmarkStart w:id="667" w:name="_Toc74325355"/>
      <w:bookmarkStart w:id="668" w:name="_Toc74325844"/>
      <w:bookmarkStart w:id="669" w:name="_Toc74335592"/>
      <w:bookmarkStart w:id="670" w:name="_Toc74335840"/>
      <w:bookmarkStart w:id="671" w:name="_Toc74336069"/>
      <w:bookmarkStart w:id="672" w:name="_Toc74337010"/>
      <w:bookmarkStart w:id="673" w:name="_Toc74337039"/>
      <w:bookmarkStart w:id="674" w:name="_Toc74337098"/>
      <w:bookmarkStart w:id="675" w:name="_Toc74306986"/>
      <w:bookmarkStart w:id="676" w:name="_Toc74307115"/>
      <w:bookmarkStart w:id="677" w:name="_Toc74309784"/>
      <w:bookmarkStart w:id="678" w:name="_Toc74311563"/>
      <w:bookmarkStart w:id="679" w:name="_Toc74312781"/>
      <w:bookmarkStart w:id="680" w:name="_Toc74313165"/>
      <w:bookmarkStart w:id="681" w:name="_Toc74313630"/>
      <w:bookmarkStart w:id="682" w:name="_Toc74313659"/>
      <w:bookmarkStart w:id="683" w:name="_Toc74313868"/>
      <w:bookmarkStart w:id="684" w:name="_Toc74314910"/>
      <w:bookmarkStart w:id="685" w:name="_Toc74315363"/>
      <w:bookmarkStart w:id="686" w:name="_Toc74315676"/>
      <w:bookmarkStart w:id="687" w:name="_Toc74315998"/>
      <w:bookmarkStart w:id="688" w:name="_Toc74316420"/>
      <w:bookmarkStart w:id="689" w:name="_Toc74316704"/>
      <w:bookmarkStart w:id="690" w:name="_Toc74317439"/>
      <w:bookmarkStart w:id="691" w:name="_Toc74317641"/>
      <w:bookmarkStart w:id="692" w:name="_Toc74318522"/>
      <w:bookmarkStart w:id="693" w:name="_Toc74318829"/>
      <w:bookmarkStart w:id="694" w:name="_Toc74319403"/>
      <w:bookmarkStart w:id="695" w:name="_Toc74320776"/>
      <w:bookmarkStart w:id="696" w:name="_Toc74321191"/>
      <w:bookmarkStart w:id="697" w:name="_Toc74321736"/>
      <w:bookmarkStart w:id="698" w:name="_Toc74322545"/>
      <w:bookmarkStart w:id="699" w:name="_Toc74323121"/>
      <w:bookmarkStart w:id="700" w:name="_Toc74323948"/>
      <w:bookmarkStart w:id="701" w:name="_Toc74324654"/>
      <w:bookmarkStart w:id="702" w:name="_Toc74325356"/>
      <w:bookmarkStart w:id="703" w:name="_Toc74325845"/>
      <w:bookmarkStart w:id="704" w:name="_Toc74335593"/>
      <w:bookmarkStart w:id="705" w:name="_Toc74335841"/>
      <w:bookmarkStart w:id="706" w:name="_Toc74336070"/>
      <w:bookmarkStart w:id="707" w:name="_Toc74337011"/>
      <w:bookmarkStart w:id="708" w:name="_Toc74337040"/>
      <w:bookmarkStart w:id="709" w:name="_Toc74337099"/>
      <w:bookmarkStart w:id="710" w:name="_Toc74254818"/>
      <w:bookmarkStart w:id="711" w:name="_Toc74303376"/>
      <w:bookmarkStart w:id="712" w:name="_Toc74305501"/>
      <w:bookmarkStart w:id="713" w:name="_Toc74337101"/>
      <w:bookmarkStart w:id="714" w:name="_Toc74340217"/>
      <w:bookmarkStart w:id="715" w:name="_Toc74344113"/>
      <w:bookmarkStart w:id="716" w:name="_Toc74562586"/>
      <w:bookmarkStart w:id="717" w:name="_Toc74657694"/>
      <w:bookmarkStart w:id="718" w:name="_Toc74661220"/>
      <w:bookmarkStart w:id="719" w:name="_Toc74666515"/>
      <w:bookmarkStart w:id="720" w:name="_Toc74671436"/>
      <w:bookmarkStart w:id="721" w:name="_Toc74867351"/>
      <w:bookmarkStart w:id="722" w:name="_Toc74919104"/>
      <w:bookmarkStart w:id="723" w:name="_Toc74919759"/>
      <w:bookmarkStart w:id="724" w:name="_Toc74925794"/>
      <w:bookmarkStart w:id="725" w:name="_Toc74927643"/>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293268">
        <w:rPr>
          <w:lang w:val="fr-FR"/>
        </w:rPr>
        <w:tab/>
      </w:r>
      <w:r w:rsidRPr="0024727D">
        <w:rPr>
          <w:lang w:val="fr-FR"/>
        </w:rPr>
        <w:t>5.</w:t>
      </w:r>
      <w:r w:rsidRPr="0024727D">
        <w:rPr>
          <w:lang w:val="fr-FR"/>
        </w:rPr>
        <w:tab/>
        <w:t>Tirer les leçons du passé, en particulier en appliquant les recommandations existantes</w:t>
      </w:r>
      <w:r w:rsidRPr="00CC6B20">
        <w:rPr>
          <w:lang w:val="fr-FR"/>
        </w:rPr>
        <w:t xml:space="preserve"> </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6A5C92BF" w14:textId="77777777" w:rsidR="00D301C6" w:rsidRPr="00293268" w:rsidRDefault="00D301C6" w:rsidP="00D301C6">
      <w:pPr>
        <w:pStyle w:val="SingleTxtG"/>
        <w:rPr>
          <w:lang w:val="fr-FR"/>
        </w:rPr>
      </w:pPr>
      <w:r w:rsidRPr="00293268">
        <w:rPr>
          <w:lang w:val="fr-FR"/>
        </w:rPr>
        <w:t>162.</w:t>
      </w:r>
      <w:r w:rsidRPr="00293268">
        <w:rPr>
          <w:lang w:val="fr-FR"/>
        </w:rPr>
        <w:tab/>
      </w:r>
      <w:r w:rsidRPr="001B4239">
        <w:rPr>
          <w:lang w:val="fr-FR"/>
        </w:rPr>
        <w:t xml:space="preserve">Comme </w:t>
      </w:r>
      <w:r>
        <w:rPr>
          <w:lang w:val="fr-FR"/>
        </w:rPr>
        <w:t>indiqué</w:t>
      </w:r>
      <w:r w:rsidRPr="001B4239">
        <w:rPr>
          <w:lang w:val="fr-FR"/>
        </w:rPr>
        <w:t xml:space="preserve"> plus haut, les mécanismes des droits de l</w:t>
      </w:r>
      <w:r>
        <w:rPr>
          <w:lang w:val="fr-FR"/>
        </w:rPr>
        <w:t>’</w:t>
      </w:r>
      <w:r w:rsidRPr="001B4239">
        <w:rPr>
          <w:lang w:val="fr-FR"/>
        </w:rPr>
        <w:t>homme de l</w:t>
      </w:r>
      <w:r>
        <w:rPr>
          <w:lang w:val="fr-FR"/>
        </w:rPr>
        <w:t>’</w:t>
      </w:r>
      <w:r w:rsidRPr="001B4239">
        <w:rPr>
          <w:lang w:val="fr-FR"/>
        </w:rPr>
        <w:t xml:space="preserve">ONU et </w:t>
      </w:r>
      <w:r>
        <w:rPr>
          <w:lang w:val="fr-FR"/>
        </w:rPr>
        <w:t xml:space="preserve">leurs homologues </w:t>
      </w:r>
      <w:r w:rsidRPr="001B4239">
        <w:rPr>
          <w:lang w:val="fr-FR"/>
        </w:rPr>
        <w:t xml:space="preserve">régionaux ont </w:t>
      </w:r>
      <w:r>
        <w:rPr>
          <w:lang w:val="fr-FR"/>
        </w:rPr>
        <w:t>formulé</w:t>
      </w:r>
      <w:r w:rsidRPr="001B4239">
        <w:rPr>
          <w:lang w:val="fr-FR"/>
        </w:rPr>
        <w:t xml:space="preserve"> d</w:t>
      </w:r>
      <w:r>
        <w:rPr>
          <w:lang w:val="fr-FR"/>
        </w:rPr>
        <w:t>’</w:t>
      </w:r>
      <w:r w:rsidRPr="001B4239">
        <w:rPr>
          <w:lang w:val="fr-FR"/>
        </w:rPr>
        <w:t>importantes recommandations aux États pour qu</w:t>
      </w:r>
      <w:r>
        <w:rPr>
          <w:lang w:val="fr-FR"/>
        </w:rPr>
        <w:t>’</w:t>
      </w:r>
      <w:r w:rsidRPr="001B4239">
        <w:rPr>
          <w:lang w:val="fr-FR"/>
        </w:rPr>
        <w:t>ils renforcent l</w:t>
      </w:r>
      <w:r>
        <w:rPr>
          <w:lang w:val="fr-FR"/>
        </w:rPr>
        <w:t>’</w:t>
      </w:r>
      <w:r w:rsidRPr="001B4239">
        <w:rPr>
          <w:lang w:val="fr-FR"/>
        </w:rPr>
        <w:t>application du principe de responsabilité en cas de violations des droits de l</w:t>
      </w:r>
      <w:r>
        <w:rPr>
          <w:lang w:val="fr-FR"/>
        </w:rPr>
        <w:t>’</w:t>
      </w:r>
      <w:r w:rsidRPr="001B4239">
        <w:rPr>
          <w:lang w:val="fr-FR"/>
        </w:rPr>
        <w:t>homme commises à l</w:t>
      </w:r>
      <w:r>
        <w:rPr>
          <w:lang w:val="fr-FR"/>
        </w:rPr>
        <w:t>’</w:t>
      </w:r>
      <w:r w:rsidRPr="001B4239">
        <w:rPr>
          <w:lang w:val="fr-FR"/>
        </w:rPr>
        <w:t>encontre de personnes d</w:t>
      </w:r>
      <w:r>
        <w:rPr>
          <w:lang w:val="fr-FR"/>
        </w:rPr>
        <w:t>’</w:t>
      </w:r>
      <w:r w:rsidRPr="001B4239">
        <w:rPr>
          <w:lang w:val="fr-FR"/>
        </w:rPr>
        <w:t>ascendance africaine, en particulier</w:t>
      </w:r>
      <w:r>
        <w:rPr>
          <w:lang w:val="fr-FR"/>
        </w:rPr>
        <w:t xml:space="preserve"> dans les cas de</w:t>
      </w:r>
      <w:r w:rsidRPr="001B4239">
        <w:rPr>
          <w:lang w:val="fr-FR"/>
        </w:rPr>
        <w:t xml:space="preserve"> </w:t>
      </w:r>
      <w:r w:rsidRPr="000138A1">
        <w:rPr>
          <w:lang w:val="fr-FR"/>
        </w:rPr>
        <w:t>recours abusif à la force</w:t>
      </w:r>
      <w:r w:rsidRPr="001B4239">
        <w:rPr>
          <w:lang w:val="fr-FR"/>
        </w:rPr>
        <w:t xml:space="preserve">. En outre, </w:t>
      </w:r>
      <w:r>
        <w:rPr>
          <w:lang w:val="fr-FR"/>
        </w:rPr>
        <w:t xml:space="preserve">bien que </w:t>
      </w:r>
      <w:r w:rsidRPr="001B4239">
        <w:rPr>
          <w:lang w:val="fr-FR"/>
        </w:rPr>
        <w:t xml:space="preserve">certains États </w:t>
      </w:r>
      <w:r>
        <w:rPr>
          <w:lang w:val="fr-FR"/>
        </w:rPr>
        <w:t>aie</w:t>
      </w:r>
      <w:r w:rsidRPr="001B4239">
        <w:rPr>
          <w:lang w:val="fr-FR"/>
        </w:rPr>
        <w:t>nt entrepris des enquêtes</w:t>
      </w:r>
      <w:r>
        <w:rPr>
          <w:lang w:val="fr-FR"/>
        </w:rPr>
        <w:t xml:space="preserve"> et examens approfondis</w:t>
      </w:r>
      <w:r w:rsidRPr="001B4239">
        <w:rPr>
          <w:lang w:val="fr-FR"/>
        </w:rPr>
        <w:t xml:space="preserve"> sur les institutions chargées de l</w:t>
      </w:r>
      <w:r>
        <w:rPr>
          <w:lang w:val="fr-FR"/>
        </w:rPr>
        <w:t>’</w:t>
      </w:r>
      <w:r w:rsidRPr="001B4239">
        <w:rPr>
          <w:lang w:val="fr-FR"/>
        </w:rPr>
        <w:t>application de la loi et sur leurs politiques, procédures et pratiques</w:t>
      </w:r>
      <w:r>
        <w:rPr>
          <w:lang w:val="fr-FR"/>
        </w:rPr>
        <w:t xml:space="preserve">, </w:t>
      </w:r>
      <w:r w:rsidRPr="001B4239">
        <w:rPr>
          <w:lang w:val="fr-FR"/>
        </w:rPr>
        <w:t>qui ont débouché sur des recommandations claires de changement</w:t>
      </w:r>
      <w:r>
        <w:rPr>
          <w:lang w:val="fr-FR"/>
        </w:rPr>
        <w:t>,</w:t>
      </w:r>
      <w:r w:rsidRPr="001B4239">
        <w:rPr>
          <w:lang w:val="fr-FR"/>
        </w:rPr>
        <w:t xml:space="preserve"> nombre d</w:t>
      </w:r>
      <w:r>
        <w:rPr>
          <w:lang w:val="fr-FR"/>
        </w:rPr>
        <w:t>’</w:t>
      </w:r>
      <w:r w:rsidRPr="001B4239">
        <w:rPr>
          <w:lang w:val="fr-FR"/>
        </w:rPr>
        <w:t>entre elles sont restées sans effet</w:t>
      </w:r>
      <w:r w:rsidRPr="00293268">
        <w:rPr>
          <w:lang w:val="fr-FR"/>
        </w:rPr>
        <w:t>.</w:t>
      </w:r>
    </w:p>
    <w:p w14:paraId="7C76AA8F" w14:textId="5244796E" w:rsidR="00D301C6" w:rsidRPr="00293268" w:rsidRDefault="00D301C6" w:rsidP="00D301C6">
      <w:pPr>
        <w:pStyle w:val="SingleTxtG"/>
        <w:rPr>
          <w:lang w:val="fr-FR"/>
        </w:rPr>
      </w:pPr>
      <w:r w:rsidRPr="00293268">
        <w:rPr>
          <w:lang w:val="fr-FR"/>
        </w:rPr>
        <w:t>163.</w:t>
      </w:r>
      <w:r w:rsidRPr="00293268">
        <w:rPr>
          <w:lang w:val="fr-FR"/>
        </w:rPr>
        <w:tab/>
      </w:r>
      <w:r w:rsidRPr="006C0E0B">
        <w:rPr>
          <w:lang w:val="fr-FR"/>
        </w:rPr>
        <w:t>Aux États-Unis, d</w:t>
      </w:r>
      <w:r>
        <w:rPr>
          <w:lang w:val="fr-FR"/>
        </w:rPr>
        <w:t>’</w:t>
      </w:r>
      <w:r w:rsidRPr="006C0E0B">
        <w:rPr>
          <w:lang w:val="fr-FR"/>
        </w:rPr>
        <w:t xml:space="preserve">importantes initiatives ont été </w:t>
      </w:r>
      <w:r>
        <w:rPr>
          <w:lang w:val="fr-FR"/>
        </w:rPr>
        <w:t>engagées</w:t>
      </w:r>
      <w:r w:rsidRPr="006C0E0B">
        <w:rPr>
          <w:lang w:val="fr-FR"/>
        </w:rPr>
        <w:t xml:space="preserve">, encore que leurs effets soient limités. Par exemple, le rapport final du </w:t>
      </w:r>
      <w:r>
        <w:rPr>
          <w:lang w:val="fr-FR"/>
        </w:rPr>
        <w:t>G</w:t>
      </w:r>
      <w:r w:rsidRPr="006C0E0B">
        <w:rPr>
          <w:lang w:val="fr-FR"/>
        </w:rPr>
        <w:t>roupe de travail sur la police du XXI</w:t>
      </w:r>
      <w:r w:rsidRPr="0091281F">
        <w:rPr>
          <w:vertAlign w:val="superscript"/>
          <w:lang w:val="fr-FR"/>
        </w:rPr>
        <w:t>e</w:t>
      </w:r>
      <w:r w:rsidR="002F4078">
        <w:rPr>
          <w:lang w:val="fr-FR"/>
        </w:rPr>
        <w:t> </w:t>
      </w:r>
      <w:r w:rsidRPr="006C0E0B">
        <w:rPr>
          <w:lang w:val="fr-FR"/>
        </w:rPr>
        <w:t>siècle</w:t>
      </w:r>
      <w:r w:rsidRPr="00813782">
        <w:rPr>
          <w:lang w:val="fr-FR"/>
        </w:rPr>
        <w:t xml:space="preserve"> </w:t>
      </w:r>
      <w:r w:rsidRPr="0091281F">
        <w:rPr>
          <w:lang w:val="fr-FR"/>
        </w:rPr>
        <w:t>de l</w:t>
      </w:r>
      <w:r>
        <w:rPr>
          <w:lang w:val="fr-FR"/>
        </w:rPr>
        <w:t>’</w:t>
      </w:r>
      <w:r w:rsidRPr="0091281F">
        <w:rPr>
          <w:lang w:val="fr-FR"/>
        </w:rPr>
        <w:t xml:space="preserve">ancien </w:t>
      </w:r>
      <w:r>
        <w:rPr>
          <w:lang w:val="fr-FR"/>
        </w:rPr>
        <w:t>P</w:t>
      </w:r>
      <w:r w:rsidRPr="0091281F">
        <w:rPr>
          <w:lang w:val="fr-FR"/>
        </w:rPr>
        <w:t>résident Obama</w:t>
      </w:r>
      <w:r w:rsidRPr="006C0E0B">
        <w:rPr>
          <w:lang w:val="fr-FR"/>
        </w:rPr>
        <w:t>, publié en 2015, comprenait 59 recommandations relatives à l</w:t>
      </w:r>
      <w:r>
        <w:rPr>
          <w:lang w:val="fr-FR"/>
        </w:rPr>
        <w:t>’</w:t>
      </w:r>
      <w:r w:rsidRPr="006C0E0B">
        <w:rPr>
          <w:lang w:val="fr-FR"/>
        </w:rPr>
        <w:t>instauration de la confiance et de la légitimité, aux politiques et à la surveillance, à la police de proximité et à la réduction de la criminalité, à l</w:t>
      </w:r>
      <w:r>
        <w:rPr>
          <w:lang w:val="fr-FR"/>
        </w:rPr>
        <w:t>’</w:t>
      </w:r>
      <w:r w:rsidRPr="006C0E0B">
        <w:rPr>
          <w:lang w:val="fr-FR"/>
        </w:rPr>
        <w:t xml:space="preserve">interdiction du profilage racial, aux politiques relatives </w:t>
      </w:r>
      <w:r>
        <w:rPr>
          <w:lang w:val="fr-FR"/>
        </w:rPr>
        <w:t>au recours à</w:t>
      </w:r>
      <w:r w:rsidRPr="006C0E0B">
        <w:rPr>
          <w:lang w:val="fr-FR"/>
        </w:rPr>
        <w:t xml:space="preserve"> la force, à l</w:t>
      </w:r>
      <w:r>
        <w:rPr>
          <w:lang w:val="fr-FR"/>
        </w:rPr>
        <w:t>’</w:t>
      </w:r>
      <w:r w:rsidRPr="006C0E0B">
        <w:rPr>
          <w:lang w:val="fr-FR"/>
        </w:rPr>
        <w:t xml:space="preserve">indépendance des enquêtes sur les </w:t>
      </w:r>
      <w:r>
        <w:rPr>
          <w:lang w:val="fr-FR"/>
        </w:rPr>
        <w:t>décès imputables à</w:t>
      </w:r>
      <w:r w:rsidRPr="006C0E0B">
        <w:rPr>
          <w:lang w:val="fr-FR"/>
        </w:rPr>
        <w:t xml:space="preserve"> des policiers, à la collecte de données, à la surveillance civile des forces de l</w:t>
      </w:r>
      <w:r>
        <w:rPr>
          <w:lang w:val="fr-FR"/>
        </w:rPr>
        <w:t>’</w:t>
      </w:r>
      <w:r w:rsidRPr="006C0E0B">
        <w:rPr>
          <w:lang w:val="fr-FR"/>
        </w:rPr>
        <w:t>ordre et à la diversité dans les rangs de la police</w:t>
      </w:r>
      <w:r w:rsidRPr="00CD6B67">
        <w:rPr>
          <w:rStyle w:val="FootnoteReference"/>
        </w:rPr>
        <w:footnoteReference w:id="428"/>
      </w:r>
      <w:r>
        <w:rPr>
          <w:lang w:val="fr-FR"/>
        </w:rPr>
        <w:t>.</w:t>
      </w:r>
      <w:r w:rsidRPr="00293268">
        <w:rPr>
          <w:lang w:val="fr-FR"/>
        </w:rPr>
        <w:t xml:space="preserve"> </w:t>
      </w:r>
      <w:r w:rsidRPr="00986810">
        <w:rPr>
          <w:lang w:val="fr-FR"/>
        </w:rPr>
        <w:t>Dans un pays qui compte plus de 18</w:t>
      </w:r>
      <w:r w:rsidR="0083212B">
        <w:rPr>
          <w:lang w:val="fr-FR"/>
        </w:rPr>
        <w:t> </w:t>
      </w:r>
      <w:r w:rsidRPr="00986810">
        <w:rPr>
          <w:lang w:val="fr-FR"/>
        </w:rPr>
        <w:t>000</w:t>
      </w:r>
      <w:r w:rsidR="0083212B">
        <w:rPr>
          <w:lang w:val="fr-FR"/>
        </w:rPr>
        <w:t> </w:t>
      </w:r>
      <w:r w:rsidRPr="00986810">
        <w:rPr>
          <w:lang w:val="fr-FR"/>
        </w:rPr>
        <w:t xml:space="preserve">instances différentes chargées </w:t>
      </w:r>
      <w:r>
        <w:rPr>
          <w:lang w:val="fr-FR"/>
        </w:rPr>
        <w:t>du maintien de l’ordre et même</w:t>
      </w:r>
      <w:r w:rsidRPr="00986810">
        <w:rPr>
          <w:lang w:val="fr-FR"/>
        </w:rPr>
        <w:t xml:space="preserve"> si plusieurs mesures ont été prises au niveau local</w:t>
      </w:r>
      <w:r w:rsidRPr="00CD6B67">
        <w:rPr>
          <w:rStyle w:val="FootnoteReference"/>
        </w:rPr>
        <w:footnoteReference w:id="429"/>
      </w:r>
      <w:r>
        <w:rPr>
          <w:lang w:val="fr-FR"/>
        </w:rPr>
        <w:t>,</w:t>
      </w:r>
      <w:r w:rsidRPr="00293268">
        <w:rPr>
          <w:lang w:val="fr-FR"/>
        </w:rPr>
        <w:t xml:space="preserve"> </w:t>
      </w:r>
      <w:r w:rsidRPr="00E21F84">
        <w:rPr>
          <w:lang w:val="fr-FR"/>
        </w:rPr>
        <w:t>la création d</w:t>
      </w:r>
      <w:r>
        <w:rPr>
          <w:lang w:val="fr-FR"/>
        </w:rPr>
        <w:t>’</w:t>
      </w:r>
      <w:r w:rsidRPr="00E21F84">
        <w:rPr>
          <w:lang w:val="fr-FR"/>
        </w:rPr>
        <w:t>un groupe de travail national sur la criminalité et la justice chargé d</w:t>
      </w:r>
      <w:r>
        <w:rPr>
          <w:lang w:val="fr-FR"/>
        </w:rPr>
        <w:t>’</w:t>
      </w:r>
      <w:r w:rsidRPr="00E21F84">
        <w:rPr>
          <w:lang w:val="fr-FR"/>
        </w:rPr>
        <w:t>examiner et d</w:t>
      </w:r>
      <w:r>
        <w:rPr>
          <w:lang w:val="fr-FR"/>
        </w:rPr>
        <w:t>’</w:t>
      </w:r>
      <w:r w:rsidRPr="00E21F84">
        <w:rPr>
          <w:lang w:val="fr-FR"/>
        </w:rPr>
        <w:t xml:space="preserve">évaluer toutes les composantes du système de justice pénale afin de formuler des recommandations sur </w:t>
      </w:r>
      <w:r>
        <w:rPr>
          <w:lang w:val="fr-FR"/>
        </w:rPr>
        <w:t xml:space="preserve">sa </w:t>
      </w:r>
      <w:r w:rsidRPr="00E21F84">
        <w:rPr>
          <w:lang w:val="fr-FR"/>
        </w:rPr>
        <w:t xml:space="preserve">réforme a constitué une étape importante. </w:t>
      </w:r>
      <w:r>
        <w:rPr>
          <w:lang w:val="fr-FR"/>
        </w:rPr>
        <w:t>La création de ce</w:t>
      </w:r>
      <w:r w:rsidRPr="00E21F84">
        <w:rPr>
          <w:lang w:val="fr-FR"/>
        </w:rPr>
        <w:t xml:space="preserve"> groupe de travail a été complété</w:t>
      </w:r>
      <w:r>
        <w:rPr>
          <w:lang w:val="fr-FR"/>
        </w:rPr>
        <w:t>e</w:t>
      </w:r>
      <w:r w:rsidRPr="00E21F84">
        <w:rPr>
          <w:lang w:val="fr-FR"/>
        </w:rPr>
        <w:t xml:space="preserve"> par une recommandation </w:t>
      </w:r>
      <w:r w:rsidRPr="00EB774A">
        <w:rPr>
          <w:lang w:val="fr-FR"/>
        </w:rPr>
        <w:t>visant à promouvoir des programmes qui examinent de manière inclusive et détaillée les initiatives locales visant à traiter les questions essentielles de pauvreté, d’éducation, de santé et de sécurité</w:t>
      </w:r>
      <w:r w:rsidRPr="00293268">
        <w:rPr>
          <w:lang w:val="fr-FR"/>
        </w:rPr>
        <w:t>.</w:t>
      </w:r>
    </w:p>
    <w:p w14:paraId="6F7A35D8" w14:textId="58B67904" w:rsidR="00D301C6" w:rsidRPr="00293268" w:rsidRDefault="00D301C6" w:rsidP="005C65E7">
      <w:pPr>
        <w:pStyle w:val="SingleTxtG"/>
        <w:spacing w:after="100"/>
        <w:rPr>
          <w:lang w:val="fr-FR"/>
        </w:rPr>
      </w:pPr>
      <w:r w:rsidRPr="00293268">
        <w:rPr>
          <w:lang w:val="fr-FR"/>
        </w:rPr>
        <w:t>164.</w:t>
      </w:r>
      <w:r w:rsidRPr="00293268">
        <w:rPr>
          <w:lang w:val="fr-FR"/>
        </w:rPr>
        <w:tab/>
      </w:r>
      <w:r w:rsidRPr="0068085D">
        <w:rPr>
          <w:lang w:val="fr-FR"/>
        </w:rPr>
        <w:t xml:space="preserve">En outre, les enquêtes que le Ministère de la justice des États-Unis a </w:t>
      </w:r>
      <w:r>
        <w:rPr>
          <w:lang w:val="fr-FR"/>
        </w:rPr>
        <w:t>diligent</w:t>
      </w:r>
      <w:r w:rsidRPr="0068085D">
        <w:rPr>
          <w:lang w:val="fr-FR"/>
        </w:rPr>
        <w:t xml:space="preserve">ées sur les méthodes et les pratiques de la police ont permis de faire </w:t>
      </w:r>
      <w:r>
        <w:rPr>
          <w:lang w:val="fr-FR"/>
        </w:rPr>
        <w:t>d’importantes</w:t>
      </w:r>
      <w:r w:rsidRPr="0068085D">
        <w:rPr>
          <w:lang w:val="fr-FR"/>
        </w:rPr>
        <w:t xml:space="preserve"> découvertes. Ainsi, l</w:t>
      </w:r>
      <w:r>
        <w:rPr>
          <w:lang w:val="fr-FR"/>
        </w:rPr>
        <w:t>’</w:t>
      </w:r>
      <w:r w:rsidRPr="0068085D">
        <w:rPr>
          <w:lang w:val="fr-FR"/>
        </w:rPr>
        <w:t>enquête menée sur le service de police de Ferguson, dans le Missouri, après l</w:t>
      </w:r>
      <w:r>
        <w:rPr>
          <w:lang w:val="fr-FR"/>
        </w:rPr>
        <w:t>a</w:t>
      </w:r>
      <w:r w:rsidRPr="0068085D">
        <w:rPr>
          <w:lang w:val="fr-FR"/>
        </w:rPr>
        <w:t xml:space="preserve"> </w:t>
      </w:r>
      <w:r>
        <w:rPr>
          <w:lang w:val="fr-FR"/>
        </w:rPr>
        <w:t>mort</w:t>
      </w:r>
      <w:r w:rsidRPr="0068085D">
        <w:rPr>
          <w:lang w:val="fr-FR"/>
        </w:rPr>
        <w:t xml:space="preserve"> de Michael Brown </w:t>
      </w:r>
      <w:r>
        <w:rPr>
          <w:lang w:val="fr-FR"/>
        </w:rPr>
        <w:t>sous les coups</w:t>
      </w:r>
      <w:r w:rsidRPr="0068085D">
        <w:rPr>
          <w:lang w:val="fr-FR"/>
        </w:rPr>
        <w:t xml:space="preserve"> de la police en 2014, a révélé des </w:t>
      </w:r>
      <w:r>
        <w:rPr>
          <w:lang w:val="fr-FR"/>
        </w:rPr>
        <w:t xml:space="preserve">pratiques et </w:t>
      </w:r>
      <w:r w:rsidRPr="0068085D">
        <w:rPr>
          <w:lang w:val="fr-FR"/>
        </w:rPr>
        <w:t>des comportements non conformes à la déontologie</w:t>
      </w:r>
      <w:r>
        <w:rPr>
          <w:lang w:val="fr-FR"/>
        </w:rPr>
        <w:t xml:space="preserve"> policière</w:t>
      </w:r>
      <w:r w:rsidRPr="0068085D">
        <w:rPr>
          <w:lang w:val="fr-FR"/>
        </w:rPr>
        <w:t xml:space="preserve">, </w:t>
      </w:r>
      <w:r>
        <w:rPr>
          <w:lang w:val="fr-FR"/>
        </w:rPr>
        <w:t>permis de définir</w:t>
      </w:r>
      <w:r w:rsidRPr="0068085D">
        <w:rPr>
          <w:lang w:val="fr-FR"/>
        </w:rPr>
        <w:t xml:space="preserve"> les changements nécessaires pour une réforme </w:t>
      </w:r>
      <w:r>
        <w:rPr>
          <w:lang w:val="fr-FR"/>
        </w:rPr>
        <w:t xml:space="preserve">approfondie </w:t>
      </w:r>
      <w:r w:rsidRPr="0068085D">
        <w:rPr>
          <w:lang w:val="fr-FR"/>
        </w:rPr>
        <w:t xml:space="preserve">et durable et </w:t>
      </w:r>
      <w:r>
        <w:rPr>
          <w:lang w:val="fr-FR"/>
        </w:rPr>
        <w:t>de recommander</w:t>
      </w:r>
      <w:r w:rsidRPr="0068085D">
        <w:rPr>
          <w:lang w:val="fr-FR"/>
        </w:rPr>
        <w:t xml:space="preserve"> une réorientation du maintien de l</w:t>
      </w:r>
      <w:r>
        <w:rPr>
          <w:lang w:val="fr-FR"/>
        </w:rPr>
        <w:t>’</w:t>
      </w:r>
      <w:r w:rsidRPr="0068085D">
        <w:rPr>
          <w:lang w:val="fr-FR"/>
        </w:rPr>
        <w:t>ordre au moyen d</w:t>
      </w:r>
      <w:r>
        <w:rPr>
          <w:lang w:val="fr-FR"/>
        </w:rPr>
        <w:t>’</w:t>
      </w:r>
      <w:r w:rsidRPr="0068085D">
        <w:rPr>
          <w:lang w:val="fr-FR"/>
        </w:rPr>
        <w:t>un système fondé sur les principes de la police de proximité et de légitimité de la police</w:t>
      </w:r>
      <w:r w:rsidRPr="00CD6B67">
        <w:rPr>
          <w:rStyle w:val="FootnoteReference"/>
        </w:rPr>
        <w:footnoteReference w:id="430"/>
      </w:r>
      <w:r>
        <w:rPr>
          <w:lang w:val="fr-FR"/>
        </w:rPr>
        <w:t>.</w:t>
      </w:r>
      <w:r w:rsidRPr="00293268">
        <w:rPr>
          <w:lang w:val="fr-FR"/>
        </w:rPr>
        <w:t xml:space="preserve"> </w:t>
      </w:r>
      <w:r w:rsidRPr="00B430E8">
        <w:rPr>
          <w:lang w:val="fr-FR"/>
        </w:rPr>
        <w:t>Toujours en 2014, le Ministère de la justice a publié des directives interdisant aux forces de l</w:t>
      </w:r>
      <w:r>
        <w:rPr>
          <w:lang w:val="fr-FR"/>
        </w:rPr>
        <w:t>’</w:t>
      </w:r>
      <w:r w:rsidRPr="00B430E8">
        <w:rPr>
          <w:lang w:val="fr-FR"/>
        </w:rPr>
        <w:t>ordre fédérales de recourir au profilage racial</w:t>
      </w:r>
      <w:r w:rsidRPr="00CD6B67">
        <w:rPr>
          <w:rStyle w:val="FootnoteReference"/>
        </w:rPr>
        <w:footnoteReference w:id="431"/>
      </w:r>
      <w:r>
        <w:rPr>
          <w:lang w:val="fr-FR"/>
        </w:rPr>
        <w:t>.</w:t>
      </w:r>
      <w:r w:rsidRPr="00293268">
        <w:rPr>
          <w:lang w:val="fr-FR"/>
        </w:rPr>
        <w:t xml:space="preserve"> </w:t>
      </w:r>
      <w:r w:rsidRPr="007F46C4">
        <w:rPr>
          <w:lang w:val="fr-FR"/>
        </w:rPr>
        <w:t>Au</w:t>
      </w:r>
      <w:r w:rsidR="0028020D">
        <w:rPr>
          <w:lang w:val="fr-FR"/>
        </w:rPr>
        <w:t> </w:t>
      </w:r>
      <w:r w:rsidRPr="007F46C4">
        <w:rPr>
          <w:lang w:val="fr-FR"/>
        </w:rPr>
        <w:t>Royaume-Uni, une série d</w:t>
      </w:r>
      <w:r>
        <w:rPr>
          <w:lang w:val="fr-FR"/>
        </w:rPr>
        <w:t>’</w:t>
      </w:r>
      <w:r w:rsidRPr="007F46C4">
        <w:rPr>
          <w:lang w:val="fr-FR"/>
        </w:rPr>
        <w:t xml:space="preserve">enquêtes et de rapports ont donné lieu </w:t>
      </w:r>
      <w:r>
        <w:rPr>
          <w:lang w:val="fr-FR"/>
        </w:rPr>
        <w:t>à</w:t>
      </w:r>
      <w:r w:rsidRPr="007F46C4">
        <w:rPr>
          <w:lang w:val="fr-FR"/>
        </w:rPr>
        <w:t xml:space="preserve"> l</w:t>
      </w:r>
      <w:r>
        <w:rPr>
          <w:lang w:val="fr-FR"/>
        </w:rPr>
        <w:t>’</w:t>
      </w:r>
      <w:r w:rsidRPr="007F46C4">
        <w:rPr>
          <w:lang w:val="fr-FR"/>
        </w:rPr>
        <w:t>élaboration de recommandations détaillées pour lutter contre le racisme institutionnel au sein des forces de l</w:t>
      </w:r>
      <w:r>
        <w:rPr>
          <w:lang w:val="fr-FR"/>
        </w:rPr>
        <w:t>’</w:t>
      </w:r>
      <w:r w:rsidRPr="007F46C4">
        <w:rPr>
          <w:lang w:val="fr-FR"/>
        </w:rPr>
        <w:t>ordre et du système de justice pénale</w:t>
      </w:r>
      <w:r w:rsidRPr="00CD6B67">
        <w:rPr>
          <w:rStyle w:val="FootnoteReference"/>
        </w:rPr>
        <w:footnoteReference w:id="432"/>
      </w:r>
      <w:r>
        <w:rPr>
          <w:lang w:val="fr-FR"/>
        </w:rPr>
        <w:t>.</w:t>
      </w:r>
      <w:r w:rsidRPr="00293268">
        <w:rPr>
          <w:lang w:val="fr-FR"/>
        </w:rPr>
        <w:t xml:space="preserve"> </w:t>
      </w:r>
      <w:r w:rsidRPr="00A858B4">
        <w:rPr>
          <w:lang w:val="fr-FR"/>
        </w:rPr>
        <w:t>Un rapport de 2020 de la Commission mixte du Parlement britannique sur les droits de l</w:t>
      </w:r>
      <w:r>
        <w:rPr>
          <w:lang w:val="fr-FR"/>
        </w:rPr>
        <w:t>’</w:t>
      </w:r>
      <w:r w:rsidRPr="00A858B4">
        <w:rPr>
          <w:lang w:val="fr-FR"/>
        </w:rPr>
        <w:t>homme a conclu qu</w:t>
      </w:r>
      <w:r>
        <w:rPr>
          <w:lang w:val="fr-FR"/>
        </w:rPr>
        <w:t>’</w:t>
      </w:r>
      <w:r w:rsidRPr="00A858B4">
        <w:rPr>
          <w:lang w:val="fr-FR"/>
        </w:rPr>
        <w:t xml:space="preserve">au cours des dernières années, ces enquêtes </w:t>
      </w:r>
      <w:r>
        <w:rPr>
          <w:lang w:val="fr-FR"/>
        </w:rPr>
        <w:t>« [</w:t>
      </w:r>
      <w:r w:rsidRPr="00A858B4">
        <w:rPr>
          <w:lang w:val="fr-FR"/>
        </w:rPr>
        <w:t>avaient</w:t>
      </w:r>
      <w:r>
        <w:rPr>
          <w:lang w:val="fr-FR"/>
        </w:rPr>
        <w:t>]</w:t>
      </w:r>
      <w:r w:rsidRPr="00A858B4">
        <w:rPr>
          <w:lang w:val="fr-FR"/>
        </w:rPr>
        <w:t xml:space="preserve"> permis de constater des inégalités raciales structurelles dans les institutions et les procédures de l</w:t>
      </w:r>
      <w:r>
        <w:rPr>
          <w:lang w:val="fr-FR"/>
        </w:rPr>
        <w:t>’</w:t>
      </w:r>
      <w:r w:rsidRPr="00A858B4">
        <w:rPr>
          <w:lang w:val="fr-FR"/>
        </w:rPr>
        <w:t>État</w:t>
      </w:r>
      <w:r w:rsidR="0028020D">
        <w:rPr>
          <w:lang w:val="fr-FR"/>
        </w:rPr>
        <w:t> </w:t>
      </w:r>
      <w:r>
        <w:rPr>
          <w:lang w:val="fr-FR"/>
        </w:rPr>
        <w:t>»</w:t>
      </w:r>
      <w:r w:rsidRPr="00A858B4">
        <w:rPr>
          <w:lang w:val="fr-FR"/>
        </w:rPr>
        <w:t xml:space="preserve">, mais que </w:t>
      </w:r>
      <w:r>
        <w:rPr>
          <w:lang w:val="fr-FR"/>
        </w:rPr>
        <w:t>«</w:t>
      </w:r>
      <w:r w:rsidR="0028020D">
        <w:rPr>
          <w:lang w:val="fr-FR"/>
        </w:rPr>
        <w:t> </w:t>
      </w:r>
      <w:r w:rsidRPr="00A858B4">
        <w:rPr>
          <w:lang w:val="fr-FR"/>
        </w:rPr>
        <w:t xml:space="preserve">trop souvent, les recommandations formulées dans ces rapports </w:t>
      </w:r>
      <w:r>
        <w:rPr>
          <w:lang w:val="fr-FR"/>
        </w:rPr>
        <w:t>[</w:t>
      </w:r>
      <w:r w:rsidRPr="00A858B4">
        <w:rPr>
          <w:lang w:val="fr-FR"/>
        </w:rPr>
        <w:t>n</w:t>
      </w:r>
      <w:r>
        <w:rPr>
          <w:lang w:val="fr-FR"/>
        </w:rPr>
        <w:t>’</w:t>
      </w:r>
      <w:r w:rsidRPr="00A858B4">
        <w:rPr>
          <w:lang w:val="fr-FR"/>
        </w:rPr>
        <w:t>avaient</w:t>
      </w:r>
      <w:r>
        <w:rPr>
          <w:lang w:val="fr-FR"/>
        </w:rPr>
        <w:t>]</w:t>
      </w:r>
      <w:r w:rsidRPr="00A858B4">
        <w:rPr>
          <w:lang w:val="fr-FR"/>
        </w:rPr>
        <w:t xml:space="preserve"> pas été </w:t>
      </w:r>
      <w:r>
        <w:rPr>
          <w:lang w:val="fr-FR"/>
        </w:rPr>
        <w:t>suivies d’effet</w:t>
      </w:r>
      <w:r w:rsidRPr="00A858B4">
        <w:rPr>
          <w:lang w:val="fr-FR"/>
        </w:rPr>
        <w:t xml:space="preserve"> et</w:t>
      </w:r>
      <w:r>
        <w:rPr>
          <w:lang w:val="fr-FR"/>
        </w:rPr>
        <w:t xml:space="preserve"> que</w:t>
      </w:r>
      <w:r w:rsidRPr="00A858B4">
        <w:rPr>
          <w:lang w:val="fr-FR"/>
        </w:rPr>
        <w:t>, lorsqu</w:t>
      </w:r>
      <w:r>
        <w:rPr>
          <w:lang w:val="fr-FR"/>
        </w:rPr>
        <w:t>’elles des mesures [</w:t>
      </w:r>
      <w:r w:rsidRPr="00A858B4">
        <w:rPr>
          <w:lang w:val="fr-FR"/>
        </w:rPr>
        <w:t>avaient</w:t>
      </w:r>
      <w:r>
        <w:rPr>
          <w:lang w:val="fr-FR"/>
        </w:rPr>
        <w:t>] été prises</w:t>
      </w:r>
      <w:r w:rsidRPr="00A858B4">
        <w:rPr>
          <w:lang w:val="fr-FR"/>
        </w:rPr>
        <w:t>, elles avaient été superficielles et sans effet durable</w:t>
      </w:r>
      <w:r w:rsidR="0028020D">
        <w:rPr>
          <w:lang w:val="fr-FR"/>
        </w:rPr>
        <w:t> </w:t>
      </w:r>
      <w:r>
        <w:rPr>
          <w:lang w:val="fr-FR"/>
        </w:rPr>
        <w:t>»</w:t>
      </w:r>
      <w:r w:rsidRPr="00CD6B67">
        <w:rPr>
          <w:rStyle w:val="FootnoteReference"/>
        </w:rPr>
        <w:footnoteReference w:id="433"/>
      </w:r>
      <w:r>
        <w:rPr>
          <w:lang w:val="fr-FR"/>
        </w:rPr>
        <w:t>.</w:t>
      </w:r>
    </w:p>
    <w:p w14:paraId="3E709016" w14:textId="77777777" w:rsidR="00D301C6" w:rsidRPr="00293268" w:rsidRDefault="00D301C6" w:rsidP="005C65E7">
      <w:pPr>
        <w:pStyle w:val="SingleTxtG"/>
        <w:spacing w:after="100"/>
        <w:rPr>
          <w:lang w:val="fr-FR"/>
        </w:rPr>
      </w:pPr>
      <w:r w:rsidRPr="00293268">
        <w:rPr>
          <w:lang w:val="fr-FR"/>
        </w:rPr>
        <w:t>165.</w:t>
      </w:r>
      <w:r w:rsidRPr="00293268">
        <w:rPr>
          <w:lang w:val="fr-FR"/>
        </w:rPr>
        <w:tab/>
      </w:r>
      <w:r w:rsidRPr="001720AA">
        <w:rPr>
          <w:lang w:val="fr-FR"/>
        </w:rPr>
        <w:t xml:space="preserve">Malgré les progrès que </w:t>
      </w:r>
      <w:r>
        <w:rPr>
          <w:lang w:val="fr-FR"/>
        </w:rPr>
        <w:t>l’application</w:t>
      </w:r>
      <w:r w:rsidRPr="001720AA">
        <w:rPr>
          <w:lang w:val="fr-FR"/>
        </w:rPr>
        <w:t xml:space="preserve"> de certaines mesures a permis de réaliser, les </w:t>
      </w:r>
      <w:r>
        <w:rPr>
          <w:lang w:val="fr-FR"/>
        </w:rPr>
        <w:t>enseignements</w:t>
      </w:r>
      <w:r w:rsidRPr="001720AA">
        <w:rPr>
          <w:lang w:val="fr-FR"/>
        </w:rPr>
        <w:t xml:space="preserve"> tirés de ces </w:t>
      </w:r>
      <w:r>
        <w:rPr>
          <w:lang w:val="fr-FR"/>
        </w:rPr>
        <w:t xml:space="preserve">recherches et </w:t>
      </w:r>
      <w:r w:rsidRPr="001720AA">
        <w:rPr>
          <w:lang w:val="fr-FR"/>
        </w:rPr>
        <w:t>enquêtes générales n</w:t>
      </w:r>
      <w:r>
        <w:rPr>
          <w:lang w:val="fr-FR"/>
        </w:rPr>
        <w:t>’</w:t>
      </w:r>
      <w:r w:rsidRPr="001720AA">
        <w:rPr>
          <w:lang w:val="fr-FR"/>
        </w:rPr>
        <w:t xml:space="preserve">ont pas été systématiquement </w:t>
      </w:r>
      <w:r>
        <w:rPr>
          <w:lang w:val="fr-FR"/>
        </w:rPr>
        <w:t>pris en compte</w:t>
      </w:r>
      <w:r w:rsidRPr="001720AA">
        <w:rPr>
          <w:lang w:val="fr-FR"/>
        </w:rPr>
        <w:t xml:space="preserve"> dans l</w:t>
      </w:r>
      <w:r>
        <w:rPr>
          <w:lang w:val="fr-FR"/>
        </w:rPr>
        <w:t>’</w:t>
      </w:r>
      <w:r w:rsidRPr="001720AA">
        <w:rPr>
          <w:lang w:val="fr-FR"/>
        </w:rPr>
        <w:t xml:space="preserve">élaboration des politiques afin de garantir que les cycles et les tendances </w:t>
      </w:r>
      <w:r>
        <w:rPr>
          <w:lang w:val="fr-FR"/>
        </w:rPr>
        <w:t>posant problème</w:t>
      </w:r>
      <w:r w:rsidRPr="001720AA">
        <w:rPr>
          <w:lang w:val="fr-FR"/>
        </w:rPr>
        <w:t xml:space="preserve"> ne se répètent pas et que les changements nécessaires se produisent </w:t>
      </w:r>
      <w:r>
        <w:rPr>
          <w:lang w:val="fr-FR"/>
        </w:rPr>
        <w:t>–</w:t>
      </w:r>
      <w:r w:rsidRPr="001720AA">
        <w:rPr>
          <w:lang w:val="fr-FR"/>
        </w:rPr>
        <w:t xml:space="preserve"> comme le </w:t>
      </w:r>
      <w:r>
        <w:rPr>
          <w:lang w:val="fr-FR"/>
        </w:rPr>
        <w:t>dé</w:t>
      </w:r>
      <w:r w:rsidRPr="001720AA">
        <w:rPr>
          <w:lang w:val="fr-FR"/>
        </w:rPr>
        <w:t xml:space="preserve">montre </w:t>
      </w:r>
      <w:r>
        <w:rPr>
          <w:lang w:val="fr-FR"/>
        </w:rPr>
        <w:t>le fait que des</w:t>
      </w:r>
      <w:r w:rsidRPr="001720AA">
        <w:rPr>
          <w:lang w:val="fr-FR"/>
        </w:rPr>
        <w:t xml:space="preserve"> personnes d</w:t>
      </w:r>
      <w:r>
        <w:rPr>
          <w:lang w:val="fr-FR"/>
        </w:rPr>
        <w:t>’</w:t>
      </w:r>
      <w:r w:rsidRPr="001720AA">
        <w:rPr>
          <w:lang w:val="fr-FR"/>
        </w:rPr>
        <w:t xml:space="preserve">ascendance africaine </w:t>
      </w:r>
      <w:r>
        <w:rPr>
          <w:lang w:val="fr-FR"/>
        </w:rPr>
        <w:t>continuent de mourir sous les coups</w:t>
      </w:r>
      <w:r w:rsidRPr="001720AA">
        <w:rPr>
          <w:lang w:val="fr-FR"/>
        </w:rPr>
        <w:t xml:space="preserve"> des forces de l</w:t>
      </w:r>
      <w:r>
        <w:rPr>
          <w:lang w:val="fr-FR"/>
        </w:rPr>
        <w:t>’</w:t>
      </w:r>
      <w:r w:rsidRPr="001720AA">
        <w:rPr>
          <w:lang w:val="fr-FR"/>
        </w:rPr>
        <w:t>ordre dans des circonstances très similaires</w:t>
      </w:r>
      <w:r w:rsidRPr="00CD6B67">
        <w:rPr>
          <w:rStyle w:val="FootnoteReference"/>
        </w:rPr>
        <w:footnoteReference w:id="434"/>
      </w:r>
      <w:r>
        <w:rPr>
          <w:lang w:val="fr-FR"/>
        </w:rPr>
        <w:t>.</w:t>
      </w:r>
    </w:p>
    <w:p w14:paraId="7F547621" w14:textId="68729CF5" w:rsidR="00D301C6" w:rsidRPr="00293268" w:rsidRDefault="00D301C6" w:rsidP="005C65E7">
      <w:pPr>
        <w:pStyle w:val="SingleTxtG"/>
        <w:spacing w:after="100"/>
        <w:rPr>
          <w:lang w:val="fr-FR"/>
        </w:rPr>
      </w:pPr>
      <w:r w:rsidRPr="00293268">
        <w:rPr>
          <w:lang w:val="fr-FR"/>
        </w:rPr>
        <w:t>166.</w:t>
      </w:r>
      <w:r w:rsidRPr="00293268">
        <w:rPr>
          <w:lang w:val="fr-FR"/>
        </w:rPr>
        <w:tab/>
      </w:r>
      <w:r w:rsidRPr="00FB34E7">
        <w:rPr>
          <w:lang w:val="fr-FR"/>
        </w:rPr>
        <w:t xml:space="preserve">En raison de </w:t>
      </w:r>
      <w:r>
        <w:rPr>
          <w:lang w:val="fr-FR"/>
        </w:rPr>
        <w:t xml:space="preserve">cette </w:t>
      </w:r>
      <w:r w:rsidRPr="00FB34E7">
        <w:rPr>
          <w:lang w:val="fr-FR"/>
        </w:rPr>
        <w:t xml:space="preserve">incapacité, </w:t>
      </w:r>
      <w:r w:rsidRPr="00CA3FDA">
        <w:rPr>
          <w:lang w:val="fr-FR"/>
        </w:rPr>
        <w:t>sur une longue période</w:t>
      </w:r>
      <w:r w:rsidRPr="00FB34E7">
        <w:rPr>
          <w:lang w:val="fr-FR"/>
        </w:rPr>
        <w:t>, d</w:t>
      </w:r>
      <w:r>
        <w:rPr>
          <w:lang w:val="fr-FR"/>
        </w:rPr>
        <w:t>’</w:t>
      </w:r>
      <w:r w:rsidRPr="00FB34E7">
        <w:rPr>
          <w:lang w:val="fr-FR"/>
        </w:rPr>
        <w:t>apporter un changement global, le meurtre de M.</w:t>
      </w:r>
      <w:r w:rsidR="0053501B">
        <w:rPr>
          <w:lang w:val="fr-FR"/>
        </w:rPr>
        <w:t> </w:t>
      </w:r>
      <w:r w:rsidRPr="00FB34E7">
        <w:rPr>
          <w:lang w:val="fr-FR"/>
        </w:rPr>
        <w:t>Floyd et les manifestations antiracistes qui ont suivi partout dans le monde ont suscité de nouveaux appels à repenser le maintien de l</w:t>
      </w:r>
      <w:r>
        <w:rPr>
          <w:lang w:val="fr-FR"/>
        </w:rPr>
        <w:t>’</w:t>
      </w:r>
      <w:r w:rsidRPr="00FB34E7">
        <w:rPr>
          <w:lang w:val="fr-FR"/>
        </w:rPr>
        <w:t>ordre et à réformer les systèmes de justice pénale qui n</w:t>
      </w:r>
      <w:r>
        <w:rPr>
          <w:lang w:val="fr-FR"/>
        </w:rPr>
        <w:t>’</w:t>
      </w:r>
      <w:r w:rsidRPr="00FB34E7">
        <w:rPr>
          <w:lang w:val="fr-FR"/>
        </w:rPr>
        <w:t xml:space="preserve">assurent pas la sécurité des minorités raciales et ethniques et ont </w:t>
      </w:r>
      <w:r>
        <w:rPr>
          <w:lang w:val="fr-FR"/>
        </w:rPr>
        <w:t xml:space="preserve">systématiquement eu des </w:t>
      </w:r>
      <w:r w:rsidRPr="0049633E">
        <w:rPr>
          <w:lang w:val="fr-FR"/>
        </w:rPr>
        <w:t>effets discriminatoires</w:t>
      </w:r>
      <w:r w:rsidRPr="00FB34E7">
        <w:rPr>
          <w:lang w:val="fr-FR"/>
        </w:rPr>
        <w:t xml:space="preserve"> </w:t>
      </w:r>
      <w:r>
        <w:rPr>
          <w:lang w:val="fr-FR"/>
        </w:rPr>
        <w:t>s</w:t>
      </w:r>
      <w:r w:rsidRPr="00FB34E7">
        <w:rPr>
          <w:lang w:val="fr-FR"/>
        </w:rPr>
        <w:t>ur les Africains et les personnes d</w:t>
      </w:r>
      <w:r>
        <w:rPr>
          <w:lang w:val="fr-FR"/>
        </w:rPr>
        <w:t>’</w:t>
      </w:r>
      <w:r w:rsidRPr="00FB34E7">
        <w:rPr>
          <w:lang w:val="fr-FR"/>
        </w:rPr>
        <w:t>ascendance africaine</w:t>
      </w:r>
      <w:r w:rsidRPr="00CD6B67">
        <w:rPr>
          <w:rStyle w:val="FootnoteReference"/>
        </w:rPr>
        <w:footnoteReference w:id="435"/>
      </w:r>
      <w:r>
        <w:rPr>
          <w:lang w:val="fr-FR"/>
        </w:rPr>
        <w:t>.</w:t>
      </w:r>
      <w:r w:rsidRPr="00293268">
        <w:rPr>
          <w:lang w:val="fr-FR"/>
        </w:rPr>
        <w:t xml:space="preserve"> </w:t>
      </w:r>
      <w:r w:rsidRPr="00250300">
        <w:rPr>
          <w:lang w:val="fr-FR"/>
        </w:rPr>
        <w:t xml:space="preserve">Ces appels ont été lancés en grande partie en raison </w:t>
      </w:r>
      <w:r>
        <w:rPr>
          <w:lang w:val="fr-FR"/>
        </w:rPr>
        <w:t>de la paralysie</w:t>
      </w:r>
      <w:r w:rsidRPr="00250300">
        <w:rPr>
          <w:lang w:val="fr-FR"/>
        </w:rPr>
        <w:t xml:space="preserve"> </w:t>
      </w:r>
      <w:r>
        <w:rPr>
          <w:lang w:val="fr-FR"/>
        </w:rPr>
        <w:t xml:space="preserve">des réformes </w:t>
      </w:r>
      <w:r w:rsidRPr="00250300">
        <w:rPr>
          <w:lang w:val="fr-FR"/>
        </w:rPr>
        <w:t>ou de l</w:t>
      </w:r>
      <w:r>
        <w:rPr>
          <w:lang w:val="fr-FR"/>
        </w:rPr>
        <w:t>’effet</w:t>
      </w:r>
      <w:r w:rsidRPr="00250300">
        <w:rPr>
          <w:lang w:val="fr-FR"/>
        </w:rPr>
        <w:t xml:space="preserve"> limité des initiatives de réforme antérieures</w:t>
      </w:r>
      <w:r>
        <w:rPr>
          <w:lang w:val="fr-FR"/>
        </w:rPr>
        <w:t>,</w:t>
      </w:r>
      <w:r w:rsidRPr="00250300">
        <w:rPr>
          <w:lang w:val="fr-FR"/>
        </w:rPr>
        <w:t xml:space="preserve"> qui n</w:t>
      </w:r>
      <w:r>
        <w:rPr>
          <w:lang w:val="fr-FR"/>
        </w:rPr>
        <w:t>’</w:t>
      </w:r>
      <w:r w:rsidRPr="00250300">
        <w:rPr>
          <w:lang w:val="fr-FR"/>
        </w:rPr>
        <w:t>ont pas abouti à un changement fondamental et g</w:t>
      </w:r>
      <w:r>
        <w:rPr>
          <w:lang w:val="fr-FR"/>
        </w:rPr>
        <w:t>lob</w:t>
      </w:r>
      <w:r w:rsidRPr="00250300">
        <w:rPr>
          <w:lang w:val="fr-FR"/>
        </w:rPr>
        <w:t xml:space="preserve">al des aspects discriminatoires </w:t>
      </w:r>
      <w:r>
        <w:rPr>
          <w:lang w:val="fr-FR"/>
        </w:rPr>
        <w:t>des systèmes de maintien de l’ordre</w:t>
      </w:r>
      <w:r w:rsidRPr="00250300">
        <w:rPr>
          <w:lang w:val="fr-FR"/>
        </w:rPr>
        <w:t xml:space="preserve"> et de justice pénale</w:t>
      </w:r>
      <w:r w:rsidRPr="00293268">
        <w:rPr>
          <w:lang w:val="fr-FR"/>
        </w:rPr>
        <w:t xml:space="preserve">. </w:t>
      </w:r>
      <w:r w:rsidRPr="00B10D54">
        <w:rPr>
          <w:lang w:val="fr-FR"/>
        </w:rPr>
        <w:t>Les appels à r</w:t>
      </w:r>
      <w:r>
        <w:rPr>
          <w:lang w:val="fr-FR"/>
        </w:rPr>
        <w:t>epenser</w:t>
      </w:r>
      <w:r w:rsidRPr="00B10D54">
        <w:rPr>
          <w:lang w:val="fr-FR"/>
        </w:rPr>
        <w:t xml:space="preserve"> le maintien de l</w:t>
      </w:r>
      <w:r>
        <w:rPr>
          <w:lang w:val="fr-FR"/>
        </w:rPr>
        <w:t>’</w:t>
      </w:r>
      <w:r w:rsidRPr="00B10D54">
        <w:rPr>
          <w:lang w:val="fr-FR"/>
        </w:rPr>
        <w:t xml:space="preserve">ordre </w:t>
      </w:r>
      <w:r>
        <w:rPr>
          <w:lang w:val="fr-FR"/>
        </w:rPr>
        <w:t xml:space="preserve">se fondent </w:t>
      </w:r>
      <w:r w:rsidRPr="00B10D54">
        <w:rPr>
          <w:lang w:val="fr-FR"/>
        </w:rPr>
        <w:t xml:space="preserve">également </w:t>
      </w:r>
      <w:r>
        <w:rPr>
          <w:lang w:val="fr-FR"/>
        </w:rPr>
        <w:t xml:space="preserve">sur </w:t>
      </w:r>
      <w:r w:rsidRPr="00B10D54">
        <w:rPr>
          <w:lang w:val="fr-FR"/>
        </w:rPr>
        <w:t>l</w:t>
      </w:r>
      <w:r>
        <w:rPr>
          <w:lang w:val="fr-FR"/>
        </w:rPr>
        <w:t>’</w:t>
      </w:r>
      <w:r w:rsidRPr="00B10D54">
        <w:rPr>
          <w:lang w:val="fr-FR"/>
        </w:rPr>
        <w:t>idée</w:t>
      </w:r>
      <w:r>
        <w:rPr>
          <w:lang w:val="fr-FR"/>
        </w:rPr>
        <w:t xml:space="preserve"> que,</w:t>
      </w:r>
      <w:r w:rsidRPr="00813782">
        <w:rPr>
          <w:lang w:val="fr-FR"/>
        </w:rPr>
        <w:t xml:space="preserve"> </w:t>
      </w:r>
      <w:r w:rsidRPr="000912EA">
        <w:rPr>
          <w:lang w:val="fr-FR"/>
        </w:rPr>
        <w:t>plutôt que de se concentrer sur la justice procédurale,</w:t>
      </w:r>
      <w:r w:rsidRPr="00B10D54">
        <w:rPr>
          <w:lang w:val="fr-FR"/>
        </w:rPr>
        <w:t xml:space="preserve"> </w:t>
      </w:r>
      <w:r>
        <w:rPr>
          <w:lang w:val="fr-FR"/>
        </w:rPr>
        <w:t>les États devraient axer leurs</w:t>
      </w:r>
      <w:r w:rsidRPr="00B10D54">
        <w:rPr>
          <w:lang w:val="fr-FR"/>
        </w:rPr>
        <w:t xml:space="preserve"> ressources et le</w:t>
      </w:r>
      <w:r>
        <w:rPr>
          <w:lang w:val="fr-FR"/>
        </w:rPr>
        <w:t>ur</w:t>
      </w:r>
      <w:r w:rsidRPr="00B10D54">
        <w:rPr>
          <w:lang w:val="fr-FR"/>
        </w:rPr>
        <w:t xml:space="preserve">s efforts </w:t>
      </w:r>
      <w:r w:rsidRPr="00811A82">
        <w:rPr>
          <w:lang w:val="fr-FR"/>
        </w:rPr>
        <w:t xml:space="preserve">de préférence </w:t>
      </w:r>
      <w:r>
        <w:rPr>
          <w:lang w:val="fr-FR"/>
        </w:rPr>
        <w:t>sur des</w:t>
      </w:r>
      <w:r w:rsidRPr="00B10D54">
        <w:rPr>
          <w:lang w:val="fr-FR"/>
        </w:rPr>
        <w:t xml:space="preserve"> approches de justice sociale</w:t>
      </w:r>
      <w:r>
        <w:rPr>
          <w:lang w:val="fr-FR"/>
        </w:rPr>
        <w:t>,</w:t>
      </w:r>
      <w:r w:rsidRPr="00B10D54">
        <w:rPr>
          <w:lang w:val="fr-FR"/>
        </w:rPr>
        <w:t xml:space="preserve"> dans </w:t>
      </w:r>
      <w:r>
        <w:rPr>
          <w:lang w:val="fr-FR"/>
        </w:rPr>
        <w:t>le cadre d</w:t>
      </w:r>
      <w:r w:rsidRPr="00B10D54">
        <w:rPr>
          <w:lang w:val="fr-FR"/>
        </w:rPr>
        <w:t xml:space="preserve">esquelles les institutions policières interviennent dans les domaines où elles ont une expertise et </w:t>
      </w:r>
      <w:r>
        <w:rPr>
          <w:lang w:val="fr-FR"/>
        </w:rPr>
        <w:t xml:space="preserve">de manière à apporter </w:t>
      </w:r>
      <w:r w:rsidRPr="00B10D54">
        <w:rPr>
          <w:lang w:val="fr-FR"/>
        </w:rPr>
        <w:t>une valeur ajoutée,</w:t>
      </w:r>
      <w:r>
        <w:rPr>
          <w:lang w:val="fr-FR"/>
        </w:rPr>
        <w:t xml:space="preserve"> </w:t>
      </w:r>
      <w:r w:rsidRPr="00FC5710">
        <w:rPr>
          <w:lang w:val="fr-FR"/>
        </w:rPr>
        <w:t xml:space="preserve">et réinvestir directement dans l’éducation, l’emploi, les soins de santé, le logement et d’autres services </w:t>
      </w:r>
      <w:r>
        <w:rPr>
          <w:lang w:val="fr-FR"/>
        </w:rPr>
        <w:t>de proximité</w:t>
      </w:r>
      <w:r w:rsidRPr="00FC5710">
        <w:rPr>
          <w:lang w:val="fr-FR"/>
        </w:rPr>
        <w:t>, ainsi que dans une vision partagée de la sécurité de</w:t>
      </w:r>
      <w:r>
        <w:rPr>
          <w:lang w:val="fr-FR"/>
        </w:rPr>
        <w:t xml:space="preserve"> la collectivité</w:t>
      </w:r>
      <w:r w:rsidRPr="00CD6B67">
        <w:rPr>
          <w:rStyle w:val="FootnoteReference"/>
        </w:rPr>
        <w:footnoteReference w:id="436"/>
      </w:r>
      <w:r>
        <w:rPr>
          <w:lang w:val="fr-FR"/>
        </w:rPr>
        <w:t>.</w:t>
      </w:r>
    </w:p>
    <w:p w14:paraId="6644BD88" w14:textId="77777777" w:rsidR="00D301C6" w:rsidRPr="00293268" w:rsidRDefault="00D301C6" w:rsidP="005C65E7">
      <w:pPr>
        <w:pStyle w:val="SingleTxtG"/>
        <w:spacing w:after="100"/>
        <w:rPr>
          <w:lang w:val="fr-FR"/>
        </w:rPr>
      </w:pPr>
      <w:r w:rsidRPr="00293268">
        <w:rPr>
          <w:lang w:val="fr-FR"/>
        </w:rPr>
        <w:t>167.</w:t>
      </w:r>
      <w:r w:rsidRPr="00293268">
        <w:rPr>
          <w:lang w:val="fr-FR"/>
        </w:rPr>
        <w:tab/>
      </w:r>
      <w:r w:rsidRPr="00377909">
        <w:rPr>
          <w:lang w:val="fr-FR"/>
        </w:rPr>
        <w:t>Les données disponibles et les expériences vécues par les personnes d</w:t>
      </w:r>
      <w:r>
        <w:rPr>
          <w:lang w:val="fr-FR"/>
        </w:rPr>
        <w:t>’</w:t>
      </w:r>
      <w:r w:rsidRPr="00377909">
        <w:rPr>
          <w:lang w:val="fr-FR"/>
        </w:rPr>
        <w:t xml:space="preserve">ascendance africaine donnent </w:t>
      </w:r>
      <w:r>
        <w:rPr>
          <w:lang w:val="fr-FR"/>
        </w:rPr>
        <w:t>nettement</w:t>
      </w:r>
      <w:r w:rsidRPr="00377909">
        <w:rPr>
          <w:lang w:val="fr-FR"/>
        </w:rPr>
        <w:t xml:space="preserve"> à penser que la situation actuelle doit changer afin de garantir </w:t>
      </w:r>
      <w:r>
        <w:rPr>
          <w:lang w:val="fr-FR"/>
        </w:rPr>
        <w:t xml:space="preserve">que les </w:t>
      </w:r>
      <w:r w:rsidRPr="00377909">
        <w:rPr>
          <w:lang w:val="fr-FR"/>
        </w:rPr>
        <w:t xml:space="preserve">systèmes </w:t>
      </w:r>
      <w:r>
        <w:rPr>
          <w:lang w:val="fr-FR"/>
        </w:rPr>
        <w:t>de maintien de l’ordre</w:t>
      </w:r>
      <w:r w:rsidRPr="00377909">
        <w:rPr>
          <w:lang w:val="fr-FR"/>
        </w:rPr>
        <w:t xml:space="preserve"> et de justice pénale </w:t>
      </w:r>
      <w:r>
        <w:rPr>
          <w:lang w:val="fr-FR"/>
        </w:rPr>
        <w:t>opèrent</w:t>
      </w:r>
      <w:r w:rsidRPr="00377909">
        <w:rPr>
          <w:lang w:val="fr-FR"/>
        </w:rPr>
        <w:t xml:space="preserve"> pour les personnes d</w:t>
      </w:r>
      <w:r>
        <w:rPr>
          <w:lang w:val="fr-FR"/>
        </w:rPr>
        <w:t>’</w:t>
      </w:r>
      <w:r w:rsidRPr="00377909">
        <w:rPr>
          <w:lang w:val="fr-FR"/>
        </w:rPr>
        <w:t>ascendance africaine, plutôt que contre elles. Il est impératif de tenir compte des appels à repenser le maintien de l</w:t>
      </w:r>
      <w:r>
        <w:rPr>
          <w:lang w:val="fr-FR"/>
        </w:rPr>
        <w:t>’</w:t>
      </w:r>
      <w:r w:rsidRPr="00377909">
        <w:rPr>
          <w:lang w:val="fr-FR"/>
        </w:rPr>
        <w:t>ordre et le système de justice pénale du point de vue des droits de l</w:t>
      </w:r>
      <w:r>
        <w:rPr>
          <w:lang w:val="fr-FR"/>
        </w:rPr>
        <w:t>’</w:t>
      </w:r>
      <w:r w:rsidRPr="00377909">
        <w:rPr>
          <w:lang w:val="fr-FR"/>
        </w:rPr>
        <w:t xml:space="preserve">homme, </w:t>
      </w:r>
      <w:r>
        <w:rPr>
          <w:lang w:val="fr-FR"/>
        </w:rPr>
        <w:t xml:space="preserve">ainsi que </w:t>
      </w:r>
      <w:r w:rsidRPr="0096547E">
        <w:rPr>
          <w:lang w:val="fr-FR"/>
        </w:rPr>
        <w:t>d</w:t>
      </w:r>
      <w:r>
        <w:rPr>
          <w:lang w:val="fr-FR"/>
        </w:rPr>
        <w:t>’</w:t>
      </w:r>
      <w:r w:rsidRPr="0096547E">
        <w:rPr>
          <w:lang w:val="fr-FR"/>
        </w:rPr>
        <w:t xml:space="preserve">appuyer et de mettre en application </w:t>
      </w:r>
      <w:r w:rsidRPr="00377909">
        <w:rPr>
          <w:lang w:val="fr-FR"/>
        </w:rPr>
        <w:t xml:space="preserve">des modèles </w:t>
      </w:r>
      <w:r>
        <w:rPr>
          <w:lang w:val="fr-FR"/>
        </w:rPr>
        <w:t>à ancrage local</w:t>
      </w:r>
      <w:r w:rsidRPr="00377909">
        <w:rPr>
          <w:lang w:val="fr-FR"/>
        </w:rPr>
        <w:t xml:space="preserve"> qui protègent et servent tous les membres</w:t>
      </w:r>
      <w:r>
        <w:rPr>
          <w:lang w:val="fr-FR"/>
        </w:rPr>
        <w:t xml:space="preserve"> des communautés, </w:t>
      </w:r>
      <w:r w:rsidRPr="00377909">
        <w:rPr>
          <w:lang w:val="fr-FR"/>
        </w:rPr>
        <w:t>sans discrimination</w:t>
      </w:r>
      <w:r w:rsidRPr="00293268">
        <w:rPr>
          <w:lang w:val="fr-FR"/>
        </w:rPr>
        <w:t>.</w:t>
      </w:r>
    </w:p>
    <w:p w14:paraId="7627F9D2" w14:textId="77777777" w:rsidR="00D301C6" w:rsidRPr="00293268" w:rsidRDefault="00D301C6" w:rsidP="00D301C6">
      <w:pPr>
        <w:pStyle w:val="H1G"/>
        <w:rPr>
          <w:lang w:val="fr-FR"/>
        </w:rPr>
      </w:pPr>
      <w:bookmarkStart w:id="726" w:name="_Toc73637712"/>
      <w:bookmarkStart w:id="727" w:name="_Toc73637840"/>
      <w:bookmarkStart w:id="728" w:name="_Toc73642281"/>
      <w:bookmarkStart w:id="729" w:name="_Toc73694098"/>
      <w:bookmarkStart w:id="730" w:name="_Toc73694155"/>
      <w:bookmarkStart w:id="731" w:name="_Toc73694671"/>
      <w:bookmarkStart w:id="732" w:name="_Toc73694735"/>
      <w:bookmarkStart w:id="733" w:name="_Toc73694849"/>
      <w:bookmarkStart w:id="734" w:name="_Toc73696280"/>
      <w:bookmarkStart w:id="735" w:name="_Toc73698323"/>
      <w:bookmarkStart w:id="736" w:name="_Toc73698677"/>
      <w:bookmarkStart w:id="737" w:name="_Toc73699448"/>
      <w:bookmarkStart w:id="738" w:name="_Toc73700102"/>
      <w:bookmarkStart w:id="739" w:name="_Toc73700126"/>
      <w:bookmarkStart w:id="740" w:name="_Toc73702717"/>
      <w:bookmarkStart w:id="741" w:name="_Toc73712142"/>
      <w:bookmarkStart w:id="742" w:name="_Toc73715989"/>
      <w:bookmarkStart w:id="743" w:name="_Toc73716835"/>
      <w:bookmarkStart w:id="744" w:name="_Toc73717445"/>
      <w:bookmarkStart w:id="745" w:name="_Toc73720445"/>
      <w:bookmarkStart w:id="746" w:name="_Toc73724418"/>
      <w:bookmarkStart w:id="747" w:name="_Toc73724442"/>
      <w:bookmarkStart w:id="748" w:name="_Toc73805962"/>
      <w:bookmarkStart w:id="749" w:name="_Toc60845034"/>
      <w:bookmarkStart w:id="750" w:name="_Toc62028869"/>
      <w:bookmarkStart w:id="751" w:name="_Toc62556526"/>
      <w:bookmarkStart w:id="752" w:name="_Toc63257298"/>
      <w:bookmarkStart w:id="753" w:name="_Toc63766539"/>
      <w:bookmarkStart w:id="754" w:name="_Toc63941379"/>
      <w:bookmarkStart w:id="755" w:name="_Toc64298275"/>
      <w:bookmarkStart w:id="756" w:name="_Toc64373135"/>
      <w:bookmarkStart w:id="757" w:name="_Toc73352127"/>
      <w:bookmarkStart w:id="758" w:name="_Toc73642011"/>
      <w:bookmarkStart w:id="759" w:name="_Toc73702718"/>
      <w:bookmarkStart w:id="760" w:name="_Toc73724443"/>
      <w:bookmarkStart w:id="761" w:name="_Toc74254819"/>
      <w:bookmarkStart w:id="762" w:name="_Toc74303377"/>
      <w:bookmarkStart w:id="763" w:name="_Toc74305502"/>
      <w:bookmarkStart w:id="764" w:name="_Toc74337102"/>
      <w:bookmarkStart w:id="765" w:name="_Toc74340218"/>
      <w:bookmarkStart w:id="766" w:name="_Toc74344114"/>
      <w:bookmarkStart w:id="767" w:name="_Toc74562587"/>
      <w:bookmarkStart w:id="768" w:name="_Toc74657695"/>
      <w:bookmarkStart w:id="769" w:name="_Toc74661221"/>
      <w:bookmarkStart w:id="770" w:name="_Toc74666516"/>
      <w:bookmarkStart w:id="771" w:name="_Toc74671437"/>
      <w:bookmarkStart w:id="772" w:name="_Toc74867352"/>
      <w:bookmarkStart w:id="773" w:name="_Toc74919105"/>
      <w:bookmarkStart w:id="774" w:name="_Toc74919760"/>
      <w:bookmarkStart w:id="775" w:name="_Toc74925795"/>
      <w:bookmarkStart w:id="776" w:name="_Toc74927644"/>
      <w:bookmarkStart w:id="777" w:name="_Toc63941381"/>
      <w:bookmarkStart w:id="778" w:name="_Toc64298277"/>
      <w:bookmarkStart w:id="779" w:name="_Toc64373137"/>
      <w:bookmarkEnd w:id="407"/>
      <w:bookmarkEnd w:id="408"/>
      <w:bookmarkEnd w:id="409"/>
      <w:bookmarkEnd w:id="410"/>
      <w:bookmarkEnd w:id="411"/>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293268">
        <w:rPr>
          <w:lang w:val="fr-FR"/>
        </w:rPr>
        <w:tab/>
        <w:t>D.</w:t>
      </w:r>
      <w:r w:rsidRPr="00293268">
        <w:rPr>
          <w:lang w:val="fr-FR"/>
        </w:rPr>
        <w:tab/>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lang w:val="fr-FR"/>
        </w:rPr>
        <w:t>Initiatives prometteuses</w:t>
      </w:r>
    </w:p>
    <w:p w14:paraId="76A7F14F" w14:textId="77777777" w:rsidR="00D301C6" w:rsidRPr="00293268" w:rsidRDefault="00D301C6" w:rsidP="00D301C6">
      <w:pPr>
        <w:pStyle w:val="SingleTxtG"/>
        <w:rPr>
          <w:lang w:val="fr-FR"/>
        </w:rPr>
      </w:pPr>
      <w:r w:rsidRPr="00293268">
        <w:rPr>
          <w:lang w:val="fr-FR"/>
        </w:rPr>
        <w:t>168.</w:t>
      </w:r>
      <w:r w:rsidRPr="00293268">
        <w:rPr>
          <w:lang w:val="fr-FR"/>
        </w:rPr>
        <w:tab/>
      </w:r>
      <w:r w:rsidRPr="00E33C13">
        <w:rPr>
          <w:lang w:val="fr-FR"/>
        </w:rPr>
        <w:t>Plusieurs États ont pris des mesures pour lutter contre le racisme, la discrimination raciale et les violations des droits de l</w:t>
      </w:r>
      <w:r>
        <w:rPr>
          <w:lang w:val="fr-FR"/>
        </w:rPr>
        <w:t>’</w:t>
      </w:r>
      <w:r w:rsidRPr="00E33C13">
        <w:rPr>
          <w:lang w:val="fr-FR"/>
        </w:rPr>
        <w:t xml:space="preserve">homme </w:t>
      </w:r>
      <w:r>
        <w:rPr>
          <w:lang w:val="fr-FR"/>
        </w:rPr>
        <w:t xml:space="preserve">commises </w:t>
      </w:r>
      <w:r w:rsidRPr="00E33C13">
        <w:rPr>
          <w:lang w:val="fr-FR"/>
        </w:rPr>
        <w:t>par les forces de l</w:t>
      </w:r>
      <w:r>
        <w:rPr>
          <w:lang w:val="fr-FR"/>
        </w:rPr>
        <w:t>’</w:t>
      </w:r>
      <w:r w:rsidRPr="00E33C13">
        <w:rPr>
          <w:lang w:val="fr-FR"/>
        </w:rPr>
        <w:t>ordre, principalement au niveau individuel</w:t>
      </w:r>
      <w:r w:rsidRPr="0061096F">
        <w:rPr>
          <w:lang w:val="fr-FR"/>
        </w:rPr>
        <w:t>. Parmi les autres exemples ci-après, il convient de retenir</w:t>
      </w:r>
      <w:r w:rsidRPr="00E33C13">
        <w:rPr>
          <w:lang w:val="fr-FR"/>
        </w:rPr>
        <w:t xml:space="preserve"> l</w:t>
      </w:r>
      <w:r>
        <w:rPr>
          <w:lang w:val="fr-FR"/>
        </w:rPr>
        <w:t>’</w:t>
      </w:r>
      <w:r w:rsidRPr="00E33C13">
        <w:rPr>
          <w:lang w:val="fr-FR"/>
        </w:rPr>
        <w:t>adoption de lois et de politiques ciblées et effectives, en particulier de plans d</w:t>
      </w:r>
      <w:r>
        <w:rPr>
          <w:lang w:val="fr-FR"/>
        </w:rPr>
        <w:t>’</w:t>
      </w:r>
      <w:r w:rsidRPr="00E33C13">
        <w:rPr>
          <w:lang w:val="fr-FR"/>
        </w:rPr>
        <w:t>action nationaux contre le racisme, et la collecte de données</w:t>
      </w:r>
      <w:r>
        <w:rPr>
          <w:lang w:val="fr-FR"/>
        </w:rPr>
        <w:t xml:space="preserve"> connexes</w:t>
      </w:r>
      <w:r w:rsidRPr="00E33C13">
        <w:rPr>
          <w:lang w:val="fr-FR"/>
        </w:rPr>
        <w:t xml:space="preserve"> pour mesurer leurs effets réels</w:t>
      </w:r>
      <w:r w:rsidRPr="00293268">
        <w:rPr>
          <w:lang w:val="fr-FR"/>
        </w:rPr>
        <w:t>.</w:t>
      </w:r>
    </w:p>
    <w:bookmarkEnd w:id="777"/>
    <w:bookmarkEnd w:id="778"/>
    <w:bookmarkEnd w:id="779"/>
    <w:p w14:paraId="23E16600" w14:textId="1AEA0AEB" w:rsidR="00D301C6" w:rsidRPr="00293268" w:rsidRDefault="00D301C6" w:rsidP="00D301C6">
      <w:pPr>
        <w:pStyle w:val="SingleTxtG"/>
        <w:rPr>
          <w:lang w:val="fr-FR"/>
        </w:rPr>
      </w:pPr>
      <w:r w:rsidRPr="00293268">
        <w:rPr>
          <w:lang w:val="fr-FR"/>
        </w:rPr>
        <w:t>169.</w:t>
      </w:r>
      <w:r w:rsidRPr="00293268">
        <w:rPr>
          <w:lang w:val="fr-FR"/>
        </w:rPr>
        <w:tab/>
      </w:r>
      <w:r w:rsidRPr="00A36CAF">
        <w:rPr>
          <w:lang w:val="fr-FR"/>
        </w:rPr>
        <w:t>Aux États-Unis, depuis le meurtre de M.</w:t>
      </w:r>
      <w:r w:rsidR="00B659DC">
        <w:rPr>
          <w:lang w:val="fr-FR"/>
        </w:rPr>
        <w:t> </w:t>
      </w:r>
      <w:r w:rsidRPr="00A36CAF">
        <w:rPr>
          <w:lang w:val="fr-FR"/>
        </w:rPr>
        <w:t>Floyd, certaines municipalités ont commencé à imposer des restrictions sur les armes à létalité réduite, tandis que d</w:t>
      </w:r>
      <w:r>
        <w:rPr>
          <w:lang w:val="fr-FR"/>
        </w:rPr>
        <w:t>’</w:t>
      </w:r>
      <w:r w:rsidRPr="00A36CAF">
        <w:rPr>
          <w:lang w:val="fr-FR"/>
        </w:rPr>
        <w:t>autres ont interdit le recours à la technique de la cl</w:t>
      </w:r>
      <w:r w:rsidR="00B659DC">
        <w:rPr>
          <w:lang w:val="fr-FR"/>
        </w:rPr>
        <w:t>ef</w:t>
      </w:r>
      <w:r w:rsidRPr="00A36CAF">
        <w:rPr>
          <w:lang w:val="fr-FR"/>
        </w:rPr>
        <w:t xml:space="preserve"> d</w:t>
      </w:r>
      <w:r>
        <w:rPr>
          <w:lang w:val="fr-FR"/>
        </w:rPr>
        <w:t>’</w:t>
      </w:r>
      <w:r w:rsidRPr="00A36CAF">
        <w:rPr>
          <w:lang w:val="fr-FR"/>
        </w:rPr>
        <w:t>étranglement</w:t>
      </w:r>
      <w:r w:rsidRPr="00CD6B67">
        <w:rPr>
          <w:rStyle w:val="FootnoteReference"/>
        </w:rPr>
        <w:footnoteReference w:id="437"/>
      </w:r>
      <w:r>
        <w:rPr>
          <w:lang w:val="fr-FR"/>
        </w:rPr>
        <w:t>.</w:t>
      </w:r>
      <w:r w:rsidRPr="00293268">
        <w:rPr>
          <w:lang w:val="fr-FR"/>
        </w:rPr>
        <w:t xml:space="preserve"> </w:t>
      </w:r>
      <w:r>
        <w:rPr>
          <w:lang w:val="fr-FR"/>
        </w:rPr>
        <w:t>L</w:t>
      </w:r>
      <w:r w:rsidRPr="000D18CB">
        <w:rPr>
          <w:lang w:val="fr-FR"/>
        </w:rPr>
        <w:t xml:space="preserve">es organes législatifs des 50 États et du district de Columbia </w:t>
      </w:r>
      <w:r>
        <w:rPr>
          <w:lang w:val="fr-FR"/>
        </w:rPr>
        <w:t>auraient</w:t>
      </w:r>
      <w:r w:rsidRPr="000D18CB">
        <w:rPr>
          <w:lang w:val="fr-FR"/>
        </w:rPr>
        <w:t xml:space="preserve"> présenté plus de 3</w:t>
      </w:r>
      <w:r w:rsidR="00B659DC">
        <w:rPr>
          <w:lang w:val="fr-FR"/>
        </w:rPr>
        <w:t> </w:t>
      </w:r>
      <w:r w:rsidRPr="000D18CB">
        <w:rPr>
          <w:lang w:val="fr-FR"/>
        </w:rPr>
        <w:t>000</w:t>
      </w:r>
      <w:r w:rsidR="00B659DC">
        <w:rPr>
          <w:lang w:val="fr-FR"/>
        </w:rPr>
        <w:t> </w:t>
      </w:r>
      <w:r w:rsidRPr="000D18CB">
        <w:rPr>
          <w:lang w:val="fr-FR"/>
        </w:rPr>
        <w:t xml:space="preserve">projets de loi sur </w:t>
      </w:r>
      <w:r>
        <w:rPr>
          <w:lang w:val="fr-FR"/>
        </w:rPr>
        <w:t xml:space="preserve">l’obligation de rendre compte </w:t>
      </w:r>
      <w:r w:rsidRPr="000D18CB">
        <w:rPr>
          <w:lang w:val="fr-FR"/>
        </w:rPr>
        <w:t>et l</w:t>
      </w:r>
      <w:r>
        <w:rPr>
          <w:lang w:val="fr-FR"/>
        </w:rPr>
        <w:t>’</w:t>
      </w:r>
      <w:r w:rsidRPr="000D18CB">
        <w:rPr>
          <w:lang w:val="fr-FR"/>
        </w:rPr>
        <w:t>encadrement, dont près de 250</w:t>
      </w:r>
      <w:r w:rsidR="00B659DC">
        <w:rPr>
          <w:lang w:val="fr-FR"/>
        </w:rPr>
        <w:t> </w:t>
      </w:r>
      <w:r w:rsidRPr="000D18CB">
        <w:rPr>
          <w:lang w:val="fr-FR"/>
        </w:rPr>
        <w:t>ont été promulgués</w:t>
      </w:r>
      <w:r w:rsidRPr="00CD6B67">
        <w:rPr>
          <w:rStyle w:val="FootnoteReference"/>
        </w:rPr>
        <w:footnoteReference w:id="438"/>
      </w:r>
      <w:r>
        <w:rPr>
          <w:lang w:val="fr-FR"/>
        </w:rPr>
        <w:t>.</w:t>
      </w:r>
      <w:r w:rsidRPr="00293268">
        <w:rPr>
          <w:lang w:val="fr-FR"/>
        </w:rPr>
        <w:t xml:space="preserve"> </w:t>
      </w:r>
      <w:r w:rsidRPr="00BA658B">
        <w:rPr>
          <w:lang w:val="fr-FR"/>
        </w:rPr>
        <w:t>Par exemple, la loi de juillet 2020 sur la responsabilité de la police du Minnesota modifie le processus d</w:t>
      </w:r>
      <w:r>
        <w:rPr>
          <w:lang w:val="fr-FR"/>
        </w:rPr>
        <w:t>’</w:t>
      </w:r>
      <w:r w:rsidRPr="00BA658B">
        <w:rPr>
          <w:lang w:val="fr-FR"/>
        </w:rPr>
        <w:t xml:space="preserve">arbitrage dont les policiers peuvent se prévaloir pour contester </w:t>
      </w:r>
      <w:r>
        <w:rPr>
          <w:lang w:val="fr-FR"/>
        </w:rPr>
        <w:t>l</w:t>
      </w:r>
      <w:r w:rsidRPr="00BA658B">
        <w:rPr>
          <w:lang w:val="fr-FR"/>
        </w:rPr>
        <w:t xml:space="preserve">es mesures disciplinaires </w:t>
      </w:r>
      <w:r>
        <w:rPr>
          <w:lang w:val="fr-FR"/>
        </w:rPr>
        <w:t xml:space="preserve">dont ils font l’objet </w:t>
      </w:r>
      <w:r w:rsidRPr="00BA658B">
        <w:rPr>
          <w:lang w:val="fr-FR"/>
        </w:rPr>
        <w:t>et porte création d</w:t>
      </w:r>
      <w:r>
        <w:rPr>
          <w:lang w:val="fr-FR"/>
        </w:rPr>
        <w:t>’</w:t>
      </w:r>
      <w:r w:rsidRPr="00BA658B">
        <w:rPr>
          <w:lang w:val="fr-FR"/>
        </w:rPr>
        <w:t>une unité indépendante chargée d</w:t>
      </w:r>
      <w:r>
        <w:rPr>
          <w:lang w:val="fr-FR"/>
        </w:rPr>
        <w:t>’</w:t>
      </w:r>
      <w:r w:rsidRPr="00BA658B">
        <w:rPr>
          <w:lang w:val="fr-FR"/>
        </w:rPr>
        <w:t xml:space="preserve">enquêter sur les </w:t>
      </w:r>
      <w:r>
        <w:rPr>
          <w:lang w:val="fr-FR"/>
        </w:rPr>
        <w:t>décès imputables à</w:t>
      </w:r>
      <w:r w:rsidRPr="00BA658B">
        <w:rPr>
          <w:lang w:val="fr-FR"/>
        </w:rPr>
        <w:t xml:space="preserve"> la police</w:t>
      </w:r>
      <w:r w:rsidRPr="00CD6B67">
        <w:rPr>
          <w:rStyle w:val="FootnoteReference"/>
        </w:rPr>
        <w:footnoteReference w:id="439"/>
      </w:r>
      <w:r>
        <w:rPr>
          <w:lang w:val="fr-FR"/>
        </w:rPr>
        <w:t>.</w:t>
      </w:r>
      <w:r w:rsidRPr="00293268">
        <w:rPr>
          <w:lang w:val="fr-FR"/>
        </w:rPr>
        <w:t xml:space="preserve"> </w:t>
      </w:r>
      <w:r w:rsidRPr="006D3005">
        <w:rPr>
          <w:lang w:val="fr-FR"/>
        </w:rPr>
        <w:t>En outre, en novembre 2020, des changements de politique ont été annoncés dans le service de police de Minneapolis, notamment l</w:t>
      </w:r>
      <w:r>
        <w:rPr>
          <w:lang w:val="fr-FR"/>
        </w:rPr>
        <w:t>’</w:t>
      </w:r>
      <w:r w:rsidRPr="006D3005">
        <w:rPr>
          <w:lang w:val="fr-FR"/>
        </w:rPr>
        <w:t xml:space="preserve">interdiction de </w:t>
      </w:r>
      <w:r>
        <w:rPr>
          <w:lang w:val="fr-FR"/>
        </w:rPr>
        <w:t>recourir à la technique de la</w:t>
      </w:r>
      <w:r w:rsidRPr="006D3005">
        <w:rPr>
          <w:lang w:val="fr-FR"/>
        </w:rPr>
        <w:t xml:space="preserve"> </w:t>
      </w:r>
      <w:r w:rsidR="00B659DC" w:rsidRPr="00B659DC">
        <w:rPr>
          <w:lang w:val="fr-FR"/>
        </w:rPr>
        <w:t>clef</w:t>
      </w:r>
      <w:r w:rsidRPr="006D3005">
        <w:rPr>
          <w:lang w:val="fr-FR"/>
        </w:rPr>
        <w:t xml:space="preserve"> d</w:t>
      </w:r>
      <w:r>
        <w:rPr>
          <w:lang w:val="fr-FR"/>
        </w:rPr>
        <w:t>’</w:t>
      </w:r>
      <w:r w:rsidRPr="006D3005">
        <w:rPr>
          <w:lang w:val="fr-FR"/>
        </w:rPr>
        <w:t xml:space="preserve">étranglement, la révision de la politique </w:t>
      </w:r>
      <w:r>
        <w:rPr>
          <w:lang w:val="fr-FR"/>
        </w:rPr>
        <w:t>relative au recours à</w:t>
      </w:r>
      <w:r w:rsidRPr="006D3005">
        <w:rPr>
          <w:lang w:val="fr-FR"/>
        </w:rPr>
        <w:t xml:space="preserve"> la force, l</w:t>
      </w:r>
      <w:r>
        <w:rPr>
          <w:lang w:val="fr-FR"/>
        </w:rPr>
        <w:t>’</w:t>
      </w:r>
      <w:r w:rsidRPr="006D3005">
        <w:rPr>
          <w:lang w:val="fr-FR"/>
        </w:rPr>
        <w:t>obligation pour la police d</w:t>
      </w:r>
      <w:r>
        <w:rPr>
          <w:lang w:val="fr-FR"/>
        </w:rPr>
        <w:t>’</w:t>
      </w:r>
      <w:r w:rsidRPr="006D3005">
        <w:rPr>
          <w:lang w:val="fr-FR"/>
        </w:rPr>
        <w:t xml:space="preserve">annoncer </w:t>
      </w:r>
      <w:r>
        <w:rPr>
          <w:lang w:val="fr-FR"/>
        </w:rPr>
        <w:t xml:space="preserve">et d’expliquer </w:t>
      </w:r>
      <w:r w:rsidRPr="006D3005">
        <w:rPr>
          <w:lang w:val="fr-FR"/>
        </w:rPr>
        <w:t>sa présence avant d</w:t>
      </w:r>
      <w:r>
        <w:rPr>
          <w:lang w:val="fr-FR"/>
        </w:rPr>
        <w:t>’</w:t>
      </w:r>
      <w:r w:rsidRPr="006D3005">
        <w:rPr>
          <w:lang w:val="fr-FR"/>
        </w:rPr>
        <w:t>exécuter un mandat de perquisition dit «</w:t>
      </w:r>
      <w:r w:rsidR="00F56D1D">
        <w:rPr>
          <w:lang w:val="fr-FR"/>
        </w:rPr>
        <w:t> </w:t>
      </w:r>
      <w:r w:rsidRPr="006D3005">
        <w:rPr>
          <w:lang w:val="fr-FR"/>
        </w:rPr>
        <w:t>sans frapper</w:t>
      </w:r>
      <w:r w:rsidR="00F56D1D">
        <w:rPr>
          <w:lang w:val="fr-FR"/>
        </w:rPr>
        <w:t> </w:t>
      </w:r>
      <w:r w:rsidRPr="006D3005">
        <w:rPr>
          <w:lang w:val="fr-FR"/>
        </w:rPr>
        <w:t>», et l</w:t>
      </w:r>
      <w:r>
        <w:rPr>
          <w:lang w:val="fr-FR"/>
        </w:rPr>
        <w:t>’</w:t>
      </w:r>
      <w:r w:rsidRPr="006D3005">
        <w:rPr>
          <w:lang w:val="fr-FR"/>
        </w:rPr>
        <w:t>intégration</w:t>
      </w:r>
      <w:r>
        <w:rPr>
          <w:lang w:val="fr-FR"/>
        </w:rPr>
        <w:t xml:space="preserve"> dans ses rangs</w:t>
      </w:r>
      <w:r w:rsidRPr="006D3005">
        <w:rPr>
          <w:lang w:val="fr-FR"/>
        </w:rPr>
        <w:t xml:space="preserve"> d</w:t>
      </w:r>
      <w:r>
        <w:rPr>
          <w:lang w:val="fr-FR"/>
        </w:rPr>
        <w:t>’</w:t>
      </w:r>
      <w:r w:rsidRPr="006D3005">
        <w:rPr>
          <w:lang w:val="fr-FR"/>
        </w:rPr>
        <w:t>un magistrat municipal chargé de dispenser des conseils sur les enquêtes sur les fautes commises par la police</w:t>
      </w:r>
      <w:r w:rsidRPr="00CD6B67">
        <w:rPr>
          <w:rStyle w:val="FootnoteReference"/>
        </w:rPr>
        <w:footnoteReference w:id="440"/>
      </w:r>
      <w:r>
        <w:rPr>
          <w:lang w:val="fr-FR"/>
        </w:rPr>
        <w:t>.</w:t>
      </w:r>
      <w:r w:rsidRPr="00293268">
        <w:rPr>
          <w:lang w:val="fr-FR"/>
        </w:rPr>
        <w:t xml:space="preserve"> </w:t>
      </w:r>
      <w:r w:rsidRPr="005D42C3">
        <w:rPr>
          <w:lang w:val="fr-FR"/>
        </w:rPr>
        <w:t>Parmi les initiatives prises par les États figurent la loi sur les droits civils de 2021 du Nouveau</w:t>
      </w:r>
      <w:r w:rsidR="00F56D1D">
        <w:rPr>
          <w:lang w:val="fr-FR"/>
        </w:rPr>
        <w:noBreakHyphen/>
      </w:r>
      <w:r w:rsidRPr="005D42C3">
        <w:rPr>
          <w:lang w:val="fr-FR"/>
        </w:rPr>
        <w:t>Mexique, qui interdit notamment le recours à l</w:t>
      </w:r>
      <w:r>
        <w:rPr>
          <w:lang w:val="fr-FR"/>
        </w:rPr>
        <w:t>’</w:t>
      </w:r>
      <w:r w:rsidRPr="005D42C3">
        <w:rPr>
          <w:lang w:val="fr-FR"/>
        </w:rPr>
        <w:t>immunité qualifiée</w:t>
      </w:r>
      <w:r w:rsidRPr="00CD6B67">
        <w:rPr>
          <w:rStyle w:val="FootnoteReference"/>
        </w:rPr>
        <w:footnoteReference w:id="441"/>
      </w:r>
      <w:r w:rsidR="005A3E31">
        <w:rPr>
          <w:lang w:val="fr-FR"/>
        </w:rPr>
        <w:t>,</w:t>
      </w:r>
      <w:r w:rsidRPr="00293268">
        <w:rPr>
          <w:lang w:val="fr-FR"/>
        </w:rPr>
        <w:t xml:space="preserve"> </w:t>
      </w:r>
      <w:r w:rsidRPr="00DD4BD9">
        <w:rPr>
          <w:lang w:val="fr-FR"/>
        </w:rPr>
        <w:t>et l</w:t>
      </w:r>
      <w:r>
        <w:rPr>
          <w:lang w:val="fr-FR"/>
        </w:rPr>
        <w:t>’</w:t>
      </w:r>
      <w:r w:rsidRPr="00DD4BD9">
        <w:rPr>
          <w:lang w:val="fr-FR"/>
        </w:rPr>
        <w:t xml:space="preserve">introduction de lois dans différents États visant à lutter contre le racisme et les disparités raciales dans les systèmes </w:t>
      </w:r>
      <w:r>
        <w:rPr>
          <w:lang w:val="fr-FR"/>
        </w:rPr>
        <w:t>de maintien de l’ordre</w:t>
      </w:r>
      <w:r w:rsidRPr="00DD4BD9">
        <w:rPr>
          <w:lang w:val="fr-FR"/>
        </w:rPr>
        <w:t xml:space="preserve"> et de justice pénale</w:t>
      </w:r>
      <w:r w:rsidRPr="00293268">
        <w:rPr>
          <w:lang w:val="fr-FR"/>
        </w:rPr>
        <w:t xml:space="preserve">. </w:t>
      </w:r>
      <w:r w:rsidRPr="00461960">
        <w:rPr>
          <w:lang w:val="fr-FR"/>
        </w:rPr>
        <w:t>Ainsi, dans l</w:t>
      </w:r>
      <w:r>
        <w:rPr>
          <w:lang w:val="fr-FR"/>
        </w:rPr>
        <w:t>’</w:t>
      </w:r>
      <w:r w:rsidRPr="00461960">
        <w:rPr>
          <w:lang w:val="fr-FR"/>
        </w:rPr>
        <w:t>État de Californie, un décret de 2020 établissant un moratoire sur la peine de mort précise que la peine de mort est «</w:t>
      </w:r>
      <w:r>
        <w:rPr>
          <w:lang w:val="fr-FR"/>
        </w:rPr>
        <w:t> </w:t>
      </w:r>
      <w:r w:rsidRPr="00461960">
        <w:rPr>
          <w:lang w:val="fr-FR"/>
        </w:rPr>
        <w:t>appliquée de manière inégale et injuste [notamment] aux personnes de couleur</w:t>
      </w:r>
      <w:r w:rsidR="005A3E31">
        <w:rPr>
          <w:lang w:val="fr-FR"/>
        </w:rPr>
        <w:t> </w:t>
      </w:r>
      <w:r w:rsidRPr="00461960">
        <w:rPr>
          <w:lang w:val="fr-FR"/>
        </w:rPr>
        <w:t>», et la loi sur la justice raciale</w:t>
      </w:r>
      <w:r>
        <w:rPr>
          <w:lang w:val="fr-FR"/>
        </w:rPr>
        <w:t xml:space="preserve"> de ce même État</w:t>
      </w:r>
      <w:r w:rsidRPr="00461960">
        <w:rPr>
          <w:lang w:val="fr-FR"/>
        </w:rPr>
        <w:t xml:space="preserve"> permet aux détenus d</w:t>
      </w:r>
      <w:r>
        <w:rPr>
          <w:lang w:val="fr-FR"/>
        </w:rPr>
        <w:t>’</w:t>
      </w:r>
      <w:r w:rsidRPr="00461960">
        <w:rPr>
          <w:lang w:val="fr-FR"/>
        </w:rPr>
        <w:t>utiliser des preuves statistiques de préjugés raciaux pour contester leur sentence</w:t>
      </w:r>
      <w:r w:rsidRPr="00CD6B67">
        <w:rPr>
          <w:rStyle w:val="FootnoteReference"/>
        </w:rPr>
        <w:footnoteReference w:id="442"/>
      </w:r>
      <w:r>
        <w:rPr>
          <w:lang w:val="fr-FR"/>
        </w:rPr>
        <w:t>.</w:t>
      </w:r>
      <w:r w:rsidRPr="00293268">
        <w:rPr>
          <w:lang w:val="fr-FR"/>
        </w:rPr>
        <w:t xml:space="preserve"> </w:t>
      </w:r>
      <w:r w:rsidRPr="00F25367">
        <w:rPr>
          <w:lang w:val="fr-FR"/>
        </w:rPr>
        <w:t>Toujours en 2020, la Cour suprême de Caroline du Nord a annulé la tentative d</w:t>
      </w:r>
      <w:r>
        <w:rPr>
          <w:lang w:val="fr-FR"/>
        </w:rPr>
        <w:t>’</w:t>
      </w:r>
      <w:r w:rsidRPr="00F25367">
        <w:rPr>
          <w:lang w:val="fr-FR"/>
        </w:rPr>
        <w:t>abrogation rétroactive de la loi sur la justice raciale, permettant à environ 140</w:t>
      </w:r>
      <w:r w:rsidR="005A3E31">
        <w:rPr>
          <w:lang w:val="fr-FR"/>
        </w:rPr>
        <w:t> </w:t>
      </w:r>
      <w:r w:rsidRPr="00F25367">
        <w:rPr>
          <w:lang w:val="fr-FR"/>
        </w:rPr>
        <w:t xml:space="preserve">détenus de demander réparation pour des condamnations à mort qui, selon eux, avaient été </w:t>
      </w:r>
      <w:r>
        <w:rPr>
          <w:lang w:val="fr-FR"/>
        </w:rPr>
        <w:t xml:space="preserve">considérablement </w:t>
      </w:r>
      <w:r w:rsidRPr="00F25367">
        <w:rPr>
          <w:lang w:val="fr-FR"/>
        </w:rPr>
        <w:t>influencées par des préjugés raciaux</w:t>
      </w:r>
      <w:r w:rsidRPr="00CD6B67">
        <w:rPr>
          <w:rStyle w:val="FootnoteReference"/>
        </w:rPr>
        <w:footnoteReference w:id="443"/>
      </w:r>
      <w:r>
        <w:rPr>
          <w:lang w:val="fr-FR"/>
        </w:rPr>
        <w:t>.</w:t>
      </w:r>
    </w:p>
    <w:p w14:paraId="1912E30C" w14:textId="59AA414C" w:rsidR="00D301C6" w:rsidRPr="00293268" w:rsidRDefault="00D301C6" w:rsidP="00D301C6">
      <w:pPr>
        <w:pStyle w:val="SingleTxtG"/>
        <w:rPr>
          <w:lang w:val="fr-FR"/>
        </w:rPr>
      </w:pPr>
      <w:r w:rsidRPr="00293268">
        <w:rPr>
          <w:lang w:val="fr-FR"/>
        </w:rPr>
        <w:t>170.</w:t>
      </w:r>
      <w:r w:rsidRPr="00293268">
        <w:rPr>
          <w:lang w:val="fr-FR"/>
        </w:rPr>
        <w:tab/>
      </w:r>
      <w:r w:rsidRPr="000615D2">
        <w:rPr>
          <w:lang w:val="fr-FR"/>
        </w:rPr>
        <w:t>Au niveau fédéral, le projet de loi «</w:t>
      </w:r>
      <w:r w:rsidR="0028295B">
        <w:rPr>
          <w:lang w:val="fr-FR"/>
        </w:rPr>
        <w:t> </w:t>
      </w:r>
      <w:r w:rsidRPr="000615D2">
        <w:rPr>
          <w:lang w:val="fr-FR"/>
        </w:rPr>
        <w:t>George Floyd</w:t>
      </w:r>
      <w:r w:rsidR="0028295B">
        <w:rPr>
          <w:lang w:val="fr-FR"/>
        </w:rPr>
        <w:t> </w:t>
      </w:r>
      <w:r w:rsidRPr="000615D2">
        <w:rPr>
          <w:lang w:val="fr-FR"/>
        </w:rPr>
        <w:t>» (</w:t>
      </w:r>
      <w:r w:rsidRPr="00B06971">
        <w:rPr>
          <w:i/>
          <w:iCs/>
          <w:lang w:val="fr-FR"/>
        </w:rPr>
        <w:t>George Floyd Justice in Policing Act</w:t>
      </w:r>
      <w:r w:rsidRPr="000615D2">
        <w:rPr>
          <w:lang w:val="fr-FR"/>
        </w:rPr>
        <w:t>), un projet de réforme de la police qui interdirait le profilage racial, comprend des mesures telles que le refus d</w:t>
      </w:r>
      <w:r>
        <w:rPr>
          <w:lang w:val="fr-FR"/>
        </w:rPr>
        <w:t>’</w:t>
      </w:r>
      <w:r w:rsidRPr="000615D2">
        <w:rPr>
          <w:lang w:val="fr-FR"/>
        </w:rPr>
        <w:t xml:space="preserve">octroyer des fonds aux </w:t>
      </w:r>
      <w:r>
        <w:rPr>
          <w:lang w:val="fr-FR"/>
        </w:rPr>
        <w:t>autorités locales</w:t>
      </w:r>
      <w:r w:rsidRPr="000615D2">
        <w:rPr>
          <w:lang w:val="fr-FR"/>
        </w:rPr>
        <w:t xml:space="preserve"> qui autorisent les agents des forces de l</w:t>
      </w:r>
      <w:r>
        <w:rPr>
          <w:lang w:val="fr-FR"/>
        </w:rPr>
        <w:t>’</w:t>
      </w:r>
      <w:r w:rsidRPr="000615D2">
        <w:rPr>
          <w:lang w:val="fr-FR"/>
        </w:rPr>
        <w:t>ordre à utiliser la technique de</w:t>
      </w:r>
      <w:r>
        <w:rPr>
          <w:lang w:val="fr-FR"/>
        </w:rPr>
        <w:t xml:space="preserve"> la</w:t>
      </w:r>
      <w:r w:rsidRPr="000615D2">
        <w:rPr>
          <w:lang w:val="fr-FR"/>
        </w:rPr>
        <w:t xml:space="preserve"> </w:t>
      </w:r>
      <w:r w:rsidR="00B659DC" w:rsidRPr="00B659DC">
        <w:rPr>
          <w:lang w:val="fr-FR"/>
        </w:rPr>
        <w:t>clef</w:t>
      </w:r>
      <w:r w:rsidRPr="000615D2">
        <w:rPr>
          <w:lang w:val="fr-FR"/>
        </w:rPr>
        <w:t xml:space="preserve"> d</w:t>
      </w:r>
      <w:r>
        <w:rPr>
          <w:lang w:val="fr-FR"/>
        </w:rPr>
        <w:t>’</w:t>
      </w:r>
      <w:r w:rsidRPr="000615D2">
        <w:rPr>
          <w:lang w:val="fr-FR"/>
        </w:rPr>
        <w:t>étranglement, l</w:t>
      </w:r>
      <w:r>
        <w:rPr>
          <w:lang w:val="fr-FR"/>
        </w:rPr>
        <w:t>’</w:t>
      </w:r>
      <w:r w:rsidRPr="000615D2">
        <w:rPr>
          <w:lang w:val="fr-FR"/>
        </w:rPr>
        <w:t>interdiction des mandats de perquisitions dits «</w:t>
      </w:r>
      <w:r w:rsidR="00B06971">
        <w:rPr>
          <w:lang w:val="fr-FR"/>
        </w:rPr>
        <w:t> </w:t>
      </w:r>
      <w:r w:rsidRPr="000615D2">
        <w:rPr>
          <w:lang w:val="fr-FR"/>
        </w:rPr>
        <w:t>sans frapper</w:t>
      </w:r>
      <w:r w:rsidR="00B06971">
        <w:rPr>
          <w:lang w:val="fr-FR"/>
        </w:rPr>
        <w:t> </w:t>
      </w:r>
      <w:r w:rsidRPr="000615D2">
        <w:rPr>
          <w:lang w:val="fr-FR"/>
        </w:rPr>
        <w:t>», l</w:t>
      </w:r>
      <w:r>
        <w:rPr>
          <w:lang w:val="fr-FR"/>
        </w:rPr>
        <w:t>’</w:t>
      </w:r>
      <w:r w:rsidRPr="000615D2">
        <w:rPr>
          <w:lang w:val="fr-FR"/>
        </w:rPr>
        <w:t>interdiction du profilage racial et l</w:t>
      </w:r>
      <w:r>
        <w:rPr>
          <w:lang w:val="fr-FR"/>
        </w:rPr>
        <w:t>’</w:t>
      </w:r>
      <w:r w:rsidRPr="000615D2">
        <w:rPr>
          <w:lang w:val="fr-FR"/>
        </w:rPr>
        <w:t>obligation faite aux organes des forces de l</w:t>
      </w:r>
      <w:r>
        <w:rPr>
          <w:lang w:val="fr-FR"/>
        </w:rPr>
        <w:t>’</w:t>
      </w:r>
      <w:r w:rsidRPr="000615D2">
        <w:rPr>
          <w:lang w:val="fr-FR"/>
        </w:rPr>
        <w:t>ordre de fournir des données chaque fois qu</w:t>
      </w:r>
      <w:r>
        <w:rPr>
          <w:lang w:val="fr-FR"/>
        </w:rPr>
        <w:t>’</w:t>
      </w:r>
      <w:r w:rsidRPr="000615D2">
        <w:rPr>
          <w:lang w:val="fr-FR"/>
        </w:rPr>
        <w:t>un policier a eu recours à la force meurtrière. Il a été adopté par la Chambre des représentants en mars 2021 et devrait être examiné par le Sénat</w:t>
      </w:r>
      <w:r w:rsidRPr="00CD6B67">
        <w:rPr>
          <w:rStyle w:val="FootnoteReference"/>
        </w:rPr>
        <w:footnoteReference w:id="444"/>
      </w:r>
      <w:r>
        <w:rPr>
          <w:lang w:val="fr-FR"/>
        </w:rPr>
        <w:t>.</w:t>
      </w:r>
      <w:r w:rsidRPr="00293268">
        <w:rPr>
          <w:lang w:val="fr-FR"/>
        </w:rPr>
        <w:t xml:space="preserve"> </w:t>
      </w:r>
      <w:r w:rsidRPr="008C76CC">
        <w:rPr>
          <w:lang w:val="fr-FR"/>
        </w:rPr>
        <w:t>En juillet 2020, l</w:t>
      </w:r>
      <w:r>
        <w:rPr>
          <w:lang w:val="fr-FR"/>
        </w:rPr>
        <w:t>’</w:t>
      </w:r>
      <w:r w:rsidRPr="008C76CC">
        <w:rPr>
          <w:lang w:val="fr-FR"/>
        </w:rPr>
        <w:t xml:space="preserve">Association canadienne des chefs de police et Statistique Canada ont annoncé leur volonté de travailler ensemble pour permettre à la police </w:t>
      </w:r>
      <w:r>
        <w:rPr>
          <w:lang w:val="fr-FR"/>
        </w:rPr>
        <w:t>d’inclure</w:t>
      </w:r>
      <w:r w:rsidRPr="008C76CC">
        <w:rPr>
          <w:lang w:val="fr-FR"/>
        </w:rPr>
        <w:t xml:space="preserve"> des données sur les groupes autochtones et ethnoculturels dans les statistiques officielles sur les infractions </w:t>
      </w:r>
      <w:r>
        <w:rPr>
          <w:lang w:val="fr-FR"/>
        </w:rPr>
        <w:t>signalé</w:t>
      </w:r>
      <w:r w:rsidRPr="008C76CC">
        <w:rPr>
          <w:lang w:val="fr-FR"/>
        </w:rPr>
        <w:t>es par la police</w:t>
      </w:r>
      <w:r w:rsidRPr="00CD6B67">
        <w:rPr>
          <w:rStyle w:val="FootnoteReference"/>
        </w:rPr>
        <w:footnoteReference w:id="445"/>
      </w:r>
      <w:r>
        <w:rPr>
          <w:lang w:val="fr-FR"/>
        </w:rPr>
        <w:t>.</w:t>
      </w:r>
    </w:p>
    <w:p w14:paraId="049CFD0F" w14:textId="007C04C5" w:rsidR="00D301C6" w:rsidRPr="00293268" w:rsidRDefault="00D301C6" w:rsidP="00D301C6">
      <w:pPr>
        <w:pStyle w:val="SingleTxtG"/>
        <w:rPr>
          <w:lang w:val="fr-FR"/>
        </w:rPr>
      </w:pPr>
      <w:r w:rsidRPr="00293268">
        <w:rPr>
          <w:lang w:val="fr-FR"/>
        </w:rPr>
        <w:t>171.</w:t>
      </w:r>
      <w:r w:rsidRPr="00293268">
        <w:rPr>
          <w:lang w:val="fr-FR"/>
        </w:rPr>
        <w:tab/>
      </w:r>
      <w:r w:rsidRPr="00F73CD7">
        <w:rPr>
          <w:lang w:val="fr-FR"/>
        </w:rPr>
        <w:t>Dans son Plan d</w:t>
      </w:r>
      <w:r>
        <w:rPr>
          <w:lang w:val="fr-FR"/>
        </w:rPr>
        <w:t>’</w:t>
      </w:r>
      <w:r w:rsidRPr="00F73CD7">
        <w:rPr>
          <w:lang w:val="fr-FR"/>
        </w:rPr>
        <w:t>action contre le racisme 2020-2025, l</w:t>
      </w:r>
      <w:r>
        <w:rPr>
          <w:lang w:val="fr-FR"/>
        </w:rPr>
        <w:t>’</w:t>
      </w:r>
      <w:r w:rsidRPr="00F73CD7">
        <w:rPr>
          <w:lang w:val="fr-FR"/>
        </w:rPr>
        <w:t>Union européenne appelle à agir pour prévenir les attitudes discriminatoires au sein des services répressifs et à lutter contre les stéréotypes raciaux et ethniques</w:t>
      </w:r>
      <w:r w:rsidRPr="00CD6B67">
        <w:rPr>
          <w:rStyle w:val="FootnoteReference"/>
        </w:rPr>
        <w:footnoteReference w:id="446"/>
      </w:r>
      <w:r>
        <w:rPr>
          <w:lang w:val="fr-FR"/>
        </w:rPr>
        <w:t>.</w:t>
      </w:r>
      <w:r w:rsidRPr="00293268">
        <w:rPr>
          <w:lang w:val="fr-FR"/>
        </w:rPr>
        <w:t xml:space="preserve"> </w:t>
      </w:r>
      <w:r w:rsidRPr="00D36955">
        <w:rPr>
          <w:lang w:val="fr-FR"/>
        </w:rPr>
        <w:t>Au Royaume-Uni, le site Web «</w:t>
      </w:r>
      <w:r w:rsidR="000E17E8">
        <w:rPr>
          <w:lang w:val="fr-FR"/>
        </w:rPr>
        <w:t> </w:t>
      </w:r>
      <w:r w:rsidRPr="00D36955">
        <w:rPr>
          <w:lang w:val="fr-FR"/>
        </w:rPr>
        <w:t>Ethnicity Facts and Figures</w:t>
      </w:r>
      <w:r w:rsidR="000E17E8">
        <w:rPr>
          <w:lang w:val="fr-FR"/>
        </w:rPr>
        <w:t> </w:t>
      </w:r>
      <w:r w:rsidRPr="00D36955">
        <w:rPr>
          <w:lang w:val="fr-FR"/>
        </w:rPr>
        <w:t>»</w:t>
      </w:r>
      <w:r w:rsidRPr="00CD6B67">
        <w:rPr>
          <w:rStyle w:val="FootnoteReference"/>
        </w:rPr>
        <w:footnoteReference w:id="447"/>
      </w:r>
      <w:r w:rsidRPr="00293268">
        <w:rPr>
          <w:lang w:val="fr-FR"/>
        </w:rPr>
        <w:t xml:space="preserve"> </w:t>
      </w:r>
      <w:r w:rsidRPr="008C6098">
        <w:rPr>
          <w:lang w:val="fr-FR"/>
        </w:rPr>
        <w:t>et ses données ventilées sur la criminalité et le maintien de l</w:t>
      </w:r>
      <w:r>
        <w:rPr>
          <w:lang w:val="fr-FR"/>
        </w:rPr>
        <w:t>’</w:t>
      </w:r>
      <w:r w:rsidRPr="008C6098">
        <w:rPr>
          <w:lang w:val="fr-FR"/>
        </w:rPr>
        <w:t>ordre, le système de justice pénale et d</w:t>
      </w:r>
      <w:r>
        <w:rPr>
          <w:lang w:val="fr-FR"/>
        </w:rPr>
        <w:t>’</w:t>
      </w:r>
      <w:r w:rsidRPr="008C6098">
        <w:rPr>
          <w:lang w:val="fr-FR"/>
        </w:rPr>
        <w:t>autres secteurs</w:t>
      </w:r>
      <w:r w:rsidRPr="00CD6B67">
        <w:rPr>
          <w:rStyle w:val="FootnoteReference"/>
        </w:rPr>
        <w:footnoteReference w:id="448"/>
      </w:r>
      <w:r w:rsidRPr="00293268">
        <w:rPr>
          <w:lang w:val="fr-FR"/>
        </w:rPr>
        <w:t xml:space="preserve"> </w:t>
      </w:r>
      <w:r w:rsidRPr="00114156">
        <w:rPr>
          <w:lang w:val="fr-FR"/>
        </w:rPr>
        <w:t>est un exemple des efforts engagés pour fournir des données accessibles et transparentes, ventilées par race ou origine ethnique</w:t>
      </w:r>
      <w:r w:rsidRPr="00293268">
        <w:rPr>
          <w:lang w:val="fr-FR"/>
        </w:rPr>
        <w:t>.</w:t>
      </w:r>
    </w:p>
    <w:p w14:paraId="15A4D6AF" w14:textId="77777777" w:rsidR="00D301C6" w:rsidRPr="00293268" w:rsidRDefault="00D301C6" w:rsidP="00D301C6">
      <w:pPr>
        <w:pStyle w:val="SingleTxtG"/>
        <w:rPr>
          <w:lang w:val="fr-FR"/>
        </w:rPr>
      </w:pPr>
      <w:r w:rsidRPr="00293268">
        <w:rPr>
          <w:lang w:val="fr-FR"/>
        </w:rPr>
        <w:t>172.</w:t>
      </w:r>
      <w:r w:rsidRPr="00293268">
        <w:rPr>
          <w:lang w:val="fr-FR"/>
        </w:rPr>
        <w:tab/>
      </w:r>
      <w:r w:rsidRPr="00F76AA1">
        <w:rPr>
          <w:lang w:val="fr-FR"/>
        </w:rPr>
        <w:t xml:space="preserve">Ces exemples illustrent le type </w:t>
      </w:r>
      <w:r>
        <w:rPr>
          <w:lang w:val="fr-FR"/>
        </w:rPr>
        <w:t>de mesures</w:t>
      </w:r>
      <w:r w:rsidRPr="00F76AA1">
        <w:rPr>
          <w:lang w:val="fr-FR"/>
        </w:rPr>
        <w:t xml:space="preserve"> nécessaires pour mettre fin aux violations des droits de l</w:t>
      </w:r>
      <w:r>
        <w:rPr>
          <w:lang w:val="fr-FR"/>
        </w:rPr>
        <w:t>’</w:t>
      </w:r>
      <w:r w:rsidRPr="00F76AA1">
        <w:rPr>
          <w:lang w:val="fr-FR"/>
        </w:rPr>
        <w:t>homme commises par les forces de l</w:t>
      </w:r>
      <w:r>
        <w:rPr>
          <w:lang w:val="fr-FR"/>
        </w:rPr>
        <w:t>’</w:t>
      </w:r>
      <w:r w:rsidRPr="00F76AA1">
        <w:rPr>
          <w:lang w:val="fr-FR"/>
        </w:rPr>
        <w:t>ordre à l</w:t>
      </w:r>
      <w:r>
        <w:rPr>
          <w:lang w:val="fr-FR"/>
        </w:rPr>
        <w:t>’</w:t>
      </w:r>
      <w:r w:rsidRPr="00F76AA1">
        <w:rPr>
          <w:lang w:val="fr-FR"/>
        </w:rPr>
        <w:t>encontre des Africains et des personnes d</w:t>
      </w:r>
      <w:r>
        <w:rPr>
          <w:lang w:val="fr-FR"/>
        </w:rPr>
        <w:t>’</w:t>
      </w:r>
      <w:r w:rsidRPr="00F76AA1">
        <w:rPr>
          <w:lang w:val="fr-FR"/>
        </w:rPr>
        <w:t>ascendance africaine. Étant donné la nature bien ancrée et persistante des préoccupations à cet égard, les réformes individuelles ne suffiront toutefois pas à renverser le cours des choses. La section suivante propose donc une voie à suivre pour s</w:t>
      </w:r>
      <w:r>
        <w:rPr>
          <w:lang w:val="fr-FR"/>
        </w:rPr>
        <w:t>’</w:t>
      </w:r>
      <w:r w:rsidRPr="00F76AA1">
        <w:rPr>
          <w:lang w:val="fr-FR"/>
        </w:rPr>
        <w:t>attaquer aux problèmes et facteurs qui font obstacle à l</w:t>
      </w:r>
      <w:r>
        <w:rPr>
          <w:lang w:val="fr-FR"/>
        </w:rPr>
        <w:t>’</w:t>
      </w:r>
      <w:r w:rsidRPr="00F76AA1">
        <w:rPr>
          <w:lang w:val="fr-FR"/>
        </w:rPr>
        <w:t xml:space="preserve">établissement des responsabilité et à </w:t>
      </w:r>
      <w:r>
        <w:rPr>
          <w:lang w:val="fr-FR"/>
        </w:rPr>
        <w:t>l’octroi de</w:t>
      </w:r>
      <w:r w:rsidRPr="00F76AA1">
        <w:rPr>
          <w:lang w:val="fr-FR"/>
        </w:rPr>
        <w:t xml:space="preserve"> réparation</w:t>
      </w:r>
      <w:r>
        <w:rPr>
          <w:lang w:val="fr-FR"/>
        </w:rPr>
        <w:t>s</w:t>
      </w:r>
      <w:r w:rsidRPr="00293268">
        <w:rPr>
          <w:lang w:val="fr-FR"/>
        </w:rPr>
        <w:t>.</w:t>
      </w:r>
    </w:p>
    <w:p w14:paraId="6FCCADD2" w14:textId="59E8E0BF" w:rsidR="00D301C6" w:rsidRPr="00293268" w:rsidRDefault="00D301C6" w:rsidP="00D301C6">
      <w:pPr>
        <w:pStyle w:val="H1G"/>
        <w:rPr>
          <w:lang w:val="fr-FR"/>
        </w:rPr>
      </w:pPr>
      <w:bookmarkStart w:id="780" w:name="_Toc73115326"/>
      <w:bookmarkStart w:id="781" w:name="_Toc73115344"/>
      <w:bookmarkStart w:id="782" w:name="_Toc73115393"/>
      <w:bookmarkStart w:id="783" w:name="_Toc73115453"/>
      <w:bookmarkStart w:id="784" w:name="_Toc73115498"/>
      <w:bookmarkStart w:id="785" w:name="_Toc73115649"/>
      <w:bookmarkStart w:id="786" w:name="_Toc73115707"/>
      <w:bookmarkStart w:id="787" w:name="_Toc73115766"/>
      <w:bookmarkStart w:id="788" w:name="_Toc73115832"/>
      <w:bookmarkStart w:id="789" w:name="_Toc73115860"/>
      <w:bookmarkStart w:id="790" w:name="_Toc63941382"/>
      <w:bookmarkStart w:id="791" w:name="_Toc64298278"/>
      <w:bookmarkStart w:id="792" w:name="_Toc64373138"/>
      <w:bookmarkStart w:id="793" w:name="_Toc66365708"/>
      <w:bookmarkStart w:id="794" w:name="_Toc73352128"/>
      <w:bookmarkStart w:id="795" w:name="_Toc73642012"/>
      <w:bookmarkStart w:id="796" w:name="_Toc73702719"/>
      <w:bookmarkStart w:id="797" w:name="_Toc73724444"/>
      <w:bookmarkStart w:id="798" w:name="_Toc74254820"/>
      <w:bookmarkStart w:id="799" w:name="_Toc74303378"/>
      <w:bookmarkStart w:id="800" w:name="_Toc74305503"/>
      <w:bookmarkStart w:id="801" w:name="_Toc74337103"/>
      <w:bookmarkStart w:id="802" w:name="_Toc74340219"/>
      <w:bookmarkStart w:id="803" w:name="_Toc74344115"/>
      <w:bookmarkStart w:id="804" w:name="_Toc74562588"/>
      <w:bookmarkStart w:id="805" w:name="_Toc74657696"/>
      <w:bookmarkStart w:id="806" w:name="_Toc74661222"/>
      <w:bookmarkStart w:id="807" w:name="_Toc74666517"/>
      <w:bookmarkStart w:id="808" w:name="_Toc74671438"/>
      <w:bookmarkStart w:id="809" w:name="_Toc74867353"/>
      <w:bookmarkStart w:id="810" w:name="_Toc74919106"/>
      <w:bookmarkStart w:id="811" w:name="_Toc74919761"/>
      <w:bookmarkStart w:id="812" w:name="_Toc74925796"/>
      <w:bookmarkStart w:id="813" w:name="_Toc74927645"/>
      <w:bookmarkStart w:id="814" w:name="_Hlk118299559"/>
      <w:bookmarkEnd w:id="780"/>
      <w:bookmarkEnd w:id="781"/>
      <w:bookmarkEnd w:id="782"/>
      <w:bookmarkEnd w:id="783"/>
      <w:bookmarkEnd w:id="784"/>
      <w:bookmarkEnd w:id="785"/>
      <w:bookmarkEnd w:id="786"/>
      <w:bookmarkEnd w:id="787"/>
      <w:bookmarkEnd w:id="788"/>
      <w:bookmarkEnd w:id="789"/>
      <w:r w:rsidRPr="00293268">
        <w:rPr>
          <w:lang w:val="fr-FR"/>
        </w:rPr>
        <w:tab/>
      </w:r>
      <w:r w:rsidRPr="008044D0">
        <w:rPr>
          <w:lang w:val="fr-FR"/>
        </w:rPr>
        <w:t>E.</w:t>
      </w:r>
      <w:r w:rsidRPr="008044D0">
        <w:rPr>
          <w:lang w:val="fr-FR"/>
        </w:rPr>
        <w:tab/>
      </w:r>
      <w:bookmarkStart w:id="815" w:name="_Hlk116397403"/>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Pr="008044D0">
        <w:rPr>
          <w:lang w:val="fr-FR"/>
        </w:rPr>
        <w:t xml:space="preserve">Programme axé sur la transformation pour la justice et l’égalité raciales </w:t>
      </w:r>
      <w:r w:rsidR="008044D0">
        <w:rPr>
          <w:lang w:val="fr-FR"/>
        </w:rPr>
        <w:t>−</w:t>
      </w:r>
      <w:r w:rsidRPr="008044D0">
        <w:rPr>
          <w:lang w:val="fr-FR"/>
        </w:rPr>
        <w:t xml:space="preserve"> La voie à suivre </w:t>
      </w:r>
      <w:r w:rsidR="008044D0">
        <w:rPr>
          <w:lang w:val="fr-FR"/>
        </w:rPr>
        <w:t>−</w:t>
      </w:r>
      <w:r w:rsidRPr="008044D0">
        <w:rPr>
          <w:lang w:val="fr-FR"/>
        </w:rPr>
        <w:t xml:space="preserve"> RENDRE JUSTICE</w:t>
      </w:r>
      <w:r w:rsidR="008044D0">
        <w:rPr>
          <w:lang w:val="fr-FR"/>
        </w:rPr>
        <w:t> </w:t>
      </w:r>
      <w:r w:rsidRPr="008044D0">
        <w:rPr>
          <w:lang w:val="fr-FR"/>
        </w:rPr>
        <w:t xml:space="preserve">: Mettre fin </w:t>
      </w:r>
      <w:r w:rsidR="008044D0">
        <w:rPr>
          <w:lang w:val="fr-FR"/>
        </w:rPr>
        <w:br/>
      </w:r>
      <w:r w:rsidRPr="008044D0">
        <w:rPr>
          <w:lang w:val="fr-FR"/>
        </w:rPr>
        <w:t>à l’impunité et instaurer la confiance</w:t>
      </w:r>
      <w:bookmarkEnd w:id="815"/>
    </w:p>
    <w:bookmarkEnd w:id="814"/>
    <w:p w14:paraId="1A353E9D" w14:textId="77777777" w:rsidR="00D301C6" w:rsidRPr="00293268" w:rsidRDefault="00D301C6" w:rsidP="00EE59F2">
      <w:pPr>
        <w:pStyle w:val="SingleTxtG"/>
        <w:rPr>
          <w:lang w:val="fr-FR"/>
        </w:rPr>
      </w:pPr>
      <w:r w:rsidRPr="00293268">
        <w:rPr>
          <w:lang w:val="fr-FR"/>
        </w:rPr>
        <w:t>173.</w:t>
      </w:r>
      <w:r w:rsidRPr="00293268">
        <w:rPr>
          <w:lang w:val="fr-FR"/>
        </w:rPr>
        <w:tab/>
      </w:r>
      <w:r w:rsidRPr="00E22EA1">
        <w:rPr>
          <w:lang w:val="fr-FR"/>
        </w:rPr>
        <w:t xml:space="preserve">Les manifestations de masse </w:t>
      </w:r>
      <w:r>
        <w:rPr>
          <w:lang w:val="fr-FR"/>
        </w:rPr>
        <w:t xml:space="preserve">contre le racisme </w:t>
      </w:r>
      <w:r w:rsidRPr="00E22EA1">
        <w:rPr>
          <w:lang w:val="fr-FR"/>
        </w:rPr>
        <w:t>qui ont eu lieu en 2020 à la suite du décès de George Floyd ont intensifié les appels visant à garantir que les responsables des forces de l</w:t>
      </w:r>
      <w:r>
        <w:rPr>
          <w:lang w:val="fr-FR"/>
        </w:rPr>
        <w:t>’</w:t>
      </w:r>
      <w:r w:rsidRPr="00E22EA1">
        <w:rPr>
          <w:lang w:val="fr-FR"/>
        </w:rPr>
        <w:t>ordre aient à répondre des violations des droits de l</w:t>
      </w:r>
      <w:r>
        <w:rPr>
          <w:lang w:val="fr-FR"/>
        </w:rPr>
        <w:t>’</w:t>
      </w:r>
      <w:r w:rsidRPr="00E22EA1">
        <w:rPr>
          <w:lang w:val="fr-FR"/>
        </w:rPr>
        <w:t>homme et des infractions dont ils se rendent coupables à l</w:t>
      </w:r>
      <w:r>
        <w:rPr>
          <w:lang w:val="fr-FR"/>
        </w:rPr>
        <w:t>’</w:t>
      </w:r>
      <w:r w:rsidRPr="00E22EA1">
        <w:rPr>
          <w:lang w:val="fr-FR"/>
        </w:rPr>
        <w:t>égard des Africains et des personnes d</w:t>
      </w:r>
      <w:r>
        <w:rPr>
          <w:lang w:val="fr-FR"/>
        </w:rPr>
        <w:t>’</w:t>
      </w:r>
      <w:r w:rsidRPr="00E22EA1">
        <w:rPr>
          <w:lang w:val="fr-FR"/>
        </w:rPr>
        <w:t>ascendance africaine, à remédier au déficit de confiance et à renforcer le contrôle institutionnel. Un effort global est néanmoins nécessaire pour garantir une conception du maintien de l</w:t>
      </w:r>
      <w:r>
        <w:rPr>
          <w:lang w:val="fr-FR"/>
        </w:rPr>
        <w:t>’</w:t>
      </w:r>
      <w:r w:rsidRPr="00E22EA1">
        <w:rPr>
          <w:lang w:val="fr-FR"/>
        </w:rPr>
        <w:t>ordre qui soit fondée sur les droits de l</w:t>
      </w:r>
      <w:r>
        <w:rPr>
          <w:lang w:val="fr-FR"/>
        </w:rPr>
        <w:t>’</w:t>
      </w:r>
      <w:r w:rsidRPr="00E22EA1">
        <w:rPr>
          <w:lang w:val="fr-FR"/>
        </w:rPr>
        <w:t>homme et une culture institutionnelle qui soit totalement exempte de racisme</w:t>
      </w:r>
      <w:r w:rsidRPr="00293268">
        <w:rPr>
          <w:lang w:val="fr-FR"/>
        </w:rPr>
        <w:t>.</w:t>
      </w:r>
    </w:p>
    <w:p w14:paraId="07AFC11D" w14:textId="4D613A79" w:rsidR="00D301C6" w:rsidRPr="00293268" w:rsidRDefault="00D301C6" w:rsidP="00EE59F2">
      <w:pPr>
        <w:pStyle w:val="H23G"/>
        <w:rPr>
          <w:lang w:val="fr-FR"/>
        </w:rPr>
      </w:pPr>
      <w:bookmarkStart w:id="816" w:name="_Toc73642013"/>
      <w:bookmarkStart w:id="817" w:name="_Toc73702720"/>
      <w:bookmarkStart w:id="818" w:name="_Toc73724445"/>
      <w:bookmarkStart w:id="819" w:name="_Toc74254821"/>
      <w:bookmarkStart w:id="820" w:name="_Toc74303379"/>
      <w:bookmarkStart w:id="821" w:name="_Toc74305504"/>
      <w:bookmarkStart w:id="822" w:name="_Toc74337104"/>
      <w:bookmarkStart w:id="823" w:name="_Toc74340220"/>
      <w:bookmarkStart w:id="824" w:name="_Toc74344116"/>
      <w:bookmarkStart w:id="825" w:name="_Toc74562589"/>
      <w:bookmarkStart w:id="826" w:name="_Toc74657697"/>
      <w:bookmarkStart w:id="827" w:name="_Toc74661223"/>
      <w:bookmarkStart w:id="828" w:name="_Toc74666518"/>
      <w:bookmarkStart w:id="829" w:name="_Toc74671439"/>
      <w:bookmarkStart w:id="830" w:name="_Toc74867354"/>
      <w:bookmarkStart w:id="831" w:name="_Toc74919107"/>
      <w:bookmarkStart w:id="832" w:name="_Toc74919762"/>
      <w:bookmarkStart w:id="833" w:name="_Toc74925797"/>
      <w:bookmarkStart w:id="834" w:name="_Toc74927646"/>
      <w:r w:rsidRPr="00293268">
        <w:rPr>
          <w:lang w:val="fr-FR"/>
        </w:rPr>
        <w:tab/>
        <w:t>1.</w:t>
      </w:r>
      <w:r w:rsidRPr="00293268">
        <w:rPr>
          <w:lang w:val="fr-FR"/>
        </w:rPr>
        <w:tab/>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F76FBD">
        <w:rPr>
          <w:lang w:val="fr-FR"/>
        </w:rPr>
        <w:t>Repenser le maintien de l</w:t>
      </w:r>
      <w:r>
        <w:rPr>
          <w:lang w:val="fr-FR"/>
        </w:rPr>
        <w:t>’</w:t>
      </w:r>
      <w:r w:rsidRPr="00F76FBD">
        <w:rPr>
          <w:lang w:val="fr-FR"/>
        </w:rPr>
        <w:t xml:space="preserve">ordre et le système de justice pénale en soutenant et appliquant des </w:t>
      </w:r>
      <w:r>
        <w:rPr>
          <w:lang w:val="fr-FR"/>
        </w:rPr>
        <w:t>modèle</w:t>
      </w:r>
      <w:r w:rsidRPr="00F76FBD">
        <w:rPr>
          <w:lang w:val="fr-FR"/>
        </w:rPr>
        <w:t xml:space="preserve">s </w:t>
      </w:r>
      <w:r>
        <w:rPr>
          <w:lang w:val="fr-FR"/>
        </w:rPr>
        <w:t xml:space="preserve">locaux </w:t>
      </w:r>
      <w:r w:rsidRPr="00D42336">
        <w:rPr>
          <w:lang w:val="fr-FR"/>
        </w:rPr>
        <w:t>de dignité et de sécurité collective</w:t>
      </w:r>
      <w:r w:rsidRPr="00F76FBD">
        <w:rPr>
          <w:lang w:val="fr-FR"/>
        </w:rPr>
        <w:t xml:space="preserve"> qui protègent </w:t>
      </w:r>
      <w:r w:rsidR="00EE59F2">
        <w:rPr>
          <w:lang w:val="fr-FR"/>
        </w:rPr>
        <w:br/>
      </w:r>
      <w:r w:rsidRPr="00F76FBD">
        <w:rPr>
          <w:lang w:val="fr-FR"/>
        </w:rPr>
        <w:t xml:space="preserve">et servent tous les membres </w:t>
      </w:r>
      <w:r>
        <w:rPr>
          <w:lang w:val="fr-FR"/>
        </w:rPr>
        <w:t>de la population,</w:t>
      </w:r>
      <w:r w:rsidRPr="00F76FBD">
        <w:rPr>
          <w:lang w:val="fr-FR"/>
        </w:rPr>
        <w:t xml:space="preserve"> sans discrimination</w:t>
      </w:r>
    </w:p>
    <w:p w14:paraId="7C903239" w14:textId="0D882824" w:rsidR="00D301C6" w:rsidRPr="00293268" w:rsidRDefault="00D301C6" w:rsidP="00EE59F2">
      <w:pPr>
        <w:pStyle w:val="SingleTxtG"/>
        <w:rPr>
          <w:lang w:val="fr-FR"/>
        </w:rPr>
      </w:pPr>
      <w:r w:rsidRPr="00293268">
        <w:rPr>
          <w:lang w:val="fr-FR"/>
        </w:rPr>
        <w:t>174.</w:t>
      </w:r>
      <w:r w:rsidRPr="00293268">
        <w:rPr>
          <w:lang w:val="fr-FR"/>
        </w:rPr>
        <w:tab/>
      </w:r>
      <w:r w:rsidRPr="006E1AD6">
        <w:rPr>
          <w:lang w:val="fr-FR"/>
        </w:rPr>
        <w:t>Les États devraient en</w:t>
      </w:r>
      <w:r>
        <w:rPr>
          <w:lang w:val="fr-FR"/>
        </w:rPr>
        <w:t>tamer</w:t>
      </w:r>
      <w:r w:rsidRPr="006E1AD6">
        <w:rPr>
          <w:lang w:val="fr-FR"/>
        </w:rPr>
        <w:t xml:space="preserve"> une profonde introspection et favoriser la participation </w:t>
      </w:r>
      <w:r>
        <w:rPr>
          <w:lang w:val="fr-FR"/>
        </w:rPr>
        <w:t>et l’engagement</w:t>
      </w:r>
      <w:r w:rsidRPr="006E1AD6">
        <w:rPr>
          <w:lang w:val="fr-FR"/>
        </w:rPr>
        <w:t xml:space="preserve"> des</w:t>
      </w:r>
      <w:r>
        <w:rPr>
          <w:lang w:val="fr-FR"/>
        </w:rPr>
        <w:t xml:space="preserve"> personnes d’ascendance africaine et des populations</w:t>
      </w:r>
      <w:r w:rsidRPr="006E1AD6">
        <w:rPr>
          <w:lang w:val="fr-FR"/>
        </w:rPr>
        <w:t xml:space="preserve"> concernées au travail mené pour repenser le maintien de l</w:t>
      </w:r>
      <w:r>
        <w:rPr>
          <w:lang w:val="fr-FR"/>
        </w:rPr>
        <w:t>’</w:t>
      </w:r>
      <w:r w:rsidRPr="006E1AD6">
        <w:rPr>
          <w:lang w:val="fr-FR"/>
        </w:rPr>
        <w:t>ordre et réformer le système de justice pénale. Ce</w:t>
      </w:r>
      <w:r>
        <w:rPr>
          <w:lang w:val="fr-FR"/>
        </w:rPr>
        <w:t>s</w:t>
      </w:r>
      <w:r w:rsidR="007E756F">
        <w:rPr>
          <w:lang w:val="fr-FR"/>
        </w:rPr>
        <w:t> </w:t>
      </w:r>
      <w:r>
        <w:rPr>
          <w:lang w:val="fr-FR"/>
        </w:rPr>
        <w:t>initiatives doivent</w:t>
      </w:r>
      <w:r w:rsidRPr="006E1AD6">
        <w:rPr>
          <w:lang w:val="fr-FR"/>
        </w:rPr>
        <w:t xml:space="preserve"> être perçu</w:t>
      </w:r>
      <w:r>
        <w:rPr>
          <w:lang w:val="fr-FR"/>
        </w:rPr>
        <w:t>es</w:t>
      </w:r>
      <w:r w:rsidRPr="006E1AD6">
        <w:rPr>
          <w:lang w:val="fr-FR"/>
        </w:rPr>
        <w:t xml:space="preserve"> comme </w:t>
      </w:r>
      <w:r>
        <w:rPr>
          <w:lang w:val="fr-FR"/>
        </w:rPr>
        <w:t>des</w:t>
      </w:r>
      <w:r w:rsidRPr="006E1AD6">
        <w:rPr>
          <w:lang w:val="fr-FR"/>
        </w:rPr>
        <w:t xml:space="preserve"> tentative</w:t>
      </w:r>
      <w:r>
        <w:rPr>
          <w:lang w:val="fr-FR"/>
        </w:rPr>
        <w:t>s</w:t>
      </w:r>
      <w:r w:rsidRPr="006E1AD6">
        <w:rPr>
          <w:lang w:val="fr-FR"/>
        </w:rPr>
        <w:t xml:space="preserve"> sincère</w:t>
      </w:r>
      <w:r>
        <w:rPr>
          <w:lang w:val="fr-FR"/>
        </w:rPr>
        <w:t>s</w:t>
      </w:r>
      <w:r w:rsidRPr="006E1AD6">
        <w:rPr>
          <w:lang w:val="fr-FR"/>
        </w:rPr>
        <w:t xml:space="preserve"> de faire en sorte que les services de police protègent et représentent mieux tous les </w:t>
      </w:r>
      <w:r>
        <w:rPr>
          <w:lang w:val="fr-FR"/>
        </w:rPr>
        <w:t xml:space="preserve">membres de la population </w:t>
      </w:r>
      <w:r w:rsidRPr="006E1AD6">
        <w:rPr>
          <w:lang w:val="fr-FR"/>
        </w:rPr>
        <w:t>et les servent sur un pied d</w:t>
      </w:r>
      <w:r>
        <w:rPr>
          <w:lang w:val="fr-FR"/>
        </w:rPr>
        <w:t>’</w:t>
      </w:r>
      <w:r w:rsidRPr="006E1AD6">
        <w:rPr>
          <w:lang w:val="fr-FR"/>
        </w:rPr>
        <w:t>égalité</w:t>
      </w:r>
      <w:r w:rsidRPr="00293268">
        <w:rPr>
          <w:lang w:val="fr-FR"/>
        </w:rPr>
        <w:t>.</w:t>
      </w:r>
    </w:p>
    <w:p w14:paraId="42E3B9DB" w14:textId="77777777" w:rsidR="00D301C6" w:rsidRPr="00293268" w:rsidRDefault="00D301C6" w:rsidP="00D301C6">
      <w:pPr>
        <w:pStyle w:val="SingleTxtG"/>
        <w:rPr>
          <w:lang w:val="fr-FR"/>
        </w:rPr>
      </w:pPr>
      <w:r w:rsidRPr="00293268">
        <w:rPr>
          <w:lang w:val="fr-FR"/>
        </w:rPr>
        <w:t>175.</w:t>
      </w:r>
      <w:r w:rsidRPr="00293268">
        <w:rPr>
          <w:lang w:val="fr-FR"/>
        </w:rPr>
        <w:tab/>
      </w:r>
      <w:r w:rsidRPr="008F7742">
        <w:rPr>
          <w:lang w:val="fr-FR"/>
        </w:rPr>
        <w:t>Ces processus d</w:t>
      </w:r>
      <w:r>
        <w:rPr>
          <w:lang w:val="fr-FR"/>
        </w:rPr>
        <w:t>’</w:t>
      </w:r>
      <w:r w:rsidRPr="008F7742">
        <w:rPr>
          <w:lang w:val="fr-FR"/>
        </w:rPr>
        <w:t>introspection devraient porter sur le rôle des forces de l</w:t>
      </w:r>
      <w:r>
        <w:rPr>
          <w:lang w:val="fr-FR"/>
        </w:rPr>
        <w:t>’</w:t>
      </w:r>
      <w:r w:rsidRPr="008F7742">
        <w:rPr>
          <w:lang w:val="fr-FR"/>
        </w:rPr>
        <w:t xml:space="preserve">ordre dans la société et sur la manière dont leurs méthodes et leur </w:t>
      </w:r>
      <w:r>
        <w:rPr>
          <w:lang w:val="fr-FR"/>
        </w:rPr>
        <w:t>lien avec</w:t>
      </w:r>
      <w:r w:rsidRPr="008F7742">
        <w:rPr>
          <w:lang w:val="fr-FR"/>
        </w:rPr>
        <w:t xml:space="preserve"> les injustices subies au cours de l</w:t>
      </w:r>
      <w:r>
        <w:rPr>
          <w:lang w:val="fr-FR"/>
        </w:rPr>
        <w:t>’</w:t>
      </w:r>
      <w:r w:rsidRPr="008F7742">
        <w:rPr>
          <w:lang w:val="fr-FR"/>
        </w:rPr>
        <w:t>histoire se répercute</w:t>
      </w:r>
      <w:r>
        <w:rPr>
          <w:lang w:val="fr-FR"/>
        </w:rPr>
        <w:t>nt</w:t>
      </w:r>
      <w:r w:rsidRPr="008F7742">
        <w:rPr>
          <w:lang w:val="fr-FR"/>
        </w:rPr>
        <w:t xml:space="preserve"> sur le fonctionnement des institutions </w:t>
      </w:r>
      <w:r>
        <w:rPr>
          <w:lang w:val="fr-FR"/>
        </w:rPr>
        <w:t xml:space="preserve">contemporaines </w:t>
      </w:r>
      <w:r w:rsidRPr="008F7742">
        <w:rPr>
          <w:lang w:val="fr-FR"/>
        </w:rPr>
        <w:t>de maintien de l</w:t>
      </w:r>
      <w:r>
        <w:rPr>
          <w:lang w:val="fr-FR"/>
        </w:rPr>
        <w:t>’</w:t>
      </w:r>
      <w:r w:rsidRPr="008F7742">
        <w:rPr>
          <w:lang w:val="fr-FR"/>
        </w:rPr>
        <w:t>ordre et le système de justice pénale. Ils devraient aussi porter sur les obstacles qui empêchent les cultures et pratiques institutionnelles d</w:t>
      </w:r>
      <w:r>
        <w:rPr>
          <w:lang w:val="fr-FR"/>
        </w:rPr>
        <w:t>’</w:t>
      </w:r>
      <w:r w:rsidRPr="008F7742">
        <w:rPr>
          <w:lang w:val="fr-FR"/>
        </w:rPr>
        <w:t xml:space="preserve">évoluer et la responsabilité </w:t>
      </w:r>
      <w:r>
        <w:rPr>
          <w:lang w:val="fr-FR"/>
        </w:rPr>
        <w:t xml:space="preserve">qui revient aux </w:t>
      </w:r>
      <w:r w:rsidRPr="008F7742">
        <w:rPr>
          <w:lang w:val="fr-FR"/>
        </w:rPr>
        <w:t xml:space="preserve">supérieurs hiérarchiques </w:t>
      </w:r>
      <w:r>
        <w:rPr>
          <w:lang w:val="fr-FR"/>
        </w:rPr>
        <w:t>de promouvoir des</w:t>
      </w:r>
      <w:r w:rsidRPr="008F7742">
        <w:rPr>
          <w:lang w:val="fr-FR"/>
        </w:rPr>
        <w:t xml:space="preserve"> politiques </w:t>
      </w:r>
      <w:r>
        <w:rPr>
          <w:lang w:val="fr-FR"/>
        </w:rPr>
        <w:t>favorisant</w:t>
      </w:r>
      <w:r w:rsidRPr="008F7742">
        <w:rPr>
          <w:lang w:val="fr-FR"/>
        </w:rPr>
        <w:t xml:space="preserve"> </w:t>
      </w:r>
      <w:r>
        <w:rPr>
          <w:lang w:val="fr-FR"/>
        </w:rPr>
        <w:t>d</w:t>
      </w:r>
      <w:r w:rsidRPr="008F7742">
        <w:rPr>
          <w:lang w:val="fr-FR"/>
        </w:rPr>
        <w:t xml:space="preserve">es interventions collégiales efficaces pour mettre un terme aux violations et faire en sorte que les manquements soient sanctionnés. </w:t>
      </w:r>
      <w:r>
        <w:rPr>
          <w:lang w:val="fr-FR"/>
        </w:rPr>
        <w:t>C</w:t>
      </w:r>
      <w:r w:rsidRPr="008F7742">
        <w:rPr>
          <w:lang w:val="fr-FR"/>
        </w:rPr>
        <w:t>es processus devraient</w:t>
      </w:r>
      <w:r>
        <w:rPr>
          <w:lang w:val="fr-FR"/>
        </w:rPr>
        <w:t xml:space="preserve"> en outre</w:t>
      </w:r>
      <w:r w:rsidRPr="008F7742">
        <w:rPr>
          <w:lang w:val="fr-FR"/>
        </w:rPr>
        <w:t xml:space="preserve"> chercher à donner la priorité à la réalisation de la justice sociale, notamment par l</w:t>
      </w:r>
      <w:r>
        <w:rPr>
          <w:lang w:val="fr-FR"/>
        </w:rPr>
        <w:t>’</w:t>
      </w:r>
      <w:r w:rsidRPr="008F7742">
        <w:rPr>
          <w:lang w:val="fr-FR"/>
        </w:rPr>
        <w:t>allocation de fonds publics, et à faire en sorte que les forces de l</w:t>
      </w:r>
      <w:r>
        <w:rPr>
          <w:lang w:val="fr-FR"/>
        </w:rPr>
        <w:t>’</w:t>
      </w:r>
      <w:r w:rsidRPr="008F7742">
        <w:rPr>
          <w:lang w:val="fr-FR"/>
        </w:rPr>
        <w:t>ordre interviennent dans les domaines où elles disposent d</w:t>
      </w:r>
      <w:r>
        <w:rPr>
          <w:lang w:val="fr-FR"/>
        </w:rPr>
        <w:t>’a</w:t>
      </w:r>
      <w:r w:rsidRPr="008F7742">
        <w:rPr>
          <w:lang w:val="fr-FR"/>
        </w:rPr>
        <w:t xml:space="preserve">touts et de compétences. Il est également essentiel de </w:t>
      </w:r>
      <w:r>
        <w:rPr>
          <w:lang w:val="fr-FR"/>
        </w:rPr>
        <w:t xml:space="preserve">supprimer </w:t>
      </w:r>
      <w:r w:rsidRPr="008F7742">
        <w:rPr>
          <w:lang w:val="fr-FR"/>
        </w:rPr>
        <w:t>tout ce qui peut inciter (voir les exemples ci-dessus) à perpétuer le racisme et la discrimination raciale au sein des forces de l</w:t>
      </w:r>
      <w:r>
        <w:rPr>
          <w:lang w:val="fr-FR"/>
        </w:rPr>
        <w:t>’</w:t>
      </w:r>
      <w:r w:rsidRPr="008F7742">
        <w:rPr>
          <w:lang w:val="fr-FR"/>
        </w:rPr>
        <w:t>ordre</w:t>
      </w:r>
      <w:r w:rsidRPr="00293268">
        <w:rPr>
          <w:lang w:val="fr-FR"/>
        </w:rPr>
        <w:t>.</w:t>
      </w:r>
    </w:p>
    <w:p w14:paraId="355DD7DB" w14:textId="77777777" w:rsidR="00D301C6" w:rsidRPr="00293268" w:rsidRDefault="00D301C6" w:rsidP="00D301C6">
      <w:pPr>
        <w:pStyle w:val="SingleTxtG"/>
        <w:rPr>
          <w:lang w:val="fr-FR"/>
        </w:rPr>
      </w:pPr>
      <w:r w:rsidRPr="00293268">
        <w:rPr>
          <w:lang w:val="fr-FR"/>
        </w:rPr>
        <w:t>176.</w:t>
      </w:r>
      <w:r w:rsidRPr="00293268">
        <w:rPr>
          <w:lang w:val="fr-FR"/>
        </w:rPr>
        <w:tab/>
      </w:r>
      <w:r>
        <w:rPr>
          <w:lang w:val="fr-FR"/>
        </w:rPr>
        <w:t>D</w:t>
      </w:r>
      <w:r w:rsidRPr="00BA79EC">
        <w:rPr>
          <w:lang w:val="fr-FR"/>
        </w:rPr>
        <w:t>es méthodes différentes et complémentaires en matière d</w:t>
      </w:r>
      <w:r>
        <w:rPr>
          <w:lang w:val="fr-FR"/>
        </w:rPr>
        <w:t>’</w:t>
      </w:r>
      <w:r w:rsidRPr="00BA79EC">
        <w:rPr>
          <w:lang w:val="fr-FR"/>
        </w:rPr>
        <w:t xml:space="preserve">action policière et de recours à la force devraient être dûment adoptées </w:t>
      </w:r>
      <w:r>
        <w:rPr>
          <w:lang w:val="fr-FR"/>
        </w:rPr>
        <w:t>selon le</w:t>
      </w:r>
      <w:r w:rsidRPr="00BA79EC">
        <w:rPr>
          <w:lang w:val="fr-FR"/>
        </w:rPr>
        <w:t xml:space="preserve"> contexte</w:t>
      </w:r>
      <w:r>
        <w:rPr>
          <w:lang w:val="fr-FR"/>
        </w:rPr>
        <w:t>,</w:t>
      </w:r>
      <w:r w:rsidRPr="00BA79EC">
        <w:rPr>
          <w:lang w:val="fr-FR"/>
        </w:rPr>
        <w:t xml:space="preserve"> comme les établissements scolaires, les crises de santé mentale, les réunions et la gestion des migrations et des frontières. L</w:t>
      </w:r>
      <w:r>
        <w:rPr>
          <w:lang w:val="fr-FR"/>
        </w:rPr>
        <w:t>’</w:t>
      </w:r>
      <w:r w:rsidRPr="00BA79EC">
        <w:rPr>
          <w:lang w:val="fr-FR"/>
        </w:rPr>
        <w:t xml:space="preserve">application potentiellement discriminatoire du droit pénal doit être combattue à tous les niveaux, </w:t>
      </w:r>
      <w:r>
        <w:rPr>
          <w:lang w:val="fr-FR"/>
        </w:rPr>
        <w:t>particulièrement</w:t>
      </w:r>
      <w:r w:rsidRPr="00BA79EC">
        <w:rPr>
          <w:lang w:val="fr-FR"/>
        </w:rPr>
        <w:t xml:space="preserve"> en réformant les politiques, lois et pratiques </w:t>
      </w:r>
      <w:r>
        <w:rPr>
          <w:lang w:val="fr-FR"/>
        </w:rPr>
        <w:t>relatives</w:t>
      </w:r>
      <w:r w:rsidRPr="00BA79EC">
        <w:rPr>
          <w:lang w:val="fr-FR"/>
        </w:rPr>
        <w:t xml:space="preserve"> aux stupéfiants qui ont un effet discriminatoire, conformément aux normes internationales des droits de l</w:t>
      </w:r>
      <w:r>
        <w:rPr>
          <w:lang w:val="fr-FR"/>
        </w:rPr>
        <w:t>’</w:t>
      </w:r>
      <w:r w:rsidRPr="00BA79EC">
        <w:rPr>
          <w:lang w:val="fr-FR"/>
        </w:rPr>
        <w:t>homme. Les mesures répressives ne suffisent pas à elles seules à résoudre les problèmes sociétaux plus larges, notamment la criminalité. Elles doivent s</w:t>
      </w:r>
      <w:r>
        <w:rPr>
          <w:lang w:val="fr-FR"/>
        </w:rPr>
        <w:t>’</w:t>
      </w:r>
      <w:r w:rsidRPr="00BA79EC">
        <w:rPr>
          <w:lang w:val="fr-FR"/>
        </w:rPr>
        <w:t>accompagner de programmes visant à remédier au manque de confiance entre les personnes d</w:t>
      </w:r>
      <w:r>
        <w:rPr>
          <w:lang w:val="fr-FR"/>
        </w:rPr>
        <w:t>’</w:t>
      </w:r>
      <w:r w:rsidRPr="00BA79EC">
        <w:rPr>
          <w:lang w:val="fr-FR"/>
        </w:rPr>
        <w:t xml:space="preserve">ascendance africaine et les </w:t>
      </w:r>
      <w:r>
        <w:rPr>
          <w:lang w:val="fr-FR"/>
        </w:rPr>
        <w:t xml:space="preserve">organes des </w:t>
      </w:r>
      <w:r w:rsidRPr="00BA79EC">
        <w:rPr>
          <w:lang w:val="fr-FR"/>
        </w:rPr>
        <w:t>forces de l</w:t>
      </w:r>
      <w:r>
        <w:rPr>
          <w:lang w:val="fr-FR"/>
        </w:rPr>
        <w:t>’</w:t>
      </w:r>
      <w:r w:rsidRPr="00BA79EC">
        <w:rPr>
          <w:lang w:val="fr-FR"/>
        </w:rPr>
        <w:t xml:space="preserve">ordre. </w:t>
      </w:r>
      <w:r>
        <w:rPr>
          <w:lang w:val="fr-FR"/>
        </w:rPr>
        <w:t>L</w:t>
      </w:r>
      <w:r w:rsidRPr="00BA79EC">
        <w:rPr>
          <w:lang w:val="fr-FR"/>
        </w:rPr>
        <w:t>es États doivent</w:t>
      </w:r>
      <w:r>
        <w:rPr>
          <w:lang w:val="fr-FR"/>
        </w:rPr>
        <w:t xml:space="preserve"> en outre</w:t>
      </w:r>
      <w:r w:rsidRPr="00BA79EC">
        <w:rPr>
          <w:lang w:val="fr-FR"/>
        </w:rPr>
        <w:t xml:space="preserve"> investir dans des programmes durables et transversaux qui réduisent les inégalités et mettent fin à la discrimination dans les domaines de l</w:t>
      </w:r>
      <w:r>
        <w:rPr>
          <w:lang w:val="fr-FR"/>
        </w:rPr>
        <w:t>’</w:t>
      </w:r>
      <w:r w:rsidRPr="00BA79EC">
        <w:rPr>
          <w:lang w:val="fr-FR"/>
        </w:rPr>
        <w:t>éducation, de l</w:t>
      </w:r>
      <w:r>
        <w:rPr>
          <w:lang w:val="fr-FR"/>
        </w:rPr>
        <w:t>’</w:t>
      </w:r>
      <w:r w:rsidRPr="00BA79EC">
        <w:rPr>
          <w:lang w:val="fr-FR"/>
        </w:rPr>
        <w:t>emploi, des soins de santé et du logement, ainsi que dans des stratégies efficaces de réduction de la violence armée, qui donnent des résultats plus positifs que les arrestations et les poursuites. Les programmes menés à l</w:t>
      </w:r>
      <w:r>
        <w:rPr>
          <w:lang w:val="fr-FR"/>
        </w:rPr>
        <w:t>’</w:t>
      </w:r>
      <w:r w:rsidRPr="00BA79EC">
        <w:rPr>
          <w:lang w:val="fr-FR"/>
        </w:rPr>
        <w:t>initiative des États devraient se concentrer sur la prévention et étudier les causes profondes de la criminalité et les effets cumulés du racisme systémique</w:t>
      </w:r>
      <w:r w:rsidRPr="00293268">
        <w:rPr>
          <w:lang w:val="fr-FR"/>
        </w:rPr>
        <w:t>.</w:t>
      </w:r>
    </w:p>
    <w:p w14:paraId="6C2EC978" w14:textId="4301F497" w:rsidR="00D301C6" w:rsidRPr="00293268" w:rsidRDefault="00D301C6" w:rsidP="00D301C6">
      <w:pPr>
        <w:pStyle w:val="SingleTxtG"/>
        <w:rPr>
          <w:lang w:val="fr-FR"/>
        </w:rPr>
      </w:pPr>
      <w:r w:rsidRPr="00293268">
        <w:rPr>
          <w:lang w:val="fr-FR"/>
        </w:rPr>
        <w:t>177.</w:t>
      </w:r>
      <w:r w:rsidRPr="00293268">
        <w:rPr>
          <w:lang w:val="fr-FR"/>
        </w:rPr>
        <w:tab/>
      </w:r>
      <w:r>
        <w:rPr>
          <w:lang w:val="fr-FR"/>
        </w:rPr>
        <w:t>Lutter contre les</w:t>
      </w:r>
      <w:r w:rsidRPr="00A71EB3">
        <w:rPr>
          <w:lang w:val="fr-FR"/>
        </w:rPr>
        <w:t xml:space="preserve"> préjugés à l</w:t>
      </w:r>
      <w:r>
        <w:rPr>
          <w:lang w:val="fr-FR"/>
        </w:rPr>
        <w:t>’</w:t>
      </w:r>
      <w:r w:rsidRPr="00A71EB3">
        <w:rPr>
          <w:lang w:val="fr-FR"/>
        </w:rPr>
        <w:t>égard des minorités raciales et ethniques, en particulier à l</w:t>
      </w:r>
      <w:r>
        <w:rPr>
          <w:lang w:val="fr-FR"/>
        </w:rPr>
        <w:t>’</w:t>
      </w:r>
      <w:r w:rsidRPr="00A71EB3">
        <w:rPr>
          <w:lang w:val="fr-FR"/>
        </w:rPr>
        <w:t>égard des personnes d</w:t>
      </w:r>
      <w:r>
        <w:rPr>
          <w:lang w:val="fr-FR"/>
        </w:rPr>
        <w:t>’</w:t>
      </w:r>
      <w:r w:rsidRPr="00A71EB3">
        <w:rPr>
          <w:lang w:val="fr-FR"/>
        </w:rPr>
        <w:t>ascendance africaine, que nourrissent certains membres des forces de l</w:t>
      </w:r>
      <w:r>
        <w:rPr>
          <w:lang w:val="fr-FR"/>
        </w:rPr>
        <w:t>’</w:t>
      </w:r>
      <w:r w:rsidRPr="00A71EB3">
        <w:rPr>
          <w:lang w:val="fr-FR"/>
        </w:rPr>
        <w:t>ordre nécessite des mesures institutionnelles, notamment des initiatives visant à renforcer la diversité au sein des forces de l</w:t>
      </w:r>
      <w:r>
        <w:rPr>
          <w:lang w:val="fr-FR"/>
        </w:rPr>
        <w:t>’</w:t>
      </w:r>
      <w:r w:rsidRPr="00A71EB3">
        <w:rPr>
          <w:lang w:val="fr-FR"/>
        </w:rPr>
        <w:t>ordre et de l</w:t>
      </w:r>
      <w:r>
        <w:rPr>
          <w:lang w:val="fr-FR"/>
        </w:rPr>
        <w:t>’</w:t>
      </w:r>
      <w:r w:rsidRPr="00A71EB3">
        <w:rPr>
          <w:lang w:val="fr-FR"/>
        </w:rPr>
        <w:t>administration de la justice (y</w:t>
      </w:r>
      <w:r w:rsidR="00E068F7">
        <w:rPr>
          <w:lang w:val="fr-FR"/>
        </w:rPr>
        <w:t> </w:t>
      </w:r>
      <w:r w:rsidRPr="00A71EB3">
        <w:rPr>
          <w:lang w:val="fr-FR"/>
        </w:rPr>
        <w:t xml:space="preserve">compris parmi les juges, les procureurs et les avocats), car </w:t>
      </w:r>
      <w:r>
        <w:rPr>
          <w:lang w:val="fr-FR"/>
        </w:rPr>
        <w:t xml:space="preserve">il a été démontré que </w:t>
      </w:r>
      <w:r w:rsidRPr="00A71EB3">
        <w:rPr>
          <w:lang w:val="fr-FR"/>
        </w:rPr>
        <w:t xml:space="preserve">les formations isolées destinées à lutter contre les préjugés et </w:t>
      </w:r>
      <w:r>
        <w:rPr>
          <w:lang w:val="fr-FR"/>
        </w:rPr>
        <w:t>consacrées aux</w:t>
      </w:r>
      <w:r w:rsidRPr="00A71EB3">
        <w:rPr>
          <w:lang w:val="fr-FR"/>
        </w:rPr>
        <w:t xml:space="preserve"> droits de l</w:t>
      </w:r>
      <w:r>
        <w:rPr>
          <w:lang w:val="fr-FR"/>
        </w:rPr>
        <w:t>’</w:t>
      </w:r>
      <w:r w:rsidRPr="00A71EB3">
        <w:rPr>
          <w:lang w:val="fr-FR"/>
        </w:rPr>
        <w:t>homme avaient un effet limité</w:t>
      </w:r>
      <w:r w:rsidRPr="00CD6B67">
        <w:rPr>
          <w:rStyle w:val="FootnoteReference"/>
        </w:rPr>
        <w:footnoteReference w:id="449"/>
      </w:r>
      <w:r>
        <w:rPr>
          <w:lang w:val="fr-FR"/>
        </w:rPr>
        <w:t>.</w:t>
      </w:r>
      <w:r w:rsidRPr="00293268">
        <w:rPr>
          <w:lang w:val="fr-FR"/>
        </w:rPr>
        <w:t xml:space="preserve"> </w:t>
      </w:r>
      <w:r w:rsidRPr="00E32FDF">
        <w:rPr>
          <w:lang w:val="fr-FR"/>
        </w:rPr>
        <w:t>L</w:t>
      </w:r>
      <w:r>
        <w:rPr>
          <w:lang w:val="fr-FR"/>
        </w:rPr>
        <w:t>’</w:t>
      </w:r>
      <w:r w:rsidRPr="00E32FDF">
        <w:rPr>
          <w:lang w:val="fr-FR"/>
        </w:rPr>
        <w:t>efficacité des pratiques policières passe par des techniques de coopération et de persuasion, appliquées avec soin et équité. La conduite de chaque agent</w:t>
      </w:r>
      <w:r>
        <w:rPr>
          <w:lang w:val="fr-FR"/>
        </w:rPr>
        <w:t xml:space="preserve"> des forces de l’ordre</w:t>
      </w:r>
      <w:r w:rsidRPr="00E32FDF">
        <w:rPr>
          <w:lang w:val="fr-FR"/>
        </w:rPr>
        <w:t xml:space="preserve"> doit être conforme au droit international des droits de l</w:t>
      </w:r>
      <w:r>
        <w:rPr>
          <w:lang w:val="fr-FR"/>
        </w:rPr>
        <w:t>’</w:t>
      </w:r>
      <w:r w:rsidRPr="00E32FDF">
        <w:rPr>
          <w:lang w:val="fr-FR"/>
        </w:rPr>
        <w:t>homme. Dans certaines situations, lorsque leurs actions individuelles sont motivées par des préjugés conscients ou inconscients, l</w:t>
      </w:r>
      <w:r>
        <w:rPr>
          <w:lang w:val="fr-FR"/>
        </w:rPr>
        <w:t>’</w:t>
      </w:r>
      <w:r w:rsidRPr="00E32FDF">
        <w:rPr>
          <w:lang w:val="fr-FR"/>
        </w:rPr>
        <w:t>exercice d</w:t>
      </w:r>
      <w:r>
        <w:rPr>
          <w:lang w:val="fr-FR"/>
        </w:rPr>
        <w:t>’</w:t>
      </w:r>
      <w:r w:rsidRPr="00E32FDF">
        <w:rPr>
          <w:lang w:val="fr-FR"/>
        </w:rPr>
        <w:t xml:space="preserve">un pouvoir discrétionnaire qui peut sembler légal à première vue est </w:t>
      </w:r>
      <w:r>
        <w:rPr>
          <w:lang w:val="fr-FR"/>
        </w:rPr>
        <w:t>en réalité</w:t>
      </w:r>
      <w:r w:rsidRPr="00E32FDF">
        <w:rPr>
          <w:lang w:val="fr-FR"/>
        </w:rPr>
        <w:t xml:space="preserve"> illégal, et a pour effet de perpétuer le racisme systémique</w:t>
      </w:r>
      <w:r>
        <w:rPr>
          <w:lang w:val="fr-FR"/>
        </w:rPr>
        <w:t xml:space="preserve">. </w:t>
      </w:r>
    </w:p>
    <w:p w14:paraId="59F3E36C" w14:textId="77777777" w:rsidR="00D301C6" w:rsidRPr="00293268" w:rsidRDefault="00D301C6" w:rsidP="00D301C6">
      <w:pPr>
        <w:pStyle w:val="SingleTxtG"/>
        <w:rPr>
          <w:lang w:val="fr-FR"/>
        </w:rPr>
      </w:pPr>
      <w:r w:rsidRPr="00293268">
        <w:rPr>
          <w:lang w:val="fr-FR"/>
        </w:rPr>
        <w:t>178.</w:t>
      </w:r>
      <w:r w:rsidRPr="00293268">
        <w:rPr>
          <w:lang w:val="fr-FR"/>
        </w:rPr>
        <w:tab/>
      </w:r>
      <w:r w:rsidRPr="00403A98">
        <w:rPr>
          <w:lang w:val="fr-FR"/>
        </w:rPr>
        <w:t>Pour améliorer les rôles et fonctions des forces de l</w:t>
      </w:r>
      <w:r>
        <w:rPr>
          <w:lang w:val="fr-FR"/>
        </w:rPr>
        <w:t>’</w:t>
      </w:r>
      <w:r w:rsidRPr="00403A98">
        <w:rPr>
          <w:lang w:val="fr-FR"/>
        </w:rPr>
        <w:t xml:space="preserve">ordre et remédier au manque de confiance de nombreuses </w:t>
      </w:r>
      <w:r>
        <w:rPr>
          <w:lang w:val="fr-FR"/>
        </w:rPr>
        <w:t xml:space="preserve">personnes </w:t>
      </w:r>
      <w:r w:rsidRPr="00403A98">
        <w:rPr>
          <w:lang w:val="fr-FR"/>
        </w:rPr>
        <w:t>d</w:t>
      </w:r>
      <w:r>
        <w:rPr>
          <w:lang w:val="fr-FR"/>
        </w:rPr>
        <w:t>’</w:t>
      </w:r>
      <w:r w:rsidRPr="00403A98">
        <w:rPr>
          <w:lang w:val="fr-FR"/>
        </w:rPr>
        <w:t xml:space="preserve">ascendance africaine </w:t>
      </w:r>
      <w:r>
        <w:rPr>
          <w:lang w:val="fr-FR"/>
        </w:rPr>
        <w:t>à leur égard</w:t>
      </w:r>
      <w:r w:rsidRPr="00403A98">
        <w:rPr>
          <w:lang w:val="fr-FR"/>
        </w:rPr>
        <w:t xml:space="preserve">, il convient de donner la priorité à la fourniture de services publics et aux besoins de la </w:t>
      </w:r>
      <w:r>
        <w:rPr>
          <w:lang w:val="fr-FR"/>
        </w:rPr>
        <w:t>collectivité</w:t>
      </w:r>
      <w:r w:rsidRPr="00403A98">
        <w:rPr>
          <w:lang w:val="fr-FR"/>
        </w:rPr>
        <w:t xml:space="preserve"> dans son ensemble. </w:t>
      </w:r>
      <w:r>
        <w:rPr>
          <w:lang w:val="fr-FR"/>
        </w:rPr>
        <w:t>Il importe pour ce faire</w:t>
      </w:r>
      <w:r w:rsidRPr="00403A98">
        <w:rPr>
          <w:lang w:val="fr-FR"/>
        </w:rPr>
        <w:t xml:space="preserve"> d</w:t>
      </w:r>
      <w:r>
        <w:rPr>
          <w:lang w:val="fr-FR"/>
        </w:rPr>
        <w:t>’</w:t>
      </w:r>
      <w:r w:rsidRPr="00403A98">
        <w:rPr>
          <w:lang w:val="fr-FR"/>
        </w:rPr>
        <w:t>équilibrer l</w:t>
      </w:r>
      <w:r>
        <w:rPr>
          <w:lang w:val="fr-FR"/>
        </w:rPr>
        <w:t>’</w:t>
      </w:r>
      <w:r w:rsidRPr="00403A98">
        <w:rPr>
          <w:lang w:val="fr-FR"/>
        </w:rPr>
        <w:t xml:space="preserve">affectation des ressources </w:t>
      </w:r>
      <w:r>
        <w:rPr>
          <w:lang w:val="fr-FR"/>
        </w:rPr>
        <w:t>destinées aux services répressifs et la fourniture des services</w:t>
      </w:r>
      <w:r w:rsidRPr="00403A98">
        <w:rPr>
          <w:lang w:val="fr-FR"/>
        </w:rPr>
        <w:t>, de mettre fin à l</w:t>
      </w:r>
      <w:r>
        <w:rPr>
          <w:lang w:val="fr-FR"/>
        </w:rPr>
        <w:t>’</w:t>
      </w:r>
      <w:r w:rsidRPr="00403A98">
        <w:rPr>
          <w:lang w:val="fr-FR"/>
        </w:rPr>
        <w:t>utilisation d</w:t>
      </w:r>
      <w:r>
        <w:rPr>
          <w:lang w:val="fr-FR"/>
        </w:rPr>
        <w:t>’</w:t>
      </w:r>
      <w:r w:rsidRPr="00403A98">
        <w:rPr>
          <w:lang w:val="fr-FR"/>
        </w:rPr>
        <w:t>armes et de tactiques militarisées et de réorganiser les tâches et les ressources à d</w:t>
      </w:r>
      <w:r>
        <w:rPr>
          <w:lang w:val="fr-FR"/>
        </w:rPr>
        <w:t>’</w:t>
      </w:r>
      <w:r w:rsidRPr="00403A98">
        <w:rPr>
          <w:lang w:val="fr-FR"/>
        </w:rPr>
        <w:t>autres missions de maintien de l</w:t>
      </w:r>
      <w:r>
        <w:rPr>
          <w:lang w:val="fr-FR"/>
        </w:rPr>
        <w:t>’</w:t>
      </w:r>
      <w:r w:rsidRPr="00403A98">
        <w:rPr>
          <w:lang w:val="fr-FR"/>
        </w:rPr>
        <w:t>ordre</w:t>
      </w:r>
      <w:r w:rsidRPr="00293268">
        <w:rPr>
          <w:lang w:val="fr-FR"/>
        </w:rPr>
        <w:t>.</w:t>
      </w:r>
    </w:p>
    <w:p w14:paraId="7C68968C" w14:textId="77777777" w:rsidR="00D301C6" w:rsidRPr="00293268" w:rsidRDefault="00D301C6" w:rsidP="00D301C6">
      <w:pPr>
        <w:pStyle w:val="SingleTxtG"/>
        <w:rPr>
          <w:lang w:val="fr-FR"/>
        </w:rPr>
      </w:pPr>
      <w:r w:rsidRPr="00293268">
        <w:rPr>
          <w:lang w:val="fr-FR"/>
        </w:rPr>
        <w:t>179.</w:t>
      </w:r>
      <w:r w:rsidRPr="00293268">
        <w:rPr>
          <w:lang w:val="fr-FR"/>
        </w:rPr>
        <w:tab/>
      </w:r>
      <w:r>
        <w:rPr>
          <w:lang w:val="fr-FR"/>
        </w:rPr>
        <w:t>Compte tenu d</w:t>
      </w:r>
      <w:r w:rsidRPr="009C32AC">
        <w:rPr>
          <w:lang w:val="fr-FR"/>
        </w:rPr>
        <w:t xml:space="preserve">e ces éléments, les États peuvent, comme point de départ, </w:t>
      </w:r>
      <w:r>
        <w:rPr>
          <w:lang w:val="fr-FR"/>
        </w:rPr>
        <w:t xml:space="preserve">réaliser un </w:t>
      </w:r>
      <w:r w:rsidRPr="009C32AC">
        <w:rPr>
          <w:lang w:val="fr-FR"/>
        </w:rPr>
        <w:t>audit des droits de l</w:t>
      </w:r>
      <w:r>
        <w:rPr>
          <w:lang w:val="fr-FR"/>
        </w:rPr>
        <w:t>’</w:t>
      </w:r>
      <w:r w:rsidRPr="009C32AC">
        <w:rPr>
          <w:lang w:val="fr-FR"/>
        </w:rPr>
        <w:t>homme qui se concentrerait sur la caractère systémique des manifestations de racisme et de discrimination raciale au sein des forces de l</w:t>
      </w:r>
      <w:r>
        <w:rPr>
          <w:lang w:val="fr-FR"/>
        </w:rPr>
        <w:t>’</w:t>
      </w:r>
      <w:r w:rsidRPr="009C32AC">
        <w:rPr>
          <w:lang w:val="fr-FR"/>
        </w:rPr>
        <w:t xml:space="preserve">ordre et, plus généralement, </w:t>
      </w:r>
      <w:r>
        <w:rPr>
          <w:lang w:val="fr-FR"/>
        </w:rPr>
        <w:t>au sein du</w:t>
      </w:r>
      <w:r w:rsidRPr="009C32AC">
        <w:rPr>
          <w:lang w:val="fr-FR"/>
        </w:rPr>
        <w:t xml:space="preserve"> système de justice pénale. Un tel audit devrait </w:t>
      </w:r>
      <w:r>
        <w:rPr>
          <w:lang w:val="fr-FR"/>
        </w:rPr>
        <w:t>chercher à déterminer</w:t>
      </w:r>
      <w:r w:rsidRPr="009C32AC">
        <w:rPr>
          <w:lang w:val="fr-FR"/>
        </w:rPr>
        <w:t xml:space="preserve"> si les lois, les politiques, les directives et les pratiques ont des répercussions différentes selon les </w:t>
      </w:r>
      <w:r>
        <w:rPr>
          <w:lang w:val="fr-FR"/>
        </w:rPr>
        <w:t>populations</w:t>
      </w:r>
      <w:r w:rsidRPr="009C32AC">
        <w:rPr>
          <w:lang w:val="fr-FR"/>
        </w:rPr>
        <w:t xml:space="preserve">, comme </w:t>
      </w:r>
      <w:r>
        <w:rPr>
          <w:lang w:val="fr-FR"/>
        </w:rPr>
        <w:t>celles</w:t>
      </w:r>
      <w:r w:rsidRPr="009C32AC">
        <w:rPr>
          <w:lang w:val="fr-FR"/>
        </w:rPr>
        <w:t xml:space="preserve"> d</w:t>
      </w:r>
      <w:r>
        <w:rPr>
          <w:lang w:val="fr-FR"/>
        </w:rPr>
        <w:t>’</w:t>
      </w:r>
      <w:r w:rsidRPr="009C32AC">
        <w:rPr>
          <w:lang w:val="fr-FR"/>
        </w:rPr>
        <w:t xml:space="preserve">ascendance africaine, ainsi que les </w:t>
      </w:r>
      <w:r>
        <w:rPr>
          <w:lang w:val="fr-FR"/>
        </w:rPr>
        <w:t>éléments d’ordre personnel</w:t>
      </w:r>
      <w:r w:rsidRPr="009C32AC">
        <w:rPr>
          <w:lang w:val="fr-FR"/>
        </w:rPr>
        <w:t xml:space="preserve"> et contributions </w:t>
      </w:r>
      <w:r>
        <w:rPr>
          <w:lang w:val="fr-FR"/>
        </w:rPr>
        <w:t>de</w:t>
      </w:r>
      <w:r w:rsidRPr="009C32AC">
        <w:rPr>
          <w:lang w:val="fr-FR"/>
        </w:rPr>
        <w:t xml:space="preserve"> chaque agent des forces de l</w:t>
      </w:r>
      <w:r>
        <w:rPr>
          <w:lang w:val="fr-FR"/>
        </w:rPr>
        <w:t>’</w:t>
      </w:r>
      <w:r w:rsidRPr="009C32AC">
        <w:rPr>
          <w:lang w:val="fr-FR"/>
        </w:rPr>
        <w:t>ordre. Il s</w:t>
      </w:r>
      <w:r>
        <w:rPr>
          <w:lang w:val="fr-FR"/>
        </w:rPr>
        <w:t>’</w:t>
      </w:r>
      <w:r w:rsidRPr="009C32AC">
        <w:rPr>
          <w:lang w:val="fr-FR"/>
        </w:rPr>
        <w:t>agirait également d</w:t>
      </w:r>
      <w:r>
        <w:rPr>
          <w:lang w:val="fr-FR"/>
        </w:rPr>
        <w:t>’</w:t>
      </w:r>
      <w:r w:rsidRPr="009C32AC">
        <w:rPr>
          <w:lang w:val="fr-FR"/>
        </w:rPr>
        <w:t>examiner de manière critique les garanties permettant aux institutions de repérer et d</w:t>
      </w:r>
      <w:r>
        <w:rPr>
          <w:lang w:val="fr-FR"/>
        </w:rPr>
        <w:t>’</w:t>
      </w:r>
      <w:r w:rsidRPr="009C32AC">
        <w:rPr>
          <w:lang w:val="fr-FR"/>
        </w:rPr>
        <w:t xml:space="preserve">atténuer les risques de stéréotypes et de préjugés. Cette évaluation pourrait être menée par des </w:t>
      </w:r>
      <w:r>
        <w:rPr>
          <w:lang w:val="fr-FR"/>
        </w:rPr>
        <w:t>spécialistes</w:t>
      </w:r>
      <w:r w:rsidRPr="00A85F6B">
        <w:rPr>
          <w:lang w:val="fr-FR"/>
        </w:rPr>
        <w:t xml:space="preserve"> des services de répression</w:t>
      </w:r>
      <w:r w:rsidRPr="009C32AC">
        <w:rPr>
          <w:lang w:val="fr-FR"/>
        </w:rPr>
        <w:t xml:space="preserve">, des </w:t>
      </w:r>
      <w:r>
        <w:rPr>
          <w:lang w:val="fr-FR"/>
        </w:rPr>
        <w:t>experts des</w:t>
      </w:r>
      <w:r w:rsidRPr="009C32AC">
        <w:rPr>
          <w:lang w:val="fr-FR"/>
        </w:rPr>
        <w:t xml:space="preserve"> droits de l</w:t>
      </w:r>
      <w:r>
        <w:rPr>
          <w:lang w:val="fr-FR"/>
        </w:rPr>
        <w:t>’</w:t>
      </w:r>
      <w:r w:rsidRPr="009C32AC">
        <w:rPr>
          <w:lang w:val="fr-FR"/>
        </w:rPr>
        <w:t xml:space="preserve">homme spécialisés dans la lutte contre la discrimination raciale et des représentants de la société civile, </w:t>
      </w:r>
      <w:r>
        <w:rPr>
          <w:lang w:val="fr-FR"/>
        </w:rPr>
        <w:t>dont</w:t>
      </w:r>
      <w:r w:rsidRPr="009C32AC">
        <w:rPr>
          <w:lang w:val="fr-FR"/>
        </w:rPr>
        <w:t xml:space="preserve"> des personnes d</w:t>
      </w:r>
      <w:r>
        <w:rPr>
          <w:lang w:val="fr-FR"/>
        </w:rPr>
        <w:t>’</w:t>
      </w:r>
      <w:r w:rsidRPr="009C32AC">
        <w:rPr>
          <w:lang w:val="fr-FR"/>
        </w:rPr>
        <w:t>ascendance africaine</w:t>
      </w:r>
      <w:r w:rsidRPr="00293268">
        <w:rPr>
          <w:lang w:val="fr-FR"/>
        </w:rPr>
        <w:t>.</w:t>
      </w:r>
    </w:p>
    <w:p w14:paraId="536483C7" w14:textId="668221A3" w:rsidR="00D301C6" w:rsidRPr="00293268" w:rsidRDefault="00D301C6" w:rsidP="00F74EC9">
      <w:pPr>
        <w:pStyle w:val="H23G"/>
        <w:rPr>
          <w:lang w:val="fr-FR"/>
        </w:rPr>
      </w:pPr>
      <w:bookmarkStart w:id="835" w:name="_Toc73642014"/>
      <w:bookmarkStart w:id="836" w:name="_Toc73702721"/>
      <w:bookmarkStart w:id="837" w:name="_Toc73724446"/>
      <w:bookmarkStart w:id="838" w:name="_Toc74254822"/>
      <w:bookmarkStart w:id="839" w:name="_Toc74303380"/>
      <w:bookmarkStart w:id="840" w:name="_Toc74305505"/>
      <w:bookmarkStart w:id="841" w:name="_Toc74337105"/>
      <w:bookmarkStart w:id="842" w:name="_Toc74340221"/>
      <w:bookmarkStart w:id="843" w:name="_Toc74344117"/>
      <w:bookmarkStart w:id="844" w:name="_Toc74562590"/>
      <w:bookmarkStart w:id="845" w:name="_Toc74657698"/>
      <w:bookmarkStart w:id="846" w:name="_Toc74661224"/>
      <w:bookmarkStart w:id="847" w:name="_Toc74666519"/>
      <w:bookmarkStart w:id="848" w:name="_Toc74671440"/>
      <w:bookmarkStart w:id="849" w:name="_Toc74867355"/>
      <w:bookmarkStart w:id="850" w:name="_Toc74919108"/>
      <w:bookmarkStart w:id="851" w:name="_Toc74919763"/>
      <w:bookmarkStart w:id="852" w:name="_Toc74925798"/>
      <w:bookmarkStart w:id="853" w:name="_Toc74927647"/>
      <w:r w:rsidRPr="00293268">
        <w:rPr>
          <w:lang w:val="fr-FR"/>
        </w:rPr>
        <w:tab/>
        <w:t>2.</w:t>
      </w:r>
      <w:r w:rsidRPr="00293268">
        <w:rPr>
          <w:lang w:val="fr-FR"/>
        </w:rPr>
        <w:tab/>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946A28">
        <w:rPr>
          <w:lang w:val="fr-FR"/>
        </w:rPr>
        <w:t xml:space="preserve">Engager des réformes </w:t>
      </w:r>
      <w:r>
        <w:rPr>
          <w:lang w:val="fr-FR"/>
        </w:rPr>
        <w:t>afin de</w:t>
      </w:r>
      <w:r w:rsidRPr="00946A28">
        <w:rPr>
          <w:lang w:val="fr-FR"/>
        </w:rPr>
        <w:t xml:space="preserve"> </w:t>
      </w:r>
      <w:r>
        <w:rPr>
          <w:lang w:val="fr-FR"/>
        </w:rPr>
        <w:t>restreindre</w:t>
      </w:r>
      <w:r w:rsidRPr="00946A28">
        <w:rPr>
          <w:lang w:val="fr-FR"/>
        </w:rPr>
        <w:t xml:space="preserve"> le recours à la force et interdire le profilage </w:t>
      </w:r>
      <w:r w:rsidR="00F74EC9">
        <w:rPr>
          <w:lang w:val="fr-FR"/>
        </w:rPr>
        <w:br/>
      </w:r>
      <w:r w:rsidRPr="00946A28">
        <w:rPr>
          <w:lang w:val="fr-FR"/>
        </w:rPr>
        <w:t>racial</w:t>
      </w:r>
      <w:r w:rsidR="00BF73AB">
        <w:rPr>
          <w:lang w:val="fr-FR"/>
        </w:rPr>
        <w:t> ;</w:t>
      </w:r>
      <w:r w:rsidRPr="00946A28">
        <w:rPr>
          <w:lang w:val="fr-FR"/>
        </w:rPr>
        <w:t xml:space="preserve"> traduire en justice de manière systématique et efficace les membres des forces </w:t>
      </w:r>
      <w:r w:rsidR="00F74EC9">
        <w:rPr>
          <w:lang w:val="fr-FR"/>
        </w:rPr>
        <w:br/>
      </w:r>
      <w:r w:rsidRPr="00946A28">
        <w:rPr>
          <w:lang w:val="fr-FR"/>
        </w:rPr>
        <w:t>de l</w:t>
      </w:r>
      <w:r>
        <w:rPr>
          <w:lang w:val="fr-FR"/>
        </w:rPr>
        <w:t>’</w:t>
      </w:r>
      <w:r w:rsidRPr="00946A28">
        <w:rPr>
          <w:lang w:val="fr-FR"/>
        </w:rPr>
        <w:t xml:space="preserve">ordre </w:t>
      </w:r>
      <w:r>
        <w:rPr>
          <w:lang w:val="fr-FR"/>
        </w:rPr>
        <w:t>qui commettent des</w:t>
      </w:r>
      <w:r w:rsidRPr="00946A28">
        <w:rPr>
          <w:lang w:val="fr-FR"/>
        </w:rPr>
        <w:t xml:space="preserve"> violations des droits de l</w:t>
      </w:r>
      <w:r>
        <w:rPr>
          <w:lang w:val="fr-FR"/>
        </w:rPr>
        <w:t>’</w:t>
      </w:r>
      <w:r w:rsidRPr="00946A28">
        <w:rPr>
          <w:lang w:val="fr-FR"/>
        </w:rPr>
        <w:t xml:space="preserve">homme visant les Africains </w:t>
      </w:r>
      <w:r w:rsidR="00F74EC9">
        <w:rPr>
          <w:lang w:val="fr-FR"/>
        </w:rPr>
        <w:br/>
      </w:r>
      <w:r w:rsidRPr="00946A28">
        <w:rPr>
          <w:lang w:val="fr-FR"/>
        </w:rPr>
        <w:t>et les personnes d</w:t>
      </w:r>
      <w:r>
        <w:rPr>
          <w:lang w:val="fr-FR"/>
        </w:rPr>
        <w:t>’</w:t>
      </w:r>
      <w:r w:rsidRPr="00946A28">
        <w:rPr>
          <w:lang w:val="fr-FR"/>
        </w:rPr>
        <w:t>ascendance africaine</w:t>
      </w:r>
      <w:r w:rsidR="00BF73AB">
        <w:rPr>
          <w:lang w:val="fr-FR"/>
        </w:rPr>
        <w:t> ;</w:t>
      </w:r>
      <w:r w:rsidRPr="00946A28">
        <w:rPr>
          <w:lang w:val="fr-FR"/>
        </w:rPr>
        <w:t xml:space="preserve"> et accorder des réparations aux victimes </w:t>
      </w:r>
      <w:r w:rsidR="00F74EC9">
        <w:rPr>
          <w:lang w:val="fr-FR"/>
        </w:rPr>
        <w:br/>
      </w:r>
      <w:r w:rsidRPr="00946A28">
        <w:rPr>
          <w:lang w:val="fr-FR"/>
        </w:rPr>
        <w:t>et à leur famille</w:t>
      </w:r>
    </w:p>
    <w:p w14:paraId="52203A24" w14:textId="77777777" w:rsidR="00D301C6" w:rsidRPr="00293268" w:rsidRDefault="00D301C6" w:rsidP="00D301C6">
      <w:pPr>
        <w:pStyle w:val="SingleTxtG"/>
        <w:rPr>
          <w:lang w:val="fr-FR"/>
        </w:rPr>
      </w:pPr>
      <w:r w:rsidRPr="00293268">
        <w:rPr>
          <w:lang w:val="fr-FR"/>
        </w:rPr>
        <w:t>180.</w:t>
      </w:r>
      <w:r w:rsidRPr="00293268">
        <w:rPr>
          <w:lang w:val="fr-FR"/>
        </w:rPr>
        <w:tab/>
      </w:r>
      <w:r w:rsidRPr="00E46682">
        <w:rPr>
          <w:lang w:val="fr-FR"/>
        </w:rPr>
        <w:t>Les États devraient interdire le profilage racial dans les pratiques de maintien de l</w:t>
      </w:r>
      <w:r>
        <w:rPr>
          <w:lang w:val="fr-FR"/>
        </w:rPr>
        <w:t>’</w:t>
      </w:r>
      <w:r w:rsidRPr="00E46682">
        <w:rPr>
          <w:lang w:val="fr-FR"/>
        </w:rPr>
        <w:t>ordre qui associent le fait d</w:t>
      </w:r>
      <w:r>
        <w:rPr>
          <w:lang w:val="fr-FR"/>
        </w:rPr>
        <w:t>’</w:t>
      </w:r>
      <w:r w:rsidRPr="00E46682">
        <w:rPr>
          <w:lang w:val="fr-FR"/>
        </w:rPr>
        <w:t xml:space="preserve">être noir à la délinquance, notamment sur la voie publique, et y remédier en </w:t>
      </w:r>
      <w:r>
        <w:rPr>
          <w:lang w:val="fr-FR"/>
        </w:rPr>
        <w:t xml:space="preserve">élaborant des </w:t>
      </w:r>
      <w:r w:rsidRPr="00A011D0">
        <w:rPr>
          <w:lang w:val="fr-FR"/>
        </w:rPr>
        <w:t>consignes détaillées concernant</w:t>
      </w:r>
      <w:r>
        <w:rPr>
          <w:lang w:val="fr-FR"/>
        </w:rPr>
        <w:t xml:space="preserve"> </w:t>
      </w:r>
      <w:r w:rsidRPr="00A011D0">
        <w:rPr>
          <w:lang w:val="fr-FR"/>
        </w:rPr>
        <w:t xml:space="preserve">les interpellations et les fouilles, assorties de normes précises, </w:t>
      </w:r>
      <w:r w:rsidRPr="00D37B3F">
        <w:rPr>
          <w:lang w:val="fr-FR"/>
        </w:rPr>
        <w:t>en concertation avec les groupes concernés,</w:t>
      </w:r>
      <w:r>
        <w:rPr>
          <w:lang w:val="fr-FR"/>
        </w:rPr>
        <w:t xml:space="preserve"> </w:t>
      </w:r>
      <w:r w:rsidRPr="00A011D0">
        <w:rPr>
          <w:lang w:val="fr-FR"/>
        </w:rPr>
        <w:t>afin d</w:t>
      </w:r>
      <w:r>
        <w:rPr>
          <w:lang w:val="fr-FR"/>
        </w:rPr>
        <w:t>’</w:t>
      </w:r>
      <w:r w:rsidRPr="00A011D0">
        <w:rPr>
          <w:lang w:val="fr-FR"/>
        </w:rPr>
        <w:t>empêcher le profilage</w:t>
      </w:r>
      <w:r>
        <w:rPr>
          <w:lang w:val="fr-FR"/>
        </w:rPr>
        <w:t xml:space="preserve"> </w:t>
      </w:r>
      <w:r w:rsidRPr="00A011D0">
        <w:rPr>
          <w:lang w:val="fr-FR"/>
        </w:rPr>
        <w:t>racial</w:t>
      </w:r>
      <w:r w:rsidRPr="00CD6B67">
        <w:rPr>
          <w:rStyle w:val="FootnoteReference"/>
        </w:rPr>
        <w:footnoteReference w:id="450"/>
      </w:r>
      <w:r>
        <w:rPr>
          <w:lang w:val="fr-FR"/>
        </w:rPr>
        <w:t>.</w:t>
      </w:r>
      <w:r w:rsidRPr="00293268">
        <w:rPr>
          <w:lang w:val="fr-FR"/>
        </w:rPr>
        <w:t xml:space="preserve"> </w:t>
      </w:r>
      <w:r>
        <w:rPr>
          <w:lang w:val="fr-FR"/>
        </w:rPr>
        <w:t>Une telle démarche doit prévoir</w:t>
      </w:r>
      <w:r w:rsidRPr="00690D68">
        <w:rPr>
          <w:lang w:val="fr-FR"/>
        </w:rPr>
        <w:t xml:space="preserve"> l</w:t>
      </w:r>
      <w:r>
        <w:rPr>
          <w:lang w:val="fr-FR"/>
        </w:rPr>
        <w:t>’</w:t>
      </w:r>
      <w:r w:rsidRPr="00690D68">
        <w:rPr>
          <w:lang w:val="fr-FR"/>
        </w:rPr>
        <w:t>examen des lois et règlements qui risquent de permettre ou de faciliter le profilage racial</w:t>
      </w:r>
      <w:r w:rsidRPr="00CD6B67">
        <w:rPr>
          <w:rStyle w:val="FootnoteReference"/>
        </w:rPr>
        <w:footnoteReference w:id="451"/>
      </w:r>
      <w:r>
        <w:rPr>
          <w:lang w:val="fr-FR"/>
        </w:rPr>
        <w:t>.</w:t>
      </w:r>
    </w:p>
    <w:p w14:paraId="3963508B" w14:textId="77777777" w:rsidR="00D301C6" w:rsidRPr="00293268" w:rsidRDefault="00D301C6" w:rsidP="00D301C6">
      <w:pPr>
        <w:pStyle w:val="SingleTxtG"/>
        <w:rPr>
          <w:lang w:val="fr-FR"/>
        </w:rPr>
      </w:pPr>
      <w:r w:rsidRPr="00293268">
        <w:rPr>
          <w:lang w:val="fr-FR"/>
        </w:rPr>
        <w:t>181.</w:t>
      </w:r>
      <w:r w:rsidRPr="00293268">
        <w:rPr>
          <w:lang w:val="fr-FR"/>
        </w:rPr>
        <w:tab/>
      </w:r>
      <w:r w:rsidRPr="0081649B">
        <w:rPr>
          <w:lang w:val="fr-FR"/>
        </w:rPr>
        <w:t>Les États devraient examiner dans quelle mesure les préjugés et les stéréotypes raciaux font partie de la culture institutionnelle des forces de l</w:t>
      </w:r>
      <w:r>
        <w:rPr>
          <w:lang w:val="fr-FR"/>
        </w:rPr>
        <w:t>’</w:t>
      </w:r>
      <w:r w:rsidRPr="0081649B">
        <w:rPr>
          <w:lang w:val="fr-FR"/>
        </w:rPr>
        <w:t>ordre et du système de justice pénale, et y remédier. Les politiques, règlements et codes de conduite internes sur la prévention du racisme et la lutte contre ce phénomène, de même que leur examen périodique, devraient également s</w:t>
      </w:r>
      <w:r>
        <w:rPr>
          <w:lang w:val="fr-FR"/>
        </w:rPr>
        <w:t>’</w:t>
      </w:r>
      <w:r w:rsidRPr="0081649B">
        <w:rPr>
          <w:lang w:val="fr-FR"/>
        </w:rPr>
        <w:t xml:space="preserve">appliquer aux procédures administratives internes, telles que le recrutement, les promotions, la budgétisation, la planification, la formation et </w:t>
      </w:r>
      <w:r>
        <w:rPr>
          <w:lang w:val="fr-FR"/>
        </w:rPr>
        <w:t xml:space="preserve">les </w:t>
      </w:r>
      <w:r w:rsidRPr="00953700">
        <w:rPr>
          <w:lang w:val="fr-FR"/>
        </w:rPr>
        <w:t>mécanismes internes d</w:t>
      </w:r>
      <w:r>
        <w:rPr>
          <w:lang w:val="fr-FR"/>
        </w:rPr>
        <w:t>’</w:t>
      </w:r>
      <w:r w:rsidRPr="00953700">
        <w:rPr>
          <w:lang w:val="fr-FR"/>
        </w:rPr>
        <w:t>établissement des responsabilités</w:t>
      </w:r>
      <w:r w:rsidRPr="0081649B">
        <w:rPr>
          <w:lang w:val="fr-FR"/>
        </w:rPr>
        <w:t xml:space="preserve">. Plus </w:t>
      </w:r>
      <w:r>
        <w:rPr>
          <w:lang w:val="fr-FR"/>
        </w:rPr>
        <w:t>généralement</w:t>
      </w:r>
      <w:r w:rsidRPr="0081649B">
        <w:rPr>
          <w:lang w:val="fr-FR"/>
        </w:rPr>
        <w:t>, les États devraient veiller à ce que toutes les autorités et institutions publiques, qu</w:t>
      </w:r>
      <w:r>
        <w:rPr>
          <w:lang w:val="fr-FR"/>
        </w:rPr>
        <w:t>’</w:t>
      </w:r>
      <w:r w:rsidRPr="0081649B">
        <w:rPr>
          <w:lang w:val="fr-FR"/>
        </w:rPr>
        <w:t>elles soient fédérales, étatiques ou locales, agissent en conformité avec les principes de non-discrimination</w:t>
      </w:r>
      <w:r w:rsidRPr="00CD6B67">
        <w:rPr>
          <w:rStyle w:val="FootnoteReference"/>
        </w:rPr>
        <w:footnoteReference w:id="452"/>
      </w:r>
      <w:r>
        <w:rPr>
          <w:lang w:val="fr-FR"/>
        </w:rPr>
        <w:t>, qu’elles</w:t>
      </w:r>
      <w:r w:rsidRPr="00293268">
        <w:rPr>
          <w:lang w:val="fr-FR"/>
        </w:rPr>
        <w:t xml:space="preserve"> </w:t>
      </w:r>
      <w:r w:rsidRPr="00142E55">
        <w:rPr>
          <w:lang w:val="fr-FR"/>
        </w:rPr>
        <w:t>soient habilité</w:t>
      </w:r>
      <w:r>
        <w:rPr>
          <w:lang w:val="fr-FR"/>
        </w:rPr>
        <w:t>e</w:t>
      </w:r>
      <w:r w:rsidRPr="00142E55">
        <w:rPr>
          <w:lang w:val="fr-FR"/>
        </w:rPr>
        <w:t xml:space="preserve">s à enquêter sur les </w:t>
      </w:r>
      <w:r>
        <w:rPr>
          <w:lang w:val="fr-FR"/>
        </w:rPr>
        <w:t>affaires</w:t>
      </w:r>
      <w:r w:rsidRPr="00142E55">
        <w:rPr>
          <w:lang w:val="fr-FR"/>
        </w:rPr>
        <w:t xml:space="preserve"> de discrimination, recueillent et publient des données ventilées sur les </w:t>
      </w:r>
      <w:r>
        <w:rPr>
          <w:lang w:val="fr-FR"/>
        </w:rPr>
        <w:t>agissements</w:t>
      </w:r>
      <w:r w:rsidRPr="00142E55">
        <w:rPr>
          <w:lang w:val="fr-FR"/>
        </w:rPr>
        <w:t xml:space="preserve"> des responsables </w:t>
      </w:r>
      <w:r>
        <w:rPr>
          <w:lang w:val="fr-FR"/>
        </w:rPr>
        <w:t>des services de répression</w:t>
      </w:r>
      <w:r w:rsidRPr="00142E55">
        <w:rPr>
          <w:lang w:val="fr-FR"/>
        </w:rPr>
        <w:t xml:space="preserve"> et, plus largement, qu</w:t>
      </w:r>
      <w:r>
        <w:rPr>
          <w:lang w:val="fr-FR"/>
        </w:rPr>
        <w:t>’</w:t>
      </w:r>
      <w:r w:rsidRPr="00142E55">
        <w:rPr>
          <w:lang w:val="fr-FR"/>
        </w:rPr>
        <w:t>elles préviennent les violences et les comportements répréhensibles de la police et y réagissent</w:t>
      </w:r>
      <w:r w:rsidRPr="00293268">
        <w:rPr>
          <w:lang w:val="fr-FR"/>
        </w:rPr>
        <w:t>.</w:t>
      </w:r>
    </w:p>
    <w:p w14:paraId="3215B9B1" w14:textId="37C45B15" w:rsidR="00D301C6" w:rsidRPr="00293268" w:rsidRDefault="00D301C6" w:rsidP="00D301C6">
      <w:pPr>
        <w:pStyle w:val="SingleTxtG"/>
        <w:rPr>
          <w:lang w:val="fr-FR"/>
        </w:rPr>
      </w:pPr>
      <w:r w:rsidRPr="00293268">
        <w:rPr>
          <w:lang w:val="fr-FR"/>
        </w:rPr>
        <w:t>182.</w:t>
      </w:r>
      <w:r w:rsidRPr="00293268">
        <w:rPr>
          <w:lang w:val="fr-FR"/>
        </w:rPr>
        <w:tab/>
      </w:r>
      <w:r w:rsidRPr="00FF7791">
        <w:rPr>
          <w:lang w:val="fr-FR"/>
        </w:rPr>
        <w:t>Des mesures énergiques sont indispensables pour mettre fin à l</w:t>
      </w:r>
      <w:r>
        <w:rPr>
          <w:lang w:val="fr-FR"/>
        </w:rPr>
        <w:t>’</w:t>
      </w:r>
      <w:r w:rsidRPr="00FF7791">
        <w:rPr>
          <w:lang w:val="fr-FR"/>
        </w:rPr>
        <w:t xml:space="preserve">impunité et faire en sorte que les victimes et </w:t>
      </w:r>
      <w:r w:rsidR="00F74EC9" w:rsidRPr="00F74EC9">
        <w:rPr>
          <w:lang w:val="fr-FR"/>
        </w:rPr>
        <w:t>leur famille</w:t>
      </w:r>
      <w:r w:rsidRPr="00FF7791">
        <w:rPr>
          <w:lang w:val="fr-FR"/>
        </w:rPr>
        <w:t xml:space="preserve"> obtiennent justice et réparation</w:t>
      </w:r>
      <w:r>
        <w:rPr>
          <w:lang w:val="fr-FR"/>
        </w:rPr>
        <w:t>,</w:t>
      </w:r>
      <w:r w:rsidRPr="00FF7791">
        <w:rPr>
          <w:lang w:val="fr-FR"/>
        </w:rPr>
        <w:t xml:space="preserve"> conformément au droit international des droits de l</w:t>
      </w:r>
      <w:r>
        <w:rPr>
          <w:lang w:val="fr-FR"/>
        </w:rPr>
        <w:t>’</w:t>
      </w:r>
      <w:r w:rsidRPr="00FF7791">
        <w:rPr>
          <w:lang w:val="fr-FR"/>
        </w:rPr>
        <w:t>homme. Cela nécessite des enquêtes efficaces, impartiales et rapides sur les allégations de recours illicite à la force ou d</w:t>
      </w:r>
      <w:r>
        <w:rPr>
          <w:lang w:val="fr-FR"/>
        </w:rPr>
        <w:t>’</w:t>
      </w:r>
      <w:r w:rsidRPr="00FF7791">
        <w:rPr>
          <w:lang w:val="fr-FR"/>
        </w:rPr>
        <w:t>autres violations commises par des membre des forces de l</w:t>
      </w:r>
      <w:r>
        <w:rPr>
          <w:lang w:val="fr-FR"/>
        </w:rPr>
        <w:t>’</w:t>
      </w:r>
      <w:r w:rsidRPr="00FF7791">
        <w:rPr>
          <w:lang w:val="fr-FR"/>
        </w:rPr>
        <w:t xml:space="preserve">ordre </w:t>
      </w:r>
      <w:r w:rsidR="00A533D2">
        <w:rPr>
          <w:lang w:val="fr-FR"/>
        </w:rPr>
        <w:t>− </w:t>
      </w:r>
      <w:r w:rsidRPr="00FF7791">
        <w:rPr>
          <w:lang w:val="fr-FR"/>
        </w:rPr>
        <w:t>en mettant l</w:t>
      </w:r>
      <w:r>
        <w:rPr>
          <w:lang w:val="fr-FR"/>
        </w:rPr>
        <w:t>’</w:t>
      </w:r>
      <w:r w:rsidRPr="00FF7791">
        <w:rPr>
          <w:lang w:val="fr-FR"/>
        </w:rPr>
        <w:t>accent sur le rôle éventuel de la discrimination raciale dans ces violations</w:t>
      </w:r>
      <w:r w:rsidR="00A533D2">
        <w:rPr>
          <w:lang w:val="fr-FR"/>
        </w:rPr>
        <w:t> −,</w:t>
      </w:r>
      <w:r>
        <w:rPr>
          <w:lang w:val="fr-FR"/>
        </w:rPr>
        <w:t xml:space="preserve"> ainsi que</w:t>
      </w:r>
      <w:r w:rsidRPr="00FF7791">
        <w:rPr>
          <w:lang w:val="fr-FR"/>
        </w:rPr>
        <w:t xml:space="preserve"> l</w:t>
      </w:r>
      <w:r>
        <w:rPr>
          <w:lang w:val="fr-FR"/>
        </w:rPr>
        <w:t>’</w:t>
      </w:r>
      <w:r w:rsidRPr="00FF7791">
        <w:rPr>
          <w:lang w:val="fr-FR"/>
        </w:rPr>
        <w:t xml:space="preserve">adoption de sanctions proportionnées et des garanties de non-répétition. Les États devraient également envisager des mesures disciplinaires en cas de faute. En outre, une indemnisation juste et adéquate doit être versée aux familles et aux personnes à </w:t>
      </w:r>
      <w:r>
        <w:rPr>
          <w:lang w:val="fr-FR"/>
        </w:rPr>
        <w:t xml:space="preserve">la </w:t>
      </w:r>
      <w:r w:rsidRPr="00FF7791">
        <w:rPr>
          <w:lang w:val="fr-FR"/>
        </w:rPr>
        <w:t>charge de la ou des victimes</w:t>
      </w:r>
      <w:r w:rsidRPr="00CD6B67">
        <w:rPr>
          <w:rStyle w:val="FootnoteReference"/>
        </w:rPr>
        <w:footnoteReference w:id="453"/>
      </w:r>
      <w:r>
        <w:rPr>
          <w:lang w:val="fr-FR"/>
        </w:rPr>
        <w:t>.</w:t>
      </w:r>
    </w:p>
    <w:p w14:paraId="068182F0" w14:textId="79F5438C" w:rsidR="00D301C6" w:rsidRPr="00293268" w:rsidRDefault="00D301C6" w:rsidP="00707CD6">
      <w:pPr>
        <w:pStyle w:val="SingleTxtG"/>
        <w:spacing w:after="100" w:line="236" w:lineRule="atLeast"/>
        <w:rPr>
          <w:lang w:val="fr-FR"/>
        </w:rPr>
      </w:pPr>
      <w:r w:rsidRPr="00293268">
        <w:rPr>
          <w:lang w:val="fr-FR"/>
        </w:rPr>
        <w:t>183.</w:t>
      </w:r>
      <w:r w:rsidRPr="00293268">
        <w:rPr>
          <w:lang w:val="fr-FR"/>
        </w:rPr>
        <w:tab/>
      </w:r>
      <w:r w:rsidRPr="00150287">
        <w:rPr>
          <w:lang w:val="fr-FR"/>
        </w:rPr>
        <w:t>Pour s</w:t>
      </w:r>
      <w:r>
        <w:rPr>
          <w:lang w:val="fr-FR"/>
        </w:rPr>
        <w:t>’</w:t>
      </w:r>
      <w:r w:rsidRPr="00150287">
        <w:rPr>
          <w:lang w:val="fr-FR"/>
        </w:rPr>
        <w:t>acquitter de l</w:t>
      </w:r>
      <w:r>
        <w:rPr>
          <w:lang w:val="fr-FR"/>
        </w:rPr>
        <w:t>’</w:t>
      </w:r>
      <w:r w:rsidRPr="00150287">
        <w:rPr>
          <w:lang w:val="fr-FR"/>
        </w:rPr>
        <w:t xml:space="preserve">obligation qui leur est faite de prendre toutes les mesures nécessaires pour prévenir toute privation arbitraire de la vie par </w:t>
      </w:r>
      <w:r>
        <w:rPr>
          <w:lang w:val="fr-FR"/>
        </w:rPr>
        <w:t>les</w:t>
      </w:r>
      <w:r w:rsidRPr="00150287">
        <w:rPr>
          <w:lang w:val="fr-FR"/>
        </w:rPr>
        <w:t xml:space="preserve"> responsables de l</w:t>
      </w:r>
      <w:r>
        <w:rPr>
          <w:lang w:val="fr-FR"/>
        </w:rPr>
        <w:t>’</w:t>
      </w:r>
      <w:r w:rsidRPr="00150287">
        <w:rPr>
          <w:lang w:val="fr-FR"/>
        </w:rPr>
        <w:t xml:space="preserve">application des lois, les États devraient réformer leurs lois, politiques, procédures et pratiques afin de fournir des consignes claires et limiter </w:t>
      </w:r>
      <w:r>
        <w:rPr>
          <w:lang w:val="fr-FR"/>
        </w:rPr>
        <w:t>le recours à</w:t>
      </w:r>
      <w:r w:rsidRPr="00150287">
        <w:rPr>
          <w:lang w:val="fr-FR"/>
        </w:rPr>
        <w:t xml:space="preserve"> la force par les forces de l</w:t>
      </w:r>
      <w:r>
        <w:rPr>
          <w:lang w:val="fr-FR"/>
        </w:rPr>
        <w:t>’</w:t>
      </w:r>
      <w:r w:rsidRPr="00150287">
        <w:rPr>
          <w:lang w:val="fr-FR"/>
        </w:rPr>
        <w:t xml:space="preserve">ordre, conformément aux </w:t>
      </w:r>
      <w:r w:rsidRPr="00D170AA">
        <w:rPr>
          <w:lang w:val="fr-FR"/>
        </w:rPr>
        <w:t>principes internationaux sur le recours à la force et l</w:t>
      </w:r>
      <w:r>
        <w:rPr>
          <w:lang w:val="fr-FR"/>
        </w:rPr>
        <w:t>’</w:t>
      </w:r>
      <w:r w:rsidRPr="00D170AA">
        <w:rPr>
          <w:lang w:val="fr-FR"/>
        </w:rPr>
        <w:t>utilisation des armes à feu</w:t>
      </w:r>
      <w:r w:rsidRPr="00150287">
        <w:rPr>
          <w:lang w:val="fr-FR"/>
        </w:rPr>
        <w:t>, en particulier les principes de légalité, de précaution, de nécessité, de proportionnalité, de responsabilité et de non-discriminatio</w:t>
      </w:r>
      <w:r>
        <w:rPr>
          <w:lang w:val="fr-FR"/>
        </w:rPr>
        <w:t>n</w:t>
      </w:r>
      <w:r w:rsidRPr="00CD6B67">
        <w:rPr>
          <w:rStyle w:val="FootnoteReference"/>
        </w:rPr>
        <w:footnoteReference w:id="454"/>
      </w:r>
      <w:r>
        <w:rPr>
          <w:lang w:val="fr-FR"/>
        </w:rPr>
        <w:t>.</w:t>
      </w:r>
      <w:r w:rsidRPr="00293268">
        <w:rPr>
          <w:bCs/>
          <w:lang w:val="fr-FR"/>
        </w:rPr>
        <w:t xml:space="preserve"> </w:t>
      </w:r>
      <w:r w:rsidRPr="00C53DC5">
        <w:rPr>
          <w:bCs/>
          <w:lang w:val="fr-FR"/>
        </w:rPr>
        <w:t>Ces principes valent également pour les opérations complexes des unités spéciales des forces de l</w:t>
      </w:r>
      <w:r>
        <w:rPr>
          <w:bCs/>
          <w:lang w:val="fr-FR"/>
        </w:rPr>
        <w:t>’</w:t>
      </w:r>
      <w:r w:rsidRPr="00C53DC5">
        <w:rPr>
          <w:bCs/>
          <w:lang w:val="fr-FR"/>
        </w:rPr>
        <w:t>ordre</w:t>
      </w:r>
      <w:r w:rsidRPr="00CD6B67">
        <w:rPr>
          <w:rStyle w:val="FootnoteReference"/>
        </w:rPr>
        <w:footnoteReference w:id="455"/>
      </w:r>
      <w:r>
        <w:rPr>
          <w:bCs/>
          <w:lang w:val="fr-FR"/>
        </w:rPr>
        <w:t>.</w:t>
      </w:r>
      <w:r w:rsidRPr="00293268">
        <w:rPr>
          <w:bCs/>
          <w:lang w:val="fr-FR"/>
        </w:rPr>
        <w:t xml:space="preserve"> </w:t>
      </w:r>
      <w:r w:rsidRPr="00707E58">
        <w:rPr>
          <w:lang w:val="fr-FR"/>
        </w:rPr>
        <w:t>Les</w:t>
      </w:r>
      <w:r w:rsidR="0060576E">
        <w:rPr>
          <w:lang w:val="fr-FR"/>
        </w:rPr>
        <w:t> </w:t>
      </w:r>
      <w:r w:rsidRPr="00707E58">
        <w:rPr>
          <w:lang w:val="fr-FR"/>
        </w:rPr>
        <w:t xml:space="preserve">États devraient également envisager de demander aux </w:t>
      </w:r>
      <w:r>
        <w:rPr>
          <w:lang w:val="fr-FR"/>
        </w:rPr>
        <w:t>services de répression</w:t>
      </w:r>
      <w:r w:rsidRPr="00707E58">
        <w:rPr>
          <w:lang w:val="fr-FR"/>
        </w:rPr>
        <w:t xml:space="preserve"> de consigner des informations sur toutes les situations dans lesquelles il a été fait usage de la force au moyen d</w:t>
      </w:r>
      <w:r>
        <w:rPr>
          <w:lang w:val="fr-FR"/>
        </w:rPr>
        <w:t>’</w:t>
      </w:r>
      <w:r w:rsidRPr="00707E58">
        <w:rPr>
          <w:lang w:val="fr-FR"/>
        </w:rPr>
        <w:t>armes à létalité réduite ou d</w:t>
      </w:r>
      <w:r>
        <w:rPr>
          <w:lang w:val="fr-FR"/>
        </w:rPr>
        <w:t>’</w:t>
      </w:r>
      <w:r w:rsidRPr="00707E58">
        <w:rPr>
          <w:lang w:val="fr-FR"/>
        </w:rPr>
        <w:t>équipements connexes</w:t>
      </w:r>
      <w:r w:rsidRPr="00293268">
        <w:rPr>
          <w:lang w:val="fr-FR"/>
        </w:rPr>
        <w:t>.</w:t>
      </w:r>
    </w:p>
    <w:p w14:paraId="3188D72D" w14:textId="77777777" w:rsidR="00D301C6" w:rsidRPr="00293268" w:rsidRDefault="00D301C6" w:rsidP="00707CD6">
      <w:pPr>
        <w:pStyle w:val="SingleTxtG"/>
        <w:spacing w:after="100" w:line="236" w:lineRule="atLeast"/>
        <w:rPr>
          <w:lang w:val="fr-FR"/>
        </w:rPr>
      </w:pPr>
      <w:r w:rsidRPr="00293268">
        <w:rPr>
          <w:bCs/>
          <w:lang w:val="fr-FR"/>
        </w:rPr>
        <w:t>184.</w:t>
      </w:r>
      <w:r w:rsidRPr="00293268">
        <w:rPr>
          <w:bCs/>
          <w:lang w:val="fr-FR"/>
        </w:rPr>
        <w:tab/>
      </w:r>
      <w:r w:rsidRPr="00126957">
        <w:rPr>
          <w:bCs/>
          <w:lang w:val="fr-FR"/>
        </w:rPr>
        <w:t>Des mesures de protection spéciales doivent aussi être prises en faveur des personnes en situation de vulnérabilité dont la vie et la sécurité physique sont exposées à un risque particulier en raison de schémas de violence préexistants</w:t>
      </w:r>
      <w:r w:rsidRPr="00CD6B67">
        <w:rPr>
          <w:rStyle w:val="FootnoteReference"/>
        </w:rPr>
        <w:footnoteReference w:id="456"/>
      </w:r>
      <w:r>
        <w:rPr>
          <w:bCs/>
          <w:lang w:val="fr-FR"/>
        </w:rPr>
        <w:t>.</w:t>
      </w:r>
      <w:r w:rsidRPr="00293268">
        <w:rPr>
          <w:bCs/>
          <w:lang w:val="fr-FR"/>
        </w:rPr>
        <w:t xml:space="preserve"> </w:t>
      </w:r>
      <w:r w:rsidRPr="00990312">
        <w:rPr>
          <w:lang w:val="fr-FR"/>
        </w:rPr>
        <w:t xml:space="preserve">Les lois </w:t>
      </w:r>
      <w:r>
        <w:rPr>
          <w:lang w:val="fr-FR"/>
        </w:rPr>
        <w:t>inadéquate</w:t>
      </w:r>
      <w:r w:rsidRPr="00990312">
        <w:rPr>
          <w:lang w:val="fr-FR"/>
        </w:rPr>
        <w:t xml:space="preserve">s doivent être réformées de </w:t>
      </w:r>
      <w:r>
        <w:rPr>
          <w:lang w:val="fr-FR"/>
        </w:rPr>
        <w:t>manière</w:t>
      </w:r>
      <w:r w:rsidRPr="00990312">
        <w:rPr>
          <w:lang w:val="fr-FR"/>
        </w:rPr>
        <w:t xml:space="preserve"> à les associer à des indicateurs de succès mesurables</w:t>
      </w:r>
      <w:r w:rsidRPr="00293268">
        <w:rPr>
          <w:lang w:val="fr-FR"/>
        </w:rPr>
        <w:t>.</w:t>
      </w:r>
    </w:p>
    <w:p w14:paraId="69B3B6B5" w14:textId="77777777" w:rsidR="00D301C6" w:rsidRPr="00293268" w:rsidRDefault="00D301C6" w:rsidP="00707CD6">
      <w:pPr>
        <w:pStyle w:val="SingleTxtG"/>
        <w:spacing w:after="100" w:line="236" w:lineRule="atLeast"/>
        <w:rPr>
          <w:lang w:val="fr-FR"/>
        </w:rPr>
      </w:pPr>
      <w:r w:rsidRPr="00293268">
        <w:rPr>
          <w:lang w:val="fr-FR"/>
        </w:rPr>
        <w:t>185.</w:t>
      </w:r>
      <w:r w:rsidRPr="00293268">
        <w:rPr>
          <w:lang w:val="fr-FR"/>
        </w:rPr>
        <w:tab/>
      </w:r>
      <w:r w:rsidRPr="00014E5A">
        <w:rPr>
          <w:lang w:val="fr-FR"/>
        </w:rPr>
        <w:t>Les États devraient également reconnaître qu</w:t>
      </w:r>
      <w:r>
        <w:rPr>
          <w:lang w:val="fr-FR"/>
        </w:rPr>
        <w:t>’</w:t>
      </w:r>
      <w:r w:rsidRPr="00014E5A">
        <w:rPr>
          <w:lang w:val="fr-FR"/>
        </w:rPr>
        <w:t>ils ont un devoir accru de protection et qu</w:t>
      </w:r>
      <w:r>
        <w:rPr>
          <w:lang w:val="fr-FR"/>
        </w:rPr>
        <w:t>’</w:t>
      </w:r>
      <w:r w:rsidRPr="00014E5A">
        <w:rPr>
          <w:lang w:val="fr-FR"/>
        </w:rPr>
        <w:t>il leur appartient de prendre toutes les mesures qui s</w:t>
      </w:r>
      <w:r>
        <w:rPr>
          <w:lang w:val="fr-FR"/>
        </w:rPr>
        <w:t>’</w:t>
      </w:r>
      <w:r w:rsidRPr="00014E5A">
        <w:rPr>
          <w:lang w:val="fr-FR"/>
        </w:rPr>
        <w:t>imposent pour protéger la vie des individus dans certaines situations</w:t>
      </w:r>
      <w:r>
        <w:rPr>
          <w:lang w:val="fr-FR"/>
        </w:rPr>
        <w:t xml:space="preserve"> bien précises</w:t>
      </w:r>
      <w:r w:rsidRPr="00CD6B67">
        <w:rPr>
          <w:rStyle w:val="FootnoteReference"/>
        </w:rPr>
        <w:footnoteReference w:id="457"/>
      </w:r>
      <w:r>
        <w:rPr>
          <w:lang w:val="fr-FR"/>
        </w:rPr>
        <w:t>.</w:t>
      </w:r>
      <w:r w:rsidRPr="00293268">
        <w:rPr>
          <w:lang w:val="fr-FR"/>
        </w:rPr>
        <w:t xml:space="preserve"> </w:t>
      </w:r>
      <w:r w:rsidRPr="00BF309D">
        <w:rPr>
          <w:lang w:val="fr-FR"/>
        </w:rPr>
        <w:t>Ainsi, tout décès en détention doit donner lieu à une enquête indépendante, impartiale, rapide, approfondie, efficace, crédible et transparente menée par un organisme indépendant afin d</w:t>
      </w:r>
      <w:r>
        <w:rPr>
          <w:lang w:val="fr-FR"/>
        </w:rPr>
        <w:t>’</w:t>
      </w:r>
      <w:r w:rsidRPr="00BF309D">
        <w:rPr>
          <w:lang w:val="fr-FR"/>
        </w:rPr>
        <w:t>en établir les causes</w:t>
      </w:r>
      <w:r w:rsidRPr="00CD6B67">
        <w:rPr>
          <w:rStyle w:val="FootnoteReference"/>
        </w:rPr>
        <w:footnoteReference w:id="458"/>
      </w:r>
      <w:r>
        <w:rPr>
          <w:lang w:val="fr-FR"/>
        </w:rPr>
        <w:t>.</w:t>
      </w:r>
      <w:r w:rsidRPr="00293268">
        <w:rPr>
          <w:lang w:val="fr-FR"/>
        </w:rPr>
        <w:t xml:space="preserve"> </w:t>
      </w:r>
      <w:r w:rsidRPr="007F0DF3">
        <w:rPr>
          <w:lang w:val="fr-FR"/>
        </w:rPr>
        <w:t>En outre, les personnes présentant un handicap, y compris psychosocial ou intellectuel, ont droit elles aussi à des mesures de protection propres à garantir leur jouissance effective du droit à la vie sur un pied d</w:t>
      </w:r>
      <w:r>
        <w:rPr>
          <w:lang w:val="fr-FR"/>
        </w:rPr>
        <w:t>’</w:t>
      </w:r>
      <w:r w:rsidRPr="007F0DF3">
        <w:rPr>
          <w:lang w:val="fr-FR"/>
        </w:rPr>
        <w:t>égalité avec les autres</w:t>
      </w:r>
      <w:r w:rsidRPr="00CD6B67">
        <w:rPr>
          <w:rStyle w:val="FootnoteReference"/>
        </w:rPr>
        <w:footnoteReference w:id="459"/>
      </w:r>
      <w:r>
        <w:rPr>
          <w:lang w:val="fr-FR"/>
        </w:rPr>
        <w:t>.</w:t>
      </w:r>
      <w:r w:rsidRPr="00293268">
        <w:rPr>
          <w:lang w:val="fr-FR"/>
        </w:rPr>
        <w:t xml:space="preserve"> </w:t>
      </w:r>
      <w:r w:rsidRPr="00B95E8B">
        <w:rPr>
          <w:lang w:val="fr-FR"/>
        </w:rPr>
        <w:t xml:space="preserve">Les États devraient fournir des services de soutien </w:t>
      </w:r>
      <w:r>
        <w:rPr>
          <w:lang w:val="fr-FR"/>
        </w:rPr>
        <w:t xml:space="preserve">de proximité </w:t>
      </w:r>
      <w:r w:rsidRPr="00B95E8B">
        <w:rPr>
          <w:lang w:val="fr-FR"/>
        </w:rPr>
        <w:t>aux personnes présentant des problèmes de santé mentale ou des handicaps psychosociaux, et éviter l</w:t>
      </w:r>
      <w:r>
        <w:rPr>
          <w:lang w:val="fr-FR"/>
        </w:rPr>
        <w:t>’</w:t>
      </w:r>
      <w:r w:rsidRPr="00B95E8B">
        <w:rPr>
          <w:lang w:val="fr-FR"/>
        </w:rPr>
        <w:t>intervention des forces de l</w:t>
      </w:r>
      <w:r>
        <w:rPr>
          <w:lang w:val="fr-FR"/>
        </w:rPr>
        <w:t>’</w:t>
      </w:r>
      <w:r w:rsidRPr="00B95E8B">
        <w:rPr>
          <w:lang w:val="fr-FR"/>
        </w:rPr>
        <w:t xml:space="preserve">ordre </w:t>
      </w:r>
      <w:r>
        <w:rPr>
          <w:lang w:val="fr-FR"/>
        </w:rPr>
        <w:t>en cas de</w:t>
      </w:r>
      <w:r w:rsidRPr="00B95E8B">
        <w:rPr>
          <w:lang w:val="fr-FR"/>
        </w:rPr>
        <w:t xml:space="preserve"> crises de santé mentale</w:t>
      </w:r>
      <w:r w:rsidRPr="00293268">
        <w:rPr>
          <w:lang w:val="fr-FR"/>
        </w:rPr>
        <w:t>.</w:t>
      </w:r>
    </w:p>
    <w:p w14:paraId="2E752408" w14:textId="35F6F81D" w:rsidR="00D301C6" w:rsidRPr="00293268" w:rsidRDefault="00D301C6" w:rsidP="00707CD6">
      <w:pPr>
        <w:pStyle w:val="SingleTxtG"/>
        <w:spacing w:after="100" w:line="236" w:lineRule="atLeast"/>
        <w:rPr>
          <w:lang w:val="fr-FR"/>
        </w:rPr>
      </w:pPr>
      <w:r w:rsidRPr="00293268">
        <w:rPr>
          <w:lang w:val="fr-FR"/>
        </w:rPr>
        <w:t>186.</w:t>
      </w:r>
      <w:r w:rsidRPr="00293268">
        <w:rPr>
          <w:lang w:val="fr-FR"/>
        </w:rPr>
        <w:tab/>
      </w:r>
      <w:r w:rsidRPr="00707CD6">
        <w:rPr>
          <w:spacing w:val="-2"/>
          <w:lang w:val="fr-FR"/>
        </w:rPr>
        <w:t>Les États devraient également mettre au jour périodiquement les lacunes dans les politiques et pratiques internes visant à prévenir et combattre la discrimination raciale dans le domaine du maintien de l’ordre et dans le système de justice pénale, avec l’aide d’experts indépendants et la contribution authentique des populations d’ascendance africaine. La</w:t>
      </w:r>
      <w:r w:rsidR="003726E0" w:rsidRPr="00707CD6">
        <w:rPr>
          <w:spacing w:val="-2"/>
          <w:lang w:val="fr-FR"/>
        </w:rPr>
        <w:t> </w:t>
      </w:r>
      <w:r w:rsidRPr="00707CD6">
        <w:rPr>
          <w:spacing w:val="-2"/>
          <w:lang w:val="fr-FR"/>
        </w:rPr>
        <w:t>transparence quant aux résultats de ces procédures est vivement recommandée en ce qu’elle constitue un moyen possible d’accroître la responsabilisation des forces de l’ordre et la confiance des personnes et des groupes concernées à l’égard des institutions correspondantes</w:t>
      </w:r>
      <w:r>
        <w:rPr>
          <w:lang w:val="fr-FR"/>
        </w:rPr>
        <w:t>.</w:t>
      </w:r>
      <w:r w:rsidRPr="009B6B0C">
        <w:rPr>
          <w:lang w:val="fr-FR"/>
        </w:rPr>
        <w:t xml:space="preserve"> </w:t>
      </w:r>
    </w:p>
    <w:p w14:paraId="5EF41E6C" w14:textId="24B20C06" w:rsidR="00D301C6" w:rsidRPr="00293268" w:rsidRDefault="00D301C6" w:rsidP="00707CD6">
      <w:pPr>
        <w:pStyle w:val="H23G"/>
        <w:spacing w:after="100" w:line="236" w:lineRule="atLeast"/>
        <w:rPr>
          <w:lang w:val="fr-FR"/>
        </w:rPr>
      </w:pPr>
      <w:bookmarkStart w:id="854" w:name="_Toc73642015"/>
      <w:bookmarkStart w:id="855" w:name="_Toc73702722"/>
      <w:bookmarkStart w:id="856" w:name="_Toc73724447"/>
      <w:bookmarkStart w:id="857" w:name="_Toc74254823"/>
      <w:bookmarkStart w:id="858" w:name="_Toc74303381"/>
      <w:bookmarkStart w:id="859" w:name="_Toc74305506"/>
      <w:bookmarkStart w:id="860" w:name="_Toc74337107"/>
      <w:bookmarkStart w:id="861" w:name="_Toc74340222"/>
      <w:bookmarkStart w:id="862" w:name="_Toc74344118"/>
      <w:bookmarkStart w:id="863" w:name="_Toc74562591"/>
      <w:bookmarkStart w:id="864" w:name="_Toc74657699"/>
      <w:bookmarkStart w:id="865" w:name="_Toc74661225"/>
      <w:bookmarkStart w:id="866" w:name="_Toc74666520"/>
      <w:bookmarkStart w:id="867" w:name="_Toc74671441"/>
      <w:bookmarkStart w:id="868" w:name="_Toc74867356"/>
      <w:bookmarkStart w:id="869" w:name="_Toc74919109"/>
      <w:bookmarkStart w:id="870" w:name="_Toc74919764"/>
      <w:bookmarkStart w:id="871" w:name="_Toc74925799"/>
      <w:bookmarkStart w:id="872" w:name="_Toc74927648"/>
      <w:r w:rsidRPr="00293268">
        <w:rPr>
          <w:lang w:val="fr-FR"/>
        </w:rPr>
        <w:tab/>
        <w:t>3</w:t>
      </w:r>
      <w:r w:rsidRPr="00293268">
        <w:rPr>
          <w:lang w:val="fr-FR"/>
        </w:rPr>
        <w:tab/>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Pr="00183D90">
        <w:rPr>
          <w:lang w:val="fr-FR"/>
        </w:rPr>
        <w:t>Publier régulièrement des données, ventilées selon la race ou l</w:t>
      </w:r>
      <w:r>
        <w:rPr>
          <w:lang w:val="fr-FR"/>
        </w:rPr>
        <w:t>’</w:t>
      </w:r>
      <w:r w:rsidRPr="00183D90">
        <w:rPr>
          <w:lang w:val="fr-FR"/>
        </w:rPr>
        <w:t xml:space="preserve">origine ethnique </w:t>
      </w:r>
      <w:r w:rsidR="008C6A4B">
        <w:rPr>
          <w:lang w:val="fr-FR"/>
        </w:rPr>
        <w:br/>
      </w:r>
      <w:r w:rsidRPr="00183D90">
        <w:rPr>
          <w:lang w:val="fr-FR"/>
        </w:rPr>
        <w:t>des victimes, sur les décès et les blessures graves liés à l</w:t>
      </w:r>
      <w:r>
        <w:rPr>
          <w:lang w:val="fr-FR"/>
        </w:rPr>
        <w:t>’</w:t>
      </w:r>
      <w:r w:rsidRPr="00183D90">
        <w:rPr>
          <w:lang w:val="fr-FR"/>
        </w:rPr>
        <w:t xml:space="preserve">action des membres </w:t>
      </w:r>
      <w:r w:rsidR="008C6A4B">
        <w:rPr>
          <w:lang w:val="fr-FR"/>
        </w:rPr>
        <w:br/>
      </w:r>
      <w:r w:rsidRPr="00183D90">
        <w:rPr>
          <w:lang w:val="fr-FR"/>
        </w:rPr>
        <w:t>des forces de l</w:t>
      </w:r>
      <w:r>
        <w:rPr>
          <w:lang w:val="fr-FR"/>
        </w:rPr>
        <w:t>’</w:t>
      </w:r>
      <w:r w:rsidRPr="00183D90">
        <w:rPr>
          <w:lang w:val="fr-FR"/>
        </w:rPr>
        <w:t xml:space="preserve">ordre, les poursuites et les condamnations correspondantes, </w:t>
      </w:r>
      <w:r w:rsidR="008C6A4B">
        <w:rPr>
          <w:lang w:val="fr-FR"/>
        </w:rPr>
        <w:br/>
      </w:r>
      <w:r w:rsidRPr="00183D90">
        <w:rPr>
          <w:lang w:val="fr-FR"/>
        </w:rPr>
        <w:t>ainsi que sur toute mesure disciplinaire</w:t>
      </w:r>
    </w:p>
    <w:p w14:paraId="563FF511" w14:textId="77777777" w:rsidR="00D301C6" w:rsidRPr="00293268" w:rsidRDefault="00D301C6" w:rsidP="00707CD6">
      <w:pPr>
        <w:pStyle w:val="SingleTxtG"/>
        <w:spacing w:after="100" w:line="236" w:lineRule="atLeast"/>
        <w:rPr>
          <w:lang w:val="fr-FR"/>
        </w:rPr>
      </w:pPr>
      <w:r w:rsidRPr="00293268">
        <w:rPr>
          <w:lang w:val="fr-FR"/>
        </w:rPr>
        <w:t>187.</w:t>
      </w:r>
      <w:r w:rsidRPr="00293268">
        <w:rPr>
          <w:lang w:val="fr-FR"/>
        </w:rPr>
        <w:tab/>
      </w:r>
      <w:r w:rsidRPr="00345D49">
        <w:rPr>
          <w:lang w:val="fr-FR"/>
        </w:rPr>
        <w:t xml:space="preserve">Les données ventilées sont essentielles pour éclairer la prise de décisions fondées sur des preuves et pour mettre en évidence le racisme institutionnel et les disparités raciales et </w:t>
      </w:r>
      <w:r>
        <w:rPr>
          <w:lang w:val="fr-FR"/>
        </w:rPr>
        <w:t>s’y attaquer</w:t>
      </w:r>
      <w:r w:rsidRPr="00CD6B67">
        <w:rPr>
          <w:rStyle w:val="FootnoteReference"/>
        </w:rPr>
        <w:footnoteReference w:id="460"/>
      </w:r>
      <w:r>
        <w:rPr>
          <w:lang w:val="fr-FR"/>
        </w:rPr>
        <w:t>.</w:t>
      </w:r>
      <w:r w:rsidRPr="00293268">
        <w:rPr>
          <w:lang w:val="fr-FR"/>
        </w:rPr>
        <w:t xml:space="preserve"> </w:t>
      </w:r>
      <w:r w:rsidRPr="0019756A">
        <w:rPr>
          <w:lang w:val="fr-FR"/>
        </w:rPr>
        <w:t>En ce qui concerne les forces de l</w:t>
      </w:r>
      <w:r>
        <w:rPr>
          <w:lang w:val="fr-FR"/>
        </w:rPr>
        <w:t>’</w:t>
      </w:r>
      <w:r w:rsidRPr="0019756A">
        <w:rPr>
          <w:lang w:val="fr-FR"/>
        </w:rPr>
        <w:t>ordre et le système de justice pénale, les États devraient mettre en place un système de collecte, d</w:t>
      </w:r>
      <w:r>
        <w:rPr>
          <w:lang w:val="fr-FR"/>
        </w:rPr>
        <w:t>’</w:t>
      </w:r>
      <w:r w:rsidRPr="0019756A">
        <w:rPr>
          <w:lang w:val="fr-FR"/>
        </w:rPr>
        <w:t>analyse et de publication de données anonymes et ventilées</w:t>
      </w:r>
      <w:r w:rsidRPr="00CD6B67">
        <w:rPr>
          <w:rStyle w:val="FootnoteReference"/>
        </w:rPr>
        <w:footnoteReference w:id="461"/>
      </w:r>
      <w:r w:rsidRPr="00293268">
        <w:rPr>
          <w:lang w:val="fr-FR"/>
        </w:rPr>
        <w:t xml:space="preserve"> </w:t>
      </w:r>
      <w:r w:rsidRPr="002D5005">
        <w:rPr>
          <w:lang w:val="fr-FR"/>
        </w:rPr>
        <w:t>par race ou origine ethnique et d</w:t>
      </w:r>
      <w:r>
        <w:rPr>
          <w:lang w:val="fr-FR"/>
        </w:rPr>
        <w:t>’</w:t>
      </w:r>
      <w:r w:rsidRPr="002D5005">
        <w:rPr>
          <w:lang w:val="fr-FR"/>
        </w:rPr>
        <w:t>autres facteurs, notamment sur le profilage racial, les décès et blessures graves imputables aux forces de l</w:t>
      </w:r>
      <w:r>
        <w:rPr>
          <w:lang w:val="fr-FR"/>
        </w:rPr>
        <w:t>’</w:t>
      </w:r>
      <w:r w:rsidRPr="002D5005">
        <w:rPr>
          <w:lang w:val="fr-FR"/>
        </w:rPr>
        <w:t xml:space="preserve">ordre, et les poursuites et </w:t>
      </w:r>
      <w:r>
        <w:rPr>
          <w:lang w:val="fr-FR"/>
        </w:rPr>
        <w:t>condamnations</w:t>
      </w:r>
      <w:r w:rsidRPr="002D5005">
        <w:rPr>
          <w:lang w:val="fr-FR"/>
        </w:rPr>
        <w:t xml:space="preserve"> correspondantes</w:t>
      </w:r>
      <w:r w:rsidRPr="00293268">
        <w:rPr>
          <w:lang w:val="fr-FR"/>
        </w:rPr>
        <w:t>.</w:t>
      </w:r>
    </w:p>
    <w:p w14:paraId="6EA9733A" w14:textId="77777777" w:rsidR="00D301C6" w:rsidRPr="00293268" w:rsidRDefault="00D301C6" w:rsidP="00707CD6">
      <w:pPr>
        <w:pStyle w:val="SingleTxtG"/>
        <w:spacing w:after="100" w:line="236" w:lineRule="atLeast"/>
        <w:rPr>
          <w:lang w:val="fr-FR"/>
        </w:rPr>
      </w:pPr>
      <w:r w:rsidRPr="00293268">
        <w:rPr>
          <w:lang w:val="fr-FR"/>
        </w:rPr>
        <w:t>188.</w:t>
      </w:r>
      <w:r w:rsidRPr="00293268">
        <w:rPr>
          <w:lang w:val="fr-FR"/>
        </w:rPr>
        <w:tab/>
      </w:r>
      <w:r w:rsidRPr="00C703F3">
        <w:rPr>
          <w:spacing w:val="-2"/>
          <w:lang w:val="fr-FR"/>
        </w:rPr>
        <w:t>Pour ce faire, il faut que les États concilient leur obligation de garantir, d’une part, la protection des données et le droit au respect de la vie privée et, d’autre part, leur obligation de supprimer les obstacles juridiques à la collecte de telles données</w:t>
      </w:r>
      <w:r w:rsidRPr="00C703F3">
        <w:rPr>
          <w:rStyle w:val="FootnoteReference"/>
          <w:spacing w:val="-2"/>
        </w:rPr>
        <w:footnoteReference w:id="462"/>
      </w:r>
      <w:r w:rsidRPr="00C703F3">
        <w:rPr>
          <w:spacing w:val="-2"/>
          <w:lang w:val="fr-FR"/>
        </w:rPr>
        <w:t>. Il leur faut également adopter des lois régissant la collecte et le traitement de données avec le consentement exprès des personnes et des groupes victimes de discrimination raciale, sur la base de leur autoidentification et conformément aux dispositions relatives aux droits de l’homme et aux libertés fondamentales, dont le droit au respect de la vie privée, en plus de garantir la protection des données contre une utilisation frauduleuse et le caractère confidentiel des informations</w:t>
      </w:r>
      <w:r w:rsidRPr="00C703F3">
        <w:rPr>
          <w:rStyle w:val="FootnoteReference"/>
          <w:spacing w:val="-2"/>
        </w:rPr>
        <w:footnoteReference w:id="463"/>
      </w:r>
      <w:r w:rsidRPr="00C703F3">
        <w:rPr>
          <w:spacing w:val="-2"/>
          <w:lang w:val="fr-FR"/>
        </w:rPr>
        <w:t>.</w:t>
      </w:r>
    </w:p>
    <w:p w14:paraId="75B6610B" w14:textId="3668ECD4" w:rsidR="00D301C6" w:rsidRPr="00293268" w:rsidRDefault="00D301C6" w:rsidP="00D301C6">
      <w:pPr>
        <w:pStyle w:val="H23G"/>
        <w:rPr>
          <w:lang w:val="fr-FR"/>
        </w:rPr>
      </w:pPr>
      <w:bookmarkStart w:id="873" w:name="_Toc73642016"/>
      <w:bookmarkStart w:id="874" w:name="_Toc73702723"/>
      <w:bookmarkStart w:id="875" w:name="_Toc73724448"/>
      <w:bookmarkStart w:id="876" w:name="_Toc74254824"/>
      <w:bookmarkStart w:id="877" w:name="_Toc74303382"/>
      <w:bookmarkStart w:id="878" w:name="_Toc74305507"/>
      <w:bookmarkStart w:id="879" w:name="_Toc74337108"/>
      <w:bookmarkStart w:id="880" w:name="_Toc74340223"/>
      <w:bookmarkStart w:id="881" w:name="_Toc74344119"/>
      <w:bookmarkStart w:id="882" w:name="_Toc74562592"/>
      <w:bookmarkStart w:id="883" w:name="_Toc74657700"/>
      <w:bookmarkStart w:id="884" w:name="_Toc74661226"/>
      <w:bookmarkStart w:id="885" w:name="_Toc74666521"/>
      <w:bookmarkStart w:id="886" w:name="_Toc74671442"/>
      <w:bookmarkStart w:id="887" w:name="_Toc74867357"/>
      <w:bookmarkStart w:id="888" w:name="_Toc74919110"/>
      <w:bookmarkStart w:id="889" w:name="_Toc74919765"/>
      <w:bookmarkStart w:id="890" w:name="_Toc74925800"/>
      <w:bookmarkStart w:id="891" w:name="_Toc74927649"/>
      <w:r w:rsidRPr="00293268">
        <w:rPr>
          <w:lang w:val="fr-FR"/>
        </w:rPr>
        <w:tab/>
        <w:t>4.</w:t>
      </w:r>
      <w:r w:rsidRPr="00293268">
        <w:rPr>
          <w:lang w:val="fr-FR"/>
        </w:rPr>
        <w:tab/>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3E1E4E">
        <w:rPr>
          <w:lang w:val="fr-FR"/>
        </w:rPr>
        <w:t xml:space="preserve">Établir des procédures et des mécanismes de contrôle et de plainte indépendants </w:t>
      </w:r>
      <w:r w:rsidR="009E07EE">
        <w:rPr>
          <w:lang w:val="fr-FR"/>
        </w:rPr>
        <w:br/>
      </w:r>
      <w:r>
        <w:rPr>
          <w:lang w:val="fr-FR"/>
        </w:rPr>
        <w:t>sur les agissements</w:t>
      </w:r>
      <w:r w:rsidRPr="003E1E4E">
        <w:rPr>
          <w:lang w:val="fr-FR"/>
        </w:rPr>
        <w:t xml:space="preserve"> des forces de l</w:t>
      </w:r>
      <w:r>
        <w:rPr>
          <w:lang w:val="fr-FR"/>
        </w:rPr>
        <w:t>’</w:t>
      </w:r>
      <w:r w:rsidRPr="003E1E4E">
        <w:rPr>
          <w:lang w:val="fr-FR"/>
        </w:rPr>
        <w:t xml:space="preserve">ordre </w:t>
      </w:r>
      <w:r>
        <w:rPr>
          <w:lang w:val="fr-FR"/>
        </w:rPr>
        <w:t>ou</w:t>
      </w:r>
      <w:r w:rsidRPr="003E1E4E">
        <w:rPr>
          <w:lang w:val="fr-FR"/>
        </w:rPr>
        <w:t xml:space="preserve"> renforcer</w:t>
      </w:r>
      <w:r>
        <w:rPr>
          <w:lang w:val="fr-FR"/>
        </w:rPr>
        <w:t xml:space="preserve"> ceux déjà en place</w:t>
      </w:r>
      <w:r w:rsidR="00BF73AB">
        <w:rPr>
          <w:lang w:val="fr-FR"/>
        </w:rPr>
        <w:t> ;</w:t>
      </w:r>
      <w:r w:rsidRPr="003E1E4E">
        <w:rPr>
          <w:lang w:val="fr-FR"/>
        </w:rPr>
        <w:t xml:space="preserve"> institutionnaliser et normaliser le signalement et l</w:t>
      </w:r>
      <w:r>
        <w:rPr>
          <w:lang w:val="fr-FR"/>
        </w:rPr>
        <w:t>’</w:t>
      </w:r>
      <w:r w:rsidRPr="003E1E4E">
        <w:rPr>
          <w:lang w:val="fr-FR"/>
        </w:rPr>
        <w:t xml:space="preserve">examen des cas de recours </w:t>
      </w:r>
      <w:r w:rsidR="009E07EE">
        <w:rPr>
          <w:lang w:val="fr-FR"/>
        </w:rPr>
        <w:br/>
      </w:r>
      <w:r w:rsidRPr="003E1E4E">
        <w:rPr>
          <w:lang w:val="fr-FR"/>
        </w:rPr>
        <w:t xml:space="preserve">à la force entraînant la mort ou des blessures graves, et faire le bilan </w:t>
      </w:r>
      <w:r w:rsidR="009E07EE">
        <w:rPr>
          <w:lang w:val="fr-FR"/>
        </w:rPr>
        <w:br/>
      </w:r>
      <w:r w:rsidRPr="003E1E4E">
        <w:rPr>
          <w:lang w:val="fr-FR"/>
        </w:rPr>
        <w:t>des enseignements tirés</w:t>
      </w:r>
    </w:p>
    <w:p w14:paraId="70B5CF44" w14:textId="1B518653" w:rsidR="00D301C6" w:rsidRPr="00293268" w:rsidRDefault="00D301C6" w:rsidP="00D301C6">
      <w:pPr>
        <w:pStyle w:val="SingleTxtG"/>
        <w:rPr>
          <w:lang w:val="fr-FR"/>
        </w:rPr>
      </w:pPr>
      <w:r w:rsidRPr="00293268">
        <w:rPr>
          <w:lang w:val="fr-FR"/>
        </w:rPr>
        <w:t>189.</w:t>
      </w:r>
      <w:r w:rsidRPr="00293268">
        <w:rPr>
          <w:lang w:val="fr-FR"/>
        </w:rPr>
        <w:tab/>
      </w:r>
      <w:r w:rsidRPr="00915720">
        <w:rPr>
          <w:lang w:val="fr-FR"/>
        </w:rPr>
        <w:t>En complément des enquêtes policières</w:t>
      </w:r>
      <w:r>
        <w:rPr>
          <w:lang w:val="fr-FR"/>
        </w:rPr>
        <w:t>, des</w:t>
      </w:r>
      <w:r w:rsidRPr="00915720">
        <w:rPr>
          <w:lang w:val="fr-FR"/>
        </w:rPr>
        <w:t xml:space="preserve"> procédures disciplinaires internes, </w:t>
      </w:r>
      <w:r w:rsidRPr="00453789">
        <w:rPr>
          <w:lang w:val="fr-FR"/>
        </w:rPr>
        <w:t xml:space="preserve">du système de justice pénale et du </w:t>
      </w:r>
      <w:r>
        <w:rPr>
          <w:lang w:val="fr-FR"/>
        </w:rPr>
        <w:t>contrôle</w:t>
      </w:r>
      <w:r w:rsidRPr="00453789">
        <w:rPr>
          <w:lang w:val="fr-FR"/>
        </w:rPr>
        <w:t xml:space="preserve"> législatif</w:t>
      </w:r>
      <w:r>
        <w:rPr>
          <w:lang w:val="fr-FR"/>
        </w:rPr>
        <w:t>,</w:t>
      </w:r>
      <w:r w:rsidRPr="00453789">
        <w:rPr>
          <w:lang w:val="fr-FR"/>
        </w:rPr>
        <w:t xml:space="preserve"> </w:t>
      </w:r>
      <w:r>
        <w:rPr>
          <w:lang w:val="fr-FR"/>
        </w:rPr>
        <w:t>l</w:t>
      </w:r>
      <w:r w:rsidRPr="00C30B47">
        <w:rPr>
          <w:lang w:val="fr-FR"/>
        </w:rPr>
        <w:t xml:space="preserve">es États devraient mettre en place des mécanismes </w:t>
      </w:r>
      <w:r>
        <w:rPr>
          <w:lang w:val="fr-FR"/>
        </w:rPr>
        <w:t xml:space="preserve">civils </w:t>
      </w:r>
      <w:r w:rsidRPr="00C30B47">
        <w:rPr>
          <w:lang w:val="fr-FR"/>
        </w:rPr>
        <w:t>de surveillance</w:t>
      </w:r>
      <w:r>
        <w:rPr>
          <w:lang w:val="fr-FR"/>
        </w:rPr>
        <w:t xml:space="preserve">, </w:t>
      </w:r>
      <w:r w:rsidRPr="00C30B47">
        <w:rPr>
          <w:lang w:val="fr-FR"/>
        </w:rPr>
        <w:t xml:space="preserve">efficaces et indépendants, </w:t>
      </w:r>
      <w:r>
        <w:rPr>
          <w:lang w:val="fr-FR"/>
        </w:rPr>
        <w:t xml:space="preserve">assortis de </w:t>
      </w:r>
      <w:r w:rsidRPr="00EF21B2">
        <w:rPr>
          <w:lang w:val="fr-FR"/>
        </w:rPr>
        <w:t xml:space="preserve">procédures </w:t>
      </w:r>
      <w:r>
        <w:rPr>
          <w:lang w:val="fr-FR"/>
        </w:rPr>
        <w:t>normalisées</w:t>
      </w:r>
      <w:r w:rsidRPr="00EF21B2">
        <w:rPr>
          <w:lang w:val="fr-FR"/>
        </w:rPr>
        <w:t xml:space="preserve"> de rapport et d</w:t>
      </w:r>
      <w:r>
        <w:rPr>
          <w:lang w:val="fr-FR"/>
        </w:rPr>
        <w:t>’</w:t>
      </w:r>
      <w:r w:rsidRPr="00EF21B2">
        <w:rPr>
          <w:lang w:val="fr-FR"/>
        </w:rPr>
        <w:t xml:space="preserve">enquête </w:t>
      </w:r>
      <w:r w:rsidRPr="00C30B47">
        <w:rPr>
          <w:lang w:val="fr-FR"/>
        </w:rPr>
        <w:t xml:space="preserve">sur </w:t>
      </w:r>
      <w:r>
        <w:rPr>
          <w:lang w:val="fr-FR"/>
        </w:rPr>
        <w:t>le recours à</w:t>
      </w:r>
      <w:r w:rsidRPr="00C30B47">
        <w:rPr>
          <w:lang w:val="fr-FR"/>
        </w:rPr>
        <w:t xml:space="preserve"> la force et </w:t>
      </w:r>
      <w:r>
        <w:rPr>
          <w:lang w:val="fr-FR"/>
        </w:rPr>
        <w:t>de moyens spécialisés</w:t>
      </w:r>
      <w:r w:rsidRPr="00C30B47">
        <w:rPr>
          <w:lang w:val="fr-FR"/>
        </w:rPr>
        <w:t xml:space="preserve"> pour évaluer les opérations de maintien de l</w:t>
      </w:r>
      <w:r>
        <w:rPr>
          <w:lang w:val="fr-FR"/>
        </w:rPr>
        <w:t>’</w:t>
      </w:r>
      <w:r w:rsidRPr="00C30B47">
        <w:rPr>
          <w:lang w:val="fr-FR"/>
        </w:rPr>
        <w:t>ordre et contrôler le respect des droits de l</w:t>
      </w:r>
      <w:r>
        <w:rPr>
          <w:lang w:val="fr-FR"/>
        </w:rPr>
        <w:t>’</w:t>
      </w:r>
      <w:r w:rsidRPr="00C30B47">
        <w:rPr>
          <w:lang w:val="fr-FR"/>
        </w:rPr>
        <w:t>homme par les forces de l</w:t>
      </w:r>
      <w:r>
        <w:rPr>
          <w:lang w:val="fr-FR"/>
        </w:rPr>
        <w:t>’</w:t>
      </w:r>
      <w:r w:rsidRPr="00C30B47">
        <w:rPr>
          <w:lang w:val="fr-FR"/>
        </w:rPr>
        <w:t>ordre</w:t>
      </w:r>
      <w:r w:rsidRPr="00CD6B67">
        <w:rPr>
          <w:rStyle w:val="FootnoteReference"/>
        </w:rPr>
        <w:footnoteReference w:id="464"/>
      </w:r>
      <w:r>
        <w:rPr>
          <w:lang w:val="fr-FR"/>
        </w:rPr>
        <w:t>.</w:t>
      </w:r>
      <w:r w:rsidRPr="00293268">
        <w:rPr>
          <w:lang w:val="fr-FR"/>
        </w:rPr>
        <w:t xml:space="preserve"> </w:t>
      </w:r>
      <w:r w:rsidRPr="004A5D5C">
        <w:rPr>
          <w:lang w:val="fr-FR"/>
        </w:rPr>
        <w:t xml:space="preserve">Ces mécanismes devraient être dotés de ressources et de </w:t>
      </w:r>
      <w:r>
        <w:rPr>
          <w:lang w:val="fr-FR"/>
        </w:rPr>
        <w:t>fond</w:t>
      </w:r>
      <w:r w:rsidRPr="004A5D5C">
        <w:rPr>
          <w:lang w:val="fr-FR"/>
        </w:rPr>
        <w:t>s suffisants</w:t>
      </w:r>
      <w:r w:rsidRPr="00CD6B67">
        <w:rPr>
          <w:rStyle w:val="FootnoteReference"/>
        </w:rPr>
        <w:footnoteReference w:id="465"/>
      </w:r>
      <w:r>
        <w:rPr>
          <w:lang w:val="fr-FR"/>
        </w:rPr>
        <w:t>, agir en toute</w:t>
      </w:r>
      <w:r w:rsidRPr="0069748B">
        <w:rPr>
          <w:lang w:val="fr-FR"/>
        </w:rPr>
        <w:t xml:space="preserve"> transparence</w:t>
      </w:r>
      <w:r>
        <w:rPr>
          <w:lang w:val="fr-FR"/>
        </w:rPr>
        <w:t xml:space="preserve"> et bénéficier </w:t>
      </w:r>
      <w:r w:rsidRPr="00451D2D">
        <w:rPr>
          <w:lang w:val="fr-FR"/>
        </w:rPr>
        <w:t>du soutien des collectivités et des dirigeants politiques ainsi que de la coopération de la société civile</w:t>
      </w:r>
      <w:r w:rsidRPr="00CD6B67">
        <w:rPr>
          <w:rStyle w:val="FootnoteReference"/>
        </w:rPr>
        <w:footnoteReference w:id="466"/>
      </w:r>
      <w:r>
        <w:rPr>
          <w:lang w:val="fr-FR"/>
        </w:rPr>
        <w:t>, en particulier de</w:t>
      </w:r>
      <w:r w:rsidRPr="00514D9B">
        <w:rPr>
          <w:lang w:val="fr-FR"/>
        </w:rPr>
        <w:t xml:space="preserve"> représentants des personnes d</w:t>
      </w:r>
      <w:r>
        <w:rPr>
          <w:lang w:val="fr-FR"/>
        </w:rPr>
        <w:t>’</w:t>
      </w:r>
      <w:r w:rsidRPr="00514D9B">
        <w:rPr>
          <w:lang w:val="fr-FR"/>
        </w:rPr>
        <w:t>ascendance africaine</w:t>
      </w:r>
      <w:r w:rsidRPr="00293268">
        <w:rPr>
          <w:lang w:val="fr-FR"/>
        </w:rPr>
        <w:t xml:space="preserve">. </w:t>
      </w:r>
      <w:r w:rsidRPr="00C93AC9">
        <w:rPr>
          <w:lang w:val="fr-FR"/>
        </w:rPr>
        <w:t xml:space="preserve">Ces mécanismes devraient </w:t>
      </w:r>
      <w:r>
        <w:rPr>
          <w:lang w:val="fr-FR"/>
        </w:rPr>
        <w:t>disposer</w:t>
      </w:r>
      <w:r w:rsidRPr="00C93AC9">
        <w:rPr>
          <w:lang w:val="fr-FR"/>
        </w:rPr>
        <w:t xml:space="preserve"> de</w:t>
      </w:r>
      <w:r w:rsidR="007F0CA2">
        <w:rPr>
          <w:lang w:val="fr-FR"/>
        </w:rPr>
        <w:t>s</w:t>
      </w:r>
      <w:r w:rsidRPr="00C93AC9">
        <w:rPr>
          <w:lang w:val="fr-FR"/>
        </w:rPr>
        <w:t xml:space="preserve"> pleins pouvoirs d</w:t>
      </w:r>
      <w:r>
        <w:rPr>
          <w:lang w:val="fr-FR"/>
        </w:rPr>
        <w:t>’</w:t>
      </w:r>
      <w:r w:rsidRPr="00C93AC9">
        <w:rPr>
          <w:lang w:val="fr-FR"/>
        </w:rPr>
        <w:t>enquête, du pouvoir de déférer des affaires aux autorités pénales à des fins de poursuite et être en mesure d</w:t>
      </w:r>
      <w:r>
        <w:rPr>
          <w:lang w:val="fr-FR"/>
        </w:rPr>
        <w:t>’</w:t>
      </w:r>
      <w:r w:rsidRPr="00C93AC9">
        <w:rPr>
          <w:lang w:val="fr-FR"/>
        </w:rPr>
        <w:t xml:space="preserve">appliquer les mesures disciplinaires proposées et de </w:t>
      </w:r>
      <w:r>
        <w:rPr>
          <w:lang w:val="fr-FR"/>
        </w:rPr>
        <w:t>proposer</w:t>
      </w:r>
      <w:r w:rsidRPr="00C93AC9">
        <w:rPr>
          <w:lang w:val="fr-FR"/>
        </w:rPr>
        <w:t xml:space="preserve"> des mesures de réforme générales</w:t>
      </w:r>
      <w:r w:rsidRPr="00CD6B67">
        <w:rPr>
          <w:rStyle w:val="FootnoteReference"/>
        </w:rPr>
        <w:footnoteReference w:id="467"/>
      </w:r>
      <w:r>
        <w:rPr>
          <w:lang w:val="fr-FR"/>
        </w:rPr>
        <w:t>.</w:t>
      </w:r>
      <w:r w:rsidRPr="00293268">
        <w:rPr>
          <w:lang w:val="fr-FR"/>
        </w:rPr>
        <w:t xml:space="preserve"> </w:t>
      </w:r>
      <w:r w:rsidRPr="00B150CD">
        <w:rPr>
          <w:lang w:val="fr-FR"/>
        </w:rPr>
        <w:t>En outre, ils devraient publier régulièrement des rapports publics et traiter rapidement les plaintes reçues</w:t>
      </w:r>
      <w:r w:rsidRPr="00CD6B67">
        <w:rPr>
          <w:rStyle w:val="FootnoteReference"/>
        </w:rPr>
        <w:footnoteReference w:id="468"/>
      </w:r>
      <w:r>
        <w:rPr>
          <w:lang w:val="fr-FR"/>
        </w:rPr>
        <w:t>.</w:t>
      </w:r>
      <w:r w:rsidRPr="00293268">
        <w:rPr>
          <w:lang w:val="fr-FR"/>
        </w:rPr>
        <w:t xml:space="preserve"> </w:t>
      </w:r>
      <w:r w:rsidRPr="006C2C59">
        <w:rPr>
          <w:lang w:val="fr-FR"/>
        </w:rPr>
        <w:t xml:space="preserve">Les mécanismes </w:t>
      </w:r>
      <w:r>
        <w:rPr>
          <w:lang w:val="fr-FR"/>
        </w:rPr>
        <w:t xml:space="preserve">civils </w:t>
      </w:r>
      <w:r w:rsidRPr="006C2C59">
        <w:rPr>
          <w:lang w:val="fr-FR"/>
        </w:rPr>
        <w:t xml:space="preserve">de surveillance doivent également procéder à des évaluations statistiques ou générales des formes de </w:t>
      </w:r>
      <w:r>
        <w:rPr>
          <w:lang w:val="fr-FR"/>
        </w:rPr>
        <w:t>brutalité</w:t>
      </w:r>
      <w:r w:rsidRPr="006C2C59">
        <w:rPr>
          <w:lang w:val="fr-FR"/>
        </w:rPr>
        <w:t xml:space="preserve"> et de violence policières et, en particulier, de leurs causes</w:t>
      </w:r>
      <w:r w:rsidRPr="00CD6B67">
        <w:rPr>
          <w:rStyle w:val="FootnoteReference"/>
        </w:rPr>
        <w:footnoteReference w:id="469"/>
      </w:r>
      <w:r>
        <w:rPr>
          <w:lang w:val="fr-FR"/>
        </w:rPr>
        <w:t>.</w:t>
      </w:r>
      <w:r w:rsidRPr="00293268">
        <w:rPr>
          <w:lang w:val="fr-FR"/>
        </w:rPr>
        <w:t xml:space="preserve"> </w:t>
      </w:r>
      <w:r>
        <w:rPr>
          <w:lang w:val="fr-FR"/>
        </w:rPr>
        <w:t>Ces mesures peuvent</w:t>
      </w:r>
      <w:r w:rsidRPr="00762494">
        <w:rPr>
          <w:lang w:val="fr-FR"/>
        </w:rPr>
        <w:t xml:space="preserve"> jouer un rôle essentiel dans le renforcement ou le rétablissement de la confiance du public et constitue</w:t>
      </w:r>
      <w:r>
        <w:rPr>
          <w:lang w:val="fr-FR"/>
        </w:rPr>
        <w:t>nt</w:t>
      </w:r>
      <w:r w:rsidRPr="00762494">
        <w:rPr>
          <w:lang w:val="fr-FR"/>
        </w:rPr>
        <w:t xml:space="preserve"> une condition préalable essentielle </w:t>
      </w:r>
      <w:r>
        <w:rPr>
          <w:lang w:val="fr-FR"/>
        </w:rPr>
        <w:t>au maintien de l’ordre</w:t>
      </w:r>
      <w:r w:rsidRPr="00CD6B67">
        <w:rPr>
          <w:rStyle w:val="FootnoteReference"/>
        </w:rPr>
        <w:footnoteReference w:id="470"/>
      </w:r>
      <w:r>
        <w:rPr>
          <w:lang w:val="fr-FR"/>
        </w:rPr>
        <w:t>.</w:t>
      </w:r>
      <w:r w:rsidRPr="00293268">
        <w:rPr>
          <w:lang w:val="fr-FR"/>
        </w:rPr>
        <w:t xml:space="preserve"> </w:t>
      </w:r>
      <w:r w:rsidRPr="00286269">
        <w:rPr>
          <w:lang w:val="fr-FR"/>
        </w:rPr>
        <w:t>Les</w:t>
      </w:r>
      <w:r w:rsidR="007F0CA2">
        <w:rPr>
          <w:lang w:val="fr-FR"/>
        </w:rPr>
        <w:t> </w:t>
      </w:r>
      <w:r w:rsidRPr="00286269">
        <w:rPr>
          <w:lang w:val="fr-FR"/>
        </w:rPr>
        <w:t>processus indépendants de contrôle et d</w:t>
      </w:r>
      <w:r>
        <w:rPr>
          <w:lang w:val="fr-FR"/>
        </w:rPr>
        <w:t>’</w:t>
      </w:r>
      <w:r w:rsidRPr="00286269">
        <w:rPr>
          <w:lang w:val="fr-FR"/>
        </w:rPr>
        <w:t>établissement des responsabilités doivent veiller à ce que les règles inscrites dans les codes de conduite et les diverses politiques n</w:t>
      </w:r>
      <w:r>
        <w:rPr>
          <w:lang w:val="fr-FR"/>
        </w:rPr>
        <w:t>’</w:t>
      </w:r>
      <w:r w:rsidRPr="00286269">
        <w:rPr>
          <w:lang w:val="fr-FR"/>
        </w:rPr>
        <w:t>aient pas d</w:t>
      </w:r>
      <w:r>
        <w:rPr>
          <w:lang w:val="fr-FR"/>
        </w:rPr>
        <w:t>’</w:t>
      </w:r>
      <w:r w:rsidRPr="00286269">
        <w:rPr>
          <w:lang w:val="fr-FR"/>
        </w:rPr>
        <w:t xml:space="preserve">incidence préjudiciable sur </w:t>
      </w:r>
      <w:r w:rsidRPr="00050E60">
        <w:rPr>
          <w:lang w:val="fr-FR"/>
        </w:rPr>
        <w:t>certains segments de la société</w:t>
      </w:r>
      <w:r w:rsidRPr="00286269">
        <w:rPr>
          <w:lang w:val="fr-FR"/>
        </w:rPr>
        <w:t xml:space="preserve"> et que les préjugés inconscients soient combattus au moyen de politiques opérationnelles énergiques et d</w:t>
      </w:r>
      <w:r>
        <w:rPr>
          <w:lang w:val="fr-FR"/>
        </w:rPr>
        <w:t>’</w:t>
      </w:r>
      <w:r w:rsidRPr="00286269">
        <w:rPr>
          <w:lang w:val="fr-FR"/>
        </w:rPr>
        <w:t>actions d</w:t>
      </w:r>
      <w:r>
        <w:rPr>
          <w:lang w:val="fr-FR"/>
        </w:rPr>
        <w:t>’</w:t>
      </w:r>
      <w:r w:rsidRPr="00286269">
        <w:rPr>
          <w:lang w:val="fr-FR"/>
        </w:rPr>
        <w:t>éducation et de formation continue efficaces</w:t>
      </w:r>
      <w:r w:rsidRPr="00CD6B67">
        <w:rPr>
          <w:rStyle w:val="FootnoteReference"/>
        </w:rPr>
        <w:footnoteReference w:id="471"/>
      </w:r>
      <w:r>
        <w:rPr>
          <w:lang w:val="fr-FR"/>
        </w:rPr>
        <w:t>.</w:t>
      </w:r>
    </w:p>
    <w:p w14:paraId="09DD4FAE" w14:textId="77777777" w:rsidR="00D301C6" w:rsidRPr="00293268" w:rsidRDefault="00D301C6" w:rsidP="00D301C6">
      <w:pPr>
        <w:pStyle w:val="SingleTxtG"/>
        <w:rPr>
          <w:lang w:val="fr-FR"/>
        </w:rPr>
      </w:pPr>
      <w:r w:rsidRPr="00293268">
        <w:rPr>
          <w:lang w:val="fr-FR"/>
        </w:rPr>
        <w:t>190.</w:t>
      </w:r>
      <w:r w:rsidRPr="00293268">
        <w:rPr>
          <w:lang w:val="fr-FR"/>
        </w:rPr>
        <w:tab/>
      </w:r>
      <w:r w:rsidRPr="00656EAD">
        <w:rPr>
          <w:lang w:val="fr-FR"/>
        </w:rPr>
        <w:t>Les institutions nationales de défense des droits de l</w:t>
      </w:r>
      <w:r>
        <w:rPr>
          <w:lang w:val="fr-FR"/>
        </w:rPr>
        <w:t>’</w:t>
      </w:r>
      <w:r w:rsidRPr="00656EAD">
        <w:rPr>
          <w:lang w:val="fr-FR"/>
        </w:rPr>
        <w:t>homme et les organismes de promotion de l</w:t>
      </w:r>
      <w:r>
        <w:rPr>
          <w:lang w:val="fr-FR"/>
        </w:rPr>
        <w:t>’</w:t>
      </w:r>
      <w:r w:rsidRPr="00656EAD">
        <w:rPr>
          <w:lang w:val="fr-FR"/>
        </w:rPr>
        <w:t>égalité</w:t>
      </w:r>
      <w:r w:rsidRPr="00CD6B67">
        <w:rPr>
          <w:rStyle w:val="FootnoteReference"/>
        </w:rPr>
        <w:footnoteReference w:id="472"/>
      </w:r>
      <w:r w:rsidRPr="00293268">
        <w:rPr>
          <w:lang w:val="fr-FR"/>
        </w:rPr>
        <w:t xml:space="preserve"> </w:t>
      </w:r>
      <w:r w:rsidRPr="00210C31">
        <w:rPr>
          <w:lang w:val="fr-FR"/>
        </w:rPr>
        <w:t xml:space="preserve">peuvent également jouer un rôle de contrôle </w:t>
      </w:r>
      <w:r>
        <w:rPr>
          <w:lang w:val="fr-FR"/>
        </w:rPr>
        <w:t>efficace</w:t>
      </w:r>
      <w:r w:rsidRPr="00210C31">
        <w:rPr>
          <w:lang w:val="fr-FR"/>
        </w:rPr>
        <w:t>, enquêter sur les décès à la suite d</w:t>
      </w:r>
      <w:r>
        <w:rPr>
          <w:lang w:val="fr-FR"/>
        </w:rPr>
        <w:t>’</w:t>
      </w:r>
      <w:r w:rsidRPr="00210C31">
        <w:rPr>
          <w:lang w:val="fr-FR"/>
        </w:rPr>
        <w:t>une intervention des forces de l</w:t>
      </w:r>
      <w:r>
        <w:rPr>
          <w:lang w:val="fr-FR"/>
        </w:rPr>
        <w:t>’</w:t>
      </w:r>
      <w:r w:rsidRPr="00210C31">
        <w:rPr>
          <w:lang w:val="fr-FR"/>
        </w:rPr>
        <w:t xml:space="preserve">ordre et analyser et </w:t>
      </w:r>
      <w:r>
        <w:rPr>
          <w:lang w:val="fr-FR"/>
        </w:rPr>
        <w:t>recenser</w:t>
      </w:r>
      <w:r w:rsidRPr="00210C31">
        <w:rPr>
          <w:lang w:val="fr-FR"/>
        </w:rPr>
        <w:t xml:space="preserve"> les caractéristiques et les tendances en matière de discrimination raciale</w:t>
      </w:r>
      <w:r w:rsidRPr="00293268">
        <w:rPr>
          <w:lang w:val="fr-FR"/>
        </w:rPr>
        <w:t xml:space="preserve">. </w:t>
      </w:r>
      <w:r w:rsidRPr="001B7DD5">
        <w:rPr>
          <w:lang w:val="fr-FR"/>
        </w:rPr>
        <w:t xml:space="preserve">Ces mécanismes devraient être expressément habilités à examiner </w:t>
      </w:r>
      <w:r>
        <w:rPr>
          <w:lang w:val="fr-FR"/>
        </w:rPr>
        <w:t>le respect des </w:t>
      </w:r>
      <w:r w:rsidRPr="001B7DD5">
        <w:rPr>
          <w:lang w:val="fr-FR"/>
        </w:rPr>
        <w:t>droits de l</w:t>
      </w:r>
      <w:r>
        <w:rPr>
          <w:lang w:val="fr-FR"/>
        </w:rPr>
        <w:t>’</w:t>
      </w:r>
      <w:r w:rsidRPr="001B7DD5">
        <w:rPr>
          <w:lang w:val="fr-FR"/>
        </w:rPr>
        <w:t>homme</w:t>
      </w:r>
      <w:r>
        <w:rPr>
          <w:lang w:val="fr-FR"/>
        </w:rPr>
        <w:t> par</w:t>
      </w:r>
      <w:r w:rsidRPr="001B7DD5">
        <w:rPr>
          <w:lang w:val="fr-FR"/>
        </w:rPr>
        <w:t xml:space="preserve"> la justice pénale et </w:t>
      </w:r>
      <w:r>
        <w:rPr>
          <w:lang w:val="fr-FR"/>
        </w:rPr>
        <w:t>dans les</w:t>
      </w:r>
      <w:r w:rsidRPr="00B46B2D">
        <w:rPr>
          <w:lang w:val="fr-FR"/>
        </w:rPr>
        <w:t xml:space="preserve"> mesures de répression. Ils</w:t>
      </w:r>
      <w:r w:rsidRPr="001B7DD5">
        <w:rPr>
          <w:lang w:val="fr-FR"/>
        </w:rPr>
        <w:t xml:space="preserve"> devraient également </w:t>
      </w:r>
      <w:r w:rsidRPr="00D5118E">
        <w:rPr>
          <w:lang w:val="fr-FR"/>
        </w:rPr>
        <w:t>établir dans quelle mesure la</w:t>
      </w:r>
      <w:r>
        <w:rPr>
          <w:lang w:val="fr-FR"/>
        </w:rPr>
        <w:t xml:space="preserve"> </w:t>
      </w:r>
      <w:r w:rsidRPr="00D5118E">
        <w:rPr>
          <w:lang w:val="fr-FR"/>
        </w:rPr>
        <w:t>législation nationale est conforme aux normes internationales et œuvrer si nécessaire à</w:t>
      </w:r>
      <w:r>
        <w:rPr>
          <w:lang w:val="fr-FR"/>
        </w:rPr>
        <w:t xml:space="preserve"> </w:t>
      </w:r>
      <w:r w:rsidRPr="00D5118E">
        <w:rPr>
          <w:lang w:val="fr-FR"/>
        </w:rPr>
        <w:t>la réforme du droit</w:t>
      </w:r>
      <w:r w:rsidRPr="00CD6B67">
        <w:rPr>
          <w:rStyle w:val="FootnoteReference"/>
        </w:rPr>
        <w:footnoteReference w:id="473"/>
      </w:r>
      <w:r>
        <w:rPr>
          <w:lang w:val="fr-FR"/>
        </w:rPr>
        <w:t>.</w:t>
      </w:r>
      <w:r w:rsidRPr="00293268">
        <w:rPr>
          <w:lang w:val="fr-FR"/>
        </w:rPr>
        <w:t xml:space="preserve"> </w:t>
      </w:r>
      <w:r w:rsidRPr="002600AA">
        <w:rPr>
          <w:lang w:val="fr-FR"/>
        </w:rPr>
        <w:t>La société civile et les mécanismes externes d</w:t>
      </w:r>
      <w:r>
        <w:rPr>
          <w:lang w:val="fr-FR"/>
        </w:rPr>
        <w:t>’</w:t>
      </w:r>
      <w:r w:rsidRPr="002600AA">
        <w:rPr>
          <w:lang w:val="fr-FR"/>
        </w:rPr>
        <w:t xml:space="preserve">établissement des responsabilités sont essentiels pour faciliter le contrôle des </w:t>
      </w:r>
      <w:r w:rsidRPr="00606E0A">
        <w:rPr>
          <w:lang w:val="fr-FR"/>
        </w:rPr>
        <w:t>agents des forces de l’ordre</w:t>
      </w:r>
      <w:r w:rsidRPr="002600AA">
        <w:rPr>
          <w:lang w:val="fr-FR"/>
        </w:rPr>
        <w:t xml:space="preserve"> et</w:t>
      </w:r>
      <w:r>
        <w:rPr>
          <w:lang w:val="fr-FR"/>
        </w:rPr>
        <w:t>, plus largement,</w:t>
      </w:r>
      <w:r w:rsidRPr="002600AA">
        <w:rPr>
          <w:lang w:val="fr-FR"/>
        </w:rPr>
        <w:t xml:space="preserve"> de la justice pénale.</w:t>
      </w:r>
    </w:p>
    <w:p w14:paraId="0A466FF3" w14:textId="716F1362" w:rsidR="00D301C6" w:rsidRPr="00293268" w:rsidRDefault="00D301C6" w:rsidP="00D301C6">
      <w:pPr>
        <w:pStyle w:val="SingleTxtG"/>
        <w:rPr>
          <w:lang w:val="fr-FR"/>
        </w:rPr>
      </w:pPr>
      <w:r w:rsidRPr="00293268">
        <w:rPr>
          <w:lang w:val="fr-FR"/>
        </w:rPr>
        <w:t>191.</w:t>
      </w:r>
      <w:r w:rsidRPr="00293268">
        <w:rPr>
          <w:lang w:val="fr-FR"/>
        </w:rPr>
        <w:tab/>
      </w:r>
      <w:r w:rsidRPr="00BA657E">
        <w:rPr>
          <w:lang w:val="fr-FR"/>
        </w:rPr>
        <w:t>Les États devraient également envisager de mettre en place un mécanisme accessible pour recevoir les plaintes pour racisme et discrimination raciale, y compris en ce qui concerne le profilage racial, ou s</w:t>
      </w:r>
      <w:r>
        <w:rPr>
          <w:lang w:val="fr-FR"/>
        </w:rPr>
        <w:t>’</w:t>
      </w:r>
      <w:r w:rsidRPr="00BA657E">
        <w:rPr>
          <w:lang w:val="fr-FR"/>
        </w:rPr>
        <w:t xml:space="preserve">assurer </w:t>
      </w:r>
      <w:r>
        <w:rPr>
          <w:lang w:val="fr-FR"/>
        </w:rPr>
        <w:t xml:space="preserve">que tout </w:t>
      </w:r>
      <w:r w:rsidRPr="00BA657E">
        <w:rPr>
          <w:lang w:val="fr-FR"/>
        </w:rPr>
        <w:t>organisme existant dispose d</w:t>
      </w:r>
      <w:r>
        <w:rPr>
          <w:lang w:val="fr-FR"/>
        </w:rPr>
        <w:t>’</w:t>
      </w:r>
      <w:r w:rsidRPr="00BA657E">
        <w:rPr>
          <w:lang w:val="fr-FR"/>
        </w:rPr>
        <w:t>un tel mécanisme. Ce</w:t>
      </w:r>
      <w:r w:rsidR="00E43C10">
        <w:rPr>
          <w:lang w:val="fr-FR"/>
        </w:rPr>
        <w:t> </w:t>
      </w:r>
      <w:r w:rsidRPr="00BA657E">
        <w:rPr>
          <w:lang w:val="fr-FR"/>
        </w:rPr>
        <w:t>mécanisme devrait être habilité à enquêter rapidement et efficacement sur les plaintes et à coopérer avec la société civile et les organismes chargés de veiller au respect des droits de l</w:t>
      </w:r>
      <w:r>
        <w:rPr>
          <w:lang w:val="fr-FR"/>
        </w:rPr>
        <w:t>’</w:t>
      </w:r>
      <w:r w:rsidRPr="00BA657E">
        <w:rPr>
          <w:lang w:val="fr-FR"/>
        </w:rPr>
        <w:t>homme. Il devrait aussi publier ses constatations, conformément à la réglementation relative à la protection des données et aux normes relatives aux droits de l</w:t>
      </w:r>
      <w:r>
        <w:rPr>
          <w:lang w:val="fr-FR"/>
        </w:rPr>
        <w:t>’</w:t>
      </w:r>
      <w:r w:rsidRPr="00BA657E">
        <w:rPr>
          <w:lang w:val="fr-FR"/>
        </w:rPr>
        <w:t>homme</w:t>
      </w:r>
      <w:r w:rsidRPr="00CD6B67">
        <w:rPr>
          <w:rStyle w:val="FootnoteReference"/>
        </w:rPr>
        <w:footnoteReference w:id="474"/>
      </w:r>
      <w:r>
        <w:rPr>
          <w:lang w:val="fr-FR"/>
        </w:rPr>
        <w:t>.</w:t>
      </w:r>
    </w:p>
    <w:p w14:paraId="4B41776C" w14:textId="79ADD8DF" w:rsidR="00D301C6" w:rsidRPr="00293268" w:rsidRDefault="00D301C6" w:rsidP="00C061D7">
      <w:pPr>
        <w:pStyle w:val="H23G"/>
        <w:rPr>
          <w:lang w:val="fr-FR"/>
        </w:rPr>
      </w:pPr>
      <w:bookmarkStart w:id="892" w:name="_Toc73642017"/>
      <w:bookmarkStart w:id="893" w:name="_Toc73702724"/>
      <w:bookmarkStart w:id="894" w:name="_Toc73724449"/>
      <w:bookmarkStart w:id="895" w:name="_Toc74254825"/>
      <w:bookmarkStart w:id="896" w:name="_Toc74303383"/>
      <w:bookmarkStart w:id="897" w:name="_Toc74305508"/>
      <w:bookmarkStart w:id="898" w:name="_Toc74337109"/>
      <w:bookmarkStart w:id="899" w:name="_Toc74340224"/>
      <w:bookmarkStart w:id="900" w:name="_Toc74344120"/>
      <w:bookmarkStart w:id="901" w:name="_Toc74562593"/>
      <w:bookmarkStart w:id="902" w:name="_Toc74657701"/>
      <w:bookmarkStart w:id="903" w:name="_Toc74661227"/>
      <w:bookmarkStart w:id="904" w:name="_Toc74666522"/>
      <w:bookmarkStart w:id="905" w:name="_Toc74671443"/>
      <w:bookmarkStart w:id="906" w:name="_Toc74867358"/>
      <w:bookmarkStart w:id="907" w:name="_Toc74919111"/>
      <w:bookmarkStart w:id="908" w:name="_Toc74919766"/>
      <w:bookmarkStart w:id="909" w:name="_Toc74925801"/>
      <w:bookmarkStart w:id="910" w:name="_Toc74927650"/>
      <w:r w:rsidRPr="00293268">
        <w:rPr>
          <w:lang w:val="fr-FR"/>
        </w:rPr>
        <w:tab/>
        <w:t>5.</w:t>
      </w:r>
      <w:r w:rsidRPr="00293268">
        <w:rPr>
          <w:lang w:val="fr-FR"/>
        </w:rPr>
        <w:tab/>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Pr="00A73B5B">
        <w:rPr>
          <w:lang w:val="fr-FR"/>
        </w:rPr>
        <w:t xml:space="preserve">Établir des mécanismes indépendants pour aider les familles et les </w:t>
      </w:r>
      <w:r>
        <w:rPr>
          <w:lang w:val="fr-FR"/>
        </w:rPr>
        <w:t>population</w:t>
      </w:r>
      <w:r w:rsidRPr="00A73B5B">
        <w:rPr>
          <w:lang w:val="fr-FR"/>
        </w:rPr>
        <w:t xml:space="preserve">s </w:t>
      </w:r>
      <w:r w:rsidR="00C061D7">
        <w:rPr>
          <w:lang w:val="fr-FR"/>
        </w:rPr>
        <w:br/>
      </w:r>
      <w:r w:rsidRPr="00A73B5B">
        <w:rPr>
          <w:lang w:val="fr-FR"/>
        </w:rPr>
        <w:t>touchées par les violations commises par les forces de l</w:t>
      </w:r>
      <w:r>
        <w:rPr>
          <w:lang w:val="fr-FR"/>
        </w:rPr>
        <w:t>’</w:t>
      </w:r>
      <w:r w:rsidRPr="00A73B5B">
        <w:rPr>
          <w:lang w:val="fr-FR"/>
        </w:rPr>
        <w:t>ordre</w:t>
      </w:r>
      <w:r>
        <w:rPr>
          <w:lang w:val="fr-FR"/>
        </w:rPr>
        <w:t xml:space="preserve"> et les doter </w:t>
      </w:r>
      <w:r w:rsidR="00C061D7">
        <w:rPr>
          <w:lang w:val="fr-FR"/>
        </w:rPr>
        <w:br/>
      </w:r>
      <w:r>
        <w:rPr>
          <w:lang w:val="fr-FR"/>
        </w:rPr>
        <w:t>de moyens suffisants</w:t>
      </w:r>
      <w:r w:rsidRPr="00A73B5B">
        <w:rPr>
          <w:lang w:val="fr-FR"/>
        </w:rPr>
        <w:t>,</w:t>
      </w:r>
      <w:r>
        <w:rPr>
          <w:lang w:val="fr-FR"/>
        </w:rPr>
        <w:t xml:space="preserve"> </w:t>
      </w:r>
      <w:r w:rsidRPr="00A73B5B">
        <w:rPr>
          <w:lang w:val="fr-FR"/>
        </w:rPr>
        <w:t xml:space="preserve">notamment en finançant des autopsies distinctes, </w:t>
      </w:r>
      <w:r w:rsidR="00C061D7">
        <w:rPr>
          <w:lang w:val="fr-FR"/>
        </w:rPr>
        <w:br/>
      </w:r>
      <w:r w:rsidRPr="00A73B5B">
        <w:rPr>
          <w:lang w:val="fr-FR"/>
        </w:rPr>
        <w:t>des programmes d</w:t>
      </w:r>
      <w:r>
        <w:rPr>
          <w:lang w:val="fr-FR"/>
        </w:rPr>
        <w:t>’</w:t>
      </w:r>
      <w:r w:rsidRPr="00A73B5B">
        <w:rPr>
          <w:lang w:val="fr-FR"/>
        </w:rPr>
        <w:t>indemnisation des victimes, des services d</w:t>
      </w:r>
      <w:r>
        <w:rPr>
          <w:lang w:val="fr-FR"/>
        </w:rPr>
        <w:t>’</w:t>
      </w:r>
      <w:r w:rsidRPr="00A73B5B">
        <w:rPr>
          <w:lang w:val="fr-FR"/>
        </w:rPr>
        <w:t xml:space="preserve">aide </w:t>
      </w:r>
      <w:r w:rsidR="00C061D7">
        <w:rPr>
          <w:lang w:val="fr-FR"/>
        </w:rPr>
        <w:br/>
      </w:r>
      <w:r w:rsidRPr="00A73B5B">
        <w:rPr>
          <w:lang w:val="fr-FR"/>
        </w:rPr>
        <w:t>psychosociale et d</w:t>
      </w:r>
      <w:r>
        <w:rPr>
          <w:lang w:val="fr-FR"/>
        </w:rPr>
        <w:t>’</w:t>
      </w:r>
      <w:r w:rsidRPr="00A73B5B">
        <w:rPr>
          <w:lang w:val="fr-FR"/>
        </w:rPr>
        <w:t>accompagnement du deuil</w:t>
      </w:r>
      <w:r>
        <w:rPr>
          <w:lang w:val="fr-FR"/>
        </w:rPr>
        <w:t xml:space="preserve"> et</w:t>
      </w:r>
      <w:r w:rsidRPr="00A73B5B">
        <w:rPr>
          <w:lang w:val="fr-FR"/>
        </w:rPr>
        <w:t xml:space="preserve"> une assistance </w:t>
      </w:r>
      <w:r w:rsidR="00C061D7">
        <w:rPr>
          <w:lang w:val="fr-FR"/>
        </w:rPr>
        <w:br/>
      </w:r>
      <w:r w:rsidRPr="00A73B5B">
        <w:rPr>
          <w:lang w:val="fr-FR"/>
        </w:rPr>
        <w:t>pour l</w:t>
      </w:r>
      <w:r>
        <w:rPr>
          <w:lang w:val="fr-FR"/>
        </w:rPr>
        <w:t>’</w:t>
      </w:r>
      <w:r w:rsidRPr="00A73B5B">
        <w:rPr>
          <w:lang w:val="fr-FR"/>
        </w:rPr>
        <w:t>inhumation des victimes</w:t>
      </w:r>
      <w:r w:rsidR="00D223D9">
        <w:rPr>
          <w:lang w:val="fr-FR"/>
        </w:rPr>
        <w:t>,</w:t>
      </w:r>
      <w:r w:rsidRPr="00A73B5B">
        <w:rPr>
          <w:lang w:val="fr-FR"/>
        </w:rPr>
        <w:t xml:space="preserve"> et</w:t>
      </w:r>
      <w:r>
        <w:rPr>
          <w:lang w:val="fr-FR"/>
        </w:rPr>
        <w:t xml:space="preserve"> en facilitant</w:t>
      </w:r>
      <w:r w:rsidRPr="00A73B5B">
        <w:rPr>
          <w:lang w:val="fr-FR"/>
        </w:rPr>
        <w:t xml:space="preserve"> l</w:t>
      </w:r>
      <w:r>
        <w:rPr>
          <w:lang w:val="fr-FR"/>
        </w:rPr>
        <w:t>’</w:t>
      </w:r>
      <w:r w:rsidRPr="00A73B5B">
        <w:rPr>
          <w:lang w:val="fr-FR"/>
        </w:rPr>
        <w:t>accès à la justice</w:t>
      </w:r>
    </w:p>
    <w:p w14:paraId="298F4247" w14:textId="7D7404F1" w:rsidR="00D301C6" w:rsidRPr="00293268" w:rsidRDefault="00D301C6" w:rsidP="00D301C6">
      <w:pPr>
        <w:pStyle w:val="SingleTxtG"/>
        <w:rPr>
          <w:lang w:val="fr-FR"/>
        </w:rPr>
      </w:pPr>
      <w:r w:rsidRPr="00293268">
        <w:rPr>
          <w:lang w:val="fr-FR"/>
        </w:rPr>
        <w:t>192.</w:t>
      </w:r>
      <w:r w:rsidRPr="00293268">
        <w:rPr>
          <w:lang w:val="fr-FR"/>
        </w:rPr>
        <w:tab/>
      </w:r>
      <w:r w:rsidRPr="00110F25">
        <w:rPr>
          <w:lang w:val="fr-FR"/>
        </w:rPr>
        <w:t xml:space="preserve">Les États </w:t>
      </w:r>
      <w:r>
        <w:rPr>
          <w:lang w:val="fr-FR"/>
        </w:rPr>
        <w:t xml:space="preserve">doivent </w:t>
      </w:r>
      <w:r w:rsidRPr="00110F25">
        <w:rPr>
          <w:lang w:val="fr-FR"/>
        </w:rPr>
        <w:t xml:space="preserve">respecter le droit des familles </w:t>
      </w:r>
      <w:r>
        <w:rPr>
          <w:lang w:val="fr-FR"/>
        </w:rPr>
        <w:t>victimes de</w:t>
      </w:r>
      <w:r w:rsidRPr="00110F25">
        <w:rPr>
          <w:lang w:val="fr-FR"/>
        </w:rPr>
        <w:t xml:space="preserve"> violations commises par des membres des forces de l</w:t>
      </w:r>
      <w:r>
        <w:rPr>
          <w:lang w:val="fr-FR"/>
        </w:rPr>
        <w:t>’</w:t>
      </w:r>
      <w:r w:rsidRPr="00110F25">
        <w:rPr>
          <w:lang w:val="fr-FR"/>
        </w:rPr>
        <w:t>ordre de connaître la vérité, d</w:t>
      </w:r>
      <w:r>
        <w:rPr>
          <w:lang w:val="fr-FR"/>
        </w:rPr>
        <w:t>’</w:t>
      </w:r>
      <w:r w:rsidRPr="00110F25">
        <w:rPr>
          <w:lang w:val="fr-FR"/>
        </w:rPr>
        <w:t xml:space="preserve">obtenir justice et </w:t>
      </w:r>
      <w:r>
        <w:rPr>
          <w:lang w:val="fr-FR"/>
        </w:rPr>
        <w:t>des</w:t>
      </w:r>
      <w:r w:rsidRPr="00110F25">
        <w:rPr>
          <w:lang w:val="fr-FR"/>
        </w:rPr>
        <w:t xml:space="preserve"> garantie</w:t>
      </w:r>
      <w:r>
        <w:rPr>
          <w:lang w:val="fr-FR"/>
        </w:rPr>
        <w:t>s</w:t>
      </w:r>
      <w:r w:rsidRPr="00110F25">
        <w:rPr>
          <w:lang w:val="fr-FR"/>
        </w:rPr>
        <w:t xml:space="preserve"> </w:t>
      </w:r>
      <w:r>
        <w:rPr>
          <w:lang w:val="fr-FR"/>
        </w:rPr>
        <w:t>de non</w:t>
      </w:r>
      <w:r w:rsidR="00A90039">
        <w:rPr>
          <w:lang w:val="fr-FR"/>
        </w:rPr>
        <w:noBreakHyphen/>
      </w:r>
      <w:r>
        <w:rPr>
          <w:lang w:val="fr-FR"/>
        </w:rPr>
        <w:t>répétition</w:t>
      </w:r>
      <w:r w:rsidRPr="00110F25">
        <w:rPr>
          <w:lang w:val="fr-FR"/>
        </w:rPr>
        <w:t xml:space="preserve"> et, en particulier, d</w:t>
      </w:r>
      <w:r>
        <w:rPr>
          <w:lang w:val="fr-FR"/>
        </w:rPr>
        <w:t>’</w:t>
      </w:r>
      <w:r w:rsidRPr="00110F25">
        <w:rPr>
          <w:lang w:val="fr-FR"/>
        </w:rPr>
        <w:t>exiger que les responsables de tels actes soient poursuivis et sanctionnés</w:t>
      </w:r>
      <w:r w:rsidRPr="00293268">
        <w:rPr>
          <w:lang w:val="fr-FR"/>
        </w:rPr>
        <w:t>.</w:t>
      </w:r>
    </w:p>
    <w:p w14:paraId="77EE61AD" w14:textId="77777777" w:rsidR="00D301C6" w:rsidRPr="00293268" w:rsidRDefault="00D301C6" w:rsidP="00D301C6">
      <w:pPr>
        <w:pStyle w:val="SingleTxtG"/>
        <w:rPr>
          <w:lang w:val="fr-FR"/>
        </w:rPr>
      </w:pPr>
      <w:r w:rsidRPr="00293268">
        <w:rPr>
          <w:lang w:val="fr-FR"/>
        </w:rPr>
        <w:t>193.</w:t>
      </w:r>
      <w:r w:rsidRPr="00293268">
        <w:rPr>
          <w:lang w:val="fr-FR"/>
        </w:rPr>
        <w:tab/>
      </w:r>
      <w:r w:rsidRPr="00CF183E">
        <w:rPr>
          <w:lang w:val="fr-FR"/>
        </w:rPr>
        <w:t>Les États devraient établir des mécanismes indépendants chargés d</w:t>
      </w:r>
      <w:r>
        <w:rPr>
          <w:lang w:val="fr-FR"/>
        </w:rPr>
        <w:t>’</w:t>
      </w:r>
      <w:r w:rsidRPr="00CF183E">
        <w:rPr>
          <w:lang w:val="fr-FR"/>
        </w:rPr>
        <w:t xml:space="preserve">aider les familles et les </w:t>
      </w:r>
      <w:r>
        <w:rPr>
          <w:lang w:val="fr-FR"/>
        </w:rPr>
        <w:t>populations</w:t>
      </w:r>
      <w:r w:rsidRPr="00CF183E">
        <w:rPr>
          <w:lang w:val="fr-FR"/>
        </w:rPr>
        <w:t xml:space="preserve"> concernées à accéder à la vérité et à la justice</w:t>
      </w:r>
      <w:r>
        <w:rPr>
          <w:lang w:val="fr-FR"/>
        </w:rPr>
        <w:t xml:space="preserve"> et les doter de moyens suffisants</w:t>
      </w:r>
      <w:r w:rsidRPr="00CF183E">
        <w:rPr>
          <w:lang w:val="fr-FR"/>
        </w:rPr>
        <w:t>. Il faut pour cela adopter une approche centrée sur les victimes et leur apporter une aide juridictionnelle et des informations et conseils spécialisés sur les sources de soutien, les enquêtes sur les décès pendant ou après une intervention des forces de l</w:t>
      </w:r>
      <w:r>
        <w:rPr>
          <w:lang w:val="fr-FR"/>
        </w:rPr>
        <w:t>’</w:t>
      </w:r>
      <w:r w:rsidRPr="00CF183E">
        <w:rPr>
          <w:lang w:val="fr-FR"/>
        </w:rPr>
        <w:t xml:space="preserve">ordre, ainsi que des informations régulières tout au long </w:t>
      </w:r>
      <w:r>
        <w:rPr>
          <w:lang w:val="fr-FR"/>
        </w:rPr>
        <w:t>de l’</w:t>
      </w:r>
      <w:r w:rsidRPr="00CF183E">
        <w:rPr>
          <w:lang w:val="fr-FR"/>
        </w:rPr>
        <w:t xml:space="preserve">enquête. Les États devraient faire en sorte que les familles aient qualité pour agir </w:t>
      </w:r>
      <w:r>
        <w:rPr>
          <w:lang w:val="fr-FR"/>
        </w:rPr>
        <w:t xml:space="preserve">dans l’enquête </w:t>
      </w:r>
      <w:r w:rsidRPr="00CF183E">
        <w:rPr>
          <w:lang w:val="fr-FR"/>
        </w:rPr>
        <w:t>et prendre des mesures pour protéger les témoins, les victimes et leurs proches ainsi que les enquêteurs contre les menaces, les attaques et tout acte de représailles</w:t>
      </w:r>
      <w:r w:rsidRPr="00CD6B67">
        <w:rPr>
          <w:rStyle w:val="FootnoteReference"/>
        </w:rPr>
        <w:footnoteReference w:id="475"/>
      </w:r>
      <w:r>
        <w:rPr>
          <w:lang w:val="fr-FR"/>
        </w:rPr>
        <w:t>.</w:t>
      </w:r>
      <w:r w:rsidRPr="00293268">
        <w:rPr>
          <w:lang w:val="fr-FR"/>
        </w:rPr>
        <w:t xml:space="preserve"> </w:t>
      </w:r>
      <w:r w:rsidRPr="00CA141E">
        <w:rPr>
          <w:lang w:val="fr-FR"/>
        </w:rPr>
        <w:t>S</w:t>
      </w:r>
      <w:r>
        <w:rPr>
          <w:lang w:val="fr-FR"/>
        </w:rPr>
        <w:t>’</w:t>
      </w:r>
      <w:r w:rsidRPr="00CA141E">
        <w:rPr>
          <w:lang w:val="fr-FR"/>
        </w:rPr>
        <w:t>il y a lieu, en cas de décès causé par les forces de l</w:t>
      </w:r>
      <w:r>
        <w:rPr>
          <w:lang w:val="fr-FR"/>
        </w:rPr>
        <w:t>’</w:t>
      </w:r>
      <w:r w:rsidRPr="00CA141E">
        <w:rPr>
          <w:lang w:val="fr-FR"/>
        </w:rPr>
        <w:t>ordre, l</w:t>
      </w:r>
      <w:r>
        <w:rPr>
          <w:lang w:val="fr-FR"/>
        </w:rPr>
        <w:t>’</w:t>
      </w:r>
      <w:r w:rsidRPr="00CA141E">
        <w:rPr>
          <w:lang w:val="fr-FR"/>
        </w:rPr>
        <w:t>enquête devrait comprendre une autopsie du corps de la victime, chaque fois que cela est possible</w:t>
      </w:r>
      <w:r>
        <w:rPr>
          <w:lang w:val="fr-FR"/>
        </w:rPr>
        <w:t>,</w:t>
      </w:r>
      <w:r w:rsidRPr="00CA141E">
        <w:rPr>
          <w:lang w:val="fr-FR"/>
        </w:rPr>
        <w:t xml:space="preserve"> en présence d</w:t>
      </w:r>
      <w:r>
        <w:rPr>
          <w:lang w:val="fr-FR"/>
        </w:rPr>
        <w:t>’</w:t>
      </w:r>
      <w:r w:rsidRPr="00CA141E">
        <w:rPr>
          <w:lang w:val="fr-FR"/>
        </w:rPr>
        <w:t>un représentant des proches de la victime</w:t>
      </w:r>
      <w:r w:rsidRPr="00CD6B67">
        <w:rPr>
          <w:rStyle w:val="FootnoteReference"/>
        </w:rPr>
        <w:footnoteReference w:id="476"/>
      </w:r>
      <w:r>
        <w:rPr>
          <w:lang w:val="fr-FR"/>
        </w:rPr>
        <w:t>.</w:t>
      </w:r>
      <w:r w:rsidRPr="00293268">
        <w:rPr>
          <w:lang w:val="fr-FR"/>
        </w:rPr>
        <w:t xml:space="preserve"> </w:t>
      </w:r>
      <w:r w:rsidRPr="005A1CF7">
        <w:rPr>
          <w:lang w:val="fr-FR"/>
        </w:rPr>
        <w:t>À cet égard, l</w:t>
      </w:r>
      <w:r>
        <w:rPr>
          <w:lang w:val="fr-FR"/>
        </w:rPr>
        <w:t xml:space="preserve">es </w:t>
      </w:r>
      <w:r w:rsidRPr="005A1CF7">
        <w:rPr>
          <w:lang w:val="fr-FR"/>
        </w:rPr>
        <w:t>État</w:t>
      </w:r>
      <w:r>
        <w:rPr>
          <w:lang w:val="fr-FR"/>
        </w:rPr>
        <w:t>s</w:t>
      </w:r>
      <w:r w:rsidRPr="005A1CF7">
        <w:rPr>
          <w:lang w:val="fr-FR"/>
        </w:rPr>
        <w:t xml:space="preserve"> devrai</w:t>
      </w:r>
      <w:r>
        <w:rPr>
          <w:lang w:val="fr-FR"/>
        </w:rPr>
        <w:t>en</w:t>
      </w:r>
      <w:r w:rsidRPr="005A1CF7">
        <w:rPr>
          <w:lang w:val="fr-FR"/>
        </w:rPr>
        <w:t>t également veiller à ce que les familles reçoivent les moyens financiers et autres soutiens nécessaires pour faire pratiquer des autopsies distinctes, si elles le souhaitent, et pour récupérer les corps de leurs proches et les inhumer</w:t>
      </w:r>
      <w:r w:rsidRPr="00293268">
        <w:rPr>
          <w:lang w:val="fr-FR"/>
        </w:rPr>
        <w:t>.</w:t>
      </w:r>
    </w:p>
    <w:p w14:paraId="0F26196B" w14:textId="77777777" w:rsidR="00D301C6" w:rsidRPr="00293268" w:rsidRDefault="00D301C6" w:rsidP="00D301C6">
      <w:pPr>
        <w:pStyle w:val="SingleTxtG"/>
        <w:rPr>
          <w:lang w:val="fr-FR"/>
        </w:rPr>
      </w:pPr>
      <w:r w:rsidRPr="00293268">
        <w:rPr>
          <w:lang w:val="fr-FR"/>
        </w:rPr>
        <w:t>194.</w:t>
      </w:r>
      <w:r w:rsidRPr="00293268">
        <w:rPr>
          <w:lang w:val="fr-FR"/>
        </w:rPr>
        <w:tab/>
      </w:r>
      <w:r w:rsidRPr="00F50225">
        <w:rPr>
          <w:lang w:val="fr-FR"/>
        </w:rPr>
        <w:t>Ils devraient veiller à ce que les familles puissent bénéficier de programmes d</w:t>
      </w:r>
      <w:r>
        <w:rPr>
          <w:lang w:val="fr-FR"/>
        </w:rPr>
        <w:t>’</w:t>
      </w:r>
      <w:r w:rsidRPr="00F50225">
        <w:rPr>
          <w:lang w:val="fr-FR"/>
        </w:rPr>
        <w:t>indemnisation en cas de décès résultant d</w:t>
      </w:r>
      <w:r>
        <w:rPr>
          <w:lang w:val="fr-FR"/>
        </w:rPr>
        <w:t>’</w:t>
      </w:r>
      <w:r w:rsidRPr="00F50225">
        <w:rPr>
          <w:lang w:val="fr-FR"/>
        </w:rPr>
        <w:t>une intervention des forces de l</w:t>
      </w:r>
      <w:r>
        <w:rPr>
          <w:lang w:val="fr-FR"/>
        </w:rPr>
        <w:t>’</w:t>
      </w:r>
      <w:r w:rsidRPr="00F50225">
        <w:rPr>
          <w:lang w:val="fr-FR"/>
        </w:rPr>
        <w:t>ordre, ainsi que d</w:t>
      </w:r>
      <w:r>
        <w:rPr>
          <w:lang w:val="fr-FR"/>
        </w:rPr>
        <w:t>’</w:t>
      </w:r>
      <w:r w:rsidRPr="00F50225">
        <w:rPr>
          <w:lang w:val="fr-FR"/>
        </w:rPr>
        <w:t>une d</w:t>
      </w:r>
      <w:r>
        <w:rPr>
          <w:lang w:val="fr-FR"/>
        </w:rPr>
        <w:t>’</w:t>
      </w:r>
      <w:r w:rsidRPr="00F50225">
        <w:rPr>
          <w:lang w:val="fr-FR"/>
        </w:rPr>
        <w:t>aide psychosociale et d</w:t>
      </w:r>
      <w:r>
        <w:rPr>
          <w:lang w:val="fr-FR"/>
        </w:rPr>
        <w:t xml:space="preserve">’un </w:t>
      </w:r>
      <w:r w:rsidRPr="00F50225">
        <w:rPr>
          <w:lang w:val="fr-FR"/>
        </w:rPr>
        <w:t>accompagnement du deuil, d</w:t>
      </w:r>
      <w:r>
        <w:rPr>
          <w:lang w:val="fr-FR"/>
        </w:rPr>
        <w:t>’</w:t>
      </w:r>
      <w:r w:rsidRPr="00F50225">
        <w:rPr>
          <w:lang w:val="fr-FR"/>
        </w:rPr>
        <w:t>une assistance pour l</w:t>
      </w:r>
      <w:r>
        <w:rPr>
          <w:lang w:val="fr-FR"/>
        </w:rPr>
        <w:t>’</w:t>
      </w:r>
      <w:r w:rsidRPr="00F50225">
        <w:rPr>
          <w:lang w:val="fr-FR"/>
        </w:rPr>
        <w:t>inhumation des victimes</w:t>
      </w:r>
      <w:r>
        <w:rPr>
          <w:lang w:val="fr-FR"/>
        </w:rPr>
        <w:t>, ainsi que d’une</w:t>
      </w:r>
      <w:r w:rsidRPr="00F50225">
        <w:rPr>
          <w:lang w:val="fr-FR"/>
        </w:rPr>
        <w:t xml:space="preserve"> </w:t>
      </w:r>
      <w:r w:rsidRPr="00D06902">
        <w:rPr>
          <w:lang w:val="fr-FR"/>
        </w:rPr>
        <w:t xml:space="preserve">assistance et </w:t>
      </w:r>
      <w:r>
        <w:rPr>
          <w:lang w:val="fr-FR"/>
        </w:rPr>
        <w:t xml:space="preserve">d’un </w:t>
      </w:r>
      <w:r w:rsidRPr="00D06902">
        <w:rPr>
          <w:lang w:val="fr-FR"/>
        </w:rPr>
        <w:t xml:space="preserve">appui </w:t>
      </w:r>
      <w:r w:rsidRPr="00F50225">
        <w:rPr>
          <w:lang w:val="fr-FR"/>
        </w:rPr>
        <w:t>socia</w:t>
      </w:r>
      <w:r>
        <w:rPr>
          <w:lang w:val="fr-FR"/>
        </w:rPr>
        <w:t>l</w:t>
      </w:r>
      <w:r w:rsidRPr="00CD6B67">
        <w:rPr>
          <w:rStyle w:val="FootnoteReference"/>
        </w:rPr>
        <w:footnoteReference w:id="477"/>
      </w:r>
      <w:r>
        <w:rPr>
          <w:lang w:val="fr-FR"/>
        </w:rPr>
        <w:t>.</w:t>
      </w:r>
      <w:r w:rsidRPr="00293268">
        <w:rPr>
          <w:lang w:val="fr-FR"/>
        </w:rPr>
        <w:t xml:space="preserve"> </w:t>
      </w:r>
      <w:r w:rsidRPr="00B00B7D">
        <w:rPr>
          <w:lang w:val="fr-FR"/>
        </w:rPr>
        <w:t xml:space="preserve">Les États devraient adopter des mesures pour commémorer </w:t>
      </w:r>
      <w:r>
        <w:rPr>
          <w:lang w:val="fr-FR"/>
        </w:rPr>
        <w:t>la mémoire</w:t>
      </w:r>
      <w:r w:rsidRPr="00B00B7D">
        <w:rPr>
          <w:lang w:val="fr-FR"/>
        </w:rPr>
        <w:t xml:space="preserve"> des victimes. Ces mesures devraient être établies avec la participation des familles et dans le cadre de véritables consultations avec elles</w:t>
      </w:r>
      <w:r>
        <w:rPr>
          <w:lang w:val="fr-FR"/>
        </w:rPr>
        <w:t>.</w:t>
      </w:r>
    </w:p>
    <w:p w14:paraId="43A9E32E" w14:textId="7E1C97A1" w:rsidR="00D301C6" w:rsidRPr="00293268" w:rsidRDefault="00D301C6" w:rsidP="003B1628">
      <w:pPr>
        <w:pStyle w:val="HChG"/>
        <w:rPr>
          <w:lang w:val="fr-FR"/>
        </w:rPr>
      </w:pPr>
      <w:r w:rsidRPr="00293268">
        <w:rPr>
          <w:lang w:val="fr-FR"/>
        </w:rPr>
        <w:tab/>
        <w:t>IV.</w:t>
      </w:r>
      <w:r w:rsidRPr="00293268">
        <w:rPr>
          <w:lang w:val="fr-FR"/>
        </w:rPr>
        <w:tab/>
      </w:r>
      <w:bookmarkStart w:id="911" w:name="_Hlk116397503"/>
      <w:r w:rsidRPr="00293268">
        <w:rPr>
          <w:lang w:val="fr-FR"/>
        </w:rPr>
        <w:t>Veiller à ce que la voix des personnes d</w:t>
      </w:r>
      <w:r>
        <w:rPr>
          <w:lang w:val="fr-FR"/>
        </w:rPr>
        <w:t>’</w:t>
      </w:r>
      <w:r w:rsidRPr="00293268">
        <w:rPr>
          <w:lang w:val="fr-FR"/>
        </w:rPr>
        <w:t xml:space="preserve">ascendance africaine </w:t>
      </w:r>
      <w:r w:rsidR="00330201">
        <w:rPr>
          <w:lang w:val="fr-FR"/>
        </w:rPr>
        <w:br/>
      </w:r>
      <w:r w:rsidRPr="00293268">
        <w:rPr>
          <w:lang w:val="fr-FR"/>
        </w:rPr>
        <w:t xml:space="preserve">et de </w:t>
      </w:r>
      <w:r>
        <w:rPr>
          <w:lang w:val="fr-FR"/>
        </w:rPr>
        <w:t>celles</w:t>
      </w:r>
      <w:r w:rsidRPr="00293268">
        <w:rPr>
          <w:lang w:val="fr-FR"/>
        </w:rPr>
        <w:t xml:space="preserve"> qui s</w:t>
      </w:r>
      <w:r>
        <w:rPr>
          <w:lang w:val="fr-FR"/>
        </w:rPr>
        <w:t>’</w:t>
      </w:r>
      <w:r w:rsidRPr="00293268">
        <w:rPr>
          <w:lang w:val="fr-FR"/>
        </w:rPr>
        <w:t xml:space="preserve">élèvent contre le racisme soit entendue </w:t>
      </w:r>
      <w:r w:rsidR="00330201">
        <w:rPr>
          <w:lang w:val="fr-FR"/>
        </w:rPr>
        <w:br/>
      </w:r>
      <w:r w:rsidRPr="00293268">
        <w:rPr>
          <w:lang w:val="fr-FR"/>
        </w:rPr>
        <w:t>et à ce qu</w:t>
      </w:r>
      <w:r>
        <w:rPr>
          <w:lang w:val="fr-FR"/>
        </w:rPr>
        <w:t>’</w:t>
      </w:r>
      <w:r w:rsidRPr="00293268">
        <w:rPr>
          <w:lang w:val="fr-FR"/>
        </w:rPr>
        <w:t>il soit répondu à leurs préoccupations</w:t>
      </w:r>
      <w:bookmarkEnd w:id="911"/>
    </w:p>
    <w:p w14:paraId="677D3639" w14:textId="77777777" w:rsidR="00D301C6" w:rsidRPr="00293268" w:rsidRDefault="00D301C6" w:rsidP="00D301C6">
      <w:pPr>
        <w:pStyle w:val="H1G"/>
        <w:rPr>
          <w:lang w:val="fr-FR"/>
        </w:rPr>
      </w:pPr>
      <w:bookmarkStart w:id="912" w:name="_Toc62028872"/>
      <w:bookmarkStart w:id="913" w:name="_Toc62556529"/>
      <w:bookmarkStart w:id="914" w:name="_Toc62562314"/>
      <w:bookmarkStart w:id="915" w:name="_Toc74922963"/>
      <w:r w:rsidRPr="00293268">
        <w:rPr>
          <w:lang w:val="fr-FR"/>
        </w:rPr>
        <w:tab/>
        <w:t>A.</w:t>
      </w:r>
      <w:r w:rsidRPr="00293268">
        <w:rPr>
          <w:lang w:val="fr-FR"/>
        </w:rPr>
        <w:tab/>
        <w:t>Introduction</w:t>
      </w:r>
      <w:bookmarkEnd w:id="912"/>
      <w:bookmarkEnd w:id="913"/>
      <w:bookmarkEnd w:id="914"/>
      <w:bookmarkEnd w:id="915"/>
    </w:p>
    <w:p w14:paraId="499612BB" w14:textId="6F4400DA" w:rsidR="00D301C6" w:rsidRPr="00293268" w:rsidRDefault="00D301C6" w:rsidP="00D301C6">
      <w:pPr>
        <w:pStyle w:val="SingleTxtG"/>
        <w:rPr>
          <w:lang w:val="fr-FR"/>
        </w:rPr>
      </w:pPr>
      <w:r w:rsidRPr="00293268">
        <w:rPr>
          <w:lang w:val="fr-FR"/>
        </w:rPr>
        <w:t>195.</w:t>
      </w:r>
      <w:r w:rsidRPr="00293268">
        <w:rPr>
          <w:lang w:val="fr-FR"/>
        </w:rPr>
        <w:tab/>
        <w:t xml:space="preserve">Le meurtre de George Floyd en mai 2020 </w:t>
      </w:r>
      <w:r w:rsidRPr="0083790C">
        <w:rPr>
          <w:lang w:val="fr-FR"/>
        </w:rPr>
        <w:t>a déclenché un nombre sans précédent de manifestations réclamant la justice raciale, d</w:t>
      </w:r>
      <w:r>
        <w:rPr>
          <w:lang w:val="fr-FR"/>
        </w:rPr>
        <w:t>’</w:t>
      </w:r>
      <w:r w:rsidRPr="0083790C">
        <w:rPr>
          <w:lang w:val="fr-FR"/>
        </w:rPr>
        <w:t>abord aux États-Unis, puis dans le monde entier</w:t>
      </w:r>
      <w:r w:rsidRPr="00CD6B67">
        <w:rPr>
          <w:rStyle w:val="FootnoteReference"/>
        </w:rPr>
        <w:footnoteReference w:id="478"/>
      </w:r>
      <w:r>
        <w:rPr>
          <w:lang w:val="fr-FR"/>
        </w:rPr>
        <w:t>.</w:t>
      </w:r>
      <w:r w:rsidRPr="00293268">
        <w:rPr>
          <w:lang w:val="fr-FR"/>
        </w:rPr>
        <w:t xml:space="preserve"> </w:t>
      </w:r>
      <w:r>
        <w:rPr>
          <w:lang w:val="fr-FR"/>
        </w:rPr>
        <w:t>Selon les estimations,</w:t>
      </w:r>
      <w:r w:rsidRPr="00293268">
        <w:rPr>
          <w:lang w:val="fr-FR"/>
        </w:rPr>
        <w:t xml:space="preserve"> 7</w:t>
      </w:r>
      <w:r w:rsidR="003B1628">
        <w:rPr>
          <w:lang w:val="fr-FR"/>
        </w:rPr>
        <w:t> </w:t>
      </w:r>
      <w:r w:rsidRPr="00293268">
        <w:rPr>
          <w:lang w:val="fr-FR"/>
        </w:rPr>
        <w:t>750</w:t>
      </w:r>
      <w:r w:rsidR="003B1628">
        <w:rPr>
          <w:lang w:val="fr-FR"/>
        </w:rPr>
        <w:t> </w:t>
      </w:r>
      <w:r w:rsidRPr="00293268">
        <w:rPr>
          <w:lang w:val="fr-FR"/>
        </w:rPr>
        <w:t>manifestations de cette nature ont eu lieu seulement aux États-Unis entre le 25 mai et le 22 août 2020</w:t>
      </w:r>
      <w:r w:rsidRPr="00CD6B67">
        <w:rPr>
          <w:rStyle w:val="FootnoteReference"/>
        </w:rPr>
        <w:footnoteReference w:id="479"/>
      </w:r>
      <w:r w:rsidRPr="00293268">
        <w:rPr>
          <w:lang w:val="fr-FR"/>
        </w:rPr>
        <w:t xml:space="preserve">. </w:t>
      </w:r>
      <w:r>
        <w:rPr>
          <w:lang w:val="fr-FR"/>
        </w:rPr>
        <w:t>Dans ce pays</w:t>
      </w:r>
      <w:r w:rsidRPr="006169FD">
        <w:rPr>
          <w:lang w:val="fr-FR"/>
        </w:rPr>
        <w:t>, les manifestants ont exigé que justice soit rendue pour la mort de George Floyd et, plus généralement, que cesse l</w:t>
      </w:r>
      <w:r>
        <w:rPr>
          <w:lang w:val="fr-FR"/>
        </w:rPr>
        <w:t>’</w:t>
      </w:r>
      <w:r w:rsidRPr="006169FD">
        <w:rPr>
          <w:lang w:val="fr-FR"/>
        </w:rPr>
        <w:t xml:space="preserve">impunité </w:t>
      </w:r>
      <w:r>
        <w:rPr>
          <w:lang w:val="fr-FR"/>
        </w:rPr>
        <w:t>d</w:t>
      </w:r>
      <w:r w:rsidRPr="006169FD">
        <w:rPr>
          <w:lang w:val="fr-FR"/>
        </w:rPr>
        <w:t>es violences policières</w:t>
      </w:r>
      <w:r>
        <w:rPr>
          <w:lang w:val="fr-FR"/>
        </w:rPr>
        <w:t xml:space="preserve"> commises</w:t>
      </w:r>
      <w:r w:rsidRPr="006169FD">
        <w:rPr>
          <w:lang w:val="fr-FR"/>
        </w:rPr>
        <w:t xml:space="preserve"> à l</w:t>
      </w:r>
      <w:r>
        <w:rPr>
          <w:lang w:val="fr-FR"/>
        </w:rPr>
        <w:t>’</w:t>
      </w:r>
      <w:r w:rsidRPr="006169FD">
        <w:rPr>
          <w:lang w:val="fr-FR"/>
        </w:rPr>
        <w:t>encontre des personnes d</w:t>
      </w:r>
      <w:r>
        <w:rPr>
          <w:lang w:val="fr-FR"/>
        </w:rPr>
        <w:t>’</w:t>
      </w:r>
      <w:r w:rsidRPr="006169FD">
        <w:rPr>
          <w:lang w:val="fr-FR"/>
        </w:rPr>
        <w:t>ascendance africaine</w:t>
      </w:r>
      <w:r w:rsidRPr="00293268">
        <w:rPr>
          <w:lang w:val="fr-FR"/>
        </w:rPr>
        <w:t xml:space="preserve">. </w:t>
      </w:r>
      <w:r w:rsidRPr="00B86741">
        <w:rPr>
          <w:lang w:val="fr-FR"/>
        </w:rPr>
        <w:t>Ils ont également demandé aux gouvernement</w:t>
      </w:r>
      <w:r>
        <w:rPr>
          <w:lang w:val="fr-FR"/>
        </w:rPr>
        <w:t>s</w:t>
      </w:r>
      <w:r w:rsidRPr="00B86741">
        <w:rPr>
          <w:lang w:val="fr-FR"/>
        </w:rPr>
        <w:t xml:space="preserve"> fédéral</w:t>
      </w:r>
      <w:r>
        <w:rPr>
          <w:lang w:val="fr-FR"/>
        </w:rPr>
        <w:t xml:space="preserve"> et</w:t>
      </w:r>
      <w:r w:rsidRPr="00B86741">
        <w:rPr>
          <w:lang w:val="fr-FR"/>
        </w:rPr>
        <w:t xml:space="preserve"> des États</w:t>
      </w:r>
      <w:r>
        <w:rPr>
          <w:lang w:val="fr-FR"/>
        </w:rPr>
        <w:t xml:space="preserve">, ainsi qu’aux autorités locales, </w:t>
      </w:r>
      <w:r w:rsidRPr="00B86741">
        <w:rPr>
          <w:lang w:val="fr-FR"/>
        </w:rPr>
        <w:t>de s</w:t>
      </w:r>
      <w:r>
        <w:rPr>
          <w:lang w:val="fr-FR"/>
        </w:rPr>
        <w:t>’</w:t>
      </w:r>
      <w:r w:rsidRPr="00B86741">
        <w:rPr>
          <w:lang w:val="fr-FR"/>
        </w:rPr>
        <w:t>attaquer au racisme systémique et d</w:t>
      </w:r>
      <w:r>
        <w:rPr>
          <w:lang w:val="fr-FR"/>
        </w:rPr>
        <w:t>’</w:t>
      </w:r>
      <w:r w:rsidRPr="00B86741">
        <w:rPr>
          <w:lang w:val="fr-FR"/>
        </w:rPr>
        <w:t>adopter des réformes efficaces de la police et des réformes plus larges qui permettraient de parvenir à l</w:t>
      </w:r>
      <w:r>
        <w:rPr>
          <w:lang w:val="fr-FR"/>
        </w:rPr>
        <w:t>’</w:t>
      </w:r>
      <w:r w:rsidRPr="00B86741">
        <w:rPr>
          <w:lang w:val="fr-FR"/>
        </w:rPr>
        <w:t>égalité et à la justice</w:t>
      </w:r>
      <w:r w:rsidRPr="00293268">
        <w:rPr>
          <w:lang w:val="fr-FR"/>
        </w:rPr>
        <w:t>.</w:t>
      </w:r>
    </w:p>
    <w:p w14:paraId="1D596A99" w14:textId="103955B0" w:rsidR="00D301C6" w:rsidRPr="00293268" w:rsidRDefault="00D301C6" w:rsidP="00D301C6">
      <w:pPr>
        <w:pStyle w:val="SingleTxtG"/>
        <w:rPr>
          <w:lang w:val="fr-FR"/>
        </w:rPr>
      </w:pPr>
      <w:r w:rsidRPr="00293268">
        <w:rPr>
          <w:lang w:val="fr-FR"/>
        </w:rPr>
        <w:t>196.</w:t>
      </w:r>
      <w:r w:rsidRPr="00293268">
        <w:rPr>
          <w:lang w:val="fr-FR"/>
        </w:rPr>
        <w:tab/>
      </w:r>
      <w:r w:rsidRPr="00D73F6F">
        <w:rPr>
          <w:lang w:val="fr-FR"/>
        </w:rPr>
        <w:t>Les manifestations organisées en réponse à la mort de personnes d</w:t>
      </w:r>
      <w:r>
        <w:rPr>
          <w:lang w:val="fr-FR"/>
        </w:rPr>
        <w:t>’</w:t>
      </w:r>
      <w:r w:rsidRPr="00D73F6F">
        <w:rPr>
          <w:lang w:val="fr-FR"/>
        </w:rPr>
        <w:t xml:space="preserve">ascendance africaine </w:t>
      </w:r>
      <w:r>
        <w:rPr>
          <w:lang w:val="fr-FR"/>
        </w:rPr>
        <w:t>imputables aux</w:t>
      </w:r>
      <w:r w:rsidRPr="00D73F6F">
        <w:rPr>
          <w:lang w:val="fr-FR"/>
        </w:rPr>
        <w:t xml:space="preserve"> forces de l</w:t>
      </w:r>
      <w:r>
        <w:rPr>
          <w:lang w:val="fr-FR"/>
        </w:rPr>
        <w:t>’</w:t>
      </w:r>
      <w:r w:rsidRPr="00D73F6F">
        <w:rPr>
          <w:lang w:val="fr-FR"/>
        </w:rPr>
        <w:t xml:space="preserve">ordre ne sont pas nouvelles. </w:t>
      </w:r>
      <w:r>
        <w:rPr>
          <w:lang w:val="fr-FR"/>
        </w:rPr>
        <w:t>A</w:t>
      </w:r>
      <w:r w:rsidRPr="00D73F6F">
        <w:rPr>
          <w:lang w:val="fr-FR"/>
        </w:rPr>
        <w:t xml:space="preserve">ux États-Unis, des manifestations de grande ampleur ont </w:t>
      </w:r>
      <w:r>
        <w:rPr>
          <w:lang w:val="fr-FR"/>
        </w:rPr>
        <w:t xml:space="preserve">parfois </w:t>
      </w:r>
      <w:r w:rsidRPr="00D73F6F">
        <w:rPr>
          <w:lang w:val="fr-FR"/>
        </w:rPr>
        <w:t>duré des semaines ou des mois, comme celles qui réclamaient justice pour la mort de Michael Brown à Ferguson, dans le Missouri, en 2014</w:t>
      </w:r>
      <w:r w:rsidRPr="00CD6B67">
        <w:rPr>
          <w:rStyle w:val="FootnoteReference"/>
        </w:rPr>
        <w:footnoteReference w:id="480"/>
      </w:r>
      <w:r>
        <w:rPr>
          <w:lang w:val="fr-FR"/>
        </w:rPr>
        <w:t>.</w:t>
      </w:r>
      <w:r w:rsidRPr="00293268">
        <w:rPr>
          <w:lang w:val="fr-FR"/>
        </w:rPr>
        <w:t xml:space="preserve"> </w:t>
      </w:r>
      <w:r w:rsidRPr="00113FFC">
        <w:rPr>
          <w:lang w:val="fr-FR"/>
        </w:rPr>
        <w:t>Les nombreuses préoccupations concernant «</w:t>
      </w:r>
      <w:r w:rsidR="006070A9">
        <w:rPr>
          <w:lang w:val="fr-FR"/>
        </w:rPr>
        <w:t> </w:t>
      </w:r>
      <w:r w:rsidRPr="00113FFC">
        <w:rPr>
          <w:lang w:val="fr-FR"/>
        </w:rPr>
        <w:t>l</w:t>
      </w:r>
      <w:r>
        <w:rPr>
          <w:lang w:val="fr-FR"/>
        </w:rPr>
        <w:t>’</w:t>
      </w:r>
      <w:r w:rsidRPr="00113FFC">
        <w:rPr>
          <w:lang w:val="fr-FR"/>
        </w:rPr>
        <w:t>hostilité à l</w:t>
      </w:r>
      <w:r>
        <w:rPr>
          <w:lang w:val="fr-FR"/>
        </w:rPr>
        <w:t>’</w:t>
      </w:r>
      <w:r w:rsidRPr="00113FFC">
        <w:rPr>
          <w:lang w:val="fr-FR"/>
        </w:rPr>
        <w:t>égard du mouvement Black Lives Matter</w:t>
      </w:r>
      <w:r w:rsidR="006070A9">
        <w:rPr>
          <w:lang w:val="fr-FR"/>
        </w:rPr>
        <w:t> </w:t>
      </w:r>
      <w:r w:rsidRPr="00113FFC">
        <w:rPr>
          <w:lang w:val="fr-FR"/>
        </w:rPr>
        <w:t xml:space="preserve">» </w:t>
      </w:r>
      <w:r>
        <w:rPr>
          <w:lang w:val="fr-FR"/>
        </w:rPr>
        <w:t>exprim</w:t>
      </w:r>
      <w:r w:rsidRPr="00113FFC">
        <w:rPr>
          <w:lang w:val="fr-FR"/>
        </w:rPr>
        <w:t xml:space="preserve">ées par le </w:t>
      </w:r>
      <w:r>
        <w:rPr>
          <w:lang w:val="fr-FR"/>
        </w:rPr>
        <w:t>R</w:t>
      </w:r>
      <w:r w:rsidRPr="00113FFC">
        <w:rPr>
          <w:lang w:val="fr-FR"/>
        </w:rPr>
        <w:t>apporteur spécial sur les droits à la liberté de réunion pacifique et d</w:t>
      </w:r>
      <w:r>
        <w:rPr>
          <w:lang w:val="fr-FR"/>
        </w:rPr>
        <w:t>’</w:t>
      </w:r>
      <w:r w:rsidRPr="00113FFC">
        <w:rPr>
          <w:lang w:val="fr-FR"/>
        </w:rPr>
        <w:t>association en 2016</w:t>
      </w:r>
      <w:r w:rsidRPr="00CD6B67">
        <w:rPr>
          <w:rStyle w:val="FootnoteReference"/>
        </w:rPr>
        <w:footnoteReference w:id="481"/>
      </w:r>
      <w:r w:rsidRPr="00293268">
        <w:rPr>
          <w:lang w:val="fr-FR"/>
        </w:rPr>
        <w:t xml:space="preserve"> </w:t>
      </w:r>
      <w:r w:rsidRPr="00CF0CED">
        <w:rPr>
          <w:lang w:val="fr-FR"/>
        </w:rPr>
        <w:t xml:space="preserve">n'avaient rien perdu de leur actualité </w:t>
      </w:r>
      <w:r w:rsidRPr="0016577E">
        <w:rPr>
          <w:lang w:val="fr-FR"/>
        </w:rPr>
        <w:t>lors des manifestations de 2020, notamment le fait que certains considér</w:t>
      </w:r>
      <w:r>
        <w:rPr>
          <w:lang w:val="fr-FR"/>
        </w:rPr>
        <w:t>ai</w:t>
      </w:r>
      <w:r w:rsidRPr="0016577E">
        <w:rPr>
          <w:lang w:val="fr-FR"/>
        </w:rPr>
        <w:t>ent le mouvement comme une source de division, alors qu</w:t>
      </w:r>
      <w:r>
        <w:rPr>
          <w:lang w:val="fr-FR"/>
        </w:rPr>
        <w:t>’</w:t>
      </w:r>
      <w:r w:rsidRPr="0016577E">
        <w:rPr>
          <w:lang w:val="fr-FR"/>
        </w:rPr>
        <w:t>il s</w:t>
      </w:r>
      <w:r>
        <w:rPr>
          <w:lang w:val="fr-FR"/>
        </w:rPr>
        <w:t>’</w:t>
      </w:r>
      <w:r w:rsidRPr="0016577E">
        <w:rPr>
          <w:lang w:val="fr-FR"/>
        </w:rPr>
        <w:t>agi</w:t>
      </w:r>
      <w:r>
        <w:rPr>
          <w:lang w:val="fr-FR"/>
        </w:rPr>
        <w:t>ssai</w:t>
      </w:r>
      <w:r w:rsidRPr="0016577E">
        <w:rPr>
          <w:lang w:val="fr-FR"/>
        </w:rPr>
        <w:t>t en fait d</w:t>
      </w:r>
      <w:r>
        <w:rPr>
          <w:lang w:val="fr-FR"/>
        </w:rPr>
        <w:t>’</w:t>
      </w:r>
      <w:r w:rsidRPr="0016577E">
        <w:rPr>
          <w:lang w:val="fr-FR"/>
        </w:rPr>
        <w:t>inclusion</w:t>
      </w:r>
      <w:r w:rsidRPr="00293268">
        <w:rPr>
          <w:lang w:val="fr-FR"/>
        </w:rPr>
        <w:t>.</w:t>
      </w:r>
    </w:p>
    <w:p w14:paraId="0A5B412F" w14:textId="3D9A56FF" w:rsidR="00D301C6" w:rsidRPr="00293268" w:rsidRDefault="00D301C6" w:rsidP="00D301C6">
      <w:pPr>
        <w:pStyle w:val="SingleTxtG"/>
        <w:rPr>
          <w:lang w:val="fr-FR"/>
        </w:rPr>
      </w:pPr>
      <w:r w:rsidRPr="00293268">
        <w:rPr>
          <w:lang w:val="fr-FR"/>
        </w:rPr>
        <w:t>197.</w:t>
      </w:r>
      <w:r w:rsidRPr="00293268">
        <w:rPr>
          <w:lang w:val="fr-FR"/>
        </w:rPr>
        <w:tab/>
      </w:r>
      <w:r w:rsidRPr="00B06DDD">
        <w:rPr>
          <w:lang w:val="fr-FR"/>
        </w:rPr>
        <w:t>En 2020, des manifestations contre le racisme ont également eu lieu dans d</w:t>
      </w:r>
      <w:r>
        <w:rPr>
          <w:lang w:val="fr-FR"/>
        </w:rPr>
        <w:t>’</w:t>
      </w:r>
      <w:r w:rsidRPr="00B06DDD">
        <w:rPr>
          <w:lang w:val="fr-FR"/>
        </w:rPr>
        <w:t>autres pays, dont certaines sous la bannière d</w:t>
      </w:r>
      <w:r>
        <w:rPr>
          <w:lang w:val="fr-FR"/>
        </w:rPr>
        <w:t>u mouvement</w:t>
      </w:r>
      <w:r w:rsidRPr="00B06DDD">
        <w:rPr>
          <w:lang w:val="fr-FR"/>
        </w:rPr>
        <w:t xml:space="preserve"> Black Lives Matter. Dans un certain nombre de cas, </w:t>
      </w:r>
      <w:r>
        <w:rPr>
          <w:lang w:val="fr-FR"/>
        </w:rPr>
        <w:t>elles</w:t>
      </w:r>
      <w:r w:rsidRPr="00B06DDD">
        <w:rPr>
          <w:lang w:val="fr-FR"/>
        </w:rPr>
        <w:t xml:space="preserve"> ont été déclenchées </w:t>
      </w:r>
      <w:r>
        <w:rPr>
          <w:lang w:val="fr-FR"/>
        </w:rPr>
        <w:t>par le décès de personnes d’ascendance africaine ou leur blessure, souvent, selon les allégations, pendant ou après l’intervention des forces de l’ordre.</w:t>
      </w:r>
      <w:r w:rsidRPr="00293268">
        <w:rPr>
          <w:lang w:val="fr-FR"/>
        </w:rPr>
        <w:t xml:space="preserve"> </w:t>
      </w:r>
      <w:r>
        <w:rPr>
          <w:lang w:val="fr-FR"/>
        </w:rPr>
        <w:t>Ainsi</w:t>
      </w:r>
      <w:r w:rsidRPr="004F4BEA">
        <w:rPr>
          <w:lang w:val="fr-FR"/>
        </w:rPr>
        <w:t>, certaines manifestations en France visaient également à obtenir justice pour Adama Traoré et Michel Zecler</w:t>
      </w:r>
      <w:r w:rsidRPr="00CD6B67">
        <w:rPr>
          <w:rStyle w:val="FootnoteReference"/>
        </w:rPr>
        <w:footnoteReference w:id="482"/>
      </w:r>
      <w:r>
        <w:rPr>
          <w:lang w:val="fr-FR"/>
        </w:rPr>
        <w:t>,</w:t>
      </w:r>
      <w:r w:rsidRPr="00293268">
        <w:rPr>
          <w:lang w:val="fr-FR"/>
        </w:rPr>
        <w:t xml:space="preserve"> </w:t>
      </w:r>
      <w:r w:rsidRPr="00D361F3">
        <w:rPr>
          <w:lang w:val="fr-FR"/>
        </w:rPr>
        <w:t xml:space="preserve">en Colombie pour </w:t>
      </w:r>
      <w:r w:rsidRPr="00293268">
        <w:rPr>
          <w:lang w:val="fr-FR"/>
        </w:rPr>
        <w:t>Anderson Arboleda</w:t>
      </w:r>
      <w:r w:rsidRPr="00CD6B67">
        <w:rPr>
          <w:rStyle w:val="FootnoteReference"/>
        </w:rPr>
        <w:footnoteReference w:id="483"/>
      </w:r>
      <w:r>
        <w:rPr>
          <w:lang w:val="fr-FR"/>
        </w:rPr>
        <w:t>,</w:t>
      </w:r>
      <w:r w:rsidRPr="00293268">
        <w:rPr>
          <w:lang w:val="fr-FR"/>
        </w:rPr>
        <w:t xml:space="preserve"> </w:t>
      </w:r>
      <w:r>
        <w:rPr>
          <w:lang w:val="fr-FR"/>
        </w:rPr>
        <w:t>au Brésil pour</w:t>
      </w:r>
      <w:r w:rsidRPr="00293268">
        <w:rPr>
          <w:lang w:val="fr-FR"/>
        </w:rPr>
        <w:t xml:space="preserve"> João Alberto Silveira Freitas, Miguel Otavio Santana da Silva </w:t>
      </w:r>
      <w:r>
        <w:rPr>
          <w:lang w:val="fr-FR"/>
        </w:rPr>
        <w:t>et</w:t>
      </w:r>
      <w:r w:rsidRPr="00293268">
        <w:rPr>
          <w:lang w:val="fr-FR"/>
        </w:rPr>
        <w:t xml:space="preserve"> João Pedro Matos Pinto</w:t>
      </w:r>
      <w:r w:rsidRPr="00CD6B67">
        <w:rPr>
          <w:rStyle w:val="FootnoteReference"/>
        </w:rPr>
        <w:footnoteReference w:id="484"/>
      </w:r>
      <w:r>
        <w:rPr>
          <w:lang w:val="fr-FR"/>
        </w:rPr>
        <w:t xml:space="preserve"> et au Honduras, pour des dirigeants de la communauté</w:t>
      </w:r>
      <w:r w:rsidRPr="00293268">
        <w:rPr>
          <w:lang w:val="fr-FR"/>
        </w:rPr>
        <w:t xml:space="preserve"> </w:t>
      </w:r>
      <w:r>
        <w:rPr>
          <w:lang w:val="fr-FR"/>
        </w:rPr>
        <w:t>g</w:t>
      </w:r>
      <w:r w:rsidRPr="00293268">
        <w:rPr>
          <w:lang w:val="fr-FR"/>
        </w:rPr>
        <w:t>arifuna</w:t>
      </w:r>
      <w:r w:rsidRPr="00CD6B67">
        <w:rPr>
          <w:rStyle w:val="FootnoteReference"/>
        </w:rPr>
        <w:footnoteReference w:id="485"/>
      </w:r>
      <w:r>
        <w:rPr>
          <w:lang w:val="fr-FR"/>
        </w:rPr>
        <w:t>.</w:t>
      </w:r>
      <w:r w:rsidRPr="00293268">
        <w:rPr>
          <w:lang w:val="fr-FR"/>
        </w:rPr>
        <w:t xml:space="preserve"> </w:t>
      </w:r>
      <w:r w:rsidRPr="009F437E">
        <w:rPr>
          <w:lang w:val="fr-FR"/>
        </w:rPr>
        <w:t xml:space="preserve">Dans un certain nombre de pays européens, les manifestants ont également établi un lien entre </w:t>
      </w:r>
      <w:r>
        <w:rPr>
          <w:lang w:val="fr-FR"/>
        </w:rPr>
        <w:t xml:space="preserve">la lutte contre le </w:t>
      </w:r>
      <w:r w:rsidRPr="009F437E">
        <w:rPr>
          <w:lang w:val="fr-FR"/>
        </w:rPr>
        <w:t>racisme et la protection des migrants</w:t>
      </w:r>
      <w:r w:rsidRPr="00CD6B67">
        <w:rPr>
          <w:rStyle w:val="FootnoteReference"/>
        </w:rPr>
        <w:footnoteReference w:id="486"/>
      </w:r>
      <w:r>
        <w:rPr>
          <w:lang w:val="fr-FR"/>
        </w:rPr>
        <w:t>.</w:t>
      </w:r>
      <w:r w:rsidRPr="00293268">
        <w:rPr>
          <w:lang w:val="fr-FR"/>
        </w:rPr>
        <w:t xml:space="preserve"> </w:t>
      </w:r>
      <w:r w:rsidRPr="00D827B6">
        <w:rPr>
          <w:lang w:val="fr-FR"/>
        </w:rPr>
        <w:t>Des manifestations ont également été signalées dans plus de 260 villes du Royaume-Uni</w:t>
      </w:r>
      <w:r w:rsidRPr="00CD6B67">
        <w:rPr>
          <w:rStyle w:val="FootnoteReference"/>
        </w:rPr>
        <w:footnoteReference w:id="487"/>
      </w:r>
      <w:r>
        <w:rPr>
          <w:lang w:val="fr-FR"/>
        </w:rPr>
        <w:t>, ainsi qu’entre autres, en</w:t>
      </w:r>
      <w:r w:rsidRPr="00293268">
        <w:rPr>
          <w:lang w:val="fr-FR"/>
        </w:rPr>
        <w:t xml:space="preserve"> Argentin</w:t>
      </w:r>
      <w:r>
        <w:rPr>
          <w:lang w:val="fr-FR"/>
        </w:rPr>
        <w:t>e</w:t>
      </w:r>
      <w:r w:rsidRPr="00CD6B67">
        <w:rPr>
          <w:rStyle w:val="FootnoteReference"/>
        </w:rPr>
        <w:footnoteReference w:id="488"/>
      </w:r>
      <w:r>
        <w:rPr>
          <w:lang w:val="fr-FR"/>
        </w:rPr>
        <w:t>, en</w:t>
      </w:r>
      <w:r w:rsidRPr="00293268">
        <w:rPr>
          <w:lang w:val="fr-FR"/>
        </w:rPr>
        <w:t xml:space="preserve"> Australi</w:t>
      </w:r>
      <w:r>
        <w:rPr>
          <w:lang w:val="fr-FR"/>
        </w:rPr>
        <w:t>e</w:t>
      </w:r>
      <w:r w:rsidRPr="00CD6B67">
        <w:rPr>
          <w:rStyle w:val="FootnoteReference"/>
        </w:rPr>
        <w:footnoteReference w:id="489"/>
      </w:r>
      <w:r>
        <w:rPr>
          <w:lang w:val="fr-FR"/>
        </w:rPr>
        <w:t>, en Belgique</w:t>
      </w:r>
      <w:r w:rsidRPr="00CD6B67">
        <w:rPr>
          <w:rStyle w:val="FootnoteReference"/>
        </w:rPr>
        <w:footnoteReference w:id="490"/>
      </w:r>
      <w:r>
        <w:rPr>
          <w:lang w:val="fr-FR"/>
        </w:rPr>
        <w:t>, au</w:t>
      </w:r>
      <w:r w:rsidRPr="00293268">
        <w:rPr>
          <w:lang w:val="fr-FR"/>
        </w:rPr>
        <w:t xml:space="preserve"> Canada</w:t>
      </w:r>
      <w:r w:rsidRPr="00CD6B67">
        <w:rPr>
          <w:rStyle w:val="FootnoteReference"/>
        </w:rPr>
        <w:footnoteReference w:id="491"/>
      </w:r>
      <w:r>
        <w:rPr>
          <w:lang w:val="fr-FR"/>
        </w:rPr>
        <w:t>, en République dominicaine</w:t>
      </w:r>
      <w:r w:rsidRPr="00CD6B67">
        <w:rPr>
          <w:rStyle w:val="FootnoteReference"/>
        </w:rPr>
        <w:footnoteReference w:id="492"/>
      </w:r>
      <w:r>
        <w:rPr>
          <w:lang w:val="fr-FR"/>
        </w:rPr>
        <w:t>, en Allemagne</w:t>
      </w:r>
      <w:r w:rsidRPr="00CD6B67">
        <w:rPr>
          <w:rStyle w:val="FootnoteReference"/>
        </w:rPr>
        <w:footnoteReference w:id="493"/>
      </w:r>
      <w:r>
        <w:rPr>
          <w:lang w:val="fr-FR"/>
        </w:rPr>
        <w:t>, au Japon</w:t>
      </w:r>
      <w:r w:rsidRPr="00CD6B67">
        <w:rPr>
          <w:rStyle w:val="FootnoteReference"/>
        </w:rPr>
        <w:footnoteReference w:id="494"/>
      </w:r>
      <w:r>
        <w:rPr>
          <w:lang w:val="fr-FR"/>
        </w:rPr>
        <w:t>, au Mexique</w:t>
      </w:r>
      <w:r w:rsidRPr="00CD6B67">
        <w:rPr>
          <w:rStyle w:val="FootnoteReference"/>
        </w:rPr>
        <w:footnoteReference w:id="495"/>
      </w:r>
      <w:r>
        <w:rPr>
          <w:lang w:val="fr-FR"/>
        </w:rPr>
        <w:t>, aux Pays-Bas</w:t>
      </w:r>
      <w:r w:rsidRPr="00CD6B67">
        <w:rPr>
          <w:rStyle w:val="FootnoteReference"/>
        </w:rPr>
        <w:footnoteReference w:id="496"/>
      </w:r>
      <w:r>
        <w:rPr>
          <w:lang w:val="fr-FR"/>
        </w:rPr>
        <w:t>, en Afrique du Sud</w:t>
      </w:r>
      <w:r w:rsidRPr="00CD6B67">
        <w:rPr>
          <w:rStyle w:val="FootnoteReference"/>
        </w:rPr>
        <w:footnoteReference w:id="497"/>
      </w:r>
      <w:r>
        <w:rPr>
          <w:lang w:val="fr-FR"/>
        </w:rPr>
        <w:t>, en Corée du Sud</w:t>
      </w:r>
      <w:r w:rsidRPr="00CD6B67">
        <w:rPr>
          <w:rStyle w:val="FootnoteReference"/>
        </w:rPr>
        <w:footnoteReference w:id="498"/>
      </w:r>
      <w:r>
        <w:rPr>
          <w:lang w:val="fr-FR"/>
        </w:rPr>
        <w:t>, en Espagne</w:t>
      </w:r>
      <w:r w:rsidRPr="00CD6B67">
        <w:rPr>
          <w:rStyle w:val="FootnoteReference"/>
        </w:rPr>
        <w:footnoteReference w:id="499"/>
      </w:r>
      <w:r>
        <w:rPr>
          <w:lang w:val="fr-FR"/>
        </w:rPr>
        <w:t xml:space="preserve">, </w:t>
      </w:r>
      <w:r w:rsidR="002B6E14">
        <w:rPr>
          <w:lang w:val="fr-FR"/>
        </w:rPr>
        <w:t>à</w:t>
      </w:r>
      <w:r w:rsidRPr="00293268">
        <w:rPr>
          <w:lang w:val="fr-FR"/>
        </w:rPr>
        <w:t xml:space="preserve"> Sri Lanka</w:t>
      </w:r>
      <w:r w:rsidRPr="00CD6B67">
        <w:rPr>
          <w:rStyle w:val="FootnoteReference"/>
        </w:rPr>
        <w:footnoteReference w:id="500"/>
      </w:r>
      <w:r>
        <w:rPr>
          <w:lang w:val="fr-FR"/>
        </w:rPr>
        <w:t>, en Suisse</w:t>
      </w:r>
      <w:r w:rsidRPr="00CD6B67">
        <w:rPr>
          <w:rStyle w:val="FootnoteReference"/>
        </w:rPr>
        <w:footnoteReference w:id="501"/>
      </w:r>
      <w:r w:rsidRPr="00293268">
        <w:rPr>
          <w:lang w:val="fr-FR"/>
        </w:rPr>
        <w:t xml:space="preserve"> </w:t>
      </w:r>
      <w:r>
        <w:rPr>
          <w:lang w:val="fr-FR"/>
        </w:rPr>
        <w:t>et en Gambie</w:t>
      </w:r>
      <w:r w:rsidRPr="00293268">
        <w:rPr>
          <w:lang w:val="fr-FR"/>
        </w:rPr>
        <w:t xml:space="preserve"> </w:t>
      </w:r>
      <w:r w:rsidR="002B6E14">
        <w:rPr>
          <w:lang w:val="fr-FR"/>
        </w:rPr>
        <w:t>−</w:t>
      </w:r>
      <w:r w:rsidRPr="00293268">
        <w:rPr>
          <w:lang w:val="fr-FR"/>
        </w:rPr>
        <w:t xml:space="preserve"> </w:t>
      </w:r>
      <w:r w:rsidRPr="007D14E2">
        <w:rPr>
          <w:lang w:val="fr-FR"/>
        </w:rPr>
        <w:t xml:space="preserve">liées notamment </w:t>
      </w:r>
      <w:r>
        <w:rPr>
          <w:lang w:val="fr-FR"/>
        </w:rPr>
        <w:t>au décès</w:t>
      </w:r>
      <w:r w:rsidRPr="007D14E2">
        <w:rPr>
          <w:lang w:val="fr-FR"/>
        </w:rPr>
        <w:t xml:space="preserve"> de Momodou Lamin Sisay, citoyen gambien et résident américain, en Géorgie, quelques jours seulement après </w:t>
      </w:r>
      <w:r>
        <w:rPr>
          <w:lang w:val="fr-FR"/>
        </w:rPr>
        <w:t>celui</w:t>
      </w:r>
      <w:r w:rsidRPr="007D14E2">
        <w:rPr>
          <w:lang w:val="fr-FR"/>
        </w:rPr>
        <w:t xml:space="preserve"> de George Floyd</w:t>
      </w:r>
      <w:r w:rsidRPr="00CD6B67">
        <w:rPr>
          <w:rStyle w:val="FootnoteReference"/>
        </w:rPr>
        <w:footnoteReference w:id="502"/>
      </w:r>
      <w:r>
        <w:rPr>
          <w:lang w:val="fr-FR"/>
        </w:rPr>
        <w:t>.</w:t>
      </w:r>
      <w:r w:rsidRPr="00293268">
        <w:rPr>
          <w:lang w:val="fr-FR"/>
        </w:rPr>
        <w:t xml:space="preserve"> </w:t>
      </w:r>
      <w:r w:rsidRPr="000A37A2">
        <w:rPr>
          <w:lang w:val="fr-FR"/>
        </w:rPr>
        <w:t xml:space="preserve">Des manifestations virtuelles ont également été signalées, </w:t>
      </w:r>
      <w:r>
        <w:rPr>
          <w:lang w:val="fr-FR"/>
        </w:rPr>
        <w:t>notamment</w:t>
      </w:r>
      <w:r w:rsidRPr="000A37A2">
        <w:rPr>
          <w:lang w:val="fr-FR"/>
        </w:rPr>
        <w:t xml:space="preserve"> en Thaïlande</w:t>
      </w:r>
      <w:r w:rsidRPr="00CD6B67">
        <w:rPr>
          <w:rStyle w:val="FootnoteReference"/>
        </w:rPr>
        <w:footnoteReference w:id="503"/>
      </w:r>
      <w:r>
        <w:rPr>
          <w:lang w:val="fr-FR"/>
        </w:rPr>
        <w:t>.</w:t>
      </w:r>
      <w:r w:rsidRPr="00293268">
        <w:rPr>
          <w:lang w:val="fr-FR"/>
        </w:rPr>
        <w:t xml:space="preserve"> </w:t>
      </w:r>
      <w:r w:rsidRPr="00E2103F">
        <w:rPr>
          <w:lang w:val="fr-FR"/>
        </w:rPr>
        <w:t xml:space="preserve">Certaines de ces manifestations ont donné lieu à des changements importants et à </w:t>
      </w:r>
      <w:r>
        <w:rPr>
          <w:lang w:val="fr-FR"/>
        </w:rPr>
        <w:t>des</w:t>
      </w:r>
      <w:r w:rsidRPr="00E2103F">
        <w:rPr>
          <w:lang w:val="fr-FR"/>
        </w:rPr>
        <w:t xml:space="preserve"> mesures</w:t>
      </w:r>
      <w:r>
        <w:rPr>
          <w:lang w:val="fr-FR"/>
        </w:rPr>
        <w:t xml:space="preserve"> hautement</w:t>
      </w:r>
      <w:r w:rsidRPr="00E2103F">
        <w:rPr>
          <w:lang w:val="fr-FR"/>
        </w:rPr>
        <w:t xml:space="preserve"> symboliques, comme </w:t>
      </w:r>
      <w:r>
        <w:rPr>
          <w:lang w:val="fr-FR"/>
        </w:rPr>
        <w:t>le retrait</w:t>
      </w:r>
      <w:r w:rsidRPr="00E2103F">
        <w:rPr>
          <w:lang w:val="fr-FR"/>
        </w:rPr>
        <w:t xml:space="preserve"> </w:t>
      </w:r>
      <w:r>
        <w:rPr>
          <w:lang w:val="fr-FR"/>
        </w:rPr>
        <w:t>d’emblèmes du passé raciste</w:t>
      </w:r>
      <w:r w:rsidRPr="00E2103F">
        <w:rPr>
          <w:lang w:val="fr-FR"/>
        </w:rPr>
        <w:t xml:space="preserve"> </w:t>
      </w:r>
      <w:r>
        <w:rPr>
          <w:lang w:val="fr-FR"/>
        </w:rPr>
        <w:t>présents dans l</w:t>
      </w:r>
      <w:r w:rsidRPr="00E2103F">
        <w:rPr>
          <w:lang w:val="fr-FR"/>
        </w:rPr>
        <w:t>es espaces publics (voir sect</w:t>
      </w:r>
      <w:r w:rsidR="00B51F24">
        <w:rPr>
          <w:lang w:val="fr-FR"/>
        </w:rPr>
        <w:t>. </w:t>
      </w:r>
      <w:r w:rsidRPr="00E2103F">
        <w:rPr>
          <w:lang w:val="fr-FR"/>
        </w:rPr>
        <w:t>V</w:t>
      </w:r>
      <w:r w:rsidRPr="00293268">
        <w:rPr>
          <w:lang w:val="fr-FR"/>
        </w:rPr>
        <w:t>).</w:t>
      </w:r>
    </w:p>
    <w:p w14:paraId="69E05421" w14:textId="0FD37C5D" w:rsidR="00D301C6" w:rsidRPr="00293268" w:rsidRDefault="00D301C6" w:rsidP="00D301C6">
      <w:pPr>
        <w:pStyle w:val="SingleTxtG"/>
        <w:rPr>
          <w:lang w:val="fr-FR"/>
        </w:rPr>
      </w:pPr>
      <w:r w:rsidRPr="00293268">
        <w:rPr>
          <w:lang w:val="fr-FR"/>
        </w:rPr>
        <w:t>198.</w:t>
      </w:r>
      <w:r w:rsidRPr="00293268">
        <w:rPr>
          <w:lang w:val="fr-FR"/>
        </w:rPr>
        <w:tab/>
      </w:r>
      <w:r w:rsidRPr="006A4832">
        <w:rPr>
          <w:lang w:val="fr-FR"/>
        </w:rPr>
        <w:t>Selon les informations, l</w:t>
      </w:r>
      <w:r>
        <w:rPr>
          <w:lang w:val="fr-FR"/>
        </w:rPr>
        <w:t>’</w:t>
      </w:r>
      <w:r w:rsidRPr="006A4832">
        <w:rPr>
          <w:lang w:val="fr-FR"/>
        </w:rPr>
        <w:t xml:space="preserve">écrasante majorité de ces manifestations </w:t>
      </w:r>
      <w:r>
        <w:rPr>
          <w:lang w:val="fr-FR"/>
        </w:rPr>
        <w:t xml:space="preserve">ont été </w:t>
      </w:r>
      <w:r w:rsidRPr="006A4832">
        <w:rPr>
          <w:lang w:val="fr-FR"/>
        </w:rPr>
        <w:t>pacifiques</w:t>
      </w:r>
      <w:r w:rsidRPr="00CD6B67">
        <w:rPr>
          <w:rStyle w:val="FootnoteReference"/>
        </w:rPr>
        <w:footnoteReference w:id="504"/>
      </w:r>
      <w:r>
        <w:rPr>
          <w:lang w:val="fr-FR"/>
        </w:rPr>
        <w:t>.</w:t>
      </w:r>
      <w:r w:rsidRPr="00293268">
        <w:rPr>
          <w:lang w:val="fr-FR"/>
        </w:rPr>
        <w:t xml:space="preserve"> </w:t>
      </w:r>
      <w:r w:rsidRPr="003B6500">
        <w:rPr>
          <w:lang w:val="fr-FR"/>
        </w:rPr>
        <w:t xml:space="preserve"> Des actes de violence isolés ont été signalés au cours de certaines d</w:t>
      </w:r>
      <w:r>
        <w:rPr>
          <w:lang w:val="fr-FR"/>
        </w:rPr>
        <w:t>’</w:t>
      </w:r>
      <w:r w:rsidRPr="003B6500">
        <w:rPr>
          <w:lang w:val="fr-FR"/>
        </w:rPr>
        <w:t>entre elles, y compris à l</w:t>
      </w:r>
      <w:r>
        <w:rPr>
          <w:lang w:val="fr-FR"/>
        </w:rPr>
        <w:t>’</w:t>
      </w:r>
      <w:r w:rsidRPr="003B6500">
        <w:rPr>
          <w:lang w:val="fr-FR"/>
        </w:rPr>
        <w:t>encontre des forces de l</w:t>
      </w:r>
      <w:r>
        <w:rPr>
          <w:lang w:val="fr-FR"/>
        </w:rPr>
        <w:t>’</w:t>
      </w:r>
      <w:r w:rsidRPr="003B6500">
        <w:rPr>
          <w:lang w:val="fr-FR"/>
        </w:rPr>
        <w:t xml:space="preserve">ordre (certains causant des blessures graves), ainsi que des pillages ou des actes de vandalisme contre </w:t>
      </w:r>
      <w:r>
        <w:rPr>
          <w:lang w:val="fr-FR"/>
        </w:rPr>
        <w:t>des boutiques et des</w:t>
      </w:r>
      <w:r w:rsidRPr="003B6500">
        <w:rPr>
          <w:lang w:val="fr-FR"/>
        </w:rPr>
        <w:t xml:space="preserve"> biens privés</w:t>
      </w:r>
      <w:r w:rsidRPr="00CD6B67">
        <w:rPr>
          <w:rStyle w:val="FootnoteReference"/>
        </w:rPr>
        <w:footnoteReference w:id="505"/>
      </w:r>
      <w:r>
        <w:rPr>
          <w:lang w:val="fr-FR"/>
        </w:rPr>
        <w:t>.</w:t>
      </w:r>
      <w:r w:rsidRPr="00293268">
        <w:rPr>
          <w:lang w:val="fr-FR"/>
        </w:rPr>
        <w:t xml:space="preserve"> </w:t>
      </w:r>
      <w:r w:rsidRPr="00405E20">
        <w:rPr>
          <w:lang w:val="fr-FR"/>
        </w:rPr>
        <w:t xml:space="preserve">Selon une </w:t>
      </w:r>
      <w:r>
        <w:rPr>
          <w:lang w:val="fr-FR"/>
        </w:rPr>
        <w:t>étude</w:t>
      </w:r>
      <w:r w:rsidRPr="00405E20">
        <w:rPr>
          <w:lang w:val="fr-FR"/>
        </w:rPr>
        <w:t xml:space="preserve"> publiée en mai 2021, environ 94</w:t>
      </w:r>
      <w:r w:rsidR="00E53DDC">
        <w:rPr>
          <w:lang w:val="fr-FR"/>
        </w:rPr>
        <w:t> %</w:t>
      </w:r>
      <w:r w:rsidRPr="00405E20">
        <w:rPr>
          <w:lang w:val="fr-FR"/>
        </w:rPr>
        <w:t xml:space="preserve"> de toutes les manifestations </w:t>
      </w:r>
      <w:r>
        <w:rPr>
          <w:lang w:val="fr-FR"/>
        </w:rPr>
        <w:t xml:space="preserve">en soutien au mouvement </w:t>
      </w:r>
      <w:r w:rsidRPr="00405E20">
        <w:rPr>
          <w:lang w:val="fr-FR"/>
        </w:rPr>
        <w:t>Black Lives Matter aux États-Unis ont été pacifiques et 6</w:t>
      </w:r>
      <w:r w:rsidR="00E53DDC">
        <w:rPr>
          <w:lang w:val="fr-FR"/>
        </w:rPr>
        <w:t> %</w:t>
      </w:r>
      <w:r w:rsidRPr="00405E20">
        <w:rPr>
          <w:lang w:val="fr-FR"/>
        </w:rPr>
        <w:t xml:space="preserve"> ont donné lieu à des violence</w:t>
      </w:r>
      <w:r w:rsidR="003C7980">
        <w:rPr>
          <w:lang w:val="fr-FR"/>
        </w:rPr>
        <w:t>s</w:t>
      </w:r>
      <w:r w:rsidRPr="00405E20">
        <w:rPr>
          <w:lang w:val="fr-FR"/>
        </w:rPr>
        <w:t>, des affrontements avec la police, des actes de vandalisme, des pillages ou d</w:t>
      </w:r>
      <w:r>
        <w:rPr>
          <w:lang w:val="fr-FR"/>
        </w:rPr>
        <w:t>’</w:t>
      </w:r>
      <w:r w:rsidRPr="00405E20">
        <w:rPr>
          <w:lang w:val="fr-FR"/>
        </w:rPr>
        <w:t xml:space="preserve">autres activités destructrices </w:t>
      </w:r>
      <w:r w:rsidR="003C7980">
        <w:rPr>
          <w:lang w:val="fr-FR"/>
        </w:rPr>
        <w:t>−</w:t>
      </w:r>
      <w:r w:rsidRPr="00405E20">
        <w:rPr>
          <w:lang w:val="fr-FR"/>
        </w:rPr>
        <w:t xml:space="preserve"> y compris, par exemple, la dégradation symbolique de statues et de monuments </w:t>
      </w:r>
      <w:r>
        <w:rPr>
          <w:lang w:val="fr-FR"/>
        </w:rPr>
        <w:t>à la gloire de</w:t>
      </w:r>
      <w:r w:rsidRPr="00405E20">
        <w:rPr>
          <w:lang w:val="fr-FR"/>
        </w:rPr>
        <w:t xml:space="preserve"> propriétaires d</w:t>
      </w:r>
      <w:r>
        <w:rPr>
          <w:lang w:val="fr-FR"/>
        </w:rPr>
        <w:t>’</w:t>
      </w:r>
      <w:r w:rsidRPr="00405E20">
        <w:rPr>
          <w:lang w:val="fr-FR"/>
        </w:rPr>
        <w:t xml:space="preserve">esclaves, de figures </w:t>
      </w:r>
      <w:r>
        <w:rPr>
          <w:lang w:val="fr-FR"/>
        </w:rPr>
        <w:t xml:space="preserve">du colonialisme </w:t>
      </w:r>
      <w:r w:rsidRPr="00405E20">
        <w:rPr>
          <w:lang w:val="fr-FR"/>
        </w:rPr>
        <w:t xml:space="preserve">ou </w:t>
      </w:r>
      <w:r>
        <w:rPr>
          <w:lang w:val="fr-FR"/>
        </w:rPr>
        <w:t>de chefs</w:t>
      </w:r>
      <w:r w:rsidRPr="00405E20">
        <w:rPr>
          <w:lang w:val="fr-FR"/>
        </w:rPr>
        <w:t xml:space="preserve"> confédérés</w:t>
      </w:r>
      <w:r w:rsidRPr="00293268">
        <w:rPr>
          <w:lang w:val="fr-FR"/>
        </w:rPr>
        <w:t xml:space="preserve">. </w:t>
      </w:r>
      <w:r w:rsidRPr="002D73FE">
        <w:rPr>
          <w:lang w:val="fr-FR"/>
        </w:rPr>
        <w:t xml:space="preserve">Selon cette même </w:t>
      </w:r>
      <w:r>
        <w:rPr>
          <w:lang w:val="fr-FR"/>
        </w:rPr>
        <w:t>étude</w:t>
      </w:r>
      <w:r w:rsidRPr="002D73FE">
        <w:rPr>
          <w:lang w:val="fr-FR"/>
        </w:rPr>
        <w:t xml:space="preserve">, les instigateurs de ces actes de violence et </w:t>
      </w:r>
      <w:r w:rsidR="003C7980">
        <w:rPr>
          <w:lang w:val="fr-FR"/>
        </w:rPr>
        <w:t xml:space="preserve">de </w:t>
      </w:r>
      <w:r w:rsidRPr="002D73FE">
        <w:rPr>
          <w:lang w:val="fr-FR"/>
        </w:rPr>
        <w:t>vandalisme n</w:t>
      </w:r>
      <w:r>
        <w:rPr>
          <w:lang w:val="fr-FR"/>
        </w:rPr>
        <w:t>’</w:t>
      </w:r>
      <w:r w:rsidRPr="002D73FE">
        <w:rPr>
          <w:lang w:val="fr-FR"/>
        </w:rPr>
        <w:t>ont pas été formellement identifiés. Si certains actes de violence ou de pillage ont été provoqués par des manifestants, d</w:t>
      </w:r>
      <w:r>
        <w:rPr>
          <w:lang w:val="fr-FR"/>
        </w:rPr>
        <w:t>’</w:t>
      </w:r>
      <w:r w:rsidRPr="002D73FE">
        <w:rPr>
          <w:lang w:val="fr-FR"/>
        </w:rPr>
        <w:t>autres manifestations ont dégénéré à la suite d</w:t>
      </w:r>
      <w:r>
        <w:rPr>
          <w:lang w:val="fr-FR"/>
        </w:rPr>
        <w:t>’agressions</w:t>
      </w:r>
      <w:r w:rsidRPr="002D73FE">
        <w:rPr>
          <w:lang w:val="fr-FR"/>
        </w:rPr>
        <w:t xml:space="preserve"> </w:t>
      </w:r>
      <w:r>
        <w:rPr>
          <w:lang w:val="fr-FR"/>
        </w:rPr>
        <w:t>de la force publique</w:t>
      </w:r>
      <w:r w:rsidRPr="002D73FE">
        <w:rPr>
          <w:lang w:val="fr-FR"/>
        </w:rPr>
        <w:t>, de l</w:t>
      </w:r>
      <w:r>
        <w:rPr>
          <w:lang w:val="fr-FR"/>
        </w:rPr>
        <w:t>’</w:t>
      </w:r>
      <w:r w:rsidRPr="002D73FE">
        <w:rPr>
          <w:lang w:val="fr-FR"/>
        </w:rPr>
        <w:t>intervention de groupes d</w:t>
      </w:r>
      <w:r>
        <w:rPr>
          <w:lang w:val="fr-FR"/>
        </w:rPr>
        <w:t>’</w:t>
      </w:r>
      <w:r w:rsidRPr="002D73FE">
        <w:rPr>
          <w:lang w:val="fr-FR"/>
        </w:rPr>
        <w:t>extrême droite ou d</w:t>
      </w:r>
      <w:r>
        <w:rPr>
          <w:lang w:val="fr-FR"/>
        </w:rPr>
        <w:t>’</w:t>
      </w:r>
      <w:r w:rsidRPr="002D73FE">
        <w:rPr>
          <w:lang w:val="fr-FR"/>
        </w:rPr>
        <w:t>assaillants individuels et d</w:t>
      </w:r>
      <w:r>
        <w:rPr>
          <w:lang w:val="fr-FR"/>
        </w:rPr>
        <w:t>’</w:t>
      </w:r>
      <w:r w:rsidRPr="002D73FE">
        <w:rPr>
          <w:lang w:val="fr-FR"/>
        </w:rPr>
        <w:t>attaques à la voiture bélier</w:t>
      </w:r>
      <w:r w:rsidRPr="00CD6B67">
        <w:rPr>
          <w:rStyle w:val="FootnoteReference"/>
        </w:rPr>
        <w:footnoteReference w:id="506"/>
      </w:r>
      <w:r>
        <w:rPr>
          <w:lang w:val="fr-FR"/>
        </w:rPr>
        <w:t>.</w:t>
      </w:r>
      <w:r w:rsidRPr="00293268">
        <w:rPr>
          <w:lang w:val="fr-FR"/>
        </w:rPr>
        <w:t xml:space="preserve"> </w:t>
      </w:r>
      <w:r w:rsidRPr="00372BD6">
        <w:rPr>
          <w:lang w:val="fr-FR"/>
        </w:rPr>
        <w:t xml:space="preserve">Les manifestations antiracistes de 2020 ont également eu lieu pendant la pandémie </w:t>
      </w:r>
      <w:r w:rsidR="003C7980">
        <w:rPr>
          <w:lang w:val="fr-FR"/>
        </w:rPr>
        <w:t xml:space="preserve">de </w:t>
      </w:r>
      <w:r w:rsidRPr="00372BD6">
        <w:rPr>
          <w:lang w:val="fr-FR"/>
        </w:rPr>
        <w:t>COVID-19, au cours de laquelle de nombreux pays ont restreint différents droits, notamment le droit à la liberté de réunion pacifique</w:t>
      </w:r>
      <w:r w:rsidRPr="00CD6B67">
        <w:rPr>
          <w:rStyle w:val="FootnoteReference"/>
        </w:rPr>
        <w:footnoteReference w:id="507"/>
      </w:r>
      <w:r>
        <w:rPr>
          <w:lang w:val="fr-FR"/>
        </w:rPr>
        <w:t>.</w:t>
      </w:r>
    </w:p>
    <w:p w14:paraId="5E086EB2" w14:textId="77777777" w:rsidR="00D301C6" w:rsidRPr="00293268" w:rsidRDefault="00D301C6" w:rsidP="00D301C6">
      <w:pPr>
        <w:pStyle w:val="SingleTxtG"/>
        <w:rPr>
          <w:lang w:val="fr-FR"/>
        </w:rPr>
      </w:pPr>
      <w:r w:rsidRPr="00293268">
        <w:rPr>
          <w:lang w:val="fr-FR"/>
        </w:rPr>
        <w:t>199.</w:t>
      </w:r>
      <w:r w:rsidRPr="00293268">
        <w:rPr>
          <w:lang w:val="fr-FR"/>
        </w:rPr>
        <w:tab/>
      </w:r>
      <w:r w:rsidRPr="00A05FFA">
        <w:rPr>
          <w:lang w:val="fr-FR"/>
        </w:rPr>
        <w:t>Un certain niveau de réglementation et d</w:t>
      </w:r>
      <w:r>
        <w:rPr>
          <w:lang w:val="fr-FR"/>
        </w:rPr>
        <w:t>’</w:t>
      </w:r>
      <w:r w:rsidRPr="00A05FFA">
        <w:rPr>
          <w:lang w:val="fr-FR"/>
        </w:rPr>
        <w:t>encadrement des réunions pacifiques pourrait être nécessaire, compte tenu des conflits d</w:t>
      </w:r>
      <w:r>
        <w:rPr>
          <w:lang w:val="fr-FR"/>
        </w:rPr>
        <w:t>’</w:t>
      </w:r>
      <w:r w:rsidRPr="00A05FFA">
        <w:rPr>
          <w:lang w:val="fr-FR"/>
        </w:rPr>
        <w:t>intérêts potentiels et d</w:t>
      </w:r>
      <w:r>
        <w:rPr>
          <w:lang w:val="fr-FR"/>
        </w:rPr>
        <w:t>’</w:t>
      </w:r>
      <w:r w:rsidRPr="00A05FFA">
        <w:rPr>
          <w:lang w:val="fr-FR"/>
        </w:rPr>
        <w:t>autres difficultés susceptibles de survenir dans le contexte d</w:t>
      </w:r>
      <w:r>
        <w:rPr>
          <w:lang w:val="fr-FR"/>
        </w:rPr>
        <w:t>’</w:t>
      </w:r>
      <w:r w:rsidRPr="00A05FFA">
        <w:rPr>
          <w:lang w:val="fr-FR"/>
        </w:rPr>
        <w:t>une manifestation</w:t>
      </w:r>
      <w:r w:rsidRPr="00CD6B67">
        <w:rPr>
          <w:rStyle w:val="FootnoteReference"/>
        </w:rPr>
        <w:footnoteReference w:id="508"/>
      </w:r>
      <w:r w:rsidRPr="00293268">
        <w:rPr>
          <w:lang w:val="fr-FR"/>
        </w:rPr>
        <w:t xml:space="preserve"> </w:t>
      </w:r>
      <w:r w:rsidRPr="002703AF">
        <w:rPr>
          <w:lang w:val="fr-FR"/>
        </w:rPr>
        <w:t xml:space="preserve">et les États peuvent imposer des limitations </w:t>
      </w:r>
      <w:r w:rsidRPr="009663BF">
        <w:rPr>
          <w:lang w:val="fr-FR"/>
        </w:rPr>
        <w:t>à l</w:t>
      </w:r>
      <w:r>
        <w:rPr>
          <w:lang w:val="fr-FR"/>
        </w:rPr>
        <w:t>’</w:t>
      </w:r>
      <w:r w:rsidRPr="009663BF">
        <w:rPr>
          <w:lang w:val="fr-FR"/>
        </w:rPr>
        <w:t xml:space="preserve">exercice </w:t>
      </w:r>
      <w:r w:rsidRPr="002703AF">
        <w:rPr>
          <w:lang w:val="fr-FR"/>
        </w:rPr>
        <w:t>du droit de réunion pacifique</w:t>
      </w:r>
      <w:r w:rsidRPr="00CD6B67">
        <w:rPr>
          <w:rStyle w:val="FootnoteReference"/>
        </w:rPr>
        <w:footnoteReference w:id="509"/>
      </w:r>
      <w:r>
        <w:rPr>
          <w:lang w:val="fr-FR"/>
        </w:rPr>
        <w:t>.</w:t>
      </w:r>
      <w:r w:rsidRPr="00293268">
        <w:rPr>
          <w:lang w:val="fr-FR"/>
        </w:rPr>
        <w:t xml:space="preserve"> </w:t>
      </w:r>
      <w:r w:rsidRPr="00F84360">
        <w:rPr>
          <w:lang w:val="fr-FR"/>
        </w:rPr>
        <w:t>Toutefois, ces limitations et réglementations doivent être conformes au droit international des droits de l</w:t>
      </w:r>
      <w:r>
        <w:rPr>
          <w:lang w:val="fr-FR"/>
        </w:rPr>
        <w:t>’</w:t>
      </w:r>
      <w:r w:rsidRPr="00F84360">
        <w:rPr>
          <w:lang w:val="fr-FR"/>
        </w:rPr>
        <w:t>homme</w:t>
      </w:r>
      <w:r w:rsidRPr="00293268">
        <w:rPr>
          <w:lang w:val="fr-FR"/>
        </w:rPr>
        <w:t>.</w:t>
      </w:r>
    </w:p>
    <w:p w14:paraId="048B9469" w14:textId="7C3659E4" w:rsidR="00D301C6" w:rsidRPr="00293268" w:rsidRDefault="00D301C6" w:rsidP="00D301C6">
      <w:pPr>
        <w:pStyle w:val="SingleTxtG"/>
        <w:rPr>
          <w:lang w:val="fr-FR"/>
        </w:rPr>
      </w:pPr>
      <w:r w:rsidRPr="00293268">
        <w:rPr>
          <w:lang w:val="fr-FR"/>
        </w:rPr>
        <w:t>200.</w:t>
      </w:r>
      <w:r w:rsidRPr="00293268">
        <w:rPr>
          <w:lang w:val="fr-FR"/>
        </w:rPr>
        <w:tab/>
      </w:r>
      <w:r>
        <w:rPr>
          <w:lang w:val="fr-FR"/>
        </w:rPr>
        <w:t>Se fondant notamment</w:t>
      </w:r>
      <w:r w:rsidRPr="008C34EF">
        <w:rPr>
          <w:lang w:val="fr-FR"/>
        </w:rPr>
        <w:t xml:space="preserve"> sur les communication</w:t>
      </w:r>
      <w:r w:rsidR="001F14F0">
        <w:rPr>
          <w:lang w:val="fr-FR"/>
        </w:rPr>
        <w:t>s</w:t>
      </w:r>
      <w:r w:rsidRPr="008C34EF">
        <w:rPr>
          <w:lang w:val="fr-FR"/>
        </w:rPr>
        <w:t xml:space="preserve"> reçues, la section </w:t>
      </w:r>
      <w:r>
        <w:rPr>
          <w:lang w:val="fr-FR"/>
        </w:rPr>
        <w:t>qui suit fournit</w:t>
      </w:r>
      <w:r w:rsidRPr="008C34EF">
        <w:rPr>
          <w:lang w:val="fr-FR"/>
        </w:rPr>
        <w:t xml:space="preserve"> une vue d</w:t>
      </w:r>
      <w:r>
        <w:rPr>
          <w:lang w:val="fr-FR"/>
        </w:rPr>
        <w:t>’</w:t>
      </w:r>
      <w:r w:rsidRPr="008C34EF">
        <w:rPr>
          <w:lang w:val="fr-FR"/>
        </w:rPr>
        <w:t>ensemble des réponses des gouvernements aux manifestations pacifiques contre le racisme et de la situation plus générale des défenseurs des droits de l</w:t>
      </w:r>
      <w:r>
        <w:rPr>
          <w:lang w:val="fr-FR"/>
        </w:rPr>
        <w:t>’</w:t>
      </w:r>
      <w:r w:rsidRPr="008C34EF">
        <w:rPr>
          <w:lang w:val="fr-FR"/>
        </w:rPr>
        <w:t>homme, des militants et des autres personnes qui s</w:t>
      </w:r>
      <w:r>
        <w:rPr>
          <w:lang w:val="fr-FR"/>
        </w:rPr>
        <w:t>’</w:t>
      </w:r>
      <w:r w:rsidRPr="008C34EF">
        <w:rPr>
          <w:lang w:val="fr-FR"/>
        </w:rPr>
        <w:t>élèvent contre le racisme et qui, pour toute réponse, ont été victimes d</w:t>
      </w:r>
      <w:r>
        <w:rPr>
          <w:lang w:val="fr-FR"/>
        </w:rPr>
        <w:t>’</w:t>
      </w:r>
      <w:r w:rsidRPr="008C34EF">
        <w:rPr>
          <w:lang w:val="fr-FR"/>
        </w:rPr>
        <w:t>agressions, en particulier dans le cadre de manifestations contre le racisme</w:t>
      </w:r>
      <w:r w:rsidRPr="00293268" w:rsidDel="008F7ED4">
        <w:rPr>
          <w:lang w:val="fr-FR"/>
        </w:rPr>
        <w:t>.</w:t>
      </w:r>
    </w:p>
    <w:p w14:paraId="79C92947" w14:textId="29F1F4A6" w:rsidR="00D301C6" w:rsidRPr="00293268" w:rsidRDefault="00D301C6" w:rsidP="001F14F0">
      <w:pPr>
        <w:pStyle w:val="H1G"/>
        <w:rPr>
          <w:lang w:val="fr-FR"/>
        </w:rPr>
      </w:pPr>
      <w:bookmarkStart w:id="916" w:name="_Toc71214952"/>
      <w:bookmarkStart w:id="917" w:name="_Toc71575313"/>
      <w:bookmarkStart w:id="918" w:name="_Toc71666228"/>
      <w:bookmarkStart w:id="919" w:name="_Toc71214955"/>
      <w:bookmarkStart w:id="920" w:name="_Toc71575316"/>
      <w:bookmarkStart w:id="921" w:name="_Toc71666231"/>
      <w:bookmarkStart w:id="922" w:name="_Toc61538016"/>
      <w:bookmarkStart w:id="923" w:name="_Toc61538069"/>
      <w:bookmarkStart w:id="924" w:name="_Toc61538120"/>
      <w:bookmarkStart w:id="925" w:name="_Toc60845037"/>
      <w:bookmarkStart w:id="926" w:name="_Toc62028873"/>
      <w:bookmarkStart w:id="927" w:name="_Toc62556530"/>
      <w:bookmarkStart w:id="928" w:name="_Toc62562315"/>
      <w:bookmarkStart w:id="929" w:name="_Toc74922964"/>
      <w:bookmarkEnd w:id="916"/>
      <w:bookmarkEnd w:id="917"/>
      <w:bookmarkEnd w:id="918"/>
      <w:bookmarkEnd w:id="919"/>
      <w:bookmarkEnd w:id="920"/>
      <w:bookmarkEnd w:id="921"/>
      <w:bookmarkEnd w:id="922"/>
      <w:bookmarkEnd w:id="923"/>
      <w:bookmarkEnd w:id="924"/>
      <w:r w:rsidRPr="00293268">
        <w:rPr>
          <w:lang w:val="fr-FR"/>
        </w:rPr>
        <w:tab/>
        <w:t>B.</w:t>
      </w:r>
      <w:r w:rsidRPr="00293268">
        <w:rPr>
          <w:lang w:val="fr-FR"/>
        </w:rPr>
        <w:tab/>
      </w:r>
      <w:bookmarkStart w:id="930" w:name="_Hlk116397559"/>
      <w:bookmarkEnd w:id="925"/>
      <w:bookmarkEnd w:id="926"/>
      <w:bookmarkEnd w:id="927"/>
      <w:bookmarkEnd w:id="928"/>
      <w:bookmarkEnd w:id="929"/>
      <w:r w:rsidRPr="00132916">
        <w:rPr>
          <w:lang w:val="fr-FR"/>
        </w:rPr>
        <w:t xml:space="preserve">Réponses des </w:t>
      </w:r>
      <w:r>
        <w:rPr>
          <w:lang w:val="fr-FR"/>
        </w:rPr>
        <w:t>pouvoirs publics</w:t>
      </w:r>
      <w:r w:rsidRPr="00132916">
        <w:rPr>
          <w:lang w:val="fr-FR"/>
        </w:rPr>
        <w:t xml:space="preserve"> aux manifestations pacifiques </w:t>
      </w:r>
      <w:r w:rsidR="00330201">
        <w:rPr>
          <w:lang w:val="fr-FR"/>
        </w:rPr>
        <w:br/>
      </w:r>
      <w:r w:rsidRPr="00132916">
        <w:rPr>
          <w:lang w:val="fr-FR"/>
        </w:rPr>
        <w:t>contre le racisme</w:t>
      </w:r>
      <w:bookmarkEnd w:id="930"/>
    </w:p>
    <w:p w14:paraId="35417E48" w14:textId="4C237B3C" w:rsidR="00D301C6" w:rsidRPr="00293268" w:rsidRDefault="00D301C6" w:rsidP="001F14F0">
      <w:pPr>
        <w:pStyle w:val="H23G"/>
        <w:rPr>
          <w:lang w:val="fr-FR"/>
        </w:rPr>
      </w:pPr>
      <w:bookmarkStart w:id="931" w:name="_Toc70504333"/>
      <w:bookmarkStart w:id="932" w:name="_Toc71214957"/>
      <w:bookmarkStart w:id="933" w:name="_Toc71575318"/>
      <w:bookmarkStart w:id="934" w:name="_Toc71666233"/>
      <w:bookmarkStart w:id="935" w:name="_Toc62556531"/>
      <w:bookmarkStart w:id="936" w:name="_Toc62562316"/>
      <w:bookmarkStart w:id="937" w:name="_Toc74922965"/>
      <w:bookmarkEnd w:id="931"/>
      <w:bookmarkEnd w:id="932"/>
      <w:bookmarkEnd w:id="933"/>
      <w:bookmarkEnd w:id="934"/>
      <w:r w:rsidRPr="00293268">
        <w:rPr>
          <w:lang w:val="fr-FR"/>
        </w:rPr>
        <w:tab/>
        <w:t>1.</w:t>
      </w:r>
      <w:r w:rsidRPr="00293268">
        <w:rPr>
          <w:lang w:val="fr-FR"/>
        </w:rPr>
        <w:tab/>
      </w:r>
      <w:bookmarkEnd w:id="935"/>
      <w:bookmarkEnd w:id="936"/>
      <w:bookmarkEnd w:id="937"/>
      <w:r w:rsidRPr="008576E0">
        <w:rPr>
          <w:lang w:val="fr-FR"/>
        </w:rPr>
        <w:t>Allégations d</w:t>
      </w:r>
      <w:r>
        <w:rPr>
          <w:lang w:val="fr-FR"/>
        </w:rPr>
        <w:t>’</w:t>
      </w:r>
      <w:r w:rsidRPr="008576E0">
        <w:rPr>
          <w:lang w:val="fr-FR"/>
        </w:rPr>
        <w:t xml:space="preserve">emploi abusif de la force, </w:t>
      </w:r>
      <w:r>
        <w:rPr>
          <w:lang w:val="fr-FR"/>
        </w:rPr>
        <w:t>en particulier</w:t>
      </w:r>
      <w:r w:rsidRPr="008576E0">
        <w:rPr>
          <w:lang w:val="fr-FR"/>
        </w:rPr>
        <w:t xml:space="preserve"> </w:t>
      </w:r>
      <w:r>
        <w:rPr>
          <w:lang w:val="fr-FR"/>
        </w:rPr>
        <w:t>d</w:t>
      </w:r>
      <w:r w:rsidRPr="008576E0">
        <w:rPr>
          <w:lang w:val="fr-FR"/>
        </w:rPr>
        <w:t xml:space="preserve">e recours superflu </w:t>
      </w:r>
      <w:r w:rsidR="001F14F0">
        <w:rPr>
          <w:lang w:val="fr-FR"/>
        </w:rPr>
        <w:br/>
      </w:r>
      <w:r w:rsidRPr="008576E0">
        <w:rPr>
          <w:lang w:val="fr-FR"/>
        </w:rPr>
        <w:t>et disproportionné à la force</w:t>
      </w:r>
    </w:p>
    <w:p w14:paraId="2C9662CE" w14:textId="7550D843" w:rsidR="00D301C6" w:rsidRPr="00293268" w:rsidRDefault="00D301C6" w:rsidP="00D301C6">
      <w:pPr>
        <w:pStyle w:val="SingleTxtG"/>
        <w:rPr>
          <w:lang w:val="fr-FR"/>
        </w:rPr>
      </w:pPr>
      <w:r w:rsidRPr="00293268">
        <w:rPr>
          <w:lang w:val="fr-FR"/>
        </w:rPr>
        <w:t>201.</w:t>
      </w:r>
      <w:r w:rsidRPr="00293268">
        <w:rPr>
          <w:lang w:val="fr-FR"/>
        </w:rPr>
        <w:tab/>
      </w:r>
      <w:r w:rsidRPr="009E2835">
        <w:rPr>
          <w:lang w:val="fr-FR"/>
        </w:rPr>
        <w:t>Des allégations dignes de foi et cohérentes, révélatrices de violations du droit international des droits de l</w:t>
      </w:r>
      <w:r>
        <w:rPr>
          <w:lang w:val="fr-FR"/>
        </w:rPr>
        <w:t>’</w:t>
      </w:r>
      <w:r w:rsidRPr="009E2835">
        <w:rPr>
          <w:lang w:val="fr-FR"/>
        </w:rPr>
        <w:t>homme</w:t>
      </w:r>
      <w:r w:rsidRPr="00CD6B67">
        <w:rPr>
          <w:rStyle w:val="FootnoteReference"/>
        </w:rPr>
        <w:footnoteReference w:id="510"/>
      </w:r>
      <w:r>
        <w:rPr>
          <w:lang w:val="fr-FR"/>
        </w:rPr>
        <w:t>,</w:t>
      </w:r>
      <w:r w:rsidRPr="00293268">
        <w:rPr>
          <w:lang w:val="fr-FR"/>
        </w:rPr>
        <w:t xml:space="preserve"> </w:t>
      </w:r>
      <w:r w:rsidRPr="00271132">
        <w:rPr>
          <w:lang w:val="fr-FR"/>
        </w:rPr>
        <w:t xml:space="preserve">ont été reçues au sujet de la réaction des pouvoirs publics à certaines manifestations, en particulier </w:t>
      </w:r>
      <w:r w:rsidRPr="00BB47B4">
        <w:rPr>
          <w:lang w:val="fr-FR"/>
        </w:rPr>
        <w:t>en raison</w:t>
      </w:r>
      <w:r w:rsidRPr="00271132">
        <w:rPr>
          <w:lang w:val="fr-FR"/>
        </w:rPr>
        <w:t xml:space="preserve"> du recours superflu et disproportionné à la force</w:t>
      </w:r>
      <w:r w:rsidRPr="00293268">
        <w:rPr>
          <w:lang w:val="fr-FR"/>
        </w:rPr>
        <w:t xml:space="preserve">. </w:t>
      </w:r>
      <w:r>
        <w:rPr>
          <w:lang w:val="fr-FR"/>
        </w:rPr>
        <w:t>En</w:t>
      </w:r>
      <w:r w:rsidRPr="00293268">
        <w:rPr>
          <w:lang w:val="fr-FR"/>
        </w:rPr>
        <w:t xml:space="preserve"> 2020</w:t>
      </w:r>
      <w:r w:rsidRPr="00CD6B67">
        <w:rPr>
          <w:rStyle w:val="FootnoteReference"/>
        </w:rPr>
        <w:footnoteReference w:id="511"/>
      </w:r>
      <w:r>
        <w:rPr>
          <w:lang w:val="fr-FR"/>
        </w:rPr>
        <w:t>,</w:t>
      </w:r>
      <w:r w:rsidRPr="00293268">
        <w:rPr>
          <w:lang w:val="fr-FR"/>
        </w:rPr>
        <w:t xml:space="preserve"> </w:t>
      </w:r>
      <w:r w:rsidRPr="00EA510A">
        <w:rPr>
          <w:lang w:val="fr-FR"/>
        </w:rPr>
        <w:t>des informations crédibles ont fait état d</w:t>
      </w:r>
      <w:r>
        <w:rPr>
          <w:lang w:val="fr-FR"/>
        </w:rPr>
        <w:t>’</w:t>
      </w:r>
      <w:r w:rsidRPr="00EA510A">
        <w:rPr>
          <w:lang w:val="fr-FR"/>
        </w:rPr>
        <w:t>un recours inutile et disproportionné à la force par les</w:t>
      </w:r>
      <w:r>
        <w:rPr>
          <w:lang w:val="fr-FR"/>
        </w:rPr>
        <w:t xml:space="preserve"> responsables des services de répression</w:t>
      </w:r>
      <w:r w:rsidRPr="00EA510A">
        <w:rPr>
          <w:lang w:val="fr-FR"/>
        </w:rPr>
        <w:t xml:space="preserve"> aux États</w:t>
      </w:r>
      <w:r w:rsidR="00F05D47">
        <w:rPr>
          <w:lang w:val="fr-FR"/>
        </w:rPr>
        <w:noBreakHyphen/>
      </w:r>
      <w:r w:rsidRPr="00EA510A">
        <w:rPr>
          <w:lang w:val="fr-FR"/>
        </w:rPr>
        <w:t>Unis</w:t>
      </w:r>
      <w:r w:rsidRPr="00CD6B67">
        <w:rPr>
          <w:rStyle w:val="FootnoteReference"/>
        </w:rPr>
        <w:footnoteReference w:id="512"/>
      </w:r>
      <w:r w:rsidRPr="00EA510A">
        <w:rPr>
          <w:lang w:val="fr-FR"/>
        </w:rPr>
        <w:t xml:space="preserve"> contre des manifestants, des journalistes, des observateurs et du personnel médical qui ne semblaient pas représenter </w:t>
      </w:r>
      <w:r>
        <w:rPr>
          <w:lang w:val="fr-FR"/>
        </w:rPr>
        <w:t xml:space="preserve">de </w:t>
      </w:r>
      <w:r w:rsidRPr="004A3C05">
        <w:rPr>
          <w:lang w:val="fr-FR"/>
        </w:rPr>
        <w:t>menace imminente de</w:t>
      </w:r>
      <w:r>
        <w:rPr>
          <w:lang w:val="fr-FR"/>
        </w:rPr>
        <w:t xml:space="preserve"> </w:t>
      </w:r>
      <w:r w:rsidRPr="00EA510A">
        <w:rPr>
          <w:lang w:val="fr-FR"/>
        </w:rPr>
        <w:t>blessure</w:t>
      </w:r>
      <w:r>
        <w:rPr>
          <w:lang w:val="fr-FR"/>
        </w:rPr>
        <w:t>s</w:t>
      </w:r>
      <w:r w:rsidRPr="00EA510A">
        <w:rPr>
          <w:lang w:val="fr-FR"/>
        </w:rPr>
        <w:t xml:space="preserve">. Dans certains cas, ces tactiques semblent avoir été utilisées </w:t>
      </w:r>
      <w:r>
        <w:rPr>
          <w:lang w:val="fr-FR"/>
        </w:rPr>
        <w:t>alors que l</w:t>
      </w:r>
      <w:r w:rsidRPr="00EA510A">
        <w:rPr>
          <w:lang w:val="fr-FR"/>
        </w:rPr>
        <w:t>es manifestants et d</w:t>
      </w:r>
      <w:r>
        <w:rPr>
          <w:lang w:val="fr-FR"/>
        </w:rPr>
        <w:t>’</w:t>
      </w:r>
      <w:r w:rsidRPr="00EA510A">
        <w:rPr>
          <w:lang w:val="fr-FR"/>
        </w:rPr>
        <w:t>autres personnes quittaient les zones de rassemblement</w:t>
      </w:r>
      <w:r w:rsidRPr="00CD6B67">
        <w:rPr>
          <w:rStyle w:val="FootnoteReference"/>
        </w:rPr>
        <w:footnoteReference w:id="513"/>
      </w:r>
      <w:r>
        <w:rPr>
          <w:lang w:val="fr-FR"/>
        </w:rPr>
        <w:t>.</w:t>
      </w:r>
      <w:r w:rsidRPr="00293268">
        <w:rPr>
          <w:lang w:val="fr-FR"/>
        </w:rPr>
        <w:t xml:space="preserve"> </w:t>
      </w:r>
      <w:r w:rsidRPr="00A36A1E">
        <w:rPr>
          <w:lang w:val="fr-FR"/>
        </w:rPr>
        <w:t>Entre mai et fin novembre 2020, plus de 1</w:t>
      </w:r>
      <w:r w:rsidR="00AD06E2">
        <w:rPr>
          <w:lang w:val="fr-FR"/>
        </w:rPr>
        <w:t> </w:t>
      </w:r>
      <w:r w:rsidRPr="00A36A1E">
        <w:rPr>
          <w:lang w:val="fr-FR"/>
        </w:rPr>
        <w:t>000</w:t>
      </w:r>
      <w:r w:rsidR="00AD06E2">
        <w:rPr>
          <w:lang w:val="fr-FR"/>
        </w:rPr>
        <w:t> </w:t>
      </w:r>
      <w:r>
        <w:rPr>
          <w:lang w:val="fr-FR"/>
        </w:rPr>
        <w:t>faits</w:t>
      </w:r>
      <w:r w:rsidRPr="00A36A1E">
        <w:rPr>
          <w:lang w:val="fr-FR"/>
        </w:rPr>
        <w:t xml:space="preserve"> de violence et </w:t>
      </w:r>
      <w:r>
        <w:rPr>
          <w:lang w:val="fr-FR"/>
        </w:rPr>
        <w:t>d’</w:t>
      </w:r>
      <w:r w:rsidRPr="00A36A1E">
        <w:rPr>
          <w:lang w:val="fr-FR"/>
        </w:rPr>
        <w:t>inconduite de la part des forces de l</w:t>
      </w:r>
      <w:r>
        <w:rPr>
          <w:lang w:val="fr-FR"/>
        </w:rPr>
        <w:t>’</w:t>
      </w:r>
      <w:r w:rsidRPr="00A36A1E">
        <w:rPr>
          <w:lang w:val="fr-FR"/>
        </w:rPr>
        <w:t>ordre ont été signalés aux États-Unis</w:t>
      </w:r>
      <w:r w:rsidRPr="00CD6B67">
        <w:rPr>
          <w:rStyle w:val="FootnoteReference"/>
        </w:rPr>
        <w:footnoteReference w:id="514"/>
      </w:r>
      <w:r w:rsidRPr="00293268">
        <w:rPr>
          <w:lang w:val="fr-FR"/>
        </w:rPr>
        <w:t xml:space="preserve">. </w:t>
      </w:r>
      <w:r w:rsidRPr="00D97CE5">
        <w:rPr>
          <w:lang w:val="fr-FR"/>
        </w:rPr>
        <w:t xml:space="preserve">Dans la très grande majorité des cas, les victimes ne </w:t>
      </w:r>
      <w:r>
        <w:rPr>
          <w:lang w:val="fr-FR"/>
        </w:rPr>
        <w:t>faisaient</w:t>
      </w:r>
      <w:r w:rsidRPr="00D97CE5">
        <w:rPr>
          <w:lang w:val="fr-FR"/>
        </w:rPr>
        <w:t xml:space="preserve"> pas </w:t>
      </w:r>
      <w:r>
        <w:rPr>
          <w:lang w:val="fr-FR"/>
        </w:rPr>
        <w:t xml:space="preserve">peser </w:t>
      </w:r>
      <w:r w:rsidRPr="00D97CE5">
        <w:rPr>
          <w:lang w:val="fr-FR"/>
        </w:rPr>
        <w:t>de risque imminent de blessure pour les membres des forces de l</w:t>
      </w:r>
      <w:r>
        <w:rPr>
          <w:lang w:val="fr-FR"/>
        </w:rPr>
        <w:t>’</w:t>
      </w:r>
      <w:r w:rsidRPr="00D97CE5">
        <w:rPr>
          <w:lang w:val="fr-FR"/>
        </w:rPr>
        <w:t>ordre ou du public et les forces de l</w:t>
      </w:r>
      <w:r>
        <w:rPr>
          <w:lang w:val="fr-FR"/>
        </w:rPr>
        <w:t>’</w:t>
      </w:r>
      <w:r w:rsidRPr="00D97CE5">
        <w:rPr>
          <w:lang w:val="fr-FR"/>
        </w:rPr>
        <w:t>ordre sembl</w:t>
      </w:r>
      <w:r>
        <w:rPr>
          <w:lang w:val="fr-FR"/>
        </w:rPr>
        <w:t>ai</w:t>
      </w:r>
      <w:r w:rsidRPr="00D97CE5">
        <w:rPr>
          <w:lang w:val="fr-FR"/>
        </w:rPr>
        <w:t xml:space="preserve">ent ne pas avoir épuisé toutes les </w:t>
      </w:r>
      <w:r>
        <w:rPr>
          <w:lang w:val="fr-FR"/>
        </w:rPr>
        <w:t>solutions possibles</w:t>
      </w:r>
      <w:r w:rsidRPr="00D97CE5">
        <w:rPr>
          <w:lang w:val="fr-FR"/>
        </w:rPr>
        <w:t xml:space="preserve"> avant de </w:t>
      </w:r>
      <w:r>
        <w:rPr>
          <w:lang w:val="fr-FR"/>
        </w:rPr>
        <w:t>recourir à</w:t>
      </w:r>
      <w:r w:rsidRPr="00D97CE5">
        <w:rPr>
          <w:lang w:val="fr-FR"/>
        </w:rPr>
        <w:t xml:space="preserve"> la force</w:t>
      </w:r>
      <w:r w:rsidRPr="00CD6B67">
        <w:rPr>
          <w:rStyle w:val="FootnoteReference"/>
        </w:rPr>
        <w:footnoteReference w:id="515"/>
      </w:r>
      <w:r>
        <w:rPr>
          <w:lang w:val="fr-FR"/>
        </w:rPr>
        <w:t>.</w:t>
      </w:r>
      <w:r w:rsidRPr="00293268">
        <w:rPr>
          <w:lang w:val="fr-FR"/>
        </w:rPr>
        <w:t xml:space="preserve"> </w:t>
      </w:r>
      <w:r w:rsidRPr="000C4859">
        <w:rPr>
          <w:lang w:val="fr-FR"/>
        </w:rPr>
        <w:t>Les recherches d</w:t>
      </w:r>
      <w:r>
        <w:rPr>
          <w:lang w:val="fr-FR"/>
        </w:rPr>
        <w:t>’</w:t>
      </w:r>
      <w:r w:rsidRPr="000C4859">
        <w:rPr>
          <w:lang w:val="fr-FR"/>
        </w:rPr>
        <w:t>une organisation non gouvernementale font état de plus de 125</w:t>
      </w:r>
      <w:r w:rsidR="00AD06E2">
        <w:rPr>
          <w:lang w:val="fr-FR"/>
        </w:rPr>
        <w:t> </w:t>
      </w:r>
      <w:r>
        <w:rPr>
          <w:lang w:val="fr-FR"/>
        </w:rPr>
        <w:t>situations présumées de recours</w:t>
      </w:r>
      <w:r w:rsidRPr="000C4859">
        <w:rPr>
          <w:lang w:val="fr-FR"/>
        </w:rPr>
        <w:t xml:space="preserve"> abusif </w:t>
      </w:r>
      <w:r>
        <w:rPr>
          <w:lang w:val="fr-FR"/>
        </w:rPr>
        <w:t>à</w:t>
      </w:r>
      <w:r w:rsidRPr="000C4859">
        <w:rPr>
          <w:lang w:val="fr-FR"/>
        </w:rPr>
        <w:t xml:space="preserve"> la force par des agents de police et de sécurité locaux et nationaux entre le 26</w:t>
      </w:r>
      <w:r w:rsidR="00AD06E2">
        <w:rPr>
          <w:lang w:val="fr-FR"/>
        </w:rPr>
        <w:t> </w:t>
      </w:r>
      <w:r w:rsidRPr="000C4859">
        <w:rPr>
          <w:lang w:val="fr-FR"/>
        </w:rPr>
        <w:t>mai et le 5</w:t>
      </w:r>
      <w:r w:rsidR="00AD06E2">
        <w:rPr>
          <w:lang w:val="fr-FR"/>
        </w:rPr>
        <w:t> </w:t>
      </w:r>
      <w:r w:rsidRPr="000C4859">
        <w:rPr>
          <w:lang w:val="fr-FR"/>
        </w:rPr>
        <w:t>juin 2020</w:t>
      </w:r>
      <w:r>
        <w:rPr>
          <w:lang w:val="fr-FR"/>
        </w:rPr>
        <w:t>,</w:t>
      </w:r>
      <w:r w:rsidRPr="000C4859">
        <w:rPr>
          <w:lang w:val="fr-FR"/>
        </w:rPr>
        <w:t xml:space="preserve"> dans différents États </w:t>
      </w:r>
      <w:r>
        <w:rPr>
          <w:lang w:val="fr-FR"/>
        </w:rPr>
        <w:t>américains</w:t>
      </w:r>
      <w:r w:rsidRPr="00CD6B67">
        <w:rPr>
          <w:rStyle w:val="FootnoteReference"/>
        </w:rPr>
        <w:footnoteReference w:id="516"/>
      </w:r>
      <w:r>
        <w:rPr>
          <w:lang w:val="fr-FR"/>
        </w:rPr>
        <w:t>.</w:t>
      </w:r>
      <w:r w:rsidRPr="00293268">
        <w:rPr>
          <w:lang w:val="fr-FR"/>
        </w:rPr>
        <w:t xml:space="preserve"> </w:t>
      </w:r>
      <w:r w:rsidRPr="007A4823">
        <w:rPr>
          <w:lang w:val="fr-FR"/>
        </w:rPr>
        <w:t xml:space="preserve">Des préoccupations particulières ont été </w:t>
      </w:r>
      <w:r>
        <w:rPr>
          <w:lang w:val="fr-FR"/>
        </w:rPr>
        <w:t>exprimées au sujet des</w:t>
      </w:r>
      <w:r w:rsidRPr="007A4823">
        <w:rPr>
          <w:lang w:val="fr-FR"/>
        </w:rPr>
        <w:t xml:space="preserve"> réactions des forces de l</w:t>
      </w:r>
      <w:r>
        <w:rPr>
          <w:lang w:val="fr-FR"/>
        </w:rPr>
        <w:t>’</w:t>
      </w:r>
      <w:r w:rsidRPr="007A4823">
        <w:rPr>
          <w:lang w:val="fr-FR"/>
        </w:rPr>
        <w:t>ordre face aux manifestants pacifiques, en particulier les enfants et les personnes âgées d</w:t>
      </w:r>
      <w:r>
        <w:rPr>
          <w:lang w:val="fr-FR"/>
        </w:rPr>
        <w:t>’</w:t>
      </w:r>
      <w:r w:rsidRPr="007A4823">
        <w:rPr>
          <w:lang w:val="fr-FR"/>
        </w:rPr>
        <w:t>ascendance africaine</w:t>
      </w:r>
      <w:r w:rsidRPr="00CD6B67">
        <w:rPr>
          <w:rStyle w:val="FootnoteReference"/>
        </w:rPr>
        <w:footnoteReference w:id="517"/>
      </w:r>
      <w:r w:rsidRPr="007A4823">
        <w:rPr>
          <w:lang w:val="fr-FR"/>
        </w:rPr>
        <w:t>, lors de certaines manifestations</w:t>
      </w:r>
      <w:r w:rsidRPr="00CD6B67">
        <w:rPr>
          <w:rStyle w:val="FootnoteReference"/>
        </w:rPr>
        <w:footnoteReference w:id="518"/>
      </w:r>
      <w:r w:rsidRPr="007A4823">
        <w:rPr>
          <w:lang w:val="fr-FR"/>
        </w:rPr>
        <w:t>, ainsi qu</w:t>
      </w:r>
      <w:r>
        <w:rPr>
          <w:lang w:val="fr-FR"/>
        </w:rPr>
        <w:t>’</w:t>
      </w:r>
      <w:r w:rsidRPr="007A4823">
        <w:rPr>
          <w:lang w:val="fr-FR"/>
        </w:rPr>
        <w:t xml:space="preserve">en ce qui concerne les </w:t>
      </w:r>
      <w:r>
        <w:rPr>
          <w:lang w:val="fr-FR"/>
        </w:rPr>
        <w:t xml:space="preserve">techniques </w:t>
      </w:r>
      <w:r w:rsidRPr="007A4823">
        <w:rPr>
          <w:lang w:val="fr-FR"/>
        </w:rPr>
        <w:t>d</w:t>
      </w:r>
      <w:r>
        <w:rPr>
          <w:lang w:val="fr-FR"/>
        </w:rPr>
        <w:t>’</w:t>
      </w:r>
      <w:r w:rsidRPr="007A4823">
        <w:rPr>
          <w:lang w:val="fr-FR"/>
        </w:rPr>
        <w:t xml:space="preserve">encerclement ou de </w:t>
      </w:r>
      <w:r>
        <w:rPr>
          <w:lang w:val="fr-FR"/>
        </w:rPr>
        <w:t>confinement</w:t>
      </w:r>
      <w:r w:rsidRPr="007A4823">
        <w:rPr>
          <w:lang w:val="fr-FR"/>
        </w:rPr>
        <w:t xml:space="preserve"> des manifestants dans un </w:t>
      </w:r>
      <w:r>
        <w:rPr>
          <w:lang w:val="fr-FR"/>
        </w:rPr>
        <w:t>périmètre</w:t>
      </w:r>
      <w:r w:rsidRPr="007A4823">
        <w:rPr>
          <w:lang w:val="fr-FR"/>
        </w:rPr>
        <w:t xml:space="preserve"> limité</w:t>
      </w:r>
      <w:r w:rsidRPr="00CD6B67">
        <w:rPr>
          <w:rStyle w:val="FootnoteReference"/>
        </w:rPr>
        <w:footnoteReference w:id="519"/>
      </w:r>
      <w:r>
        <w:rPr>
          <w:lang w:val="fr-FR"/>
        </w:rPr>
        <w:t>.</w:t>
      </w:r>
    </w:p>
    <w:p w14:paraId="205939BA" w14:textId="20E05B2D" w:rsidR="00D301C6" w:rsidRPr="00293268" w:rsidRDefault="00D301C6" w:rsidP="00D301C6">
      <w:pPr>
        <w:pStyle w:val="SingleTxtG"/>
        <w:rPr>
          <w:lang w:val="fr-FR"/>
        </w:rPr>
      </w:pPr>
      <w:r w:rsidRPr="00293268">
        <w:rPr>
          <w:lang w:val="fr-FR"/>
        </w:rPr>
        <w:t>202.</w:t>
      </w:r>
      <w:r w:rsidRPr="00293268">
        <w:rPr>
          <w:lang w:val="fr-FR"/>
        </w:rPr>
        <w:tab/>
      </w:r>
      <w:r w:rsidRPr="00B156FC">
        <w:rPr>
          <w:lang w:val="fr-FR"/>
        </w:rPr>
        <w:t>Au Royaume-Uni, des informations font état d</w:t>
      </w:r>
      <w:r>
        <w:rPr>
          <w:lang w:val="fr-FR"/>
        </w:rPr>
        <w:t>’</w:t>
      </w:r>
      <w:r w:rsidRPr="00B156FC">
        <w:rPr>
          <w:lang w:val="fr-FR"/>
        </w:rPr>
        <w:t>un «</w:t>
      </w:r>
      <w:r w:rsidR="00AD06E2">
        <w:rPr>
          <w:lang w:val="fr-FR"/>
        </w:rPr>
        <w:t> </w:t>
      </w:r>
      <w:r w:rsidRPr="00B156FC">
        <w:rPr>
          <w:lang w:val="fr-FR"/>
        </w:rPr>
        <w:t>usage excessif de la force, notamment au moyen de matraques, de charges à cheval, de pulvérisat</w:t>
      </w:r>
      <w:r>
        <w:rPr>
          <w:lang w:val="fr-FR"/>
        </w:rPr>
        <w:t>ions</w:t>
      </w:r>
      <w:r w:rsidRPr="00B156FC">
        <w:rPr>
          <w:lang w:val="fr-FR"/>
        </w:rPr>
        <w:t xml:space="preserve"> de gaz poivré et d</w:t>
      </w:r>
      <w:r>
        <w:rPr>
          <w:lang w:val="fr-FR"/>
        </w:rPr>
        <w:t>’interpella</w:t>
      </w:r>
      <w:r w:rsidRPr="00B156FC">
        <w:rPr>
          <w:lang w:val="fr-FR"/>
        </w:rPr>
        <w:t>tions violentes</w:t>
      </w:r>
      <w:r w:rsidR="00AD06E2">
        <w:rPr>
          <w:lang w:val="fr-FR"/>
        </w:rPr>
        <w:t> </w:t>
      </w:r>
      <w:r>
        <w:rPr>
          <w:lang w:val="fr-FR"/>
        </w:rPr>
        <w:t>»</w:t>
      </w:r>
      <w:r w:rsidRPr="00CD6B67">
        <w:rPr>
          <w:rStyle w:val="FootnoteReference"/>
        </w:rPr>
        <w:footnoteReference w:id="520"/>
      </w:r>
      <w:r>
        <w:rPr>
          <w:lang w:val="fr-FR"/>
        </w:rPr>
        <w:t>,</w:t>
      </w:r>
      <w:r w:rsidRPr="00293268">
        <w:rPr>
          <w:lang w:val="fr-FR"/>
        </w:rPr>
        <w:t xml:space="preserve"> </w:t>
      </w:r>
      <w:r w:rsidRPr="00544E41">
        <w:rPr>
          <w:lang w:val="fr-FR"/>
        </w:rPr>
        <w:t>de nombreuses arrestations (voir plus loin) et de quelques affrontements entre certains manifestants et les forces de l</w:t>
      </w:r>
      <w:r>
        <w:rPr>
          <w:lang w:val="fr-FR"/>
        </w:rPr>
        <w:t>’</w:t>
      </w:r>
      <w:r w:rsidRPr="00544E41">
        <w:rPr>
          <w:lang w:val="fr-FR"/>
        </w:rPr>
        <w:t>ordre lors de manifestations antiracistes, notamment en juin 2020</w:t>
      </w:r>
      <w:r w:rsidRPr="00CD6B67">
        <w:rPr>
          <w:rStyle w:val="FootnoteReference"/>
        </w:rPr>
        <w:footnoteReference w:id="521"/>
      </w:r>
      <w:r>
        <w:rPr>
          <w:lang w:val="fr-FR"/>
        </w:rPr>
        <w:t>.</w:t>
      </w:r>
      <w:r w:rsidRPr="00293268">
        <w:rPr>
          <w:lang w:val="fr-FR"/>
        </w:rPr>
        <w:t xml:space="preserve"> </w:t>
      </w:r>
      <w:r w:rsidRPr="003E2C41">
        <w:rPr>
          <w:lang w:val="fr-FR"/>
        </w:rPr>
        <w:t>L</w:t>
      </w:r>
      <w:r>
        <w:rPr>
          <w:lang w:val="fr-FR"/>
        </w:rPr>
        <w:t>a police aurait eu</w:t>
      </w:r>
      <w:r w:rsidRPr="003E2C41">
        <w:rPr>
          <w:lang w:val="fr-FR"/>
        </w:rPr>
        <w:t xml:space="preserve"> recours </w:t>
      </w:r>
      <w:r>
        <w:rPr>
          <w:lang w:val="fr-FR"/>
        </w:rPr>
        <w:t>à des</w:t>
      </w:r>
      <w:r w:rsidRPr="003E2C41">
        <w:rPr>
          <w:lang w:val="fr-FR"/>
        </w:rPr>
        <w:t xml:space="preserve"> t</w:t>
      </w:r>
      <w:r>
        <w:rPr>
          <w:lang w:val="fr-FR"/>
        </w:rPr>
        <w:t>echn</w:t>
      </w:r>
      <w:r w:rsidRPr="003E2C41">
        <w:rPr>
          <w:lang w:val="fr-FR"/>
        </w:rPr>
        <w:t>iques d</w:t>
      </w:r>
      <w:r>
        <w:rPr>
          <w:lang w:val="fr-FR"/>
        </w:rPr>
        <w:t>’</w:t>
      </w:r>
      <w:r w:rsidRPr="003E2C41">
        <w:rPr>
          <w:lang w:val="fr-FR"/>
        </w:rPr>
        <w:t xml:space="preserve">encerclement </w:t>
      </w:r>
      <w:r>
        <w:rPr>
          <w:lang w:val="fr-FR"/>
        </w:rPr>
        <w:t>et,</w:t>
      </w:r>
      <w:r w:rsidRPr="003E2C41">
        <w:rPr>
          <w:lang w:val="fr-FR"/>
        </w:rPr>
        <w:t xml:space="preserve"> </w:t>
      </w:r>
      <w:r>
        <w:rPr>
          <w:lang w:val="fr-FR"/>
        </w:rPr>
        <w:t xml:space="preserve">selon les allégations, </w:t>
      </w:r>
      <w:r w:rsidRPr="00CA5C5B">
        <w:rPr>
          <w:lang w:val="fr-FR"/>
        </w:rPr>
        <w:t xml:space="preserve">aurait refusé </w:t>
      </w:r>
      <w:r w:rsidRPr="003E2C41">
        <w:rPr>
          <w:lang w:val="fr-FR"/>
        </w:rPr>
        <w:t>l</w:t>
      </w:r>
      <w:r>
        <w:rPr>
          <w:lang w:val="fr-FR"/>
        </w:rPr>
        <w:t>’</w:t>
      </w:r>
      <w:r w:rsidRPr="003E2C41">
        <w:rPr>
          <w:lang w:val="fr-FR"/>
        </w:rPr>
        <w:t>accès aux toilettes, à l</w:t>
      </w:r>
      <w:r>
        <w:rPr>
          <w:lang w:val="fr-FR"/>
        </w:rPr>
        <w:t>’</w:t>
      </w:r>
      <w:r w:rsidRPr="003E2C41">
        <w:rPr>
          <w:lang w:val="fr-FR"/>
        </w:rPr>
        <w:t>eau potable et aux médicaments</w:t>
      </w:r>
      <w:r>
        <w:rPr>
          <w:lang w:val="fr-FR"/>
        </w:rPr>
        <w:t>. Elle aurait aussi</w:t>
      </w:r>
      <w:r w:rsidRPr="003E2C41">
        <w:rPr>
          <w:lang w:val="fr-FR"/>
        </w:rPr>
        <w:t xml:space="preserve"> ignoré </w:t>
      </w:r>
      <w:r>
        <w:rPr>
          <w:lang w:val="fr-FR"/>
        </w:rPr>
        <w:t>les</w:t>
      </w:r>
      <w:r w:rsidRPr="003E2C41">
        <w:rPr>
          <w:lang w:val="fr-FR"/>
        </w:rPr>
        <w:t xml:space="preserve"> manifestants blessés</w:t>
      </w:r>
      <w:r>
        <w:rPr>
          <w:lang w:val="fr-FR"/>
        </w:rPr>
        <w:t xml:space="preserve"> et se serait moquée d’eux</w:t>
      </w:r>
      <w:r w:rsidRPr="00CD6B67">
        <w:rPr>
          <w:rStyle w:val="FootnoteReference"/>
        </w:rPr>
        <w:footnoteReference w:id="522"/>
      </w:r>
      <w:r>
        <w:rPr>
          <w:lang w:val="fr-FR"/>
        </w:rPr>
        <w:t>.</w:t>
      </w:r>
      <w:r w:rsidRPr="00293268">
        <w:rPr>
          <w:lang w:val="fr-FR"/>
        </w:rPr>
        <w:t xml:space="preserve"> </w:t>
      </w:r>
      <w:r>
        <w:rPr>
          <w:lang w:val="fr-FR"/>
        </w:rPr>
        <w:t>Quoique limitées, d</w:t>
      </w:r>
      <w:r w:rsidRPr="00C6248E">
        <w:rPr>
          <w:lang w:val="fr-FR"/>
        </w:rPr>
        <w:t xml:space="preserve">es informations </w:t>
      </w:r>
      <w:r>
        <w:rPr>
          <w:lang w:val="fr-FR"/>
        </w:rPr>
        <w:t>ont été obtenues</w:t>
      </w:r>
      <w:r w:rsidRPr="00C6248E">
        <w:rPr>
          <w:lang w:val="fr-FR"/>
        </w:rPr>
        <w:t xml:space="preserve"> sur les réactions aux manifestations contre le racisme dans d</w:t>
      </w:r>
      <w:r>
        <w:rPr>
          <w:lang w:val="fr-FR"/>
        </w:rPr>
        <w:t>’</w:t>
      </w:r>
      <w:r w:rsidRPr="00C6248E">
        <w:rPr>
          <w:lang w:val="fr-FR"/>
        </w:rPr>
        <w:t xml:space="preserve">autres pays, </w:t>
      </w:r>
      <w:r>
        <w:rPr>
          <w:lang w:val="fr-FR"/>
        </w:rPr>
        <w:t>et certaines</w:t>
      </w:r>
      <w:r w:rsidRPr="00C6248E">
        <w:rPr>
          <w:lang w:val="fr-FR"/>
        </w:rPr>
        <w:t xml:space="preserve"> font état d</w:t>
      </w:r>
      <w:r>
        <w:rPr>
          <w:lang w:val="fr-FR"/>
        </w:rPr>
        <w:t>’</w:t>
      </w:r>
      <w:r w:rsidRPr="00C6248E">
        <w:rPr>
          <w:lang w:val="fr-FR"/>
        </w:rPr>
        <w:t>un grand nombre d</w:t>
      </w:r>
      <w:r>
        <w:rPr>
          <w:lang w:val="fr-FR"/>
        </w:rPr>
        <w:t>’</w:t>
      </w:r>
      <w:r w:rsidRPr="00C6248E">
        <w:rPr>
          <w:lang w:val="fr-FR"/>
        </w:rPr>
        <w:t>arrestations</w:t>
      </w:r>
      <w:r>
        <w:rPr>
          <w:lang w:val="fr-FR"/>
        </w:rPr>
        <w:t xml:space="preserve"> et, dans certains cas</w:t>
      </w:r>
      <w:r w:rsidRPr="00C6248E">
        <w:rPr>
          <w:lang w:val="fr-FR"/>
        </w:rPr>
        <w:t>, de l</w:t>
      </w:r>
      <w:r>
        <w:rPr>
          <w:lang w:val="fr-FR"/>
        </w:rPr>
        <w:t>’</w:t>
      </w:r>
      <w:r w:rsidRPr="00C6248E">
        <w:rPr>
          <w:lang w:val="fr-FR"/>
        </w:rPr>
        <w:t>utilisation de gaz lacrymogène et de canons à eau</w:t>
      </w:r>
      <w:r w:rsidRPr="00CD6B67">
        <w:rPr>
          <w:rStyle w:val="FootnoteReference"/>
        </w:rPr>
        <w:footnoteReference w:id="523"/>
      </w:r>
      <w:r>
        <w:rPr>
          <w:lang w:val="fr-FR"/>
        </w:rPr>
        <w:t>.</w:t>
      </w:r>
    </w:p>
    <w:p w14:paraId="1A085396" w14:textId="5A168744" w:rsidR="00D301C6" w:rsidRPr="00293268" w:rsidRDefault="00D301C6" w:rsidP="00322DB8">
      <w:pPr>
        <w:pStyle w:val="H23G"/>
        <w:rPr>
          <w:lang w:val="fr-FR"/>
        </w:rPr>
      </w:pPr>
      <w:bookmarkStart w:id="939" w:name="_Toc70504335"/>
      <w:bookmarkStart w:id="940" w:name="_Toc71214959"/>
      <w:bookmarkStart w:id="941" w:name="_Toc71575320"/>
      <w:bookmarkStart w:id="942" w:name="_Toc71666235"/>
      <w:bookmarkStart w:id="943" w:name="_Toc70504336"/>
      <w:bookmarkStart w:id="944" w:name="_Toc71214960"/>
      <w:bookmarkStart w:id="945" w:name="_Toc71575321"/>
      <w:bookmarkStart w:id="946" w:name="_Toc71666236"/>
      <w:bookmarkStart w:id="947" w:name="_Toc70504337"/>
      <w:bookmarkStart w:id="948" w:name="_Toc71214961"/>
      <w:bookmarkStart w:id="949" w:name="_Toc71575322"/>
      <w:bookmarkStart w:id="950" w:name="_Toc71666237"/>
      <w:bookmarkStart w:id="951" w:name="_Toc70504338"/>
      <w:bookmarkStart w:id="952" w:name="_Toc71214962"/>
      <w:bookmarkStart w:id="953" w:name="_Toc71575323"/>
      <w:bookmarkStart w:id="954" w:name="_Toc71666238"/>
      <w:bookmarkStart w:id="955" w:name="_Toc70504340"/>
      <w:bookmarkStart w:id="956" w:name="_Toc71214964"/>
      <w:bookmarkStart w:id="957" w:name="_Toc71575325"/>
      <w:bookmarkStart w:id="958" w:name="_Toc71666240"/>
      <w:bookmarkStart w:id="959" w:name="_Toc70504342"/>
      <w:bookmarkStart w:id="960" w:name="_Toc71214966"/>
      <w:bookmarkStart w:id="961" w:name="_Toc71575327"/>
      <w:bookmarkStart w:id="962" w:name="_Toc71666242"/>
      <w:bookmarkStart w:id="963" w:name="_Toc70504343"/>
      <w:bookmarkStart w:id="964" w:name="_Toc71214967"/>
      <w:bookmarkStart w:id="965" w:name="_Toc71575328"/>
      <w:bookmarkStart w:id="966" w:name="_Toc71666243"/>
      <w:bookmarkStart w:id="967" w:name="_Toc70504346"/>
      <w:bookmarkStart w:id="968" w:name="_Toc71214970"/>
      <w:bookmarkStart w:id="969" w:name="_Toc71575331"/>
      <w:bookmarkStart w:id="970" w:name="_Toc71666246"/>
      <w:bookmarkStart w:id="971" w:name="_Toc70504347"/>
      <w:bookmarkStart w:id="972" w:name="_Toc71214971"/>
      <w:bookmarkStart w:id="973" w:name="_Toc71575332"/>
      <w:bookmarkStart w:id="974" w:name="_Toc71666247"/>
      <w:bookmarkStart w:id="975" w:name="_Toc70504349"/>
      <w:bookmarkStart w:id="976" w:name="_Toc71214973"/>
      <w:bookmarkStart w:id="977" w:name="_Toc71575334"/>
      <w:bookmarkStart w:id="978" w:name="_Toc71666249"/>
      <w:bookmarkStart w:id="979" w:name="_Toc70504351"/>
      <w:bookmarkStart w:id="980" w:name="_Toc71214975"/>
      <w:bookmarkStart w:id="981" w:name="_Toc71575336"/>
      <w:bookmarkStart w:id="982" w:name="_Toc71666251"/>
      <w:bookmarkStart w:id="983" w:name="_Toc70504352"/>
      <w:bookmarkStart w:id="984" w:name="_Toc71214976"/>
      <w:bookmarkStart w:id="985" w:name="_Toc71575337"/>
      <w:bookmarkStart w:id="986" w:name="_Toc71666252"/>
      <w:bookmarkStart w:id="987" w:name="_Toc70504353"/>
      <w:bookmarkStart w:id="988" w:name="_Toc71214977"/>
      <w:bookmarkStart w:id="989" w:name="_Toc71575338"/>
      <w:bookmarkStart w:id="990" w:name="_Toc71666253"/>
      <w:bookmarkStart w:id="991" w:name="_Toc70504354"/>
      <w:bookmarkStart w:id="992" w:name="_Toc71214978"/>
      <w:bookmarkStart w:id="993" w:name="_Toc71575339"/>
      <w:bookmarkStart w:id="994" w:name="_Toc71666254"/>
      <w:bookmarkStart w:id="995" w:name="_Toc70504355"/>
      <w:bookmarkStart w:id="996" w:name="_Toc71214979"/>
      <w:bookmarkStart w:id="997" w:name="_Toc71575340"/>
      <w:bookmarkStart w:id="998" w:name="_Toc71666255"/>
      <w:bookmarkStart w:id="999" w:name="_Toc70504357"/>
      <w:bookmarkStart w:id="1000" w:name="_Toc71214981"/>
      <w:bookmarkStart w:id="1001" w:name="_Toc71575342"/>
      <w:bookmarkStart w:id="1002" w:name="_Toc71666257"/>
      <w:bookmarkStart w:id="1003" w:name="_Toc70504358"/>
      <w:bookmarkStart w:id="1004" w:name="_Toc71214982"/>
      <w:bookmarkStart w:id="1005" w:name="_Toc71575343"/>
      <w:bookmarkStart w:id="1006" w:name="_Toc71666258"/>
      <w:bookmarkStart w:id="1007" w:name="_Toc70504359"/>
      <w:bookmarkStart w:id="1008" w:name="_Toc71214983"/>
      <w:bookmarkStart w:id="1009" w:name="_Toc71575344"/>
      <w:bookmarkStart w:id="1010" w:name="_Toc71666259"/>
      <w:bookmarkStart w:id="1011" w:name="_Toc70504360"/>
      <w:bookmarkStart w:id="1012" w:name="_Toc71214984"/>
      <w:bookmarkStart w:id="1013" w:name="_Toc71575345"/>
      <w:bookmarkStart w:id="1014" w:name="_Toc71666260"/>
      <w:bookmarkStart w:id="1015" w:name="_Toc70504361"/>
      <w:bookmarkStart w:id="1016" w:name="_Toc71214985"/>
      <w:bookmarkStart w:id="1017" w:name="_Toc71575346"/>
      <w:bookmarkStart w:id="1018" w:name="_Toc71666261"/>
      <w:bookmarkStart w:id="1019" w:name="_Toc70504362"/>
      <w:bookmarkStart w:id="1020" w:name="_Toc71214986"/>
      <w:bookmarkStart w:id="1021" w:name="_Toc71575347"/>
      <w:bookmarkStart w:id="1022" w:name="_Toc71666262"/>
      <w:bookmarkStart w:id="1023" w:name="_Toc70504363"/>
      <w:bookmarkStart w:id="1024" w:name="_Toc71214987"/>
      <w:bookmarkStart w:id="1025" w:name="_Toc71575348"/>
      <w:bookmarkStart w:id="1026" w:name="_Toc71666263"/>
      <w:bookmarkStart w:id="1027" w:name="_Toc70504364"/>
      <w:bookmarkStart w:id="1028" w:name="_Toc71214988"/>
      <w:bookmarkStart w:id="1029" w:name="_Toc71575349"/>
      <w:bookmarkStart w:id="1030" w:name="_Toc71666264"/>
      <w:bookmarkStart w:id="1031" w:name="_Toc70504365"/>
      <w:bookmarkStart w:id="1032" w:name="_Toc71214989"/>
      <w:bookmarkStart w:id="1033" w:name="_Toc71575350"/>
      <w:bookmarkStart w:id="1034" w:name="_Toc71666265"/>
      <w:bookmarkStart w:id="1035" w:name="_Toc70504366"/>
      <w:bookmarkStart w:id="1036" w:name="_Toc71214990"/>
      <w:bookmarkStart w:id="1037" w:name="_Toc71575351"/>
      <w:bookmarkStart w:id="1038" w:name="_Toc71666266"/>
      <w:bookmarkStart w:id="1039" w:name="_Toc70504367"/>
      <w:bookmarkStart w:id="1040" w:name="_Toc71214991"/>
      <w:bookmarkStart w:id="1041" w:name="_Toc71575352"/>
      <w:bookmarkStart w:id="1042" w:name="_Toc71666267"/>
      <w:bookmarkStart w:id="1043" w:name="_Toc70504368"/>
      <w:bookmarkStart w:id="1044" w:name="_Toc71214992"/>
      <w:bookmarkStart w:id="1045" w:name="_Toc71575353"/>
      <w:bookmarkStart w:id="1046" w:name="_Toc71666268"/>
      <w:bookmarkStart w:id="1047" w:name="_Toc70504369"/>
      <w:bookmarkStart w:id="1048" w:name="_Toc71214993"/>
      <w:bookmarkStart w:id="1049" w:name="_Toc71575354"/>
      <w:bookmarkStart w:id="1050" w:name="_Toc71666269"/>
      <w:bookmarkStart w:id="1051" w:name="_Toc62556532"/>
      <w:bookmarkStart w:id="1052" w:name="_Toc62562317"/>
      <w:bookmarkStart w:id="1053" w:name="_Toc74922966"/>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sidRPr="00293268">
        <w:rPr>
          <w:lang w:val="fr-FR"/>
        </w:rPr>
        <w:tab/>
        <w:t>2.</w:t>
      </w:r>
      <w:r w:rsidRPr="00293268">
        <w:rPr>
          <w:lang w:val="fr-FR"/>
        </w:rPr>
        <w:tab/>
      </w:r>
      <w:bookmarkEnd w:id="1051"/>
      <w:bookmarkEnd w:id="1052"/>
      <w:bookmarkEnd w:id="1053"/>
      <w:r w:rsidRPr="009829BE">
        <w:rPr>
          <w:lang w:val="fr-FR"/>
        </w:rPr>
        <w:t xml:space="preserve">Traitement différencié des manifestations antiracistes et des contre-manifestations </w:t>
      </w:r>
      <w:r w:rsidR="00322DB8">
        <w:rPr>
          <w:lang w:val="fr-FR"/>
        </w:rPr>
        <w:br/>
      </w:r>
      <w:r w:rsidRPr="009829BE">
        <w:rPr>
          <w:lang w:val="fr-FR"/>
        </w:rPr>
        <w:t>et incapacité à mettre fin aux confrontations entre manifestants et contre-manifestants</w:t>
      </w:r>
    </w:p>
    <w:p w14:paraId="4C7B721D" w14:textId="1FD7D138" w:rsidR="00D301C6" w:rsidRPr="00293268" w:rsidRDefault="00D301C6" w:rsidP="00E625B5">
      <w:pPr>
        <w:pStyle w:val="SingleTxtG"/>
        <w:rPr>
          <w:lang w:val="fr-FR"/>
        </w:rPr>
      </w:pPr>
      <w:r w:rsidRPr="00293268">
        <w:rPr>
          <w:lang w:val="fr-FR"/>
        </w:rPr>
        <w:t>203.</w:t>
      </w:r>
      <w:r w:rsidRPr="00293268">
        <w:rPr>
          <w:lang w:val="fr-FR"/>
        </w:rPr>
        <w:tab/>
      </w:r>
      <w:r w:rsidRPr="00C33A32">
        <w:rPr>
          <w:lang w:val="fr-FR"/>
        </w:rPr>
        <w:t xml:space="preserve">Les communications et consultations ont permis de mettre en lumière des exemples précis, aux États-Unis, </w:t>
      </w:r>
      <w:r>
        <w:rPr>
          <w:lang w:val="fr-FR"/>
        </w:rPr>
        <w:t>de non-intervention de</w:t>
      </w:r>
      <w:r w:rsidRPr="00C33A32">
        <w:rPr>
          <w:lang w:val="fr-FR"/>
        </w:rPr>
        <w:t xml:space="preserve"> la police pour éviter des heurts entre manifestants et contre-manifestants, de </w:t>
      </w:r>
      <w:r>
        <w:rPr>
          <w:lang w:val="fr-FR"/>
        </w:rPr>
        <w:t>situations</w:t>
      </w:r>
      <w:r w:rsidRPr="00C33A32">
        <w:rPr>
          <w:lang w:val="fr-FR"/>
        </w:rPr>
        <w:t xml:space="preserve"> où les contre-manifestants auraient bénéficié d</w:t>
      </w:r>
      <w:r>
        <w:rPr>
          <w:lang w:val="fr-FR"/>
        </w:rPr>
        <w:t>’</w:t>
      </w:r>
      <w:r w:rsidRPr="00C33A32">
        <w:rPr>
          <w:lang w:val="fr-FR"/>
        </w:rPr>
        <w:t xml:space="preserve">un traitement plus permissif et de différences dans la </w:t>
      </w:r>
      <w:r>
        <w:rPr>
          <w:lang w:val="fr-FR"/>
        </w:rPr>
        <w:t>manière</w:t>
      </w:r>
      <w:r w:rsidRPr="00C33A32">
        <w:rPr>
          <w:lang w:val="fr-FR"/>
        </w:rPr>
        <w:t xml:space="preserve"> dont la police, aux États</w:t>
      </w:r>
      <w:r w:rsidR="00322DB8">
        <w:rPr>
          <w:lang w:val="fr-FR"/>
        </w:rPr>
        <w:noBreakHyphen/>
      </w:r>
      <w:r w:rsidRPr="00C33A32">
        <w:rPr>
          <w:lang w:val="fr-FR"/>
        </w:rPr>
        <w:t>Unis et au Royaume-Uni, a géré les manifestations contre le racisme par rapport à d</w:t>
      </w:r>
      <w:r>
        <w:rPr>
          <w:lang w:val="fr-FR"/>
        </w:rPr>
        <w:t>’</w:t>
      </w:r>
      <w:r w:rsidRPr="00C33A32">
        <w:rPr>
          <w:lang w:val="fr-FR"/>
        </w:rPr>
        <w:t>autres manifestations</w:t>
      </w:r>
      <w:r w:rsidRPr="00293268">
        <w:rPr>
          <w:lang w:val="fr-FR"/>
        </w:rPr>
        <w:t xml:space="preserve">. </w:t>
      </w:r>
      <w:r w:rsidRPr="008B29AD">
        <w:rPr>
          <w:lang w:val="fr-FR"/>
        </w:rPr>
        <w:t>De mai à septembre 2020, des affrontements violents auraient éclaté entre des manifestants lors de quelque 200</w:t>
      </w:r>
      <w:r w:rsidR="00E625B5">
        <w:rPr>
          <w:lang w:val="fr-FR"/>
        </w:rPr>
        <w:t> </w:t>
      </w:r>
      <w:r w:rsidRPr="008B29AD">
        <w:rPr>
          <w:lang w:val="fr-FR"/>
        </w:rPr>
        <w:t>manifestations et contre-manifestations différentes dans environ 75</w:t>
      </w:r>
      <w:r w:rsidR="00E53DDC">
        <w:rPr>
          <w:lang w:val="fr-FR"/>
        </w:rPr>
        <w:t> %</w:t>
      </w:r>
      <w:r w:rsidRPr="008B29AD">
        <w:rPr>
          <w:lang w:val="fr-FR"/>
        </w:rPr>
        <w:t xml:space="preserve"> (37) </w:t>
      </w:r>
      <w:r>
        <w:rPr>
          <w:lang w:val="fr-FR"/>
        </w:rPr>
        <w:t>des</w:t>
      </w:r>
      <w:r w:rsidRPr="008B29AD">
        <w:rPr>
          <w:lang w:val="fr-FR"/>
        </w:rPr>
        <w:t xml:space="preserve"> États</w:t>
      </w:r>
      <w:r w:rsidRPr="00CD6B67">
        <w:rPr>
          <w:rStyle w:val="FootnoteReference"/>
        </w:rPr>
        <w:footnoteReference w:id="524"/>
      </w:r>
      <w:r>
        <w:rPr>
          <w:lang w:val="fr-FR"/>
        </w:rPr>
        <w:t>.</w:t>
      </w:r>
      <w:r w:rsidRPr="00293268">
        <w:rPr>
          <w:lang w:val="fr-FR"/>
        </w:rPr>
        <w:t xml:space="preserve"> </w:t>
      </w:r>
      <w:r w:rsidRPr="00EB5B35">
        <w:rPr>
          <w:lang w:val="fr-FR"/>
        </w:rPr>
        <w:t>Dans certains cas, les forces de l</w:t>
      </w:r>
      <w:r>
        <w:rPr>
          <w:lang w:val="fr-FR"/>
        </w:rPr>
        <w:t>’</w:t>
      </w:r>
      <w:r w:rsidRPr="00EB5B35">
        <w:rPr>
          <w:lang w:val="fr-FR"/>
        </w:rPr>
        <w:t>ordre n</w:t>
      </w:r>
      <w:r>
        <w:rPr>
          <w:lang w:val="fr-FR"/>
        </w:rPr>
        <w:t>’auraien</w:t>
      </w:r>
      <w:r w:rsidRPr="00EB5B35">
        <w:rPr>
          <w:lang w:val="fr-FR"/>
        </w:rPr>
        <w:t xml:space="preserve">t pas protégé les manifestants </w:t>
      </w:r>
      <w:r>
        <w:rPr>
          <w:lang w:val="fr-FR"/>
        </w:rPr>
        <w:t>anti</w:t>
      </w:r>
      <w:r w:rsidRPr="00EB5B35">
        <w:rPr>
          <w:lang w:val="fr-FR"/>
        </w:rPr>
        <w:t>racisme contre les attaques violentes de tiers, qu</w:t>
      </w:r>
      <w:r>
        <w:rPr>
          <w:lang w:val="fr-FR"/>
        </w:rPr>
        <w:t>’</w:t>
      </w:r>
      <w:r w:rsidRPr="00EB5B35">
        <w:rPr>
          <w:lang w:val="fr-FR"/>
        </w:rPr>
        <w:t>il s</w:t>
      </w:r>
      <w:r>
        <w:rPr>
          <w:lang w:val="fr-FR"/>
        </w:rPr>
        <w:t>’</w:t>
      </w:r>
      <w:r w:rsidRPr="00EB5B35">
        <w:rPr>
          <w:lang w:val="fr-FR"/>
        </w:rPr>
        <w:t>agisse de contre-manifestants, de groupes armés d</w:t>
      </w:r>
      <w:r>
        <w:rPr>
          <w:lang w:val="fr-FR"/>
        </w:rPr>
        <w:t>’</w:t>
      </w:r>
      <w:r w:rsidRPr="00EB5B35">
        <w:rPr>
          <w:lang w:val="fr-FR"/>
        </w:rPr>
        <w:t>autodéfense ou d</w:t>
      </w:r>
      <w:r>
        <w:rPr>
          <w:lang w:val="fr-FR"/>
        </w:rPr>
        <w:t>’</w:t>
      </w:r>
      <w:r w:rsidRPr="00EB5B35">
        <w:rPr>
          <w:lang w:val="fr-FR"/>
        </w:rPr>
        <w:t xml:space="preserve">individus violents lors de manifestations </w:t>
      </w:r>
      <w:r>
        <w:rPr>
          <w:lang w:val="fr-FR"/>
        </w:rPr>
        <w:t>au demeurant</w:t>
      </w:r>
      <w:r w:rsidRPr="00EB5B35">
        <w:rPr>
          <w:lang w:val="fr-FR"/>
        </w:rPr>
        <w:t xml:space="preserve"> pacifiques</w:t>
      </w:r>
      <w:r w:rsidRPr="00CD6B67">
        <w:rPr>
          <w:rStyle w:val="FootnoteReference"/>
        </w:rPr>
        <w:footnoteReference w:id="525"/>
      </w:r>
      <w:r>
        <w:rPr>
          <w:lang w:val="fr-FR"/>
        </w:rPr>
        <w:t>.</w:t>
      </w:r>
      <w:r w:rsidRPr="00293268">
        <w:rPr>
          <w:lang w:val="fr-FR"/>
        </w:rPr>
        <w:t xml:space="preserve"> </w:t>
      </w:r>
      <w:r w:rsidRPr="00C14532">
        <w:rPr>
          <w:lang w:val="fr-FR"/>
        </w:rPr>
        <w:t xml:space="preserve">Dans ces cas, les informations révèlent que les forces de police ont souvent manqué à leur obligation positive de protéger les manifestants, notamment en ne prenant pas de mesures préventives pour éviter que des tiers ne perturbent les rassemblements pacifiques, ou en ne protégeant pas les manifestants contre </w:t>
      </w:r>
      <w:r>
        <w:rPr>
          <w:lang w:val="fr-FR"/>
        </w:rPr>
        <w:t>d</w:t>
      </w:r>
      <w:r w:rsidRPr="00C14532">
        <w:rPr>
          <w:lang w:val="fr-FR"/>
        </w:rPr>
        <w:t>es agressions violentes</w:t>
      </w:r>
      <w:r w:rsidRPr="00293268">
        <w:rPr>
          <w:lang w:val="fr-FR"/>
        </w:rPr>
        <w:t xml:space="preserve">. </w:t>
      </w:r>
      <w:r w:rsidRPr="003D1B46">
        <w:rPr>
          <w:lang w:val="fr-FR"/>
        </w:rPr>
        <w:t xml:space="preserve">Lorsque des </w:t>
      </w:r>
      <w:r>
        <w:rPr>
          <w:lang w:val="fr-FR"/>
        </w:rPr>
        <w:t>affrontements</w:t>
      </w:r>
      <w:r w:rsidRPr="003D1B46">
        <w:rPr>
          <w:lang w:val="fr-FR"/>
        </w:rPr>
        <w:t xml:space="preserve"> violents entre manifestants et contre-manifestants</w:t>
      </w:r>
      <w:r w:rsidRPr="00813782">
        <w:rPr>
          <w:lang w:val="fr-FR"/>
        </w:rPr>
        <w:t xml:space="preserve"> </w:t>
      </w:r>
      <w:r w:rsidRPr="00584D7A">
        <w:rPr>
          <w:lang w:val="fr-FR"/>
        </w:rPr>
        <w:t>ont eu lieu</w:t>
      </w:r>
      <w:r w:rsidRPr="003D1B46">
        <w:rPr>
          <w:lang w:val="fr-FR"/>
        </w:rPr>
        <w:t>, les forces de police ne sont pas intervenues ou n</w:t>
      </w:r>
      <w:r>
        <w:rPr>
          <w:lang w:val="fr-FR"/>
        </w:rPr>
        <w:t>’</w:t>
      </w:r>
      <w:r w:rsidRPr="003D1B46">
        <w:rPr>
          <w:lang w:val="fr-FR"/>
        </w:rPr>
        <w:t>ont pas fait la différence entre les acteurs violents et non violents</w:t>
      </w:r>
      <w:r w:rsidRPr="00CD6B67">
        <w:rPr>
          <w:rStyle w:val="FootnoteReference"/>
        </w:rPr>
        <w:footnoteReference w:id="526"/>
      </w:r>
      <w:r>
        <w:rPr>
          <w:lang w:val="fr-FR"/>
        </w:rPr>
        <w:t>.</w:t>
      </w:r>
    </w:p>
    <w:p w14:paraId="36D5AD75" w14:textId="299E27F5" w:rsidR="00D301C6" w:rsidRPr="00293268" w:rsidRDefault="00D301C6" w:rsidP="00D301C6">
      <w:pPr>
        <w:pStyle w:val="SingleTxtG"/>
        <w:rPr>
          <w:lang w:val="fr-FR"/>
        </w:rPr>
      </w:pPr>
      <w:r w:rsidRPr="00293268">
        <w:rPr>
          <w:lang w:val="fr-FR"/>
        </w:rPr>
        <w:t>204.</w:t>
      </w:r>
      <w:r w:rsidRPr="00293268">
        <w:rPr>
          <w:lang w:val="fr-FR"/>
        </w:rPr>
        <w:tab/>
      </w:r>
      <w:r w:rsidRPr="003D377D">
        <w:rPr>
          <w:lang w:val="fr-FR"/>
        </w:rPr>
        <w:t>En novembre 2020, aux Pays-Bas, les manifestations du groupe antiraciste «</w:t>
      </w:r>
      <w:r>
        <w:rPr>
          <w:lang w:val="fr-FR"/>
        </w:rPr>
        <w:t> </w:t>
      </w:r>
      <w:r w:rsidRPr="003D377D">
        <w:rPr>
          <w:lang w:val="fr-FR"/>
        </w:rPr>
        <w:t>Kick Out Zwarte Piet (KOZP)</w:t>
      </w:r>
      <w:r>
        <w:rPr>
          <w:lang w:val="fr-FR"/>
        </w:rPr>
        <w:t> </w:t>
      </w:r>
      <w:r w:rsidRPr="003D377D">
        <w:rPr>
          <w:lang w:val="fr-FR"/>
        </w:rPr>
        <w:t xml:space="preserve">» organisées pour protester contre la tradition de </w:t>
      </w:r>
      <w:r w:rsidRPr="00D42C86">
        <w:rPr>
          <w:lang w:val="fr-FR"/>
        </w:rPr>
        <w:t>Swarte Piet («</w:t>
      </w:r>
      <w:r>
        <w:rPr>
          <w:lang w:val="fr-FR"/>
        </w:rPr>
        <w:t> </w:t>
      </w:r>
      <w:r w:rsidRPr="00D42C86">
        <w:rPr>
          <w:lang w:val="fr-FR"/>
        </w:rPr>
        <w:t>Pierre le Noir</w:t>
      </w:r>
      <w:r>
        <w:rPr>
          <w:lang w:val="fr-FR"/>
        </w:rPr>
        <w:t> </w:t>
      </w:r>
      <w:r w:rsidRPr="00D42C86">
        <w:rPr>
          <w:lang w:val="fr-FR"/>
        </w:rPr>
        <w:t>»)</w:t>
      </w:r>
      <w:r w:rsidRPr="003D377D">
        <w:rPr>
          <w:lang w:val="fr-FR"/>
        </w:rPr>
        <w:t xml:space="preserve">, ont </w:t>
      </w:r>
      <w:r>
        <w:rPr>
          <w:lang w:val="fr-FR"/>
        </w:rPr>
        <w:t>suscité</w:t>
      </w:r>
      <w:r w:rsidRPr="003D377D">
        <w:rPr>
          <w:lang w:val="fr-FR"/>
        </w:rPr>
        <w:t xml:space="preserve"> d</w:t>
      </w:r>
      <w:r>
        <w:rPr>
          <w:lang w:val="fr-FR"/>
        </w:rPr>
        <w:t>’</w:t>
      </w:r>
      <w:r w:rsidRPr="003D377D">
        <w:rPr>
          <w:lang w:val="fr-FR"/>
        </w:rPr>
        <w:t xml:space="preserve">importantes contre-manifestations dans plusieurs villes </w:t>
      </w:r>
      <w:r>
        <w:rPr>
          <w:lang w:val="fr-FR"/>
        </w:rPr>
        <w:t>du pays</w:t>
      </w:r>
      <w:r w:rsidRPr="003D377D">
        <w:rPr>
          <w:lang w:val="fr-FR"/>
        </w:rPr>
        <w:t>, et la police n</w:t>
      </w:r>
      <w:r>
        <w:rPr>
          <w:lang w:val="fr-FR"/>
        </w:rPr>
        <w:t>’</w:t>
      </w:r>
      <w:r w:rsidRPr="003D377D">
        <w:rPr>
          <w:lang w:val="fr-FR"/>
        </w:rPr>
        <w:t xml:space="preserve">aurait pas assuré la sécurité des manifestants lorsque des centaines de </w:t>
      </w:r>
      <w:r>
        <w:rPr>
          <w:lang w:val="fr-FR"/>
        </w:rPr>
        <w:t>contre</w:t>
      </w:r>
      <w:r w:rsidR="008A3E7A">
        <w:rPr>
          <w:lang w:val="fr-FR"/>
        </w:rPr>
        <w:noBreakHyphen/>
      </w:r>
      <w:r w:rsidRPr="003D377D">
        <w:rPr>
          <w:lang w:val="fr-FR"/>
        </w:rPr>
        <w:t>manifestants sont arrivés sur les lieux</w:t>
      </w:r>
      <w:r w:rsidRPr="00CD6B67">
        <w:rPr>
          <w:rStyle w:val="FootnoteReference"/>
        </w:rPr>
        <w:footnoteReference w:id="527"/>
      </w:r>
      <w:r>
        <w:rPr>
          <w:lang w:val="fr-FR"/>
        </w:rPr>
        <w:t>.</w:t>
      </w:r>
      <w:r w:rsidRPr="00293268">
        <w:rPr>
          <w:lang w:val="fr-FR"/>
        </w:rPr>
        <w:t xml:space="preserve"> </w:t>
      </w:r>
      <w:r w:rsidRPr="00003C39">
        <w:rPr>
          <w:lang w:val="fr-FR"/>
        </w:rPr>
        <w:t xml:space="preserve">Les médias ont indiqué </w:t>
      </w:r>
      <w:r>
        <w:rPr>
          <w:lang w:val="fr-FR"/>
        </w:rPr>
        <w:t>qu’il ne s’agissait</w:t>
      </w:r>
      <w:r w:rsidRPr="00003C39">
        <w:rPr>
          <w:lang w:val="fr-FR"/>
        </w:rPr>
        <w:t xml:space="preserve"> peut</w:t>
      </w:r>
      <w:r w:rsidR="008A3E7A">
        <w:rPr>
          <w:lang w:val="fr-FR"/>
        </w:rPr>
        <w:noBreakHyphen/>
      </w:r>
      <w:r w:rsidRPr="00003C39">
        <w:rPr>
          <w:lang w:val="fr-FR"/>
        </w:rPr>
        <w:t xml:space="preserve">être pas </w:t>
      </w:r>
      <w:r>
        <w:rPr>
          <w:lang w:val="fr-FR"/>
        </w:rPr>
        <w:t xml:space="preserve">de faits </w:t>
      </w:r>
      <w:r w:rsidRPr="00003C39">
        <w:rPr>
          <w:lang w:val="fr-FR"/>
        </w:rPr>
        <w:t>isolé</w:t>
      </w:r>
      <w:r>
        <w:rPr>
          <w:lang w:val="fr-FR"/>
        </w:rPr>
        <w:t>s</w:t>
      </w:r>
      <w:r w:rsidRPr="00CD6B67">
        <w:rPr>
          <w:rStyle w:val="FootnoteReference"/>
        </w:rPr>
        <w:footnoteReference w:id="528"/>
      </w:r>
      <w:r>
        <w:rPr>
          <w:lang w:val="fr-FR"/>
        </w:rPr>
        <w:t>.</w:t>
      </w:r>
    </w:p>
    <w:p w14:paraId="3E6C4310" w14:textId="594C6374" w:rsidR="00D301C6" w:rsidRPr="00293268" w:rsidRDefault="00D301C6" w:rsidP="00D301C6">
      <w:pPr>
        <w:pStyle w:val="SingleTxtG"/>
        <w:rPr>
          <w:lang w:val="fr-FR"/>
        </w:rPr>
      </w:pPr>
      <w:r w:rsidRPr="00293268">
        <w:rPr>
          <w:lang w:val="fr-FR"/>
        </w:rPr>
        <w:t>205.</w:t>
      </w:r>
      <w:r w:rsidRPr="00293268">
        <w:rPr>
          <w:lang w:val="fr-FR"/>
        </w:rPr>
        <w:tab/>
      </w:r>
      <w:r w:rsidRPr="00A76974">
        <w:rPr>
          <w:lang w:val="fr-FR"/>
        </w:rPr>
        <w:t xml:space="preserve">En outre, les communications ont </w:t>
      </w:r>
      <w:r>
        <w:rPr>
          <w:lang w:val="fr-FR"/>
        </w:rPr>
        <w:t>évoqué</w:t>
      </w:r>
      <w:r w:rsidRPr="00A76974">
        <w:rPr>
          <w:lang w:val="fr-FR"/>
        </w:rPr>
        <w:t xml:space="preserve"> des </w:t>
      </w:r>
      <w:r>
        <w:rPr>
          <w:lang w:val="fr-FR"/>
        </w:rPr>
        <w:t>cas, aux</w:t>
      </w:r>
      <w:r w:rsidRPr="00A76974">
        <w:rPr>
          <w:lang w:val="fr-FR"/>
        </w:rPr>
        <w:t xml:space="preserve"> États-Unis</w:t>
      </w:r>
      <w:r>
        <w:rPr>
          <w:lang w:val="fr-FR"/>
        </w:rPr>
        <w:t>, où</w:t>
      </w:r>
      <w:r w:rsidRPr="00A76974">
        <w:rPr>
          <w:lang w:val="fr-FR"/>
        </w:rPr>
        <w:t xml:space="preserve"> les responsables de l</w:t>
      </w:r>
      <w:r>
        <w:rPr>
          <w:lang w:val="fr-FR"/>
        </w:rPr>
        <w:t>’</w:t>
      </w:r>
      <w:r w:rsidRPr="00A76974">
        <w:rPr>
          <w:lang w:val="fr-FR"/>
        </w:rPr>
        <w:t xml:space="preserve">application </w:t>
      </w:r>
      <w:r>
        <w:rPr>
          <w:lang w:val="fr-FR"/>
        </w:rPr>
        <w:t xml:space="preserve">des </w:t>
      </w:r>
      <w:r w:rsidRPr="00A76974">
        <w:rPr>
          <w:lang w:val="fr-FR"/>
        </w:rPr>
        <w:t>loi</w:t>
      </w:r>
      <w:r>
        <w:rPr>
          <w:lang w:val="fr-FR"/>
        </w:rPr>
        <w:t>s</w:t>
      </w:r>
      <w:r w:rsidRPr="00A76974">
        <w:rPr>
          <w:lang w:val="fr-FR"/>
        </w:rPr>
        <w:t xml:space="preserve"> ont appliqué un traitement différent et permissif envers les groupes d</w:t>
      </w:r>
      <w:r>
        <w:rPr>
          <w:lang w:val="fr-FR"/>
        </w:rPr>
        <w:t>’</w:t>
      </w:r>
      <w:r w:rsidRPr="00A76974">
        <w:rPr>
          <w:lang w:val="fr-FR"/>
        </w:rPr>
        <w:t>extrême droite ou de suprémacistes blancs</w:t>
      </w:r>
      <w:r w:rsidRPr="00CD6B67">
        <w:rPr>
          <w:rStyle w:val="FootnoteReference"/>
        </w:rPr>
        <w:footnoteReference w:id="529"/>
      </w:r>
      <w:r>
        <w:rPr>
          <w:lang w:val="fr-FR"/>
        </w:rPr>
        <w:t>.</w:t>
      </w:r>
      <w:r w:rsidRPr="00293268">
        <w:rPr>
          <w:lang w:val="fr-FR"/>
        </w:rPr>
        <w:t xml:space="preserve"> </w:t>
      </w:r>
      <w:r w:rsidRPr="003A3C0E">
        <w:rPr>
          <w:lang w:val="fr-FR"/>
        </w:rPr>
        <w:t xml:space="preserve">Ainsi, des </w:t>
      </w:r>
      <w:r>
        <w:rPr>
          <w:lang w:val="fr-FR"/>
        </w:rPr>
        <w:t>études</w:t>
      </w:r>
      <w:r w:rsidRPr="003A3C0E">
        <w:rPr>
          <w:lang w:val="fr-FR"/>
        </w:rPr>
        <w:t xml:space="preserve"> ont montré que la police était trois fois plus susceptible de recourir à la force contre les manifestants d</w:t>
      </w:r>
      <w:r>
        <w:rPr>
          <w:lang w:val="fr-FR"/>
        </w:rPr>
        <w:t>u mouvement</w:t>
      </w:r>
      <w:r w:rsidRPr="003A3C0E">
        <w:rPr>
          <w:lang w:val="fr-FR"/>
        </w:rPr>
        <w:t xml:space="preserve"> Black Lives Matters que contre </w:t>
      </w:r>
      <w:r>
        <w:rPr>
          <w:lang w:val="fr-FR"/>
        </w:rPr>
        <w:t>d’</w:t>
      </w:r>
      <w:r w:rsidRPr="003A3C0E">
        <w:rPr>
          <w:lang w:val="fr-FR"/>
        </w:rPr>
        <w:t>autres manifestants</w:t>
      </w:r>
      <w:r w:rsidRPr="00CD6B67">
        <w:rPr>
          <w:rStyle w:val="FootnoteReference"/>
        </w:rPr>
        <w:t xml:space="preserve"> </w:t>
      </w:r>
      <w:r w:rsidRPr="00CD6B67">
        <w:rPr>
          <w:rStyle w:val="FootnoteReference"/>
        </w:rPr>
        <w:footnoteReference w:id="530"/>
      </w:r>
      <w:r w:rsidR="003A6E21" w:rsidRPr="003A6E21">
        <w:rPr>
          <w:rStyle w:val="FootnoteReference"/>
          <w:sz w:val="20"/>
          <w:vertAlign w:val="baseline"/>
        </w:rPr>
        <w:t>.</w:t>
      </w:r>
      <w:r w:rsidR="003A6E21">
        <w:rPr>
          <w:rStyle w:val="FootnoteReference"/>
        </w:rPr>
        <w:t xml:space="preserve"> </w:t>
      </w:r>
      <w:r w:rsidRPr="00A52BCC">
        <w:rPr>
          <w:lang w:val="fr-FR"/>
        </w:rPr>
        <w:t xml:space="preserve">Des </w:t>
      </w:r>
      <w:r>
        <w:rPr>
          <w:lang w:val="fr-FR"/>
        </w:rPr>
        <w:t>situations</w:t>
      </w:r>
      <w:r w:rsidRPr="00A52BCC">
        <w:rPr>
          <w:lang w:val="fr-FR"/>
        </w:rPr>
        <w:t xml:space="preserve"> </w:t>
      </w:r>
      <w:r>
        <w:rPr>
          <w:lang w:val="fr-FR"/>
        </w:rPr>
        <w:t>au cours de</w:t>
      </w:r>
      <w:r w:rsidRPr="00A52BCC">
        <w:rPr>
          <w:lang w:val="fr-FR"/>
        </w:rPr>
        <w:t>squel</w:t>
      </w:r>
      <w:r>
        <w:rPr>
          <w:lang w:val="fr-FR"/>
        </w:rPr>
        <w:t>le</w:t>
      </w:r>
      <w:r w:rsidRPr="00A52BCC">
        <w:rPr>
          <w:lang w:val="fr-FR"/>
        </w:rPr>
        <w:t xml:space="preserve">s la police semble avoir restreint de manière discriminatoire les rassemblements pacifiques </w:t>
      </w:r>
      <w:r w:rsidR="003A6E21">
        <w:rPr>
          <w:lang w:val="fr-FR"/>
        </w:rPr>
        <w:t>− </w:t>
      </w:r>
      <w:r w:rsidRPr="00A52BCC">
        <w:rPr>
          <w:lang w:val="fr-FR"/>
        </w:rPr>
        <w:t xml:space="preserve">par exemple en ordonnant leur dispersion ou </w:t>
      </w:r>
      <w:r>
        <w:rPr>
          <w:lang w:val="fr-FR"/>
        </w:rPr>
        <w:t xml:space="preserve">en imposant </w:t>
      </w:r>
      <w:r w:rsidRPr="00A52BCC">
        <w:rPr>
          <w:lang w:val="fr-FR"/>
        </w:rPr>
        <w:t>des couvre-feux</w:t>
      </w:r>
      <w:r w:rsidR="003A6E21">
        <w:rPr>
          <w:lang w:val="fr-FR"/>
        </w:rPr>
        <w:t> −</w:t>
      </w:r>
      <w:r w:rsidRPr="00A52BCC">
        <w:rPr>
          <w:lang w:val="fr-FR"/>
        </w:rPr>
        <w:t xml:space="preserve"> en se basant sur le contenu des messages des groupes, plutôt que sur la légalité de leur conduite, ont également été signalé</w:t>
      </w:r>
      <w:r>
        <w:rPr>
          <w:lang w:val="fr-FR"/>
        </w:rPr>
        <w:t>e</w:t>
      </w:r>
      <w:r w:rsidRPr="00A52BCC">
        <w:rPr>
          <w:lang w:val="fr-FR"/>
        </w:rPr>
        <w:t>s</w:t>
      </w:r>
      <w:r w:rsidRPr="00CD6B67">
        <w:rPr>
          <w:rStyle w:val="FootnoteReference"/>
        </w:rPr>
        <w:footnoteReference w:id="531"/>
      </w:r>
      <w:r>
        <w:rPr>
          <w:lang w:val="fr-FR"/>
        </w:rPr>
        <w:t>.</w:t>
      </w:r>
      <w:r w:rsidRPr="00293268">
        <w:rPr>
          <w:lang w:val="fr-FR"/>
        </w:rPr>
        <w:t xml:space="preserve"> </w:t>
      </w:r>
      <w:r w:rsidRPr="00BB4CA6">
        <w:rPr>
          <w:lang w:val="fr-FR"/>
        </w:rPr>
        <w:t xml:space="preserve">De même, au Royaume-Uni, </w:t>
      </w:r>
      <w:r>
        <w:rPr>
          <w:lang w:val="fr-FR"/>
        </w:rPr>
        <w:t xml:space="preserve">selon des </w:t>
      </w:r>
      <w:r w:rsidRPr="00BB4CA6">
        <w:rPr>
          <w:lang w:val="fr-FR"/>
        </w:rPr>
        <w:t>communications</w:t>
      </w:r>
      <w:r>
        <w:rPr>
          <w:lang w:val="fr-FR"/>
        </w:rPr>
        <w:t>,</w:t>
      </w:r>
      <w:r w:rsidRPr="00BB4CA6">
        <w:rPr>
          <w:lang w:val="fr-FR"/>
        </w:rPr>
        <w:t xml:space="preserve"> la police a </w:t>
      </w:r>
      <w:r>
        <w:rPr>
          <w:lang w:val="fr-FR"/>
        </w:rPr>
        <w:t xml:space="preserve">employé de manière disproportionnée </w:t>
      </w:r>
      <w:r w:rsidRPr="000927D5">
        <w:rPr>
          <w:lang w:val="fr-FR"/>
        </w:rPr>
        <w:t>une force excessive et des techniques d</w:t>
      </w:r>
      <w:r>
        <w:rPr>
          <w:lang w:val="fr-FR"/>
        </w:rPr>
        <w:t>’</w:t>
      </w:r>
      <w:r w:rsidRPr="000927D5">
        <w:rPr>
          <w:lang w:val="fr-FR"/>
        </w:rPr>
        <w:t xml:space="preserve">encerclement </w:t>
      </w:r>
      <w:r>
        <w:rPr>
          <w:lang w:val="fr-FR"/>
        </w:rPr>
        <w:t>lors des</w:t>
      </w:r>
      <w:r w:rsidRPr="00BB4CA6">
        <w:rPr>
          <w:lang w:val="fr-FR"/>
        </w:rPr>
        <w:t xml:space="preserve"> manifestations du </w:t>
      </w:r>
      <w:r w:rsidRPr="00531813">
        <w:rPr>
          <w:lang w:val="fr-FR"/>
        </w:rPr>
        <w:t>mouvement Black Lives Matters</w:t>
      </w:r>
      <w:r>
        <w:rPr>
          <w:lang w:val="fr-FR"/>
        </w:rPr>
        <w:t xml:space="preserve"> (BLM)</w:t>
      </w:r>
      <w:r w:rsidRPr="00BB4CA6">
        <w:rPr>
          <w:lang w:val="fr-FR"/>
        </w:rPr>
        <w:t>, principalement contre des manifestants noirs</w:t>
      </w:r>
      <w:r w:rsidRPr="00CD6B67">
        <w:rPr>
          <w:rStyle w:val="FootnoteReference"/>
        </w:rPr>
        <w:footnoteReference w:id="532"/>
      </w:r>
      <w:r>
        <w:rPr>
          <w:lang w:val="fr-FR"/>
        </w:rPr>
        <w:t>.</w:t>
      </w:r>
      <w:r w:rsidRPr="00293268">
        <w:rPr>
          <w:lang w:val="fr-FR"/>
        </w:rPr>
        <w:t xml:space="preserve"> </w:t>
      </w:r>
      <w:r w:rsidRPr="007F2CC6">
        <w:rPr>
          <w:lang w:val="fr-FR"/>
        </w:rPr>
        <w:t>La police aurait été plus indulgente envers les manifestants blancs anti</w:t>
      </w:r>
      <w:r w:rsidR="003A6E21">
        <w:rPr>
          <w:lang w:val="fr-FR"/>
        </w:rPr>
        <w:noBreakHyphen/>
      </w:r>
      <w:r w:rsidRPr="007F2CC6">
        <w:rPr>
          <w:lang w:val="fr-FR"/>
        </w:rPr>
        <w:t>BLM qu</w:t>
      </w:r>
      <w:r>
        <w:rPr>
          <w:lang w:val="fr-FR"/>
        </w:rPr>
        <w:t>’</w:t>
      </w:r>
      <w:r w:rsidRPr="007F2CC6">
        <w:rPr>
          <w:lang w:val="fr-FR"/>
        </w:rPr>
        <w:t>envers les manifestants BLM eux-mêmes</w:t>
      </w:r>
      <w:r w:rsidRPr="00CD6B67">
        <w:rPr>
          <w:rStyle w:val="FootnoteReference"/>
        </w:rPr>
        <w:footnoteReference w:id="533"/>
      </w:r>
      <w:r w:rsidRPr="00293268">
        <w:rPr>
          <w:lang w:val="fr-FR"/>
        </w:rPr>
        <w:t xml:space="preserve"> </w:t>
      </w:r>
      <w:r w:rsidRPr="00E04C2A">
        <w:rPr>
          <w:lang w:val="fr-FR"/>
        </w:rPr>
        <w:t xml:space="preserve">et les jeunes </w:t>
      </w:r>
      <w:r w:rsidR="003A6E21">
        <w:rPr>
          <w:lang w:val="fr-FR"/>
        </w:rPr>
        <w:t>N</w:t>
      </w:r>
      <w:r w:rsidRPr="00E04C2A">
        <w:rPr>
          <w:lang w:val="fr-FR"/>
        </w:rPr>
        <w:t>oirs étaient beaucoup plus susceptibles que leurs homologues blancs d</w:t>
      </w:r>
      <w:r>
        <w:rPr>
          <w:lang w:val="fr-FR"/>
        </w:rPr>
        <w:t>’</w:t>
      </w:r>
      <w:r w:rsidRPr="00E04C2A">
        <w:rPr>
          <w:lang w:val="fr-FR"/>
        </w:rPr>
        <w:t>être arrêtés, victimes d</w:t>
      </w:r>
      <w:r>
        <w:rPr>
          <w:lang w:val="fr-FR"/>
        </w:rPr>
        <w:t>’</w:t>
      </w:r>
      <w:r w:rsidRPr="00E04C2A">
        <w:rPr>
          <w:lang w:val="fr-FR"/>
        </w:rPr>
        <w:t>une force excessive et de faire l</w:t>
      </w:r>
      <w:r>
        <w:rPr>
          <w:lang w:val="fr-FR"/>
        </w:rPr>
        <w:t>’</w:t>
      </w:r>
      <w:r w:rsidRPr="00E04C2A">
        <w:rPr>
          <w:lang w:val="fr-FR"/>
        </w:rPr>
        <w:t>objet d</w:t>
      </w:r>
      <w:r>
        <w:rPr>
          <w:lang w:val="fr-FR"/>
        </w:rPr>
        <w:t>’</w:t>
      </w:r>
      <w:r w:rsidRPr="00E04C2A">
        <w:rPr>
          <w:lang w:val="fr-FR"/>
        </w:rPr>
        <w:t>interpellations et de fouilles pendant et après les manifestations</w:t>
      </w:r>
      <w:r w:rsidRPr="00CD6B67">
        <w:rPr>
          <w:rStyle w:val="FootnoteReference"/>
        </w:rPr>
        <w:footnoteReference w:id="534"/>
      </w:r>
      <w:r>
        <w:rPr>
          <w:lang w:val="fr-FR"/>
        </w:rPr>
        <w:t>.</w:t>
      </w:r>
    </w:p>
    <w:p w14:paraId="5A558352" w14:textId="42435334" w:rsidR="00D301C6" w:rsidRPr="00293268" w:rsidRDefault="00D301C6" w:rsidP="003A6E21">
      <w:pPr>
        <w:pStyle w:val="H23G"/>
        <w:rPr>
          <w:lang w:val="fr-FR"/>
        </w:rPr>
      </w:pPr>
      <w:bookmarkStart w:id="1054" w:name="_Toc70504380"/>
      <w:bookmarkStart w:id="1055" w:name="_Toc71215005"/>
      <w:bookmarkStart w:id="1056" w:name="_Toc71575366"/>
      <w:bookmarkStart w:id="1057" w:name="_Toc71666281"/>
      <w:bookmarkStart w:id="1058" w:name="_Toc74922967"/>
      <w:bookmarkEnd w:id="1054"/>
      <w:bookmarkEnd w:id="1055"/>
      <w:bookmarkEnd w:id="1056"/>
      <w:bookmarkEnd w:id="1057"/>
      <w:r w:rsidRPr="00293268">
        <w:rPr>
          <w:lang w:val="fr-FR"/>
        </w:rPr>
        <w:tab/>
        <w:t>3.</w:t>
      </w:r>
      <w:r w:rsidRPr="00293268">
        <w:rPr>
          <w:lang w:val="fr-FR"/>
        </w:rPr>
        <w:tab/>
      </w:r>
      <w:bookmarkEnd w:id="1058"/>
      <w:r w:rsidRPr="00A07244">
        <w:rPr>
          <w:lang w:val="fr-FR"/>
        </w:rPr>
        <w:t xml:space="preserve">Riposte fortement militarisée aux manifestations et déploiement de représentants </w:t>
      </w:r>
      <w:r w:rsidR="00330201">
        <w:rPr>
          <w:lang w:val="fr-FR"/>
        </w:rPr>
        <w:br/>
      </w:r>
      <w:r w:rsidRPr="00A07244">
        <w:rPr>
          <w:lang w:val="fr-FR"/>
        </w:rPr>
        <w:t>des forces de l</w:t>
      </w:r>
      <w:r>
        <w:rPr>
          <w:lang w:val="fr-FR"/>
        </w:rPr>
        <w:t>’</w:t>
      </w:r>
      <w:r w:rsidRPr="00A07244">
        <w:rPr>
          <w:lang w:val="fr-FR"/>
        </w:rPr>
        <w:t>ordre sans matricule</w:t>
      </w:r>
    </w:p>
    <w:p w14:paraId="1D9BB7B5" w14:textId="67056727" w:rsidR="00D301C6" w:rsidRPr="00293268" w:rsidRDefault="00D301C6" w:rsidP="00D301C6">
      <w:pPr>
        <w:pStyle w:val="SingleTxtG"/>
        <w:rPr>
          <w:lang w:val="fr-FR"/>
        </w:rPr>
      </w:pPr>
      <w:r w:rsidRPr="00293268">
        <w:rPr>
          <w:lang w:val="fr-FR"/>
        </w:rPr>
        <w:t>206.</w:t>
      </w:r>
      <w:r w:rsidRPr="00293268">
        <w:rPr>
          <w:lang w:val="fr-FR"/>
        </w:rPr>
        <w:tab/>
      </w:r>
      <w:r>
        <w:rPr>
          <w:lang w:val="fr-FR"/>
        </w:rPr>
        <w:t>Des</w:t>
      </w:r>
      <w:r w:rsidRPr="00C81494">
        <w:rPr>
          <w:lang w:val="fr-FR"/>
        </w:rPr>
        <w:t xml:space="preserve"> ripostes militarisées à des manifestations contre le racisme ont été signalées aux États</w:t>
      </w:r>
      <w:r w:rsidR="00884BCB">
        <w:rPr>
          <w:lang w:val="fr-FR"/>
        </w:rPr>
        <w:noBreakHyphen/>
      </w:r>
      <w:r w:rsidRPr="00C81494">
        <w:rPr>
          <w:lang w:val="fr-FR"/>
        </w:rPr>
        <w:t xml:space="preserve">Unis, ce qui a conduit certaines personnes à comparer ces </w:t>
      </w:r>
      <w:r>
        <w:rPr>
          <w:lang w:val="fr-FR"/>
        </w:rPr>
        <w:t>situation</w:t>
      </w:r>
      <w:r w:rsidRPr="00C81494">
        <w:rPr>
          <w:lang w:val="fr-FR"/>
        </w:rPr>
        <w:t>s aux conditions régnant dans les zones de guerre et a suscité l</w:t>
      </w:r>
      <w:r>
        <w:rPr>
          <w:lang w:val="fr-FR"/>
        </w:rPr>
        <w:t>’</w:t>
      </w:r>
      <w:r w:rsidRPr="00C81494">
        <w:rPr>
          <w:lang w:val="fr-FR"/>
        </w:rPr>
        <w:t>inquiétude des mécanismes des droits de l</w:t>
      </w:r>
      <w:r>
        <w:rPr>
          <w:lang w:val="fr-FR"/>
        </w:rPr>
        <w:t>’</w:t>
      </w:r>
      <w:r w:rsidRPr="00C81494">
        <w:rPr>
          <w:lang w:val="fr-FR"/>
        </w:rPr>
        <w:t>homme de l</w:t>
      </w:r>
      <w:r>
        <w:rPr>
          <w:lang w:val="fr-FR"/>
        </w:rPr>
        <w:t>’</w:t>
      </w:r>
      <w:r w:rsidRPr="00C81494">
        <w:rPr>
          <w:lang w:val="fr-FR"/>
        </w:rPr>
        <w:t>ONU, des ONG et d</w:t>
      </w:r>
      <w:r>
        <w:rPr>
          <w:lang w:val="fr-FR"/>
        </w:rPr>
        <w:t>’</w:t>
      </w:r>
      <w:r w:rsidRPr="00C81494">
        <w:rPr>
          <w:lang w:val="fr-FR"/>
        </w:rPr>
        <w:t>autres acteurs (voir plus largement la question de la militarisation des forces de l</w:t>
      </w:r>
      <w:r>
        <w:rPr>
          <w:lang w:val="fr-FR"/>
        </w:rPr>
        <w:t>’</w:t>
      </w:r>
      <w:r w:rsidRPr="00C81494">
        <w:rPr>
          <w:lang w:val="fr-FR"/>
        </w:rPr>
        <w:t xml:space="preserve">ordre </w:t>
      </w:r>
      <w:r>
        <w:rPr>
          <w:lang w:val="fr-FR"/>
        </w:rPr>
        <w:t xml:space="preserve">à </w:t>
      </w:r>
      <w:r w:rsidRPr="00C81494">
        <w:rPr>
          <w:lang w:val="fr-FR"/>
        </w:rPr>
        <w:t>la section III</w:t>
      </w:r>
      <w:r w:rsidRPr="00293268">
        <w:rPr>
          <w:lang w:val="fr-FR"/>
        </w:rPr>
        <w:t>)</w:t>
      </w:r>
      <w:r w:rsidRPr="00CD6B67">
        <w:rPr>
          <w:rStyle w:val="FootnoteReference"/>
        </w:rPr>
        <w:footnoteReference w:id="535"/>
      </w:r>
      <w:r>
        <w:rPr>
          <w:lang w:val="fr-FR"/>
        </w:rPr>
        <w:t>.</w:t>
      </w:r>
      <w:r w:rsidRPr="00293268">
        <w:rPr>
          <w:lang w:val="fr-FR"/>
        </w:rPr>
        <w:t xml:space="preserve"> </w:t>
      </w:r>
      <w:r w:rsidRPr="009B2C6F">
        <w:rPr>
          <w:lang w:val="fr-FR"/>
        </w:rPr>
        <w:t xml:space="preserve">Dans certains cas, selon les informations, les agents des </w:t>
      </w:r>
      <w:r>
        <w:rPr>
          <w:lang w:val="fr-FR"/>
        </w:rPr>
        <w:t>services de répression</w:t>
      </w:r>
      <w:r w:rsidRPr="009B2C6F">
        <w:rPr>
          <w:lang w:val="fr-FR"/>
        </w:rPr>
        <w:t xml:space="preserve"> étaient équipés d</w:t>
      </w:r>
      <w:r>
        <w:rPr>
          <w:lang w:val="fr-FR"/>
        </w:rPr>
        <w:t>’</w:t>
      </w:r>
      <w:r w:rsidRPr="009B2C6F">
        <w:rPr>
          <w:lang w:val="fr-FR"/>
        </w:rPr>
        <w:t xml:space="preserve">une manière plus appropriée pour un champ de bataille, utilisant des armes de </w:t>
      </w:r>
      <w:r>
        <w:rPr>
          <w:lang w:val="fr-FR"/>
        </w:rPr>
        <w:t>type</w:t>
      </w:r>
      <w:r w:rsidRPr="009B2C6F">
        <w:rPr>
          <w:lang w:val="fr-FR"/>
        </w:rPr>
        <w:t xml:space="preserve"> militaire et créant un</w:t>
      </w:r>
      <w:r>
        <w:rPr>
          <w:lang w:val="fr-FR"/>
        </w:rPr>
        <w:t xml:space="preserve"> climat </w:t>
      </w:r>
      <w:r w:rsidRPr="009B2C6F">
        <w:rPr>
          <w:lang w:val="fr-FR"/>
        </w:rPr>
        <w:t xml:space="preserve">de peur et de terreur conflictuel et intimidant dans </w:t>
      </w:r>
      <w:r>
        <w:rPr>
          <w:lang w:val="fr-FR"/>
        </w:rPr>
        <w:t>plusieurs</w:t>
      </w:r>
      <w:r w:rsidRPr="009B2C6F">
        <w:rPr>
          <w:lang w:val="fr-FR"/>
        </w:rPr>
        <w:t xml:space="preserve"> villes </w:t>
      </w:r>
      <w:r>
        <w:rPr>
          <w:lang w:val="fr-FR"/>
        </w:rPr>
        <w:t>du</w:t>
      </w:r>
      <w:r w:rsidRPr="009B2C6F">
        <w:rPr>
          <w:lang w:val="fr-FR"/>
        </w:rPr>
        <w:t xml:space="preserve"> pays</w:t>
      </w:r>
      <w:r w:rsidRPr="00CD6B67">
        <w:rPr>
          <w:rStyle w:val="FootnoteReference"/>
        </w:rPr>
        <w:footnoteReference w:id="536"/>
      </w:r>
      <w:r>
        <w:rPr>
          <w:lang w:val="fr-FR"/>
        </w:rPr>
        <w:t xml:space="preserve">. </w:t>
      </w:r>
      <w:r w:rsidRPr="00FF4945">
        <w:rPr>
          <w:lang w:val="fr-FR"/>
        </w:rPr>
        <w:t xml:space="preserve">En réponse à certaines manifestations, </w:t>
      </w:r>
      <w:r>
        <w:rPr>
          <w:lang w:val="fr-FR"/>
        </w:rPr>
        <w:t xml:space="preserve">des agents de </w:t>
      </w:r>
      <w:r w:rsidRPr="00FF4945">
        <w:rPr>
          <w:lang w:val="fr-FR"/>
        </w:rPr>
        <w:t>la Garde nationale et fédéraux, apparemment sans formation adéquate sur les techniques de maintien de l</w:t>
      </w:r>
      <w:r>
        <w:rPr>
          <w:lang w:val="fr-FR"/>
        </w:rPr>
        <w:t>’</w:t>
      </w:r>
      <w:r w:rsidRPr="00FF4945">
        <w:rPr>
          <w:lang w:val="fr-FR"/>
        </w:rPr>
        <w:t xml:space="preserve">ordre en situation de manifestations, ont été déployés. Selon une communication, certains agents ont agressé des manifestants, tiré sans discernement des munitions moins létales et des gaz lacrymogènes </w:t>
      </w:r>
      <w:r>
        <w:rPr>
          <w:lang w:val="fr-FR"/>
        </w:rPr>
        <w:t>sur</w:t>
      </w:r>
      <w:r w:rsidRPr="00FF4945">
        <w:rPr>
          <w:lang w:val="fr-FR"/>
        </w:rPr>
        <w:t xml:space="preserve"> des foules non violentes et </w:t>
      </w:r>
      <w:r>
        <w:rPr>
          <w:lang w:val="fr-FR"/>
        </w:rPr>
        <w:t>procédé à des placements en détention</w:t>
      </w:r>
      <w:r w:rsidRPr="00FF4945">
        <w:rPr>
          <w:lang w:val="fr-FR"/>
        </w:rPr>
        <w:t xml:space="preserve"> sans motif valable</w:t>
      </w:r>
      <w:r w:rsidRPr="00CD6B67">
        <w:rPr>
          <w:rStyle w:val="FootnoteReference"/>
        </w:rPr>
        <w:footnoteReference w:id="537"/>
      </w:r>
      <w:r>
        <w:rPr>
          <w:lang w:val="fr-FR"/>
        </w:rPr>
        <w:t>.</w:t>
      </w:r>
    </w:p>
    <w:p w14:paraId="79E36933" w14:textId="77777777" w:rsidR="00D301C6" w:rsidRPr="00293268" w:rsidRDefault="00D301C6" w:rsidP="00D301C6">
      <w:pPr>
        <w:pStyle w:val="SingleTxtG"/>
        <w:rPr>
          <w:lang w:val="fr-FR"/>
        </w:rPr>
      </w:pPr>
      <w:r w:rsidRPr="00293268">
        <w:rPr>
          <w:lang w:val="fr-FR"/>
        </w:rPr>
        <w:t>207.</w:t>
      </w:r>
      <w:r w:rsidRPr="00293268">
        <w:rPr>
          <w:lang w:val="fr-FR"/>
        </w:rPr>
        <w:tab/>
      </w:r>
      <w:r w:rsidRPr="007B7C5A">
        <w:rPr>
          <w:lang w:val="fr-FR"/>
        </w:rPr>
        <w:t>En outre, dans certaines villes des États-Unis</w:t>
      </w:r>
      <w:r>
        <w:rPr>
          <w:lang w:val="fr-FR"/>
        </w:rPr>
        <w:t xml:space="preserve">, </w:t>
      </w:r>
      <w:r w:rsidRPr="002E77FC">
        <w:rPr>
          <w:lang w:val="fr-FR"/>
        </w:rPr>
        <w:t>des agents des forces de l’ordre auraient été déployés sans matricule</w:t>
      </w:r>
      <w:r w:rsidRPr="00CD6B67">
        <w:rPr>
          <w:rStyle w:val="FootnoteReference"/>
        </w:rPr>
        <w:footnoteReference w:id="538"/>
      </w:r>
      <w:r>
        <w:rPr>
          <w:lang w:val="fr-FR"/>
        </w:rPr>
        <w:t>,</w:t>
      </w:r>
      <w:r w:rsidRPr="00293268">
        <w:rPr>
          <w:lang w:val="fr-FR"/>
        </w:rPr>
        <w:t xml:space="preserve"> </w:t>
      </w:r>
      <w:r w:rsidRPr="00970EAA">
        <w:rPr>
          <w:lang w:val="fr-FR"/>
        </w:rPr>
        <w:t xml:space="preserve">notamment des agents fédéraux en tenue de camouflage et en uniforme de </w:t>
      </w:r>
      <w:r>
        <w:rPr>
          <w:lang w:val="fr-FR"/>
        </w:rPr>
        <w:t>type</w:t>
      </w:r>
      <w:r w:rsidRPr="00970EAA">
        <w:rPr>
          <w:lang w:val="fr-FR"/>
        </w:rPr>
        <w:t xml:space="preserve"> militaire</w:t>
      </w:r>
      <w:r>
        <w:rPr>
          <w:lang w:val="fr-FR"/>
        </w:rPr>
        <w:t>,</w:t>
      </w:r>
      <w:r w:rsidRPr="00970EAA">
        <w:rPr>
          <w:lang w:val="fr-FR"/>
        </w:rPr>
        <w:t xml:space="preserve"> sans </w:t>
      </w:r>
      <w:r>
        <w:rPr>
          <w:lang w:val="fr-FR"/>
        </w:rPr>
        <w:t xml:space="preserve">insigne </w:t>
      </w:r>
      <w:r w:rsidRPr="00970EAA">
        <w:rPr>
          <w:lang w:val="fr-FR"/>
        </w:rPr>
        <w:t>visible</w:t>
      </w:r>
      <w:r w:rsidRPr="00CD6B67">
        <w:rPr>
          <w:rStyle w:val="FootnoteReference"/>
        </w:rPr>
        <w:footnoteReference w:id="539"/>
      </w:r>
      <w:r>
        <w:rPr>
          <w:lang w:val="fr-FR"/>
        </w:rPr>
        <w:t>.</w:t>
      </w:r>
      <w:r w:rsidRPr="00293268">
        <w:rPr>
          <w:lang w:val="fr-FR"/>
        </w:rPr>
        <w:t xml:space="preserve"> </w:t>
      </w:r>
      <w:r w:rsidRPr="00177369">
        <w:rPr>
          <w:lang w:val="fr-FR"/>
        </w:rPr>
        <w:t xml:space="preserve">Dans plusieurs villes des États-Unis, des agents fédéraux auraient utilisé des véhicules banalisés pour patrouiller et appréhender </w:t>
      </w:r>
      <w:r>
        <w:rPr>
          <w:lang w:val="fr-FR"/>
        </w:rPr>
        <w:t>d</w:t>
      </w:r>
      <w:r w:rsidRPr="00177369">
        <w:rPr>
          <w:lang w:val="fr-FR"/>
        </w:rPr>
        <w:t xml:space="preserve">es manifestants, </w:t>
      </w:r>
      <w:r>
        <w:rPr>
          <w:lang w:val="fr-FR"/>
        </w:rPr>
        <w:t>ce qui a rendu</w:t>
      </w:r>
      <w:r w:rsidRPr="00177369">
        <w:rPr>
          <w:lang w:val="fr-FR"/>
        </w:rPr>
        <w:t xml:space="preserve"> </w:t>
      </w:r>
      <w:r>
        <w:rPr>
          <w:lang w:val="fr-FR"/>
        </w:rPr>
        <w:t>leur identification</w:t>
      </w:r>
      <w:r w:rsidRPr="00813782">
        <w:rPr>
          <w:lang w:val="fr-FR"/>
        </w:rPr>
        <w:t xml:space="preserve"> </w:t>
      </w:r>
      <w:r w:rsidRPr="007239CE">
        <w:rPr>
          <w:lang w:val="fr-FR"/>
        </w:rPr>
        <w:t>difficile</w:t>
      </w:r>
      <w:r w:rsidRPr="00CD6B67">
        <w:rPr>
          <w:rStyle w:val="FootnoteReference"/>
        </w:rPr>
        <w:footnoteReference w:id="540"/>
      </w:r>
      <w:r w:rsidRPr="00293268">
        <w:rPr>
          <w:lang w:val="fr-FR"/>
        </w:rPr>
        <w:t xml:space="preserve"> </w:t>
      </w:r>
      <w:r>
        <w:rPr>
          <w:lang w:val="fr-FR"/>
        </w:rPr>
        <w:t>et, dans certains cas,</w:t>
      </w:r>
      <w:r w:rsidRPr="00293268">
        <w:rPr>
          <w:lang w:val="fr-FR"/>
        </w:rPr>
        <w:t xml:space="preserve"> </w:t>
      </w:r>
      <w:r>
        <w:rPr>
          <w:lang w:val="fr-FR"/>
        </w:rPr>
        <w:t>a placé les détenus</w:t>
      </w:r>
      <w:r w:rsidRPr="00293268">
        <w:rPr>
          <w:lang w:val="fr-FR"/>
        </w:rPr>
        <w:t xml:space="preserve"> </w:t>
      </w:r>
      <w:r w:rsidRPr="00D04DF8">
        <w:rPr>
          <w:lang w:val="fr-FR"/>
        </w:rPr>
        <w:t>en dehors de la pleine protection de la loi</w:t>
      </w:r>
      <w:r>
        <w:rPr>
          <w:lang w:val="fr-FR"/>
        </w:rPr>
        <w:t>, en plus de les exposer à</w:t>
      </w:r>
      <w:r w:rsidRPr="00D04DF8">
        <w:rPr>
          <w:lang w:val="fr-FR"/>
        </w:rPr>
        <w:t xml:space="preserve"> des risques de détention arbitraire et d</w:t>
      </w:r>
      <w:r>
        <w:rPr>
          <w:lang w:val="fr-FR"/>
        </w:rPr>
        <w:t>’</w:t>
      </w:r>
      <w:r w:rsidRPr="00D04DF8">
        <w:rPr>
          <w:lang w:val="fr-FR"/>
        </w:rPr>
        <w:t xml:space="preserve">autres violations des droits </w:t>
      </w:r>
      <w:r>
        <w:rPr>
          <w:lang w:val="fr-FR"/>
        </w:rPr>
        <w:t>de l’homme</w:t>
      </w:r>
      <w:r w:rsidRPr="00CD6B67">
        <w:rPr>
          <w:rStyle w:val="FootnoteReference"/>
        </w:rPr>
        <w:footnoteReference w:id="541"/>
      </w:r>
      <w:r>
        <w:rPr>
          <w:lang w:val="fr-FR"/>
        </w:rPr>
        <w:t>.</w:t>
      </w:r>
    </w:p>
    <w:p w14:paraId="2447D08D" w14:textId="2BDBD5FF" w:rsidR="00D301C6" w:rsidRPr="00293268" w:rsidRDefault="00D301C6" w:rsidP="00D301C6">
      <w:pPr>
        <w:pStyle w:val="H23G"/>
        <w:rPr>
          <w:lang w:val="fr-FR"/>
        </w:rPr>
      </w:pPr>
      <w:bookmarkStart w:id="1060" w:name="_Toc74922968"/>
      <w:bookmarkStart w:id="1061" w:name="_Toc62556535"/>
      <w:bookmarkStart w:id="1062" w:name="_Toc62562320"/>
      <w:r w:rsidRPr="00293268">
        <w:rPr>
          <w:lang w:val="fr-FR"/>
        </w:rPr>
        <w:tab/>
        <w:t>4.</w:t>
      </w:r>
      <w:r w:rsidRPr="00293268">
        <w:rPr>
          <w:lang w:val="fr-FR"/>
        </w:rPr>
        <w:tab/>
      </w:r>
      <w:bookmarkEnd w:id="1060"/>
      <w:r w:rsidRPr="009E121A">
        <w:rPr>
          <w:lang w:val="fr-FR"/>
        </w:rPr>
        <w:t>Utilisation d</w:t>
      </w:r>
      <w:r>
        <w:rPr>
          <w:lang w:val="fr-FR"/>
        </w:rPr>
        <w:t>’</w:t>
      </w:r>
      <w:r w:rsidRPr="009E121A">
        <w:rPr>
          <w:lang w:val="fr-FR"/>
        </w:rPr>
        <w:t>outils de surveillance et d</w:t>
      </w:r>
      <w:r>
        <w:rPr>
          <w:lang w:val="fr-FR"/>
        </w:rPr>
        <w:t>’</w:t>
      </w:r>
      <w:r w:rsidRPr="009E121A">
        <w:rPr>
          <w:lang w:val="fr-FR"/>
        </w:rPr>
        <w:t xml:space="preserve">autres technologies </w:t>
      </w:r>
      <w:r w:rsidR="00330201">
        <w:rPr>
          <w:lang w:val="fr-FR"/>
        </w:rPr>
        <w:br/>
      </w:r>
      <w:r w:rsidRPr="009E121A">
        <w:rPr>
          <w:lang w:val="fr-FR"/>
        </w:rPr>
        <w:t>pour contrôler les manifestations</w:t>
      </w:r>
    </w:p>
    <w:p w14:paraId="721870FC" w14:textId="24B9E090" w:rsidR="00D301C6" w:rsidRPr="00293268" w:rsidRDefault="00D301C6" w:rsidP="00D301C6">
      <w:pPr>
        <w:pStyle w:val="SingleTxtG"/>
        <w:rPr>
          <w:lang w:val="fr-FR"/>
        </w:rPr>
      </w:pPr>
      <w:r w:rsidRPr="00293268">
        <w:rPr>
          <w:lang w:val="fr-FR"/>
        </w:rPr>
        <w:t>208.</w:t>
      </w:r>
      <w:r w:rsidRPr="00293268">
        <w:rPr>
          <w:lang w:val="fr-FR"/>
        </w:rPr>
        <w:tab/>
      </w:r>
      <w:r w:rsidRPr="00A62A57">
        <w:rPr>
          <w:lang w:val="fr-FR"/>
        </w:rPr>
        <w:t>Le recours à des outils de surveillance et d</w:t>
      </w:r>
      <w:r>
        <w:rPr>
          <w:lang w:val="fr-FR"/>
        </w:rPr>
        <w:t>’</w:t>
      </w:r>
      <w:r w:rsidRPr="00A62A57">
        <w:rPr>
          <w:lang w:val="fr-FR"/>
        </w:rPr>
        <w:t>autres technologies pour contrôler les manifestations et les manifestants fait également partie des sujets de préoccupation soulevés</w:t>
      </w:r>
      <w:r w:rsidRPr="00CD6B67">
        <w:rPr>
          <w:rStyle w:val="FootnoteReference"/>
        </w:rPr>
        <w:footnoteReference w:id="542"/>
      </w:r>
      <w:r>
        <w:rPr>
          <w:lang w:val="fr-FR"/>
        </w:rPr>
        <w:t>.</w:t>
      </w:r>
      <w:r w:rsidRPr="00293268">
        <w:rPr>
          <w:lang w:val="fr-FR"/>
        </w:rPr>
        <w:t xml:space="preserve"> </w:t>
      </w:r>
      <w:r w:rsidRPr="00355ED9">
        <w:rPr>
          <w:lang w:val="fr-FR"/>
        </w:rPr>
        <w:t>Ainsi, dans certaines villes des États-Unis, des drones, des avions, des hélicoptères et des vidéo</w:t>
      </w:r>
      <w:r>
        <w:rPr>
          <w:lang w:val="fr-FR"/>
        </w:rPr>
        <w:t>s</w:t>
      </w:r>
      <w:r w:rsidRPr="00355ED9">
        <w:rPr>
          <w:lang w:val="fr-FR"/>
        </w:rPr>
        <w:t xml:space="preserve"> capturées par des «</w:t>
      </w:r>
      <w:r w:rsidR="00D84C97">
        <w:rPr>
          <w:lang w:val="fr-FR"/>
        </w:rPr>
        <w:t> </w:t>
      </w:r>
      <w:r w:rsidRPr="00355ED9">
        <w:rPr>
          <w:lang w:val="fr-FR"/>
        </w:rPr>
        <w:t>lampadaires intelligents</w:t>
      </w:r>
      <w:r w:rsidR="00D84C97">
        <w:rPr>
          <w:lang w:val="fr-FR"/>
        </w:rPr>
        <w:t> </w:t>
      </w:r>
      <w:r w:rsidRPr="00355ED9">
        <w:rPr>
          <w:lang w:val="fr-FR"/>
        </w:rPr>
        <w:t>» installés pour surveiller la circulation et les conditions environnementales, auraient été utilisés pour surveiller les manifestations contre le racisme</w:t>
      </w:r>
      <w:r w:rsidRPr="00CD6B67">
        <w:rPr>
          <w:rStyle w:val="FootnoteReference"/>
        </w:rPr>
        <w:footnoteReference w:id="543"/>
      </w:r>
      <w:r>
        <w:rPr>
          <w:lang w:val="fr-FR"/>
        </w:rPr>
        <w:t>.</w:t>
      </w:r>
      <w:r w:rsidRPr="00293268">
        <w:rPr>
          <w:lang w:val="fr-FR"/>
        </w:rPr>
        <w:t xml:space="preserve"> </w:t>
      </w:r>
      <w:r w:rsidRPr="00811D5F">
        <w:rPr>
          <w:lang w:val="fr-FR"/>
        </w:rPr>
        <w:t>Les données de Twitter et d</w:t>
      </w:r>
      <w:r>
        <w:rPr>
          <w:lang w:val="fr-FR"/>
        </w:rPr>
        <w:t>’</w:t>
      </w:r>
      <w:r w:rsidRPr="00811D5F">
        <w:rPr>
          <w:lang w:val="fr-FR"/>
        </w:rPr>
        <w:t xml:space="preserve">autres médias sociaux auraient été utilisées pour obtenir des </w:t>
      </w:r>
      <w:r>
        <w:rPr>
          <w:lang w:val="fr-FR"/>
        </w:rPr>
        <w:t>informations</w:t>
      </w:r>
      <w:r w:rsidRPr="00811D5F">
        <w:rPr>
          <w:lang w:val="fr-FR"/>
        </w:rPr>
        <w:t xml:space="preserve"> de localisation</w:t>
      </w:r>
      <w:r w:rsidRPr="00CD6B67">
        <w:rPr>
          <w:rStyle w:val="FootnoteReference"/>
        </w:rPr>
        <w:footnoteReference w:id="544"/>
      </w:r>
      <w:r>
        <w:rPr>
          <w:lang w:val="fr-FR"/>
        </w:rPr>
        <w:t>.</w:t>
      </w:r>
      <w:r w:rsidRPr="00293268">
        <w:rPr>
          <w:lang w:val="fr-FR"/>
        </w:rPr>
        <w:t xml:space="preserve"> </w:t>
      </w:r>
      <w:r w:rsidRPr="00445B4B">
        <w:rPr>
          <w:lang w:val="fr-FR"/>
        </w:rPr>
        <w:t xml:space="preserve">Selon </w:t>
      </w:r>
      <w:r>
        <w:rPr>
          <w:lang w:val="fr-FR"/>
        </w:rPr>
        <w:t>des</w:t>
      </w:r>
      <w:r w:rsidRPr="00445B4B">
        <w:rPr>
          <w:lang w:val="fr-FR"/>
        </w:rPr>
        <w:t xml:space="preserve"> informations, la société Dataminr, qui bénéficie d</w:t>
      </w:r>
      <w:r>
        <w:rPr>
          <w:lang w:val="fr-FR"/>
        </w:rPr>
        <w:t>’</w:t>
      </w:r>
      <w:r w:rsidRPr="00445B4B">
        <w:rPr>
          <w:lang w:val="fr-FR"/>
        </w:rPr>
        <w:t xml:space="preserve">un accès en temps réel à tous les </w:t>
      </w:r>
      <w:r>
        <w:rPr>
          <w:lang w:val="fr-FR"/>
        </w:rPr>
        <w:t>messages</w:t>
      </w:r>
      <w:r w:rsidRPr="00445B4B">
        <w:rPr>
          <w:lang w:val="fr-FR"/>
        </w:rPr>
        <w:t xml:space="preserve"> sur Twitter, </w:t>
      </w:r>
      <w:r>
        <w:rPr>
          <w:lang w:val="fr-FR"/>
        </w:rPr>
        <w:t>aurait</w:t>
      </w:r>
      <w:r w:rsidRPr="00445B4B">
        <w:rPr>
          <w:lang w:val="fr-FR"/>
        </w:rPr>
        <w:t xml:space="preserve"> vendu aux forces de l</w:t>
      </w:r>
      <w:r>
        <w:rPr>
          <w:lang w:val="fr-FR"/>
        </w:rPr>
        <w:t>’</w:t>
      </w:r>
      <w:r w:rsidRPr="00445B4B">
        <w:rPr>
          <w:lang w:val="fr-FR"/>
        </w:rPr>
        <w:t xml:space="preserve">ordre </w:t>
      </w:r>
      <w:r w:rsidR="00A076B2">
        <w:rPr>
          <w:lang w:val="fr-FR"/>
        </w:rPr>
        <w:t xml:space="preserve">américaines </w:t>
      </w:r>
      <w:r w:rsidRPr="00445B4B">
        <w:rPr>
          <w:lang w:val="fr-FR"/>
        </w:rPr>
        <w:t>un droit d</w:t>
      </w:r>
      <w:r>
        <w:rPr>
          <w:lang w:val="fr-FR"/>
        </w:rPr>
        <w:t>’</w:t>
      </w:r>
      <w:r w:rsidRPr="00445B4B">
        <w:rPr>
          <w:lang w:val="fr-FR"/>
        </w:rPr>
        <w:t xml:space="preserve">accès à des données sur les manifestations contre le racisme, </w:t>
      </w:r>
      <w:r>
        <w:rPr>
          <w:lang w:val="fr-FR"/>
        </w:rPr>
        <w:t xml:space="preserve">en particulier des </w:t>
      </w:r>
      <w:r w:rsidRPr="00445B4B">
        <w:rPr>
          <w:lang w:val="fr-FR"/>
        </w:rPr>
        <w:t xml:space="preserve">données </w:t>
      </w:r>
      <w:r>
        <w:rPr>
          <w:lang w:val="fr-FR"/>
        </w:rPr>
        <w:t>permettant de localiser des</w:t>
      </w:r>
      <w:r w:rsidRPr="00445B4B">
        <w:rPr>
          <w:lang w:val="fr-FR"/>
        </w:rPr>
        <w:t xml:space="preserve"> manifestants pacifiques</w:t>
      </w:r>
      <w:r w:rsidRPr="00CD6B67">
        <w:rPr>
          <w:rStyle w:val="FootnoteReference"/>
        </w:rPr>
        <w:footnoteReference w:id="545"/>
      </w:r>
      <w:r>
        <w:rPr>
          <w:lang w:val="fr-FR"/>
        </w:rPr>
        <w:t>.</w:t>
      </w:r>
    </w:p>
    <w:p w14:paraId="2EB3637E" w14:textId="77777777" w:rsidR="00D301C6" w:rsidRPr="00293268" w:rsidRDefault="00D301C6" w:rsidP="00D301C6">
      <w:pPr>
        <w:pStyle w:val="H23G"/>
        <w:rPr>
          <w:lang w:val="fr-FR"/>
        </w:rPr>
      </w:pPr>
      <w:bookmarkStart w:id="1063" w:name="_Toc71666285"/>
      <w:bookmarkStart w:id="1064" w:name="_Toc62556536"/>
      <w:bookmarkStart w:id="1065" w:name="_Toc62562321"/>
      <w:bookmarkStart w:id="1066" w:name="_Toc74922969"/>
      <w:bookmarkEnd w:id="1061"/>
      <w:bookmarkEnd w:id="1062"/>
      <w:bookmarkEnd w:id="1063"/>
      <w:r w:rsidRPr="00293268">
        <w:rPr>
          <w:lang w:val="fr-FR"/>
        </w:rPr>
        <w:tab/>
        <w:t>5.</w:t>
      </w:r>
      <w:r w:rsidRPr="00293268">
        <w:rPr>
          <w:lang w:val="fr-FR"/>
        </w:rPr>
        <w:tab/>
      </w:r>
      <w:bookmarkEnd w:id="1064"/>
      <w:bookmarkEnd w:id="1065"/>
      <w:bookmarkEnd w:id="1066"/>
      <w:r w:rsidRPr="00451100">
        <w:rPr>
          <w:lang w:val="fr-FR"/>
        </w:rPr>
        <w:t xml:space="preserve">Ampleur des arrestations et </w:t>
      </w:r>
      <w:r>
        <w:rPr>
          <w:lang w:val="fr-FR"/>
        </w:rPr>
        <w:t xml:space="preserve">des placements en </w:t>
      </w:r>
      <w:r w:rsidRPr="00451100">
        <w:rPr>
          <w:lang w:val="fr-FR"/>
        </w:rPr>
        <w:t>détention de manifestants</w:t>
      </w:r>
    </w:p>
    <w:p w14:paraId="32FC9AA3" w14:textId="76175FBB" w:rsidR="00D301C6" w:rsidRPr="00293268" w:rsidRDefault="00D301C6" w:rsidP="00D301C6">
      <w:pPr>
        <w:pStyle w:val="SingleTxtG"/>
        <w:rPr>
          <w:lang w:val="fr-FR"/>
        </w:rPr>
      </w:pPr>
      <w:r w:rsidRPr="00293268">
        <w:rPr>
          <w:lang w:val="fr-FR"/>
        </w:rPr>
        <w:t>209.</w:t>
      </w:r>
      <w:r w:rsidRPr="00293268">
        <w:rPr>
          <w:lang w:val="fr-FR"/>
        </w:rPr>
        <w:tab/>
      </w:r>
      <w:r w:rsidRPr="00D028A3">
        <w:rPr>
          <w:lang w:val="fr-FR"/>
        </w:rPr>
        <w:t>Une autre tendance inquiétante mise en lumière dans les communications reçues concerne le nombre élevé de manifestants arrêtés et placés en détention lors des manifestations contre le racisme</w:t>
      </w:r>
      <w:r w:rsidRPr="00CD6B67">
        <w:rPr>
          <w:rStyle w:val="FootnoteReference"/>
        </w:rPr>
        <w:footnoteReference w:id="546"/>
      </w:r>
      <w:r>
        <w:rPr>
          <w:lang w:val="fr-FR"/>
        </w:rPr>
        <w:t>.</w:t>
      </w:r>
      <w:r w:rsidRPr="00293268">
        <w:rPr>
          <w:lang w:val="fr-FR"/>
        </w:rPr>
        <w:t xml:space="preserve"> </w:t>
      </w:r>
      <w:r>
        <w:rPr>
          <w:lang w:val="fr-FR"/>
        </w:rPr>
        <w:t>Ainsi</w:t>
      </w:r>
      <w:r w:rsidRPr="004E26E1">
        <w:rPr>
          <w:lang w:val="fr-FR"/>
        </w:rPr>
        <w:t>, entre le 27 mai et le 12 juin 2020, les forces de l</w:t>
      </w:r>
      <w:r>
        <w:rPr>
          <w:lang w:val="fr-FR"/>
        </w:rPr>
        <w:t>’</w:t>
      </w:r>
      <w:r w:rsidRPr="004E26E1">
        <w:rPr>
          <w:lang w:val="fr-FR"/>
        </w:rPr>
        <w:t>ordre de 48 villes des États-Unis auraient arrêté plus de 14</w:t>
      </w:r>
      <w:r w:rsidR="002361A9">
        <w:rPr>
          <w:lang w:val="fr-FR"/>
        </w:rPr>
        <w:t> </w:t>
      </w:r>
      <w:r w:rsidRPr="004E26E1">
        <w:rPr>
          <w:lang w:val="fr-FR"/>
        </w:rPr>
        <w:t>000 personnes dans le cadre de manifestations</w:t>
      </w:r>
      <w:r w:rsidRPr="00293268">
        <w:rPr>
          <w:lang w:val="fr-FR"/>
        </w:rPr>
        <w:t xml:space="preserve">. </w:t>
      </w:r>
      <w:r>
        <w:rPr>
          <w:lang w:val="fr-FR"/>
        </w:rPr>
        <w:t>Certaines d’entre elles n’ont jamais été inculpées ou informées des motifs de leur arrestation</w:t>
      </w:r>
      <w:r w:rsidRPr="00CD6B67">
        <w:rPr>
          <w:rStyle w:val="FootnoteReference"/>
        </w:rPr>
        <w:footnoteReference w:id="547"/>
      </w:r>
      <w:r>
        <w:rPr>
          <w:lang w:val="fr-FR"/>
        </w:rPr>
        <w:t>.</w:t>
      </w:r>
      <w:r w:rsidRPr="00293268">
        <w:rPr>
          <w:lang w:val="fr-FR"/>
        </w:rPr>
        <w:t xml:space="preserve"> </w:t>
      </w:r>
      <w:r w:rsidRPr="00E96799">
        <w:rPr>
          <w:lang w:val="fr-FR"/>
        </w:rPr>
        <w:t xml:space="preserve">Plusieurs autres ont été inculpées </w:t>
      </w:r>
      <w:r>
        <w:rPr>
          <w:lang w:val="fr-FR"/>
        </w:rPr>
        <w:t>de</w:t>
      </w:r>
      <w:r w:rsidRPr="00E96799">
        <w:rPr>
          <w:lang w:val="fr-FR"/>
        </w:rPr>
        <w:t xml:space="preserve"> délits mineurs, tels que des violations du couvre-feu, des vols ou des dommages matériels, des rassemblements illégaux</w:t>
      </w:r>
      <w:r w:rsidRPr="00CD6B67">
        <w:rPr>
          <w:rStyle w:val="FootnoteReference"/>
        </w:rPr>
        <w:footnoteReference w:id="548"/>
      </w:r>
      <w:r w:rsidRPr="00293268">
        <w:rPr>
          <w:lang w:val="fr-FR"/>
        </w:rPr>
        <w:t xml:space="preserve">, </w:t>
      </w:r>
      <w:r w:rsidRPr="002E57EB">
        <w:rPr>
          <w:lang w:val="fr-FR"/>
        </w:rPr>
        <w:t xml:space="preserve">des infractions au </w:t>
      </w:r>
      <w:r w:rsidR="002361A9">
        <w:rPr>
          <w:lang w:val="fr-FR"/>
        </w:rPr>
        <w:t>C</w:t>
      </w:r>
      <w:r w:rsidRPr="002E57EB">
        <w:rPr>
          <w:lang w:val="fr-FR"/>
        </w:rPr>
        <w:t>ode de la route et d</w:t>
      </w:r>
      <w:r>
        <w:rPr>
          <w:lang w:val="fr-FR"/>
        </w:rPr>
        <w:t>’</w:t>
      </w:r>
      <w:r w:rsidRPr="002E57EB">
        <w:rPr>
          <w:lang w:val="fr-FR"/>
        </w:rPr>
        <w:t>autres infractions mineures</w:t>
      </w:r>
      <w:r w:rsidRPr="00CD6B67">
        <w:rPr>
          <w:rStyle w:val="FootnoteReference"/>
        </w:rPr>
        <w:footnoteReference w:id="549"/>
      </w:r>
      <w:r>
        <w:rPr>
          <w:lang w:val="fr-FR"/>
        </w:rPr>
        <w:t>.</w:t>
      </w:r>
      <w:r w:rsidRPr="00293268">
        <w:rPr>
          <w:lang w:val="fr-FR"/>
        </w:rPr>
        <w:t xml:space="preserve"> </w:t>
      </w:r>
      <w:r w:rsidRPr="00A25361">
        <w:rPr>
          <w:lang w:val="fr-FR"/>
        </w:rPr>
        <w:t>Bien que les accusations portées contre la majorité des personnes arrêtées auraient été levées</w:t>
      </w:r>
      <w:r w:rsidRPr="00CD6B67">
        <w:rPr>
          <w:rStyle w:val="FootnoteReference"/>
        </w:rPr>
        <w:footnoteReference w:id="550"/>
      </w:r>
      <w:r>
        <w:rPr>
          <w:lang w:val="fr-FR"/>
        </w:rPr>
        <w:t>,</w:t>
      </w:r>
      <w:r w:rsidRPr="00293268">
        <w:rPr>
          <w:lang w:val="fr-FR"/>
        </w:rPr>
        <w:t xml:space="preserve"> </w:t>
      </w:r>
      <w:r w:rsidRPr="00CD31A0">
        <w:rPr>
          <w:lang w:val="fr-FR"/>
        </w:rPr>
        <w:t>les amendes et les condamnations, y compris l</w:t>
      </w:r>
      <w:r>
        <w:rPr>
          <w:lang w:val="fr-FR"/>
        </w:rPr>
        <w:t>’</w:t>
      </w:r>
      <w:r w:rsidRPr="00CD31A0">
        <w:rPr>
          <w:lang w:val="fr-FR"/>
        </w:rPr>
        <w:t xml:space="preserve">emprisonnement et </w:t>
      </w:r>
      <w:r w:rsidRPr="005441BC">
        <w:rPr>
          <w:lang w:val="fr-FR"/>
        </w:rPr>
        <w:t>les inscriptions au casier judiciaire</w:t>
      </w:r>
      <w:r w:rsidRPr="00CD31A0">
        <w:rPr>
          <w:lang w:val="fr-FR"/>
        </w:rPr>
        <w:t xml:space="preserve">, pourraient avoir </w:t>
      </w:r>
      <w:r>
        <w:rPr>
          <w:lang w:val="fr-FR"/>
        </w:rPr>
        <w:t>des conséquences</w:t>
      </w:r>
      <w:r w:rsidRPr="00CD31A0">
        <w:rPr>
          <w:lang w:val="fr-FR"/>
        </w:rPr>
        <w:t xml:space="preserve"> durable</w:t>
      </w:r>
      <w:r>
        <w:rPr>
          <w:lang w:val="fr-FR"/>
        </w:rPr>
        <w:t>s</w:t>
      </w:r>
      <w:r w:rsidRPr="00CD31A0">
        <w:rPr>
          <w:lang w:val="fr-FR"/>
        </w:rPr>
        <w:t xml:space="preserve"> </w:t>
      </w:r>
      <w:r>
        <w:rPr>
          <w:lang w:val="fr-FR"/>
        </w:rPr>
        <w:t>pour</w:t>
      </w:r>
      <w:r w:rsidRPr="00CD31A0">
        <w:rPr>
          <w:lang w:val="fr-FR"/>
        </w:rPr>
        <w:t xml:space="preserve"> les manifestants, notamment sur leur capacité </w:t>
      </w:r>
      <w:r>
        <w:rPr>
          <w:lang w:val="fr-FR"/>
        </w:rPr>
        <w:t xml:space="preserve">d’exercer leur droit de </w:t>
      </w:r>
      <w:r w:rsidRPr="00CD31A0">
        <w:rPr>
          <w:lang w:val="fr-FR"/>
        </w:rPr>
        <w:t>vote</w:t>
      </w:r>
      <w:r>
        <w:rPr>
          <w:lang w:val="fr-FR"/>
        </w:rPr>
        <w:t xml:space="preserve"> et</w:t>
      </w:r>
      <w:r w:rsidRPr="00CD31A0">
        <w:rPr>
          <w:lang w:val="fr-FR"/>
        </w:rPr>
        <w:t xml:space="preserve"> </w:t>
      </w:r>
      <w:r>
        <w:rPr>
          <w:lang w:val="fr-FR"/>
        </w:rPr>
        <w:t>d’</w:t>
      </w:r>
      <w:r w:rsidRPr="00CD31A0">
        <w:rPr>
          <w:lang w:val="fr-FR"/>
        </w:rPr>
        <w:t>obtenir un logement ou un emploi</w:t>
      </w:r>
      <w:r w:rsidRPr="00CD6B67">
        <w:rPr>
          <w:rStyle w:val="FootnoteReference"/>
        </w:rPr>
        <w:footnoteReference w:id="551"/>
      </w:r>
      <w:r>
        <w:rPr>
          <w:lang w:val="fr-FR"/>
        </w:rPr>
        <w:t>.</w:t>
      </w:r>
      <w:r w:rsidRPr="00293268">
        <w:rPr>
          <w:lang w:val="fr-FR"/>
        </w:rPr>
        <w:t xml:space="preserve"> </w:t>
      </w:r>
      <w:r w:rsidRPr="00D62237">
        <w:rPr>
          <w:lang w:val="fr-FR"/>
        </w:rPr>
        <w:t>Les conditions de détention suite à ces arrestations ont également été</w:t>
      </w:r>
      <w:r>
        <w:rPr>
          <w:lang w:val="fr-FR"/>
        </w:rPr>
        <w:t xml:space="preserve"> évoquées</w:t>
      </w:r>
      <w:r w:rsidRPr="00293268">
        <w:rPr>
          <w:lang w:val="fr-FR"/>
        </w:rPr>
        <w:t xml:space="preserve">. </w:t>
      </w:r>
      <w:r w:rsidRPr="00A5560F">
        <w:rPr>
          <w:lang w:val="fr-FR"/>
        </w:rPr>
        <w:t>Selon les informations reçues, certaines des personnes détenues l</w:t>
      </w:r>
      <w:r>
        <w:rPr>
          <w:lang w:val="fr-FR"/>
        </w:rPr>
        <w:t>’</w:t>
      </w:r>
      <w:r w:rsidRPr="00A5560F">
        <w:rPr>
          <w:lang w:val="fr-FR"/>
        </w:rPr>
        <w:t>ont été dans des conditions de promiscuité et d</w:t>
      </w:r>
      <w:r>
        <w:rPr>
          <w:lang w:val="fr-FR"/>
        </w:rPr>
        <w:t>’</w:t>
      </w:r>
      <w:r w:rsidRPr="00A5560F">
        <w:rPr>
          <w:lang w:val="fr-FR"/>
        </w:rPr>
        <w:t xml:space="preserve">insalubrité, sans que des mesures adéquates </w:t>
      </w:r>
      <w:r>
        <w:rPr>
          <w:lang w:val="fr-FR"/>
        </w:rPr>
        <w:t>ai</w:t>
      </w:r>
      <w:r w:rsidRPr="00A5560F">
        <w:rPr>
          <w:lang w:val="fr-FR"/>
        </w:rPr>
        <w:t xml:space="preserve">ent </w:t>
      </w:r>
      <w:r>
        <w:rPr>
          <w:lang w:val="fr-FR"/>
        </w:rPr>
        <w:t xml:space="preserve">été </w:t>
      </w:r>
      <w:r w:rsidRPr="00A5560F">
        <w:rPr>
          <w:lang w:val="fr-FR"/>
        </w:rPr>
        <w:t xml:space="preserve">prises pour assurer leur protection contre la pandémie de COVID-19. Dans </w:t>
      </w:r>
      <w:r>
        <w:rPr>
          <w:lang w:val="fr-FR"/>
        </w:rPr>
        <w:t>certains</w:t>
      </w:r>
      <w:r w:rsidRPr="00A5560F">
        <w:rPr>
          <w:lang w:val="fr-FR"/>
        </w:rPr>
        <w:t xml:space="preserve"> cas, les détenus n</w:t>
      </w:r>
      <w:r>
        <w:rPr>
          <w:lang w:val="fr-FR"/>
        </w:rPr>
        <w:t>’</w:t>
      </w:r>
      <w:r w:rsidRPr="00A5560F">
        <w:rPr>
          <w:lang w:val="fr-FR"/>
        </w:rPr>
        <w:t xml:space="preserve">auraient pas été autorisés à passer un appel téléphonique et dans </w:t>
      </w:r>
      <w:r>
        <w:rPr>
          <w:lang w:val="fr-FR"/>
        </w:rPr>
        <w:t>d’autre</w:t>
      </w:r>
      <w:r w:rsidRPr="00A5560F">
        <w:rPr>
          <w:lang w:val="fr-FR"/>
        </w:rPr>
        <w:t xml:space="preserve">s, </w:t>
      </w:r>
      <w:r>
        <w:rPr>
          <w:lang w:val="fr-FR"/>
        </w:rPr>
        <w:t>ils</w:t>
      </w:r>
      <w:r w:rsidRPr="00A5560F">
        <w:rPr>
          <w:lang w:val="fr-FR"/>
        </w:rPr>
        <w:t xml:space="preserve"> </w:t>
      </w:r>
      <w:r>
        <w:rPr>
          <w:lang w:val="fr-FR"/>
        </w:rPr>
        <w:t xml:space="preserve">ont </w:t>
      </w:r>
      <w:r w:rsidRPr="00A5560F">
        <w:rPr>
          <w:lang w:val="fr-FR"/>
        </w:rPr>
        <w:t>été déplacés d</w:t>
      </w:r>
      <w:r>
        <w:rPr>
          <w:lang w:val="fr-FR"/>
        </w:rPr>
        <w:t>’</w:t>
      </w:r>
      <w:r w:rsidRPr="00A5560F">
        <w:rPr>
          <w:lang w:val="fr-FR"/>
        </w:rPr>
        <w:t>un commissariat à l</w:t>
      </w:r>
      <w:r>
        <w:rPr>
          <w:lang w:val="fr-FR"/>
        </w:rPr>
        <w:t>’</w:t>
      </w:r>
      <w:r w:rsidRPr="00A5560F">
        <w:rPr>
          <w:lang w:val="fr-FR"/>
        </w:rPr>
        <w:t xml:space="preserve">autre, si bien que </w:t>
      </w:r>
      <w:r w:rsidR="00F74EC9" w:rsidRPr="00F74EC9">
        <w:rPr>
          <w:lang w:val="fr-FR"/>
        </w:rPr>
        <w:t>leur famille</w:t>
      </w:r>
      <w:r w:rsidRPr="00A5560F">
        <w:rPr>
          <w:lang w:val="fr-FR"/>
        </w:rPr>
        <w:t xml:space="preserve"> et avocats ont </w:t>
      </w:r>
      <w:r>
        <w:rPr>
          <w:lang w:val="fr-FR"/>
        </w:rPr>
        <w:t xml:space="preserve">eu </w:t>
      </w:r>
      <w:r w:rsidRPr="00A5560F">
        <w:rPr>
          <w:lang w:val="fr-FR"/>
        </w:rPr>
        <w:t>des difficultés à les localiser</w:t>
      </w:r>
      <w:r w:rsidRPr="00CD6B67">
        <w:rPr>
          <w:rStyle w:val="FootnoteReference"/>
        </w:rPr>
        <w:footnoteReference w:id="552"/>
      </w:r>
      <w:r>
        <w:rPr>
          <w:lang w:val="fr-FR"/>
        </w:rPr>
        <w:t>.</w:t>
      </w:r>
    </w:p>
    <w:p w14:paraId="1FC52C18" w14:textId="0D405042" w:rsidR="00D301C6" w:rsidRPr="00293268" w:rsidRDefault="00D301C6" w:rsidP="00D301C6">
      <w:pPr>
        <w:pStyle w:val="SingleTxtG"/>
        <w:rPr>
          <w:lang w:val="fr-FR"/>
        </w:rPr>
      </w:pPr>
      <w:r w:rsidRPr="00293268">
        <w:rPr>
          <w:lang w:val="fr-FR"/>
        </w:rPr>
        <w:t>210.</w:t>
      </w:r>
      <w:r w:rsidRPr="00293268">
        <w:rPr>
          <w:lang w:val="fr-FR"/>
        </w:rPr>
        <w:tab/>
      </w:r>
      <w:r w:rsidRPr="00A764E4">
        <w:rPr>
          <w:lang w:val="fr-FR"/>
        </w:rPr>
        <w:t>En Belgique, des arrestations ont également été signalées lors de</w:t>
      </w:r>
      <w:r>
        <w:rPr>
          <w:lang w:val="fr-FR"/>
        </w:rPr>
        <w:t>s</w:t>
      </w:r>
      <w:r w:rsidRPr="00A764E4">
        <w:rPr>
          <w:lang w:val="fr-FR"/>
        </w:rPr>
        <w:t xml:space="preserve"> manifestations contre le racisme </w:t>
      </w:r>
      <w:r>
        <w:rPr>
          <w:lang w:val="fr-FR"/>
        </w:rPr>
        <w:t xml:space="preserve">de </w:t>
      </w:r>
      <w:r w:rsidRPr="00A764E4">
        <w:rPr>
          <w:lang w:val="fr-FR"/>
        </w:rPr>
        <w:t>novembre 2020 et janvier 2021. Une organisation non gouvernementale a fait état d</w:t>
      </w:r>
      <w:r>
        <w:rPr>
          <w:lang w:val="fr-FR"/>
        </w:rPr>
        <w:t>’</w:t>
      </w:r>
      <w:r w:rsidRPr="00A764E4">
        <w:rPr>
          <w:lang w:val="fr-FR"/>
        </w:rPr>
        <w:t>un nombre élevé d</w:t>
      </w:r>
      <w:r>
        <w:rPr>
          <w:lang w:val="fr-FR"/>
        </w:rPr>
        <w:t>’</w:t>
      </w:r>
      <w:r w:rsidRPr="00A764E4">
        <w:rPr>
          <w:lang w:val="fr-FR"/>
        </w:rPr>
        <w:t>arrestations, parfois sur la base d</w:t>
      </w:r>
      <w:r>
        <w:rPr>
          <w:lang w:val="fr-FR"/>
        </w:rPr>
        <w:t>’</w:t>
      </w:r>
      <w:r w:rsidRPr="00A764E4">
        <w:rPr>
          <w:lang w:val="fr-FR"/>
        </w:rPr>
        <w:t>un profilage racial, y</w:t>
      </w:r>
      <w:r w:rsidR="008F2466">
        <w:rPr>
          <w:lang w:val="fr-FR"/>
        </w:rPr>
        <w:t> </w:t>
      </w:r>
      <w:r w:rsidRPr="00A764E4">
        <w:rPr>
          <w:lang w:val="fr-FR"/>
        </w:rPr>
        <w:t>compris d</w:t>
      </w:r>
      <w:r>
        <w:rPr>
          <w:lang w:val="fr-FR"/>
        </w:rPr>
        <w:t>’</w:t>
      </w:r>
      <w:r w:rsidRPr="00A764E4">
        <w:rPr>
          <w:lang w:val="fr-FR"/>
        </w:rPr>
        <w:t>enfants et d</w:t>
      </w:r>
      <w:r>
        <w:rPr>
          <w:lang w:val="fr-FR"/>
        </w:rPr>
        <w:t>’</w:t>
      </w:r>
      <w:r w:rsidRPr="00A764E4">
        <w:rPr>
          <w:lang w:val="fr-FR"/>
        </w:rPr>
        <w:t xml:space="preserve">autres personnes </w:t>
      </w:r>
      <w:r>
        <w:rPr>
          <w:lang w:val="fr-FR"/>
        </w:rPr>
        <w:t>ayant</w:t>
      </w:r>
      <w:r w:rsidRPr="00A764E4">
        <w:rPr>
          <w:lang w:val="fr-FR"/>
        </w:rPr>
        <w:t xml:space="preserve"> indiqué ne pas avoir participé aux manifestations. En outre, des allégations ont </w:t>
      </w:r>
      <w:r>
        <w:rPr>
          <w:lang w:val="fr-FR"/>
        </w:rPr>
        <w:t xml:space="preserve">ensuite </w:t>
      </w:r>
      <w:r w:rsidRPr="00A764E4">
        <w:rPr>
          <w:lang w:val="fr-FR"/>
        </w:rPr>
        <w:t xml:space="preserve">été formulées concernant les mauvaises conditions de détention, les mauvais traitements et </w:t>
      </w:r>
      <w:r>
        <w:rPr>
          <w:lang w:val="fr-FR"/>
        </w:rPr>
        <w:t>le fait que les</w:t>
      </w:r>
      <w:r w:rsidRPr="00A764E4">
        <w:rPr>
          <w:lang w:val="fr-FR"/>
        </w:rPr>
        <w:t xml:space="preserve"> personnes arrêtées </w:t>
      </w:r>
      <w:r>
        <w:rPr>
          <w:lang w:val="fr-FR"/>
        </w:rPr>
        <w:t>n’avaient pas été informées des</w:t>
      </w:r>
      <w:r w:rsidRPr="00A764E4">
        <w:rPr>
          <w:lang w:val="fr-FR"/>
        </w:rPr>
        <w:t xml:space="preserve"> accusations </w:t>
      </w:r>
      <w:r>
        <w:rPr>
          <w:lang w:val="fr-FR"/>
        </w:rPr>
        <w:t>retenu</w:t>
      </w:r>
      <w:r w:rsidRPr="00A764E4">
        <w:rPr>
          <w:lang w:val="fr-FR"/>
        </w:rPr>
        <w:t>es contre elles</w:t>
      </w:r>
      <w:r w:rsidRPr="00CD6B67">
        <w:rPr>
          <w:rStyle w:val="FootnoteReference"/>
        </w:rPr>
        <w:footnoteReference w:id="553"/>
      </w:r>
      <w:bookmarkStart w:id="1067" w:name="_Toc71215013"/>
      <w:bookmarkStart w:id="1068" w:name="_Toc71575374"/>
      <w:bookmarkStart w:id="1069" w:name="_Toc71666290"/>
      <w:bookmarkEnd w:id="1067"/>
      <w:bookmarkEnd w:id="1068"/>
      <w:bookmarkEnd w:id="1069"/>
      <w:r>
        <w:rPr>
          <w:lang w:val="fr-FR"/>
        </w:rPr>
        <w:t>.</w:t>
      </w:r>
    </w:p>
    <w:p w14:paraId="6A395621" w14:textId="36043CB8" w:rsidR="00D301C6" w:rsidRPr="00293268" w:rsidRDefault="00D301C6" w:rsidP="00D301C6">
      <w:pPr>
        <w:pStyle w:val="H23G"/>
        <w:rPr>
          <w:lang w:val="fr-FR"/>
        </w:rPr>
      </w:pPr>
      <w:bookmarkStart w:id="1070" w:name="_Toc74922970"/>
      <w:r w:rsidRPr="00293268">
        <w:rPr>
          <w:lang w:val="fr-FR"/>
        </w:rPr>
        <w:tab/>
        <w:t>6.</w:t>
      </w:r>
      <w:r w:rsidRPr="00293268">
        <w:rPr>
          <w:lang w:val="fr-FR"/>
        </w:rPr>
        <w:tab/>
      </w:r>
      <w:bookmarkEnd w:id="1070"/>
      <w:r w:rsidRPr="00293406">
        <w:rPr>
          <w:lang w:val="fr-FR"/>
        </w:rPr>
        <w:t xml:space="preserve">Nouvelles restrictions et projets de restrictions concernant les manifestations, </w:t>
      </w:r>
      <w:r w:rsidR="00330201">
        <w:rPr>
          <w:lang w:val="fr-FR"/>
        </w:rPr>
        <w:br/>
      </w:r>
      <w:r w:rsidRPr="00293406">
        <w:rPr>
          <w:lang w:val="fr-FR"/>
        </w:rPr>
        <w:t xml:space="preserve">notamment dans le contexte de la pandémie de maladie à coronavirus </w:t>
      </w:r>
      <w:r w:rsidR="00330201">
        <w:rPr>
          <w:lang w:val="fr-FR"/>
        </w:rPr>
        <w:br/>
      </w:r>
      <w:r w:rsidRPr="00293406">
        <w:rPr>
          <w:lang w:val="fr-FR"/>
        </w:rPr>
        <w:t>(COVID-19)</w:t>
      </w:r>
    </w:p>
    <w:p w14:paraId="34AA1FC8" w14:textId="70AC43A2" w:rsidR="00D301C6" w:rsidRPr="00293268" w:rsidRDefault="00D301C6" w:rsidP="00D301C6">
      <w:pPr>
        <w:pStyle w:val="SingleTxtG"/>
        <w:rPr>
          <w:lang w:val="fr-FR"/>
        </w:rPr>
      </w:pPr>
      <w:r w:rsidRPr="00293268">
        <w:rPr>
          <w:lang w:val="fr-FR"/>
        </w:rPr>
        <w:t>211.</w:t>
      </w:r>
      <w:r w:rsidRPr="00293268">
        <w:rPr>
          <w:lang w:val="fr-FR"/>
        </w:rPr>
        <w:tab/>
      </w:r>
      <w:r>
        <w:rPr>
          <w:lang w:val="fr-FR"/>
        </w:rPr>
        <w:t xml:space="preserve">Des préoccupations ont été exprimées au sujet des restrictions imposées, </w:t>
      </w:r>
      <w:r w:rsidRPr="00A958F1">
        <w:rPr>
          <w:lang w:val="fr-FR"/>
        </w:rPr>
        <w:t>dans certains endroits</w:t>
      </w:r>
      <w:r w:rsidRPr="00CD6B67">
        <w:rPr>
          <w:rStyle w:val="FootnoteReference"/>
        </w:rPr>
        <w:footnoteReference w:id="554"/>
      </w:r>
      <w:r>
        <w:rPr>
          <w:lang w:val="fr-FR"/>
        </w:rPr>
        <w:t>,</w:t>
      </w:r>
      <w:r w:rsidRPr="00813782">
        <w:rPr>
          <w:lang w:val="fr-FR"/>
        </w:rPr>
        <w:t xml:space="preserve"> </w:t>
      </w:r>
      <w:r>
        <w:rPr>
          <w:lang w:val="fr-FR"/>
        </w:rPr>
        <w:t>aux</w:t>
      </w:r>
      <w:r w:rsidRPr="00A74155">
        <w:rPr>
          <w:lang w:val="fr-FR"/>
        </w:rPr>
        <w:t xml:space="preserve"> manifestations contre le racisme </w:t>
      </w:r>
      <w:r w:rsidRPr="00760D8C">
        <w:rPr>
          <w:lang w:val="fr-FR"/>
        </w:rPr>
        <w:t>pour cause de pandémie de COVID</w:t>
      </w:r>
      <w:r w:rsidRPr="00A74155">
        <w:rPr>
          <w:lang w:val="fr-FR"/>
        </w:rPr>
        <w:t>-19 (voir également ci-dessous)</w:t>
      </w:r>
      <w:r>
        <w:rPr>
          <w:lang w:val="fr-FR"/>
        </w:rPr>
        <w:t xml:space="preserve">, </w:t>
      </w:r>
      <w:r w:rsidRPr="00013BA5">
        <w:rPr>
          <w:lang w:val="fr-FR"/>
        </w:rPr>
        <w:t xml:space="preserve">sachant que lors de manifestations </w:t>
      </w:r>
      <w:r>
        <w:rPr>
          <w:lang w:val="fr-FR"/>
        </w:rPr>
        <w:t xml:space="preserve">organisées </w:t>
      </w:r>
      <w:r w:rsidRPr="00013BA5">
        <w:rPr>
          <w:lang w:val="fr-FR"/>
        </w:rPr>
        <w:t>pour d</w:t>
      </w:r>
      <w:r>
        <w:rPr>
          <w:lang w:val="fr-FR"/>
        </w:rPr>
        <w:t>’</w:t>
      </w:r>
      <w:r w:rsidRPr="00013BA5">
        <w:rPr>
          <w:lang w:val="fr-FR"/>
        </w:rPr>
        <w:t xml:space="preserve">autres raisons, les informations indiquent que les autorités locales ne sont pas intervenues lorsque des règles similaires </w:t>
      </w:r>
      <w:r>
        <w:rPr>
          <w:lang w:val="fr-FR"/>
        </w:rPr>
        <w:t>avaien</w:t>
      </w:r>
      <w:r w:rsidRPr="00013BA5">
        <w:rPr>
          <w:lang w:val="fr-FR"/>
        </w:rPr>
        <w:t>t été enfreintes</w:t>
      </w:r>
      <w:r w:rsidRPr="00CD6B67">
        <w:rPr>
          <w:rStyle w:val="FootnoteReference"/>
        </w:rPr>
        <w:footnoteReference w:id="555"/>
      </w:r>
      <w:r>
        <w:rPr>
          <w:lang w:val="fr-FR"/>
        </w:rPr>
        <w:t>.</w:t>
      </w:r>
      <w:r w:rsidRPr="00293268">
        <w:rPr>
          <w:lang w:val="fr-FR"/>
        </w:rPr>
        <w:t xml:space="preserve"> </w:t>
      </w:r>
      <w:r w:rsidRPr="007E24B9">
        <w:rPr>
          <w:lang w:val="fr-FR"/>
        </w:rPr>
        <w:t xml:space="preserve">Au Royaume-Uni, la police a invoqué la réglementation </w:t>
      </w:r>
      <w:r>
        <w:rPr>
          <w:lang w:val="fr-FR"/>
        </w:rPr>
        <w:t xml:space="preserve">sur la </w:t>
      </w:r>
      <w:r w:rsidRPr="007E24B9">
        <w:rPr>
          <w:lang w:val="fr-FR"/>
        </w:rPr>
        <w:t xml:space="preserve">COVID-19 pour restreindre certaines manifestations, pratique qui se serait produite en particulier </w:t>
      </w:r>
      <w:r>
        <w:rPr>
          <w:lang w:val="fr-FR"/>
        </w:rPr>
        <w:t>lorsque les</w:t>
      </w:r>
      <w:r w:rsidRPr="007E24B9">
        <w:rPr>
          <w:lang w:val="fr-FR"/>
        </w:rPr>
        <w:t xml:space="preserve"> organisateurs </w:t>
      </w:r>
      <w:r>
        <w:rPr>
          <w:lang w:val="fr-FR"/>
        </w:rPr>
        <w:t xml:space="preserve">étaient </w:t>
      </w:r>
      <w:r w:rsidRPr="007E24B9">
        <w:rPr>
          <w:lang w:val="fr-FR"/>
        </w:rPr>
        <w:t>d</w:t>
      </w:r>
      <w:r>
        <w:rPr>
          <w:lang w:val="fr-FR"/>
        </w:rPr>
        <w:t>’</w:t>
      </w:r>
      <w:r w:rsidRPr="007E24B9">
        <w:rPr>
          <w:lang w:val="fr-FR"/>
        </w:rPr>
        <w:t>ascendance africaine</w:t>
      </w:r>
      <w:r w:rsidRPr="00CD6B67">
        <w:rPr>
          <w:rStyle w:val="FootnoteReference"/>
        </w:rPr>
        <w:footnoteReference w:id="556"/>
      </w:r>
      <w:r>
        <w:rPr>
          <w:lang w:val="fr-FR"/>
        </w:rPr>
        <w:t>.</w:t>
      </w:r>
      <w:r w:rsidRPr="00293268">
        <w:rPr>
          <w:lang w:val="fr-FR"/>
        </w:rPr>
        <w:t xml:space="preserve"> </w:t>
      </w:r>
      <w:r w:rsidRPr="008F6C64">
        <w:rPr>
          <w:lang w:val="fr-FR"/>
        </w:rPr>
        <w:t xml:space="preserve">De fait, </w:t>
      </w:r>
      <w:r w:rsidR="0093058F">
        <w:rPr>
          <w:lang w:val="fr-FR"/>
        </w:rPr>
        <w:t>14 </w:t>
      </w:r>
      <w:r w:rsidRPr="008F6C64">
        <w:rPr>
          <w:lang w:val="fr-FR"/>
        </w:rPr>
        <w:t xml:space="preserve">personnes ont été </w:t>
      </w:r>
      <w:r>
        <w:rPr>
          <w:lang w:val="fr-FR"/>
        </w:rPr>
        <w:t>défér</w:t>
      </w:r>
      <w:r w:rsidRPr="008F6C64">
        <w:rPr>
          <w:lang w:val="fr-FR"/>
        </w:rPr>
        <w:t xml:space="preserve">ées devant </w:t>
      </w:r>
      <w:r>
        <w:rPr>
          <w:lang w:val="fr-FR"/>
        </w:rPr>
        <w:t>le ministère public</w:t>
      </w:r>
      <w:r w:rsidRPr="008F6C64">
        <w:rPr>
          <w:lang w:val="fr-FR"/>
        </w:rPr>
        <w:t xml:space="preserve"> d</w:t>
      </w:r>
      <w:r>
        <w:rPr>
          <w:lang w:val="fr-FR"/>
        </w:rPr>
        <w:t>’</w:t>
      </w:r>
      <w:r w:rsidRPr="008F6C64">
        <w:rPr>
          <w:lang w:val="fr-FR"/>
        </w:rPr>
        <w:t xml:space="preserve">Irlande du Nord pour des infractions potentielles à la réglementation </w:t>
      </w:r>
      <w:r>
        <w:rPr>
          <w:lang w:val="fr-FR"/>
        </w:rPr>
        <w:t xml:space="preserve">sur la </w:t>
      </w:r>
      <w:r w:rsidRPr="008F6C64">
        <w:rPr>
          <w:lang w:val="fr-FR"/>
        </w:rPr>
        <w:t>COVID-19 lors des manifestations de juin 2020 à Belfast et Derry</w:t>
      </w:r>
      <w:r>
        <w:rPr>
          <w:lang w:val="fr-FR"/>
        </w:rPr>
        <w:t xml:space="preserve"> (</w:t>
      </w:r>
      <w:r w:rsidRPr="008F6C64">
        <w:rPr>
          <w:lang w:val="fr-FR"/>
        </w:rPr>
        <w:t>Londonderry</w:t>
      </w:r>
      <w:r>
        <w:rPr>
          <w:lang w:val="fr-FR"/>
        </w:rPr>
        <w:t>)</w:t>
      </w:r>
      <w:r w:rsidRPr="008F6C64">
        <w:rPr>
          <w:lang w:val="fr-FR"/>
        </w:rPr>
        <w:t xml:space="preserve">, </w:t>
      </w:r>
      <w:r>
        <w:rPr>
          <w:lang w:val="fr-FR"/>
        </w:rPr>
        <w:t>au cours desquelles</w:t>
      </w:r>
      <w:r w:rsidRPr="008F6C64">
        <w:rPr>
          <w:lang w:val="fr-FR"/>
        </w:rPr>
        <w:t xml:space="preserve"> environ 70</w:t>
      </w:r>
      <w:r w:rsidR="0093058F">
        <w:rPr>
          <w:lang w:val="fr-FR"/>
        </w:rPr>
        <w:t> </w:t>
      </w:r>
      <w:r w:rsidRPr="008F6C64">
        <w:rPr>
          <w:lang w:val="fr-FR"/>
        </w:rPr>
        <w:t xml:space="preserve">amendes ont été </w:t>
      </w:r>
      <w:r>
        <w:rPr>
          <w:lang w:val="fr-FR"/>
        </w:rPr>
        <w:t>délivrées</w:t>
      </w:r>
      <w:r w:rsidRPr="008F6C64">
        <w:rPr>
          <w:lang w:val="fr-FR"/>
        </w:rPr>
        <w:t xml:space="preserve"> (en revanche, aucun</w:t>
      </w:r>
      <w:r>
        <w:rPr>
          <w:lang w:val="fr-FR"/>
        </w:rPr>
        <w:t xml:space="preserve">e </w:t>
      </w:r>
      <w:r w:rsidRPr="00AC375E">
        <w:rPr>
          <w:lang w:val="fr-FR"/>
        </w:rPr>
        <w:t xml:space="preserve">amende forfaitaire </w:t>
      </w:r>
      <w:r w:rsidRPr="008F6C64">
        <w:rPr>
          <w:lang w:val="fr-FR"/>
        </w:rPr>
        <w:t>n</w:t>
      </w:r>
      <w:r>
        <w:rPr>
          <w:lang w:val="fr-FR"/>
        </w:rPr>
        <w:t>’</w:t>
      </w:r>
      <w:r w:rsidRPr="008F6C64">
        <w:rPr>
          <w:lang w:val="fr-FR"/>
        </w:rPr>
        <w:t xml:space="preserve">aurait été </w:t>
      </w:r>
      <w:r>
        <w:rPr>
          <w:lang w:val="fr-FR"/>
        </w:rPr>
        <w:t>délivrée</w:t>
      </w:r>
      <w:r w:rsidRPr="008F6C64">
        <w:rPr>
          <w:lang w:val="fr-FR"/>
        </w:rPr>
        <w:t xml:space="preserve"> lors d</w:t>
      </w:r>
      <w:r>
        <w:rPr>
          <w:lang w:val="fr-FR"/>
        </w:rPr>
        <w:t>’</w:t>
      </w:r>
      <w:r w:rsidRPr="008F6C64">
        <w:rPr>
          <w:lang w:val="fr-FR"/>
        </w:rPr>
        <w:t xml:space="preserve">un rassemblement </w:t>
      </w:r>
      <w:r>
        <w:rPr>
          <w:lang w:val="fr-FR"/>
        </w:rPr>
        <w:t>pour la protection des monuments (« </w:t>
      </w:r>
      <w:r w:rsidRPr="008F6C64">
        <w:rPr>
          <w:lang w:val="fr-FR"/>
        </w:rPr>
        <w:t>Protect our Monuments</w:t>
      </w:r>
      <w:r>
        <w:rPr>
          <w:lang w:val="fr-FR"/>
        </w:rPr>
        <w:t> ») qui a eu lieu</w:t>
      </w:r>
      <w:r w:rsidRPr="008F6C64">
        <w:rPr>
          <w:lang w:val="fr-FR"/>
        </w:rPr>
        <w:t xml:space="preserve"> à Belfast le 13 juin)</w:t>
      </w:r>
      <w:r w:rsidRPr="00CD6B67">
        <w:rPr>
          <w:rStyle w:val="FootnoteReference"/>
        </w:rPr>
        <w:footnoteReference w:id="557"/>
      </w:r>
      <w:r>
        <w:rPr>
          <w:lang w:val="fr-FR"/>
        </w:rPr>
        <w:t>.</w:t>
      </w:r>
      <w:r w:rsidRPr="00293268">
        <w:rPr>
          <w:lang w:val="fr-FR"/>
        </w:rPr>
        <w:t xml:space="preserve"> </w:t>
      </w:r>
      <w:r w:rsidRPr="00DB0625">
        <w:rPr>
          <w:lang w:val="fr-FR"/>
        </w:rPr>
        <w:t>Les</w:t>
      </w:r>
      <w:r w:rsidR="0093058F">
        <w:rPr>
          <w:lang w:val="fr-FR"/>
        </w:rPr>
        <w:t> </w:t>
      </w:r>
      <w:r w:rsidRPr="00DB0625">
        <w:rPr>
          <w:lang w:val="fr-FR"/>
        </w:rPr>
        <w:t>accusations ont ensuite été levées en mai 2021</w:t>
      </w:r>
      <w:r>
        <w:rPr>
          <w:lang w:val="fr-FR"/>
        </w:rPr>
        <w:t>,</w:t>
      </w:r>
      <w:r w:rsidRPr="00DB0625">
        <w:rPr>
          <w:lang w:val="fr-FR"/>
        </w:rPr>
        <w:t xml:space="preserve"> le </w:t>
      </w:r>
      <w:r>
        <w:rPr>
          <w:lang w:val="fr-FR"/>
        </w:rPr>
        <w:t>ministère public ayant</w:t>
      </w:r>
      <w:r w:rsidRPr="00DB0625">
        <w:rPr>
          <w:lang w:val="fr-FR"/>
        </w:rPr>
        <w:t xml:space="preserve"> conclu qu</w:t>
      </w:r>
      <w:r>
        <w:rPr>
          <w:lang w:val="fr-FR"/>
        </w:rPr>
        <w:t>’</w:t>
      </w:r>
      <w:r w:rsidRPr="00DB0625">
        <w:rPr>
          <w:lang w:val="fr-FR"/>
        </w:rPr>
        <w:t>il n</w:t>
      </w:r>
      <w:r>
        <w:rPr>
          <w:lang w:val="fr-FR"/>
        </w:rPr>
        <w:t>’</w:t>
      </w:r>
      <w:r w:rsidRPr="00DB0625">
        <w:rPr>
          <w:lang w:val="fr-FR"/>
        </w:rPr>
        <w:t>y avait</w:t>
      </w:r>
      <w:r>
        <w:rPr>
          <w:lang w:val="fr-FR"/>
        </w:rPr>
        <w:t xml:space="preserve"> </w:t>
      </w:r>
      <w:r w:rsidRPr="00DB0625">
        <w:rPr>
          <w:lang w:val="fr-FR"/>
        </w:rPr>
        <w:t>aucune possibilité</w:t>
      </w:r>
      <w:r>
        <w:rPr>
          <w:lang w:val="fr-FR"/>
        </w:rPr>
        <w:t xml:space="preserve"> raisonnable</w:t>
      </w:r>
      <w:r w:rsidRPr="00DB0625">
        <w:rPr>
          <w:lang w:val="fr-FR"/>
        </w:rPr>
        <w:t xml:space="preserve"> d</w:t>
      </w:r>
      <w:r>
        <w:rPr>
          <w:lang w:val="fr-FR"/>
        </w:rPr>
        <w:t>’</w:t>
      </w:r>
      <w:r w:rsidRPr="00DB0625">
        <w:rPr>
          <w:lang w:val="fr-FR"/>
        </w:rPr>
        <w:t>obtenir de condamnation pour une quelconque infraction</w:t>
      </w:r>
      <w:r w:rsidRPr="00CD6B67">
        <w:rPr>
          <w:rStyle w:val="FootnoteReference"/>
        </w:rPr>
        <w:footnoteReference w:id="558"/>
      </w:r>
      <w:r>
        <w:rPr>
          <w:lang w:val="fr-FR"/>
        </w:rPr>
        <w:t>.</w:t>
      </w:r>
      <w:r w:rsidRPr="00293268">
        <w:rPr>
          <w:lang w:val="fr-FR"/>
        </w:rPr>
        <w:t xml:space="preserve"> </w:t>
      </w:r>
      <w:r w:rsidRPr="00BC4025">
        <w:rPr>
          <w:lang w:val="fr-FR"/>
        </w:rPr>
        <w:t>En 2020, le médiateur de la police a jugé justifiées les plaintes selon lesquelles la gestion des manifestations par le service de police d</w:t>
      </w:r>
      <w:r>
        <w:rPr>
          <w:lang w:val="fr-FR"/>
        </w:rPr>
        <w:t>’</w:t>
      </w:r>
      <w:r w:rsidRPr="00BC4025">
        <w:rPr>
          <w:lang w:val="fr-FR"/>
        </w:rPr>
        <w:t xml:space="preserve">Irlande du Nord </w:t>
      </w:r>
      <w:r>
        <w:rPr>
          <w:lang w:val="fr-FR"/>
        </w:rPr>
        <w:t xml:space="preserve">avait été </w:t>
      </w:r>
      <w:r w:rsidRPr="00BC4025">
        <w:rPr>
          <w:lang w:val="fr-FR"/>
        </w:rPr>
        <w:t>injuste et discriminatoire</w:t>
      </w:r>
      <w:r w:rsidRPr="00CD6B67">
        <w:rPr>
          <w:rStyle w:val="FootnoteReference"/>
        </w:rPr>
        <w:footnoteReference w:id="559"/>
      </w:r>
      <w:r>
        <w:rPr>
          <w:lang w:val="fr-FR"/>
        </w:rPr>
        <w:t xml:space="preserve"> </w:t>
      </w:r>
      <w:r w:rsidRPr="00E74AA8">
        <w:rPr>
          <w:lang w:val="fr-FR"/>
        </w:rPr>
        <w:t>et</w:t>
      </w:r>
      <w:r w:rsidR="006117D9">
        <w:rPr>
          <w:lang w:val="fr-FR"/>
        </w:rPr>
        <w:t xml:space="preserve">, </w:t>
      </w:r>
      <w:r w:rsidRPr="00E74AA8">
        <w:rPr>
          <w:lang w:val="fr-FR"/>
        </w:rPr>
        <w:t>en mai 2021, une plainte</w:t>
      </w:r>
      <w:r w:rsidRPr="00813782">
        <w:rPr>
          <w:lang w:val="fr-FR"/>
        </w:rPr>
        <w:t xml:space="preserve"> </w:t>
      </w:r>
      <w:r w:rsidRPr="00B30429">
        <w:rPr>
          <w:lang w:val="fr-FR"/>
        </w:rPr>
        <w:t>pour discrimination raciale</w:t>
      </w:r>
      <w:r>
        <w:rPr>
          <w:lang w:val="fr-FR"/>
        </w:rPr>
        <w:t xml:space="preserve">, déposée par la suite, </w:t>
      </w:r>
      <w:r w:rsidRPr="00E74AA8">
        <w:rPr>
          <w:lang w:val="fr-FR"/>
        </w:rPr>
        <w:t>était en cours d</w:t>
      </w:r>
      <w:r>
        <w:rPr>
          <w:lang w:val="fr-FR"/>
        </w:rPr>
        <w:t>’</w:t>
      </w:r>
      <w:r w:rsidRPr="00E74AA8">
        <w:rPr>
          <w:lang w:val="fr-FR"/>
        </w:rPr>
        <w:t>examen</w:t>
      </w:r>
      <w:r w:rsidRPr="00CD6B67">
        <w:rPr>
          <w:rStyle w:val="FootnoteReference"/>
        </w:rPr>
        <w:footnoteReference w:id="560"/>
      </w:r>
      <w:r>
        <w:rPr>
          <w:lang w:val="fr-FR"/>
        </w:rPr>
        <w:t>.</w:t>
      </w:r>
      <w:r w:rsidRPr="00293268">
        <w:rPr>
          <w:lang w:val="fr-FR"/>
        </w:rPr>
        <w:t xml:space="preserve"> </w:t>
      </w:r>
      <w:r w:rsidRPr="00AE1227">
        <w:rPr>
          <w:lang w:val="fr-FR"/>
        </w:rPr>
        <w:t>En outre, quatre personnes ont été arrêtées à Bristol en janvier 2021, alors qu</w:t>
      </w:r>
      <w:r>
        <w:rPr>
          <w:lang w:val="fr-FR"/>
        </w:rPr>
        <w:t>’</w:t>
      </w:r>
      <w:r w:rsidRPr="00AE1227">
        <w:rPr>
          <w:lang w:val="fr-FR"/>
        </w:rPr>
        <w:t>elles manifestaient en solidarité avec les personnes accusées d</w:t>
      </w:r>
      <w:r>
        <w:rPr>
          <w:lang w:val="fr-FR"/>
        </w:rPr>
        <w:t>’</w:t>
      </w:r>
      <w:r w:rsidRPr="00AE1227">
        <w:rPr>
          <w:lang w:val="fr-FR"/>
        </w:rPr>
        <w:t>avoir déboulonné la statue d</w:t>
      </w:r>
      <w:r>
        <w:rPr>
          <w:lang w:val="fr-FR"/>
        </w:rPr>
        <w:t>’</w:t>
      </w:r>
      <w:r w:rsidRPr="00AE1227">
        <w:rPr>
          <w:lang w:val="fr-FR"/>
        </w:rPr>
        <w:t xml:space="preserve">Edward Coulston (qui a </w:t>
      </w:r>
      <w:r>
        <w:rPr>
          <w:lang w:val="fr-FR"/>
        </w:rPr>
        <w:t>pris part</w:t>
      </w:r>
      <w:r w:rsidRPr="00AE1227">
        <w:rPr>
          <w:lang w:val="fr-FR"/>
        </w:rPr>
        <w:t xml:space="preserve"> au commerce transatlantique d</w:t>
      </w:r>
      <w:r>
        <w:rPr>
          <w:lang w:val="fr-FR"/>
        </w:rPr>
        <w:t>’</w:t>
      </w:r>
      <w:r w:rsidRPr="00AE1227">
        <w:rPr>
          <w:lang w:val="fr-FR"/>
        </w:rPr>
        <w:t xml:space="preserve">Africains réduits en esclavage) lors de manifestations en 2020. En avril </w:t>
      </w:r>
      <w:r w:rsidRPr="00374AD2">
        <w:rPr>
          <w:lang w:val="fr-FR"/>
        </w:rPr>
        <w:t>2021, celles-ci ont reçu des excuses de la police locale, qui a reconnu avoir agi illégalement en imposant une interdiction générale des manifestations</w:t>
      </w:r>
      <w:r w:rsidRPr="00CD6B67">
        <w:rPr>
          <w:rStyle w:val="FootnoteReference"/>
        </w:rPr>
        <w:footnoteReference w:id="561"/>
      </w:r>
      <w:r w:rsidRPr="00374AD2">
        <w:rPr>
          <w:lang w:val="fr-FR"/>
        </w:rPr>
        <w:t>.</w:t>
      </w:r>
    </w:p>
    <w:p w14:paraId="7D9215CB" w14:textId="57636EF9" w:rsidR="00D301C6" w:rsidRPr="00293268" w:rsidRDefault="00D301C6" w:rsidP="00D301C6">
      <w:pPr>
        <w:pStyle w:val="SingleTxtG"/>
        <w:rPr>
          <w:lang w:val="fr-FR"/>
        </w:rPr>
      </w:pPr>
      <w:r w:rsidRPr="00293268">
        <w:rPr>
          <w:lang w:val="fr-FR"/>
        </w:rPr>
        <w:t>212.</w:t>
      </w:r>
      <w:r w:rsidRPr="00293268">
        <w:rPr>
          <w:lang w:val="fr-FR"/>
        </w:rPr>
        <w:tab/>
      </w:r>
      <w:r>
        <w:rPr>
          <w:lang w:val="fr-FR"/>
        </w:rPr>
        <w:t>D’après des informations, l</w:t>
      </w:r>
      <w:r w:rsidRPr="00313B34">
        <w:rPr>
          <w:lang w:val="fr-FR"/>
        </w:rPr>
        <w:t>e 4 juin 2020 à Mott Haven aux États-Unis, la police a encerclé des manifestants pacifiques avant l</w:t>
      </w:r>
      <w:r>
        <w:rPr>
          <w:lang w:val="fr-FR"/>
        </w:rPr>
        <w:t>’</w:t>
      </w:r>
      <w:r w:rsidRPr="00313B34">
        <w:rPr>
          <w:lang w:val="fr-FR"/>
        </w:rPr>
        <w:t>entrée en vigueur d</w:t>
      </w:r>
      <w:r>
        <w:rPr>
          <w:lang w:val="fr-FR"/>
        </w:rPr>
        <w:t>u</w:t>
      </w:r>
      <w:r w:rsidRPr="00313B34">
        <w:rPr>
          <w:lang w:val="fr-FR"/>
        </w:rPr>
        <w:t xml:space="preserve"> couvre-feu </w:t>
      </w:r>
      <w:r>
        <w:rPr>
          <w:lang w:val="fr-FR"/>
        </w:rPr>
        <w:t xml:space="preserve">mis en place pour contenir la pandémie de </w:t>
      </w:r>
      <w:r w:rsidRPr="00313B34">
        <w:rPr>
          <w:lang w:val="fr-FR"/>
        </w:rPr>
        <w:t>COVID-19, les empêchant ainsi de se disperser</w:t>
      </w:r>
      <w:r w:rsidRPr="00CD6B67">
        <w:rPr>
          <w:rStyle w:val="FootnoteReference"/>
        </w:rPr>
        <w:footnoteReference w:id="562"/>
      </w:r>
      <w:r>
        <w:rPr>
          <w:lang w:val="fr-FR"/>
        </w:rPr>
        <w:t>.</w:t>
      </w:r>
      <w:r w:rsidRPr="00293268">
        <w:rPr>
          <w:lang w:val="fr-FR"/>
        </w:rPr>
        <w:t xml:space="preserve"> </w:t>
      </w:r>
      <w:r w:rsidRPr="002875FF">
        <w:rPr>
          <w:lang w:val="fr-FR"/>
        </w:rPr>
        <w:t>En Australie, des organisateurs ont fait appel de l</w:t>
      </w:r>
      <w:r>
        <w:rPr>
          <w:lang w:val="fr-FR"/>
        </w:rPr>
        <w:t>’</w:t>
      </w:r>
      <w:r w:rsidRPr="002875FF">
        <w:rPr>
          <w:lang w:val="fr-FR"/>
        </w:rPr>
        <w:t>interdiction</w:t>
      </w:r>
      <w:r>
        <w:rPr>
          <w:lang w:val="fr-FR"/>
        </w:rPr>
        <w:t>,</w:t>
      </w:r>
      <w:r w:rsidRPr="002875FF">
        <w:rPr>
          <w:lang w:val="fr-FR"/>
        </w:rPr>
        <w:t xml:space="preserve"> par la Cour suprême de Nouvelle-Galles du Sud</w:t>
      </w:r>
      <w:r>
        <w:rPr>
          <w:lang w:val="fr-FR"/>
        </w:rPr>
        <w:t>,</w:t>
      </w:r>
      <w:r w:rsidRPr="002875FF">
        <w:rPr>
          <w:lang w:val="fr-FR"/>
        </w:rPr>
        <w:t xml:space="preserve"> de manifester pour des raisons de distanciation physique liée à la COVID-19, et </w:t>
      </w:r>
      <w:r>
        <w:rPr>
          <w:lang w:val="fr-FR"/>
        </w:rPr>
        <w:t>d</w:t>
      </w:r>
      <w:r w:rsidRPr="002875FF">
        <w:rPr>
          <w:lang w:val="fr-FR"/>
        </w:rPr>
        <w:t xml:space="preserve">es organisations non gouvernementales ont condamné </w:t>
      </w:r>
      <w:r>
        <w:rPr>
          <w:lang w:val="fr-FR"/>
        </w:rPr>
        <w:t>la sévérité des</w:t>
      </w:r>
      <w:r w:rsidRPr="002875FF">
        <w:rPr>
          <w:lang w:val="fr-FR"/>
        </w:rPr>
        <w:t xml:space="preserve"> restrictions imposées aux manifestations, alors que d</w:t>
      </w:r>
      <w:r>
        <w:rPr>
          <w:lang w:val="fr-FR"/>
        </w:rPr>
        <w:t>’</w:t>
      </w:r>
      <w:r w:rsidRPr="002875FF">
        <w:rPr>
          <w:lang w:val="fr-FR"/>
        </w:rPr>
        <w:t>autres événements auraient été autorisé</w:t>
      </w:r>
      <w:r>
        <w:rPr>
          <w:lang w:val="fr-FR"/>
        </w:rPr>
        <w:t>s</w:t>
      </w:r>
      <w:r w:rsidRPr="00CD6B67">
        <w:rPr>
          <w:rStyle w:val="FootnoteReference"/>
        </w:rPr>
        <w:footnoteReference w:id="563"/>
      </w:r>
      <w:r>
        <w:rPr>
          <w:lang w:val="fr-FR"/>
        </w:rPr>
        <w:t xml:space="preserve">. </w:t>
      </w:r>
      <w:r w:rsidRPr="00C73244">
        <w:rPr>
          <w:lang w:val="fr-FR"/>
        </w:rPr>
        <w:t xml:space="preserve">Des rassemblements ont eu lieu dans un certain nombre de villes, bien que les responsables </w:t>
      </w:r>
      <w:r w:rsidRPr="00824C34">
        <w:rPr>
          <w:lang w:val="fr-FR"/>
        </w:rPr>
        <w:t xml:space="preserve">des pouvoirs publics </w:t>
      </w:r>
      <w:r w:rsidRPr="00C73244">
        <w:rPr>
          <w:lang w:val="fr-FR"/>
        </w:rPr>
        <w:t>les aient déc</w:t>
      </w:r>
      <w:r>
        <w:rPr>
          <w:lang w:val="fr-FR"/>
        </w:rPr>
        <w:t>onseill</w:t>
      </w:r>
      <w:r w:rsidRPr="00C73244">
        <w:rPr>
          <w:lang w:val="fr-FR"/>
        </w:rPr>
        <w:t>é</w:t>
      </w:r>
      <w:r w:rsidR="00AB0B30">
        <w:rPr>
          <w:lang w:val="fr-FR"/>
        </w:rPr>
        <w:t>s</w:t>
      </w:r>
      <w:r w:rsidRPr="00C73244">
        <w:rPr>
          <w:lang w:val="fr-FR"/>
        </w:rPr>
        <w:t xml:space="preserve"> et que la police ait déclaré qu</w:t>
      </w:r>
      <w:r>
        <w:rPr>
          <w:lang w:val="fr-FR"/>
        </w:rPr>
        <w:t>’</w:t>
      </w:r>
      <w:r w:rsidRPr="00C73244">
        <w:rPr>
          <w:lang w:val="fr-FR"/>
        </w:rPr>
        <w:t xml:space="preserve">elle </w:t>
      </w:r>
      <w:r>
        <w:rPr>
          <w:lang w:val="fr-FR"/>
        </w:rPr>
        <w:t>engagerait des poursuites contre</w:t>
      </w:r>
      <w:r w:rsidRPr="00C73244">
        <w:rPr>
          <w:lang w:val="fr-FR"/>
        </w:rPr>
        <w:t xml:space="preserve"> les manifestants</w:t>
      </w:r>
      <w:r w:rsidRPr="00CD6B67">
        <w:rPr>
          <w:rStyle w:val="FootnoteReference"/>
        </w:rPr>
        <w:footnoteReference w:id="564"/>
      </w:r>
      <w:r>
        <w:rPr>
          <w:lang w:val="fr-FR"/>
        </w:rPr>
        <w:t>.</w:t>
      </w:r>
      <w:r w:rsidRPr="00293268">
        <w:rPr>
          <w:lang w:val="fr-FR"/>
        </w:rPr>
        <w:t xml:space="preserve"> </w:t>
      </w:r>
      <w:r w:rsidRPr="00BC7D8F">
        <w:rPr>
          <w:lang w:val="fr-FR"/>
        </w:rPr>
        <w:t xml:space="preserve">En Nouvelle-Zélande, </w:t>
      </w:r>
      <w:r>
        <w:rPr>
          <w:lang w:val="fr-FR"/>
        </w:rPr>
        <w:t>des</w:t>
      </w:r>
      <w:r w:rsidRPr="00BC7D8F">
        <w:rPr>
          <w:lang w:val="fr-FR"/>
        </w:rPr>
        <w:t xml:space="preserve"> </w:t>
      </w:r>
      <w:r>
        <w:rPr>
          <w:lang w:val="fr-FR"/>
        </w:rPr>
        <w:t xml:space="preserve">responsables </w:t>
      </w:r>
      <w:r w:rsidRPr="00BC7D8F">
        <w:rPr>
          <w:lang w:val="fr-FR"/>
        </w:rPr>
        <w:t xml:space="preserve">ont </w:t>
      </w:r>
      <w:r>
        <w:rPr>
          <w:lang w:val="fr-FR"/>
        </w:rPr>
        <w:t>déclaré</w:t>
      </w:r>
      <w:r w:rsidRPr="00BC7D8F">
        <w:rPr>
          <w:lang w:val="fr-FR"/>
        </w:rPr>
        <w:t xml:space="preserve"> que les manifestations antiracistes organisées en juin 2020 violaient les règles de distanciation du pays, et auraient qualifié les manifestants de </w:t>
      </w:r>
      <w:r>
        <w:rPr>
          <w:lang w:val="fr-FR"/>
        </w:rPr>
        <w:t xml:space="preserve">« groupuscule pensant </w:t>
      </w:r>
      <w:r w:rsidRPr="00BC7D8F">
        <w:rPr>
          <w:lang w:val="fr-FR"/>
        </w:rPr>
        <w:t>savoir mieux que tout le monde</w:t>
      </w:r>
      <w:r>
        <w:rPr>
          <w:lang w:val="fr-FR"/>
        </w:rPr>
        <w:t> »</w:t>
      </w:r>
      <w:r w:rsidRPr="00CD6B67">
        <w:rPr>
          <w:rStyle w:val="FootnoteReference"/>
        </w:rPr>
        <w:footnoteReference w:id="565"/>
      </w:r>
      <w:r>
        <w:rPr>
          <w:lang w:val="fr-FR"/>
        </w:rPr>
        <w:t>.</w:t>
      </w:r>
    </w:p>
    <w:p w14:paraId="685AFA4A" w14:textId="6114FDA4" w:rsidR="00D301C6" w:rsidRPr="00293268" w:rsidRDefault="00D301C6" w:rsidP="00D301C6">
      <w:pPr>
        <w:pStyle w:val="SingleTxtG"/>
        <w:rPr>
          <w:lang w:val="fr-FR"/>
        </w:rPr>
      </w:pPr>
      <w:r w:rsidRPr="00293268">
        <w:rPr>
          <w:lang w:val="fr-FR"/>
        </w:rPr>
        <w:t>213.</w:t>
      </w:r>
      <w:r w:rsidRPr="00293268">
        <w:rPr>
          <w:lang w:val="fr-FR"/>
        </w:rPr>
        <w:tab/>
      </w:r>
      <w:r w:rsidRPr="00407B31">
        <w:rPr>
          <w:lang w:val="fr-FR"/>
        </w:rPr>
        <w:t>En outre, aux États-Unis, des informations révèlent que depuis mai 2021, plus de 90</w:t>
      </w:r>
      <w:r w:rsidR="00AB0B30">
        <w:rPr>
          <w:lang w:val="fr-FR"/>
        </w:rPr>
        <w:t> </w:t>
      </w:r>
      <w:r w:rsidRPr="00407B31">
        <w:rPr>
          <w:lang w:val="fr-FR"/>
        </w:rPr>
        <w:t>nouveaux projets de loi visant à réprimer les manifestations pour la justice raciale et le mouvement Black Lives Matter ont été introduits dans 35 États</w:t>
      </w:r>
      <w:r w:rsidRPr="00CD6B67">
        <w:rPr>
          <w:rStyle w:val="FootnoteReference"/>
        </w:rPr>
        <w:footnoteReference w:id="566"/>
      </w:r>
      <w:r>
        <w:rPr>
          <w:lang w:val="fr-FR"/>
        </w:rPr>
        <w:t>.</w:t>
      </w:r>
      <w:r w:rsidRPr="00293268">
        <w:rPr>
          <w:lang w:val="fr-FR"/>
        </w:rPr>
        <w:t xml:space="preserve"> </w:t>
      </w:r>
      <w:r w:rsidRPr="004E5CCD">
        <w:rPr>
          <w:lang w:val="fr-FR"/>
        </w:rPr>
        <w:t>Certains textes de loi proposés ou adoptés prévoient de</w:t>
      </w:r>
      <w:r>
        <w:rPr>
          <w:lang w:val="fr-FR"/>
        </w:rPr>
        <w:t xml:space="preserve">s </w:t>
      </w:r>
      <w:r w:rsidRPr="004E5CCD">
        <w:rPr>
          <w:lang w:val="fr-FR"/>
        </w:rPr>
        <w:t xml:space="preserve">sanctions pénales </w:t>
      </w:r>
      <w:r>
        <w:rPr>
          <w:lang w:val="fr-FR"/>
        </w:rPr>
        <w:t>sévère</w:t>
      </w:r>
      <w:r w:rsidRPr="004E5CCD">
        <w:rPr>
          <w:lang w:val="fr-FR"/>
        </w:rPr>
        <w:t>s à l</w:t>
      </w:r>
      <w:r>
        <w:rPr>
          <w:lang w:val="fr-FR"/>
        </w:rPr>
        <w:t>’</w:t>
      </w:r>
      <w:r w:rsidRPr="004E5CCD">
        <w:rPr>
          <w:lang w:val="fr-FR"/>
        </w:rPr>
        <w:t>encontre des manifestants, ainsi que le</w:t>
      </w:r>
      <w:r>
        <w:rPr>
          <w:lang w:val="fr-FR"/>
        </w:rPr>
        <w:t>ur</w:t>
      </w:r>
      <w:r w:rsidRPr="004E5CCD">
        <w:rPr>
          <w:lang w:val="fr-FR"/>
        </w:rPr>
        <w:t xml:space="preserve"> placement automatique en détention provisoire sans </w:t>
      </w:r>
      <w:r>
        <w:rPr>
          <w:lang w:val="fr-FR"/>
        </w:rPr>
        <w:t xml:space="preserve">libération sous </w:t>
      </w:r>
      <w:r w:rsidRPr="004E5CCD">
        <w:rPr>
          <w:lang w:val="fr-FR"/>
        </w:rPr>
        <w:t xml:space="preserve">caution, ce qui </w:t>
      </w:r>
      <w:r>
        <w:rPr>
          <w:lang w:val="fr-FR"/>
        </w:rPr>
        <w:t>transforme</w:t>
      </w:r>
      <w:r w:rsidRPr="004E5CCD">
        <w:rPr>
          <w:lang w:val="fr-FR"/>
        </w:rPr>
        <w:t xml:space="preserve"> </w:t>
      </w:r>
      <w:r>
        <w:rPr>
          <w:lang w:val="fr-FR"/>
        </w:rPr>
        <w:t xml:space="preserve">le droit, par présomption d’innocence, </w:t>
      </w:r>
      <w:r w:rsidRPr="00A23E3A">
        <w:rPr>
          <w:lang w:val="fr-FR"/>
        </w:rPr>
        <w:t xml:space="preserve">à la libération sans caution dans l’attente du procès en </w:t>
      </w:r>
      <w:r>
        <w:rPr>
          <w:lang w:val="fr-FR"/>
        </w:rPr>
        <w:t>présomption de culpabilité</w:t>
      </w:r>
      <w:r w:rsidRPr="00A23E3A">
        <w:rPr>
          <w:lang w:val="fr-FR"/>
        </w:rPr>
        <w:t xml:space="preserve"> </w:t>
      </w:r>
      <w:r w:rsidRPr="008D30DB">
        <w:rPr>
          <w:lang w:val="fr-FR"/>
        </w:rPr>
        <w:t>sans libération sous caution possible</w:t>
      </w:r>
      <w:r w:rsidRPr="00CD6B67">
        <w:rPr>
          <w:rStyle w:val="FootnoteReference"/>
        </w:rPr>
        <w:footnoteReference w:id="567"/>
      </w:r>
      <w:r>
        <w:rPr>
          <w:lang w:val="fr-FR"/>
        </w:rPr>
        <w:t>.</w:t>
      </w:r>
      <w:r w:rsidRPr="00293268">
        <w:rPr>
          <w:lang w:val="fr-FR"/>
        </w:rPr>
        <w:t xml:space="preserve"> </w:t>
      </w:r>
      <w:r w:rsidRPr="00FA7435">
        <w:rPr>
          <w:lang w:val="fr-FR"/>
        </w:rPr>
        <w:t>Certaines de</w:t>
      </w:r>
      <w:r>
        <w:rPr>
          <w:lang w:val="fr-FR"/>
        </w:rPr>
        <w:t xml:space="preserve"> ce</w:t>
      </w:r>
      <w:r w:rsidRPr="00FA7435">
        <w:rPr>
          <w:lang w:val="fr-FR"/>
        </w:rPr>
        <w:t xml:space="preserve">s nouvelles lois semblent également créer un </w:t>
      </w:r>
      <w:r>
        <w:rPr>
          <w:lang w:val="fr-FR"/>
        </w:rPr>
        <w:t>climat</w:t>
      </w:r>
      <w:r w:rsidRPr="00FA7435">
        <w:rPr>
          <w:lang w:val="fr-FR"/>
        </w:rPr>
        <w:t xml:space="preserve"> propice à la violence contre les manifestants en </w:t>
      </w:r>
      <w:r>
        <w:rPr>
          <w:lang w:val="fr-FR"/>
        </w:rPr>
        <w:t>prévoyant</w:t>
      </w:r>
      <w:r w:rsidRPr="00FA7435">
        <w:rPr>
          <w:lang w:val="fr-FR"/>
        </w:rPr>
        <w:t xml:space="preserve"> une nouvelle immunité juridique pour les personnes qui blessent </w:t>
      </w:r>
      <w:r>
        <w:rPr>
          <w:lang w:val="fr-FR"/>
        </w:rPr>
        <w:t>voire</w:t>
      </w:r>
      <w:r w:rsidRPr="00FA7435">
        <w:rPr>
          <w:lang w:val="fr-FR"/>
        </w:rPr>
        <w:t xml:space="preserve"> tuent des manifestants</w:t>
      </w:r>
      <w:r w:rsidRPr="00CD6B67">
        <w:rPr>
          <w:rStyle w:val="FootnoteReference"/>
        </w:rPr>
        <w:footnoteReference w:id="568"/>
      </w:r>
      <w:r>
        <w:rPr>
          <w:lang w:val="fr-FR"/>
        </w:rPr>
        <w:t>.</w:t>
      </w:r>
      <w:r w:rsidRPr="00293268">
        <w:rPr>
          <w:lang w:val="fr-FR"/>
        </w:rPr>
        <w:t xml:space="preserve"> </w:t>
      </w:r>
      <w:r w:rsidRPr="00BB365B">
        <w:rPr>
          <w:lang w:val="fr-FR"/>
        </w:rPr>
        <w:t xml:space="preserve">Au Royaume-Uni, des organisations non gouvernementales ont </w:t>
      </w:r>
      <w:r>
        <w:rPr>
          <w:lang w:val="fr-FR"/>
        </w:rPr>
        <w:t>mis en garde contre le fait</w:t>
      </w:r>
      <w:r w:rsidRPr="00BB365B">
        <w:rPr>
          <w:lang w:val="fr-FR"/>
        </w:rPr>
        <w:t xml:space="preserve"> que, dans un contexte où les militants d</w:t>
      </w:r>
      <w:r>
        <w:rPr>
          <w:lang w:val="fr-FR"/>
        </w:rPr>
        <w:t>u mouvement</w:t>
      </w:r>
      <w:r w:rsidRPr="00BB365B">
        <w:rPr>
          <w:lang w:val="fr-FR"/>
        </w:rPr>
        <w:t xml:space="preserve"> Black Lives Matter ont annulé des manifestations par crainte pour leur sécurité</w:t>
      </w:r>
      <w:r w:rsidRPr="00CD6B67">
        <w:rPr>
          <w:rStyle w:val="FootnoteReference"/>
        </w:rPr>
        <w:footnoteReference w:id="569"/>
      </w:r>
      <w:r>
        <w:rPr>
          <w:lang w:val="fr-FR"/>
        </w:rPr>
        <w:t>,</w:t>
      </w:r>
      <w:r w:rsidRPr="00293268">
        <w:rPr>
          <w:lang w:val="fr-FR"/>
        </w:rPr>
        <w:t xml:space="preserve"> </w:t>
      </w:r>
      <w:r>
        <w:rPr>
          <w:lang w:val="fr-FR"/>
        </w:rPr>
        <w:t>un projet prévoyant l’emprisonnement des</w:t>
      </w:r>
      <w:r w:rsidRPr="00064064">
        <w:rPr>
          <w:lang w:val="fr-FR"/>
        </w:rPr>
        <w:t xml:space="preserve"> manifestants violents dans les </w:t>
      </w:r>
      <w:r w:rsidR="00145CE6">
        <w:rPr>
          <w:lang w:val="fr-FR"/>
        </w:rPr>
        <w:t>vingt</w:t>
      </w:r>
      <w:r w:rsidR="00145CE6">
        <w:rPr>
          <w:lang w:val="fr-FR"/>
        </w:rPr>
        <w:noBreakHyphen/>
        <w:t xml:space="preserve">quatre </w:t>
      </w:r>
      <w:r w:rsidRPr="00064064">
        <w:rPr>
          <w:lang w:val="fr-FR"/>
        </w:rPr>
        <w:t>heures suivant leur arrestation</w:t>
      </w:r>
      <w:r w:rsidRPr="00CD6B67">
        <w:rPr>
          <w:rStyle w:val="FootnoteReference"/>
        </w:rPr>
        <w:footnoteReference w:id="570"/>
      </w:r>
      <w:r w:rsidRPr="00293268">
        <w:rPr>
          <w:lang w:val="fr-FR"/>
        </w:rPr>
        <w:t xml:space="preserve"> </w:t>
      </w:r>
      <w:r w:rsidRPr="004C4628">
        <w:rPr>
          <w:lang w:val="fr-FR"/>
        </w:rPr>
        <w:t xml:space="preserve">porterait atteinte au droit de manifester et </w:t>
      </w:r>
      <w:r>
        <w:rPr>
          <w:lang w:val="fr-FR"/>
        </w:rPr>
        <w:t>accél</w:t>
      </w:r>
      <w:r w:rsidR="00CB327A">
        <w:rPr>
          <w:lang w:val="fr-FR"/>
        </w:rPr>
        <w:t>é</w:t>
      </w:r>
      <w:r>
        <w:rPr>
          <w:lang w:val="fr-FR"/>
        </w:rPr>
        <w:t>rerait le passage</w:t>
      </w:r>
      <w:r w:rsidRPr="004C4628">
        <w:rPr>
          <w:lang w:val="fr-FR"/>
        </w:rPr>
        <w:t xml:space="preserve"> dans le système de justice pénale au lieu de garantir le respect </w:t>
      </w:r>
      <w:r>
        <w:rPr>
          <w:lang w:val="fr-FR"/>
        </w:rPr>
        <w:t>des</w:t>
      </w:r>
      <w:r w:rsidRPr="004C4628">
        <w:rPr>
          <w:lang w:val="fr-FR"/>
        </w:rPr>
        <w:t xml:space="preserve"> droits</w:t>
      </w:r>
      <w:r w:rsidRPr="00CD6B67">
        <w:rPr>
          <w:rStyle w:val="FootnoteReference"/>
        </w:rPr>
        <w:footnoteReference w:id="571"/>
      </w:r>
      <w:r>
        <w:rPr>
          <w:lang w:val="fr-FR"/>
        </w:rPr>
        <w:t>.</w:t>
      </w:r>
    </w:p>
    <w:p w14:paraId="0540D84E" w14:textId="5B9A3A08" w:rsidR="00D301C6" w:rsidRPr="00293268" w:rsidRDefault="00D301C6" w:rsidP="00D301C6">
      <w:pPr>
        <w:pStyle w:val="H23G"/>
        <w:rPr>
          <w:lang w:val="fr-FR"/>
        </w:rPr>
      </w:pPr>
      <w:bookmarkStart w:id="1071" w:name="_Toc74922971"/>
      <w:r w:rsidRPr="00293268">
        <w:rPr>
          <w:lang w:val="fr-FR"/>
        </w:rPr>
        <w:tab/>
        <w:t>7.</w:t>
      </w:r>
      <w:r w:rsidRPr="00293268">
        <w:rPr>
          <w:lang w:val="fr-FR"/>
        </w:rPr>
        <w:tab/>
      </w:r>
      <w:bookmarkEnd w:id="1071"/>
      <w:r w:rsidRPr="00F71DD7">
        <w:rPr>
          <w:lang w:val="fr-FR"/>
        </w:rPr>
        <w:t xml:space="preserve">Remarques désobligeantes de responsables </w:t>
      </w:r>
      <w:r>
        <w:rPr>
          <w:lang w:val="fr-FR"/>
        </w:rPr>
        <w:t xml:space="preserve">des pouvoirs publics </w:t>
      </w:r>
      <w:r w:rsidR="00330201">
        <w:rPr>
          <w:lang w:val="fr-FR"/>
        </w:rPr>
        <w:br/>
      </w:r>
      <w:r w:rsidRPr="00F71DD7">
        <w:rPr>
          <w:lang w:val="fr-FR"/>
        </w:rPr>
        <w:t>à l</w:t>
      </w:r>
      <w:r>
        <w:rPr>
          <w:lang w:val="fr-FR"/>
        </w:rPr>
        <w:t>’</w:t>
      </w:r>
      <w:r w:rsidRPr="00F71DD7">
        <w:rPr>
          <w:lang w:val="fr-FR"/>
        </w:rPr>
        <w:t>égard de manifestants</w:t>
      </w:r>
    </w:p>
    <w:p w14:paraId="23B6DFA3" w14:textId="2E35020C" w:rsidR="00D301C6" w:rsidRPr="00293268" w:rsidRDefault="00D301C6" w:rsidP="00D301C6">
      <w:pPr>
        <w:pStyle w:val="SingleTxtG"/>
        <w:rPr>
          <w:lang w:val="fr-FR"/>
        </w:rPr>
      </w:pPr>
      <w:r w:rsidRPr="00293268">
        <w:rPr>
          <w:lang w:val="fr-FR"/>
        </w:rPr>
        <w:t>214.</w:t>
      </w:r>
      <w:r w:rsidRPr="00293268">
        <w:rPr>
          <w:lang w:val="fr-FR"/>
        </w:rPr>
        <w:tab/>
      </w:r>
      <w:r>
        <w:rPr>
          <w:lang w:val="fr-FR"/>
        </w:rPr>
        <w:t>S</w:t>
      </w:r>
      <w:r w:rsidRPr="00B74BBE">
        <w:rPr>
          <w:lang w:val="fr-FR"/>
        </w:rPr>
        <w:t xml:space="preserve">elon </w:t>
      </w:r>
      <w:r>
        <w:rPr>
          <w:lang w:val="fr-FR"/>
        </w:rPr>
        <w:t>d</w:t>
      </w:r>
      <w:r w:rsidRPr="00B74BBE">
        <w:rPr>
          <w:lang w:val="fr-FR"/>
        </w:rPr>
        <w:t>es informations relayées par les médias,</w:t>
      </w:r>
      <w:r w:rsidRPr="00293268">
        <w:rPr>
          <w:lang w:val="fr-FR"/>
        </w:rPr>
        <w:t xml:space="preserve"> </w:t>
      </w:r>
      <w:r w:rsidRPr="00646F7E">
        <w:rPr>
          <w:lang w:val="fr-FR"/>
        </w:rPr>
        <w:t xml:space="preserve">plusieurs personnalités publiques ont proféré des </w:t>
      </w:r>
      <w:r>
        <w:rPr>
          <w:lang w:val="fr-FR"/>
        </w:rPr>
        <w:t>propos</w:t>
      </w:r>
      <w:r w:rsidRPr="00646F7E">
        <w:rPr>
          <w:lang w:val="fr-FR"/>
        </w:rPr>
        <w:t xml:space="preserve"> désobligeants sur </w:t>
      </w:r>
      <w:r>
        <w:rPr>
          <w:lang w:val="fr-FR"/>
        </w:rPr>
        <w:t>des</w:t>
      </w:r>
      <w:r w:rsidRPr="00646F7E">
        <w:rPr>
          <w:lang w:val="fr-FR"/>
        </w:rPr>
        <w:t xml:space="preserve"> manifestants </w:t>
      </w:r>
      <w:r>
        <w:rPr>
          <w:lang w:val="fr-FR"/>
        </w:rPr>
        <w:t>contre le racisme</w:t>
      </w:r>
      <w:r w:rsidRPr="00293268">
        <w:rPr>
          <w:lang w:val="fr-FR"/>
        </w:rPr>
        <w:t xml:space="preserve">. </w:t>
      </w:r>
      <w:r w:rsidRPr="0091778D">
        <w:rPr>
          <w:lang w:val="fr-FR"/>
        </w:rPr>
        <w:t>En 2020, aux États</w:t>
      </w:r>
      <w:r w:rsidR="008318EC">
        <w:rPr>
          <w:lang w:val="fr-FR"/>
        </w:rPr>
        <w:noBreakHyphen/>
      </w:r>
      <w:r w:rsidRPr="0091778D">
        <w:rPr>
          <w:lang w:val="fr-FR"/>
        </w:rPr>
        <w:t xml:space="preserve">Unis, des responsables </w:t>
      </w:r>
      <w:r>
        <w:rPr>
          <w:lang w:val="fr-FR"/>
        </w:rPr>
        <w:t>des pouvoirs publics</w:t>
      </w:r>
      <w:r w:rsidRPr="0091778D">
        <w:rPr>
          <w:lang w:val="fr-FR"/>
        </w:rPr>
        <w:t xml:space="preserve"> ont ainsi cherché </w:t>
      </w:r>
      <w:r>
        <w:rPr>
          <w:lang w:val="fr-FR"/>
        </w:rPr>
        <w:t>à assimiler</w:t>
      </w:r>
      <w:r w:rsidRPr="0091778D">
        <w:rPr>
          <w:lang w:val="fr-FR"/>
        </w:rPr>
        <w:t xml:space="preserve"> les manifestants contre le racisme </w:t>
      </w:r>
      <w:r>
        <w:rPr>
          <w:lang w:val="fr-FR"/>
        </w:rPr>
        <w:t>à des</w:t>
      </w:r>
      <w:r w:rsidRPr="0091778D">
        <w:rPr>
          <w:lang w:val="fr-FR"/>
        </w:rPr>
        <w:t xml:space="preserve"> </w:t>
      </w:r>
      <w:r>
        <w:rPr>
          <w:lang w:val="fr-FR"/>
        </w:rPr>
        <w:t>« </w:t>
      </w:r>
      <w:r w:rsidRPr="0091778D">
        <w:rPr>
          <w:lang w:val="fr-FR"/>
        </w:rPr>
        <w:t>terroristes</w:t>
      </w:r>
      <w:r w:rsidR="008318EC">
        <w:rPr>
          <w:lang w:val="fr-FR"/>
        </w:rPr>
        <w:t> </w:t>
      </w:r>
      <w:r>
        <w:rPr>
          <w:lang w:val="fr-FR"/>
        </w:rPr>
        <w:t>»</w:t>
      </w:r>
      <w:r w:rsidRPr="0091778D">
        <w:rPr>
          <w:lang w:val="fr-FR"/>
        </w:rPr>
        <w:t>, apparemment dans le but de délégitimer les manifestations et ceux qui y participent</w:t>
      </w:r>
      <w:r w:rsidRPr="00CD6B67">
        <w:rPr>
          <w:rStyle w:val="FootnoteReference"/>
        </w:rPr>
        <w:footnoteReference w:id="572"/>
      </w:r>
      <w:r w:rsidRPr="0091778D">
        <w:rPr>
          <w:lang w:val="fr-FR"/>
        </w:rPr>
        <w:t>, et les manifestants ont été qualifiés d</w:t>
      </w:r>
      <w:r>
        <w:rPr>
          <w:lang w:val="fr-FR"/>
        </w:rPr>
        <w:t>’« </w:t>
      </w:r>
      <w:r w:rsidRPr="0091778D">
        <w:rPr>
          <w:lang w:val="fr-FR"/>
        </w:rPr>
        <w:t xml:space="preserve">anarchistes et </w:t>
      </w:r>
      <w:r>
        <w:rPr>
          <w:lang w:val="fr-FR"/>
        </w:rPr>
        <w:t>[d’]</w:t>
      </w:r>
      <w:r w:rsidRPr="0091778D">
        <w:rPr>
          <w:lang w:val="fr-FR"/>
        </w:rPr>
        <w:t>agitateurs malades et dérangés</w:t>
      </w:r>
      <w:r>
        <w:rPr>
          <w:lang w:val="fr-FR"/>
        </w:rPr>
        <w:t> »</w:t>
      </w:r>
      <w:r w:rsidRPr="00CD6B67">
        <w:rPr>
          <w:rStyle w:val="FootnoteReference"/>
        </w:rPr>
        <w:footnoteReference w:id="573"/>
      </w:r>
      <w:r>
        <w:rPr>
          <w:lang w:val="fr-FR"/>
        </w:rPr>
        <w:t>.</w:t>
      </w:r>
      <w:r w:rsidRPr="00293268">
        <w:rPr>
          <w:lang w:val="fr-FR"/>
        </w:rPr>
        <w:t xml:space="preserve"> </w:t>
      </w:r>
      <w:r w:rsidRPr="007A4BFE">
        <w:rPr>
          <w:lang w:val="fr-FR"/>
        </w:rPr>
        <w:t>Un haut fonctionnaire du Gouvernement a pour sa part déclaré que les violences présumées commises par Antifa et d</w:t>
      </w:r>
      <w:r>
        <w:rPr>
          <w:lang w:val="fr-FR"/>
        </w:rPr>
        <w:t>’</w:t>
      </w:r>
      <w:r w:rsidRPr="007A4BFE">
        <w:rPr>
          <w:lang w:val="fr-FR"/>
        </w:rPr>
        <w:t>autres mouvements relevaient du terrorisme national et seraient traitées en conséquence</w:t>
      </w:r>
      <w:r w:rsidRPr="00CD6B67">
        <w:rPr>
          <w:rStyle w:val="FootnoteReference"/>
        </w:rPr>
        <w:footnoteReference w:id="574"/>
      </w:r>
      <w:r>
        <w:rPr>
          <w:lang w:val="fr-FR"/>
        </w:rPr>
        <w:t>.</w:t>
      </w:r>
      <w:r w:rsidRPr="00293268">
        <w:rPr>
          <w:lang w:val="fr-FR"/>
        </w:rPr>
        <w:t xml:space="preserve"> </w:t>
      </w:r>
      <w:r w:rsidRPr="00F5205E">
        <w:rPr>
          <w:lang w:val="fr-FR"/>
        </w:rPr>
        <w:t>Plus inquiétant encore, le 26 juin 2020, un décret</w:t>
      </w:r>
      <w:r>
        <w:rPr>
          <w:lang w:val="fr-FR"/>
        </w:rPr>
        <w:t xml:space="preserve"> présidentiel</w:t>
      </w:r>
      <w:r w:rsidRPr="00CD6B67">
        <w:rPr>
          <w:rStyle w:val="FootnoteReference"/>
        </w:rPr>
        <w:footnoteReference w:id="575"/>
      </w:r>
      <w:r w:rsidRPr="00293268">
        <w:rPr>
          <w:lang w:val="fr-FR"/>
        </w:rPr>
        <w:t xml:space="preserve"> </w:t>
      </w:r>
      <w:r w:rsidRPr="00EC0D4F">
        <w:rPr>
          <w:lang w:val="fr-FR"/>
        </w:rPr>
        <w:t>relatif à la protection des monuments américains</w:t>
      </w:r>
      <w:r>
        <w:rPr>
          <w:lang w:val="fr-FR"/>
        </w:rPr>
        <w:t>,</w:t>
      </w:r>
      <w:r w:rsidRPr="00EC0D4F">
        <w:rPr>
          <w:lang w:val="fr-FR"/>
        </w:rPr>
        <w:t xml:space="preserve"> publié par le Président de l</w:t>
      </w:r>
      <w:r>
        <w:rPr>
          <w:lang w:val="fr-FR"/>
        </w:rPr>
        <w:t>’</w:t>
      </w:r>
      <w:r w:rsidRPr="00EC0D4F">
        <w:rPr>
          <w:lang w:val="fr-FR"/>
        </w:rPr>
        <w:t xml:space="preserve">époque, </w:t>
      </w:r>
      <w:r>
        <w:rPr>
          <w:lang w:val="fr-FR"/>
        </w:rPr>
        <w:t>affirmait</w:t>
      </w:r>
      <w:r w:rsidRPr="00EC0D4F">
        <w:rPr>
          <w:lang w:val="fr-FR"/>
        </w:rPr>
        <w:t xml:space="preserve"> que les anarchistes et les extrémistes de gauche </w:t>
      </w:r>
      <w:r>
        <w:rPr>
          <w:lang w:val="fr-FR"/>
        </w:rPr>
        <w:t>avaient cherché</w:t>
      </w:r>
      <w:r w:rsidRPr="00EC0D4F">
        <w:rPr>
          <w:lang w:val="fr-FR"/>
        </w:rPr>
        <w:t xml:space="preserve"> à promouvoir une idéologie marginale qui dépeint les États-Unis comme fondamentalement injustes et à imposer cette idéologie aux Américains par la violence et l</w:t>
      </w:r>
      <w:r>
        <w:rPr>
          <w:lang w:val="fr-FR"/>
        </w:rPr>
        <w:t>’</w:t>
      </w:r>
      <w:r w:rsidRPr="00EC0D4F">
        <w:rPr>
          <w:lang w:val="fr-FR"/>
        </w:rPr>
        <w:t>intimidation</w:t>
      </w:r>
      <w:r w:rsidRPr="00293268">
        <w:rPr>
          <w:lang w:val="fr-FR"/>
        </w:rPr>
        <w:t xml:space="preserve">. </w:t>
      </w:r>
      <w:r w:rsidRPr="00FB321C">
        <w:rPr>
          <w:lang w:val="fr-FR"/>
        </w:rPr>
        <w:t>Ce décret a été abrogé le 14</w:t>
      </w:r>
      <w:r w:rsidR="008318EC">
        <w:rPr>
          <w:lang w:val="fr-FR"/>
        </w:rPr>
        <w:t> </w:t>
      </w:r>
      <w:r w:rsidRPr="00FB321C">
        <w:rPr>
          <w:lang w:val="fr-FR"/>
        </w:rPr>
        <w:t>mai 2021</w:t>
      </w:r>
      <w:r w:rsidRPr="00CD6B67">
        <w:rPr>
          <w:rStyle w:val="FootnoteReference"/>
        </w:rPr>
        <w:footnoteReference w:id="576"/>
      </w:r>
      <w:r>
        <w:rPr>
          <w:lang w:val="fr-FR"/>
        </w:rPr>
        <w:t>.</w:t>
      </w:r>
    </w:p>
    <w:p w14:paraId="39AE25A4" w14:textId="335B99F2" w:rsidR="00D301C6" w:rsidRPr="00293268" w:rsidRDefault="00D301C6" w:rsidP="00D301C6">
      <w:pPr>
        <w:pStyle w:val="SingleTxtG"/>
        <w:rPr>
          <w:lang w:val="fr-FR"/>
        </w:rPr>
      </w:pPr>
      <w:r w:rsidRPr="00293268">
        <w:rPr>
          <w:bCs/>
          <w:lang w:val="fr-FR"/>
        </w:rPr>
        <w:t>215.</w:t>
      </w:r>
      <w:r w:rsidRPr="00293268">
        <w:rPr>
          <w:bCs/>
          <w:lang w:val="fr-FR"/>
        </w:rPr>
        <w:tab/>
      </w:r>
      <w:r w:rsidRPr="00A906D7">
        <w:rPr>
          <w:bCs/>
          <w:lang w:val="fr-FR"/>
        </w:rPr>
        <w:t xml:space="preserve">Les médias ont rapporté que </w:t>
      </w:r>
      <w:r>
        <w:rPr>
          <w:bCs/>
          <w:lang w:val="fr-FR"/>
        </w:rPr>
        <w:t>des</w:t>
      </w:r>
      <w:r w:rsidRPr="00A906D7">
        <w:rPr>
          <w:bCs/>
          <w:lang w:val="fr-FR"/>
        </w:rPr>
        <w:t xml:space="preserve"> responsables gouvernementaux </w:t>
      </w:r>
      <w:r>
        <w:rPr>
          <w:bCs/>
          <w:lang w:val="fr-FR"/>
        </w:rPr>
        <w:t>avaient</w:t>
      </w:r>
      <w:r w:rsidRPr="00A906D7">
        <w:rPr>
          <w:bCs/>
          <w:lang w:val="fr-FR"/>
        </w:rPr>
        <w:t xml:space="preserve"> condamné les </w:t>
      </w:r>
      <w:r>
        <w:rPr>
          <w:bCs/>
          <w:lang w:val="fr-FR"/>
        </w:rPr>
        <w:t>agissements des personnes qui avaient manifesté en</w:t>
      </w:r>
      <w:r w:rsidRPr="00A906D7">
        <w:rPr>
          <w:bCs/>
          <w:lang w:val="fr-FR"/>
        </w:rPr>
        <w:t xml:space="preserve"> juin 2020 au Brésil, notamment en soutien </w:t>
      </w:r>
      <w:r>
        <w:rPr>
          <w:bCs/>
          <w:lang w:val="fr-FR"/>
        </w:rPr>
        <w:t>au mouvement</w:t>
      </w:r>
      <w:r w:rsidRPr="00A906D7">
        <w:rPr>
          <w:bCs/>
          <w:lang w:val="fr-FR"/>
        </w:rPr>
        <w:t xml:space="preserve"> Black Lives Matter, les qualifiant de «</w:t>
      </w:r>
      <w:r w:rsidR="008F1991">
        <w:rPr>
          <w:bCs/>
          <w:lang w:val="fr-FR"/>
        </w:rPr>
        <w:t> </w:t>
      </w:r>
      <w:r w:rsidRPr="00A906D7">
        <w:rPr>
          <w:bCs/>
          <w:lang w:val="fr-FR"/>
        </w:rPr>
        <w:t>voyous</w:t>
      </w:r>
      <w:r w:rsidR="008F1991">
        <w:rPr>
          <w:bCs/>
          <w:lang w:val="fr-FR"/>
        </w:rPr>
        <w:t> </w:t>
      </w:r>
      <w:r w:rsidRPr="00A906D7">
        <w:rPr>
          <w:bCs/>
          <w:lang w:val="fr-FR"/>
        </w:rPr>
        <w:t>» et de «</w:t>
      </w:r>
      <w:r w:rsidR="008F1991">
        <w:rPr>
          <w:bCs/>
          <w:lang w:val="fr-FR"/>
        </w:rPr>
        <w:t> </w:t>
      </w:r>
      <w:r w:rsidRPr="00A906D7">
        <w:rPr>
          <w:bCs/>
          <w:lang w:val="fr-FR"/>
        </w:rPr>
        <w:t>terroristes</w:t>
      </w:r>
      <w:r w:rsidR="008F1991">
        <w:rPr>
          <w:bCs/>
          <w:lang w:val="fr-FR"/>
        </w:rPr>
        <w:t> </w:t>
      </w:r>
      <w:r w:rsidRPr="00A906D7">
        <w:rPr>
          <w:bCs/>
          <w:lang w:val="fr-FR"/>
        </w:rPr>
        <w:t xml:space="preserve">» et indiquant que les manifestations pourraient entraîner une réponse violente </w:t>
      </w:r>
      <w:r>
        <w:rPr>
          <w:bCs/>
          <w:lang w:val="fr-FR"/>
        </w:rPr>
        <w:t xml:space="preserve">de la part </w:t>
      </w:r>
      <w:r w:rsidRPr="00A906D7">
        <w:rPr>
          <w:bCs/>
          <w:lang w:val="fr-FR"/>
        </w:rPr>
        <w:t>des forces de l</w:t>
      </w:r>
      <w:r>
        <w:rPr>
          <w:bCs/>
          <w:lang w:val="fr-FR"/>
        </w:rPr>
        <w:t>’</w:t>
      </w:r>
      <w:r w:rsidRPr="00A906D7">
        <w:rPr>
          <w:bCs/>
          <w:lang w:val="fr-FR"/>
        </w:rPr>
        <w:t xml:space="preserve">ordre </w:t>
      </w:r>
      <w:r w:rsidR="008F1991">
        <w:rPr>
          <w:bCs/>
          <w:lang w:val="fr-FR"/>
        </w:rPr>
        <w:t>−</w:t>
      </w:r>
      <w:r w:rsidRPr="00A906D7">
        <w:rPr>
          <w:bCs/>
          <w:lang w:val="fr-FR"/>
        </w:rPr>
        <w:t xml:space="preserve"> avertissant les Brésiliens de rester chez eux afin que les forces de sécurité</w:t>
      </w:r>
      <w:r>
        <w:rPr>
          <w:bCs/>
          <w:lang w:val="fr-FR"/>
        </w:rPr>
        <w:t xml:space="preserve">, </w:t>
      </w:r>
      <w:r w:rsidRPr="00A906D7">
        <w:rPr>
          <w:bCs/>
          <w:lang w:val="fr-FR"/>
        </w:rPr>
        <w:t>non seulement de l</w:t>
      </w:r>
      <w:r>
        <w:rPr>
          <w:bCs/>
          <w:lang w:val="fr-FR"/>
        </w:rPr>
        <w:t>’</w:t>
      </w:r>
      <w:r w:rsidRPr="00A906D7">
        <w:rPr>
          <w:bCs/>
          <w:lang w:val="fr-FR"/>
        </w:rPr>
        <w:t>État mais aussi fédérales</w:t>
      </w:r>
      <w:r>
        <w:rPr>
          <w:bCs/>
          <w:lang w:val="fr-FR"/>
        </w:rPr>
        <w:t>,</w:t>
      </w:r>
      <w:r w:rsidRPr="00A906D7">
        <w:rPr>
          <w:bCs/>
          <w:lang w:val="fr-FR"/>
        </w:rPr>
        <w:t xml:space="preserve"> puissent </w:t>
      </w:r>
      <w:r>
        <w:rPr>
          <w:bCs/>
          <w:lang w:val="fr-FR"/>
        </w:rPr>
        <w:t>accomplir leurs fonctions dans le</w:t>
      </w:r>
      <w:r w:rsidRPr="00A906D7">
        <w:rPr>
          <w:bCs/>
          <w:lang w:val="fr-FR"/>
        </w:rPr>
        <w:t xml:space="preserve"> cas où ces voyous </w:t>
      </w:r>
      <w:r>
        <w:rPr>
          <w:bCs/>
          <w:lang w:val="fr-FR"/>
        </w:rPr>
        <w:t>enfreindraient</w:t>
      </w:r>
      <w:r w:rsidRPr="00A906D7">
        <w:rPr>
          <w:bCs/>
          <w:lang w:val="fr-FR"/>
        </w:rPr>
        <w:t xml:space="preserve"> la loi</w:t>
      </w:r>
      <w:r w:rsidRPr="00CD6B67">
        <w:rPr>
          <w:rStyle w:val="FootnoteReference"/>
        </w:rPr>
        <w:footnoteReference w:id="577"/>
      </w:r>
      <w:r>
        <w:rPr>
          <w:bCs/>
          <w:lang w:val="fr-FR"/>
        </w:rPr>
        <w:t>.</w:t>
      </w:r>
      <w:r w:rsidRPr="00293268">
        <w:rPr>
          <w:bCs/>
          <w:lang w:val="fr-FR"/>
        </w:rPr>
        <w:t xml:space="preserve"> </w:t>
      </w:r>
      <w:r w:rsidRPr="003F6CE8">
        <w:rPr>
          <w:bCs/>
          <w:lang w:val="fr-FR"/>
        </w:rPr>
        <w:t xml:space="preserve">En Australie, </w:t>
      </w:r>
      <w:r>
        <w:rPr>
          <w:bCs/>
          <w:lang w:val="fr-FR"/>
        </w:rPr>
        <w:t>des</w:t>
      </w:r>
      <w:r w:rsidRPr="003F6CE8">
        <w:rPr>
          <w:bCs/>
          <w:lang w:val="fr-FR"/>
        </w:rPr>
        <w:t xml:space="preserve"> responsables ont déclaré que les personnes qui avaient manifesté pendant la pandémie étaient incroyablement égoïstes </w:t>
      </w:r>
      <w:r>
        <w:rPr>
          <w:bCs/>
          <w:lang w:val="fr-FR"/>
        </w:rPr>
        <w:t>et</w:t>
      </w:r>
      <w:r w:rsidRPr="003F6CE8">
        <w:rPr>
          <w:bCs/>
          <w:lang w:val="fr-FR"/>
        </w:rPr>
        <w:t xml:space="preserve"> nombrilistes</w:t>
      </w:r>
      <w:r w:rsidRPr="00CD6B67">
        <w:rPr>
          <w:rStyle w:val="FootnoteReference"/>
        </w:rPr>
        <w:footnoteReference w:id="578"/>
      </w:r>
      <w:r>
        <w:rPr>
          <w:bCs/>
          <w:lang w:val="fr-FR"/>
        </w:rPr>
        <w:t>.</w:t>
      </w:r>
      <w:r w:rsidRPr="00293268">
        <w:rPr>
          <w:lang w:val="fr-FR"/>
        </w:rPr>
        <w:t xml:space="preserve"> </w:t>
      </w:r>
      <w:r w:rsidRPr="00323B97">
        <w:rPr>
          <w:lang w:val="fr-FR"/>
        </w:rPr>
        <w:t xml:space="preserve">Lorsque des manifestants ont dégradé ou endommagé des statues du capitaine James Cook </w:t>
      </w:r>
      <w:r w:rsidR="008F1991">
        <w:rPr>
          <w:lang w:val="fr-FR"/>
        </w:rPr>
        <w:t>− </w:t>
      </w:r>
      <w:r w:rsidRPr="00323B97">
        <w:rPr>
          <w:lang w:val="fr-FR"/>
        </w:rPr>
        <w:t>en raison de ses liens avec la colonisation de l</w:t>
      </w:r>
      <w:r>
        <w:rPr>
          <w:lang w:val="fr-FR"/>
        </w:rPr>
        <w:t>’</w:t>
      </w:r>
      <w:r w:rsidRPr="00323B97">
        <w:rPr>
          <w:lang w:val="fr-FR"/>
        </w:rPr>
        <w:t>Australie</w:t>
      </w:r>
      <w:r w:rsidR="008F1991">
        <w:rPr>
          <w:lang w:val="fr-FR"/>
        </w:rPr>
        <w:t> −</w:t>
      </w:r>
      <w:r>
        <w:rPr>
          <w:lang w:val="fr-FR"/>
        </w:rPr>
        <w:t>,</w:t>
      </w:r>
      <w:r w:rsidRPr="00323B97">
        <w:rPr>
          <w:lang w:val="fr-FR"/>
        </w:rPr>
        <w:t xml:space="preserve"> les appels au déboulonnage des statues de colon</w:t>
      </w:r>
      <w:r>
        <w:rPr>
          <w:lang w:val="fr-FR"/>
        </w:rPr>
        <w:t>isateur</w:t>
      </w:r>
      <w:r w:rsidRPr="00323B97">
        <w:rPr>
          <w:lang w:val="fr-FR"/>
        </w:rPr>
        <w:t>s européens ont été qualifiés «</w:t>
      </w:r>
      <w:r w:rsidR="008F1991">
        <w:rPr>
          <w:lang w:val="fr-FR"/>
        </w:rPr>
        <w:t> </w:t>
      </w:r>
      <w:r w:rsidRPr="00323B97">
        <w:rPr>
          <w:lang w:val="fr-FR"/>
        </w:rPr>
        <w:t>d</w:t>
      </w:r>
      <w:r>
        <w:rPr>
          <w:lang w:val="fr-FR"/>
        </w:rPr>
        <w:t>’</w:t>
      </w:r>
      <w:r w:rsidRPr="00323B97">
        <w:rPr>
          <w:lang w:val="fr-FR"/>
        </w:rPr>
        <w:t>obscure cause de gauche</w:t>
      </w:r>
      <w:r w:rsidR="008F1991">
        <w:rPr>
          <w:lang w:val="fr-FR"/>
        </w:rPr>
        <w:t> </w:t>
      </w:r>
      <w:r w:rsidRPr="00323B97">
        <w:rPr>
          <w:lang w:val="fr-FR"/>
        </w:rPr>
        <w:t>»</w:t>
      </w:r>
      <w:r w:rsidRPr="00CD6B67">
        <w:rPr>
          <w:rStyle w:val="FootnoteReference"/>
        </w:rPr>
        <w:footnoteReference w:id="579"/>
      </w:r>
      <w:r>
        <w:rPr>
          <w:lang w:val="fr-FR"/>
        </w:rPr>
        <w:t>.</w:t>
      </w:r>
      <w:r w:rsidRPr="00293268">
        <w:rPr>
          <w:lang w:val="fr-FR"/>
        </w:rPr>
        <w:t xml:space="preserve"> </w:t>
      </w:r>
      <w:r w:rsidRPr="00907E1C">
        <w:rPr>
          <w:lang w:val="fr-FR"/>
        </w:rPr>
        <w:t xml:space="preserve">Au Royaume-Uni, un fonctionnaire aurait qualifié </w:t>
      </w:r>
      <w:r>
        <w:rPr>
          <w:lang w:val="fr-FR"/>
        </w:rPr>
        <w:t>des</w:t>
      </w:r>
      <w:r w:rsidRPr="00907E1C">
        <w:rPr>
          <w:lang w:val="fr-FR"/>
        </w:rPr>
        <w:t xml:space="preserve"> militants antiracistes de voyous et de délinquants</w:t>
      </w:r>
      <w:r w:rsidRPr="00CD6B67">
        <w:rPr>
          <w:rStyle w:val="FootnoteReference"/>
        </w:rPr>
        <w:footnoteReference w:id="580"/>
      </w:r>
      <w:r>
        <w:rPr>
          <w:lang w:val="fr-FR"/>
        </w:rPr>
        <w:t>.</w:t>
      </w:r>
      <w:r w:rsidRPr="00293268">
        <w:rPr>
          <w:lang w:val="fr-FR"/>
        </w:rPr>
        <w:t xml:space="preserve"> </w:t>
      </w:r>
      <w:r w:rsidRPr="00C327A0">
        <w:rPr>
          <w:lang w:val="fr-FR"/>
        </w:rPr>
        <w:t>Les statues de Robert Milligan (un propriétaire d</w:t>
      </w:r>
      <w:r>
        <w:rPr>
          <w:lang w:val="fr-FR"/>
        </w:rPr>
        <w:t>’</w:t>
      </w:r>
      <w:r w:rsidRPr="00C327A0">
        <w:rPr>
          <w:lang w:val="fr-FR"/>
        </w:rPr>
        <w:t>esclaves) à Londres</w:t>
      </w:r>
      <w:r w:rsidRPr="00CD6B67">
        <w:rPr>
          <w:rStyle w:val="FootnoteReference"/>
        </w:rPr>
        <w:footnoteReference w:id="581"/>
      </w:r>
      <w:r w:rsidRPr="00293268">
        <w:rPr>
          <w:lang w:val="fr-FR"/>
        </w:rPr>
        <w:t xml:space="preserve"> </w:t>
      </w:r>
      <w:r>
        <w:rPr>
          <w:lang w:val="fr-FR"/>
        </w:rPr>
        <w:t>et d’</w:t>
      </w:r>
      <w:r w:rsidRPr="00293268">
        <w:rPr>
          <w:lang w:val="fr-FR"/>
        </w:rPr>
        <w:t xml:space="preserve">Edward Coulston </w:t>
      </w:r>
      <w:r>
        <w:rPr>
          <w:lang w:val="fr-FR"/>
        </w:rPr>
        <w:t>à</w:t>
      </w:r>
      <w:r w:rsidRPr="00293268">
        <w:rPr>
          <w:lang w:val="fr-FR"/>
        </w:rPr>
        <w:t xml:space="preserve"> Bristol</w:t>
      </w:r>
      <w:r>
        <w:rPr>
          <w:lang w:val="fr-FR"/>
        </w:rPr>
        <w:t xml:space="preserve"> ont été démantelées</w:t>
      </w:r>
      <w:r w:rsidRPr="00CD6B67">
        <w:rPr>
          <w:rStyle w:val="FootnoteReference"/>
        </w:rPr>
        <w:footnoteReference w:id="582"/>
      </w:r>
      <w:r>
        <w:rPr>
          <w:lang w:val="fr-FR"/>
        </w:rPr>
        <w:t>.</w:t>
      </w:r>
      <w:r w:rsidRPr="00293268">
        <w:rPr>
          <w:lang w:val="fr-FR"/>
        </w:rPr>
        <w:t xml:space="preserve"> </w:t>
      </w:r>
      <w:r w:rsidRPr="00D534B5">
        <w:rPr>
          <w:lang w:val="fr-FR"/>
        </w:rPr>
        <w:t>Même si la police locale n</w:t>
      </w:r>
      <w:r>
        <w:rPr>
          <w:lang w:val="fr-FR"/>
        </w:rPr>
        <w:t>’</w:t>
      </w:r>
      <w:r w:rsidRPr="00D534B5">
        <w:rPr>
          <w:lang w:val="fr-FR"/>
        </w:rPr>
        <w:t xml:space="preserve">est pas intervenue, les représentants </w:t>
      </w:r>
      <w:r>
        <w:rPr>
          <w:lang w:val="fr-FR"/>
        </w:rPr>
        <w:t>des pouvoirs publics</w:t>
      </w:r>
      <w:r w:rsidRPr="00D534B5">
        <w:rPr>
          <w:lang w:val="fr-FR"/>
        </w:rPr>
        <w:t xml:space="preserve"> ont par la suite qualifié ces actes de «</w:t>
      </w:r>
      <w:r>
        <w:rPr>
          <w:lang w:val="fr-FR"/>
        </w:rPr>
        <w:t> </w:t>
      </w:r>
      <w:r w:rsidRPr="00D534B5">
        <w:rPr>
          <w:lang w:val="fr-FR"/>
        </w:rPr>
        <w:t>criminels</w:t>
      </w:r>
      <w:r w:rsidR="002B2596">
        <w:rPr>
          <w:lang w:val="fr-FR"/>
        </w:rPr>
        <w:t> </w:t>
      </w:r>
      <w:r w:rsidRPr="00D534B5">
        <w:rPr>
          <w:lang w:val="fr-FR"/>
        </w:rPr>
        <w:t xml:space="preserve">», </w:t>
      </w:r>
      <w:r>
        <w:rPr>
          <w:lang w:val="fr-FR"/>
        </w:rPr>
        <w:t>les jugeant</w:t>
      </w:r>
      <w:r w:rsidRPr="00D534B5">
        <w:rPr>
          <w:lang w:val="fr-FR"/>
        </w:rPr>
        <w:t xml:space="preserve"> «</w:t>
      </w:r>
      <w:r w:rsidR="002B2596">
        <w:rPr>
          <w:lang w:val="fr-FR"/>
        </w:rPr>
        <w:t> </w:t>
      </w:r>
      <w:r w:rsidRPr="00D534B5">
        <w:rPr>
          <w:lang w:val="fr-FR"/>
        </w:rPr>
        <w:t>tout à fait honteux</w:t>
      </w:r>
      <w:r w:rsidR="002B2596">
        <w:rPr>
          <w:lang w:val="fr-FR"/>
        </w:rPr>
        <w:t> </w:t>
      </w:r>
      <w:r w:rsidRPr="00D534B5">
        <w:rPr>
          <w:lang w:val="fr-FR"/>
        </w:rPr>
        <w:t>» et affirmant qu</w:t>
      </w:r>
      <w:r>
        <w:rPr>
          <w:lang w:val="fr-FR"/>
        </w:rPr>
        <w:t>’</w:t>
      </w:r>
      <w:r w:rsidRPr="00D534B5">
        <w:rPr>
          <w:lang w:val="fr-FR"/>
        </w:rPr>
        <w:t>il n</w:t>
      </w:r>
      <w:r>
        <w:rPr>
          <w:lang w:val="fr-FR"/>
        </w:rPr>
        <w:t>’</w:t>
      </w:r>
      <w:r w:rsidRPr="00D534B5">
        <w:rPr>
          <w:lang w:val="fr-FR"/>
        </w:rPr>
        <w:t xml:space="preserve">appartenait pas </w:t>
      </w:r>
      <w:r>
        <w:rPr>
          <w:lang w:val="fr-FR"/>
        </w:rPr>
        <w:t>aux masses</w:t>
      </w:r>
      <w:r w:rsidRPr="00D534B5">
        <w:rPr>
          <w:lang w:val="fr-FR"/>
        </w:rPr>
        <w:t xml:space="preserve"> de démolir des statues</w:t>
      </w:r>
      <w:r w:rsidRPr="00CD6B67">
        <w:rPr>
          <w:rStyle w:val="FootnoteReference"/>
        </w:rPr>
        <w:footnoteReference w:id="583"/>
      </w:r>
      <w:r>
        <w:rPr>
          <w:lang w:val="fr-FR"/>
        </w:rPr>
        <w:t>.</w:t>
      </w:r>
    </w:p>
    <w:p w14:paraId="68E6CB9C" w14:textId="46B120EB" w:rsidR="00D301C6" w:rsidRPr="00293268" w:rsidRDefault="00D301C6" w:rsidP="00D301C6">
      <w:pPr>
        <w:pStyle w:val="H23G"/>
        <w:rPr>
          <w:lang w:val="fr-FR"/>
        </w:rPr>
      </w:pPr>
      <w:bookmarkStart w:id="1072" w:name="_Toc70504397"/>
      <w:bookmarkStart w:id="1073" w:name="_Toc74922972"/>
      <w:bookmarkEnd w:id="1072"/>
      <w:r w:rsidRPr="00293268">
        <w:rPr>
          <w:lang w:val="fr-FR"/>
        </w:rPr>
        <w:tab/>
      </w:r>
      <w:r w:rsidRPr="00E21F93">
        <w:rPr>
          <w:lang w:val="fr-FR"/>
        </w:rPr>
        <w:t>8.</w:t>
      </w:r>
      <w:r w:rsidRPr="00E21F93">
        <w:rPr>
          <w:lang w:val="fr-FR"/>
        </w:rPr>
        <w:tab/>
      </w:r>
      <w:bookmarkEnd w:id="1073"/>
      <w:r w:rsidRPr="00E21F93">
        <w:rPr>
          <w:lang w:val="fr-FR"/>
        </w:rPr>
        <w:t xml:space="preserve">Préoccupations particulières concernant des journalistes, des observateurs </w:t>
      </w:r>
      <w:r w:rsidR="00330201" w:rsidRPr="00E21F93">
        <w:rPr>
          <w:lang w:val="fr-FR"/>
        </w:rPr>
        <w:br/>
      </w:r>
      <w:r w:rsidRPr="00E21F93">
        <w:rPr>
          <w:lang w:val="fr-FR"/>
        </w:rPr>
        <w:t>et des membres du personnel médical</w:t>
      </w:r>
    </w:p>
    <w:p w14:paraId="791E0100" w14:textId="2312EED9" w:rsidR="00D301C6" w:rsidRPr="00293268" w:rsidRDefault="00D301C6" w:rsidP="00D301C6">
      <w:pPr>
        <w:pStyle w:val="SingleTxtG"/>
        <w:rPr>
          <w:lang w:val="fr-FR"/>
        </w:rPr>
      </w:pPr>
      <w:r w:rsidRPr="00293268">
        <w:rPr>
          <w:lang w:val="fr-FR"/>
        </w:rPr>
        <w:t>216.</w:t>
      </w:r>
      <w:r w:rsidRPr="00293268">
        <w:rPr>
          <w:lang w:val="fr-FR"/>
        </w:rPr>
        <w:tab/>
      </w:r>
      <w:r w:rsidRPr="009F587D">
        <w:rPr>
          <w:lang w:val="fr-FR"/>
        </w:rPr>
        <w:t xml:space="preserve">La manière dont </w:t>
      </w:r>
      <w:r>
        <w:rPr>
          <w:lang w:val="fr-FR"/>
        </w:rPr>
        <w:t>d</w:t>
      </w:r>
      <w:r w:rsidRPr="009F587D">
        <w:rPr>
          <w:lang w:val="fr-FR"/>
        </w:rPr>
        <w:t xml:space="preserve">es journalistes, </w:t>
      </w:r>
      <w:r>
        <w:rPr>
          <w:lang w:val="fr-FR"/>
        </w:rPr>
        <w:t>des</w:t>
      </w:r>
      <w:r w:rsidRPr="009F587D">
        <w:rPr>
          <w:lang w:val="fr-FR"/>
        </w:rPr>
        <w:t xml:space="preserve"> observateurs et </w:t>
      </w:r>
      <w:r>
        <w:rPr>
          <w:lang w:val="fr-FR"/>
        </w:rPr>
        <w:t>des membres du</w:t>
      </w:r>
      <w:r w:rsidRPr="009F587D">
        <w:rPr>
          <w:lang w:val="fr-FR"/>
        </w:rPr>
        <w:t xml:space="preserve"> personnel médical ont été traités au cours des manifestations </w:t>
      </w:r>
      <w:r>
        <w:rPr>
          <w:lang w:val="fr-FR"/>
        </w:rPr>
        <w:t xml:space="preserve">a </w:t>
      </w:r>
      <w:r w:rsidRPr="007D75EA">
        <w:rPr>
          <w:lang w:val="fr-FR"/>
        </w:rPr>
        <w:t>été jugé</w:t>
      </w:r>
      <w:r>
        <w:rPr>
          <w:lang w:val="fr-FR"/>
        </w:rPr>
        <w:t>e</w:t>
      </w:r>
      <w:r w:rsidRPr="007D75EA">
        <w:rPr>
          <w:lang w:val="fr-FR"/>
        </w:rPr>
        <w:t xml:space="preserve"> préoccupant</w:t>
      </w:r>
      <w:r>
        <w:rPr>
          <w:lang w:val="fr-FR"/>
        </w:rPr>
        <w:t>e</w:t>
      </w:r>
      <w:r w:rsidRPr="009F587D">
        <w:rPr>
          <w:lang w:val="fr-FR"/>
        </w:rPr>
        <w:t xml:space="preserve">, </w:t>
      </w:r>
      <w:r>
        <w:rPr>
          <w:lang w:val="fr-FR"/>
        </w:rPr>
        <w:t xml:space="preserve">notamment </w:t>
      </w:r>
      <w:r w:rsidRPr="009F587D">
        <w:rPr>
          <w:lang w:val="fr-FR"/>
        </w:rPr>
        <w:t>dans les communications transmises au HCDH</w:t>
      </w:r>
      <w:r w:rsidRPr="00293268">
        <w:rPr>
          <w:lang w:val="fr-FR"/>
        </w:rPr>
        <w:t xml:space="preserve">. </w:t>
      </w:r>
      <w:r w:rsidRPr="00105522">
        <w:rPr>
          <w:lang w:val="fr-FR"/>
        </w:rPr>
        <w:t>Aux États-Unis, le nombre d</w:t>
      </w:r>
      <w:r>
        <w:rPr>
          <w:lang w:val="fr-FR"/>
        </w:rPr>
        <w:t>’</w:t>
      </w:r>
      <w:r w:rsidRPr="00105522">
        <w:rPr>
          <w:lang w:val="fr-FR"/>
        </w:rPr>
        <w:t>attaques contre la presse couvrant les manifestations contre le racisme aurait été sans précédent</w:t>
      </w:r>
      <w:r w:rsidRPr="00CD6B67">
        <w:rPr>
          <w:rStyle w:val="FootnoteReference"/>
        </w:rPr>
        <w:footnoteReference w:id="584"/>
      </w:r>
      <w:r>
        <w:rPr>
          <w:lang w:val="fr-FR"/>
        </w:rPr>
        <w:t>,</w:t>
      </w:r>
      <w:r w:rsidRPr="00293268">
        <w:rPr>
          <w:lang w:val="fr-FR"/>
        </w:rPr>
        <w:t xml:space="preserve"> </w:t>
      </w:r>
      <w:r w:rsidRPr="00484832">
        <w:rPr>
          <w:lang w:val="fr-FR"/>
        </w:rPr>
        <w:t xml:space="preserve">les informations </w:t>
      </w:r>
      <w:r>
        <w:rPr>
          <w:lang w:val="fr-FR"/>
        </w:rPr>
        <w:t>évoquant</w:t>
      </w:r>
      <w:r w:rsidRPr="00484832">
        <w:rPr>
          <w:lang w:val="fr-FR"/>
        </w:rPr>
        <w:t xml:space="preserve"> de</w:t>
      </w:r>
      <w:r>
        <w:rPr>
          <w:lang w:val="fr-FR"/>
        </w:rPr>
        <w:t>s</w:t>
      </w:r>
      <w:r w:rsidRPr="00484832">
        <w:rPr>
          <w:lang w:val="fr-FR"/>
        </w:rPr>
        <w:t xml:space="preserve"> journalistes agressés physiquement, intimidés</w:t>
      </w:r>
      <w:r>
        <w:rPr>
          <w:lang w:val="fr-FR"/>
        </w:rPr>
        <w:t>,</w:t>
      </w:r>
      <w:r w:rsidRPr="00484832">
        <w:rPr>
          <w:lang w:val="fr-FR"/>
        </w:rPr>
        <w:t xml:space="preserve"> détenus ou arrêtés, alors que leur carte de presse était clairement visible</w:t>
      </w:r>
      <w:r w:rsidRPr="00CD6B67">
        <w:rPr>
          <w:rStyle w:val="FootnoteReference"/>
        </w:rPr>
        <w:footnoteReference w:id="585"/>
      </w:r>
      <w:r>
        <w:rPr>
          <w:lang w:val="fr-FR"/>
        </w:rPr>
        <w:t>.</w:t>
      </w:r>
      <w:r w:rsidRPr="00293268">
        <w:rPr>
          <w:lang w:val="fr-FR"/>
        </w:rPr>
        <w:t xml:space="preserve"> </w:t>
      </w:r>
      <w:r w:rsidRPr="00EB7638">
        <w:rPr>
          <w:lang w:val="fr-FR"/>
        </w:rPr>
        <w:t>Ainsi, entre le 26</w:t>
      </w:r>
      <w:r w:rsidR="000E117A">
        <w:rPr>
          <w:lang w:val="fr-FR"/>
        </w:rPr>
        <w:t> </w:t>
      </w:r>
      <w:r w:rsidRPr="00EB7638">
        <w:rPr>
          <w:lang w:val="fr-FR"/>
        </w:rPr>
        <w:t>mai 2020 et le 25</w:t>
      </w:r>
      <w:r w:rsidR="000E117A">
        <w:rPr>
          <w:lang w:val="fr-FR"/>
        </w:rPr>
        <w:t> </w:t>
      </w:r>
      <w:r w:rsidRPr="00EB7638">
        <w:rPr>
          <w:lang w:val="fr-FR"/>
        </w:rPr>
        <w:t xml:space="preserve">mai 2021, selon </w:t>
      </w:r>
      <w:r>
        <w:rPr>
          <w:lang w:val="fr-FR"/>
        </w:rPr>
        <w:t xml:space="preserve">des chiffres rapportés par </w:t>
      </w:r>
      <w:r w:rsidRPr="00EB7638">
        <w:rPr>
          <w:lang w:val="fr-FR"/>
        </w:rPr>
        <w:t>une organisation non gouvernementale, 415</w:t>
      </w:r>
      <w:r w:rsidR="000E117A">
        <w:rPr>
          <w:lang w:val="fr-FR"/>
        </w:rPr>
        <w:t> </w:t>
      </w:r>
      <w:r w:rsidRPr="00EB7638">
        <w:rPr>
          <w:lang w:val="fr-FR"/>
        </w:rPr>
        <w:t>journalistes ont été agressés, 153 arrêtés, tandis que le matériel de 105 d</w:t>
      </w:r>
      <w:r>
        <w:rPr>
          <w:lang w:val="fr-FR"/>
        </w:rPr>
        <w:t>’</w:t>
      </w:r>
      <w:r w:rsidRPr="00EB7638">
        <w:rPr>
          <w:lang w:val="fr-FR"/>
        </w:rPr>
        <w:t xml:space="preserve">entre eux a été endommagé et </w:t>
      </w:r>
      <w:r>
        <w:rPr>
          <w:lang w:val="fr-FR"/>
        </w:rPr>
        <w:t xml:space="preserve">celui de 21 autres </w:t>
      </w:r>
      <w:r w:rsidRPr="00EB7638">
        <w:rPr>
          <w:lang w:val="fr-FR"/>
        </w:rPr>
        <w:t xml:space="preserve">fouillé ou </w:t>
      </w:r>
      <w:r>
        <w:rPr>
          <w:lang w:val="fr-FR"/>
        </w:rPr>
        <w:t>confisqué</w:t>
      </w:r>
      <w:r w:rsidRPr="00EB7638">
        <w:rPr>
          <w:lang w:val="fr-FR"/>
        </w:rPr>
        <w:t xml:space="preserve"> lors de manifestations contre le racism</w:t>
      </w:r>
      <w:r>
        <w:rPr>
          <w:lang w:val="fr-FR"/>
        </w:rPr>
        <w:t>e</w:t>
      </w:r>
      <w:r w:rsidRPr="00CD6B67">
        <w:rPr>
          <w:rStyle w:val="FootnoteReference"/>
        </w:rPr>
        <w:footnoteReference w:id="586"/>
      </w:r>
      <w:r>
        <w:rPr>
          <w:lang w:val="fr-FR"/>
        </w:rPr>
        <w:t>.</w:t>
      </w:r>
      <w:r w:rsidRPr="00293268">
        <w:rPr>
          <w:lang w:val="fr-FR"/>
        </w:rPr>
        <w:t xml:space="preserve"> </w:t>
      </w:r>
      <w:r w:rsidRPr="00943082">
        <w:rPr>
          <w:lang w:val="fr-FR"/>
        </w:rPr>
        <w:t>La militarisation constante de la police, associée à une rhétorique incendiaire contre les médias, a</w:t>
      </w:r>
      <w:r>
        <w:rPr>
          <w:lang w:val="fr-FR"/>
        </w:rPr>
        <w:t xml:space="preserve"> été présentée comme rendant</w:t>
      </w:r>
      <w:r w:rsidRPr="00943082">
        <w:rPr>
          <w:lang w:val="fr-FR"/>
        </w:rPr>
        <w:t xml:space="preserve"> l</w:t>
      </w:r>
      <w:r>
        <w:rPr>
          <w:lang w:val="fr-FR"/>
        </w:rPr>
        <w:t>’</w:t>
      </w:r>
      <w:r w:rsidRPr="00943082">
        <w:rPr>
          <w:lang w:val="fr-FR"/>
        </w:rPr>
        <w:t>exercice du métier de journaliste intrinsèquement plus dangereux</w:t>
      </w:r>
      <w:r w:rsidRPr="00CD6B67">
        <w:rPr>
          <w:rStyle w:val="FootnoteReference"/>
        </w:rPr>
        <w:footnoteReference w:id="587"/>
      </w:r>
      <w:r>
        <w:rPr>
          <w:lang w:val="fr-FR"/>
        </w:rPr>
        <w:t>.</w:t>
      </w:r>
      <w:r w:rsidRPr="00293268">
        <w:rPr>
          <w:lang w:val="fr-FR"/>
        </w:rPr>
        <w:t xml:space="preserve"> </w:t>
      </w:r>
      <w:r w:rsidRPr="005F3D94">
        <w:rPr>
          <w:lang w:val="fr-FR"/>
        </w:rPr>
        <w:t>Plusieurs journalistes font toujours l</w:t>
      </w:r>
      <w:r>
        <w:rPr>
          <w:lang w:val="fr-FR"/>
        </w:rPr>
        <w:t>’</w:t>
      </w:r>
      <w:r w:rsidRPr="005F3D94">
        <w:rPr>
          <w:lang w:val="fr-FR"/>
        </w:rPr>
        <w:t>objet d</w:t>
      </w:r>
      <w:r>
        <w:rPr>
          <w:lang w:val="fr-FR"/>
        </w:rPr>
        <w:t>’</w:t>
      </w:r>
      <w:r w:rsidRPr="005F3D94">
        <w:rPr>
          <w:lang w:val="fr-FR"/>
        </w:rPr>
        <w:t>accusations, tandis qu</w:t>
      </w:r>
      <w:r>
        <w:rPr>
          <w:lang w:val="fr-FR"/>
        </w:rPr>
        <w:t>’</w:t>
      </w:r>
      <w:r w:rsidRPr="005F3D94">
        <w:rPr>
          <w:lang w:val="fr-FR"/>
        </w:rPr>
        <w:t xml:space="preserve">Andrea Sahouri, qui a été aspergée de gaz poivré, arrêtée et </w:t>
      </w:r>
      <w:r>
        <w:rPr>
          <w:lang w:val="fr-FR"/>
        </w:rPr>
        <w:t xml:space="preserve">placée en détention </w:t>
      </w:r>
      <w:r w:rsidRPr="005F3D94">
        <w:rPr>
          <w:lang w:val="fr-FR"/>
        </w:rPr>
        <w:t>alors qu</w:t>
      </w:r>
      <w:r>
        <w:rPr>
          <w:lang w:val="fr-FR"/>
        </w:rPr>
        <w:t>’</w:t>
      </w:r>
      <w:r w:rsidRPr="005F3D94">
        <w:rPr>
          <w:lang w:val="fr-FR"/>
        </w:rPr>
        <w:t>elle couvrait une manifestation le 31 mai 2020, a été relaxée en mars 2021</w:t>
      </w:r>
      <w:r w:rsidRPr="00CD6B67">
        <w:rPr>
          <w:rStyle w:val="FootnoteReference"/>
        </w:rPr>
        <w:footnoteReference w:id="588"/>
      </w:r>
      <w:r>
        <w:rPr>
          <w:lang w:val="fr-FR"/>
        </w:rPr>
        <w:t>.</w:t>
      </w:r>
      <w:r w:rsidRPr="00293268">
        <w:rPr>
          <w:lang w:val="fr-FR"/>
        </w:rPr>
        <w:t xml:space="preserve"> </w:t>
      </w:r>
      <w:r>
        <w:rPr>
          <w:lang w:val="fr-FR"/>
        </w:rPr>
        <w:t>Des</w:t>
      </w:r>
      <w:r w:rsidR="00F60265">
        <w:rPr>
          <w:lang w:val="fr-FR"/>
        </w:rPr>
        <w:t> </w:t>
      </w:r>
      <w:r w:rsidRPr="008C249B">
        <w:rPr>
          <w:lang w:val="fr-FR"/>
        </w:rPr>
        <w:t>journalistes ont indiqué qu</w:t>
      </w:r>
      <w:r>
        <w:rPr>
          <w:lang w:val="fr-FR"/>
        </w:rPr>
        <w:t>’</w:t>
      </w:r>
      <w:r w:rsidRPr="008C249B">
        <w:rPr>
          <w:lang w:val="fr-FR"/>
        </w:rPr>
        <w:t>ils se sentaient ciblés en raison de leur race et que leurs cartes de presse ou autres signes distinctifs ne leur offraient souvent aucune protection, tandis que d</w:t>
      </w:r>
      <w:r>
        <w:rPr>
          <w:lang w:val="fr-FR"/>
        </w:rPr>
        <w:t>’</w:t>
      </w:r>
      <w:r w:rsidRPr="008C249B">
        <w:rPr>
          <w:lang w:val="fr-FR"/>
        </w:rPr>
        <w:t>autres avaient le sentiment d</w:t>
      </w:r>
      <w:r>
        <w:rPr>
          <w:lang w:val="fr-FR"/>
        </w:rPr>
        <w:t>’</w:t>
      </w:r>
      <w:r w:rsidRPr="008C249B">
        <w:rPr>
          <w:lang w:val="fr-FR"/>
        </w:rPr>
        <w:t>être arrêtés précisément parce qu</w:t>
      </w:r>
      <w:r>
        <w:rPr>
          <w:lang w:val="fr-FR"/>
        </w:rPr>
        <w:t>’</w:t>
      </w:r>
      <w:r w:rsidRPr="008C249B">
        <w:rPr>
          <w:lang w:val="fr-FR"/>
        </w:rPr>
        <w:t>ils étaient journalistes</w:t>
      </w:r>
      <w:r w:rsidRPr="00CD6B67">
        <w:rPr>
          <w:rStyle w:val="FootnoteReference"/>
        </w:rPr>
        <w:footnoteReference w:id="589"/>
      </w:r>
      <w:r>
        <w:rPr>
          <w:lang w:val="fr-FR"/>
        </w:rPr>
        <w:t>.</w:t>
      </w:r>
      <w:r w:rsidRPr="00293268">
        <w:rPr>
          <w:lang w:val="fr-FR"/>
        </w:rPr>
        <w:t xml:space="preserve"> </w:t>
      </w:r>
      <w:r w:rsidRPr="00125C28">
        <w:rPr>
          <w:lang w:val="fr-FR"/>
        </w:rPr>
        <w:t>Cette situation a donné lieu à divers actions à justice visant à protéger les journalistes et les observateurs</w:t>
      </w:r>
      <w:r w:rsidRPr="00CD6B67">
        <w:rPr>
          <w:rStyle w:val="FootnoteReference"/>
        </w:rPr>
        <w:footnoteReference w:id="590"/>
      </w:r>
      <w:r>
        <w:rPr>
          <w:lang w:val="fr-FR"/>
        </w:rPr>
        <w:t>.</w:t>
      </w:r>
    </w:p>
    <w:p w14:paraId="0F195B55" w14:textId="77777777" w:rsidR="00D301C6" w:rsidRPr="00293268" w:rsidRDefault="00D301C6" w:rsidP="00D301C6">
      <w:pPr>
        <w:pStyle w:val="SingleTxtG"/>
        <w:rPr>
          <w:lang w:val="fr-FR"/>
        </w:rPr>
      </w:pPr>
      <w:r w:rsidRPr="00293268">
        <w:rPr>
          <w:lang w:val="fr-FR"/>
        </w:rPr>
        <w:t>217.</w:t>
      </w:r>
      <w:r w:rsidRPr="00293268">
        <w:rPr>
          <w:lang w:val="fr-FR"/>
        </w:rPr>
        <w:tab/>
      </w:r>
      <w:r w:rsidRPr="00B7740F">
        <w:rPr>
          <w:lang w:val="fr-FR"/>
        </w:rPr>
        <w:t>Aux États-Unis, il aurait été fait usage de la force contre des observateurs juridiques</w:t>
      </w:r>
      <w:r w:rsidRPr="00CD6B67">
        <w:rPr>
          <w:rStyle w:val="FootnoteReference"/>
        </w:rPr>
        <w:footnoteReference w:id="591"/>
      </w:r>
      <w:r w:rsidRPr="00B7740F">
        <w:rPr>
          <w:lang w:val="fr-FR"/>
        </w:rPr>
        <w:t>, tandis que d</w:t>
      </w:r>
      <w:r>
        <w:rPr>
          <w:lang w:val="fr-FR"/>
        </w:rPr>
        <w:t>’</w:t>
      </w:r>
      <w:r w:rsidRPr="00B7740F">
        <w:rPr>
          <w:lang w:val="fr-FR"/>
        </w:rPr>
        <w:t>autres ont été arrêtés et placés en détention malgré leur chapeau vert fluorescent et d</w:t>
      </w:r>
      <w:r>
        <w:rPr>
          <w:lang w:val="fr-FR"/>
        </w:rPr>
        <w:t>’</w:t>
      </w:r>
      <w:r w:rsidRPr="00B7740F">
        <w:rPr>
          <w:lang w:val="fr-FR"/>
        </w:rPr>
        <w:t>autres signes distinctifs</w:t>
      </w:r>
      <w:r w:rsidRPr="00CD6B67">
        <w:rPr>
          <w:rStyle w:val="FootnoteReference"/>
        </w:rPr>
        <w:footnoteReference w:id="592"/>
      </w:r>
      <w:r w:rsidRPr="00B7740F">
        <w:rPr>
          <w:lang w:val="fr-FR"/>
        </w:rPr>
        <w:t>. Au Royaume-Uni, la force aurait également été employée contre certains de ces observateurs, en particulier contre ceux qui étaient noirs ou appartenaient à une autre minorité raciale</w:t>
      </w:r>
      <w:r w:rsidRPr="00CD6B67">
        <w:rPr>
          <w:rStyle w:val="FootnoteReference"/>
        </w:rPr>
        <w:footnoteReference w:id="593"/>
      </w:r>
      <w:r w:rsidRPr="00B7740F">
        <w:rPr>
          <w:lang w:val="fr-FR"/>
        </w:rPr>
        <w:t>. Le personnel médical aurait également été victime d</w:t>
      </w:r>
      <w:r>
        <w:rPr>
          <w:lang w:val="fr-FR"/>
        </w:rPr>
        <w:t>’</w:t>
      </w:r>
      <w:r w:rsidRPr="00B7740F">
        <w:rPr>
          <w:lang w:val="fr-FR"/>
        </w:rPr>
        <w:t>agressions aveugles de la part des forces de l</w:t>
      </w:r>
      <w:r>
        <w:rPr>
          <w:lang w:val="fr-FR"/>
        </w:rPr>
        <w:t>’</w:t>
      </w:r>
      <w:r w:rsidRPr="00B7740F">
        <w:rPr>
          <w:lang w:val="fr-FR"/>
        </w:rPr>
        <w:t>ordre aux États-Unis lors de manifestations contre le</w:t>
      </w:r>
      <w:r w:rsidRPr="0026024B">
        <w:rPr>
          <w:lang w:val="fr-FR"/>
        </w:rPr>
        <w:t xml:space="preserve"> racisme</w:t>
      </w:r>
      <w:r w:rsidRPr="00CD6B67">
        <w:rPr>
          <w:rStyle w:val="FootnoteReference"/>
        </w:rPr>
        <w:footnoteReference w:id="594"/>
      </w:r>
      <w:r w:rsidRPr="0026024B">
        <w:rPr>
          <w:lang w:val="fr-FR"/>
        </w:rPr>
        <w:t>, dont certaines les ciblaient parfois e</w:t>
      </w:r>
      <w:r w:rsidRPr="001917D5">
        <w:rPr>
          <w:lang w:val="fr-FR"/>
        </w:rPr>
        <w:t>xpressément selon les allégations</w:t>
      </w:r>
      <w:r w:rsidRPr="00CD6B67">
        <w:rPr>
          <w:rStyle w:val="FootnoteReference"/>
        </w:rPr>
        <w:footnoteReference w:id="595"/>
      </w:r>
      <w:r>
        <w:rPr>
          <w:lang w:val="fr-FR"/>
        </w:rPr>
        <w:t>.</w:t>
      </w:r>
    </w:p>
    <w:p w14:paraId="5AD188F2" w14:textId="1448B350" w:rsidR="00D301C6" w:rsidRPr="00293268" w:rsidRDefault="00D301C6" w:rsidP="00D301C6">
      <w:pPr>
        <w:pStyle w:val="H1G"/>
        <w:rPr>
          <w:lang w:val="fr-FR"/>
        </w:rPr>
      </w:pPr>
      <w:bookmarkStart w:id="1075" w:name="_Toc70504414"/>
      <w:bookmarkStart w:id="1076" w:name="_Toc71215035"/>
      <w:bookmarkStart w:id="1077" w:name="_Toc71575396"/>
      <w:bookmarkStart w:id="1078" w:name="_Toc71666312"/>
      <w:bookmarkStart w:id="1079" w:name="_Toc70504415"/>
      <w:bookmarkStart w:id="1080" w:name="_Toc71215036"/>
      <w:bookmarkStart w:id="1081" w:name="_Toc71575397"/>
      <w:bookmarkStart w:id="1082" w:name="_Toc71666313"/>
      <w:bookmarkStart w:id="1083" w:name="_Toc74922973"/>
      <w:bookmarkStart w:id="1084" w:name="_Toc62028874"/>
      <w:bookmarkStart w:id="1085" w:name="_Toc62556541"/>
      <w:bookmarkStart w:id="1086" w:name="_Toc62562326"/>
      <w:bookmarkEnd w:id="1075"/>
      <w:bookmarkEnd w:id="1076"/>
      <w:bookmarkEnd w:id="1077"/>
      <w:bookmarkEnd w:id="1078"/>
      <w:bookmarkEnd w:id="1079"/>
      <w:bookmarkEnd w:id="1080"/>
      <w:bookmarkEnd w:id="1081"/>
      <w:bookmarkEnd w:id="1082"/>
      <w:r w:rsidRPr="00293268">
        <w:rPr>
          <w:lang w:val="fr-FR"/>
        </w:rPr>
        <w:tab/>
        <w:t>C.</w:t>
      </w:r>
      <w:r w:rsidRPr="00293268">
        <w:rPr>
          <w:lang w:val="fr-FR"/>
        </w:rPr>
        <w:tab/>
      </w:r>
      <w:bookmarkEnd w:id="1083"/>
      <w:r w:rsidRPr="008C2A57">
        <w:rPr>
          <w:lang w:val="fr-FR"/>
        </w:rPr>
        <w:t xml:space="preserve">Contexte </w:t>
      </w:r>
      <w:r>
        <w:rPr>
          <w:lang w:val="fr-FR"/>
        </w:rPr>
        <w:t>plus général</w:t>
      </w:r>
      <w:r w:rsidRPr="008C2A57">
        <w:rPr>
          <w:lang w:val="fr-FR"/>
        </w:rPr>
        <w:t xml:space="preserve"> de harcèlement, de surveillance, d</w:t>
      </w:r>
      <w:r>
        <w:rPr>
          <w:lang w:val="fr-FR"/>
        </w:rPr>
        <w:t>’</w:t>
      </w:r>
      <w:r w:rsidRPr="008C2A57">
        <w:rPr>
          <w:lang w:val="fr-FR"/>
        </w:rPr>
        <w:t xml:space="preserve">intimidation </w:t>
      </w:r>
      <w:r w:rsidR="00330201">
        <w:rPr>
          <w:lang w:val="fr-FR"/>
        </w:rPr>
        <w:br/>
      </w:r>
      <w:r w:rsidRPr="008C2A57">
        <w:rPr>
          <w:lang w:val="fr-FR"/>
        </w:rPr>
        <w:t>et de violence à l</w:t>
      </w:r>
      <w:r>
        <w:rPr>
          <w:lang w:val="fr-FR"/>
        </w:rPr>
        <w:t>’</w:t>
      </w:r>
      <w:r w:rsidRPr="008C2A57">
        <w:rPr>
          <w:lang w:val="fr-FR"/>
        </w:rPr>
        <w:t>encontre des défenseurs des droits de l</w:t>
      </w:r>
      <w:r>
        <w:rPr>
          <w:lang w:val="fr-FR"/>
        </w:rPr>
        <w:t>’</w:t>
      </w:r>
      <w:r w:rsidRPr="008C2A57">
        <w:rPr>
          <w:lang w:val="fr-FR"/>
        </w:rPr>
        <w:t>homme</w:t>
      </w:r>
    </w:p>
    <w:p w14:paraId="337F872E" w14:textId="77856E01" w:rsidR="00D301C6" w:rsidRPr="00293268" w:rsidRDefault="00D301C6" w:rsidP="00D301C6">
      <w:pPr>
        <w:pStyle w:val="SingleTxtG"/>
        <w:rPr>
          <w:lang w:val="fr-FR"/>
        </w:rPr>
      </w:pPr>
      <w:r w:rsidRPr="00293268">
        <w:rPr>
          <w:lang w:val="fr-FR"/>
        </w:rPr>
        <w:t>218.</w:t>
      </w:r>
      <w:r w:rsidRPr="00293268">
        <w:rPr>
          <w:lang w:val="fr-FR"/>
        </w:rPr>
        <w:tab/>
      </w:r>
      <w:r w:rsidRPr="005877F3">
        <w:rPr>
          <w:lang w:val="fr-FR"/>
        </w:rPr>
        <w:t xml:space="preserve">Dans certains pays, la répression des manifestations contre le racisme devrait être replacée dans un contexte plus </w:t>
      </w:r>
      <w:r>
        <w:rPr>
          <w:lang w:val="fr-FR"/>
        </w:rPr>
        <w:t>général</w:t>
      </w:r>
      <w:r w:rsidRPr="005877F3">
        <w:rPr>
          <w:lang w:val="fr-FR"/>
        </w:rPr>
        <w:t xml:space="preserve"> de harcèlement, d</w:t>
      </w:r>
      <w:r>
        <w:rPr>
          <w:lang w:val="fr-FR"/>
        </w:rPr>
        <w:t>’</w:t>
      </w:r>
      <w:r w:rsidRPr="005877F3">
        <w:rPr>
          <w:lang w:val="fr-FR"/>
        </w:rPr>
        <w:t>intimidation et parfois de violence à l</w:t>
      </w:r>
      <w:r>
        <w:rPr>
          <w:lang w:val="fr-FR"/>
        </w:rPr>
        <w:t>’</w:t>
      </w:r>
      <w:r w:rsidRPr="005877F3">
        <w:rPr>
          <w:lang w:val="fr-FR"/>
        </w:rPr>
        <w:t>encontre de ceux et celles qui s</w:t>
      </w:r>
      <w:r>
        <w:rPr>
          <w:lang w:val="fr-FR"/>
        </w:rPr>
        <w:t>’</w:t>
      </w:r>
      <w:r w:rsidRPr="005877F3">
        <w:rPr>
          <w:lang w:val="fr-FR"/>
        </w:rPr>
        <w:t>élèvent contre le racisme. En Europe et aux États-Unis, certains militants de la société civile d</w:t>
      </w:r>
      <w:r>
        <w:rPr>
          <w:lang w:val="fr-FR"/>
        </w:rPr>
        <w:t>’</w:t>
      </w:r>
      <w:r w:rsidRPr="005877F3">
        <w:rPr>
          <w:lang w:val="fr-FR"/>
        </w:rPr>
        <w:t xml:space="preserve">ascendance africaine ont </w:t>
      </w:r>
      <w:r>
        <w:rPr>
          <w:lang w:val="fr-FR"/>
        </w:rPr>
        <w:t>signal</w:t>
      </w:r>
      <w:r w:rsidRPr="005877F3">
        <w:rPr>
          <w:lang w:val="fr-FR"/>
        </w:rPr>
        <w:t>é avoir fait l</w:t>
      </w:r>
      <w:r>
        <w:rPr>
          <w:lang w:val="fr-FR"/>
        </w:rPr>
        <w:t>’</w:t>
      </w:r>
      <w:r w:rsidRPr="005877F3">
        <w:rPr>
          <w:lang w:val="fr-FR"/>
        </w:rPr>
        <w:t>objet de harcèlement, d</w:t>
      </w:r>
      <w:r>
        <w:rPr>
          <w:lang w:val="fr-FR"/>
        </w:rPr>
        <w:t>e</w:t>
      </w:r>
      <w:r w:rsidRPr="005877F3">
        <w:rPr>
          <w:lang w:val="fr-FR"/>
        </w:rPr>
        <w:t xml:space="preserve"> surveillance et de menaces pour leur sécurité, notamment en ligne</w:t>
      </w:r>
      <w:r w:rsidRPr="00CD6B67">
        <w:rPr>
          <w:rStyle w:val="FootnoteReference"/>
        </w:rPr>
        <w:footnoteReference w:id="596"/>
      </w:r>
      <w:r>
        <w:rPr>
          <w:lang w:val="fr-FR"/>
        </w:rPr>
        <w:t>.</w:t>
      </w:r>
      <w:r w:rsidRPr="00293268">
        <w:rPr>
          <w:lang w:val="fr-FR"/>
        </w:rPr>
        <w:t xml:space="preserve"> </w:t>
      </w:r>
      <w:r w:rsidRPr="006D2530">
        <w:rPr>
          <w:lang w:val="fr-FR"/>
        </w:rPr>
        <w:t>Les</w:t>
      </w:r>
      <w:r w:rsidR="008F5844">
        <w:rPr>
          <w:lang w:val="fr-FR"/>
        </w:rPr>
        <w:t> </w:t>
      </w:r>
      <w:r w:rsidRPr="006D2530">
        <w:rPr>
          <w:lang w:val="fr-FR"/>
        </w:rPr>
        <w:t>mécanismes des droits de l</w:t>
      </w:r>
      <w:r>
        <w:rPr>
          <w:lang w:val="fr-FR"/>
        </w:rPr>
        <w:t>’</w:t>
      </w:r>
      <w:r w:rsidRPr="006D2530">
        <w:rPr>
          <w:lang w:val="fr-FR"/>
        </w:rPr>
        <w:t>homme de l</w:t>
      </w:r>
      <w:r>
        <w:rPr>
          <w:lang w:val="fr-FR"/>
        </w:rPr>
        <w:t>’</w:t>
      </w:r>
      <w:r w:rsidRPr="006D2530">
        <w:rPr>
          <w:lang w:val="fr-FR"/>
        </w:rPr>
        <w:t xml:space="preserve">ONU </w:t>
      </w:r>
      <w:r w:rsidRPr="00087BC3">
        <w:rPr>
          <w:lang w:val="fr-FR"/>
        </w:rPr>
        <w:t>se sont dits préoccupés</w:t>
      </w:r>
      <w:r>
        <w:rPr>
          <w:lang w:val="fr-FR"/>
        </w:rPr>
        <w:t xml:space="preserve"> par</w:t>
      </w:r>
      <w:r w:rsidRPr="006D2530">
        <w:rPr>
          <w:lang w:val="fr-FR"/>
        </w:rPr>
        <w:t xml:space="preserve"> le harcèlement raciste, l</w:t>
      </w:r>
      <w:r>
        <w:rPr>
          <w:lang w:val="fr-FR"/>
        </w:rPr>
        <w:t>’</w:t>
      </w:r>
      <w:r w:rsidRPr="006D2530">
        <w:rPr>
          <w:lang w:val="fr-FR"/>
        </w:rPr>
        <w:t>intimidation et les menaces de mort à l</w:t>
      </w:r>
      <w:r>
        <w:rPr>
          <w:lang w:val="fr-FR"/>
        </w:rPr>
        <w:t>’</w:t>
      </w:r>
      <w:r w:rsidRPr="006D2530">
        <w:rPr>
          <w:lang w:val="fr-FR"/>
        </w:rPr>
        <w:t>encontre de l</w:t>
      </w:r>
      <w:r>
        <w:rPr>
          <w:lang w:val="fr-FR"/>
        </w:rPr>
        <w:t>’</w:t>
      </w:r>
      <w:r w:rsidRPr="006D2530">
        <w:rPr>
          <w:lang w:val="fr-FR"/>
        </w:rPr>
        <w:t>un des membres fondateurs du Réseau européen contre le racisme (ENAR) et dirigeant de SOS Racism</w:t>
      </w:r>
      <w:r>
        <w:rPr>
          <w:lang w:val="fr-FR"/>
        </w:rPr>
        <w:t>e</w:t>
      </w:r>
      <w:r w:rsidRPr="006D2530">
        <w:rPr>
          <w:lang w:val="fr-FR"/>
        </w:rPr>
        <w:t>,</w:t>
      </w:r>
      <w:r>
        <w:rPr>
          <w:lang w:val="fr-FR"/>
        </w:rPr>
        <w:t xml:space="preserve"> au Portugal,</w:t>
      </w:r>
      <w:r w:rsidRPr="006D2530">
        <w:rPr>
          <w:lang w:val="fr-FR"/>
        </w:rPr>
        <w:t xml:space="preserve"> ainsi que </w:t>
      </w:r>
      <w:r>
        <w:rPr>
          <w:lang w:val="fr-FR"/>
        </w:rPr>
        <w:t xml:space="preserve">par des </w:t>
      </w:r>
      <w:r w:rsidRPr="006D2530">
        <w:rPr>
          <w:lang w:val="fr-FR"/>
        </w:rPr>
        <w:t>allégations, aux États-Unis, d</w:t>
      </w:r>
      <w:r>
        <w:rPr>
          <w:lang w:val="fr-FR"/>
        </w:rPr>
        <w:t>’</w:t>
      </w:r>
      <w:r w:rsidRPr="006D2530">
        <w:rPr>
          <w:lang w:val="fr-FR"/>
        </w:rPr>
        <w:t>arrestations et de poursuites pénales à l</w:t>
      </w:r>
      <w:r>
        <w:rPr>
          <w:lang w:val="fr-FR"/>
        </w:rPr>
        <w:t>’</w:t>
      </w:r>
      <w:r w:rsidRPr="006D2530">
        <w:rPr>
          <w:lang w:val="fr-FR"/>
        </w:rPr>
        <w:t>encontre de huit défenseurs des droits de l</w:t>
      </w:r>
      <w:r>
        <w:rPr>
          <w:lang w:val="fr-FR"/>
        </w:rPr>
        <w:t>’</w:t>
      </w:r>
      <w:r w:rsidRPr="006D2530">
        <w:rPr>
          <w:lang w:val="fr-FR"/>
        </w:rPr>
        <w:t>homme qui manifestaient pacifiquement contre les coupures d</w:t>
      </w:r>
      <w:r>
        <w:rPr>
          <w:lang w:val="fr-FR"/>
        </w:rPr>
        <w:t>’</w:t>
      </w:r>
      <w:r w:rsidRPr="006D2530">
        <w:rPr>
          <w:lang w:val="fr-FR"/>
        </w:rPr>
        <w:t xml:space="preserve">eau injustifiées à Détroit, dans le Michigan, </w:t>
      </w:r>
      <w:r>
        <w:rPr>
          <w:lang w:val="fr-FR"/>
        </w:rPr>
        <w:t>vis</w:t>
      </w:r>
      <w:r w:rsidRPr="006D2530">
        <w:rPr>
          <w:lang w:val="fr-FR"/>
        </w:rPr>
        <w:t>ant principalement les Afro-Américains</w:t>
      </w:r>
      <w:r w:rsidRPr="00CD6B67">
        <w:rPr>
          <w:rStyle w:val="FootnoteReference"/>
        </w:rPr>
        <w:footnoteReference w:id="597"/>
      </w:r>
      <w:r>
        <w:rPr>
          <w:lang w:val="fr-FR"/>
        </w:rPr>
        <w:t>.</w:t>
      </w:r>
      <w:r w:rsidRPr="00293268">
        <w:rPr>
          <w:lang w:val="fr-FR"/>
        </w:rPr>
        <w:t xml:space="preserve"> </w:t>
      </w:r>
      <w:r w:rsidRPr="00EB35E3">
        <w:rPr>
          <w:lang w:val="fr-FR"/>
        </w:rPr>
        <w:t>En Europe, des cas de stigmatisation et de marginalisation ont également été signalés, illustrant à quel point les défenseurs des droits de l</w:t>
      </w:r>
      <w:r>
        <w:rPr>
          <w:lang w:val="fr-FR"/>
        </w:rPr>
        <w:t>’</w:t>
      </w:r>
      <w:r w:rsidRPr="00EB35E3">
        <w:rPr>
          <w:lang w:val="fr-FR"/>
        </w:rPr>
        <w:t>homme d</w:t>
      </w:r>
      <w:r>
        <w:rPr>
          <w:lang w:val="fr-FR"/>
        </w:rPr>
        <w:t>’</w:t>
      </w:r>
      <w:r w:rsidRPr="00EB35E3">
        <w:rPr>
          <w:lang w:val="fr-FR"/>
        </w:rPr>
        <w:t>ascendance africaine sont souvent discrédités et méprisés</w:t>
      </w:r>
      <w:r w:rsidRPr="00CD6B67">
        <w:rPr>
          <w:rStyle w:val="FootnoteReference"/>
        </w:rPr>
        <w:footnoteReference w:id="598"/>
      </w:r>
      <w:r>
        <w:rPr>
          <w:lang w:val="fr-FR"/>
        </w:rPr>
        <w:t>.</w:t>
      </w:r>
      <w:r w:rsidRPr="00293268">
        <w:rPr>
          <w:lang w:val="fr-FR"/>
        </w:rPr>
        <w:t xml:space="preserve"> </w:t>
      </w:r>
      <w:r w:rsidRPr="0075442D">
        <w:rPr>
          <w:lang w:val="fr-FR"/>
        </w:rPr>
        <w:t xml:space="preserve">Parmi les autres préoccupations soulevées, </w:t>
      </w:r>
      <w:r>
        <w:rPr>
          <w:lang w:val="fr-FR"/>
        </w:rPr>
        <w:t xml:space="preserve">il convient de mentionner </w:t>
      </w:r>
      <w:r w:rsidRPr="0075442D">
        <w:rPr>
          <w:lang w:val="fr-FR"/>
        </w:rPr>
        <w:t>également le manque de transparence dans l</w:t>
      </w:r>
      <w:r>
        <w:rPr>
          <w:lang w:val="fr-FR"/>
        </w:rPr>
        <w:t>’</w:t>
      </w:r>
      <w:r w:rsidRPr="0075442D">
        <w:rPr>
          <w:lang w:val="fr-FR"/>
        </w:rPr>
        <w:t>attribution des fonds aux organisations qui luttent contre le racisme à l</w:t>
      </w:r>
      <w:r>
        <w:rPr>
          <w:lang w:val="fr-FR"/>
        </w:rPr>
        <w:t>’</w:t>
      </w:r>
      <w:r w:rsidRPr="0075442D">
        <w:rPr>
          <w:lang w:val="fr-FR"/>
        </w:rPr>
        <w:t>encontre des personnes d</w:t>
      </w:r>
      <w:r>
        <w:rPr>
          <w:lang w:val="fr-FR"/>
        </w:rPr>
        <w:t>’</w:t>
      </w:r>
      <w:r w:rsidRPr="0075442D">
        <w:rPr>
          <w:lang w:val="fr-FR"/>
        </w:rPr>
        <w:t>ascendance africaine</w:t>
      </w:r>
      <w:r w:rsidRPr="00CD6B67">
        <w:rPr>
          <w:rStyle w:val="FootnoteReference"/>
        </w:rPr>
        <w:footnoteReference w:id="599"/>
      </w:r>
      <w:r w:rsidRPr="00293268" w:rsidDel="007471F3">
        <w:rPr>
          <w:lang w:val="fr-FR"/>
        </w:rPr>
        <w:t xml:space="preserve"> </w:t>
      </w:r>
      <w:r w:rsidRPr="008F67F7">
        <w:rPr>
          <w:lang w:val="fr-FR"/>
        </w:rPr>
        <w:t>et, plus généralement, leur accès limité aux financements de l</w:t>
      </w:r>
      <w:r>
        <w:rPr>
          <w:lang w:val="fr-FR"/>
        </w:rPr>
        <w:t>’</w:t>
      </w:r>
      <w:r w:rsidRPr="008F67F7">
        <w:rPr>
          <w:lang w:val="fr-FR"/>
        </w:rPr>
        <w:t>État</w:t>
      </w:r>
      <w:r w:rsidRPr="00CD6B67">
        <w:rPr>
          <w:rStyle w:val="FootnoteReference"/>
        </w:rPr>
        <w:footnoteReference w:id="600"/>
      </w:r>
      <w:r>
        <w:rPr>
          <w:lang w:val="fr-FR"/>
        </w:rPr>
        <w:t>.</w:t>
      </w:r>
      <w:r w:rsidRPr="00293268">
        <w:rPr>
          <w:lang w:val="fr-FR"/>
        </w:rPr>
        <w:t xml:space="preserve"> </w:t>
      </w:r>
      <w:r w:rsidRPr="00171834">
        <w:rPr>
          <w:lang w:val="fr-FR"/>
        </w:rPr>
        <w:t>Comme indiqué ci-dessus, certaines familles de victimes d</w:t>
      </w:r>
      <w:r>
        <w:rPr>
          <w:lang w:val="fr-FR"/>
        </w:rPr>
        <w:t>’</w:t>
      </w:r>
      <w:r w:rsidRPr="00171834">
        <w:rPr>
          <w:lang w:val="fr-FR"/>
        </w:rPr>
        <w:t>ascendance africaine ont également fait état de harcèlement et de menaces</w:t>
      </w:r>
      <w:r w:rsidRPr="00293268">
        <w:rPr>
          <w:lang w:val="fr-FR"/>
        </w:rPr>
        <w:t>.</w:t>
      </w:r>
    </w:p>
    <w:p w14:paraId="3E71AC54" w14:textId="403270F8" w:rsidR="00D301C6" w:rsidRPr="00293268" w:rsidRDefault="00D301C6" w:rsidP="00D301C6">
      <w:pPr>
        <w:pStyle w:val="SingleTxtG"/>
        <w:rPr>
          <w:lang w:val="fr-FR"/>
        </w:rPr>
      </w:pPr>
      <w:r w:rsidRPr="00293268">
        <w:rPr>
          <w:lang w:val="fr-FR"/>
        </w:rPr>
        <w:t>219.</w:t>
      </w:r>
      <w:r w:rsidRPr="00293268">
        <w:rPr>
          <w:lang w:val="fr-FR"/>
        </w:rPr>
        <w:tab/>
      </w:r>
      <w:r w:rsidRPr="00E439A5">
        <w:rPr>
          <w:lang w:val="fr-FR"/>
        </w:rPr>
        <w:t>Une autre préoccupation a été exprimée au sujet des restrictions imposées aux organisations qui protègent les droits des migrants, en particulier des migrants africains, et qui fournissent une assistance vitale</w:t>
      </w:r>
      <w:r w:rsidRPr="00CD6B67">
        <w:rPr>
          <w:rStyle w:val="FootnoteReference"/>
        </w:rPr>
        <w:footnoteReference w:id="601"/>
      </w:r>
      <w:r>
        <w:rPr>
          <w:lang w:val="fr-FR"/>
        </w:rPr>
        <w:t>.</w:t>
      </w:r>
      <w:r w:rsidRPr="00293268">
        <w:rPr>
          <w:lang w:val="fr-FR"/>
        </w:rPr>
        <w:t xml:space="preserve"> </w:t>
      </w:r>
      <w:r w:rsidRPr="006E382F">
        <w:rPr>
          <w:lang w:val="fr-FR"/>
        </w:rPr>
        <w:t>Selon l</w:t>
      </w:r>
      <w:r>
        <w:rPr>
          <w:lang w:val="fr-FR"/>
        </w:rPr>
        <w:t>’</w:t>
      </w:r>
      <w:r w:rsidRPr="006E382F">
        <w:rPr>
          <w:lang w:val="fr-FR"/>
        </w:rPr>
        <w:t>Agence des droits fondamentaux de l</w:t>
      </w:r>
      <w:r>
        <w:rPr>
          <w:lang w:val="fr-FR"/>
        </w:rPr>
        <w:t>’</w:t>
      </w:r>
      <w:r w:rsidRPr="006E382F">
        <w:rPr>
          <w:lang w:val="fr-FR"/>
        </w:rPr>
        <w:t>Union européenne, depuis 2016, une cinquantaine de procédures pénales ou administratives ont été engagées par l</w:t>
      </w:r>
      <w:r>
        <w:rPr>
          <w:lang w:val="fr-FR"/>
        </w:rPr>
        <w:t>’</w:t>
      </w:r>
      <w:r w:rsidRPr="006E382F">
        <w:rPr>
          <w:lang w:val="fr-FR"/>
        </w:rPr>
        <w:t xml:space="preserve">Allemagne, </w:t>
      </w:r>
      <w:r w:rsidR="00D60D25" w:rsidRPr="006E382F">
        <w:rPr>
          <w:lang w:val="fr-FR"/>
        </w:rPr>
        <w:t>l</w:t>
      </w:r>
      <w:r w:rsidR="00D60D25">
        <w:rPr>
          <w:lang w:val="fr-FR"/>
        </w:rPr>
        <w:t>’Espagne,</w:t>
      </w:r>
      <w:r w:rsidR="00D60D25" w:rsidRPr="006E382F">
        <w:rPr>
          <w:lang w:val="fr-FR"/>
        </w:rPr>
        <w:t xml:space="preserve"> </w:t>
      </w:r>
      <w:r w:rsidRPr="006E382F">
        <w:rPr>
          <w:lang w:val="fr-FR"/>
        </w:rPr>
        <w:t>la Grèce, l</w:t>
      </w:r>
      <w:r>
        <w:rPr>
          <w:lang w:val="fr-FR"/>
        </w:rPr>
        <w:t>’</w:t>
      </w:r>
      <w:r w:rsidRPr="006E382F">
        <w:rPr>
          <w:lang w:val="fr-FR"/>
        </w:rPr>
        <w:t>Italie, Malte</w:t>
      </w:r>
      <w:r w:rsidR="00D60D25">
        <w:rPr>
          <w:lang w:val="fr-FR"/>
        </w:rPr>
        <w:t xml:space="preserve"> et</w:t>
      </w:r>
      <w:r w:rsidRPr="006E382F">
        <w:rPr>
          <w:lang w:val="fr-FR"/>
        </w:rPr>
        <w:t xml:space="preserve"> les Pays-Bas contre des acteurs humanitaires participant à des opérations de recherche et de sauvetage en Méditerranée</w:t>
      </w:r>
      <w:r w:rsidRPr="00CD6B67">
        <w:rPr>
          <w:rStyle w:val="FootnoteReference"/>
        </w:rPr>
        <w:footnoteReference w:id="602"/>
      </w:r>
      <w:r>
        <w:rPr>
          <w:lang w:val="fr-FR"/>
        </w:rPr>
        <w:t>.</w:t>
      </w:r>
    </w:p>
    <w:p w14:paraId="29ECEA55" w14:textId="784C0F20" w:rsidR="00D301C6" w:rsidRPr="00293268" w:rsidRDefault="00D301C6" w:rsidP="00D301C6">
      <w:pPr>
        <w:pStyle w:val="SingleTxtG"/>
        <w:rPr>
          <w:lang w:val="fr-FR"/>
        </w:rPr>
      </w:pPr>
      <w:r w:rsidRPr="00293268">
        <w:rPr>
          <w:lang w:val="fr-FR"/>
        </w:rPr>
        <w:t>220.</w:t>
      </w:r>
      <w:r w:rsidRPr="00293268">
        <w:rPr>
          <w:lang w:val="fr-FR"/>
        </w:rPr>
        <w:tab/>
      </w:r>
      <w:r w:rsidRPr="000A7AB7">
        <w:rPr>
          <w:lang w:val="fr-FR"/>
        </w:rPr>
        <w:t>Des informations ont également été reçues au sujet du meurtre présumé de 70</w:t>
      </w:r>
      <w:r w:rsidR="00F0589E">
        <w:rPr>
          <w:lang w:val="fr-FR"/>
        </w:rPr>
        <w:t> </w:t>
      </w:r>
      <w:r w:rsidRPr="000A7AB7">
        <w:rPr>
          <w:lang w:val="fr-FR"/>
        </w:rPr>
        <w:t>défenseurs des droits de l</w:t>
      </w:r>
      <w:r>
        <w:rPr>
          <w:lang w:val="fr-FR"/>
        </w:rPr>
        <w:t>’</w:t>
      </w:r>
      <w:r w:rsidRPr="000A7AB7">
        <w:rPr>
          <w:lang w:val="fr-FR"/>
        </w:rPr>
        <w:t>homme d</w:t>
      </w:r>
      <w:r>
        <w:rPr>
          <w:lang w:val="fr-FR"/>
        </w:rPr>
        <w:t>’</w:t>
      </w:r>
      <w:r w:rsidRPr="000A7AB7">
        <w:rPr>
          <w:lang w:val="fr-FR"/>
        </w:rPr>
        <w:t>ascendance africaine en Amérique latine (57 hommes, 12</w:t>
      </w:r>
      <w:r w:rsidR="00F0589E">
        <w:rPr>
          <w:lang w:val="fr-FR"/>
        </w:rPr>
        <w:t> </w:t>
      </w:r>
      <w:r w:rsidRPr="000A7AB7">
        <w:rPr>
          <w:lang w:val="fr-FR"/>
        </w:rPr>
        <w:t xml:space="preserve">femmes et </w:t>
      </w:r>
      <w:r w:rsidR="00F0589E">
        <w:rPr>
          <w:lang w:val="fr-FR"/>
        </w:rPr>
        <w:t>1</w:t>
      </w:r>
      <w:r w:rsidRPr="000A7AB7">
        <w:rPr>
          <w:lang w:val="fr-FR"/>
        </w:rPr>
        <w:t xml:space="preserve"> femme </w:t>
      </w:r>
      <w:r>
        <w:rPr>
          <w:lang w:val="fr-FR"/>
        </w:rPr>
        <w:t>transgenre</w:t>
      </w:r>
      <w:r w:rsidRPr="000A7AB7">
        <w:rPr>
          <w:lang w:val="fr-FR"/>
        </w:rPr>
        <w:t>), la majorité au cours des dix dernières années</w:t>
      </w:r>
      <w:r w:rsidRPr="00293268">
        <w:rPr>
          <w:lang w:val="fr-FR"/>
        </w:rPr>
        <w:t xml:space="preserve">. </w:t>
      </w:r>
      <w:r w:rsidRPr="00AA3FA0">
        <w:rPr>
          <w:lang w:val="fr-FR"/>
        </w:rPr>
        <w:t>Au</w:t>
      </w:r>
      <w:r w:rsidR="00F0589E">
        <w:rPr>
          <w:lang w:val="fr-FR"/>
        </w:rPr>
        <w:t xml:space="preserve"> </w:t>
      </w:r>
      <w:r w:rsidRPr="00AA3FA0">
        <w:rPr>
          <w:lang w:val="fr-FR"/>
        </w:rPr>
        <w:t>Honduras, par exemple, des défenseurs des droits de l</w:t>
      </w:r>
      <w:r>
        <w:rPr>
          <w:lang w:val="fr-FR"/>
        </w:rPr>
        <w:t>’</w:t>
      </w:r>
      <w:r w:rsidRPr="00AA3FA0">
        <w:rPr>
          <w:lang w:val="fr-FR"/>
        </w:rPr>
        <w:t>homme et, en particulier, des dirigeantes garifunas, auraient été victimes d</w:t>
      </w:r>
      <w:r>
        <w:rPr>
          <w:lang w:val="fr-FR"/>
        </w:rPr>
        <w:t>’</w:t>
      </w:r>
      <w:r w:rsidRPr="00AA3FA0">
        <w:rPr>
          <w:lang w:val="fr-FR"/>
        </w:rPr>
        <w:t>exécutions arbitraires et de disparitions forcées et inculpé</w:t>
      </w:r>
      <w:r>
        <w:rPr>
          <w:lang w:val="fr-FR"/>
        </w:rPr>
        <w:t>e</w:t>
      </w:r>
      <w:r w:rsidRPr="00AA3FA0">
        <w:rPr>
          <w:lang w:val="fr-FR"/>
        </w:rPr>
        <w:t>s pour avoir défendu les terres collectives ancestrales et les droits culturels des Garifunas</w:t>
      </w:r>
      <w:r w:rsidRPr="00CD6B67">
        <w:rPr>
          <w:rStyle w:val="FootnoteReference"/>
        </w:rPr>
        <w:footnoteReference w:id="603"/>
      </w:r>
      <w:r>
        <w:rPr>
          <w:lang w:val="fr-FR"/>
        </w:rPr>
        <w:t>.</w:t>
      </w:r>
      <w:r w:rsidRPr="00293268">
        <w:rPr>
          <w:lang w:val="fr-FR"/>
        </w:rPr>
        <w:t xml:space="preserve"> </w:t>
      </w:r>
      <w:r w:rsidRPr="0071739E">
        <w:rPr>
          <w:lang w:val="fr-FR"/>
        </w:rPr>
        <w:t xml:space="preserve">En 2020, la </w:t>
      </w:r>
      <w:r w:rsidRPr="00C5433C">
        <w:rPr>
          <w:lang w:val="fr-FR"/>
        </w:rPr>
        <w:t>Commission interaméricaine des droits de l</w:t>
      </w:r>
      <w:r>
        <w:rPr>
          <w:lang w:val="fr-FR"/>
        </w:rPr>
        <w:t>’</w:t>
      </w:r>
      <w:r w:rsidRPr="00C5433C">
        <w:rPr>
          <w:lang w:val="fr-FR"/>
        </w:rPr>
        <w:t>homme</w:t>
      </w:r>
      <w:r w:rsidRPr="0071739E">
        <w:rPr>
          <w:lang w:val="fr-FR"/>
        </w:rPr>
        <w:t xml:space="preserve"> a </w:t>
      </w:r>
      <w:r>
        <w:rPr>
          <w:lang w:val="fr-FR"/>
        </w:rPr>
        <w:t>décrét</w:t>
      </w:r>
      <w:r w:rsidRPr="0071739E">
        <w:rPr>
          <w:lang w:val="fr-FR"/>
        </w:rPr>
        <w:t xml:space="preserve">é des mesures provisoires urgentes en faveur de quatre dirigeants garifunas que des hommes lourdement armés, </w:t>
      </w:r>
      <w:r w:rsidRPr="00467567">
        <w:rPr>
          <w:lang w:val="fr-FR"/>
        </w:rPr>
        <w:t>portant une tenue semblable à celle de policiers</w:t>
      </w:r>
      <w:r w:rsidRPr="0071739E">
        <w:rPr>
          <w:lang w:val="fr-FR"/>
        </w:rPr>
        <w:t xml:space="preserve">, auraient </w:t>
      </w:r>
      <w:r>
        <w:rPr>
          <w:lang w:val="fr-FR"/>
        </w:rPr>
        <w:t>enlevés</w:t>
      </w:r>
      <w:r w:rsidRPr="0071739E">
        <w:rPr>
          <w:lang w:val="fr-FR"/>
        </w:rPr>
        <w:t xml:space="preserve"> pendant un couvre-feu strict lié à la COVID-19, et qui sont toujours portés disparus</w:t>
      </w:r>
      <w:r w:rsidRPr="00CD6B67">
        <w:rPr>
          <w:rStyle w:val="FootnoteReference"/>
        </w:rPr>
        <w:footnoteReference w:id="604"/>
      </w:r>
      <w:r>
        <w:rPr>
          <w:lang w:val="fr-FR"/>
        </w:rPr>
        <w:t>.</w:t>
      </w:r>
      <w:r w:rsidRPr="00293268">
        <w:rPr>
          <w:lang w:val="fr-FR"/>
        </w:rPr>
        <w:t xml:space="preserve"> </w:t>
      </w:r>
      <w:r w:rsidRPr="0016701B">
        <w:rPr>
          <w:lang w:val="fr-FR"/>
        </w:rPr>
        <w:t>En Colombie, 14</w:t>
      </w:r>
      <w:r w:rsidR="00F0589E">
        <w:rPr>
          <w:lang w:val="fr-FR"/>
        </w:rPr>
        <w:t> </w:t>
      </w:r>
      <w:r w:rsidRPr="0016701B">
        <w:rPr>
          <w:lang w:val="fr-FR"/>
        </w:rPr>
        <w:t>défenseurs des droits de l</w:t>
      </w:r>
      <w:r>
        <w:rPr>
          <w:lang w:val="fr-FR"/>
        </w:rPr>
        <w:t>’</w:t>
      </w:r>
      <w:r w:rsidRPr="0016701B">
        <w:rPr>
          <w:lang w:val="fr-FR"/>
        </w:rPr>
        <w:t>homme d</w:t>
      </w:r>
      <w:r>
        <w:rPr>
          <w:lang w:val="fr-FR"/>
        </w:rPr>
        <w:t>’</w:t>
      </w:r>
      <w:r w:rsidRPr="0016701B">
        <w:rPr>
          <w:lang w:val="fr-FR"/>
        </w:rPr>
        <w:t>ascendance africaine auraient été tués en 2020 et d</w:t>
      </w:r>
      <w:r>
        <w:rPr>
          <w:lang w:val="fr-FR"/>
        </w:rPr>
        <w:t>’</w:t>
      </w:r>
      <w:r w:rsidRPr="0016701B">
        <w:rPr>
          <w:lang w:val="fr-FR"/>
        </w:rPr>
        <w:t xml:space="preserve">autres auraient reçu des menaces de mort et </w:t>
      </w:r>
      <w:r>
        <w:rPr>
          <w:lang w:val="fr-FR"/>
        </w:rPr>
        <w:t>d’</w:t>
      </w:r>
      <w:r w:rsidRPr="0016701B">
        <w:rPr>
          <w:lang w:val="fr-FR"/>
        </w:rPr>
        <w:t>autres</w:t>
      </w:r>
      <w:r w:rsidRPr="00CD6B67">
        <w:rPr>
          <w:rStyle w:val="FootnoteReference"/>
        </w:rPr>
        <w:t xml:space="preserve"> </w:t>
      </w:r>
      <w:r>
        <w:rPr>
          <w:lang w:val="fr-FR"/>
        </w:rPr>
        <w:t>menaces</w:t>
      </w:r>
      <w:r w:rsidRPr="00CD6B67">
        <w:rPr>
          <w:rStyle w:val="FootnoteReference"/>
        </w:rPr>
        <w:footnoteReference w:id="605"/>
      </w:r>
      <w:r>
        <w:rPr>
          <w:lang w:val="fr-FR"/>
        </w:rPr>
        <w:t>.</w:t>
      </w:r>
      <w:r w:rsidRPr="00293268">
        <w:rPr>
          <w:lang w:val="fr-FR"/>
        </w:rPr>
        <w:t xml:space="preserve"> </w:t>
      </w:r>
      <w:r>
        <w:rPr>
          <w:lang w:val="fr-FR"/>
        </w:rPr>
        <w:t>E</w:t>
      </w:r>
      <w:r w:rsidRPr="00293268">
        <w:rPr>
          <w:lang w:val="fr-FR"/>
        </w:rPr>
        <w:t xml:space="preserve">n 2018, Marielle Franco, </w:t>
      </w:r>
      <w:r w:rsidRPr="004D7E30">
        <w:rPr>
          <w:lang w:val="fr-FR"/>
        </w:rPr>
        <w:t>une femme politique et défenseuse des droits de l</w:t>
      </w:r>
      <w:r>
        <w:rPr>
          <w:lang w:val="fr-FR"/>
        </w:rPr>
        <w:t>’</w:t>
      </w:r>
      <w:r w:rsidRPr="004D7E30">
        <w:rPr>
          <w:lang w:val="fr-FR"/>
        </w:rPr>
        <w:t>homme d</w:t>
      </w:r>
      <w:r>
        <w:rPr>
          <w:lang w:val="fr-FR"/>
        </w:rPr>
        <w:t>’</w:t>
      </w:r>
      <w:r w:rsidRPr="004D7E30">
        <w:rPr>
          <w:lang w:val="fr-FR"/>
        </w:rPr>
        <w:t xml:space="preserve">ascendance africaine, qui </w:t>
      </w:r>
      <w:r>
        <w:rPr>
          <w:lang w:val="fr-FR"/>
        </w:rPr>
        <w:t>fais</w:t>
      </w:r>
      <w:r w:rsidRPr="004D7E30">
        <w:rPr>
          <w:lang w:val="fr-FR"/>
        </w:rPr>
        <w:t>ait campagne contre la violence policière et en faveur des droits des personnes d</w:t>
      </w:r>
      <w:r>
        <w:rPr>
          <w:lang w:val="fr-FR"/>
        </w:rPr>
        <w:t>’</w:t>
      </w:r>
      <w:r w:rsidRPr="004D7E30">
        <w:rPr>
          <w:lang w:val="fr-FR"/>
        </w:rPr>
        <w:t>ascendance africaine, a été assassinée au Brésil</w:t>
      </w:r>
      <w:r w:rsidRPr="00CD6B67">
        <w:rPr>
          <w:rStyle w:val="FootnoteReference"/>
        </w:rPr>
        <w:footnoteReference w:id="606"/>
      </w:r>
      <w:r>
        <w:rPr>
          <w:lang w:val="fr-FR"/>
        </w:rPr>
        <w:t>. En</w:t>
      </w:r>
      <w:r w:rsidRPr="00293268">
        <w:rPr>
          <w:lang w:val="fr-FR"/>
        </w:rPr>
        <w:t xml:space="preserve"> 2019, </w:t>
      </w:r>
      <w:r w:rsidRPr="00E47239">
        <w:rPr>
          <w:lang w:val="fr-FR"/>
        </w:rPr>
        <w:t xml:space="preserve">des inquiétudes ont été exprimées quant au fait que les défenseurs des droits </w:t>
      </w:r>
      <w:r>
        <w:rPr>
          <w:lang w:val="fr-FR"/>
        </w:rPr>
        <w:t xml:space="preserve">de l’homme </w:t>
      </w:r>
      <w:r w:rsidRPr="00E47239">
        <w:rPr>
          <w:lang w:val="fr-FR"/>
        </w:rPr>
        <w:t xml:space="preserve">au Mexique, notamment </w:t>
      </w:r>
      <w:r>
        <w:rPr>
          <w:lang w:val="fr-FR"/>
        </w:rPr>
        <w:t>d</w:t>
      </w:r>
      <w:r w:rsidRPr="00E47239">
        <w:rPr>
          <w:lang w:val="fr-FR"/>
        </w:rPr>
        <w:t>es dirigeants et défenseurs d</w:t>
      </w:r>
      <w:r>
        <w:rPr>
          <w:lang w:val="fr-FR"/>
        </w:rPr>
        <w:t>’ascendance</w:t>
      </w:r>
      <w:r w:rsidRPr="00E47239">
        <w:rPr>
          <w:lang w:val="fr-FR"/>
        </w:rPr>
        <w:t xml:space="preserve"> africaine, continuaient </w:t>
      </w:r>
      <w:r>
        <w:rPr>
          <w:lang w:val="fr-FR"/>
        </w:rPr>
        <w:t>de faire l’objet</w:t>
      </w:r>
      <w:r w:rsidRPr="00E47239">
        <w:rPr>
          <w:lang w:val="fr-FR"/>
        </w:rPr>
        <w:t xml:space="preserve"> de violences, de menaces</w:t>
      </w:r>
      <w:r>
        <w:rPr>
          <w:lang w:val="fr-FR"/>
        </w:rPr>
        <w:t>,</w:t>
      </w:r>
      <w:r w:rsidRPr="00E47239">
        <w:rPr>
          <w:lang w:val="fr-FR"/>
        </w:rPr>
        <w:t xml:space="preserve"> de tentatives d</w:t>
      </w:r>
      <w:r>
        <w:rPr>
          <w:lang w:val="fr-FR"/>
        </w:rPr>
        <w:t>’</w:t>
      </w:r>
      <w:r w:rsidRPr="00E47239">
        <w:rPr>
          <w:lang w:val="fr-FR"/>
        </w:rPr>
        <w:t>atteinte à leur vie</w:t>
      </w:r>
      <w:r>
        <w:rPr>
          <w:lang w:val="fr-FR"/>
        </w:rPr>
        <w:t xml:space="preserve"> et de</w:t>
      </w:r>
      <w:r w:rsidRPr="00E47239">
        <w:rPr>
          <w:lang w:val="fr-FR"/>
        </w:rPr>
        <w:t xml:space="preserve"> poursuites pénales</w:t>
      </w:r>
      <w:r w:rsidRPr="00CD6B67">
        <w:rPr>
          <w:rStyle w:val="FootnoteReference"/>
        </w:rPr>
        <w:footnoteReference w:id="607"/>
      </w:r>
      <w:r>
        <w:rPr>
          <w:lang w:val="fr-FR"/>
        </w:rPr>
        <w:t>.</w:t>
      </w:r>
    </w:p>
    <w:p w14:paraId="00E6943A" w14:textId="77777777" w:rsidR="00D301C6" w:rsidRPr="00293268" w:rsidRDefault="00D301C6" w:rsidP="00D301C6">
      <w:pPr>
        <w:pStyle w:val="SingleTxtG"/>
        <w:rPr>
          <w:lang w:val="fr-FR"/>
        </w:rPr>
      </w:pPr>
      <w:r w:rsidRPr="00293268">
        <w:rPr>
          <w:lang w:val="fr-FR"/>
        </w:rPr>
        <w:t>221.</w:t>
      </w:r>
      <w:r w:rsidRPr="00293268">
        <w:rPr>
          <w:lang w:val="fr-FR"/>
        </w:rPr>
        <w:tab/>
      </w:r>
      <w:r w:rsidRPr="00F36C14">
        <w:rPr>
          <w:lang w:val="fr-FR"/>
        </w:rPr>
        <w:t>Aux États-Unis, les médias ont rapporté que des personnes arrêtées lors de manifestations contre le racisme ont été remises aux autorités fédérales chargées de l</w:t>
      </w:r>
      <w:r>
        <w:rPr>
          <w:lang w:val="fr-FR"/>
        </w:rPr>
        <w:t>’</w:t>
      </w:r>
      <w:r w:rsidRPr="00F36C14">
        <w:rPr>
          <w:lang w:val="fr-FR"/>
        </w:rPr>
        <w:t>immigration</w:t>
      </w:r>
      <w:r w:rsidRPr="00CD6B67">
        <w:rPr>
          <w:rStyle w:val="FootnoteReference"/>
        </w:rPr>
        <w:footnoteReference w:id="608"/>
      </w:r>
      <w:r>
        <w:rPr>
          <w:lang w:val="fr-FR"/>
        </w:rPr>
        <w:t>.</w:t>
      </w:r>
      <w:r w:rsidRPr="00293268">
        <w:rPr>
          <w:lang w:val="fr-FR"/>
        </w:rPr>
        <w:t xml:space="preserve"> </w:t>
      </w:r>
      <w:r w:rsidRPr="00240569">
        <w:rPr>
          <w:lang w:val="fr-FR"/>
        </w:rPr>
        <w:t xml:space="preserve">Dans certains cas, </w:t>
      </w:r>
      <w:r>
        <w:rPr>
          <w:lang w:val="fr-FR"/>
        </w:rPr>
        <w:t>d</w:t>
      </w:r>
      <w:r w:rsidRPr="00240569">
        <w:rPr>
          <w:lang w:val="fr-FR"/>
        </w:rPr>
        <w:t>es agents fédéraux de l</w:t>
      </w:r>
      <w:r>
        <w:rPr>
          <w:lang w:val="fr-FR"/>
        </w:rPr>
        <w:t>’</w:t>
      </w:r>
      <w:r w:rsidRPr="00240569">
        <w:rPr>
          <w:lang w:val="fr-FR"/>
        </w:rPr>
        <w:t>immigration auraient également participé directement à la riposte des forces de l</w:t>
      </w:r>
      <w:r>
        <w:rPr>
          <w:lang w:val="fr-FR"/>
        </w:rPr>
        <w:t>’</w:t>
      </w:r>
      <w:r w:rsidRPr="00240569">
        <w:rPr>
          <w:lang w:val="fr-FR"/>
        </w:rPr>
        <w:t>ordre aux manifestations, un rôle pour lequel ils n</w:t>
      </w:r>
      <w:r>
        <w:rPr>
          <w:lang w:val="fr-FR"/>
        </w:rPr>
        <w:t>’</w:t>
      </w:r>
      <w:r w:rsidRPr="00240569">
        <w:rPr>
          <w:lang w:val="fr-FR"/>
        </w:rPr>
        <w:t>étaient pas formés</w:t>
      </w:r>
      <w:r w:rsidRPr="00CD6B67">
        <w:rPr>
          <w:rStyle w:val="FootnoteReference"/>
        </w:rPr>
        <w:footnoteReference w:id="609"/>
      </w:r>
      <w:r>
        <w:rPr>
          <w:lang w:val="fr-FR"/>
        </w:rPr>
        <w:t>.</w:t>
      </w:r>
      <w:r w:rsidRPr="00293268">
        <w:rPr>
          <w:lang w:val="fr-FR"/>
        </w:rPr>
        <w:t xml:space="preserve"> </w:t>
      </w:r>
      <w:r w:rsidRPr="00BA39C3">
        <w:rPr>
          <w:lang w:val="fr-FR"/>
        </w:rPr>
        <w:t>En outre, les fonctionnaires auraient eu recours au profilage racial, à des drones et à d</w:t>
      </w:r>
      <w:r>
        <w:rPr>
          <w:lang w:val="fr-FR"/>
        </w:rPr>
        <w:t>’</w:t>
      </w:r>
      <w:r w:rsidRPr="00BA39C3">
        <w:rPr>
          <w:lang w:val="fr-FR"/>
        </w:rPr>
        <w:t>autres tactiques de surveillance</w:t>
      </w:r>
      <w:r w:rsidRPr="00CD6B67">
        <w:rPr>
          <w:rStyle w:val="FootnoteReference"/>
        </w:rPr>
        <w:footnoteReference w:id="610"/>
      </w:r>
      <w:r>
        <w:rPr>
          <w:lang w:val="fr-FR"/>
        </w:rPr>
        <w:t>.</w:t>
      </w:r>
      <w:r w:rsidRPr="00293268">
        <w:rPr>
          <w:lang w:val="fr-FR"/>
        </w:rPr>
        <w:t xml:space="preserve"> </w:t>
      </w:r>
      <w:r w:rsidRPr="00EA7ED6">
        <w:rPr>
          <w:lang w:val="fr-FR"/>
        </w:rPr>
        <w:t>Des inquiétudes ont été exprimées quant au fait que cela portait atteinte au droit des migrants à la liberté d</w:t>
      </w:r>
      <w:r>
        <w:rPr>
          <w:lang w:val="fr-FR"/>
        </w:rPr>
        <w:t>’</w:t>
      </w:r>
      <w:r w:rsidRPr="00EA7ED6">
        <w:rPr>
          <w:lang w:val="fr-FR"/>
        </w:rPr>
        <w:t>expression et à leur droit de réunion pacifique et d</w:t>
      </w:r>
      <w:r>
        <w:rPr>
          <w:lang w:val="fr-FR"/>
        </w:rPr>
        <w:t>’</w:t>
      </w:r>
      <w:r w:rsidRPr="00EA7ED6">
        <w:rPr>
          <w:lang w:val="fr-FR"/>
        </w:rPr>
        <w:t>association, ainsi qu</w:t>
      </w:r>
      <w:r>
        <w:rPr>
          <w:lang w:val="fr-FR"/>
        </w:rPr>
        <w:t>’</w:t>
      </w:r>
      <w:r w:rsidRPr="00EA7ED6">
        <w:rPr>
          <w:lang w:val="fr-FR"/>
        </w:rPr>
        <w:t>à la solidarité entre les mouvements de défense des droits des migrants et les mouvements antiracistes</w:t>
      </w:r>
      <w:r w:rsidRPr="00CD6B67">
        <w:rPr>
          <w:rStyle w:val="FootnoteReference"/>
        </w:rPr>
        <w:footnoteReference w:id="611"/>
      </w:r>
      <w:r>
        <w:rPr>
          <w:lang w:val="fr-FR"/>
        </w:rPr>
        <w:t>.</w:t>
      </w:r>
    </w:p>
    <w:p w14:paraId="28D12447" w14:textId="3133AB8D" w:rsidR="00D301C6" w:rsidRPr="00293268" w:rsidRDefault="00D301C6" w:rsidP="00D301C6">
      <w:pPr>
        <w:pStyle w:val="H1G"/>
        <w:rPr>
          <w:lang w:val="fr-FR"/>
        </w:rPr>
      </w:pPr>
      <w:bookmarkStart w:id="1087" w:name="_Toc74922974"/>
      <w:bookmarkStart w:id="1088" w:name="_Hlk118299956"/>
      <w:r w:rsidRPr="00293268">
        <w:rPr>
          <w:lang w:val="fr-FR"/>
        </w:rPr>
        <w:tab/>
      </w:r>
      <w:r w:rsidRPr="0031235A">
        <w:rPr>
          <w:lang w:val="fr-FR"/>
        </w:rPr>
        <w:t>D.</w:t>
      </w:r>
      <w:r w:rsidRPr="0031235A">
        <w:rPr>
          <w:lang w:val="fr-FR"/>
        </w:rPr>
        <w:tab/>
      </w:r>
      <w:bookmarkEnd w:id="1084"/>
      <w:bookmarkEnd w:id="1085"/>
      <w:bookmarkEnd w:id="1086"/>
      <w:bookmarkEnd w:id="1087"/>
      <w:r w:rsidRPr="0031235A">
        <w:rPr>
          <w:lang w:val="fr-FR"/>
        </w:rPr>
        <w:t xml:space="preserve">Programme axé sur la transformation pour la justice et l’égalité </w:t>
      </w:r>
      <w:r w:rsidR="00AE463D" w:rsidRPr="0031235A">
        <w:rPr>
          <w:lang w:val="fr-FR"/>
        </w:rPr>
        <w:br/>
      </w:r>
      <w:r w:rsidRPr="0031235A">
        <w:rPr>
          <w:lang w:val="fr-FR"/>
        </w:rPr>
        <w:t xml:space="preserve">raciales </w:t>
      </w:r>
      <w:r w:rsidR="0031235A" w:rsidRPr="0031235A">
        <w:rPr>
          <w:lang w:val="fr-FR"/>
        </w:rPr>
        <w:t>−</w:t>
      </w:r>
      <w:r w:rsidRPr="0031235A">
        <w:rPr>
          <w:lang w:val="fr-FR"/>
        </w:rPr>
        <w:t xml:space="preserve"> La voie à suivre </w:t>
      </w:r>
      <w:r w:rsidR="0031235A" w:rsidRPr="0031235A">
        <w:rPr>
          <w:lang w:val="fr-FR"/>
        </w:rPr>
        <w:t>−</w:t>
      </w:r>
      <w:r w:rsidRPr="0031235A">
        <w:rPr>
          <w:lang w:val="fr-FR"/>
        </w:rPr>
        <w:t xml:space="preserve"> ÉCOUTER : les personnes </w:t>
      </w:r>
      <w:r w:rsidR="00AE463D" w:rsidRPr="0031235A">
        <w:rPr>
          <w:lang w:val="fr-FR"/>
        </w:rPr>
        <w:br/>
      </w:r>
      <w:r w:rsidRPr="0031235A">
        <w:rPr>
          <w:lang w:val="fr-FR"/>
        </w:rPr>
        <w:t>d’ascendance africaine doivent être entendues</w:t>
      </w:r>
    </w:p>
    <w:bookmarkEnd w:id="1088"/>
    <w:p w14:paraId="7A697BE7" w14:textId="47FC1035" w:rsidR="00D301C6" w:rsidRPr="00293268" w:rsidRDefault="00D301C6" w:rsidP="00D301C6">
      <w:pPr>
        <w:pStyle w:val="SingleTxtG"/>
        <w:rPr>
          <w:lang w:val="fr-FR"/>
        </w:rPr>
      </w:pPr>
      <w:r w:rsidRPr="00293268">
        <w:rPr>
          <w:lang w:val="fr-FR"/>
        </w:rPr>
        <w:t>222.</w:t>
      </w:r>
      <w:r w:rsidRPr="00293268">
        <w:rPr>
          <w:lang w:val="fr-FR"/>
        </w:rPr>
        <w:tab/>
      </w:r>
      <w:r w:rsidRPr="00304887">
        <w:rPr>
          <w:lang w:val="fr-FR"/>
        </w:rPr>
        <w:t>Les personnes d</w:t>
      </w:r>
      <w:r>
        <w:rPr>
          <w:lang w:val="fr-FR"/>
        </w:rPr>
        <w:t>’</w:t>
      </w:r>
      <w:r w:rsidRPr="00304887">
        <w:rPr>
          <w:lang w:val="fr-FR"/>
        </w:rPr>
        <w:t>ascendance africaine et leurs organisations ont joué un rôle central dans les progrès réalisés dans le monde entier dans la lutte contre le racisme. Leur combat et leur résilience face au racisme systémique, ainsi que le travail de plaidoyer qu</w:t>
      </w:r>
      <w:r>
        <w:rPr>
          <w:lang w:val="fr-FR"/>
        </w:rPr>
        <w:t>’</w:t>
      </w:r>
      <w:r w:rsidRPr="00304887">
        <w:rPr>
          <w:lang w:val="fr-FR"/>
        </w:rPr>
        <w:t>elles n</w:t>
      </w:r>
      <w:r>
        <w:rPr>
          <w:lang w:val="fr-FR"/>
        </w:rPr>
        <w:t>’</w:t>
      </w:r>
      <w:r w:rsidRPr="00304887">
        <w:rPr>
          <w:lang w:val="fr-FR"/>
        </w:rPr>
        <w:t>ont de cesse de mener, ont permis d</w:t>
      </w:r>
      <w:r>
        <w:rPr>
          <w:lang w:val="fr-FR"/>
        </w:rPr>
        <w:t>’</w:t>
      </w:r>
      <w:r w:rsidRPr="00304887">
        <w:rPr>
          <w:lang w:val="fr-FR"/>
        </w:rPr>
        <w:t>inscrire leurs revendications à l</w:t>
      </w:r>
      <w:r>
        <w:rPr>
          <w:lang w:val="fr-FR"/>
        </w:rPr>
        <w:t>’</w:t>
      </w:r>
      <w:r w:rsidRPr="00304887">
        <w:rPr>
          <w:lang w:val="fr-FR"/>
        </w:rPr>
        <w:t xml:space="preserve">ordre du jour des programmes de leurs pays et régions (voir par exemple les </w:t>
      </w:r>
      <w:r>
        <w:rPr>
          <w:lang w:val="fr-FR"/>
        </w:rPr>
        <w:t>faits nouveaux prometteurs</w:t>
      </w:r>
      <w:r w:rsidRPr="00304887">
        <w:rPr>
          <w:lang w:val="fr-FR"/>
        </w:rPr>
        <w:t xml:space="preserve"> évoqués aux sections</w:t>
      </w:r>
      <w:r w:rsidR="003A7361">
        <w:rPr>
          <w:lang w:val="fr-FR"/>
        </w:rPr>
        <w:t> </w:t>
      </w:r>
      <w:r w:rsidRPr="00304887">
        <w:rPr>
          <w:lang w:val="fr-FR"/>
        </w:rPr>
        <w:t>II, III et V)</w:t>
      </w:r>
      <w:r w:rsidRPr="00293268">
        <w:rPr>
          <w:lang w:val="fr-FR"/>
        </w:rPr>
        <w:t>.</w:t>
      </w:r>
    </w:p>
    <w:p w14:paraId="3BC33688" w14:textId="77777777" w:rsidR="00D301C6" w:rsidRPr="00293268" w:rsidRDefault="00D301C6" w:rsidP="00D301C6">
      <w:pPr>
        <w:pStyle w:val="SingleTxtG"/>
        <w:rPr>
          <w:lang w:val="fr-FR"/>
        </w:rPr>
      </w:pPr>
      <w:r w:rsidRPr="00293268">
        <w:rPr>
          <w:lang w:val="fr-FR"/>
        </w:rPr>
        <w:t>223.</w:t>
      </w:r>
      <w:r w:rsidRPr="00293268">
        <w:rPr>
          <w:lang w:val="fr-FR"/>
        </w:rPr>
        <w:tab/>
      </w:r>
      <w:r w:rsidRPr="00C71F94">
        <w:rPr>
          <w:lang w:val="fr-FR"/>
        </w:rPr>
        <w:t>La société civile a également</w:t>
      </w:r>
      <w:r w:rsidRPr="00050723">
        <w:rPr>
          <w:lang w:val="fr-FR"/>
        </w:rPr>
        <w:t xml:space="preserve"> joué un rôle </w:t>
      </w:r>
      <w:r>
        <w:rPr>
          <w:lang w:val="fr-FR"/>
        </w:rPr>
        <w:t>décisif</w:t>
      </w:r>
      <w:r w:rsidRPr="00050723">
        <w:rPr>
          <w:lang w:val="fr-FR"/>
        </w:rPr>
        <w:t xml:space="preserve"> en faisant pression pour des réformes systémiques du système judiciaire. En juin 2020, par exemple, </w:t>
      </w:r>
      <w:r>
        <w:rPr>
          <w:lang w:val="fr-FR"/>
        </w:rPr>
        <w:t>face aux</w:t>
      </w:r>
      <w:r w:rsidRPr="00050723">
        <w:rPr>
          <w:lang w:val="fr-FR"/>
        </w:rPr>
        <w:t xml:space="preserve"> poursuites intentées par des ONG suite à l</w:t>
      </w:r>
      <w:r>
        <w:rPr>
          <w:lang w:val="fr-FR"/>
        </w:rPr>
        <w:t>’</w:t>
      </w:r>
      <w:r w:rsidRPr="00050723">
        <w:rPr>
          <w:lang w:val="fr-FR"/>
        </w:rPr>
        <w:t>augmentation signalée du nombre de décès de personnes d</w:t>
      </w:r>
      <w:r>
        <w:rPr>
          <w:lang w:val="fr-FR"/>
        </w:rPr>
        <w:t>’</w:t>
      </w:r>
      <w:r w:rsidRPr="00050723">
        <w:rPr>
          <w:lang w:val="fr-FR"/>
        </w:rPr>
        <w:t>ascendance africaine en raison d</w:t>
      </w:r>
      <w:r>
        <w:rPr>
          <w:lang w:val="fr-FR"/>
        </w:rPr>
        <w:t>’</w:t>
      </w:r>
      <w:r w:rsidRPr="00050723">
        <w:rPr>
          <w:lang w:val="fr-FR"/>
        </w:rPr>
        <w:t xml:space="preserve">une recrudescence des opérations de la police militaire dans les </w:t>
      </w:r>
      <w:r w:rsidRPr="00BD34EC">
        <w:rPr>
          <w:i/>
          <w:iCs/>
          <w:lang w:val="fr-FR"/>
        </w:rPr>
        <w:t>favelas</w:t>
      </w:r>
      <w:r w:rsidRPr="00050723">
        <w:rPr>
          <w:lang w:val="fr-FR"/>
        </w:rPr>
        <w:t xml:space="preserve"> de Rio de Janeiro, au Brésil, la Cour suprême fédérale a accordé une injonction préliminaire interdisant ces opérations pendant la pandémie de COVID-19</w:t>
      </w:r>
      <w:r w:rsidRPr="00CD6B67">
        <w:rPr>
          <w:rStyle w:val="FootnoteReference"/>
        </w:rPr>
        <w:footnoteReference w:id="612"/>
      </w:r>
      <w:r>
        <w:rPr>
          <w:lang w:val="fr-FR"/>
        </w:rPr>
        <w:t>.</w:t>
      </w:r>
      <w:r w:rsidRPr="00293268">
        <w:rPr>
          <w:lang w:val="fr-FR"/>
        </w:rPr>
        <w:t xml:space="preserve"> </w:t>
      </w:r>
      <w:r w:rsidRPr="00CE692D">
        <w:rPr>
          <w:lang w:val="fr-FR"/>
        </w:rPr>
        <w:t xml:space="preserve">En janvier 2021, six ONG françaises ont intenté une action de groupe demandant </w:t>
      </w:r>
      <w:r>
        <w:rPr>
          <w:lang w:val="fr-FR"/>
        </w:rPr>
        <w:t>qu’une</w:t>
      </w:r>
      <w:r w:rsidRPr="00CE692D">
        <w:rPr>
          <w:lang w:val="fr-FR"/>
        </w:rPr>
        <w:t xml:space="preserve"> réforme structurelle </w:t>
      </w:r>
      <w:r>
        <w:rPr>
          <w:lang w:val="fr-FR"/>
        </w:rPr>
        <w:t>soit engagée afin de</w:t>
      </w:r>
      <w:r w:rsidRPr="00CE692D">
        <w:rPr>
          <w:lang w:val="fr-FR"/>
        </w:rPr>
        <w:t xml:space="preserve"> mettre </w:t>
      </w:r>
      <w:r>
        <w:rPr>
          <w:lang w:val="fr-FR"/>
        </w:rPr>
        <w:t>un terme</w:t>
      </w:r>
      <w:r w:rsidRPr="00CE692D">
        <w:rPr>
          <w:lang w:val="fr-FR"/>
        </w:rPr>
        <w:t xml:space="preserve"> à la pratique généralisée du profilage ethnique, à la discrimination systémique et aux pratiques policières discriminatoires</w:t>
      </w:r>
      <w:r w:rsidRPr="00CD6B67">
        <w:rPr>
          <w:rStyle w:val="FootnoteReference"/>
        </w:rPr>
        <w:footnoteReference w:id="613"/>
      </w:r>
      <w:r>
        <w:rPr>
          <w:lang w:val="fr-FR"/>
        </w:rPr>
        <w:t>.</w:t>
      </w:r>
    </w:p>
    <w:p w14:paraId="4B0FC6F6" w14:textId="77777777" w:rsidR="00D301C6" w:rsidRPr="00293268" w:rsidRDefault="00D301C6" w:rsidP="00D301C6">
      <w:pPr>
        <w:pStyle w:val="SingleTxtG"/>
        <w:rPr>
          <w:lang w:val="fr-FR"/>
        </w:rPr>
      </w:pPr>
      <w:r w:rsidRPr="00293268">
        <w:rPr>
          <w:lang w:val="fr-FR"/>
        </w:rPr>
        <w:t>224.</w:t>
      </w:r>
      <w:r w:rsidRPr="00293268">
        <w:rPr>
          <w:lang w:val="fr-FR"/>
        </w:rPr>
        <w:tab/>
      </w:r>
      <w:r w:rsidRPr="00852198">
        <w:rPr>
          <w:lang w:val="fr-FR"/>
        </w:rPr>
        <w:t xml:space="preserve">Les voix de celles et ceux qui </w:t>
      </w:r>
      <w:r>
        <w:rPr>
          <w:lang w:val="fr-FR"/>
        </w:rPr>
        <w:t>demandent</w:t>
      </w:r>
      <w:r w:rsidRPr="00852198">
        <w:rPr>
          <w:lang w:val="fr-FR"/>
        </w:rPr>
        <w:t xml:space="preserve"> justice et égalité </w:t>
      </w:r>
      <w:r w:rsidRPr="003316A8">
        <w:rPr>
          <w:lang w:val="fr-FR"/>
        </w:rPr>
        <w:t>raciale</w:t>
      </w:r>
      <w:r>
        <w:rPr>
          <w:lang w:val="fr-FR"/>
        </w:rPr>
        <w:t>s</w:t>
      </w:r>
      <w:r w:rsidRPr="003316A8">
        <w:rPr>
          <w:lang w:val="fr-FR"/>
        </w:rPr>
        <w:t xml:space="preserve"> </w:t>
      </w:r>
      <w:r w:rsidRPr="00852198">
        <w:rPr>
          <w:lang w:val="fr-FR"/>
        </w:rPr>
        <w:t>pour les personnes d</w:t>
      </w:r>
      <w:r>
        <w:rPr>
          <w:lang w:val="fr-FR"/>
        </w:rPr>
        <w:t>’</w:t>
      </w:r>
      <w:r w:rsidRPr="00852198">
        <w:rPr>
          <w:lang w:val="fr-FR"/>
        </w:rPr>
        <w:t>ascendance africaine doivent être entendues et prises en compte</w:t>
      </w:r>
      <w:r w:rsidRPr="00CD6B67">
        <w:rPr>
          <w:rStyle w:val="FootnoteReference"/>
        </w:rPr>
        <w:footnoteReference w:id="614"/>
      </w:r>
      <w:r>
        <w:rPr>
          <w:lang w:val="fr-FR"/>
        </w:rPr>
        <w:t>.</w:t>
      </w:r>
      <w:r w:rsidRPr="00293268">
        <w:rPr>
          <w:lang w:val="fr-FR"/>
        </w:rPr>
        <w:t xml:space="preserve"> </w:t>
      </w:r>
      <w:r w:rsidRPr="00654BF6">
        <w:rPr>
          <w:lang w:val="fr-FR"/>
        </w:rPr>
        <w:t>La dénonciation du racisme par l</w:t>
      </w:r>
      <w:r>
        <w:rPr>
          <w:lang w:val="fr-FR"/>
        </w:rPr>
        <w:t>’</w:t>
      </w:r>
      <w:r w:rsidRPr="00654BF6">
        <w:rPr>
          <w:lang w:val="fr-FR"/>
        </w:rPr>
        <w:t>exercice des droits à la liberté d</w:t>
      </w:r>
      <w:r>
        <w:rPr>
          <w:lang w:val="fr-FR"/>
        </w:rPr>
        <w:t>’</w:t>
      </w:r>
      <w:r w:rsidRPr="00654BF6">
        <w:rPr>
          <w:lang w:val="fr-FR"/>
        </w:rPr>
        <w:t>expression, de réunion pacifique et de participation</w:t>
      </w:r>
      <w:r>
        <w:rPr>
          <w:lang w:val="fr-FR"/>
        </w:rPr>
        <w:t xml:space="preserve"> de la part des</w:t>
      </w:r>
      <w:r w:rsidRPr="00654BF6">
        <w:rPr>
          <w:lang w:val="fr-FR"/>
        </w:rPr>
        <w:t xml:space="preserve"> défenseurs des droits de l</w:t>
      </w:r>
      <w:r>
        <w:rPr>
          <w:lang w:val="fr-FR"/>
        </w:rPr>
        <w:t>’</w:t>
      </w:r>
      <w:r w:rsidRPr="00654BF6">
        <w:rPr>
          <w:lang w:val="fr-FR"/>
        </w:rPr>
        <w:t xml:space="preserve">homme, </w:t>
      </w:r>
      <w:r>
        <w:rPr>
          <w:lang w:val="fr-FR"/>
        </w:rPr>
        <w:t>d</w:t>
      </w:r>
      <w:r w:rsidRPr="00654BF6">
        <w:rPr>
          <w:lang w:val="fr-FR"/>
        </w:rPr>
        <w:t xml:space="preserve">es </w:t>
      </w:r>
      <w:r>
        <w:rPr>
          <w:lang w:val="fr-FR"/>
        </w:rPr>
        <w:t>militants</w:t>
      </w:r>
      <w:r w:rsidRPr="00654BF6">
        <w:rPr>
          <w:lang w:val="fr-FR"/>
        </w:rPr>
        <w:t xml:space="preserve"> </w:t>
      </w:r>
      <w:r>
        <w:rPr>
          <w:lang w:val="fr-FR"/>
        </w:rPr>
        <w:t xml:space="preserve">locaux </w:t>
      </w:r>
      <w:r w:rsidRPr="00654BF6">
        <w:rPr>
          <w:lang w:val="fr-FR"/>
        </w:rPr>
        <w:t xml:space="preserve">et </w:t>
      </w:r>
      <w:r>
        <w:rPr>
          <w:lang w:val="fr-FR"/>
        </w:rPr>
        <w:t>d</w:t>
      </w:r>
      <w:r w:rsidRPr="00654BF6">
        <w:rPr>
          <w:lang w:val="fr-FR"/>
        </w:rPr>
        <w:t xml:space="preserve">es individus en général est </w:t>
      </w:r>
      <w:r>
        <w:rPr>
          <w:lang w:val="fr-FR"/>
        </w:rPr>
        <w:t xml:space="preserve">essentielle </w:t>
      </w:r>
      <w:r w:rsidRPr="00654BF6">
        <w:rPr>
          <w:lang w:val="fr-FR"/>
        </w:rPr>
        <w:t xml:space="preserve">pour </w:t>
      </w:r>
      <w:r>
        <w:rPr>
          <w:lang w:val="fr-FR"/>
        </w:rPr>
        <w:t>mettre en avant des</w:t>
      </w:r>
      <w:r w:rsidRPr="00654BF6">
        <w:rPr>
          <w:lang w:val="fr-FR"/>
        </w:rPr>
        <w:t xml:space="preserve"> idées, recadrer le dialogue et </w:t>
      </w:r>
      <w:r>
        <w:rPr>
          <w:lang w:val="fr-FR"/>
        </w:rPr>
        <w:t>insister</w:t>
      </w:r>
      <w:r w:rsidRPr="00654BF6">
        <w:rPr>
          <w:lang w:val="fr-FR"/>
        </w:rPr>
        <w:t xml:space="preserve"> </w:t>
      </w:r>
      <w:r>
        <w:rPr>
          <w:lang w:val="fr-FR"/>
        </w:rPr>
        <w:t>pour que des</w:t>
      </w:r>
      <w:r w:rsidRPr="00654BF6">
        <w:rPr>
          <w:lang w:val="fr-FR"/>
        </w:rPr>
        <w:t xml:space="preserve"> politique</w:t>
      </w:r>
      <w:r>
        <w:rPr>
          <w:lang w:val="fr-FR"/>
        </w:rPr>
        <w:t>s</w:t>
      </w:r>
      <w:r w:rsidRPr="00654BF6">
        <w:rPr>
          <w:lang w:val="fr-FR"/>
        </w:rPr>
        <w:t xml:space="preserve"> de transformation </w:t>
      </w:r>
      <w:r>
        <w:rPr>
          <w:lang w:val="fr-FR"/>
        </w:rPr>
        <w:t xml:space="preserve">soient prises </w:t>
      </w:r>
      <w:r w:rsidRPr="00654BF6">
        <w:rPr>
          <w:lang w:val="fr-FR"/>
        </w:rPr>
        <w:t xml:space="preserve">dans le domaine public afin </w:t>
      </w:r>
      <w:r>
        <w:rPr>
          <w:lang w:val="fr-FR"/>
        </w:rPr>
        <w:t>d’opérer</w:t>
      </w:r>
      <w:r w:rsidRPr="00654BF6">
        <w:rPr>
          <w:lang w:val="fr-FR"/>
        </w:rPr>
        <w:t xml:space="preserve"> un changement structurel</w:t>
      </w:r>
      <w:r w:rsidRPr="00293268">
        <w:rPr>
          <w:lang w:val="fr-FR"/>
        </w:rPr>
        <w:t xml:space="preserve">. </w:t>
      </w:r>
      <w:r>
        <w:rPr>
          <w:lang w:val="fr-FR"/>
        </w:rPr>
        <w:t>Ces droits</w:t>
      </w:r>
      <w:r w:rsidRPr="00293268">
        <w:rPr>
          <w:lang w:val="fr-FR"/>
        </w:rPr>
        <w:t xml:space="preserve"> </w:t>
      </w:r>
      <w:r w:rsidRPr="00EE51BB">
        <w:rPr>
          <w:lang w:val="fr-FR"/>
        </w:rPr>
        <w:t>forme</w:t>
      </w:r>
      <w:r>
        <w:rPr>
          <w:lang w:val="fr-FR"/>
        </w:rPr>
        <w:t>nt</w:t>
      </w:r>
      <w:r w:rsidRPr="00EE51BB">
        <w:rPr>
          <w:lang w:val="fr-FR"/>
        </w:rPr>
        <w:t xml:space="preserve"> le</w:t>
      </w:r>
      <w:r>
        <w:rPr>
          <w:lang w:val="fr-FR"/>
        </w:rPr>
        <w:t xml:space="preserve"> </w:t>
      </w:r>
      <w:r w:rsidRPr="00EE51BB">
        <w:rPr>
          <w:lang w:val="fr-FR"/>
        </w:rPr>
        <w:t>socle même des systèmes de gouvernance participative fondés sur la démocratie, les droits</w:t>
      </w:r>
      <w:r>
        <w:rPr>
          <w:lang w:val="fr-FR"/>
        </w:rPr>
        <w:t xml:space="preserve"> </w:t>
      </w:r>
      <w:r w:rsidRPr="00EE51BB">
        <w:rPr>
          <w:lang w:val="fr-FR"/>
        </w:rPr>
        <w:t>de l</w:t>
      </w:r>
      <w:r>
        <w:rPr>
          <w:lang w:val="fr-FR"/>
        </w:rPr>
        <w:t>’</w:t>
      </w:r>
      <w:r w:rsidRPr="00EE51BB">
        <w:rPr>
          <w:lang w:val="fr-FR"/>
        </w:rPr>
        <w:t>homme, l</w:t>
      </w:r>
      <w:r>
        <w:rPr>
          <w:lang w:val="fr-FR"/>
        </w:rPr>
        <w:t>’</w:t>
      </w:r>
      <w:r w:rsidRPr="00EE51BB">
        <w:rPr>
          <w:lang w:val="fr-FR"/>
        </w:rPr>
        <w:t>état de droit et le pluralisme</w:t>
      </w:r>
      <w:r w:rsidRPr="00CD6B67">
        <w:rPr>
          <w:rStyle w:val="FootnoteReference"/>
        </w:rPr>
        <w:footnoteReference w:id="615"/>
      </w:r>
      <w:r>
        <w:rPr>
          <w:lang w:val="fr-FR"/>
        </w:rPr>
        <w:t>.</w:t>
      </w:r>
    </w:p>
    <w:p w14:paraId="3750B71D" w14:textId="60127F9F" w:rsidR="00D301C6" w:rsidRPr="00293268" w:rsidRDefault="00D301C6" w:rsidP="00D301C6">
      <w:pPr>
        <w:pStyle w:val="SingleTxtG"/>
        <w:rPr>
          <w:lang w:val="fr-FR"/>
        </w:rPr>
      </w:pPr>
      <w:r w:rsidRPr="00293268">
        <w:rPr>
          <w:lang w:val="fr-FR"/>
        </w:rPr>
        <w:t>225.</w:t>
      </w:r>
      <w:r w:rsidRPr="00293268">
        <w:rPr>
          <w:lang w:val="fr-FR"/>
        </w:rPr>
        <w:tab/>
      </w:r>
      <w:r w:rsidRPr="003C656C">
        <w:rPr>
          <w:lang w:val="fr-FR"/>
        </w:rPr>
        <w:t xml:space="preserve">Il est également essentiel que les États prennent rapidement des mesures pour </w:t>
      </w:r>
      <w:r>
        <w:rPr>
          <w:lang w:val="fr-FR"/>
        </w:rPr>
        <w:t xml:space="preserve">remédier aux </w:t>
      </w:r>
      <w:r w:rsidRPr="003C656C">
        <w:rPr>
          <w:lang w:val="fr-FR"/>
        </w:rPr>
        <w:t>causes profondes de ces manifestations pacifiques sans précédent contre le racisme</w:t>
      </w:r>
      <w:r w:rsidRPr="00293268">
        <w:rPr>
          <w:lang w:val="fr-FR"/>
        </w:rPr>
        <w:t xml:space="preserve">. </w:t>
      </w:r>
      <w:r w:rsidRPr="006429BF">
        <w:rPr>
          <w:lang w:val="fr-FR"/>
        </w:rPr>
        <w:t xml:space="preserve">En effet, les </w:t>
      </w:r>
      <w:r>
        <w:rPr>
          <w:lang w:val="fr-FR"/>
        </w:rPr>
        <w:t xml:space="preserve">revendications </w:t>
      </w:r>
      <w:r w:rsidRPr="006429BF">
        <w:rPr>
          <w:lang w:val="fr-FR"/>
        </w:rPr>
        <w:t>au cœur de</w:t>
      </w:r>
      <w:r>
        <w:rPr>
          <w:lang w:val="fr-FR"/>
        </w:rPr>
        <w:t xml:space="preserve"> ce</w:t>
      </w:r>
      <w:r w:rsidRPr="006429BF">
        <w:rPr>
          <w:lang w:val="fr-FR"/>
        </w:rPr>
        <w:t>s manifestations doivent être entendu</w:t>
      </w:r>
      <w:r>
        <w:rPr>
          <w:lang w:val="fr-FR"/>
        </w:rPr>
        <w:t>e</w:t>
      </w:r>
      <w:r w:rsidRPr="006429BF">
        <w:rPr>
          <w:lang w:val="fr-FR"/>
        </w:rPr>
        <w:t xml:space="preserve">s et </w:t>
      </w:r>
      <w:r>
        <w:rPr>
          <w:lang w:val="fr-FR"/>
        </w:rPr>
        <w:t>il convient d’y répondre</w:t>
      </w:r>
      <w:r w:rsidRPr="006429BF">
        <w:rPr>
          <w:lang w:val="fr-FR"/>
        </w:rPr>
        <w:t xml:space="preserve"> afin de reconnaître et de tirer les leçons des </w:t>
      </w:r>
      <w:r>
        <w:rPr>
          <w:lang w:val="fr-FR"/>
        </w:rPr>
        <w:t>expériences du</w:t>
      </w:r>
      <w:r w:rsidRPr="006429BF">
        <w:rPr>
          <w:lang w:val="fr-FR"/>
        </w:rPr>
        <w:t xml:space="preserve"> racisme et de </w:t>
      </w:r>
      <w:r>
        <w:rPr>
          <w:lang w:val="fr-FR"/>
        </w:rPr>
        <w:t xml:space="preserve">la </w:t>
      </w:r>
      <w:r w:rsidRPr="006429BF">
        <w:rPr>
          <w:lang w:val="fr-FR"/>
        </w:rPr>
        <w:t>violence</w:t>
      </w:r>
      <w:r w:rsidRPr="00293268">
        <w:rPr>
          <w:lang w:val="fr-FR"/>
        </w:rPr>
        <w:t xml:space="preserve">. </w:t>
      </w:r>
      <w:r w:rsidRPr="00C322AE">
        <w:rPr>
          <w:lang w:val="fr-FR"/>
        </w:rPr>
        <w:t xml:space="preserve">Un examen approfondi de ces </w:t>
      </w:r>
      <w:r>
        <w:rPr>
          <w:lang w:val="fr-FR"/>
        </w:rPr>
        <w:t>expériences</w:t>
      </w:r>
      <w:r w:rsidRPr="00C322AE">
        <w:rPr>
          <w:lang w:val="fr-FR"/>
        </w:rPr>
        <w:t xml:space="preserve">, dans chaque contexte national, devrait être entrepris et des mesures rapides </w:t>
      </w:r>
      <w:r w:rsidRPr="00694EAE">
        <w:rPr>
          <w:lang w:val="fr-FR"/>
        </w:rPr>
        <w:t>doivent être</w:t>
      </w:r>
      <w:r w:rsidRPr="00C322AE">
        <w:rPr>
          <w:lang w:val="fr-FR"/>
        </w:rPr>
        <w:t xml:space="preserve"> prises pour s</w:t>
      </w:r>
      <w:r>
        <w:rPr>
          <w:lang w:val="fr-FR"/>
        </w:rPr>
        <w:t>’</w:t>
      </w:r>
      <w:r w:rsidRPr="00C322AE">
        <w:rPr>
          <w:lang w:val="fr-FR"/>
        </w:rPr>
        <w:t xml:space="preserve">attaquer véritablement aux inégalités qui y sont corrélées. Les </w:t>
      </w:r>
      <w:r>
        <w:rPr>
          <w:lang w:val="fr-FR"/>
        </w:rPr>
        <w:t>agents des forces de l’ordre</w:t>
      </w:r>
      <w:r w:rsidRPr="00C322AE">
        <w:rPr>
          <w:lang w:val="fr-FR"/>
        </w:rPr>
        <w:t xml:space="preserve"> d</w:t>
      </w:r>
      <w:r>
        <w:rPr>
          <w:lang w:val="fr-FR"/>
        </w:rPr>
        <w:t>evrai</w:t>
      </w:r>
      <w:r w:rsidRPr="00C322AE">
        <w:rPr>
          <w:lang w:val="fr-FR"/>
        </w:rPr>
        <w:t>ent être tenus pleinement responsables des violations des droits de l</w:t>
      </w:r>
      <w:r>
        <w:rPr>
          <w:lang w:val="fr-FR"/>
        </w:rPr>
        <w:t>’</w:t>
      </w:r>
      <w:r w:rsidRPr="00C322AE">
        <w:rPr>
          <w:lang w:val="fr-FR"/>
        </w:rPr>
        <w:t>homme commises dans le cadre des manifestations contre le racisme, conformément aux règles et normes internationales en matière de droits de l</w:t>
      </w:r>
      <w:r>
        <w:rPr>
          <w:lang w:val="fr-FR"/>
        </w:rPr>
        <w:t>’</w:t>
      </w:r>
      <w:r w:rsidRPr="00C322AE">
        <w:rPr>
          <w:lang w:val="fr-FR"/>
        </w:rPr>
        <w:t xml:space="preserve">homme (voir </w:t>
      </w:r>
      <w:r w:rsidR="005E684A">
        <w:rPr>
          <w:lang w:val="fr-FR"/>
        </w:rPr>
        <w:t>sect. </w:t>
      </w:r>
      <w:r w:rsidRPr="00C322AE">
        <w:rPr>
          <w:lang w:val="fr-FR"/>
        </w:rPr>
        <w:t>III)</w:t>
      </w:r>
      <w:r>
        <w:rPr>
          <w:lang w:val="fr-FR"/>
        </w:rPr>
        <w:t>. Enfin,</w:t>
      </w:r>
      <w:r w:rsidRPr="00C322AE">
        <w:rPr>
          <w:lang w:val="fr-FR"/>
        </w:rPr>
        <w:t xml:space="preserve"> les États devraient également réévaluer </w:t>
      </w:r>
      <w:r>
        <w:rPr>
          <w:lang w:val="fr-FR"/>
        </w:rPr>
        <w:t xml:space="preserve">sous ce prisme l’orientation </w:t>
      </w:r>
      <w:r w:rsidRPr="00C322AE">
        <w:rPr>
          <w:lang w:val="fr-FR"/>
        </w:rPr>
        <w:t>s</w:t>
      </w:r>
      <w:r>
        <w:rPr>
          <w:lang w:val="fr-FR"/>
        </w:rPr>
        <w:t xml:space="preserve">tratégique de </w:t>
      </w:r>
      <w:r w:rsidRPr="00C322AE">
        <w:rPr>
          <w:lang w:val="fr-FR"/>
        </w:rPr>
        <w:t>leurs réponses aux manifestations pacifiques</w:t>
      </w:r>
      <w:r w:rsidRPr="00293268">
        <w:rPr>
          <w:lang w:val="fr-FR"/>
        </w:rPr>
        <w:t>.</w:t>
      </w:r>
    </w:p>
    <w:p w14:paraId="2E8DB505" w14:textId="6088404D" w:rsidR="00D301C6" w:rsidRPr="00293268" w:rsidRDefault="00D301C6" w:rsidP="00D301C6">
      <w:pPr>
        <w:pStyle w:val="H23G"/>
        <w:rPr>
          <w:lang w:val="fr-FR"/>
        </w:rPr>
      </w:pPr>
      <w:bookmarkStart w:id="1089" w:name="_Toc74922920"/>
      <w:bookmarkStart w:id="1090" w:name="_Toc74922975"/>
      <w:bookmarkStart w:id="1091" w:name="_Toc74922976"/>
      <w:bookmarkEnd w:id="1089"/>
      <w:bookmarkEnd w:id="1090"/>
      <w:r w:rsidRPr="00293268">
        <w:rPr>
          <w:lang w:val="fr-FR"/>
        </w:rPr>
        <w:tab/>
        <w:t>1.</w:t>
      </w:r>
      <w:r w:rsidRPr="00293268">
        <w:rPr>
          <w:lang w:val="fr-FR"/>
        </w:rPr>
        <w:tab/>
      </w:r>
      <w:bookmarkEnd w:id="1091"/>
      <w:r w:rsidRPr="009F3297">
        <w:rPr>
          <w:lang w:val="fr-FR"/>
        </w:rPr>
        <w:t>Assurer la participation et/ou la représentation effective des personnes d</w:t>
      </w:r>
      <w:r>
        <w:rPr>
          <w:lang w:val="fr-FR"/>
        </w:rPr>
        <w:t>’</w:t>
      </w:r>
      <w:r w:rsidRPr="009F3297">
        <w:rPr>
          <w:lang w:val="fr-FR"/>
        </w:rPr>
        <w:t xml:space="preserve">ascendance </w:t>
      </w:r>
      <w:r w:rsidR="00F53B47">
        <w:rPr>
          <w:lang w:val="fr-FR"/>
        </w:rPr>
        <w:br/>
      </w:r>
      <w:r w:rsidRPr="009F3297">
        <w:rPr>
          <w:lang w:val="fr-FR"/>
        </w:rPr>
        <w:t xml:space="preserve">africaine, </w:t>
      </w:r>
      <w:r>
        <w:rPr>
          <w:lang w:val="fr-FR"/>
        </w:rPr>
        <w:t>y compris</w:t>
      </w:r>
      <w:r w:rsidRPr="009F3297">
        <w:rPr>
          <w:lang w:val="fr-FR"/>
        </w:rPr>
        <w:t xml:space="preserve"> des femmes et des jeunes, à tous les niveaux </w:t>
      </w:r>
      <w:r>
        <w:rPr>
          <w:lang w:val="fr-FR"/>
        </w:rPr>
        <w:t>des</w:t>
      </w:r>
      <w:r w:rsidRPr="009F3297">
        <w:rPr>
          <w:lang w:val="fr-FR"/>
        </w:rPr>
        <w:t xml:space="preserve"> institutions </w:t>
      </w:r>
      <w:r w:rsidR="00F53B47">
        <w:rPr>
          <w:lang w:val="fr-FR"/>
        </w:rPr>
        <w:br/>
      </w:r>
      <w:r w:rsidRPr="009F3297">
        <w:rPr>
          <w:lang w:val="fr-FR"/>
        </w:rPr>
        <w:t>de l</w:t>
      </w:r>
      <w:r>
        <w:rPr>
          <w:lang w:val="fr-FR"/>
        </w:rPr>
        <w:t>’</w:t>
      </w:r>
      <w:r w:rsidRPr="009F3297">
        <w:rPr>
          <w:lang w:val="fr-FR"/>
        </w:rPr>
        <w:t>État, notamment dans les forces de l</w:t>
      </w:r>
      <w:r>
        <w:rPr>
          <w:lang w:val="fr-FR"/>
        </w:rPr>
        <w:t>’</w:t>
      </w:r>
      <w:r w:rsidRPr="009F3297">
        <w:rPr>
          <w:lang w:val="fr-FR"/>
        </w:rPr>
        <w:t xml:space="preserve">ordre et le système de justice pénale, </w:t>
      </w:r>
      <w:r w:rsidR="00F53B47">
        <w:rPr>
          <w:lang w:val="fr-FR"/>
        </w:rPr>
        <w:br/>
      </w:r>
      <w:r w:rsidRPr="009F3297">
        <w:rPr>
          <w:lang w:val="fr-FR"/>
        </w:rPr>
        <w:t>ainsi que dans les processus d</w:t>
      </w:r>
      <w:r>
        <w:rPr>
          <w:lang w:val="fr-FR"/>
        </w:rPr>
        <w:t>’</w:t>
      </w:r>
      <w:r w:rsidRPr="009F3297">
        <w:rPr>
          <w:lang w:val="fr-FR"/>
        </w:rPr>
        <w:t>élaboration des politiques</w:t>
      </w:r>
    </w:p>
    <w:p w14:paraId="0D66405C" w14:textId="7D90CAAE" w:rsidR="00D301C6" w:rsidRPr="00293268" w:rsidRDefault="00D301C6" w:rsidP="00D301C6">
      <w:pPr>
        <w:pStyle w:val="SingleTxtG"/>
        <w:rPr>
          <w:lang w:val="fr-FR"/>
        </w:rPr>
      </w:pPr>
      <w:r w:rsidRPr="00293268">
        <w:rPr>
          <w:lang w:val="fr-FR"/>
        </w:rPr>
        <w:t>226.</w:t>
      </w:r>
      <w:r w:rsidRPr="00293268">
        <w:rPr>
          <w:lang w:val="fr-FR"/>
        </w:rPr>
        <w:tab/>
      </w:r>
      <w:r w:rsidRPr="000F3588">
        <w:rPr>
          <w:lang w:val="fr-FR"/>
        </w:rPr>
        <w:t>Pour aller de l</w:t>
      </w:r>
      <w:r>
        <w:rPr>
          <w:lang w:val="fr-FR"/>
        </w:rPr>
        <w:t>’</w:t>
      </w:r>
      <w:r w:rsidRPr="000F3588">
        <w:rPr>
          <w:lang w:val="fr-FR"/>
        </w:rPr>
        <w:t xml:space="preserve">avant, les </w:t>
      </w:r>
      <w:r>
        <w:rPr>
          <w:lang w:val="fr-FR"/>
        </w:rPr>
        <w:t>populations</w:t>
      </w:r>
      <w:r w:rsidRPr="00397F08">
        <w:rPr>
          <w:lang w:val="fr-FR"/>
        </w:rPr>
        <w:t xml:space="preserve"> d</w:t>
      </w:r>
      <w:r w:rsidRPr="000F3588">
        <w:rPr>
          <w:lang w:val="fr-FR"/>
        </w:rPr>
        <w:t>oivent pouvoir participer à l</w:t>
      </w:r>
      <w:r>
        <w:rPr>
          <w:lang w:val="fr-FR"/>
        </w:rPr>
        <w:t>’</w:t>
      </w:r>
      <w:r w:rsidRPr="000F3588">
        <w:rPr>
          <w:lang w:val="fr-FR"/>
        </w:rPr>
        <w:t>élaboration des décisions qui les concernent et être en mesure d</w:t>
      </w:r>
      <w:r>
        <w:rPr>
          <w:lang w:val="fr-FR"/>
        </w:rPr>
        <w:t>’</w:t>
      </w:r>
      <w:r w:rsidRPr="000F3588">
        <w:rPr>
          <w:lang w:val="fr-FR"/>
        </w:rPr>
        <w:t>exprimer pleinement et librement leurs griefs. La participation effective favorise la promotion de tous les droits de l</w:t>
      </w:r>
      <w:r>
        <w:rPr>
          <w:lang w:val="fr-FR"/>
        </w:rPr>
        <w:t>’</w:t>
      </w:r>
      <w:r w:rsidRPr="000F3588">
        <w:rPr>
          <w:lang w:val="fr-FR"/>
        </w:rPr>
        <w:t>homme. Elle</w:t>
      </w:r>
      <w:r w:rsidR="003210BC">
        <w:rPr>
          <w:lang w:val="fr-FR"/>
        </w:rPr>
        <w:t> </w:t>
      </w:r>
      <w:r w:rsidRPr="000F3588">
        <w:rPr>
          <w:lang w:val="fr-FR"/>
        </w:rPr>
        <w:t xml:space="preserve">joue un rôle </w:t>
      </w:r>
      <w:r w:rsidR="00B659DC" w:rsidRPr="00B659DC">
        <w:rPr>
          <w:lang w:val="fr-FR"/>
        </w:rPr>
        <w:t>clef</w:t>
      </w:r>
      <w:r>
        <w:rPr>
          <w:lang w:val="fr-FR"/>
        </w:rPr>
        <w:t xml:space="preserve"> </w:t>
      </w:r>
      <w:r w:rsidRPr="000F3588">
        <w:rPr>
          <w:lang w:val="fr-FR"/>
        </w:rPr>
        <w:t>dans la promotion de la démocratie, de l</w:t>
      </w:r>
      <w:r>
        <w:rPr>
          <w:lang w:val="fr-FR"/>
        </w:rPr>
        <w:t>’</w:t>
      </w:r>
      <w:r w:rsidRPr="000F3588">
        <w:rPr>
          <w:lang w:val="fr-FR"/>
        </w:rPr>
        <w:t>état de droit, de l</w:t>
      </w:r>
      <w:r>
        <w:rPr>
          <w:lang w:val="fr-FR"/>
        </w:rPr>
        <w:t>’</w:t>
      </w:r>
      <w:r w:rsidRPr="000F3588">
        <w:rPr>
          <w:lang w:val="fr-FR"/>
        </w:rPr>
        <w:t>inclusion sociale et du développement économique et est essentielle pour réduire les inégalités et apaiser les conflits sociaux. Vecteur d</w:t>
      </w:r>
      <w:r>
        <w:rPr>
          <w:lang w:val="fr-FR"/>
        </w:rPr>
        <w:t>’</w:t>
      </w:r>
      <w:r w:rsidRPr="000F3588">
        <w:rPr>
          <w:lang w:val="fr-FR"/>
        </w:rPr>
        <w:t xml:space="preserve">autonomisation des groupes et des individus, elle </w:t>
      </w:r>
      <w:r w:rsidRPr="00E8069C">
        <w:rPr>
          <w:lang w:val="fr-FR"/>
        </w:rPr>
        <w:t>est l</w:t>
      </w:r>
      <w:r>
        <w:rPr>
          <w:lang w:val="fr-FR"/>
        </w:rPr>
        <w:t>’</w:t>
      </w:r>
      <w:r w:rsidRPr="00E8069C">
        <w:rPr>
          <w:lang w:val="fr-FR"/>
        </w:rPr>
        <w:t>une des pierres angulaires</w:t>
      </w:r>
      <w:r w:rsidRPr="000F3588">
        <w:rPr>
          <w:lang w:val="fr-FR"/>
        </w:rPr>
        <w:t xml:space="preserve"> des approches fondées sur les droits de l</w:t>
      </w:r>
      <w:r>
        <w:rPr>
          <w:lang w:val="fr-FR"/>
        </w:rPr>
        <w:t>’</w:t>
      </w:r>
      <w:r w:rsidRPr="000F3588">
        <w:rPr>
          <w:lang w:val="fr-FR"/>
        </w:rPr>
        <w:t>homme visant à éliminer la marginalisation et la discrimination, notamment à l</w:t>
      </w:r>
      <w:r>
        <w:rPr>
          <w:lang w:val="fr-FR"/>
        </w:rPr>
        <w:t>’</w:t>
      </w:r>
      <w:r w:rsidRPr="000F3588">
        <w:rPr>
          <w:lang w:val="fr-FR"/>
        </w:rPr>
        <w:t>encontre des Africains et des personnes d</w:t>
      </w:r>
      <w:r>
        <w:rPr>
          <w:lang w:val="fr-FR"/>
        </w:rPr>
        <w:t>’</w:t>
      </w:r>
      <w:r w:rsidRPr="000F3588">
        <w:rPr>
          <w:lang w:val="fr-FR"/>
        </w:rPr>
        <w:t xml:space="preserve">ascendance africaine. Pour que la participation soit </w:t>
      </w:r>
      <w:r>
        <w:rPr>
          <w:lang w:val="fr-FR"/>
        </w:rPr>
        <w:t>réelle</w:t>
      </w:r>
      <w:r w:rsidRPr="000F3588">
        <w:rPr>
          <w:lang w:val="fr-FR"/>
        </w:rPr>
        <w:t xml:space="preserve">, </w:t>
      </w:r>
      <w:r w:rsidRPr="00413CE9">
        <w:rPr>
          <w:lang w:val="fr-FR"/>
        </w:rPr>
        <w:t>il importe de compter sur un engagement à long terme et une volonté politique sincère des autorités, de mettre l</w:t>
      </w:r>
      <w:r>
        <w:rPr>
          <w:lang w:val="fr-FR"/>
        </w:rPr>
        <w:t>’</w:t>
      </w:r>
      <w:r w:rsidRPr="00413CE9">
        <w:rPr>
          <w:lang w:val="fr-FR"/>
        </w:rPr>
        <w:t xml:space="preserve">accent sur la </w:t>
      </w:r>
      <w:r>
        <w:rPr>
          <w:lang w:val="fr-FR"/>
        </w:rPr>
        <w:t xml:space="preserve">pouvoir </w:t>
      </w:r>
      <w:r w:rsidRPr="00413CE9">
        <w:rPr>
          <w:lang w:val="fr-FR"/>
        </w:rPr>
        <w:t>d</w:t>
      </w:r>
      <w:r>
        <w:rPr>
          <w:lang w:val="fr-FR"/>
        </w:rPr>
        <w:t>’</w:t>
      </w:r>
      <w:r w:rsidRPr="00413CE9">
        <w:rPr>
          <w:lang w:val="fr-FR"/>
        </w:rPr>
        <w:t xml:space="preserve">action et de faire évoluer les mentalités </w:t>
      </w:r>
      <w:r>
        <w:rPr>
          <w:lang w:val="fr-FR"/>
        </w:rPr>
        <w:t>sur</w:t>
      </w:r>
      <w:r w:rsidRPr="00413CE9">
        <w:rPr>
          <w:lang w:val="fr-FR"/>
        </w:rPr>
        <w:t xml:space="preserve"> la façon de faire les choses</w:t>
      </w:r>
      <w:r w:rsidRPr="000F3588">
        <w:rPr>
          <w:lang w:val="fr-FR"/>
        </w:rPr>
        <w:t>. Des</w:t>
      </w:r>
      <w:r w:rsidR="003210BC">
        <w:rPr>
          <w:lang w:val="fr-FR"/>
        </w:rPr>
        <w:t> </w:t>
      </w:r>
      <w:r w:rsidRPr="000F3588">
        <w:rPr>
          <w:lang w:val="fr-FR"/>
        </w:rPr>
        <w:t>outils sont disponibles pour aider les États et les autres parties prenantes à atteindre ces objectifs</w:t>
      </w:r>
      <w:r w:rsidRPr="00CD6B67">
        <w:rPr>
          <w:rStyle w:val="FootnoteReference"/>
        </w:rPr>
        <w:footnoteReference w:id="616"/>
      </w:r>
      <w:r>
        <w:rPr>
          <w:lang w:val="fr-FR"/>
        </w:rPr>
        <w:t>.</w:t>
      </w:r>
    </w:p>
    <w:p w14:paraId="26BFBE19" w14:textId="77777777" w:rsidR="00D301C6" w:rsidRPr="00293268" w:rsidRDefault="00D301C6" w:rsidP="00D301C6">
      <w:pPr>
        <w:pStyle w:val="SingleTxtG"/>
        <w:rPr>
          <w:lang w:val="fr-FR"/>
        </w:rPr>
      </w:pPr>
      <w:r w:rsidRPr="00293268">
        <w:rPr>
          <w:lang w:val="fr-FR"/>
        </w:rPr>
        <w:t>227.</w:t>
      </w:r>
      <w:r w:rsidRPr="00293268">
        <w:rPr>
          <w:lang w:val="fr-FR"/>
        </w:rPr>
        <w:tab/>
      </w:r>
      <w:r w:rsidRPr="00475EB4">
        <w:rPr>
          <w:lang w:val="fr-FR"/>
        </w:rPr>
        <w:t>L</w:t>
      </w:r>
      <w:r>
        <w:rPr>
          <w:lang w:val="fr-FR"/>
        </w:rPr>
        <w:t>’</w:t>
      </w:r>
      <w:r w:rsidRPr="00475EB4">
        <w:rPr>
          <w:lang w:val="fr-FR"/>
        </w:rPr>
        <w:t xml:space="preserve">exercice du droit de participer aux affaires publiques </w:t>
      </w:r>
      <w:r w:rsidRPr="00BE52B4">
        <w:rPr>
          <w:lang w:val="fr-FR"/>
        </w:rPr>
        <w:t>exige un environnement où tous les droits de l</w:t>
      </w:r>
      <w:r>
        <w:rPr>
          <w:lang w:val="fr-FR"/>
        </w:rPr>
        <w:t>’</w:t>
      </w:r>
      <w:r w:rsidRPr="00BE52B4">
        <w:rPr>
          <w:lang w:val="fr-FR"/>
        </w:rPr>
        <w:t>homme, en particulier les droits à l</w:t>
      </w:r>
      <w:r>
        <w:rPr>
          <w:lang w:val="fr-FR"/>
        </w:rPr>
        <w:t>’</w:t>
      </w:r>
      <w:r w:rsidRPr="00BE52B4">
        <w:rPr>
          <w:lang w:val="fr-FR"/>
        </w:rPr>
        <w:t>égalité et à la non-discrimination, à la liberté d</w:t>
      </w:r>
      <w:r>
        <w:rPr>
          <w:lang w:val="fr-FR"/>
        </w:rPr>
        <w:t>’</w:t>
      </w:r>
      <w:r w:rsidRPr="00BE52B4">
        <w:rPr>
          <w:lang w:val="fr-FR"/>
        </w:rPr>
        <w:t>opinion et d</w:t>
      </w:r>
      <w:r>
        <w:rPr>
          <w:lang w:val="fr-FR"/>
        </w:rPr>
        <w:t>’</w:t>
      </w:r>
      <w:r w:rsidRPr="00BE52B4">
        <w:rPr>
          <w:lang w:val="fr-FR"/>
        </w:rPr>
        <w:t>expression et à la liberté de réunion pacifique et d</w:t>
      </w:r>
      <w:r>
        <w:rPr>
          <w:lang w:val="fr-FR"/>
        </w:rPr>
        <w:t>’</w:t>
      </w:r>
      <w:r w:rsidRPr="00BE52B4">
        <w:rPr>
          <w:lang w:val="fr-FR"/>
        </w:rPr>
        <w:t>association, sont pleinement respectés et exercés par tous</w:t>
      </w:r>
      <w:r w:rsidRPr="00475EB4">
        <w:rPr>
          <w:lang w:val="fr-FR"/>
        </w:rPr>
        <w:t>, y compris les Africains et personnes d</w:t>
      </w:r>
      <w:r>
        <w:rPr>
          <w:lang w:val="fr-FR"/>
        </w:rPr>
        <w:t>’</w:t>
      </w:r>
      <w:r w:rsidRPr="00475EB4">
        <w:rPr>
          <w:lang w:val="fr-FR"/>
        </w:rPr>
        <w:t>ascendance africaine. L</w:t>
      </w:r>
      <w:r>
        <w:rPr>
          <w:lang w:val="fr-FR"/>
        </w:rPr>
        <w:t>’</w:t>
      </w:r>
      <w:r w:rsidRPr="00475EB4">
        <w:rPr>
          <w:lang w:val="fr-FR"/>
        </w:rPr>
        <w:t xml:space="preserve">exercice de ce droit nécessite </w:t>
      </w:r>
      <w:r w:rsidRPr="00A77DAD">
        <w:rPr>
          <w:lang w:val="fr-FR"/>
        </w:rPr>
        <w:t>que la vie, l</w:t>
      </w:r>
      <w:r>
        <w:rPr>
          <w:lang w:val="fr-FR"/>
        </w:rPr>
        <w:t>’</w:t>
      </w:r>
      <w:r w:rsidRPr="00A77DAD">
        <w:rPr>
          <w:lang w:val="fr-FR"/>
        </w:rPr>
        <w:t>intégrité physique, la liberté, la sécurité et la vie privée de tous les membres de la société, y compris les journalistes et les défenseurs des droits de l</w:t>
      </w:r>
      <w:r>
        <w:rPr>
          <w:lang w:val="fr-FR"/>
        </w:rPr>
        <w:t>’</w:t>
      </w:r>
      <w:r w:rsidRPr="00A77DAD">
        <w:rPr>
          <w:lang w:val="fr-FR"/>
        </w:rPr>
        <w:t>homme, soient protégées à tout moment</w:t>
      </w:r>
      <w:r w:rsidRPr="00475EB4">
        <w:rPr>
          <w:lang w:val="fr-FR"/>
        </w:rPr>
        <w:t xml:space="preserve">. En outre, </w:t>
      </w:r>
      <w:r w:rsidRPr="00896087">
        <w:rPr>
          <w:lang w:val="fr-FR"/>
        </w:rPr>
        <w:t>l</w:t>
      </w:r>
      <w:r>
        <w:rPr>
          <w:lang w:val="fr-FR"/>
        </w:rPr>
        <w:t>’</w:t>
      </w:r>
      <w:r w:rsidRPr="00896087">
        <w:rPr>
          <w:lang w:val="fr-FR"/>
        </w:rPr>
        <w:t xml:space="preserve">exercice du droit de participer </w:t>
      </w:r>
      <w:r>
        <w:rPr>
          <w:lang w:val="fr-FR"/>
        </w:rPr>
        <w:t>nécessite</w:t>
      </w:r>
      <w:r w:rsidRPr="00896087">
        <w:rPr>
          <w:lang w:val="fr-FR"/>
        </w:rPr>
        <w:t xml:space="preserve"> un environnement qui valorise et prenne en considération le travail et la contribution de tous les membres de la société, qui soutienne et encourage leur participation et qui fasse en sorte que ces personnes aient les moyens, les connaissances et les capacités nécessaires pour </w:t>
      </w:r>
      <w:r>
        <w:rPr>
          <w:lang w:val="fr-FR"/>
        </w:rPr>
        <w:t>faire valoir</w:t>
      </w:r>
      <w:r w:rsidRPr="00896087">
        <w:rPr>
          <w:lang w:val="fr-FR"/>
        </w:rPr>
        <w:t xml:space="preserve"> et exercer leurs droits</w:t>
      </w:r>
      <w:r w:rsidRPr="00475EB4">
        <w:rPr>
          <w:lang w:val="fr-FR"/>
        </w:rPr>
        <w:t xml:space="preserve">. Les États devraient donc </w:t>
      </w:r>
      <w:r>
        <w:rPr>
          <w:lang w:val="fr-FR"/>
        </w:rPr>
        <w:t>calibrer les lois et politiques nécessaires</w:t>
      </w:r>
      <w:r w:rsidRPr="00475EB4">
        <w:rPr>
          <w:lang w:val="fr-FR"/>
        </w:rPr>
        <w:t xml:space="preserve"> pour créer et maintenir un environnement porteur et propice à l</w:t>
      </w:r>
      <w:r>
        <w:rPr>
          <w:lang w:val="fr-FR"/>
        </w:rPr>
        <w:t>’</w:t>
      </w:r>
      <w:r w:rsidRPr="00475EB4">
        <w:rPr>
          <w:lang w:val="fr-FR"/>
        </w:rPr>
        <w:t>exercice de ce droit par toutes et tous sur un pied d</w:t>
      </w:r>
      <w:r>
        <w:rPr>
          <w:lang w:val="fr-FR"/>
        </w:rPr>
        <w:t>’</w:t>
      </w:r>
      <w:r w:rsidRPr="00475EB4">
        <w:rPr>
          <w:lang w:val="fr-FR"/>
        </w:rPr>
        <w:t>égalité, y compris les personnes d</w:t>
      </w:r>
      <w:r>
        <w:rPr>
          <w:lang w:val="fr-FR"/>
        </w:rPr>
        <w:t>’</w:t>
      </w:r>
      <w:r w:rsidRPr="00475EB4">
        <w:rPr>
          <w:lang w:val="fr-FR"/>
        </w:rPr>
        <w:t>ascendance africaine. La diversité de</w:t>
      </w:r>
      <w:r>
        <w:rPr>
          <w:lang w:val="fr-FR"/>
        </w:rPr>
        <w:t xml:space="preserve"> la société</w:t>
      </w:r>
      <w:r w:rsidRPr="00475EB4">
        <w:rPr>
          <w:lang w:val="fr-FR"/>
        </w:rPr>
        <w:t xml:space="preserve"> devrait être correctement représentée dans les institutions et les organes de</w:t>
      </w:r>
      <w:r>
        <w:rPr>
          <w:lang w:val="fr-FR"/>
        </w:rPr>
        <w:t xml:space="preserve"> chaque</w:t>
      </w:r>
      <w:r w:rsidRPr="00475EB4">
        <w:rPr>
          <w:lang w:val="fr-FR"/>
        </w:rPr>
        <w:t xml:space="preserve"> État</w:t>
      </w:r>
      <w:r w:rsidRPr="00293268">
        <w:rPr>
          <w:lang w:val="fr-FR"/>
        </w:rPr>
        <w:t>.</w:t>
      </w:r>
    </w:p>
    <w:p w14:paraId="24EC9329" w14:textId="77922E02" w:rsidR="00D301C6" w:rsidRPr="00293268" w:rsidRDefault="00D301C6" w:rsidP="00D301C6">
      <w:pPr>
        <w:pStyle w:val="SingleTxtG"/>
        <w:rPr>
          <w:lang w:val="fr-FR"/>
        </w:rPr>
      </w:pPr>
      <w:r w:rsidRPr="00293268">
        <w:rPr>
          <w:lang w:val="fr-FR"/>
        </w:rPr>
        <w:t>228.</w:t>
      </w:r>
      <w:r w:rsidRPr="00293268">
        <w:rPr>
          <w:lang w:val="fr-FR"/>
        </w:rPr>
        <w:tab/>
      </w:r>
      <w:r w:rsidRPr="00295FCC">
        <w:rPr>
          <w:lang w:val="fr-FR"/>
        </w:rPr>
        <w:t xml:space="preserve">Des </w:t>
      </w:r>
      <w:r w:rsidRPr="000C71BB">
        <w:rPr>
          <w:lang w:val="fr-FR"/>
        </w:rPr>
        <w:t xml:space="preserve">mécanismes officiels et permanents </w:t>
      </w:r>
      <w:r w:rsidRPr="00AA321F">
        <w:rPr>
          <w:lang w:val="fr-FR"/>
        </w:rPr>
        <w:t xml:space="preserve">devraient être établis </w:t>
      </w:r>
      <w:r>
        <w:rPr>
          <w:lang w:val="fr-FR"/>
        </w:rPr>
        <w:t>pour</w:t>
      </w:r>
      <w:r w:rsidRPr="00316595">
        <w:rPr>
          <w:lang w:val="fr-FR"/>
        </w:rPr>
        <w:t xml:space="preserve"> assurer </w:t>
      </w:r>
      <w:r w:rsidRPr="008301B1">
        <w:rPr>
          <w:lang w:val="fr-FR"/>
        </w:rPr>
        <w:t>la participation des groupes qui</w:t>
      </w:r>
      <w:r>
        <w:rPr>
          <w:lang w:val="fr-FR"/>
        </w:rPr>
        <w:t>,</w:t>
      </w:r>
      <w:r w:rsidRPr="008301B1">
        <w:rPr>
          <w:lang w:val="fr-FR"/>
        </w:rPr>
        <w:t xml:space="preserve"> pendant très longtemps</w:t>
      </w:r>
      <w:r>
        <w:rPr>
          <w:lang w:val="fr-FR"/>
        </w:rPr>
        <w:t>, ont</w:t>
      </w:r>
      <w:r w:rsidRPr="008301B1">
        <w:rPr>
          <w:lang w:val="fr-FR"/>
        </w:rPr>
        <w:t xml:space="preserve"> été exclus ou dont les points de vue et les besoins ont été insuffisamment pris en compte dans les processus décisionnels</w:t>
      </w:r>
      <w:r>
        <w:rPr>
          <w:lang w:val="fr-FR"/>
        </w:rPr>
        <w:t>,</w:t>
      </w:r>
      <w:r w:rsidRPr="00295FCC">
        <w:rPr>
          <w:lang w:val="fr-FR"/>
        </w:rPr>
        <w:t xml:space="preserve"> avec </w:t>
      </w:r>
      <w:r>
        <w:rPr>
          <w:lang w:val="fr-FR"/>
        </w:rPr>
        <w:t>le concours</w:t>
      </w:r>
      <w:r w:rsidRPr="00295FCC">
        <w:rPr>
          <w:lang w:val="fr-FR"/>
        </w:rPr>
        <w:t xml:space="preserve"> </w:t>
      </w:r>
      <w:r>
        <w:rPr>
          <w:lang w:val="fr-FR"/>
        </w:rPr>
        <w:t>de ces mêmes groupes</w:t>
      </w:r>
      <w:r w:rsidRPr="00CD6B67">
        <w:rPr>
          <w:rStyle w:val="FootnoteReference"/>
        </w:rPr>
        <w:footnoteReference w:id="617"/>
      </w:r>
      <w:r>
        <w:rPr>
          <w:lang w:val="fr-FR"/>
        </w:rPr>
        <w:t>.</w:t>
      </w:r>
      <w:r w:rsidRPr="00293268">
        <w:rPr>
          <w:lang w:val="fr-FR"/>
        </w:rPr>
        <w:t xml:space="preserve"> </w:t>
      </w:r>
      <w:r w:rsidRPr="00217021">
        <w:rPr>
          <w:lang w:val="fr-FR"/>
        </w:rPr>
        <w:t>Ces structures devraient être mises en place pour que la participation aux processus décisionnels soit largement comprise et acceptée et</w:t>
      </w:r>
      <w:r w:rsidRPr="0060060D">
        <w:rPr>
          <w:lang w:val="fr-FR"/>
        </w:rPr>
        <w:t xml:space="preserve"> qu</w:t>
      </w:r>
      <w:r>
        <w:rPr>
          <w:lang w:val="fr-FR"/>
        </w:rPr>
        <w:t>’</w:t>
      </w:r>
      <w:r w:rsidRPr="0060060D">
        <w:rPr>
          <w:lang w:val="fr-FR"/>
        </w:rPr>
        <w:t xml:space="preserve">elle devienne </w:t>
      </w:r>
      <w:r>
        <w:rPr>
          <w:lang w:val="fr-FR"/>
        </w:rPr>
        <w:t>une habitude</w:t>
      </w:r>
      <w:r w:rsidRPr="0060060D">
        <w:rPr>
          <w:lang w:val="fr-FR"/>
        </w:rPr>
        <w:t xml:space="preserve"> pour les autorités publiques comme pour les titulaires de droits</w:t>
      </w:r>
      <w:r w:rsidRPr="00217021">
        <w:rPr>
          <w:lang w:val="fr-FR"/>
        </w:rPr>
        <w:t>. Elles</w:t>
      </w:r>
      <w:r w:rsidR="003210BC">
        <w:rPr>
          <w:lang w:val="fr-FR"/>
        </w:rPr>
        <w:t> </w:t>
      </w:r>
      <w:r w:rsidRPr="00217021">
        <w:rPr>
          <w:lang w:val="fr-FR"/>
        </w:rPr>
        <w:t xml:space="preserve">devraient en outre être </w:t>
      </w:r>
      <w:r w:rsidRPr="00C07098">
        <w:rPr>
          <w:lang w:val="fr-FR"/>
        </w:rPr>
        <w:t xml:space="preserve">accessibles et </w:t>
      </w:r>
      <w:r>
        <w:rPr>
          <w:lang w:val="fr-FR"/>
        </w:rPr>
        <w:t>inclure</w:t>
      </w:r>
      <w:r w:rsidRPr="00C07098">
        <w:rPr>
          <w:lang w:val="fr-FR"/>
        </w:rPr>
        <w:t xml:space="preserve"> les personnes et les groupes marginalisés ou victimes de discrimination, y compris les personnes issues de milieux socioéconomiques défavorisés, en particulier</w:t>
      </w:r>
      <w:r w:rsidRPr="00217021">
        <w:rPr>
          <w:lang w:val="fr-FR"/>
        </w:rPr>
        <w:t xml:space="preserve"> les personnes d</w:t>
      </w:r>
      <w:r>
        <w:rPr>
          <w:lang w:val="fr-FR"/>
        </w:rPr>
        <w:t>’</w:t>
      </w:r>
      <w:r w:rsidRPr="00217021">
        <w:rPr>
          <w:lang w:val="fr-FR"/>
        </w:rPr>
        <w:t>ascendance africaine. Des mesures particulières devraient être prises pour assurer la participation des femmes et des filles d</w:t>
      </w:r>
      <w:r>
        <w:rPr>
          <w:lang w:val="fr-FR"/>
        </w:rPr>
        <w:t>’</w:t>
      </w:r>
      <w:r w:rsidRPr="00217021">
        <w:rPr>
          <w:lang w:val="fr-FR"/>
        </w:rPr>
        <w:t>ascendance africaine, qui se heurtent à des difficultés particulières et uniques en matière de représentation et de participation</w:t>
      </w:r>
      <w:r w:rsidRPr="00293268">
        <w:rPr>
          <w:lang w:val="fr-FR"/>
        </w:rPr>
        <w:t>.</w:t>
      </w:r>
    </w:p>
    <w:p w14:paraId="22D649B6" w14:textId="042A875A" w:rsidR="00D301C6" w:rsidRPr="00293268" w:rsidRDefault="00D301C6" w:rsidP="00D301C6">
      <w:pPr>
        <w:pStyle w:val="H23G"/>
        <w:rPr>
          <w:lang w:val="fr-FR"/>
        </w:rPr>
      </w:pPr>
      <w:bookmarkStart w:id="1092" w:name="_Toc74922977"/>
      <w:r w:rsidRPr="00293268">
        <w:rPr>
          <w:lang w:val="fr-FR"/>
        </w:rPr>
        <w:tab/>
        <w:t>2.</w:t>
      </w:r>
      <w:r w:rsidRPr="00293268">
        <w:rPr>
          <w:lang w:val="fr-FR"/>
        </w:rPr>
        <w:tab/>
      </w:r>
      <w:bookmarkEnd w:id="1092"/>
      <w:r w:rsidRPr="00CB2B18">
        <w:rPr>
          <w:lang w:val="fr-FR"/>
        </w:rPr>
        <w:t xml:space="preserve">Reconnaître les contributions passées et </w:t>
      </w:r>
      <w:r>
        <w:rPr>
          <w:lang w:val="fr-FR"/>
        </w:rPr>
        <w:t>présente</w:t>
      </w:r>
      <w:r w:rsidRPr="00CB2B18">
        <w:rPr>
          <w:lang w:val="fr-FR"/>
        </w:rPr>
        <w:t>s des personnes et des organisations qui s</w:t>
      </w:r>
      <w:r>
        <w:rPr>
          <w:lang w:val="fr-FR"/>
        </w:rPr>
        <w:t>’</w:t>
      </w:r>
      <w:r w:rsidRPr="00CB2B18">
        <w:rPr>
          <w:lang w:val="fr-FR"/>
        </w:rPr>
        <w:t xml:space="preserve">élèvent contre le racisme, et </w:t>
      </w:r>
      <w:r>
        <w:rPr>
          <w:lang w:val="fr-FR"/>
        </w:rPr>
        <w:t>favoriser et soutenir</w:t>
      </w:r>
      <w:r w:rsidRPr="00CB2B18">
        <w:rPr>
          <w:lang w:val="fr-FR"/>
        </w:rPr>
        <w:t xml:space="preserve"> </w:t>
      </w:r>
      <w:r w:rsidRPr="003D3F44">
        <w:rPr>
          <w:lang w:val="fr-FR"/>
        </w:rPr>
        <w:t xml:space="preserve">la solidarité entre </w:t>
      </w:r>
      <w:r w:rsidR="003A2268">
        <w:rPr>
          <w:lang w:val="fr-FR"/>
        </w:rPr>
        <w:br/>
      </w:r>
      <w:r w:rsidRPr="003D3F44">
        <w:rPr>
          <w:lang w:val="fr-FR"/>
        </w:rPr>
        <w:t xml:space="preserve">les mouvements </w:t>
      </w:r>
      <w:r>
        <w:rPr>
          <w:lang w:val="fr-FR"/>
        </w:rPr>
        <w:t xml:space="preserve">qui militent </w:t>
      </w:r>
      <w:r w:rsidRPr="003D3F44">
        <w:rPr>
          <w:lang w:val="fr-FR"/>
        </w:rPr>
        <w:t>pour l</w:t>
      </w:r>
      <w:r>
        <w:rPr>
          <w:lang w:val="fr-FR"/>
        </w:rPr>
        <w:t>’</w:t>
      </w:r>
      <w:r w:rsidRPr="003D3F44">
        <w:rPr>
          <w:lang w:val="fr-FR"/>
        </w:rPr>
        <w:t>égalité</w:t>
      </w:r>
    </w:p>
    <w:p w14:paraId="11D69F57" w14:textId="68EB9A8C" w:rsidR="00D301C6" w:rsidRPr="00293268" w:rsidRDefault="00D301C6" w:rsidP="00D301C6">
      <w:pPr>
        <w:pStyle w:val="SingleTxtG"/>
        <w:rPr>
          <w:lang w:val="fr-FR"/>
        </w:rPr>
      </w:pPr>
      <w:r w:rsidRPr="00293268">
        <w:rPr>
          <w:bCs/>
          <w:lang w:val="fr-FR"/>
        </w:rPr>
        <w:t>229.</w:t>
      </w:r>
      <w:r w:rsidRPr="00293268">
        <w:rPr>
          <w:bCs/>
          <w:lang w:val="fr-FR"/>
        </w:rPr>
        <w:tab/>
      </w:r>
      <w:r w:rsidRPr="00FB7592">
        <w:rPr>
          <w:bCs/>
          <w:lang w:val="fr-FR"/>
        </w:rPr>
        <w:t xml:space="preserve">Il est </w:t>
      </w:r>
      <w:r>
        <w:rPr>
          <w:bCs/>
          <w:lang w:val="fr-FR"/>
        </w:rPr>
        <w:t>primordial</w:t>
      </w:r>
      <w:r w:rsidRPr="00FB7592">
        <w:rPr>
          <w:bCs/>
          <w:lang w:val="fr-FR"/>
        </w:rPr>
        <w:t xml:space="preserve"> de continuer de financer ce travail essentiel</w:t>
      </w:r>
      <w:r w:rsidRPr="00DE3142">
        <w:rPr>
          <w:bCs/>
          <w:lang w:val="fr-FR"/>
        </w:rPr>
        <w:t xml:space="preserve">, de </w:t>
      </w:r>
      <w:r>
        <w:rPr>
          <w:bCs/>
          <w:lang w:val="fr-FR"/>
        </w:rPr>
        <w:t xml:space="preserve">le </w:t>
      </w:r>
      <w:r w:rsidRPr="00DE3142">
        <w:rPr>
          <w:bCs/>
          <w:lang w:val="fr-FR"/>
        </w:rPr>
        <w:t xml:space="preserve">reconnaître publiquement et de </w:t>
      </w:r>
      <w:r>
        <w:rPr>
          <w:bCs/>
          <w:lang w:val="fr-FR"/>
        </w:rPr>
        <w:t xml:space="preserve">le </w:t>
      </w:r>
      <w:r w:rsidRPr="00DE3142">
        <w:rPr>
          <w:bCs/>
          <w:lang w:val="fr-FR"/>
        </w:rPr>
        <w:t>soutenir</w:t>
      </w:r>
      <w:r w:rsidRPr="00FB7592">
        <w:rPr>
          <w:bCs/>
          <w:lang w:val="fr-FR"/>
        </w:rPr>
        <w:t>. Comme les familles de victimes</w:t>
      </w:r>
      <w:r>
        <w:rPr>
          <w:bCs/>
          <w:lang w:val="fr-FR"/>
        </w:rPr>
        <w:t xml:space="preserve"> l’ont indiqué au HCDH</w:t>
      </w:r>
      <w:r w:rsidRPr="00FB7592">
        <w:rPr>
          <w:bCs/>
          <w:lang w:val="fr-FR"/>
        </w:rPr>
        <w:t>, «</w:t>
      </w:r>
      <w:r>
        <w:rPr>
          <w:bCs/>
          <w:lang w:val="fr-FR"/>
        </w:rPr>
        <w:t> </w:t>
      </w:r>
      <w:r w:rsidRPr="00FB7592">
        <w:rPr>
          <w:bCs/>
          <w:lang w:val="fr-FR"/>
        </w:rPr>
        <w:t>ensemble, nous sommes plus forts</w:t>
      </w:r>
      <w:r w:rsidR="00F30CED">
        <w:rPr>
          <w:bCs/>
          <w:lang w:val="fr-FR"/>
        </w:rPr>
        <w:t> </w:t>
      </w:r>
      <w:r w:rsidRPr="00FB7592">
        <w:rPr>
          <w:bCs/>
          <w:lang w:val="fr-FR"/>
        </w:rPr>
        <w:t>». Le mouvement Black Lives Matter, les groupes qui lui sont affiliés et les autres organisations de lutte contre le racisme témoignent de la résilience des personnes d</w:t>
      </w:r>
      <w:r>
        <w:rPr>
          <w:bCs/>
          <w:lang w:val="fr-FR"/>
        </w:rPr>
        <w:t>’</w:t>
      </w:r>
      <w:r w:rsidRPr="00FB7592">
        <w:rPr>
          <w:bCs/>
          <w:lang w:val="fr-FR"/>
        </w:rPr>
        <w:t>ascendance africaine face aux problèmes décrits dans le présent document de séance</w:t>
      </w:r>
      <w:r w:rsidRPr="00293268">
        <w:rPr>
          <w:lang w:val="fr-FR"/>
        </w:rPr>
        <w:t>.</w:t>
      </w:r>
      <w:r w:rsidRPr="00813782">
        <w:rPr>
          <w:lang w:val="fr-FR"/>
        </w:rPr>
        <w:t xml:space="preserve"> </w:t>
      </w:r>
      <w:r>
        <w:rPr>
          <w:lang w:val="fr-FR"/>
        </w:rPr>
        <w:t xml:space="preserve">Ces groupes </w:t>
      </w:r>
      <w:r w:rsidRPr="00F82F63">
        <w:rPr>
          <w:lang w:val="fr-FR"/>
        </w:rPr>
        <w:t>offrent un cadre collectif</w:t>
      </w:r>
      <w:r>
        <w:rPr>
          <w:lang w:val="fr-FR"/>
        </w:rPr>
        <w:t xml:space="preserve"> de réponse au racisme</w:t>
      </w:r>
      <w:r w:rsidRPr="00F82F63">
        <w:rPr>
          <w:lang w:val="fr-FR"/>
        </w:rPr>
        <w:t xml:space="preserve">, </w:t>
      </w:r>
      <w:r>
        <w:rPr>
          <w:lang w:val="fr-FR"/>
        </w:rPr>
        <w:t>qui fédère</w:t>
      </w:r>
      <w:r w:rsidRPr="00F82F63">
        <w:rPr>
          <w:lang w:val="fr-FR"/>
        </w:rPr>
        <w:t xml:space="preserve"> des approches intégrées et des récits intersectionnels </w:t>
      </w:r>
      <w:r>
        <w:rPr>
          <w:lang w:val="fr-FR"/>
        </w:rPr>
        <w:t>et</w:t>
      </w:r>
      <w:r w:rsidRPr="00F82F63">
        <w:rPr>
          <w:lang w:val="fr-FR"/>
        </w:rPr>
        <w:t xml:space="preserve"> permet de disposer d</w:t>
      </w:r>
      <w:r>
        <w:rPr>
          <w:lang w:val="fr-FR"/>
        </w:rPr>
        <w:t>’</w:t>
      </w:r>
      <w:r w:rsidRPr="00F82F63">
        <w:rPr>
          <w:lang w:val="fr-FR"/>
        </w:rPr>
        <w:t>un espace plus large pour appeler l</w:t>
      </w:r>
      <w:r>
        <w:rPr>
          <w:lang w:val="fr-FR"/>
        </w:rPr>
        <w:t>’</w:t>
      </w:r>
      <w:r w:rsidRPr="00F82F63">
        <w:rPr>
          <w:lang w:val="fr-FR"/>
        </w:rPr>
        <w:t>attention sur les effets du racisme systémique sur la santé de toute la société</w:t>
      </w:r>
      <w:r>
        <w:rPr>
          <w:lang w:val="fr-FR"/>
        </w:rPr>
        <w:t>.</w:t>
      </w:r>
      <w:r w:rsidRPr="00293268">
        <w:rPr>
          <w:lang w:val="fr-FR"/>
        </w:rPr>
        <w:t xml:space="preserve"> </w:t>
      </w:r>
      <w:r w:rsidRPr="002959A6">
        <w:rPr>
          <w:lang w:val="fr-FR"/>
        </w:rPr>
        <w:t xml:space="preserve">Le mouvement contre le racisme a </w:t>
      </w:r>
      <w:r>
        <w:rPr>
          <w:lang w:val="fr-FR"/>
        </w:rPr>
        <w:t>donné naissance à</w:t>
      </w:r>
      <w:r w:rsidRPr="002959A6">
        <w:rPr>
          <w:lang w:val="fr-FR"/>
        </w:rPr>
        <w:t xml:space="preserve"> des modèles d</w:t>
      </w:r>
      <w:r>
        <w:rPr>
          <w:lang w:val="fr-FR"/>
        </w:rPr>
        <w:t>’</w:t>
      </w:r>
      <w:r w:rsidRPr="002959A6">
        <w:rPr>
          <w:lang w:val="fr-FR"/>
        </w:rPr>
        <w:t xml:space="preserve">initiative </w:t>
      </w:r>
      <w:r>
        <w:rPr>
          <w:lang w:val="fr-FR"/>
        </w:rPr>
        <w:t>citoyenne</w:t>
      </w:r>
      <w:r w:rsidRPr="002959A6">
        <w:rPr>
          <w:lang w:val="fr-FR"/>
        </w:rPr>
        <w:t xml:space="preserve"> </w:t>
      </w:r>
      <w:r>
        <w:rPr>
          <w:lang w:val="fr-FR"/>
        </w:rPr>
        <w:t>fondés sur</w:t>
      </w:r>
      <w:r w:rsidRPr="002959A6">
        <w:rPr>
          <w:lang w:val="fr-FR"/>
        </w:rPr>
        <w:t xml:space="preserve"> l</w:t>
      </w:r>
      <w:r>
        <w:rPr>
          <w:lang w:val="fr-FR"/>
        </w:rPr>
        <w:t>’</w:t>
      </w:r>
      <w:r w:rsidRPr="002959A6">
        <w:rPr>
          <w:lang w:val="fr-FR"/>
        </w:rPr>
        <w:t xml:space="preserve">écoute des </w:t>
      </w:r>
      <w:r>
        <w:rPr>
          <w:lang w:val="fr-FR"/>
        </w:rPr>
        <w:t>citoyens et a</w:t>
      </w:r>
      <w:r w:rsidRPr="002959A6">
        <w:rPr>
          <w:lang w:val="fr-FR"/>
        </w:rPr>
        <w:t xml:space="preserve"> insufflé la volonté d</w:t>
      </w:r>
      <w:r>
        <w:rPr>
          <w:lang w:val="fr-FR"/>
        </w:rPr>
        <w:t>’</w:t>
      </w:r>
      <w:r w:rsidRPr="002959A6">
        <w:rPr>
          <w:lang w:val="fr-FR"/>
        </w:rPr>
        <w:t>agir et l</w:t>
      </w:r>
      <w:r>
        <w:rPr>
          <w:lang w:val="fr-FR"/>
        </w:rPr>
        <w:t>’</w:t>
      </w:r>
      <w:r w:rsidRPr="002959A6">
        <w:rPr>
          <w:lang w:val="fr-FR"/>
        </w:rPr>
        <w:t xml:space="preserve">autonomie indispensables pour </w:t>
      </w:r>
      <w:r>
        <w:rPr>
          <w:lang w:val="fr-FR"/>
        </w:rPr>
        <w:t>faire valoir</w:t>
      </w:r>
      <w:r w:rsidRPr="002959A6">
        <w:rPr>
          <w:lang w:val="fr-FR"/>
        </w:rPr>
        <w:t xml:space="preserve"> les droits de l</w:t>
      </w:r>
      <w:r>
        <w:rPr>
          <w:lang w:val="fr-FR"/>
        </w:rPr>
        <w:t>’</w:t>
      </w:r>
      <w:r w:rsidRPr="002959A6">
        <w:rPr>
          <w:lang w:val="fr-FR"/>
        </w:rPr>
        <w:t xml:space="preserve">homme. Il est </w:t>
      </w:r>
      <w:r>
        <w:rPr>
          <w:lang w:val="fr-FR"/>
        </w:rPr>
        <w:t>essentiel</w:t>
      </w:r>
      <w:r w:rsidRPr="002959A6">
        <w:rPr>
          <w:lang w:val="fr-FR"/>
        </w:rPr>
        <w:t xml:space="preserve"> de soutenir la solidarité entre les mouvements </w:t>
      </w:r>
      <w:r>
        <w:rPr>
          <w:lang w:val="fr-FR"/>
        </w:rPr>
        <w:t>qui militent pour</w:t>
      </w:r>
      <w:r w:rsidRPr="002959A6">
        <w:rPr>
          <w:lang w:val="fr-FR"/>
        </w:rPr>
        <w:t xml:space="preserve"> l</w:t>
      </w:r>
      <w:r>
        <w:rPr>
          <w:lang w:val="fr-FR"/>
        </w:rPr>
        <w:t>’</w:t>
      </w:r>
      <w:r w:rsidRPr="002959A6">
        <w:rPr>
          <w:lang w:val="fr-FR"/>
        </w:rPr>
        <w:t xml:space="preserve">égalité et entre les États pour amplifier ces voix et former des militants, particulièrement parmi les jeunes. Une relation de confiance avec les </w:t>
      </w:r>
      <w:r>
        <w:rPr>
          <w:lang w:val="fr-FR"/>
        </w:rPr>
        <w:t>population</w:t>
      </w:r>
      <w:r w:rsidRPr="002959A6">
        <w:rPr>
          <w:lang w:val="fr-FR"/>
        </w:rPr>
        <w:t xml:space="preserve">s desservies doit être cultivée, car </w:t>
      </w:r>
      <w:r>
        <w:rPr>
          <w:lang w:val="fr-FR"/>
        </w:rPr>
        <w:t>les</w:t>
      </w:r>
      <w:r w:rsidRPr="002959A6">
        <w:rPr>
          <w:lang w:val="fr-FR"/>
        </w:rPr>
        <w:t xml:space="preserve"> relation</w:t>
      </w:r>
      <w:r>
        <w:rPr>
          <w:lang w:val="fr-FR"/>
        </w:rPr>
        <w:t>s</w:t>
      </w:r>
      <w:r w:rsidRPr="002959A6">
        <w:rPr>
          <w:lang w:val="fr-FR"/>
        </w:rPr>
        <w:t xml:space="preserve"> entre les forces de l</w:t>
      </w:r>
      <w:r>
        <w:rPr>
          <w:lang w:val="fr-FR"/>
        </w:rPr>
        <w:t>’</w:t>
      </w:r>
      <w:r w:rsidRPr="002959A6">
        <w:rPr>
          <w:lang w:val="fr-FR"/>
        </w:rPr>
        <w:t>ordre et les manifestants peu</w:t>
      </w:r>
      <w:r>
        <w:rPr>
          <w:lang w:val="fr-FR"/>
        </w:rPr>
        <w:t>ven</w:t>
      </w:r>
      <w:r w:rsidRPr="002959A6">
        <w:rPr>
          <w:lang w:val="fr-FR"/>
        </w:rPr>
        <w:t xml:space="preserve">t avoir </w:t>
      </w:r>
      <w:r>
        <w:rPr>
          <w:lang w:val="fr-FR"/>
        </w:rPr>
        <w:t xml:space="preserve">de </w:t>
      </w:r>
      <w:r w:rsidRPr="004E4CA7">
        <w:rPr>
          <w:lang w:val="fr-FR"/>
        </w:rPr>
        <w:t>vastes répercussions</w:t>
      </w:r>
      <w:r w:rsidRPr="002959A6">
        <w:rPr>
          <w:lang w:val="fr-FR"/>
        </w:rPr>
        <w:t>. Il conviendrait de prendre des mesures pour renforcer le respect, la compréhension et la confiance entre les autorités publiques et les acteurs de la société civile</w:t>
      </w:r>
      <w:r w:rsidRPr="00293268">
        <w:rPr>
          <w:lang w:val="fr-FR"/>
        </w:rPr>
        <w:t>.</w:t>
      </w:r>
    </w:p>
    <w:p w14:paraId="71AB865F" w14:textId="70B6DEC2" w:rsidR="00D301C6" w:rsidRPr="00293268" w:rsidRDefault="00D301C6" w:rsidP="00D301C6">
      <w:pPr>
        <w:pStyle w:val="SingleTxtG"/>
        <w:rPr>
          <w:lang w:val="fr-FR"/>
        </w:rPr>
      </w:pPr>
      <w:r w:rsidRPr="00293268">
        <w:rPr>
          <w:lang w:val="fr-FR"/>
        </w:rPr>
        <w:t>230.</w:t>
      </w:r>
      <w:r w:rsidRPr="00293268">
        <w:rPr>
          <w:lang w:val="fr-FR"/>
        </w:rPr>
        <w:tab/>
      </w:r>
      <w:r w:rsidRPr="006462FE">
        <w:rPr>
          <w:lang w:val="fr-FR"/>
        </w:rPr>
        <w:t>Combattre  le racisme exige des efforts soutenus au niveau mondial, régional, national et local. L</w:t>
      </w:r>
      <w:r>
        <w:rPr>
          <w:lang w:val="fr-FR"/>
        </w:rPr>
        <w:t>’</w:t>
      </w:r>
      <w:r w:rsidRPr="006462FE">
        <w:rPr>
          <w:lang w:val="fr-FR"/>
        </w:rPr>
        <w:t xml:space="preserve">ONU </w:t>
      </w:r>
      <w:r>
        <w:rPr>
          <w:lang w:val="fr-FR"/>
        </w:rPr>
        <w:t>joue un</w:t>
      </w:r>
      <w:r w:rsidRPr="006462FE">
        <w:rPr>
          <w:lang w:val="fr-FR"/>
        </w:rPr>
        <w:t xml:space="preserve"> rôle crucial </w:t>
      </w:r>
      <w:r>
        <w:rPr>
          <w:lang w:val="fr-FR"/>
        </w:rPr>
        <w:t xml:space="preserve">à cet égard </w:t>
      </w:r>
      <w:r w:rsidRPr="006462FE">
        <w:rPr>
          <w:lang w:val="fr-FR"/>
        </w:rPr>
        <w:t>en fournissant des conseils sur le maintien de l</w:t>
      </w:r>
      <w:r>
        <w:rPr>
          <w:lang w:val="fr-FR"/>
        </w:rPr>
        <w:t>’</w:t>
      </w:r>
      <w:r w:rsidRPr="006462FE">
        <w:rPr>
          <w:lang w:val="fr-FR"/>
        </w:rPr>
        <w:t xml:space="preserve">ordre </w:t>
      </w:r>
      <w:r w:rsidRPr="00E953D3">
        <w:rPr>
          <w:lang w:val="fr-FR"/>
        </w:rPr>
        <w:t>dans les réunions</w:t>
      </w:r>
      <w:r>
        <w:rPr>
          <w:lang w:val="fr-FR"/>
        </w:rPr>
        <w:t>,</w:t>
      </w:r>
      <w:r w:rsidRPr="006462FE">
        <w:rPr>
          <w:lang w:val="fr-FR"/>
        </w:rPr>
        <w:t xml:space="preserve"> dans le respect des droits de l</w:t>
      </w:r>
      <w:r>
        <w:rPr>
          <w:lang w:val="fr-FR"/>
        </w:rPr>
        <w:t>’</w:t>
      </w:r>
      <w:r w:rsidRPr="006462FE">
        <w:rPr>
          <w:lang w:val="fr-FR"/>
        </w:rPr>
        <w:t>homme, ainsi qu</w:t>
      </w:r>
      <w:r>
        <w:rPr>
          <w:lang w:val="fr-FR"/>
        </w:rPr>
        <w:t>’</w:t>
      </w:r>
      <w:r w:rsidRPr="006462FE">
        <w:rPr>
          <w:lang w:val="fr-FR"/>
        </w:rPr>
        <w:t>en surveillant et en signalant les violations. Dans son appel à l</w:t>
      </w:r>
      <w:r>
        <w:rPr>
          <w:lang w:val="fr-FR"/>
        </w:rPr>
        <w:t>’</w:t>
      </w:r>
      <w:r w:rsidRPr="006462FE">
        <w:rPr>
          <w:lang w:val="fr-FR"/>
        </w:rPr>
        <w:t>action, le Secrétaire général a rappelé que la participation du public et la protection de la liberté d</w:t>
      </w:r>
      <w:r>
        <w:rPr>
          <w:lang w:val="fr-FR"/>
        </w:rPr>
        <w:t>’</w:t>
      </w:r>
      <w:r w:rsidRPr="006462FE">
        <w:rPr>
          <w:lang w:val="fr-FR"/>
        </w:rPr>
        <w:t>expression et de réunion («</w:t>
      </w:r>
      <w:r>
        <w:rPr>
          <w:lang w:val="fr-FR"/>
        </w:rPr>
        <w:t> </w:t>
      </w:r>
      <w:r w:rsidRPr="006462FE">
        <w:rPr>
          <w:lang w:val="fr-FR"/>
        </w:rPr>
        <w:t>l</w:t>
      </w:r>
      <w:r>
        <w:rPr>
          <w:lang w:val="fr-FR"/>
        </w:rPr>
        <w:t>’</w:t>
      </w:r>
      <w:r w:rsidRPr="006462FE">
        <w:rPr>
          <w:lang w:val="fr-FR"/>
        </w:rPr>
        <w:t>espace civique</w:t>
      </w:r>
      <w:r w:rsidR="001B0520">
        <w:rPr>
          <w:lang w:val="fr-FR"/>
        </w:rPr>
        <w:t> </w:t>
      </w:r>
      <w:r w:rsidRPr="006462FE">
        <w:rPr>
          <w:lang w:val="fr-FR"/>
        </w:rPr>
        <w:t xml:space="preserve">») </w:t>
      </w:r>
      <w:r>
        <w:rPr>
          <w:lang w:val="fr-FR"/>
        </w:rPr>
        <w:t xml:space="preserve">font partie </w:t>
      </w:r>
      <w:r w:rsidRPr="006462FE">
        <w:rPr>
          <w:lang w:val="fr-FR"/>
        </w:rPr>
        <w:t xml:space="preserve">des priorités </w:t>
      </w:r>
      <w:r>
        <w:rPr>
          <w:lang w:val="fr-FR"/>
        </w:rPr>
        <w:t>de</w:t>
      </w:r>
      <w:r w:rsidRPr="006462FE">
        <w:rPr>
          <w:lang w:val="fr-FR"/>
        </w:rPr>
        <w:t xml:space="preserve"> l</w:t>
      </w:r>
      <w:r>
        <w:rPr>
          <w:lang w:val="fr-FR"/>
        </w:rPr>
        <w:t>’</w:t>
      </w:r>
      <w:r w:rsidRPr="006462FE">
        <w:rPr>
          <w:lang w:val="fr-FR"/>
        </w:rPr>
        <w:t>Organisation</w:t>
      </w:r>
      <w:r w:rsidRPr="00CD6B67">
        <w:rPr>
          <w:rStyle w:val="FootnoteReference"/>
        </w:rPr>
        <w:footnoteReference w:id="618"/>
      </w:r>
      <w:r>
        <w:rPr>
          <w:lang w:val="fr-FR"/>
        </w:rPr>
        <w:t>.</w:t>
      </w:r>
      <w:r w:rsidRPr="00293268">
        <w:rPr>
          <w:lang w:val="fr-FR"/>
        </w:rPr>
        <w:t xml:space="preserve"> </w:t>
      </w:r>
      <w:r w:rsidRPr="00BB4991">
        <w:rPr>
          <w:lang w:val="fr-FR"/>
        </w:rPr>
        <w:t xml:space="preserve">Il est également essentiel que les voix des laissés-pour-compte, notamment </w:t>
      </w:r>
      <w:r>
        <w:rPr>
          <w:lang w:val="fr-FR"/>
        </w:rPr>
        <w:t xml:space="preserve">celles </w:t>
      </w:r>
      <w:r w:rsidRPr="00BB4991">
        <w:rPr>
          <w:lang w:val="fr-FR"/>
        </w:rPr>
        <w:t>des personnes d</w:t>
      </w:r>
      <w:r>
        <w:rPr>
          <w:lang w:val="fr-FR"/>
        </w:rPr>
        <w:t>’</w:t>
      </w:r>
      <w:r w:rsidRPr="00BB4991">
        <w:rPr>
          <w:lang w:val="fr-FR"/>
        </w:rPr>
        <w:t xml:space="preserve">ascendance africaine, soient entendues et </w:t>
      </w:r>
      <w:r>
        <w:rPr>
          <w:lang w:val="fr-FR"/>
        </w:rPr>
        <w:t xml:space="preserve">qu’elles </w:t>
      </w:r>
      <w:r w:rsidRPr="00BB4991">
        <w:rPr>
          <w:lang w:val="fr-FR"/>
        </w:rPr>
        <w:t xml:space="preserve">occupent une place centrale </w:t>
      </w:r>
      <w:r>
        <w:rPr>
          <w:lang w:val="fr-FR"/>
        </w:rPr>
        <w:t>dans la réalisation des</w:t>
      </w:r>
      <w:r w:rsidRPr="00BB4991">
        <w:rPr>
          <w:lang w:val="fr-FR"/>
        </w:rPr>
        <w:t xml:space="preserve"> objectifs de développement durable. Toutes les parties prenantes </w:t>
      </w:r>
      <w:r>
        <w:rPr>
          <w:lang w:val="fr-FR"/>
        </w:rPr>
        <w:t xml:space="preserve">et plus particulièrement les États, eu égard à leurs obligations juridiques, </w:t>
      </w:r>
      <w:r w:rsidRPr="00BB4991">
        <w:rPr>
          <w:lang w:val="fr-FR"/>
        </w:rPr>
        <w:t>devraient affirmer que le travail des acteurs de la lutte pour la justice et l</w:t>
      </w:r>
      <w:r>
        <w:rPr>
          <w:lang w:val="fr-FR"/>
        </w:rPr>
        <w:t>’</w:t>
      </w:r>
      <w:r w:rsidRPr="00BB4991">
        <w:rPr>
          <w:lang w:val="fr-FR"/>
        </w:rPr>
        <w:t>égalité raciales est légitime et veiller en priorité à protéger l</w:t>
      </w:r>
      <w:r>
        <w:rPr>
          <w:lang w:val="fr-FR"/>
        </w:rPr>
        <w:t>’</w:t>
      </w:r>
      <w:r w:rsidRPr="00BB4991">
        <w:rPr>
          <w:lang w:val="fr-FR"/>
        </w:rPr>
        <w:t>espace civique afin qu</w:t>
      </w:r>
      <w:r>
        <w:rPr>
          <w:lang w:val="fr-FR"/>
        </w:rPr>
        <w:t>’</w:t>
      </w:r>
      <w:r w:rsidRPr="00BB4991">
        <w:rPr>
          <w:lang w:val="fr-FR"/>
        </w:rPr>
        <w:t>ils puissent agir librement et en sécurité</w:t>
      </w:r>
      <w:r w:rsidRPr="00293268">
        <w:rPr>
          <w:lang w:val="fr-FR"/>
        </w:rPr>
        <w:t>.</w:t>
      </w:r>
    </w:p>
    <w:p w14:paraId="5C4EEC70" w14:textId="3BDDDFCA" w:rsidR="00D301C6" w:rsidRPr="00293268" w:rsidRDefault="00D301C6" w:rsidP="00D301C6">
      <w:pPr>
        <w:pStyle w:val="SingleTxtG"/>
        <w:rPr>
          <w:lang w:val="fr-FR"/>
        </w:rPr>
      </w:pPr>
      <w:r w:rsidRPr="00293268">
        <w:rPr>
          <w:lang w:val="fr-FR"/>
        </w:rPr>
        <w:t>231.</w:t>
      </w:r>
      <w:r w:rsidRPr="00293268">
        <w:rPr>
          <w:lang w:val="fr-FR"/>
        </w:rPr>
        <w:tab/>
      </w:r>
      <w:r w:rsidRPr="00733AE6">
        <w:rPr>
          <w:lang w:val="fr-FR"/>
        </w:rPr>
        <w:t>Au sein de l</w:t>
      </w:r>
      <w:r>
        <w:rPr>
          <w:lang w:val="fr-FR"/>
        </w:rPr>
        <w:t>’</w:t>
      </w:r>
      <w:r w:rsidRPr="00733AE6">
        <w:rPr>
          <w:lang w:val="fr-FR"/>
        </w:rPr>
        <w:t>ONU, le Secrétaire général a élevé l</w:t>
      </w:r>
      <w:r>
        <w:rPr>
          <w:lang w:val="fr-FR"/>
        </w:rPr>
        <w:t>’</w:t>
      </w:r>
      <w:r w:rsidRPr="00733AE6">
        <w:rPr>
          <w:lang w:val="fr-FR"/>
        </w:rPr>
        <w:t>é</w:t>
      </w:r>
      <w:r>
        <w:rPr>
          <w:lang w:val="fr-FR"/>
        </w:rPr>
        <w:t>limina</w:t>
      </w:r>
      <w:r w:rsidRPr="00733AE6">
        <w:rPr>
          <w:lang w:val="fr-FR"/>
        </w:rPr>
        <w:t>tion du racisme et de la discrimination raciale au rang des priorités internes de l</w:t>
      </w:r>
      <w:r>
        <w:rPr>
          <w:lang w:val="fr-FR"/>
        </w:rPr>
        <w:t>’</w:t>
      </w:r>
      <w:r w:rsidRPr="00733AE6">
        <w:rPr>
          <w:lang w:val="fr-FR"/>
        </w:rPr>
        <w:t>Organisation et mis en place une Équipe spéciale pour l</w:t>
      </w:r>
      <w:r>
        <w:rPr>
          <w:lang w:val="fr-FR"/>
        </w:rPr>
        <w:t>’</w:t>
      </w:r>
      <w:r w:rsidRPr="00733AE6">
        <w:rPr>
          <w:lang w:val="fr-FR"/>
        </w:rPr>
        <w:t>éradication du racisme et la promotion de la dignité de toutes et tous à l</w:t>
      </w:r>
      <w:r>
        <w:rPr>
          <w:lang w:val="fr-FR"/>
        </w:rPr>
        <w:t>’</w:t>
      </w:r>
      <w:r w:rsidRPr="00733AE6">
        <w:rPr>
          <w:lang w:val="fr-FR"/>
        </w:rPr>
        <w:t>ONU</w:t>
      </w:r>
      <w:r w:rsidRPr="00CD6B67">
        <w:rPr>
          <w:rStyle w:val="FootnoteReference"/>
        </w:rPr>
        <w:footnoteReference w:id="619"/>
      </w:r>
      <w:r>
        <w:rPr>
          <w:lang w:val="fr-FR"/>
        </w:rPr>
        <w:t>, qui est chargée d’</w:t>
      </w:r>
      <w:r w:rsidRPr="009C65E6">
        <w:rPr>
          <w:lang w:val="fr-FR"/>
        </w:rPr>
        <w:t>élaborer un plan d</w:t>
      </w:r>
      <w:r>
        <w:rPr>
          <w:lang w:val="fr-FR"/>
        </w:rPr>
        <w:t>’</w:t>
      </w:r>
      <w:r w:rsidRPr="009C65E6">
        <w:rPr>
          <w:lang w:val="fr-FR"/>
        </w:rPr>
        <w:t xml:space="preserve">action stratégique et </w:t>
      </w:r>
      <w:r>
        <w:rPr>
          <w:lang w:val="fr-FR"/>
        </w:rPr>
        <w:t xml:space="preserve">de </w:t>
      </w:r>
      <w:r w:rsidRPr="009C65E6">
        <w:rPr>
          <w:lang w:val="fr-FR"/>
        </w:rPr>
        <w:t xml:space="preserve">formuler des recommandations. </w:t>
      </w:r>
      <w:r>
        <w:rPr>
          <w:lang w:val="fr-FR"/>
        </w:rPr>
        <w:t xml:space="preserve">Comme </w:t>
      </w:r>
      <w:r w:rsidRPr="008F25ED">
        <w:rPr>
          <w:lang w:val="fr-FR"/>
        </w:rPr>
        <w:t>d</w:t>
      </w:r>
      <w:r>
        <w:rPr>
          <w:lang w:val="fr-FR"/>
        </w:rPr>
        <w:t>’</w:t>
      </w:r>
      <w:r w:rsidRPr="008F25ED">
        <w:rPr>
          <w:lang w:val="fr-FR"/>
        </w:rPr>
        <w:t xml:space="preserve">autres entités </w:t>
      </w:r>
      <w:r w:rsidRPr="009C65E6">
        <w:rPr>
          <w:lang w:val="fr-FR"/>
        </w:rPr>
        <w:t>de l</w:t>
      </w:r>
      <w:r>
        <w:rPr>
          <w:lang w:val="fr-FR"/>
        </w:rPr>
        <w:t>’</w:t>
      </w:r>
      <w:r w:rsidRPr="009C65E6">
        <w:rPr>
          <w:lang w:val="fr-FR"/>
        </w:rPr>
        <w:t xml:space="preserve">ONU, le HCDH joue un rôle </w:t>
      </w:r>
      <w:r w:rsidR="00B659DC" w:rsidRPr="00B659DC">
        <w:rPr>
          <w:lang w:val="fr-FR"/>
        </w:rPr>
        <w:t>clef</w:t>
      </w:r>
      <w:r w:rsidRPr="009C65E6">
        <w:rPr>
          <w:lang w:val="fr-FR"/>
        </w:rPr>
        <w:t xml:space="preserve"> dans la réalisation de ces objectifs pour l</w:t>
      </w:r>
      <w:r>
        <w:rPr>
          <w:lang w:val="fr-FR"/>
        </w:rPr>
        <w:t>’</w:t>
      </w:r>
      <w:r w:rsidRPr="009C65E6">
        <w:rPr>
          <w:lang w:val="fr-FR"/>
        </w:rPr>
        <w:t>ensemble du personnel de l</w:t>
      </w:r>
      <w:r>
        <w:rPr>
          <w:lang w:val="fr-FR"/>
        </w:rPr>
        <w:t>’</w:t>
      </w:r>
      <w:r w:rsidRPr="009C65E6">
        <w:rPr>
          <w:lang w:val="fr-FR"/>
        </w:rPr>
        <w:t>O</w:t>
      </w:r>
      <w:r>
        <w:rPr>
          <w:lang w:val="fr-FR"/>
        </w:rPr>
        <w:t>rganisation</w:t>
      </w:r>
      <w:r w:rsidRPr="009C65E6">
        <w:rPr>
          <w:lang w:val="fr-FR"/>
        </w:rPr>
        <w:t xml:space="preserve">, et élabore </w:t>
      </w:r>
      <w:r>
        <w:rPr>
          <w:lang w:val="fr-FR"/>
        </w:rPr>
        <w:t>d</w:t>
      </w:r>
      <w:r w:rsidRPr="009C65E6">
        <w:rPr>
          <w:lang w:val="fr-FR"/>
        </w:rPr>
        <w:t xml:space="preserve">es stratégies complémentaires qui lui sont propres pour </w:t>
      </w:r>
      <w:r>
        <w:rPr>
          <w:lang w:val="fr-FR"/>
        </w:rPr>
        <w:t xml:space="preserve">promouvoir </w:t>
      </w:r>
      <w:r w:rsidRPr="009C65E6">
        <w:rPr>
          <w:lang w:val="fr-FR"/>
        </w:rPr>
        <w:t>la diversité et l</w:t>
      </w:r>
      <w:r>
        <w:rPr>
          <w:lang w:val="fr-FR"/>
        </w:rPr>
        <w:t>’</w:t>
      </w:r>
      <w:r w:rsidRPr="009C65E6">
        <w:rPr>
          <w:lang w:val="fr-FR"/>
        </w:rPr>
        <w:t>inclusion</w:t>
      </w:r>
      <w:r w:rsidRPr="00293268">
        <w:rPr>
          <w:lang w:val="fr-FR"/>
        </w:rPr>
        <w:t>.</w:t>
      </w:r>
    </w:p>
    <w:p w14:paraId="5AD15D54" w14:textId="7947EB12" w:rsidR="00D301C6" w:rsidRPr="00293268" w:rsidRDefault="00D301C6" w:rsidP="00D301C6">
      <w:pPr>
        <w:pStyle w:val="H23G"/>
        <w:rPr>
          <w:lang w:val="fr-FR"/>
        </w:rPr>
      </w:pPr>
      <w:bookmarkStart w:id="1093" w:name="_Toc74922978"/>
      <w:r w:rsidRPr="00293268">
        <w:rPr>
          <w:lang w:val="fr-FR"/>
        </w:rPr>
        <w:tab/>
        <w:t>3.</w:t>
      </w:r>
      <w:r w:rsidRPr="00293268">
        <w:rPr>
          <w:lang w:val="fr-FR"/>
        </w:rPr>
        <w:tab/>
      </w:r>
      <w:bookmarkEnd w:id="1093"/>
      <w:r w:rsidRPr="00E32EA1">
        <w:rPr>
          <w:lang w:val="fr-FR"/>
        </w:rPr>
        <w:t>Garantir le plein respect de la</w:t>
      </w:r>
      <w:r w:rsidRPr="007C010C">
        <w:rPr>
          <w:lang w:val="fr-FR"/>
        </w:rPr>
        <w:t xml:space="preserve"> liberté d</w:t>
      </w:r>
      <w:r>
        <w:rPr>
          <w:lang w:val="fr-FR"/>
        </w:rPr>
        <w:t>’</w:t>
      </w:r>
      <w:r w:rsidRPr="007C010C">
        <w:rPr>
          <w:lang w:val="fr-FR"/>
        </w:rPr>
        <w:t xml:space="preserve">expression et du droit de réunion pacifique, </w:t>
      </w:r>
      <w:r w:rsidR="000B7B37">
        <w:rPr>
          <w:lang w:val="fr-FR"/>
        </w:rPr>
        <w:br/>
      </w:r>
      <w:r w:rsidRPr="007C010C">
        <w:rPr>
          <w:lang w:val="fr-FR"/>
        </w:rPr>
        <w:t xml:space="preserve">et reconnaître </w:t>
      </w:r>
      <w:r>
        <w:rPr>
          <w:lang w:val="fr-FR"/>
        </w:rPr>
        <w:t xml:space="preserve">que </w:t>
      </w:r>
      <w:r w:rsidRPr="007C010C">
        <w:rPr>
          <w:lang w:val="fr-FR"/>
        </w:rPr>
        <w:t xml:space="preserve">le droit de manifester pacifiquement </w:t>
      </w:r>
      <w:r>
        <w:rPr>
          <w:lang w:val="fr-FR"/>
        </w:rPr>
        <w:t>est</w:t>
      </w:r>
      <w:r w:rsidRPr="007C010C">
        <w:rPr>
          <w:lang w:val="fr-FR"/>
        </w:rPr>
        <w:t xml:space="preserve"> un moyen d</w:t>
      </w:r>
      <w:r>
        <w:rPr>
          <w:lang w:val="fr-FR"/>
        </w:rPr>
        <w:t>’amener</w:t>
      </w:r>
      <w:r w:rsidRPr="007C010C">
        <w:rPr>
          <w:lang w:val="fr-FR"/>
        </w:rPr>
        <w:t xml:space="preserve"> </w:t>
      </w:r>
      <w:r w:rsidR="000B7B37">
        <w:rPr>
          <w:lang w:val="fr-FR"/>
        </w:rPr>
        <w:br/>
      </w:r>
      <w:r w:rsidRPr="007C010C">
        <w:rPr>
          <w:lang w:val="fr-FR"/>
        </w:rPr>
        <w:t>des changements</w:t>
      </w:r>
    </w:p>
    <w:p w14:paraId="2CF634C9" w14:textId="77777777" w:rsidR="00D301C6" w:rsidRPr="00293268" w:rsidRDefault="00D301C6" w:rsidP="00D301C6">
      <w:pPr>
        <w:pStyle w:val="SingleTxtG"/>
        <w:rPr>
          <w:lang w:val="fr-FR"/>
        </w:rPr>
      </w:pPr>
      <w:r w:rsidRPr="00293268">
        <w:rPr>
          <w:lang w:val="fr-FR"/>
        </w:rPr>
        <w:t>232.</w:t>
      </w:r>
      <w:r w:rsidRPr="00293268">
        <w:rPr>
          <w:lang w:val="fr-FR"/>
        </w:rPr>
        <w:tab/>
      </w:r>
      <w:r w:rsidRPr="001B3088">
        <w:rPr>
          <w:lang w:val="fr-FR"/>
        </w:rPr>
        <w:t xml:space="preserve">Les rassemblements pacifiques doivent être encouragés et facilités. Ils donnent à chacun les moyens de </w:t>
      </w:r>
      <w:r>
        <w:rPr>
          <w:lang w:val="fr-FR"/>
        </w:rPr>
        <w:t>faire valoir</w:t>
      </w:r>
      <w:r w:rsidRPr="001B3088">
        <w:rPr>
          <w:lang w:val="fr-FR"/>
        </w:rPr>
        <w:t xml:space="preserve"> ses droits, d</w:t>
      </w:r>
      <w:r>
        <w:rPr>
          <w:lang w:val="fr-FR"/>
        </w:rPr>
        <w:t>’</w:t>
      </w:r>
      <w:r w:rsidRPr="001B3088">
        <w:rPr>
          <w:lang w:val="fr-FR"/>
        </w:rPr>
        <w:t xml:space="preserve">exprimer son opinion et ses </w:t>
      </w:r>
      <w:r>
        <w:rPr>
          <w:lang w:val="fr-FR"/>
        </w:rPr>
        <w:t>grief</w:t>
      </w:r>
      <w:r w:rsidRPr="001B3088">
        <w:rPr>
          <w:lang w:val="fr-FR"/>
        </w:rPr>
        <w:t>s et</w:t>
      </w:r>
      <w:r>
        <w:rPr>
          <w:lang w:val="fr-FR"/>
        </w:rPr>
        <w:t>,</w:t>
      </w:r>
      <w:r w:rsidRPr="001B3088">
        <w:rPr>
          <w:lang w:val="fr-FR"/>
        </w:rPr>
        <w:t xml:space="preserve"> inversement, permettent aux </w:t>
      </w:r>
      <w:r>
        <w:rPr>
          <w:lang w:val="fr-FR"/>
        </w:rPr>
        <w:t>pouvoirs publics</w:t>
      </w:r>
      <w:r w:rsidRPr="001B3088">
        <w:rPr>
          <w:lang w:val="fr-FR"/>
        </w:rPr>
        <w:t xml:space="preserve"> d</w:t>
      </w:r>
      <w:r>
        <w:rPr>
          <w:lang w:val="fr-FR"/>
        </w:rPr>
        <w:t>’</w:t>
      </w:r>
      <w:r w:rsidRPr="001B3088">
        <w:rPr>
          <w:lang w:val="fr-FR"/>
        </w:rPr>
        <w:t xml:space="preserve">entendre et de mieux comprendre les préoccupations de leurs administrés. À long terme, une société où les rassemblements pacifiques sont encouragés et favorisés est une société qui résout mieux les </w:t>
      </w:r>
      <w:r>
        <w:rPr>
          <w:lang w:val="fr-FR"/>
        </w:rPr>
        <w:t xml:space="preserve">motifs de </w:t>
      </w:r>
      <w:r w:rsidRPr="001B3088">
        <w:rPr>
          <w:lang w:val="fr-FR"/>
        </w:rPr>
        <w:t>plainte et évite les conflits</w:t>
      </w:r>
      <w:r w:rsidRPr="00293268">
        <w:rPr>
          <w:lang w:val="fr-FR"/>
        </w:rPr>
        <w:t>.</w:t>
      </w:r>
    </w:p>
    <w:p w14:paraId="7C53D19E" w14:textId="77777777" w:rsidR="00D301C6" w:rsidRPr="00293268" w:rsidRDefault="00D301C6" w:rsidP="00D301C6">
      <w:pPr>
        <w:pStyle w:val="SingleTxtG"/>
        <w:rPr>
          <w:lang w:val="fr-FR"/>
        </w:rPr>
      </w:pPr>
      <w:r w:rsidRPr="00293268">
        <w:rPr>
          <w:lang w:val="fr-FR"/>
        </w:rPr>
        <w:t>233.</w:t>
      </w:r>
      <w:r w:rsidRPr="00293268">
        <w:rPr>
          <w:lang w:val="fr-FR"/>
        </w:rPr>
        <w:tab/>
      </w:r>
      <w:r w:rsidRPr="003045B8">
        <w:rPr>
          <w:lang w:val="fr-FR"/>
        </w:rPr>
        <w:t>L</w:t>
      </w:r>
      <w:r>
        <w:rPr>
          <w:lang w:val="fr-FR"/>
        </w:rPr>
        <w:t>’</w:t>
      </w:r>
      <w:r w:rsidRPr="003045B8">
        <w:rPr>
          <w:lang w:val="fr-FR"/>
        </w:rPr>
        <w:t>approche des autorités devrait consister</w:t>
      </w:r>
      <w:r>
        <w:rPr>
          <w:lang w:val="fr-FR"/>
        </w:rPr>
        <w:t xml:space="preserve"> </w:t>
      </w:r>
      <w:r w:rsidRPr="003045B8">
        <w:rPr>
          <w:lang w:val="fr-FR"/>
        </w:rPr>
        <w:t>à chercher à faciliter la tenue des réunions pacifiques</w:t>
      </w:r>
      <w:r w:rsidRPr="00CD6B67">
        <w:rPr>
          <w:rStyle w:val="FootnoteReference"/>
        </w:rPr>
        <w:footnoteReference w:id="620"/>
      </w:r>
      <w:r w:rsidRPr="00293268">
        <w:rPr>
          <w:lang w:val="fr-FR"/>
        </w:rPr>
        <w:t xml:space="preserve"> </w:t>
      </w:r>
      <w:r>
        <w:rPr>
          <w:lang w:val="fr-FR"/>
        </w:rPr>
        <w:t xml:space="preserve">et à </w:t>
      </w:r>
      <w:r w:rsidRPr="00A95EFC">
        <w:rPr>
          <w:lang w:val="fr-FR"/>
        </w:rPr>
        <w:t>respecter et garantir l</w:t>
      </w:r>
      <w:r>
        <w:rPr>
          <w:lang w:val="fr-FR"/>
        </w:rPr>
        <w:t>’</w:t>
      </w:r>
      <w:r w:rsidRPr="00A95EFC">
        <w:rPr>
          <w:lang w:val="fr-FR"/>
        </w:rPr>
        <w:t>exercice des droits fondamentaux des organisateurs et des</w:t>
      </w:r>
      <w:r>
        <w:rPr>
          <w:lang w:val="fr-FR"/>
        </w:rPr>
        <w:t xml:space="preserve"> </w:t>
      </w:r>
      <w:r w:rsidRPr="00A95EFC">
        <w:rPr>
          <w:lang w:val="fr-FR"/>
        </w:rPr>
        <w:t>participants</w:t>
      </w:r>
      <w:r>
        <w:rPr>
          <w:lang w:val="fr-FR"/>
        </w:rPr>
        <w:t xml:space="preserve">, tout en protégeant </w:t>
      </w:r>
      <w:r w:rsidRPr="008B6EC8">
        <w:rPr>
          <w:lang w:val="fr-FR"/>
        </w:rPr>
        <w:t>les biens de nature publique ou privée contre</w:t>
      </w:r>
      <w:r>
        <w:rPr>
          <w:lang w:val="fr-FR"/>
        </w:rPr>
        <w:t xml:space="preserve"> </w:t>
      </w:r>
      <w:r w:rsidRPr="008B6EC8">
        <w:rPr>
          <w:lang w:val="fr-FR"/>
        </w:rPr>
        <w:t>d</w:t>
      </w:r>
      <w:r>
        <w:rPr>
          <w:lang w:val="fr-FR"/>
        </w:rPr>
        <w:t>’</w:t>
      </w:r>
      <w:r w:rsidRPr="008B6EC8">
        <w:rPr>
          <w:lang w:val="fr-FR"/>
        </w:rPr>
        <w:t>éventuels dommages</w:t>
      </w:r>
      <w:r w:rsidRPr="00293268">
        <w:rPr>
          <w:lang w:val="fr-FR"/>
        </w:rPr>
        <w:t xml:space="preserve">. </w:t>
      </w:r>
      <w:r>
        <w:rPr>
          <w:lang w:val="fr-FR"/>
        </w:rPr>
        <w:t xml:space="preserve">Cela suppose </w:t>
      </w:r>
      <w:r w:rsidRPr="001701AA">
        <w:rPr>
          <w:lang w:val="fr-FR"/>
        </w:rPr>
        <w:t>de s</w:t>
      </w:r>
      <w:r>
        <w:rPr>
          <w:lang w:val="fr-FR"/>
        </w:rPr>
        <w:t>’</w:t>
      </w:r>
      <w:r w:rsidRPr="001701AA">
        <w:rPr>
          <w:lang w:val="fr-FR"/>
        </w:rPr>
        <w:t>abstenir d</w:t>
      </w:r>
      <w:r>
        <w:rPr>
          <w:lang w:val="fr-FR"/>
        </w:rPr>
        <w:t>’</w:t>
      </w:r>
      <w:r w:rsidRPr="001701AA">
        <w:rPr>
          <w:lang w:val="fr-FR"/>
        </w:rPr>
        <w:t xml:space="preserve">adopter des lois et des règles qui restreignent indûment le droit à la liberté de réunion pacifique, </w:t>
      </w:r>
      <w:r>
        <w:rPr>
          <w:lang w:val="fr-FR"/>
        </w:rPr>
        <w:t>y compris</w:t>
      </w:r>
      <w:r w:rsidRPr="001701AA">
        <w:rPr>
          <w:lang w:val="fr-FR"/>
        </w:rPr>
        <w:t xml:space="preserve"> pour des causes particulières comme les manifestations contre le racisme</w:t>
      </w:r>
      <w:r w:rsidRPr="00293268">
        <w:rPr>
          <w:lang w:val="fr-FR"/>
        </w:rPr>
        <w:t>.</w:t>
      </w:r>
    </w:p>
    <w:p w14:paraId="369D88FE" w14:textId="77777777" w:rsidR="00D301C6" w:rsidRPr="00293268" w:rsidRDefault="00D301C6" w:rsidP="00D301C6">
      <w:pPr>
        <w:pStyle w:val="SingleTxtG"/>
        <w:rPr>
          <w:lang w:val="fr-FR"/>
        </w:rPr>
      </w:pPr>
      <w:r w:rsidRPr="00293268">
        <w:rPr>
          <w:lang w:val="fr-FR"/>
        </w:rPr>
        <w:t>234.</w:t>
      </w:r>
      <w:r w:rsidRPr="00293268">
        <w:rPr>
          <w:lang w:val="fr-FR"/>
        </w:rPr>
        <w:tab/>
      </w:r>
      <w:r w:rsidRPr="003D07AA">
        <w:rPr>
          <w:lang w:val="fr-FR"/>
        </w:rPr>
        <w:t>Les États ne devraient pas sanctionner les participants ou les organisateurs sans motif valable</w:t>
      </w:r>
      <w:r w:rsidRPr="00CD6B67">
        <w:rPr>
          <w:rStyle w:val="FootnoteReference"/>
        </w:rPr>
        <w:footnoteReference w:id="621"/>
      </w:r>
      <w:r>
        <w:rPr>
          <w:lang w:val="fr-FR"/>
        </w:rPr>
        <w:t>.</w:t>
      </w:r>
      <w:r w:rsidRPr="00293268">
        <w:rPr>
          <w:lang w:val="fr-FR"/>
        </w:rPr>
        <w:t xml:space="preserve"> </w:t>
      </w:r>
      <w:r w:rsidRPr="00B60207">
        <w:rPr>
          <w:lang w:val="fr-FR"/>
        </w:rPr>
        <w:t xml:space="preserve">Toute arrestation et toute sanction pénale ou administrative </w:t>
      </w:r>
      <w:r>
        <w:rPr>
          <w:lang w:val="fr-FR"/>
        </w:rPr>
        <w:t>visant les</w:t>
      </w:r>
      <w:r w:rsidRPr="00B60207">
        <w:rPr>
          <w:lang w:val="fr-FR"/>
        </w:rPr>
        <w:t xml:space="preserve"> organisateurs ou </w:t>
      </w:r>
      <w:r>
        <w:rPr>
          <w:lang w:val="fr-FR"/>
        </w:rPr>
        <w:t>l</w:t>
      </w:r>
      <w:r w:rsidRPr="00B60207">
        <w:rPr>
          <w:lang w:val="fr-FR"/>
        </w:rPr>
        <w:t>es participants d</w:t>
      </w:r>
      <w:r>
        <w:rPr>
          <w:lang w:val="fr-FR"/>
        </w:rPr>
        <w:t>’</w:t>
      </w:r>
      <w:r w:rsidRPr="00B60207">
        <w:rPr>
          <w:lang w:val="fr-FR"/>
        </w:rPr>
        <w:t>une réunion pacifique doivent être proportionnées et non discriminatoires, et ne doivent pas être motivées par des infractions dont la définition est ambiguë, vague ou trop large</w:t>
      </w:r>
      <w:r w:rsidRPr="00CD6B67">
        <w:rPr>
          <w:rStyle w:val="FootnoteReference"/>
        </w:rPr>
        <w:footnoteReference w:id="622"/>
      </w:r>
      <w:r>
        <w:rPr>
          <w:lang w:val="fr-FR"/>
        </w:rPr>
        <w:t>.</w:t>
      </w:r>
      <w:r w:rsidRPr="00293268">
        <w:rPr>
          <w:lang w:val="fr-FR"/>
        </w:rPr>
        <w:t xml:space="preserve"> </w:t>
      </w:r>
      <w:r w:rsidRPr="00FF335C">
        <w:rPr>
          <w:bCs/>
          <w:lang w:val="fr-FR"/>
        </w:rPr>
        <w:t>Les États devraient remettre en liberté les personnes détenues pour leur action en faveur des droits de l</w:t>
      </w:r>
      <w:r>
        <w:rPr>
          <w:bCs/>
          <w:lang w:val="fr-FR"/>
        </w:rPr>
        <w:t>’</w:t>
      </w:r>
      <w:r w:rsidRPr="00FF335C">
        <w:rPr>
          <w:bCs/>
          <w:lang w:val="fr-FR"/>
        </w:rPr>
        <w:t xml:space="preserve">homme ou pour toute autre </w:t>
      </w:r>
      <w:r>
        <w:rPr>
          <w:bCs/>
          <w:lang w:val="fr-FR"/>
        </w:rPr>
        <w:t xml:space="preserve">forme d’expression </w:t>
      </w:r>
      <w:r w:rsidRPr="00FF335C">
        <w:rPr>
          <w:bCs/>
          <w:lang w:val="fr-FR"/>
        </w:rPr>
        <w:t>protégée par le droit international des droits de l</w:t>
      </w:r>
      <w:r>
        <w:rPr>
          <w:bCs/>
          <w:lang w:val="fr-FR"/>
        </w:rPr>
        <w:t>’</w:t>
      </w:r>
      <w:r w:rsidRPr="00FF335C">
        <w:rPr>
          <w:bCs/>
          <w:lang w:val="fr-FR"/>
        </w:rPr>
        <w:t>homme</w:t>
      </w:r>
      <w:r w:rsidRPr="00293268">
        <w:rPr>
          <w:bCs/>
          <w:lang w:val="fr-FR"/>
        </w:rPr>
        <w:t>.</w:t>
      </w:r>
    </w:p>
    <w:p w14:paraId="549D5602" w14:textId="77777777" w:rsidR="00D301C6" w:rsidRPr="00293268" w:rsidRDefault="00D301C6" w:rsidP="00D301C6">
      <w:pPr>
        <w:pStyle w:val="SingleTxtG"/>
        <w:rPr>
          <w:lang w:val="fr-FR"/>
        </w:rPr>
      </w:pPr>
      <w:r w:rsidRPr="00293268">
        <w:rPr>
          <w:lang w:val="fr-FR"/>
        </w:rPr>
        <w:t>235.</w:t>
      </w:r>
      <w:r w:rsidRPr="00293268">
        <w:rPr>
          <w:lang w:val="fr-FR"/>
        </w:rPr>
        <w:tab/>
      </w:r>
      <w:r w:rsidRPr="00315BD4">
        <w:rPr>
          <w:lang w:val="fr-FR"/>
        </w:rPr>
        <w:t xml:space="preserve">Il est essentiel que les États </w:t>
      </w:r>
      <w:r>
        <w:rPr>
          <w:lang w:val="fr-FR"/>
        </w:rPr>
        <w:t>s’acquittent de</w:t>
      </w:r>
      <w:r w:rsidRPr="00315BD4">
        <w:rPr>
          <w:lang w:val="fr-FR"/>
        </w:rPr>
        <w:t xml:space="preserve"> l</w:t>
      </w:r>
      <w:r>
        <w:rPr>
          <w:lang w:val="fr-FR"/>
        </w:rPr>
        <w:t>’</w:t>
      </w:r>
      <w:r w:rsidRPr="00315BD4">
        <w:rPr>
          <w:lang w:val="fr-FR"/>
        </w:rPr>
        <w:t>obligation qui leur incombe de protéger celles</w:t>
      </w:r>
      <w:r>
        <w:rPr>
          <w:lang w:val="fr-FR"/>
        </w:rPr>
        <w:t xml:space="preserve"> et ceux</w:t>
      </w:r>
      <w:r w:rsidRPr="00315BD4">
        <w:rPr>
          <w:lang w:val="fr-FR"/>
        </w:rPr>
        <w:t xml:space="preserve"> qui s</w:t>
      </w:r>
      <w:r>
        <w:rPr>
          <w:lang w:val="fr-FR"/>
        </w:rPr>
        <w:t>’</w:t>
      </w:r>
      <w:r w:rsidRPr="00315BD4">
        <w:rPr>
          <w:lang w:val="fr-FR"/>
        </w:rPr>
        <w:t>élèvent contre le racisme, en particulier les défenseurs des droits de l</w:t>
      </w:r>
      <w:r>
        <w:rPr>
          <w:lang w:val="fr-FR"/>
        </w:rPr>
        <w:t>’</w:t>
      </w:r>
      <w:r w:rsidRPr="00315BD4">
        <w:rPr>
          <w:lang w:val="fr-FR"/>
        </w:rPr>
        <w:t xml:space="preserve">homme, contre </w:t>
      </w:r>
      <w:r>
        <w:rPr>
          <w:lang w:val="fr-FR"/>
        </w:rPr>
        <w:t>les mauvais traitements</w:t>
      </w:r>
      <w:r w:rsidRPr="00315BD4">
        <w:rPr>
          <w:lang w:val="fr-FR"/>
        </w:rPr>
        <w:t>, le harcèlement, l</w:t>
      </w:r>
      <w:r>
        <w:rPr>
          <w:lang w:val="fr-FR"/>
        </w:rPr>
        <w:t>’</w:t>
      </w:r>
      <w:r w:rsidRPr="00315BD4">
        <w:rPr>
          <w:lang w:val="fr-FR"/>
        </w:rPr>
        <w:t>intimidation et une surveillance accrue, tant dans le cadre de rassemblements que dans d</w:t>
      </w:r>
      <w:r>
        <w:rPr>
          <w:lang w:val="fr-FR"/>
        </w:rPr>
        <w:t>’</w:t>
      </w:r>
      <w:r w:rsidRPr="00315BD4">
        <w:rPr>
          <w:lang w:val="fr-FR"/>
        </w:rPr>
        <w:t>autres situations</w:t>
      </w:r>
      <w:r w:rsidRPr="00CD6B67">
        <w:rPr>
          <w:rStyle w:val="FootnoteReference"/>
        </w:rPr>
        <w:footnoteReference w:id="623"/>
      </w:r>
      <w:r>
        <w:rPr>
          <w:lang w:val="fr-FR"/>
        </w:rPr>
        <w:t>.</w:t>
      </w:r>
      <w:r w:rsidRPr="00293268">
        <w:rPr>
          <w:bCs/>
          <w:lang w:val="fr-FR"/>
        </w:rPr>
        <w:t xml:space="preserve"> </w:t>
      </w:r>
      <w:r w:rsidRPr="004A7262">
        <w:rPr>
          <w:bCs/>
          <w:lang w:val="fr-FR"/>
        </w:rPr>
        <w:t xml:space="preserve">Les responsables de haut niveau devraient </w:t>
      </w:r>
      <w:r>
        <w:rPr>
          <w:bCs/>
          <w:lang w:val="fr-FR"/>
        </w:rPr>
        <w:t>rappeler</w:t>
      </w:r>
      <w:r w:rsidRPr="004A7262">
        <w:rPr>
          <w:bCs/>
          <w:lang w:val="fr-FR"/>
        </w:rPr>
        <w:t xml:space="preserve"> ces engagements dans le</w:t>
      </w:r>
      <w:r>
        <w:rPr>
          <w:bCs/>
          <w:lang w:val="fr-FR"/>
        </w:rPr>
        <w:t>urs</w:t>
      </w:r>
      <w:r w:rsidRPr="004A7262">
        <w:rPr>
          <w:bCs/>
          <w:lang w:val="fr-FR"/>
        </w:rPr>
        <w:t xml:space="preserve"> déclarations</w:t>
      </w:r>
      <w:r>
        <w:rPr>
          <w:bCs/>
          <w:lang w:val="fr-FR"/>
        </w:rPr>
        <w:t>,</w:t>
      </w:r>
      <w:r w:rsidRPr="004A7262">
        <w:rPr>
          <w:bCs/>
          <w:lang w:val="fr-FR"/>
        </w:rPr>
        <w:t xml:space="preserve"> pour co</w:t>
      </w:r>
      <w:r>
        <w:rPr>
          <w:bCs/>
          <w:lang w:val="fr-FR"/>
        </w:rPr>
        <w:t>ntrer</w:t>
      </w:r>
      <w:r w:rsidRPr="004A7262">
        <w:rPr>
          <w:bCs/>
          <w:lang w:val="fr-FR"/>
        </w:rPr>
        <w:t xml:space="preserve"> les discours qui cherchent à discréditer et à affaiblir </w:t>
      </w:r>
      <w:r>
        <w:rPr>
          <w:bCs/>
          <w:lang w:val="fr-FR"/>
        </w:rPr>
        <w:t xml:space="preserve">les personnes </w:t>
      </w:r>
      <w:r w:rsidRPr="004A7262">
        <w:rPr>
          <w:bCs/>
          <w:lang w:val="fr-FR"/>
        </w:rPr>
        <w:t>qui luttent contre le racisme</w:t>
      </w:r>
      <w:r w:rsidRPr="00293268">
        <w:rPr>
          <w:bCs/>
          <w:lang w:val="fr-FR"/>
        </w:rPr>
        <w:t>.</w:t>
      </w:r>
    </w:p>
    <w:p w14:paraId="32F96D7C" w14:textId="6B5396F0" w:rsidR="00D301C6" w:rsidRPr="00293268" w:rsidRDefault="00D301C6" w:rsidP="00437942">
      <w:pPr>
        <w:pStyle w:val="H23G"/>
        <w:rPr>
          <w:lang w:val="fr-FR"/>
        </w:rPr>
      </w:pPr>
      <w:bookmarkStart w:id="1094" w:name="_Toc74922979"/>
      <w:r w:rsidRPr="00293268">
        <w:rPr>
          <w:lang w:val="fr-FR"/>
        </w:rPr>
        <w:tab/>
        <w:t>4.</w:t>
      </w:r>
      <w:r w:rsidRPr="00293268">
        <w:rPr>
          <w:lang w:val="fr-FR"/>
        </w:rPr>
        <w:tab/>
      </w:r>
      <w:bookmarkEnd w:id="1094"/>
      <w:r w:rsidRPr="00851723">
        <w:rPr>
          <w:lang w:val="fr-FR"/>
        </w:rPr>
        <w:t>Protéger la sécurité</w:t>
      </w:r>
      <w:r w:rsidRPr="00435E5C">
        <w:rPr>
          <w:lang w:val="fr-FR"/>
        </w:rPr>
        <w:t xml:space="preserve"> et les droits des organisateurs, des participants, des observateurs </w:t>
      </w:r>
      <w:r w:rsidR="000B7B37">
        <w:rPr>
          <w:lang w:val="fr-FR"/>
        </w:rPr>
        <w:br/>
      </w:r>
      <w:r w:rsidRPr="00435E5C">
        <w:rPr>
          <w:lang w:val="fr-FR"/>
        </w:rPr>
        <w:t xml:space="preserve">et des journalistes lors des manifestations, en accordant une attention particulière </w:t>
      </w:r>
      <w:r w:rsidR="000B7B37">
        <w:rPr>
          <w:lang w:val="fr-FR"/>
        </w:rPr>
        <w:br/>
      </w:r>
      <w:r w:rsidRPr="00435E5C">
        <w:rPr>
          <w:lang w:val="fr-FR"/>
        </w:rPr>
        <w:t>aux personnes et groupes qui sont ou ont été victimes de discrimination raciale</w:t>
      </w:r>
    </w:p>
    <w:p w14:paraId="25E9F0F6" w14:textId="0B795E2B" w:rsidR="00D301C6" w:rsidRPr="00293268" w:rsidRDefault="00D301C6" w:rsidP="00D0709E">
      <w:pPr>
        <w:pStyle w:val="SingleTxtG"/>
        <w:spacing w:after="100" w:line="236" w:lineRule="atLeast"/>
        <w:rPr>
          <w:lang w:val="fr-FR"/>
        </w:rPr>
      </w:pPr>
      <w:r w:rsidRPr="00293268">
        <w:rPr>
          <w:bCs/>
          <w:lang w:val="fr-FR"/>
        </w:rPr>
        <w:t>236.</w:t>
      </w:r>
      <w:r w:rsidRPr="00293268">
        <w:rPr>
          <w:bCs/>
          <w:lang w:val="fr-FR"/>
        </w:rPr>
        <w:tab/>
      </w:r>
      <w:r w:rsidRPr="00326F51">
        <w:rPr>
          <w:bCs/>
          <w:lang w:val="fr-FR"/>
        </w:rPr>
        <w:t>Les droits des organisateurs, des participants, des journalistes et des observateurs doivent être respectés et protégés sans discrimination</w:t>
      </w:r>
      <w:r w:rsidRPr="00CD6B67">
        <w:rPr>
          <w:rStyle w:val="FootnoteReference"/>
        </w:rPr>
        <w:footnoteReference w:id="624"/>
      </w:r>
      <w:r>
        <w:rPr>
          <w:bCs/>
          <w:lang w:val="fr-FR"/>
        </w:rPr>
        <w:t>.</w:t>
      </w:r>
      <w:r w:rsidRPr="00293268">
        <w:rPr>
          <w:lang w:val="fr-FR"/>
        </w:rPr>
        <w:t xml:space="preserve"> </w:t>
      </w:r>
      <w:r w:rsidRPr="00902C65">
        <w:rPr>
          <w:lang w:val="fr-FR"/>
        </w:rPr>
        <w:t>Toutes les restrictions imposées</w:t>
      </w:r>
      <w:r>
        <w:rPr>
          <w:lang w:val="fr-FR"/>
        </w:rPr>
        <w:t xml:space="preserve"> </w:t>
      </w:r>
      <w:r w:rsidR="00773187">
        <w:rPr>
          <w:lang w:val="fr-FR"/>
        </w:rPr>
        <w:t>− </w:t>
      </w:r>
      <w:r>
        <w:rPr>
          <w:lang w:val="fr-FR"/>
        </w:rPr>
        <w:t>en particulier celles fondées sur des exigences de « santé publique</w:t>
      </w:r>
      <w:r w:rsidR="00773187">
        <w:rPr>
          <w:lang w:val="fr-FR"/>
        </w:rPr>
        <w:t> </w:t>
      </w:r>
      <w:r>
        <w:rPr>
          <w:lang w:val="fr-FR"/>
        </w:rPr>
        <w:t>»</w:t>
      </w:r>
      <w:r w:rsidR="00773187">
        <w:rPr>
          <w:lang w:val="fr-FR"/>
        </w:rPr>
        <w:t> −</w:t>
      </w:r>
      <w:r w:rsidRPr="00293268">
        <w:rPr>
          <w:lang w:val="fr-FR"/>
        </w:rPr>
        <w:t xml:space="preserve"> </w:t>
      </w:r>
      <w:r>
        <w:rPr>
          <w:lang w:val="fr-FR"/>
        </w:rPr>
        <w:t>devraient se limiter à celles qui sont nécessaires dans une société démocratique</w:t>
      </w:r>
      <w:r w:rsidRPr="00293268">
        <w:rPr>
          <w:bCs/>
          <w:lang w:val="fr-FR"/>
        </w:rPr>
        <w:t xml:space="preserve">, </w:t>
      </w:r>
      <w:r>
        <w:rPr>
          <w:bCs/>
          <w:lang w:val="fr-FR"/>
        </w:rPr>
        <w:t>être non discriminatoires</w:t>
      </w:r>
      <w:r w:rsidRPr="00293268">
        <w:rPr>
          <w:bCs/>
          <w:lang w:val="fr-FR"/>
        </w:rPr>
        <w:t xml:space="preserve">, </w:t>
      </w:r>
      <w:r w:rsidRPr="00814206">
        <w:rPr>
          <w:bCs/>
          <w:lang w:val="fr-FR"/>
        </w:rPr>
        <w:t>prévues par la loi</w:t>
      </w:r>
      <w:r w:rsidRPr="00293268">
        <w:rPr>
          <w:bCs/>
          <w:lang w:val="fr-FR"/>
        </w:rPr>
        <w:t xml:space="preserve">, </w:t>
      </w:r>
      <w:r w:rsidRPr="007875C2">
        <w:rPr>
          <w:bCs/>
          <w:lang w:val="fr-FR"/>
        </w:rPr>
        <w:t xml:space="preserve">proportionnées au but recherché </w:t>
      </w:r>
      <w:r>
        <w:rPr>
          <w:bCs/>
          <w:lang w:val="fr-FR"/>
        </w:rPr>
        <w:t xml:space="preserve">et </w:t>
      </w:r>
      <w:r w:rsidRPr="00E93127">
        <w:rPr>
          <w:bCs/>
          <w:lang w:val="fr-FR"/>
        </w:rPr>
        <w:t>nécessaire</w:t>
      </w:r>
      <w:r>
        <w:rPr>
          <w:bCs/>
          <w:lang w:val="fr-FR"/>
        </w:rPr>
        <w:t>s</w:t>
      </w:r>
      <w:r w:rsidRPr="00E93127">
        <w:rPr>
          <w:bCs/>
          <w:lang w:val="fr-FR"/>
        </w:rPr>
        <w:t xml:space="preserve"> pour </w:t>
      </w:r>
      <w:r>
        <w:rPr>
          <w:bCs/>
          <w:lang w:val="fr-FR"/>
        </w:rPr>
        <w:t>réaliser</w:t>
      </w:r>
      <w:r w:rsidRPr="00E93127">
        <w:rPr>
          <w:bCs/>
          <w:lang w:val="fr-FR"/>
        </w:rPr>
        <w:t xml:space="preserve"> </w:t>
      </w:r>
      <w:r>
        <w:rPr>
          <w:bCs/>
          <w:lang w:val="fr-FR"/>
        </w:rPr>
        <w:t xml:space="preserve">un </w:t>
      </w:r>
      <w:r w:rsidRPr="00E93127">
        <w:rPr>
          <w:bCs/>
          <w:lang w:val="fr-FR"/>
        </w:rPr>
        <w:t>objectif légitime</w:t>
      </w:r>
      <w:r w:rsidRPr="00CD6B67">
        <w:rPr>
          <w:rStyle w:val="FootnoteReference"/>
        </w:rPr>
        <w:footnoteReference w:id="625"/>
      </w:r>
      <w:r>
        <w:rPr>
          <w:bCs/>
          <w:lang w:val="fr-FR"/>
        </w:rPr>
        <w:t>.</w:t>
      </w:r>
      <w:r w:rsidRPr="00293268">
        <w:rPr>
          <w:lang w:val="fr-FR"/>
        </w:rPr>
        <w:t xml:space="preserve"> </w:t>
      </w:r>
      <w:r w:rsidRPr="005515F9">
        <w:rPr>
          <w:lang w:val="fr-FR"/>
        </w:rPr>
        <w:t xml:space="preserve">En outre, </w:t>
      </w:r>
      <w:r>
        <w:rPr>
          <w:lang w:val="fr-FR"/>
        </w:rPr>
        <w:t>les</w:t>
      </w:r>
      <w:r w:rsidRPr="005515F9">
        <w:rPr>
          <w:lang w:val="fr-FR"/>
        </w:rPr>
        <w:t xml:space="preserve"> restriction</w:t>
      </w:r>
      <w:r>
        <w:rPr>
          <w:lang w:val="fr-FR"/>
        </w:rPr>
        <w:t>s</w:t>
      </w:r>
      <w:r w:rsidRPr="005515F9">
        <w:rPr>
          <w:lang w:val="fr-FR"/>
        </w:rPr>
        <w:t xml:space="preserve"> ne devraient pas, en principe, être liées </w:t>
      </w:r>
      <w:r>
        <w:rPr>
          <w:lang w:val="fr-FR"/>
        </w:rPr>
        <w:t>au</w:t>
      </w:r>
      <w:r w:rsidRPr="005515F9">
        <w:rPr>
          <w:lang w:val="fr-FR"/>
        </w:rPr>
        <w:t xml:space="preserve"> contenu</w:t>
      </w:r>
      <w:r>
        <w:rPr>
          <w:lang w:val="fr-FR"/>
        </w:rPr>
        <w:t xml:space="preserve"> des réunions,</w:t>
      </w:r>
      <w:r w:rsidRPr="005515F9">
        <w:rPr>
          <w:lang w:val="fr-FR"/>
        </w:rPr>
        <w:t xml:space="preserve"> ni être </w:t>
      </w:r>
      <w:r>
        <w:rPr>
          <w:lang w:val="fr-FR"/>
        </w:rPr>
        <w:t>fonction de</w:t>
      </w:r>
      <w:r w:rsidRPr="005515F9">
        <w:rPr>
          <w:lang w:val="fr-FR"/>
        </w:rPr>
        <w:t xml:space="preserve"> l</w:t>
      </w:r>
      <w:r>
        <w:rPr>
          <w:lang w:val="fr-FR"/>
        </w:rPr>
        <w:t>’</w:t>
      </w:r>
      <w:r w:rsidRPr="005515F9">
        <w:rPr>
          <w:lang w:val="fr-FR"/>
        </w:rPr>
        <w:t xml:space="preserve">identité des participants ou </w:t>
      </w:r>
      <w:r>
        <w:rPr>
          <w:lang w:val="fr-FR"/>
        </w:rPr>
        <w:t>des</w:t>
      </w:r>
      <w:r w:rsidRPr="005515F9">
        <w:rPr>
          <w:lang w:val="fr-FR"/>
        </w:rPr>
        <w:t xml:space="preserve"> r</w:t>
      </w:r>
      <w:r>
        <w:rPr>
          <w:lang w:val="fr-FR"/>
        </w:rPr>
        <w:t>elation</w:t>
      </w:r>
      <w:r w:rsidRPr="005515F9">
        <w:rPr>
          <w:lang w:val="fr-FR"/>
        </w:rPr>
        <w:t xml:space="preserve">s </w:t>
      </w:r>
      <w:r>
        <w:rPr>
          <w:lang w:val="fr-FR"/>
        </w:rPr>
        <w:t xml:space="preserve">que ceux-ci entretiennent </w:t>
      </w:r>
      <w:r w:rsidRPr="005515F9">
        <w:rPr>
          <w:lang w:val="fr-FR"/>
        </w:rPr>
        <w:t xml:space="preserve">avec les autorités. Les États sont encouragés à </w:t>
      </w:r>
      <w:r>
        <w:rPr>
          <w:lang w:val="fr-FR"/>
        </w:rPr>
        <w:t>réfléchir à</w:t>
      </w:r>
      <w:r w:rsidRPr="005515F9">
        <w:rPr>
          <w:lang w:val="fr-FR"/>
        </w:rPr>
        <w:t xml:space="preserve"> la manière dont les manifestations peuvent être organisées </w:t>
      </w:r>
      <w:r>
        <w:rPr>
          <w:lang w:val="fr-FR"/>
        </w:rPr>
        <w:t>conformément aux impératifs de</w:t>
      </w:r>
      <w:r w:rsidRPr="005515F9">
        <w:rPr>
          <w:lang w:val="fr-FR"/>
        </w:rPr>
        <w:t xml:space="preserve"> santé publique, par exemple en prévoyant une distanc</w:t>
      </w:r>
      <w:r>
        <w:rPr>
          <w:lang w:val="fr-FR"/>
        </w:rPr>
        <w:t>e</w:t>
      </w:r>
      <w:r w:rsidRPr="005515F9">
        <w:rPr>
          <w:lang w:val="fr-FR"/>
        </w:rPr>
        <w:t xml:space="preserve"> physique appropriée ou l</w:t>
      </w:r>
      <w:r>
        <w:rPr>
          <w:lang w:val="fr-FR"/>
        </w:rPr>
        <w:t>’</w:t>
      </w:r>
      <w:r w:rsidRPr="005515F9">
        <w:rPr>
          <w:lang w:val="fr-FR"/>
        </w:rPr>
        <w:t xml:space="preserve">obligation de porter un masque, plutôt que </w:t>
      </w:r>
      <w:r>
        <w:rPr>
          <w:lang w:val="fr-FR"/>
        </w:rPr>
        <w:t>d’interdire</w:t>
      </w:r>
      <w:r w:rsidRPr="005515F9">
        <w:rPr>
          <w:lang w:val="fr-FR"/>
        </w:rPr>
        <w:t xml:space="preserve"> totalement les rassemblements</w:t>
      </w:r>
      <w:r w:rsidRPr="00CD6B67">
        <w:rPr>
          <w:rStyle w:val="FootnoteReference"/>
        </w:rPr>
        <w:footnoteReference w:id="626"/>
      </w:r>
      <w:r>
        <w:rPr>
          <w:lang w:val="fr-FR"/>
        </w:rPr>
        <w:t>.</w:t>
      </w:r>
      <w:r w:rsidRPr="00293268">
        <w:rPr>
          <w:lang w:val="fr-FR"/>
        </w:rPr>
        <w:t xml:space="preserve"> </w:t>
      </w:r>
      <w:r w:rsidRPr="004B7941">
        <w:rPr>
          <w:lang w:val="fr-FR"/>
        </w:rPr>
        <w:t>Les restrictions</w:t>
      </w:r>
      <w:r>
        <w:rPr>
          <w:lang w:val="fr-FR"/>
        </w:rPr>
        <w:t xml:space="preserve"> </w:t>
      </w:r>
      <w:r w:rsidRPr="004B7941">
        <w:rPr>
          <w:lang w:val="fr-FR"/>
        </w:rPr>
        <w:t xml:space="preserve">relatives aux rassemblements publics devraient être constamment évaluées pour déterminer si elles </w:t>
      </w:r>
      <w:r>
        <w:rPr>
          <w:lang w:val="fr-FR"/>
        </w:rPr>
        <w:t>restent</w:t>
      </w:r>
      <w:r w:rsidRPr="004B7941">
        <w:rPr>
          <w:lang w:val="fr-FR"/>
        </w:rPr>
        <w:t xml:space="preserve"> nécessaires et proportionnées</w:t>
      </w:r>
      <w:r w:rsidRPr="00D47D9E">
        <w:rPr>
          <w:lang w:val="fr-FR"/>
        </w:rPr>
        <w:t>, et les États devraient entreprendre un examen des lois et pratiques existantes afin de s</w:t>
      </w:r>
      <w:r>
        <w:rPr>
          <w:lang w:val="fr-FR"/>
        </w:rPr>
        <w:t>’</w:t>
      </w:r>
      <w:r w:rsidRPr="00D47D9E">
        <w:rPr>
          <w:lang w:val="fr-FR"/>
        </w:rPr>
        <w:t>assurer qu</w:t>
      </w:r>
      <w:r>
        <w:rPr>
          <w:lang w:val="fr-FR"/>
        </w:rPr>
        <w:t>’</w:t>
      </w:r>
      <w:r w:rsidRPr="00D47D9E">
        <w:rPr>
          <w:lang w:val="fr-FR"/>
        </w:rPr>
        <w:t>elles respectent ces normes</w:t>
      </w:r>
      <w:r w:rsidRPr="00293268">
        <w:rPr>
          <w:lang w:val="fr-FR"/>
        </w:rPr>
        <w:t>.</w:t>
      </w:r>
    </w:p>
    <w:p w14:paraId="1ACDC8B7" w14:textId="5FD62CDC" w:rsidR="00D301C6" w:rsidRPr="00293268" w:rsidRDefault="00D301C6" w:rsidP="00D0709E">
      <w:pPr>
        <w:pStyle w:val="SingleTxtG"/>
        <w:spacing w:after="100" w:line="236" w:lineRule="atLeast"/>
        <w:rPr>
          <w:lang w:val="fr-FR"/>
        </w:rPr>
      </w:pPr>
      <w:r w:rsidRPr="00293268">
        <w:rPr>
          <w:lang w:val="fr-FR"/>
        </w:rPr>
        <w:t>237.</w:t>
      </w:r>
      <w:r w:rsidRPr="00293268">
        <w:rPr>
          <w:lang w:val="fr-FR"/>
        </w:rPr>
        <w:tab/>
      </w:r>
      <w:r w:rsidRPr="000B0ECC">
        <w:rPr>
          <w:lang w:val="fr-FR"/>
        </w:rPr>
        <w:t>Les États doivent respecter et permettre les</w:t>
      </w:r>
      <w:r>
        <w:rPr>
          <w:lang w:val="fr-FR"/>
        </w:rPr>
        <w:t xml:space="preserve"> </w:t>
      </w:r>
      <w:r w:rsidRPr="000B0ECC">
        <w:rPr>
          <w:lang w:val="fr-FR"/>
        </w:rPr>
        <w:t>contre-manifestations en tant que réunions à part entière, tout en empêchant qu</w:t>
      </w:r>
      <w:r>
        <w:rPr>
          <w:lang w:val="fr-FR"/>
        </w:rPr>
        <w:t>’</w:t>
      </w:r>
      <w:r w:rsidRPr="000B0ECC">
        <w:rPr>
          <w:lang w:val="fr-FR"/>
        </w:rPr>
        <w:t>elles ne</w:t>
      </w:r>
      <w:r>
        <w:rPr>
          <w:lang w:val="fr-FR"/>
        </w:rPr>
        <w:t xml:space="preserve"> </w:t>
      </w:r>
      <w:r w:rsidRPr="000B0ECC">
        <w:rPr>
          <w:lang w:val="fr-FR"/>
        </w:rPr>
        <w:t xml:space="preserve">causent des </w:t>
      </w:r>
      <w:r>
        <w:rPr>
          <w:lang w:val="fr-FR"/>
        </w:rPr>
        <w:t>« </w:t>
      </w:r>
      <w:r w:rsidRPr="000B0ECC">
        <w:rPr>
          <w:lang w:val="fr-FR"/>
        </w:rPr>
        <w:t>perturbations injustifiées</w:t>
      </w:r>
      <w:r>
        <w:rPr>
          <w:lang w:val="fr-FR"/>
        </w:rPr>
        <w:t> »</w:t>
      </w:r>
      <w:r w:rsidRPr="000B0ECC">
        <w:rPr>
          <w:lang w:val="fr-FR"/>
        </w:rPr>
        <w:t xml:space="preserve"> aux réunions qui soulèvent leur réprobatio</w:t>
      </w:r>
      <w:r>
        <w:rPr>
          <w:lang w:val="fr-FR"/>
        </w:rPr>
        <w:t>n</w:t>
      </w:r>
      <w:r w:rsidRPr="00CD6B67">
        <w:rPr>
          <w:rStyle w:val="FootnoteReference"/>
        </w:rPr>
        <w:footnoteReference w:id="627"/>
      </w:r>
      <w:r>
        <w:rPr>
          <w:lang w:val="fr-FR"/>
        </w:rPr>
        <w:t>.</w:t>
      </w:r>
      <w:r w:rsidRPr="00293268">
        <w:rPr>
          <w:lang w:val="fr-FR"/>
        </w:rPr>
        <w:t xml:space="preserve"> </w:t>
      </w:r>
      <w:r>
        <w:rPr>
          <w:lang w:val="fr-FR"/>
        </w:rPr>
        <w:t>Ils doivent aussi protéger les passants, les surveillants, les observateurs</w:t>
      </w:r>
      <w:r w:rsidRPr="00293268">
        <w:rPr>
          <w:lang w:val="fr-FR"/>
        </w:rPr>
        <w:t xml:space="preserve">, </w:t>
      </w:r>
      <w:r>
        <w:rPr>
          <w:lang w:val="fr-FR"/>
        </w:rPr>
        <w:t>le personnel médical et les journalistes</w:t>
      </w:r>
      <w:r w:rsidRPr="00293268">
        <w:rPr>
          <w:lang w:val="fr-FR"/>
        </w:rPr>
        <w:t xml:space="preserve"> </w:t>
      </w:r>
      <w:r>
        <w:rPr>
          <w:lang w:val="fr-FR"/>
        </w:rPr>
        <w:t xml:space="preserve">contre </w:t>
      </w:r>
      <w:r w:rsidRPr="00732CC7">
        <w:rPr>
          <w:lang w:val="fr-FR"/>
        </w:rPr>
        <w:t>toute forme d</w:t>
      </w:r>
      <w:r>
        <w:rPr>
          <w:lang w:val="fr-FR"/>
        </w:rPr>
        <w:t>’</w:t>
      </w:r>
      <w:r w:rsidRPr="00732CC7">
        <w:rPr>
          <w:lang w:val="fr-FR"/>
        </w:rPr>
        <w:t xml:space="preserve">agression ou de comportement discriminatoire </w:t>
      </w:r>
      <w:r w:rsidRPr="00A11618">
        <w:rPr>
          <w:lang w:val="fr-FR"/>
        </w:rPr>
        <w:t>que pourraient commettre des acteurs</w:t>
      </w:r>
      <w:r>
        <w:rPr>
          <w:lang w:val="fr-FR"/>
        </w:rPr>
        <w:t xml:space="preserve"> </w:t>
      </w:r>
      <w:r w:rsidRPr="00A11618">
        <w:rPr>
          <w:lang w:val="fr-FR"/>
        </w:rPr>
        <w:t>non étatiques, tels que des interventions ou des actes de violence d</w:t>
      </w:r>
      <w:r>
        <w:rPr>
          <w:lang w:val="fr-FR"/>
        </w:rPr>
        <w:t>’</w:t>
      </w:r>
      <w:r w:rsidRPr="00A11618">
        <w:rPr>
          <w:lang w:val="fr-FR"/>
        </w:rPr>
        <w:t>autres membres du</w:t>
      </w:r>
      <w:r>
        <w:rPr>
          <w:lang w:val="fr-FR"/>
        </w:rPr>
        <w:t xml:space="preserve"> </w:t>
      </w:r>
      <w:r w:rsidRPr="00A11618">
        <w:rPr>
          <w:lang w:val="fr-FR"/>
        </w:rPr>
        <w:t>public, de contre-manifestants ou de prestataires de services de sécurité privés</w:t>
      </w:r>
      <w:r w:rsidRPr="00CD6B67">
        <w:rPr>
          <w:rStyle w:val="FootnoteReference"/>
        </w:rPr>
        <w:footnoteReference w:id="628"/>
      </w:r>
      <w:r>
        <w:rPr>
          <w:lang w:val="fr-FR"/>
        </w:rPr>
        <w:t>.</w:t>
      </w:r>
      <w:r w:rsidRPr="00293268">
        <w:rPr>
          <w:lang w:val="fr-FR"/>
        </w:rPr>
        <w:t xml:space="preserve"> </w:t>
      </w:r>
      <w:r w:rsidRPr="00AC675D">
        <w:rPr>
          <w:lang w:val="fr-FR"/>
        </w:rPr>
        <w:t xml:space="preserve">Cela suppose, par exemple, de veiller à ce que les </w:t>
      </w:r>
      <w:r>
        <w:rPr>
          <w:lang w:val="fr-FR"/>
        </w:rPr>
        <w:t>forces de l’ordre</w:t>
      </w:r>
      <w:r w:rsidRPr="00AC675D">
        <w:rPr>
          <w:lang w:val="fr-FR"/>
        </w:rPr>
        <w:t xml:space="preserve"> et les autorités locales reçoivent une formation appropriée sur </w:t>
      </w:r>
      <w:r>
        <w:rPr>
          <w:lang w:val="fr-FR"/>
        </w:rPr>
        <w:t>l’encadrement des</w:t>
      </w:r>
      <w:r w:rsidRPr="00AC675D">
        <w:rPr>
          <w:lang w:val="fr-FR"/>
        </w:rPr>
        <w:t xml:space="preserve"> contre-manifestations conformément au droit international des droits de l</w:t>
      </w:r>
      <w:r>
        <w:rPr>
          <w:lang w:val="fr-FR"/>
        </w:rPr>
        <w:t>’</w:t>
      </w:r>
      <w:r w:rsidRPr="00AC675D">
        <w:rPr>
          <w:lang w:val="fr-FR"/>
        </w:rPr>
        <w:t>homme</w:t>
      </w:r>
      <w:r w:rsidRPr="00293268">
        <w:rPr>
          <w:lang w:val="fr-FR"/>
        </w:rPr>
        <w:t>.</w:t>
      </w:r>
    </w:p>
    <w:p w14:paraId="6399C28F" w14:textId="79FB05B6" w:rsidR="00D301C6" w:rsidRPr="00137073" w:rsidRDefault="00D301C6" w:rsidP="00D301C6">
      <w:pPr>
        <w:pStyle w:val="SingleTxtG"/>
        <w:rPr>
          <w:lang w:val="fr-FR"/>
        </w:rPr>
      </w:pPr>
      <w:r w:rsidRPr="00293268">
        <w:rPr>
          <w:lang w:val="fr-FR"/>
        </w:rPr>
        <w:t>238.</w:t>
      </w:r>
      <w:r w:rsidRPr="00293268">
        <w:rPr>
          <w:lang w:val="fr-FR"/>
        </w:rPr>
        <w:tab/>
      </w:r>
      <w:r w:rsidRPr="00B00F59">
        <w:rPr>
          <w:lang w:val="fr-FR"/>
        </w:rPr>
        <w:t xml:space="preserve">Des efforts particuliers devraient être consentis pour </w:t>
      </w:r>
      <w:r>
        <w:rPr>
          <w:lang w:val="fr-FR"/>
        </w:rPr>
        <w:t>respecter et protéger le</w:t>
      </w:r>
      <w:r w:rsidRPr="00B00F59">
        <w:rPr>
          <w:lang w:val="fr-FR"/>
        </w:rPr>
        <w:t>s personnes appartenant à des groupes qui sont ou ont été victimes de discrimination</w:t>
      </w:r>
      <w:r w:rsidRPr="00CD6B67">
        <w:rPr>
          <w:rStyle w:val="FootnoteReference"/>
        </w:rPr>
        <w:footnoteReference w:id="629"/>
      </w:r>
      <w:r>
        <w:rPr>
          <w:lang w:val="fr-FR"/>
        </w:rPr>
        <w:t>.</w:t>
      </w:r>
      <w:r w:rsidRPr="00293268">
        <w:rPr>
          <w:lang w:val="fr-FR"/>
        </w:rPr>
        <w:t xml:space="preserve"> </w:t>
      </w:r>
      <w:r>
        <w:rPr>
          <w:lang w:val="fr-FR"/>
        </w:rPr>
        <w:t>Le</w:t>
      </w:r>
      <w:r w:rsidR="00562B6A">
        <w:rPr>
          <w:lang w:val="fr-FR"/>
        </w:rPr>
        <w:t> </w:t>
      </w:r>
      <w:r>
        <w:rPr>
          <w:lang w:val="fr-FR"/>
        </w:rPr>
        <w:t>non-respect des</w:t>
      </w:r>
      <w:r w:rsidRPr="00E4393F">
        <w:rPr>
          <w:lang w:val="fr-FR"/>
        </w:rPr>
        <w:t xml:space="preserve"> droits des manifestants </w:t>
      </w:r>
      <w:r>
        <w:rPr>
          <w:lang w:val="fr-FR"/>
        </w:rPr>
        <w:t>a</w:t>
      </w:r>
      <w:r w:rsidRPr="00E4393F">
        <w:rPr>
          <w:lang w:val="fr-FR"/>
        </w:rPr>
        <w:t xml:space="preserve"> des répercussions négatives sur l</w:t>
      </w:r>
      <w:r>
        <w:rPr>
          <w:lang w:val="fr-FR"/>
        </w:rPr>
        <w:t>’</w:t>
      </w:r>
      <w:r w:rsidRPr="00E4393F">
        <w:rPr>
          <w:lang w:val="fr-FR"/>
        </w:rPr>
        <w:t>ensemble de la société</w:t>
      </w:r>
      <w:r>
        <w:rPr>
          <w:lang w:val="fr-FR"/>
        </w:rPr>
        <w:t xml:space="preserve"> et </w:t>
      </w:r>
      <w:r w:rsidRPr="008C0F98">
        <w:rPr>
          <w:lang w:val="fr-FR"/>
        </w:rPr>
        <w:t>empêche la réalisation de l</w:t>
      </w:r>
      <w:r>
        <w:rPr>
          <w:lang w:val="fr-FR"/>
        </w:rPr>
        <w:t>’</w:t>
      </w:r>
      <w:r w:rsidRPr="008C0F98">
        <w:rPr>
          <w:lang w:val="fr-FR"/>
        </w:rPr>
        <w:t>objet même des réunions pacifiques,</w:t>
      </w:r>
      <w:r>
        <w:rPr>
          <w:lang w:val="fr-FR"/>
        </w:rPr>
        <w:t xml:space="preserve"> </w:t>
      </w:r>
      <w:r w:rsidRPr="008C0F98">
        <w:rPr>
          <w:lang w:val="fr-FR"/>
        </w:rPr>
        <w:t>qui est d</w:t>
      </w:r>
      <w:r>
        <w:rPr>
          <w:lang w:val="fr-FR"/>
        </w:rPr>
        <w:t>’</w:t>
      </w:r>
      <w:r w:rsidRPr="008C0F98">
        <w:rPr>
          <w:lang w:val="fr-FR"/>
        </w:rPr>
        <w:t>être un outil de participation politique et sociale permettant de mettre des idées à</w:t>
      </w:r>
      <w:r>
        <w:rPr>
          <w:lang w:val="fr-FR"/>
        </w:rPr>
        <w:t xml:space="preserve"> </w:t>
      </w:r>
      <w:r w:rsidRPr="008C0F98">
        <w:rPr>
          <w:lang w:val="fr-FR"/>
        </w:rPr>
        <w:t>l</w:t>
      </w:r>
      <w:r>
        <w:rPr>
          <w:lang w:val="fr-FR"/>
        </w:rPr>
        <w:t>’</w:t>
      </w:r>
      <w:r w:rsidRPr="008C0F98">
        <w:rPr>
          <w:lang w:val="fr-FR"/>
        </w:rPr>
        <w:t>épreuve en les soumettant à la population et de déterminer le degré de soutien dont elles</w:t>
      </w:r>
      <w:r>
        <w:rPr>
          <w:lang w:val="fr-FR"/>
        </w:rPr>
        <w:t xml:space="preserve"> </w:t>
      </w:r>
      <w:r w:rsidRPr="008C0F98">
        <w:rPr>
          <w:lang w:val="fr-FR"/>
        </w:rPr>
        <w:t>bénéficient</w:t>
      </w:r>
      <w:r w:rsidRPr="00CD6B67">
        <w:rPr>
          <w:rStyle w:val="FootnoteReference"/>
        </w:rPr>
        <w:t xml:space="preserve"> </w:t>
      </w:r>
      <w:r w:rsidRPr="00CD6B67">
        <w:rPr>
          <w:rStyle w:val="FootnoteReference"/>
        </w:rPr>
        <w:footnoteReference w:id="630"/>
      </w:r>
      <w:r>
        <w:rPr>
          <w:lang w:val="fr-FR"/>
        </w:rPr>
        <w:t>.</w:t>
      </w:r>
    </w:p>
    <w:p w14:paraId="1CC9DCFD" w14:textId="77777777" w:rsidR="00D301C6" w:rsidRPr="00293268" w:rsidRDefault="00D301C6" w:rsidP="00D301C6">
      <w:pPr>
        <w:pStyle w:val="SingleTxtG"/>
        <w:rPr>
          <w:lang w:val="fr-FR"/>
        </w:rPr>
      </w:pPr>
      <w:r w:rsidRPr="00293268">
        <w:rPr>
          <w:lang w:val="fr-FR"/>
        </w:rPr>
        <w:t>239.</w:t>
      </w:r>
      <w:r w:rsidRPr="00293268">
        <w:rPr>
          <w:lang w:val="fr-FR"/>
        </w:rPr>
        <w:tab/>
      </w:r>
      <w:r>
        <w:rPr>
          <w:lang w:val="fr-FR"/>
        </w:rPr>
        <w:t>Les</w:t>
      </w:r>
      <w:r w:rsidRPr="004150ED">
        <w:rPr>
          <w:lang w:val="fr-FR"/>
        </w:rPr>
        <w:t xml:space="preserve"> journalistes</w:t>
      </w:r>
      <w:r>
        <w:rPr>
          <w:lang w:val="fr-FR"/>
        </w:rPr>
        <w:t xml:space="preserve"> </w:t>
      </w:r>
      <w:r w:rsidRPr="004150ED">
        <w:rPr>
          <w:lang w:val="fr-FR"/>
        </w:rPr>
        <w:t xml:space="preserve">et </w:t>
      </w:r>
      <w:r>
        <w:rPr>
          <w:lang w:val="fr-FR"/>
        </w:rPr>
        <w:t>ceux et celles</w:t>
      </w:r>
      <w:r w:rsidRPr="004150ED">
        <w:rPr>
          <w:lang w:val="fr-FR"/>
        </w:rPr>
        <w:t xml:space="preserve"> </w:t>
      </w:r>
      <w:r w:rsidRPr="00EA0289">
        <w:rPr>
          <w:lang w:val="fr-FR"/>
        </w:rPr>
        <w:t>qui surveillent et rendent compte du déroulement des r</w:t>
      </w:r>
      <w:r>
        <w:rPr>
          <w:lang w:val="fr-FR"/>
        </w:rPr>
        <w:t>assemblement</w:t>
      </w:r>
      <w:r w:rsidRPr="00EA0289">
        <w:rPr>
          <w:lang w:val="fr-FR"/>
        </w:rPr>
        <w:t xml:space="preserve">s, jouent un rôle particulièrement important </w:t>
      </w:r>
      <w:r>
        <w:rPr>
          <w:lang w:val="fr-FR"/>
        </w:rPr>
        <w:t>dans</w:t>
      </w:r>
      <w:r w:rsidRPr="00EA0289">
        <w:rPr>
          <w:lang w:val="fr-FR"/>
        </w:rPr>
        <w:t xml:space="preserve"> la pleine jouissance du droit de réunion pacifique</w:t>
      </w:r>
      <w:r w:rsidRPr="004150ED">
        <w:rPr>
          <w:lang w:val="fr-FR"/>
        </w:rPr>
        <w:t xml:space="preserve">. </w:t>
      </w:r>
      <w:r w:rsidRPr="00E61F05">
        <w:rPr>
          <w:lang w:val="fr-FR"/>
        </w:rPr>
        <w:t>Il ne peut pas leur être interdit d</w:t>
      </w:r>
      <w:r>
        <w:rPr>
          <w:lang w:val="fr-FR"/>
        </w:rPr>
        <w:t>’</w:t>
      </w:r>
      <w:r w:rsidRPr="00E61F05">
        <w:rPr>
          <w:lang w:val="fr-FR"/>
        </w:rPr>
        <w:t>exercer ces fonctions ni leur être imposé de limites à l</w:t>
      </w:r>
      <w:r>
        <w:rPr>
          <w:lang w:val="fr-FR"/>
        </w:rPr>
        <w:t>’</w:t>
      </w:r>
      <w:r w:rsidRPr="00E61F05">
        <w:rPr>
          <w:lang w:val="fr-FR"/>
        </w:rPr>
        <w:t>exercice de ces fonctions, y compris en ce qui concerne la surveillance des actions des forces de l</w:t>
      </w:r>
      <w:r>
        <w:rPr>
          <w:lang w:val="fr-FR"/>
        </w:rPr>
        <w:t>’</w:t>
      </w:r>
      <w:r w:rsidRPr="00E61F05">
        <w:rPr>
          <w:lang w:val="fr-FR"/>
        </w:rPr>
        <w:t>ordre</w:t>
      </w:r>
      <w:r w:rsidRPr="00991D0E">
        <w:rPr>
          <w:lang w:val="fr-FR"/>
        </w:rPr>
        <w:t>.</w:t>
      </w:r>
      <w:r>
        <w:rPr>
          <w:lang w:val="fr-FR"/>
        </w:rPr>
        <w:t xml:space="preserve"> </w:t>
      </w:r>
      <w:r w:rsidRPr="004150ED">
        <w:rPr>
          <w:lang w:val="fr-FR"/>
        </w:rPr>
        <w:t>Les participants, les journalistes et les observateurs ont eux aussi le droit d</w:t>
      </w:r>
      <w:r>
        <w:rPr>
          <w:lang w:val="fr-FR"/>
        </w:rPr>
        <w:t>’</w:t>
      </w:r>
      <w:r w:rsidRPr="004150ED">
        <w:rPr>
          <w:lang w:val="fr-FR"/>
        </w:rPr>
        <w:t>enregistrer les membres des forces de l</w:t>
      </w:r>
      <w:r>
        <w:rPr>
          <w:lang w:val="fr-FR"/>
        </w:rPr>
        <w:t>’</w:t>
      </w:r>
      <w:r w:rsidRPr="004150ED">
        <w:rPr>
          <w:lang w:val="fr-FR"/>
        </w:rPr>
        <w:t>ordre</w:t>
      </w:r>
      <w:r w:rsidRPr="00CD6B67">
        <w:rPr>
          <w:rStyle w:val="FootnoteReference"/>
        </w:rPr>
        <w:footnoteReference w:id="631"/>
      </w:r>
      <w:r>
        <w:rPr>
          <w:lang w:val="fr-FR"/>
        </w:rPr>
        <w:t>.</w:t>
      </w:r>
      <w:r w:rsidRPr="00293268">
        <w:rPr>
          <w:lang w:val="fr-FR"/>
        </w:rPr>
        <w:t xml:space="preserve"> </w:t>
      </w:r>
      <w:r w:rsidRPr="00CA278F">
        <w:rPr>
          <w:lang w:val="fr-FR"/>
        </w:rPr>
        <w:t>Les journalistes</w:t>
      </w:r>
      <w:r w:rsidRPr="00C05DDF">
        <w:rPr>
          <w:lang w:val="fr-FR"/>
        </w:rPr>
        <w:t xml:space="preserve"> ne doivent pas risquer de faire l</w:t>
      </w:r>
      <w:r>
        <w:rPr>
          <w:lang w:val="fr-FR"/>
        </w:rPr>
        <w:t>’</w:t>
      </w:r>
      <w:r w:rsidRPr="00C05DDF">
        <w:rPr>
          <w:lang w:val="fr-FR"/>
        </w:rPr>
        <w:t>objet de représailles ou d</w:t>
      </w:r>
      <w:r>
        <w:rPr>
          <w:lang w:val="fr-FR"/>
        </w:rPr>
        <w:t>’</w:t>
      </w:r>
      <w:r w:rsidRPr="00C05DDF">
        <w:rPr>
          <w:lang w:val="fr-FR"/>
        </w:rPr>
        <w:t>autres formes de harcèlement,</w:t>
      </w:r>
      <w:r>
        <w:rPr>
          <w:lang w:val="fr-FR"/>
        </w:rPr>
        <w:t xml:space="preserve"> </w:t>
      </w:r>
      <w:r w:rsidRPr="00C05DDF">
        <w:rPr>
          <w:lang w:val="fr-FR"/>
        </w:rPr>
        <w:t>et leur matériel ne doit pas être confisqué ou endommagé.</w:t>
      </w:r>
      <w:r w:rsidRPr="00CA278F">
        <w:rPr>
          <w:lang w:val="fr-FR"/>
        </w:rPr>
        <w:t xml:space="preserve"> Même si une réunion est déclarée illégale et qu</w:t>
      </w:r>
      <w:r>
        <w:rPr>
          <w:lang w:val="fr-FR"/>
        </w:rPr>
        <w:t>’elle est</w:t>
      </w:r>
      <w:r w:rsidRPr="00CA278F">
        <w:rPr>
          <w:lang w:val="fr-FR"/>
        </w:rPr>
        <w:t xml:space="preserve"> dispersée, il n</w:t>
      </w:r>
      <w:r>
        <w:rPr>
          <w:lang w:val="fr-FR"/>
        </w:rPr>
        <w:t>’</w:t>
      </w:r>
      <w:r w:rsidRPr="00CA278F">
        <w:rPr>
          <w:lang w:val="fr-FR"/>
        </w:rPr>
        <w:t>est pas mis fin au droit de la surveiller</w:t>
      </w:r>
      <w:r w:rsidRPr="00CD6B67">
        <w:rPr>
          <w:rStyle w:val="FootnoteReference"/>
        </w:rPr>
        <w:footnoteReference w:id="632"/>
      </w:r>
      <w:r>
        <w:rPr>
          <w:lang w:val="fr-FR"/>
        </w:rPr>
        <w:t xml:space="preserve">. </w:t>
      </w:r>
      <w:r w:rsidRPr="006778CE">
        <w:rPr>
          <w:lang w:val="fr-FR"/>
        </w:rPr>
        <w:t>Les États, les journalistes et les autres parties prenantes concernées devraient discuter des moyens de protéger et de promouvoir les droits et le rôle des journalistes et autres observateurs</w:t>
      </w:r>
      <w:r w:rsidRPr="00293268">
        <w:rPr>
          <w:lang w:val="fr-FR"/>
        </w:rPr>
        <w:t>.</w:t>
      </w:r>
    </w:p>
    <w:p w14:paraId="072FA51D" w14:textId="77777777" w:rsidR="00D301C6" w:rsidRPr="00293268" w:rsidRDefault="00D301C6" w:rsidP="00D301C6">
      <w:pPr>
        <w:pStyle w:val="SingleTxtG"/>
        <w:rPr>
          <w:bCs/>
          <w:lang w:val="fr-FR"/>
        </w:rPr>
      </w:pPr>
      <w:r w:rsidRPr="00293268">
        <w:rPr>
          <w:lang w:val="fr-FR"/>
        </w:rPr>
        <w:t>240.</w:t>
      </w:r>
      <w:r w:rsidRPr="00293268">
        <w:rPr>
          <w:lang w:val="fr-FR"/>
        </w:rPr>
        <w:tab/>
      </w:r>
      <w:r w:rsidRPr="001D26D3">
        <w:rPr>
          <w:lang w:val="fr-FR"/>
        </w:rPr>
        <w:t>Les forces de l</w:t>
      </w:r>
      <w:r>
        <w:rPr>
          <w:lang w:val="fr-FR"/>
        </w:rPr>
        <w:t>’</w:t>
      </w:r>
      <w:r w:rsidRPr="001D26D3">
        <w:rPr>
          <w:lang w:val="fr-FR"/>
        </w:rPr>
        <w:t>ordre devraient s</w:t>
      </w:r>
      <w:r>
        <w:rPr>
          <w:lang w:val="fr-FR"/>
        </w:rPr>
        <w:t>’</w:t>
      </w:r>
      <w:r w:rsidRPr="001D26D3">
        <w:rPr>
          <w:lang w:val="fr-FR"/>
        </w:rPr>
        <w:t>employer à désamorcer les situations susceptibles</w:t>
      </w:r>
      <w:r>
        <w:rPr>
          <w:lang w:val="fr-FR"/>
        </w:rPr>
        <w:t xml:space="preserve"> </w:t>
      </w:r>
      <w:r w:rsidRPr="001D26D3">
        <w:rPr>
          <w:lang w:val="fr-FR"/>
        </w:rPr>
        <w:t>d</w:t>
      </w:r>
      <w:r>
        <w:rPr>
          <w:lang w:val="fr-FR"/>
        </w:rPr>
        <w:t>’</w:t>
      </w:r>
      <w:r w:rsidRPr="001D26D3">
        <w:rPr>
          <w:lang w:val="fr-FR"/>
        </w:rPr>
        <w:t>entraîner des violences</w:t>
      </w:r>
      <w:r w:rsidRPr="00293268">
        <w:rPr>
          <w:lang w:val="fr-FR"/>
        </w:rPr>
        <w:t xml:space="preserve">. </w:t>
      </w:r>
      <w:r w:rsidRPr="00383194">
        <w:rPr>
          <w:lang w:val="fr-FR"/>
        </w:rPr>
        <w:t>Elles sont tenues d</w:t>
      </w:r>
      <w:r>
        <w:rPr>
          <w:lang w:val="fr-FR"/>
        </w:rPr>
        <w:t>’</w:t>
      </w:r>
      <w:r w:rsidRPr="00383194">
        <w:rPr>
          <w:lang w:val="fr-FR"/>
        </w:rPr>
        <w:t>utiliser toutes les méthodes non violentes et</w:t>
      </w:r>
      <w:r>
        <w:rPr>
          <w:lang w:val="fr-FR"/>
        </w:rPr>
        <w:t xml:space="preserve"> </w:t>
      </w:r>
      <w:r w:rsidRPr="00383194">
        <w:rPr>
          <w:lang w:val="fr-FR"/>
        </w:rPr>
        <w:t>d</w:t>
      </w:r>
      <w:r>
        <w:rPr>
          <w:lang w:val="fr-FR"/>
        </w:rPr>
        <w:t>’</w:t>
      </w:r>
      <w:r w:rsidRPr="00383194">
        <w:rPr>
          <w:lang w:val="fr-FR"/>
        </w:rPr>
        <w:t>adresser un avertissement préalable avant de faire usage de la force si celle-ci devient</w:t>
      </w:r>
      <w:r>
        <w:rPr>
          <w:lang w:val="fr-FR"/>
        </w:rPr>
        <w:t xml:space="preserve"> </w:t>
      </w:r>
      <w:r w:rsidRPr="00383194">
        <w:rPr>
          <w:lang w:val="fr-FR"/>
        </w:rPr>
        <w:t>absolument nécessaire, sauf s</w:t>
      </w:r>
      <w:r>
        <w:rPr>
          <w:lang w:val="fr-FR"/>
        </w:rPr>
        <w:t>’</w:t>
      </w:r>
      <w:r w:rsidRPr="00383194">
        <w:rPr>
          <w:lang w:val="fr-FR"/>
        </w:rPr>
        <w:t>il est manifeste que les méthodes non violentes comme</w:t>
      </w:r>
      <w:r>
        <w:rPr>
          <w:lang w:val="fr-FR"/>
        </w:rPr>
        <w:t xml:space="preserve"> </w:t>
      </w:r>
      <w:r w:rsidRPr="00383194">
        <w:rPr>
          <w:lang w:val="fr-FR"/>
        </w:rPr>
        <w:t>l</w:t>
      </w:r>
      <w:r>
        <w:rPr>
          <w:lang w:val="fr-FR"/>
        </w:rPr>
        <w:t>’</w:t>
      </w:r>
      <w:r w:rsidRPr="00383194">
        <w:rPr>
          <w:lang w:val="fr-FR"/>
        </w:rPr>
        <w:t>avertissement préalable seraient inefficaces</w:t>
      </w:r>
      <w:r w:rsidRPr="00CD6B67">
        <w:rPr>
          <w:rStyle w:val="FootnoteReference"/>
        </w:rPr>
        <w:footnoteReference w:id="633"/>
      </w:r>
      <w:r>
        <w:rPr>
          <w:lang w:val="fr-FR"/>
        </w:rPr>
        <w:t>.</w:t>
      </w:r>
      <w:r w:rsidRPr="00293268">
        <w:rPr>
          <w:bCs/>
          <w:lang w:val="fr-FR"/>
        </w:rPr>
        <w:t xml:space="preserve"> </w:t>
      </w:r>
      <w:r w:rsidRPr="002611D9">
        <w:rPr>
          <w:bCs/>
          <w:lang w:val="fr-FR"/>
        </w:rPr>
        <w:t>Les États devraient veiller à ce qu</w:t>
      </w:r>
      <w:r>
        <w:rPr>
          <w:bCs/>
          <w:lang w:val="fr-FR"/>
        </w:rPr>
        <w:t>’</w:t>
      </w:r>
      <w:r w:rsidRPr="002611D9">
        <w:rPr>
          <w:bCs/>
          <w:lang w:val="fr-FR"/>
        </w:rPr>
        <w:t>elles aient reçu une formation sur d</w:t>
      </w:r>
      <w:r>
        <w:rPr>
          <w:bCs/>
          <w:lang w:val="fr-FR"/>
        </w:rPr>
        <w:t>’</w:t>
      </w:r>
      <w:r w:rsidRPr="002611D9">
        <w:rPr>
          <w:bCs/>
          <w:lang w:val="fr-FR"/>
        </w:rPr>
        <w:t>autres méthodes que l</w:t>
      </w:r>
      <w:r>
        <w:rPr>
          <w:bCs/>
          <w:lang w:val="fr-FR"/>
        </w:rPr>
        <w:t>’</w:t>
      </w:r>
      <w:r w:rsidRPr="002611D9">
        <w:rPr>
          <w:bCs/>
          <w:lang w:val="fr-FR"/>
        </w:rPr>
        <w:t xml:space="preserve">usage de la force, notamment </w:t>
      </w:r>
      <w:r>
        <w:rPr>
          <w:bCs/>
          <w:lang w:val="fr-FR"/>
        </w:rPr>
        <w:t>sur les</w:t>
      </w:r>
      <w:r w:rsidRPr="002611D9">
        <w:rPr>
          <w:bCs/>
          <w:lang w:val="fr-FR"/>
        </w:rPr>
        <w:t xml:space="preserve"> technique de maintien de l</w:t>
      </w:r>
      <w:r>
        <w:rPr>
          <w:bCs/>
          <w:lang w:val="fr-FR"/>
        </w:rPr>
        <w:t>’</w:t>
      </w:r>
      <w:r w:rsidRPr="002611D9">
        <w:rPr>
          <w:bCs/>
          <w:lang w:val="fr-FR"/>
        </w:rPr>
        <w:t xml:space="preserve">ordre </w:t>
      </w:r>
      <w:r>
        <w:rPr>
          <w:bCs/>
          <w:lang w:val="fr-FR"/>
        </w:rPr>
        <w:t>fondées sur le respect des</w:t>
      </w:r>
      <w:r w:rsidRPr="002611D9">
        <w:rPr>
          <w:bCs/>
          <w:lang w:val="fr-FR"/>
        </w:rPr>
        <w:t xml:space="preserve"> droits et </w:t>
      </w:r>
      <w:r>
        <w:rPr>
          <w:bCs/>
          <w:lang w:val="fr-FR"/>
        </w:rPr>
        <w:t>l’encadrement</w:t>
      </w:r>
      <w:r w:rsidRPr="002611D9">
        <w:rPr>
          <w:bCs/>
          <w:lang w:val="fr-FR"/>
        </w:rPr>
        <w:t xml:space="preserve"> des foules</w:t>
      </w:r>
      <w:r>
        <w:rPr>
          <w:bCs/>
          <w:lang w:val="fr-FR"/>
        </w:rPr>
        <w:t xml:space="preserve"> par la médiation</w:t>
      </w:r>
      <w:r w:rsidRPr="00CD6B67">
        <w:rPr>
          <w:rStyle w:val="FootnoteReference"/>
        </w:rPr>
        <w:footnoteReference w:id="634"/>
      </w:r>
      <w:r>
        <w:rPr>
          <w:bCs/>
          <w:lang w:val="fr-FR"/>
        </w:rPr>
        <w:t>.</w:t>
      </w:r>
    </w:p>
    <w:p w14:paraId="49DDFCC9" w14:textId="06635C59" w:rsidR="00D301C6" w:rsidRPr="00293268" w:rsidRDefault="00D301C6" w:rsidP="00D301C6">
      <w:pPr>
        <w:pStyle w:val="SingleTxtG"/>
        <w:rPr>
          <w:bCs/>
          <w:lang w:val="fr-FR"/>
        </w:rPr>
      </w:pPr>
      <w:r w:rsidRPr="00293268">
        <w:rPr>
          <w:bCs/>
          <w:lang w:val="fr-FR"/>
        </w:rPr>
        <w:t>241.</w:t>
      </w:r>
      <w:r w:rsidRPr="00293268">
        <w:rPr>
          <w:bCs/>
          <w:lang w:val="fr-FR"/>
        </w:rPr>
        <w:tab/>
      </w:r>
      <w:r w:rsidRPr="00967C0C">
        <w:rPr>
          <w:bCs/>
          <w:lang w:val="fr-FR"/>
        </w:rPr>
        <w:t>Le seul fait que certains des manifestants soient</w:t>
      </w:r>
      <w:r>
        <w:rPr>
          <w:bCs/>
          <w:lang w:val="fr-FR"/>
        </w:rPr>
        <w:t xml:space="preserve"> </w:t>
      </w:r>
      <w:r w:rsidRPr="00967C0C">
        <w:rPr>
          <w:bCs/>
          <w:lang w:val="fr-FR"/>
        </w:rPr>
        <w:t>violents ne fait pas de la manifestation tout entière un rassemblement non pacifique</w:t>
      </w:r>
      <w:r w:rsidRPr="00CD6B67">
        <w:rPr>
          <w:rStyle w:val="FootnoteReference"/>
        </w:rPr>
        <w:footnoteReference w:id="635"/>
      </w:r>
      <w:r>
        <w:rPr>
          <w:bCs/>
          <w:lang w:val="fr-FR"/>
        </w:rPr>
        <w:t>.</w:t>
      </w:r>
      <w:r w:rsidRPr="00293268">
        <w:rPr>
          <w:bCs/>
          <w:lang w:val="fr-FR"/>
        </w:rPr>
        <w:t xml:space="preserve"> </w:t>
      </w:r>
      <w:r>
        <w:rPr>
          <w:bCs/>
          <w:lang w:val="fr-FR"/>
        </w:rPr>
        <w:t>Dans un tel cas de figure</w:t>
      </w:r>
      <w:r w:rsidRPr="00293268">
        <w:rPr>
          <w:bCs/>
          <w:lang w:val="fr-FR"/>
        </w:rPr>
        <w:t xml:space="preserve">, </w:t>
      </w:r>
      <w:r w:rsidRPr="00ED6966">
        <w:rPr>
          <w:bCs/>
          <w:lang w:val="fr-FR"/>
        </w:rPr>
        <w:t xml:space="preserve">toutes les précautions nécessaires doivent être prises pour éviter ou </w:t>
      </w:r>
      <w:r>
        <w:rPr>
          <w:bCs/>
          <w:lang w:val="fr-FR"/>
        </w:rPr>
        <w:t>à tout le</w:t>
      </w:r>
      <w:r w:rsidRPr="00ED6966">
        <w:rPr>
          <w:bCs/>
          <w:lang w:val="fr-FR"/>
        </w:rPr>
        <w:t xml:space="preserve"> moins </w:t>
      </w:r>
      <w:r w:rsidRPr="00A9612C">
        <w:rPr>
          <w:bCs/>
          <w:lang w:val="fr-FR"/>
        </w:rPr>
        <w:t>limiter l</w:t>
      </w:r>
      <w:r>
        <w:rPr>
          <w:bCs/>
          <w:lang w:val="fr-FR"/>
        </w:rPr>
        <w:t>’</w:t>
      </w:r>
      <w:r w:rsidRPr="00A9612C">
        <w:rPr>
          <w:bCs/>
          <w:lang w:val="fr-FR"/>
        </w:rPr>
        <w:t>emploi de la force au minimum nécessaire</w:t>
      </w:r>
      <w:r w:rsidRPr="00CD6B67">
        <w:rPr>
          <w:rStyle w:val="FootnoteReference"/>
        </w:rPr>
        <w:footnoteReference w:id="636"/>
      </w:r>
      <w:r>
        <w:rPr>
          <w:bCs/>
          <w:lang w:val="fr-FR"/>
        </w:rPr>
        <w:t>.</w:t>
      </w:r>
      <w:r w:rsidRPr="00293268">
        <w:rPr>
          <w:bCs/>
          <w:lang w:val="fr-FR"/>
        </w:rPr>
        <w:t xml:space="preserve"> </w:t>
      </w:r>
      <w:r w:rsidRPr="00AA04F6">
        <w:rPr>
          <w:bCs/>
          <w:lang w:val="fr-FR"/>
        </w:rPr>
        <w:t>Lorsque l</w:t>
      </w:r>
      <w:r>
        <w:rPr>
          <w:bCs/>
          <w:lang w:val="fr-FR"/>
        </w:rPr>
        <w:t>’</w:t>
      </w:r>
      <w:r w:rsidRPr="00AA04F6">
        <w:rPr>
          <w:bCs/>
          <w:lang w:val="fr-FR"/>
        </w:rPr>
        <w:t>usage légitime de la force est inévitable</w:t>
      </w:r>
      <w:r>
        <w:rPr>
          <w:bCs/>
          <w:lang w:val="fr-FR"/>
        </w:rPr>
        <w:t>, les forces de l’ordre doivent en user</w:t>
      </w:r>
      <w:r w:rsidRPr="00BF2B19">
        <w:rPr>
          <w:bCs/>
          <w:lang w:val="fr-FR"/>
        </w:rPr>
        <w:t xml:space="preserve"> avec modération et leur action </w:t>
      </w:r>
      <w:r>
        <w:rPr>
          <w:bCs/>
          <w:lang w:val="fr-FR"/>
        </w:rPr>
        <w:t>devra être</w:t>
      </w:r>
      <w:r w:rsidRPr="00BF2B19">
        <w:rPr>
          <w:bCs/>
          <w:lang w:val="fr-FR"/>
        </w:rPr>
        <w:t xml:space="preserve"> proportionnelle à la gravité de </w:t>
      </w:r>
      <w:r>
        <w:rPr>
          <w:bCs/>
          <w:lang w:val="fr-FR"/>
        </w:rPr>
        <w:t>la menace</w:t>
      </w:r>
      <w:r w:rsidRPr="00CD6B67">
        <w:rPr>
          <w:rStyle w:val="FootnoteReference"/>
        </w:rPr>
        <w:footnoteReference w:id="637"/>
      </w:r>
      <w:r>
        <w:rPr>
          <w:bCs/>
          <w:lang w:val="fr-FR"/>
        </w:rPr>
        <w:t>.</w:t>
      </w:r>
      <w:r w:rsidRPr="00293268">
        <w:rPr>
          <w:bCs/>
          <w:lang w:val="fr-FR"/>
        </w:rPr>
        <w:t xml:space="preserve"> </w:t>
      </w:r>
      <w:r w:rsidRPr="0043079D">
        <w:rPr>
          <w:bCs/>
          <w:lang w:val="fr-FR"/>
        </w:rPr>
        <w:t>L</w:t>
      </w:r>
      <w:r>
        <w:rPr>
          <w:bCs/>
          <w:lang w:val="fr-FR"/>
        </w:rPr>
        <w:t>’</w:t>
      </w:r>
      <w:r w:rsidRPr="0043079D">
        <w:rPr>
          <w:bCs/>
          <w:lang w:val="fr-FR"/>
        </w:rPr>
        <w:t>emploi injustifié de la force ou le recours à une force</w:t>
      </w:r>
      <w:r>
        <w:rPr>
          <w:bCs/>
          <w:lang w:val="fr-FR"/>
        </w:rPr>
        <w:t xml:space="preserve"> </w:t>
      </w:r>
      <w:r w:rsidRPr="0043079D">
        <w:rPr>
          <w:bCs/>
          <w:lang w:val="fr-FR"/>
        </w:rPr>
        <w:t>disproportionnée ou à un autre comportement illégal par des représentants de l</w:t>
      </w:r>
      <w:r>
        <w:rPr>
          <w:bCs/>
          <w:lang w:val="fr-FR"/>
        </w:rPr>
        <w:t>’</w:t>
      </w:r>
      <w:r w:rsidRPr="0043079D">
        <w:rPr>
          <w:bCs/>
          <w:lang w:val="fr-FR"/>
        </w:rPr>
        <w:t>État durant</w:t>
      </w:r>
      <w:r>
        <w:rPr>
          <w:bCs/>
          <w:lang w:val="fr-FR"/>
        </w:rPr>
        <w:t xml:space="preserve"> </w:t>
      </w:r>
      <w:r w:rsidRPr="0043079D">
        <w:rPr>
          <w:bCs/>
          <w:lang w:val="fr-FR"/>
        </w:rPr>
        <w:t xml:space="preserve">un rassemblement peut enfreindre les articles 6, 7 et 9 du Pacte </w:t>
      </w:r>
      <w:r>
        <w:rPr>
          <w:bCs/>
          <w:lang w:val="fr-FR"/>
        </w:rPr>
        <w:t>i</w:t>
      </w:r>
      <w:r w:rsidRPr="00293268">
        <w:rPr>
          <w:bCs/>
          <w:lang w:val="fr-FR"/>
        </w:rPr>
        <w:t xml:space="preserve">nternational </w:t>
      </w:r>
      <w:r w:rsidRPr="006931A3">
        <w:rPr>
          <w:bCs/>
          <w:lang w:val="fr-FR"/>
        </w:rPr>
        <w:t>relatif aux droits civils et politiques</w:t>
      </w:r>
      <w:r w:rsidRPr="00CD6B67">
        <w:rPr>
          <w:rStyle w:val="FootnoteReference"/>
        </w:rPr>
        <w:footnoteReference w:id="638"/>
      </w:r>
      <w:r w:rsidRPr="00293268">
        <w:rPr>
          <w:bCs/>
          <w:lang w:val="fr-FR"/>
        </w:rPr>
        <w:t xml:space="preserve"> </w:t>
      </w:r>
      <w:r>
        <w:rPr>
          <w:bCs/>
          <w:lang w:val="fr-FR"/>
        </w:rPr>
        <w:t>et la</w:t>
      </w:r>
      <w:r w:rsidRPr="00293268">
        <w:rPr>
          <w:bCs/>
          <w:lang w:val="fr-FR"/>
        </w:rPr>
        <w:t xml:space="preserve"> Convention </w:t>
      </w:r>
      <w:r w:rsidRPr="00EE6B63">
        <w:rPr>
          <w:bCs/>
          <w:lang w:val="fr-FR"/>
        </w:rPr>
        <w:t>contre la torture, entre autres dispositions du droit international</w:t>
      </w:r>
      <w:r w:rsidRPr="00293268">
        <w:rPr>
          <w:bCs/>
          <w:lang w:val="fr-FR"/>
        </w:rPr>
        <w:t xml:space="preserve">. </w:t>
      </w:r>
      <w:r w:rsidRPr="00713E08">
        <w:rPr>
          <w:bCs/>
          <w:lang w:val="fr-FR"/>
        </w:rPr>
        <w:t>Tout recours à la force doit impérativement s</w:t>
      </w:r>
      <w:r>
        <w:rPr>
          <w:bCs/>
          <w:lang w:val="fr-FR"/>
        </w:rPr>
        <w:t>’</w:t>
      </w:r>
      <w:r w:rsidRPr="00713E08">
        <w:rPr>
          <w:bCs/>
          <w:lang w:val="fr-FR"/>
        </w:rPr>
        <w:t>inscrire dans le respect des principes fondamentaux de légalité et de non-discrimination</w:t>
      </w:r>
      <w:r w:rsidRPr="00CD6B67">
        <w:rPr>
          <w:rStyle w:val="FootnoteReference"/>
        </w:rPr>
        <w:footnoteReference w:id="639"/>
      </w:r>
      <w:r>
        <w:rPr>
          <w:bCs/>
          <w:lang w:val="fr-FR"/>
        </w:rPr>
        <w:t>.</w:t>
      </w:r>
      <w:r w:rsidRPr="00293268">
        <w:rPr>
          <w:bCs/>
          <w:lang w:val="fr-FR"/>
        </w:rPr>
        <w:t xml:space="preserve"> </w:t>
      </w:r>
      <w:r w:rsidRPr="00046026">
        <w:rPr>
          <w:bCs/>
          <w:lang w:val="fr-FR"/>
        </w:rPr>
        <w:t>En règle générale, les forces de l</w:t>
      </w:r>
      <w:r>
        <w:rPr>
          <w:bCs/>
          <w:lang w:val="fr-FR"/>
        </w:rPr>
        <w:t>’</w:t>
      </w:r>
      <w:r w:rsidRPr="00046026">
        <w:rPr>
          <w:bCs/>
          <w:lang w:val="fr-FR"/>
        </w:rPr>
        <w:t>ordre devraient s</w:t>
      </w:r>
      <w:r>
        <w:rPr>
          <w:bCs/>
          <w:lang w:val="fr-FR"/>
        </w:rPr>
        <w:t>’</w:t>
      </w:r>
      <w:r w:rsidRPr="00046026">
        <w:rPr>
          <w:bCs/>
          <w:lang w:val="fr-FR"/>
        </w:rPr>
        <w:t>abstenir d</w:t>
      </w:r>
      <w:r>
        <w:rPr>
          <w:bCs/>
          <w:lang w:val="fr-FR"/>
        </w:rPr>
        <w:t>’</w:t>
      </w:r>
      <w:r w:rsidRPr="00046026">
        <w:rPr>
          <w:bCs/>
          <w:lang w:val="fr-FR"/>
        </w:rPr>
        <w:t xml:space="preserve">utiliser </w:t>
      </w:r>
      <w:r>
        <w:rPr>
          <w:bCs/>
          <w:lang w:val="fr-FR"/>
        </w:rPr>
        <w:t xml:space="preserve">la technique de </w:t>
      </w:r>
      <w:r w:rsidRPr="00046026">
        <w:rPr>
          <w:bCs/>
          <w:lang w:val="fr-FR"/>
        </w:rPr>
        <w:t>l</w:t>
      </w:r>
      <w:r>
        <w:rPr>
          <w:bCs/>
          <w:lang w:val="fr-FR"/>
        </w:rPr>
        <w:t>’</w:t>
      </w:r>
      <w:r w:rsidRPr="00046026">
        <w:rPr>
          <w:bCs/>
          <w:lang w:val="fr-FR"/>
        </w:rPr>
        <w:t>encerclement pour contrôler les foules. Ce n</w:t>
      </w:r>
      <w:r>
        <w:rPr>
          <w:bCs/>
          <w:lang w:val="fr-FR"/>
        </w:rPr>
        <w:t>’</w:t>
      </w:r>
      <w:r w:rsidRPr="00046026">
        <w:rPr>
          <w:bCs/>
          <w:lang w:val="fr-FR"/>
        </w:rPr>
        <w:t>est que dans les situations où l</w:t>
      </w:r>
      <w:r>
        <w:rPr>
          <w:bCs/>
          <w:lang w:val="fr-FR"/>
        </w:rPr>
        <w:t>’</w:t>
      </w:r>
      <w:r w:rsidRPr="00046026">
        <w:rPr>
          <w:bCs/>
          <w:lang w:val="fr-FR"/>
        </w:rPr>
        <w:t xml:space="preserve">objectif </w:t>
      </w:r>
      <w:r>
        <w:rPr>
          <w:bCs/>
          <w:lang w:val="fr-FR"/>
        </w:rPr>
        <w:t>de l’encerclement</w:t>
      </w:r>
      <w:r w:rsidRPr="00046026">
        <w:rPr>
          <w:bCs/>
          <w:lang w:val="fr-FR"/>
        </w:rPr>
        <w:t xml:space="preserve"> est de contenir les violences en cours afin de permettre au rassemblement de se dérouler pacifiquement que ce type de </w:t>
      </w:r>
      <w:r>
        <w:rPr>
          <w:bCs/>
          <w:lang w:val="fr-FR"/>
        </w:rPr>
        <w:t xml:space="preserve">mesure </w:t>
      </w:r>
      <w:r w:rsidRPr="00046026">
        <w:rPr>
          <w:bCs/>
          <w:lang w:val="fr-FR"/>
        </w:rPr>
        <w:t>doit être envisagé, conjugué à des mesures d</w:t>
      </w:r>
      <w:r>
        <w:rPr>
          <w:bCs/>
          <w:lang w:val="fr-FR"/>
        </w:rPr>
        <w:t>’</w:t>
      </w:r>
      <w:r w:rsidRPr="00046026">
        <w:rPr>
          <w:bCs/>
          <w:lang w:val="fr-FR"/>
        </w:rPr>
        <w:t>atténuation strictes</w:t>
      </w:r>
      <w:r w:rsidRPr="00CD6B67">
        <w:rPr>
          <w:rStyle w:val="FootnoteReference"/>
        </w:rPr>
        <w:footnoteReference w:id="640"/>
      </w:r>
      <w:r>
        <w:rPr>
          <w:bCs/>
          <w:lang w:val="fr-FR"/>
        </w:rPr>
        <w:t>.</w:t>
      </w:r>
    </w:p>
    <w:p w14:paraId="64378E26" w14:textId="77777777" w:rsidR="00D301C6" w:rsidRPr="00293268" w:rsidRDefault="00D301C6" w:rsidP="00D301C6">
      <w:pPr>
        <w:pStyle w:val="SingleTxtG"/>
        <w:rPr>
          <w:bCs/>
          <w:lang w:val="fr-FR"/>
        </w:rPr>
      </w:pPr>
      <w:r w:rsidRPr="00293268">
        <w:rPr>
          <w:bCs/>
          <w:lang w:val="fr-FR"/>
        </w:rPr>
        <w:t>242.</w:t>
      </w:r>
      <w:r w:rsidRPr="00293268">
        <w:rPr>
          <w:bCs/>
          <w:lang w:val="fr-FR"/>
        </w:rPr>
        <w:tab/>
      </w:r>
      <w:r w:rsidRPr="00552E48">
        <w:rPr>
          <w:bCs/>
          <w:lang w:val="fr-FR"/>
        </w:rPr>
        <w:t>Il ne doit pas être utilisé de matériel militaire pour le maintien de l</w:t>
      </w:r>
      <w:r>
        <w:rPr>
          <w:bCs/>
          <w:lang w:val="fr-FR"/>
        </w:rPr>
        <w:t>’</w:t>
      </w:r>
      <w:r w:rsidRPr="00552E48">
        <w:rPr>
          <w:bCs/>
          <w:lang w:val="fr-FR"/>
        </w:rPr>
        <w:t xml:space="preserve">ordre pendant les réunions pacifiques et, en règle générale, </w:t>
      </w:r>
      <w:r>
        <w:rPr>
          <w:bCs/>
          <w:lang w:val="fr-FR"/>
        </w:rPr>
        <w:t>l</w:t>
      </w:r>
      <w:r w:rsidRPr="00DE5B41">
        <w:rPr>
          <w:bCs/>
          <w:lang w:val="fr-FR"/>
        </w:rPr>
        <w:t>es forces militaires ne</w:t>
      </w:r>
      <w:r>
        <w:rPr>
          <w:bCs/>
          <w:lang w:val="fr-FR"/>
        </w:rPr>
        <w:t xml:space="preserve"> </w:t>
      </w:r>
      <w:r w:rsidRPr="00DE5B41">
        <w:rPr>
          <w:bCs/>
          <w:lang w:val="fr-FR"/>
        </w:rPr>
        <w:t>devraient pas être utilisées pour maintenir l</w:t>
      </w:r>
      <w:r>
        <w:rPr>
          <w:bCs/>
          <w:lang w:val="fr-FR"/>
        </w:rPr>
        <w:t>’</w:t>
      </w:r>
      <w:r w:rsidRPr="00DE5B41">
        <w:rPr>
          <w:bCs/>
          <w:lang w:val="fr-FR"/>
        </w:rPr>
        <w:t>ordre dans les rassemblements</w:t>
      </w:r>
      <w:r w:rsidRPr="00CD6B67">
        <w:rPr>
          <w:rStyle w:val="FootnoteReference"/>
        </w:rPr>
        <w:footnoteReference w:id="641"/>
      </w:r>
      <w:r>
        <w:rPr>
          <w:bCs/>
          <w:lang w:val="fr-FR"/>
        </w:rPr>
        <w:t>.</w:t>
      </w:r>
      <w:r w:rsidRPr="00293268">
        <w:rPr>
          <w:bCs/>
          <w:lang w:val="fr-FR"/>
        </w:rPr>
        <w:t xml:space="preserve"> </w:t>
      </w:r>
      <w:r>
        <w:rPr>
          <w:bCs/>
          <w:lang w:val="fr-FR"/>
        </w:rPr>
        <w:t>S</w:t>
      </w:r>
      <w:r w:rsidRPr="00A53E37">
        <w:rPr>
          <w:bCs/>
          <w:lang w:val="fr-FR"/>
        </w:rPr>
        <w:t xml:space="preserve">i </w:t>
      </w:r>
      <w:r>
        <w:rPr>
          <w:bCs/>
          <w:lang w:val="fr-FR"/>
        </w:rPr>
        <w:t>les forces armées sont</w:t>
      </w:r>
      <w:r w:rsidRPr="00A53E37">
        <w:rPr>
          <w:bCs/>
          <w:lang w:val="fr-FR"/>
        </w:rPr>
        <w:t xml:space="preserve"> déployée</w:t>
      </w:r>
      <w:r>
        <w:rPr>
          <w:bCs/>
          <w:lang w:val="fr-FR"/>
        </w:rPr>
        <w:t>s</w:t>
      </w:r>
      <w:r w:rsidRPr="00A53E37">
        <w:rPr>
          <w:bCs/>
          <w:lang w:val="fr-FR"/>
        </w:rPr>
        <w:t xml:space="preserve"> en appui, à titre exceptionnel et de façon temporaire, elles doivent avoir reçu</w:t>
      </w:r>
      <w:r>
        <w:rPr>
          <w:bCs/>
          <w:lang w:val="fr-FR"/>
        </w:rPr>
        <w:t xml:space="preserve"> </w:t>
      </w:r>
      <w:r w:rsidRPr="00A53E37">
        <w:rPr>
          <w:bCs/>
          <w:lang w:val="fr-FR"/>
        </w:rPr>
        <w:t xml:space="preserve">une formation </w:t>
      </w:r>
      <w:r>
        <w:rPr>
          <w:bCs/>
          <w:lang w:val="fr-FR"/>
        </w:rPr>
        <w:t xml:space="preserve">appropriée </w:t>
      </w:r>
      <w:r w:rsidRPr="00A53E37">
        <w:rPr>
          <w:bCs/>
          <w:lang w:val="fr-FR"/>
        </w:rPr>
        <w:t>aux droits de l</w:t>
      </w:r>
      <w:r>
        <w:rPr>
          <w:bCs/>
          <w:lang w:val="fr-FR"/>
        </w:rPr>
        <w:t>’</w:t>
      </w:r>
      <w:r w:rsidRPr="00A53E37">
        <w:rPr>
          <w:bCs/>
          <w:lang w:val="fr-FR"/>
        </w:rPr>
        <w:t>homme et agir dans le respect des mêmes règles et</w:t>
      </w:r>
      <w:r>
        <w:rPr>
          <w:bCs/>
          <w:lang w:val="fr-FR"/>
        </w:rPr>
        <w:t xml:space="preserve"> </w:t>
      </w:r>
      <w:r w:rsidRPr="00A53E37">
        <w:rPr>
          <w:bCs/>
          <w:lang w:val="fr-FR"/>
        </w:rPr>
        <w:t>normes internationales que celles qui s</w:t>
      </w:r>
      <w:r>
        <w:rPr>
          <w:bCs/>
          <w:lang w:val="fr-FR"/>
        </w:rPr>
        <w:t>’</w:t>
      </w:r>
      <w:r w:rsidRPr="00A53E37">
        <w:rPr>
          <w:bCs/>
          <w:lang w:val="fr-FR"/>
        </w:rPr>
        <w:t>appliquent aux forces de police</w:t>
      </w:r>
      <w:r w:rsidRPr="00CD6B67">
        <w:rPr>
          <w:rStyle w:val="FootnoteReference"/>
        </w:rPr>
        <w:footnoteReference w:id="642"/>
      </w:r>
      <w:r>
        <w:rPr>
          <w:bCs/>
          <w:lang w:val="fr-FR"/>
        </w:rPr>
        <w:t>.</w:t>
      </w:r>
    </w:p>
    <w:p w14:paraId="42552D8F" w14:textId="77777777" w:rsidR="00D301C6" w:rsidRPr="00293268" w:rsidRDefault="00D301C6" w:rsidP="00D301C6">
      <w:pPr>
        <w:pStyle w:val="SingleTxtG"/>
        <w:rPr>
          <w:lang w:val="fr-FR"/>
        </w:rPr>
      </w:pPr>
      <w:r w:rsidRPr="00293268">
        <w:rPr>
          <w:bCs/>
          <w:lang w:val="fr-FR"/>
        </w:rPr>
        <w:t>243.</w:t>
      </w:r>
      <w:r w:rsidRPr="00293268">
        <w:rPr>
          <w:bCs/>
          <w:lang w:val="fr-FR"/>
        </w:rPr>
        <w:tab/>
      </w:r>
      <w:r>
        <w:rPr>
          <w:bCs/>
          <w:lang w:val="fr-FR"/>
        </w:rPr>
        <w:t>Bien que</w:t>
      </w:r>
      <w:r w:rsidRPr="00BB6185">
        <w:rPr>
          <w:bCs/>
          <w:lang w:val="fr-FR"/>
        </w:rPr>
        <w:t xml:space="preserve"> la collecte d</w:t>
      </w:r>
      <w:r>
        <w:rPr>
          <w:bCs/>
          <w:lang w:val="fr-FR"/>
        </w:rPr>
        <w:t>’</w:t>
      </w:r>
      <w:r w:rsidRPr="00BB6185">
        <w:rPr>
          <w:bCs/>
          <w:lang w:val="fr-FR"/>
        </w:rPr>
        <w:t>informations et de données pertinentes par les autorités p</w:t>
      </w:r>
      <w:r>
        <w:rPr>
          <w:bCs/>
          <w:lang w:val="fr-FR"/>
        </w:rPr>
        <w:t>uisse</w:t>
      </w:r>
      <w:r w:rsidRPr="00BB6185">
        <w:rPr>
          <w:bCs/>
          <w:lang w:val="fr-FR"/>
        </w:rPr>
        <w:t>, dans certaines circonstances, contribuer à faciliter la tenue des réunions, elle ne doit pas entraîner d</w:t>
      </w:r>
      <w:r>
        <w:rPr>
          <w:bCs/>
          <w:lang w:val="fr-FR"/>
        </w:rPr>
        <w:t>’</w:t>
      </w:r>
      <w:r w:rsidRPr="00BB6185">
        <w:rPr>
          <w:bCs/>
          <w:lang w:val="fr-FR"/>
        </w:rPr>
        <w:t xml:space="preserve">atteintes </w:t>
      </w:r>
      <w:r>
        <w:rPr>
          <w:bCs/>
          <w:lang w:val="fr-FR"/>
        </w:rPr>
        <w:t xml:space="preserve">aux </w:t>
      </w:r>
      <w:r w:rsidRPr="00BB6185">
        <w:rPr>
          <w:bCs/>
          <w:lang w:val="fr-FR"/>
        </w:rPr>
        <w:t>droits ni avoir un effet dissuasif</w:t>
      </w:r>
      <w:r w:rsidRPr="00293268">
        <w:rPr>
          <w:bCs/>
          <w:lang w:val="fr-FR"/>
        </w:rPr>
        <w:t xml:space="preserve">. </w:t>
      </w:r>
      <w:r w:rsidRPr="00733CC9">
        <w:rPr>
          <w:bCs/>
          <w:lang w:val="fr-FR"/>
        </w:rPr>
        <w:t>Toute collecte d</w:t>
      </w:r>
      <w:r>
        <w:rPr>
          <w:bCs/>
          <w:lang w:val="fr-FR"/>
        </w:rPr>
        <w:t>’</w:t>
      </w:r>
      <w:r w:rsidRPr="00733CC9">
        <w:rPr>
          <w:bCs/>
          <w:lang w:val="fr-FR"/>
        </w:rPr>
        <w:t xml:space="preserve">informations doit être strictement conformes aux normes internationales applicables, y compris aux normes relatives au respect de la vie privée, et ne doivent jamais servir à intimider ou harceler les personnes qui participent ou souhaitent participer à des </w:t>
      </w:r>
      <w:r>
        <w:rPr>
          <w:bCs/>
          <w:lang w:val="fr-FR"/>
        </w:rPr>
        <w:t>réunion</w:t>
      </w:r>
      <w:r w:rsidRPr="00733CC9">
        <w:rPr>
          <w:bCs/>
          <w:lang w:val="fr-FR"/>
        </w:rPr>
        <w:t>s</w:t>
      </w:r>
      <w:r w:rsidRPr="00CD6B67">
        <w:rPr>
          <w:rStyle w:val="FootnoteReference"/>
        </w:rPr>
        <w:footnoteReference w:id="643"/>
      </w:r>
      <w:r>
        <w:rPr>
          <w:bCs/>
          <w:lang w:val="fr-FR"/>
        </w:rPr>
        <w:t>.</w:t>
      </w:r>
      <w:r w:rsidRPr="00293268">
        <w:rPr>
          <w:lang w:val="fr-FR"/>
        </w:rPr>
        <w:t xml:space="preserve"> </w:t>
      </w:r>
      <w:r>
        <w:rPr>
          <w:lang w:val="fr-FR"/>
        </w:rPr>
        <w:t>Les États devraient également i</w:t>
      </w:r>
      <w:r w:rsidRPr="002C7E8E">
        <w:rPr>
          <w:lang w:val="fr-FR"/>
        </w:rPr>
        <w:t>nterdire l</w:t>
      </w:r>
      <w:r>
        <w:rPr>
          <w:lang w:val="fr-FR"/>
        </w:rPr>
        <w:t>’</w:t>
      </w:r>
      <w:r w:rsidRPr="002C7E8E">
        <w:rPr>
          <w:lang w:val="fr-FR"/>
        </w:rPr>
        <w:t>utilisation des techniques de surveillance de manière indiscriminée et non ciblée à l</w:t>
      </w:r>
      <w:r>
        <w:rPr>
          <w:lang w:val="fr-FR"/>
        </w:rPr>
        <w:t>’</w:t>
      </w:r>
      <w:r w:rsidRPr="002C7E8E">
        <w:rPr>
          <w:lang w:val="fr-FR"/>
        </w:rPr>
        <w:t>égard de personnes exerçant leurs droits de réunion pacifique et d</w:t>
      </w:r>
      <w:r>
        <w:rPr>
          <w:lang w:val="fr-FR"/>
        </w:rPr>
        <w:t>’</w:t>
      </w:r>
      <w:r w:rsidRPr="002C7E8E">
        <w:rPr>
          <w:lang w:val="fr-FR"/>
        </w:rPr>
        <w:t>association et n</w:t>
      </w:r>
      <w:r>
        <w:rPr>
          <w:lang w:val="fr-FR"/>
        </w:rPr>
        <w:t>’</w:t>
      </w:r>
      <w:r w:rsidRPr="002C7E8E">
        <w:rPr>
          <w:lang w:val="fr-FR"/>
        </w:rPr>
        <w:t>autoriser l</w:t>
      </w:r>
      <w:r>
        <w:rPr>
          <w:lang w:val="fr-FR"/>
        </w:rPr>
        <w:t>’</w:t>
      </w:r>
      <w:r w:rsidRPr="002C7E8E">
        <w:rPr>
          <w:lang w:val="fr-FR"/>
        </w:rPr>
        <w:t>utilisation ciblée de telles techniques que lorsqu</w:t>
      </w:r>
      <w:r>
        <w:rPr>
          <w:lang w:val="fr-FR"/>
        </w:rPr>
        <w:t>’</w:t>
      </w:r>
      <w:r w:rsidRPr="002C7E8E">
        <w:rPr>
          <w:lang w:val="fr-FR"/>
        </w:rPr>
        <w:t xml:space="preserve">il existe des motifs raisonnables de croire que la personne visée a commis ou commet une infraction pénale, ou se livre à des actes constituant une menace </w:t>
      </w:r>
      <w:r>
        <w:rPr>
          <w:lang w:val="fr-FR"/>
        </w:rPr>
        <w:t xml:space="preserve">précise </w:t>
      </w:r>
      <w:r w:rsidRPr="002C7E8E">
        <w:rPr>
          <w:lang w:val="fr-FR"/>
        </w:rPr>
        <w:t>pour la sécurité nationale</w:t>
      </w:r>
      <w:r w:rsidRPr="00CD6B67">
        <w:rPr>
          <w:rStyle w:val="FootnoteReference"/>
        </w:rPr>
        <w:footnoteReference w:id="644"/>
      </w:r>
      <w:r>
        <w:rPr>
          <w:lang w:val="fr-FR"/>
        </w:rPr>
        <w:t>.</w:t>
      </w:r>
    </w:p>
    <w:p w14:paraId="58C1940D" w14:textId="39708620" w:rsidR="00D301C6" w:rsidRPr="00293268" w:rsidRDefault="00D301C6" w:rsidP="00D301C6">
      <w:pPr>
        <w:pStyle w:val="H23G"/>
        <w:rPr>
          <w:lang w:val="fr-FR"/>
        </w:rPr>
      </w:pPr>
      <w:bookmarkStart w:id="1095" w:name="_Toc74922980"/>
      <w:r w:rsidRPr="00293268">
        <w:rPr>
          <w:lang w:val="fr-FR"/>
        </w:rPr>
        <w:tab/>
        <w:t>5.</w:t>
      </w:r>
      <w:r w:rsidRPr="00293268">
        <w:rPr>
          <w:lang w:val="fr-FR"/>
        </w:rPr>
        <w:tab/>
      </w:r>
      <w:r>
        <w:rPr>
          <w:lang w:val="fr-FR"/>
        </w:rPr>
        <w:t>E</w:t>
      </w:r>
      <w:r w:rsidRPr="00621BB8">
        <w:rPr>
          <w:lang w:val="fr-FR"/>
        </w:rPr>
        <w:t xml:space="preserve">nquêter sans tarder et de façon efficace et impartiale sur toute allégation </w:t>
      </w:r>
      <w:r w:rsidR="00F53B47">
        <w:rPr>
          <w:lang w:val="fr-FR"/>
        </w:rPr>
        <w:br/>
      </w:r>
      <w:r>
        <w:rPr>
          <w:lang w:val="fr-FR"/>
        </w:rPr>
        <w:t xml:space="preserve">de </w:t>
      </w:r>
      <w:r w:rsidRPr="00B30C0B">
        <w:rPr>
          <w:lang w:val="fr-FR"/>
        </w:rPr>
        <w:t>violations des droits de l</w:t>
      </w:r>
      <w:r>
        <w:rPr>
          <w:lang w:val="fr-FR"/>
        </w:rPr>
        <w:t>’</w:t>
      </w:r>
      <w:r w:rsidRPr="00B30C0B">
        <w:rPr>
          <w:lang w:val="fr-FR"/>
        </w:rPr>
        <w:t>homme et d</w:t>
      </w:r>
      <w:r>
        <w:rPr>
          <w:lang w:val="fr-FR"/>
        </w:rPr>
        <w:t>’</w:t>
      </w:r>
      <w:r w:rsidRPr="00B30C0B">
        <w:rPr>
          <w:lang w:val="fr-FR"/>
        </w:rPr>
        <w:t xml:space="preserve">atteintes à ces droits </w:t>
      </w:r>
      <w:r>
        <w:rPr>
          <w:lang w:val="fr-FR"/>
        </w:rPr>
        <w:t xml:space="preserve">à l’encontre </w:t>
      </w:r>
      <w:r w:rsidR="00F53B47">
        <w:rPr>
          <w:lang w:val="fr-FR"/>
        </w:rPr>
        <w:br/>
      </w:r>
      <w:r>
        <w:rPr>
          <w:lang w:val="fr-FR"/>
        </w:rPr>
        <w:t>de personnes et d’organisations qui luttent contre le racisme</w:t>
      </w:r>
      <w:bookmarkEnd w:id="1095"/>
    </w:p>
    <w:p w14:paraId="15598D0B" w14:textId="2B05DF48" w:rsidR="00D301C6" w:rsidRPr="005B7718" w:rsidRDefault="00D301C6" w:rsidP="00D301C6">
      <w:pPr>
        <w:pStyle w:val="SingleTxtG"/>
        <w:rPr>
          <w:vertAlign w:val="superscript"/>
          <w:lang w:val="fr-FR"/>
        </w:rPr>
      </w:pPr>
      <w:r w:rsidRPr="00293268">
        <w:rPr>
          <w:lang w:val="fr-FR"/>
        </w:rPr>
        <w:t>244.</w:t>
      </w:r>
      <w:r w:rsidRPr="00293268">
        <w:rPr>
          <w:lang w:val="fr-FR"/>
        </w:rPr>
        <w:tab/>
      </w:r>
      <w:r w:rsidRPr="00071665">
        <w:rPr>
          <w:lang w:val="fr-FR"/>
        </w:rPr>
        <w:t>Les États sont tenus d</w:t>
      </w:r>
      <w:r>
        <w:rPr>
          <w:lang w:val="fr-FR"/>
        </w:rPr>
        <w:t>’</w:t>
      </w:r>
      <w:r w:rsidRPr="00071665">
        <w:rPr>
          <w:lang w:val="fr-FR"/>
        </w:rPr>
        <w:t>enquêter sans tarder et de façon efficace et impartiale</w:t>
      </w:r>
      <w:r w:rsidRPr="00813782">
        <w:rPr>
          <w:lang w:val="fr-FR"/>
        </w:rPr>
        <w:t xml:space="preserve"> </w:t>
      </w:r>
      <w:r w:rsidRPr="00867D61">
        <w:rPr>
          <w:lang w:val="fr-FR"/>
        </w:rPr>
        <w:t>sur</w:t>
      </w:r>
      <w:r>
        <w:rPr>
          <w:lang w:val="fr-FR"/>
        </w:rPr>
        <w:t xml:space="preserve"> </w:t>
      </w:r>
      <w:r w:rsidRPr="00867D61">
        <w:rPr>
          <w:lang w:val="fr-FR"/>
        </w:rPr>
        <w:t>toute allégation</w:t>
      </w:r>
      <w:r>
        <w:rPr>
          <w:lang w:val="fr-FR"/>
        </w:rPr>
        <w:t xml:space="preserve"> </w:t>
      </w:r>
      <w:r w:rsidRPr="00293268">
        <w:rPr>
          <w:lang w:val="fr-FR"/>
        </w:rPr>
        <w:t xml:space="preserve"> </w:t>
      </w:r>
      <w:r>
        <w:rPr>
          <w:lang w:val="fr-FR"/>
        </w:rPr>
        <w:t xml:space="preserve">de </w:t>
      </w:r>
      <w:r w:rsidRPr="00867D61">
        <w:rPr>
          <w:lang w:val="fr-FR"/>
        </w:rPr>
        <w:t>violations des droits de l</w:t>
      </w:r>
      <w:r>
        <w:rPr>
          <w:lang w:val="fr-FR"/>
        </w:rPr>
        <w:t>’</w:t>
      </w:r>
      <w:r w:rsidRPr="00867D61">
        <w:rPr>
          <w:lang w:val="fr-FR"/>
        </w:rPr>
        <w:t>homme et d</w:t>
      </w:r>
      <w:r>
        <w:rPr>
          <w:lang w:val="fr-FR"/>
        </w:rPr>
        <w:t>’</w:t>
      </w:r>
      <w:r w:rsidRPr="00867D61">
        <w:rPr>
          <w:lang w:val="fr-FR"/>
        </w:rPr>
        <w:t xml:space="preserve">atteintes à ces droits </w:t>
      </w:r>
      <w:r w:rsidRPr="00E26FD9">
        <w:rPr>
          <w:lang w:val="fr-FR"/>
        </w:rPr>
        <w:t>à l</w:t>
      </w:r>
      <w:r>
        <w:rPr>
          <w:lang w:val="fr-FR"/>
        </w:rPr>
        <w:t>’</w:t>
      </w:r>
      <w:r w:rsidRPr="00E26FD9">
        <w:rPr>
          <w:lang w:val="fr-FR"/>
        </w:rPr>
        <w:t xml:space="preserve">encontre </w:t>
      </w:r>
      <w:r>
        <w:rPr>
          <w:lang w:val="fr-FR"/>
        </w:rPr>
        <w:t>de personnes</w:t>
      </w:r>
      <w:r w:rsidRPr="00E26FD9">
        <w:rPr>
          <w:lang w:val="fr-FR"/>
        </w:rPr>
        <w:t xml:space="preserve"> et d</w:t>
      </w:r>
      <w:r>
        <w:rPr>
          <w:lang w:val="fr-FR"/>
        </w:rPr>
        <w:t>’</w:t>
      </w:r>
      <w:r w:rsidRPr="00E26FD9">
        <w:rPr>
          <w:lang w:val="fr-FR"/>
        </w:rPr>
        <w:t>organisations qui luttent contre le racisme</w:t>
      </w:r>
      <w:r w:rsidRPr="00293268">
        <w:rPr>
          <w:lang w:val="fr-FR"/>
        </w:rPr>
        <w:t xml:space="preserve">. </w:t>
      </w:r>
      <w:r>
        <w:rPr>
          <w:lang w:val="fr-FR"/>
        </w:rPr>
        <w:t xml:space="preserve">Cette obligation s’applique à toute allégation </w:t>
      </w:r>
      <w:r w:rsidRPr="00462885">
        <w:rPr>
          <w:lang w:val="fr-FR"/>
        </w:rPr>
        <w:t xml:space="preserve">ou tout soupçon raisonnable de recours illégal à la force </w:t>
      </w:r>
      <w:r>
        <w:rPr>
          <w:lang w:val="fr-FR"/>
        </w:rPr>
        <w:t xml:space="preserve">ou autre violation commise par les forces de l’ordre </w:t>
      </w:r>
      <w:r w:rsidRPr="00924760">
        <w:rPr>
          <w:lang w:val="fr-FR"/>
        </w:rPr>
        <w:t>dans le contexte de r</w:t>
      </w:r>
      <w:r>
        <w:rPr>
          <w:lang w:val="fr-FR"/>
        </w:rPr>
        <w:t>éunion</w:t>
      </w:r>
      <w:r w:rsidRPr="00924760">
        <w:rPr>
          <w:lang w:val="fr-FR"/>
        </w:rPr>
        <w:t>s</w:t>
      </w:r>
      <w:r>
        <w:rPr>
          <w:lang w:val="fr-FR"/>
        </w:rPr>
        <w:t xml:space="preserve"> et au </w:t>
      </w:r>
      <w:r w:rsidRPr="006D4A97">
        <w:rPr>
          <w:lang w:val="fr-FR"/>
        </w:rPr>
        <w:t>contrôle indépendant et transparent</w:t>
      </w:r>
      <w:r w:rsidRPr="00293268">
        <w:rPr>
          <w:lang w:val="fr-FR"/>
        </w:rPr>
        <w:t xml:space="preserve"> </w:t>
      </w:r>
      <w:r>
        <w:rPr>
          <w:lang w:val="fr-FR"/>
        </w:rPr>
        <w:t xml:space="preserve">de </w:t>
      </w:r>
      <w:r w:rsidRPr="006D4A97">
        <w:rPr>
          <w:lang w:val="fr-FR"/>
        </w:rPr>
        <w:t>tous les organismes qui sont concernés par les réunions pacifiques</w:t>
      </w:r>
      <w:r w:rsidRPr="00293268">
        <w:rPr>
          <w:lang w:val="fr-FR"/>
        </w:rPr>
        <w:t xml:space="preserve">. </w:t>
      </w:r>
      <w:r w:rsidRPr="00AC7F3D">
        <w:rPr>
          <w:lang w:val="fr-FR"/>
        </w:rPr>
        <w:t>Les agents de la force publique ayant commis des violations doivent être tenus</w:t>
      </w:r>
      <w:r>
        <w:rPr>
          <w:lang w:val="fr-FR"/>
        </w:rPr>
        <w:t xml:space="preserve"> </w:t>
      </w:r>
      <w:r w:rsidRPr="00AC7F3D">
        <w:rPr>
          <w:lang w:val="fr-FR"/>
        </w:rPr>
        <w:t>responsables en vertu du droit interne et, le cas échéant, du droit international, et les</w:t>
      </w:r>
      <w:r>
        <w:rPr>
          <w:lang w:val="fr-FR"/>
        </w:rPr>
        <w:t xml:space="preserve"> </w:t>
      </w:r>
      <w:r w:rsidRPr="00AC7F3D">
        <w:rPr>
          <w:lang w:val="fr-FR"/>
        </w:rPr>
        <w:t>victimes doivent disposer de recours utiles</w:t>
      </w:r>
      <w:r w:rsidRPr="00CD6B67">
        <w:rPr>
          <w:rStyle w:val="FootnoteReference"/>
        </w:rPr>
        <w:footnoteReference w:id="645"/>
      </w:r>
      <w:r w:rsidRPr="005B7718">
        <w:rPr>
          <w:lang w:val="fr-FR"/>
        </w:rPr>
        <w:t>.</w:t>
      </w:r>
    </w:p>
    <w:p w14:paraId="27849C11" w14:textId="1B53A02E" w:rsidR="00D301C6" w:rsidRPr="00293268" w:rsidRDefault="00D301C6" w:rsidP="00D301C6">
      <w:pPr>
        <w:pStyle w:val="SingleTxtG"/>
        <w:rPr>
          <w:lang w:val="fr-FR"/>
        </w:rPr>
      </w:pPr>
      <w:r w:rsidRPr="00293268">
        <w:rPr>
          <w:lang w:val="fr-FR"/>
        </w:rPr>
        <w:t>245.</w:t>
      </w:r>
      <w:r w:rsidRPr="00293268">
        <w:rPr>
          <w:lang w:val="fr-FR"/>
        </w:rPr>
        <w:tab/>
      </w:r>
      <w:r w:rsidRPr="00BF13E2">
        <w:rPr>
          <w:lang w:val="fr-FR"/>
        </w:rPr>
        <w:t xml:space="preserve">Pour </w:t>
      </w:r>
      <w:r w:rsidRPr="00651278">
        <w:rPr>
          <w:lang w:val="fr-FR"/>
        </w:rPr>
        <w:t>mieux garantir le respect du principe de responsabilité</w:t>
      </w:r>
      <w:r w:rsidRPr="00BF13E2">
        <w:rPr>
          <w:lang w:val="fr-FR"/>
        </w:rPr>
        <w:t xml:space="preserve">, les policiers en uniforme intervenant dans </w:t>
      </w:r>
      <w:r>
        <w:rPr>
          <w:lang w:val="fr-FR"/>
        </w:rPr>
        <w:t>le cadre de rassemblements</w:t>
      </w:r>
      <w:r w:rsidRPr="00BF13E2">
        <w:rPr>
          <w:lang w:val="fr-FR"/>
        </w:rPr>
        <w:t xml:space="preserve"> devraient toujours arborer un moyen d</w:t>
      </w:r>
      <w:r>
        <w:rPr>
          <w:lang w:val="fr-FR"/>
        </w:rPr>
        <w:t>’</w:t>
      </w:r>
      <w:r w:rsidRPr="00BF13E2">
        <w:rPr>
          <w:lang w:val="fr-FR"/>
        </w:rPr>
        <w:t xml:space="preserve">identification facilement reconnaissable </w:t>
      </w:r>
      <w:r>
        <w:rPr>
          <w:lang w:val="fr-FR"/>
        </w:rPr>
        <w:t>et</w:t>
      </w:r>
      <w:r w:rsidRPr="00293268">
        <w:rPr>
          <w:lang w:val="fr-FR"/>
        </w:rPr>
        <w:t xml:space="preserve"> </w:t>
      </w:r>
      <w:r>
        <w:rPr>
          <w:lang w:val="fr-FR"/>
        </w:rPr>
        <w:t>t</w:t>
      </w:r>
      <w:r w:rsidRPr="00557C5F">
        <w:rPr>
          <w:lang w:val="fr-FR"/>
        </w:rPr>
        <w:t>out déploiement d</w:t>
      </w:r>
      <w:r>
        <w:rPr>
          <w:lang w:val="fr-FR"/>
        </w:rPr>
        <w:t>’</w:t>
      </w:r>
      <w:r w:rsidRPr="00557C5F">
        <w:rPr>
          <w:lang w:val="fr-FR"/>
        </w:rPr>
        <w:t xml:space="preserve">agents en civil dans </w:t>
      </w:r>
      <w:r>
        <w:rPr>
          <w:lang w:val="fr-FR"/>
        </w:rPr>
        <w:t>ce cadre</w:t>
      </w:r>
      <w:r w:rsidRPr="00557C5F">
        <w:rPr>
          <w:lang w:val="fr-FR"/>
        </w:rPr>
        <w:t xml:space="preserve"> doit être strictement</w:t>
      </w:r>
      <w:r>
        <w:rPr>
          <w:lang w:val="fr-FR"/>
        </w:rPr>
        <w:t xml:space="preserve"> </w:t>
      </w:r>
      <w:r w:rsidRPr="00557C5F">
        <w:rPr>
          <w:lang w:val="fr-FR"/>
        </w:rPr>
        <w:t>nécessair</w:t>
      </w:r>
      <w:r>
        <w:rPr>
          <w:lang w:val="fr-FR"/>
        </w:rPr>
        <w:t>e</w:t>
      </w:r>
      <w:r w:rsidRPr="00CD6B67">
        <w:rPr>
          <w:rStyle w:val="FootnoteReference"/>
        </w:rPr>
        <w:footnoteReference w:id="646"/>
      </w:r>
      <w:r w:rsidRPr="00293268">
        <w:rPr>
          <w:lang w:val="fr-FR"/>
        </w:rPr>
        <w:t xml:space="preserve"> </w:t>
      </w:r>
      <w:r w:rsidRPr="00E44EA3">
        <w:rPr>
          <w:lang w:val="fr-FR"/>
        </w:rPr>
        <w:t>compte tenu des circonstances et ces agents ne doivent jamais inciter à la</w:t>
      </w:r>
      <w:r>
        <w:rPr>
          <w:lang w:val="fr-FR"/>
        </w:rPr>
        <w:t xml:space="preserve"> </w:t>
      </w:r>
      <w:r w:rsidRPr="00E44EA3">
        <w:rPr>
          <w:lang w:val="fr-FR"/>
        </w:rPr>
        <w:t>violence</w:t>
      </w:r>
      <w:r w:rsidRPr="00293268">
        <w:rPr>
          <w:lang w:val="fr-FR"/>
        </w:rPr>
        <w:t xml:space="preserve">. </w:t>
      </w:r>
      <w:r w:rsidRPr="00A30630">
        <w:rPr>
          <w:lang w:val="fr-FR"/>
        </w:rPr>
        <w:t>Avant de procéder à une fouille, à une interpellation ou de recourir à une quelconque force, les agents en civil doivent s</w:t>
      </w:r>
      <w:r>
        <w:rPr>
          <w:lang w:val="fr-FR"/>
        </w:rPr>
        <w:t>’</w:t>
      </w:r>
      <w:r w:rsidRPr="00A30630">
        <w:rPr>
          <w:lang w:val="fr-FR"/>
        </w:rPr>
        <w:t>identifier auprès des personnes concernées</w:t>
      </w:r>
      <w:r w:rsidRPr="00CD6B67">
        <w:rPr>
          <w:rStyle w:val="FootnoteReference"/>
        </w:rPr>
        <w:footnoteReference w:id="647"/>
      </w:r>
      <w:r w:rsidRPr="008712B8">
        <w:rPr>
          <w:rStyle w:val="FootnoteReference"/>
          <w:sz w:val="20"/>
          <w:vertAlign w:val="baseline"/>
        </w:rPr>
        <w:t>.</w:t>
      </w:r>
    </w:p>
    <w:p w14:paraId="2563ED14" w14:textId="77777777" w:rsidR="00D301C6" w:rsidRPr="00293268" w:rsidRDefault="00D301C6" w:rsidP="008712B8">
      <w:pPr>
        <w:pStyle w:val="SingleTxtG"/>
        <w:keepLines/>
        <w:rPr>
          <w:lang w:val="fr-FR"/>
        </w:rPr>
      </w:pPr>
      <w:r w:rsidRPr="00293268">
        <w:rPr>
          <w:lang w:val="fr-FR"/>
        </w:rPr>
        <w:t>246.</w:t>
      </w:r>
      <w:r w:rsidRPr="00293268">
        <w:rPr>
          <w:lang w:val="fr-FR"/>
        </w:rPr>
        <w:tab/>
      </w:r>
      <w:r>
        <w:rPr>
          <w:lang w:val="fr-FR"/>
        </w:rPr>
        <w:t xml:space="preserve">Les États ont l’obligation </w:t>
      </w:r>
      <w:r w:rsidRPr="000D73D8">
        <w:rPr>
          <w:lang w:val="fr-FR"/>
        </w:rPr>
        <w:t>de protéger contre toutes représailles les personnes qui œuvrent à</w:t>
      </w:r>
      <w:r>
        <w:rPr>
          <w:lang w:val="fr-FR"/>
        </w:rPr>
        <w:t xml:space="preserve"> </w:t>
      </w:r>
      <w:r w:rsidRPr="000D73D8">
        <w:rPr>
          <w:lang w:val="fr-FR"/>
        </w:rPr>
        <w:t>la promotion, à la protection et à la réalisation des droits de l</w:t>
      </w:r>
      <w:r>
        <w:rPr>
          <w:lang w:val="fr-FR"/>
        </w:rPr>
        <w:t>’</w:t>
      </w:r>
      <w:r w:rsidRPr="000D73D8">
        <w:rPr>
          <w:lang w:val="fr-FR"/>
        </w:rPr>
        <w:t>homme</w:t>
      </w:r>
      <w:r>
        <w:rPr>
          <w:lang w:val="fr-FR"/>
        </w:rPr>
        <w:t xml:space="preserve"> et doivent</w:t>
      </w:r>
      <w:r w:rsidRPr="00293268">
        <w:rPr>
          <w:lang w:val="fr-FR"/>
        </w:rPr>
        <w:t xml:space="preserve"> </w:t>
      </w:r>
      <w:r w:rsidRPr="00C95F7D">
        <w:rPr>
          <w:lang w:val="fr-FR"/>
        </w:rPr>
        <w:t>prendre les</w:t>
      </w:r>
      <w:r>
        <w:rPr>
          <w:lang w:val="fr-FR"/>
        </w:rPr>
        <w:t xml:space="preserve"> </w:t>
      </w:r>
      <w:r w:rsidRPr="00C95F7D">
        <w:rPr>
          <w:lang w:val="fr-FR"/>
        </w:rPr>
        <w:t>mesures nécessaires pour réagir aux menaces de mort et fournir une protection adéquate</w:t>
      </w:r>
      <w:r>
        <w:rPr>
          <w:lang w:val="fr-FR"/>
        </w:rPr>
        <w:t xml:space="preserve"> </w:t>
      </w:r>
      <w:r w:rsidRPr="00C95F7D">
        <w:rPr>
          <w:lang w:val="fr-FR"/>
        </w:rPr>
        <w:t>aux défenseurs des droits de l</w:t>
      </w:r>
      <w:r>
        <w:rPr>
          <w:lang w:val="fr-FR"/>
        </w:rPr>
        <w:t>’</w:t>
      </w:r>
      <w:r w:rsidRPr="00C95F7D">
        <w:rPr>
          <w:lang w:val="fr-FR"/>
        </w:rPr>
        <w:t>homme</w:t>
      </w:r>
      <w:r w:rsidRPr="00293268">
        <w:rPr>
          <w:lang w:val="fr-FR"/>
        </w:rPr>
        <w:t xml:space="preserve">, </w:t>
      </w:r>
      <w:r w:rsidRPr="006A5531">
        <w:rPr>
          <w:lang w:val="fr-FR"/>
        </w:rPr>
        <w:t>et notamment créer et maintenir un environnement</w:t>
      </w:r>
      <w:r>
        <w:rPr>
          <w:lang w:val="fr-FR"/>
        </w:rPr>
        <w:t xml:space="preserve"> </w:t>
      </w:r>
      <w:r w:rsidRPr="006A5531">
        <w:rPr>
          <w:lang w:val="fr-FR"/>
        </w:rPr>
        <w:t>sûr et propice à la défense des droits de l</w:t>
      </w:r>
      <w:r>
        <w:rPr>
          <w:lang w:val="fr-FR"/>
        </w:rPr>
        <w:t>’</w:t>
      </w:r>
      <w:r w:rsidRPr="006A5531">
        <w:rPr>
          <w:lang w:val="fr-FR"/>
        </w:rPr>
        <w:t>homme</w:t>
      </w:r>
      <w:r w:rsidRPr="00CD6B67">
        <w:rPr>
          <w:rStyle w:val="FootnoteReference"/>
        </w:rPr>
        <w:footnoteReference w:id="648"/>
      </w:r>
      <w:r>
        <w:rPr>
          <w:lang w:val="fr-FR"/>
        </w:rPr>
        <w:t>.</w:t>
      </w:r>
    </w:p>
    <w:p w14:paraId="058AD4E3" w14:textId="3965B929" w:rsidR="00D301C6" w:rsidRPr="00293268" w:rsidRDefault="00D301C6" w:rsidP="00D301C6">
      <w:pPr>
        <w:pStyle w:val="HChG"/>
        <w:rPr>
          <w:lang w:val="fr-FR"/>
        </w:rPr>
      </w:pPr>
      <w:r w:rsidRPr="00293268">
        <w:rPr>
          <w:lang w:val="fr-FR"/>
        </w:rPr>
        <w:tab/>
        <w:t>V.</w:t>
      </w:r>
      <w:r w:rsidRPr="00293268">
        <w:rPr>
          <w:lang w:val="fr-FR"/>
        </w:rPr>
        <w:tab/>
      </w:r>
      <w:bookmarkStart w:id="1096" w:name="_Hlk115464311"/>
      <w:bookmarkStart w:id="1097" w:name="_Hlk116397706"/>
      <w:r>
        <w:rPr>
          <w:lang w:val="fr-FR"/>
        </w:rPr>
        <w:t>Confronter le</w:t>
      </w:r>
      <w:r w:rsidRPr="001C2B9A">
        <w:rPr>
          <w:lang w:val="fr-FR"/>
        </w:rPr>
        <w:t xml:space="preserve"> passé, </w:t>
      </w:r>
      <w:bookmarkEnd w:id="1096"/>
      <w:r w:rsidRPr="00197B21">
        <w:rPr>
          <w:lang w:val="fr-FR"/>
        </w:rPr>
        <w:t xml:space="preserve">notamment en établissant </w:t>
      </w:r>
      <w:r w:rsidR="00371B4D">
        <w:rPr>
          <w:lang w:val="fr-FR"/>
        </w:rPr>
        <w:br/>
      </w:r>
      <w:r w:rsidRPr="00197B21">
        <w:rPr>
          <w:lang w:val="fr-FR"/>
        </w:rPr>
        <w:t>les</w:t>
      </w:r>
      <w:r>
        <w:rPr>
          <w:lang w:val="fr-FR"/>
        </w:rPr>
        <w:t xml:space="preserve"> </w:t>
      </w:r>
      <w:r w:rsidRPr="00197B21">
        <w:rPr>
          <w:lang w:val="fr-FR"/>
        </w:rPr>
        <w:t xml:space="preserve">responsabilités et en accordant </w:t>
      </w:r>
      <w:r>
        <w:rPr>
          <w:lang w:val="fr-FR"/>
        </w:rPr>
        <w:t xml:space="preserve">des </w:t>
      </w:r>
      <w:r w:rsidRPr="00197B21">
        <w:rPr>
          <w:lang w:val="fr-FR"/>
        </w:rPr>
        <w:t>réparation</w:t>
      </w:r>
      <w:r>
        <w:rPr>
          <w:lang w:val="fr-FR"/>
        </w:rPr>
        <w:t>s</w:t>
      </w:r>
      <w:bookmarkEnd w:id="1097"/>
    </w:p>
    <w:p w14:paraId="3A15B9EB" w14:textId="77777777" w:rsidR="00D301C6" w:rsidRPr="00293268" w:rsidRDefault="00D301C6" w:rsidP="00D301C6">
      <w:pPr>
        <w:pStyle w:val="H1G"/>
        <w:rPr>
          <w:lang w:val="fr-FR"/>
        </w:rPr>
      </w:pPr>
      <w:bookmarkStart w:id="1098" w:name="_Toc71709931"/>
      <w:bookmarkStart w:id="1099" w:name="_Toc72173952"/>
      <w:bookmarkStart w:id="1100" w:name="_Toc72173998"/>
      <w:bookmarkStart w:id="1101" w:name="_Toc72174043"/>
      <w:bookmarkStart w:id="1102" w:name="_Toc72174088"/>
      <w:bookmarkStart w:id="1103" w:name="_Toc72176377"/>
      <w:bookmarkStart w:id="1104" w:name="_Toc72215211"/>
      <w:bookmarkStart w:id="1105" w:name="_Toc71709932"/>
      <w:bookmarkStart w:id="1106" w:name="_Toc72173953"/>
      <w:bookmarkStart w:id="1107" w:name="_Toc72173999"/>
      <w:bookmarkStart w:id="1108" w:name="_Toc72174044"/>
      <w:bookmarkStart w:id="1109" w:name="_Toc72174089"/>
      <w:bookmarkStart w:id="1110" w:name="_Toc72176378"/>
      <w:bookmarkStart w:id="1111" w:name="_Toc72215212"/>
      <w:bookmarkStart w:id="1112" w:name="_Toc71709935"/>
      <w:bookmarkStart w:id="1113" w:name="_Toc72173956"/>
      <w:bookmarkStart w:id="1114" w:name="_Toc72174002"/>
      <w:bookmarkStart w:id="1115" w:name="_Toc72174047"/>
      <w:bookmarkStart w:id="1116" w:name="_Toc72174092"/>
      <w:bookmarkStart w:id="1117" w:name="_Toc72176381"/>
      <w:bookmarkStart w:id="1118" w:name="_Toc72215215"/>
      <w:bookmarkStart w:id="1119" w:name="_Toc71709936"/>
      <w:bookmarkStart w:id="1120" w:name="_Toc72173957"/>
      <w:bookmarkStart w:id="1121" w:name="_Toc72174003"/>
      <w:bookmarkStart w:id="1122" w:name="_Toc72174048"/>
      <w:bookmarkStart w:id="1123" w:name="_Toc72174093"/>
      <w:bookmarkStart w:id="1124" w:name="_Toc72176382"/>
      <w:bookmarkStart w:id="1125" w:name="_Toc72215216"/>
      <w:bookmarkStart w:id="1126" w:name="_Toc71709937"/>
      <w:bookmarkStart w:id="1127" w:name="_Toc72173958"/>
      <w:bookmarkStart w:id="1128" w:name="_Toc72174004"/>
      <w:bookmarkStart w:id="1129" w:name="_Toc72174049"/>
      <w:bookmarkStart w:id="1130" w:name="_Toc72174094"/>
      <w:bookmarkStart w:id="1131" w:name="_Toc72176383"/>
      <w:bookmarkStart w:id="1132" w:name="_Toc72215217"/>
      <w:bookmarkStart w:id="1133" w:name="_Toc71709938"/>
      <w:bookmarkStart w:id="1134" w:name="_Toc72173959"/>
      <w:bookmarkStart w:id="1135" w:name="_Toc72174005"/>
      <w:bookmarkStart w:id="1136" w:name="_Toc72174050"/>
      <w:bookmarkStart w:id="1137" w:name="_Toc72174095"/>
      <w:bookmarkStart w:id="1138" w:name="_Toc72176384"/>
      <w:bookmarkStart w:id="1139" w:name="_Toc72215218"/>
      <w:bookmarkStart w:id="1140" w:name="_Toc71709939"/>
      <w:bookmarkStart w:id="1141" w:name="_Toc72173960"/>
      <w:bookmarkStart w:id="1142" w:name="_Toc72174006"/>
      <w:bookmarkStart w:id="1143" w:name="_Toc72174051"/>
      <w:bookmarkStart w:id="1144" w:name="_Toc72174096"/>
      <w:bookmarkStart w:id="1145" w:name="_Toc72176385"/>
      <w:bookmarkStart w:id="1146" w:name="_Toc72215219"/>
      <w:bookmarkStart w:id="1147" w:name="_Toc71709940"/>
      <w:bookmarkStart w:id="1148" w:name="_Toc72173961"/>
      <w:bookmarkStart w:id="1149" w:name="_Toc72174007"/>
      <w:bookmarkStart w:id="1150" w:name="_Toc72174052"/>
      <w:bookmarkStart w:id="1151" w:name="_Toc72174097"/>
      <w:bookmarkStart w:id="1152" w:name="_Toc72176386"/>
      <w:bookmarkStart w:id="1153" w:name="_Toc72215220"/>
      <w:bookmarkStart w:id="1154" w:name="_Toc71709941"/>
      <w:bookmarkStart w:id="1155" w:name="_Toc72173962"/>
      <w:bookmarkStart w:id="1156" w:name="_Toc72174008"/>
      <w:bookmarkStart w:id="1157" w:name="_Toc72174053"/>
      <w:bookmarkStart w:id="1158" w:name="_Toc72174098"/>
      <w:bookmarkStart w:id="1159" w:name="_Toc72176387"/>
      <w:bookmarkStart w:id="1160" w:name="_Toc72215221"/>
      <w:bookmarkStart w:id="1161" w:name="_Toc72174009"/>
      <w:bookmarkStart w:id="1162" w:name="_Toc72174054"/>
      <w:bookmarkStart w:id="1163" w:name="_Toc72174099"/>
      <w:bookmarkStart w:id="1164" w:name="_Toc72176388"/>
      <w:bookmarkStart w:id="1165" w:name="_Toc72215222"/>
      <w:bookmarkStart w:id="1166" w:name="_Toc71709943"/>
      <w:bookmarkStart w:id="1167" w:name="_Toc72173964"/>
      <w:bookmarkStart w:id="1168" w:name="_Toc72174010"/>
      <w:bookmarkStart w:id="1169" w:name="_Toc72174055"/>
      <w:bookmarkStart w:id="1170" w:name="_Toc72174100"/>
      <w:bookmarkStart w:id="1171" w:name="_Toc72176389"/>
      <w:bookmarkStart w:id="1172" w:name="_Toc72215223"/>
      <w:bookmarkStart w:id="1173" w:name="_Toc60845041"/>
      <w:bookmarkStart w:id="1174" w:name="_Toc62028876"/>
      <w:bookmarkStart w:id="1175" w:name="_Toc62556543"/>
      <w:bookmarkStart w:id="1176" w:name="_Toc63257315"/>
      <w:bookmarkStart w:id="1177" w:name="_Toc63766556"/>
      <w:bookmarkStart w:id="1178" w:name="_Toc63941398"/>
      <w:bookmarkStart w:id="1179" w:name="_Toc64298294"/>
      <w:bookmarkStart w:id="1180" w:name="_Toc64373154"/>
      <w:bookmarkStart w:id="1181" w:name="_Toc64379816"/>
      <w:bookmarkStart w:id="1182" w:name="_Toc72335553"/>
      <w:bookmarkStart w:id="1183" w:name="_Toc74143646"/>
      <w:bookmarkStart w:id="1184" w:name="_Toc74170921"/>
      <w:bookmarkStart w:id="1185" w:name="_Toc74721038"/>
      <w:bookmarkStart w:id="1186" w:name="_Toc74923022"/>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sidRPr="00293268">
        <w:rPr>
          <w:lang w:val="fr-FR"/>
        </w:rPr>
        <w:tab/>
        <w:t>A.</w:t>
      </w:r>
      <w:r w:rsidRPr="00293268">
        <w:rPr>
          <w:lang w:val="fr-FR"/>
        </w:rPr>
        <w:tab/>
        <w:t>Introduction</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6E8A41B6" w14:textId="6359BE8C" w:rsidR="00D301C6" w:rsidRPr="00293268" w:rsidRDefault="00D301C6" w:rsidP="00D301C6">
      <w:pPr>
        <w:pStyle w:val="SingleTxtG"/>
        <w:rPr>
          <w:lang w:val="fr-FR"/>
        </w:rPr>
      </w:pPr>
      <w:r w:rsidRPr="00293268">
        <w:rPr>
          <w:lang w:val="fr-FR"/>
        </w:rPr>
        <w:t>247.</w:t>
      </w:r>
      <w:r w:rsidRPr="00293268">
        <w:rPr>
          <w:lang w:val="fr-FR"/>
        </w:rPr>
        <w:tab/>
        <w:t>On estime qu</w:t>
      </w:r>
      <w:r>
        <w:rPr>
          <w:lang w:val="fr-FR"/>
        </w:rPr>
        <w:t>’</w:t>
      </w:r>
      <w:r w:rsidRPr="00293268">
        <w:rPr>
          <w:lang w:val="fr-FR"/>
        </w:rPr>
        <w:t>environ 30</w:t>
      </w:r>
      <w:r w:rsidR="00371B4D">
        <w:rPr>
          <w:lang w:val="fr-FR"/>
        </w:rPr>
        <w:t> </w:t>
      </w:r>
      <w:r w:rsidRPr="00293268">
        <w:rPr>
          <w:lang w:val="fr-FR"/>
        </w:rPr>
        <w:t>millions de personnes ont été déracinées d</w:t>
      </w:r>
      <w:r>
        <w:rPr>
          <w:lang w:val="fr-FR"/>
        </w:rPr>
        <w:t>’</w:t>
      </w:r>
      <w:r w:rsidRPr="00293268">
        <w:rPr>
          <w:lang w:val="fr-FR"/>
        </w:rPr>
        <w:t>Afrique</w:t>
      </w:r>
      <w:r w:rsidRPr="00813782">
        <w:rPr>
          <w:lang w:val="fr-FR"/>
        </w:rPr>
        <w:t xml:space="preserve"> </w:t>
      </w:r>
      <w:r w:rsidRPr="00416EF6">
        <w:rPr>
          <w:lang w:val="fr-FR"/>
        </w:rPr>
        <w:t>par la violence</w:t>
      </w:r>
      <w:r w:rsidRPr="00293268">
        <w:rPr>
          <w:lang w:val="fr-FR"/>
        </w:rPr>
        <w:t xml:space="preserve"> </w:t>
      </w:r>
      <w:r>
        <w:rPr>
          <w:lang w:val="fr-FR"/>
        </w:rPr>
        <w:t>afin de les réduire</w:t>
      </w:r>
      <w:r w:rsidRPr="00293268">
        <w:rPr>
          <w:lang w:val="fr-FR"/>
        </w:rPr>
        <w:t xml:space="preserve"> en esclavage</w:t>
      </w:r>
      <w:r w:rsidRPr="00CD6B67">
        <w:rPr>
          <w:rStyle w:val="FootnoteReference"/>
        </w:rPr>
        <w:footnoteReference w:id="649"/>
      </w:r>
      <w:r w:rsidRPr="00371B4D">
        <w:rPr>
          <w:rStyle w:val="FootnoteReference"/>
          <w:sz w:val="20"/>
          <w:vertAlign w:val="baseline"/>
        </w:rPr>
        <w:t>.</w:t>
      </w:r>
      <w:r w:rsidRPr="00293268">
        <w:rPr>
          <w:lang w:val="fr-FR"/>
        </w:rPr>
        <w:t xml:space="preserve"> Depuis, des </w:t>
      </w:r>
      <w:r>
        <w:rPr>
          <w:lang w:val="fr-FR"/>
        </w:rPr>
        <w:t>personnes</w:t>
      </w:r>
      <w:r w:rsidRPr="00293268">
        <w:rPr>
          <w:lang w:val="fr-FR"/>
        </w:rPr>
        <w:t xml:space="preserve"> d</w:t>
      </w:r>
      <w:r>
        <w:rPr>
          <w:lang w:val="fr-FR"/>
        </w:rPr>
        <w:t>’</w:t>
      </w:r>
      <w:r w:rsidRPr="00293268">
        <w:rPr>
          <w:lang w:val="fr-FR"/>
        </w:rPr>
        <w:t xml:space="preserve">ascendance africaine de différents pays demandent que </w:t>
      </w:r>
      <w:r>
        <w:rPr>
          <w:lang w:val="fr-FR"/>
        </w:rPr>
        <w:t>les responsabilités soient établies pour les torts causés par l’esclavage</w:t>
      </w:r>
      <w:r w:rsidRPr="00293268">
        <w:rPr>
          <w:lang w:val="fr-FR"/>
        </w:rPr>
        <w:t xml:space="preserve">, la traite transatlantique des Africains réduits en esclavage, </w:t>
      </w:r>
      <w:r>
        <w:rPr>
          <w:lang w:val="fr-FR"/>
        </w:rPr>
        <w:t>le</w:t>
      </w:r>
      <w:r w:rsidRPr="00293268">
        <w:rPr>
          <w:lang w:val="fr-FR"/>
        </w:rPr>
        <w:t xml:space="preserve"> colonialisme et </w:t>
      </w:r>
      <w:r>
        <w:rPr>
          <w:lang w:val="fr-FR"/>
        </w:rPr>
        <w:t>l</w:t>
      </w:r>
      <w:r w:rsidRPr="00293268">
        <w:rPr>
          <w:lang w:val="fr-FR"/>
        </w:rPr>
        <w:t xml:space="preserve">es </w:t>
      </w:r>
      <w:r w:rsidRPr="009B6FE5">
        <w:rPr>
          <w:lang w:val="fr-FR"/>
        </w:rPr>
        <w:t xml:space="preserve">politiques et systèmes </w:t>
      </w:r>
      <w:r>
        <w:rPr>
          <w:lang w:val="fr-FR"/>
        </w:rPr>
        <w:t>discriminatoires sur le plan racial qui se sont succédé au fil du temps. Elles</w:t>
      </w:r>
      <w:r w:rsidRPr="00293268">
        <w:rPr>
          <w:lang w:val="fr-FR"/>
        </w:rPr>
        <w:t xml:space="preserve"> demandent</w:t>
      </w:r>
      <w:r>
        <w:rPr>
          <w:lang w:val="fr-FR"/>
        </w:rPr>
        <w:t xml:space="preserve"> aussi</w:t>
      </w:r>
      <w:r w:rsidRPr="00293268">
        <w:rPr>
          <w:lang w:val="fr-FR"/>
        </w:rPr>
        <w:t xml:space="preserve"> réparation de ces préjudices</w:t>
      </w:r>
      <w:r>
        <w:rPr>
          <w:lang w:val="fr-FR"/>
        </w:rPr>
        <w:t xml:space="preserve"> et, en particulier, des traumatismes intergénérationnels que cela a occasionné</w:t>
      </w:r>
      <w:r w:rsidRPr="00CD6B67">
        <w:rPr>
          <w:rStyle w:val="FootnoteReference"/>
        </w:rPr>
        <w:footnoteReference w:id="650"/>
      </w:r>
      <w:r w:rsidRPr="00293268">
        <w:rPr>
          <w:lang w:val="fr-FR"/>
        </w:rPr>
        <w:t>.</w:t>
      </w:r>
    </w:p>
    <w:p w14:paraId="4907DF0C" w14:textId="27DDCF05" w:rsidR="00D301C6" w:rsidRPr="00293268" w:rsidRDefault="00D301C6" w:rsidP="00D301C6">
      <w:pPr>
        <w:pStyle w:val="SingleTxtG"/>
        <w:rPr>
          <w:lang w:val="fr-FR"/>
        </w:rPr>
      </w:pPr>
      <w:r w:rsidRPr="00293268">
        <w:rPr>
          <w:lang w:val="fr-FR"/>
        </w:rPr>
        <w:t>248.</w:t>
      </w:r>
      <w:r w:rsidRPr="00293268">
        <w:rPr>
          <w:lang w:val="fr-FR"/>
        </w:rPr>
        <w:tab/>
      </w:r>
      <w:r w:rsidRPr="00DC5483">
        <w:rPr>
          <w:lang w:val="fr-FR"/>
        </w:rPr>
        <w:t>En 2001, la Conférence de Durban a établi le lien entre le passé, le présent et l</w:t>
      </w:r>
      <w:r>
        <w:rPr>
          <w:lang w:val="fr-FR"/>
        </w:rPr>
        <w:t>’</w:t>
      </w:r>
      <w:r w:rsidRPr="00DC5483">
        <w:rPr>
          <w:lang w:val="fr-FR"/>
        </w:rPr>
        <w:t>avenir et reconnu que «</w:t>
      </w:r>
      <w:r w:rsidR="00371B4D">
        <w:rPr>
          <w:lang w:val="fr-FR"/>
        </w:rPr>
        <w:t> </w:t>
      </w:r>
      <w:r w:rsidRPr="00F0462C">
        <w:rPr>
          <w:lang w:val="fr-FR"/>
        </w:rPr>
        <w:t>l</w:t>
      </w:r>
      <w:r>
        <w:rPr>
          <w:lang w:val="fr-FR"/>
        </w:rPr>
        <w:t>’</w:t>
      </w:r>
      <w:r w:rsidRPr="00F0462C">
        <w:rPr>
          <w:lang w:val="fr-FR"/>
        </w:rPr>
        <w:t>esclavage et la traite des esclaves constituent un crime contre l</w:t>
      </w:r>
      <w:r>
        <w:rPr>
          <w:lang w:val="fr-FR"/>
        </w:rPr>
        <w:t>’</w:t>
      </w:r>
      <w:r w:rsidRPr="00F0462C">
        <w:rPr>
          <w:lang w:val="fr-FR"/>
        </w:rPr>
        <w:t>humanité et qu</w:t>
      </w:r>
      <w:r>
        <w:rPr>
          <w:lang w:val="fr-FR"/>
        </w:rPr>
        <w:t>’</w:t>
      </w:r>
      <w:r w:rsidRPr="00F0462C">
        <w:rPr>
          <w:lang w:val="fr-FR"/>
        </w:rPr>
        <w:t>il aurait toujours dû en être ainsi, en particulier la traite transatlantique, et</w:t>
      </w:r>
      <w:r>
        <w:rPr>
          <w:lang w:val="fr-FR"/>
        </w:rPr>
        <w:t xml:space="preserve"> [qu’ils]</w:t>
      </w:r>
      <w:r w:rsidRPr="00F0462C">
        <w:rPr>
          <w:lang w:val="fr-FR"/>
        </w:rPr>
        <w:t xml:space="preserve"> sont l</w:t>
      </w:r>
      <w:r>
        <w:rPr>
          <w:lang w:val="fr-FR"/>
        </w:rPr>
        <w:t>’</w:t>
      </w:r>
      <w:r w:rsidRPr="00F0462C">
        <w:rPr>
          <w:lang w:val="fr-FR"/>
        </w:rPr>
        <w:t>une des principales sources et manifestations du racisme, de la discrimination raciale, de la xénophobie et de l</w:t>
      </w:r>
      <w:r>
        <w:rPr>
          <w:lang w:val="fr-FR"/>
        </w:rPr>
        <w:t>’</w:t>
      </w:r>
      <w:r w:rsidRPr="00F0462C">
        <w:rPr>
          <w:lang w:val="fr-FR"/>
        </w:rPr>
        <w:t>intolérance qui y est associée</w:t>
      </w:r>
      <w:r w:rsidRPr="00CD6B67">
        <w:rPr>
          <w:rStyle w:val="FootnoteReference"/>
        </w:rPr>
        <w:footnoteReference w:id="651"/>
      </w:r>
      <w:r w:rsidRPr="00DC5483">
        <w:rPr>
          <w:lang w:val="fr-FR"/>
        </w:rPr>
        <w:t>, et que les Africains et les personnes d</w:t>
      </w:r>
      <w:r>
        <w:rPr>
          <w:lang w:val="fr-FR"/>
        </w:rPr>
        <w:t>’</w:t>
      </w:r>
      <w:r w:rsidRPr="00DC5483">
        <w:rPr>
          <w:lang w:val="fr-FR"/>
        </w:rPr>
        <w:t>ascendance africaine, de même que les personnes d</w:t>
      </w:r>
      <w:r>
        <w:rPr>
          <w:lang w:val="fr-FR"/>
        </w:rPr>
        <w:t>’</w:t>
      </w:r>
      <w:r w:rsidRPr="00DC5483">
        <w:rPr>
          <w:lang w:val="fr-FR"/>
        </w:rPr>
        <w:t>ascendance asiatique et les peuples autochtones, ont été victimes de ces actes et continuent à en subir les conséquences</w:t>
      </w:r>
      <w:r w:rsidR="00371B4D">
        <w:rPr>
          <w:lang w:val="fr-FR"/>
        </w:rPr>
        <w:t> </w:t>
      </w:r>
      <w:r w:rsidRPr="00DC5483">
        <w:rPr>
          <w:lang w:val="fr-FR"/>
        </w:rPr>
        <w:t>»</w:t>
      </w:r>
      <w:r w:rsidRPr="00CD6B67">
        <w:rPr>
          <w:rStyle w:val="FootnoteReference"/>
        </w:rPr>
        <w:footnoteReference w:id="652"/>
      </w:r>
      <w:r>
        <w:rPr>
          <w:lang w:val="fr-FR"/>
        </w:rPr>
        <w:t>.</w:t>
      </w:r>
    </w:p>
    <w:p w14:paraId="4E04B9FB" w14:textId="04CD3CB5" w:rsidR="00D301C6" w:rsidRPr="00293268" w:rsidRDefault="00D301C6" w:rsidP="00D301C6">
      <w:pPr>
        <w:pStyle w:val="SingleTxtG"/>
        <w:rPr>
          <w:lang w:val="fr-FR"/>
        </w:rPr>
      </w:pPr>
      <w:r w:rsidRPr="00293268">
        <w:rPr>
          <w:lang w:val="fr-FR"/>
        </w:rPr>
        <w:t>249.</w:t>
      </w:r>
      <w:r w:rsidRPr="00293268">
        <w:rPr>
          <w:lang w:val="fr-FR"/>
        </w:rPr>
        <w:tab/>
      </w:r>
      <w:r w:rsidRPr="00A843C2">
        <w:rPr>
          <w:spacing w:val="-2"/>
          <w:lang w:val="fr-FR"/>
        </w:rPr>
        <w:t>Les Principes fondamentaux et directives concernant le droit à un recours et à réparation des victimes de violations flagrantes du droit international des droits de l’homme et de violations graves du droit international humanitaire (2005)</w:t>
      </w:r>
      <w:r w:rsidRPr="00A843C2">
        <w:rPr>
          <w:rStyle w:val="FootnoteReference"/>
          <w:spacing w:val="-2"/>
        </w:rPr>
        <w:footnoteReference w:id="653"/>
      </w:r>
      <w:r w:rsidRPr="00A843C2">
        <w:rPr>
          <w:spacing w:val="-2"/>
          <w:lang w:val="fr-FR"/>
        </w:rPr>
        <w:t xml:space="preserve"> prévoient trois formes de recours : un accès effectif à la justice dans des conditions d’égalité</w:t>
      </w:r>
      <w:r w:rsidR="00BF73AB" w:rsidRPr="00A843C2">
        <w:rPr>
          <w:spacing w:val="-2"/>
          <w:lang w:val="fr-FR"/>
        </w:rPr>
        <w:t> ;</w:t>
      </w:r>
      <w:r w:rsidRPr="00A843C2">
        <w:rPr>
          <w:spacing w:val="-2"/>
          <w:lang w:val="fr-FR"/>
        </w:rPr>
        <w:t xml:space="preserve"> une réparation adéquate, effective et rapide du préjudice subi</w:t>
      </w:r>
      <w:r w:rsidR="00BF73AB" w:rsidRPr="00A843C2">
        <w:rPr>
          <w:spacing w:val="-2"/>
          <w:lang w:val="fr-FR"/>
        </w:rPr>
        <w:t> ;</w:t>
      </w:r>
      <w:r w:rsidRPr="00A843C2">
        <w:rPr>
          <w:spacing w:val="-2"/>
          <w:lang w:val="fr-FR"/>
        </w:rPr>
        <w:t xml:space="preserve"> et l’accès aux informations utiles concernant les violations et les mécanismes de réparation. La réparation peut prendre l’une des formes suivantes : restitution, indemnisation, réadaptation, satisfaction et garanties de non</w:t>
      </w:r>
      <w:r w:rsidR="005955D3" w:rsidRPr="00A843C2">
        <w:rPr>
          <w:spacing w:val="-2"/>
          <w:lang w:val="fr-FR"/>
        </w:rPr>
        <w:noBreakHyphen/>
      </w:r>
      <w:r w:rsidRPr="00A843C2">
        <w:rPr>
          <w:spacing w:val="-2"/>
          <w:lang w:val="fr-FR"/>
        </w:rPr>
        <w:t>répétition.</w:t>
      </w:r>
    </w:p>
    <w:p w14:paraId="265FBE3B" w14:textId="77777777" w:rsidR="00D301C6" w:rsidRPr="00293268" w:rsidRDefault="00D301C6" w:rsidP="00D301C6">
      <w:pPr>
        <w:pStyle w:val="SingleTxtG"/>
        <w:rPr>
          <w:lang w:val="fr-FR"/>
        </w:rPr>
      </w:pPr>
      <w:r w:rsidRPr="00293268">
        <w:rPr>
          <w:lang w:val="fr-FR"/>
        </w:rPr>
        <w:t>250.</w:t>
      </w:r>
      <w:r w:rsidRPr="00293268">
        <w:rPr>
          <w:lang w:val="fr-FR"/>
        </w:rPr>
        <w:tab/>
      </w:r>
      <w:r w:rsidRPr="0015249E">
        <w:rPr>
          <w:lang w:val="fr-FR"/>
        </w:rPr>
        <w:t>La présente section donne un aperçu représentatif des initiatives régionales</w:t>
      </w:r>
      <w:r>
        <w:rPr>
          <w:lang w:val="fr-FR"/>
        </w:rPr>
        <w:t>, nationales et locales</w:t>
      </w:r>
      <w:r w:rsidRPr="0015249E">
        <w:rPr>
          <w:lang w:val="fr-FR"/>
        </w:rPr>
        <w:t xml:space="preserve"> qui ont commencé à </w:t>
      </w:r>
      <w:r>
        <w:rPr>
          <w:lang w:val="fr-FR"/>
        </w:rPr>
        <w:t>être prises pour rechercher la</w:t>
      </w:r>
      <w:r w:rsidRPr="0015249E">
        <w:rPr>
          <w:lang w:val="fr-FR"/>
        </w:rPr>
        <w:t xml:space="preserve"> vérité et </w:t>
      </w:r>
      <w:r>
        <w:rPr>
          <w:lang w:val="fr-FR"/>
        </w:rPr>
        <w:t>octroyer</w:t>
      </w:r>
      <w:r w:rsidRPr="0015249E">
        <w:rPr>
          <w:lang w:val="fr-FR"/>
        </w:rPr>
        <w:t xml:space="preserve"> les premières formes de réparation des préjudices causés par l</w:t>
      </w:r>
      <w:r>
        <w:rPr>
          <w:lang w:val="fr-FR"/>
        </w:rPr>
        <w:t>’</w:t>
      </w:r>
      <w:r w:rsidRPr="0015249E">
        <w:rPr>
          <w:lang w:val="fr-FR"/>
        </w:rPr>
        <w:t>esclavag</w:t>
      </w:r>
      <w:r>
        <w:rPr>
          <w:lang w:val="fr-FR"/>
        </w:rPr>
        <w:t>e</w:t>
      </w:r>
      <w:r w:rsidRPr="0015249E">
        <w:rPr>
          <w:lang w:val="fr-FR"/>
        </w:rPr>
        <w:t xml:space="preserve">, la traite transatlantique des Africains réduits en esclavage, le colonialisme et les </w:t>
      </w:r>
      <w:r w:rsidRPr="00F66BA1">
        <w:rPr>
          <w:lang w:val="fr-FR"/>
        </w:rPr>
        <w:t>politiques et systèmes discriminatoires sur le plan racial qui se sont succédé au fil du temps</w:t>
      </w:r>
      <w:r w:rsidRPr="0015249E">
        <w:rPr>
          <w:lang w:val="fr-FR"/>
        </w:rPr>
        <w:t>. Elle se termine par une évaluation de ce qui doit être entrepris pour établir les responsabilités et rendre une justice réparatrice aux personnes d</w:t>
      </w:r>
      <w:r>
        <w:rPr>
          <w:lang w:val="fr-FR"/>
        </w:rPr>
        <w:t>’</w:t>
      </w:r>
      <w:r w:rsidRPr="0015249E">
        <w:rPr>
          <w:lang w:val="fr-FR"/>
        </w:rPr>
        <w:t>ascendance africaine, qui continuent de subir les séquelles de ce passé</w:t>
      </w:r>
      <w:r w:rsidRPr="00293268">
        <w:rPr>
          <w:lang w:val="fr-FR"/>
        </w:rPr>
        <w:t>.</w:t>
      </w:r>
    </w:p>
    <w:p w14:paraId="4211B46D" w14:textId="71CF3713" w:rsidR="00D301C6" w:rsidRPr="00293268" w:rsidRDefault="00D301C6" w:rsidP="00D301C6">
      <w:pPr>
        <w:pStyle w:val="H1G"/>
        <w:rPr>
          <w:lang w:val="fr-FR"/>
        </w:rPr>
      </w:pPr>
      <w:bookmarkStart w:id="1187" w:name="_Toc60845042"/>
      <w:bookmarkStart w:id="1188" w:name="_Toc62028877"/>
      <w:bookmarkStart w:id="1189" w:name="_Toc62556544"/>
      <w:bookmarkStart w:id="1190" w:name="_Toc63257316"/>
      <w:bookmarkStart w:id="1191" w:name="_Toc63766557"/>
      <w:bookmarkStart w:id="1192" w:name="_Toc63941399"/>
      <w:bookmarkStart w:id="1193" w:name="_Toc64298295"/>
      <w:bookmarkStart w:id="1194" w:name="_Toc64373155"/>
      <w:bookmarkStart w:id="1195" w:name="_Toc64379817"/>
      <w:bookmarkStart w:id="1196" w:name="_Toc72335554"/>
      <w:bookmarkStart w:id="1197" w:name="_Toc74143647"/>
      <w:bookmarkStart w:id="1198" w:name="_Toc74170922"/>
      <w:bookmarkStart w:id="1199" w:name="_Toc74721039"/>
      <w:bookmarkStart w:id="1200" w:name="_Toc74923023"/>
      <w:r w:rsidRPr="00293268">
        <w:rPr>
          <w:lang w:val="fr-FR"/>
        </w:rPr>
        <w:tab/>
        <w:t>B.</w:t>
      </w:r>
      <w:r w:rsidRPr="00293268">
        <w:rPr>
          <w:lang w:val="fr-FR"/>
        </w:rPr>
        <w:tab/>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40753D">
        <w:rPr>
          <w:lang w:val="fr-FR"/>
        </w:rPr>
        <w:t>Exemples d</w:t>
      </w:r>
      <w:r>
        <w:rPr>
          <w:lang w:val="fr-FR"/>
        </w:rPr>
        <w:t>’</w:t>
      </w:r>
      <w:r w:rsidRPr="0040753D">
        <w:rPr>
          <w:lang w:val="fr-FR"/>
        </w:rPr>
        <w:t xml:space="preserve">initiatives </w:t>
      </w:r>
      <w:r w:rsidRPr="00E51B03">
        <w:rPr>
          <w:lang w:val="fr-FR"/>
        </w:rPr>
        <w:t xml:space="preserve">régionales, nationales et locales </w:t>
      </w:r>
      <w:r w:rsidRPr="0040753D">
        <w:rPr>
          <w:lang w:val="fr-FR"/>
        </w:rPr>
        <w:t xml:space="preserve">pour établir </w:t>
      </w:r>
      <w:r w:rsidR="00BF73AB">
        <w:rPr>
          <w:lang w:val="fr-FR"/>
        </w:rPr>
        <w:br/>
      </w:r>
      <w:r w:rsidRPr="0040753D">
        <w:rPr>
          <w:lang w:val="fr-FR"/>
        </w:rPr>
        <w:t xml:space="preserve">les responsabilités et </w:t>
      </w:r>
      <w:r>
        <w:rPr>
          <w:lang w:val="fr-FR"/>
        </w:rPr>
        <w:t>accorder des réparations</w:t>
      </w:r>
    </w:p>
    <w:p w14:paraId="3C438F04" w14:textId="1209E097" w:rsidR="00D301C6" w:rsidRPr="00293268" w:rsidRDefault="00D301C6" w:rsidP="00D301C6">
      <w:pPr>
        <w:pStyle w:val="SingleTxtG"/>
        <w:rPr>
          <w:lang w:val="fr-FR"/>
        </w:rPr>
      </w:pPr>
      <w:r w:rsidRPr="00293268">
        <w:rPr>
          <w:lang w:val="fr-FR"/>
        </w:rPr>
        <w:t>251.</w:t>
      </w:r>
      <w:r w:rsidRPr="00293268">
        <w:rPr>
          <w:lang w:val="fr-FR"/>
        </w:rPr>
        <w:tab/>
      </w:r>
      <w:r w:rsidRPr="00305C97">
        <w:rPr>
          <w:lang w:val="fr-FR"/>
        </w:rPr>
        <w:t xml:space="preserve">Les initiatives décrites ci-dessous illustrent </w:t>
      </w:r>
      <w:r>
        <w:rPr>
          <w:lang w:val="fr-FR"/>
        </w:rPr>
        <w:t>les diverses initiatives</w:t>
      </w:r>
      <w:r w:rsidRPr="00305C97">
        <w:rPr>
          <w:lang w:val="fr-FR"/>
        </w:rPr>
        <w:t xml:space="preserve"> </w:t>
      </w:r>
      <w:r>
        <w:rPr>
          <w:lang w:val="fr-FR"/>
        </w:rPr>
        <w:t>que</w:t>
      </w:r>
      <w:r w:rsidRPr="00305C97">
        <w:rPr>
          <w:lang w:val="fr-FR"/>
        </w:rPr>
        <w:t xml:space="preserve"> certains États </w:t>
      </w:r>
      <w:r>
        <w:rPr>
          <w:lang w:val="fr-FR"/>
        </w:rPr>
        <w:t>ont</w:t>
      </w:r>
      <w:r w:rsidRPr="00305C97">
        <w:rPr>
          <w:lang w:val="fr-FR"/>
        </w:rPr>
        <w:t xml:space="preserve"> engagé</w:t>
      </w:r>
      <w:r>
        <w:rPr>
          <w:lang w:val="fr-FR"/>
        </w:rPr>
        <w:t>e</w:t>
      </w:r>
      <w:r w:rsidRPr="00305C97">
        <w:rPr>
          <w:lang w:val="fr-FR"/>
        </w:rPr>
        <w:t>s ces dernières années. Pourtant</w:t>
      </w:r>
      <w:r w:rsidR="000A4D22">
        <w:rPr>
          <w:lang w:val="fr-FR"/>
        </w:rPr>
        <w:t>,</w:t>
      </w:r>
      <w:r>
        <w:rPr>
          <w:lang w:val="fr-FR"/>
        </w:rPr>
        <w:t xml:space="preserve"> et bien que ces initiatives soient</w:t>
      </w:r>
      <w:r w:rsidRPr="00305C97">
        <w:rPr>
          <w:lang w:val="fr-FR"/>
        </w:rPr>
        <w:t xml:space="preserve"> bienvenues, aucun pays héritier de l</w:t>
      </w:r>
      <w:r>
        <w:rPr>
          <w:lang w:val="fr-FR"/>
        </w:rPr>
        <w:t>’</w:t>
      </w:r>
      <w:r w:rsidRPr="00305C97">
        <w:rPr>
          <w:lang w:val="fr-FR"/>
        </w:rPr>
        <w:t>esclavage, du commerce transatlantique d</w:t>
      </w:r>
      <w:r>
        <w:rPr>
          <w:lang w:val="fr-FR"/>
        </w:rPr>
        <w:t>’</w:t>
      </w:r>
      <w:r w:rsidRPr="00305C97">
        <w:rPr>
          <w:lang w:val="fr-FR"/>
        </w:rPr>
        <w:t>Africains réduits en esclavage ou du colonialisme n</w:t>
      </w:r>
      <w:r>
        <w:rPr>
          <w:lang w:val="fr-FR"/>
        </w:rPr>
        <w:t>’</w:t>
      </w:r>
      <w:r w:rsidRPr="00305C97">
        <w:rPr>
          <w:lang w:val="fr-FR"/>
        </w:rPr>
        <w:t>a pleinement assumé son passé, ni pris en compte de manière exhaustive ses répercussions actuelles sur la vie des personnes d</w:t>
      </w:r>
      <w:r>
        <w:rPr>
          <w:lang w:val="fr-FR"/>
        </w:rPr>
        <w:t>’</w:t>
      </w:r>
      <w:r w:rsidRPr="00305C97">
        <w:rPr>
          <w:lang w:val="fr-FR"/>
        </w:rPr>
        <w:t>ascendance africaine. Dans</w:t>
      </w:r>
      <w:r w:rsidR="000A4D22">
        <w:rPr>
          <w:lang w:val="fr-FR"/>
        </w:rPr>
        <w:t> </w:t>
      </w:r>
      <w:r w:rsidRPr="00305C97">
        <w:rPr>
          <w:lang w:val="fr-FR"/>
        </w:rPr>
        <w:t>ce contexte, les trois thèmes de la Décennie internationale des personnes d</w:t>
      </w:r>
      <w:r>
        <w:rPr>
          <w:lang w:val="fr-FR"/>
        </w:rPr>
        <w:t>’</w:t>
      </w:r>
      <w:r w:rsidRPr="00305C97">
        <w:rPr>
          <w:lang w:val="fr-FR"/>
        </w:rPr>
        <w:t>ascendance africaine (2015-2024), qui mettent l</w:t>
      </w:r>
      <w:r>
        <w:rPr>
          <w:lang w:val="fr-FR"/>
        </w:rPr>
        <w:t>’</w:t>
      </w:r>
      <w:r w:rsidRPr="00305C97">
        <w:rPr>
          <w:lang w:val="fr-FR"/>
        </w:rPr>
        <w:t xml:space="preserve">accent sur la reconnaissance, la justice et le développement, </w:t>
      </w:r>
      <w:r>
        <w:rPr>
          <w:lang w:val="fr-FR"/>
        </w:rPr>
        <w:t>revêtent une pertinence particulière</w:t>
      </w:r>
      <w:r w:rsidRPr="00293268">
        <w:rPr>
          <w:lang w:val="fr-FR"/>
        </w:rPr>
        <w:t>.</w:t>
      </w:r>
    </w:p>
    <w:p w14:paraId="06D268FE" w14:textId="200C7C47" w:rsidR="00D301C6" w:rsidRPr="00293268" w:rsidRDefault="00D301C6" w:rsidP="00D301C6">
      <w:pPr>
        <w:pStyle w:val="SingleTxtG"/>
        <w:rPr>
          <w:lang w:val="fr-FR"/>
        </w:rPr>
      </w:pPr>
      <w:r w:rsidRPr="00293268">
        <w:rPr>
          <w:lang w:val="fr-FR"/>
        </w:rPr>
        <w:t>252.</w:t>
      </w:r>
      <w:r w:rsidRPr="00293268">
        <w:rPr>
          <w:lang w:val="fr-FR"/>
        </w:rPr>
        <w:tab/>
      </w:r>
      <w:r w:rsidRPr="00487EA7">
        <w:rPr>
          <w:lang w:val="fr-FR"/>
        </w:rPr>
        <w:t xml:space="preserve">La plupart des initiatives comprennent des activités de recherche de la vérité et diverses formes de réparations, </w:t>
      </w:r>
      <w:r>
        <w:rPr>
          <w:lang w:val="fr-FR"/>
        </w:rPr>
        <w:t>telles que</w:t>
      </w:r>
      <w:r w:rsidRPr="00487EA7">
        <w:rPr>
          <w:lang w:val="fr-FR"/>
        </w:rPr>
        <w:t xml:space="preserve"> défini</w:t>
      </w:r>
      <w:r w:rsidR="00A13B0C">
        <w:rPr>
          <w:lang w:val="fr-FR"/>
        </w:rPr>
        <w:t>es</w:t>
      </w:r>
      <w:r w:rsidRPr="00487EA7">
        <w:rPr>
          <w:lang w:val="fr-FR"/>
        </w:rPr>
        <w:t xml:space="preserve"> </w:t>
      </w:r>
      <w:r>
        <w:rPr>
          <w:lang w:val="fr-FR"/>
        </w:rPr>
        <w:t xml:space="preserve">par </w:t>
      </w:r>
      <w:r w:rsidRPr="00487EA7">
        <w:rPr>
          <w:lang w:val="fr-FR"/>
        </w:rPr>
        <w:t>le droit international des droits de l</w:t>
      </w:r>
      <w:r>
        <w:rPr>
          <w:lang w:val="fr-FR"/>
        </w:rPr>
        <w:t>’</w:t>
      </w:r>
      <w:r w:rsidRPr="00487EA7">
        <w:rPr>
          <w:lang w:val="fr-FR"/>
        </w:rPr>
        <w:t>homme</w:t>
      </w:r>
      <w:r w:rsidRPr="00CD6B67">
        <w:rPr>
          <w:rStyle w:val="FootnoteReference"/>
        </w:rPr>
        <w:footnoteReference w:id="654"/>
      </w:r>
      <w:r>
        <w:rPr>
          <w:lang w:val="fr-FR"/>
        </w:rPr>
        <w:t>.</w:t>
      </w:r>
      <w:r w:rsidRPr="00293268">
        <w:rPr>
          <w:lang w:val="fr-FR"/>
        </w:rPr>
        <w:t xml:space="preserve"> </w:t>
      </w:r>
      <w:r w:rsidRPr="00DC132F">
        <w:rPr>
          <w:lang w:val="fr-FR"/>
        </w:rPr>
        <w:t xml:space="preserve">Certaines initiatives ont été </w:t>
      </w:r>
      <w:r>
        <w:rPr>
          <w:lang w:val="fr-FR"/>
        </w:rPr>
        <w:t>prises</w:t>
      </w:r>
      <w:r w:rsidRPr="00DC132F">
        <w:rPr>
          <w:lang w:val="fr-FR"/>
        </w:rPr>
        <w:t xml:space="preserve"> par des États, des autorités locales ou des organisations régionales, d</w:t>
      </w:r>
      <w:r>
        <w:rPr>
          <w:lang w:val="fr-FR"/>
        </w:rPr>
        <w:t>’</w:t>
      </w:r>
      <w:r w:rsidRPr="00DC132F">
        <w:rPr>
          <w:lang w:val="fr-FR"/>
        </w:rPr>
        <w:t xml:space="preserve">autres par </w:t>
      </w:r>
      <w:r>
        <w:rPr>
          <w:lang w:val="fr-FR"/>
        </w:rPr>
        <w:t>diverses</w:t>
      </w:r>
      <w:r w:rsidRPr="00DC132F">
        <w:rPr>
          <w:lang w:val="fr-FR"/>
        </w:rPr>
        <w:t xml:space="preserve"> entités comme des universités, des </w:t>
      </w:r>
      <w:r w:rsidRPr="00D51AFB">
        <w:rPr>
          <w:lang w:val="fr-FR"/>
        </w:rPr>
        <w:t>églises</w:t>
      </w:r>
      <w:r w:rsidRPr="00DC132F">
        <w:rPr>
          <w:lang w:val="fr-FR"/>
        </w:rPr>
        <w:t xml:space="preserve"> et des entreprises. Certaines ont </w:t>
      </w:r>
      <w:r>
        <w:rPr>
          <w:lang w:val="fr-FR"/>
        </w:rPr>
        <w:t>débuté</w:t>
      </w:r>
      <w:r w:rsidRPr="00DC132F">
        <w:rPr>
          <w:lang w:val="fr-FR"/>
        </w:rPr>
        <w:t xml:space="preserve"> par des exercices de recherche de la vérité</w:t>
      </w:r>
      <w:r>
        <w:rPr>
          <w:lang w:val="fr-FR"/>
        </w:rPr>
        <w:t xml:space="preserve"> qui ont abouti</w:t>
      </w:r>
      <w:r w:rsidRPr="00DC132F">
        <w:rPr>
          <w:lang w:val="fr-FR"/>
        </w:rPr>
        <w:t xml:space="preserve"> à l</w:t>
      </w:r>
      <w:r>
        <w:rPr>
          <w:lang w:val="fr-FR"/>
        </w:rPr>
        <w:t>’</w:t>
      </w:r>
      <w:r w:rsidRPr="00DC132F">
        <w:rPr>
          <w:lang w:val="fr-FR"/>
        </w:rPr>
        <w:t>octroi de réparations, tandis que d</w:t>
      </w:r>
      <w:r>
        <w:rPr>
          <w:lang w:val="fr-FR"/>
        </w:rPr>
        <w:t>’</w:t>
      </w:r>
      <w:r w:rsidRPr="00DC132F">
        <w:rPr>
          <w:lang w:val="fr-FR"/>
        </w:rPr>
        <w:t xml:space="preserve">autres ont donné lieu à </w:t>
      </w:r>
      <w:r>
        <w:rPr>
          <w:lang w:val="fr-FR"/>
        </w:rPr>
        <w:t>la présentation d’</w:t>
      </w:r>
      <w:r w:rsidRPr="00DC132F">
        <w:rPr>
          <w:lang w:val="fr-FR"/>
        </w:rPr>
        <w:t xml:space="preserve">excuses officielles. À </w:t>
      </w:r>
      <w:r>
        <w:rPr>
          <w:lang w:val="fr-FR"/>
        </w:rPr>
        <w:t>des fins</w:t>
      </w:r>
      <w:r w:rsidRPr="00DC132F">
        <w:rPr>
          <w:lang w:val="fr-FR"/>
        </w:rPr>
        <w:t xml:space="preserve"> d</w:t>
      </w:r>
      <w:r>
        <w:rPr>
          <w:lang w:val="fr-FR"/>
        </w:rPr>
        <w:t>’</w:t>
      </w:r>
      <w:r w:rsidRPr="00DC132F">
        <w:rPr>
          <w:lang w:val="fr-FR"/>
        </w:rPr>
        <w:t>illustration, cette section rassemble des exemples d</w:t>
      </w:r>
      <w:r>
        <w:rPr>
          <w:lang w:val="fr-FR"/>
        </w:rPr>
        <w:t>’</w:t>
      </w:r>
      <w:r w:rsidRPr="00DC132F">
        <w:rPr>
          <w:lang w:val="fr-FR"/>
        </w:rPr>
        <w:t>initiatives de recherche de la vérité, de reconnaissance et de présentation d</w:t>
      </w:r>
      <w:r>
        <w:rPr>
          <w:lang w:val="fr-FR"/>
        </w:rPr>
        <w:t>’</w:t>
      </w:r>
      <w:r w:rsidRPr="00DC132F">
        <w:rPr>
          <w:lang w:val="fr-FR"/>
        </w:rPr>
        <w:t>excuses, de commémoration et, plus largement, d</w:t>
      </w:r>
      <w:r>
        <w:rPr>
          <w:lang w:val="fr-FR"/>
        </w:rPr>
        <w:t>’</w:t>
      </w:r>
      <w:r w:rsidRPr="00DC132F">
        <w:rPr>
          <w:lang w:val="fr-FR"/>
        </w:rPr>
        <w:t>autres mesures de réparation</w:t>
      </w:r>
      <w:r w:rsidRPr="00293268">
        <w:rPr>
          <w:lang w:val="fr-FR"/>
        </w:rPr>
        <w:t>.</w:t>
      </w:r>
    </w:p>
    <w:p w14:paraId="51129843" w14:textId="77777777" w:rsidR="00D301C6" w:rsidRPr="00293268" w:rsidRDefault="00D301C6" w:rsidP="00D301C6">
      <w:pPr>
        <w:pStyle w:val="H23G"/>
        <w:rPr>
          <w:lang w:val="fr-FR"/>
        </w:rPr>
      </w:pPr>
      <w:bookmarkStart w:id="1201" w:name="_Toc74141632"/>
      <w:bookmarkStart w:id="1202" w:name="_Toc72173967"/>
      <w:bookmarkStart w:id="1203" w:name="_Toc72174013"/>
      <w:bookmarkStart w:id="1204" w:name="_Toc72174058"/>
      <w:bookmarkStart w:id="1205" w:name="_Toc72174103"/>
      <w:bookmarkStart w:id="1206" w:name="_Toc72176392"/>
      <w:bookmarkStart w:id="1207" w:name="_Toc72215226"/>
      <w:bookmarkStart w:id="1208" w:name="_Toc63766558"/>
      <w:bookmarkStart w:id="1209" w:name="_Toc63941400"/>
      <w:bookmarkStart w:id="1210" w:name="_Toc64298296"/>
      <w:bookmarkStart w:id="1211" w:name="_Toc64373156"/>
      <w:bookmarkStart w:id="1212" w:name="_Toc64379818"/>
      <w:bookmarkStart w:id="1213" w:name="_Toc72335555"/>
      <w:bookmarkStart w:id="1214" w:name="_Toc74143648"/>
      <w:bookmarkStart w:id="1215" w:name="_Toc74170923"/>
      <w:bookmarkStart w:id="1216" w:name="_Toc74721040"/>
      <w:bookmarkStart w:id="1217" w:name="_Toc74923024"/>
      <w:bookmarkEnd w:id="1201"/>
      <w:bookmarkEnd w:id="1202"/>
      <w:bookmarkEnd w:id="1203"/>
      <w:bookmarkEnd w:id="1204"/>
      <w:bookmarkEnd w:id="1205"/>
      <w:bookmarkEnd w:id="1206"/>
      <w:bookmarkEnd w:id="1207"/>
      <w:r w:rsidRPr="00293268">
        <w:rPr>
          <w:lang w:val="fr-FR"/>
        </w:rPr>
        <w:tab/>
        <w:t>1</w:t>
      </w:r>
      <w:r>
        <w:rPr>
          <w:lang w:val="fr-FR"/>
        </w:rPr>
        <w:t>.</w:t>
      </w:r>
      <w:r w:rsidRPr="00293268">
        <w:rPr>
          <w:lang w:val="fr-FR"/>
        </w:rPr>
        <w:tab/>
      </w:r>
      <w:bookmarkEnd w:id="1208"/>
      <w:bookmarkEnd w:id="1209"/>
      <w:bookmarkEnd w:id="1210"/>
      <w:bookmarkEnd w:id="1211"/>
      <w:bookmarkEnd w:id="1212"/>
      <w:bookmarkEnd w:id="1213"/>
      <w:bookmarkEnd w:id="1214"/>
      <w:bookmarkEnd w:id="1215"/>
      <w:bookmarkEnd w:id="1216"/>
      <w:bookmarkEnd w:id="1217"/>
      <w:r w:rsidRPr="008F2479">
        <w:rPr>
          <w:lang w:val="fr-FR"/>
        </w:rPr>
        <w:t>Initiatives de recherche de la vérité</w:t>
      </w:r>
    </w:p>
    <w:p w14:paraId="516820D3" w14:textId="5E4940D1" w:rsidR="00D301C6" w:rsidRPr="00293268" w:rsidRDefault="00D301C6" w:rsidP="00D301C6">
      <w:pPr>
        <w:pStyle w:val="SingleTxtG"/>
        <w:rPr>
          <w:lang w:val="fr-FR"/>
        </w:rPr>
      </w:pPr>
      <w:r w:rsidRPr="00293268">
        <w:rPr>
          <w:lang w:val="fr-FR"/>
        </w:rPr>
        <w:t>253.</w:t>
      </w:r>
      <w:r w:rsidRPr="00293268">
        <w:rPr>
          <w:lang w:val="fr-FR"/>
        </w:rPr>
        <w:tab/>
      </w:r>
      <w:r w:rsidRPr="004A7A91">
        <w:rPr>
          <w:lang w:val="fr-FR"/>
        </w:rPr>
        <w:t xml:space="preserve">La vérification des faits et la diffusion publique et complète de la vérité constituent une forme de satisfaction permettant de réparer une partie du préjudice causé. En 2009, par exemple, le Parlement mauricien a créé une </w:t>
      </w:r>
      <w:r w:rsidR="007B2239">
        <w:rPr>
          <w:lang w:val="fr-FR"/>
        </w:rPr>
        <w:t>C</w:t>
      </w:r>
      <w:r w:rsidRPr="004A7A91">
        <w:rPr>
          <w:lang w:val="fr-FR"/>
        </w:rPr>
        <w:t>ommission Vérité et justice chargée de procéder à une évaluation des conséquences de l</w:t>
      </w:r>
      <w:r>
        <w:rPr>
          <w:lang w:val="fr-FR"/>
        </w:rPr>
        <w:t>’</w:t>
      </w:r>
      <w:r w:rsidRPr="004A7A91">
        <w:rPr>
          <w:lang w:val="fr-FR"/>
        </w:rPr>
        <w:t xml:space="preserve">esclavage et du travail </w:t>
      </w:r>
      <w:r w:rsidR="007B2239">
        <w:rPr>
          <w:lang w:val="fr-FR"/>
        </w:rPr>
        <w:t>« </w:t>
      </w:r>
      <w:r w:rsidRPr="004A7A91">
        <w:rPr>
          <w:lang w:val="fr-FR"/>
        </w:rPr>
        <w:t>sous contrat</w:t>
      </w:r>
      <w:r w:rsidR="007B2239">
        <w:rPr>
          <w:lang w:val="fr-FR"/>
        </w:rPr>
        <w:t> »</w:t>
      </w:r>
      <w:r w:rsidRPr="004A7A91">
        <w:rPr>
          <w:lang w:val="fr-FR"/>
        </w:rPr>
        <w:t xml:space="preserve"> pendant la période coloniale </w:t>
      </w:r>
      <w:r>
        <w:rPr>
          <w:lang w:val="fr-FR"/>
        </w:rPr>
        <w:t xml:space="preserve">et </w:t>
      </w:r>
      <w:r w:rsidRPr="004A7A91">
        <w:rPr>
          <w:lang w:val="fr-FR"/>
        </w:rPr>
        <w:t>jusqu</w:t>
      </w:r>
      <w:r>
        <w:rPr>
          <w:lang w:val="fr-FR"/>
        </w:rPr>
        <w:t>’</w:t>
      </w:r>
      <w:r w:rsidRPr="004A7A91">
        <w:rPr>
          <w:lang w:val="fr-FR"/>
        </w:rPr>
        <w:t>à aujourd</w:t>
      </w:r>
      <w:r>
        <w:rPr>
          <w:lang w:val="fr-FR"/>
        </w:rPr>
        <w:t>’</w:t>
      </w:r>
      <w:r w:rsidRPr="004A7A91">
        <w:rPr>
          <w:lang w:val="fr-FR"/>
        </w:rPr>
        <w:t>hui</w:t>
      </w:r>
      <w:r w:rsidRPr="00CD6B67">
        <w:rPr>
          <w:rStyle w:val="FootnoteReference"/>
        </w:rPr>
        <w:footnoteReference w:id="655"/>
      </w:r>
      <w:r>
        <w:rPr>
          <w:lang w:val="fr-FR"/>
        </w:rPr>
        <w:t>.</w:t>
      </w:r>
      <w:r w:rsidRPr="00293268">
        <w:rPr>
          <w:lang w:val="fr-FR"/>
        </w:rPr>
        <w:t xml:space="preserve"> </w:t>
      </w:r>
      <w:r w:rsidRPr="00FC1886">
        <w:rPr>
          <w:lang w:val="fr-FR"/>
        </w:rPr>
        <w:t>La Commission a formulé des recommandations sur le travail de mémoire, l</w:t>
      </w:r>
      <w:r>
        <w:rPr>
          <w:lang w:val="fr-FR"/>
        </w:rPr>
        <w:t>’</w:t>
      </w:r>
      <w:r w:rsidRPr="00FC1886">
        <w:rPr>
          <w:lang w:val="fr-FR"/>
        </w:rPr>
        <w:t>établissement de la vérité, l</w:t>
      </w:r>
      <w:r>
        <w:rPr>
          <w:lang w:val="fr-FR"/>
        </w:rPr>
        <w:t>’</w:t>
      </w:r>
      <w:r w:rsidRPr="00FC1886">
        <w:rPr>
          <w:lang w:val="fr-FR"/>
        </w:rPr>
        <w:t>autonomisation des Mauriciens d</w:t>
      </w:r>
      <w:r>
        <w:rPr>
          <w:lang w:val="fr-FR"/>
        </w:rPr>
        <w:t>’</w:t>
      </w:r>
      <w:r w:rsidRPr="00FC1886">
        <w:rPr>
          <w:lang w:val="fr-FR"/>
        </w:rPr>
        <w:t>ascendance africaine et malgache et la justice économique et sociale, notamment en ce qui concerne les questions foncières et l</w:t>
      </w:r>
      <w:r>
        <w:rPr>
          <w:lang w:val="fr-FR"/>
        </w:rPr>
        <w:t>’</w:t>
      </w:r>
      <w:r w:rsidRPr="00FC1886">
        <w:rPr>
          <w:lang w:val="fr-FR"/>
        </w:rPr>
        <w:t>environnement</w:t>
      </w:r>
      <w:r w:rsidRPr="00CD6B67">
        <w:rPr>
          <w:rStyle w:val="FootnoteReference"/>
        </w:rPr>
        <w:footnoteReference w:id="656"/>
      </w:r>
      <w:r>
        <w:rPr>
          <w:lang w:val="fr-FR"/>
        </w:rPr>
        <w:t>.</w:t>
      </w:r>
    </w:p>
    <w:p w14:paraId="22C01A5E" w14:textId="1C3D265A" w:rsidR="00D301C6" w:rsidRPr="00293268" w:rsidRDefault="00D301C6" w:rsidP="00D301C6">
      <w:pPr>
        <w:pStyle w:val="SingleTxtG"/>
        <w:rPr>
          <w:lang w:val="fr-FR"/>
        </w:rPr>
      </w:pPr>
      <w:r w:rsidRPr="00293268">
        <w:rPr>
          <w:lang w:val="fr-FR"/>
        </w:rPr>
        <w:t>254.</w:t>
      </w:r>
      <w:r w:rsidRPr="00293268">
        <w:rPr>
          <w:lang w:val="fr-FR"/>
        </w:rPr>
        <w:tab/>
      </w:r>
      <w:r w:rsidRPr="000C4D15">
        <w:rPr>
          <w:lang w:val="fr-FR"/>
        </w:rPr>
        <w:t xml:space="preserve">Aux États-Unis, le projet de loi </w:t>
      </w:r>
      <w:r>
        <w:rPr>
          <w:lang w:val="fr-FR"/>
        </w:rPr>
        <w:t xml:space="preserve">fédéral </w:t>
      </w:r>
      <w:r w:rsidRPr="000C4D15">
        <w:rPr>
          <w:lang w:val="fr-FR"/>
        </w:rPr>
        <w:t>HR</w:t>
      </w:r>
      <w:r w:rsidR="007B2239">
        <w:rPr>
          <w:lang w:val="fr-FR"/>
        </w:rPr>
        <w:t> </w:t>
      </w:r>
      <w:r w:rsidRPr="000C4D15">
        <w:rPr>
          <w:lang w:val="fr-FR"/>
        </w:rPr>
        <w:t>40 (faisant référence à la promesse non tenue de remettre 40</w:t>
      </w:r>
      <w:r w:rsidR="007B2239">
        <w:rPr>
          <w:lang w:val="fr-FR"/>
        </w:rPr>
        <w:t> </w:t>
      </w:r>
      <w:r w:rsidRPr="000C4D15">
        <w:rPr>
          <w:lang w:val="fr-FR"/>
        </w:rPr>
        <w:t xml:space="preserve">acres de terre et une mule aux anciens esclaves affranchis) </w:t>
      </w:r>
      <w:r>
        <w:rPr>
          <w:lang w:val="fr-FR"/>
        </w:rPr>
        <w:t>est</w:t>
      </w:r>
      <w:r w:rsidRPr="000C4D15">
        <w:rPr>
          <w:lang w:val="fr-FR"/>
        </w:rPr>
        <w:t xml:space="preserve"> présenté sous différentes formes chaque année depuis 1989. Il vise à créer une commission chargée d</w:t>
      </w:r>
      <w:r>
        <w:rPr>
          <w:lang w:val="fr-FR"/>
        </w:rPr>
        <w:t>’</w:t>
      </w:r>
      <w:r w:rsidRPr="000C4D15">
        <w:rPr>
          <w:lang w:val="fr-FR"/>
        </w:rPr>
        <w:t xml:space="preserve">étudier et </w:t>
      </w:r>
      <w:r>
        <w:rPr>
          <w:lang w:val="fr-FR"/>
        </w:rPr>
        <w:t xml:space="preserve">de formuler </w:t>
      </w:r>
      <w:r w:rsidRPr="000C4D15">
        <w:rPr>
          <w:lang w:val="fr-FR"/>
        </w:rPr>
        <w:t>des propositions de réparation pour les Afro-Américains et d</w:t>
      </w:r>
      <w:r>
        <w:rPr>
          <w:lang w:val="fr-FR"/>
        </w:rPr>
        <w:t>’</w:t>
      </w:r>
      <w:r w:rsidRPr="000C4D15">
        <w:rPr>
          <w:lang w:val="fr-FR"/>
        </w:rPr>
        <w:t>examiner l</w:t>
      </w:r>
      <w:r>
        <w:rPr>
          <w:lang w:val="fr-FR"/>
        </w:rPr>
        <w:t>’</w:t>
      </w:r>
      <w:r w:rsidRPr="000C4D15">
        <w:rPr>
          <w:lang w:val="fr-FR"/>
        </w:rPr>
        <w:t>esclavage et la discrimination dans les colonies et aux États-Unis depuis 1619</w:t>
      </w:r>
      <w:r>
        <w:rPr>
          <w:lang w:val="fr-FR"/>
        </w:rPr>
        <w:t>,</w:t>
      </w:r>
      <w:r w:rsidRPr="000C4D15">
        <w:rPr>
          <w:lang w:val="fr-FR"/>
        </w:rPr>
        <w:t xml:space="preserve"> et de recommander des réparations appropriées</w:t>
      </w:r>
      <w:r w:rsidRPr="00CD6B67">
        <w:rPr>
          <w:rStyle w:val="FootnoteReference"/>
        </w:rPr>
        <w:footnoteReference w:id="657"/>
      </w:r>
      <w:r>
        <w:rPr>
          <w:lang w:val="fr-FR"/>
        </w:rPr>
        <w:t>.</w:t>
      </w:r>
      <w:r w:rsidRPr="00293268">
        <w:rPr>
          <w:lang w:val="fr-FR"/>
        </w:rPr>
        <w:t xml:space="preserve"> </w:t>
      </w:r>
      <w:r w:rsidRPr="0017730E">
        <w:rPr>
          <w:lang w:val="fr-FR"/>
        </w:rPr>
        <w:t>Il cherche en outre à préciser 1)</w:t>
      </w:r>
      <w:r w:rsidR="007B2239">
        <w:rPr>
          <w:lang w:val="fr-FR"/>
        </w:rPr>
        <w:t> </w:t>
      </w:r>
      <w:r w:rsidRPr="0017730E">
        <w:rPr>
          <w:lang w:val="fr-FR"/>
        </w:rPr>
        <w:t>le rôle du Gouvernement fédéral et des gouvernements des États dans le soutien apporté à l</w:t>
      </w:r>
      <w:r>
        <w:rPr>
          <w:lang w:val="fr-FR"/>
        </w:rPr>
        <w:t>’</w:t>
      </w:r>
      <w:r w:rsidRPr="0017730E">
        <w:rPr>
          <w:lang w:val="fr-FR"/>
        </w:rPr>
        <w:t>institution de l</w:t>
      </w:r>
      <w:r>
        <w:rPr>
          <w:lang w:val="fr-FR"/>
        </w:rPr>
        <w:t>’</w:t>
      </w:r>
      <w:r w:rsidRPr="0017730E">
        <w:rPr>
          <w:lang w:val="fr-FR"/>
        </w:rPr>
        <w:t>esclavage, 2) les formes de discrimination dans les secteurs public et privé à l</w:t>
      </w:r>
      <w:r>
        <w:rPr>
          <w:lang w:val="fr-FR"/>
        </w:rPr>
        <w:t>’</w:t>
      </w:r>
      <w:r w:rsidRPr="0017730E">
        <w:rPr>
          <w:lang w:val="fr-FR"/>
        </w:rPr>
        <w:t>encontre des esclaves affranchis et de leurs descendants, et 3)</w:t>
      </w:r>
      <w:r w:rsidR="007B2239">
        <w:rPr>
          <w:lang w:val="fr-FR"/>
        </w:rPr>
        <w:t> </w:t>
      </w:r>
      <w:r w:rsidRPr="0017730E">
        <w:rPr>
          <w:lang w:val="fr-FR"/>
        </w:rPr>
        <w:t>les effets négatifs persistants de l</w:t>
      </w:r>
      <w:r>
        <w:rPr>
          <w:lang w:val="fr-FR"/>
        </w:rPr>
        <w:t>’</w:t>
      </w:r>
      <w:r w:rsidRPr="0017730E">
        <w:rPr>
          <w:lang w:val="fr-FR"/>
        </w:rPr>
        <w:t>esclavage sur les Afro-Américains d</w:t>
      </w:r>
      <w:r>
        <w:rPr>
          <w:lang w:val="fr-FR"/>
        </w:rPr>
        <w:t>’</w:t>
      </w:r>
      <w:r w:rsidRPr="0017730E">
        <w:rPr>
          <w:lang w:val="fr-FR"/>
        </w:rPr>
        <w:t>aujourd</w:t>
      </w:r>
      <w:r>
        <w:rPr>
          <w:lang w:val="fr-FR"/>
        </w:rPr>
        <w:t>’</w:t>
      </w:r>
      <w:r w:rsidRPr="0017730E">
        <w:rPr>
          <w:lang w:val="fr-FR"/>
        </w:rPr>
        <w:t xml:space="preserve">hui et </w:t>
      </w:r>
      <w:r>
        <w:rPr>
          <w:lang w:val="fr-FR"/>
        </w:rPr>
        <w:t xml:space="preserve">sur </w:t>
      </w:r>
      <w:r w:rsidRPr="0017730E">
        <w:rPr>
          <w:lang w:val="fr-FR"/>
        </w:rPr>
        <w:t>la société</w:t>
      </w:r>
      <w:r w:rsidRPr="00CD6B67">
        <w:rPr>
          <w:rStyle w:val="FootnoteReference"/>
        </w:rPr>
        <w:footnoteReference w:id="658"/>
      </w:r>
      <w:r>
        <w:rPr>
          <w:lang w:val="fr-FR"/>
        </w:rPr>
        <w:t>.</w:t>
      </w:r>
      <w:r w:rsidRPr="00293268">
        <w:rPr>
          <w:lang w:val="fr-FR"/>
        </w:rPr>
        <w:t xml:space="preserve"> </w:t>
      </w:r>
      <w:r>
        <w:rPr>
          <w:lang w:val="fr-FR"/>
        </w:rPr>
        <w:t>Pour la première fois en</w:t>
      </w:r>
      <w:r w:rsidRPr="00263B5B">
        <w:rPr>
          <w:lang w:val="fr-FR"/>
        </w:rPr>
        <w:t xml:space="preserve"> avril 2021, le projet </w:t>
      </w:r>
      <w:r>
        <w:rPr>
          <w:lang w:val="fr-FR"/>
        </w:rPr>
        <w:t xml:space="preserve">de loi </w:t>
      </w:r>
      <w:r w:rsidRPr="00263B5B">
        <w:rPr>
          <w:lang w:val="fr-FR"/>
        </w:rPr>
        <w:t>HR</w:t>
      </w:r>
      <w:r w:rsidR="009523EE">
        <w:rPr>
          <w:lang w:val="fr-FR"/>
        </w:rPr>
        <w:t> </w:t>
      </w:r>
      <w:r w:rsidRPr="00263B5B">
        <w:rPr>
          <w:lang w:val="fr-FR"/>
        </w:rPr>
        <w:t>40 a été soumis à l</w:t>
      </w:r>
      <w:r>
        <w:rPr>
          <w:lang w:val="fr-FR"/>
        </w:rPr>
        <w:t>’</w:t>
      </w:r>
      <w:r w:rsidRPr="00263B5B">
        <w:rPr>
          <w:lang w:val="fr-FR"/>
        </w:rPr>
        <w:t>examen de la Chambre des représentants</w:t>
      </w:r>
      <w:r w:rsidRPr="00CD6B67">
        <w:rPr>
          <w:rStyle w:val="FootnoteReference"/>
        </w:rPr>
        <w:footnoteReference w:id="659"/>
      </w:r>
      <w:r w:rsidRPr="009523EE">
        <w:rPr>
          <w:rStyle w:val="FootnoteReference"/>
          <w:sz w:val="20"/>
          <w:vertAlign w:val="baseline"/>
        </w:rPr>
        <w:t>.</w:t>
      </w:r>
      <w:r w:rsidRPr="00293268">
        <w:rPr>
          <w:lang w:val="fr-FR"/>
        </w:rPr>
        <w:t xml:space="preserve"> </w:t>
      </w:r>
      <w:r w:rsidRPr="00400852">
        <w:rPr>
          <w:lang w:val="fr-FR"/>
        </w:rPr>
        <w:t>En 2020, un projet de résolution distinct a été déposé devant la Chambre des représentants en vue de la création d</w:t>
      </w:r>
      <w:r>
        <w:rPr>
          <w:lang w:val="fr-FR"/>
        </w:rPr>
        <w:t>’</w:t>
      </w:r>
      <w:r w:rsidRPr="00400852">
        <w:rPr>
          <w:lang w:val="fr-FR"/>
        </w:rPr>
        <w:t xml:space="preserve">une </w:t>
      </w:r>
      <w:r>
        <w:rPr>
          <w:lang w:val="fr-FR"/>
        </w:rPr>
        <w:t>c</w:t>
      </w:r>
      <w:r w:rsidRPr="00400852">
        <w:rPr>
          <w:lang w:val="fr-FR"/>
        </w:rPr>
        <w:t>ommission pour la vérité, l</w:t>
      </w:r>
      <w:r>
        <w:rPr>
          <w:lang w:val="fr-FR"/>
        </w:rPr>
        <w:t>’</w:t>
      </w:r>
      <w:r w:rsidRPr="00400852">
        <w:rPr>
          <w:lang w:val="fr-FR"/>
        </w:rPr>
        <w:t>apaisement des tensions raciales et la transformation afin de reconnaître, commémorer et catalyser les progrès, notamment en vue d</w:t>
      </w:r>
      <w:r>
        <w:rPr>
          <w:lang w:val="fr-FR"/>
        </w:rPr>
        <w:t>’</w:t>
      </w:r>
      <w:r w:rsidRPr="00400852">
        <w:rPr>
          <w:lang w:val="fr-FR"/>
        </w:rPr>
        <w:t>éliminer définitivement les inégalités raciales persistantes</w:t>
      </w:r>
      <w:r w:rsidRPr="00CD6B67">
        <w:rPr>
          <w:rStyle w:val="FootnoteReference"/>
        </w:rPr>
        <w:footnoteReference w:id="660"/>
      </w:r>
      <w:r>
        <w:rPr>
          <w:lang w:val="fr-FR"/>
        </w:rPr>
        <w:t>.</w:t>
      </w:r>
      <w:r w:rsidRPr="00293268">
        <w:rPr>
          <w:lang w:val="fr-FR"/>
        </w:rPr>
        <w:t xml:space="preserve"> </w:t>
      </w:r>
      <w:r w:rsidRPr="006A4292">
        <w:rPr>
          <w:lang w:val="fr-FR"/>
        </w:rPr>
        <w:t xml:space="preserve">Parmi les initiatives les plus récentes en matière de recherche de la vérité, </w:t>
      </w:r>
      <w:r>
        <w:rPr>
          <w:lang w:val="fr-FR"/>
        </w:rPr>
        <w:t>il convient de citer</w:t>
      </w:r>
      <w:r w:rsidRPr="006A4292">
        <w:rPr>
          <w:lang w:val="fr-FR"/>
        </w:rPr>
        <w:t xml:space="preserve"> la Commission Vérité et réconciliation sur le lynchage</w:t>
      </w:r>
      <w:r w:rsidRPr="00813782">
        <w:rPr>
          <w:lang w:val="fr-FR"/>
        </w:rPr>
        <w:t xml:space="preserve"> </w:t>
      </w:r>
      <w:r w:rsidRPr="005471C3">
        <w:rPr>
          <w:lang w:val="fr-FR"/>
        </w:rPr>
        <w:t>du Maryland</w:t>
      </w:r>
      <w:r>
        <w:rPr>
          <w:lang w:val="fr-FR"/>
        </w:rPr>
        <w:t xml:space="preserve"> </w:t>
      </w:r>
      <w:r w:rsidR="00F06D91">
        <w:rPr>
          <w:lang w:val="fr-FR"/>
        </w:rPr>
        <w:t>− </w:t>
      </w:r>
      <w:r w:rsidRPr="006A4292">
        <w:rPr>
          <w:lang w:val="fr-FR"/>
        </w:rPr>
        <w:t>la première du genre aux États-Unis</w:t>
      </w:r>
      <w:r w:rsidR="00F06D91">
        <w:rPr>
          <w:lang w:val="fr-FR"/>
        </w:rPr>
        <w:t> −</w:t>
      </w:r>
      <w:r w:rsidRPr="006A4292">
        <w:rPr>
          <w:lang w:val="fr-FR"/>
        </w:rPr>
        <w:t xml:space="preserve"> qui est </w:t>
      </w:r>
      <w:r>
        <w:rPr>
          <w:lang w:val="fr-FR"/>
        </w:rPr>
        <w:t>habilitée</w:t>
      </w:r>
      <w:r w:rsidRPr="006A4292">
        <w:rPr>
          <w:lang w:val="fr-FR"/>
        </w:rPr>
        <w:t xml:space="preserve"> à effectuer des </w:t>
      </w:r>
      <w:r>
        <w:rPr>
          <w:lang w:val="fr-FR"/>
        </w:rPr>
        <w:t>études</w:t>
      </w:r>
      <w:r w:rsidRPr="006A4292">
        <w:rPr>
          <w:lang w:val="fr-FR"/>
        </w:rPr>
        <w:t xml:space="preserve"> sur 42 lynchages</w:t>
      </w:r>
      <w:r>
        <w:rPr>
          <w:lang w:val="fr-FR"/>
        </w:rPr>
        <w:t xml:space="preserve"> avérés </w:t>
      </w:r>
      <w:r w:rsidRPr="006A4292">
        <w:rPr>
          <w:lang w:val="fr-FR"/>
        </w:rPr>
        <w:t>à caractère raciste et à organiser des réunions publiques et des audiences régionales là où le lynchage d</w:t>
      </w:r>
      <w:r>
        <w:rPr>
          <w:lang w:val="fr-FR"/>
        </w:rPr>
        <w:t>’</w:t>
      </w:r>
      <w:r w:rsidRPr="006A4292">
        <w:rPr>
          <w:lang w:val="fr-FR"/>
        </w:rPr>
        <w:t>un Afro-Américain par une foule blanche a été documenté</w:t>
      </w:r>
      <w:r w:rsidRPr="00CD6B67">
        <w:rPr>
          <w:rStyle w:val="FootnoteReference"/>
        </w:rPr>
        <w:footnoteReference w:id="661"/>
      </w:r>
      <w:r>
        <w:rPr>
          <w:lang w:val="fr-FR"/>
        </w:rPr>
        <w:t>.</w:t>
      </w:r>
      <w:r w:rsidRPr="00293268">
        <w:rPr>
          <w:lang w:val="fr-FR"/>
        </w:rPr>
        <w:t xml:space="preserve"> </w:t>
      </w:r>
      <w:r>
        <w:rPr>
          <w:lang w:val="fr-FR"/>
        </w:rPr>
        <w:t>D</w:t>
      </w:r>
      <w:r w:rsidRPr="004E4830">
        <w:rPr>
          <w:lang w:val="fr-FR"/>
        </w:rPr>
        <w:t xml:space="preserve">es cartographies </w:t>
      </w:r>
      <w:r>
        <w:rPr>
          <w:lang w:val="fr-FR"/>
        </w:rPr>
        <w:t>ont également été réalisées</w:t>
      </w:r>
      <w:r w:rsidRPr="004E4830">
        <w:rPr>
          <w:lang w:val="fr-FR"/>
        </w:rPr>
        <w:t xml:space="preserve"> par </w:t>
      </w:r>
      <w:r>
        <w:rPr>
          <w:lang w:val="fr-FR"/>
        </w:rPr>
        <w:t>d</w:t>
      </w:r>
      <w:r w:rsidRPr="004E4830">
        <w:rPr>
          <w:lang w:val="fr-FR"/>
        </w:rPr>
        <w:t>es universités sur leurs liens historiques avec l</w:t>
      </w:r>
      <w:r>
        <w:rPr>
          <w:lang w:val="fr-FR"/>
        </w:rPr>
        <w:t>’</w:t>
      </w:r>
      <w:r w:rsidRPr="004E4830">
        <w:rPr>
          <w:lang w:val="fr-FR"/>
        </w:rPr>
        <w:t xml:space="preserve">esclavage, comme les universités de </w:t>
      </w:r>
      <w:r w:rsidRPr="00293268">
        <w:rPr>
          <w:lang w:val="fr-FR"/>
        </w:rPr>
        <w:t>Columbia</w:t>
      </w:r>
      <w:r w:rsidRPr="00CD6B67">
        <w:rPr>
          <w:rStyle w:val="FootnoteReference"/>
        </w:rPr>
        <w:footnoteReference w:id="662"/>
      </w:r>
      <w:r w:rsidRPr="00293268">
        <w:rPr>
          <w:lang w:val="fr-FR"/>
        </w:rPr>
        <w:t xml:space="preserve"> </w:t>
      </w:r>
      <w:r>
        <w:rPr>
          <w:lang w:val="fr-FR"/>
        </w:rPr>
        <w:t>et</w:t>
      </w:r>
      <w:r w:rsidRPr="00293268">
        <w:rPr>
          <w:lang w:val="fr-FR"/>
        </w:rPr>
        <w:t xml:space="preserve"> Harvard</w:t>
      </w:r>
      <w:r w:rsidRPr="00CD6B67">
        <w:rPr>
          <w:rStyle w:val="FootnoteReference"/>
        </w:rPr>
        <w:footnoteReference w:id="663"/>
      </w:r>
      <w:r w:rsidR="00F06D91" w:rsidRPr="00293268">
        <w:rPr>
          <w:lang w:val="fr-FR"/>
        </w:rPr>
        <w:t>,</w:t>
      </w:r>
      <w:r w:rsidRPr="00293268">
        <w:rPr>
          <w:lang w:val="fr-FR"/>
        </w:rPr>
        <w:t xml:space="preserve"> </w:t>
      </w:r>
      <w:r w:rsidRPr="007D55EF">
        <w:rPr>
          <w:lang w:val="fr-FR"/>
        </w:rPr>
        <w:t>menant parfois à des réparations (voir ci</w:t>
      </w:r>
      <w:r w:rsidR="00317C7C">
        <w:rPr>
          <w:lang w:val="fr-FR"/>
        </w:rPr>
        <w:noBreakHyphen/>
      </w:r>
      <w:r w:rsidRPr="007D55EF">
        <w:rPr>
          <w:lang w:val="fr-FR"/>
        </w:rPr>
        <w:t>dessous</w:t>
      </w:r>
      <w:r w:rsidRPr="00293268">
        <w:rPr>
          <w:lang w:val="fr-FR"/>
        </w:rPr>
        <w:t>).</w:t>
      </w:r>
    </w:p>
    <w:p w14:paraId="3EC04836" w14:textId="036E3CA6" w:rsidR="00D301C6" w:rsidRPr="00293268" w:rsidRDefault="00D301C6" w:rsidP="00D301C6">
      <w:pPr>
        <w:pStyle w:val="SingleTxtG"/>
        <w:rPr>
          <w:lang w:val="fr-FR"/>
        </w:rPr>
      </w:pPr>
      <w:r w:rsidRPr="00293268">
        <w:rPr>
          <w:lang w:val="fr-FR"/>
        </w:rPr>
        <w:t>255.</w:t>
      </w:r>
      <w:r w:rsidRPr="00293268">
        <w:rPr>
          <w:lang w:val="fr-FR"/>
        </w:rPr>
        <w:tab/>
      </w:r>
      <w:r w:rsidRPr="006D7086">
        <w:rPr>
          <w:lang w:val="fr-FR"/>
        </w:rPr>
        <w:t>En Colombie, la Commission Vérité et réconciliation a organisé</w:t>
      </w:r>
      <w:r>
        <w:rPr>
          <w:lang w:val="fr-FR"/>
        </w:rPr>
        <w:t>,</w:t>
      </w:r>
      <w:r w:rsidRPr="006D7086">
        <w:rPr>
          <w:lang w:val="fr-FR"/>
        </w:rPr>
        <w:t xml:space="preserve"> en 2020</w:t>
      </w:r>
      <w:r>
        <w:rPr>
          <w:lang w:val="fr-FR"/>
        </w:rPr>
        <w:t>,</w:t>
      </w:r>
      <w:r w:rsidRPr="006D7086">
        <w:rPr>
          <w:lang w:val="fr-FR"/>
        </w:rPr>
        <w:t xml:space="preserve"> des réunions sur les conséquences du conflit armé sur les personnes d</w:t>
      </w:r>
      <w:r>
        <w:rPr>
          <w:lang w:val="fr-FR"/>
        </w:rPr>
        <w:t>’</w:t>
      </w:r>
      <w:r w:rsidRPr="006D7086">
        <w:rPr>
          <w:lang w:val="fr-FR"/>
        </w:rPr>
        <w:t>ascendance africaine, ce qui a permis aux individus responsables de reconnaître les préjudices qu</w:t>
      </w:r>
      <w:r>
        <w:rPr>
          <w:lang w:val="fr-FR"/>
        </w:rPr>
        <w:t>’</w:t>
      </w:r>
      <w:r w:rsidRPr="006D7086">
        <w:rPr>
          <w:lang w:val="fr-FR"/>
        </w:rPr>
        <w:t>ils ont causés</w:t>
      </w:r>
      <w:r w:rsidRPr="00CD6B67">
        <w:rPr>
          <w:rStyle w:val="FootnoteReference"/>
        </w:rPr>
        <w:footnoteReference w:id="664"/>
      </w:r>
      <w:r>
        <w:rPr>
          <w:lang w:val="fr-FR"/>
        </w:rPr>
        <w:t>.</w:t>
      </w:r>
      <w:r w:rsidRPr="00293268">
        <w:rPr>
          <w:lang w:val="fr-FR"/>
        </w:rPr>
        <w:t xml:space="preserve"> </w:t>
      </w:r>
      <w:r w:rsidRPr="002B6301">
        <w:rPr>
          <w:lang w:val="fr-FR"/>
        </w:rPr>
        <w:t>Si</w:t>
      </w:r>
      <w:r w:rsidR="00317C7C">
        <w:rPr>
          <w:lang w:val="fr-FR"/>
        </w:rPr>
        <w:t> </w:t>
      </w:r>
      <w:r w:rsidRPr="002B6301">
        <w:rPr>
          <w:lang w:val="fr-FR"/>
        </w:rPr>
        <w:t>ces échanges ont principalement portés sur le conflit armé interne, ils ont également permis d</w:t>
      </w:r>
      <w:r>
        <w:rPr>
          <w:lang w:val="fr-FR"/>
        </w:rPr>
        <w:t>’</w:t>
      </w:r>
      <w:r w:rsidRPr="002B6301">
        <w:rPr>
          <w:lang w:val="fr-FR"/>
        </w:rPr>
        <w:t>évoquer l</w:t>
      </w:r>
      <w:r>
        <w:rPr>
          <w:lang w:val="fr-FR"/>
        </w:rPr>
        <w:t>’</w:t>
      </w:r>
      <w:r w:rsidRPr="002B6301">
        <w:rPr>
          <w:lang w:val="fr-FR"/>
        </w:rPr>
        <w:t>esclavage, la traite des esclaves et le colonialisme, dont les conséquences durables ont été intensifiées par le conflit, creusant les inégalités et exclusions qui existaient déjà. Ces réunions ont également cherché à mettre en lumière la résilience des personnes d</w:t>
      </w:r>
      <w:r>
        <w:rPr>
          <w:lang w:val="fr-FR"/>
        </w:rPr>
        <w:t>’</w:t>
      </w:r>
      <w:r w:rsidRPr="002B6301">
        <w:rPr>
          <w:lang w:val="fr-FR"/>
        </w:rPr>
        <w:t xml:space="preserve">ascendance africaine </w:t>
      </w:r>
      <w:r w:rsidRPr="00623C26">
        <w:rPr>
          <w:lang w:val="fr-FR"/>
        </w:rPr>
        <w:t>et l</w:t>
      </w:r>
      <w:r>
        <w:rPr>
          <w:lang w:val="fr-FR"/>
        </w:rPr>
        <w:t>eur</w:t>
      </w:r>
      <w:r w:rsidRPr="00623C26">
        <w:rPr>
          <w:lang w:val="fr-FR"/>
        </w:rPr>
        <w:t xml:space="preserve"> contribution </w:t>
      </w:r>
      <w:r w:rsidRPr="002B6301">
        <w:rPr>
          <w:lang w:val="fr-FR"/>
        </w:rPr>
        <w:t xml:space="preserve">à la construction de la paix, et à </w:t>
      </w:r>
      <w:r>
        <w:rPr>
          <w:lang w:val="fr-FR"/>
        </w:rPr>
        <w:t>formuler</w:t>
      </w:r>
      <w:r w:rsidRPr="002B6301">
        <w:rPr>
          <w:lang w:val="fr-FR"/>
        </w:rPr>
        <w:t xml:space="preserve"> des recommandations pour éviter </w:t>
      </w:r>
      <w:r>
        <w:rPr>
          <w:lang w:val="fr-FR"/>
        </w:rPr>
        <w:t>que les choses ne se reproduisent</w:t>
      </w:r>
      <w:r w:rsidRPr="00293268">
        <w:rPr>
          <w:lang w:val="fr-FR"/>
        </w:rPr>
        <w:t>.</w:t>
      </w:r>
    </w:p>
    <w:p w14:paraId="719F2511" w14:textId="6C7B619E" w:rsidR="00D301C6" w:rsidRPr="00293268" w:rsidRDefault="00D301C6" w:rsidP="00D301C6">
      <w:pPr>
        <w:pStyle w:val="SingleTxtG"/>
        <w:rPr>
          <w:lang w:val="fr-FR"/>
        </w:rPr>
      </w:pPr>
      <w:r w:rsidRPr="00293268">
        <w:rPr>
          <w:lang w:val="fr-FR"/>
        </w:rPr>
        <w:t>256.</w:t>
      </w:r>
      <w:r w:rsidRPr="00293268">
        <w:rPr>
          <w:lang w:val="fr-FR"/>
        </w:rPr>
        <w:tab/>
      </w:r>
      <w:r w:rsidRPr="00477E65">
        <w:rPr>
          <w:lang w:val="fr-FR"/>
        </w:rPr>
        <w:t xml:space="preserve">En Belgique, une commission parlementaire a été </w:t>
      </w:r>
      <w:r>
        <w:rPr>
          <w:lang w:val="fr-FR"/>
        </w:rPr>
        <w:t xml:space="preserve">établie </w:t>
      </w:r>
      <w:r w:rsidRPr="00477E65">
        <w:rPr>
          <w:lang w:val="fr-FR"/>
        </w:rPr>
        <w:t>en 2020 pour faire la lumière sur le passé colonial de la Belgique en République démocratique du Congo, au Burundi et au Rwanda et en tirer des leçons pour l</w:t>
      </w:r>
      <w:r>
        <w:rPr>
          <w:lang w:val="fr-FR"/>
        </w:rPr>
        <w:t>’</w:t>
      </w:r>
      <w:r w:rsidRPr="00477E65">
        <w:rPr>
          <w:lang w:val="fr-FR"/>
        </w:rPr>
        <w:t>avenir</w:t>
      </w:r>
      <w:r w:rsidRPr="00293268">
        <w:rPr>
          <w:lang w:val="fr-FR"/>
        </w:rPr>
        <w:t xml:space="preserve">. </w:t>
      </w:r>
      <w:r>
        <w:rPr>
          <w:lang w:val="fr-FR"/>
        </w:rPr>
        <w:t>Cette commission doit examiner le rôle que l’État, ses autorités et diverses institutions (en particulier l’Église et la Monarchie) ont joué</w:t>
      </w:r>
      <w:r w:rsidR="006221B2">
        <w:rPr>
          <w:lang w:val="fr-FR"/>
        </w:rPr>
        <w:t> </w:t>
      </w:r>
      <w:r>
        <w:rPr>
          <w:lang w:val="fr-FR"/>
        </w:rPr>
        <w:t xml:space="preserve">dans </w:t>
      </w:r>
      <w:r w:rsidR="00AA3CDE">
        <w:rPr>
          <w:lang w:val="fr-FR"/>
        </w:rPr>
        <w:t>c</w:t>
      </w:r>
      <w:r>
        <w:rPr>
          <w:lang w:val="fr-FR"/>
        </w:rPr>
        <w:t>es pays, d’évaluer ses effets structurels et de mener des enquêtes sur les conséquences économiques du colonialisme et, en particulier, sur ceux qui en ont bénéficié</w:t>
      </w:r>
      <w:r w:rsidRPr="00293268">
        <w:rPr>
          <w:lang w:val="fr-FR"/>
        </w:rPr>
        <w:t xml:space="preserve">. </w:t>
      </w:r>
      <w:r w:rsidRPr="001F2326">
        <w:rPr>
          <w:lang w:val="fr-FR"/>
        </w:rPr>
        <w:t xml:space="preserve">Elle formulera également des recommandations sur la manière </w:t>
      </w:r>
      <w:r>
        <w:rPr>
          <w:lang w:val="fr-FR"/>
        </w:rPr>
        <w:t>de traiter l</w:t>
      </w:r>
      <w:r w:rsidRPr="001F2326">
        <w:rPr>
          <w:lang w:val="fr-FR"/>
        </w:rPr>
        <w:t xml:space="preserve">es problèmes du passé et fera des propositions de réconciliation </w:t>
      </w:r>
      <w:r w:rsidR="00AA3CDE">
        <w:rPr>
          <w:lang w:val="fr-FR"/>
        </w:rPr>
        <w:t>− </w:t>
      </w:r>
      <w:r w:rsidRPr="001F2326">
        <w:rPr>
          <w:lang w:val="fr-FR"/>
        </w:rPr>
        <w:t xml:space="preserve">à des fins de </w:t>
      </w:r>
      <w:r>
        <w:rPr>
          <w:lang w:val="fr-FR"/>
        </w:rPr>
        <w:t>mémorialisation</w:t>
      </w:r>
      <w:r w:rsidRPr="001F2326">
        <w:rPr>
          <w:lang w:val="fr-FR"/>
        </w:rPr>
        <w:t xml:space="preserve"> et d</w:t>
      </w:r>
      <w:r>
        <w:rPr>
          <w:lang w:val="fr-FR"/>
        </w:rPr>
        <w:t>’</w:t>
      </w:r>
      <w:r w:rsidRPr="001F2326">
        <w:rPr>
          <w:lang w:val="fr-FR"/>
        </w:rPr>
        <w:t>accès aux archives</w:t>
      </w:r>
      <w:r w:rsidRPr="00CD6B67">
        <w:rPr>
          <w:rStyle w:val="FootnoteReference"/>
        </w:rPr>
        <w:footnoteReference w:id="665"/>
      </w:r>
      <w:r w:rsidRPr="00AA3CDE">
        <w:rPr>
          <w:rStyle w:val="FootnoteReference"/>
          <w:sz w:val="20"/>
          <w:vertAlign w:val="baseline"/>
        </w:rPr>
        <w:t>.</w:t>
      </w:r>
      <w:r w:rsidRPr="00293268">
        <w:rPr>
          <w:lang w:val="fr-FR"/>
        </w:rPr>
        <w:t xml:space="preserve"> </w:t>
      </w:r>
      <w:r w:rsidRPr="008A4ACA">
        <w:rPr>
          <w:lang w:val="fr-FR"/>
        </w:rPr>
        <w:t>En</w:t>
      </w:r>
      <w:r w:rsidR="00AA3CDE">
        <w:rPr>
          <w:lang w:val="fr-FR"/>
        </w:rPr>
        <w:t> </w:t>
      </w:r>
      <w:r w:rsidRPr="008A4ACA">
        <w:rPr>
          <w:lang w:val="fr-FR"/>
        </w:rPr>
        <w:t>outre, après la dégradation des statues du roi Léopold</w:t>
      </w:r>
      <w:r w:rsidR="00865D95">
        <w:rPr>
          <w:lang w:val="fr-FR"/>
        </w:rPr>
        <w:t> </w:t>
      </w:r>
      <w:r w:rsidRPr="008A4ACA">
        <w:rPr>
          <w:lang w:val="fr-FR"/>
        </w:rPr>
        <w:t>II (qui a régné sur la région du bassin du Congo de 1885 à 1908)</w:t>
      </w:r>
      <w:r w:rsidRPr="00CD6B67">
        <w:rPr>
          <w:rStyle w:val="FootnoteReference"/>
        </w:rPr>
        <w:footnoteReference w:id="666"/>
      </w:r>
      <w:r w:rsidRPr="00293268">
        <w:rPr>
          <w:lang w:val="fr-FR"/>
        </w:rPr>
        <w:t xml:space="preserve"> </w:t>
      </w:r>
      <w:r w:rsidRPr="00D46183">
        <w:rPr>
          <w:lang w:val="fr-FR"/>
        </w:rPr>
        <w:t>lors de manifestations antiracistes</w:t>
      </w:r>
      <w:r w:rsidRPr="00CD6B67">
        <w:rPr>
          <w:rStyle w:val="FootnoteReference"/>
        </w:rPr>
        <w:footnoteReference w:id="667"/>
      </w:r>
      <w:r>
        <w:rPr>
          <w:lang w:val="fr-FR"/>
        </w:rPr>
        <w:t>,</w:t>
      </w:r>
      <w:r w:rsidRPr="00293268">
        <w:rPr>
          <w:lang w:val="fr-FR"/>
        </w:rPr>
        <w:t xml:space="preserve"> </w:t>
      </w:r>
      <w:r w:rsidRPr="001E4D3A">
        <w:rPr>
          <w:lang w:val="fr-FR"/>
        </w:rPr>
        <w:t>le directeur du Musée royal d</w:t>
      </w:r>
      <w:r>
        <w:rPr>
          <w:lang w:val="fr-FR"/>
        </w:rPr>
        <w:t>’</w:t>
      </w:r>
      <w:r w:rsidRPr="001E4D3A">
        <w:rPr>
          <w:lang w:val="fr-FR"/>
        </w:rPr>
        <w:t>Afrique centrale a fait part de son intention de jeter un autre regard sur le colonialisme et de proposer une r</w:t>
      </w:r>
      <w:r>
        <w:rPr>
          <w:lang w:val="fr-FR"/>
        </w:rPr>
        <w:t>electure</w:t>
      </w:r>
      <w:r w:rsidRPr="001E4D3A">
        <w:rPr>
          <w:lang w:val="fr-FR"/>
        </w:rPr>
        <w:t xml:space="preserve"> contemporaine d</w:t>
      </w:r>
      <w:r>
        <w:rPr>
          <w:lang w:val="fr-FR"/>
        </w:rPr>
        <w:t>’</w:t>
      </w:r>
      <w:r w:rsidRPr="001E4D3A">
        <w:rPr>
          <w:lang w:val="fr-FR"/>
        </w:rPr>
        <w:t>un passé entaché d</w:t>
      </w:r>
      <w:r>
        <w:rPr>
          <w:lang w:val="fr-FR"/>
        </w:rPr>
        <w:t>’</w:t>
      </w:r>
      <w:r w:rsidRPr="001E4D3A">
        <w:rPr>
          <w:lang w:val="fr-FR"/>
        </w:rPr>
        <w:t>erreurs</w:t>
      </w:r>
      <w:r w:rsidRPr="00CD6B67">
        <w:rPr>
          <w:rStyle w:val="FootnoteReference"/>
        </w:rPr>
        <w:footnoteReference w:id="668"/>
      </w:r>
      <w:r>
        <w:rPr>
          <w:lang w:val="fr-FR"/>
        </w:rPr>
        <w:t>.</w:t>
      </w:r>
    </w:p>
    <w:p w14:paraId="015DFB22" w14:textId="4B261BD2" w:rsidR="00D301C6" w:rsidRPr="00293268" w:rsidRDefault="00D301C6" w:rsidP="00D301C6">
      <w:pPr>
        <w:pStyle w:val="SingleTxtG"/>
        <w:rPr>
          <w:lang w:val="fr-FR"/>
        </w:rPr>
      </w:pPr>
      <w:r w:rsidRPr="00293268">
        <w:rPr>
          <w:lang w:val="fr-FR"/>
        </w:rPr>
        <w:t>257.</w:t>
      </w:r>
      <w:r w:rsidRPr="00293268">
        <w:rPr>
          <w:lang w:val="fr-FR"/>
        </w:rPr>
        <w:tab/>
      </w:r>
      <w:r w:rsidRPr="003F5C2F">
        <w:rPr>
          <w:lang w:val="fr-FR"/>
        </w:rPr>
        <w:t xml:space="preserve">Lors de la commémoration annuelle </w:t>
      </w:r>
      <w:r>
        <w:rPr>
          <w:lang w:val="fr-FR"/>
        </w:rPr>
        <w:t>de l’abolition</w:t>
      </w:r>
      <w:r w:rsidRPr="003F5C2F">
        <w:rPr>
          <w:lang w:val="fr-FR"/>
        </w:rPr>
        <w:t xml:space="preserve"> de l</w:t>
      </w:r>
      <w:r>
        <w:rPr>
          <w:lang w:val="fr-FR"/>
        </w:rPr>
        <w:t>’</w:t>
      </w:r>
      <w:r w:rsidRPr="003F5C2F">
        <w:rPr>
          <w:lang w:val="fr-FR"/>
        </w:rPr>
        <w:t>esclavage en juillet 2020, les Pays</w:t>
      </w:r>
      <w:r w:rsidR="00865D95">
        <w:rPr>
          <w:lang w:val="fr-FR"/>
        </w:rPr>
        <w:noBreakHyphen/>
      </w:r>
      <w:r w:rsidRPr="003F5C2F">
        <w:rPr>
          <w:lang w:val="fr-FR"/>
        </w:rPr>
        <w:t>Bas ont annoncé qu</w:t>
      </w:r>
      <w:r>
        <w:rPr>
          <w:lang w:val="fr-FR"/>
        </w:rPr>
        <w:t>’</w:t>
      </w:r>
      <w:r w:rsidRPr="003F5C2F">
        <w:rPr>
          <w:lang w:val="fr-FR"/>
        </w:rPr>
        <w:t>ils prévoyaient d</w:t>
      </w:r>
      <w:r>
        <w:rPr>
          <w:lang w:val="fr-FR"/>
        </w:rPr>
        <w:t>’</w:t>
      </w:r>
      <w:r w:rsidRPr="003F5C2F">
        <w:rPr>
          <w:lang w:val="fr-FR"/>
        </w:rPr>
        <w:t>organiser un débat national sur les liens historiques du pays avec l</w:t>
      </w:r>
      <w:r>
        <w:rPr>
          <w:lang w:val="fr-FR"/>
        </w:rPr>
        <w:t>’</w:t>
      </w:r>
      <w:r w:rsidRPr="003F5C2F">
        <w:rPr>
          <w:lang w:val="fr-FR"/>
        </w:rPr>
        <w:t xml:space="preserve">esclavage et la manière </w:t>
      </w:r>
      <w:r w:rsidR="00865D95">
        <w:rPr>
          <w:lang w:val="fr-FR"/>
        </w:rPr>
        <w:t>« </w:t>
      </w:r>
      <w:r w:rsidRPr="003F5C2F">
        <w:rPr>
          <w:lang w:val="fr-FR"/>
        </w:rPr>
        <w:t>dont l</w:t>
      </w:r>
      <w:r>
        <w:rPr>
          <w:lang w:val="fr-FR"/>
        </w:rPr>
        <w:t>’</w:t>
      </w:r>
      <w:r w:rsidRPr="003F5C2F">
        <w:rPr>
          <w:lang w:val="fr-FR"/>
        </w:rPr>
        <w:t>histoire de l</w:t>
      </w:r>
      <w:r>
        <w:rPr>
          <w:lang w:val="fr-FR"/>
        </w:rPr>
        <w:t>’</w:t>
      </w:r>
      <w:r w:rsidRPr="003F5C2F">
        <w:rPr>
          <w:lang w:val="fr-FR"/>
        </w:rPr>
        <w:t xml:space="preserve">esclavage influence encore </w:t>
      </w:r>
      <w:r>
        <w:rPr>
          <w:lang w:val="fr-FR"/>
        </w:rPr>
        <w:t>[</w:t>
      </w:r>
      <w:r w:rsidRPr="003F5C2F">
        <w:rPr>
          <w:lang w:val="fr-FR"/>
        </w:rPr>
        <w:t>notre</w:t>
      </w:r>
      <w:r>
        <w:rPr>
          <w:lang w:val="fr-FR"/>
        </w:rPr>
        <w:t>]</w:t>
      </w:r>
      <w:r w:rsidRPr="003F5C2F">
        <w:rPr>
          <w:lang w:val="fr-FR"/>
        </w:rPr>
        <w:t xml:space="preserve"> vie quotidienne</w:t>
      </w:r>
      <w:r w:rsidR="00865D95">
        <w:rPr>
          <w:lang w:val="fr-FR"/>
        </w:rPr>
        <w:t> »</w:t>
      </w:r>
      <w:r w:rsidRPr="00CD6B67">
        <w:rPr>
          <w:rStyle w:val="FootnoteReference"/>
        </w:rPr>
        <w:footnoteReference w:id="669"/>
      </w:r>
      <w:r>
        <w:rPr>
          <w:lang w:val="fr-FR"/>
        </w:rPr>
        <w:t xml:space="preserve">. Ce débat a eu lieu en mai </w:t>
      </w:r>
      <w:r w:rsidRPr="00293268">
        <w:rPr>
          <w:lang w:val="fr-FR"/>
        </w:rPr>
        <w:t>2021</w:t>
      </w:r>
      <w:r w:rsidRPr="00813782">
        <w:rPr>
          <w:lang w:val="fr-FR"/>
        </w:rPr>
        <w:t xml:space="preserve"> </w:t>
      </w:r>
      <w:r w:rsidRPr="00D92C01">
        <w:rPr>
          <w:lang w:val="fr-FR"/>
        </w:rPr>
        <w:t>sur l</w:t>
      </w:r>
      <w:r>
        <w:rPr>
          <w:lang w:val="fr-FR"/>
        </w:rPr>
        <w:t>’</w:t>
      </w:r>
      <w:r w:rsidRPr="00D92C01">
        <w:rPr>
          <w:lang w:val="fr-FR"/>
        </w:rPr>
        <w:t xml:space="preserve">ensemble du territoire </w:t>
      </w:r>
      <w:r>
        <w:rPr>
          <w:lang w:val="fr-FR"/>
        </w:rPr>
        <w:t>national</w:t>
      </w:r>
      <w:r w:rsidRPr="00D92C01">
        <w:rPr>
          <w:lang w:val="fr-FR"/>
        </w:rPr>
        <w:t xml:space="preserve"> et dans les régions caribéennes du Royaume</w:t>
      </w:r>
      <w:r w:rsidRPr="00CD6B67">
        <w:rPr>
          <w:rStyle w:val="FootnoteReference"/>
        </w:rPr>
        <w:footnoteReference w:id="670"/>
      </w:r>
      <w:r>
        <w:rPr>
          <w:lang w:val="fr-FR"/>
        </w:rPr>
        <w:t>.</w:t>
      </w:r>
      <w:r w:rsidRPr="00293268">
        <w:rPr>
          <w:lang w:val="fr-FR"/>
        </w:rPr>
        <w:t xml:space="preserve"> </w:t>
      </w:r>
      <w:r>
        <w:rPr>
          <w:lang w:val="fr-FR"/>
        </w:rPr>
        <w:t>Les archives nationales sur le rôle des Pays-Bas dans l’histoire de l’esclavage ont par ailleurs été mises en ligne</w:t>
      </w:r>
      <w:r w:rsidRPr="00CD6B67">
        <w:rPr>
          <w:rStyle w:val="FootnoteReference"/>
        </w:rPr>
        <w:footnoteReference w:id="671"/>
      </w:r>
      <w:r>
        <w:rPr>
          <w:lang w:val="fr-FR"/>
        </w:rPr>
        <w:t>.</w:t>
      </w:r>
      <w:r w:rsidRPr="00293268">
        <w:rPr>
          <w:lang w:val="fr-FR"/>
        </w:rPr>
        <w:t xml:space="preserve"> </w:t>
      </w:r>
      <w:r w:rsidRPr="002A7322">
        <w:rPr>
          <w:lang w:val="fr-FR"/>
        </w:rPr>
        <w:t>Les municipalités d</w:t>
      </w:r>
      <w:r>
        <w:rPr>
          <w:lang w:val="fr-FR"/>
        </w:rPr>
        <w:t>’</w:t>
      </w:r>
      <w:r w:rsidRPr="002A7322">
        <w:rPr>
          <w:lang w:val="fr-FR"/>
        </w:rPr>
        <w:t>Amsterdam et de Rotterdam envisagent également de présenter des excuses officielles</w:t>
      </w:r>
      <w:r w:rsidRPr="00CD6B67">
        <w:rPr>
          <w:rStyle w:val="FootnoteReference"/>
        </w:rPr>
        <w:footnoteReference w:id="672"/>
      </w:r>
      <w:r w:rsidRPr="00D8141A">
        <w:rPr>
          <w:rStyle w:val="FootnoteReference"/>
          <w:sz w:val="20"/>
          <w:vertAlign w:val="baseline"/>
        </w:rPr>
        <w:t>.</w:t>
      </w:r>
      <w:r w:rsidRPr="00293268">
        <w:rPr>
          <w:lang w:val="fr-FR"/>
        </w:rPr>
        <w:t xml:space="preserve"> </w:t>
      </w:r>
      <w:r w:rsidRPr="00497EEF">
        <w:rPr>
          <w:lang w:val="fr-FR"/>
        </w:rPr>
        <w:t>En 2021, le Rijksmuseum d</w:t>
      </w:r>
      <w:r>
        <w:rPr>
          <w:lang w:val="fr-FR"/>
        </w:rPr>
        <w:t>’</w:t>
      </w:r>
      <w:r w:rsidRPr="00497EEF">
        <w:rPr>
          <w:lang w:val="fr-FR"/>
        </w:rPr>
        <w:t xml:space="preserve">Amsterdam a présenté une exposition sur la traite transatlantique des Africains réduits en esclavage au Suriname, au Brésil et dans les Caraïbes, et sur le rôle </w:t>
      </w:r>
      <w:r>
        <w:rPr>
          <w:lang w:val="fr-FR"/>
        </w:rPr>
        <w:t>qu</w:t>
      </w:r>
      <w:r w:rsidRPr="00497EEF">
        <w:rPr>
          <w:lang w:val="fr-FR"/>
        </w:rPr>
        <w:t xml:space="preserve">e la Compagnie néerlandaise des Indes </w:t>
      </w:r>
      <w:r>
        <w:rPr>
          <w:lang w:val="fr-FR"/>
        </w:rPr>
        <w:t>o</w:t>
      </w:r>
      <w:r w:rsidRPr="00497EEF">
        <w:rPr>
          <w:lang w:val="fr-FR"/>
        </w:rPr>
        <w:t>rientales</w:t>
      </w:r>
      <w:r>
        <w:rPr>
          <w:lang w:val="fr-FR"/>
        </w:rPr>
        <w:t xml:space="preserve"> et les autorités coloniales néerlandaises ont joué</w:t>
      </w:r>
      <w:r w:rsidRPr="00813782">
        <w:rPr>
          <w:lang w:val="fr-FR"/>
        </w:rPr>
        <w:t xml:space="preserve"> </w:t>
      </w:r>
      <w:r w:rsidRPr="00541E7A">
        <w:rPr>
          <w:lang w:val="fr-FR"/>
        </w:rPr>
        <w:t>dans l</w:t>
      </w:r>
      <w:r>
        <w:rPr>
          <w:lang w:val="fr-FR"/>
        </w:rPr>
        <w:t>’</w:t>
      </w:r>
      <w:r w:rsidRPr="00541E7A">
        <w:rPr>
          <w:lang w:val="fr-FR"/>
        </w:rPr>
        <w:t>esclavage</w:t>
      </w:r>
      <w:r>
        <w:rPr>
          <w:lang w:val="fr-FR"/>
        </w:rPr>
        <w:t xml:space="preserve"> en Afrique du Sud et en Asie où cette compagnie avait des comptoirs</w:t>
      </w:r>
      <w:r w:rsidRPr="00CD6B67">
        <w:rPr>
          <w:rStyle w:val="FootnoteReference"/>
        </w:rPr>
        <w:footnoteReference w:id="673"/>
      </w:r>
      <w:r>
        <w:rPr>
          <w:lang w:val="fr-FR"/>
        </w:rPr>
        <w:t>.</w:t>
      </w:r>
    </w:p>
    <w:p w14:paraId="0D7807DE" w14:textId="77777777" w:rsidR="00D301C6" w:rsidRPr="00293268" w:rsidRDefault="00D301C6" w:rsidP="00D301C6">
      <w:pPr>
        <w:pStyle w:val="H23G"/>
        <w:rPr>
          <w:lang w:val="fr-FR"/>
        </w:rPr>
      </w:pPr>
      <w:bookmarkStart w:id="1218" w:name="_Toc63766560"/>
      <w:bookmarkStart w:id="1219" w:name="_Toc63941402"/>
      <w:bookmarkStart w:id="1220" w:name="_Toc64298298"/>
      <w:bookmarkStart w:id="1221" w:name="_Toc64373158"/>
      <w:bookmarkStart w:id="1222" w:name="_Toc64379820"/>
      <w:bookmarkStart w:id="1223" w:name="_Toc72335556"/>
      <w:bookmarkStart w:id="1224" w:name="_Toc74143649"/>
      <w:bookmarkStart w:id="1225" w:name="_Toc74170924"/>
      <w:bookmarkStart w:id="1226" w:name="_Toc74721041"/>
      <w:bookmarkStart w:id="1227" w:name="_Toc74923025"/>
      <w:r w:rsidRPr="00293268">
        <w:rPr>
          <w:lang w:val="fr-FR"/>
        </w:rPr>
        <w:tab/>
        <w:t>2.</w:t>
      </w:r>
      <w:r w:rsidRPr="00293268">
        <w:rPr>
          <w:lang w:val="fr-FR"/>
        </w:rPr>
        <w:tab/>
      </w:r>
      <w:r w:rsidRPr="00293268">
        <w:rPr>
          <w:lang w:val="fr-FR"/>
        </w:rPr>
        <w:tab/>
      </w:r>
      <w:r>
        <w:rPr>
          <w:lang w:val="fr-FR"/>
        </w:rPr>
        <w:t>Excuses,</w:t>
      </w:r>
      <w:r w:rsidRPr="00293268">
        <w:rPr>
          <w:lang w:val="fr-FR"/>
        </w:rPr>
        <w:t xml:space="preserve"> regrets </w:t>
      </w:r>
      <w:bookmarkEnd w:id="1218"/>
      <w:bookmarkEnd w:id="1219"/>
      <w:bookmarkEnd w:id="1220"/>
      <w:bookmarkEnd w:id="1221"/>
      <w:bookmarkEnd w:id="1222"/>
      <w:bookmarkEnd w:id="1223"/>
      <w:bookmarkEnd w:id="1224"/>
      <w:bookmarkEnd w:id="1225"/>
      <w:bookmarkEnd w:id="1226"/>
      <w:bookmarkEnd w:id="1227"/>
      <w:r>
        <w:rPr>
          <w:lang w:val="fr-FR"/>
        </w:rPr>
        <w:t>et reconnaissance</w:t>
      </w:r>
    </w:p>
    <w:p w14:paraId="50D2922F" w14:textId="6A62E281" w:rsidR="00D301C6" w:rsidRPr="00293268" w:rsidRDefault="00D301C6" w:rsidP="00D301C6">
      <w:pPr>
        <w:pStyle w:val="SingleTxtG"/>
        <w:rPr>
          <w:lang w:val="fr-FR"/>
        </w:rPr>
      </w:pPr>
      <w:r w:rsidRPr="00293268">
        <w:rPr>
          <w:lang w:val="fr-FR"/>
        </w:rPr>
        <w:t>258.</w:t>
      </w:r>
      <w:r w:rsidRPr="00293268">
        <w:rPr>
          <w:lang w:val="fr-FR"/>
        </w:rPr>
        <w:tab/>
      </w:r>
      <w:r w:rsidRPr="00157F10">
        <w:rPr>
          <w:lang w:val="fr-FR"/>
        </w:rPr>
        <w:t xml:space="preserve">Une autre forme de </w:t>
      </w:r>
      <w:r w:rsidR="00205A06">
        <w:rPr>
          <w:lang w:val="fr-FR"/>
        </w:rPr>
        <w:t>« </w:t>
      </w:r>
      <w:r w:rsidRPr="00157F10">
        <w:rPr>
          <w:lang w:val="fr-FR"/>
        </w:rPr>
        <w:t>satisfaction</w:t>
      </w:r>
      <w:r w:rsidR="00205A06">
        <w:rPr>
          <w:lang w:val="fr-FR"/>
        </w:rPr>
        <w:t> »</w:t>
      </w:r>
      <w:r w:rsidRPr="00157F10">
        <w:rPr>
          <w:lang w:val="fr-FR"/>
        </w:rPr>
        <w:t>, telle que définie dans les Principes fondamentaux et directives concernant le droit à un recours et à réparation des victimes de violations flagrantes du droit international des droits de l</w:t>
      </w:r>
      <w:r>
        <w:rPr>
          <w:lang w:val="fr-FR"/>
        </w:rPr>
        <w:t>’</w:t>
      </w:r>
      <w:r w:rsidRPr="00157F10">
        <w:rPr>
          <w:lang w:val="fr-FR"/>
        </w:rPr>
        <w:t>homme et de violations graves du droit international humanitaire, consiste dans la présentation d</w:t>
      </w:r>
      <w:r>
        <w:rPr>
          <w:lang w:val="fr-FR"/>
        </w:rPr>
        <w:t>’</w:t>
      </w:r>
      <w:r w:rsidRPr="00157F10">
        <w:rPr>
          <w:lang w:val="fr-FR"/>
        </w:rPr>
        <w:t xml:space="preserve">excuses publiques, avec </w:t>
      </w:r>
      <w:r w:rsidRPr="00A32F2A">
        <w:rPr>
          <w:lang w:val="fr-FR"/>
        </w:rPr>
        <w:t>reconnaissance des faits et acceptation de responsabilité</w:t>
      </w:r>
      <w:r w:rsidRPr="00157F10">
        <w:rPr>
          <w:lang w:val="fr-FR"/>
        </w:rPr>
        <w:t>. Ces dernières années, divers pays ont présenté des excuses et reconnu les violations passées, au niveau national et local. En</w:t>
      </w:r>
      <w:r w:rsidR="00205A06">
        <w:rPr>
          <w:lang w:val="fr-FR"/>
        </w:rPr>
        <w:t> </w:t>
      </w:r>
      <w:r w:rsidRPr="00157F10">
        <w:rPr>
          <w:lang w:val="fr-FR"/>
        </w:rPr>
        <w:t>2020, le Parlement européen a déclaré que l</w:t>
      </w:r>
      <w:r>
        <w:rPr>
          <w:lang w:val="fr-FR"/>
        </w:rPr>
        <w:t>’</w:t>
      </w:r>
      <w:r w:rsidRPr="00157F10">
        <w:rPr>
          <w:lang w:val="fr-FR"/>
        </w:rPr>
        <w:t xml:space="preserve">esclavage </w:t>
      </w:r>
      <w:r>
        <w:rPr>
          <w:lang w:val="fr-FR"/>
        </w:rPr>
        <w:t>était</w:t>
      </w:r>
      <w:r w:rsidRPr="00157F10">
        <w:rPr>
          <w:lang w:val="fr-FR"/>
        </w:rPr>
        <w:t xml:space="preserve"> un crime contre l</w:t>
      </w:r>
      <w:r>
        <w:rPr>
          <w:lang w:val="fr-FR"/>
        </w:rPr>
        <w:t>’</w:t>
      </w:r>
      <w:r w:rsidRPr="00157F10">
        <w:rPr>
          <w:lang w:val="fr-FR"/>
        </w:rPr>
        <w:t>humanité</w:t>
      </w:r>
      <w:r w:rsidRPr="00CD6B67">
        <w:rPr>
          <w:rStyle w:val="FootnoteReference"/>
        </w:rPr>
        <w:footnoteReference w:id="674"/>
      </w:r>
      <w:r w:rsidRPr="00293268">
        <w:rPr>
          <w:lang w:val="fr-FR"/>
        </w:rPr>
        <w:t xml:space="preserve"> </w:t>
      </w:r>
      <w:r w:rsidR="00205A06">
        <w:rPr>
          <w:lang w:val="fr-FR"/>
        </w:rPr>
        <w:t>− </w:t>
      </w:r>
      <w:r w:rsidRPr="00284E5C">
        <w:rPr>
          <w:lang w:val="fr-FR"/>
        </w:rPr>
        <w:t>comme la France l</w:t>
      </w:r>
      <w:r>
        <w:rPr>
          <w:lang w:val="fr-FR"/>
        </w:rPr>
        <w:t>’</w:t>
      </w:r>
      <w:r w:rsidRPr="00284E5C">
        <w:rPr>
          <w:lang w:val="fr-FR"/>
        </w:rPr>
        <w:t>a fait en 2001</w:t>
      </w:r>
      <w:r w:rsidRPr="00CD6B67">
        <w:rPr>
          <w:rStyle w:val="FootnoteReference"/>
        </w:rPr>
        <w:footnoteReference w:id="675"/>
      </w:r>
      <w:r>
        <w:rPr>
          <w:lang w:val="fr-FR"/>
        </w:rPr>
        <w:t>.</w:t>
      </w:r>
    </w:p>
    <w:p w14:paraId="393F05CE" w14:textId="027B2179" w:rsidR="00D301C6" w:rsidRPr="00293268" w:rsidRDefault="00D301C6" w:rsidP="00D301C6">
      <w:pPr>
        <w:pStyle w:val="SingleTxtG"/>
        <w:rPr>
          <w:lang w:val="fr-FR"/>
        </w:rPr>
      </w:pPr>
      <w:r w:rsidRPr="00293268">
        <w:rPr>
          <w:lang w:val="fr-FR"/>
        </w:rPr>
        <w:t>259.</w:t>
      </w:r>
      <w:r w:rsidRPr="00293268">
        <w:rPr>
          <w:lang w:val="fr-FR"/>
        </w:rPr>
        <w:tab/>
      </w:r>
      <w:r w:rsidRPr="00520634">
        <w:rPr>
          <w:lang w:val="fr-FR"/>
        </w:rPr>
        <w:t>En 2005, le Sénat des États-Unis a présenté ses excuses aux victimes de lynchage et à leurs descendants pour ne</w:t>
      </w:r>
      <w:r w:rsidRPr="00A07973">
        <w:rPr>
          <w:lang w:val="fr-FR"/>
        </w:rPr>
        <w:t xml:space="preserve"> pas avoir adopté de loi contre le lynchage</w:t>
      </w:r>
      <w:r w:rsidRPr="00CD6B67">
        <w:rPr>
          <w:rStyle w:val="FootnoteReference"/>
        </w:rPr>
        <w:footnoteReference w:id="676"/>
      </w:r>
      <w:r w:rsidRPr="002A5441">
        <w:rPr>
          <w:rStyle w:val="FootnoteReference"/>
          <w:sz w:val="20"/>
          <w:vertAlign w:val="baseline"/>
        </w:rPr>
        <w:t>.</w:t>
      </w:r>
      <w:r w:rsidRPr="00293268">
        <w:rPr>
          <w:lang w:val="fr-FR"/>
        </w:rPr>
        <w:t xml:space="preserve"> </w:t>
      </w:r>
      <w:r>
        <w:rPr>
          <w:lang w:val="fr-FR"/>
        </w:rPr>
        <w:t>E</w:t>
      </w:r>
      <w:r w:rsidRPr="00293268">
        <w:rPr>
          <w:lang w:val="fr-FR"/>
        </w:rPr>
        <w:t xml:space="preserve">n 2008 </w:t>
      </w:r>
      <w:r>
        <w:rPr>
          <w:lang w:val="fr-FR"/>
        </w:rPr>
        <w:t>et</w:t>
      </w:r>
      <w:r w:rsidRPr="00293268">
        <w:rPr>
          <w:lang w:val="fr-FR"/>
        </w:rPr>
        <w:t xml:space="preserve"> 2009, </w:t>
      </w:r>
      <w:r w:rsidRPr="006E5B68">
        <w:rPr>
          <w:lang w:val="fr-FR"/>
        </w:rPr>
        <w:t xml:space="preserve">la Chambre des représentants et le Sénat </w:t>
      </w:r>
      <w:r w:rsidRPr="00DA20B0">
        <w:rPr>
          <w:lang w:val="fr-FR"/>
        </w:rPr>
        <w:t>ont reconnu l</w:t>
      </w:r>
      <w:r>
        <w:rPr>
          <w:lang w:val="fr-FR"/>
        </w:rPr>
        <w:t>’</w:t>
      </w:r>
      <w:r w:rsidRPr="00DA20B0">
        <w:rPr>
          <w:lang w:val="fr-FR"/>
        </w:rPr>
        <w:t>esclavage et la ségrégation et présenté des excuses aux personnes d</w:t>
      </w:r>
      <w:r>
        <w:rPr>
          <w:lang w:val="fr-FR"/>
        </w:rPr>
        <w:t>’</w:t>
      </w:r>
      <w:r w:rsidRPr="00DA20B0">
        <w:rPr>
          <w:lang w:val="fr-FR"/>
        </w:rPr>
        <w:t xml:space="preserve">ascendance africaine </w:t>
      </w:r>
      <w:r w:rsidRPr="00CB43DF">
        <w:rPr>
          <w:lang w:val="fr-FR"/>
        </w:rPr>
        <w:t xml:space="preserve">pour le mal qui leur </w:t>
      </w:r>
      <w:r>
        <w:rPr>
          <w:lang w:val="fr-FR"/>
        </w:rPr>
        <w:t xml:space="preserve">avait </w:t>
      </w:r>
      <w:r w:rsidRPr="00CB43DF">
        <w:rPr>
          <w:lang w:val="fr-FR"/>
        </w:rPr>
        <w:t xml:space="preserve">été </w:t>
      </w:r>
      <w:r>
        <w:rPr>
          <w:lang w:val="fr-FR"/>
        </w:rPr>
        <w:t>causé</w:t>
      </w:r>
      <w:r w:rsidRPr="00CB43DF">
        <w:rPr>
          <w:lang w:val="fr-FR"/>
        </w:rPr>
        <w:t>, ainsi qu</w:t>
      </w:r>
      <w:r>
        <w:rPr>
          <w:lang w:val="fr-FR"/>
        </w:rPr>
        <w:t>’</w:t>
      </w:r>
      <w:r w:rsidRPr="00CB43DF">
        <w:rPr>
          <w:lang w:val="fr-FR"/>
        </w:rPr>
        <w:t xml:space="preserve">à leurs ancêtres </w:t>
      </w:r>
      <w:r>
        <w:rPr>
          <w:lang w:val="fr-FR"/>
        </w:rPr>
        <w:t>victimes</w:t>
      </w:r>
      <w:r w:rsidRPr="00CB43DF">
        <w:rPr>
          <w:lang w:val="fr-FR"/>
        </w:rPr>
        <w:t xml:space="preserve"> de l</w:t>
      </w:r>
      <w:r>
        <w:rPr>
          <w:lang w:val="fr-FR"/>
        </w:rPr>
        <w:t>’</w:t>
      </w:r>
      <w:r w:rsidRPr="00CB43DF">
        <w:rPr>
          <w:lang w:val="fr-FR"/>
        </w:rPr>
        <w:t>esclavage et des lois Jim Crow</w:t>
      </w:r>
      <w:r w:rsidRPr="00293268">
        <w:rPr>
          <w:lang w:val="fr-FR"/>
        </w:rPr>
        <w:t xml:space="preserve">. </w:t>
      </w:r>
      <w:r>
        <w:rPr>
          <w:lang w:val="fr-FR"/>
        </w:rPr>
        <w:t xml:space="preserve">La résolution précise toutefois que rien dans son texte </w:t>
      </w:r>
      <w:r w:rsidRPr="008C225E">
        <w:rPr>
          <w:lang w:val="fr-FR"/>
        </w:rPr>
        <w:t xml:space="preserve">ne peut servir de support à une plainte contre les </w:t>
      </w:r>
      <w:r>
        <w:rPr>
          <w:lang w:val="fr-FR"/>
        </w:rPr>
        <w:t>É</w:t>
      </w:r>
      <w:r w:rsidRPr="008C225E">
        <w:rPr>
          <w:lang w:val="fr-FR"/>
        </w:rPr>
        <w:t>tats</w:t>
      </w:r>
      <w:r w:rsidR="002A5441">
        <w:rPr>
          <w:lang w:val="fr-FR"/>
        </w:rPr>
        <w:noBreakHyphen/>
      </w:r>
      <w:r w:rsidRPr="008C225E">
        <w:rPr>
          <w:lang w:val="fr-FR"/>
        </w:rPr>
        <w:t>Unis</w:t>
      </w:r>
      <w:r>
        <w:rPr>
          <w:lang w:val="fr-FR"/>
        </w:rPr>
        <w:t xml:space="preserve"> ou à son règlement</w:t>
      </w:r>
      <w:r w:rsidRPr="00CD6B67">
        <w:rPr>
          <w:rStyle w:val="FootnoteReference"/>
        </w:rPr>
        <w:footnoteReference w:id="677"/>
      </w:r>
      <w:r>
        <w:rPr>
          <w:lang w:val="fr-FR"/>
        </w:rPr>
        <w:t>. En</w:t>
      </w:r>
      <w:r w:rsidRPr="00293268">
        <w:rPr>
          <w:lang w:val="fr-FR"/>
        </w:rPr>
        <w:t xml:space="preserve"> 2008, </w:t>
      </w:r>
      <w:r w:rsidRPr="00B33AE0">
        <w:rPr>
          <w:lang w:val="fr-FR"/>
        </w:rPr>
        <w:t xml:space="preserve">la Chambre des représentants a adopté une autre résolution dans laquelle elle </w:t>
      </w:r>
      <w:r>
        <w:rPr>
          <w:lang w:val="fr-FR"/>
        </w:rPr>
        <w:t>s’engage</w:t>
      </w:r>
      <w:r w:rsidRPr="00B33AE0">
        <w:rPr>
          <w:lang w:val="fr-FR"/>
        </w:rPr>
        <w:t xml:space="preserve"> </w:t>
      </w:r>
      <w:r w:rsidRPr="001F4287">
        <w:rPr>
          <w:lang w:val="fr-FR"/>
        </w:rPr>
        <w:t xml:space="preserve">à œuvrer pour corriger les conséquences persistantes </w:t>
      </w:r>
      <w:r w:rsidRPr="00B33AE0">
        <w:rPr>
          <w:lang w:val="fr-FR"/>
        </w:rPr>
        <w:t xml:space="preserve">des méfaits commis </w:t>
      </w:r>
      <w:r w:rsidRPr="00A34DAC">
        <w:rPr>
          <w:lang w:val="fr-FR"/>
        </w:rPr>
        <w:t>contre les Afro-Américains à l</w:t>
      </w:r>
      <w:r>
        <w:rPr>
          <w:lang w:val="fr-FR"/>
        </w:rPr>
        <w:t>’</w:t>
      </w:r>
      <w:r w:rsidRPr="00A34DAC">
        <w:rPr>
          <w:lang w:val="fr-FR"/>
        </w:rPr>
        <w:t>époque de l</w:t>
      </w:r>
      <w:r>
        <w:rPr>
          <w:lang w:val="fr-FR"/>
        </w:rPr>
        <w:t>’</w:t>
      </w:r>
      <w:r w:rsidRPr="00A34DAC">
        <w:rPr>
          <w:lang w:val="fr-FR"/>
        </w:rPr>
        <w:t>esclavage et de Jim Crow et à prévenir les violations des droits de l</w:t>
      </w:r>
      <w:r>
        <w:rPr>
          <w:lang w:val="fr-FR"/>
        </w:rPr>
        <w:t>’</w:t>
      </w:r>
      <w:r w:rsidRPr="00A34DAC">
        <w:rPr>
          <w:lang w:val="fr-FR"/>
        </w:rPr>
        <w:t>homme à l</w:t>
      </w:r>
      <w:r>
        <w:rPr>
          <w:lang w:val="fr-FR"/>
        </w:rPr>
        <w:t>’</w:t>
      </w:r>
      <w:r w:rsidRPr="00A34DAC">
        <w:rPr>
          <w:lang w:val="fr-FR"/>
        </w:rPr>
        <w:t>avenir</w:t>
      </w:r>
      <w:r w:rsidRPr="00CD6B67">
        <w:rPr>
          <w:rStyle w:val="FootnoteReference"/>
        </w:rPr>
        <w:footnoteReference w:id="678"/>
      </w:r>
      <w:r>
        <w:rPr>
          <w:lang w:val="fr-FR"/>
        </w:rPr>
        <w:t>.</w:t>
      </w:r>
    </w:p>
    <w:p w14:paraId="41CE8135" w14:textId="77777777" w:rsidR="00D301C6" w:rsidRPr="00293268" w:rsidRDefault="00D301C6" w:rsidP="00D301C6">
      <w:pPr>
        <w:pStyle w:val="SingleTxtG"/>
        <w:rPr>
          <w:lang w:val="fr-FR"/>
        </w:rPr>
      </w:pPr>
      <w:r w:rsidRPr="00293268">
        <w:rPr>
          <w:lang w:val="fr-FR"/>
        </w:rPr>
        <w:t>260.</w:t>
      </w:r>
      <w:r w:rsidRPr="00293268">
        <w:rPr>
          <w:lang w:val="fr-FR"/>
        </w:rPr>
        <w:tab/>
      </w:r>
      <w:r w:rsidRPr="00723631">
        <w:rPr>
          <w:lang w:val="fr-FR"/>
        </w:rPr>
        <w:t>Plusieurs États et villes des États-Unis ont également exprimé leurs regrets pour leur rôle dans l</w:t>
      </w:r>
      <w:r>
        <w:rPr>
          <w:lang w:val="fr-FR"/>
        </w:rPr>
        <w:t>’</w:t>
      </w:r>
      <w:r w:rsidRPr="00723631">
        <w:rPr>
          <w:lang w:val="fr-FR"/>
        </w:rPr>
        <w:t>esclavage et la traite des esclaves</w:t>
      </w:r>
      <w:r w:rsidRPr="00CD6B67">
        <w:rPr>
          <w:rStyle w:val="FootnoteReference"/>
        </w:rPr>
        <w:footnoteReference w:id="679"/>
      </w:r>
      <w:r>
        <w:rPr>
          <w:lang w:val="fr-FR"/>
        </w:rPr>
        <w:t>,</w:t>
      </w:r>
      <w:r w:rsidRPr="00293268">
        <w:rPr>
          <w:lang w:val="fr-FR"/>
        </w:rPr>
        <w:t xml:space="preserve"> </w:t>
      </w:r>
      <w:r w:rsidRPr="00825864">
        <w:rPr>
          <w:lang w:val="fr-FR"/>
        </w:rPr>
        <w:t xml:space="preserve">en plus de </w:t>
      </w:r>
      <w:r w:rsidRPr="00397F08">
        <w:rPr>
          <w:lang w:val="fr-FR"/>
        </w:rPr>
        <w:t>reconnaître l’histoire du racisme</w:t>
      </w:r>
      <w:r w:rsidRPr="00825864">
        <w:rPr>
          <w:lang w:val="fr-FR"/>
        </w:rPr>
        <w:t xml:space="preserve"> systémique</w:t>
      </w:r>
      <w:r w:rsidRPr="00CD6B67">
        <w:rPr>
          <w:rStyle w:val="FootnoteReference"/>
        </w:rPr>
        <w:footnoteReference w:id="680"/>
      </w:r>
      <w:r>
        <w:rPr>
          <w:lang w:val="fr-FR"/>
        </w:rPr>
        <w:t>.</w:t>
      </w:r>
      <w:r w:rsidRPr="00293268">
        <w:rPr>
          <w:lang w:val="fr-FR"/>
        </w:rPr>
        <w:t xml:space="preserve"> </w:t>
      </w:r>
      <w:r w:rsidRPr="0053088C">
        <w:rPr>
          <w:lang w:val="fr-FR"/>
        </w:rPr>
        <w:t>Plus récemment, certaines de ces initiatives ont donné lieu à des appels à la création de commissions de réparation</w:t>
      </w:r>
      <w:r w:rsidRPr="00293268">
        <w:rPr>
          <w:lang w:val="fr-FR"/>
        </w:rPr>
        <w:t xml:space="preserve">. </w:t>
      </w:r>
      <w:r w:rsidRPr="00881639">
        <w:rPr>
          <w:lang w:val="fr-FR"/>
        </w:rPr>
        <w:t>Par exemple, en juillet 2020, le conseil municipal d</w:t>
      </w:r>
      <w:r>
        <w:rPr>
          <w:lang w:val="fr-FR"/>
        </w:rPr>
        <w:t>’</w:t>
      </w:r>
      <w:r w:rsidRPr="00881639">
        <w:rPr>
          <w:lang w:val="fr-FR"/>
        </w:rPr>
        <w:t xml:space="preserve">Asheville, en Caroline du Nord, a adopté une résolution </w:t>
      </w:r>
      <w:r>
        <w:rPr>
          <w:lang w:val="fr-FR"/>
        </w:rPr>
        <w:t>visant l’établissement d’</w:t>
      </w:r>
      <w:r w:rsidRPr="00881639">
        <w:rPr>
          <w:lang w:val="fr-FR"/>
        </w:rPr>
        <w:t xml:space="preserve">une commission de réparation </w:t>
      </w:r>
      <w:r>
        <w:rPr>
          <w:lang w:val="fr-FR"/>
        </w:rPr>
        <w:t>locale</w:t>
      </w:r>
      <w:r w:rsidRPr="00881639">
        <w:rPr>
          <w:lang w:val="fr-FR"/>
        </w:rPr>
        <w:t xml:space="preserve"> habilitée à formuler des recommandations qui permettront de réaliser des progrès </w:t>
      </w:r>
      <w:r>
        <w:rPr>
          <w:lang w:val="fr-FR"/>
        </w:rPr>
        <w:t>importants</w:t>
      </w:r>
      <w:r w:rsidRPr="00881639">
        <w:rPr>
          <w:lang w:val="fr-FR"/>
        </w:rPr>
        <w:t xml:space="preserve"> dans la réparation des dommages causés par le racisme systémique</w:t>
      </w:r>
      <w:r>
        <w:rPr>
          <w:lang w:val="fr-FR"/>
        </w:rPr>
        <w:t>, dans les secteurs</w:t>
      </w:r>
      <w:r w:rsidRPr="00881639">
        <w:rPr>
          <w:lang w:val="fr-FR"/>
        </w:rPr>
        <w:t xml:space="preserve"> public et privé</w:t>
      </w:r>
      <w:r w:rsidRPr="00CD6B67">
        <w:rPr>
          <w:rStyle w:val="FootnoteReference"/>
        </w:rPr>
        <w:footnoteReference w:id="681"/>
      </w:r>
      <w:r>
        <w:rPr>
          <w:lang w:val="fr-FR"/>
        </w:rPr>
        <w:t>.</w:t>
      </w:r>
      <w:r w:rsidRPr="00293268">
        <w:rPr>
          <w:lang w:val="fr-FR"/>
        </w:rPr>
        <w:t xml:space="preserve"> </w:t>
      </w:r>
      <w:r w:rsidRPr="000245B3">
        <w:rPr>
          <w:lang w:val="fr-FR"/>
        </w:rPr>
        <w:t>Des initiatives similaires ont été engagées par d</w:t>
      </w:r>
      <w:r>
        <w:rPr>
          <w:lang w:val="fr-FR"/>
        </w:rPr>
        <w:t>’</w:t>
      </w:r>
      <w:r w:rsidRPr="000245B3">
        <w:rPr>
          <w:lang w:val="fr-FR"/>
        </w:rPr>
        <w:t>autres municipalités de Caroline du Nord</w:t>
      </w:r>
      <w:r w:rsidRPr="00CD6B67">
        <w:rPr>
          <w:rStyle w:val="FootnoteReference"/>
        </w:rPr>
        <w:footnoteReference w:id="682"/>
      </w:r>
      <w:r>
        <w:rPr>
          <w:lang w:val="fr-FR"/>
        </w:rPr>
        <w:t>.</w:t>
      </w:r>
      <w:r w:rsidRPr="00293268">
        <w:rPr>
          <w:lang w:val="fr-FR"/>
        </w:rPr>
        <w:t xml:space="preserve"> </w:t>
      </w:r>
      <w:r w:rsidRPr="005F6C1B">
        <w:rPr>
          <w:lang w:val="fr-FR"/>
        </w:rPr>
        <w:t>Des universités ont également présenté des excuses ou reconnu leurs liens avec l</w:t>
      </w:r>
      <w:r>
        <w:rPr>
          <w:lang w:val="fr-FR"/>
        </w:rPr>
        <w:t>’</w:t>
      </w:r>
      <w:r w:rsidRPr="005F6C1B">
        <w:rPr>
          <w:lang w:val="fr-FR"/>
        </w:rPr>
        <w:t>esclavage</w:t>
      </w:r>
      <w:r>
        <w:rPr>
          <w:lang w:val="fr-FR"/>
        </w:rPr>
        <w:t>,</w:t>
      </w:r>
      <w:r w:rsidRPr="005F6C1B">
        <w:rPr>
          <w:lang w:val="fr-FR"/>
        </w:rPr>
        <w:t xml:space="preserve"> </w:t>
      </w:r>
      <w:r w:rsidRPr="00251762">
        <w:rPr>
          <w:lang w:val="fr-FR"/>
        </w:rPr>
        <w:t>comme l</w:t>
      </w:r>
      <w:r>
        <w:rPr>
          <w:lang w:val="fr-FR"/>
        </w:rPr>
        <w:t>’U</w:t>
      </w:r>
      <w:r w:rsidRPr="00251762">
        <w:rPr>
          <w:lang w:val="fr-FR"/>
        </w:rPr>
        <w:t>niversité de Georgetown</w:t>
      </w:r>
      <w:r>
        <w:rPr>
          <w:lang w:val="fr-FR"/>
        </w:rPr>
        <w:t xml:space="preserve"> </w:t>
      </w:r>
      <w:r w:rsidRPr="00874944">
        <w:rPr>
          <w:lang w:val="fr-FR"/>
        </w:rPr>
        <w:t>et la Compagnie de Jésus du Maryland en 2017</w:t>
      </w:r>
      <w:r w:rsidRPr="00CD6B67">
        <w:rPr>
          <w:rStyle w:val="FootnoteReference"/>
        </w:rPr>
        <w:footnoteReference w:id="683"/>
      </w:r>
      <w:r>
        <w:rPr>
          <w:lang w:val="fr-FR"/>
        </w:rPr>
        <w:t>.</w:t>
      </w:r>
    </w:p>
    <w:p w14:paraId="2A3FB223" w14:textId="4E9C47B3" w:rsidR="00D301C6" w:rsidRPr="00293268" w:rsidRDefault="00D301C6" w:rsidP="00D301C6">
      <w:pPr>
        <w:pStyle w:val="SingleTxtG"/>
        <w:rPr>
          <w:lang w:val="fr-FR"/>
        </w:rPr>
      </w:pPr>
      <w:r w:rsidRPr="00293268">
        <w:rPr>
          <w:lang w:val="fr-FR"/>
        </w:rPr>
        <w:t>261.</w:t>
      </w:r>
      <w:r w:rsidRPr="00293268">
        <w:rPr>
          <w:lang w:val="fr-FR"/>
        </w:rPr>
        <w:tab/>
      </w:r>
      <w:r w:rsidRPr="00F9751B">
        <w:rPr>
          <w:lang w:val="fr-FR"/>
        </w:rPr>
        <w:t xml:space="preserve">En 2013, le Gouvernement britannique a déclaré regretter sincèrement  les actes de torture </w:t>
      </w:r>
      <w:r>
        <w:rPr>
          <w:lang w:val="fr-FR"/>
        </w:rPr>
        <w:t xml:space="preserve">subis par </w:t>
      </w:r>
      <w:r w:rsidRPr="00057F79">
        <w:rPr>
          <w:lang w:val="fr-FR"/>
        </w:rPr>
        <w:t>les Mau</w:t>
      </w:r>
      <w:r w:rsidR="0063476C">
        <w:rPr>
          <w:lang w:val="fr-FR"/>
        </w:rPr>
        <w:t> Mau</w:t>
      </w:r>
      <w:r>
        <w:rPr>
          <w:lang w:val="fr-FR"/>
        </w:rPr>
        <w:t xml:space="preserve"> </w:t>
      </w:r>
      <w:r w:rsidRPr="00F9751B">
        <w:rPr>
          <w:lang w:val="fr-FR"/>
        </w:rPr>
        <w:t>du Kenya pendant la période coloniale</w:t>
      </w:r>
      <w:r w:rsidRPr="00CD6B67">
        <w:rPr>
          <w:rStyle w:val="FootnoteReference"/>
        </w:rPr>
        <w:footnoteReference w:id="684"/>
      </w:r>
      <w:r w:rsidRPr="00F9751B">
        <w:rPr>
          <w:lang w:val="fr-FR"/>
        </w:rPr>
        <w:t>. Il a accepté de verser 19,9</w:t>
      </w:r>
      <w:r w:rsidR="0063476C">
        <w:rPr>
          <w:lang w:val="fr-FR"/>
        </w:rPr>
        <w:t> </w:t>
      </w:r>
      <w:r w:rsidRPr="00F9751B">
        <w:rPr>
          <w:lang w:val="fr-FR"/>
        </w:rPr>
        <w:t>millions de livres sterling pour le règlement complet et définitif d</w:t>
      </w:r>
      <w:r>
        <w:rPr>
          <w:lang w:val="fr-FR"/>
        </w:rPr>
        <w:t>’</w:t>
      </w:r>
      <w:r w:rsidRPr="00F9751B">
        <w:rPr>
          <w:lang w:val="fr-FR"/>
        </w:rPr>
        <w:t>une action en justice intentée par cinq victimes et de construire un mémorial à Nairobi à la mémoire des victimes de torture et de violences durant l</w:t>
      </w:r>
      <w:r>
        <w:rPr>
          <w:lang w:val="fr-FR"/>
        </w:rPr>
        <w:t>’</w:t>
      </w:r>
      <w:r w:rsidRPr="00F9751B">
        <w:rPr>
          <w:lang w:val="fr-FR"/>
        </w:rPr>
        <w:t>ère coloniale</w:t>
      </w:r>
      <w:r w:rsidRPr="00CD6B67">
        <w:rPr>
          <w:rStyle w:val="FootnoteReference"/>
        </w:rPr>
        <w:footnoteReference w:id="685"/>
      </w:r>
      <w:r>
        <w:rPr>
          <w:lang w:val="fr-FR"/>
        </w:rPr>
        <w:t>.</w:t>
      </w:r>
      <w:r w:rsidRPr="00293268">
        <w:rPr>
          <w:lang w:val="fr-FR"/>
        </w:rPr>
        <w:t xml:space="preserve"> </w:t>
      </w:r>
      <w:r w:rsidRPr="00D974FD">
        <w:rPr>
          <w:lang w:val="fr-FR"/>
        </w:rPr>
        <w:t xml:space="preserve">Fin juin 2020, le </w:t>
      </w:r>
      <w:r w:rsidR="00EE7D97">
        <w:rPr>
          <w:lang w:val="fr-FR"/>
        </w:rPr>
        <w:t>R</w:t>
      </w:r>
      <w:r w:rsidRPr="00D974FD">
        <w:rPr>
          <w:lang w:val="fr-FR"/>
        </w:rPr>
        <w:t>oi de Belgique a publié une déclaration exprimant ses regrets pour la colonisation du Congo par son pays</w:t>
      </w:r>
      <w:r w:rsidRPr="00CD6B67">
        <w:rPr>
          <w:rStyle w:val="FootnoteReference"/>
        </w:rPr>
        <w:footnoteReference w:id="686"/>
      </w:r>
      <w:r>
        <w:rPr>
          <w:lang w:val="fr-FR"/>
        </w:rPr>
        <w:t>.</w:t>
      </w:r>
      <w:r w:rsidRPr="00293268">
        <w:rPr>
          <w:lang w:val="fr-FR"/>
        </w:rPr>
        <w:t xml:space="preserve"> </w:t>
      </w:r>
      <w:r w:rsidRPr="00BB1422">
        <w:rPr>
          <w:lang w:val="fr-FR"/>
        </w:rPr>
        <w:t>En 2019, le Parlement européen a encouragé les institutions de l</w:t>
      </w:r>
      <w:r>
        <w:rPr>
          <w:lang w:val="fr-FR"/>
        </w:rPr>
        <w:t>’</w:t>
      </w:r>
      <w:r w:rsidRPr="00BB1422">
        <w:rPr>
          <w:lang w:val="fr-FR"/>
        </w:rPr>
        <w:t>UE et les États membres «</w:t>
      </w:r>
      <w:r>
        <w:rPr>
          <w:lang w:val="fr-FR"/>
        </w:rPr>
        <w:t> </w:t>
      </w:r>
      <w:r w:rsidRPr="00BB1422">
        <w:rPr>
          <w:lang w:val="fr-FR"/>
        </w:rPr>
        <w:t>à reconnaître officiellement l</w:t>
      </w:r>
      <w:r>
        <w:rPr>
          <w:lang w:val="fr-FR"/>
        </w:rPr>
        <w:t>’</w:t>
      </w:r>
      <w:r w:rsidRPr="00BB1422">
        <w:rPr>
          <w:lang w:val="fr-FR"/>
        </w:rPr>
        <w:t>histoire des personnes d</w:t>
      </w:r>
      <w:r>
        <w:rPr>
          <w:lang w:val="fr-FR"/>
        </w:rPr>
        <w:t>’</w:t>
      </w:r>
      <w:r w:rsidRPr="00BB1422">
        <w:rPr>
          <w:lang w:val="fr-FR"/>
        </w:rPr>
        <w:t>ascendance africaine en Europe, y</w:t>
      </w:r>
      <w:r w:rsidR="00EE7D97">
        <w:rPr>
          <w:lang w:val="fr-FR"/>
        </w:rPr>
        <w:t> </w:t>
      </w:r>
      <w:r w:rsidRPr="00BB1422">
        <w:rPr>
          <w:lang w:val="fr-FR"/>
        </w:rPr>
        <w:t>compris les injustices passées et présentes et les crimes contre l</w:t>
      </w:r>
      <w:r>
        <w:rPr>
          <w:lang w:val="fr-FR"/>
        </w:rPr>
        <w:t>’</w:t>
      </w:r>
      <w:r w:rsidRPr="00BB1422">
        <w:rPr>
          <w:lang w:val="fr-FR"/>
        </w:rPr>
        <w:t>humanité, comme l</w:t>
      </w:r>
      <w:r>
        <w:rPr>
          <w:lang w:val="fr-FR"/>
        </w:rPr>
        <w:t>’</w:t>
      </w:r>
      <w:r w:rsidRPr="00BB1422">
        <w:rPr>
          <w:lang w:val="fr-FR"/>
        </w:rPr>
        <w:t>esclavage, la traite transatlantique des esclaves ou les actes perpétrés dans le cadre du colonialisme européen, de même que les grandes réussites et les contributions positives réalisées par ces personnes</w:t>
      </w:r>
      <w:r w:rsidR="00EE7D97">
        <w:rPr>
          <w:lang w:val="fr-FR"/>
        </w:rPr>
        <w:t> </w:t>
      </w:r>
      <w:r w:rsidRPr="00BB1422">
        <w:rPr>
          <w:lang w:val="fr-FR"/>
        </w:rPr>
        <w:t>»</w:t>
      </w:r>
      <w:r w:rsidRPr="00CD6B67">
        <w:rPr>
          <w:rStyle w:val="FootnoteReference"/>
        </w:rPr>
        <w:footnoteReference w:id="687"/>
      </w:r>
      <w:r>
        <w:rPr>
          <w:lang w:val="fr-FR"/>
        </w:rPr>
        <w:t>.</w:t>
      </w:r>
      <w:r w:rsidRPr="00293268">
        <w:rPr>
          <w:lang w:val="fr-FR"/>
        </w:rPr>
        <w:t xml:space="preserve"> </w:t>
      </w:r>
      <w:r w:rsidRPr="0087308E">
        <w:rPr>
          <w:lang w:val="fr-FR"/>
        </w:rPr>
        <w:t>À cet égard, le Parlement européen a célébré la première Journée européenne de commémoration de l</w:t>
      </w:r>
      <w:r>
        <w:rPr>
          <w:lang w:val="fr-FR"/>
        </w:rPr>
        <w:t>’</w:t>
      </w:r>
      <w:r w:rsidRPr="0087308E">
        <w:rPr>
          <w:lang w:val="fr-FR"/>
        </w:rPr>
        <w:t>abolition de la traite des esclaves en 2020</w:t>
      </w:r>
      <w:r w:rsidRPr="00CD6B67">
        <w:rPr>
          <w:rStyle w:val="FootnoteReference"/>
        </w:rPr>
        <w:footnoteReference w:id="688"/>
      </w:r>
      <w:r>
        <w:rPr>
          <w:lang w:val="fr-FR"/>
        </w:rPr>
        <w:t>.</w:t>
      </w:r>
    </w:p>
    <w:p w14:paraId="68A1A10F" w14:textId="55F23EC9" w:rsidR="00D301C6" w:rsidRPr="00293268" w:rsidRDefault="00D301C6" w:rsidP="00D301C6">
      <w:pPr>
        <w:pStyle w:val="SingleTxtG"/>
        <w:rPr>
          <w:lang w:val="fr-FR"/>
        </w:rPr>
      </w:pPr>
      <w:r w:rsidRPr="00293268">
        <w:rPr>
          <w:lang w:val="fr-FR"/>
        </w:rPr>
        <w:t>262.</w:t>
      </w:r>
      <w:r w:rsidRPr="00293268">
        <w:rPr>
          <w:lang w:val="fr-FR"/>
        </w:rPr>
        <w:tab/>
      </w:r>
      <w:r w:rsidRPr="00992E55">
        <w:rPr>
          <w:lang w:val="fr-FR"/>
        </w:rPr>
        <w:t>En janvier 2021, un rapport sur les questions mémorielles portant sur la colonisation et la guerre d</w:t>
      </w:r>
      <w:r>
        <w:rPr>
          <w:lang w:val="fr-FR"/>
        </w:rPr>
        <w:t>’</w:t>
      </w:r>
      <w:r w:rsidRPr="00992E55">
        <w:rPr>
          <w:lang w:val="fr-FR"/>
        </w:rPr>
        <w:t xml:space="preserve">Algérie commandé par le </w:t>
      </w:r>
      <w:r>
        <w:rPr>
          <w:lang w:val="fr-FR"/>
        </w:rPr>
        <w:t>P</w:t>
      </w:r>
      <w:r w:rsidRPr="00992E55">
        <w:rPr>
          <w:lang w:val="fr-FR"/>
        </w:rPr>
        <w:t>résident français a notamment recommandé la création d</w:t>
      </w:r>
      <w:r>
        <w:rPr>
          <w:lang w:val="fr-FR"/>
        </w:rPr>
        <w:t>’</w:t>
      </w:r>
      <w:r w:rsidRPr="00992E55">
        <w:rPr>
          <w:lang w:val="fr-FR"/>
        </w:rPr>
        <w:t xml:space="preserve">une </w:t>
      </w:r>
      <w:r w:rsidR="00447BDC">
        <w:rPr>
          <w:lang w:val="fr-FR"/>
        </w:rPr>
        <w:t>C</w:t>
      </w:r>
      <w:r w:rsidRPr="00992E55">
        <w:rPr>
          <w:lang w:val="fr-FR"/>
        </w:rPr>
        <w:t>ommission Mémoire et vérité chargée d</w:t>
      </w:r>
      <w:r>
        <w:rPr>
          <w:lang w:val="fr-FR"/>
        </w:rPr>
        <w:t>’</w:t>
      </w:r>
      <w:r w:rsidRPr="00992E55">
        <w:rPr>
          <w:lang w:val="fr-FR"/>
        </w:rPr>
        <w:t>impulser des initiatives communes entre la France et l</w:t>
      </w:r>
      <w:r>
        <w:rPr>
          <w:lang w:val="fr-FR"/>
        </w:rPr>
        <w:t>’</w:t>
      </w:r>
      <w:r w:rsidRPr="00992E55">
        <w:rPr>
          <w:lang w:val="fr-FR"/>
        </w:rPr>
        <w:t>Algérie sur les questions mémorielles et d</w:t>
      </w:r>
      <w:r>
        <w:rPr>
          <w:lang w:val="fr-FR"/>
        </w:rPr>
        <w:t>’</w:t>
      </w:r>
      <w:r w:rsidRPr="00992E55">
        <w:rPr>
          <w:lang w:val="fr-FR"/>
        </w:rPr>
        <w:t>accorder plus de place à l</w:t>
      </w:r>
      <w:r>
        <w:rPr>
          <w:lang w:val="fr-FR"/>
        </w:rPr>
        <w:t>’</w:t>
      </w:r>
      <w:r w:rsidRPr="00992E55">
        <w:rPr>
          <w:lang w:val="fr-FR"/>
        </w:rPr>
        <w:t>histoire coloniale de la France en Algérie dans les manuels scolaires. Le Cabinet du Président a confirmé la création de la Commission, tout en précisant, toutefois, qu</w:t>
      </w:r>
      <w:r>
        <w:rPr>
          <w:lang w:val="fr-FR"/>
        </w:rPr>
        <w:t>’</w:t>
      </w:r>
      <w:r w:rsidRPr="00992E55">
        <w:rPr>
          <w:lang w:val="fr-FR"/>
        </w:rPr>
        <w:t>il n</w:t>
      </w:r>
      <w:r>
        <w:rPr>
          <w:lang w:val="fr-FR"/>
        </w:rPr>
        <w:t>’</w:t>
      </w:r>
      <w:r w:rsidRPr="00992E55">
        <w:rPr>
          <w:lang w:val="fr-FR"/>
        </w:rPr>
        <w:t>y aurait «</w:t>
      </w:r>
      <w:r w:rsidR="00447BDC">
        <w:rPr>
          <w:lang w:val="fr-FR"/>
        </w:rPr>
        <w:t> </w:t>
      </w:r>
      <w:r w:rsidRPr="00992E55">
        <w:rPr>
          <w:lang w:val="fr-FR"/>
        </w:rPr>
        <w:t>ni excuses ni repentance</w:t>
      </w:r>
      <w:r w:rsidR="00447BDC">
        <w:rPr>
          <w:lang w:val="fr-FR"/>
        </w:rPr>
        <w:t> </w:t>
      </w:r>
      <w:r w:rsidRPr="00992E55">
        <w:rPr>
          <w:lang w:val="fr-FR"/>
        </w:rPr>
        <w:t>» pour l</w:t>
      </w:r>
      <w:r>
        <w:rPr>
          <w:lang w:val="fr-FR"/>
        </w:rPr>
        <w:t>’</w:t>
      </w:r>
      <w:r w:rsidRPr="00992E55">
        <w:rPr>
          <w:lang w:val="fr-FR"/>
        </w:rPr>
        <w:t>occupation de l</w:t>
      </w:r>
      <w:r>
        <w:rPr>
          <w:lang w:val="fr-FR"/>
        </w:rPr>
        <w:t>’</w:t>
      </w:r>
      <w:r w:rsidRPr="00992E55">
        <w:rPr>
          <w:lang w:val="fr-FR"/>
        </w:rPr>
        <w:t>Algérie par la France</w:t>
      </w:r>
      <w:r w:rsidRPr="00CD6B67">
        <w:rPr>
          <w:rStyle w:val="FootnoteReference"/>
        </w:rPr>
        <w:footnoteReference w:id="689"/>
      </w:r>
      <w:r>
        <w:rPr>
          <w:lang w:val="fr-FR"/>
        </w:rPr>
        <w:t>.</w:t>
      </w:r>
    </w:p>
    <w:p w14:paraId="1BACAD12" w14:textId="0DCA3393" w:rsidR="00D301C6" w:rsidRPr="00293268" w:rsidRDefault="00D301C6" w:rsidP="00D301C6">
      <w:pPr>
        <w:pStyle w:val="SingleTxtG"/>
        <w:rPr>
          <w:lang w:val="fr-FR"/>
        </w:rPr>
      </w:pPr>
      <w:r w:rsidRPr="00293268">
        <w:rPr>
          <w:lang w:val="fr-FR"/>
        </w:rPr>
        <w:t>263.</w:t>
      </w:r>
      <w:r w:rsidRPr="00293268">
        <w:rPr>
          <w:lang w:val="fr-FR"/>
        </w:rPr>
        <w:tab/>
      </w:r>
      <w:r w:rsidRPr="0034717A">
        <w:rPr>
          <w:lang w:val="fr-FR"/>
        </w:rPr>
        <w:t xml:space="preserve">Depuis 2015, les </w:t>
      </w:r>
      <w:r>
        <w:rPr>
          <w:lang w:val="fr-FR"/>
        </w:rPr>
        <w:t>G</w:t>
      </w:r>
      <w:r w:rsidRPr="0034717A">
        <w:rPr>
          <w:lang w:val="fr-FR"/>
        </w:rPr>
        <w:t xml:space="preserve">ouvernements allemand et namibien sont </w:t>
      </w:r>
      <w:r w:rsidRPr="00057F79">
        <w:rPr>
          <w:lang w:val="fr-FR"/>
        </w:rPr>
        <w:t>engagés dans des négociations sur leur passé colonial</w:t>
      </w:r>
      <w:r w:rsidRPr="00CD6B67">
        <w:rPr>
          <w:rStyle w:val="FootnoteReference"/>
        </w:rPr>
        <w:footnoteReference w:id="690"/>
      </w:r>
      <w:r w:rsidRPr="00057F79">
        <w:rPr>
          <w:lang w:val="fr-FR"/>
        </w:rPr>
        <w:t>. En mai 2021, l’Allemagne a annoncé qu’un accord avait été trouvé, dans lequel elle qualifie de génocide les événements survenus entre</w:t>
      </w:r>
      <w:r w:rsidRPr="00510791">
        <w:rPr>
          <w:lang w:val="fr-FR"/>
        </w:rPr>
        <w:t xml:space="preserve"> 1904 et 1908 et reconna</w:t>
      </w:r>
      <w:r>
        <w:rPr>
          <w:lang w:val="fr-FR"/>
        </w:rPr>
        <w:t>î</w:t>
      </w:r>
      <w:r w:rsidRPr="00510791">
        <w:rPr>
          <w:lang w:val="fr-FR"/>
        </w:rPr>
        <w:t>t sa responsabilité historique et morale</w:t>
      </w:r>
      <w:r w:rsidRPr="00293268">
        <w:rPr>
          <w:lang w:val="fr-FR"/>
        </w:rPr>
        <w:t xml:space="preserve">. </w:t>
      </w:r>
      <w:r w:rsidRPr="002B4A73">
        <w:rPr>
          <w:lang w:val="fr-FR"/>
        </w:rPr>
        <w:t>L</w:t>
      </w:r>
      <w:r>
        <w:rPr>
          <w:lang w:val="fr-FR"/>
        </w:rPr>
        <w:t>’</w:t>
      </w:r>
      <w:r w:rsidRPr="002B4A73">
        <w:rPr>
          <w:lang w:val="fr-FR"/>
        </w:rPr>
        <w:t>Allemagne a annoncé qu</w:t>
      </w:r>
      <w:r>
        <w:rPr>
          <w:lang w:val="fr-FR"/>
        </w:rPr>
        <w:t>’</w:t>
      </w:r>
      <w:r w:rsidRPr="002B4A73">
        <w:rPr>
          <w:lang w:val="fr-FR"/>
        </w:rPr>
        <w:t>elle demanderait pardon à la Namibie et aux descendants des victimes</w:t>
      </w:r>
      <w:r w:rsidRPr="00293268">
        <w:rPr>
          <w:lang w:val="fr-FR"/>
        </w:rPr>
        <w:t xml:space="preserve">. </w:t>
      </w:r>
      <w:r>
        <w:rPr>
          <w:lang w:val="fr-FR"/>
        </w:rPr>
        <w:t xml:space="preserve">Tout en notant que cet accord ne peut ouvrir </w:t>
      </w:r>
      <w:r w:rsidRPr="00571E79">
        <w:rPr>
          <w:lang w:val="fr-FR"/>
        </w:rPr>
        <w:t>la voie à des demandes légales d</w:t>
      </w:r>
      <w:r>
        <w:rPr>
          <w:lang w:val="fr-FR"/>
        </w:rPr>
        <w:t>’</w:t>
      </w:r>
      <w:r w:rsidRPr="00571E79">
        <w:rPr>
          <w:lang w:val="fr-FR"/>
        </w:rPr>
        <w:t>indemnisation</w:t>
      </w:r>
      <w:r>
        <w:rPr>
          <w:lang w:val="fr-FR"/>
        </w:rPr>
        <w:t>,</w:t>
      </w:r>
      <w:r w:rsidRPr="00813782">
        <w:rPr>
          <w:lang w:val="fr-FR"/>
        </w:rPr>
        <w:t xml:space="preserve"> </w:t>
      </w:r>
      <w:r>
        <w:rPr>
          <w:lang w:val="fr-FR"/>
        </w:rPr>
        <w:t>l</w:t>
      </w:r>
      <w:r w:rsidRPr="002B16AC">
        <w:rPr>
          <w:lang w:val="fr-FR"/>
        </w:rPr>
        <w:t>a reconnaissance de la faute et la demande de pardon sont toutefois un pas important pour surmonter le passé et construire ensemble l</w:t>
      </w:r>
      <w:r>
        <w:rPr>
          <w:lang w:val="fr-FR"/>
        </w:rPr>
        <w:t>’</w:t>
      </w:r>
      <w:r w:rsidRPr="002B16AC">
        <w:rPr>
          <w:lang w:val="fr-FR"/>
        </w:rPr>
        <w:t>avenir</w:t>
      </w:r>
      <w:r>
        <w:rPr>
          <w:lang w:val="fr-FR"/>
        </w:rPr>
        <w:t>, a précisé le Gouvernement</w:t>
      </w:r>
      <w:r w:rsidRPr="00293268">
        <w:rPr>
          <w:lang w:val="fr-FR"/>
        </w:rPr>
        <w:t xml:space="preserve">. </w:t>
      </w:r>
      <w:r>
        <w:rPr>
          <w:lang w:val="fr-FR"/>
        </w:rPr>
        <w:t xml:space="preserve">En outre, </w:t>
      </w:r>
      <w:r w:rsidRPr="001179A3">
        <w:rPr>
          <w:lang w:val="fr-FR"/>
        </w:rPr>
        <w:t>dans un geste de reconnaissance de l</w:t>
      </w:r>
      <w:r>
        <w:rPr>
          <w:lang w:val="fr-FR"/>
        </w:rPr>
        <w:t>’</w:t>
      </w:r>
      <w:r w:rsidRPr="001179A3">
        <w:rPr>
          <w:lang w:val="fr-FR"/>
        </w:rPr>
        <w:t>immense souffrance infligée aux victimes</w:t>
      </w:r>
      <w:r>
        <w:rPr>
          <w:lang w:val="fr-FR"/>
        </w:rPr>
        <w:t xml:space="preserve">, l’accord prévoit le versement </w:t>
      </w:r>
      <w:r w:rsidRPr="001179A3">
        <w:rPr>
          <w:lang w:val="fr-FR"/>
        </w:rPr>
        <w:t>de 1,1</w:t>
      </w:r>
      <w:r w:rsidR="00A36F86">
        <w:rPr>
          <w:lang w:val="fr-FR"/>
        </w:rPr>
        <w:t> </w:t>
      </w:r>
      <w:r w:rsidRPr="001179A3">
        <w:rPr>
          <w:lang w:val="fr-FR"/>
        </w:rPr>
        <w:t>milliard d</w:t>
      </w:r>
      <w:r>
        <w:rPr>
          <w:lang w:val="fr-FR"/>
        </w:rPr>
        <w:t>’</w:t>
      </w:r>
      <w:r w:rsidRPr="001179A3">
        <w:rPr>
          <w:lang w:val="fr-FR"/>
        </w:rPr>
        <w:t xml:space="preserve">euros </w:t>
      </w:r>
      <w:r>
        <w:rPr>
          <w:lang w:val="fr-FR"/>
        </w:rPr>
        <w:t>pour la</w:t>
      </w:r>
      <w:r w:rsidRPr="00293268">
        <w:rPr>
          <w:lang w:val="fr-FR"/>
        </w:rPr>
        <w:t xml:space="preserve"> reconstruction </w:t>
      </w:r>
      <w:r>
        <w:rPr>
          <w:lang w:val="fr-FR"/>
        </w:rPr>
        <w:t>et le développement</w:t>
      </w:r>
      <w:r w:rsidRPr="00293268">
        <w:rPr>
          <w:lang w:val="fr-FR"/>
        </w:rPr>
        <w:t xml:space="preserve">, </w:t>
      </w:r>
      <w:r w:rsidRPr="00031D23">
        <w:rPr>
          <w:lang w:val="fr-FR"/>
        </w:rPr>
        <w:t xml:space="preserve">les </w:t>
      </w:r>
      <w:r>
        <w:rPr>
          <w:lang w:val="fr-FR"/>
        </w:rPr>
        <w:t>population</w:t>
      </w:r>
      <w:r w:rsidRPr="00031D23">
        <w:rPr>
          <w:lang w:val="fr-FR"/>
        </w:rPr>
        <w:t xml:space="preserve">s </w:t>
      </w:r>
      <w:r>
        <w:rPr>
          <w:lang w:val="fr-FR"/>
        </w:rPr>
        <w:t>victimes du</w:t>
      </w:r>
      <w:r w:rsidRPr="00031D23">
        <w:rPr>
          <w:lang w:val="fr-FR"/>
        </w:rPr>
        <w:t xml:space="preserve"> génocide </w:t>
      </w:r>
      <w:r>
        <w:rPr>
          <w:lang w:val="fr-FR"/>
        </w:rPr>
        <w:t>étant appelées à jouer</w:t>
      </w:r>
      <w:r w:rsidRPr="00031D23">
        <w:rPr>
          <w:lang w:val="fr-FR"/>
        </w:rPr>
        <w:t xml:space="preserve"> un rôle </w:t>
      </w:r>
      <w:r w:rsidR="00B659DC" w:rsidRPr="00B659DC">
        <w:rPr>
          <w:lang w:val="fr-FR"/>
        </w:rPr>
        <w:t>clef</w:t>
      </w:r>
      <w:r w:rsidRPr="00031D23">
        <w:rPr>
          <w:lang w:val="fr-FR"/>
        </w:rPr>
        <w:t xml:space="preserve"> dans l</w:t>
      </w:r>
      <w:r>
        <w:rPr>
          <w:lang w:val="fr-FR"/>
        </w:rPr>
        <w:t>’</w:t>
      </w:r>
      <w:r w:rsidRPr="00031D23">
        <w:rPr>
          <w:lang w:val="fr-FR"/>
        </w:rPr>
        <w:t>élaboration et la mise en œuvre de ce programme</w:t>
      </w:r>
      <w:r w:rsidRPr="00CD6B67">
        <w:rPr>
          <w:rStyle w:val="FootnoteReference"/>
        </w:rPr>
        <w:footnoteReference w:id="691"/>
      </w:r>
      <w:r>
        <w:rPr>
          <w:lang w:val="fr-FR"/>
        </w:rPr>
        <w:t>.</w:t>
      </w:r>
    </w:p>
    <w:p w14:paraId="4A783F3D" w14:textId="2189E5F7" w:rsidR="00D301C6" w:rsidRPr="00293268" w:rsidRDefault="00D301C6" w:rsidP="00A36F86">
      <w:pPr>
        <w:pStyle w:val="SingleTxtG"/>
        <w:keepLines/>
        <w:rPr>
          <w:lang w:val="fr-FR"/>
        </w:rPr>
      </w:pPr>
      <w:r w:rsidRPr="00293268">
        <w:rPr>
          <w:lang w:val="fr-FR"/>
        </w:rPr>
        <w:t>264.</w:t>
      </w:r>
      <w:r w:rsidRPr="00293268">
        <w:rPr>
          <w:lang w:val="fr-FR"/>
        </w:rPr>
        <w:tab/>
      </w:r>
      <w:r w:rsidRPr="004D79B5">
        <w:rPr>
          <w:spacing w:val="-2"/>
          <w:lang w:val="fr-FR"/>
        </w:rPr>
        <w:t>Au Royaume-Uni, le secteur privé a commencé à présenter des excuses et à prendre des engagements en matière de réparations, notamment à la lumière des recherches menées par l’University College de Londres sur le rôle de l’esclavage dans la construction de la Grande</w:t>
      </w:r>
      <w:r w:rsidR="004524E5" w:rsidRPr="004D79B5">
        <w:rPr>
          <w:spacing w:val="-2"/>
          <w:lang w:val="fr-FR"/>
        </w:rPr>
        <w:noBreakHyphen/>
      </w:r>
      <w:r w:rsidRPr="004D79B5">
        <w:rPr>
          <w:spacing w:val="-2"/>
          <w:lang w:val="fr-FR"/>
        </w:rPr>
        <w:t>Bretagne d’aujourd’hui</w:t>
      </w:r>
      <w:r w:rsidRPr="004D79B5">
        <w:rPr>
          <w:rStyle w:val="FootnoteReference"/>
          <w:spacing w:val="-2"/>
        </w:rPr>
        <w:footnoteReference w:id="692"/>
      </w:r>
      <w:r w:rsidRPr="004D79B5">
        <w:rPr>
          <w:spacing w:val="-2"/>
          <w:lang w:val="fr-FR"/>
        </w:rPr>
        <w:t xml:space="preserve">. Ainsi, en juin 2020, le marché de l’assurance Lloyd’s of London a présenté ses excuses, reconnu son rôle </w:t>
      </w:r>
      <w:r w:rsidR="004524E5" w:rsidRPr="004D79B5">
        <w:rPr>
          <w:spacing w:val="-2"/>
          <w:lang w:val="fr-FR"/>
        </w:rPr>
        <w:t>« </w:t>
      </w:r>
      <w:r w:rsidRPr="004D79B5">
        <w:rPr>
          <w:spacing w:val="-2"/>
          <w:lang w:val="fr-FR"/>
        </w:rPr>
        <w:t>honteux</w:t>
      </w:r>
      <w:r w:rsidR="004524E5" w:rsidRPr="004D79B5">
        <w:rPr>
          <w:spacing w:val="-2"/>
          <w:lang w:val="fr-FR"/>
        </w:rPr>
        <w:t> »</w:t>
      </w:r>
      <w:r w:rsidRPr="004D79B5">
        <w:rPr>
          <w:spacing w:val="-2"/>
          <w:lang w:val="fr-FR"/>
        </w:rPr>
        <w:t xml:space="preserve"> dans le commerce transatlantique d’Africains réduits en esclavage et s’est engagé à financer des programmes pour les populations noires et les minorités ethniques</w:t>
      </w:r>
      <w:r w:rsidRPr="004D79B5">
        <w:rPr>
          <w:rStyle w:val="FootnoteReference"/>
          <w:spacing w:val="-2"/>
        </w:rPr>
        <w:footnoteReference w:id="693"/>
      </w:r>
      <w:r w:rsidRPr="004D79B5">
        <w:rPr>
          <w:spacing w:val="-2"/>
          <w:lang w:val="fr-FR"/>
        </w:rPr>
        <w:t xml:space="preserve">. Le brasseur Greene King a déclaré s’être engagé en juin 2020, dans le cadre de discussions plus larges sur les entreprises britanniques ayant des liens historiques avec l’esclavage, à œuvrer plus résolument en faveur de la diversité raciale parmi ses effectifs et à invertir de manière importante dans des organisations qui apportent un soutien aux </w:t>
      </w:r>
      <w:r w:rsidR="004524E5" w:rsidRPr="004D79B5">
        <w:rPr>
          <w:spacing w:val="-2"/>
          <w:lang w:val="fr-FR"/>
        </w:rPr>
        <w:t>N</w:t>
      </w:r>
      <w:r w:rsidRPr="004D79B5">
        <w:rPr>
          <w:spacing w:val="-2"/>
          <w:lang w:val="fr-FR"/>
        </w:rPr>
        <w:t xml:space="preserve">oirs, aux </w:t>
      </w:r>
      <w:r w:rsidR="004524E5" w:rsidRPr="004D79B5">
        <w:rPr>
          <w:spacing w:val="-2"/>
          <w:lang w:val="fr-FR"/>
        </w:rPr>
        <w:t>A</w:t>
      </w:r>
      <w:r w:rsidRPr="004D79B5">
        <w:rPr>
          <w:spacing w:val="-2"/>
          <w:lang w:val="fr-FR"/>
        </w:rPr>
        <w:t>siatiques et aux membres de minorités ethniques, après que des révélations eurent établi que l’un de ses fondateurs avait possédé des esclaves et été indemnisé par le Gouvernement britannique après l’abolition de l’esclavage</w:t>
      </w:r>
      <w:r w:rsidRPr="004D79B5">
        <w:rPr>
          <w:rStyle w:val="FootnoteReference"/>
          <w:spacing w:val="-2"/>
        </w:rPr>
        <w:footnoteReference w:id="694"/>
      </w:r>
      <w:r w:rsidRPr="004D79B5">
        <w:rPr>
          <w:spacing w:val="-2"/>
          <w:lang w:val="fr-FR"/>
        </w:rPr>
        <w:t>. La Banque d’Angleterre a également déclaré qu’en tant qu’institution, elle n’avait jamais été elle-même directement impliquée dans la traite des esclaves, mais qu’elle était consciente de certains liens inexcusables concernant d’anciens gouverneurs et administrateurs et s’en excusait. La Banque a indiqué avoir entamé un examen approfondi de ses collections de portraits d’anciens gouverneurs et administrateurs pour décrocher ceux ayant un lien quelconque avec la traite des esclaves et s’est déclarée déterminée à améliorer la diversité</w:t>
      </w:r>
      <w:r w:rsidRPr="004D79B5">
        <w:rPr>
          <w:rStyle w:val="FootnoteReference"/>
          <w:spacing w:val="-2"/>
        </w:rPr>
        <w:footnoteReference w:id="695"/>
      </w:r>
      <w:r>
        <w:rPr>
          <w:lang w:val="fr-FR"/>
        </w:rPr>
        <w:t>.</w:t>
      </w:r>
    </w:p>
    <w:p w14:paraId="021EEDBE" w14:textId="055F92E3" w:rsidR="00D301C6" w:rsidRPr="00293268" w:rsidRDefault="00D301C6" w:rsidP="00D301C6">
      <w:pPr>
        <w:pStyle w:val="SingleTxtG"/>
        <w:rPr>
          <w:lang w:val="fr-FR"/>
        </w:rPr>
      </w:pPr>
      <w:r w:rsidRPr="00293268">
        <w:rPr>
          <w:lang w:val="fr-FR"/>
        </w:rPr>
        <w:t>265.</w:t>
      </w:r>
      <w:r w:rsidRPr="00293268">
        <w:rPr>
          <w:lang w:val="fr-FR"/>
        </w:rPr>
        <w:tab/>
      </w:r>
      <w:r w:rsidRPr="00140A24">
        <w:rPr>
          <w:lang w:val="fr-FR"/>
        </w:rPr>
        <w:t xml:space="preserve">Des </w:t>
      </w:r>
      <w:r>
        <w:rPr>
          <w:lang w:val="fr-FR"/>
        </w:rPr>
        <w:t>déclarations</w:t>
      </w:r>
      <w:r w:rsidRPr="00140A24">
        <w:rPr>
          <w:lang w:val="fr-FR"/>
        </w:rPr>
        <w:t xml:space="preserve"> similaires </w:t>
      </w:r>
      <w:r>
        <w:rPr>
          <w:lang w:val="fr-FR"/>
        </w:rPr>
        <w:t>ont été faites par le</w:t>
      </w:r>
      <w:r w:rsidRPr="00140A24">
        <w:rPr>
          <w:lang w:val="fr-FR"/>
        </w:rPr>
        <w:t xml:space="preserve"> secteur privé aux États-Unis</w:t>
      </w:r>
      <w:r w:rsidRPr="00CD6B67">
        <w:rPr>
          <w:rStyle w:val="FootnoteReference"/>
        </w:rPr>
        <w:footnoteReference w:id="696"/>
      </w:r>
      <w:r>
        <w:rPr>
          <w:lang w:val="fr-FR"/>
        </w:rPr>
        <w:t>.</w:t>
      </w:r>
      <w:r w:rsidRPr="00293268">
        <w:rPr>
          <w:lang w:val="fr-FR"/>
        </w:rPr>
        <w:t xml:space="preserve"> </w:t>
      </w:r>
      <w:r w:rsidRPr="00347EC0">
        <w:rPr>
          <w:lang w:val="fr-FR"/>
        </w:rPr>
        <w:t>Ainsi, la Wachovia Corporation a présenté ses excuses après qu</w:t>
      </w:r>
      <w:r>
        <w:rPr>
          <w:lang w:val="fr-FR"/>
        </w:rPr>
        <w:t>’</w:t>
      </w:r>
      <w:r w:rsidRPr="00347EC0">
        <w:rPr>
          <w:lang w:val="fr-FR"/>
        </w:rPr>
        <w:t xml:space="preserve">une </w:t>
      </w:r>
      <w:r>
        <w:rPr>
          <w:lang w:val="fr-FR"/>
        </w:rPr>
        <w:t>enquête</w:t>
      </w:r>
      <w:r w:rsidRPr="00347EC0">
        <w:rPr>
          <w:lang w:val="fr-FR"/>
        </w:rPr>
        <w:t xml:space="preserve"> </w:t>
      </w:r>
      <w:r>
        <w:rPr>
          <w:lang w:val="fr-FR"/>
        </w:rPr>
        <w:t>eut</w:t>
      </w:r>
      <w:r w:rsidRPr="00347EC0">
        <w:rPr>
          <w:lang w:val="fr-FR"/>
        </w:rPr>
        <w:t xml:space="preserve"> révélé qu</w:t>
      </w:r>
      <w:r>
        <w:rPr>
          <w:lang w:val="fr-FR"/>
        </w:rPr>
        <w:t>’</w:t>
      </w:r>
      <w:r w:rsidRPr="00347EC0">
        <w:rPr>
          <w:lang w:val="fr-FR"/>
        </w:rPr>
        <w:t xml:space="preserve">elle avait acheté deux banques qui possédaient des esclaves </w:t>
      </w:r>
      <w:r>
        <w:rPr>
          <w:lang w:val="fr-FR"/>
        </w:rPr>
        <w:t>que celles-ci</w:t>
      </w:r>
      <w:r w:rsidRPr="00347EC0">
        <w:rPr>
          <w:lang w:val="fr-FR"/>
        </w:rPr>
        <w:t xml:space="preserve"> avai</w:t>
      </w:r>
      <w:r>
        <w:rPr>
          <w:lang w:val="fr-FR"/>
        </w:rPr>
        <w:t>en</w:t>
      </w:r>
      <w:r w:rsidRPr="00347EC0">
        <w:rPr>
          <w:lang w:val="fr-FR"/>
        </w:rPr>
        <w:t>t accepté</w:t>
      </w:r>
      <w:r>
        <w:rPr>
          <w:lang w:val="fr-FR"/>
        </w:rPr>
        <w:t>s</w:t>
      </w:r>
      <w:r w:rsidRPr="00347EC0">
        <w:rPr>
          <w:lang w:val="fr-FR"/>
        </w:rPr>
        <w:t xml:space="preserve"> comme paiement</w:t>
      </w:r>
      <w:r w:rsidRPr="00CD6B67">
        <w:rPr>
          <w:rStyle w:val="FootnoteReference"/>
        </w:rPr>
        <w:footnoteReference w:id="697"/>
      </w:r>
      <w:r w:rsidRPr="00CA260E">
        <w:rPr>
          <w:rStyle w:val="FootnoteReference"/>
          <w:sz w:val="20"/>
          <w:vertAlign w:val="baseline"/>
        </w:rPr>
        <w:t>.</w:t>
      </w:r>
      <w:r w:rsidRPr="00293268">
        <w:rPr>
          <w:lang w:val="fr-FR"/>
        </w:rPr>
        <w:t xml:space="preserve"> </w:t>
      </w:r>
      <w:r>
        <w:rPr>
          <w:lang w:val="fr-FR"/>
        </w:rPr>
        <w:t>E</w:t>
      </w:r>
      <w:r w:rsidRPr="00293268">
        <w:rPr>
          <w:lang w:val="fr-FR"/>
        </w:rPr>
        <w:t xml:space="preserve">n 2005, </w:t>
      </w:r>
      <w:r>
        <w:rPr>
          <w:lang w:val="fr-FR"/>
        </w:rPr>
        <w:t xml:space="preserve">JP Morgan </w:t>
      </w:r>
      <w:r w:rsidRPr="00AC26A7">
        <w:rPr>
          <w:lang w:val="fr-FR"/>
        </w:rPr>
        <w:t xml:space="preserve">a accepté de </w:t>
      </w:r>
      <w:r w:rsidR="00FF0B8A">
        <w:rPr>
          <w:lang w:val="fr-FR"/>
        </w:rPr>
        <w:t>verser 5 </w:t>
      </w:r>
      <w:r w:rsidRPr="00AC26A7">
        <w:rPr>
          <w:lang w:val="fr-FR"/>
        </w:rPr>
        <w:t xml:space="preserve">millions de dollars </w:t>
      </w:r>
      <w:r w:rsidR="00FF0B8A">
        <w:rPr>
          <w:lang w:val="fr-FR"/>
        </w:rPr>
        <w:t>des États-Unis</w:t>
      </w:r>
      <w:r w:rsidRPr="00AC26A7">
        <w:rPr>
          <w:lang w:val="fr-FR"/>
        </w:rPr>
        <w:t xml:space="preserve"> sur cinq ans pour payer l</w:t>
      </w:r>
      <w:r>
        <w:rPr>
          <w:lang w:val="fr-FR"/>
        </w:rPr>
        <w:t>’</w:t>
      </w:r>
      <w:r w:rsidRPr="00AC26A7">
        <w:rPr>
          <w:lang w:val="fr-FR"/>
        </w:rPr>
        <w:t>intégralité des frais de scolarité d</w:t>
      </w:r>
      <w:r>
        <w:rPr>
          <w:lang w:val="fr-FR"/>
        </w:rPr>
        <w:t>’</w:t>
      </w:r>
      <w:r w:rsidRPr="00AC26A7">
        <w:rPr>
          <w:lang w:val="fr-FR"/>
        </w:rPr>
        <w:t xml:space="preserve">étudiants afro-américains dans un collège de Louisiane, après avoir découvert que deux </w:t>
      </w:r>
      <w:r>
        <w:rPr>
          <w:lang w:val="fr-FR"/>
        </w:rPr>
        <w:t>de c</w:t>
      </w:r>
      <w:r w:rsidRPr="00AC26A7">
        <w:rPr>
          <w:lang w:val="fr-FR"/>
        </w:rPr>
        <w:t>es banques</w:t>
      </w:r>
      <w:r>
        <w:rPr>
          <w:lang w:val="fr-FR"/>
        </w:rPr>
        <w:t xml:space="preserve"> ancestrales </w:t>
      </w:r>
      <w:r w:rsidRPr="00A37334">
        <w:rPr>
          <w:lang w:val="fr-FR"/>
        </w:rPr>
        <w:t xml:space="preserve">avaient accepté de prendre </w:t>
      </w:r>
      <w:r>
        <w:rPr>
          <w:lang w:val="fr-FR"/>
        </w:rPr>
        <w:t>des</w:t>
      </w:r>
      <w:r w:rsidRPr="00A37334">
        <w:rPr>
          <w:lang w:val="fr-FR"/>
        </w:rPr>
        <w:t xml:space="preserve"> esclaves comme garanties sur des prêts et pris possession de 1</w:t>
      </w:r>
      <w:r>
        <w:rPr>
          <w:lang w:val="fr-FR"/>
        </w:rPr>
        <w:t> </w:t>
      </w:r>
      <w:r w:rsidRPr="00A37334">
        <w:rPr>
          <w:lang w:val="fr-FR"/>
        </w:rPr>
        <w:t>250 d</w:t>
      </w:r>
      <w:r>
        <w:rPr>
          <w:lang w:val="fr-FR"/>
        </w:rPr>
        <w:t>’</w:t>
      </w:r>
      <w:r w:rsidRPr="00A37334">
        <w:rPr>
          <w:lang w:val="fr-FR"/>
        </w:rPr>
        <w:t xml:space="preserve">entre eux </w:t>
      </w:r>
      <w:r>
        <w:rPr>
          <w:lang w:val="fr-FR"/>
        </w:rPr>
        <w:t xml:space="preserve">en Louisiane </w:t>
      </w:r>
      <w:r w:rsidRPr="00A37334">
        <w:rPr>
          <w:lang w:val="fr-FR"/>
        </w:rPr>
        <w:t xml:space="preserve">quand les </w:t>
      </w:r>
      <w:r>
        <w:rPr>
          <w:lang w:val="fr-FR"/>
        </w:rPr>
        <w:t>emprunteurs</w:t>
      </w:r>
      <w:r w:rsidRPr="00A37334">
        <w:rPr>
          <w:lang w:val="fr-FR"/>
        </w:rPr>
        <w:t xml:space="preserve"> n</w:t>
      </w:r>
      <w:r>
        <w:rPr>
          <w:lang w:val="fr-FR"/>
        </w:rPr>
        <w:t>’</w:t>
      </w:r>
      <w:r w:rsidRPr="00A37334">
        <w:rPr>
          <w:lang w:val="fr-FR"/>
        </w:rPr>
        <w:t xml:space="preserve">avaient </w:t>
      </w:r>
      <w:r>
        <w:rPr>
          <w:lang w:val="fr-FR"/>
        </w:rPr>
        <w:t xml:space="preserve">pas </w:t>
      </w:r>
      <w:r w:rsidRPr="00A37334">
        <w:rPr>
          <w:lang w:val="fr-FR"/>
        </w:rPr>
        <w:t>pu honorer leurs remboursements</w:t>
      </w:r>
      <w:r w:rsidRPr="00CD6B67">
        <w:rPr>
          <w:rStyle w:val="FootnoteReference"/>
        </w:rPr>
        <w:footnoteReference w:id="698"/>
      </w:r>
      <w:r>
        <w:rPr>
          <w:lang w:val="fr-FR"/>
        </w:rPr>
        <w:t>.</w:t>
      </w:r>
      <w:r w:rsidRPr="00293268">
        <w:rPr>
          <w:lang w:val="fr-FR"/>
        </w:rPr>
        <w:t xml:space="preserve"> </w:t>
      </w:r>
      <w:r>
        <w:rPr>
          <w:lang w:val="fr-FR"/>
        </w:rPr>
        <w:t xml:space="preserve">En 2000, un quotidien, </w:t>
      </w:r>
      <w:r w:rsidRPr="00A73B0B">
        <w:rPr>
          <w:i/>
          <w:iCs/>
          <w:lang w:val="fr-FR"/>
        </w:rPr>
        <w:t>The Hartford Courant</w:t>
      </w:r>
      <w:r w:rsidRPr="00293268">
        <w:rPr>
          <w:lang w:val="fr-FR"/>
        </w:rPr>
        <w:t xml:space="preserve">, </w:t>
      </w:r>
      <w:r>
        <w:rPr>
          <w:lang w:val="fr-FR"/>
        </w:rPr>
        <w:t xml:space="preserve">a publié ses excuses en première page pour les bénéfices qu’il avait retirés de la parution d’annonces pour la vente d’Africains réduits en esclavage et la </w:t>
      </w:r>
      <w:r w:rsidRPr="002D2DDA">
        <w:rPr>
          <w:lang w:val="fr-FR"/>
        </w:rPr>
        <w:t>capture de ceux qui s</w:t>
      </w:r>
      <w:r>
        <w:rPr>
          <w:lang w:val="fr-FR"/>
        </w:rPr>
        <w:t>’</w:t>
      </w:r>
      <w:r w:rsidRPr="002D2DDA">
        <w:rPr>
          <w:lang w:val="fr-FR"/>
        </w:rPr>
        <w:t>étaient échappés</w:t>
      </w:r>
      <w:r w:rsidRPr="00CD6B67">
        <w:rPr>
          <w:rStyle w:val="FootnoteReference"/>
        </w:rPr>
        <w:footnoteReference w:id="699"/>
      </w:r>
      <w:r>
        <w:rPr>
          <w:lang w:val="fr-FR"/>
        </w:rPr>
        <w:t>.</w:t>
      </w:r>
    </w:p>
    <w:p w14:paraId="779338AF" w14:textId="77777777" w:rsidR="00D301C6" w:rsidRPr="00293268" w:rsidRDefault="00D301C6" w:rsidP="00D301C6">
      <w:pPr>
        <w:pStyle w:val="H23G"/>
        <w:rPr>
          <w:lang w:val="fr-FR"/>
        </w:rPr>
      </w:pPr>
      <w:bookmarkStart w:id="1228" w:name="_Toc63766562"/>
      <w:bookmarkStart w:id="1229" w:name="_Toc63941403"/>
      <w:bookmarkStart w:id="1230" w:name="_Toc64298299"/>
      <w:bookmarkStart w:id="1231" w:name="_Toc64373159"/>
      <w:bookmarkStart w:id="1232" w:name="_Toc64379821"/>
      <w:bookmarkStart w:id="1233" w:name="_Toc72335557"/>
      <w:bookmarkStart w:id="1234" w:name="_Toc74143650"/>
      <w:bookmarkStart w:id="1235" w:name="_Toc74170925"/>
      <w:bookmarkStart w:id="1236" w:name="_Toc74721042"/>
      <w:bookmarkStart w:id="1237" w:name="_Toc74923026"/>
      <w:r w:rsidRPr="00293268">
        <w:rPr>
          <w:lang w:val="fr-FR"/>
        </w:rPr>
        <w:tab/>
        <w:t>3.</w:t>
      </w:r>
      <w:r w:rsidRPr="00293268">
        <w:rPr>
          <w:lang w:val="fr-FR"/>
        </w:rPr>
        <w:tab/>
        <w:t>M</w:t>
      </w:r>
      <w:r>
        <w:rPr>
          <w:lang w:val="fr-FR"/>
        </w:rPr>
        <w:t>é</w:t>
      </w:r>
      <w:r w:rsidRPr="00293268">
        <w:rPr>
          <w:lang w:val="fr-FR"/>
        </w:rPr>
        <w:t>moriali</w:t>
      </w:r>
      <w:r>
        <w:rPr>
          <w:lang w:val="fr-FR"/>
        </w:rPr>
        <w:t>s</w:t>
      </w:r>
      <w:r w:rsidRPr="00293268">
        <w:rPr>
          <w:lang w:val="fr-FR"/>
        </w:rPr>
        <w:t>ation</w:t>
      </w:r>
      <w:bookmarkEnd w:id="1228"/>
      <w:bookmarkEnd w:id="1229"/>
      <w:bookmarkEnd w:id="1230"/>
      <w:bookmarkEnd w:id="1231"/>
      <w:bookmarkEnd w:id="1232"/>
      <w:bookmarkEnd w:id="1233"/>
      <w:bookmarkEnd w:id="1234"/>
      <w:bookmarkEnd w:id="1235"/>
      <w:bookmarkEnd w:id="1236"/>
      <w:bookmarkEnd w:id="1237"/>
    </w:p>
    <w:p w14:paraId="65F28749" w14:textId="423171B8" w:rsidR="00D301C6" w:rsidRPr="00293268" w:rsidRDefault="00D301C6" w:rsidP="00D301C6">
      <w:pPr>
        <w:pStyle w:val="SingleTxtG"/>
        <w:rPr>
          <w:lang w:val="fr-FR"/>
        </w:rPr>
      </w:pPr>
      <w:r w:rsidRPr="00293268">
        <w:rPr>
          <w:lang w:val="fr-FR"/>
        </w:rPr>
        <w:t>266.</w:t>
      </w:r>
      <w:r w:rsidRPr="00293268">
        <w:rPr>
          <w:lang w:val="fr-FR"/>
        </w:rPr>
        <w:tab/>
      </w:r>
      <w:r w:rsidRPr="00F33666">
        <w:rPr>
          <w:lang w:val="fr-FR"/>
        </w:rPr>
        <w:t>Les commémorations et hommages aux victimes permettent de garder vivante leur mémoire. Aux États-Unis, les projets de commémoration comprennent la récente décision de promulguer le 19</w:t>
      </w:r>
      <w:r w:rsidR="00871803">
        <w:rPr>
          <w:lang w:val="fr-FR"/>
        </w:rPr>
        <w:t> </w:t>
      </w:r>
      <w:r w:rsidRPr="00F33666">
        <w:rPr>
          <w:lang w:val="fr-FR"/>
        </w:rPr>
        <w:t>juin (</w:t>
      </w:r>
      <w:r w:rsidR="00871803">
        <w:rPr>
          <w:lang w:val="fr-FR"/>
        </w:rPr>
        <w:t>« </w:t>
      </w:r>
      <w:r w:rsidRPr="00871803">
        <w:rPr>
          <w:i/>
          <w:iCs/>
          <w:lang w:val="fr-FR"/>
        </w:rPr>
        <w:t>Juneteenth</w:t>
      </w:r>
      <w:r w:rsidR="00871803">
        <w:rPr>
          <w:lang w:val="fr-FR"/>
        </w:rPr>
        <w:t> »</w:t>
      </w:r>
      <w:r w:rsidRPr="00F33666">
        <w:rPr>
          <w:lang w:val="fr-FR"/>
        </w:rPr>
        <w:t>) nouveau jour férié fédéral</w:t>
      </w:r>
      <w:r w:rsidRPr="00CD6B67">
        <w:rPr>
          <w:rStyle w:val="FootnoteReference"/>
        </w:rPr>
        <w:footnoteReference w:id="700"/>
      </w:r>
      <w:r>
        <w:rPr>
          <w:lang w:val="fr-FR"/>
        </w:rPr>
        <w:t>,</w:t>
      </w:r>
      <w:r w:rsidRPr="00293268">
        <w:rPr>
          <w:lang w:val="fr-FR"/>
        </w:rPr>
        <w:t xml:space="preserve"> </w:t>
      </w:r>
      <w:r w:rsidRPr="00CA6E6D">
        <w:rPr>
          <w:lang w:val="fr-FR"/>
        </w:rPr>
        <w:t>ainsi que des initiatives telles que le Legacy Museum et le National Memorial for Peace and Justice (Mémorial national pour la paix et la justice) à Montgomery, en Alabama. Il s</w:t>
      </w:r>
      <w:r>
        <w:rPr>
          <w:lang w:val="fr-FR"/>
        </w:rPr>
        <w:t>’</w:t>
      </w:r>
      <w:r w:rsidRPr="00CA6E6D">
        <w:rPr>
          <w:lang w:val="fr-FR"/>
        </w:rPr>
        <w:t xml:space="preserve">agit du premier mémorial du pays dédié aux Noirs réduits en esclavage, aux personnes terrorisées par le lynchage, aux Afro-Américains humiliés par la ségrégation raciale et les lois Jim Crow et aux personnes de couleur accablées par les </w:t>
      </w:r>
      <w:r w:rsidRPr="00C47A8A">
        <w:rPr>
          <w:lang w:val="fr-FR"/>
        </w:rPr>
        <w:t>présomptions contemporaines de</w:t>
      </w:r>
      <w:r w:rsidRPr="00CA6E6D">
        <w:rPr>
          <w:lang w:val="fr-FR"/>
        </w:rPr>
        <w:t xml:space="preserve"> culpabilité et les violences policières</w:t>
      </w:r>
      <w:r w:rsidRPr="00CD6B67">
        <w:rPr>
          <w:rStyle w:val="FootnoteReference"/>
        </w:rPr>
        <w:footnoteReference w:id="701"/>
      </w:r>
      <w:r>
        <w:rPr>
          <w:lang w:val="fr-FR"/>
        </w:rPr>
        <w:t>.</w:t>
      </w:r>
    </w:p>
    <w:p w14:paraId="243CFA13" w14:textId="4991B911" w:rsidR="00D301C6" w:rsidRPr="00293268" w:rsidRDefault="00D301C6" w:rsidP="00D301C6">
      <w:pPr>
        <w:pStyle w:val="SingleTxtG"/>
        <w:rPr>
          <w:lang w:val="fr-FR"/>
        </w:rPr>
      </w:pPr>
      <w:r w:rsidRPr="00293268">
        <w:rPr>
          <w:lang w:val="fr-FR"/>
        </w:rPr>
        <w:t>267.</w:t>
      </w:r>
      <w:r w:rsidRPr="00293268">
        <w:rPr>
          <w:lang w:val="fr-FR"/>
        </w:rPr>
        <w:tab/>
      </w:r>
      <w:r w:rsidRPr="00CB717D">
        <w:rPr>
          <w:lang w:val="fr-FR"/>
        </w:rPr>
        <w:t>Le massacre de Tulsa, en 1921, continue de retenir l</w:t>
      </w:r>
      <w:r>
        <w:rPr>
          <w:lang w:val="fr-FR"/>
        </w:rPr>
        <w:t>’</w:t>
      </w:r>
      <w:r w:rsidRPr="00CB717D">
        <w:rPr>
          <w:lang w:val="fr-FR"/>
        </w:rPr>
        <w:t xml:space="preserve">attention. Selon les informations, une </w:t>
      </w:r>
      <w:r>
        <w:rPr>
          <w:lang w:val="fr-FR"/>
        </w:rPr>
        <w:t>horde</w:t>
      </w:r>
      <w:r w:rsidRPr="00CB717D">
        <w:rPr>
          <w:lang w:val="fr-FR"/>
        </w:rPr>
        <w:t xml:space="preserve"> blanche </w:t>
      </w:r>
      <w:r>
        <w:rPr>
          <w:lang w:val="fr-FR"/>
        </w:rPr>
        <w:t>a déferlé</w:t>
      </w:r>
      <w:r w:rsidRPr="00CB717D">
        <w:rPr>
          <w:lang w:val="fr-FR"/>
        </w:rPr>
        <w:t xml:space="preserve"> sur Greenwood, quartier commercial noir prospère de Tulsa dans l</w:t>
      </w:r>
      <w:r>
        <w:rPr>
          <w:lang w:val="fr-FR"/>
        </w:rPr>
        <w:t>’</w:t>
      </w:r>
      <w:r w:rsidRPr="00CB717D">
        <w:rPr>
          <w:lang w:val="fr-FR"/>
        </w:rPr>
        <w:t xml:space="preserve">Oklahoma, alors connu sous le nom de </w:t>
      </w:r>
      <w:r w:rsidR="00756686">
        <w:rPr>
          <w:lang w:val="fr-FR"/>
        </w:rPr>
        <w:t>« </w:t>
      </w:r>
      <w:r w:rsidRPr="00CB717D">
        <w:rPr>
          <w:lang w:val="fr-FR"/>
        </w:rPr>
        <w:t>Wall Street noir</w:t>
      </w:r>
      <w:r w:rsidR="00756686">
        <w:rPr>
          <w:lang w:val="fr-FR"/>
        </w:rPr>
        <w:t> »</w:t>
      </w:r>
      <w:r>
        <w:rPr>
          <w:lang w:val="fr-FR"/>
        </w:rPr>
        <w:t>,</w:t>
      </w:r>
      <w:r w:rsidRPr="00CB717D">
        <w:rPr>
          <w:lang w:val="fr-FR"/>
        </w:rPr>
        <w:t xml:space="preserve"> et détruit 35</w:t>
      </w:r>
      <w:r w:rsidR="00756686">
        <w:rPr>
          <w:lang w:val="fr-FR"/>
        </w:rPr>
        <w:t> </w:t>
      </w:r>
      <w:r w:rsidRPr="00CB717D">
        <w:rPr>
          <w:lang w:val="fr-FR"/>
        </w:rPr>
        <w:t>pâtés de maisons, incendié plus de 1</w:t>
      </w:r>
      <w:r w:rsidR="00756686">
        <w:rPr>
          <w:lang w:val="fr-FR"/>
        </w:rPr>
        <w:t> </w:t>
      </w:r>
      <w:r w:rsidRPr="00CB717D">
        <w:rPr>
          <w:lang w:val="fr-FR"/>
        </w:rPr>
        <w:t xml:space="preserve">200 maisons appartenant à des Noirs, des dizaines de commerces, une école, un hôpital, une bibliothèque publique et une </w:t>
      </w:r>
      <w:r>
        <w:rPr>
          <w:lang w:val="fr-FR"/>
        </w:rPr>
        <w:t>dizaine</w:t>
      </w:r>
      <w:r w:rsidRPr="00CB717D">
        <w:rPr>
          <w:lang w:val="fr-FR"/>
        </w:rPr>
        <w:t xml:space="preserve"> d</w:t>
      </w:r>
      <w:r>
        <w:rPr>
          <w:lang w:val="fr-FR"/>
        </w:rPr>
        <w:t>’</w:t>
      </w:r>
      <w:r w:rsidRPr="00CB717D">
        <w:rPr>
          <w:lang w:val="fr-FR"/>
        </w:rPr>
        <w:t>églises noires</w:t>
      </w:r>
      <w:r>
        <w:rPr>
          <w:lang w:val="fr-FR"/>
        </w:rPr>
        <w:t xml:space="preserve">, tuant </w:t>
      </w:r>
      <w:r w:rsidRPr="00CB717D">
        <w:rPr>
          <w:lang w:val="fr-FR"/>
        </w:rPr>
        <w:t>pas moins de 300</w:t>
      </w:r>
      <w:r w:rsidR="00756686">
        <w:rPr>
          <w:lang w:val="fr-FR"/>
        </w:rPr>
        <w:t> </w:t>
      </w:r>
      <w:r w:rsidRPr="00CB717D">
        <w:rPr>
          <w:lang w:val="fr-FR"/>
        </w:rPr>
        <w:t>personnes</w:t>
      </w:r>
      <w:r w:rsidRPr="00CD6B67">
        <w:rPr>
          <w:rStyle w:val="FootnoteReference"/>
        </w:rPr>
        <w:footnoteReference w:id="702"/>
      </w:r>
      <w:r>
        <w:rPr>
          <w:lang w:val="fr-FR"/>
        </w:rPr>
        <w:t>.</w:t>
      </w:r>
      <w:r w:rsidRPr="00293268">
        <w:rPr>
          <w:lang w:val="fr-FR"/>
        </w:rPr>
        <w:t xml:space="preserve"> </w:t>
      </w:r>
      <w:r w:rsidRPr="00087871">
        <w:rPr>
          <w:lang w:val="fr-FR"/>
        </w:rPr>
        <w:t>Parmi les initiatives connexes, il convient de mentionner la collaboration entre la Commission du centenaire du massacre de Tulsa et les établissements scolaires dans le but d</w:t>
      </w:r>
      <w:r>
        <w:rPr>
          <w:lang w:val="fr-FR"/>
        </w:rPr>
        <w:t>’</w:t>
      </w:r>
      <w:r w:rsidRPr="00087871">
        <w:rPr>
          <w:lang w:val="fr-FR"/>
        </w:rPr>
        <w:t>élaborer un programme d</w:t>
      </w:r>
      <w:r>
        <w:rPr>
          <w:lang w:val="fr-FR"/>
        </w:rPr>
        <w:t>’</w:t>
      </w:r>
      <w:r w:rsidRPr="00087871">
        <w:rPr>
          <w:lang w:val="fr-FR"/>
        </w:rPr>
        <w:t>études sur le massacre de Tulsa et de parrainer l</w:t>
      </w:r>
      <w:r>
        <w:rPr>
          <w:lang w:val="fr-FR"/>
        </w:rPr>
        <w:t>’</w:t>
      </w:r>
      <w:r w:rsidRPr="00087871">
        <w:rPr>
          <w:lang w:val="fr-FR"/>
        </w:rPr>
        <w:t>exécution d</w:t>
      </w:r>
      <w:r>
        <w:rPr>
          <w:lang w:val="fr-FR"/>
        </w:rPr>
        <w:t>’</w:t>
      </w:r>
      <w:r w:rsidRPr="00087871">
        <w:rPr>
          <w:lang w:val="fr-FR"/>
        </w:rPr>
        <w:t>une peinture murale du quartier à proximité du centre culturel de Greenwood (voir ci</w:t>
      </w:r>
      <w:r w:rsidR="00756686">
        <w:rPr>
          <w:lang w:val="fr-FR"/>
        </w:rPr>
        <w:noBreakHyphen/>
      </w:r>
      <w:r w:rsidRPr="00087871">
        <w:rPr>
          <w:lang w:val="fr-FR"/>
        </w:rPr>
        <w:t>dessous). En septembre 2020, la Tulsa Community Remembrance Coalition a inauguré une plaque commémorative devant l</w:t>
      </w:r>
      <w:r>
        <w:rPr>
          <w:lang w:val="fr-FR"/>
        </w:rPr>
        <w:t>’</w:t>
      </w:r>
      <w:r w:rsidRPr="00087871">
        <w:rPr>
          <w:lang w:val="fr-FR"/>
        </w:rPr>
        <w:t>église historique Vernon AME</w:t>
      </w:r>
      <w:r w:rsidRPr="00CD6B67">
        <w:rPr>
          <w:rStyle w:val="FootnoteReference"/>
        </w:rPr>
        <w:footnoteReference w:id="703"/>
      </w:r>
      <w:r w:rsidRPr="00293268">
        <w:rPr>
          <w:lang w:val="fr-FR"/>
        </w:rPr>
        <w:t xml:space="preserve"> </w:t>
      </w:r>
      <w:r>
        <w:rPr>
          <w:lang w:val="fr-FR"/>
        </w:rPr>
        <w:t>et, en</w:t>
      </w:r>
      <w:r w:rsidRPr="00293268">
        <w:rPr>
          <w:lang w:val="fr-FR"/>
        </w:rPr>
        <w:t xml:space="preserve"> 2021</w:t>
      </w:r>
      <w:r>
        <w:rPr>
          <w:lang w:val="fr-FR"/>
        </w:rPr>
        <w:t>,</w:t>
      </w:r>
      <w:r w:rsidRPr="00293268">
        <w:rPr>
          <w:lang w:val="fr-FR"/>
        </w:rPr>
        <w:t xml:space="preserve"> </w:t>
      </w:r>
      <w:r w:rsidRPr="009C19B0">
        <w:rPr>
          <w:lang w:val="fr-FR"/>
        </w:rPr>
        <w:t xml:space="preserve">le Président des États-Unis est devenu le premier </w:t>
      </w:r>
      <w:r w:rsidR="008321BE">
        <w:rPr>
          <w:lang w:val="fr-FR"/>
        </w:rPr>
        <w:t>P</w:t>
      </w:r>
      <w:r w:rsidRPr="009C19B0">
        <w:rPr>
          <w:lang w:val="fr-FR"/>
        </w:rPr>
        <w:t xml:space="preserve">résident </w:t>
      </w:r>
      <w:r>
        <w:rPr>
          <w:lang w:val="fr-FR"/>
        </w:rPr>
        <w:t xml:space="preserve">américain </w:t>
      </w:r>
      <w:r w:rsidRPr="009C19B0">
        <w:rPr>
          <w:lang w:val="fr-FR"/>
        </w:rPr>
        <w:t>à se rendre à Tulsa pour l</w:t>
      </w:r>
      <w:r>
        <w:rPr>
          <w:lang w:val="fr-FR"/>
        </w:rPr>
        <w:t>’</w:t>
      </w:r>
      <w:r w:rsidRPr="009C19B0">
        <w:rPr>
          <w:lang w:val="fr-FR"/>
        </w:rPr>
        <w:t>anniversaire de ce qu</w:t>
      </w:r>
      <w:r>
        <w:rPr>
          <w:lang w:val="fr-FR"/>
        </w:rPr>
        <w:t>’</w:t>
      </w:r>
      <w:r w:rsidRPr="009C19B0">
        <w:rPr>
          <w:lang w:val="fr-FR"/>
        </w:rPr>
        <w:t>il a qualifié de massacre. Dans son discours, il a indiqué qu</w:t>
      </w:r>
      <w:r>
        <w:rPr>
          <w:lang w:val="fr-FR"/>
        </w:rPr>
        <w:t>’il fallait</w:t>
      </w:r>
      <w:r w:rsidRPr="009C19B0">
        <w:rPr>
          <w:lang w:val="fr-FR"/>
        </w:rPr>
        <w:t xml:space="preserve"> </w:t>
      </w:r>
      <w:r w:rsidR="008321BE">
        <w:rPr>
          <w:lang w:val="fr-FR"/>
        </w:rPr>
        <w:t>« </w:t>
      </w:r>
      <w:r w:rsidRPr="009C19B0">
        <w:rPr>
          <w:lang w:val="fr-FR"/>
        </w:rPr>
        <w:t>affronter ce qui reste une tache sur l</w:t>
      </w:r>
      <w:r>
        <w:rPr>
          <w:lang w:val="fr-FR"/>
        </w:rPr>
        <w:t>’</w:t>
      </w:r>
      <w:r w:rsidRPr="009C19B0">
        <w:rPr>
          <w:lang w:val="fr-FR"/>
        </w:rPr>
        <w:t>âme de notre nation. Ce qui s</w:t>
      </w:r>
      <w:r>
        <w:rPr>
          <w:lang w:val="fr-FR"/>
        </w:rPr>
        <w:t>’</w:t>
      </w:r>
      <w:r w:rsidRPr="009C19B0">
        <w:rPr>
          <w:lang w:val="fr-FR"/>
        </w:rPr>
        <w:t>est passé à Greenwood était un acte de haine et de terrorisme intérieur dont le fil conducteur existe encore aujourd</w:t>
      </w:r>
      <w:r>
        <w:rPr>
          <w:lang w:val="fr-FR"/>
        </w:rPr>
        <w:t>’</w:t>
      </w:r>
      <w:r w:rsidRPr="009C19B0">
        <w:rPr>
          <w:lang w:val="fr-FR"/>
        </w:rPr>
        <w:t>hui</w:t>
      </w:r>
      <w:r w:rsidR="008321BE">
        <w:rPr>
          <w:lang w:val="fr-FR"/>
        </w:rPr>
        <w:t> »</w:t>
      </w:r>
      <w:r w:rsidRPr="00CD6B67">
        <w:rPr>
          <w:rStyle w:val="FootnoteReference"/>
        </w:rPr>
        <w:footnoteReference w:id="704"/>
      </w:r>
      <w:r w:rsidR="008321BE">
        <w:rPr>
          <w:lang w:val="fr-FR"/>
        </w:rPr>
        <w:t>.</w:t>
      </w:r>
    </w:p>
    <w:p w14:paraId="52527CB9" w14:textId="4A682B8D" w:rsidR="00D301C6" w:rsidRPr="00293268" w:rsidRDefault="00D301C6" w:rsidP="00D301C6">
      <w:pPr>
        <w:pStyle w:val="SingleTxtG"/>
        <w:rPr>
          <w:lang w:val="fr-FR"/>
        </w:rPr>
      </w:pPr>
      <w:r w:rsidRPr="00293268">
        <w:rPr>
          <w:lang w:val="fr-FR"/>
        </w:rPr>
        <w:t>268.</w:t>
      </w:r>
      <w:r w:rsidRPr="00293268">
        <w:rPr>
          <w:lang w:val="fr-FR"/>
        </w:rPr>
        <w:tab/>
      </w:r>
      <w:r w:rsidRPr="00C50368">
        <w:rPr>
          <w:lang w:val="fr-FR"/>
        </w:rPr>
        <w:t xml:space="preserve">Des appels ont été lancés en faveur du </w:t>
      </w:r>
      <w:r>
        <w:rPr>
          <w:lang w:val="fr-FR"/>
        </w:rPr>
        <w:t>démantèlement</w:t>
      </w:r>
      <w:r w:rsidRPr="00C50368">
        <w:rPr>
          <w:lang w:val="fr-FR"/>
        </w:rPr>
        <w:t xml:space="preserve"> de statues et de monuments controversés, y compris dans certains pays africains</w:t>
      </w:r>
      <w:r w:rsidRPr="00CD6B67">
        <w:rPr>
          <w:rStyle w:val="FootnoteReference"/>
        </w:rPr>
        <w:footnoteReference w:id="705"/>
      </w:r>
      <w:r w:rsidR="00CF2DD3">
        <w:rPr>
          <w:lang w:val="fr-FR"/>
        </w:rPr>
        <w:t>.</w:t>
      </w:r>
      <w:r w:rsidRPr="00B201E8">
        <w:rPr>
          <w:lang w:val="fr-FR"/>
        </w:rPr>
        <w:t xml:space="preserve"> Aux États-Unis et dans toute l</w:t>
      </w:r>
      <w:r>
        <w:rPr>
          <w:lang w:val="fr-FR"/>
        </w:rPr>
        <w:t>’</w:t>
      </w:r>
      <w:r w:rsidRPr="00B201E8">
        <w:rPr>
          <w:lang w:val="fr-FR"/>
        </w:rPr>
        <w:t xml:space="preserve">Europe, plusieurs villes ont entamé des </w:t>
      </w:r>
      <w:r>
        <w:rPr>
          <w:lang w:val="fr-FR"/>
        </w:rPr>
        <w:t>réflexions</w:t>
      </w:r>
      <w:r w:rsidRPr="00B201E8">
        <w:rPr>
          <w:lang w:val="fr-FR"/>
        </w:rPr>
        <w:t xml:space="preserve"> sur le retrait de statues à la gloire de personnalités ayant un lien avec l</w:t>
      </w:r>
      <w:r>
        <w:rPr>
          <w:lang w:val="fr-FR"/>
        </w:rPr>
        <w:t>’</w:t>
      </w:r>
      <w:r w:rsidRPr="00B201E8">
        <w:rPr>
          <w:lang w:val="fr-FR"/>
        </w:rPr>
        <w:t>esclavage, le commerce transatlantique d</w:t>
      </w:r>
      <w:r>
        <w:rPr>
          <w:lang w:val="fr-FR"/>
        </w:rPr>
        <w:t>’</w:t>
      </w:r>
      <w:r w:rsidRPr="00B201E8">
        <w:rPr>
          <w:lang w:val="fr-FR"/>
        </w:rPr>
        <w:t xml:space="preserve">Africains réduits en esclavage, le colonialisme ou les </w:t>
      </w:r>
      <w:r w:rsidRPr="00F66BA1">
        <w:rPr>
          <w:lang w:val="fr-FR"/>
        </w:rPr>
        <w:t xml:space="preserve">politiques et systèmes discriminatoires sur le plan racial qui se sont succédé au fil du temps </w:t>
      </w:r>
      <w:r w:rsidRPr="00B201E8">
        <w:rPr>
          <w:lang w:val="fr-FR"/>
        </w:rPr>
        <w:t>et/ou pour débaptiser les rues et lieux publics à leur mémoire</w:t>
      </w:r>
      <w:r w:rsidRPr="00CD6B67">
        <w:rPr>
          <w:rStyle w:val="FootnoteReference"/>
        </w:rPr>
        <w:footnoteReference w:id="706"/>
      </w:r>
      <w:r>
        <w:rPr>
          <w:lang w:val="fr-FR"/>
        </w:rPr>
        <w:t>.</w:t>
      </w:r>
      <w:r w:rsidRPr="00293268">
        <w:rPr>
          <w:lang w:val="fr-FR"/>
        </w:rPr>
        <w:t xml:space="preserve"> </w:t>
      </w:r>
      <w:r w:rsidRPr="00665DB2">
        <w:rPr>
          <w:lang w:val="fr-FR"/>
        </w:rPr>
        <w:t>Au Royaume-Uni, le maire de Londres a annoncé la création d</w:t>
      </w:r>
      <w:r>
        <w:rPr>
          <w:lang w:val="fr-FR"/>
        </w:rPr>
        <w:t>’</w:t>
      </w:r>
      <w:r w:rsidRPr="00665DB2">
        <w:rPr>
          <w:lang w:val="fr-FR"/>
        </w:rPr>
        <w:t xml:space="preserve">une commission pour la diversité dans </w:t>
      </w:r>
      <w:r>
        <w:rPr>
          <w:lang w:val="fr-FR"/>
        </w:rPr>
        <w:t>le domaine</w:t>
      </w:r>
      <w:r w:rsidRPr="00665DB2">
        <w:rPr>
          <w:lang w:val="fr-FR"/>
        </w:rPr>
        <w:t xml:space="preserve"> public chargée d</w:t>
      </w:r>
      <w:r>
        <w:rPr>
          <w:lang w:val="fr-FR"/>
        </w:rPr>
        <w:t>’</w:t>
      </w:r>
      <w:r w:rsidRPr="00665DB2">
        <w:rPr>
          <w:lang w:val="fr-FR"/>
        </w:rPr>
        <w:t xml:space="preserve">examiner les monuments </w:t>
      </w:r>
      <w:r>
        <w:rPr>
          <w:lang w:val="fr-FR"/>
        </w:rPr>
        <w:t xml:space="preserve">publics </w:t>
      </w:r>
      <w:r w:rsidRPr="00665DB2">
        <w:rPr>
          <w:lang w:val="fr-FR"/>
        </w:rPr>
        <w:t>londonien</w:t>
      </w:r>
      <w:r>
        <w:rPr>
          <w:lang w:val="fr-FR"/>
        </w:rPr>
        <w:t>s</w:t>
      </w:r>
      <w:r w:rsidRPr="00665DB2">
        <w:rPr>
          <w:lang w:val="fr-FR"/>
        </w:rPr>
        <w:t>, d</w:t>
      </w:r>
      <w:r>
        <w:rPr>
          <w:lang w:val="fr-FR"/>
        </w:rPr>
        <w:t>’</w:t>
      </w:r>
      <w:r w:rsidRPr="00665DB2">
        <w:rPr>
          <w:lang w:val="fr-FR"/>
        </w:rPr>
        <w:t>approfondir le débat sur les héritages du passé à célébrer et de formuler des recommandations visant à établir les meilleures normes et pratiques</w:t>
      </w:r>
      <w:r w:rsidRPr="00CD6B67">
        <w:rPr>
          <w:rStyle w:val="FootnoteReference"/>
        </w:rPr>
        <w:footnoteReference w:id="707"/>
      </w:r>
      <w:r>
        <w:rPr>
          <w:lang w:val="fr-FR"/>
        </w:rPr>
        <w:t>.</w:t>
      </w:r>
      <w:r w:rsidRPr="00293268">
        <w:rPr>
          <w:lang w:val="fr-FR"/>
        </w:rPr>
        <w:t xml:space="preserve"> </w:t>
      </w:r>
      <w:r w:rsidRPr="002A1592">
        <w:rPr>
          <w:lang w:val="fr-FR"/>
        </w:rPr>
        <w:t>Il a également plaidé en faveur de l</w:t>
      </w:r>
      <w:r>
        <w:rPr>
          <w:lang w:val="fr-FR"/>
        </w:rPr>
        <w:t>’</w:t>
      </w:r>
      <w:r w:rsidRPr="002A1592">
        <w:rPr>
          <w:lang w:val="fr-FR"/>
        </w:rPr>
        <w:t>érection d</w:t>
      </w:r>
      <w:r>
        <w:rPr>
          <w:lang w:val="fr-FR"/>
        </w:rPr>
        <w:t>’</w:t>
      </w:r>
      <w:r w:rsidRPr="002A1592">
        <w:rPr>
          <w:lang w:val="fr-FR"/>
        </w:rPr>
        <w:t>un mémorial national de l</w:t>
      </w:r>
      <w:r>
        <w:rPr>
          <w:lang w:val="fr-FR"/>
        </w:rPr>
        <w:t>’</w:t>
      </w:r>
      <w:r w:rsidRPr="002A1592">
        <w:rPr>
          <w:lang w:val="fr-FR"/>
        </w:rPr>
        <w:t>esclavage à Londres</w:t>
      </w:r>
      <w:r w:rsidRPr="00CD6B67">
        <w:rPr>
          <w:rStyle w:val="FootnoteReference"/>
        </w:rPr>
        <w:footnoteReference w:id="708"/>
      </w:r>
      <w:r>
        <w:rPr>
          <w:lang w:val="fr-FR"/>
        </w:rPr>
        <w:t>.</w:t>
      </w:r>
      <w:r w:rsidRPr="00293268">
        <w:rPr>
          <w:lang w:val="fr-FR"/>
        </w:rPr>
        <w:t xml:space="preserve"> </w:t>
      </w:r>
      <w:r w:rsidRPr="00E55A3A">
        <w:rPr>
          <w:lang w:val="fr-FR"/>
        </w:rPr>
        <w:t xml:space="preserve">En outre, le conseil municipal de Lambeth, à Londres, a </w:t>
      </w:r>
      <w:r>
        <w:rPr>
          <w:lang w:val="fr-FR"/>
        </w:rPr>
        <w:t>entrepris</w:t>
      </w:r>
      <w:r w:rsidRPr="00E55A3A">
        <w:rPr>
          <w:lang w:val="fr-FR"/>
        </w:rPr>
        <w:t xml:space="preserve"> un audit des monuments publics, statues, noms de rue et œuvres d</w:t>
      </w:r>
      <w:r>
        <w:rPr>
          <w:lang w:val="fr-FR"/>
        </w:rPr>
        <w:t>’</w:t>
      </w:r>
      <w:r w:rsidRPr="00E55A3A">
        <w:rPr>
          <w:lang w:val="fr-FR"/>
        </w:rPr>
        <w:t>art de l</w:t>
      </w:r>
      <w:r>
        <w:rPr>
          <w:lang w:val="fr-FR"/>
        </w:rPr>
        <w:t>’</w:t>
      </w:r>
      <w:r w:rsidRPr="00E55A3A">
        <w:rPr>
          <w:lang w:val="fr-FR"/>
        </w:rPr>
        <w:t>arrondissement à la recherche de liens avec l</w:t>
      </w:r>
      <w:r>
        <w:rPr>
          <w:lang w:val="fr-FR"/>
        </w:rPr>
        <w:t>’</w:t>
      </w:r>
      <w:r w:rsidRPr="00E55A3A">
        <w:rPr>
          <w:lang w:val="fr-FR"/>
        </w:rPr>
        <w:t>esclavage</w:t>
      </w:r>
      <w:r w:rsidRPr="00CD6B67">
        <w:rPr>
          <w:rStyle w:val="FootnoteReference"/>
        </w:rPr>
        <w:footnoteReference w:id="709"/>
      </w:r>
      <w:r>
        <w:rPr>
          <w:lang w:val="fr-FR"/>
        </w:rPr>
        <w:t>.</w:t>
      </w:r>
      <w:r w:rsidRPr="00293268">
        <w:rPr>
          <w:lang w:val="fr-FR"/>
        </w:rPr>
        <w:t xml:space="preserve"> </w:t>
      </w:r>
      <w:r w:rsidRPr="00316238">
        <w:rPr>
          <w:lang w:val="fr-FR"/>
        </w:rPr>
        <w:t xml:space="preserve">En Suisse, le maire de Zurich a </w:t>
      </w:r>
      <w:r>
        <w:rPr>
          <w:lang w:val="fr-FR"/>
        </w:rPr>
        <w:t>indiqué</w:t>
      </w:r>
      <w:r w:rsidRPr="00316238">
        <w:rPr>
          <w:lang w:val="fr-FR"/>
        </w:rPr>
        <w:t xml:space="preserve"> que la ville allait examiner comment la question de l</w:t>
      </w:r>
      <w:r>
        <w:rPr>
          <w:lang w:val="fr-FR"/>
        </w:rPr>
        <w:t>’</w:t>
      </w:r>
      <w:r w:rsidRPr="00316238">
        <w:rPr>
          <w:lang w:val="fr-FR"/>
        </w:rPr>
        <w:t>esclavage pouvait être convenablement rendu</w:t>
      </w:r>
      <w:r>
        <w:rPr>
          <w:lang w:val="fr-FR"/>
        </w:rPr>
        <w:t>e</w:t>
      </w:r>
      <w:r w:rsidRPr="00316238">
        <w:rPr>
          <w:lang w:val="fr-FR"/>
        </w:rPr>
        <w:t xml:space="preserve"> visible dans l</w:t>
      </w:r>
      <w:r>
        <w:rPr>
          <w:lang w:val="fr-FR"/>
        </w:rPr>
        <w:t>’</w:t>
      </w:r>
      <w:r w:rsidRPr="00316238">
        <w:rPr>
          <w:lang w:val="fr-FR"/>
        </w:rPr>
        <w:t>espace public</w:t>
      </w:r>
      <w:r w:rsidRPr="00CD6B67">
        <w:rPr>
          <w:rStyle w:val="FootnoteReference"/>
        </w:rPr>
        <w:footnoteReference w:id="710"/>
      </w:r>
      <w:r>
        <w:rPr>
          <w:lang w:val="fr-FR"/>
        </w:rPr>
        <w:t>.</w:t>
      </w:r>
    </w:p>
    <w:p w14:paraId="4187AC89" w14:textId="58A96002" w:rsidR="00D301C6" w:rsidRPr="00293268" w:rsidRDefault="00D301C6" w:rsidP="00D301C6">
      <w:pPr>
        <w:pStyle w:val="SingleTxtG"/>
        <w:rPr>
          <w:lang w:val="fr-FR"/>
        </w:rPr>
      </w:pPr>
      <w:r w:rsidRPr="00293268">
        <w:rPr>
          <w:lang w:val="fr-FR"/>
        </w:rPr>
        <w:t>269.</w:t>
      </w:r>
      <w:r w:rsidRPr="00293268">
        <w:rPr>
          <w:lang w:val="fr-FR"/>
        </w:rPr>
        <w:tab/>
      </w:r>
      <w:r w:rsidRPr="00BB4CA7">
        <w:rPr>
          <w:lang w:val="fr-FR"/>
        </w:rPr>
        <w:t xml:space="preserve">Parmi les autres initiatives menée au niveau local, citons celle du Trinity College de Dublin, en Irlande, </w:t>
      </w:r>
      <w:r>
        <w:rPr>
          <w:lang w:val="fr-FR"/>
        </w:rPr>
        <w:t>qui vise</w:t>
      </w:r>
      <w:r w:rsidRPr="00BB4CA7">
        <w:rPr>
          <w:lang w:val="fr-FR"/>
        </w:rPr>
        <w:t xml:space="preserve"> à examiner </w:t>
      </w:r>
      <w:r>
        <w:rPr>
          <w:lang w:val="fr-FR"/>
        </w:rPr>
        <w:t>l’</w:t>
      </w:r>
      <w:r w:rsidRPr="00BB4CA7">
        <w:rPr>
          <w:lang w:val="fr-FR"/>
        </w:rPr>
        <w:t>héritage colonial complexe</w:t>
      </w:r>
      <w:r>
        <w:rPr>
          <w:lang w:val="fr-FR"/>
        </w:rPr>
        <w:t xml:space="preserve"> de l’Université</w:t>
      </w:r>
      <w:r w:rsidRPr="00BB4CA7">
        <w:rPr>
          <w:lang w:val="fr-FR"/>
        </w:rPr>
        <w:t>, à l</w:t>
      </w:r>
      <w:r>
        <w:rPr>
          <w:lang w:val="fr-FR"/>
        </w:rPr>
        <w:t>’</w:t>
      </w:r>
      <w:r w:rsidRPr="00BB4CA7">
        <w:rPr>
          <w:lang w:val="fr-FR"/>
        </w:rPr>
        <w:t xml:space="preserve">interroger et à </w:t>
      </w:r>
      <w:r>
        <w:rPr>
          <w:lang w:val="fr-FR"/>
        </w:rPr>
        <w:t xml:space="preserve">y </w:t>
      </w:r>
      <w:r w:rsidRPr="00BB4CA7">
        <w:rPr>
          <w:lang w:val="fr-FR"/>
        </w:rPr>
        <w:t>réfléchir</w:t>
      </w:r>
      <w:r w:rsidRPr="00CD6B67">
        <w:rPr>
          <w:rStyle w:val="FootnoteReference"/>
        </w:rPr>
        <w:footnoteReference w:id="711"/>
      </w:r>
      <w:r>
        <w:rPr>
          <w:lang w:val="fr-FR"/>
        </w:rPr>
        <w:t>.</w:t>
      </w:r>
      <w:r w:rsidRPr="00293268">
        <w:rPr>
          <w:lang w:val="fr-FR"/>
        </w:rPr>
        <w:t xml:space="preserve"> </w:t>
      </w:r>
      <w:r>
        <w:rPr>
          <w:lang w:val="fr-FR"/>
        </w:rPr>
        <w:t>Au Royaume-Uni, l’Université de Bristol s’est engagée dans l’étude du rôle de la ville dans le commerce transatlantique des Africains réduits en esclavage</w:t>
      </w:r>
      <w:r w:rsidRPr="00CD6B67">
        <w:rPr>
          <w:rStyle w:val="FootnoteReference"/>
        </w:rPr>
        <w:footnoteReference w:id="712"/>
      </w:r>
      <w:r>
        <w:rPr>
          <w:lang w:val="fr-FR"/>
        </w:rPr>
        <w:t>.</w:t>
      </w:r>
      <w:r w:rsidRPr="00293268">
        <w:rPr>
          <w:lang w:val="fr-FR"/>
        </w:rPr>
        <w:t xml:space="preserve"> </w:t>
      </w:r>
      <w:r w:rsidRPr="00155377">
        <w:rPr>
          <w:lang w:val="fr-FR"/>
        </w:rPr>
        <w:t>En outre, le groupe d</w:t>
      </w:r>
      <w:r>
        <w:rPr>
          <w:lang w:val="fr-FR"/>
        </w:rPr>
        <w:t>’</w:t>
      </w:r>
      <w:r w:rsidRPr="00155377">
        <w:rPr>
          <w:lang w:val="fr-FR"/>
        </w:rPr>
        <w:t>examen de l</w:t>
      </w:r>
      <w:r>
        <w:rPr>
          <w:lang w:val="fr-FR"/>
        </w:rPr>
        <w:t>’</w:t>
      </w:r>
      <w:r w:rsidRPr="00155377">
        <w:rPr>
          <w:lang w:val="fr-FR"/>
        </w:rPr>
        <w:t>héritage de l</w:t>
      </w:r>
      <w:r>
        <w:rPr>
          <w:lang w:val="fr-FR"/>
        </w:rPr>
        <w:t>’</w:t>
      </w:r>
      <w:r w:rsidRPr="00155377">
        <w:rPr>
          <w:lang w:val="fr-FR"/>
        </w:rPr>
        <w:t xml:space="preserve">esclavage et du colonialisme du </w:t>
      </w:r>
      <w:r>
        <w:rPr>
          <w:lang w:val="fr-FR"/>
        </w:rPr>
        <w:t>c</w:t>
      </w:r>
      <w:r w:rsidRPr="00155377">
        <w:rPr>
          <w:lang w:val="fr-FR"/>
        </w:rPr>
        <w:t xml:space="preserve">onseil </w:t>
      </w:r>
      <w:r>
        <w:rPr>
          <w:lang w:val="fr-FR"/>
        </w:rPr>
        <w:t>municipal</w:t>
      </w:r>
      <w:r w:rsidRPr="00155377">
        <w:rPr>
          <w:lang w:val="fr-FR"/>
        </w:rPr>
        <w:t xml:space="preserve"> d</w:t>
      </w:r>
      <w:r>
        <w:rPr>
          <w:lang w:val="fr-FR"/>
        </w:rPr>
        <w:t>’</w:t>
      </w:r>
      <w:r w:rsidRPr="00155377">
        <w:rPr>
          <w:lang w:val="fr-FR"/>
        </w:rPr>
        <w:t xml:space="preserve">Édimbourg passera en revue les statues et les noms de rues </w:t>
      </w:r>
      <w:r>
        <w:rPr>
          <w:lang w:val="fr-FR"/>
        </w:rPr>
        <w:t>qui, dans la ville,</w:t>
      </w:r>
      <w:r w:rsidRPr="00155377">
        <w:rPr>
          <w:lang w:val="fr-FR"/>
        </w:rPr>
        <w:t xml:space="preserve"> commémorent des personna</w:t>
      </w:r>
      <w:r>
        <w:rPr>
          <w:lang w:val="fr-FR"/>
        </w:rPr>
        <w:t>lités</w:t>
      </w:r>
      <w:r w:rsidRPr="00155377">
        <w:rPr>
          <w:lang w:val="fr-FR"/>
        </w:rPr>
        <w:t xml:space="preserve"> ayant des liens étroits avec l</w:t>
      </w:r>
      <w:r>
        <w:rPr>
          <w:lang w:val="fr-FR"/>
        </w:rPr>
        <w:t>’</w:t>
      </w:r>
      <w:r w:rsidRPr="00155377">
        <w:rPr>
          <w:lang w:val="fr-FR"/>
        </w:rPr>
        <w:t>esclavage</w:t>
      </w:r>
      <w:r w:rsidRPr="00CD6B67">
        <w:rPr>
          <w:rStyle w:val="FootnoteReference"/>
        </w:rPr>
        <w:footnoteReference w:id="713"/>
      </w:r>
      <w:r>
        <w:rPr>
          <w:lang w:val="fr-FR"/>
        </w:rPr>
        <w:t>,</w:t>
      </w:r>
      <w:r w:rsidRPr="00293268">
        <w:rPr>
          <w:lang w:val="fr-FR"/>
        </w:rPr>
        <w:t xml:space="preserve"> </w:t>
      </w:r>
      <w:r w:rsidRPr="000438C7">
        <w:rPr>
          <w:lang w:val="fr-FR"/>
        </w:rPr>
        <w:t>tandis que la commission mise en place par le conseil d</w:t>
      </w:r>
      <w:r>
        <w:rPr>
          <w:lang w:val="fr-FR"/>
        </w:rPr>
        <w:t>’</w:t>
      </w:r>
      <w:r w:rsidRPr="000438C7">
        <w:rPr>
          <w:lang w:val="fr-FR"/>
        </w:rPr>
        <w:t>administration de l</w:t>
      </w:r>
      <w:r>
        <w:rPr>
          <w:lang w:val="fr-FR"/>
        </w:rPr>
        <w:t>’</w:t>
      </w:r>
      <w:r w:rsidRPr="000438C7">
        <w:rPr>
          <w:lang w:val="fr-FR"/>
        </w:rPr>
        <w:t>Oriel College d</w:t>
      </w:r>
      <w:r>
        <w:rPr>
          <w:lang w:val="fr-FR"/>
        </w:rPr>
        <w:t>’</w:t>
      </w:r>
      <w:r w:rsidRPr="000438C7">
        <w:rPr>
          <w:lang w:val="fr-FR"/>
        </w:rPr>
        <w:t>Oxford se penche sur les questions que soulèvent la statue et l</w:t>
      </w:r>
      <w:r>
        <w:rPr>
          <w:lang w:val="fr-FR"/>
        </w:rPr>
        <w:t>’</w:t>
      </w:r>
      <w:r w:rsidRPr="000438C7">
        <w:rPr>
          <w:lang w:val="fr-FR"/>
        </w:rPr>
        <w:t>héritage de Cecil Rhodes</w:t>
      </w:r>
      <w:r w:rsidRPr="00CD6B67">
        <w:rPr>
          <w:rStyle w:val="FootnoteReference"/>
        </w:rPr>
        <w:footnoteReference w:id="714"/>
      </w:r>
      <w:r>
        <w:rPr>
          <w:lang w:val="fr-FR"/>
        </w:rPr>
        <w:t>.</w:t>
      </w:r>
    </w:p>
    <w:p w14:paraId="0CF2C9C2" w14:textId="00101413" w:rsidR="00D301C6" w:rsidRPr="00293268" w:rsidRDefault="00D301C6" w:rsidP="00D301C6">
      <w:pPr>
        <w:pStyle w:val="SingleTxtG"/>
        <w:rPr>
          <w:lang w:val="fr-FR"/>
        </w:rPr>
      </w:pPr>
      <w:r w:rsidRPr="00293268">
        <w:rPr>
          <w:lang w:val="fr-FR"/>
        </w:rPr>
        <w:t>270.</w:t>
      </w:r>
      <w:r w:rsidRPr="00293268">
        <w:rPr>
          <w:lang w:val="fr-FR"/>
        </w:rPr>
        <w:tab/>
      </w:r>
      <w:r w:rsidRPr="00D1417B">
        <w:rPr>
          <w:lang w:val="fr-FR"/>
        </w:rPr>
        <w:t>En 2020, l</w:t>
      </w:r>
      <w:r>
        <w:rPr>
          <w:lang w:val="fr-FR"/>
        </w:rPr>
        <w:t>’</w:t>
      </w:r>
      <w:r w:rsidRPr="00D1417B">
        <w:rPr>
          <w:lang w:val="fr-FR"/>
        </w:rPr>
        <w:t xml:space="preserve">Argentine a mis en place la Commission nationale pour la reconnaissance historique de la </w:t>
      </w:r>
      <w:r>
        <w:rPr>
          <w:lang w:val="fr-FR"/>
        </w:rPr>
        <w:t>population</w:t>
      </w:r>
      <w:r w:rsidRPr="00D1417B">
        <w:rPr>
          <w:lang w:val="fr-FR"/>
        </w:rPr>
        <w:t xml:space="preserve"> afro-argentine, dont l</w:t>
      </w:r>
      <w:r>
        <w:rPr>
          <w:lang w:val="fr-FR"/>
        </w:rPr>
        <w:t>’</w:t>
      </w:r>
      <w:r w:rsidRPr="00D1417B">
        <w:rPr>
          <w:lang w:val="fr-FR"/>
        </w:rPr>
        <w:t>objectif est d</w:t>
      </w:r>
      <w:r>
        <w:rPr>
          <w:lang w:val="fr-FR"/>
        </w:rPr>
        <w:t>e chercher</w:t>
      </w:r>
      <w:r w:rsidRPr="00D1417B">
        <w:rPr>
          <w:lang w:val="fr-FR"/>
        </w:rPr>
        <w:t xml:space="preserve"> </w:t>
      </w:r>
      <w:r>
        <w:rPr>
          <w:lang w:val="fr-FR"/>
        </w:rPr>
        <w:t>à accorder une</w:t>
      </w:r>
      <w:r w:rsidRPr="00D1417B">
        <w:rPr>
          <w:lang w:val="fr-FR"/>
        </w:rPr>
        <w:t xml:space="preserve"> réparation historique aux Argentins d</w:t>
      </w:r>
      <w:r>
        <w:rPr>
          <w:lang w:val="fr-FR"/>
        </w:rPr>
        <w:t>’</w:t>
      </w:r>
      <w:r w:rsidRPr="00D1417B">
        <w:rPr>
          <w:lang w:val="fr-FR"/>
        </w:rPr>
        <w:t xml:space="preserve">ascendance africaine par la restitution de sites qui revêtent une signification particulière </w:t>
      </w:r>
      <w:r>
        <w:rPr>
          <w:lang w:val="fr-FR"/>
        </w:rPr>
        <w:t xml:space="preserve">pour </w:t>
      </w:r>
      <w:r w:rsidRPr="00D1417B">
        <w:rPr>
          <w:lang w:val="fr-FR"/>
        </w:rPr>
        <w:t>eux</w:t>
      </w:r>
      <w:r w:rsidRPr="00CD6B67">
        <w:rPr>
          <w:rStyle w:val="FootnoteReference"/>
        </w:rPr>
        <w:footnoteReference w:id="715"/>
      </w:r>
      <w:r>
        <w:rPr>
          <w:lang w:val="fr-FR"/>
        </w:rPr>
        <w:t>.</w:t>
      </w:r>
      <w:r w:rsidRPr="00293268">
        <w:rPr>
          <w:lang w:val="fr-FR"/>
        </w:rPr>
        <w:t xml:space="preserve"> </w:t>
      </w:r>
      <w:r w:rsidRPr="00D8169B">
        <w:rPr>
          <w:lang w:val="fr-FR"/>
        </w:rPr>
        <w:t>En 2019, la France a créé une Fondation pour la mémoire de l</w:t>
      </w:r>
      <w:r>
        <w:rPr>
          <w:lang w:val="fr-FR"/>
        </w:rPr>
        <w:t>’</w:t>
      </w:r>
      <w:r w:rsidRPr="00D8169B">
        <w:rPr>
          <w:lang w:val="fr-FR"/>
        </w:rPr>
        <w:t>esclavage chargée de mettre en place un musée et des mémoriaux pour souligner le rôle joué par la France dans la traite des Africains réduits en esclavage</w:t>
      </w:r>
      <w:r w:rsidRPr="00CD6B67">
        <w:rPr>
          <w:rStyle w:val="FootnoteReference"/>
        </w:rPr>
        <w:footnoteReference w:id="716"/>
      </w:r>
      <w:r>
        <w:rPr>
          <w:lang w:val="fr-FR"/>
        </w:rPr>
        <w:t>.</w:t>
      </w:r>
      <w:r w:rsidRPr="00293268">
        <w:rPr>
          <w:lang w:val="fr-FR"/>
        </w:rPr>
        <w:t xml:space="preserve"> </w:t>
      </w:r>
      <w:r w:rsidRPr="00270979">
        <w:rPr>
          <w:lang w:val="fr-FR"/>
        </w:rPr>
        <w:t>En</w:t>
      </w:r>
      <w:r w:rsidR="002C775A">
        <w:rPr>
          <w:lang w:val="fr-FR"/>
        </w:rPr>
        <w:t> </w:t>
      </w:r>
      <w:r w:rsidRPr="00270979">
        <w:rPr>
          <w:lang w:val="fr-FR"/>
        </w:rPr>
        <w:t>2006, le conseil municipal de Bordeaux a érigé une plaque pour commémorer l</w:t>
      </w:r>
      <w:r>
        <w:rPr>
          <w:lang w:val="fr-FR"/>
        </w:rPr>
        <w:t>’</w:t>
      </w:r>
      <w:r w:rsidRPr="00270979">
        <w:rPr>
          <w:lang w:val="fr-FR"/>
        </w:rPr>
        <w:t>histoire de l</w:t>
      </w:r>
      <w:r>
        <w:rPr>
          <w:lang w:val="fr-FR"/>
        </w:rPr>
        <w:t>’</w:t>
      </w:r>
      <w:r w:rsidRPr="00270979">
        <w:rPr>
          <w:lang w:val="fr-FR"/>
        </w:rPr>
        <w:t>esclavage et</w:t>
      </w:r>
      <w:r>
        <w:rPr>
          <w:lang w:val="fr-FR"/>
        </w:rPr>
        <w:t xml:space="preserve">, </w:t>
      </w:r>
      <w:r w:rsidRPr="00270979">
        <w:rPr>
          <w:lang w:val="fr-FR"/>
        </w:rPr>
        <w:t xml:space="preserve">en 2019, </w:t>
      </w:r>
      <w:r>
        <w:rPr>
          <w:lang w:val="fr-FR"/>
        </w:rPr>
        <w:t xml:space="preserve">il a </w:t>
      </w:r>
      <w:r w:rsidRPr="004346F6">
        <w:rPr>
          <w:lang w:val="fr-FR"/>
        </w:rPr>
        <w:t>inauguré</w:t>
      </w:r>
      <w:r>
        <w:rPr>
          <w:lang w:val="fr-FR"/>
        </w:rPr>
        <w:t>,</w:t>
      </w:r>
      <w:r w:rsidRPr="004346F6">
        <w:rPr>
          <w:lang w:val="fr-FR"/>
        </w:rPr>
        <w:t xml:space="preserve"> </w:t>
      </w:r>
      <w:r w:rsidRPr="00270979">
        <w:rPr>
          <w:lang w:val="fr-FR"/>
        </w:rPr>
        <w:t>sur les rives du fleuve</w:t>
      </w:r>
      <w:r>
        <w:rPr>
          <w:lang w:val="fr-FR"/>
        </w:rPr>
        <w:t>,</w:t>
      </w:r>
      <w:r w:rsidRPr="00270979">
        <w:rPr>
          <w:lang w:val="fr-FR"/>
        </w:rPr>
        <w:t xml:space="preserve"> </w:t>
      </w:r>
      <w:r>
        <w:rPr>
          <w:lang w:val="fr-FR"/>
        </w:rPr>
        <w:t>une</w:t>
      </w:r>
      <w:r w:rsidRPr="00270979">
        <w:rPr>
          <w:lang w:val="fr-FR"/>
        </w:rPr>
        <w:t xml:space="preserve"> statue </w:t>
      </w:r>
      <w:r>
        <w:rPr>
          <w:lang w:val="fr-FR"/>
        </w:rPr>
        <w:t xml:space="preserve">à l’effigie </w:t>
      </w:r>
      <w:r w:rsidRPr="00270979">
        <w:rPr>
          <w:lang w:val="fr-FR"/>
        </w:rPr>
        <w:t>d</w:t>
      </w:r>
      <w:r>
        <w:rPr>
          <w:lang w:val="fr-FR"/>
        </w:rPr>
        <w:t>’</w:t>
      </w:r>
      <w:r w:rsidRPr="00270979">
        <w:rPr>
          <w:lang w:val="fr-FR"/>
        </w:rPr>
        <w:t>une esclave qui avait été achetée par deux frères bordelais</w:t>
      </w:r>
      <w:r w:rsidRPr="00CD6B67">
        <w:rPr>
          <w:rStyle w:val="FootnoteReference"/>
        </w:rPr>
        <w:footnoteReference w:id="717"/>
      </w:r>
      <w:r>
        <w:rPr>
          <w:lang w:val="fr-FR"/>
        </w:rPr>
        <w:t>.</w:t>
      </w:r>
      <w:r w:rsidRPr="00293268">
        <w:rPr>
          <w:lang w:val="fr-FR"/>
        </w:rPr>
        <w:t xml:space="preserve"> </w:t>
      </w:r>
      <w:r w:rsidRPr="00B64231">
        <w:rPr>
          <w:lang w:val="fr-FR"/>
        </w:rPr>
        <w:t>En 2020, la ville a accroché des plaques dans des rues baptisées du nom de personnalités locales afin de rappeler leur participation à la traite transatlantique d</w:t>
      </w:r>
      <w:r>
        <w:rPr>
          <w:lang w:val="fr-FR"/>
        </w:rPr>
        <w:t>’</w:t>
      </w:r>
      <w:r w:rsidRPr="00B64231">
        <w:rPr>
          <w:lang w:val="fr-FR"/>
        </w:rPr>
        <w:t xml:space="preserve">Africains réduits en esclavage </w:t>
      </w:r>
      <w:r w:rsidR="002C775A">
        <w:rPr>
          <w:lang w:val="fr-FR"/>
        </w:rPr>
        <w:t>− </w:t>
      </w:r>
      <w:r w:rsidRPr="00B64231">
        <w:rPr>
          <w:lang w:val="fr-FR"/>
        </w:rPr>
        <w:t>comme celle de la rue Gramont qui explique désormais que Jacques-Barthélémy Gramont, ancien maire de Bordeaux, a financé un certain nombre d</w:t>
      </w:r>
      <w:r>
        <w:rPr>
          <w:lang w:val="fr-FR"/>
        </w:rPr>
        <w:t>’</w:t>
      </w:r>
      <w:r w:rsidRPr="00B64231">
        <w:rPr>
          <w:lang w:val="fr-FR"/>
        </w:rPr>
        <w:t>expéditions de traite</w:t>
      </w:r>
      <w:r w:rsidRPr="00CD6B67">
        <w:rPr>
          <w:rStyle w:val="FootnoteReference"/>
        </w:rPr>
        <w:footnoteReference w:id="718"/>
      </w:r>
      <w:r>
        <w:rPr>
          <w:lang w:val="fr-FR"/>
        </w:rPr>
        <w:t>.</w:t>
      </w:r>
      <w:r w:rsidRPr="00293268">
        <w:rPr>
          <w:lang w:val="fr-FR"/>
        </w:rPr>
        <w:t xml:space="preserve"> </w:t>
      </w:r>
      <w:r w:rsidRPr="002C2B2B">
        <w:rPr>
          <w:lang w:val="fr-FR"/>
        </w:rPr>
        <w:t>En Belgique, en 2020, les autorités éducatives régionales ont promis de réformer le programme d</w:t>
      </w:r>
      <w:r>
        <w:rPr>
          <w:lang w:val="fr-FR"/>
        </w:rPr>
        <w:t>’</w:t>
      </w:r>
      <w:r w:rsidRPr="002C2B2B">
        <w:rPr>
          <w:lang w:val="fr-FR"/>
        </w:rPr>
        <w:t>histoire afin de dépeindre plus fidèlement le véritable caractère du colonialisme</w:t>
      </w:r>
      <w:r w:rsidRPr="00CD6B67">
        <w:rPr>
          <w:rStyle w:val="FootnoteReference"/>
        </w:rPr>
        <w:footnoteReference w:id="719"/>
      </w:r>
      <w:r>
        <w:rPr>
          <w:lang w:val="fr-FR"/>
        </w:rPr>
        <w:t>.</w:t>
      </w:r>
    </w:p>
    <w:p w14:paraId="5932BD9D" w14:textId="44C0B586" w:rsidR="00D301C6" w:rsidRPr="00293268" w:rsidRDefault="00D301C6" w:rsidP="00D301C6">
      <w:pPr>
        <w:pStyle w:val="SingleTxtG"/>
        <w:rPr>
          <w:lang w:val="fr-FR"/>
        </w:rPr>
      </w:pPr>
      <w:r w:rsidRPr="00293268">
        <w:rPr>
          <w:lang w:val="fr-FR"/>
        </w:rPr>
        <w:t>271.</w:t>
      </w:r>
      <w:r w:rsidRPr="00293268">
        <w:rPr>
          <w:lang w:val="fr-FR"/>
        </w:rPr>
        <w:tab/>
      </w:r>
      <w:r w:rsidRPr="00815E81">
        <w:rPr>
          <w:lang w:val="fr-FR"/>
        </w:rPr>
        <w:t>Le projet de l</w:t>
      </w:r>
      <w:r>
        <w:rPr>
          <w:lang w:val="fr-FR"/>
        </w:rPr>
        <w:t>’</w:t>
      </w:r>
      <w:r w:rsidRPr="00CD3998">
        <w:rPr>
          <w:lang w:val="fr-FR"/>
        </w:rPr>
        <w:t>Organisation des Nations Unies pour l’éducation, la science et la culture (UNESCO)</w:t>
      </w:r>
      <w:r>
        <w:rPr>
          <w:lang w:val="fr-FR"/>
        </w:rPr>
        <w:t>,</w:t>
      </w:r>
      <w:r w:rsidRPr="00815E81">
        <w:rPr>
          <w:lang w:val="fr-FR"/>
        </w:rPr>
        <w:t xml:space="preserve"> sur </w:t>
      </w:r>
      <w:r w:rsidR="00422019">
        <w:rPr>
          <w:lang w:val="fr-FR"/>
        </w:rPr>
        <w:t>« </w:t>
      </w:r>
      <w:r w:rsidRPr="00815E81">
        <w:rPr>
          <w:lang w:val="fr-FR"/>
        </w:rPr>
        <w:t>La route de l</w:t>
      </w:r>
      <w:r>
        <w:rPr>
          <w:lang w:val="fr-FR"/>
        </w:rPr>
        <w:t>’</w:t>
      </w:r>
      <w:r w:rsidRPr="00815E81">
        <w:rPr>
          <w:lang w:val="fr-FR"/>
        </w:rPr>
        <w:t>esclave</w:t>
      </w:r>
      <w:r w:rsidR="00422019">
        <w:rPr>
          <w:lang w:val="fr-FR"/>
        </w:rPr>
        <w:t> »</w:t>
      </w:r>
      <w:r>
        <w:rPr>
          <w:lang w:val="fr-FR"/>
        </w:rPr>
        <w:t>,</w:t>
      </w:r>
      <w:r w:rsidRPr="00815E81">
        <w:rPr>
          <w:lang w:val="fr-FR"/>
        </w:rPr>
        <w:t xml:space="preserve"> vise à établir des sites et itinéraires de mémoire aux niveaux national, régional et international, en retraçant les routes de la traite négrière et de l</w:t>
      </w:r>
      <w:r>
        <w:rPr>
          <w:lang w:val="fr-FR"/>
        </w:rPr>
        <w:t>’</w:t>
      </w:r>
      <w:r w:rsidRPr="00815E81">
        <w:rPr>
          <w:lang w:val="fr-FR"/>
        </w:rPr>
        <w:t>esclavage et en faisant le lien entre les pays et les régions du monde qui partagent cette histoire</w:t>
      </w:r>
      <w:r w:rsidRPr="00CD6B67">
        <w:rPr>
          <w:rStyle w:val="FootnoteReference"/>
        </w:rPr>
        <w:footnoteReference w:id="720"/>
      </w:r>
      <w:r>
        <w:rPr>
          <w:lang w:val="fr-FR"/>
        </w:rPr>
        <w:t>.</w:t>
      </w:r>
      <w:r w:rsidRPr="00293268">
        <w:rPr>
          <w:lang w:val="fr-FR"/>
        </w:rPr>
        <w:t xml:space="preserve"> </w:t>
      </w:r>
      <w:r w:rsidRPr="00474C2A">
        <w:rPr>
          <w:lang w:val="fr-FR"/>
        </w:rPr>
        <w:t>L</w:t>
      </w:r>
      <w:r>
        <w:rPr>
          <w:lang w:val="fr-FR"/>
        </w:rPr>
        <w:t>’</w:t>
      </w:r>
      <w:r w:rsidRPr="00474C2A">
        <w:rPr>
          <w:lang w:val="fr-FR"/>
        </w:rPr>
        <w:t xml:space="preserve">UNESCO a également mis en place un </w:t>
      </w:r>
      <w:r>
        <w:rPr>
          <w:lang w:val="fr-FR"/>
        </w:rPr>
        <w:t>p</w:t>
      </w:r>
      <w:r w:rsidRPr="00474C2A">
        <w:rPr>
          <w:lang w:val="fr-FR"/>
        </w:rPr>
        <w:t xml:space="preserve">rojet </w:t>
      </w:r>
      <w:r>
        <w:rPr>
          <w:lang w:val="fr-FR"/>
        </w:rPr>
        <w:t>d’</w:t>
      </w:r>
      <w:r w:rsidRPr="00474C2A">
        <w:rPr>
          <w:lang w:val="fr-FR"/>
        </w:rPr>
        <w:t>archives du commerce des esclaves</w:t>
      </w:r>
      <w:r>
        <w:rPr>
          <w:lang w:val="fr-FR"/>
        </w:rPr>
        <w:t xml:space="preserve"> afin</w:t>
      </w:r>
      <w:r w:rsidRPr="00474C2A">
        <w:rPr>
          <w:lang w:val="fr-FR"/>
        </w:rPr>
        <w:t xml:space="preserve"> </w:t>
      </w:r>
      <w:r w:rsidR="00422019">
        <w:rPr>
          <w:lang w:val="fr-FR"/>
        </w:rPr>
        <w:t>« </w:t>
      </w:r>
      <w:r w:rsidRPr="00474C2A">
        <w:rPr>
          <w:lang w:val="fr-FR"/>
        </w:rPr>
        <w:t>d</w:t>
      </w:r>
      <w:r>
        <w:rPr>
          <w:lang w:val="fr-FR"/>
        </w:rPr>
        <w:t>’</w:t>
      </w:r>
      <w:r w:rsidRPr="00474C2A">
        <w:rPr>
          <w:lang w:val="fr-FR"/>
        </w:rPr>
        <w:t>améliorer l</w:t>
      </w:r>
      <w:r>
        <w:rPr>
          <w:lang w:val="fr-FR"/>
        </w:rPr>
        <w:t>’</w:t>
      </w:r>
      <w:r w:rsidRPr="00474C2A">
        <w:rPr>
          <w:lang w:val="fr-FR"/>
        </w:rPr>
        <w:t>accessibilité et la sauvegarde des documents originaux relatifs au commerce transatlantique des esclaves et à l</w:t>
      </w:r>
      <w:r>
        <w:rPr>
          <w:lang w:val="fr-FR"/>
        </w:rPr>
        <w:t>’</w:t>
      </w:r>
      <w:r w:rsidRPr="00474C2A">
        <w:rPr>
          <w:lang w:val="fr-FR"/>
        </w:rPr>
        <w:t>esclavage de par le monde</w:t>
      </w:r>
      <w:r>
        <w:rPr>
          <w:lang w:val="fr-FR"/>
        </w:rPr>
        <w:t> »</w:t>
      </w:r>
      <w:r w:rsidRPr="00CD6B67">
        <w:rPr>
          <w:rStyle w:val="FootnoteReference"/>
        </w:rPr>
        <w:footnoteReference w:id="721"/>
      </w:r>
      <w:r>
        <w:rPr>
          <w:lang w:val="fr-FR"/>
        </w:rPr>
        <w:t xml:space="preserve">. L’organisation a aussi dressé </w:t>
      </w:r>
      <w:r w:rsidRPr="00755504">
        <w:rPr>
          <w:lang w:val="fr-FR"/>
        </w:rPr>
        <w:t>un panorama international des initiatives</w:t>
      </w:r>
      <w:r>
        <w:rPr>
          <w:lang w:val="fr-FR"/>
        </w:rPr>
        <w:t xml:space="preserve"> mémorielles qui permet </w:t>
      </w:r>
      <w:r w:rsidRPr="00950049">
        <w:rPr>
          <w:lang w:val="fr-FR"/>
        </w:rPr>
        <w:t>d</w:t>
      </w:r>
      <w:r>
        <w:rPr>
          <w:lang w:val="fr-FR"/>
        </w:rPr>
        <w:t>’</w:t>
      </w:r>
      <w:r w:rsidRPr="00950049">
        <w:rPr>
          <w:lang w:val="fr-FR"/>
        </w:rPr>
        <w:t>appréhender la remarquable diversité de propositions axées sur l</w:t>
      </w:r>
      <w:r>
        <w:rPr>
          <w:lang w:val="fr-FR"/>
        </w:rPr>
        <w:t>’</w:t>
      </w:r>
      <w:r w:rsidRPr="00950049">
        <w:rPr>
          <w:lang w:val="fr-FR"/>
        </w:rPr>
        <w:t>histoire et la mémoire de</w:t>
      </w:r>
      <w:r>
        <w:rPr>
          <w:lang w:val="fr-FR"/>
        </w:rPr>
        <w:t xml:space="preserve"> </w:t>
      </w:r>
      <w:r w:rsidRPr="00950049">
        <w:rPr>
          <w:lang w:val="fr-FR"/>
        </w:rPr>
        <w:t>l</w:t>
      </w:r>
      <w:r>
        <w:rPr>
          <w:lang w:val="fr-FR"/>
        </w:rPr>
        <w:t>’</w:t>
      </w:r>
      <w:r w:rsidRPr="00950049">
        <w:rPr>
          <w:lang w:val="fr-FR"/>
        </w:rPr>
        <w:t>esclavage dans le monde</w:t>
      </w:r>
      <w:r w:rsidRPr="00293268">
        <w:rPr>
          <w:lang w:val="fr-FR"/>
        </w:rPr>
        <w:t xml:space="preserve">. </w:t>
      </w:r>
      <w:r>
        <w:rPr>
          <w:lang w:val="fr-FR"/>
        </w:rPr>
        <w:t xml:space="preserve">Parmi ces initiatives figurent la </w:t>
      </w:r>
      <w:r w:rsidRPr="007D2AD6">
        <w:rPr>
          <w:lang w:val="fr-FR"/>
        </w:rPr>
        <w:t>Maison des esclaves de l</w:t>
      </w:r>
      <w:r>
        <w:rPr>
          <w:lang w:val="fr-FR"/>
        </w:rPr>
        <w:t>’</w:t>
      </w:r>
      <w:r w:rsidRPr="007D2AD6">
        <w:rPr>
          <w:lang w:val="fr-FR"/>
        </w:rPr>
        <w:t>île</w:t>
      </w:r>
      <w:r>
        <w:rPr>
          <w:lang w:val="fr-FR"/>
        </w:rPr>
        <w:t xml:space="preserve"> </w:t>
      </w:r>
      <w:r w:rsidRPr="007D2AD6">
        <w:rPr>
          <w:lang w:val="fr-FR"/>
        </w:rPr>
        <w:t>de Gorée</w:t>
      </w:r>
      <w:r>
        <w:rPr>
          <w:lang w:val="fr-FR"/>
        </w:rPr>
        <w:t xml:space="preserve"> au</w:t>
      </w:r>
      <w:r w:rsidRPr="007D2AD6">
        <w:rPr>
          <w:lang w:val="fr-FR"/>
        </w:rPr>
        <w:t xml:space="preserve"> </w:t>
      </w:r>
      <w:r w:rsidRPr="00293268">
        <w:rPr>
          <w:lang w:val="fr-FR"/>
        </w:rPr>
        <w:t xml:space="preserve">Sénégal </w:t>
      </w:r>
      <w:r>
        <w:rPr>
          <w:lang w:val="fr-FR"/>
        </w:rPr>
        <w:t xml:space="preserve">et le </w:t>
      </w:r>
      <w:r w:rsidRPr="00293268">
        <w:rPr>
          <w:lang w:val="fr-FR"/>
        </w:rPr>
        <w:t xml:space="preserve">Mémorial ACTe </w:t>
      </w:r>
      <w:r>
        <w:rPr>
          <w:lang w:val="fr-FR"/>
        </w:rPr>
        <w:t>en</w:t>
      </w:r>
      <w:r w:rsidRPr="00293268">
        <w:rPr>
          <w:lang w:val="fr-FR"/>
        </w:rPr>
        <w:t xml:space="preserve"> Guadeloupe</w:t>
      </w:r>
      <w:r>
        <w:rPr>
          <w:lang w:val="fr-FR"/>
        </w:rPr>
        <w:t xml:space="preserve"> (France)</w:t>
      </w:r>
      <w:r w:rsidRPr="00CD6B67">
        <w:rPr>
          <w:rStyle w:val="FootnoteReference"/>
        </w:rPr>
        <w:footnoteReference w:id="722"/>
      </w:r>
      <w:r>
        <w:rPr>
          <w:lang w:val="fr-FR"/>
        </w:rPr>
        <w:t>.</w:t>
      </w:r>
    </w:p>
    <w:p w14:paraId="0AA11B56" w14:textId="77777777" w:rsidR="00D301C6" w:rsidRPr="00293268" w:rsidRDefault="00D301C6" w:rsidP="00D301C6">
      <w:pPr>
        <w:pStyle w:val="H23G"/>
        <w:rPr>
          <w:lang w:val="fr-FR"/>
        </w:rPr>
      </w:pPr>
      <w:bookmarkStart w:id="1238" w:name="_Toc72335558"/>
      <w:bookmarkStart w:id="1239" w:name="_Toc74143651"/>
      <w:bookmarkStart w:id="1240" w:name="_Toc74170926"/>
      <w:bookmarkStart w:id="1241" w:name="_Toc74721043"/>
      <w:bookmarkStart w:id="1242" w:name="_Toc74923027"/>
      <w:r w:rsidRPr="00293268">
        <w:rPr>
          <w:lang w:val="fr-FR"/>
        </w:rPr>
        <w:tab/>
        <w:t>4.</w:t>
      </w:r>
      <w:r w:rsidRPr="00293268">
        <w:rPr>
          <w:lang w:val="fr-FR"/>
        </w:rPr>
        <w:tab/>
      </w:r>
      <w:r>
        <w:rPr>
          <w:lang w:val="fr-FR"/>
        </w:rPr>
        <w:t>Autres</w:t>
      </w:r>
      <w:r w:rsidRPr="00293268">
        <w:rPr>
          <w:lang w:val="fr-FR"/>
        </w:rPr>
        <w:t xml:space="preserve"> initiatives</w:t>
      </w:r>
      <w:bookmarkEnd w:id="1238"/>
      <w:bookmarkEnd w:id="1239"/>
      <w:bookmarkEnd w:id="1240"/>
      <w:bookmarkEnd w:id="1241"/>
      <w:bookmarkEnd w:id="1242"/>
    </w:p>
    <w:p w14:paraId="61A269EA" w14:textId="478CFD58" w:rsidR="00D301C6" w:rsidRPr="00293268" w:rsidRDefault="00D301C6" w:rsidP="00D301C6">
      <w:pPr>
        <w:pStyle w:val="SingleTxtG"/>
        <w:rPr>
          <w:lang w:val="fr-FR"/>
        </w:rPr>
      </w:pPr>
      <w:r w:rsidRPr="00293268">
        <w:rPr>
          <w:lang w:val="fr-FR"/>
        </w:rPr>
        <w:t>272.</w:t>
      </w:r>
      <w:r w:rsidRPr="00293268">
        <w:rPr>
          <w:lang w:val="fr-FR"/>
        </w:rPr>
        <w:tab/>
      </w:r>
      <w:r w:rsidRPr="008608FF">
        <w:rPr>
          <w:lang w:val="fr-FR"/>
        </w:rPr>
        <w:t>D</w:t>
      </w:r>
      <w:r>
        <w:rPr>
          <w:lang w:val="fr-FR"/>
        </w:rPr>
        <w:t>’</w:t>
      </w:r>
      <w:r w:rsidRPr="008608FF">
        <w:rPr>
          <w:lang w:val="fr-FR"/>
        </w:rPr>
        <w:t xml:space="preserve">autres initiatives de réparations </w:t>
      </w:r>
      <w:r>
        <w:rPr>
          <w:lang w:val="fr-FR"/>
        </w:rPr>
        <w:t>revêtant</w:t>
      </w:r>
      <w:r w:rsidRPr="008608FF">
        <w:rPr>
          <w:lang w:val="fr-FR"/>
        </w:rPr>
        <w:t xml:space="preserve"> di</w:t>
      </w:r>
      <w:r>
        <w:rPr>
          <w:lang w:val="fr-FR"/>
        </w:rPr>
        <w:t>fférentes formes,</w:t>
      </w:r>
      <w:r w:rsidRPr="008608FF">
        <w:rPr>
          <w:lang w:val="fr-FR"/>
        </w:rPr>
        <w:t xml:space="preserve"> dont des demandes d</w:t>
      </w:r>
      <w:r>
        <w:rPr>
          <w:lang w:val="fr-FR"/>
        </w:rPr>
        <w:t>’</w:t>
      </w:r>
      <w:r w:rsidRPr="008608FF">
        <w:rPr>
          <w:lang w:val="fr-FR"/>
        </w:rPr>
        <w:t>indemnisation, ont été lancées dans un certain nombre d</w:t>
      </w:r>
      <w:r>
        <w:rPr>
          <w:lang w:val="fr-FR"/>
        </w:rPr>
        <w:t>’</w:t>
      </w:r>
      <w:r w:rsidRPr="008608FF">
        <w:rPr>
          <w:lang w:val="fr-FR"/>
        </w:rPr>
        <w:t>États et au niveau régional. En</w:t>
      </w:r>
      <w:r w:rsidR="001C60A8">
        <w:rPr>
          <w:lang w:val="fr-FR"/>
        </w:rPr>
        <w:t> </w:t>
      </w:r>
      <w:r w:rsidRPr="008608FF">
        <w:rPr>
          <w:lang w:val="fr-FR"/>
        </w:rPr>
        <w:t xml:space="preserve">2013, les chefs de gouvernement des Caraïbes ont créé la Commission des réparations de la Communauté des Caraïbes (CARICOM) dont le mandat </w:t>
      </w:r>
      <w:r>
        <w:rPr>
          <w:lang w:val="fr-FR"/>
        </w:rPr>
        <w:t xml:space="preserve">est </w:t>
      </w:r>
      <w:r w:rsidRPr="008608FF">
        <w:rPr>
          <w:lang w:val="fr-FR"/>
        </w:rPr>
        <w:t>d</w:t>
      </w:r>
      <w:r>
        <w:rPr>
          <w:lang w:val="fr-FR"/>
        </w:rPr>
        <w:t>’</w:t>
      </w:r>
      <w:r w:rsidRPr="008608FF">
        <w:rPr>
          <w:lang w:val="fr-FR"/>
        </w:rPr>
        <w:t xml:space="preserve">élaborer un programme de justice réparatrice pour les </w:t>
      </w:r>
      <w:r>
        <w:rPr>
          <w:lang w:val="fr-FR"/>
        </w:rPr>
        <w:t>populations</w:t>
      </w:r>
      <w:r w:rsidRPr="008608FF">
        <w:rPr>
          <w:lang w:val="fr-FR"/>
        </w:rPr>
        <w:t xml:space="preserve"> autochtones et </w:t>
      </w:r>
      <w:r>
        <w:rPr>
          <w:lang w:val="fr-FR"/>
        </w:rPr>
        <w:t>d’as</w:t>
      </w:r>
      <w:r w:rsidRPr="008608FF">
        <w:rPr>
          <w:lang w:val="fr-FR"/>
        </w:rPr>
        <w:t xml:space="preserve">cendance africaine de la région. La Commission a élaboré un plan de réparation en </w:t>
      </w:r>
      <w:r w:rsidR="001C60A8">
        <w:rPr>
          <w:lang w:val="fr-FR"/>
        </w:rPr>
        <w:t>10 </w:t>
      </w:r>
      <w:r w:rsidRPr="008608FF">
        <w:rPr>
          <w:lang w:val="fr-FR"/>
        </w:rPr>
        <w:t>points décrivant la voie vers la réconciliation, la vérité et la justice pour les victimes et leurs descendants</w:t>
      </w:r>
      <w:r w:rsidRPr="00CD6B67">
        <w:rPr>
          <w:rStyle w:val="FootnoteReference"/>
        </w:rPr>
        <w:footnoteReference w:id="723"/>
      </w:r>
      <w:r>
        <w:rPr>
          <w:lang w:val="fr-FR"/>
        </w:rPr>
        <w:t xml:space="preserve">, </w:t>
      </w:r>
      <w:r w:rsidRPr="000B63C3">
        <w:rPr>
          <w:lang w:val="fr-FR"/>
        </w:rPr>
        <w:t>qui a reçu le soutien d</w:t>
      </w:r>
      <w:r>
        <w:rPr>
          <w:lang w:val="fr-FR"/>
        </w:rPr>
        <w:t>’</w:t>
      </w:r>
      <w:r w:rsidRPr="000B63C3">
        <w:rPr>
          <w:lang w:val="fr-FR"/>
        </w:rPr>
        <w:t>organisations régionales telles que la Communauté d</w:t>
      </w:r>
      <w:r>
        <w:rPr>
          <w:lang w:val="fr-FR"/>
        </w:rPr>
        <w:t>’</w:t>
      </w:r>
      <w:r w:rsidRPr="000B63C3">
        <w:rPr>
          <w:lang w:val="fr-FR"/>
        </w:rPr>
        <w:t>États latino-américains et caraïbes (CELAC) et l</w:t>
      </w:r>
      <w:r>
        <w:rPr>
          <w:lang w:val="fr-FR"/>
        </w:rPr>
        <w:t>’</w:t>
      </w:r>
      <w:r w:rsidRPr="000B63C3">
        <w:rPr>
          <w:lang w:val="fr-FR"/>
        </w:rPr>
        <w:t>Association des États de la Caraïbe</w:t>
      </w:r>
      <w:r w:rsidRPr="00CD6B67">
        <w:rPr>
          <w:rStyle w:val="FootnoteReference"/>
        </w:rPr>
        <w:footnoteReference w:id="724"/>
      </w:r>
      <w:r w:rsidRPr="001C60A8">
        <w:rPr>
          <w:rStyle w:val="FootnoteReference"/>
          <w:sz w:val="20"/>
          <w:vertAlign w:val="baseline"/>
        </w:rPr>
        <w:t>.</w:t>
      </w:r>
      <w:r w:rsidRPr="00293268">
        <w:rPr>
          <w:lang w:val="fr-FR"/>
        </w:rPr>
        <w:t xml:space="preserve"> </w:t>
      </w:r>
      <w:r w:rsidRPr="00DA7647">
        <w:rPr>
          <w:lang w:val="fr-FR"/>
        </w:rPr>
        <w:t>Le plan pré</w:t>
      </w:r>
      <w:r>
        <w:rPr>
          <w:lang w:val="fr-FR"/>
        </w:rPr>
        <w:t>conise</w:t>
      </w:r>
      <w:r w:rsidR="008710F6">
        <w:rPr>
          <w:lang w:val="fr-FR"/>
        </w:rPr>
        <w:t> </w:t>
      </w:r>
      <w:r w:rsidRPr="00DA7647">
        <w:rPr>
          <w:lang w:val="fr-FR"/>
        </w:rPr>
        <w:t>: 1)</w:t>
      </w:r>
      <w:r w:rsidR="008710F6">
        <w:rPr>
          <w:lang w:val="fr-FR"/>
        </w:rPr>
        <w:t> </w:t>
      </w:r>
      <w:r w:rsidRPr="00DA7647">
        <w:rPr>
          <w:lang w:val="fr-FR"/>
        </w:rPr>
        <w:t>des excuses officielles complètes</w:t>
      </w:r>
      <w:r w:rsidR="00BF73AB">
        <w:rPr>
          <w:lang w:val="fr-FR"/>
        </w:rPr>
        <w:t> ;</w:t>
      </w:r>
      <w:r w:rsidRPr="00DA7647">
        <w:rPr>
          <w:lang w:val="fr-FR"/>
        </w:rPr>
        <w:t xml:space="preserve"> 2) la possibilité pour les afro</w:t>
      </w:r>
      <w:r>
        <w:rPr>
          <w:lang w:val="fr-FR"/>
        </w:rPr>
        <w:t>-</w:t>
      </w:r>
      <w:r w:rsidRPr="00DA7647">
        <w:rPr>
          <w:lang w:val="fr-FR"/>
        </w:rPr>
        <w:t>descendants de retourner dans le pays de leurs ancêtres</w:t>
      </w:r>
      <w:r w:rsidR="00BF73AB">
        <w:rPr>
          <w:lang w:val="fr-FR"/>
        </w:rPr>
        <w:t> ;</w:t>
      </w:r>
      <w:r w:rsidRPr="00DA7647">
        <w:rPr>
          <w:lang w:val="fr-FR"/>
        </w:rPr>
        <w:t xml:space="preserve"> 3) un programme de développement des peuples autochtones (population </w:t>
      </w:r>
      <w:r>
        <w:rPr>
          <w:lang w:val="fr-FR"/>
        </w:rPr>
        <w:t>autochtone</w:t>
      </w:r>
      <w:r w:rsidRPr="00DA7647">
        <w:rPr>
          <w:lang w:val="fr-FR"/>
        </w:rPr>
        <w:t xml:space="preserve"> des Caraïbes)</w:t>
      </w:r>
      <w:r w:rsidR="008710F6">
        <w:rPr>
          <w:lang w:val="fr-FR"/>
        </w:rPr>
        <w:t> ;</w:t>
      </w:r>
      <w:r w:rsidRPr="00DA7647">
        <w:rPr>
          <w:lang w:val="fr-FR"/>
        </w:rPr>
        <w:t xml:space="preserve"> 4) la création d</w:t>
      </w:r>
      <w:r>
        <w:rPr>
          <w:lang w:val="fr-FR"/>
        </w:rPr>
        <w:t>’</w:t>
      </w:r>
      <w:r w:rsidRPr="00DA7647">
        <w:rPr>
          <w:lang w:val="fr-FR"/>
        </w:rPr>
        <w:t>institutions culturelles dans les Caraïbes</w:t>
      </w:r>
      <w:r w:rsidR="00BF73AB">
        <w:rPr>
          <w:lang w:val="fr-FR"/>
        </w:rPr>
        <w:t> ;</w:t>
      </w:r>
      <w:r w:rsidRPr="00DA7647">
        <w:rPr>
          <w:lang w:val="fr-FR"/>
        </w:rPr>
        <w:t xml:space="preserve"> 5) la lutte contre la crise de santé publique (soulignant que l</w:t>
      </w:r>
      <w:r>
        <w:rPr>
          <w:lang w:val="fr-FR"/>
        </w:rPr>
        <w:t>’</w:t>
      </w:r>
      <w:r w:rsidRPr="00DA7647">
        <w:rPr>
          <w:lang w:val="fr-FR"/>
        </w:rPr>
        <w:t>état de santé chronique des Noirs des Caraïbes constitue désormais le plus grand risque financier pour le développement durable de la région</w:t>
      </w:r>
      <w:r w:rsidRPr="00CD6B67">
        <w:rPr>
          <w:rStyle w:val="FootnoteReference"/>
        </w:rPr>
        <w:footnoteReference w:id="725"/>
      </w:r>
      <w:r w:rsidRPr="00293268">
        <w:rPr>
          <w:lang w:val="fr-FR"/>
        </w:rPr>
        <w:t>)</w:t>
      </w:r>
      <w:r w:rsidR="00BF73AB">
        <w:rPr>
          <w:lang w:val="fr-FR"/>
        </w:rPr>
        <w:t> ;</w:t>
      </w:r>
      <w:r w:rsidRPr="00293268">
        <w:rPr>
          <w:lang w:val="fr-FR"/>
        </w:rPr>
        <w:t xml:space="preserve"> </w:t>
      </w:r>
      <w:r w:rsidRPr="00BF7014">
        <w:rPr>
          <w:lang w:val="fr-FR"/>
        </w:rPr>
        <w:t>6) l</w:t>
      </w:r>
      <w:r>
        <w:rPr>
          <w:lang w:val="fr-FR"/>
        </w:rPr>
        <w:t>’</w:t>
      </w:r>
      <w:r w:rsidRPr="00BF7014">
        <w:rPr>
          <w:lang w:val="fr-FR"/>
        </w:rPr>
        <w:t>éradication de l</w:t>
      </w:r>
      <w:r>
        <w:rPr>
          <w:lang w:val="fr-FR"/>
        </w:rPr>
        <w:t>’</w:t>
      </w:r>
      <w:r w:rsidRPr="00BF7014">
        <w:rPr>
          <w:lang w:val="fr-FR"/>
        </w:rPr>
        <w:t>analphabétisme</w:t>
      </w:r>
      <w:r w:rsidR="00BF73AB">
        <w:rPr>
          <w:lang w:val="fr-FR"/>
        </w:rPr>
        <w:t> ;</w:t>
      </w:r>
      <w:r w:rsidRPr="00BF7014">
        <w:rPr>
          <w:lang w:val="fr-FR"/>
        </w:rPr>
        <w:t xml:space="preserve"> 7)</w:t>
      </w:r>
      <w:r w:rsidR="008710F6">
        <w:rPr>
          <w:lang w:val="fr-FR"/>
        </w:rPr>
        <w:t> </w:t>
      </w:r>
      <w:r w:rsidRPr="00BF7014">
        <w:rPr>
          <w:lang w:val="fr-FR"/>
        </w:rPr>
        <w:t>la promotion du savoir et des connaissances sur l</w:t>
      </w:r>
      <w:r>
        <w:rPr>
          <w:lang w:val="fr-FR"/>
        </w:rPr>
        <w:t>’</w:t>
      </w:r>
      <w:r w:rsidRPr="00BF7014">
        <w:rPr>
          <w:lang w:val="fr-FR"/>
        </w:rPr>
        <w:t>Afrique</w:t>
      </w:r>
      <w:r w:rsidR="00BF73AB">
        <w:rPr>
          <w:lang w:val="fr-FR"/>
        </w:rPr>
        <w:t> ;</w:t>
      </w:r>
      <w:r w:rsidRPr="00BF7014">
        <w:rPr>
          <w:lang w:val="fr-FR"/>
        </w:rPr>
        <w:t xml:space="preserve"> 8) la réadaptation psychologique par l</w:t>
      </w:r>
      <w:r>
        <w:rPr>
          <w:lang w:val="fr-FR"/>
        </w:rPr>
        <w:t>’</w:t>
      </w:r>
      <w:r w:rsidRPr="00BF7014">
        <w:rPr>
          <w:lang w:val="fr-FR"/>
        </w:rPr>
        <w:t>établissement de la vérité, la justice réparatrice et l</w:t>
      </w:r>
      <w:r>
        <w:rPr>
          <w:lang w:val="fr-FR"/>
        </w:rPr>
        <w:t>’</w:t>
      </w:r>
      <w:r w:rsidRPr="00BF7014">
        <w:rPr>
          <w:lang w:val="fr-FR"/>
        </w:rPr>
        <w:t>éducation, afin de commencer le processus de guérison et de réparation</w:t>
      </w:r>
      <w:r w:rsidR="00BF73AB">
        <w:rPr>
          <w:lang w:val="fr-FR"/>
        </w:rPr>
        <w:t> ;</w:t>
      </w:r>
      <w:r w:rsidRPr="00BF7014">
        <w:rPr>
          <w:lang w:val="fr-FR"/>
        </w:rPr>
        <w:t xml:space="preserve"> 9) les  transferts de technologies</w:t>
      </w:r>
      <w:r w:rsidR="00C22D8B">
        <w:rPr>
          <w:lang w:val="fr-FR"/>
        </w:rPr>
        <w:t> ;</w:t>
      </w:r>
      <w:r w:rsidRPr="00BF7014">
        <w:rPr>
          <w:lang w:val="fr-FR"/>
        </w:rPr>
        <w:t xml:space="preserve"> et 10) l</w:t>
      </w:r>
      <w:r>
        <w:rPr>
          <w:lang w:val="fr-FR"/>
        </w:rPr>
        <w:t>’</w:t>
      </w:r>
      <w:r w:rsidRPr="00BF7014">
        <w:rPr>
          <w:lang w:val="fr-FR"/>
        </w:rPr>
        <w:t>annulation de la dette des pays caribéens</w:t>
      </w:r>
      <w:r w:rsidRPr="00293268">
        <w:rPr>
          <w:lang w:val="fr-FR"/>
        </w:rPr>
        <w:t xml:space="preserve">. </w:t>
      </w:r>
      <w:r w:rsidRPr="0098444A">
        <w:rPr>
          <w:lang w:val="fr-FR"/>
        </w:rPr>
        <w:t>La Commission des réparations a encouragé les États à mettre en place des commissions nationales de réparation et a exhorté les anciennes nations esclavagistes d</w:t>
      </w:r>
      <w:r>
        <w:rPr>
          <w:lang w:val="fr-FR"/>
        </w:rPr>
        <w:t>’</w:t>
      </w:r>
      <w:r w:rsidRPr="0098444A">
        <w:rPr>
          <w:lang w:val="fr-FR"/>
        </w:rPr>
        <w:t xml:space="preserve">Europe </w:t>
      </w:r>
      <w:r w:rsidR="00C22D8B">
        <w:rPr>
          <w:lang w:val="fr-FR"/>
        </w:rPr>
        <w:t>− </w:t>
      </w:r>
      <w:r w:rsidRPr="0098444A">
        <w:rPr>
          <w:lang w:val="fr-FR"/>
        </w:rPr>
        <w:t>principalement la Grande-Bretagne, la France, l</w:t>
      </w:r>
      <w:r>
        <w:rPr>
          <w:lang w:val="fr-FR"/>
        </w:rPr>
        <w:t>’</w:t>
      </w:r>
      <w:r w:rsidRPr="0098444A">
        <w:rPr>
          <w:lang w:val="fr-FR"/>
        </w:rPr>
        <w:t>Espagne, le Portugal, les Pays-Bas, la Norvège, la Suède et le Danemark</w:t>
      </w:r>
      <w:r w:rsidR="00C22D8B">
        <w:rPr>
          <w:lang w:val="fr-FR"/>
        </w:rPr>
        <w:t> −</w:t>
      </w:r>
      <w:r w:rsidRPr="0098444A">
        <w:rPr>
          <w:lang w:val="fr-FR"/>
        </w:rPr>
        <w:t xml:space="preserve"> à </w:t>
      </w:r>
      <w:r>
        <w:rPr>
          <w:lang w:val="fr-FR"/>
        </w:rPr>
        <w:t>nouer</w:t>
      </w:r>
      <w:r w:rsidRPr="0098444A">
        <w:rPr>
          <w:lang w:val="fr-FR"/>
        </w:rPr>
        <w:t xml:space="preserve"> un dialogue réparateur sur les séquelles de ces crimes</w:t>
      </w:r>
      <w:r w:rsidRPr="00813782">
        <w:rPr>
          <w:lang w:val="fr-FR"/>
        </w:rPr>
        <w:t xml:space="preserve"> </w:t>
      </w:r>
      <w:r w:rsidRPr="00B264AE">
        <w:rPr>
          <w:lang w:val="fr-FR"/>
        </w:rPr>
        <w:t>avec les gouvernements des pays de la Caraïbe</w:t>
      </w:r>
      <w:r w:rsidRPr="00CD6B67">
        <w:rPr>
          <w:rStyle w:val="FootnoteReference"/>
        </w:rPr>
        <w:footnoteReference w:id="726"/>
      </w:r>
      <w:r>
        <w:rPr>
          <w:lang w:val="fr-FR"/>
        </w:rPr>
        <w:t>.</w:t>
      </w:r>
    </w:p>
    <w:p w14:paraId="2EC60E46" w14:textId="77777777" w:rsidR="00D301C6" w:rsidRPr="00293268" w:rsidRDefault="00D301C6" w:rsidP="00D301C6">
      <w:pPr>
        <w:pStyle w:val="SingleTxtG"/>
        <w:rPr>
          <w:lang w:val="fr-FR"/>
        </w:rPr>
      </w:pPr>
      <w:r w:rsidRPr="00293268">
        <w:rPr>
          <w:lang w:val="fr-FR"/>
        </w:rPr>
        <w:t>273.</w:t>
      </w:r>
      <w:r w:rsidRPr="00293268">
        <w:rPr>
          <w:lang w:val="fr-FR"/>
        </w:rPr>
        <w:tab/>
      </w:r>
      <w:r w:rsidRPr="00341CA4">
        <w:rPr>
          <w:lang w:val="fr-FR"/>
        </w:rPr>
        <w:t>En 2019, le Parlement européen a adopté une résolution dans laquelle il rappelle que certains États membres ont pris des mesures de réparation fortes et efficaces au regard des injustices et des crimes contre l</w:t>
      </w:r>
      <w:r>
        <w:rPr>
          <w:lang w:val="fr-FR"/>
        </w:rPr>
        <w:t>’</w:t>
      </w:r>
      <w:r w:rsidRPr="00341CA4">
        <w:rPr>
          <w:lang w:val="fr-FR"/>
        </w:rPr>
        <w:t>humanité dont ont été victimes les personnes d</w:t>
      </w:r>
      <w:r>
        <w:rPr>
          <w:lang w:val="fr-FR"/>
        </w:rPr>
        <w:t>’</w:t>
      </w:r>
      <w:r w:rsidRPr="00341CA4">
        <w:rPr>
          <w:lang w:val="fr-FR"/>
        </w:rPr>
        <w:t>ascendance africaine et invite les institutions de l</w:t>
      </w:r>
      <w:r>
        <w:rPr>
          <w:lang w:val="fr-FR"/>
        </w:rPr>
        <w:t>’</w:t>
      </w:r>
      <w:r w:rsidRPr="00341CA4">
        <w:rPr>
          <w:lang w:val="fr-FR"/>
        </w:rPr>
        <w:t>Union et le reste des États membres à suivre leur exemple en offrant, par exemple, des réparations sous la forme d</w:t>
      </w:r>
      <w:r>
        <w:rPr>
          <w:lang w:val="fr-FR"/>
        </w:rPr>
        <w:t>’</w:t>
      </w:r>
      <w:r w:rsidRPr="00341CA4">
        <w:rPr>
          <w:lang w:val="fr-FR"/>
        </w:rPr>
        <w:t>excuses publiques ou d</w:t>
      </w:r>
      <w:r>
        <w:rPr>
          <w:lang w:val="fr-FR"/>
        </w:rPr>
        <w:t>’</w:t>
      </w:r>
      <w:r w:rsidRPr="00341CA4">
        <w:rPr>
          <w:lang w:val="fr-FR"/>
        </w:rPr>
        <w:t>une restitution d</w:t>
      </w:r>
      <w:r>
        <w:rPr>
          <w:lang w:val="fr-FR"/>
        </w:rPr>
        <w:t>’</w:t>
      </w:r>
      <w:r w:rsidRPr="00341CA4">
        <w:rPr>
          <w:lang w:val="fr-FR"/>
        </w:rPr>
        <w:t>objets volés à leurs pays d</w:t>
      </w:r>
      <w:r>
        <w:rPr>
          <w:lang w:val="fr-FR"/>
        </w:rPr>
        <w:t>’</w:t>
      </w:r>
      <w:r w:rsidRPr="00341CA4">
        <w:rPr>
          <w:lang w:val="fr-FR"/>
        </w:rPr>
        <w:t>origine</w:t>
      </w:r>
      <w:r w:rsidRPr="00CD6B67">
        <w:rPr>
          <w:rStyle w:val="FootnoteReference"/>
        </w:rPr>
        <w:footnoteReference w:id="727"/>
      </w:r>
      <w:r>
        <w:rPr>
          <w:lang w:val="fr-FR"/>
        </w:rPr>
        <w:t>.</w:t>
      </w:r>
    </w:p>
    <w:p w14:paraId="7F1E6C37" w14:textId="4B26C8C2" w:rsidR="00D301C6" w:rsidRPr="00293268" w:rsidRDefault="00D301C6" w:rsidP="00D301C6">
      <w:pPr>
        <w:pStyle w:val="SingleTxtG"/>
        <w:rPr>
          <w:lang w:val="fr-FR"/>
        </w:rPr>
      </w:pPr>
      <w:r w:rsidRPr="00293268">
        <w:rPr>
          <w:lang w:val="fr-FR"/>
        </w:rPr>
        <w:t>274.</w:t>
      </w:r>
      <w:r w:rsidRPr="00293268">
        <w:rPr>
          <w:lang w:val="fr-FR"/>
        </w:rPr>
        <w:tab/>
      </w:r>
      <w:r>
        <w:rPr>
          <w:lang w:val="fr-FR"/>
        </w:rPr>
        <w:t>En</w:t>
      </w:r>
      <w:r w:rsidRPr="00293268">
        <w:rPr>
          <w:lang w:val="fr-FR"/>
        </w:rPr>
        <w:t xml:space="preserve"> 1992, </w:t>
      </w:r>
      <w:r w:rsidRPr="004F02D4">
        <w:rPr>
          <w:lang w:val="fr-FR"/>
        </w:rPr>
        <w:t>l</w:t>
      </w:r>
      <w:r>
        <w:rPr>
          <w:lang w:val="fr-FR"/>
        </w:rPr>
        <w:t>’</w:t>
      </w:r>
      <w:r w:rsidRPr="004F02D4">
        <w:rPr>
          <w:lang w:val="fr-FR"/>
        </w:rPr>
        <w:t>Organisation de l</w:t>
      </w:r>
      <w:r>
        <w:rPr>
          <w:lang w:val="fr-FR"/>
        </w:rPr>
        <w:t>’</w:t>
      </w:r>
      <w:r w:rsidRPr="004F02D4">
        <w:rPr>
          <w:lang w:val="fr-FR"/>
        </w:rPr>
        <w:t xml:space="preserve">unité africaine </w:t>
      </w:r>
      <w:r>
        <w:rPr>
          <w:lang w:val="fr-FR"/>
        </w:rPr>
        <w:t xml:space="preserve">a mis en place un </w:t>
      </w:r>
      <w:r w:rsidR="00031BE7">
        <w:rPr>
          <w:lang w:val="fr-FR"/>
        </w:rPr>
        <w:t>G</w:t>
      </w:r>
      <w:r>
        <w:rPr>
          <w:lang w:val="fr-FR"/>
        </w:rPr>
        <w:t>roupe d’éminentes personnalités chargé d’examiner la question des</w:t>
      </w:r>
      <w:r w:rsidRPr="00293268">
        <w:rPr>
          <w:lang w:val="fr-FR"/>
        </w:rPr>
        <w:t xml:space="preserve"> r</w:t>
      </w:r>
      <w:r>
        <w:rPr>
          <w:lang w:val="fr-FR"/>
        </w:rPr>
        <w:t>é</w:t>
      </w:r>
      <w:r w:rsidRPr="00293268">
        <w:rPr>
          <w:lang w:val="fr-FR"/>
        </w:rPr>
        <w:t xml:space="preserve">parations </w:t>
      </w:r>
      <w:r w:rsidRPr="00375035">
        <w:rPr>
          <w:lang w:val="fr-FR"/>
        </w:rPr>
        <w:t>pour les dommages infligés à l</w:t>
      </w:r>
      <w:r>
        <w:rPr>
          <w:lang w:val="fr-FR"/>
        </w:rPr>
        <w:t>’</w:t>
      </w:r>
      <w:r w:rsidRPr="00375035">
        <w:rPr>
          <w:lang w:val="fr-FR"/>
        </w:rPr>
        <w:t>Afrique et à sa diaspora par l</w:t>
      </w:r>
      <w:r>
        <w:rPr>
          <w:lang w:val="fr-FR"/>
        </w:rPr>
        <w:t>’</w:t>
      </w:r>
      <w:r w:rsidRPr="00375035">
        <w:rPr>
          <w:lang w:val="fr-FR"/>
        </w:rPr>
        <w:t>esclavage, la colonisation et le néocolonialisme</w:t>
      </w:r>
      <w:r w:rsidRPr="00CD6B67">
        <w:rPr>
          <w:rStyle w:val="FootnoteReference"/>
        </w:rPr>
        <w:footnoteReference w:id="728"/>
      </w:r>
      <w:r>
        <w:rPr>
          <w:lang w:val="fr-FR"/>
        </w:rPr>
        <w:t>.</w:t>
      </w:r>
      <w:r w:rsidRPr="00293268">
        <w:rPr>
          <w:lang w:val="fr-FR"/>
        </w:rPr>
        <w:t xml:space="preserve"> </w:t>
      </w:r>
      <w:r w:rsidRPr="002D1141">
        <w:rPr>
          <w:lang w:val="fr-FR"/>
        </w:rPr>
        <w:t>Une conférence sur les réparations, organisée au Nig</w:t>
      </w:r>
      <w:r>
        <w:rPr>
          <w:lang w:val="fr-FR"/>
        </w:rPr>
        <w:t>é</w:t>
      </w:r>
      <w:r w:rsidRPr="002D1141">
        <w:rPr>
          <w:lang w:val="fr-FR"/>
        </w:rPr>
        <w:t>ria en 1993 sous l</w:t>
      </w:r>
      <w:r>
        <w:rPr>
          <w:lang w:val="fr-FR"/>
        </w:rPr>
        <w:t>’</w:t>
      </w:r>
      <w:r w:rsidRPr="002D1141">
        <w:rPr>
          <w:lang w:val="fr-FR"/>
        </w:rPr>
        <w:t>égide du Groupe de personnalités éminentes et la Commission des réparations de l</w:t>
      </w:r>
      <w:r>
        <w:rPr>
          <w:lang w:val="fr-FR"/>
        </w:rPr>
        <w:t>’</w:t>
      </w:r>
      <w:r w:rsidRPr="002D1141">
        <w:rPr>
          <w:lang w:val="fr-FR"/>
        </w:rPr>
        <w:t>Organisation de l</w:t>
      </w:r>
      <w:r>
        <w:rPr>
          <w:lang w:val="fr-FR"/>
        </w:rPr>
        <w:t>’</w:t>
      </w:r>
      <w:r w:rsidRPr="002D1141">
        <w:rPr>
          <w:lang w:val="fr-FR"/>
        </w:rPr>
        <w:t>unité africaine, a abouti à la Proclamation d</w:t>
      </w:r>
      <w:r>
        <w:rPr>
          <w:lang w:val="fr-FR"/>
        </w:rPr>
        <w:t>’</w:t>
      </w:r>
      <w:r w:rsidRPr="002D1141">
        <w:rPr>
          <w:lang w:val="fr-FR"/>
        </w:rPr>
        <w:t>Abuja, qui appelle à la mise en place, dans toute l</w:t>
      </w:r>
      <w:r>
        <w:rPr>
          <w:lang w:val="fr-FR"/>
        </w:rPr>
        <w:t>’</w:t>
      </w:r>
      <w:r w:rsidRPr="002D1141">
        <w:rPr>
          <w:lang w:val="fr-FR"/>
        </w:rPr>
        <w:t>Afrique et ses diasporas, de comités nationaux des réparations. Ces demandes, qui ont été affinées lors de conférences ultérieures,</w:t>
      </w:r>
      <w:r>
        <w:rPr>
          <w:lang w:val="fr-FR"/>
        </w:rPr>
        <w:t xml:space="preserve"> </w:t>
      </w:r>
      <w:r w:rsidRPr="002D1141">
        <w:rPr>
          <w:lang w:val="fr-FR"/>
        </w:rPr>
        <w:t>consistaient en un transfert de capitaux et l</w:t>
      </w:r>
      <w:r>
        <w:rPr>
          <w:lang w:val="fr-FR"/>
        </w:rPr>
        <w:t>’</w:t>
      </w:r>
      <w:r w:rsidRPr="002D1141">
        <w:rPr>
          <w:lang w:val="fr-FR"/>
        </w:rPr>
        <w:t>annulation de la dette, la restitution des œuvres, objets et autres trésors traditionnels volés, ainsi qu</w:t>
      </w:r>
      <w:r>
        <w:rPr>
          <w:lang w:val="fr-FR"/>
        </w:rPr>
        <w:t xml:space="preserve">’en </w:t>
      </w:r>
      <w:r w:rsidRPr="002D1141">
        <w:rPr>
          <w:lang w:val="fr-FR"/>
        </w:rPr>
        <w:t>une représentation accrue de l</w:t>
      </w:r>
      <w:r>
        <w:rPr>
          <w:lang w:val="fr-FR"/>
        </w:rPr>
        <w:t>’</w:t>
      </w:r>
      <w:r w:rsidRPr="002D1141">
        <w:rPr>
          <w:lang w:val="fr-FR"/>
        </w:rPr>
        <w:t xml:space="preserve">Afrique au sein des </w:t>
      </w:r>
      <w:r>
        <w:rPr>
          <w:lang w:val="fr-FR"/>
        </w:rPr>
        <w:t xml:space="preserve">organes et </w:t>
      </w:r>
      <w:r w:rsidRPr="002D1141">
        <w:rPr>
          <w:lang w:val="fr-FR"/>
        </w:rPr>
        <w:t xml:space="preserve">institutions </w:t>
      </w:r>
      <w:r>
        <w:rPr>
          <w:lang w:val="fr-FR"/>
        </w:rPr>
        <w:t>de l’ONU</w:t>
      </w:r>
      <w:r w:rsidRPr="00CD6B67">
        <w:rPr>
          <w:rStyle w:val="FootnoteReference"/>
        </w:rPr>
        <w:footnoteReference w:id="729"/>
      </w:r>
      <w:r>
        <w:rPr>
          <w:lang w:val="fr-FR"/>
        </w:rPr>
        <w:t>.</w:t>
      </w:r>
    </w:p>
    <w:p w14:paraId="4D2A838C" w14:textId="3B2EFE90" w:rsidR="00D301C6" w:rsidRPr="00293268" w:rsidRDefault="00D301C6" w:rsidP="00D301C6">
      <w:pPr>
        <w:pStyle w:val="SingleTxtG"/>
        <w:rPr>
          <w:lang w:val="fr-FR"/>
        </w:rPr>
      </w:pPr>
      <w:r w:rsidRPr="00293268">
        <w:rPr>
          <w:lang w:val="fr-FR"/>
        </w:rPr>
        <w:t>275.</w:t>
      </w:r>
      <w:r w:rsidRPr="00293268">
        <w:rPr>
          <w:lang w:val="fr-FR"/>
        </w:rPr>
        <w:tab/>
      </w:r>
      <w:r w:rsidRPr="000D3F85">
        <w:rPr>
          <w:lang w:val="fr-FR"/>
        </w:rPr>
        <w:t>Au niveau national, le conseil municipal d</w:t>
      </w:r>
      <w:r>
        <w:rPr>
          <w:lang w:val="fr-FR"/>
        </w:rPr>
        <w:t>’</w:t>
      </w:r>
      <w:r w:rsidRPr="000D3F85">
        <w:rPr>
          <w:lang w:val="fr-FR"/>
        </w:rPr>
        <w:t>Evanston, dans l</w:t>
      </w:r>
      <w:r>
        <w:rPr>
          <w:lang w:val="fr-FR"/>
        </w:rPr>
        <w:t>’</w:t>
      </w:r>
      <w:r w:rsidRPr="000D3F85">
        <w:rPr>
          <w:lang w:val="fr-FR"/>
        </w:rPr>
        <w:t>Illinois, a approuvé</w:t>
      </w:r>
      <w:r>
        <w:rPr>
          <w:lang w:val="fr-FR"/>
        </w:rPr>
        <w:t>,</w:t>
      </w:r>
      <w:r w:rsidRPr="000D3F85">
        <w:rPr>
          <w:lang w:val="fr-FR"/>
        </w:rPr>
        <w:t xml:space="preserve"> </w:t>
      </w:r>
      <w:r w:rsidRPr="00EC64AF">
        <w:rPr>
          <w:lang w:val="fr-FR"/>
        </w:rPr>
        <w:t>en novembre 2019,</w:t>
      </w:r>
      <w:r w:rsidRPr="000D3F85">
        <w:rPr>
          <w:lang w:val="fr-FR"/>
        </w:rPr>
        <w:t xml:space="preserve"> </w:t>
      </w:r>
      <w:r w:rsidRPr="00EC64AF">
        <w:rPr>
          <w:lang w:val="fr-FR"/>
        </w:rPr>
        <w:t xml:space="preserve">le programme de réparations </w:t>
      </w:r>
      <w:r w:rsidRPr="000D3F85">
        <w:rPr>
          <w:lang w:val="fr-FR"/>
        </w:rPr>
        <w:t>élaboré avec la Commission de l</w:t>
      </w:r>
      <w:r>
        <w:rPr>
          <w:lang w:val="fr-FR"/>
        </w:rPr>
        <w:t>’</w:t>
      </w:r>
      <w:r w:rsidRPr="000D3F85">
        <w:rPr>
          <w:lang w:val="fr-FR"/>
        </w:rPr>
        <w:t>équité et de l</w:t>
      </w:r>
      <w:r>
        <w:rPr>
          <w:lang w:val="fr-FR"/>
        </w:rPr>
        <w:t>’</w:t>
      </w:r>
      <w:r w:rsidRPr="000D3F85">
        <w:rPr>
          <w:lang w:val="fr-FR"/>
        </w:rPr>
        <w:t>autonomisation d</w:t>
      </w:r>
      <w:r>
        <w:rPr>
          <w:lang w:val="fr-FR"/>
        </w:rPr>
        <w:t>’</w:t>
      </w:r>
      <w:r w:rsidRPr="000D3F85">
        <w:rPr>
          <w:lang w:val="fr-FR"/>
        </w:rPr>
        <w:t>Evanston, pour remédier aux discriminations et aux effets intergénérationnels de la ségrégation et de l</w:t>
      </w:r>
      <w:r>
        <w:rPr>
          <w:lang w:val="fr-FR"/>
        </w:rPr>
        <w:t>’</w:t>
      </w:r>
      <w:r w:rsidRPr="000D3F85">
        <w:rPr>
          <w:lang w:val="fr-FR"/>
        </w:rPr>
        <w:t>esclavage. L</w:t>
      </w:r>
      <w:r>
        <w:rPr>
          <w:lang w:val="fr-FR"/>
        </w:rPr>
        <w:t>’</w:t>
      </w:r>
      <w:r w:rsidRPr="000D3F85">
        <w:rPr>
          <w:lang w:val="fr-FR"/>
        </w:rPr>
        <w:t xml:space="preserve">enveloppe de </w:t>
      </w:r>
      <w:r w:rsidR="00252C2A">
        <w:rPr>
          <w:lang w:val="fr-FR"/>
        </w:rPr>
        <w:t>10 </w:t>
      </w:r>
      <w:r w:rsidRPr="000D3F85">
        <w:rPr>
          <w:lang w:val="fr-FR"/>
        </w:rPr>
        <w:t>millions de dollars sera financée par une nouvelle taxe municipale</w:t>
      </w:r>
      <w:r w:rsidRPr="00CD6B67">
        <w:rPr>
          <w:rStyle w:val="FootnoteReference"/>
        </w:rPr>
        <w:footnoteReference w:id="730"/>
      </w:r>
      <w:r>
        <w:rPr>
          <w:lang w:val="fr-FR"/>
        </w:rPr>
        <w:t>.</w:t>
      </w:r>
    </w:p>
    <w:p w14:paraId="73057E94" w14:textId="29BB20F6" w:rsidR="00D301C6" w:rsidRPr="00293268" w:rsidRDefault="00D301C6" w:rsidP="00D301C6">
      <w:pPr>
        <w:pStyle w:val="SingleTxtG"/>
        <w:rPr>
          <w:lang w:val="fr-FR"/>
        </w:rPr>
      </w:pPr>
      <w:r w:rsidRPr="00293268">
        <w:rPr>
          <w:lang w:val="fr-FR"/>
        </w:rPr>
        <w:t>276.</w:t>
      </w:r>
      <w:r w:rsidRPr="00293268">
        <w:rPr>
          <w:lang w:val="fr-FR"/>
        </w:rPr>
        <w:tab/>
      </w:r>
      <w:r w:rsidRPr="00271AAE">
        <w:rPr>
          <w:lang w:val="fr-FR"/>
        </w:rPr>
        <w:t>Les demandes de restitution relatives aux droits de propriété liés au massacre de Rosewood en Floride en 1923 restent l</w:t>
      </w:r>
      <w:r>
        <w:rPr>
          <w:lang w:val="fr-FR"/>
        </w:rPr>
        <w:t>’</w:t>
      </w:r>
      <w:r w:rsidRPr="00271AAE">
        <w:rPr>
          <w:lang w:val="fr-FR"/>
        </w:rPr>
        <w:t>une des rares initiatives réussies en matière de réparation aux États-Unis</w:t>
      </w:r>
      <w:r w:rsidRPr="00CD6B67">
        <w:rPr>
          <w:rStyle w:val="FootnoteReference"/>
        </w:rPr>
        <w:footnoteReference w:id="731"/>
      </w:r>
      <w:r>
        <w:rPr>
          <w:lang w:val="fr-FR"/>
        </w:rPr>
        <w:t>.</w:t>
      </w:r>
      <w:r w:rsidRPr="00293268">
        <w:rPr>
          <w:lang w:val="fr-FR"/>
        </w:rPr>
        <w:t xml:space="preserve"> </w:t>
      </w:r>
      <w:r w:rsidRPr="00F92890">
        <w:rPr>
          <w:lang w:val="fr-FR"/>
        </w:rPr>
        <w:t xml:space="preserve">Après des années de pressions </w:t>
      </w:r>
      <w:r w:rsidRPr="00467E44">
        <w:rPr>
          <w:lang w:val="fr-FR"/>
        </w:rPr>
        <w:t xml:space="preserve">pour obtenir réparation </w:t>
      </w:r>
      <w:r>
        <w:rPr>
          <w:lang w:val="fr-FR"/>
        </w:rPr>
        <w:t>exercées par les</w:t>
      </w:r>
      <w:r w:rsidRPr="00F92890">
        <w:rPr>
          <w:lang w:val="fr-FR"/>
        </w:rPr>
        <w:t xml:space="preserve"> survivants et des descendants des victimes de ce massacre</w:t>
      </w:r>
      <w:r>
        <w:rPr>
          <w:lang w:val="fr-FR"/>
        </w:rPr>
        <w:t>, causé par</w:t>
      </w:r>
      <w:r w:rsidRPr="00F92890">
        <w:rPr>
          <w:lang w:val="fr-FR"/>
        </w:rPr>
        <w:t xml:space="preserve"> l</w:t>
      </w:r>
      <w:r>
        <w:rPr>
          <w:lang w:val="fr-FR"/>
        </w:rPr>
        <w:t>’</w:t>
      </w:r>
      <w:r w:rsidRPr="00F92890">
        <w:rPr>
          <w:lang w:val="fr-FR"/>
        </w:rPr>
        <w:t>incapacité des autorités de l</w:t>
      </w:r>
      <w:r>
        <w:rPr>
          <w:lang w:val="fr-FR"/>
        </w:rPr>
        <w:t>’</w:t>
      </w:r>
      <w:r w:rsidRPr="00F92890">
        <w:rPr>
          <w:lang w:val="fr-FR"/>
        </w:rPr>
        <w:t>époque à mettre un terme à la violence, le président de la Chambre des représentants de Floride a demandé la conduite d</w:t>
      </w:r>
      <w:r>
        <w:rPr>
          <w:lang w:val="fr-FR"/>
        </w:rPr>
        <w:t>’</w:t>
      </w:r>
      <w:r w:rsidRPr="00F92890">
        <w:rPr>
          <w:lang w:val="fr-FR"/>
        </w:rPr>
        <w:t xml:space="preserve">une enquête historique sur ce massacre, </w:t>
      </w:r>
      <w:r>
        <w:rPr>
          <w:lang w:val="fr-FR"/>
        </w:rPr>
        <w:t xml:space="preserve">ce </w:t>
      </w:r>
      <w:r w:rsidRPr="00F92890">
        <w:rPr>
          <w:lang w:val="fr-FR"/>
        </w:rPr>
        <w:t xml:space="preserve">qui a renforcé les demandes de restitution, et a </w:t>
      </w:r>
      <w:r>
        <w:rPr>
          <w:lang w:val="fr-FR"/>
        </w:rPr>
        <w:t>été suivie par le dépôt d’</w:t>
      </w:r>
      <w:r w:rsidRPr="00F92890">
        <w:rPr>
          <w:lang w:val="fr-FR"/>
        </w:rPr>
        <w:t>un projet de loi pour l</w:t>
      </w:r>
      <w:r>
        <w:rPr>
          <w:lang w:val="fr-FR"/>
        </w:rPr>
        <w:t>’</w:t>
      </w:r>
      <w:r w:rsidRPr="00F92890">
        <w:rPr>
          <w:lang w:val="fr-FR"/>
        </w:rPr>
        <w:t xml:space="preserve">indemnisation des victimes en 1994 et </w:t>
      </w:r>
      <w:r>
        <w:rPr>
          <w:lang w:val="fr-FR"/>
        </w:rPr>
        <w:t xml:space="preserve">par </w:t>
      </w:r>
      <w:r w:rsidRPr="00F92890">
        <w:rPr>
          <w:lang w:val="fr-FR"/>
        </w:rPr>
        <w:t xml:space="preserve">une audience. Cette initiative a </w:t>
      </w:r>
      <w:r>
        <w:rPr>
          <w:lang w:val="fr-FR"/>
        </w:rPr>
        <w:t>abouti au versement de</w:t>
      </w:r>
      <w:r w:rsidRPr="00F92890">
        <w:rPr>
          <w:lang w:val="fr-FR"/>
        </w:rPr>
        <w:t xml:space="preserve"> 150</w:t>
      </w:r>
      <w:r w:rsidR="00346F76">
        <w:rPr>
          <w:lang w:val="fr-FR"/>
        </w:rPr>
        <w:t> </w:t>
      </w:r>
      <w:r w:rsidRPr="00F92890">
        <w:rPr>
          <w:lang w:val="fr-FR"/>
        </w:rPr>
        <w:t>000</w:t>
      </w:r>
      <w:r w:rsidR="00346F76">
        <w:rPr>
          <w:lang w:val="fr-FR"/>
        </w:rPr>
        <w:t> </w:t>
      </w:r>
      <w:r w:rsidRPr="00F92890">
        <w:rPr>
          <w:lang w:val="fr-FR"/>
        </w:rPr>
        <w:t>dollars aux quatre survivants qui avai</w:t>
      </w:r>
      <w:r>
        <w:rPr>
          <w:lang w:val="fr-FR"/>
        </w:rPr>
        <w:t>en</w:t>
      </w:r>
      <w:r w:rsidRPr="00F92890">
        <w:rPr>
          <w:lang w:val="fr-FR"/>
        </w:rPr>
        <w:t>t témoigné et permis à d</w:t>
      </w:r>
      <w:r>
        <w:rPr>
          <w:lang w:val="fr-FR"/>
        </w:rPr>
        <w:t>’</w:t>
      </w:r>
      <w:r w:rsidRPr="00F92890">
        <w:rPr>
          <w:lang w:val="fr-FR"/>
        </w:rPr>
        <w:t>autres de rejoindre l</w:t>
      </w:r>
      <w:r>
        <w:rPr>
          <w:lang w:val="fr-FR"/>
        </w:rPr>
        <w:t>’</w:t>
      </w:r>
      <w:r w:rsidRPr="00F92890">
        <w:rPr>
          <w:lang w:val="fr-FR"/>
        </w:rPr>
        <w:t xml:space="preserve">action en justice. Elle a également </w:t>
      </w:r>
      <w:r>
        <w:rPr>
          <w:lang w:val="fr-FR"/>
        </w:rPr>
        <w:t xml:space="preserve">permis de financer </w:t>
      </w:r>
      <w:r w:rsidRPr="00F92890">
        <w:rPr>
          <w:lang w:val="fr-FR"/>
        </w:rPr>
        <w:t>les pertes matérielles et des bourses d</w:t>
      </w:r>
      <w:r>
        <w:rPr>
          <w:lang w:val="fr-FR"/>
        </w:rPr>
        <w:t>’</w:t>
      </w:r>
      <w:r w:rsidRPr="00F92890">
        <w:rPr>
          <w:lang w:val="fr-FR"/>
        </w:rPr>
        <w:t>études. Depuis 1994, 297 étudiants ont bénéficié d</w:t>
      </w:r>
      <w:r>
        <w:rPr>
          <w:lang w:val="fr-FR"/>
        </w:rPr>
        <w:t>’</w:t>
      </w:r>
      <w:r w:rsidRPr="00F92890">
        <w:rPr>
          <w:lang w:val="fr-FR"/>
        </w:rPr>
        <w:t>une bourse Rosewood</w:t>
      </w:r>
      <w:r w:rsidRPr="00CD6B67">
        <w:rPr>
          <w:rStyle w:val="FootnoteReference"/>
        </w:rPr>
        <w:footnoteReference w:id="732"/>
      </w:r>
      <w:r>
        <w:rPr>
          <w:lang w:val="fr-FR"/>
        </w:rPr>
        <w:t>.</w:t>
      </w:r>
    </w:p>
    <w:p w14:paraId="34D5E31C" w14:textId="6562A36D" w:rsidR="00D301C6" w:rsidRPr="00293268" w:rsidRDefault="00D301C6" w:rsidP="00D301C6">
      <w:pPr>
        <w:pStyle w:val="SingleTxtG"/>
        <w:rPr>
          <w:lang w:val="fr-FR"/>
        </w:rPr>
      </w:pPr>
      <w:r w:rsidRPr="00293268">
        <w:rPr>
          <w:lang w:val="fr-FR"/>
        </w:rPr>
        <w:t>277.</w:t>
      </w:r>
      <w:r w:rsidRPr="00293268">
        <w:rPr>
          <w:lang w:val="fr-FR"/>
        </w:rPr>
        <w:tab/>
      </w:r>
      <w:r w:rsidRPr="00D26CC2">
        <w:rPr>
          <w:lang w:val="fr-FR"/>
        </w:rPr>
        <w:t>En octobre 2020, l</w:t>
      </w:r>
      <w:r>
        <w:rPr>
          <w:lang w:val="fr-FR"/>
        </w:rPr>
        <w:t>’</w:t>
      </w:r>
      <w:r w:rsidRPr="00D26CC2">
        <w:rPr>
          <w:lang w:val="fr-FR"/>
        </w:rPr>
        <w:t xml:space="preserve">État de Californie a établi un groupe de travail chargé de formuler des recommandations </w:t>
      </w:r>
      <w:r>
        <w:rPr>
          <w:lang w:val="fr-FR"/>
        </w:rPr>
        <w:t xml:space="preserve">sur </w:t>
      </w:r>
      <w:r w:rsidRPr="00D26CC2">
        <w:rPr>
          <w:lang w:val="fr-FR"/>
        </w:rPr>
        <w:t>les réparations que l</w:t>
      </w:r>
      <w:r>
        <w:rPr>
          <w:lang w:val="fr-FR"/>
        </w:rPr>
        <w:t>’</w:t>
      </w:r>
      <w:r w:rsidRPr="00D26CC2">
        <w:rPr>
          <w:lang w:val="fr-FR"/>
        </w:rPr>
        <w:t>État pourrait accorder aux Afro-Américains et plus particulièrement aux descendants de personnes réduites en esclavage aux États-Unis, sur la forme qu</w:t>
      </w:r>
      <w:r>
        <w:rPr>
          <w:lang w:val="fr-FR"/>
        </w:rPr>
        <w:t>’</w:t>
      </w:r>
      <w:r w:rsidRPr="00D26CC2">
        <w:rPr>
          <w:lang w:val="fr-FR"/>
        </w:rPr>
        <w:t>elles pourraient prendre et sur le</w:t>
      </w:r>
      <w:r>
        <w:rPr>
          <w:lang w:val="fr-FR"/>
        </w:rPr>
        <w:t>ur</w:t>
      </w:r>
      <w:r w:rsidRPr="00D26CC2">
        <w:rPr>
          <w:lang w:val="fr-FR"/>
        </w:rPr>
        <w:t xml:space="preserve">s </w:t>
      </w:r>
      <w:r>
        <w:rPr>
          <w:lang w:val="fr-FR"/>
        </w:rPr>
        <w:t>bénéficiaires éventuels</w:t>
      </w:r>
      <w:r w:rsidRPr="00CD6B67">
        <w:rPr>
          <w:rStyle w:val="FootnoteReference"/>
        </w:rPr>
        <w:footnoteReference w:id="733"/>
      </w:r>
      <w:r>
        <w:rPr>
          <w:lang w:val="fr-FR"/>
        </w:rPr>
        <w:t>.</w:t>
      </w:r>
      <w:r w:rsidRPr="00293268">
        <w:rPr>
          <w:lang w:val="fr-FR"/>
        </w:rPr>
        <w:t xml:space="preserve"> </w:t>
      </w:r>
      <w:r w:rsidRPr="003D33A7">
        <w:rPr>
          <w:lang w:val="fr-FR"/>
        </w:rPr>
        <w:t>De même, en octobre 2020, une résolution du conseil municipal de Durham (Caroline du Nord) a demandé la mise en place d</w:t>
      </w:r>
      <w:r>
        <w:rPr>
          <w:lang w:val="fr-FR"/>
        </w:rPr>
        <w:t>’</w:t>
      </w:r>
      <w:r w:rsidRPr="003D33A7">
        <w:rPr>
          <w:lang w:val="fr-FR"/>
        </w:rPr>
        <w:t>un programme fédéral qui accorderait des réparations aux descendants d</w:t>
      </w:r>
      <w:r>
        <w:rPr>
          <w:lang w:val="fr-FR"/>
        </w:rPr>
        <w:t>’</w:t>
      </w:r>
      <w:r w:rsidRPr="003D33A7">
        <w:rPr>
          <w:lang w:val="fr-FR"/>
        </w:rPr>
        <w:t>esclaves qui soient suffisantes pour combler l</w:t>
      </w:r>
      <w:r>
        <w:rPr>
          <w:lang w:val="fr-FR"/>
        </w:rPr>
        <w:t>’</w:t>
      </w:r>
      <w:r w:rsidRPr="003D33A7">
        <w:rPr>
          <w:lang w:val="fr-FR"/>
        </w:rPr>
        <w:t>écart racial de richesse</w:t>
      </w:r>
      <w:r w:rsidRPr="00CD6B67">
        <w:rPr>
          <w:rStyle w:val="FootnoteReference"/>
        </w:rPr>
        <w:footnoteReference w:id="734"/>
      </w:r>
      <w:r>
        <w:rPr>
          <w:lang w:val="fr-FR"/>
        </w:rPr>
        <w:t>.</w:t>
      </w:r>
      <w:r w:rsidRPr="00293268">
        <w:rPr>
          <w:lang w:val="fr-FR"/>
        </w:rPr>
        <w:t xml:space="preserve"> </w:t>
      </w:r>
      <w:r w:rsidRPr="006915C6">
        <w:rPr>
          <w:lang w:val="fr-FR"/>
        </w:rPr>
        <w:t>Le maire de Providence, dans Rhode Island, a également apporté son soutien aux réparations en juillet 2020 en engageant la ville dans un processus de vérité, de réconciliation et de réparation pour les Noirs, les autochtones et les personnes de couleur vivant à Providence</w:t>
      </w:r>
      <w:r w:rsidRPr="00CD6B67">
        <w:rPr>
          <w:rStyle w:val="FootnoteReference"/>
        </w:rPr>
        <w:footnoteReference w:id="735"/>
      </w:r>
      <w:r>
        <w:rPr>
          <w:lang w:val="fr-FR"/>
        </w:rPr>
        <w:t>.</w:t>
      </w:r>
    </w:p>
    <w:p w14:paraId="0C768004" w14:textId="0585DF42" w:rsidR="00D301C6" w:rsidRPr="00293268" w:rsidRDefault="00D301C6" w:rsidP="0071410D">
      <w:pPr>
        <w:pStyle w:val="SingleTxtG"/>
        <w:spacing w:line="236" w:lineRule="atLeast"/>
        <w:rPr>
          <w:lang w:val="fr-FR"/>
        </w:rPr>
      </w:pPr>
      <w:r w:rsidRPr="00293268">
        <w:rPr>
          <w:lang w:val="fr-FR"/>
        </w:rPr>
        <w:t>278.</w:t>
      </w:r>
      <w:r w:rsidRPr="00293268">
        <w:rPr>
          <w:lang w:val="fr-FR"/>
        </w:rPr>
        <w:tab/>
      </w:r>
      <w:r w:rsidRPr="00C1719B">
        <w:rPr>
          <w:lang w:val="fr-FR"/>
        </w:rPr>
        <w:t>Les actions en justice intentées dans le but d</w:t>
      </w:r>
      <w:r>
        <w:rPr>
          <w:lang w:val="fr-FR"/>
        </w:rPr>
        <w:t>’</w:t>
      </w:r>
      <w:r w:rsidRPr="00C1719B">
        <w:rPr>
          <w:lang w:val="fr-FR"/>
        </w:rPr>
        <w:t xml:space="preserve">obtenir réparation ont le plus souvent été </w:t>
      </w:r>
      <w:r>
        <w:rPr>
          <w:lang w:val="fr-FR"/>
        </w:rPr>
        <w:t>jugées irrecevables</w:t>
      </w:r>
      <w:r w:rsidRPr="00C1719B">
        <w:rPr>
          <w:lang w:val="fr-FR"/>
        </w:rPr>
        <w:t xml:space="preserve"> pour cause de prescription et aussi par </w:t>
      </w:r>
      <w:r w:rsidRPr="00A72B0C">
        <w:rPr>
          <w:lang w:val="fr-FR"/>
        </w:rPr>
        <w:t>manque de fondements juridiques</w:t>
      </w:r>
      <w:r w:rsidRPr="00C1719B">
        <w:rPr>
          <w:lang w:val="fr-FR"/>
        </w:rPr>
        <w:t xml:space="preserve"> solides</w:t>
      </w:r>
      <w:r w:rsidRPr="00CD6B67">
        <w:rPr>
          <w:rStyle w:val="FootnoteReference"/>
        </w:rPr>
        <w:footnoteReference w:id="736"/>
      </w:r>
      <w:r>
        <w:rPr>
          <w:lang w:val="fr-FR"/>
        </w:rPr>
        <w:t>.</w:t>
      </w:r>
      <w:r w:rsidRPr="00293268">
        <w:rPr>
          <w:lang w:val="fr-FR"/>
        </w:rPr>
        <w:t xml:space="preserve"> </w:t>
      </w:r>
      <w:r w:rsidRPr="00795DC7">
        <w:rPr>
          <w:lang w:val="fr-FR"/>
        </w:rPr>
        <w:t>Par exemple, en 1995, une action en justice a été rejetée par le tribunal fédéral du district nord de la Californie, car le tribunal n</w:t>
      </w:r>
      <w:r>
        <w:rPr>
          <w:lang w:val="fr-FR"/>
        </w:rPr>
        <w:t>’</w:t>
      </w:r>
      <w:r w:rsidRPr="00795DC7">
        <w:rPr>
          <w:lang w:val="fr-FR"/>
        </w:rPr>
        <w:t>avait pas été en mesure d</w:t>
      </w:r>
      <w:r>
        <w:rPr>
          <w:lang w:val="fr-FR"/>
        </w:rPr>
        <w:t>’</w:t>
      </w:r>
      <w:r w:rsidRPr="00795DC7">
        <w:rPr>
          <w:lang w:val="fr-FR"/>
        </w:rPr>
        <w:t>identifier un quelconque motif juridique recevable permettant au plaignant d</w:t>
      </w:r>
      <w:r>
        <w:rPr>
          <w:lang w:val="fr-FR"/>
        </w:rPr>
        <w:t>’</w:t>
      </w:r>
      <w:r w:rsidRPr="00795DC7">
        <w:rPr>
          <w:lang w:val="fr-FR"/>
        </w:rPr>
        <w:t>intenter une action contre les États</w:t>
      </w:r>
      <w:r w:rsidR="00914436">
        <w:rPr>
          <w:lang w:val="fr-FR"/>
        </w:rPr>
        <w:noBreakHyphen/>
      </w:r>
      <w:r w:rsidRPr="00795DC7">
        <w:rPr>
          <w:lang w:val="fr-FR"/>
        </w:rPr>
        <w:t>Unis. L</w:t>
      </w:r>
      <w:r>
        <w:rPr>
          <w:lang w:val="fr-FR"/>
        </w:rPr>
        <w:t>’</w:t>
      </w:r>
      <w:r w:rsidRPr="00795DC7">
        <w:rPr>
          <w:lang w:val="fr-FR"/>
        </w:rPr>
        <w:t>action en justice visait à obtenir des dommages et intérêts pour les préjudices causés par l</w:t>
      </w:r>
      <w:r>
        <w:rPr>
          <w:lang w:val="fr-FR"/>
        </w:rPr>
        <w:t>’</w:t>
      </w:r>
      <w:r w:rsidRPr="00795DC7">
        <w:rPr>
          <w:lang w:val="fr-FR"/>
        </w:rPr>
        <w:t>asservissement des Afro-Américains et la discrimination dont ils avaient ensuite fait l</w:t>
      </w:r>
      <w:r>
        <w:rPr>
          <w:lang w:val="fr-FR"/>
        </w:rPr>
        <w:t>’</w:t>
      </w:r>
      <w:r w:rsidRPr="00795DC7">
        <w:rPr>
          <w:lang w:val="fr-FR"/>
        </w:rPr>
        <w:t xml:space="preserve">objet, une reconnaissance de la discrimination et des excuses. Le tribunal a conclu que ce type de plaintes </w:t>
      </w:r>
      <w:r>
        <w:rPr>
          <w:lang w:val="fr-FR"/>
        </w:rPr>
        <w:t>était plus du ressort du pouvoir législatif que du</w:t>
      </w:r>
      <w:r w:rsidRPr="00795DC7">
        <w:rPr>
          <w:lang w:val="fr-FR"/>
        </w:rPr>
        <w:t xml:space="preserve"> pouvoir judiciaire</w:t>
      </w:r>
      <w:r w:rsidRPr="00CD6B67">
        <w:rPr>
          <w:rStyle w:val="FootnoteReference"/>
        </w:rPr>
        <w:footnoteReference w:id="737"/>
      </w:r>
      <w:r>
        <w:rPr>
          <w:lang w:val="fr-FR"/>
        </w:rPr>
        <w:t>.</w:t>
      </w:r>
    </w:p>
    <w:p w14:paraId="3919E0EF" w14:textId="5B92CDC2" w:rsidR="00D301C6" w:rsidRPr="00293268" w:rsidRDefault="00D301C6" w:rsidP="0071410D">
      <w:pPr>
        <w:pStyle w:val="SingleTxtG"/>
        <w:spacing w:line="236" w:lineRule="atLeast"/>
        <w:rPr>
          <w:lang w:val="fr-FR"/>
        </w:rPr>
      </w:pPr>
      <w:r w:rsidRPr="00293268">
        <w:rPr>
          <w:lang w:val="fr-FR"/>
        </w:rPr>
        <w:t>279.</w:t>
      </w:r>
      <w:r w:rsidRPr="00293268">
        <w:rPr>
          <w:lang w:val="fr-FR"/>
        </w:rPr>
        <w:tab/>
      </w:r>
      <w:r w:rsidRPr="00C9739D">
        <w:rPr>
          <w:lang w:val="fr-FR"/>
        </w:rPr>
        <w:t>D</w:t>
      </w:r>
      <w:r>
        <w:rPr>
          <w:lang w:val="fr-FR"/>
        </w:rPr>
        <w:t>’</w:t>
      </w:r>
      <w:r w:rsidRPr="00C9739D">
        <w:rPr>
          <w:lang w:val="fr-FR"/>
        </w:rPr>
        <w:t xml:space="preserve">autres stratégies judiciaires ont été déployées, notamment contre des </w:t>
      </w:r>
      <w:r>
        <w:rPr>
          <w:lang w:val="fr-FR"/>
        </w:rPr>
        <w:t>particulier</w:t>
      </w:r>
      <w:r w:rsidRPr="00C9739D">
        <w:rPr>
          <w:lang w:val="fr-FR"/>
        </w:rPr>
        <w:t xml:space="preserve">s, des municipalités et des États, ainsi que des </w:t>
      </w:r>
      <w:r>
        <w:rPr>
          <w:lang w:val="fr-FR"/>
        </w:rPr>
        <w:t>entreprises</w:t>
      </w:r>
      <w:r w:rsidRPr="00C9739D">
        <w:rPr>
          <w:lang w:val="fr-FR"/>
        </w:rPr>
        <w:t xml:space="preserve"> américaines qui ont tiré profit de l</w:t>
      </w:r>
      <w:r>
        <w:rPr>
          <w:lang w:val="fr-FR"/>
        </w:rPr>
        <w:t>’</w:t>
      </w:r>
      <w:r w:rsidRPr="00C9739D">
        <w:rPr>
          <w:lang w:val="fr-FR"/>
        </w:rPr>
        <w:t>esclavage</w:t>
      </w:r>
      <w:r w:rsidRPr="00CD6B67">
        <w:rPr>
          <w:rStyle w:val="FootnoteReference"/>
        </w:rPr>
        <w:footnoteReference w:id="738"/>
      </w:r>
      <w:r>
        <w:rPr>
          <w:lang w:val="fr-FR"/>
        </w:rPr>
        <w:t>.</w:t>
      </w:r>
      <w:r w:rsidRPr="00293268">
        <w:rPr>
          <w:lang w:val="fr-FR"/>
        </w:rPr>
        <w:t xml:space="preserve"> </w:t>
      </w:r>
      <w:r w:rsidRPr="005D66C1">
        <w:rPr>
          <w:lang w:val="fr-FR"/>
        </w:rPr>
        <w:t>En 1997, l</w:t>
      </w:r>
      <w:r>
        <w:rPr>
          <w:lang w:val="fr-FR"/>
        </w:rPr>
        <w:t>’</w:t>
      </w:r>
      <w:r w:rsidRPr="005D66C1">
        <w:rPr>
          <w:lang w:val="fr-FR"/>
        </w:rPr>
        <w:t>État de l</w:t>
      </w:r>
      <w:r>
        <w:rPr>
          <w:lang w:val="fr-FR"/>
        </w:rPr>
        <w:t>’</w:t>
      </w:r>
      <w:r w:rsidRPr="005D66C1">
        <w:rPr>
          <w:lang w:val="fr-FR"/>
        </w:rPr>
        <w:t>Oklahoma a créé une Commission sur les émeutes raciales de Tulsa, dont le rapport final recommandait que l</w:t>
      </w:r>
      <w:r>
        <w:rPr>
          <w:lang w:val="fr-FR"/>
        </w:rPr>
        <w:t>’</w:t>
      </w:r>
      <w:r w:rsidRPr="005D66C1">
        <w:rPr>
          <w:lang w:val="fr-FR"/>
        </w:rPr>
        <w:t xml:space="preserve">Oklahoma et Tulsa accordent des </w:t>
      </w:r>
      <w:r>
        <w:rPr>
          <w:lang w:val="fr-FR"/>
        </w:rPr>
        <w:t>indemnisations</w:t>
      </w:r>
      <w:r w:rsidRPr="005D66C1">
        <w:rPr>
          <w:lang w:val="fr-FR"/>
        </w:rPr>
        <w:t xml:space="preserve"> pour le massacre de 1921 mentionné ci-dessus</w:t>
      </w:r>
      <w:r>
        <w:rPr>
          <w:lang w:val="fr-FR"/>
        </w:rPr>
        <w:t>, ouvrant ainsi la voie à des réparations</w:t>
      </w:r>
      <w:r w:rsidRPr="00293268">
        <w:rPr>
          <w:lang w:val="fr-FR"/>
        </w:rPr>
        <w:t xml:space="preserve">. </w:t>
      </w:r>
      <w:r w:rsidRPr="0052755F">
        <w:rPr>
          <w:lang w:val="fr-FR"/>
        </w:rPr>
        <w:t>L</w:t>
      </w:r>
      <w:r>
        <w:rPr>
          <w:lang w:val="fr-FR"/>
        </w:rPr>
        <w:t>’</w:t>
      </w:r>
      <w:r w:rsidRPr="0052755F">
        <w:rPr>
          <w:lang w:val="fr-FR"/>
        </w:rPr>
        <w:t>assemblée législative de l</w:t>
      </w:r>
      <w:r>
        <w:rPr>
          <w:lang w:val="fr-FR"/>
        </w:rPr>
        <w:t>’</w:t>
      </w:r>
      <w:r w:rsidRPr="0052755F">
        <w:rPr>
          <w:lang w:val="fr-FR"/>
        </w:rPr>
        <w:t>Oklahoma a adopté une loi qui, tout en reprenant bon nombre de conclusions de la Commission sur les émeutes raciales de Tulsa et en reconnaissant les responsabilités morales de l</w:t>
      </w:r>
      <w:r>
        <w:rPr>
          <w:lang w:val="fr-FR"/>
        </w:rPr>
        <w:t>’</w:t>
      </w:r>
      <w:r w:rsidRPr="0052755F">
        <w:rPr>
          <w:lang w:val="fr-FR"/>
        </w:rPr>
        <w:t>État, ne reconnaît pas la responsabilité pénale de l</w:t>
      </w:r>
      <w:r>
        <w:rPr>
          <w:lang w:val="fr-FR"/>
        </w:rPr>
        <w:t>’</w:t>
      </w:r>
      <w:r w:rsidRPr="0052755F">
        <w:rPr>
          <w:lang w:val="fr-FR"/>
        </w:rPr>
        <w:t>État ou de ses citoyens</w:t>
      </w:r>
      <w:r w:rsidRPr="00CD6B67">
        <w:rPr>
          <w:rStyle w:val="FootnoteReference"/>
        </w:rPr>
        <w:footnoteReference w:id="739"/>
      </w:r>
      <w:r>
        <w:rPr>
          <w:lang w:val="fr-FR"/>
        </w:rPr>
        <w:t xml:space="preserve">. </w:t>
      </w:r>
      <w:r w:rsidRPr="00755A2A">
        <w:rPr>
          <w:lang w:val="fr-FR"/>
        </w:rPr>
        <w:t>En 2003, près de deux ans après</w:t>
      </w:r>
      <w:r>
        <w:rPr>
          <w:lang w:val="fr-FR"/>
        </w:rPr>
        <w:t xml:space="preserve"> la parution du</w:t>
      </w:r>
      <w:r w:rsidRPr="00755A2A">
        <w:rPr>
          <w:lang w:val="fr-FR"/>
        </w:rPr>
        <w:t xml:space="preserve"> rapport final, plus de 200</w:t>
      </w:r>
      <w:r w:rsidR="00914436">
        <w:rPr>
          <w:lang w:val="fr-FR"/>
        </w:rPr>
        <w:t> </w:t>
      </w:r>
      <w:r w:rsidRPr="00755A2A">
        <w:rPr>
          <w:lang w:val="fr-FR"/>
        </w:rPr>
        <w:t>survivants et descendants de victimes ont intenté un procès à la ville et au service de police de Tulsa, ainsi qu</w:t>
      </w:r>
      <w:r>
        <w:rPr>
          <w:lang w:val="fr-FR"/>
        </w:rPr>
        <w:t>’</w:t>
      </w:r>
      <w:r w:rsidRPr="00755A2A">
        <w:rPr>
          <w:lang w:val="fr-FR"/>
        </w:rPr>
        <w:t>à l</w:t>
      </w:r>
      <w:r>
        <w:rPr>
          <w:lang w:val="fr-FR"/>
        </w:rPr>
        <w:t>’</w:t>
      </w:r>
      <w:r w:rsidRPr="00755A2A">
        <w:rPr>
          <w:lang w:val="fr-FR"/>
        </w:rPr>
        <w:t>État d</w:t>
      </w:r>
      <w:r>
        <w:rPr>
          <w:lang w:val="fr-FR"/>
        </w:rPr>
        <w:t>’</w:t>
      </w:r>
      <w:r w:rsidRPr="00755A2A">
        <w:rPr>
          <w:lang w:val="fr-FR"/>
        </w:rPr>
        <w:t>Oklahoma. Les plaignants ont ensuite été déboutés de leur action, le tribunal ayant jugé que les faits étaient prescrits</w:t>
      </w:r>
      <w:r w:rsidRPr="00CD6B67">
        <w:rPr>
          <w:rStyle w:val="FootnoteReference"/>
        </w:rPr>
        <w:footnoteReference w:id="740"/>
      </w:r>
      <w:r>
        <w:rPr>
          <w:lang w:val="fr-FR"/>
        </w:rPr>
        <w:t>.</w:t>
      </w:r>
      <w:r w:rsidRPr="00293268">
        <w:rPr>
          <w:lang w:val="fr-FR"/>
        </w:rPr>
        <w:t xml:space="preserve"> </w:t>
      </w:r>
      <w:r w:rsidRPr="00F51DBE">
        <w:rPr>
          <w:lang w:val="fr-FR"/>
        </w:rPr>
        <w:t>En septembre 2020, les survivants et leurs descendants ont intenté un procès à la ville de Tulsa</w:t>
      </w:r>
      <w:r w:rsidRPr="00CD6B67">
        <w:rPr>
          <w:rStyle w:val="FootnoteReference"/>
        </w:rPr>
        <w:footnoteReference w:id="741"/>
      </w:r>
      <w:r>
        <w:rPr>
          <w:lang w:val="fr-FR"/>
        </w:rPr>
        <w:t>,</w:t>
      </w:r>
      <w:r w:rsidRPr="00293268">
        <w:rPr>
          <w:lang w:val="fr-FR"/>
        </w:rPr>
        <w:t xml:space="preserve"> </w:t>
      </w:r>
      <w:r w:rsidRPr="00327897">
        <w:rPr>
          <w:lang w:val="fr-FR"/>
        </w:rPr>
        <w:t>arguant que les responsables locaux et de l</w:t>
      </w:r>
      <w:r>
        <w:rPr>
          <w:lang w:val="fr-FR"/>
        </w:rPr>
        <w:t>’</w:t>
      </w:r>
      <w:r w:rsidRPr="00327897">
        <w:rPr>
          <w:lang w:val="fr-FR"/>
        </w:rPr>
        <w:t xml:space="preserve">État avaient porté atteinte aux droits du public en </w:t>
      </w:r>
      <w:r>
        <w:rPr>
          <w:lang w:val="fr-FR"/>
        </w:rPr>
        <w:t>laissant ce</w:t>
      </w:r>
      <w:r w:rsidRPr="00327897">
        <w:rPr>
          <w:lang w:val="fr-FR"/>
        </w:rPr>
        <w:t xml:space="preserve"> massacre</w:t>
      </w:r>
      <w:r>
        <w:rPr>
          <w:lang w:val="fr-FR"/>
        </w:rPr>
        <w:t xml:space="preserve"> </w:t>
      </w:r>
      <w:r w:rsidRPr="0092412B">
        <w:rPr>
          <w:lang w:val="fr-FR"/>
        </w:rPr>
        <w:t xml:space="preserve">se perpétrer </w:t>
      </w:r>
      <w:r w:rsidRPr="00327897">
        <w:rPr>
          <w:lang w:val="fr-FR"/>
        </w:rPr>
        <w:t>ou</w:t>
      </w:r>
      <w:r>
        <w:rPr>
          <w:lang w:val="fr-FR"/>
        </w:rPr>
        <w:t>,</w:t>
      </w:r>
      <w:r w:rsidRPr="00327897">
        <w:rPr>
          <w:lang w:val="fr-FR"/>
        </w:rPr>
        <w:t xml:space="preserve"> selon certains témoignages, en </w:t>
      </w:r>
      <w:r>
        <w:rPr>
          <w:lang w:val="fr-FR"/>
        </w:rPr>
        <w:t>prenant part</w:t>
      </w:r>
      <w:r w:rsidRPr="00327897">
        <w:rPr>
          <w:lang w:val="fr-FR"/>
        </w:rPr>
        <w:t xml:space="preserve"> aux violences</w:t>
      </w:r>
      <w:r w:rsidRPr="00CD6B67">
        <w:rPr>
          <w:rStyle w:val="FootnoteReference"/>
        </w:rPr>
        <w:footnoteReference w:id="742"/>
      </w:r>
      <w:r w:rsidRPr="00293268">
        <w:rPr>
          <w:lang w:val="fr-FR"/>
        </w:rPr>
        <w:t xml:space="preserve"> </w:t>
      </w:r>
      <w:r w:rsidRPr="004B1F3C">
        <w:rPr>
          <w:lang w:val="fr-FR"/>
        </w:rPr>
        <w:t xml:space="preserve">et </w:t>
      </w:r>
      <w:r>
        <w:rPr>
          <w:lang w:val="fr-FR"/>
        </w:rPr>
        <w:t xml:space="preserve">qu’ils avaient </w:t>
      </w:r>
      <w:r w:rsidRPr="004B1F3C">
        <w:rPr>
          <w:lang w:val="fr-FR"/>
        </w:rPr>
        <w:t>perpétué cette atteinte pendant des générations</w:t>
      </w:r>
      <w:r>
        <w:rPr>
          <w:lang w:val="fr-FR"/>
        </w:rPr>
        <w:t xml:space="preserve"> en se désengageant financièrement du quartier des affaires de </w:t>
      </w:r>
      <w:r w:rsidRPr="00293268">
        <w:rPr>
          <w:lang w:val="fr-FR"/>
        </w:rPr>
        <w:t>Greenwood</w:t>
      </w:r>
      <w:r w:rsidRPr="00CD6B67">
        <w:rPr>
          <w:rStyle w:val="FootnoteReference"/>
        </w:rPr>
        <w:footnoteReference w:id="743"/>
      </w:r>
      <w:r>
        <w:rPr>
          <w:lang w:val="fr-FR"/>
        </w:rPr>
        <w:t>.</w:t>
      </w:r>
      <w:r w:rsidRPr="00293268">
        <w:rPr>
          <w:lang w:val="fr-FR"/>
        </w:rPr>
        <w:t xml:space="preserve"> </w:t>
      </w:r>
      <w:r w:rsidRPr="00E037DC">
        <w:rPr>
          <w:lang w:val="fr-FR"/>
        </w:rPr>
        <w:t>Ils ont également demandé au conseil municipal de rétablir le quartier dans la situation financière qui aurait été la sienne si le massacre n</w:t>
      </w:r>
      <w:r>
        <w:rPr>
          <w:lang w:val="fr-FR"/>
        </w:rPr>
        <w:t>’</w:t>
      </w:r>
      <w:r w:rsidRPr="00E037DC">
        <w:rPr>
          <w:lang w:val="fr-FR"/>
        </w:rPr>
        <w:t>avait pas eu lieu</w:t>
      </w:r>
      <w:r w:rsidRPr="00CD6B67">
        <w:rPr>
          <w:rStyle w:val="FootnoteReference"/>
        </w:rPr>
        <w:footnoteReference w:id="744"/>
      </w:r>
      <w:r w:rsidRPr="00CD6B67">
        <w:rPr>
          <w:rStyle w:val="FootnoteReference"/>
        </w:rPr>
        <w:t>.</w:t>
      </w:r>
    </w:p>
    <w:p w14:paraId="30D7159B" w14:textId="77777777" w:rsidR="00D301C6" w:rsidRPr="00293268" w:rsidRDefault="00D301C6" w:rsidP="0071410D">
      <w:pPr>
        <w:pStyle w:val="SingleTxtG"/>
        <w:spacing w:line="236" w:lineRule="atLeast"/>
        <w:rPr>
          <w:lang w:val="fr-FR"/>
        </w:rPr>
      </w:pPr>
      <w:r w:rsidRPr="00293268">
        <w:rPr>
          <w:lang w:val="fr-FR"/>
        </w:rPr>
        <w:t>280.</w:t>
      </w:r>
      <w:r w:rsidRPr="00293268">
        <w:rPr>
          <w:lang w:val="fr-FR"/>
        </w:rPr>
        <w:tab/>
      </w:r>
      <w:r w:rsidRPr="00790828">
        <w:rPr>
          <w:lang w:val="fr-FR"/>
        </w:rPr>
        <w:t>Dans sa communication au HCDH, le révérend Turner</w:t>
      </w:r>
      <w:r w:rsidRPr="00CD6B67">
        <w:rPr>
          <w:rStyle w:val="FootnoteReference"/>
        </w:rPr>
        <w:footnoteReference w:id="745"/>
      </w:r>
      <w:r w:rsidRPr="00293268">
        <w:rPr>
          <w:lang w:val="fr-FR"/>
        </w:rPr>
        <w:t xml:space="preserve"> </w:t>
      </w:r>
      <w:r w:rsidRPr="00751FE3">
        <w:rPr>
          <w:lang w:val="fr-FR"/>
        </w:rPr>
        <w:t xml:space="preserve">a </w:t>
      </w:r>
      <w:r>
        <w:rPr>
          <w:lang w:val="fr-FR"/>
        </w:rPr>
        <w:t>indiqué</w:t>
      </w:r>
      <w:r w:rsidRPr="00751FE3">
        <w:rPr>
          <w:lang w:val="fr-FR"/>
        </w:rPr>
        <w:t xml:space="preserve"> que </w:t>
      </w:r>
      <w:r>
        <w:rPr>
          <w:lang w:val="fr-FR"/>
        </w:rPr>
        <w:t>la population noire</w:t>
      </w:r>
      <w:r w:rsidRPr="00751FE3">
        <w:rPr>
          <w:lang w:val="fr-FR"/>
        </w:rPr>
        <w:t xml:space="preserve"> de Tulsa avait été dépouillé</w:t>
      </w:r>
      <w:r>
        <w:rPr>
          <w:lang w:val="fr-FR"/>
        </w:rPr>
        <w:t>e</w:t>
      </w:r>
      <w:r w:rsidRPr="00751FE3">
        <w:rPr>
          <w:lang w:val="fr-FR"/>
        </w:rPr>
        <w:t xml:space="preserve"> de </w:t>
      </w:r>
      <w:r>
        <w:rPr>
          <w:lang w:val="fr-FR"/>
        </w:rPr>
        <w:t>sa</w:t>
      </w:r>
      <w:r w:rsidRPr="00751FE3">
        <w:rPr>
          <w:lang w:val="fr-FR"/>
        </w:rPr>
        <w:t xml:space="preserve"> richesse intergénérationnelle, que les mesures prises pour éviter le massacre avaient été grossièrement inadéquates et que les survivants avaient à plusieurs reprises plaidé pour une reconnaissance publique, une restitution et des réparations. Il a </w:t>
      </w:r>
      <w:r>
        <w:rPr>
          <w:lang w:val="fr-FR"/>
        </w:rPr>
        <w:t>appelé à</w:t>
      </w:r>
      <w:r w:rsidRPr="00751FE3">
        <w:rPr>
          <w:lang w:val="fr-FR"/>
        </w:rPr>
        <w:t xml:space="preserve"> des réparations qui devraient inclure des efforts visant à rétablir le statut économique de la </w:t>
      </w:r>
      <w:r>
        <w:rPr>
          <w:lang w:val="fr-FR"/>
        </w:rPr>
        <w:t>population</w:t>
      </w:r>
      <w:r w:rsidRPr="00751FE3">
        <w:rPr>
          <w:lang w:val="fr-FR"/>
        </w:rPr>
        <w:t xml:space="preserve"> noire de Tulsa, à rendre les terres expropriées de Greenwood à </w:t>
      </w:r>
      <w:r>
        <w:rPr>
          <w:lang w:val="fr-FR"/>
        </w:rPr>
        <w:t>leurs</w:t>
      </w:r>
      <w:r w:rsidRPr="00751FE3">
        <w:rPr>
          <w:lang w:val="fr-FR"/>
        </w:rPr>
        <w:t xml:space="preserve"> propriétaires majoritairement noirs, à mettre fin à la discrimination dans le système de justice pénale</w:t>
      </w:r>
      <w:r>
        <w:rPr>
          <w:lang w:val="fr-FR"/>
        </w:rPr>
        <w:t xml:space="preserve"> et</w:t>
      </w:r>
      <w:r w:rsidRPr="00751FE3">
        <w:rPr>
          <w:lang w:val="fr-FR"/>
        </w:rPr>
        <w:t xml:space="preserve"> à </w:t>
      </w:r>
      <w:r>
        <w:rPr>
          <w:lang w:val="fr-FR"/>
        </w:rPr>
        <w:t>mettre en place</w:t>
      </w:r>
      <w:r w:rsidRPr="00751FE3">
        <w:rPr>
          <w:lang w:val="fr-FR"/>
        </w:rPr>
        <w:t xml:space="preserve"> des services sociaux pour les Noirs de Tulsa</w:t>
      </w:r>
      <w:r>
        <w:rPr>
          <w:lang w:val="fr-FR"/>
        </w:rPr>
        <w:t xml:space="preserve"> et</w:t>
      </w:r>
      <w:r w:rsidRPr="00751FE3">
        <w:rPr>
          <w:lang w:val="fr-FR"/>
        </w:rPr>
        <w:t>, en particulier</w:t>
      </w:r>
      <w:r>
        <w:rPr>
          <w:lang w:val="fr-FR"/>
        </w:rPr>
        <w:t>,</w:t>
      </w:r>
      <w:r w:rsidRPr="00751FE3">
        <w:rPr>
          <w:lang w:val="fr-FR"/>
        </w:rPr>
        <w:t xml:space="preserve"> de meilleures écoles. Il a également plaidé en faveur de réparations individuelles pour </w:t>
      </w:r>
      <w:r>
        <w:rPr>
          <w:lang w:val="fr-FR"/>
        </w:rPr>
        <w:t xml:space="preserve">celles et </w:t>
      </w:r>
      <w:r w:rsidRPr="00751FE3">
        <w:rPr>
          <w:lang w:val="fr-FR"/>
        </w:rPr>
        <w:t xml:space="preserve">ceux </w:t>
      </w:r>
      <w:r>
        <w:rPr>
          <w:lang w:val="fr-FR"/>
        </w:rPr>
        <w:t>pouvant</w:t>
      </w:r>
      <w:r w:rsidRPr="00751FE3">
        <w:rPr>
          <w:lang w:val="fr-FR"/>
        </w:rPr>
        <w:t xml:space="preserve"> retracer leurs ancêtres parmi les survivants et les victimes du massacre, ainsi que des réparations collectives pour les expropriations de biens</w:t>
      </w:r>
      <w:r w:rsidRPr="00293268">
        <w:rPr>
          <w:lang w:val="fr-FR"/>
        </w:rPr>
        <w:t>.</w:t>
      </w:r>
    </w:p>
    <w:p w14:paraId="46649A8C" w14:textId="003765DB" w:rsidR="00D301C6" w:rsidRPr="00293268" w:rsidRDefault="00D301C6" w:rsidP="00D301C6">
      <w:pPr>
        <w:pStyle w:val="SingleTxtG"/>
        <w:rPr>
          <w:lang w:val="fr-FR"/>
        </w:rPr>
      </w:pPr>
      <w:r w:rsidRPr="00293268">
        <w:rPr>
          <w:lang w:val="fr-FR"/>
        </w:rPr>
        <w:t>281.</w:t>
      </w:r>
      <w:r w:rsidRPr="00293268">
        <w:rPr>
          <w:lang w:val="fr-FR"/>
        </w:rPr>
        <w:tab/>
      </w:r>
      <w:r w:rsidRPr="00CA3696">
        <w:rPr>
          <w:lang w:val="fr-FR"/>
        </w:rPr>
        <w:t>En 2009, cinq vétérans du mouvement Mau</w:t>
      </w:r>
      <w:r w:rsidR="00B7058F">
        <w:rPr>
          <w:lang w:val="fr-FR"/>
        </w:rPr>
        <w:t> Mau</w:t>
      </w:r>
      <w:r w:rsidRPr="00CA3696">
        <w:rPr>
          <w:lang w:val="fr-FR"/>
        </w:rPr>
        <w:t xml:space="preserve"> (voir ci-dessus) ont engagé des poursuites au Royaume-Uni en vue de demander réparation pour voies de fait, coups et blessures et négligence</w:t>
      </w:r>
      <w:r>
        <w:rPr>
          <w:lang w:val="fr-FR"/>
        </w:rPr>
        <w:t>, en lien avec les violations dont ils avaient été victimes dans l</w:t>
      </w:r>
      <w:r w:rsidRPr="00CA3696">
        <w:rPr>
          <w:lang w:val="fr-FR"/>
        </w:rPr>
        <w:t xml:space="preserve">es camps de détention </w:t>
      </w:r>
      <w:r>
        <w:rPr>
          <w:lang w:val="fr-FR"/>
        </w:rPr>
        <w:t>établis par le</w:t>
      </w:r>
      <w:r w:rsidRPr="00CA3696">
        <w:rPr>
          <w:lang w:val="fr-FR"/>
        </w:rPr>
        <w:t xml:space="preserve"> Gouvernement britannique dans les années 1950. En 2012, le Tribunal supérieur de justice a accordé au mouvement le droit d</w:t>
      </w:r>
      <w:r>
        <w:rPr>
          <w:lang w:val="fr-FR"/>
        </w:rPr>
        <w:t>’</w:t>
      </w:r>
      <w:r w:rsidRPr="00CA3696">
        <w:rPr>
          <w:lang w:val="fr-FR"/>
        </w:rPr>
        <w:t>ester en justice, après quoi</w:t>
      </w:r>
      <w:r w:rsidRPr="00813782">
        <w:rPr>
          <w:lang w:val="fr-FR"/>
        </w:rPr>
        <w:t xml:space="preserve"> </w:t>
      </w:r>
      <w:r>
        <w:rPr>
          <w:lang w:val="fr-FR"/>
        </w:rPr>
        <w:t>l’affaire a pu avancer</w:t>
      </w:r>
      <w:r w:rsidRPr="00CA3696">
        <w:rPr>
          <w:lang w:val="fr-FR"/>
        </w:rPr>
        <w:t xml:space="preserve">. </w:t>
      </w:r>
      <w:r>
        <w:rPr>
          <w:lang w:val="fr-FR"/>
        </w:rPr>
        <w:t>Celle-ci a été réglée en</w:t>
      </w:r>
      <w:r w:rsidRPr="00CA3696">
        <w:rPr>
          <w:lang w:val="fr-FR"/>
        </w:rPr>
        <w:t xml:space="preserve"> 2013 et bien que le Royaume-Uni ait nié toute responsabilité du Gouvernement et des contribuables britanniques d</w:t>
      </w:r>
      <w:r>
        <w:rPr>
          <w:lang w:val="fr-FR"/>
        </w:rPr>
        <w:t>’</w:t>
      </w:r>
      <w:r w:rsidRPr="00CA3696">
        <w:rPr>
          <w:lang w:val="fr-FR"/>
        </w:rPr>
        <w:t>aujourd</w:t>
      </w:r>
      <w:r>
        <w:rPr>
          <w:lang w:val="fr-FR"/>
        </w:rPr>
        <w:t>’</w:t>
      </w:r>
      <w:r w:rsidRPr="00CA3696">
        <w:rPr>
          <w:lang w:val="fr-FR"/>
        </w:rPr>
        <w:t>hui pour les actes commis par l</w:t>
      </w:r>
      <w:r>
        <w:rPr>
          <w:lang w:val="fr-FR"/>
        </w:rPr>
        <w:t>’</w:t>
      </w:r>
      <w:r w:rsidRPr="00CA3696">
        <w:rPr>
          <w:lang w:val="fr-FR"/>
        </w:rPr>
        <w:t xml:space="preserve">administration coloniale, </w:t>
      </w:r>
      <w:r>
        <w:rPr>
          <w:lang w:val="fr-FR"/>
        </w:rPr>
        <w:t>il</w:t>
      </w:r>
      <w:r w:rsidRPr="00CA3696">
        <w:rPr>
          <w:lang w:val="fr-FR"/>
        </w:rPr>
        <w:t xml:space="preserve"> a néanmoins accepté de verser 19,9</w:t>
      </w:r>
      <w:r w:rsidR="003D0E9E">
        <w:rPr>
          <w:lang w:val="fr-FR"/>
        </w:rPr>
        <w:t> </w:t>
      </w:r>
      <w:r w:rsidRPr="00CA3696">
        <w:rPr>
          <w:lang w:val="fr-FR"/>
        </w:rPr>
        <w:t>millions de livres sterling de dommages-intérêts à 5</w:t>
      </w:r>
      <w:r w:rsidR="003D0E9E">
        <w:rPr>
          <w:lang w:val="fr-FR"/>
        </w:rPr>
        <w:t> </w:t>
      </w:r>
      <w:r w:rsidRPr="00CA3696">
        <w:rPr>
          <w:lang w:val="fr-FR"/>
        </w:rPr>
        <w:t>228 rescapés</w:t>
      </w:r>
      <w:r w:rsidRPr="00CD6B67">
        <w:rPr>
          <w:rStyle w:val="FootnoteReference"/>
        </w:rPr>
        <w:footnoteReference w:id="746"/>
      </w:r>
      <w:r>
        <w:rPr>
          <w:lang w:val="fr-FR"/>
        </w:rPr>
        <w:t>.</w:t>
      </w:r>
    </w:p>
    <w:p w14:paraId="1C89D264" w14:textId="77777777" w:rsidR="00D301C6" w:rsidRPr="00293268" w:rsidRDefault="00D301C6" w:rsidP="00D301C6">
      <w:pPr>
        <w:pStyle w:val="SingleTxtG"/>
        <w:rPr>
          <w:lang w:val="fr-FR"/>
        </w:rPr>
      </w:pPr>
      <w:r w:rsidRPr="00293268">
        <w:rPr>
          <w:lang w:val="fr-FR"/>
        </w:rPr>
        <w:t>282.</w:t>
      </w:r>
      <w:r w:rsidRPr="00293268">
        <w:rPr>
          <w:lang w:val="fr-FR"/>
        </w:rPr>
        <w:tab/>
      </w:r>
      <w:r w:rsidRPr="003C1FB8">
        <w:rPr>
          <w:lang w:val="fr-FR"/>
        </w:rPr>
        <w:t>En décembre 2020, la France a adopté une loi relative à la restitution d</w:t>
      </w:r>
      <w:r>
        <w:rPr>
          <w:lang w:val="fr-FR"/>
        </w:rPr>
        <w:t>’</w:t>
      </w:r>
      <w:r w:rsidRPr="003C1FB8">
        <w:rPr>
          <w:lang w:val="fr-FR"/>
        </w:rPr>
        <w:t>un certain nombre de biens culturels au Bénin et au Sénégal</w:t>
      </w:r>
      <w:r w:rsidRPr="00CD6B67">
        <w:rPr>
          <w:rStyle w:val="FootnoteReference"/>
        </w:rPr>
        <w:footnoteReference w:id="747"/>
      </w:r>
      <w:r>
        <w:rPr>
          <w:lang w:val="fr-FR"/>
        </w:rPr>
        <w:t>,</w:t>
      </w:r>
      <w:r w:rsidRPr="00293268">
        <w:rPr>
          <w:lang w:val="fr-FR"/>
        </w:rPr>
        <w:t xml:space="preserve"> </w:t>
      </w:r>
      <w:r w:rsidRPr="004B66BE">
        <w:rPr>
          <w:lang w:val="fr-FR"/>
        </w:rPr>
        <w:t xml:space="preserve">conformément à un rapport commandé par le </w:t>
      </w:r>
      <w:r>
        <w:rPr>
          <w:lang w:val="fr-FR"/>
        </w:rPr>
        <w:t>P</w:t>
      </w:r>
      <w:r w:rsidRPr="004B66BE">
        <w:rPr>
          <w:lang w:val="fr-FR"/>
        </w:rPr>
        <w:t xml:space="preserve">résident </w:t>
      </w:r>
      <w:r>
        <w:rPr>
          <w:lang w:val="fr-FR"/>
        </w:rPr>
        <w:t xml:space="preserve">de la République </w:t>
      </w:r>
      <w:r w:rsidRPr="004B66BE">
        <w:rPr>
          <w:lang w:val="fr-FR"/>
        </w:rPr>
        <w:t>sur la restitution du patrimoine culturel africain</w:t>
      </w:r>
      <w:r w:rsidRPr="00CD6B67">
        <w:rPr>
          <w:rStyle w:val="FootnoteReference"/>
        </w:rPr>
        <w:footnoteReference w:id="748"/>
      </w:r>
      <w:r>
        <w:rPr>
          <w:lang w:val="fr-FR"/>
        </w:rPr>
        <w:t>.</w:t>
      </w:r>
      <w:r w:rsidRPr="00293268">
        <w:rPr>
          <w:lang w:val="fr-FR"/>
        </w:rPr>
        <w:t xml:space="preserve"> </w:t>
      </w:r>
      <w:r w:rsidRPr="00613527">
        <w:rPr>
          <w:lang w:val="fr-FR"/>
        </w:rPr>
        <w:t>L</w:t>
      </w:r>
      <w:r>
        <w:rPr>
          <w:lang w:val="fr-FR"/>
        </w:rPr>
        <w:t>’</w:t>
      </w:r>
      <w:r w:rsidRPr="00613527">
        <w:rPr>
          <w:lang w:val="fr-FR"/>
        </w:rPr>
        <w:t>Allemagne et la Belgique étaient également engagées dans des pourparlers sur des restitutions similaires de biens culturels</w:t>
      </w:r>
      <w:r w:rsidRPr="00CD6B67">
        <w:rPr>
          <w:rStyle w:val="FootnoteReference"/>
        </w:rPr>
        <w:footnoteReference w:id="749"/>
      </w:r>
      <w:r>
        <w:rPr>
          <w:lang w:val="fr-FR"/>
        </w:rPr>
        <w:t>.</w:t>
      </w:r>
    </w:p>
    <w:p w14:paraId="6E58FE86" w14:textId="38C252D1" w:rsidR="00D301C6" w:rsidRPr="00293268" w:rsidRDefault="00D301C6" w:rsidP="00D301C6">
      <w:pPr>
        <w:pStyle w:val="SingleTxtG"/>
        <w:rPr>
          <w:lang w:val="fr-FR"/>
        </w:rPr>
      </w:pPr>
      <w:r w:rsidRPr="00293268">
        <w:rPr>
          <w:lang w:val="fr-FR"/>
        </w:rPr>
        <w:t>283.</w:t>
      </w:r>
      <w:r w:rsidRPr="00293268">
        <w:rPr>
          <w:lang w:val="fr-FR"/>
        </w:rPr>
        <w:tab/>
      </w:r>
      <w:r w:rsidRPr="00102762">
        <w:rPr>
          <w:lang w:val="fr-FR"/>
        </w:rPr>
        <w:t xml:space="preserve">Des </w:t>
      </w:r>
      <w:r>
        <w:rPr>
          <w:lang w:val="fr-FR"/>
        </w:rPr>
        <w:t xml:space="preserve">congrégations </w:t>
      </w:r>
      <w:r w:rsidRPr="00102762">
        <w:rPr>
          <w:lang w:val="fr-FR"/>
        </w:rPr>
        <w:t>religieu</w:t>
      </w:r>
      <w:r>
        <w:rPr>
          <w:lang w:val="fr-FR"/>
        </w:rPr>
        <w:t>ses</w:t>
      </w:r>
      <w:r w:rsidRPr="00102762">
        <w:rPr>
          <w:lang w:val="fr-FR"/>
        </w:rPr>
        <w:t xml:space="preserve"> </w:t>
      </w:r>
      <w:r>
        <w:rPr>
          <w:lang w:val="fr-FR"/>
        </w:rPr>
        <w:t>sont</w:t>
      </w:r>
      <w:r w:rsidRPr="00102762">
        <w:rPr>
          <w:lang w:val="fr-FR"/>
        </w:rPr>
        <w:t xml:space="preserve"> également </w:t>
      </w:r>
      <w:r>
        <w:rPr>
          <w:lang w:val="fr-FR"/>
        </w:rPr>
        <w:t xml:space="preserve">en passe de reconnaître </w:t>
      </w:r>
      <w:r w:rsidRPr="00102762">
        <w:rPr>
          <w:lang w:val="fr-FR"/>
        </w:rPr>
        <w:t>leur rôle dans l</w:t>
      </w:r>
      <w:r>
        <w:rPr>
          <w:lang w:val="fr-FR"/>
        </w:rPr>
        <w:t>’</w:t>
      </w:r>
      <w:r w:rsidRPr="00102762">
        <w:rPr>
          <w:lang w:val="fr-FR"/>
        </w:rPr>
        <w:t xml:space="preserve">esclavage et </w:t>
      </w:r>
      <w:r>
        <w:rPr>
          <w:lang w:val="fr-FR"/>
        </w:rPr>
        <w:t>d’envisager des</w:t>
      </w:r>
      <w:r w:rsidRPr="00102762">
        <w:rPr>
          <w:lang w:val="fr-FR"/>
        </w:rPr>
        <w:t xml:space="preserve"> réparations. Plusieurs diocèses de l</w:t>
      </w:r>
      <w:r>
        <w:rPr>
          <w:lang w:val="fr-FR"/>
        </w:rPr>
        <w:t>’</w:t>
      </w:r>
      <w:r w:rsidRPr="00102762">
        <w:rPr>
          <w:lang w:val="fr-FR"/>
        </w:rPr>
        <w:t>Église épiscopale ont lancé des programmes de réparation, et d</w:t>
      </w:r>
      <w:r>
        <w:rPr>
          <w:lang w:val="fr-FR"/>
        </w:rPr>
        <w:t>’</w:t>
      </w:r>
      <w:r w:rsidRPr="00102762">
        <w:rPr>
          <w:lang w:val="fr-FR"/>
        </w:rPr>
        <w:t xml:space="preserve">autres </w:t>
      </w:r>
      <w:r>
        <w:rPr>
          <w:lang w:val="fr-FR"/>
        </w:rPr>
        <w:t>en élaborent</w:t>
      </w:r>
      <w:r w:rsidRPr="00102762">
        <w:rPr>
          <w:lang w:val="fr-FR"/>
        </w:rPr>
        <w:t>. Il s</w:t>
      </w:r>
      <w:r>
        <w:rPr>
          <w:lang w:val="fr-FR"/>
        </w:rPr>
        <w:t>’</w:t>
      </w:r>
      <w:r w:rsidRPr="00102762">
        <w:rPr>
          <w:lang w:val="fr-FR"/>
        </w:rPr>
        <w:t>agit notamment de bourses d</w:t>
      </w:r>
      <w:r>
        <w:rPr>
          <w:lang w:val="fr-FR"/>
        </w:rPr>
        <w:t>’</w:t>
      </w:r>
      <w:r w:rsidRPr="00102762">
        <w:rPr>
          <w:lang w:val="fr-FR"/>
        </w:rPr>
        <w:t>études pour les étudiants qui fréquentent des séminaires ou des collèges historiquement noirs et d</w:t>
      </w:r>
      <w:r>
        <w:rPr>
          <w:lang w:val="fr-FR"/>
        </w:rPr>
        <w:t>’</w:t>
      </w:r>
      <w:r w:rsidRPr="00102762">
        <w:rPr>
          <w:lang w:val="fr-FR"/>
        </w:rPr>
        <w:t>une aide aux églises historiquement noires</w:t>
      </w:r>
      <w:r w:rsidRPr="00CD6B67">
        <w:rPr>
          <w:rStyle w:val="FootnoteReference"/>
        </w:rPr>
        <w:footnoteReference w:id="750"/>
      </w:r>
      <w:r>
        <w:rPr>
          <w:lang w:val="fr-FR"/>
        </w:rPr>
        <w:t>.</w:t>
      </w:r>
      <w:r w:rsidRPr="00293268">
        <w:rPr>
          <w:lang w:val="fr-FR"/>
        </w:rPr>
        <w:t xml:space="preserve"> </w:t>
      </w:r>
      <w:r w:rsidRPr="00FD26C5">
        <w:rPr>
          <w:lang w:val="fr-FR"/>
        </w:rPr>
        <w:t xml:space="preserve">En 2018, la Congrégation des religieuses du Sacré-Cœur de Jésus </w:t>
      </w:r>
      <w:r>
        <w:rPr>
          <w:lang w:val="fr-FR"/>
        </w:rPr>
        <w:t>a</w:t>
      </w:r>
      <w:r w:rsidRPr="00FD26C5">
        <w:rPr>
          <w:lang w:val="fr-FR"/>
        </w:rPr>
        <w:t xml:space="preserve"> établi un fonds de réparation afin de financer des bourses d</w:t>
      </w:r>
      <w:r>
        <w:rPr>
          <w:lang w:val="fr-FR"/>
        </w:rPr>
        <w:t>’</w:t>
      </w:r>
      <w:r w:rsidRPr="00FD26C5">
        <w:rPr>
          <w:lang w:val="fr-FR"/>
        </w:rPr>
        <w:t xml:space="preserve">études pour les Afro-Américains de Grand Coteau, en Louisiane, où </w:t>
      </w:r>
      <w:r>
        <w:rPr>
          <w:lang w:val="fr-FR"/>
        </w:rPr>
        <w:t>elle</w:t>
      </w:r>
      <w:r w:rsidRPr="00FD26C5">
        <w:rPr>
          <w:lang w:val="fr-FR"/>
        </w:rPr>
        <w:t xml:space="preserve"> </w:t>
      </w:r>
      <w:r>
        <w:rPr>
          <w:lang w:val="fr-FR"/>
        </w:rPr>
        <w:t>avait autrefois possédé</w:t>
      </w:r>
      <w:r w:rsidRPr="00FD26C5">
        <w:rPr>
          <w:lang w:val="fr-FR"/>
        </w:rPr>
        <w:t xml:space="preserve"> environ 150</w:t>
      </w:r>
      <w:r w:rsidR="00EA3C1D">
        <w:rPr>
          <w:lang w:val="fr-FR"/>
        </w:rPr>
        <w:t> </w:t>
      </w:r>
      <w:r w:rsidRPr="00FD26C5">
        <w:rPr>
          <w:lang w:val="fr-FR"/>
        </w:rPr>
        <w:t>esclaves</w:t>
      </w:r>
      <w:r w:rsidRPr="00CD6B67">
        <w:rPr>
          <w:rStyle w:val="FootnoteReference"/>
        </w:rPr>
        <w:footnoteReference w:id="751"/>
      </w:r>
      <w:r>
        <w:rPr>
          <w:lang w:val="fr-FR"/>
        </w:rPr>
        <w:t>.</w:t>
      </w:r>
      <w:r w:rsidRPr="00293268">
        <w:rPr>
          <w:lang w:val="fr-FR"/>
        </w:rPr>
        <w:t xml:space="preserve"> </w:t>
      </w:r>
      <w:r w:rsidRPr="00DD4F07">
        <w:rPr>
          <w:lang w:val="fr-FR"/>
        </w:rPr>
        <w:t>L</w:t>
      </w:r>
      <w:r>
        <w:rPr>
          <w:lang w:val="fr-FR"/>
        </w:rPr>
        <w:t>’</w:t>
      </w:r>
      <w:r w:rsidRPr="00DD4F07">
        <w:rPr>
          <w:lang w:val="fr-FR"/>
        </w:rPr>
        <w:t>Église unie du Canada et la United Church of Christ (l</w:t>
      </w:r>
      <w:r>
        <w:rPr>
          <w:lang w:val="fr-FR"/>
        </w:rPr>
        <w:t>’</w:t>
      </w:r>
      <w:r w:rsidRPr="00DD4F07">
        <w:rPr>
          <w:lang w:val="fr-FR"/>
        </w:rPr>
        <w:t>Église Unie du Christ) ont pris des mesures en vue d</w:t>
      </w:r>
      <w:r>
        <w:rPr>
          <w:lang w:val="fr-FR"/>
        </w:rPr>
        <w:t>’accord</w:t>
      </w:r>
      <w:r w:rsidRPr="00DD4F07">
        <w:rPr>
          <w:lang w:val="fr-FR"/>
        </w:rPr>
        <w:t>er des réparations pour les torts qu</w:t>
      </w:r>
      <w:r>
        <w:rPr>
          <w:lang w:val="fr-FR"/>
        </w:rPr>
        <w:t>’</w:t>
      </w:r>
      <w:r w:rsidRPr="00DD4F07">
        <w:rPr>
          <w:lang w:val="fr-FR"/>
        </w:rPr>
        <w:t>elles ont causés sous la forme d</w:t>
      </w:r>
      <w:r>
        <w:rPr>
          <w:lang w:val="fr-FR"/>
        </w:rPr>
        <w:t>’un</w:t>
      </w:r>
      <w:r w:rsidRPr="00DD4F07">
        <w:rPr>
          <w:lang w:val="fr-FR"/>
        </w:rPr>
        <w:t>e subordination raciale, qui</w:t>
      </w:r>
      <w:r>
        <w:rPr>
          <w:lang w:val="fr-FR"/>
        </w:rPr>
        <w:t xml:space="preserve"> </w:t>
      </w:r>
      <w:r w:rsidRPr="00DD4F07">
        <w:rPr>
          <w:lang w:val="fr-FR"/>
        </w:rPr>
        <w:t xml:space="preserve">trouvent </w:t>
      </w:r>
      <w:r>
        <w:rPr>
          <w:lang w:val="fr-FR"/>
        </w:rPr>
        <w:t>son</w:t>
      </w:r>
      <w:r w:rsidRPr="00DD4F07">
        <w:rPr>
          <w:lang w:val="fr-FR"/>
        </w:rPr>
        <w:t xml:space="preserve"> origine dans </w:t>
      </w:r>
      <w:r>
        <w:rPr>
          <w:lang w:val="fr-FR"/>
        </w:rPr>
        <w:t xml:space="preserve">une </w:t>
      </w:r>
      <w:r w:rsidRPr="00DD4F07">
        <w:rPr>
          <w:lang w:val="fr-FR"/>
        </w:rPr>
        <w:t>injustice historique</w:t>
      </w:r>
      <w:r w:rsidRPr="00CD6B67">
        <w:rPr>
          <w:rStyle w:val="FootnoteReference"/>
        </w:rPr>
        <w:footnoteReference w:id="752"/>
      </w:r>
      <w:r>
        <w:rPr>
          <w:lang w:val="fr-FR"/>
        </w:rPr>
        <w:t>.</w:t>
      </w:r>
      <w:r w:rsidRPr="00293268">
        <w:rPr>
          <w:lang w:val="fr-FR"/>
        </w:rPr>
        <w:t xml:space="preserve"> </w:t>
      </w:r>
      <w:r w:rsidRPr="00F96BA2">
        <w:rPr>
          <w:lang w:val="fr-FR"/>
        </w:rPr>
        <w:t>L</w:t>
      </w:r>
      <w:r>
        <w:rPr>
          <w:lang w:val="fr-FR"/>
        </w:rPr>
        <w:t>’</w:t>
      </w:r>
      <w:r w:rsidRPr="00F96BA2">
        <w:rPr>
          <w:lang w:val="fr-FR"/>
        </w:rPr>
        <w:t>Église d</w:t>
      </w:r>
      <w:r>
        <w:rPr>
          <w:lang w:val="fr-FR"/>
        </w:rPr>
        <w:t>’</w:t>
      </w:r>
      <w:r w:rsidRPr="00F96BA2">
        <w:rPr>
          <w:lang w:val="fr-FR"/>
        </w:rPr>
        <w:t>Angleterre a présenté des excuses aux descendants d</w:t>
      </w:r>
      <w:r>
        <w:rPr>
          <w:lang w:val="fr-FR"/>
        </w:rPr>
        <w:t>’</w:t>
      </w:r>
      <w:r w:rsidRPr="00F96BA2">
        <w:rPr>
          <w:lang w:val="fr-FR"/>
        </w:rPr>
        <w:t>esclaves d</w:t>
      </w:r>
      <w:r>
        <w:rPr>
          <w:lang w:val="fr-FR"/>
        </w:rPr>
        <w:t>’</w:t>
      </w:r>
      <w:r w:rsidRPr="00F96BA2">
        <w:rPr>
          <w:lang w:val="fr-FR"/>
        </w:rPr>
        <w:t xml:space="preserve">une </w:t>
      </w:r>
      <w:r>
        <w:rPr>
          <w:lang w:val="fr-FR"/>
        </w:rPr>
        <w:t>congrégation</w:t>
      </w:r>
      <w:r w:rsidRPr="00F96BA2">
        <w:rPr>
          <w:lang w:val="fr-FR"/>
        </w:rPr>
        <w:t xml:space="preserve"> religieuse qui avait possédé une plantation à la Barbade et avait été dédommagée lorsque ceux-ci ont été émancipés</w:t>
      </w:r>
      <w:r w:rsidRPr="00CD6B67">
        <w:rPr>
          <w:rStyle w:val="FootnoteReference"/>
        </w:rPr>
        <w:footnoteReference w:id="753"/>
      </w:r>
      <w:r>
        <w:rPr>
          <w:lang w:val="fr-FR"/>
        </w:rPr>
        <w:t>.</w:t>
      </w:r>
      <w:r w:rsidRPr="00293268">
        <w:rPr>
          <w:lang w:val="fr-FR"/>
        </w:rPr>
        <w:t xml:space="preserve"> </w:t>
      </w:r>
      <w:r w:rsidRPr="00EE1744">
        <w:rPr>
          <w:lang w:val="fr-FR"/>
        </w:rPr>
        <w:t xml:space="preserve">Elle a également publié des orientations en 2021 sur la commémoration </w:t>
      </w:r>
      <w:r>
        <w:rPr>
          <w:lang w:val="fr-FR"/>
        </w:rPr>
        <w:t>concrète</w:t>
      </w:r>
      <w:r w:rsidRPr="00EE1744">
        <w:rPr>
          <w:lang w:val="fr-FR"/>
        </w:rPr>
        <w:t xml:space="preserve"> de personn</w:t>
      </w:r>
      <w:r>
        <w:rPr>
          <w:lang w:val="fr-FR"/>
        </w:rPr>
        <w:t>alité</w:t>
      </w:r>
      <w:r w:rsidRPr="00EE1744">
        <w:rPr>
          <w:lang w:val="fr-FR"/>
        </w:rPr>
        <w:t>s ou d</w:t>
      </w:r>
      <w:r>
        <w:rPr>
          <w:lang w:val="fr-FR"/>
        </w:rPr>
        <w:t>’</w:t>
      </w:r>
      <w:r w:rsidRPr="00EE1744">
        <w:rPr>
          <w:lang w:val="fr-FR"/>
        </w:rPr>
        <w:t>événements liés au racisme et à l</w:t>
      </w:r>
      <w:r>
        <w:rPr>
          <w:lang w:val="fr-FR"/>
        </w:rPr>
        <w:t>’</w:t>
      </w:r>
      <w:r w:rsidRPr="00EE1744">
        <w:rPr>
          <w:lang w:val="fr-FR"/>
        </w:rPr>
        <w:t>esclavage, afin d</w:t>
      </w:r>
      <w:r>
        <w:rPr>
          <w:lang w:val="fr-FR"/>
        </w:rPr>
        <w:t>’</w:t>
      </w:r>
      <w:r w:rsidRPr="00EE1744">
        <w:rPr>
          <w:lang w:val="fr-FR"/>
        </w:rPr>
        <w:t xml:space="preserve">établir une méthodologie permettant de </w:t>
      </w:r>
      <w:r>
        <w:rPr>
          <w:lang w:val="fr-FR"/>
        </w:rPr>
        <w:t>se pencher sur</w:t>
      </w:r>
      <w:r w:rsidRPr="00EE1744">
        <w:rPr>
          <w:lang w:val="fr-FR"/>
        </w:rPr>
        <w:t xml:space="preserve"> les autres formes du patrimoine contesté des cathédrales et édifices religieux</w:t>
      </w:r>
      <w:r w:rsidRPr="00CD6B67">
        <w:rPr>
          <w:rStyle w:val="FootnoteReference"/>
        </w:rPr>
        <w:footnoteReference w:id="754"/>
      </w:r>
      <w:r>
        <w:rPr>
          <w:lang w:val="fr-FR"/>
        </w:rPr>
        <w:t>.</w:t>
      </w:r>
    </w:p>
    <w:p w14:paraId="67293D5C" w14:textId="68447D41" w:rsidR="00D301C6" w:rsidRPr="00293268" w:rsidRDefault="00D301C6" w:rsidP="00D301C6">
      <w:pPr>
        <w:pStyle w:val="SingleTxtG"/>
        <w:rPr>
          <w:lang w:val="fr-FR"/>
        </w:rPr>
      </w:pPr>
      <w:r w:rsidRPr="00293268">
        <w:rPr>
          <w:lang w:val="fr-FR"/>
        </w:rPr>
        <w:t>284.</w:t>
      </w:r>
      <w:r w:rsidRPr="00293268">
        <w:rPr>
          <w:lang w:val="fr-FR"/>
        </w:rPr>
        <w:tab/>
      </w:r>
      <w:r w:rsidRPr="00E03709">
        <w:rPr>
          <w:lang w:val="fr-FR"/>
        </w:rPr>
        <w:t>D</w:t>
      </w:r>
      <w:r>
        <w:rPr>
          <w:lang w:val="fr-FR"/>
        </w:rPr>
        <w:t>’</w:t>
      </w:r>
      <w:r w:rsidRPr="00E03709">
        <w:rPr>
          <w:lang w:val="fr-FR"/>
        </w:rPr>
        <w:t>autres initiatives de réparation ont vu le jour au sein des universités à la suite d</w:t>
      </w:r>
      <w:r>
        <w:rPr>
          <w:lang w:val="fr-FR"/>
        </w:rPr>
        <w:t>’</w:t>
      </w:r>
      <w:r w:rsidRPr="00E03709">
        <w:rPr>
          <w:lang w:val="fr-FR"/>
        </w:rPr>
        <w:t>études sur les liens qu</w:t>
      </w:r>
      <w:r>
        <w:rPr>
          <w:lang w:val="fr-FR"/>
        </w:rPr>
        <w:t>’</w:t>
      </w:r>
      <w:r w:rsidRPr="00E03709">
        <w:rPr>
          <w:lang w:val="fr-FR"/>
        </w:rPr>
        <w:t>elles entretenaient avec l</w:t>
      </w:r>
      <w:r>
        <w:rPr>
          <w:lang w:val="fr-FR"/>
        </w:rPr>
        <w:t>’</w:t>
      </w:r>
      <w:r w:rsidRPr="00E03709">
        <w:rPr>
          <w:lang w:val="fr-FR"/>
        </w:rPr>
        <w:t>esclavage et le commerce transatlantique d</w:t>
      </w:r>
      <w:r>
        <w:rPr>
          <w:lang w:val="fr-FR"/>
        </w:rPr>
        <w:t>’</w:t>
      </w:r>
      <w:r w:rsidRPr="00E03709">
        <w:rPr>
          <w:lang w:val="fr-FR"/>
        </w:rPr>
        <w:t>Africains réduits en esclavage et sur les bénéfices ou les avantages qu</w:t>
      </w:r>
      <w:r>
        <w:rPr>
          <w:lang w:val="fr-FR"/>
        </w:rPr>
        <w:t>’</w:t>
      </w:r>
      <w:r w:rsidRPr="00E03709">
        <w:rPr>
          <w:lang w:val="fr-FR"/>
        </w:rPr>
        <w:t xml:space="preserve">elles en </w:t>
      </w:r>
      <w:r>
        <w:rPr>
          <w:lang w:val="fr-FR"/>
        </w:rPr>
        <w:t>avaient</w:t>
      </w:r>
      <w:r w:rsidRPr="00E03709">
        <w:rPr>
          <w:lang w:val="fr-FR"/>
        </w:rPr>
        <w:t xml:space="preserve"> </w:t>
      </w:r>
      <w:r>
        <w:rPr>
          <w:lang w:val="fr-FR"/>
        </w:rPr>
        <w:t>re</w:t>
      </w:r>
      <w:r w:rsidRPr="00E03709">
        <w:rPr>
          <w:lang w:val="fr-FR"/>
        </w:rPr>
        <w:t>tirés. Aux États-Unis</w:t>
      </w:r>
      <w:r w:rsidRPr="00CD6B67">
        <w:rPr>
          <w:rStyle w:val="FootnoteReference"/>
        </w:rPr>
        <w:footnoteReference w:id="755"/>
      </w:r>
      <w:r>
        <w:rPr>
          <w:lang w:val="fr-FR"/>
        </w:rPr>
        <w:t>, par exemple,</w:t>
      </w:r>
      <w:r w:rsidRPr="00293268">
        <w:rPr>
          <w:lang w:val="fr-FR"/>
        </w:rPr>
        <w:t xml:space="preserve"> </w:t>
      </w:r>
      <w:r>
        <w:rPr>
          <w:lang w:val="fr-FR"/>
        </w:rPr>
        <w:t>l’Université</w:t>
      </w:r>
      <w:r w:rsidRPr="00293268">
        <w:rPr>
          <w:lang w:val="fr-FR"/>
        </w:rPr>
        <w:t xml:space="preserve"> </w:t>
      </w:r>
      <w:r>
        <w:rPr>
          <w:lang w:val="fr-FR"/>
        </w:rPr>
        <w:t xml:space="preserve">de </w:t>
      </w:r>
      <w:r w:rsidRPr="00293268">
        <w:rPr>
          <w:lang w:val="fr-FR"/>
        </w:rPr>
        <w:t xml:space="preserve">Georgetown </w:t>
      </w:r>
      <w:r>
        <w:rPr>
          <w:lang w:val="fr-FR"/>
        </w:rPr>
        <w:t>a commencé, en 20</w:t>
      </w:r>
      <w:r w:rsidR="006A00AA">
        <w:rPr>
          <w:lang w:val="fr-FR"/>
        </w:rPr>
        <w:t>1</w:t>
      </w:r>
      <w:r>
        <w:rPr>
          <w:lang w:val="fr-FR"/>
        </w:rPr>
        <w:t xml:space="preserve">7, à accorder </w:t>
      </w:r>
      <w:r w:rsidRPr="00632B9B">
        <w:rPr>
          <w:lang w:val="fr-FR"/>
        </w:rPr>
        <w:t>des conditions d</w:t>
      </w:r>
      <w:r>
        <w:rPr>
          <w:lang w:val="fr-FR"/>
        </w:rPr>
        <w:t>’</w:t>
      </w:r>
      <w:r w:rsidRPr="00632B9B">
        <w:rPr>
          <w:lang w:val="fr-FR"/>
        </w:rPr>
        <w:t xml:space="preserve">admission préférentielles aux descendants </w:t>
      </w:r>
      <w:r w:rsidRPr="00DD667C">
        <w:rPr>
          <w:lang w:val="fr-FR"/>
        </w:rPr>
        <w:t>des 272</w:t>
      </w:r>
      <w:r w:rsidR="006A00AA">
        <w:rPr>
          <w:lang w:val="fr-FR"/>
        </w:rPr>
        <w:t> </w:t>
      </w:r>
      <w:r w:rsidRPr="00DD667C">
        <w:rPr>
          <w:lang w:val="fr-FR"/>
        </w:rPr>
        <w:t xml:space="preserve">esclaves </w:t>
      </w:r>
      <w:r>
        <w:rPr>
          <w:lang w:val="fr-FR"/>
        </w:rPr>
        <w:t>qu’elle</w:t>
      </w:r>
      <w:r w:rsidRPr="00DD667C">
        <w:rPr>
          <w:lang w:val="fr-FR"/>
        </w:rPr>
        <w:t xml:space="preserve"> avait vendus</w:t>
      </w:r>
      <w:r w:rsidRPr="00CD6B67">
        <w:rPr>
          <w:rStyle w:val="FootnoteReference"/>
        </w:rPr>
        <w:footnoteReference w:id="756"/>
      </w:r>
      <w:r w:rsidRPr="00293268">
        <w:rPr>
          <w:lang w:val="fr-FR"/>
        </w:rPr>
        <w:t xml:space="preserve"> </w:t>
      </w:r>
      <w:r w:rsidRPr="00CC5F4F">
        <w:rPr>
          <w:lang w:val="fr-FR"/>
        </w:rPr>
        <w:t xml:space="preserve">et les étudiants </w:t>
      </w:r>
      <w:r>
        <w:rPr>
          <w:lang w:val="fr-FR"/>
        </w:rPr>
        <w:t xml:space="preserve">de cet établissement </w:t>
      </w:r>
      <w:r w:rsidRPr="00CC5F4F">
        <w:rPr>
          <w:lang w:val="fr-FR"/>
        </w:rPr>
        <w:t>ont également accepté, à l</w:t>
      </w:r>
      <w:r>
        <w:rPr>
          <w:lang w:val="fr-FR"/>
        </w:rPr>
        <w:t>’</w:t>
      </w:r>
      <w:r w:rsidRPr="00CC5F4F">
        <w:rPr>
          <w:lang w:val="fr-FR"/>
        </w:rPr>
        <w:t>issue d</w:t>
      </w:r>
      <w:r>
        <w:rPr>
          <w:lang w:val="fr-FR"/>
        </w:rPr>
        <w:t>’</w:t>
      </w:r>
      <w:r w:rsidRPr="00CC5F4F">
        <w:rPr>
          <w:lang w:val="fr-FR"/>
        </w:rPr>
        <w:t>un vote, de cotiser à un fonds au profit de ces descendants</w:t>
      </w:r>
      <w:r w:rsidRPr="00CD6B67">
        <w:rPr>
          <w:rStyle w:val="FootnoteReference"/>
        </w:rPr>
        <w:footnoteReference w:id="757"/>
      </w:r>
      <w:r>
        <w:rPr>
          <w:lang w:val="fr-FR"/>
        </w:rPr>
        <w:t>.</w:t>
      </w:r>
      <w:r w:rsidRPr="00293268">
        <w:rPr>
          <w:lang w:val="fr-FR"/>
        </w:rPr>
        <w:t xml:space="preserve"> </w:t>
      </w:r>
      <w:r w:rsidRPr="00A20980">
        <w:rPr>
          <w:lang w:val="fr-FR"/>
        </w:rPr>
        <w:t>Des arguments similaires en faveur de réparations ont été présentés par l</w:t>
      </w:r>
      <w:r>
        <w:rPr>
          <w:lang w:val="fr-FR"/>
        </w:rPr>
        <w:t>’U</w:t>
      </w:r>
      <w:r w:rsidRPr="00A20980">
        <w:rPr>
          <w:lang w:val="fr-FR"/>
        </w:rPr>
        <w:t>niversité de Chicago</w:t>
      </w:r>
      <w:r w:rsidRPr="00CD6B67">
        <w:rPr>
          <w:rStyle w:val="FootnoteReference"/>
        </w:rPr>
        <w:footnoteReference w:id="758"/>
      </w:r>
      <w:r w:rsidRPr="00293268">
        <w:rPr>
          <w:lang w:val="fr-FR"/>
        </w:rPr>
        <w:t xml:space="preserve"> </w:t>
      </w:r>
      <w:r>
        <w:rPr>
          <w:lang w:val="fr-FR"/>
        </w:rPr>
        <w:t>et l’Université</w:t>
      </w:r>
      <w:r w:rsidRPr="00293268">
        <w:rPr>
          <w:lang w:val="fr-FR"/>
        </w:rPr>
        <w:t xml:space="preserve"> Brown</w:t>
      </w:r>
      <w:r w:rsidRPr="00CD6B67">
        <w:rPr>
          <w:rStyle w:val="FootnoteReference"/>
        </w:rPr>
        <w:footnoteReference w:id="759"/>
      </w:r>
      <w:r>
        <w:rPr>
          <w:lang w:val="fr-FR"/>
        </w:rPr>
        <w:t>.</w:t>
      </w:r>
      <w:r w:rsidRPr="00293268">
        <w:rPr>
          <w:lang w:val="fr-FR"/>
        </w:rPr>
        <w:t xml:space="preserve"> </w:t>
      </w:r>
      <w:r w:rsidRPr="00AC518A">
        <w:rPr>
          <w:lang w:val="fr-FR"/>
        </w:rPr>
        <w:t>En</w:t>
      </w:r>
      <w:r w:rsidR="006A00AA">
        <w:rPr>
          <w:lang w:val="fr-FR"/>
        </w:rPr>
        <w:t> </w:t>
      </w:r>
      <w:r w:rsidRPr="00AC518A">
        <w:rPr>
          <w:lang w:val="fr-FR"/>
        </w:rPr>
        <w:t>2019, le Princeton Theological Seminary a annoncé qu</w:t>
      </w:r>
      <w:r>
        <w:rPr>
          <w:lang w:val="fr-FR"/>
        </w:rPr>
        <w:t>’</w:t>
      </w:r>
      <w:r w:rsidRPr="00AC518A">
        <w:rPr>
          <w:lang w:val="fr-FR"/>
        </w:rPr>
        <w:t>il consacrerait 27</w:t>
      </w:r>
      <w:r w:rsidR="005744EB">
        <w:rPr>
          <w:lang w:val="fr-FR"/>
        </w:rPr>
        <w:t> </w:t>
      </w:r>
      <w:r w:rsidRPr="00AC518A">
        <w:rPr>
          <w:lang w:val="fr-FR"/>
        </w:rPr>
        <w:t>millions de dollars à des bourses d</w:t>
      </w:r>
      <w:r>
        <w:rPr>
          <w:lang w:val="fr-FR"/>
        </w:rPr>
        <w:t>’</w:t>
      </w:r>
      <w:r w:rsidRPr="00AC518A">
        <w:rPr>
          <w:lang w:val="fr-FR"/>
        </w:rPr>
        <w:t>études et à d</w:t>
      </w:r>
      <w:r>
        <w:rPr>
          <w:lang w:val="fr-FR"/>
        </w:rPr>
        <w:t>’</w:t>
      </w:r>
      <w:r w:rsidRPr="00AC518A">
        <w:rPr>
          <w:lang w:val="fr-FR"/>
        </w:rPr>
        <w:t>autres initiatives pour réparer ses liens avec l</w:t>
      </w:r>
      <w:r>
        <w:rPr>
          <w:lang w:val="fr-FR"/>
        </w:rPr>
        <w:t>’</w:t>
      </w:r>
      <w:r w:rsidRPr="00AC518A">
        <w:rPr>
          <w:lang w:val="fr-FR"/>
        </w:rPr>
        <w:t>esclavage</w:t>
      </w:r>
      <w:r>
        <w:rPr>
          <w:lang w:val="fr-FR"/>
        </w:rPr>
        <w:t>,</w:t>
      </w:r>
      <w:r w:rsidRPr="00AC518A">
        <w:rPr>
          <w:lang w:val="fr-FR"/>
        </w:rPr>
        <w:t xml:space="preserve"> tandis que le Virginia Theological Seminary, qui possédait également des esclaves, a créé un fonds de réparation </w:t>
      </w:r>
      <w:r>
        <w:rPr>
          <w:lang w:val="fr-FR"/>
        </w:rPr>
        <w:t xml:space="preserve">doté </w:t>
      </w:r>
      <w:r w:rsidRPr="00AC518A">
        <w:rPr>
          <w:lang w:val="fr-FR"/>
        </w:rPr>
        <w:t>de 1,7</w:t>
      </w:r>
      <w:r w:rsidR="005744EB">
        <w:rPr>
          <w:lang w:val="fr-FR"/>
        </w:rPr>
        <w:t> </w:t>
      </w:r>
      <w:r w:rsidRPr="00AC518A">
        <w:rPr>
          <w:lang w:val="fr-FR"/>
        </w:rPr>
        <w:t>million de dollars</w:t>
      </w:r>
      <w:r w:rsidRPr="00CD6B67">
        <w:rPr>
          <w:rStyle w:val="FootnoteReference"/>
        </w:rPr>
        <w:footnoteReference w:id="760"/>
      </w:r>
      <w:r>
        <w:rPr>
          <w:lang w:val="fr-FR"/>
        </w:rPr>
        <w:t>.</w:t>
      </w:r>
    </w:p>
    <w:p w14:paraId="3423D4CE" w14:textId="77777777" w:rsidR="00D301C6" w:rsidRPr="00293268" w:rsidRDefault="00D301C6" w:rsidP="00D301C6">
      <w:pPr>
        <w:pStyle w:val="SingleTxtG"/>
        <w:rPr>
          <w:lang w:val="fr-FR"/>
        </w:rPr>
      </w:pPr>
      <w:r w:rsidRPr="004A238A">
        <w:rPr>
          <w:lang w:val="fr-FR"/>
        </w:rPr>
        <w:t>285.</w:t>
      </w:r>
      <w:r w:rsidRPr="004A238A">
        <w:rPr>
          <w:lang w:val="fr-FR"/>
        </w:rPr>
        <w:tab/>
        <w:t>L’Université de Glasgow et l’Université des Indes occidentales ont signé un protocole d’accord aux termes duquel elles s’engagent à collaborer à la fondation d’un centre de recherche sur le développement Glasgow-Caraïbes, donnant ainsi suite à l’une des recommandations d’un rapport fondé sur une enquête approfondie que l’université a menée sur ses liens avec l’esclavage historique</w:t>
      </w:r>
      <w:r w:rsidRPr="004A238A">
        <w:rPr>
          <w:rStyle w:val="FootnoteReference"/>
        </w:rPr>
        <w:footnoteReference w:id="761"/>
      </w:r>
      <w:r w:rsidRPr="004A238A">
        <w:rPr>
          <w:lang w:val="fr-FR"/>
        </w:rPr>
        <w:t>.</w:t>
      </w:r>
    </w:p>
    <w:p w14:paraId="5DA7A944" w14:textId="4EC49DB2" w:rsidR="00D301C6" w:rsidRPr="00293268" w:rsidRDefault="00D301C6" w:rsidP="00D301C6">
      <w:pPr>
        <w:pStyle w:val="SingleTxtG"/>
        <w:rPr>
          <w:lang w:val="fr-FR"/>
        </w:rPr>
      </w:pPr>
      <w:r w:rsidRPr="00293268">
        <w:rPr>
          <w:lang w:val="fr-FR"/>
        </w:rPr>
        <w:t>286.</w:t>
      </w:r>
      <w:r w:rsidRPr="00293268">
        <w:rPr>
          <w:lang w:val="fr-FR"/>
        </w:rPr>
        <w:tab/>
      </w:r>
      <w:r w:rsidRPr="0010587D">
        <w:rPr>
          <w:lang w:val="fr-FR"/>
        </w:rPr>
        <w:t xml:space="preserve">En Amérique latine, </w:t>
      </w:r>
      <w:r>
        <w:rPr>
          <w:lang w:val="fr-FR"/>
        </w:rPr>
        <w:t>des</w:t>
      </w:r>
      <w:r w:rsidRPr="0010587D">
        <w:rPr>
          <w:lang w:val="fr-FR"/>
        </w:rPr>
        <w:t xml:space="preserve"> États ont conçu diverses formes possibles de réparation pour régler la question de la redistribution des terres aux </w:t>
      </w:r>
      <w:r>
        <w:rPr>
          <w:lang w:val="fr-FR"/>
        </w:rPr>
        <w:t>populations</w:t>
      </w:r>
      <w:r w:rsidRPr="0010587D">
        <w:rPr>
          <w:lang w:val="fr-FR"/>
        </w:rPr>
        <w:t xml:space="preserve"> d</w:t>
      </w:r>
      <w:r>
        <w:rPr>
          <w:lang w:val="fr-FR"/>
        </w:rPr>
        <w:t>’</w:t>
      </w:r>
      <w:r w:rsidRPr="0010587D">
        <w:rPr>
          <w:lang w:val="fr-FR"/>
        </w:rPr>
        <w:t xml:space="preserve">ascendance africaine et proposer des mesures pour lutter contre les inégalités raciales. Au Brésil, la Constitution de 1988 a accordé des droits fonciers aux </w:t>
      </w:r>
      <w:r>
        <w:rPr>
          <w:lang w:val="fr-FR"/>
        </w:rPr>
        <w:t>Q</w:t>
      </w:r>
      <w:r w:rsidRPr="0010587D">
        <w:rPr>
          <w:lang w:val="fr-FR"/>
        </w:rPr>
        <w:t xml:space="preserve">uilombos et </w:t>
      </w:r>
      <w:r>
        <w:rPr>
          <w:lang w:val="fr-FR"/>
        </w:rPr>
        <w:t>une fondation, la</w:t>
      </w:r>
      <w:r w:rsidRPr="0010587D">
        <w:rPr>
          <w:lang w:val="fr-FR"/>
        </w:rPr>
        <w:t xml:space="preserve"> Fondation culturelle Palmares</w:t>
      </w:r>
      <w:r>
        <w:rPr>
          <w:lang w:val="fr-FR"/>
        </w:rPr>
        <w:t>,</w:t>
      </w:r>
      <w:r w:rsidRPr="0010587D">
        <w:rPr>
          <w:lang w:val="fr-FR"/>
        </w:rPr>
        <w:t xml:space="preserve"> a été créée pour préserver et promouvoir le patrimoine afro-brésilien, ainsi que pour identifier et délimiter les territoires et conférer des titres fonciers légaux à ces </w:t>
      </w:r>
      <w:r>
        <w:rPr>
          <w:lang w:val="fr-FR"/>
        </w:rPr>
        <w:t>population</w:t>
      </w:r>
      <w:r w:rsidRPr="0010587D">
        <w:rPr>
          <w:lang w:val="fr-FR"/>
        </w:rPr>
        <w:t>s</w:t>
      </w:r>
      <w:r w:rsidRPr="00CD6B67">
        <w:rPr>
          <w:rStyle w:val="FootnoteReference"/>
        </w:rPr>
        <w:footnoteReference w:id="762"/>
      </w:r>
      <w:r>
        <w:rPr>
          <w:lang w:val="fr-FR"/>
        </w:rPr>
        <w:t>.</w:t>
      </w:r>
      <w:r w:rsidRPr="00293268">
        <w:rPr>
          <w:lang w:val="fr-FR"/>
        </w:rPr>
        <w:t xml:space="preserve"> </w:t>
      </w:r>
      <w:r>
        <w:rPr>
          <w:lang w:val="fr-FR"/>
        </w:rPr>
        <w:t>D</w:t>
      </w:r>
      <w:r w:rsidRPr="003A6F17">
        <w:rPr>
          <w:lang w:val="fr-FR"/>
        </w:rPr>
        <w:t>es lois ultérieures ont étendu la définition historique de quilombo pour inclure les membres d</w:t>
      </w:r>
      <w:r>
        <w:rPr>
          <w:lang w:val="fr-FR"/>
        </w:rPr>
        <w:t>’</w:t>
      </w:r>
      <w:r w:rsidRPr="003A6F17">
        <w:rPr>
          <w:lang w:val="fr-FR"/>
        </w:rPr>
        <w:t xml:space="preserve">autres </w:t>
      </w:r>
      <w:r>
        <w:rPr>
          <w:lang w:val="fr-FR"/>
        </w:rPr>
        <w:t>population</w:t>
      </w:r>
      <w:r w:rsidRPr="003A6F17">
        <w:rPr>
          <w:lang w:val="fr-FR"/>
        </w:rPr>
        <w:t>s historiquement exclu</w:t>
      </w:r>
      <w:r>
        <w:rPr>
          <w:lang w:val="fr-FR"/>
        </w:rPr>
        <w:t>e</w:t>
      </w:r>
      <w:r w:rsidRPr="003A6F17">
        <w:rPr>
          <w:lang w:val="fr-FR"/>
        </w:rPr>
        <w:t>s de l</w:t>
      </w:r>
      <w:r>
        <w:rPr>
          <w:lang w:val="fr-FR"/>
        </w:rPr>
        <w:t>’</w:t>
      </w:r>
      <w:r w:rsidRPr="003A6F17">
        <w:rPr>
          <w:lang w:val="fr-FR"/>
        </w:rPr>
        <w:t>accès à la propriété foncière</w:t>
      </w:r>
      <w:r w:rsidRPr="00CD6B67">
        <w:rPr>
          <w:rStyle w:val="FootnoteReference"/>
        </w:rPr>
        <w:footnoteReference w:id="763"/>
      </w:r>
      <w:r>
        <w:rPr>
          <w:lang w:val="fr-FR"/>
        </w:rPr>
        <w:t>.</w:t>
      </w:r>
      <w:r w:rsidRPr="00293268">
        <w:rPr>
          <w:lang w:val="fr-FR"/>
        </w:rPr>
        <w:t xml:space="preserve"> </w:t>
      </w:r>
      <w:r w:rsidRPr="00E34B7D">
        <w:rPr>
          <w:lang w:val="fr-FR"/>
        </w:rPr>
        <w:t>Une loi a également été adoptée en 2003 pour rendre obligatoire l</w:t>
      </w:r>
      <w:r>
        <w:rPr>
          <w:lang w:val="fr-FR"/>
        </w:rPr>
        <w:t>’</w:t>
      </w:r>
      <w:r w:rsidRPr="00E34B7D">
        <w:rPr>
          <w:lang w:val="fr-FR"/>
        </w:rPr>
        <w:t>inclusion de l</w:t>
      </w:r>
      <w:r>
        <w:rPr>
          <w:lang w:val="fr-FR"/>
        </w:rPr>
        <w:t>’</w:t>
      </w:r>
      <w:r w:rsidRPr="00E34B7D">
        <w:rPr>
          <w:lang w:val="fr-FR"/>
        </w:rPr>
        <w:t>histoire et de la culture afro-brésiliennes dans les programmes des écoles primaires et secondaires</w:t>
      </w:r>
      <w:r w:rsidRPr="00CD6B67">
        <w:rPr>
          <w:rStyle w:val="FootnoteReference"/>
        </w:rPr>
        <w:footnoteReference w:id="764"/>
      </w:r>
      <w:r>
        <w:rPr>
          <w:lang w:val="fr-FR"/>
        </w:rPr>
        <w:t>.</w:t>
      </w:r>
      <w:r w:rsidRPr="00293268">
        <w:rPr>
          <w:lang w:val="fr-FR"/>
        </w:rPr>
        <w:t xml:space="preserve"> </w:t>
      </w:r>
      <w:r w:rsidRPr="00F02E67">
        <w:rPr>
          <w:lang w:val="fr-FR"/>
        </w:rPr>
        <w:t>Les Constitutions de l</w:t>
      </w:r>
      <w:r>
        <w:rPr>
          <w:lang w:val="fr-FR"/>
        </w:rPr>
        <w:t>’</w:t>
      </w:r>
      <w:r w:rsidRPr="00F02E67">
        <w:rPr>
          <w:lang w:val="fr-FR"/>
        </w:rPr>
        <w:t>Équateur de 1998 et 2008 ont notamment accordé aux populations afro-équatoriennes le droit à la propriété des terres collectives et ancestrales</w:t>
      </w:r>
      <w:r w:rsidRPr="00CD6B67">
        <w:rPr>
          <w:rStyle w:val="FootnoteReference"/>
        </w:rPr>
        <w:footnoteReference w:id="765"/>
      </w:r>
      <w:r>
        <w:rPr>
          <w:lang w:val="fr-FR"/>
        </w:rPr>
        <w:t>,</w:t>
      </w:r>
      <w:r w:rsidRPr="00293268">
        <w:rPr>
          <w:lang w:val="fr-FR"/>
        </w:rPr>
        <w:t xml:space="preserve"> </w:t>
      </w:r>
      <w:r w:rsidRPr="00E46723">
        <w:rPr>
          <w:lang w:val="fr-FR"/>
        </w:rPr>
        <w:t>reconnaissant que les p</w:t>
      </w:r>
      <w:r>
        <w:rPr>
          <w:lang w:val="fr-FR"/>
        </w:rPr>
        <w:t>opulations</w:t>
      </w:r>
      <w:r w:rsidRPr="00E46723">
        <w:rPr>
          <w:lang w:val="fr-FR"/>
        </w:rPr>
        <w:t xml:space="preserve"> ancestra</w:t>
      </w:r>
      <w:r>
        <w:rPr>
          <w:lang w:val="fr-FR"/>
        </w:rPr>
        <w:t>les,</w:t>
      </w:r>
      <w:r w:rsidRPr="00E46723">
        <w:rPr>
          <w:lang w:val="fr-FR"/>
        </w:rPr>
        <w:t xml:space="preserve"> </w:t>
      </w:r>
      <w:r>
        <w:rPr>
          <w:lang w:val="fr-FR"/>
        </w:rPr>
        <w:t xml:space="preserve">les peuples </w:t>
      </w:r>
      <w:r w:rsidRPr="00E46723">
        <w:rPr>
          <w:lang w:val="fr-FR"/>
        </w:rPr>
        <w:t>autochtones</w:t>
      </w:r>
      <w:r>
        <w:rPr>
          <w:lang w:val="fr-FR"/>
        </w:rPr>
        <w:t xml:space="preserve"> et les populations </w:t>
      </w:r>
      <w:r w:rsidRPr="00E46723">
        <w:rPr>
          <w:lang w:val="fr-FR"/>
        </w:rPr>
        <w:t>afro</w:t>
      </w:r>
      <w:r w:rsidR="000E3D75">
        <w:rPr>
          <w:lang w:val="fr-FR"/>
        </w:rPr>
        <w:noBreakHyphen/>
      </w:r>
      <w:r w:rsidRPr="00E46723">
        <w:rPr>
          <w:lang w:val="fr-FR"/>
        </w:rPr>
        <w:t>équatorien</w:t>
      </w:r>
      <w:r>
        <w:rPr>
          <w:lang w:val="fr-FR"/>
        </w:rPr>
        <w:t>ne</w:t>
      </w:r>
      <w:r w:rsidRPr="00E46723">
        <w:rPr>
          <w:lang w:val="fr-FR"/>
        </w:rPr>
        <w:t xml:space="preserve"> et </w:t>
      </w:r>
      <w:r w:rsidRPr="00B7765F">
        <w:rPr>
          <w:lang w:val="fr-FR"/>
        </w:rPr>
        <w:t>montubien</w:t>
      </w:r>
      <w:r>
        <w:rPr>
          <w:lang w:val="fr-FR"/>
        </w:rPr>
        <w:t>ne</w:t>
      </w:r>
      <w:r w:rsidRPr="00E46723">
        <w:rPr>
          <w:lang w:val="fr-FR"/>
        </w:rPr>
        <w:t xml:space="preserve"> </w:t>
      </w:r>
      <w:r w:rsidR="000E3D75">
        <w:rPr>
          <w:lang w:val="fr-FR"/>
        </w:rPr>
        <w:t>(</w:t>
      </w:r>
      <w:r>
        <w:rPr>
          <w:lang w:val="fr-FR"/>
        </w:rPr>
        <w:t>autochtones</w:t>
      </w:r>
      <w:r w:rsidRPr="00E46723">
        <w:rPr>
          <w:lang w:val="fr-FR"/>
        </w:rPr>
        <w:t xml:space="preserve"> métis des zones côtières</w:t>
      </w:r>
      <w:r w:rsidR="000E3D75">
        <w:rPr>
          <w:lang w:val="fr-FR"/>
        </w:rPr>
        <w:t>)</w:t>
      </w:r>
      <w:r w:rsidRPr="00E46723">
        <w:rPr>
          <w:lang w:val="fr-FR"/>
        </w:rPr>
        <w:t xml:space="preserve"> peuvent créer des districts territoriaux pour la préservation de leur culture </w:t>
      </w:r>
      <w:r>
        <w:rPr>
          <w:lang w:val="fr-FR"/>
        </w:rPr>
        <w:t>et des</w:t>
      </w:r>
      <w:r w:rsidRPr="00E46723">
        <w:rPr>
          <w:lang w:val="fr-FR"/>
        </w:rPr>
        <w:t xml:space="preserve"> communes avec des terres en propriété collective, </w:t>
      </w:r>
      <w:r w:rsidRPr="001C3429">
        <w:rPr>
          <w:lang w:val="fr-FR"/>
        </w:rPr>
        <w:t>comme f</w:t>
      </w:r>
      <w:r w:rsidRPr="00E46723">
        <w:rPr>
          <w:lang w:val="fr-FR"/>
        </w:rPr>
        <w:t>orme ancestrale d</w:t>
      </w:r>
      <w:r>
        <w:rPr>
          <w:lang w:val="fr-FR"/>
        </w:rPr>
        <w:t>’</w:t>
      </w:r>
      <w:r w:rsidRPr="00E46723">
        <w:rPr>
          <w:lang w:val="fr-FR"/>
        </w:rPr>
        <w:t xml:space="preserve">organisation territoriale. En 1993, en Colombie, une loi a reconnu le droit de propriété foncière collective des populations afro-colombiennes dans certaines régions </w:t>
      </w:r>
      <w:r w:rsidR="000E3D75">
        <w:rPr>
          <w:lang w:val="fr-FR"/>
        </w:rPr>
        <w:t>−</w:t>
      </w:r>
      <w:r w:rsidRPr="00E46723">
        <w:rPr>
          <w:lang w:val="fr-FR"/>
        </w:rPr>
        <w:t xml:space="preserve"> une mesure qui a été décrite comme une forme d</w:t>
      </w:r>
      <w:r>
        <w:rPr>
          <w:lang w:val="fr-FR"/>
        </w:rPr>
        <w:t>’</w:t>
      </w:r>
      <w:r w:rsidRPr="00E46723">
        <w:rPr>
          <w:lang w:val="fr-FR"/>
        </w:rPr>
        <w:t>autonomisation plutôt que de réparation</w:t>
      </w:r>
      <w:r w:rsidRPr="00CD6B67">
        <w:rPr>
          <w:rStyle w:val="FootnoteReference"/>
        </w:rPr>
        <w:footnoteReference w:id="766"/>
      </w:r>
      <w:r>
        <w:rPr>
          <w:lang w:val="fr-FR"/>
        </w:rPr>
        <w:t>.</w:t>
      </w:r>
    </w:p>
    <w:p w14:paraId="04158C05" w14:textId="77777777" w:rsidR="00D301C6" w:rsidRPr="00293268" w:rsidRDefault="00D301C6" w:rsidP="00D301C6">
      <w:pPr>
        <w:pStyle w:val="H23G"/>
        <w:rPr>
          <w:lang w:val="fr-FR"/>
        </w:rPr>
      </w:pPr>
      <w:bookmarkStart w:id="1243" w:name="_Toc74721044"/>
      <w:bookmarkStart w:id="1244" w:name="_Toc74923028"/>
      <w:bookmarkStart w:id="1245" w:name="_Toc74170927"/>
      <w:r w:rsidRPr="00293268">
        <w:rPr>
          <w:lang w:val="fr-FR"/>
        </w:rPr>
        <w:tab/>
        <w:t>5.</w:t>
      </w:r>
      <w:r w:rsidRPr="00293268">
        <w:rPr>
          <w:lang w:val="fr-FR"/>
        </w:rPr>
        <w:tab/>
      </w:r>
      <w:bookmarkEnd w:id="1243"/>
      <w:bookmarkEnd w:id="1244"/>
      <w:bookmarkEnd w:id="1245"/>
      <w:r>
        <w:rPr>
          <w:lang w:val="fr-FR"/>
        </w:rPr>
        <w:t>P</w:t>
      </w:r>
      <w:r w:rsidRPr="00B86EFF">
        <w:rPr>
          <w:lang w:val="fr-FR"/>
        </w:rPr>
        <w:t>roblèmes à régler et possibilités à exploiter</w:t>
      </w:r>
    </w:p>
    <w:p w14:paraId="49A94806" w14:textId="46142642" w:rsidR="00D301C6" w:rsidRPr="00293268" w:rsidRDefault="00D301C6" w:rsidP="00D301C6">
      <w:pPr>
        <w:pStyle w:val="SingleTxtG"/>
        <w:rPr>
          <w:lang w:val="fr-FR"/>
        </w:rPr>
      </w:pPr>
      <w:r w:rsidRPr="00293268">
        <w:rPr>
          <w:lang w:val="fr-FR"/>
        </w:rPr>
        <w:t>287.</w:t>
      </w:r>
      <w:r w:rsidRPr="00293268">
        <w:rPr>
          <w:lang w:val="fr-FR"/>
        </w:rPr>
        <w:tab/>
      </w:r>
      <w:r w:rsidRPr="00E70760">
        <w:rPr>
          <w:lang w:val="fr-FR"/>
        </w:rPr>
        <w:t>En dépit de ces initiatives et d</w:t>
      </w:r>
      <w:r>
        <w:rPr>
          <w:lang w:val="fr-FR"/>
        </w:rPr>
        <w:t>’</w:t>
      </w:r>
      <w:r w:rsidRPr="00E70760">
        <w:rPr>
          <w:lang w:val="fr-FR"/>
        </w:rPr>
        <w:t xml:space="preserve">autres </w:t>
      </w:r>
      <w:r>
        <w:rPr>
          <w:lang w:val="fr-FR"/>
        </w:rPr>
        <w:t xml:space="preserve">mesures </w:t>
      </w:r>
      <w:r w:rsidRPr="00E70760">
        <w:rPr>
          <w:lang w:val="fr-FR"/>
        </w:rPr>
        <w:t>prises dans de nombreux pays, aucun État n</w:t>
      </w:r>
      <w:r>
        <w:rPr>
          <w:lang w:val="fr-FR"/>
        </w:rPr>
        <w:t>’</w:t>
      </w:r>
      <w:r w:rsidRPr="00E70760">
        <w:rPr>
          <w:lang w:val="fr-FR"/>
        </w:rPr>
        <w:t xml:space="preserve">a mis en place un ensemble complet de </w:t>
      </w:r>
      <w:r>
        <w:rPr>
          <w:lang w:val="fr-FR"/>
        </w:rPr>
        <w:t>dispositions</w:t>
      </w:r>
      <w:r w:rsidRPr="00E70760">
        <w:rPr>
          <w:lang w:val="fr-FR"/>
        </w:rPr>
        <w:t xml:space="preserve"> permettant de mettre un terme aux conséquences durables et aux manifestations permanentes du racisme systémique dont sont victimes les personnes d</w:t>
      </w:r>
      <w:r>
        <w:rPr>
          <w:lang w:val="fr-FR"/>
        </w:rPr>
        <w:t>’</w:t>
      </w:r>
      <w:r w:rsidRPr="00E70760">
        <w:rPr>
          <w:lang w:val="fr-FR"/>
        </w:rPr>
        <w:t>ascendance africaine, de les reconnaître et de les réparer, et de cerner ou d</w:t>
      </w:r>
      <w:r>
        <w:rPr>
          <w:lang w:val="fr-FR"/>
        </w:rPr>
        <w:t>’</w:t>
      </w:r>
      <w:r w:rsidRPr="00E70760">
        <w:rPr>
          <w:lang w:val="fr-FR"/>
        </w:rPr>
        <w:t xml:space="preserve">éradiquer leurs causes profondes, leurs </w:t>
      </w:r>
      <w:r>
        <w:rPr>
          <w:lang w:val="fr-FR"/>
        </w:rPr>
        <w:t>vecteurs</w:t>
      </w:r>
      <w:r w:rsidRPr="00E70760">
        <w:rPr>
          <w:lang w:val="fr-FR"/>
        </w:rPr>
        <w:t xml:space="preserve"> et leurs incitatifs</w:t>
      </w:r>
      <w:r w:rsidRPr="00293268">
        <w:rPr>
          <w:lang w:val="fr-FR"/>
        </w:rPr>
        <w:t xml:space="preserve">. </w:t>
      </w:r>
      <w:r w:rsidRPr="002A3113">
        <w:rPr>
          <w:lang w:val="fr-FR"/>
        </w:rPr>
        <w:t>Les personnes d</w:t>
      </w:r>
      <w:r>
        <w:rPr>
          <w:lang w:val="fr-FR"/>
        </w:rPr>
        <w:t>’</w:t>
      </w:r>
      <w:r w:rsidRPr="002A3113">
        <w:rPr>
          <w:lang w:val="fr-FR"/>
        </w:rPr>
        <w:t>ascendance africaine ont également exigé une participation pleine et effective à ces mesures</w:t>
      </w:r>
      <w:r w:rsidRPr="00293268">
        <w:rPr>
          <w:lang w:val="fr-FR"/>
        </w:rPr>
        <w:t xml:space="preserve">. </w:t>
      </w:r>
      <w:r w:rsidRPr="00FC441A">
        <w:rPr>
          <w:lang w:val="fr-FR"/>
        </w:rPr>
        <w:t>La prise en compte des questions de genre a souvent fait défaut dans ces initiatives</w:t>
      </w:r>
      <w:r w:rsidRPr="00293268">
        <w:rPr>
          <w:lang w:val="fr-FR"/>
        </w:rPr>
        <w:t xml:space="preserve">. </w:t>
      </w:r>
      <w:r w:rsidRPr="00AC0354">
        <w:rPr>
          <w:lang w:val="fr-FR"/>
        </w:rPr>
        <w:t>Les femmes d</w:t>
      </w:r>
      <w:r>
        <w:rPr>
          <w:lang w:val="fr-FR"/>
        </w:rPr>
        <w:t>’</w:t>
      </w:r>
      <w:r w:rsidRPr="00AC0354">
        <w:rPr>
          <w:lang w:val="fr-FR"/>
        </w:rPr>
        <w:t>ascendance africaine ont notamment subi des violences sexuelles et fondées sur le genre</w:t>
      </w:r>
      <w:r w:rsidRPr="00CD6B67">
        <w:rPr>
          <w:rStyle w:val="FootnoteReference"/>
        </w:rPr>
        <w:footnoteReference w:id="767"/>
      </w:r>
      <w:r>
        <w:rPr>
          <w:lang w:val="fr-FR"/>
        </w:rPr>
        <w:t>,</w:t>
      </w:r>
      <w:r w:rsidRPr="00293268">
        <w:rPr>
          <w:lang w:val="fr-FR"/>
        </w:rPr>
        <w:t xml:space="preserve"> </w:t>
      </w:r>
      <w:r w:rsidRPr="001570CC">
        <w:rPr>
          <w:lang w:val="fr-FR"/>
        </w:rPr>
        <w:t>dont les séquelles se font encore sentir aujourd</w:t>
      </w:r>
      <w:r>
        <w:rPr>
          <w:lang w:val="fr-FR"/>
        </w:rPr>
        <w:t>’</w:t>
      </w:r>
      <w:r w:rsidRPr="001570CC">
        <w:rPr>
          <w:lang w:val="fr-FR"/>
        </w:rPr>
        <w:t>hui</w:t>
      </w:r>
      <w:r w:rsidRPr="00293268">
        <w:rPr>
          <w:lang w:val="fr-FR"/>
        </w:rPr>
        <w:t xml:space="preserve">. </w:t>
      </w:r>
      <w:r w:rsidRPr="00B011E2">
        <w:rPr>
          <w:lang w:val="fr-FR"/>
        </w:rPr>
        <w:t>Une étude de l</w:t>
      </w:r>
      <w:r>
        <w:rPr>
          <w:lang w:val="fr-FR"/>
        </w:rPr>
        <w:t>’</w:t>
      </w:r>
      <w:r w:rsidRPr="00B011E2">
        <w:rPr>
          <w:lang w:val="fr-FR"/>
        </w:rPr>
        <w:t xml:space="preserve">UNESCO </w:t>
      </w:r>
      <w:r>
        <w:rPr>
          <w:lang w:val="fr-FR"/>
        </w:rPr>
        <w:t>menée en</w:t>
      </w:r>
      <w:r w:rsidRPr="00B011E2">
        <w:rPr>
          <w:lang w:val="fr-FR"/>
        </w:rPr>
        <w:t xml:space="preserve"> 2021 a mis en évidence la </w:t>
      </w:r>
      <w:r>
        <w:rPr>
          <w:lang w:val="fr-FR"/>
        </w:rPr>
        <w:t>manière</w:t>
      </w:r>
      <w:r w:rsidRPr="00B011E2">
        <w:rPr>
          <w:lang w:val="fr-FR"/>
        </w:rPr>
        <w:t xml:space="preserve"> dont les femmes vivent les traumatismes liés à l</w:t>
      </w:r>
      <w:r>
        <w:rPr>
          <w:lang w:val="fr-FR"/>
        </w:rPr>
        <w:t>’</w:t>
      </w:r>
      <w:r w:rsidRPr="00B011E2">
        <w:rPr>
          <w:lang w:val="fr-FR"/>
        </w:rPr>
        <w:t>héritage de l</w:t>
      </w:r>
      <w:r>
        <w:rPr>
          <w:lang w:val="fr-FR"/>
        </w:rPr>
        <w:t>’</w:t>
      </w:r>
      <w:r w:rsidRPr="00B011E2">
        <w:rPr>
          <w:lang w:val="fr-FR"/>
        </w:rPr>
        <w:t>esclavage, et comment ces traumatismes se transmettent de génération en génération</w:t>
      </w:r>
      <w:r w:rsidRPr="00CD6B67">
        <w:rPr>
          <w:rStyle w:val="FootnoteReference"/>
        </w:rPr>
        <w:footnoteReference w:id="768"/>
      </w:r>
      <w:r>
        <w:rPr>
          <w:lang w:val="fr-FR"/>
        </w:rPr>
        <w:t>.</w:t>
      </w:r>
      <w:r w:rsidRPr="00293268">
        <w:rPr>
          <w:lang w:val="fr-FR"/>
        </w:rPr>
        <w:t xml:space="preserve"> </w:t>
      </w:r>
      <w:r w:rsidRPr="00363783">
        <w:rPr>
          <w:lang w:val="fr-FR"/>
        </w:rPr>
        <w:t xml:space="preserve">En outre, comme indiqué ci-dessus, les femmes ont longtemps été caricaturées </w:t>
      </w:r>
      <w:r>
        <w:rPr>
          <w:lang w:val="fr-FR"/>
        </w:rPr>
        <w:t>et victimes de</w:t>
      </w:r>
      <w:r w:rsidRPr="00363783">
        <w:rPr>
          <w:lang w:val="fr-FR"/>
        </w:rPr>
        <w:t xml:space="preserve"> stéréotypes négatifs enracinés dans </w:t>
      </w:r>
      <w:r>
        <w:rPr>
          <w:lang w:val="fr-FR"/>
        </w:rPr>
        <w:t>l’</w:t>
      </w:r>
      <w:r w:rsidRPr="00363783">
        <w:rPr>
          <w:lang w:val="fr-FR"/>
        </w:rPr>
        <w:t>histoire d</w:t>
      </w:r>
      <w:r>
        <w:rPr>
          <w:lang w:val="fr-FR"/>
        </w:rPr>
        <w:t>u</w:t>
      </w:r>
      <w:r w:rsidRPr="00363783">
        <w:rPr>
          <w:lang w:val="fr-FR"/>
        </w:rPr>
        <w:t xml:space="preserve"> racisme et d</w:t>
      </w:r>
      <w:r>
        <w:rPr>
          <w:lang w:val="fr-FR"/>
        </w:rPr>
        <w:t>e l’</w:t>
      </w:r>
      <w:r w:rsidRPr="00363783">
        <w:rPr>
          <w:lang w:val="fr-FR"/>
        </w:rPr>
        <w:t>esclavage</w:t>
      </w:r>
      <w:r w:rsidRPr="00CD6B67">
        <w:rPr>
          <w:rStyle w:val="FootnoteReference"/>
        </w:rPr>
        <w:footnoteReference w:id="769"/>
      </w:r>
      <w:r w:rsidR="00BF73AB">
        <w:rPr>
          <w:lang w:val="fr-FR"/>
        </w:rPr>
        <w:t> ;</w:t>
      </w:r>
      <w:r w:rsidRPr="00293268">
        <w:rPr>
          <w:lang w:val="fr-FR"/>
        </w:rPr>
        <w:t xml:space="preserve"> </w:t>
      </w:r>
      <w:r w:rsidRPr="006247AF">
        <w:rPr>
          <w:lang w:val="fr-FR"/>
        </w:rPr>
        <w:t>l</w:t>
      </w:r>
      <w:r>
        <w:rPr>
          <w:lang w:val="fr-FR"/>
        </w:rPr>
        <w:t>es</w:t>
      </w:r>
      <w:r w:rsidRPr="006247AF">
        <w:rPr>
          <w:lang w:val="fr-FR"/>
        </w:rPr>
        <w:t xml:space="preserve"> recherche</w:t>
      </w:r>
      <w:r>
        <w:rPr>
          <w:lang w:val="fr-FR"/>
        </w:rPr>
        <w:t>s</w:t>
      </w:r>
      <w:r w:rsidRPr="006247AF">
        <w:rPr>
          <w:lang w:val="fr-FR"/>
        </w:rPr>
        <w:t xml:space="preserve"> montre</w:t>
      </w:r>
      <w:r>
        <w:rPr>
          <w:lang w:val="fr-FR"/>
        </w:rPr>
        <w:t>nt</w:t>
      </w:r>
      <w:r w:rsidRPr="006247AF">
        <w:rPr>
          <w:lang w:val="fr-FR"/>
        </w:rPr>
        <w:t xml:space="preserve"> également que les préjugés </w:t>
      </w:r>
      <w:r w:rsidRPr="00787F65">
        <w:rPr>
          <w:lang w:val="fr-FR"/>
        </w:rPr>
        <w:t>inconscients affectent la</w:t>
      </w:r>
      <w:r w:rsidRPr="006247AF">
        <w:rPr>
          <w:lang w:val="fr-FR"/>
        </w:rPr>
        <w:t xml:space="preserve"> qualité des soins de santé dispensés aux femmes d</w:t>
      </w:r>
      <w:r>
        <w:rPr>
          <w:lang w:val="fr-FR"/>
        </w:rPr>
        <w:t>’</w:t>
      </w:r>
      <w:r w:rsidRPr="006247AF">
        <w:rPr>
          <w:lang w:val="fr-FR"/>
        </w:rPr>
        <w:t>ascendance africaine</w:t>
      </w:r>
      <w:r w:rsidRPr="00CD6B67">
        <w:rPr>
          <w:rStyle w:val="FootnoteReference"/>
        </w:rPr>
        <w:footnoteReference w:id="770"/>
      </w:r>
      <w:r>
        <w:rPr>
          <w:lang w:val="fr-FR"/>
        </w:rPr>
        <w:t>.</w:t>
      </w:r>
    </w:p>
    <w:p w14:paraId="7E3CEE76" w14:textId="620441CC" w:rsidR="00D301C6" w:rsidRPr="00293268" w:rsidRDefault="00D301C6" w:rsidP="00D301C6">
      <w:pPr>
        <w:pStyle w:val="SingleTxtG"/>
        <w:rPr>
          <w:lang w:val="fr-FR"/>
        </w:rPr>
      </w:pPr>
      <w:r w:rsidRPr="00293268">
        <w:rPr>
          <w:lang w:val="fr-FR"/>
        </w:rPr>
        <w:t>288.</w:t>
      </w:r>
      <w:r w:rsidRPr="00293268">
        <w:rPr>
          <w:lang w:val="fr-FR"/>
        </w:rPr>
        <w:tab/>
      </w:r>
      <w:r w:rsidRPr="00A544C7">
        <w:rPr>
          <w:lang w:val="fr-FR"/>
        </w:rPr>
        <w:t>L</w:t>
      </w:r>
      <w:r>
        <w:rPr>
          <w:lang w:val="fr-FR"/>
        </w:rPr>
        <w:t>’</w:t>
      </w:r>
      <w:r w:rsidRPr="00A544C7">
        <w:rPr>
          <w:lang w:val="fr-FR"/>
        </w:rPr>
        <w:t xml:space="preserve">absence de reconnaissance officielle de la responsabilité des États </w:t>
      </w:r>
      <w:r w:rsidR="009B0D62">
        <w:rPr>
          <w:lang w:val="fr-FR"/>
        </w:rPr>
        <w:t>−</w:t>
      </w:r>
      <w:r w:rsidRPr="00A544C7">
        <w:rPr>
          <w:lang w:val="fr-FR"/>
        </w:rPr>
        <w:t xml:space="preserve"> de celle des institutions, des </w:t>
      </w:r>
      <w:r>
        <w:rPr>
          <w:lang w:val="fr-FR"/>
        </w:rPr>
        <w:t>congrégations religieuses</w:t>
      </w:r>
      <w:r w:rsidRPr="00A544C7">
        <w:rPr>
          <w:lang w:val="fr-FR"/>
        </w:rPr>
        <w:t>, des universités, des entreprises et des individus qui ont tiré et continuent de tirer profit de l</w:t>
      </w:r>
      <w:r>
        <w:rPr>
          <w:lang w:val="fr-FR"/>
        </w:rPr>
        <w:t>’</w:t>
      </w:r>
      <w:r w:rsidRPr="00A544C7">
        <w:rPr>
          <w:lang w:val="fr-FR"/>
        </w:rPr>
        <w:t xml:space="preserve">esclavage, de la traite transatlantique des Africains réduits en esclavage, du colonialisme et des </w:t>
      </w:r>
      <w:r w:rsidRPr="00F66BA1">
        <w:rPr>
          <w:lang w:val="fr-FR"/>
        </w:rPr>
        <w:t>politiques et systèmes discriminatoires sur le plan racial qui se sont succédé au fil du temps</w:t>
      </w:r>
      <w:r w:rsidRPr="00A544C7">
        <w:rPr>
          <w:lang w:val="fr-FR"/>
        </w:rPr>
        <w:t xml:space="preserve"> </w:t>
      </w:r>
      <w:r w:rsidR="009B0D62">
        <w:rPr>
          <w:lang w:val="fr-FR"/>
        </w:rPr>
        <w:t>−</w:t>
      </w:r>
      <w:r w:rsidRPr="00A544C7">
        <w:rPr>
          <w:lang w:val="fr-FR"/>
        </w:rPr>
        <w:t xml:space="preserve"> est au cœur du racisme systémique, de la violence raciale, de la déshumanisation et de l</w:t>
      </w:r>
      <w:r>
        <w:rPr>
          <w:lang w:val="fr-FR"/>
        </w:rPr>
        <w:t>’</w:t>
      </w:r>
      <w:r w:rsidRPr="00A544C7">
        <w:rPr>
          <w:lang w:val="fr-FR"/>
        </w:rPr>
        <w:t>exclusion d</w:t>
      </w:r>
      <w:r>
        <w:rPr>
          <w:lang w:val="fr-FR"/>
        </w:rPr>
        <w:t>’</w:t>
      </w:r>
      <w:r w:rsidRPr="00A544C7">
        <w:rPr>
          <w:lang w:val="fr-FR"/>
        </w:rPr>
        <w:t>aujourd</w:t>
      </w:r>
      <w:r>
        <w:rPr>
          <w:lang w:val="fr-FR"/>
        </w:rPr>
        <w:t>’</w:t>
      </w:r>
      <w:r w:rsidRPr="00A544C7">
        <w:rPr>
          <w:lang w:val="fr-FR"/>
        </w:rPr>
        <w:t>hui</w:t>
      </w:r>
      <w:r w:rsidRPr="00CD6B67">
        <w:rPr>
          <w:rStyle w:val="FootnoteReference"/>
        </w:rPr>
        <w:footnoteReference w:id="771"/>
      </w:r>
      <w:r>
        <w:rPr>
          <w:lang w:val="fr-FR"/>
        </w:rPr>
        <w:t>.</w:t>
      </w:r>
    </w:p>
    <w:p w14:paraId="02950E5F" w14:textId="4381D2A7" w:rsidR="00D301C6" w:rsidRPr="00293268" w:rsidRDefault="00D301C6" w:rsidP="00D301C6">
      <w:pPr>
        <w:pStyle w:val="SingleTxtG"/>
        <w:rPr>
          <w:bCs/>
          <w:lang w:val="fr-FR"/>
        </w:rPr>
      </w:pPr>
      <w:r w:rsidRPr="00293268">
        <w:rPr>
          <w:lang w:val="fr-FR"/>
        </w:rPr>
        <w:t>289.</w:t>
      </w:r>
      <w:r w:rsidRPr="00293268">
        <w:rPr>
          <w:lang w:val="fr-FR"/>
        </w:rPr>
        <w:tab/>
      </w:r>
      <w:r w:rsidRPr="00F050EB">
        <w:rPr>
          <w:lang w:val="fr-FR"/>
        </w:rPr>
        <w:t>Il n</w:t>
      </w:r>
      <w:r>
        <w:rPr>
          <w:lang w:val="fr-FR"/>
        </w:rPr>
        <w:t>’</w:t>
      </w:r>
      <w:r w:rsidRPr="00F050EB">
        <w:rPr>
          <w:lang w:val="fr-FR"/>
        </w:rPr>
        <w:t xml:space="preserve">existe pas de modèle unique pour traiter ces questions, qui dépassent le cadre des </w:t>
      </w:r>
      <w:r w:rsidRPr="00DE000F">
        <w:rPr>
          <w:lang w:val="fr-FR"/>
        </w:rPr>
        <w:t xml:space="preserve">plaintes individuelles </w:t>
      </w:r>
      <w:r>
        <w:rPr>
          <w:lang w:val="fr-FR"/>
        </w:rPr>
        <w:t>et</w:t>
      </w:r>
      <w:r w:rsidRPr="00DE000F">
        <w:rPr>
          <w:lang w:val="fr-FR"/>
        </w:rPr>
        <w:t xml:space="preserve"> nécessitent également le règlement de plaintes collectives</w:t>
      </w:r>
      <w:r w:rsidRPr="00F050EB">
        <w:rPr>
          <w:lang w:val="fr-FR"/>
        </w:rPr>
        <w:t>. D</w:t>
      </w:r>
      <w:r>
        <w:rPr>
          <w:lang w:val="fr-FR"/>
        </w:rPr>
        <w:t>’</w:t>
      </w:r>
      <w:r w:rsidRPr="00F050EB">
        <w:rPr>
          <w:lang w:val="fr-FR"/>
        </w:rPr>
        <w:t>aucuns s</w:t>
      </w:r>
      <w:r>
        <w:rPr>
          <w:lang w:val="fr-FR"/>
        </w:rPr>
        <w:t>’</w:t>
      </w:r>
      <w:r w:rsidRPr="00F050EB">
        <w:rPr>
          <w:lang w:val="fr-FR"/>
        </w:rPr>
        <w:t>opposent à l</w:t>
      </w:r>
      <w:r>
        <w:rPr>
          <w:lang w:val="fr-FR"/>
        </w:rPr>
        <w:t>’</w:t>
      </w:r>
      <w:r w:rsidRPr="00F050EB">
        <w:rPr>
          <w:lang w:val="fr-FR"/>
        </w:rPr>
        <w:t>établissement des responsabilités et à la réparation de</w:t>
      </w:r>
      <w:r>
        <w:rPr>
          <w:lang w:val="fr-FR"/>
        </w:rPr>
        <w:t>s</w:t>
      </w:r>
      <w:r w:rsidRPr="00F050EB">
        <w:rPr>
          <w:lang w:val="fr-FR"/>
        </w:rPr>
        <w:t xml:space="preserve"> séquelles </w:t>
      </w:r>
      <w:r>
        <w:rPr>
          <w:lang w:val="fr-FR"/>
        </w:rPr>
        <w:t>du passé</w:t>
      </w:r>
      <w:r w:rsidRPr="00F050EB">
        <w:rPr>
          <w:lang w:val="fr-FR"/>
        </w:rPr>
        <w:t>, faisant valoir la complexité que revêt l</w:t>
      </w:r>
      <w:r>
        <w:rPr>
          <w:lang w:val="fr-FR"/>
        </w:rPr>
        <w:t>’</w:t>
      </w:r>
      <w:r w:rsidRPr="00F050EB">
        <w:rPr>
          <w:lang w:val="fr-FR"/>
        </w:rPr>
        <w:t>examen de violations graves des droits de l</w:t>
      </w:r>
      <w:r>
        <w:rPr>
          <w:lang w:val="fr-FR"/>
        </w:rPr>
        <w:t>’</w:t>
      </w:r>
      <w:r w:rsidRPr="00F050EB">
        <w:rPr>
          <w:lang w:val="fr-FR"/>
        </w:rPr>
        <w:t>homme et d</w:t>
      </w:r>
      <w:r>
        <w:rPr>
          <w:lang w:val="fr-FR"/>
        </w:rPr>
        <w:t>’</w:t>
      </w:r>
      <w:r w:rsidRPr="00F050EB">
        <w:rPr>
          <w:lang w:val="fr-FR"/>
        </w:rPr>
        <w:t xml:space="preserve">atteintes à ces droits </w:t>
      </w:r>
      <w:r>
        <w:rPr>
          <w:lang w:val="fr-FR"/>
        </w:rPr>
        <w:t>qui remontent</w:t>
      </w:r>
      <w:r w:rsidRPr="00F050EB">
        <w:rPr>
          <w:lang w:val="fr-FR"/>
        </w:rPr>
        <w:t xml:space="preserve"> à plusieurs siècles et dont des auteurs et victimes sont aujourd</w:t>
      </w:r>
      <w:r>
        <w:rPr>
          <w:lang w:val="fr-FR"/>
        </w:rPr>
        <w:t>’</w:t>
      </w:r>
      <w:r w:rsidRPr="00F050EB">
        <w:rPr>
          <w:lang w:val="fr-FR"/>
        </w:rPr>
        <w:t xml:space="preserve">hui disparus et </w:t>
      </w:r>
      <w:r>
        <w:rPr>
          <w:lang w:val="fr-FR"/>
        </w:rPr>
        <w:t xml:space="preserve">arguant </w:t>
      </w:r>
      <w:r w:rsidRPr="00F050EB">
        <w:rPr>
          <w:lang w:val="fr-FR"/>
        </w:rPr>
        <w:t xml:space="preserve">que les préjudices du racisme systémique </w:t>
      </w:r>
      <w:r>
        <w:rPr>
          <w:lang w:val="fr-FR"/>
        </w:rPr>
        <w:t>s</w:t>
      </w:r>
      <w:r w:rsidRPr="00F050EB">
        <w:rPr>
          <w:lang w:val="fr-FR"/>
        </w:rPr>
        <w:t xml:space="preserve">ont </w:t>
      </w:r>
      <w:r>
        <w:rPr>
          <w:lang w:val="fr-FR"/>
        </w:rPr>
        <w:t xml:space="preserve">présumés avoir </w:t>
      </w:r>
      <w:r w:rsidRPr="00F050EB">
        <w:rPr>
          <w:lang w:val="fr-FR"/>
        </w:rPr>
        <w:t>pris fin avec l</w:t>
      </w:r>
      <w:r>
        <w:rPr>
          <w:lang w:val="fr-FR"/>
        </w:rPr>
        <w:t>’</w:t>
      </w:r>
      <w:r w:rsidRPr="00F050EB">
        <w:rPr>
          <w:lang w:val="fr-FR"/>
        </w:rPr>
        <w:t>abolition de l</w:t>
      </w:r>
      <w:r>
        <w:rPr>
          <w:lang w:val="fr-FR"/>
        </w:rPr>
        <w:t>’</w:t>
      </w:r>
      <w:r w:rsidRPr="00F050EB">
        <w:rPr>
          <w:lang w:val="fr-FR"/>
        </w:rPr>
        <w:t xml:space="preserve">esclavage sous sa forme traditionnelle. Par ailleurs, délimiter la responsabilité des États et élaborer, puis financer, des programmes de réparation efficaces qui </w:t>
      </w:r>
      <w:r>
        <w:rPr>
          <w:lang w:val="fr-FR"/>
        </w:rPr>
        <w:t xml:space="preserve">tiennent compte </w:t>
      </w:r>
      <w:r w:rsidRPr="00F050EB">
        <w:rPr>
          <w:lang w:val="fr-FR"/>
        </w:rPr>
        <w:t xml:space="preserve">de la portée temporelle et matérielle </w:t>
      </w:r>
      <w:r>
        <w:rPr>
          <w:lang w:val="fr-FR"/>
        </w:rPr>
        <w:t xml:space="preserve">des faits </w:t>
      </w:r>
      <w:r w:rsidRPr="00F050EB">
        <w:rPr>
          <w:lang w:val="fr-FR"/>
        </w:rPr>
        <w:t xml:space="preserve">et </w:t>
      </w:r>
      <w:r>
        <w:rPr>
          <w:lang w:val="fr-FR"/>
        </w:rPr>
        <w:t>déterminent l</w:t>
      </w:r>
      <w:r w:rsidRPr="00F050EB">
        <w:rPr>
          <w:lang w:val="fr-FR"/>
        </w:rPr>
        <w:t xml:space="preserve">es bénéficiaires </w:t>
      </w:r>
      <w:r>
        <w:rPr>
          <w:lang w:val="fr-FR"/>
        </w:rPr>
        <w:t>éventuels</w:t>
      </w:r>
      <w:r w:rsidRPr="00F050EB">
        <w:rPr>
          <w:lang w:val="fr-FR"/>
        </w:rPr>
        <w:t xml:space="preserve"> est un exercice difficile qui soulève des questions complexes, surtout </w:t>
      </w:r>
      <w:r>
        <w:rPr>
          <w:lang w:val="fr-FR"/>
        </w:rPr>
        <w:t>lorsqu’il s’agit de</w:t>
      </w:r>
      <w:r w:rsidRPr="00F050EB">
        <w:rPr>
          <w:lang w:val="fr-FR"/>
        </w:rPr>
        <w:t xml:space="preserve"> demandes d</w:t>
      </w:r>
      <w:r>
        <w:rPr>
          <w:lang w:val="fr-FR"/>
        </w:rPr>
        <w:t>’</w:t>
      </w:r>
      <w:r w:rsidRPr="00F050EB">
        <w:rPr>
          <w:lang w:val="fr-FR"/>
        </w:rPr>
        <w:t>indemnisation financière</w:t>
      </w:r>
      <w:r w:rsidRPr="00CD6B67">
        <w:rPr>
          <w:rStyle w:val="FootnoteReference"/>
        </w:rPr>
        <w:footnoteReference w:id="772"/>
      </w:r>
      <w:r>
        <w:rPr>
          <w:lang w:val="fr-FR"/>
        </w:rPr>
        <w:t>.</w:t>
      </w:r>
      <w:r w:rsidRPr="00293268">
        <w:rPr>
          <w:lang w:val="fr-FR"/>
        </w:rPr>
        <w:t xml:space="preserve"> </w:t>
      </w:r>
      <w:r>
        <w:rPr>
          <w:lang w:val="fr-FR"/>
        </w:rPr>
        <w:t>Pourtant</w:t>
      </w:r>
      <w:r w:rsidRPr="00611B6C">
        <w:rPr>
          <w:lang w:val="fr-FR"/>
        </w:rPr>
        <w:t xml:space="preserve">, le caractère continu de certains actes et crimes, </w:t>
      </w:r>
      <w:r>
        <w:rPr>
          <w:lang w:val="fr-FR"/>
        </w:rPr>
        <w:t>de même</w:t>
      </w:r>
      <w:r w:rsidRPr="00611B6C">
        <w:rPr>
          <w:lang w:val="fr-FR"/>
        </w:rPr>
        <w:t xml:space="preserve"> que l</w:t>
      </w:r>
      <w:r>
        <w:rPr>
          <w:lang w:val="fr-FR"/>
        </w:rPr>
        <w:t>’</w:t>
      </w:r>
      <w:r w:rsidRPr="00611B6C">
        <w:rPr>
          <w:lang w:val="fr-FR"/>
        </w:rPr>
        <w:t>imprescriptibilité des violations graves des droits de l</w:t>
      </w:r>
      <w:r>
        <w:rPr>
          <w:lang w:val="fr-FR"/>
        </w:rPr>
        <w:t>’</w:t>
      </w:r>
      <w:r w:rsidRPr="00611B6C">
        <w:rPr>
          <w:lang w:val="fr-FR"/>
        </w:rPr>
        <w:t xml:space="preserve">homme qui constituent des crimes internationaux, pourraient fournir des pistes pour surmonter ces difficultés. En </w:t>
      </w:r>
      <w:r>
        <w:rPr>
          <w:lang w:val="fr-FR"/>
        </w:rPr>
        <w:t>définitive</w:t>
      </w:r>
      <w:r w:rsidRPr="00611B6C">
        <w:rPr>
          <w:lang w:val="fr-FR"/>
        </w:rPr>
        <w:t>, le plus grand obstacle aux réparations pour le colonialisme et l</w:t>
      </w:r>
      <w:r>
        <w:rPr>
          <w:lang w:val="fr-FR"/>
        </w:rPr>
        <w:t>’</w:t>
      </w:r>
      <w:r w:rsidRPr="00611B6C">
        <w:rPr>
          <w:lang w:val="fr-FR"/>
        </w:rPr>
        <w:t xml:space="preserve">esclavage </w:t>
      </w:r>
      <w:r>
        <w:rPr>
          <w:lang w:val="fr-FR"/>
        </w:rPr>
        <w:t xml:space="preserve">pourrait tenir </w:t>
      </w:r>
      <w:r w:rsidRPr="00611B6C">
        <w:rPr>
          <w:lang w:val="fr-FR"/>
        </w:rPr>
        <w:t>à ce que «</w:t>
      </w:r>
      <w:r w:rsidR="00324F94">
        <w:rPr>
          <w:lang w:val="fr-FR"/>
        </w:rPr>
        <w:t> </w:t>
      </w:r>
      <w:r w:rsidRPr="00611B6C">
        <w:rPr>
          <w:lang w:val="fr-FR"/>
        </w:rPr>
        <w:t>les principaux bénéficiaires de ces deux phénomènes n</w:t>
      </w:r>
      <w:r>
        <w:rPr>
          <w:lang w:val="fr-FR"/>
        </w:rPr>
        <w:t>’</w:t>
      </w:r>
      <w:r w:rsidRPr="00611B6C">
        <w:rPr>
          <w:lang w:val="fr-FR"/>
        </w:rPr>
        <w:t>ont ni la volonté politique ni le courage moral d</w:t>
      </w:r>
      <w:r>
        <w:rPr>
          <w:lang w:val="fr-FR"/>
        </w:rPr>
        <w:t>’octroyer des</w:t>
      </w:r>
      <w:r w:rsidRPr="00611B6C">
        <w:rPr>
          <w:lang w:val="fr-FR"/>
        </w:rPr>
        <w:t xml:space="preserve"> réparations</w:t>
      </w:r>
      <w:r w:rsidR="00324F94">
        <w:rPr>
          <w:lang w:val="fr-FR"/>
        </w:rPr>
        <w:t> </w:t>
      </w:r>
      <w:r w:rsidRPr="00611B6C">
        <w:rPr>
          <w:lang w:val="fr-FR"/>
        </w:rPr>
        <w:t>»</w:t>
      </w:r>
      <w:r w:rsidRPr="00CD6B67">
        <w:rPr>
          <w:rStyle w:val="FootnoteReference"/>
        </w:rPr>
        <w:footnoteReference w:id="773"/>
      </w:r>
      <w:r>
        <w:rPr>
          <w:lang w:val="fr-FR"/>
        </w:rPr>
        <w:t>.</w:t>
      </w:r>
    </w:p>
    <w:p w14:paraId="2B54FC66" w14:textId="47E492A1" w:rsidR="00D301C6" w:rsidRPr="00293268" w:rsidRDefault="00D301C6" w:rsidP="00FC02F0">
      <w:pPr>
        <w:pStyle w:val="SingleTxtG"/>
        <w:spacing w:after="100"/>
        <w:rPr>
          <w:lang w:val="fr-FR"/>
        </w:rPr>
      </w:pPr>
      <w:r w:rsidRPr="00293268">
        <w:rPr>
          <w:lang w:val="fr-FR"/>
        </w:rPr>
        <w:t>290.</w:t>
      </w:r>
      <w:r w:rsidRPr="00293268">
        <w:rPr>
          <w:lang w:val="fr-FR"/>
        </w:rPr>
        <w:tab/>
      </w:r>
      <w:r w:rsidRPr="0022767A">
        <w:rPr>
          <w:lang w:val="fr-FR"/>
        </w:rPr>
        <w:t>La Décennie internationale des personnes d</w:t>
      </w:r>
      <w:r>
        <w:rPr>
          <w:lang w:val="fr-FR"/>
        </w:rPr>
        <w:t>’</w:t>
      </w:r>
      <w:r w:rsidRPr="0022767A">
        <w:rPr>
          <w:lang w:val="fr-FR"/>
        </w:rPr>
        <w:t>ascendance africaine et son programme d</w:t>
      </w:r>
      <w:r>
        <w:rPr>
          <w:lang w:val="fr-FR"/>
        </w:rPr>
        <w:t>’</w:t>
      </w:r>
      <w:r w:rsidRPr="0022767A">
        <w:rPr>
          <w:lang w:val="fr-FR"/>
        </w:rPr>
        <w:t>activités offrent un cadre pour renforcer les mesures et activités de coopération permettant de garantir le plein exercice de tous les droits des personnes d</w:t>
      </w:r>
      <w:r>
        <w:rPr>
          <w:lang w:val="fr-FR"/>
        </w:rPr>
        <w:t>’</w:t>
      </w:r>
      <w:r w:rsidRPr="0022767A">
        <w:rPr>
          <w:lang w:val="fr-FR"/>
        </w:rPr>
        <w:t>ascendance africaine</w:t>
      </w:r>
      <w:r>
        <w:rPr>
          <w:lang w:val="fr-FR"/>
        </w:rPr>
        <w:t>,</w:t>
      </w:r>
      <w:r w:rsidRPr="0022767A">
        <w:rPr>
          <w:lang w:val="fr-FR"/>
        </w:rPr>
        <w:t xml:space="preserve"> ainsi que leur pleine et égale participation à la société sous tous ses aspects</w:t>
      </w:r>
      <w:r w:rsidRPr="00CD6B67">
        <w:rPr>
          <w:rStyle w:val="FootnoteReference"/>
        </w:rPr>
        <w:footnoteReference w:id="774"/>
      </w:r>
      <w:r>
        <w:rPr>
          <w:lang w:val="fr-FR"/>
        </w:rPr>
        <w:t>.</w:t>
      </w:r>
      <w:r w:rsidRPr="00293268">
        <w:rPr>
          <w:lang w:val="fr-FR"/>
        </w:rPr>
        <w:t xml:space="preserve"> </w:t>
      </w:r>
      <w:r w:rsidRPr="00EB285F">
        <w:rPr>
          <w:lang w:val="fr-FR"/>
        </w:rPr>
        <w:t>La réalisation des objectifs thématiques de la Décennie, à savoir la reconnaissance, la justice et le développement, permettra aux États d</w:t>
      </w:r>
      <w:r>
        <w:rPr>
          <w:lang w:val="fr-FR"/>
        </w:rPr>
        <w:t>’</w:t>
      </w:r>
      <w:r w:rsidRPr="00EB285F">
        <w:rPr>
          <w:lang w:val="fr-FR"/>
        </w:rPr>
        <w:t>améliorer la vie de millions de personnes d</w:t>
      </w:r>
      <w:r>
        <w:rPr>
          <w:lang w:val="fr-FR"/>
        </w:rPr>
        <w:t>’</w:t>
      </w:r>
      <w:r w:rsidRPr="00EB285F">
        <w:rPr>
          <w:lang w:val="fr-FR"/>
        </w:rPr>
        <w:t xml:space="preserve">ascendance africaine </w:t>
      </w:r>
      <w:r>
        <w:rPr>
          <w:lang w:val="fr-FR"/>
        </w:rPr>
        <w:t xml:space="preserve">partout </w:t>
      </w:r>
      <w:r w:rsidRPr="00EB285F">
        <w:rPr>
          <w:lang w:val="fr-FR"/>
        </w:rPr>
        <w:t>dans le monde. Le pilier «</w:t>
      </w:r>
      <w:r w:rsidR="00324F94">
        <w:rPr>
          <w:lang w:val="fr-FR"/>
        </w:rPr>
        <w:t> </w:t>
      </w:r>
      <w:r w:rsidRPr="00EB285F">
        <w:rPr>
          <w:lang w:val="fr-FR"/>
        </w:rPr>
        <w:t>justice</w:t>
      </w:r>
      <w:r w:rsidR="00324F94">
        <w:rPr>
          <w:lang w:val="fr-FR"/>
        </w:rPr>
        <w:t> </w:t>
      </w:r>
      <w:r w:rsidRPr="00EB285F">
        <w:rPr>
          <w:lang w:val="fr-FR"/>
        </w:rPr>
        <w:t xml:space="preserve">» du programme a pour objectif </w:t>
      </w:r>
      <w:r>
        <w:rPr>
          <w:lang w:val="fr-FR"/>
        </w:rPr>
        <w:t>de faire en sorte que</w:t>
      </w:r>
      <w:r w:rsidRPr="00EB285F">
        <w:rPr>
          <w:lang w:val="fr-FR"/>
        </w:rPr>
        <w:t xml:space="preserve"> les États </w:t>
      </w:r>
      <w:r>
        <w:rPr>
          <w:lang w:val="fr-FR"/>
        </w:rPr>
        <w:t xml:space="preserve">prennent </w:t>
      </w:r>
      <w:r w:rsidRPr="00EB285F">
        <w:rPr>
          <w:lang w:val="fr-FR"/>
        </w:rPr>
        <w:t>davantage de mesures pour assurer la justice et honorer la mémoire des victimes des tragédies passées , notamment en reconnaissant les souffrances et les maux indicibles subis par des millions d</w:t>
      </w:r>
      <w:r>
        <w:rPr>
          <w:lang w:val="fr-FR"/>
        </w:rPr>
        <w:t>’</w:t>
      </w:r>
      <w:r w:rsidRPr="00EB285F">
        <w:rPr>
          <w:lang w:val="fr-FR"/>
        </w:rPr>
        <w:t>hommes, de femmes et d</w:t>
      </w:r>
      <w:r>
        <w:rPr>
          <w:lang w:val="fr-FR"/>
        </w:rPr>
        <w:t>’</w:t>
      </w:r>
      <w:r w:rsidRPr="00EB285F">
        <w:rPr>
          <w:lang w:val="fr-FR"/>
        </w:rPr>
        <w:t>enfants du fait de l</w:t>
      </w:r>
      <w:r>
        <w:rPr>
          <w:lang w:val="fr-FR"/>
        </w:rPr>
        <w:t>’</w:t>
      </w:r>
      <w:r w:rsidRPr="00EB285F">
        <w:rPr>
          <w:lang w:val="fr-FR"/>
        </w:rPr>
        <w:t>esclavage, de la traite des esclaves, notamment de la traite transatlantique, du colonialisme, de l</w:t>
      </w:r>
      <w:r>
        <w:rPr>
          <w:lang w:val="fr-FR"/>
        </w:rPr>
        <w:t>’</w:t>
      </w:r>
      <w:r w:rsidRPr="00EB285F">
        <w:rPr>
          <w:lang w:val="fr-FR"/>
        </w:rPr>
        <w:t>apartheid, du génocide et d</w:t>
      </w:r>
      <w:r>
        <w:rPr>
          <w:lang w:val="fr-FR"/>
        </w:rPr>
        <w:t>’</w:t>
      </w:r>
      <w:r w:rsidRPr="00EB285F">
        <w:rPr>
          <w:lang w:val="fr-FR"/>
        </w:rPr>
        <w:t>autres tragédies</w:t>
      </w:r>
      <w:r w:rsidRPr="00CD6B67">
        <w:rPr>
          <w:rStyle w:val="FootnoteReference"/>
        </w:rPr>
        <w:footnoteReference w:id="775"/>
      </w:r>
      <w:r>
        <w:rPr>
          <w:lang w:val="fr-FR"/>
        </w:rPr>
        <w:t>.</w:t>
      </w:r>
      <w:r w:rsidRPr="00293268">
        <w:rPr>
          <w:lang w:val="fr-FR"/>
        </w:rPr>
        <w:t xml:space="preserve"> </w:t>
      </w:r>
      <w:r w:rsidRPr="000067D8">
        <w:rPr>
          <w:lang w:val="fr-FR"/>
        </w:rPr>
        <w:t>Dans les années qui ont suivi la proclamation de la Décennie, la communauté internationale a peu à peu commencé à admettre qu</w:t>
      </w:r>
      <w:r>
        <w:rPr>
          <w:lang w:val="fr-FR"/>
        </w:rPr>
        <w:t>’</w:t>
      </w:r>
      <w:r w:rsidRPr="000067D8">
        <w:rPr>
          <w:lang w:val="fr-FR"/>
        </w:rPr>
        <w:t>il était temps de s</w:t>
      </w:r>
      <w:r>
        <w:rPr>
          <w:lang w:val="fr-FR"/>
        </w:rPr>
        <w:t>’</w:t>
      </w:r>
      <w:r w:rsidRPr="000067D8">
        <w:rPr>
          <w:lang w:val="fr-FR"/>
        </w:rPr>
        <w:t>intéresser aux questions relatives à la réparation et à la justice réparatrice</w:t>
      </w:r>
      <w:r w:rsidRPr="00CD6B67">
        <w:rPr>
          <w:rStyle w:val="FootnoteReference"/>
        </w:rPr>
        <w:footnoteReference w:id="776"/>
      </w:r>
      <w:r>
        <w:rPr>
          <w:lang w:val="fr-FR"/>
        </w:rPr>
        <w:t>.</w:t>
      </w:r>
      <w:r w:rsidRPr="00293268">
        <w:rPr>
          <w:lang w:val="fr-FR"/>
        </w:rPr>
        <w:t xml:space="preserve"> </w:t>
      </w:r>
      <w:r w:rsidRPr="00C1690F">
        <w:rPr>
          <w:lang w:val="fr-FR"/>
        </w:rPr>
        <w:t>Les mesures possibles découlant de ces cadres et, plus largement, du droit international des droits de l</w:t>
      </w:r>
      <w:r>
        <w:rPr>
          <w:lang w:val="fr-FR"/>
        </w:rPr>
        <w:t>’</w:t>
      </w:r>
      <w:r w:rsidRPr="00C1690F">
        <w:rPr>
          <w:lang w:val="fr-FR"/>
        </w:rPr>
        <w:t>homme, sont détaillées plus loin</w:t>
      </w:r>
      <w:r w:rsidRPr="00293268">
        <w:rPr>
          <w:bCs/>
          <w:lang w:val="fr-FR"/>
        </w:rPr>
        <w:t>.</w:t>
      </w:r>
    </w:p>
    <w:p w14:paraId="76639D23" w14:textId="2234FA3B" w:rsidR="00D301C6" w:rsidRPr="00293268" w:rsidRDefault="00D301C6" w:rsidP="00FC02F0">
      <w:pPr>
        <w:pStyle w:val="SingleTxtG"/>
        <w:spacing w:after="100"/>
        <w:rPr>
          <w:lang w:val="fr-FR"/>
        </w:rPr>
      </w:pPr>
      <w:r w:rsidRPr="00293268">
        <w:rPr>
          <w:lang w:val="fr-FR"/>
        </w:rPr>
        <w:t>291.</w:t>
      </w:r>
      <w:r w:rsidRPr="00293268">
        <w:rPr>
          <w:lang w:val="fr-FR"/>
        </w:rPr>
        <w:tab/>
      </w:r>
      <w:r w:rsidRPr="002D13A2">
        <w:rPr>
          <w:lang w:val="fr-FR"/>
        </w:rPr>
        <w:t>Le Programme de développement durable à l</w:t>
      </w:r>
      <w:r>
        <w:rPr>
          <w:lang w:val="fr-FR"/>
        </w:rPr>
        <w:t>’</w:t>
      </w:r>
      <w:r w:rsidRPr="002D13A2">
        <w:rPr>
          <w:lang w:val="fr-FR"/>
        </w:rPr>
        <w:t>horizon 2030 (2015-2030) et les directives opérationnelles sur l</w:t>
      </w:r>
      <w:r>
        <w:rPr>
          <w:lang w:val="fr-FR"/>
        </w:rPr>
        <w:t>’</w:t>
      </w:r>
      <w:r w:rsidRPr="002D13A2">
        <w:rPr>
          <w:lang w:val="fr-FR"/>
        </w:rPr>
        <w:t>inclusion des personnes d</w:t>
      </w:r>
      <w:r>
        <w:rPr>
          <w:lang w:val="fr-FR"/>
        </w:rPr>
        <w:t>’</w:t>
      </w:r>
      <w:r w:rsidRPr="002D13A2">
        <w:rPr>
          <w:lang w:val="fr-FR"/>
        </w:rPr>
        <w:t>ascendance africaine dans le programme 2030, publiées par le Groupe de travail d</w:t>
      </w:r>
      <w:r>
        <w:rPr>
          <w:lang w:val="fr-FR"/>
        </w:rPr>
        <w:t>’</w:t>
      </w:r>
      <w:r w:rsidRPr="002D13A2">
        <w:rPr>
          <w:lang w:val="fr-FR"/>
        </w:rPr>
        <w:t>experts sur les personnes d</w:t>
      </w:r>
      <w:r>
        <w:rPr>
          <w:lang w:val="fr-FR"/>
        </w:rPr>
        <w:t>’</w:t>
      </w:r>
      <w:r w:rsidRPr="002D13A2">
        <w:rPr>
          <w:lang w:val="fr-FR"/>
        </w:rPr>
        <w:t>ascendance africaine</w:t>
      </w:r>
      <w:r>
        <w:rPr>
          <w:lang w:val="fr-FR"/>
        </w:rPr>
        <w:t>,</w:t>
      </w:r>
      <w:r w:rsidRPr="002D13A2">
        <w:rPr>
          <w:lang w:val="fr-FR"/>
        </w:rPr>
        <w:t xml:space="preserve"> peuvent aider à </w:t>
      </w:r>
      <w:r>
        <w:rPr>
          <w:lang w:val="fr-FR"/>
        </w:rPr>
        <w:t>surmonter</w:t>
      </w:r>
      <w:r w:rsidRPr="002D13A2">
        <w:rPr>
          <w:lang w:val="fr-FR"/>
        </w:rPr>
        <w:t xml:space="preserve"> les discriminations systémiques, structurelles et ancrées dans l</w:t>
      </w:r>
      <w:r>
        <w:rPr>
          <w:lang w:val="fr-FR"/>
        </w:rPr>
        <w:t>’</w:t>
      </w:r>
      <w:r w:rsidRPr="002D13A2">
        <w:rPr>
          <w:lang w:val="fr-FR"/>
        </w:rPr>
        <w:t>histoire dont sont victimes les personnes d</w:t>
      </w:r>
      <w:r>
        <w:rPr>
          <w:lang w:val="fr-FR"/>
        </w:rPr>
        <w:t>’</w:t>
      </w:r>
      <w:r w:rsidRPr="002D13A2">
        <w:rPr>
          <w:lang w:val="fr-FR"/>
        </w:rPr>
        <w:t xml:space="preserve">ascendance africaine dans le monde entier et à les inclure dans la </w:t>
      </w:r>
      <w:r>
        <w:rPr>
          <w:lang w:val="fr-FR"/>
        </w:rPr>
        <w:t>réalisation des objectifs de ce programme</w:t>
      </w:r>
      <w:r w:rsidRPr="00CD6B67">
        <w:rPr>
          <w:rStyle w:val="FootnoteReference"/>
        </w:rPr>
        <w:footnoteReference w:id="777"/>
      </w:r>
      <w:r>
        <w:rPr>
          <w:lang w:val="fr-FR"/>
        </w:rPr>
        <w:t>.</w:t>
      </w:r>
      <w:r w:rsidRPr="00293268">
        <w:rPr>
          <w:lang w:val="fr-FR"/>
        </w:rPr>
        <w:t xml:space="preserve"> </w:t>
      </w:r>
      <w:r w:rsidRPr="00F971D4">
        <w:rPr>
          <w:lang w:val="fr-FR"/>
        </w:rPr>
        <w:t>L</w:t>
      </w:r>
      <w:r>
        <w:rPr>
          <w:lang w:val="fr-FR"/>
        </w:rPr>
        <w:t>’</w:t>
      </w:r>
      <w:r w:rsidRPr="00F971D4">
        <w:rPr>
          <w:lang w:val="fr-FR"/>
        </w:rPr>
        <w:t xml:space="preserve">objectif de développement durable </w:t>
      </w:r>
      <w:r w:rsidR="004C19D1" w:rsidRPr="004C19D1">
        <w:rPr>
          <w:rFonts w:eastAsia="MS Mincho"/>
          <w:lang w:val="fr-FR"/>
        </w:rPr>
        <w:t>n</w:t>
      </w:r>
      <w:r w:rsidR="004C19D1" w:rsidRPr="004C19D1">
        <w:rPr>
          <w:rFonts w:eastAsia="MS Mincho"/>
          <w:vertAlign w:val="superscript"/>
          <w:lang w:val="fr-FR"/>
        </w:rPr>
        <w:t>o</w:t>
      </w:r>
      <w:r w:rsidR="004C19D1">
        <w:rPr>
          <w:lang w:val="fr-FR"/>
        </w:rPr>
        <w:t> </w:t>
      </w:r>
      <w:r w:rsidRPr="00F971D4">
        <w:rPr>
          <w:lang w:val="fr-FR"/>
        </w:rPr>
        <w:t>16, en particulier, qui vise à promouvoir l</w:t>
      </w:r>
      <w:r>
        <w:rPr>
          <w:lang w:val="fr-FR"/>
        </w:rPr>
        <w:t>’</w:t>
      </w:r>
      <w:r w:rsidRPr="00F971D4">
        <w:rPr>
          <w:lang w:val="fr-FR"/>
        </w:rPr>
        <w:t>avènement de sociétés pacifiques</w:t>
      </w:r>
      <w:r>
        <w:rPr>
          <w:lang w:val="fr-FR"/>
        </w:rPr>
        <w:t xml:space="preserve"> </w:t>
      </w:r>
      <w:r w:rsidRPr="00F971D4">
        <w:rPr>
          <w:lang w:val="fr-FR"/>
        </w:rPr>
        <w:t>et inclusives</w:t>
      </w:r>
      <w:r>
        <w:rPr>
          <w:lang w:val="fr-FR"/>
        </w:rPr>
        <w:t xml:space="preserve">, </w:t>
      </w:r>
      <w:r w:rsidRPr="00F971D4">
        <w:rPr>
          <w:lang w:val="fr-FR"/>
        </w:rPr>
        <w:t xml:space="preserve">peut </w:t>
      </w:r>
      <w:r>
        <w:rPr>
          <w:lang w:val="fr-FR"/>
        </w:rPr>
        <w:t>servir</w:t>
      </w:r>
      <w:r w:rsidRPr="00F971D4">
        <w:rPr>
          <w:lang w:val="fr-FR"/>
        </w:rPr>
        <w:t xml:space="preserve"> de point de repère pour combattre les manifestations contemporaines de violence à l</w:t>
      </w:r>
      <w:r>
        <w:rPr>
          <w:lang w:val="fr-FR"/>
        </w:rPr>
        <w:t>’</w:t>
      </w:r>
      <w:r w:rsidRPr="00F971D4">
        <w:rPr>
          <w:lang w:val="fr-FR"/>
        </w:rPr>
        <w:t>encontre des personnes d</w:t>
      </w:r>
      <w:r>
        <w:rPr>
          <w:lang w:val="fr-FR"/>
        </w:rPr>
        <w:t>’</w:t>
      </w:r>
      <w:r w:rsidRPr="00F971D4">
        <w:rPr>
          <w:lang w:val="fr-FR"/>
        </w:rPr>
        <w:t>ascendance africaine, dont le présent document de séance fait état. En outre, la prochaine réunion de haut niveau qui se tiendra en septembre 2021, consacrée à la célébration du vingtième anniversaire de l</w:t>
      </w:r>
      <w:r>
        <w:rPr>
          <w:lang w:val="fr-FR"/>
        </w:rPr>
        <w:t>’</w:t>
      </w:r>
      <w:r w:rsidRPr="00F971D4">
        <w:rPr>
          <w:lang w:val="fr-FR"/>
        </w:rPr>
        <w:t>adoption de la Déclaration et du Programme d</w:t>
      </w:r>
      <w:r>
        <w:rPr>
          <w:lang w:val="fr-FR"/>
        </w:rPr>
        <w:t>’</w:t>
      </w:r>
      <w:r w:rsidRPr="00F971D4">
        <w:rPr>
          <w:lang w:val="fr-FR"/>
        </w:rPr>
        <w:t xml:space="preserve">action de Durban </w:t>
      </w:r>
      <w:r>
        <w:rPr>
          <w:lang w:val="fr-FR"/>
        </w:rPr>
        <w:t>sur le</w:t>
      </w:r>
      <w:r w:rsidRPr="00F971D4">
        <w:rPr>
          <w:lang w:val="fr-FR"/>
        </w:rPr>
        <w:t xml:space="preserve"> thème «</w:t>
      </w:r>
      <w:r>
        <w:rPr>
          <w:lang w:val="fr-FR"/>
        </w:rPr>
        <w:t> </w:t>
      </w:r>
      <w:r w:rsidRPr="00F971D4">
        <w:rPr>
          <w:lang w:val="fr-FR"/>
        </w:rPr>
        <w:t>Réparations, justice raciale et égalité pour les personnes d</w:t>
      </w:r>
      <w:r>
        <w:rPr>
          <w:lang w:val="fr-FR"/>
        </w:rPr>
        <w:t>’</w:t>
      </w:r>
      <w:r w:rsidRPr="00F971D4">
        <w:rPr>
          <w:lang w:val="fr-FR"/>
        </w:rPr>
        <w:t>ascendance africaine</w:t>
      </w:r>
      <w:r w:rsidR="004C19D1">
        <w:rPr>
          <w:lang w:val="fr-FR"/>
        </w:rPr>
        <w:t> </w:t>
      </w:r>
      <w:r w:rsidRPr="00F971D4">
        <w:rPr>
          <w:lang w:val="fr-FR"/>
        </w:rPr>
        <w:t>», offre une autre occasion de mieux appréhender les questions relatives à la justice réparatrice pour les personnes d</w:t>
      </w:r>
      <w:r>
        <w:rPr>
          <w:lang w:val="fr-FR"/>
        </w:rPr>
        <w:t>’</w:t>
      </w:r>
      <w:r w:rsidRPr="00F971D4">
        <w:rPr>
          <w:lang w:val="fr-FR"/>
        </w:rPr>
        <w:t>ascendance africaine partout dans le monde</w:t>
      </w:r>
      <w:r w:rsidRPr="00CD6B67">
        <w:rPr>
          <w:rStyle w:val="FootnoteReference"/>
        </w:rPr>
        <w:footnoteReference w:id="778"/>
      </w:r>
      <w:r>
        <w:rPr>
          <w:lang w:val="fr-FR"/>
        </w:rPr>
        <w:t>.</w:t>
      </w:r>
    </w:p>
    <w:p w14:paraId="66902E84" w14:textId="5F1D7698" w:rsidR="00D301C6" w:rsidRPr="00293268" w:rsidRDefault="00D301C6" w:rsidP="008148E1">
      <w:pPr>
        <w:pStyle w:val="H1G"/>
        <w:spacing w:before="300" w:after="200"/>
        <w:rPr>
          <w:lang w:val="fr-FR"/>
        </w:rPr>
      </w:pPr>
      <w:bookmarkStart w:id="1246" w:name="_Toc74915479"/>
      <w:bookmarkStart w:id="1247" w:name="_Toc74923029"/>
      <w:bookmarkStart w:id="1248" w:name="_Toc74141638"/>
      <w:bookmarkStart w:id="1249" w:name="_Toc74141640"/>
      <w:bookmarkStart w:id="1250" w:name="_Toc74141641"/>
      <w:bookmarkStart w:id="1251" w:name="_Toc72335560"/>
      <w:bookmarkStart w:id="1252" w:name="_Toc74143653"/>
      <w:bookmarkStart w:id="1253" w:name="_Toc74170928"/>
      <w:bookmarkStart w:id="1254" w:name="_Toc74923031"/>
      <w:bookmarkStart w:id="1255" w:name="_Hlk118300369"/>
      <w:bookmarkEnd w:id="1246"/>
      <w:bookmarkEnd w:id="1247"/>
      <w:bookmarkEnd w:id="1248"/>
      <w:bookmarkEnd w:id="1249"/>
      <w:bookmarkEnd w:id="1250"/>
      <w:r w:rsidRPr="00293268">
        <w:rPr>
          <w:lang w:val="fr-FR"/>
        </w:rPr>
        <w:tab/>
      </w:r>
      <w:r w:rsidRPr="0031235A">
        <w:rPr>
          <w:lang w:val="fr-FR"/>
        </w:rPr>
        <w:t>C.</w:t>
      </w:r>
      <w:r w:rsidRPr="0031235A">
        <w:rPr>
          <w:lang w:val="fr-FR"/>
        </w:rPr>
        <w:tab/>
      </w:r>
      <w:bookmarkStart w:id="1256" w:name="_Hlk116397818"/>
      <w:bookmarkEnd w:id="1251"/>
      <w:bookmarkEnd w:id="1252"/>
      <w:bookmarkEnd w:id="1253"/>
      <w:bookmarkEnd w:id="1254"/>
      <w:r w:rsidRPr="0031235A">
        <w:rPr>
          <w:lang w:val="fr-FR"/>
        </w:rPr>
        <w:t xml:space="preserve">Programme axé sur la transformation pour la justice et l’égalité raciales </w:t>
      </w:r>
      <w:r w:rsidR="00BF73AB" w:rsidRPr="0031235A">
        <w:rPr>
          <w:lang w:val="fr-FR"/>
        </w:rPr>
        <w:t>−</w:t>
      </w:r>
      <w:r w:rsidRPr="0031235A">
        <w:rPr>
          <w:lang w:val="fr-FR"/>
        </w:rPr>
        <w:t xml:space="preserve"> La voie à suivre </w:t>
      </w:r>
      <w:r w:rsidR="00BF73AB" w:rsidRPr="0031235A">
        <w:rPr>
          <w:lang w:val="fr-FR"/>
        </w:rPr>
        <w:t>−</w:t>
      </w:r>
      <w:r w:rsidRPr="0031235A">
        <w:rPr>
          <w:lang w:val="fr-FR"/>
        </w:rPr>
        <w:t xml:space="preserve"> RÉPARER</w:t>
      </w:r>
      <w:r w:rsidR="00BF73AB" w:rsidRPr="0031235A">
        <w:rPr>
          <w:lang w:val="fr-FR"/>
        </w:rPr>
        <w:t> </w:t>
      </w:r>
      <w:r w:rsidRPr="0031235A">
        <w:rPr>
          <w:lang w:val="fr-FR"/>
        </w:rPr>
        <w:t xml:space="preserve">: Affronter l’héritage </w:t>
      </w:r>
      <w:r w:rsidR="007133EA" w:rsidRPr="0031235A">
        <w:rPr>
          <w:lang w:val="fr-FR"/>
        </w:rPr>
        <w:br/>
      </w:r>
      <w:r w:rsidRPr="0031235A">
        <w:rPr>
          <w:lang w:val="fr-FR"/>
        </w:rPr>
        <w:t xml:space="preserve">du passé, adopter des mesures spéciales et rendre une justice </w:t>
      </w:r>
      <w:r w:rsidR="00994EDC" w:rsidRPr="0031235A">
        <w:rPr>
          <w:lang w:val="fr-FR"/>
        </w:rPr>
        <w:br/>
      </w:r>
      <w:r w:rsidRPr="0031235A">
        <w:rPr>
          <w:lang w:val="fr-FR"/>
        </w:rPr>
        <w:t>réparatrice</w:t>
      </w:r>
      <w:bookmarkEnd w:id="1256"/>
      <w:bookmarkEnd w:id="1255"/>
    </w:p>
    <w:p w14:paraId="44555FE2" w14:textId="77777777" w:rsidR="00D301C6" w:rsidRPr="00293268" w:rsidRDefault="00D301C6" w:rsidP="00FC02F0">
      <w:pPr>
        <w:pStyle w:val="SingleTxtG"/>
        <w:spacing w:after="100"/>
        <w:rPr>
          <w:lang w:val="fr-FR"/>
        </w:rPr>
      </w:pPr>
      <w:r w:rsidRPr="00293268">
        <w:rPr>
          <w:lang w:val="fr-FR"/>
        </w:rPr>
        <w:t>292.</w:t>
      </w:r>
      <w:r w:rsidRPr="00293268">
        <w:rPr>
          <w:lang w:val="fr-FR"/>
        </w:rPr>
        <w:tab/>
      </w:r>
      <w:r w:rsidRPr="00DB0532">
        <w:rPr>
          <w:lang w:val="fr-FR"/>
        </w:rPr>
        <w:t>Le moment est venu de faire preuve d</w:t>
      </w:r>
      <w:r>
        <w:rPr>
          <w:lang w:val="fr-FR"/>
        </w:rPr>
        <w:t>’</w:t>
      </w:r>
      <w:r w:rsidRPr="00DB0532">
        <w:rPr>
          <w:lang w:val="fr-FR"/>
        </w:rPr>
        <w:t>initiative politique, d</w:t>
      </w:r>
      <w:r>
        <w:rPr>
          <w:lang w:val="fr-FR"/>
        </w:rPr>
        <w:t>’</w:t>
      </w:r>
      <w:r w:rsidRPr="00DB0532">
        <w:rPr>
          <w:lang w:val="fr-FR"/>
        </w:rPr>
        <w:t>apporter des réponses inventives, effectives et complètes, de prendre des mesures en faveur d</w:t>
      </w:r>
      <w:r>
        <w:rPr>
          <w:lang w:val="fr-FR"/>
        </w:rPr>
        <w:t>’</w:t>
      </w:r>
      <w:r w:rsidRPr="00DB0532">
        <w:rPr>
          <w:lang w:val="fr-FR"/>
        </w:rPr>
        <w:t>un plus grand pouvoir d</w:t>
      </w:r>
      <w:r>
        <w:rPr>
          <w:lang w:val="fr-FR"/>
        </w:rPr>
        <w:t>’</w:t>
      </w:r>
      <w:r w:rsidRPr="00DB0532">
        <w:rPr>
          <w:lang w:val="fr-FR"/>
        </w:rPr>
        <w:t>action et d</w:t>
      </w:r>
      <w:r>
        <w:rPr>
          <w:lang w:val="fr-FR"/>
        </w:rPr>
        <w:t>’</w:t>
      </w:r>
      <w:r w:rsidRPr="00DB0532">
        <w:rPr>
          <w:lang w:val="fr-FR"/>
        </w:rPr>
        <w:t>instaurer un dialogue honnête sur les conséquences des séquelles du passé sur les formes contemporaines de racisme</w:t>
      </w:r>
      <w:r w:rsidRPr="00293268">
        <w:rPr>
          <w:lang w:val="fr-FR"/>
        </w:rPr>
        <w:t>.</w:t>
      </w:r>
    </w:p>
    <w:p w14:paraId="1A4C4A74" w14:textId="0F0C5B2D" w:rsidR="00D301C6" w:rsidRPr="008148E1" w:rsidRDefault="007D25C5" w:rsidP="00FC02F0">
      <w:pPr>
        <w:pStyle w:val="SingleTxtG"/>
        <w:spacing w:after="100"/>
        <w:rPr>
          <w:spacing w:val="-2"/>
          <w:lang w:val="fr-FR"/>
        </w:rPr>
      </w:pPr>
      <w:r>
        <w:rPr>
          <w:lang w:val="fr-FR"/>
        </w:rPr>
        <w:t>2</w:t>
      </w:r>
      <w:r w:rsidR="00D301C6" w:rsidRPr="00293268">
        <w:rPr>
          <w:lang w:val="fr-FR"/>
        </w:rPr>
        <w:t>93.</w:t>
      </w:r>
      <w:r w:rsidR="00D301C6" w:rsidRPr="00293268">
        <w:rPr>
          <w:lang w:val="fr-FR"/>
        </w:rPr>
        <w:tab/>
      </w:r>
      <w:r w:rsidR="00D301C6" w:rsidRPr="008148E1">
        <w:rPr>
          <w:spacing w:val="-2"/>
          <w:lang w:val="fr-FR"/>
        </w:rPr>
        <w:t>La réparation des séquelles du passé doit se fonder sur une analyse intersectionnelle et intergénérationnelle des effets de l’esclavage, du commerce transatlantique des Africains réduits en esclavage, du colonialisme et des politiques et systèmes discriminatoires sur le plan racial qui se sont succédé au fil du temps. Ces effets doivent être reconnus, admis et réparés.</w:t>
      </w:r>
    </w:p>
    <w:p w14:paraId="7BD10673" w14:textId="77777777" w:rsidR="00D301C6" w:rsidRPr="00293268" w:rsidRDefault="00D301C6" w:rsidP="00FC02F0">
      <w:pPr>
        <w:pStyle w:val="SingleTxtG"/>
        <w:spacing w:after="100"/>
        <w:rPr>
          <w:lang w:val="fr-FR"/>
        </w:rPr>
      </w:pPr>
      <w:r w:rsidRPr="00293268">
        <w:rPr>
          <w:lang w:val="fr-FR"/>
        </w:rPr>
        <w:t>294.</w:t>
      </w:r>
      <w:r w:rsidRPr="00293268">
        <w:rPr>
          <w:lang w:val="fr-FR"/>
        </w:rPr>
        <w:tab/>
      </w:r>
      <w:r w:rsidRPr="00E13CEB">
        <w:rPr>
          <w:lang w:val="fr-FR"/>
        </w:rPr>
        <w:t>Les expériences des femmes d</w:t>
      </w:r>
      <w:r>
        <w:rPr>
          <w:lang w:val="fr-FR"/>
        </w:rPr>
        <w:t>’</w:t>
      </w:r>
      <w:r w:rsidRPr="00E13CEB">
        <w:rPr>
          <w:lang w:val="fr-FR"/>
        </w:rPr>
        <w:t>ascendance africaine doivent être au cœur de ces processus. À l</w:t>
      </w:r>
      <w:r>
        <w:rPr>
          <w:lang w:val="fr-FR"/>
        </w:rPr>
        <w:t>’</w:t>
      </w:r>
      <w:r w:rsidRPr="00E13CEB">
        <w:rPr>
          <w:lang w:val="fr-FR"/>
        </w:rPr>
        <w:t xml:space="preserve">avenir, il sera essentiel de tenir compte des questions de genre pour comprendre </w:t>
      </w:r>
      <w:r>
        <w:rPr>
          <w:lang w:val="fr-FR"/>
        </w:rPr>
        <w:t xml:space="preserve">le caractère unique de </w:t>
      </w:r>
      <w:r w:rsidRPr="00E13CEB">
        <w:rPr>
          <w:lang w:val="fr-FR"/>
        </w:rPr>
        <w:t xml:space="preserve">leurs besoins et </w:t>
      </w:r>
      <w:r>
        <w:rPr>
          <w:lang w:val="fr-FR"/>
        </w:rPr>
        <w:t xml:space="preserve">de </w:t>
      </w:r>
      <w:r w:rsidRPr="00E13CEB">
        <w:rPr>
          <w:lang w:val="fr-FR"/>
        </w:rPr>
        <w:t xml:space="preserve">leurs contributions </w:t>
      </w:r>
      <w:r>
        <w:rPr>
          <w:lang w:val="fr-FR"/>
        </w:rPr>
        <w:t>dans la lutte</w:t>
      </w:r>
      <w:r w:rsidRPr="00E13CEB">
        <w:rPr>
          <w:lang w:val="fr-FR"/>
        </w:rPr>
        <w:t xml:space="preserve"> contre le racisme et les séquelles de l</w:t>
      </w:r>
      <w:r>
        <w:rPr>
          <w:lang w:val="fr-FR"/>
        </w:rPr>
        <w:t>’</w:t>
      </w:r>
      <w:r w:rsidRPr="00E13CEB">
        <w:rPr>
          <w:lang w:val="fr-FR"/>
        </w:rPr>
        <w:t>esclavage et du colonialisme. Par exemple, les initiatives de recherche de la vérité devraient prévoir expressément l</w:t>
      </w:r>
      <w:r>
        <w:rPr>
          <w:lang w:val="fr-FR"/>
        </w:rPr>
        <w:t>’</w:t>
      </w:r>
      <w:r w:rsidRPr="00E13CEB">
        <w:rPr>
          <w:lang w:val="fr-FR"/>
        </w:rPr>
        <w:t xml:space="preserve">examen des causes et des conséquences des violences sexuelles et fondées sur le genre et les programmes de réparation devraient tenir compte de la question du genre et examiner les différents effets des mesures proposées </w:t>
      </w:r>
      <w:r w:rsidRPr="00E267DA">
        <w:rPr>
          <w:lang w:val="fr-FR"/>
        </w:rPr>
        <w:t>sur les hommes et les femmes</w:t>
      </w:r>
      <w:r w:rsidRPr="00CD6B67">
        <w:rPr>
          <w:rStyle w:val="FootnoteReference"/>
        </w:rPr>
        <w:footnoteReference w:id="779"/>
      </w:r>
      <w:r w:rsidRPr="00E267DA">
        <w:rPr>
          <w:lang w:val="fr-FR"/>
        </w:rPr>
        <w:t>.</w:t>
      </w:r>
    </w:p>
    <w:p w14:paraId="1CF16077" w14:textId="5BE54EBA" w:rsidR="00D301C6" w:rsidRPr="00293268" w:rsidRDefault="00D301C6" w:rsidP="00FC02F0">
      <w:pPr>
        <w:pStyle w:val="SingleTxtG"/>
        <w:spacing w:after="100"/>
        <w:rPr>
          <w:lang w:val="fr-FR"/>
        </w:rPr>
      </w:pPr>
      <w:r w:rsidRPr="00293268">
        <w:rPr>
          <w:lang w:val="fr-FR"/>
        </w:rPr>
        <w:t>295.</w:t>
      </w:r>
      <w:r w:rsidRPr="00293268">
        <w:rPr>
          <w:lang w:val="fr-FR"/>
        </w:rPr>
        <w:tab/>
      </w:r>
      <w:r w:rsidRPr="005C7314">
        <w:rPr>
          <w:lang w:val="fr-FR"/>
        </w:rPr>
        <w:t xml:space="preserve">Les mesures individuelles ne suffisent pas </w:t>
      </w:r>
      <w:r w:rsidR="008148E1">
        <w:rPr>
          <w:lang w:val="fr-FR"/>
        </w:rPr>
        <w:t>− </w:t>
      </w:r>
      <w:r w:rsidRPr="005C7314">
        <w:rPr>
          <w:lang w:val="fr-FR"/>
        </w:rPr>
        <w:t xml:space="preserve">une pluralité de mesures </w:t>
      </w:r>
      <w:r>
        <w:rPr>
          <w:lang w:val="fr-FR"/>
        </w:rPr>
        <w:t xml:space="preserve">s’impose de manière à reconnaître </w:t>
      </w:r>
      <w:r w:rsidRPr="005C7314">
        <w:rPr>
          <w:lang w:val="fr-FR"/>
        </w:rPr>
        <w:t>l</w:t>
      </w:r>
      <w:r>
        <w:rPr>
          <w:lang w:val="fr-FR"/>
        </w:rPr>
        <w:t>’</w:t>
      </w:r>
      <w:r w:rsidRPr="005C7314">
        <w:rPr>
          <w:lang w:val="fr-FR"/>
        </w:rPr>
        <w:t>ampleur et la gravité des violations, les souffrances collectives qu</w:t>
      </w:r>
      <w:r>
        <w:rPr>
          <w:lang w:val="fr-FR"/>
        </w:rPr>
        <w:t>’</w:t>
      </w:r>
      <w:r w:rsidRPr="005C7314">
        <w:rPr>
          <w:lang w:val="fr-FR"/>
        </w:rPr>
        <w:t xml:space="preserve">elles ont </w:t>
      </w:r>
      <w:r>
        <w:rPr>
          <w:lang w:val="fr-FR"/>
        </w:rPr>
        <w:t>engendr</w:t>
      </w:r>
      <w:r w:rsidRPr="005C7314">
        <w:rPr>
          <w:lang w:val="fr-FR"/>
        </w:rPr>
        <w:t>ées et leur transmission de génération en génération, ainsi que la nécessité de travailler ensemble</w:t>
      </w:r>
      <w:r>
        <w:rPr>
          <w:lang w:val="fr-FR"/>
        </w:rPr>
        <w:t>,</w:t>
      </w:r>
      <w:r w:rsidRPr="005C7314">
        <w:rPr>
          <w:lang w:val="fr-FR"/>
        </w:rPr>
        <w:t xml:space="preserve"> dans la solidarité</w:t>
      </w:r>
      <w:r>
        <w:rPr>
          <w:lang w:val="fr-FR"/>
        </w:rPr>
        <w:t>,</w:t>
      </w:r>
      <w:r w:rsidRPr="005C7314">
        <w:rPr>
          <w:lang w:val="fr-FR"/>
        </w:rPr>
        <w:t xml:space="preserve"> pour r</w:t>
      </w:r>
      <w:r>
        <w:rPr>
          <w:lang w:val="fr-FR"/>
        </w:rPr>
        <w:t>établir les</w:t>
      </w:r>
      <w:r w:rsidRPr="005C7314">
        <w:rPr>
          <w:lang w:val="fr-FR"/>
        </w:rPr>
        <w:t xml:space="preserve"> personnes d</w:t>
      </w:r>
      <w:r>
        <w:rPr>
          <w:lang w:val="fr-FR"/>
        </w:rPr>
        <w:t>’</w:t>
      </w:r>
      <w:r w:rsidRPr="005C7314">
        <w:rPr>
          <w:lang w:val="fr-FR"/>
        </w:rPr>
        <w:t>ascendance africaine</w:t>
      </w:r>
      <w:r>
        <w:rPr>
          <w:lang w:val="fr-FR"/>
        </w:rPr>
        <w:t xml:space="preserve"> dans leur dignité</w:t>
      </w:r>
      <w:r w:rsidRPr="00293268">
        <w:rPr>
          <w:lang w:val="fr-FR"/>
        </w:rPr>
        <w:t>.</w:t>
      </w:r>
    </w:p>
    <w:p w14:paraId="730E8447" w14:textId="1CE341E2" w:rsidR="00D301C6" w:rsidRPr="00293268" w:rsidRDefault="00D301C6" w:rsidP="00D301C6">
      <w:pPr>
        <w:pStyle w:val="H23G"/>
        <w:rPr>
          <w:lang w:val="fr-FR"/>
        </w:rPr>
      </w:pPr>
      <w:bookmarkStart w:id="1257" w:name="_Toc74923032"/>
      <w:bookmarkStart w:id="1258" w:name="_Toc72335561"/>
      <w:bookmarkStart w:id="1259" w:name="_Toc74143654"/>
      <w:bookmarkStart w:id="1260" w:name="_Toc74170929"/>
      <w:r w:rsidRPr="00293268">
        <w:rPr>
          <w:lang w:val="fr-FR"/>
        </w:rPr>
        <w:tab/>
        <w:t>1.</w:t>
      </w:r>
      <w:r w:rsidRPr="00293268">
        <w:rPr>
          <w:lang w:val="fr-FR"/>
        </w:rPr>
        <w:tab/>
      </w:r>
      <w:bookmarkEnd w:id="1257"/>
      <w:bookmarkEnd w:id="1258"/>
      <w:bookmarkEnd w:id="1259"/>
      <w:bookmarkEnd w:id="1260"/>
      <w:r w:rsidRPr="00ED5332">
        <w:rPr>
          <w:lang w:val="fr-FR"/>
        </w:rPr>
        <w:t xml:space="preserve">Reconnaître que la vérité, la justice et la réparation des préjudices causés </w:t>
      </w:r>
      <w:r w:rsidR="00BD2EBF">
        <w:rPr>
          <w:lang w:val="fr-FR"/>
        </w:rPr>
        <w:br/>
      </w:r>
      <w:r w:rsidRPr="00ED5332">
        <w:rPr>
          <w:lang w:val="fr-FR"/>
        </w:rPr>
        <w:t>par l</w:t>
      </w:r>
      <w:r>
        <w:rPr>
          <w:lang w:val="fr-FR"/>
        </w:rPr>
        <w:t>’</w:t>
      </w:r>
      <w:r w:rsidRPr="00ED5332">
        <w:rPr>
          <w:lang w:val="fr-FR"/>
        </w:rPr>
        <w:t xml:space="preserve">esclavage, la traite transatlantique des Africains réduits en esclavage </w:t>
      </w:r>
      <w:r w:rsidR="00BD2EBF">
        <w:rPr>
          <w:lang w:val="fr-FR"/>
        </w:rPr>
        <w:br/>
      </w:r>
      <w:r w:rsidRPr="00ED5332">
        <w:rPr>
          <w:lang w:val="fr-FR"/>
        </w:rPr>
        <w:t xml:space="preserve">et le colonialisme, ainsi que leurs séquelles, contribuent à la non-répétition </w:t>
      </w:r>
      <w:r w:rsidR="00BD2EBF">
        <w:rPr>
          <w:lang w:val="fr-FR"/>
        </w:rPr>
        <w:br/>
      </w:r>
      <w:r w:rsidRPr="00ED5332">
        <w:rPr>
          <w:lang w:val="fr-FR"/>
        </w:rPr>
        <w:t>et la réconciliation, et bénéficient à l</w:t>
      </w:r>
      <w:r>
        <w:rPr>
          <w:lang w:val="fr-FR"/>
        </w:rPr>
        <w:t>’</w:t>
      </w:r>
      <w:r w:rsidRPr="00ED5332">
        <w:rPr>
          <w:lang w:val="fr-FR"/>
        </w:rPr>
        <w:t>ensemble de la société</w:t>
      </w:r>
    </w:p>
    <w:p w14:paraId="0EF589D6" w14:textId="5847B825" w:rsidR="00D301C6" w:rsidRPr="00293268" w:rsidRDefault="00D301C6" w:rsidP="00D301C6">
      <w:pPr>
        <w:pStyle w:val="SingleTxtG"/>
        <w:rPr>
          <w:lang w:val="fr-FR"/>
        </w:rPr>
      </w:pPr>
      <w:r w:rsidRPr="00293268">
        <w:rPr>
          <w:lang w:val="fr-FR"/>
        </w:rPr>
        <w:t>296.</w:t>
      </w:r>
      <w:r w:rsidRPr="00293268">
        <w:rPr>
          <w:lang w:val="fr-FR"/>
        </w:rPr>
        <w:tab/>
      </w:r>
      <w:r w:rsidRPr="001372CC">
        <w:rPr>
          <w:lang w:val="fr-FR"/>
        </w:rPr>
        <w:t xml:space="preserve">La vérité, la justice et les réparations </w:t>
      </w:r>
      <w:r w:rsidR="002C00BE">
        <w:rPr>
          <w:lang w:val="fr-FR"/>
        </w:rPr>
        <w:t>−</w:t>
      </w:r>
      <w:r w:rsidRPr="001372CC">
        <w:rPr>
          <w:lang w:val="fr-FR"/>
        </w:rPr>
        <w:t xml:space="preserve"> en particulier la </w:t>
      </w:r>
      <w:r>
        <w:rPr>
          <w:lang w:val="fr-FR"/>
        </w:rPr>
        <w:t>mémorialisation</w:t>
      </w:r>
      <w:r w:rsidRPr="001372CC">
        <w:rPr>
          <w:lang w:val="fr-FR"/>
        </w:rPr>
        <w:t>, l</w:t>
      </w:r>
      <w:r>
        <w:rPr>
          <w:lang w:val="fr-FR"/>
        </w:rPr>
        <w:t>’</w:t>
      </w:r>
      <w:r w:rsidRPr="001372CC">
        <w:rPr>
          <w:lang w:val="fr-FR"/>
        </w:rPr>
        <w:t xml:space="preserve">éducation et la sensibilisation </w:t>
      </w:r>
      <w:r w:rsidR="002C00BE">
        <w:rPr>
          <w:lang w:val="fr-FR"/>
        </w:rPr>
        <w:t>−</w:t>
      </w:r>
      <w:r w:rsidRPr="001372CC">
        <w:rPr>
          <w:lang w:val="fr-FR"/>
        </w:rPr>
        <w:t xml:space="preserve"> jouent un rôle de catalyseur pour étayer les demandes de changement et pour </w:t>
      </w:r>
      <w:r>
        <w:rPr>
          <w:lang w:val="fr-FR"/>
        </w:rPr>
        <w:t>réfuter</w:t>
      </w:r>
      <w:r w:rsidRPr="001372CC">
        <w:rPr>
          <w:lang w:val="fr-FR"/>
        </w:rPr>
        <w:t xml:space="preserve"> les faux récits qui ont permis aux politiques et </w:t>
      </w:r>
      <w:r w:rsidRPr="00953E50">
        <w:rPr>
          <w:lang w:val="fr-FR"/>
        </w:rPr>
        <w:t>systèmes discriminatoires sur le plan racial de se succéder et de perdurer. Il est essentiel d’établir la vérité sur les causes et les conséquences du racisme systémique et sur ses séquelles histor</w:t>
      </w:r>
      <w:r w:rsidRPr="001372CC">
        <w:rPr>
          <w:lang w:val="fr-FR"/>
        </w:rPr>
        <w:t xml:space="preserve">iques pour amener les décideurs et les sociétés à appuyer les processus de justice réparatrice et transformer le </w:t>
      </w:r>
      <w:r>
        <w:rPr>
          <w:lang w:val="fr-FR"/>
        </w:rPr>
        <w:t>narratif autour de ces questions</w:t>
      </w:r>
      <w:r w:rsidRPr="001372CC">
        <w:rPr>
          <w:lang w:val="fr-FR"/>
        </w:rPr>
        <w:t xml:space="preserve">. </w:t>
      </w:r>
      <w:r>
        <w:rPr>
          <w:lang w:val="fr-FR"/>
        </w:rPr>
        <w:t>Ce sont là des aspects</w:t>
      </w:r>
      <w:r w:rsidRPr="001372CC">
        <w:rPr>
          <w:lang w:val="fr-FR"/>
        </w:rPr>
        <w:t xml:space="preserve"> essentiels à la réconciliation et à la création de sociétés inclusives fondées sur la justice, l</w:t>
      </w:r>
      <w:r>
        <w:rPr>
          <w:lang w:val="fr-FR"/>
        </w:rPr>
        <w:t>’</w:t>
      </w:r>
      <w:r w:rsidRPr="001372CC">
        <w:rPr>
          <w:lang w:val="fr-FR"/>
        </w:rPr>
        <w:t>égalité et la solidarité</w:t>
      </w:r>
      <w:r w:rsidRPr="00CD6B67">
        <w:rPr>
          <w:rStyle w:val="FootnoteReference"/>
        </w:rPr>
        <w:footnoteReference w:id="780"/>
      </w:r>
      <w:r>
        <w:rPr>
          <w:lang w:val="fr-FR"/>
        </w:rPr>
        <w:t xml:space="preserve">, qui ont en outre le pouvoir de </w:t>
      </w:r>
      <w:r w:rsidRPr="00A714D2">
        <w:rPr>
          <w:lang w:val="fr-FR"/>
        </w:rPr>
        <w:t>bénéficier à l</w:t>
      </w:r>
      <w:r>
        <w:rPr>
          <w:lang w:val="fr-FR"/>
        </w:rPr>
        <w:t>’</w:t>
      </w:r>
      <w:r w:rsidRPr="00A714D2">
        <w:rPr>
          <w:lang w:val="fr-FR"/>
        </w:rPr>
        <w:t>ensemble de la société</w:t>
      </w:r>
      <w:r w:rsidRPr="00293268">
        <w:rPr>
          <w:lang w:val="fr-FR"/>
        </w:rPr>
        <w:t>.</w:t>
      </w:r>
    </w:p>
    <w:p w14:paraId="7CB59BE6" w14:textId="77777777" w:rsidR="00D301C6" w:rsidRPr="00293268" w:rsidRDefault="00D301C6" w:rsidP="00D301C6">
      <w:pPr>
        <w:pStyle w:val="SingleTxtG"/>
        <w:rPr>
          <w:lang w:val="fr-FR"/>
        </w:rPr>
      </w:pPr>
      <w:r w:rsidRPr="00293268">
        <w:rPr>
          <w:lang w:val="fr-FR"/>
        </w:rPr>
        <w:t>297.</w:t>
      </w:r>
      <w:r w:rsidRPr="00293268">
        <w:rPr>
          <w:lang w:val="fr-FR"/>
        </w:rPr>
        <w:tab/>
      </w:r>
      <w:r w:rsidRPr="00867E54">
        <w:rPr>
          <w:lang w:val="fr-FR"/>
        </w:rPr>
        <w:t xml:space="preserve">Les efforts déployés pour </w:t>
      </w:r>
      <w:r>
        <w:rPr>
          <w:lang w:val="fr-FR"/>
        </w:rPr>
        <w:t>confronter</w:t>
      </w:r>
      <w:r w:rsidRPr="00867E54">
        <w:rPr>
          <w:lang w:val="fr-FR"/>
        </w:rPr>
        <w:t xml:space="preserve"> le passé et offrir des garanties de non-répétition et de réconciliation pour l</w:t>
      </w:r>
      <w:r>
        <w:rPr>
          <w:lang w:val="fr-FR"/>
        </w:rPr>
        <w:t>’</w:t>
      </w:r>
      <w:r w:rsidRPr="00867E54">
        <w:rPr>
          <w:lang w:val="fr-FR"/>
        </w:rPr>
        <w:t>avenir devraient viser à reconnaître la dignité et les droits intrinsèques des personnes d</w:t>
      </w:r>
      <w:r>
        <w:rPr>
          <w:lang w:val="fr-FR"/>
        </w:rPr>
        <w:t>’</w:t>
      </w:r>
      <w:r w:rsidRPr="00867E54">
        <w:rPr>
          <w:lang w:val="fr-FR"/>
        </w:rPr>
        <w:t>ascendance africaine. Les États qui n</w:t>
      </w:r>
      <w:r>
        <w:rPr>
          <w:lang w:val="fr-FR"/>
        </w:rPr>
        <w:t>’</w:t>
      </w:r>
      <w:r w:rsidRPr="00867E54">
        <w:rPr>
          <w:lang w:val="fr-FR"/>
        </w:rPr>
        <w:t xml:space="preserve">ont pas encore </w:t>
      </w:r>
      <w:r>
        <w:rPr>
          <w:lang w:val="fr-FR"/>
        </w:rPr>
        <w:t>pris l’initiative de</w:t>
      </w:r>
      <w:r w:rsidRPr="00867E54">
        <w:rPr>
          <w:lang w:val="fr-FR"/>
        </w:rPr>
        <w:t xml:space="preserve"> rétablir les victimes dans leur dignité et leurs droits devraient trouver les moyens appropriés de le faire</w:t>
      </w:r>
      <w:r w:rsidRPr="00CD6B67">
        <w:rPr>
          <w:rStyle w:val="FootnoteReference"/>
        </w:rPr>
        <w:footnoteReference w:id="781"/>
      </w:r>
      <w:r>
        <w:rPr>
          <w:lang w:val="fr-FR"/>
        </w:rPr>
        <w:t>,</w:t>
      </w:r>
      <w:r w:rsidRPr="00293268">
        <w:rPr>
          <w:lang w:val="fr-FR"/>
        </w:rPr>
        <w:t xml:space="preserve"> </w:t>
      </w:r>
      <w:r w:rsidRPr="008A4704">
        <w:rPr>
          <w:lang w:val="fr-FR"/>
        </w:rPr>
        <w:t>et s</w:t>
      </w:r>
      <w:r>
        <w:rPr>
          <w:lang w:val="fr-FR"/>
        </w:rPr>
        <w:t>’</w:t>
      </w:r>
      <w:r w:rsidRPr="008A4704">
        <w:rPr>
          <w:lang w:val="fr-FR"/>
        </w:rPr>
        <w:t>efforcer de mettre fin aux conséquences durables, actuelles et futures, des violations passées</w:t>
      </w:r>
      <w:r w:rsidRPr="00293268">
        <w:rPr>
          <w:lang w:val="fr-FR"/>
        </w:rPr>
        <w:t>.</w:t>
      </w:r>
    </w:p>
    <w:p w14:paraId="5E2AB97E" w14:textId="77777777" w:rsidR="00D301C6" w:rsidRPr="00293268" w:rsidRDefault="00D301C6" w:rsidP="00D301C6">
      <w:pPr>
        <w:pStyle w:val="SingleTxtG"/>
        <w:rPr>
          <w:lang w:val="fr-FR"/>
        </w:rPr>
      </w:pPr>
      <w:r w:rsidRPr="00293268">
        <w:rPr>
          <w:lang w:val="fr-FR"/>
        </w:rPr>
        <w:t>298.</w:t>
      </w:r>
      <w:r w:rsidRPr="00293268">
        <w:rPr>
          <w:lang w:val="fr-FR"/>
        </w:rPr>
        <w:tab/>
      </w:r>
      <w:r w:rsidRPr="00D71ECE">
        <w:rPr>
          <w:lang w:val="fr-FR"/>
        </w:rPr>
        <w:t>Les États devraient reconnaître les effets négatifs des fautes commises par le passé contre les personnes d</w:t>
      </w:r>
      <w:r>
        <w:rPr>
          <w:lang w:val="fr-FR"/>
        </w:rPr>
        <w:t>’</w:t>
      </w:r>
      <w:r w:rsidRPr="00D71ECE">
        <w:rPr>
          <w:lang w:val="fr-FR"/>
        </w:rPr>
        <w:t xml:space="preserve">ascendance africaine, dont les séquelles se font sentir </w:t>
      </w:r>
      <w:r w:rsidRPr="003A4B35">
        <w:rPr>
          <w:lang w:val="fr-FR"/>
        </w:rPr>
        <w:t>encore aujourd</w:t>
      </w:r>
      <w:r>
        <w:rPr>
          <w:lang w:val="fr-FR"/>
        </w:rPr>
        <w:t>’</w:t>
      </w:r>
      <w:r w:rsidRPr="003A4B35">
        <w:rPr>
          <w:lang w:val="fr-FR"/>
        </w:rPr>
        <w:t xml:space="preserve">hui </w:t>
      </w:r>
      <w:r w:rsidRPr="00D71ECE">
        <w:rPr>
          <w:lang w:val="fr-FR"/>
        </w:rPr>
        <w:t>par</w:t>
      </w:r>
      <w:r>
        <w:rPr>
          <w:lang w:val="fr-FR"/>
        </w:rPr>
        <w:t>mi</w:t>
      </w:r>
      <w:r w:rsidRPr="00D71ECE">
        <w:rPr>
          <w:lang w:val="fr-FR"/>
        </w:rPr>
        <w:t xml:space="preserve"> les personnes d</w:t>
      </w:r>
      <w:r>
        <w:rPr>
          <w:lang w:val="fr-FR"/>
        </w:rPr>
        <w:t>’</w:t>
      </w:r>
      <w:r w:rsidRPr="00D71ECE">
        <w:rPr>
          <w:lang w:val="fr-FR"/>
        </w:rPr>
        <w:t>ascendance africaine</w:t>
      </w:r>
      <w:r w:rsidRPr="00CD6B67">
        <w:rPr>
          <w:rStyle w:val="FootnoteReference"/>
        </w:rPr>
        <w:footnoteReference w:id="782"/>
      </w:r>
      <w:r>
        <w:rPr>
          <w:lang w:val="fr-FR"/>
        </w:rPr>
        <w:t>.</w:t>
      </w:r>
      <w:r w:rsidRPr="00293268">
        <w:rPr>
          <w:lang w:val="fr-FR"/>
        </w:rPr>
        <w:t xml:space="preserve"> </w:t>
      </w:r>
      <w:r w:rsidRPr="001035F5">
        <w:rPr>
          <w:lang w:val="fr-FR"/>
        </w:rPr>
        <w:t>Ils sont également encouragés à envisager des initiatives visant à reconnaître l</w:t>
      </w:r>
      <w:r>
        <w:rPr>
          <w:lang w:val="fr-FR"/>
        </w:rPr>
        <w:t>’</w:t>
      </w:r>
      <w:r w:rsidRPr="001035F5">
        <w:rPr>
          <w:lang w:val="fr-FR"/>
        </w:rPr>
        <w:t>esclavage comme un crime contre l</w:t>
      </w:r>
      <w:r>
        <w:rPr>
          <w:lang w:val="fr-FR"/>
        </w:rPr>
        <w:t>’</w:t>
      </w:r>
      <w:r w:rsidRPr="001035F5">
        <w:rPr>
          <w:lang w:val="fr-FR"/>
        </w:rPr>
        <w:t>humanité</w:t>
      </w:r>
      <w:r w:rsidRPr="00293268">
        <w:rPr>
          <w:lang w:val="fr-FR"/>
        </w:rPr>
        <w:t>.</w:t>
      </w:r>
    </w:p>
    <w:p w14:paraId="281B0931" w14:textId="250F4C5F" w:rsidR="00D301C6" w:rsidRPr="00293268" w:rsidRDefault="00D301C6" w:rsidP="00D301C6">
      <w:pPr>
        <w:pStyle w:val="H23G"/>
        <w:rPr>
          <w:lang w:val="fr-FR"/>
        </w:rPr>
      </w:pPr>
      <w:bookmarkStart w:id="1261" w:name="_Toc74923033"/>
      <w:bookmarkStart w:id="1262" w:name="_Toc72335562"/>
      <w:bookmarkStart w:id="1263" w:name="_Toc74143655"/>
      <w:bookmarkStart w:id="1264" w:name="_Toc74170930"/>
      <w:r w:rsidRPr="00293268">
        <w:rPr>
          <w:lang w:val="fr-FR"/>
        </w:rPr>
        <w:tab/>
        <w:t>2.</w:t>
      </w:r>
      <w:r w:rsidRPr="00293268">
        <w:rPr>
          <w:lang w:val="fr-FR"/>
        </w:rPr>
        <w:tab/>
      </w:r>
      <w:bookmarkEnd w:id="1261"/>
      <w:bookmarkEnd w:id="1262"/>
      <w:bookmarkEnd w:id="1263"/>
      <w:bookmarkEnd w:id="1264"/>
      <w:r w:rsidRPr="00F25CA7">
        <w:rPr>
          <w:lang w:val="fr-FR"/>
        </w:rPr>
        <w:t xml:space="preserve">Créer, renforcer et financer pleinement les processus nationaux et autres </w:t>
      </w:r>
      <w:r w:rsidR="007601CD">
        <w:rPr>
          <w:lang w:val="fr-FR"/>
        </w:rPr>
        <w:br/>
      </w:r>
      <w:r w:rsidRPr="00F25CA7">
        <w:rPr>
          <w:lang w:val="fr-FR"/>
        </w:rPr>
        <w:t>visant à construire un récit commun de l</w:t>
      </w:r>
      <w:r>
        <w:rPr>
          <w:lang w:val="fr-FR"/>
        </w:rPr>
        <w:t>’</w:t>
      </w:r>
      <w:r w:rsidRPr="00F25CA7">
        <w:rPr>
          <w:lang w:val="fr-FR"/>
        </w:rPr>
        <w:t xml:space="preserve">esclavage, de la traite transatlantique </w:t>
      </w:r>
      <w:r w:rsidR="007601CD">
        <w:rPr>
          <w:lang w:val="fr-FR"/>
        </w:rPr>
        <w:br/>
      </w:r>
      <w:r w:rsidRPr="00F25CA7">
        <w:rPr>
          <w:lang w:val="fr-FR"/>
        </w:rPr>
        <w:t xml:space="preserve">des Africains réduits en esclavage et du colonialisme et leurs conséquences </w:t>
      </w:r>
      <w:r w:rsidR="007601CD">
        <w:rPr>
          <w:lang w:val="fr-FR"/>
        </w:rPr>
        <w:br/>
      </w:r>
      <w:r w:rsidRPr="00F25CA7">
        <w:rPr>
          <w:lang w:val="fr-FR"/>
        </w:rPr>
        <w:t xml:space="preserve">durables </w:t>
      </w:r>
      <w:r>
        <w:rPr>
          <w:lang w:val="fr-FR"/>
        </w:rPr>
        <w:t>s</w:t>
      </w:r>
      <w:r w:rsidRPr="00F25CA7">
        <w:rPr>
          <w:lang w:val="fr-FR"/>
        </w:rPr>
        <w:t>ur les Africains et les personnes d</w:t>
      </w:r>
      <w:r>
        <w:rPr>
          <w:lang w:val="fr-FR"/>
        </w:rPr>
        <w:t>’</w:t>
      </w:r>
      <w:r w:rsidRPr="00F25CA7">
        <w:rPr>
          <w:lang w:val="fr-FR"/>
        </w:rPr>
        <w:t>ascendance africaine</w:t>
      </w:r>
    </w:p>
    <w:p w14:paraId="303C5E4A" w14:textId="77777777" w:rsidR="00D301C6" w:rsidRPr="00293268" w:rsidRDefault="00D301C6" w:rsidP="00D301C6">
      <w:pPr>
        <w:pStyle w:val="SingleTxtG"/>
        <w:rPr>
          <w:lang w:val="fr-FR"/>
        </w:rPr>
      </w:pPr>
      <w:r w:rsidRPr="00293268">
        <w:rPr>
          <w:lang w:val="fr-FR"/>
        </w:rPr>
        <w:t>299.</w:t>
      </w:r>
      <w:r w:rsidRPr="00293268">
        <w:rPr>
          <w:lang w:val="fr-FR"/>
        </w:rPr>
        <w:tab/>
      </w:r>
      <w:r w:rsidRPr="00D55774">
        <w:rPr>
          <w:lang w:val="fr-FR"/>
        </w:rPr>
        <w:t>L</w:t>
      </w:r>
      <w:r>
        <w:rPr>
          <w:lang w:val="fr-FR"/>
        </w:rPr>
        <w:t>a méconnaissance des</w:t>
      </w:r>
      <w:r w:rsidRPr="00D55774">
        <w:rPr>
          <w:lang w:val="fr-FR"/>
        </w:rPr>
        <w:t xml:space="preserve"> séquelles persistantes de l</w:t>
      </w:r>
      <w:r>
        <w:rPr>
          <w:lang w:val="fr-FR"/>
        </w:rPr>
        <w:t>’</w:t>
      </w:r>
      <w:r w:rsidRPr="00D55774">
        <w:rPr>
          <w:lang w:val="fr-FR"/>
        </w:rPr>
        <w:t>esclavage, du commerce transatlantique d</w:t>
      </w:r>
      <w:r>
        <w:rPr>
          <w:lang w:val="fr-FR"/>
        </w:rPr>
        <w:t>’</w:t>
      </w:r>
      <w:r w:rsidRPr="00D55774">
        <w:rPr>
          <w:lang w:val="fr-FR"/>
        </w:rPr>
        <w:t xml:space="preserve">Africains réduits en esclavage, du colonialisme et des </w:t>
      </w:r>
      <w:r w:rsidRPr="00F66BA1">
        <w:rPr>
          <w:lang w:val="fr-FR"/>
        </w:rPr>
        <w:t>politiques et systèmes discriminatoires sur le plan racial qui se sont succédé au fil du temps</w:t>
      </w:r>
      <w:r>
        <w:rPr>
          <w:lang w:val="fr-FR"/>
        </w:rPr>
        <w:t xml:space="preserve">, tant </w:t>
      </w:r>
      <w:r w:rsidRPr="00813782">
        <w:rPr>
          <w:lang w:val="fr-FR"/>
        </w:rPr>
        <w:t xml:space="preserve">de la part </w:t>
      </w:r>
      <w:r w:rsidRPr="00F24D66">
        <w:rPr>
          <w:lang w:val="fr-FR"/>
        </w:rPr>
        <w:t xml:space="preserve">du public </w:t>
      </w:r>
      <w:r>
        <w:rPr>
          <w:lang w:val="fr-FR"/>
        </w:rPr>
        <w:t>que</w:t>
      </w:r>
      <w:r w:rsidRPr="00F24D66">
        <w:rPr>
          <w:lang w:val="fr-FR"/>
        </w:rPr>
        <w:t xml:space="preserve"> des dirigeants politiques</w:t>
      </w:r>
      <w:r>
        <w:rPr>
          <w:lang w:val="fr-FR"/>
        </w:rPr>
        <w:t>, de même que le manque de sensibilisation à ces questions,</w:t>
      </w:r>
      <w:r w:rsidRPr="00D55774">
        <w:rPr>
          <w:lang w:val="fr-FR"/>
        </w:rPr>
        <w:t xml:space="preserve"> constituent un sérieux obstacle à une justice réparatrice</w:t>
      </w:r>
      <w:r w:rsidRPr="00CD6B67">
        <w:rPr>
          <w:rStyle w:val="FootnoteReference"/>
        </w:rPr>
        <w:footnoteReference w:id="783"/>
      </w:r>
      <w:r>
        <w:rPr>
          <w:lang w:val="fr-FR"/>
        </w:rPr>
        <w:t>.</w:t>
      </w:r>
      <w:r w:rsidRPr="00293268">
        <w:rPr>
          <w:lang w:val="fr-FR"/>
        </w:rPr>
        <w:t xml:space="preserve"> </w:t>
      </w:r>
      <w:r>
        <w:rPr>
          <w:lang w:val="fr-FR"/>
        </w:rPr>
        <w:t xml:space="preserve">Il est essentiel </w:t>
      </w:r>
      <w:r w:rsidRPr="00605DBB">
        <w:rPr>
          <w:lang w:val="fr-FR"/>
        </w:rPr>
        <w:t>de se souvenir des crimes et des injustices du passé, quels que soient le lieu et l</w:t>
      </w:r>
      <w:r>
        <w:rPr>
          <w:lang w:val="fr-FR"/>
        </w:rPr>
        <w:t>’</w:t>
      </w:r>
      <w:r w:rsidRPr="00605DBB">
        <w:rPr>
          <w:lang w:val="fr-FR"/>
        </w:rPr>
        <w:t>époque où ils se sont produits, de condamner sans équivoque les tragédies et de dire la vérité historique</w:t>
      </w:r>
      <w:r w:rsidRPr="00CD6B67">
        <w:rPr>
          <w:rStyle w:val="FootnoteReference"/>
        </w:rPr>
        <w:footnoteReference w:id="784"/>
      </w:r>
      <w:r>
        <w:rPr>
          <w:lang w:val="fr-FR"/>
        </w:rPr>
        <w:t xml:space="preserve">. Le droit à la vérité </w:t>
      </w:r>
      <w:r w:rsidRPr="007E1C15">
        <w:rPr>
          <w:lang w:val="fr-FR"/>
        </w:rPr>
        <w:t>impose aux États d</w:t>
      </w:r>
      <w:r>
        <w:rPr>
          <w:lang w:val="fr-FR"/>
        </w:rPr>
        <w:t>’</w:t>
      </w:r>
      <w:r w:rsidRPr="007E1C15">
        <w:rPr>
          <w:lang w:val="fr-FR"/>
        </w:rPr>
        <w:t xml:space="preserve">instituer des dispositifs </w:t>
      </w:r>
      <w:r w:rsidRPr="00D55802">
        <w:rPr>
          <w:lang w:val="fr-FR"/>
        </w:rPr>
        <w:t>devant aboutir à la manifestation de la vérité</w:t>
      </w:r>
      <w:r w:rsidRPr="007E1C15">
        <w:rPr>
          <w:lang w:val="fr-FR"/>
        </w:rPr>
        <w:t xml:space="preserve"> sur les événements passés</w:t>
      </w:r>
      <w:r w:rsidRPr="00CD6B67">
        <w:rPr>
          <w:rStyle w:val="FootnoteReference"/>
        </w:rPr>
        <w:footnoteReference w:id="785"/>
      </w:r>
      <w:r>
        <w:rPr>
          <w:lang w:val="fr-FR"/>
        </w:rPr>
        <w:t>.</w:t>
      </w:r>
    </w:p>
    <w:p w14:paraId="16FA0D49" w14:textId="6484DD0B" w:rsidR="00D301C6" w:rsidRPr="00293268" w:rsidRDefault="00D301C6" w:rsidP="00F973F1">
      <w:pPr>
        <w:pStyle w:val="SingleTxtG"/>
        <w:spacing w:after="100"/>
        <w:rPr>
          <w:lang w:val="fr-FR"/>
        </w:rPr>
      </w:pPr>
      <w:r w:rsidRPr="00293268">
        <w:rPr>
          <w:lang w:val="fr-FR"/>
        </w:rPr>
        <w:t>300.</w:t>
      </w:r>
      <w:r w:rsidRPr="00293268">
        <w:rPr>
          <w:lang w:val="fr-FR"/>
        </w:rPr>
        <w:tab/>
      </w:r>
      <w:r w:rsidRPr="00FD678A">
        <w:rPr>
          <w:lang w:val="fr-FR"/>
        </w:rPr>
        <w:t>Les initiatives existantes laissent entrevoir une volonté croissante et une tendance nouvelle à reconnaître la nécessité de réparer les effets persistants de l</w:t>
      </w:r>
      <w:r>
        <w:rPr>
          <w:lang w:val="fr-FR"/>
        </w:rPr>
        <w:t>’</w:t>
      </w:r>
      <w:r w:rsidRPr="00FD678A">
        <w:rPr>
          <w:lang w:val="fr-FR"/>
        </w:rPr>
        <w:t xml:space="preserve">esclavage, de la traite transatlantique des Africains réduits en esclavage et du colonialisme. </w:t>
      </w:r>
      <w:r w:rsidRPr="002C65C1">
        <w:rPr>
          <w:lang w:val="fr-FR"/>
        </w:rPr>
        <w:t>Dans le prolongement de ces initiatives</w:t>
      </w:r>
      <w:r w:rsidRPr="00FD678A">
        <w:rPr>
          <w:lang w:val="fr-FR"/>
        </w:rPr>
        <w:t xml:space="preserve">, les États devraient </w:t>
      </w:r>
      <w:r>
        <w:rPr>
          <w:lang w:val="fr-FR"/>
        </w:rPr>
        <w:t>engager</w:t>
      </w:r>
      <w:r w:rsidRPr="00FD678A">
        <w:rPr>
          <w:lang w:val="fr-FR"/>
        </w:rPr>
        <w:t xml:space="preserve"> des processus complets visant notamment à établir la vérité et à définir les préjudices subis, ainsi qu</w:t>
      </w:r>
      <w:r>
        <w:rPr>
          <w:lang w:val="fr-FR"/>
        </w:rPr>
        <w:t>’</w:t>
      </w:r>
      <w:r w:rsidRPr="00FD678A">
        <w:rPr>
          <w:lang w:val="fr-FR"/>
        </w:rPr>
        <w:t>à contribuer à la non-répétition et à la réconciliation</w:t>
      </w:r>
      <w:r w:rsidRPr="00CD6B67">
        <w:rPr>
          <w:rStyle w:val="FootnoteReference"/>
        </w:rPr>
        <w:footnoteReference w:id="786"/>
      </w:r>
      <w:r>
        <w:rPr>
          <w:lang w:val="fr-FR"/>
        </w:rPr>
        <w:t>.</w:t>
      </w:r>
      <w:r w:rsidRPr="00293268">
        <w:rPr>
          <w:lang w:val="fr-FR"/>
        </w:rPr>
        <w:t xml:space="preserve"> </w:t>
      </w:r>
      <w:r w:rsidRPr="00C33FB9">
        <w:rPr>
          <w:lang w:val="fr-FR"/>
        </w:rPr>
        <w:t>Les recommandations formulées par les mécanismes des droits de l</w:t>
      </w:r>
      <w:r>
        <w:rPr>
          <w:lang w:val="fr-FR"/>
        </w:rPr>
        <w:t>’</w:t>
      </w:r>
      <w:r w:rsidRPr="00C33FB9">
        <w:rPr>
          <w:lang w:val="fr-FR"/>
        </w:rPr>
        <w:t>homme de l</w:t>
      </w:r>
      <w:r>
        <w:rPr>
          <w:lang w:val="fr-FR"/>
        </w:rPr>
        <w:t>’</w:t>
      </w:r>
      <w:r w:rsidRPr="00C33FB9">
        <w:rPr>
          <w:lang w:val="fr-FR"/>
        </w:rPr>
        <w:t>ONU, notamment le Groupe de travail d</w:t>
      </w:r>
      <w:r>
        <w:rPr>
          <w:lang w:val="fr-FR"/>
        </w:rPr>
        <w:t>’</w:t>
      </w:r>
      <w:r w:rsidRPr="00C33FB9">
        <w:rPr>
          <w:lang w:val="fr-FR"/>
        </w:rPr>
        <w:t>experts sur les personnes d</w:t>
      </w:r>
      <w:r>
        <w:rPr>
          <w:lang w:val="fr-FR"/>
        </w:rPr>
        <w:t>’</w:t>
      </w:r>
      <w:r w:rsidRPr="00C33FB9">
        <w:rPr>
          <w:lang w:val="fr-FR"/>
        </w:rPr>
        <w:t xml:space="preserve">ascendance africaine à la suite de ses visites dans </w:t>
      </w:r>
      <w:r>
        <w:rPr>
          <w:lang w:val="fr-FR"/>
        </w:rPr>
        <w:t>différents</w:t>
      </w:r>
      <w:r w:rsidRPr="00C33FB9">
        <w:rPr>
          <w:lang w:val="fr-FR"/>
        </w:rPr>
        <w:t xml:space="preserve"> pays, devraient être prises en considération</w:t>
      </w:r>
      <w:r>
        <w:rPr>
          <w:lang w:val="fr-FR"/>
        </w:rPr>
        <w:t>.</w:t>
      </w:r>
      <w:r w:rsidRPr="00293268">
        <w:rPr>
          <w:lang w:val="fr-FR"/>
        </w:rPr>
        <w:t xml:space="preserve"> </w:t>
      </w:r>
      <w:r>
        <w:rPr>
          <w:lang w:val="fr-FR"/>
        </w:rPr>
        <w:t>Ces recommandations vont de l’ouverture d’</w:t>
      </w:r>
      <w:r w:rsidRPr="00306109">
        <w:rPr>
          <w:lang w:val="fr-FR"/>
        </w:rPr>
        <w:t xml:space="preserve">un dialogue public sur ces questions, </w:t>
      </w:r>
      <w:r>
        <w:rPr>
          <w:lang w:val="fr-FR"/>
        </w:rPr>
        <w:t>à</w:t>
      </w:r>
      <w:r w:rsidRPr="00306109">
        <w:rPr>
          <w:lang w:val="fr-FR"/>
        </w:rPr>
        <w:t xml:space="preserve"> la réforme du matériel éducatif</w:t>
      </w:r>
      <w:r w:rsidRPr="00CD6B67">
        <w:rPr>
          <w:rStyle w:val="FootnoteReference"/>
        </w:rPr>
        <w:footnoteReference w:id="787"/>
      </w:r>
      <w:r w:rsidRPr="00293268">
        <w:rPr>
          <w:lang w:val="fr-FR"/>
        </w:rPr>
        <w:t xml:space="preserve"> </w:t>
      </w:r>
      <w:r>
        <w:rPr>
          <w:lang w:val="fr-FR"/>
        </w:rPr>
        <w:t>en passant par</w:t>
      </w:r>
      <w:r w:rsidRPr="005314C2">
        <w:rPr>
          <w:lang w:val="fr-FR"/>
        </w:rPr>
        <w:t xml:space="preserve"> l</w:t>
      </w:r>
      <w:r>
        <w:rPr>
          <w:lang w:val="fr-FR"/>
        </w:rPr>
        <w:t>’</w:t>
      </w:r>
      <w:r w:rsidRPr="005314C2">
        <w:rPr>
          <w:lang w:val="fr-FR"/>
        </w:rPr>
        <w:t>érection de monuments, de mémoriaux et de plaques commémoratives</w:t>
      </w:r>
      <w:r w:rsidRPr="00CD6B67">
        <w:rPr>
          <w:rStyle w:val="FootnoteReference"/>
        </w:rPr>
        <w:footnoteReference w:id="788"/>
      </w:r>
      <w:r>
        <w:rPr>
          <w:lang w:val="fr-FR"/>
        </w:rPr>
        <w:t>, la présentation d’excuses et l’octroi de réparations</w:t>
      </w:r>
      <w:r w:rsidRPr="00CD6B67">
        <w:rPr>
          <w:rStyle w:val="FootnoteReference"/>
        </w:rPr>
        <w:footnoteReference w:id="789"/>
      </w:r>
      <w:r>
        <w:rPr>
          <w:lang w:val="fr-FR"/>
        </w:rPr>
        <w:t>, la confrontation et la reconnaissance du passé, tout en supprimant «</w:t>
      </w:r>
      <w:r w:rsidR="009A66DF">
        <w:rPr>
          <w:lang w:val="fr-FR"/>
        </w:rPr>
        <w:t> </w:t>
      </w:r>
      <w:r>
        <w:rPr>
          <w:lang w:val="fr-FR"/>
        </w:rPr>
        <w:t>la propagande coloniale</w:t>
      </w:r>
      <w:r w:rsidR="009A66DF">
        <w:rPr>
          <w:lang w:val="fr-FR"/>
        </w:rPr>
        <w:t> </w:t>
      </w:r>
      <w:r>
        <w:rPr>
          <w:lang w:val="fr-FR"/>
        </w:rPr>
        <w:t>»</w:t>
      </w:r>
      <w:r w:rsidRPr="00CD6B67">
        <w:rPr>
          <w:rStyle w:val="FootnoteReference"/>
        </w:rPr>
        <w:footnoteReference w:id="790"/>
      </w:r>
      <w:r w:rsidRPr="00293268">
        <w:rPr>
          <w:lang w:val="fr-FR"/>
        </w:rPr>
        <w:t xml:space="preserve"> </w:t>
      </w:r>
      <w:r>
        <w:rPr>
          <w:lang w:val="fr-FR"/>
        </w:rPr>
        <w:t xml:space="preserve">et la mise en place de </w:t>
      </w:r>
      <w:r w:rsidRPr="004D341C">
        <w:rPr>
          <w:lang w:val="fr-FR"/>
        </w:rPr>
        <w:t>commissions chargées d’établir la vérité</w:t>
      </w:r>
      <w:r w:rsidRPr="00CD6B67">
        <w:rPr>
          <w:rStyle w:val="FootnoteReference"/>
        </w:rPr>
        <w:footnoteReference w:id="791"/>
      </w:r>
      <w:r w:rsidRPr="00813782">
        <w:rPr>
          <w:lang w:val="fr-FR"/>
        </w:rPr>
        <w:t>.</w:t>
      </w:r>
      <w:r w:rsidRPr="00293268">
        <w:rPr>
          <w:lang w:val="fr-FR"/>
        </w:rPr>
        <w:t xml:space="preserve"> </w:t>
      </w:r>
      <w:r w:rsidRPr="004952F7">
        <w:rPr>
          <w:lang w:val="fr-FR"/>
        </w:rPr>
        <w:t>De plus, les États devraient envisager de reconnaître et de commémorer officiellement l</w:t>
      </w:r>
      <w:r>
        <w:rPr>
          <w:lang w:val="fr-FR"/>
        </w:rPr>
        <w:t>’</w:t>
      </w:r>
      <w:r w:rsidRPr="004952F7">
        <w:rPr>
          <w:lang w:val="fr-FR"/>
        </w:rPr>
        <w:t>histoire, les réalisations et les contributions positives des personnes d</w:t>
      </w:r>
      <w:r>
        <w:rPr>
          <w:lang w:val="fr-FR"/>
        </w:rPr>
        <w:t>’</w:t>
      </w:r>
      <w:r w:rsidRPr="004952F7">
        <w:rPr>
          <w:lang w:val="fr-FR"/>
        </w:rPr>
        <w:t>ascendance africaine</w:t>
      </w:r>
      <w:r w:rsidRPr="00293268">
        <w:rPr>
          <w:lang w:val="fr-FR"/>
        </w:rPr>
        <w:t>.</w:t>
      </w:r>
    </w:p>
    <w:p w14:paraId="11DC592D" w14:textId="513C586C" w:rsidR="00D301C6" w:rsidRPr="00293268" w:rsidRDefault="00D301C6" w:rsidP="00F973F1">
      <w:pPr>
        <w:pStyle w:val="SingleTxtG"/>
        <w:spacing w:after="100"/>
        <w:rPr>
          <w:lang w:val="fr-FR"/>
        </w:rPr>
      </w:pPr>
      <w:r w:rsidRPr="00293268">
        <w:rPr>
          <w:lang w:val="fr-FR"/>
        </w:rPr>
        <w:t>301.</w:t>
      </w:r>
      <w:r w:rsidRPr="00293268">
        <w:rPr>
          <w:lang w:val="fr-FR"/>
        </w:rPr>
        <w:tab/>
      </w:r>
      <w:r w:rsidRPr="00CF0F76">
        <w:rPr>
          <w:lang w:val="fr-FR"/>
        </w:rPr>
        <w:t>De tel</w:t>
      </w:r>
      <w:r>
        <w:rPr>
          <w:lang w:val="fr-FR"/>
        </w:rPr>
        <w:t>le</w:t>
      </w:r>
      <w:r w:rsidRPr="00CF0F76">
        <w:rPr>
          <w:lang w:val="fr-FR"/>
        </w:rPr>
        <w:t xml:space="preserve">s </w:t>
      </w:r>
      <w:r>
        <w:rPr>
          <w:lang w:val="fr-FR"/>
        </w:rPr>
        <w:t>initiative</w:t>
      </w:r>
      <w:r w:rsidRPr="00CF0F76">
        <w:rPr>
          <w:lang w:val="fr-FR"/>
        </w:rPr>
        <w:t>s devraient refléter la réalité de la nature transatlantique et mondiale de l</w:t>
      </w:r>
      <w:r>
        <w:rPr>
          <w:lang w:val="fr-FR"/>
        </w:rPr>
        <w:t>’</w:t>
      </w:r>
      <w:r w:rsidRPr="00CF0F76">
        <w:rPr>
          <w:lang w:val="fr-FR"/>
        </w:rPr>
        <w:t>esclavage, du commerce transatlantique des Africains réduits en esclavage et du colonialisme</w:t>
      </w:r>
      <w:r w:rsidR="00C46DAE">
        <w:rPr>
          <w:lang w:val="fr-FR"/>
        </w:rPr>
        <w:t> </w:t>
      </w:r>
      <w:r w:rsidRPr="00CF0F76">
        <w:rPr>
          <w:lang w:val="fr-FR"/>
        </w:rPr>
        <w:t xml:space="preserve">: </w:t>
      </w:r>
      <w:r>
        <w:rPr>
          <w:lang w:val="fr-FR"/>
        </w:rPr>
        <w:t>«</w:t>
      </w:r>
      <w:r w:rsidR="00C46DAE">
        <w:rPr>
          <w:lang w:val="fr-FR"/>
        </w:rPr>
        <w:t> </w:t>
      </w:r>
      <w:r w:rsidRPr="00CF0F76">
        <w:rPr>
          <w:lang w:val="fr-FR"/>
        </w:rPr>
        <w:t>l</w:t>
      </w:r>
      <w:r>
        <w:rPr>
          <w:lang w:val="fr-FR"/>
        </w:rPr>
        <w:t>’</w:t>
      </w:r>
      <w:r w:rsidRPr="00CF0F76">
        <w:rPr>
          <w:lang w:val="fr-FR"/>
        </w:rPr>
        <w:t>esclavage et le colonialisme étaient des projets de portée mondiale, c</w:t>
      </w:r>
      <w:r>
        <w:rPr>
          <w:lang w:val="fr-FR"/>
        </w:rPr>
        <w:t>’</w:t>
      </w:r>
      <w:r w:rsidRPr="00CF0F76">
        <w:rPr>
          <w:lang w:val="fr-FR"/>
        </w:rPr>
        <w:t>est pourquoi les réparations au titre de ces deux phénomènes doivent passer par une action mondiale</w:t>
      </w:r>
      <w:r w:rsidR="00C46DAE">
        <w:rPr>
          <w:lang w:val="fr-FR"/>
        </w:rPr>
        <w:t> </w:t>
      </w:r>
      <w:r>
        <w:rPr>
          <w:lang w:val="fr-FR"/>
        </w:rPr>
        <w:t>»</w:t>
      </w:r>
      <w:r w:rsidRPr="00CD6B67">
        <w:rPr>
          <w:rStyle w:val="FootnoteReference"/>
        </w:rPr>
        <w:footnoteReference w:id="792"/>
      </w:r>
      <w:r>
        <w:rPr>
          <w:lang w:val="fr-FR"/>
        </w:rPr>
        <w:t>.</w:t>
      </w:r>
      <w:r w:rsidRPr="00293268">
        <w:rPr>
          <w:lang w:val="fr-FR"/>
        </w:rPr>
        <w:t xml:space="preserve"> </w:t>
      </w:r>
      <w:r w:rsidRPr="00B57136">
        <w:rPr>
          <w:lang w:val="fr-FR"/>
        </w:rPr>
        <w:t>Les processus nationaux devraient être complétés par des initiatives fondées sur la coopération</w:t>
      </w:r>
      <w:r>
        <w:rPr>
          <w:lang w:val="fr-FR"/>
        </w:rPr>
        <w:t xml:space="preserve"> et le dialogue</w:t>
      </w:r>
      <w:r w:rsidRPr="00B57136">
        <w:rPr>
          <w:lang w:val="fr-FR"/>
        </w:rPr>
        <w:t xml:space="preserve"> </w:t>
      </w:r>
      <w:r>
        <w:rPr>
          <w:lang w:val="fr-FR"/>
        </w:rPr>
        <w:t xml:space="preserve">entre les États et </w:t>
      </w:r>
      <w:r w:rsidRPr="00E72BDB">
        <w:rPr>
          <w:lang w:val="fr-FR"/>
        </w:rPr>
        <w:t>territoires transfrontaliers</w:t>
      </w:r>
      <w:r w:rsidRPr="00B57136">
        <w:rPr>
          <w:lang w:val="fr-FR"/>
        </w:rPr>
        <w:t xml:space="preserve">, y compris avec les </w:t>
      </w:r>
      <w:r>
        <w:rPr>
          <w:lang w:val="fr-FR"/>
        </w:rPr>
        <w:t>populations concernées</w:t>
      </w:r>
      <w:r w:rsidRPr="00B57136">
        <w:rPr>
          <w:lang w:val="fr-FR"/>
        </w:rPr>
        <w:t xml:space="preserve"> des anciennes colonies</w:t>
      </w:r>
      <w:r w:rsidRPr="00293268">
        <w:rPr>
          <w:lang w:val="fr-FR"/>
        </w:rPr>
        <w:t>.</w:t>
      </w:r>
    </w:p>
    <w:p w14:paraId="4D55DAE7" w14:textId="331AA492" w:rsidR="00D301C6" w:rsidRPr="00293268" w:rsidRDefault="00D301C6" w:rsidP="00F973F1">
      <w:pPr>
        <w:pStyle w:val="SingleTxtG"/>
        <w:spacing w:after="100"/>
        <w:rPr>
          <w:lang w:val="fr-FR"/>
        </w:rPr>
      </w:pPr>
      <w:r w:rsidRPr="00293268">
        <w:rPr>
          <w:lang w:val="fr-FR"/>
        </w:rPr>
        <w:t>302.</w:t>
      </w:r>
      <w:r w:rsidRPr="00293268">
        <w:rPr>
          <w:lang w:val="fr-FR"/>
        </w:rPr>
        <w:tab/>
      </w:r>
      <w:r w:rsidRPr="00240A37">
        <w:rPr>
          <w:lang w:val="fr-FR"/>
        </w:rPr>
        <w:t xml:space="preserve">En outre, les entreprises </w:t>
      </w:r>
      <w:r>
        <w:rPr>
          <w:lang w:val="fr-FR"/>
        </w:rPr>
        <w:t xml:space="preserve">commerciales </w:t>
      </w:r>
      <w:r w:rsidRPr="00240A37">
        <w:rPr>
          <w:lang w:val="fr-FR"/>
        </w:rPr>
        <w:t xml:space="preserve">concernées devraient </w:t>
      </w:r>
      <w:r>
        <w:rPr>
          <w:lang w:val="fr-FR"/>
        </w:rPr>
        <w:t>évaluer</w:t>
      </w:r>
      <w:r w:rsidRPr="00240A37">
        <w:rPr>
          <w:lang w:val="fr-FR"/>
        </w:rPr>
        <w:t xml:space="preserve"> les </w:t>
      </w:r>
      <w:r>
        <w:rPr>
          <w:lang w:val="fr-FR"/>
        </w:rPr>
        <w:t>aspect</w:t>
      </w:r>
      <w:r w:rsidRPr="00240A37">
        <w:rPr>
          <w:lang w:val="fr-FR"/>
        </w:rPr>
        <w:t>s de leurs activités actuelles et passées qui les relient à l</w:t>
      </w:r>
      <w:r>
        <w:rPr>
          <w:lang w:val="fr-FR"/>
        </w:rPr>
        <w:t>’</w:t>
      </w:r>
      <w:r w:rsidRPr="00240A37">
        <w:rPr>
          <w:lang w:val="fr-FR"/>
        </w:rPr>
        <w:t xml:space="preserve">esclavage, à la traite transatlantique des Africains réduits en esclavage et au colonialisme, et </w:t>
      </w:r>
      <w:r w:rsidRPr="00A50516">
        <w:rPr>
          <w:lang w:val="fr-FR"/>
        </w:rPr>
        <w:t>les bénéfices qu’elles en ont</w:t>
      </w:r>
      <w:r>
        <w:rPr>
          <w:lang w:val="fr-FR"/>
        </w:rPr>
        <w:t xml:space="preserve"> retirés</w:t>
      </w:r>
      <w:r w:rsidRPr="00240A37">
        <w:rPr>
          <w:lang w:val="fr-FR"/>
        </w:rPr>
        <w:t xml:space="preserve">. </w:t>
      </w:r>
      <w:r>
        <w:rPr>
          <w:lang w:val="fr-FR"/>
        </w:rPr>
        <w:t>Elles</w:t>
      </w:r>
      <w:r w:rsidR="00AD642E">
        <w:rPr>
          <w:lang w:val="fr-FR"/>
        </w:rPr>
        <w:t> </w:t>
      </w:r>
      <w:r>
        <w:rPr>
          <w:lang w:val="fr-FR"/>
        </w:rPr>
        <w:t>devraient déterminer si elle</w:t>
      </w:r>
      <w:r w:rsidR="00AD642E">
        <w:rPr>
          <w:lang w:val="fr-FR"/>
        </w:rPr>
        <w:t>s</w:t>
      </w:r>
      <w:r>
        <w:rPr>
          <w:lang w:val="fr-FR"/>
        </w:rPr>
        <w:t xml:space="preserve"> ont bénéficié de l’esclavage par le passé, dans quels lieux et sous quelle forme. </w:t>
      </w:r>
      <w:r w:rsidRPr="00240A37">
        <w:rPr>
          <w:lang w:val="fr-FR"/>
        </w:rPr>
        <w:t>Si des liens avec leurs activités, produits ou services sont trouvés, elles doivent reconnaître leur participation à la traite des esclaves et à l</w:t>
      </w:r>
      <w:r>
        <w:rPr>
          <w:lang w:val="fr-FR"/>
        </w:rPr>
        <w:t>’</w:t>
      </w:r>
      <w:r w:rsidRPr="00240A37">
        <w:rPr>
          <w:lang w:val="fr-FR"/>
        </w:rPr>
        <w:t>esclavage ou les profits qu</w:t>
      </w:r>
      <w:r>
        <w:rPr>
          <w:lang w:val="fr-FR"/>
        </w:rPr>
        <w:t>’</w:t>
      </w:r>
      <w:r w:rsidRPr="00240A37">
        <w:rPr>
          <w:lang w:val="fr-FR"/>
        </w:rPr>
        <w:t>elles en ont tirés et s</w:t>
      </w:r>
      <w:r>
        <w:rPr>
          <w:lang w:val="fr-FR"/>
        </w:rPr>
        <w:t>’</w:t>
      </w:r>
      <w:r w:rsidRPr="00240A37">
        <w:rPr>
          <w:lang w:val="fr-FR"/>
        </w:rPr>
        <w:t>en excuser. Lorsque  les entreprises déterminent qu</w:t>
      </w:r>
      <w:r>
        <w:rPr>
          <w:lang w:val="fr-FR"/>
        </w:rPr>
        <w:t>’</w:t>
      </w:r>
      <w:r w:rsidRPr="00240A37">
        <w:rPr>
          <w:lang w:val="fr-FR"/>
        </w:rPr>
        <w:t xml:space="preserve">elles ont eu des incidences négatives, ou y ont contribué, elles devraient prévoir des mesures de réparation ou collaborer à leur mise en œuvre suivant des procédures légitimes. Parallèlement, elles sont encouragées à envisager de financer le développement des </w:t>
      </w:r>
      <w:r w:rsidRPr="007A6BF7">
        <w:rPr>
          <w:lang w:val="fr-FR"/>
        </w:rPr>
        <w:t>populations originellement asservies et</w:t>
      </w:r>
      <w:r w:rsidRPr="00240A37">
        <w:rPr>
          <w:lang w:val="fr-FR"/>
        </w:rPr>
        <w:t xml:space="preserve"> de contribuer aux programmes de promotion de l</w:t>
      </w:r>
      <w:r>
        <w:rPr>
          <w:lang w:val="fr-FR"/>
        </w:rPr>
        <w:t>’</w:t>
      </w:r>
      <w:r w:rsidRPr="00240A37">
        <w:rPr>
          <w:lang w:val="fr-FR"/>
        </w:rPr>
        <w:t>égalité raciale</w:t>
      </w:r>
      <w:r w:rsidRPr="00293268">
        <w:rPr>
          <w:lang w:val="fr-FR"/>
        </w:rPr>
        <w:t>.</w:t>
      </w:r>
    </w:p>
    <w:p w14:paraId="71BBBBAA" w14:textId="677AD9B7" w:rsidR="00D301C6" w:rsidRPr="00293268" w:rsidRDefault="00D301C6" w:rsidP="00F973F1">
      <w:pPr>
        <w:pStyle w:val="H23G"/>
        <w:spacing w:before="200"/>
        <w:rPr>
          <w:lang w:val="fr-FR"/>
        </w:rPr>
      </w:pPr>
      <w:bookmarkStart w:id="1265" w:name="_Toc74923034"/>
      <w:bookmarkStart w:id="1266" w:name="_Toc72335563"/>
      <w:bookmarkStart w:id="1267" w:name="_Toc74143656"/>
      <w:bookmarkStart w:id="1268" w:name="_Toc74170931"/>
      <w:r w:rsidRPr="00293268">
        <w:rPr>
          <w:lang w:val="fr-FR"/>
        </w:rPr>
        <w:tab/>
        <w:t>3.</w:t>
      </w:r>
      <w:r w:rsidRPr="00293268">
        <w:rPr>
          <w:lang w:val="fr-FR"/>
        </w:rPr>
        <w:tab/>
      </w:r>
      <w:bookmarkEnd w:id="1265"/>
      <w:bookmarkEnd w:id="1266"/>
      <w:bookmarkEnd w:id="1267"/>
      <w:bookmarkEnd w:id="1268"/>
      <w:r w:rsidRPr="00FE472E">
        <w:rPr>
          <w:lang w:val="fr-FR"/>
        </w:rPr>
        <w:t>Assurer la participation effective des personnes d</w:t>
      </w:r>
      <w:r>
        <w:rPr>
          <w:lang w:val="fr-FR"/>
        </w:rPr>
        <w:t>’</w:t>
      </w:r>
      <w:r w:rsidRPr="00FE472E">
        <w:rPr>
          <w:lang w:val="fr-FR"/>
        </w:rPr>
        <w:t xml:space="preserve">ascendance africaine </w:t>
      </w:r>
      <w:r w:rsidR="00A92BA9">
        <w:rPr>
          <w:lang w:val="fr-FR"/>
        </w:rPr>
        <w:br/>
      </w:r>
      <w:r w:rsidRPr="00FE472E">
        <w:rPr>
          <w:lang w:val="fr-FR"/>
        </w:rPr>
        <w:t xml:space="preserve">et de leurs communautés pour orienter la conception et </w:t>
      </w:r>
      <w:r>
        <w:rPr>
          <w:lang w:val="fr-FR"/>
        </w:rPr>
        <w:t>l’exécution</w:t>
      </w:r>
      <w:r w:rsidRPr="00FE472E">
        <w:rPr>
          <w:lang w:val="fr-FR"/>
        </w:rPr>
        <w:t xml:space="preserve"> </w:t>
      </w:r>
      <w:r w:rsidR="00A92BA9">
        <w:rPr>
          <w:lang w:val="fr-FR"/>
        </w:rPr>
        <w:br/>
      </w:r>
      <w:r w:rsidRPr="00FE472E">
        <w:rPr>
          <w:lang w:val="fr-FR"/>
        </w:rPr>
        <w:t xml:space="preserve">de ces processus, </w:t>
      </w:r>
      <w:r>
        <w:rPr>
          <w:lang w:val="fr-FR"/>
        </w:rPr>
        <w:t>en particulier</w:t>
      </w:r>
      <w:r w:rsidRPr="00FE472E">
        <w:rPr>
          <w:lang w:val="fr-FR"/>
        </w:rPr>
        <w:t xml:space="preserve"> dans le cadre de </w:t>
      </w:r>
      <w:r w:rsidRPr="00FD7FBF">
        <w:rPr>
          <w:lang w:val="fr-FR"/>
        </w:rPr>
        <w:t xml:space="preserve">consultations élargies </w:t>
      </w:r>
      <w:r w:rsidR="00A92BA9">
        <w:rPr>
          <w:lang w:val="fr-FR"/>
        </w:rPr>
        <w:br/>
      </w:r>
      <w:r w:rsidRPr="00FD7FBF">
        <w:rPr>
          <w:lang w:val="fr-FR"/>
        </w:rPr>
        <w:t xml:space="preserve">et </w:t>
      </w:r>
      <w:r>
        <w:rPr>
          <w:lang w:val="fr-FR"/>
        </w:rPr>
        <w:t>ouvertes à tous</w:t>
      </w:r>
    </w:p>
    <w:p w14:paraId="4A1B4A3D" w14:textId="77777777" w:rsidR="00D301C6" w:rsidRPr="00293268" w:rsidRDefault="00D301C6" w:rsidP="00F973F1">
      <w:pPr>
        <w:pStyle w:val="SingleTxtG"/>
        <w:spacing w:after="100"/>
        <w:rPr>
          <w:lang w:val="fr-FR"/>
        </w:rPr>
      </w:pPr>
      <w:r w:rsidRPr="00293268">
        <w:rPr>
          <w:lang w:val="fr-FR"/>
        </w:rPr>
        <w:t>303.</w:t>
      </w:r>
      <w:r w:rsidRPr="00293268">
        <w:rPr>
          <w:lang w:val="fr-FR"/>
        </w:rPr>
        <w:tab/>
      </w:r>
      <w:r w:rsidRPr="001A2D50">
        <w:rPr>
          <w:lang w:val="fr-FR"/>
        </w:rPr>
        <w:t xml:space="preserve">Un processus pleinement participatif </w:t>
      </w:r>
      <w:r>
        <w:rPr>
          <w:lang w:val="fr-FR"/>
        </w:rPr>
        <w:t>est nécessaire p</w:t>
      </w:r>
      <w:r w:rsidRPr="00113FA5">
        <w:rPr>
          <w:lang w:val="fr-FR"/>
        </w:rPr>
        <w:t xml:space="preserve">our parvenir à la vérité, à la justice, à la réparation, à des garanties de non-répétition et à la réconciliation. Les mesures </w:t>
      </w:r>
      <w:r>
        <w:rPr>
          <w:lang w:val="fr-FR"/>
        </w:rPr>
        <w:t>visant à établir les</w:t>
      </w:r>
      <w:r w:rsidRPr="00113FA5">
        <w:rPr>
          <w:lang w:val="fr-FR"/>
        </w:rPr>
        <w:t xml:space="preserve"> responsabilités et </w:t>
      </w:r>
      <w:r>
        <w:rPr>
          <w:lang w:val="fr-FR"/>
        </w:rPr>
        <w:t>à octroyer des</w:t>
      </w:r>
      <w:r w:rsidRPr="00113FA5">
        <w:rPr>
          <w:lang w:val="fr-FR"/>
        </w:rPr>
        <w:t xml:space="preserve"> réparation</w:t>
      </w:r>
      <w:r>
        <w:rPr>
          <w:lang w:val="fr-FR"/>
        </w:rPr>
        <w:t>s</w:t>
      </w:r>
      <w:r w:rsidRPr="00113FA5">
        <w:rPr>
          <w:lang w:val="fr-FR"/>
        </w:rPr>
        <w:t xml:space="preserve"> doivent refléter les expériences et les points de vue des victimes et des </w:t>
      </w:r>
      <w:r>
        <w:rPr>
          <w:lang w:val="fr-FR"/>
        </w:rPr>
        <w:t>population</w:t>
      </w:r>
      <w:r w:rsidRPr="00113FA5">
        <w:rPr>
          <w:lang w:val="fr-FR"/>
        </w:rPr>
        <w:t xml:space="preserve">s affectées et tenir compte de leurs besoins. Il est essentiel de continuer de recueillir des témoignages et données historiques pour établir la vérité et construire des récits communs </w:t>
      </w:r>
      <w:r>
        <w:rPr>
          <w:lang w:val="fr-FR"/>
        </w:rPr>
        <w:t>afin de</w:t>
      </w:r>
      <w:r w:rsidRPr="00113FA5">
        <w:rPr>
          <w:lang w:val="fr-FR"/>
        </w:rPr>
        <w:t xml:space="preserve"> commémorer non seulement la souffrance mais aussi la résilience et la dignité des victimes grâce à des échanges dynamiques et respectueux qui </w:t>
      </w:r>
      <w:r>
        <w:rPr>
          <w:lang w:val="fr-FR"/>
        </w:rPr>
        <w:t>donnent</w:t>
      </w:r>
      <w:r w:rsidRPr="00113FA5">
        <w:rPr>
          <w:lang w:val="fr-FR"/>
        </w:rPr>
        <w:t xml:space="preserve"> à chacun </w:t>
      </w:r>
      <w:r>
        <w:rPr>
          <w:lang w:val="fr-FR"/>
        </w:rPr>
        <w:t>une tribune</w:t>
      </w:r>
      <w:r w:rsidRPr="00113FA5">
        <w:rPr>
          <w:lang w:val="fr-FR"/>
        </w:rPr>
        <w:t xml:space="preserve"> pour s</w:t>
      </w:r>
      <w:r>
        <w:rPr>
          <w:lang w:val="fr-FR"/>
        </w:rPr>
        <w:t>’</w:t>
      </w:r>
      <w:r w:rsidRPr="00113FA5">
        <w:rPr>
          <w:lang w:val="fr-FR"/>
        </w:rPr>
        <w:t xml:space="preserve">exprimer librement </w:t>
      </w:r>
      <w:r>
        <w:rPr>
          <w:lang w:val="fr-FR"/>
        </w:rPr>
        <w:t>et en toute sécurité</w:t>
      </w:r>
      <w:r w:rsidRPr="00113FA5">
        <w:rPr>
          <w:lang w:val="fr-FR"/>
        </w:rPr>
        <w:t>. Les personnes d</w:t>
      </w:r>
      <w:r>
        <w:rPr>
          <w:lang w:val="fr-FR"/>
        </w:rPr>
        <w:t>’</w:t>
      </w:r>
      <w:r w:rsidRPr="00113FA5">
        <w:rPr>
          <w:lang w:val="fr-FR"/>
        </w:rPr>
        <w:t xml:space="preserve">ascendance africaine </w:t>
      </w:r>
      <w:r>
        <w:rPr>
          <w:lang w:val="fr-FR"/>
        </w:rPr>
        <w:t xml:space="preserve">et leurs communautés </w:t>
      </w:r>
      <w:r w:rsidRPr="00113FA5">
        <w:rPr>
          <w:lang w:val="fr-FR"/>
        </w:rPr>
        <w:t xml:space="preserve">devraient </w:t>
      </w:r>
      <w:r w:rsidRPr="00DD333B">
        <w:rPr>
          <w:lang w:val="fr-FR"/>
        </w:rPr>
        <w:t>orienter la conception et l</w:t>
      </w:r>
      <w:r>
        <w:rPr>
          <w:lang w:val="fr-FR"/>
        </w:rPr>
        <w:t>’</w:t>
      </w:r>
      <w:r w:rsidRPr="00DD333B">
        <w:rPr>
          <w:lang w:val="fr-FR"/>
        </w:rPr>
        <w:t xml:space="preserve">exécution de </w:t>
      </w:r>
      <w:r w:rsidRPr="00113FA5">
        <w:rPr>
          <w:lang w:val="fr-FR"/>
        </w:rPr>
        <w:t xml:space="preserve">ces processus grâce à leur participation effective, </w:t>
      </w:r>
      <w:r>
        <w:rPr>
          <w:lang w:val="fr-FR"/>
        </w:rPr>
        <w:t>en particulier</w:t>
      </w:r>
      <w:r w:rsidRPr="00113FA5">
        <w:rPr>
          <w:lang w:val="fr-FR"/>
        </w:rPr>
        <w:t xml:space="preserve"> dans le cadre consultations </w:t>
      </w:r>
      <w:r>
        <w:rPr>
          <w:lang w:val="fr-FR"/>
        </w:rPr>
        <w:t xml:space="preserve">élargies et </w:t>
      </w:r>
      <w:r w:rsidRPr="00113FA5">
        <w:rPr>
          <w:lang w:val="fr-FR"/>
        </w:rPr>
        <w:t>inclusives</w:t>
      </w:r>
      <w:r w:rsidRPr="00CD6B67">
        <w:rPr>
          <w:rStyle w:val="FootnoteReference"/>
        </w:rPr>
        <w:footnoteReference w:id="793"/>
      </w:r>
      <w:r>
        <w:rPr>
          <w:lang w:val="fr-FR"/>
        </w:rPr>
        <w:t>.</w:t>
      </w:r>
      <w:r w:rsidRPr="00293268">
        <w:rPr>
          <w:lang w:val="fr-FR"/>
        </w:rPr>
        <w:t xml:space="preserve"> </w:t>
      </w:r>
      <w:r w:rsidRPr="00745D0E">
        <w:rPr>
          <w:lang w:val="fr-FR"/>
        </w:rPr>
        <w:t xml:space="preserve">Des processus consultatifs tenant compte des questions de genre devraient en particulier être mis en </w:t>
      </w:r>
      <w:r>
        <w:rPr>
          <w:lang w:val="fr-FR"/>
        </w:rPr>
        <w:t>place à tous les stades</w:t>
      </w:r>
      <w:r w:rsidRPr="00CD6B67">
        <w:rPr>
          <w:rStyle w:val="FootnoteReference"/>
        </w:rPr>
        <w:footnoteReference w:id="794"/>
      </w:r>
      <w:r>
        <w:rPr>
          <w:lang w:val="fr-FR"/>
        </w:rPr>
        <w:t>.</w:t>
      </w:r>
    </w:p>
    <w:p w14:paraId="13FBEC24" w14:textId="77777777" w:rsidR="00D301C6" w:rsidRPr="00293268" w:rsidRDefault="00D301C6" w:rsidP="00F973F1">
      <w:pPr>
        <w:pStyle w:val="SingleTxtG"/>
        <w:spacing w:after="100"/>
        <w:rPr>
          <w:lang w:val="fr-FR"/>
        </w:rPr>
      </w:pPr>
      <w:r w:rsidRPr="00293268">
        <w:rPr>
          <w:lang w:val="fr-FR"/>
        </w:rPr>
        <w:t>304.</w:t>
      </w:r>
      <w:r w:rsidRPr="00293268">
        <w:rPr>
          <w:lang w:val="fr-FR"/>
        </w:rPr>
        <w:tab/>
      </w:r>
      <w:r w:rsidRPr="00794933">
        <w:rPr>
          <w:lang w:val="fr-FR"/>
        </w:rPr>
        <w:t xml:space="preserve">Ces processus doivent être adaptés aux spécificités du pays, y compris au niveau local, et aux demandes des </w:t>
      </w:r>
      <w:r>
        <w:rPr>
          <w:lang w:val="fr-FR"/>
        </w:rPr>
        <w:t>populations</w:t>
      </w:r>
      <w:r w:rsidRPr="00794933">
        <w:rPr>
          <w:lang w:val="fr-FR"/>
        </w:rPr>
        <w:t xml:space="preserve"> affectées. </w:t>
      </w:r>
      <w:r>
        <w:rPr>
          <w:lang w:val="fr-FR"/>
        </w:rPr>
        <w:t>Ils</w:t>
      </w:r>
      <w:r w:rsidRPr="00794933">
        <w:rPr>
          <w:lang w:val="fr-FR"/>
        </w:rPr>
        <w:t xml:space="preserve"> doivent chercher à mobiliser la société civile, les chefs religieux, les dirigeants communautaires et les entreprises, ainsi que les responsables politiques et les fonctionnaires. Il importe de montrer à tous le bénéfice de cet exercice commun. Toute autre solution </w:t>
      </w:r>
      <w:r w:rsidRPr="0017266C">
        <w:rPr>
          <w:lang w:val="fr-FR"/>
        </w:rPr>
        <w:t>risque de décevoir</w:t>
      </w:r>
      <w:r w:rsidRPr="00794933">
        <w:rPr>
          <w:lang w:val="fr-FR"/>
        </w:rPr>
        <w:t xml:space="preserve"> les individus, les groupes sociaux et la société dans son ensemble</w:t>
      </w:r>
      <w:r w:rsidRPr="00293268">
        <w:rPr>
          <w:lang w:val="fr-FR"/>
        </w:rPr>
        <w:t>.</w:t>
      </w:r>
    </w:p>
    <w:p w14:paraId="429EDCB9" w14:textId="652E330A" w:rsidR="00D301C6" w:rsidRPr="00293268" w:rsidRDefault="00D301C6" w:rsidP="00D301C6">
      <w:pPr>
        <w:pStyle w:val="H23G"/>
        <w:rPr>
          <w:bCs/>
          <w:lang w:val="fr-FR"/>
        </w:rPr>
      </w:pPr>
      <w:bookmarkStart w:id="1269" w:name="_Toc72174126"/>
      <w:bookmarkStart w:id="1270" w:name="_Toc72176415"/>
      <w:bookmarkStart w:id="1271" w:name="_Toc72215250"/>
      <w:bookmarkStart w:id="1272" w:name="_Toc72173989"/>
      <w:bookmarkStart w:id="1273" w:name="_Toc72174035"/>
      <w:bookmarkStart w:id="1274" w:name="_Toc72174080"/>
      <w:bookmarkStart w:id="1275" w:name="_Toc72174127"/>
      <w:bookmarkStart w:id="1276" w:name="_Toc72176416"/>
      <w:bookmarkStart w:id="1277" w:name="_Toc72215251"/>
      <w:bookmarkStart w:id="1278" w:name="_Toc72173990"/>
      <w:bookmarkStart w:id="1279" w:name="_Toc72174036"/>
      <w:bookmarkStart w:id="1280" w:name="_Toc72174081"/>
      <w:bookmarkStart w:id="1281" w:name="_Toc72174128"/>
      <w:bookmarkStart w:id="1282" w:name="_Toc72176417"/>
      <w:bookmarkStart w:id="1283" w:name="_Toc72215252"/>
      <w:bookmarkStart w:id="1284" w:name="_Toc72335564"/>
      <w:bookmarkStart w:id="1285" w:name="_Toc74143657"/>
      <w:bookmarkStart w:id="1286" w:name="_Toc74170932"/>
      <w:bookmarkStart w:id="1287" w:name="_Toc74923035"/>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sidRPr="00293268">
        <w:rPr>
          <w:lang w:val="fr-FR"/>
        </w:rPr>
        <w:tab/>
        <w:t>4.</w:t>
      </w:r>
      <w:r w:rsidRPr="00293268">
        <w:rPr>
          <w:lang w:val="fr-FR"/>
        </w:rPr>
        <w:tab/>
      </w:r>
      <w:bookmarkEnd w:id="1284"/>
      <w:bookmarkEnd w:id="1285"/>
      <w:bookmarkEnd w:id="1286"/>
      <w:bookmarkEnd w:id="1287"/>
      <w:r>
        <w:rPr>
          <w:lang w:val="fr-FR"/>
        </w:rPr>
        <w:t>R</w:t>
      </w:r>
      <w:r w:rsidRPr="00FA32FD">
        <w:rPr>
          <w:lang w:val="fr-FR"/>
        </w:rPr>
        <w:t>éparer les torts causés par des siècles de violence</w:t>
      </w:r>
      <w:r w:rsidRPr="002668C1">
        <w:rPr>
          <w:lang w:val="fr-FR"/>
        </w:rPr>
        <w:t xml:space="preserve"> et de discrimination </w:t>
      </w:r>
      <w:r w:rsidR="00CD39EE">
        <w:rPr>
          <w:lang w:val="fr-FR"/>
        </w:rPr>
        <w:br/>
      </w:r>
      <w:r w:rsidRPr="002668C1">
        <w:rPr>
          <w:lang w:val="fr-FR"/>
        </w:rPr>
        <w:t>au moyen d</w:t>
      </w:r>
      <w:r>
        <w:rPr>
          <w:lang w:val="fr-FR"/>
        </w:rPr>
        <w:t>’</w:t>
      </w:r>
      <w:r w:rsidRPr="002668C1">
        <w:rPr>
          <w:lang w:val="fr-FR"/>
        </w:rPr>
        <w:t>initiatives</w:t>
      </w:r>
      <w:r>
        <w:rPr>
          <w:lang w:val="fr-FR"/>
        </w:rPr>
        <w:t xml:space="preserve"> concrètes </w:t>
      </w:r>
      <w:r w:rsidRPr="002668C1">
        <w:rPr>
          <w:lang w:val="fr-FR"/>
        </w:rPr>
        <w:t xml:space="preserve">de grande envergure, dans et entre les États, </w:t>
      </w:r>
      <w:r w:rsidR="00CD39EE">
        <w:rPr>
          <w:lang w:val="fr-FR"/>
        </w:rPr>
        <w:br/>
      </w:r>
      <w:r w:rsidRPr="002668C1">
        <w:rPr>
          <w:lang w:val="fr-FR"/>
        </w:rPr>
        <w:t>notamment par des excuses officielles, des processus d</w:t>
      </w:r>
      <w:r>
        <w:rPr>
          <w:lang w:val="fr-FR"/>
        </w:rPr>
        <w:t>’</w:t>
      </w:r>
      <w:r w:rsidRPr="002668C1">
        <w:rPr>
          <w:lang w:val="fr-FR"/>
        </w:rPr>
        <w:t xml:space="preserve">établissement de la vérité </w:t>
      </w:r>
      <w:r w:rsidR="00CD39EE">
        <w:rPr>
          <w:lang w:val="fr-FR"/>
        </w:rPr>
        <w:br/>
      </w:r>
      <w:r w:rsidRPr="002668C1">
        <w:rPr>
          <w:lang w:val="fr-FR"/>
        </w:rPr>
        <w:t>et diverses formes</w:t>
      </w:r>
      <w:r>
        <w:rPr>
          <w:lang w:val="fr-FR"/>
        </w:rPr>
        <w:t xml:space="preserve"> de réparations</w:t>
      </w:r>
    </w:p>
    <w:p w14:paraId="63866F29" w14:textId="0184DDB9" w:rsidR="00D301C6" w:rsidRPr="00293268" w:rsidRDefault="00D301C6" w:rsidP="00D301C6">
      <w:pPr>
        <w:pStyle w:val="SingleTxtG"/>
        <w:rPr>
          <w:lang w:val="fr-FR"/>
        </w:rPr>
      </w:pPr>
      <w:r w:rsidRPr="00293268">
        <w:rPr>
          <w:bCs/>
          <w:lang w:val="fr-FR"/>
        </w:rPr>
        <w:t>305.</w:t>
      </w:r>
      <w:r w:rsidRPr="00293268">
        <w:rPr>
          <w:bCs/>
          <w:lang w:val="fr-FR"/>
        </w:rPr>
        <w:tab/>
      </w:r>
      <w:r w:rsidRPr="00B062D8">
        <w:rPr>
          <w:bCs/>
          <w:lang w:val="fr-FR"/>
        </w:rPr>
        <w:t>Une justice réparatrice exige une approche multidimensionnelle et globale, fondée sur le droit international des droits de l</w:t>
      </w:r>
      <w:r>
        <w:rPr>
          <w:bCs/>
          <w:lang w:val="fr-FR"/>
        </w:rPr>
        <w:t>’</w:t>
      </w:r>
      <w:r w:rsidRPr="00B062D8">
        <w:rPr>
          <w:bCs/>
          <w:lang w:val="fr-FR"/>
        </w:rPr>
        <w:t>homme et le droit à une réparation adéquate, effective et rapide</w:t>
      </w:r>
      <w:r w:rsidRPr="00CD6B67">
        <w:rPr>
          <w:rStyle w:val="FootnoteReference"/>
        </w:rPr>
        <w:footnoteReference w:id="795"/>
      </w:r>
      <w:r>
        <w:rPr>
          <w:bCs/>
          <w:lang w:val="fr-FR"/>
        </w:rPr>
        <w:t>.</w:t>
      </w:r>
      <w:r w:rsidRPr="00293268">
        <w:rPr>
          <w:lang w:val="fr-FR"/>
        </w:rPr>
        <w:t xml:space="preserve"> </w:t>
      </w:r>
      <w:r w:rsidRPr="00582894">
        <w:rPr>
          <w:lang w:val="fr-FR"/>
        </w:rPr>
        <w:t>Il est reconnu depuis longtemps que</w:t>
      </w:r>
      <w:r>
        <w:rPr>
          <w:lang w:val="fr-FR"/>
        </w:rPr>
        <w:t xml:space="preserve"> « </w:t>
      </w:r>
      <w:r w:rsidRPr="00582894">
        <w:rPr>
          <w:lang w:val="fr-FR"/>
        </w:rPr>
        <w:t>c</w:t>
      </w:r>
      <w:r>
        <w:rPr>
          <w:lang w:val="fr-FR"/>
        </w:rPr>
        <w:t>’</w:t>
      </w:r>
      <w:r w:rsidRPr="00582894">
        <w:rPr>
          <w:lang w:val="fr-FR"/>
        </w:rPr>
        <w:t>est un principe de droit international que la violation d</w:t>
      </w:r>
      <w:r>
        <w:rPr>
          <w:lang w:val="fr-FR"/>
        </w:rPr>
        <w:t>’</w:t>
      </w:r>
      <w:r w:rsidRPr="00582894">
        <w:rPr>
          <w:lang w:val="fr-FR"/>
        </w:rPr>
        <w:t>un engagement entraîne l</w:t>
      </w:r>
      <w:r>
        <w:rPr>
          <w:lang w:val="fr-FR"/>
        </w:rPr>
        <w:t>’</w:t>
      </w:r>
      <w:r w:rsidRPr="00582894">
        <w:rPr>
          <w:lang w:val="fr-FR"/>
        </w:rPr>
        <w:t>obligation de réparer dans une forme adéquate. La réparation est donc le complément indispensable d</w:t>
      </w:r>
      <w:r>
        <w:rPr>
          <w:lang w:val="fr-FR"/>
        </w:rPr>
        <w:t>’</w:t>
      </w:r>
      <w:r w:rsidRPr="00582894">
        <w:rPr>
          <w:lang w:val="fr-FR"/>
        </w:rPr>
        <w:t>un [manquement ]</w:t>
      </w:r>
      <w:r>
        <w:rPr>
          <w:lang w:val="fr-FR"/>
        </w:rPr>
        <w:t> »</w:t>
      </w:r>
      <w:r w:rsidRPr="00CD6B67">
        <w:rPr>
          <w:rStyle w:val="FootnoteReference"/>
        </w:rPr>
        <w:footnoteReference w:id="796"/>
      </w:r>
      <w:r w:rsidR="0088074E">
        <w:rPr>
          <w:lang w:val="fr-FR"/>
        </w:rPr>
        <w:t>.</w:t>
      </w:r>
      <w:r w:rsidRPr="00293268">
        <w:rPr>
          <w:lang w:val="fr-FR"/>
        </w:rPr>
        <w:t xml:space="preserve"> </w:t>
      </w:r>
      <w:r w:rsidRPr="00302701">
        <w:rPr>
          <w:lang w:val="fr-FR"/>
        </w:rPr>
        <w:t xml:space="preserve">Les réparations </w:t>
      </w:r>
      <w:r>
        <w:rPr>
          <w:lang w:val="fr-FR"/>
        </w:rPr>
        <w:t>ne sont qu’</w:t>
      </w:r>
      <w:r w:rsidRPr="00302701">
        <w:rPr>
          <w:lang w:val="fr-FR"/>
        </w:rPr>
        <w:t xml:space="preserve">un </w:t>
      </w:r>
      <w:r>
        <w:rPr>
          <w:lang w:val="fr-FR"/>
        </w:rPr>
        <w:t>aspect du processus d’établissement des</w:t>
      </w:r>
      <w:r w:rsidRPr="00302701">
        <w:rPr>
          <w:lang w:val="fr-FR"/>
        </w:rPr>
        <w:t xml:space="preserve"> responsabilité</w:t>
      </w:r>
      <w:r>
        <w:rPr>
          <w:lang w:val="fr-FR"/>
        </w:rPr>
        <w:t>s</w:t>
      </w:r>
      <w:r w:rsidRPr="00302701">
        <w:rPr>
          <w:lang w:val="fr-FR"/>
        </w:rPr>
        <w:t xml:space="preserve"> et </w:t>
      </w:r>
      <w:r>
        <w:rPr>
          <w:lang w:val="fr-FR"/>
        </w:rPr>
        <w:t>de réparation</w:t>
      </w:r>
      <w:r w:rsidRPr="00302701">
        <w:rPr>
          <w:lang w:val="fr-FR"/>
        </w:rPr>
        <w:t xml:space="preserve"> et ne doivent pas se </w:t>
      </w:r>
      <w:r>
        <w:rPr>
          <w:lang w:val="fr-FR"/>
        </w:rPr>
        <w:t>résumer</w:t>
      </w:r>
      <w:r w:rsidRPr="00302701">
        <w:rPr>
          <w:lang w:val="fr-FR"/>
        </w:rPr>
        <w:t xml:space="preserve"> à une compensation financière. Elles doivent aussi comporter des mesures</w:t>
      </w:r>
      <w:r w:rsidRPr="008C61B5">
        <w:rPr>
          <w:lang w:val="fr-FR"/>
        </w:rPr>
        <w:t xml:space="preserve"> de restitution, de réadaptation et de satisfaction</w:t>
      </w:r>
      <w:r w:rsidRPr="00302701">
        <w:rPr>
          <w:lang w:val="fr-FR"/>
        </w:rPr>
        <w:t xml:space="preserve">, </w:t>
      </w:r>
      <w:r>
        <w:rPr>
          <w:lang w:val="fr-FR"/>
        </w:rPr>
        <w:t xml:space="preserve">donner </w:t>
      </w:r>
      <w:r w:rsidRPr="00302701">
        <w:rPr>
          <w:lang w:val="fr-FR"/>
        </w:rPr>
        <w:t>des garanties de non</w:t>
      </w:r>
      <w:r w:rsidR="0088074E">
        <w:rPr>
          <w:lang w:val="fr-FR"/>
        </w:rPr>
        <w:noBreakHyphen/>
      </w:r>
      <w:r w:rsidRPr="00302701">
        <w:rPr>
          <w:lang w:val="fr-FR"/>
        </w:rPr>
        <w:t>répétition</w:t>
      </w:r>
      <w:r>
        <w:rPr>
          <w:lang w:val="fr-FR"/>
        </w:rPr>
        <w:t xml:space="preserve"> et prévoir</w:t>
      </w:r>
      <w:r w:rsidRPr="00302701">
        <w:rPr>
          <w:lang w:val="fr-FR"/>
        </w:rPr>
        <w:t>, à titre d</w:t>
      </w:r>
      <w:r>
        <w:rPr>
          <w:lang w:val="fr-FR"/>
        </w:rPr>
        <w:t>’</w:t>
      </w:r>
      <w:r w:rsidRPr="00302701">
        <w:rPr>
          <w:lang w:val="fr-FR"/>
        </w:rPr>
        <w:t>exemple, des excuses officielles</w:t>
      </w:r>
      <w:r w:rsidRPr="00CD6B67">
        <w:rPr>
          <w:rStyle w:val="FootnoteReference"/>
        </w:rPr>
        <w:footnoteReference w:id="797"/>
      </w:r>
      <w:r>
        <w:rPr>
          <w:lang w:val="fr-FR"/>
        </w:rPr>
        <w:t>, des initiatives de</w:t>
      </w:r>
      <w:r w:rsidRPr="00293268">
        <w:rPr>
          <w:lang w:val="fr-FR"/>
        </w:rPr>
        <w:t xml:space="preserve"> m</w:t>
      </w:r>
      <w:r>
        <w:rPr>
          <w:lang w:val="fr-FR"/>
        </w:rPr>
        <w:t>é</w:t>
      </w:r>
      <w:r w:rsidRPr="00293268">
        <w:rPr>
          <w:lang w:val="fr-FR"/>
        </w:rPr>
        <w:t>moriali</w:t>
      </w:r>
      <w:r>
        <w:rPr>
          <w:lang w:val="fr-FR"/>
        </w:rPr>
        <w:t>s</w:t>
      </w:r>
      <w:r w:rsidRPr="00293268">
        <w:rPr>
          <w:lang w:val="fr-FR"/>
        </w:rPr>
        <w:t>ation</w:t>
      </w:r>
      <w:r w:rsidRPr="00CD6B67">
        <w:rPr>
          <w:rStyle w:val="FootnoteReference"/>
        </w:rPr>
        <w:footnoteReference w:id="798"/>
      </w:r>
      <w:r w:rsidRPr="00293268">
        <w:rPr>
          <w:lang w:val="fr-FR"/>
        </w:rPr>
        <w:t xml:space="preserve"> (</w:t>
      </w:r>
      <w:r>
        <w:rPr>
          <w:lang w:val="fr-FR"/>
        </w:rPr>
        <w:t>voir ci-dessous</w:t>
      </w:r>
      <w:r w:rsidRPr="00293268">
        <w:rPr>
          <w:lang w:val="fr-FR"/>
        </w:rPr>
        <w:t>)</w:t>
      </w:r>
      <w:r>
        <w:rPr>
          <w:lang w:val="fr-FR"/>
        </w:rPr>
        <w:t xml:space="preserve">, ainsi que </w:t>
      </w:r>
      <w:r w:rsidRPr="00E376E8">
        <w:rPr>
          <w:lang w:val="fr-FR"/>
        </w:rPr>
        <w:t>des réformes institutionnelles et éducatives</w:t>
      </w:r>
      <w:r w:rsidRPr="00293268">
        <w:rPr>
          <w:lang w:val="fr-FR"/>
        </w:rPr>
        <w:t xml:space="preserve">. </w:t>
      </w:r>
      <w:r>
        <w:rPr>
          <w:lang w:val="fr-FR"/>
        </w:rPr>
        <w:t xml:space="preserve">Pour que les </w:t>
      </w:r>
      <w:r w:rsidRPr="00A42106">
        <w:rPr>
          <w:lang w:val="fr-FR"/>
        </w:rPr>
        <w:t>réparation</w:t>
      </w:r>
      <w:r>
        <w:rPr>
          <w:lang w:val="fr-FR"/>
        </w:rPr>
        <w:t>s</w:t>
      </w:r>
      <w:r w:rsidRPr="00A42106">
        <w:rPr>
          <w:lang w:val="fr-FR"/>
        </w:rPr>
        <w:t xml:space="preserve"> </w:t>
      </w:r>
      <w:r>
        <w:rPr>
          <w:lang w:val="fr-FR"/>
        </w:rPr>
        <w:t xml:space="preserve">soient </w:t>
      </w:r>
      <w:r w:rsidRPr="00A42106">
        <w:rPr>
          <w:lang w:val="fr-FR"/>
        </w:rPr>
        <w:t>pleine</w:t>
      </w:r>
      <w:r>
        <w:rPr>
          <w:lang w:val="fr-FR"/>
        </w:rPr>
        <w:t>s</w:t>
      </w:r>
      <w:r w:rsidRPr="00A42106">
        <w:rPr>
          <w:lang w:val="fr-FR"/>
        </w:rPr>
        <w:t xml:space="preserve"> et entière</w:t>
      </w:r>
      <w:r>
        <w:rPr>
          <w:lang w:val="fr-FR"/>
        </w:rPr>
        <w:t>s, il importe que</w:t>
      </w:r>
      <w:r w:rsidRPr="00EE0632">
        <w:rPr>
          <w:lang w:val="fr-FR"/>
        </w:rPr>
        <w:t xml:space="preserve"> les droits de l</w:t>
      </w:r>
      <w:r>
        <w:rPr>
          <w:lang w:val="fr-FR"/>
        </w:rPr>
        <w:t>’</w:t>
      </w:r>
      <w:r w:rsidRPr="00EE0632">
        <w:rPr>
          <w:lang w:val="fr-FR"/>
        </w:rPr>
        <w:t xml:space="preserve">homme </w:t>
      </w:r>
      <w:r>
        <w:rPr>
          <w:lang w:val="fr-FR"/>
        </w:rPr>
        <w:t xml:space="preserve">figurent </w:t>
      </w:r>
      <w:r w:rsidRPr="00EE0632">
        <w:rPr>
          <w:lang w:val="fr-FR"/>
        </w:rPr>
        <w:t>au centre des préoccupations</w:t>
      </w:r>
      <w:r>
        <w:rPr>
          <w:lang w:val="fr-FR"/>
        </w:rPr>
        <w:t>,</w:t>
      </w:r>
      <w:r w:rsidRPr="00EE0632">
        <w:rPr>
          <w:lang w:val="fr-FR"/>
        </w:rPr>
        <w:t xml:space="preserve"> qu</w:t>
      </w:r>
      <w:r>
        <w:rPr>
          <w:lang w:val="fr-FR"/>
        </w:rPr>
        <w:t>’</w:t>
      </w:r>
      <w:r w:rsidRPr="00EE0632">
        <w:rPr>
          <w:lang w:val="fr-FR"/>
        </w:rPr>
        <w:t>elles s</w:t>
      </w:r>
      <w:r>
        <w:rPr>
          <w:lang w:val="fr-FR"/>
        </w:rPr>
        <w:t>’</w:t>
      </w:r>
      <w:r w:rsidRPr="00EE0632">
        <w:rPr>
          <w:lang w:val="fr-FR"/>
        </w:rPr>
        <w:t>accompagnent d</w:t>
      </w:r>
      <w:r>
        <w:rPr>
          <w:lang w:val="fr-FR"/>
        </w:rPr>
        <w:t>’</w:t>
      </w:r>
      <w:r w:rsidRPr="00EE0632">
        <w:rPr>
          <w:lang w:val="fr-FR"/>
        </w:rPr>
        <w:t>une reconnaissance de la responsabilité juridique de l</w:t>
      </w:r>
      <w:r>
        <w:rPr>
          <w:lang w:val="fr-FR"/>
        </w:rPr>
        <w:t>’</w:t>
      </w:r>
      <w:r w:rsidRPr="00EE0632">
        <w:rPr>
          <w:lang w:val="fr-FR"/>
        </w:rPr>
        <w:t>État pour les violations subies et qu</w:t>
      </w:r>
      <w:r>
        <w:rPr>
          <w:lang w:val="fr-FR"/>
        </w:rPr>
        <w:t>’</w:t>
      </w:r>
      <w:r w:rsidRPr="00EE0632">
        <w:rPr>
          <w:lang w:val="fr-FR"/>
        </w:rPr>
        <w:t>elles s</w:t>
      </w:r>
      <w:r>
        <w:rPr>
          <w:lang w:val="fr-FR"/>
        </w:rPr>
        <w:t>’</w:t>
      </w:r>
      <w:r w:rsidRPr="00EE0632">
        <w:rPr>
          <w:lang w:val="fr-FR"/>
        </w:rPr>
        <w:t>inscrivent dans un processus de vérité, de justice et de garanties de non-répétition</w:t>
      </w:r>
      <w:r w:rsidRPr="00293268">
        <w:rPr>
          <w:lang w:val="fr-FR"/>
        </w:rPr>
        <w:t>.</w:t>
      </w:r>
    </w:p>
    <w:p w14:paraId="37635C73" w14:textId="77777777" w:rsidR="00D301C6" w:rsidRPr="00293268" w:rsidRDefault="00D301C6" w:rsidP="00D301C6">
      <w:pPr>
        <w:pStyle w:val="SingleTxtG"/>
        <w:rPr>
          <w:u w:val="single"/>
          <w:lang w:val="fr-FR"/>
        </w:rPr>
      </w:pPr>
      <w:r w:rsidRPr="00293268">
        <w:rPr>
          <w:lang w:val="fr-FR"/>
        </w:rPr>
        <w:t>306.</w:t>
      </w:r>
      <w:r w:rsidRPr="00293268">
        <w:rPr>
          <w:lang w:val="fr-FR"/>
        </w:rPr>
        <w:tab/>
      </w:r>
      <w:r w:rsidRPr="00943DA8">
        <w:rPr>
          <w:lang w:val="fr-FR"/>
        </w:rPr>
        <w:t>Les réparations sont indispensables pour transformer les rapports de discrimination et d</w:t>
      </w:r>
      <w:r>
        <w:rPr>
          <w:lang w:val="fr-FR"/>
        </w:rPr>
        <w:t>’</w:t>
      </w:r>
      <w:r w:rsidRPr="00943DA8">
        <w:rPr>
          <w:lang w:val="fr-FR"/>
        </w:rPr>
        <w:t>inégalité et pour s</w:t>
      </w:r>
      <w:r>
        <w:rPr>
          <w:lang w:val="fr-FR"/>
        </w:rPr>
        <w:t>’</w:t>
      </w:r>
      <w:r w:rsidRPr="00943DA8">
        <w:rPr>
          <w:lang w:val="fr-FR"/>
        </w:rPr>
        <w:t xml:space="preserve">engager </w:t>
      </w:r>
      <w:r>
        <w:rPr>
          <w:lang w:val="fr-FR"/>
        </w:rPr>
        <w:t>collectivement</w:t>
      </w:r>
      <w:r w:rsidRPr="00943DA8">
        <w:rPr>
          <w:lang w:val="fr-FR"/>
        </w:rPr>
        <w:t xml:space="preserve"> en faveur d</w:t>
      </w:r>
      <w:r>
        <w:rPr>
          <w:lang w:val="fr-FR"/>
        </w:rPr>
        <w:t>’</w:t>
      </w:r>
      <w:r w:rsidRPr="00943DA8">
        <w:rPr>
          <w:lang w:val="fr-FR"/>
        </w:rPr>
        <w:t>un avenir plus robuste et résilient de dignité,</w:t>
      </w:r>
      <w:r>
        <w:rPr>
          <w:lang w:val="fr-FR"/>
        </w:rPr>
        <w:t xml:space="preserve"> </w:t>
      </w:r>
      <w:r w:rsidRPr="00943DA8">
        <w:rPr>
          <w:lang w:val="fr-FR"/>
        </w:rPr>
        <w:t>d</w:t>
      </w:r>
      <w:r>
        <w:rPr>
          <w:lang w:val="fr-FR"/>
        </w:rPr>
        <w:t>’</w:t>
      </w:r>
      <w:r w:rsidRPr="00943DA8">
        <w:rPr>
          <w:lang w:val="fr-FR"/>
        </w:rPr>
        <w:t>égalité et de non-discrimination pour tous. Les réparations contribuent à promouvoir la confiance dans les institutions et la réintégration sociale des personnes dont les droits ont pu être bafoués, en assurant aux victimes et aux survivants leur reconnaissance en tant que titulaires de droits</w:t>
      </w:r>
      <w:r w:rsidRPr="00CD6B67">
        <w:rPr>
          <w:rStyle w:val="FootnoteReference"/>
        </w:rPr>
        <w:footnoteReference w:id="799"/>
      </w:r>
      <w:r>
        <w:rPr>
          <w:lang w:val="fr-FR"/>
        </w:rPr>
        <w:t>.</w:t>
      </w:r>
    </w:p>
    <w:p w14:paraId="79DE7879" w14:textId="42E87680" w:rsidR="00D301C6" w:rsidRPr="00293268" w:rsidRDefault="00D301C6" w:rsidP="00D301C6">
      <w:pPr>
        <w:pStyle w:val="H23G"/>
        <w:rPr>
          <w:lang w:val="fr-FR"/>
        </w:rPr>
      </w:pPr>
      <w:bookmarkStart w:id="1288" w:name="_Toc72335565"/>
      <w:bookmarkStart w:id="1289" w:name="_Toc74143658"/>
      <w:bookmarkStart w:id="1290" w:name="_Toc74170933"/>
      <w:bookmarkStart w:id="1291" w:name="_Toc74923036"/>
      <w:r w:rsidRPr="00293268">
        <w:rPr>
          <w:lang w:val="fr-FR"/>
        </w:rPr>
        <w:tab/>
        <w:t>5.</w:t>
      </w:r>
      <w:r w:rsidRPr="00293268">
        <w:rPr>
          <w:lang w:val="fr-FR"/>
        </w:rPr>
        <w:tab/>
      </w:r>
      <w:bookmarkEnd w:id="1288"/>
      <w:bookmarkEnd w:id="1289"/>
      <w:bookmarkEnd w:id="1290"/>
      <w:bookmarkEnd w:id="1291"/>
      <w:r w:rsidRPr="004326F2">
        <w:rPr>
          <w:lang w:val="fr-FR"/>
        </w:rPr>
        <w:t>Démanteler les structures et les systèmes conçus et définis par l</w:t>
      </w:r>
      <w:r>
        <w:rPr>
          <w:lang w:val="fr-FR"/>
        </w:rPr>
        <w:t>’</w:t>
      </w:r>
      <w:r w:rsidRPr="004326F2">
        <w:rPr>
          <w:lang w:val="fr-FR"/>
        </w:rPr>
        <w:t xml:space="preserve">esclavage, </w:t>
      </w:r>
      <w:r w:rsidR="001178EC">
        <w:rPr>
          <w:lang w:val="fr-FR"/>
        </w:rPr>
        <w:br/>
      </w:r>
      <w:r w:rsidRPr="004326F2">
        <w:rPr>
          <w:lang w:val="fr-FR"/>
        </w:rPr>
        <w:t xml:space="preserve">le colonialisme et les </w:t>
      </w:r>
      <w:r w:rsidRPr="00610089">
        <w:rPr>
          <w:lang w:val="fr-FR"/>
        </w:rPr>
        <w:t xml:space="preserve">politiques et systèmes discriminatoires sur le plan racial </w:t>
      </w:r>
      <w:r w:rsidR="001178EC">
        <w:rPr>
          <w:lang w:val="fr-FR"/>
        </w:rPr>
        <w:br/>
      </w:r>
      <w:r w:rsidRPr="00610089">
        <w:rPr>
          <w:lang w:val="fr-FR"/>
        </w:rPr>
        <w:t>qui se sont succédé au fil du temps</w:t>
      </w:r>
      <w:r w:rsidR="00BF73AB">
        <w:rPr>
          <w:lang w:val="fr-FR"/>
        </w:rPr>
        <w:t> ;</w:t>
      </w:r>
      <w:r w:rsidRPr="004326F2">
        <w:rPr>
          <w:lang w:val="fr-FR"/>
        </w:rPr>
        <w:t xml:space="preserve"> </w:t>
      </w:r>
      <w:r>
        <w:rPr>
          <w:lang w:val="fr-FR"/>
        </w:rPr>
        <w:t>réinventer</w:t>
      </w:r>
      <w:r w:rsidRPr="004326F2">
        <w:rPr>
          <w:lang w:val="fr-FR"/>
        </w:rPr>
        <w:t xml:space="preserve"> les espaces publics, </w:t>
      </w:r>
      <w:r>
        <w:rPr>
          <w:lang w:val="fr-FR"/>
        </w:rPr>
        <w:t xml:space="preserve">en particulier </w:t>
      </w:r>
      <w:r w:rsidR="001178EC">
        <w:rPr>
          <w:lang w:val="fr-FR"/>
        </w:rPr>
        <w:br/>
      </w:r>
      <w:r>
        <w:rPr>
          <w:lang w:val="fr-FR"/>
        </w:rPr>
        <w:t>en menant un travail de mémoire sur</w:t>
      </w:r>
      <w:r w:rsidRPr="004326F2">
        <w:rPr>
          <w:lang w:val="fr-FR"/>
        </w:rPr>
        <w:t xml:space="preserve"> les contributions des personnes d</w:t>
      </w:r>
      <w:r>
        <w:rPr>
          <w:lang w:val="fr-FR"/>
        </w:rPr>
        <w:t>’</w:t>
      </w:r>
      <w:r w:rsidRPr="004326F2">
        <w:rPr>
          <w:lang w:val="fr-FR"/>
        </w:rPr>
        <w:t xml:space="preserve">ascendance africaine et les </w:t>
      </w:r>
      <w:r>
        <w:rPr>
          <w:lang w:val="fr-FR"/>
        </w:rPr>
        <w:t>torts</w:t>
      </w:r>
      <w:r w:rsidRPr="004326F2">
        <w:rPr>
          <w:lang w:val="fr-FR"/>
        </w:rPr>
        <w:t xml:space="preserve"> qui leur ont été causés et en s</w:t>
      </w:r>
      <w:r>
        <w:rPr>
          <w:lang w:val="fr-FR"/>
        </w:rPr>
        <w:t>’</w:t>
      </w:r>
      <w:r w:rsidRPr="004326F2">
        <w:rPr>
          <w:lang w:val="fr-FR"/>
        </w:rPr>
        <w:t>assurant que l</w:t>
      </w:r>
      <w:r>
        <w:rPr>
          <w:lang w:val="fr-FR"/>
        </w:rPr>
        <w:t>’</w:t>
      </w:r>
      <w:r w:rsidRPr="004326F2">
        <w:rPr>
          <w:lang w:val="fr-FR"/>
        </w:rPr>
        <w:t xml:space="preserve">esclavage, </w:t>
      </w:r>
      <w:r w:rsidR="001178EC">
        <w:rPr>
          <w:lang w:val="fr-FR"/>
        </w:rPr>
        <w:br/>
      </w:r>
      <w:r w:rsidRPr="004326F2">
        <w:rPr>
          <w:lang w:val="fr-FR"/>
        </w:rPr>
        <w:t xml:space="preserve">la traite transatlantique des Africains réduits en esclavage et le colonialisme </w:t>
      </w:r>
      <w:r w:rsidR="001178EC">
        <w:rPr>
          <w:lang w:val="fr-FR"/>
        </w:rPr>
        <w:br/>
      </w:r>
      <w:r w:rsidRPr="004326F2">
        <w:rPr>
          <w:lang w:val="fr-FR"/>
        </w:rPr>
        <w:t>ne soient pas glorifiés</w:t>
      </w:r>
    </w:p>
    <w:p w14:paraId="66C0ABD9" w14:textId="3346FA9A" w:rsidR="00D301C6" w:rsidRPr="00293268" w:rsidRDefault="00D301C6" w:rsidP="00D301C6">
      <w:pPr>
        <w:pStyle w:val="SingleTxtG"/>
        <w:rPr>
          <w:bCs/>
          <w:lang w:val="fr-FR"/>
        </w:rPr>
      </w:pPr>
      <w:bookmarkStart w:id="1292" w:name="_Toc60845044"/>
      <w:bookmarkStart w:id="1293" w:name="_Toc62028879"/>
      <w:bookmarkStart w:id="1294" w:name="_Toc62556546"/>
      <w:bookmarkStart w:id="1295" w:name="_Toc63257318"/>
      <w:bookmarkStart w:id="1296" w:name="_Toc63766565"/>
      <w:bookmarkStart w:id="1297" w:name="_Toc63941407"/>
      <w:bookmarkStart w:id="1298" w:name="_Toc64298303"/>
      <w:bookmarkStart w:id="1299" w:name="_Toc64373163"/>
      <w:bookmarkStart w:id="1300" w:name="_Toc64379825"/>
      <w:r w:rsidRPr="00293268">
        <w:rPr>
          <w:bCs/>
          <w:lang w:val="fr-FR"/>
        </w:rPr>
        <w:t>307.</w:t>
      </w:r>
      <w:r w:rsidRPr="00293268">
        <w:rPr>
          <w:bCs/>
          <w:lang w:val="fr-FR"/>
        </w:rPr>
        <w:tab/>
      </w:r>
      <w:r w:rsidRPr="00353AC9">
        <w:rPr>
          <w:bCs/>
          <w:lang w:val="fr-FR"/>
        </w:rPr>
        <w:t xml:space="preserve">Les mesures prises pour </w:t>
      </w:r>
      <w:r>
        <w:rPr>
          <w:bCs/>
          <w:lang w:val="fr-FR"/>
        </w:rPr>
        <w:t>affronter le</w:t>
      </w:r>
      <w:r w:rsidRPr="00353AC9">
        <w:rPr>
          <w:bCs/>
          <w:lang w:val="fr-FR"/>
        </w:rPr>
        <w:t xml:space="preserve"> passé doivent viser à transformer l</w:t>
      </w:r>
      <w:r>
        <w:rPr>
          <w:bCs/>
          <w:lang w:val="fr-FR"/>
        </w:rPr>
        <w:t>’</w:t>
      </w:r>
      <w:r w:rsidRPr="00353AC9">
        <w:rPr>
          <w:bCs/>
          <w:lang w:val="fr-FR"/>
        </w:rPr>
        <w:t>avenir. Les</w:t>
      </w:r>
      <w:r w:rsidR="00EC0D2F">
        <w:rPr>
          <w:bCs/>
          <w:lang w:val="fr-FR"/>
        </w:rPr>
        <w:t> </w:t>
      </w:r>
      <w:r w:rsidRPr="00353AC9">
        <w:rPr>
          <w:bCs/>
          <w:lang w:val="fr-FR"/>
        </w:rPr>
        <w:t>structures et les systèmes qui ont été conçus et définis par l</w:t>
      </w:r>
      <w:r>
        <w:rPr>
          <w:bCs/>
          <w:lang w:val="fr-FR"/>
        </w:rPr>
        <w:t>’</w:t>
      </w:r>
      <w:r w:rsidRPr="00353AC9">
        <w:rPr>
          <w:bCs/>
          <w:lang w:val="fr-FR"/>
        </w:rPr>
        <w:t xml:space="preserve">esclavage, le colonialisme et les politiques </w:t>
      </w:r>
      <w:r w:rsidRPr="00607915">
        <w:rPr>
          <w:bCs/>
          <w:lang w:val="fr-FR"/>
        </w:rPr>
        <w:t xml:space="preserve">et systèmes discriminatoires sur le plan racial </w:t>
      </w:r>
      <w:r>
        <w:rPr>
          <w:bCs/>
          <w:lang w:val="fr-FR"/>
        </w:rPr>
        <w:t xml:space="preserve">qui se sont succédé au fil du temps </w:t>
      </w:r>
      <w:r w:rsidRPr="00607915">
        <w:rPr>
          <w:bCs/>
          <w:lang w:val="fr-FR"/>
        </w:rPr>
        <w:t>doivent</w:t>
      </w:r>
      <w:r w:rsidRPr="00353AC9">
        <w:rPr>
          <w:bCs/>
          <w:lang w:val="fr-FR"/>
        </w:rPr>
        <w:t xml:space="preserve"> être transformés</w:t>
      </w:r>
      <w:r w:rsidRPr="00CD6B67">
        <w:rPr>
          <w:rStyle w:val="FootnoteReference"/>
        </w:rPr>
        <w:footnoteReference w:id="800"/>
      </w:r>
      <w:r>
        <w:rPr>
          <w:bCs/>
          <w:lang w:val="fr-FR"/>
        </w:rPr>
        <w:t>.</w:t>
      </w:r>
    </w:p>
    <w:p w14:paraId="088D8145" w14:textId="3582730F" w:rsidR="00D301C6" w:rsidRPr="00293268" w:rsidRDefault="00D301C6" w:rsidP="00D301C6">
      <w:pPr>
        <w:pStyle w:val="SingleTxtG"/>
        <w:rPr>
          <w:bCs/>
          <w:lang w:val="fr-FR"/>
        </w:rPr>
      </w:pPr>
      <w:r w:rsidRPr="00293268">
        <w:rPr>
          <w:bCs/>
          <w:lang w:val="fr-FR"/>
        </w:rPr>
        <w:t>308.</w:t>
      </w:r>
      <w:r w:rsidRPr="00293268">
        <w:rPr>
          <w:bCs/>
          <w:lang w:val="fr-FR"/>
        </w:rPr>
        <w:tab/>
      </w:r>
      <w:r w:rsidRPr="00625208">
        <w:rPr>
          <w:bCs/>
          <w:lang w:val="fr-FR"/>
        </w:rPr>
        <w:t xml:space="preserve">Les </w:t>
      </w:r>
      <w:r w:rsidRPr="003158CD">
        <w:rPr>
          <w:bCs/>
          <w:lang w:val="fr-FR"/>
        </w:rPr>
        <w:t>mesures mémorielles</w:t>
      </w:r>
      <w:r w:rsidRPr="00625208">
        <w:rPr>
          <w:bCs/>
          <w:lang w:val="fr-FR"/>
        </w:rPr>
        <w:t xml:space="preserve">, en particulier, constituent un outil </w:t>
      </w:r>
      <w:r w:rsidRPr="0019750D">
        <w:rPr>
          <w:bCs/>
          <w:lang w:val="fr-FR"/>
        </w:rPr>
        <w:t>de réparation essentiel</w:t>
      </w:r>
      <w:r w:rsidRPr="00CD6B67">
        <w:rPr>
          <w:rStyle w:val="FootnoteReference"/>
        </w:rPr>
        <w:footnoteReference w:id="801"/>
      </w:r>
      <w:r w:rsidRPr="0019750D">
        <w:rPr>
          <w:bCs/>
          <w:lang w:val="fr-FR"/>
        </w:rPr>
        <w:t>. Les États et les autres parties prenantes devraient prolonger les efforts de l’UNESCO dans le cadre du projet «</w:t>
      </w:r>
      <w:r w:rsidR="00EC0D2F">
        <w:rPr>
          <w:bCs/>
          <w:lang w:val="fr-FR"/>
        </w:rPr>
        <w:t> </w:t>
      </w:r>
      <w:r w:rsidRPr="0019750D">
        <w:rPr>
          <w:bCs/>
          <w:lang w:val="fr-FR"/>
        </w:rPr>
        <w:t>La route de l’esclave</w:t>
      </w:r>
      <w:r w:rsidR="00EC0D2F">
        <w:rPr>
          <w:bCs/>
          <w:lang w:val="fr-FR"/>
        </w:rPr>
        <w:t> </w:t>
      </w:r>
      <w:r w:rsidRPr="0019750D">
        <w:rPr>
          <w:bCs/>
          <w:lang w:val="fr-FR"/>
        </w:rPr>
        <w:t>» et créer des centres et/ou programmes éducatifs</w:t>
      </w:r>
      <w:r>
        <w:rPr>
          <w:bCs/>
          <w:lang w:val="fr-FR"/>
        </w:rPr>
        <w:t xml:space="preserve"> et </w:t>
      </w:r>
      <w:r w:rsidRPr="001654DC">
        <w:rPr>
          <w:bCs/>
          <w:lang w:val="fr-FR"/>
        </w:rPr>
        <w:t>multimédias avec des textes et des témoignages sur l</w:t>
      </w:r>
      <w:r>
        <w:rPr>
          <w:bCs/>
          <w:lang w:val="fr-FR"/>
        </w:rPr>
        <w:t>’</w:t>
      </w:r>
      <w:r w:rsidRPr="001654DC">
        <w:rPr>
          <w:bCs/>
          <w:lang w:val="fr-FR"/>
        </w:rPr>
        <w:t>esclavage qui recueilleront, enregistreront, organiseront, présenteront et publieront les données disponibles sur l</w:t>
      </w:r>
      <w:r>
        <w:rPr>
          <w:bCs/>
          <w:lang w:val="fr-FR"/>
        </w:rPr>
        <w:t>’</w:t>
      </w:r>
      <w:r w:rsidRPr="001654DC">
        <w:rPr>
          <w:bCs/>
          <w:lang w:val="fr-FR"/>
        </w:rPr>
        <w:t>histoire de l</w:t>
      </w:r>
      <w:r>
        <w:rPr>
          <w:bCs/>
          <w:lang w:val="fr-FR"/>
        </w:rPr>
        <w:t>’</w:t>
      </w:r>
      <w:r w:rsidRPr="001654DC">
        <w:rPr>
          <w:bCs/>
          <w:lang w:val="fr-FR"/>
        </w:rPr>
        <w:t>esclavage</w:t>
      </w:r>
      <w:r w:rsidRPr="00625208">
        <w:rPr>
          <w:bCs/>
          <w:lang w:val="fr-FR"/>
        </w:rPr>
        <w:t xml:space="preserve">, du commerce transatlantique des Africains réduits en esclavage, du colonialisme et </w:t>
      </w:r>
      <w:r w:rsidRPr="00A50516">
        <w:rPr>
          <w:bCs/>
          <w:lang w:val="fr-FR"/>
        </w:rPr>
        <w:t xml:space="preserve">des politiques discriminatoires sur le plan racial qui se sont succédé au fil </w:t>
      </w:r>
      <w:r>
        <w:rPr>
          <w:bCs/>
          <w:lang w:val="fr-FR"/>
        </w:rPr>
        <w:t>du temps</w:t>
      </w:r>
      <w:r w:rsidRPr="00CD6B67">
        <w:rPr>
          <w:rStyle w:val="FootnoteReference"/>
        </w:rPr>
        <w:footnoteReference w:id="802"/>
      </w:r>
      <w:r w:rsidRPr="00A50516">
        <w:rPr>
          <w:bCs/>
          <w:lang w:val="fr-FR"/>
        </w:rPr>
        <w:t>.</w:t>
      </w:r>
    </w:p>
    <w:p w14:paraId="37A4FAF3" w14:textId="77777777" w:rsidR="00D301C6" w:rsidRPr="00293268" w:rsidRDefault="00D301C6" w:rsidP="00D301C6">
      <w:pPr>
        <w:pStyle w:val="SingleTxtG"/>
        <w:rPr>
          <w:lang w:val="fr-FR"/>
        </w:rPr>
      </w:pPr>
      <w:r w:rsidRPr="00293268">
        <w:rPr>
          <w:bCs/>
          <w:lang w:val="fr-FR"/>
        </w:rPr>
        <w:t>309.</w:t>
      </w:r>
      <w:r w:rsidRPr="00293268">
        <w:rPr>
          <w:bCs/>
          <w:lang w:val="fr-FR"/>
        </w:rPr>
        <w:tab/>
      </w:r>
      <w:r w:rsidRPr="00660E6E">
        <w:rPr>
          <w:bCs/>
          <w:lang w:val="fr-FR"/>
        </w:rPr>
        <w:t>La révision des programmes scolaires et universitaires, pour l</w:t>
      </w:r>
      <w:r>
        <w:rPr>
          <w:bCs/>
          <w:lang w:val="fr-FR"/>
        </w:rPr>
        <w:t>’</w:t>
      </w:r>
      <w:r w:rsidRPr="00660E6E">
        <w:rPr>
          <w:bCs/>
          <w:lang w:val="fr-FR"/>
        </w:rPr>
        <w:t>enseignement de l</w:t>
      </w:r>
      <w:r>
        <w:rPr>
          <w:bCs/>
          <w:lang w:val="fr-FR"/>
        </w:rPr>
        <w:t>’</w:t>
      </w:r>
      <w:r w:rsidRPr="00660E6E">
        <w:rPr>
          <w:bCs/>
          <w:lang w:val="fr-FR"/>
        </w:rPr>
        <w:t>histoire</w:t>
      </w:r>
      <w:r>
        <w:rPr>
          <w:bCs/>
          <w:lang w:val="fr-FR"/>
        </w:rPr>
        <w:t xml:space="preserve"> notamment</w:t>
      </w:r>
      <w:r w:rsidRPr="00660E6E">
        <w:rPr>
          <w:bCs/>
          <w:lang w:val="fr-FR"/>
        </w:rPr>
        <w:t>, et la mémorialisation, en particulier au moyen de musées, peuvent constituer des formes concrètes et symboliques de réparation de l</w:t>
      </w:r>
      <w:r>
        <w:rPr>
          <w:bCs/>
          <w:lang w:val="fr-FR"/>
        </w:rPr>
        <w:t>’</w:t>
      </w:r>
      <w:r w:rsidRPr="00660E6E">
        <w:rPr>
          <w:bCs/>
          <w:lang w:val="fr-FR"/>
        </w:rPr>
        <w:t>histoire et de ses séquelles et contribuer à transformer les récits historiques qui excluent fréquemment les contributions des Africains et des personnes d</w:t>
      </w:r>
      <w:r>
        <w:rPr>
          <w:bCs/>
          <w:lang w:val="fr-FR"/>
        </w:rPr>
        <w:t>’</w:t>
      </w:r>
      <w:r w:rsidRPr="00660E6E">
        <w:rPr>
          <w:bCs/>
          <w:lang w:val="fr-FR"/>
        </w:rPr>
        <w:t>ascendance africaine. À cet égard, les États devraient</w:t>
      </w:r>
      <w:r>
        <w:rPr>
          <w:bCs/>
          <w:lang w:val="fr-FR"/>
        </w:rPr>
        <w:t xml:space="preserve"> inclure,</w:t>
      </w:r>
      <w:r w:rsidRPr="00660E6E">
        <w:rPr>
          <w:bCs/>
          <w:lang w:val="fr-FR"/>
        </w:rPr>
        <w:t xml:space="preserve"> dans les manuels scolaires, à tous les niveaux, des chapitres sur l</w:t>
      </w:r>
      <w:r>
        <w:rPr>
          <w:bCs/>
          <w:lang w:val="fr-FR"/>
        </w:rPr>
        <w:t>’</w:t>
      </w:r>
      <w:r w:rsidRPr="00660E6E">
        <w:rPr>
          <w:bCs/>
          <w:lang w:val="fr-FR"/>
        </w:rPr>
        <w:t>histoire et la culture des personnes d</w:t>
      </w:r>
      <w:r>
        <w:rPr>
          <w:bCs/>
          <w:lang w:val="fr-FR"/>
        </w:rPr>
        <w:t>’</w:t>
      </w:r>
      <w:r w:rsidRPr="00660E6E">
        <w:rPr>
          <w:bCs/>
          <w:lang w:val="fr-FR"/>
        </w:rPr>
        <w:t>ascendance africaine et préserver ce savoir dans les musées et d</w:t>
      </w:r>
      <w:r>
        <w:rPr>
          <w:bCs/>
          <w:lang w:val="fr-FR"/>
        </w:rPr>
        <w:t>’</w:t>
      </w:r>
      <w:r w:rsidRPr="00660E6E">
        <w:rPr>
          <w:bCs/>
          <w:lang w:val="fr-FR"/>
        </w:rPr>
        <w:t>autres institutions pour les générations à venir, et encourager et soutenir la publication et la diffusion d</w:t>
      </w:r>
      <w:r>
        <w:rPr>
          <w:bCs/>
          <w:lang w:val="fr-FR"/>
        </w:rPr>
        <w:t>’</w:t>
      </w:r>
      <w:r w:rsidRPr="00660E6E">
        <w:rPr>
          <w:bCs/>
          <w:lang w:val="fr-FR"/>
        </w:rPr>
        <w:t>ouvrages et d</w:t>
      </w:r>
      <w:r>
        <w:rPr>
          <w:bCs/>
          <w:lang w:val="fr-FR"/>
        </w:rPr>
        <w:t>’</w:t>
      </w:r>
      <w:r w:rsidRPr="00660E6E">
        <w:rPr>
          <w:bCs/>
          <w:lang w:val="fr-FR"/>
        </w:rPr>
        <w:t>autres documents imprimés, ainsi que la retransmission de programmes télévisés et radiophoniques concernant l</w:t>
      </w:r>
      <w:r>
        <w:rPr>
          <w:bCs/>
          <w:lang w:val="fr-FR"/>
        </w:rPr>
        <w:t>’</w:t>
      </w:r>
      <w:r w:rsidRPr="00660E6E">
        <w:rPr>
          <w:bCs/>
          <w:lang w:val="fr-FR"/>
        </w:rPr>
        <w:t>histoire et la culture de ces personnes</w:t>
      </w:r>
      <w:r w:rsidRPr="00CD6B67">
        <w:rPr>
          <w:rStyle w:val="FootnoteReference"/>
        </w:rPr>
        <w:footnoteReference w:id="803"/>
      </w:r>
      <w:bookmarkEnd w:id="1292"/>
      <w:bookmarkEnd w:id="1293"/>
      <w:bookmarkEnd w:id="1294"/>
      <w:bookmarkEnd w:id="1295"/>
      <w:bookmarkEnd w:id="1296"/>
      <w:bookmarkEnd w:id="1297"/>
      <w:bookmarkEnd w:id="1298"/>
      <w:bookmarkEnd w:id="1299"/>
      <w:bookmarkEnd w:id="1300"/>
      <w:r>
        <w:rPr>
          <w:bCs/>
          <w:lang w:val="fr-FR"/>
        </w:rPr>
        <w:t>.</w:t>
      </w:r>
    </w:p>
    <w:p w14:paraId="4F3C0FAC" w14:textId="1D52C61D" w:rsidR="00D301C6" w:rsidRPr="00293268" w:rsidRDefault="00D301C6" w:rsidP="00D301C6">
      <w:pPr>
        <w:pStyle w:val="SingleTxtG"/>
        <w:rPr>
          <w:lang w:val="fr-FR"/>
        </w:rPr>
      </w:pPr>
      <w:r w:rsidRPr="00293268">
        <w:rPr>
          <w:lang w:val="fr-FR"/>
        </w:rPr>
        <w:t>310.</w:t>
      </w:r>
      <w:r w:rsidRPr="00293268">
        <w:rPr>
          <w:lang w:val="fr-FR"/>
        </w:rPr>
        <w:tab/>
      </w:r>
      <w:r w:rsidRPr="00B92AD7">
        <w:rPr>
          <w:lang w:val="fr-FR"/>
        </w:rPr>
        <w:t xml:space="preserve">La justice exige des mesures </w:t>
      </w:r>
      <w:r>
        <w:rPr>
          <w:lang w:val="fr-FR"/>
        </w:rPr>
        <w:t>effectives</w:t>
      </w:r>
      <w:r w:rsidRPr="00B92AD7">
        <w:rPr>
          <w:lang w:val="fr-FR"/>
        </w:rPr>
        <w:t xml:space="preserve"> qui donnent concrètement effet au principe selon lequel tous les êtres humains naissent égaux en dignité et en droits. Cela signifie qu</w:t>
      </w:r>
      <w:r>
        <w:rPr>
          <w:lang w:val="fr-FR"/>
        </w:rPr>
        <w:t>’</w:t>
      </w:r>
      <w:r w:rsidRPr="00B92AD7">
        <w:rPr>
          <w:lang w:val="fr-FR"/>
        </w:rPr>
        <w:t>il faut s</w:t>
      </w:r>
      <w:r>
        <w:rPr>
          <w:lang w:val="fr-FR"/>
        </w:rPr>
        <w:t>’</w:t>
      </w:r>
      <w:r w:rsidRPr="00B92AD7">
        <w:rPr>
          <w:lang w:val="fr-FR"/>
        </w:rPr>
        <w:t xml:space="preserve">attaquer aux idéologies qui visent à perpétuer la discrimination et changer les conditions de vie qui ont </w:t>
      </w:r>
      <w:r>
        <w:rPr>
          <w:lang w:val="fr-FR"/>
        </w:rPr>
        <w:t>fait le terreau de</w:t>
      </w:r>
      <w:r w:rsidRPr="00B92AD7">
        <w:rPr>
          <w:lang w:val="fr-FR"/>
        </w:rPr>
        <w:t xml:space="preserve"> l</w:t>
      </w:r>
      <w:r>
        <w:rPr>
          <w:lang w:val="fr-FR"/>
        </w:rPr>
        <w:t>’</w:t>
      </w:r>
      <w:r w:rsidRPr="00B92AD7">
        <w:rPr>
          <w:lang w:val="fr-FR"/>
        </w:rPr>
        <w:t xml:space="preserve">inégalité, </w:t>
      </w:r>
      <w:r>
        <w:rPr>
          <w:lang w:val="fr-FR"/>
        </w:rPr>
        <w:t xml:space="preserve">de </w:t>
      </w:r>
      <w:r w:rsidRPr="00B92AD7">
        <w:rPr>
          <w:lang w:val="fr-FR"/>
        </w:rPr>
        <w:t>l</w:t>
      </w:r>
      <w:r>
        <w:rPr>
          <w:lang w:val="fr-FR"/>
        </w:rPr>
        <w:t>’</w:t>
      </w:r>
      <w:r w:rsidRPr="00B92AD7">
        <w:rPr>
          <w:lang w:val="fr-FR"/>
        </w:rPr>
        <w:t>indignité et</w:t>
      </w:r>
      <w:r>
        <w:rPr>
          <w:lang w:val="fr-FR"/>
        </w:rPr>
        <w:t xml:space="preserve"> de</w:t>
      </w:r>
      <w:r w:rsidRPr="00B92AD7">
        <w:rPr>
          <w:lang w:val="fr-FR"/>
        </w:rPr>
        <w:t xml:space="preserve"> l</w:t>
      </w:r>
      <w:r>
        <w:rPr>
          <w:lang w:val="fr-FR"/>
        </w:rPr>
        <w:t>’</w:t>
      </w:r>
      <w:r w:rsidRPr="00B92AD7">
        <w:rPr>
          <w:lang w:val="fr-FR"/>
        </w:rPr>
        <w:t>injustice. Des</w:t>
      </w:r>
      <w:r w:rsidR="001923BC">
        <w:rPr>
          <w:lang w:val="fr-FR"/>
        </w:rPr>
        <w:t> </w:t>
      </w:r>
      <w:r w:rsidRPr="00B92AD7">
        <w:rPr>
          <w:lang w:val="fr-FR"/>
        </w:rPr>
        <w:t>programmes</w:t>
      </w:r>
      <w:r>
        <w:rPr>
          <w:lang w:val="fr-FR"/>
        </w:rPr>
        <w:t xml:space="preserve"> intégrés</w:t>
      </w:r>
      <w:r w:rsidRPr="00B92AD7">
        <w:rPr>
          <w:lang w:val="fr-FR"/>
        </w:rPr>
        <w:t xml:space="preserve"> de réparation doivent être mis en place pour atteindre ces objectifs</w:t>
      </w:r>
      <w:r w:rsidRPr="00293268">
        <w:rPr>
          <w:lang w:val="fr-FR"/>
        </w:rPr>
        <w:t>.</w:t>
      </w:r>
    </w:p>
    <w:p w14:paraId="4E3219B1" w14:textId="77777777" w:rsidR="00D301C6" w:rsidRPr="00293268" w:rsidRDefault="00D301C6" w:rsidP="001923BC">
      <w:pPr>
        <w:pStyle w:val="HChG"/>
        <w:rPr>
          <w:lang w:val="fr-FR"/>
        </w:rPr>
      </w:pPr>
      <w:r w:rsidRPr="00293268">
        <w:rPr>
          <w:lang w:val="fr-FR"/>
        </w:rPr>
        <w:tab/>
        <w:t>VI.</w:t>
      </w:r>
      <w:r w:rsidRPr="00293268">
        <w:rPr>
          <w:lang w:val="fr-FR"/>
        </w:rPr>
        <w:tab/>
        <w:t>Conclusions</w:t>
      </w:r>
    </w:p>
    <w:p w14:paraId="73107DD4" w14:textId="77777777" w:rsidR="00D301C6" w:rsidRPr="00293268" w:rsidRDefault="00D301C6" w:rsidP="00D301C6">
      <w:pPr>
        <w:pStyle w:val="SingleTxtG"/>
        <w:rPr>
          <w:b/>
          <w:lang w:val="fr-FR"/>
        </w:rPr>
      </w:pPr>
      <w:r w:rsidRPr="00293268">
        <w:rPr>
          <w:lang w:val="fr-FR"/>
        </w:rPr>
        <w:t>311.</w:t>
      </w:r>
      <w:r w:rsidRPr="00293268">
        <w:rPr>
          <w:lang w:val="fr-FR"/>
        </w:rPr>
        <w:tab/>
      </w:r>
      <w:r w:rsidRPr="00976936">
        <w:rPr>
          <w:b/>
          <w:bCs/>
          <w:lang w:val="fr-FR"/>
        </w:rPr>
        <w:t>Lu</w:t>
      </w:r>
      <w:r>
        <w:rPr>
          <w:lang w:val="fr-FR"/>
        </w:rPr>
        <w:t xml:space="preserve"> c</w:t>
      </w:r>
      <w:r w:rsidRPr="00293268">
        <w:rPr>
          <w:b/>
          <w:lang w:val="fr-FR"/>
        </w:rPr>
        <w:t>onjointement avec le rapport</w:t>
      </w:r>
      <w:r>
        <w:rPr>
          <w:b/>
          <w:lang w:val="fr-FR"/>
        </w:rPr>
        <w:t xml:space="preserve"> </w:t>
      </w:r>
      <w:r w:rsidRPr="00293268">
        <w:rPr>
          <w:b/>
          <w:lang w:val="fr-FR"/>
        </w:rPr>
        <w:t>A/HRC/47/53, le présent document de séance</w:t>
      </w:r>
      <w:r w:rsidRPr="00293268">
        <w:rPr>
          <w:lang w:val="fr-FR"/>
        </w:rPr>
        <w:t xml:space="preserve"> </w:t>
      </w:r>
      <w:r>
        <w:rPr>
          <w:b/>
          <w:lang w:val="fr-FR"/>
        </w:rPr>
        <w:t>fait fond sur</w:t>
      </w:r>
      <w:r w:rsidRPr="00293268">
        <w:rPr>
          <w:b/>
          <w:lang w:val="fr-FR"/>
        </w:rPr>
        <w:t xml:space="preserve"> l</w:t>
      </w:r>
      <w:r>
        <w:rPr>
          <w:b/>
          <w:lang w:val="fr-FR"/>
        </w:rPr>
        <w:t>’</w:t>
      </w:r>
      <w:r w:rsidRPr="00293268">
        <w:rPr>
          <w:b/>
          <w:lang w:val="fr-FR"/>
        </w:rPr>
        <w:t>expérience vécue par les familles de victimes et les personnes d</w:t>
      </w:r>
      <w:r>
        <w:rPr>
          <w:b/>
          <w:lang w:val="fr-FR"/>
        </w:rPr>
        <w:t>’</w:t>
      </w:r>
      <w:r w:rsidRPr="00293268">
        <w:rPr>
          <w:b/>
          <w:lang w:val="fr-FR"/>
        </w:rPr>
        <w:t>ascendance africaine, dont le courage et la détermination poussent les États, l</w:t>
      </w:r>
      <w:r>
        <w:rPr>
          <w:b/>
          <w:lang w:val="fr-FR"/>
        </w:rPr>
        <w:t>’</w:t>
      </w:r>
      <w:r w:rsidRPr="00293268">
        <w:rPr>
          <w:b/>
          <w:lang w:val="fr-FR"/>
        </w:rPr>
        <w:t>ONU et d</w:t>
      </w:r>
      <w:r>
        <w:rPr>
          <w:b/>
          <w:lang w:val="fr-FR"/>
        </w:rPr>
        <w:t>’</w:t>
      </w:r>
      <w:r w:rsidRPr="00293268">
        <w:rPr>
          <w:b/>
          <w:lang w:val="fr-FR"/>
        </w:rPr>
        <w:t xml:space="preserve">autres acteurs à </w:t>
      </w:r>
      <w:r>
        <w:rPr>
          <w:b/>
          <w:lang w:val="fr-FR"/>
        </w:rPr>
        <w:t>faire preuve de</w:t>
      </w:r>
      <w:r w:rsidRPr="00293268">
        <w:rPr>
          <w:b/>
          <w:lang w:val="fr-FR"/>
        </w:rPr>
        <w:t xml:space="preserve"> plus d</w:t>
      </w:r>
      <w:r>
        <w:rPr>
          <w:b/>
          <w:lang w:val="fr-FR"/>
        </w:rPr>
        <w:t>’</w:t>
      </w:r>
      <w:r w:rsidRPr="00293268">
        <w:rPr>
          <w:b/>
          <w:lang w:val="fr-FR"/>
        </w:rPr>
        <w:t xml:space="preserve">audace pour remédier </w:t>
      </w:r>
      <w:r>
        <w:rPr>
          <w:b/>
          <w:lang w:val="fr-FR"/>
        </w:rPr>
        <w:t xml:space="preserve">à </w:t>
      </w:r>
      <w:r w:rsidRPr="00CF6F15">
        <w:rPr>
          <w:b/>
          <w:lang w:val="fr-FR"/>
        </w:rPr>
        <w:t>des violations de longue date des droits de l</w:t>
      </w:r>
      <w:r>
        <w:rPr>
          <w:b/>
          <w:lang w:val="fr-FR"/>
        </w:rPr>
        <w:t>’</w:t>
      </w:r>
      <w:r w:rsidRPr="00CF6F15">
        <w:rPr>
          <w:b/>
          <w:lang w:val="fr-FR"/>
        </w:rPr>
        <w:t>homme</w:t>
      </w:r>
      <w:r w:rsidRPr="00293268">
        <w:rPr>
          <w:b/>
          <w:lang w:val="fr-FR"/>
        </w:rPr>
        <w:t xml:space="preserve"> et parvenir à une justice réparatrice.</w:t>
      </w:r>
    </w:p>
    <w:p w14:paraId="5AB828BF" w14:textId="5EF08DF0" w:rsidR="00D301C6" w:rsidRPr="00293268" w:rsidRDefault="00D301C6" w:rsidP="00D301C6">
      <w:pPr>
        <w:pStyle w:val="SingleTxtG"/>
        <w:rPr>
          <w:b/>
          <w:lang w:val="fr-FR"/>
        </w:rPr>
      </w:pPr>
      <w:r w:rsidRPr="00293268">
        <w:rPr>
          <w:lang w:val="fr-FR"/>
        </w:rPr>
        <w:t>312.</w:t>
      </w:r>
      <w:r w:rsidRPr="00293268">
        <w:rPr>
          <w:lang w:val="fr-FR"/>
        </w:rPr>
        <w:tab/>
      </w:r>
      <w:r>
        <w:rPr>
          <w:b/>
          <w:lang w:val="fr-FR"/>
        </w:rPr>
        <w:t>Une occasion unique s’offre aujourd’hui</w:t>
      </w:r>
      <w:r w:rsidRPr="0088616A">
        <w:rPr>
          <w:b/>
          <w:lang w:val="fr-FR"/>
        </w:rPr>
        <w:t xml:space="preserve"> </w:t>
      </w:r>
      <w:r>
        <w:rPr>
          <w:b/>
          <w:lang w:val="fr-FR"/>
        </w:rPr>
        <w:t>de franchir un cap dans la concrétisation</w:t>
      </w:r>
      <w:r w:rsidRPr="0088616A">
        <w:rPr>
          <w:b/>
          <w:lang w:val="fr-FR"/>
        </w:rPr>
        <w:t xml:space="preserve"> de l’égalité et de la justice raciales.</w:t>
      </w:r>
      <w:r w:rsidRPr="00293268">
        <w:rPr>
          <w:b/>
          <w:lang w:val="fr-FR"/>
        </w:rPr>
        <w:t xml:space="preserve"> Les Africains et les personnes d</w:t>
      </w:r>
      <w:r>
        <w:rPr>
          <w:b/>
          <w:lang w:val="fr-FR"/>
        </w:rPr>
        <w:t>’</w:t>
      </w:r>
      <w:r w:rsidRPr="00293268">
        <w:rPr>
          <w:b/>
          <w:lang w:val="fr-FR"/>
        </w:rPr>
        <w:t xml:space="preserve">ascendance africaine, comme tous les êtres humains, naissent libres et égaux en dignité et en droits. </w:t>
      </w:r>
      <w:r>
        <w:rPr>
          <w:b/>
          <w:lang w:val="fr-FR"/>
        </w:rPr>
        <w:t>S’appuyant sur l</w:t>
      </w:r>
      <w:r w:rsidRPr="00293268">
        <w:rPr>
          <w:b/>
          <w:lang w:val="fr-FR"/>
        </w:rPr>
        <w:t>eurs obligations et engagements internationaux, les États doivent faire preuve d</w:t>
      </w:r>
      <w:r>
        <w:rPr>
          <w:b/>
          <w:lang w:val="fr-FR"/>
        </w:rPr>
        <w:t>’</w:t>
      </w:r>
      <w:r w:rsidRPr="00293268">
        <w:rPr>
          <w:b/>
          <w:lang w:val="fr-FR"/>
        </w:rPr>
        <w:t xml:space="preserve">une volonté politique accrue </w:t>
      </w:r>
      <w:r>
        <w:rPr>
          <w:b/>
          <w:lang w:val="fr-FR"/>
        </w:rPr>
        <w:t>pour accélérer l’action</w:t>
      </w:r>
      <w:r w:rsidRPr="00293268">
        <w:rPr>
          <w:b/>
          <w:lang w:val="fr-FR"/>
        </w:rPr>
        <w:t xml:space="preserve"> en faveur de la justice et de l</w:t>
      </w:r>
      <w:r>
        <w:rPr>
          <w:b/>
          <w:lang w:val="fr-FR"/>
        </w:rPr>
        <w:t>’</w:t>
      </w:r>
      <w:r w:rsidRPr="00293268">
        <w:rPr>
          <w:b/>
          <w:lang w:val="fr-FR"/>
        </w:rPr>
        <w:t>égalité raciales, notamment en prenant des mesures concrètes pour donner suite aux recommandations formulées par les mécanismes des droits de l</w:t>
      </w:r>
      <w:r>
        <w:rPr>
          <w:b/>
          <w:lang w:val="fr-FR"/>
        </w:rPr>
        <w:t>’</w:t>
      </w:r>
      <w:r w:rsidRPr="00293268">
        <w:rPr>
          <w:b/>
          <w:lang w:val="fr-FR"/>
        </w:rPr>
        <w:t>homme de l</w:t>
      </w:r>
      <w:r>
        <w:rPr>
          <w:b/>
          <w:lang w:val="fr-FR"/>
        </w:rPr>
        <w:t>’</w:t>
      </w:r>
      <w:r w:rsidRPr="00293268">
        <w:rPr>
          <w:b/>
          <w:lang w:val="fr-FR"/>
        </w:rPr>
        <w:t xml:space="preserve">ONU </w:t>
      </w:r>
      <w:r w:rsidRPr="00492556">
        <w:rPr>
          <w:b/>
          <w:lang w:val="fr-FR"/>
        </w:rPr>
        <w:t>et leurs homologues régionaux, l</w:t>
      </w:r>
      <w:r w:rsidRPr="00293268">
        <w:rPr>
          <w:b/>
          <w:lang w:val="fr-FR"/>
        </w:rPr>
        <w:t>es commissions d</w:t>
      </w:r>
      <w:r>
        <w:rPr>
          <w:b/>
          <w:lang w:val="fr-FR"/>
        </w:rPr>
        <w:t>’</w:t>
      </w:r>
      <w:r w:rsidRPr="00293268">
        <w:rPr>
          <w:b/>
          <w:lang w:val="fr-FR"/>
        </w:rPr>
        <w:t>enquête nationales, les institutions nationales des droits de l</w:t>
      </w:r>
      <w:r>
        <w:rPr>
          <w:b/>
          <w:lang w:val="fr-FR"/>
        </w:rPr>
        <w:t>’</w:t>
      </w:r>
      <w:r w:rsidRPr="00293268">
        <w:rPr>
          <w:b/>
          <w:lang w:val="fr-FR"/>
        </w:rPr>
        <w:t>homme et les institutions chargées de l</w:t>
      </w:r>
      <w:r>
        <w:rPr>
          <w:b/>
          <w:lang w:val="fr-FR"/>
        </w:rPr>
        <w:t>’</w:t>
      </w:r>
      <w:r w:rsidRPr="00293268">
        <w:rPr>
          <w:b/>
          <w:lang w:val="fr-FR"/>
        </w:rPr>
        <w:t>égalité. Un très grand nombre de recommandations ont été f</w:t>
      </w:r>
      <w:r>
        <w:rPr>
          <w:b/>
          <w:lang w:val="fr-FR"/>
        </w:rPr>
        <w:t>ormulée</w:t>
      </w:r>
      <w:r w:rsidRPr="00293268">
        <w:rPr>
          <w:b/>
          <w:lang w:val="fr-FR"/>
        </w:rPr>
        <w:t>s. Il est temps de passer à l</w:t>
      </w:r>
      <w:r>
        <w:rPr>
          <w:b/>
          <w:lang w:val="fr-FR"/>
        </w:rPr>
        <w:t>’</w:t>
      </w:r>
      <w:r w:rsidRPr="00293268">
        <w:rPr>
          <w:b/>
          <w:lang w:val="fr-FR"/>
        </w:rPr>
        <w:t>action.</w:t>
      </w:r>
    </w:p>
    <w:p w14:paraId="6600159B" w14:textId="5141E892" w:rsidR="00D301C6" w:rsidRPr="00293268" w:rsidRDefault="00D301C6" w:rsidP="00171B65">
      <w:pPr>
        <w:pStyle w:val="SingleTxtG"/>
        <w:keepNext/>
        <w:rPr>
          <w:b/>
          <w:lang w:val="fr-FR"/>
        </w:rPr>
      </w:pPr>
      <w:r w:rsidRPr="00293268">
        <w:rPr>
          <w:lang w:val="fr-FR"/>
        </w:rPr>
        <w:t>313.</w:t>
      </w:r>
      <w:r w:rsidRPr="00293268">
        <w:rPr>
          <w:lang w:val="fr-FR"/>
        </w:rPr>
        <w:tab/>
      </w:r>
      <w:r w:rsidRPr="00247F71">
        <w:rPr>
          <w:b/>
          <w:bCs/>
        </w:rPr>
        <w:t>À entendre les personnes d’ascendance africaine, il est évident qu’un programme</w:t>
      </w:r>
      <w:r w:rsidR="00171B65">
        <w:rPr>
          <w:b/>
          <w:bCs/>
        </w:rPr>
        <w:t xml:space="preserve"> </w:t>
      </w:r>
      <w:r w:rsidRPr="00247F71">
        <w:rPr>
          <w:b/>
          <w:bCs/>
        </w:rPr>
        <w:t>mondial axé sur la transformation pour la justice et l’égalité raciales est nécessaire.</w:t>
      </w:r>
      <w:r w:rsidR="00171B65">
        <w:rPr>
          <w:b/>
          <w:bCs/>
        </w:rPr>
        <w:t xml:space="preserve"> </w:t>
      </w:r>
      <w:r w:rsidRPr="00247F71">
        <w:rPr>
          <w:b/>
          <w:bCs/>
        </w:rPr>
        <w:t>Le</w:t>
      </w:r>
      <w:r w:rsidR="00171B65">
        <w:rPr>
          <w:b/>
          <w:bCs/>
        </w:rPr>
        <w:t> </w:t>
      </w:r>
      <w:r w:rsidRPr="00247F71">
        <w:rPr>
          <w:b/>
          <w:bCs/>
        </w:rPr>
        <w:t>programme en quatre points figurant à l’annexe du rapport A/HRC/47/53 énumère les</w:t>
      </w:r>
      <w:r w:rsidR="00171B65">
        <w:rPr>
          <w:b/>
          <w:bCs/>
        </w:rPr>
        <w:t xml:space="preserve"> </w:t>
      </w:r>
      <w:r w:rsidRPr="00247F71">
        <w:rPr>
          <w:b/>
          <w:bCs/>
        </w:rPr>
        <w:t>principaux</w:t>
      </w:r>
      <w:r w:rsidR="00171B65">
        <w:rPr>
          <w:b/>
          <w:bCs/>
        </w:rPr>
        <w:t xml:space="preserve"> </w:t>
      </w:r>
      <w:r w:rsidRPr="00247F71">
        <w:rPr>
          <w:b/>
          <w:bCs/>
        </w:rPr>
        <w:t>changements nécessaires, lesquels sont également développés dans</w:t>
      </w:r>
      <w:r w:rsidRPr="00293268">
        <w:rPr>
          <w:lang w:val="fr-FR"/>
        </w:rPr>
        <w:t xml:space="preserve"> </w:t>
      </w:r>
      <w:r w:rsidRPr="00293268">
        <w:rPr>
          <w:b/>
          <w:lang w:val="fr-FR"/>
        </w:rPr>
        <w:t xml:space="preserve">le présent document de séance </w:t>
      </w:r>
      <w:r>
        <w:rPr>
          <w:b/>
          <w:lang w:val="fr-FR"/>
        </w:rPr>
        <w:t xml:space="preserve">aux </w:t>
      </w:r>
      <w:r w:rsidRPr="00C36E2B">
        <w:rPr>
          <w:b/>
          <w:lang w:val="fr-FR"/>
        </w:rPr>
        <w:t>sections intitulées «</w:t>
      </w:r>
      <w:r w:rsidR="00171B65">
        <w:rPr>
          <w:b/>
          <w:lang w:val="fr-FR"/>
        </w:rPr>
        <w:t> </w:t>
      </w:r>
      <w:r w:rsidRPr="00C36E2B">
        <w:rPr>
          <w:b/>
          <w:lang w:val="fr-FR"/>
        </w:rPr>
        <w:t>La voie</w:t>
      </w:r>
      <w:r w:rsidRPr="00634767">
        <w:rPr>
          <w:b/>
          <w:lang w:val="fr-FR"/>
        </w:rPr>
        <w:t xml:space="preserve"> à suivre</w:t>
      </w:r>
      <w:r w:rsidR="00171B65">
        <w:rPr>
          <w:b/>
          <w:lang w:val="fr-FR"/>
        </w:rPr>
        <w:t xml:space="preserve"> </w:t>
      </w:r>
      <w:r w:rsidRPr="00293268">
        <w:rPr>
          <w:b/>
          <w:lang w:val="fr-FR"/>
        </w:rPr>
        <w:t>». S</w:t>
      </w:r>
      <w:r>
        <w:rPr>
          <w:b/>
          <w:lang w:val="fr-FR"/>
        </w:rPr>
        <w:t>’</w:t>
      </w:r>
      <w:r w:rsidRPr="00293268">
        <w:rPr>
          <w:b/>
          <w:lang w:val="fr-FR"/>
        </w:rPr>
        <w:t>il était entièrement appliqué, ce programme permettrait</w:t>
      </w:r>
      <w:r w:rsidR="00171B65">
        <w:rPr>
          <w:b/>
          <w:lang w:val="fr-FR"/>
        </w:rPr>
        <w:t> :</w:t>
      </w:r>
    </w:p>
    <w:p w14:paraId="2C49BC91" w14:textId="51C3E3FE" w:rsidR="00D301C6" w:rsidRPr="001923BC" w:rsidRDefault="00D301C6" w:rsidP="00D301C6">
      <w:pPr>
        <w:pStyle w:val="SingleTxtG"/>
        <w:ind w:firstLine="567"/>
        <w:rPr>
          <w:b/>
          <w:lang w:val="fr-FR"/>
        </w:rPr>
      </w:pPr>
      <w:r w:rsidRPr="001923BC">
        <w:rPr>
          <w:b/>
          <w:lang w:val="fr-FR"/>
        </w:rPr>
        <w:t>a)</w:t>
      </w:r>
      <w:r w:rsidRPr="001923BC">
        <w:rPr>
          <w:b/>
          <w:lang w:val="fr-FR"/>
        </w:rPr>
        <w:tab/>
        <w:t>De remédier à la culture du déni, d’éliminer le racisme systémique et d’accélérer le rythme de l’action menée</w:t>
      </w:r>
      <w:r w:rsidR="00BF73AB" w:rsidRPr="001923BC">
        <w:rPr>
          <w:b/>
          <w:lang w:val="fr-FR"/>
        </w:rPr>
        <w:t> ;</w:t>
      </w:r>
    </w:p>
    <w:p w14:paraId="23D3D7AD" w14:textId="3834F847" w:rsidR="00D301C6" w:rsidRPr="001923BC" w:rsidRDefault="00D301C6" w:rsidP="00D301C6">
      <w:pPr>
        <w:pStyle w:val="SingleTxtG"/>
        <w:ind w:firstLine="567"/>
        <w:rPr>
          <w:b/>
          <w:lang w:val="fr-FR"/>
        </w:rPr>
      </w:pPr>
      <w:r w:rsidRPr="001923BC">
        <w:rPr>
          <w:b/>
          <w:lang w:val="fr-FR"/>
        </w:rPr>
        <w:t>b)</w:t>
      </w:r>
      <w:r w:rsidRPr="001923BC">
        <w:rPr>
          <w:b/>
          <w:lang w:val="fr-FR"/>
        </w:rPr>
        <w:tab/>
        <w:t>De mettre fin à l’impunité des agents des forces de l’ordre qui commettent des violations des droits de l’homme et de remédier au déficit de confiance à cet égard</w:t>
      </w:r>
      <w:r w:rsidR="00BF73AB" w:rsidRPr="001923BC">
        <w:rPr>
          <w:b/>
          <w:lang w:val="fr-FR"/>
        </w:rPr>
        <w:t> ;</w:t>
      </w:r>
    </w:p>
    <w:p w14:paraId="1105C8E3" w14:textId="34E16E67" w:rsidR="00D301C6" w:rsidRPr="001923BC" w:rsidRDefault="00D301C6" w:rsidP="00D301C6">
      <w:pPr>
        <w:pStyle w:val="SingleTxtG"/>
        <w:ind w:firstLine="567"/>
        <w:rPr>
          <w:b/>
          <w:lang w:val="fr-FR"/>
        </w:rPr>
      </w:pPr>
      <w:r w:rsidRPr="001923BC">
        <w:rPr>
          <w:b/>
          <w:lang w:val="fr-FR"/>
        </w:rPr>
        <w:t>c)</w:t>
      </w:r>
      <w:r w:rsidRPr="001923BC">
        <w:rPr>
          <w:b/>
          <w:lang w:val="fr-FR"/>
        </w:rPr>
        <w:tab/>
        <w:t>De veiller à ce que la voix des personnes d’ascendance africaine et de celles qui s’élèvent contre le racisme soit entendue et à ce qu’il soit répondu à leurs préoccupations</w:t>
      </w:r>
      <w:r w:rsidR="00BF73AB" w:rsidRPr="001923BC">
        <w:rPr>
          <w:b/>
          <w:lang w:val="fr-FR"/>
        </w:rPr>
        <w:t> ;</w:t>
      </w:r>
    </w:p>
    <w:p w14:paraId="25F8796B" w14:textId="77777777" w:rsidR="00D301C6" w:rsidRPr="00293268" w:rsidRDefault="00D301C6" w:rsidP="00D301C6">
      <w:pPr>
        <w:pStyle w:val="SingleTxtG"/>
        <w:ind w:firstLine="567"/>
        <w:rPr>
          <w:b/>
          <w:lang w:val="fr-FR"/>
        </w:rPr>
      </w:pPr>
      <w:r w:rsidRPr="00A9692A">
        <w:rPr>
          <w:b/>
          <w:bCs/>
          <w:lang w:val="fr-FR"/>
        </w:rPr>
        <w:t>d)</w:t>
      </w:r>
      <w:r w:rsidRPr="00A9692A">
        <w:rPr>
          <w:b/>
          <w:bCs/>
          <w:lang w:val="fr-FR"/>
        </w:rPr>
        <w:tab/>
      </w:r>
      <w:r w:rsidRPr="002100D3">
        <w:rPr>
          <w:b/>
          <w:bCs/>
          <w:lang w:val="fr-FR"/>
        </w:rPr>
        <w:t>De confronter le passé, notamment en établissant les responsabilités et en accordant des réparations</w:t>
      </w:r>
      <w:r w:rsidRPr="002100D3">
        <w:rPr>
          <w:b/>
          <w:lang w:val="fr-FR"/>
        </w:rPr>
        <w:t>.</w:t>
      </w:r>
    </w:p>
    <w:p w14:paraId="4856C640" w14:textId="77777777" w:rsidR="00D301C6" w:rsidRPr="00293268" w:rsidRDefault="00D301C6" w:rsidP="00D301C6">
      <w:pPr>
        <w:pStyle w:val="SingleTxtG"/>
        <w:rPr>
          <w:lang w:val="fr-FR"/>
        </w:rPr>
      </w:pPr>
      <w:r w:rsidRPr="00293268">
        <w:rPr>
          <w:lang w:val="fr-FR"/>
        </w:rPr>
        <w:t>314.</w:t>
      </w:r>
      <w:r w:rsidRPr="00293268">
        <w:rPr>
          <w:lang w:val="fr-FR"/>
        </w:rPr>
        <w:tab/>
      </w:r>
      <w:r w:rsidRPr="00293268">
        <w:rPr>
          <w:b/>
          <w:lang w:val="fr-FR"/>
        </w:rPr>
        <w:t>La Haute-Commissaire invite tous les États à traduire ce programme en plans d</w:t>
      </w:r>
      <w:r>
        <w:rPr>
          <w:b/>
          <w:lang w:val="fr-FR"/>
        </w:rPr>
        <w:t>’</w:t>
      </w:r>
      <w:r w:rsidRPr="00293268">
        <w:rPr>
          <w:b/>
          <w:lang w:val="fr-FR"/>
        </w:rPr>
        <w:t>action et en mesures concrètes, élaborés dans le cadre de dialogues nationaux.</w:t>
      </w:r>
    </w:p>
    <w:p w14:paraId="440070EC" w14:textId="77777777" w:rsidR="00D301C6" w:rsidRPr="00293268" w:rsidRDefault="00D301C6" w:rsidP="00D301C6">
      <w:pPr>
        <w:pStyle w:val="SingleTxtG"/>
        <w:rPr>
          <w:b/>
          <w:lang w:val="fr-FR"/>
        </w:rPr>
      </w:pPr>
      <w:r w:rsidRPr="00293268">
        <w:rPr>
          <w:lang w:val="fr-FR"/>
        </w:rPr>
        <w:t>315.</w:t>
      </w:r>
      <w:r w:rsidRPr="00293268">
        <w:rPr>
          <w:lang w:val="fr-FR"/>
        </w:rPr>
        <w:tab/>
      </w:r>
      <w:r>
        <w:rPr>
          <w:b/>
          <w:lang w:val="fr-FR"/>
        </w:rPr>
        <w:t>La</w:t>
      </w:r>
      <w:r w:rsidRPr="00293268">
        <w:rPr>
          <w:b/>
          <w:lang w:val="fr-FR"/>
        </w:rPr>
        <w:t xml:space="preserve"> Haute-Commissaire attend </w:t>
      </w:r>
      <w:r>
        <w:rPr>
          <w:b/>
          <w:lang w:val="fr-FR"/>
        </w:rPr>
        <w:t xml:space="preserve">en particulier </w:t>
      </w:r>
      <w:r w:rsidRPr="00293268">
        <w:rPr>
          <w:b/>
          <w:lang w:val="fr-FR"/>
        </w:rPr>
        <w:t>avec intérêt de coopérer avec les États et le Conseil des droits de l</w:t>
      </w:r>
      <w:r>
        <w:rPr>
          <w:b/>
          <w:lang w:val="fr-FR"/>
        </w:rPr>
        <w:t>’</w:t>
      </w:r>
      <w:r w:rsidRPr="00293268">
        <w:rPr>
          <w:b/>
          <w:lang w:val="fr-FR"/>
        </w:rPr>
        <w:t xml:space="preserve">homme pour </w:t>
      </w:r>
      <w:r>
        <w:rPr>
          <w:b/>
          <w:lang w:val="fr-FR"/>
        </w:rPr>
        <w:t xml:space="preserve">mettre en œuvre </w:t>
      </w:r>
      <w:r w:rsidRPr="00293268">
        <w:rPr>
          <w:b/>
          <w:lang w:val="fr-FR"/>
        </w:rPr>
        <w:t xml:space="preserve">un programme </w:t>
      </w:r>
      <w:r>
        <w:rPr>
          <w:b/>
          <w:lang w:val="fr-FR"/>
        </w:rPr>
        <w:t>porteur de transformation</w:t>
      </w:r>
      <w:r w:rsidRPr="00293268">
        <w:rPr>
          <w:b/>
          <w:lang w:val="fr-FR"/>
        </w:rPr>
        <w:t>, notamment en renforçant l</w:t>
      </w:r>
      <w:r>
        <w:rPr>
          <w:b/>
          <w:lang w:val="fr-FR"/>
        </w:rPr>
        <w:t>’</w:t>
      </w:r>
      <w:r w:rsidRPr="00293268">
        <w:rPr>
          <w:b/>
          <w:lang w:val="fr-FR"/>
        </w:rPr>
        <w:t>assistance aux États et aux autres parties prenantes, en particulier aux Africains et aux personnes d</w:t>
      </w:r>
      <w:r>
        <w:rPr>
          <w:b/>
          <w:lang w:val="fr-FR"/>
        </w:rPr>
        <w:t>’</w:t>
      </w:r>
      <w:r w:rsidRPr="00293268">
        <w:rPr>
          <w:b/>
          <w:lang w:val="fr-FR"/>
        </w:rPr>
        <w:t xml:space="preserve">ascendance africaine et à leurs organisations, en rassemblant des informations sur des affaires précises et en en assurant le suivi, en consultant les victimes, les survivants et les </w:t>
      </w:r>
      <w:r>
        <w:rPr>
          <w:b/>
          <w:lang w:val="fr-FR"/>
        </w:rPr>
        <w:t>populations</w:t>
      </w:r>
      <w:r w:rsidRPr="00293268">
        <w:rPr>
          <w:b/>
          <w:lang w:val="fr-FR"/>
        </w:rPr>
        <w:t xml:space="preserve"> touchées et en nouant avec eux des partenariats, et en </w:t>
      </w:r>
      <w:r>
        <w:rPr>
          <w:b/>
          <w:lang w:val="fr-FR"/>
        </w:rPr>
        <w:t>dispensant</w:t>
      </w:r>
      <w:r w:rsidRPr="00293268">
        <w:rPr>
          <w:b/>
          <w:lang w:val="fr-FR"/>
        </w:rPr>
        <w:t xml:space="preserve"> </w:t>
      </w:r>
      <w:r>
        <w:rPr>
          <w:b/>
          <w:lang w:val="fr-FR"/>
        </w:rPr>
        <w:t>d</w:t>
      </w:r>
      <w:r w:rsidRPr="00293268">
        <w:rPr>
          <w:b/>
          <w:lang w:val="fr-FR"/>
        </w:rPr>
        <w:t xml:space="preserve">es conseils </w:t>
      </w:r>
      <w:r>
        <w:rPr>
          <w:b/>
          <w:lang w:val="fr-FR"/>
        </w:rPr>
        <w:t>s</w:t>
      </w:r>
      <w:r w:rsidRPr="00293268">
        <w:rPr>
          <w:b/>
          <w:lang w:val="fr-FR"/>
        </w:rPr>
        <w:t>ur les processus de justice raciale correspondants des États, pour lesquels des ressources supplémentaires sont nécessaires.</w:t>
      </w:r>
    </w:p>
    <w:p w14:paraId="6E52C23C" w14:textId="5FF8E83F" w:rsidR="008146A6" w:rsidRPr="00293268" w:rsidRDefault="00D301C6" w:rsidP="00D301C6">
      <w:pPr>
        <w:pStyle w:val="SingleTxtG"/>
        <w:rPr>
          <w:lang w:val="fr-FR"/>
        </w:rPr>
      </w:pPr>
      <w:r w:rsidRPr="00293268">
        <w:rPr>
          <w:bCs/>
          <w:lang w:val="fr-FR"/>
        </w:rPr>
        <w:t>316.</w:t>
      </w:r>
      <w:r w:rsidRPr="00293268">
        <w:rPr>
          <w:bCs/>
          <w:lang w:val="fr-FR"/>
        </w:rPr>
        <w:tab/>
      </w:r>
      <w:r w:rsidRPr="00293268">
        <w:rPr>
          <w:b/>
          <w:bCs/>
          <w:lang w:val="fr-FR"/>
        </w:rPr>
        <w:t>La Haute-Commissaire recommande au Conseil des droits de l</w:t>
      </w:r>
      <w:r>
        <w:rPr>
          <w:b/>
          <w:bCs/>
          <w:lang w:val="fr-FR"/>
        </w:rPr>
        <w:t>’</w:t>
      </w:r>
      <w:r w:rsidRPr="00293268">
        <w:rPr>
          <w:b/>
          <w:bCs/>
          <w:lang w:val="fr-FR"/>
        </w:rPr>
        <w:t xml:space="preserve">homme de continuer de </w:t>
      </w:r>
      <w:r>
        <w:rPr>
          <w:b/>
          <w:bCs/>
          <w:lang w:val="fr-FR"/>
        </w:rPr>
        <w:t xml:space="preserve">suivre </w:t>
      </w:r>
      <w:r w:rsidRPr="00293268">
        <w:rPr>
          <w:b/>
          <w:bCs/>
          <w:lang w:val="fr-FR"/>
        </w:rPr>
        <w:t xml:space="preserve">de près ces questions et </w:t>
      </w:r>
      <w:r>
        <w:rPr>
          <w:b/>
          <w:bCs/>
          <w:lang w:val="fr-FR"/>
        </w:rPr>
        <w:t>d’établir</w:t>
      </w:r>
      <w:r w:rsidRPr="00293268">
        <w:rPr>
          <w:b/>
          <w:bCs/>
          <w:lang w:val="fr-FR"/>
        </w:rPr>
        <w:t xml:space="preserve"> un mécanisme limité dans le temps, ou de renforcer </w:t>
      </w:r>
      <w:r>
        <w:rPr>
          <w:b/>
          <w:bCs/>
          <w:lang w:val="fr-FR"/>
        </w:rPr>
        <w:t xml:space="preserve">tout </w:t>
      </w:r>
      <w:r w:rsidRPr="00293268">
        <w:rPr>
          <w:b/>
          <w:bCs/>
          <w:lang w:val="fr-FR"/>
        </w:rPr>
        <w:t xml:space="preserve">mécanisme existant en </w:t>
      </w:r>
      <w:r>
        <w:rPr>
          <w:b/>
          <w:bCs/>
          <w:lang w:val="fr-FR"/>
        </w:rPr>
        <w:t xml:space="preserve">le </w:t>
      </w:r>
      <w:r w:rsidRPr="00293268">
        <w:rPr>
          <w:b/>
          <w:bCs/>
          <w:lang w:val="fr-FR"/>
        </w:rPr>
        <w:t>dotant de moyens supplémentaires, en vue de promouvoir la justice et l</w:t>
      </w:r>
      <w:r>
        <w:rPr>
          <w:b/>
          <w:bCs/>
          <w:lang w:val="fr-FR"/>
        </w:rPr>
        <w:t>’</w:t>
      </w:r>
      <w:r w:rsidRPr="00293268">
        <w:rPr>
          <w:b/>
          <w:bCs/>
          <w:lang w:val="fr-FR"/>
        </w:rPr>
        <w:t>égalité raciales dans le contexte de l</w:t>
      </w:r>
      <w:r>
        <w:rPr>
          <w:b/>
          <w:bCs/>
          <w:lang w:val="fr-FR"/>
        </w:rPr>
        <w:t>’</w:t>
      </w:r>
      <w:r w:rsidRPr="00293268">
        <w:rPr>
          <w:b/>
          <w:bCs/>
          <w:lang w:val="fr-FR"/>
        </w:rPr>
        <w:t xml:space="preserve">application </w:t>
      </w:r>
      <w:r>
        <w:rPr>
          <w:b/>
          <w:bCs/>
          <w:lang w:val="fr-FR"/>
        </w:rPr>
        <w:t>des</w:t>
      </w:r>
      <w:r w:rsidRPr="00293268">
        <w:rPr>
          <w:b/>
          <w:bCs/>
          <w:lang w:val="fr-FR"/>
        </w:rPr>
        <w:t xml:space="preserve"> loi</w:t>
      </w:r>
      <w:r>
        <w:rPr>
          <w:b/>
          <w:bCs/>
          <w:lang w:val="fr-FR"/>
        </w:rPr>
        <w:t>s</w:t>
      </w:r>
      <w:r w:rsidRPr="00293268">
        <w:rPr>
          <w:b/>
          <w:bCs/>
          <w:lang w:val="fr-FR"/>
        </w:rPr>
        <w:t xml:space="preserve"> partout dans le monde, y compris en examinant les </w:t>
      </w:r>
      <w:r>
        <w:rPr>
          <w:b/>
          <w:bCs/>
          <w:lang w:val="fr-FR"/>
        </w:rPr>
        <w:t>tendances</w:t>
      </w:r>
      <w:r w:rsidRPr="00293268">
        <w:rPr>
          <w:b/>
          <w:bCs/>
          <w:lang w:val="fr-FR"/>
        </w:rPr>
        <w:t xml:space="preserve">, </w:t>
      </w:r>
      <w:r>
        <w:rPr>
          <w:b/>
          <w:bCs/>
          <w:lang w:val="fr-FR"/>
        </w:rPr>
        <w:t>a</w:t>
      </w:r>
      <w:r w:rsidRPr="00293268">
        <w:rPr>
          <w:b/>
          <w:bCs/>
          <w:lang w:val="fr-FR"/>
        </w:rPr>
        <w:t xml:space="preserve">ffaires, politiques et processus </w:t>
      </w:r>
      <w:r>
        <w:rPr>
          <w:b/>
          <w:bCs/>
          <w:lang w:val="fr-FR"/>
        </w:rPr>
        <w:t>pertinents</w:t>
      </w:r>
      <w:r w:rsidRPr="00293268">
        <w:rPr>
          <w:b/>
          <w:bCs/>
          <w:lang w:val="fr-FR"/>
        </w:rPr>
        <w:t xml:space="preserve">, </w:t>
      </w:r>
      <w:r>
        <w:rPr>
          <w:b/>
          <w:bCs/>
          <w:lang w:val="fr-FR"/>
        </w:rPr>
        <w:t>comme</w:t>
      </w:r>
      <w:r w:rsidRPr="00293268">
        <w:rPr>
          <w:b/>
          <w:bCs/>
          <w:lang w:val="fr-FR"/>
        </w:rPr>
        <w:t xml:space="preserve"> ceux </w:t>
      </w:r>
      <w:r>
        <w:rPr>
          <w:b/>
          <w:bCs/>
          <w:lang w:val="fr-FR"/>
        </w:rPr>
        <w:t>évoqués</w:t>
      </w:r>
      <w:r w:rsidRPr="00293268">
        <w:rPr>
          <w:b/>
          <w:bCs/>
          <w:lang w:val="fr-FR"/>
        </w:rPr>
        <w:t xml:space="preserve"> dans le présent document de séance et dans le rapport</w:t>
      </w:r>
      <w:r w:rsidRPr="00293268">
        <w:rPr>
          <w:b/>
          <w:lang w:val="fr-FR"/>
        </w:rPr>
        <w:t xml:space="preserve"> A/HRC/47/53 qui l</w:t>
      </w:r>
      <w:r>
        <w:rPr>
          <w:b/>
          <w:lang w:val="fr-FR"/>
        </w:rPr>
        <w:t>’</w:t>
      </w:r>
      <w:r w:rsidRPr="00293268">
        <w:rPr>
          <w:b/>
          <w:lang w:val="fr-FR"/>
        </w:rPr>
        <w:t>accompagne.</w:t>
      </w:r>
    </w:p>
    <w:p w14:paraId="3BD80B80" w14:textId="369330EF" w:rsidR="00446FE5" w:rsidRPr="00B45E5E" w:rsidRDefault="00372A0F" w:rsidP="00B45E5E">
      <w:pPr>
        <w:pStyle w:val="SingleTxtG"/>
        <w:spacing w:before="240" w:after="0"/>
        <w:jc w:val="center"/>
        <w:rPr>
          <w:u w:val="single"/>
        </w:rPr>
      </w:pPr>
      <w:r>
        <w:rPr>
          <w:u w:val="single"/>
        </w:rPr>
        <w:tab/>
      </w:r>
      <w:r>
        <w:rPr>
          <w:u w:val="single"/>
        </w:rPr>
        <w:tab/>
      </w:r>
      <w:r>
        <w:rPr>
          <w:u w:val="single"/>
        </w:rPr>
        <w:tab/>
      </w:r>
    </w:p>
    <w:sectPr w:rsidR="00446FE5" w:rsidRPr="00B45E5E" w:rsidSect="009358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BCA5B" w14:textId="77777777" w:rsidR="00855ECA" w:rsidRDefault="00855ECA" w:rsidP="00F95C08">
      <w:pPr>
        <w:spacing w:line="240" w:lineRule="auto"/>
      </w:pPr>
    </w:p>
  </w:endnote>
  <w:endnote w:type="continuationSeparator" w:id="0">
    <w:p w14:paraId="14978BBD" w14:textId="77777777" w:rsidR="00855ECA" w:rsidRPr="00AC3823" w:rsidRDefault="00855ECA" w:rsidP="00AC3823">
      <w:pPr>
        <w:pStyle w:val="Footer"/>
      </w:pPr>
    </w:p>
  </w:endnote>
  <w:endnote w:type="continuationNotice" w:id="1">
    <w:p w14:paraId="51F9BB91" w14:textId="77777777" w:rsidR="00855ECA" w:rsidRDefault="00855E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9B6C" w14:textId="1ACBF237" w:rsidR="009F7CBD" w:rsidRDefault="0093584F" w:rsidP="009762F5">
    <w:pPr>
      <w:pStyle w:val="Footer"/>
      <w:tabs>
        <w:tab w:val="right" w:pos="9638"/>
      </w:tabs>
    </w:pPr>
    <w:r w:rsidRPr="0093584F">
      <w:rPr>
        <w:b/>
        <w:sz w:val="18"/>
      </w:rPr>
      <w:fldChar w:fldCharType="begin"/>
    </w:r>
    <w:r w:rsidRPr="0093584F">
      <w:rPr>
        <w:b/>
        <w:sz w:val="18"/>
      </w:rPr>
      <w:instrText xml:space="preserve"> PAGE  \* MERGEFORMAT </w:instrText>
    </w:r>
    <w:r w:rsidRPr="0093584F">
      <w:rPr>
        <w:b/>
        <w:sz w:val="18"/>
      </w:rPr>
      <w:fldChar w:fldCharType="separate"/>
    </w:r>
    <w:r w:rsidR="00CD4A5C">
      <w:rPr>
        <w:b/>
        <w:noProof/>
        <w:sz w:val="18"/>
      </w:rPr>
      <w:t>2</w:t>
    </w:r>
    <w:r w:rsidRPr="0093584F">
      <w:rPr>
        <w:b/>
        <w:sz w:val="18"/>
      </w:rPr>
      <w:fldChar w:fldCharType="end"/>
    </w:r>
    <w:r>
      <w:rPr>
        <w:b/>
        <w:sz w:val="18"/>
      </w:rPr>
      <w:tab/>
    </w:r>
    <w:r>
      <w:t>GE.22-04763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030C" w14:textId="708ED715" w:rsidR="009F7CBD" w:rsidRPr="009762F5" w:rsidRDefault="0093584F" w:rsidP="009762F5">
    <w:pPr>
      <w:pStyle w:val="Footer"/>
      <w:tabs>
        <w:tab w:val="right" w:pos="9638"/>
      </w:tabs>
      <w:rPr>
        <w:b/>
        <w:sz w:val="18"/>
      </w:rPr>
    </w:pPr>
    <w:r>
      <w:t>GE.22-04763</w:t>
    </w:r>
    <w:r>
      <w:tab/>
    </w:r>
    <w:r w:rsidRPr="0093584F">
      <w:rPr>
        <w:b/>
        <w:sz w:val="18"/>
      </w:rPr>
      <w:fldChar w:fldCharType="begin"/>
    </w:r>
    <w:r w:rsidRPr="0093584F">
      <w:rPr>
        <w:b/>
        <w:sz w:val="18"/>
      </w:rPr>
      <w:instrText xml:space="preserve"> PAGE  \* MERGEFORMAT </w:instrText>
    </w:r>
    <w:r w:rsidRPr="0093584F">
      <w:rPr>
        <w:b/>
        <w:sz w:val="18"/>
      </w:rPr>
      <w:fldChar w:fldCharType="separate"/>
    </w:r>
    <w:r w:rsidRPr="0093584F">
      <w:rPr>
        <w:b/>
        <w:noProof/>
        <w:sz w:val="18"/>
      </w:rPr>
      <w:t>3</w:t>
    </w:r>
    <w:r w:rsidRPr="009358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883C" w14:textId="5A538EDE" w:rsidR="003F5567" w:rsidRPr="0093584F" w:rsidRDefault="0093584F" w:rsidP="0093584F">
    <w:pPr>
      <w:pStyle w:val="Footer"/>
      <w:spacing w:before="120"/>
      <w:rPr>
        <w:sz w:val="20"/>
      </w:rPr>
    </w:pPr>
    <w:r>
      <w:rPr>
        <w:sz w:val="20"/>
      </w:rPr>
      <w:t>GE.</w:t>
    </w:r>
    <w:r w:rsidR="003F5567">
      <w:rPr>
        <w:noProof/>
        <w:lang w:val="en-GB" w:eastAsia="en-GB"/>
      </w:rPr>
      <w:drawing>
        <wp:anchor distT="0" distB="0" distL="114300" distR="114300" simplePos="0" relativeHeight="251659264" behindDoc="0" locked="0" layoutInCell="1" allowOverlap="0" wp14:anchorId="40499A0D" wp14:editId="31108993">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22-04763  (F)</w:t>
    </w:r>
    <w:r>
      <w:rPr>
        <w:noProof/>
        <w:sz w:val="20"/>
        <w:lang w:val="en-GB" w:eastAsia="en-GB"/>
      </w:rPr>
      <w:drawing>
        <wp:anchor distT="0" distB="0" distL="114300" distR="114300" simplePos="0" relativeHeight="251660288" behindDoc="0" locked="0" layoutInCell="1" allowOverlap="1" wp14:anchorId="5F171EFF" wp14:editId="2E1B876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39B">
      <w:rPr>
        <w:sz w:val="20"/>
      </w:rPr>
      <w:t xml:space="preserve">    171022    </w:t>
    </w:r>
    <w:r w:rsidR="000A25E5">
      <w:rPr>
        <w:sz w:val="20"/>
      </w:rPr>
      <w:t>071122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504F" w14:textId="77777777" w:rsidR="00855ECA" w:rsidRPr="00AC3823" w:rsidRDefault="00855ECA" w:rsidP="00AC3823">
      <w:pPr>
        <w:pStyle w:val="Footer"/>
        <w:tabs>
          <w:tab w:val="right" w:pos="2155"/>
        </w:tabs>
        <w:spacing w:after="80" w:line="240" w:lineRule="atLeast"/>
        <w:ind w:left="680"/>
        <w:rPr>
          <w:u w:val="single"/>
        </w:rPr>
      </w:pPr>
      <w:r>
        <w:rPr>
          <w:u w:val="single"/>
        </w:rPr>
        <w:tab/>
      </w:r>
    </w:p>
  </w:footnote>
  <w:footnote w:type="continuationSeparator" w:id="0">
    <w:p w14:paraId="23F5F102" w14:textId="77777777" w:rsidR="00855ECA" w:rsidRPr="00AC3823" w:rsidRDefault="00855ECA" w:rsidP="00AC3823">
      <w:pPr>
        <w:pStyle w:val="Footer"/>
        <w:tabs>
          <w:tab w:val="right" w:pos="2155"/>
        </w:tabs>
        <w:spacing w:after="80" w:line="240" w:lineRule="atLeast"/>
        <w:ind w:left="680"/>
        <w:rPr>
          <w:u w:val="single"/>
        </w:rPr>
      </w:pPr>
      <w:r>
        <w:rPr>
          <w:u w:val="single"/>
        </w:rPr>
        <w:tab/>
      </w:r>
    </w:p>
  </w:footnote>
  <w:footnote w:type="continuationNotice" w:id="1">
    <w:p w14:paraId="7C6A2353" w14:textId="77777777" w:rsidR="00855ECA" w:rsidRPr="00AC3823" w:rsidRDefault="00855ECA">
      <w:pPr>
        <w:spacing w:line="240" w:lineRule="auto"/>
        <w:rPr>
          <w:sz w:val="2"/>
          <w:szCs w:val="2"/>
        </w:rPr>
      </w:pPr>
    </w:p>
  </w:footnote>
  <w:footnote w:id="2">
    <w:p w14:paraId="7CD0BD83" w14:textId="0C5C182C" w:rsidR="00865E37" w:rsidRPr="00D10EF8" w:rsidRDefault="00865E37" w:rsidP="005B4367">
      <w:pPr>
        <w:pStyle w:val="FootnoteText"/>
      </w:pPr>
      <w:r w:rsidRPr="00D10EF8">
        <w:tab/>
      </w:r>
      <w:r w:rsidRPr="00D10EF8">
        <w:rPr>
          <w:sz w:val="20"/>
        </w:rPr>
        <w:t>*</w:t>
      </w:r>
      <w:r w:rsidRPr="00D10EF8">
        <w:rPr>
          <w:sz w:val="20"/>
        </w:rPr>
        <w:tab/>
      </w:r>
      <w:r w:rsidRPr="00D9553E">
        <w:t>Le présent document devrait être lu conjointement avec le rapport de la Haute-Commissaire aux droits de l</w:t>
      </w:r>
      <w:r w:rsidR="00F60EAA">
        <w:t>’</w:t>
      </w:r>
      <w:r w:rsidRPr="00D9553E">
        <w:t xml:space="preserve">homme soumis </w:t>
      </w:r>
      <w:r>
        <w:t xml:space="preserve">sous le même titre </w:t>
      </w:r>
      <w:r w:rsidRPr="00D10EF8">
        <w:t>(A/HRC/47/53)</w:t>
      </w:r>
      <w:r w:rsidRPr="00DF4EA0">
        <w:t xml:space="preserve"> </w:t>
      </w:r>
      <w:r w:rsidRPr="000D5E12">
        <w:t xml:space="preserve">à </w:t>
      </w:r>
      <w:r>
        <w:t xml:space="preserve">la </w:t>
      </w:r>
      <w:r w:rsidRPr="000D5E12">
        <w:t>quarante-septième session</w:t>
      </w:r>
      <w:r w:rsidRPr="00662EA1">
        <w:t xml:space="preserve"> </w:t>
      </w:r>
      <w:r>
        <w:t>d</w:t>
      </w:r>
      <w:r w:rsidRPr="000D5E12">
        <w:t>u Conseil des droits de l</w:t>
      </w:r>
      <w:r w:rsidR="00F60EAA">
        <w:t>’</w:t>
      </w:r>
      <w:r w:rsidRPr="000D5E12">
        <w:t>homme</w:t>
      </w:r>
      <w:r w:rsidRPr="00D10EF8">
        <w:t>.</w:t>
      </w:r>
    </w:p>
    <w:p w14:paraId="6AC99164" w14:textId="150949D4" w:rsidR="00865E37" w:rsidRPr="00D10EF8" w:rsidRDefault="00865E37" w:rsidP="005B4367">
      <w:pPr>
        <w:pStyle w:val="FootnoteText"/>
      </w:pPr>
      <w:r w:rsidRPr="00D10EF8">
        <w:tab/>
      </w:r>
      <w:r w:rsidRPr="0081604B">
        <w:rPr>
          <w:sz w:val="20"/>
        </w:rPr>
        <w:t>**</w:t>
      </w:r>
      <w:r w:rsidRPr="00D10EF8">
        <w:tab/>
      </w:r>
      <w:r>
        <w:t xml:space="preserve">La version originale du </w:t>
      </w:r>
      <w:r w:rsidRPr="00202C64">
        <w:t>présent document n</w:t>
      </w:r>
      <w:r w:rsidR="00F60EAA">
        <w:t>’</w:t>
      </w:r>
      <w:r w:rsidRPr="00202C64">
        <w:t>a pas été revu</w:t>
      </w:r>
      <w:r>
        <w:t>e</w:t>
      </w:r>
      <w:r w:rsidRPr="00202C64">
        <w:t xml:space="preserve"> par les services d</w:t>
      </w:r>
      <w:r w:rsidR="00F60EAA">
        <w:t>’</w:t>
      </w:r>
      <w:r w:rsidRPr="00202C64">
        <w:t>édition</w:t>
      </w:r>
      <w:r w:rsidRPr="00D10EF8">
        <w:t>.</w:t>
      </w:r>
    </w:p>
  </w:footnote>
  <w:footnote w:id="3">
    <w:p w14:paraId="51DBA688" w14:textId="77777777" w:rsidR="00865E37" w:rsidRPr="00D10EF8" w:rsidRDefault="00865E37" w:rsidP="005B4367">
      <w:pPr>
        <w:pStyle w:val="FootnoteText"/>
      </w:pPr>
      <w:r w:rsidRPr="00D10EF8">
        <w:tab/>
      </w:r>
      <w:r w:rsidRPr="0081604B">
        <w:rPr>
          <w:rStyle w:val="FootnoteReference"/>
        </w:rPr>
        <w:footnoteRef/>
      </w:r>
      <w:r w:rsidRPr="00D10EF8">
        <w:tab/>
      </w:r>
      <w:hyperlink r:id="rId1" w:history="1">
        <w:r w:rsidRPr="00800309">
          <w:rPr>
            <w:rStyle w:val="FollowedHyperlink"/>
          </w:rPr>
          <w:t>https://www.ohchr.org/fr/stories/2021/04/verdict-testament-courage-perseverance-and-justice</w:t>
        </w:r>
      </w:hyperlink>
      <w:r w:rsidRPr="00D10EF8">
        <w:rPr>
          <w:rFonts w:eastAsia="Arial Unicode MS"/>
        </w:rPr>
        <w:t>.</w:t>
      </w:r>
    </w:p>
  </w:footnote>
  <w:footnote w:id="4">
    <w:p w14:paraId="72909D53" w14:textId="033D2ADF" w:rsidR="00865E37" w:rsidRPr="00D10EF8" w:rsidRDefault="00865E37" w:rsidP="005B4367">
      <w:pPr>
        <w:pStyle w:val="FootnoteText"/>
      </w:pPr>
      <w:r w:rsidRPr="00D10EF8">
        <w:tab/>
      </w:r>
      <w:r w:rsidRPr="0081604B">
        <w:rPr>
          <w:rStyle w:val="FootnoteReference"/>
        </w:rPr>
        <w:footnoteRef/>
      </w:r>
      <w:r w:rsidRPr="00D10EF8">
        <w:tab/>
        <w:t xml:space="preserve">A/75/561, </w:t>
      </w:r>
      <w:r w:rsidR="002A7FA1">
        <w:t>par. </w:t>
      </w:r>
      <w:r w:rsidRPr="00D10EF8">
        <w:t>5. L</w:t>
      </w:r>
      <w:r w:rsidR="00F60EAA">
        <w:t>’</w:t>
      </w:r>
      <w:r w:rsidRPr="00D10EF8">
        <w:t>expression « personne d</w:t>
      </w:r>
      <w:r w:rsidR="00F60EAA">
        <w:t>’</w:t>
      </w:r>
      <w:r w:rsidRPr="00D10EF8">
        <w:t>ascendance africaine » s</w:t>
      </w:r>
      <w:r w:rsidR="00F60EAA">
        <w:t>’</w:t>
      </w:r>
      <w:r w:rsidRPr="00D10EF8">
        <w:t>entend des personnes qui sont désignées ainsi dans la Déclaration et le Programme d</w:t>
      </w:r>
      <w:r w:rsidR="00F60EAA">
        <w:t>’</w:t>
      </w:r>
      <w:r w:rsidRPr="00D10EF8">
        <w:t>action de Durban et qui s</w:t>
      </w:r>
      <w:r w:rsidR="00F60EAA">
        <w:t>’</w:t>
      </w:r>
      <w:r w:rsidRPr="00D10EF8">
        <w:t>identifient elles</w:t>
      </w:r>
      <w:r w:rsidR="00EB0C27">
        <w:noBreakHyphen/>
      </w:r>
      <w:r w:rsidRPr="00D10EF8">
        <w:t>mêmes comme des personnes d</w:t>
      </w:r>
      <w:r w:rsidR="00F60EAA">
        <w:t>’</w:t>
      </w:r>
      <w:r w:rsidRPr="00D10EF8">
        <w:t>ascendance africaine (Comité pour l</w:t>
      </w:r>
      <w:r w:rsidR="00F60EAA">
        <w:t>’</w:t>
      </w:r>
      <w:r w:rsidRPr="00D10EF8">
        <w:t xml:space="preserve">élimination de la discrimination raciale, recommandation générale </w:t>
      </w:r>
      <w:r w:rsidR="00EB0C27" w:rsidRPr="00EB0C27">
        <w:rPr>
          <w:rFonts w:eastAsia="MS Mincho"/>
        </w:rPr>
        <w:t>n</w:t>
      </w:r>
      <w:r w:rsidR="00EB0C27" w:rsidRPr="00EB0C27">
        <w:rPr>
          <w:rFonts w:eastAsia="MS Mincho"/>
          <w:vertAlign w:val="superscript"/>
        </w:rPr>
        <w:t>o</w:t>
      </w:r>
      <w:r w:rsidR="00CB74A3">
        <w:t> </w:t>
      </w:r>
      <w:r w:rsidRPr="00D10EF8">
        <w:t xml:space="preserve">34 (2011) (CERD/C/GC/34), </w:t>
      </w:r>
      <w:r w:rsidR="002A7FA1">
        <w:t>par. </w:t>
      </w:r>
      <w:r w:rsidRPr="00D10EF8">
        <w:t>1).</w:t>
      </w:r>
    </w:p>
  </w:footnote>
  <w:footnote w:id="5">
    <w:p w14:paraId="30F064E7" w14:textId="01A7E7A1" w:rsidR="00865E37" w:rsidRPr="00D10EF8" w:rsidRDefault="00865E37" w:rsidP="005B4367">
      <w:pPr>
        <w:pStyle w:val="FootnoteText"/>
      </w:pPr>
      <w:r w:rsidRPr="00D10EF8">
        <w:tab/>
      </w:r>
      <w:r w:rsidRPr="0081604B">
        <w:rPr>
          <w:rStyle w:val="FootnoteReference"/>
        </w:rPr>
        <w:footnoteRef/>
      </w:r>
      <w:r w:rsidRPr="00D10EF8">
        <w:tab/>
      </w:r>
      <w:hyperlink r:id="rId2" w:history="1">
        <w:r w:rsidRPr="00800309">
          <w:rPr>
            <w:rStyle w:val="FollowedHyperlink"/>
          </w:rPr>
          <w:t>https://www.ohchr.org/fr/stories/2021/04/verdict-testament-courage-perseverance-and-justice</w:t>
        </w:r>
      </w:hyperlink>
      <w:r w:rsidR="00BF73AB">
        <w:t> ;</w:t>
      </w:r>
      <w:r w:rsidRPr="00D10EF8">
        <w:t xml:space="preserve"> A/HRC/54/47, </w:t>
      </w:r>
      <w:r w:rsidR="002A7FA1">
        <w:t>par. </w:t>
      </w:r>
      <w:r w:rsidRPr="00D10EF8">
        <w:t>20 et 23.</w:t>
      </w:r>
    </w:p>
  </w:footnote>
  <w:footnote w:id="6">
    <w:p w14:paraId="115BAD30" w14:textId="77777777" w:rsidR="00865E37" w:rsidRPr="00D10EF8" w:rsidRDefault="00865E37" w:rsidP="005B4367">
      <w:pPr>
        <w:pStyle w:val="FootnoteText"/>
      </w:pPr>
      <w:r w:rsidRPr="00D10EF8">
        <w:tab/>
      </w:r>
      <w:r w:rsidRPr="0081604B">
        <w:rPr>
          <w:rStyle w:val="FootnoteReference"/>
        </w:rPr>
        <w:footnoteRef/>
      </w:r>
      <w:r w:rsidRPr="00D10EF8">
        <w:tab/>
      </w:r>
      <w:hyperlink r:id="rId3" w:history="1">
        <w:r w:rsidRPr="00800309">
          <w:rPr>
            <w:rStyle w:val="FollowedHyperlink"/>
          </w:rPr>
          <w:t>https://www.ohchr.org/fr/stories/2021/04/verdict-testament-courage-perseverance-and-justice</w:t>
        </w:r>
      </w:hyperlink>
      <w:r>
        <w:t xml:space="preserve">. </w:t>
      </w:r>
    </w:p>
  </w:footnote>
  <w:footnote w:id="7">
    <w:p w14:paraId="050FD7EB" w14:textId="77777777" w:rsidR="00865E37" w:rsidRPr="00DA5E7E" w:rsidRDefault="00865E37" w:rsidP="005B4367">
      <w:pPr>
        <w:pStyle w:val="FootnoteText"/>
        <w:rPr>
          <w:lang w:val="en-US"/>
        </w:rPr>
      </w:pPr>
      <w:r w:rsidRPr="00D10EF8">
        <w:rPr>
          <w:lang w:val="fr-FR"/>
        </w:rPr>
        <w:tab/>
      </w:r>
      <w:r w:rsidRPr="0081604B">
        <w:rPr>
          <w:rStyle w:val="FootnoteReference"/>
        </w:rPr>
        <w:footnoteRef/>
      </w:r>
      <w:r w:rsidRPr="00DA5E7E">
        <w:rPr>
          <w:lang w:val="en-US"/>
        </w:rPr>
        <w:tab/>
      </w:r>
      <w:hyperlink r:id="rId4" w:history="1">
        <w:r w:rsidRPr="004A035C">
          <w:rPr>
            <w:rStyle w:val="FollowedHyperlink"/>
            <w:lang w:val="en-US"/>
          </w:rPr>
          <w:t>https://www.aclu.org/sites/default/files/field_document/20.06.08_final_and_signed_letter_to_ unhrc_aclu_and_ushrn.pdf</w:t>
        </w:r>
      </w:hyperlink>
      <w:r w:rsidRPr="00DA5E7E">
        <w:rPr>
          <w:lang w:val="en-US"/>
        </w:rPr>
        <w:t>.</w:t>
      </w:r>
    </w:p>
  </w:footnote>
  <w:footnote w:id="8">
    <w:p w14:paraId="4BDAFECE" w14:textId="0724BF5C" w:rsidR="00865E37" w:rsidRPr="00DF4EA0" w:rsidRDefault="00865E37" w:rsidP="005B4367">
      <w:pPr>
        <w:pStyle w:val="FootnoteText"/>
      </w:pPr>
      <w:r w:rsidRPr="00DF4EA0">
        <w:rPr>
          <w:lang w:val="en-US"/>
        </w:rPr>
        <w:tab/>
      </w:r>
      <w:r w:rsidRPr="0081604B">
        <w:rPr>
          <w:rStyle w:val="FootnoteReference"/>
        </w:rPr>
        <w:footnoteRef/>
      </w:r>
      <w:r w:rsidRPr="00D10EF8">
        <w:tab/>
        <w:t xml:space="preserve">Voir également </w:t>
      </w:r>
      <w:hyperlink r:id="rId5" w:history="1">
        <w:r w:rsidRPr="00800309">
          <w:rPr>
            <w:rStyle w:val="FollowedHyperlink"/>
          </w:rPr>
          <w:t>https://www.ohchr.org/fr/stories/2021/04/verdict-testament-courage-perseverance-and-justice</w:t>
        </w:r>
      </w:hyperlink>
      <w:r w:rsidR="00BF73AB">
        <w:t> ;</w:t>
      </w:r>
      <w:r w:rsidRPr="00DF4EA0">
        <w:t xml:space="preserve"> </w:t>
      </w:r>
      <w:hyperlink r:id="rId6" w:history="1">
        <w:r w:rsidRPr="00800309">
          <w:rPr>
            <w:rStyle w:val="FollowedHyperlink"/>
          </w:rPr>
          <w:t>https://www.ohchr.org/fr/stories/2021/04/verdict-testament-courage-perseverance-and-justice</w:t>
        </w:r>
      </w:hyperlink>
      <w:r w:rsidRPr="00DF4EA0">
        <w:t xml:space="preserve">. </w:t>
      </w:r>
    </w:p>
  </w:footnote>
  <w:footnote w:id="9">
    <w:p w14:paraId="34297788" w14:textId="6A463DA5" w:rsidR="00865E37" w:rsidRPr="00BD7AE0" w:rsidRDefault="00865E37" w:rsidP="005B4367">
      <w:pPr>
        <w:pStyle w:val="FootnoteText"/>
        <w:rPr>
          <w:lang w:val="en-US"/>
        </w:rPr>
      </w:pPr>
      <w:r w:rsidRPr="00D10EF8">
        <w:tab/>
      </w:r>
      <w:r w:rsidRPr="0081604B">
        <w:rPr>
          <w:rStyle w:val="FootnoteReference"/>
        </w:rPr>
        <w:footnoteRef/>
      </w:r>
      <w:r w:rsidRPr="00D10EF8">
        <w:tab/>
      </w:r>
      <w:r w:rsidRPr="0060066E">
        <w:t>Des contributions ont été reçues d</w:t>
      </w:r>
      <w:r>
        <w:t xml:space="preserve">e différents </w:t>
      </w:r>
      <w:r w:rsidRPr="0060066E">
        <w:t>États (Algérie, Andorre, Argentine, Bolivie (État plurinational de),</w:t>
      </w:r>
      <w:r>
        <w:t xml:space="preserve"> C</w:t>
      </w:r>
      <w:r w:rsidRPr="0060066E">
        <w:t>hypre, Costa Rica, États-Unis d</w:t>
      </w:r>
      <w:r w:rsidR="00F60EAA">
        <w:t>’</w:t>
      </w:r>
      <w:r w:rsidRPr="0060066E">
        <w:t>Amérique, Finlande, Guatemala, Mexique, Suède et Ukraine) et de</w:t>
      </w:r>
      <w:r>
        <w:t xml:space="preserve"> diverses </w:t>
      </w:r>
      <w:r w:rsidRPr="0060066E">
        <w:t>parties prenantes telles que des organisations intergouvernementales, des institutions nationales des</w:t>
      </w:r>
      <w:r>
        <w:t xml:space="preserve"> </w:t>
      </w:r>
      <w:r w:rsidRPr="0060066E">
        <w:t>droits de l</w:t>
      </w:r>
      <w:r w:rsidR="00F60EAA">
        <w:t>’</w:t>
      </w:r>
      <w:r w:rsidRPr="0060066E">
        <w:t>homme, des organismes et des institutions spécialisées des Nations Unies et des</w:t>
      </w:r>
      <w:r>
        <w:t xml:space="preserve"> </w:t>
      </w:r>
      <w:r w:rsidRPr="0060066E">
        <w:t>organisations non gouvernementales</w:t>
      </w:r>
      <w:r w:rsidRPr="00D10EF8">
        <w:t xml:space="preserve">. </w:t>
      </w:r>
      <w:r w:rsidRPr="00481DD5">
        <w:rPr>
          <w:lang w:val="en-US"/>
        </w:rPr>
        <w:t>Voir</w:t>
      </w:r>
      <w:r w:rsidRPr="00BD7AE0">
        <w:rPr>
          <w:lang w:val="en-US"/>
        </w:rPr>
        <w:t xml:space="preserve"> : </w:t>
      </w:r>
      <w:hyperlink r:id="rId7" w:history="1">
        <w:r w:rsidRPr="00BD7AE0">
          <w:rPr>
            <w:rStyle w:val="FollowedHyperlink"/>
            <w:lang w:val="en-US"/>
          </w:rPr>
          <w:t>https://www.ohchr.org/fr/</w:t>
        </w:r>
        <w:r w:rsidR="00BD7AE0">
          <w:rPr>
            <w:rStyle w:val="FollowedHyperlink"/>
            <w:lang w:val="en-US"/>
          </w:rPr>
          <w:t xml:space="preserve"> </w:t>
        </w:r>
        <w:r w:rsidRPr="00BD7AE0">
          <w:rPr>
            <w:rStyle w:val="FollowedHyperlink"/>
            <w:lang w:val="en-US"/>
          </w:rPr>
          <w:t>documents/reportsahrc4753-promotion-and-protection-human-rights-and-fundamental-freedoms-africans</w:t>
        </w:r>
      </w:hyperlink>
      <w:r w:rsidRPr="00BD7AE0">
        <w:rPr>
          <w:lang w:val="en-US"/>
        </w:rPr>
        <w:t>.</w:t>
      </w:r>
    </w:p>
  </w:footnote>
  <w:footnote w:id="10">
    <w:p w14:paraId="35DB6DC8" w14:textId="71638CCE" w:rsidR="00865E37" w:rsidRPr="00D10EF8" w:rsidRDefault="00865E37" w:rsidP="005B4367">
      <w:pPr>
        <w:pStyle w:val="FootnoteText"/>
      </w:pPr>
      <w:r w:rsidRPr="00BD7AE0">
        <w:rPr>
          <w:lang w:val="en-US"/>
        </w:rPr>
        <w:tab/>
      </w:r>
      <w:r w:rsidRPr="0081604B">
        <w:rPr>
          <w:rStyle w:val="FootnoteReference"/>
        </w:rPr>
        <w:footnoteRef/>
      </w:r>
      <w:r w:rsidRPr="00D10EF8">
        <w:tab/>
        <w:t>Dont les recommandations générales du Comité pour l</w:t>
      </w:r>
      <w:r w:rsidR="00F60EAA">
        <w:t>’</w:t>
      </w:r>
      <w:r w:rsidRPr="00D10EF8">
        <w:t xml:space="preserve">élimination de la discrimination raciale </w:t>
      </w:r>
      <w:r w:rsidR="003B7B9E" w:rsidRPr="003B7B9E">
        <w:rPr>
          <w:rFonts w:eastAsia="MS Mincho"/>
        </w:rPr>
        <w:t>n</w:t>
      </w:r>
      <w:r w:rsidR="003B7B9E" w:rsidRPr="003B7B9E">
        <w:rPr>
          <w:rFonts w:eastAsia="MS Mincho"/>
          <w:vertAlign w:val="superscript"/>
        </w:rPr>
        <w:t>o</w:t>
      </w:r>
      <w:r w:rsidR="00CB74A3">
        <w:t> </w:t>
      </w:r>
      <w:r w:rsidRPr="00D10EF8">
        <w:t>36 sur la prévention et l</w:t>
      </w:r>
      <w:r w:rsidR="00F60EAA">
        <w:t>’</w:t>
      </w:r>
      <w:r w:rsidRPr="00D10EF8">
        <w:t>élimination du recours au profilage racial par les représentants de la loi (CERD/C/GC/36)</w:t>
      </w:r>
      <w:r>
        <w:t>,</w:t>
      </w:r>
      <w:r w:rsidRPr="00D10EF8">
        <w:t xml:space="preserve"> </w:t>
      </w:r>
      <w:r w:rsidR="00BD7791" w:rsidRPr="00BD7791">
        <w:rPr>
          <w:rFonts w:eastAsia="MS Mincho"/>
        </w:rPr>
        <w:t>n</w:t>
      </w:r>
      <w:r w:rsidR="00BD7791" w:rsidRPr="00BD7791">
        <w:rPr>
          <w:rFonts w:eastAsia="MS Mincho"/>
          <w:vertAlign w:val="superscript"/>
        </w:rPr>
        <w:t>o</w:t>
      </w:r>
      <w:r w:rsidR="00CB74A3">
        <w:t> </w:t>
      </w:r>
      <w:r w:rsidRPr="00D10EF8">
        <w:t>34 sur la discrimination raciale à l</w:t>
      </w:r>
      <w:r w:rsidR="00F60EAA">
        <w:t>’</w:t>
      </w:r>
      <w:r w:rsidRPr="00D10EF8">
        <w:t>égard des personnes d</w:t>
      </w:r>
      <w:r w:rsidR="00F60EAA">
        <w:t>’</w:t>
      </w:r>
      <w:r w:rsidRPr="00D10EF8">
        <w:t xml:space="preserve">ascendance africaine (CERD/C/GC/34) </w:t>
      </w:r>
      <w:r w:rsidR="009C32AA">
        <w:t>−</w:t>
      </w:r>
      <w:r w:rsidRPr="00D10EF8">
        <w:t xml:space="preserve"> les observations générales du Comité des droits de l</w:t>
      </w:r>
      <w:r w:rsidR="00F60EAA">
        <w:t>’</w:t>
      </w:r>
      <w:r w:rsidRPr="00D10EF8">
        <w:t xml:space="preserve">homme </w:t>
      </w:r>
      <w:r w:rsidR="00BD7791" w:rsidRPr="00BD7791">
        <w:rPr>
          <w:rFonts w:eastAsia="MS Mincho"/>
        </w:rPr>
        <w:t>n</w:t>
      </w:r>
      <w:r w:rsidR="00BD7791" w:rsidRPr="00BD7791">
        <w:rPr>
          <w:rFonts w:eastAsia="MS Mincho"/>
          <w:vertAlign w:val="superscript"/>
        </w:rPr>
        <w:t>o</w:t>
      </w:r>
      <w:r w:rsidR="00BD7791">
        <w:rPr>
          <w:rFonts w:eastAsia="MS Mincho"/>
        </w:rPr>
        <w:t> </w:t>
      </w:r>
      <w:r w:rsidRPr="00D10EF8">
        <w:t>34 sur la liberté d</w:t>
      </w:r>
      <w:r w:rsidR="00F60EAA">
        <w:t>’</w:t>
      </w:r>
      <w:r w:rsidRPr="00D10EF8">
        <w:t>opinion et la liberté d</w:t>
      </w:r>
      <w:r w:rsidR="00F60EAA">
        <w:t>’</w:t>
      </w:r>
      <w:r w:rsidRPr="00D10EF8">
        <w:t>expression (CCPR/C/GC/34)</w:t>
      </w:r>
      <w:r>
        <w:t>,</w:t>
      </w:r>
      <w:r w:rsidRPr="00D10EF8">
        <w:t xml:space="preserve"> </w:t>
      </w:r>
      <w:r w:rsidR="00BD7791" w:rsidRPr="00BD7791">
        <w:rPr>
          <w:rFonts w:eastAsia="MS Mincho"/>
        </w:rPr>
        <w:t>n</w:t>
      </w:r>
      <w:r w:rsidR="00BD7791">
        <w:rPr>
          <w:rFonts w:eastAsia="MS Mincho"/>
        </w:rPr>
        <w:t xml:space="preserve"> </w:t>
      </w:r>
      <w:r w:rsidR="00CB74A3">
        <w:t> </w:t>
      </w:r>
      <w:r w:rsidRPr="00D10EF8">
        <w:t>36 sur le droit à la vie (CCPR/C/GC/36)</w:t>
      </w:r>
      <w:r>
        <w:t>,</w:t>
      </w:r>
      <w:r w:rsidRPr="00D10EF8">
        <w:t xml:space="preserve"> </w:t>
      </w:r>
      <w:r w:rsidR="00BD7791" w:rsidRPr="00BD7791">
        <w:rPr>
          <w:rFonts w:eastAsia="MS Mincho"/>
        </w:rPr>
        <w:t>n</w:t>
      </w:r>
      <w:r w:rsidR="00BD7791" w:rsidRPr="00BD7791">
        <w:rPr>
          <w:rFonts w:eastAsia="MS Mincho"/>
          <w:vertAlign w:val="superscript"/>
        </w:rPr>
        <w:t>o</w:t>
      </w:r>
      <w:r w:rsidR="00CB74A3">
        <w:t> </w:t>
      </w:r>
      <w:r w:rsidRPr="00D10EF8">
        <w:t xml:space="preserve">37 sur le droit de réunion pacifique (CCPR/C/GC/37) </w:t>
      </w:r>
      <w:r w:rsidR="009C32AA">
        <w:t>−</w:t>
      </w:r>
      <w:r w:rsidRPr="00D10EF8">
        <w:t xml:space="preserve"> l</w:t>
      </w:r>
      <w:r w:rsidR="00F60EAA">
        <w:t>’</w:t>
      </w:r>
      <w:r w:rsidRPr="00D10EF8">
        <w:t xml:space="preserve">observation générale </w:t>
      </w:r>
      <w:r w:rsidR="00BD7791" w:rsidRPr="00BD7791">
        <w:rPr>
          <w:rFonts w:eastAsia="MS Mincho"/>
        </w:rPr>
        <w:t>n</w:t>
      </w:r>
      <w:r w:rsidR="00BD7791" w:rsidRPr="00BD7791">
        <w:rPr>
          <w:rFonts w:eastAsia="MS Mincho"/>
          <w:vertAlign w:val="superscript"/>
        </w:rPr>
        <w:t>o</w:t>
      </w:r>
      <w:r w:rsidR="00CB74A3">
        <w:t> </w:t>
      </w:r>
      <w:r w:rsidRPr="00D10EF8">
        <w:t xml:space="preserve">20 du Comité des droits </w:t>
      </w:r>
      <w:bookmarkStart w:id="16" w:name="_Hlk108621725"/>
      <w:r w:rsidRPr="00D10EF8">
        <w:t xml:space="preserve">économiques, sociaux et culturels </w:t>
      </w:r>
      <w:bookmarkEnd w:id="16"/>
      <w:r w:rsidRPr="00D10EF8">
        <w:t>sur la non-discrimination dans l</w:t>
      </w:r>
      <w:r w:rsidR="00F60EAA">
        <w:t>’</w:t>
      </w:r>
      <w:r w:rsidRPr="00D10EF8">
        <w:t>exercice des droits économiques, sociaux et culturels (E/C.12/GC/20).</w:t>
      </w:r>
    </w:p>
  </w:footnote>
  <w:footnote w:id="11">
    <w:p w14:paraId="3E0F4F2C" w14:textId="095AEA82" w:rsidR="00865E37" w:rsidRPr="00D10EF8" w:rsidRDefault="00865E37" w:rsidP="005B4367">
      <w:pPr>
        <w:pStyle w:val="FootnoteText"/>
      </w:pPr>
      <w:r w:rsidRPr="00D10EF8">
        <w:tab/>
      </w:r>
      <w:r w:rsidRPr="0081604B">
        <w:rPr>
          <w:rStyle w:val="FootnoteReference"/>
        </w:rPr>
        <w:footnoteRef/>
      </w:r>
      <w:r w:rsidRPr="00D10EF8">
        <w:tab/>
        <w:t>Par exemple, les Principes de base des Nations Unies sur le recours à la force et l</w:t>
      </w:r>
      <w:r w:rsidR="00F60EAA">
        <w:t>’</w:t>
      </w:r>
      <w:r w:rsidRPr="00D10EF8">
        <w:t>utilisation des armes à feu par les responsables de l</w:t>
      </w:r>
      <w:r w:rsidR="00F60EAA">
        <w:t>’</w:t>
      </w:r>
      <w:r w:rsidRPr="00D10EF8">
        <w:t>application des lois, adoptés par le Huitième Congrès des Nations Unies pour la prévention du crime et le traitement des délinquants, La Havane, Cuba, 27</w:t>
      </w:r>
      <w:r w:rsidR="00CB74A3">
        <w:t> </w:t>
      </w:r>
      <w:r w:rsidRPr="00D10EF8">
        <w:t>août-7 septembre 1990 (« Principes de base des Nations Unies sur le recours à la force et l</w:t>
      </w:r>
      <w:r w:rsidR="00F60EAA">
        <w:t>’</w:t>
      </w:r>
      <w:r w:rsidRPr="00D10EF8">
        <w:t>utilisation des armes à feu par les responsables de l</w:t>
      </w:r>
      <w:r w:rsidR="00F60EAA">
        <w:t>’</w:t>
      </w:r>
      <w:r w:rsidRPr="00D10EF8">
        <w:t>application des lois</w:t>
      </w:r>
      <w:r w:rsidR="00CB74A3">
        <w:t> </w:t>
      </w:r>
      <w:r w:rsidRPr="00D10EF8">
        <w:t>»). (</w:t>
      </w:r>
      <w:hyperlink r:id="rId8" w:history="1">
        <w:r w:rsidRPr="009C32AA">
          <w:rPr>
            <w:rStyle w:val="Hyperlink"/>
          </w:rPr>
          <w:t>https://www.ohchr.org/</w:t>
        </w:r>
        <w:r w:rsidR="00BD7791">
          <w:rPr>
            <w:rStyle w:val="Hyperlink"/>
          </w:rPr>
          <w:t xml:space="preserve"> </w:t>
        </w:r>
        <w:r w:rsidRPr="009C32AA">
          <w:rPr>
            <w:rStyle w:val="Hyperlink"/>
          </w:rPr>
          <w:t>fr/instruments-mechanisms/instruments/basic-principles-use-force-and-firearms-law-enforcement</w:t>
        </w:r>
      </w:hyperlink>
      <w:r w:rsidRPr="00D10EF8">
        <w:t>)</w:t>
      </w:r>
      <w:r w:rsidR="00BF73AB">
        <w:t> ;</w:t>
      </w:r>
      <w:r w:rsidRPr="00D10EF8">
        <w:t xml:space="preserve"> le Code de conduite pour les responsables de l</w:t>
      </w:r>
      <w:r w:rsidR="00F60EAA">
        <w:t>’</w:t>
      </w:r>
      <w:r w:rsidRPr="00D10EF8">
        <w:t>application des lois, adopté par la résolution 34/169 de l</w:t>
      </w:r>
      <w:r w:rsidR="00F60EAA">
        <w:t>’</w:t>
      </w:r>
      <w:r w:rsidRPr="00D10EF8">
        <w:t>Assemblée générale du 17 décembre 1979 (« Code de conduite pour les responsables de l</w:t>
      </w:r>
      <w:r w:rsidR="00F60EAA">
        <w:t>’</w:t>
      </w:r>
      <w:r w:rsidRPr="00D10EF8">
        <w:t>application des lois</w:t>
      </w:r>
      <w:r w:rsidR="009C32AA">
        <w:t> </w:t>
      </w:r>
      <w:r w:rsidRPr="00D10EF8">
        <w:t>») (</w:t>
      </w:r>
      <w:hyperlink r:id="rId9" w:history="1">
        <w:r w:rsidRPr="009C32AA">
          <w:rPr>
            <w:rStyle w:val="FollowedHyperlink"/>
          </w:rPr>
          <w:t>https://www.ohchr.org/fr/instruments-mechanisms/instruments/code-conduct-law-enforcement-officials</w:t>
        </w:r>
      </w:hyperlink>
      <w:r w:rsidRPr="00D10EF8">
        <w:t>).</w:t>
      </w:r>
    </w:p>
  </w:footnote>
  <w:footnote w:id="12">
    <w:p w14:paraId="6C5D29B1" w14:textId="19F94125" w:rsidR="00865E37" w:rsidRPr="00D10EF8" w:rsidRDefault="00865E37" w:rsidP="005B4367">
      <w:pPr>
        <w:pStyle w:val="FootnoteText"/>
      </w:pPr>
      <w:r w:rsidRPr="00D10EF8">
        <w:tab/>
      </w:r>
      <w:r w:rsidRPr="0081604B">
        <w:rPr>
          <w:rStyle w:val="FootnoteReference"/>
        </w:rPr>
        <w:footnoteRef/>
      </w:r>
      <w:r w:rsidRPr="00D10EF8">
        <w:tab/>
        <w:t xml:space="preserve">Déclaration </w:t>
      </w:r>
      <w:r w:rsidR="00BD7791" w:rsidRPr="00D10EF8">
        <w:t>et Programme d</w:t>
      </w:r>
      <w:r w:rsidR="00F60EAA">
        <w:t>’</w:t>
      </w:r>
      <w:r w:rsidR="00BD7791" w:rsidRPr="00D10EF8">
        <w:t xml:space="preserve">action </w:t>
      </w:r>
      <w:r w:rsidRPr="00D10EF8">
        <w:t>de Durban, adoptés à la Conférence mondiale contre le racisme, la discrimination raciale, la xénophobie et l</w:t>
      </w:r>
      <w:r w:rsidR="00F60EAA">
        <w:t>’</w:t>
      </w:r>
      <w:r w:rsidRPr="00D10EF8">
        <w:t>intolérance qui y est associée (</w:t>
      </w:r>
      <w:hyperlink r:id="rId10" w:history="1">
        <w:r w:rsidRPr="009C32AA">
          <w:rPr>
            <w:rStyle w:val="FollowedHyperlink"/>
          </w:rPr>
          <w:t>https://www.un.org/fr/</w:t>
        </w:r>
        <w:r w:rsidR="00653F4E">
          <w:rPr>
            <w:rStyle w:val="FollowedHyperlink"/>
          </w:rPr>
          <w:t xml:space="preserve"> </w:t>
        </w:r>
        <w:r w:rsidRPr="009C32AA">
          <w:rPr>
            <w:rStyle w:val="FollowedHyperlink"/>
          </w:rPr>
          <w:t>durbanreview2009/ddpa.shtml</w:t>
        </w:r>
      </w:hyperlink>
      <w:r w:rsidRPr="00D10EF8">
        <w:t>).</w:t>
      </w:r>
    </w:p>
  </w:footnote>
  <w:footnote w:id="13">
    <w:p w14:paraId="4D155BEB" w14:textId="47E07314" w:rsidR="00865E37" w:rsidRPr="00D10EF8" w:rsidRDefault="00865E37" w:rsidP="005B4367">
      <w:pPr>
        <w:pStyle w:val="FootnoteText"/>
      </w:pPr>
      <w:r w:rsidRPr="00D10EF8">
        <w:tab/>
      </w:r>
      <w:r w:rsidRPr="00093AC5">
        <w:rPr>
          <w:rStyle w:val="FootnoteReference"/>
        </w:rPr>
        <w:footnoteRef/>
      </w:r>
      <w:r w:rsidRPr="00D10EF8">
        <w:tab/>
        <w:t>Dans la Convention internationale sur l</w:t>
      </w:r>
      <w:r w:rsidR="00F60EAA">
        <w:t>’</w:t>
      </w:r>
      <w:r w:rsidRPr="00D10EF8">
        <w:t>élimination de toutes les formes de discrimination raciale, l</w:t>
      </w:r>
      <w:r w:rsidR="00F60EAA">
        <w:t>’</w:t>
      </w:r>
      <w:r w:rsidRPr="00D10EF8">
        <w:t>expression «</w:t>
      </w:r>
      <w:r>
        <w:t> </w:t>
      </w:r>
      <w:r w:rsidRPr="00D10EF8">
        <w:t>discrimination raciale</w:t>
      </w:r>
      <w:r>
        <w:t> </w:t>
      </w:r>
      <w:r w:rsidRPr="00D10EF8">
        <w:t xml:space="preserve">» </w:t>
      </w:r>
      <w:r>
        <w:t>s</w:t>
      </w:r>
      <w:r w:rsidR="00F60EAA">
        <w:t>’</w:t>
      </w:r>
      <w:r>
        <w:t>entend de</w:t>
      </w:r>
      <w:r w:rsidRPr="00D10EF8">
        <w:t xml:space="preserve"> toute distinction, exclusion, restriction ou préférence fondée sur la race, la couleur, l</w:t>
      </w:r>
      <w:r w:rsidR="00F60EAA">
        <w:t>’</w:t>
      </w:r>
      <w:r w:rsidRPr="00D10EF8">
        <w:t>ascendance ou l</w:t>
      </w:r>
      <w:r w:rsidR="00F60EAA">
        <w:t>’</w:t>
      </w:r>
      <w:r w:rsidRPr="00D10EF8">
        <w:t>origine nationale ou ethnique, qui a pour but ou pour effet de détruire ou de compromettre la reconnaissance, la jouissance ou l</w:t>
      </w:r>
      <w:r w:rsidR="00F60EAA">
        <w:t>’</w:t>
      </w:r>
      <w:r w:rsidRPr="00D10EF8">
        <w:t>exercice, dans des conditions d</w:t>
      </w:r>
      <w:r w:rsidR="00F60EAA">
        <w:t>’</w:t>
      </w:r>
      <w:r w:rsidRPr="00D10EF8">
        <w:t>égalité, des droits de l</w:t>
      </w:r>
      <w:r w:rsidR="00F60EAA">
        <w:t>’</w:t>
      </w:r>
      <w:r w:rsidRPr="00D10EF8">
        <w:t>homme et des libertés fondamentales.</w:t>
      </w:r>
    </w:p>
  </w:footnote>
  <w:footnote w:id="14">
    <w:p w14:paraId="47742082" w14:textId="3BF3346E" w:rsidR="00865E37" w:rsidRPr="00D10EF8" w:rsidRDefault="00865E37" w:rsidP="005B4367">
      <w:pPr>
        <w:pStyle w:val="FootnoteText"/>
      </w:pPr>
      <w:r w:rsidRPr="00D10EF8">
        <w:tab/>
      </w:r>
      <w:r w:rsidRPr="00093AC5">
        <w:rPr>
          <w:rStyle w:val="FootnoteReference"/>
        </w:rPr>
        <w:footnoteRef/>
      </w:r>
      <w:r w:rsidRPr="00D10EF8">
        <w:tab/>
        <w:t>Le Comité des droits économiques, sociaux et culturels considère que les formes directes ou indirectes de traitement différencié peuvent être constitutives de discrimination au regard de l</w:t>
      </w:r>
      <w:r w:rsidR="00F60EAA">
        <w:t>’</w:t>
      </w:r>
      <w:r w:rsidRPr="00D10EF8">
        <w:t>article</w:t>
      </w:r>
      <w:r w:rsidR="0041610A">
        <w:t> </w:t>
      </w:r>
      <w:r w:rsidRPr="00D10EF8">
        <w:t>2 (</w:t>
      </w:r>
      <w:r w:rsidR="002A7FA1">
        <w:t>par. </w:t>
      </w:r>
      <w:r w:rsidRPr="00D10EF8">
        <w:t>2) du Pacte international relatif aux droits économiques, sociaux et culturels (E/C.12/GC/20).</w:t>
      </w:r>
    </w:p>
  </w:footnote>
  <w:footnote w:id="15">
    <w:p w14:paraId="4D1008C5" w14:textId="77777777" w:rsidR="00865E37" w:rsidRPr="00D10EF8" w:rsidRDefault="00865E37" w:rsidP="005B4367">
      <w:pPr>
        <w:pStyle w:val="FootnoteText"/>
      </w:pPr>
      <w:r w:rsidRPr="00D10EF8">
        <w:tab/>
      </w:r>
      <w:r w:rsidRPr="00093AC5">
        <w:rPr>
          <w:rStyle w:val="FootnoteReference"/>
        </w:rPr>
        <w:footnoteRef/>
      </w:r>
      <w:r w:rsidRPr="00D10EF8">
        <w:tab/>
        <w:t>CERD/C/GC/34.</w:t>
      </w:r>
    </w:p>
  </w:footnote>
  <w:footnote w:id="16">
    <w:p w14:paraId="7B2D5CD5" w14:textId="37BB6252" w:rsidR="00865E37" w:rsidRPr="00D10EF8" w:rsidRDefault="00C70607" w:rsidP="005B4367">
      <w:pPr>
        <w:pStyle w:val="FootnoteText"/>
      </w:pPr>
      <w:r w:rsidRPr="00D10EF8">
        <w:tab/>
      </w:r>
      <w:r w:rsidRPr="00093AC5">
        <w:rPr>
          <w:rStyle w:val="FootnoteReference"/>
        </w:rPr>
        <w:footnoteRef/>
      </w:r>
      <w:r w:rsidRPr="00D10EF8">
        <w:tab/>
      </w:r>
      <w:r w:rsidR="00865E37" w:rsidRPr="000A7CB3">
        <w:rPr>
          <w:spacing w:val="-2"/>
        </w:rPr>
        <w:t>A/HRC/20/16</w:t>
      </w:r>
      <w:r w:rsidR="00BF73AB" w:rsidRPr="000A7CB3">
        <w:rPr>
          <w:spacing w:val="-2"/>
        </w:rPr>
        <w:t> ;</w:t>
      </w:r>
      <w:r w:rsidR="00865E37" w:rsidRPr="000A7CB3">
        <w:rPr>
          <w:spacing w:val="-2"/>
        </w:rPr>
        <w:t xml:space="preserve"> A/HRC/29/47</w:t>
      </w:r>
      <w:r w:rsidR="00BF73AB" w:rsidRPr="000A7CB3">
        <w:rPr>
          <w:spacing w:val="-2"/>
        </w:rPr>
        <w:t> ;</w:t>
      </w:r>
      <w:r w:rsidR="00865E37" w:rsidRPr="000A7CB3">
        <w:rPr>
          <w:spacing w:val="-2"/>
        </w:rPr>
        <w:t xml:space="preserve"> A/HRC/35/10</w:t>
      </w:r>
      <w:r w:rsidR="00BF73AB" w:rsidRPr="000A7CB3">
        <w:rPr>
          <w:spacing w:val="-2"/>
        </w:rPr>
        <w:t> ;</w:t>
      </w:r>
      <w:r w:rsidR="00865E37" w:rsidRPr="000A7CB3">
        <w:rPr>
          <w:spacing w:val="-2"/>
        </w:rPr>
        <w:t xml:space="preserve"> CERD/C/URY/CO/21-23</w:t>
      </w:r>
      <w:r w:rsidR="00BF73AB" w:rsidRPr="000A7CB3">
        <w:rPr>
          <w:spacing w:val="-2"/>
        </w:rPr>
        <w:t> ;</w:t>
      </w:r>
      <w:r w:rsidR="00865E37" w:rsidRPr="000A7CB3">
        <w:rPr>
          <w:spacing w:val="-2"/>
        </w:rPr>
        <w:t xml:space="preserve"> CERD/C/ARG/CO/21-23</w:t>
      </w:r>
      <w:r w:rsidR="00BF73AB" w:rsidRPr="000A7CB3">
        <w:rPr>
          <w:spacing w:val="-2"/>
        </w:rPr>
        <w:t> ;</w:t>
      </w:r>
      <w:r w:rsidR="00865E37" w:rsidRPr="00D10EF8">
        <w:t xml:space="preserve"> CERD/C/MEX/CO/18-21</w:t>
      </w:r>
      <w:r w:rsidR="00BF73AB">
        <w:t> ;</w:t>
      </w:r>
      <w:r w:rsidR="00865E37" w:rsidRPr="00D10EF8">
        <w:t xml:space="preserve"> CERD/C/COL/CO/17-19</w:t>
      </w:r>
      <w:r w:rsidR="00BF73AB">
        <w:t> ;</w:t>
      </w:r>
      <w:r w:rsidR="00865E37" w:rsidRPr="00D10EF8">
        <w:t xml:space="preserve"> communications du Groupe de travail sur la discrimination à l</w:t>
      </w:r>
      <w:r w:rsidR="00F60EAA">
        <w:t>’</w:t>
      </w:r>
      <w:r w:rsidR="00865E37" w:rsidRPr="00D10EF8">
        <w:t xml:space="preserve">égard des femmes et des filles, de Rede Nacional de Mulheres Negras </w:t>
      </w:r>
      <w:r w:rsidR="00CB74A3" w:rsidRPr="00CB74A3">
        <w:rPr>
          <w:rFonts w:eastAsia="MS Mincho"/>
        </w:rPr>
        <w:t>no</w:t>
      </w:r>
      <w:r w:rsidR="000A7CB3">
        <w:t xml:space="preserve"> </w:t>
      </w:r>
      <w:r w:rsidR="00865E37" w:rsidRPr="00D10EF8">
        <w:t>Combate à Violência et de la Woodhull Freedom Foundation/Sex Workers Project</w:t>
      </w:r>
      <w:r w:rsidR="00865E37">
        <w:t xml:space="preserve"> </w:t>
      </w:r>
      <w:r w:rsidR="000A7CB3">
        <w:t>−</w:t>
      </w:r>
      <w:r w:rsidR="00865E37">
        <w:t xml:space="preserve"> </w:t>
      </w:r>
      <w:r w:rsidR="00865E37" w:rsidRPr="00D10EF8">
        <w:t>Urban Justice Center</w:t>
      </w:r>
      <w:r w:rsidR="00BF73AB">
        <w:t> ;</w:t>
      </w:r>
      <w:r w:rsidR="00865E37" w:rsidRPr="00D10EF8">
        <w:t xml:space="preserve"> </w:t>
      </w:r>
      <w:hyperlink r:id="rId11" w:history="1">
        <w:r w:rsidR="00865E37" w:rsidRPr="0041610A">
          <w:rPr>
            <w:rStyle w:val="FollowedHyperlink"/>
          </w:rPr>
          <w:t>www.un.org/sites/un2.un.org/files/women_and_girls_of_african_descent_web.pdf</w:t>
        </w:r>
      </w:hyperlink>
      <w:r w:rsidR="00BF73AB">
        <w:t> ;</w:t>
      </w:r>
      <w:r w:rsidR="00865E37" w:rsidRPr="00D10EF8">
        <w:t xml:space="preserve"> </w:t>
      </w:r>
      <w:hyperlink r:id="rId12" w:history="1">
        <w:r w:rsidR="00865E37" w:rsidRPr="0041610A">
          <w:rPr>
            <w:rStyle w:val="FollowedHyperlink"/>
          </w:rPr>
          <w:t>https://www.un.org/womenwatch/daw/csw/genrac/report.htm</w:t>
        </w:r>
      </w:hyperlink>
      <w:r w:rsidR="00865E37" w:rsidRPr="00D10EF8">
        <w:t>.</w:t>
      </w:r>
    </w:p>
  </w:footnote>
  <w:footnote w:id="17">
    <w:p w14:paraId="164F4D78" w14:textId="57EECDBE" w:rsidR="00865E37" w:rsidRPr="00D10EF8" w:rsidRDefault="00C70607" w:rsidP="005B4367">
      <w:pPr>
        <w:pStyle w:val="FootnoteText"/>
      </w:pPr>
      <w:r w:rsidRPr="00D10EF8">
        <w:tab/>
      </w:r>
      <w:r w:rsidRPr="00093AC5">
        <w:rPr>
          <w:rStyle w:val="FootnoteReference"/>
        </w:rPr>
        <w:footnoteRef/>
      </w:r>
      <w:r w:rsidRPr="00D10EF8">
        <w:tab/>
      </w:r>
      <w:r w:rsidR="00865E37" w:rsidRPr="00D10EF8">
        <w:t>Par exemple, A/HRC/42/59/Add.1-2</w:t>
      </w:r>
      <w:r w:rsidR="00BF73AB">
        <w:t> ;</w:t>
      </w:r>
      <w:r w:rsidR="00865E37" w:rsidRPr="00D10EF8">
        <w:t xml:space="preserve"> E/CN.4/2006/16/Add.3</w:t>
      </w:r>
      <w:r w:rsidR="00BF73AB">
        <w:t> ;</w:t>
      </w:r>
      <w:r w:rsidR="00865E37" w:rsidRPr="00D10EF8">
        <w:t xml:space="preserve"> A/HRC/27/68/Add.1</w:t>
      </w:r>
      <w:r w:rsidR="00BF73AB">
        <w:t> ;</w:t>
      </w:r>
      <w:r w:rsidR="00865E37" w:rsidRPr="00D10EF8">
        <w:t xml:space="preserve"> A/HRC/36/60/Add.1</w:t>
      </w:r>
      <w:r w:rsidR="00BF73AB">
        <w:t> ;</w:t>
      </w:r>
      <w:r w:rsidR="00865E37" w:rsidRPr="00D10EF8">
        <w:t xml:space="preserve"> E/CN.4/2004/18/Add.2</w:t>
      </w:r>
      <w:r w:rsidR="00BF73AB">
        <w:t> ;</w:t>
      </w:r>
      <w:r w:rsidR="00865E37" w:rsidRPr="00D10EF8">
        <w:t xml:space="preserve"> E/CN.4/1997/71/Add.1</w:t>
      </w:r>
      <w:r w:rsidR="00BF73AB">
        <w:t> ;</w:t>
      </w:r>
      <w:r w:rsidR="00865E37" w:rsidRPr="00D10EF8">
        <w:t xml:space="preserve"> A/HRC/7/19/Add.5</w:t>
      </w:r>
      <w:r w:rsidR="00BF73AB">
        <w:t> ;</w:t>
      </w:r>
      <w:r w:rsidR="00865E37" w:rsidRPr="00D10EF8">
        <w:t xml:space="preserve"> A/HRC/7/23/Add.3</w:t>
      </w:r>
      <w:r w:rsidR="00BF73AB">
        <w:t> ;</w:t>
      </w:r>
      <w:r w:rsidR="00865E37" w:rsidRPr="00D10EF8">
        <w:t xml:space="preserve"> A/HRC/45/44/Add.1</w:t>
      </w:r>
      <w:r w:rsidR="00BF73AB">
        <w:t> ;</w:t>
      </w:r>
      <w:r w:rsidR="00865E37" w:rsidRPr="00D10EF8">
        <w:t xml:space="preserve"> A/HRC/13/59</w:t>
      </w:r>
      <w:r w:rsidR="00BF73AB">
        <w:t> ;</w:t>
      </w:r>
      <w:r w:rsidR="00865E37" w:rsidRPr="00D10EF8">
        <w:t xml:space="preserve"> A/HRC/36/60/Add.2</w:t>
      </w:r>
      <w:r w:rsidR="00BF73AB">
        <w:t> ;</w:t>
      </w:r>
      <w:r w:rsidR="00865E37" w:rsidRPr="00D10EF8">
        <w:t xml:space="preserve"> A/HRC/7/23/Add.2</w:t>
      </w:r>
      <w:r w:rsidR="00BF73AB">
        <w:t> ;</w:t>
      </w:r>
      <w:r w:rsidR="00865E37" w:rsidRPr="00D10EF8">
        <w:t xml:space="preserve"> E/CN.4/2005/18/Add.2</w:t>
      </w:r>
      <w:r w:rsidR="00BF73AB">
        <w:t> ;</w:t>
      </w:r>
      <w:r w:rsidR="00865E37" w:rsidRPr="00D10EF8">
        <w:t xml:space="preserve"> A/HRC/33/61/Add.1-2</w:t>
      </w:r>
      <w:r w:rsidR="00BF73AB">
        <w:t> ;</w:t>
      </w:r>
      <w:r w:rsidR="00865E37" w:rsidRPr="00D10EF8">
        <w:t xml:space="preserve"> A/HRC/30/56/Add.1</w:t>
      </w:r>
      <w:r w:rsidR="00BF73AB">
        <w:t> ;</w:t>
      </w:r>
      <w:r w:rsidR="00865E37" w:rsidRPr="00D10EF8">
        <w:t xml:space="preserve"> A/HRC/44/57/Add.2</w:t>
      </w:r>
      <w:r w:rsidR="00BF73AB">
        <w:t> ;</w:t>
      </w:r>
      <w:r w:rsidR="00865E37" w:rsidRPr="00D10EF8">
        <w:t xml:space="preserve"> A/HRC/24/52/Add.1-2</w:t>
      </w:r>
      <w:r w:rsidR="00BF73AB">
        <w:t> ;</w:t>
      </w:r>
      <w:r w:rsidR="00865E37" w:rsidRPr="00D10EF8">
        <w:t xml:space="preserve"> A/HRC/39/69/Add.2</w:t>
      </w:r>
      <w:r w:rsidR="00BF73AB">
        <w:t> ;</w:t>
      </w:r>
      <w:r w:rsidR="00865E37" w:rsidRPr="00D10EF8">
        <w:t xml:space="preserve"> A/HRC/42/59/Add.2</w:t>
      </w:r>
      <w:r w:rsidR="00BF73AB">
        <w:t> ;</w:t>
      </w:r>
      <w:r w:rsidR="00865E37" w:rsidRPr="00D10EF8">
        <w:t xml:space="preserve"> A/HRC/21/60/Add.1</w:t>
      </w:r>
      <w:r w:rsidR="00BF73AB">
        <w:t> ;</w:t>
      </w:r>
      <w:r w:rsidR="00865E37" w:rsidRPr="00D10EF8">
        <w:t xml:space="preserve"> A/HRC/30/56/Add.2</w:t>
      </w:r>
      <w:r w:rsidR="00BF73AB">
        <w:t> ;</w:t>
      </w:r>
      <w:r w:rsidR="00865E37" w:rsidRPr="00D10EF8">
        <w:t xml:space="preserve"> A/HRC/41/54/Add.2</w:t>
      </w:r>
      <w:r w:rsidR="00BF73AB">
        <w:t> ;</w:t>
      </w:r>
      <w:r w:rsidR="00865E37" w:rsidRPr="00D10EF8">
        <w:t xml:space="preserve"> A/HRC/15/18</w:t>
      </w:r>
      <w:r w:rsidR="00BF73AB">
        <w:t> ;</w:t>
      </w:r>
      <w:r w:rsidR="00865E37" w:rsidRPr="00D10EF8">
        <w:t xml:space="preserve"> CERD/C/GC/34</w:t>
      </w:r>
      <w:r w:rsidR="00BF73AB">
        <w:t> ;</w:t>
      </w:r>
      <w:r w:rsidR="00865E37" w:rsidRPr="00D10EF8">
        <w:t xml:space="preserve"> </w:t>
      </w:r>
      <w:hyperlink r:id="rId13" w:history="1">
        <w:r w:rsidR="00865E37" w:rsidRPr="0041610A">
          <w:rPr>
            <w:rStyle w:val="FollowedHyperlink"/>
          </w:rPr>
          <w:t>https://www.ohchr.org/Documents/HRBodies/CERD/earlywarning/statements/USA.PDF</w:t>
        </w:r>
      </w:hyperlink>
      <w:r w:rsidR="00BF73AB">
        <w:t> ;</w:t>
      </w:r>
      <w:r w:rsidR="0041610A">
        <w:t xml:space="preserve"> </w:t>
      </w:r>
      <w:hyperlink r:id="rId14" w:history="1">
        <w:r w:rsidR="00865E37" w:rsidRPr="0041610A">
          <w:rPr>
            <w:rStyle w:val="FollowedHyperlink"/>
          </w:rPr>
          <w:t>https://www.ohchr.org/en/NewsEvents/Pages/DisplayNews.aspx?NewsID=25969&amp;LangID=E</w:t>
        </w:r>
      </w:hyperlink>
      <w:r w:rsidR="00865E37" w:rsidRPr="00D10EF8">
        <w:t>.</w:t>
      </w:r>
    </w:p>
  </w:footnote>
  <w:footnote w:id="18">
    <w:p w14:paraId="7B5BB242" w14:textId="657C2848" w:rsidR="00865E37" w:rsidRPr="00D10EF8" w:rsidRDefault="00C70607" w:rsidP="005B4367">
      <w:pPr>
        <w:pStyle w:val="FootnoteText"/>
      </w:pPr>
      <w:r w:rsidRPr="00D10EF8">
        <w:tab/>
      </w:r>
      <w:r w:rsidRPr="00093AC5">
        <w:rPr>
          <w:rStyle w:val="FootnoteReference"/>
        </w:rPr>
        <w:footnoteRef/>
      </w:r>
      <w:r w:rsidRPr="00D10EF8">
        <w:tab/>
      </w:r>
      <w:r w:rsidR="00865E37" w:rsidRPr="00D10EF8">
        <w:t xml:space="preserve">Par exemple, </w:t>
      </w:r>
      <w:hyperlink r:id="rId15" w:history="1">
        <w:r w:rsidR="00865E37" w:rsidRPr="0041610A">
          <w:rPr>
            <w:rStyle w:val="FollowedHyperlink"/>
          </w:rPr>
          <w:t>https://www.oas.org/en/iachr/afro-descendants/docs/pdf/afros_2011_eng.pdf</w:t>
        </w:r>
      </w:hyperlink>
      <w:r w:rsidR="00BF73AB">
        <w:t> ;</w:t>
      </w:r>
      <w:r w:rsidR="00865E37" w:rsidRPr="00D10EF8">
        <w:t xml:space="preserve"> </w:t>
      </w:r>
      <w:hyperlink r:id="rId16" w:history="1">
        <w:r w:rsidR="00865E37" w:rsidRPr="0041610A">
          <w:rPr>
            <w:rStyle w:val="FollowedHyperlink"/>
          </w:rPr>
          <w:t>https://www.coe.int/fr/web/european-commission-against-racism-and-intolerance/-/ecri-warns-against-racial-profiling-in-policing-and-calls-for-a-systemic-response-to-address-racism-in-all-areas</w:t>
        </w:r>
      </w:hyperlink>
      <w:r w:rsidR="00BF73AB">
        <w:t> ;</w:t>
      </w:r>
      <w:r w:rsidR="00865E37" w:rsidRPr="00D10EF8">
        <w:t xml:space="preserve"> </w:t>
      </w:r>
      <w:hyperlink r:id="rId17" w:history="1">
        <w:r w:rsidR="00865E37" w:rsidRPr="0041610A">
          <w:rPr>
            <w:rStyle w:val="FollowedHyperlink"/>
          </w:rPr>
          <w:t>https://rm.coe.int/declaration-de-l-ecri-sur-les-abus-policiers-a-caractere-raciste-notam/16809eee69</w:t>
        </w:r>
      </w:hyperlink>
      <w:r w:rsidR="00BF73AB">
        <w:t> ;</w:t>
      </w:r>
      <w:r w:rsidR="00865E37" w:rsidRPr="00D10EF8">
        <w:t xml:space="preserve"> </w:t>
      </w:r>
      <w:hyperlink r:id="rId18" w:history="1">
        <w:r w:rsidR="00865E37" w:rsidRPr="0041610A">
          <w:rPr>
            <w:rStyle w:val="FollowedHyperlink"/>
          </w:rPr>
          <w:t>https://fra.europa.eu/en/publication/2020/fundamental-rights-report-2020</w:t>
        </w:r>
      </w:hyperlink>
      <w:r w:rsidR="00865E37" w:rsidRPr="00D10EF8">
        <w:t>.</w:t>
      </w:r>
    </w:p>
  </w:footnote>
  <w:footnote w:id="19">
    <w:p w14:paraId="07D27AA0" w14:textId="4C3052DD" w:rsidR="00865E37" w:rsidRPr="00DA5E7E" w:rsidRDefault="00C70607"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 xml:space="preserve">Par exemple, </w:t>
      </w:r>
      <w:hyperlink r:id="rId19" w:history="1">
        <w:r w:rsidR="00865E37" w:rsidRPr="00F25C35">
          <w:rPr>
            <w:rStyle w:val="FollowedHyperlink"/>
            <w:lang w:val="en-US"/>
          </w:rPr>
          <w:t>https://www.worldbank.org/en/region/lac/brief/afro-descendants-in-latin-america</w:t>
        </w:r>
      </w:hyperlink>
      <w:r w:rsidR="00BF73AB">
        <w:rPr>
          <w:lang w:val="en-US"/>
        </w:rPr>
        <w:t> ;</w:t>
      </w:r>
      <w:r w:rsidR="00865E37" w:rsidRPr="00DA5E7E">
        <w:rPr>
          <w:lang w:val="en-US"/>
        </w:rPr>
        <w:t xml:space="preserve"> </w:t>
      </w:r>
      <w:hyperlink r:id="rId20" w:history="1">
        <w:r w:rsidR="00865E37" w:rsidRPr="00F25C35">
          <w:rPr>
            <w:rStyle w:val="FollowedHyperlink"/>
            <w:lang w:val="en-US"/>
          </w:rPr>
          <w:t>https://repositorio.cepal.org/bitstream/handle/11362/44387/1/S1800725_en.pdf</w:t>
        </w:r>
      </w:hyperlink>
      <w:r w:rsidR="00BF73AB">
        <w:rPr>
          <w:lang w:val="en-US"/>
        </w:rPr>
        <w:t> ;</w:t>
      </w:r>
      <w:r w:rsidR="00865E37" w:rsidRPr="00DA5E7E">
        <w:rPr>
          <w:lang w:val="en-US"/>
        </w:rPr>
        <w:t xml:space="preserve"> </w:t>
      </w:r>
      <w:r w:rsidR="00865E37" w:rsidRPr="00F25C35">
        <w:rPr>
          <w:rStyle w:val="FollowedHyperlink"/>
          <w:lang w:val="en-US"/>
        </w:rPr>
        <w:t>https://www.cepal.org/es/publicaciones/42654-situacion-personas-afrodescendientes-america-latina-desafios-politicas-la</w:t>
      </w:r>
      <w:r w:rsidR="00BF73AB">
        <w:rPr>
          <w:lang w:val="en-US"/>
        </w:rPr>
        <w:t> ;</w:t>
      </w:r>
      <w:r w:rsidR="00865E37" w:rsidRPr="00DA5E7E">
        <w:rPr>
          <w:lang w:val="en-US"/>
        </w:rPr>
        <w:t xml:space="preserve"> </w:t>
      </w:r>
      <w:hyperlink r:id="rId21" w:history="1">
        <w:r w:rsidR="00865E37" w:rsidRPr="00F25C35">
          <w:rPr>
            <w:rStyle w:val="FollowedHyperlink"/>
            <w:lang w:val="en-US"/>
          </w:rPr>
          <w:t>https://www.cepal.org/en/publications/44458-first-regional-report-implementation-montevideo-consensus-population-and</w:t>
        </w:r>
      </w:hyperlink>
      <w:r w:rsidR="00BF73AB">
        <w:rPr>
          <w:lang w:val="en-US"/>
        </w:rPr>
        <w:t> ;</w:t>
      </w:r>
      <w:r w:rsidR="00865E37" w:rsidRPr="00DA5E7E">
        <w:rPr>
          <w:lang w:val="en-US"/>
        </w:rPr>
        <w:t xml:space="preserve"> </w:t>
      </w:r>
      <w:r w:rsidR="00865E37" w:rsidRPr="00F25C35">
        <w:rPr>
          <w:rStyle w:val="FollowedHyperlink"/>
          <w:lang w:val="en-US"/>
        </w:rPr>
        <w:t>https://www.cepal.org/en/publications/</w:t>
      </w:r>
      <w:r w:rsidR="00F25C35" w:rsidRPr="00F25C35">
        <w:rPr>
          <w:rStyle w:val="FollowedHyperlink"/>
          <w:lang w:val="en-US"/>
        </w:rPr>
        <w:t xml:space="preserve"> </w:t>
      </w:r>
      <w:r w:rsidR="00865E37" w:rsidRPr="00F25C35">
        <w:rPr>
          <w:rStyle w:val="FollowedHyperlink"/>
          <w:lang w:val="en-US"/>
        </w:rPr>
        <w:t>45202-people-african-descent-latin-america-and-caribbean-developing-indicators-measure</w:t>
      </w:r>
      <w:r w:rsidR="00865E37" w:rsidRPr="00DA5E7E">
        <w:rPr>
          <w:lang w:val="en-US"/>
        </w:rPr>
        <w:t>.</w:t>
      </w:r>
    </w:p>
  </w:footnote>
  <w:footnote w:id="20">
    <w:p w14:paraId="30B70E4A" w14:textId="67290D31" w:rsidR="00865E37" w:rsidRPr="00D10EF8" w:rsidRDefault="00C70607" w:rsidP="005B4367">
      <w:pPr>
        <w:pStyle w:val="FootnoteText"/>
      </w:pPr>
      <w:r w:rsidRPr="00DA5E7E">
        <w:rPr>
          <w:lang w:val="en-US"/>
        </w:rPr>
        <w:tab/>
      </w:r>
      <w:r w:rsidRPr="00093AC5">
        <w:rPr>
          <w:rStyle w:val="FootnoteReference"/>
        </w:rPr>
        <w:footnoteRef/>
      </w:r>
      <w:r w:rsidRPr="00D10EF8">
        <w:tab/>
      </w:r>
      <w:r w:rsidR="00865E37" w:rsidRPr="00D10EF8">
        <w:t xml:space="preserve">CERD/C/GC/34, </w:t>
      </w:r>
      <w:r w:rsidR="002A7FA1">
        <w:t>par. </w:t>
      </w:r>
      <w:r w:rsidR="00865E37" w:rsidRPr="00D10EF8">
        <w:t>9</w:t>
      </w:r>
      <w:r w:rsidR="00BF73AB">
        <w:t> ;</w:t>
      </w:r>
      <w:r w:rsidR="00865E37" w:rsidRPr="00D10EF8">
        <w:t xml:space="preserve"> Déclaration et Programme d</w:t>
      </w:r>
      <w:r w:rsidR="00F60EAA">
        <w:t>’</w:t>
      </w:r>
      <w:r w:rsidR="00865E37" w:rsidRPr="00D10EF8">
        <w:t xml:space="preserve">action de Durban, </w:t>
      </w:r>
      <w:r w:rsidR="002A7FA1">
        <w:t>par. </w:t>
      </w:r>
      <w:r w:rsidR="00865E37" w:rsidRPr="00D10EF8">
        <w:t>92 à 98</w:t>
      </w:r>
      <w:r w:rsidR="00BF73AB">
        <w:t> ;</w:t>
      </w:r>
      <w:r w:rsidR="00865E37" w:rsidRPr="00D10EF8">
        <w:t xml:space="preserve"> A/70/335</w:t>
      </w:r>
      <w:r w:rsidR="00BF73AB">
        <w:t> ;</w:t>
      </w:r>
      <w:r w:rsidR="00865E37" w:rsidRPr="00D10EF8">
        <w:t xml:space="preserve"> </w:t>
      </w:r>
      <w:hyperlink r:id="rId22" w:history="1">
        <w:r w:rsidR="00865E37" w:rsidRPr="004277A7">
          <w:rPr>
            <w:rStyle w:val="Hyperlink"/>
          </w:rPr>
          <w:t>https://www.ohchr.org/Documents/Issues/Racism/WGEAPD/Guidelines_inclusion_2030_</w:t>
        </w:r>
        <w:r w:rsidR="004277A7">
          <w:rPr>
            <w:rStyle w:val="Hyperlink"/>
          </w:rPr>
          <w:t xml:space="preserve"> </w:t>
        </w:r>
        <w:r w:rsidR="00865E37" w:rsidRPr="004277A7">
          <w:rPr>
            <w:rStyle w:val="Hyperlink"/>
          </w:rPr>
          <w:t>Agenda.pdf</w:t>
        </w:r>
      </w:hyperlink>
      <w:r w:rsidR="00BF73AB">
        <w:rPr>
          <w:rStyle w:val="FollowedHyperlink"/>
          <w:color w:val="auto"/>
        </w:rPr>
        <w:t> ;</w:t>
      </w:r>
      <w:r w:rsidR="004277A7">
        <w:rPr>
          <w:rStyle w:val="FollowedHyperlink"/>
          <w:color w:val="auto"/>
        </w:rPr>
        <w:t xml:space="preserve"> </w:t>
      </w:r>
      <w:hyperlink r:id="rId23" w:history="1">
        <w:r w:rsidR="00865E37" w:rsidRPr="004277A7">
          <w:rPr>
            <w:rStyle w:val="Hyperlink"/>
          </w:rPr>
          <w:t>https://ec.europa.eu/info/sites/default/files/final_guidelines_4-10-18_without_date_july.pdf</w:t>
        </w:r>
      </w:hyperlink>
      <w:r w:rsidR="00BF73AB">
        <w:t> ;</w:t>
      </w:r>
      <w:r w:rsidR="00865E37" w:rsidRPr="004277A7">
        <w:t xml:space="preserve"> </w:t>
      </w:r>
      <w:hyperlink r:id="rId24" w:history="1">
        <w:r w:rsidR="00865E37" w:rsidRPr="00C450DE">
          <w:rPr>
            <w:rStyle w:val="FollowedHyperlink"/>
          </w:rPr>
          <w:t>https://op.europa.eu/en/publication-detail/-/publication/1dcc2e44-4370-11ea-b81b-01aa75ed71a1/language-nl</w:t>
        </w:r>
      </w:hyperlink>
      <w:r w:rsidR="00BF73AB">
        <w:t> ;</w:t>
      </w:r>
      <w:r w:rsidR="00865E37" w:rsidRPr="00D10EF8">
        <w:t xml:space="preserve"> </w:t>
      </w:r>
      <w:hyperlink r:id="rId25" w:history="1">
        <w:r w:rsidR="00865E37" w:rsidRPr="00C450DE">
          <w:rPr>
            <w:rStyle w:val="FollowedHyperlink"/>
          </w:rPr>
          <w:t>https://www.worldbank.org/en/region/lac/brief/afro-descendants-in-latin-america</w:t>
        </w:r>
      </w:hyperlink>
      <w:r w:rsidR="00BF73AB">
        <w:t> ;</w:t>
      </w:r>
      <w:r w:rsidR="00865E37" w:rsidRPr="00D10EF8">
        <w:t xml:space="preserve"> </w:t>
      </w:r>
      <w:hyperlink r:id="rId26" w:history="1">
        <w:r w:rsidR="00865E37" w:rsidRPr="00C450DE">
          <w:rPr>
            <w:rStyle w:val="FollowedHyperlink"/>
          </w:rPr>
          <w:t>https://repositorio.cepal.org/bitstream/handle/11362/45202/</w:t>
        </w:r>
        <w:r w:rsidR="00B2414F">
          <w:rPr>
            <w:rStyle w:val="FollowedHyperlink"/>
          </w:rPr>
          <w:t xml:space="preserve"> </w:t>
        </w:r>
        <w:r w:rsidR="00865E37" w:rsidRPr="00C450DE">
          <w:rPr>
            <w:rStyle w:val="FollowedHyperlink"/>
          </w:rPr>
          <w:t>1/S1900854_es.pdf</w:t>
        </w:r>
      </w:hyperlink>
      <w:r w:rsidR="00865E37" w:rsidRPr="00D10EF8">
        <w:t>.</w:t>
      </w:r>
    </w:p>
  </w:footnote>
  <w:footnote w:id="21">
    <w:p w14:paraId="79ABEF44" w14:textId="66B861EC" w:rsidR="00865E37" w:rsidRPr="00D10EF8" w:rsidRDefault="00C70607" w:rsidP="005B4367">
      <w:pPr>
        <w:pStyle w:val="FootnoteText"/>
      </w:pPr>
      <w:r w:rsidRPr="00D10EF8">
        <w:tab/>
      </w:r>
      <w:r w:rsidRPr="00093AC5">
        <w:rPr>
          <w:rStyle w:val="FootnoteReference"/>
        </w:rPr>
        <w:footnoteRef/>
      </w:r>
      <w:r w:rsidRPr="00D10EF8">
        <w:tab/>
      </w:r>
      <w:hyperlink r:id="rId27" w:history="1">
        <w:r w:rsidR="00865E37" w:rsidRPr="00B2414F">
          <w:rPr>
            <w:rStyle w:val="FollowedHyperlink"/>
          </w:rPr>
          <w:t>https://www.worldbank.org/en/region/lac/brief/afro-descendants-in-latin-america</w:t>
        </w:r>
      </w:hyperlink>
      <w:r w:rsidR="00865E37" w:rsidRPr="00D10EF8">
        <w:t xml:space="preserve">, </w:t>
      </w:r>
      <w:r w:rsidR="002A7FA1">
        <w:t>p. </w:t>
      </w:r>
      <w:r w:rsidR="00865E37" w:rsidRPr="00D10EF8">
        <w:t>12, 39 et 77.</w:t>
      </w:r>
    </w:p>
  </w:footnote>
  <w:footnote w:id="22">
    <w:p w14:paraId="5407015B" w14:textId="4D95EA82" w:rsidR="00865E37" w:rsidRPr="00DA5E7E" w:rsidRDefault="00C70607" w:rsidP="005B4367">
      <w:pPr>
        <w:pStyle w:val="FootnoteText"/>
        <w:rPr>
          <w:lang w:val="en-US"/>
        </w:rPr>
      </w:pPr>
      <w:r w:rsidRPr="00D10EF8">
        <w:tab/>
      </w:r>
      <w:r w:rsidRPr="00093AC5">
        <w:rPr>
          <w:rStyle w:val="FootnoteReference"/>
        </w:rPr>
        <w:footnoteRef/>
      </w:r>
      <w:r w:rsidRPr="00DA5E7E">
        <w:rPr>
          <w:lang w:val="en-US"/>
        </w:rPr>
        <w:tab/>
      </w:r>
      <w:hyperlink r:id="rId28" w:history="1">
        <w:r w:rsidR="00865E37" w:rsidRPr="00031D41">
          <w:rPr>
            <w:rStyle w:val="FollowedHyperlink"/>
            <w:lang w:val="en-US"/>
          </w:rPr>
          <w:t>https://repositorio.cepal.org/bitstream/handle/11362/44387/S1800725_en.pdf?sequence= 1&amp;isAllowed=y</w:t>
        </w:r>
      </w:hyperlink>
      <w:r w:rsidR="00865E37" w:rsidRPr="00DA5E7E">
        <w:rPr>
          <w:lang w:val="en-US"/>
        </w:rPr>
        <w:t xml:space="preserve">, </w:t>
      </w:r>
      <w:r w:rsidR="002A7FA1" w:rsidRPr="00DA5E7E">
        <w:rPr>
          <w:lang w:val="en-US"/>
        </w:rPr>
        <w:t>p. </w:t>
      </w:r>
      <w:r w:rsidR="00865E37" w:rsidRPr="00DA5E7E">
        <w:rPr>
          <w:lang w:val="en-US"/>
        </w:rPr>
        <w:t>79.</w:t>
      </w:r>
    </w:p>
  </w:footnote>
  <w:footnote w:id="23">
    <w:p w14:paraId="2BCBF16D" w14:textId="2E28E5BC" w:rsidR="00865E37" w:rsidRPr="00D10EF8" w:rsidRDefault="00C70607" w:rsidP="005B4367">
      <w:pPr>
        <w:pStyle w:val="FootnoteText"/>
      </w:pPr>
      <w:r w:rsidRPr="00DA5E7E">
        <w:rPr>
          <w:lang w:val="en-US"/>
        </w:rPr>
        <w:tab/>
      </w:r>
      <w:r w:rsidRPr="00093AC5">
        <w:rPr>
          <w:rStyle w:val="FootnoteReference"/>
        </w:rPr>
        <w:footnoteRef/>
      </w:r>
      <w:r w:rsidRPr="00D10EF8">
        <w:tab/>
      </w:r>
      <w:hyperlink r:id="rId29" w:history="1">
        <w:r w:rsidR="00865E37" w:rsidRPr="00B2414F">
          <w:rPr>
            <w:rStyle w:val="FollowedHyperlink"/>
          </w:rPr>
          <w:t>https://openknowledge.worldbank.org/handle/10986/30201</w:t>
        </w:r>
      </w:hyperlink>
      <w:r w:rsidR="00865E37" w:rsidRPr="00D10EF8">
        <w:t xml:space="preserve">, </w:t>
      </w:r>
      <w:r w:rsidR="002A7FA1">
        <w:t>p. </w:t>
      </w:r>
      <w:r w:rsidR="00865E37" w:rsidRPr="00D10EF8">
        <w:t>21, 22 et 74</w:t>
      </w:r>
      <w:r w:rsidR="00BF73AB">
        <w:t> ;</w:t>
      </w:r>
      <w:r w:rsidR="00865E37" w:rsidRPr="00D10EF8">
        <w:t xml:space="preserve"> A/75/363, </w:t>
      </w:r>
      <w:r w:rsidR="002A7FA1">
        <w:t>par. </w:t>
      </w:r>
      <w:r w:rsidR="00865E37" w:rsidRPr="00D10EF8">
        <w:t>12.</w:t>
      </w:r>
    </w:p>
  </w:footnote>
  <w:footnote w:id="24">
    <w:p w14:paraId="49F9B59E" w14:textId="54A7111E" w:rsidR="00865E37" w:rsidRPr="00D10EF8" w:rsidRDefault="00C70607" w:rsidP="005B4367">
      <w:pPr>
        <w:pStyle w:val="FootnoteText"/>
      </w:pPr>
      <w:r w:rsidRPr="00D10EF8">
        <w:tab/>
      </w:r>
      <w:r w:rsidRPr="00093AC5">
        <w:rPr>
          <w:rStyle w:val="FootnoteReference"/>
        </w:rPr>
        <w:footnoteRef/>
      </w:r>
      <w:r w:rsidRPr="00D10EF8">
        <w:tab/>
      </w:r>
      <w:r w:rsidR="00865E37" w:rsidRPr="00D10EF8">
        <w:t xml:space="preserve">CRC/C/PRT/CO/5-6, </w:t>
      </w:r>
      <w:r w:rsidR="002A7FA1">
        <w:t>par. </w:t>
      </w:r>
      <w:r w:rsidR="00865E37" w:rsidRPr="00D10EF8">
        <w:t>38 et 39.</w:t>
      </w:r>
    </w:p>
  </w:footnote>
  <w:footnote w:id="25">
    <w:p w14:paraId="0BB95222" w14:textId="00735E85" w:rsidR="00865E37" w:rsidRPr="00D10EF8" w:rsidRDefault="00C70607" w:rsidP="005B4367">
      <w:pPr>
        <w:pStyle w:val="FootnoteText"/>
      </w:pPr>
      <w:r w:rsidRPr="00D10EF8">
        <w:tab/>
      </w:r>
      <w:r w:rsidRPr="00093AC5">
        <w:rPr>
          <w:rStyle w:val="FootnoteReference"/>
        </w:rPr>
        <w:footnoteRef/>
      </w:r>
      <w:r w:rsidRPr="00D10EF8">
        <w:tab/>
      </w:r>
      <w:r w:rsidR="00865E37" w:rsidRPr="00D10EF8">
        <w:t xml:space="preserve">CERD/C/SAU/CO/4-9, </w:t>
      </w:r>
      <w:r w:rsidR="002A7FA1">
        <w:t>par. </w:t>
      </w:r>
      <w:r w:rsidR="00865E37" w:rsidRPr="00D10EF8">
        <w:t>25.</w:t>
      </w:r>
    </w:p>
  </w:footnote>
  <w:footnote w:id="26">
    <w:p w14:paraId="5F908CC2" w14:textId="144E9E47" w:rsidR="00865E37" w:rsidRPr="00B2414F" w:rsidRDefault="00C70607" w:rsidP="005B4367">
      <w:pPr>
        <w:pStyle w:val="FootnoteText"/>
        <w:rPr>
          <w:rStyle w:val="FollowedHyperlink"/>
          <w:color w:val="auto"/>
        </w:rPr>
      </w:pPr>
      <w:r w:rsidRPr="00D10EF8">
        <w:tab/>
      </w:r>
      <w:r w:rsidRPr="00093AC5">
        <w:rPr>
          <w:rStyle w:val="FootnoteReference"/>
        </w:rPr>
        <w:footnoteRef/>
      </w:r>
      <w:r w:rsidRPr="00D10EF8">
        <w:tab/>
      </w:r>
      <w:hyperlink r:id="rId30" w:history="1">
        <w:r w:rsidR="00865E37" w:rsidRPr="00B2414F">
          <w:rPr>
            <w:rStyle w:val="FollowedHyperlink"/>
          </w:rPr>
          <w:t>https://www.census.gov/library/stories/2020/09/poverty-rates-for-blacks-and-hispanics-reached-historic-lows-in-2019.html</w:t>
        </w:r>
      </w:hyperlink>
      <w:r w:rsidR="00BF73AB">
        <w:t> ;</w:t>
      </w:r>
      <w:r w:rsidR="00865E37" w:rsidRPr="00D10EF8">
        <w:t xml:space="preserve"> voir également A/HRC/38/33/Add.1, </w:t>
      </w:r>
      <w:r w:rsidR="002A7FA1">
        <w:t>par. </w:t>
      </w:r>
      <w:r w:rsidR="00865E37" w:rsidRPr="00D10EF8">
        <w:t>54</w:t>
      </w:r>
      <w:r w:rsidR="00BF73AB">
        <w:t> ;</w:t>
      </w:r>
      <w:r w:rsidR="00865E37" w:rsidRPr="00D10EF8">
        <w:t xml:space="preserve"> </w:t>
      </w:r>
      <w:hyperlink r:id="rId31" w:history="1">
        <w:r w:rsidR="00865E37" w:rsidRPr="00B2414F">
          <w:rPr>
            <w:rStyle w:val="FollowedHyperlink"/>
          </w:rPr>
          <w:t>https://files.epi.org/</w:t>
        </w:r>
        <w:r w:rsidR="00B45D1E">
          <w:rPr>
            <w:rStyle w:val="FollowedHyperlink"/>
          </w:rPr>
          <w:t xml:space="preserve"> </w:t>
        </w:r>
        <w:r w:rsidR="00865E37" w:rsidRPr="00B2414F">
          <w:rPr>
            <w:rStyle w:val="FollowedHyperlink"/>
          </w:rPr>
          <w:t>pdf/142084.pdf</w:t>
        </w:r>
      </w:hyperlink>
      <w:r w:rsidR="00865E37" w:rsidRPr="00B2414F">
        <w:rPr>
          <w:rStyle w:val="FollowedHyperlink"/>
          <w:color w:val="auto"/>
        </w:rPr>
        <w:t>.</w:t>
      </w:r>
    </w:p>
  </w:footnote>
  <w:footnote w:id="27">
    <w:p w14:paraId="4774E756" w14:textId="3B87CEE9" w:rsidR="00865E37" w:rsidRPr="00D10EF8" w:rsidRDefault="00C70607" w:rsidP="005B4367">
      <w:pPr>
        <w:pStyle w:val="FootnoteText"/>
        <w:rPr>
          <w:sz w:val="20"/>
        </w:rPr>
      </w:pPr>
      <w:r w:rsidRPr="00D10EF8">
        <w:tab/>
      </w:r>
      <w:r w:rsidRPr="00093AC5">
        <w:rPr>
          <w:rStyle w:val="FootnoteReference"/>
        </w:rPr>
        <w:footnoteRef/>
      </w:r>
      <w:r w:rsidRPr="00D10EF8">
        <w:tab/>
      </w:r>
      <w:hyperlink r:id="rId32" w:history="1">
        <w:r w:rsidR="00865E37" w:rsidRPr="00B2414F">
          <w:rPr>
            <w:rStyle w:val="FollowedHyperlink"/>
          </w:rPr>
          <w:t>https://www.oas.org/en/iachr/reports/pdfs/PoliceUseOfForceAfrosUSA.pdf</w:t>
        </w:r>
      </w:hyperlink>
      <w:r w:rsidR="00865E37" w:rsidRPr="00D10EF8">
        <w:t xml:space="preserve">, </w:t>
      </w:r>
      <w:r w:rsidR="002A7FA1">
        <w:t>par. </w:t>
      </w:r>
      <w:r w:rsidR="00865E37" w:rsidRPr="00D10EF8">
        <w:t>166.</w:t>
      </w:r>
    </w:p>
  </w:footnote>
  <w:footnote w:id="28">
    <w:p w14:paraId="6ADBA78E" w14:textId="4231DC49" w:rsidR="00865E37" w:rsidRPr="00D10EF8" w:rsidRDefault="00C70607" w:rsidP="005B4367">
      <w:pPr>
        <w:pStyle w:val="FootnoteText"/>
      </w:pPr>
      <w:r w:rsidRPr="00D10EF8">
        <w:tab/>
      </w:r>
      <w:r w:rsidRPr="00093AC5">
        <w:rPr>
          <w:rStyle w:val="FootnoteReference"/>
        </w:rPr>
        <w:footnoteRef/>
      </w:r>
      <w:r w:rsidRPr="00D10EF8">
        <w:tab/>
      </w:r>
      <w:hyperlink r:id="rId33" w:history="1">
        <w:r w:rsidR="00865E37" w:rsidRPr="00B2414F">
          <w:rPr>
            <w:rStyle w:val="FollowedHyperlink"/>
          </w:rPr>
          <w:t>https://fra.europa.eu/sites/default/files/fra_uploads/fra-2018-being-black-in-the-eu_en.pdf</w:t>
        </w:r>
      </w:hyperlink>
      <w:r w:rsidR="00865E37" w:rsidRPr="00D10EF8">
        <w:t xml:space="preserve">, </w:t>
      </w:r>
      <w:r w:rsidR="002A7FA1">
        <w:t>p. </w:t>
      </w:r>
      <w:r w:rsidR="00865E37" w:rsidRPr="00D10EF8">
        <w:t xml:space="preserve">62 et 63. Voir également A/HRC/41/39/Add.1, </w:t>
      </w:r>
      <w:r w:rsidR="002A7FA1">
        <w:t>par. </w:t>
      </w:r>
      <w:r w:rsidR="00865E37" w:rsidRPr="00D10EF8">
        <w:t>81.</w:t>
      </w:r>
    </w:p>
  </w:footnote>
  <w:footnote w:id="29">
    <w:p w14:paraId="07B7E036" w14:textId="73CE8DA4" w:rsidR="00865E37" w:rsidRPr="0036627F" w:rsidRDefault="00C70607" w:rsidP="005B4367">
      <w:pPr>
        <w:pStyle w:val="FootnoteText"/>
        <w:rPr>
          <w:rStyle w:val="FollowedHyperlink"/>
          <w:color w:val="auto"/>
        </w:rPr>
      </w:pPr>
      <w:r w:rsidRPr="00D10EF8">
        <w:tab/>
      </w:r>
      <w:r w:rsidRPr="00093AC5">
        <w:rPr>
          <w:rStyle w:val="FootnoteReference"/>
        </w:rPr>
        <w:footnoteRef/>
      </w:r>
      <w:r w:rsidRPr="00D10EF8">
        <w:tab/>
      </w:r>
      <w:r w:rsidR="00865E37" w:rsidRPr="00D10EF8">
        <w:t>A/HRC/15/18</w:t>
      </w:r>
      <w:r w:rsidR="00BF73AB">
        <w:t> ;</w:t>
      </w:r>
      <w:r w:rsidR="00865E37" w:rsidRPr="00D10EF8">
        <w:t xml:space="preserve"> A/HRC/30/56, </w:t>
      </w:r>
      <w:r w:rsidR="002A7FA1">
        <w:t>par. </w:t>
      </w:r>
      <w:r w:rsidR="00865E37" w:rsidRPr="00D10EF8">
        <w:t>18</w:t>
      </w:r>
      <w:r w:rsidR="00BF73AB">
        <w:t> ;</w:t>
      </w:r>
      <w:r w:rsidR="00865E37" w:rsidRPr="00D10EF8">
        <w:t xml:space="preserve"> A/HRC/33/61/Add.2, </w:t>
      </w:r>
      <w:r w:rsidR="002A7FA1">
        <w:t>par. </w:t>
      </w:r>
      <w:r w:rsidR="00865E37" w:rsidRPr="00D10EF8">
        <w:t>55</w:t>
      </w:r>
      <w:r w:rsidR="00BF73AB">
        <w:t> ;</w:t>
      </w:r>
      <w:r w:rsidR="00865E37" w:rsidRPr="00D10EF8">
        <w:t xml:space="preserve"> A/HRC/38/33/Add.1, </w:t>
      </w:r>
      <w:r w:rsidR="002A7FA1">
        <w:t>par. </w:t>
      </w:r>
      <w:r w:rsidR="00865E37" w:rsidRPr="00D10EF8">
        <w:t>54</w:t>
      </w:r>
      <w:r w:rsidR="00BF73AB">
        <w:t> ;</w:t>
      </w:r>
      <w:r w:rsidR="00865E37" w:rsidRPr="00D10EF8">
        <w:t xml:space="preserve"> A/HRC/36/60/Add.1</w:t>
      </w:r>
      <w:r w:rsidR="00BF73AB">
        <w:t> ;</w:t>
      </w:r>
      <w:r w:rsidR="00865E37" w:rsidRPr="00D10EF8">
        <w:t xml:space="preserve"> A/74/274, </w:t>
      </w:r>
      <w:r w:rsidR="002A7FA1">
        <w:t>par. </w:t>
      </w:r>
      <w:r w:rsidR="00865E37" w:rsidRPr="00D10EF8">
        <w:t>73</w:t>
      </w:r>
      <w:r w:rsidR="00BF73AB">
        <w:t> ;</w:t>
      </w:r>
      <w:r w:rsidR="00865E37" w:rsidRPr="00D10EF8">
        <w:t xml:space="preserve"> A/75/363</w:t>
      </w:r>
      <w:r w:rsidR="00BF73AB">
        <w:t> ;</w:t>
      </w:r>
      <w:r w:rsidR="00865E37" w:rsidRPr="00D10EF8">
        <w:t xml:space="preserve"> communication de l</w:t>
      </w:r>
      <w:r w:rsidR="00F60EAA">
        <w:t>’</w:t>
      </w:r>
      <w:r w:rsidR="00865E37" w:rsidRPr="00D10EF8">
        <w:t>Association pour la prévention de la torture</w:t>
      </w:r>
      <w:r w:rsidR="00BF73AB">
        <w:t> ;</w:t>
      </w:r>
      <w:r w:rsidR="00865E37" w:rsidRPr="00D10EF8">
        <w:t xml:space="preserve"> </w:t>
      </w:r>
      <w:hyperlink r:id="rId34" w:history="1">
        <w:r w:rsidR="00865E37" w:rsidRPr="00B2414F">
          <w:rPr>
            <w:rStyle w:val="FollowedHyperlink"/>
          </w:rPr>
          <w:t>https://ec.europa.eu/migrant-integration/librarydoc/enar-shadow-report-racism-discrimination-in-employment-in-europe-2013-2017</w:t>
        </w:r>
      </w:hyperlink>
      <w:r w:rsidR="00BF73AB">
        <w:t> ;</w:t>
      </w:r>
      <w:r w:rsidR="00865E37" w:rsidRPr="00D10EF8">
        <w:t xml:space="preserve"> CERD/C/BRA/18-20, </w:t>
      </w:r>
      <w:r w:rsidR="002A7FA1">
        <w:t>par. </w:t>
      </w:r>
      <w:r w:rsidR="00865E37" w:rsidRPr="00D10EF8">
        <w:t>69</w:t>
      </w:r>
      <w:r w:rsidR="00BF73AB">
        <w:t> ;</w:t>
      </w:r>
      <w:r w:rsidR="00865E37" w:rsidRPr="00D10EF8">
        <w:t xml:space="preserve"> </w:t>
      </w:r>
      <w:hyperlink r:id="rId35" w:history="1">
        <w:r w:rsidR="00865E37" w:rsidRPr="00B2414F">
          <w:rPr>
            <w:rStyle w:val="FollowedHyperlink"/>
          </w:rPr>
          <w:t>https://fra.europa.eu/sites/default/files/fra_uploads/fra-2018-being-black-in-the-eu_en.pdf</w:t>
        </w:r>
      </w:hyperlink>
      <w:r w:rsidR="00865E37" w:rsidRPr="00D10EF8">
        <w:t xml:space="preserve">, </w:t>
      </w:r>
      <w:r w:rsidR="002A7FA1">
        <w:t>p. </w:t>
      </w:r>
      <w:r w:rsidR="00865E37" w:rsidRPr="00D10EF8">
        <w:t>63</w:t>
      </w:r>
      <w:r w:rsidR="00BF73AB">
        <w:t> ;</w:t>
      </w:r>
      <w:r w:rsidR="00865E37" w:rsidRPr="00D10EF8">
        <w:t xml:space="preserve"> </w:t>
      </w:r>
      <w:hyperlink r:id="rId36" w:history="1">
        <w:r w:rsidR="00865E37" w:rsidRPr="0036627F">
          <w:rPr>
            <w:rStyle w:val="FollowedHyperlink"/>
          </w:rPr>
          <w:t>www.worldbank.org/en/region/lac/brief/afro-descendants-in-latin-america</w:t>
        </w:r>
      </w:hyperlink>
      <w:r w:rsidR="00BF73AB">
        <w:t> ;</w:t>
      </w:r>
      <w:r w:rsidR="00865E37" w:rsidRPr="00D10EF8">
        <w:t xml:space="preserve"> </w:t>
      </w:r>
      <w:hyperlink r:id="rId37" w:history="1">
        <w:r w:rsidR="00865E37" w:rsidRPr="0036627F">
          <w:rPr>
            <w:rStyle w:val="FollowedHyperlink"/>
          </w:rPr>
          <w:t>www.cepal.org/</w:t>
        </w:r>
        <w:r w:rsidR="0036627F">
          <w:rPr>
            <w:rStyle w:val="FollowedHyperlink"/>
          </w:rPr>
          <w:t xml:space="preserve"> </w:t>
        </w:r>
        <w:r w:rsidR="00865E37" w:rsidRPr="0036627F">
          <w:rPr>
            <w:rStyle w:val="FollowedHyperlink"/>
          </w:rPr>
          <w:t>es/publicaciones/46191-afrodescendientes-la-matriz-la-desigualdad-social-america-latina-retos-la</w:t>
        </w:r>
      </w:hyperlink>
      <w:r w:rsidR="00865E37" w:rsidRPr="00D10EF8">
        <w:t xml:space="preserve">, </w:t>
      </w:r>
      <w:r w:rsidR="002A7FA1">
        <w:t>p. </w:t>
      </w:r>
      <w:r w:rsidR="00865E37" w:rsidRPr="00D10EF8">
        <w:t>178 et 179</w:t>
      </w:r>
      <w:r w:rsidR="00BF73AB">
        <w:t> ;</w:t>
      </w:r>
      <w:r w:rsidR="00865E37" w:rsidRPr="00D10EF8">
        <w:t xml:space="preserve"> </w:t>
      </w:r>
      <w:hyperlink r:id="rId38" w:history="1">
        <w:r w:rsidR="00865E37" w:rsidRPr="0036627F">
          <w:rPr>
            <w:rStyle w:val="FollowedHyperlink"/>
          </w:rPr>
          <w:t>https://www.oas.org/en/iachr/afro-descendants/docs/pdf/afros_2011_eng.pdf</w:t>
        </w:r>
      </w:hyperlink>
      <w:r w:rsidR="00865E37" w:rsidRPr="00D10EF8">
        <w:t xml:space="preserve">, </w:t>
      </w:r>
      <w:r w:rsidR="002A7FA1">
        <w:t>par. </w:t>
      </w:r>
      <w:r w:rsidR="00865E37" w:rsidRPr="00D10EF8">
        <w:t>47</w:t>
      </w:r>
      <w:r w:rsidR="00BF73AB">
        <w:t> ;</w:t>
      </w:r>
      <w:r w:rsidR="00865E37" w:rsidRPr="00D10EF8">
        <w:t xml:space="preserve"> </w:t>
      </w:r>
      <w:hyperlink r:id="rId39" w:history="1">
        <w:r w:rsidR="00865E37" w:rsidRPr="0036627F">
          <w:rPr>
            <w:rStyle w:val="FollowedHyperlink"/>
          </w:rPr>
          <w:t>www.oas.org/en/iachr/reports/pdfs/PoliceUseOfForceAfrosUSA.pdf</w:t>
        </w:r>
      </w:hyperlink>
      <w:r w:rsidR="00BF73AB">
        <w:t> ;</w:t>
      </w:r>
      <w:r w:rsidR="00865E37" w:rsidRPr="00D10EF8">
        <w:t xml:space="preserve"> </w:t>
      </w:r>
      <w:hyperlink r:id="rId40" w:history="1">
        <w:r w:rsidR="00865E37" w:rsidRPr="0036627F">
          <w:rPr>
            <w:rStyle w:val="FollowedHyperlink"/>
          </w:rPr>
          <w:t>https://www150.statcan.gc.ca/</w:t>
        </w:r>
        <w:r w:rsidR="0036627F">
          <w:rPr>
            <w:rStyle w:val="FollowedHyperlink"/>
          </w:rPr>
          <w:t xml:space="preserve"> </w:t>
        </w:r>
        <w:r w:rsidR="00865E37" w:rsidRPr="0036627F">
          <w:rPr>
            <w:rStyle w:val="FollowedHyperlink"/>
          </w:rPr>
          <w:t>n1/pub/89-657-x/89-657-x2019002-fra.htm</w:t>
        </w:r>
      </w:hyperlink>
      <w:r w:rsidR="00865E37" w:rsidRPr="0036627F">
        <w:rPr>
          <w:rStyle w:val="FollowedHyperlink"/>
          <w:color w:val="auto"/>
        </w:rPr>
        <w:t>.</w:t>
      </w:r>
    </w:p>
  </w:footnote>
  <w:footnote w:id="30">
    <w:p w14:paraId="34212134" w14:textId="5488D75B" w:rsidR="00865E37" w:rsidRPr="00DA5E7E" w:rsidRDefault="00C70607" w:rsidP="005B4367">
      <w:pPr>
        <w:pStyle w:val="FootnoteText"/>
        <w:rPr>
          <w:lang w:val="en-US"/>
        </w:rPr>
      </w:pPr>
      <w:r w:rsidRPr="00D10EF8">
        <w:tab/>
      </w:r>
      <w:r w:rsidRPr="00093AC5">
        <w:rPr>
          <w:rStyle w:val="FootnoteReference"/>
        </w:rPr>
        <w:footnoteRef/>
      </w:r>
      <w:r w:rsidRPr="00DA5E7E">
        <w:rPr>
          <w:lang w:val="en-US"/>
        </w:rPr>
        <w:tab/>
      </w:r>
      <w:hyperlink r:id="rId41" w:history="1">
        <w:r w:rsidR="00865E37" w:rsidRPr="00031D41">
          <w:rPr>
            <w:rStyle w:val="FollowedHyperlink"/>
            <w:lang w:val="en-US"/>
          </w:rPr>
          <w:t>https://www.statewatch.org/media/documents/news/2018/mar/eu-com-data-collection-field-of-equality-study-2017.pdf</w:t>
        </w:r>
      </w:hyperlink>
      <w:r w:rsidR="00865E37" w:rsidRPr="00DA5E7E">
        <w:rPr>
          <w:lang w:val="en-US"/>
        </w:rPr>
        <w:t xml:space="preserve">, </w:t>
      </w:r>
      <w:r w:rsidR="002A7FA1" w:rsidRPr="00DA5E7E">
        <w:rPr>
          <w:lang w:val="en-US"/>
        </w:rPr>
        <w:t>p. </w:t>
      </w:r>
      <w:r w:rsidR="00865E37" w:rsidRPr="00DA5E7E">
        <w:rPr>
          <w:lang w:val="en-US"/>
        </w:rPr>
        <w:t>5</w:t>
      </w:r>
      <w:r w:rsidR="00BF73AB">
        <w:rPr>
          <w:lang w:val="en-US"/>
        </w:rPr>
        <w:t> ;</w:t>
      </w:r>
      <w:r w:rsidR="00865E37" w:rsidRPr="00DA5E7E">
        <w:rPr>
          <w:lang w:val="en-US"/>
        </w:rPr>
        <w:t xml:space="preserve"> </w:t>
      </w:r>
      <w:hyperlink r:id="rId42" w:history="1">
        <w:r w:rsidR="00865E37" w:rsidRPr="00031D41">
          <w:rPr>
            <w:rStyle w:val="FollowedHyperlink"/>
            <w:lang w:val="en-US"/>
          </w:rPr>
          <w:t>https://www.enar-eu.org/IMG/pdf/shadowreport_2016x2017_</w:t>
        </w:r>
        <w:r w:rsidR="00031D41">
          <w:rPr>
            <w:rStyle w:val="FollowedHyperlink"/>
            <w:lang w:val="en-US"/>
          </w:rPr>
          <w:t xml:space="preserve"> </w:t>
        </w:r>
        <w:r w:rsidR="00865E37" w:rsidRPr="00031D41">
          <w:rPr>
            <w:rStyle w:val="FollowedHyperlink"/>
            <w:lang w:val="en-US"/>
          </w:rPr>
          <w:t>long_final_lowres.pdf</w:t>
        </w:r>
      </w:hyperlink>
      <w:r w:rsidR="00865E37" w:rsidRPr="00DA5E7E">
        <w:rPr>
          <w:lang w:val="en-US"/>
        </w:rPr>
        <w:t>.</w:t>
      </w:r>
    </w:p>
  </w:footnote>
  <w:footnote w:id="31">
    <w:p w14:paraId="76039A75" w14:textId="6C7041F6" w:rsidR="00865E37" w:rsidRPr="00D10EF8" w:rsidRDefault="00C70607" w:rsidP="005B4367">
      <w:pPr>
        <w:pStyle w:val="FootnoteText"/>
      </w:pPr>
      <w:r w:rsidRPr="00DA5E7E">
        <w:rPr>
          <w:lang w:val="en-US"/>
        </w:rPr>
        <w:tab/>
      </w:r>
      <w:r w:rsidRPr="00093AC5">
        <w:rPr>
          <w:rStyle w:val="FootnoteReference"/>
        </w:rPr>
        <w:footnoteRef/>
      </w:r>
      <w:r w:rsidRPr="00D10EF8">
        <w:tab/>
      </w:r>
      <w:hyperlink r:id="rId43" w:history="1">
        <w:r w:rsidR="00865E37" w:rsidRPr="00031D41">
          <w:rPr>
            <w:rStyle w:val="FollowedHyperlink"/>
          </w:rPr>
          <w:t>https://fra.europa.eu/sites/default/files/fra_uploads/fra-2018-being-black-in-the-eu_en.pdf</w:t>
        </w:r>
      </w:hyperlink>
      <w:r w:rsidR="00865E37" w:rsidRPr="00D10EF8">
        <w:t xml:space="preserve">, </w:t>
      </w:r>
      <w:r w:rsidR="002A7FA1">
        <w:t>p. </w:t>
      </w:r>
      <w:r w:rsidR="00865E37" w:rsidRPr="00D10EF8">
        <w:t>51 et 54.</w:t>
      </w:r>
    </w:p>
  </w:footnote>
  <w:footnote w:id="32">
    <w:p w14:paraId="03498127" w14:textId="6318A4C5" w:rsidR="00865E37" w:rsidRPr="00D10EF8" w:rsidRDefault="00C70607" w:rsidP="005B4367">
      <w:pPr>
        <w:pStyle w:val="FootnoteText"/>
      </w:pPr>
      <w:r w:rsidRPr="00D10EF8">
        <w:tab/>
      </w:r>
      <w:r w:rsidRPr="00093AC5">
        <w:rPr>
          <w:rStyle w:val="FootnoteReference"/>
        </w:rPr>
        <w:footnoteRef/>
      </w:r>
      <w:r w:rsidRPr="00D10EF8">
        <w:tab/>
      </w:r>
      <w:hyperlink r:id="rId44" w:history="1">
        <w:r w:rsidR="00865E37" w:rsidRPr="00031D41">
          <w:rPr>
            <w:rStyle w:val="FollowedHyperlink"/>
          </w:rPr>
          <w:t>https://repositorio.cepal.org/bitstream/handle/11362/44387/1/S1800725_en.pdf</w:t>
        </w:r>
      </w:hyperlink>
      <w:r w:rsidR="00865E37" w:rsidRPr="00D10EF8">
        <w:t xml:space="preserve">, </w:t>
      </w:r>
      <w:r w:rsidR="002A7FA1">
        <w:t>p. </w:t>
      </w:r>
      <w:r w:rsidR="00865E37" w:rsidRPr="00D10EF8">
        <w:t>33</w:t>
      </w:r>
      <w:r w:rsidR="00BF73AB">
        <w:t> ;</w:t>
      </w:r>
      <w:r w:rsidR="00865E37" w:rsidRPr="00D10EF8">
        <w:t xml:space="preserve"> </w:t>
      </w:r>
      <w:hyperlink r:id="rId45" w:history="1">
        <w:r w:rsidR="00865E37" w:rsidRPr="00031D41">
          <w:rPr>
            <w:rStyle w:val="FollowedHyperlink"/>
          </w:rPr>
          <w:t>https://openknowledge.worldbank.org/handle/10986/30201</w:t>
        </w:r>
      </w:hyperlink>
      <w:r w:rsidR="00865E37" w:rsidRPr="00D10EF8">
        <w:t xml:space="preserve">, </w:t>
      </w:r>
      <w:r w:rsidR="002A7FA1">
        <w:t>p. </w:t>
      </w:r>
      <w:r w:rsidR="00865E37" w:rsidRPr="00D10EF8">
        <w:t>82</w:t>
      </w:r>
      <w:r w:rsidR="00BF73AB">
        <w:t> ;</w:t>
      </w:r>
      <w:r w:rsidR="00865E37" w:rsidRPr="00D10EF8">
        <w:t xml:space="preserve"> CERD/C/BRA/18-20, </w:t>
      </w:r>
      <w:r w:rsidR="002A7FA1">
        <w:t>par. </w:t>
      </w:r>
      <w:r w:rsidR="00865E37" w:rsidRPr="00D10EF8">
        <w:t>71.</w:t>
      </w:r>
    </w:p>
  </w:footnote>
  <w:footnote w:id="33">
    <w:p w14:paraId="35EC7861" w14:textId="37525DCD" w:rsidR="00865E37" w:rsidRPr="00D10EF8" w:rsidRDefault="00C70607" w:rsidP="005B4367">
      <w:pPr>
        <w:pStyle w:val="FootnoteText"/>
      </w:pPr>
      <w:r w:rsidRPr="00D10EF8">
        <w:tab/>
      </w:r>
      <w:r w:rsidRPr="00093AC5">
        <w:rPr>
          <w:rStyle w:val="FootnoteReference"/>
        </w:rPr>
        <w:footnoteRef/>
      </w:r>
      <w:r w:rsidRPr="00D10EF8">
        <w:tab/>
      </w:r>
      <w:hyperlink r:id="rId46" w:history="1">
        <w:r w:rsidR="00865E37" w:rsidRPr="00031D41">
          <w:rPr>
            <w:rStyle w:val="FollowedHyperlink"/>
          </w:rPr>
          <w:t>https://uploads-ssl.webflow.com/5f5bdc0f30fe4b120448a029/5f973b076be4cadc5045fad3_</w:t>
        </w:r>
        <w:r w:rsidR="00031D41">
          <w:rPr>
            <w:rStyle w:val="FollowedHyperlink"/>
          </w:rPr>
          <w:t xml:space="preserve"> </w:t>
        </w:r>
        <w:r w:rsidR="00865E37" w:rsidRPr="00031D41">
          <w:rPr>
            <w:rStyle w:val="FollowedHyperlink"/>
          </w:rPr>
          <w:t>An%20Avoidable%20Crisis.pdf</w:t>
        </w:r>
      </w:hyperlink>
      <w:r w:rsidR="00865E37" w:rsidRPr="00D10EF8">
        <w:t xml:space="preserve">, </w:t>
      </w:r>
      <w:r w:rsidR="002A7FA1">
        <w:t>p. </w:t>
      </w:r>
      <w:r w:rsidR="00865E37" w:rsidRPr="00D10EF8">
        <w:t>24.</w:t>
      </w:r>
    </w:p>
  </w:footnote>
  <w:footnote w:id="34">
    <w:p w14:paraId="4BD2F875" w14:textId="1FD98504" w:rsidR="00865E37" w:rsidRPr="00D10EF8" w:rsidRDefault="00C70607" w:rsidP="005B4367">
      <w:pPr>
        <w:pStyle w:val="FootnoteText"/>
      </w:pPr>
      <w:r w:rsidRPr="00D10EF8">
        <w:tab/>
      </w:r>
      <w:r w:rsidRPr="00093AC5">
        <w:rPr>
          <w:rStyle w:val="FootnoteReference"/>
        </w:rPr>
        <w:footnoteRef/>
      </w:r>
      <w:r w:rsidRPr="00D10EF8">
        <w:tab/>
      </w:r>
      <w:hyperlink r:id="rId47" w:history="1">
        <w:r w:rsidR="00865E37" w:rsidRPr="00031D41">
          <w:rPr>
            <w:rStyle w:val="FollowedHyperlink"/>
          </w:rPr>
          <w:t>https://files.epi.org/pdf/142084.pdf</w:t>
        </w:r>
      </w:hyperlink>
      <w:r w:rsidR="00865E37" w:rsidRPr="00D10EF8">
        <w:t xml:space="preserve">, </w:t>
      </w:r>
      <w:r w:rsidR="002A7FA1">
        <w:t>p. </w:t>
      </w:r>
      <w:r w:rsidR="00865E37" w:rsidRPr="00D10EF8">
        <w:t>2</w:t>
      </w:r>
      <w:r w:rsidR="00BF73AB">
        <w:t> ;</w:t>
      </w:r>
      <w:r w:rsidR="00865E37" w:rsidRPr="00D10EF8">
        <w:t xml:space="preserve"> voir également A/HRC/38/33/Add.1, </w:t>
      </w:r>
      <w:r w:rsidR="002A7FA1">
        <w:t>par. </w:t>
      </w:r>
      <w:r w:rsidR="00865E37" w:rsidRPr="00D10EF8">
        <w:t>54.</w:t>
      </w:r>
    </w:p>
  </w:footnote>
  <w:footnote w:id="35">
    <w:p w14:paraId="77927B77" w14:textId="220B985E" w:rsidR="00865E37" w:rsidRPr="00D10EF8" w:rsidRDefault="00C70607" w:rsidP="005B4367">
      <w:pPr>
        <w:pStyle w:val="FootnoteText"/>
      </w:pPr>
      <w:r w:rsidRPr="00D10EF8">
        <w:tab/>
      </w:r>
      <w:r w:rsidRPr="00093AC5">
        <w:rPr>
          <w:rStyle w:val="FootnoteReference"/>
        </w:rPr>
        <w:footnoteRef/>
      </w:r>
      <w:r w:rsidRPr="00D10EF8">
        <w:tab/>
      </w:r>
      <w:hyperlink r:id="rId48" w:history="1">
        <w:r w:rsidR="00865E37" w:rsidRPr="00031D41">
          <w:rPr>
            <w:rStyle w:val="FollowedHyperlink"/>
          </w:rPr>
          <w:t>https://www150.statcan.gc.ca/n1/pub/89-657-x/89-657-x2019002-fra.htm</w:t>
        </w:r>
      </w:hyperlink>
      <w:r w:rsidR="00865E37" w:rsidRPr="00D10EF8">
        <w:t>.</w:t>
      </w:r>
    </w:p>
  </w:footnote>
  <w:footnote w:id="36">
    <w:p w14:paraId="499771B3" w14:textId="3D1F1B6F" w:rsidR="00865E37" w:rsidRPr="00DA5E7E" w:rsidRDefault="00C70607" w:rsidP="005B4367">
      <w:pPr>
        <w:pStyle w:val="FootnoteText"/>
        <w:rPr>
          <w:lang w:val="en-US"/>
        </w:rPr>
      </w:pPr>
      <w:r w:rsidRPr="00D10EF8">
        <w:tab/>
      </w:r>
      <w:r w:rsidRPr="00093AC5">
        <w:rPr>
          <w:rStyle w:val="FootnoteReference"/>
        </w:rPr>
        <w:footnoteRef/>
      </w:r>
      <w:r w:rsidRPr="00DA5E7E">
        <w:rPr>
          <w:lang w:val="en-US"/>
        </w:rPr>
        <w:tab/>
      </w:r>
      <w:hyperlink r:id="rId49" w:history="1">
        <w:r w:rsidR="00865E37" w:rsidRPr="00A10559">
          <w:rPr>
            <w:rStyle w:val="FollowedHyperlink"/>
            <w:lang w:val="en-US"/>
          </w:rPr>
          <w:t>https://www12.statcan.gc.ca/census-recensement/2016/dp-pd/dt-td/Rp-fra.cfm?TABID=</w:t>
        </w:r>
        <w:r w:rsidR="00A10559" w:rsidRPr="00A10559">
          <w:rPr>
            <w:rStyle w:val="FollowedHyperlink"/>
            <w:lang w:val="en-US"/>
          </w:rPr>
          <w:t xml:space="preserve"> </w:t>
        </w:r>
        <w:r w:rsidR="00865E37" w:rsidRPr="00A10559">
          <w:rPr>
            <w:rStyle w:val="FollowedHyperlink"/>
            <w:lang w:val="en-US"/>
          </w:rPr>
          <w:t>2&amp;LANG=F&amp;A=</w:t>
        </w:r>
        <w:r w:rsidR="00031D41" w:rsidRPr="00031D41">
          <w:rPr>
            <w:rStyle w:val="FollowedHyperlink"/>
            <w:lang w:val="en-US"/>
          </w:rPr>
          <w:t xml:space="preserve"> </w:t>
        </w:r>
        <w:r w:rsidR="00865E37" w:rsidRPr="00A10559">
          <w:rPr>
            <w:rStyle w:val="FollowedHyperlink"/>
            <w:lang w:val="en-US"/>
          </w:rPr>
          <w:t>R&amp;APATH=3&amp;DETAIL=0&amp;DIM=0&amp;FL=A&amp;FREE=0&amp;GC=01&amp;GL=-1&amp;GID=1341679&amp;GK=1&amp;GRP=1&amp;O=D&amp;PID=110563&amp;PRID=10&amp;PTYPE=109445&amp;S=0&amp;SHOWALL=0&amp;SUB=0&amp;Temporal=2017&amp;THEME=120&amp;VID=0&amp;VNAMEE=&amp;VNAMEF=&amp;D1=0&amp;D2=0&amp;D3=0&amp;D4=0&amp;D5=0&amp;D6=0</w:t>
        </w:r>
      </w:hyperlink>
      <w:r w:rsidR="00BF73AB">
        <w:rPr>
          <w:lang w:val="en-US"/>
        </w:rPr>
        <w:t> ;</w:t>
      </w:r>
      <w:r w:rsidR="00865E37" w:rsidRPr="00DA5E7E">
        <w:rPr>
          <w:lang w:val="en-US"/>
        </w:rPr>
        <w:t xml:space="preserve"> </w:t>
      </w:r>
      <w:hyperlink r:id="rId50" w:history="1">
        <w:r w:rsidR="00865E37" w:rsidRPr="00A10559">
          <w:rPr>
            <w:rStyle w:val="FollowedHyperlink"/>
            <w:lang w:val="en-US"/>
          </w:rPr>
          <w:t>https://www150.statcan.gc.ca/t1/tbl1/fr/tv.action?pid=</w:t>
        </w:r>
        <w:r w:rsidR="00A10559">
          <w:rPr>
            <w:rStyle w:val="FollowedHyperlink"/>
            <w:lang w:val="en-US"/>
          </w:rPr>
          <w:t xml:space="preserve"> </w:t>
        </w:r>
        <w:r w:rsidR="00865E37" w:rsidRPr="00A10559">
          <w:rPr>
            <w:rStyle w:val="FollowedHyperlink"/>
            <w:lang w:val="en-US"/>
          </w:rPr>
          <w:t>1110013502&amp;cubeTimeFrame.startYear=2016&amp;cubeTimeFrame.endYear=2016&amp;referencePeriods=20160101%2C20160101&amp;request_locale=fr</w:t>
        </w:r>
      </w:hyperlink>
      <w:r w:rsidR="00865E37" w:rsidRPr="00DA5E7E">
        <w:rPr>
          <w:lang w:val="en-US"/>
        </w:rPr>
        <w:t>.</w:t>
      </w:r>
    </w:p>
  </w:footnote>
  <w:footnote w:id="37">
    <w:p w14:paraId="51F1C867" w14:textId="0F7EDC9B" w:rsidR="00865E37" w:rsidRPr="00DA5E7E" w:rsidRDefault="00C70607" w:rsidP="005B4367">
      <w:pPr>
        <w:pStyle w:val="FootnoteText"/>
        <w:rPr>
          <w:lang w:val="en-US"/>
        </w:rPr>
      </w:pPr>
      <w:r w:rsidRPr="00DA5E7E">
        <w:rPr>
          <w:lang w:val="en-US"/>
        </w:rPr>
        <w:tab/>
      </w:r>
      <w:r w:rsidRPr="00093AC5">
        <w:rPr>
          <w:rStyle w:val="FootnoteReference"/>
        </w:rPr>
        <w:footnoteRef/>
      </w:r>
      <w:r w:rsidRPr="00DA5E7E">
        <w:rPr>
          <w:lang w:val="en-US"/>
        </w:rPr>
        <w:tab/>
      </w:r>
      <w:hyperlink r:id="rId51" w:history="1">
        <w:r w:rsidR="00865E37" w:rsidRPr="00A10559">
          <w:rPr>
            <w:rStyle w:val="FollowedHyperlink"/>
            <w:lang w:val="en-US"/>
          </w:rPr>
          <w:t>https://www.ohchr.org/sites/default/files/Documents/Issues/Racism/COVID-19_and_Racial_</w:t>
        </w:r>
        <w:r w:rsidR="00A10559" w:rsidRPr="00A10559">
          <w:rPr>
            <w:rStyle w:val="FollowedHyperlink"/>
            <w:lang w:val="en-US"/>
          </w:rPr>
          <w:t xml:space="preserve"> </w:t>
        </w:r>
        <w:r w:rsidR="00865E37" w:rsidRPr="00A10559">
          <w:rPr>
            <w:rStyle w:val="FollowedHyperlink"/>
            <w:lang w:val="en-US"/>
          </w:rPr>
          <w:t>Discrimination_FR.pdf</w:t>
        </w:r>
      </w:hyperlink>
      <w:r w:rsidR="00865E37" w:rsidRPr="00DA5E7E">
        <w:rPr>
          <w:lang w:val="en-US"/>
        </w:rPr>
        <w:t xml:space="preserve">, </w:t>
      </w:r>
      <w:r w:rsidR="002A7FA1" w:rsidRPr="00DA5E7E">
        <w:rPr>
          <w:lang w:val="en-US"/>
        </w:rPr>
        <w:t>p. </w:t>
      </w:r>
      <w:r w:rsidR="00865E37" w:rsidRPr="00DA5E7E">
        <w:rPr>
          <w:lang w:val="en-US"/>
        </w:rPr>
        <w:t>5</w:t>
      </w:r>
      <w:r w:rsidR="00BF73AB">
        <w:rPr>
          <w:lang w:val="en-US"/>
        </w:rPr>
        <w:t> ;</w:t>
      </w:r>
      <w:r w:rsidR="00865E37" w:rsidRPr="00DA5E7E">
        <w:rPr>
          <w:lang w:val="en-US"/>
        </w:rPr>
        <w:t xml:space="preserve"> </w:t>
      </w:r>
      <w:hyperlink r:id="rId52" w:history="1">
        <w:r w:rsidR="00865E37" w:rsidRPr="00A10559">
          <w:rPr>
            <w:rStyle w:val="FollowedHyperlink"/>
            <w:lang w:val="en-US"/>
          </w:rPr>
          <w:t>https://drive.google.com/file/d/1Aqmk7Wp3Ppf6wZUTM-ho9O8Dpwjr00vo/view</w:t>
        </w:r>
      </w:hyperlink>
      <w:r w:rsidR="00865E37" w:rsidRPr="00DA5E7E">
        <w:rPr>
          <w:lang w:val="en-US"/>
        </w:rPr>
        <w:t xml:space="preserve">, </w:t>
      </w:r>
      <w:r w:rsidR="002A7FA1" w:rsidRPr="00DA5E7E">
        <w:rPr>
          <w:lang w:val="en-US"/>
        </w:rPr>
        <w:t>p. </w:t>
      </w:r>
      <w:r w:rsidR="00865E37" w:rsidRPr="00DA5E7E">
        <w:rPr>
          <w:lang w:val="en-US"/>
        </w:rPr>
        <w:t>5</w:t>
      </w:r>
      <w:r w:rsidR="00BF73AB">
        <w:rPr>
          <w:lang w:val="en-US"/>
        </w:rPr>
        <w:t> ;</w:t>
      </w:r>
      <w:r w:rsidR="00865E37" w:rsidRPr="00DA5E7E">
        <w:rPr>
          <w:lang w:val="en-US"/>
        </w:rPr>
        <w:t xml:space="preserve"> </w:t>
      </w:r>
      <w:hyperlink r:id="rId53" w:history="1">
        <w:r w:rsidR="00865E37" w:rsidRPr="00A10559">
          <w:rPr>
            <w:rStyle w:val="FollowedHyperlink"/>
            <w:lang w:val="en-US"/>
          </w:rPr>
          <w:t>https://fra.europa.eu/en/publication/2020/fundamental-rights-report-2020</w:t>
        </w:r>
      </w:hyperlink>
      <w:r w:rsidR="00865E37" w:rsidRPr="00DA5E7E">
        <w:rPr>
          <w:lang w:val="en-US"/>
        </w:rPr>
        <w:t xml:space="preserve">, </w:t>
      </w:r>
      <w:r w:rsidR="002A7FA1" w:rsidRPr="00DA5E7E">
        <w:rPr>
          <w:lang w:val="en-US"/>
        </w:rPr>
        <w:t>p. </w:t>
      </w:r>
      <w:r w:rsidR="00865E37" w:rsidRPr="00DA5E7E">
        <w:rPr>
          <w:lang w:val="en-US"/>
        </w:rPr>
        <w:t>71.</w:t>
      </w:r>
    </w:p>
  </w:footnote>
  <w:footnote w:id="38">
    <w:p w14:paraId="43A1F23B" w14:textId="5D37D314" w:rsidR="00865E37" w:rsidRPr="00D10EF8" w:rsidRDefault="00C70607" w:rsidP="005B4367">
      <w:pPr>
        <w:pStyle w:val="FootnoteText"/>
      </w:pPr>
      <w:r w:rsidRPr="00DA5E7E">
        <w:rPr>
          <w:lang w:val="en-US"/>
        </w:rPr>
        <w:tab/>
      </w:r>
      <w:r w:rsidRPr="00093AC5">
        <w:rPr>
          <w:rStyle w:val="FootnoteReference"/>
        </w:rPr>
        <w:footnoteRef/>
      </w:r>
      <w:r w:rsidRPr="00D10EF8">
        <w:tab/>
      </w:r>
      <w:r w:rsidR="00865E37" w:rsidRPr="00D10EF8">
        <w:t xml:space="preserve">CERD/C/USA/CO/7-9, </w:t>
      </w:r>
      <w:r w:rsidR="002A7FA1">
        <w:t>par. </w:t>
      </w:r>
      <w:r w:rsidR="00865E37" w:rsidRPr="00D10EF8">
        <w:t>13</w:t>
      </w:r>
      <w:r w:rsidR="00BF73AB">
        <w:t> ;</w:t>
      </w:r>
      <w:r w:rsidR="00865E37" w:rsidRPr="00D10EF8">
        <w:t xml:space="preserve"> </w:t>
      </w:r>
      <w:hyperlink r:id="rId54" w:history="1">
        <w:r w:rsidR="00865E37" w:rsidRPr="00A10559">
          <w:rPr>
            <w:rStyle w:val="FollowedHyperlink"/>
          </w:rPr>
          <w:t>https://openknowledge.worldbank.org/handle/10986/30201</w:t>
        </w:r>
      </w:hyperlink>
      <w:r w:rsidR="00865E37" w:rsidRPr="00D10EF8">
        <w:t xml:space="preserve">, </w:t>
      </w:r>
      <w:r w:rsidR="002A7FA1">
        <w:t>p. </w:t>
      </w:r>
      <w:r w:rsidR="00865E37" w:rsidRPr="00D10EF8">
        <w:t>20 et 21</w:t>
      </w:r>
      <w:r w:rsidR="00BF73AB">
        <w:t> ;</w:t>
      </w:r>
      <w:r w:rsidR="00865E37" w:rsidRPr="00D10EF8">
        <w:t xml:space="preserve"> </w:t>
      </w:r>
      <w:hyperlink r:id="rId55" w:history="1">
        <w:r w:rsidR="00865E37" w:rsidRPr="00A10559">
          <w:rPr>
            <w:rStyle w:val="FollowedHyperlink"/>
          </w:rPr>
          <w:t>https://www.europarl.europa.eu/doceo/document/TA-8-2019-0239_FR.html</w:t>
        </w:r>
      </w:hyperlink>
      <w:r w:rsidR="00BF73AB">
        <w:t> ;</w:t>
      </w:r>
      <w:r w:rsidR="00865E37" w:rsidRPr="00D10EF8">
        <w:t xml:space="preserve"> </w:t>
      </w:r>
      <w:hyperlink r:id="rId56" w:history="1">
        <w:r w:rsidR="00865E37" w:rsidRPr="00A10559">
          <w:rPr>
            <w:rStyle w:val="FollowedHyperlink"/>
          </w:rPr>
          <w:t>https://www.defenseurdesdroits.fr/sites/default/files/atoms/files/rap-origine-en-num-22.09.20.pdf</w:t>
        </w:r>
      </w:hyperlink>
      <w:r w:rsidR="00865E37" w:rsidRPr="00A10559">
        <w:rPr>
          <w:rStyle w:val="FollowedHyperlink"/>
          <w:color w:val="auto"/>
        </w:rPr>
        <w:t>,</w:t>
      </w:r>
      <w:r w:rsidR="00865E37" w:rsidRPr="00A10559">
        <w:t xml:space="preserve"> </w:t>
      </w:r>
      <w:r w:rsidR="002A7FA1">
        <w:t>p. </w:t>
      </w:r>
      <w:r w:rsidR="00865E37" w:rsidRPr="00D10EF8">
        <w:t>21.</w:t>
      </w:r>
    </w:p>
  </w:footnote>
  <w:footnote w:id="39">
    <w:p w14:paraId="36D6A0F8" w14:textId="179F3C10" w:rsidR="00865E37" w:rsidRPr="00D10EF8" w:rsidRDefault="00C70607" w:rsidP="005B4367">
      <w:pPr>
        <w:pStyle w:val="FootnoteText"/>
      </w:pPr>
      <w:r w:rsidRPr="00D10EF8">
        <w:tab/>
      </w:r>
      <w:r w:rsidRPr="00093AC5">
        <w:rPr>
          <w:rStyle w:val="FootnoteReference"/>
        </w:rPr>
        <w:footnoteRef/>
      </w:r>
      <w:r w:rsidRPr="00D10EF8">
        <w:tab/>
      </w:r>
      <w:r w:rsidR="00865E37" w:rsidRPr="00D10EF8">
        <w:t>A/HRC/45/44/Add.1, par.37 et 38</w:t>
      </w:r>
      <w:r w:rsidR="00BF73AB">
        <w:t> ;</w:t>
      </w:r>
      <w:r w:rsidR="00865E37" w:rsidRPr="00D10EF8">
        <w:t xml:space="preserve"> A/HRC/45/44/Add.2, </w:t>
      </w:r>
      <w:r w:rsidR="002A7FA1">
        <w:t>par. </w:t>
      </w:r>
      <w:r w:rsidR="00865E37" w:rsidRPr="00D10EF8">
        <w:t>55 et 62</w:t>
      </w:r>
      <w:r w:rsidR="00BF73AB">
        <w:t> ;</w:t>
      </w:r>
      <w:r w:rsidR="00865E37" w:rsidRPr="00D10EF8">
        <w:t xml:space="preserve"> A/HRC/27/68/Add.1, </w:t>
      </w:r>
      <w:r w:rsidR="002A7FA1">
        <w:t>par. </w:t>
      </w:r>
      <w:r w:rsidR="00865E37" w:rsidRPr="00D10EF8">
        <w:t>8</w:t>
      </w:r>
      <w:r w:rsidR="00BF73AB">
        <w:t> ;</w:t>
      </w:r>
      <w:r w:rsidR="00865E37" w:rsidRPr="00D10EF8">
        <w:t xml:space="preserve"> A/HRC/42/59/Add.2, </w:t>
      </w:r>
      <w:r w:rsidR="002A7FA1">
        <w:t>par. </w:t>
      </w:r>
      <w:r w:rsidR="00865E37" w:rsidRPr="00D10EF8">
        <w:t>45</w:t>
      </w:r>
      <w:r w:rsidR="00BF73AB">
        <w:t> ;</w:t>
      </w:r>
      <w:r w:rsidR="00865E37" w:rsidRPr="00D10EF8">
        <w:t xml:space="preserve"> </w:t>
      </w:r>
      <w:hyperlink r:id="rId57" w:history="1">
        <w:r w:rsidR="00865E37" w:rsidRPr="00A10559">
          <w:rPr>
            <w:rStyle w:val="FollowedHyperlink"/>
          </w:rPr>
          <w:t>https://spcommreports.ohchr.org/TMResultsBase/DownLoad</w:t>
        </w:r>
        <w:r w:rsidR="00A10559">
          <w:rPr>
            <w:rStyle w:val="FollowedHyperlink"/>
          </w:rPr>
          <w:t xml:space="preserve"> </w:t>
        </w:r>
        <w:r w:rsidR="00865E37" w:rsidRPr="00A10559">
          <w:rPr>
            <w:rStyle w:val="FollowedHyperlink"/>
          </w:rPr>
          <w:t>PublicCommunicationFile?gId=25814</w:t>
        </w:r>
      </w:hyperlink>
      <w:r w:rsidR="00865E37" w:rsidRPr="00D10EF8">
        <w:t>.</w:t>
      </w:r>
    </w:p>
  </w:footnote>
  <w:footnote w:id="40">
    <w:p w14:paraId="62EA1445" w14:textId="0C03C06A" w:rsidR="00865E37" w:rsidRPr="00D10EF8" w:rsidRDefault="00C70607" w:rsidP="005B4367">
      <w:pPr>
        <w:pStyle w:val="FootnoteText"/>
      </w:pPr>
      <w:r w:rsidRPr="00D10EF8">
        <w:tab/>
      </w:r>
      <w:r w:rsidRPr="00093AC5">
        <w:rPr>
          <w:rStyle w:val="FootnoteReference"/>
        </w:rPr>
        <w:footnoteRef/>
      </w:r>
      <w:r w:rsidRPr="00D10EF8">
        <w:tab/>
      </w:r>
      <w:hyperlink r:id="rId58" w:history="1">
        <w:r w:rsidR="00865E37" w:rsidRPr="00A10559">
          <w:rPr>
            <w:rStyle w:val="FollowedHyperlink"/>
          </w:rPr>
          <w:t>https://fra.europa.eu/sites/default/files/fra_uploads/fra-2019-being-black-in-the-eu-summary_fr.pdf</w:t>
        </w:r>
      </w:hyperlink>
      <w:r w:rsidR="00865E37" w:rsidRPr="00D10EF8">
        <w:t xml:space="preserve">, </w:t>
      </w:r>
      <w:r w:rsidR="002A7FA1">
        <w:t>p. </w:t>
      </w:r>
      <w:r w:rsidR="00865E37" w:rsidRPr="00D10EF8">
        <w:t>12</w:t>
      </w:r>
      <w:r w:rsidR="00BF73AB">
        <w:t> ;</w:t>
      </w:r>
      <w:r w:rsidR="00865E37" w:rsidRPr="00D10EF8">
        <w:t xml:space="preserve"> </w:t>
      </w:r>
      <w:hyperlink r:id="rId59" w:history="1">
        <w:r w:rsidR="00865E37" w:rsidRPr="00A10559">
          <w:rPr>
            <w:rStyle w:val="FollowedHyperlink"/>
          </w:rPr>
          <w:t>https://fra.europa.eu/sites/default/files/fra_uploads/fra-2019-fundamental-rights-report-2019_en.pdf</w:t>
        </w:r>
      </w:hyperlink>
      <w:r w:rsidR="00865E37" w:rsidRPr="00D10EF8">
        <w:t xml:space="preserve">, </w:t>
      </w:r>
      <w:r w:rsidR="002A7FA1">
        <w:t>p. </w:t>
      </w:r>
      <w:r w:rsidR="00865E37" w:rsidRPr="00D10EF8">
        <w:t>89.</w:t>
      </w:r>
    </w:p>
  </w:footnote>
  <w:footnote w:id="41">
    <w:p w14:paraId="49189486" w14:textId="43303E58" w:rsidR="00865E37" w:rsidRPr="00D10EF8" w:rsidRDefault="00C70607" w:rsidP="005B4367">
      <w:pPr>
        <w:pStyle w:val="FootnoteText"/>
        <w:rPr>
          <w:sz w:val="20"/>
        </w:rPr>
      </w:pPr>
      <w:r w:rsidRPr="00D10EF8">
        <w:tab/>
      </w:r>
      <w:r w:rsidRPr="00093AC5">
        <w:rPr>
          <w:rStyle w:val="FootnoteReference"/>
        </w:rPr>
        <w:footnoteRef/>
      </w:r>
      <w:r w:rsidRPr="00D10EF8">
        <w:tab/>
      </w:r>
      <w:hyperlink r:id="rId60" w:history="1">
        <w:r w:rsidR="00865E37" w:rsidRPr="005A1F62">
          <w:rPr>
            <w:rStyle w:val="FollowedHyperlink"/>
          </w:rPr>
          <w:t>https://uploads-ssl.webflow.com/5f5bdc0f30fe4b120448a029/5f973b076be4cadc5045fad3_An Avoidable Crisis.pdf</w:t>
        </w:r>
      </w:hyperlink>
      <w:r w:rsidR="00865E37" w:rsidRPr="00D10EF8">
        <w:t xml:space="preserve">, </w:t>
      </w:r>
      <w:r w:rsidR="002A7FA1">
        <w:t>p. </w:t>
      </w:r>
      <w:r w:rsidR="00865E37" w:rsidRPr="00D10EF8">
        <w:t>15.</w:t>
      </w:r>
    </w:p>
  </w:footnote>
  <w:footnote w:id="42">
    <w:p w14:paraId="4F06C361" w14:textId="66DA9BD6" w:rsidR="00865E37" w:rsidRPr="005A1F62" w:rsidRDefault="00C70607" w:rsidP="005B4367">
      <w:pPr>
        <w:pStyle w:val="FootnoteText"/>
        <w:rPr>
          <w:rStyle w:val="FollowedHyperlink"/>
          <w:color w:val="auto"/>
        </w:rPr>
      </w:pPr>
      <w:r w:rsidRPr="00D10EF8">
        <w:tab/>
      </w:r>
      <w:r w:rsidRPr="00093AC5">
        <w:rPr>
          <w:rStyle w:val="FootnoteReference"/>
        </w:rPr>
        <w:footnoteRef/>
      </w:r>
      <w:r w:rsidRPr="00D10EF8">
        <w:tab/>
      </w:r>
      <w:r w:rsidR="00865E37" w:rsidRPr="00D10EF8">
        <w:t xml:space="preserve">A/HRC/43/43/Add.2, </w:t>
      </w:r>
      <w:r w:rsidR="002A7FA1">
        <w:t>par. </w:t>
      </w:r>
      <w:r w:rsidR="00865E37" w:rsidRPr="00D10EF8">
        <w:t xml:space="preserve">16, à propos de </w:t>
      </w:r>
      <w:hyperlink r:id="rId61" w:history="1">
        <w:r w:rsidR="00865E37" w:rsidRPr="005A1F62">
          <w:rPr>
            <w:rStyle w:val="FollowedHyperlink"/>
          </w:rPr>
          <w:t>https://www.defenseurdesdroits.fr/sites/default/files/</w:t>
        </w:r>
        <w:r w:rsidR="0098143E">
          <w:rPr>
            <w:rStyle w:val="FollowedHyperlink"/>
          </w:rPr>
          <w:t xml:space="preserve"> </w:t>
        </w:r>
        <w:r w:rsidR="00865E37" w:rsidRPr="005A1F62">
          <w:rPr>
            <w:rStyle w:val="FollowedHyperlink"/>
          </w:rPr>
          <w:t>atoms/files/171213_ddd_ead_discrimination_logement_num_0.pdf</w:t>
        </w:r>
      </w:hyperlink>
      <w:r w:rsidR="00865E37" w:rsidRPr="005A1F62">
        <w:rPr>
          <w:rStyle w:val="FollowedHyperlink"/>
          <w:color w:val="auto"/>
        </w:rPr>
        <w:t xml:space="preserve">, </w:t>
      </w:r>
      <w:r w:rsidR="002A7FA1">
        <w:rPr>
          <w:rStyle w:val="FollowedHyperlink"/>
          <w:color w:val="auto"/>
        </w:rPr>
        <w:t>p. </w:t>
      </w:r>
      <w:r w:rsidR="00865E37" w:rsidRPr="005A1F62">
        <w:rPr>
          <w:rStyle w:val="FollowedHyperlink"/>
          <w:color w:val="auto"/>
        </w:rPr>
        <w:t>31.</w:t>
      </w:r>
    </w:p>
  </w:footnote>
  <w:footnote w:id="43">
    <w:p w14:paraId="51822CE4" w14:textId="47C43DDD" w:rsidR="00865E37" w:rsidRPr="00DA5E7E" w:rsidRDefault="00C70607" w:rsidP="005B4367">
      <w:pPr>
        <w:pStyle w:val="FootnoteText"/>
        <w:rPr>
          <w:lang w:val="es-ES"/>
        </w:rPr>
      </w:pPr>
      <w:r w:rsidRPr="00D10EF8">
        <w:tab/>
      </w:r>
      <w:r w:rsidRPr="00093AC5">
        <w:rPr>
          <w:rStyle w:val="FootnoteReference"/>
        </w:rPr>
        <w:footnoteRef/>
      </w:r>
      <w:r w:rsidRPr="00DA5E7E">
        <w:rPr>
          <w:lang w:val="es-ES"/>
        </w:rPr>
        <w:tab/>
      </w:r>
      <w:r w:rsidR="00865E37" w:rsidRPr="00DA5E7E">
        <w:rPr>
          <w:lang w:val="es-ES"/>
        </w:rPr>
        <w:t xml:space="preserve">CERD/C/USA/CO/7-9, </w:t>
      </w:r>
      <w:r w:rsidR="002A7FA1" w:rsidRPr="00DA5E7E">
        <w:rPr>
          <w:lang w:val="es-ES"/>
        </w:rPr>
        <w:t>par. </w:t>
      </w:r>
      <w:r w:rsidR="00865E37" w:rsidRPr="00DA5E7E">
        <w:rPr>
          <w:lang w:val="es-ES"/>
        </w:rPr>
        <w:t>13.</w:t>
      </w:r>
    </w:p>
  </w:footnote>
  <w:footnote w:id="44">
    <w:p w14:paraId="0A00F9B4" w14:textId="0A05220F" w:rsidR="00865E37" w:rsidRPr="00D10EF8" w:rsidRDefault="00C70607" w:rsidP="005B4367">
      <w:pPr>
        <w:pStyle w:val="FootnoteText"/>
      </w:pPr>
      <w:r w:rsidRPr="00DA5E7E">
        <w:rPr>
          <w:lang w:val="es-ES"/>
        </w:rPr>
        <w:tab/>
      </w:r>
      <w:r w:rsidRPr="00093AC5">
        <w:rPr>
          <w:rStyle w:val="FootnoteReference"/>
        </w:rPr>
        <w:footnoteRef/>
      </w:r>
      <w:r w:rsidRPr="00D10EF8">
        <w:tab/>
      </w:r>
      <w:r w:rsidR="00865E37" w:rsidRPr="00D10EF8">
        <w:t xml:space="preserve">A/HRC/33/61/Add.2, </w:t>
      </w:r>
      <w:r w:rsidR="002A7FA1">
        <w:t>par. </w:t>
      </w:r>
      <w:r w:rsidR="00865E37" w:rsidRPr="00D10EF8">
        <w:t>51 et 83.</w:t>
      </w:r>
    </w:p>
  </w:footnote>
  <w:footnote w:id="45">
    <w:p w14:paraId="62781DD2" w14:textId="5955B878" w:rsidR="00865E37" w:rsidRPr="00D10EF8" w:rsidRDefault="00C70607" w:rsidP="005B4367">
      <w:pPr>
        <w:pStyle w:val="FootnoteText"/>
      </w:pPr>
      <w:r w:rsidRPr="00D10EF8">
        <w:tab/>
      </w:r>
      <w:r w:rsidRPr="00093AC5">
        <w:rPr>
          <w:rStyle w:val="FootnoteReference"/>
        </w:rPr>
        <w:footnoteRef/>
      </w:r>
      <w:r w:rsidRPr="00D10EF8">
        <w:tab/>
      </w:r>
      <w:r w:rsidR="00865E37" w:rsidRPr="003470CF">
        <w:t xml:space="preserve">A/74/274, </w:t>
      </w:r>
      <w:r w:rsidR="002A7FA1">
        <w:t>par. </w:t>
      </w:r>
      <w:r w:rsidR="00865E37" w:rsidRPr="003470CF">
        <w:t>75</w:t>
      </w:r>
      <w:r w:rsidR="00BF73AB">
        <w:t> ;</w:t>
      </w:r>
      <w:r w:rsidR="00865E37" w:rsidRPr="003470CF">
        <w:t xml:space="preserve"> A/HRC/26/25/Add.4, </w:t>
      </w:r>
      <w:r w:rsidR="002A7FA1">
        <w:t>par. </w:t>
      </w:r>
      <w:r w:rsidR="00865E37" w:rsidRPr="003470CF">
        <w:t>87</w:t>
      </w:r>
      <w:r w:rsidR="00BF73AB">
        <w:t> ;</w:t>
      </w:r>
      <w:r w:rsidR="00865E37" w:rsidRPr="003470CF">
        <w:t xml:space="preserve"> </w:t>
      </w:r>
      <w:hyperlink r:id="rId62" w:history="1">
        <w:r w:rsidR="00865E37" w:rsidRPr="005A1F62">
          <w:rPr>
            <w:rStyle w:val="FollowedHyperlink"/>
          </w:rPr>
          <w:t>https://www.oas.org/en/iachr/reports/pdfs/</w:t>
        </w:r>
        <w:r w:rsidR="005A1F62">
          <w:rPr>
            <w:rStyle w:val="FollowedHyperlink"/>
          </w:rPr>
          <w:t xml:space="preserve"> </w:t>
        </w:r>
        <w:r w:rsidR="00865E37" w:rsidRPr="005A1F62">
          <w:rPr>
            <w:rStyle w:val="FollowedHyperlink"/>
          </w:rPr>
          <w:t>PoliceUseOfForceAfrosUSA.pdf</w:t>
        </w:r>
      </w:hyperlink>
      <w:r w:rsidR="00865E37" w:rsidRPr="003470CF">
        <w:t xml:space="preserve">, </w:t>
      </w:r>
      <w:r w:rsidR="002A7FA1">
        <w:t>par. </w:t>
      </w:r>
      <w:r w:rsidR="00865E37" w:rsidRPr="003470CF">
        <w:t>62</w:t>
      </w:r>
      <w:r w:rsidR="00865E37" w:rsidRPr="00D10EF8">
        <w:t>.</w:t>
      </w:r>
    </w:p>
  </w:footnote>
  <w:footnote w:id="46">
    <w:p w14:paraId="351CDA4E" w14:textId="1905DB10" w:rsidR="00865E37" w:rsidRPr="00DA5E7E" w:rsidRDefault="00C70607"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 xml:space="preserve">A/HRC/33/61/Add.2, </w:t>
      </w:r>
      <w:r w:rsidR="002A7FA1" w:rsidRPr="00DA5E7E">
        <w:rPr>
          <w:lang w:val="en-US"/>
        </w:rPr>
        <w:t>par. </w:t>
      </w:r>
      <w:r w:rsidR="00865E37" w:rsidRPr="00DA5E7E">
        <w:rPr>
          <w:lang w:val="en-US"/>
        </w:rPr>
        <w:t>53</w:t>
      </w:r>
    </w:p>
  </w:footnote>
  <w:footnote w:id="47">
    <w:p w14:paraId="2EEFB416" w14:textId="4C380DC9" w:rsidR="00865E37" w:rsidRPr="00DA5E7E" w:rsidRDefault="00C70607" w:rsidP="005B4367">
      <w:pPr>
        <w:pStyle w:val="FootnoteText"/>
        <w:rPr>
          <w:lang w:val="en-US"/>
        </w:rPr>
      </w:pPr>
      <w:r w:rsidRPr="00DA5E7E">
        <w:rPr>
          <w:lang w:val="en-US"/>
        </w:rPr>
        <w:tab/>
      </w:r>
      <w:r w:rsidRPr="00093AC5">
        <w:rPr>
          <w:rStyle w:val="FootnoteReference"/>
        </w:rPr>
        <w:footnoteRef/>
      </w:r>
      <w:r w:rsidRPr="00DA5E7E">
        <w:rPr>
          <w:lang w:val="en-US"/>
        </w:rPr>
        <w:tab/>
      </w:r>
      <w:hyperlink r:id="rId63" w:history="1">
        <w:r w:rsidR="00865E37" w:rsidRPr="004A035C">
          <w:rPr>
            <w:rStyle w:val="FollowedHyperlink"/>
            <w:lang w:val="en-US"/>
          </w:rPr>
          <w:t>https://www.whitehouse.gov/briefing-room/presidential-actions/2021/01/26/memorandum-on-redressing-our-nations-and-the-federal-governments-history-of-discriminatory-housing-practices-and-policies/</w:t>
        </w:r>
      </w:hyperlink>
      <w:r w:rsidR="00865E37" w:rsidRPr="00DA5E7E">
        <w:rPr>
          <w:lang w:val="en-US"/>
        </w:rPr>
        <w:t>.</w:t>
      </w:r>
    </w:p>
  </w:footnote>
  <w:footnote w:id="48">
    <w:p w14:paraId="3CDC69FD" w14:textId="213A0449" w:rsidR="00865E37" w:rsidRPr="00D10EF8" w:rsidRDefault="00C70607" w:rsidP="005B4367">
      <w:pPr>
        <w:pStyle w:val="FootnoteText"/>
      </w:pPr>
      <w:r w:rsidRPr="00DA5E7E">
        <w:rPr>
          <w:lang w:val="en-US"/>
        </w:rPr>
        <w:tab/>
      </w:r>
      <w:r w:rsidRPr="00093AC5">
        <w:rPr>
          <w:rStyle w:val="FootnoteReference"/>
        </w:rPr>
        <w:footnoteRef/>
      </w:r>
      <w:r w:rsidRPr="00D10EF8">
        <w:tab/>
      </w:r>
      <w:hyperlink r:id="rId64" w:history="1">
        <w:r w:rsidR="00865E37" w:rsidRPr="005A1F62">
          <w:rPr>
            <w:rStyle w:val="FollowedHyperlink"/>
          </w:rPr>
          <w:t>https://openknowledge.worldbank.org/handle/10986/30201</w:t>
        </w:r>
      </w:hyperlink>
      <w:r w:rsidR="00865E37" w:rsidRPr="00D10EF8">
        <w:t xml:space="preserve">, </w:t>
      </w:r>
      <w:r w:rsidR="002A7FA1">
        <w:t>p. </w:t>
      </w:r>
      <w:r w:rsidR="00865E37" w:rsidRPr="00D10EF8">
        <w:t>20 et 21.</w:t>
      </w:r>
    </w:p>
  </w:footnote>
  <w:footnote w:id="49">
    <w:p w14:paraId="6EDAD903" w14:textId="66CE5346" w:rsidR="00865E37" w:rsidRPr="00D10EF8" w:rsidRDefault="00C70607" w:rsidP="005B4367">
      <w:pPr>
        <w:pStyle w:val="FootnoteText"/>
      </w:pPr>
      <w:r w:rsidRPr="00D10EF8">
        <w:tab/>
      </w:r>
      <w:r w:rsidRPr="00093AC5">
        <w:rPr>
          <w:rStyle w:val="FootnoteReference"/>
        </w:rPr>
        <w:footnoteRef/>
      </w:r>
      <w:r w:rsidRPr="00D10EF8">
        <w:tab/>
      </w:r>
      <w:r w:rsidR="00865E37" w:rsidRPr="00D10EF8">
        <w:t xml:space="preserve">A/HRC/45/44/Add.1, </w:t>
      </w:r>
      <w:r w:rsidR="002A7FA1">
        <w:t>par. </w:t>
      </w:r>
      <w:r w:rsidR="00865E37" w:rsidRPr="00D10EF8">
        <w:t>37</w:t>
      </w:r>
      <w:r w:rsidR="00156EBF">
        <w:t xml:space="preserve"> et </w:t>
      </w:r>
      <w:r w:rsidR="00865E37" w:rsidRPr="00D10EF8">
        <w:t>38</w:t>
      </w:r>
      <w:r w:rsidR="00BF73AB">
        <w:t> ;</w:t>
      </w:r>
      <w:r w:rsidR="00865E37" w:rsidRPr="00D10EF8">
        <w:t xml:space="preserve"> A/HRC/27/68/Add.1, </w:t>
      </w:r>
      <w:r w:rsidR="002A7FA1">
        <w:t>par. </w:t>
      </w:r>
      <w:r w:rsidR="00865E37" w:rsidRPr="00D10EF8">
        <w:t>8</w:t>
      </w:r>
      <w:r w:rsidR="00BF73AB">
        <w:t> ;</w:t>
      </w:r>
      <w:r w:rsidR="00865E37" w:rsidRPr="00D10EF8">
        <w:t xml:space="preserve"> A/HRC/45/44/Add.2, </w:t>
      </w:r>
      <w:r w:rsidR="002A7FA1">
        <w:t>par. </w:t>
      </w:r>
      <w:r w:rsidR="00865E37" w:rsidRPr="00D10EF8">
        <w:t>55</w:t>
      </w:r>
      <w:r w:rsidR="00BF73AB">
        <w:t> ;</w:t>
      </w:r>
      <w:r w:rsidR="00865E37" w:rsidRPr="00D10EF8">
        <w:t xml:space="preserve"> A/HRC/42/59/Add.2, </w:t>
      </w:r>
      <w:r w:rsidR="002A7FA1">
        <w:t>par. </w:t>
      </w:r>
      <w:r w:rsidR="00865E37" w:rsidRPr="00D10EF8">
        <w:t>40</w:t>
      </w:r>
      <w:r w:rsidR="00BF73AB">
        <w:t> ;</w:t>
      </w:r>
      <w:r w:rsidR="00865E37" w:rsidRPr="00D10EF8">
        <w:t xml:space="preserve"> </w:t>
      </w:r>
      <w:hyperlink r:id="rId65" w:history="1">
        <w:r w:rsidR="00865E37" w:rsidRPr="005A1F62">
          <w:rPr>
            <w:rStyle w:val="FollowedHyperlink"/>
          </w:rPr>
          <w:t>https://spcommreports.ohchr.org/TMResultsBase/DownLoad</w:t>
        </w:r>
        <w:r w:rsidR="005A1F62">
          <w:rPr>
            <w:rStyle w:val="FollowedHyperlink"/>
          </w:rPr>
          <w:t xml:space="preserve"> </w:t>
        </w:r>
        <w:r w:rsidR="00865E37" w:rsidRPr="005A1F62">
          <w:rPr>
            <w:rStyle w:val="FollowedHyperlink"/>
          </w:rPr>
          <w:t>PublicCommunicationFile?gId=25814</w:t>
        </w:r>
      </w:hyperlink>
      <w:r w:rsidR="00BF73AB">
        <w:rPr>
          <w:rStyle w:val="FollowedHyperlink"/>
          <w:color w:val="auto"/>
        </w:rPr>
        <w:t> ;</w:t>
      </w:r>
      <w:r w:rsidR="00865E37" w:rsidRPr="005A1F62">
        <w:t xml:space="preserve"> </w:t>
      </w:r>
      <w:hyperlink r:id="rId66" w:history="1">
        <w:r w:rsidR="00865E37" w:rsidRPr="005A1F62">
          <w:rPr>
            <w:rStyle w:val="FollowedHyperlink"/>
          </w:rPr>
          <w:t>https://spcommreports.ohchr.org/TMResultsBase/DownLoad</w:t>
        </w:r>
        <w:r w:rsidR="005A1F62">
          <w:rPr>
            <w:rStyle w:val="FollowedHyperlink"/>
          </w:rPr>
          <w:t xml:space="preserve"> </w:t>
        </w:r>
        <w:r w:rsidR="00865E37" w:rsidRPr="005A1F62">
          <w:rPr>
            <w:rStyle w:val="FollowedHyperlink"/>
          </w:rPr>
          <w:t>PublicCommunicationFile?gId=18792</w:t>
        </w:r>
      </w:hyperlink>
      <w:r w:rsidR="00BF73AB">
        <w:t> ;</w:t>
      </w:r>
      <w:r w:rsidR="00865E37" w:rsidRPr="00D10EF8">
        <w:t xml:space="preserve"> </w:t>
      </w:r>
      <w:hyperlink r:id="rId67" w:history="1">
        <w:r w:rsidR="00865E37" w:rsidRPr="005A1F62">
          <w:rPr>
            <w:rStyle w:val="FollowedHyperlink"/>
          </w:rPr>
          <w:t>https://spcommreports.ohchr.org/TMResultsBase/DownLoad</w:t>
        </w:r>
        <w:r w:rsidR="005A1F62">
          <w:rPr>
            <w:rStyle w:val="FollowedHyperlink"/>
          </w:rPr>
          <w:t xml:space="preserve"> </w:t>
        </w:r>
        <w:r w:rsidR="00865E37" w:rsidRPr="005A1F62">
          <w:rPr>
            <w:rStyle w:val="FollowedHyperlink"/>
          </w:rPr>
          <w:t>PublicCommunicationFile?gId=19482</w:t>
        </w:r>
      </w:hyperlink>
      <w:r w:rsidR="00865E37" w:rsidRPr="00D10EF8">
        <w:t>.</w:t>
      </w:r>
    </w:p>
  </w:footnote>
  <w:footnote w:id="50">
    <w:p w14:paraId="5CC43A94" w14:textId="16240A8B" w:rsidR="00865E37" w:rsidRPr="00D10EF8" w:rsidRDefault="00C70607" w:rsidP="005B4367">
      <w:pPr>
        <w:pStyle w:val="FootnoteText"/>
      </w:pPr>
      <w:r w:rsidRPr="00D10EF8">
        <w:tab/>
      </w:r>
      <w:r w:rsidRPr="00093AC5">
        <w:rPr>
          <w:rStyle w:val="FootnoteReference"/>
        </w:rPr>
        <w:footnoteRef/>
      </w:r>
      <w:r w:rsidRPr="00D10EF8">
        <w:tab/>
      </w:r>
      <w:r w:rsidR="00865E37" w:rsidRPr="00D10EF8">
        <w:t xml:space="preserve">A/HRC/45/44/Add.1, </w:t>
      </w:r>
      <w:r w:rsidR="002A7FA1">
        <w:t>par. </w:t>
      </w:r>
      <w:r w:rsidR="00865E37" w:rsidRPr="00D10EF8">
        <w:t>38.</w:t>
      </w:r>
    </w:p>
  </w:footnote>
  <w:footnote w:id="51">
    <w:p w14:paraId="6F082E95" w14:textId="659655ED" w:rsidR="00865E37" w:rsidRPr="00D10EF8" w:rsidRDefault="00C70607" w:rsidP="005B4367">
      <w:pPr>
        <w:pStyle w:val="FootnoteText"/>
      </w:pPr>
      <w:r w:rsidRPr="00D10EF8">
        <w:tab/>
      </w:r>
      <w:r w:rsidRPr="0083052D">
        <w:rPr>
          <w:rStyle w:val="FootnoteReference"/>
        </w:rPr>
        <w:footnoteRef/>
      </w:r>
      <w:r w:rsidRPr="0083052D">
        <w:tab/>
      </w:r>
      <w:r w:rsidR="00865E37" w:rsidRPr="0083052D">
        <w:t xml:space="preserve">A/HRC/45/44/Add.2, </w:t>
      </w:r>
      <w:r w:rsidR="002A7FA1" w:rsidRPr="0083052D">
        <w:t>par. </w:t>
      </w:r>
      <w:r w:rsidR="00865E37" w:rsidRPr="0083052D">
        <w:t>25.</w:t>
      </w:r>
    </w:p>
  </w:footnote>
  <w:footnote w:id="52">
    <w:p w14:paraId="27EFFCC5" w14:textId="5865204D" w:rsidR="00865E37" w:rsidRPr="00DA5E7E" w:rsidRDefault="00C70607"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 xml:space="preserve">A/HRC/33/61/Add.2, </w:t>
      </w:r>
      <w:r w:rsidR="002A7FA1" w:rsidRPr="00DA5E7E">
        <w:rPr>
          <w:lang w:val="en-US"/>
        </w:rPr>
        <w:t>par. </w:t>
      </w:r>
      <w:r w:rsidR="00865E37" w:rsidRPr="00DA5E7E">
        <w:rPr>
          <w:lang w:val="en-US"/>
        </w:rPr>
        <w:t>52.</w:t>
      </w:r>
    </w:p>
  </w:footnote>
  <w:footnote w:id="53">
    <w:p w14:paraId="3CC0E81C" w14:textId="331AC926" w:rsidR="00865E37" w:rsidRPr="00DA5E7E" w:rsidRDefault="00C70607" w:rsidP="005B4367">
      <w:pPr>
        <w:pStyle w:val="FootnoteText"/>
        <w:rPr>
          <w:lang w:val="en-US"/>
        </w:rPr>
      </w:pPr>
      <w:r w:rsidRPr="00DA5E7E">
        <w:rPr>
          <w:lang w:val="en-US"/>
        </w:rPr>
        <w:tab/>
      </w:r>
      <w:r w:rsidRPr="00093AC5">
        <w:rPr>
          <w:rStyle w:val="FootnoteReference"/>
        </w:rPr>
        <w:footnoteRef/>
      </w:r>
      <w:r w:rsidRPr="00DA5E7E">
        <w:rPr>
          <w:lang w:val="en-US"/>
        </w:rPr>
        <w:tab/>
      </w:r>
      <w:hyperlink r:id="rId68" w:history="1">
        <w:r w:rsidR="00865E37" w:rsidRPr="004A035C">
          <w:rPr>
            <w:rStyle w:val="FollowedHyperlink"/>
            <w:lang w:val="en-US"/>
          </w:rPr>
          <w:t>https://spcommreports.ohchr.org/TMResultsBase/DownLoadPublicCommunicationFile?gId=25814</w:t>
        </w:r>
      </w:hyperlink>
      <w:r w:rsidR="00BF73AB">
        <w:rPr>
          <w:rStyle w:val="FollowedHyperlink"/>
          <w:lang w:val="en-US"/>
        </w:rPr>
        <w:t> ;</w:t>
      </w:r>
      <w:r w:rsidR="00865E37" w:rsidRPr="004A035C">
        <w:rPr>
          <w:rStyle w:val="FollowedHyperlink"/>
          <w:lang w:val="en-US"/>
        </w:rPr>
        <w:t xml:space="preserve"> </w:t>
      </w:r>
      <w:hyperlink r:id="rId69" w:history="1">
        <w:r w:rsidR="00865E37" w:rsidRPr="004A035C">
          <w:rPr>
            <w:rStyle w:val="FollowedHyperlink"/>
            <w:lang w:val="en-US"/>
          </w:rPr>
          <w:t>http://www.mossvilleproject.com/</w:t>
        </w:r>
      </w:hyperlink>
      <w:r w:rsidR="00865E37" w:rsidRPr="00DA5E7E">
        <w:rPr>
          <w:lang w:val="en-US"/>
        </w:rPr>
        <w:t xml:space="preserve">.  </w:t>
      </w:r>
    </w:p>
  </w:footnote>
  <w:footnote w:id="54">
    <w:p w14:paraId="4F954C25" w14:textId="1EFDDCB7" w:rsidR="00865E37" w:rsidRPr="00D10EF8" w:rsidRDefault="00C70607" w:rsidP="005B4367">
      <w:pPr>
        <w:pStyle w:val="FootnoteText"/>
      </w:pPr>
      <w:r w:rsidRPr="00DA5E7E">
        <w:rPr>
          <w:lang w:val="en-US"/>
        </w:rPr>
        <w:tab/>
      </w:r>
      <w:r w:rsidRPr="00093AC5">
        <w:rPr>
          <w:rStyle w:val="FootnoteReference"/>
        </w:rPr>
        <w:footnoteRef/>
      </w:r>
      <w:r w:rsidRPr="00D10EF8">
        <w:tab/>
      </w:r>
      <w:r w:rsidR="00865E37" w:rsidRPr="00D10EF8">
        <w:t xml:space="preserve">CERD/C/BRA/18-20, </w:t>
      </w:r>
      <w:r w:rsidR="002A7FA1">
        <w:t>par. </w:t>
      </w:r>
      <w:r w:rsidR="00865E37" w:rsidRPr="00D10EF8">
        <w:t>74 et 77</w:t>
      </w:r>
      <w:r w:rsidR="00BF73AB">
        <w:t> ;</w:t>
      </w:r>
      <w:r w:rsidR="00865E37" w:rsidRPr="00D10EF8">
        <w:t xml:space="preserve"> A/HRC/15/18, </w:t>
      </w:r>
      <w:r w:rsidR="002A7FA1">
        <w:t>par. </w:t>
      </w:r>
      <w:r w:rsidR="00865E37" w:rsidRPr="00D10EF8">
        <w:t>31et 32</w:t>
      </w:r>
      <w:r w:rsidR="00BF73AB">
        <w:t> ;</w:t>
      </w:r>
      <w:r w:rsidR="00865E37" w:rsidRPr="00D10EF8">
        <w:t xml:space="preserve"> A/HRC/27/68/Add.1, </w:t>
      </w:r>
      <w:r w:rsidR="002A7FA1">
        <w:t>par. </w:t>
      </w:r>
      <w:r w:rsidR="00865E37" w:rsidRPr="00D10EF8">
        <w:t>30 et 32</w:t>
      </w:r>
      <w:r w:rsidR="00BF73AB">
        <w:t> ;</w:t>
      </w:r>
      <w:r w:rsidR="00865E37" w:rsidRPr="00D10EF8">
        <w:t xml:space="preserve"> A/HRC/33/61/Add.2, </w:t>
      </w:r>
      <w:r w:rsidR="002A7FA1">
        <w:t>par. </w:t>
      </w:r>
      <w:r w:rsidR="00865E37" w:rsidRPr="00D10EF8">
        <w:t>11</w:t>
      </w:r>
      <w:r w:rsidR="00BF73AB">
        <w:t> ;</w:t>
      </w:r>
      <w:r w:rsidR="00865E37" w:rsidRPr="00D10EF8">
        <w:t xml:space="preserve"> A/HRC/36/60/Add.1, </w:t>
      </w:r>
      <w:r w:rsidR="002A7FA1">
        <w:t>par. </w:t>
      </w:r>
      <w:r w:rsidR="00865E37" w:rsidRPr="00D10EF8">
        <w:t>33</w:t>
      </w:r>
      <w:r w:rsidR="00BF73AB">
        <w:t> ;</w:t>
      </w:r>
      <w:r w:rsidR="00865E37" w:rsidRPr="00D10EF8">
        <w:t xml:space="preserve"> A/HRC/42/59/Add.1, </w:t>
      </w:r>
      <w:r w:rsidR="002A7FA1">
        <w:t>par. </w:t>
      </w:r>
      <w:r w:rsidR="00865E37" w:rsidRPr="00D10EF8">
        <w:t>58 et 59</w:t>
      </w:r>
      <w:r w:rsidR="00BF73AB">
        <w:t> ;</w:t>
      </w:r>
      <w:r w:rsidR="00865E37" w:rsidRPr="00D10EF8">
        <w:t xml:space="preserve"> communication de l</w:t>
      </w:r>
      <w:r w:rsidR="00F60EAA">
        <w:t>’</w:t>
      </w:r>
      <w:r w:rsidR="00865E37" w:rsidRPr="00D10EF8">
        <w:t>Institution nationale des droits de l</w:t>
      </w:r>
      <w:r w:rsidR="00F60EAA">
        <w:t>’</w:t>
      </w:r>
      <w:r w:rsidR="00865E37" w:rsidRPr="00D10EF8">
        <w:t>homme du Mexique</w:t>
      </w:r>
      <w:r w:rsidR="00BF73AB">
        <w:t> ;</w:t>
      </w:r>
      <w:r w:rsidR="00865E37" w:rsidRPr="00D10EF8">
        <w:t xml:space="preserve"> </w:t>
      </w:r>
      <w:hyperlink r:id="rId70" w:history="1">
        <w:r w:rsidR="00865E37" w:rsidRPr="005A1F62">
          <w:rPr>
            <w:rStyle w:val="FollowedHyperlink"/>
          </w:rPr>
          <w:t>https://assembly.coe.int/LifeRay/EGA/Pdf/Press/2021/20210316-Afrophobie-prov-FR.pdf</w:t>
        </w:r>
      </w:hyperlink>
      <w:r w:rsidR="00865E37" w:rsidRPr="00D10EF8">
        <w:t xml:space="preserve">, </w:t>
      </w:r>
      <w:r w:rsidR="002A7FA1">
        <w:t>par. </w:t>
      </w:r>
      <w:r w:rsidR="00865E37" w:rsidRPr="00D10EF8">
        <w:t>24 et 67</w:t>
      </w:r>
      <w:r w:rsidR="00BF73AB">
        <w:t> ;</w:t>
      </w:r>
      <w:r w:rsidR="00865E37" w:rsidRPr="00D10EF8">
        <w:t xml:space="preserve"> </w:t>
      </w:r>
      <w:hyperlink r:id="rId71" w:history="1">
        <w:r w:rsidR="00865E37" w:rsidRPr="005A1F62">
          <w:rPr>
            <w:rStyle w:val="FollowedHyperlink"/>
          </w:rPr>
          <w:t>https://rm.coe.int/rapport-de-l-ecri-sur-l-allemagne-sixieme-cycle-de-monitoring/16809ce4c1</w:t>
        </w:r>
      </w:hyperlink>
      <w:r w:rsidR="00865E37" w:rsidRPr="00D10EF8">
        <w:t xml:space="preserve">, </w:t>
      </w:r>
      <w:r w:rsidR="002A7FA1">
        <w:t>par. </w:t>
      </w:r>
      <w:r w:rsidR="00865E37" w:rsidRPr="00D10EF8">
        <w:t>15</w:t>
      </w:r>
      <w:r w:rsidR="00BF73AB">
        <w:t> ;</w:t>
      </w:r>
      <w:r w:rsidR="00865E37" w:rsidRPr="00D10EF8">
        <w:t xml:space="preserve"> </w:t>
      </w:r>
      <w:hyperlink r:id="rId72" w:history="1">
        <w:r w:rsidR="00865E37" w:rsidRPr="005A1F62">
          <w:rPr>
            <w:rStyle w:val="FollowedHyperlink"/>
          </w:rPr>
          <w:t>www.worldbank.org/en/region/lac/brief/afro-descendants-in-latin-america</w:t>
        </w:r>
      </w:hyperlink>
      <w:r w:rsidR="00865E37" w:rsidRPr="00D10EF8">
        <w:t xml:space="preserve">, </w:t>
      </w:r>
      <w:r w:rsidR="002A7FA1">
        <w:t>p. </w:t>
      </w:r>
      <w:r w:rsidR="00865E37" w:rsidRPr="00D10EF8">
        <w:t>88</w:t>
      </w:r>
      <w:r w:rsidR="00BF73AB">
        <w:t> ;</w:t>
      </w:r>
      <w:r w:rsidR="00865E37" w:rsidRPr="00D10EF8">
        <w:t xml:space="preserve"> </w:t>
      </w:r>
      <w:hyperlink r:id="rId73" w:history="1">
        <w:r w:rsidR="00865E37" w:rsidRPr="005A1F62">
          <w:rPr>
            <w:rStyle w:val="FollowedHyperlink"/>
          </w:rPr>
          <w:t>www.oas.org/en/iachr/afro-descendants/docs/pdf/afros_2011_eng.pdf</w:t>
        </w:r>
      </w:hyperlink>
      <w:r w:rsidR="00865E37" w:rsidRPr="00D10EF8">
        <w:t xml:space="preserve">, </w:t>
      </w:r>
      <w:r w:rsidR="002A7FA1">
        <w:t>par. </w:t>
      </w:r>
      <w:r w:rsidR="00865E37" w:rsidRPr="00D10EF8">
        <w:t>53</w:t>
      </w:r>
      <w:r w:rsidR="00BF73AB">
        <w:t> ;</w:t>
      </w:r>
      <w:r w:rsidR="00865E37" w:rsidRPr="00D10EF8">
        <w:t xml:space="preserve"> </w:t>
      </w:r>
      <w:hyperlink r:id="rId74" w:history="1">
        <w:r w:rsidR="00865E37" w:rsidRPr="005A1F62">
          <w:rPr>
            <w:rStyle w:val="FollowedHyperlink"/>
          </w:rPr>
          <w:t>www.enar-eu.org/IMG/pdf/sr_key_findings-2.pdf</w:t>
        </w:r>
      </w:hyperlink>
      <w:r w:rsidR="00865E37" w:rsidRPr="00D10EF8">
        <w:t xml:space="preserve">, </w:t>
      </w:r>
      <w:r w:rsidR="002A7FA1">
        <w:t>p. </w:t>
      </w:r>
      <w:r w:rsidR="00865E37" w:rsidRPr="00D3660B">
        <w:t>2</w:t>
      </w:r>
      <w:r w:rsidR="00BF73AB">
        <w:t> ;</w:t>
      </w:r>
      <w:r w:rsidR="00865E37" w:rsidRPr="00D10EF8">
        <w:t xml:space="preserve"> </w:t>
      </w:r>
      <w:hyperlink r:id="rId75" w:history="1">
        <w:r w:rsidR="00865E37" w:rsidRPr="005A1F62">
          <w:rPr>
            <w:rStyle w:val="FollowedHyperlink"/>
          </w:rPr>
          <w:t>https://rm.coe.int/combating-racism-and-racial-discrimination,-against-people-of-african-d/1680a1c0b6</w:t>
        </w:r>
      </w:hyperlink>
      <w:r w:rsidR="00865E37" w:rsidRPr="00D10EF8">
        <w:t xml:space="preserve">, </w:t>
      </w:r>
      <w:r w:rsidR="002A7FA1">
        <w:t>p. </w:t>
      </w:r>
      <w:r w:rsidR="00865E37" w:rsidRPr="00D10EF8">
        <w:t>7</w:t>
      </w:r>
      <w:r w:rsidR="00BF73AB">
        <w:t> ;</w:t>
      </w:r>
      <w:r w:rsidR="00865E37" w:rsidRPr="00D10EF8">
        <w:t xml:space="preserve"> </w:t>
      </w:r>
      <w:hyperlink r:id="rId76" w:history="1">
        <w:r w:rsidR="00865E37" w:rsidRPr="005A1F62">
          <w:rPr>
            <w:rStyle w:val="FollowedHyperlink"/>
          </w:rPr>
          <w:t>https://www.lawrencereview.co.uk/</w:t>
        </w:r>
      </w:hyperlink>
      <w:r w:rsidR="00865E37" w:rsidRPr="00D10EF8">
        <w:t xml:space="preserve">, </w:t>
      </w:r>
      <w:r w:rsidR="002A7FA1">
        <w:t>p. </w:t>
      </w:r>
      <w:r w:rsidR="00865E37" w:rsidRPr="00D10EF8">
        <w:t>25.</w:t>
      </w:r>
    </w:p>
  </w:footnote>
  <w:footnote w:id="55">
    <w:p w14:paraId="2D96F658" w14:textId="30400D3F" w:rsidR="00865E37" w:rsidRPr="00D10EF8" w:rsidRDefault="00C70607" w:rsidP="005B4367">
      <w:pPr>
        <w:pStyle w:val="FootnoteText"/>
      </w:pPr>
      <w:r w:rsidRPr="00D10EF8">
        <w:tab/>
      </w:r>
      <w:r w:rsidRPr="00093AC5">
        <w:rPr>
          <w:rStyle w:val="FootnoteReference"/>
        </w:rPr>
        <w:footnoteRef/>
      </w:r>
      <w:r w:rsidRPr="00D10EF8">
        <w:tab/>
      </w:r>
      <w:hyperlink r:id="rId77" w:history="1">
        <w:r w:rsidR="00865E37" w:rsidRPr="001A5622">
          <w:rPr>
            <w:rStyle w:val="FollowedHyperlink"/>
          </w:rPr>
          <w:t>https://www.europarl.europa.eu/doceo/document/TA-8-2019-0239_FR.html</w:t>
        </w:r>
      </w:hyperlink>
      <w:r w:rsidR="00BF73AB">
        <w:t> ;</w:t>
      </w:r>
      <w:r w:rsidR="00865E37" w:rsidRPr="00D10EF8">
        <w:t xml:space="preserve"> </w:t>
      </w:r>
      <w:hyperlink r:id="rId78" w:history="1">
        <w:r w:rsidR="00865E37" w:rsidRPr="001A5622">
          <w:rPr>
            <w:rStyle w:val="FollowedHyperlink"/>
          </w:rPr>
          <w:t>https://www.enar-eu.org/IMG/pdf/shadowreport_afrophobia_final_with_corrections.pdf</w:t>
        </w:r>
      </w:hyperlink>
      <w:r w:rsidR="00865E37" w:rsidRPr="00AF4A28">
        <w:t>.</w:t>
      </w:r>
    </w:p>
  </w:footnote>
  <w:footnote w:id="56">
    <w:p w14:paraId="13754BB6" w14:textId="3143D018" w:rsidR="00865E37" w:rsidRPr="00DA5E7E" w:rsidRDefault="00C70607"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 xml:space="preserve">A/HRC/42/59/Add.1, </w:t>
      </w:r>
      <w:r w:rsidR="002A7FA1" w:rsidRPr="00DA5E7E">
        <w:rPr>
          <w:lang w:val="en-US"/>
        </w:rPr>
        <w:t>par. </w:t>
      </w:r>
      <w:r w:rsidR="00865E37" w:rsidRPr="00DA5E7E">
        <w:rPr>
          <w:lang w:val="en-US"/>
        </w:rPr>
        <w:t>57</w:t>
      </w:r>
      <w:r w:rsidR="00BF73AB">
        <w:rPr>
          <w:lang w:val="en-US"/>
        </w:rPr>
        <w:t> ;</w:t>
      </w:r>
      <w:r w:rsidR="00865E37" w:rsidRPr="00DA5E7E">
        <w:rPr>
          <w:lang w:val="en-US"/>
        </w:rPr>
        <w:t xml:space="preserve"> </w:t>
      </w:r>
      <w:hyperlink r:id="rId79" w:history="1">
        <w:r w:rsidR="00865E37" w:rsidRPr="001A5622">
          <w:rPr>
            <w:rStyle w:val="FollowedHyperlink"/>
            <w:lang w:val="en-US"/>
          </w:rPr>
          <w:t>https://www.enar-eu.org/IMG/pdf/shadowreport_afrophobia_</w:t>
        </w:r>
        <w:r w:rsidR="00DE1EC6">
          <w:rPr>
            <w:rStyle w:val="FollowedHyperlink"/>
            <w:lang w:val="en-US"/>
          </w:rPr>
          <w:t xml:space="preserve"> </w:t>
        </w:r>
        <w:r w:rsidR="00865E37" w:rsidRPr="001A5622">
          <w:rPr>
            <w:rStyle w:val="FollowedHyperlink"/>
            <w:lang w:val="en-US"/>
          </w:rPr>
          <w:t>final_with_corrections.pdf</w:t>
        </w:r>
      </w:hyperlink>
      <w:r w:rsidR="00865E37" w:rsidRPr="00DA5E7E">
        <w:rPr>
          <w:lang w:val="en-US"/>
        </w:rPr>
        <w:t>.</w:t>
      </w:r>
    </w:p>
  </w:footnote>
  <w:footnote w:id="57">
    <w:p w14:paraId="15E6525F" w14:textId="576531B1" w:rsidR="00865E37" w:rsidRPr="00DA5E7E" w:rsidRDefault="00C70607" w:rsidP="005B4367">
      <w:pPr>
        <w:pStyle w:val="FootnoteText"/>
        <w:rPr>
          <w:lang w:val="en-US"/>
        </w:rPr>
      </w:pPr>
      <w:r w:rsidRPr="00DA5E7E">
        <w:rPr>
          <w:lang w:val="en-US"/>
        </w:rPr>
        <w:tab/>
      </w:r>
      <w:r w:rsidRPr="00093AC5">
        <w:rPr>
          <w:rStyle w:val="FootnoteReference"/>
        </w:rPr>
        <w:footnoteRef/>
      </w:r>
      <w:r w:rsidRPr="00DA5E7E">
        <w:rPr>
          <w:lang w:val="en-US"/>
        </w:rPr>
        <w:tab/>
      </w:r>
      <w:r w:rsidR="00865E37" w:rsidRPr="00DA5E7E">
        <w:rPr>
          <w:lang w:val="en-US"/>
        </w:rPr>
        <w:t xml:space="preserve">A/HRC/42/59/Add.1, </w:t>
      </w:r>
      <w:r w:rsidR="002A7FA1" w:rsidRPr="00DA5E7E">
        <w:rPr>
          <w:lang w:val="en-US"/>
        </w:rPr>
        <w:t>par. </w:t>
      </w:r>
      <w:r w:rsidR="00865E37" w:rsidRPr="00DA5E7E">
        <w:rPr>
          <w:lang w:val="en-US"/>
        </w:rPr>
        <w:t>51.</w:t>
      </w:r>
    </w:p>
  </w:footnote>
  <w:footnote w:id="58">
    <w:p w14:paraId="3FF2C467" w14:textId="3406D5B3" w:rsidR="00865E37" w:rsidRPr="00DA5E7E" w:rsidRDefault="00C70607" w:rsidP="005B4367">
      <w:pPr>
        <w:pStyle w:val="FootnoteText"/>
        <w:rPr>
          <w:lang w:val="en-US"/>
        </w:rPr>
      </w:pPr>
      <w:r w:rsidRPr="00DA5E7E">
        <w:rPr>
          <w:lang w:val="en-US"/>
        </w:rPr>
        <w:tab/>
      </w:r>
      <w:r w:rsidRPr="00093AC5">
        <w:rPr>
          <w:rStyle w:val="FootnoteReference"/>
        </w:rPr>
        <w:footnoteRef/>
      </w:r>
      <w:r w:rsidRPr="00DA5E7E">
        <w:rPr>
          <w:lang w:val="en-US"/>
        </w:rPr>
        <w:tab/>
      </w:r>
      <w:hyperlink r:id="rId80" w:history="1">
        <w:r w:rsidR="00865E37" w:rsidRPr="004A035C">
          <w:rPr>
            <w:rStyle w:val="FollowedHyperlink"/>
            <w:lang w:val="en-US"/>
          </w:rPr>
          <w:t>https://fra.europa.eu/sites/default/files/fra_uploads/fra-2018-being-black-in-the-eu_en.pdf</w:t>
        </w:r>
      </w:hyperlink>
      <w:r w:rsidR="00865E37" w:rsidRPr="00DA5E7E">
        <w:rPr>
          <w:lang w:val="en-US"/>
        </w:rPr>
        <w:t xml:space="preserve">, </w:t>
      </w:r>
      <w:r w:rsidR="002A7FA1" w:rsidRPr="00DA5E7E">
        <w:rPr>
          <w:lang w:val="en-US"/>
        </w:rPr>
        <w:t>p. </w:t>
      </w:r>
      <w:r w:rsidR="00865E37" w:rsidRPr="00DA5E7E">
        <w:rPr>
          <w:lang w:val="en-US"/>
        </w:rPr>
        <w:t>46.</w:t>
      </w:r>
    </w:p>
  </w:footnote>
  <w:footnote w:id="59">
    <w:p w14:paraId="5F657E9B" w14:textId="15ED12CF" w:rsidR="00865E37" w:rsidRPr="00D10EF8" w:rsidRDefault="00C70607" w:rsidP="005B4367">
      <w:pPr>
        <w:pStyle w:val="FootnoteText"/>
      </w:pPr>
      <w:r w:rsidRPr="00DA5E7E">
        <w:rPr>
          <w:lang w:val="en-US"/>
        </w:rPr>
        <w:tab/>
      </w:r>
      <w:r w:rsidRPr="00093AC5">
        <w:rPr>
          <w:rStyle w:val="FootnoteReference"/>
        </w:rPr>
        <w:footnoteRef/>
      </w:r>
      <w:r w:rsidRPr="00D10EF8">
        <w:tab/>
      </w:r>
      <w:hyperlink r:id="rId81" w:history="1">
        <w:r w:rsidR="00865E37" w:rsidRPr="001A5622">
          <w:rPr>
            <w:rStyle w:val="FollowedHyperlink"/>
          </w:rPr>
          <w:t>https://www.enar-eu.org/IMG/pdf/sr_key_findings-2.pdf</w:t>
        </w:r>
      </w:hyperlink>
      <w:r w:rsidR="00865E37" w:rsidRPr="00D10EF8">
        <w:t xml:space="preserve">, </w:t>
      </w:r>
      <w:r w:rsidR="002A7FA1">
        <w:t>p. </w:t>
      </w:r>
      <w:r w:rsidR="00865E37" w:rsidRPr="00D10EF8">
        <w:t>2</w:t>
      </w:r>
      <w:r w:rsidR="00BF73AB">
        <w:t> ;</w:t>
      </w:r>
      <w:r w:rsidR="00865E37" w:rsidRPr="00D10EF8">
        <w:t xml:space="preserve"> </w:t>
      </w:r>
      <w:hyperlink r:id="rId82" w:history="1">
        <w:r w:rsidR="00865E37" w:rsidRPr="001A5622">
          <w:rPr>
            <w:rStyle w:val="FollowedHyperlink"/>
          </w:rPr>
          <w:t>https://rm.coe.int/combating-racism-and-racial-discrimination,-against-people-of-african-d/1680a1c0b6</w:t>
        </w:r>
      </w:hyperlink>
      <w:r w:rsidR="00865E37" w:rsidRPr="00D10EF8">
        <w:t xml:space="preserve">, </w:t>
      </w:r>
      <w:r w:rsidR="002A7FA1">
        <w:t>par. </w:t>
      </w:r>
      <w:r w:rsidR="00865E37" w:rsidRPr="00D10EF8">
        <w:t>17.</w:t>
      </w:r>
    </w:p>
  </w:footnote>
  <w:footnote w:id="60">
    <w:p w14:paraId="53B6DC52" w14:textId="01739F02" w:rsidR="00865E37" w:rsidRPr="00D10EF8" w:rsidRDefault="00C70607" w:rsidP="005B4367">
      <w:pPr>
        <w:pStyle w:val="FootnoteText"/>
      </w:pPr>
      <w:r w:rsidRPr="00D10EF8">
        <w:tab/>
      </w:r>
      <w:r w:rsidRPr="00093AC5">
        <w:rPr>
          <w:rStyle w:val="FootnoteReference"/>
        </w:rPr>
        <w:footnoteRef/>
      </w:r>
      <w:r w:rsidRPr="00D10EF8">
        <w:tab/>
      </w:r>
      <w:r w:rsidR="00865E37" w:rsidRPr="00D10EF8">
        <w:t>Communication du Comité pour l</w:t>
      </w:r>
      <w:r w:rsidR="00F60EAA">
        <w:t>’</w:t>
      </w:r>
      <w:r w:rsidR="00865E37" w:rsidRPr="00D10EF8">
        <w:t>UNICEF Royaume-Uni (UNICEF UK)</w:t>
      </w:r>
      <w:r w:rsidR="00BF73AB">
        <w:t> ;</w:t>
      </w:r>
      <w:r w:rsidR="00865E37" w:rsidRPr="00D10EF8">
        <w:t xml:space="preserve"> voir également CERD/C/GBR/CO/21-23, </w:t>
      </w:r>
      <w:r w:rsidR="002A7FA1">
        <w:t>par. </w:t>
      </w:r>
      <w:r w:rsidR="00865E37" w:rsidRPr="00D10EF8">
        <w:t>34.</w:t>
      </w:r>
    </w:p>
  </w:footnote>
  <w:footnote w:id="61">
    <w:p w14:paraId="292F11BA" w14:textId="031475B9" w:rsidR="00865E37" w:rsidRPr="00D10EF8" w:rsidRDefault="00C70607" w:rsidP="005B4367">
      <w:pPr>
        <w:pStyle w:val="FootnoteText"/>
      </w:pPr>
      <w:r w:rsidRPr="00D10EF8">
        <w:tab/>
      </w:r>
      <w:r w:rsidRPr="00093AC5">
        <w:rPr>
          <w:rStyle w:val="FootnoteReference"/>
        </w:rPr>
        <w:footnoteRef/>
      </w:r>
      <w:r w:rsidRPr="00D10EF8">
        <w:tab/>
      </w:r>
      <w:hyperlink r:id="rId83" w:history="1">
        <w:r w:rsidR="00865E37" w:rsidRPr="00B07D6E">
          <w:rPr>
            <w:rStyle w:val="FollowedHyperlink"/>
          </w:rPr>
          <w:t>https://www2.ed.gov/about/offices/list/ocr/docs/crdc-discipline-snapshot.pdf</w:t>
        </w:r>
      </w:hyperlink>
      <w:r w:rsidR="00BF73AB">
        <w:t> ;</w:t>
      </w:r>
      <w:r w:rsidR="00865E37" w:rsidRPr="00D10EF8">
        <w:t xml:space="preserve"> </w:t>
      </w:r>
      <w:bookmarkStart w:id="60" w:name="_Hlk108616384"/>
      <w:r w:rsidR="00865E37" w:rsidRPr="00D10EF8">
        <w:t xml:space="preserve">voir également </w:t>
      </w:r>
      <w:bookmarkEnd w:id="60"/>
      <w:r w:rsidR="00865E37" w:rsidRPr="00D10EF8">
        <w:t xml:space="preserve">A/HRC/33/61/Add.2, </w:t>
      </w:r>
      <w:r w:rsidR="002A7FA1">
        <w:t>par. </w:t>
      </w:r>
      <w:r w:rsidR="00865E37" w:rsidRPr="00D10EF8">
        <w:t>44</w:t>
      </w:r>
      <w:r w:rsidR="00BF73AB">
        <w:t> ;</w:t>
      </w:r>
      <w:r w:rsidR="00865E37" w:rsidRPr="00D10EF8">
        <w:t xml:space="preserve"> CERD/C/USA/CO/7-9, par.14.</w:t>
      </w:r>
    </w:p>
  </w:footnote>
  <w:footnote w:id="62">
    <w:p w14:paraId="0DC7E18B" w14:textId="2A3408B1" w:rsidR="00865E37" w:rsidRPr="00DA5E7E" w:rsidRDefault="00C70607"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 xml:space="preserve">CEDAW/C/HND/CO/7-8, </w:t>
      </w:r>
      <w:r w:rsidR="002A7FA1" w:rsidRPr="00DA5E7E">
        <w:rPr>
          <w:lang w:val="en-US"/>
        </w:rPr>
        <w:t>par. </w:t>
      </w:r>
      <w:r w:rsidR="00865E37" w:rsidRPr="00DA5E7E">
        <w:rPr>
          <w:lang w:val="en-US"/>
        </w:rPr>
        <w:t>32.</w:t>
      </w:r>
    </w:p>
  </w:footnote>
  <w:footnote w:id="63">
    <w:p w14:paraId="48244439" w14:textId="580C3692" w:rsidR="00865E37" w:rsidRPr="00D10EF8" w:rsidRDefault="00C70607" w:rsidP="005B4367">
      <w:pPr>
        <w:pStyle w:val="FootnoteText"/>
      </w:pPr>
      <w:r w:rsidRPr="00DA5E7E">
        <w:rPr>
          <w:lang w:val="en-US"/>
        </w:rPr>
        <w:tab/>
      </w:r>
      <w:r w:rsidRPr="00093AC5">
        <w:rPr>
          <w:rStyle w:val="FootnoteReference"/>
        </w:rPr>
        <w:footnoteRef/>
      </w:r>
      <w:r w:rsidRPr="00D10EF8">
        <w:tab/>
      </w:r>
      <w:r w:rsidR="00865E37" w:rsidRPr="00D10EF8">
        <w:t xml:space="preserve">A/HRC/30/56, </w:t>
      </w:r>
      <w:r w:rsidR="002A7FA1">
        <w:t>par. </w:t>
      </w:r>
      <w:r w:rsidR="00865E37" w:rsidRPr="00D10EF8">
        <w:t>18</w:t>
      </w:r>
      <w:r w:rsidR="00BF73AB">
        <w:t> ;</w:t>
      </w:r>
      <w:r w:rsidR="00865E37" w:rsidRPr="00D10EF8">
        <w:t xml:space="preserve"> A/HRC/36/60/Add.1, </w:t>
      </w:r>
      <w:r w:rsidR="002A7FA1">
        <w:t>par. </w:t>
      </w:r>
      <w:r w:rsidR="00865E37" w:rsidRPr="00D10EF8">
        <w:t>33</w:t>
      </w:r>
      <w:r w:rsidR="00BF73AB">
        <w:t> ;</w:t>
      </w:r>
      <w:r w:rsidR="00865E37" w:rsidRPr="00D10EF8">
        <w:t xml:space="preserve"> A/HRC/38/33/Add.1, </w:t>
      </w:r>
      <w:r w:rsidR="002A7FA1">
        <w:t>par. </w:t>
      </w:r>
      <w:r w:rsidR="00865E37" w:rsidRPr="00D10EF8">
        <w:t>54 et 57</w:t>
      </w:r>
      <w:r w:rsidR="00BF73AB">
        <w:t> ;</w:t>
      </w:r>
      <w:r w:rsidR="00865E37" w:rsidRPr="00D10EF8">
        <w:t xml:space="preserve"> CERD/C/USA/CO/7-9, </w:t>
      </w:r>
      <w:r w:rsidR="002A7FA1">
        <w:t>par. </w:t>
      </w:r>
      <w:r w:rsidR="00865E37" w:rsidRPr="00D10EF8">
        <w:t>15</w:t>
      </w:r>
      <w:r w:rsidR="00BF73AB">
        <w:t> ;</w:t>
      </w:r>
      <w:r w:rsidR="00865E37" w:rsidRPr="00D10EF8">
        <w:t xml:space="preserve"> CERD/C/BRA/18-20, </w:t>
      </w:r>
      <w:r w:rsidR="002A7FA1">
        <w:t>par. </w:t>
      </w:r>
      <w:r w:rsidR="00865E37" w:rsidRPr="00D10EF8">
        <w:t>96 et 101</w:t>
      </w:r>
      <w:r w:rsidR="00BF73AB">
        <w:t> ;</w:t>
      </w:r>
      <w:r w:rsidR="00865E37" w:rsidRPr="00D10EF8">
        <w:t xml:space="preserve"> communication du Center for Reproductive Rights/National Birth Equity Collaborative</w:t>
      </w:r>
      <w:r w:rsidR="00BF73AB">
        <w:t> ;</w:t>
      </w:r>
      <w:r w:rsidR="00865E37" w:rsidRPr="00D10EF8">
        <w:t xml:space="preserve"> </w:t>
      </w:r>
      <w:hyperlink r:id="rId84" w:history="1">
        <w:r w:rsidR="00865E37" w:rsidRPr="00B07D6E">
          <w:rPr>
            <w:rStyle w:val="FollowedHyperlink"/>
          </w:rPr>
          <w:t>www.lawrencereview.co.uk</w:t>
        </w:r>
        <w:r w:rsidR="00865E37" w:rsidRPr="00D10EF8">
          <w:t>/</w:t>
        </w:r>
      </w:hyperlink>
      <w:r w:rsidR="00BF73AB">
        <w:t> ;</w:t>
      </w:r>
      <w:r w:rsidR="00865E37" w:rsidRPr="00D10EF8">
        <w:t xml:space="preserve"> </w:t>
      </w:r>
      <w:hyperlink r:id="rId85" w:history="1">
        <w:r w:rsidR="00865E37" w:rsidRPr="00B07D6E">
          <w:rPr>
            <w:rStyle w:val="FollowedHyperlink"/>
          </w:rPr>
          <w:t>www.europarl.europa.eu/doceo/document/TA-8-2019-0239_FR.html</w:t>
        </w:r>
      </w:hyperlink>
      <w:r w:rsidR="00BF73AB">
        <w:t> ;</w:t>
      </w:r>
      <w:r w:rsidR="00865E37" w:rsidRPr="00D10EF8">
        <w:t xml:space="preserve"> </w:t>
      </w:r>
      <w:hyperlink r:id="rId86" w:history="1">
        <w:r w:rsidR="00865E37" w:rsidRPr="00B07D6E">
          <w:rPr>
            <w:rStyle w:val="FollowedHyperlink"/>
          </w:rPr>
          <w:t>www.oas.org/en/iachr/afro-descendants/docs/pdf/afros_2011_eng.pdf</w:t>
        </w:r>
      </w:hyperlink>
      <w:r w:rsidR="00BF73AB">
        <w:t> ;</w:t>
      </w:r>
      <w:r w:rsidR="00865E37" w:rsidRPr="00D10EF8">
        <w:t xml:space="preserve"> </w:t>
      </w:r>
      <w:hyperlink r:id="rId87" w:history="1">
        <w:r w:rsidR="00865E37" w:rsidRPr="00B07D6E">
          <w:rPr>
            <w:rStyle w:val="FollowedHyperlink"/>
          </w:rPr>
          <w:t>www.cepal.org/sites/default/files/publication/files/</w:t>
        </w:r>
        <w:r w:rsidR="00B07D6E">
          <w:rPr>
            <w:rStyle w:val="FollowedHyperlink"/>
          </w:rPr>
          <w:t xml:space="preserve"> </w:t>
        </w:r>
        <w:r w:rsidR="00865E37" w:rsidRPr="00B07D6E">
          <w:rPr>
            <w:rStyle w:val="FollowedHyperlink"/>
          </w:rPr>
          <w:t>44387/S1800725_en.pdf</w:t>
        </w:r>
      </w:hyperlink>
      <w:r w:rsidR="00BF73AB">
        <w:t> ;</w:t>
      </w:r>
      <w:r w:rsidR="00865E37" w:rsidRPr="00D10EF8">
        <w:t xml:space="preserve"> </w:t>
      </w:r>
      <w:hyperlink r:id="rId88" w:history="1">
        <w:r w:rsidR="00865E37" w:rsidRPr="00B07D6E">
          <w:rPr>
            <w:rStyle w:val="FollowedHyperlink"/>
          </w:rPr>
          <w:t>https://iris.paho.org/handle/10665.2/51571</w:t>
        </w:r>
      </w:hyperlink>
      <w:r w:rsidR="00865E37" w:rsidRPr="00D10EF8">
        <w:t>.</w:t>
      </w:r>
    </w:p>
  </w:footnote>
  <w:footnote w:id="64">
    <w:p w14:paraId="325A176C" w14:textId="2203AF13" w:rsidR="00865E37" w:rsidRPr="00D10EF8" w:rsidRDefault="00C70607" w:rsidP="005B4367">
      <w:pPr>
        <w:pStyle w:val="FootnoteText"/>
      </w:pPr>
      <w:r w:rsidRPr="00D10EF8">
        <w:tab/>
      </w:r>
      <w:r w:rsidRPr="00093AC5">
        <w:rPr>
          <w:rStyle w:val="FootnoteReference"/>
        </w:rPr>
        <w:footnoteRef/>
      </w:r>
      <w:r w:rsidRPr="00D10EF8">
        <w:tab/>
      </w:r>
      <w:hyperlink r:id="rId89" w:history="1">
        <w:r w:rsidR="00865E37" w:rsidRPr="00B07D6E">
          <w:rPr>
            <w:rStyle w:val="FollowedHyperlink"/>
          </w:rPr>
          <w:t>https://healingthewoundsofslavery.org/wp-content/uploads/2021/04/UNESCO-GHFP_2020_Healing-the-Wounds-of-Slavey_Desk-Review_Report.pdf</w:t>
        </w:r>
      </w:hyperlink>
      <w:r w:rsidR="00B07D6E">
        <w:t>.</w:t>
      </w:r>
    </w:p>
  </w:footnote>
  <w:footnote w:id="65">
    <w:p w14:paraId="45416679" w14:textId="197ACD3A" w:rsidR="00865E37" w:rsidRPr="00D10EF8" w:rsidRDefault="00C70607" w:rsidP="005B4367">
      <w:pPr>
        <w:pStyle w:val="FootnoteText"/>
      </w:pPr>
      <w:r w:rsidRPr="00D10EF8">
        <w:tab/>
      </w:r>
      <w:r w:rsidRPr="00093AC5">
        <w:rPr>
          <w:rStyle w:val="FootnoteReference"/>
        </w:rPr>
        <w:footnoteRef/>
      </w:r>
      <w:r w:rsidRPr="00D10EF8">
        <w:tab/>
      </w:r>
      <w:r w:rsidR="00865E37" w:rsidRPr="00D10EF8">
        <w:t xml:space="preserve">A/74/274, </w:t>
      </w:r>
      <w:r w:rsidR="002A7FA1">
        <w:t>par. </w:t>
      </w:r>
      <w:r w:rsidR="00865E37" w:rsidRPr="00D10EF8">
        <w:t>21 et 52.</w:t>
      </w:r>
    </w:p>
  </w:footnote>
  <w:footnote w:id="66">
    <w:p w14:paraId="7904FA6F" w14:textId="6FCD86C7" w:rsidR="00865E37" w:rsidRPr="00D10EF8" w:rsidRDefault="00C70607" w:rsidP="005B4367">
      <w:pPr>
        <w:pStyle w:val="FootnoteText"/>
      </w:pPr>
      <w:r w:rsidRPr="00D10EF8">
        <w:tab/>
      </w:r>
      <w:r w:rsidRPr="00093AC5">
        <w:rPr>
          <w:rStyle w:val="FootnoteReference"/>
        </w:rPr>
        <w:footnoteRef/>
      </w:r>
      <w:r w:rsidRPr="00D10EF8">
        <w:tab/>
      </w:r>
      <w:hyperlink r:id="rId90" w:history="1">
        <w:r w:rsidR="00865E37" w:rsidRPr="00B07D6E">
          <w:rPr>
            <w:rStyle w:val="FollowedHyperlink"/>
          </w:rPr>
          <w:t>https://papers.ssrn.com/sol3/papers.cfm?abstract_id=3644684</w:t>
        </w:r>
      </w:hyperlink>
      <w:r w:rsidR="00865E37" w:rsidRPr="00D10EF8">
        <w:rPr>
          <w:kern w:val="36"/>
        </w:rPr>
        <w:t xml:space="preserve">, </w:t>
      </w:r>
      <w:r w:rsidR="002A7FA1">
        <w:t>p. </w:t>
      </w:r>
      <w:r w:rsidR="00865E37" w:rsidRPr="00D10EF8">
        <w:t xml:space="preserve">7. Voir également </w:t>
      </w:r>
      <w:hyperlink r:id="rId91" w:history="1">
        <w:r w:rsidR="00865E37" w:rsidRPr="00B07D6E">
          <w:rPr>
            <w:rStyle w:val="FollowedHyperlink"/>
          </w:rPr>
          <w:t>https://www.ama-assn.org/delivering-care/health-equity/ama-racism-threat-public-health</w:t>
        </w:r>
      </w:hyperlink>
      <w:r w:rsidR="00865E37" w:rsidRPr="00D10EF8">
        <w:t>.</w:t>
      </w:r>
    </w:p>
  </w:footnote>
  <w:footnote w:id="67">
    <w:p w14:paraId="4F08634B" w14:textId="74EDEDEC" w:rsidR="00865E37" w:rsidRPr="00D10EF8" w:rsidRDefault="00C70607" w:rsidP="005B4367">
      <w:pPr>
        <w:pStyle w:val="FootnoteText"/>
      </w:pPr>
      <w:r w:rsidRPr="00D10EF8">
        <w:tab/>
      </w:r>
      <w:r w:rsidRPr="00093AC5">
        <w:rPr>
          <w:rStyle w:val="FootnoteReference"/>
        </w:rPr>
        <w:footnoteRef/>
      </w:r>
      <w:r w:rsidRPr="00D10EF8">
        <w:tab/>
      </w:r>
      <w:hyperlink r:id="rId92" w:history="1">
        <w:r w:rsidR="00865E37" w:rsidRPr="00B07D6E">
          <w:rPr>
            <w:rStyle w:val="FollowedHyperlink"/>
          </w:rPr>
          <w:t>https://www.gov.uk/government/news/government-working-with-midwives-medical-experts-and-academics-to-investigate-bame-maternal-mortality</w:t>
        </w:r>
      </w:hyperlink>
      <w:r w:rsidR="00865E37" w:rsidRPr="00D10EF8">
        <w:t>.</w:t>
      </w:r>
    </w:p>
  </w:footnote>
  <w:footnote w:id="68">
    <w:p w14:paraId="0FD60E8A" w14:textId="21BEFABE" w:rsidR="00865E37" w:rsidRPr="00B07D6E" w:rsidRDefault="00C70607" w:rsidP="005B4367">
      <w:pPr>
        <w:pStyle w:val="FootnoteText"/>
        <w:rPr>
          <w:lang w:val="en-US"/>
        </w:rPr>
      </w:pPr>
      <w:r w:rsidRPr="00D10EF8">
        <w:tab/>
      </w:r>
      <w:r w:rsidRPr="00093AC5">
        <w:rPr>
          <w:rStyle w:val="FootnoteReference"/>
        </w:rPr>
        <w:footnoteRef/>
      </w:r>
      <w:r w:rsidRPr="00D10EF8">
        <w:tab/>
      </w:r>
      <w:r w:rsidR="00865E37" w:rsidRPr="00D10EF8">
        <w:t xml:space="preserve">A/HRC/45/44, </w:t>
      </w:r>
      <w:r w:rsidR="002A7FA1">
        <w:t>par. </w:t>
      </w:r>
      <w:r w:rsidR="00865E37" w:rsidRPr="00D10EF8">
        <w:t>14, 16 et 67</w:t>
      </w:r>
      <w:r w:rsidR="00BF73AB">
        <w:t> ;</w:t>
      </w:r>
      <w:r w:rsidR="00865E37" w:rsidRPr="00D10EF8">
        <w:t xml:space="preserve"> A/HRC/45/47, </w:t>
      </w:r>
      <w:r w:rsidR="002A7FA1">
        <w:t>par. </w:t>
      </w:r>
      <w:r w:rsidR="00865E37" w:rsidRPr="00D10EF8">
        <w:t>8</w:t>
      </w:r>
      <w:r w:rsidR="00BF73AB">
        <w:t> ;</w:t>
      </w:r>
      <w:r w:rsidR="00865E37" w:rsidRPr="00D10EF8">
        <w:t xml:space="preserve"> </w:t>
      </w:r>
      <w:hyperlink r:id="rId93" w:history="1">
        <w:r w:rsidR="00865E37" w:rsidRPr="00B07D6E">
          <w:rPr>
            <w:rStyle w:val="FollowedHyperlink"/>
          </w:rPr>
          <w:t>https://www.ohchr.org/sites/default/files/</w:t>
        </w:r>
        <w:r w:rsidR="0050093C">
          <w:rPr>
            <w:rStyle w:val="FollowedHyperlink"/>
          </w:rPr>
          <w:t xml:space="preserve"> </w:t>
        </w:r>
        <w:r w:rsidR="00865E37" w:rsidRPr="00B07D6E">
          <w:rPr>
            <w:rStyle w:val="FollowedHyperlink"/>
          </w:rPr>
          <w:t>Documents/Issues/Racism/COVID-19_and_Racial_Discrimination_FR.pd</w:t>
        </w:r>
        <w:r w:rsidR="00865E37" w:rsidRPr="00D10EF8">
          <w:t>f</w:t>
        </w:r>
      </w:hyperlink>
      <w:r w:rsidR="00BF73AB">
        <w:t> ;</w:t>
      </w:r>
      <w:r w:rsidR="00865E37" w:rsidRPr="00D10EF8">
        <w:t xml:space="preserve"> </w:t>
      </w:r>
      <w:hyperlink r:id="rId94" w:history="1">
        <w:r w:rsidR="00865E37" w:rsidRPr="00B07D6E">
          <w:rPr>
            <w:rStyle w:val="FollowedHyperlink"/>
          </w:rPr>
          <w:t>www.ohchr.org/EN/</w:t>
        </w:r>
        <w:r w:rsidR="0050093C">
          <w:rPr>
            <w:rStyle w:val="FollowedHyperlink"/>
          </w:rPr>
          <w:t xml:space="preserve"> </w:t>
        </w:r>
        <w:r w:rsidR="00865E37" w:rsidRPr="00B07D6E">
          <w:rPr>
            <w:rStyle w:val="FollowedHyperlink"/>
          </w:rPr>
          <w:t>NewsEvents/Pages/DisplayNews.aspx?</w:t>
        </w:r>
        <w:r w:rsidR="00B07D6E">
          <w:rPr>
            <w:rStyle w:val="FollowedHyperlink"/>
          </w:rPr>
          <w:t xml:space="preserve"> </w:t>
        </w:r>
        <w:r w:rsidR="00865E37" w:rsidRPr="00B07D6E">
          <w:rPr>
            <w:rStyle w:val="FollowedHyperlink"/>
            <w:lang w:val="en-US"/>
          </w:rPr>
          <w:t>NewsID=25916</w:t>
        </w:r>
      </w:hyperlink>
      <w:r w:rsidR="00BF73AB">
        <w:rPr>
          <w:lang w:val="en-US"/>
        </w:rPr>
        <w:t> ;</w:t>
      </w:r>
      <w:r w:rsidR="00865E37" w:rsidRPr="00B07D6E">
        <w:rPr>
          <w:lang w:val="en-US"/>
        </w:rPr>
        <w:t xml:space="preserve"> communication de Human Rights Watch</w:t>
      </w:r>
      <w:r w:rsidR="00BF73AB">
        <w:rPr>
          <w:lang w:val="en-US"/>
        </w:rPr>
        <w:t> ;</w:t>
      </w:r>
      <w:r w:rsidR="00865E37" w:rsidRPr="00B07D6E">
        <w:rPr>
          <w:lang w:val="en-US"/>
        </w:rPr>
        <w:t xml:space="preserve"> </w:t>
      </w:r>
      <w:hyperlink r:id="rId95" w:history="1">
        <w:r w:rsidR="00865E37" w:rsidRPr="00B07D6E">
          <w:rPr>
            <w:rStyle w:val="FollowedHyperlink"/>
            <w:lang w:val="en-US"/>
          </w:rPr>
          <w:t>https://www.lawrencereview.co.uk/</w:t>
        </w:r>
      </w:hyperlink>
      <w:r w:rsidR="00865E37" w:rsidRPr="00B07D6E">
        <w:rPr>
          <w:lang w:val="en-US"/>
        </w:rPr>
        <w:t xml:space="preserve">, </w:t>
      </w:r>
      <w:r w:rsidR="002A7FA1">
        <w:rPr>
          <w:lang w:val="en-US"/>
        </w:rPr>
        <w:t>p. </w:t>
      </w:r>
      <w:r w:rsidR="00865E37" w:rsidRPr="00B07D6E">
        <w:rPr>
          <w:lang w:val="en-US"/>
        </w:rPr>
        <w:t>24</w:t>
      </w:r>
      <w:r w:rsidR="00BF73AB">
        <w:rPr>
          <w:lang w:val="en-US"/>
        </w:rPr>
        <w:t> ;</w:t>
      </w:r>
      <w:r w:rsidR="00865E37" w:rsidRPr="00B07D6E">
        <w:rPr>
          <w:lang w:val="en-US"/>
        </w:rPr>
        <w:t xml:space="preserve"> </w:t>
      </w:r>
      <w:hyperlink r:id="rId96" w:history="1">
        <w:r w:rsidR="00865E37" w:rsidRPr="00B07D6E">
          <w:rPr>
            <w:rStyle w:val="FollowedHyperlink"/>
            <w:lang w:val="en-US"/>
          </w:rPr>
          <w:t>https://www.ncbi.nlm.nih.gov/pmc/articles/</w:t>
        </w:r>
        <w:r w:rsidR="0050093C">
          <w:rPr>
            <w:rStyle w:val="FollowedHyperlink"/>
            <w:lang w:val="en-US"/>
          </w:rPr>
          <w:t xml:space="preserve"> </w:t>
        </w:r>
        <w:r w:rsidR="00865E37" w:rsidRPr="00B07D6E">
          <w:rPr>
            <w:rStyle w:val="FollowedHyperlink"/>
            <w:lang w:val="en-US"/>
          </w:rPr>
          <w:t>PMC7441277/</w:t>
        </w:r>
      </w:hyperlink>
      <w:r w:rsidR="00BF73AB">
        <w:rPr>
          <w:lang w:val="en-US"/>
        </w:rPr>
        <w:t> ;</w:t>
      </w:r>
      <w:r w:rsidR="00865E37" w:rsidRPr="00B07D6E">
        <w:rPr>
          <w:lang w:val="en-US"/>
        </w:rPr>
        <w:t xml:space="preserve"> </w:t>
      </w:r>
      <w:hyperlink r:id="rId97" w:history="1">
        <w:r w:rsidR="00865E37" w:rsidRPr="00B07D6E">
          <w:rPr>
            <w:rStyle w:val="FollowedHyperlink"/>
            <w:lang w:val="en-US"/>
          </w:rPr>
          <w:t>https://www.adl.org/education/resources/tools-and-strategies/how-systemic-racism-impacts-coronavirus-racial-disparities</w:t>
        </w:r>
      </w:hyperlink>
      <w:r w:rsidR="00BF73AB">
        <w:rPr>
          <w:lang w:val="en-US"/>
        </w:rPr>
        <w:t> ;</w:t>
      </w:r>
      <w:r w:rsidR="00865E37" w:rsidRPr="00B07D6E">
        <w:rPr>
          <w:lang w:val="en-US"/>
        </w:rPr>
        <w:t xml:space="preserve"> </w:t>
      </w:r>
      <w:hyperlink r:id="rId98" w:history="1">
        <w:r w:rsidR="00865E37" w:rsidRPr="00B07D6E">
          <w:rPr>
            <w:rStyle w:val="FollowedHyperlink"/>
            <w:lang w:val="en-US"/>
          </w:rPr>
          <w:t>https://www.thelancet.com/action/showPdf?pii=S2589-5370%2820%2930374-6</w:t>
        </w:r>
      </w:hyperlink>
      <w:r w:rsidR="00865E37" w:rsidRPr="00B07D6E">
        <w:rPr>
          <w:lang w:val="en-US"/>
        </w:rPr>
        <w:t>.</w:t>
      </w:r>
    </w:p>
  </w:footnote>
  <w:footnote w:id="69">
    <w:p w14:paraId="21F872E4" w14:textId="1D6B54C6" w:rsidR="00865E37" w:rsidRPr="00DA5E7E" w:rsidRDefault="00C70607" w:rsidP="005B4367">
      <w:pPr>
        <w:pStyle w:val="FootnoteText"/>
        <w:rPr>
          <w:lang w:val="en-US"/>
        </w:rPr>
      </w:pPr>
      <w:r w:rsidRPr="00DA5E7E">
        <w:rPr>
          <w:lang w:val="en-US"/>
        </w:rPr>
        <w:tab/>
      </w:r>
      <w:r w:rsidRPr="00093AC5">
        <w:rPr>
          <w:rStyle w:val="FootnoteReference"/>
        </w:rPr>
        <w:footnoteRef/>
      </w:r>
      <w:r w:rsidRPr="00DA5E7E">
        <w:rPr>
          <w:lang w:val="en-US"/>
        </w:rPr>
        <w:tab/>
      </w:r>
      <w:r w:rsidR="00865E37" w:rsidRPr="00DA5E7E">
        <w:rPr>
          <w:lang w:val="en-US"/>
        </w:rPr>
        <w:t>A/HRC/45/44</w:t>
      </w:r>
      <w:r w:rsidR="00BF73AB">
        <w:rPr>
          <w:lang w:val="en-US"/>
        </w:rPr>
        <w:t> ;</w:t>
      </w:r>
      <w:r w:rsidR="00865E37" w:rsidRPr="00DA5E7E">
        <w:rPr>
          <w:lang w:val="en-US"/>
        </w:rPr>
        <w:t xml:space="preserve"> </w:t>
      </w:r>
      <w:hyperlink r:id="rId99" w:history="1">
        <w:r w:rsidR="00865E37" w:rsidRPr="004A035C">
          <w:rPr>
            <w:rStyle w:val="FollowedHyperlink"/>
            <w:lang w:val="en-US"/>
          </w:rPr>
          <w:t>https://www.ohchr.org/sites/default/files/Documents/Issues/Racism/COVID-19_and_Racial_Discrimination_FR.pdf</w:t>
        </w:r>
      </w:hyperlink>
      <w:r w:rsidR="00865E37" w:rsidRPr="00DA5E7E">
        <w:rPr>
          <w:lang w:val="en-US"/>
        </w:rPr>
        <w:t>.</w:t>
      </w:r>
    </w:p>
  </w:footnote>
  <w:footnote w:id="70">
    <w:p w14:paraId="535C557E" w14:textId="459EE18F" w:rsidR="00865E37" w:rsidRPr="00D10EF8" w:rsidRDefault="00C70607" w:rsidP="005B4367">
      <w:pPr>
        <w:pStyle w:val="FootnoteText"/>
        <w:rPr>
          <w:lang w:val="fr-FR"/>
        </w:rPr>
      </w:pPr>
      <w:r w:rsidRPr="00DA5E7E">
        <w:rPr>
          <w:lang w:val="en-US"/>
        </w:rPr>
        <w:tab/>
      </w:r>
      <w:r w:rsidRPr="00093AC5">
        <w:rPr>
          <w:rStyle w:val="FootnoteReference"/>
        </w:rPr>
        <w:footnoteRef/>
      </w:r>
      <w:r w:rsidRPr="00DA5E7E">
        <w:rPr>
          <w:lang w:val="en-US"/>
        </w:rPr>
        <w:tab/>
      </w:r>
      <w:hyperlink r:id="rId100" w:history="1">
        <w:r w:rsidR="00865E37" w:rsidRPr="004A035C">
          <w:rPr>
            <w:rStyle w:val="FollowedHyperlink"/>
            <w:lang w:val="en-US"/>
          </w:rPr>
          <w:t>http://sobadev.iamempowered.com/sites/soba.iamempowered.com/files/NUL-SOBA-2020-ES-web.pdf</w:t>
        </w:r>
      </w:hyperlink>
      <w:r w:rsidR="00865E37" w:rsidRPr="00DA5E7E">
        <w:rPr>
          <w:lang w:val="en-US"/>
        </w:rPr>
        <w:t xml:space="preserve">, </w:t>
      </w:r>
      <w:r w:rsidR="002A7FA1" w:rsidRPr="00DA5E7E">
        <w:rPr>
          <w:lang w:val="en-US"/>
        </w:rPr>
        <w:t>p. </w:t>
      </w:r>
      <w:r w:rsidR="00865E37" w:rsidRPr="00DA5E7E">
        <w:rPr>
          <w:lang w:val="en-US"/>
        </w:rPr>
        <w:t xml:space="preserve">3. </w:t>
      </w:r>
      <w:r w:rsidR="00865E37" w:rsidRPr="00D10EF8">
        <w:rPr>
          <w:lang w:val="fr-FR"/>
        </w:rPr>
        <w:t xml:space="preserve">Voir également A/HRC/45/44, </w:t>
      </w:r>
      <w:r w:rsidR="002A7FA1">
        <w:rPr>
          <w:lang w:val="fr-FR"/>
        </w:rPr>
        <w:t>par. </w:t>
      </w:r>
      <w:r w:rsidR="00865E37" w:rsidRPr="00D10EF8">
        <w:rPr>
          <w:lang w:val="fr-FR"/>
        </w:rPr>
        <w:t>37</w:t>
      </w:r>
      <w:r w:rsidR="00BF73AB">
        <w:rPr>
          <w:lang w:val="fr-FR"/>
        </w:rPr>
        <w:t> ;</w:t>
      </w:r>
      <w:r w:rsidR="00865E37" w:rsidRPr="00D10EF8">
        <w:rPr>
          <w:lang w:val="fr-FR"/>
        </w:rPr>
        <w:t xml:space="preserve"> </w:t>
      </w:r>
      <w:hyperlink r:id="rId101" w:history="1">
        <w:r w:rsidR="00865E37" w:rsidRPr="0050093C">
          <w:rPr>
            <w:rStyle w:val="FollowedHyperlink"/>
          </w:rPr>
          <w:t>https://www.ncbi.nlm.nih.gov/pmc/</w:t>
        </w:r>
        <w:r w:rsidR="0050093C">
          <w:rPr>
            <w:rStyle w:val="FollowedHyperlink"/>
          </w:rPr>
          <w:t xml:space="preserve"> </w:t>
        </w:r>
        <w:r w:rsidR="00865E37" w:rsidRPr="0050093C">
          <w:rPr>
            <w:rStyle w:val="FollowedHyperlink"/>
          </w:rPr>
          <w:t>articles/PMC7441277/</w:t>
        </w:r>
      </w:hyperlink>
      <w:r w:rsidR="00865E37" w:rsidRPr="00D10EF8">
        <w:rPr>
          <w:lang w:val="fr-FR"/>
        </w:rPr>
        <w:t>.</w:t>
      </w:r>
    </w:p>
  </w:footnote>
  <w:footnote w:id="71">
    <w:p w14:paraId="18489340" w14:textId="53DADB09" w:rsidR="00865E37" w:rsidRPr="00D10EF8" w:rsidRDefault="00C70607" w:rsidP="005B4367">
      <w:pPr>
        <w:pStyle w:val="FootnoteText"/>
      </w:pPr>
      <w:r w:rsidRPr="00D10EF8">
        <w:tab/>
      </w:r>
      <w:r w:rsidRPr="00093AC5">
        <w:rPr>
          <w:rStyle w:val="FootnoteReference"/>
        </w:rPr>
        <w:footnoteRef/>
      </w:r>
      <w:r w:rsidRPr="00D10EF8">
        <w:tab/>
      </w:r>
      <w:hyperlink r:id="rId102" w:history="1">
        <w:r w:rsidR="00865E37" w:rsidRPr="0050093C">
          <w:rPr>
            <w:rStyle w:val="FollowedHyperlink"/>
          </w:rPr>
          <w:t>https://www.ft.com/content/5fd6ab18-be4a-48de-b887-8478a391dd72</w:t>
        </w:r>
      </w:hyperlink>
      <w:r w:rsidR="00865E37" w:rsidRPr="00D10EF8">
        <w:t>.</w:t>
      </w:r>
    </w:p>
  </w:footnote>
  <w:footnote w:id="72">
    <w:p w14:paraId="3345B4E0" w14:textId="4B3EF5B6" w:rsidR="00865E37" w:rsidRPr="00721042" w:rsidRDefault="00C70607" w:rsidP="005B4367">
      <w:pPr>
        <w:pStyle w:val="FootnoteText"/>
      </w:pPr>
      <w:r w:rsidRPr="00D10EF8">
        <w:tab/>
      </w:r>
      <w:r w:rsidRPr="00093AC5">
        <w:rPr>
          <w:rStyle w:val="FootnoteReference"/>
        </w:rPr>
        <w:footnoteRef/>
      </w:r>
      <w:r w:rsidRPr="00721042">
        <w:tab/>
      </w:r>
      <w:r w:rsidRPr="00721042">
        <w:tab/>
      </w:r>
      <w:hyperlink r:id="rId103" w:history="1">
        <w:r w:rsidR="00865E37" w:rsidRPr="00721042">
          <w:rPr>
            <w:rStyle w:val="FollowedHyperlink"/>
          </w:rPr>
          <w:t>https://www.ohchr.org/EN/NewsEvents/Pages/DisplayNews.aspx?NewsID=25916&amp;LangID=E</w:t>
        </w:r>
      </w:hyperlink>
      <w:r w:rsidR="00865E37" w:rsidRPr="00721042">
        <w:t>.</w:t>
      </w:r>
    </w:p>
  </w:footnote>
  <w:footnote w:id="73">
    <w:p w14:paraId="1438B8D0" w14:textId="0AB363CD" w:rsidR="00865E37" w:rsidRPr="00D10EF8" w:rsidRDefault="00C70607" w:rsidP="005B4367">
      <w:pPr>
        <w:pStyle w:val="FootnoteText"/>
      </w:pPr>
      <w:r w:rsidRPr="00721042">
        <w:tab/>
      </w:r>
      <w:r w:rsidRPr="00093AC5">
        <w:rPr>
          <w:rStyle w:val="FootnoteReference"/>
        </w:rPr>
        <w:footnoteRef/>
      </w:r>
      <w:r w:rsidRPr="00D10EF8">
        <w:tab/>
      </w:r>
      <w:r w:rsidR="00865E37" w:rsidRPr="00D10EF8">
        <w:t xml:space="preserve">A/HRC/45/44, </w:t>
      </w:r>
      <w:r w:rsidR="002A7FA1">
        <w:t>par. </w:t>
      </w:r>
      <w:r w:rsidR="00865E37" w:rsidRPr="00D10EF8">
        <w:t>37.</w:t>
      </w:r>
    </w:p>
  </w:footnote>
  <w:footnote w:id="74">
    <w:p w14:paraId="5F16C952" w14:textId="46D2C06E" w:rsidR="00865E37" w:rsidRPr="00D10EF8" w:rsidRDefault="00C70607" w:rsidP="005B4367">
      <w:pPr>
        <w:pStyle w:val="FootnoteText"/>
      </w:pPr>
      <w:r w:rsidRPr="00D10EF8">
        <w:tab/>
      </w:r>
      <w:r w:rsidRPr="00093AC5">
        <w:rPr>
          <w:rStyle w:val="FootnoteReference"/>
        </w:rPr>
        <w:footnoteRef/>
      </w:r>
      <w:r w:rsidRPr="00D10EF8">
        <w:tab/>
      </w:r>
      <w:hyperlink r:id="rId104" w:history="1">
        <w:r w:rsidR="00865E37" w:rsidRPr="0050093C">
          <w:rPr>
            <w:rStyle w:val="FollowedHyperlink"/>
          </w:rPr>
          <w:t>https://spcommreports.ohchr.org/TMResultsBase/DownLoadPublicCommunicationFile?gId=25213</w:t>
        </w:r>
      </w:hyperlink>
      <w:r w:rsidR="00865E37" w:rsidRPr="00D10EF8">
        <w:t>.</w:t>
      </w:r>
    </w:p>
  </w:footnote>
  <w:footnote w:id="75">
    <w:p w14:paraId="08362CC1" w14:textId="25642AED" w:rsidR="00865E37" w:rsidRPr="00D10EF8" w:rsidRDefault="00C70607" w:rsidP="005B4367">
      <w:pPr>
        <w:pStyle w:val="FootnoteText"/>
      </w:pPr>
      <w:r w:rsidRPr="00D10EF8">
        <w:tab/>
      </w:r>
      <w:r w:rsidRPr="00093AC5">
        <w:rPr>
          <w:rStyle w:val="FootnoteReference"/>
        </w:rPr>
        <w:footnoteRef/>
      </w:r>
      <w:r w:rsidRPr="00D10EF8">
        <w:tab/>
      </w:r>
      <w:r w:rsidR="00865E37" w:rsidRPr="00D10EF8">
        <w:t xml:space="preserve">CERD/C/GC/36, </w:t>
      </w:r>
      <w:r w:rsidR="002A7FA1">
        <w:t>par. </w:t>
      </w:r>
      <w:r w:rsidR="00865E37" w:rsidRPr="00D10EF8">
        <w:t>12</w:t>
      </w:r>
      <w:r w:rsidR="00BF73AB">
        <w:t> ;</w:t>
      </w:r>
      <w:r w:rsidR="00865E37" w:rsidRPr="00D10EF8">
        <w:t xml:space="preserve"> voir également A/HRC/44/57</w:t>
      </w:r>
      <w:r w:rsidR="00BF73AB">
        <w:t> ;</w:t>
      </w:r>
      <w:r w:rsidR="00865E37" w:rsidRPr="00D10EF8">
        <w:t xml:space="preserve"> </w:t>
      </w:r>
      <w:hyperlink r:id="rId105" w:history="1">
        <w:r w:rsidR="00865E37" w:rsidRPr="0050093C">
          <w:rPr>
            <w:rStyle w:val="FollowedHyperlink"/>
          </w:rPr>
          <w:t>https://ainowinstitute.org/discriminatingsystems.pdf</w:t>
        </w:r>
      </w:hyperlink>
      <w:r w:rsidR="00865E37" w:rsidRPr="00D10EF8">
        <w:t>.</w:t>
      </w:r>
    </w:p>
  </w:footnote>
  <w:footnote w:id="76">
    <w:p w14:paraId="215F930D" w14:textId="5EB83E42" w:rsidR="00865E37" w:rsidRPr="00D10EF8" w:rsidRDefault="000F7152" w:rsidP="005B4367">
      <w:pPr>
        <w:pStyle w:val="FootnoteText"/>
      </w:pPr>
      <w:r w:rsidRPr="00D10EF8">
        <w:tab/>
      </w:r>
      <w:r w:rsidRPr="00093AC5">
        <w:rPr>
          <w:rStyle w:val="FootnoteReference"/>
        </w:rPr>
        <w:footnoteRef/>
      </w:r>
      <w:r w:rsidRPr="00D10EF8">
        <w:tab/>
      </w:r>
      <w:hyperlink r:id="rId106" w:history="1">
        <w:r w:rsidR="00865E37" w:rsidRPr="00350D4B">
          <w:rPr>
            <w:rStyle w:val="FollowedHyperlink"/>
          </w:rPr>
          <w:t>https://ainowinstitute.org/discriminatingsystems.pdf</w:t>
        </w:r>
      </w:hyperlink>
      <w:r w:rsidR="00865E37" w:rsidRPr="00D10EF8">
        <w:t xml:space="preserve">, </w:t>
      </w:r>
      <w:r w:rsidR="002A7FA1">
        <w:t>p. </w:t>
      </w:r>
      <w:r w:rsidR="00865E37" w:rsidRPr="00D10EF8">
        <w:t>15 et 16</w:t>
      </w:r>
      <w:r w:rsidR="00BF73AB">
        <w:t> ;</w:t>
      </w:r>
      <w:r w:rsidR="00865E37" w:rsidRPr="00D10EF8">
        <w:t xml:space="preserve"> A/HRC/44/57, </w:t>
      </w:r>
      <w:r w:rsidR="002A7FA1">
        <w:t>par. </w:t>
      </w:r>
      <w:r w:rsidR="00865E37" w:rsidRPr="00D10EF8">
        <w:t>30</w:t>
      </w:r>
      <w:r w:rsidR="00BF73AB">
        <w:t> ;</w:t>
      </w:r>
      <w:r w:rsidR="00865E37" w:rsidRPr="00D10EF8">
        <w:t xml:space="preserve"> </w:t>
      </w:r>
      <w:hyperlink r:id="rId107" w:history="1">
        <w:r w:rsidR="00865E37" w:rsidRPr="00350D4B">
          <w:rPr>
            <w:rStyle w:val="FollowedHyperlink"/>
          </w:rPr>
          <w:t>https://science.sciencemag.org/content/sci/366/6464/447.full.pdf</w:t>
        </w:r>
      </w:hyperlink>
      <w:r w:rsidR="00BF73AB">
        <w:t> ;</w:t>
      </w:r>
      <w:hyperlink r:id="rId108" w:history="1">
        <w:r w:rsidR="00865E37" w:rsidRPr="00350D4B">
          <w:rPr>
            <w:rStyle w:val="FollowedHyperlink"/>
          </w:rPr>
          <w:t>https://dl.acm.org/doi/10.1145/3287560.3287593</w:t>
        </w:r>
      </w:hyperlink>
      <w:r w:rsidR="00BF73AB">
        <w:t> ;</w:t>
      </w:r>
      <w:r w:rsidR="00865E37" w:rsidRPr="00D10EF8">
        <w:t xml:space="preserve"> </w:t>
      </w:r>
      <w:hyperlink r:id="rId109" w:history="1">
        <w:r w:rsidR="00865E37" w:rsidRPr="00350D4B">
          <w:rPr>
            <w:rStyle w:val="FollowedHyperlink"/>
          </w:rPr>
          <w:t>https://www.nejm.org/doi/pdf/10.1056/NEJMms2004740</w:t>
        </w:r>
      </w:hyperlink>
      <w:r w:rsidR="00865E37" w:rsidRPr="00D10EF8">
        <w:t>.</w:t>
      </w:r>
    </w:p>
  </w:footnote>
  <w:footnote w:id="77">
    <w:p w14:paraId="6A991045" w14:textId="278A5C39" w:rsidR="00865E37" w:rsidRPr="00D10EF8" w:rsidRDefault="000F7152" w:rsidP="005B4367">
      <w:pPr>
        <w:pStyle w:val="FootnoteText"/>
      </w:pPr>
      <w:r w:rsidRPr="00D10EF8">
        <w:tab/>
      </w:r>
      <w:r w:rsidRPr="00093AC5">
        <w:rPr>
          <w:rStyle w:val="FootnoteReference"/>
        </w:rPr>
        <w:footnoteRef/>
      </w:r>
      <w:r w:rsidRPr="00D10EF8">
        <w:tab/>
      </w:r>
      <w:hyperlink r:id="rId110" w:history="1">
        <w:r w:rsidR="00865E37" w:rsidRPr="00350D4B">
          <w:rPr>
            <w:rStyle w:val="FollowedHyperlink"/>
          </w:rPr>
          <w:t>https://algorithmwatch.ch/fr/racial-health-bias/</w:t>
        </w:r>
      </w:hyperlink>
      <w:r w:rsidR="00865E37" w:rsidRPr="00D10EF8">
        <w:t>.</w:t>
      </w:r>
    </w:p>
  </w:footnote>
  <w:footnote w:id="78">
    <w:p w14:paraId="0D1209E6" w14:textId="165E9E19" w:rsidR="00865E37" w:rsidRPr="00D10EF8" w:rsidRDefault="000F7152" w:rsidP="005B4367">
      <w:pPr>
        <w:pStyle w:val="FootnoteText"/>
      </w:pPr>
      <w:r w:rsidRPr="00D10EF8">
        <w:tab/>
      </w:r>
      <w:r w:rsidRPr="00093AC5">
        <w:rPr>
          <w:rStyle w:val="FootnoteReference"/>
        </w:rPr>
        <w:footnoteRef/>
      </w:r>
      <w:r w:rsidRPr="00D10EF8">
        <w:tab/>
      </w:r>
      <w:r w:rsidR="00865E37" w:rsidRPr="00D10EF8">
        <w:t xml:space="preserve">A/HRC/44/57, </w:t>
      </w:r>
      <w:r w:rsidR="002A7FA1">
        <w:t>par. </w:t>
      </w:r>
      <w:r w:rsidR="00865E37" w:rsidRPr="00D10EF8">
        <w:t>32</w:t>
      </w:r>
      <w:r w:rsidR="00BF73AB">
        <w:t> ;</w:t>
      </w:r>
      <w:r w:rsidR="00865E37" w:rsidRPr="00D10EF8">
        <w:t xml:space="preserve"> voir également </w:t>
      </w:r>
      <w:hyperlink r:id="rId111" w:history="1">
        <w:r w:rsidR="00865E37" w:rsidRPr="00350D4B">
          <w:rPr>
            <w:rStyle w:val="FollowedHyperlink"/>
          </w:rPr>
          <w:t>https://www.propublica.org/article/facebook-lets-advertisers-exclude-users-by-race</w:t>
        </w:r>
      </w:hyperlink>
      <w:r w:rsidR="00BF73AB">
        <w:t> ;</w:t>
      </w:r>
      <w:r w:rsidR="00865E37" w:rsidRPr="00D10EF8">
        <w:t xml:space="preserve"> </w:t>
      </w:r>
      <w:hyperlink r:id="rId112" w:history="1">
        <w:r w:rsidR="00865E37" w:rsidRPr="00350D4B">
          <w:rPr>
            <w:rStyle w:val="FollowedHyperlink"/>
          </w:rPr>
          <w:t>https://ainowinstitute.org/discriminatingsystems.pdf</w:t>
        </w:r>
      </w:hyperlink>
      <w:r w:rsidR="00865E37" w:rsidRPr="00D10EF8">
        <w:t xml:space="preserve">, </w:t>
      </w:r>
      <w:r w:rsidR="002A7FA1">
        <w:t>p. </w:t>
      </w:r>
      <w:r w:rsidR="00865E37" w:rsidRPr="00D10EF8">
        <w:t>15.</w:t>
      </w:r>
    </w:p>
  </w:footnote>
  <w:footnote w:id="79">
    <w:p w14:paraId="08128670" w14:textId="095C645A" w:rsidR="00865E37" w:rsidRPr="00D10EF8" w:rsidRDefault="000F7152" w:rsidP="005B4367">
      <w:pPr>
        <w:pStyle w:val="FootnoteText"/>
      </w:pPr>
      <w:r w:rsidRPr="00D10EF8">
        <w:tab/>
      </w:r>
      <w:r w:rsidRPr="00093AC5">
        <w:rPr>
          <w:rStyle w:val="FootnoteReference"/>
        </w:rPr>
        <w:footnoteRef/>
      </w:r>
      <w:r w:rsidRPr="00D10EF8">
        <w:tab/>
      </w:r>
      <w:r w:rsidR="00865E37" w:rsidRPr="00D10EF8">
        <w:t xml:space="preserve">Par exemple, </w:t>
      </w:r>
      <w:hyperlink r:id="rId113" w:history="1">
        <w:r w:rsidR="00865E37" w:rsidRPr="00350D4B">
          <w:rPr>
            <w:rStyle w:val="FollowedHyperlink"/>
          </w:rPr>
          <w:t>https://themarkup.org/news/2021/05/26/nycs-school-algorithms-cement-segregation-this-data-shows-how</w:t>
        </w:r>
      </w:hyperlink>
      <w:r w:rsidR="00865E37" w:rsidRPr="00D10EF8">
        <w:t>.</w:t>
      </w:r>
    </w:p>
  </w:footnote>
  <w:footnote w:id="80">
    <w:p w14:paraId="49BC2DE9" w14:textId="2E00573C" w:rsidR="00865E37" w:rsidRPr="00D10EF8" w:rsidRDefault="000F7152" w:rsidP="005B4367">
      <w:pPr>
        <w:pStyle w:val="FootnoteText"/>
      </w:pPr>
      <w:r w:rsidRPr="00D10EF8">
        <w:tab/>
      </w:r>
      <w:r w:rsidRPr="00093AC5">
        <w:rPr>
          <w:rStyle w:val="FootnoteReference"/>
        </w:rPr>
        <w:footnoteRef/>
      </w:r>
      <w:r w:rsidRPr="00D10EF8">
        <w:tab/>
      </w:r>
      <w:r w:rsidR="00865E37" w:rsidRPr="00D10EF8">
        <w:t xml:space="preserve">A/75/590, </w:t>
      </w:r>
      <w:r w:rsidR="002A7FA1">
        <w:t>par. </w:t>
      </w:r>
      <w:r w:rsidR="00865E37" w:rsidRPr="00D10EF8">
        <w:t>9</w:t>
      </w:r>
      <w:r w:rsidR="00BF73AB">
        <w:t> ;</w:t>
      </w:r>
      <w:r w:rsidR="00865E37" w:rsidRPr="00D10EF8">
        <w:t xml:space="preserve"> </w:t>
      </w:r>
      <w:hyperlink r:id="rId114" w:history="1">
        <w:r w:rsidR="00865E37" w:rsidRPr="00350D4B">
          <w:rPr>
            <w:rStyle w:val="FollowedHyperlink"/>
          </w:rPr>
          <w:t>https://papers.ssrn.com/sol3/papers.cfm?abstract_id=3714297</w:t>
        </w:r>
      </w:hyperlink>
      <w:r w:rsidR="00865E37" w:rsidRPr="00D10EF8">
        <w:t>.</w:t>
      </w:r>
    </w:p>
  </w:footnote>
  <w:footnote w:id="81">
    <w:p w14:paraId="533A1876" w14:textId="34563740" w:rsidR="00865E37" w:rsidRPr="00D10EF8" w:rsidRDefault="000F7152" w:rsidP="005B4367">
      <w:pPr>
        <w:pStyle w:val="FootnoteText"/>
      </w:pPr>
      <w:r w:rsidRPr="00D10EF8">
        <w:tab/>
      </w:r>
      <w:r w:rsidRPr="00093AC5">
        <w:rPr>
          <w:rStyle w:val="FootnoteReference"/>
        </w:rPr>
        <w:footnoteRef/>
      </w:r>
      <w:r w:rsidRPr="00D10EF8">
        <w:tab/>
      </w:r>
      <w:r w:rsidR="00865E37" w:rsidRPr="005119C5">
        <w:rPr>
          <w:spacing w:val="-2"/>
        </w:rPr>
        <w:t>Communication de Cristosal</w:t>
      </w:r>
      <w:r w:rsidR="00BF73AB" w:rsidRPr="005119C5">
        <w:rPr>
          <w:spacing w:val="-2"/>
        </w:rPr>
        <w:t> ;</w:t>
      </w:r>
      <w:r w:rsidR="00865E37" w:rsidRPr="005119C5">
        <w:rPr>
          <w:spacing w:val="-2"/>
        </w:rPr>
        <w:t xml:space="preserve"> A/HRC/45/44/Add.1</w:t>
      </w:r>
      <w:r w:rsidR="005119C5" w:rsidRPr="005119C5">
        <w:rPr>
          <w:spacing w:val="-2"/>
        </w:rPr>
        <w:t>-</w:t>
      </w:r>
      <w:r w:rsidR="00865E37" w:rsidRPr="005119C5">
        <w:rPr>
          <w:spacing w:val="-2"/>
        </w:rPr>
        <w:t>2</w:t>
      </w:r>
      <w:r w:rsidR="00BF73AB" w:rsidRPr="005119C5">
        <w:rPr>
          <w:spacing w:val="-2"/>
        </w:rPr>
        <w:t> ;</w:t>
      </w:r>
      <w:r w:rsidR="00865E37" w:rsidRPr="005119C5">
        <w:rPr>
          <w:spacing w:val="-2"/>
        </w:rPr>
        <w:t xml:space="preserve"> A/HRC/39/69</w:t>
      </w:r>
      <w:r w:rsidR="00BF73AB" w:rsidRPr="005119C5">
        <w:rPr>
          <w:spacing w:val="-2"/>
        </w:rPr>
        <w:t> ;</w:t>
      </w:r>
      <w:r w:rsidR="00865E37" w:rsidRPr="005119C5">
        <w:rPr>
          <w:spacing w:val="-2"/>
        </w:rPr>
        <w:t xml:space="preserve"> A/HRC/41/54</w:t>
      </w:r>
      <w:r w:rsidR="00BF73AB" w:rsidRPr="005119C5">
        <w:rPr>
          <w:spacing w:val="-2"/>
        </w:rPr>
        <w:t> ;</w:t>
      </w:r>
      <w:r w:rsidR="00865E37" w:rsidRPr="005119C5">
        <w:rPr>
          <w:spacing w:val="-2"/>
        </w:rPr>
        <w:t xml:space="preserve"> A/HRC/46/76</w:t>
      </w:r>
      <w:r w:rsidR="00BF73AB" w:rsidRPr="005119C5">
        <w:rPr>
          <w:spacing w:val="-2"/>
        </w:rPr>
        <w:t> </w:t>
      </w:r>
      <w:r w:rsidR="00BF73AB">
        <w:t>;</w:t>
      </w:r>
      <w:r w:rsidR="00865E37" w:rsidRPr="00D10EF8">
        <w:t xml:space="preserve"> </w:t>
      </w:r>
      <w:hyperlink r:id="rId115" w:history="1">
        <w:r w:rsidR="00865E37" w:rsidRPr="00350D4B">
          <w:rPr>
            <w:rStyle w:val="FollowedHyperlink"/>
          </w:rPr>
          <w:t>https://openknowledge.worldbank.org/handle/10986/30201</w:t>
        </w:r>
      </w:hyperlink>
      <w:r w:rsidR="00BF73AB">
        <w:t> ;</w:t>
      </w:r>
      <w:r w:rsidR="00865E37" w:rsidRPr="00D10EF8">
        <w:t xml:space="preserve"> </w:t>
      </w:r>
      <w:hyperlink r:id="rId116" w:history="1">
        <w:r w:rsidR="00865E37" w:rsidRPr="00350D4B">
          <w:rPr>
            <w:rStyle w:val="FollowedHyperlink"/>
          </w:rPr>
          <w:t>https://www.cepal.org/sites/default/</w:t>
        </w:r>
        <w:r w:rsidR="005119C5">
          <w:rPr>
            <w:rStyle w:val="FollowedHyperlink"/>
          </w:rPr>
          <w:t xml:space="preserve"> </w:t>
        </w:r>
        <w:r w:rsidR="00865E37" w:rsidRPr="00350D4B">
          <w:rPr>
            <w:rStyle w:val="FollowedHyperlink"/>
          </w:rPr>
          <w:t>files/publication/files/46191/S2000226_es.pdf</w:t>
        </w:r>
      </w:hyperlink>
      <w:r w:rsidR="00865E37" w:rsidRPr="00D10EF8">
        <w:t xml:space="preserve">. Voir également CERD/C/COL/CO/17-19, </w:t>
      </w:r>
      <w:r w:rsidR="002A7FA1">
        <w:t>par. </w:t>
      </w:r>
      <w:r w:rsidR="00865E37" w:rsidRPr="00D10EF8">
        <w:t>18 et</w:t>
      </w:r>
      <w:r w:rsidR="005119C5">
        <w:t> </w:t>
      </w:r>
      <w:r w:rsidR="00865E37" w:rsidRPr="00D10EF8">
        <w:t>20.</w:t>
      </w:r>
    </w:p>
  </w:footnote>
  <w:footnote w:id="82">
    <w:p w14:paraId="76C95861" w14:textId="01F71453" w:rsidR="00865E37" w:rsidRPr="00D10EF8" w:rsidRDefault="000F7152" w:rsidP="005B4367">
      <w:pPr>
        <w:pStyle w:val="FootnoteText"/>
      </w:pPr>
      <w:r w:rsidRPr="00D10EF8">
        <w:tab/>
      </w:r>
      <w:r w:rsidRPr="00093AC5">
        <w:rPr>
          <w:rStyle w:val="FootnoteReference"/>
        </w:rPr>
        <w:footnoteRef/>
      </w:r>
      <w:r w:rsidRPr="00D10EF8">
        <w:tab/>
      </w:r>
      <w:hyperlink r:id="rId117" w:history="1">
        <w:r w:rsidR="00865E37" w:rsidRPr="00E722FA">
          <w:rPr>
            <w:rStyle w:val="FollowedHyperlink"/>
          </w:rPr>
          <w:t>www.oas.org/en/iachr/afro-descendants/docs/pdf/afros_2011_eng.pdf</w:t>
        </w:r>
      </w:hyperlink>
      <w:r w:rsidR="00BF73AB">
        <w:t> ;</w:t>
      </w:r>
      <w:r w:rsidR="00865E37" w:rsidRPr="00D10EF8">
        <w:t xml:space="preserve"> </w:t>
      </w:r>
      <w:bookmarkStart w:id="66" w:name="_Hlk108619479"/>
      <w:r w:rsidR="00865E37" w:rsidRPr="00E722FA">
        <w:rPr>
          <w:rStyle w:val="FollowedHyperlink"/>
        </w:rPr>
        <w:fldChar w:fldCharType="begin"/>
      </w:r>
      <w:r w:rsidR="00865E37" w:rsidRPr="00E722FA">
        <w:rPr>
          <w:rStyle w:val="FollowedHyperlink"/>
        </w:rPr>
        <w:instrText xml:space="preserve"> HYPERLINK "https://rm.coe.int/lutter-contre-le-racisme-et-la-discrimination-raciale-a-l-egard-des-pe/1680a1c0d2" </w:instrText>
      </w:r>
      <w:r w:rsidR="00865E37" w:rsidRPr="00E722FA">
        <w:rPr>
          <w:rStyle w:val="FollowedHyperlink"/>
        </w:rPr>
        <w:fldChar w:fldCharType="separate"/>
      </w:r>
      <w:r w:rsidR="00865E37" w:rsidRPr="00E722FA">
        <w:rPr>
          <w:rStyle w:val="FollowedHyperlink"/>
        </w:rPr>
        <w:t>https://rm.coe.int/lutter-contre-le-racisme-et-la-discrimination-raciale-a-l-egard-des-pe/1680a1c0d2</w:t>
      </w:r>
      <w:r w:rsidR="00865E37" w:rsidRPr="00E722FA">
        <w:rPr>
          <w:rStyle w:val="FollowedHyperlink"/>
        </w:rPr>
        <w:fldChar w:fldCharType="end"/>
      </w:r>
      <w:bookmarkEnd w:id="66"/>
      <w:r w:rsidR="00865E37" w:rsidRPr="00D10EF8">
        <w:t>.</w:t>
      </w:r>
    </w:p>
  </w:footnote>
  <w:footnote w:id="83">
    <w:p w14:paraId="25508890" w14:textId="5AF752D0" w:rsidR="00865E37" w:rsidRPr="00D10EF8" w:rsidRDefault="000F7152" w:rsidP="005B4367">
      <w:pPr>
        <w:pStyle w:val="FootnoteText"/>
      </w:pPr>
      <w:r w:rsidRPr="00D10EF8">
        <w:tab/>
      </w:r>
      <w:r w:rsidRPr="00093AC5">
        <w:rPr>
          <w:rStyle w:val="FootnoteReference"/>
        </w:rPr>
        <w:footnoteRef/>
      </w:r>
      <w:r w:rsidRPr="00D10EF8">
        <w:tab/>
      </w:r>
      <w:r w:rsidR="00865E37" w:rsidRPr="00D10EF8">
        <w:t xml:space="preserve">A/HRC/15/18, </w:t>
      </w:r>
      <w:r w:rsidR="002A7FA1">
        <w:t>par. </w:t>
      </w:r>
      <w:r w:rsidR="00865E37" w:rsidRPr="00D10EF8">
        <w:t>47</w:t>
      </w:r>
      <w:r w:rsidR="00BF73AB">
        <w:t> ;</w:t>
      </w:r>
      <w:r w:rsidR="00865E37" w:rsidRPr="00D10EF8">
        <w:t xml:space="preserve"> A/HRC/38/33/Add.1, </w:t>
      </w:r>
      <w:r w:rsidR="002A7FA1">
        <w:t>par. </w:t>
      </w:r>
      <w:r w:rsidR="00865E37" w:rsidRPr="00D10EF8">
        <w:t>19 et 20</w:t>
      </w:r>
      <w:r w:rsidR="00BF73AB">
        <w:t> ;</w:t>
      </w:r>
      <w:r w:rsidR="00865E37" w:rsidRPr="00D10EF8">
        <w:t xml:space="preserve"> A/HRC/33/61/Add.2, </w:t>
      </w:r>
      <w:r w:rsidR="002A7FA1">
        <w:t>par. </w:t>
      </w:r>
      <w:r w:rsidR="00865E37" w:rsidRPr="00D10EF8">
        <w:t>7, 11 et 42</w:t>
      </w:r>
      <w:r w:rsidR="00BF73AB">
        <w:t> ;</w:t>
      </w:r>
      <w:r w:rsidR="00865E37" w:rsidRPr="00D10EF8">
        <w:t xml:space="preserve"> CERD/C/USA/CO/7-9, </w:t>
      </w:r>
      <w:r w:rsidR="002A7FA1">
        <w:t>par. </w:t>
      </w:r>
      <w:r w:rsidR="00865E37" w:rsidRPr="00D10EF8">
        <w:t>11</w:t>
      </w:r>
      <w:r w:rsidR="00BF73AB">
        <w:t> ;</w:t>
      </w:r>
      <w:r w:rsidR="00865E37" w:rsidRPr="00D10EF8">
        <w:t xml:space="preserve"> </w:t>
      </w:r>
      <w:hyperlink r:id="rId118" w:history="1">
        <w:r w:rsidR="00865E37" w:rsidRPr="00E722FA">
          <w:rPr>
            <w:rStyle w:val="FollowedHyperlink"/>
          </w:rPr>
          <w:t>https://www.whitehouse.gov/briefing-room/presidential-actions/2021/03/07/executive-order-on-promoting-access-to-voting/</w:t>
        </w:r>
      </w:hyperlink>
      <w:r w:rsidR="00BF73AB">
        <w:t> ;</w:t>
      </w:r>
      <w:r w:rsidR="00865E37" w:rsidRPr="00D10EF8">
        <w:t xml:space="preserve"> </w:t>
      </w:r>
      <w:hyperlink r:id="rId119" w:history="1">
        <w:r w:rsidR="00865E37" w:rsidRPr="00E722FA">
          <w:rPr>
            <w:rStyle w:val="FollowedHyperlink"/>
          </w:rPr>
          <w:t>https://papers.ssrn.com/sol3/</w:t>
        </w:r>
        <w:r w:rsidR="00E722FA">
          <w:rPr>
            <w:rStyle w:val="FollowedHyperlink"/>
          </w:rPr>
          <w:t xml:space="preserve"> </w:t>
        </w:r>
        <w:r w:rsidR="00865E37" w:rsidRPr="00E722FA">
          <w:rPr>
            <w:rStyle w:val="FollowedHyperlink"/>
          </w:rPr>
          <w:t>papers.cfm?abstract_id=3644684</w:t>
        </w:r>
      </w:hyperlink>
      <w:r w:rsidR="00865E37" w:rsidRPr="00D10EF8">
        <w:t xml:space="preserve">, </w:t>
      </w:r>
      <w:r w:rsidR="002A7FA1">
        <w:t>p. </w:t>
      </w:r>
      <w:r w:rsidR="00865E37" w:rsidRPr="00D10EF8">
        <w:t>16</w:t>
      </w:r>
      <w:r w:rsidR="00865E37" w:rsidRPr="00D10EF8">
        <w:rPr>
          <w:bCs/>
        </w:rPr>
        <w:t>.</w:t>
      </w:r>
    </w:p>
  </w:footnote>
  <w:footnote w:id="84">
    <w:p w14:paraId="1D93B197" w14:textId="03A6251F" w:rsidR="00865E37" w:rsidRPr="00D10EF8" w:rsidRDefault="000F7152" w:rsidP="005B4367">
      <w:pPr>
        <w:pStyle w:val="FootnoteText"/>
      </w:pPr>
      <w:r w:rsidRPr="00D10EF8">
        <w:tab/>
      </w:r>
      <w:r w:rsidRPr="00093AC5">
        <w:rPr>
          <w:rStyle w:val="FootnoteReference"/>
        </w:rPr>
        <w:footnoteRef/>
      </w:r>
      <w:r w:rsidRPr="00D10EF8">
        <w:tab/>
      </w:r>
      <w:hyperlink r:id="rId120" w:history="1">
        <w:r w:rsidR="00865E37" w:rsidRPr="00E722FA">
          <w:rPr>
            <w:rStyle w:val="FollowedHyperlink"/>
          </w:rPr>
          <w:t>https://committees.parliament.uk/publications/3376/documents/32359/default/</w:t>
        </w:r>
      </w:hyperlink>
      <w:r w:rsidR="00865E37" w:rsidRPr="00E722FA">
        <w:rPr>
          <w:rStyle w:val="FollowedHyperlink"/>
        </w:rPr>
        <w:t>.</w:t>
      </w:r>
    </w:p>
  </w:footnote>
  <w:footnote w:id="85">
    <w:p w14:paraId="4610A6F3" w14:textId="0FFADECF" w:rsidR="00865E37" w:rsidRPr="00D10EF8" w:rsidRDefault="000F7152" w:rsidP="005B4367">
      <w:pPr>
        <w:pStyle w:val="FootnoteText"/>
      </w:pPr>
      <w:r w:rsidRPr="00D10EF8">
        <w:tab/>
      </w:r>
      <w:r w:rsidRPr="00093AC5">
        <w:rPr>
          <w:rStyle w:val="FootnoteReference"/>
        </w:rPr>
        <w:footnoteRef/>
      </w:r>
      <w:r w:rsidRPr="00D10EF8">
        <w:tab/>
      </w:r>
      <w:hyperlink r:id="rId121" w:history="1">
        <w:r w:rsidR="00865E37" w:rsidRPr="003E3407">
          <w:rPr>
            <w:rStyle w:val="Hyperlink"/>
          </w:rPr>
          <w:t>https://rm.coe.int/lutter-contre-le-racisme-et-la-discrimination-raciale-a-l-egard-des-pe/1680a1c0d2</w:t>
        </w:r>
      </w:hyperlink>
      <w:r w:rsidR="00865E37" w:rsidRPr="00D10EF8">
        <w:t xml:space="preserve">, </w:t>
      </w:r>
      <w:r w:rsidR="002A7FA1">
        <w:t>p. </w:t>
      </w:r>
      <w:r w:rsidR="00865E37" w:rsidRPr="00D10EF8">
        <w:t>9.</w:t>
      </w:r>
    </w:p>
  </w:footnote>
  <w:footnote w:id="86">
    <w:p w14:paraId="07E1A1DB" w14:textId="76ECAECD" w:rsidR="00865E37" w:rsidRPr="00D10EF8" w:rsidRDefault="000F7152" w:rsidP="005B4367">
      <w:pPr>
        <w:pStyle w:val="FootnoteText"/>
      </w:pPr>
      <w:r w:rsidRPr="00D10EF8">
        <w:tab/>
      </w:r>
      <w:r w:rsidRPr="00093AC5">
        <w:rPr>
          <w:rStyle w:val="FootnoteReference"/>
        </w:rPr>
        <w:footnoteRef/>
      </w:r>
      <w:r w:rsidRPr="00D10EF8">
        <w:tab/>
      </w:r>
      <w:hyperlink r:id="rId122" w:history="1">
        <w:r w:rsidR="00865E37" w:rsidRPr="003E3407">
          <w:rPr>
            <w:rStyle w:val="FollowedHyperlink"/>
          </w:rPr>
          <w:t>www.oas.org/en/iachr/afro-descendants/docs/pdf/afros_2011_eng.pdf</w:t>
        </w:r>
        <w:r w:rsidR="00865E37" w:rsidRPr="00D10EF8">
          <w:t>, par</w:t>
        </w:r>
      </w:hyperlink>
      <w:r w:rsidR="00865E37" w:rsidRPr="00D10EF8">
        <w:t>. 55</w:t>
      </w:r>
      <w:r w:rsidR="00BF73AB">
        <w:t> ;</w:t>
      </w:r>
      <w:r w:rsidR="00865E37" w:rsidRPr="00D10EF8">
        <w:t xml:space="preserve"> </w:t>
      </w:r>
      <w:bookmarkStart w:id="67" w:name="_Hlk108619250"/>
      <w:r w:rsidR="00865E37" w:rsidRPr="003E3407">
        <w:rPr>
          <w:rStyle w:val="FollowedHyperlink"/>
        </w:rPr>
        <w:fldChar w:fldCharType="begin"/>
      </w:r>
      <w:r w:rsidR="00865E37" w:rsidRPr="003E3407">
        <w:rPr>
          <w:rStyle w:val="FollowedHyperlink"/>
        </w:rPr>
        <w:instrText xml:space="preserve"> HYPERLINK "https://assembly.coe.int/LifeRay/EGA/Pdf/Press/2021/20210316-Afrophobie-prov-FR.pdf" </w:instrText>
      </w:r>
      <w:r w:rsidR="00865E37" w:rsidRPr="003E3407">
        <w:rPr>
          <w:rStyle w:val="FollowedHyperlink"/>
        </w:rPr>
        <w:fldChar w:fldCharType="separate"/>
      </w:r>
      <w:r w:rsidR="00865E37" w:rsidRPr="003E3407">
        <w:rPr>
          <w:rStyle w:val="FollowedHyperlink"/>
        </w:rPr>
        <w:t>https://assembly.coe.int/LifeRay/EGA/Pdf/Press/2021/20210316-Afrophobie-prov-FR.pdf</w:t>
      </w:r>
      <w:r w:rsidR="00865E37" w:rsidRPr="003E3407">
        <w:rPr>
          <w:rStyle w:val="FollowedHyperlink"/>
        </w:rPr>
        <w:fldChar w:fldCharType="end"/>
      </w:r>
      <w:bookmarkEnd w:id="67"/>
      <w:r w:rsidR="00865E37" w:rsidRPr="00D10EF8">
        <w:t xml:space="preserve">, </w:t>
      </w:r>
      <w:r w:rsidR="002A7FA1">
        <w:t>par. </w:t>
      </w:r>
      <w:r w:rsidR="00865E37" w:rsidRPr="00D10EF8">
        <w:t>56</w:t>
      </w:r>
      <w:r w:rsidR="00BF73AB">
        <w:t> ;</w:t>
      </w:r>
      <w:r w:rsidR="00865E37" w:rsidRPr="00D10EF8">
        <w:rPr>
          <w:color w:val="000000"/>
          <w:u w:color="000000"/>
        </w:rPr>
        <w:t xml:space="preserve"> </w:t>
      </w:r>
      <w:r w:rsidR="00865E37" w:rsidRPr="00D10EF8">
        <w:t xml:space="preserve">A/HRC/44/57/Add.2, </w:t>
      </w:r>
      <w:r w:rsidR="002A7FA1">
        <w:t>par. </w:t>
      </w:r>
      <w:r w:rsidR="00865E37" w:rsidRPr="00D10EF8">
        <w:t>42.</w:t>
      </w:r>
    </w:p>
  </w:footnote>
  <w:footnote w:id="87">
    <w:p w14:paraId="760AFF69" w14:textId="5E5BC04F" w:rsidR="00865E37" w:rsidRPr="00D10EF8" w:rsidRDefault="000F7152" w:rsidP="005B4367">
      <w:pPr>
        <w:pStyle w:val="FootnoteText"/>
      </w:pPr>
      <w:r w:rsidRPr="00D10EF8">
        <w:tab/>
      </w:r>
      <w:r w:rsidRPr="00093AC5">
        <w:rPr>
          <w:rStyle w:val="FootnoteReference"/>
        </w:rPr>
        <w:footnoteRef/>
      </w:r>
      <w:r w:rsidRPr="00D10EF8">
        <w:tab/>
      </w:r>
      <w:hyperlink r:id="rId123" w:history="1">
        <w:r w:rsidR="00865E37" w:rsidRPr="003E3407">
          <w:rPr>
            <w:rStyle w:val="Hyperlink"/>
          </w:rPr>
          <w:t>https://openknowledge.worldbank.org/handle/10986/30201</w:t>
        </w:r>
      </w:hyperlink>
      <w:r w:rsidR="00865E37" w:rsidRPr="00D10EF8">
        <w:t xml:space="preserve">, </w:t>
      </w:r>
      <w:r w:rsidR="002A7FA1">
        <w:t>p. </w:t>
      </w:r>
      <w:r w:rsidR="00865E37" w:rsidRPr="00D10EF8">
        <w:t>16 et 108.</w:t>
      </w:r>
    </w:p>
  </w:footnote>
  <w:footnote w:id="88">
    <w:p w14:paraId="1EF54978" w14:textId="183B03BB" w:rsidR="00865E37" w:rsidRPr="00D10EF8" w:rsidRDefault="000F7152" w:rsidP="005B4367">
      <w:pPr>
        <w:pStyle w:val="FootnoteText"/>
      </w:pPr>
      <w:r w:rsidRPr="00D10EF8">
        <w:tab/>
      </w:r>
      <w:r w:rsidRPr="00093AC5">
        <w:rPr>
          <w:rStyle w:val="FootnoteReference"/>
        </w:rPr>
        <w:footnoteRef/>
      </w:r>
      <w:r w:rsidRPr="00D10EF8">
        <w:tab/>
      </w:r>
      <w:hyperlink r:id="rId124" w:history="1">
        <w:r w:rsidR="00865E37" w:rsidRPr="003E3407">
          <w:rPr>
            <w:rStyle w:val="FollowedHyperlink"/>
          </w:rPr>
          <w:t>https://assembly.coe.int/LifeRay/EGA/Pdf/Press/2021/20210316-Afrophobie-prov-FR.pdf</w:t>
        </w:r>
      </w:hyperlink>
      <w:r w:rsidR="00865E37" w:rsidRPr="00D10EF8">
        <w:t xml:space="preserve">, </w:t>
      </w:r>
      <w:r w:rsidR="002A7FA1">
        <w:t>par. </w:t>
      </w:r>
      <w:r w:rsidR="00865E37" w:rsidRPr="00D10EF8">
        <w:t>56.</w:t>
      </w:r>
    </w:p>
  </w:footnote>
  <w:footnote w:id="89">
    <w:p w14:paraId="431050D8" w14:textId="66D9A6A0" w:rsidR="00865E37" w:rsidRPr="003E3407" w:rsidRDefault="000F7152" w:rsidP="005B4367">
      <w:pPr>
        <w:pStyle w:val="FootnoteText"/>
        <w:rPr>
          <w:rStyle w:val="FollowedHyperlink"/>
          <w:color w:val="auto"/>
        </w:rPr>
      </w:pPr>
      <w:r w:rsidRPr="00D10EF8">
        <w:tab/>
      </w:r>
      <w:r w:rsidRPr="00093AC5">
        <w:rPr>
          <w:rStyle w:val="FootnoteReference"/>
        </w:rPr>
        <w:footnoteRef/>
      </w:r>
      <w:r w:rsidRPr="00D10EF8">
        <w:tab/>
      </w:r>
      <w:hyperlink r:id="rId125" w:history="1">
        <w:r w:rsidR="00865E37" w:rsidRPr="003E3407">
          <w:rPr>
            <w:rStyle w:val="FollowedHyperlink"/>
          </w:rPr>
          <w:t>https://www.enar-eu.org/IMG/pdf/sr_key_findings-2.pdf</w:t>
        </w:r>
      </w:hyperlink>
      <w:r w:rsidR="00865E37" w:rsidRPr="00D10EF8">
        <w:t xml:space="preserve">, </w:t>
      </w:r>
      <w:r w:rsidR="002A7FA1">
        <w:t>p. </w:t>
      </w:r>
      <w:r w:rsidR="00865E37" w:rsidRPr="00D10EF8">
        <w:t>2</w:t>
      </w:r>
      <w:r w:rsidR="00BF73AB">
        <w:t> ;</w:t>
      </w:r>
      <w:r w:rsidR="00865E37" w:rsidRPr="00D10EF8">
        <w:t xml:space="preserve"> </w:t>
      </w:r>
      <w:hyperlink r:id="rId126" w:history="1">
        <w:r w:rsidR="00865E37" w:rsidRPr="003E3407">
          <w:rPr>
            <w:rStyle w:val="FollowedHyperlink"/>
          </w:rPr>
          <w:t>https://assembly.coe.int/LifeRay/EGA/Pdf/Press/2021/20210316-Afrophobie-prov-FR.pdf</w:t>
        </w:r>
      </w:hyperlink>
      <w:r w:rsidR="00865E37" w:rsidRPr="003E3407">
        <w:rPr>
          <w:rStyle w:val="FollowedHyperlink"/>
          <w:color w:val="auto"/>
        </w:rPr>
        <w:t xml:space="preserve">, </w:t>
      </w:r>
      <w:r w:rsidR="002A7FA1">
        <w:rPr>
          <w:rStyle w:val="FollowedHyperlink"/>
          <w:color w:val="auto"/>
        </w:rPr>
        <w:t>par. </w:t>
      </w:r>
      <w:r w:rsidR="00865E37" w:rsidRPr="003E3407">
        <w:rPr>
          <w:rStyle w:val="FollowedHyperlink"/>
          <w:color w:val="auto"/>
        </w:rPr>
        <w:t>56.</w:t>
      </w:r>
    </w:p>
  </w:footnote>
  <w:footnote w:id="90">
    <w:p w14:paraId="63FA368C" w14:textId="3C9D2CA4" w:rsidR="00865E37" w:rsidRPr="00D10EF8" w:rsidRDefault="000F7152" w:rsidP="005B4367">
      <w:pPr>
        <w:pStyle w:val="FootnoteText"/>
      </w:pPr>
      <w:r w:rsidRPr="00D10EF8">
        <w:tab/>
      </w:r>
      <w:r w:rsidRPr="00093AC5">
        <w:rPr>
          <w:rStyle w:val="FootnoteReference"/>
        </w:rPr>
        <w:footnoteRef/>
      </w:r>
      <w:r w:rsidRPr="00D10EF8">
        <w:tab/>
      </w:r>
      <w:hyperlink r:id="rId127" w:history="1">
        <w:r w:rsidR="00865E37" w:rsidRPr="003E3407">
          <w:rPr>
            <w:rStyle w:val="FollowedHyperlink"/>
          </w:rPr>
          <w:t>https://news.un.org/fr/story/2013/11/278372-lonu-denonce-les-attaques-racistes-visant-la-ministre-francaise-de-la-justice</w:t>
        </w:r>
      </w:hyperlink>
      <w:r w:rsidR="00BF73AB">
        <w:t> ;</w:t>
      </w:r>
      <w:r w:rsidR="00865E37" w:rsidRPr="00D10EF8">
        <w:t xml:space="preserve"> </w:t>
      </w:r>
      <w:hyperlink r:id="rId128" w:history="1">
        <w:r w:rsidR="00865E37" w:rsidRPr="003E3407">
          <w:rPr>
            <w:rStyle w:val="FollowedHyperlink"/>
          </w:rPr>
          <w:t>https://newsarchive.ohchr.org/EN/NewsEvents/Pages/DisplayNews.aspx?</w:t>
        </w:r>
        <w:r w:rsidR="003E3407">
          <w:rPr>
            <w:rStyle w:val="FollowedHyperlink"/>
          </w:rPr>
          <w:t xml:space="preserve"> </w:t>
        </w:r>
        <w:r w:rsidR="00865E37" w:rsidRPr="003E3407">
          <w:rPr>
            <w:rStyle w:val="FollowedHyperlink"/>
          </w:rPr>
          <w:t>NewsID=13995&amp;LangID=E</w:t>
        </w:r>
      </w:hyperlink>
      <w:r w:rsidR="00865E37" w:rsidRPr="00D10EF8">
        <w:t>.</w:t>
      </w:r>
    </w:p>
  </w:footnote>
  <w:footnote w:id="91">
    <w:p w14:paraId="110B8F06" w14:textId="789958A1" w:rsidR="00865E37" w:rsidRPr="00D10EF8" w:rsidRDefault="000F7152" w:rsidP="005B4367">
      <w:pPr>
        <w:pStyle w:val="FootnoteText"/>
      </w:pPr>
      <w:r w:rsidRPr="00D10EF8">
        <w:tab/>
      </w:r>
      <w:r w:rsidRPr="00093AC5">
        <w:rPr>
          <w:rStyle w:val="FootnoteReference"/>
        </w:rPr>
        <w:footnoteRef/>
      </w:r>
      <w:r w:rsidRPr="00D10EF8">
        <w:tab/>
      </w:r>
      <w:hyperlink r:id="rId129" w:history="1">
        <w:r w:rsidR="00865E37" w:rsidRPr="003E3407">
          <w:rPr>
            <w:rStyle w:val="FollowedHyperlink"/>
          </w:rPr>
          <w:t>https://assembly.coe.int/LifeRay/EGA/Pdf/Press/2021/20210316-Afrophobie-prov-FR.pdf</w:t>
        </w:r>
      </w:hyperlink>
      <w:r w:rsidR="00865E37" w:rsidRPr="00C45678">
        <w:t xml:space="preserve">, </w:t>
      </w:r>
      <w:r w:rsidR="002A7FA1">
        <w:t>par. </w:t>
      </w:r>
      <w:r w:rsidR="00865E37" w:rsidRPr="00D10EF8">
        <w:t xml:space="preserve">8. </w:t>
      </w:r>
      <w:hyperlink r:id="rId130" w:history="1">
        <w:r w:rsidR="00865E37" w:rsidRPr="003E3407">
          <w:rPr>
            <w:rStyle w:val="FollowedHyperlink"/>
          </w:rPr>
          <w:t>https://fra.europa.eu/sites/default/files/fra_uploads/fra-2018-fundamental-rights-report-2018_en.pdf</w:t>
        </w:r>
      </w:hyperlink>
      <w:r w:rsidR="00865E37" w:rsidRPr="00D10EF8">
        <w:t xml:space="preserve">, </w:t>
      </w:r>
      <w:r w:rsidR="002A7FA1">
        <w:t>p. </w:t>
      </w:r>
      <w:r w:rsidR="00865E37" w:rsidRPr="00D10EF8">
        <w:t>81</w:t>
      </w:r>
      <w:r w:rsidR="00BF73AB">
        <w:t> ;</w:t>
      </w:r>
      <w:r w:rsidR="00865E37" w:rsidRPr="00D10EF8">
        <w:t xml:space="preserve"> </w:t>
      </w:r>
      <w:hyperlink r:id="rId131" w:history="1">
        <w:r w:rsidR="00865E37" w:rsidRPr="003E3407">
          <w:rPr>
            <w:rStyle w:val="FollowedHyperlink"/>
          </w:rPr>
          <w:t>https://www.ohchr.org/Documents/Countries/IT/ItalyMissionReport.pdf</w:t>
        </w:r>
      </w:hyperlink>
      <w:r w:rsidR="00865E37" w:rsidRPr="00D10EF8">
        <w:t xml:space="preserve">, </w:t>
      </w:r>
      <w:r w:rsidR="002A7FA1">
        <w:t>par. </w:t>
      </w:r>
      <w:r w:rsidR="00865E37" w:rsidRPr="00D10EF8">
        <w:t>16 et 39.</w:t>
      </w:r>
    </w:p>
  </w:footnote>
  <w:footnote w:id="92">
    <w:p w14:paraId="037A9DD1" w14:textId="07C51B6F" w:rsidR="00865E37" w:rsidRPr="00EF2C95" w:rsidRDefault="000F7152" w:rsidP="005B4367">
      <w:pPr>
        <w:pStyle w:val="FootnoteText"/>
      </w:pPr>
      <w:r w:rsidRPr="00D10EF8">
        <w:tab/>
      </w:r>
      <w:r w:rsidRPr="00093AC5">
        <w:rPr>
          <w:rStyle w:val="FootnoteReference"/>
        </w:rPr>
        <w:footnoteRef/>
      </w:r>
      <w:r w:rsidRPr="00D10EF8">
        <w:tab/>
      </w:r>
      <w:hyperlink r:id="rId132" w:history="1">
        <w:r w:rsidR="00865E37" w:rsidRPr="003E3407">
          <w:rPr>
            <w:rStyle w:val="FollowedHyperlink"/>
          </w:rPr>
          <w:t>https://www.amnesty.org.uk/online-violence-women-mps</w:t>
        </w:r>
      </w:hyperlink>
      <w:r w:rsidR="00BF73AB">
        <w:t> ;</w:t>
      </w:r>
      <w:r w:rsidR="00865E37" w:rsidRPr="00D10EF8">
        <w:t xml:space="preserve"> </w:t>
      </w:r>
      <w:hyperlink r:id="rId133" w:history="1">
        <w:r w:rsidR="00865E37" w:rsidRPr="003E3407">
          <w:rPr>
            <w:rStyle w:val="FollowedHyperlink"/>
          </w:rPr>
          <w:t>https://assembly.coe.int/LifeRay/EGA/</w:t>
        </w:r>
        <w:r w:rsidR="003E3407">
          <w:rPr>
            <w:rStyle w:val="FollowedHyperlink"/>
          </w:rPr>
          <w:t xml:space="preserve"> </w:t>
        </w:r>
        <w:r w:rsidR="00865E37" w:rsidRPr="003E3407">
          <w:rPr>
            <w:rStyle w:val="FollowedHyperlink"/>
          </w:rPr>
          <w:t>Pdf/Press/2021/20210316-Afrophobie-prov-FR.pdf</w:t>
        </w:r>
      </w:hyperlink>
      <w:r w:rsidR="00865E37" w:rsidRPr="00EF2C95">
        <w:t xml:space="preserve">, </w:t>
      </w:r>
      <w:r w:rsidR="002A7FA1">
        <w:t>par. </w:t>
      </w:r>
      <w:r w:rsidR="00865E37" w:rsidRPr="00EF2C95">
        <w:t>58.</w:t>
      </w:r>
    </w:p>
  </w:footnote>
  <w:footnote w:id="93">
    <w:p w14:paraId="12051D17" w14:textId="123EDA2D" w:rsidR="00865E37" w:rsidRPr="00D10EF8" w:rsidRDefault="000F7152" w:rsidP="005B4367">
      <w:pPr>
        <w:pStyle w:val="FootnoteText"/>
      </w:pPr>
      <w:r w:rsidRPr="00D10EF8">
        <w:tab/>
      </w:r>
      <w:r w:rsidRPr="00093AC5">
        <w:rPr>
          <w:rStyle w:val="FootnoteReference"/>
        </w:rPr>
        <w:footnoteRef/>
      </w:r>
      <w:r w:rsidRPr="00D10EF8">
        <w:tab/>
      </w:r>
      <w:hyperlink r:id="rId134" w:history="1">
        <w:r w:rsidR="00865E37" w:rsidRPr="003E3407">
          <w:rPr>
            <w:rStyle w:val="FollowedHyperlink"/>
          </w:rPr>
          <w:t>https://assembly.coe.int/LifeRay/EGA/Pdf/Press/2021/20210316-Afrophobie-prov-FR.pdf</w:t>
        </w:r>
      </w:hyperlink>
      <w:r w:rsidR="00865E37" w:rsidRPr="00D10EF8">
        <w:t xml:space="preserve">, </w:t>
      </w:r>
      <w:r w:rsidR="002A7FA1">
        <w:t>par. </w:t>
      </w:r>
      <w:r w:rsidR="00865E37" w:rsidRPr="00D10EF8">
        <w:t>59.</w:t>
      </w:r>
    </w:p>
  </w:footnote>
  <w:footnote w:id="94">
    <w:p w14:paraId="6939BDBD" w14:textId="25FEA479" w:rsidR="00865E37" w:rsidRPr="00D10EF8" w:rsidRDefault="000F7152" w:rsidP="005B4367">
      <w:pPr>
        <w:pStyle w:val="FootnoteText"/>
      </w:pPr>
      <w:r w:rsidRPr="00D10EF8">
        <w:tab/>
      </w:r>
      <w:r w:rsidRPr="00093AC5">
        <w:rPr>
          <w:rStyle w:val="FootnoteReference"/>
        </w:rPr>
        <w:footnoteRef/>
      </w:r>
      <w:r w:rsidRPr="00D10EF8">
        <w:tab/>
      </w:r>
      <w:r w:rsidR="00865E37" w:rsidRPr="00D10EF8">
        <w:t xml:space="preserve">A/HRC/38/52, </w:t>
      </w:r>
      <w:r w:rsidR="002A7FA1">
        <w:t>par. </w:t>
      </w:r>
      <w:r w:rsidR="00865E37" w:rsidRPr="00D10EF8">
        <w:t>41et 44</w:t>
      </w:r>
      <w:r w:rsidR="00BF73AB">
        <w:t> ;</w:t>
      </w:r>
      <w:r w:rsidR="00865E37" w:rsidRPr="00D10EF8">
        <w:t xml:space="preserve"> communications de la Coalición indígena de Migrantes de Chiapas/Proyecto Afrodescedencia Mexico / Instituto para las Mujeres en la Migración A.C. (IMUMI) et de la Plate-forme pour la coopération internationale concernant les migrants sans papiers (PICUM)</w:t>
      </w:r>
      <w:r w:rsidR="00BF73AB">
        <w:t> ;</w:t>
      </w:r>
      <w:r w:rsidR="00865E37" w:rsidRPr="00D10EF8">
        <w:t xml:space="preserve"> </w:t>
      </w:r>
      <w:hyperlink r:id="rId135" w:history="1">
        <w:r w:rsidR="00865E37" w:rsidRPr="003E3407">
          <w:rPr>
            <w:rStyle w:val="FollowedHyperlink"/>
          </w:rPr>
          <w:t>https://www.ohchr.org/EN/NewsEvents/Pages/DisplayNews.aspx?NewsID=</w:t>
        </w:r>
        <w:r w:rsidR="003E3407">
          <w:rPr>
            <w:rStyle w:val="FollowedHyperlink"/>
          </w:rPr>
          <w:t xml:space="preserve"> </w:t>
        </w:r>
        <w:r w:rsidR="00865E37" w:rsidRPr="003E3407">
          <w:rPr>
            <w:rStyle w:val="FollowedHyperlink"/>
          </w:rPr>
          <w:t>14751&amp;LangID=E</w:t>
        </w:r>
      </w:hyperlink>
      <w:r w:rsidR="00865E37" w:rsidRPr="00D10EF8">
        <w:t>.</w:t>
      </w:r>
    </w:p>
  </w:footnote>
  <w:footnote w:id="95">
    <w:p w14:paraId="6730F950" w14:textId="3AF421D9" w:rsidR="00865E37" w:rsidRPr="00D10EF8" w:rsidRDefault="000F7152" w:rsidP="005B4367">
      <w:pPr>
        <w:pStyle w:val="FootnoteText"/>
      </w:pPr>
      <w:r w:rsidRPr="00D10EF8">
        <w:tab/>
      </w:r>
      <w:r w:rsidRPr="00093AC5">
        <w:rPr>
          <w:rStyle w:val="FootnoteReference"/>
        </w:rPr>
        <w:footnoteRef/>
      </w:r>
      <w:r w:rsidRPr="00D10EF8">
        <w:tab/>
      </w:r>
      <w:r w:rsidR="00865E37" w:rsidRPr="00D10EF8">
        <w:t xml:space="preserve">A/HRC/41/54/Add.2, </w:t>
      </w:r>
      <w:r w:rsidR="002A7FA1">
        <w:t>par. </w:t>
      </w:r>
      <w:r w:rsidR="00865E37" w:rsidRPr="00D10EF8">
        <w:t>52 et 53</w:t>
      </w:r>
      <w:r w:rsidR="00BF73AB">
        <w:t> ;</w:t>
      </w:r>
      <w:r w:rsidR="00865E37" w:rsidRPr="00D10EF8">
        <w:t xml:space="preserve"> A/HRC/44/57/Add.2, </w:t>
      </w:r>
      <w:r w:rsidR="002A7FA1">
        <w:t>par. </w:t>
      </w:r>
      <w:r w:rsidR="00865E37" w:rsidRPr="00D10EF8">
        <w:t>8.</w:t>
      </w:r>
    </w:p>
  </w:footnote>
  <w:footnote w:id="96">
    <w:p w14:paraId="5CD9635A" w14:textId="21916369" w:rsidR="00865E37" w:rsidRPr="00D10EF8" w:rsidRDefault="000F7152" w:rsidP="005B4367">
      <w:pPr>
        <w:pStyle w:val="FootnoteText"/>
      </w:pPr>
      <w:r w:rsidRPr="00D10EF8">
        <w:tab/>
      </w:r>
      <w:r w:rsidRPr="00093AC5">
        <w:rPr>
          <w:rStyle w:val="FootnoteReference"/>
        </w:rPr>
        <w:footnoteRef/>
      </w:r>
      <w:r w:rsidRPr="00D10EF8">
        <w:tab/>
      </w:r>
      <w:r w:rsidR="00865E37" w:rsidRPr="00D10EF8">
        <w:t xml:space="preserve">CERD/C/PAK/CO/21-23, </w:t>
      </w:r>
      <w:r w:rsidR="002A7FA1">
        <w:t>par. </w:t>
      </w:r>
      <w:r w:rsidR="00865E37" w:rsidRPr="00D10EF8">
        <w:t>33.</w:t>
      </w:r>
    </w:p>
  </w:footnote>
  <w:footnote w:id="97">
    <w:p w14:paraId="1AC5661D" w14:textId="3BD48C10" w:rsidR="00865E37" w:rsidRPr="00D10EF8" w:rsidRDefault="000F7152" w:rsidP="005B4367">
      <w:pPr>
        <w:pStyle w:val="FootnoteText"/>
      </w:pPr>
      <w:r w:rsidRPr="00D10EF8">
        <w:tab/>
      </w:r>
      <w:r w:rsidRPr="00093AC5">
        <w:rPr>
          <w:rStyle w:val="FootnoteReference"/>
        </w:rPr>
        <w:footnoteRef/>
      </w:r>
      <w:r w:rsidRPr="00D10EF8">
        <w:tab/>
      </w:r>
      <w:hyperlink r:id="rId136" w:history="1">
        <w:r w:rsidR="00865E37" w:rsidRPr="00D10EF8">
          <w:t>A/HRC/35/26/Add.1</w:t>
        </w:r>
      </w:hyperlink>
      <w:r w:rsidR="00865E37" w:rsidRPr="00D10EF8">
        <w:t xml:space="preserve">, </w:t>
      </w:r>
      <w:r w:rsidR="002A7FA1">
        <w:t>par. </w:t>
      </w:r>
      <w:r w:rsidR="00865E37" w:rsidRPr="00D10EF8">
        <w:t>45.</w:t>
      </w:r>
    </w:p>
  </w:footnote>
  <w:footnote w:id="98">
    <w:p w14:paraId="21EB2806" w14:textId="5A3F1710" w:rsidR="00865E37" w:rsidRPr="00DF20DD" w:rsidRDefault="00865E37" w:rsidP="005B4367">
      <w:pPr>
        <w:pStyle w:val="FootnoteText"/>
        <w:rPr>
          <w:lang w:val="fr-CA"/>
        </w:rPr>
      </w:pPr>
      <w:r w:rsidRPr="00DF4EA0">
        <w:t xml:space="preserve"> </w:t>
      </w:r>
      <w:r w:rsidR="000F7152" w:rsidRPr="00D10EF8">
        <w:tab/>
      </w:r>
      <w:r w:rsidR="000F7152" w:rsidRPr="00093AC5">
        <w:rPr>
          <w:rStyle w:val="FootnoteReference"/>
        </w:rPr>
        <w:footnoteRef/>
      </w:r>
      <w:r w:rsidR="000F7152" w:rsidRPr="00D10EF8">
        <w:tab/>
      </w:r>
      <w:hyperlink r:id="rId137" w:history="1">
        <w:r w:rsidRPr="00E13F11">
          <w:rPr>
            <w:rStyle w:val="FollowedHyperlink"/>
          </w:rPr>
          <w:t>https://publications.parliament.uk/pa/jt5801/jtselect/jtrights/559/55906.htm</w:t>
        </w:r>
      </w:hyperlink>
      <w:r w:rsidRPr="00DF4EA0">
        <w:t xml:space="preserve">, </w:t>
      </w:r>
      <w:r w:rsidR="002A7FA1">
        <w:t>par. </w:t>
      </w:r>
      <w:r w:rsidRPr="00DF4EA0">
        <w:t>77</w:t>
      </w:r>
      <w:r w:rsidR="00BF73AB">
        <w:t> ;</w:t>
      </w:r>
      <w:r w:rsidRPr="00DF4EA0">
        <w:t xml:space="preserve"> A/HRC/41/54/Add.2, </w:t>
      </w:r>
      <w:r w:rsidR="002A7FA1">
        <w:t>par. </w:t>
      </w:r>
      <w:r w:rsidRPr="00DF4EA0">
        <w:t>52.</w:t>
      </w:r>
    </w:p>
  </w:footnote>
  <w:footnote w:id="99">
    <w:p w14:paraId="556B3E94" w14:textId="3C76F565" w:rsidR="00865E37" w:rsidRPr="00D10EF8" w:rsidRDefault="000F7152" w:rsidP="005B4367">
      <w:pPr>
        <w:pStyle w:val="FootnoteText"/>
      </w:pPr>
      <w:r w:rsidRPr="00D10EF8">
        <w:tab/>
      </w:r>
      <w:r w:rsidRPr="00093AC5">
        <w:rPr>
          <w:rStyle w:val="FootnoteReference"/>
        </w:rPr>
        <w:footnoteRef/>
      </w:r>
      <w:r w:rsidRPr="00D10EF8">
        <w:tab/>
      </w:r>
      <w:hyperlink r:id="rId138" w:history="1">
        <w:r w:rsidR="00865E37" w:rsidRPr="00E13F11">
          <w:rPr>
            <w:rStyle w:val="FollowedHyperlink"/>
          </w:rPr>
          <w:t>https://www.gov.uk/government/publications/windrush-lessons-learned-review</w:t>
        </w:r>
      </w:hyperlink>
      <w:r w:rsidR="00865E37" w:rsidRPr="00D10EF8">
        <w:t xml:space="preserve">, </w:t>
      </w:r>
      <w:r w:rsidR="002A7FA1">
        <w:t>p. </w:t>
      </w:r>
      <w:r w:rsidR="00865E37" w:rsidRPr="00D10EF8">
        <w:t>7.</w:t>
      </w:r>
    </w:p>
  </w:footnote>
  <w:footnote w:id="100">
    <w:p w14:paraId="0E4C89C9" w14:textId="100FCD59" w:rsidR="00865E37" w:rsidRPr="00D10EF8" w:rsidRDefault="000F7152" w:rsidP="005B4367">
      <w:pPr>
        <w:pStyle w:val="FootnoteText"/>
      </w:pPr>
      <w:r w:rsidRPr="00D10EF8">
        <w:tab/>
      </w:r>
      <w:r w:rsidRPr="00093AC5">
        <w:rPr>
          <w:rStyle w:val="FootnoteReference"/>
        </w:rPr>
        <w:footnoteRef/>
      </w:r>
      <w:r w:rsidRPr="00D10EF8">
        <w:tab/>
      </w:r>
      <w:hyperlink r:id="rId139" w:history="1">
        <w:r w:rsidR="00865E37" w:rsidRPr="00E13F11">
          <w:rPr>
            <w:rStyle w:val="FollowedHyperlink"/>
          </w:rPr>
          <w:t>https://www.gov.uk/government/publications/windrush-lessons-learned-review-response-comprehensive-improvement-plan</w:t>
        </w:r>
      </w:hyperlink>
      <w:r w:rsidR="00865E37" w:rsidRPr="00D10EF8">
        <w:t>.</w:t>
      </w:r>
    </w:p>
  </w:footnote>
  <w:footnote w:id="101">
    <w:p w14:paraId="294EAB94" w14:textId="674322E5" w:rsidR="00865E37" w:rsidRPr="00DA5E7E" w:rsidRDefault="000F7152"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CMW/C/GC/1</w:t>
      </w:r>
      <w:r w:rsidR="00BF73AB">
        <w:rPr>
          <w:lang w:val="en-US"/>
        </w:rPr>
        <w:t> ;</w:t>
      </w:r>
      <w:r w:rsidR="00865E37" w:rsidRPr="00DA5E7E">
        <w:rPr>
          <w:lang w:val="en-US"/>
        </w:rPr>
        <w:t xml:space="preserve"> A/HRC/44/57/Add.1, </w:t>
      </w:r>
      <w:r w:rsidR="002A7FA1" w:rsidRPr="00DA5E7E">
        <w:rPr>
          <w:lang w:val="en-US"/>
        </w:rPr>
        <w:t>par. </w:t>
      </w:r>
      <w:r w:rsidR="00865E37" w:rsidRPr="00DA5E7E">
        <w:rPr>
          <w:lang w:val="en-US"/>
        </w:rPr>
        <w:t>29</w:t>
      </w:r>
      <w:r w:rsidR="00BF73AB">
        <w:rPr>
          <w:lang w:val="en-US"/>
        </w:rPr>
        <w:t> ;</w:t>
      </w:r>
      <w:r w:rsidR="00865E37" w:rsidRPr="00DA5E7E">
        <w:rPr>
          <w:lang w:val="en-US"/>
        </w:rPr>
        <w:t xml:space="preserve"> A/HRC/23/48/Add.1, </w:t>
      </w:r>
      <w:r w:rsidR="002A7FA1" w:rsidRPr="00DA5E7E">
        <w:rPr>
          <w:lang w:val="en-US"/>
        </w:rPr>
        <w:t>par. </w:t>
      </w:r>
      <w:r w:rsidR="00865E37" w:rsidRPr="00DA5E7E">
        <w:rPr>
          <w:lang w:val="en-US"/>
        </w:rPr>
        <w:t>18</w:t>
      </w:r>
      <w:r w:rsidR="00BF73AB">
        <w:rPr>
          <w:lang w:val="en-US"/>
        </w:rPr>
        <w:t> ;</w:t>
      </w:r>
      <w:r w:rsidR="00865E37" w:rsidRPr="00DA5E7E">
        <w:rPr>
          <w:lang w:val="en-US"/>
        </w:rPr>
        <w:t xml:space="preserve"> CERD/C/LBN/CO/18-22, </w:t>
      </w:r>
      <w:r w:rsidR="002A7FA1" w:rsidRPr="00DA5E7E">
        <w:rPr>
          <w:lang w:val="en-US"/>
        </w:rPr>
        <w:t>par. </w:t>
      </w:r>
      <w:r w:rsidR="00865E37" w:rsidRPr="00DA5E7E">
        <w:rPr>
          <w:lang w:val="en-US"/>
        </w:rPr>
        <w:t>41</w:t>
      </w:r>
      <w:r w:rsidR="00BF73AB">
        <w:rPr>
          <w:lang w:val="en-US"/>
        </w:rPr>
        <w:t> ;</w:t>
      </w:r>
      <w:r w:rsidR="00865E37" w:rsidRPr="00DA5E7E">
        <w:rPr>
          <w:lang w:val="en-US"/>
        </w:rPr>
        <w:t xml:space="preserve"> CCPR/C/LBN/CO/3, </w:t>
      </w:r>
      <w:r w:rsidR="002A7FA1" w:rsidRPr="00DA5E7E">
        <w:rPr>
          <w:lang w:val="en-US"/>
        </w:rPr>
        <w:t>par. </w:t>
      </w:r>
      <w:r w:rsidR="00865E37" w:rsidRPr="00DA5E7E">
        <w:rPr>
          <w:lang w:val="en-US"/>
        </w:rPr>
        <w:t>39</w:t>
      </w:r>
      <w:r w:rsidR="00BF73AB">
        <w:rPr>
          <w:lang w:val="en-US"/>
        </w:rPr>
        <w:t> ;</w:t>
      </w:r>
      <w:r w:rsidR="00865E37" w:rsidRPr="00DA5E7E">
        <w:rPr>
          <w:lang w:val="en-US"/>
        </w:rPr>
        <w:t xml:space="preserve"> </w:t>
      </w:r>
      <w:hyperlink r:id="rId140" w:history="1">
        <w:r w:rsidR="00865E37" w:rsidRPr="00E13F11">
          <w:rPr>
            <w:rStyle w:val="FollowedHyperlink"/>
            <w:lang w:val="en-US"/>
          </w:rPr>
          <w:t>https://www.aljazeera.com/features/2021/6/16/vanished-the-plight-of-3-ethiopian-domestic-workers-in-lebanon</w:t>
        </w:r>
      </w:hyperlink>
      <w:r w:rsidR="00BF73AB">
        <w:rPr>
          <w:lang w:val="en-US"/>
        </w:rPr>
        <w:t> ;</w:t>
      </w:r>
      <w:r w:rsidR="00865E37" w:rsidRPr="00DA5E7E">
        <w:rPr>
          <w:lang w:val="en-US"/>
        </w:rPr>
        <w:t xml:space="preserve"> </w:t>
      </w:r>
      <w:hyperlink r:id="rId141" w:history="1">
        <w:r w:rsidR="00865E37" w:rsidRPr="00E13F11">
          <w:rPr>
            <w:rStyle w:val="FollowedHyperlink"/>
            <w:lang w:val="en-US"/>
          </w:rPr>
          <w:t>https://www.amnesty.org/en/latest/</w:t>
        </w:r>
        <w:r w:rsidR="00E13F11" w:rsidRPr="00E13F11">
          <w:rPr>
            <w:rStyle w:val="FollowedHyperlink"/>
            <w:lang w:val="en-US"/>
          </w:rPr>
          <w:t xml:space="preserve"> </w:t>
        </w:r>
        <w:r w:rsidR="00865E37" w:rsidRPr="00E13F11">
          <w:rPr>
            <w:rStyle w:val="FollowedHyperlink"/>
            <w:lang w:val="en-US"/>
          </w:rPr>
          <w:t>campaigns/2019/04/lebanon-migrant-domestic-workers-their-house-is-our-prison/</w:t>
        </w:r>
      </w:hyperlink>
      <w:r w:rsidR="00BF73AB">
        <w:rPr>
          <w:rStyle w:val="FollowedHyperlink"/>
          <w:color w:val="auto"/>
          <w:lang w:val="en-US"/>
        </w:rPr>
        <w:t> ;</w:t>
      </w:r>
      <w:r w:rsidR="00865E37" w:rsidRPr="00DA5E7E">
        <w:rPr>
          <w:lang w:val="en-US"/>
        </w:rPr>
        <w:t xml:space="preserve"> </w:t>
      </w:r>
      <w:hyperlink r:id="rId142" w:history="1">
        <w:r w:rsidR="00865E37" w:rsidRPr="00E13F11">
          <w:rPr>
            <w:rStyle w:val="FollowedHyperlink"/>
            <w:lang w:val="en-US"/>
          </w:rPr>
          <w:t>https://www.ilo.org/dyn/normlex/en/f?p=1000:13100:0::NO::P13100_COMMENT_ID,P13100_LANG_CODE:4060524</w:t>
        </w:r>
        <w:r w:rsidR="00E72A57">
          <w:rPr>
            <w:rStyle w:val="FollowedHyperlink"/>
            <w:lang w:val="en-US"/>
          </w:rPr>
          <w:t>.</w:t>
        </w:r>
        <w:r w:rsidR="00865E37" w:rsidRPr="00E13F11">
          <w:rPr>
            <w:rStyle w:val="FollowedHyperlink"/>
            <w:lang w:val="en-US"/>
          </w:rPr>
          <w:t>fr</w:t>
        </w:r>
      </w:hyperlink>
      <w:r w:rsidR="00E72A57">
        <w:rPr>
          <w:rStyle w:val="FollowedHyperlink"/>
          <w:lang w:val="en-US"/>
        </w:rPr>
        <w:t>.</w:t>
      </w:r>
      <w:r w:rsidR="00865E37" w:rsidRPr="00DA5E7E">
        <w:rPr>
          <w:lang w:val="en-US"/>
        </w:rPr>
        <w:t xml:space="preserve"> </w:t>
      </w:r>
    </w:p>
  </w:footnote>
  <w:footnote w:id="102">
    <w:p w14:paraId="4A191226" w14:textId="7FE71399" w:rsidR="00865E37" w:rsidRPr="00DA5E7E" w:rsidRDefault="000F7152" w:rsidP="005B4367">
      <w:pPr>
        <w:pStyle w:val="FootnoteText"/>
        <w:rPr>
          <w:lang w:val="en-US"/>
        </w:rPr>
      </w:pPr>
      <w:r w:rsidRPr="00DA5E7E">
        <w:rPr>
          <w:lang w:val="en-US"/>
        </w:rPr>
        <w:tab/>
      </w:r>
      <w:r w:rsidRPr="00093AC5">
        <w:rPr>
          <w:rStyle w:val="FootnoteReference"/>
        </w:rPr>
        <w:footnoteRef/>
      </w:r>
      <w:r w:rsidRPr="00DA5E7E">
        <w:rPr>
          <w:lang w:val="en-US"/>
        </w:rPr>
        <w:tab/>
      </w:r>
      <w:hyperlink r:id="rId143" w:history="1">
        <w:r w:rsidR="00865E37" w:rsidRPr="004A035C">
          <w:rPr>
            <w:rStyle w:val="FollowedHyperlink"/>
            <w:lang w:val="en-US"/>
          </w:rPr>
          <w:t>https://www.hrw.org/news/2017/12/08/metoo-say-domestic-workers-middle-east</w:t>
        </w:r>
      </w:hyperlink>
      <w:r w:rsidR="00865E37" w:rsidRPr="00DA5E7E">
        <w:rPr>
          <w:lang w:val="en-US"/>
        </w:rPr>
        <w:t>.</w:t>
      </w:r>
    </w:p>
  </w:footnote>
  <w:footnote w:id="103">
    <w:p w14:paraId="3EDA1D49" w14:textId="4BE61F53" w:rsidR="00865E37" w:rsidRPr="00D10EF8" w:rsidRDefault="000F7152" w:rsidP="005B4367">
      <w:pPr>
        <w:pStyle w:val="FootnoteText"/>
      </w:pPr>
      <w:r w:rsidRPr="00DA5E7E">
        <w:rPr>
          <w:lang w:val="en-US"/>
        </w:rPr>
        <w:tab/>
      </w:r>
      <w:r w:rsidRPr="00093AC5">
        <w:rPr>
          <w:rStyle w:val="FootnoteReference"/>
        </w:rPr>
        <w:footnoteRef/>
      </w:r>
      <w:r w:rsidRPr="00D10EF8">
        <w:tab/>
      </w:r>
      <w:r w:rsidR="00865E37" w:rsidRPr="00D10EF8">
        <w:t xml:space="preserve">A/HRC/45/44/Add.2, </w:t>
      </w:r>
      <w:r w:rsidR="002A7FA1">
        <w:t>par. </w:t>
      </w:r>
      <w:r w:rsidR="00865E37" w:rsidRPr="00D10EF8">
        <w:t>130</w:t>
      </w:r>
      <w:r w:rsidR="00BF73AB">
        <w:t> ;</w:t>
      </w:r>
      <w:r w:rsidR="00865E37" w:rsidRPr="00D10EF8">
        <w:t xml:space="preserve"> A/HRC/39/69/Add.2, </w:t>
      </w:r>
      <w:r w:rsidR="002A7FA1">
        <w:t>par. </w:t>
      </w:r>
      <w:r w:rsidR="00865E37" w:rsidRPr="00D10EF8">
        <w:t>45.</w:t>
      </w:r>
    </w:p>
  </w:footnote>
  <w:footnote w:id="104">
    <w:p w14:paraId="50A25F6C" w14:textId="70B2BC1A" w:rsidR="00865E37" w:rsidRPr="00D10EF8" w:rsidRDefault="000F7152" w:rsidP="005B4367">
      <w:pPr>
        <w:pStyle w:val="FootnoteText"/>
      </w:pPr>
      <w:r w:rsidRPr="00D10EF8">
        <w:tab/>
      </w:r>
      <w:r w:rsidRPr="00093AC5">
        <w:rPr>
          <w:rStyle w:val="FootnoteReference"/>
        </w:rPr>
        <w:footnoteRef/>
      </w:r>
      <w:r w:rsidRPr="00D10EF8">
        <w:tab/>
      </w:r>
      <w:hyperlink r:id="rId144" w:history="1">
        <w:r w:rsidR="00865E37" w:rsidRPr="00E13F11">
          <w:rPr>
            <w:rStyle w:val="FollowedHyperlink"/>
          </w:rPr>
          <w:t>https://www.business-humanrights.org/en/latest-news/more-than-1000-companies-pause-advertising-on-facebook-as-part-of-civil-society-campaign-to-stop-spread-of-hate-discrimination-on-the-platform/</w:t>
        </w:r>
      </w:hyperlink>
      <w:r w:rsidR="00865E37" w:rsidRPr="00D10EF8">
        <w:t>.</w:t>
      </w:r>
    </w:p>
  </w:footnote>
  <w:footnote w:id="105">
    <w:p w14:paraId="00338D47" w14:textId="4FBE957B" w:rsidR="00865E37" w:rsidRPr="00D10EF8" w:rsidRDefault="000F7152" w:rsidP="005B4367">
      <w:pPr>
        <w:pStyle w:val="FootnoteText"/>
      </w:pPr>
      <w:r w:rsidRPr="00D10EF8">
        <w:tab/>
      </w:r>
      <w:r w:rsidRPr="00093AC5">
        <w:rPr>
          <w:rStyle w:val="FootnoteReference"/>
        </w:rPr>
        <w:footnoteRef/>
      </w:r>
      <w:r w:rsidRPr="00D10EF8">
        <w:tab/>
      </w:r>
      <w:r w:rsidR="00865E37" w:rsidRPr="00D10EF8">
        <w:t xml:space="preserve">Par exemple, A/HRC/45/44/Add.2, </w:t>
      </w:r>
      <w:r w:rsidR="002A7FA1">
        <w:t>par. </w:t>
      </w:r>
      <w:r w:rsidR="00865E37" w:rsidRPr="00D10EF8">
        <w:t>24 et 25</w:t>
      </w:r>
      <w:r w:rsidR="00BF73AB">
        <w:t> ;</w:t>
      </w:r>
      <w:r w:rsidR="00865E37" w:rsidRPr="00D10EF8">
        <w:t xml:space="preserve"> A/HRC/32/45/Add.1, </w:t>
      </w:r>
      <w:r w:rsidR="002A7FA1">
        <w:t>par. </w:t>
      </w:r>
      <w:r w:rsidR="00865E37" w:rsidRPr="00D10EF8">
        <w:t>46.</w:t>
      </w:r>
    </w:p>
  </w:footnote>
  <w:footnote w:id="106">
    <w:p w14:paraId="54BF8481" w14:textId="53B5732E" w:rsidR="00865E37" w:rsidRPr="00D10EF8" w:rsidRDefault="000F7152" w:rsidP="005B4367">
      <w:pPr>
        <w:pStyle w:val="FootnoteText"/>
      </w:pPr>
      <w:r w:rsidRPr="00D10EF8">
        <w:tab/>
      </w:r>
      <w:r w:rsidRPr="00093AC5">
        <w:rPr>
          <w:rStyle w:val="FootnoteReference"/>
        </w:rPr>
        <w:footnoteRef/>
      </w:r>
      <w:r w:rsidRPr="00D10EF8">
        <w:tab/>
      </w:r>
      <w:r w:rsidR="00865E37" w:rsidRPr="00D10EF8">
        <w:t xml:space="preserve">A/HRC/33/61/Add. 2, </w:t>
      </w:r>
      <w:r w:rsidR="002A7FA1">
        <w:t>par. </w:t>
      </w:r>
      <w:r w:rsidR="00865E37" w:rsidRPr="00D10EF8">
        <w:t>46</w:t>
      </w:r>
      <w:r w:rsidR="00BF73AB">
        <w:t> ;</w:t>
      </w:r>
      <w:r w:rsidR="00865E37" w:rsidRPr="00D10EF8">
        <w:t xml:space="preserve"> A/HRC/42/59/Add.1, </w:t>
      </w:r>
      <w:r w:rsidR="002A7FA1">
        <w:t>par. </w:t>
      </w:r>
      <w:r w:rsidR="00865E37" w:rsidRPr="00D10EF8">
        <w:t>26</w:t>
      </w:r>
      <w:r w:rsidR="00BF73AB">
        <w:t> ;</w:t>
      </w:r>
      <w:r w:rsidR="00865E37" w:rsidRPr="00D10EF8">
        <w:t xml:space="preserve"> </w:t>
      </w:r>
      <w:hyperlink r:id="rId145" w:history="1">
        <w:r w:rsidR="00865E37" w:rsidRPr="00E13F11">
          <w:rPr>
            <w:rStyle w:val="FollowedHyperlink"/>
          </w:rPr>
          <w:t>https://www.oas.org/en/iachr/afro-descendants/docs/pdf/afros_2011_eng.pdf</w:t>
        </w:r>
      </w:hyperlink>
      <w:r w:rsidR="00865E37" w:rsidRPr="00D10EF8">
        <w:t xml:space="preserve">, </w:t>
      </w:r>
      <w:r w:rsidR="002A7FA1">
        <w:t>par. </w:t>
      </w:r>
      <w:r w:rsidR="00865E37" w:rsidRPr="00D10EF8">
        <w:t>112.</w:t>
      </w:r>
    </w:p>
  </w:footnote>
  <w:footnote w:id="107">
    <w:p w14:paraId="524B2D0B" w14:textId="71E6DC81" w:rsidR="00865E37" w:rsidRPr="00DA5E7E" w:rsidRDefault="007F7D6A" w:rsidP="005B4367">
      <w:pPr>
        <w:pStyle w:val="FootnoteText"/>
        <w:rPr>
          <w:lang w:val="en-US"/>
        </w:rPr>
      </w:pPr>
      <w:r w:rsidRPr="00D10EF8">
        <w:tab/>
      </w:r>
      <w:r w:rsidRPr="00093AC5">
        <w:rPr>
          <w:rStyle w:val="FootnoteReference"/>
        </w:rPr>
        <w:footnoteRef/>
      </w:r>
      <w:r w:rsidRPr="00DA5E7E">
        <w:rPr>
          <w:lang w:val="en-US"/>
        </w:rPr>
        <w:tab/>
      </w:r>
      <w:hyperlink r:id="rId146" w:history="1">
        <w:r w:rsidR="00865E37" w:rsidRPr="00E13F11">
          <w:rPr>
            <w:rStyle w:val="FollowedHyperlink"/>
            <w:lang w:val="en-US"/>
          </w:rPr>
          <w:t>www.ohchr.org/Documents/Countries/IT/ItalyMissionReport.pdf</w:t>
        </w:r>
      </w:hyperlink>
      <w:r w:rsidR="00BF73AB">
        <w:rPr>
          <w:rStyle w:val="FollowedHyperlink"/>
          <w:lang w:val="en-US"/>
        </w:rPr>
        <w:t> ;</w:t>
      </w:r>
      <w:r w:rsidR="00865E37" w:rsidRPr="00E13F11">
        <w:rPr>
          <w:rStyle w:val="FollowedHyperlink"/>
          <w:lang w:val="en-US"/>
        </w:rPr>
        <w:t xml:space="preserve"> </w:t>
      </w:r>
      <w:hyperlink r:id="rId147" w:history="1">
        <w:r w:rsidR="00865E37" w:rsidRPr="00E13F11">
          <w:rPr>
            <w:rStyle w:val="FollowedHyperlink"/>
            <w:lang w:val="en-US"/>
          </w:rPr>
          <w:t>https://rm.coe.int/rapport-annuel-ecri-2019/16809ca6d4</w:t>
        </w:r>
      </w:hyperlink>
      <w:r w:rsidR="00BF73AB">
        <w:rPr>
          <w:lang w:val="en-US"/>
        </w:rPr>
        <w:t> ;</w:t>
      </w:r>
      <w:r w:rsidR="00865E37" w:rsidRPr="00DA5E7E">
        <w:rPr>
          <w:lang w:val="en-US"/>
        </w:rPr>
        <w:t xml:space="preserve"> </w:t>
      </w:r>
      <w:hyperlink r:id="rId148" w:history="1">
        <w:r w:rsidR="00865E37" w:rsidRPr="00E13F11">
          <w:rPr>
            <w:rStyle w:val="Hyperlink"/>
            <w:lang w:val="en-US"/>
          </w:rPr>
          <w:t>www.europarl.europa.eu/doceo/document/TA-8-2019-0239_FR.html</w:t>
        </w:r>
      </w:hyperlink>
      <w:r w:rsidR="00BF73AB">
        <w:rPr>
          <w:lang w:val="en-US"/>
        </w:rPr>
        <w:t> ;</w:t>
      </w:r>
      <w:r w:rsidR="00865E37" w:rsidRPr="00DA5E7E">
        <w:rPr>
          <w:lang w:val="en-US"/>
        </w:rPr>
        <w:t xml:space="preserve"> </w:t>
      </w:r>
      <w:hyperlink r:id="rId149" w:history="1">
        <w:r w:rsidR="00865E37" w:rsidRPr="00E13F11">
          <w:rPr>
            <w:rStyle w:val="Hyperlink"/>
            <w:lang w:val="en-US"/>
          </w:rPr>
          <w:t>www.enar-eu.org/IMG/pdf/sr_key_findings-2.pdf</w:t>
        </w:r>
      </w:hyperlink>
      <w:r w:rsidR="00BF73AB">
        <w:rPr>
          <w:rStyle w:val="Hyperlink"/>
          <w:lang w:val="en-US"/>
        </w:rPr>
        <w:t> ;</w:t>
      </w:r>
      <w:r w:rsidR="00865E37" w:rsidRPr="00E13F11">
        <w:rPr>
          <w:rStyle w:val="Hyperlink"/>
          <w:lang w:val="en-US"/>
        </w:rPr>
        <w:t xml:space="preserve"> </w:t>
      </w:r>
      <w:hyperlink r:id="rId150" w:history="1">
        <w:r w:rsidR="00865E37" w:rsidRPr="00E13F11">
          <w:rPr>
            <w:rStyle w:val="Hyperlink"/>
            <w:lang w:val="en-US"/>
          </w:rPr>
          <w:t>www.visionofhumanity.org/wp-content/uploads/2020/11/GTI-2020-web-2.pdf</w:t>
        </w:r>
      </w:hyperlink>
      <w:r w:rsidR="00BF73AB">
        <w:rPr>
          <w:lang w:val="en-US"/>
        </w:rPr>
        <w:t> ;</w:t>
      </w:r>
      <w:r w:rsidR="00865E37" w:rsidRPr="00DA5E7E">
        <w:rPr>
          <w:lang w:val="en-US"/>
        </w:rPr>
        <w:t xml:space="preserve"> </w:t>
      </w:r>
      <w:hyperlink r:id="rId151" w:history="1">
        <w:r w:rsidR="00865E37" w:rsidRPr="00E13F11">
          <w:rPr>
            <w:rStyle w:val="FollowedHyperlink"/>
            <w:lang w:val="en-US"/>
          </w:rPr>
          <w:t>https://assembly.coe.int/LifeRay/</w:t>
        </w:r>
        <w:r w:rsidR="00E13F11" w:rsidRPr="00E13F11">
          <w:rPr>
            <w:rStyle w:val="FollowedHyperlink"/>
            <w:lang w:val="en-US"/>
          </w:rPr>
          <w:t xml:space="preserve"> </w:t>
        </w:r>
        <w:r w:rsidR="00865E37" w:rsidRPr="00E13F11">
          <w:rPr>
            <w:rStyle w:val="FollowedHyperlink"/>
            <w:lang w:val="en-US"/>
          </w:rPr>
          <w:t>EGA/Pdf/Press/2021/20210316-Afrophobie-prov-FR.pdf</w:t>
        </w:r>
      </w:hyperlink>
      <w:r w:rsidR="00BF73AB">
        <w:rPr>
          <w:lang w:val="en-US"/>
        </w:rPr>
        <w:t> ;</w:t>
      </w:r>
      <w:r w:rsidR="00865E37" w:rsidRPr="00DA5E7E">
        <w:rPr>
          <w:lang w:val="en-US"/>
        </w:rPr>
        <w:t xml:space="preserve"> </w:t>
      </w:r>
      <w:hyperlink r:id="rId152" w:history="1">
        <w:r w:rsidR="00865E37" w:rsidRPr="00E13F11">
          <w:rPr>
            <w:rStyle w:val="FollowedHyperlink"/>
            <w:lang w:val="en-US"/>
          </w:rPr>
          <w:t>https://fra.europa.eu/sites/</w:t>
        </w:r>
        <w:r w:rsidR="00E13F11" w:rsidRPr="00E13F11">
          <w:rPr>
            <w:rStyle w:val="FollowedHyperlink"/>
            <w:lang w:val="en-US"/>
          </w:rPr>
          <w:t xml:space="preserve"> </w:t>
        </w:r>
        <w:r w:rsidR="00865E37" w:rsidRPr="00E13F11">
          <w:rPr>
            <w:rStyle w:val="FollowedHyperlink"/>
            <w:lang w:val="en-US"/>
          </w:rPr>
          <w:t>default/files/fra_uploads/fra-2018-fundamental-rights-report-2018_en.pdf</w:t>
        </w:r>
      </w:hyperlink>
      <w:r w:rsidR="00BF73AB">
        <w:rPr>
          <w:lang w:val="en-US"/>
        </w:rPr>
        <w:t> ;</w:t>
      </w:r>
      <w:r w:rsidR="00865E37" w:rsidRPr="00DA5E7E">
        <w:rPr>
          <w:lang w:val="en-US"/>
        </w:rPr>
        <w:t xml:space="preserve"> </w:t>
      </w:r>
      <w:hyperlink r:id="rId153" w:history="1">
        <w:r w:rsidR="00865E37" w:rsidRPr="00E13F11">
          <w:rPr>
            <w:rStyle w:val="FollowedHyperlink"/>
            <w:lang w:val="en-US"/>
          </w:rPr>
          <w:t>www.pewresearch.org/</w:t>
        </w:r>
        <w:r w:rsidR="00E13F11">
          <w:rPr>
            <w:rStyle w:val="FollowedHyperlink"/>
            <w:lang w:val="en-US"/>
          </w:rPr>
          <w:t xml:space="preserve"> </w:t>
        </w:r>
        <w:r w:rsidR="00865E37" w:rsidRPr="00E13F11">
          <w:rPr>
            <w:rStyle w:val="FollowedHyperlink"/>
            <w:lang w:val="en-US"/>
          </w:rPr>
          <w:t>fact-tank/2017/07/25/1-in-4-black-americans-have-faced-online-harassment-because-of-their-race-or-ethnicity/</w:t>
        </w:r>
      </w:hyperlink>
      <w:r w:rsidR="00BF73AB">
        <w:rPr>
          <w:lang w:val="en-US"/>
        </w:rPr>
        <w:t> ;</w:t>
      </w:r>
      <w:r w:rsidR="00865E37" w:rsidRPr="00DA5E7E">
        <w:rPr>
          <w:lang w:val="en-US"/>
        </w:rPr>
        <w:t xml:space="preserve"> </w:t>
      </w:r>
      <w:hyperlink r:id="rId154" w:history="1">
        <w:r w:rsidR="00865E37" w:rsidRPr="00E13F11">
          <w:rPr>
            <w:rStyle w:val="FollowedHyperlink"/>
            <w:lang w:val="en-US"/>
          </w:rPr>
          <w:t>https://mkcentrum.se/wp-content/uploads/2014/12/Afrofobi-20140203-executive-summary.pdf</w:t>
        </w:r>
      </w:hyperlink>
      <w:r w:rsidR="00BF73AB">
        <w:rPr>
          <w:lang w:val="en-US"/>
        </w:rPr>
        <w:t> ;</w:t>
      </w:r>
      <w:r w:rsidR="00865E37" w:rsidRPr="00DA5E7E">
        <w:rPr>
          <w:lang w:val="en-US"/>
        </w:rPr>
        <w:t xml:space="preserve"> </w:t>
      </w:r>
      <w:r w:rsidR="00865E37" w:rsidRPr="00DA5E7E" w:rsidDel="00F457F7">
        <w:rPr>
          <w:lang w:val="en-US"/>
        </w:rPr>
        <w:t>A/</w:t>
      </w:r>
      <w:r w:rsidR="00865E37" w:rsidRPr="00DA5E7E">
        <w:rPr>
          <w:lang w:val="en-US"/>
        </w:rPr>
        <w:t>73/312</w:t>
      </w:r>
      <w:r w:rsidR="00865E37" w:rsidRPr="00DA5E7E" w:rsidDel="00F457F7">
        <w:rPr>
          <w:lang w:val="en-US"/>
        </w:rPr>
        <w:t>.</w:t>
      </w:r>
    </w:p>
  </w:footnote>
  <w:footnote w:id="108">
    <w:p w14:paraId="290BE19A" w14:textId="2CCEBFF6" w:rsidR="00865E37" w:rsidRPr="00D10EF8" w:rsidRDefault="007F7D6A" w:rsidP="005B4367">
      <w:pPr>
        <w:pStyle w:val="FootnoteText"/>
      </w:pPr>
      <w:r w:rsidRPr="00DA5E7E">
        <w:rPr>
          <w:lang w:val="en-US"/>
        </w:rPr>
        <w:tab/>
      </w:r>
      <w:r w:rsidRPr="00093AC5">
        <w:rPr>
          <w:rStyle w:val="FootnoteReference"/>
        </w:rPr>
        <w:footnoteRef/>
      </w:r>
      <w:r w:rsidRPr="00D10EF8">
        <w:tab/>
      </w:r>
      <w:r w:rsidR="00865E37" w:rsidRPr="00D10EF8">
        <w:t>Communication de la Commission européenne contre le racisme et l</w:t>
      </w:r>
      <w:r w:rsidR="00F60EAA">
        <w:t>’</w:t>
      </w:r>
      <w:r w:rsidR="00865E37" w:rsidRPr="00D10EF8">
        <w:t>intolérance (ECRI) du Conseil de l</w:t>
      </w:r>
      <w:r w:rsidR="00F60EAA">
        <w:t>’</w:t>
      </w:r>
      <w:r w:rsidR="00865E37" w:rsidRPr="00D10EF8">
        <w:t>Europe</w:t>
      </w:r>
      <w:r w:rsidR="00BF73AB">
        <w:t> ;</w:t>
      </w:r>
      <w:r w:rsidR="00865E37" w:rsidRPr="00D10EF8">
        <w:t xml:space="preserve"> </w:t>
      </w:r>
      <w:hyperlink r:id="rId155" w:history="1">
        <w:r w:rsidR="00865E37" w:rsidRPr="00E13F11">
          <w:rPr>
            <w:rStyle w:val="FollowedHyperlink"/>
          </w:rPr>
          <w:t>https://openknowledge.worldbank.org/handle/10986/30201</w:t>
        </w:r>
      </w:hyperlink>
      <w:r w:rsidR="00865E37" w:rsidRPr="00D10EF8">
        <w:t xml:space="preserve">, </w:t>
      </w:r>
      <w:r w:rsidR="002A7FA1">
        <w:t>p. </w:t>
      </w:r>
      <w:r w:rsidR="00865E37" w:rsidRPr="00D10EF8">
        <w:t>21,</w:t>
      </w:r>
      <w:r w:rsidR="00865E37" w:rsidRPr="00D10EF8" w:rsidDel="005C4C6B">
        <w:t xml:space="preserve"> </w:t>
      </w:r>
      <w:r w:rsidR="00865E37" w:rsidRPr="00D10EF8">
        <w:t>67 et 68.</w:t>
      </w:r>
    </w:p>
  </w:footnote>
  <w:footnote w:id="109">
    <w:p w14:paraId="47DAAC48" w14:textId="61C73E39" w:rsidR="00865E37" w:rsidRPr="00D10EF8" w:rsidRDefault="007F7D6A" w:rsidP="005B4367">
      <w:pPr>
        <w:pStyle w:val="FootnoteText"/>
      </w:pPr>
      <w:r w:rsidRPr="00D10EF8">
        <w:tab/>
      </w:r>
      <w:r w:rsidRPr="00093AC5">
        <w:rPr>
          <w:rStyle w:val="FootnoteReference"/>
        </w:rPr>
        <w:footnoteRef/>
      </w:r>
      <w:r w:rsidRPr="00D10EF8">
        <w:tab/>
      </w:r>
      <w:hyperlink r:id="rId156" w:history="1">
        <w:r w:rsidR="00865E37" w:rsidRPr="00E13F11">
          <w:rPr>
            <w:rStyle w:val="FollowedHyperlink"/>
          </w:rPr>
          <w:t>https://openknowledge.worldbank.org/handle/10986/30201</w:t>
        </w:r>
      </w:hyperlink>
      <w:r w:rsidR="00865E37" w:rsidRPr="00D10EF8">
        <w:t xml:space="preserve">, </w:t>
      </w:r>
      <w:r w:rsidR="002A7FA1">
        <w:t>p. </w:t>
      </w:r>
      <w:r w:rsidR="00865E37" w:rsidRPr="00D10EF8">
        <w:t>112.</w:t>
      </w:r>
    </w:p>
  </w:footnote>
  <w:footnote w:id="110">
    <w:p w14:paraId="2B10301B" w14:textId="40B53A5B" w:rsidR="00865E37" w:rsidRPr="004732DE" w:rsidRDefault="007F7D6A" w:rsidP="005B4367">
      <w:pPr>
        <w:pStyle w:val="FootnoteText"/>
      </w:pPr>
      <w:r w:rsidRPr="00D10EF8">
        <w:tab/>
      </w:r>
      <w:r w:rsidRPr="00093AC5">
        <w:rPr>
          <w:rStyle w:val="FootnoteReference"/>
        </w:rPr>
        <w:footnoteRef/>
      </w:r>
      <w:r w:rsidRPr="00D10EF8">
        <w:tab/>
      </w:r>
      <w:hyperlink r:id="rId157" w:history="1">
        <w:r w:rsidR="00865E37" w:rsidRPr="00E13F11">
          <w:rPr>
            <w:rStyle w:val="FollowedHyperlink"/>
          </w:rPr>
          <w:t>https://mkcentrum.se/wp-content/uploads/2014/12/Afrofobi-20140203-executive-summary.pdf</w:t>
        </w:r>
      </w:hyperlink>
      <w:r w:rsidR="00865E37" w:rsidRPr="00D10EF8">
        <w:t xml:space="preserve">, </w:t>
      </w:r>
      <w:r w:rsidR="002A7FA1">
        <w:t>p. </w:t>
      </w:r>
      <w:r w:rsidR="00865E37" w:rsidRPr="004732DE">
        <w:t>7</w:t>
      </w:r>
      <w:r w:rsidR="00865E37" w:rsidRPr="004732DE" w:rsidDel="00C609BD">
        <w:t>.</w:t>
      </w:r>
    </w:p>
  </w:footnote>
  <w:footnote w:id="111">
    <w:p w14:paraId="27124F81" w14:textId="7088AE95" w:rsidR="00865E37" w:rsidRPr="00D10EF8" w:rsidRDefault="007F7D6A" w:rsidP="005B4367">
      <w:pPr>
        <w:pStyle w:val="FootnoteText"/>
      </w:pPr>
      <w:r w:rsidRPr="00D10EF8">
        <w:tab/>
      </w:r>
      <w:r w:rsidRPr="00093AC5">
        <w:rPr>
          <w:rStyle w:val="FootnoteReference"/>
        </w:rPr>
        <w:footnoteRef/>
      </w:r>
      <w:r w:rsidRPr="00D10EF8">
        <w:tab/>
      </w:r>
      <w:hyperlink r:id="rId158" w:history="1">
        <w:r w:rsidR="00865E37" w:rsidRPr="00E13F11">
          <w:rPr>
            <w:rStyle w:val="FollowedHyperlink"/>
          </w:rPr>
          <w:t>https://spcommreports.ohchr.org/TMResultsBase/DownLoadPublicCommunicationFile?gId=3275</w:t>
        </w:r>
      </w:hyperlink>
      <w:r w:rsidR="00865E37" w:rsidRPr="00D10EF8">
        <w:t xml:space="preserve">. </w:t>
      </w:r>
    </w:p>
  </w:footnote>
  <w:footnote w:id="112">
    <w:p w14:paraId="0480DD96" w14:textId="09C1788A" w:rsidR="00865E37" w:rsidRPr="00D10EF8" w:rsidRDefault="007F7D6A" w:rsidP="005B4367">
      <w:pPr>
        <w:pStyle w:val="FootnoteText"/>
      </w:pPr>
      <w:r w:rsidRPr="00D10EF8">
        <w:tab/>
      </w:r>
      <w:r w:rsidRPr="00093AC5">
        <w:rPr>
          <w:rStyle w:val="FootnoteReference"/>
        </w:rPr>
        <w:footnoteRef/>
      </w:r>
      <w:r w:rsidRPr="00D10EF8">
        <w:tab/>
      </w:r>
      <w:r w:rsidR="00865E37" w:rsidRPr="00D10EF8">
        <w:t>CERD/C/SVK/CO/11-12, par.11.</w:t>
      </w:r>
    </w:p>
  </w:footnote>
  <w:footnote w:id="113">
    <w:p w14:paraId="5EC16F2D" w14:textId="7C7AB32C"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CERD/C/RUS/CO/23-24, </w:t>
      </w:r>
      <w:r w:rsidR="002A7FA1">
        <w:t>par. </w:t>
      </w:r>
      <w:r w:rsidR="00865E37" w:rsidRPr="00D10EF8">
        <w:t>15.</w:t>
      </w:r>
    </w:p>
  </w:footnote>
  <w:footnote w:id="114">
    <w:p w14:paraId="3DD2E737" w14:textId="39EF1E39"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CERD/C/UKR/CO/22-23, </w:t>
      </w:r>
      <w:r w:rsidR="002A7FA1">
        <w:t>par. </w:t>
      </w:r>
      <w:r w:rsidR="00865E37" w:rsidRPr="00D10EF8">
        <w:t>13.</w:t>
      </w:r>
    </w:p>
  </w:footnote>
  <w:footnote w:id="115">
    <w:p w14:paraId="5EFD08F6" w14:textId="5119605C" w:rsidR="00865E37" w:rsidRPr="00481DD5" w:rsidRDefault="007F7D6A" w:rsidP="005B4367">
      <w:pPr>
        <w:pStyle w:val="FootnoteText"/>
      </w:pPr>
      <w:r w:rsidRPr="00D10EF8">
        <w:tab/>
      </w:r>
      <w:r w:rsidRPr="00093AC5">
        <w:rPr>
          <w:rStyle w:val="FootnoteReference"/>
        </w:rPr>
        <w:footnoteRef/>
      </w:r>
      <w:r w:rsidRPr="00481DD5">
        <w:tab/>
      </w:r>
      <w:r w:rsidR="00865E37" w:rsidRPr="00481DD5">
        <w:t xml:space="preserve">CERD/C/ISR/CO/17-19, </w:t>
      </w:r>
      <w:r w:rsidR="002A7FA1" w:rsidRPr="00481DD5">
        <w:t>par. </w:t>
      </w:r>
      <w:r w:rsidR="00865E37" w:rsidRPr="00481DD5">
        <w:t>26 (al. b))</w:t>
      </w:r>
      <w:r w:rsidR="00BF73AB" w:rsidRPr="00481DD5">
        <w:t> ;</w:t>
      </w:r>
      <w:r w:rsidR="00865E37" w:rsidRPr="00481DD5">
        <w:t xml:space="preserve"> </w:t>
      </w:r>
      <w:hyperlink r:id="rId159" w:history="1">
        <w:r w:rsidR="00865E37" w:rsidRPr="00481DD5">
          <w:rPr>
            <w:rStyle w:val="Hyperlink"/>
          </w:rPr>
          <w:t>https://spcommreports.ohchr.org/TMResultsBase/</w:t>
        </w:r>
        <w:r w:rsidR="00E13F11" w:rsidRPr="00481DD5">
          <w:rPr>
            <w:rStyle w:val="Hyperlink"/>
          </w:rPr>
          <w:t xml:space="preserve"> </w:t>
        </w:r>
        <w:r w:rsidR="00865E37" w:rsidRPr="00481DD5">
          <w:rPr>
            <w:rStyle w:val="Hyperlink"/>
          </w:rPr>
          <w:t>DownLoadPublicCommunicationFile?gId=23609</w:t>
        </w:r>
      </w:hyperlink>
      <w:r w:rsidR="00865E37" w:rsidRPr="00481DD5">
        <w:t xml:space="preserve">. </w:t>
      </w:r>
    </w:p>
  </w:footnote>
  <w:footnote w:id="116">
    <w:p w14:paraId="2C4DB95C" w14:textId="0BAC85BD" w:rsidR="00865E37" w:rsidRPr="00D10EF8" w:rsidRDefault="007F7D6A" w:rsidP="005B4367">
      <w:pPr>
        <w:pStyle w:val="FootnoteText"/>
      </w:pPr>
      <w:r w:rsidRPr="00481DD5">
        <w:tab/>
      </w:r>
      <w:r w:rsidRPr="00093AC5">
        <w:rPr>
          <w:rStyle w:val="FootnoteReference"/>
        </w:rPr>
        <w:footnoteRef/>
      </w:r>
      <w:r w:rsidRPr="00D10EF8">
        <w:tab/>
      </w:r>
      <w:r w:rsidR="00865E37" w:rsidRPr="00D10EF8">
        <w:t xml:space="preserve">CERD/C/POL/CO/22-24, </w:t>
      </w:r>
      <w:r w:rsidR="002A7FA1">
        <w:t>par. </w:t>
      </w:r>
      <w:r w:rsidR="00865E37" w:rsidRPr="00D10EF8">
        <w:t>15 (al. b)).</w:t>
      </w:r>
    </w:p>
  </w:footnote>
  <w:footnote w:id="117">
    <w:p w14:paraId="3CCCB8CB" w14:textId="576F0B7E" w:rsidR="00865E37" w:rsidRPr="00D10EF8" w:rsidRDefault="007F7D6A" w:rsidP="005B4367">
      <w:pPr>
        <w:pStyle w:val="FootnoteText"/>
      </w:pPr>
      <w:r w:rsidRPr="00D10EF8">
        <w:tab/>
      </w:r>
      <w:r w:rsidRPr="00093AC5">
        <w:rPr>
          <w:rStyle w:val="FootnoteReference"/>
        </w:rPr>
        <w:footnoteRef/>
      </w:r>
      <w:r w:rsidRPr="00D10EF8">
        <w:tab/>
      </w:r>
      <w:hyperlink r:id="rId160" w:history="1">
        <w:r w:rsidR="00865E37" w:rsidRPr="00E13F11">
          <w:rPr>
            <w:rStyle w:val="FollowedHyperlink"/>
          </w:rPr>
          <w:t>https://www.ohchr.org/EN/NewsEvents/Pages/DisplayNews.aspx?NewsID=22765</w:t>
        </w:r>
      </w:hyperlink>
      <w:r w:rsidR="00FB284C">
        <w:t>.</w:t>
      </w:r>
    </w:p>
  </w:footnote>
  <w:footnote w:id="118">
    <w:p w14:paraId="14DA0A55" w14:textId="547140A7"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CERD/C/RUS/CO/23-24, </w:t>
      </w:r>
      <w:r w:rsidR="002A7FA1">
        <w:t>par. </w:t>
      </w:r>
      <w:r w:rsidR="00865E37" w:rsidRPr="00D10EF8">
        <w:t>17.</w:t>
      </w:r>
    </w:p>
  </w:footnote>
  <w:footnote w:id="119">
    <w:p w14:paraId="0BCB1667" w14:textId="40BB27FC"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CERD/C/EGY/CO/17-22, </w:t>
      </w:r>
      <w:r w:rsidR="002A7FA1">
        <w:t>par. </w:t>
      </w:r>
      <w:r w:rsidR="00865E37" w:rsidRPr="00D10EF8">
        <w:t>19.</w:t>
      </w:r>
    </w:p>
  </w:footnote>
  <w:footnote w:id="120">
    <w:p w14:paraId="092737C0" w14:textId="2C8EB87E"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CERD/C/GC/34, </w:t>
      </w:r>
      <w:r w:rsidR="002A7FA1">
        <w:t>par. </w:t>
      </w:r>
      <w:r w:rsidR="00865E37" w:rsidRPr="00D10EF8">
        <w:t>9</w:t>
      </w:r>
      <w:r w:rsidR="00BF73AB">
        <w:t> ;</w:t>
      </w:r>
      <w:r w:rsidR="00865E37" w:rsidRPr="00D10EF8">
        <w:t xml:space="preserve"> Déclaration et Programme d</w:t>
      </w:r>
      <w:r w:rsidR="00F60EAA">
        <w:t>’</w:t>
      </w:r>
      <w:r w:rsidR="00865E37" w:rsidRPr="00D10EF8">
        <w:t xml:space="preserve">action de Durban, </w:t>
      </w:r>
      <w:r w:rsidR="002A7FA1">
        <w:t>par. </w:t>
      </w:r>
      <w:r w:rsidR="00865E37" w:rsidRPr="00D10EF8">
        <w:t>92 et 98</w:t>
      </w:r>
      <w:r w:rsidR="00BF73AB">
        <w:t> ;</w:t>
      </w:r>
      <w:r w:rsidR="00865E37" w:rsidRPr="00D10EF8">
        <w:t xml:space="preserve"> A/70/335</w:t>
      </w:r>
      <w:r w:rsidR="00BF73AB">
        <w:t> ;</w:t>
      </w:r>
      <w:r w:rsidR="00865E37" w:rsidRPr="00D10EF8">
        <w:t xml:space="preserve"> </w:t>
      </w:r>
      <w:hyperlink r:id="rId161" w:history="1">
        <w:r w:rsidR="00865E37" w:rsidRPr="00D148FD">
          <w:rPr>
            <w:rStyle w:val="FollowedHyperlink"/>
          </w:rPr>
          <w:t>https://www.ohchr.org/Documents/Issues/Racism/WGEAPD/Guidelines_inclusion_2030_</w:t>
        </w:r>
        <w:r w:rsidR="00D148FD">
          <w:rPr>
            <w:rStyle w:val="FollowedHyperlink"/>
          </w:rPr>
          <w:t xml:space="preserve"> </w:t>
        </w:r>
        <w:r w:rsidR="00865E37" w:rsidRPr="00D148FD">
          <w:rPr>
            <w:rStyle w:val="FollowedHyperlink"/>
          </w:rPr>
          <w:t>Agenda.pdf</w:t>
        </w:r>
      </w:hyperlink>
      <w:r w:rsidR="00BF73AB">
        <w:t> ;</w:t>
      </w:r>
      <w:r w:rsidR="00865E37" w:rsidRPr="00D10EF8">
        <w:t xml:space="preserve"> </w:t>
      </w:r>
      <w:hyperlink r:id="rId162" w:history="1">
        <w:r w:rsidR="00865E37" w:rsidRPr="00D148FD">
          <w:rPr>
            <w:rStyle w:val="FollowedHyperlink"/>
          </w:rPr>
          <w:t>https://ec.europa.eu/info/sites/default/files/final_guidelines_4-10-18_without_date_july.pdf</w:t>
        </w:r>
      </w:hyperlink>
      <w:r w:rsidR="00BF73AB">
        <w:t> ;</w:t>
      </w:r>
      <w:r w:rsidR="00865E37" w:rsidRPr="00D10EF8">
        <w:t xml:space="preserve"> </w:t>
      </w:r>
      <w:hyperlink r:id="rId163" w:history="1">
        <w:r w:rsidR="00865E37" w:rsidRPr="00D148FD">
          <w:rPr>
            <w:rStyle w:val="FollowedHyperlink"/>
          </w:rPr>
          <w:t>https://op.europa.eu/en/publication-detail/-/publication/1dcc2e44-4370-11ea-b81b-01aa75ed71a1/language-nl</w:t>
        </w:r>
      </w:hyperlink>
      <w:r w:rsidR="00BF73AB">
        <w:t> ;</w:t>
      </w:r>
      <w:r w:rsidR="00865E37" w:rsidRPr="00D10EF8">
        <w:t xml:space="preserve"> </w:t>
      </w:r>
      <w:hyperlink r:id="rId164" w:history="1">
        <w:r w:rsidR="00865E37" w:rsidRPr="00D148FD">
          <w:rPr>
            <w:rStyle w:val="FollowedHyperlink"/>
          </w:rPr>
          <w:t>https://www.worldbank.org/en/region/lac/brief/afro-descendants-in-latin-america</w:t>
        </w:r>
      </w:hyperlink>
      <w:r w:rsidR="00BF73AB">
        <w:t> ;</w:t>
      </w:r>
      <w:r w:rsidR="00865E37" w:rsidRPr="00D10EF8">
        <w:t xml:space="preserve"> </w:t>
      </w:r>
      <w:hyperlink r:id="rId165" w:history="1">
        <w:r w:rsidR="00865E37" w:rsidRPr="00D148FD">
          <w:rPr>
            <w:rStyle w:val="FollowedHyperlink"/>
          </w:rPr>
          <w:t>https://repositorio.cepal.org/bitstream/handle/11362/</w:t>
        </w:r>
        <w:r w:rsidR="00D148FD">
          <w:rPr>
            <w:rStyle w:val="FollowedHyperlink"/>
          </w:rPr>
          <w:t xml:space="preserve"> </w:t>
        </w:r>
        <w:r w:rsidR="00865E37" w:rsidRPr="00D148FD">
          <w:rPr>
            <w:rStyle w:val="FollowedHyperlink"/>
          </w:rPr>
          <w:t>45202/1/S1900854_es.pdf</w:t>
        </w:r>
      </w:hyperlink>
      <w:r w:rsidR="00865E37" w:rsidRPr="00D10EF8">
        <w:t>.</w:t>
      </w:r>
    </w:p>
  </w:footnote>
  <w:footnote w:id="121">
    <w:p w14:paraId="40927B6B" w14:textId="2D76CF24"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CERD/C/FRA/CO/17-19, </w:t>
      </w:r>
      <w:r w:rsidR="002A7FA1">
        <w:t>par. </w:t>
      </w:r>
      <w:r w:rsidR="00865E37" w:rsidRPr="00D10EF8">
        <w:t>12</w:t>
      </w:r>
      <w:r w:rsidR="00BF73AB">
        <w:t> ;</w:t>
      </w:r>
      <w:r w:rsidR="00865E37" w:rsidRPr="00D10EF8">
        <w:t xml:space="preserve"> </w:t>
      </w:r>
      <w:hyperlink r:id="rId166" w:history="1">
        <w:r w:rsidR="00865E37" w:rsidRPr="00D148FD">
          <w:rPr>
            <w:rStyle w:val="FollowedHyperlink"/>
          </w:rPr>
          <w:t>https://rm.coe.int/cinquieme-rapport-sur-la-france/16808b572e</w:t>
        </w:r>
      </w:hyperlink>
      <w:r w:rsidR="00865E37" w:rsidRPr="00D10EF8">
        <w:t xml:space="preserve">, </w:t>
      </w:r>
      <w:r w:rsidR="002A7FA1">
        <w:t>par. </w:t>
      </w:r>
      <w:r w:rsidR="00865E37" w:rsidRPr="00D10EF8">
        <w:t>113 et 114.</w:t>
      </w:r>
    </w:p>
  </w:footnote>
  <w:footnote w:id="122">
    <w:p w14:paraId="4E959A54" w14:textId="18D09210" w:rsidR="00865E37" w:rsidRPr="00D10EF8" w:rsidRDefault="007F7D6A" w:rsidP="005B4367">
      <w:pPr>
        <w:pStyle w:val="FootnoteText"/>
      </w:pPr>
      <w:r w:rsidRPr="00D10EF8">
        <w:tab/>
      </w:r>
      <w:r w:rsidRPr="00093AC5">
        <w:rPr>
          <w:rStyle w:val="FootnoteReference"/>
        </w:rPr>
        <w:footnoteRef/>
      </w:r>
      <w:r w:rsidRPr="00D10EF8">
        <w:tab/>
      </w:r>
      <w:hyperlink r:id="rId167" w:history="1">
        <w:r w:rsidR="00865E37" w:rsidRPr="00D148FD">
          <w:rPr>
            <w:rStyle w:val="FollowedHyperlink"/>
          </w:rPr>
          <w:t>https://www.insee.fr/fr/information/2108548</w:t>
        </w:r>
      </w:hyperlink>
      <w:r w:rsidR="00BF73AB">
        <w:t> ;</w:t>
      </w:r>
      <w:r w:rsidR="00865E37" w:rsidRPr="00D10EF8">
        <w:t xml:space="preserve"> CERD/C/FRA/CO/17-19, </w:t>
      </w:r>
      <w:r w:rsidR="002A7FA1">
        <w:t>par. </w:t>
      </w:r>
      <w:r w:rsidR="00865E37" w:rsidRPr="00D10EF8">
        <w:t>12</w:t>
      </w:r>
      <w:r w:rsidR="00BF73AB">
        <w:t> ;</w:t>
      </w:r>
      <w:r w:rsidR="00865E37" w:rsidRPr="00D10EF8">
        <w:t xml:space="preserve"> </w:t>
      </w:r>
      <w:hyperlink r:id="rId168" w:history="1">
        <w:r w:rsidR="00865E37" w:rsidRPr="00D148FD">
          <w:rPr>
            <w:rStyle w:val="FollowedHyperlink"/>
          </w:rPr>
          <w:t>https://rm.coe.int/cinquieme-rapport-sur-la-france/16808b572e</w:t>
        </w:r>
      </w:hyperlink>
      <w:r w:rsidR="00865E37" w:rsidRPr="00D10EF8">
        <w:t xml:space="preserve">, </w:t>
      </w:r>
      <w:r w:rsidR="002A7FA1">
        <w:t>par. </w:t>
      </w:r>
      <w:r w:rsidR="00865E37" w:rsidRPr="00D10EF8">
        <w:t>113 et 114.</w:t>
      </w:r>
    </w:p>
  </w:footnote>
  <w:footnote w:id="123">
    <w:p w14:paraId="5C4E55EA" w14:textId="40375C3E" w:rsidR="00865E37" w:rsidRPr="00D10EF8" w:rsidRDefault="007F7D6A" w:rsidP="005B4367">
      <w:pPr>
        <w:pStyle w:val="FootnoteText"/>
      </w:pPr>
      <w:r w:rsidRPr="00D10EF8">
        <w:tab/>
      </w:r>
      <w:r w:rsidRPr="00093AC5">
        <w:rPr>
          <w:rStyle w:val="FootnoteReference"/>
        </w:rPr>
        <w:footnoteRef/>
      </w:r>
      <w:r w:rsidRPr="00D10EF8">
        <w:tab/>
      </w:r>
      <w:hyperlink r:id="rId169" w:history="1">
        <w:r w:rsidR="00865E37" w:rsidRPr="00D148FD">
          <w:rPr>
            <w:rStyle w:val="FollowedHyperlink"/>
          </w:rPr>
          <w:t>https://rm.coe.int/cinquieme-rapport-sur-la-france/16808b572e</w:t>
        </w:r>
      </w:hyperlink>
      <w:r w:rsidR="00865E37" w:rsidRPr="00D10EF8">
        <w:t xml:space="preserve">, </w:t>
      </w:r>
      <w:r w:rsidR="002A7FA1">
        <w:t>par. </w:t>
      </w:r>
      <w:r w:rsidR="00865E37" w:rsidRPr="00D10EF8">
        <w:t>115</w:t>
      </w:r>
      <w:r w:rsidR="00BF73AB">
        <w:t> ;</w:t>
      </w:r>
      <w:r w:rsidR="00865E37" w:rsidRPr="00D10EF8">
        <w:t xml:space="preserve"> CERD/C/FRA/CO/20-21, </w:t>
      </w:r>
      <w:r w:rsidR="002A7FA1">
        <w:t>par. </w:t>
      </w:r>
      <w:r w:rsidR="00865E37" w:rsidRPr="00D10EF8">
        <w:t>5</w:t>
      </w:r>
      <w:r w:rsidR="00BF73AB">
        <w:t> ;</w:t>
      </w:r>
      <w:r w:rsidR="00865E37" w:rsidRPr="00D10EF8">
        <w:t xml:space="preserve"> A/HRC/7/23/Add.2, </w:t>
      </w:r>
      <w:r w:rsidR="002A7FA1">
        <w:t>par. </w:t>
      </w:r>
      <w:r w:rsidR="00865E37" w:rsidRPr="00D10EF8">
        <w:t>81 et 82</w:t>
      </w:r>
      <w:r w:rsidR="00BF73AB">
        <w:t> ;</w:t>
      </w:r>
      <w:r w:rsidR="00865E37" w:rsidRPr="00D10EF8">
        <w:t xml:space="preserve"> </w:t>
      </w:r>
      <w:hyperlink r:id="rId170" w:history="1">
        <w:r w:rsidR="00865E37" w:rsidRPr="00D148FD">
          <w:rPr>
            <w:rStyle w:val="FollowedHyperlink"/>
          </w:rPr>
          <w:t>https://www.defenseurdesdroits.fr/sites/default/files/</w:t>
        </w:r>
        <w:r w:rsidR="00D148FD">
          <w:rPr>
            <w:rStyle w:val="FollowedHyperlink"/>
          </w:rPr>
          <w:t xml:space="preserve"> </w:t>
        </w:r>
        <w:r w:rsidR="00865E37" w:rsidRPr="00D148FD">
          <w:rPr>
            <w:rStyle w:val="FollowedHyperlink"/>
          </w:rPr>
          <w:t>atoms/files/rap-origine-en-num-22.09.20.pdf</w:t>
        </w:r>
      </w:hyperlink>
      <w:r w:rsidR="00865E37" w:rsidRPr="00D10EF8">
        <w:t xml:space="preserve">, </w:t>
      </w:r>
      <w:r w:rsidR="002A7FA1">
        <w:t>p. </w:t>
      </w:r>
      <w:r w:rsidR="00865E37" w:rsidRPr="00D10EF8">
        <w:t>58</w:t>
      </w:r>
      <w:r w:rsidR="00BF73AB">
        <w:t> ;</w:t>
      </w:r>
      <w:r w:rsidR="00865E37" w:rsidRPr="00D10EF8">
        <w:t xml:space="preserve"> </w:t>
      </w:r>
      <w:hyperlink r:id="rId171" w:history="1">
        <w:r w:rsidR="00865E37" w:rsidRPr="00D148FD">
          <w:rPr>
            <w:rStyle w:val="FollowedHyperlink"/>
          </w:rPr>
          <w:t>https://www.cncdh.fr/sites/default/files/</w:t>
        </w:r>
        <w:r w:rsidR="00D148FD">
          <w:rPr>
            <w:rStyle w:val="FollowedHyperlink"/>
          </w:rPr>
          <w:t xml:space="preserve"> </w:t>
        </w:r>
        <w:r w:rsidR="00865E37" w:rsidRPr="00D148FD">
          <w:rPr>
            <w:rStyle w:val="FollowedHyperlink"/>
          </w:rPr>
          <w:t>rapport_racisme_2019_focus_racisme_anti-noirs_vdef.pdf</w:t>
        </w:r>
      </w:hyperlink>
      <w:r w:rsidR="00865E37" w:rsidRPr="00D10EF8">
        <w:t xml:space="preserve">, </w:t>
      </w:r>
      <w:r w:rsidR="002A7FA1">
        <w:t>p. </w:t>
      </w:r>
      <w:r w:rsidR="00865E37" w:rsidRPr="00D10EF8">
        <w:t>25 et 29.</w:t>
      </w:r>
    </w:p>
  </w:footnote>
  <w:footnote w:id="124">
    <w:p w14:paraId="4442E433" w14:textId="378CA01E"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A/70/335, </w:t>
      </w:r>
      <w:r w:rsidR="002A7FA1">
        <w:t>par. </w:t>
      </w:r>
      <w:r w:rsidR="00865E37" w:rsidRPr="00D10EF8">
        <w:t>37.</w:t>
      </w:r>
    </w:p>
  </w:footnote>
  <w:footnote w:id="125">
    <w:p w14:paraId="55394B79" w14:textId="522856C8"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A/70/335, </w:t>
      </w:r>
      <w:r w:rsidR="002A7FA1">
        <w:t>par. </w:t>
      </w:r>
      <w:r w:rsidR="00865E37" w:rsidRPr="00D10EF8">
        <w:t>36</w:t>
      </w:r>
      <w:r w:rsidR="00865E37" w:rsidRPr="00D10EF8" w:rsidDel="008061A9">
        <w:t>.</w:t>
      </w:r>
    </w:p>
  </w:footnote>
  <w:footnote w:id="126">
    <w:p w14:paraId="12113DB9" w14:textId="4A9EFEE0" w:rsidR="00865E37" w:rsidRPr="00D10EF8" w:rsidRDefault="007F7D6A" w:rsidP="005B4367">
      <w:pPr>
        <w:pStyle w:val="FootnoteText"/>
      </w:pPr>
      <w:r w:rsidRPr="00D10EF8">
        <w:tab/>
      </w:r>
      <w:r w:rsidRPr="00093AC5">
        <w:rPr>
          <w:rStyle w:val="FootnoteReference"/>
        </w:rPr>
        <w:footnoteRef/>
      </w:r>
      <w:r w:rsidRPr="00D10EF8">
        <w:tab/>
      </w:r>
      <w:r w:rsidR="00865E37" w:rsidRPr="00D10EF8">
        <w:t>Communication de l</w:t>
      </w:r>
      <w:r w:rsidR="00F60EAA">
        <w:t>’</w:t>
      </w:r>
      <w:r w:rsidR="00865E37" w:rsidRPr="00D10EF8">
        <w:t>Union européenne</w:t>
      </w:r>
      <w:r w:rsidR="00BF73AB">
        <w:t> ;</w:t>
      </w:r>
      <w:r w:rsidR="00865E37" w:rsidRPr="00D10EF8">
        <w:t xml:space="preserve"> </w:t>
      </w:r>
      <w:hyperlink r:id="rId172" w:history="1">
        <w:r w:rsidR="00865E37" w:rsidRPr="00390269">
          <w:rPr>
            <w:rStyle w:val="FollowedHyperlink"/>
          </w:rPr>
          <w:t>https://op.europa.eu/en/publication-detail/-/publication/1dcc2e44-4370-11ea-b81b-01aa75ed71a1/language-e</w:t>
        </w:r>
        <w:r w:rsidR="00865E37" w:rsidRPr="00D10EF8">
          <w:t>n</w:t>
        </w:r>
      </w:hyperlink>
      <w:r w:rsidR="00865E37" w:rsidRPr="00D10EF8">
        <w:t xml:space="preserve">, </w:t>
      </w:r>
      <w:r w:rsidR="002A7FA1">
        <w:t>p. </w:t>
      </w:r>
      <w:r w:rsidR="00865E37" w:rsidRPr="00D10EF8">
        <w:t>45.</w:t>
      </w:r>
    </w:p>
  </w:footnote>
  <w:footnote w:id="127">
    <w:p w14:paraId="3A7990BD" w14:textId="7A62DB1E" w:rsidR="00865E37" w:rsidRPr="00D10EF8" w:rsidRDefault="007F7D6A" w:rsidP="005B4367">
      <w:pPr>
        <w:pStyle w:val="FootnoteText"/>
      </w:pPr>
      <w:r w:rsidRPr="00D10EF8">
        <w:tab/>
      </w:r>
      <w:r w:rsidRPr="00093AC5">
        <w:rPr>
          <w:rStyle w:val="FootnoteReference"/>
        </w:rPr>
        <w:footnoteRef/>
      </w:r>
      <w:r w:rsidRPr="00D10EF8">
        <w:tab/>
      </w:r>
      <w:hyperlink r:id="rId173" w:history="1">
        <w:r w:rsidR="00865E37" w:rsidRPr="00390269">
          <w:rPr>
            <w:rStyle w:val="FollowedHyperlink"/>
          </w:rPr>
          <w:t>https://ec.europa.eu/info/sites/default/files/fr-orientations_pour_ameliorer_la_collecte_et_lutilisation_</w:t>
        </w:r>
        <w:r w:rsidR="00390269">
          <w:rPr>
            <w:rStyle w:val="FollowedHyperlink"/>
          </w:rPr>
          <w:t xml:space="preserve"> </w:t>
        </w:r>
        <w:r w:rsidR="00865E37" w:rsidRPr="00390269">
          <w:rPr>
            <w:rStyle w:val="FollowedHyperlink"/>
          </w:rPr>
          <w:t>des_donnees_relatives_a_legalite</w:t>
        </w:r>
        <w:r w:rsidR="00865E37" w:rsidRPr="00DF4EA0">
          <w:t>.pdf</w:t>
        </w:r>
      </w:hyperlink>
      <w:r w:rsidR="00BF73AB">
        <w:t> ;</w:t>
      </w:r>
      <w:r w:rsidR="00865E37" w:rsidRPr="00D10EF8">
        <w:t xml:space="preserve"> </w:t>
      </w:r>
      <w:hyperlink r:id="rId174" w:history="1">
        <w:r w:rsidR="00865E37" w:rsidRPr="00390269">
          <w:rPr>
            <w:rStyle w:val="FollowedHyperlink"/>
          </w:rPr>
          <w:t>https://fra.europa.eu/sites/default/files/fra_uploads/fra-2019-being-black-in-the-eu-summary_fr.pdf</w:t>
        </w:r>
      </w:hyperlink>
      <w:r w:rsidR="00865E37" w:rsidRPr="00D10EF8">
        <w:t xml:space="preserve">, </w:t>
      </w:r>
      <w:r w:rsidR="002A7FA1">
        <w:t>p. </w:t>
      </w:r>
      <w:r w:rsidR="00865E37" w:rsidRPr="00D10EF8">
        <w:t>8.</w:t>
      </w:r>
    </w:p>
  </w:footnote>
  <w:footnote w:id="128">
    <w:p w14:paraId="64B274C8" w14:textId="587D24AB" w:rsidR="00865E37" w:rsidRPr="00D10EF8" w:rsidRDefault="007F7D6A" w:rsidP="005B4367">
      <w:pPr>
        <w:pStyle w:val="FootnoteText"/>
      </w:pPr>
      <w:r w:rsidRPr="00D10EF8">
        <w:tab/>
      </w:r>
      <w:r w:rsidRPr="00093AC5">
        <w:rPr>
          <w:rStyle w:val="FootnoteReference"/>
        </w:rPr>
        <w:footnoteRef/>
      </w:r>
      <w:r w:rsidRPr="00D10EF8">
        <w:tab/>
      </w:r>
      <w:r w:rsidR="00865E37" w:rsidRPr="00D10EF8">
        <w:t>Communication de l</w:t>
      </w:r>
      <w:r w:rsidR="00F60EAA">
        <w:t>’</w:t>
      </w:r>
      <w:r w:rsidR="00865E37" w:rsidRPr="00D10EF8">
        <w:t>Union européenne</w:t>
      </w:r>
      <w:r w:rsidR="00BF73AB">
        <w:t> ;</w:t>
      </w:r>
      <w:r w:rsidR="00865E37" w:rsidRPr="00D10EF8">
        <w:t xml:space="preserve"> </w:t>
      </w:r>
      <w:hyperlink r:id="rId175" w:history="1">
        <w:r w:rsidR="00865E37" w:rsidRPr="00390269">
          <w:rPr>
            <w:rStyle w:val="FollowedHyperlink"/>
          </w:rPr>
          <w:t>https://ec.europa.eu/info/sites/default/files/a_union_of_</w:t>
        </w:r>
        <w:r w:rsidR="00390269">
          <w:rPr>
            <w:rStyle w:val="FollowedHyperlink"/>
          </w:rPr>
          <w:t xml:space="preserve"> </w:t>
        </w:r>
        <w:r w:rsidR="00865E37" w:rsidRPr="00390269">
          <w:rPr>
            <w:rStyle w:val="FollowedHyperlink"/>
          </w:rPr>
          <w:t>equality_eu_action_plan_against_racism_2020_-2025_fr.pdf</w:t>
        </w:r>
      </w:hyperlink>
      <w:r w:rsidR="00865E37" w:rsidRPr="00D10EF8">
        <w:t xml:space="preserve">, </w:t>
      </w:r>
      <w:r w:rsidR="002A7FA1">
        <w:t>p. </w:t>
      </w:r>
      <w:r w:rsidR="00865E37" w:rsidRPr="00D10EF8">
        <w:t>16.</w:t>
      </w:r>
    </w:p>
  </w:footnote>
  <w:footnote w:id="129">
    <w:p w14:paraId="2D36F97E" w14:textId="46713BEA" w:rsidR="00865E37" w:rsidRPr="00DA5E7E" w:rsidRDefault="007F7D6A" w:rsidP="005B4367">
      <w:pPr>
        <w:pStyle w:val="FootnoteText"/>
        <w:rPr>
          <w:lang w:val="en-US"/>
        </w:rPr>
      </w:pPr>
      <w:r w:rsidRPr="00D10EF8">
        <w:tab/>
      </w:r>
      <w:r w:rsidRPr="00093AC5">
        <w:rPr>
          <w:rStyle w:val="FootnoteReference"/>
        </w:rPr>
        <w:footnoteRef/>
      </w:r>
      <w:r w:rsidRPr="00DA5E7E">
        <w:rPr>
          <w:lang w:val="en-US"/>
        </w:rPr>
        <w:tab/>
      </w:r>
      <w:hyperlink r:id="rId176" w:history="1">
        <w:r w:rsidR="00865E37" w:rsidRPr="004A035C">
          <w:rPr>
            <w:rStyle w:val="FollowedHyperlink"/>
            <w:lang w:val="en-US"/>
          </w:rPr>
          <w:t>https://ec.europa.eu/info/sites/default/files/report_on_the_application_of_the_racial_equality_ directive_and_the_employment_equality_directive_en.pdf</w:t>
        </w:r>
      </w:hyperlink>
      <w:r w:rsidR="00865E37" w:rsidRPr="00DA5E7E">
        <w:rPr>
          <w:lang w:val="en-US"/>
        </w:rPr>
        <w:t xml:space="preserve">, </w:t>
      </w:r>
      <w:r w:rsidR="002A7FA1" w:rsidRPr="00DA5E7E">
        <w:rPr>
          <w:lang w:val="en-US"/>
        </w:rPr>
        <w:t>par. </w:t>
      </w:r>
      <w:r w:rsidR="00865E37" w:rsidRPr="00DA5E7E">
        <w:rPr>
          <w:lang w:val="en-US"/>
        </w:rPr>
        <w:t>2.5.</w:t>
      </w:r>
    </w:p>
  </w:footnote>
  <w:footnote w:id="130">
    <w:p w14:paraId="310E32A3" w14:textId="04F5A970"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hyperlink r:id="rId177" w:history="1">
        <w:r w:rsidR="00865E37" w:rsidRPr="004A035C">
          <w:rPr>
            <w:rStyle w:val="FollowedHyperlink"/>
            <w:lang w:val="en-US"/>
          </w:rPr>
          <w:t>https://ec.europa.eu/info/sites/default/files/report_on_the_application_of_the_racial_equality_ directive_and_the_employment_equality_directive_en.pdf</w:t>
        </w:r>
      </w:hyperlink>
      <w:r w:rsidR="00865E37" w:rsidRPr="00DA5E7E">
        <w:rPr>
          <w:lang w:val="en-US"/>
        </w:rPr>
        <w:t xml:space="preserve">, </w:t>
      </w:r>
      <w:r w:rsidR="002A7FA1" w:rsidRPr="00DA5E7E">
        <w:rPr>
          <w:lang w:val="en-US"/>
        </w:rPr>
        <w:t>par. </w:t>
      </w:r>
      <w:r w:rsidR="00865E37" w:rsidRPr="00DA5E7E">
        <w:rPr>
          <w:lang w:val="en-US"/>
        </w:rPr>
        <w:t>2.5</w:t>
      </w:r>
    </w:p>
  </w:footnote>
  <w:footnote w:id="131">
    <w:p w14:paraId="08B96538" w14:textId="1BCA5EE2" w:rsidR="00865E37" w:rsidRPr="00D10EF8" w:rsidRDefault="007F7D6A" w:rsidP="005B4367">
      <w:pPr>
        <w:pStyle w:val="FootnoteText"/>
      </w:pPr>
      <w:r w:rsidRPr="00DA5E7E">
        <w:rPr>
          <w:lang w:val="en-US"/>
        </w:rPr>
        <w:tab/>
      </w:r>
      <w:r w:rsidRPr="00093AC5">
        <w:rPr>
          <w:rStyle w:val="FootnoteReference"/>
        </w:rPr>
        <w:footnoteRef/>
      </w:r>
      <w:r w:rsidRPr="00D10EF8">
        <w:tab/>
      </w:r>
      <w:hyperlink r:id="rId178" w:history="1">
        <w:r w:rsidR="00865E37" w:rsidRPr="00390269">
          <w:rPr>
            <w:rStyle w:val="FollowedHyperlink"/>
          </w:rPr>
          <w:t>https://www.ethnicity-facts-figures.service.gov.uk/</w:t>
        </w:r>
      </w:hyperlink>
      <w:r w:rsidR="00BF73AB">
        <w:t> ;</w:t>
      </w:r>
      <w:r w:rsidR="00865E37" w:rsidRPr="00D10EF8">
        <w:t xml:space="preserve"> A/70/335, </w:t>
      </w:r>
      <w:r w:rsidR="002A7FA1">
        <w:t>par. </w:t>
      </w:r>
      <w:r w:rsidR="00865E37" w:rsidRPr="00D10EF8">
        <w:t>69</w:t>
      </w:r>
      <w:r w:rsidR="00BF73AB">
        <w:t> ;</w:t>
      </w:r>
      <w:r w:rsidR="00865E37" w:rsidRPr="00D10EF8">
        <w:t xml:space="preserve"> </w:t>
      </w:r>
      <w:r w:rsidR="00865E37" w:rsidRPr="00D10EF8">
        <w:rPr>
          <w:bCs/>
        </w:rPr>
        <w:t xml:space="preserve">A/HRC/24/52/Add.1, </w:t>
      </w:r>
      <w:r w:rsidR="002A7FA1">
        <w:rPr>
          <w:bCs/>
        </w:rPr>
        <w:t>par. </w:t>
      </w:r>
      <w:r w:rsidR="00865E37" w:rsidRPr="00D10EF8">
        <w:rPr>
          <w:bCs/>
        </w:rPr>
        <w:t>24.</w:t>
      </w:r>
    </w:p>
  </w:footnote>
  <w:footnote w:id="132">
    <w:p w14:paraId="4B6CCC31" w14:textId="733A15AE" w:rsidR="00865E37" w:rsidRPr="00D10EF8" w:rsidRDefault="007F7D6A" w:rsidP="005B4367">
      <w:pPr>
        <w:pStyle w:val="FootnoteText"/>
      </w:pPr>
      <w:r w:rsidRPr="00D10EF8">
        <w:tab/>
      </w:r>
      <w:r w:rsidRPr="00093AC5">
        <w:rPr>
          <w:rStyle w:val="FootnoteReference"/>
        </w:rPr>
        <w:footnoteRef/>
      </w:r>
      <w:r w:rsidRPr="00D10EF8">
        <w:tab/>
      </w:r>
      <w:hyperlink r:id="rId179" w:history="1">
        <w:r w:rsidR="00865E37" w:rsidRPr="00390269">
          <w:rPr>
            <w:rStyle w:val="FollowedHyperlink"/>
          </w:rPr>
          <w:t>https://www.gov.uk/government/publications/race-disparity-audit</w:t>
        </w:r>
      </w:hyperlink>
      <w:r w:rsidR="00865E37" w:rsidRPr="00390269">
        <w:rPr>
          <w:rStyle w:val="FollowedHyperlink"/>
        </w:rPr>
        <w:t>.</w:t>
      </w:r>
    </w:p>
  </w:footnote>
  <w:footnote w:id="133">
    <w:p w14:paraId="27E24C25" w14:textId="4D227DD7" w:rsidR="00865E37" w:rsidRPr="00D10EF8" w:rsidRDefault="007F7D6A" w:rsidP="005B4367">
      <w:pPr>
        <w:pStyle w:val="FootnoteText"/>
      </w:pPr>
      <w:r w:rsidRPr="00D10EF8">
        <w:tab/>
      </w:r>
      <w:r w:rsidRPr="00093AC5">
        <w:rPr>
          <w:rStyle w:val="FootnoteReference"/>
        </w:rPr>
        <w:footnoteRef/>
      </w:r>
      <w:r w:rsidRPr="00D10EF8">
        <w:tab/>
      </w:r>
      <w:hyperlink r:id="rId180" w:history="1">
        <w:r w:rsidR="00865E37" w:rsidRPr="00390269">
          <w:rPr>
            <w:rStyle w:val="FollowedHyperlink"/>
          </w:rPr>
          <w:t>https://www.whitehouse.gov/briefing-room/presidential-actions/2021/01/20/executive-order-advancing-racial-equity-and-support-for-underserved-communities-through-the-federal-government/</w:t>
        </w:r>
      </w:hyperlink>
      <w:r w:rsidR="00865E37" w:rsidRPr="00D10EF8">
        <w:t>.</w:t>
      </w:r>
    </w:p>
  </w:footnote>
  <w:footnote w:id="134">
    <w:p w14:paraId="2F8FE0D6" w14:textId="68DF40B8"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A/HRC/15/18, </w:t>
      </w:r>
      <w:r w:rsidR="002A7FA1">
        <w:rPr>
          <w:shd w:val="clear" w:color="auto" w:fill="FFFFFF"/>
        </w:rPr>
        <w:t>par. </w:t>
      </w:r>
      <w:r w:rsidR="00865E37" w:rsidRPr="00D10EF8">
        <w:t>63.</w:t>
      </w:r>
    </w:p>
  </w:footnote>
  <w:footnote w:id="135">
    <w:p w14:paraId="3DB150D4" w14:textId="3A05C70F" w:rsidR="00865E37" w:rsidRPr="00D10EF8" w:rsidRDefault="007F7D6A" w:rsidP="005B4367">
      <w:pPr>
        <w:pStyle w:val="FootnoteText"/>
      </w:pPr>
      <w:r w:rsidRPr="00D10EF8">
        <w:tab/>
      </w:r>
      <w:r w:rsidRPr="00093AC5">
        <w:rPr>
          <w:rStyle w:val="FootnoteReference"/>
        </w:rPr>
        <w:footnoteRef/>
      </w:r>
      <w:r w:rsidRPr="00D10EF8">
        <w:tab/>
      </w:r>
      <w:hyperlink r:id="rId181" w:history="1">
        <w:r w:rsidR="00865E37" w:rsidRPr="008B3262">
          <w:rPr>
            <w:rStyle w:val="FollowedHyperlink"/>
          </w:rPr>
          <w:t>https://www.whitehouse.gov/briefing-room/presidential-actions/2021/01/20/executive-order-advancing-racial-equity-and-support-for-underserved-communities-through-the-federal-government/</w:t>
        </w:r>
      </w:hyperlink>
    </w:p>
  </w:footnote>
  <w:footnote w:id="136">
    <w:p w14:paraId="56769BBF" w14:textId="6FF22FB0" w:rsidR="00865E37" w:rsidRPr="00D10EF8" w:rsidRDefault="007F7D6A" w:rsidP="005B4367">
      <w:pPr>
        <w:pStyle w:val="FootnoteText"/>
      </w:pPr>
      <w:r w:rsidRPr="00D10EF8">
        <w:tab/>
      </w:r>
      <w:r w:rsidRPr="00093AC5">
        <w:rPr>
          <w:rStyle w:val="FootnoteReference"/>
        </w:rPr>
        <w:footnoteRef/>
      </w:r>
      <w:r w:rsidRPr="00D10EF8">
        <w:tab/>
      </w:r>
      <w:hyperlink r:id="rId182" w:history="1">
        <w:r w:rsidR="00865E37" w:rsidRPr="008B3262">
          <w:rPr>
            <w:rStyle w:val="FollowedHyperlink"/>
          </w:rPr>
          <w:t>https://www.worldbank.org/en/region/lac/brief/afro-descendants-in-latin-america</w:t>
        </w:r>
      </w:hyperlink>
      <w:r w:rsidR="00865E37" w:rsidRPr="00D10EF8">
        <w:t xml:space="preserve">, </w:t>
      </w:r>
      <w:r w:rsidR="002A7FA1">
        <w:t>p. </w:t>
      </w:r>
      <w:r w:rsidR="00865E37" w:rsidRPr="00D10EF8">
        <w:t>100 et 101.</w:t>
      </w:r>
    </w:p>
  </w:footnote>
  <w:footnote w:id="137">
    <w:p w14:paraId="1F41DA36" w14:textId="59767E00" w:rsidR="00865E37" w:rsidRPr="00D10EF8" w:rsidRDefault="007F7D6A" w:rsidP="005B4367">
      <w:pPr>
        <w:pStyle w:val="FootnoteText"/>
      </w:pPr>
      <w:r w:rsidRPr="00D10EF8">
        <w:tab/>
      </w:r>
      <w:r w:rsidRPr="00093AC5">
        <w:rPr>
          <w:rStyle w:val="FootnoteReference"/>
        </w:rPr>
        <w:footnoteRef/>
      </w:r>
      <w:r w:rsidRPr="00D10EF8">
        <w:tab/>
      </w:r>
      <w:r w:rsidR="00865E37" w:rsidRPr="00D10EF8">
        <w:t>Communication de l</w:t>
      </w:r>
      <w:r w:rsidR="00F60EAA">
        <w:t>’</w:t>
      </w:r>
      <w:r w:rsidR="00865E37" w:rsidRPr="00D10EF8">
        <w:t xml:space="preserve">Argentine (Institut national contre la discrimination, la xénophobie et le racisme </w:t>
      </w:r>
      <w:r w:rsidR="002D17BE">
        <w:t>−</w:t>
      </w:r>
      <w:r w:rsidR="008B3262">
        <w:t xml:space="preserve"> </w:t>
      </w:r>
      <w:r w:rsidR="00865E37" w:rsidRPr="00D10EF8">
        <w:t>INADI)</w:t>
      </w:r>
      <w:r w:rsidR="00BF73AB">
        <w:t> ;</w:t>
      </w:r>
      <w:r w:rsidR="00865E37" w:rsidRPr="00D10EF8">
        <w:t xml:space="preserve"> </w:t>
      </w:r>
      <w:r w:rsidR="00865E37" w:rsidRPr="00D10EF8">
        <w:rPr>
          <w:bCs/>
        </w:rPr>
        <w:t xml:space="preserve">A/HRC/42/59/Add.2, </w:t>
      </w:r>
      <w:r w:rsidR="002A7FA1">
        <w:t>par. </w:t>
      </w:r>
      <w:r w:rsidR="00865E37" w:rsidRPr="00D10EF8">
        <w:t>11 et 24</w:t>
      </w:r>
      <w:r w:rsidR="00BF73AB">
        <w:t> ;</w:t>
      </w:r>
      <w:r w:rsidR="00865E37" w:rsidRPr="00D10EF8">
        <w:t xml:space="preserve"> </w:t>
      </w:r>
      <w:r w:rsidR="00865E37" w:rsidRPr="00D10EF8">
        <w:rPr>
          <w:bCs/>
        </w:rPr>
        <w:t xml:space="preserve">A/HRC/35/41/Add.1, </w:t>
      </w:r>
      <w:r w:rsidR="002A7FA1">
        <w:t>par. </w:t>
      </w:r>
      <w:r w:rsidR="00865E37" w:rsidRPr="00D10EF8">
        <w:t>77.</w:t>
      </w:r>
    </w:p>
  </w:footnote>
  <w:footnote w:id="138">
    <w:p w14:paraId="3C5D0BB4" w14:textId="277F9229" w:rsidR="00865E37" w:rsidRPr="00D10EF8" w:rsidRDefault="007F7D6A" w:rsidP="005B4367">
      <w:pPr>
        <w:pStyle w:val="FootnoteText"/>
      </w:pPr>
      <w:r w:rsidRPr="00D10EF8">
        <w:tab/>
      </w:r>
      <w:r w:rsidRPr="00093AC5">
        <w:rPr>
          <w:rStyle w:val="FootnoteReference"/>
        </w:rPr>
        <w:footnoteRef/>
      </w:r>
      <w:r w:rsidRPr="00D10EF8">
        <w:tab/>
      </w:r>
      <w:r w:rsidR="00865E37" w:rsidRPr="00D10EF8">
        <w:t>Communication de la Bolivie (État plurinational de)</w:t>
      </w:r>
      <w:r w:rsidR="00BF73AB">
        <w:t> ;</w:t>
      </w:r>
      <w:r w:rsidR="00865E37" w:rsidRPr="00D10EF8">
        <w:t xml:space="preserve"> CERD/C/BOL/21-26, </w:t>
      </w:r>
      <w:r w:rsidR="002A7FA1">
        <w:t>par. </w:t>
      </w:r>
      <w:r w:rsidR="00865E37" w:rsidRPr="00D10EF8">
        <w:t>134.</w:t>
      </w:r>
    </w:p>
  </w:footnote>
  <w:footnote w:id="139">
    <w:p w14:paraId="5896DA2C" w14:textId="7C2A8B40"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E/CN.4/2006/16/Add.3, </w:t>
      </w:r>
      <w:r w:rsidR="002A7FA1">
        <w:t>par. </w:t>
      </w:r>
      <w:r w:rsidR="00865E37" w:rsidRPr="00D10EF8">
        <w:t>11</w:t>
      </w:r>
      <w:r w:rsidR="00BF73AB">
        <w:t> ;</w:t>
      </w:r>
      <w:r w:rsidR="00865E37" w:rsidRPr="00D10EF8">
        <w:t xml:space="preserve"> A/70/335, </w:t>
      </w:r>
      <w:r w:rsidR="002A7FA1">
        <w:t>par. </w:t>
      </w:r>
      <w:r w:rsidR="00865E37" w:rsidRPr="00D10EF8">
        <w:t>70</w:t>
      </w:r>
      <w:r w:rsidR="00BF73AB">
        <w:t> ;</w:t>
      </w:r>
      <w:r w:rsidR="00865E37" w:rsidRPr="00D10EF8">
        <w:t xml:space="preserve"> A/75/561, </w:t>
      </w:r>
      <w:r w:rsidR="002A7FA1">
        <w:t>par. </w:t>
      </w:r>
      <w:r w:rsidR="00865E37" w:rsidRPr="00D10EF8">
        <w:t>45.</w:t>
      </w:r>
    </w:p>
  </w:footnote>
  <w:footnote w:id="140">
    <w:p w14:paraId="2E3CA566" w14:textId="71450C45" w:rsidR="00865E37" w:rsidRPr="00D10EF8" w:rsidRDefault="007F7D6A" w:rsidP="005B4367">
      <w:pPr>
        <w:pStyle w:val="FootnoteText"/>
      </w:pPr>
      <w:r w:rsidRPr="00D10EF8">
        <w:tab/>
      </w:r>
      <w:r w:rsidRPr="00093AC5">
        <w:rPr>
          <w:rStyle w:val="FootnoteReference"/>
        </w:rPr>
        <w:footnoteRef/>
      </w:r>
      <w:r w:rsidRPr="00D10EF8">
        <w:tab/>
      </w:r>
      <w:hyperlink r:id="rId183" w:history="1">
        <w:r w:rsidR="00865E37" w:rsidRPr="00D10EF8">
          <w:t xml:space="preserve">CERD/C/COL/17-19, </w:t>
        </w:r>
        <w:r w:rsidR="002A7FA1">
          <w:t>par. </w:t>
        </w:r>
        <w:r w:rsidR="00865E37" w:rsidRPr="00D10EF8">
          <w:t>10, 12 et 14.</w:t>
        </w:r>
      </w:hyperlink>
    </w:p>
  </w:footnote>
  <w:footnote w:id="141">
    <w:p w14:paraId="67A2049B" w14:textId="4732085E"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A/HRC/45/44/Add.1, </w:t>
      </w:r>
      <w:r w:rsidR="002A7FA1">
        <w:t>par. </w:t>
      </w:r>
      <w:r w:rsidR="00865E37" w:rsidRPr="00D10EF8">
        <w:t>24.</w:t>
      </w:r>
    </w:p>
  </w:footnote>
  <w:footnote w:id="142">
    <w:p w14:paraId="4D97A43F" w14:textId="40DF8AF8" w:rsidR="00865E37" w:rsidRPr="00D10EF8" w:rsidRDefault="007F7D6A" w:rsidP="005B4367">
      <w:pPr>
        <w:pStyle w:val="FootnoteText"/>
      </w:pPr>
      <w:r w:rsidRPr="00D10EF8">
        <w:tab/>
      </w:r>
      <w:r w:rsidRPr="00093AC5">
        <w:rPr>
          <w:rStyle w:val="FootnoteReference"/>
        </w:rPr>
        <w:footnoteRef/>
      </w:r>
      <w:r w:rsidRPr="00D10EF8">
        <w:tab/>
      </w:r>
      <w:r w:rsidRPr="00D10EF8">
        <w:tab/>
      </w:r>
      <w:r w:rsidR="00865E37" w:rsidRPr="00D10EF8">
        <w:t xml:space="preserve">A/75/561, </w:t>
      </w:r>
      <w:r w:rsidR="002A7FA1">
        <w:t>par. </w:t>
      </w:r>
      <w:r w:rsidR="00865E37" w:rsidRPr="00D10EF8">
        <w:t>46.</w:t>
      </w:r>
    </w:p>
  </w:footnote>
  <w:footnote w:id="143">
    <w:p w14:paraId="4D84DAFB" w14:textId="66A3BED1" w:rsidR="00865E37" w:rsidRPr="00D10EF8" w:rsidRDefault="007F7D6A" w:rsidP="005B4367">
      <w:pPr>
        <w:pStyle w:val="FootnoteText"/>
      </w:pPr>
      <w:r w:rsidRPr="00D10EF8">
        <w:tab/>
      </w:r>
      <w:r w:rsidRPr="00093AC5">
        <w:rPr>
          <w:rStyle w:val="FootnoteReference"/>
        </w:rPr>
        <w:footnoteRef/>
      </w:r>
      <w:r w:rsidRPr="00D10EF8">
        <w:tab/>
      </w:r>
      <w:r w:rsidR="00865E37" w:rsidRPr="00D10EF8">
        <w:t>Communication du Mexique</w:t>
      </w:r>
      <w:r w:rsidR="00BF73AB">
        <w:t> ;</w:t>
      </w:r>
      <w:r w:rsidR="00865E37" w:rsidRPr="00D10EF8">
        <w:t xml:space="preserve"> A/75/561, </w:t>
      </w:r>
      <w:r w:rsidR="002A7FA1">
        <w:t>par. </w:t>
      </w:r>
      <w:r w:rsidR="00865E37" w:rsidRPr="00D10EF8">
        <w:t>47</w:t>
      </w:r>
      <w:r w:rsidR="00865E37" w:rsidRPr="00D10EF8" w:rsidDel="002A38F4">
        <w:t>.</w:t>
      </w:r>
    </w:p>
  </w:footnote>
  <w:footnote w:id="144">
    <w:p w14:paraId="7CD19DB4" w14:textId="4D736524" w:rsidR="00865E37" w:rsidRPr="00DA5E7E" w:rsidRDefault="007F7D6A" w:rsidP="005B4367">
      <w:pPr>
        <w:pStyle w:val="FootnoteText"/>
        <w:rPr>
          <w:lang w:val="es-ES"/>
        </w:rPr>
      </w:pPr>
      <w:r w:rsidRPr="00D10EF8">
        <w:tab/>
      </w:r>
      <w:r w:rsidRPr="00093AC5">
        <w:rPr>
          <w:rStyle w:val="FootnoteReference"/>
        </w:rPr>
        <w:footnoteRef/>
      </w:r>
      <w:r w:rsidRPr="00DA5E7E">
        <w:rPr>
          <w:lang w:val="es-ES"/>
        </w:rPr>
        <w:tab/>
      </w:r>
      <w:r w:rsidR="00865E37" w:rsidRPr="00DA5E7E">
        <w:rPr>
          <w:lang w:val="es-ES"/>
        </w:rPr>
        <w:t xml:space="preserve">A/HRC/45/44/Add.2, </w:t>
      </w:r>
      <w:r w:rsidR="002A7FA1" w:rsidRPr="00DA5E7E">
        <w:rPr>
          <w:lang w:val="es-ES"/>
        </w:rPr>
        <w:t>par. </w:t>
      </w:r>
      <w:r w:rsidR="00865E37" w:rsidRPr="00DA5E7E">
        <w:rPr>
          <w:lang w:val="es-ES"/>
        </w:rPr>
        <w:t>72 (al. f)).</w:t>
      </w:r>
    </w:p>
  </w:footnote>
  <w:footnote w:id="145">
    <w:p w14:paraId="109C1062" w14:textId="49AC617B" w:rsidR="00865E37" w:rsidRPr="00D10EF8" w:rsidRDefault="007F7D6A" w:rsidP="005B4367">
      <w:pPr>
        <w:pStyle w:val="FootnoteText"/>
      </w:pPr>
      <w:r w:rsidRPr="00DA5E7E">
        <w:rPr>
          <w:lang w:val="es-ES"/>
        </w:rPr>
        <w:tab/>
      </w:r>
      <w:r w:rsidRPr="00093AC5">
        <w:rPr>
          <w:rStyle w:val="FootnoteReference"/>
        </w:rPr>
        <w:footnoteRef/>
      </w:r>
      <w:r w:rsidRPr="00D10EF8">
        <w:tab/>
      </w:r>
      <w:r w:rsidR="00865E37" w:rsidRPr="00D10EF8">
        <w:t xml:space="preserve">CERD/C/URY/CO/21-23, </w:t>
      </w:r>
      <w:r w:rsidR="002A7FA1">
        <w:t>par. </w:t>
      </w:r>
      <w:r w:rsidR="00865E37" w:rsidRPr="00D10EF8">
        <w:t>8 et 9</w:t>
      </w:r>
      <w:r w:rsidR="00BF73AB">
        <w:t> ;</w:t>
      </w:r>
      <w:r w:rsidR="00865E37" w:rsidRPr="00D10EF8">
        <w:t xml:space="preserve"> CERD/C/URY/24-26, </w:t>
      </w:r>
      <w:r w:rsidR="002A7FA1">
        <w:t>par. </w:t>
      </w:r>
      <w:r w:rsidR="00865E37" w:rsidRPr="00D10EF8">
        <w:t>8 à 11.</w:t>
      </w:r>
      <w:hyperlink w:history="1"/>
    </w:p>
  </w:footnote>
  <w:footnote w:id="146">
    <w:p w14:paraId="4E2D3B2B" w14:textId="07691C35"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A/HRC/35/41/Add.1, </w:t>
      </w:r>
      <w:r w:rsidR="002A7FA1">
        <w:t>par. </w:t>
      </w:r>
      <w:r w:rsidR="00865E37" w:rsidRPr="00D10EF8">
        <w:t>77</w:t>
      </w:r>
      <w:r w:rsidR="00BF73AB">
        <w:t> ;</w:t>
      </w:r>
      <w:r w:rsidR="00865E37" w:rsidRPr="00D10EF8">
        <w:t xml:space="preserve"> A/HRC/42/59/Add.2, </w:t>
      </w:r>
      <w:r w:rsidR="002A7FA1">
        <w:t>par. </w:t>
      </w:r>
      <w:r w:rsidR="00865E37" w:rsidRPr="00D10EF8">
        <w:t>11</w:t>
      </w:r>
      <w:r w:rsidR="00BF73AB">
        <w:t> ;</w:t>
      </w:r>
      <w:r w:rsidR="00865E37" w:rsidRPr="00D10EF8">
        <w:t xml:space="preserve"> </w:t>
      </w:r>
      <w:hyperlink r:id="rId184" w:history="1">
        <w:r w:rsidR="00865E37" w:rsidRPr="0024658E">
          <w:rPr>
            <w:rStyle w:val="FollowedHyperlink"/>
          </w:rPr>
          <w:t>https://www.worldbank.org/en/</w:t>
        </w:r>
        <w:r w:rsidR="008B1399">
          <w:rPr>
            <w:rStyle w:val="FollowedHyperlink"/>
          </w:rPr>
          <w:t xml:space="preserve"> </w:t>
        </w:r>
        <w:r w:rsidR="00865E37" w:rsidRPr="0024658E">
          <w:rPr>
            <w:rStyle w:val="FollowedHyperlink"/>
          </w:rPr>
          <w:t>region/lac/brief/afro-descendants-in-latin-america</w:t>
        </w:r>
      </w:hyperlink>
      <w:r w:rsidR="00865E37" w:rsidRPr="00D10EF8">
        <w:t xml:space="preserve">, </w:t>
      </w:r>
      <w:r w:rsidR="002A7FA1">
        <w:t>p. </w:t>
      </w:r>
      <w:r w:rsidR="00865E37" w:rsidRPr="00D10EF8">
        <w:t xml:space="preserve">56. </w:t>
      </w:r>
    </w:p>
  </w:footnote>
  <w:footnote w:id="147">
    <w:p w14:paraId="3843C9F9" w14:textId="35795627" w:rsidR="00865E37" w:rsidRPr="00D10EF8" w:rsidRDefault="007F7D6A" w:rsidP="005B4367">
      <w:pPr>
        <w:pStyle w:val="FootnoteText"/>
      </w:pPr>
      <w:r w:rsidRPr="00D10EF8">
        <w:tab/>
      </w:r>
      <w:r w:rsidRPr="00093AC5">
        <w:rPr>
          <w:rStyle w:val="FootnoteReference"/>
        </w:rPr>
        <w:footnoteRef/>
      </w:r>
      <w:r w:rsidRPr="00D10EF8">
        <w:tab/>
      </w:r>
      <w:hyperlink r:id="rId185" w:history="1">
        <w:r w:rsidR="00865E37" w:rsidRPr="0024658E">
          <w:rPr>
            <w:rStyle w:val="FollowedHyperlink"/>
          </w:rPr>
          <w:t>www.statewatch.org/media/documents/news/2018/mar/eu-com-data-collection-field-of-equality-study-2017.pdf</w:t>
        </w:r>
      </w:hyperlink>
      <w:r w:rsidR="00865E37" w:rsidRPr="00D10EF8">
        <w:t xml:space="preserve">, </w:t>
      </w:r>
      <w:r w:rsidR="002A7FA1">
        <w:t>p. </w:t>
      </w:r>
      <w:r w:rsidR="00865E37" w:rsidRPr="00D10EF8">
        <w:t>7.</w:t>
      </w:r>
    </w:p>
  </w:footnote>
  <w:footnote w:id="148">
    <w:p w14:paraId="1BA817C5" w14:textId="536B14C4" w:rsidR="00865E37" w:rsidRPr="00DA5E7E" w:rsidRDefault="007F7D6A"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A/74/274</w:t>
      </w:r>
      <w:r w:rsidR="00BF73AB">
        <w:rPr>
          <w:lang w:val="en-US"/>
        </w:rPr>
        <w:t> ;</w:t>
      </w:r>
      <w:r w:rsidR="00865E37" w:rsidRPr="00DA5E7E">
        <w:rPr>
          <w:lang w:val="en-US"/>
        </w:rPr>
        <w:t xml:space="preserve"> A/HRC/39/69/Add.2</w:t>
      </w:r>
      <w:r w:rsidR="00BF73AB">
        <w:rPr>
          <w:lang w:val="en-US"/>
        </w:rPr>
        <w:t> ;</w:t>
      </w:r>
      <w:r w:rsidR="00865E37" w:rsidRPr="00DA5E7E">
        <w:rPr>
          <w:lang w:val="en-US"/>
        </w:rPr>
        <w:t xml:space="preserve"> </w:t>
      </w:r>
      <w:hyperlink r:id="rId186" w:history="1">
        <w:r w:rsidR="00865E37" w:rsidRPr="004A035C">
          <w:rPr>
            <w:rStyle w:val="FollowedHyperlink"/>
            <w:lang w:val="en-US"/>
          </w:rPr>
          <w:t>www.enar-eu.org/IMG/pdf/sr_key_findings-2.pdf</w:t>
        </w:r>
      </w:hyperlink>
      <w:r w:rsidR="00BF73AB">
        <w:rPr>
          <w:rStyle w:val="FollowedHyperlink"/>
          <w:lang w:val="en-US"/>
        </w:rPr>
        <w:t> ;</w:t>
      </w:r>
      <w:r w:rsidR="00865E37" w:rsidRPr="004A035C">
        <w:rPr>
          <w:rStyle w:val="FollowedHyperlink"/>
          <w:lang w:val="en-US"/>
        </w:rPr>
        <w:t xml:space="preserve"> </w:t>
      </w:r>
      <w:hyperlink r:id="rId187" w:history="1">
        <w:r w:rsidR="00865E37" w:rsidRPr="004A035C">
          <w:rPr>
            <w:rStyle w:val="FollowedHyperlink"/>
            <w:lang w:val="en-US"/>
          </w:rPr>
          <w:t>www.oas.org/en/iachr/afro-descendants/docs/pdf/afros_2011_eng.pdf</w:t>
        </w:r>
      </w:hyperlink>
      <w:r w:rsidR="00865E37" w:rsidRPr="00DA5E7E">
        <w:rPr>
          <w:color w:val="000000"/>
          <w:u w:color="000000"/>
          <w:lang w:val="en-US"/>
        </w:rPr>
        <w:t>.</w:t>
      </w:r>
    </w:p>
  </w:footnote>
  <w:footnote w:id="149">
    <w:p w14:paraId="1AA4B0E4" w14:textId="3797D653"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r w:rsidR="00865E37" w:rsidRPr="00DA5E7E">
        <w:rPr>
          <w:lang w:val="en-US"/>
        </w:rPr>
        <w:t>A/HRC/30/56/Add.1</w:t>
      </w:r>
      <w:r w:rsidR="00BF73AB">
        <w:rPr>
          <w:lang w:val="en-US"/>
        </w:rPr>
        <w:t> ;</w:t>
      </w:r>
      <w:r w:rsidR="00865E37" w:rsidRPr="00DA5E7E">
        <w:rPr>
          <w:lang w:val="en-US"/>
        </w:rPr>
        <w:t xml:space="preserve"> A/HRC/44/57/Add.2</w:t>
      </w:r>
      <w:r w:rsidR="00865E37" w:rsidRPr="00DA5E7E" w:rsidDel="0032413A">
        <w:rPr>
          <w:lang w:val="en-US"/>
        </w:rPr>
        <w:t>.</w:t>
      </w:r>
    </w:p>
  </w:footnote>
  <w:footnote w:id="150">
    <w:p w14:paraId="3B22E9E1" w14:textId="3F7AB4B4" w:rsidR="00865E37" w:rsidRPr="00D10EF8" w:rsidRDefault="007F7D6A" w:rsidP="005B4367">
      <w:pPr>
        <w:pStyle w:val="FootnoteText"/>
      </w:pPr>
      <w:r w:rsidRPr="00DA5E7E">
        <w:rPr>
          <w:lang w:val="en-US"/>
        </w:rPr>
        <w:tab/>
      </w:r>
      <w:r w:rsidRPr="00093AC5">
        <w:rPr>
          <w:rStyle w:val="FootnoteReference"/>
        </w:rPr>
        <w:footnoteRef/>
      </w:r>
      <w:r w:rsidRPr="00D10EF8">
        <w:tab/>
      </w:r>
      <w:r w:rsidR="00865E37" w:rsidRPr="00D10EF8">
        <w:t>A/74/274</w:t>
      </w:r>
      <w:r w:rsidR="00BF73AB">
        <w:t> ;</w:t>
      </w:r>
      <w:r w:rsidR="00865E37" w:rsidRPr="00D10EF8">
        <w:t xml:space="preserve"> </w:t>
      </w:r>
      <w:hyperlink r:id="rId188" w:history="1">
        <w:r w:rsidR="00865E37" w:rsidRPr="0024658E">
          <w:rPr>
            <w:rStyle w:val="FollowedHyperlink"/>
          </w:rPr>
          <w:t>https://www.cncdh.fr/sites/default/files/rapport_racisme_2019_focus_racisme_anti-noirs_vdef.pdf</w:t>
        </w:r>
      </w:hyperlink>
      <w:r w:rsidR="00865E37" w:rsidRPr="00D10EF8">
        <w:t xml:space="preserve">, </w:t>
      </w:r>
      <w:r w:rsidR="002A7FA1">
        <w:t>p. </w:t>
      </w:r>
      <w:r w:rsidR="00865E37" w:rsidRPr="00D10EF8">
        <w:t>17 et 18</w:t>
      </w:r>
      <w:r w:rsidR="00BF73AB">
        <w:t> ;</w:t>
      </w:r>
      <w:r w:rsidR="00865E37" w:rsidRPr="00D10EF8">
        <w:t xml:space="preserve"> </w:t>
      </w:r>
      <w:hyperlink r:id="rId189" w:history="1">
        <w:r w:rsidR="00865E37" w:rsidRPr="0024658E">
          <w:rPr>
            <w:rStyle w:val="FollowedHyperlink"/>
          </w:rPr>
          <w:t>https://mkcentrum.se/wp-content/uploads/2014/12/Afrofobi-20140203-executive-summary.pdf</w:t>
        </w:r>
      </w:hyperlink>
      <w:r w:rsidR="00865E37" w:rsidRPr="00D10EF8">
        <w:t>.</w:t>
      </w:r>
    </w:p>
  </w:footnote>
  <w:footnote w:id="151">
    <w:p w14:paraId="4573286A" w14:textId="1C9EE99F"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A/74/274, </w:t>
      </w:r>
      <w:r w:rsidR="002A7FA1">
        <w:t>par. </w:t>
      </w:r>
      <w:r w:rsidR="00865E37" w:rsidRPr="00D10EF8">
        <w:t>71</w:t>
      </w:r>
      <w:r w:rsidR="00BF73AB">
        <w:t> ;</w:t>
      </w:r>
      <w:r w:rsidR="00865E37" w:rsidRPr="00D10EF8">
        <w:t xml:space="preserve"> </w:t>
      </w:r>
      <w:hyperlink r:id="rId190" w:history="1">
        <w:r w:rsidR="00865E37" w:rsidRPr="00D10EF8">
          <w:rPr>
            <w:color w:val="0000FF"/>
          </w:rPr>
          <w:t>https://ec.europa.eu/newsroom/just/item-detail.cfm?item_id=51025</w:t>
        </w:r>
      </w:hyperlink>
      <w:r w:rsidR="00865E37" w:rsidRPr="00D10EF8">
        <w:rPr>
          <w:color w:val="0000FF"/>
        </w:rPr>
        <w:t xml:space="preserve">, </w:t>
      </w:r>
      <w:r w:rsidR="002A7FA1">
        <w:rPr>
          <w:iCs/>
          <w:color w:val="333333"/>
          <w:shd w:val="clear" w:color="auto" w:fill="FFFFFF"/>
        </w:rPr>
        <w:t>p. </w:t>
      </w:r>
      <w:r w:rsidR="00865E37" w:rsidRPr="00D10EF8">
        <w:rPr>
          <w:iCs/>
          <w:color w:val="333333"/>
          <w:shd w:val="clear" w:color="auto" w:fill="FFFFFF"/>
        </w:rPr>
        <w:t xml:space="preserve">5. </w:t>
      </w:r>
    </w:p>
  </w:footnote>
  <w:footnote w:id="152">
    <w:p w14:paraId="6DE255E1" w14:textId="0BE473AE"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A/HRC/38/33/Add.1, </w:t>
      </w:r>
      <w:r w:rsidR="002A7FA1">
        <w:t>par. </w:t>
      </w:r>
      <w:r w:rsidR="00865E37" w:rsidRPr="00D10EF8">
        <w:t>55.</w:t>
      </w:r>
    </w:p>
  </w:footnote>
  <w:footnote w:id="153">
    <w:p w14:paraId="1F057DBE" w14:textId="084D8EF0" w:rsidR="00865E37" w:rsidRPr="00D10EF8" w:rsidRDefault="007F7D6A" w:rsidP="005B4367">
      <w:pPr>
        <w:pStyle w:val="FootnoteText"/>
      </w:pPr>
      <w:r w:rsidRPr="00D10EF8">
        <w:tab/>
      </w:r>
      <w:r w:rsidRPr="00093AC5">
        <w:rPr>
          <w:rStyle w:val="FootnoteReference"/>
        </w:rPr>
        <w:footnoteRef/>
      </w:r>
      <w:r w:rsidRPr="00D10EF8">
        <w:tab/>
      </w:r>
      <w:hyperlink r:id="rId191" w:history="1">
        <w:r w:rsidR="00865E37" w:rsidRPr="0024658E">
          <w:rPr>
            <w:rStyle w:val="Hyperlink"/>
          </w:rPr>
          <w:t>https://www.oas.org/en/iachr/afro-descendants/docs/pdf/afros_2011_eng.pdf</w:t>
        </w:r>
      </w:hyperlink>
      <w:r w:rsidR="00865E37" w:rsidRPr="00D10EF8">
        <w:t xml:space="preserve">, </w:t>
      </w:r>
      <w:r w:rsidR="002A7FA1">
        <w:t>par. </w:t>
      </w:r>
      <w:r w:rsidR="00865E37" w:rsidRPr="00D10EF8">
        <w:t>57.</w:t>
      </w:r>
    </w:p>
  </w:footnote>
  <w:footnote w:id="154">
    <w:p w14:paraId="30B5B62B" w14:textId="2F3027C8"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A/HRC/30/56/Add.1, </w:t>
      </w:r>
      <w:r w:rsidR="002A7FA1">
        <w:t>par. </w:t>
      </w:r>
      <w:r w:rsidR="00865E37" w:rsidRPr="00D10EF8">
        <w:t>104 à 109</w:t>
      </w:r>
      <w:r w:rsidR="00BF73AB">
        <w:t> ;</w:t>
      </w:r>
      <w:r w:rsidR="00865E37" w:rsidRPr="00D10EF8">
        <w:t xml:space="preserve"> A/HRC/44/57/Add.2, </w:t>
      </w:r>
      <w:r w:rsidR="002A7FA1">
        <w:t>par. </w:t>
      </w:r>
      <w:r w:rsidR="00865E37" w:rsidRPr="00D10EF8">
        <w:t>80</w:t>
      </w:r>
      <w:r w:rsidR="00865E37" w:rsidRPr="00D10EF8">
        <w:rPr>
          <w:bCs/>
        </w:rPr>
        <w:t xml:space="preserve"> et 81</w:t>
      </w:r>
      <w:r w:rsidR="00BF73AB">
        <w:rPr>
          <w:bCs/>
        </w:rPr>
        <w:t> ;</w:t>
      </w:r>
      <w:r w:rsidR="00865E37" w:rsidRPr="00D10EF8">
        <w:rPr>
          <w:bCs/>
        </w:rPr>
        <w:t xml:space="preserve"> </w:t>
      </w:r>
      <w:hyperlink r:id="rId192" w:history="1">
        <w:r w:rsidR="00865E37" w:rsidRPr="0024658E">
          <w:rPr>
            <w:rStyle w:val="FollowedHyperlink"/>
          </w:rPr>
          <w:t>https://spcommreports.ohchr.org/TMResultsBase/DownLoadPublicCommunicationFile?gId=2062</w:t>
        </w:r>
        <w:r w:rsidR="00865E37" w:rsidRPr="00D10EF8">
          <w:t>4</w:t>
        </w:r>
      </w:hyperlink>
      <w:r w:rsidR="00865E37" w:rsidRPr="00D10EF8">
        <w:t>.</w:t>
      </w:r>
    </w:p>
  </w:footnote>
  <w:footnote w:id="155">
    <w:p w14:paraId="461A68C9" w14:textId="77841446" w:rsidR="00865E37" w:rsidRPr="00DA5E7E" w:rsidRDefault="007F7D6A"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 xml:space="preserve">A/HRC/42/59/Add.1, </w:t>
      </w:r>
      <w:r w:rsidR="002A7FA1" w:rsidRPr="00DA5E7E">
        <w:rPr>
          <w:lang w:val="en-US"/>
        </w:rPr>
        <w:t>par. </w:t>
      </w:r>
      <w:r w:rsidR="00865E37" w:rsidRPr="00DA5E7E">
        <w:rPr>
          <w:lang w:val="en-US"/>
        </w:rPr>
        <w:t>10.</w:t>
      </w:r>
    </w:p>
  </w:footnote>
  <w:footnote w:id="156">
    <w:p w14:paraId="7E32C6B3" w14:textId="0326D458" w:rsidR="00865E37" w:rsidRPr="004A035C" w:rsidRDefault="007F7D6A" w:rsidP="005B4367">
      <w:pPr>
        <w:pStyle w:val="FootnoteText"/>
        <w:rPr>
          <w:rStyle w:val="FollowedHyperlink"/>
          <w:color w:val="auto"/>
          <w:lang w:val="en-US"/>
        </w:rPr>
      </w:pPr>
      <w:r w:rsidRPr="00DA5E7E">
        <w:rPr>
          <w:lang w:val="en-US"/>
        </w:rPr>
        <w:tab/>
      </w:r>
      <w:r w:rsidRPr="00093AC5">
        <w:rPr>
          <w:rStyle w:val="FootnoteReference"/>
        </w:rPr>
        <w:footnoteRef/>
      </w:r>
      <w:r w:rsidRPr="00DA5E7E">
        <w:rPr>
          <w:lang w:val="en-US"/>
        </w:rPr>
        <w:tab/>
      </w:r>
      <w:hyperlink r:id="rId193" w:history="1">
        <w:r w:rsidR="00865E37" w:rsidRPr="004A035C">
          <w:rPr>
            <w:rStyle w:val="FollowedHyperlink"/>
            <w:lang w:val="en-US"/>
          </w:rPr>
          <w:t>https://www.worldbank.org/en/region/lac/brief/afro-descendants-in-latin-america</w:t>
        </w:r>
      </w:hyperlink>
      <w:r w:rsidR="00865E37" w:rsidRPr="00DA5E7E">
        <w:rPr>
          <w:lang w:val="en-US"/>
        </w:rPr>
        <w:t xml:space="preserve">, </w:t>
      </w:r>
      <w:r w:rsidR="002A7FA1" w:rsidRPr="00DA5E7E">
        <w:rPr>
          <w:lang w:val="en-US"/>
        </w:rPr>
        <w:t>p. </w:t>
      </w:r>
      <w:r w:rsidR="00865E37" w:rsidRPr="00DA5E7E">
        <w:rPr>
          <w:lang w:val="en-US"/>
        </w:rPr>
        <w:t>88</w:t>
      </w:r>
      <w:r w:rsidR="00BF73AB">
        <w:rPr>
          <w:lang w:val="en-US"/>
        </w:rPr>
        <w:t> ;</w:t>
      </w:r>
      <w:r w:rsidR="00865E37" w:rsidRPr="00DA5E7E">
        <w:rPr>
          <w:lang w:val="en-US"/>
        </w:rPr>
        <w:t xml:space="preserve"> </w:t>
      </w:r>
      <w:hyperlink r:id="rId194" w:history="1">
        <w:r w:rsidR="00865E37" w:rsidRPr="004A035C">
          <w:rPr>
            <w:rStyle w:val="FollowedHyperlink"/>
            <w:lang w:val="en-US"/>
          </w:rPr>
          <w:t>https://www.enar-eu.org/IMG/pdf/sr_key_findings-2.pdf</w:t>
        </w:r>
      </w:hyperlink>
      <w:r w:rsidR="00865E37" w:rsidRPr="004A035C">
        <w:rPr>
          <w:rStyle w:val="FollowedHyperlink"/>
          <w:color w:val="auto"/>
          <w:lang w:val="en-US"/>
        </w:rPr>
        <w:t xml:space="preserve">, </w:t>
      </w:r>
      <w:r w:rsidR="002A7FA1">
        <w:rPr>
          <w:rStyle w:val="FollowedHyperlink"/>
          <w:color w:val="auto"/>
          <w:lang w:val="en-US"/>
        </w:rPr>
        <w:t>p. </w:t>
      </w:r>
      <w:r w:rsidR="00865E37" w:rsidRPr="004A035C">
        <w:rPr>
          <w:rStyle w:val="FollowedHyperlink"/>
          <w:color w:val="auto"/>
          <w:lang w:val="en-US"/>
        </w:rPr>
        <w:t>2.</w:t>
      </w:r>
    </w:p>
  </w:footnote>
  <w:footnote w:id="157">
    <w:p w14:paraId="7CFDBF81" w14:textId="78BFEABB" w:rsidR="00865E37" w:rsidRPr="00D10EF8" w:rsidRDefault="007F7D6A" w:rsidP="005B4367">
      <w:pPr>
        <w:pStyle w:val="FootnoteText"/>
      </w:pPr>
      <w:r w:rsidRPr="00DA5E7E">
        <w:rPr>
          <w:lang w:val="en-US"/>
        </w:rPr>
        <w:tab/>
      </w:r>
      <w:r w:rsidRPr="00093AC5">
        <w:rPr>
          <w:rStyle w:val="FootnoteReference"/>
        </w:rPr>
        <w:footnoteRef/>
      </w:r>
      <w:r w:rsidRPr="00D10EF8">
        <w:tab/>
      </w:r>
      <w:r w:rsidR="00865E37" w:rsidRPr="00D10EF8">
        <w:t xml:space="preserve">A/HRC/33/61/Add.2, </w:t>
      </w:r>
      <w:r w:rsidR="002A7FA1">
        <w:t>par. </w:t>
      </w:r>
      <w:r w:rsidR="00865E37" w:rsidRPr="00D10EF8">
        <w:t>46</w:t>
      </w:r>
      <w:r w:rsidR="00BF73AB">
        <w:t> ;</w:t>
      </w:r>
      <w:r w:rsidR="00865E37" w:rsidRPr="00D10EF8">
        <w:t xml:space="preserve"> A/HRC/42/59/Add.1, </w:t>
      </w:r>
      <w:r w:rsidR="002A7FA1">
        <w:t>par. </w:t>
      </w:r>
      <w:r w:rsidR="00865E37" w:rsidRPr="00D10EF8">
        <w:t>26</w:t>
      </w:r>
      <w:r w:rsidR="00BF73AB">
        <w:t> ;</w:t>
      </w:r>
      <w:r w:rsidR="00865E37" w:rsidRPr="00D10EF8">
        <w:t xml:space="preserve"> </w:t>
      </w:r>
      <w:hyperlink r:id="rId195" w:history="1">
        <w:r w:rsidR="00865E37" w:rsidRPr="0024658E">
          <w:rPr>
            <w:rStyle w:val="FollowedHyperlink"/>
          </w:rPr>
          <w:t>https://www.oas.org/en/iachr/afro-descendants/docs/pdf/afros_2011_eng.pdf</w:t>
        </w:r>
      </w:hyperlink>
      <w:r w:rsidR="00865E37" w:rsidRPr="0024658E">
        <w:rPr>
          <w:rStyle w:val="FollowedHyperlink"/>
        </w:rPr>
        <w:t>,</w:t>
      </w:r>
      <w:r w:rsidR="00865E37" w:rsidRPr="00D10EF8">
        <w:t xml:space="preserve"> </w:t>
      </w:r>
      <w:r w:rsidR="002A7FA1">
        <w:t>par. </w:t>
      </w:r>
      <w:r w:rsidR="00865E37" w:rsidRPr="00D10EF8">
        <w:t>112.</w:t>
      </w:r>
    </w:p>
  </w:footnote>
  <w:footnote w:id="158">
    <w:p w14:paraId="2DA8A915" w14:textId="66C4C36D" w:rsidR="00865E37" w:rsidRPr="00D10EF8" w:rsidRDefault="007F7D6A" w:rsidP="005B4367">
      <w:pPr>
        <w:pStyle w:val="FootnoteText"/>
      </w:pPr>
      <w:r w:rsidRPr="00D10EF8">
        <w:tab/>
      </w:r>
      <w:r w:rsidRPr="00093AC5">
        <w:rPr>
          <w:rStyle w:val="FootnoteReference"/>
        </w:rPr>
        <w:footnoteRef/>
      </w:r>
      <w:r w:rsidRPr="00D10EF8">
        <w:tab/>
      </w:r>
      <w:hyperlink r:id="rId196" w:history="1">
        <w:r w:rsidR="00865E37" w:rsidRPr="0024658E">
          <w:rPr>
            <w:rStyle w:val="FollowedHyperlink"/>
          </w:rPr>
          <w:t>https://www.enar-eu.org/IMG/pdf/sr_key_findings-2.pdf</w:t>
        </w:r>
      </w:hyperlink>
      <w:r w:rsidR="00865E37" w:rsidRPr="00D10EF8">
        <w:t xml:space="preserve">, </w:t>
      </w:r>
      <w:r w:rsidR="002A7FA1">
        <w:t>p. </w:t>
      </w:r>
      <w:r w:rsidR="00865E37" w:rsidRPr="00D10EF8">
        <w:t>3.</w:t>
      </w:r>
    </w:p>
  </w:footnote>
  <w:footnote w:id="159">
    <w:p w14:paraId="3A6B4FCA" w14:textId="2518BD99"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A/74/274, </w:t>
      </w:r>
      <w:r w:rsidR="002A7FA1">
        <w:t>par. </w:t>
      </w:r>
      <w:r w:rsidR="00865E37" w:rsidRPr="00D10EF8">
        <w:t>42.</w:t>
      </w:r>
    </w:p>
  </w:footnote>
  <w:footnote w:id="160">
    <w:p w14:paraId="41E0C4F6" w14:textId="27F2F217"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A/74/274, </w:t>
      </w:r>
      <w:r w:rsidR="002A7FA1">
        <w:t>par. </w:t>
      </w:r>
      <w:r w:rsidR="00865E37" w:rsidRPr="00D10EF8">
        <w:t>44.</w:t>
      </w:r>
    </w:p>
  </w:footnote>
  <w:footnote w:id="161">
    <w:p w14:paraId="66F0DD44" w14:textId="1EAFE785"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A/74/274. Voir également CERD/C/ESP/CO/21-23 </w:t>
      </w:r>
      <w:r w:rsidR="002A7FA1">
        <w:t>par. </w:t>
      </w:r>
      <w:r w:rsidR="00865E37" w:rsidRPr="00D10EF8">
        <w:t>25.</w:t>
      </w:r>
    </w:p>
  </w:footnote>
  <w:footnote w:id="162">
    <w:p w14:paraId="416579FB" w14:textId="24DB5383" w:rsidR="00865E37" w:rsidRPr="00D10EF8" w:rsidRDefault="007F7D6A" w:rsidP="005B4367">
      <w:pPr>
        <w:pStyle w:val="FootnoteText"/>
      </w:pPr>
      <w:r w:rsidRPr="00D10EF8">
        <w:tab/>
      </w:r>
      <w:r w:rsidRPr="00093AC5">
        <w:rPr>
          <w:rStyle w:val="FootnoteReference"/>
        </w:rPr>
        <w:footnoteRef/>
      </w:r>
      <w:r w:rsidRPr="00D10EF8">
        <w:tab/>
      </w:r>
      <w:hyperlink r:id="rId197" w:history="1">
        <w:r w:rsidR="00865E37" w:rsidRPr="007B3667">
          <w:rPr>
            <w:rStyle w:val="FollowedHyperlink"/>
          </w:rPr>
          <w:t>https://repositorio.cepal.org/bitstream/handle/11362/44458/6/S1801011_en.pdf</w:t>
        </w:r>
      </w:hyperlink>
      <w:r w:rsidR="00865E37" w:rsidRPr="00D10EF8">
        <w:t xml:space="preserve">, </w:t>
      </w:r>
      <w:r w:rsidR="002A7FA1">
        <w:t>p. </w:t>
      </w:r>
      <w:r w:rsidR="00865E37" w:rsidRPr="00D10EF8">
        <w:t>203</w:t>
      </w:r>
      <w:r w:rsidR="00BF73AB">
        <w:t> ;</w:t>
      </w:r>
      <w:r w:rsidR="00865E37" w:rsidRPr="00D10EF8">
        <w:t xml:space="preserve"> </w:t>
      </w:r>
      <w:hyperlink r:id="rId198" w:history="1">
        <w:r w:rsidR="00865E37" w:rsidRPr="007B3667">
          <w:rPr>
            <w:rStyle w:val="FollowedHyperlink"/>
          </w:rPr>
          <w:t>https://openknowledge.worldbank.org/handle/10986/30201</w:t>
        </w:r>
      </w:hyperlink>
      <w:r w:rsidR="00865E37" w:rsidRPr="00D10EF8">
        <w:t xml:space="preserve">, </w:t>
      </w:r>
      <w:r w:rsidR="002A7FA1">
        <w:t>p. </w:t>
      </w:r>
      <w:r w:rsidR="00865E37" w:rsidRPr="00D10EF8">
        <w:t>30, 85 et 94</w:t>
      </w:r>
      <w:r w:rsidR="00BF73AB">
        <w:t> ;</w:t>
      </w:r>
      <w:r w:rsidR="00865E37" w:rsidRPr="00D10EF8">
        <w:t xml:space="preserve"> </w:t>
      </w:r>
      <w:r w:rsidR="000A1236">
        <w:t>c</w:t>
      </w:r>
      <w:r w:rsidR="00865E37" w:rsidRPr="00D10EF8">
        <w:t>ommunication du Dr</w:t>
      </w:r>
      <w:r w:rsidR="000A1236">
        <w:t> </w:t>
      </w:r>
      <w:r w:rsidR="00865E37" w:rsidRPr="00D10EF8">
        <w:t>Michael McEachrane.</w:t>
      </w:r>
    </w:p>
  </w:footnote>
  <w:footnote w:id="163">
    <w:p w14:paraId="6D056AD2" w14:textId="0CCD5F81" w:rsidR="00865E37" w:rsidRPr="00D10EF8" w:rsidRDefault="007F7D6A" w:rsidP="005B4367">
      <w:pPr>
        <w:pStyle w:val="FootnoteText"/>
      </w:pPr>
      <w:r w:rsidRPr="00D10EF8">
        <w:tab/>
      </w:r>
      <w:r w:rsidRPr="00093AC5">
        <w:rPr>
          <w:rStyle w:val="FootnoteReference"/>
        </w:rPr>
        <w:footnoteRef/>
      </w:r>
      <w:r w:rsidRPr="00D10EF8">
        <w:tab/>
      </w:r>
      <w:hyperlink r:id="rId199" w:history="1">
        <w:r w:rsidR="00865E37" w:rsidRPr="007B3667">
          <w:rPr>
            <w:rStyle w:val="FollowedHyperlink"/>
          </w:rPr>
          <w:t>https://rm.coe.int/lutter-contre-le-racisme-et-la-discrimination-raciale-a-l-egard-des-pe/1680a1c0d2</w:t>
        </w:r>
      </w:hyperlink>
      <w:r w:rsidR="00865E37" w:rsidRPr="00D10EF8">
        <w:t xml:space="preserve">, </w:t>
      </w:r>
      <w:r w:rsidR="002A7FA1">
        <w:t>par. </w:t>
      </w:r>
      <w:r w:rsidR="00865E37" w:rsidRPr="00D10EF8">
        <w:t>12</w:t>
      </w:r>
      <w:r w:rsidR="00BF73AB">
        <w:t> ;</w:t>
      </w:r>
      <w:r w:rsidR="00865E37" w:rsidRPr="00D10EF8">
        <w:t xml:space="preserve"> </w:t>
      </w:r>
      <w:r w:rsidR="000A1236">
        <w:t>c</w:t>
      </w:r>
      <w:r w:rsidR="00865E37" w:rsidRPr="00D10EF8">
        <w:t>ommunication du Dr Michael McEachrane.</w:t>
      </w:r>
    </w:p>
  </w:footnote>
  <w:footnote w:id="164">
    <w:p w14:paraId="03DFF5ED" w14:textId="6A86A12F" w:rsidR="00865E37" w:rsidRPr="00D10EF8" w:rsidRDefault="007F7D6A" w:rsidP="005B4367">
      <w:pPr>
        <w:pStyle w:val="FootnoteText"/>
      </w:pPr>
      <w:r w:rsidRPr="00D10EF8">
        <w:tab/>
      </w:r>
      <w:r w:rsidRPr="00093AC5">
        <w:rPr>
          <w:rStyle w:val="FootnoteReference"/>
        </w:rPr>
        <w:footnoteRef/>
      </w:r>
      <w:r w:rsidRPr="00D10EF8">
        <w:tab/>
      </w:r>
      <w:hyperlink r:id="rId200" w:history="1">
        <w:r w:rsidR="00865E37" w:rsidRPr="007B3667">
          <w:rPr>
            <w:rStyle w:val="FollowedHyperlink"/>
          </w:rPr>
          <w:t>https://rm.coe.int/rapport-annuel-ecri-2019/16809ca6d4</w:t>
        </w:r>
      </w:hyperlink>
      <w:r w:rsidR="00865E37" w:rsidRPr="00D10EF8">
        <w:t xml:space="preserve">, </w:t>
      </w:r>
      <w:r w:rsidR="002A7FA1">
        <w:t>par. </w:t>
      </w:r>
      <w:r w:rsidR="00865E37" w:rsidRPr="00D10EF8">
        <w:t>12</w:t>
      </w:r>
      <w:r w:rsidR="00BF73AB">
        <w:t> ;</w:t>
      </w:r>
      <w:r w:rsidR="00865E37" w:rsidRPr="00D10EF8">
        <w:t xml:space="preserve"> A/HRC/45/47.</w:t>
      </w:r>
    </w:p>
  </w:footnote>
  <w:footnote w:id="165">
    <w:p w14:paraId="41EA2D7C" w14:textId="1F08F9F8" w:rsidR="00865E37" w:rsidRPr="00D10EF8" w:rsidRDefault="007F7D6A" w:rsidP="005B4367">
      <w:pPr>
        <w:pStyle w:val="FootnoteText"/>
      </w:pPr>
      <w:r w:rsidRPr="00D10EF8">
        <w:tab/>
      </w:r>
      <w:r w:rsidRPr="00093AC5">
        <w:rPr>
          <w:rStyle w:val="FootnoteReference"/>
        </w:rPr>
        <w:footnoteRef/>
      </w:r>
      <w:r w:rsidRPr="00D10EF8">
        <w:tab/>
      </w:r>
      <w:r w:rsidR="00865E37" w:rsidRPr="00D10EF8">
        <w:t>Communication du Mexique</w:t>
      </w:r>
      <w:r w:rsidR="00BF73AB">
        <w:t> ;</w:t>
      </w:r>
      <w:r w:rsidR="00865E37" w:rsidRPr="00D10EF8">
        <w:t xml:space="preserve"> </w:t>
      </w:r>
      <w:hyperlink r:id="rId201" w:history="1">
        <w:r w:rsidR="00865E37" w:rsidRPr="007B3667">
          <w:rPr>
            <w:rStyle w:val="FollowedHyperlink"/>
          </w:rPr>
          <w:t>https://www.cepal.org/en/publications/44458-first-regional-report-implementation-montevideo-consensus-population-and</w:t>
        </w:r>
      </w:hyperlink>
      <w:r w:rsidR="00865E37" w:rsidRPr="00D10EF8">
        <w:t xml:space="preserve">, </w:t>
      </w:r>
      <w:r w:rsidR="002A7FA1">
        <w:t>p. </w:t>
      </w:r>
      <w:r w:rsidR="00865E37" w:rsidRPr="00D10EF8">
        <w:t>204 et 209</w:t>
      </w:r>
      <w:r w:rsidR="00BF73AB">
        <w:t> ;</w:t>
      </w:r>
      <w:r w:rsidR="00865E37" w:rsidRPr="00D10EF8">
        <w:t xml:space="preserve"> A/75/561, </w:t>
      </w:r>
      <w:r w:rsidR="002A7FA1">
        <w:t>par. </w:t>
      </w:r>
      <w:r w:rsidR="00865E37" w:rsidRPr="00D10EF8">
        <w:t>10</w:t>
      </w:r>
      <w:r w:rsidR="00BF73AB">
        <w:t> ;</w:t>
      </w:r>
      <w:r w:rsidR="00865E37" w:rsidRPr="00D10EF8">
        <w:t xml:space="preserve"> A/HRC/27/68/Add.1</w:t>
      </w:r>
      <w:r w:rsidR="00BF73AB">
        <w:t> ;</w:t>
      </w:r>
      <w:r w:rsidR="00865E37" w:rsidRPr="00D10EF8">
        <w:t xml:space="preserve"> </w:t>
      </w:r>
      <w:hyperlink r:id="rId202" w:history="1">
        <w:r w:rsidR="00865E37" w:rsidRPr="007B3667">
          <w:rPr>
            <w:rStyle w:val="FollowedHyperlink"/>
          </w:rPr>
          <w:t>https://www.oas.org/en/iachr/afro-descendants/docs/pdf/afros_2011_eng.pdf</w:t>
        </w:r>
      </w:hyperlink>
      <w:r w:rsidR="00865E37" w:rsidRPr="00D10EF8">
        <w:t xml:space="preserve">, </w:t>
      </w:r>
      <w:r w:rsidR="002A7FA1">
        <w:t>p. </w:t>
      </w:r>
      <w:r w:rsidR="00865E37" w:rsidRPr="00D10EF8">
        <w:t xml:space="preserve">70, </w:t>
      </w:r>
      <w:r w:rsidR="002A7FA1">
        <w:t>par. </w:t>
      </w:r>
      <w:r w:rsidR="00865E37" w:rsidRPr="00D10EF8">
        <w:t>197</w:t>
      </w:r>
      <w:r w:rsidR="00BF73AB">
        <w:t> ;</w:t>
      </w:r>
      <w:r w:rsidR="00865E37" w:rsidRPr="00D10EF8">
        <w:t xml:space="preserve"> A/HRC/46/76, </w:t>
      </w:r>
      <w:r w:rsidR="002A7FA1">
        <w:t>par. </w:t>
      </w:r>
      <w:r w:rsidR="00865E37" w:rsidRPr="00D10EF8">
        <w:rPr>
          <w:rFonts w:eastAsia="Calibri"/>
          <w:color w:val="000000"/>
        </w:rPr>
        <w:t>75.</w:t>
      </w:r>
    </w:p>
  </w:footnote>
  <w:footnote w:id="166">
    <w:p w14:paraId="4FDFC437" w14:textId="7CF95A02" w:rsidR="00865E37" w:rsidRPr="00D10EF8" w:rsidRDefault="007F7D6A" w:rsidP="005B4367">
      <w:pPr>
        <w:pStyle w:val="FootnoteText"/>
      </w:pPr>
      <w:r w:rsidRPr="00D10EF8">
        <w:tab/>
      </w:r>
      <w:r w:rsidRPr="00093AC5">
        <w:rPr>
          <w:rStyle w:val="FootnoteReference"/>
        </w:rPr>
        <w:footnoteRef/>
      </w:r>
      <w:r w:rsidRPr="00D10EF8">
        <w:tab/>
      </w:r>
      <w:hyperlink r:id="rId203" w:history="1">
        <w:r w:rsidR="00865E37" w:rsidRPr="007B3667">
          <w:rPr>
            <w:rStyle w:val="FollowedHyperlink"/>
          </w:rPr>
          <w:t>https://eur-lex.europa.eu/legal-content/FR/TXT/?uri=LEGISSUM%3Al33178</w:t>
        </w:r>
      </w:hyperlink>
      <w:r w:rsidR="00865E37" w:rsidRPr="00D10EF8">
        <w:t>.</w:t>
      </w:r>
    </w:p>
  </w:footnote>
  <w:footnote w:id="167">
    <w:p w14:paraId="56774779" w14:textId="599634CC" w:rsidR="00865E37" w:rsidRPr="00D10EF8" w:rsidRDefault="007F7D6A" w:rsidP="005B4367">
      <w:pPr>
        <w:pStyle w:val="FootnoteText"/>
      </w:pPr>
      <w:r w:rsidRPr="00D10EF8">
        <w:tab/>
      </w:r>
      <w:r w:rsidRPr="00093AC5">
        <w:rPr>
          <w:rStyle w:val="FootnoteReference"/>
        </w:rPr>
        <w:footnoteRef/>
      </w:r>
      <w:r w:rsidRPr="00D10EF8">
        <w:tab/>
      </w:r>
      <w:hyperlink r:id="rId204" w:history="1">
        <w:r w:rsidR="00865E37" w:rsidRPr="007B3667">
          <w:rPr>
            <w:rStyle w:val="FollowedHyperlink"/>
          </w:rPr>
          <w:t>https://op.europa.eu/en/publication-detail/-/publication/b2e52f4f-7f8c-11e3-9b7d-01aa75ed71a1/language-fr</w:t>
        </w:r>
      </w:hyperlink>
      <w:r w:rsidR="00865E37" w:rsidRPr="00D10EF8">
        <w:t>,</w:t>
      </w:r>
      <w:r w:rsidR="00865E37" w:rsidRPr="00D10EF8">
        <w:rPr>
          <w:bCs/>
        </w:rPr>
        <w:t xml:space="preserve"> </w:t>
      </w:r>
      <w:r w:rsidR="002A7FA1">
        <w:rPr>
          <w:bCs/>
        </w:rPr>
        <w:t>par. </w:t>
      </w:r>
      <w:r w:rsidR="00865E37" w:rsidRPr="00D10EF8">
        <w:rPr>
          <w:bCs/>
        </w:rPr>
        <w:t>5.2. Communication de l</w:t>
      </w:r>
      <w:r w:rsidR="00F60EAA">
        <w:rPr>
          <w:bCs/>
        </w:rPr>
        <w:t>’</w:t>
      </w:r>
      <w:r w:rsidR="00865E37" w:rsidRPr="00D10EF8">
        <w:rPr>
          <w:bCs/>
        </w:rPr>
        <w:t>Union européenne</w:t>
      </w:r>
      <w:r w:rsidR="00BF73AB">
        <w:rPr>
          <w:bCs/>
        </w:rPr>
        <w:t> ;</w:t>
      </w:r>
      <w:r w:rsidR="00865E37" w:rsidRPr="00D10EF8">
        <w:rPr>
          <w:bCs/>
        </w:rPr>
        <w:t xml:space="preserve"> </w:t>
      </w:r>
      <w:hyperlink r:id="rId205" w:history="1">
        <w:r w:rsidR="00865E37" w:rsidRPr="007B3667">
          <w:rPr>
            <w:rStyle w:val="FollowedHyperlink"/>
          </w:rPr>
          <w:t>https://eur-lex.europa.eu/legal-content/FR/TXT/PDF/?uri=CELEX:32000L0043&amp;from=FR</w:t>
        </w:r>
      </w:hyperlink>
      <w:r w:rsidR="00865E37">
        <w:rPr>
          <w:bCs/>
        </w:rPr>
        <w:t>.</w:t>
      </w:r>
    </w:p>
  </w:footnote>
  <w:footnote w:id="168">
    <w:p w14:paraId="38FDD076" w14:textId="3DF29908" w:rsidR="00865E37" w:rsidRPr="00D10EF8" w:rsidRDefault="007F7D6A" w:rsidP="005B4367">
      <w:pPr>
        <w:pStyle w:val="FootnoteText"/>
      </w:pPr>
      <w:r w:rsidRPr="00D10EF8">
        <w:tab/>
      </w:r>
      <w:r w:rsidRPr="00093AC5">
        <w:rPr>
          <w:rStyle w:val="FootnoteReference"/>
        </w:rPr>
        <w:footnoteRef/>
      </w:r>
      <w:r w:rsidRPr="00D10EF8">
        <w:tab/>
      </w:r>
      <w:hyperlink r:id="rId206" w:history="1">
        <w:r w:rsidR="00865E37" w:rsidRPr="007B3667">
          <w:rPr>
            <w:rStyle w:val="FollowedHyperlink"/>
          </w:rPr>
          <w:t>https://www.politico.eu/article/eus-fight-against-racism-isnt-working/</w:t>
        </w:r>
      </w:hyperlink>
      <w:r w:rsidR="00865E37" w:rsidRPr="00D10EF8">
        <w:t>.</w:t>
      </w:r>
    </w:p>
  </w:footnote>
  <w:footnote w:id="169">
    <w:p w14:paraId="7C332118" w14:textId="4F3FE2A4" w:rsidR="00865E37" w:rsidRPr="00D10EF8" w:rsidRDefault="007F7D6A" w:rsidP="005B4367">
      <w:pPr>
        <w:pStyle w:val="FootnoteText"/>
      </w:pPr>
      <w:r w:rsidRPr="00D10EF8">
        <w:tab/>
      </w:r>
      <w:r w:rsidRPr="00093AC5">
        <w:rPr>
          <w:rStyle w:val="FootnoteReference"/>
        </w:rPr>
        <w:footnoteRef/>
      </w:r>
      <w:r w:rsidRPr="00D10EF8">
        <w:tab/>
      </w:r>
      <w:hyperlink r:id="rId207" w:history="1">
        <w:r w:rsidR="00865E37" w:rsidRPr="002B71DA">
          <w:rPr>
            <w:rStyle w:val="FollowedHyperlink"/>
          </w:rPr>
          <w:t>https://openknowledge.worldbank.org/handle/10986/30201</w:t>
        </w:r>
      </w:hyperlink>
      <w:r w:rsidR="00865E37" w:rsidRPr="00D10EF8">
        <w:t xml:space="preserve">, </w:t>
      </w:r>
      <w:r w:rsidR="002A7FA1">
        <w:t>p. </w:t>
      </w:r>
      <w:r w:rsidR="00865E37" w:rsidRPr="00D10EF8">
        <w:t>100.</w:t>
      </w:r>
    </w:p>
  </w:footnote>
  <w:footnote w:id="170">
    <w:p w14:paraId="50899AF1" w14:textId="4766D21F" w:rsidR="00865E37" w:rsidRPr="00D10EF8" w:rsidRDefault="007F7D6A" w:rsidP="005B4367">
      <w:pPr>
        <w:pStyle w:val="FootnoteText"/>
      </w:pPr>
      <w:r w:rsidRPr="00D10EF8">
        <w:tab/>
      </w:r>
      <w:r w:rsidRPr="00093AC5">
        <w:rPr>
          <w:rStyle w:val="FootnoteReference"/>
        </w:rPr>
        <w:footnoteRef/>
      </w:r>
      <w:r w:rsidRPr="00D10EF8">
        <w:tab/>
      </w:r>
      <w:hyperlink r:id="rId208" w:history="1">
        <w:r w:rsidR="00865E37" w:rsidRPr="002B71DA">
          <w:rPr>
            <w:rStyle w:val="FollowedHyperlink"/>
          </w:rPr>
          <w:t>http://www.oas.org/en/sla/dil/inter_american_treaties_A-68_racism_signatories.asp</w:t>
        </w:r>
      </w:hyperlink>
      <w:r w:rsidR="00865E37" w:rsidRPr="00D10EF8">
        <w:t>.</w:t>
      </w:r>
    </w:p>
  </w:footnote>
  <w:footnote w:id="171">
    <w:p w14:paraId="4A09E7E4" w14:textId="59C12F22" w:rsidR="00865E37" w:rsidRPr="00D10EF8" w:rsidRDefault="007F7D6A" w:rsidP="005B4367">
      <w:pPr>
        <w:pStyle w:val="FootnoteText"/>
      </w:pPr>
      <w:r w:rsidRPr="00D10EF8">
        <w:tab/>
      </w:r>
      <w:r w:rsidRPr="00093AC5">
        <w:rPr>
          <w:rStyle w:val="FootnoteReference"/>
        </w:rPr>
        <w:footnoteRef/>
      </w:r>
      <w:r w:rsidRPr="00D10EF8">
        <w:tab/>
      </w:r>
      <w:hyperlink r:id="rId209" w:history="1">
        <w:r w:rsidR="00865E37" w:rsidRPr="002B71DA">
          <w:rPr>
            <w:rStyle w:val="FollowedHyperlink"/>
          </w:rPr>
          <w:t>http://www.oas.org/en/sare/documents/res-2891-16-en.pdf</w:t>
        </w:r>
      </w:hyperlink>
      <w:r w:rsidR="00865E37" w:rsidRPr="00D10EF8">
        <w:t>.</w:t>
      </w:r>
    </w:p>
  </w:footnote>
  <w:footnote w:id="172">
    <w:p w14:paraId="7911F595" w14:textId="46BC97E2" w:rsidR="00865E37" w:rsidRPr="00D10EF8" w:rsidRDefault="007F7D6A" w:rsidP="005B4367">
      <w:pPr>
        <w:pStyle w:val="FootnoteText"/>
      </w:pPr>
      <w:r w:rsidRPr="00D10EF8">
        <w:tab/>
      </w:r>
      <w:r w:rsidRPr="00093AC5">
        <w:rPr>
          <w:rStyle w:val="FootnoteReference"/>
        </w:rPr>
        <w:footnoteRef/>
      </w:r>
      <w:r w:rsidRPr="00D10EF8">
        <w:tab/>
      </w:r>
      <w:hyperlink r:id="rId210" w:history="1">
        <w:r w:rsidR="00865E37" w:rsidRPr="002B71DA">
          <w:rPr>
            <w:rStyle w:val="FollowedHyperlink"/>
          </w:rPr>
          <w:t>http://www.oas.org/en/sare/documents/res-2891-16-en.pdf</w:t>
        </w:r>
      </w:hyperlink>
      <w:r w:rsidR="00865E37" w:rsidRPr="00D10EF8">
        <w:t>.</w:t>
      </w:r>
    </w:p>
  </w:footnote>
  <w:footnote w:id="173">
    <w:p w14:paraId="41075A94" w14:textId="08F6CDC0" w:rsidR="00865E37" w:rsidRPr="00D10EF8" w:rsidRDefault="007F7D6A" w:rsidP="005B4367">
      <w:pPr>
        <w:pStyle w:val="FootnoteText"/>
      </w:pPr>
      <w:r w:rsidRPr="00D10EF8">
        <w:tab/>
      </w:r>
      <w:r w:rsidRPr="00093AC5">
        <w:rPr>
          <w:rStyle w:val="FootnoteReference"/>
        </w:rPr>
        <w:footnoteRef/>
      </w:r>
      <w:r w:rsidRPr="00D10EF8">
        <w:tab/>
      </w:r>
      <w:hyperlink r:id="rId211" w:history="1">
        <w:r w:rsidR="00865E37" w:rsidRPr="002B71DA">
          <w:rPr>
            <w:rStyle w:val="FollowedHyperlink"/>
          </w:rPr>
          <w:t>https://www.cepal.org/en/publications/44458-first-regional-report-implementation-montevideo-consensus-population-and</w:t>
        </w:r>
      </w:hyperlink>
      <w:r w:rsidR="00865E37" w:rsidRPr="00D10EF8">
        <w:t xml:space="preserve">, </w:t>
      </w:r>
      <w:r w:rsidR="002A7FA1">
        <w:t>p. </w:t>
      </w:r>
      <w:r w:rsidR="00865E37" w:rsidRPr="00D10EF8">
        <w:t>203.</w:t>
      </w:r>
    </w:p>
  </w:footnote>
  <w:footnote w:id="174">
    <w:p w14:paraId="522AA692" w14:textId="54841E00" w:rsidR="00865E37" w:rsidRPr="00D10EF8" w:rsidRDefault="007F7D6A" w:rsidP="005B4367">
      <w:pPr>
        <w:pStyle w:val="FootnoteText"/>
      </w:pPr>
      <w:r w:rsidRPr="00D10EF8">
        <w:tab/>
      </w:r>
      <w:r w:rsidRPr="00093AC5">
        <w:rPr>
          <w:rStyle w:val="FootnoteReference"/>
        </w:rPr>
        <w:footnoteRef/>
      </w:r>
      <w:r w:rsidRPr="00D10EF8">
        <w:tab/>
      </w:r>
      <w:hyperlink r:id="rId212" w:history="1">
        <w:r w:rsidR="00865E37" w:rsidRPr="002B71DA">
          <w:rPr>
            <w:rStyle w:val="FollowedHyperlink"/>
          </w:rPr>
          <w:t>https://www.cepal.org/en/publications/45202-people-african-descent-latin-america-and-caribbean-developing-indicators-measure</w:t>
        </w:r>
      </w:hyperlink>
      <w:r w:rsidR="00865E37" w:rsidRPr="00D10EF8">
        <w:t xml:space="preserve">, </w:t>
      </w:r>
      <w:r w:rsidR="002A7FA1">
        <w:t>p. </w:t>
      </w:r>
      <w:r w:rsidR="00865E37" w:rsidRPr="00D10EF8">
        <w:t>14 et 15.</w:t>
      </w:r>
    </w:p>
  </w:footnote>
  <w:footnote w:id="175">
    <w:p w14:paraId="494521D4" w14:textId="0624F0C9" w:rsidR="00865E37" w:rsidRPr="0064293E" w:rsidRDefault="007F7D6A" w:rsidP="005B4367">
      <w:pPr>
        <w:pStyle w:val="FootnoteText"/>
        <w:rPr>
          <w:lang w:val="fr-CA"/>
        </w:rPr>
      </w:pPr>
      <w:r w:rsidRPr="00D10EF8">
        <w:tab/>
      </w:r>
      <w:r w:rsidRPr="00093AC5">
        <w:rPr>
          <w:rStyle w:val="FootnoteReference"/>
        </w:rPr>
        <w:footnoteRef/>
      </w:r>
      <w:r w:rsidRPr="00D10EF8">
        <w:tab/>
      </w:r>
      <w:r w:rsidR="00865E37" w:rsidRPr="00DF4EA0">
        <w:t>Communication de l</w:t>
      </w:r>
      <w:r w:rsidR="00F60EAA">
        <w:t>’</w:t>
      </w:r>
      <w:r w:rsidR="00865E37" w:rsidRPr="00DF4EA0">
        <w:t>Argentine, du Guatemala et du Mexique</w:t>
      </w:r>
      <w:r w:rsidR="00BF73AB">
        <w:t> ;</w:t>
      </w:r>
      <w:r w:rsidR="00865E37" w:rsidRPr="00DF4EA0">
        <w:t xml:space="preserve"> </w:t>
      </w:r>
      <w:hyperlink r:id="rId213" w:history="1">
        <w:r w:rsidR="00865E37" w:rsidRPr="002B71DA">
          <w:rPr>
            <w:rStyle w:val="FollowedHyperlink"/>
          </w:rPr>
          <w:t>https://www.cepal.org/en/</w:t>
        </w:r>
        <w:r w:rsidR="002B71DA">
          <w:rPr>
            <w:rStyle w:val="FollowedHyperlink"/>
          </w:rPr>
          <w:t xml:space="preserve"> </w:t>
        </w:r>
        <w:r w:rsidR="00865E37" w:rsidRPr="002B71DA">
          <w:rPr>
            <w:rStyle w:val="FollowedHyperlink"/>
          </w:rPr>
          <w:t>publications/44458-first-regional-report-implementation-montevideo-consensus-population-and</w:t>
        </w:r>
      </w:hyperlink>
      <w:r w:rsidR="00865E37" w:rsidRPr="00DF4EA0">
        <w:t xml:space="preserve">,  </w:t>
      </w:r>
      <w:r w:rsidR="002A7FA1">
        <w:t>p. </w:t>
      </w:r>
      <w:r w:rsidR="00865E37" w:rsidRPr="00DF4EA0">
        <w:t>208</w:t>
      </w:r>
      <w:r w:rsidR="00BF73AB">
        <w:t> ;</w:t>
      </w:r>
      <w:r w:rsidR="00865E37" w:rsidRPr="00DF4EA0">
        <w:t xml:space="preserve"> CERD/C/BRA/18-20, </w:t>
      </w:r>
      <w:r w:rsidR="002A7FA1">
        <w:t>par. </w:t>
      </w:r>
      <w:r w:rsidR="00865E37" w:rsidRPr="00DF4EA0">
        <w:t>111, 120, 124, 140</w:t>
      </w:r>
      <w:r w:rsidR="00BF73AB">
        <w:t> ;</w:t>
      </w:r>
      <w:r w:rsidR="00865E37" w:rsidRPr="00DF4EA0">
        <w:t xml:space="preserve"> A/75/561, </w:t>
      </w:r>
      <w:r w:rsidR="002A7FA1">
        <w:t>par. </w:t>
      </w:r>
      <w:r w:rsidR="00865E37" w:rsidRPr="00DF4EA0">
        <w:t>21</w:t>
      </w:r>
      <w:r w:rsidR="00BF73AB">
        <w:t> ;</w:t>
      </w:r>
      <w:r w:rsidR="00865E37" w:rsidRPr="00DF4EA0">
        <w:t xml:space="preserve"> A/75/363, </w:t>
      </w:r>
      <w:r w:rsidR="002A7FA1">
        <w:t>par. </w:t>
      </w:r>
      <w:r w:rsidR="00865E37" w:rsidRPr="00DF4EA0">
        <w:t>23</w:t>
      </w:r>
      <w:r w:rsidR="005B19E1">
        <w:t>.</w:t>
      </w:r>
    </w:p>
  </w:footnote>
  <w:footnote w:id="176">
    <w:p w14:paraId="7C2FA657" w14:textId="6224C739" w:rsidR="00865E37" w:rsidRPr="00D10EF8" w:rsidRDefault="007F7D6A" w:rsidP="005B4367">
      <w:pPr>
        <w:pStyle w:val="FootnoteText"/>
      </w:pPr>
      <w:r w:rsidRPr="00D10EF8">
        <w:tab/>
      </w:r>
      <w:r w:rsidRPr="00093AC5">
        <w:rPr>
          <w:rStyle w:val="FootnoteReference"/>
        </w:rPr>
        <w:footnoteRef/>
      </w:r>
      <w:r w:rsidRPr="00D10EF8">
        <w:tab/>
      </w:r>
      <w:r w:rsidR="00865E37" w:rsidRPr="00D10EF8">
        <w:t>Communication de la Suède</w:t>
      </w:r>
      <w:r w:rsidR="00BF73AB">
        <w:t> ;</w:t>
      </w:r>
      <w:r w:rsidR="00865E37" w:rsidRPr="00D10EF8">
        <w:t xml:space="preserve"> </w:t>
      </w:r>
      <w:hyperlink r:id="rId214" w:history="1">
        <w:r w:rsidR="00865E37" w:rsidRPr="002B71DA">
          <w:rPr>
            <w:rStyle w:val="FollowedHyperlink"/>
          </w:rPr>
          <w:t>https://fra.europa.eu/sites/default/files/fra_uploads/fra-2017-fundamental-rights-report-2017_en.pdf</w:t>
        </w:r>
      </w:hyperlink>
      <w:r w:rsidR="00865E37" w:rsidRPr="00D10EF8">
        <w:t xml:space="preserve">, </w:t>
      </w:r>
      <w:r w:rsidR="002A7FA1">
        <w:t>p. </w:t>
      </w:r>
      <w:r w:rsidR="00865E37" w:rsidRPr="00D10EF8">
        <w:t>90</w:t>
      </w:r>
      <w:r w:rsidR="00BF73AB">
        <w:t> ;</w:t>
      </w:r>
      <w:r w:rsidR="00865E37" w:rsidRPr="00D10EF8">
        <w:t xml:space="preserve"> </w:t>
      </w:r>
      <w:hyperlink r:id="rId215" w:history="1">
        <w:r w:rsidR="00865E37" w:rsidRPr="002B71DA">
          <w:rPr>
            <w:rStyle w:val="FollowedHyperlink"/>
          </w:rPr>
          <w:t>https://assembly.coe.int/LifeRay/EGA/Pdf/</w:t>
        </w:r>
        <w:r w:rsidR="002B71DA">
          <w:rPr>
            <w:rStyle w:val="FollowedHyperlink"/>
          </w:rPr>
          <w:t xml:space="preserve"> </w:t>
        </w:r>
        <w:r w:rsidR="00865E37" w:rsidRPr="002B71DA">
          <w:rPr>
            <w:rStyle w:val="FollowedHyperlink"/>
          </w:rPr>
          <w:t>Press/2021/20210316-Afrophobie-prov-FR.pdf</w:t>
        </w:r>
      </w:hyperlink>
      <w:r w:rsidR="00865E37" w:rsidRPr="00D10EF8">
        <w:t xml:space="preserve">, </w:t>
      </w:r>
      <w:r w:rsidR="002A7FA1">
        <w:t>par. </w:t>
      </w:r>
      <w:r w:rsidR="00865E37" w:rsidRPr="00D10EF8">
        <w:t>63 et 64</w:t>
      </w:r>
      <w:r w:rsidR="00BF73AB">
        <w:t> ;</w:t>
      </w:r>
      <w:r w:rsidR="00865E37" w:rsidRPr="00D10EF8">
        <w:t xml:space="preserve"> </w:t>
      </w:r>
      <w:hyperlink r:id="rId216" w:history="1">
        <w:r w:rsidR="00865E37" w:rsidRPr="002B71DA">
          <w:rPr>
            <w:rStyle w:val="FollowedHyperlink"/>
          </w:rPr>
          <w:t>https://www.gouvernement.fr/</w:t>
        </w:r>
        <w:r w:rsidR="002B71DA">
          <w:rPr>
            <w:rStyle w:val="FollowedHyperlink"/>
          </w:rPr>
          <w:t xml:space="preserve"> </w:t>
        </w:r>
        <w:r w:rsidR="00865E37" w:rsidRPr="002B71DA">
          <w:rPr>
            <w:rStyle w:val="FollowedHyperlink"/>
          </w:rPr>
          <w:t>sites/default/files/contenu/piece-jointe/2018/03/plan_national_de_lutte_contre_la_racisme_et_</w:t>
        </w:r>
        <w:r w:rsidR="00EE0F50">
          <w:rPr>
            <w:rStyle w:val="FollowedHyperlink"/>
          </w:rPr>
          <w:t xml:space="preserve"> </w:t>
        </w:r>
        <w:r w:rsidR="00865E37" w:rsidRPr="002B71DA">
          <w:rPr>
            <w:rStyle w:val="FollowedHyperlink"/>
          </w:rPr>
          <w:t>lantisemitisme_2018-2020.pdf</w:t>
        </w:r>
      </w:hyperlink>
      <w:r w:rsidR="00865E37" w:rsidRPr="00D10EF8">
        <w:t>.</w:t>
      </w:r>
    </w:p>
  </w:footnote>
  <w:footnote w:id="177">
    <w:p w14:paraId="4B0D6020" w14:textId="35CBFEA9" w:rsidR="00865E37" w:rsidRPr="00D10EF8" w:rsidRDefault="007F7D6A" w:rsidP="005B4367">
      <w:pPr>
        <w:pStyle w:val="FootnoteText"/>
      </w:pPr>
      <w:r w:rsidRPr="00D10EF8">
        <w:tab/>
      </w:r>
      <w:r w:rsidRPr="00093AC5">
        <w:rPr>
          <w:rStyle w:val="FootnoteReference"/>
        </w:rPr>
        <w:footnoteRef/>
      </w:r>
      <w:r w:rsidRPr="00D10EF8">
        <w:tab/>
      </w:r>
      <w:r w:rsidR="00865E37" w:rsidRPr="00D10EF8">
        <w:t>Communication de l</w:t>
      </w:r>
      <w:r w:rsidR="00F60EAA">
        <w:t>’</w:t>
      </w:r>
      <w:r w:rsidR="00865E37" w:rsidRPr="00D10EF8">
        <w:t>Argentine</w:t>
      </w:r>
      <w:r w:rsidR="00BF73AB">
        <w:t> ;</w:t>
      </w:r>
      <w:r w:rsidR="00865E37" w:rsidRPr="00D10EF8">
        <w:t xml:space="preserve"> </w:t>
      </w:r>
      <w:hyperlink r:id="rId217" w:history="1">
        <w:r w:rsidR="00865E37" w:rsidRPr="00EE0F50">
          <w:rPr>
            <w:rStyle w:val="FollowedHyperlink"/>
          </w:rPr>
          <w:t>https://www.oas.org/en/iachr/afro-descendants/</w:t>
        </w:r>
        <w:r w:rsidR="005B19E1">
          <w:rPr>
            <w:rStyle w:val="FollowedHyperlink"/>
          </w:rPr>
          <w:t xml:space="preserve"> </w:t>
        </w:r>
        <w:r w:rsidR="00865E37" w:rsidRPr="00EE0F50">
          <w:rPr>
            <w:rStyle w:val="FollowedHyperlink"/>
          </w:rPr>
          <w:t>docs/pdf/afros_2011_eng.pdf</w:t>
        </w:r>
      </w:hyperlink>
      <w:r w:rsidR="00865E37" w:rsidRPr="005B19E1">
        <w:rPr>
          <w:rStyle w:val="FollowedHyperlink"/>
          <w:color w:val="auto"/>
        </w:rPr>
        <w:t xml:space="preserve">, </w:t>
      </w:r>
      <w:r w:rsidR="002A7FA1" w:rsidRPr="005B19E1">
        <w:rPr>
          <w:rStyle w:val="FollowedHyperlink"/>
          <w:color w:val="auto"/>
        </w:rPr>
        <w:t>par. </w:t>
      </w:r>
      <w:r w:rsidR="00865E37" w:rsidRPr="005B19E1">
        <w:rPr>
          <w:rStyle w:val="FollowedHyperlink"/>
          <w:color w:val="auto"/>
        </w:rPr>
        <w:t>220</w:t>
      </w:r>
      <w:r w:rsidR="00BF73AB" w:rsidRPr="005B19E1">
        <w:rPr>
          <w:rStyle w:val="FollowedHyperlink"/>
          <w:color w:val="auto"/>
        </w:rPr>
        <w:t> ;</w:t>
      </w:r>
      <w:r w:rsidR="00865E37" w:rsidRPr="005B19E1">
        <w:rPr>
          <w:rStyle w:val="FollowedHyperlink"/>
          <w:color w:val="auto"/>
        </w:rPr>
        <w:t xml:space="preserve"> </w:t>
      </w:r>
      <w:hyperlink r:id="rId218" w:history="1">
        <w:r w:rsidR="00865E37" w:rsidRPr="00EE0F50">
          <w:rPr>
            <w:rStyle w:val="FollowedHyperlink"/>
          </w:rPr>
          <w:t>https://www.blackhistorymonth.org.uk/</w:t>
        </w:r>
      </w:hyperlink>
      <w:r w:rsidR="00BF73AB">
        <w:t> ;</w:t>
      </w:r>
      <w:r w:rsidR="00865E37" w:rsidRPr="00D10EF8">
        <w:t xml:space="preserve"> </w:t>
      </w:r>
      <w:hyperlink r:id="rId219" w:history="1">
        <w:r w:rsidR="00865E37" w:rsidRPr="00EE0F50">
          <w:rPr>
            <w:rStyle w:val="FollowedHyperlink"/>
          </w:rPr>
          <w:t>https://www.canada.ca/fr/patrimoine-canadien/campagnes/mois-histoire-des-noirs.html</w:t>
        </w:r>
      </w:hyperlink>
      <w:r w:rsidR="00BF73AB">
        <w:rPr>
          <w:rStyle w:val="FollowedHyperlink"/>
          <w:color w:val="auto"/>
        </w:rPr>
        <w:t> ;</w:t>
      </w:r>
      <w:r w:rsidR="00865E37" w:rsidRPr="00EE0F50">
        <w:t xml:space="preserve"> </w:t>
      </w:r>
      <w:hyperlink r:id="rId220" w:history="1">
        <w:r w:rsidR="00865E37" w:rsidRPr="00EE0F50">
          <w:rPr>
            <w:rStyle w:val="FollowedHyperlink"/>
          </w:rPr>
          <w:t>http://blackhistory.eu/</w:t>
        </w:r>
      </w:hyperlink>
      <w:r w:rsidR="00865E37" w:rsidRPr="00D10EF8">
        <w:t>.</w:t>
      </w:r>
    </w:p>
  </w:footnote>
  <w:footnote w:id="178">
    <w:p w14:paraId="5B2D83AA" w14:textId="72F73D56" w:rsidR="00865E37" w:rsidRPr="00DA5E7E" w:rsidRDefault="007F7D6A"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 xml:space="preserve">A/HRC/27/68/Add.1, </w:t>
      </w:r>
      <w:r w:rsidR="002A7FA1" w:rsidRPr="00DA5E7E">
        <w:rPr>
          <w:lang w:val="en-US"/>
        </w:rPr>
        <w:t>par. </w:t>
      </w:r>
      <w:r w:rsidR="00865E37" w:rsidRPr="00DA5E7E">
        <w:rPr>
          <w:lang w:val="en-US"/>
        </w:rPr>
        <w:t>16.</w:t>
      </w:r>
    </w:p>
  </w:footnote>
  <w:footnote w:id="179">
    <w:p w14:paraId="7C20FB01" w14:textId="7BD5B797"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hyperlink r:id="rId221" w:history="1">
        <w:r w:rsidR="00865E37" w:rsidRPr="004A035C">
          <w:rPr>
            <w:rStyle w:val="FollowedHyperlink"/>
            <w:lang w:val="en-US"/>
          </w:rPr>
          <w:t>https://ec.europa.eu/info/files/union-equality-eu-action-plan-against-racism-2020-2025_fr</w:t>
        </w:r>
      </w:hyperlink>
      <w:r w:rsidR="00BF73AB">
        <w:rPr>
          <w:lang w:val="en-US"/>
        </w:rPr>
        <w:t> ;</w:t>
      </w:r>
      <w:r w:rsidR="00865E37" w:rsidRPr="00DA5E7E">
        <w:rPr>
          <w:lang w:val="en-US"/>
        </w:rPr>
        <w:t xml:space="preserve"> </w:t>
      </w:r>
      <w:hyperlink r:id="rId222" w:history="1">
        <w:r w:rsidR="00865E37" w:rsidRPr="004A035C">
          <w:rPr>
            <w:rStyle w:val="FollowedHyperlink"/>
            <w:lang w:val="en-US"/>
          </w:rPr>
          <w:t>https://ec.europa.eu/info/sites/info/files/a_union_of_equality_eu_action_plan_against_racism_2020_-2025_fr.pdf</w:t>
        </w:r>
      </w:hyperlink>
      <w:r w:rsidR="00865E37" w:rsidRPr="00DA5E7E">
        <w:rPr>
          <w:lang w:val="en-US"/>
        </w:rPr>
        <w:t>.</w:t>
      </w:r>
    </w:p>
  </w:footnote>
  <w:footnote w:id="180">
    <w:p w14:paraId="184A44EF" w14:textId="0FE54E2E"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hyperlink r:id="rId223" w:history="1">
        <w:r w:rsidR="00865E37" w:rsidRPr="004A035C">
          <w:rPr>
            <w:rStyle w:val="FollowedHyperlink"/>
            <w:lang w:val="en-US"/>
          </w:rPr>
          <w:t>https://www.europarl.europa.eu/doceo/document/TA-8-2019-0239_FR.html</w:t>
        </w:r>
      </w:hyperlink>
      <w:r w:rsidR="00865E37" w:rsidRPr="00DA5E7E">
        <w:rPr>
          <w:lang w:val="en-US"/>
        </w:rPr>
        <w:t>.</w:t>
      </w:r>
    </w:p>
  </w:footnote>
  <w:footnote w:id="181">
    <w:p w14:paraId="74434A21" w14:textId="21A7D3C8"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hyperlink r:id="rId224" w:history="1">
        <w:r w:rsidR="00865E37" w:rsidRPr="004A035C">
          <w:rPr>
            <w:rStyle w:val="FollowedHyperlink"/>
            <w:lang w:val="en-US"/>
          </w:rPr>
          <w:t>https://www.ardi-ep.eu/save-the-date-european-summit-against-racism-to-be-virtually-held-on-19-march-2021/</w:t>
        </w:r>
      </w:hyperlink>
      <w:r w:rsidR="00865E37" w:rsidRPr="00DA5E7E">
        <w:rPr>
          <w:lang w:val="en-US"/>
        </w:rPr>
        <w:t>.</w:t>
      </w:r>
    </w:p>
  </w:footnote>
  <w:footnote w:id="182">
    <w:p w14:paraId="547FD4DD" w14:textId="0AD24A2E"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hyperlink r:id="rId225" w:history="1">
        <w:r w:rsidR="00865E37" w:rsidRPr="004A035C">
          <w:rPr>
            <w:rStyle w:val="FollowedHyperlink"/>
            <w:lang w:val="en-US"/>
          </w:rPr>
          <w:t>https://www.whitehouse.gov/briefing-room/presidential-actions/2021/01/20/executive-order-advancing-racial-equity-and-support-for-underserved-communities-through-the-federal-government/</w:t>
        </w:r>
      </w:hyperlink>
      <w:r w:rsidR="00865E37" w:rsidRPr="00DA5E7E">
        <w:rPr>
          <w:lang w:val="en-US"/>
        </w:rPr>
        <w:t xml:space="preserve">. </w:t>
      </w:r>
    </w:p>
  </w:footnote>
  <w:footnote w:id="183">
    <w:p w14:paraId="47160C4F" w14:textId="280C0B83"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hyperlink r:id="rId226" w:history="1">
        <w:r w:rsidR="00865E37" w:rsidRPr="004A035C">
          <w:rPr>
            <w:rStyle w:val="FollowedHyperlink"/>
            <w:lang w:val="en-US"/>
          </w:rPr>
          <w:t>www.whitehouse.gov/briefing-room/presidential-actions/2021/01/20/executive-order-advancing-racial-equity-and-support-for-underserved-communities-through-the-federal-government/</w:t>
        </w:r>
      </w:hyperlink>
      <w:r w:rsidR="00865E37" w:rsidRPr="00DA5E7E">
        <w:rPr>
          <w:lang w:val="en-US"/>
        </w:rPr>
        <w:t>.</w:t>
      </w:r>
    </w:p>
  </w:footnote>
  <w:footnote w:id="184">
    <w:p w14:paraId="33E30D5D" w14:textId="59A38ABC"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r w:rsidR="00865E37" w:rsidRPr="00DA5E7E">
        <w:rPr>
          <w:lang w:val="en-US"/>
        </w:rPr>
        <w:t>CERD/C/USA/10-12.</w:t>
      </w:r>
    </w:p>
  </w:footnote>
  <w:footnote w:id="185">
    <w:p w14:paraId="28847A62" w14:textId="4B38EF81"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hyperlink r:id="rId227" w:history="1">
        <w:r w:rsidR="00865E37" w:rsidRPr="004A035C">
          <w:rPr>
            <w:rStyle w:val="FollowedHyperlink"/>
            <w:lang w:val="en-US"/>
          </w:rPr>
          <w:t>https://www.canada.ca/fr/patrimoine-canadien/campagnes/mobilisation-contre-racisme/strategie-contre-racisme.html</w:t>
        </w:r>
      </w:hyperlink>
      <w:r w:rsidR="00BF73AB">
        <w:rPr>
          <w:rStyle w:val="FollowedHyperlink"/>
          <w:lang w:val="en-US"/>
        </w:rPr>
        <w:t> ;</w:t>
      </w:r>
      <w:r w:rsidR="00865E37" w:rsidRPr="004A035C">
        <w:rPr>
          <w:rStyle w:val="FollowedHyperlink"/>
          <w:lang w:val="en-US"/>
        </w:rPr>
        <w:t xml:space="preserve"> </w:t>
      </w:r>
      <w:hyperlink r:id="rId228" w:history="1">
        <w:r w:rsidR="00865E37" w:rsidRPr="004A035C">
          <w:rPr>
            <w:rStyle w:val="FollowedHyperlink"/>
            <w:lang w:val="en-US"/>
          </w:rPr>
          <w:t>https://www.canada.ca/fr/conseil-prive/campagnes/discours-trone/2020/discours-du-trone.html</w:t>
        </w:r>
      </w:hyperlink>
      <w:r w:rsidR="00865E37" w:rsidRPr="00DA5E7E">
        <w:rPr>
          <w:lang w:val="en-US"/>
        </w:rPr>
        <w:t>.</w:t>
      </w:r>
    </w:p>
  </w:footnote>
  <w:footnote w:id="186">
    <w:p w14:paraId="7D57D405" w14:textId="608293CD"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hyperlink r:id="rId229" w:history="1">
        <w:r w:rsidR="00865E37" w:rsidRPr="004A035C">
          <w:rPr>
            <w:rStyle w:val="FollowedHyperlink"/>
            <w:lang w:val="en-US"/>
          </w:rPr>
          <w:t>https://fra.europa.eu/en/publication/2020/fundamental-rights-report-2020</w:t>
        </w:r>
      </w:hyperlink>
      <w:r w:rsidR="00865E37" w:rsidRPr="004A035C">
        <w:rPr>
          <w:rStyle w:val="FollowedHyperlink"/>
          <w:lang w:val="en-US"/>
        </w:rPr>
        <w:t>,</w:t>
      </w:r>
      <w:r w:rsidR="00865E37" w:rsidRPr="00DA5E7E">
        <w:rPr>
          <w:lang w:val="en-US"/>
        </w:rPr>
        <w:t xml:space="preserve"> </w:t>
      </w:r>
      <w:r w:rsidR="002A7FA1" w:rsidRPr="00DA5E7E">
        <w:rPr>
          <w:lang w:val="en-US"/>
        </w:rPr>
        <w:t>p. </w:t>
      </w:r>
      <w:r w:rsidR="00865E37" w:rsidRPr="00DA5E7E">
        <w:rPr>
          <w:lang w:val="en-US"/>
        </w:rPr>
        <w:t>66.</w:t>
      </w:r>
    </w:p>
  </w:footnote>
  <w:footnote w:id="187">
    <w:p w14:paraId="2D6DBC87" w14:textId="4ED59F01"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hyperlink r:id="rId230" w:history="1">
        <w:r w:rsidR="00865E37" w:rsidRPr="004A035C">
          <w:rPr>
            <w:rStyle w:val="FollowedHyperlink"/>
            <w:lang w:val="en-US"/>
          </w:rPr>
          <w:t>https://fra.europa.eu/sites/default/files/fra_uploads/fra-2018-fundamental-rights-report-2018_en.pdf</w:t>
        </w:r>
      </w:hyperlink>
      <w:r w:rsidR="00865E37" w:rsidRPr="00DA5E7E">
        <w:rPr>
          <w:lang w:val="en-US"/>
        </w:rPr>
        <w:t xml:space="preserve">, </w:t>
      </w:r>
      <w:r w:rsidR="002A7FA1" w:rsidRPr="00DA5E7E">
        <w:rPr>
          <w:lang w:val="en-US"/>
        </w:rPr>
        <w:t>p. </w:t>
      </w:r>
      <w:r w:rsidR="00865E37" w:rsidRPr="00DA5E7E">
        <w:rPr>
          <w:lang w:val="en-US"/>
        </w:rPr>
        <w:t>79.</w:t>
      </w:r>
    </w:p>
  </w:footnote>
  <w:footnote w:id="188">
    <w:p w14:paraId="65E6527E" w14:textId="1CAD93C0" w:rsidR="00865E37" w:rsidRPr="00DA5E7E" w:rsidRDefault="007F7D6A" w:rsidP="005B4367">
      <w:pPr>
        <w:pStyle w:val="FootnoteText"/>
        <w:rPr>
          <w:lang w:val="en-US"/>
        </w:rPr>
      </w:pPr>
      <w:r w:rsidRPr="00DA5E7E">
        <w:rPr>
          <w:lang w:val="en-US"/>
        </w:rPr>
        <w:tab/>
      </w:r>
      <w:r w:rsidRPr="00093AC5">
        <w:rPr>
          <w:rStyle w:val="FootnoteReference"/>
        </w:rPr>
        <w:footnoteRef/>
      </w:r>
      <w:r w:rsidRPr="00DA5E7E">
        <w:rPr>
          <w:lang w:val="en-US"/>
        </w:rPr>
        <w:tab/>
      </w:r>
      <w:hyperlink r:id="rId231" w:history="1">
        <w:r w:rsidR="00865E37" w:rsidRPr="004A035C">
          <w:rPr>
            <w:rStyle w:val="FollowedHyperlink"/>
            <w:lang w:val="en-US"/>
          </w:rPr>
          <w:t>https://www.cepal.org/en/publications/44458-first-regional-report-implementation-montevideo-consensus-population-and</w:t>
        </w:r>
      </w:hyperlink>
      <w:r w:rsidR="00865E37" w:rsidRPr="00DA5E7E">
        <w:rPr>
          <w:lang w:val="en-US"/>
        </w:rPr>
        <w:t xml:space="preserve">, </w:t>
      </w:r>
      <w:r w:rsidR="002A7FA1" w:rsidRPr="00DA5E7E">
        <w:rPr>
          <w:lang w:val="en-US"/>
        </w:rPr>
        <w:t>p. </w:t>
      </w:r>
      <w:r w:rsidR="00865E37" w:rsidRPr="00DA5E7E">
        <w:rPr>
          <w:lang w:val="en-US"/>
        </w:rPr>
        <w:t>203.</w:t>
      </w:r>
    </w:p>
  </w:footnote>
  <w:footnote w:id="189">
    <w:p w14:paraId="4FF7A89A" w14:textId="28B02716" w:rsidR="00865E37" w:rsidRPr="00D10EF8" w:rsidRDefault="007F7D6A" w:rsidP="005B4367">
      <w:pPr>
        <w:pStyle w:val="FootnoteText"/>
      </w:pPr>
      <w:r w:rsidRPr="00DA5E7E">
        <w:rPr>
          <w:lang w:val="en-US"/>
        </w:rPr>
        <w:tab/>
      </w:r>
      <w:r w:rsidRPr="00093AC5">
        <w:rPr>
          <w:rStyle w:val="FootnoteReference"/>
        </w:rPr>
        <w:footnoteRef/>
      </w:r>
      <w:r w:rsidRPr="00D10EF8">
        <w:tab/>
      </w:r>
      <w:r w:rsidR="00865E37" w:rsidRPr="00D10EF8">
        <w:t>CERD/C/GC/32</w:t>
      </w:r>
      <w:r w:rsidR="00BF73AB">
        <w:t> ;</w:t>
      </w:r>
      <w:r w:rsidR="00865E37" w:rsidRPr="00D10EF8">
        <w:t xml:space="preserve"> CERD/C/GC/34, </w:t>
      </w:r>
      <w:r w:rsidR="002A7FA1">
        <w:t>par. </w:t>
      </w:r>
      <w:r w:rsidR="00865E37" w:rsidRPr="00D10EF8">
        <w:t>7.</w:t>
      </w:r>
    </w:p>
  </w:footnote>
  <w:footnote w:id="190">
    <w:p w14:paraId="6B0C0D4F" w14:textId="409DF07F" w:rsidR="00865E37" w:rsidRPr="00D10EF8" w:rsidRDefault="007F7D6A" w:rsidP="005B4367">
      <w:pPr>
        <w:pStyle w:val="FootnoteText"/>
      </w:pPr>
      <w:r w:rsidRPr="00D10EF8">
        <w:tab/>
      </w:r>
      <w:r w:rsidRPr="00093AC5">
        <w:rPr>
          <w:rStyle w:val="FootnoteReference"/>
        </w:rPr>
        <w:footnoteRef/>
      </w:r>
      <w:r w:rsidRPr="00D10EF8">
        <w:tab/>
      </w:r>
      <w:hyperlink r:id="rId232" w:history="1">
        <w:r w:rsidR="00865E37" w:rsidRPr="00386CE1">
          <w:rPr>
            <w:rStyle w:val="FollowedHyperlink"/>
          </w:rPr>
          <w:t>https://www.worldbank.org/en/region/lac/brief/afro-descendants-in-latin-america</w:t>
        </w:r>
      </w:hyperlink>
      <w:r w:rsidR="00386CE1">
        <w:rPr>
          <w:rStyle w:val="FollowedHyperlink"/>
        </w:rPr>
        <w:t>,</w:t>
      </w:r>
      <w:r w:rsidR="00865E37" w:rsidRPr="00D10EF8">
        <w:t xml:space="preserve"> </w:t>
      </w:r>
      <w:r w:rsidR="002A7FA1">
        <w:t>p. </w:t>
      </w:r>
      <w:r w:rsidR="00865E37" w:rsidRPr="00D10EF8">
        <w:t>100</w:t>
      </w:r>
      <w:r w:rsidR="00BF73AB">
        <w:t> ;</w:t>
      </w:r>
      <w:r w:rsidR="00865E37" w:rsidRPr="00D10EF8">
        <w:t xml:space="preserve"> </w:t>
      </w:r>
      <w:hyperlink r:id="rId233" w:history="1">
        <w:r w:rsidR="00865E37" w:rsidRPr="00386CE1">
          <w:rPr>
            <w:rStyle w:val="FollowedHyperlink"/>
          </w:rPr>
          <w:t>https://www.cepal.org/en/publications/44458-first-regional-report-implementation-montevideo-consensus-population-and</w:t>
        </w:r>
      </w:hyperlink>
      <w:r w:rsidR="00865E37" w:rsidRPr="00D10EF8">
        <w:t xml:space="preserve">, </w:t>
      </w:r>
      <w:r w:rsidR="002A7FA1">
        <w:t>p. </w:t>
      </w:r>
      <w:r w:rsidR="00865E37" w:rsidRPr="00D10EF8">
        <w:t>209</w:t>
      </w:r>
      <w:r w:rsidR="00BF73AB">
        <w:t> ;</w:t>
      </w:r>
      <w:r w:rsidR="00865E37" w:rsidRPr="00D10EF8">
        <w:t xml:space="preserve"> A/75/561, </w:t>
      </w:r>
      <w:r w:rsidR="002A7FA1">
        <w:t>par. </w:t>
      </w:r>
      <w:r w:rsidR="00865E37" w:rsidRPr="00D10EF8">
        <w:t>41</w:t>
      </w:r>
      <w:r w:rsidR="00BF73AB">
        <w:t> ;</w:t>
      </w:r>
      <w:r w:rsidR="00865E37" w:rsidRPr="00D10EF8">
        <w:t xml:space="preserve"> CERD/C/BRA/18-20, </w:t>
      </w:r>
      <w:r w:rsidR="002A7FA1">
        <w:t>par. </w:t>
      </w:r>
      <w:r w:rsidR="00865E37" w:rsidRPr="00D10EF8">
        <w:t>82 à 84.</w:t>
      </w:r>
    </w:p>
  </w:footnote>
  <w:footnote w:id="191">
    <w:p w14:paraId="48678915" w14:textId="5D576BDA" w:rsidR="00865E37" w:rsidRPr="00D10EF8" w:rsidRDefault="007F7D6A" w:rsidP="005B4367">
      <w:pPr>
        <w:pStyle w:val="FootnoteText"/>
      </w:pPr>
      <w:r w:rsidRPr="00D10EF8">
        <w:tab/>
      </w:r>
      <w:r w:rsidRPr="00093AC5">
        <w:rPr>
          <w:rStyle w:val="FootnoteReference"/>
        </w:rPr>
        <w:footnoteRef/>
      </w:r>
      <w:r w:rsidRPr="00D10EF8">
        <w:tab/>
      </w:r>
      <w:r w:rsidR="00865E37" w:rsidRPr="00D10EF8">
        <w:t>CERD/C/USA/10-12.</w:t>
      </w:r>
    </w:p>
  </w:footnote>
  <w:footnote w:id="192">
    <w:p w14:paraId="4702CE5C" w14:textId="38C519C0"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A/HRC/27/68/Add.1, </w:t>
      </w:r>
      <w:r w:rsidR="002A7FA1">
        <w:t>par. </w:t>
      </w:r>
      <w:r w:rsidR="00865E37" w:rsidRPr="00D10EF8">
        <w:t>25, 26, 56 et 57</w:t>
      </w:r>
      <w:r w:rsidR="00BF73AB">
        <w:t> ;</w:t>
      </w:r>
      <w:r w:rsidR="00865E37" w:rsidRPr="00D10EF8">
        <w:t xml:space="preserve"> CERD/C/USA/CO/7-9, </w:t>
      </w:r>
      <w:r w:rsidR="002A7FA1">
        <w:t>par. </w:t>
      </w:r>
      <w:r w:rsidR="00865E37" w:rsidRPr="00D10EF8">
        <w:t>7</w:t>
      </w:r>
      <w:r w:rsidR="00BF73AB">
        <w:t> ;</w:t>
      </w:r>
      <w:r w:rsidR="00865E37" w:rsidRPr="00D10EF8">
        <w:t xml:space="preserve"> </w:t>
      </w:r>
      <w:hyperlink r:id="rId234" w:history="1">
        <w:r w:rsidR="00865E37" w:rsidRPr="00386CE1">
          <w:rPr>
            <w:rStyle w:val="FollowedHyperlink"/>
          </w:rPr>
          <w:t>https://repositorio.cepal.org/bitstream/handle/11362/44387/1/S1800725_en.pdf</w:t>
        </w:r>
      </w:hyperlink>
      <w:r w:rsidR="00865E37" w:rsidRPr="00D10EF8">
        <w:t xml:space="preserve">, </w:t>
      </w:r>
      <w:r w:rsidR="002A7FA1">
        <w:t>p. </w:t>
      </w:r>
      <w:r w:rsidR="00865E37" w:rsidRPr="00D10EF8">
        <w:t>32.</w:t>
      </w:r>
    </w:p>
  </w:footnote>
  <w:footnote w:id="193">
    <w:p w14:paraId="51B37032" w14:textId="269B3DD3" w:rsidR="00865E37" w:rsidRPr="00D10EF8" w:rsidRDefault="007F7D6A" w:rsidP="005B4367">
      <w:pPr>
        <w:pStyle w:val="FootnoteText"/>
      </w:pPr>
      <w:r w:rsidRPr="00D10EF8">
        <w:tab/>
      </w:r>
      <w:r w:rsidRPr="00093AC5">
        <w:rPr>
          <w:rStyle w:val="FootnoteReference"/>
        </w:rPr>
        <w:footnoteRef/>
      </w:r>
      <w:r w:rsidRPr="00D10EF8">
        <w:tab/>
      </w:r>
      <w:r w:rsidR="00865E37" w:rsidRPr="00D10EF8">
        <w:t>Communications de l</w:t>
      </w:r>
      <w:r w:rsidR="00F60EAA">
        <w:t>’</w:t>
      </w:r>
      <w:r w:rsidR="00865E37" w:rsidRPr="00D10EF8">
        <w:t>Argentine, du Brésil et du Mexique</w:t>
      </w:r>
      <w:r w:rsidR="00BF73AB">
        <w:t> ;</w:t>
      </w:r>
      <w:r w:rsidR="00865E37" w:rsidRPr="00D10EF8">
        <w:t xml:space="preserve"> A/75/561, </w:t>
      </w:r>
      <w:r w:rsidR="002A7FA1">
        <w:t>par. </w:t>
      </w:r>
      <w:r w:rsidR="00865E37" w:rsidRPr="00D10EF8">
        <w:t>8</w:t>
      </w:r>
      <w:r w:rsidR="00BF73AB">
        <w:t> ;</w:t>
      </w:r>
      <w:r w:rsidR="00865E37" w:rsidRPr="00D10EF8">
        <w:t xml:space="preserve"> CERD/C/BRA/18 à 20, </w:t>
      </w:r>
      <w:r w:rsidR="002A7FA1">
        <w:t>par. </w:t>
      </w:r>
      <w:r w:rsidR="00865E37" w:rsidRPr="00D10EF8">
        <w:t>219</w:t>
      </w:r>
      <w:r w:rsidR="00BF73AB">
        <w:t> ;</w:t>
      </w:r>
      <w:r w:rsidR="00865E37" w:rsidRPr="00386CE1">
        <w:rPr>
          <w:rStyle w:val="FollowedHyperlink"/>
        </w:rPr>
        <w:t xml:space="preserve"> </w:t>
      </w:r>
      <w:hyperlink r:id="rId235" w:history="1">
        <w:r w:rsidR="00865E37" w:rsidRPr="00386CE1">
          <w:rPr>
            <w:rStyle w:val="FollowedHyperlink"/>
          </w:rPr>
          <w:t>https://www.cepal.org/en/publications/44458-first-regional-report-implementation-montevideo-consensus-population-and</w:t>
        </w:r>
      </w:hyperlink>
      <w:r w:rsidR="00865E37" w:rsidRPr="00D10EF8">
        <w:t xml:space="preserve">, </w:t>
      </w:r>
      <w:r w:rsidR="002A7FA1">
        <w:t>p. </w:t>
      </w:r>
      <w:r w:rsidR="00865E37" w:rsidRPr="00D10EF8">
        <w:t>205</w:t>
      </w:r>
      <w:r w:rsidR="00BF73AB">
        <w:t> ;</w:t>
      </w:r>
      <w:r w:rsidR="00865E37" w:rsidRPr="00386CE1">
        <w:rPr>
          <w:rStyle w:val="FollowedHyperlink"/>
        </w:rPr>
        <w:t xml:space="preserve"> </w:t>
      </w:r>
      <w:hyperlink r:id="rId236" w:history="1">
        <w:r w:rsidR="00865E37" w:rsidRPr="00386CE1">
          <w:rPr>
            <w:rStyle w:val="FollowedHyperlink"/>
          </w:rPr>
          <w:t>https://www.oas.org/en/iachr/afro-descendants/docs/pdf/afros_2011_eng.pdf</w:t>
        </w:r>
      </w:hyperlink>
      <w:r w:rsidR="00865E37" w:rsidRPr="00D10EF8">
        <w:t xml:space="preserve"> , </w:t>
      </w:r>
      <w:r w:rsidR="002A7FA1">
        <w:t>par. </w:t>
      </w:r>
      <w:r w:rsidR="00865E37" w:rsidRPr="00D10EF8">
        <w:t>206</w:t>
      </w:r>
      <w:r w:rsidR="00BF73AB">
        <w:t> ;</w:t>
      </w:r>
      <w:r w:rsidR="00865E37" w:rsidRPr="00D10EF8">
        <w:t xml:space="preserve"> </w:t>
      </w:r>
      <w:hyperlink r:id="rId237" w:history="1">
        <w:r w:rsidR="00865E37" w:rsidRPr="00386CE1">
          <w:rPr>
            <w:rStyle w:val="FollowedHyperlink"/>
          </w:rPr>
          <w:t>https://www.un.org/en/observances/decade-people-african-descent/actions-taken</w:t>
        </w:r>
      </w:hyperlink>
      <w:r w:rsidR="00865E37" w:rsidRPr="00D10EF8">
        <w:t>.</w:t>
      </w:r>
    </w:p>
  </w:footnote>
  <w:footnote w:id="194">
    <w:p w14:paraId="6BE400A8" w14:textId="0724B9B2" w:rsidR="00865E37" w:rsidRPr="00DA5E7E" w:rsidRDefault="007F7D6A" w:rsidP="005B4367">
      <w:pPr>
        <w:pStyle w:val="FootnoteText"/>
        <w:rPr>
          <w:lang w:val="en-US"/>
        </w:rPr>
      </w:pPr>
      <w:r w:rsidRPr="00D10EF8">
        <w:tab/>
      </w:r>
      <w:r w:rsidRPr="00093AC5">
        <w:rPr>
          <w:rStyle w:val="FootnoteReference"/>
        </w:rPr>
        <w:footnoteRef/>
      </w:r>
      <w:r w:rsidRPr="00DA5E7E">
        <w:rPr>
          <w:lang w:val="en-US"/>
        </w:rPr>
        <w:tab/>
      </w:r>
      <w:hyperlink r:id="rId238" w:history="1">
        <w:r w:rsidR="00865E37" w:rsidRPr="004A035C">
          <w:rPr>
            <w:rStyle w:val="FollowedHyperlink"/>
            <w:lang w:val="en-US"/>
          </w:rPr>
          <w:t>https://ec.europa.eu/info/sites/default/files/report_on_the_application_of_the_racial_equality_ directive_and_the_employment_equality_directive_en.pdf</w:t>
        </w:r>
      </w:hyperlink>
      <w:r w:rsidR="00BF73AB">
        <w:rPr>
          <w:lang w:val="en-US"/>
        </w:rPr>
        <w:t> ;</w:t>
      </w:r>
      <w:r w:rsidR="00865E37" w:rsidRPr="00DA5E7E">
        <w:rPr>
          <w:lang w:val="en-US"/>
        </w:rPr>
        <w:t xml:space="preserve"> </w:t>
      </w:r>
      <w:hyperlink r:id="rId239" w:history="1">
        <w:r w:rsidR="00865E37" w:rsidRPr="004A035C">
          <w:rPr>
            <w:rStyle w:val="FollowedHyperlink"/>
            <w:lang w:val="en-US"/>
          </w:rPr>
          <w:t>https://fra.europa.eu/en/publication/2020/fundamental-rights-report-202</w:t>
        </w:r>
        <w:r w:rsidR="00865E37" w:rsidRPr="00DA5E7E">
          <w:rPr>
            <w:lang w:val="en-US"/>
          </w:rPr>
          <w:t>0</w:t>
        </w:r>
      </w:hyperlink>
      <w:r w:rsidR="00865E37" w:rsidRPr="00DA5E7E">
        <w:rPr>
          <w:lang w:val="en-US"/>
        </w:rPr>
        <w:t xml:space="preserve">, </w:t>
      </w:r>
      <w:r w:rsidR="002A7FA1" w:rsidRPr="00DA5E7E">
        <w:rPr>
          <w:lang w:val="en-US"/>
        </w:rPr>
        <w:t>p. </w:t>
      </w:r>
      <w:r w:rsidR="00865E37" w:rsidRPr="00DA5E7E">
        <w:rPr>
          <w:lang w:val="en-US"/>
        </w:rPr>
        <w:t>66.</w:t>
      </w:r>
    </w:p>
  </w:footnote>
  <w:footnote w:id="195">
    <w:p w14:paraId="24FA2CB6" w14:textId="124EFDA1" w:rsidR="00865E37" w:rsidRPr="00D10EF8" w:rsidRDefault="007F7D6A" w:rsidP="005B4367">
      <w:pPr>
        <w:pStyle w:val="FootnoteText"/>
      </w:pPr>
      <w:r w:rsidRPr="00DA5E7E">
        <w:rPr>
          <w:lang w:val="en-US"/>
        </w:rPr>
        <w:tab/>
      </w:r>
      <w:r w:rsidRPr="00093AC5">
        <w:rPr>
          <w:rStyle w:val="FootnoteReference"/>
        </w:rPr>
        <w:footnoteRef/>
      </w:r>
      <w:r w:rsidRPr="00D10EF8">
        <w:tab/>
      </w:r>
      <w:hyperlink r:id="rId240" w:history="1">
        <w:r w:rsidR="00865E37" w:rsidRPr="00386CE1">
          <w:rPr>
            <w:rStyle w:val="FollowedHyperlink"/>
          </w:rPr>
          <w:t>https://equineteurope.org/2021/towards-stronger-equality-bodies-for-an-equal-europe/</w:t>
        </w:r>
      </w:hyperlink>
      <w:r w:rsidR="00BF73AB">
        <w:t> ;</w:t>
      </w:r>
      <w:r w:rsidR="00865E37" w:rsidRPr="00D10EF8">
        <w:t xml:space="preserve"> </w:t>
      </w:r>
      <w:hyperlink r:id="rId241" w:history="1">
        <w:r w:rsidR="00865E37" w:rsidRPr="00386CE1">
          <w:rPr>
            <w:rStyle w:val="FollowedHyperlink"/>
          </w:rPr>
          <w:t>https://www.oas.org/en/iachr/afro-descendants/docs/pdf/afros_2011_eng.pdf</w:t>
        </w:r>
      </w:hyperlink>
      <w:r w:rsidR="00865E37" w:rsidRPr="00D10EF8">
        <w:t xml:space="preserve">, </w:t>
      </w:r>
      <w:r w:rsidR="002A7FA1">
        <w:t>par. </w:t>
      </w:r>
      <w:r w:rsidR="00865E37" w:rsidRPr="00D10EF8">
        <w:t>210 et 225.</w:t>
      </w:r>
    </w:p>
  </w:footnote>
  <w:footnote w:id="196">
    <w:p w14:paraId="2C920960" w14:textId="014469EE" w:rsidR="00865E37" w:rsidRPr="00D10EF8" w:rsidRDefault="007F7D6A" w:rsidP="005B4367">
      <w:pPr>
        <w:pStyle w:val="FootnoteText"/>
      </w:pPr>
      <w:r w:rsidRPr="00D10EF8">
        <w:tab/>
      </w:r>
      <w:r w:rsidRPr="00093AC5">
        <w:rPr>
          <w:rStyle w:val="FootnoteReference"/>
        </w:rPr>
        <w:footnoteRef/>
      </w:r>
      <w:r w:rsidRPr="00D10EF8">
        <w:tab/>
      </w:r>
      <w:hyperlink r:id="rId242" w:history="1">
        <w:r w:rsidR="00865E37" w:rsidRPr="00C34F42">
          <w:rPr>
            <w:rStyle w:val="FollowedHyperlink"/>
          </w:rPr>
          <w:t>https://www.oas.org/en/iachr/afro-descendants/docs/pdf/afros_2011_eng.pdf</w:t>
        </w:r>
      </w:hyperlink>
      <w:r w:rsidR="00865E37" w:rsidRPr="00D10EF8">
        <w:t xml:space="preserve">, </w:t>
      </w:r>
      <w:r w:rsidR="002A7FA1">
        <w:t>par. </w:t>
      </w:r>
      <w:r w:rsidR="00865E37" w:rsidRPr="00D10EF8">
        <w:t>214 et 215.</w:t>
      </w:r>
    </w:p>
  </w:footnote>
  <w:footnote w:id="197">
    <w:p w14:paraId="797E77BF" w14:textId="7E1A21E5" w:rsidR="00865E37" w:rsidRPr="00D10EF8" w:rsidRDefault="007F7D6A" w:rsidP="005B4367">
      <w:pPr>
        <w:pStyle w:val="FootnoteText"/>
      </w:pPr>
      <w:r w:rsidRPr="00D10EF8">
        <w:tab/>
      </w:r>
      <w:r w:rsidRPr="00093AC5">
        <w:rPr>
          <w:rStyle w:val="FootnoteReference"/>
        </w:rPr>
        <w:footnoteRef/>
      </w:r>
      <w:r w:rsidRPr="00D10EF8">
        <w:tab/>
      </w:r>
      <w:hyperlink r:id="rId243" w:history="1">
        <w:r w:rsidR="00865E37" w:rsidRPr="00C34F42">
          <w:rPr>
            <w:rStyle w:val="FollowedHyperlink"/>
          </w:rPr>
          <w:t>https://rm.coe.int/rapport-annuel-ecri-2019/16809ca6d4</w:t>
        </w:r>
      </w:hyperlink>
      <w:r w:rsidR="00865E37" w:rsidRPr="00D10EF8">
        <w:t xml:space="preserve">, </w:t>
      </w:r>
      <w:r w:rsidR="002A7FA1">
        <w:t>par. </w:t>
      </w:r>
      <w:r w:rsidR="00865E37" w:rsidRPr="00D10EF8">
        <w:t>12.</w:t>
      </w:r>
    </w:p>
  </w:footnote>
  <w:footnote w:id="198">
    <w:p w14:paraId="03C4CC5B" w14:textId="1601C9E6" w:rsidR="00865E37" w:rsidRPr="00D10EF8" w:rsidRDefault="007F7D6A" w:rsidP="005B4367">
      <w:pPr>
        <w:pStyle w:val="FootnoteText"/>
      </w:pPr>
      <w:r w:rsidRPr="00D10EF8">
        <w:tab/>
      </w:r>
      <w:r w:rsidRPr="00093AC5">
        <w:rPr>
          <w:rStyle w:val="FootnoteReference"/>
        </w:rPr>
        <w:footnoteRef/>
      </w:r>
      <w:r w:rsidRPr="00D10EF8">
        <w:tab/>
      </w:r>
      <w:r w:rsidR="00865E37" w:rsidRPr="00D10EF8">
        <w:t>Communications de l</w:t>
      </w:r>
      <w:r w:rsidR="00F60EAA">
        <w:t>’</w:t>
      </w:r>
      <w:r w:rsidR="00865E37" w:rsidRPr="00D10EF8">
        <w:t>Argentine, de la Bolivie (État plurinational de),</w:t>
      </w:r>
      <w:r w:rsidR="00865E37">
        <w:t xml:space="preserve"> de l</w:t>
      </w:r>
      <w:r w:rsidR="00F60EAA">
        <w:t>’</w:t>
      </w:r>
      <w:r w:rsidR="00865E37">
        <w:t>i</w:t>
      </w:r>
      <w:r w:rsidR="00865E37" w:rsidRPr="00D10EF8">
        <w:t>nstitution nationale des droits de l</w:t>
      </w:r>
      <w:r w:rsidR="00F60EAA">
        <w:t>’</w:t>
      </w:r>
      <w:r w:rsidR="00865E37" w:rsidRPr="00D10EF8">
        <w:t>homme de Bolivie (État plurinational de) (Défens</w:t>
      </w:r>
      <w:r w:rsidR="00865E37">
        <w:t>eur du peuple</w:t>
      </w:r>
      <w:r w:rsidR="00865E37" w:rsidRPr="00D10EF8">
        <w:t>)</w:t>
      </w:r>
      <w:r w:rsidR="00BF73AB">
        <w:t> ;</w:t>
      </w:r>
      <w:r w:rsidR="00865E37" w:rsidRPr="00D10EF8">
        <w:t xml:space="preserve"> A/HRC/45/47, </w:t>
      </w:r>
      <w:r w:rsidR="002A7FA1">
        <w:t>par. </w:t>
      </w:r>
      <w:r w:rsidR="00865E37" w:rsidRPr="00D10EF8">
        <w:t>26</w:t>
      </w:r>
      <w:r w:rsidR="00BF73AB">
        <w:t> ;</w:t>
      </w:r>
      <w:r w:rsidR="00865E37" w:rsidRPr="00D10EF8">
        <w:t xml:space="preserve"> A/74/308, </w:t>
      </w:r>
      <w:r w:rsidR="002A7FA1">
        <w:t>par. </w:t>
      </w:r>
      <w:r w:rsidR="00865E37" w:rsidRPr="00D10EF8" w:rsidDel="00ED4C6A">
        <w:t>32</w:t>
      </w:r>
      <w:r w:rsidR="00BF73AB">
        <w:t> ;</w:t>
      </w:r>
      <w:r w:rsidR="00865E37" w:rsidRPr="00D10EF8">
        <w:t xml:space="preserve"> </w:t>
      </w:r>
      <w:hyperlink r:id="rId244" w:history="1">
        <w:r w:rsidR="00865E37" w:rsidRPr="00554A43">
          <w:rPr>
            <w:rStyle w:val="FollowedHyperlink"/>
          </w:rPr>
          <w:t>https://www.un.org/en/observances/decade-people-african-descent/actions-taken</w:t>
        </w:r>
      </w:hyperlink>
      <w:r w:rsidR="00865E37" w:rsidRPr="00D10EF8">
        <w:t>.</w:t>
      </w:r>
    </w:p>
  </w:footnote>
  <w:footnote w:id="199">
    <w:p w14:paraId="2FE07D2D" w14:textId="0FE0651A" w:rsidR="00865E37" w:rsidRPr="00D10EF8" w:rsidRDefault="007F7D6A" w:rsidP="005B4367">
      <w:pPr>
        <w:pStyle w:val="FootnoteText"/>
      </w:pPr>
      <w:r w:rsidRPr="00D10EF8">
        <w:tab/>
      </w:r>
      <w:r w:rsidRPr="00093AC5">
        <w:rPr>
          <w:rStyle w:val="FootnoteReference"/>
        </w:rPr>
        <w:footnoteRef/>
      </w:r>
      <w:r w:rsidRPr="00D10EF8">
        <w:tab/>
      </w:r>
      <w:hyperlink r:id="rId245" w:history="1">
        <w:r w:rsidR="00865E37" w:rsidRPr="00C34F42">
          <w:rPr>
            <w:rStyle w:val="FollowedHyperlink"/>
          </w:rPr>
          <w:t>https://rm.coe.int/lutter-contre-le-racisme-et-la-discrimination-raciale-a-l-egard-des-pe/1680a1c0d2</w:t>
        </w:r>
      </w:hyperlink>
      <w:r w:rsidR="00865E37" w:rsidRPr="00D10EF8">
        <w:t xml:space="preserve">, </w:t>
      </w:r>
      <w:r w:rsidR="002A7FA1">
        <w:t>par. </w:t>
      </w:r>
      <w:r w:rsidR="00865E37" w:rsidRPr="00D10EF8">
        <w:t>13</w:t>
      </w:r>
      <w:r w:rsidR="00BF73AB">
        <w:t> ;</w:t>
      </w:r>
      <w:r w:rsidR="00865E37" w:rsidRPr="00D10EF8">
        <w:t xml:space="preserve"> </w:t>
      </w:r>
      <w:hyperlink r:id="rId246" w:history="1">
        <w:r w:rsidR="00865E37" w:rsidRPr="00C34F42">
          <w:rPr>
            <w:rStyle w:val="FollowedHyperlink"/>
          </w:rPr>
          <w:t>https://fra.europa.eu/sites/default/files/fra_uploads/fra-2018-fundamental-rights-report-2018_en.pdf</w:t>
        </w:r>
      </w:hyperlink>
      <w:r w:rsidR="00865E37" w:rsidRPr="00D10EF8">
        <w:t xml:space="preserve">, </w:t>
      </w:r>
      <w:r w:rsidR="002A7FA1">
        <w:t>p. </w:t>
      </w:r>
      <w:r w:rsidR="00865E37" w:rsidRPr="00D10EF8">
        <w:t>79.</w:t>
      </w:r>
    </w:p>
  </w:footnote>
  <w:footnote w:id="200">
    <w:p w14:paraId="522EF114" w14:textId="46A1EC80" w:rsidR="00865E37" w:rsidRPr="00D10EF8" w:rsidDel="00B22321" w:rsidRDefault="007F7D6A" w:rsidP="005B4367">
      <w:pPr>
        <w:pStyle w:val="FootnoteText"/>
      </w:pPr>
      <w:r w:rsidRPr="00D10EF8">
        <w:tab/>
      </w:r>
      <w:r w:rsidRPr="00093AC5">
        <w:rPr>
          <w:rStyle w:val="FootnoteReference"/>
        </w:rPr>
        <w:footnoteRef/>
      </w:r>
      <w:r w:rsidRPr="00D10EF8">
        <w:tab/>
      </w:r>
      <w:r w:rsidR="00865E37" w:rsidRPr="00D10EF8" w:rsidDel="00B22321">
        <w:t>CCPR/C/GC/36.</w:t>
      </w:r>
    </w:p>
  </w:footnote>
  <w:footnote w:id="201">
    <w:p w14:paraId="6DE35BE9" w14:textId="2B98A9FE" w:rsidR="00865E37" w:rsidRPr="00D10EF8" w:rsidRDefault="007F7D6A" w:rsidP="005B4367">
      <w:pPr>
        <w:pStyle w:val="FootnoteText"/>
      </w:pPr>
      <w:r w:rsidRPr="00D10EF8">
        <w:tab/>
      </w:r>
      <w:r w:rsidRPr="00093AC5">
        <w:rPr>
          <w:rStyle w:val="FootnoteReference"/>
        </w:rPr>
        <w:footnoteRef/>
      </w:r>
      <w:r w:rsidRPr="00D10EF8">
        <w:tab/>
      </w:r>
      <w:r w:rsidR="00865E37" w:rsidRPr="00D10EF8">
        <w:t xml:space="preserve">A/HRC/45/47, </w:t>
      </w:r>
      <w:r w:rsidR="002A7FA1">
        <w:t>par. </w:t>
      </w:r>
      <w:r w:rsidR="00865E37" w:rsidRPr="00D10EF8">
        <w:t>18 et 23.</w:t>
      </w:r>
    </w:p>
  </w:footnote>
  <w:footnote w:id="202">
    <w:p w14:paraId="4649FD12" w14:textId="668FD17C" w:rsidR="00865E37" w:rsidRPr="00D10EF8" w:rsidRDefault="007F7D6A" w:rsidP="005B4367">
      <w:pPr>
        <w:pStyle w:val="FootnoteText"/>
      </w:pPr>
      <w:r w:rsidRPr="00D10EF8">
        <w:tab/>
      </w:r>
      <w:r w:rsidRPr="00093AC5">
        <w:rPr>
          <w:rStyle w:val="FootnoteReference"/>
        </w:rPr>
        <w:footnoteRef/>
      </w:r>
      <w:r w:rsidRPr="00D10EF8">
        <w:tab/>
      </w:r>
      <w:r w:rsidR="00865E37" w:rsidRPr="00D10EF8">
        <w:t>CERD/C/GC/34</w:t>
      </w:r>
      <w:r w:rsidR="00BF73AB">
        <w:t> ;</w:t>
      </w:r>
      <w:r w:rsidR="00865E37" w:rsidRPr="00D10EF8">
        <w:t xml:space="preserve"> CERD/C/GC/32.</w:t>
      </w:r>
    </w:p>
  </w:footnote>
  <w:footnote w:id="203">
    <w:p w14:paraId="1F7E6618" w14:textId="0D723CA8" w:rsidR="00865E37" w:rsidRPr="00D10EF8" w:rsidRDefault="00DA5128" w:rsidP="005B4367">
      <w:pPr>
        <w:pStyle w:val="FootnoteText"/>
      </w:pPr>
      <w:r w:rsidRPr="00D10EF8">
        <w:tab/>
      </w:r>
      <w:r w:rsidRPr="00093AC5">
        <w:rPr>
          <w:rStyle w:val="FootnoteReference"/>
        </w:rPr>
        <w:footnoteRef/>
      </w:r>
      <w:r w:rsidRPr="00D10EF8">
        <w:tab/>
      </w:r>
      <w:r w:rsidR="00865E37" w:rsidRPr="00D10EF8">
        <w:t>Déclaration et Programme d</w:t>
      </w:r>
      <w:r w:rsidR="00F60EAA">
        <w:t>’</w:t>
      </w:r>
      <w:r w:rsidR="00865E37" w:rsidRPr="00D10EF8">
        <w:t>action de Durban</w:t>
      </w:r>
      <w:r w:rsidR="00BF73AB">
        <w:t> ;</w:t>
      </w:r>
      <w:r w:rsidR="00865E37" w:rsidRPr="00D10EF8">
        <w:t xml:space="preserve"> CERD/C/GC/34</w:t>
      </w:r>
      <w:r w:rsidR="00865E37" w:rsidRPr="00D10EF8" w:rsidDel="00294BDC">
        <w:t>.</w:t>
      </w:r>
    </w:p>
  </w:footnote>
  <w:footnote w:id="204">
    <w:p w14:paraId="4F1F764B" w14:textId="0F9DB7DA" w:rsidR="00865E37" w:rsidRPr="00D10EF8" w:rsidRDefault="00DA5128" w:rsidP="005B4367">
      <w:pPr>
        <w:pStyle w:val="FootnoteText"/>
      </w:pPr>
      <w:r w:rsidRPr="00D10EF8">
        <w:tab/>
      </w:r>
      <w:r w:rsidRPr="00093AC5">
        <w:rPr>
          <w:rStyle w:val="FootnoteReference"/>
        </w:rPr>
        <w:footnoteRef/>
      </w:r>
      <w:r w:rsidRPr="00D10EF8">
        <w:tab/>
      </w:r>
      <w:r w:rsidR="00865E37" w:rsidRPr="00D10EF8">
        <w:t xml:space="preserve">A/74/274, </w:t>
      </w:r>
      <w:r w:rsidR="002A7FA1">
        <w:t>par. </w:t>
      </w:r>
      <w:r w:rsidR="00865E37" w:rsidRPr="00D10EF8">
        <w:t>77 et 78 (al. i)).</w:t>
      </w:r>
    </w:p>
  </w:footnote>
  <w:footnote w:id="205">
    <w:p w14:paraId="0509F158" w14:textId="7331E565" w:rsidR="00865E37" w:rsidRPr="00D10EF8" w:rsidRDefault="00DA5128" w:rsidP="005B4367">
      <w:pPr>
        <w:pStyle w:val="FootnoteText"/>
      </w:pPr>
      <w:r w:rsidRPr="00D10EF8">
        <w:tab/>
      </w:r>
      <w:r w:rsidRPr="00093AC5">
        <w:rPr>
          <w:rStyle w:val="FootnoteReference"/>
        </w:rPr>
        <w:footnoteRef/>
      </w:r>
      <w:r w:rsidRPr="00D10EF8">
        <w:tab/>
      </w:r>
      <w:r w:rsidRPr="00D10EF8">
        <w:tab/>
      </w:r>
      <w:r w:rsidR="00865E37" w:rsidRPr="00D10EF8">
        <w:t xml:space="preserve">A/74/274, </w:t>
      </w:r>
      <w:r w:rsidR="002A7FA1">
        <w:t>par. </w:t>
      </w:r>
      <w:r w:rsidR="00865E37" w:rsidRPr="00D10EF8">
        <w:t>78 (al. m)).</w:t>
      </w:r>
    </w:p>
  </w:footnote>
  <w:footnote w:id="206">
    <w:p w14:paraId="697C6521" w14:textId="4210A833" w:rsidR="00865E37" w:rsidRPr="00D10EF8" w:rsidRDefault="00DA5128" w:rsidP="005B4367">
      <w:pPr>
        <w:pStyle w:val="FootnoteText"/>
      </w:pPr>
      <w:r w:rsidRPr="00D10EF8">
        <w:tab/>
      </w:r>
      <w:r w:rsidRPr="00093AC5">
        <w:rPr>
          <w:rStyle w:val="FootnoteReference"/>
        </w:rPr>
        <w:footnoteRef/>
      </w:r>
      <w:r w:rsidRPr="00D10EF8">
        <w:tab/>
      </w:r>
      <w:r w:rsidR="00865E37" w:rsidRPr="00D10EF8">
        <w:t xml:space="preserve">CERD/C/GC/34, </w:t>
      </w:r>
      <w:r w:rsidR="002A7FA1">
        <w:t>par. </w:t>
      </w:r>
      <w:r w:rsidR="00865E37" w:rsidRPr="00D10EF8">
        <w:t>17.</w:t>
      </w:r>
    </w:p>
  </w:footnote>
  <w:footnote w:id="207">
    <w:p w14:paraId="64408A9D" w14:textId="23402E12" w:rsidR="00865E37" w:rsidRPr="00D10EF8" w:rsidRDefault="00DA5128" w:rsidP="005B4367">
      <w:pPr>
        <w:pStyle w:val="FootnoteText"/>
      </w:pPr>
      <w:r w:rsidRPr="00D10EF8">
        <w:tab/>
      </w:r>
      <w:r w:rsidRPr="00093AC5">
        <w:rPr>
          <w:rStyle w:val="FootnoteReference"/>
        </w:rPr>
        <w:footnoteRef/>
      </w:r>
      <w:r w:rsidRPr="00D10EF8">
        <w:tab/>
      </w:r>
      <w:hyperlink r:id="rId247" w:history="1">
        <w:r w:rsidR="00865E37" w:rsidRPr="00833946">
          <w:rPr>
            <w:rStyle w:val="FollowedHyperlink"/>
          </w:rPr>
          <w:t>https://www.coe.int/fr/web/european-commission-against-racism-and-intolerance/recommendation-no.2</w:t>
        </w:r>
      </w:hyperlink>
      <w:r w:rsidR="00865E37" w:rsidRPr="00D10EF8">
        <w:t xml:space="preserve">. </w:t>
      </w:r>
    </w:p>
  </w:footnote>
  <w:footnote w:id="208">
    <w:p w14:paraId="1B128AE5" w14:textId="2C43453B" w:rsidR="00865E37" w:rsidRPr="00D10EF8" w:rsidRDefault="00DA5128" w:rsidP="005B4367">
      <w:pPr>
        <w:pStyle w:val="FootnoteText"/>
      </w:pPr>
      <w:r w:rsidRPr="00D10EF8">
        <w:tab/>
      </w:r>
      <w:r w:rsidRPr="00093AC5">
        <w:rPr>
          <w:rStyle w:val="FootnoteReference"/>
        </w:rPr>
        <w:footnoteRef/>
      </w:r>
      <w:r w:rsidRPr="00D10EF8">
        <w:tab/>
      </w:r>
      <w:hyperlink r:id="rId248" w:history="1">
        <w:r w:rsidR="00865E37" w:rsidRPr="00833946">
          <w:rPr>
            <w:rStyle w:val="FollowedHyperlink"/>
          </w:rPr>
          <w:t>https://www.europarl.europa.eu/doceo/document/TA-8-2019-0239_FR.pdf</w:t>
        </w:r>
      </w:hyperlink>
      <w:r w:rsidR="00865E37" w:rsidRPr="00D10EF8">
        <w:t xml:space="preserve">, </w:t>
      </w:r>
      <w:r w:rsidR="002A7FA1">
        <w:t>par. </w:t>
      </w:r>
      <w:r w:rsidR="00865E37" w:rsidRPr="00D10EF8">
        <w:t>12</w:t>
      </w:r>
      <w:r w:rsidR="00BF73AB">
        <w:t> ;</w:t>
      </w:r>
      <w:r w:rsidR="00865E37" w:rsidRPr="00D10EF8">
        <w:t xml:space="preserve"> </w:t>
      </w:r>
      <w:hyperlink r:id="rId249" w:history="1">
        <w:r w:rsidR="00865E37" w:rsidRPr="00833946">
          <w:rPr>
            <w:rStyle w:val="FollowedHyperlink"/>
          </w:rPr>
          <w:t>https://assembly.coe.int/LifeRay/EGA/Pdf/Press/2021/20210316-Afrophobie-prov-FR.pdf</w:t>
        </w:r>
      </w:hyperlink>
      <w:r w:rsidR="00865E37" w:rsidRPr="00D10EF8">
        <w:t xml:space="preserve">, </w:t>
      </w:r>
      <w:r w:rsidR="002A7FA1">
        <w:t>par. </w:t>
      </w:r>
      <w:r w:rsidR="00865E37" w:rsidRPr="00D10EF8">
        <w:t>17.</w:t>
      </w:r>
    </w:p>
  </w:footnote>
  <w:footnote w:id="209">
    <w:p w14:paraId="31672F36" w14:textId="02F5395E" w:rsidR="00865E37" w:rsidRPr="00D10EF8" w:rsidRDefault="00DA5128" w:rsidP="005B4367">
      <w:pPr>
        <w:pStyle w:val="FootnoteText"/>
      </w:pPr>
      <w:r w:rsidRPr="00D10EF8">
        <w:tab/>
      </w:r>
      <w:r w:rsidRPr="00093AC5">
        <w:rPr>
          <w:rStyle w:val="FootnoteReference"/>
        </w:rPr>
        <w:footnoteRef/>
      </w:r>
      <w:r w:rsidRPr="00D10EF8">
        <w:tab/>
      </w:r>
      <w:hyperlink r:id="rId250" w:history="1">
        <w:r w:rsidR="00865E37" w:rsidRPr="00833946">
          <w:rPr>
            <w:rStyle w:val="FollowedHyperlink"/>
          </w:rPr>
          <w:t>https://www.ohchr.org/sites/default/files/Documents/Publications/HR_PUB_12_2_fr.pdf</w:t>
        </w:r>
      </w:hyperlink>
      <w:r w:rsidR="00865E37" w:rsidRPr="00D10EF8">
        <w:t>.</w:t>
      </w:r>
    </w:p>
  </w:footnote>
  <w:footnote w:id="210">
    <w:p w14:paraId="5E8AF10C" w14:textId="5BE33545" w:rsidR="00865E37" w:rsidRPr="00DA5E7E" w:rsidRDefault="00DA5128"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A/70/335</w:t>
      </w:r>
      <w:r w:rsidR="00BF73AB">
        <w:rPr>
          <w:lang w:val="en-US"/>
        </w:rPr>
        <w:t> ;</w:t>
      </w:r>
      <w:r w:rsidR="00865E37" w:rsidRPr="00DA5E7E">
        <w:rPr>
          <w:lang w:val="en-US"/>
        </w:rPr>
        <w:t xml:space="preserve"> </w:t>
      </w:r>
      <w:hyperlink r:id="rId251" w:history="1">
        <w:r w:rsidR="00865E37" w:rsidRPr="00833946">
          <w:rPr>
            <w:rStyle w:val="FollowedHyperlink"/>
            <w:lang w:val="en-US"/>
          </w:rPr>
          <w:t>https://www.ohchr.org/sites/default/files/Documents/Issues/HRIndicators/</w:t>
        </w:r>
        <w:r w:rsidR="00833946" w:rsidRPr="00833946">
          <w:rPr>
            <w:rStyle w:val="FollowedHyperlink"/>
            <w:lang w:val="en-US"/>
          </w:rPr>
          <w:t xml:space="preserve"> </w:t>
        </w:r>
        <w:r w:rsidR="00865E37" w:rsidRPr="00833946">
          <w:rPr>
            <w:rStyle w:val="FollowedHyperlink"/>
            <w:lang w:val="en-US"/>
          </w:rPr>
          <w:t>GuidanceNoteonApproachtoData_FR.pdf</w:t>
        </w:r>
      </w:hyperlink>
      <w:r w:rsidR="00BF73AB">
        <w:rPr>
          <w:lang w:val="en-US"/>
        </w:rPr>
        <w:t> ;</w:t>
      </w:r>
      <w:r w:rsidR="00865E37" w:rsidRPr="00DA5E7E">
        <w:rPr>
          <w:lang w:val="en-US"/>
        </w:rPr>
        <w:t xml:space="preserve"> </w:t>
      </w:r>
      <w:hyperlink r:id="rId252" w:history="1">
        <w:r w:rsidR="00865E37" w:rsidRPr="00833946">
          <w:rPr>
            <w:rStyle w:val="FollowedHyperlink"/>
            <w:lang w:val="en-US"/>
          </w:rPr>
          <w:t>https://www.ohchr.org/Documents/Issues/Racism/</w:t>
        </w:r>
        <w:r w:rsidR="00833946">
          <w:rPr>
            <w:rStyle w:val="FollowedHyperlink"/>
            <w:lang w:val="en-US"/>
          </w:rPr>
          <w:t xml:space="preserve"> </w:t>
        </w:r>
        <w:r w:rsidR="00865E37" w:rsidRPr="00833946">
          <w:rPr>
            <w:rStyle w:val="FollowedHyperlink"/>
            <w:lang w:val="en-US"/>
          </w:rPr>
          <w:t>WGEAPD/Guidelines_inclusion_2030_</w:t>
        </w:r>
      </w:hyperlink>
      <w:r w:rsidR="00865E37" w:rsidRPr="00833946">
        <w:rPr>
          <w:rStyle w:val="FollowedHyperlink"/>
          <w:lang w:val="en-US"/>
        </w:rPr>
        <w:t xml:space="preserve"> Agenda.pdf</w:t>
      </w:r>
      <w:r w:rsidR="00865E37" w:rsidRPr="00DA5E7E">
        <w:rPr>
          <w:lang w:val="en-US"/>
        </w:rPr>
        <w:t>.</w:t>
      </w:r>
    </w:p>
  </w:footnote>
  <w:footnote w:id="211">
    <w:p w14:paraId="134E4FAD" w14:textId="6A95368D" w:rsidR="00865E37" w:rsidRPr="00D10EF8" w:rsidRDefault="00DA5128" w:rsidP="005B4367">
      <w:pPr>
        <w:pStyle w:val="FootnoteText"/>
      </w:pPr>
      <w:r w:rsidRPr="00DA5E7E">
        <w:rPr>
          <w:lang w:val="en-US"/>
        </w:rPr>
        <w:tab/>
      </w:r>
      <w:r w:rsidRPr="00093AC5">
        <w:rPr>
          <w:rStyle w:val="FootnoteReference"/>
        </w:rPr>
        <w:footnoteRef/>
      </w:r>
      <w:r w:rsidRPr="00D10EF8">
        <w:tab/>
      </w:r>
      <w:r w:rsidR="00865E37" w:rsidRPr="00D10EF8">
        <w:t xml:space="preserve">A/HRC/24/52, </w:t>
      </w:r>
      <w:r w:rsidR="002A7FA1">
        <w:t>par. </w:t>
      </w:r>
      <w:r w:rsidR="00865E37" w:rsidRPr="00D10EF8">
        <w:t>84.</w:t>
      </w:r>
    </w:p>
  </w:footnote>
  <w:footnote w:id="212">
    <w:p w14:paraId="3E534C0E" w14:textId="29F97170" w:rsidR="00865E37" w:rsidRPr="00D10EF8" w:rsidRDefault="00DA5128" w:rsidP="005B4367">
      <w:pPr>
        <w:pStyle w:val="FootnoteText"/>
      </w:pPr>
      <w:r w:rsidRPr="00D10EF8">
        <w:tab/>
      </w:r>
      <w:r w:rsidRPr="00093AC5">
        <w:rPr>
          <w:rStyle w:val="FootnoteReference"/>
        </w:rPr>
        <w:footnoteRef/>
      </w:r>
      <w:r w:rsidRPr="00D10EF8">
        <w:tab/>
      </w:r>
      <w:r w:rsidR="00865E37" w:rsidRPr="00D10EF8">
        <w:t>A/HRC/24/52.</w:t>
      </w:r>
    </w:p>
  </w:footnote>
  <w:footnote w:id="213">
    <w:p w14:paraId="1C99955F" w14:textId="26103112" w:rsidR="00865E37" w:rsidRPr="004A035C" w:rsidRDefault="00DA5128" w:rsidP="005B4367">
      <w:pPr>
        <w:pStyle w:val="FootnoteText"/>
      </w:pPr>
      <w:r w:rsidRPr="00D10EF8">
        <w:tab/>
      </w:r>
      <w:r w:rsidRPr="00093AC5">
        <w:rPr>
          <w:rStyle w:val="FootnoteReference"/>
        </w:rPr>
        <w:footnoteRef/>
      </w:r>
      <w:r w:rsidRPr="00D10EF8">
        <w:tab/>
      </w:r>
      <w:r w:rsidR="00865E37" w:rsidRPr="004A035C">
        <w:t xml:space="preserve">A/HRC/24/52 </w:t>
      </w:r>
      <w:r w:rsidR="002A7FA1">
        <w:t>par. </w:t>
      </w:r>
      <w:r w:rsidR="00865E37" w:rsidRPr="004A035C">
        <w:t>87 (al. b)).</w:t>
      </w:r>
    </w:p>
  </w:footnote>
  <w:footnote w:id="214">
    <w:p w14:paraId="4B0420A6" w14:textId="0D4CF4D5" w:rsidR="00865E37" w:rsidRPr="00D10EF8" w:rsidRDefault="00DA5128" w:rsidP="005B4367">
      <w:pPr>
        <w:pStyle w:val="FootnoteText"/>
      </w:pPr>
      <w:r w:rsidRPr="00D10EF8">
        <w:tab/>
      </w:r>
      <w:r w:rsidRPr="00093AC5">
        <w:rPr>
          <w:rStyle w:val="FootnoteReference"/>
        </w:rPr>
        <w:footnoteRef/>
      </w:r>
      <w:r w:rsidRPr="00D10EF8">
        <w:tab/>
      </w:r>
      <w:r w:rsidR="00865E37" w:rsidRPr="00D10EF8">
        <w:t>A/70/335.</w:t>
      </w:r>
    </w:p>
  </w:footnote>
  <w:footnote w:id="215">
    <w:p w14:paraId="7865508D" w14:textId="40C96145" w:rsidR="00865E37" w:rsidRPr="00D10EF8" w:rsidRDefault="00DA5128" w:rsidP="005B4367">
      <w:pPr>
        <w:pStyle w:val="FootnoteText"/>
      </w:pPr>
      <w:r w:rsidRPr="00D10EF8">
        <w:tab/>
      </w:r>
      <w:r w:rsidRPr="00093AC5">
        <w:rPr>
          <w:rStyle w:val="FootnoteReference"/>
        </w:rPr>
        <w:footnoteRef/>
      </w:r>
      <w:r w:rsidRPr="00D10EF8">
        <w:tab/>
      </w:r>
      <w:r w:rsidR="00865E37" w:rsidRPr="00D10EF8">
        <w:t xml:space="preserve">CERD/C/GC/34, </w:t>
      </w:r>
      <w:r w:rsidR="002A7FA1">
        <w:t>par. </w:t>
      </w:r>
      <w:r w:rsidR="00865E37" w:rsidRPr="00D10EF8">
        <w:t>61</w:t>
      </w:r>
      <w:r w:rsidR="00BF73AB">
        <w:t> ;</w:t>
      </w:r>
      <w:r w:rsidR="00865E37" w:rsidRPr="00D10EF8">
        <w:t xml:space="preserve"> Déclaration et Programme d</w:t>
      </w:r>
      <w:r w:rsidR="00F60EAA">
        <w:t>’</w:t>
      </w:r>
      <w:r w:rsidR="00865E37" w:rsidRPr="00D10EF8">
        <w:t xml:space="preserve">action de Durban, </w:t>
      </w:r>
      <w:r w:rsidR="002A7FA1">
        <w:t>par. </w:t>
      </w:r>
      <w:r w:rsidR="00865E37" w:rsidRPr="00D10EF8">
        <w:t>127.</w:t>
      </w:r>
    </w:p>
  </w:footnote>
  <w:footnote w:id="216">
    <w:p w14:paraId="61D01FAA" w14:textId="4B7685F9" w:rsidR="00865E37" w:rsidRPr="00D10EF8" w:rsidRDefault="00DA5128" w:rsidP="005B4367">
      <w:pPr>
        <w:pStyle w:val="FootnoteText"/>
      </w:pPr>
      <w:r w:rsidRPr="00D10EF8">
        <w:tab/>
      </w:r>
      <w:r w:rsidRPr="00093AC5">
        <w:rPr>
          <w:rStyle w:val="FootnoteReference"/>
        </w:rPr>
        <w:footnoteRef/>
      </w:r>
      <w:r w:rsidRPr="00D10EF8">
        <w:tab/>
      </w:r>
      <w:r w:rsidR="00865E37" w:rsidRPr="00D10EF8">
        <w:t xml:space="preserve">CERD/C/GC/34, </w:t>
      </w:r>
      <w:r w:rsidR="002A7FA1">
        <w:t>par. </w:t>
      </w:r>
      <w:r w:rsidR="00865E37" w:rsidRPr="00D10EF8">
        <w:t>27</w:t>
      </w:r>
      <w:r w:rsidR="00BF73AB">
        <w:t> ;</w:t>
      </w:r>
      <w:r w:rsidR="00865E37" w:rsidRPr="00D10EF8">
        <w:t xml:space="preserve"> Déclaration et Programme d</w:t>
      </w:r>
      <w:r w:rsidR="00F60EAA">
        <w:t>’</w:t>
      </w:r>
      <w:r w:rsidR="00865E37" w:rsidRPr="00D10EF8">
        <w:t xml:space="preserve">action de Durban, </w:t>
      </w:r>
      <w:r w:rsidR="002A7FA1">
        <w:t>par. </w:t>
      </w:r>
      <w:r w:rsidR="00865E37" w:rsidRPr="00D10EF8">
        <w:t>86 et 87</w:t>
      </w:r>
      <w:r w:rsidR="00BF73AB">
        <w:t> ;</w:t>
      </w:r>
      <w:r w:rsidR="00865E37" w:rsidRPr="00D10EF8">
        <w:t xml:space="preserve"> voir également CERD/C/GC/35.</w:t>
      </w:r>
    </w:p>
  </w:footnote>
  <w:footnote w:id="217">
    <w:p w14:paraId="085BB313" w14:textId="6A6DDD09" w:rsidR="00865E37" w:rsidRPr="00D10EF8" w:rsidRDefault="00DA5128" w:rsidP="005B4367">
      <w:pPr>
        <w:pStyle w:val="FootnoteText"/>
      </w:pPr>
      <w:r w:rsidRPr="00D10EF8">
        <w:tab/>
      </w:r>
      <w:r w:rsidRPr="00093AC5">
        <w:rPr>
          <w:rStyle w:val="FootnoteReference"/>
        </w:rPr>
        <w:footnoteRef/>
      </w:r>
      <w:r w:rsidRPr="00D10EF8">
        <w:tab/>
      </w:r>
      <w:r w:rsidR="00865E37" w:rsidRPr="00D10EF8">
        <w:t xml:space="preserve">CERD/C/GC/34, </w:t>
      </w:r>
      <w:r w:rsidR="002A7FA1">
        <w:t>par. </w:t>
      </w:r>
      <w:r w:rsidR="00865E37" w:rsidRPr="00D10EF8">
        <w:t>28</w:t>
      </w:r>
      <w:r w:rsidR="00BF73AB">
        <w:t> ;</w:t>
      </w:r>
      <w:r w:rsidR="00865E37" w:rsidRPr="00D10EF8">
        <w:t xml:space="preserve"> Déclaration et Programme d</w:t>
      </w:r>
      <w:r w:rsidR="00F60EAA">
        <w:t>’</w:t>
      </w:r>
      <w:r w:rsidR="00865E37" w:rsidRPr="00D10EF8">
        <w:t xml:space="preserve">action de Durban, </w:t>
      </w:r>
      <w:r w:rsidR="002A7FA1">
        <w:t>par. </w:t>
      </w:r>
      <w:r w:rsidR="00865E37" w:rsidRPr="00D10EF8">
        <w:t>82 et 89.</w:t>
      </w:r>
    </w:p>
  </w:footnote>
  <w:footnote w:id="218">
    <w:p w14:paraId="40F18C1C" w14:textId="08435214" w:rsidR="00865E37" w:rsidRPr="00DA5E7E" w:rsidRDefault="00DA5128" w:rsidP="005B4367">
      <w:pPr>
        <w:pStyle w:val="FootnoteText"/>
        <w:rPr>
          <w:lang w:val="es-ES"/>
        </w:rPr>
      </w:pPr>
      <w:r w:rsidRPr="00D10EF8">
        <w:tab/>
      </w:r>
      <w:r w:rsidRPr="00093AC5">
        <w:rPr>
          <w:rStyle w:val="FootnoteReference"/>
        </w:rPr>
        <w:footnoteRef/>
      </w:r>
      <w:r w:rsidRPr="00DA5E7E">
        <w:rPr>
          <w:lang w:val="es-ES"/>
        </w:rPr>
        <w:tab/>
      </w:r>
      <w:r w:rsidR="00865E37" w:rsidRPr="00DA5E7E">
        <w:rPr>
          <w:lang w:val="es-ES"/>
        </w:rPr>
        <w:t xml:space="preserve">A/HRC/24/52, </w:t>
      </w:r>
      <w:r w:rsidR="002A7FA1" w:rsidRPr="00DA5E7E">
        <w:rPr>
          <w:lang w:val="es-ES"/>
        </w:rPr>
        <w:t>par. </w:t>
      </w:r>
      <w:r w:rsidR="00865E37" w:rsidRPr="00DA5E7E">
        <w:rPr>
          <w:lang w:val="es-ES"/>
        </w:rPr>
        <w:t>75 (al. g)).</w:t>
      </w:r>
    </w:p>
  </w:footnote>
  <w:footnote w:id="219">
    <w:p w14:paraId="0D98EE75" w14:textId="2440C497" w:rsidR="00865E37" w:rsidRPr="00D10EF8" w:rsidRDefault="00DA5128" w:rsidP="005B4367">
      <w:pPr>
        <w:pStyle w:val="FootnoteText"/>
      </w:pPr>
      <w:r w:rsidRPr="00DA5E7E">
        <w:rPr>
          <w:lang w:val="es-ES"/>
        </w:rPr>
        <w:tab/>
      </w:r>
      <w:r w:rsidRPr="00093AC5">
        <w:rPr>
          <w:rStyle w:val="FootnoteReference"/>
        </w:rPr>
        <w:footnoteRef/>
      </w:r>
      <w:r w:rsidRPr="00D10EF8">
        <w:tab/>
      </w:r>
      <w:r w:rsidR="00865E37" w:rsidRPr="00D10EF8">
        <w:t xml:space="preserve">CERD/C/GC/34, </w:t>
      </w:r>
      <w:r w:rsidR="002A7FA1">
        <w:t>par. </w:t>
      </w:r>
      <w:r w:rsidR="00865E37" w:rsidRPr="00D10EF8">
        <w:t>30.</w:t>
      </w:r>
    </w:p>
  </w:footnote>
  <w:footnote w:id="220">
    <w:p w14:paraId="3F00C1A4" w14:textId="3E69F7B3" w:rsidR="00865E37" w:rsidRPr="00D10EF8" w:rsidRDefault="00DA5128" w:rsidP="005B4367">
      <w:pPr>
        <w:pStyle w:val="FootnoteText"/>
      </w:pPr>
      <w:r w:rsidRPr="00D10EF8">
        <w:tab/>
      </w:r>
      <w:r w:rsidRPr="00093AC5">
        <w:rPr>
          <w:rStyle w:val="FootnoteReference"/>
        </w:rPr>
        <w:footnoteRef/>
      </w:r>
      <w:r w:rsidRPr="00D10EF8">
        <w:tab/>
      </w:r>
      <w:r w:rsidR="00865E37" w:rsidRPr="00D10EF8">
        <w:t xml:space="preserve">CERD/C/ESP/CO/21-23, </w:t>
      </w:r>
      <w:r w:rsidR="002A7FA1">
        <w:t>par. </w:t>
      </w:r>
      <w:r w:rsidR="00865E37" w:rsidRPr="00D10EF8">
        <w:t>25.</w:t>
      </w:r>
    </w:p>
  </w:footnote>
  <w:footnote w:id="221">
    <w:p w14:paraId="1B1180D4" w14:textId="55CC0E3C" w:rsidR="00865E37" w:rsidRPr="00D10EF8" w:rsidRDefault="004C5B17" w:rsidP="005B4367">
      <w:pPr>
        <w:pStyle w:val="FootnoteText"/>
      </w:pPr>
      <w:r w:rsidRPr="00D10EF8">
        <w:tab/>
      </w:r>
      <w:r w:rsidRPr="00093AC5">
        <w:rPr>
          <w:rStyle w:val="FootnoteReference"/>
        </w:rPr>
        <w:footnoteRef/>
      </w:r>
      <w:r w:rsidRPr="00D10EF8">
        <w:tab/>
      </w:r>
      <w:r w:rsidR="00865E37" w:rsidRPr="00D10EF8">
        <w:t xml:space="preserve">CERD/C/GC/34, </w:t>
      </w:r>
      <w:r w:rsidR="002A7FA1">
        <w:t>par. </w:t>
      </w:r>
      <w:r w:rsidR="00865E37" w:rsidRPr="00D10EF8">
        <w:t>33</w:t>
      </w:r>
      <w:r w:rsidR="00BF73AB">
        <w:t> ;</w:t>
      </w:r>
      <w:r w:rsidR="00865E37" w:rsidRPr="00D10EF8">
        <w:t xml:space="preserve"> A/HRC/22/17/Add.4, annexe, </w:t>
      </w:r>
      <w:r w:rsidR="002A7FA1">
        <w:t>par. </w:t>
      </w:r>
      <w:r w:rsidR="00865E37" w:rsidRPr="00D10EF8">
        <w:t>58 et 59.</w:t>
      </w:r>
    </w:p>
  </w:footnote>
  <w:footnote w:id="222">
    <w:p w14:paraId="09880D1A" w14:textId="27B8FECD" w:rsidR="00865E37" w:rsidRPr="00D10EF8" w:rsidRDefault="004C5B17" w:rsidP="005B4367">
      <w:pPr>
        <w:pStyle w:val="FootnoteText"/>
      </w:pPr>
      <w:r w:rsidRPr="00D10EF8">
        <w:tab/>
      </w:r>
      <w:r w:rsidRPr="00093AC5">
        <w:rPr>
          <w:rStyle w:val="FootnoteReference"/>
        </w:rPr>
        <w:footnoteRef/>
      </w:r>
      <w:r w:rsidRPr="00D10EF8">
        <w:tab/>
      </w:r>
      <w:r w:rsidR="00865E37" w:rsidRPr="00D10EF8">
        <w:t xml:space="preserve">A/HRC/27/68, </w:t>
      </w:r>
      <w:r w:rsidR="002A7FA1">
        <w:t>par. </w:t>
      </w:r>
      <w:r w:rsidR="00865E37" w:rsidRPr="00D10EF8">
        <w:t>60 (al. r))</w:t>
      </w:r>
      <w:r w:rsidR="00BF73AB">
        <w:t> ;</w:t>
      </w:r>
      <w:r w:rsidR="00865E37" w:rsidRPr="00D10EF8">
        <w:t xml:space="preserve"> A/69/318, </w:t>
      </w:r>
      <w:r w:rsidR="002A7FA1">
        <w:t>par. </w:t>
      </w:r>
      <w:r w:rsidR="00865E37" w:rsidRPr="00D10EF8">
        <w:t>75.</w:t>
      </w:r>
    </w:p>
  </w:footnote>
  <w:footnote w:id="223">
    <w:p w14:paraId="436B47E1" w14:textId="76853DE7" w:rsidR="00865E37" w:rsidRPr="00D10EF8" w:rsidRDefault="004C5B17" w:rsidP="005B4367">
      <w:pPr>
        <w:pStyle w:val="FootnoteText"/>
      </w:pPr>
      <w:r w:rsidRPr="00D10EF8">
        <w:tab/>
      </w:r>
      <w:r w:rsidRPr="00093AC5">
        <w:rPr>
          <w:rStyle w:val="FootnoteReference"/>
        </w:rPr>
        <w:footnoteRef/>
      </w:r>
      <w:r w:rsidRPr="00D10EF8">
        <w:tab/>
      </w:r>
      <w:r w:rsidR="00865E37" w:rsidRPr="00D10EF8">
        <w:t>Plan d</w:t>
      </w:r>
      <w:r w:rsidR="00F60EAA">
        <w:t>’</w:t>
      </w:r>
      <w:r w:rsidR="00865E37" w:rsidRPr="00D10EF8">
        <w:t xml:space="preserve">action de Rabat, A/HRC/22/17/Add.4, annexe, </w:t>
      </w:r>
      <w:r w:rsidR="002A7FA1">
        <w:t>par. </w:t>
      </w:r>
      <w:r w:rsidR="00865E37" w:rsidRPr="00D10EF8">
        <w:t>36</w:t>
      </w:r>
      <w:r w:rsidR="00BF73AB">
        <w:t> ;</w:t>
      </w:r>
      <w:r w:rsidR="00865E37" w:rsidRPr="00D10EF8">
        <w:t xml:space="preserve"> Déclaration de Beyrouth et ses 18</w:t>
      </w:r>
      <w:r w:rsidR="00980478">
        <w:t> </w:t>
      </w:r>
      <w:r w:rsidR="00865E37" w:rsidRPr="00D10EF8">
        <w:t>engagements sur «</w:t>
      </w:r>
      <w:r w:rsidR="001F04A5">
        <w:t> </w:t>
      </w:r>
      <w:r w:rsidR="00865E37" w:rsidRPr="00D10EF8">
        <w:t>La foi pour les droits</w:t>
      </w:r>
      <w:r w:rsidR="001F04A5">
        <w:t> </w:t>
      </w:r>
      <w:r w:rsidR="00865E37" w:rsidRPr="00D10EF8">
        <w:t>», A/HRC/40/58, annexe II.</w:t>
      </w:r>
    </w:p>
  </w:footnote>
  <w:footnote w:id="224">
    <w:p w14:paraId="05B16DBD" w14:textId="65B2449E" w:rsidR="00865E37" w:rsidRPr="00D10EF8" w:rsidRDefault="004C5B17" w:rsidP="005B4367">
      <w:pPr>
        <w:pStyle w:val="FootnoteText"/>
      </w:pPr>
      <w:r w:rsidRPr="00D10EF8">
        <w:tab/>
      </w:r>
      <w:r w:rsidRPr="00093AC5">
        <w:rPr>
          <w:rStyle w:val="FootnoteReference"/>
        </w:rPr>
        <w:footnoteRef/>
      </w:r>
      <w:r w:rsidRPr="00D10EF8">
        <w:tab/>
      </w:r>
      <w:r w:rsidR="00865E37" w:rsidRPr="00D10EF8">
        <w:t xml:space="preserve">A/HRC/22/17/Add. 4, annexe, </w:t>
      </w:r>
      <w:r w:rsidR="002A7FA1">
        <w:t>par. </w:t>
      </w:r>
      <w:r w:rsidR="00865E37" w:rsidRPr="00D10EF8">
        <w:t>57.</w:t>
      </w:r>
    </w:p>
  </w:footnote>
  <w:footnote w:id="225">
    <w:p w14:paraId="02CBADD3" w14:textId="7C32C51C" w:rsidR="00865E37" w:rsidRPr="00D10EF8" w:rsidRDefault="004C5B17" w:rsidP="005B4367">
      <w:pPr>
        <w:pStyle w:val="FootnoteText"/>
      </w:pPr>
      <w:r w:rsidRPr="00D10EF8">
        <w:tab/>
      </w:r>
      <w:r w:rsidRPr="00093AC5">
        <w:rPr>
          <w:rStyle w:val="FootnoteReference"/>
        </w:rPr>
        <w:footnoteRef/>
      </w:r>
      <w:r w:rsidRPr="00D10EF8">
        <w:tab/>
      </w:r>
      <w:r w:rsidR="00865E37" w:rsidRPr="00D10EF8">
        <w:t>Déclaration et Programme d</w:t>
      </w:r>
      <w:r w:rsidR="00F60EAA">
        <w:t>’</w:t>
      </w:r>
      <w:r w:rsidR="00865E37" w:rsidRPr="00D10EF8">
        <w:t xml:space="preserve">action de Durban, </w:t>
      </w:r>
      <w:r w:rsidR="002A7FA1">
        <w:t>par. </w:t>
      </w:r>
      <w:r w:rsidR="00865E37" w:rsidRPr="00D10EF8">
        <w:t>86 et 218</w:t>
      </w:r>
      <w:r w:rsidR="00BF73AB">
        <w:t> ;</w:t>
      </w:r>
      <w:r w:rsidR="00865E37" w:rsidRPr="00D10EF8">
        <w:t xml:space="preserve"> A/69/340, </w:t>
      </w:r>
      <w:r w:rsidR="002A7FA1">
        <w:t>par. </w:t>
      </w:r>
      <w:r w:rsidR="00865E37" w:rsidRPr="00D10EF8">
        <w:t>66</w:t>
      </w:r>
      <w:r w:rsidR="00BF73AB">
        <w:t> ;</w:t>
      </w:r>
      <w:r w:rsidR="00865E37" w:rsidRPr="00D10EF8">
        <w:t xml:space="preserve"> </w:t>
      </w:r>
      <w:hyperlink r:id="rId253" w:history="1">
        <w:r w:rsidR="00865E37" w:rsidRPr="001F04A5">
          <w:rPr>
            <w:rStyle w:val="FollowedHyperlink"/>
          </w:rPr>
          <w:t>https://news.un.org/fr/story/2013/03/263552-pas-de-place-pour-le-racisme-dans-le-sport-affirme-lonu</w:t>
        </w:r>
      </w:hyperlink>
      <w:r w:rsidR="00BF73AB">
        <w:t> ;</w:t>
      </w:r>
      <w:r w:rsidR="00865E37" w:rsidRPr="00DF4EA0">
        <w:t xml:space="preserve"> </w:t>
      </w:r>
      <w:r w:rsidR="00865E37" w:rsidRPr="00D10EF8">
        <w:t xml:space="preserve"> </w:t>
      </w:r>
      <w:hyperlink r:id="rId254" w:history="1">
        <w:r w:rsidR="00865E37" w:rsidRPr="001F04A5">
          <w:rPr>
            <w:rStyle w:val="FollowedHyperlink"/>
          </w:rPr>
          <w:t>https://newsarchive.ohchr.org/en/NewsEvents/Pages/DisplayNews.aspx?NewsID=</w:t>
        </w:r>
        <w:r w:rsidR="00980478">
          <w:rPr>
            <w:rStyle w:val="FollowedHyperlink"/>
          </w:rPr>
          <w:t xml:space="preserve"> </w:t>
        </w:r>
        <w:r w:rsidR="00865E37" w:rsidRPr="001F04A5">
          <w:rPr>
            <w:rStyle w:val="FollowedHyperlink"/>
          </w:rPr>
          <w:t>13164&amp;LangID=E</w:t>
        </w:r>
      </w:hyperlink>
      <w:r w:rsidR="00865E37" w:rsidRPr="00D10EF8">
        <w:t>.</w:t>
      </w:r>
    </w:p>
  </w:footnote>
  <w:footnote w:id="226">
    <w:p w14:paraId="5AD83A0A" w14:textId="42C0B9C9" w:rsidR="00865E37" w:rsidRPr="00D10EF8" w:rsidRDefault="004C5B17" w:rsidP="005B4367">
      <w:pPr>
        <w:pStyle w:val="FootnoteText"/>
      </w:pPr>
      <w:r w:rsidRPr="00D10EF8">
        <w:tab/>
      </w:r>
      <w:r w:rsidRPr="00093AC5">
        <w:rPr>
          <w:rStyle w:val="FootnoteReference"/>
        </w:rPr>
        <w:footnoteRef/>
      </w:r>
      <w:r w:rsidRPr="00D10EF8">
        <w:tab/>
      </w:r>
      <w:r w:rsidR="00865E37" w:rsidRPr="00D10EF8">
        <w:t xml:space="preserve">Communications </w:t>
      </w:r>
      <w:r w:rsidR="00865E37">
        <w:t xml:space="preserve">des pays suivants : </w:t>
      </w:r>
      <w:r w:rsidR="00865E37" w:rsidRPr="00D10EF8">
        <w:t>Algérie,</w:t>
      </w:r>
      <w:r w:rsidR="00865E37">
        <w:t xml:space="preserve"> </w:t>
      </w:r>
      <w:r w:rsidR="00865E37" w:rsidRPr="00D10EF8">
        <w:t xml:space="preserve">Andorre, Argentine, Azerbaïdjan, Bolivie (État plurinational de), Chypre, </w:t>
      </w:r>
      <w:r w:rsidR="00865E37" w:rsidRPr="000C4C62">
        <w:t>Costa Rica, États-Unis d</w:t>
      </w:r>
      <w:r w:rsidR="00F60EAA">
        <w:t>’</w:t>
      </w:r>
      <w:r w:rsidR="00865E37" w:rsidRPr="000C4C62">
        <w:t xml:space="preserve">Amérique, </w:t>
      </w:r>
      <w:r w:rsidR="00865E37" w:rsidRPr="00D10EF8">
        <w:t>Finlande, Guatemala, Mexique, Suède</w:t>
      </w:r>
      <w:r w:rsidR="00865E37">
        <w:t>,</w:t>
      </w:r>
      <w:r w:rsidR="00865E37" w:rsidRPr="00D10EF8">
        <w:t xml:space="preserve"> Union européenne, toutes </w:t>
      </w:r>
      <w:r w:rsidR="00865E37">
        <w:t>fournissant</w:t>
      </w:r>
      <w:r w:rsidR="00865E37" w:rsidRPr="00D10EF8">
        <w:t xml:space="preserve"> des données sur les lois et politiques antidiscrimination.</w:t>
      </w:r>
    </w:p>
  </w:footnote>
  <w:footnote w:id="227">
    <w:p w14:paraId="343768ED" w14:textId="2D7C3818" w:rsidR="00865E37" w:rsidRPr="00D10EF8" w:rsidRDefault="004C5B17" w:rsidP="005B4367">
      <w:pPr>
        <w:pStyle w:val="FootnoteText"/>
      </w:pPr>
      <w:r w:rsidRPr="00D10EF8">
        <w:tab/>
      </w:r>
      <w:r w:rsidRPr="00093AC5">
        <w:rPr>
          <w:rStyle w:val="FootnoteReference"/>
        </w:rPr>
        <w:footnoteRef/>
      </w:r>
      <w:r w:rsidRPr="00D10EF8">
        <w:tab/>
      </w:r>
      <w:r w:rsidR="00865E37" w:rsidRPr="00D10EF8">
        <w:t>Déclaration universelle des droits de l</w:t>
      </w:r>
      <w:r w:rsidR="00F60EAA">
        <w:t>’</w:t>
      </w:r>
      <w:r w:rsidR="00865E37" w:rsidRPr="00D10EF8">
        <w:t>homme</w:t>
      </w:r>
      <w:r w:rsidR="00865E37">
        <w:t xml:space="preserve"> </w:t>
      </w:r>
      <w:r w:rsidR="002A7FA1">
        <w:t>(art. </w:t>
      </w:r>
      <w:r w:rsidR="00865E37" w:rsidRPr="00D10EF8">
        <w:t>2</w:t>
      </w:r>
      <w:r w:rsidR="00865E37">
        <w:t>)</w:t>
      </w:r>
      <w:r w:rsidR="00BF73AB">
        <w:t> ;</w:t>
      </w:r>
      <w:r w:rsidR="00865E37" w:rsidRPr="00D10EF8">
        <w:t xml:space="preserve"> Convention internationale sur l</w:t>
      </w:r>
      <w:r w:rsidR="00F60EAA">
        <w:t>’</w:t>
      </w:r>
      <w:r w:rsidR="00865E37" w:rsidRPr="00D10EF8">
        <w:t>élimination de toutes les formes de discrimination raciale</w:t>
      </w:r>
      <w:r w:rsidR="00865E37">
        <w:t xml:space="preserve"> </w:t>
      </w:r>
      <w:r w:rsidR="002A7FA1">
        <w:t>(art. </w:t>
      </w:r>
      <w:r w:rsidR="00865E37" w:rsidRPr="00D10EF8">
        <w:t>2</w:t>
      </w:r>
      <w:r w:rsidR="00865E37">
        <w:t>)</w:t>
      </w:r>
      <w:r w:rsidR="00BF73AB">
        <w:t> ;</w:t>
      </w:r>
      <w:r w:rsidR="00865E37" w:rsidRPr="00D10EF8">
        <w:t xml:space="preserve"> Pacte international relatif aux droits civils et politiques</w:t>
      </w:r>
      <w:r w:rsidR="00865E37">
        <w:t xml:space="preserve"> </w:t>
      </w:r>
      <w:r w:rsidR="002A7FA1">
        <w:t>(art. </w:t>
      </w:r>
      <w:r w:rsidR="00865E37" w:rsidRPr="00D10EF8">
        <w:t>2</w:t>
      </w:r>
      <w:r w:rsidR="00865E37">
        <w:t>)</w:t>
      </w:r>
      <w:r w:rsidR="00BF73AB">
        <w:t> ;</w:t>
      </w:r>
      <w:r w:rsidR="00865E37" w:rsidRPr="00D10EF8">
        <w:t xml:space="preserve"> Pacte international relatif aux droits économiques, sociaux et culturels</w:t>
      </w:r>
      <w:r w:rsidR="00865E37">
        <w:t xml:space="preserve"> </w:t>
      </w:r>
      <w:r w:rsidR="002A7FA1">
        <w:t>(art. </w:t>
      </w:r>
      <w:r w:rsidR="00865E37" w:rsidRPr="00D10EF8">
        <w:t>2</w:t>
      </w:r>
      <w:r w:rsidR="00865E37">
        <w:t>)</w:t>
      </w:r>
      <w:r w:rsidR="00BF73AB">
        <w:t> ;</w:t>
      </w:r>
      <w:r w:rsidR="00865E37" w:rsidRPr="00D10EF8">
        <w:t xml:space="preserve"> Déclaration et Programme d</w:t>
      </w:r>
      <w:r w:rsidR="00F60EAA">
        <w:t>’</w:t>
      </w:r>
      <w:r w:rsidR="00865E37" w:rsidRPr="00D10EF8">
        <w:t xml:space="preserve">action de Durban, </w:t>
      </w:r>
      <w:r w:rsidR="002A7FA1">
        <w:t>par. </w:t>
      </w:r>
      <w:r w:rsidR="00865E37" w:rsidRPr="00D10EF8">
        <w:t>35</w:t>
      </w:r>
      <w:r w:rsidR="00BF73AB">
        <w:t> ;</w:t>
      </w:r>
      <w:r w:rsidR="00865E37" w:rsidRPr="00D10EF8">
        <w:t xml:space="preserve"> CERD/C/GC/34</w:t>
      </w:r>
      <w:r w:rsidR="00BF73AB">
        <w:t> ;</w:t>
      </w:r>
      <w:r w:rsidR="00865E37" w:rsidRPr="00D10EF8">
        <w:t xml:space="preserve"> E/C.12/GC/20, </w:t>
      </w:r>
      <w:r w:rsidR="002A7FA1">
        <w:t>par. </w:t>
      </w:r>
      <w:r w:rsidR="00865E37" w:rsidRPr="00D10EF8">
        <w:t>12</w:t>
      </w:r>
      <w:r w:rsidR="00BF73AB">
        <w:t> ;</w:t>
      </w:r>
      <w:r w:rsidR="00865E37" w:rsidRPr="00D10EF8">
        <w:t xml:space="preserve"> A/75/561.</w:t>
      </w:r>
    </w:p>
  </w:footnote>
  <w:footnote w:id="228">
    <w:p w14:paraId="4CC12E07" w14:textId="6B2BB061" w:rsidR="00865E37" w:rsidRPr="00D10EF8" w:rsidRDefault="004C5B17" w:rsidP="005B4367">
      <w:pPr>
        <w:pStyle w:val="FootnoteText"/>
      </w:pPr>
      <w:r w:rsidRPr="00D10EF8">
        <w:tab/>
      </w:r>
      <w:r w:rsidRPr="00093AC5">
        <w:rPr>
          <w:rStyle w:val="FootnoteReference"/>
        </w:rPr>
        <w:footnoteRef/>
      </w:r>
      <w:r w:rsidRPr="00D10EF8">
        <w:tab/>
      </w:r>
      <w:r w:rsidR="00865E37" w:rsidRPr="00D10EF8">
        <w:t xml:space="preserve">CERD/C/GC/30, </w:t>
      </w:r>
      <w:r w:rsidR="002A7FA1">
        <w:t>par. </w:t>
      </w:r>
      <w:r w:rsidR="00865E37" w:rsidRPr="00D10EF8">
        <w:t>3</w:t>
      </w:r>
      <w:r w:rsidR="00BF73AB">
        <w:t> ;</w:t>
      </w:r>
      <w:r w:rsidR="00865E37" w:rsidRPr="00D10EF8">
        <w:t xml:space="preserve"> E/C.12/GC/20, </w:t>
      </w:r>
      <w:r w:rsidR="002A7FA1">
        <w:t>par. </w:t>
      </w:r>
      <w:r w:rsidR="00865E37" w:rsidRPr="00D10EF8">
        <w:t>30.</w:t>
      </w:r>
    </w:p>
  </w:footnote>
  <w:footnote w:id="229">
    <w:p w14:paraId="2A0FABE5" w14:textId="68EE6D71" w:rsidR="00865E37" w:rsidRPr="00D10EF8" w:rsidRDefault="004C5B17" w:rsidP="005B4367">
      <w:pPr>
        <w:pStyle w:val="FootnoteText"/>
      </w:pPr>
      <w:r w:rsidRPr="00D10EF8">
        <w:tab/>
      </w:r>
      <w:r w:rsidRPr="00093AC5">
        <w:rPr>
          <w:rStyle w:val="FootnoteReference"/>
        </w:rPr>
        <w:footnoteRef/>
      </w:r>
      <w:r w:rsidRPr="00D10EF8">
        <w:tab/>
      </w:r>
      <w:r w:rsidR="00865E37" w:rsidRPr="00D10EF8">
        <w:t xml:space="preserve">A/HRC/38/52, </w:t>
      </w:r>
      <w:r w:rsidR="002A7FA1">
        <w:t>par. </w:t>
      </w:r>
      <w:r w:rsidR="00865E37" w:rsidRPr="00D10EF8">
        <w:t>18</w:t>
      </w:r>
      <w:r w:rsidR="00BF73AB">
        <w:t> ;</w:t>
      </w:r>
      <w:r w:rsidR="00865E37" w:rsidRPr="00D10EF8">
        <w:t xml:space="preserve"> CERD/C/GC/32, </w:t>
      </w:r>
      <w:r w:rsidR="002A7FA1">
        <w:t>par. </w:t>
      </w:r>
      <w:r w:rsidR="00865E37" w:rsidRPr="00D10EF8">
        <w:t>7</w:t>
      </w:r>
      <w:r w:rsidR="00BF73AB">
        <w:t> ;</w:t>
      </w:r>
      <w:r w:rsidR="00865E37" w:rsidRPr="00D10EF8">
        <w:t xml:space="preserve"> CERD/C/GC/34, </w:t>
      </w:r>
      <w:r w:rsidR="002A7FA1">
        <w:t>par. </w:t>
      </w:r>
      <w:r w:rsidR="00865E37" w:rsidRPr="00D10EF8">
        <w:t>5</w:t>
      </w:r>
      <w:r w:rsidR="00BF73AB">
        <w:t> ;</w:t>
      </w:r>
      <w:r w:rsidR="00865E37" w:rsidRPr="00D10EF8">
        <w:t xml:space="preserve"> E/C.12/GC/20, </w:t>
      </w:r>
      <w:r w:rsidR="002A7FA1">
        <w:t>par. </w:t>
      </w:r>
      <w:r w:rsidR="00865E37" w:rsidRPr="00D10EF8">
        <w:t>8 à 10.</w:t>
      </w:r>
    </w:p>
  </w:footnote>
  <w:footnote w:id="230">
    <w:p w14:paraId="36423281" w14:textId="14E2EC3D" w:rsidR="00865E37" w:rsidRPr="00D10EF8" w:rsidRDefault="004C5B17" w:rsidP="005B4367">
      <w:pPr>
        <w:pStyle w:val="FootnoteText"/>
      </w:pPr>
      <w:r w:rsidRPr="00D10EF8">
        <w:tab/>
      </w:r>
      <w:r w:rsidRPr="00093AC5">
        <w:rPr>
          <w:rStyle w:val="FootnoteReference"/>
        </w:rPr>
        <w:footnoteRef/>
      </w:r>
      <w:r w:rsidRPr="00D10EF8">
        <w:tab/>
      </w:r>
      <w:r w:rsidRPr="00D10EF8">
        <w:tab/>
      </w:r>
      <w:r w:rsidR="00865E37" w:rsidRPr="00D10EF8">
        <w:t xml:space="preserve">CERD/C/GC/32, </w:t>
      </w:r>
      <w:r w:rsidR="002A7FA1">
        <w:t>par. </w:t>
      </w:r>
      <w:r w:rsidR="00865E37" w:rsidRPr="00D10EF8">
        <w:t>7</w:t>
      </w:r>
      <w:r w:rsidR="00BF73AB">
        <w:t> ;</w:t>
      </w:r>
      <w:r w:rsidR="00865E37" w:rsidRPr="00D10EF8">
        <w:t xml:space="preserve"> E/C.12/GC/20, </w:t>
      </w:r>
      <w:r w:rsidR="002A7FA1">
        <w:t>par. </w:t>
      </w:r>
      <w:r w:rsidR="00865E37" w:rsidRPr="00D10EF8">
        <w:t>17</w:t>
      </w:r>
      <w:r w:rsidR="00BF73AB">
        <w:t> ;</w:t>
      </w:r>
      <w:r w:rsidR="00865E37" w:rsidRPr="00D10EF8">
        <w:t xml:space="preserve"> A/HRC/38/52, </w:t>
      </w:r>
      <w:r w:rsidR="002A7FA1">
        <w:t>par. </w:t>
      </w:r>
      <w:r w:rsidR="00865E37" w:rsidRPr="00D10EF8">
        <w:t>29.</w:t>
      </w:r>
    </w:p>
  </w:footnote>
  <w:footnote w:id="231">
    <w:p w14:paraId="24984F30" w14:textId="473DE750" w:rsidR="00865E37" w:rsidRPr="00D10EF8" w:rsidRDefault="004C5B17" w:rsidP="005B4367">
      <w:pPr>
        <w:pStyle w:val="FootnoteText"/>
      </w:pPr>
      <w:r w:rsidRPr="00D10EF8">
        <w:tab/>
      </w:r>
      <w:r w:rsidRPr="00093AC5">
        <w:rPr>
          <w:rStyle w:val="FootnoteReference"/>
        </w:rPr>
        <w:footnoteRef/>
      </w:r>
      <w:r w:rsidRPr="00D10EF8">
        <w:tab/>
      </w:r>
      <w:r w:rsidR="00865E37" w:rsidRPr="00D10EF8">
        <w:t>A/74/274</w:t>
      </w:r>
      <w:r w:rsidR="00BF73AB">
        <w:t> ;</w:t>
      </w:r>
      <w:r w:rsidR="00865E37" w:rsidRPr="00D10EF8">
        <w:t xml:space="preserve"> CERD/C/GC/34</w:t>
      </w:r>
      <w:r w:rsidR="00BF73AB">
        <w:t> ;</w:t>
      </w:r>
      <w:r w:rsidR="00865E37" w:rsidRPr="00D10EF8">
        <w:t xml:space="preserve"> A/HRC/45/44, </w:t>
      </w:r>
      <w:r w:rsidR="002A7FA1">
        <w:t>par. </w:t>
      </w:r>
      <w:r w:rsidR="00865E37" w:rsidRPr="00D10EF8">
        <w:t>23.</w:t>
      </w:r>
    </w:p>
  </w:footnote>
  <w:footnote w:id="232">
    <w:p w14:paraId="0222B37E" w14:textId="72FB8A74" w:rsidR="00865E37" w:rsidRPr="00D10EF8" w:rsidRDefault="004C5B17" w:rsidP="005B4367">
      <w:pPr>
        <w:pStyle w:val="FootnoteText"/>
      </w:pPr>
      <w:r w:rsidRPr="00D10EF8">
        <w:tab/>
      </w:r>
      <w:r w:rsidRPr="00093AC5">
        <w:rPr>
          <w:rStyle w:val="FootnoteReference"/>
        </w:rPr>
        <w:footnoteRef/>
      </w:r>
      <w:r w:rsidRPr="00D10EF8">
        <w:tab/>
      </w:r>
      <w:r w:rsidR="00865E37" w:rsidRPr="00D10EF8">
        <w:t>Voir, par exemple, A/HRC/38/4</w:t>
      </w:r>
      <w:r w:rsidR="00BF73AB">
        <w:t> ;</w:t>
      </w:r>
      <w:r w:rsidR="00865E37" w:rsidRPr="00D10EF8">
        <w:t xml:space="preserve"> A/HRC/23/3</w:t>
      </w:r>
      <w:r w:rsidR="00BF73AB">
        <w:t> ;</w:t>
      </w:r>
      <w:r w:rsidR="00865E37" w:rsidRPr="00D10EF8">
        <w:t xml:space="preserve"> CCPR/C/FRA/CO/5</w:t>
      </w:r>
      <w:r w:rsidR="00BF73AB">
        <w:t> ;</w:t>
      </w:r>
      <w:r w:rsidR="00865E37" w:rsidRPr="00D10EF8">
        <w:t xml:space="preserve"> CCPR/C/FRA/CO/4</w:t>
      </w:r>
      <w:r w:rsidR="00BF73AB">
        <w:t> ;</w:t>
      </w:r>
      <w:r w:rsidR="00865E37" w:rsidRPr="00D10EF8">
        <w:t xml:space="preserve"> A/HRC/21/9</w:t>
      </w:r>
      <w:r w:rsidR="00BF73AB">
        <w:t> ;</w:t>
      </w:r>
      <w:r w:rsidR="00865E37" w:rsidRPr="00D10EF8">
        <w:t xml:space="preserve"> CCPR/C/GBR/CO/7</w:t>
      </w:r>
      <w:r w:rsidR="00BF73AB">
        <w:t> ;</w:t>
      </w:r>
      <w:r w:rsidR="00865E37" w:rsidRPr="00D10EF8">
        <w:t xml:space="preserve"> A/HRC/24/52/Add.1</w:t>
      </w:r>
      <w:r w:rsidR="00BF73AB">
        <w:t> ;</w:t>
      </w:r>
      <w:r w:rsidR="00865E37" w:rsidRPr="00D10EF8">
        <w:t xml:space="preserve"> A/HRC/46/15</w:t>
      </w:r>
      <w:r w:rsidR="00BF73AB">
        <w:t> ;</w:t>
      </w:r>
      <w:r w:rsidR="00865E37" w:rsidRPr="00D10EF8">
        <w:t xml:space="preserve"> A/HRC/30/12</w:t>
      </w:r>
      <w:r w:rsidR="00BF73AB">
        <w:t> ;</w:t>
      </w:r>
      <w:r w:rsidR="00865E37" w:rsidRPr="00D10EF8">
        <w:t xml:space="preserve"> A/HRC/16/11</w:t>
      </w:r>
      <w:r w:rsidR="00BF73AB">
        <w:t> ;</w:t>
      </w:r>
      <w:r w:rsidR="00865E37" w:rsidRPr="00D10EF8">
        <w:t xml:space="preserve"> CCPR/C/USA/CO/4</w:t>
      </w:r>
      <w:r w:rsidR="00BF73AB">
        <w:t> ;</w:t>
      </w:r>
      <w:r w:rsidR="00865E37" w:rsidRPr="00D10EF8">
        <w:t xml:space="preserve"> CERD/C/USA/CO/7-9</w:t>
      </w:r>
      <w:r w:rsidR="00BF73AB">
        <w:t> ;</w:t>
      </w:r>
      <w:r w:rsidR="00865E37" w:rsidRPr="00D10EF8">
        <w:t xml:space="preserve"> CERD/C/USA/CO/6</w:t>
      </w:r>
      <w:r w:rsidR="00BF73AB">
        <w:t> ;</w:t>
      </w:r>
      <w:r w:rsidR="00865E37" w:rsidRPr="00D10EF8">
        <w:t xml:space="preserve"> A/HRC/36/11</w:t>
      </w:r>
      <w:r w:rsidR="00BF73AB">
        <w:t> ;</w:t>
      </w:r>
      <w:r w:rsidR="00865E37" w:rsidRPr="00D10EF8">
        <w:t xml:space="preserve"> A/HRC/21/11</w:t>
      </w:r>
      <w:r w:rsidR="00BF73AB">
        <w:t> ;</w:t>
      </w:r>
      <w:r w:rsidR="00865E37" w:rsidRPr="00D10EF8">
        <w:t xml:space="preserve"> A/HRC/8/47</w:t>
      </w:r>
      <w:r w:rsidR="00BF73AB">
        <w:t> ;</w:t>
      </w:r>
      <w:r w:rsidR="00865E37" w:rsidRPr="00D10EF8">
        <w:t xml:space="preserve"> A/HRC/14/24, </w:t>
      </w:r>
      <w:r w:rsidR="002A7FA1">
        <w:t>par. </w:t>
      </w:r>
      <w:r w:rsidR="00865E37" w:rsidRPr="00D10EF8">
        <w:t>53</w:t>
      </w:r>
      <w:r w:rsidR="00BF73AB">
        <w:t> ;</w:t>
      </w:r>
      <w:r w:rsidR="00865E37" w:rsidRPr="00D10EF8">
        <w:t xml:space="preserve"> A/HRC/14/24/Add.8</w:t>
      </w:r>
      <w:r w:rsidR="00BF73AB">
        <w:t> ;</w:t>
      </w:r>
      <w:r w:rsidR="00865E37" w:rsidRPr="00D10EF8">
        <w:t xml:space="preserve"> A/HRC/20/22/Add.2, </w:t>
      </w:r>
      <w:r w:rsidR="002A7FA1">
        <w:t>par. </w:t>
      </w:r>
      <w:r w:rsidR="00865E37" w:rsidRPr="00D10EF8">
        <w:t>55 et 60</w:t>
      </w:r>
      <w:r w:rsidR="00BF73AB">
        <w:t> ;</w:t>
      </w:r>
      <w:r w:rsidR="00865E37" w:rsidRPr="00D10EF8">
        <w:t xml:space="preserve"> A/HRC/8/3/Add.4</w:t>
      </w:r>
      <w:r w:rsidR="00BF73AB">
        <w:t> ;</w:t>
      </w:r>
      <w:r w:rsidR="00865E37" w:rsidRPr="00D10EF8">
        <w:t xml:space="preserve"> A/HRC/27/68/Add.1</w:t>
      </w:r>
      <w:r w:rsidR="00BF73AB">
        <w:t> ;</w:t>
      </w:r>
      <w:r w:rsidR="00865E37" w:rsidRPr="00D10EF8">
        <w:rPr>
          <w:rFonts w:eastAsia="Times New Roman"/>
          <w:lang w:eastAsia="en-GB"/>
        </w:rPr>
        <w:t xml:space="preserve"> </w:t>
      </w:r>
      <w:r w:rsidR="00865E37" w:rsidRPr="00D10EF8">
        <w:t>A/HRC/33/61/Add.2</w:t>
      </w:r>
      <w:r w:rsidR="00BF73AB">
        <w:t> ;</w:t>
      </w:r>
      <w:r w:rsidR="00865E37" w:rsidRPr="00D10EF8">
        <w:t xml:space="preserve"> A/HRC/41/54/Add.2, </w:t>
      </w:r>
      <w:r w:rsidR="002A7FA1">
        <w:t>par. </w:t>
      </w:r>
      <w:r w:rsidR="00865E37" w:rsidRPr="00D10EF8">
        <w:t>38 et 42</w:t>
      </w:r>
      <w:r w:rsidR="00BF73AB">
        <w:t> ;</w:t>
      </w:r>
      <w:r w:rsidR="00865E37" w:rsidRPr="00D10EF8">
        <w:rPr>
          <w:b/>
          <w:bCs/>
        </w:rPr>
        <w:t xml:space="preserve"> </w:t>
      </w:r>
      <w:r w:rsidR="00865E37" w:rsidRPr="00D10EF8">
        <w:t>A/HRC/11/36/Add.3.</w:t>
      </w:r>
    </w:p>
  </w:footnote>
  <w:footnote w:id="233">
    <w:p w14:paraId="084C8E17" w14:textId="167EA7B4" w:rsidR="00865E37" w:rsidRPr="00D10EF8" w:rsidRDefault="004C5B17" w:rsidP="005B4367">
      <w:pPr>
        <w:pStyle w:val="FootnoteText"/>
      </w:pPr>
      <w:r w:rsidRPr="00D10EF8">
        <w:tab/>
      </w:r>
      <w:r w:rsidRPr="00093AC5">
        <w:rPr>
          <w:rStyle w:val="FootnoteReference"/>
        </w:rPr>
        <w:footnoteRef/>
      </w:r>
      <w:r w:rsidRPr="00D10EF8">
        <w:tab/>
      </w:r>
      <w:r w:rsidR="00865E37" w:rsidRPr="00D10EF8">
        <w:t>Voir par exemple, A/HRC/36/11</w:t>
      </w:r>
      <w:r w:rsidR="00BF73AB">
        <w:t> ;</w:t>
      </w:r>
      <w:r w:rsidR="00865E37" w:rsidRPr="00D10EF8">
        <w:t xml:space="preserve"> A/HRC/21/11</w:t>
      </w:r>
      <w:r w:rsidR="00BF73AB">
        <w:t> ;</w:t>
      </w:r>
      <w:r w:rsidR="00865E37" w:rsidRPr="00D10EF8">
        <w:t xml:space="preserve"> A/HRC/24/6</w:t>
      </w:r>
      <w:r w:rsidR="00BF73AB">
        <w:t> ;</w:t>
      </w:r>
      <w:r w:rsidR="00865E37" w:rsidRPr="00D10EF8">
        <w:t xml:space="preserve"> A/HRC/38/4</w:t>
      </w:r>
      <w:r w:rsidR="00BF73AB">
        <w:t> ;</w:t>
      </w:r>
      <w:r w:rsidR="00865E37" w:rsidRPr="00D10EF8">
        <w:t xml:space="preserve"> A/HRC/23/3</w:t>
      </w:r>
      <w:r w:rsidR="00BF73AB">
        <w:t> ;</w:t>
      </w:r>
      <w:r w:rsidR="00865E37" w:rsidRPr="00D10EF8">
        <w:t xml:space="preserve"> A/HRC/8/47</w:t>
      </w:r>
      <w:r w:rsidR="00BF73AB">
        <w:t> ;</w:t>
      </w:r>
      <w:r w:rsidR="00865E37" w:rsidRPr="00D10EF8">
        <w:t xml:space="preserve"> CCPR/C/FRA/CO/5</w:t>
      </w:r>
      <w:r w:rsidR="00BF73AB">
        <w:t> ;</w:t>
      </w:r>
      <w:r w:rsidR="00865E37" w:rsidRPr="00D10EF8">
        <w:t xml:space="preserve"> CCPR/C/FRA/CO/4</w:t>
      </w:r>
      <w:r w:rsidR="00BF73AB">
        <w:t> ;</w:t>
      </w:r>
      <w:r w:rsidR="00865E37" w:rsidRPr="00D10EF8">
        <w:t xml:space="preserve"> A/HRC/46/15</w:t>
      </w:r>
      <w:r w:rsidR="00BF73AB">
        <w:t> ;</w:t>
      </w:r>
      <w:r w:rsidR="00865E37" w:rsidRPr="00D10EF8">
        <w:t xml:space="preserve"> A/HRC/30/12</w:t>
      </w:r>
      <w:r w:rsidR="00BF73AB">
        <w:t> ;</w:t>
      </w:r>
      <w:r w:rsidR="00865E37" w:rsidRPr="00D10EF8">
        <w:t xml:space="preserve"> A/HRC/16/11</w:t>
      </w:r>
      <w:r w:rsidR="00BF73AB">
        <w:t> ;</w:t>
      </w:r>
      <w:r w:rsidR="00865E37" w:rsidRPr="00D10EF8">
        <w:t xml:space="preserve"> CCPR/C/USA/CO/4</w:t>
      </w:r>
      <w:r w:rsidR="00BF73AB">
        <w:t> ;</w:t>
      </w:r>
      <w:r w:rsidR="00865E37" w:rsidRPr="00D10EF8">
        <w:t xml:space="preserve"> CERD/C/USA/CO/7-9</w:t>
      </w:r>
      <w:r w:rsidR="00BF73AB">
        <w:t> ;</w:t>
      </w:r>
      <w:r w:rsidR="00865E37" w:rsidRPr="00D10EF8">
        <w:t xml:space="preserve"> CERD/C/USA/CO/6</w:t>
      </w:r>
      <w:r w:rsidR="00BF73AB">
        <w:t> ;</w:t>
      </w:r>
      <w:r w:rsidR="00865E37" w:rsidRPr="00D10EF8">
        <w:t xml:space="preserve"> A/HRC/10/82</w:t>
      </w:r>
      <w:r w:rsidR="00BF73AB">
        <w:t> ;</w:t>
      </w:r>
      <w:r w:rsidR="00865E37" w:rsidRPr="00D10EF8">
        <w:t xml:space="preserve"> CCPR/C/COL/CO/7</w:t>
      </w:r>
      <w:r w:rsidR="00BF73AB">
        <w:t> ;</w:t>
      </w:r>
      <w:r w:rsidR="00865E37" w:rsidRPr="00D10EF8">
        <w:t xml:space="preserve"> CCPR/C/COL/CO/6</w:t>
      </w:r>
      <w:r w:rsidR="00BF73AB">
        <w:t> ;</w:t>
      </w:r>
      <w:r w:rsidR="00865E37" w:rsidRPr="00D10EF8">
        <w:t xml:space="preserve"> CERD/C/COL/CO/14</w:t>
      </w:r>
      <w:r w:rsidR="00BF73AB">
        <w:t> ;</w:t>
      </w:r>
      <w:r w:rsidR="00865E37" w:rsidRPr="00D10EF8">
        <w:t xml:space="preserve"> CCPR/C/FRA/CO/5</w:t>
      </w:r>
      <w:r w:rsidR="00BF73AB">
        <w:t> ;</w:t>
      </w:r>
      <w:r w:rsidR="00865E37" w:rsidRPr="00D10EF8">
        <w:t xml:space="preserve"> CCPR/C/GBR/CO/7</w:t>
      </w:r>
      <w:r w:rsidR="00BF73AB">
        <w:t> ;</w:t>
      </w:r>
      <w:r w:rsidR="00865E37" w:rsidRPr="00D10EF8">
        <w:t xml:space="preserve"> A/HRC/46/15</w:t>
      </w:r>
      <w:r w:rsidR="00BF73AB">
        <w:t> ;</w:t>
      </w:r>
      <w:r w:rsidR="00865E37" w:rsidRPr="00D10EF8">
        <w:t xml:space="preserve"> A/HRC/20/22/Add.3, </w:t>
      </w:r>
      <w:r w:rsidR="002A7FA1">
        <w:t>par. </w:t>
      </w:r>
      <w:r w:rsidR="00865E37" w:rsidRPr="00D10EF8">
        <w:t>13</w:t>
      </w:r>
      <w:r w:rsidR="00BF73AB">
        <w:t> ;</w:t>
      </w:r>
      <w:r w:rsidR="00865E37" w:rsidRPr="00D10EF8">
        <w:t xml:space="preserve"> A/HRC/20/22/Add.2, annexe, </w:t>
      </w:r>
      <w:r w:rsidR="002A7FA1">
        <w:t>par. </w:t>
      </w:r>
      <w:r w:rsidR="00865E37" w:rsidRPr="00D10EF8">
        <w:t>18</w:t>
      </w:r>
      <w:r w:rsidR="00BF73AB">
        <w:t> ;</w:t>
      </w:r>
      <w:r w:rsidR="00865E37" w:rsidRPr="00D10EF8">
        <w:t xml:space="preserve"> A/HRC/8/3/Add.4, </w:t>
      </w:r>
      <w:r w:rsidR="002A7FA1">
        <w:t>par. </w:t>
      </w:r>
      <w:r w:rsidR="00865E37" w:rsidRPr="00D10EF8">
        <w:t>21 et 22</w:t>
      </w:r>
      <w:r w:rsidR="00BF73AB">
        <w:t> ;</w:t>
      </w:r>
      <w:r w:rsidR="00865E37" w:rsidRPr="00D10EF8">
        <w:t xml:space="preserve"> A/HRC/27/68/Add.1, par.108</w:t>
      </w:r>
      <w:r w:rsidR="00BF73AB">
        <w:t> ;</w:t>
      </w:r>
      <w:r w:rsidR="00865E37" w:rsidRPr="00D10EF8">
        <w:t xml:space="preserve"> A/HRC/24/52/Add.1, </w:t>
      </w:r>
      <w:r w:rsidR="002A7FA1">
        <w:t>par. </w:t>
      </w:r>
      <w:r w:rsidR="00865E37" w:rsidRPr="00D10EF8">
        <w:t>103 et 105</w:t>
      </w:r>
      <w:r w:rsidR="00BF73AB">
        <w:t> ;</w:t>
      </w:r>
      <w:r w:rsidR="00865E37" w:rsidRPr="00D10EF8">
        <w:rPr>
          <w:rFonts w:eastAsia="Times New Roman"/>
          <w:lang w:eastAsia="en-GB"/>
        </w:rPr>
        <w:t xml:space="preserve"> </w:t>
      </w:r>
      <w:r w:rsidR="00865E37" w:rsidRPr="00D10EF8">
        <w:t xml:space="preserve">A/HRC/33/61/Add.2, </w:t>
      </w:r>
      <w:r w:rsidR="002A7FA1">
        <w:t>par. </w:t>
      </w:r>
      <w:r w:rsidR="00865E37" w:rsidRPr="00D10EF8">
        <w:t>100</w:t>
      </w:r>
      <w:r w:rsidR="00BF73AB">
        <w:t> ;</w:t>
      </w:r>
      <w:r w:rsidR="00865E37" w:rsidRPr="00D10EF8">
        <w:t xml:space="preserve"> A/HRC/11/36/Add.3, </w:t>
      </w:r>
      <w:r w:rsidR="002A7FA1">
        <w:t>par. </w:t>
      </w:r>
      <w:r w:rsidR="00865E37" w:rsidRPr="00D10EF8">
        <w:t>101, 102 et 105.</w:t>
      </w:r>
    </w:p>
  </w:footnote>
  <w:footnote w:id="234">
    <w:p w14:paraId="7BF3CD5D" w14:textId="1D9E643D" w:rsidR="00865E37" w:rsidRPr="00D10EF8" w:rsidRDefault="004C5B17" w:rsidP="005B4367">
      <w:pPr>
        <w:pStyle w:val="FootnoteText"/>
      </w:pPr>
      <w:r w:rsidRPr="00D10EF8">
        <w:tab/>
      </w:r>
      <w:r w:rsidRPr="00093AC5">
        <w:rPr>
          <w:rStyle w:val="FootnoteReference"/>
        </w:rPr>
        <w:footnoteRef/>
      </w:r>
      <w:r w:rsidRPr="00D10EF8">
        <w:tab/>
      </w:r>
      <w:r w:rsidR="00865E37" w:rsidRPr="00D10EF8">
        <w:t>A/HRC/46/15</w:t>
      </w:r>
      <w:r w:rsidR="00BF73AB">
        <w:t> ;</w:t>
      </w:r>
      <w:r w:rsidR="00865E37" w:rsidRPr="00D10EF8">
        <w:t xml:space="preserve"> A/HRC/30/12</w:t>
      </w:r>
      <w:r w:rsidR="00BF73AB">
        <w:t> ;</w:t>
      </w:r>
      <w:r w:rsidR="00865E37" w:rsidRPr="00D10EF8">
        <w:t xml:space="preserve"> A/HRC/24/52/Add.1, </w:t>
      </w:r>
      <w:r w:rsidR="002A7FA1">
        <w:t>par. </w:t>
      </w:r>
      <w:r w:rsidR="00865E37" w:rsidRPr="00D10EF8">
        <w:t>103</w:t>
      </w:r>
      <w:r w:rsidR="00BF73AB">
        <w:t> ;</w:t>
      </w:r>
      <w:r w:rsidR="00865E37" w:rsidRPr="00D10EF8">
        <w:t xml:space="preserve"> CERD/C/GC/36, </w:t>
      </w:r>
      <w:r w:rsidR="002A7FA1">
        <w:t>par. </w:t>
      </w:r>
      <w:r w:rsidR="00865E37" w:rsidRPr="00D10EF8">
        <w:t>46.</w:t>
      </w:r>
    </w:p>
  </w:footnote>
  <w:footnote w:id="235">
    <w:p w14:paraId="531A64C8" w14:textId="32FEB56E" w:rsidR="00865E37" w:rsidRPr="00202C64" w:rsidRDefault="004C5B17" w:rsidP="005B4367">
      <w:pPr>
        <w:pStyle w:val="FootnoteText"/>
      </w:pPr>
      <w:r w:rsidRPr="00D10EF8">
        <w:tab/>
      </w:r>
      <w:r w:rsidRPr="00093AC5">
        <w:rPr>
          <w:rStyle w:val="FootnoteReference"/>
        </w:rPr>
        <w:footnoteRef/>
      </w:r>
      <w:r w:rsidRPr="00D10EF8">
        <w:tab/>
      </w:r>
      <w:r w:rsidR="00865E37" w:rsidRPr="00202C64">
        <w:t>Le profilage racial s</w:t>
      </w:r>
      <w:r w:rsidR="00F60EAA">
        <w:t>’</w:t>
      </w:r>
      <w:r w:rsidR="00865E37" w:rsidRPr="00202C64">
        <w:t xml:space="preserve">entend de </w:t>
      </w:r>
      <w:r w:rsidR="003207C0">
        <w:t>« </w:t>
      </w:r>
      <w:r w:rsidR="00865E37" w:rsidRPr="00202C64">
        <w:t>la pratique consistant pour des policiers et d</w:t>
      </w:r>
      <w:r w:rsidR="00F60EAA">
        <w:t>’</w:t>
      </w:r>
      <w:r w:rsidR="00865E37" w:rsidRPr="00202C64">
        <w:t>autres représentants de la loi à se fonder, dans quelque mesure que ce soit, sur la race, la couleur, l</w:t>
      </w:r>
      <w:r w:rsidR="00F60EAA">
        <w:t>’</w:t>
      </w:r>
      <w:r w:rsidR="00865E37" w:rsidRPr="00202C64">
        <w:t>ascendance, ou l</w:t>
      </w:r>
      <w:r w:rsidR="00F60EAA">
        <w:t>’</w:t>
      </w:r>
      <w:r w:rsidR="00865E37" w:rsidRPr="00202C64">
        <w:t>origine nationale ou ethnique, pour soumettre des personnes à des investigations ou déterminer si elles se sont livrées à des activités délictueuses</w:t>
      </w:r>
      <w:r w:rsidR="003207C0">
        <w:t> ».</w:t>
      </w:r>
      <w:r w:rsidR="00865E37" w:rsidRPr="00202C64">
        <w:t xml:space="preserve"> CERD/C/GC/36, </w:t>
      </w:r>
      <w:r w:rsidR="002A7FA1">
        <w:t>par. </w:t>
      </w:r>
      <w:r w:rsidR="00865E37" w:rsidRPr="00202C64">
        <w:t>72.</w:t>
      </w:r>
    </w:p>
  </w:footnote>
  <w:footnote w:id="236">
    <w:p w14:paraId="36992EE3" w14:textId="1B2E058E" w:rsidR="00865E37" w:rsidRPr="004A035C" w:rsidRDefault="004C5B17" w:rsidP="005B4367">
      <w:pPr>
        <w:pStyle w:val="FootnoteText"/>
      </w:pPr>
      <w:r w:rsidRPr="00D10EF8">
        <w:tab/>
      </w:r>
      <w:r w:rsidRPr="00093AC5">
        <w:rPr>
          <w:rStyle w:val="FootnoteReference"/>
        </w:rPr>
        <w:footnoteRef/>
      </w:r>
      <w:r w:rsidRPr="00D10EF8">
        <w:tab/>
      </w:r>
      <w:r w:rsidR="00865E37" w:rsidRPr="00202C64">
        <w:t xml:space="preserve">Par exemple, </w:t>
      </w:r>
      <w:hyperlink r:id="rId255" w:history="1">
        <w:r w:rsidR="00865E37" w:rsidRPr="003207C0">
          <w:rPr>
            <w:rStyle w:val="FollowedHyperlink"/>
          </w:rPr>
          <w:t>https://rm.coe.int/report-on-austria-6th-monitoring-cycle-/16809e826f</w:t>
        </w:r>
      </w:hyperlink>
      <w:r w:rsidR="00865E37" w:rsidRPr="00202C64">
        <w:t xml:space="preserve">, </w:t>
      </w:r>
      <w:hyperlink r:id="rId256" w:history="1">
        <w:r w:rsidR="00865E37" w:rsidRPr="003207C0">
          <w:rPr>
            <w:rStyle w:val="FollowedHyperlink"/>
          </w:rPr>
          <w:t>https://rm.coe.int/ecri-report-on-germany-sixth-monitoring-cycle-/16809ce4be</w:t>
        </w:r>
      </w:hyperlink>
      <w:r w:rsidR="00BF73AB">
        <w:t> ;</w:t>
      </w:r>
      <w:r w:rsidR="00865E37" w:rsidRPr="00202C64">
        <w:t xml:space="preserve"> communications de</w:t>
      </w:r>
      <w:r w:rsidR="00865E37">
        <w:t xml:space="preserve">s organisations suivantes : </w:t>
      </w:r>
      <w:r w:rsidR="00865E37" w:rsidRPr="00202C64">
        <w:t xml:space="preserve">Union européenne, </w:t>
      </w:r>
      <w:r w:rsidR="00865E37" w:rsidRPr="00D025AD">
        <w:t>Commission européenne contre le racisme et l</w:t>
      </w:r>
      <w:r w:rsidR="00F60EAA">
        <w:t>’</w:t>
      </w:r>
      <w:r w:rsidR="00865E37" w:rsidRPr="00D025AD">
        <w:t>intolérance</w:t>
      </w:r>
      <w:r w:rsidR="00865E37">
        <w:t xml:space="preserve"> du Conseil de </w:t>
      </w:r>
      <w:r w:rsidR="00865E37" w:rsidRPr="004A5AF2">
        <w:t>l</w:t>
      </w:r>
      <w:r w:rsidR="00F60EAA">
        <w:t>’</w:t>
      </w:r>
      <w:r w:rsidR="00865E37" w:rsidRPr="004A5AF2">
        <w:t>Europe (ECRI), Commission interaméricaine des droits de l</w:t>
      </w:r>
      <w:r w:rsidR="00F60EAA">
        <w:t>’</w:t>
      </w:r>
      <w:r w:rsidR="00865E37" w:rsidRPr="004A5AF2">
        <w:t>homme, Association pour la prévention de la torture (APT), Centro de Estudios Legales y Sociales (CELS)/Diáspora Africana de la Argentina (DIAFAR), Human Rights Watch, Assemblée pour la Décennie internationale des personnes d</w:t>
      </w:r>
      <w:r w:rsidR="00F60EAA">
        <w:t>’</w:t>
      </w:r>
      <w:r w:rsidR="00865E37" w:rsidRPr="004A5AF2">
        <w:t>ascendance africaine − Guyana (IDPADA-G)</w:t>
      </w:r>
      <w:r w:rsidR="00BF73AB">
        <w:t> ;</w:t>
      </w:r>
      <w:r w:rsidR="00865E37" w:rsidRPr="004A5AF2">
        <w:t xml:space="preserve"> Coalición indígena de Migrantes de Chiapas/Proyecto Afrodescedencia Mexico/Instituto para las Mujeres</w:t>
      </w:r>
      <w:r w:rsidR="00865E37" w:rsidRPr="00202C64">
        <w:t xml:space="preserve"> en la Migración A.C. (IMUMI), </w:t>
      </w:r>
      <w:r w:rsidR="00865E37">
        <w:t>et</w:t>
      </w:r>
      <w:r w:rsidR="00865E37" w:rsidRPr="00202C64">
        <w:t xml:space="preserve"> Ilex Acción Jurídica</w:t>
      </w:r>
      <w:r w:rsidR="00BF73AB">
        <w:t> ;</w:t>
      </w:r>
      <w:r w:rsidR="00865E37" w:rsidRPr="00202C64">
        <w:t xml:space="preserve"> A/HRC/33/61/Add.2, </w:t>
      </w:r>
      <w:r w:rsidR="002A7FA1">
        <w:t>par. </w:t>
      </w:r>
      <w:r w:rsidR="00865E37" w:rsidRPr="00202C64">
        <w:t>77</w:t>
      </w:r>
      <w:r w:rsidR="00BF73AB">
        <w:t> ;</w:t>
      </w:r>
      <w:r w:rsidR="00865E37" w:rsidRPr="00202C64">
        <w:t xml:space="preserve"> A/HRC/27/68/Add. 1, </w:t>
      </w:r>
      <w:r w:rsidR="002A7FA1">
        <w:t>par. </w:t>
      </w:r>
      <w:r w:rsidR="00865E37" w:rsidRPr="00202C64">
        <w:t xml:space="preserve">74 et 77. </w:t>
      </w:r>
      <w:hyperlink r:id="rId257" w:history="1">
        <w:r w:rsidR="00865E37" w:rsidRPr="0013625B">
          <w:rPr>
            <w:rStyle w:val="FollowedHyperlink"/>
          </w:rPr>
          <w:t>https://fra.europa.eu/sites/default/files/fra_uploads/fra-2018-being-black-in-the-eu_en.pdf</w:t>
        </w:r>
      </w:hyperlink>
      <w:r w:rsidR="00BF73AB">
        <w:t> ;</w:t>
      </w:r>
      <w:r w:rsidR="00865E37" w:rsidRPr="004A035C">
        <w:t xml:space="preserve"> </w:t>
      </w:r>
      <w:hyperlink r:id="rId258" w:history="1">
        <w:r w:rsidR="00865E37" w:rsidRPr="0013625B">
          <w:rPr>
            <w:rStyle w:val="FollowedHyperlink"/>
          </w:rPr>
          <w:t>https://www.amnesty.org/en/latest/news/2021/01/france-systemic-police-discrimination-requires-reforms/</w:t>
        </w:r>
      </w:hyperlink>
      <w:r w:rsidR="00865E37" w:rsidRPr="004A035C">
        <w:t>.</w:t>
      </w:r>
    </w:p>
  </w:footnote>
  <w:footnote w:id="237">
    <w:p w14:paraId="2DA89953" w14:textId="3F997B82" w:rsidR="00865E37" w:rsidRPr="004A035C" w:rsidRDefault="004C5B17" w:rsidP="005B4367">
      <w:pPr>
        <w:pStyle w:val="FootnoteText"/>
      </w:pPr>
      <w:r w:rsidRPr="00D10EF8">
        <w:tab/>
      </w:r>
      <w:r w:rsidRPr="00093AC5">
        <w:rPr>
          <w:rStyle w:val="FootnoteReference"/>
        </w:rPr>
        <w:footnoteRef/>
      </w:r>
      <w:r w:rsidRPr="00D10EF8">
        <w:tab/>
      </w:r>
      <w:hyperlink r:id="rId259" w:history="1">
        <w:r w:rsidR="00865E37" w:rsidRPr="00817C90">
          <w:rPr>
            <w:rStyle w:val="FollowedHyperlink"/>
          </w:rPr>
          <w:t>https://ucr.fbi.gov/crime-in-the-u.s/2019/crime-in-the-u.s.-2019/tables/table-43</w:t>
        </w:r>
      </w:hyperlink>
      <w:r w:rsidR="00865E37" w:rsidRPr="004A035C">
        <w:t>.</w:t>
      </w:r>
    </w:p>
  </w:footnote>
  <w:footnote w:id="238">
    <w:p w14:paraId="380EDD58" w14:textId="3BB542F1" w:rsidR="00865E37" w:rsidRPr="004A035C" w:rsidRDefault="004C5B17" w:rsidP="005B4367">
      <w:pPr>
        <w:pStyle w:val="FootnoteText"/>
      </w:pPr>
      <w:r w:rsidRPr="00D10EF8">
        <w:tab/>
      </w:r>
      <w:r w:rsidRPr="00093AC5">
        <w:rPr>
          <w:rStyle w:val="FootnoteReference"/>
        </w:rPr>
        <w:footnoteRef/>
      </w:r>
      <w:r w:rsidRPr="00D10EF8">
        <w:tab/>
      </w:r>
      <w:hyperlink r:id="rId260" w:history="1">
        <w:r w:rsidR="00865E37" w:rsidRPr="00817C90">
          <w:rPr>
            <w:rStyle w:val="FollowedHyperlink"/>
          </w:rPr>
          <w:t>https://bjs.ojp.gov/content/pub/pdf/cpp15.pdf</w:t>
        </w:r>
      </w:hyperlink>
      <w:r w:rsidR="00865E37" w:rsidRPr="004A035C">
        <w:t xml:space="preserve">, </w:t>
      </w:r>
      <w:r w:rsidR="002A7FA1">
        <w:t>p. </w:t>
      </w:r>
      <w:r w:rsidR="00865E37" w:rsidRPr="004A035C">
        <w:t>4.</w:t>
      </w:r>
    </w:p>
  </w:footnote>
  <w:footnote w:id="239">
    <w:p w14:paraId="2D4E4ACB" w14:textId="4E43063D" w:rsidR="00865E37" w:rsidRPr="004A035C" w:rsidRDefault="004C5B17" w:rsidP="005B4367">
      <w:pPr>
        <w:pStyle w:val="FootnoteText"/>
      </w:pPr>
      <w:r w:rsidRPr="00D10EF8">
        <w:tab/>
      </w:r>
      <w:r w:rsidRPr="00093AC5">
        <w:rPr>
          <w:rStyle w:val="FootnoteReference"/>
        </w:rPr>
        <w:footnoteRef/>
      </w:r>
      <w:r w:rsidRPr="00D10EF8">
        <w:tab/>
      </w:r>
      <w:hyperlink r:id="rId261" w:history="1">
        <w:r w:rsidR="00865E37" w:rsidRPr="00817C90">
          <w:rPr>
            <w:rStyle w:val="FollowedHyperlink"/>
          </w:rPr>
          <w:t>https://www.ethnicity-facts-figures.service.gov.uk/crime-justice-and-the-law/policing/stop-and-search/latest</w:t>
        </w:r>
      </w:hyperlink>
      <w:r w:rsidR="00865E37" w:rsidRPr="004A035C">
        <w:rPr>
          <w:u w:color="000000"/>
        </w:rPr>
        <w:t>.</w:t>
      </w:r>
    </w:p>
  </w:footnote>
  <w:footnote w:id="240">
    <w:p w14:paraId="2F980EB6" w14:textId="318EDB85" w:rsidR="00865E37" w:rsidRPr="004A035C" w:rsidRDefault="004C5B17" w:rsidP="005B4367">
      <w:pPr>
        <w:pStyle w:val="FootnoteText"/>
      </w:pPr>
      <w:r w:rsidRPr="00D10EF8">
        <w:tab/>
      </w:r>
      <w:r w:rsidRPr="00093AC5">
        <w:rPr>
          <w:rStyle w:val="FootnoteReference"/>
        </w:rPr>
        <w:footnoteRef/>
      </w:r>
      <w:r w:rsidRPr="00D10EF8">
        <w:tab/>
      </w:r>
      <w:hyperlink r:id="rId262" w:history="1">
        <w:r w:rsidR="00865E37" w:rsidRPr="00817C90">
          <w:rPr>
            <w:rStyle w:val="FollowedHyperlink"/>
          </w:rPr>
          <w:t>https://fra.europa.eu/sites/default/files/fra_uploads/fra-2021-fundamental-rights-survey-police-stops_en.pdf</w:t>
        </w:r>
      </w:hyperlink>
      <w:r w:rsidR="00865E37" w:rsidRPr="004A035C">
        <w:t xml:space="preserve">, </w:t>
      </w:r>
      <w:r w:rsidR="002A7FA1">
        <w:t>p. </w:t>
      </w:r>
      <w:r w:rsidR="00865E37" w:rsidRPr="004A035C">
        <w:t>7.</w:t>
      </w:r>
    </w:p>
  </w:footnote>
  <w:footnote w:id="241">
    <w:p w14:paraId="77792219" w14:textId="162BD1BF" w:rsidR="00865E37" w:rsidRPr="00D10EF8" w:rsidRDefault="004C5B17" w:rsidP="005B4367">
      <w:pPr>
        <w:pStyle w:val="FootnoteText"/>
      </w:pPr>
      <w:r w:rsidRPr="00D10EF8">
        <w:tab/>
      </w:r>
      <w:r w:rsidRPr="00093AC5">
        <w:rPr>
          <w:rStyle w:val="FootnoteReference"/>
        </w:rPr>
        <w:footnoteRef/>
      </w:r>
      <w:r w:rsidRPr="00D10EF8">
        <w:tab/>
      </w:r>
      <w:hyperlink r:id="rId263" w:history="1">
        <w:r w:rsidR="00865E37" w:rsidRPr="00817C90">
          <w:rPr>
            <w:rStyle w:val="FollowedHyperlink"/>
          </w:rPr>
          <w:t>https://fra.europa.eu/sites/default/files/fra_uploads/fra-2018-being-black-in-the-eu_en.pdf</w:t>
        </w:r>
      </w:hyperlink>
      <w:r w:rsidR="00865E37" w:rsidRPr="00D10EF8">
        <w:t xml:space="preserve">, </w:t>
      </w:r>
      <w:r w:rsidR="002A7FA1">
        <w:t>p. </w:t>
      </w:r>
      <w:r w:rsidR="00865E37" w:rsidRPr="00281A96">
        <w:t>8 et 14</w:t>
      </w:r>
      <w:r w:rsidR="00865E37" w:rsidRPr="00D10EF8">
        <w:t>.</w:t>
      </w:r>
    </w:p>
  </w:footnote>
  <w:footnote w:id="242">
    <w:p w14:paraId="7D1E0BF2" w14:textId="0B1DFE1B" w:rsidR="00865E37" w:rsidRPr="00D10EF8" w:rsidRDefault="004C5B17" w:rsidP="005B4367">
      <w:pPr>
        <w:pStyle w:val="FootnoteText"/>
      </w:pPr>
      <w:r w:rsidRPr="00D10EF8">
        <w:tab/>
      </w:r>
      <w:r w:rsidRPr="00093AC5">
        <w:rPr>
          <w:rStyle w:val="FootnoteReference"/>
        </w:rPr>
        <w:footnoteRef/>
      </w:r>
      <w:r w:rsidRPr="00D10EF8">
        <w:tab/>
      </w:r>
      <w:hyperlink r:id="rId264" w:history="1">
        <w:r w:rsidR="00865E37" w:rsidRPr="00817C90">
          <w:rPr>
            <w:rStyle w:val="FollowedHyperlink"/>
          </w:rPr>
          <w:t>https://www.defenseurdesdroits.fr/sites/default/files/atoms/files/rapport-enquete_relations_</w:t>
        </w:r>
        <w:r w:rsidR="00817C90">
          <w:rPr>
            <w:rStyle w:val="FollowedHyperlink"/>
          </w:rPr>
          <w:t xml:space="preserve"> </w:t>
        </w:r>
        <w:r w:rsidR="00865E37" w:rsidRPr="00817C90">
          <w:rPr>
            <w:rStyle w:val="FollowedHyperlink"/>
          </w:rPr>
          <w:t>police_population-20170111_1.pdf</w:t>
        </w:r>
      </w:hyperlink>
      <w:r w:rsidR="00865E37" w:rsidRPr="00D10EF8">
        <w:t xml:space="preserve">, </w:t>
      </w:r>
      <w:r w:rsidR="002A7FA1">
        <w:t>p. </w:t>
      </w:r>
      <w:r w:rsidR="00865E37" w:rsidRPr="00281A96">
        <w:t>17 et 23</w:t>
      </w:r>
      <w:r w:rsidR="00BF73AB">
        <w:t> ;</w:t>
      </w:r>
      <w:r w:rsidR="00865E37" w:rsidRPr="00281A96">
        <w:t xml:space="preserve"> </w:t>
      </w:r>
      <w:hyperlink r:id="rId265" w:history="1">
        <w:r w:rsidR="00865E37" w:rsidRPr="00817C90">
          <w:rPr>
            <w:rStyle w:val="FollowedHyperlink"/>
          </w:rPr>
          <w:t>https://www.defenseurdesdroits.fr/fr/actus/actualites/</w:t>
        </w:r>
        <w:r w:rsidR="00817C90">
          <w:rPr>
            <w:rStyle w:val="FollowedHyperlink"/>
          </w:rPr>
          <w:t xml:space="preserve"> </w:t>
        </w:r>
        <w:r w:rsidR="00865E37" w:rsidRPr="00817C90">
          <w:rPr>
            <w:rStyle w:val="FollowedHyperlink"/>
          </w:rPr>
          <w:t>relations-policepopulation-le-defenseur-des-droits-publie-une-enquete-sur-les</w:t>
        </w:r>
      </w:hyperlink>
      <w:r w:rsidR="00865E37" w:rsidRPr="00D10EF8">
        <w:t>.</w:t>
      </w:r>
    </w:p>
  </w:footnote>
  <w:footnote w:id="243">
    <w:p w14:paraId="04BD2E4A" w14:textId="0D72D169" w:rsidR="00865E37" w:rsidRPr="00D10EF8" w:rsidRDefault="004C5B17" w:rsidP="005B4367">
      <w:pPr>
        <w:pStyle w:val="FootnoteText"/>
      </w:pPr>
      <w:r w:rsidRPr="00D10EF8">
        <w:tab/>
      </w:r>
      <w:r w:rsidRPr="00093AC5">
        <w:rPr>
          <w:rStyle w:val="FootnoteReference"/>
        </w:rPr>
        <w:footnoteRef/>
      </w:r>
      <w:r w:rsidRPr="00D10EF8">
        <w:tab/>
      </w:r>
      <w:hyperlink r:id="rId266" w:history="1">
        <w:r w:rsidR="00865E37" w:rsidRPr="00817C90">
          <w:rPr>
            <w:rStyle w:val="FollowedHyperlink"/>
          </w:rPr>
          <w:t>https://www.ilexaccionjuridica.org/wp-content/uploads/2020/06/Abuso-Policial-Final-web.pdf</w:t>
        </w:r>
      </w:hyperlink>
      <w:r w:rsidR="00865E37" w:rsidRPr="00D10EF8">
        <w:t>.</w:t>
      </w:r>
    </w:p>
  </w:footnote>
  <w:footnote w:id="244">
    <w:p w14:paraId="68A58B98" w14:textId="4DFFA692" w:rsidR="00865E37" w:rsidRPr="00D10EF8" w:rsidRDefault="004C5B17" w:rsidP="005B4367">
      <w:pPr>
        <w:pStyle w:val="FootnoteText"/>
      </w:pPr>
      <w:r w:rsidRPr="00D10EF8">
        <w:tab/>
      </w:r>
      <w:r w:rsidRPr="00093AC5">
        <w:rPr>
          <w:rStyle w:val="FootnoteReference"/>
        </w:rPr>
        <w:footnoteRef/>
      </w:r>
      <w:r w:rsidRPr="00D10EF8">
        <w:tab/>
      </w:r>
      <w:r w:rsidR="00865E37" w:rsidRPr="00D10EF8">
        <w:t>Communication de l</w:t>
      </w:r>
      <w:r w:rsidR="00F60EAA">
        <w:t>’</w:t>
      </w:r>
      <w:r w:rsidR="00865E37" w:rsidRPr="00D10EF8">
        <w:t>Assemblée pour la Décennie internationale des personnes d</w:t>
      </w:r>
      <w:r w:rsidR="00F60EAA">
        <w:t>’</w:t>
      </w:r>
      <w:r w:rsidR="00865E37" w:rsidRPr="00D10EF8">
        <w:t>ascendance africaine − Guyana (IDPADA-G).</w:t>
      </w:r>
    </w:p>
  </w:footnote>
  <w:footnote w:id="245">
    <w:p w14:paraId="31E947B2" w14:textId="767C066B" w:rsidR="00865E37" w:rsidRPr="00DA5E7E" w:rsidRDefault="004C5B17"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Communications des organisations suivantes : Black Sex Worker Collective/Best Practices Policy Project/the Outlaw Project/Desiree Alliance/New Jersey Red Umbrella Alliance, Woodhull Freedom Foundation/Sex Workers Project at the Urban Justice Center.</w:t>
      </w:r>
    </w:p>
  </w:footnote>
  <w:footnote w:id="246">
    <w:p w14:paraId="5D704CB5" w14:textId="366286AD" w:rsidR="00865E37" w:rsidRPr="00DA5E7E" w:rsidRDefault="004C5B17" w:rsidP="005B4367">
      <w:pPr>
        <w:pStyle w:val="FootnoteText"/>
        <w:rPr>
          <w:lang w:val="en-US"/>
        </w:rPr>
      </w:pPr>
      <w:r w:rsidRPr="00DA5E7E">
        <w:rPr>
          <w:lang w:val="en-US"/>
        </w:rPr>
        <w:tab/>
      </w:r>
      <w:r w:rsidRPr="00093AC5">
        <w:rPr>
          <w:rStyle w:val="FootnoteReference"/>
        </w:rPr>
        <w:footnoteRef/>
      </w:r>
      <w:r w:rsidRPr="00DA5E7E">
        <w:rPr>
          <w:lang w:val="en-US"/>
        </w:rPr>
        <w:tab/>
      </w:r>
      <w:hyperlink r:id="rId267" w:history="1">
        <w:r w:rsidR="00865E37" w:rsidRPr="004A035C">
          <w:rPr>
            <w:rStyle w:val="FollowedHyperlink"/>
            <w:lang w:val="en-US"/>
          </w:rPr>
          <w:t>https://libertyinvestigates.org.uk/articles/bame-people-disproportionately-targeted-by-coronavirus-fines/</w:t>
        </w:r>
      </w:hyperlink>
      <w:r w:rsidR="00BF73AB">
        <w:rPr>
          <w:lang w:val="en-US"/>
        </w:rPr>
        <w:t> ;</w:t>
      </w:r>
      <w:r w:rsidR="00865E37" w:rsidRPr="00DA5E7E">
        <w:rPr>
          <w:lang w:val="en-US"/>
        </w:rPr>
        <w:t xml:space="preserve"> </w:t>
      </w:r>
      <w:hyperlink r:id="rId268" w:history="1">
        <w:r w:rsidR="00865E37" w:rsidRPr="004A035C">
          <w:rPr>
            <w:rStyle w:val="FollowedHyperlink"/>
            <w:lang w:val="en-US"/>
          </w:rPr>
          <w:t>https://www.amnesty.org/en/latest/news/2020/06/europe-covid19-lockdowns-expose-racial-bias-and-discrimination-within-police/</w:t>
        </w:r>
      </w:hyperlink>
      <w:r w:rsidR="00BF73AB">
        <w:rPr>
          <w:lang w:val="en-US"/>
        </w:rPr>
        <w:t> ;</w:t>
      </w:r>
      <w:r w:rsidR="00865E37" w:rsidRPr="00DA5E7E">
        <w:rPr>
          <w:lang w:val="en-US"/>
        </w:rPr>
        <w:t xml:space="preserve"> </w:t>
      </w:r>
      <w:hyperlink r:id="rId269" w:history="1">
        <w:r w:rsidR="00865E37" w:rsidRPr="004A035C">
          <w:rPr>
            <w:rStyle w:val="FollowedHyperlink"/>
            <w:lang w:val="en-US"/>
          </w:rPr>
          <w:t>https://www.enar-eu.org/Police-violence-and-racial-profiling-during-Covid-19-need-to-stop-governments</w:t>
        </w:r>
      </w:hyperlink>
      <w:r w:rsidR="00BF73AB">
        <w:rPr>
          <w:rStyle w:val="FollowedHyperlink"/>
          <w:lang w:val="en-US"/>
        </w:rPr>
        <w:t> ;</w:t>
      </w:r>
      <w:r w:rsidR="00865E37" w:rsidRPr="004A035C">
        <w:rPr>
          <w:rStyle w:val="FollowedHyperlink"/>
          <w:lang w:val="en-US"/>
        </w:rPr>
        <w:t xml:space="preserve"> </w:t>
      </w:r>
      <w:hyperlink r:id="rId270" w:history="1">
        <w:r w:rsidR="00865E37" w:rsidRPr="004A035C">
          <w:rPr>
            <w:rStyle w:val="FollowedHyperlink"/>
            <w:lang w:val="en-US"/>
          </w:rPr>
          <w:t>https://www.lawrencereview.co.uk/</w:t>
        </w:r>
      </w:hyperlink>
      <w:r w:rsidR="00865E37" w:rsidRPr="00DA5E7E">
        <w:rPr>
          <w:lang w:val="en-US"/>
        </w:rPr>
        <w:t>.</w:t>
      </w:r>
    </w:p>
  </w:footnote>
  <w:footnote w:id="247">
    <w:p w14:paraId="383B9BD0" w14:textId="5BDAA979" w:rsidR="00865E37" w:rsidRPr="00DA5E7E" w:rsidRDefault="004C5B17" w:rsidP="005B4367">
      <w:pPr>
        <w:pStyle w:val="FootnoteText"/>
        <w:rPr>
          <w:lang w:val="en-US"/>
        </w:rPr>
      </w:pPr>
      <w:r w:rsidRPr="00DA5E7E">
        <w:rPr>
          <w:lang w:val="en-US"/>
        </w:rPr>
        <w:tab/>
      </w:r>
      <w:r w:rsidRPr="00093AC5">
        <w:rPr>
          <w:rStyle w:val="FootnoteReference"/>
        </w:rPr>
        <w:footnoteRef/>
      </w:r>
      <w:r w:rsidRPr="00DA5E7E">
        <w:rPr>
          <w:lang w:val="en-US"/>
        </w:rPr>
        <w:tab/>
      </w:r>
      <w:r w:rsidR="00865E37" w:rsidRPr="00DA5E7E">
        <w:rPr>
          <w:lang w:val="en-US"/>
        </w:rPr>
        <w:t>Communication d</w:t>
      </w:r>
      <w:r w:rsidR="00F60EAA">
        <w:rPr>
          <w:lang w:val="en-US"/>
        </w:rPr>
        <w:t>’</w:t>
      </w:r>
      <w:r w:rsidR="00865E37" w:rsidRPr="00DA5E7E">
        <w:rPr>
          <w:lang w:val="en-US"/>
        </w:rPr>
        <w:t>Ilex Acción Jurídica</w:t>
      </w:r>
      <w:r w:rsidR="00BF73AB">
        <w:rPr>
          <w:lang w:val="en-US"/>
        </w:rPr>
        <w:t> ;</w:t>
      </w:r>
      <w:r w:rsidR="00865E37" w:rsidRPr="00DA5E7E">
        <w:rPr>
          <w:lang w:val="en-US"/>
        </w:rPr>
        <w:t xml:space="preserve"> A/75/258</w:t>
      </w:r>
      <w:r w:rsidR="00BF73AB">
        <w:rPr>
          <w:lang w:val="en-US"/>
        </w:rPr>
        <w:t> ;</w:t>
      </w:r>
      <w:r w:rsidR="00865E37" w:rsidRPr="00DA5E7E">
        <w:rPr>
          <w:lang w:val="en-US"/>
        </w:rPr>
        <w:t xml:space="preserve"> </w:t>
      </w:r>
      <w:r w:rsidR="002A7FA1" w:rsidRPr="00DA5E7E">
        <w:rPr>
          <w:lang w:val="en-US"/>
        </w:rPr>
        <w:t>par. </w:t>
      </w:r>
      <w:r w:rsidR="00865E37" w:rsidRPr="00DA5E7E">
        <w:rPr>
          <w:lang w:val="en-US"/>
        </w:rPr>
        <w:t xml:space="preserve">26, </w:t>
      </w:r>
      <w:hyperlink r:id="rId271" w:history="1">
        <w:r w:rsidR="00865E37" w:rsidRPr="004A035C">
          <w:rPr>
            <w:rStyle w:val="FollowedHyperlink"/>
            <w:lang w:val="en-US"/>
          </w:rPr>
          <w:t>https://raceandequality.org/category/</w:t>
        </w:r>
        <w:r w:rsidR="001B3FAD">
          <w:rPr>
            <w:rStyle w:val="FollowedHyperlink"/>
            <w:lang w:val="en-US"/>
          </w:rPr>
          <w:t xml:space="preserve"> </w:t>
        </w:r>
        <w:r w:rsidR="00865E37" w:rsidRPr="004A035C">
          <w:rPr>
            <w:rStyle w:val="FollowedHyperlink"/>
            <w:lang w:val="en-US"/>
          </w:rPr>
          <w:t>colombia/?post_date=2020-10-06</w:t>
        </w:r>
      </w:hyperlink>
      <w:r w:rsidR="00BF73AB">
        <w:rPr>
          <w:lang w:val="en-US"/>
        </w:rPr>
        <w:t> ;</w:t>
      </w:r>
      <w:r w:rsidR="00865E37" w:rsidRPr="00DA5E7E">
        <w:rPr>
          <w:lang w:val="en-US"/>
        </w:rPr>
        <w:t xml:space="preserve"> </w:t>
      </w:r>
      <w:r w:rsidR="00865E37" w:rsidRPr="004A035C">
        <w:rPr>
          <w:rStyle w:val="FollowedHyperlink"/>
          <w:lang w:val="en-US"/>
        </w:rPr>
        <w:t>https://www.ohchr.org/Documents/Issues/SexualOrientation/</w:t>
      </w:r>
      <w:r w:rsidR="001B3FAD">
        <w:rPr>
          <w:rStyle w:val="FollowedHyperlink"/>
          <w:lang w:val="en-US"/>
        </w:rPr>
        <w:t xml:space="preserve"> </w:t>
      </w:r>
      <w:r w:rsidR="00865E37" w:rsidRPr="004A035C">
        <w:rPr>
          <w:rStyle w:val="FollowedHyperlink"/>
          <w:lang w:val="en-US"/>
        </w:rPr>
        <w:t>ImpactCOVID19LGBTpersons.pdf</w:t>
      </w:r>
      <w:r w:rsidR="00865E37" w:rsidRPr="00DA5E7E">
        <w:rPr>
          <w:lang w:val="en-US"/>
        </w:rPr>
        <w:t>.</w:t>
      </w:r>
    </w:p>
  </w:footnote>
  <w:footnote w:id="248">
    <w:p w14:paraId="61D54F28" w14:textId="51B87FE5" w:rsidR="00865E37" w:rsidRPr="00D10EF8" w:rsidRDefault="004C5B17" w:rsidP="005B4367">
      <w:pPr>
        <w:pStyle w:val="FootnoteText"/>
      </w:pPr>
      <w:r w:rsidRPr="00DA5E7E">
        <w:rPr>
          <w:lang w:val="en-US"/>
        </w:rPr>
        <w:tab/>
      </w:r>
      <w:r w:rsidRPr="00093AC5">
        <w:rPr>
          <w:rStyle w:val="FootnoteReference"/>
        </w:rPr>
        <w:footnoteRef/>
      </w:r>
      <w:r w:rsidRPr="00D10EF8">
        <w:tab/>
      </w:r>
      <w:r w:rsidR="00865E37" w:rsidRPr="00D10EF8">
        <w:t>Voir, par exemple, le problème de l</w:t>
      </w:r>
      <w:r w:rsidR="00F60EAA">
        <w:t>’</w:t>
      </w:r>
      <w:r w:rsidR="00865E37" w:rsidRPr="00D10EF8">
        <w:t>école comme point de passage vers la prison aux États-Unis. (</w:t>
      </w:r>
      <w:hyperlink r:id="rId272" w:history="1">
        <w:r w:rsidR="00865E37" w:rsidRPr="001D4204">
          <w:rPr>
            <w:rStyle w:val="FollowedHyperlink"/>
          </w:rPr>
          <w:t>www.ohchr.org/EN/NewsEvents/Pages/DisplayNews.aspx?NewsID=17000</w:t>
        </w:r>
      </w:hyperlink>
      <w:r w:rsidR="00BF73AB">
        <w:t> ;</w:t>
      </w:r>
      <w:r w:rsidR="00865E37" w:rsidRPr="00D10EF8">
        <w:t xml:space="preserve"> </w:t>
      </w:r>
      <w:hyperlink r:id="rId273" w:history="1">
        <w:r w:rsidR="00865E37" w:rsidRPr="001D4204">
          <w:rPr>
            <w:rStyle w:val="FollowedHyperlink"/>
          </w:rPr>
          <w:t>www.aclu.org/issues/</w:t>
        </w:r>
        <w:r w:rsidR="00D861EC">
          <w:rPr>
            <w:rStyle w:val="FollowedHyperlink"/>
          </w:rPr>
          <w:t xml:space="preserve"> </w:t>
        </w:r>
        <w:r w:rsidR="00865E37" w:rsidRPr="001D4204">
          <w:rPr>
            <w:rStyle w:val="FollowedHyperlink"/>
          </w:rPr>
          <w:t>juvenile-justice/school-prison-pipeline</w:t>
        </w:r>
      </w:hyperlink>
      <w:r w:rsidR="00865E37" w:rsidRPr="00D10EF8">
        <w:t>)</w:t>
      </w:r>
      <w:r w:rsidR="00BF73AB">
        <w:t> ;</w:t>
      </w:r>
      <w:r w:rsidR="00865E37" w:rsidRPr="00D10EF8">
        <w:t xml:space="preserve"> communication du Comité pour l</w:t>
      </w:r>
      <w:r w:rsidR="00F60EAA">
        <w:t>’</w:t>
      </w:r>
      <w:r w:rsidR="00D861EC">
        <w:t>UNICEF</w:t>
      </w:r>
      <w:r w:rsidR="00865E37" w:rsidRPr="00D10EF8">
        <w:t xml:space="preserve"> du Royaume-Uni (UNICEF UK).</w:t>
      </w:r>
    </w:p>
  </w:footnote>
  <w:footnote w:id="249">
    <w:p w14:paraId="4F4A8E24" w14:textId="108CB569" w:rsidR="00865E37" w:rsidRPr="00D10EF8" w:rsidRDefault="004C5B17" w:rsidP="005B4367">
      <w:pPr>
        <w:pStyle w:val="FootnoteText"/>
      </w:pPr>
      <w:r w:rsidRPr="00D10EF8">
        <w:tab/>
      </w:r>
      <w:r w:rsidRPr="00093AC5">
        <w:rPr>
          <w:rStyle w:val="FootnoteReference"/>
        </w:rPr>
        <w:footnoteRef/>
      </w:r>
      <w:r w:rsidRPr="00D10EF8">
        <w:tab/>
      </w:r>
      <w:hyperlink r:id="rId274" w:history="1">
        <w:r w:rsidR="00865E37" w:rsidRPr="001D4204">
          <w:rPr>
            <w:rStyle w:val="FollowedHyperlink"/>
          </w:rPr>
          <w:t>https://ocrdata.ed.gov/estimations/2017-2018</w:t>
        </w:r>
      </w:hyperlink>
      <w:r w:rsidR="00BF73AB">
        <w:t> ;</w:t>
      </w:r>
      <w:r w:rsidR="00865E37" w:rsidRPr="001D4204">
        <w:rPr>
          <w:rStyle w:val="FollowedHyperlink"/>
        </w:rPr>
        <w:t xml:space="preserve"> </w:t>
      </w:r>
      <w:hyperlink r:id="rId275" w:history="1">
        <w:r w:rsidR="00865E37" w:rsidRPr="001D4204">
          <w:rPr>
            <w:rStyle w:val="FollowedHyperlink"/>
          </w:rPr>
          <w:t>https://www2.ed.gov/about/offices/list/ocr/docs/crdc-discipline-snapshot.pdf</w:t>
        </w:r>
      </w:hyperlink>
      <w:r w:rsidR="00865E37" w:rsidRPr="00D10EF8">
        <w:t>.</w:t>
      </w:r>
    </w:p>
  </w:footnote>
  <w:footnote w:id="250">
    <w:p w14:paraId="7A3BE865" w14:textId="752D1395" w:rsidR="00865E37" w:rsidRPr="00032472" w:rsidRDefault="004C5B17" w:rsidP="005B4367">
      <w:pPr>
        <w:pStyle w:val="FootnoteText"/>
        <w:rPr>
          <w:lang w:val="en-US"/>
        </w:rPr>
      </w:pPr>
      <w:r w:rsidRPr="00D10EF8">
        <w:tab/>
      </w:r>
      <w:r w:rsidRPr="00093AC5">
        <w:rPr>
          <w:rStyle w:val="FootnoteReference"/>
        </w:rPr>
        <w:footnoteRef/>
      </w:r>
      <w:r w:rsidRPr="00032472">
        <w:rPr>
          <w:lang w:val="en-US"/>
        </w:rPr>
        <w:tab/>
      </w:r>
      <w:hyperlink r:id="rId276" w:history="1">
        <w:r w:rsidR="00865E37" w:rsidRPr="00032472">
          <w:rPr>
            <w:rStyle w:val="FollowedHyperlink"/>
            <w:lang w:val="en-US"/>
          </w:rPr>
          <w:t>https://www.aclu.org/issues/juvenile-justice/school-prison-pipeline/school-prison-pipeline?</w:t>
        </w:r>
        <w:r w:rsidR="00032472" w:rsidRPr="00032472">
          <w:rPr>
            <w:rStyle w:val="FollowedHyperlink"/>
            <w:lang w:val="en-US"/>
          </w:rPr>
          <w:t xml:space="preserve"> </w:t>
        </w:r>
        <w:r w:rsidR="00865E37" w:rsidRPr="00032472">
          <w:rPr>
            <w:rStyle w:val="FollowedHyperlink"/>
            <w:lang w:val="en-US"/>
          </w:rPr>
          <w:t>redirect=feature/school-prison-pipeline</w:t>
        </w:r>
      </w:hyperlink>
      <w:r w:rsidR="00BF73AB" w:rsidRPr="00032472">
        <w:rPr>
          <w:lang w:val="en-US"/>
        </w:rPr>
        <w:t> ;</w:t>
      </w:r>
      <w:r w:rsidR="00865E37" w:rsidRPr="00032472">
        <w:rPr>
          <w:lang w:val="en-US"/>
        </w:rPr>
        <w:t xml:space="preserve"> </w:t>
      </w:r>
      <w:hyperlink r:id="rId277" w:history="1">
        <w:r w:rsidR="00865E37" w:rsidRPr="00032472">
          <w:rPr>
            <w:rStyle w:val="FollowedHyperlink"/>
            <w:lang w:val="en-US"/>
          </w:rPr>
          <w:t>https://files.eric.ed.gov/fulltext/EJ870076.pdf</w:t>
        </w:r>
      </w:hyperlink>
      <w:r w:rsidR="00BF73AB" w:rsidRPr="00032472">
        <w:rPr>
          <w:lang w:val="en-US"/>
        </w:rPr>
        <w:t> ;</w:t>
      </w:r>
      <w:r w:rsidR="00865E37" w:rsidRPr="00032472">
        <w:rPr>
          <w:lang w:val="en-US"/>
        </w:rPr>
        <w:t xml:space="preserve"> </w:t>
      </w:r>
      <w:hyperlink r:id="rId278" w:history="1">
        <w:r w:rsidR="00865E37" w:rsidRPr="00032472">
          <w:rPr>
            <w:rStyle w:val="FollowedHyperlink"/>
            <w:lang w:val="en-US"/>
          </w:rPr>
          <w:t>https://www.vox.com/2015/2/24/8101289/school-discipline-race</w:t>
        </w:r>
      </w:hyperlink>
      <w:r w:rsidR="00865E37" w:rsidRPr="00032472">
        <w:rPr>
          <w:lang w:val="en-US"/>
        </w:rPr>
        <w:t>.</w:t>
      </w:r>
    </w:p>
  </w:footnote>
  <w:footnote w:id="251">
    <w:p w14:paraId="674F6B6B" w14:textId="12DE93AF" w:rsidR="00865E37" w:rsidRPr="00D10EF8" w:rsidRDefault="004C5B17" w:rsidP="005B4367">
      <w:pPr>
        <w:pStyle w:val="FootnoteText"/>
      </w:pPr>
      <w:r w:rsidRPr="00032472">
        <w:rPr>
          <w:lang w:val="en-US"/>
        </w:rPr>
        <w:tab/>
      </w:r>
      <w:r w:rsidRPr="00093AC5">
        <w:rPr>
          <w:rStyle w:val="FootnoteReference"/>
        </w:rPr>
        <w:footnoteRef/>
      </w:r>
      <w:r w:rsidRPr="00D10EF8">
        <w:tab/>
      </w:r>
      <w:hyperlink r:id="rId279" w:history="1">
        <w:r w:rsidR="00865E37" w:rsidRPr="001D4204">
          <w:rPr>
            <w:rStyle w:val="FollowedHyperlink"/>
          </w:rPr>
          <w:t>https://www.gov.uk/government/statistics/youth-justice-statistics-2018-to-2019</w:t>
        </w:r>
      </w:hyperlink>
      <w:r w:rsidR="00BF73AB">
        <w:t> ;</w:t>
      </w:r>
      <w:r w:rsidR="00865E37" w:rsidRPr="00D10EF8">
        <w:t xml:space="preserve"> communication du Comité pour l</w:t>
      </w:r>
      <w:r w:rsidR="00F60EAA">
        <w:t>’</w:t>
      </w:r>
      <w:r w:rsidR="00032472">
        <w:t>UNICEF</w:t>
      </w:r>
      <w:r w:rsidR="00865E37" w:rsidRPr="00D10EF8">
        <w:t xml:space="preserve"> du Royaume-Uni (UNICEF UK), CRC/C/GBR/CO/5 </w:t>
      </w:r>
      <w:r w:rsidR="002A7FA1">
        <w:t>par. </w:t>
      </w:r>
      <w:r w:rsidR="00865E37" w:rsidRPr="00D10EF8">
        <w:t>78 (al. d)).</w:t>
      </w:r>
    </w:p>
  </w:footnote>
  <w:footnote w:id="252">
    <w:p w14:paraId="6CD8C41B" w14:textId="102B7898" w:rsidR="00865E37" w:rsidRPr="00DA5E7E" w:rsidRDefault="004C5B17" w:rsidP="004D2A20">
      <w:pPr>
        <w:pStyle w:val="FootnoteText"/>
        <w:suppressAutoHyphens w:val="0"/>
        <w:rPr>
          <w:lang w:val="en-US"/>
        </w:rPr>
      </w:pPr>
      <w:r w:rsidRPr="00D10EF8">
        <w:tab/>
      </w:r>
      <w:r w:rsidRPr="00093AC5">
        <w:rPr>
          <w:rStyle w:val="FootnoteReference"/>
        </w:rPr>
        <w:footnoteRef/>
      </w:r>
      <w:r w:rsidRPr="00DA5E7E">
        <w:rPr>
          <w:lang w:val="en-US"/>
        </w:rPr>
        <w:tab/>
      </w:r>
      <w:r w:rsidR="00865E37" w:rsidRPr="00DA5E7E">
        <w:rPr>
          <w:lang w:val="en-US"/>
        </w:rPr>
        <w:t>A/HRC/36/37/Add.2</w:t>
      </w:r>
      <w:r w:rsidR="00BF73AB">
        <w:rPr>
          <w:lang w:val="en-US"/>
        </w:rPr>
        <w:t> ;</w:t>
      </w:r>
      <w:r w:rsidR="00865E37" w:rsidRPr="00DA5E7E">
        <w:rPr>
          <w:lang w:val="en-US"/>
        </w:rPr>
        <w:t xml:space="preserve"> Communication de Disability Rights Ohio</w:t>
      </w:r>
      <w:r w:rsidR="00BF73AB">
        <w:rPr>
          <w:lang w:val="en-US"/>
        </w:rPr>
        <w:t> ;</w:t>
      </w:r>
      <w:r w:rsidR="00865E37" w:rsidRPr="00DA5E7E">
        <w:rPr>
          <w:lang w:val="en-US"/>
        </w:rPr>
        <w:t xml:space="preserve"> </w:t>
      </w:r>
      <w:hyperlink r:id="rId280" w:history="1">
        <w:r w:rsidR="00865E37" w:rsidRPr="004A035C">
          <w:rPr>
            <w:rStyle w:val="FollowedHyperlink"/>
            <w:lang w:val="en-US"/>
          </w:rPr>
          <w:t>www.attorneygeneral.jus.</w:t>
        </w:r>
        <w:r w:rsidR="004D2A20">
          <w:rPr>
            <w:rStyle w:val="FollowedHyperlink"/>
            <w:lang w:val="en-US"/>
          </w:rPr>
          <w:t xml:space="preserve"> </w:t>
        </w:r>
        <w:r w:rsidR="00865E37" w:rsidRPr="004A035C">
          <w:rPr>
            <w:rStyle w:val="FollowedHyperlink"/>
            <w:lang w:val="en-US"/>
          </w:rPr>
          <w:t>gov.on.ca/inquiries/ipperwash/policy_part/projects/pdf/AfricanCanadianClinicIpperwashProject_SIUStudybyScotWortley.pdf</w:t>
        </w:r>
      </w:hyperlink>
      <w:r w:rsidR="00865E37" w:rsidRPr="00DA5E7E">
        <w:rPr>
          <w:lang w:val="en-US"/>
        </w:rPr>
        <w:t>.</w:t>
      </w:r>
    </w:p>
  </w:footnote>
  <w:footnote w:id="253">
    <w:p w14:paraId="52E830A6" w14:textId="29BC22EB" w:rsidR="00865E37" w:rsidRPr="00DA5E7E" w:rsidRDefault="004C5B17" w:rsidP="005B4367">
      <w:pPr>
        <w:pStyle w:val="FootnoteText"/>
        <w:rPr>
          <w:lang w:val="en-US"/>
        </w:rPr>
      </w:pPr>
      <w:r w:rsidRPr="00DA5E7E">
        <w:rPr>
          <w:lang w:val="en-US"/>
        </w:rPr>
        <w:tab/>
      </w:r>
      <w:r w:rsidRPr="00093AC5">
        <w:rPr>
          <w:rStyle w:val="FootnoteReference"/>
        </w:rPr>
        <w:footnoteRef/>
      </w:r>
      <w:r w:rsidRPr="00DA5E7E">
        <w:rPr>
          <w:lang w:val="en-US"/>
        </w:rPr>
        <w:tab/>
      </w:r>
      <w:hyperlink r:id="rId281" w:history="1">
        <w:r w:rsidR="00865E37" w:rsidRPr="004A035C">
          <w:rPr>
            <w:rStyle w:val="FollowedHyperlink"/>
            <w:lang w:val="en-US"/>
          </w:rPr>
          <w:t>https://www.justice.gov/sites/default/files/opa/press-releases/attachments/2015/03/04/ferguson_</w:t>
        </w:r>
        <w:r w:rsidR="001D4204" w:rsidRPr="004A035C">
          <w:rPr>
            <w:rStyle w:val="FollowedHyperlink"/>
            <w:lang w:val="en-US"/>
          </w:rPr>
          <w:t xml:space="preserve"> </w:t>
        </w:r>
        <w:r w:rsidR="00865E37" w:rsidRPr="004A035C">
          <w:rPr>
            <w:rStyle w:val="FollowedHyperlink"/>
            <w:lang w:val="en-US"/>
          </w:rPr>
          <w:t>police_department_report.pdf</w:t>
        </w:r>
      </w:hyperlink>
      <w:r w:rsidR="00865E37" w:rsidRPr="00DA5E7E">
        <w:rPr>
          <w:lang w:val="en-US"/>
        </w:rPr>
        <w:t xml:space="preserve">, </w:t>
      </w:r>
      <w:r w:rsidR="002A7FA1" w:rsidRPr="00DA5E7E">
        <w:rPr>
          <w:lang w:val="en-US"/>
        </w:rPr>
        <w:t>p. </w:t>
      </w:r>
      <w:r w:rsidR="00865E37" w:rsidRPr="00DA5E7E">
        <w:rPr>
          <w:lang w:val="en-US"/>
        </w:rPr>
        <w:t>5 à 7.</w:t>
      </w:r>
    </w:p>
  </w:footnote>
  <w:footnote w:id="254">
    <w:p w14:paraId="309F3F6D" w14:textId="358F1437" w:rsidR="00865E37" w:rsidRPr="00DA5E7E" w:rsidRDefault="004C5B17" w:rsidP="005B4367">
      <w:pPr>
        <w:pStyle w:val="FootnoteText"/>
        <w:rPr>
          <w:lang w:val="en-US"/>
        </w:rPr>
      </w:pPr>
      <w:r w:rsidRPr="00DA5E7E">
        <w:rPr>
          <w:lang w:val="en-US"/>
        </w:rPr>
        <w:tab/>
      </w:r>
      <w:r w:rsidRPr="00093AC5">
        <w:rPr>
          <w:rStyle w:val="FootnoteReference"/>
        </w:rPr>
        <w:footnoteRef/>
      </w:r>
      <w:r w:rsidRPr="00DA5E7E">
        <w:rPr>
          <w:lang w:val="en-US"/>
        </w:rPr>
        <w:tab/>
      </w:r>
      <w:hyperlink r:id="rId282" w:history="1">
        <w:r w:rsidR="00865E37" w:rsidRPr="004A035C">
          <w:rPr>
            <w:rStyle w:val="FollowedHyperlink"/>
            <w:lang w:val="en-US"/>
          </w:rPr>
          <w:t>https://www.equalityhumanrights.com/sites/default/files/ehrc_stop_and_search_report.pdf</w:t>
        </w:r>
      </w:hyperlink>
      <w:r w:rsidR="00BF73AB">
        <w:rPr>
          <w:lang w:val="en-US"/>
        </w:rPr>
        <w:t> ;</w:t>
      </w:r>
      <w:r w:rsidR="00865E37" w:rsidRPr="00DA5E7E">
        <w:rPr>
          <w:lang w:val="en-US"/>
        </w:rPr>
        <w:t xml:space="preserve"> </w:t>
      </w:r>
      <w:hyperlink r:id="rId283" w:history="1">
        <w:r w:rsidR="00865E37" w:rsidRPr="004A035C">
          <w:rPr>
            <w:rStyle w:val="FollowedHyperlink"/>
            <w:lang w:val="en-US"/>
          </w:rPr>
          <w:t>https://www.hrw.org/report/2012/01/26/root-humiliation/abusive-identity-checks-france</w:t>
        </w:r>
      </w:hyperlink>
      <w:r w:rsidR="00865E37" w:rsidRPr="004A035C">
        <w:rPr>
          <w:rStyle w:val="FollowedHyperlink"/>
          <w:lang w:val="en-US"/>
        </w:rPr>
        <w:t>.</w:t>
      </w:r>
      <w:r w:rsidR="00865E37" w:rsidRPr="00DA5E7E">
        <w:rPr>
          <w:lang w:val="en-US"/>
        </w:rPr>
        <w:t xml:space="preserve"> </w:t>
      </w:r>
    </w:p>
  </w:footnote>
  <w:footnote w:id="255">
    <w:p w14:paraId="6850FA62" w14:textId="6DF425D9" w:rsidR="00865E37" w:rsidRPr="00D10EF8" w:rsidRDefault="004C5B17" w:rsidP="005B4367">
      <w:pPr>
        <w:pStyle w:val="FootnoteText"/>
      </w:pPr>
      <w:r w:rsidRPr="00DA5E7E">
        <w:rPr>
          <w:lang w:val="en-US"/>
        </w:rPr>
        <w:tab/>
      </w:r>
      <w:r w:rsidRPr="00093AC5">
        <w:rPr>
          <w:rStyle w:val="FootnoteReference"/>
        </w:rPr>
        <w:footnoteRef/>
      </w:r>
      <w:r w:rsidRPr="00D10EF8">
        <w:tab/>
      </w:r>
      <w:r w:rsidR="00865E37" w:rsidRPr="00D10EF8">
        <w:t>Communications du Service international pour les droits de l</w:t>
      </w:r>
      <w:r w:rsidR="00F60EAA">
        <w:t>’</w:t>
      </w:r>
      <w:r w:rsidR="00865E37" w:rsidRPr="00D10EF8">
        <w:t>homme/du Comité Adama/de l</w:t>
      </w:r>
      <w:r w:rsidR="00F60EAA">
        <w:t>’</w:t>
      </w:r>
      <w:r w:rsidR="00865E37" w:rsidRPr="00D10EF8">
        <w:t>Association À Qui Le Tour</w:t>
      </w:r>
      <w:r w:rsidR="004D2A20">
        <w:t> </w:t>
      </w:r>
      <w:r w:rsidR="00865E37" w:rsidRPr="00D10EF8">
        <w:t>? et de l</w:t>
      </w:r>
      <w:r w:rsidR="00F60EAA">
        <w:t>’</w:t>
      </w:r>
      <w:r w:rsidR="00865E37" w:rsidRPr="00D10EF8">
        <w:t>Institution nationale des droits de l</w:t>
      </w:r>
      <w:r w:rsidR="00F60EAA">
        <w:t>’</w:t>
      </w:r>
      <w:r w:rsidR="00865E37" w:rsidRPr="00D10EF8">
        <w:t>homme de l</w:t>
      </w:r>
      <w:r w:rsidR="00F60EAA">
        <w:t>’</w:t>
      </w:r>
      <w:r w:rsidR="00865E37" w:rsidRPr="00D10EF8">
        <w:t>Équateur (Défens</w:t>
      </w:r>
      <w:r w:rsidR="00865E37">
        <w:t>eur du peuple</w:t>
      </w:r>
      <w:r w:rsidR="00865E37" w:rsidRPr="00D10EF8">
        <w:t>)</w:t>
      </w:r>
      <w:r w:rsidR="00BF73AB">
        <w:t> ;</w:t>
      </w:r>
      <w:r w:rsidR="00865E37" w:rsidRPr="00D10EF8">
        <w:t xml:space="preserve"> A/74/274, </w:t>
      </w:r>
      <w:r w:rsidR="002A7FA1">
        <w:t>par. </w:t>
      </w:r>
      <w:r w:rsidR="00865E37" w:rsidRPr="00D10EF8">
        <w:t>54 et 55</w:t>
      </w:r>
      <w:r w:rsidR="00BF73AB">
        <w:t> ;</w:t>
      </w:r>
      <w:r w:rsidR="00865E37" w:rsidRPr="00D10EF8">
        <w:t xml:space="preserve"> </w:t>
      </w:r>
      <w:hyperlink r:id="rId284" w:history="1">
        <w:r w:rsidR="00865E37" w:rsidRPr="001D4204">
          <w:rPr>
            <w:rStyle w:val="FollowedHyperlink"/>
          </w:rPr>
          <w:t>https://inquirycommission.org/website/wp-content/uploads/2021/04/Commission-Report-15-April.pdf</w:t>
        </w:r>
      </w:hyperlink>
      <w:r w:rsidR="00865E37" w:rsidRPr="00D10EF8">
        <w:t>.</w:t>
      </w:r>
    </w:p>
  </w:footnote>
  <w:footnote w:id="256">
    <w:p w14:paraId="05A26DE0" w14:textId="00494147" w:rsidR="00865E37" w:rsidRPr="00D10EF8" w:rsidRDefault="004C5B17" w:rsidP="005B4367">
      <w:pPr>
        <w:pStyle w:val="FootnoteText"/>
      </w:pPr>
      <w:r w:rsidRPr="00D10EF8">
        <w:tab/>
      </w:r>
      <w:r w:rsidRPr="00093AC5">
        <w:rPr>
          <w:rStyle w:val="FootnoteReference"/>
        </w:rPr>
        <w:footnoteRef/>
      </w:r>
      <w:r w:rsidRPr="00D10EF8">
        <w:tab/>
      </w:r>
      <w:hyperlink r:id="rId285" w:history="1">
        <w:r w:rsidR="00865E37" w:rsidRPr="007941E7">
          <w:rPr>
            <w:rStyle w:val="FollowedHyperlink"/>
          </w:rPr>
          <w:t>https://news.un.org/fr/story/2019/03/1038761</w:t>
        </w:r>
      </w:hyperlink>
      <w:r w:rsidR="00BF73AB">
        <w:t> ;</w:t>
      </w:r>
      <w:r w:rsidR="00865E37" w:rsidRPr="00D10EF8">
        <w:t xml:space="preserve"> A/HRC/33/61/Add.2, </w:t>
      </w:r>
      <w:r w:rsidR="002A7FA1">
        <w:t>par. </w:t>
      </w:r>
      <w:r w:rsidR="00865E37" w:rsidRPr="00D10EF8">
        <w:t>24</w:t>
      </w:r>
      <w:r w:rsidR="00BF73AB">
        <w:t> ;</w:t>
      </w:r>
      <w:r w:rsidR="00865E37" w:rsidRPr="00D10EF8">
        <w:t xml:space="preserve"> A/HRC/36/37/Add.2, </w:t>
      </w:r>
      <w:r w:rsidR="002A7FA1">
        <w:t>par. </w:t>
      </w:r>
      <w:r w:rsidR="00865E37" w:rsidRPr="00D10EF8">
        <w:t>58.</w:t>
      </w:r>
    </w:p>
  </w:footnote>
  <w:footnote w:id="257">
    <w:p w14:paraId="435DEFE9" w14:textId="23C5609B" w:rsidR="00865E37" w:rsidRPr="00D10EF8" w:rsidRDefault="004C5B17" w:rsidP="005B4367">
      <w:pPr>
        <w:pStyle w:val="FootnoteText"/>
      </w:pPr>
      <w:r w:rsidRPr="00D10EF8">
        <w:tab/>
      </w:r>
      <w:r w:rsidRPr="00093AC5">
        <w:rPr>
          <w:rStyle w:val="FootnoteReference"/>
        </w:rPr>
        <w:footnoteRef/>
      </w:r>
      <w:r w:rsidRPr="00D10EF8">
        <w:tab/>
      </w:r>
      <w:hyperlink r:id="rId286" w:history="1">
        <w:r w:rsidR="00865E37" w:rsidRPr="007941E7">
          <w:rPr>
            <w:rStyle w:val="FollowedHyperlink"/>
          </w:rPr>
          <w:t>https://papers.ssrn.com/sol3/Delivery.cfm/SSRN_ID3832989_code249436.pdf?abstractid= 3832989&amp;mirid=1</w:t>
        </w:r>
      </w:hyperlink>
      <w:r w:rsidR="00865E37" w:rsidRPr="00D10EF8">
        <w:t xml:space="preserve">, </w:t>
      </w:r>
      <w:r w:rsidR="002A7FA1">
        <w:t>p. </w:t>
      </w:r>
      <w:r w:rsidR="00865E37" w:rsidRPr="00D10EF8">
        <w:t>37 et 38.</w:t>
      </w:r>
    </w:p>
  </w:footnote>
  <w:footnote w:id="258">
    <w:p w14:paraId="05C986B4" w14:textId="375028FD" w:rsidR="00865E37" w:rsidRPr="00DA5E7E" w:rsidRDefault="004C5B17"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Communication du NAACP Legal Defense and Educational Fund Inc. (LDF). Voir également L.</w:t>
      </w:r>
      <w:r w:rsidR="00606243">
        <w:rPr>
          <w:lang w:val="en-US"/>
        </w:rPr>
        <w:t> </w:t>
      </w:r>
      <w:r w:rsidR="00865E37" w:rsidRPr="00DA5E7E">
        <w:rPr>
          <w:lang w:val="en-US"/>
        </w:rPr>
        <w:t>Song Richardson, Cognitive Bias, Police Character and the Fourth Amendment, 44 ARIZ. ST. L.J. 267, 280 (2012)</w:t>
      </w:r>
      <w:r w:rsidR="00BF73AB">
        <w:rPr>
          <w:lang w:val="en-US"/>
        </w:rPr>
        <w:t> ;</w:t>
      </w:r>
      <w:r w:rsidR="00865E37" w:rsidRPr="00DA5E7E">
        <w:rPr>
          <w:lang w:val="en-US"/>
        </w:rPr>
        <w:t xml:space="preserve"> </w:t>
      </w:r>
      <w:hyperlink r:id="rId287" w:history="1">
        <w:r w:rsidR="00865E37" w:rsidRPr="004A035C">
          <w:rPr>
            <w:rStyle w:val="FollowedHyperlink"/>
            <w:lang w:val="en-US"/>
          </w:rPr>
          <w:t>https://www.apa.org/pubs/journals/releases/psp-pspi0000092.pdf</w:t>
        </w:r>
      </w:hyperlink>
      <w:r w:rsidR="00BF73AB">
        <w:rPr>
          <w:lang w:val="en-US"/>
        </w:rPr>
        <w:t> ;</w:t>
      </w:r>
      <w:r w:rsidR="00865E37" w:rsidRPr="00DA5E7E">
        <w:rPr>
          <w:lang w:val="en-US"/>
        </w:rPr>
        <w:t xml:space="preserve"> </w:t>
      </w:r>
      <w:hyperlink r:id="rId288" w:history="1">
        <w:r w:rsidR="00865E37" w:rsidRPr="004A035C">
          <w:rPr>
            <w:rStyle w:val="FollowedHyperlink"/>
            <w:lang w:val="en-US"/>
          </w:rPr>
          <w:t>https://www.enar-eu.org/IMG/pdf/shadowreport_afrophobia_final_with_corrections.pdf</w:t>
        </w:r>
      </w:hyperlink>
      <w:r w:rsidR="00865E37" w:rsidRPr="00DA5E7E">
        <w:rPr>
          <w:lang w:val="en-US"/>
        </w:rPr>
        <w:t>, p.36</w:t>
      </w:r>
      <w:r w:rsidR="00BF73AB">
        <w:rPr>
          <w:lang w:val="en-US"/>
        </w:rPr>
        <w:t> ;</w:t>
      </w:r>
      <w:r w:rsidR="00865E37" w:rsidRPr="00DA5E7E">
        <w:rPr>
          <w:lang w:val="en-US"/>
        </w:rPr>
        <w:t xml:space="preserve"> </w:t>
      </w:r>
      <w:hyperlink r:id="rId289" w:history="1">
        <w:r w:rsidR="00865E37" w:rsidRPr="004A035C">
          <w:rPr>
            <w:rStyle w:val="FollowedHyperlink"/>
            <w:lang w:val="en-US"/>
          </w:rPr>
          <w:t>https://www.runnymedetrust.org/uploads/publications/pdfs/EthnicProfiling-2010.pdf</w:t>
        </w:r>
      </w:hyperlink>
      <w:r w:rsidR="00865E37" w:rsidRPr="00DA5E7E">
        <w:rPr>
          <w:lang w:val="en-US"/>
        </w:rPr>
        <w:t>, p.9.</w:t>
      </w:r>
    </w:p>
  </w:footnote>
  <w:footnote w:id="259">
    <w:p w14:paraId="1F415EB1" w14:textId="3B4C9D89" w:rsidR="00865E37" w:rsidRPr="00DA5E7E" w:rsidRDefault="004C5B17" w:rsidP="005B4367">
      <w:pPr>
        <w:pStyle w:val="FootnoteText"/>
        <w:rPr>
          <w:lang w:val="en-US"/>
        </w:rPr>
      </w:pPr>
      <w:r w:rsidRPr="00DA5E7E">
        <w:rPr>
          <w:lang w:val="en-US"/>
        </w:rPr>
        <w:tab/>
      </w:r>
      <w:r w:rsidRPr="00093AC5">
        <w:rPr>
          <w:rStyle w:val="FootnoteReference"/>
        </w:rPr>
        <w:footnoteRef/>
      </w:r>
      <w:r w:rsidRPr="00DA5E7E">
        <w:rPr>
          <w:lang w:val="en-US"/>
        </w:rPr>
        <w:tab/>
      </w:r>
      <w:hyperlink r:id="rId290" w:history="1">
        <w:r w:rsidR="00865E37" w:rsidRPr="004A035C">
          <w:rPr>
            <w:rStyle w:val="FollowedHyperlink"/>
            <w:lang w:val="en-US"/>
          </w:rPr>
          <w:t>https://www.ilexaccionjuridica.org/wp-content/uploads/2020/06/Abuso-Policial-Final-web.pdf</w:t>
        </w:r>
      </w:hyperlink>
      <w:r w:rsidR="00865E37" w:rsidRPr="00DA5E7E">
        <w:rPr>
          <w:lang w:val="en-US"/>
        </w:rPr>
        <w:t xml:space="preserve">, </w:t>
      </w:r>
      <w:r w:rsidR="002A7FA1" w:rsidRPr="00DA5E7E">
        <w:rPr>
          <w:lang w:val="en-US"/>
        </w:rPr>
        <w:t>p. </w:t>
      </w:r>
      <w:r w:rsidR="00865E37" w:rsidRPr="00DA5E7E">
        <w:rPr>
          <w:lang w:val="en-US"/>
        </w:rPr>
        <w:t>43.</w:t>
      </w:r>
    </w:p>
  </w:footnote>
  <w:footnote w:id="260">
    <w:p w14:paraId="29DA61BA" w14:textId="516B7280" w:rsidR="00865E37" w:rsidRPr="00D10EF8" w:rsidRDefault="004C5B17" w:rsidP="005B4367">
      <w:pPr>
        <w:pStyle w:val="FootnoteText"/>
      </w:pPr>
      <w:r w:rsidRPr="00DA5E7E">
        <w:rPr>
          <w:lang w:val="en-US"/>
        </w:rPr>
        <w:tab/>
      </w:r>
      <w:r w:rsidRPr="00093AC5">
        <w:rPr>
          <w:rStyle w:val="FootnoteReference"/>
        </w:rPr>
        <w:footnoteRef/>
      </w:r>
      <w:r w:rsidRPr="00D10EF8">
        <w:tab/>
      </w:r>
      <w:r w:rsidR="00865E37" w:rsidRPr="00D10EF8">
        <w:t>Voir, par exemple, A/HRC/33/61/Add.2</w:t>
      </w:r>
      <w:r w:rsidR="00BF73AB">
        <w:t> ;</w:t>
      </w:r>
      <w:r w:rsidR="00865E37" w:rsidRPr="00D10EF8">
        <w:t xml:space="preserve"> A/HRC/33/61/Add.2, </w:t>
      </w:r>
      <w:r w:rsidR="002A7FA1">
        <w:t>par. </w:t>
      </w:r>
      <w:r w:rsidR="00865E37" w:rsidRPr="00D10EF8">
        <w:t>76</w:t>
      </w:r>
      <w:r w:rsidR="00BF73AB">
        <w:t> ;</w:t>
      </w:r>
      <w:r w:rsidR="00865E37" w:rsidRPr="00D10EF8">
        <w:t xml:space="preserve"> </w:t>
      </w:r>
      <w:hyperlink r:id="rId291" w:history="1">
        <w:r w:rsidR="00865E37" w:rsidRPr="007941E7">
          <w:rPr>
            <w:rStyle w:val="FollowedHyperlink"/>
          </w:rPr>
          <w:t>https://www.hrw.org/fr/</w:t>
        </w:r>
        <w:r w:rsidR="0015377F">
          <w:rPr>
            <w:rStyle w:val="FollowedHyperlink"/>
          </w:rPr>
          <w:t xml:space="preserve"> </w:t>
        </w:r>
        <w:r w:rsidR="00865E37" w:rsidRPr="007941E7">
          <w:rPr>
            <w:rStyle w:val="FollowedHyperlink"/>
          </w:rPr>
          <w:t>report/2020/06/18/ils-nous-parlent-comme-des-chiens/controles-de-police-abusifs-en-france</w:t>
        </w:r>
      </w:hyperlink>
      <w:r w:rsidR="00BF73AB">
        <w:rPr>
          <w:rStyle w:val="FollowedHyperlink"/>
        </w:rPr>
        <w:t> ;</w:t>
      </w:r>
      <w:r w:rsidR="00865E37" w:rsidRPr="007941E7">
        <w:rPr>
          <w:rStyle w:val="FollowedHyperlink"/>
        </w:rPr>
        <w:t xml:space="preserve"> </w:t>
      </w:r>
      <w:hyperlink r:id="rId292" w:history="1">
        <w:r w:rsidR="00865E37" w:rsidRPr="007941E7">
          <w:rPr>
            <w:rStyle w:val="FollowedHyperlink"/>
          </w:rPr>
          <w:t>www.runnymedetrust.org/uploads/Race%20and%20Policing%20v5.pdf</w:t>
        </w:r>
      </w:hyperlink>
      <w:r w:rsidR="00865E37" w:rsidRPr="00D10EF8">
        <w:t>.</w:t>
      </w:r>
    </w:p>
  </w:footnote>
  <w:footnote w:id="261">
    <w:p w14:paraId="39E3E39A" w14:textId="3B79C84A" w:rsidR="00865E37" w:rsidRPr="00D10EF8" w:rsidRDefault="004C5B17" w:rsidP="005B4367">
      <w:pPr>
        <w:pStyle w:val="FootnoteText"/>
      </w:pPr>
      <w:r w:rsidRPr="00D10EF8">
        <w:tab/>
      </w:r>
      <w:r w:rsidRPr="00093AC5">
        <w:rPr>
          <w:rStyle w:val="FootnoteReference"/>
        </w:rPr>
        <w:footnoteRef/>
      </w:r>
      <w:r w:rsidRPr="00D10EF8">
        <w:tab/>
      </w:r>
      <w:r w:rsidR="00865E37" w:rsidRPr="00D10EF8">
        <w:t>Communications de l</w:t>
      </w:r>
      <w:r w:rsidR="00F60EAA">
        <w:t>’</w:t>
      </w:r>
      <w:r w:rsidR="00865E37" w:rsidRPr="00D10EF8">
        <w:t>Action des Chrétiens pour l</w:t>
      </w:r>
      <w:r w:rsidR="00F60EAA">
        <w:t>’</w:t>
      </w:r>
      <w:r w:rsidR="00865E37" w:rsidRPr="00D10EF8">
        <w:t>Abolition de la Torture (ACAT), du Colectivo Justicia Racial et du Service international pour les droits de l</w:t>
      </w:r>
      <w:r w:rsidR="00F60EAA">
        <w:t>’</w:t>
      </w:r>
      <w:r w:rsidR="00865E37" w:rsidRPr="00D10EF8">
        <w:t>homme/du Comité Adama/de l</w:t>
      </w:r>
      <w:r w:rsidR="00F60EAA">
        <w:t>’</w:t>
      </w:r>
      <w:r w:rsidR="00865E37" w:rsidRPr="00D10EF8">
        <w:t>Association À Qui Le Tour</w:t>
      </w:r>
      <w:r w:rsidR="0015377F">
        <w:t> </w:t>
      </w:r>
      <w:r w:rsidR="00865E37" w:rsidRPr="00D10EF8">
        <w:t>?</w:t>
      </w:r>
      <w:r w:rsidR="00BF73AB">
        <w:t> ;</w:t>
      </w:r>
      <w:r w:rsidR="00865E37" w:rsidRPr="00D10EF8">
        <w:t xml:space="preserve"> </w:t>
      </w:r>
      <w:hyperlink r:id="rId293" w:history="1">
        <w:r w:rsidR="00865E37" w:rsidRPr="007941E7">
          <w:rPr>
            <w:rStyle w:val="FollowedHyperlink"/>
          </w:rPr>
          <w:t>https://www.tandfonline.com/doi/pdf/10.1080/07418820802119950</w:t>
        </w:r>
      </w:hyperlink>
      <w:r w:rsidR="00865E37" w:rsidRPr="00D10EF8">
        <w:t xml:space="preserve">, </w:t>
      </w:r>
      <w:r w:rsidR="002A7FA1">
        <w:t>p. </w:t>
      </w:r>
      <w:r w:rsidR="00865E37" w:rsidRPr="00D10EF8">
        <w:t>129</w:t>
      </w:r>
      <w:r w:rsidR="00BF73AB">
        <w:t> ;</w:t>
      </w:r>
      <w:r w:rsidR="00865E37" w:rsidRPr="00D10EF8">
        <w:t xml:space="preserve"> </w:t>
      </w:r>
      <w:hyperlink r:id="rId294" w:history="1">
        <w:r w:rsidR="00865E37" w:rsidRPr="007941E7">
          <w:rPr>
            <w:rStyle w:val="FollowedHyperlink"/>
          </w:rPr>
          <w:t>https://www.runnymedetrust.org/uploads/Race%20and%20Policing%20v5.pdf</w:t>
        </w:r>
      </w:hyperlink>
      <w:r w:rsidR="00865E37" w:rsidRPr="00D10EF8">
        <w:t xml:space="preserve">, </w:t>
      </w:r>
      <w:r w:rsidR="002A7FA1">
        <w:t>p. </w:t>
      </w:r>
      <w:r w:rsidR="00865E37" w:rsidRPr="00D10EF8">
        <w:t>8</w:t>
      </w:r>
      <w:r w:rsidR="00BF73AB">
        <w:t> ;</w:t>
      </w:r>
      <w:r w:rsidR="00865E37" w:rsidRPr="00D10EF8">
        <w:t xml:space="preserve"> </w:t>
      </w:r>
      <w:hyperlink r:id="rId295" w:history="1">
        <w:r w:rsidR="00865E37" w:rsidRPr="007941E7">
          <w:rPr>
            <w:rStyle w:val="FollowedHyperlink"/>
          </w:rPr>
          <w:t>https://www.cambridge.org/core/journals/law-and-social-inquiry/article/police-as-placeconsolidators-the-organizational-amplification-of-urban-inequality/D67D4B3CA01CA42DBC75CC10216160DE</w:t>
        </w:r>
      </w:hyperlink>
      <w:r w:rsidR="00865E37" w:rsidRPr="00D10EF8">
        <w:t xml:space="preserve">, </w:t>
      </w:r>
      <w:r w:rsidR="002A7FA1">
        <w:t>p. </w:t>
      </w:r>
      <w:r w:rsidR="00865E37" w:rsidRPr="00D10EF8">
        <w:t>19 et 20</w:t>
      </w:r>
      <w:r w:rsidR="00BF73AB">
        <w:t> ;</w:t>
      </w:r>
      <w:r w:rsidR="00865E37" w:rsidRPr="00D10EF8">
        <w:t xml:space="preserve"> </w:t>
      </w:r>
      <w:hyperlink r:id="rId296" w:history="1">
        <w:r w:rsidR="00865E37" w:rsidRPr="007941E7">
          <w:rPr>
            <w:rStyle w:val="FollowedHyperlink"/>
          </w:rPr>
          <w:t>https://www.hrw.org/fr/report/2020/06/18/ils-nous-parlent-comme-des-chiens/controles-de-police-abusifs-en-france</w:t>
        </w:r>
      </w:hyperlink>
      <w:r w:rsidR="00865E37" w:rsidRPr="00D10EF8">
        <w:t>.</w:t>
      </w:r>
    </w:p>
  </w:footnote>
  <w:footnote w:id="262">
    <w:p w14:paraId="769F6C46" w14:textId="65175B37" w:rsidR="00865E37" w:rsidRPr="00DA5E7E" w:rsidRDefault="004C5B17" w:rsidP="005B4367">
      <w:pPr>
        <w:pStyle w:val="FootnoteText"/>
        <w:rPr>
          <w:sz w:val="22"/>
          <w:szCs w:val="22"/>
          <w:lang w:val="en-US"/>
        </w:rPr>
      </w:pPr>
      <w:r w:rsidRPr="00D10EF8">
        <w:tab/>
      </w:r>
      <w:r w:rsidRPr="00093AC5">
        <w:rPr>
          <w:rStyle w:val="FootnoteReference"/>
        </w:rPr>
        <w:footnoteRef/>
      </w:r>
      <w:r w:rsidRPr="00DA5E7E">
        <w:rPr>
          <w:lang w:val="en-US"/>
        </w:rPr>
        <w:tab/>
      </w:r>
      <w:hyperlink r:id="rId297" w:history="1">
        <w:r w:rsidR="00865E37" w:rsidRPr="00023884">
          <w:rPr>
            <w:rStyle w:val="Hyperlink"/>
            <w:lang w:val="en-US"/>
          </w:rPr>
          <w:t>https://www.aclu.org/sites/default/files/field_document/jus14-warcomeshome-text-rel1.pdf</w:t>
        </w:r>
      </w:hyperlink>
      <w:r w:rsidR="00865E37" w:rsidRPr="00DA5E7E">
        <w:rPr>
          <w:lang w:val="en-US"/>
        </w:rPr>
        <w:t>, p.5</w:t>
      </w:r>
      <w:r w:rsidR="00BF73AB">
        <w:rPr>
          <w:lang w:val="en-US"/>
        </w:rPr>
        <w:t> ;</w:t>
      </w:r>
      <w:r w:rsidR="00865E37" w:rsidRPr="00DA5E7E">
        <w:rPr>
          <w:lang w:val="en-US"/>
        </w:rPr>
        <w:t xml:space="preserve"> </w:t>
      </w:r>
      <w:hyperlink r:id="rId298" w:history="1">
        <w:r w:rsidR="00865E37" w:rsidRPr="00023884">
          <w:rPr>
            <w:rStyle w:val="Hyperlink"/>
            <w:lang w:val="en-US"/>
          </w:rPr>
          <w:t>http://www.oas.org/en/iachr/reports/pdfs/PoliceUseOfForceAfrosUSA.pdf</w:t>
        </w:r>
      </w:hyperlink>
      <w:r w:rsidR="00BF73AB">
        <w:rPr>
          <w:lang w:val="en-US"/>
        </w:rPr>
        <w:t> ;</w:t>
      </w:r>
      <w:r w:rsidR="00865E37" w:rsidRPr="00DA5E7E">
        <w:rPr>
          <w:lang w:val="en-US"/>
        </w:rPr>
        <w:t xml:space="preserve"> </w:t>
      </w:r>
      <w:hyperlink r:id="rId299" w:history="1">
        <w:r w:rsidR="00865E37" w:rsidRPr="00023884">
          <w:rPr>
            <w:rStyle w:val="Hyperlink"/>
            <w:lang w:val="en-US"/>
          </w:rPr>
          <w:t>https://inquirycommission.org/website/wp-content/uploads/2021/04/Commission-Report-15-April.pdf</w:t>
        </w:r>
      </w:hyperlink>
      <w:r w:rsidR="00BF73AB">
        <w:rPr>
          <w:lang w:val="en-US"/>
        </w:rPr>
        <w:t> ;</w:t>
      </w:r>
      <w:r w:rsidR="00865E37" w:rsidRPr="00DA5E7E">
        <w:rPr>
          <w:lang w:val="en-US"/>
        </w:rPr>
        <w:t xml:space="preserve"> </w:t>
      </w:r>
      <w:hyperlink r:id="rId300" w:history="1">
        <w:r w:rsidR="00865E37" w:rsidRPr="00023884">
          <w:rPr>
            <w:rStyle w:val="Hyperlink"/>
            <w:lang w:val="en-US"/>
          </w:rPr>
          <w:t>http://www.oas.org/en/iachr/reports/pdfs/Brasil2021-en.pdf</w:t>
        </w:r>
      </w:hyperlink>
      <w:r w:rsidR="00865E37" w:rsidRPr="00DA5E7E">
        <w:rPr>
          <w:lang w:val="en-US"/>
        </w:rPr>
        <w:t xml:space="preserve">, </w:t>
      </w:r>
      <w:r w:rsidR="002A7FA1" w:rsidRPr="00DA5E7E">
        <w:rPr>
          <w:lang w:val="en-US"/>
        </w:rPr>
        <w:t>p. </w:t>
      </w:r>
      <w:r w:rsidR="00865E37" w:rsidRPr="00DA5E7E">
        <w:rPr>
          <w:lang w:val="en-US"/>
        </w:rPr>
        <w:t>12</w:t>
      </w:r>
      <w:r w:rsidR="00BF73AB">
        <w:rPr>
          <w:lang w:val="en-US"/>
        </w:rPr>
        <w:t> ;</w:t>
      </w:r>
      <w:r w:rsidR="00865E37" w:rsidRPr="00DA5E7E">
        <w:rPr>
          <w:lang w:val="en-US"/>
        </w:rPr>
        <w:t xml:space="preserve"> communications des organisations suivantes : University of Southern California Gould School of Law International Human Rights Clinic/Access Now, avec le concours de Foley Hoag LLP, HERE 4 Justice, Transitional Justice Institute Law School Ulster University/Mitchell Institute/The Centre for Documentary Research QUB.</w:t>
      </w:r>
    </w:p>
  </w:footnote>
  <w:footnote w:id="263">
    <w:p w14:paraId="5D09B7C2" w14:textId="3361B206" w:rsidR="00865E37" w:rsidRPr="00DA5E7E" w:rsidRDefault="004C5B17" w:rsidP="005B4367">
      <w:pPr>
        <w:pStyle w:val="FootnoteText"/>
        <w:rPr>
          <w:lang w:val="en-US"/>
        </w:rPr>
      </w:pPr>
      <w:r w:rsidRPr="00DA5E7E">
        <w:rPr>
          <w:lang w:val="en-US"/>
        </w:rPr>
        <w:tab/>
      </w:r>
      <w:r w:rsidRPr="00093AC5">
        <w:rPr>
          <w:rStyle w:val="FootnoteReference"/>
        </w:rPr>
        <w:footnoteRef/>
      </w:r>
      <w:r w:rsidRPr="00DA5E7E">
        <w:rPr>
          <w:lang w:val="en-US"/>
        </w:rPr>
        <w:tab/>
      </w:r>
      <w:hyperlink r:id="rId301" w:history="1">
        <w:r w:rsidR="00865E37" w:rsidRPr="004A035C">
          <w:rPr>
            <w:rStyle w:val="FollowedHyperlink"/>
            <w:lang w:val="en-US"/>
          </w:rPr>
          <w:t>https://inquirycommission.org/website/wp-content/uploads/2021/04/Commission-Report-15-April.pdf</w:t>
        </w:r>
      </w:hyperlink>
      <w:r w:rsidR="00865E37" w:rsidRPr="00DA5E7E">
        <w:rPr>
          <w:lang w:val="en-US"/>
        </w:rPr>
        <w:t xml:space="preserve">, </w:t>
      </w:r>
      <w:r w:rsidR="002A7FA1" w:rsidRPr="00DA5E7E">
        <w:rPr>
          <w:lang w:val="en-US"/>
        </w:rPr>
        <w:t>p. </w:t>
      </w:r>
      <w:r w:rsidR="00865E37" w:rsidRPr="00DA5E7E">
        <w:rPr>
          <w:lang w:val="en-US"/>
        </w:rPr>
        <w:t>37</w:t>
      </w:r>
      <w:r w:rsidR="00BF73AB">
        <w:rPr>
          <w:lang w:val="en-US"/>
        </w:rPr>
        <w:t> ;</w:t>
      </w:r>
      <w:r w:rsidR="00865E37" w:rsidRPr="00DA5E7E">
        <w:rPr>
          <w:lang w:val="en-US"/>
        </w:rPr>
        <w:t xml:space="preserve"> </w:t>
      </w:r>
      <w:hyperlink r:id="rId302" w:history="1">
        <w:r w:rsidR="00865E37" w:rsidRPr="004A035C">
          <w:rPr>
            <w:rStyle w:val="FollowedHyperlink"/>
            <w:lang w:val="en-US"/>
          </w:rPr>
          <w:t>http://www.oas.org/en/iachr/reports/pdfs/Brasil2021-en.pdf</w:t>
        </w:r>
      </w:hyperlink>
      <w:r w:rsidR="00865E37" w:rsidRPr="00DA5E7E">
        <w:rPr>
          <w:lang w:val="en-US"/>
        </w:rPr>
        <w:t xml:space="preserve">, </w:t>
      </w:r>
      <w:r w:rsidR="002A7FA1" w:rsidRPr="00DA5E7E">
        <w:rPr>
          <w:lang w:val="en-US"/>
        </w:rPr>
        <w:t>p. </w:t>
      </w:r>
      <w:r w:rsidR="00865E37" w:rsidRPr="00DA5E7E">
        <w:rPr>
          <w:lang w:val="en-US"/>
        </w:rPr>
        <w:t>118.</w:t>
      </w:r>
    </w:p>
  </w:footnote>
  <w:footnote w:id="264">
    <w:p w14:paraId="58DB70E8" w14:textId="40408CC3" w:rsidR="00865E37" w:rsidRPr="00DA5E7E" w:rsidRDefault="004C5B17" w:rsidP="005B4367">
      <w:pPr>
        <w:pStyle w:val="FootnoteText"/>
        <w:rPr>
          <w:u w:val="single"/>
          <w:lang w:val="en-US"/>
        </w:rPr>
      </w:pPr>
      <w:r w:rsidRPr="00DA5E7E">
        <w:rPr>
          <w:lang w:val="en-US"/>
        </w:rPr>
        <w:tab/>
      </w:r>
      <w:r w:rsidRPr="00093AC5">
        <w:rPr>
          <w:rStyle w:val="FootnoteReference"/>
        </w:rPr>
        <w:footnoteRef/>
      </w:r>
      <w:r w:rsidRPr="00DA5E7E">
        <w:rPr>
          <w:lang w:val="en-US"/>
        </w:rPr>
        <w:tab/>
      </w:r>
      <w:hyperlink r:id="rId303" w:history="1">
        <w:r w:rsidR="00865E37" w:rsidRPr="004A035C">
          <w:rPr>
            <w:rStyle w:val="FollowedHyperlink"/>
            <w:lang w:val="en-US"/>
          </w:rPr>
          <w:t>https://www.aclu.org/sites/default/files/field_document/jus14-warcomeshome-text-rel1.pdf</w:t>
        </w:r>
      </w:hyperlink>
      <w:r w:rsidR="00BF73AB">
        <w:rPr>
          <w:lang w:val="en-US"/>
        </w:rPr>
        <w:t> ;</w:t>
      </w:r>
      <w:r w:rsidR="00865E37" w:rsidRPr="00DA5E7E">
        <w:rPr>
          <w:lang w:val="en-US"/>
        </w:rPr>
        <w:t xml:space="preserve"> </w:t>
      </w:r>
      <w:r w:rsidR="00865E37" w:rsidRPr="004A035C">
        <w:rPr>
          <w:rStyle w:val="FollowedHyperlink"/>
          <w:lang w:val="en-US"/>
        </w:rPr>
        <w:t>http://www.oas.org/en/iachr/reports/pdfs/PoliceUseOfForceAfrosUSA.pdf</w:t>
      </w:r>
      <w:r w:rsidR="00865E37" w:rsidRPr="00DA5E7E">
        <w:rPr>
          <w:lang w:val="en-US"/>
        </w:rPr>
        <w:t>.</w:t>
      </w:r>
    </w:p>
  </w:footnote>
  <w:footnote w:id="265">
    <w:p w14:paraId="75874F8A" w14:textId="7F367DE2" w:rsidR="00865E37" w:rsidRPr="00D10EF8" w:rsidRDefault="00BE7404" w:rsidP="005B4367">
      <w:pPr>
        <w:pStyle w:val="FootnoteText"/>
      </w:pPr>
      <w:r w:rsidRPr="00DA5E7E">
        <w:rPr>
          <w:lang w:val="en-US"/>
        </w:rPr>
        <w:tab/>
      </w:r>
      <w:r w:rsidRPr="00093AC5">
        <w:rPr>
          <w:rStyle w:val="FootnoteReference"/>
        </w:rPr>
        <w:footnoteRef/>
      </w:r>
      <w:r w:rsidRPr="00E21F93">
        <w:tab/>
      </w:r>
      <w:hyperlink r:id="rId304" w:history="1">
        <w:r w:rsidR="00865E37" w:rsidRPr="00656E61">
          <w:rPr>
            <w:rStyle w:val="Hyperlink"/>
          </w:rPr>
          <w:t>http://www.oas.org/en/iachr/reports/pdfs/PoliceUseOfForceAfrosUSA.pdf</w:t>
        </w:r>
      </w:hyperlink>
      <w:r w:rsidR="00BF73AB">
        <w:t> ;</w:t>
      </w:r>
      <w:r w:rsidR="00865E37" w:rsidRPr="00D10EF8">
        <w:t xml:space="preserve"> </w:t>
      </w:r>
      <w:hyperlink r:id="rId305" w:history="1">
        <w:r w:rsidR="00865E37" w:rsidRPr="00656E61">
          <w:rPr>
            <w:rStyle w:val="Hyperlink"/>
          </w:rPr>
          <w:t>https://www.aclu.org/sites/default/files/field_document/jus14-warcomeshome-text-rel1.pdf</w:t>
        </w:r>
        <w:r w:rsidR="00BF73AB">
          <w:t> ;</w:t>
        </w:r>
        <w:r w:rsidR="00865E37" w:rsidRPr="00D10EF8">
          <w:t xml:space="preserve"> </w:t>
        </w:r>
      </w:hyperlink>
      <w:r w:rsidR="00865E37" w:rsidRPr="00D10EF8">
        <w:t>communications de l</w:t>
      </w:r>
      <w:r w:rsidR="00F60EAA">
        <w:t>’</w:t>
      </w:r>
      <w:r w:rsidR="00865E37" w:rsidRPr="00D10EF8">
        <w:t>American Civil Liberties Union (ACLU) et de HERE 4 Justice.</w:t>
      </w:r>
    </w:p>
  </w:footnote>
  <w:footnote w:id="266">
    <w:p w14:paraId="63036A79" w14:textId="0AD5B45E" w:rsidR="00865E37" w:rsidRPr="00DA5E7E" w:rsidRDefault="00BE7404" w:rsidP="005B4367">
      <w:pPr>
        <w:pStyle w:val="FootnoteText"/>
        <w:rPr>
          <w:lang w:val="en-US"/>
        </w:rPr>
      </w:pPr>
      <w:r w:rsidRPr="00E21F93">
        <w:tab/>
      </w:r>
      <w:r w:rsidRPr="00093AC5">
        <w:rPr>
          <w:rStyle w:val="FootnoteReference"/>
        </w:rPr>
        <w:footnoteRef/>
      </w:r>
      <w:r w:rsidRPr="00DA5E7E">
        <w:rPr>
          <w:lang w:val="en-US"/>
        </w:rPr>
        <w:tab/>
      </w:r>
      <w:r w:rsidR="00865E37" w:rsidRPr="00DA5E7E">
        <w:rPr>
          <w:lang w:val="en-US"/>
        </w:rPr>
        <w:t>Communications des organisations suivantes : Human Rights First, HERE 4 Justice, Transitional Justice Institute Law School Ulster University/Mitchell Institute/The Centre for Documentary Research QUB</w:t>
      </w:r>
      <w:r w:rsidR="00BF73AB">
        <w:rPr>
          <w:lang w:val="en-US"/>
        </w:rPr>
        <w:t> ;</w:t>
      </w:r>
      <w:r w:rsidR="00865E37" w:rsidRPr="00DA5E7E">
        <w:rPr>
          <w:lang w:val="en-US"/>
        </w:rPr>
        <w:t xml:space="preserve"> </w:t>
      </w:r>
      <w:r w:rsidR="00865E37" w:rsidRPr="004A035C">
        <w:rPr>
          <w:rStyle w:val="Hyperlink"/>
          <w:lang w:val="en-US"/>
        </w:rPr>
        <w:t>http://www.oas.org/en/iachr/reports/pdfs/PoliceUseOfForceAfrosUSA.pdf</w:t>
      </w:r>
      <w:r w:rsidR="00865E37" w:rsidRPr="00DA5E7E">
        <w:rPr>
          <w:lang w:val="en-US"/>
        </w:rPr>
        <w:t>.</w:t>
      </w:r>
    </w:p>
  </w:footnote>
  <w:footnote w:id="267">
    <w:p w14:paraId="1518A237" w14:textId="206117D2" w:rsidR="00865E37" w:rsidRPr="007811E0" w:rsidRDefault="00BE7404" w:rsidP="005B4367">
      <w:pPr>
        <w:pStyle w:val="FootnoteText"/>
        <w:rPr>
          <w:color w:val="0000FF"/>
          <w:u w:val="single"/>
          <w:lang w:val="en-US"/>
        </w:rPr>
      </w:pPr>
      <w:r w:rsidRPr="00DA5E7E">
        <w:rPr>
          <w:lang w:val="en-US"/>
        </w:rPr>
        <w:tab/>
      </w:r>
      <w:r w:rsidRPr="00093AC5">
        <w:rPr>
          <w:rStyle w:val="FootnoteReference"/>
        </w:rPr>
        <w:footnoteRef/>
      </w:r>
      <w:r w:rsidRPr="007811E0">
        <w:rPr>
          <w:lang w:val="en-US"/>
        </w:rPr>
        <w:tab/>
      </w:r>
      <w:hyperlink r:id="rId306" w:history="1">
        <w:r w:rsidR="00865E37" w:rsidRPr="007811E0">
          <w:rPr>
            <w:rStyle w:val="Hyperlink"/>
            <w:lang w:val="en-US"/>
          </w:rPr>
          <w:t>http://www.oas.org/en/iachr/media_center/PReleases/2018/271.asp</w:t>
        </w:r>
      </w:hyperlink>
      <w:r w:rsidR="00BF73AB" w:rsidRPr="007811E0">
        <w:rPr>
          <w:lang w:val="en-US"/>
        </w:rPr>
        <w:t> ;</w:t>
      </w:r>
      <w:r w:rsidR="00865E37" w:rsidRPr="007811E0">
        <w:rPr>
          <w:u w:val="single"/>
          <w:lang w:val="en-US"/>
        </w:rPr>
        <w:t xml:space="preserve"> </w:t>
      </w:r>
      <w:hyperlink r:id="rId307" w:history="1">
        <w:r w:rsidR="00865E37" w:rsidRPr="007811E0">
          <w:rPr>
            <w:rStyle w:val="Hyperlink"/>
            <w:lang w:val="en-US"/>
          </w:rPr>
          <w:t>http://www.oas.org/</w:t>
        </w:r>
        <w:r w:rsidR="007811E0" w:rsidRPr="007811E0">
          <w:rPr>
            <w:rStyle w:val="Hyperlink"/>
            <w:lang w:val="en-US"/>
          </w:rPr>
          <w:t xml:space="preserve"> </w:t>
        </w:r>
        <w:r w:rsidR="00865E37" w:rsidRPr="007811E0">
          <w:rPr>
            <w:rStyle w:val="Hyperlink"/>
            <w:lang w:val="en-US"/>
          </w:rPr>
          <w:t>en/iachr/media_center/PReleases/2018/047.asp</w:t>
        </w:r>
      </w:hyperlink>
      <w:r w:rsidR="00BF73AB" w:rsidRPr="007811E0">
        <w:rPr>
          <w:lang w:val="en-US"/>
        </w:rPr>
        <w:t> ;</w:t>
      </w:r>
      <w:r w:rsidR="00865E37" w:rsidRPr="007811E0">
        <w:rPr>
          <w:color w:val="0000FF"/>
          <w:u w:val="single"/>
          <w:lang w:val="en-US"/>
        </w:rPr>
        <w:t xml:space="preserve"> </w:t>
      </w:r>
      <w:hyperlink r:id="rId308" w:history="1">
        <w:r w:rsidR="00865E37" w:rsidRPr="007811E0">
          <w:rPr>
            <w:rStyle w:val="Hyperlink"/>
            <w:lang w:val="en-US"/>
          </w:rPr>
          <w:t>https://www.ohchr.org/EN/NewsEvents/Pages/</w:t>
        </w:r>
        <w:r w:rsidR="007811E0" w:rsidRPr="007811E0">
          <w:rPr>
            <w:rStyle w:val="Hyperlink"/>
            <w:lang w:val="en-US"/>
          </w:rPr>
          <w:t xml:space="preserve"> </w:t>
        </w:r>
        <w:r w:rsidR="00865E37" w:rsidRPr="007811E0">
          <w:rPr>
            <w:rStyle w:val="Hyperlink"/>
            <w:lang w:val="en-US"/>
          </w:rPr>
          <w:t>DisplayNews.aspx?NewsID=23942&amp;LangID=E</w:t>
        </w:r>
      </w:hyperlink>
      <w:r w:rsidR="00BF73AB" w:rsidRPr="007811E0">
        <w:rPr>
          <w:lang w:val="en-US"/>
        </w:rPr>
        <w:t> ;</w:t>
      </w:r>
      <w:r w:rsidR="00865E37" w:rsidRPr="007811E0">
        <w:rPr>
          <w:lang w:val="en-US"/>
        </w:rPr>
        <w:t xml:space="preserve"> A/HRC/26/36/Add.1.</w:t>
      </w:r>
    </w:p>
  </w:footnote>
  <w:footnote w:id="268">
    <w:p w14:paraId="6D13CDED" w14:textId="5E68B09C" w:rsidR="00865E37" w:rsidRPr="00DA5E7E" w:rsidRDefault="00BE7404" w:rsidP="005B4367">
      <w:pPr>
        <w:pStyle w:val="FootnoteText"/>
        <w:rPr>
          <w:u w:val="single"/>
          <w:lang w:val="en-US"/>
        </w:rPr>
      </w:pPr>
      <w:r w:rsidRPr="007811E0">
        <w:rPr>
          <w:lang w:val="en-US"/>
        </w:rPr>
        <w:tab/>
      </w:r>
      <w:r w:rsidRPr="00093AC5">
        <w:rPr>
          <w:rStyle w:val="FootnoteReference"/>
        </w:rPr>
        <w:footnoteRef/>
      </w:r>
      <w:r w:rsidRPr="00DA5E7E">
        <w:rPr>
          <w:lang w:val="en-US"/>
        </w:rPr>
        <w:tab/>
      </w:r>
      <w:hyperlink r:id="rId309" w:history="1">
        <w:r w:rsidR="00865E37" w:rsidRPr="004A035C">
          <w:rPr>
            <w:rStyle w:val="Hyperlink"/>
            <w:lang w:val="en-US"/>
          </w:rPr>
          <w:t>http://www.oas.org/en/iachr/reports/pdfs/PoliceUseOfForceAfrosUSA.pdf</w:t>
        </w:r>
      </w:hyperlink>
      <w:r w:rsidR="00865E37" w:rsidRPr="00DA5E7E">
        <w:rPr>
          <w:lang w:val="en-US"/>
        </w:rPr>
        <w:t>.</w:t>
      </w:r>
    </w:p>
  </w:footnote>
  <w:footnote w:id="269">
    <w:p w14:paraId="2BCFF4E9" w14:textId="41CF628C" w:rsidR="00865E37" w:rsidRPr="00D10EF8" w:rsidRDefault="00BE7404" w:rsidP="005B4367">
      <w:pPr>
        <w:pStyle w:val="FootnoteText"/>
      </w:pPr>
      <w:r w:rsidRPr="00DA5E7E">
        <w:rPr>
          <w:lang w:val="en-US"/>
        </w:rPr>
        <w:tab/>
      </w:r>
      <w:r w:rsidRPr="00093AC5">
        <w:rPr>
          <w:rStyle w:val="FootnoteReference"/>
        </w:rPr>
        <w:footnoteRef/>
      </w:r>
      <w:r w:rsidRPr="00E21F93">
        <w:tab/>
      </w:r>
      <w:r w:rsidR="00865E37" w:rsidRPr="00D10EF8">
        <w:t xml:space="preserve">CERD/C/GC/36, </w:t>
      </w:r>
      <w:r w:rsidR="002A7FA1">
        <w:t>par. </w:t>
      </w:r>
      <w:r w:rsidR="00865E37" w:rsidRPr="00D10EF8">
        <w:t>12.</w:t>
      </w:r>
    </w:p>
  </w:footnote>
  <w:footnote w:id="270">
    <w:p w14:paraId="63F35334" w14:textId="2D572380" w:rsidR="00865E37" w:rsidRPr="00656E61" w:rsidRDefault="00BE7404" w:rsidP="005B4367">
      <w:pPr>
        <w:pStyle w:val="FootnoteText"/>
        <w:rPr>
          <w:lang w:val="en-US"/>
        </w:rPr>
      </w:pPr>
      <w:r w:rsidRPr="00E21F93">
        <w:tab/>
      </w:r>
      <w:r w:rsidRPr="00093AC5">
        <w:rPr>
          <w:rStyle w:val="FootnoteReference"/>
        </w:rPr>
        <w:footnoteRef/>
      </w:r>
      <w:r w:rsidRPr="00E21F93">
        <w:tab/>
      </w:r>
      <w:r w:rsidR="00865E37" w:rsidRPr="00D10EF8">
        <w:t>Les méthodes de police prédictive s</w:t>
      </w:r>
      <w:r w:rsidR="00F60EAA">
        <w:t>’</w:t>
      </w:r>
      <w:r w:rsidR="00865E37" w:rsidRPr="00D10EF8">
        <w:t>appuient sur des données antérieures pour prédire les événements futurs éventuels. Comme l</w:t>
      </w:r>
      <w:r w:rsidR="00F60EAA">
        <w:t>’</w:t>
      </w:r>
      <w:r w:rsidR="00865E37" w:rsidRPr="00D10EF8">
        <w:t xml:space="preserve">a indiqué </w:t>
      </w:r>
      <w:r w:rsidR="00865E37">
        <w:t>l</w:t>
      </w:r>
      <w:r w:rsidR="00865E37" w:rsidRPr="00D10EF8">
        <w:t>e Comité sur l</w:t>
      </w:r>
      <w:r w:rsidR="00F60EAA">
        <w:t>’</w:t>
      </w:r>
      <w:r w:rsidR="00865E37" w:rsidRPr="00D10EF8">
        <w:t>élimination de la discrimination raciale, par exemple, les données antérieures sur les arrestations dans tel ou tel quartier peuvent avoir été établies à partir de pratiques policières entachées de préjugés raciaux. Si on charge ces données dans un modèle de police prédictive, on risque en les utilisant d</w:t>
      </w:r>
      <w:r w:rsidR="00F60EAA">
        <w:t>’</w:t>
      </w:r>
      <w:r w:rsidR="00865E37" w:rsidRPr="00D10EF8">
        <w:t>orienter les prédictions futures en fonction des mêmes préjugés, ce qui peut aboutir à un interventionnisme policier excessif dans le même quartier, et par contrecoup à davantage d</w:t>
      </w:r>
      <w:r w:rsidR="00F60EAA">
        <w:t>’</w:t>
      </w:r>
      <w:r w:rsidR="00865E37" w:rsidRPr="00D10EF8">
        <w:t xml:space="preserve">arrestations dans ledit quartier, ce qui crée une boucle de rétroaction dangereuse. </w:t>
      </w:r>
      <w:r w:rsidR="00865E37" w:rsidRPr="00656E61">
        <w:rPr>
          <w:lang w:val="en-US"/>
        </w:rPr>
        <w:t xml:space="preserve">CERD/C/GC/36, </w:t>
      </w:r>
      <w:r w:rsidR="002A7FA1">
        <w:rPr>
          <w:lang w:val="en-US"/>
        </w:rPr>
        <w:t>par. </w:t>
      </w:r>
      <w:r w:rsidR="00865E37" w:rsidRPr="00656E61">
        <w:rPr>
          <w:lang w:val="en-US"/>
        </w:rPr>
        <w:t>33</w:t>
      </w:r>
      <w:r w:rsidR="00BF73AB">
        <w:rPr>
          <w:lang w:val="en-US"/>
        </w:rPr>
        <w:t> ;</w:t>
      </w:r>
      <w:r w:rsidR="00865E37" w:rsidRPr="00656E61">
        <w:rPr>
          <w:lang w:val="en-US"/>
        </w:rPr>
        <w:t xml:space="preserve"> A/HRC/44/57, </w:t>
      </w:r>
      <w:r w:rsidR="002A7FA1">
        <w:rPr>
          <w:lang w:val="en-US"/>
        </w:rPr>
        <w:t>par. </w:t>
      </w:r>
      <w:r w:rsidR="00865E37" w:rsidRPr="00656E61">
        <w:rPr>
          <w:lang w:val="en-US"/>
        </w:rPr>
        <w:t>36 et 37</w:t>
      </w:r>
      <w:r w:rsidR="00BF73AB">
        <w:rPr>
          <w:lang w:val="en-US"/>
        </w:rPr>
        <w:t> ;</w:t>
      </w:r>
      <w:r w:rsidR="00865E37" w:rsidRPr="00656E61">
        <w:rPr>
          <w:lang w:val="en-US"/>
        </w:rPr>
        <w:t xml:space="preserve"> </w:t>
      </w:r>
      <w:hyperlink r:id="rId310" w:history="1">
        <w:r w:rsidR="00865E37" w:rsidRPr="00656E61">
          <w:rPr>
            <w:rStyle w:val="Hyperlink"/>
            <w:lang w:val="en-US"/>
          </w:rPr>
          <w:t>https://www.nyulawreview.org/</w:t>
        </w:r>
        <w:r w:rsidR="00656E61" w:rsidRPr="00656E61">
          <w:rPr>
            <w:rStyle w:val="Hyperlink"/>
            <w:lang w:val="en-US"/>
          </w:rPr>
          <w:t xml:space="preserve"> </w:t>
        </w:r>
        <w:r w:rsidR="00865E37" w:rsidRPr="00656E61">
          <w:rPr>
            <w:rStyle w:val="Hyperlink"/>
            <w:lang w:val="en-US"/>
          </w:rPr>
          <w:t>online-features/dirty-data-bad-predictions-how-civil-rights-violations-impact-police-data-predictive-policing-systems-and-justice/</w:t>
        </w:r>
      </w:hyperlink>
      <w:r w:rsidR="00865E37" w:rsidRPr="00656E61">
        <w:rPr>
          <w:lang w:val="en-US"/>
        </w:rPr>
        <w:t>.</w:t>
      </w:r>
    </w:p>
  </w:footnote>
  <w:footnote w:id="271">
    <w:p w14:paraId="08CBD373" w14:textId="0B461BFA" w:rsidR="00865E37" w:rsidRPr="00D10EF8" w:rsidRDefault="00BE7404" w:rsidP="005B4367">
      <w:pPr>
        <w:pStyle w:val="FootnoteText"/>
      </w:pPr>
      <w:r w:rsidRPr="00DA5E7E">
        <w:rPr>
          <w:lang w:val="en-US"/>
        </w:rPr>
        <w:tab/>
      </w:r>
      <w:r w:rsidRPr="00093AC5">
        <w:rPr>
          <w:rStyle w:val="FootnoteReference"/>
        </w:rPr>
        <w:footnoteRef/>
      </w:r>
      <w:r w:rsidRPr="00E21F93">
        <w:tab/>
      </w:r>
      <w:r w:rsidR="00865E37" w:rsidRPr="00D10EF8">
        <w:t xml:space="preserve">CERD/C/GC/36 </w:t>
      </w:r>
      <w:r w:rsidR="002A7FA1">
        <w:t>par. </w:t>
      </w:r>
      <w:r w:rsidR="00865E37" w:rsidRPr="00D10EF8">
        <w:t>35</w:t>
      </w:r>
      <w:r w:rsidR="00BF73AB">
        <w:t> ;</w:t>
      </w:r>
      <w:r w:rsidR="00865E37" w:rsidRPr="00D10EF8">
        <w:t xml:space="preserve"> A/HRC/41/35.</w:t>
      </w:r>
    </w:p>
  </w:footnote>
  <w:footnote w:id="272">
    <w:p w14:paraId="0E7BA94A" w14:textId="7769A368" w:rsidR="00865E37" w:rsidRPr="00D10EF8" w:rsidRDefault="00BE7404" w:rsidP="005B4367">
      <w:pPr>
        <w:pStyle w:val="FootnoteText"/>
      </w:pPr>
      <w:r w:rsidRPr="00E21F93">
        <w:tab/>
      </w:r>
      <w:r w:rsidRPr="00093AC5">
        <w:rPr>
          <w:rStyle w:val="FootnoteReference"/>
        </w:rPr>
        <w:footnoteRef/>
      </w:r>
      <w:r w:rsidRPr="00E21F93">
        <w:tab/>
      </w:r>
      <w:r w:rsidR="00865E37" w:rsidRPr="00D10EF8">
        <w:t xml:space="preserve">CERD/C/GC/36 </w:t>
      </w:r>
      <w:r w:rsidR="002A7FA1">
        <w:t>par. </w:t>
      </w:r>
      <w:r w:rsidR="00865E37" w:rsidRPr="00D10EF8">
        <w:t>36.</w:t>
      </w:r>
    </w:p>
  </w:footnote>
  <w:footnote w:id="273">
    <w:p w14:paraId="391A2C70" w14:textId="41CE5057" w:rsidR="00865E37" w:rsidRPr="00D10EF8" w:rsidRDefault="00BE7404" w:rsidP="005B4367">
      <w:pPr>
        <w:pStyle w:val="FootnoteText"/>
      </w:pPr>
      <w:r w:rsidRPr="00E21F93">
        <w:tab/>
      </w:r>
      <w:r w:rsidRPr="00093AC5">
        <w:rPr>
          <w:rStyle w:val="FootnoteReference"/>
        </w:rPr>
        <w:footnoteRef/>
      </w:r>
      <w:r w:rsidRPr="00E21F93">
        <w:tab/>
      </w:r>
      <w:r w:rsidR="00865E37" w:rsidRPr="00D10EF8">
        <w:t xml:space="preserve">A/HRC/27/68, </w:t>
      </w:r>
      <w:r w:rsidR="002A7FA1">
        <w:t>par. </w:t>
      </w:r>
      <w:r w:rsidR="00865E37" w:rsidRPr="00D10EF8">
        <w:t>54 et 55.</w:t>
      </w:r>
    </w:p>
  </w:footnote>
  <w:footnote w:id="274">
    <w:p w14:paraId="3C279323" w14:textId="57087D2B" w:rsidR="00865E37" w:rsidRPr="007F2588" w:rsidRDefault="00F42889" w:rsidP="005B4367">
      <w:pPr>
        <w:pStyle w:val="FootnoteText"/>
        <w:rPr>
          <w:lang w:val="fr-CA"/>
        </w:rPr>
      </w:pPr>
      <w:r w:rsidRPr="00E21F93">
        <w:tab/>
      </w:r>
      <w:r w:rsidRPr="00093AC5">
        <w:rPr>
          <w:rStyle w:val="FootnoteReference"/>
        </w:rPr>
        <w:footnoteRef/>
      </w:r>
      <w:r w:rsidRPr="00E21F93">
        <w:tab/>
      </w:r>
      <w:r w:rsidR="00865E37" w:rsidRPr="00DF4EA0">
        <w:t>CERD/C/GC/34.</w:t>
      </w:r>
    </w:p>
  </w:footnote>
  <w:footnote w:id="275">
    <w:p w14:paraId="5544865F" w14:textId="0A389079" w:rsidR="00865E37" w:rsidRPr="00D10EF8" w:rsidRDefault="00F42889" w:rsidP="005B4367">
      <w:pPr>
        <w:pStyle w:val="FootnoteText"/>
      </w:pPr>
      <w:r w:rsidRPr="00E21F93">
        <w:tab/>
      </w:r>
      <w:r w:rsidRPr="00093AC5">
        <w:rPr>
          <w:rStyle w:val="FootnoteReference"/>
        </w:rPr>
        <w:footnoteRef/>
      </w:r>
      <w:r w:rsidRPr="00E21F93">
        <w:tab/>
      </w:r>
      <w:r w:rsidR="00865E37" w:rsidRPr="00D10EF8">
        <w:t xml:space="preserve">A/HRC/31/56/Add.1, </w:t>
      </w:r>
      <w:r w:rsidR="002A7FA1">
        <w:t>par. </w:t>
      </w:r>
      <w:r w:rsidR="00865E37" w:rsidRPr="00D10EF8">
        <w:t>53</w:t>
      </w:r>
      <w:r w:rsidR="00BF73AB">
        <w:t> ;</w:t>
      </w:r>
      <w:r w:rsidR="00865E37" w:rsidRPr="00D10EF8">
        <w:t xml:space="preserve"> A/HRC/27/68/Add.1, </w:t>
      </w:r>
      <w:r w:rsidR="002A7FA1">
        <w:t>par. </w:t>
      </w:r>
      <w:r w:rsidR="00865E37" w:rsidRPr="00D10EF8">
        <w:t>68.</w:t>
      </w:r>
    </w:p>
  </w:footnote>
  <w:footnote w:id="276">
    <w:p w14:paraId="40E3D07D" w14:textId="4505E088" w:rsidR="00865E37" w:rsidRPr="00D10EF8" w:rsidRDefault="00F42889" w:rsidP="005B4367">
      <w:pPr>
        <w:pStyle w:val="FootnoteText"/>
      </w:pPr>
      <w:r w:rsidRPr="00E21F93">
        <w:tab/>
      </w:r>
      <w:r w:rsidRPr="00093AC5">
        <w:rPr>
          <w:rStyle w:val="FootnoteReference"/>
        </w:rPr>
        <w:footnoteRef/>
      </w:r>
      <w:r w:rsidRPr="00E21F93">
        <w:tab/>
      </w:r>
      <w:r w:rsidR="00865E37" w:rsidRPr="00D10EF8">
        <w:t>Communication d</w:t>
      </w:r>
      <w:r w:rsidR="00865E37">
        <w:t>e la</w:t>
      </w:r>
      <w:r w:rsidR="00865E37" w:rsidRPr="00D10EF8">
        <w:t xml:space="preserve"> Commission interaméricaine des droits de l</w:t>
      </w:r>
      <w:r w:rsidR="00F60EAA">
        <w:t>’</w:t>
      </w:r>
      <w:r w:rsidR="00865E37" w:rsidRPr="00D10EF8">
        <w:t>homme.</w:t>
      </w:r>
    </w:p>
  </w:footnote>
  <w:footnote w:id="277">
    <w:p w14:paraId="7EC22D6A" w14:textId="7AAB0EAC" w:rsidR="00865E37" w:rsidRPr="00D10EF8" w:rsidRDefault="00F42889" w:rsidP="005B4367">
      <w:pPr>
        <w:pStyle w:val="FootnoteText"/>
      </w:pPr>
      <w:r w:rsidRPr="00E21F93">
        <w:tab/>
      </w:r>
      <w:r w:rsidRPr="00093AC5">
        <w:rPr>
          <w:rStyle w:val="FootnoteReference"/>
        </w:rPr>
        <w:footnoteRef/>
      </w:r>
      <w:r w:rsidRPr="00E21F93">
        <w:tab/>
      </w:r>
      <w:r w:rsidR="00865E37" w:rsidRPr="00D10EF8">
        <w:t>Communication d</w:t>
      </w:r>
      <w:r w:rsidR="00865E37">
        <w:t>e la</w:t>
      </w:r>
      <w:r w:rsidR="00865E37" w:rsidRPr="00D10EF8">
        <w:t xml:space="preserve"> Commission interaméricaine des droits de l</w:t>
      </w:r>
      <w:r w:rsidR="00F60EAA">
        <w:t>’</w:t>
      </w:r>
      <w:r w:rsidR="00865E37" w:rsidRPr="00D10EF8">
        <w:t>homme.</w:t>
      </w:r>
    </w:p>
  </w:footnote>
  <w:footnote w:id="278">
    <w:p w14:paraId="7A552BD2" w14:textId="5E96D452" w:rsidR="00865E37" w:rsidRPr="00D10EF8" w:rsidRDefault="00F42889" w:rsidP="005B4367">
      <w:pPr>
        <w:pStyle w:val="FootnoteText"/>
      </w:pPr>
      <w:r w:rsidRPr="00E21F93">
        <w:tab/>
      </w:r>
      <w:r w:rsidRPr="00093AC5">
        <w:rPr>
          <w:rStyle w:val="FootnoteReference"/>
        </w:rPr>
        <w:footnoteRef/>
      </w:r>
      <w:r w:rsidRPr="00E21F93">
        <w:tab/>
      </w:r>
      <w:r w:rsidR="00865E37" w:rsidRPr="00D10EF8">
        <w:t xml:space="preserve">A/HRC/33/61/Add.1, </w:t>
      </w:r>
      <w:r w:rsidR="002A7FA1">
        <w:t>par. </w:t>
      </w:r>
      <w:r w:rsidR="00865E37" w:rsidRPr="00D10EF8">
        <w:t>51.</w:t>
      </w:r>
    </w:p>
  </w:footnote>
  <w:footnote w:id="279">
    <w:p w14:paraId="307F2248" w14:textId="74B5D9BC" w:rsidR="00865E37" w:rsidRPr="00D10EF8" w:rsidRDefault="00F42889" w:rsidP="005B4367">
      <w:pPr>
        <w:pStyle w:val="FootnoteText"/>
      </w:pPr>
      <w:r w:rsidRPr="00E21F93">
        <w:tab/>
      </w:r>
      <w:r w:rsidRPr="00093AC5">
        <w:rPr>
          <w:rStyle w:val="FootnoteReference"/>
        </w:rPr>
        <w:footnoteRef/>
      </w:r>
      <w:r w:rsidRPr="00E21F93">
        <w:tab/>
      </w:r>
      <w:r w:rsidR="00865E37" w:rsidRPr="00D10EF8">
        <w:t xml:space="preserve">A/HRC/21/60/Add.1, </w:t>
      </w:r>
      <w:r w:rsidR="002A7FA1">
        <w:t>par. </w:t>
      </w:r>
      <w:r w:rsidR="00865E37" w:rsidRPr="00D10EF8">
        <w:t>71.</w:t>
      </w:r>
    </w:p>
  </w:footnote>
  <w:footnote w:id="280">
    <w:p w14:paraId="1852FBE6" w14:textId="784BDC6F" w:rsidR="00865E37" w:rsidRPr="00D10EF8" w:rsidRDefault="00F42889" w:rsidP="005B4367">
      <w:pPr>
        <w:pStyle w:val="FootnoteText"/>
      </w:pPr>
      <w:r w:rsidRPr="00E21F93">
        <w:tab/>
      </w:r>
      <w:r w:rsidRPr="00093AC5">
        <w:rPr>
          <w:rStyle w:val="FootnoteReference"/>
        </w:rPr>
        <w:footnoteRef/>
      </w:r>
      <w:r w:rsidRPr="00E21F93">
        <w:tab/>
      </w:r>
      <w:hyperlink r:id="rId311" w:history="1">
        <w:r w:rsidR="00865E37" w:rsidRPr="00B8237E">
          <w:rPr>
            <w:rStyle w:val="FollowedHyperlink"/>
          </w:rPr>
          <w:t>https://www.oas.org/en/iachr/reports/pdfs/Brasil2021-en.pdf</w:t>
        </w:r>
      </w:hyperlink>
      <w:r w:rsidR="00865E37" w:rsidRPr="00D10EF8">
        <w:t xml:space="preserve">, </w:t>
      </w:r>
      <w:r w:rsidR="002A7FA1">
        <w:t>par. </w:t>
      </w:r>
      <w:r w:rsidR="00865E37" w:rsidRPr="00D10EF8">
        <w:t>155 et 22.</w:t>
      </w:r>
    </w:p>
  </w:footnote>
  <w:footnote w:id="281">
    <w:p w14:paraId="429674EE" w14:textId="3BDCAFFB" w:rsidR="00865E37" w:rsidRPr="00DA5E7E" w:rsidRDefault="00F42889" w:rsidP="005B4367">
      <w:pPr>
        <w:pStyle w:val="FootnoteText"/>
        <w:rPr>
          <w:lang w:val="en-US"/>
        </w:rPr>
      </w:pPr>
      <w:r w:rsidRPr="00E21F93">
        <w:tab/>
      </w:r>
      <w:r w:rsidRPr="00093AC5">
        <w:rPr>
          <w:rStyle w:val="FootnoteReference"/>
        </w:rPr>
        <w:footnoteRef/>
      </w:r>
      <w:r w:rsidRPr="00DA5E7E">
        <w:rPr>
          <w:lang w:val="en-US"/>
        </w:rPr>
        <w:tab/>
      </w:r>
      <w:r w:rsidR="00865E37" w:rsidRPr="00DA5E7E">
        <w:rPr>
          <w:lang w:val="en-US"/>
        </w:rPr>
        <w:t xml:space="preserve">A/HRC/27/68/Add.1, </w:t>
      </w:r>
      <w:r w:rsidR="002A7FA1" w:rsidRPr="00DA5E7E">
        <w:rPr>
          <w:lang w:val="en-US"/>
        </w:rPr>
        <w:t>par. </w:t>
      </w:r>
      <w:r w:rsidR="00865E37" w:rsidRPr="00DA5E7E">
        <w:rPr>
          <w:lang w:val="en-US"/>
        </w:rPr>
        <w:t>67.</w:t>
      </w:r>
    </w:p>
  </w:footnote>
  <w:footnote w:id="282">
    <w:p w14:paraId="2110A827" w14:textId="2473151D" w:rsidR="00865E37" w:rsidRPr="00DA5E7E" w:rsidRDefault="00F42889" w:rsidP="005B4367">
      <w:pPr>
        <w:pStyle w:val="FootnoteText"/>
        <w:rPr>
          <w:lang w:val="en-US"/>
        </w:rPr>
      </w:pPr>
      <w:r w:rsidRPr="00DA5E7E">
        <w:rPr>
          <w:lang w:val="en-US"/>
        </w:rPr>
        <w:tab/>
      </w:r>
      <w:r w:rsidRPr="00093AC5">
        <w:rPr>
          <w:rStyle w:val="FootnoteReference"/>
        </w:rPr>
        <w:footnoteRef/>
      </w:r>
      <w:r w:rsidRPr="00DA5E7E">
        <w:rPr>
          <w:lang w:val="en-US"/>
        </w:rPr>
        <w:tab/>
      </w:r>
      <w:hyperlink r:id="rId312" w:history="1">
        <w:r w:rsidR="00865E37" w:rsidRPr="004A035C">
          <w:rPr>
            <w:rStyle w:val="FollowedHyperlink"/>
            <w:lang w:val="en-US"/>
          </w:rPr>
          <w:t>https://www.ipea.gov.br/portal/images/stories/PDFs/relatoriopesquisa/150325_relatorio_aplicacao_ penas.pdf</w:t>
        </w:r>
      </w:hyperlink>
      <w:r w:rsidR="00865E37" w:rsidRPr="00DA5E7E">
        <w:rPr>
          <w:lang w:val="en-US"/>
        </w:rPr>
        <w:t>.</w:t>
      </w:r>
    </w:p>
  </w:footnote>
  <w:footnote w:id="283">
    <w:p w14:paraId="170FA3E8" w14:textId="468DF872" w:rsidR="00865E37" w:rsidRPr="00D10EF8" w:rsidRDefault="00F42889" w:rsidP="005B4367">
      <w:pPr>
        <w:pStyle w:val="FootnoteText"/>
      </w:pPr>
      <w:r w:rsidRPr="00DA5E7E">
        <w:rPr>
          <w:lang w:val="en-US"/>
        </w:rPr>
        <w:tab/>
      </w:r>
      <w:r w:rsidRPr="00093AC5">
        <w:rPr>
          <w:rStyle w:val="FootnoteReference"/>
        </w:rPr>
        <w:footnoteRef/>
      </w:r>
      <w:r w:rsidRPr="00E21F93">
        <w:tab/>
      </w:r>
      <w:r w:rsidR="00865E37" w:rsidRPr="00D10EF8">
        <w:t xml:space="preserve">Communication de Conectas Direitos Humanos, en référence à </w:t>
      </w:r>
      <w:hyperlink r:id="rId313" w:history="1">
        <w:r w:rsidR="00865E37" w:rsidRPr="00BF0B26">
          <w:rPr>
            <w:rStyle w:val="FollowedHyperlink"/>
          </w:rPr>
          <w:t>https://ponte.org/negros-audiencia-de-custodia/</w:t>
        </w:r>
      </w:hyperlink>
      <w:r w:rsidR="00BF73AB">
        <w:t> ;</w:t>
      </w:r>
      <w:r w:rsidR="00865E37" w:rsidRPr="00D10EF8">
        <w:t xml:space="preserve"> </w:t>
      </w:r>
      <w:hyperlink r:id="rId314" w:history="1">
        <w:r w:rsidR="00865E37" w:rsidRPr="00B8237E">
          <w:rPr>
            <w:rStyle w:val="FollowedHyperlink"/>
          </w:rPr>
          <w:t>https://www.conjur.com.br/2020-nov-24/opiniao-custodia-videoconferencia-racismo-estrutural</w:t>
        </w:r>
      </w:hyperlink>
      <w:r w:rsidR="00865E37" w:rsidRPr="00D10EF8">
        <w:t>.</w:t>
      </w:r>
    </w:p>
  </w:footnote>
  <w:footnote w:id="284">
    <w:p w14:paraId="4E0FB68D" w14:textId="04B01626" w:rsidR="00865E37" w:rsidRPr="00D10EF8" w:rsidRDefault="00F42889" w:rsidP="005B4367">
      <w:pPr>
        <w:pStyle w:val="FootnoteText"/>
      </w:pPr>
      <w:r w:rsidRPr="00E21F93">
        <w:tab/>
      </w:r>
      <w:r w:rsidRPr="00093AC5">
        <w:rPr>
          <w:rStyle w:val="FootnoteReference"/>
        </w:rPr>
        <w:footnoteRef/>
      </w:r>
      <w:r w:rsidRPr="00E21F93">
        <w:tab/>
      </w:r>
      <w:hyperlink r:id="rId315" w:history="1">
        <w:r w:rsidR="00865E37" w:rsidRPr="00B8237E">
          <w:rPr>
            <w:rStyle w:val="FollowedHyperlink"/>
          </w:rPr>
          <w:t>https://www.sentencingproject.org/wp-content/uploads/2021/06/Trends-in-US-Corrections.pdf</w:t>
        </w:r>
      </w:hyperlink>
      <w:r w:rsidR="00BF73AB">
        <w:t> ;</w:t>
      </w:r>
      <w:r w:rsidR="00865E37" w:rsidRPr="00D10EF8">
        <w:t xml:space="preserve"> </w:t>
      </w:r>
      <w:hyperlink r:id="rId316" w:history="1">
        <w:r w:rsidR="00865E37" w:rsidRPr="00B8237E">
          <w:rPr>
            <w:rStyle w:val="FollowedHyperlink"/>
          </w:rPr>
          <w:t>https://www.pewresearch.org/fact-tank/2020/05/06/share-of-black-white-hispanic-americans-in-prison-2018-vs-2006/ft_20-05-05_imprisonmentrates_2a/</w:t>
        </w:r>
      </w:hyperlink>
      <w:r w:rsidR="00865E37" w:rsidRPr="00D10EF8">
        <w:t>.</w:t>
      </w:r>
    </w:p>
  </w:footnote>
  <w:footnote w:id="285">
    <w:p w14:paraId="4BDB0CB3" w14:textId="4FECDE6B" w:rsidR="00865E37" w:rsidRPr="00D10EF8" w:rsidRDefault="00F42889" w:rsidP="005B4367">
      <w:pPr>
        <w:pStyle w:val="FootnoteText"/>
      </w:pPr>
      <w:r w:rsidRPr="00E21F93">
        <w:tab/>
      </w:r>
      <w:r w:rsidRPr="00093AC5">
        <w:rPr>
          <w:rStyle w:val="FootnoteReference"/>
        </w:rPr>
        <w:footnoteRef/>
      </w:r>
      <w:r w:rsidRPr="00E21F93">
        <w:tab/>
      </w:r>
      <w:r w:rsidR="00865E37" w:rsidRPr="00D10EF8">
        <w:t xml:space="preserve">A/HRC/38/33/Add.1, </w:t>
      </w:r>
      <w:r w:rsidR="002A7FA1">
        <w:t>par. </w:t>
      </w:r>
      <w:r w:rsidR="00865E37" w:rsidRPr="00D10EF8">
        <w:t>54.</w:t>
      </w:r>
    </w:p>
  </w:footnote>
  <w:footnote w:id="286">
    <w:p w14:paraId="2D8301D3" w14:textId="67474401" w:rsidR="00865E37" w:rsidRPr="00D10EF8" w:rsidRDefault="00F42889" w:rsidP="005B4367">
      <w:pPr>
        <w:pStyle w:val="FootnoteText"/>
      </w:pPr>
      <w:r w:rsidRPr="00E21F93">
        <w:tab/>
      </w:r>
      <w:r w:rsidRPr="00093AC5">
        <w:rPr>
          <w:rStyle w:val="FootnoteReference"/>
        </w:rPr>
        <w:footnoteRef/>
      </w:r>
      <w:r w:rsidRPr="00E21F93">
        <w:tab/>
      </w:r>
      <w:r w:rsidR="00865E37" w:rsidRPr="00D10EF8">
        <w:t xml:space="preserve">A/HRC/33/61/Add.2, </w:t>
      </w:r>
      <w:r w:rsidR="002A7FA1">
        <w:t>par. </w:t>
      </w:r>
      <w:r w:rsidR="00865E37" w:rsidRPr="00D10EF8">
        <w:t>29.</w:t>
      </w:r>
    </w:p>
  </w:footnote>
  <w:footnote w:id="287">
    <w:p w14:paraId="15E9CA7B" w14:textId="67260D34" w:rsidR="00865E37" w:rsidRPr="00DA5E7E" w:rsidRDefault="00F42889" w:rsidP="00875BB1">
      <w:pPr>
        <w:pStyle w:val="FootnoteText"/>
        <w:suppressAutoHyphens w:val="0"/>
        <w:rPr>
          <w:lang w:val="en-US"/>
        </w:rPr>
      </w:pPr>
      <w:r w:rsidRPr="00E21F93">
        <w:tab/>
      </w:r>
      <w:r w:rsidRPr="00093AC5">
        <w:rPr>
          <w:rStyle w:val="FootnoteReference"/>
        </w:rPr>
        <w:footnoteRef/>
      </w:r>
      <w:r w:rsidRPr="00DA5E7E">
        <w:rPr>
          <w:lang w:val="en-US"/>
        </w:rPr>
        <w:tab/>
      </w:r>
      <w:r w:rsidR="00865E37" w:rsidRPr="00DA5E7E">
        <w:rPr>
          <w:lang w:val="en-US"/>
        </w:rPr>
        <w:t>Communication de l</w:t>
      </w:r>
      <w:r w:rsidR="00F60EAA">
        <w:rPr>
          <w:lang w:val="en-US"/>
        </w:rPr>
        <w:t>’</w:t>
      </w:r>
      <w:r w:rsidR="00865E37" w:rsidRPr="00DA5E7E">
        <w:rPr>
          <w:lang w:val="en-US"/>
        </w:rPr>
        <w:t>American Civil Liberties Union (ACLU)</w:t>
      </w:r>
      <w:r w:rsidR="00BF73AB">
        <w:rPr>
          <w:lang w:val="en-US"/>
        </w:rPr>
        <w:t> ;</w:t>
      </w:r>
      <w:r w:rsidR="00865E37" w:rsidRPr="00DA5E7E">
        <w:rPr>
          <w:lang w:val="en-US"/>
        </w:rPr>
        <w:t xml:space="preserve"> </w:t>
      </w:r>
      <w:hyperlink r:id="rId317" w:history="1">
        <w:r w:rsidR="00865E37" w:rsidRPr="00B8237E">
          <w:rPr>
            <w:rStyle w:val="FollowedHyperlink"/>
            <w:lang w:val="en-US"/>
          </w:rPr>
          <w:t>http://www.ussc.gov/news/congressional-testimony-and-reports/booker-reports/report-continuing-impact-united-states-v-booker-federal-sentencing</w:t>
        </w:r>
      </w:hyperlink>
      <w:r w:rsidR="00BF73AB">
        <w:rPr>
          <w:lang w:val="en-US"/>
        </w:rPr>
        <w:t> ;</w:t>
      </w:r>
      <w:r w:rsidR="00865E37" w:rsidRPr="00DA5E7E">
        <w:rPr>
          <w:lang w:val="en-US"/>
        </w:rPr>
        <w:t xml:space="preserve"> </w:t>
      </w:r>
      <w:hyperlink r:id="rId318" w:history="1">
        <w:r w:rsidR="00865E37" w:rsidRPr="00B8237E">
          <w:rPr>
            <w:rStyle w:val="FollowedHyperlink"/>
            <w:lang w:val="en-US"/>
          </w:rPr>
          <w:t>https://www.ussc.gov/sites/default/files/pdf/</w:t>
        </w:r>
        <w:r w:rsidR="00B8237E" w:rsidRPr="00B8237E">
          <w:rPr>
            <w:rStyle w:val="FollowedHyperlink"/>
            <w:lang w:val="en-US"/>
          </w:rPr>
          <w:t xml:space="preserve"> </w:t>
        </w:r>
        <w:r w:rsidR="00865E37" w:rsidRPr="00B8237E">
          <w:rPr>
            <w:rStyle w:val="FollowedHyperlink"/>
            <w:lang w:val="en-US"/>
          </w:rPr>
          <w:t>research-and-publications/research-publications/2017/20171114_Demographics.pdf</w:t>
        </w:r>
      </w:hyperlink>
      <w:r w:rsidR="00865E37" w:rsidRPr="00DA5E7E">
        <w:rPr>
          <w:lang w:val="en-US"/>
        </w:rPr>
        <w:t>.</w:t>
      </w:r>
    </w:p>
  </w:footnote>
  <w:footnote w:id="288">
    <w:p w14:paraId="45098775" w14:textId="6FDC7898" w:rsidR="00865E37" w:rsidRPr="00DA5E7E" w:rsidRDefault="00F42889" w:rsidP="005B4367">
      <w:pPr>
        <w:pStyle w:val="FootnoteText"/>
        <w:rPr>
          <w:lang w:val="en-US"/>
        </w:rPr>
      </w:pPr>
      <w:r w:rsidRPr="00DA5E7E">
        <w:rPr>
          <w:lang w:val="en-US"/>
        </w:rPr>
        <w:tab/>
      </w:r>
      <w:r w:rsidRPr="00093AC5">
        <w:rPr>
          <w:rStyle w:val="FootnoteReference"/>
        </w:rPr>
        <w:footnoteRef/>
      </w:r>
      <w:r w:rsidRPr="00DA5E7E">
        <w:rPr>
          <w:lang w:val="en-US"/>
        </w:rPr>
        <w:tab/>
      </w:r>
      <w:r w:rsidR="00865E37" w:rsidRPr="00DA5E7E">
        <w:rPr>
          <w:lang w:val="en-US"/>
        </w:rPr>
        <w:t>Communication du NAACP Legal Defense and Educational Fund Inc. (LDF)</w:t>
      </w:r>
      <w:r w:rsidR="00BF73AB">
        <w:rPr>
          <w:lang w:val="en-US"/>
        </w:rPr>
        <w:t> ;</w:t>
      </w:r>
      <w:r w:rsidR="00865E37" w:rsidRPr="00DA5E7E">
        <w:rPr>
          <w:lang w:val="en-US"/>
        </w:rPr>
        <w:t xml:space="preserve"> </w:t>
      </w:r>
      <w:hyperlink r:id="rId319" w:history="1">
        <w:r w:rsidR="00865E37" w:rsidRPr="004A035C">
          <w:rPr>
            <w:rStyle w:val="FollowedHyperlink"/>
            <w:lang w:val="en-US"/>
          </w:rPr>
          <w:t>https://www.sentencingproject.org/publications/un-report-on-racial-disparities/</w:t>
        </w:r>
      </w:hyperlink>
      <w:r w:rsidR="00865E37" w:rsidRPr="00DA5E7E">
        <w:rPr>
          <w:lang w:val="en-US"/>
        </w:rPr>
        <w:t>.</w:t>
      </w:r>
    </w:p>
  </w:footnote>
  <w:footnote w:id="289">
    <w:p w14:paraId="199E64E1" w14:textId="517B40DE" w:rsidR="00865E37" w:rsidRPr="00D10EF8" w:rsidRDefault="00F42889" w:rsidP="005B4367">
      <w:pPr>
        <w:pStyle w:val="FootnoteText"/>
      </w:pPr>
      <w:r w:rsidRPr="00DA5E7E">
        <w:rPr>
          <w:lang w:val="en-US"/>
        </w:rPr>
        <w:tab/>
      </w:r>
      <w:r w:rsidRPr="00093AC5">
        <w:rPr>
          <w:rStyle w:val="FootnoteReference"/>
        </w:rPr>
        <w:footnoteRef/>
      </w:r>
      <w:r w:rsidRPr="00875BB1">
        <w:tab/>
      </w:r>
      <w:hyperlink r:id="rId320" w:history="1">
        <w:r w:rsidR="00865E37" w:rsidRPr="00B8237E">
          <w:rPr>
            <w:rStyle w:val="FollowedHyperlink"/>
          </w:rPr>
          <w:t>https://www.americanbar.org/groups/young_lawyers/publications/after-the-bar/public-service/racial-disparities-criminal-justice-how-lawyers-can-help/</w:t>
        </w:r>
      </w:hyperlink>
      <w:r w:rsidR="00BF73AB">
        <w:t> ;</w:t>
      </w:r>
      <w:r w:rsidR="00865E37" w:rsidRPr="00D10EF8">
        <w:t xml:space="preserve"> </w:t>
      </w:r>
      <w:hyperlink r:id="rId321" w:history="1">
        <w:r w:rsidR="00865E37" w:rsidRPr="00B8237E">
          <w:rPr>
            <w:rStyle w:val="FollowedHyperlink"/>
          </w:rPr>
          <w:t>https://www.sentencingproject.org/publications/</w:t>
        </w:r>
        <w:r w:rsidR="00CB6E04">
          <w:rPr>
            <w:rStyle w:val="FollowedHyperlink"/>
          </w:rPr>
          <w:t xml:space="preserve"> </w:t>
        </w:r>
        <w:r w:rsidR="00865E37" w:rsidRPr="00B8237E">
          <w:rPr>
            <w:rStyle w:val="FollowedHyperlink"/>
          </w:rPr>
          <w:t>un-report-on-racial-disparities/</w:t>
        </w:r>
      </w:hyperlink>
      <w:r w:rsidR="00BF73AB">
        <w:rPr>
          <w:rStyle w:val="FollowedHyperlink"/>
          <w:color w:val="auto"/>
        </w:rPr>
        <w:t> ;</w:t>
      </w:r>
      <w:r w:rsidR="00865E37" w:rsidRPr="00B8237E">
        <w:t xml:space="preserve"> </w:t>
      </w:r>
      <w:hyperlink r:id="rId322" w:history="1">
        <w:r w:rsidR="00865E37" w:rsidRPr="00B8237E">
          <w:rPr>
            <w:rStyle w:val="FollowedHyperlink"/>
          </w:rPr>
          <w:t>https://www.vera.org/downloads/publications/for-the-record-unjust-burden-racial-disparities.pdf</w:t>
        </w:r>
      </w:hyperlink>
      <w:r w:rsidR="00865E37" w:rsidRPr="00D10EF8">
        <w:t xml:space="preserve">, </w:t>
      </w:r>
      <w:r w:rsidR="002A7FA1">
        <w:t>p. </w:t>
      </w:r>
      <w:r w:rsidR="00865E37" w:rsidRPr="00D10EF8">
        <w:t>8 et 9.</w:t>
      </w:r>
    </w:p>
  </w:footnote>
  <w:footnote w:id="290">
    <w:p w14:paraId="6C90C941" w14:textId="728E7BB0" w:rsidR="00865E37" w:rsidRPr="00D10EF8" w:rsidRDefault="00F42889" w:rsidP="005B4367">
      <w:pPr>
        <w:pStyle w:val="FootnoteText"/>
      </w:pPr>
      <w:r w:rsidRPr="00875BB1">
        <w:tab/>
      </w:r>
      <w:r w:rsidRPr="00093AC5">
        <w:rPr>
          <w:rStyle w:val="FootnoteReference"/>
        </w:rPr>
        <w:footnoteRef/>
      </w:r>
      <w:r w:rsidRPr="00E21F93">
        <w:tab/>
      </w:r>
      <w:hyperlink r:id="rId323" w:history="1">
        <w:r w:rsidR="00865E37" w:rsidRPr="00B8237E">
          <w:rPr>
            <w:rStyle w:val="FollowedHyperlink"/>
          </w:rPr>
          <w:t>https://innocenceproject.org/what-wrongful-convictions-teach-us-about-racial-inequality/</w:t>
        </w:r>
      </w:hyperlink>
      <w:r w:rsidR="00865E37" w:rsidRPr="00D10EF8">
        <w:t>.</w:t>
      </w:r>
    </w:p>
  </w:footnote>
  <w:footnote w:id="291">
    <w:p w14:paraId="0985A154" w14:textId="3FB69B5F" w:rsidR="00865E37" w:rsidRPr="00D10EF8" w:rsidRDefault="00F42889" w:rsidP="005B4367">
      <w:pPr>
        <w:pStyle w:val="FootnoteText"/>
      </w:pPr>
      <w:r w:rsidRPr="00E21F93">
        <w:tab/>
      </w:r>
      <w:r w:rsidRPr="00093AC5">
        <w:rPr>
          <w:rStyle w:val="FootnoteReference"/>
        </w:rPr>
        <w:footnoteRef/>
      </w:r>
      <w:r w:rsidRPr="00E21F93">
        <w:tab/>
      </w:r>
      <w:hyperlink r:id="rId324" w:history="1">
        <w:r w:rsidR="00865E37" w:rsidRPr="00B8237E">
          <w:rPr>
            <w:rStyle w:val="FollowedHyperlink"/>
          </w:rPr>
          <w:t>https://assets.publishing.service.gov.uk/government/uploads/system/uploads/attachment_ data/file/904864/Population_30June2020.ods</w:t>
        </w:r>
      </w:hyperlink>
      <w:r w:rsidR="00865E37" w:rsidRPr="00D10EF8">
        <w:t>.</w:t>
      </w:r>
    </w:p>
  </w:footnote>
  <w:footnote w:id="292">
    <w:p w14:paraId="668AB767" w14:textId="1197951C" w:rsidR="00865E37" w:rsidRPr="00D10EF8" w:rsidRDefault="00513C2C" w:rsidP="005B4367">
      <w:pPr>
        <w:pStyle w:val="FootnoteText"/>
      </w:pPr>
      <w:r w:rsidRPr="00D10EF8">
        <w:tab/>
      </w:r>
      <w:r w:rsidRPr="00093AC5">
        <w:rPr>
          <w:rStyle w:val="FootnoteReference"/>
        </w:rPr>
        <w:footnoteRef/>
      </w:r>
      <w:r w:rsidRPr="00D10EF8">
        <w:tab/>
      </w:r>
      <w:hyperlink r:id="rId325" w:anchor="by-ethnicity" w:history="1">
        <w:r w:rsidR="00865E37" w:rsidRPr="00B8237E">
          <w:rPr>
            <w:rStyle w:val="FollowedHyperlink"/>
          </w:rPr>
          <w:t>https://www.ethnicity-facts-figures.service.gov.uk/uk-population-by-ethnicity/national-and-regional-populations/population-of-england-and-wales/latest#by-ethnicity</w:t>
        </w:r>
      </w:hyperlink>
      <w:r w:rsidR="00865E37" w:rsidRPr="00D10EF8">
        <w:t>.</w:t>
      </w:r>
    </w:p>
  </w:footnote>
  <w:footnote w:id="293">
    <w:p w14:paraId="72AAEAD8" w14:textId="1FE17FBA" w:rsidR="00865E37" w:rsidRPr="00D10EF8" w:rsidRDefault="00513C2C" w:rsidP="005B4367">
      <w:pPr>
        <w:pStyle w:val="FootnoteText"/>
      </w:pPr>
      <w:r w:rsidRPr="00D10EF8">
        <w:tab/>
      </w:r>
      <w:r w:rsidRPr="00093AC5">
        <w:rPr>
          <w:rStyle w:val="FootnoteReference"/>
        </w:rPr>
        <w:footnoteRef/>
      </w:r>
      <w:r w:rsidRPr="00D10EF8">
        <w:tab/>
      </w:r>
      <w:r w:rsidR="00865E37" w:rsidRPr="00D10EF8">
        <w:t>Communication de Race Equality First</w:t>
      </w:r>
      <w:r w:rsidR="00BF73AB">
        <w:t> ;</w:t>
      </w:r>
      <w:r w:rsidR="00865E37" w:rsidRPr="00D10EF8">
        <w:t xml:space="preserve"> </w:t>
      </w:r>
      <w:hyperlink r:id="rId326" w:history="1">
        <w:r w:rsidR="00865E37" w:rsidRPr="000D0DD1">
          <w:rPr>
            <w:rStyle w:val="FollowedHyperlink"/>
          </w:rPr>
          <w:t>https://www.bbc.com/news/52890363</w:t>
        </w:r>
      </w:hyperlink>
      <w:r w:rsidR="00865E37" w:rsidRPr="00D10EF8">
        <w:t>.</w:t>
      </w:r>
    </w:p>
  </w:footnote>
  <w:footnote w:id="294">
    <w:p w14:paraId="2200470C" w14:textId="6FE565F7" w:rsidR="00865E37" w:rsidRPr="00D10EF8" w:rsidRDefault="00513C2C" w:rsidP="005B4367">
      <w:pPr>
        <w:pStyle w:val="FootnoteText"/>
      </w:pPr>
      <w:r w:rsidRPr="00D10EF8">
        <w:tab/>
      </w:r>
      <w:r w:rsidRPr="00093AC5">
        <w:rPr>
          <w:rStyle w:val="FootnoteReference"/>
        </w:rPr>
        <w:footnoteRef/>
      </w:r>
      <w:r w:rsidRPr="00D10EF8">
        <w:tab/>
      </w:r>
      <w:r w:rsidR="00865E37" w:rsidRPr="00D10EF8">
        <w:t>Communication de INQUEST.</w:t>
      </w:r>
    </w:p>
  </w:footnote>
  <w:footnote w:id="295">
    <w:p w14:paraId="7FB26475" w14:textId="5483D9F3" w:rsidR="00865E37" w:rsidRPr="00D10EF8" w:rsidRDefault="00513C2C" w:rsidP="005B4367">
      <w:pPr>
        <w:pStyle w:val="FootnoteText"/>
      </w:pPr>
      <w:r w:rsidRPr="00D10EF8">
        <w:tab/>
      </w:r>
      <w:r w:rsidRPr="00093AC5">
        <w:rPr>
          <w:rStyle w:val="FootnoteReference"/>
        </w:rPr>
        <w:footnoteRef/>
      </w:r>
      <w:r w:rsidRPr="00D10EF8">
        <w:tab/>
      </w:r>
      <w:r w:rsidR="00865E37" w:rsidRPr="00D10EF8">
        <w:t>Communication de INQUEST</w:t>
      </w:r>
      <w:r w:rsidR="00BF73AB">
        <w:t> ;</w:t>
      </w:r>
      <w:r w:rsidR="00865E37" w:rsidRPr="00D10EF8">
        <w:t xml:space="preserve"> </w:t>
      </w:r>
      <w:hyperlink r:id="rId327" w:history="1">
        <w:r w:rsidR="00865E37" w:rsidRPr="00B8237E">
          <w:rPr>
            <w:rStyle w:val="FollowedHyperlink"/>
          </w:rPr>
          <w:t>https://www.cqc.org.uk/sites/default/files/20200206_mhareport1819_report.pdf</w:t>
        </w:r>
      </w:hyperlink>
      <w:r w:rsidR="00865E37" w:rsidRPr="00D10EF8">
        <w:t>.</w:t>
      </w:r>
    </w:p>
  </w:footnote>
  <w:footnote w:id="296">
    <w:p w14:paraId="79C4D92E" w14:textId="7803A56C" w:rsidR="00865E37" w:rsidRPr="00E2164A" w:rsidRDefault="00513C2C" w:rsidP="005B4367">
      <w:pPr>
        <w:pStyle w:val="FootnoteText"/>
        <w:rPr>
          <w:lang w:val="fr-CA"/>
        </w:rPr>
      </w:pPr>
      <w:r w:rsidRPr="00D10EF8">
        <w:tab/>
      </w:r>
      <w:r w:rsidRPr="00093AC5">
        <w:rPr>
          <w:rStyle w:val="FootnoteReference"/>
        </w:rPr>
        <w:footnoteRef/>
      </w:r>
      <w:r w:rsidRPr="00D10EF8">
        <w:tab/>
      </w:r>
      <w:hyperlink r:id="rId328" w:history="1">
        <w:r w:rsidR="00865E37" w:rsidRPr="00B8237E">
          <w:rPr>
            <w:rStyle w:val="FollowedHyperlink"/>
          </w:rPr>
          <w:t>https://www150.statcan.gc.ca/n1/pub/89-657-x/89-657-x2019002-fra.htm</w:t>
        </w:r>
      </w:hyperlink>
      <w:r w:rsidR="00865E37" w:rsidRPr="00DF4EA0">
        <w:t xml:space="preserve">. </w:t>
      </w:r>
    </w:p>
  </w:footnote>
  <w:footnote w:id="297">
    <w:p w14:paraId="0FCCC382" w14:textId="480B71BD" w:rsidR="00865E37" w:rsidRPr="00D10EF8" w:rsidRDefault="00513C2C" w:rsidP="005B4367">
      <w:pPr>
        <w:pStyle w:val="FootnoteText"/>
        <w:rPr>
          <w:b/>
        </w:rPr>
      </w:pPr>
      <w:r w:rsidRPr="00D10EF8">
        <w:tab/>
      </w:r>
      <w:r w:rsidRPr="00093AC5">
        <w:rPr>
          <w:rStyle w:val="FootnoteReference"/>
        </w:rPr>
        <w:footnoteRef/>
      </w:r>
      <w:r w:rsidRPr="00D10EF8">
        <w:tab/>
      </w:r>
      <w:hyperlink r:id="rId329" w:history="1">
        <w:r w:rsidR="00865E37" w:rsidRPr="00B8237E">
          <w:rPr>
            <w:rStyle w:val="FollowedHyperlink"/>
          </w:rPr>
          <w:t>https://www.oci-bec.gc.ca/cnt/rpt/annrpt/annrpt20182019-fra.aspx</w:t>
        </w:r>
      </w:hyperlink>
      <w:r w:rsidR="00865E37" w:rsidRPr="00D10EF8">
        <w:t xml:space="preserve">. Voir également A/HRC/36/60/Add.1, </w:t>
      </w:r>
      <w:r w:rsidR="002A7FA1">
        <w:t>par. </w:t>
      </w:r>
      <w:r w:rsidR="00865E37" w:rsidRPr="00D10EF8">
        <w:t>34.</w:t>
      </w:r>
    </w:p>
  </w:footnote>
  <w:footnote w:id="298">
    <w:p w14:paraId="3D750734" w14:textId="6764BC69" w:rsidR="00865E37" w:rsidRPr="00D10EF8" w:rsidRDefault="00513C2C" w:rsidP="005B4367">
      <w:pPr>
        <w:pStyle w:val="FootnoteText"/>
      </w:pPr>
      <w:r w:rsidRPr="00D10EF8">
        <w:tab/>
      </w:r>
      <w:r w:rsidRPr="00093AC5">
        <w:rPr>
          <w:rStyle w:val="FootnoteReference"/>
        </w:rPr>
        <w:footnoteRef/>
      </w:r>
      <w:r w:rsidRPr="00D10EF8">
        <w:tab/>
      </w:r>
      <w:r w:rsidR="00865E37" w:rsidRPr="00D10EF8">
        <w:t xml:space="preserve">CERD/C/GC/36, </w:t>
      </w:r>
      <w:r w:rsidR="002A7FA1">
        <w:t>par. </w:t>
      </w:r>
      <w:r w:rsidR="00865E37" w:rsidRPr="00D10EF8">
        <w:t>34.</w:t>
      </w:r>
    </w:p>
  </w:footnote>
  <w:footnote w:id="299">
    <w:p w14:paraId="4DA2197A" w14:textId="09618F7D" w:rsidR="00865E37" w:rsidRPr="00D10EF8" w:rsidRDefault="00513C2C" w:rsidP="005B4367">
      <w:pPr>
        <w:pStyle w:val="FootnoteText"/>
      </w:pPr>
      <w:r w:rsidRPr="00D10EF8">
        <w:tab/>
      </w:r>
      <w:r w:rsidRPr="00093AC5">
        <w:rPr>
          <w:rStyle w:val="FootnoteReference"/>
        </w:rPr>
        <w:footnoteRef/>
      </w:r>
      <w:r w:rsidRPr="00D10EF8">
        <w:tab/>
      </w:r>
      <w:r w:rsidR="00865E37" w:rsidRPr="00D10EF8">
        <w:t xml:space="preserve">CERD/C/GC/36, </w:t>
      </w:r>
      <w:r w:rsidR="002A7FA1">
        <w:t>par. </w:t>
      </w:r>
      <w:r w:rsidR="00865E37" w:rsidRPr="00D10EF8">
        <w:t xml:space="preserve">34. Voir également </w:t>
      </w:r>
      <w:hyperlink r:id="rId330" w:history="1">
        <w:r w:rsidR="00865E37" w:rsidRPr="00B8237E">
          <w:rPr>
            <w:rStyle w:val="FollowedHyperlink"/>
          </w:rPr>
          <w:t>https://www.propublica.org/article/machine-bias-risk-assessments-in-criminal-sentencing</w:t>
        </w:r>
      </w:hyperlink>
      <w:r w:rsidR="00865E37" w:rsidRPr="00B8237E">
        <w:rPr>
          <w:rStyle w:val="FollowedHyperlink"/>
        </w:rPr>
        <w:t>.</w:t>
      </w:r>
    </w:p>
  </w:footnote>
  <w:footnote w:id="300">
    <w:p w14:paraId="5EB83103" w14:textId="5060E228" w:rsidR="00865E37" w:rsidRPr="00D10EF8" w:rsidRDefault="00513C2C" w:rsidP="005B4367">
      <w:pPr>
        <w:pStyle w:val="FootnoteText"/>
      </w:pPr>
      <w:r w:rsidRPr="00D10EF8">
        <w:tab/>
      </w:r>
      <w:r w:rsidRPr="00093AC5">
        <w:rPr>
          <w:rStyle w:val="FootnoteReference"/>
        </w:rPr>
        <w:footnoteRef/>
      </w:r>
      <w:r w:rsidRPr="00D10EF8">
        <w:tab/>
      </w:r>
      <w:hyperlink r:id="rId331" w:history="1">
        <w:r w:rsidR="00865E37" w:rsidRPr="00B8237E">
          <w:rPr>
            <w:rStyle w:val="FollowedHyperlink"/>
          </w:rPr>
          <w:t>https://www.propublica.org/article/machine-bias-risk-assessments-in-criminal-sentencing</w:t>
        </w:r>
      </w:hyperlink>
      <w:r w:rsidR="00865E37" w:rsidRPr="00D10EF8">
        <w:t>.</w:t>
      </w:r>
    </w:p>
  </w:footnote>
  <w:footnote w:id="301">
    <w:p w14:paraId="5B3D3C2B" w14:textId="38502E26" w:rsidR="00865E37" w:rsidRPr="00D10EF8" w:rsidRDefault="00513C2C" w:rsidP="005B4367">
      <w:pPr>
        <w:pStyle w:val="FootnoteText"/>
      </w:pPr>
      <w:r w:rsidRPr="00D10EF8">
        <w:tab/>
      </w:r>
      <w:r w:rsidRPr="00093AC5">
        <w:rPr>
          <w:rStyle w:val="FootnoteReference"/>
        </w:rPr>
        <w:footnoteRef/>
      </w:r>
      <w:r w:rsidRPr="00D10EF8">
        <w:tab/>
      </w:r>
      <w:r w:rsidR="00865E37" w:rsidRPr="00D10EF8">
        <w:t xml:space="preserve">A/HRC/44/57, </w:t>
      </w:r>
      <w:r w:rsidR="002A7FA1">
        <w:t>par. </w:t>
      </w:r>
      <w:r w:rsidR="00865E37" w:rsidRPr="00D10EF8">
        <w:t>43.</w:t>
      </w:r>
    </w:p>
  </w:footnote>
  <w:footnote w:id="302">
    <w:p w14:paraId="573A3608" w14:textId="614D10CC" w:rsidR="00865E37" w:rsidRPr="00D10EF8" w:rsidRDefault="00513C2C" w:rsidP="005B4367">
      <w:pPr>
        <w:pStyle w:val="FootnoteText"/>
      </w:pPr>
      <w:r w:rsidRPr="00D10EF8">
        <w:tab/>
      </w:r>
      <w:r w:rsidRPr="00093AC5">
        <w:rPr>
          <w:rStyle w:val="FootnoteReference"/>
        </w:rPr>
        <w:footnoteRef/>
      </w:r>
      <w:r w:rsidRPr="00D10EF8">
        <w:tab/>
      </w:r>
      <w:hyperlink r:id="rId332" w:history="1">
        <w:r w:rsidR="00865E37" w:rsidRPr="00B8237E">
          <w:rPr>
            <w:rStyle w:val="FollowedHyperlink"/>
          </w:rPr>
          <w:t>https://www.ohchr.org/EN/NewsEvents/Pages/DisplayNews.aspx?NewsID=26742&amp;LangID=E</w:t>
        </w:r>
      </w:hyperlink>
      <w:r w:rsidR="00BF73AB">
        <w:t> ;</w:t>
      </w:r>
      <w:r w:rsidR="00865E37" w:rsidRPr="00D10EF8">
        <w:t xml:space="preserve"> </w:t>
      </w:r>
      <w:hyperlink r:id="rId333" w:history="1">
        <w:r w:rsidR="00865E37" w:rsidRPr="00B8237E">
          <w:rPr>
            <w:rStyle w:val="FollowedHyperlink"/>
          </w:rPr>
          <w:t>https://www.ohchr.org/EN/NewsEvents/Pages/DisplayNews.aspx?NewsID=24529&amp;LangID=E</w:t>
        </w:r>
      </w:hyperlink>
      <w:r w:rsidR="00BF73AB">
        <w:t> ;</w:t>
      </w:r>
      <w:r w:rsidR="00865E37" w:rsidRPr="00D10EF8">
        <w:t xml:space="preserve"> A/HRC/30/65, </w:t>
      </w:r>
      <w:r w:rsidR="002A7FA1">
        <w:t>par. </w:t>
      </w:r>
      <w:r w:rsidR="00865E37" w:rsidRPr="00D10EF8">
        <w:t>51</w:t>
      </w:r>
      <w:r w:rsidR="00BF73AB">
        <w:t> ;</w:t>
      </w:r>
      <w:r w:rsidR="00865E37" w:rsidRPr="00D10EF8">
        <w:t xml:space="preserve"> </w:t>
      </w:r>
      <w:hyperlink r:id="rId334" w:history="1">
        <w:r w:rsidR="00865E37" w:rsidRPr="00B8237E">
          <w:rPr>
            <w:rStyle w:val="FollowedHyperlink"/>
          </w:rPr>
          <w:t>https://www.ohchr.org/EN/NewsEvents/Pages/DisplayNews.aspx?</w:t>
        </w:r>
        <w:r w:rsidR="000D0DD1">
          <w:rPr>
            <w:rStyle w:val="FollowedHyperlink"/>
          </w:rPr>
          <w:t xml:space="preserve"> </w:t>
        </w:r>
        <w:r w:rsidR="00865E37" w:rsidRPr="00B8237E">
          <w:rPr>
            <w:rStyle w:val="FollowedHyperlink"/>
          </w:rPr>
          <w:t>NewsID=24332&amp;LangID=E</w:t>
        </w:r>
      </w:hyperlink>
      <w:r w:rsidR="00865E37" w:rsidRPr="00D10EF8">
        <w:t>.</w:t>
      </w:r>
    </w:p>
  </w:footnote>
  <w:footnote w:id="303">
    <w:p w14:paraId="6F37A6C6" w14:textId="1DB7AC58" w:rsidR="00865E37" w:rsidRPr="00B8237E" w:rsidRDefault="00513C2C" w:rsidP="005B4367">
      <w:pPr>
        <w:pStyle w:val="FootnoteText"/>
        <w:rPr>
          <w:rStyle w:val="FollowedHyperlink"/>
          <w:color w:val="auto"/>
        </w:rPr>
      </w:pPr>
      <w:r w:rsidRPr="00D10EF8">
        <w:tab/>
      </w:r>
      <w:r w:rsidRPr="00093AC5">
        <w:rPr>
          <w:rStyle w:val="FootnoteReference"/>
        </w:rPr>
        <w:footnoteRef/>
      </w:r>
      <w:r w:rsidRPr="00D10EF8">
        <w:tab/>
      </w:r>
      <w:r w:rsidR="00865E37" w:rsidRPr="00D10EF8">
        <w:t>Communication de Harm Reduction International/Release</w:t>
      </w:r>
      <w:r w:rsidR="00BF73AB">
        <w:t> ;</w:t>
      </w:r>
      <w:r w:rsidR="00865E37" w:rsidRPr="00D10EF8">
        <w:t xml:space="preserve"> </w:t>
      </w:r>
      <w:hyperlink r:id="rId335" w:history="1">
        <w:r w:rsidR="00865E37" w:rsidRPr="00B8237E">
          <w:rPr>
            <w:rStyle w:val="FollowedHyperlink"/>
          </w:rPr>
          <w:t>https://pubmed.ncbi.nlm.nih.gov/27565526/</w:t>
        </w:r>
      </w:hyperlink>
      <w:r w:rsidR="00BF73AB">
        <w:rPr>
          <w:rStyle w:val="FollowedHyperlink"/>
        </w:rPr>
        <w:t> ;</w:t>
      </w:r>
      <w:r w:rsidR="00865E37" w:rsidRPr="00B8237E">
        <w:rPr>
          <w:rStyle w:val="FollowedHyperlink"/>
        </w:rPr>
        <w:t xml:space="preserve"> </w:t>
      </w:r>
      <w:hyperlink r:id="rId336" w:history="1">
        <w:r w:rsidR="00865E37" w:rsidRPr="00B8237E">
          <w:rPr>
            <w:rStyle w:val="FollowedHyperlink"/>
          </w:rPr>
          <w:t>https://link.springer.com/article/10.1007/s11524-018-00325-1</w:t>
        </w:r>
      </w:hyperlink>
      <w:r w:rsidR="00BF73AB">
        <w:t> ;</w:t>
      </w:r>
      <w:r w:rsidR="00865E37" w:rsidRPr="00D10EF8">
        <w:t xml:space="preserve"> </w:t>
      </w:r>
      <w:hyperlink r:id="rId337" w:history="1">
        <w:r w:rsidR="00865E37" w:rsidRPr="00B8237E">
          <w:rPr>
            <w:rStyle w:val="FollowedHyperlink"/>
          </w:rPr>
          <w:t>https://nij.ojp.gov/library/publications/race-differences-drug-offending-and-drug-distribution-arrests</w:t>
        </w:r>
      </w:hyperlink>
      <w:r w:rsidR="00BF73AB">
        <w:t> ;</w:t>
      </w:r>
      <w:r w:rsidR="00865E37" w:rsidRPr="00D10EF8">
        <w:t xml:space="preserve"> </w:t>
      </w:r>
      <w:hyperlink r:id="rId338" w:history="1">
        <w:r w:rsidR="00865E37" w:rsidRPr="00B8237E">
          <w:rPr>
            <w:rStyle w:val="FollowedHyperlink"/>
          </w:rPr>
          <w:t>https://journals.sagepub.com/doi/abs/10.1177/0011128714568427</w:t>
        </w:r>
      </w:hyperlink>
      <w:r w:rsidR="00865E37" w:rsidRPr="00D10EF8">
        <w:t xml:space="preserve">. Voir également </w:t>
      </w:r>
      <w:hyperlink r:id="rId339" w:history="1">
        <w:r w:rsidR="00865E37" w:rsidRPr="00B8237E">
          <w:rPr>
            <w:rStyle w:val="FollowedHyperlink"/>
          </w:rPr>
          <w:t>https://www.ohchr.org/EN/NewsEvents/Pages/DisplayNews.aspx?NewsID=</w:t>
        </w:r>
        <w:r w:rsidR="00F13863">
          <w:rPr>
            <w:rStyle w:val="FollowedHyperlink"/>
          </w:rPr>
          <w:t xml:space="preserve"> </w:t>
        </w:r>
        <w:r w:rsidR="00865E37" w:rsidRPr="00B8237E">
          <w:rPr>
            <w:rStyle w:val="FollowedHyperlink"/>
          </w:rPr>
          <w:t>20746&amp;LangID=E</w:t>
        </w:r>
      </w:hyperlink>
      <w:r w:rsidR="00865E37" w:rsidRPr="00B8237E">
        <w:rPr>
          <w:rStyle w:val="FollowedHyperlink"/>
          <w:color w:val="auto"/>
        </w:rPr>
        <w:t>.</w:t>
      </w:r>
    </w:p>
  </w:footnote>
  <w:footnote w:id="304">
    <w:p w14:paraId="4505D9EA" w14:textId="5E04FA37" w:rsidR="00865E37" w:rsidRPr="00D10EF8" w:rsidRDefault="00513C2C" w:rsidP="005B4367">
      <w:pPr>
        <w:pStyle w:val="FootnoteText"/>
      </w:pPr>
      <w:r w:rsidRPr="00D10EF8">
        <w:tab/>
      </w:r>
      <w:r w:rsidRPr="00093AC5">
        <w:rPr>
          <w:rStyle w:val="FootnoteReference"/>
        </w:rPr>
        <w:footnoteRef/>
      </w:r>
      <w:r w:rsidRPr="00D10EF8">
        <w:tab/>
      </w:r>
      <w:r w:rsidR="00865E37" w:rsidRPr="00D10EF8">
        <w:t xml:space="preserve">Communication de Harm Reduction International/Release. Voir également </w:t>
      </w:r>
      <w:hyperlink r:id="rId340" w:history="1">
        <w:r w:rsidR="00865E37" w:rsidRPr="008B72F8">
          <w:rPr>
            <w:rStyle w:val="FollowedHyperlink"/>
          </w:rPr>
          <w:t>https://pubmed.ncbi.nlm.nih.gov/28690668/</w:t>
        </w:r>
      </w:hyperlink>
      <w:r w:rsidR="00865E37" w:rsidRPr="00D10EF8">
        <w:t>.</w:t>
      </w:r>
    </w:p>
  </w:footnote>
  <w:footnote w:id="305">
    <w:p w14:paraId="0C85B3B6" w14:textId="67D9CF0A" w:rsidR="00865E37" w:rsidRPr="00D10EF8" w:rsidRDefault="00513C2C" w:rsidP="005B4367">
      <w:pPr>
        <w:pStyle w:val="FootnoteText"/>
      </w:pPr>
      <w:r w:rsidRPr="00D10EF8">
        <w:tab/>
      </w:r>
      <w:r w:rsidRPr="00093AC5">
        <w:rPr>
          <w:rStyle w:val="FootnoteReference"/>
        </w:rPr>
        <w:footnoteRef/>
      </w:r>
      <w:r w:rsidRPr="00D10EF8">
        <w:tab/>
      </w:r>
      <w:hyperlink r:id="rId341" w:history="1">
        <w:r w:rsidR="00865E37" w:rsidRPr="008B72F8">
          <w:rPr>
            <w:rStyle w:val="FollowedHyperlink"/>
          </w:rPr>
          <w:t>https://www.release.org.uk/publications/ColourOfInjustice</w:t>
        </w:r>
      </w:hyperlink>
      <w:r w:rsidR="00865E37" w:rsidRPr="00D10EF8">
        <w:rPr>
          <w:rFonts w:eastAsia="Arial Unicode MS"/>
        </w:rPr>
        <w:t>.</w:t>
      </w:r>
    </w:p>
  </w:footnote>
  <w:footnote w:id="306">
    <w:p w14:paraId="004C0E75" w14:textId="161367BB" w:rsidR="00865E37" w:rsidRPr="00DA5E7E" w:rsidRDefault="00513C2C" w:rsidP="005B4367">
      <w:pPr>
        <w:pStyle w:val="FootnoteText"/>
        <w:rPr>
          <w:lang w:val="en-US"/>
        </w:rPr>
      </w:pPr>
      <w:r w:rsidRPr="00D10EF8">
        <w:tab/>
      </w:r>
      <w:r w:rsidRPr="00093AC5">
        <w:rPr>
          <w:rStyle w:val="FootnoteReference"/>
        </w:rPr>
        <w:footnoteRef/>
      </w:r>
      <w:r w:rsidRPr="00DA5E7E">
        <w:rPr>
          <w:lang w:val="en-US"/>
        </w:rPr>
        <w:tab/>
      </w:r>
      <w:hyperlink r:id="rId342" w:history="1">
        <w:r w:rsidR="00865E37" w:rsidRPr="004A035C">
          <w:rPr>
            <w:rStyle w:val="FollowedHyperlink"/>
            <w:lang w:val="en-US"/>
          </w:rPr>
          <w:t>https://assets.publishing.service.gov.uk/government/uploads/system/uploads/attachment_data/file/ 643001/lammy-review-final-report.pdf</w:t>
        </w:r>
      </w:hyperlink>
      <w:r w:rsidR="00865E37" w:rsidRPr="00DA5E7E">
        <w:rPr>
          <w:lang w:val="en-US"/>
        </w:rPr>
        <w:t xml:space="preserve">, </w:t>
      </w:r>
      <w:r w:rsidR="002A7FA1" w:rsidRPr="00DA5E7E">
        <w:rPr>
          <w:lang w:val="en-US"/>
        </w:rPr>
        <w:t>p. </w:t>
      </w:r>
      <w:r w:rsidR="00865E37" w:rsidRPr="00DA5E7E">
        <w:rPr>
          <w:lang w:val="en-US"/>
        </w:rPr>
        <w:t>33.</w:t>
      </w:r>
    </w:p>
  </w:footnote>
  <w:footnote w:id="307">
    <w:p w14:paraId="00D360F8" w14:textId="6C29C737" w:rsidR="00865E37" w:rsidRPr="00D10EF8" w:rsidRDefault="00513C2C" w:rsidP="005B4367">
      <w:pPr>
        <w:pStyle w:val="FootnoteText"/>
      </w:pPr>
      <w:r w:rsidRPr="00DA5E7E">
        <w:rPr>
          <w:lang w:val="en-US"/>
        </w:rPr>
        <w:tab/>
      </w:r>
      <w:r w:rsidRPr="00093AC5">
        <w:rPr>
          <w:rStyle w:val="FootnoteReference"/>
        </w:rPr>
        <w:footnoteRef/>
      </w:r>
      <w:r w:rsidRPr="00D10EF8">
        <w:tab/>
      </w:r>
      <w:hyperlink r:id="rId343" w:history="1">
        <w:r w:rsidR="00865E37" w:rsidRPr="008B72F8">
          <w:rPr>
            <w:rStyle w:val="FollowedHyperlink"/>
          </w:rPr>
          <w:t>https://www.gov.uk/government/publications/black-asian-and-minority-ethnic-disproportionality-in-the-criminal-justice-system-in-england-and-wale</w:t>
        </w:r>
        <w:r w:rsidR="00865E37" w:rsidRPr="00D10EF8">
          <w:rPr>
            <w:rFonts w:eastAsia="Arial Unicode MS"/>
          </w:rPr>
          <w:t>s</w:t>
        </w:r>
      </w:hyperlink>
      <w:r w:rsidR="00865E37" w:rsidRPr="00D10EF8">
        <w:rPr>
          <w:rFonts w:eastAsia="Arial Unicode MS"/>
        </w:rPr>
        <w:t xml:space="preserve">, </w:t>
      </w:r>
      <w:r w:rsidR="002A7FA1">
        <w:rPr>
          <w:rFonts w:eastAsia="Arial Unicode MS"/>
        </w:rPr>
        <w:t>par. </w:t>
      </w:r>
      <w:r w:rsidR="00865E37" w:rsidRPr="00D10EF8">
        <w:rPr>
          <w:rFonts w:eastAsia="Arial Unicode MS"/>
        </w:rPr>
        <w:t>22.</w:t>
      </w:r>
    </w:p>
  </w:footnote>
  <w:footnote w:id="308">
    <w:p w14:paraId="483BC1FE" w14:textId="3B69A53D" w:rsidR="00865E37" w:rsidRPr="00D10EF8" w:rsidRDefault="00513C2C" w:rsidP="005B4367">
      <w:pPr>
        <w:pStyle w:val="FootnoteText"/>
      </w:pPr>
      <w:r w:rsidRPr="00D10EF8">
        <w:tab/>
      </w:r>
      <w:r w:rsidRPr="00093AC5">
        <w:rPr>
          <w:rStyle w:val="FootnoteReference"/>
        </w:rPr>
        <w:footnoteRef/>
      </w:r>
      <w:r w:rsidRPr="00D10EF8">
        <w:tab/>
      </w:r>
      <w:hyperlink r:id="rId344" w:history="1">
        <w:r w:rsidR="00865E37" w:rsidRPr="008B72F8">
          <w:rPr>
            <w:rStyle w:val="FollowedHyperlink"/>
          </w:rPr>
          <w:t>https://www.vice.com/en/article/d35eyq/black-and-indigenous-people-are-overrepresented-in-canadas-weed-arrests</w:t>
        </w:r>
      </w:hyperlink>
      <w:r w:rsidR="00865E37" w:rsidRPr="00D10EF8">
        <w:t>.</w:t>
      </w:r>
    </w:p>
  </w:footnote>
  <w:footnote w:id="309">
    <w:p w14:paraId="378E0274" w14:textId="03B5830B" w:rsidR="00865E37" w:rsidRPr="00D10EF8" w:rsidRDefault="00513C2C" w:rsidP="005B4367">
      <w:pPr>
        <w:pStyle w:val="FootnoteText"/>
      </w:pPr>
      <w:r w:rsidRPr="00D10EF8">
        <w:tab/>
      </w:r>
      <w:r w:rsidRPr="00093AC5">
        <w:rPr>
          <w:rStyle w:val="FootnoteReference"/>
        </w:rPr>
        <w:footnoteRef/>
      </w:r>
      <w:r w:rsidRPr="00D10EF8">
        <w:tab/>
      </w:r>
      <w:hyperlink r:id="rId345" w:history="1">
        <w:r w:rsidR="00865E37" w:rsidRPr="008B72F8">
          <w:rPr>
            <w:rStyle w:val="FollowedHyperlink"/>
          </w:rPr>
          <w:t>https://pubmed.ncbi.nlm.nih.gov/33011019/</w:t>
        </w:r>
      </w:hyperlink>
      <w:r w:rsidR="00865E37" w:rsidRPr="00D10EF8">
        <w:t>.</w:t>
      </w:r>
    </w:p>
  </w:footnote>
  <w:footnote w:id="310">
    <w:p w14:paraId="5E00FEBF" w14:textId="6BA64438" w:rsidR="00865E37" w:rsidRPr="00D10EF8" w:rsidRDefault="00513C2C" w:rsidP="005B4367">
      <w:pPr>
        <w:pStyle w:val="FootnoteText"/>
      </w:pPr>
      <w:r w:rsidRPr="00D10EF8">
        <w:tab/>
      </w:r>
      <w:r w:rsidRPr="00093AC5">
        <w:rPr>
          <w:rStyle w:val="FootnoteReference"/>
        </w:rPr>
        <w:footnoteRef/>
      </w:r>
      <w:r w:rsidRPr="00D10EF8">
        <w:tab/>
      </w:r>
      <w:r w:rsidR="00865E37" w:rsidRPr="00D10EF8">
        <w:t>Communication de Harm Reduction International/Release</w:t>
      </w:r>
      <w:r w:rsidR="00BF73AB">
        <w:t> ;</w:t>
      </w:r>
      <w:r w:rsidR="00865E37" w:rsidRPr="00D10EF8">
        <w:t xml:space="preserve"> </w:t>
      </w:r>
      <w:hyperlink r:id="rId346" w:history="1">
        <w:r w:rsidR="00865E37" w:rsidRPr="008B72F8">
          <w:rPr>
            <w:rStyle w:val="FollowedHyperlink"/>
          </w:rPr>
          <w:t>https://exame.com/brasil/negros-sao-mais-condenados-por-trafico-e-com-menos-drogas-em-sao-paulo/</w:t>
        </w:r>
      </w:hyperlink>
      <w:r w:rsidR="00865E37" w:rsidRPr="00D10EF8">
        <w:t>.</w:t>
      </w:r>
    </w:p>
  </w:footnote>
  <w:footnote w:id="311">
    <w:p w14:paraId="6739C0B9" w14:textId="3E044441" w:rsidR="00865E37" w:rsidRPr="00D10EF8" w:rsidRDefault="00513C2C" w:rsidP="005B4367">
      <w:pPr>
        <w:pStyle w:val="FootnoteText"/>
      </w:pPr>
      <w:r w:rsidRPr="00D10EF8">
        <w:tab/>
      </w:r>
      <w:r w:rsidRPr="00093AC5">
        <w:rPr>
          <w:rStyle w:val="FootnoteReference"/>
        </w:rPr>
        <w:footnoteRef/>
      </w:r>
      <w:r w:rsidRPr="00D10EF8">
        <w:tab/>
      </w:r>
      <w:hyperlink r:id="rId347" w:history="1">
        <w:r w:rsidR="00865E37" w:rsidRPr="008B72F8">
          <w:rPr>
            <w:rStyle w:val="FollowedHyperlink"/>
          </w:rPr>
          <w:t>https://www.ohchr.org/fr/press-releases/2017/10/death-penalty-disproportionately-affects-poor-un-rights-experts-warn?LangID=E&amp;NewsID=22208</w:t>
        </w:r>
      </w:hyperlink>
      <w:r w:rsidR="00865E37" w:rsidRPr="00DF4EA0">
        <w:t>.</w:t>
      </w:r>
      <w:r w:rsidR="00865E37" w:rsidRPr="00D10EF8">
        <w:t xml:space="preserve"> </w:t>
      </w:r>
    </w:p>
  </w:footnote>
  <w:footnote w:id="312">
    <w:p w14:paraId="2DA36328" w14:textId="51A45C47" w:rsidR="00865E37" w:rsidRPr="00DA5E7E" w:rsidRDefault="00513C2C" w:rsidP="005B4367">
      <w:pPr>
        <w:pStyle w:val="FootnoteText"/>
        <w:rPr>
          <w:lang w:val="en-US"/>
        </w:rPr>
      </w:pPr>
      <w:r w:rsidRPr="00D10EF8">
        <w:tab/>
      </w:r>
      <w:r w:rsidRPr="00093AC5">
        <w:rPr>
          <w:rStyle w:val="FootnoteReference"/>
        </w:rPr>
        <w:footnoteRef/>
      </w:r>
      <w:r w:rsidRPr="00DA5E7E">
        <w:rPr>
          <w:lang w:val="en-US"/>
        </w:rPr>
        <w:tab/>
      </w:r>
      <w:r w:rsidR="00865E37" w:rsidRPr="00DA5E7E">
        <w:rPr>
          <w:lang w:val="en-US"/>
        </w:rPr>
        <w:t xml:space="preserve">A/HRC/36/26, </w:t>
      </w:r>
      <w:r w:rsidR="002A7FA1" w:rsidRPr="00DA5E7E">
        <w:rPr>
          <w:lang w:val="en-US"/>
        </w:rPr>
        <w:t>par. </w:t>
      </w:r>
      <w:r w:rsidR="00865E37" w:rsidRPr="00DA5E7E">
        <w:rPr>
          <w:lang w:val="en-US"/>
        </w:rPr>
        <w:t>12.</w:t>
      </w:r>
    </w:p>
  </w:footnote>
  <w:footnote w:id="313">
    <w:p w14:paraId="701FC939" w14:textId="62631216" w:rsidR="00865E37" w:rsidRPr="00D10EF8" w:rsidRDefault="00513C2C" w:rsidP="005B4367">
      <w:pPr>
        <w:pStyle w:val="FootnoteText"/>
      </w:pPr>
      <w:bookmarkStart w:id="316" w:name="_Hlk108708379"/>
      <w:r w:rsidRPr="00DA5E7E">
        <w:rPr>
          <w:lang w:val="en-US"/>
        </w:rPr>
        <w:tab/>
      </w:r>
      <w:r w:rsidRPr="00093AC5">
        <w:rPr>
          <w:rStyle w:val="FootnoteReference"/>
        </w:rPr>
        <w:footnoteRef/>
      </w:r>
      <w:r w:rsidRPr="00DA5E7E">
        <w:rPr>
          <w:lang w:val="en-US"/>
        </w:rPr>
        <w:tab/>
      </w:r>
      <w:r w:rsidR="00865E37" w:rsidRPr="00DF4EA0">
        <w:rPr>
          <w:lang w:val="en-US"/>
        </w:rPr>
        <w:t xml:space="preserve">Communication de </w:t>
      </w:r>
      <w:bookmarkEnd w:id="316"/>
      <w:r w:rsidR="00865E37" w:rsidRPr="00DF4EA0">
        <w:rPr>
          <w:lang w:val="en-US"/>
        </w:rPr>
        <w:t xml:space="preserve">Advocates for Human Rights. </w:t>
      </w:r>
      <w:r w:rsidR="00865E37" w:rsidRPr="00D10EF8">
        <w:t xml:space="preserve">Voir également </w:t>
      </w:r>
      <w:hyperlink r:id="rId348" w:history="1">
        <w:r w:rsidR="00865E37" w:rsidRPr="008B72F8">
          <w:rPr>
            <w:rStyle w:val="FollowedHyperlink"/>
          </w:rPr>
          <w:t>https://documents.deathpenaltyinfo.org/pdf/FactSheet.pd</w:t>
        </w:r>
        <w:r w:rsidR="00865E37" w:rsidRPr="00D10EF8">
          <w:t>f</w:t>
        </w:r>
      </w:hyperlink>
      <w:r w:rsidR="00865E37" w:rsidRPr="00D10EF8">
        <w:t>.</w:t>
      </w:r>
    </w:p>
  </w:footnote>
  <w:footnote w:id="314">
    <w:p w14:paraId="0E778BCB" w14:textId="5D88E14A" w:rsidR="00865E37" w:rsidRPr="00D10EF8" w:rsidRDefault="00513C2C" w:rsidP="005B4367">
      <w:pPr>
        <w:pStyle w:val="FootnoteText"/>
      </w:pPr>
      <w:r w:rsidRPr="00D10EF8">
        <w:tab/>
      </w:r>
      <w:r w:rsidRPr="00093AC5">
        <w:rPr>
          <w:rStyle w:val="FootnoteReference"/>
        </w:rPr>
        <w:footnoteRef/>
      </w:r>
      <w:r w:rsidRPr="00D10EF8">
        <w:tab/>
      </w:r>
      <w:hyperlink r:id="rId349" w:history="1">
        <w:r w:rsidR="00865E37" w:rsidRPr="008B72F8">
          <w:rPr>
            <w:rStyle w:val="FollowedHyperlink"/>
          </w:rPr>
          <w:t>https://documents.deathpenaltyinfo.org/pdf/FactSheet.pdf</w:t>
        </w:r>
      </w:hyperlink>
      <w:r w:rsidR="00865E37" w:rsidRPr="00D10EF8">
        <w:t>.</w:t>
      </w:r>
    </w:p>
  </w:footnote>
  <w:footnote w:id="315">
    <w:p w14:paraId="1B3A966F" w14:textId="039E6FC3" w:rsidR="00865E37" w:rsidRPr="00D10EF8" w:rsidRDefault="00513C2C" w:rsidP="005B4367">
      <w:pPr>
        <w:pStyle w:val="FootnoteText"/>
      </w:pPr>
      <w:r w:rsidRPr="00D10EF8">
        <w:tab/>
      </w:r>
      <w:r w:rsidRPr="00093AC5">
        <w:rPr>
          <w:rStyle w:val="FootnoteReference"/>
        </w:rPr>
        <w:footnoteRef/>
      </w:r>
      <w:r w:rsidRPr="00D10EF8">
        <w:tab/>
      </w:r>
      <w:r w:rsidR="00865E37" w:rsidRPr="00D10EF8">
        <w:t xml:space="preserve">CERD/C/USA/10-12, </w:t>
      </w:r>
      <w:r w:rsidR="002A7FA1">
        <w:t>par. </w:t>
      </w:r>
      <w:r w:rsidR="00865E37" w:rsidRPr="00D10EF8">
        <w:t>116.</w:t>
      </w:r>
    </w:p>
  </w:footnote>
  <w:footnote w:id="316">
    <w:p w14:paraId="31A9CFD4" w14:textId="056C3001" w:rsidR="00865E37" w:rsidRPr="00D10EF8" w:rsidRDefault="00513C2C" w:rsidP="005B4367">
      <w:pPr>
        <w:pStyle w:val="FootnoteText"/>
      </w:pPr>
      <w:r w:rsidRPr="00D10EF8">
        <w:tab/>
      </w:r>
      <w:r w:rsidRPr="00093AC5">
        <w:rPr>
          <w:rStyle w:val="FootnoteReference"/>
        </w:rPr>
        <w:footnoteRef/>
      </w:r>
      <w:r w:rsidRPr="00D10EF8">
        <w:tab/>
      </w:r>
      <w:r w:rsidR="00865E37" w:rsidRPr="00D10EF8">
        <w:t>Communication de Harm Reduction International/Release.</w:t>
      </w:r>
    </w:p>
  </w:footnote>
  <w:footnote w:id="317">
    <w:p w14:paraId="5A96D7FF" w14:textId="665B4DF3" w:rsidR="00865E37" w:rsidRPr="00D10EF8" w:rsidRDefault="00513C2C" w:rsidP="005B4367">
      <w:pPr>
        <w:pStyle w:val="FootnoteText"/>
      </w:pPr>
      <w:r w:rsidRPr="00D10EF8">
        <w:tab/>
      </w:r>
      <w:r w:rsidRPr="00093AC5">
        <w:rPr>
          <w:rStyle w:val="FootnoteReference"/>
        </w:rPr>
        <w:footnoteRef/>
      </w:r>
      <w:r w:rsidRPr="00D10EF8">
        <w:tab/>
      </w:r>
      <w:hyperlink r:id="rId350" w:history="1">
        <w:r w:rsidR="00865E37" w:rsidRPr="00CE020A">
          <w:rPr>
            <w:rStyle w:val="Hyperlink"/>
          </w:rPr>
          <w:t>https://www.hri.global/files/2021/04/07/HRI_Death_Penalty_Report_2020_FINAL.pdf</w:t>
        </w:r>
      </w:hyperlink>
      <w:r w:rsidR="00865E37" w:rsidRPr="00D10EF8">
        <w:t>.</w:t>
      </w:r>
    </w:p>
  </w:footnote>
  <w:footnote w:id="318">
    <w:p w14:paraId="67E945A0" w14:textId="1F4252D6" w:rsidR="00865E37" w:rsidRPr="00D10EF8" w:rsidRDefault="00513C2C" w:rsidP="005B4367">
      <w:pPr>
        <w:pStyle w:val="FootnoteText"/>
      </w:pPr>
      <w:r w:rsidRPr="00D10EF8">
        <w:tab/>
      </w:r>
      <w:r w:rsidRPr="00093AC5">
        <w:rPr>
          <w:rStyle w:val="FootnoteReference"/>
        </w:rPr>
        <w:footnoteRef/>
      </w:r>
      <w:r w:rsidRPr="00D10EF8">
        <w:tab/>
      </w:r>
      <w:r w:rsidR="00865E37" w:rsidRPr="00D10EF8">
        <w:t xml:space="preserve">Communication de Harm Reduction International/Release, en référence à </w:t>
      </w:r>
      <w:hyperlink r:id="rId351" w:history="1">
        <w:r w:rsidR="00865E37" w:rsidRPr="00CE020A">
          <w:rPr>
            <w:rStyle w:val="Hyperlink"/>
          </w:rPr>
          <w:t>http://icjr.or.id/data/wpcontent/uploads/2018/08/DEATHPENALTY-POLICY-final-1.pdf</w:t>
        </w:r>
      </w:hyperlink>
      <w:r w:rsidR="00BF73AB">
        <w:t> ;</w:t>
      </w:r>
      <w:r w:rsidR="00865E37" w:rsidRPr="00D10EF8">
        <w:t xml:space="preserve"> </w:t>
      </w:r>
      <w:hyperlink r:id="rId352" w:history="1">
        <w:r w:rsidR="00865E37" w:rsidRPr="00CE020A">
          <w:rPr>
            <w:rStyle w:val="Hyperlink"/>
          </w:rPr>
          <w:t>https://edition.cnn.com/2016/07/28/asia/indonesia-drug-executions/index.html</w:t>
        </w:r>
      </w:hyperlink>
      <w:r w:rsidR="00865E37" w:rsidRPr="00D10EF8">
        <w:t xml:space="preserve">. Voir également </w:t>
      </w:r>
      <w:hyperlink r:id="rId353" w:history="1">
        <w:r w:rsidR="00865E37" w:rsidRPr="00CE020A">
          <w:rPr>
            <w:rStyle w:val="Hyperlink"/>
          </w:rPr>
          <w:t>https://www.amnesty.org/fr/documents/act50/3487/2016/fr/</w:t>
        </w:r>
      </w:hyperlink>
      <w:r w:rsidR="00865E37" w:rsidRPr="00D10EF8">
        <w:t xml:space="preserve">, </w:t>
      </w:r>
      <w:r w:rsidR="002A7FA1">
        <w:t>p. </w:t>
      </w:r>
      <w:r w:rsidR="00865E37" w:rsidRPr="00D10EF8">
        <w:t>31.</w:t>
      </w:r>
    </w:p>
  </w:footnote>
  <w:footnote w:id="319">
    <w:p w14:paraId="7B20EBDB" w14:textId="42E196FE" w:rsidR="00865E37" w:rsidRPr="00D10EF8" w:rsidRDefault="00513C2C" w:rsidP="005B4367">
      <w:pPr>
        <w:pStyle w:val="FootnoteText"/>
      </w:pPr>
      <w:r w:rsidRPr="00D10EF8">
        <w:tab/>
      </w:r>
      <w:r w:rsidRPr="00093AC5">
        <w:rPr>
          <w:rStyle w:val="FootnoteReference"/>
        </w:rPr>
        <w:footnoteRef/>
      </w:r>
      <w:r w:rsidRPr="00D10EF8">
        <w:tab/>
      </w:r>
      <w:hyperlink r:id="rId354" w:history="1">
        <w:r w:rsidR="00865E37" w:rsidRPr="00CE020A">
          <w:rPr>
            <w:rStyle w:val="Hyperlink"/>
          </w:rPr>
          <w:t>https://bjs.ojp.gov/content/pub/pdf/cpp15.pdf</w:t>
        </w:r>
      </w:hyperlink>
      <w:r w:rsidR="00865E37" w:rsidRPr="00D10EF8">
        <w:t xml:space="preserve">, </w:t>
      </w:r>
      <w:r w:rsidR="002A7FA1">
        <w:t>p. </w:t>
      </w:r>
      <w:r w:rsidR="00865E37" w:rsidRPr="00D10EF8">
        <w:t>1 et 4.</w:t>
      </w:r>
    </w:p>
  </w:footnote>
  <w:footnote w:id="320">
    <w:p w14:paraId="39051D81" w14:textId="4CE3E04D" w:rsidR="00865E37" w:rsidRPr="00D10EF8" w:rsidRDefault="00513C2C" w:rsidP="005B4367">
      <w:pPr>
        <w:pStyle w:val="FootnoteText"/>
      </w:pPr>
      <w:r w:rsidRPr="00D10EF8">
        <w:tab/>
      </w:r>
      <w:r w:rsidRPr="00093AC5">
        <w:rPr>
          <w:rStyle w:val="FootnoteReference"/>
        </w:rPr>
        <w:footnoteRef/>
      </w:r>
      <w:r w:rsidRPr="00D10EF8">
        <w:tab/>
      </w:r>
      <w:hyperlink r:id="rId355" w:history="1">
        <w:r w:rsidR="00865E37" w:rsidRPr="00CE020A">
          <w:rPr>
            <w:rStyle w:val="Hyperlink"/>
          </w:rPr>
          <w:t>https://mappingpoliceviolence.org/</w:t>
        </w:r>
      </w:hyperlink>
      <w:r w:rsidR="00865E37" w:rsidRPr="00D10EF8">
        <w:t xml:space="preserve">. Voir également </w:t>
      </w:r>
      <w:hyperlink r:id="rId356" w:history="1">
        <w:r w:rsidR="00865E37" w:rsidRPr="00CE020A">
          <w:rPr>
            <w:rStyle w:val="Hyperlink"/>
          </w:rPr>
          <w:t>https://www.washingtonpost.com/graphics/</w:t>
        </w:r>
        <w:r w:rsidR="00A837EB">
          <w:rPr>
            <w:rStyle w:val="Hyperlink"/>
          </w:rPr>
          <w:t xml:space="preserve"> </w:t>
        </w:r>
        <w:r w:rsidR="00865E37" w:rsidRPr="00CE020A">
          <w:rPr>
            <w:rStyle w:val="Hyperlink"/>
          </w:rPr>
          <w:t>investigations/police-shootings-database/</w:t>
        </w:r>
      </w:hyperlink>
      <w:r w:rsidR="00BF73AB">
        <w:t> ;</w:t>
      </w:r>
      <w:r w:rsidR="00865E37" w:rsidRPr="00D10EF8">
        <w:t xml:space="preserve"> </w:t>
      </w:r>
      <w:hyperlink r:id="rId357" w:history="1">
        <w:r w:rsidR="00865E37" w:rsidRPr="00CE020A">
          <w:rPr>
            <w:rStyle w:val="Hyperlink"/>
          </w:rPr>
          <w:t>https://www.amnestyusa.org/issues/the-united-states-is-violating-the-human-rights-of-black-people-by-failing-to-restrict-use-of-deadly-force-by-police/</w:t>
        </w:r>
      </w:hyperlink>
      <w:r w:rsidR="00865E37" w:rsidRPr="00D10EF8">
        <w:t>.</w:t>
      </w:r>
    </w:p>
  </w:footnote>
  <w:footnote w:id="321">
    <w:p w14:paraId="1449BBE7" w14:textId="5D20B546" w:rsidR="00865E37" w:rsidRPr="00D10EF8" w:rsidRDefault="00513C2C" w:rsidP="005B4367">
      <w:pPr>
        <w:pStyle w:val="FootnoteText"/>
      </w:pPr>
      <w:r w:rsidRPr="00D10EF8">
        <w:tab/>
      </w:r>
      <w:r w:rsidRPr="00093AC5">
        <w:rPr>
          <w:rStyle w:val="FootnoteReference"/>
        </w:rPr>
        <w:footnoteRef/>
      </w:r>
      <w:r w:rsidRPr="00D10EF8">
        <w:tab/>
      </w:r>
      <w:r w:rsidR="00865E37" w:rsidRPr="00D10EF8">
        <w:t>Communication de Action Canada pour la santé et les droits sexuels</w:t>
      </w:r>
      <w:r w:rsidR="00BF73AB">
        <w:t> ;</w:t>
      </w:r>
      <w:r w:rsidR="00865E37" w:rsidRPr="00D10EF8">
        <w:t xml:space="preserve"> </w:t>
      </w:r>
      <w:hyperlink r:id="rId358" w:history="1">
        <w:r w:rsidR="00865E37" w:rsidRPr="00CE020A">
          <w:rPr>
            <w:rStyle w:val="Hyperlink"/>
          </w:rPr>
          <w:t>https://www.ohrc.on.ca/</w:t>
        </w:r>
        <w:r w:rsidR="00A837EB">
          <w:rPr>
            <w:rStyle w:val="Hyperlink"/>
          </w:rPr>
          <w:t xml:space="preserve"> </w:t>
        </w:r>
        <w:r w:rsidR="00865E37" w:rsidRPr="00CE020A">
          <w:rPr>
            <w:rStyle w:val="Hyperlink"/>
          </w:rPr>
          <w:t>fr/enqu%C3%AAte-d%E2%80%99int%C3%A9r%C3%AAt-public-sur-le-profilage-racial-et-la-discrimination-raciale-au-sein-du-service-de/un-impact-collectif-rapport-provisoire-relatif-%C3%A0-lenqu%C3%AAte-sur-le-profilage</w:t>
        </w:r>
      </w:hyperlink>
      <w:r w:rsidR="00865E37" w:rsidRPr="00D10EF8">
        <w:t>.</w:t>
      </w:r>
    </w:p>
  </w:footnote>
  <w:footnote w:id="322">
    <w:p w14:paraId="6BBA3ED1" w14:textId="02A6EB39" w:rsidR="00865E37" w:rsidRPr="00D10EF8" w:rsidRDefault="00513C2C" w:rsidP="005B4367">
      <w:pPr>
        <w:pStyle w:val="FootnoteText"/>
      </w:pPr>
      <w:r w:rsidRPr="00D10EF8">
        <w:tab/>
      </w:r>
      <w:r w:rsidRPr="00093AC5">
        <w:rPr>
          <w:rStyle w:val="FootnoteReference"/>
        </w:rPr>
        <w:footnoteRef/>
      </w:r>
      <w:r w:rsidRPr="00D10EF8">
        <w:tab/>
      </w:r>
      <w:hyperlink r:id="rId359" w:history="1">
        <w:r w:rsidR="00865E37" w:rsidRPr="00CE020A">
          <w:rPr>
            <w:rStyle w:val="Hyperlink"/>
          </w:rPr>
          <w:t>https://forumseguranca.org.br/wp-content/uploads/2020/11/infografico-violncia-desigualdade-racial-2020-v6.pdf</w:t>
        </w:r>
      </w:hyperlink>
      <w:r w:rsidR="00865E37" w:rsidRPr="00D10EF8">
        <w:t xml:space="preserve">. Voir également </w:t>
      </w:r>
      <w:hyperlink r:id="rId360" w:history="1">
        <w:r w:rsidR="00865E37" w:rsidRPr="00CE020A">
          <w:rPr>
            <w:rStyle w:val="Hyperlink"/>
          </w:rPr>
          <w:t>http://www.scielo.org.co/pdf/res/n64/0123-885X-res-64-00027.pdf</w:t>
        </w:r>
      </w:hyperlink>
      <w:r w:rsidR="00865E37" w:rsidRPr="00D10EF8">
        <w:t xml:space="preserve">, </w:t>
      </w:r>
      <w:r w:rsidR="002A7FA1">
        <w:t>p. </w:t>
      </w:r>
      <w:r w:rsidR="00865E37" w:rsidRPr="00D10EF8">
        <w:t>91.</w:t>
      </w:r>
    </w:p>
  </w:footnote>
  <w:footnote w:id="323">
    <w:p w14:paraId="6308D714" w14:textId="7F7DC706" w:rsidR="00865E37" w:rsidRPr="00D10EF8" w:rsidRDefault="00513C2C" w:rsidP="005B4367">
      <w:pPr>
        <w:pStyle w:val="FootnoteText"/>
      </w:pPr>
      <w:r w:rsidRPr="00D10EF8">
        <w:tab/>
      </w:r>
      <w:r w:rsidRPr="00093AC5">
        <w:rPr>
          <w:rStyle w:val="FootnoteReference"/>
        </w:rPr>
        <w:footnoteRef/>
      </w:r>
      <w:r w:rsidRPr="00D10EF8">
        <w:tab/>
      </w:r>
      <w:hyperlink r:id="rId361" w:history="1">
        <w:r w:rsidR="00865E37" w:rsidRPr="00CE020A">
          <w:rPr>
            <w:rStyle w:val="Hyperlink"/>
          </w:rPr>
          <w:t>https://forumseguranca.org.br/wp-content/uploads/2020/10/anuario-14-2020-v1-interativo.pdf</w:t>
        </w:r>
      </w:hyperlink>
      <w:r w:rsidR="00865E37" w:rsidRPr="00D10EF8">
        <w:t xml:space="preserve">. </w:t>
      </w:r>
    </w:p>
  </w:footnote>
  <w:footnote w:id="324">
    <w:p w14:paraId="652FFD8B" w14:textId="3E78C6A7" w:rsidR="00865E37" w:rsidRPr="00D10EF8" w:rsidRDefault="00513C2C" w:rsidP="005B4367">
      <w:pPr>
        <w:pStyle w:val="FootnoteText"/>
      </w:pPr>
      <w:r w:rsidRPr="00D10EF8">
        <w:tab/>
      </w:r>
      <w:r w:rsidRPr="00093AC5">
        <w:rPr>
          <w:rStyle w:val="FootnoteReference"/>
        </w:rPr>
        <w:footnoteRef/>
      </w:r>
      <w:r w:rsidRPr="00D10EF8">
        <w:tab/>
      </w:r>
      <w:hyperlink r:id="rId362" w:history="1">
        <w:r w:rsidR="00865E37" w:rsidRPr="00CE020A">
          <w:rPr>
            <w:rStyle w:val="Hyperlink"/>
          </w:rPr>
          <w:t>http://observatorioseguranca.com.br/wp-content/uploads/2020/12/Novo-Relat%C3%B3rio_A-cor-da-viol%C3%AAncia-policial_a-bala-n%C3%A3o-erra-o-alvo.pdf</w:t>
        </w:r>
      </w:hyperlink>
      <w:r w:rsidR="00865E37" w:rsidRPr="00D10EF8">
        <w:t xml:space="preserve">, </w:t>
      </w:r>
      <w:r w:rsidR="002A7FA1">
        <w:t>p. </w:t>
      </w:r>
      <w:r w:rsidR="00865E37" w:rsidRPr="00D10EF8">
        <w:t>6.</w:t>
      </w:r>
    </w:p>
  </w:footnote>
  <w:footnote w:id="325">
    <w:p w14:paraId="7D1EB12F" w14:textId="0F3CCABE" w:rsidR="00865E37" w:rsidRPr="00D10EF8" w:rsidRDefault="00513C2C" w:rsidP="005B4367">
      <w:pPr>
        <w:pStyle w:val="FootnoteText"/>
      </w:pPr>
      <w:r w:rsidRPr="00D10EF8">
        <w:tab/>
      </w:r>
      <w:r w:rsidRPr="00093AC5">
        <w:rPr>
          <w:rStyle w:val="FootnoteReference"/>
        </w:rPr>
        <w:footnoteRef/>
      </w:r>
      <w:r w:rsidRPr="00D10EF8">
        <w:tab/>
      </w:r>
      <w:r w:rsidR="00865E37" w:rsidRPr="00D10EF8">
        <w:t>A/74/271</w:t>
      </w:r>
      <w:r w:rsidR="00BF73AB">
        <w:t> ;</w:t>
      </w:r>
      <w:r w:rsidR="00865E37" w:rsidRPr="00D10EF8">
        <w:t xml:space="preserve"> </w:t>
      </w:r>
      <w:hyperlink r:id="rId363" w:history="1">
        <w:r w:rsidR="00865E37" w:rsidRPr="00D10EF8">
          <w:rPr>
            <w:rFonts w:eastAsia="Arial Unicode MS"/>
          </w:rPr>
          <w:t>A/HRC/29/36</w:t>
        </w:r>
      </w:hyperlink>
      <w:r w:rsidR="00BF73AB">
        <w:rPr>
          <w:rFonts w:eastAsia="Arial Unicode MS"/>
        </w:rPr>
        <w:t> ;</w:t>
      </w:r>
      <w:r w:rsidR="00865E37" w:rsidRPr="00D10EF8">
        <w:rPr>
          <w:rFonts w:eastAsia="Arial Unicode MS"/>
        </w:rPr>
        <w:t xml:space="preserve"> </w:t>
      </w:r>
      <w:r w:rsidR="00865E37" w:rsidRPr="00D10EF8">
        <w:t>A/HRC/33/67.</w:t>
      </w:r>
    </w:p>
  </w:footnote>
  <w:footnote w:id="326">
    <w:p w14:paraId="1D80434D" w14:textId="7106DB2B" w:rsidR="00865E37" w:rsidRPr="00D10EF8" w:rsidRDefault="00513C2C" w:rsidP="005B4367">
      <w:pPr>
        <w:pStyle w:val="FootnoteText"/>
      </w:pPr>
      <w:r w:rsidRPr="00D10EF8">
        <w:tab/>
      </w:r>
      <w:r w:rsidRPr="00093AC5">
        <w:rPr>
          <w:rStyle w:val="FootnoteReference"/>
        </w:rPr>
        <w:footnoteRef/>
      </w:r>
      <w:r w:rsidRPr="00D10EF8">
        <w:tab/>
      </w:r>
      <w:hyperlink r:id="rId364" w:history="1">
        <w:r w:rsidR="00865E37" w:rsidRPr="00CE020A">
          <w:rPr>
            <w:rStyle w:val="Hyperlink"/>
          </w:rPr>
          <w:t>https://www.fcnl.org/updates/2020-12/black-lives-matter-black-immigrants-lives-matter-black-asylum-seekers-lives-matter</w:t>
        </w:r>
      </w:hyperlink>
      <w:r w:rsidR="00865E37" w:rsidRPr="00D10EF8">
        <w:t>.</w:t>
      </w:r>
    </w:p>
  </w:footnote>
  <w:footnote w:id="327">
    <w:p w14:paraId="5CA291C0" w14:textId="1B4EE5B5" w:rsidR="00865E37" w:rsidRPr="00D10EF8" w:rsidRDefault="00513C2C" w:rsidP="005B4367">
      <w:pPr>
        <w:pStyle w:val="FootnoteText"/>
      </w:pPr>
      <w:r w:rsidRPr="00D10EF8">
        <w:tab/>
      </w:r>
      <w:r w:rsidRPr="00093AC5">
        <w:rPr>
          <w:rStyle w:val="FootnoteReference"/>
        </w:rPr>
        <w:footnoteRef/>
      </w:r>
      <w:r w:rsidRPr="00D10EF8">
        <w:tab/>
      </w:r>
      <w:hyperlink r:id="rId365" w:history="1">
        <w:r w:rsidR="00865E37" w:rsidRPr="00CE020A">
          <w:rPr>
            <w:rStyle w:val="Hyperlink"/>
          </w:rPr>
          <w:t>https://missingmigrants.iom.int/region/mediterranean</w:t>
        </w:r>
      </w:hyperlink>
      <w:r w:rsidR="00865E37" w:rsidRPr="00D10EF8">
        <w:t>.</w:t>
      </w:r>
    </w:p>
  </w:footnote>
  <w:footnote w:id="328">
    <w:p w14:paraId="63BE561A" w14:textId="732260F2" w:rsidR="00865E37" w:rsidRPr="00D10EF8" w:rsidRDefault="00513C2C" w:rsidP="005B4367">
      <w:pPr>
        <w:pStyle w:val="FootnoteText"/>
      </w:pPr>
      <w:r w:rsidRPr="00D10EF8">
        <w:tab/>
      </w:r>
      <w:r w:rsidRPr="00093AC5">
        <w:rPr>
          <w:rStyle w:val="FootnoteReference"/>
        </w:rPr>
        <w:footnoteRef/>
      </w:r>
      <w:r w:rsidRPr="00D10EF8">
        <w:tab/>
      </w:r>
      <w:r w:rsidR="00865E37" w:rsidRPr="00D10EF8">
        <w:rPr>
          <w:rFonts w:eastAsia="Arial Unicode MS"/>
        </w:rPr>
        <w:t xml:space="preserve">Communications </w:t>
      </w:r>
      <w:r w:rsidR="00865E37">
        <w:rPr>
          <w:rFonts w:eastAsia="Arial Unicode MS"/>
        </w:rPr>
        <w:t>des organisations suivantes :</w:t>
      </w:r>
      <w:r w:rsidR="00865E37" w:rsidRPr="00D10EF8">
        <w:t xml:space="preserve"> Centre Suisse pour la Défense des Droits des Migrants, Plate-forme pour la coopération internationale concernant les migrants sans papiers (PICUM), Bureau Quaker auprès des Nations Unies,</w:t>
      </w:r>
      <w:r w:rsidR="00865E37">
        <w:t xml:space="preserve"> </w:t>
      </w:r>
      <w:r w:rsidR="00865E37" w:rsidRPr="00D10EF8">
        <w:t>US Human Rights Network (USHRN), Coalición indígena de Migrantes de Chiapas/Proyecto Afrodescedencia Mexico/Instituto para las Mujeres en la Migración A.C. (IMUMI), Centro de Estudios Legales y Sociales (CELS)/Diáspora Africana de la Argentina (DIAFAR) et Institution nationale des droits de l</w:t>
      </w:r>
      <w:r w:rsidR="00F60EAA">
        <w:t>’</w:t>
      </w:r>
      <w:r w:rsidR="00865E37" w:rsidRPr="00D10EF8">
        <w:t>homme du Panama (D</w:t>
      </w:r>
      <w:r w:rsidR="00865E37">
        <w:t>é</w:t>
      </w:r>
      <w:r w:rsidR="00865E37" w:rsidRPr="00D10EF8">
        <w:t>fens</w:t>
      </w:r>
      <w:r w:rsidR="00865E37">
        <w:t>eur du peuple</w:t>
      </w:r>
      <w:r w:rsidR="00865E37" w:rsidRPr="00D10EF8">
        <w:t>)</w:t>
      </w:r>
      <w:r w:rsidR="00BF73AB">
        <w:t> ;</w:t>
      </w:r>
      <w:r w:rsidR="00865E37" w:rsidRPr="00D10EF8">
        <w:t xml:space="preserve"> </w:t>
      </w:r>
      <w:hyperlink r:id="rId366" w:history="1">
        <w:r w:rsidR="00865E37" w:rsidRPr="00CE020A">
          <w:rPr>
            <w:rStyle w:val="Hyperlink"/>
          </w:rPr>
          <w:t>www.ohchr.org/en/NewsEvents/Pages/DisplayNews.aspx?NewsID=16270&amp;LangID=E</w:t>
        </w:r>
      </w:hyperlink>
      <w:r w:rsidR="00BF73AB">
        <w:t> ;</w:t>
      </w:r>
      <w:r w:rsidR="00865E37" w:rsidRPr="00D10EF8">
        <w:t xml:space="preserve"> </w:t>
      </w:r>
      <w:hyperlink r:id="rId367" w:history="1">
        <w:r w:rsidR="00865E37" w:rsidRPr="00CE020A">
          <w:rPr>
            <w:rStyle w:val="Hyperlink"/>
          </w:rPr>
          <w:t>www.ohchr.org/en/NewsEvents/Pages/DisplayNews.aspx?NewsID=25146&amp;LangID=E</w:t>
        </w:r>
      </w:hyperlink>
      <w:r w:rsidR="00BF73AB">
        <w:t> ;</w:t>
      </w:r>
      <w:r w:rsidR="00865E37" w:rsidRPr="00D10EF8">
        <w:t xml:space="preserve"> </w:t>
      </w:r>
      <w:hyperlink r:id="rId368" w:history="1">
        <w:r w:rsidR="00865E37" w:rsidRPr="00CE020A">
          <w:rPr>
            <w:rStyle w:val="Hyperlink"/>
          </w:rPr>
          <w:t>https://assets.publishing.service.gov.uk/government/uploads/system/uploads/attachment_data/file/874022/6.5577_HO_Windrush_Lessons_Learned_Review_WEB_v2.pdf</w:t>
        </w:r>
      </w:hyperlink>
      <w:r w:rsidR="00865E37" w:rsidRPr="00D10EF8">
        <w:t>.</w:t>
      </w:r>
    </w:p>
  </w:footnote>
  <w:footnote w:id="329">
    <w:p w14:paraId="17FA1E1B" w14:textId="5B741060" w:rsidR="00865E37" w:rsidRPr="00D10EF8" w:rsidRDefault="00513C2C" w:rsidP="005B4367">
      <w:pPr>
        <w:pStyle w:val="FootnoteText"/>
        <w:rPr>
          <w:sz w:val="22"/>
          <w:szCs w:val="22"/>
        </w:rPr>
      </w:pPr>
      <w:r w:rsidRPr="00D10EF8">
        <w:tab/>
      </w:r>
      <w:r w:rsidRPr="00093AC5">
        <w:rPr>
          <w:rStyle w:val="FootnoteReference"/>
        </w:rPr>
        <w:footnoteRef/>
      </w:r>
      <w:r w:rsidRPr="00D10EF8">
        <w:tab/>
      </w:r>
      <w:hyperlink r:id="rId369" w:history="1">
        <w:r w:rsidR="00865E37" w:rsidRPr="00CE020A">
          <w:rPr>
            <w:rStyle w:val="Hyperlink"/>
          </w:rPr>
          <w:t>www.ohchr.org/Documents/Countries/LY/LibyaMigrationReport.pdf</w:t>
        </w:r>
      </w:hyperlink>
      <w:r w:rsidR="00BF73AB">
        <w:t> ;</w:t>
      </w:r>
      <w:r w:rsidR="00865E37" w:rsidRPr="00D10EF8">
        <w:t xml:space="preserve"> </w:t>
      </w:r>
      <w:hyperlink r:id="rId370" w:history="1">
        <w:r w:rsidR="00865E37" w:rsidRPr="00CE020A">
          <w:rPr>
            <w:rStyle w:val="Hyperlink"/>
          </w:rPr>
          <w:t>https://tbinternet.ohchr.org/Treaties/CERD/Shared%20Documents/LBY/INT_CERD_SWA_LBY_8609_E.pdf</w:t>
        </w:r>
      </w:hyperlink>
      <w:r w:rsidR="00865E37" w:rsidRPr="00D10EF8">
        <w:rPr>
          <w:u w:color="0000FF"/>
        </w:rPr>
        <w:t>.</w:t>
      </w:r>
    </w:p>
  </w:footnote>
  <w:footnote w:id="330">
    <w:p w14:paraId="6AF2A2E8" w14:textId="6D8C52A6" w:rsidR="00D301C6" w:rsidRPr="00D10EF8" w:rsidRDefault="00513C2C" w:rsidP="005B4367">
      <w:pPr>
        <w:pStyle w:val="FootnoteText"/>
      </w:pPr>
      <w:r w:rsidRPr="00D10EF8">
        <w:tab/>
      </w:r>
      <w:r w:rsidRPr="00093AC5">
        <w:rPr>
          <w:rStyle w:val="FootnoteReference"/>
        </w:rPr>
        <w:footnoteRef/>
      </w:r>
      <w:r w:rsidRPr="00D10EF8">
        <w:tab/>
      </w:r>
      <w:r w:rsidR="00D301C6" w:rsidRPr="00D10EF8">
        <w:t>Communications de</w:t>
      </w:r>
      <w:r w:rsidR="00D301C6">
        <w:t>s organisations suivantes :</w:t>
      </w:r>
      <w:r w:rsidR="00D301C6" w:rsidRPr="00D10EF8">
        <w:t xml:space="preserve"> Action Canada pour la santé et les droits sexuels, Association pour la prévention de la torture et Black Sex Worker Collective/Best Practices Policy Project/the Outlaw Project/Desiree Alliance/New Jersey Red Umbrella Alliance. Voir également </w:t>
      </w:r>
      <w:hyperlink r:id="rId371" w:history="1">
        <w:r w:rsidR="00D301C6" w:rsidRPr="00D10EF8">
          <w:rPr>
            <w:rStyle w:val="Hyperlink"/>
            <w:lang w:val="fr-FR"/>
          </w:rPr>
          <w:t>http://www.oas.org/en/iachr/multimedia/2015/lgbti-violence/lgbti-violence.html</w:t>
        </w:r>
      </w:hyperlink>
      <w:r w:rsidR="00D301C6" w:rsidRPr="00D10EF8">
        <w:t xml:space="preserve">, </w:t>
      </w:r>
      <w:r w:rsidR="002A7FA1">
        <w:t>p. </w:t>
      </w:r>
      <w:r w:rsidR="00D301C6" w:rsidRPr="00D10EF8">
        <w:t>192</w:t>
      </w:r>
      <w:r w:rsidR="00BF73AB">
        <w:t> ;</w:t>
      </w:r>
      <w:r w:rsidR="00D301C6" w:rsidRPr="00D10EF8">
        <w:t xml:space="preserve"> </w:t>
      </w:r>
      <w:hyperlink r:id="rId372" w:history="1">
        <w:r w:rsidR="00D301C6" w:rsidRPr="00D10EF8">
          <w:rPr>
            <w:rStyle w:val="Hyperlink"/>
            <w:lang w:val="fr-FR"/>
          </w:rPr>
          <w:t>http://avp.org/wp-content/uploads/2017/04/2013_ncavp_hvreport_final.pdf</w:t>
        </w:r>
      </w:hyperlink>
      <w:r w:rsidR="00D301C6" w:rsidRPr="00D10EF8">
        <w:rPr>
          <w:rStyle w:val="Hyperlink"/>
          <w:lang w:val="fr-FR"/>
        </w:rPr>
        <w:t>,</w:t>
      </w:r>
      <w:r w:rsidR="00D301C6" w:rsidRPr="00D10EF8">
        <w:t xml:space="preserve"> p.9.</w:t>
      </w:r>
    </w:p>
  </w:footnote>
  <w:footnote w:id="331">
    <w:p w14:paraId="79609F4E" w14:textId="07CBCD84" w:rsidR="00D301C6" w:rsidRPr="00D10EF8" w:rsidRDefault="00513C2C" w:rsidP="005B4367">
      <w:pPr>
        <w:pStyle w:val="FootnoteText"/>
      </w:pPr>
      <w:r w:rsidRPr="00D10EF8">
        <w:tab/>
      </w:r>
      <w:r w:rsidRPr="00093AC5">
        <w:rPr>
          <w:rStyle w:val="FootnoteReference"/>
        </w:rPr>
        <w:footnoteRef/>
      </w:r>
      <w:r w:rsidRPr="00D10EF8">
        <w:tab/>
      </w:r>
      <w:r w:rsidR="00D301C6" w:rsidRPr="00D10EF8">
        <w:t>Voir également les communications d</w:t>
      </w:r>
      <w:r w:rsidR="00F60EAA">
        <w:t>’</w:t>
      </w:r>
      <w:r w:rsidR="00D301C6" w:rsidRPr="00D10EF8">
        <w:t>Action des Chrétiens pour l</w:t>
      </w:r>
      <w:r w:rsidR="00F60EAA">
        <w:t>’</w:t>
      </w:r>
      <w:r w:rsidR="00D301C6" w:rsidRPr="00D10EF8">
        <w:t>Abolition de la Torture (ACAT), du Colectivo Justicia Racial et de Conectas Direitos Humanos.</w:t>
      </w:r>
    </w:p>
  </w:footnote>
  <w:footnote w:id="332">
    <w:p w14:paraId="0ACC6B73" w14:textId="48A90C31" w:rsidR="00D301C6" w:rsidRPr="00D10EF8" w:rsidRDefault="00513C2C" w:rsidP="005B4367">
      <w:pPr>
        <w:pStyle w:val="FootnoteText"/>
      </w:pPr>
      <w:r w:rsidRPr="00D10EF8">
        <w:tab/>
      </w:r>
      <w:r w:rsidRPr="00093AC5">
        <w:rPr>
          <w:rStyle w:val="FootnoteReference"/>
        </w:rPr>
        <w:footnoteRef/>
      </w:r>
      <w:r w:rsidRPr="00D10EF8">
        <w:tab/>
      </w:r>
      <w:r w:rsidR="00D301C6" w:rsidRPr="00D10EF8">
        <w:t xml:space="preserve">Informations tirées de communications, </w:t>
      </w:r>
      <w:r w:rsidR="00D301C6">
        <w:t xml:space="preserve">de </w:t>
      </w:r>
      <w:r w:rsidR="00D301C6" w:rsidRPr="00D10EF8">
        <w:t xml:space="preserve">consultations et </w:t>
      </w:r>
      <w:r w:rsidR="00D301C6">
        <w:t xml:space="preserve">des </w:t>
      </w:r>
      <w:r w:rsidR="00D301C6" w:rsidRPr="00D10EF8">
        <w:t>communications des procédures spéciales.</w:t>
      </w:r>
    </w:p>
  </w:footnote>
  <w:footnote w:id="333">
    <w:p w14:paraId="5F42D4D8" w14:textId="2E98576C" w:rsidR="00D301C6" w:rsidRPr="00D10EF8" w:rsidRDefault="00513C2C" w:rsidP="005B4367">
      <w:pPr>
        <w:pStyle w:val="FootnoteText"/>
        <w:rPr>
          <w:color w:val="000000"/>
        </w:rPr>
      </w:pPr>
      <w:r w:rsidRPr="00D10EF8">
        <w:tab/>
      </w:r>
      <w:r w:rsidRPr="00093AC5">
        <w:rPr>
          <w:rStyle w:val="FootnoteReference"/>
        </w:rPr>
        <w:footnoteRef/>
      </w:r>
      <w:r w:rsidRPr="00D10EF8">
        <w:tab/>
      </w:r>
      <w:hyperlink r:id="rId373" w:history="1">
        <w:r w:rsidR="00D301C6" w:rsidRPr="00D10EF8">
          <w:rPr>
            <w:rStyle w:val="Hyperlink"/>
            <w:lang w:val="fr-FR"/>
          </w:rPr>
          <w:t>https://papers.ssrn.com/sol3/Delivery.cfm/SSRN_ID3832989_code249436.pdf?abstractid=3832989 &amp;mirid=1</w:t>
        </w:r>
      </w:hyperlink>
      <w:r w:rsidR="00D301C6" w:rsidRPr="00D10EF8">
        <w:rPr>
          <w:rStyle w:val="Hyperlink"/>
          <w:lang w:val="fr-FR"/>
        </w:rPr>
        <w:t xml:space="preserve">, </w:t>
      </w:r>
      <w:r w:rsidR="002A7FA1">
        <w:rPr>
          <w:rStyle w:val="Hyperlink"/>
          <w:lang w:val="fr-FR"/>
        </w:rPr>
        <w:t>p. </w:t>
      </w:r>
      <w:r w:rsidR="00D301C6" w:rsidRPr="00D10EF8">
        <w:rPr>
          <w:rStyle w:val="Hyperlink"/>
          <w:lang w:val="fr-FR"/>
        </w:rPr>
        <w:t>27, 36, 39 et 41</w:t>
      </w:r>
      <w:r w:rsidR="00D301C6" w:rsidRPr="00D10EF8">
        <w:t>.</w:t>
      </w:r>
    </w:p>
  </w:footnote>
  <w:footnote w:id="334">
    <w:p w14:paraId="21EC59E8" w14:textId="2CD25EC6" w:rsidR="00D301C6" w:rsidRPr="00D10EF8" w:rsidRDefault="00513C2C" w:rsidP="005B4367">
      <w:pPr>
        <w:pStyle w:val="FootnoteText"/>
      </w:pPr>
      <w:r w:rsidRPr="00D10EF8">
        <w:tab/>
      </w:r>
      <w:r w:rsidRPr="00093AC5">
        <w:rPr>
          <w:rStyle w:val="FootnoteReference"/>
        </w:rPr>
        <w:footnoteRef/>
      </w:r>
      <w:r w:rsidRPr="00D10EF8">
        <w:tab/>
      </w:r>
      <w:r w:rsidR="00D301C6" w:rsidRPr="00D10EF8">
        <w:t xml:space="preserve">Voir </w:t>
      </w:r>
      <w:hyperlink r:id="rId374" w:history="1">
        <w:r w:rsidR="00D301C6" w:rsidRPr="00D10EF8">
          <w:rPr>
            <w:rStyle w:val="Hyperlink"/>
            <w:lang w:val="fr-FR"/>
          </w:rPr>
          <w:t>https://www.ohchr.org/fr/documents/reports/ahrc4753-promotion-and-protection-human-rights-and-fundamental-freedoms-africans</w:t>
        </w:r>
      </w:hyperlink>
      <w:r w:rsidR="00D301C6" w:rsidRPr="00D10EF8">
        <w:rPr>
          <w:rStyle w:val="Hyperlink"/>
          <w:lang w:val="fr-FR"/>
        </w:rPr>
        <w:t>.</w:t>
      </w:r>
    </w:p>
  </w:footnote>
  <w:footnote w:id="335">
    <w:p w14:paraId="0341E14B" w14:textId="526EBBC7" w:rsidR="00D301C6" w:rsidRPr="00D10EF8" w:rsidRDefault="00513C2C" w:rsidP="005B4367">
      <w:pPr>
        <w:pStyle w:val="FootnoteText"/>
      </w:pPr>
      <w:r w:rsidRPr="00D10EF8">
        <w:tab/>
      </w:r>
      <w:r w:rsidRPr="00093AC5">
        <w:rPr>
          <w:rStyle w:val="FootnoteReference"/>
        </w:rPr>
        <w:footnoteRef/>
      </w:r>
      <w:r w:rsidRPr="00D10EF8">
        <w:tab/>
      </w:r>
      <w:r w:rsidR="00D301C6" w:rsidRPr="00D10EF8">
        <w:t>A/HRC/26/50, par.15</w:t>
      </w:r>
      <w:r w:rsidR="00BF73AB">
        <w:t> ;</w:t>
      </w:r>
      <w:r w:rsidR="00D301C6" w:rsidRPr="00D10EF8">
        <w:t xml:space="preserve"> A/HRC/29/47, par.12</w:t>
      </w:r>
      <w:r w:rsidR="00BF73AB">
        <w:t> ;</w:t>
      </w:r>
      <w:r w:rsidR="00D301C6" w:rsidRPr="00D10EF8">
        <w:t xml:space="preserve"> CERD/C/URY/CO/21-23, </w:t>
      </w:r>
      <w:r w:rsidR="002A7FA1">
        <w:t>par. </w:t>
      </w:r>
      <w:r w:rsidR="00D301C6" w:rsidRPr="00D10EF8">
        <w:t>27</w:t>
      </w:r>
      <w:r w:rsidR="00BF73AB">
        <w:t> ;</w:t>
      </w:r>
      <w:r w:rsidR="00D301C6" w:rsidRPr="00D10EF8">
        <w:t xml:space="preserve"> CERD/C/ARG/CO/21-23, par.35</w:t>
      </w:r>
      <w:r w:rsidR="00BF73AB">
        <w:t> ;</w:t>
      </w:r>
      <w:r w:rsidR="00D301C6" w:rsidRPr="00D10EF8">
        <w:t xml:space="preserve"> communication</w:t>
      </w:r>
      <w:r w:rsidR="00D301C6">
        <w:t>s</w:t>
      </w:r>
      <w:r w:rsidR="00D301C6" w:rsidRPr="00D10EF8">
        <w:t xml:space="preserve"> d</w:t>
      </w:r>
      <w:r w:rsidR="00D301C6">
        <w:t>es organisations suivantes :</w:t>
      </w:r>
      <w:r w:rsidR="00D301C6" w:rsidRPr="00D10EF8">
        <w:t xml:space="preserve"> Groupe de travail sur la discrimination à l</w:t>
      </w:r>
      <w:r w:rsidR="00F60EAA">
        <w:t>’</w:t>
      </w:r>
      <w:r w:rsidR="00D301C6" w:rsidRPr="00D10EF8">
        <w:t>égard des femmes et des filles</w:t>
      </w:r>
      <w:r w:rsidR="00D301C6">
        <w:t>,</w:t>
      </w:r>
      <w:r w:rsidR="00D301C6" w:rsidRPr="00D10EF8">
        <w:t xml:space="preserve"> Black Sex Worker Collective/Best Practices Policy Project/the Outlaw Project/Desiree Alliance/New Jersey Red Umbrella Alliance, </w:t>
      </w:r>
      <w:r w:rsidR="00D301C6" w:rsidRPr="00223D64">
        <w:t>Woodhull Freedom Foundation/Sex Workers Project at the Urban Justice Center</w:t>
      </w:r>
      <w:r w:rsidR="00D301C6" w:rsidRPr="00D10EF8">
        <w:t>, Rede Nacional de Mulheres Negras no Combate à Violencia et US Human Rights Network (USHRN)</w:t>
      </w:r>
      <w:r w:rsidR="00BF73AB">
        <w:t> ;</w:t>
      </w:r>
      <w:r w:rsidR="00D301C6" w:rsidRPr="00D10EF8">
        <w:rPr>
          <w:szCs w:val="18"/>
        </w:rPr>
        <w:t xml:space="preserve"> </w:t>
      </w:r>
      <w:hyperlink r:id="rId375" w:history="1">
        <w:r w:rsidR="00D301C6" w:rsidRPr="00D10EF8">
          <w:rPr>
            <w:rStyle w:val="Hyperlink"/>
            <w:szCs w:val="18"/>
            <w:lang w:val="fr-FR"/>
          </w:rPr>
          <w:t>https://44bbdc6e-01a4-4a9a-88bc-731c6524888e.filesusr.com/ugd/62e126_8752f0575a22470ba7c7be7f723ed6ee.pdf</w:t>
        </w:r>
      </w:hyperlink>
      <w:r w:rsidR="00BF73AB">
        <w:rPr>
          <w:szCs w:val="18"/>
        </w:rPr>
        <w:t> ;</w:t>
      </w:r>
      <w:r w:rsidR="00D301C6" w:rsidRPr="00D10EF8">
        <w:rPr>
          <w:szCs w:val="18"/>
        </w:rPr>
        <w:t xml:space="preserve"> </w:t>
      </w:r>
      <w:hyperlink r:id="rId376" w:history="1">
        <w:r w:rsidR="00D301C6" w:rsidRPr="00D10EF8">
          <w:rPr>
            <w:rStyle w:val="Hyperlink"/>
            <w:szCs w:val="18"/>
            <w:lang w:val="fr-FR"/>
          </w:rPr>
          <w:t>https://www.oas.org/en/iachr/reports/pdfs/PoliceUseOfForceAfrosUSA.pdf</w:t>
        </w:r>
      </w:hyperlink>
      <w:r w:rsidR="00D301C6" w:rsidRPr="00D10EF8">
        <w:rPr>
          <w:szCs w:val="18"/>
        </w:rPr>
        <w:t xml:space="preserve">, </w:t>
      </w:r>
      <w:r w:rsidR="002A7FA1">
        <w:rPr>
          <w:szCs w:val="18"/>
        </w:rPr>
        <w:t>p. </w:t>
      </w:r>
      <w:r w:rsidR="00D301C6" w:rsidRPr="00D10EF8">
        <w:rPr>
          <w:szCs w:val="18"/>
        </w:rPr>
        <w:t>93</w:t>
      </w:r>
      <w:r w:rsidR="00BF73AB">
        <w:rPr>
          <w:szCs w:val="18"/>
        </w:rPr>
        <w:t> ;</w:t>
      </w:r>
      <w:r w:rsidR="00D301C6" w:rsidRPr="00D10EF8">
        <w:rPr>
          <w:szCs w:val="18"/>
        </w:rPr>
        <w:t xml:space="preserve"> </w:t>
      </w:r>
      <w:hyperlink r:id="rId377" w:history="1">
        <w:r w:rsidR="00D301C6" w:rsidRPr="00D10EF8">
          <w:rPr>
            <w:rStyle w:val="Hyperlink"/>
            <w:szCs w:val="18"/>
            <w:lang w:val="fr-FR"/>
          </w:rPr>
          <w:t>http://www.oas.org/en/iachr/reports/pdfs/violencelgbtipersons.pdf</w:t>
        </w:r>
      </w:hyperlink>
      <w:r w:rsidR="00D301C6" w:rsidRPr="00D10EF8">
        <w:rPr>
          <w:szCs w:val="18"/>
        </w:rPr>
        <w:t xml:space="preserve">, </w:t>
      </w:r>
      <w:r w:rsidR="002A7FA1">
        <w:rPr>
          <w:szCs w:val="18"/>
        </w:rPr>
        <w:t>p. </w:t>
      </w:r>
      <w:r w:rsidR="00D301C6" w:rsidRPr="00D10EF8">
        <w:rPr>
          <w:szCs w:val="18"/>
        </w:rPr>
        <w:t>195 à 197</w:t>
      </w:r>
      <w:r w:rsidR="00BF73AB">
        <w:rPr>
          <w:szCs w:val="18"/>
        </w:rPr>
        <w:t> ;</w:t>
      </w:r>
      <w:r w:rsidR="00D301C6" w:rsidRPr="00D10EF8">
        <w:rPr>
          <w:szCs w:val="18"/>
        </w:rPr>
        <w:t xml:space="preserve"> </w:t>
      </w:r>
      <w:hyperlink r:id="rId378" w:history="1">
        <w:r w:rsidR="00D301C6" w:rsidRPr="00D10EF8">
          <w:rPr>
            <w:rStyle w:val="Hyperlink"/>
            <w:szCs w:val="18"/>
            <w:lang w:val="fr-FR"/>
          </w:rPr>
          <w:t>https://antrabrasil.files.wordpress.com/2020/11/dosier-de-los-asesinatos-y-de-la-violencia-en-contra-travestis-y-transexuales-brasilenas-en-2019.pdf</w:t>
        </w:r>
      </w:hyperlink>
      <w:r w:rsidR="00D301C6" w:rsidRPr="00D10EF8">
        <w:rPr>
          <w:szCs w:val="18"/>
        </w:rPr>
        <w:t xml:space="preserve">, </w:t>
      </w:r>
      <w:r w:rsidR="002A7FA1">
        <w:rPr>
          <w:szCs w:val="18"/>
        </w:rPr>
        <w:t>p. </w:t>
      </w:r>
      <w:r w:rsidR="00D301C6" w:rsidRPr="00D10EF8">
        <w:rPr>
          <w:szCs w:val="18"/>
        </w:rPr>
        <w:t>55</w:t>
      </w:r>
      <w:r w:rsidR="00D301C6" w:rsidRPr="00D10EF8">
        <w:t>.</w:t>
      </w:r>
    </w:p>
  </w:footnote>
  <w:footnote w:id="336">
    <w:p w14:paraId="116C9CB7" w14:textId="207AA4A4" w:rsidR="00D301C6" w:rsidRPr="00D10EF8" w:rsidRDefault="00513C2C" w:rsidP="005B4367">
      <w:pPr>
        <w:pStyle w:val="FootnoteText"/>
      </w:pPr>
      <w:r w:rsidRPr="00D10EF8">
        <w:tab/>
      </w:r>
      <w:r w:rsidRPr="00093AC5">
        <w:rPr>
          <w:rStyle w:val="FootnoteReference"/>
        </w:rPr>
        <w:footnoteRef/>
      </w:r>
      <w:r w:rsidRPr="00D10EF8">
        <w:tab/>
      </w:r>
      <w:r w:rsidR="00D301C6" w:rsidRPr="00D10EF8">
        <w:t xml:space="preserve">A/HRC/38/43, </w:t>
      </w:r>
      <w:r w:rsidR="002A7FA1">
        <w:t>par. </w:t>
      </w:r>
      <w:r w:rsidR="00D301C6" w:rsidRPr="00D10EF8">
        <w:t>45</w:t>
      </w:r>
      <w:r w:rsidR="00BF73AB">
        <w:t> ;</w:t>
      </w:r>
      <w:r w:rsidR="00D301C6" w:rsidRPr="00D10EF8">
        <w:t xml:space="preserve"> A/HRC/20/16, </w:t>
      </w:r>
      <w:r w:rsidR="002A7FA1">
        <w:t>par. </w:t>
      </w:r>
      <w:r w:rsidR="00D301C6" w:rsidRPr="00D10EF8">
        <w:t>73</w:t>
      </w:r>
      <w:r w:rsidR="00BF73AB">
        <w:t> ;</w:t>
      </w:r>
      <w:r w:rsidR="00D301C6" w:rsidRPr="00D10EF8">
        <w:t xml:space="preserve"> communication de l</w:t>
      </w:r>
      <w:r w:rsidR="00F60EAA">
        <w:t>’</w:t>
      </w:r>
      <w:r w:rsidR="00D301C6" w:rsidRPr="00D10EF8">
        <w:t>Institution nationale des droits de l</w:t>
      </w:r>
      <w:r w:rsidR="00F60EAA">
        <w:t>’</w:t>
      </w:r>
      <w:r w:rsidR="00D301C6" w:rsidRPr="00D10EF8">
        <w:t>homme de l</w:t>
      </w:r>
      <w:r w:rsidR="00F60EAA">
        <w:t>’</w:t>
      </w:r>
      <w:r w:rsidR="00D301C6" w:rsidRPr="00D10EF8">
        <w:t>Équateur (</w:t>
      </w:r>
      <w:r w:rsidR="00D301C6">
        <w:t>Défenseur du peuple</w:t>
      </w:r>
      <w:r w:rsidR="00D301C6" w:rsidRPr="00D10EF8">
        <w:t>).</w:t>
      </w:r>
    </w:p>
  </w:footnote>
  <w:footnote w:id="337">
    <w:p w14:paraId="0EC4E13E" w14:textId="2F2DF759" w:rsidR="00D301C6" w:rsidRPr="00D10EF8" w:rsidRDefault="00513C2C" w:rsidP="005B4367">
      <w:pPr>
        <w:pStyle w:val="FootnoteText"/>
      </w:pPr>
      <w:r w:rsidRPr="00D10EF8">
        <w:tab/>
      </w:r>
      <w:r w:rsidRPr="00093AC5">
        <w:rPr>
          <w:rStyle w:val="FootnoteReference"/>
        </w:rPr>
        <w:footnoteRef/>
      </w:r>
      <w:r w:rsidRPr="00D10EF8">
        <w:tab/>
      </w:r>
      <w:hyperlink r:id="rId379" w:history="1">
        <w:r w:rsidR="00D301C6" w:rsidRPr="00D10EF8">
          <w:rPr>
            <w:rStyle w:val="Hyperlink"/>
            <w:lang w:val="fr-FR"/>
          </w:rPr>
          <w:t>https://raceandequality.org/wp-content/uploads/2021/01/Dossier_Brazil_ENG.pdf</w:t>
        </w:r>
      </w:hyperlink>
      <w:r w:rsidR="00D301C6" w:rsidRPr="00D10EF8">
        <w:t xml:space="preserve">, </w:t>
      </w:r>
      <w:r w:rsidR="002A7FA1">
        <w:t>p. </w:t>
      </w:r>
      <w:r w:rsidR="00D301C6" w:rsidRPr="00D10EF8">
        <w:t>113.</w:t>
      </w:r>
    </w:p>
  </w:footnote>
  <w:footnote w:id="338">
    <w:p w14:paraId="3201B9F4" w14:textId="07590F8F" w:rsidR="00D301C6" w:rsidRPr="00D10EF8" w:rsidRDefault="00513C2C" w:rsidP="005B4367">
      <w:pPr>
        <w:pStyle w:val="FootnoteText"/>
      </w:pPr>
      <w:r w:rsidRPr="00D10EF8">
        <w:tab/>
      </w:r>
      <w:r w:rsidRPr="00093AC5">
        <w:rPr>
          <w:rStyle w:val="FootnoteReference"/>
        </w:rPr>
        <w:footnoteRef/>
      </w:r>
      <w:r w:rsidRPr="00D10EF8">
        <w:tab/>
      </w:r>
      <w:hyperlink r:id="rId380">
        <w:r w:rsidR="00D301C6" w:rsidRPr="00D10EF8">
          <w:rPr>
            <w:rStyle w:val="Hyperlink"/>
            <w:rFonts w:eastAsiaTheme="majorEastAsia"/>
            <w:lang w:val="fr-FR"/>
          </w:rPr>
          <w:t>http://www.onumulheres.org.br/noticias/nota-publica-do-alto-comissariado-de-direitos-humanos-das-nacoes-unidas-para-america-do-sul-e-da-onu-mulheres-brasil-sobre-o-assassinato-de-luana-reis/</w:t>
        </w:r>
      </w:hyperlink>
      <w:r w:rsidR="00D301C6" w:rsidRPr="00D10EF8">
        <w:t xml:space="preserve"> </w:t>
      </w:r>
    </w:p>
  </w:footnote>
  <w:footnote w:id="339">
    <w:p w14:paraId="0747827C" w14:textId="2B9AED4E" w:rsidR="00D301C6" w:rsidRPr="00DA5E7E" w:rsidRDefault="00513C2C" w:rsidP="005B4367">
      <w:pPr>
        <w:pStyle w:val="FootnoteText"/>
        <w:rPr>
          <w:lang w:val="en-US"/>
        </w:rPr>
      </w:pPr>
      <w:r w:rsidRPr="00D10EF8">
        <w:tab/>
      </w:r>
      <w:r w:rsidRPr="00093AC5">
        <w:rPr>
          <w:rStyle w:val="FootnoteReference"/>
        </w:rPr>
        <w:footnoteRef/>
      </w:r>
      <w:r w:rsidRPr="00DA5E7E">
        <w:rPr>
          <w:lang w:val="en-US"/>
        </w:rPr>
        <w:tab/>
      </w:r>
      <w:r w:rsidR="00D301C6" w:rsidRPr="00DA5E7E">
        <w:rPr>
          <w:lang w:val="en-US"/>
        </w:rPr>
        <w:t>Communications des organisations suivantes : Access to Justice Knowledge Hub for Fair Participation, Black Legal Action Centre, INQUEST et US Human Rights Network (USHRN).</w:t>
      </w:r>
    </w:p>
  </w:footnote>
  <w:footnote w:id="340">
    <w:p w14:paraId="5D659567" w14:textId="49212832" w:rsidR="00D301C6" w:rsidRPr="00D10EF8" w:rsidRDefault="00513C2C" w:rsidP="005B4367">
      <w:pPr>
        <w:pStyle w:val="FootnoteText"/>
      </w:pPr>
      <w:r w:rsidRPr="00DA5E7E">
        <w:rPr>
          <w:lang w:val="en-US"/>
        </w:rPr>
        <w:tab/>
      </w:r>
      <w:r w:rsidRPr="00093AC5">
        <w:rPr>
          <w:rStyle w:val="FootnoteReference"/>
        </w:rPr>
        <w:footnoteRef/>
      </w:r>
      <w:r w:rsidRPr="00D10EF8">
        <w:tab/>
      </w:r>
      <w:r w:rsidR="00D301C6" w:rsidRPr="00D10EF8">
        <w:t xml:space="preserve">A/72/55, Annexe : Directives relatives au droit à la liberté et à la sécurité des personnes handicapées, </w:t>
      </w:r>
      <w:r w:rsidR="002A7FA1">
        <w:t>par. </w:t>
      </w:r>
      <w:r w:rsidR="00D301C6" w:rsidRPr="00D10EF8">
        <w:t>6, 13 et 14</w:t>
      </w:r>
      <w:r w:rsidR="00BF73AB">
        <w:t> ;</w:t>
      </w:r>
      <w:r w:rsidR="00D301C6" w:rsidRPr="00D10EF8">
        <w:t xml:space="preserve"> </w:t>
      </w:r>
      <w:hyperlink r:id="rId381" w:history="1">
        <w:r w:rsidR="00D301C6" w:rsidRPr="00D10EF8">
          <w:rPr>
            <w:rStyle w:val="Hyperlink"/>
            <w:lang w:val="fr-FR"/>
          </w:rPr>
          <w:t>https://assets.publishing.service.gov.uk/government/uploads/system/uploads/</w:t>
        </w:r>
        <w:r w:rsidR="00762EDD">
          <w:rPr>
            <w:rStyle w:val="Hyperlink"/>
            <w:lang w:val="fr-FR"/>
          </w:rPr>
          <w:t xml:space="preserve"> </w:t>
        </w:r>
        <w:r w:rsidR="00D301C6" w:rsidRPr="00D10EF8">
          <w:rPr>
            <w:rStyle w:val="Hyperlink"/>
            <w:lang w:val="fr-FR"/>
          </w:rPr>
          <w:t>attachment_ data/file/655401/Report_of_Angiolini_Review_ISBN_Accessible.pdf</w:t>
        </w:r>
      </w:hyperlink>
      <w:r w:rsidR="00D301C6" w:rsidRPr="00762EDD">
        <w:rPr>
          <w:rStyle w:val="Hyperlink"/>
          <w:color w:val="auto"/>
          <w:lang w:val="fr-FR"/>
        </w:rPr>
        <w:t xml:space="preserve">, </w:t>
      </w:r>
      <w:r w:rsidR="002A7FA1" w:rsidRPr="00762EDD">
        <w:rPr>
          <w:rStyle w:val="Hyperlink"/>
          <w:color w:val="auto"/>
          <w:lang w:val="fr-FR"/>
        </w:rPr>
        <w:t>p. </w:t>
      </w:r>
      <w:r w:rsidR="00D301C6" w:rsidRPr="00762EDD">
        <w:rPr>
          <w:rStyle w:val="Hyperlink"/>
          <w:color w:val="auto"/>
          <w:lang w:val="fr-FR"/>
        </w:rPr>
        <w:t>63 et 87</w:t>
      </w:r>
      <w:r w:rsidR="00D301C6" w:rsidRPr="00762EDD">
        <w:t>.</w:t>
      </w:r>
    </w:p>
  </w:footnote>
  <w:footnote w:id="341">
    <w:p w14:paraId="6B92083D" w14:textId="77777777" w:rsidR="00045438" w:rsidRPr="00D10EF8" w:rsidRDefault="00045438" w:rsidP="00045438">
      <w:pPr>
        <w:pStyle w:val="FootnoteText"/>
      </w:pPr>
      <w:r w:rsidRPr="00D10EF8">
        <w:tab/>
      </w:r>
      <w:r w:rsidRPr="00093AC5">
        <w:rPr>
          <w:rStyle w:val="FootnoteReference"/>
        </w:rPr>
        <w:footnoteRef/>
      </w:r>
      <w:r w:rsidRPr="00D10EF8">
        <w:tab/>
      </w:r>
      <w:hyperlink r:id="rId382" w:history="1">
        <w:r w:rsidRPr="00D10EF8">
          <w:rPr>
            <w:rStyle w:val="Hyperlink"/>
            <w:lang w:val="fr-FR"/>
          </w:rPr>
          <w:t>https://www.saunders.co.uk/news/inquest-into-the-death-of-kevin-clarke-concludes/</w:t>
        </w:r>
      </w:hyperlink>
      <w:r w:rsidRPr="00D10EF8">
        <w:t>.</w:t>
      </w:r>
    </w:p>
  </w:footnote>
  <w:footnote w:id="342">
    <w:p w14:paraId="292F3289" w14:textId="7A40F3CF" w:rsidR="00D301C6" w:rsidRPr="00D10EF8" w:rsidRDefault="00513C2C" w:rsidP="005B4367">
      <w:pPr>
        <w:pStyle w:val="FootnoteText"/>
      </w:pPr>
      <w:r w:rsidRPr="00D10EF8">
        <w:tab/>
      </w:r>
      <w:r w:rsidRPr="00093AC5">
        <w:rPr>
          <w:rStyle w:val="FootnoteReference"/>
        </w:rPr>
        <w:footnoteRef/>
      </w:r>
      <w:r w:rsidRPr="00D10EF8">
        <w:tab/>
      </w:r>
      <w:r w:rsidR="00D301C6" w:rsidRPr="00D10EF8">
        <w:t xml:space="preserve">Voir également </w:t>
      </w:r>
      <w:hyperlink r:id="rId383" w:history="1">
        <w:r w:rsidR="00D301C6" w:rsidRPr="00D10EF8">
          <w:rPr>
            <w:rStyle w:val="Hyperlink"/>
            <w:lang w:val="fr-FR"/>
          </w:rPr>
          <w:t>https://inquirycommission.org/website/wp-content/uploads/2021/04/Commission-Report-15-April.pdf</w:t>
        </w:r>
      </w:hyperlink>
      <w:r w:rsidR="00D301C6" w:rsidRPr="00D10EF8">
        <w:rPr>
          <w:rStyle w:val="Hyperlink"/>
          <w:lang w:val="fr-FR"/>
        </w:rPr>
        <w:t xml:space="preserve">, </w:t>
      </w:r>
      <w:r w:rsidR="002A7FA1">
        <w:rPr>
          <w:rStyle w:val="Hyperlink"/>
          <w:lang w:val="fr-FR"/>
        </w:rPr>
        <w:t>p. </w:t>
      </w:r>
      <w:r w:rsidR="00D301C6" w:rsidRPr="00D10EF8">
        <w:rPr>
          <w:rStyle w:val="Hyperlink"/>
          <w:lang w:val="fr-FR"/>
        </w:rPr>
        <w:t>72</w:t>
      </w:r>
      <w:r w:rsidR="00BF73AB">
        <w:rPr>
          <w:rStyle w:val="Hyperlink"/>
          <w:lang w:val="fr-FR"/>
        </w:rPr>
        <w:t> ;</w:t>
      </w:r>
      <w:r w:rsidR="00D301C6" w:rsidRPr="00D10EF8">
        <w:t xml:space="preserve"> </w:t>
      </w:r>
      <w:hyperlink r:id="rId384" w:history="1">
        <w:r w:rsidR="00D301C6" w:rsidRPr="00D10EF8">
          <w:rPr>
            <w:rStyle w:val="Hyperlink"/>
            <w:lang w:val="fr-FR"/>
          </w:rPr>
          <w:t>www.oas.org/en/iachr/reports/pdfs/Brasil2021-en.pdf</w:t>
        </w:r>
      </w:hyperlink>
      <w:r w:rsidR="00D301C6" w:rsidRPr="00ED748F">
        <w:rPr>
          <w:rStyle w:val="Hyperlink"/>
          <w:color w:val="auto"/>
          <w:lang w:val="fr-FR"/>
        </w:rPr>
        <w:t xml:space="preserve">, </w:t>
      </w:r>
      <w:r w:rsidR="002A7FA1" w:rsidRPr="00ED748F">
        <w:rPr>
          <w:rStyle w:val="Hyperlink"/>
          <w:color w:val="auto"/>
          <w:lang w:val="fr-FR"/>
        </w:rPr>
        <w:t>p. </w:t>
      </w:r>
      <w:r w:rsidR="00D301C6" w:rsidRPr="00ED748F">
        <w:rPr>
          <w:rStyle w:val="Hyperlink"/>
          <w:color w:val="auto"/>
          <w:lang w:val="fr-FR"/>
        </w:rPr>
        <w:t>184 et 187.</w:t>
      </w:r>
    </w:p>
  </w:footnote>
  <w:footnote w:id="343">
    <w:p w14:paraId="798F0B09" w14:textId="77777777" w:rsidR="00D74223" w:rsidRPr="00D10EF8" w:rsidRDefault="00D74223" w:rsidP="00D74223">
      <w:pPr>
        <w:pStyle w:val="FootnoteText"/>
      </w:pPr>
      <w:r w:rsidRPr="00D10EF8">
        <w:tab/>
      </w:r>
      <w:r w:rsidRPr="00093AC5">
        <w:rPr>
          <w:rStyle w:val="FootnoteReference"/>
        </w:rPr>
        <w:footnoteRef/>
      </w:r>
      <w:r w:rsidRPr="00D10EF8">
        <w:tab/>
      </w:r>
      <w:hyperlink r:id="rId385" w:history="1">
        <w:r w:rsidRPr="00D10EF8">
          <w:rPr>
            <w:rStyle w:val="Hyperlink"/>
            <w:lang w:val="fr-FR"/>
          </w:rPr>
          <w:t>https://www.washingtonpost.com/national/multi-million-settlement-reached-in-breonna-taylor-lawsuit/2020/09/15/f2a57fa4-f75a-11ea-85f7-5941188a98cd_story.html</w:t>
        </w:r>
      </w:hyperlink>
      <w:r w:rsidRPr="00D10EF8">
        <w:rPr>
          <w:rStyle w:val="Hyperlink"/>
          <w:lang w:val="fr-FR"/>
        </w:rPr>
        <w:t>.</w:t>
      </w:r>
    </w:p>
  </w:footnote>
  <w:footnote w:id="344">
    <w:p w14:paraId="61CBC915" w14:textId="3FB10394" w:rsidR="00D301C6" w:rsidRPr="00D10EF8" w:rsidRDefault="00BB6E49" w:rsidP="005B4367">
      <w:pPr>
        <w:pStyle w:val="FootnoteText"/>
      </w:pPr>
      <w:r w:rsidRPr="00D10EF8">
        <w:tab/>
      </w:r>
      <w:r w:rsidRPr="00093AC5">
        <w:rPr>
          <w:rStyle w:val="FootnoteReference"/>
        </w:rPr>
        <w:footnoteRef/>
      </w:r>
      <w:r w:rsidRPr="00D10EF8">
        <w:tab/>
      </w:r>
      <w:r w:rsidR="00D301C6" w:rsidRPr="00D10EF8">
        <w:rPr>
          <w:rStyle w:val="Hyperlink"/>
          <w:lang w:val="fr-FR"/>
        </w:rPr>
        <w:t xml:space="preserve">Voir également </w:t>
      </w:r>
      <w:hyperlink r:id="rId386" w:history="1">
        <w:r w:rsidR="00D301C6" w:rsidRPr="00D10EF8">
          <w:rPr>
            <w:rStyle w:val="Hyperlink"/>
            <w:lang w:val="fr-FR"/>
          </w:rPr>
          <w:t>https://www.oas.org/en/iachr/reports/pdfs/Brasil2021-en.pdf</w:t>
        </w:r>
      </w:hyperlink>
      <w:r w:rsidR="00BF73AB">
        <w:rPr>
          <w:rStyle w:val="Hyperlink"/>
          <w:lang w:val="fr-FR"/>
        </w:rPr>
        <w:t> ;</w:t>
      </w:r>
      <w:r w:rsidR="00D301C6" w:rsidRPr="00D10EF8">
        <w:rPr>
          <w:rStyle w:val="Hyperlink"/>
          <w:lang w:val="fr-FR"/>
        </w:rPr>
        <w:t xml:space="preserve"> https://www.ohchr.org/EN/NewsEvents/Pages/DisplayNews.aspx?NewsID=27069&amp;LangID=E.</w:t>
      </w:r>
    </w:p>
  </w:footnote>
  <w:footnote w:id="345">
    <w:p w14:paraId="61EE0F7B" w14:textId="528D34AF" w:rsidR="00D301C6" w:rsidRPr="00D10EF8" w:rsidRDefault="00BB6E49" w:rsidP="005B4367">
      <w:pPr>
        <w:pStyle w:val="FootnoteText"/>
      </w:pPr>
      <w:r w:rsidRPr="00D10EF8">
        <w:tab/>
      </w:r>
      <w:r w:rsidRPr="00093AC5">
        <w:rPr>
          <w:rStyle w:val="FootnoteReference"/>
        </w:rPr>
        <w:footnoteRef/>
      </w:r>
      <w:r w:rsidRPr="00D10EF8">
        <w:tab/>
      </w:r>
      <w:hyperlink r:id="rId387" w:history="1">
        <w:r w:rsidR="00D301C6" w:rsidRPr="00D10EF8">
          <w:rPr>
            <w:rStyle w:val="Hyperlink"/>
            <w:lang w:val="fr-FR"/>
          </w:rPr>
          <w:t>https://www.oas.org/en/iachr/reports/pdfs/Brasil2021-en.pdf</w:t>
        </w:r>
      </w:hyperlink>
      <w:r w:rsidR="00D301C6" w:rsidRPr="00D10EF8">
        <w:t xml:space="preserve">, </w:t>
      </w:r>
      <w:r w:rsidR="002A7FA1">
        <w:t>p. </w:t>
      </w:r>
      <w:r w:rsidR="00D301C6" w:rsidRPr="00D10EF8">
        <w:t>12 et 100</w:t>
      </w:r>
      <w:r w:rsidR="00BF73AB">
        <w:t> ;</w:t>
      </w:r>
      <w:r w:rsidR="00D301C6" w:rsidRPr="00D10EF8">
        <w:t xml:space="preserve"> A/HRC/31/56/Add.1, </w:t>
      </w:r>
      <w:r w:rsidR="002A7FA1">
        <w:t>par. </w:t>
      </w:r>
      <w:r w:rsidR="00D301C6" w:rsidRPr="00D10EF8">
        <w:t>50</w:t>
      </w:r>
      <w:r w:rsidR="00BF73AB">
        <w:t> ;</w:t>
      </w:r>
      <w:r w:rsidR="00D301C6" w:rsidRPr="00D10EF8">
        <w:t xml:space="preserve"> A/HRC/27/68/Add.1, </w:t>
      </w:r>
      <w:r w:rsidR="002A7FA1">
        <w:t>par. </w:t>
      </w:r>
      <w:r w:rsidR="00D301C6" w:rsidRPr="00D10EF8">
        <w:t>79.</w:t>
      </w:r>
    </w:p>
  </w:footnote>
  <w:footnote w:id="346">
    <w:p w14:paraId="04D4CE42" w14:textId="4C4A28DB" w:rsidR="00D301C6" w:rsidRPr="00D10EF8" w:rsidRDefault="00BB6E49" w:rsidP="005B4367">
      <w:pPr>
        <w:pStyle w:val="FootnoteText"/>
      </w:pPr>
      <w:r w:rsidRPr="00D10EF8">
        <w:tab/>
      </w:r>
      <w:r w:rsidRPr="00093AC5">
        <w:rPr>
          <w:rStyle w:val="FootnoteReference"/>
        </w:rPr>
        <w:footnoteRef/>
      </w:r>
      <w:r w:rsidRPr="00D10EF8">
        <w:tab/>
      </w:r>
      <w:hyperlink r:id="rId388" w:history="1">
        <w:r w:rsidR="00D301C6" w:rsidRPr="00D10EF8">
          <w:rPr>
            <w:rStyle w:val="Hyperlink"/>
            <w:lang w:val="fr-FR"/>
          </w:rPr>
          <w:t>http://www.oas.org/en/iachr/media_center/PReleases/2020/187.asp</w:t>
        </w:r>
      </w:hyperlink>
      <w:r w:rsidR="00D301C6" w:rsidRPr="00D10EF8">
        <w:rPr>
          <w:rStyle w:val="Hyperlink"/>
          <w:lang w:val="fr-FR"/>
        </w:rPr>
        <w:t xml:space="preserve">. Voir également </w:t>
      </w:r>
      <w:hyperlink r:id="rId389" w:history="1">
        <w:r w:rsidR="00D301C6" w:rsidRPr="00D10EF8">
          <w:rPr>
            <w:rStyle w:val="Hyperlink"/>
            <w:lang w:val="fr-FR"/>
          </w:rPr>
          <w:t>http://www.onumulheres.org.br/noticias/sistema-onu-lamenta-a-morte-do-menino-joao-pedro-e-faz-apelo-pela-vida-da-juventude-negra/</w:t>
        </w:r>
      </w:hyperlink>
      <w:r w:rsidR="00D301C6" w:rsidRPr="00D10EF8">
        <w:rPr>
          <w:rStyle w:val="Hyperlink"/>
          <w:lang w:val="fr-FR"/>
        </w:rPr>
        <w:t>.</w:t>
      </w:r>
    </w:p>
  </w:footnote>
  <w:footnote w:id="347">
    <w:p w14:paraId="72F97504" w14:textId="1FC1A1EF" w:rsidR="00D301C6" w:rsidRPr="00D10EF8" w:rsidRDefault="00BB6E49" w:rsidP="005B4367">
      <w:pPr>
        <w:pStyle w:val="FootnoteText"/>
      </w:pPr>
      <w:r w:rsidRPr="00D10EF8">
        <w:tab/>
      </w:r>
      <w:r w:rsidRPr="00093AC5">
        <w:rPr>
          <w:rStyle w:val="FootnoteReference"/>
        </w:rPr>
        <w:footnoteRef/>
      </w:r>
      <w:r w:rsidRPr="00D10EF8">
        <w:tab/>
      </w:r>
      <w:hyperlink r:id="rId390" w:history="1">
        <w:r w:rsidR="00D301C6" w:rsidRPr="00D10EF8">
          <w:rPr>
            <w:rStyle w:val="Hyperlink"/>
            <w:u w:color="0000FF"/>
            <w:lang w:val="fr-FR"/>
          </w:rPr>
          <w:t>http://www.stf.jus.br/arquivo/cms/noticiaNoticiaStf/anexo/ADPF635DECISaO5DEJUNHODE20202. pdf</w:t>
        </w:r>
      </w:hyperlink>
      <w:r w:rsidR="00BF73AB">
        <w:rPr>
          <w:rStyle w:val="Hyperlink"/>
          <w:u w:color="0000FF"/>
          <w:lang w:val="fr-FR"/>
        </w:rPr>
        <w:t> ;</w:t>
      </w:r>
      <w:r w:rsidR="00D301C6" w:rsidRPr="00D10EF8">
        <w:t xml:space="preserve"> communication de Conectas Direitos Humanos.</w:t>
      </w:r>
    </w:p>
  </w:footnote>
  <w:footnote w:id="348">
    <w:p w14:paraId="670B1FC0" w14:textId="34737345" w:rsidR="00D301C6" w:rsidRPr="00D10EF8" w:rsidRDefault="00BB6E49" w:rsidP="005B4367">
      <w:pPr>
        <w:pStyle w:val="FootnoteText"/>
      </w:pPr>
      <w:r w:rsidRPr="00D10EF8">
        <w:tab/>
      </w:r>
      <w:r w:rsidRPr="00093AC5">
        <w:rPr>
          <w:rStyle w:val="FootnoteReference"/>
        </w:rPr>
        <w:footnoteRef/>
      </w:r>
      <w:r w:rsidRPr="00D10EF8">
        <w:tab/>
      </w:r>
      <w:hyperlink r:id="rId391" w:history="1">
        <w:r w:rsidR="00D301C6" w:rsidRPr="00D10EF8">
          <w:rPr>
            <w:rStyle w:val="Hyperlink"/>
            <w:lang w:val="fr-FR"/>
          </w:rPr>
          <w:t>https://eji.org/issues/presumption-of-guilt/</w:t>
        </w:r>
      </w:hyperlink>
      <w:r w:rsidR="00BF73AB">
        <w:rPr>
          <w:rStyle w:val="Hyperlink"/>
          <w:lang w:val="fr-FR"/>
        </w:rPr>
        <w:t> </w:t>
      </w:r>
      <w:r w:rsidR="00BF73AB" w:rsidRPr="00CB4DF0">
        <w:rPr>
          <w:rStyle w:val="Hyperlink"/>
          <w:color w:val="auto"/>
          <w:lang w:val="fr-FR"/>
        </w:rPr>
        <w:t>;</w:t>
      </w:r>
      <w:r w:rsidR="00D301C6" w:rsidRPr="00CB4DF0">
        <w:t xml:space="preserve"> </w:t>
      </w:r>
      <w:hyperlink r:id="rId392" w:history="1">
        <w:r w:rsidR="00D301C6" w:rsidRPr="00D10EF8">
          <w:rPr>
            <w:rStyle w:val="Hyperlink"/>
            <w:lang w:val="fr-FR"/>
          </w:rPr>
          <w:t>https://inquirycommission.org/website/wp-content/uploads/2021/04/Commission-Report-15-April.pdf</w:t>
        </w:r>
      </w:hyperlink>
      <w:r w:rsidR="00D301C6" w:rsidRPr="00CB4DF0">
        <w:rPr>
          <w:rStyle w:val="Hyperlink"/>
          <w:color w:val="auto"/>
          <w:lang w:val="fr-FR"/>
        </w:rPr>
        <w:t xml:space="preserve">, </w:t>
      </w:r>
      <w:r w:rsidR="002A7FA1" w:rsidRPr="00CB4DF0">
        <w:rPr>
          <w:rStyle w:val="Hyperlink"/>
          <w:color w:val="auto"/>
          <w:lang w:val="fr-FR"/>
        </w:rPr>
        <w:t>p. </w:t>
      </w:r>
      <w:r w:rsidR="00D301C6" w:rsidRPr="00CB4DF0">
        <w:rPr>
          <w:rStyle w:val="Hyperlink"/>
          <w:color w:val="auto"/>
          <w:lang w:val="fr-FR"/>
        </w:rPr>
        <w:t>98.</w:t>
      </w:r>
    </w:p>
  </w:footnote>
  <w:footnote w:id="349">
    <w:p w14:paraId="30CDE7FC" w14:textId="5633EBC5" w:rsidR="00D301C6" w:rsidRPr="005B4016" w:rsidRDefault="00BB6E49" w:rsidP="005B4367">
      <w:pPr>
        <w:pStyle w:val="FootnoteText"/>
        <w:rPr>
          <w:lang w:val="fr-CA"/>
        </w:rPr>
      </w:pPr>
      <w:r w:rsidRPr="00D10EF8">
        <w:tab/>
      </w:r>
      <w:r w:rsidRPr="00093AC5">
        <w:rPr>
          <w:rStyle w:val="FootnoteReference"/>
        </w:rPr>
        <w:footnoteRef/>
      </w:r>
      <w:r w:rsidRPr="00D10EF8">
        <w:tab/>
      </w:r>
      <w:hyperlink r:id="rId393" w:history="1">
        <w:r w:rsidR="00D301C6" w:rsidRPr="00813782">
          <w:rPr>
            <w:rStyle w:val="Hyperlink"/>
            <w:lang w:val="fr-FR"/>
          </w:rPr>
          <w:t>https://mncourts.gov/mncourtsgov/media/High-Profile-Cases/27-CR-20-12646/MCRO_27-CR-20-12646_Sentencing-Order_2021-06-25_20210625145755.pdf</w:t>
        </w:r>
      </w:hyperlink>
      <w:r w:rsidR="00D301C6" w:rsidRPr="00813782">
        <w:t xml:space="preserve">. </w:t>
      </w:r>
    </w:p>
  </w:footnote>
  <w:footnote w:id="350">
    <w:p w14:paraId="66498337" w14:textId="3A89C197" w:rsidR="00D301C6" w:rsidRPr="00D10EF8" w:rsidRDefault="00BB6E49" w:rsidP="005B4367">
      <w:pPr>
        <w:pStyle w:val="FootnoteText"/>
      </w:pPr>
      <w:r w:rsidRPr="00D10EF8">
        <w:tab/>
      </w:r>
      <w:r w:rsidRPr="00093AC5">
        <w:rPr>
          <w:rStyle w:val="FootnoteReference"/>
        </w:rPr>
        <w:footnoteRef/>
      </w:r>
      <w:r w:rsidRPr="00D10EF8">
        <w:tab/>
      </w:r>
      <w:hyperlink r:id="rId394" w:history="1">
        <w:r w:rsidR="00D301C6" w:rsidRPr="00813782">
          <w:rPr>
            <w:rStyle w:val="Hyperlink"/>
            <w:lang w:val="fr-FR"/>
          </w:rPr>
          <w:t>https://www.ohchr.org/EN/NewsEvents/Pages/DisplayNews.aspx?NewsID=27016&amp;LangID=E</w:t>
        </w:r>
      </w:hyperlink>
      <w:r w:rsidR="00D301C6" w:rsidRPr="00D10EF8">
        <w:t>.</w:t>
      </w:r>
    </w:p>
  </w:footnote>
  <w:footnote w:id="351">
    <w:p w14:paraId="2D3BB890" w14:textId="7833C22C" w:rsidR="00D301C6" w:rsidRPr="00D10EF8" w:rsidRDefault="00BB6E49" w:rsidP="005B4367">
      <w:pPr>
        <w:pStyle w:val="FootnoteText"/>
      </w:pPr>
      <w:bookmarkStart w:id="413" w:name="_Hlk116322551"/>
      <w:r w:rsidRPr="00D10EF8">
        <w:tab/>
      </w:r>
      <w:r w:rsidRPr="00093AC5">
        <w:rPr>
          <w:rStyle w:val="FootnoteReference"/>
        </w:rPr>
        <w:footnoteRef/>
      </w:r>
      <w:r w:rsidRPr="00D10EF8">
        <w:tab/>
      </w:r>
      <w:r w:rsidR="00D301C6" w:rsidRPr="00A42117">
        <w:t xml:space="preserve">Disponible </w:t>
      </w:r>
      <w:r w:rsidR="00D301C6" w:rsidRPr="005261B3">
        <w:t>telle qu</w:t>
      </w:r>
      <w:r w:rsidR="00F60EAA">
        <w:t>’</w:t>
      </w:r>
      <w:r w:rsidR="00D301C6" w:rsidRPr="005261B3">
        <w:t xml:space="preserve">elle </w:t>
      </w:r>
      <w:r w:rsidR="00D301C6">
        <w:t>a</w:t>
      </w:r>
      <w:r w:rsidR="00D301C6" w:rsidRPr="005261B3">
        <w:t xml:space="preserve"> été reçue à l</w:t>
      </w:r>
      <w:r w:rsidR="00F60EAA">
        <w:t>’</w:t>
      </w:r>
      <w:r w:rsidR="00D301C6" w:rsidRPr="005261B3">
        <w:t>adresse suivante</w:t>
      </w:r>
      <w:r w:rsidR="00D301C6">
        <w:t> </w:t>
      </w:r>
      <w:bookmarkEnd w:id="413"/>
      <w:r w:rsidR="00D301C6">
        <w:t>:</w:t>
      </w:r>
      <w:r w:rsidR="00D301C6" w:rsidRPr="00A42117">
        <w:t xml:space="preserve"> </w:t>
      </w:r>
      <w:hyperlink r:id="rId395" w:history="1">
        <w:r w:rsidR="00D301C6" w:rsidRPr="00813782">
          <w:rPr>
            <w:rStyle w:val="Hyperlink"/>
            <w:lang w:val="fr-FR"/>
          </w:rPr>
          <w:t>https://www.ohchr.org/fr/documents/reports/</w:t>
        </w:r>
        <w:r w:rsidR="00CA4FC5">
          <w:rPr>
            <w:rStyle w:val="Hyperlink"/>
            <w:lang w:val="fr-FR"/>
          </w:rPr>
          <w:t xml:space="preserve"> </w:t>
        </w:r>
        <w:r w:rsidR="00D301C6" w:rsidRPr="00813782">
          <w:rPr>
            <w:rStyle w:val="Hyperlink"/>
            <w:lang w:val="fr-FR"/>
          </w:rPr>
          <w:t>ahrc4753-promotion-and-protection-human-rights-and-fundamental-freedoms-africans</w:t>
        </w:r>
      </w:hyperlink>
      <w:r w:rsidR="00D301C6" w:rsidRPr="00D10EF8">
        <w:t>.</w:t>
      </w:r>
    </w:p>
  </w:footnote>
  <w:footnote w:id="352">
    <w:p w14:paraId="67242F25" w14:textId="11B4782E" w:rsidR="00D301C6" w:rsidRPr="00D10EF8" w:rsidRDefault="00BB6E49" w:rsidP="005B4367">
      <w:pPr>
        <w:pStyle w:val="FootnoteText"/>
      </w:pPr>
      <w:r w:rsidRPr="00D10EF8">
        <w:tab/>
      </w:r>
      <w:r w:rsidRPr="00093AC5">
        <w:rPr>
          <w:rStyle w:val="FootnoteReference"/>
        </w:rPr>
        <w:footnoteRef/>
      </w:r>
      <w:r w:rsidRPr="00D10EF8">
        <w:tab/>
      </w:r>
      <w:hyperlink r:id="rId396" w:history="1">
        <w:r w:rsidR="00D301C6" w:rsidRPr="00D10EF8">
          <w:rPr>
            <w:rStyle w:val="Hyperlink"/>
            <w:lang w:val="fr-FR"/>
          </w:rPr>
          <w:t>https://www.justice.gov/opa/pr/attorney-general-merrick-b-garland-announces-investigation-city-minneapolis-minnesota-and</w:t>
        </w:r>
      </w:hyperlink>
      <w:r w:rsidR="00D301C6" w:rsidRPr="00D10EF8">
        <w:rPr>
          <w:rStyle w:val="Hyperlink"/>
          <w:lang w:val="fr-FR"/>
        </w:rPr>
        <w:t>.</w:t>
      </w:r>
    </w:p>
  </w:footnote>
  <w:footnote w:id="353">
    <w:p w14:paraId="72319F8A" w14:textId="01C6208C" w:rsidR="00D301C6" w:rsidRPr="00D10EF8" w:rsidRDefault="00BB6E49" w:rsidP="005B4367">
      <w:pPr>
        <w:pStyle w:val="FootnoteText"/>
      </w:pPr>
      <w:r w:rsidRPr="00D10EF8">
        <w:tab/>
      </w:r>
      <w:r w:rsidRPr="00093AC5">
        <w:rPr>
          <w:rStyle w:val="FootnoteReference"/>
        </w:rPr>
        <w:footnoteRef/>
      </w:r>
      <w:r w:rsidRPr="00D10EF8">
        <w:tab/>
      </w:r>
      <w:r w:rsidR="00D301C6" w:rsidRPr="005261B3">
        <w:t>Disponible telle qu</w:t>
      </w:r>
      <w:r w:rsidR="00F60EAA">
        <w:t>’</w:t>
      </w:r>
      <w:r w:rsidR="00D301C6" w:rsidRPr="005261B3">
        <w:t>elle a été reçue à l</w:t>
      </w:r>
      <w:r w:rsidR="00F60EAA">
        <w:t>’</w:t>
      </w:r>
      <w:r w:rsidR="00D301C6" w:rsidRPr="005261B3">
        <w:t>adresse suivante</w:t>
      </w:r>
      <w:r w:rsidR="00D301C6">
        <w:t xml:space="preserve"> : </w:t>
      </w:r>
      <w:hyperlink r:id="rId397" w:history="1">
        <w:r w:rsidR="00D301C6" w:rsidRPr="00813782">
          <w:rPr>
            <w:rStyle w:val="Hyperlink"/>
            <w:lang w:val="fr-FR"/>
          </w:rPr>
          <w:t>https://www.ohchr.org/fr/documents/reports/</w:t>
        </w:r>
        <w:r w:rsidR="00E61B96">
          <w:rPr>
            <w:rStyle w:val="Hyperlink"/>
            <w:lang w:val="fr-FR"/>
          </w:rPr>
          <w:t xml:space="preserve"> </w:t>
        </w:r>
        <w:r w:rsidR="00D301C6" w:rsidRPr="00813782">
          <w:rPr>
            <w:rStyle w:val="Hyperlink"/>
            <w:lang w:val="fr-FR"/>
          </w:rPr>
          <w:t>ahrc4753-promotion-and-protection-human-rights-and-fundamental-freedoms-africans</w:t>
        </w:r>
      </w:hyperlink>
      <w:r w:rsidR="00D301C6" w:rsidRPr="00D10EF8">
        <w:t>.</w:t>
      </w:r>
      <w:r w:rsidR="00D301C6" w:rsidRPr="00813782">
        <w:t xml:space="preserve"> </w:t>
      </w:r>
    </w:p>
  </w:footnote>
  <w:footnote w:id="354">
    <w:p w14:paraId="74C2700F" w14:textId="28DB4545" w:rsidR="00D301C6" w:rsidRPr="00D10EF8" w:rsidRDefault="00BB6E49" w:rsidP="005B4367">
      <w:pPr>
        <w:pStyle w:val="FootnoteText"/>
      </w:pPr>
      <w:r w:rsidRPr="00D10EF8">
        <w:tab/>
      </w:r>
      <w:r w:rsidRPr="00093AC5">
        <w:rPr>
          <w:rStyle w:val="FootnoteReference"/>
        </w:rPr>
        <w:footnoteRef/>
      </w:r>
      <w:r w:rsidRPr="00D10EF8">
        <w:tab/>
      </w:r>
      <w:r w:rsidR="00D301C6" w:rsidRPr="00F26D77">
        <w:t>Disponible telle qu</w:t>
      </w:r>
      <w:r w:rsidR="00F60EAA">
        <w:t>’</w:t>
      </w:r>
      <w:r w:rsidR="00D301C6" w:rsidRPr="00F26D77">
        <w:t>elle a été reçue à l</w:t>
      </w:r>
      <w:r w:rsidR="00F60EAA">
        <w:t>’</w:t>
      </w:r>
      <w:r w:rsidR="00D301C6" w:rsidRPr="00F26D77">
        <w:t>adresse suivante</w:t>
      </w:r>
      <w:r w:rsidR="00D301C6">
        <w:t xml:space="preserve"> : </w:t>
      </w:r>
      <w:hyperlink r:id="rId398" w:history="1">
        <w:r w:rsidR="00D301C6" w:rsidRPr="00712DC8">
          <w:rPr>
            <w:rStyle w:val="Hyperlink"/>
            <w:lang w:val="fr-FR"/>
          </w:rPr>
          <w:t>https://www.ohchr.org/fr/documents/reports/</w:t>
        </w:r>
        <w:r w:rsidR="00E61B96">
          <w:rPr>
            <w:rStyle w:val="Hyperlink"/>
            <w:lang w:val="fr-FR"/>
          </w:rPr>
          <w:t xml:space="preserve"> </w:t>
        </w:r>
        <w:r w:rsidR="00D301C6" w:rsidRPr="00712DC8">
          <w:rPr>
            <w:rStyle w:val="Hyperlink"/>
            <w:lang w:val="fr-FR"/>
          </w:rPr>
          <w:t>ahrc4753-promotion-and-protection-human-rights-and-fundamental-freedoms-africans</w:t>
        </w:r>
      </w:hyperlink>
      <w:r w:rsidR="00D301C6" w:rsidRPr="00C66839">
        <w:t>.</w:t>
      </w:r>
    </w:p>
  </w:footnote>
  <w:footnote w:id="355">
    <w:p w14:paraId="6251E443" w14:textId="55846C31" w:rsidR="00D301C6" w:rsidRPr="00D10EF8" w:rsidRDefault="00BB6E49" w:rsidP="005B4367">
      <w:pPr>
        <w:pStyle w:val="FootnoteText"/>
      </w:pPr>
      <w:r w:rsidRPr="00D10EF8">
        <w:tab/>
      </w:r>
      <w:r w:rsidRPr="00093AC5">
        <w:rPr>
          <w:rStyle w:val="FootnoteReference"/>
        </w:rPr>
        <w:footnoteRef/>
      </w:r>
      <w:r w:rsidRPr="00D10EF8">
        <w:tab/>
      </w:r>
      <w:r w:rsidR="00D301C6" w:rsidRPr="00041882">
        <w:t>L</w:t>
      </w:r>
      <w:r w:rsidR="00F60EAA">
        <w:t>’</w:t>
      </w:r>
      <w:r w:rsidR="00D301C6" w:rsidRPr="00041882">
        <w:t>IOPC est un organisme officiel indépendant chargé de mener des enquêtes sur tous les décès survenus pendant ou après une intervention des forces de l</w:t>
      </w:r>
      <w:r w:rsidR="00F60EAA">
        <w:t>’</w:t>
      </w:r>
      <w:r w:rsidR="00D301C6" w:rsidRPr="00041882">
        <w:t>ordre en Angleterre et au Pays de Galle. Les rapports établis par l</w:t>
      </w:r>
      <w:r w:rsidR="00F60EAA">
        <w:t>’</w:t>
      </w:r>
      <w:r w:rsidR="00D301C6" w:rsidRPr="00041882">
        <w:t>IOPC et les éléments de preuve qu</w:t>
      </w:r>
      <w:r w:rsidR="00F60EAA">
        <w:t>’</w:t>
      </w:r>
      <w:r w:rsidR="00D301C6" w:rsidRPr="00041882">
        <w:t xml:space="preserve">il a réunis sont transmis au </w:t>
      </w:r>
      <w:r w:rsidR="00D301C6">
        <w:t>c</w:t>
      </w:r>
      <w:r w:rsidR="00D301C6" w:rsidRPr="00041882">
        <w:t>oroner pour éclairer le</w:t>
      </w:r>
      <w:r w:rsidR="00D301C6">
        <w:t>s</w:t>
      </w:r>
      <w:r w:rsidR="00D301C6" w:rsidRPr="00041882">
        <w:t xml:space="preserve"> enquêtes sur ces décès. Après une enquête de l</w:t>
      </w:r>
      <w:r w:rsidR="00F60EAA">
        <w:t>’</w:t>
      </w:r>
      <w:r w:rsidR="00D301C6" w:rsidRPr="00041882">
        <w:t>IOPC</w:t>
      </w:r>
      <w:r w:rsidR="00D301C6">
        <w:t>,</w:t>
      </w:r>
      <w:r w:rsidR="00D301C6" w:rsidRPr="00041882">
        <w:t xml:space="preserve"> s</w:t>
      </w:r>
      <w:r w:rsidR="00F60EAA">
        <w:t>’</w:t>
      </w:r>
      <w:r w:rsidR="00D301C6" w:rsidRPr="00041882">
        <w:t>il apparaît qu</w:t>
      </w:r>
      <w:r w:rsidR="00F60EAA">
        <w:t>’</w:t>
      </w:r>
      <w:r w:rsidR="00D301C6" w:rsidRPr="00041882">
        <w:t>une infraction pénale a été commise, l</w:t>
      </w:r>
      <w:r w:rsidR="00F60EAA">
        <w:t>’</w:t>
      </w:r>
      <w:r w:rsidR="00D301C6" w:rsidRPr="00041882">
        <w:t xml:space="preserve">affaire peut être renvoyée au </w:t>
      </w:r>
      <w:r w:rsidR="00D301C6">
        <w:t>parquet</w:t>
      </w:r>
      <w:r w:rsidR="00D301C6" w:rsidRPr="00041882">
        <w:t xml:space="preserve"> (Crown Prosecution Service).</w:t>
      </w:r>
      <w:r w:rsidR="00D301C6" w:rsidRPr="00D10EF8">
        <w:t xml:space="preserve"> </w:t>
      </w:r>
      <w:hyperlink r:id="rId399" w:history="1">
        <w:r w:rsidR="00D301C6" w:rsidRPr="00D10EF8">
          <w:rPr>
            <w:rStyle w:val="Hyperlink"/>
            <w:lang w:val="fr-FR"/>
          </w:rPr>
          <w:t>https://www.policeconduct.gov.uk/</w:t>
        </w:r>
      </w:hyperlink>
      <w:r w:rsidR="00D301C6" w:rsidRPr="00D10EF8">
        <w:t>.</w:t>
      </w:r>
    </w:p>
  </w:footnote>
  <w:footnote w:id="356">
    <w:p w14:paraId="7AAEBF12" w14:textId="07C3C25A" w:rsidR="00D301C6" w:rsidRPr="004A035C" w:rsidRDefault="00BB6E49" w:rsidP="005B4367">
      <w:pPr>
        <w:pStyle w:val="FootnoteText"/>
      </w:pPr>
      <w:r w:rsidRPr="00D10EF8">
        <w:tab/>
      </w:r>
      <w:r w:rsidRPr="00093AC5">
        <w:rPr>
          <w:rStyle w:val="FootnoteReference"/>
        </w:rPr>
        <w:footnoteRef/>
      </w:r>
      <w:r w:rsidRPr="00D10EF8">
        <w:tab/>
      </w:r>
      <w:r w:rsidR="00D301C6">
        <w:t xml:space="preserve">Une </w:t>
      </w:r>
      <w:r w:rsidR="00D301C6" w:rsidRPr="00490BA2">
        <w:t>information judiciaire</w:t>
      </w:r>
      <w:r w:rsidR="00D301C6">
        <w:t xml:space="preserve"> est une audience publique menée par le coroner pour la</w:t>
      </w:r>
      <w:r w:rsidR="00D301C6" w:rsidRPr="0009013C">
        <w:t xml:space="preserve"> recherche des causes </w:t>
      </w:r>
      <w:r w:rsidR="00D301C6">
        <w:t>d</w:t>
      </w:r>
      <w:r w:rsidR="00F60EAA">
        <w:t>’</w:t>
      </w:r>
      <w:r w:rsidR="00D301C6">
        <w:t>un décès</w:t>
      </w:r>
      <w:r w:rsidR="00D301C6" w:rsidRPr="00C66839">
        <w:rPr>
          <w:rStyle w:val="Hyperlink"/>
          <w:lang w:val="fr-FR"/>
        </w:rPr>
        <w:t xml:space="preserve">. </w:t>
      </w:r>
      <w:r w:rsidR="00D301C6" w:rsidRPr="00D25CF0">
        <w:rPr>
          <w:rStyle w:val="Hyperlink"/>
          <w:color w:val="auto"/>
          <w:lang w:val="fr-FR"/>
        </w:rPr>
        <w:t>Si des preuves donnent à penser qu</w:t>
      </w:r>
      <w:r w:rsidR="00F60EAA" w:rsidRPr="00D25CF0">
        <w:rPr>
          <w:rStyle w:val="Hyperlink"/>
          <w:color w:val="auto"/>
          <w:lang w:val="fr-FR"/>
        </w:rPr>
        <w:t>’</w:t>
      </w:r>
      <w:r w:rsidR="00D301C6" w:rsidRPr="00D25CF0">
        <w:rPr>
          <w:rStyle w:val="Hyperlink"/>
          <w:color w:val="auto"/>
          <w:lang w:val="fr-FR"/>
        </w:rPr>
        <w:t>une personne est pénalement responsable du décès, le coroner peut les transmettre à la police ou au parquet.</w:t>
      </w:r>
      <w:r w:rsidR="00D301C6" w:rsidRPr="00D25CF0">
        <w:t xml:space="preserve"> </w:t>
      </w:r>
      <w:hyperlink r:id="rId400" w:history="1">
        <w:r w:rsidR="00D301C6" w:rsidRPr="004A035C">
          <w:rPr>
            <w:rStyle w:val="Hyperlink"/>
          </w:rPr>
          <w:t>https://assets.publishing.service.gov.uk/government/uploads/system/uploads/attachment_data/file/859076/guide-to-coroner-services-bereaved-people-jan-2020.pdf</w:t>
        </w:r>
      </w:hyperlink>
      <w:r w:rsidR="00D301C6" w:rsidRPr="004A035C">
        <w:rPr>
          <w:rStyle w:val="Hyperlink"/>
        </w:rPr>
        <w:t>.</w:t>
      </w:r>
    </w:p>
  </w:footnote>
  <w:footnote w:id="357">
    <w:p w14:paraId="1CE5027D" w14:textId="2EC8FA27" w:rsidR="00D301C6" w:rsidRPr="00D10EF8" w:rsidRDefault="00BB6E49" w:rsidP="005B4367">
      <w:pPr>
        <w:pStyle w:val="FootnoteText"/>
      </w:pPr>
      <w:r w:rsidRPr="00D10EF8">
        <w:tab/>
      </w:r>
      <w:r w:rsidRPr="00093AC5">
        <w:rPr>
          <w:rStyle w:val="FootnoteReference"/>
        </w:rPr>
        <w:footnoteRef/>
      </w:r>
      <w:r w:rsidRPr="00D10EF8">
        <w:tab/>
      </w:r>
      <w:r w:rsidR="00D301C6" w:rsidRPr="0042256A">
        <w:t>Disponible telle qu</w:t>
      </w:r>
      <w:r w:rsidR="00F60EAA">
        <w:t>’</w:t>
      </w:r>
      <w:r w:rsidR="00D301C6" w:rsidRPr="0042256A">
        <w:t>elle a été reçue à l</w:t>
      </w:r>
      <w:r w:rsidR="00F60EAA">
        <w:t>’</w:t>
      </w:r>
      <w:r w:rsidR="00D301C6" w:rsidRPr="0042256A">
        <w:t>adresse suivante</w:t>
      </w:r>
      <w:r w:rsidR="00D25CF0">
        <w:t> </w:t>
      </w:r>
      <w:r w:rsidR="00D301C6" w:rsidRPr="0042256A">
        <w:t>:</w:t>
      </w:r>
      <w:r w:rsidR="00D301C6">
        <w:t xml:space="preserve"> </w:t>
      </w:r>
      <w:hyperlink r:id="rId401" w:history="1">
        <w:r w:rsidR="00D301C6" w:rsidRPr="00813782">
          <w:rPr>
            <w:rStyle w:val="Hyperlink"/>
            <w:lang w:val="fr-FR"/>
          </w:rPr>
          <w:t>https://www.ohchr.org/EN/Issues/Racism/</w:t>
        </w:r>
        <w:r w:rsidR="00D25CF0">
          <w:rPr>
            <w:rStyle w:val="Hyperlink"/>
            <w:lang w:val="fr-FR"/>
          </w:rPr>
          <w:t xml:space="preserve"> </w:t>
        </w:r>
        <w:r w:rsidR="00D301C6" w:rsidRPr="00813782">
          <w:rPr>
            <w:rStyle w:val="Hyperlink"/>
            <w:lang w:val="fr-FR"/>
          </w:rPr>
          <w:t>Pages/Call-Implementation-HRC-Resolution-43-1.aspx</w:t>
        </w:r>
      </w:hyperlink>
      <w:r w:rsidR="00D301C6" w:rsidRPr="00D10EF8">
        <w:rPr>
          <w:rStyle w:val="Hyperlink"/>
          <w:lang w:val="fr-FR"/>
        </w:rPr>
        <w:t>.</w:t>
      </w:r>
    </w:p>
  </w:footnote>
  <w:footnote w:id="358">
    <w:p w14:paraId="189D2D16" w14:textId="6C174382" w:rsidR="00D301C6" w:rsidRPr="00D10EF8" w:rsidRDefault="00BB6E49" w:rsidP="005B4367">
      <w:pPr>
        <w:pStyle w:val="FootnoteText"/>
      </w:pPr>
      <w:r w:rsidRPr="00D10EF8">
        <w:tab/>
      </w:r>
      <w:r w:rsidRPr="00093AC5">
        <w:rPr>
          <w:rStyle w:val="FootnoteReference"/>
        </w:rPr>
        <w:footnoteRef/>
      </w:r>
      <w:r w:rsidRPr="00D10EF8">
        <w:tab/>
      </w:r>
      <w:r w:rsidR="00D301C6" w:rsidRPr="00C459CC">
        <w:t>Disponible telle qu</w:t>
      </w:r>
      <w:r w:rsidR="00F60EAA">
        <w:t>’</w:t>
      </w:r>
      <w:r w:rsidR="00D301C6" w:rsidRPr="00C459CC">
        <w:t>elle a été reçue à l</w:t>
      </w:r>
      <w:r w:rsidR="00F60EAA">
        <w:t>’</w:t>
      </w:r>
      <w:r w:rsidR="00D301C6" w:rsidRPr="00C459CC">
        <w:t>adresse suivante :</w:t>
      </w:r>
      <w:r w:rsidR="00D301C6">
        <w:t xml:space="preserve"> </w:t>
      </w:r>
      <w:hyperlink r:id="rId402" w:history="1">
        <w:r w:rsidR="00D301C6" w:rsidRPr="00813782">
          <w:rPr>
            <w:rStyle w:val="Hyperlink"/>
            <w:lang w:val="fr-FR"/>
          </w:rPr>
          <w:t>https://www.ohchr.org/EN/Issues/Racism/</w:t>
        </w:r>
        <w:r w:rsidR="00EF5758">
          <w:rPr>
            <w:rStyle w:val="Hyperlink"/>
            <w:lang w:val="fr-FR"/>
          </w:rPr>
          <w:t xml:space="preserve"> </w:t>
        </w:r>
        <w:r w:rsidR="00D301C6" w:rsidRPr="00813782">
          <w:rPr>
            <w:rStyle w:val="Hyperlink"/>
            <w:lang w:val="fr-FR"/>
          </w:rPr>
          <w:t>Pages/Call-Implementation-HRC-Resolution-43-1.aspx</w:t>
        </w:r>
      </w:hyperlink>
      <w:r w:rsidR="00D301C6" w:rsidRPr="00D10EF8">
        <w:t>.</w:t>
      </w:r>
    </w:p>
  </w:footnote>
  <w:footnote w:id="359">
    <w:p w14:paraId="60D756E5" w14:textId="5ED65AD4" w:rsidR="00D301C6" w:rsidRPr="00085E2F" w:rsidRDefault="00BB6E49" w:rsidP="005B4367">
      <w:pPr>
        <w:pStyle w:val="FootnoteText"/>
        <w:rPr>
          <w:lang w:val="fr-CA"/>
        </w:rPr>
      </w:pPr>
      <w:r w:rsidRPr="00D10EF8">
        <w:tab/>
      </w:r>
      <w:r w:rsidRPr="00093AC5">
        <w:rPr>
          <w:rStyle w:val="FootnoteReference"/>
        </w:rPr>
        <w:footnoteRef/>
      </w:r>
      <w:r w:rsidRPr="00D10EF8">
        <w:tab/>
      </w:r>
      <w:hyperlink r:id="rId403" w:history="1">
        <w:r w:rsidR="00D301C6" w:rsidRPr="00813782">
          <w:rPr>
            <w:rStyle w:val="Hyperlink"/>
            <w:lang w:val="fr-FR"/>
          </w:rPr>
          <w:t>https://www.paul.senate.gov/news/sen-rand-paul-introduces-justice-breonna-taylor-act</w:t>
        </w:r>
      </w:hyperlink>
      <w:r w:rsidR="00D301C6" w:rsidRPr="00813782">
        <w:t>.</w:t>
      </w:r>
    </w:p>
  </w:footnote>
  <w:footnote w:id="360">
    <w:p w14:paraId="402D67FB" w14:textId="210D0466" w:rsidR="00D301C6" w:rsidRPr="00D10EF8" w:rsidRDefault="00BB6E49" w:rsidP="005B4367">
      <w:pPr>
        <w:pStyle w:val="FootnoteText"/>
      </w:pPr>
      <w:r w:rsidRPr="00D10EF8">
        <w:tab/>
      </w:r>
      <w:r w:rsidRPr="00093AC5">
        <w:rPr>
          <w:rStyle w:val="FootnoteReference"/>
        </w:rPr>
        <w:footnoteRef/>
      </w:r>
      <w:r w:rsidRPr="00D10EF8">
        <w:tab/>
      </w:r>
      <w:hyperlink r:id="rId404" w:history="1">
        <w:r w:rsidR="00D301C6" w:rsidRPr="00D10EF8">
          <w:rPr>
            <w:rStyle w:val="Hyperlink"/>
            <w:lang w:val="fr-FR"/>
          </w:rPr>
          <w:t>https://www.justice.gov/opa/pr/department-justice-announces-investigation-louisvillejefferson-county-metro-government-and</w:t>
        </w:r>
      </w:hyperlink>
      <w:r w:rsidR="00D301C6" w:rsidRPr="00D10EF8">
        <w:rPr>
          <w:rStyle w:val="Hyperlink"/>
          <w:lang w:val="fr-FR"/>
        </w:rPr>
        <w:t>.</w:t>
      </w:r>
    </w:p>
  </w:footnote>
  <w:footnote w:id="361">
    <w:p w14:paraId="28FAEB64" w14:textId="18B1273E" w:rsidR="00D301C6" w:rsidRPr="00D10EF8" w:rsidRDefault="00BB6E49" w:rsidP="005B4367">
      <w:pPr>
        <w:pStyle w:val="FootnoteText"/>
      </w:pPr>
      <w:r w:rsidRPr="00D10EF8">
        <w:tab/>
      </w:r>
      <w:r w:rsidRPr="00093AC5">
        <w:rPr>
          <w:rStyle w:val="FootnoteReference"/>
        </w:rPr>
        <w:footnoteRef/>
      </w:r>
      <w:r w:rsidRPr="00D10EF8">
        <w:tab/>
      </w:r>
      <w:r w:rsidR="00D301C6" w:rsidRPr="00C459CC">
        <w:t>Disponible telle qu</w:t>
      </w:r>
      <w:r w:rsidR="00F60EAA">
        <w:t>’</w:t>
      </w:r>
      <w:r w:rsidR="00D301C6" w:rsidRPr="00C459CC">
        <w:t>elle a été reçue à l</w:t>
      </w:r>
      <w:r w:rsidR="00F60EAA">
        <w:t>’</w:t>
      </w:r>
      <w:r w:rsidR="00D301C6" w:rsidRPr="00C459CC">
        <w:t>adresse suivante</w:t>
      </w:r>
      <w:r w:rsidR="00EF5758">
        <w:t> </w:t>
      </w:r>
      <w:r w:rsidR="00D301C6" w:rsidRPr="00C459CC">
        <w:t>:</w:t>
      </w:r>
      <w:r w:rsidR="00D301C6">
        <w:t xml:space="preserve"> </w:t>
      </w:r>
      <w:hyperlink r:id="rId405" w:history="1">
        <w:r w:rsidR="00D301C6" w:rsidRPr="00813782">
          <w:rPr>
            <w:rStyle w:val="Hyperlink"/>
            <w:lang w:val="fr-FR"/>
          </w:rPr>
          <w:t>https://www.ohchr.org/EN/Issues/Racism/</w:t>
        </w:r>
        <w:r w:rsidR="00EF5758">
          <w:rPr>
            <w:rStyle w:val="Hyperlink"/>
            <w:lang w:val="fr-FR"/>
          </w:rPr>
          <w:t xml:space="preserve"> </w:t>
        </w:r>
        <w:r w:rsidR="00D301C6" w:rsidRPr="00813782">
          <w:rPr>
            <w:rStyle w:val="Hyperlink"/>
            <w:lang w:val="fr-FR"/>
          </w:rPr>
          <w:t>Pages/Call-Implementation-HRC-Resolution-43-1.aspx</w:t>
        </w:r>
      </w:hyperlink>
      <w:r w:rsidR="00D301C6" w:rsidRPr="00D10EF8">
        <w:t>.</w:t>
      </w:r>
    </w:p>
  </w:footnote>
  <w:footnote w:id="362">
    <w:p w14:paraId="3D2521B0" w14:textId="1178EEA7" w:rsidR="00D301C6" w:rsidRPr="00D10EF8" w:rsidRDefault="00BB6E49" w:rsidP="005B4367">
      <w:pPr>
        <w:pStyle w:val="FootnoteText"/>
      </w:pPr>
      <w:r w:rsidRPr="00D10EF8">
        <w:tab/>
      </w:r>
      <w:r w:rsidRPr="009A0B15">
        <w:rPr>
          <w:rStyle w:val="FootnoteReference"/>
        </w:rPr>
        <w:footnoteRef/>
      </w:r>
      <w:r w:rsidRPr="009A0B15">
        <w:tab/>
      </w:r>
      <w:r w:rsidR="00D301C6" w:rsidRPr="009A0B15">
        <w:t xml:space="preserve">CCPR/C/GC/36, </w:t>
      </w:r>
      <w:r w:rsidR="002A7FA1" w:rsidRPr="009A0B15">
        <w:t>par. </w:t>
      </w:r>
      <w:r w:rsidR="00D301C6" w:rsidRPr="009A0B15">
        <w:t>61.</w:t>
      </w:r>
    </w:p>
  </w:footnote>
  <w:footnote w:id="363">
    <w:p w14:paraId="548A25EB" w14:textId="23AFA5BE" w:rsidR="00D301C6" w:rsidRPr="00D10EF8" w:rsidRDefault="00BB6E49"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t>28.</w:t>
      </w:r>
    </w:p>
  </w:footnote>
  <w:footnote w:id="364">
    <w:p w14:paraId="52DD7F10" w14:textId="674FEFE1" w:rsidR="00D301C6" w:rsidRPr="00D10EF8" w:rsidRDefault="00BB6E49"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t>23.</w:t>
      </w:r>
    </w:p>
  </w:footnote>
  <w:footnote w:id="365">
    <w:p w14:paraId="166068B9" w14:textId="7AC510EA" w:rsidR="00D301C6" w:rsidRPr="00D10EF8" w:rsidRDefault="00BB6E49" w:rsidP="005B4367">
      <w:pPr>
        <w:pStyle w:val="FootnoteText"/>
      </w:pPr>
      <w:r w:rsidRPr="00D10EF8">
        <w:tab/>
      </w:r>
      <w:r w:rsidRPr="00093AC5">
        <w:rPr>
          <w:rStyle w:val="FootnoteReference"/>
        </w:rPr>
        <w:footnoteRef/>
      </w:r>
      <w:r w:rsidRPr="00D10EF8">
        <w:tab/>
      </w:r>
      <w:r w:rsidR="00D301C6" w:rsidRPr="00D10EF8">
        <w:t>Voir également, par exemple, les communications de INQUEST et de Colectivo Justicia Racial.</w:t>
      </w:r>
    </w:p>
  </w:footnote>
  <w:footnote w:id="366">
    <w:p w14:paraId="0B9E47DE" w14:textId="14DB476C" w:rsidR="00D301C6" w:rsidRPr="00DA5E7E" w:rsidRDefault="00BB6E49" w:rsidP="005B4367">
      <w:pPr>
        <w:pStyle w:val="FootnoteText"/>
        <w:rPr>
          <w:lang w:val="en-US"/>
        </w:rPr>
      </w:pPr>
      <w:r w:rsidRPr="00D10EF8">
        <w:tab/>
      </w:r>
      <w:r w:rsidRPr="00093AC5">
        <w:rPr>
          <w:rStyle w:val="FootnoteReference"/>
        </w:rPr>
        <w:footnoteRef/>
      </w:r>
      <w:r w:rsidRPr="00DA5E7E">
        <w:rPr>
          <w:lang w:val="en-US"/>
        </w:rPr>
        <w:tab/>
      </w:r>
      <w:r w:rsidR="00D301C6" w:rsidRPr="00DA5E7E">
        <w:rPr>
          <w:lang w:val="en-US"/>
        </w:rPr>
        <w:t>CERD/C/GC/34, par 37.</w:t>
      </w:r>
    </w:p>
  </w:footnote>
  <w:footnote w:id="367">
    <w:p w14:paraId="5237CE23" w14:textId="1A94DB2A" w:rsidR="00D301C6" w:rsidRPr="00DA5E7E" w:rsidRDefault="00BB6E49" w:rsidP="005B4367">
      <w:pPr>
        <w:pStyle w:val="FootnoteText"/>
        <w:rPr>
          <w:lang w:val="en-US"/>
        </w:rPr>
      </w:pPr>
      <w:r w:rsidRPr="00DA5E7E">
        <w:rPr>
          <w:lang w:val="en-US"/>
        </w:rPr>
        <w:tab/>
      </w:r>
      <w:r w:rsidRPr="00093AC5">
        <w:rPr>
          <w:rStyle w:val="FootnoteReference"/>
        </w:rPr>
        <w:footnoteRef/>
      </w:r>
      <w:r w:rsidRPr="00DA5E7E">
        <w:rPr>
          <w:lang w:val="en-US"/>
        </w:rPr>
        <w:tab/>
      </w:r>
      <w:hyperlink r:id="rId406" w:history="1">
        <w:r w:rsidR="00D301C6" w:rsidRPr="00813782">
          <w:rPr>
            <w:rStyle w:val="Hyperlink"/>
            <w:lang w:val="en-US"/>
          </w:rPr>
          <w:t>https://assets.publishing.service.gov.uk/government/uploads/system/uploads/attachment_ data/file/655401/Report_of_Angiolini_Review_ISBN_Accessible.pdf</w:t>
        </w:r>
      </w:hyperlink>
      <w:r w:rsidR="00D301C6" w:rsidRPr="00AF6976">
        <w:rPr>
          <w:rStyle w:val="Hyperlink"/>
          <w:color w:val="auto"/>
          <w:lang w:val="en-US"/>
        </w:rPr>
        <w:t xml:space="preserve">, </w:t>
      </w:r>
      <w:r w:rsidR="002A7FA1" w:rsidRPr="00AF6976">
        <w:rPr>
          <w:rStyle w:val="Hyperlink"/>
          <w:color w:val="auto"/>
          <w:lang w:val="en-US"/>
        </w:rPr>
        <w:t>p. </w:t>
      </w:r>
      <w:r w:rsidR="00D301C6" w:rsidRPr="00AF6976">
        <w:rPr>
          <w:rStyle w:val="Hyperlink"/>
          <w:color w:val="auto"/>
          <w:lang w:val="en-US"/>
        </w:rPr>
        <w:t>85 à 93</w:t>
      </w:r>
      <w:r w:rsidR="00D301C6" w:rsidRPr="00AF6976">
        <w:rPr>
          <w:lang w:val="en-US"/>
        </w:rPr>
        <w:t>.</w:t>
      </w:r>
    </w:p>
  </w:footnote>
  <w:footnote w:id="368">
    <w:p w14:paraId="41EC0149" w14:textId="6D634AAE" w:rsidR="00D301C6" w:rsidRPr="00DA5E7E" w:rsidRDefault="00BB6E49" w:rsidP="005B4367">
      <w:pPr>
        <w:pStyle w:val="FootnoteText"/>
        <w:rPr>
          <w:lang w:val="en-US"/>
        </w:rPr>
      </w:pPr>
      <w:r w:rsidRPr="00DA5E7E">
        <w:rPr>
          <w:lang w:val="en-US"/>
        </w:rPr>
        <w:tab/>
      </w:r>
      <w:r w:rsidRPr="00093AC5">
        <w:rPr>
          <w:rStyle w:val="FootnoteReference"/>
        </w:rPr>
        <w:footnoteRef/>
      </w:r>
      <w:r w:rsidRPr="00DA5E7E">
        <w:rPr>
          <w:lang w:val="en-US"/>
        </w:rPr>
        <w:tab/>
      </w:r>
      <w:hyperlink r:id="rId407" w:history="1">
        <w:r w:rsidR="00D301C6" w:rsidRPr="00813782">
          <w:rPr>
            <w:rStyle w:val="Hyperlink"/>
            <w:lang w:val="en-US"/>
          </w:rPr>
          <w:t>https://assets.publishing.service.gov.uk/government/uploads/system/uploads/attachment_ data/file/655401/Report_of_Angiolini_Review_ISBN_Accessible.pdf</w:t>
        </w:r>
      </w:hyperlink>
      <w:r w:rsidR="00D301C6" w:rsidRPr="00AF6976">
        <w:rPr>
          <w:rStyle w:val="Hyperlink"/>
          <w:color w:val="auto"/>
          <w:lang w:val="en-US"/>
        </w:rPr>
        <w:t xml:space="preserve">, </w:t>
      </w:r>
      <w:r w:rsidR="002A7FA1" w:rsidRPr="00AF6976">
        <w:rPr>
          <w:rStyle w:val="Hyperlink"/>
          <w:color w:val="auto"/>
          <w:lang w:val="en-US"/>
        </w:rPr>
        <w:t>p. </w:t>
      </w:r>
      <w:r w:rsidR="00D301C6" w:rsidRPr="00AF6976">
        <w:rPr>
          <w:rStyle w:val="Hyperlink"/>
          <w:color w:val="auto"/>
          <w:lang w:val="en-US"/>
        </w:rPr>
        <w:t>87</w:t>
      </w:r>
      <w:r w:rsidR="00D301C6" w:rsidRPr="00AF6976">
        <w:rPr>
          <w:lang w:val="en-US"/>
        </w:rPr>
        <w:t>.</w:t>
      </w:r>
    </w:p>
  </w:footnote>
  <w:footnote w:id="369">
    <w:p w14:paraId="15FA2EEE" w14:textId="591698ED" w:rsidR="00D301C6" w:rsidRPr="00D10EF8" w:rsidRDefault="00BB6E49" w:rsidP="005B4367">
      <w:pPr>
        <w:pStyle w:val="FootnoteText"/>
        <w:rPr>
          <w:lang w:val="fr-FR"/>
        </w:rPr>
      </w:pPr>
      <w:r w:rsidRPr="00DA5E7E">
        <w:rPr>
          <w:lang w:val="en-US"/>
        </w:rPr>
        <w:tab/>
      </w:r>
      <w:r w:rsidRPr="00093AC5">
        <w:rPr>
          <w:rStyle w:val="FootnoteReference"/>
        </w:rPr>
        <w:footnoteRef/>
      </w:r>
      <w:r w:rsidRPr="00DA5E7E">
        <w:rPr>
          <w:lang w:val="en-US"/>
        </w:rPr>
        <w:tab/>
      </w:r>
      <w:hyperlink r:id="rId408" w:history="1">
        <w:r w:rsidR="00D301C6" w:rsidRPr="00813782">
          <w:rPr>
            <w:rStyle w:val="Hyperlink"/>
            <w:lang w:val="en-US"/>
          </w:rPr>
          <w:t>https://assets.publishing.service.gov.uk/government/uploads/system/uploads/attachment_ data/file/655401/Report_of_Angiolini_Review_ISBN_Accessible.pdf</w:t>
        </w:r>
      </w:hyperlink>
      <w:r w:rsidR="00D301C6" w:rsidRPr="00DA5E7E">
        <w:rPr>
          <w:lang w:val="en-US"/>
        </w:rPr>
        <w:t xml:space="preserve">, </w:t>
      </w:r>
      <w:r w:rsidR="002A7FA1" w:rsidRPr="00DA5E7E">
        <w:rPr>
          <w:lang w:val="en-US"/>
        </w:rPr>
        <w:t>p. </w:t>
      </w:r>
      <w:r w:rsidR="00D301C6" w:rsidRPr="00DA5E7E">
        <w:rPr>
          <w:lang w:val="en-US"/>
        </w:rPr>
        <w:t xml:space="preserve">93. </w:t>
      </w:r>
      <w:r w:rsidR="00D301C6" w:rsidRPr="00D10EF8">
        <w:rPr>
          <w:lang w:val="fr-FR"/>
        </w:rPr>
        <w:t xml:space="preserve">Voir également A/HRC/24/52/Add.1, </w:t>
      </w:r>
      <w:r w:rsidR="002A7FA1">
        <w:rPr>
          <w:lang w:val="fr-FR"/>
        </w:rPr>
        <w:t>par. </w:t>
      </w:r>
      <w:r w:rsidR="00D301C6" w:rsidRPr="00D10EF8">
        <w:rPr>
          <w:lang w:val="fr-FR"/>
        </w:rPr>
        <w:t>55.</w:t>
      </w:r>
    </w:p>
  </w:footnote>
  <w:footnote w:id="370">
    <w:p w14:paraId="39E71908" w14:textId="70381029" w:rsidR="00D301C6" w:rsidRPr="00D10EF8" w:rsidRDefault="00BB6E49" w:rsidP="005B4367">
      <w:pPr>
        <w:pStyle w:val="FootnoteText"/>
      </w:pPr>
      <w:r w:rsidRPr="00D10EF8">
        <w:tab/>
      </w:r>
      <w:r w:rsidRPr="00093AC5">
        <w:rPr>
          <w:rStyle w:val="FootnoteReference"/>
        </w:rPr>
        <w:footnoteRef/>
      </w:r>
      <w:r w:rsidRPr="00D10EF8">
        <w:tab/>
      </w:r>
      <w:hyperlink r:id="rId409" w:history="1">
        <w:r w:rsidR="00D301C6" w:rsidRPr="00D10EF8">
          <w:rPr>
            <w:rStyle w:val="Hyperlink"/>
            <w:lang w:val="fr-FR"/>
          </w:rPr>
          <w:t>https://archive2021.parliament.scot/S5_HealthandSportCommittee/General%20Documents /20200521CSJtoMMSheku_Bayoh.pdf</w:t>
        </w:r>
      </w:hyperlink>
      <w:r w:rsidR="00D301C6" w:rsidRPr="00AF6976">
        <w:rPr>
          <w:rStyle w:val="Hyperlink"/>
          <w:color w:val="auto"/>
          <w:lang w:val="fr-FR"/>
        </w:rPr>
        <w:t xml:space="preserve">, </w:t>
      </w:r>
      <w:r w:rsidR="002A7FA1" w:rsidRPr="00AF6976">
        <w:rPr>
          <w:rStyle w:val="Hyperlink"/>
          <w:color w:val="auto"/>
          <w:lang w:val="fr-FR"/>
        </w:rPr>
        <w:t>p. </w:t>
      </w:r>
      <w:r w:rsidR="00D301C6" w:rsidRPr="00AF6976">
        <w:rPr>
          <w:rStyle w:val="Hyperlink"/>
          <w:color w:val="auto"/>
          <w:lang w:val="fr-FR"/>
        </w:rPr>
        <w:t>2</w:t>
      </w:r>
      <w:r w:rsidR="00D301C6" w:rsidRPr="00AF6976">
        <w:t>.</w:t>
      </w:r>
    </w:p>
  </w:footnote>
  <w:footnote w:id="371">
    <w:p w14:paraId="71B82710" w14:textId="5D9C0D1E" w:rsidR="00D301C6" w:rsidRPr="00D10EF8" w:rsidRDefault="00BB6E49" w:rsidP="005B4367">
      <w:pPr>
        <w:pStyle w:val="FootnoteText"/>
      </w:pPr>
      <w:r w:rsidRPr="00D10EF8">
        <w:tab/>
      </w:r>
      <w:r w:rsidRPr="00093AC5">
        <w:rPr>
          <w:rStyle w:val="FootnoteReference"/>
        </w:rPr>
        <w:footnoteRef/>
      </w:r>
      <w:r w:rsidRPr="00D10EF8">
        <w:tab/>
      </w:r>
      <w:hyperlink r:id="rId410" w:history="1">
        <w:r w:rsidR="00D301C6" w:rsidRPr="00D10EF8">
          <w:rPr>
            <w:rStyle w:val="Hyperlink"/>
            <w:lang w:val="fr-FR"/>
          </w:rPr>
          <w:t>www.policeconduct.gov.uk/news/iopc-announces-thematic-focus-race-discrimination-investigations</w:t>
        </w:r>
      </w:hyperlink>
      <w:r w:rsidR="00D301C6" w:rsidRPr="00D10EF8">
        <w:rPr>
          <w:rStyle w:val="Hyperlink"/>
          <w:lang w:val="fr-FR"/>
        </w:rPr>
        <w:t>.</w:t>
      </w:r>
    </w:p>
  </w:footnote>
  <w:footnote w:id="372">
    <w:p w14:paraId="40BF84E0" w14:textId="1AF4F4B5" w:rsidR="00D301C6" w:rsidRPr="00D10EF8" w:rsidRDefault="00BB6E49" w:rsidP="005B4367">
      <w:pPr>
        <w:pStyle w:val="FootnoteText"/>
      </w:pPr>
      <w:r w:rsidRPr="00D10EF8">
        <w:tab/>
      </w:r>
      <w:r w:rsidRPr="00093AC5">
        <w:rPr>
          <w:rStyle w:val="FootnoteReference"/>
        </w:rPr>
        <w:footnoteRef/>
      </w:r>
      <w:r w:rsidRPr="00D10EF8">
        <w:tab/>
      </w:r>
      <w:hyperlink r:id="rId411" w:history="1">
        <w:r w:rsidR="00D301C6" w:rsidRPr="00D10EF8">
          <w:rPr>
            <w:rStyle w:val="Hyperlink"/>
            <w:lang w:val="fr-FR"/>
          </w:rPr>
          <w:t>https://www.justice.gov/opa/pr/attorney-general-merrick-b-garland-announces-investigation-city-minneapolis-minnesota-and</w:t>
        </w:r>
      </w:hyperlink>
      <w:r w:rsidR="00BF73AB">
        <w:t> ;</w:t>
      </w:r>
      <w:r w:rsidR="00D301C6" w:rsidRPr="00D10EF8">
        <w:t xml:space="preserve"> </w:t>
      </w:r>
      <w:hyperlink r:id="rId412" w:history="1">
        <w:r w:rsidR="00D301C6" w:rsidRPr="00D10EF8">
          <w:rPr>
            <w:rStyle w:val="Hyperlink"/>
            <w:lang w:val="fr-FR"/>
          </w:rPr>
          <w:t>https://www.justice.gov/opa/pr/department-justice-announces-investigation-louisvillejefferson-county-metro-government-and</w:t>
        </w:r>
      </w:hyperlink>
      <w:r w:rsidR="00D301C6" w:rsidRPr="00D10EF8">
        <w:rPr>
          <w:rStyle w:val="Hyperlink"/>
          <w:lang w:val="fr-FR"/>
        </w:rPr>
        <w:t>.</w:t>
      </w:r>
    </w:p>
  </w:footnote>
  <w:footnote w:id="373">
    <w:p w14:paraId="0E596D27" w14:textId="4FF19F40" w:rsidR="00D301C6" w:rsidRPr="00D10EF8" w:rsidRDefault="00BB6E49" w:rsidP="005B4367">
      <w:pPr>
        <w:pStyle w:val="FootnoteText"/>
      </w:pPr>
      <w:r w:rsidRPr="00D10EF8">
        <w:tab/>
      </w:r>
      <w:r w:rsidRPr="00093AC5">
        <w:rPr>
          <w:rStyle w:val="FootnoteReference"/>
        </w:rPr>
        <w:footnoteRef/>
      </w:r>
      <w:r w:rsidRPr="00D10EF8">
        <w:tab/>
      </w:r>
      <w:hyperlink r:id="rId413" w:history="1">
        <w:r w:rsidR="00D301C6" w:rsidRPr="00D10EF8">
          <w:rPr>
            <w:rStyle w:val="Hyperlink"/>
            <w:lang w:val="fr-FR"/>
          </w:rPr>
          <w:t>www.corteidh.or.cr/docs/casos/articulos/seriec_410_esp.pdf</w:t>
        </w:r>
      </w:hyperlink>
      <w:r w:rsidR="00D301C6" w:rsidRPr="00D10EF8">
        <w:t>.</w:t>
      </w:r>
    </w:p>
  </w:footnote>
  <w:footnote w:id="374">
    <w:p w14:paraId="17BD3A9A" w14:textId="6E2D6DC1" w:rsidR="00D301C6" w:rsidRPr="00D10EF8" w:rsidRDefault="00BB6E49" w:rsidP="005B4367">
      <w:pPr>
        <w:pStyle w:val="FootnoteText"/>
      </w:pPr>
      <w:r w:rsidRPr="00D10EF8">
        <w:tab/>
      </w:r>
      <w:r w:rsidRPr="00093AC5">
        <w:rPr>
          <w:rStyle w:val="FootnoteReference"/>
        </w:rPr>
        <w:footnoteRef/>
      </w:r>
      <w:r w:rsidRPr="00D10EF8">
        <w:tab/>
      </w:r>
      <w:r w:rsidR="00D301C6" w:rsidRPr="00D10EF8">
        <w:t>Communication de l</w:t>
      </w:r>
      <w:r w:rsidR="00F60EAA">
        <w:t>’</w:t>
      </w:r>
      <w:r w:rsidR="00D301C6" w:rsidRPr="00D10EF8">
        <w:t>Argentin</w:t>
      </w:r>
      <w:r w:rsidR="00D301C6">
        <w:t>e</w:t>
      </w:r>
      <w:r w:rsidR="00D301C6" w:rsidRPr="00D10EF8">
        <w:t xml:space="preserve"> </w:t>
      </w:r>
      <w:r w:rsidR="00D301C6">
        <w:t>et du</w:t>
      </w:r>
      <w:r w:rsidR="00D301C6" w:rsidRPr="00D10EF8">
        <w:t xml:space="preserve"> Centro de Estudios Legales y Sociales (CELS)/Diáspora Africana de la Argentina (DIAFAR)</w:t>
      </w:r>
      <w:r w:rsidR="00BF73AB">
        <w:t> ;</w:t>
      </w:r>
      <w:r w:rsidR="00D301C6" w:rsidRPr="00D10EF8">
        <w:t xml:space="preserve"> </w:t>
      </w:r>
      <w:hyperlink r:id="rId414" w:history="1">
        <w:r w:rsidR="00D301C6" w:rsidRPr="00D10EF8">
          <w:rPr>
            <w:rStyle w:val="Hyperlink"/>
            <w:lang w:val="fr-FR"/>
          </w:rPr>
          <w:t>https://www.argentina.gob.ar/noticias/historico-reconocimiento-ante-la-corte-interamericana-de-derechos-humanos-por-casos-de</w:t>
        </w:r>
      </w:hyperlink>
      <w:r w:rsidR="00D301C6" w:rsidRPr="00D10EF8">
        <w:t>.</w:t>
      </w:r>
    </w:p>
  </w:footnote>
  <w:footnote w:id="375">
    <w:p w14:paraId="517DD9B8" w14:textId="63AA6449" w:rsidR="00D301C6" w:rsidRPr="00D10EF8" w:rsidRDefault="00BB6E49" w:rsidP="005B4367">
      <w:pPr>
        <w:pStyle w:val="FootnoteText"/>
      </w:pPr>
      <w:r w:rsidRPr="00D10EF8">
        <w:tab/>
      </w:r>
      <w:r w:rsidRPr="00093AC5">
        <w:rPr>
          <w:rStyle w:val="FootnoteReference"/>
        </w:rPr>
        <w:footnoteRef/>
      </w:r>
      <w:r w:rsidRPr="00D10EF8">
        <w:tab/>
      </w:r>
      <w:hyperlink r:id="rId415" w:history="1">
        <w:r w:rsidR="00D301C6" w:rsidRPr="00D10EF8">
          <w:rPr>
            <w:rStyle w:val="Hyperlink"/>
            <w:lang w:val="fr-FR"/>
          </w:rPr>
          <w:t>https://www.corteidh.or.cr/docs/casos/articulos/seriec_333_esp.pdf</w:t>
        </w:r>
      </w:hyperlink>
      <w:r w:rsidR="00D301C6" w:rsidRPr="00D10EF8">
        <w:t>.</w:t>
      </w:r>
    </w:p>
  </w:footnote>
  <w:footnote w:id="376">
    <w:p w14:paraId="64165563" w14:textId="5FD86D0A" w:rsidR="00D301C6" w:rsidRPr="00D10EF8" w:rsidRDefault="00BB6E49"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 xml:space="preserve">27. Voir également </w:t>
      </w:r>
      <w:hyperlink r:id="rId416" w:history="1">
        <w:r w:rsidR="00D301C6" w:rsidRPr="00D10EF8">
          <w:rPr>
            <w:rStyle w:val="Hyperlink"/>
            <w:lang w:val="fr-FR"/>
          </w:rPr>
          <w:t>https://www.achpr.org/legalinstruments/detail?id=10</w:t>
        </w:r>
      </w:hyperlink>
      <w:r w:rsidR="00D301C6" w:rsidRPr="00D10EF8">
        <w:rPr>
          <w:rStyle w:val="Hyperlink"/>
          <w:lang w:val="fr-FR"/>
        </w:rPr>
        <w:t xml:space="preserve">, </w:t>
      </w:r>
      <w:r w:rsidR="002A7FA1">
        <w:rPr>
          <w:rStyle w:val="Hyperlink"/>
          <w:lang w:val="fr-FR"/>
        </w:rPr>
        <w:t>par. </w:t>
      </w:r>
      <w:r w:rsidR="00D301C6" w:rsidRPr="00D10EF8">
        <w:rPr>
          <w:rStyle w:val="Hyperlink"/>
          <w:lang w:val="fr-FR"/>
        </w:rPr>
        <w:t>2 et 15</w:t>
      </w:r>
      <w:r w:rsidR="00BF73AB">
        <w:rPr>
          <w:rStyle w:val="Hyperlink"/>
          <w:lang w:val="fr-FR"/>
        </w:rPr>
        <w:t> ;</w:t>
      </w:r>
      <w:r w:rsidR="00D301C6" w:rsidRPr="00D10EF8">
        <w:t xml:space="preserve"> </w:t>
      </w:r>
      <w:hyperlink r:id="rId417" w:history="1">
        <w:r w:rsidR="00D301C6" w:rsidRPr="00D10EF8">
          <w:rPr>
            <w:rStyle w:val="Hyperlink"/>
            <w:lang w:val="fr-FR"/>
          </w:rPr>
          <w:t>https://www.icrc.org/en/doc/assets/files/publications/icrc-002-4126.pdf</w:t>
        </w:r>
      </w:hyperlink>
      <w:r w:rsidR="00D301C6" w:rsidRPr="00D10EF8">
        <w:t>, p.</w:t>
      </w:r>
      <w:r w:rsidR="00B5587C">
        <w:t> </w:t>
      </w:r>
      <w:r w:rsidR="00D301C6" w:rsidRPr="00D10EF8">
        <w:t>11 à 14</w:t>
      </w:r>
      <w:r w:rsidR="00BF73AB">
        <w:t> ;</w:t>
      </w:r>
      <w:r w:rsidR="00D301C6" w:rsidRPr="00D10EF8">
        <w:t xml:space="preserve"> </w:t>
      </w:r>
      <w:hyperlink r:id="rId418" w:history="1">
        <w:r w:rsidR="00D301C6" w:rsidRPr="00D10EF8">
          <w:rPr>
            <w:rStyle w:val="Hyperlink"/>
            <w:lang w:val="fr-FR"/>
          </w:rPr>
          <w:t>https://www.ohchr.org/fr/instruments-mechanisms/instruments/body-principles-protection-all-persons-under-any-form-detention</w:t>
        </w:r>
      </w:hyperlink>
      <w:r w:rsidR="00D301C6" w:rsidRPr="00D10EF8">
        <w:rPr>
          <w:rStyle w:val="Hyperlink"/>
          <w:lang w:val="fr-FR"/>
        </w:rPr>
        <w:t>, principe 34</w:t>
      </w:r>
      <w:r w:rsidR="00BF73AB">
        <w:rPr>
          <w:rStyle w:val="Hyperlink"/>
          <w:lang w:val="fr-FR"/>
        </w:rPr>
        <w:t> ;</w:t>
      </w:r>
      <w:r w:rsidR="00D301C6" w:rsidRPr="00D10EF8">
        <w:t xml:space="preserve"> A/HRC/42/20.</w:t>
      </w:r>
    </w:p>
  </w:footnote>
  <w:footnote w:id="377">
    <w:p w14:paraId="47D6A63C" w14:textId="054A4A3E" w:rsidR="00D301C6" w:rsidRPr="00D10EF8" w:rsidRDefault="00BB6E49"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28.</w:t>
      </w:r>
    </w:p>
  </w:footnote>
  <w:footnote w:id="378">
    <w:p w14:paraId="10B41B86" w14:textId="0CDBF014" w:rsidR="00D301C6" w:rsidRPr="00B5587C" w:rsidRDefault="00BB6E49"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t xml:space="preserve">27. Voir également </w:t>
      </w:r>
      <w:hyperlink r:id="rId419" w:history="1">
        <w:r w:rsidR="00D301C6" w:rsidRPr="00D10EF8">
          <w:rPr>
            <w:rStyle w:val="Hyperlink"/>
            <w:lang w:val="fr-FR"/>
          </w:rPr>
          <w:t>https://www.ohchr.org/Documents/ProfessionalInterest/</w:t>
        </w:r>
        <w:r w:rsidR="00B5587C">
          <w:rPr>
            <w:rStyle w:val="Hyperlink"/>
            <w:lang w:val="fr-FR"/>
          </w:rPr>
          <w:t xml:space="preserve"> </w:t>
        </w:r>
        <w:r w:rsidR="00D301C6" w:rsidRPr="00D10EF8">
          <w:rPr>
            <w:rStyle w:val="Hyperlink"/>
            <w:lang w:val="fr-FR"/>
          </w:rPr>
          <w:t>UseOfForceAndFirearms.pdf</w:t>
        </w:r>
      </w:hyperlink>
      <w:r w:rsidR="00D301C6" w:rsidRPr="00D10EF8">
        <w:rPr>
          <w:rStyle w:val="Hyperlink"/>
          <w:lang w:val="fr-FR"/>
        </w:rPr>
        <w:t xml:space="preserve">, </w:t>
      </w:r>
      <w:r w:rsidR="002A7FA1" w:rsidRPr="00B5587C">
        <w:rPr>
          <w:rStyle w:val="Hyperlink"/>
          <w:color w:val="auto"/>
          <w:lang w:val="fr-FR"/>
        </w:rPr>
        <w:t>p. </w:t>
      </w:r>
      <w:r w:rsidR="00D301C6" w:rsidRPr="00B5587C">
        <w:rPr>
          <w:rStyle w:val="Hyperlink"/>
          <w:color w:val="auto"/>
          <w:lang w:val="fr-FR"/>
        </w:rPr>
        <w:t>171.</w:t>
      </w:r>
    </w:p>
  </w:footnote>
  <w:footnote w:id="379">
    <w:p w14:paraId="6890A158" w14:textId="10CFBA45" w:rsidR="00D301C6" w:rsidRPr="00D10EF8" w:rsidRDefault="00BB6E49" w:rsidP="005B4367">
      <w:pPr>
        <w:pStyle w:val="FootnoteText"/>
      </w:pPr>
      <w:r w:rsidRPr="00D10EF8">
        <w:tab/>
      </w:r>
      <w:r w:rsidRPr="00093AC5">
        <w:rPr>
          <w:rStyle w:val="FootnoteReference"/>
        </w:rPr>
        <w:footnoteRef/>
      </w:r>
      <w:r w:rsidRPr="00D10EF8">
        <w:tab/>
      </w:r>
      <w:r w:rsidR="00D301C6" w:rsidRPr="00D10EF8">
        <w:t xml:space="preserve">CCPR/C/GC 36, </w:t>
      </w:r>
      <w:r w:rsidR="002A7FA1">
        <w:t>par. </w:t>
      </w:r>
      <w:r w:rsidR="00D301C6" w:rsidRPr="00D10EF8">
        <w:t>27</w:t>
      </w:r>
      <w:r w:rsidR="00BF73AB">
        <w:t> ;</w:t>
      </w:r>
      <w:r w:rsidR="00D301C6" w:rsidRPr="00D10EF8">
        <w:t xml:space="preserve"> </w:t>
      </w:r>
      <w:hyperlink r:id="rId420" w:history="1">
        <w:r w:rsidR="00D301C6" w:rsidRPr="00D10EF8">
          <w:rPr>
            <w:rStyle w:val="Hyperlink"/>
            <w:lang w:val="fr-FR"/>
          </w:rPr>
          <w:t>https://ohchr.org/Documents/Publications/MinnesotaProtocol.pdf</w:t>
        </w:r>
      </w:hyperlink>
      <w:r w:rsidR="00D301C6" w:rsidRPr="00D10EF8">
        <w:t>.</w:t>
      </w:r>
    </w:p>
  </w:footnote>
  <w:footnote w:id="380">
    <w:p w14:paraId="0F8A999E" w14:textId="36894E16" w:rsidR="00D301C6" w:rsidRPr="00D10EF8" w:rsidRDefault="00BB6E49" w:rsidP="005B4367">
      <w:pPr>
        <w:pStyle w:val="FootnoteText"/>
      </w:pPr>
      <w:r w:rsidRPr="00D10EF8">
        <w:tab/>
      </w:r>
      <w:r w:rsidRPr="00093AC5">
        <w:rPr>
          <w:rStyle w:val="FootnoteReference"/>
        </w:rPr>
        <w:footnoteRef/>
      </w:r>
      <w:r w:rsidRPr="00D10EF8">
        <w:tab/>
      </w:r>
      <w:hyperlink r:id="rId421" w:history="1">
        <w:r w:rsidR="00D301C6" w:rsidRPr="00D10EF8">
          <w:rPr>
            <w:rStyle w:val="Hyperlink"/>
            <w:lang w:val="fr-FR"/>
          </w:rPr>
          <w:t>https://ohchr.org/Documents/Publications/MinnesotaProtocol.pdf</w:t>
        </w:r>
      </w:hyperlink>
      <w:r w:rsidR="00BF73AB">
        <w:rPr>
          <w:rStyle w:val="Hyperlink"/>
          <w:lang w:val="fr-FR"/>
        </w:rPr>
        <w:t> ;</w:t>
      </w:r>
      <w:r w:rsidR="00D301C6" w:rsidRPr="00D10EF8">
        <w:t xml:space="preserve"> CCPR/C/GC/36, </w:t>
      </w:r>
      <w:r w:rsidR="002A7FA1">
        <w:t>par. </w:t>
      </w:r>
      <w:r w:rsidR="00D301C6" w:rsidRPr="00D10EF8">
        <w:t>28.</w:t>
      </w:r>
    </w:p>
  </w:footnote>
  <w:footnote w:id="381">
    <w:p w14:paraId="53340469" w14:textId="026F0FCE" w:rsidR="00D301C6" w:rsidRPr="00D10EF8" w:rsidRDefault="00BB6E49"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rPr>
          <w:lang w:val="fr-FR"/>
        </w:rPr>
        <w:t>13.</w:t>
      </w:r>
    </w:p>
  </w:footnote>
  <w:footnote w:id="382">
    <w:p w14:paraId="0D9A0AF6" w14:textId="7A71BDD3" w:rsidR="00D301C6" w:rsidRPr="00D10EF8" w:rsidRDefault="00BB6E49" w:rsidP="005B4367">
      <w:pPr>
        <w:pStyle w:val="FootnoteText"/>
      </w:pPr>
      <w:bookmarkStart w:id="440" w:name="_Hlk108712458"/>
      <w:r w:rsidRPr="00D10EF8">
        <w:tab/>
      </w:r>
      <w:r w:rsidRPr="00093AC5">
        <w:rPr>
          <w:rStyle w:val="FootnoteReference"/>
        </w:rPr>
        <w:footnoteRef/>
      </w:r>
      <w:r w:rsidRPr="00D10EF8">
        <w:tab/>
      </w:r>
      <w:r w:rsidR="00D301C6" w:rsidRPr="00D10EF8">
        <w:t>Principes de base relatifs au recours à la force et l</w:t>
      </w:r>
      <w:r w:rsidR="00F60EAA">
        <w:t>’</w:t>
      </w:r>
      <w:r w:rsidR="00D301C6" w:rsidRPr="00D10EF8">
        <w:t>utilisation des armes à feu par les responsables de l</w:t>
      </w:r>
      <w:r w:rsidR="00F60EAA">
        <w:t>’</w:t>
      </w:r>
      <w:r w:rsidR="00D301C6" w:rsidRPr="00D10EF8">
        <w:t>application des lois</w:t>
      </w:r>
      <w:bookmarkEnd w:id="440"/>
      <w:r w:rsidR="00D301C6" w:rsidRPr="00D10EF8">
        <w:t xml:space="preserve">, </w:t>
      </w:r>
      <w:r w:rsidR="002A7FA1">
        <w:t>par. </w:t>
      </w:r>
      <w:r w:rsidR="00D301C6" w:rsidRPr="00D10EF8">
        <w:t>11 et 22</w:t>
      </w:r>
      <w:r w:rsidR="00BF73AB">
        <w:t> ;</w:t>
      </w:r>
      <w:r w:rsidR="00D301C6" w:rsidRPr="00D10EF8">
        <w:t xml:space="preserve"> </w:t>
      </w:r>
      <w:hyperlink r:id="rId422" w:history="1">
        <w:r w:rsidR="00D301C6" w:rsidRPr="00D10EF8">
          <w:rPr>
            <w:rStyle w:val="Hyperlink"/>
            <w:lang w:val="fr-FR"/>
          </w:rPr>
          <w:t>https://www.unodc.org/documents/justice-and-prison-reform/crimeprevention/PoliceAccountability_Oversight_and_Integrity_10-57991_Ebook.pdf</w:t>
        </w:r>
      </w:hyperlink>
      <w:r w:rsidR="00D301C6" w:rsidRPr="00D10EF8">
        <w:t xml:space="preserve">, </w:t>
      </w:r>
      <w:r w:rsidR="002A7FA1">
        <w:t>p. </w:t>
      </w:r>
      <w:r w:rsidR="00D301C6" w:rsidRPr="00D10EF8">
        <w:t>52.</w:t>
      </w:r>
    </w:p>
  </w:footnote>
  <w:footnote w:id="383">
    <w:p w14:paraId="69A33889" w14:textId="5DAC36E3" w:rsidR="00D301C6" w:rsidRPr="00D10EF8" w:rsidRDefault="00BB6E49" w:rsidP="005B4367">
      <w:pPr>
        <w:pStyle w:val="FootnoteText"/>
      </w:pPr>
      <w:r w:rsidRPr="00D10EF8">
        <w:tab/>
      </w:r>
      <w:r w:rsidRPr="00093AC5">
        <w:rPr>
          <w:rStyle w:val="FootnoteReference"/>
        </w:rPr>
        <w:footnoteRef/>
      </w:r>
      <w:r w:rsidRPr="00D10EF8">
        <w:tab/>
      </w:r>
      <w:r w:rsidR="00D301C6" w:rsidRPr="00D10EF8">
        <w:t>Principes de base relatifs au recours à la force et l</w:t>
      </w:r>
      <w:r w:rsidR="00F60EAA">
        <w:t>’</w:t>
      </w:r>
      <w:r w:rsidR="00D301C6" w:rsidRPr="00D10EF8">
        <w:t>utilisation des armes à feu par les responsables de l</w:t>
      </w:r>
      <w:r w:rsidR="00F60EAA">
        <w:t>’</w:t>
      </w:r>
      <w:r w:rsidR="00D301C6" w:rsidRPr="00D10EF8">
        <w:t xml:space="preserve">application des lois, </w:t>
      </w:r>
      <w:r w:rsidR="002A7FA1">
        <w:t>par. </w:t>
      </w:r>
      <w:r w:rsidR="00D301C6" w:rsidRPr="00D10EF8">
        <w:t xml:space="preserve">9. </w:t>
      </w:r>
    </w:p>
  </w:footnote>
  <w:footnote w:id="384">
    <w:p w14:paraId="35BCD050" w14:textId="6BB9FBE6" w:rsidR="00D301C6" w:rsidRPr="00D10EF8" w:rsidRDefault="00BB6E49" w:rsidP="005B4367">
      <w:pPr>
        <w:pStyle w:val="FootnoteText"/>
      </w:pPr>
      <w:r w:rsidRPr="00D10EF8">
        <w:tab/>
      </w:r>
      <w:r w:rsidRPr="00093AC5">
        <w:rPr>
          <w:rStyle w:val="FootnoteReference"/>
        </w:rPr>
        <w:footnoteRef/>
      </w:r>
      <w:r w:rsidRPr="00D10EF8">
        <w:tab/>
      </w:r>
      <w:hyperlink r:id="rId423" w:history="1">
        <w:r w:rsidR="00D301C6" w:rsidRPr="00D10EF8">
          <w:rPr>
            <w:rStyle w:val="Hyperlink"/>
            <w:lang w:val="fr-FR"/>
          </w:rPr>
          <w:t>https://mappingpoliceviolence.org/</w:t>
        </w:r>
      </w:hyperlink>
      <w:r w:rsidR="00BF73AB">
        <w:rPr>
          <w:rStyle w:val="Hyperlink"/>
          <w:lang w:val="fr-FR"/>
        </w:rPr>
        <w:t> ;</w:t>
      </w:r>
      <w:r w:rsidR="00D301C6" w:rsidRPr="00D10EF8">
        <w:t xml:space="preserve"> communication de l</w:t>
      </w:r>
      <w:r w:rsidR="00F60EAA">
        <w:t>’</w:t>
      </w:r>
      <w:r w:rsidR="00D301C6" w:rsidRPr="00D10EF8">
        <w:rPr>
          <w:szCs w:val="18"/>
        </w:rPr>
        <w:t>American Civil Liberties Union (ACLU)</w:t>
      </w:r>
      <w:r w:rsidR="00BF73AB">
        <w:rPr>
          <w:szCs w:val="18"/>
        </w:rPr>
        <w:t> ;</w:t>
      </w:r>
      <w:r w:rsidR="00D301C6" w:rsidRPr="00D10EF8">
        <w:t xml:space="preserve"> </w:t>
      </w:r>
      <w:hyperlink r:id="rId424" w:history="1">
        <w:r w:rsidR="00D301C6" w:rsidRPr="00D10EF8">
          <w:rPr>
            <w:rStyle w:val="Hyperlink"/>
            <w:lang w:val="fr-FR"/>
          </w:rPr>
          <w:t>http://www.washingtonpost.com/sf/investigative/2015/04/11/thousands-dead-few-prosecuted/?utm_term=.90c3d610122a</w:t>
        </w:r>
      </w:hyperlink>
      <w:r w:rsidR="00D301C6" w:rsidRPr="00D10EF8">
        <w:rPr>
          <w:rStyle w:val="Hyperlink"/>
          <w:lang w:val="fr-FR"/>
        </w:rPr>
        <w:t>.</w:t>
      </w:r>
    </w:p>
  </w:footnote>
  <w:footnote w:id="385">
    <w:p w14:paraId="27906029" w14:textId="2C769C59" w:rsidR="00D301C6" w:rsidRPr="00D10EF8" w:rsidRDefault="003A28F5" w:rsidP="005B4367">
      <w:pPr>
        <w:pStyle w:val="FootnoteText"/>
      </w:pPr>
      <w:r w:rsidRPr="00D10EF8">
        <w:tab/>
      </w:r>
      <w:r w:rsidRPr="00093AC5">
        <w:rPr>
          <w:rStyle w:val="FootnoteReference"/>
        </w:rPr>
        <w:footnoteRef/>
      </w:r>
      <w:r w:rsidRPr="00D10EF8">
        <w:tab/>
      </w:r>
      <w:r w:rsidR="00D301C6" w:rsidRPr="00D10EF8">
        <w:t>Communication de INQUEST.</w:t>
      </w:r>
    </w:p>
  </w:footnote>
  <w:footnote w:id="386">
    <w:p w14:paraId="68C5C93A" w14:textId="2F1C7596" w:rsidR="00D301C6" w:rsidRPr="00D10EF8" w:rsidRDefault="003A28F5" w:rsidP="005B4367">
      <w:pPr>
        <w:pStyle w:val="FootnoteText"/>
      </w:pPr>
      <w:r w:rsidRPr="00D10EF8">
        <w:tab/>
      </w:r>
      <w:r w:rsidRPr="00093AC5">
        <w:rPr>
          <w:rStyle w:val="FootnoteReference"/>
        </w:rPr>
        <w:footnoteRef/>
      </w:r>
      <w:r w:rsidRPr="00D10EF8">
        <w:tab/>
      </w:r>
      <w:r w:rsidR="00D301C6" w:rsidRPr="00D10EF8">
        <w:t>Communication de Action des Chrétiens pour l</w:t>
      </w:r>
      <w:r w:rsidR="00F60EAA">
        <w:t>’</w:t>
      </w:r>
      <w:r w:rsidR="00D301C6" w:rsidRPr="00D10EF8">
        <w:t>Abolition de la Torture (ACAT).</w:t>
      </w:r>
    </w:p>
  </w:footnote>
  <w:footnote w:id="387">
    <w:p w14:paraId="06C5A917" w14:textId="72788AF0" w:rsidR="00D301C6" w:rsidRPr="00D10EF8" w:rsidRDefault="003A28F5" w:rsidP="005B4367">
      <w:pPr>
        <w:pStyle w:val="FootnoteText"/>
      </w:pPr>
      <w:r w:rsidRPr="00D10EF8">
        <w:tab/>
      </w:r>
      <w:r w:rsidRPr="00093AC5">
        <w:rPr>
          <w:rStyle w:val="FootnoteReference"/>
        </w:rPr>
        <w:footnoteRef/>
      </w:r>
      <w:r w:rsidRPr="00D10EF8">
        <w:tab/>
      </w:r>
      <w:hyperlink r:id="rId425" w:history="1">
        <w:r w:rsidR="00D301C6" w:rsidRPr="00D10EF8">
          <w:rPr>
            <w:rStyle w:val="Hyperlink"/>
            <w:lang w:val="fr-FR"/>
          </w:rPr>
          <w:t>www.temblores.org/bolillo-dios-y-patria</w:t>
        </w:r>
      </w:hyperlink>
      <w:r w:rsidR="00D301C6" w:rsidRPr="00D10EF8">
        <w:t xml:space="preserve">, </w:t>
      </w:r>
      <w:r w:rsidR="002A7FA1">
        <w:t>p. </w:t>
      </w:r>
      <w:r w:rsidR="00D301C6" w:rsidRPr="00D10EF8">
        <w:t>63.</w:t>
      </w:r>
    </w:p>
  </w:footnote>
  <w:footnote w:id="388">
    <w:p w14:paraId="67F483DC" w14:textId="2F8B7A53" w:rsidR="00D301C6" w:rsidRPr="00D10EF8" w:rsidRDefault="003A28F5" w:rsidP="005B4367">
      <w:pPr>
        <w:pStyle w:val="FootnoteText"/>
      </w:pPr>
      <w:r w:rsidRPr="00D10EF8">
        <w:tab/>
      </w:r>
      <w:r w:rsidRPr="00093AC5">
        <w:rPr>
          <w:rStyle w:val="FootnoteReference"/>
        </w:rPr>
        <w:footnoteRef/>
      </w:r>
      <w:r w:rsidRPr="00D10EF8">
        <w:tab/>
      </w:r>
      <w:r w:rsidR="00D301C6" w:rsidRPr="00D10EF8">
        <w:t xml:space="preserve">A/HRC/14/24/Add.8, </w:t>
      </w:r>
      <w:r w:rsidR="002A7FA1">
        <w:t>par. </w:t>
      </w:r>
      <w:r w:rsidR="00D301C6" w:rsidRPr="00D10EF8">
        <w:t>16.</w:t>
      </w:r>
    </w:p>
  </w:footnote>
  <w:footnote w:id="389">
    <w:p w14:paraId="2A738B14" w14:textId="689DCB1F" w:rsidR="00D301C6" w:rsidRPr="00D10EF8" w:rsidRDefault="003A28F5" w:rsidP="005B4367">
      <w:pPr>
        <w:pStyle w:val="FootnoteText"/>
        <w:rPr>
          <w:u w:color="0000FF"/>
        </w:rPr>
      </w:pPr>
      <w:r w:rsidRPr="00D10EF8">
        <w:tab/>
      </w:r>
      <w:r w:rsidRPr="00093AC5">
        <w:rPr>
          <w:rStyle w:val="FootnoteReference"/>
        </w:rPr>
        <w:footnoteRef/>
      </w:r>
      <w:r w:rsidRPr="00D10EF8">
        <w:tab/>
      </w:r>
      <w:r w:rsidR="00D301C6" w:rsidRPr="00D10EF8">
        <w:t>Communications des organisations suivantes : Action des Chrétiens pour l</w:t>
      </w:r>
      <w:r w:rsidR="00F60EAA">
        <w:t>’</w:t>
      </w:r>
      <w:r w:rsidR="00D301C6" w:rsidRPr="00D10EF8">
        <w:t>Abolition de la Torture (ACAT), American Civil Liberties Union (ACLU), INQUEST et NAACP Legal Defense and Educational Fund (LDF)</w:t>
      </w:r>
      <w:r w:rsidR="00BF73AB">
        <w:t> ;</w:t>
      </w:r>
      <w:r w:rsidR="00D301C6" w:rsidRPr="00D10EF8">
        <w:t xml:space="preserve"> </w:t>
      </w:r>
      <w:hyperlink r:id="rId426" w:history="1">
        <w:r w:rsidR="00D301C6" w:rsidRPr="00D10EF8">
          <w:rPr>
            <w:rStyle w:val="Hyperlink"/>
            <w:lang w:val="fr-FR"/>
          </w:rPr>
          <w:t>https://inquirycommission.org/website/wp-content/uploads/</w:t>
        </w:r>
        <w:r w:rsidR="00B9045F">
          <w:rPr>
            <w:rStyle w:val="Hyperlink"/>
            <w:lang w:val="fr-FR"/>
          </w:rPr>
          <w:t xml:space="preserve"> </w:t>
        </w:r>
        <w:r w:rsidR="00D301C6" w:rsidRPr="00D10EF8">
          <w:rPr>
            <w:rStyle w:val="Hyperlink"/>
            <w:lang w:val="fr-FR"/>
          </w:rPr>
          <w:t>2021/04/Commission-Report-15-April.pdf</w:t>
        </w:r>
      </w:hyperlink>
      <w:r w:rsidR="00D301C6" w:rsidRPr="00D10EF8">
        <w:t>.</w:t>
      </w:r>
    </w:p>
  </w:footnote>
  <w:footnote w:id="390">
    <w:p w14:paraId="2DAB5748" w14:textId="034F64AE" w:rsidR="00D301C6" w:rsidRPr="00D10EF8" w:rsidRDefault="003A28F5" w:rsidP="005B4367">
      <w:pPr>
        <w:pStyle w:val="FootnoteText"/>
      </w:pPr>
      <w:r w:rsidRPr="00D10EF8">
        <w:tab/>
      </w:r>
      <w:r w:rsidRPr="00093AC5">
        <w:rPr>
          <w:rStyle w:val="FootnoteReference"/>
        </w:rPr>
        <w:footnoteRef/>
      </w:r>
      <w:r w:rsidRPr="00D10EF8">
        <w:tab/>
      </w:r>
      <w:r w:rsidR="00D301C6" w:rsidRPr="00D10EF8">
        <w:t xml:space="preserve">A/HRC/14/24/Add.8, </w:t>
      </w:r>
      <w:r w:rsidR="002A7FA1">
        <w:t>par. </w:t>
      </w:r>
      <w:r w:rsidR="00D301C6" w:rsidRPr="00D10EF8">
        <w:t>16.</w:t>
      </w:r>
    </w:p>
  </w:footnote>
  <w:footnote w:id="391">
    <w:p w14:paraId="214036E8" w14:textId="25C6113D" w:rsidR="00D301C6" w:rsidRPr="00D10EF8" w:rsidRDefault="003A28F5" w:rsidP="005B4367">
      <w:pPr>
        <w:pStyle w:val="FootnoteText"/>
      </w:pPr>
      <w:r w:rsidRPr="00D10EF8">
        <w:tab/>
      </w:r>
      <w:r w:rsidRPr="00093AC5">
        <w:rPr>
          <w:rStyle w:val="FootnoteReference"/>
        </w:rPr>
        <w:footnoteRef/>
      </w:r>
      <w:r w:rsidRPr="00D10EF8">
        <w:tab/>
      </w:r>
      <w:r w:rsidR="00D301C6" w:rsidRPr="00D10EF8">
        <w:t>Communications de INQUEST et Conectas Direitos Humanos.</w:t>
      </w:r>
    </w:p>
  </w:footnote>
  <w:footnote w:id="392">
    <w:p w14:paraId="37871C47" w14:textId="4076BA5B" w:rsidR="00D301C6" w:rsidRPr="00D10EF8" w:rsidRDefault="003A28F5" w:rsidP="005B4367">
      <w:pPr>
        <w:pStyle w:val="FootnoteText"/>
        <w:rPr>
          <w:rFonts w:eastAsia="Calibri"/>
        </w:rPr>
      </w:pPr>
      <w:r w:rsidRPr="00D10EF8">
        <w:tab/>
      </w:r>
      <w:r w:rsidRPr="00093AC5">
        <w:rPr>
          <w:rStyle w:val="FootnoteReference"/>
        </w:rPr>
        <w:footnoteRef/>
      </w:r>
      <w:r w:rsidRPr="00D10EF8">
        <w:tab/>
      </w:r>
      <w:r w:rsidR="00D301C6" w:rsidRPr="00D10EF8">
        <w:t>Communication de l</w:t>
      </w:r>
      <w:r w:rsidR="00F60EAA">
        <w:t>’</w:t>
      </w:r>
      <w:r w:rsidR="00D301C6" w:rsidRPr="00D10EF8">
        <w:rPr>
          <w:szCs w:val="18"/>
        </w:rPr>
        <w:t>American Civil Liberties Union (ACLU)</w:t>
      </w:r>
      <w:r w:rsidR="00BF73AB">
        <w:rPr>
          <w:szCs w:val="18"/>
        </w:rPr>
        <w:t> ;</w:t>
      </w:r>
      <w:r w:rsidR="00D301C6" w:rsidRPr="00D10EF8">
        <w:t xml:space="preserve"> </w:t>
      </w:r>
      <w:hyperlink r:id="rId427" w:history="1">
        <w:r w:rsidR="00D301C6" w:rsidRPr="00D10EF8">
          <w:rPr>
            <w:rStyle w:val="Hyperlink"/>
            <w:lang w:val="fr-FR"/>
          </w:rPr>
          <w:t>https://inquirycommission.org/website/wp-content/uploads/2021/04/Commission-Report-15-April.pdf</w:t>
        </w:r>
      </w:hyperlink>
      <w:r w:rsidR="00BF73AB">
        <w:t> ;</w:t>
      </w:r>
      <w:r w:rsidR="00D301C6" w:rsidRPr="00D10EF8">
        <w:t xml:space="preserve"> </w:t>
      </w:r>
      <w:hyperlink r:id="rId428" w:history="1">
        <w:r w:rsidR="00D301C6" w:rsidRPr="00D10EF8">
          <w:rPr>
            <w:rStyle w:val="Hyperlink"/>
            <w:lang w:val="fr-FR"/>
          </w:rPr>
          <w:t>https://www.theatlantic.com/ideas/archive/2020/06/prosecutors-need-to-do-their-part/612997/</w:t>
        </w:r>
      </w:hyperlink>
      <w:r w:rsidR="00D301C6" w:rsidRPr="00D10EF8">
        <w:rPr>
          <w:rStyle w:val="Hyperlink"/>
          <w:lang w:val="fr-FR"/>
        </w:rPr>
        <w:t>.</w:t>
      </w:r>
    </w:p>
  </w:footnote>
  <w:footnote w:id="393">
    <w:p w14:paraId="555499E5" w14:textId="34266F49" w:rsidR="00D301C6" w:rsidRPr="00D10EF8" w:rsidRDefault="003A28F5" w:rsidP="005B4367">
      <w:pPr>
        <w:pStyle w:val="FootnoteText"/>
      </w:pPr>
      <w:r w:rsidRPr="00D10EF8">
        <w:tab/>
      </w:r>
      <w:r w:rsidRPr="00093AC5">
        <w:rPr>
          <w:rStyle w:val="FootnoteReference"/>
        </w:rPr>
        <w:footnoteRef/>
      </w:r>
      <w:r w:rsidRPr="00D10EF8">
        <w:tab/>
      </w:r>
      <w:r w:rsidR="00D301C6" w:rsidRPr="00D10EF8">
        <w:t xml:space="preserve">Communications </w:t>
      </w:r>
      <w:r w:rsidR="00D301C6" w:rsidRPr="00BF19B5">
        <w:t xml:space="preserve">des organisations suivantes : </w:t>
      </w:r>
      <w:r w:rsidR="00D301C6" w:rsidRPr="00D10EF8">
        <w:t xml:space="preserve"> </w:t>
      </w:r>
      <w:r w:rsidR="00D301C6" w:rsidRPr="005474CF">
        <w:t xml:space="preserve">American Civil Liberties Union (ACLU) </w:t>
      </w:r>
      <w:r w:rsidR="00D301C6">
        <w:t>et</w:t>
      </w:r>
      <w:r w:rsidR="00D301C6" w:rsidRPr="005474CF">
        <w:t xml:space="preserve"> NAACP Legal Defense and Educational Fund (LDF)</w:t>
      </w:r>
      <w:r w:rsidR="00D301C6" w:rsidRPr="00D10EF8">
        <w:t>.</w:t>
      </w:r>
    </w:p>
  </w:footnote>
  <w:footnote w:id="394">
    <w:p w14:paraId="29A0D8AF" w14:textId="763EE163" w:rsidR="00D301C6" w:rsidRPr="00D10EF8" w:rsidRDefault="003A28F5" w:rsidP="005B4367">
      <w:pPr>
        <w:pStyle w:val="FootnoteText"/>
      </w:pPr>
      <w:r w:rsidRPr="00D10EF8">
        <w:tab/>
      </w:r>
      <w:r w:rsidRPr="00093AC5">
        <w:rPr>
          <w:rStyle w:val="FootnoteReference"/>
        </w:rPr>
        <w:footnoteRef/>
      </w:r>
      <w:r w:rsidRPr="00D10EF8">
        <w:tab/>
      </w:r>
      <w:hyperlink r:id="rId429" w:history="1">
        <w:r w:rsidR="00D301C6" w:rsidRPr="00D10EF8">
          <w:rPr>
            <w:rStyle w:val="Hyperlink"/>
            <w:lang w:val="fr-FR"/>
          </w:rPr>
          <w:t>https://eji.org/wp-content/uploads/2019/10/illegal-racial-discrimination-in-jury-selection.pdf</w:t>
        </w:r>
      </w:hyperlink>
      <w:r w:rsidR="00BF73AB">
        <w:rPr>
          <w:rStyle w:val="Hyperlink"/>
          <w:lang w:val="fr-FR"/>
        </w:rPr>
        <w:t> ;</w:t>
      </w:r>
      <w:r w:rsidR="00D301C6" w:rsidRPr="00D10EF8">
        <w:t xml:space="preserve"> </w:t>
      </w:r>
      <w:hyperlink r:id="rId430" w:history="1">
        <w:r w:rsidR="00D301C6" w:rsidRPr="00D10EF8">
          <w:rPr>
            <w:rStyle w:val="Hyperlink"/>
            <w:lang w:val="fr-FR"/>
          </w:rPr>
          <w:t>https://www.theatlantic.com/ideas/archive/2021/04/what-was-different-time/618735/</w:t>
        </w:r>
      </w:hyperlink>
      <w:r w:rsidR="00D301C6" w:rsidRPr="00D10EF8">
        <w:t>.</w:t>
      </w:r>
    </w:p>
  </w:footnote>
  <w:footnote w:id="395">
    <w:p w14:paraId="1AA57A08" w14:textId="172E7CC5" w:rsidR="00D301C6" w:rsidRPr="00DA5E7E" w:rsidRDefault="003A28F5" w:rsidP="005B4367">
      <w:pPr>
        <w:pStyle w:val="FootnoteText"/>
        <w:rPr>
          <w:lang w:val="en-US"/>
        </w:rPr>
      </w:pPr>
      <w:r w:rsidRPr="00D10EF8">
        <w:tab/>
      </w:r>
      <w:r w:rsidRPr="00093AC5">
        <w:rPr>
          <w:rStyle w:val="FootnoteReference"/>
        </w:rPr>
        <w:footnoteRef/>
      </w:r>
      <w:r w:rsidRPr="00DA5E7E">
        <w:rPr>
          <w:lang w:val="en-US"/>
        </w:rPr>
        <w:tab/>
      </w:r>
      <w:r w:rsidR="00D301C6" w:rsidRPr="00DA5E7E">
        <w:rPr>
          <w:lang w:val="en-US"/>
        </w:rPr>
        <w:t>A/HRC/26/36.</w:t>
      </w:r>
    </w:p>
  </w:footnote>
  <w:footnote w:id="396">
    <w:p w14:paraId="5947512F" w14:textId="3785A5A2" w:rsidR="00D301C6" w:rsidRPr="00DA5E7E" w:rsidRDefault="003A28F5" w:rsidP="005B4367">
      <w:pPr>
        <w:pStyle w:val="FootnoteText"/>
        <w:rPr>
          <w:u w:val="single"/>
          <w:lang w:val="en-US"/>
        </w:rPr>
      </w:pPr>
      <w:r w:rsidRPr="00DA5E7E">
        <w:rPr>
          <w:lang w:val="en-US"/>
        </w:rPr>
        <w:tab/>
      </w:r>
      <w:r w:rsidRPr="00093AC5">
        <w:rPr>
          <w:rStyle w:val="FootnoteReference"/>
        </w:rPr>
        <w:footnoteRef/>
      </w:r>
      <w:r w:rsidRPr="00DA5E7E">
        <w:rPr>
          <w:lang w:val="en-US"/>
        </w:rPr>
        <w:tab/>
      </w:r>
      <w:r w:rsidR="00D301C6" w:rsidRPr="00DA5E7E">
        <w:rPr>
          <w:lang w:val="en-US"/>
        </w:rPr>
        <w:t xml:space="preserve">Communications </w:t>
      </w:r>
      <w:bookmarkStart w:id="441" w:name="_Hlk116323204"/>
      <w:r w:rsidR="00D301C6" w:rsidRPr="00DA5E7E">
        <w:rPr>
          <w:lang w:val="en-US"/>
        </w:rPr>
        <w:t xml:space="preserve">des organisations suivantes : </w:t>
      </w:r>
      <w:bookmarkEnd w:id="441"/>
      <w:r w:rsidR="00D301C6" w:rsidRPr="00DA5E7E">
        <w:rPr>
          <w:lang w:val="en-US"/>
        </w:rPr>
        <w:t>Global Human Rights Clinic at the University of Chicago Law School et Rainbow Push Coalition</w:t>
      </w:r>
      <w:r w:rsidR="00BF73AB">
        <w:rPr>
          <w:lang w:val="en-US"/>
        </w:rPr>
        <w:t> ;</w:t>
      </w:r>
      <w:r w:rsidR="00D301C6" w:rsidRPr="00DA5E7E">
        <w:rPr>
          <w:lang w:val="en-US"/>
        </w:rPr>
        <w:t xml:space="preserve"> </w:t>
      </w:r>
      <w:hyperlink r:id="rId431" w:history="1">
        <w:r w:rsidR="00D301C6" w:rsidRPr="00813782">
          <w:rPr>
            <w:rStyle w:val="Hyperlink"/>
            <w:lang w:val="en-US"/>
          </w:rPr>
          <w:t>https://chicagounbound.uchicago.edu/cgi/viewcontent.cgi?article=1014&amp;context=ihrc</w:t>
        </w:r>
      </w:hyperlink>
      <w:r w:rsidR="00BF73AB">
        <w:rPr>
          <w:lang w:val="en-US"/>
        </w:rPr>
        <w:t> ;</w:t>
      </w:r>
      <w:r w:rsidR="00D301C6" w:rsidRPr="00DA5E7E">
        <w:rPr>
          <w:lang w:val="en-US"/>
        </w:rPr>
        <w:t xml:space="preserve"> </w:t>
      </w:r>
      <w:r w:rsidR="00D301C6" w:rsidRPr="00D10EF8" w:rsidDel="00D176B8">
        <w:rPr>
          <w:lang w:val="fr-FR"/>
        </w:rPr>
        <w:fldChar w:fldCharType="begin"/>
      </w:r>
      <w:r w:rsidR="00D301C6" w:rsidRPr="00D10EF8" w:rsidDel="00D176B8">
        <w:rPr>
          <w:lang w:val="fr-FR"/>
        </w:rPr>
        <w:fldChar w:fldCharType="separate"/>
      </w:r>
      <w:r w:rsidR="00D301C6" w:rsidRPr="00813782">
        <w:rPr>
          <w:rStyle w:val="Hyperlink"/>
          <w:lang w:val="en-US"/>
        </w:rPr>
        <w:t>https://www.aclu.org/report/war-comes-home-excessive-militarization-american-police</w:t>
      </w:r>
      <w:r w:rsidR="00D301C6" w:rsidRPr="00D10EF8" w:rsidDel="00D176B8">
        <w:rPr>
          <w:lang w:val="fr-FR"/>
        </w:rPr>
        <w:fldChar w:fldCharType="end"/>
      </w:r>
      <w:hyperlink r:id="rId432" w:history="1">
        <w:r w:rsidR="00D301C6" w:rsidRPr="00813782">
          <w:rPr>
            <w:rStyle w:val="Hyperlink"/>
            <w:lang w:val="en-US"/>
          </w:rPr>
          <w:t>https://www.hrw.org/sites/default/files/report_pdf/brazil0716web_1.pdf</w:t>
        </w:r>
      </w:hyperlink>
      <w:r w:rsidR="00D301C6" w:rsidRPr="00813782">
        <w:rPr>
          <w:rStyle w:val="Hyperlink"/>
          <w:lang w:val="en-US"/>
        </w:rPr>
        <w:t>.</w:t>
      </w:r>
    </w:p>
  </w:footnote>
  <w:footnote w:id="397">
    <w:p w14:paraId="20024E78" w14:textId="0441FB02" w:rsidR="00D301C6" w:rsidRPr="00DA5E7E" w:rsidRDefault="003A28F5"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Communications des organisations suivantes : American Civil Liberties Union (ACLU) et NAACP Legal Defense and Educational Fund (LDF)</w:t>
      </w:r>
      <w:r w:rsidR="00BF73AB">
        <w:rPr>
          <w:lang w:val="en-US"/>
        </w:rPr>
        <w:t> ;</w:t>
      </w:r>
      <w:r w:rsidR="00D301C6" w:rsidRPr="00DA5E7E">
        <w:rPr>
          <w:lang w:val="en-US"/>
        </w:rPr>
        <w:t xml:space="preserve"> </w:t>
      </w:r>
      <w:hyperlink r:id="rId433" w:history="1">
        <w:r w:rsidR="00D301C6" w:rsidRPr="00813782">
          <w:rPr>
            <w:rStyle w:val="Hyperlink"/>
            <w:lang w:val="en-US"/>
          </w:rPr>
          <w:t>https://inquirycommission.org/website/wp-content/uploads/2021/04/Commission-Report-15-April.pdf</w:t>
        </w:r>
      </w:hyperlink>
      <w:r w:rsidR="00BF73AB">
        <w:rPr>
          <w:rStyle w:val="Hyperlink"/>
          <w:lang w:val="en-US"/>
        </w:rPr>
        <w:t> ;</w:t>
      </w:r>
      <w:r w:rsidR="00D301C6" w:rsidRPr="00813782">
        <w:rPr>
          <w:rStyle w:val="Hyperlink"/>
          <w:lang w:val="en-US"/>
        </w:rPr>
        <w:t xml:space="preserve"> </w:t>
      </w:r>
      <w:hyperlink r:id="rId434" w:history="1">
        <w:r w:rsidR="00D301C6" w:rsidRPr="00813782">
          <w:rPr>
            <w:rStyle w:val="Hyperlink"/>
            <w:lang w:val="en-US"/>
          </w:rPr>
          <w:t>https://theappeal.org/qualified-immunity-explained/l</w:t>
        </w:r>
      </w:hyperlink>
      <w:r w:rsidR="00BF73AB">
        <w:rPr>
          <w:rStyle w:val="Hyperlink"/>
          <w:lang w:val="en-US"/>
        </w:rPr>
        <w:t> ;</w:t>
      </w:r>
      <w:r w:rsidR="00D301C6" w:rsidRPr="00813782">
        <w:rPr>
          <w:rStyle w:val="Hyperlink"/>
          <w:lang w:val="en-US"/>
        </w:rPr>
        <w:t xml:space="preserve"> </w:t>
      </w:r>
      <w:hyperlink r:id="rId435" w:history="1">
        <w:r w:rsidR="00D301C6" w:rsidRPr="00813782">
          <w:rPr>
            <w:rStyle w:val="Hyperlink"/>
            <w:lang w:val="en-US"/>
          </w:rPr>
          <w:t>https://www.cato.org/publications/policy-analysis/qualified-immunity-legal-practical-moral-failure</w:t>
        </w:r>
      </w:hyperlink>
      <w:r w:rsidR="00BF73AB">
        <w:rPr>
          <w:rStyle w:val="Hyperlink"/>
          <w:lang w:val="en-US"/>
        </w:rPr>
        <w:t> ;</w:t>
      </w:r>
      <w:r w:rsidR="00D301C6" w:rsidRPr="00813782">
        <w:rPr>
          <w:rStyle w:val="Hyperlink"/>
          <w:lang w:val="en-US"/>
        </w:rPr>
        <w:t xml:space="preserve"> </w:t>
      </w:r>
      <w:hyperlink r:id="rId436" w:history="1">
        <w:r w:rsidR="00D301C6" w:rsidRPr="00813782">
          <w:rPr>
            <w:rStyle w:val="Hyperlink"/>
            <w:lang w:val="en-US"/>
          </w:rPr>
          <w:t>https://www.thenation.com/article/why-its-impossible-indict-cop/</w:t>
        </w:r>
      </w:hyperlink>
      <w:r w:rsidR="00BF73AB">
        <w:rPr>
          <w:rStyle w:val="Hyperlink"/>
          <w:lang w:val="en-US"/>
        </w:rPr>
        <w:t> ;</w:t>
      </w:r>
      <w:r w:rsidR="00D301C6" w:rsidRPr="00813782">
        <w:rPr>
          <w:rStyle w:val="Hyperlink"/>
          <w:lang w:val="en-US"/>
        </w:rPr>
        <w:t xml:space="preserve"> </w:t>
      </w:r>
      <w:hyperlink r:id="rId437" w:history="1">
        <w:r w:rsidR="00D301C6" w:rsidRPr="00813782">
          <w:rPr>
            <w:rStyle w:val="Hyperlink"/>
            <w:lang w:val="en-US"/>
          </w:rPr>
          <w:t>https://www.theusconstitution.org/news/the-supreme-court-enabled-horrific-police-violence-by-ignoring-constitutional-history/</w:t>
        </w:r>
      </w:hyperlink>
      <w:r w:rsidR="00D301C6" w:rsidRPr="00813782">
        <w:rPr>
          <w:rStyle w:val="Hyperlink"/>
          <w:lang w:val="en-US"/>
        </w:rPr>
        <w:t>.</w:t>
      </w:r>
    </w:p>
  </w:footnote>
  <w:footnote w:id="398">
    <w:p w14:paraId="138915A2" w14:textId="0B8B6676" w:rsidR="00D301C6" w:rsidRPr="00D10EF8" w:rsidRDefault="003A28F5" w:rsidP="005B4367">
      <w:pPr>
        <w:pStyle w:val="FootnoteText"/>
      </w:pPr>
      <w:r w:rsidRPr="00DA5E7E">
        <w:rPr>
          <w:lang w:val="en-US"/>
        </w:rPr>
        <w:tab/>
      </w:r>
      <w:r w:rsidRPr="00093AC5">
        <w:rPr>
          <w:rStyle w:val="FootnoteReference"/>
        </w:rPr>
        <w:footnoteRef/>
      </w:r>
      <w:r w:rsidRPr="00D10EF8">
        <w:tab/>
      </w:r>
      <w:r w:rsidR="00D301C6" w:rsidRPr="00D10EF8">
        <w:t xml:space="preserve">CCPR/C/GC/36, </w:t>
      </w:r>
      <w:r w:rsidR="002A7FA1">
        <w:t>par. </w:t>
      </w:r>
      <w:r w:rsidR="00D301C6" w:rsidRPr="00D10EF8">
        <w:t>13.</w:t>
      </w:r>
    </w:p>
  </w:footnote>
  <w:footnote w:id="399">
    <w:p w14:paraId="0D0F98A2" w14:textId="1F67373A" w:rsidR="00D301C6" w:rsidRPr="00D10EF8" w:rsidRDefault="003A28F5" w:rsidP="005B4367">
      <w:pPr>
        <w:pStyle w:val="FootnoteText"/>
      </w:pPr>
      <w:r w:rsidRPr="00D10EF8">
        <w:tab/>
      </w:r>
      <w:r w:rsidRPr="00093AC5">
        <w:rPr>
          <w:rStyle w:val="FootnoteReference"/>
        </w:rPr>
        <w:footnoteRef/>
      </w:r>
      <w:r w:rsidRPr="00D10EF8">
        <w:tab/>
      </w:r>
      <w:r w:rsidR="00D301C6" w:rsidRPr="00D10EF8">
        <w:t>Dont le Code de conduite pour les responsables de l</w:t>
      </w:r>
      <w:r w:rsidR="00F60EAA">
        <w:t>’</w:t>
      </w:r>
      <w:r w:rsidR="00D301C6" w:rsidRPr="00D10EF8">
        <w:t>application des lois</w:t>
      </w:r>
      <w:r w:rsidR="00BF73AB">
        <w:t> ;</w:t>
      </w:r>
      <w:r w:rsidR="00D301C6" w:rsidRPr="00D10EF8">
        <w:t xml:space="preserve"> Principes de base relatifs au recours à la force et l</w:t>
      </w:r>
      <w:r w:rsidR="00F60EAA">
        <w:t>’</w:t>
      </w:r>
      <w:r w:rsidR="00D301C6" w:rsidRPr="00D10EF8">
        <w:t>utilisation des armes à feu par les responsables de l</w:t>
      </w:r>
      <w:r w:rsidR="00F60EAA">
        <w:t>’</w:t>
      </w:r>
      <w:r w:rsidR="00D301C6" w:rsidRPr="00D10EF8">
        <w:t>application des lois.</w:t>
      </w:r>
    </w:p>
  </w:footnote>
  <w:footnote w:id="400">
    <w:p w14:paraId="2A5F3BD8" w14:textId="0C28D4E1" w:rsidR="00D301C6" w:rsidRPr="00D10EF8" w:rsidRDefault="003A28F5"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13.</w:t>
      </w:r>
    </w:p>
  </w:footnote>
  <w:footnote w:id="401">
    <w:p w14:paraId="2287A1C4" w14:textId="3989381F" w:rsidR="00D301C6" w:rsidRPr="00D10EF8" w:rsidRDefault="003A28F5"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t>27.</w:t>
      </w:r>
    </w:p>
  </w:footnote>
  <w:footnote w:id="402">
    <w:p w14:paraId="48559CF1" w14:textId="1B94B965" w:rsidR="00D301C6" w:rsidRPr="00D10EF8" w:rsidRDefault="003A28F5"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t>13</w:t>
      </w:r>
      <w:r w:rsidR="00BF73AB">
        <w:t> ;</w:t>
      </w:r>
      <w:r w:rsidR="00D301C6" w:rsidRPr="00D10EF8">
        <w:t xml:space="preserve"> Principes de base relatifs au recours à la force et l</w:t>
      </w:r>
      <w:r w:rsidR="00F60EAA">
        <w:t>’</w:t>
      </w:r>
      <w:r w:rsidR="00D301C6" w:rsidRPr="00D10EF8">
        <w:t>utilisation des armes à feu par les responsables de l</w:t>
      </w:r>
      <w:r w:rsidR="00F60EAA">
        <w:t>’</w:t>
      </w:r>
      <w:r w:rsidR="00D301C6" w:rsidRPr="00D10EF8">
        <w:t xml:space="preserve">application des lois, </w:t>
      </w:r>
      <w:r w:rsidR="002A7FA1">
        <w:t>par. </w:t>
      </w:r>
      <w:r w:rsidR="00D301C6" w:rsidRPr="00D10EF8">
        <w:t xml:space="preserve">6 </w:t>
      </w:r>
      <w:r w:rsidR="00D301C6">
        <w:t>et</w:t>
      </w:r>
      <w:r w:rsidR="00D301C6" w:rsidRPr="00D10EF8">
        <w:t xml:space="preserve"> 11</w:t>
      </w:r>
      <w:r w:rsidR="00D301C6">
        <w:t xml:space="preserve"> </w:t>
      </w:r>
      <w:r w:rsidR="00D301C6" w:rsidRPr="00D10EF8">
        <w:t>(al. f)).</w:t>
      </w:r>
    </w:p>
  </w:footnote>
  <w:footnote w:id="403">
    <w:p w14:paraId="1772A0FF" w14:textId="1AA4E79D" w:rsidR="00D301C6" w:rsidRPr="00D10EF8" w:rsidRDefault="003A28F5" w:rsidP="005B4367">
      <w:pPr>
        <w:pStyle w:val="FootnoteText"/>
      </w:pPr>
      <w:r w:rsidRPr="00D10EF8">
        <w:tab/>
      </w:r>
      <w:r w:rsidRPr="00093AC5">
        <w:rPr>
          <w:rStyle w:val="FootnoteReference"/>
        </w:rPr>
        <w:footnoteRef/>
      </w:r>
      <w:r w:rsidRPr="00D10EF8">
        <w:tab/>
      </w:r>
      <w:r w:rsidR="00D301C6" w:rsidRPr="00D10EF8">
        <w:t>Principes de base relatifs au recours à la force et l</w:t>
      </w:r>
      <w:r w:rsidR="00F60EAA">
        <w:t>’</w:t>
      </w:r>
      <w:r w:rsidR="00D301C6" w:rsidRPr="00D10EF8">
        <w:t>utilisation des armes à feu par les responsables de l</w:t>
      </w:r>
      <w:r w:rsidR="00F60EAA">
        <w:t>’</w:t>
      </w:r>
      <w:r w:rsidR="00D301C6" w:rsidRPr="00D10EF8">
        <w:t xml:space="preserve">application des lois, </w:t>
      </w:r>
      <w:r w:rsidR="002A7FA1">
        <w:t>par. </w:t>
      </w:r>
      <w:r w:rsidR="00D301C6" w:rsidRPr="00D10EF8">
        <w:t xml:space="preserve">6, 11, 22 et 24. Voir également </w:t>
      </w:r>
      <w:hyperlink r:id="rId438" w:history="1">
        <w:r w:rsidR="00D301C6" w:rsidRPr="00D10EF8">
          <w:rPr>
            <w:rStyle w:val="Hyperlink"/>
            <w:lang w:val="fr-FR"/>
          </w:rPr>
          <w:t>https://www.ohchr.org/Documents/</w:t>
        </w:r>
        <w:r w:rsidR="00026052">
          <w:rPr>
            <w:rStyle w:val="Hyperlink"/>
            <w:lang w:val="fr-FR"/>
          </w:rPr>
          <w:t xml:space="preserve"> </w:t>
        </w:r>
        <w:r w:rsidR="00D301C6" w:rsidRPr="00D10EF8">
          <w:rPr>
            <w:rStyle w:val="Hyperlink"/>
            <w:lang w:val="fr-FR"/>
          </w:rPr>
          <w:t>ProfessionalInterest/UseOfForceAndFirearms.pdf</w:t>
        </w:r>
      </w:hyperlink>
      <w:r w:rsidR="00BF73AB">
        <w:rPr>
          <w:rStyle w:val="Hyperlink"/>
          <w:lang w:val="fr-FR"/>
        </w:rPr>
        <w:t> ;</w:t>
      </w:r>
      <w:r w:rsidR="00D301C6" w:rsidRPr="00D10EF8">
        <w:t xml:space="preserve"> </w:t>
      </w:r>
      <w:hyperlink r:id="rId439" w:history="1">
        <w:r w:rsidR="00D301C6" w:rsidRPr="00D10EF8">
          <w:rPr>
            <w:rStyle w:val="Hyperlink"/>
            <w:lang w:val="fr-FR"/>
          </w:rPr>
          <w:t>https://www.ohchr.org/Documents/</w:t>
        </w:r>
        <w:r w:rsidR="00026052">
          <w:rPr>
            <w:rStyle w:val="Hyperlink"/>
            <w:lang w:val="fr-FR"/>
          </w:rPr>
          <w:t xml:space="preserve"> </w:t>
        </w:r>
        <w:r w:rsidR="00D301C6" w:rsidRPr="00D10EF8">
          <w:rPr>
            <w:rStyle w:val="Hyperlink"/>
            <w:lang w:val="fr-FR"/>
          </w:rPr>
          <w:t>HRBodies/CCPR/LLW_Guidance.pdf</w:t>
        </w:r>
      </w:hyperlink>
      <w:r w:rsidR="00D301C6" w:rsidRPr="00D10EF8">
        <w:t>.</w:t>
      </w:r>
    </w:p>
  </w:footnote>
  <w:footnote w:id="404">
    <w:p w14:paraId="23970924" w14:textId="27F52BE9" w:rsidR="00D301C6" w:rsidRPr="00D10EF8" w:rsidRDefault="003A28F5" w:rsidP="005B4367">
      <w:pPr>
        <w:pStyle w:val="FootnoteText"/>
      </w:pPr>
      <w:r w:rsidRPr="00D10EF8">
        <w:tab/>
      </w:r>
      <w:r w:rsidRPr="00093AC5">
        <w:rPr>
          <w:rStyle w:val="FootnoteReference"/>
        </w:rPr>
        <w:footnoteRef/>
      </w:r>
      <w:r w:rsidRPr="00D10EF8">
        <w:tab/>
      </w:r>
      <w:r w:rsidR="00D301C6" w:rsidRPr="00D10EF8">
        <w:t xml:space="preserve">A/HRC/14/24/Add.8, </w:t>
      </w:r>
      <w:r w:rsidR="002A7FA1">
        <w:t>par. </w:t>
      </w:r>
      <w:r w:rsidR="00D301C6" w:rsidRPr="00D10EF8">
        <w:t>24.</w:t>
      </w:r>
    </w:p>
  </w:footnote>
  <w:footnote w:id="405">
    <w:p w14:paraId="74466DE3" w14:textId="3264E927" w:rsidR="00D301C6" w:rsidRPr="00D10EF8" w:rsidRDefault="003A28F5" w:rsidP="005B4367">
      <w:pPr>
        <w:pStyle w:val="FootnoteText"/>
      </w:pPr>
      <w:r w:rsidRPr="00D10EF8">
        <w:tab/>
      </w:r>
      <w:r w:rsidRPr="00093AC5">
        <w:rPr>
          <w:rStyle w:val="FootnoteReference"/>
        </w:rPr>
        <w:footnoteRef/>
      </w:r>
      <w:r w:rsidRPr="00D10EF8">
        <w:tab/>
      </w:r>
      <w:r w:rsidR="00D301C6" w:rsidRPr="00B641AE">
        <w:t>CEDH</w:t>
      </w:r>
      <w:r w:rsidR="00D301C6" w:rsidRPr="00D10EF8">
        <w:t xml:space="preserve">, </w:t>
      </w:r>
      <w:r w:rsidR="00D301C6" w:rsidRPr="00D10EF8">
        <w:rPr>
          <w:i/>
        </w:rPr>
        <w:t xml:space="preserve">McCann </w:t>
      </w:r>
      <w:r w:rsidR="00D301C6">
        <w:rPr>
          <w:i/>
        </w:rPr>
        <w:t>et autres c</w:t>
      </w:r>
      <w:r w:rsidR="00D301C6" w:rsidRPr="00D10EF8">
        <w:rPr>
          <w:i/>
        </w:rPr>
        <w:t xml:space="preserve">. </w:t>
      </w:r>
      <w:r w:rsidR="00D301C6">
        <w:rPr>
          <w:i/>
        </w:rPr>
        <w:t>Royaume-Uni</w:t>
      </w:r>
      <w:r w:rsidR="00D301C6" w:rsidRPr="00D10EF8">
        <w:t xml:space="preserve">, requête </w:t>
      </w:r>
      <w:r w:rsidR="00026052">
        <w:rPr>
          <w:rFonts w:eastAsia="MS Mincho"/>
        </w:rPr>
        <w:t>n</w:t>
      </w:r>
      <w:r w:rsidR="00026052">
        <w:rPr>
          <w:rFonts w:eastAsia="MS Mincho"/>
          <w:vertAlign w:val="superscript"/>
        </w:rPr>
        <w:t>o</w:t>
      </w:r>
      <w:r w:rsidR="00026052">
        <w:t> </w:t>
      </w:r>
      <w:r w:rsidR="00D301C6" w:rsidRPr="00D10EF8">
        <w:t xml:space="preserve">18984/91, 27 septembre 1995, </w:t>
      </w:r>
      <w:r w:rsidR="002A7FA1">
        <w:t>par. </w:t>
      </w:r>
      <w:r w:rsidR="00D301C6" w:rsidRPr="00D10EF8">
        <w:t>194 et 213. Cour interaméricaine des droits de l</w:t>
      </w:r>
      <w:r w:rsidR="00F60EAA">
        <w:t>’</w:t>
      </w:r>
      <w:r w:rsidR="00D301C6" w:rsidRPr="00D10EF8">
        <w:t xml:space="preserve">homme, </w:t>
      </w:r>
      <w:r w:rsidR="00D301C6" w:rsidRPr="00D10EF8">
        <w:rPr>
          <w:i/>
        </w:rPr>
        <w:t xml:space="preserve">Nadege Dorzema </w:t>
      </w:r>
      <w:r w:rsidR="00D301C6">
        <w:rPr>
          <w:i/>
        </w:rPr>
        <w:t>et autres c</w:t>
      </w:r>
      <w:r w:rsidR="00D301C6" w:rsidRPr="00D10EF8">
        <w:rPr>
          <w:i/>
        </w:rPr>
        <w:t xml:space="preserve">. </w:t>
      </w:r>
      <w:r w:rsidR="00D301C6">
        <w:rPr>
          <w:i/>
        </w:rPr>
        <w:t>République dominicaine</w:t>
      </w:r>
      <w:r w:rsidR="00D301C6" w:rsidRPr="00D10EF8">
        <w:t xml:space="preserve">, jugement, 24 octobre 2012, </w:t>
      </w:r>
      <w:r w:rsidR="002A7FA1">
        <w:t>par. </w:t>
      </w:r>
      <w:r w:rsidR="00D301C6" w:rsidRPr="00D10EF8">
        <w:t>87</w:t>
      </w:r>
      <w:r w:rsidR="00BF73AB">
        <w:t> ;</w:t>
      </w:r>
      <w:r w:rsidR="00D301C6" w:rsidRPr="00D10EF8">
        <w:t xml:space="preserve"> A/HRC/26/36, </w:t>
      </w:r>
      <w:r w:rsidR="002A7FA1">
        <w:t>par. </w:t>
      </w:r>
      <w:r w:rsidR="00D301C6" w:rsidRPr="00D10EF8">
        <w:t>63</w:t>
      </w:r>
      <w:r w:rsidR="00BF73AB">
        <w:t> ;</w:t>
      </w:r>
      <w:r w:rsidR="00D301C6" w:rsidRPr="00D10EF8">
        <w:t xml:space="preserve"> Commission africaine des droits de l</w:t>
      </w:r>
      <w:r w:rsidR="00F60EAA">
        <w:t>’</w:t>
      </w:r>
      <w:r w:rsidR="00D301C6" w:rsidRPr="00D10EF8">
        <w:t xml:space="preserve">homme et des peuples, observation générale sur le droit à la vie, 2015, </w:t>
      </w:r>
      <w:r w:rsidR="002A7FA1">
        <w:t>par. </w:t>
      </w:r>
      <w:r w:rsidR="00D301C6" w:rsidRPr="00D10EF8">
        <w:t>27</w:t>
      </w:r>
      <w:r w:rsidR="00BF73AB">
        <w:t> ;</w:t>
      </w:r>
      <w:r w:rsidR="00D301C6" w:rsidRPr="00D10EF8">
        <w:t xml:space="preserve"> Principes de base relatifs au recours à la force et l</w:t>
      </w:r>
      <w:r w:rsidR="00F60EAA">
        <w:t>’</w:t>
      </w:r>
      <w:r w:rsidR="00D301C6" w:rsidRPr="00D10EF8">
        <w:t>utilisation des armes à feu par les responsables de l</w:t>
      </w:r>
      <w:r w:rsidR="00F60EAA">
        <w:t>’</w:t>
      </w:r>
      <w:r w:rsidR="00D301C6" w:rsidRPr="00D10EF8">
        <w:t>application des lois, principe 5</w:t>
      </w:r>
      <w:r w:rsidR="00D301C6">
        <w:t xml:space="preserve"> (al.</w:t>
      </w:r>
      <w:r w:rsidR="00D301C6" w:rsidRPr="00D10EF8">
        <w:t xml:space="preserve"> b</w:t>
      </w:r>
      <w:r w:rsidR="00D301C6">
        <w:t>))</w:t>
      </w:r>
      <w:r w:rsidR="00D301C6" w:rsidRPr="00D10EF8">
        <w:t>.</w:t>
      </w:r>
    </w:p>
  </w:footnote>
  <w:footnote w:id="406">
    <w:p w14:paraId="4CF28610" w14:textId="5B12C136" w:rsidR="00D301C6" w:rsidRPr="00322EE3" w:rsidRDefault="003A28F5" w:rsidP="005B4367">
      <w:pPr>
        <w:pStyle w:val="FootnoteText"/>
        <w:rPr>
          <w:lang w:val="en-US"/>
        </w:rPr>
      </w:pPr>
      <w:r w:rsidRPr="00D10EF8">
        <w:tab/>
      </w:r>
      <w:r w:rsidRPr="00093AC5">
        <w:rPr>
          <w:rStyle w:val="FootnoteReference"/>
        </w:rPr>
        <w:footnoteRef/>
      </w:r>
      <w:r w:rsidRPr="00322EE3">
        <w:rPr>
          <w:lang w:val="en-US"/>
        </w:rPr>
        <w:tab/>
      </w:r>
      <w:r w:rsidR="00D301C6" w:rsidRPr="00322EE3">
        <w:rPr>
          <w:lang w:val="en-US"/>
        </w:rPr>
        <w:t xml:space="preserve">A/HRC/14/24/Add.8, </w:t>
      </w:r>
      <w:r w:rsidR="002A7FA1" w:rsidRPr="00322EE3">
        <w:rPr>
          <w:lang w:val="en-US"/>
        </w:rPr>
        <w:t>par. </w:t>
      </w:r>
      <w:r w:rsidR="00D301C6" w:rsidRPr="00322EE3">
        <w:rPr>
          <w:lang w:val="en-US"/>
        </w:rPr>
        <w:t>4</w:t>
      </w:r>
      <w:r w:rsidR="00BF73AB" w:rsidRPr="00322EE3">
        <w:rPr>
          <w:lang w:val="en-US"/>
        </w:rPr>
        <w:t> ;</w:t>
      </w:r>
      <w:r w:rsidR="00D301C6" w:rsidRPr="00322EE3">
        <w:rPr>
          <w:lang w:val="en-US"/>
        </w:rPr>
        <w:t xml:space="preserve"> </w:t>
      </w:r>
      <w:hyperlink r:id="rId440" w:history="1">
        <w:r w:rsidR="00D301C6" w:rsidRPr="00322EE3">
          <w:rPr>
            <w:rStyle w:val="Hyperlink"/>
            <w:lang w:val="en-US"/>
          </w:rPr>
          <w:t>https://www.unodc.org/pdf/criminal_justice/Handbook_on_police_</w:t>
        </w:r>
        <w:r w:rsidR="00322EE3" w:rsidRPr="00322EE3">
          <w:rPr>
            <w:rStyle w:val="Hyperlink"/>
            <w:lang w:val="en-US"/>
          </w:rPr>
          <w:t xml:space="preserve"> </w:t>
        </w:r>
        <w:r w:rsidR="00D301C6" w:rsidRPr="00322EE3">
          <w:rPr>
            <w:rStyle w:val="Hyperlink"/>
            <w:lang w:val="en-US"/>
          </w:rPr>
          <w:t>Accountability_Oversight_and_Integrity.pdf</w:t>
        </w:r>
      </w:hyperlink>
      <w:r w:rsidR="00BF73AB" w:rsidRPr="00322EE3">
        <w:rPr>
          <w:rStyle w:val="Hyperlink"/>
          <w:lang w:val="en-US"/>
        </w:rPr>
        <w:t> </w:t>
      </w:r>
      <w:r w:rsidR="00BF73AB" w:rsidRPr="00322EE3">
        <w:rPr>
          <w:rStyle w:val="Hyperlink"/>
          <w:color w:val="auto"/>
          <w:lang w:val="en-US"/>
        </w:rPr>
        <w:t>;</w:t>
      </w:r>
      <w:r w:rsidR="00D301C6" w:rsidRPr="00322EE3">
        <w:rPr>
          <w:lang w:val="en-US"/>
        </w:rPr>
        <w:t xml:space="preserve"> </w:t>
      </w:r>
      <w:hyperlink r:id="rId441" w:history="1">
        <w:r w:rsidR="00D301C6" w:rsidRPr="00322EE3">
          <w:rPr>
            <w:rStyle w:val="Hyperlink"/>
            <w:lang w:val="en-US"/>
          </w:rPr>
          <w:t>https://www.ohchr.org/Documents/</w:t>
        </w:r>
        <w:r w:rsidR="00322EE3">
          <w:rPr>
            <w:rStyle w:val="Hyperlink"/>
            <w:lang w:val="en-US"/>
          </w:rPr>
          <w:t xml:space="preserve"> </w:t>
        </w:r>
        <w:r w:rsidR="00D301C6" w:rsidRPr="00322EE3">
          <w:rPr>
            <w:rStyle w:val="Hyperlink"/>
            <w:lang w:val="en-US"/>
          </w:rPr>
          <w:t>ProfessionalInterest/UseOfForceAndFirearms.pdf</w:t>
        </w:r>
      </w:hyperlink>
      <w:r w:rsidR="00BF73AB" w:rsidRPr="00322EE3">
        <w:rPr>
          <w:rStyle w:val="Hyperlink"/>
          <w:lang w:val="en-US"/>
        </w:rPr>
        <w:t> ;</w:t>
      </w:r>
      <w:r w:rsidR="00D301C6" w:rsidRPr="00322EE3">
        <w:rPr>
          <w:lang w:val="en-US"/>
        </w:rPr>
        <w:t xml:space="preserve"> A/HRC/14/24.</w:t>
      </w:r>
    </w:p>
  </w:footnote>
  <w:footnote w:id="407">
    <w:p w14:paraId="0F0E0389" w14:textId="5F0E7C91" w:rsidR="00D301C6" w:rsidRPr="00D10EF8" w:rsidRDefault="003A28F5" w:rsidP="005B4367">
      <w:pPr>
        <w:pStyle w:val="FootnoteText"/>
      </w:pPr>
      <w:r w:rsidRPr="00322EE3">
        <w:rPr>
          <w:lang w:val="en-US"/>
        </w:rPr>
        <w:tab/>
      </w:r>
      <w:r w:rsidRPr="00093AC5">
        <w:rPr>
          <w:rStyle w:val="FootnoteReference"/>
        </w:rPr>
        <w:footnoteRef/>
      </w:r>
      <w:r w:rsidRPr="00D10EF8">
        <w:tab/>
      </w:r>
      <w:r w:rsidR="00D301C6" w:rsidRPr="00D10EF8">
        <w:t>Principes de base relatifs au recours à la force et l</w:t>
      </w:r>
      <w:r w:rsidR="00F60EAA">
        <w:t>’</w:t>
      </w:r>
      <w:r w:rsidR="00D301C6" w:rsidRPr="00D10EF8">
        <w:t>utilisation des armes à feu par les responsables de l</w:t>
      </w:r>
      <w:r w:rsidR="00F60EAA">
        <w:t>’</w:t>
      </w:r>
      <w:r w:rsidR="00D301C6" w:rsidRPr="00D10EF8">
        <w:t>application des lois, principes 6 et 22 à 26</w:t>
      </w:r>
      <w:r w:rsidR="00BF73AB">
        <w:t> ;</w:t>
      </w:r>
      <w:r w:rsidR="00D301C6" w:rsidRPr="00D10EF8">
        <w:t xml:space="preserve"> A/HRC/26/36, </w:t>
      </w:r>
      <w:r w:rsidR="002A7FA1">
        <w:t>par. </w:t>
      </w:r>
      <w:r w:rsidR="00D301C6" w:rsidRPr="00D10EF8">
        <w:t>81</w:t>
      </w:r>
      <w:r w:rsidR="00D70942">
        <w:t xml:space="preserve"> et </w:t>
      </w:r>
      <w:r w:rsidR="00D301C6" w:rsidRPr="00D10EF8">
        <w:t>82</w:t>
      </w:r>
      <w:r w:rsidR="00BF73AB">
        <w:t> ;</w:t>
      </w:r>
      <w:r w:rsidR="00D301C6" w:rsidRPr="00D10EF8">
        <w:t xml:space="preserve"> Commission africaine des droits de l</w:t>
      </w:r>
      <w:r w:rsidR="00F60EAA">
        <w:t>’</w:t>
      </w:r>
      <w:r w:rsidR="00D301C6" w:rsidRPr="00D10EF8">
        <w:t xml:space="preserve">homme et des peuples, observation générale sur le droit à la vie, 2015, </w:t>
      </w:r>
      <w:r w:rsidR="002A7FA1">
        <w:t>par. </w:t>
      </w:r>
      <w:r w:rsidR="00D301C6" w:rsidRPr="00D10EF8">
        <w:t>27.</w:t>
      </w:r>
    </w:p>
  </w:footnote>
  <w:footnote w:id="408">
    <w:p w14:paraId="27AA4B94" w14:textId="3092DA3A" w:rsidR="00D301C6" w:rsidRPr="00D10EF8" w:rsidRDefault="003A28F5" w:rsidP="005B4367">
      <w:pPr>
        <w:pStyle w:val="FootnoteText"/>
      </w:pPr>
      <w:r w:rsidRPr="00D10EF8">
        <w:tab/>
      </w:r>
      <w:r w:rsidRPr="00093AC5">
        <w:rPr>
          <w:rStyle w:val="FootnoteReference"/>
        </w:rPr>
        <w:footnoteRef/>
      </w:r>
      <w:r w:rsidRPr="00D10EF8">
        <w:tab/>
      </w:r>
      <w:r w:rsidR="00D301C6" w:rsidRPr="00D10EF8">
        <w:t>Communications de</w:t>
      </w:r>
      <w:r w:rsidR="00D301C6">
        <w:t xml:space="preserve">s organisations suivantes : </w:t>
      </w:r>
      <w:r w:rsidR="00D301C6" w:rsidRPr="00D10EF8">
        <w:t>Action des Chrétiens pour l</w:t>
      </w:r>
      <w:r w:rsidR="00F60EAA">
        <w:t>’</w:t>
      </w:r>
      <w:r w:rsidR="00D301C6" w:rsidRPr="00D10EF8">
        <w:t>Abolition de la Torture (ACAT), American Civil Liberties Union (ACLU), INQUEST et NAACP Legal Defense and Educational Fund (LDF).</w:t>
      </w:r>
    </w:p>
  </w:footnote>
  <w:footnote w:id="409">
    <w:p w14:paraId="4B223811" w14:textId="10C8F489" w:rsidR="00D301C6" w:rsidRPr="00D10EF8" w:rsidRDefault="003A28F5" w:rsidP="005B4367">
      <w:pPr>
        <w:pStyle w:val="FootnoteText"/>
      </w:pPr>
      <w:r w:rsidRPr="00D10EF8">
        <w:tab/>
      </w:r>
      <w:r w:rsidRPr="00093AC5">
        <w:rPr>
          <w:rStyle w:val="FootnoteReference"/>
        </w:rPr>
        <w:footnoteRef/>
      </w:r>
      <w:r w:rsidRPr="00D10EF8">
        <w:tab/>
      </w:r>
      <w:hyperlink r:id="rId442" w:history="1">
        <w:r w:rsidR="00D301C6" w:rsidRPr="00D10EF8">
          <w:rPr>
            <w:rStyle w:val="Hyperlink"/>
            <w:lang w:val="fr-FR"/>
          </w:rPr>
          <w:t>https://www.justice.gov/opa/file/925846/download</w:t>
        </w:r>
      </w:hyperlink>
      <w:r w:rsidR="00D301C6" w:rsidRPr="00D10EF8">
        <w:t xml:space="preserve">, </w:t>
      </w:r>
      <w:r w:rsidR="002A7FA1">
        <w:t>p. </w:t>
      </w:r>
      <w:r w:rsidR="00D301C6" w:rsidRPr="00D10EF8">
        <w:t>50.</w:t>
      </w:r>
    </w:p>
  </w:footnote>
  <w:footnote w:id="410">
    <w:p w14:paraId="7ACDD311" w14:textId="7B96DCE4" w:rsidR="00D301C6" w:rsidRPr="00D10EF8" w:rsidRDefault="003A28F5" w:rsidP="005B4367">
      <w:pPr>
        <w:pStyle w:val="FootnoteText"/>
        <w:rPr>
          <w:rFonts w:eastAsia="Calibri"/>
        </w:rPr>
      </w:pPr>
      <w:r w:rsidRPr="00D10EF8">
        <w:tab/>
      </w:r>
      <w:r w:rsidRPr="00093AC5">
        <w:rPr>
          <w:rStyle w:val="FootnoteReference"/>
        </w:rPr>
        <w:footnoteRef/>
      </w:r>
      <w:r w:rsidRPr="00D10EF8">
        <w:tab/>
      </w:r>
      <w:hyperlink r:id="rId443" w:history="1">
        <w:r w:rsidR="00D301C6" w:rsidRPr="00D10EF8">
          <w:rPr>
            <w:rStyle w:val="Hyperlink"/>
            <w:lang w:val="fr-FR"/>
          </w:rPr>
          <w:t>https://www.justice.gov/crt/file/883296/download</w:t>
        </w:r>
      </w:hyperlink>
      <w:r w:rsidR="00D301C6" w:rsidRPr="00D10EF8">
        <w:t xml:space="preserve">, </w:t>
      </w:r>
      <w:r w:rsidR="002A7FA1">
        <w:t>p. </w:t>
      </w:r>
      <w:r w:rsidR="00D301C6" w:rsidRPr="00D10EF8">
        <w:t>149.</w:t>
      </w:r>
    </w:p>
  </w:footnote>
  <w:footnote w:id="411">
    <w:p w14:paraId="45272CC9" w14:textId="493A435B" w:rsidR="00D301C6" w:rsidRPr="00D10EF8" w:rsidRDefault="003A28F5" w:rsidP="005B4367">
      <w:pPr>
        <w:pStyle w:val="FootnoteText"/>
      </w:pPr>
      <w:r w:rsidRPr="00D10EF8">
        <w:tab/>
      </w:r>
      <w:r w:rsidRPr="00093AC5">
        <w:rPr>
          <w:rStyle w:val="FootnoteReference"/>
        </w:rPr>
        <w:footnoteRef/>
      </w:r>
      <w:r w:rsidRPr="00D10EF8">
        <w:tab/>
      </w:r>
      <w:hyperlink r:id="rId444" w:history="1">
        <w:r w:rsidR="00D301C6" w:rsidRPr="00D10EF8">
          <w:rPr>
            <w:rStyle w:val="Hyperlink"/>
            <w:lang w:val="fr-FR"/>
          </w:rPr>
          <w:t>https://www.justice.gov/crt/file/883296/download</w:t>
        </w:r>
      </w:hyperlink>
      <w:r w:rsidR="00D301C6" w:rsidRPr="00D10EF8">
        <w:t xml:space="preserve">, </w:t>
      </w:r>
      <w:r w:rsidR="002A7FA1">
        <w:t>p. </w:t>
      </w:r>
      <w:r w:rsidR="00D301C6" w:rsidRPr="00D10EF8">
        <w:t>152 et 153</w:t>
      </w:r>
      <w:r w:rsidR="00BF73AB">
        <w:t> ;</w:t>
      </w:r>
      <w:r w:rsidR="00D301C6" w:rsidRPr="00D10EF8">
        <w:t xml:space="preserve"> </w:t>
      </w:r>
      <w:hyperlink r:id="rId445" w:history="1">
        <w:r w:rsidR="00D301C6" w:rsidRPr="00D10EF8">
          <w:rPr>
            <w:rStyle w:val="Hyperlink"/>
            <w:lang w:val="fr-FR"/>
          </w:rPr>
          <w:t>https://theintercept.com/series/</w:t>
        </w:r>
        <w:r w:rsidR="0049679A">
          <w:rPr>
            <w:rStyle w:val="Hyperlink"/>
            <w:lang w:val="fr-FR"/>
          </w:rPr>
          <w:t xml:space="preserve"> </w:t>
        </w:r>
        <w:r w:rsidR="00D301C6" w:rsidRPr="00D10EF8">
          <w:rPr>
            <w:rStyle w:val="Hyperlink"/>
            <w:lang w:val="fr-FR"/>
          </w:rPr>
          <w:t>code-of-silence/</w:t>
        </w:r>
      </w:hyperlink>
      <w:r w:rsidR="00BF73AB" w:rsidRPr="00A800BC">
        <w:rPr>
          <w:rStyle w:val="Hyperlink"/>
          <w:color w:val="auto"/>
          <w:lang w:val="fr-FR"/>
        </w:rPr>
        <w:t> ;</w:t>
      </w:r>
      <w:r w:rsidR="00D301C6" w:rsidRPr="00D10EF8">
        <w:rPr>
          <w:rStyle w:val="Hyperlink"/>
          <w:lang w:val="fr-FR"/>
        </w:rPr>
        <w:t xml:space="preserve"> </w:t>
      </w:r>
      <w:hyperlink r:id="rId446" w:history="1">
        <w:r w:rsidR="00D301C6" w:rsidRPr="00D10EF8">
          <w:rPr>
            <w:rStyle w:val="Hyperlink"/>
            <w:lang w:val="fr-FR"/>
          </w:rPr>
          <w:t>https://www.buzzfeednews.com/article/albertsamaha/breaking-baltimores-blue-wall-of-silence</w:t>
        </w:r>
      </w:hyperlink>
      <w:r w:rsidR="00D301C6" w:rsidRPr="00D10EF8">
        <w:t>.</w:t>
      </w:r>
    </w:p>
  </w:footnote>
  <w:footnote w:id="412">
    <w:p w14:paraId="0AEDED5F" w14:textId="7FF57189" w:rsidR="00D301C6" w:rsidRPr="00D10EF8" w:rsidRDefault="003A28F5" w:rsidP="005B4367">
      <w:pPr>
        <w:pStyle w:val="FootnoteText"/>
      </w:pPr>
      <w:r w:rsidRPr="00D10EF8">
        <w:tab/>
      </w:r>
      <w:r w:rsidRPr="00093AC5">
        <w:rPr>
          <w:rStyle w:val="FootnoteReference"/>
        </w:rPr>
        <w:footnoteRef/>
      </w:r>
      <w:r w:rsidRPr="00D10EF8">
        <w:tab/>
      </w:r>
      <w:hyperlink r:id="rId447" w:history="1">
        <w:r w:rsidR="00D301C6" w:rsidRPr="00D10EF8">
          <w:rPr>
            <w:rStyle w:val="Hyperlink"/>
            <w:lang w:val="fr-FR"/>
          </w:rPr>
          <w:t>https://defenseurdesdroits.fr/fr/communiques-de-presse/2016/07/le-defenseur-des-droits-a-ete-saisi-des-circonstances-dans-lesquelles</w:t>
        </w:r>
      </w:hyperlink>
      <w:r w:rsidR="00D301C6" w:rsidRPr="00D10EF8">
        <w:rPr>
          <w:rStyle w:val="Hyperlink"/>
          <w:lang w:val="fr-FR"/>
        </w:rPr>
        <w:t>.</w:t>
      </w:r>
    </w:p>
  </w:footnote>
  <w:footnote w:id="413">
    <w:p w14:paraId="64B7FA86" w14:textId="7872DB6A" w:rsidR="00D301C6" w:rsidRPr="00D10EF8" w:rsidRDefault="003A28F5" w:rsidP="005B4367">
      <w:pPr>
        <w:pStyle w:val="FootnoteText"/>
      </w:pPr>
      <w:r w:rsidRPr="00D10EF8">
        <w:tab/>
      </w:r>
      <w:r w:rsidRPr="00093AC5">
        <w:rPr>
          <w:rStyle w:val="FootnoteReference"/>
        </w:rPr>
        <w:footnoteRef/>
      </w:r>
      <w:r w:rsidRPr="00D10EF8">
        <w:tab/>
      </w:r>
      <w:hyperlink r:id="rId448" w:history="1">
        <w:r w:rsidR="00D301C6" w:rsidRPr="00D10EF8">
          <w:rPr>
            <w:rStyle w:val="Hyperlink"/>
            <w:lang w:val="fr-FR"/>
          </w:rPr>
          <w:t>https://www.defenseurdesdroits.fr/sites/default/files/atoms/files/raa-2019-num-accessopti.pdf</w:t>
        </w:r>
      </w:hyperlink>
      <w:r w:rsidR="00D301C6" w:rsidRPr="0049679A">
        <w:rPr>
          <w:rStyle w:val="Hyperlink"/>
          <w:color w:val="auto"/>
          <w:lang w:val="fr-FR"/>
        </w:rPr>
        <w:t>, p.60.</w:t>
      </w:r>
    </w:p>
  </w:footnote>
  <w:footnote w:id="414">
    <w:p w14:paraId="0112DC8C" w14:textId="59BAFCEF" w:rsidR="00D301C6" w:rsidRPr="00D10EF8" w:rsidRDefault="003A28F5" w:rsidP="005B4367">
      <w:pPr>
        <w:pStyle w:val="FootnoteText"/>
      </w:pPr>
      <w:r w:rsidRPr="00D10EF8">
        <w:tab/>
      </w:r>
      <w:r w:rsidRPr="00093AC5">
        <w:rPr>
          <w:rStyle w:val="FootnoteReference"/>
        </w:rPr>
        <w:footnoteRef/>
      </w:r>
      <w:r w:rsidRPr="00D10EF8">
        <w:tab/>
      </w:r>
      <w:hyperlink r:id="rId449" w:history="1">
        <w:r w:rsidR="00D301C6" w:rsidRPr="00D10EF8">
          <w:rPr>
            <w:rStyle w:val="Hyperlink"/>
            <w:lang w:val="fr-FR"/>
          </w:rPr>
          <w:t>https://www.theguardian.com/uk-news/2021/jan/18/fewer-than-one-in-10-police-officers-fired-after-gross-misconduct-finding</w:t>
        </w:r>
      </w:hyperlink>
      <w:r w:rsidR="00D301C6" w:rsidRPr="00D10EF8">
        <w:rPr>
          <w:rStyle w:val="Hyperlink"/>
          <w:lang w:val="fr-FR"/>
        </w:rPr>
        <w:t>,</w:t>
      </w:r>
      <w:r w:rsidR="00D301C6" w:rsidRPr="00D10EF8">
        <w:t xml:space="preserve"> </w:t>
      </w:r>
      <w:r w:rsidR="00D301C6" w:rsidRPr="00B840FC">
        <w:t>citant une source de l</w:t>
      </w:r>
      <w:r w:rsidR="00F60EAA">
        <w:t>’</w:t>
      </w:r>
      <w:r w:rsidR="00D301C6" w:rsidRPr="00B840FC">
        <w:t>IOPC.</w:t>
      </w:r>
    </w:p>
  </w:footnote>
  <w:footnote w:id="415">
    <w:p w14:paraId="4BA38F9F" w14:textId="1EDC725D" w:rsidR="00D301C6" w:rsidRPr="00D10EF8" w:rsidRDefault="003A28F5" w:rsidP="005B4367">
      <w:pPr>
        <w:pStyle w:val="FootnoteText"/>
        <w:rPr>
          <w:lang w:val="fr-FR"/>
        </w:rPr>
      </w:pPr>
      <w:r w:rsidRPr="00D10EF8">
        <w:tab/>
      </w:r>
      <w:r w:rsidRPr="00093AC5">
        <w:rPr>
          <w:rStyle w:val="FootnoteReference"/>
        </w:rPr>
        <w:footnoteRef/>
      </w:r>
      <w:r w:rsidRPr="00DA5E7E">
        <w:rPr>
          <w:lang w:val="en-US"/>
        </w:rPr>
        <w:tab/>
      </w:r>
      <w:r w:rsidR="00D301C6" w:rsidRPr="00DA5E7E">
        <w:rPr>
          <w:lang w:val="en-US"/>
        </w:rPr>
        <w:t xml:space="preserve">Communications des organisations suivantes : NAACP Legal Defense and Educational Fund (LDF) et International Human Rights Clinic at Santa Clara University School of Law. </w:t>
      </w:r>
      <w:r w:rsidR="00D301C6" w:rsidRPr="00D10EF8">
        <w:rPr>
          <w:lang w:val="fr-FR"/>
        </w:rPr>
        <w:t xml:space="preserve">Voir également </w:t>
      </w:r>
      <w:hyperlink r:id="rId450" w:history="1">
        <w:r w:rsidR="00D301C6" w:rsidRPr="00D10EF8">
          <w:rPr>
            <w:rStyle w:val="Hyperlink"/>
            <w:lang w:val="fr-FR"/>
          </w:rPr>
          <w:t>https://www.justice.gov/opa/file/925846/download</w:t>
        </w:r>
      </w:hyperlink>
      <w:r w:rsidR="00D301C6" w:rsidRPr="00D10EF8">
        <w:rPr>
          <w:lang w:val="fr-FR"/>
        </w:rPr>
        <w:t xml:space="preserve">, </w:t>
      </w:r>
      <w:r w:rsidR="002A7FA1">
        <w:rPr>
          <w:lang w:val="fr-FR"/>
        </w:rPr>
        <w:t>p. </w:t>
      </w:r>
      <w:r w:rsidR="00D301C6" w:rsidRPr="00D10EF8">
        <w:rPr>
          <w:lang w:val="fr-FR"/>
        </w:rPr>
        <w:t>47</w:t>
      </w:r>
      <w:r w:rsidR="00BF73AB">
        <w:rPr>
          <w:lang w:val="fr-FR"/>
        </w:rPr>
        <w:t> ;</w:t>
      </w:r>
      <w:r w:rsidR="00D301C6" w:rsidRPr="00D10EF8">
        <w:rPr>
          <w:lang w:val="fr-FR"/>
        </w:rPr>
        <w:t xml:space="preserve"> </w:t>
      </w:r>
      <w:hyperlink r:id="rId451" w:history="1">
        <w:r w:rsidR="00D301C6" w:rsidRPr="00D10EF8">
          <w:rPr>
            <w:rStyle w:val="Hyperlink"/>
            <w:lang w:val="fr-FR"/>
          </w:rPr>
          <w:t>https://inquirycommission.org/website/wp-content/uploads/2021/04/Commission-Report-15-April.pdf</w:t>
        </w:r>
      </w:hyperlink>
      <w:r w:rsidR="00BF73AB" w:rsidRPr="00A800BC">
        <w:rPr>
          <w:rStyle w:val="Hyperlink"/>
          <w:color w:val="auto"/>
          <w:lang w:val="fr-FR"/>
        </w:rPr>
        <w:t> ;</w:t>
      </w:r>
      <w:r w:rsidR="00D301C6" w:rsidRPr="00A800BC">
        <w:rPr>
          <w:lang w:val="fr-FR"/>
        </w:rPr>
        <w:t xml:space="preserve"> </w:t>
      </w:r>
      <w:r w:rsidR="00D301C6" w:rsidRPr="00D10EF8">
        <w:rPr>
          <w:lang w:val="fr-FR"/>
        </w:rPr>
        <w:t xml:space="preserve">et </w:t>
      </w:r>
      <w:hyperlink r:id="rId452" w:history="1">
        <w:r w:rsidR="00D301C6" w:rsidRPr="00D10EF8">
          <w:rPr>
            <w:rStyle w:val="Hyperlink"/>
            <w:lang w:val="fr-FR"/>
          </w:rPr>
          <w:t>https://www.hrw.org/sites/default/</w:t>
        </w:r>
        <w:r w:rsidR="0049679A">
          <w:rPr>
            <w:rStyle w:val="Hyperlink"/>
            <w:lang w:val="fr-FR"/>
          </w:rPr>
          <w:t xml:space="preserve"> </w:t>
        </w:r>
        <w:r w:rsidR="00D301C6" w:rsidRPr="00D10EF8">
          <w:rPr>
            <w:rStyle w:val="Hyperlink"/>
            <w:lang w:val="fr-FR"/>
          </w:rPr>
          <w:t>files/media_2020/06/france0620_web_1.pdf</w:t>
        </w:r>
      </w:hyperlink>
      <w:r w:rsidR="00D301C6" w:rsidRPr="00D10EF8">
        <w:rPr>
          <w:lang w:val="fr-FR"/>
        </w:rPr>
        <w:t xml:space="preserve">, </w:t>
      </w:r>
      <w:r w:rsidR="002A7FA1">
        <w:rPr>
          <w:lang w:val="fr-FR"/>
        </w:rPr>
        <w:t>p. </w:t>
      </w:r>
      <w:r w:rsidR="00D301C6" w:rsidRPr="00D10EF8">
        <w:rPr>
          <w:lang w:val="fr-FR"/>
        </w:rPr>
        <w:t>2 et 38.</w:t>
      </w:r>
    </w:p>
  </w:footnote>
  <w:footnote w:id="416">
    <w:p w14:paraId="5CC99968" w14:textId="3BFF85FF" w:rsidR="00D301C6" w:rsidRPr="00D10EF8" w:rsidRDefault="003A28F5" w:rsidP="005B4367">
      <w:pPr>
        <w:pStyle w:val="FootnoteText"/>
      </w:pPr>
      <w:r w:rsidRPr="00D10EF8">
        <w:tab/>
      </w:r>
      <w:r w:rsidRPr="00093AC5">
        <w:rPr>
          <w:rStyle w:val="FootnoteReference"/>
        </w:rPr>
        <w:footnoteRef/>
      </w:r>
      <w:r w:rsidRPr="00D10EF8">
        <w:tab/>
      </w:r>
      <w:r w:rsidR="00D301C6" w:rsidRPr="00D10EF8">
        <w:t>Communications de Action des Chrétiens pour l</w:t>
      </w:r>
      <w:r w:rsidR="00F60EAA">
        <w:t>’</w:t>
      </w:r>
      <w:r w:rsidR="00D301C6" w:rsidRPr="00D10EF8">
        <w:t>Abolition de la Torture (ACAT) et du NAACP Legal Defense and Educational Fund (LDF).</w:t>
      </w:r>
    </w:p>
  </w:footnote>
  <w:footnote w:id="417">
    <w:p w14:paraId="3D0F1D7F" w14:textId="04D8BD33" w:rsidR="00D301C6" w:rsidRPr="00DD16C5" w:rsidRDefault="003A28F5" w:rsidP="005B4367">
      <w:pPr>
        <w:pStyle w:val="FootnoteText"/>
        <w:rPr>
          <w:szCs w:val="18"/>
        </w:rPr>
      </w:pPr>
      <w:r w:rsidRPr="00D10EF8">
        <w:tab/>
      </w:r>
      <w:r w:rsidRPr="00AE413A">
        <w:rPr>
          <w:rStyle w:val="FootnoteReference"/>
        </w:rPr>
        <w:footnoteRef/>
      </w:r>
      <w:r w:rsidRPr="00AE413A">
        <w:tab/>
      </w:r>
      <w:hyperlink r:id="rId453" w:history="1">
        <w:r w:rsidR="00D301C6" w:rsidRPr="00AE413A">
          <w:rPr>
            <w:rStyle w:val="Hyperlink"/>
            <w:szCs w:val="18"/>
            <w:lang w:val="fr-FR"/>
          </w:rPr>
          <w:t>https://www.reuters.com/article/us-usa-race-georgefloyd-lawsuit-idUSKBN2B42GX</w:t>
        </w:r>
      </w:hyperlink>
      <w:r w:rsidR="00D301C6" w:rsidRPr="00AE413A">
        <w:rPr>
          <w:rStyle w:val="Hyperlink"/>
          <w:szCs w:val="18"/>
          <w:lang w:val="fr-FR"/>
        </w:rPr>
        <w:t>.</w:t>
      </w:r>
    </w:p>
  </w:footnote>
  <w:footnote w:id="418">
    <w:p w14:paraId="07EB6E80" w14:textId="66E84FD2" w:rsidR="00D301C6" w:rsidRPr="00D10EF8" w:rsidRDefault="003A28F5" w:rsidP="005B4367">
      <w:pPr>
        <w:pStyle w:val="FootnoteText"/>
      </w:pPr>
      <w:r w:rsidRPr="00D10EF8">
        <w:tab/>
      </w:r>
      <w:r w:rsidRPr="00093AC5">
        <w:rPr>
          <w:rStyle w:val="FootnoteReference"/>
        </w:rPr>
        <w:footnoteRef/>
      </w:r>
      <w:r w:rsidRPr="00D10EF8">
        <w:tab/>
      </w:r>
      <w:hyperlink r:id="rId454" w:history="1">
        <w:r w:rsidR="00D301C6" w:rsidRPr="00D10EF8">
          <w:rPr>
            <w:rStyle w:val="Hyperlink"/>
            <w:lang w:val="fr-FR"/>
          </w:rPr>
          <w:t>https://louisvilleky.gov/news/mayor-fischer-announces-settlement-civil-lawsuit-filed-breonna-taylors-estate</w:t>
        </w:r>
      </w:hyperlink>
      <w:r w:rsidR="00D301C6" w:rsidRPr="00D10EF8">
        <w:rPr>
          <w:rStyle w:val="Hyperlink"/>
          <w:lang w:val="fr-FR"/>
        </w:rPr>
        <w:t>.</w:t>
      </w:r>
    </w:p>
  </w:footnote>
  <w:footnote w:id="419">
    <w:p w14:paraId="6DFAE469" w14:textId="40C96CD2" w:rsidR="00D301C6" w:rsidRPr="00793D4A" w:rsidRDefault="003A28F5" w:rsidP="005B4367">
      <w:pPr>
        <w:pStyle w:val="FootnoteText"/>
      </w:pPr>
      <w:r w:rsidRPr="00D10EF8">
        <w:tab/>
      </w:r>
      <w:r w:rsidRPr="00093AC5">
        <w:rPr>
          <w:rStyle w:val="FootnoteReference"/>
        </w:rPr>
        <w:footnoteRef/>
      </w:r>
      <w:r w:rsidRPr="00793D4A">
        <w:tab/>
      </w:r>
      <w:hyperlink r:id="rId455" w:history="1">
        <w:r w:rsidR="00D301C6" w:rsidRPr="00793D4A">
          <w:rPr>
            <w:rStyle w:val="Hyperlink"/>
          </w:rPr>
          <w:t>https://www.minneapolismn.gov/government/programs-initiatives/38th-chicago/</w:t>
        </w:r>
      </w:hyperlink>
      <w:r w:rsidR="00BF73AB" w:rsidRPr="00793D4A">
        <w:rPr>
          <w:rStyle w:val="Hyperlink"/>
          <w:color w:val="auto"/>
        </w:rPr>
        <w:t> ;</w:t>
      </w:r>
      <w:r w:rsidR="00D301C6" w:rsidRPr="00793D4A">
        <w:t xml:space="preserve"> </w:t>
      </w:r>
      <w:hyperlink r:id="rId456" w:history="1">
        <w:r w:rsidR="00D301C6" w:rsidRPr="00793D4A">
          <w:rPr>
            <w:rStyle w:val="Hyperlink"/>
          </w:rPr>
          <w:t>https://inquirycommission.org/video-and-transcript-tamir-rice-hearing-tuesday-january-26-international-commission-of-inquiry/</w:t>
        </w:r>
      </w:hyperlink>
      <w:r w:rsidR="00D301C6" w:rsidRPr="00793D4A">
        <w:rPr>
          <w:rStyle w:val="Hyperlink"/>
        </w:rPr>
        <w:t>.</w:t>
      </w:r>
    </w:p>
  </w:footnote>
  <w:footnote w:id="420">
    <w:p w14:paraId="4D198E06" w14:textId="36C287D7" w:rsidR="00D301C6" w:rsidRPr="00D10EF8" w:rsidRDefault="003A28F5" w:rsidP="005B4367">
      <w:pPr>
        <w:pStyle w:val="FootnoteText"/>
      </w:pPr>
      <w:r w:rsidRPr="00793D4A">
        <w:tab/>
      </w:r>
      <w:r w:rsidRPr="00093AC5">
        <w:rPr>
          <w:rStyle w:val="FootnoteReference"/>
        </w:rPr>
        <w:footnoteRef/>
      </w:r>
      <w:r w:rsidRPr="00D10EF8">
        <w:tab/>
      </w:r>
      <w:r w:rsidR="00D301C6" w:rsidRPr="00D10EF8">
        <w:t xml:space="preserve">CCPR/C/GC/36, </w:t>
      </w:r>
      <w:r w:rsidR="002A7FA1">
        <w:t>par. </w:t>
      </w:r>
      <w:r w:rsidR="00D301C6" w:rsidRPr="00D10EF8">
        <w:t>28.</w:t>
      </w:r>
    </w:p>
  </w:footnote>
  <w:footnote w:id="421">
    <w:p w14:paraId="686A5C03" w14:textId="7C8C4EFA" w:rsidR="00D301C6" w:rsidRPr="00D10EF8" w:rsidRDefault="003A28F5"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t>28.</w:t>
      </w:r>
    </w:p>
  </w:footnote>
  <w:footnote w:id="422">
    <w:p w14:paraId="5358C524" w14:textId="5DD1A652" w:rsidR="00D301C6" w:rsidRPr="00D10EF8" w:rsidRDefault="00653447" w:rsidP="005B4367">
      <w:pPr>
        <w:pStyle w:val="FootnoteText"/>
      </w:pPr>
      <w:r w:rsidRPr="00D10EF8">
        <w:tab/>
      </w:r>
      <w:r w:rsidRPr="00093AC5">
        <w:rPr>
          <w:rStyle w:val="FootnoteReference"/>
        </w:rPr>
        <w:footnoteRef/>
      </w:r>
      <w:r w:rsidRPr="00D10EF8">
        <w:tab/>
      </w:r>
      <w:r w:rsidR="00D301C6" w:rsidRPr="00D10EF8">
        <w:t>Voir, par exemple, la communication de INQUEST.</w:t>
      </w:r>
    </w:p>
  </w:footnote>
  <w:footnote w:id="423">
    <w:p w14:paraId="0F8FDF0E" w14:textId="0725A015" w:rsidR="00D301C6" w:rsidRPr="00D10EF8" w:rsidRDefault="00653447"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56</w:t>
      </w:r>
      <w:r w:rsidR="00BF73AB">
        <w:t> ;</w:t>
      </w:r>
      <w:r w:rsidR="00D301C6" w:rsidRPr="00D10EF8">
        <w:t xml:space="preserve"> Pacte international relatif aux droits civils et politiques </w:t>
      </w:r>
      <w:r w:rsidR="002A7FA1">
        <w:t>(art. </w:t>
      </w:r>
      <w:r w:rsidR="00D301C6" w:rsidRPr="00D10EF8">
        <w:t>7).</w:t>
      </w:r>
    </w:p>
  </w:footnote>
  <w:footnote w:id="424">
    <w:p w14:paraId="1D6CE1EC" w14:textId="65C590AA" w:rsidR="00D301C6" w:rsidRPr="00D10EF8" w:rsidRDefault="00653447" w:rsidP="005B4367">
      <w:pPr>
        <w:pStyle w:val="FootnoteText"/>
      </w:pPr>
      <w:r w:rsidRPr="00D10EF8">
        <w:tab/>
      </w:r>
      <w:r w:rsidRPr="00093AC5">
        <w:rPr>
          <w:rStyle w:val="FootnoteReference"/>
        </w:rPr>
        <w:footnoteRef/>
      </w:r>
      <w:r w:rsidRPr="00D10EF8">
        <w:tab/>
      </w:r>
      <w:r w:rsidR="00D301C6" w:rsidRPr="00D10EF8">
        <w:t xml:space="preserve">Voir, par exemple, A/HRC/41/54/Add.2, </w:t>
      </w:r>
      <w:r w:rsidR="002A7FA1">
        <w:t>par. </w:t>
      </w:r>
      <w:r w:rsidR="00D301C6" w:rsidRPr="00D10EF8">
        <w:t>44.</w:t>
      </w:r>
    </w:p>
  </w:footnote>
  <w:footnote w:id="425">
    <w:p w14:paraId="7523D94C" w14:textId="3AAA9394" w:rsidR="00D301C6" w:rsidRPr="00D10EF8" w:rsidRDefault="00653447" w:rsidP="005B4367">
      <w:pPr>
        <w:pStyle w:val="FootnoteText"/>
      </w:pPr>
      <w:r w:rsidRPr="00D10EF8">
        <w:tab/>
      </w:r>
      <w:r w:rsidRPr="00093AC5">
        <w:rPr>
          <w:rStyle w:val="FootnoteReference"/>
        </w:rPr>
        <w:footnoteRef/>
      </w:r>
      <w:r w:rsidRPr="00D10EF8">
        <w:tab/>
      </w:r>
      <w:r w:rsidR="00D301C6" w:rsidRPr="00D10EF8">
        <w:t>Voir également les communications d</w:t>
      </w:r>
      <w:r w:rsidR="00F60EAA">
        <w:t>’</w:t>
      </w:r>
      <w:r w:rsidR="00D301C6" w:rsidRPr="00D10EF8">
        <w:t>Action des Chrétiens pour l</w:t>
      </w:r>
      <w:r w:rsidR="00F60EAA">
        <w:t>’</w:t>
      </w:r>
      <w:r w:rsidR="00D301C6" w:rsidRPr="00D10EF8">
        <w:t>Abolition de la Torture (ACAT) et du Service international pour les droits de l</w:t>
      </w:r>
      <w:r w:rsidR="00F60EAA">
        <w:t>’</w:t>
      </w:r>
      <w:r w:rsidR="00D301C6" w:rsidRPr="00D10EF8">
        <w:t>homme/le Comité Adama/l</w:t>
      </w:r>
      <w:r w:rsidR="00F60EAA">
        <w:t>’</w:t>
      </w:r>
      <w:r w:rsidR="00D301C6" w:rsidRPr="00D10EF8">
        <w:t>Association À Qui Le Tour ?</w:t>
      </w:r>
      <w:r w:rsidR="007308DD">
        <w:t>.</w:t>
      </w:r>
    </w:p>
  </w:footnote>
  <w:footnote w:id="426">
    <w:p w14:paraId="7B542C25" w14:textId="0F09424B" w:rsidR="00D301C6" w:rsidRPr="00D10EF8" w:rsidRDefault="00653447" w:rsidP="005B4367">
      <w:pPr>
        <w:pStyle w:val="FootnoteText"/>
      </w:pPr>
      <w:r w:rsidRPr="00D10EF8">
        <w:tab/>
      </w:r>
      <w:r w:rsidRPr="00093AC5">
        <w:rPr>
          <w:rStyle w:val="FootnoteReference"/>
        </w:rPr>
        <w:footnoteRef/>
      </w:r>
      <w:r w:rsidRPr="00D10EF8">
        <w:tab/>
      </w:r>
      <w:hyperlink r:id="rId457" w:history="1">
        <w:r w:rsidR="00D301C6" w:rsidRPr="00D10EF8">
          <w:rPr>
            <w:rStyle w:val="Hyperlink"/>
            <w:lang w:val="fr-FR"/>
          </w:rPr>
          <w:t>https://www.defenseurdesdroits.fr/fr/etudes-et-recherches/2017/01/enquete-sur-lacces-aux-droits-volume-1-relations-police-population-le</w:t>
        </w:r>
      </w:hyperlink>
      <w:r w:rsidR="00D301C6" w:rsidRPr="00D10EF8">
        <w:t xml:space="preserve">, </w:t>
      </w:r>
      <w:r w:rsidR="002A7FA1">
        <w:t>p. </w:t>
      </w:r>
      <w:r w:rsidR="00D301C6" w:rsidRPr="00D10EF8">
        <w:t>3 et 27.</w:t>
      </w:r>
    </w:p>
  </w:footnote>
  <w:footnote w:id="427">
    <w:p w14:paraId="672E8B3D" w14:textId="5667B74D" w:rsidR="00D301C6" w:rsidRPr="00DA5E7E" w:rsidRDefault="00653447" w:rsidP="005B4367">
      <w:pPr>
        <w:pStyle w:val="FootnoteText"/>
        <w:rPr>
          <w:lang w:val="es-ES"/>
        </w:rPr>
      </w:pPr>
      <w:r w:rsidRPr="00D10EF8">
        <w:tab/>
      </w:r>
      <w:r w:rsidRPr="00093AC5">
        <w:rPr>
          <w:rStyle w:val="FootnoteReference"/>
        </w:rPr>
        <w:footnoteRef/>
      </w:r>
      <w:r w:rsidRPr="00DA5E7E">
        <w:rPr>
          <w:lang w:val="es-ES"/>
        </w:rPr>
        <w:tab/>
      </w:r>
      <w:r w:rsidR="00D301C6" w:rsidRPr="00DA5E7E">
        <w:rPr>
          <w:lang w:val="es-ES"/>
        </w:rPr>
        <w:t>Communication de Ilex Acción Jurídica.</w:t>
      </w:r>
    </w:p>
  </w:footnote>
  <w:footnote w:id="428">
    <w:p w14:paraId="7FA0907A" w14:textId="7439CA49" w:rsidR="00D301C6" w:rsidRPr="00DA5E7E" w:rsidRDefault="00653447" w:rsidP="005B4367">
      <w:pPr>
        <w:pStyle w:val="FootnoteText"/>
        <w:rPr>
          <w:lang w:val="es-ES"/>
        </w:rPr>
      </w:pPr>
      <w:r w:rsidRPr="00DA5E7E">
        <w:rPr>
          <w:lang w:val="es-ES"/>
        </w:rPr>
        <w:tab/>
      </w:r>
      <w:r w:rsidRPr="00093AC5">
        <w:rPr>
          <w:rStyle w:val="FootnoteReference"/>
        </w:rPr>
        <w:footnoteRef/>
      </w:r>
      <w:r w:rsidRPr="00DA5E7E">
        <w:rPr>
          <w:lang w:val="es-ES"/>
        </w:rPr>
        <w:tab/>
      </w:r>
      <w:hyperlink r:id="rId458" w:history="1">
        <w:r w:rsidR="00D301C6" w:rsidRPr="00813782">
          <w:rPr>
            <w:rStyle w:val="Hyperlink"/>
            <w:lang w:val="es-ES"/>
          </w:rPr>
          <w:t>https://cops.usdoj.gov/pdf/taskforce/taskforce_finalreport.pdf</w:t>
        </w:r>
      </w:hyperlink>
      <w:r w:rsidR="00D301C6" w:rsidRPr="00DA5E7E">
        <w:rPr>
          <w:lang w:val="es-ES"/>
        </w:rPr>
        <w:t>.</w:t>
      </w:r>
    </w:p>
  </w:footnote>
  <w:footnote w:id="429">
    <w:p w14:paraId="4DD3990C" w14:textId="5B56A1CC" w:rsidR="00D301C6" w:rsidRPr="0011651F" w:rsidRDefault="00653447" w:rsidP="00F96D9B">
      <w:pPr>
        <w:pStyle w:val="FootnoteText"/>
        <w:suppressAutoHyphens w:val="0"/>
        <w:rPr>
          <w:lang w:val="en-US"/>
        </w:rPr>
      </w:pPr>
      <w:r w:rsidRPr="00DA5E7E">
        <w:rPr>
          <w:lang w:val="es-ES"/>
        </w:rPr>
        <w:tab/>
      </w:r>
      <w:r w:rsidRPr="00093AC5">
        <w:rPr>
          <w:rStyle w:val="FootnoteReference"/>
        </w:rPr>
        <w:footnoteRef/>
      </w:r>
      <w:r w:rsidRPr="00D10EF8">
        <w:tab/>
      </w:r>
      <w:r w:rsidR="00D301C6">
        <w:t>Selon les informations rapportées</w:t>
      </w:r>
      <w:r w:rsidR="00D301C6" w:rsidRPr="00D76F0D">
        <w:t>, au moins neuf États et municipalités avaient pris des mesures importantes en 2016 pour appliquer les recommandations du groupe de travail et 15 services de police avaient rejoint l</w:t>
      </w:r>
      <w:r w:rsidR="00F60EAA">
        <w:t>’</w:t>
      </w:r>
      <w:r w:rsidR="00D301C6" w:rsidRPr="00D76F0D">
        <w:t>initiative relative à la police du XXI</w:t>
      </w:r>
      <w:r w:rsidR="00D301C6" w:rsidRPr="00F96D9B">
        <w:rPr>
          <w:vertAlign w:val="superscript"/>
        </w:rPr>
        <w:t>e</w:t>
      </w:r>
      <w:r w:rsidR="00F96D9B">
        <w:t> </w:t>
      </w:r>
      <w:r w:rsidR="00D301C6" w:rsidRPr="00D76F0D">
        <w:t>siècle («</w:t>
      </w:r>
      <w:r w:rsidR="00D301C6" w:rsidRPr="00813782">
        <w:t> </w:t>
      </w:r>
      <w:r w:rsidR="00D301C6" w:rsidRPr="00D76F0D">
        <w:t>Advancing 21st Century Policing Initiative</w:t>
      </w:r>
      <w:r w:rsidR="00F96D9B">
        <w:t> </w:t>
      </w:r>
      <w:r w:rsidR="00D301C6" w:rsidRPr="00D76F0D">
        <w:t>»</w:t>
      </w:r>
      <w:r w:rsidR="00F96D9B">
        <w:t xml:space="preserve"> (</w:t>
      </w:r>
      <w:hyperlink r:id="rId459" w:history="1">
        <w:r w:rsidR="00D301C6" w:rsidRPr="00D76F0D">
          <w:rPr>
            <w:rStyle w:val="Hyperlink"/>
            <w:lang w:val="fr-FR"/>
          </w:rPr>
          <w:t>https://time.com/4398392/obama-police-reform-report-task-force-on-21st-century-policing/</w:t>
        </w:r>
      </w:hyperlink>
      <w:r w:rsidR="00D301C6" w:rsidRPr="00D76F0D">
        <w:rPr>
          <w:rStyle w:val="Hyperlink"/>
          <w:lang w:val="fr-FR"/>
        </w:rPr>
        <w:t>).</w:t>
      </w:r>
      <w:r w:rsidR="00D301C6" w:rsidRPr="00D76F0D">
        <w:t xml:space="preserve"> En 2017, 39</w:t>
      </w:r>
      <w:r w:rsidR="00E53DDC">
        <w:t> %</w:t>
      </w:r>
      <w:r w:rsidR="00D301C6" w:rsidRPr="00D76F0D">
        <w:t xml:space="preserve"> des organes des forces de l</w:t>
      </w:r>
      <w:r w:rsidR="00F60EAA">
        <w:t>’</w:t>
      </w:r>
      <w:r w:rsidR="00D301C6" w:rsidRPr="00D76F0D">
        <w:t>ordre les plus importants des États-Unis avaient modifié leurs politiques relatives au recours à la force et révisé et étoffé leurs programme de formation de manière à intégrer les techniques de désamorçage</w:t>
      </w:r>
      <w:r w:rsidR="0011651F">
        <w:t xml:space="preserve"> (</w:t>
      </w:r>
      <w:hyperlink r:id="rId460" w:history="1">
        <w:r w:rsidR="00D301C6" w:rsidRPr="00D10EF8">
          <w:rPr>
            <w:rStyle w:val="Hyperlink"/>
            <w:lang w:val="fr-FR"/>
          </w:rPr>
          <w:t>https://journals.sagepub.com/doi/pdf/</w:t>
        </w:r>
        <w:r w:rsidR="0011651F">
          <w:rPr>
            <w:rStyle w:val="Hyperlink"/>
            <w:lang w:val="fr-FR"/>
          </w:rPr>
          <w:t xml:space="preserve"> </w:t>
        </w:r>
        <w:r w:rsidR="00D301C6" w:rsidRPr="00D10EF8">
          <w:rPr>
            <w:rStyle w:val="Hyperlink"/>
            <w:lang w:val="fr-FR"/>
          </w:rPr>
          <w:t>10.1177/0002716219887372</w:t>
        </w:r>
      </w:hyperlink>
      <w:r w:rsidR="00D301C6" w:rsidRPr="00D10EF8">
        <w:t xml:space="preserve">, </w:t>
      </w:r>
      <w:r w:rsidR="002A7FA1">
        <w:t>p. </w:t>
      </w:r>
      <w:r w:rsidR="00D301C6" w:rsidRPr="00D10EF8">
        <w:t>229</w:t>
      </w:r>
      <w:r w:rsidR="00D301C6" w:rsidRPr="00D10EF8">
        <w:rPr>
          <w:rStyle w:val="Hyperlink"/>
          <w:lang w:val="fr-FR"/>
        </w:rPr>
        <w:t>)</w:t>
      </w:r>
      <w:r w:rsidR="00D301C6" w:rsidRPr="00D10EF8">
        <w:t xml:space="preserve">. </w:t>
      </w:r>
      <w:r w:rsidR="00D301C6" w:rsidRPr="0011651F">
        <w:rPr>
          <w:lang w:val="en-US"/>
        </w:rPr>
        <w:t xml:space="preserve">Voir également, </w:t>
      </w:r>
      <w:hyperlink r:id="rId461" w:history="1">
        <w:r w:rsidR="00D301C6" w:rsidRPr="0011651F">
          <w:rPr>
            <w:rStyle w:val="Hyperlink"/>
            <w:lang w:val="en-US"/>
          </w:rPr>
          <w:t>https://www.npr.org/2020/06/22/881814431/</w:t>
        </w:r>
        <w:r w:rsidR="0011651F" w:rsidRPr="0011651F">
          <w:rPr>
            <w:rStyle w:val="Hyperlink"/>
            <w:lang w:val="en-US"/>
          </w:rPr>
          <w:t xml:space="preserve"> </w:t>
        </w:r>
        <w:r w:rsidR="00D301C6" w:rsidRPr="0011651F">
          <w:rPr>
            <w:rStyle w:val="Hyperlink"/>
            <w:lang w:val="en-US"/>
          </w:rPr>
          <w:t>how-recommendations-of-an-obama-task-force-have-and-havent-changed-u-s-policing?</w:t>
        </w:r>
        <w:r w:rsidR="0011651F">
          <w:rPr>
            <w:rStyle w:val="Hyperlink"/>
            <w:lang w:val="en-US"/>
          </w:rPr>
          <w:t xml:space="preserve"> </w:t>
        </w:r>
        <w:r w:rsidR="00D301C6" w:rsidRPr="0011651F">
          <w:rPr>
            <w:rStyle w:val="Hyperlink"/>
            <w:lang w:val="en-US"/>
          </w:rPr>
          <w:t>t=1624022729339</w:t>
        </w:r>
      </w:hyperlink>
      <w:r w:rsidR="00D301C6" w:rsidRPr="0011651F">
        <w:rPr>
          <w:rStyle w:val="Hyperlink"/>
          <w:lang w:val="en-US"/>
        </w:rPr>
        <w:t>.</w:t>
      </w:r>
    </w:p>
  </w:footnote>
  <w:footnote w:id="430">
    <w:p w14:paraId="49A33D99" w14:textId="61DC8569" w:rsidR="00D301C6" w:rsidRPr="002D0805" w:rsidRDefault="00653447" w:rsidP="005B4367">
      <w:pPr>
        <w:pStyle w:val="FootnoteText"/>
        <w:rPr>
          <w:lang w:val="en-US"/>
        </w:rPr>
      </w:pPr>
      <w:r w:rsidRPr="0011651F">
        <w:rPr>
          <w:lang w:val="en-US"/>
        </w:rPr>
        <w:tab/>
      </w:r>
      <w:r w:rsidRPr="00093AC5">
        <w:rPr>
          <w:rStyle w:val="FootnoteReference"/>
        </w:rPr>
        <w:footnoteRef/>
      </w:r>
      <w:r w:rsidRPr="002D0805">
        <w:rPr>
          <w:lang w:val="en-US"/>
        </w:rPr>
        <w:tab/>
      </w:r>
      <w:hyperlink r:id="rId462" w:history="1">
        <w:r w:rsidR="00D301C6" w:rsidRPr="002D0805">
          <w:rPr>
            <w:rStyle w:val="Hyperlink"/>
            <w:lang w:val="en-US"/>
          </w:rPr>
          <w:t>https://www.justice.gov/sites/default/files/opa/press-releases/attachments/2015/03/04/</w:t>
        </w:r>
        <w:r w:rsidR="002D0805" w:rsidRPr="002D0805">
          <w:rPr>
            <w:rStyle w:val="Hyperlink"/>
            <w:lang w:val="en-US"/>
          </w:rPr>
          <w:t xml:space="preserve"> </w:t>
        </w:r>
        <w:r w:rsidR="00D301C6" w:rsidRPr="002D0805">
          <w:rPr>
            <w:rStyle w:val="Hyperlink"/>
            <w:lang w:val="en-US"/>
          </w:rPr>
          <w:t>ferguson_police_department_report.pdf</w:t>
        </w:r>
      </w:hyperlink>
      <w:r w:rsidR="00D301C6" w:rsidRPr="002D0805">
        <w:rPr>
          <w:rStyle w:val="Hyperlink"/>
          <w:lang w:val="en-US"/>
        </w:rPr>
        <w:t>.</w:t>
      </w:r>
    </w:p>
  </w:footnote>
  <w:footnote w:id="431">
    <w:p w14:paraId="167EE110" w14:textId="36CC8629" w:rsidR="00D301C6" w:rsidRPr="00E21F93" w:rsidRDefault="00653447" w:rsidP="005B4367">
      <w:pPr>
        <w:pStyle w:val="FootnoteText"/>
        <w:rPr>
          <w:lang w:val="en-US"/>
        </w:rPr>
      </w:pPr>
      <w:r w:rsidRPr="002D0805">
        <w:rPr>
          <w:lang w:val="en-US"/>
        </w:rPr>
        <w:tab/>
      </w:r>
      <w:r w:rsidRPr="00093AC5">
        <w:rPr>
          <w:rStyle w:val="FootnoteReference"/>
        </w:rPr>
        <w:footnoteRef/>
      </w:r>
      <w:r w:rsidRPr="00E21F93">
        <w:rPr>
          <w:lang w:val="en-US"/>
        </w:rPr>
        <w:tab/>
      </w:r>
      <w:hyperlink r:id="rId463" w:history="1">
        <w:r w:rsidR="00D301C6" w:rsidRPr="00E21F93">
          <w:rPr>
            <w:rStyle w:val="Hyperlink"/>
            <w:lang w:val="en-US"/>
          </w:rPr>
          <w:t>https://www.justice.gov/opa/pr/attorney-general-holder-announces-federal-law-enforcement-agencies-adopt-stricter-policies-0</w:t>
        </w:r>
        <w:r w:rsidR="00BF73AB" w:rsidRPr="00E21F93">
          <w:rPr>
            <w:rStyle w:val="Hyperlink"/>
            <w:color w:val="auto"/>
            <w:lang w:val="en-US"/>
          </w:rPr>
          <w:t> ;</w:t>
        </w:r>
        <w:r w:rsidR="00D301C6" w:rsidRPr="00E21F93">
          <w:rPr>
            <w:rStyle w:val="Hyperlink"/>
            <w:color w:val="auto"/>
            <w:lang w:val="en-US"/>
          </w:rPr>
          <w:t xml:space="preserve"> </w:t>
        </w:r>
      </w:hyperlink>
      <w:hyperlink r:id="rId464" w:history="1">
        <w:r w:rsidR="00D301C6" w:rsidRPr="00E21F93">
          <w:rPr>
            <w:rStyle w:val="Hyperlink"/>
            <w:lang w:val="en-US"/>
          </w:rPr>
          <w:t>https://www.dhs.gov/news/2014/12/08/fact-sheet-us-department-justice-racial-profiling-guidance</w:t>
        </w:r>
      </w:hyperlink>
      <w:r w:rsidR="00D301C6" w:rsidRPr="00E21F93">
        <w:rPr>
          <w:rStyle w:val="Hyperlink"/>
          <w:lang w:val="en-US"/>
        </w:rPr>
        <w:t>.</w:t>
      </w:r>
    </w:p>
  </w:footnote>
  <w:footnote w:id="432">
    <w:p w14:paraId="1C8CEB6C" w14:textId="2C24B7A8" w:rsidR="00D301C6" w:rsidRPr="00E21F93" w:rsidRDefault="00653447" w:rsidP="005B4367">
      <w:pPr>
        <w:pStyle w:val="FootnoteText"/>
        <w:rPr>
          <w:lang w:val="en-US"/>
        </w:rPr>
      </w:pPr>
      <w:r w:rsidRPr="00E21F93">
        <w:rPr>
          <w:lang w:val="en-US"/>
        </w:rPr>
        <w:tab/>
      </w:r>
      <w:r w:rsidRPr="00093AC5">
        <w:rPr>
          <w:rStyle w:val="FootnoteReference"/>
        </w:rPr>
        <w:footnoteRef/>
      </w:r>
      <w:r w:rsidRPr="00E21F93">
        <w:rPr>
          <w:lang w:val="en-US"/>
        </w:rPr>
        <w:tab/>
      </w:r>
      <w:r w:rsidR="00D301C6" w:rsidRPr="00E21F93">
        <w:rPr>
          <w:lang w:val="en-US"/>
        </w:rPr>
        <w:t xml:space="preserve">Voir, par exemple, </w:t>
      </w:r>
      <w:hyperlink r:id="rId465" w:history="1">
        <w:r w:rsidR="00D301C6" w:rsidRPr="00E21F93">
          <w:rPr>
            <w:rStyle w:val="Hyperlink"/>
            <w:lang w:val="en-US"/>
          </w:rPr>
          <w:t>https://www.gov.uk/government/publications/the-stephen-lawrence-inquiry</w:t>
        </w:r>
      </w:hyperlink>
      <w:r w:rsidR="00BF73AB" w:rsidRPr="00E21F93">
        <w:rPr>
          <w:rStyle w:val="Hyperlink"/>
          <w:lang w:val="en-US"/>
        </w:rPr>
        <w:t> ;</w:t>
      </w:r>
      <w:r w:rsidR="00D301C6" w:rsidRPr="00E21F93">
        <w:rPr>
          <w:lang w:val="en-US"/>
        </w:rPr>
        <w:t xml:space="preserve"> </w:t>
      </w:r>
      <w:hyperlink r:id="rId466" w:history="1">
        <w:r w:rsidR="00D301C6" w:rsidRPr="00E21F93">
          <w:rPr>
            <w:rStyle w:val="Hyperlink"/>
            <w:lang w:val="en-US"/>
          </w:rPr>
          <w:t>https://publications.parliament.uk/pa/cm200809/cmselect/cmhaff/427/427.pdf</w:t>
        </w:r>
      </w:hyperlink>
      <w:r w:rsidR="00BF73AB" w:rsidRPr="00E21F93">
        <w:rPr>
          <w:rStyle w:val="Hyperlink"/>
          <w:color w:val="auto"/>
          <w:lang w:val="en-US"/>
        </w:rPr>
        <w:t> ;</w:t>
      </w:r>
      <w:r w:rsidR="00D301C6" w:rsidRPr="00E21F93">
        <w:rPr>
          <w:lang w:val="en-US"/>
        </w:rPr>
        <w:t xml:space="preserve"> </w:t>
      </w:r>
      <w:hyperlink r:id="rId467" w:history="1">
        <w:r w:rsidR="00D301C6" w:rsidRPr="00E21F93">
          <w:rPr>
            <w:rStyle w:val="Hyperlink"/>
            <w:lang w:val="en-US"/>
          </w:rPr>
          <w:t>https://webarchive.nationalarchives.gov.uk/20131004165058/http://www.ipcc.gov.uk/investigations/sean-rigg-metropolitan-police-service</w:t>
        </w:r>
      </w:hyperlink>
      <w:r w:rsidR="00BF73AB" w:rsidRPr="00E21F93">
        <w:rPr>
          <w:rStyle w:val="Hyperlink"/>
          <w:lang w:val="en-US"/>
        </w:rPr>
        <w:t> </w:t>
      </w:r>
      <w:r w:rsidR="00BF73AB" w:rsidRPr="00E21F93">
        <w:rPr>
          <w:rStyle w:val="Hyperlink"/>
          <w:color w:val="auto"/>
          <w:lang w:val="en-US"/>
        </w:rPr>
        <w:t>;</w:t>
      </w:r>
      <w:r w:rsidR="00D301C6" w:rsidRPr="00E21F93">
        <w:rPr>
          <w:lang w:val="en-US"/>
        </w:rPr>
        <w:t xml:space="preserve"> </w:t>
      </w:r>
      <w:hyperlink r:id="rId468" w:history="1">
        <w:r w:rsidR="00D301C6" w:rsidRPr="00E21F93">
          <w:rPr>
            <w:rStyle w:val="Hyperlink"/>
            <w:lang w:val="en-US"/>
          </w:rPr>
          <w:t>https://www.gov.uk/government/publications/lammy-review-final-report</w:t>
        </w:r>
      </w:hyperlink>
      <w:r w:rsidR="00BF73AB" w:rsidRPr="00E21F93">
        <w:rPr>
          <w:rStyle w:val="Hyperlink"/>
          <w:lang w:val="en-US"/>
        </w:rPr>
        <w:t>;</w:t>
      </w:r>
      <w:r w:rsidR="00D301C6" w:rsidRPr="00E21F93">
        <w:rPr>
          <w:lang w:val="en-US"/>
        </w:rPr>
        <w:t xml:space="preserve"> </w:t>
      </w:r>
      <w:hyperlink r:id="rId469" w:history="1">
        <w:r w:rsidR="00D301C6" w:rsidRPr="00E21F93">
          <w:rPr>
            <w:rStyle w:val="Hyperlink"/>
            <w:lang w:val="en-US"/>
          </w:rPr>
          <w:t>4262.pdf (publishing.service.gov.uk)</w:t>
        </w:r>
      </w:hyperlink>
      <w:r w:rsidR="00D301C6" w:rsidRPr="00E21F93">
        <w:rPr>
          <w:lang w:val="en-US"/>
        </w:rPr>
        <w:t xml:space="preserve">, </w:t>
      </w:r>
      <w:r w:rsidR="002A7FA1" w:rsidRPr="00E21F93">
        <w:rPr>
          <w:lang w:val="en-US"/>
        </w:rPr>
        <w:t>p. </w:t>
      </w:r>
      <w:r w:rsidR="00D301C6" w:rsidRPr="00E21F93">
        <w:rPr>
          <w:lang w:val="en-US"/>
        </w:rPr>
        <w:t>365</w:t>
      </w:r>
      <w:r w:rsidR="00BF73AB" w:rsidRPr="00E21F93">
        <w:rPr>
          <w:lang w:val="en-US"/>
        </w:rPr>
        <w:t> ;</w:t>
      </w:r>
      <w:r w:rsidR="00D301C6" w:rsidRPr="00E21F93">
        <w:rPr>
          <w:lang w:val="en-US"/>
        </w:rPr>
        <w:t xml:space="preserve"> </w:t>
      </w:r>
      <w:hyperlink r:id="rId470" w:history="1">
        <w:r w:rsidR="00D301C6" w:rsidRPr="00E21F93">
          <w:rPr>
            <w:rStyle w:val="Hyperlink"/>
            <w:lang w:val="en-US"/>
          </w:rPr>
          <w:t>https://committees.parliament.uk/</w:t>
        </w:r>
        <w:r w:rsidR="008B06EC" w:rsidRPr="00E21F93">
          <w:rPr>
            <w:rStyle w:val="Hyperlink"/>
            <w:lang w:val="en-US"/>
          </w:rPr>
          <w:t xml:space="preserve"> </w:t>
        </w:r>
        <w:r w:rsidR="00D301C6" w:rsidRPr="00E21F93">
          <w:rPr>
            <w:rStyle w:val="Hyperlink"/>
            <w:lang w:val="en-US"/>
          </w:rPr>
          <w:t>publications/3376/documents/32359/default/</w:t>
        </w:r>
      </w:hyperlink>
      <w:r w:rsidR="00BF73AB" w:rsidRPr="00E21F93">
        <w:rPr>
          <w:rStyle w:val="Hyperlink"/>
          <w:lang w:val="en-US"/>
        </w:rPr>
        <w:t> ;</w:t>
      </w:r>
      <w:r w:rsidR="00D301C6" w:rsidRPr="00E21F93">
        <w:rPr>
          <w:lang w:val="en-US"/>
        </w:rPr>
        <w:t xml:space="preserve"> </w:t>
      </w:r>
      <w:hyperlink r:id="rId471" w:history="1">
        <w:r w:rsidR="00D301C6" w:rsidRPr="00E21F93">
          <w:rPr>
            <w:rStyle w:val="Hyperlink"/>
            <w:lang w:val="en-US"/>
          </w:rPr>
          <w:t>https://assets.publishing.service.gov.uk/government/</w:t>
        </w:r>
        <w:r w:rsidR="008B06EC" w:rsidRPr="00E21F93">
          <w:rPr>
            <w:rStyle w:val="Hyperlink"/>
            <w:lang w:val="en-US"/>
          </w:rPr>
          <w:t xml:space="preserve"> </w:t>
        </w:r>
        <w:r w:rsidR="00D301C6" w:rsidRPr="00E21F93">
          <w:rPr>
            <w:rStyle w:val="Hyperlink"/>
            <w:lang w:val="en-US"/>
          </w:rPr>
          <w:t>uploads/system/uploads/attachment_data/file/655401/Report_of_Angiolini_Review_ISBN_Accessible.pdf</w:t>
        </w:r>
      </w:hyperlink>
      <w:r w:rsidR="00D301C6" w:rsidRPr="00E21F93">
        <w:rPr>
          <w:lang w:val="en-US"/>
        </w:rPr>
        <w:t xml:space="preserve">, </w:t>
      </w:r>
      <w:r w:rsidR="002A7FA1" w:rsidRPr="00E21F93">
        <w:rPr>
          <w:lang w:val="en-US"/>
        </w:rPr>
        <w:t>p. </w:t>
      </w:r>
      <w:r w:rsidR="00D301C6" w:rsidRPr="00E21F93">
        <w:rPr>
          <w:lang w:val="en-US"/>
        </w:rPr>
        <w:t>92.</w:t>
      </w:r>
    </w:p>
  </w:footnote>
  <w:footnote w:id="433">
    <w:p w14:paraId="65304215" w14:textId="78929EF1" w:rsidR="00D301C6" w:rsidRPr="00D10EF8" w:rsidRDefault="00653447" w:rsidP="005B4367">
      <w:pPr>
        <w:pStyle w:val="FootnoteText"/>
      </w:pPr>
      <w:r w:rsidRPr="00E21F93">
        <w:rPr>
          <w:lang w:val="en-US"/>
        </w:rPr>
        <w:tab/>
      </w:r>
      <w:r w:rsidRPr="00093AC5">
        <w:rPr>
          <w:rStyle w:val="FootnoteReference"/>
        </w:rPr>
        <w:footnoteRef/>
      </w:r>
      <w:r w:rsidRPr="00D10EF8">
        <w:tab/>
      </w:r>
      <w:hyperlink r:id="rId472" w:history="1">
        <w:r w:rsidR="00D301C6" w:rsidRPr="00D10EF8">
          <w:rPr>
            <w:rStyle w:val="Hyperlink"/>
            <w:lang w:val="fr-FR"/>
          </w:rPr>
          <w:t>https://committees.parliament.uk/publications/3376/documents/32359/default/</w:t>
        </w:r>
      </w:hyperlink>
      <w:r w:rsidR="00D301C6" w:rsidRPr="00D10EF8">
        <w:t xml:space="preserve">, </w:t>
      </w:r>
      <w:r w:rsidR="002A7FA1">
        <w:t>par. </w:t>
      </w:r>
      <w:r w:rsidR="00D301C6" w:rsidRPr="00D10EF8">
        <w:t>28</w:t>
      </w:r>
      <w:r w:rsidR="008B06EC">
        <w:t xml:space="preserve"> à </w:t>
      </w:r>
      <w:r w:rsidR="00D301C6" w:rsidRPr="00D10EF8">
        <w:t>32.</w:t>
      </w:r>
    </w:p>
  </w:footnote>
  <w:footnote w:id="434">
    <w:p w14:paraId="07641425" w14:textId="7E59E88B" w:rsidR="00D301C6" w:rsidRPr="00D10EF8" w:rsidRDefault="00653447" w:rsidP="005B4367">
      <w:pPr>
        <w:pStyle w:val="FootnoteText"/>
      </w:pPr>
      <w:r w:rsidRPr="00D10EF8">
        <w:tab/>
      </w:r>
      <w:r w:rsidRPr="00093AC5">
        <w:rPr>
          <w:rStyle w:val="FootnoteReference"/>
        </w:rPr>
        <w:footnoteRef/>
      </w:r>
      <w:r w:rsidRPr="00D10EF8">
        <w:tab/>
      </w:r>
      <w:r w:rsidR="00D301C6" w:rsidRPr="00D10EF8">
        <w:t>Communications de INQUEST, de l</w:t>
      </w:r>
      <w:r w:rsidR="00F60EAA">
        <w:t>’</w:t>
      </w:r>
      <w:r w:rsidR="00D301C6" w:rsidRPr="00D10EF8">
        <w:t>Initiative sur la Convention contre la torture et de l</w:t>
      </w:r>
      <w:r w:rsidR="00F60EAA">
        <w:t>’</w:t>
      </w:r>
      <w:r w:rsidR="00D301C6" w:rsidRPr="00D10EF8">
        <w:rPr>
          <w:szCs w:val="18"/>
        </w:rPr>
        <w:t>American Civil Liberties Union (ACLU).</w:t>
      </w:r>
    </w:p>
  </w:footnote>
  <w:footnote w:id="435">
    <w:p w14:paraId="2565943A" w14:textId="78D5EFDC" w:rsidR="00D301C6" w:rsidRPr="00D10EF8" w:rsidRDefault="00653447" w:rsidP="005B4367">
      <w:pPr>
        <w:pStyle w:val="FootnoteText"/>
      </w:pPr>
      <w:r w:rsidRPr="00D10EF8">
        <w:tab/>
      </w:r>
      <w:r w:rsidRPr="00093AC5">
        <w:rPr>
          <w:rStyle w:val="FootnoteReference"/>
        </w:rPr>
        <w:footnoteRef/>
      </w:r>
      <w:r w:rsidRPr="00D10EF8">
        <w:tab/>
      </w:r>
      <w:r w:rsidR="00D301C6" w:rsidRPr="00D10EF8">
        <w:t>Communications de l</w:t>
      </w:r>
      <w:r w:rsidR="00F60EAA">
        <w:t>’</w:t>
      </w:r>
      <w:r w:rsidR="00D301C6" w:rsidRPr="00D10EF8">
        <w:rPr>
          <w:szCs w:val="18"/>
        </w:rPr>
        <w:t>American Civil Liberties Union (ACLU)</w:t>
      </w:r>
      <w:r w:rsidR="00D301C6" w:rsidRPr="00D10EF8">
        <w:t xml:space="preserve"> et de l</w:t>
      </w:r>
      <w:r w:rsidR="00F60EAA">
        <w:t>’</w:t>
      </w:r>
      <w:r w:rsidR="00D301C6" w:rsidRPr="00D10EF8">
        <w:t>American Muslim Bar Association.</w:t>
      </w:r>
    </w:p>
  </w:footnote>
  <w:footnote w:id="436">
    <w:p w14:paraId="44F4452B" w14:textId="6DB607D1" w:rsidR="00D301C6" w:rsidRPr="00D10EF8" w:rsidRDefault="00653447" w:rsidP="005B4367">
      <w:pPr>
        <w:pStyle w:val="FootnoteText"/>
      </w:pPr>
      <w:r w:rsidRPr="00D10EF8">
        <w:tab/>
      </w:r>
      <w:r w:rsidRPr="00093AC5">
        <w:rPr>
          <w:rStyle w:val="FootnoteReference"/>
        </w:rPr>
        <w:footnoteRef/>
      </w:r>
      <w:r w:rsidRPr="00D10EF8">
        <w:tab/>
      </w:r>
      <w:r w:rsidR="00D301C6" w:rsidRPr="00D10EF8">
        <w:rPr>
          <w:rStyle w:val="Hyperlink"/>
          <w:lang w:val="fr-FR"/>
        </w:rPr>
        <w:t>https://www.brookings.edu/blog/fixgov/2020/06/19/what-does-defund-the-police-mean-and-does-it-have-merit/</w:t>
      </w:r>
      <w:r w:rsidR="00BF73AB" w:rsidRPr="00795C62">
        <w:rPr>
          <w:rStyle w:val="Hyperlink"/>
          <w:color w:val="auto"/>
          <w:lang w:val="fr-FR"/>
        </w:rPr>
        <w:t> ;</w:t>
      </w:r>
      <w:r w:rsidR="00D301C6" w:rsidRPr="00D10EF8">
        <w:rPr>
          <w:rStyle w:val="Hyperlink"/>
          <w:lang w:val="fr-FR"/>
        </w:rPr>
        <w:t xml:space="preserve"> https://www.theguardian.com/us-news/2020/jun/05/defunding-the-police-us-what-does-it-mean</w:t>
      </w:r>
      <w:r w:rsidR="00BF73AB">
        <w:rPr>
          <w:rStyle w:val="Hyperlink"/>
          <w:lang w:val="fr-FR"/>
        </w:rPr>
        <w:t> </w:t>
      </w:r>
      <w:r w:rsidR="00BF73AB" w:rsidRPr="00795C62">
        <w:rPr>
          <w:rStyle w:val="Hyperlink"/>
          <w:color w:val="auto"/>
          <w:lang w:val="fr-FR"/>
        </w:rPr>
        <w:t>;</w:t>
      </w:r>
      <w:r w:rsidR="00D301C6" w:rsidRPr="00D10EF8">
        <w:rPr>
          <w:rStyle w:val="Hyperlink"/>
          <w:lang w:val="fr-FR"/>
        </w:rPr>
        <w:t xml:space="preserve"> https://www.theguardian.com/commentisfree/2020/may/31/the-answer-to-police-violence-is-not-reform-its-defunding-heres-why</w:t>
      </w:r>
      <w:r w:rsidR="00BF73AB" w:rsidRPr="00795C62">
        <w:rPr>
          <w:rStyle w:val="Hyperlink"/>
          <w:color w:val="auto"/>
          <w:lang w:val="fr-FR"/>
        </w:rPr>
        <w:t> ;</w:t>
      </w:r>
      <w:r w:rsidR="00D301C6" w:rsidRPr="00D10EF8">
        <w:rPr>
          <w:rStyle w:val="Hyperlink"/>
          <w:lang w:val="fr-FR"/>
        </w:rPr>
        <w:t xml:space="preserve"> https://www.afsc.org/blogs/news-and-commentary/6-reasons-why-its-time-to-defund-police</w:t>
      </w:r>
      <w:r w:rsidR="00BF73AB">
        <w:rPr>
          <w:rStyle w:val="Hyperlink"/>
          <w:lang w:val="fr-FR"/>
        </w:rPr>
        <w:t> </w:t>
      </w:r>
      <w:r w:rsidR="00BF73AB" w:rsidRPr="00795C62">
        <w:rPr>
          <w:rStyle w:val="Hyperlink"/>
          <w:color w:val="auto"/>
          <w:lang w:val="fr-FR"/>
        </w:rPr>
        <w:t>;</w:t>
      </w:r>
      <w:r w:rsidR="00D301C6" w:rsidRPr="00D10EF8">
        <w:rPr>
          <w:rStyle w:val="Hyperlink"/>
          <w:lang w:val="fr-FR"/>
        </w:rPr>
        <w:t xml:space="preserve"> https://m4bl.org/defund-the-police/.</w:t>
      </w:r>
    </w:p>
  </w:footnote>
  <w:footnote w:id="437">
    <w:p w14:paraId="6A0E6320" w14:textId="290BA866" w:rsidR="00D301C6" w:rsidRPr="00D10EF8" w:rsidRDefault="00653447" w:rsidP="005B4367">
      <w:pPr>
        <w:pStyle w:val="FootnoteText"/>
      </w:pPr>
      <w:r w:rsidRPr="00D10EF8">
        <w:tab/>
      </w:r>
      <w:r w:rsidRPr="00093AC5">
        <w:rPr>
          <w:rStyle w:val="FootnoteReference"/>
        </w:rPr>
        <w:footnoteRef/>
      </w:r>
      <w:r w:rsidRPr="00D10EF8">
        <w:tab/>
      </w:r>
      <w:hyperlink r:id="rId473" w:history="1">
        <w:r w:rsidR="00D301C6" w:rsidRPr="00D10EF8">
          <w:rPr>
            <w:rStyle w:val="Hyperlink"/>
            <w:lang w:val="fr-FR"/>
          </w:rPr>
          <w:t>https://www.amnesty.org/fr/latest/news/2020/06/i-cant-breathe-refrain-reignited-movement/</w:t>
        </w:r>
      </w:hyperlink>
      <w:r w:rsidR="00BF73AB" w:rsidRPr="005A3E31">
        <w:rPr>
          <w:rStyle w:val="Hyperlink"/>
          <w:color w:val="auto"/>
          <w:lang w:val="fr-FR"/>
        </w:rPr>
        <w:t> ;</w:t>
      </w:r>
      <w:r w:rsidR="00D301C6" w:rsidRPr="005A3E31">
        <w:t xml:space="preserve"> </w:t>
      </w:r>
      <w:hyperlink r:id="rId474" w:history="1">
        <w:r w:rsidR="00D301C6" w:rsidRPr="00D10EF8">
          <w:rPr>
            <w:rStyle w:val="Hyperlink"/>
            <w:lang w:val="fr-FR"/>
          </w:rPr>
          <w:t>https://monitor.civicus.org/updates/2020/07/13/militarised-police-continue-use-excessive-force-against-protesters/</w:t>
        </w:r>
      </w:hyperlink>
      <w:r w:rsidR="00BF73AB">
        <w:rPr>
          <w:rStyle w:val="Hyperlink"/>
          <w:lang w:val="fr-FR"/>
        </w:rPr>
        <w:t> </w:t>
      </w:r>
      <w:r w:rsidR="00BF73AB" w:rsidRPr="005A3E31">
        <w:rPr>
          <w:rStyle w:val="Hyperlink"/>
          <w:color w:val="auto"/>
          <w:lang w:val="fr-FR"/>
        </w:rPr>
        <w:t>;</w:t>
      </w:r>
      <w:r w:rsidR="00D301C6" w:rsidRPr="00D10EF8">
        <w:t xml:space="preserve"> </w:t>
      </w:r>
      <w:hyperlink r:id="rId475" w:history="1">
        <w:r w:rsidR="00D301C6" w:rsidRPr="00D10EF8">
          <w:rPr>
            <w:rStyle w:val="Hyperlink"/>
            <w:lang w:val="fr-FR"/>
          </w:rPr>
          <w:t>https://edition.cnn.com/2020/06/08/us/lapd-protesters-black-lives-matter/index.html</w:t>
        </w:r>
      </w:hyperlink>
      <w:r w:rsidR="00D301C6" w:rsidRPr="00D10EF8">
        <w:rPr>
          <w:rStyle w:val="Hyperlink"/>
          <w:lang w:val="fr-FR"/>
        </w:rPr>
        <w:t>.</w:t>
      </w:r>
    </w:p>
  </w:footnote>
  <w:footnote w:id="438">
    <w:p w14:paraId="44FDC107" w14:textId="0E05648E" w:rsidR="00D301C6" w:rsidRPr="00D10EF8" w:rsidRDefault="00653447" w:rsidP="005B4367">
      <w:pPr>
        <w:pStyle w:val="FootnoteText"/>
      </w:pPr>
      <w:r w:rsidRPr="00D10EF8">
        <w:tab/>
      </w:r>
      <w:r w:rsidRPr="00093AC5">
        <w:rPr>
          <w:rStyle w:val="FootnoteReference"/>
        </w:rPr>
        <w:footnoteRef/>
      </w:r>
      <w:r w:rsidRPr="00D10EF8">
        <w:tab/>
      </w:r>
      <w:r w:rsidR="00D301C6" w:rsidRPr="00D10EF8">
        <w:t xml:space="preserve">Communication de Hogan Lovells. Voir également </w:t>
      </w:r>
      <w:hyperlink r:id="rId476" w:history="1">
        <w:r w:rsidR="00D301C6" w:rsidRPr="00D10EF8">
          <w:rPr>
            <w:rStyle w:val="Hyperlink"/>
            <w:lang w:val="fr-FR"/>
          </w:rPr>
          <w:t>https://www.ncsl.org/research/civil-and-criminal-justice/a-year-after-death-of-george-floyd-work-continues-on-policing-policy-magazine2021.aspx</w:t>
        </w:r>
      </w:hyperlink>
      <w:r w:rsidR="00D301C6" w:rsidRPr="00D10EF8">
        <w:rPr>
          <w:rStyle w:val="Hyperlink"/>
          <w:lang w:val="fr-FR"/>
        </w:rPr>
        <w:t>.</w:t>
      </w:r>
    </w:p>
  </w:footnote>
  <w:footnote w:id="439">
    <w:p w14:paraId="55E313CA" w14:textId="383346F5" w:rsidR="00D301C6" w:rsidRPr="00D10EF8" w:rsidRDefault="00653447" w:rsidP="005B4367">
      <w:pPr>
        <w:pStyle w:val="FootnoteText"/>
      </w:pPr>
      <w:r w:rsidRPr="00D10EF8">
        <w:tab/>
      </w:r>
      <w:r w:rsidRPr="00093AC5">
        <w:rPr>
          <w:rStyle w:val="FootnoteReference"/>
        </w:rPr>
        <w:footnoteRef/>
      </w:r>
      <w:r w:rsidRPr="00D10EF8">
        <w:tab/>
      </w:r>
      <w:hyperlink r:id="rId477" w:history="1">
        <w:r w:rsidR="00D301C6" w:rsidRPr="00D10EF8">
          <w:rPr>
            <w:rStyle w:val="Hyperlink"/>
            <w:lang w:val="fr-FR"/>
          </w:rPr>
          <w:t>https://mn.gov/governor/news/?id=1055-441356</w:t>
        </w:r>
      </w:hyperlink>
      <w:r w:rsidR="00D301C6" w:rsidRPr="00D10EF8">
        <w:rPr>
          <w:rStyle w:val="Hyperlink"/>
          <w:lang w:val="fr-FR"/>
        </w:rPr>
        <w:t>.</w:t>
      </w:r>
    </w:p>
  </w:footnote>
  <w:footnote w:id="440">
    <w:p w14:paraId="037B1BF4" w14:textId="449D1D54" w:rsidR="00D301C6" w:rsidRPr="00D10EF8" w:rsidRDefault="00653447" w:rsidP="005B4367">
      <w:pPr>
        <w:pStyle w:val="FootnoteText"/>
      </w:pPr>
      <w:r w:rsidRPr="00D10EF8">
        <w:tab/>
      </w:r>
      <w:r w:rsidRPr="00093AC5">
        <w:rPr>
          <w:rStyle w:val="FootnoteReference"/>
        </w:rPr>
        <w:footnoteRef/>
      </w:r>
      <w:r w:rsidRPr="00D10EF8">
        <w:tab/>
      </w:r>
      <w:hyperlink r:id="rId478" w:history="1">
        <w:r w:rsidR="00D301C6" w:rsidRPr="00D10EF8">
          <w:rPr>
            <w:rStyle w:val="Hyperlink"/>
            <w:lang w:val="fr-FR"/>
          </w:rPr>
          <w:t>https://www.minneapolismn.gov/government/programs-initiatives/community-safety/focus-areas/police-policy-reform/</w:t>
        </w:r>
      </w:hyperlink>
      <w:r w:rsidR="00D301C6" w:rsidRPr="00D10EF8">
        <w:rPr>
          <w:rStyle w:val="Hyperlink"/>
          <w:lang w:val="fr-FR"/>
        </w:rPr>
        <w:t>.</w:t>
      </w:r>
    </w:p>
  </w:footnote>
  <w:footnote w:id="441">
    <w:p w14:paraId="24EC24E0" w14:textId="5622FB09" w:rsidR="00D301C6" w:rsidRPr="00D10EF8" w:rsidRDefault="00653447" w:rsidP="005B4367">
      <w:pPr>
        <w:pStyle w:val="FootnoteText"/>
      </w:pPr>
      <w:r w:rsidRPr="00D10EF8">
        <w:tab/>
      </w:r>
      <w:r w:rsidRPr="00093AC5">
        <w:rPr>
          <w:rStyle w:val="FootnoteReference"/>
        </w:rPr>
        <w:footnoteRef/>
      </w:r>
      <w:r w:rsidRPr="00D10EF8">
        <w:tab/>
      </w:r>
      <w:r w:rsidR="00D301C6" w:rsidRPr="00D10EF8">
        <w:t>https://www.governor.state.nm.us/2021/04/07/gov-lujan-grisham-ratifies-civil-rights-act/#:~:text=%E2%80%9CThe%20New%20Mexico%20Civil%20Rights,a%20fairer%20state%20for%20everyone.%E2%80%9D.</w:t>
      </w:r>
    </w:p>
  </w:footnote>
  <w:footnote w:id="442">
    <w:p w14:paraId="124F78EC" w14:textId="1CB5900C" w:rsidR="00D301C6" w:rsidRPr="00D10EF8" w:rsidRDefault="00653447" w:rsidP="005B4367">
      <w:pPr>
        <w:pStyle w:val="FootnoteText"/>
      </w:pPr>
      <w:r w:rsidRPr="00D10EF8">
        <w:tab/>
      </w:r>
      <w:r w:rsidRPr="00093AC5">
        <w:rPr>
          <w:rStyle w:val="FootnoteReference"/>
        </w:rPr>
        <w:footnoteRef/>
      </w:r>
      <w:r w:rsidRPr="00D10EF8">
        <w:tab/>
      </w:r>
      <w:hyperlink r:id="rId479" w:history="1">
        <w:r w:rsidR="00D301C6" w:rsidRPr="00D10EF8">
          <w:rPr>
            <w:rStyle w:val="Hyperlink"/>
            <w:lang w:val="fr-FR"/>
          </w:rPr>
          <w:t>https://www.gov.ca.gov/2019/03/13/governor-gavin-newsom-orders-a-halt-to-the-death-penalty-in-california/</w:t>
        </w:r>
      </w:hyperlink>
      <w:r w:rsidR="00D301C6" w:rsidRPr="00D10EF8">
        <w:t xml:space="preserve">. Voir </w:t>
      </w:r>
      <w:hyperlink r:id="rId480" w:history="1">
        <w:r w:rsidR="00D301C6" w:rsidRPr="00D10EF8">
          <w:rPr>
            <w:rStyle w:val="Hyperlink"/>
            <w:lang w:val="fr-FR"/>
          </w:rPr>
          <w:t>https://reports.deathpenaltyinfo.org/year-end/YearEndReport2020.pdf</w:t>
        </w:r>
      </w:hyperlink>
      <w:r w:rsidR="00D301C6" w:rsidRPr="00D10EF8">
        <w:t xml:space="preserve">, </w:t>
      </w:r>
      <w:r w:rsidR="002A7FA1">
        <w:t>p. </w:t>
      </w:r>
      <w:r w:rsidR="00D301C6" w:rsidRPr="00D10EF8">
        <w:t xml:space="preserve">5. Voir également </w:t>
      </w:r>
      <w:hyperlink r:id="rId481" w:history="1">
        <w:r w:rsidR="00D301C6" w:rsidRPr="00D10EF8">
          <w:rPr>
            <w:rStyle w:val="Hyperlink"/>
            <w:lang w:val="fr-FR"/>
          </w:rPr>
          <w:t>https://deathpenaltyinfo.org/news/california-legislature-passes-racial-justice-package-affecting-death-penalty-practices</w:t>
        </w:r>
      </w:hyperlink>
      <w:r w:rsidR="00D301C6" w:rsidRPr="00D10EF8">
        <w:t>.</w:t>
      </w:r>
    </w:p>
  </w:footnote>
  <w:footnote w:id="443">
    <w:p w14:paraId="0DDEBD85" w14:textId="4E96E561" w:rsidR="00D301C6" w:rsidRPr="00D10EF8" w:rsidRDefault="00653447" w:rsidP="005B4367">
      <w:pPr>
        <w:pStyle w:val="FootnoteText"/>
      </w:pPr>
      <w:r w:rsidRPr="00D10EF8">
        <w:tab/>
      </w:r>
      <w:r w:rsidRPr="00093AC5">
        <w:rPr>
          <w:rStyle w:val="FootnoteReference"/>
        </w:rPr>
        <w:footnoteRef/>
      </w:r>
      <w:r w:rsidRPr="00D10EF8">
        <w:tab/>
      </w:r>
      <w:r w:rsidR="00D301C6" w:rsidRPr="007E4EC5">
        <w:rPr>
          <w:i/>
        </w:rPr>
        <w:t>North Carolina v. Ramseur</w:t>
      </w:r>
      <w:r w:rsidR="00D301C6" w:rsidRPr="00D10EF8">
        <w:t>, affaire no 388A10, décision rendue le 5 juin 2020</w:t>
      </w:r>
      <w:r w:rsidR="00BF73AB">
        <w:t> ;</w:t>
      </w:r>
      <w:r w:rsidR="00D301C6" w:rsidRPr="00D10EF8">
        <w:t xml:space="preserve"> </w:t>
      </w:r>
      <w:hyperlink r:id="rId482" w:history="1">
        <w:r w:rsidR="00D301C6" w:rsidRPr="00D10EF8">
          <w:rPr>
            <w:rStyle w:val="Hyperlink"/>
            <w:lang w:val="fr-FR"/>
          </w:rPr>
          <w:t>https://deathpenaltyinfo.org/news/north-carolina-supreme-court-strikes-down-racial-justice-actrepeal-permits-race-challenges-by-130-death-row-prisoners</w:t>
        </w:r>
      </w:hyperlink>
      <w:r w:rsidR="00D301C6" w:rsidRPr="00D10EF8">
        <w:rPr>
          <w:rStyle w:val="Hyperlink"/>
          <w:lang w:val="fr-FR"/>
        </w:rPr>
        <w:t>.</w:t>
      </w:r>
    </w:p>
  </w:footnote>
  <w:footnote w:id="444">
    <w:p w14:paraId="35194B3E" w14:textId="62684C47" w:rsidR="00D301C6" w:rsidRPr="00DA5E7E" w:rsidRDefault="00653447" w:rsidP="005B4367">
      <w:pPr>
        <w:pStyle w:val="FootnoteText"/>
        <w:rPr>
          <w:lang w:val="es-ES"/>
        </w:rPr>
      </w:pPr>
      <w:r w:rsidRPr="00D10EF8">
        <w:tab/>
      </w:r>
      <w:r w:rsidRPr="00093AC5">
        <w:rPr>
          <w:rStyle w:val="FootnoteReference"/>
        </w:rPr>
        <w:footnoteRef/>
      </w:r>
      <w:r w:rsidRPr="00DA5E7E">
        <w:rPr>
          <w:lang w:val="es-ES"/>
        </w:rPr>
        <w:tab/>
      </w:r>
      <w:r w:rsidR="00D301C6" w:rsidRPr="00DA5E7E">
        <w:rPr>
          <w:lang w:val="es-ES"/>
        </w:rPr>
        <w:t xml:space="preserve">CERD/C/USA/10-12, </w:t>
      </w:r>
      <w:r w:rsidR="002A7FA1" w:rsidRPr="00DA5E7E">
        <w:rPr>
          <w:lang w:val="es-ES"/>
        </w:rPr>
        <w:t>par. </w:t>
      </w:r>
      <w:r w:rsidR="00D301C6" w:rsidRPr="00DA5E7E">
        <w:rPr>
          <w:lang w:val="es-ES"/>
        </w:rPr>
        <w:t>15.</w:t>
      </w:r>
    </w:p>
  </w:footnote>
  <w:footnote w:id="445">
    <w:p w14:paraId="26685EA5" w14:textId="5622E16B" w:rsidR="00D301C6" w:rsidRPr="00D10EF8" w:rsidRDefault="00653447" w:rsidP="005B4367">
      <w:pPr>
        <w:pStyle w:val="FootnoteText"/>
      </w:pPr>
      <w:r w:rsidRPr="00DA5E7E">
        <w:rPr>
          <w:lang w:val="es-ES"/>
        </w:rPr>
        <w:tab/>
      </w:r>
      <w:r w:rsidRPr="00093AC5">
        <w:rPr>
          <w:rStyle w:val="FootnoteReference"/>
        </w:rPr>
        <w:footnoteRef/>
      </w:r>
      <w:r w:rsidRPr="00DA5E7E">
        <w:rPr>
          <w:lang w:val="es-ES"/>
        </w:rPr>
        <w:tab/>
      </w:r>
      <w:r w:rsidR="00D301C6" w:rsidRPr="00813782">
        <w:rPr>
          <w:lang w:val="es-ES"/>
        </w:rPr>
        <w:t xml:space="preserve">Ibid. </w:t>
      </w:r>
      <w:r w:rsidR="00D301C6" w:rsidRPr="00D10EF8">
        <w:t xml:space="preserve">Voir également, </w:t>
      </w:r>
      <w:hyperlink r:id="rId483" w:history="1">
        <w:r w:rsidR="00D301C6" w:rsidRPr="00D10EF8">
          <w:rPr>
            <w:rStyle w:val="Hyperlink"/>
            <w:lang w:val="fr-FR"/>
          </w:rPr>
          <w:t>https://www.statcan.gc.ca/fr/apercu/smr09/smr09_106</w:t>
        </w:r>
      </w:hyperlink>
      <w:r w:rsidR="00D301C6" w:rsidRPr="00D10EF8">
        <w:t>.</w:t>
      </w:r>
    </w:p>
  </w:footnote>
  <w:footnote w:id="446">
    <w:p w14:paraId="0D03A09C" w14:textId="7FEF5D98" w:rsidR="00D301C6" w:rsidRPr="00DA5E7E" w:rsidRDefault="00653447" w:rsidP="005B4367">
      <w:pPr>
        <w:pStyle w:val="FootnoteText"/>
        <w:rPr>
          <w:lang w:val="en-US"/>
        </w:rPr>
      </w:pPr>
      <w:r w:rsidRPr="00D10EF8">
        <w:tab/>
      </w:r>
      <w:r w:rsidRPr="00093AC5">
        <w:rPr>
          <w:rStyle w:val="FootnoteReference"/>
        </w:rPr>
        <w:footnoteRef/>
      </w:r>
      <w:r w:rsidRPr="00DA5E7E">
        <w:rPr>
          <w:lang w:val="en-US"/>
        </w:rPr>
        <w:tab/>
      </w:r>
      <w:hyperlink r:id="rId484" w:history="1">
        <w:r w:rsidR="00D301C6" w:rsidRPr="00DA5E7E">
          <w:rPr>
            <w:rStyle w:val="Hyperlink"/>
            <w:lang w:val="en-US"/>
          </w:rPr>
          <w:t>https://ec.europa.eu/info/sites/default/files/a_union_of_equality_eu_action_plan_against_</w:t>
        </w:r>
        <w:r w:rsidRPr="00DA5E7E">
          <w:rPr>
            <w:rStyle w:val="Hyperlink"/>
            <w:lang w:val="en-US"/>
          </w:rPr>
          <w:t xml:space="preserve"> </w:t>
        </w:r>
        <w:r w:rsidR="00D301C6" w:rsidRPr="00DA5E7E">
          <w:rPr>
            <w:rStyle w:val="Hyperlink"/>
            <w:lang w:val="en-US"/>
          </w:rPr>
          <w:t>racism_2020_-2025_fr.pdf</w:t>
        </w:r>
      </w:hyperlink>
      <w:r w:rsidR="00D301C6" w:rsidRPr="00DA5E7E">
        <w:rPr>
          <w:lang w:val="en-US"/>
        </w:rPr>
        <w:t>.</w:t>
      </w:r>
    </w:p>
  </w:footnote>
  <w:footnote w:id="447">
    <w:p w14:paraId="5F352AC8" w14:textId="3C1784EF" w:rsidR="00D301C6" w:rsidRPr="00DA5E7E" w:rsidRDefault="00653447" w:rsidP="005B4367">
      <w:pPr>
        <w:pStyle w:val="FootnoteText"/>
        <w:rPr>
          <w:lang w:val="en-US"/>
        </w:rPr>
      </w:pPr>
      <w:r w:rsidRPr="00DA5E7E">
        <w:rPr>
          <w:lang w:val="en-US"/>
        </w:rPr>
        <w:tab/>
      </w:r>
      <w:r w:rsidRPr="00093AC5">
        <w:rPr>
          <w:rStyle w:val="FootnoteReference"/>
        </w:rPr>
        <w:footnoteRef/>
      </w:r>
      <w:r w:rsidRPr="00DA5E7E">
        <w:rPr>
          <w:lang w:val="en-US"/>
        </w:rPr>
        <w:tab/>
      </w:r>
      <w:hyperlink r:id="rId485" w:history="1">
        <w:r w:rsidR="00D301C6" w:rsidRPr="00DA5E7E">
          <w:rPr>
            <w:rStyle w:val="Hyperlink"/>
            <w:lang w:val="en-US"/>
          </w:rPr>
          <w:t>https://www.ethnicity-facts-figures.service.gov.uk/</w:t>
        </w:r>
      </w:hyperlink>
      <w:r w:rsidR="00D301C6" w:rsidRPr="00DA5E7E">
        <w:rPr>
          <w:rStyle w:val="Hyperlink"/>
          <w:lang w:val="en-US"/>
        </w:rPr>
        <w:t>.</w:t>
      </w:r>
    </w:p>
  </w:footnote>
  <w:footnote w:id="448">
    <w:p w14:paraId="15B717A5" w14:textId="5464AF39" w:rsidR="00D301C6" w:rsidRPr="00DA5E7E" w:rsidRDefault="00653447" w:rsidP="005B4367">
      <w:pPr>
        <w:pStyle w:val="FootnoteText"/>
        <w:rPr>
          <w:lang w:val="en-US"/>
        </w:rPr>
      </w:pPr>
      <w:r w:rsidRPr="00DA5E7E">
        <w:rPr>
          <w:lang w:val="en-US"/>
        </w:rPr>
        <w:tab/>
      </w:r>
      <w:r w:rsidRPr="00093AC5">
        <w:rPr>
          <w:rStyle w:val="FootnoteReference"/>
        </w:rPr>
        <w:footnoteRef/>
      </w:r>
      <w:r w:rsidRPr="00DA5E7E">
        <w:rPr>
          <w:lang w:val="en-US"/>
        </w:rPr>
        <w:tab/>
      </w:r>
      <w:hyperlink r:id="rId486" w:history="1">
        <w:r w:rsidR="00D301C6" w:rsidRPr="00813782">
          <w:rPr>
            <w:rStyle w:val="Hyperlink"/>
            <w:lang w:val="en-US"/>
          </w:rPr>
          <w:t>https://assets.publishing.service.gov.uk/government/uploads/system/uploads/attachment_data/file/ 686071/Revised_RDA_report_March_2018.pdf</w:t>
        </w:r>
      </w:hyperlink>
      <w:r w:rsidR="00D301C6" w:rsidRPr="00813782">
        <w:rPr>
          <w:rStyle w:val="Hyperlink"/>
          <w:lang w:val="en-US"/>
        </w:rPr>
        <w:t>.</w:t>
      </w:r>
    </w:p>
  </w:footnote>
  <w:footnote w:id="449">
    <w:p w14:paraId="2C12D861" w14:textId="1D1A8B8E" w:rsidR="00D301C6" w:rsidRPr="00D10EF8" w:rsidRDefault="00653447" w:rsidP="005B4367">
      <w:pPr>
        <w:pStyle w:val="FootnoteText"/>
      </w:pPr>
      <w:r w:rsidRPr="00DA5E7E">
        <w:rPr>
          <w:lang w:val="en-US"/>
        </w:rPr>
        <w:tab/>
      </w:r>
      <w:r w:rsidRPr="00093AC5">
        <w:rPr>
          <w:rStyle w:val="FootnoteReference"/>
        </w:rPr>
        <w:footnoteRef/>
      </w:r>
      <w:r w:rsidRPr="00D10EF8">
        <w:tab/>
      </w:r>
      <w:hyperlink r:id="rId487" w:history="1">
        <w:r w:rsidR="00D301C6" w:rsidRPr="00D10EF8">
          <w:rPr>
            <w:rStyle w:val="Hyperlink"/>
            <w:lang w:val="fr-FR"/>
          </w:rPr>
          <w:t>https://gspp.berkeley.edu/assets/uploads/research/pdf/SpencerCharbonneauGlaser.Compass.2016.pdf</w:t>
        </w:r>
      </w:hyperlink>
      <w:r w:rsidR="00D301C6" w:rsidRPr="00D10EF8">
        <w:t xml:space="preserve">, </w:t>
      </w:r>
      <w:r w:rsidR="002A7FA1">
        <w:t>p. </w:t>
      </w:r>
      <w:r w:rsidR="00D301C6" w:rsidRPr="00D10EF8">
        <w:t>50 à 63.</w:t>
      </w:r>
    </w:p>
  </w:footnote>
  <w:footnote w:id="450">
    <w:p w14:paraId="6A03C6FF" w14:textId="6F28C5FE" w:rsidR="00D301C6" w:rsidRPr="00D10EF8" w:rsidRDefault="00653447" w:rsidP="005B4367">
      <w:pPr>
        <w:pStyle w:val="FootnoteText"/>
      </w:pPr>
      <w:r w:rsidRPr="00D10EF8">
        <w:tab/>
      </w:r>
      <w:r w:rsidRPr="00093AC5">
        <w:rPr>
          <w:rStyle w:val="FootnoteReference"/>
        </w:rPr>
        <w:footnoteRef/>
      </w:r>
      <w:r w:rsidRPr="00D10EF8">
        <w:tab/>
      </w:r>
      <w:r w:rsidR="00D301C6" w:rsidRPr="00D10EF8">
        <w:t>CERD/C/GC/36</w:t>
      </w:r>
      <w:r w:rsidR="00BF73AB">
        <w:t> ;</w:t>
      </w:r>
      <w:r w:rsidR="00D301C6" w:rsidRPr="00D10EF8">
        <w:t xml:space="preserve"> communication de l</w:t>
      </w:r>
      <w:r w:rsidR="00F60EAA">
        <w:t>’</w:t>
      </w:r>
      <w:r w:rsidR="00D301C6" w:rsidRPr="00D10EF8">
        <w:t>Union européenne</w:t>
      </w:r>
      <w:r w:rsidR="00BF73AB">
        <w:t> ;</w:t>
      </w:r>
      <w:r w:rsidR="00D301C6" w:rsidRPr="00D10EF8">
        <w:t xml:space="preserve"> </w:t>
      </w:r>
      <w:hyperlink r:id="rId488" w:history="1">
        <w:r w:rsidR="00D301C6" w:rsidRPr="0060576E">
          <w:rPr>
            <w:rStyle w:val="Hyperlink"/>
          </w:rPr>
          <w:t>https://minorityrights.org/trends2020/</w:t>
        </w:r>
      </w:hyperlink>
      <w:r w:rsidR="00D301C6" w:rsidRPr="00D10EF8">
        <w:t>.</w:t>
      </w:r>
    </w:p>
  </w:footnote>
  <w:footnote w:id="451">
    <w:p w14:paraId="2DF60299" w14:textId="6AB3658F" w:rsidR="00D301C6" w:rsidRPr="00D10EF8" w:rsidRDefault="00653447" w:rsidP="005B4367">
      <w:pPr>
        <w:pStyle w:val="FootnoteText"/>
      </w:pPr>
      <w:r w:rsidRPr="00D10EF8">
        <w:tab/>
      </w:r>
      <w:r w:rsidRPr="00093AC5">
        <w:rPr>
          <w:rStyle w:val="FootnoteReference"/>
        </w:rPr>
        <w:footnoteRef/>
      </w:r>
      <w:r w:rsidRPr="00D10EF8">
        <w:tab/>
      </w:r>
      <w:r w:rsidR="00D301C6" w:rsidRPr="00D10EF8">
        <w:rPr>
          <w:szCs w:val="18"/>
        </w:rPr>
        <w:t>C</w:t>
      </w:r>
      <w:r w:rsidR="00D301C6">
        <w:rPr>
          <w:szCs w:val="18"/>
        </w:rPr>
        <w:t>ERD</w:t>
      </w:r>
      <w:r w:rsidR="00D301C6" w:rsidRPr="00D10EF8">
        <w:rPr>
          <w:szCs w:val="18"/>
        </w:rPr>
        <w:t>/C/GC/36</w:t>
      </w:r>
      <w:r w:rsidR="00D301C6" w:rsidRPr="00D10EF8">
        <w:t xml:space="preserve">, </w:t>
      </w:r>
      <w:r w:rsidR="002A7FA1">
        <w:t>par. </w:t>
      </w:r>
      <w:r w:rsidR="00D301C6" w:rsidRPr="00D10EF8">
        <w:t>38.</w:t>
      </w:r>
    </w:p>
  </w:footnote>
  <w:footnote w:id="452">
    <w:p w14:paraId="51CE78E1" w14:textId="7F8DBB93" w:rsidR="00D301C6" w:rsidRPr="00D10EF8" w:rsidRDefault="00D233E2" w:rsidP="005B4367">
      <w:pPr>
        <w:pStyle w:val="FootnoteText"/>
      </w:pPr>
      <w:r w:rsidRPr="00D10EF8">
        <w:tab/>
      </w:r>
      <w:r w:rsidRPr="00093AC5">
        <w:rPr>
          <w:rStyle w:val="FootnoteReference"/>
        </w:rPr>
        <w:footnoteRef/>
      </w:r>
      <w:r w:rsidRPr="00D10EF8">
        <w:tab/>
      </w:r>
      <w:r w:rsidR="00D301C6" w:rsidRPr="00D10EF8">
        <w:t>Commentaire a) du Code de conduite pour les responsables de l</w:t>
      </w:r>
      <w:r w:rsidR="00F60EAA">
        <w:t>’</w:t>
      </w:r>
      <w:r w:rsidR="00D301C6" w:rsidRPr="00D10EF8">
        <w:t>application des lois</w:t>
      </w:r>
      <w:r w:rsidR="00BF73AB">
        <w:t> ;</w:t>
      </w:r>
      <w:r w:rsidR="00D301C6" w:rsidRPr="00D10EF8">
        <w:t xml:space="preserve"> Convention internationale sur l</w:t>
      </w:r>
      <w:r w:rsidR="00F60EAA">
        <w:t>’</w:t>
      </w:r>
      <w:r w:rsidR="00D301C6" w:rsidRPr="00D10EF8">
        <w:t xml:space="preserve">élimination de toutes les formes de discrimination raciale </w:t>
      </w:r>
      <w:r w:rsidR="002A7FA1">
        <w:t>(art. </w:t>
      </w:r>
      <w:r w:rsidR="00D301C6" w:rsidRPr="00D10EF8">
        <w:t>2).</w:t>
      </w:r>
    </w:p>
  </w:footnote>
  <w:footnote w:id="453">
    <w:p w14:paraId="79002CA5" w14:textId="1A6B4EF8"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Convention contre la torture et autres peines ou traitements cruels, inhumains ou dégradants </w:t>
      </w:r>
      <w:r w:rsidR="002A7FA1">
        <w:t>(art. </w:t>
      </w:r>
      <w:r w:rsidR="00D301C6" w:rsidRPr="00D10EF8">
        <w:t>14)</w:t>
      </w:r>
      <w:r w:rsidR="00BF73AB">
        <w:t> ;</w:t>
      </w:r>
      <w:r w:rsidR="00D301C6" w:rsidRPr="00D10EF8">
        <w:t xml:space="preserve"> </w:t>
      </w:r>
      <w:hyperlink r:id="rId489" w:history="1">
        <w:r w:rsidR="00D301C6" w:rsidRPr="00D10EF8">
          <w:rPr>
            <w:rStyle w:val="Hyperlink"/>
            <w:lang w:val="fr-FR"/>
          </w:rPr>
          <w:t>https://www.ohchr.org/Documents/ProfessionalInterest/executions.pdf</w:t>
        </w:r>
      </w:hyperlink>
      <w:r w:rsidR="00D301C6" w:rsidRPr="00D10EF8">
        <w:t>, principe 20.</w:t>
      </w:r>
    </w:p>
  </w:footnote>
  <w:footnote w:id="454">
    <w:p w14:paraId="16BDBF23" w14:textId="4863C968" w:rsidR="00D301C6" w:rsidRPr="00D10EF8" w:rsidRDefault="00D233E2" w:rsidP="004B3071">
      <w:pPr>
        <w:pStyle w:val="FootnoteText"/>
        <w:suppressAutoHyphens w:val="0"/>
      </w:pPr>
      <w:r w:rsidRPr="00D10EF8">
        <w:tab/>
      </w:r>
      <w:r w:rsidRPr="00093AC5">
        <w:rPr>
          <w:rStyle w:val="FootnoteReference"/>
        </w:rPr>
        <w:footnoteRef/>
      </w:r>
      <w:r w:rsidRPr="00D10EF8">
        <w:tab/>
      </w:r>
      <w:hyperlink r:id="rId490" w:history="1">
        <w:r w:rsidR="00D301C6" w:rsidRPr="00813782">
          <w:rPr>
            <w:rStyle w:val="Hyperlink"/>
            <w:lang w:val="fr-FR"/>
          </w:rPr>
          <w:t>https://www.ohchr.org/fr/instruments-mechanisms/instruments/basic-principles-use-force-and-firearms-law-enforcement</w:t>
        </w:r>
      </w:hyperlink>
      <w:r w:rsidR="00BF73AB">
        <w:t> ;</w:t>
      </w:r>
      <w:r w:rsidR="00D301C6" w:rsidRPr="00D10EF8">
        <w:t xml:space="preserve"> </w:t>
      </w:r>
      <w:hyperlink r:id="rId491" w:history="1">
        <w:r w:rsidR="00D301C6" w:rsidRPr="00813782">
          <w:rPr>
            <w:rStyle w:val="Hyperlink"/>
            <w:lang w:val="fr-FR"/>
          </w:rPr>
          <w:t>https://www.ohchr.org/fr/instruments-mechanisms/instruments/code-conduct-law-enforcement-officials</w:t>
        </w:r>
      </w:hyperlink>
      <w:r w:rsidR="00D301C6" w:rsidRPr="00D10EF8">
        <w:t xml:space="preserve">. </w:t>
      </w:r>
      <w:r w:rsidR="00D301C6">
        <w:t xml:space="preserve">Selon une recherche menée </w:t>
      </w:r>
      <w:r w:rsidR="00D301C6" w:rsidRPr="00762E0A">
        <w:t>en 2015, aucune des lois des États américains relatives au recours à la force ne respecte les normes du droit international (</w:t>
      </w:r>
      <w:hyperlink r:id="rId492" w:history="1">
        <w:r w:rsidR="00D301C6" w:rsidRPr="00762E0A">
          <w:rPr>
            <w:rStyle w:val="Hyperlink"/>
            <w:lang w:val="fr-FR"/>
          </w:rPr>
          <w:t>https://www.amnestyusa.org/wp-content/uploads/2015/06/aiusa_deadlyforcereportjune2015-1.pdf</w:t>
        </w:r>
      </w:hyperlink>
      <w:r w:rsidR="00D301C6" w:rsidRPr="00762E0A">
        <w:t>, p.</w:t>
      </w:r>
      <w:r w:rsidR="00843A94">
        <w:t> </w:t>
      </w:r>
      <w:r w:rsidR="00D301C6" w:rsidRPr="00762E0A">
        <w:t xml:space="preserve">21). Une autre recherche sur les politiques concernant le recours à la force </w:t>
      </w:r>
      <w:r w:rsidR="0060576E">
        <w:t>dans 20</w:t>
      </w:r>
      <w:r w:rsidR="00D301C6" w:rsidRPr="00762E0A">
        <w:t xml:space="preserve"> des plus grandes villes des États-Unis a montré qu</w:t>
      </w:r>
      <w:r w:rsidR="00F60EAA">
        <w:t>’</w:t>
      </w:r>
      <w:r w:rsidR="00D301C6" w:rsidRPr="00762E0A">
        <w:t>aucune d</w:t>
      </w:r>
      <w:r w:rsidR="00F60EAA">
        <w:t>’</w:t>
      </w:r>
      <w:r w:rsidR="00D301C6" w:rsidRPr="00762E0A">
        <w:t>entre elles n</w:t>
      </w:r>
      <w:r w:rsidR="00F60EAA">
        <w:t>’</w:t>
      </w:r>
      <w:r w:rsidR="00D301C6" w:rsidRPr="00762E0A">
        <w:t>était conforme au droit</w:t>
      </w:r>
      <w:r w:rsidR="00D301C6" w:rsidRPr="00D57A99">
        <w:t xml:space="preserve"> internationa</w:t>
      </w:r>
      <w:r w:rsidR="00D301C6">
        <w:t>l</w:t>
      </w:r>
      <w:r w:rsidR="00D301C6" w:rsidRPr="00D57A99">
        <w:t xml:space="preserve"> en matière de droits de l</w:t>
      </w:r>
      <w:r w:rsidR="00F60EAA">
        <w:t>’</w:t>
      </w:r>
      <w:r w:rsidR="00D301C6" w:rsidRPr="00D57A99">
        <w:t>homme</w:t>
      </w:r>
      <w:r w:rsidR="00D301C6" w:rsidRPr="00813782">
        <w:t xml:space="preserve"> </w:t>
      </w:r>
      <w:r w:rsidR="00D301C6" w:rsidRPr="00D57A99">
        <w:t>et aux normes</w:t>
      </w:r>
      <w:r w:rsidR="00D301C6">
        <w:t xml:space="preserve"> correspondantes</w:t>
      </w:r>
      <w:r w:rsidR="004B3071">
        <w:t xml:space="preserve"> </w:t>
      </w:r>
      <w:r w:rsidR="00D301C6" w:rsidRPr="00D10EF8">
        <w:t>(</w:t>
      </w:r>
      <w:hyperlink r:id="rId493" w:history="1">
        <w:r w:rsidR="00D301C6" w:rsidRPr="00D10EF8">
          <w:rPr>
            <w:rStyle w:val="Hyperlink"/>
            <w:lang w:val="fr-FR"/>
          </w:rPr>
          <w:t>https://chicagounbound.uchicago.edu/ihrc/14</w:t>
        </w:r>
      </w:hyperlink>
      <w:r w:rsidR="00D301C6" w:rsidRPr="00D10EF8">
        <w:rPr>
          <w:rStyle w:val="Hyperlink"/>
          <w:lang w:val="fr-FR"/>
        </w:rPr>
        <w:t>).</w:t>
      </w:r>
    </w:p>
  </w:footnote>
  <w:footnote w:id="455">
    <w:p w14:paraId="085A6BAC" w14:textId="131B81D5"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13.</w:t>
      </w:r>
    </w:p>
  </w:footnote>
  <w:footnote w:id="456">
    <w:p w14:paraId="0FE163AE" w14:textId="1A0570A7"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23.</w:t>
      </w:r>
    </w:p>
  </w:footnote>
  <w:footnote w:id="457">
    <w:p w14:paraId="54B9B48B" w14:textId="2C70F465"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25</w:t>
      </w:r>
      <w:r w:rsidR="00BF73AB">
        <w:t> ;</w:t>
      </w:r>
      <w:r w:rsidR="00D301C6" w:rsidRPr="00D10EF8">
        <w:t xml:space="preserve"> </w:t>
      </w:r>
      <w:r w:rsidR="00123579">
        <w:t>v</w:t>
      </w:r>
      <w:r w:rsidR="00D301C6" w:rsidRPr="00D10EF8">
        <w:t xml:space="preserve">oir également </w:t>
      </w:r>
      <w:hyperlink r:id="rId494" w:history="1">
        <w:r w:rsidR="00D301C6" w:rsidRPr="00813782">
          <w:rPr>
            <w:rStyle w:val="Hyperlink"/>
            <w:lang w:val="fr-FR"/>
          </w:rPr>
          <w:t>https://www.ohchr.org/fr/publications/united-nations-human-rights-guidance-less-lethal-weapons-law-enforcement</w:t>
        </w:r>
      </w:hyperlink>
      <w:r w:rsidR="00D301C6" w:rsidRPr="00D10EF8">
        <w:t xml:space="preserve">, </w:t>
      </w:r>
      <w:r w:rsidR="002A7FA1">
        <w:t>p. </w:t>
      </w:r>
      <w:r w:rsidR="00D301C6" w:rsidRPr="00D10EF8">
        <w:t>21.</w:t>
      </w:r>
    </w:p>
  </w:footnote>
  <w:footnote w:id="458">
    <w:p w14:paraId="73502A62" w14:textId="358D763C"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28.</w:t>
      </w:r>
    </w:p>
  </w:footnote>
  <w:footnote w:id="459">
    <w:p w14:paraId="6576F566" w14:textId="451092E7"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24</w:t>
      </w:r>
      <w:r w:rsidR="00BF73AB">
        <w:t> ;</w:t>
      </w:r>
      <w:r w:rsidR="00D301C6" w:rsidRPr="00D10EF8">
        <w:t xml:space="preserve"> A/HRC/39/36, </w:t>
      </w:r>
      <w:r w:rsidR="002A7FA1">
        <w:t>par. </w:t>
      </w:r>
      <w:r w:rsidR="00D301C6" w:rsidRPr="00D10EF8">
        <w:t>45 à 48, 51</w:t>
      </w:r>
      <w:r w:rsidR="00D301C6">
        <w:t xml:space="preserve"> </w:t>
      </w:r>
      <w:r w:rsidR="00D301C6" w:rsidRPr="00D10EF8">
        <w:t>à 52</w:t>
      </w:r>
      <w:r w:rsidR="00BF73AB">
        <w:t> ;</w:t>
      </w:r>
      <w:r w:rsidR="00D301C6" w:rsidRPr="00D10EF8">
        <w:t xml:space="preserve"> A/HRC/44/48, </w:t>
      </w:r>
      <w:r w:rsidR="002A7FA1">
        <w:t>par. </w:t>
      </w:r>
      <w:r w:rsidR="00D301C6" w:rsidRPr="00D10EF8">
        <w:t>61 et 86</w:t>
      </w:r>
      <w:r w:rsidR="00BF73AB">
        <w:t> ;</w:t>
      </w:r>
      <w:r w:rsidR="00D301C6" w:rsidRPr="00D10EF8">
        <w:t xml:space="preserve"> </w:t>
      </w:r>
      <w:hyperlink r:id="rId495" w:history="1">
        <w:r w:rsidR="00D301C6" w:rsidRPr="00D10EF8">
          <w:rPr>
            <w:rStyle w:val="Hyperlink"/>
            <w:lang w:val="fr-FR"/>
          </w:rPr>
          <w:t>https://www.who.int/mental_health/policy/quality_rights/en/</w:t>
        </w:r>
      </w:hyperlink>
      <w:r w:rsidR="00BF73AB" w:rsidRPr="00123579">
        <w:rPr>
          <w:rStyle w:val="Hyperlink"/>
          <w:color w:val="auto"/>
          <w:lang w:val="fr-FR"/>
        </w:rPr>
        <w:t> ;</w:t>
      </w:r>
      <w:r w:rsidR="00D301C6" w:rsidRPr="00123579">
        <w:t xml:space="preserve"> </w:t>
      </w:r>
      <w:hyperlink r:id="rId496" w:history="1">
        <w:r w:rsidR="00D301C6" w:rsidRPr="00D10EF8">
          <w:rPr>
            <w:rStyle w:val="Hyperlink"/>
            <w:lang w:val="fr-FR"/>
          </w:rPr>
          <w:t>https://www.ohchr.org/Documents/</w:t>
        </w:r>
        <w:r w:rsidR="00123579">
          <w:rPr>
            <w:rStyle w:val="Hyperlink"/>
            <w:lang w:val="fr-FR"/>
          </w:rPr>
          <w:t xml:space="preserve"> </w:t>
        </w:r>
        <w:r w:rsidR="00D301C6" w:rsidRPr="00D10EF8">
          <w:rPr>
            <w:rStyle w:val="Hyperlink"/>
            <w:lang w:val="fr-FR"/>
          </w:rPr>
          <w:t>Issues/Disability/SDG-CRPD-Resource/policy-guideline-good-health.pdf</w:t>
        </w:r>
      </w:hyperlink>
      <w:r w:rsidR="00D301C6" w:rsidRPr="00D10EF8">
        <w:rPr>
          <w:rStyle w:val="Hyperlink"/>
          <w:lang w:val="fr-FR"/>
        </w:rPr>
        <w:t>.</w:t>
      </w:r>
      <w:r w:rsidR="00D301C6" w:rsidRPr="00D10EF8">
        <w:t xml:space="preserve"> A/72/55 (</w:t>
      </w:r>
      <w:r w:rsidR="00123579">
        <w:t>a</w:t>
      </w:r>
      <w:r w:rsidR="00D301C6" w:rsidRPr="00D10EF8">
        <w:t xml:space="preserve">nnexe), </w:t>
      </w:r>
      <w:r w:rsidR="002A7FA1">
        <w:t>par. </w:t>
      </w:r>
      <w:r w:rsidR="00D301C6" w:rsidRPr="00D10EF8">
        <w:t>13.</w:t>
      </w:r>
    </w:p>
  </w:footnote>
  <w:footnote w:id="460">
    <w:p w14:paraId="1FB13761" w14:textId="07352D73"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Voir, par exemple, </w:t>
      </w:r>
      <w:hyperlink r:id="rId497" w:history="1">
        <w:r w:rsidR="00D301C6" w:rsidRPr="00D10EF8">
          <w:rPr>
            <w:rStyle w:val="Hyperlink"/>
            <w:lang w:val="fr-FR"/>
          </w:rPr>
          <w:t>https://www.ethnicity-facts-figures.service.gov.uk/crime-justice-and-the-law</w:t>
        </w:r>
      </w:hyperlink>
      <w:r w:rsidR="00BF73AB">
        <w:rPr>
          <w:rStyle w:val="Hyperlink"/>
          <w:lang w:val="fr-FR"/>
        </w:rPr>
        <w:t> </w:t>
      </w:r>
      <w:r w:rsidR="00BF73AB" w:rsidRPr="00123579">
        <w:rPr>
          <w:rStyle w:val="Hyperlink"/>
          <w:color w:val="auto"/>
          <w:lang w:val="fr-FR"/>
        </w:rPr>
        <w:t>;</w:t>
      </w:r>
      <w:r w:rsidR="00D301C6" w:rsidRPr="00123579">
        <w:t xml:space="preserve"> </w:t>
      </w:r>
      <w:r w:rsidR="00D301C6" w:rsidRPr="00D10EF8">
        <w:t>A/HRC/42/59</w:t>
      </w:r>
      <w:r w:rsidR="00D301C6">
        <w:t>,</w:t>
      </w:r>
      <w:r w:rsidR="00D301C6" w:rsidRPr="00D10EF8">
        <w:t xml:space="preserve"> </w:t>
      </w:r>
      <w:r w:rsidR="002A7FA1">
        <w:t>par. </w:t>
      </w:r>
      <w:r w:rsidR="00D301C6" w:rsidRPr="00D10EF8">
        <w:t>62.</w:t>
      </w:r>
    </w:p>
  </w:footnote>
  <w:footnote w:id="461">
    <w:p w14:paraId="6CA6383C" w14:textId="121F893C" w:rsidR="00D301C6" w:rsidRPr="00D10EF8" w:rsidRDefault="00D233E2" w:rsidP="005B4367">
      <w:pPr>
        <w:pStyle w:val="FootnoteText"/>
      </w:pPr>
      <w:r w:rsidRPr="00D10EF8">
        <w:tab/>
      </w:r>
      <w:r w:rsidRPr="00093AC5">
        <w:rPr>
          <w:rStyle w:val="FootnoteReference"/>
        </w:rPr>
        <w:footnoteRef/>
      </w:r>
      <w:r w:rsidRPr="00D10EF8">
        <w:tab/>
      </w:r>
      <w:r w:rsidR="00D301C6" w:rsidRPr="00D10EF8">
        <w:t>Comité pour l</w:t>
      </w:r>
      <w:r w:rsidR="00F60EAA">
        <w:t>’</w:t>
      </w:r>
      <w:r w:rsidR="00D301C6" w:rsidRPr="00D10EF8">
        <w:t xml:space="preserve">élimination de la discrimination raciale, recommandations générales </w:t>
      </w:r>
      <w:r w:rsidR="0054568E">
        <w:rPr>
          <w:rFonts w:eastAsia="MS Mincho"/>
        </w:rPr>
        <w:t>n</w:t>
      </w:r>
      <w:r w:rsidR="0054568E">
        <w:rPr>
          <w:rFonts w:eastAsia="MS Mincho"/>
          <w:vertAlign w:val="superscript"/>
        </w:rPr>
        <w:t>os</w:t>
      </w:r>
      <w:r w:rsidR="0054568E">
        <w:t> </w:t>
      </w:r>
      <w:r w:rsidR="00D301C6" w:rsidRPr="00D10EF8">
        <w:t>4 (1973), 24</w:t>
      </w:r>
      <w:r w:rsidR="0054568E">
        <w:t> </w:t>
      </w:r>
      <w:r w:rsidR="00D301C6" w:rsidRPr="00D10EF8">
        <w:t>(1999), 25 (2000), 27 (2000), 29 (2002), 30 (2005) et 31 (2005).</w:t>
      </w:r>
    </w:p>
  </w:footnote>
  <w:footnote w:id="462">
    <w:p w14:paraId="3FC8583F" w14:textId="6E9D5AD5"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A/HRC/24/52, </w:t>
      </w:r>
      <w:r w:rsidR="002A7FA1">
        <w:t>par. </w:t>
      </w:r>
      <w:r w:rsidR="00D301C6" w:rsidRPr="00D10EF8">
        <w:t>84.</w:t>
      </w:r>
    </w:p>
  </w:footnote>
  <w:footnote w:id="463">
    <w:p w14:paraId="03EE4BDF" w14:textId="1636AB0A"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A/HRC/24/52, </w:t>
      </w:r>
      <w:r w:rsidR="002A7FA1">
        <w:t>par. </w:t>
      </w:r>
      <w:r w:rsidR="00D301C6" w:rsidRPr="00D10EF8">
        <w:t>87 (al. d)).</w:t>
      </w:r>
    </w:p>
  </w:footnote>
  <w:footnote w:id="464">
    <w:p w14:paraId="67E15B76" w14:textId="4FB50B59" w:rsidR="00D301C6" w:rsidRPr="00D10EF8" w:rsidRDefault="00D233E2" w:rsidP="005B4367">
      <w:pPr>
        <w:pStyle w:val="FootnoteText"/>
      </w:pPr>
      <w:r w:rsidRPr="00D10EF8">
        <w:tab/>
      </w:r>
      <w:r w:rsidRPr="00093AC5">
        <w:rPr>
          <w:rStyle w:val="FootnoteReference"/>
        </w:rPr>
        <w:footnoteRef/>
      </w:r>
      <w:r w:rsidRPr="00D10EF8">
        <w:tab/>
      </w:r>
      <w:r w:rsidR="00D301C6" w:rsidRPr="00D10EF8">
        <w:t>A/HRC/14/24/Add.8.</w:t>
      </w:r>
    </w:p>
  </w:footnote>
  <w:footnote w:id="465">
    <w:p w14:paraId="4B7EB993" w14:textId="097D3EAA"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t>74.</w:t>
      </w:r>
    </w:p>
  </w:footnote>
  <w:footnote w:id="466">
    <w:p w14:paraId="57A211F8" w14:textId="66AEA3DD"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t>73</w:t>
      </w:r>
      <w:r w:rsidR="005079A7">
        <w:t xml:space="preserve"> et </w:t>
      </w:r>
      <w:r w:rsidR="00D301C6" w:rsidRPr="00D10EF8">
        <w:t>74.</w:t>
      </w:r>
    </w:p>
  </w:footnote>
  <w:footnote w:id="467">
    <w:p w14:paraId="7F984190" w14:textId="36AE058F"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t>74.</w:t>
      </w:r>
    </w:p>
  </w:footnote>
  <w:footnote w:id="468">
    <w:p w14:paraId="0F1835CA" w14:textId="2D6D03F5"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t>74.</w:t>
      </w:r>
    </w:p>
  </w:footnote>
  <w:footnote w:id="469">
    <w:p w14:paraId="2ED43F41" w14:textId="64B30C05"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Ibid., </w:t>
      </w:r>
      <w:r w:rsidR="002A7FA1">
        <w:t>par. </w:t>
      </w:r>
      <w:r w:rsidR="00D301C6" w:rsidRPr="00D10EF8">
        <w:t>7.</w:t>
      </w:r>
    </w:p>
  </w:footnote>
  <w:footnote w:id="470">
    <w:p w14:paraId="1F8B7549" w14:textId="19122675" w:rsidR="00D301C6" w:rsidRPr="00D10EF8" w:rsidRDefault="00D233E2" w:rsidP="005B4367">
      <w:pPr>
        <w:pStyle w:val="FootnoteText"/>
      </w:pPr>
      <w:r w:rsidRPr="00D10EF8">
        <w:tab/>
      </w:r>
      <w:r w:rsidRPr="00093AC5">
        <w:rPr>
          <w:rStyle w:val="FootnoteReference"/>
        </w:rPr>
        <w:footnoteRef/>
      </w:r>
      <w:r w:rsidRPr="00D10EF8">
        <w:tab/>
      </w:r>
      <w:hyperlink r:id="rId498" w:history="1">
        <w:r w:rsidR="00D301C6" w:rsidRPr="00D10EF8">
          <w:rPr>
            <w:rStyle w:val="Hyperlink"/>
            <w:lang w:val="fr-FR"/>
          </w:rPr>
          <w:t>https://www.unodc.org/documents/justice-and-prison-reform/17-03483_ebook.pdf</w:t>
        </w:r>
      </w:hyperlink>
      <w:r w:rsidR="00D301C6" w:rsidRPr="00D10EF8">
        <w:rPr>
          <w:rStyle w:val="Hyperlink"/>
          <w:lang w:val="fr-FR"/>
        </w:rPr>
        <w:t>,</w:t>
      </w:r>
      <w:r w:rsidR="00D301C6" w:rsidRPr="00D10EF8">
        <w:t xml:space="preserve"> </w:t>
      </w:r>
      <w:r w:rsidR="002A7FA1">
        <w:t>p. </w:t>
      </w:r>
      <w:r w:rsidR="00D301C6" w:rsidRPr="00D10EF8">
        <w:t>172.</w:t>
      </w:r>
    </w:p>
  </w:footnote>
  <w:footnote w:id="471">
    <w:p w14:paraId="441F2EBC" w14:textId="21FFC4DF" w:rsidR="00D301C6" w:rsidRPr="00D10EF8" w:rsidRDefault="00D233E2" w:rsidP="005B4367">
      <w:pPr>
        <w:pStyle w:val="FootnoteText"/>
      </w:pPr>
      <w:r w:rsidRPr="00D10EF8">
        <w:tab/>
      </w:r>
      <w:r w:rsidRPr="00093AC5">
        <w:rPr>
          <w:rStyle w:val="FootnoteReference"/>
        </w:rPr>
        <w:footnoteRef/>
      </w:r>
      <w:r w:rsidRPr="00D10EF8">
        <w:tab/>
      </w:r>
      <w:r w:rsidR="00D301C6" w:rsidRPr="00D10EF8">
        <w:t>A/HRC/26/36.</w:t>
      </w:r>
    </w:p>
  </w:footnote>
  <w:footnote w:id="472">
    <w:p w14:paraId="7B50CB7E" w14:textId="10560B4E" w:rsidR="00D301C6" w:rsidRPr="00D10EF8" w:rsidRDefault="00D233E2" w:rsidP="005B4367">
      <w:pPr>
        <w:pStyle w:val="FootnoteText"/>
      </w:pPr>
      <w:r w:rsidRPr="00D10EF8">
        <w:tab/>
      </w:r>
      <w:r w:rsidRPr="00093AC5">
        <w:rPr>
          <w:rStyle w:val="FootnoteReference"/>
        </w:rPr>
        <w:footnoteRef/>
      </w:r>
      <w:r w:rsidRPr="00D10EF8">
        <w:tab/>
      </w:r>
      <w:hyperlink r:id="rId499" w:history="1">
        <w:r w:rsidR="00D301C6" w:rsidRPr="00D10EF8">
          <w:rPr>
            <w:rStyle w:val="Hyperlink"/>
            <w:lang w:val="fr-FR"/>
          </w:rPr>
          <w:t>https://www.ohchr.org/EN/NewsEvents/Pages/DisplayNews.aspx?NewsID=20813</w:t>
        </w:r>
      </w:hyperlink>
      <w:r w:rsidR="00D301C6" w:rsidRPr="00D10EF8">
        <w:rPr>
          <w:rStyle w:val="Hyperlink"/>
          <w:lang w:val="fr-FR"/>
        </w:rPr>
        <w:t>.</w:t>
      </w:r>
    </w:p>
  </w:footnote>
  <w:footnote w:id="473">
    <w:p w14:paraId="659BA1DF" w14:textId="65525BB0"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A/HRC/26/36, </w:t>
      </w:r>
      <w:r w:rsidR="002A7FA1">
        <w:t>par. </w:t>
      </w:r>
      <w:r w:rsidR="00D301C6" w:rsidRPr="00D10EF8">
        <w:t>129.</w:t>
      </w:r>
    </w:p>
  </w:footnote>
  <w:footnote w:id="474">
    <w:p w14:paraId="1E9DE704" w14:textId="342E56E8" w:rsidR="00D301C6" w:rsidRPr="00D10EF8" w:rsidRDefault="00D233E2" w:rsidP="005B4367">
      <w:pPr>
        <w:pStyle w:val="FootnoteText"/>
      </w:pPr>
      <w:r w:rsidRPr="00D10EF8">
        <w:tab/>
      </w:r>
      <w:r w:rsidRPr="00093AC5">
        <w:rPr>
          <w:rStyle w:val="FootnoteReference"/>
        </w:rPr>
        <w:footnoteRef/>
      </w:r>
      <w:r w:rsidRPr="00D10EF8">
        <w:tab/>
      </w:r>
      <w:r w:rsidR="00D301C6" w:rsidRPr="00D10EF8">
        <w:t>A/HRC/14/24/Add.8.</w:t>
      </w:r>
    </w:p>
  </w:footnote>
  <w:footnote w:id="475">
    <w:p w14:paraId="2AB459B9" w14:textId="56446761"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28.</w:t>
      </w:r>
    </w:p>
  </w:footnote>
  <w:footnote w:id="476">
    <w:p w14:paraId="63E2DCCE" w14:textId="3691E15E" w:rsidR="00D301C6" w:rsidRPr="00DA5E7E" w:rsidRDefault="00D233E2" w:rsidP="005B4367">
      <w:pPr>
        <w:pStyle w:val="FootnoteText"/>
        <w:rPr>
          <w:lang w:val="es-ES"/>
        </w:rPr>
      </w:pPr>
      <w:r w:rsidRPr="00D10EF8">
        <w:tab/>
      </w:r>
      <w:r w:rsidRPr="00093AC5">
        <w:rPr>
          <w:rStyle w:val="FootnoteReference"/>
        </w:rPr>
        <w:footnoteRef/>
      </w:r>
      <w:r w:rsidRPr="00DA5E7E">
        <w:rPr>
          <w:lang w:val="es-ES"/>
        </w:rPr>
        <w:tab/>
      </w:r>
      <w:r w:rsidRPr="00DA5E7E">
        <w:rPr>
          <w:lang w:val="es-ES"/>
        </w:rPr>
        <w:tab/>
      </w:r>
      <w:r w:rsidR="00D301C6" w:rsidRPr="00DA5E7E">
        <w:rPr>
          <w:lang w:val="es-ES"/>
        </w:rPr>
        <w:t xml:space="preserve">Ibid., </w:t>
      </w:r>
      <w:r w:rsidR="002A7FA1" w:rsidRPr="00DA5E7E">
        <w:rPr>
          <w:lang w:val="es-ES"/>
        </w:rPr>
        <w:t>par. </w:t>
      </w:r>
      <w:r w:rsidR="00D301C6" w:rsidRPr="00DA5E7E">
        <w:rPr>
          <w:lang w:val="es-ES"/>
        </w:rPr>
        <w:t>28.</w:t>
      </w:r>
    </w:p>
  </w:footnote>
  <w:footnote w:id="477">
    <w:p w14:paraId="113DB96F" w14:textId="080DAFAD" w:rsidR="00D301C6" w:rsidRPr="00DA5E7E" w:rsidRDefault="00D233E2" w:rsidP="005B4367">
      <w:pPr>
        <w:pStyle w:val="FootnoteText"/>
        <w:rPr>
          <w:lang w:val="es-ES"/>
        </w:rPr>
      </w:pPr>
      <w:r w:rsidRPr="00DA5E7E">
        <w:rPr>
          <w:lang w:val="es-ES"/>
        </w:rPr>
        <w:tab/>
      </w:r>
      <w:r w:rsidRPr="00093AC5">
        <w:rPr>
          <w:rStyle w:val="FootnoteReference"/>
        </w:rPr>
        <w:footnoteRef/>
      </w:r>
      <w:r w:rsidRPr="00DA5E7E">
        <w:rPr>
          <w:lang w:val="es-ES"/>
        </w:rPr>
        <w:tab/>
      </w:r>
      <w:hyperlink r:id="rId500" w:history="1">
        <w:r w:rsidR="00D301C6" w:rsidRPr="00DA5E7E">
          <w:rPr>
            <w:rStyle w:val="Hyperlink"/>
            <w:lang w:val="es-ES"/>
          </w:rPr>
          <w:t>https://www.ohchr.org/fr/instruments-mechanisms/instruments/declaration-basic-principles-justice-victims-crime-and-abuse</w:t>
        </w:r>
      </w:hyperlink>
      <w:r w:rsidR="00D301C6" w:rsidRPr="00DA5E7E">
        <w:rPr>
          <w:lang w:val="es-ES"/>
        </w:rPr>
        <w:t xml:space="preserve">. </w:t>
      </w:r>
    </w:p>
  </w:footnote>
  <w:footnote w:id="478">
    <w:p w14:paraId="07FF8EB3" w14:textId="05F81D20" w:rsidR="00D301C6" w:rsidRPr="00DA5E7E" w:rsidRDefault="00D233E2" w:rsidP="005B4367">
      <w:pPr>
        <w:pStyle w:val="FootnoteText"/>
        <w:rPr>
          <w:lang w:val="es-ES"/>
        </w:rPr>
      </w:pPr>
      <w:r w:rsidRPr="00DA5E7E">
        <w:rPr>
          <w:lang w:val="es-ES"/>
        </w:rPr>
        <w:tab/>
      </w:r>
      <w:r w:rsidRPr="00093AC5">
        <w:rPr>
          <w:rStyle w:val="FootnoteReference"/>
        </w:rPr>
        <w:footnoteRef/>
      </w:r>
      <w:r w:rsidRPr="00DA5E7E">
        <w:rPr>
          <w:lang w:val="es-ES"/>
        </w:rPr>
        <w:tab/>
      </w:r>
      <w:hyperlink r:id="rId501" w:history="1">
        <w:r w:rsidR="00D301C6" w:rsidRPr="00DA5E7E">
          <w:rPr>
            <w:lang w:val="es-ES"/>
          </w:rPr>
          <w:t>https://blmprotests.forensic-architecture.org/</w:t>
        </w:r>
      </w:hyperlink>
      <w:r w:rsidR="00D301C6" w:rsidRPr="00DA5E7E">
        <w:rPr>
          <w:lang w:val="es-ES"/>
        </w:rPr>
        <w:t>.</w:t>
      </w:r>
    </w:p>
  </w:footnote>
  <w:footnote w:id="479">
    <w:p w14:paraId="7212256B" w14:textId="4D60D48A" w:rsidR="00D301C6" w:rsidRPr="00DA5E7E" w:rsidRDefault="00D233E2" w:rsidP="005B4367">
      <w:pPr>
        <w:pStyle w:val="FootnoteText"/>
        <w:rPr>
          <w:lang w:val="es-ES"/>
        </w:rPr>
      </w:pPr>
      <w:r w:rsidRPr="00DA5E7E">
        <w:rPr>
          <w:lang w:val="es-ES"/>
        </w:rPr>
        <w:tab/>
      </w:r>
      <w:r w:rsidRPr="00093AC5">
        <w:rPr>
          <w:rStyle w:val="FootnoteReference"/>
        </w:rPr>
        <w:footnoteRef/>
      </w:r>
      <w:r w:rsidRPr="00DA5E7E">
        <w:rPr>
          <w:lang w:val="es-ES"/>
        </w:rPr>
        <w:tab/>
      </w:r>
      <w:hyperlink r:id="rId502" w:history="1">
        <w:r w:rsidR="00D301C6" w:rsidRPr="00DA5E7E">
          <w:rPr>
            <w:rStyle w:val="Hyperlink"/>
            <w:u w:color="0000FF"/>
            <w:lang w:val="es-ES"/>
          </w:rPr>
          <w:t>https://acleddata.com/2020/08/31/us-crisis-monitor-releases-full-data-for-summer-2020/</w:t>
        </w:r>
      </w:hyperlink>
      <w:r w:rsidR="00BF73AB" w:rsidRPr="003B1628">
        <w:rPr>
          <w:rStyle w:val="Hyperlink"/>
          <w:color w:val="auto"/>
          <w:u w:color="0000FF"/>
          <w:lang w:val="es-ES"/>
        </w:rPr>
        <w:t> ;</w:t>
      </w:r>
      <w:r w:rsidR="00D301C6" w:rsidRPr="003B1628">
        <w:rPr>
          <w:lang w:val="es-ES"/>
        </w:rPr>
        <w:t xml:space="preserve"> </w:t>
      </w:r>
      <w:hyperlink r:id="rId503" w:history="1">
        <w:r w:rsidR="00D301C6" w:rsidRPr="00DA5E7E">
          <w:rPr>
            <w:rStyle w:val="Hyperlink"/>
            <w:lang w:val="es-ES"/>
          </w:rPr>
          <w:t>https://www.theguardian.com/world/2020/sep/05/nearly-all-black-lives-matter-protests-are-peaceful-despite-trump-narrative-report-finds</w:t>
        </w:r>
      </w:hyperlink>
      <w:r w:rsidR="00BF73AB" w:rsidRPr="003B1628">
        <w:rPr>
          <w:rStyle w:val="Hyperlink"/>
          <w:color w:val="auto"/>
          <w:lang w:val="es-ES"/>
        </w:rPr>
        <w:t> ;</w:t>
      </w:r>
      <w:r w:rsidR="00D301C6" w:rsidRPr="00DA5E7E">
        <w:rPr>
          <w:rStyle w:val="Hyperlink"/>
          <w:lang w:val="es-ES"/>
        </w:rPr>
        <w:t xml:space="preserve"> </w:t>
      </w:r>
      <w:hyperlink r:id="rId504" w:history="1">
        <w:r w:rsidR="00D301C6" w:rsidRPr="00DA5E7E">
          <w:rPr>
            <w:rStyle w:val="Hyperlink"/>
            <w:lang w:val="es-ES"/>
          </w:rPr>
          <w:t>https://www.washingtonpost.com/politics/2020/10/16/this-summers-black-lives-matter-protesters-were-overwhelming-peaceful-our-research-finds/</w:t>
        </w:r>
      </w:hyperlink>
      <w:r w:rsidR="00BF73AB" w:rsidRPr="003B1628">
        <w:rPr>
          <w:rStyle w:val="Hyperlink"/>
          <w:color w:val="auto"/>
          <w:lang w:val="es-ES"/>
        </w:rPr>
        <w:t> ;</w:t>
      </w:r>
      <w:r w:rsidR="00D301C6" w:rsidRPr="003B1628">
        <w:rPr>
          <w:rStyle w:val="Hyperlink"/>
          <w:color w:val="auto"/>
          <w:lang w:val="es-ES"/>
        </w:rPr>
        <w:t xml:space="preserve"> </w:t>
      </w:r>
      <w:hyperlink r:id="rId505" w:history="1">
        <w:r w:rsidR="00D301C6" w:rsidRPr="00DA5E7E">
          <w:rPr>
            <w:rStyle w:val="Hyperlink"/>
            <w:lang w:val="es-ES"/>
          </w:rPr>
          <w:t>https://sites.google.com/view/crowdcountingconsortium/home</w:t>
        </w:r>
      </w:hyperlink>
      <w:r w:rsidR="00D301C6" w:rsidRPr="00DA5E7E">
        <w:rPr>
          <w:rStyle w:val="Hyperlink"/>
          <w:lang w:val="es-ES"/>
        </w:rPr>
        <w:t>.</w:t>
      </w:r>
    </w:p>
  </w:footnote>
  <w:footnote w:id="480">
    <w:p w14:paraId="3D326325" w14:textId="3B087EE0" w:rsidR="00D301C6" w:rsidRPr="00DA5E7E" w:rsidRDefault="00D233E2" w:rsidP="005B4367">
      <w:pPr>
        <w:pStyle w:val="FootnoteText"/>
        <w:rPr>
          <w:lang w:val="es-ES"/>
        </w:rPr>
      </w:pPr>
      <w:r w:rsidRPr="00DA5E7E">
        <w:rPr>
          <w:lang w:val="es-ES"/>
        </w:rPr>
        <w:tab/>
      </w:r>
      <w:r w:rsidRPr="00093AC5">
        <w:rPr>
          <w:rStyle w:val="FootnoteReference"/>
        </w:rPr>
        <w:footnoteRef/>
      </w:r>
      <w:r w:rsidRPr="00DA5E7E">
        <w:rPr>
          <w:lang w:val="es-ES"/>
        </w:rPr>
        <w:tab/>
      </w:r>
      <w:hyperlink r:id="rId506" w:history="1">
        <w:r w:rsidR="00D301C6" w:rsidRPr="00DA5E7E">
          <w:rPr>
            <w:rStyle w:val="Hyperlink"/>
            <w:lang w:val="es-ES"/>
          </w:rPr>
          <w:t>https://www.amnesty.org.uk/files/annual_report_-_english_-_air1415.pdf?VersionId=</w:t>
        </w:r>
        <w:r w:rsidR="00EB6645">
          <w:rPr>
            <w:rStyle w:val="Hyperlink"/>
            <w:lang w:val="es-ES"/>
          </w:rPr>
          <w:t xml:space="preserve"> </w:t>
        </w:r>
        <w:r w:rsidR="00D301C6" w:rsidRPr="00DA5E7E">
          <w:rPr>
            <w:rStyle w:val="Hyperlink"/>
            <w:lang w:val="es-ES"/>
          </w:rPr>
          <w:t>rs2Y9xqquY7uqZ5ymI6ATNyx70seijCJ</w:t>
        </w:r>
      </w:hyperlink>
      <w:r w:rsidR="00D301C6" w:rsidRPr="00DA5E7E">
        <w:rPr>
          <w:lang w:val="es-ES"/>
        </w:rPr>
        <w:t xml:space="preserve">, </w:t>
      </w:r>
      <w:r w:rsidR="002A7FA1" w:rsidRPr="00DA5E7E">
        <w:rPr>
          <w:lang w:val="es-ES"/>
        </w:rPr>
        <w:t>p. </w:t>
      </w:r>
      <w:r w:rsidR="00D301C6" w:rsidRPr="00DA5E7E">
        <w:rPr>
          <w:lang w:val="es-ES"/>
        </w:rPr>
        <w:t>17.</w:t>
      </w:r>
    </w:p>
  </w:footnote>
  <w:footnote w:id="481">
    <w:p w14:paraId="51126439" w14:textId="042DEF97" w:rsidR="00D301C6" w:rsidRPr="00D10EF8" w:rsidRDefault="00D233E2" w:rsidP="005B4367">
      <w:pPr>
        <w:pStyle w:val="FootnoteText"/>
      </w:pPr>
      <w:r w:rsidRPr="00DA5E7E">
        <w:rPr>
          <w:lang w:val="es-ES"/>
        </w:rPr>
        <w:tab/>
      </w:r>
      <w:r w:rsidRPr="00093AC5">
        <w:rPr>
          <w:rStyle w:val="FootnoteReference"/>
        </w:rPr>
        <w:footnoteRef/>
      </w:r>
      <w:r w:rsidRPr="00D10EF8">
        <w:tab/>
      </w:r>
      <w:r w:rsidR="00D301C6" w:rsidRPr="00D10EF8">
        <w:t xml:space="preserve">A/HRC/35/28/Add.2, </w:t>
      </w:r>
      <w:r w:rsidR="002A7FA1">
        <w:t>par. </w:t>
      </w:r>
      <w:r w:rsidR="00D301C6" w:rsidRPr="00D10EF8">
        <w:t>20.</w:t>
      </w:r>
    </w:p>
  </w:footnote>
  <w:footnote w:id="482">
    <w:p w14:paraId="499BBA1F" w14:textId="2A905A24"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Voir, par exemple, </w:t>
      </w:r>
      <w:hyperlink r:id="rId507" w:history="1">
        <w:r w:rsidR="00D301C6" w:rsidRPr="00D10EF8">
          <w:rPr>
            <w:rStyle w:val="Hyperlink"/>
            <w:lang w:val="fr-FR"/>
          </w:rPr>
          <w:t>https://www.bbc.com/news/world-europe-53036388</w:t>
        </w:r>
      </w:hyperlink>
      <w:r w:rsidR="00BF73AB">
        <w:rPr>
          <w:rStyle w:val="Hyperlink"/>
          <w:lang w:val="fr-FR"/>
        </w:rPr>
        <w:t> </w:t>
      </w:r>
      <w:r w:rsidR="00BF73AB" w:rsidRPr="00362602">
        <w:rPr>
          <w:rStyle w:val="Hyperlink"/>
          <w:color w:val="auto"/>
          <w:lang w:val="fr-FR"/>
        </w:rPr>
        <w:t>;</w:t>
      </w:r>
      <w:r w:rsidR="00D301C6" w:rsidRPr="00362602">
        <w:t xml:space="preserve"> </w:t>
      </w:r>
      <w:hyperlink r:id="rId508" w:history="1">
        <w:r w:rsidR="00D301C6" w:rsidRPr="00D10EF8">
          <w:rPr>
            <w:rStyle w:val="Hyperlink"/>
            <w:lang w:val="fr-FR"/>
          </w:rPr>
          <w:t>https://www.france24.com/</w:t>
        </w:r>
        <w:r w:rsidR="00362602">
          <w:rPr>
            <w:rStyle w:val="Hyperlink"/>
            <w:lang w:val="fr-FR"/>
          </w:rPr>
          <w:t xml:space="preserve"> </w:t>
        </w:r>
        <w:r w:rsidR="00D301C6" w:rsidRPr="00D10EF8">
          <w:rPr>
            <w:rStyle w:val="Hyperlink"/>
            <w:lang w:val="fr-FR"/>
          </w:rPr>
          <w:t>fr/20200613-france-manifestation-contre-racisme-grandes-villes-francaises-adama-traore-violences-policieres</w:t>
        </w:r>
      </w:hyperlink>
      <w:r w:rsidR="00BF73AB">
        <w:t> ;</w:t>
      </w:r>
      <w:r w:rsidR="00D301C6" w:rsidRPr="00D10EF8">
        <w:rPr>
          <w:rStyle w:val="Hyperlink"/>
          <w:lang w:val="fr-FR"/>
        </w:rPr>
        <w:t xml:space="preserve"> </w:t>
      </w:r>
      <w:hyperlink r:id="rId509" w:history="1">
        <w:r w:rsidR="00D301C6" w:rsidRPr="00D10EF8">
          <w:rPr>
            <w:rStyle w:val="Hyperlink"/>
            <w:lang w:val="fr-FR"/>
          </w:rPr>
          <w:t>https://www.france24.com/fr/france/20201128-en-direct-manifestations-contre-la-loi-s%C3%A9curit%C3%A9-globale-dans-toute-la-france</w:t>
        </w:r>
      </w:hyperlink>
      <w:r w:rsidR="00BF73AB">
        <w:t> ;</w:t>
      </w:r>
      <w:r w:rsidR="00D301C6" w:rsidRPr="00D10EF8">
        <w:t xml:space="preserve"> </w:t>
      </w:r>
      <w:hyperlink r:id="rId510" w:history="1">
        <w:r w:rsidR="00D301C6" w:rsidRPr="00D10EF8">
          <w:rPr>
            <w:rStyle w:val="Hyperlink"/>
            <w:lang w:val="fr-FR"/>
          </w:rPr>
          <w:t>https://www.washingtonpost.com/world/</w:t>
        </w:r>
        <w:r w:rsidR="00362602">
          <w:rPr>
            <w:rStyle w:val="Hyperlink"/>
            <w:lang w:val="fr-FR"/>
          </w:rPr>
          <w:t xml:space="preserve"> </w:t>
        </w:r>
        <w:r w:rsidR="00D301C6" w:rsidRPr="00D10EF8">
          <w:rPr>
            <w:rStyle w:val="Hyperlink"/>
            <w:lang w:val="fr-FR"/>
          </w:rPr>
          <w:t>europe/assa-traore-black-lives-matter-france/2020/06/12/45c0f450-aa87-11ea-a43b-be9f</w:t>
        </w:r>
        <w:r w:rsidR="00362602">
          <w:rPr>
            <w:rStyle w:val="Hyperlink"/>
            <w:lang w:val="fr-FR"/>
          </w:rPr>
          <w:t xml:space="preserve"> </w:t>
        </w:r>
        <w:r w:rsidR="00D301C6" w:rsidRPr="00D10EF8">
          <w:rPr>
            <w:rStyle w:val="Hyperlink"/>
            <w:lang w:val="fr-FR"/>
          </w:rPr>
          <w:t>6494a87d_story.html</w:t>
        </w:r>
      </w:hyperlink>
      <w:r w:rsidR="00D301C6" w:rsidRPr="00D10EF8">
        <w:t>.</w:t>
      </w:r>
    </w:p>
  </w:footnote>
  <w:footnote w:id="483">
    <w:p w14:paraId="764001D0" w14:textId="1FC3084F"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Voir, par exemple, </w:t>
      </w:r>
      <w:hyperlink r:id="rId511" w:history="1">
        <w:r w:rsidR="00D301C6" w:rsidRPr="00D10EF8">
          <w:rPr>
            <w:rStyle w:val="Hyperlink"/>
            <w:lang w:val="fr-FR"/>
          </w:rPr>
          <w:t>https://www.npr.org/2020/12/30/950053607/in-2020-protests-spread-across-the-globe-with-a-similar-message-black-lives-matt</w:t>
        </w:r>
      </w:hyperlink>
      <w:r w:rsidR="00D301C6" w:rsidRPr="00D10EF8">
        <w:t>.</w:t>
      </w:r>
    </w:p>
  </w:footnote>
  <w:footnote w:id="484">
    <w:p w14:paraId="10927E81" w14:textId="006EDDE2" w:rsidR="00D301C6" w:rsidRPr="00EE5F58" w:rsidRDefault="00D233E2" w:rsidP="005B4367">
      <w:pPr>
        <w:pStyle w:val="FootnoteText"/>
        <w:rPr>
          <w:lang w:val="en-US"/>
        </w:rPr>
      </w:pPr>
      <w:r w:rsidRPr="00D10EF8">
        <w:tab/>
      </w:r>
      <w:r w:rsidRPr="00093AC5">
        <w:rPr>
          <w:rStyle w:val="FootnoteReference"/>
        </w:rPr>
        <w:footnoteRef/>
      </w:r>
      <w:r w:rsidRPr="00EE5F58">
        <w:rPr>
          <w:lang w:val="en-US"/>
        </w:rPr>
        <w:tab/>
      </w:r>
      <w:hyperlink r:id="rId512" w:history="1">
        <w:r w:rsidR="00D301C6" w:rsidRPr="00EE5F58">
          <w:rPr>
            <w:rStyle w:val="Hyperlink"/>
            <w:lang w:val="en-US"/>
          </w:rPr>
          <w:t>https://www.ohchr.org/EN/NewsEvents/Pages/DisplayNews.aspx?NewsID=26535</w:t>
        </w:r>
      </w:hyperlink>
      <w:r w:rsidR="00BF73AB" w:rsidRPr="00EE5F58">
        <w:rPr>
          <w:rStyle w:val="Hyperlink"/>
          <w:lang w:val="en-US"/>
        </w:rPr>
        <w:t> </w:t>
      </w:r>
      <w:r w:rsidR="00BF73AB" w:rsidRPr="00EE5F58">
        <w:rPr>
          <w:rStyle w:val="Hyperlink"/>
          <w:color w:val="auto"/>
          <w:lang w:val="en-US"/>
        </w:rPr>
        <w:t>;</w:t>
      </w:r>
      <w:r w:rsidR="00D301C6" w:rsidRPr="00EE5F58">
        <w:rPr>
          <w:lang w:val="en-US"/>
        </w:rPr>
        <w:t xml:space="preserve"> </w:t>
      </w:r>
      <w:hyperlink r:id="rId513" w:history="1">
        <w:r w:rsidR="00D301C6" w:rsidRPr="00EE5F58">
          <w:rPr>
            <w:rStyle w:val="Hyperlink"/>
            <w:lang w:val="en-US"/>
          </w:rPr>
          <w:t>https://www.theguardian.com/world/2020/jun/12/brazil-black-boy-fall-death-racism</w:t>
        </w:r>
      </w:hyperlink>
      <w:r w:rsidR="00BF73AB" w:rsidRPr="00EE5F58">
        <w:rPr>
          <w:rStyle w:val="Hyperlink"/>
          <w:lang w:val="en-US"/>
        </w:rPr>
        <w:t> </w:t>
      </w:r>
      <w:r w:rsidR="00BF73AB" w:rsidRPr="00EE5F58">
        <w:rPr>
          <w:rStyle w:val="Hyperlink"/>
          <w:color w:val="auto"/>
          <w:lang w:val="en-US"/>
        </w:rPr>
        <w:t>;</w:t>
      </w:r>
      <w:r w:rsidR="00D301C6" w:rsidRPr="00EE5F58" w:rsidDel="00DF2928">
        <w:rPr>
          <w:lang w:val="en-US"/>
        </w:rPr>
        <w:t xml:space="preserve"> </w:t>
      </w:r>
      <w:hyperlink r:id="rId514" w:history="1">
        <w:r w:rsidR="00D301C6" w:rsidRPr="00EE5F58">
          <w:rPr>
            <w:rStyle w:val="Hyperlink"/>
            <w:lang w:val="en-US"/>
          </w:rPr>
          <w:t>https://brasil.elpais.com/brasil/2020-06-06/vidas-negras-importam-chacoalha-parcela-de-brasileiros-entorpecida-pela-rotina-de-violencia-racista.html</w:t>
        </w:r>
      </w:hyperlink>
      <w:r w:rsidR="00BF73AB" w:rsidRPr="00EE5F58">
        <w:rPr>
          <w:lang w:val="en-US"/>
        </w:rPr>
        <w:t> ;</w:t>
      </w:r>
      <w:r w:rsidR="00D301C6" w:rsidRPr="00EE5F58">
        <w:rPr>
          <w:lang w:val="en-US"/>
        </w:rPr>
        <w:t xml:space="preserve"> </w:t>
      </w:r>
      <w:hyperlink r:id="rId515" w:history="1">
        <w:r w:rsidR="00D301C6" w:rsidRPr="00EE5F58">
          <w:rPr>
            <w:rStyle w:val="Hyperlink"/>
            <w:lang w:val="en-US"/>
          </w:rPr>
          <w:t>https://apnews.com/article/virus-outbreak-police-rio-de-janeiro-ap-top-news-brazil-8bfe3a86aa1db5b9671d9d41be8617b7</w:t>
        </w:r>
      </w:hyperlink>
      <w:r w:rsidR="00BF73AB" w:rsidRPr="00EE5F58">
        <w:rPr>
          <w:rStyle w:val="Hyperlink"/>
          <w:lang w:val="en-US"/>
        </w:rPr>
        <w:t> </w:t>
      </w:r>
      <w:r w:rsidR="00BF73AB" w:rsidRPr="00EE5F58">
        <w:rPr>
          <w:rStyle w:val="Hyperlink"/>
          <w:color w:val="auto"/>
          <w:lang w:val="en-US"/>
        </w:rPr>
        <w:t>;</w:t>
      </w:r>
      <w:r w:rsidR="00D301C6" w:rsidRPr="00EE5F58">
        <w:rPr>
          <w:lang w:val="en-US"/>
        </w:rPr>
        <w:t xml:space="preserve"> </w:t>
      </w:r>
      <w:hyperlink r:id="rId516" w:history="1">
        <w:r w:rsidR="00D301C6" w:rsidRPr="00EE5F58">
          <w:rPr>
            <w:rStyle w:val="Hyperlink"/>
            <w:lang w:val="en-US"/>
          </w:rPr>
          <w:t>https://www.reuters.com/</w:t>
        </w:r>
        <w:r w:rsidR="00EE5F58" w:rsidRPr="00EE5F58">
          <w:rPr>
            <w:rStyle w:val="Hyperlink"/>
            <w:lang w:val="en-US"/>
          </w:rPr>
          <w:t xml:space="preserve"> </w:t>
        </w:r>
        <w:r w:rsidR="00D301C6" w:rsidRPr="00EE5F58">
          <w:rPr>
            <w:rStyle w:val="Hyperlink"/>
            <w:lang w:val="en-US"/>
          </w:rPr>
          <w:t>article/us-brazil-protests-race-feature-idUSKBN23E0QF</w:t>
        </w:r>
      </w:hyperlink>
      <w:r w:rsidR="00D301C6" w:rsidRPr="00EE5F58">
        <w:rPr>
          <w:rStyle w:val="Hyperlink"/>
          <w:lang w:val="en-US"/>
        </w:rPr>
        <w:t>.</w:t>
      </w:r>
    </w:p>
  </w:footnote>
  <w:footnote w:id="485">
    <w:p w14:paraId="5F0BCABE" w14:textId="37C4CFD3" w:rsidR="00D301C6" w:rsidRPr="00D10EF8" w:rsidRDefault="00D233E2" w:rsidP="005B4367">
      <w:pPr>
        <w:pStyle w:val="FootnoteText"/>
      </w:pPr>
      <w:r w:rsidRPr="00EE5F58">
        <w:rPr>
          <w:lang w:val="en-US"/>
        </w:rPr>
        <w:tab/>
      </w:r>
      <w:r w:rsidRPr="00093AC5">
        <w:rPr>
          <w:rStyle w:val="FootnoteReference"/>
        </w:rPr>
        <w:footnoteRef/>
      </w:r>
      <w:r w:rsidRPr="00D10EF8">
        <w:tab/>
      </w:r>
      <w:r w:rsidR="00D301C6" w:rsidRPr="00D10EF8">
        <w:t xml:space="preserve">Voir, par exemple, </w:t>
      </w:r>
      <w:hyperlink r:id="rId517" w:history="1">
        <w:r w:rsidR="00D301C6" w:rsidRPr="00D10EF8">
          <w:rPr>
            <w:rStyle w:val="Hyperlink"/>
            <w:lang w:val="fr-FR"/>
          </w:rPr>
          <w:t>https://cespad.org.hn/2020/07/21/alerta-policia-hondurena-reprime-protesta-de-comunidad-garifunas-y-afecta-gravemente-a-una-nina/</w:t>
        </w:r>
      </w:hyperlink>
      <w:r w:rsidR="00D301C6" w:rsidRPr="00D10EF8">
        <w:t>.</w:t>
      </w:r>
    </w:p>
  </w:footnote>
  <w:footnote w:id="486">
    <w:p w14:paraId="626DB77C" w14:textId="3FC9E2B0" w:rsidR="00D301C6" w:rsidRPr="00D10EF8" w:rsidRDefault="00D233E2" w:rsidP="005B4367">
      <w:pPr>
        <w:pStyle w:val="FootnoteText"/>
      </w:pPr>
      <w:r w:rsidRPr="00D10EF8">
        <w:tab/>
      </w:r>
      <w:r w:rsidRPr="00093AC5">
        <w:rPr>
          <w:rStyle w:val="FootnoteReference"/>
        </w:rPr>
        <w:footnoteRef/>
      </w:r>
      <w:r w:rsidRPr="00D10EF8">
        <w:tab/>
      </w:r>
      <w:hyperlink r:id="rId518" w:history="1">
        <w:r w:rsidR="00D301C6" w:rsidRPr="00D10EF8">
          <w:rPr>
            <w:rStyle w:val="Hyperlink"/>
            <w:lang w:val="fr-FR"/>
          </w:rPr>
          <w:t>https://www.stop-racial-profiling.ch/en/2020/06/11/blm-en/</w:t>
        </w:r>
      </w:hyperlink>
      <w:r w:rsidR="00BF73AB" w:rsidRPr="00EE5F58">
        <w:rPr>
          <w:rStyle w:val="Hyperlink"/>
          <w:color w:val="auto"/>
          <w:lang w:val="fr-FR"/>
        </w:rPr>
        <w:t> ;</w:t>
      </w:r>
      <w:r w:rsidR="00D301C6" w:rsidRPr="00EE5F58">
        <w:t xml:space="preserve"> </w:t>
      </w:r>
      <w:hyperlink r:id="rId519" w:history="1">
        <w:r w:rsidR="00D301C6" w:rsidRPr="00D10EF8">
          <w:rPr>
            <w:rStyle w:val="Hyperlink"/>
            <w:lang w:val="fr-FR"/>
          </w:rPr>
          <w:t>https://elpais.com/espana/madrid/2020-06-07/el-no-puedo-respirar-de-las-miles-de-personas-que-se-han-manifestado-en-madrid-contra-el-racismo.html</w:t>
        </w:r>
      </w:hyperlink>
      <w:r w:rsidR="00BF73AB">
        <w:rPr>
          <w:rStyle w:val="Hyperlink"/>
          <w:lang w:val="fr-FR"/>
        </w:rPr>
        <w:t> </w:t>
      </w:r>
      <w:r w:rsidR="00BF73AB" w:rsidRPr="00EE5F58">
        <w:rPr>
          <w:rStyle w:val="Hyperlink"/>
          <w:color w:val="auto"/>
          <w:lang w:val="fr-FR"/>
        </w:rPr>
        <w:t>;</w:t>
      </w:r>
      <w:r w:rsidR="00D301C6" w:rsidRPr="00D10EF8">
        <w:t xml:space="preserve"> </w:t>
      </w:r>
      <w:hyperlink r:id="rId520" w:history="1">
        <w:r w:rsidR="00D301C6" w:rsidRPr="00D10EF8">
          <w:rPr>
            <w:rStyle w:val="Hyperlink"/>
            <w:lang w:val="fr-FR"/>
          </w:rPr>
          <w:t>https://www.theneweuropean.co.uk/brexit-news/anti-racism-protests-reveal-europes-own-problems-85082</w:t>
        </w:r>
      </w:hyperlink>
      <w:r w:rsidR="00D301C6" w:rsidRPr="00D10EF8">
        <w:t>.</w:t>
      </w:r>
    </w:p>
  </w:footnote>
  <w:footnote w:id="487">
    <w:p w14:paraId="2624EF6F" w14:textId="350FD0A6" w:rsidR="00D301C6" w:rsidRPr="00E21F93" w:rsidRDefault="00D233E2" w:rsidP="005B4367">
      <w:pPr>
        <w:pStyle w:val="FootnoteText"/>
        <w:rPr>
          <w:lang w:val="en-US"/>
        </w:rPr>
      </w:pPr>
      <w:r w:rsidRPr="00D10EF8">
        <w:tab/>
      </w:r>
      <w:r w:rsidRPr="00093AC5">
        <w:rPr>
          <w:rStyle w:val="FootnoteReference"/>
        </w:rPr>
        <w:footnoteRef/>
      </w:r>
      <w:r w:rsidRPr="00EE5F58">
        <w:rPr>
          <w:lang w:val="en-US"/>
        </w:rPr>
        <w:tab/>
      </w:r>
      <w:hyperlink r:id="rId521" w:history="1">
        <w:r w:rsidR="00D301C6" w:rsidRPr="00EE5F58">
          <w:rPr>
            <w:rStyle w:val="Hyperlink"/>
            <w:lang w:val="en-US"/>
          </w:rPr>
          <w:t>https://secureservercdn.net/50.62.198.70/561.6fe.myftpupload.com/wp-content/uploads/2020/11/</w:t>
        </w:r>
        <w:r w:rsidR="00EE5F58">
          <w:rPr>
            <w:rStyle w:val="Hyperlink"/>
            <w:lang w:val="en-US"/>
          </w:rPr>
          <w:t xml:space="preserve"> </w:t>
        </w:r>
        <w:r w:rsidR="00D301C6" w:rsidRPr="00EE5F58">
          <w:rPr>
            <w:rStyle w:val="Hyperlink"/>
            <w:lang w:val="en-US"/>
          </w:rPr>
          <w:t>Britain-is-not-innocent-web-version.pdf</w:t>
        </w:r>
      </w:hyperlink>
      <w:r w:rsidR="00D301C6" w:rsidRPr="00EE5F58">
        <w:rPr>
          <w:lang w:val="en-US"/>
        </w:rPr>
        <w:t xml:space="preserve">, </w:t>
      </w:r>
      <w:r w:rsidR="002A7FA1" w:rsidRPr="00EE5F58">
        <w:rPr>
          <w:lang w:val="en-US"/>
        </w:rPr>
        <w:t>p. </w:t>
      </w:r>
      <w:r w:rsidR="00D301C6" w:rsidRPr="00EE5F58">
        <w:rPr>
          <w:lang w:val="en-US"/>
        </w:rPr>
        <w:t xml:space="preserve">7 et 14. </w:t>
      </w:r>
      <w:r w:rsidR="00D301C6" w:rsidRPr="00E21F93">
        <w:rPr>
          <w:lang w:val="en-US"/>
        </w:rPr>
        <w:t>Voir également les communications de Black Protest Legal Support, Race Equality First et de l</w:t>
      </w:r>
      <w:r w:rsidR="00F60EAA" w:rsidRPr="00E21F93">
        <w:rPr>
          <w:lang w:val="en-US"/>
        </w:rPr>
        <w:t>’</w:t>
      </w:r>
      <w:r w:rsidR="00D301C6" w:rsidRPr="00E21F93">
        <w:rPr>
          <w:lang w:val="en-US"/>
        </w:rPr>
        <w:t>International Network of Civil Liberties Organisations (INCLO).</w:t>
      </w:r>
    </w:p>
  </w:footnote>
  <w:footnote w:id="488">
    <w:p w14:paraId="72023190" w14:textId="09E0CF1B" w:rsidR="00D301C6" w:rsidRPr="00E21F93" w:rsidRDefault="00D233E2" w:rsidP="005B4367">
      <w:pPr>
        <w:pStyle w:val="FootnoteText"/>
        <w:rPr>
          <w:lang w:val="en-US"/>
        </w:rPr>
      </w:pPr>
      <w:r w:rsidRPr="00E21F93">
        <w:rPr>
          <w:lang w:val="en-US"/>
        </w:rPr>
        <w:tab/>
      </w:r>
      <w:r w:rsidRPr="00093AC5">
        <w:rPr>
          <w:rStyle w:val="FootnoteReference"/>
        </w:rPr>
        <w:footnoteRef/>
      </w:r>
      <w:r w:rsidRPr="00E21F93">
        <w:rPr>
          <w:lang w:val="en-US"/>
        </w:rPr>
        <w:tab/>
      </w:r>
      <w:hyperlink r:id="rId522" w:history="1">
        <w:r w:rsidR="00D301C6" w:rsidRPr="00E21F93">
          <w:rPr>
            <w:rStyle w:val="Hyperlink"/>
            <w:lang w:val="en-US"/>
          </w:rPr>
          <w:t>https://www.infobae.com/america/agencias/2020/06/02/manifestantes-marchan-en-buenos-aires-por-la-muerte-de-george-floyd-en-eeuu/</w:t>
        </w:r>
      </w:hyperlink>
      <w:r w:rsidR="00BF73AB" w:rsidRPr="00E21F93">
        <w:rPr>
          <w:rStyle w:val="Hyperlink"/>
          <w:lang w:val="en-US"/>
        </w:rPr>
        <w:t> </w:t>
      </w:r>
      <w:r w:rsidR="00BF73AB" w:rsidRPr="00E21F93">
        <w:rPr>
          <w:rStyle w:val="Hyperlink"/>
          <w:color w:val="auto"/>
          <w:lang w:val="en-US"/>
        </w:rPr>
        <w:t>;</w:t>
      </w:r>
      <w:r w:rsidR="00D301C6" w:rsidRPr="00E21F93">
        <w:rPr>
          <w:lang w:val="en-US"/>
        </w:rPr>
        <w:t xml:space="preserve"> </w:t>
      </w:r>
      <w:hyperlink r:id="rId523" w:history="1">
        <w:r w:rsidR="00D301C6" w:rsidRPr="00E21F93">
          <w:rPr>
            <w:rStyle w:val="Hyperlink"/>
            <w:lang w:val="en-US"/>
          </w:rPr>
          <w:t>https://www.lanacion.com.ar/politica/muerte-george-floyd-izquierda-marcha-camara-comercio-nid2372659</w:t>
        </w:r>
      </w:hyperlink>
      <w:r w:rsidR="00D301C6" w:rsidRPr="00E21F93">
        <w:rPr>
          <w:rStyle w:val="Hyperlink"/>
          <w:lang w:val="en-US"/>
        </w:rPr>
        <w:t>.</w:t>
      </w:r>
    </w:p>
  </w:footnote>
  <w:footnote w:id="489">
    <w:p w14:paraId="59346303" w14:textId="6C8A6CB0" w:rsidR="00D301C6" w:rsidRPr="00E21F93" w:rsidRDefault="00D233E2" w:rsidP="005B4367">
      <w:pPr>
        <w:pStyle w:val="FootnoteText"/>
        <w:rPr>
          <w:lang w:val="en-US"/>
        </w:rPr>
      </w:pPr>
      <w:r w:rsidRPr="00E21F93">
        <w:rPr>
          <w:lang w:val="en-US"/>
        </w:rPr>
        <w:tab/>
      </w:r>
      <w:r w:rsidRPr="00093AC5">
        <w:rPr>
          <w:rStyle w:val="FootnoteReference"/>
        </w:rPr>
        <w:footnoteRef/>
      </w:r>
      <w:r w:rsidRPr="00E21F93">
        <w:rPr>
          <w:lang w:val="en-US"/>
        </w:rPr>
        <w:tab/>
      </w:r>
      <w:r w:rsidR="00D301C6" w:rsidRPr="00E21F93">
        <w:rPr>
          <w:lang w:val="en-US"/>
        </w:rPr>
        <w:t>Communication de l</w:t>
      </w:r>
      <w:r w:rsidR="00F60EAA" w:rsidRPr="00E21F93">
        <w:rPr>
          <w:lang w:val="en-US"/>
        </w:rPr>
        <w:t>’</w:t>
      </w:r>
      <w:r w:rsidR="00D301C6" w:rsidRPr="00E21F93">
        <w:rPr>
          <w:lang w:val="en-US"/>
        </w:rPr>
        <w:t>International Network of Civil Liberties Organisations (INCLO)</w:t>
      </w:r>
      <w:r w:rsidR="00BF73AB" w:rsidRPr="00E21F93">
        <w:rPr>
          <w:lang w:val="en-US"/>
        </w:rPr>
        <w:t> ;</w:t>
      </w:r>
      <w:r w:rsidR="00D301C6" w:rsidRPr="00E21F93">
        <w:rPr>
          <w:lang w:val="en-US"/>
        </w:rPr>
        <w:t xml:space="preserve"> </w:t>
      </w:r>
      <w:hyperlink r:id="rId524" w:history="1">
        <w:r w:rsidR="00D301C6" w:rsidRPr="00E21F93">
          <w:rPr>
            <w:rStyle w:val="Hyperlink"/>
            <w:lang w:val="en-US"/>
          </w:rPr>
          <w:t>https://covid19.inclo.net/2020/06/23/australia-isolated-anti-lockdown-protests-and-blm-solidarity-marches/</w:t>
        </w:r>
      </w:hyperlink>
      <w:r w:rsidR="00D301C6" w:rsidRPr="00E21F93">
        <w:rPr>
          <w:lang w:val="en-US"/>
        </w:rPr>
        <w:t>.</w:t>
      </w:r>
    </w:p>
  </w:footnote>
  <w:footnote w:id="490">
    <w:p w14:paraId="49C7541D" w14:textId="3AEB4B3B" w:rsidR="00D301C6" w:rsidRPr="00E21F93" w:rsidRDefault="00D233E2" w:rsidP="005B4367">
      <w:pPr>
        <w:pStyle w:val="FootnoteText"/>
        <w:rPr>
          <w:lang w:val="en-US"/>
        </w:rPr>
      </w:pPr>
      <w:r w:rsidRPr="00E21F93">
        <w:rPr>
          <w:lang w:val="en-US"/>
        </w:rPr>
        <w:tab/>
      </w:r>
      <w:r w:rsidRPr="00093AC5">
        <w:rPr>
          <w:rStyle w:val="FootnoteReference"/>
        </w:rPr>
        <w:footnoteRef/>
      </w:r>
      <w:r w:rsidRPr="00E21F93">
        <w:rPr>
          <w:lang w:val="en-US"/>
        </w:rPr>
        <w:tab/>
      </w:r>
      <w:hyperlink r:id="rId525" w:history="1">
        <w:r w:rsidR="00D301C6" w:rsidRPr="00E21F93">
          <w:rPr>
            <w:rStyle w:val="Hyperlink"/>
            <w:lang w:val="en-US"/>
          </w:rPr>
          <w:t>https://www.lesoir.be/312689/article/2020-07-11/manifestation-contre-le-racisme-et-les-violences-policieres-namur</w:t>
        </w:r>
      </w:hyperlink>
      <w:r w:rsidR="00BF73AB" w:rsidRPr="00E21F93">
        <w:rPr>
          <w:lang w:val="en-US"/>
        </w:rPr>
        <w:t> ;</w:t>
      </w:r>
      <w:r w:rsidR="00D301C6" w:rsidRPr="00E21F93">
        <w:rPr>
          <w:lang w:val="en-US"/>
        </w:rPr>
        <w:t xml:space="preserve"> </w:t>
      </w:r>
      <w:hyperlink r:id="rId526" w:history="1">
        <w:r w:rsidR="00D301C6" w:rsidRPr="00E21F93">
          <w:rPr>
            <w:rStyle w:val="Hyperlink"/>
            <w:lang w:val="en-US"/>
          </w:rPr>
          <w:t>https://www.euronews.com/2020/06/08/10-000-black-lives-matters-protesters-take-to-streets-of-brussels</w:t>
        </w:r>
      </w:hyperlink>
      <w:hyperlink r:id="rId527" w:history="1">
        <w:r w:rsidR="00D301C6" w:rsidRPr="00E21F93">
          <w:rPr>
            <w:rStyle w:val="Hyperlink"/>
            <w:lang w:val="en-US"/>
          </w:rPr>
          <w:t>l</w:t>
        </w:r>
      </w:hyperlink>
      <w:r w:rsidR="00D301C6" w:rsidRPr="00E21F93">
        <w:rPr>
          <w:rStyle w:val="Hyperlink"/>
          <w:lang w:val="en-US"/>
        </w:rPr>
        <w:t>.</w:t>
      </w:r>
    </w:p>
  </w:footnote>
  <w:footnote w:id="491">
    <w:p w14:paraId="7EF2B732" w14:textId="5B5A1EE8" w:rsidR="00D301C6" w:rsidRPr="00BE27D5" w:rsidRDefault="00D233E2" w:rsidP="00BE27D5">
      <w:pPr>
        <w:pStyle w:val="FootnoteText"/>
        <w:suppressAutoHyphens w:val="0"/>
        <w:rPr>
          <w:lang w:val="en-US"/>
        </w:rPr>
      </w:pPr>
      <w:r w:rsidRPr="00E21F93">
        <w:rPr>
          <w:lang w:val="en-US"/>
        </w:rPr>
        <w:tab/>
      </w:r>
      <w:r w:rsidRPr="00093AC5">
        <w:rPr>
          <w:rStyle w:val="FootnoteReference"/>
        </w:rPr>
        <w:footnoteRef/>
      </w:r>
      <w:r w:rsidRPr="00E21F93">
        <w:rPr>
          <w:lang w:val="en-US"/>
        </w:rPr>
        <w:tab/>
      </w:r>
      <w:r w:rsidR="00D301C6" w:rsidRPr="00E21F93">
        <w:rPr>
          <w:lang w:val="en-US"/>
        </w:rPr>
        <w:t xml:space="preserve">Communication du Black Legal Action Center. </w:t>
      </w:r>
      <w:r w:rsidR="00D301C6" w:rsidRPr="00BE27D5">
        <w:rPr>
          <w:lang w:val="en-US"/>
        </w:rPr>
        <w:t xml:space="preserve">Voir également </w:t>
      </w:r>
      <w:hyperlink r:id="rId528" w:history="1">
        <w:r w:rsidR="00D301C6" w:rsidRPr="00BE27D5">
          <w:rPr>
            <w:rStyle w:val="Hyperlink"/>
            <w:lang w:val="en-US"/>
          </w:rPr>
          <w:t>https://covid19.inclo.net/2020/06/23/</w:t>
        </w:r>
        <w:r w:rsidR="00BE27D5" w:rsidRPr="00BE27D5">
          <w:rPr>
            <w:rStyle w:val="Hyperlink"/>
            <w:lang w:val="en-US"/>
          </w:rPr>
          <w:t xml:space="preserve"> </w:t>
        </w:r>
        <w:r w:rsidR="00D301C6" w:rsidRPr="00BE27D5">
          <w:rPr>
            <w:rStyle w:val="Hyperlink"/>
            <w:lang w:val="en-US"/>
          </w:rPr>
          <w:t>canada-anti-lockdown-protests-and-anti-racism-marches/</w:t>
        </w:r>
      </w:hyperlink>
      <w:r w:rsidR="00BF73AB" w:rsidRPr="00BE27D5">
        <w:rPr>
          <w:rStyle w:val="Hyperlink"/>
          <w:lang w:val="en-US"/>
        </w:rPr>
        <w:t> </w:t>
      </w:r>
      <w:r w:rsidR="00BF73AB" w:rsidRPr="00BE27D5">
        <w:rPr>
          <w:rStyle w:val="Hyperlink"/>
          <w:color w:val="auto"/>
          <w:lang w:val="en-US"/>
        </w:rPr>
        <w:t>;</w:t>
      </w:r>
      <w:r w:rsidR="00D301C6" w:rsidRPr="00BE27D5">
        <w:rPr>
          <w:lang w:val="en-US"/>
        </w:rPr>
        <w:t xml:space="preserve"> </w:t>
      </w:r>
      <w:hyperlink r:id="rId529" w:history="1">
        <w:r w:rsidR="00D301C6" w:rsidRPr="00BE27D5">
          <w:rPr>
            <w:rStyle w:val="Hyperlink"/>
            <w:lang w:val="en-US"/>
          </w:rPr>
          <w:t>https://monitor.civicus.org/updates/2020/</w:t>
        </w:r>
        <w:r w:rsidR="00BE27D5">
          <w:rPr>
            <w:rStyle w:val="Hyperlink"/>
            <w:lang w:val="en-US"/>
          </w:rPr>
          <w:t xml:space="preserve"> </w:t>
        </w:r>
        <w:r w:rsidR="00D301C6" w:rsidRPr="00BE27D5">
          <w:rPr>
            <w:rStyle w:val="Hyperlink"/>
            <w:lang w:val="en-US"/>
          </w:rPr>
          <w:t>07/20/protests-against-police-brutality-and-harassment-black-and-first-nations-people-across-canada/</w:t>
        </w:r>
      </w:hyperlink>
      <w:r w:rsidR="00BF73AB" w:rsidRPr="00BE27D5">
        <w:rPr>
          <w:rStyle w:val="Hyperlink"/>
          <w:lang w:val="en-US"/>
        </w:rPr>
        <w:t> </w:t>
      </w:r>
      <w:r w:rsidR="00BF73AB" w:rsidRPr="00BE27D5">
        <w:rPr>
          <w:rStyle w:val="Hyperlink"/>
          <w:color w:val="auto"/>
          <w:lang w:val="en-US"/>
        </w:rPr>
        <w:t>;</w:t>
      </w:r>
      <w:r w:rsidR="00D301C6" w:rsidRPr="00BE27D5">
        <w:rPr>
          <w:lang w:val="en-US"/>
        </w:rPr>
        <w:t xml:space="preserve"> </w:t>
      </w:r>
      <w:hyperlink r:id="rId530" w:history="1">
        <w:r w:rsidR="00D301C6" w:rsidRPr="00BE27D5">
          <w:rPr>
            <w:rStyle w:val="Hyperlink"/>
            <w:lang w:val="en-US"/>
          </w:rPr>
          <w:t>https://www.cbc.ca/news/canada/ottawa/ottawa-no-peace-until-justice-1.5600508</w:t>
        </w:r>
      </w:hyperlink>
      <w:r w:rsidR="00BF73AB" w:rsidRPr="00BE27D5">
        <w:rPr>
          <w:rStyle w:val="Hyperlink"/>
          <w:lang w:val="en-US"/>
        </w:rPr>
        <w:t> </w:t>
      </w:r>
      <w:r w:rsidR="00BF73AB" w:rsidRPr="00BE27D5">
        <w:rPr>
          <w:rStyle w:val="Hyperlink"/>
          <w:color w:val="auto"/>
          <w:lang w:val="en-US"/>
        </w:rPr>
        <w:t>;</w:t>
      </w:r>
      <w:r w:rsidR="00D301C6" w:rsidRPr="00BE27D5">
        <w:rPr>
          <w:lang w:val="en-US"/>
        </w:rPr>
        <w:t xml:space="preserve"> </w:t>
      </w:r>
      <w:hyperlink r:id="rId531" w:history="1">
        <w:r w:rsidR="00D301C6" w:rsidRPr="00BE27D5">
          <w:rPr>
            <w:rStyle w:val="Hyperlink"/>
            <w:lang w:val="en-US"/>
          </w:rPr>
          <w:t>https://www.cbc.ca/news/canada/toronto/toronto-protests-anti-racism-1.5599966</w:t>
        </w:r>
      </w:hyperlink>
      <w:r w:rsidR="00BF73AB" w:rsidRPr="00BE27D5">
        <w:rPr>
          <w:rStyle w:val="Hyperlink"/>
          <w:lang w:val="en-US"/>
        </w:rPr>
        <w:t> </w:t>
      </w:r>
      <w:r w:rsidR="00BF73AB" w:rsidRPr="00BE27D5">
        <w:rPr>
          <w:rStyle w:val="Hyperlink"/>
          <w:color w:val="auto"/>
          <w:lang w:val="en-US"/>
        </w:rPr>
        <w:t>;</w:t>
      </w:r>
      <w:r w:rsidR="00D301C6" w:rsidRPr="00BE27D5">
        <w:rPr>
          <w:lang w:val="en-US"/>
        </w:rPr>
        <w:t xml:space="preserve"> </w:t>
      </w:r>
      <w:hyperlink r:id="rId532" w:history="1">
        <w:r w:rsidR="00D301C6" w:rsidRPr="00BE27D5">
          <w:rPr>
            <w:rStyle w:val="Hyperlink"/>
            <w:lang w:val="en-US"/>
          </w:rPr>
          <w:t>https://www.cbc.ca/news/canada/nova-scotia/hundreds-gather-for-black-lives-matter-vigil-in-halifax-1.5600768</w:t>
        </w:r>
      </w:hyperlink>
      <w:r w:rsidR="00E432DA" w:rsidRPr="00E432DA">
        <w:rPr>
          <w:lang w:val="en-US"/>
        </w:rPr>
        <w:t> ;</w:t>
      </w:r>
      <w:r w:rsidR="00D301C6" w:rsidRPr="00BE27D5">
        <w:rPr>
          <w:lang w:val="en-US"/>
        </w:rPr>
        <w:t xml:space="preserve"> </w:t>
      </w:r>
      <w:hyperlink r:id="rId533" w:history="1">
        <w:r w:rsidR="00D301C6" w:rsidRPr="00BE27D5">
          <w:rPr>
            <w:rStyle w:val="Hyperlink"/>
            <w:lang w:val="en-US"/>
          </w:rPr>
          <w:t>https://www.cbc.ca/news/canada/toronto/protest-toronto-regis-korchinski-paquet-1.5591745</w:t>
        </w:r>
      </w:hyperlink>
      <w:r w:rsidR="00D301C6" w:rsidRPr="00BE27D5">
        <w:rPr>
          <w:rStyle w:val="Hyperlink"/>
          <w:lang w:val="en-US"/>
        </w:rPr>
        <w:t>.</w:t>
      </w:r>
    </w:p>
  </w:footnote>
  <w:footnote w:id="492">
    <w:p w14:paraId="406AF120" w14:textId="2D7240ED" w:rsidR="00D301C6" w:rsidRPr="00E432DA" w:rsidRDefault="00D233E2" w:rsidP="005B4367">
      <w:pPr>
        <w:pStyle w:val="FootnoteText"/>
      </w:pPr>
      <w:r w:rsidRPr="00BE27D5">
        <w:rPr>
          <w:lang w:val="en-US"/>
        </w:rPr>
        <w:tab/>
      </w:r>
      <w:r w:rsidRPr="00093AC5">
        <w:rPr>
          <w:rStyle w:val="FootnoteReference"/>
        </w:rPr>
        <w:footnoteRef/>
      </w:r>
      <w:r w:rsidRPr="00E432DA">
        <w:tab/>
      </w:r>
      <w:r w:rsidR="00D301C6" w:rsidRPr="00E432DA">
        <w:t xml:space="preserve">Voir, par exemple, </w:t>
      </w:r>
      <w:hyperlink r:id="rId534" w:history="1">
        <w:r w:rsidR="00D301C6" w:rsidRPr="00E432DA">
          <w:rPr>
            <w:rStyle w:val="Hyperlink"/>
          </w:rPr>
          <w:t>https://www.efe.com/efe/america/sociedad/un-acto-contra-el-racismo-en-santo-domingo-termina-de-forma-abrupta-e-incidentada/20000013-4267306</w:t>
        </w:r>
      </w:hyperlink>
      <w:r w:rsidR="00BF73AB" w:rsidRPr="00E432DA">
        <w:rPr>
          <w:rStyle w:val="Hyperlink"/>
        </w:rPr>
        <w:t> </w:t>
      </w:r>
      <w:r w:rsidR="00BF73AB" w:rsidRPr="00E432DA">
        <w:rPr>
          <w:rStyle w:val="Hyperlink"/>
          <w:color w:val="auto"/>
        </w:rPr>
        <w:t>;</w:t>
      </w:r>
      <w:r w:rsidR="00D301C6" w:rsidRPr="00E432DA">
        <w:t xml:space="preserve"> </w:t>
      </w:r>
      <w:r w:rsidR="00D301C6" w:rsidRPr="00E432DA">
        <w:rPr>
          <w:rStyle w:val="Hyperlink"/>
        </w:rPr>
        <w:t>https://www.theguardian.com/world/2020/jun/15/dominican-republic-haiti-racism-election-protest.</w:t>
      </w:r>
    </w:p>
  </w:footnote>
  <w:footnote w:id="493">
    <w:p w14:paraId="61B12B1F" w14:textId="044A005A" w:rsidR="00D301C6" w:rsidRPr="00D10EF8" w:rsidRDefault="00D233E2" w:rsidP="005B4367">
      <w:pPr>
        <w:pStyle w:val="FootnoteText"/>
      </w:pPr>
      <w:r w:rsidRPr="00E432DA">
        <w:tab/>
      </w:r>
      <w:r w:rsidRPr="00093AC5">
        <w:rPr>
          <w:rStyle w:val="FootnoteReference"/>
        </w:rPr>
        <w:footnoteRef/>
      </w:r>
      <w:r w:rsidRPr="00D10EF8">
        <w:tab/>
      </w:r>
      <w:r w:rsidR="00D301C6" w:rsidRPr="00D10EF8">
        <w:t xml:space="preserve">Voir, par exemple, </w:t>
      </w:r>
      <w:hyperlink r:id="rId535" w:history="1">
        <w:r w:rsidR="00D301C6" w:rsidRPr="00D10EF8">
          <w:rPr>
            <w:rStyle w:val="Hyperlink"/>
            <w:lang w:val="fr-FR"/>
          </w:rPr>
          <w:t>https://www.euronews.com/2020/06/14/anti-racism-activists-form-9-kms-socially-distant-human-chain-in-berlin</w:t>
        </w:r>
      </w:hyperlink>
      <w:r w:rsidR="00BF73AB">
        <w:rPr>
          <w:rStyle w:val="Hyperlink"/>
          <w:lang w:val="fr-FR"/>
        </w:rPr>
        <w:t> </w:t>
      </w:r>
      <w:r w:rsidR="00BF73AB" w:rsidRPr="00E432DA">
        <w:rPr>
          <w:rStyle w:val="Hyperlink"/>
          <w:color w:val="auto"/>
          <w:lang w:val="fr-FR"/>
        </w:rPr>
        <w:t>;</w:t>
      </w:r>
      <w:r w:rsidR="00D301C6" w:rsidRPr="00D10EF8">
        <w:t xml:space="preserve"> </w:t>
      </w:r>
      <w:hyperlink r:id="rId536" w:history="1">
        <w:r w:rsidR="00D301C6" w:rsidRPr="00D10EF8">
          <w:rPr>
            <w:rStyle w:val="Hyperlink"/>
            <w:lang w:val="fr-FR"/>
          </w:rPr>
          <w:t>https://www.dw.com/en/germany-thousands-attend-anti-racism-protests-honoring-george-floyd/a-53700909</w:t>
        </w:r>
      </w:hyperlink>
      <w:r w:rsidR="00BF73AB" w:rsidRPr="00E432DA">
        <w:rPr>
          <w:rStyle w:val="Hyperlink"/>
          <w:color w:val="auto"/>
          <w:lang w:val="fr-FR"/>
        </w:rPr>
        <w:t> ;</w:t>
      </w:r>
      <w:r w:rsidR="00D301C6" w:rsidRPr="00D10EF8">
        <w:t xml:space="preserve"> </w:t>
      </w:r>
      <w:hyperlink r:id="rId537" w:history="1">
        <w:r w:rsidR="00D301C6" w:rsidRPr="00D10EF8">
          <w:rPr>
            <w:rStyle w:val="Hyperlink"/>
            <w:lang w:val="fr-FR"/>
          </w:rPr>
          <w:t>https://monitor.civicus.org/updates/2020/07/09/court-finds-german-mass-surveillance-law-disregards-press-freedom-large-turnout-blm-protests/</w:t>
        </w:r>
      </w:hyperlink>
      <w:r w:rsidR="00D301C6" w:rsidRPr="00D10EF8">
        <w:t>.</w:t>
      </w:r>
    </w:p>
  </w:footnote>
  <w:footnote w:id="494">
    <w:p w14:paraId="64D01D93" w14:textId="196E1F3A" w:rsidR="00D301C6" w:rsidRPr="008E2CA5" w:rsidRDefault="00D233E2" w:rsidP="008E2CA5">
      <w:pPr>
        <w:pStyle w:val="FootnoteText"/>
        <w:suppressAutoHyphens w:val="0"/>
        <w:rPr>
          <w:lang w:val="en-US"/>
        </w:rPr>
      </w:pPr>
      <w:r w:rsidRPr="00D10EF8">
        <w:tab/>
      </w:r>
      <w:r w:rsidRPr="00093AC5">
        <w:rPr>
          <w:rStyle w:val="FootnoteReference"/>
        </w:rPr>
        <w:footnoteRef/>
      </w:r>
      <w:r w:rsidRPr="008E2CA5">
        <w:rPr>
          <w:lang w:val="en-US"/>
        </w:rPr>
        <w:tab/>
      </w:r>
      <w:r w:rsidR="00D301C6" w:rsidRPr="008E2CA5">
        <w:rPr>
          <w:lang w:val="en-US"/>
        </w:rPr>
        <w:t xml:space="preserve">Voir, par exemple, </w:t>
      </w:r>
      <w:hyperlink r:id="rId538" w:history="1">
        <w:r w:rsidR="00D301C6" w:rsidRPr="008E2CA5">
          <w:rPr>
            <w:rStyle w:val="Hyperlink"/>
            <w:lang w:val="en-US"/>
          </w:rPr>
          <w:t>https://www.nytimes.com/2020/07/01/world/asia/japan-racism-black-lives-matter.html</w:t>
        </w:r>
      </w:hyperlink>
      <w:r w:rsidR="00BF73AB" w:rsidRPr="008E2CA5">
        <w:rPr>
          <w:rStyle w:val="Hyperlink"/>
          <w:lang w:val="en-US"/>
        </w:rPr>
        <w:t> </w:t>
      </w:r>
      <w:r w:rsidR="00BF73AB" w:rsidRPr="008E2CA5">
        <w:rPr>
          <w:rStyle w:val="Hyperlink"/>
          <w:color w:val="auto"/>
          <w:lang w:val="en-US"/>
        </w:rPr>
        <w:t>;</w:t>
      </w:r>
      <w:r w:rsidR="00D301C6" w:rsidRPr="008E2CA5">
        <w:rPr>
          <w:rStyle w:val="Hyperlink"/>
          <w:lang w:val="en-US"/>
        </w:rPr>
        <w:t xml:space="preserve"> </w:t>
      </w:r>
      <w:hyperlink r:id="rId539" w:history="1">
        <w:r w:rsidR="00D301C6" w:rsidRPr="008E2CA5">
          <w:rPr>
            <w:rStyle w:val="Hyperlink"/>
            <w:lang w:val="en-US"/>
          </w:rPr>
          <w:t>https://thediplomat.com/2020/06/japan-holds-anti-racism-rally-protesting-homegrown-police-brutality-in-solidarity-with-black-lives-matter/</w:t>
        </w:r>
      </w:hyperlink>
      <w:r w:rsidR="00BF73AB" w:rsidRPr="008E2CA5">
        <w:rPr>
          <w:rStyle w:val="Hyperlink"/>
          <w:lang w:val="en-US"/>
        </w:rPr>
        <w:t> </w:t>
      </w:r>
      <w:r w:rsidR="00BF73AB" w:rsidRPr="008E2CA5">
        <w:rPr>
          <w:rStyle w:val="Hyperlink"/>
          <w:color w:val="auto"/>
          <w:lang w:val="en-US"/>
        </w:rPr>
        <w:t>;</w:t>
      </w:r>
      <w:r w:rsidR="00D301C6" w:rsidRPr="008E2CA5">
        <w:rPr>
          <w:rStyle w:val="Hyperlink"/>
          <w:color w:val="auto"/>
          <w:lang w:val="en-US"/>
        </w:rPr>
        <w:t xml:space="preserve"> </w:t>
      </w:r>
      <w:r w:rsidR="00D301C6" w:rsidRPr="008E2CA5">
        <w:rPr>
          <w:rStyle w:val="Hyperlink"/>
          <w:lang w:val="en-US"/>
        </w:rPr>
        <w:t>https://monitor.civicus.org/updates/2020/08/</w:t>
      </w:r>
      <w:r w:rsidR="008E2CA5">
        <w:rPr>
          <w:rStyle w:val="Hyperlink"/>
          <w:lang w:val="en-US"/>
        </w:rPr>
        <w:t xml:space="preserve"> </w:t>
      </w:r>
      <w:r w:rsidR="00D301C6" w:rsidRPr="008E2CA5">
        <w:rPr>
          <w:rStyle w:val="Hyperlink"/>
          <w:lang w:val="en-US"/>
        </w:rPr>
        <w:t>27/activist-groups-japan-call-end-racism-police-abuse-and-passage-equality-law/.</w:t>
      </w:r>
    </w:p>
  </w:footnote>
  <w:footnote w:id="495">
    <w:p w14:paraId="1F0B7E06" w14:textId="509BFFDF" w:rsidR="00D301C6" w:rsidRPr="008E2CA5" w:rsidRDefault="00D233E2" w:rsidP="005B4367">
      <w:pPr>
        <w:pStyle w:val="FootnoteText"/>
        <w:rPr>
          <w:lang w:val="es-ES"/>
        </w:rPr>
      </w:pPr>
      <w:r w:rsidRPr="008E2CA5">
        <w:rPr>
          <w:lang w:val="en-US"/>
        </w:rPr>
        <w:tab/>
      </w:r>
      <w:r w:rsidRPr="00093AC5">
        <w:rPr>
          <w:rStyle w:val="FootnoteReference"/>
        </w:rPr>
        <w:footnoteRef/>
      </w:r>
      <w:r w:rsidRPr="00D10EF8">
        <w:tab/>
      </w:r>
      <w:r w:rsidR="008E2CA5">
        <w:t>L</w:t>
      </w:r>
      <w:r w:rsidR="00D301C6" w:rsidRPr="00D10EF8">
        <w:t xml:space="preserve">ien avec le décès de Giovanni López. </w:t>
      </w:r>
      <w:r w:rsidR="00D301C6" w:rsidRPr="008E2CA5">
        <w:rPr>
          <w:lang w:val="es-ES"/>
        </w:rPr>
        <w:t xml:space="preserve">Par exemple, </w:t>
      </w:r>
      <w:hyperlink r:id="rId540" w:history="1">
        <w:r w:rsidR="00D301C6" w:rsidRPr="008E2CA5">
          <w:rPr>
            <w:rStyle w:val="Hyperlink"/>
            <w:lang w:val="es-ES"/>
          </w:rPr>
          <w:t>https://hchr.org.mx/comunicados/la-onu-dh-condena-la-muerte-en-custodia-de-alejandro-giovanni-lopez-ramirez-en-jalisco/</w:t>
        </w:r>
      </w:hyperlink>
      <w:r w:rsidR="00BF73AB" w:rsidRPr="008E2CA5">
        <w:rPr>
          <w:rStyle w:val="Hyperlink"/>
          <w:lang w:val="es-ES"/>
        </w:rPr>
        <w:t> </w:t>
      </w:r>
      <w:r w:rsidR="00BF73AB" w:rsidRPr="008E2CA5">
        <w:rPr>
          <w:rStyle w:val="Hyperlink"/>
          <w:color w:val="auto"/>
          <w:lang w:val="es-ES"/>
        </w:rPr>
        <w:t>;</w:t>
      </w:r>
      <w:r w:rsidR="00D301C6" w:rsidRPr="008E2CA5">
        <w:rPr>
          <w:lang w:val="es-ES"/>
        </w:rPr>
        <w:t xml:space="preserve"> </w:t>
      </w:r>
      <w:hyperlink r:id="rId541" w:history="1">
        <w:r w:rsidR="00D301C6" w:rsidRPr="008E2CA5">
          <w:rPr>
            <w:rStyle w:val="Hyperlink"/>
            <w:lang w:val="es-ES"/>
          </w:rPr>
          <w:t>https://www.bbc.com/mundo/noticias-52935685</w:t>
        </w:r>
      </w:hyperlink>
      <w:r w:rsidR="00BF73AB" w:rsidRPr="008E2CA5">
        <w:rPr>
          <w:rStyle w:val="Hyperlink"/>
          <w:lang w:val="es-ES"/>
        </w:rPr>
        <w:t> </w:t>
      </w:r>
      <w:r w:rsidR="00BF73AB" w:rsidRPr="008E2CA5">
        <w:rPr>
          <w:rStyle w:val="Hyperlink"/>
          <w:color w:val="auto"/>
          <w:lang w:val="es-ES"/>
        </w:rPr>
        <w:t>;</w:t>
      </w:r>
      <w:r w:rsidR="00D301C6" w:rsidRPr="008E2CA5">
        <w:rPr>
          <w:lang w:val="es-ES"/>
        </w:rPr>
        <w:t xml:space="preserve"> </w:t>
      </w:r>
      <w:hyperlink r:id="rId542" w:history="1">
        <w:r w:rsidR="00D301C6" w:rsidRPr="008E2CA5">
          <w:rPr>
            <w:rStyle w:val="Hyperlink"/>
            <w:lang w:val="es-ES"/>
          </w:rPr>
          <w:t>https://www.elperiodico.com/es/internacional/</w:t>
        </w:r>
        <w:r w:rsidR="008E2CA5">
          <w:rPr>
            <w:rStyle w:val="Hyperlink"/>
            <w:lang w:val="es-ES"/>
          </w:rPr>
          <w:t xml:space="preserve"> </w:t>
        </w:r>
        <w:r w:rsidR="00D301C6" w:rsidRPr="008E2CA5">
          <w:rPr>
            <w:rStyle w:val="Hyperlink"/>
            <w:lang w:val="es-ES"/>
          </w:rPr>
          <w:t>20200606/protestas-sacuden-mexico-tras-muerte-giovanni-lopez-bajo-custodia-policial-7989373</w:t>
        </w:r>
      </w:hyperlink>
      <w:r w:rsidR="00D301C6" w:rsidRPr="008E2CA5">
        <w:rPr>
          <w:rStyle w:val="Hyperlink"/>
          <w:lang w:val="es-ES"/>
        </w:rPr>
        <w:t>.</w:t>
      </w:r>
    </w:p>
  </w:footnote>
  <w:footnote w:id="496">
    <w:p w14:paraId="16EE7C0E" w14:textId="22978B51" w:rsidR="00D301C6" w:rsidRPr="00D10EF8" w:rsidRDefault="00D233E2" w:rsidP="005B4367">
      <w:pPr>
        <w:pStyle w:val="FootnoteText"/>
      </w:pPr>
      <w:r w:rsidRPr="008E2CA5">
        <w:rPr>
          <w:lang w:val="es-ES"/>
        </w:rPr>
        <w:tab/>
      </w:r>
      <w:r w:rsidRPr="00093AC5">
        <w:rPr>
          <w:rStyle w:val="FootnoteReference"/>
        </w:rPr>
        <w:footnoteRef/>
      </w:r>
      <w:r w:rsidRPr="00D10EF8">
        <w:tab/>
      </w:r>
      <w:r w:rsidR="00D301C6" w:rsidRPr="00D10EF8">
        <w:t xml:space="preserve">Voir, par exemple, </w:t>
      </w:r>
      <w:hyperlink r:id="rId543" w:history="1">
        <w:r w:rsidR="00D301C6" w:rsidRPr="00D10EF8">
          <w:rPr>
            <w:rStyle w:val="Hyperlink"/>
            <w:lang w:val="fr-FR"/>
          </w:rPr>
          <w:t>https://nltimes.nl/2020/06/03/amsterdam-mayor-wont-step-pledges-handle-large-crowds-better-future</w:t>
        </w:r>
      </w:hyperlink>
      <w:r w:rsidR="00BF73AB">
        <w:rPr>
          <w:rStyle w:val="Hyperlink"/>
          <w:lang w:val="fr-FR"/>
        </w:rPr>
        <w:t> </w:t>
      </w:r>
      <w:r w:rsidR="00BF73AB" w:rsidRPr="008E2CA5">
        <w:rPr>
          <w:rStyle w:val="Hyperlink"/>
          <w:color w:val="auto"/>
          <w:lang w:val="fr-FR"/>
        </w:rPr>
        <w:t>;</w:t>
      </w:r>
      <w:r w:rsidR="00D301C6" w:rsidRPr="00D10EF8">
        <w:t xml:space="preserve"> </w:t>
      </w:r>
      <w:hyperlink r:id="rId544" w:history="1">
        <w:r w:rsidR="00D301C6" w:rsidRPr="00D10EF8">
          <w:rPr>
            <w:rStyle w:val="Hyperlink"/>
            <w:lang w:val="fr-FR"/>
          </w:rPr>
          <w:t>https://nltimes.nl/2020/06/02/thousands-attend-black-lives-matter-rallies-keeping-physical-distance</w:t>
        </w:r>
      </w:hyperlink>
      <w:r w:rsidR="00BF73AB">
        <w:rPr>
          <w:rStyle w:val="Hyperlink"/>
          <w:lang w:val="fr-FR"/>
        </w:rPr>
        <w:t> </w:t>
      </w:r>
      <w:r w:rsidR="00BF73AB" w:rsidRPr="008E2CA5">
        <w:rPr>
          <w:rStyle w:val="Hyperlink"/>
          <w:color w:val="auto"/>
          <w:lang w:val="fr-FR"/>
        </w:rPr>
        <w:t>;</w:t>
      </w:r>
      <w:r w:rsidR="00D301C6" w:rsidRPr="00D10EF8">
        <w:rPr>
          <w:rStyle w:val="Hyperlink"/>
          <w:lang w:val="fr-FR"/>
        </w:rPr>
        <w:t xml:space="preserve"> </w:t>
      </w:r>
      <w:hyperlink r:id="rId545" w:history="1">
        <w:r w:rsidR="00D301C6" w:rsidRPr="00D10EF8">
          <w:rPr>
            <w:rStyle w:val="Hyperlink"/>
            <w:lang w:val="fr-FR"/>
          </w:rPr>
          <w:t>https://monitor.civicus.org/updates/2020/07/14/tension-between-right-protest-and-covid-19-measures-rises/</w:t>
        </w:r>
      </w:hyperlink>
      <w:r w:rsidR="00D301C6" w:rsidRPr="00D10EF8">
        <w:t>.</w:t>
      </w:r>
    </w:p>
  </w:footnote>
  <w:footnote w:id="497">
    <w:p w14:paraId="5619F0B0" w14:textId="4E04F5D3" w:rsidR="00D301C6" w:rsidRPr="00DA5E7E" w:rsidRDefault="00D233E2" w:rsidP="005B4367">
      <w:pPr>
        <w:pStyle w:val="FootnoteText"/>
        <w:rPr>
          <w:lang w:val="en-US"/>
        </w:rPr>
      </w:pPr>
      <w:r w:rsidRPr="00D10EF8">
        <w:tab/>
      </w:r>
      <w:r w:rsidRPr="00093AC5">
        <w:rPr>
          <w:rStyle w:val="FootnoteReference"/>
        </w:rPr>
        <w:footnoteRef/>
      </w:r>
      <w:r w:rsidRPr="00DA5E7E">
        <w:rPr>
          <w:lang w:val="en-US"/>
        </w:rPr>
        <w:tab/>
      </w:r>
      <w:r w:rsidR="00D301C6" w:rsidRPr="00DA5E7E">
        <w:rPr>
          <w:lang w:val="en-US"/>
        </w:rPr>
        <w:t>Communication de l</w:t>
      </w:r>
      <w:r w:rsidR="00F60EAA">
        <w:rPr>
          <w:lang w:val="en-US"/>
        </w:rPr>
        <w:t>’</w:t>
      </w:r>
      <w:r w:rsidR="00D301C6" w:rsidRPr="00DA5E7E">
        <w:rPr>
          <w:lang w:val="en-US"/>
        </w:rPr>
        <w:t>Access to Justice Knowledge Hub for Fair Participation</w:t>
      </w:r>
      <w:r w:rsidR="00BF73AB">
        <w:rPr>
          <w:lang w:val="en-US"/>
        </w:rPr>
        <w:t> ;</w:t>
      </w:r>
      <w:r w:rsidR="00D301C6" w:rsidRPr="00DA5E7E">
        <w:rPr>
          <w:lang w:val="en-US"/>
        </w:rPr>
        <w:t xml:space="preserve"> </w:t>
      </w:r>
      <w:hyperlink r:id="rId546" w:history="1">
        <w:r w:rsidR="00D301C6" w:rsidRPr="00813782">
          <w:rPr>
            <w:rStyle w:val="Hyperlink"/>
            <w:lang w:val="en-US"/>
          </w:rPr>
          <w:t>https://www.africanews.com/2020/06/04/black-lives-matter-protest-hits-south-africa/</w:t>
        </w:r>
      </w:hyperlink>
      <w:r w:rsidR="00D301C6" w:rsidRPr="00DA5E7E">
        <w:rPr>
          <w:lang w:val="en-US"/>
        </w:rPr>
        <w:t>.</w:t>
      </w:r>
    </w:p>
  </w:footnote>
  <w:footnote w:id="498">
    <w:p w14:paraId="3C337458" w14:textId="0103E7B9" w:rsidR="00D301C6" w:rsidRPr="00D10EF8" w:rsidRDefault="00D233E2" w:rsidP="005B4367">
      <w:pPr>
        <w:pStyle w:val="FootnoteText"/>
      </w:pPr>
      <w:r w:rsidRPr="00DA5E7E">
        <w:rPr>
          <w:lang w:val="en-US"/>
        </w:rPr>
        <w:tab/>
      </w:r>
      <w:r w:rsidRPr="00093AC5">
        <w:rPr>
          <w:rStyle w:val="FootnoteReference"/>
        </w:rPr>
        <w:footnoteRef/>
      </w:r>
      <w:r w:rsidRPr="00D10EF8">
        <w:tab/>
      </w:r>
      <w:r w:rsidR="00D301C6" w:rsidRPr="00D10EF8">
        <w:t xml:space="preserve">Voir, par exemple, </w:t>
      </w:r>
      <w:hyperlink r:id="rId547" w:history="1">
        <w:r w:rsidR="00D301C6" w:rsidRPr="00D10EF8">
          <w:rPr>
            <w:rStyle w:val="Hyperlink"/>
            <w:lang w:val="fr-FR"/>
          </w:rPr>
          <w:t>https://www.pri.org/stories/2020-06-08/america-s-blm-protests-find-solidarity-south-korea</w:t>
        </w:r>
      </w:hyperlink>
      <w:r w:rsidR="00D301C6" w:rsidRPr="00D10EF8">
        <w:rPr>
          <w:rStyle w:val="Hyperlink"/>
          <w:lang w:val="fr-FR"/>
        </w:rPr>
        <w:t>.</w:t>
      </w:r>
    </w:p>
  </w:footnote>
  <w:footnote w:id="499">
    <w:p w14:paraId="1D0316BB" w14:textId="4D52009D"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Voir, par exemple, </w:t>
      </w:r>
      <w:hyperlink r:id="rId548" w:history="1">
        <w:r w:rsidR="00D301C6" w:rsidRPr="00D10EF8">
          <w:rPr>
            <w:rStyle w:val="Hyperlink"/>
            <w:lang w:val="fr-FR"/>
          </w:rPr>
          <w:t>https://www.abc.es/espana/madrid/abci-criticas-doble-rasero-gobierno-manifestacion-contra-racismo-y-protestas-nunez-balboa-202006081202_noticia.html?</w:t>
        </w:r>
        <w:r w:rsidR="002B195C">
          <w:rPr>
            <w:rStyle w:val="Hyperlink"/>
            <w:lang w:val="fr-FR"/>
          </w:rPr>
          <w:t xml:space="preserve"> </w:t>
        </w:r>
        <w:r w:rsidR="00D301C6" w:rsidRPr="00D10EF8">
          <w:rPr>
            <w:rStyle w:val="Hyperlink"/>
            <w:lang w:val="fr-FR"/>
          </w:rPr>
          <w:t>ref=https:%2F%2Fwww.google.com%2F</w:t>
        </w:r>
      </w:hyperlink>
      <w:r w:rsidR="00BF73AB">
        <w:rPr>
          <w:rStyle w:val="Hyperlink"/>
          <w:lang w:val="fr-FR"/>
        </w:rPr>
        <w:t> </w:t>
      </w:r>
      <w:r w:rsidR="00BF73AB" w:rsidRPr="002B195C">
        <w:rPr>
          <w:rStyle w:val="Hyperlink"/>
          <w:color w:val="auto"/>
          <w:lang w:val="fr-FR"/>
        </w:rPr>
        <w:t>;</w:t>
      </w:r>
      <w:r w:rsidR="00D301C6" w:rsidRPr="002B195C">
        <w:rPr>
          <w:rStyle w:val="Hyperlink"/>
          <w:color w:val="auto"/>
          <w:lang w:val="fr-FR"/>
        </w:rPr>
        <w:t xml:space="preserve"> </w:t>
      </w:r>
      <w:r w:rsidR="00D301C6" w:rsidRPr="00D10EF8">
        <w:rPr>
          <w:rStyle w:val="Hyperlink"/>
          <w:lang w:val="fr-FR"/>
        </w:rPr>
        <w:t>https://www.elmundo.es/madrid/2020/06/07/</w:t>
      </w:r>
      <w:r w:rsidR="002B195C">
        <w:rPr>
          <w:rStyle w:val="Hyperlink"/>
          <w:lang w:val="fr-FR"/>
        </w:rPr>
        <w:t xml:space="preserve"> </w:t>
      </w:r>
      <w:r w:rsidR="00D301C6" w:rsidRPr="00D10EF8">
        <w:rPr>
          <w:rStyle w:val="Hyperlink"/>
          <w:lang w:val="fr-FR"/>
        </w:rPr>
        <w:t>5edcc55721efa0d5268b4667.html.</w:t>
      </w:r>
    </w:p>
  </w:footnote>
  <w:footnote w:id="500">
    <w:p w14:paraId="1A8BD7B5" w14:textId="4B16BF15"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Voir, par exemple,  </w:t>
      </w:r>
      <w:hyperlink r:id="rId549" w:history="1">
        <w:r w:rsidR="00D301C6" w:rsidRPr="00D10EF8">
          <w:rPr>
            <w:rStyle w:val="Hyperlink"/>
            <w:lang w:val="fr-FR"/>
          </w:rPr>
          <w:t>https://www.thehindu.com/news/international/concern-over-police-brutality-in-sri-lanka/article31798486.ece</w:t>
        </w:r>
      </w:hyperlink>
      <w:r w:rsidR="00D301C6" w:rsidRPr="00D10EF8">
        <w:t>.</w:t>
      </w:r>
    </w:p>
  </w:footnote>
  <w:footnote w:id="501">
    <w:p w14:paraId="01DEF115" w14:textId="5DEE5D20"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Voir, par exemple, </w:t>
      </w:r>
      <w:hyperlink r:id="rId550" w:history="1">
        <w:r w:rsidR="00D301C6" w:rsidRPr="00D10EF8">
          <w:rPr>
            <w:rStyle w:val="Hyperlink"/>
            <w:lang w:val="fr-FR"/>
          </w:rPr>
          <w:t>https://www.rts.ch/info/monde/11370418-george-floyd-reveille-la-memoire-des-violences-policieres-dans-le-monde.html</w:t>
        </w:r>
      </w:hyperlink>
      <w:r w:rsidR="00BF73AB">
        <w:rPr>
          <w:rStyle w:val="Hyperlink"/>
          <w:lang w:val="fr-FR"/>
        </w:rPr>
        <w:t> </w:t>
      </w:r>
      <w:r w:rsidR="00BF73AB" w:rsidRPr="002B195C">
        <w:rPr>
          <w:rStyle w:val="Hyperlink"/>
          <w:color w:val="auto"/>
          <w:lang w:val="fr-FR"/>
        </w:rPr>
        <w:t>;</w:t>
      </w:r>
      <w:r w:rsidR="00D301C6" w:rsidRPr="00D10EF8">
        <w:t xml:space="preserve"> </w:t>
      </w:r>
      <w:hyperlink r:id="rId551" w:history="1">
        <w:r w:rsidR="00D301C6" w:rsidRPr="00D10EF8">
          <w:rPr>
            <w:rStyle w:val="Hyperlink"/>
            <w:lang w:val="fr-FR"/>
          </w:rPr>
          <w:t>https://www.rts.ch/info/suisse/11398030-contre-le-racisme-des-manifestations-dans-plusieurs-villes-de-suisse.html</w:t>
        </w:r>
      </w:hyperlink>
      <w:r w:rsidR="00BF73AB">
        <w:rPr>
          <w:rStyle w:val="Hyperlink"/>
          <w:lang w:val="fr-FR"/>
        </w:rPr>
        <w:t> </w:t>
      </w:r>
      <w:r w:rsidR="00BF73AB" w:rsidRPr="002B195C">
        <w:rPr>
          <w:rStyle w:val="Hyperlink"/>
          <w:color w:val="auto"/>
          <w:lang w:val="fr-FR"/>
        </w:rPr>
        <w:t>;</w:t>
      </w:r>
      <w:r w:rsidR="00D301C6" w:rsidRPr="002B195C">
        <w:t xml:space="preserve"> </w:t>
      </w:r>
      <w:hyperlink r:id="rId552" w:history="1">
        <w:r w:rsidR="00D301C6" w:rsidRPr="00D10EF8">
          <w:rPr>
            <w:rStyle w:val="Hyperlink"/>
            <w:lang w:val="fr-FR"/>
          </w:rPr>
          <w:t>https://www.rts.ch/info/monde/</w:t>
        </w:r>
        <w:r w:rsidR="002B195C">
          <w:rPr>
            <w:rStyle w:val="Hyperlink"/>
            <w:lang w:val="fr-FR"/>
          </w:rPr>
          <w:t xml:space="preserve"> </w:t>
        </w:r>
        <w:r w:rsidR="00D301C6" w:rsidRPr="00D10EF8">
          <w:rPr>
            <w:rStyle w:val="Hyperlink"/>
            <w:lang w:val="fr-FR"/>
          </w:rPr>
          <w:t>11381085-plusieurs-milliers-de-manifestants-contre-le-racisme-a-lausanne.html</w:t>
        </w:r>
      </w:hyperlink>
      <w:r w:rsidR="00D301C6" w:rsidRPr="00D10EF8">
        <w:t>.</w:t>
      </w:r>
    </w:p>
  </w:footnote>
  <w:footnote w:id="502">
    <w:p w14:paraId="60D35A30" w14:textId="78B09F5A"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Voir, par exemple,  </w:t>
      </w:r>
      <w:hyperlink r:id="rId553" w:history="1">
        <w:r w:rsidR="00D301C6" w:rsidRPr="00D10EF8">
          <w:rPr>
            <w:rStyle w:val="Hyperlink"/>
            <w:lang w:val="fr-FR"/>
          </w:rPr>
          <w:t>https://monitor.civicus.org/updates/2020/08/17/Charges-against-HRD-Madi-Jobarteh-dropped-Gambia-closer-to-access-to-information-law/</w:t>
        </w:r>
      </w:hyperlink>
      <w:r w:rsidR="00D301C6" w:rsidRPr="00D10EF8">
        <w:t>.</w:t>
      </w:r>
    </w:p>
  </w:footnote>
  <w:footnote w:id="503">
    <w:p w14:paraId="2737E00C" w14:textId="52D318D8"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Voir, par exemple,  </w:t>
      </w:r>
      <w:hyperlink r:id="rId554" w:history="1">
        <w:r w:rsidR="00D301C6" w:rsidRPr="00D10EF8">
          <w:rPr>
            <w:rStyle w:val="Hyperlink"/>
            <w:lang w:val="fr-FR"/>
          </w:rPr>
          <w:t>https://www.straitstimes.com/asia/se-asia/thailand-holds-zoom-protest-for-black-lives-matter-movement</w:t>
        </w:r>
      </w:hyperlink>
      <w:r w:rsidR="00D301C6" w:rsidRPr="00D10EF8">
        <w:rPr>
          <w:rStyle w:val="Hyperlink"/>
          <w:lang w:val="fr-FR"/>
        </w:rPr>
        <w:t>.</w:t>
      </w:r>
    </w:p>
  </w:footnote>
  <w:footnote w:id="504">
    <w:p w14:paraId="259AF976" w14:textId="5BCF97DD" w:rsidR="00D301C6" w:rsidRPr="00D10EF8" w:rsidRDefault="00D233E2" w:rsidP="005B4367">
      <w:pPr>
        <w:pStyle w:val="FootnoteText"/>
      </w:pPr>
      <w:r w:rsidRPr="00D10EF8">
        <w:tab/>
      </w:r>
      <w:r w:rsidRPr="00093AC5">
        <w:rPr>
          <w:rStyle w:val="FootnoteReference"/>
        </w:rPr>
        <w:footnoteRef/>
      </w:r>
      <w:r w:rsidRPr="00D10EF8">
        <w:tab/>
      </w:r>
      <w:hyperlink r:id="rId555" w:history="1">
        <w:r w:rsidR="00D301C6" w:rsidRPr="00D10EF8">
          <w:rPr>
            <w:rStyle w:val="Hyperlink"/>
            <w:lang w:val="fr-FR"/>
          </w:rPr>
          <w:t>https://acleddata.com/2020/08/31/us-crisis-monitor-releases-full-data-for-summer-2020</w:t>
        </w:r>
      </w:hyperlink>
      <w:r w:rsidR="00D301C6" w:rsidRPr="00D10EF8">
        <w:t>.</w:t>
      </w:r>
    </w:p>
  </w:footnote>
  <w:footnote w:id="505">
    <w:p w14:paraId="4560FA2F" w14:textId="7BD64BC6" w:rsidR="00D301C6" w:rsidRPr="003C7980" w:rsidRDefault="00D233E2" w:rsidP="005B4367">
      <w:pPr>
        <w:pStyle w:val="FootnoteText"/>
        <w:rPr>
          <w:lang w:val="en-US"/>
        </w:rPr>
      </w:pPr>
      <w:r w:rsidRPr="00D10EF8">
        <w:tab/>
      </w:r>
      <w:r w:rsidRPr="00093AC5">
        <w:rPr>
          <w:rStyle w:val="FootnoteReference"/>
        </w:rPr>
        <w:footnoteRef/>
      </w:r>
      <w:r w:rsidRPr="003C7980">
        <w:rPr>
          <w:lang w:val="en-US"/>
        </w:rPr>
        <w:tab/>
      </w:r>
      <w:r w:rsidR="00D301C6" w:rsidRPr="003C7980">
        <w:rPr>
          <w:lang w:val="en-US"/>
        </w:rPr>
        <w:t>Communication du Black Legal Action Center</w:t>
      </w:r>
      <w:r w:rsidR="00BF73AB" w:rsidRPr="003C7980">
        <w:rPr>
          <w:lang w:val="en-US"/>
        </w:rPr>
        <w:t> ;</w:t>
      </w:r>
      <w:r w:rsidR="00D301C6" w:rsidRPr="003C7980">
        <w:rPr>
          <w:lang w:val="en-US"/>
        </w:rPr>
        <w:t xml:space="preserve"> </w:t>
      </w:r>
      <w:hyperlink r:id="rId556" w:history="1">
        <w:r w:rsidR="00D301C6" w:rsidRPr="003C7980">
          <w:rPr>
            <w:rStyle w:val="Hyperlink"/>
            <w:lang w:val="en-US"/>
          </w:rPr>
          <w:t>https://www.ohchr.org/EN/NewsEvents/Pages/</w:t>
        </w:r>
        <w:r w:rsidR="003C7980" w:rsidRPr="003C7980">
          <w:rPr>
            <w:rStyle w:val="Hyperlink"/>
            <w:lang w:val="en-US"/>
          </w:rPr>
          <w:t xml:space="preserve"> </w:t>
        </w:r>
        <w:r w:rsidR="00D301C6" w:rsidRPr="003C7980">
          <w:rPr>
            <w:rStyle w:val="Hyperlink"/>
            <w:lang w:val="en-US"/>
          </w:rPr>
          <w:t>DisplayNews.aspx?NewsID=25922&amp;LangID=E</w:t>
        </w:r>
      </w:hyperlink>
      <w:r w:rsidR="00BF73AB" w:rsidRPr="003C7980">
        <w:rPr>
          <w:rStyle w:val="Hyperlink"/>
          <w:lang w:val="en-US"/>
        </w:rPr>
        <w:t> </w:t>
      </w:r>
      <w:r w:rsidR="00BF73AB" w:rsidRPr="003C7980">
        <w:rPr>
          <w:rStyle w:val="Hyperlink"/>
          <w:color w:val="auto"/>
          <w:lang w:val="en-US"/>
        </w:rPr>
        <w:t>;</w:t>
      </w:r>
      <w:r w:rsidR="00D301C6" w:rsidRPr="003C7980">
        <w:rPr>
          <w:rStyle w:val="Hyperlink"/>
          <w:color w:val="auto"/>
          <w:lang w:val="en-US"/>
        </w:rPr>
        <w:t xml:space="preserve"> </w:t>
      </w:r>
      <w:hyperlink r:id="rId557" w:history="1">
        <w:r w:rsidR="00D301C6" w:rsidRPr="003C7980">
          <w:rPr>
            <w:rStyle w:val="Hyperlink"/>
            <w:lang w:val="en-US"/>
          </w:rPr>
          <w:t>https://www1.nyc.gov/assets/doi/reports/pdf/</w:t>
        </w:r>
        <w:r w:rsidR="003C7980" w:rsidRPr="003C7980">
          <w:rPr>
            <w:rStyle w:val="Hyperlink"/>
            <w:lang w:val="en-US"/>
          </w:rPr>
          <w:t xml:space="preserve"> </w:t>
        </w:r>
        <w:r w:rsidR="00D301C6" w:rsidRPr="003C7980">
          <w:rPr>
            <w:rStyle w:val="Hyperlink"/>
            <w:lang w:val="en-US"/>
          </w:rPr>
          <w:t>2020/DOIRpt.NYPD%20Reponse.%20GeorgeFloyd%20Protests.12.18.2020.pdf</w:t>
        </w:r>
      </w:hyperlink>
      <w:r w:rsidR="00D301C6" w:rsidRPr="003C7980">
        <w:rPr>
          <w:lang w:val="en-US"/>
        </w:rPr>
        <w:t xml:space="preserve">, </w:t>
      </w:r>
      <w:r w:rsidR="002A7FA1" w:rsidRPr="003C7980">
        <w:rPr>
          <w:lang w:val="en-US"/>
        </w:rPr>
        <w:t>p. </w:t>
      </w:r>
      <w:r w:rsidR="00D301C6" w:rsidRPr="003C7980">
        <w:rPr>
          <w:lang w:val="en-US"/>
        </w:rPr>
        <w:t>7</w:t>
      </w:r>
      <w:r w:rsidR="00BF73AB" w:rsidRPr="003C7980">
        <w:rPr>
          <w:lang w:val="en-US"/>
        </w:rPr>
        <w:t> ;</w:t>
      </w:r>
      <w:r w:rsidR="00D301C6" w:rsidRPr="003C7980">
        <w:rPr>
          <w:lang w:val="en-US"/>
        </w:rPr>
        <w:t xml:space="preserve"> </w:t>
      </w:r>
      <w:hyperlink r:id="rId558" w:history="1">
        <w:r w:rsidR="00D301C6" w:rsidRPr="003C7980">
          <w:rPr>
            <w:rStyle w:val="Hyperlink"/>
            <w:lang w:val="en-US"/>
          </w:rPr>
          <w:t>https://www.bbc.com/news/uk-england-london-52954899</w:t>
        </w:r>
      </w:hyperlink>
      <w:r w:rsidR="00BF73AB" w:rsidRPr="003C7980">
        <w:rPr>
          <w:rStyle w:val="Hyperlink"/>
          <w:lang w:val="en-US"/>
        </w:rPr>
        <w:t> </w:t>
      </w:r>
      <w:r w:rsidR="00BF73AB" w:rsidRPr="003C7980">
        <w:rPr>
          <w:rStyle w:val="Hyperlink"/>
          <w:color w:val="auto"/>
          <w:lang w:val="en-US"/>
        </w:rPr>
        <w:t>;</w:t>
      </w:r>
      <w:r w:rsidR="00D301C6" w:rsidRPr="003C7980">
        <w:rPr>
          <w:lang w:val="en-US"/>
        </w:rPr>
        <w:t xml:space="preserve"> </w:t>
      </w:r>
      <w:hyperlink r:id="rId559" w:history="1">
        <w:r w:rsidR="00D301C6" w:rsidRPr="003C7980">
          <w:rPr>
            <w:rStyle w:val="Hyperlink"/>
            <w:lang w:val="en-US"/>
          </w:rPr>
          <w:t>https://www.justice.gov/opa/pr/over-300-people-facing-federal-charges-crimes-committed-during-nationwide-demonstrations</w:t>
        </w:r>
      </w:hyperlink>
      <w:r w:rsidR="00D301C6" w:rsidRPr="003C7980">
        <w:rPr>
          <w:lang w:val="en-US"/>
        </w:rPr>
        <w:t>.</w:t>
      </w:r>
    </w:p>
  </w:footnote>
  <w:footnote w:id="506">
    <w:p w14:paraId="346AC081" w14:textId="3BC52B28" w:rsidR="00D301C6" w:rsidRPr="00E21F93" w:rsidRDefault="00D233E2" w:rsidP="005B4367">
      <w:pPr>
        <w:pStyle w:val="FootnoteText"/>
        <w:rPr>
          <w:lang w:val="en-US"/>
        </w:rPr>
      </w:pPr>
      <w:r w:rsidRPr="003C7980">
        <w:rPr>
          <w:lang w:val="en-US"/>
        </w:rPr>
        <w:tab/>
      </w:r>
      <w:r w:rsidRPr="00093AC5">
        <w:rPr>
          <w:rStyle w:val="FootnoteReference"/>
        </w:rPr>
        <w:footnoteRef/>
      </w:r>
      <w:r w:rsidRPr="00E21F93">
        <w:rPr>
          <w:lang w:val="en-US"/>
        </w:rPr>
        <w:tab/>
      </w:r>
      <w:hyperlink r:id="rId560" w:history="1">
        <w:r w:rsidR="00D301C6" w:rsidRPr="00E21F93">
          <w:rPr>
            <w:rStyle w:val="Hyperlink"/>
            <w:lang w:val="en-US"/>
          </w:rPr>
          <w:t>https://acleddata.com/2021/05/25/a-year-of-racial-justice-protests-key-trends-in-demonstrations-supporting-the-blm-movement/</w:t>
        </w:r>
      </w:hyperlink>
      <w:r w:rsidR="00D301C6" w:rsidRPr="00E21F93">
        <w:rPr>
          <w:rStyle w:val="Hyperlink"/>
          <w:lang w:val="en-US"/>
        </w:rPr>
        <w:t>.</w:t>
      </w:r>
    </w:p>
  </w:footnote>
  <w:footnote w:id="507">
    <w:p w14:paraId="7E67F01F" w14:textId="6DDD9CB3" w:rsidR="00D301C6" w:rsidRPr="00D10EF8" w:rsidRDefault="00D233E2" w:rsidP="005B4367">
      <w:pPr>
        <w:pStyle w:val="FootnoteText"/>
      </w:pPr>
      <w:r w:rsidRPr="00E21F93">
        <w:rPr>
          <w:lang w:val="en-US"/>
        </w:rPr>
        <w:tab/>
      </w:r>
      <w:r w:rsidRPr="00093AC5">
        <w:rPr>
          <w:rStyle w:val="FootnoteReference"/>
        </w:rPr>
        <w:footnoteRef/>
      </w:r>
      <w:r w:rsidRPr="00D10EF8">
        <w:tab/>
      </w:r>
      <w:r w:rsidR="00D301C6" w:rsidRPr="00D10EF8">
        <w:t xml:space="preserve">Voir </w:t>
      </w:r>
      <w:hyperlink r:id="rId561" w:history="1">
        <w:r w:rsidR="00D301C6" w:rsidRPr="00D10EF8">
          <w:rPr>
            <w:rStyle w:val="Hyperlink"/>
            <w:lang w:val="fr-FR"/>
          </w:rPr>
          <w:t>https://www.ohchr.org/Documents/Issues/CivicSpace/CivicSpaceandCovid.pdf</w:t>
        </w:r>
      </w:hyperlink>
      <w:r w:rsidR="00D301C6" w:rsidRPr="00D10EF8">
        <w:t xml:space="preserve"> </w:t>
      </w:r>
      <w:r w:rsidR="00D301C6" w:rsidRPr="00230ED2">
        <w:t>sur les préoccupations que soulève la fermeture de l</w:t>
      </w:r>
      <w:r w:rsidR="00F60EAA">
        <w:t>’</w:t>
      </w:r>
      <w:r w:rsidR="00D301C6" w:rsidRPr="00230ED2">
        <w:t>espace civique pendant la pandémie.</w:t>
      </w:r>
    </w:p>
  </w:footnote>
  <w:footnote w:id="508">
    <w:p w14:paraId="7473DE9A" w14:textId="333DE6A0"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A/HRC/25/32, </w:t>
      </w:r>
      <w:r w:rsidR="002A7FA1">
        <w:t>par. </w:t>
      </w:r>
      <w:r w:rsidR="00D301C6" w:rsidRPr="00D10EF8">
        <w:t>31.</w:t>
      </w:r>
    </w:p>
  </w:footnote>
  <w:footnote w:id="509">
    <w:p w14:paraId="1C2FB834" w14:textId="4D96AF48" w:rsidR="00D301C6" w:rsidRPr="00D10EF8" w:rsidRDefault="00D233E2" w:rsidP="005B4367">
      <w:pPr>
        <w:pStyle w:val="FootnoteText"/>
      </w:pPr>
      <w:r w:rsidRPr="00D10EF8">
        <w:tab/>
      </w:r>
      <w:r w:rsidRPr="00093AC5">
        <w:rPr>
          <w:rStyle w:val="FootnoteReference"/>
        </w:rPr>
        <w:footnoteRef/>
      </w:r>
      <w:r w:rsidRPr="00D10EF8">
        <w:tab/>
      </w:r>
      <w:r w:rsidR="00D301C6" w:rsidRPr="00D10EF8">
        <w:t>CCPR/C/GC/36.</w:t>
      </w:r>
    </w:p>
  </w:footnote>
  <w:footnote w:id="510">
    <w:p w14:paraId="6DBA58E9" w14:textId="04972BE7" w:rsidR="00D301C6" w:rsidRPr="00D10EF8" w:rsidRDefault="00D233E2" w:rsidP="005B4367">
      <w:pPr>
        <w:pStyle w:val="FootnoteText"/>
      </w:pPr>
      <w:r w:rsidRPr="00D10EF8">
        <w:tab/>
      </w:r>
      <w:r w:rsidRPr="00093AC5">
        <w:rPr>
          <w:rStyle w:val="FootnoteReference"/>
        </w:rPr>
        <w:footnoteRef/>
      </w:r>
      <w:r w:rsidRPr="00D10EF8">
        <w:tab/>
      </w:r>
      <w:hyperlink r:id="rId562" w:history="1">
        <w:r w:rsidR="00D301C6" w:rsidRPr="00D10EF8">
          <w:rPr>
            <w:rStyle w:val="Hyperlink"/>
            <w:lang w:val="fr-FR"/>
          </w:rPr>
          <w:t>www.ohchr.org/EN/NewsEvents/Pages/DisplayNews.aspx?NewsID=25922&amp;LangID=E</w:t>
        </w:r>
      </w:hyperlink>
      <w:r w:rsidR="00D301C6" w:rsidRPr="00D10EF8">
        <w:t>.</w:t>
      </w:r>
    </w:p>
  </w:footnote>
  <w:footnote w:id="511">
    <w:p w14:paraId="20F1E16D" w14:textId="5EEC1DBD" w:rsidR="00D301C6" w:rsidRPr="00D10EF8" w:rsidRDefault="00D233E2" w:rsidP="005B4367">
      <w:pPr>
        <w:pStyle w:val="FootnoteText"/>
      </w:pPr>
      <w:r w:rsidRPr="00D10EF8">
        <w:tab/>
      </w:r>
      <w:r w:rsidRPr="00093AC5">
        <w:rPr>
          <w:rStyle w:val="FootnoteReference"/>
        </w:rPr>
        <w:footnoteRef/>
      </w:r>
      <w:r w:rsidRPr="00D10EF8">
        <w:tab/>
      </w:r>
      <w:hyperlink r:id="rId563" w:history="1">
        <w:r w:rsidR="00D301C6" w:rsidRPr="00D10EF8">
          <w:rPr>
            <w:rStyle w:val="Hyperlink"/>
            <w:lang w:val="fr-FR"/>
          </w:rPr>
          <w:t>https://news.un.org/en/story/2020/07/1068971</w:t>
        </w:r>
      </w:hyperlink>
      <w:r w:rsidR="00BF73AB">
        <w:rPr>
          <w:rStyle w:val="Hyperlink"/>
          <w:lang w:val="fr-FR"/>
        </w:rPr>
        <w:t> </w:t>
      </w:r>
      <w:r w:rsidR="00BF73AB" w:rsidRPr="00373A64">
        <w:rPr>
          <w:rStyle w:val="Hyperlink"/>
          <w:color w:val="auto"/>
          <w:lang w:val="fr-FR"/>
        </w:rPr>
        <w:t>;</w:t>
      </w:r>
      <w:r w:rsidR="00D301C6" w:rsidRPr="00373A64">
        <w:t xml:space="preserve"> </w:t>
      </w:r>
      <w:hyperlink r:id="rId564" w:history="1">
        <w:r w:rsidR="00D301C6" w:rsidRPr="00D10EF8">
          <w:rPr>
            <w:rStyle w:val="Hyperlink"/>
            <w:lang w:val="fr-FR"/>
          </w:rPr>
          <w:t>https://www.ohchr.org/EN/NewsEvents/</w:t>
        </w:r>
        <w:r w:rsidR="00373A64">
          <w:rPr>
            <w:rStyle w:val="Hyperlink"/>
            <w:lang w:val="fr-FR"/>
          </w:rPr>
          <w:t xml:space="preserve"> </w:t>
        </w:r>
        <w:r w:rsidR="00D301C6" w:rsidRPr="00D10EF8">
          <w:rPr>
            <w:rStyle w:val="Hyperlink"/>
            <w:lang w:val="fr-FR"/>
          </w:rPr>
          <w:t>Pages/DisplayNews.aspx?NewsID=25946&amp;LangID=E</w:t>
        </w:r>
      </w:hyperlink>
      <w:r w:rsidR="00BF73AB">
        <w:rPr>
          <w:rStyle w:val="Hyperlink"/>
          <w:lang w:val="fr-FR"/>
        </w:rPr>
        <w:t> </w:t>
      </w:r>
      <w:r w:rsidR="00BF73AB" w:rsidRPr="00373A64">
        <w:rPr>
          <w:rStyle w:val="Hyperlink"/>
          <w:color w:val="auto"/>
          <w:lang w:val="fr-FR"/>
        </w:rPr>
        <w:t>;</w:t>
      </w:r>
      <w:r w:rsidR="00D301C6" w:rsidRPr="00373A64">
        <w:t xml:space="preserve"> </w:t>
      </w:r>
      <w:hyperlink r:id="rId565" w:history="1">
        <w:r w:rsidR="00D301C6" w:rsidRPr="00D10EF8">
          <w:rPr>
            <w:rStyle w:val="Hyperlink"/>
            <w:lang w:val="fr-FR"/>
          </w:rPr>
          <w:t>https://www.ohchr.org/EN/NewsEvents/</w:t>
        </w:r>
        <w:r w:rsidR="00373A64">
          <w:rPr>
            <w:rStyle w:val="Hyperlink"/>
            <w:lang w:val="fr-FR"/>
          </w:rPr>
          <w:t xml:space="preserve"> </w:t>
        </w:r>
        <w:r w:rsidR="00D301C6" w:rsidRPr="00D10EF8">
          <w:rPr>
            <w:rStyle w:val="Hyperlink"/>
            <w:lang w:val="fr-FR"/>
          </w:rPr>
          <w:t>Pages/DisplayNews.aspx?NewsID=25948&amp;LangID=E</w:t>
        </w:r>
      </w:hyperlink>
      <w:r w:rsidR="00BF73AB">
        <w:rPr>
          <w:rStyle w:val="Hyperlink"/>
          <w:lang w:val="fr-FR"/>
        </w:rPr>
        <w:t> </w:t>
      </w:r>
      <w:r w:rsidR="00BF73AB" w:rsidRPr="00373A64">
        <w:rPr>
          <w:rStyle w:val="Hyperlink"/>
          <w:color w:val="auto"/>
          <w:lang w:val="fr-FR"/>
        </w:rPr>
        <w:t>;</w:t>
      </w:r>
      <w:r w:rsidR="00D301C6" w:rsidRPr="00373A64">
        <w:t xml:space="preserve"> </w:t>
      </w:r>
      <w:hyperlink r:id="rId566" w:history="1">
        <w:r w:rsidR="00D301C6" w:rsidRPr="00D10EF8">
          <w:rPr>
            <w:rStyle w:val="Hyperlink"/>
            <w:lang w:val="fr-FR"/>
          </w:rPr>
          <w:t>https://www.ohchr.org/en/NewsEvents/</w:t>
        </w:r>
        <w:r w:rsidR="00373A64">
          <w:rPr>
            <w:rStyle w:val="Hyperlink"/>
            <w:lang w:val="fr-FR"/>
          </w:rPr>
          <w:t xml:space="preserve"> </w:t>
        </w:r>
        <w:r w:rsidR="00D301C6" w:rsidRPr="00D10EF8">
          <w:rPr>
            <w:rStyle w:val="Hyperlink"/>
            <w:lang w:val="fr-FR"/>
          </w:rPr>
          <w:t>Pages/DisplayNews.aspx?NewsID=25927&amp;LangID=E</w:t>
        </w:r>
      </w:hyperlink>
      <w:r w:rsidR="00BF73AB">
        <w:rPr>
          <w:rStyle w:val="Hyperlink"/>
          <w:lang w:val="fr-FR"/>
        </w:rPr>
        <w:t> </w:t>
      </w:r>
      <w:r w:rsidR="00BF73AB" w:rsidRPr="00373A64">
        <w:rPr>
          <w:rStyle w:val="Hyperlink"/>
          <w:color w:val="auto"/>
          <w:lang w:val="fr-FR"/>
        </w:rPr>
        <w:t>;</w:t>
      </w:r>
      <w:r w:rsidR="00D301C6" w:rsidRPr="00373A64">
        <w:rPr>
          <w:rStyle w:val="Hyperlink"/>
          <w:color w:val="auto"/>
          <w:lang w:val="fr-FR"/>
        </w:rPr>
        <w:t xml:space="preserve"> </w:t>
      </w:r>
      <w:hyperlink r:id="rId567" w:history="1">
        <w:r w:rsidR="00D301C6" w:rsidRPr="00D10EF8">
          <w:rPr>
            <w:rStyle w:val="Hyperlink"/>
            <w:lang w:val="fr-FR"/>
          </w:rPr>
          <w:t>https://spcommreports.ohchr.org/TMResults</w:t>
        </w:r>
        <w:r w:rsidR="00373A64">
          <w:rPr>
            <w:rStyle w:val="Hyperlink"/>
            <w:lang w:val="fr-FR"/>
          </w:rPr>
          <w:t xml:space="preserve"> </w:t>
        </w:r>
        <w:r w:rsidR="00D301C6" w:rsidRPr="00D10EF8">
          <w:rPr>
            <w:rStyle w:val="Hyperlink"/>
            <w:lang w:val="fr-FR"/>
          </w:rPr>
          <w:t>Base/DownLoadPublicCommunicationFile?gId=25589</w:t>
        </w:r>
      </w:hyperlink>
      <w:r w:rsidR="00BF73AB">
        <w:rPr>
          <w:rStyle w:val="Hyperlink"/>
          <w:lang w:val="fr-FR"/>
        </w:rPr>
        <w:t> </w:t>
      </w:r>
      <w:r w:rsidR="00BF73AB" w:rsidRPr="00373A64">
        <w:rPr>
          <w:rStyle w:val="Hyperlink"/>
          <w:color w:val="auto"/>
          <w:lang w:val="fr-FR"/>
        </w:rPr>
        <w:t>;</w:t>
      </w:r>
      <w:r w:rsidR="00D301C6" w:rsidRPr="00373A64">
        <w:t xml:space="preserve"> </w:t>
      </w:r>
      <w:hyperlink r:id="rId568" w:history="1">
        <w:r w:rsidR="00D301C6" w:rsidRPr="00D10EF8">
          <w:rPr>
            <w:color w:val="0000FF"/>
          </w:rPr>
          <w:t>https://www.oas.org/en/iachr/media_center/</w:t>
        </w:r>
        <w:r w:rsidR="00373A64">
          <w:rPr>
            <w:color w:val="0000FF"/>
          </w:rPr>
          <w:t xml:space="preserve"> </w:t>
        </w:r>
        <w:r w:rsidR="00D301C6" w:rsidRPr="00D10EF8">
          <w:rPr>
            <w:color w:val="0000FF"/>
          </w:rPr>
          <w:t>PReleases/2020/129.asp</w:t>
        </w:r>
      </w:hyperlink>
      <w:r w:rsidR="00BF73AB" w:rsidRPr="00373A64">
        <w:t> ;</w:t>
      </w:r>
      <w:r w:rsidR="00D301C6" w:rsidRPr="00373A64">
        <w:t xml:space="preserve"> </w:t>
      </w:r>
      <w:bookmarkStart w:id="938" w:name="_Hlk108716929"/>
      <w:r w:rsidR="00D301C6" w:rsidRPr="00D10EF8">
        <w:rPr>
          <w:lang w:val="en-GB"/>
        </w:rPr>
        <w:fldChar w:fldCharType="begin"/>
      </w:r>
      <w:r w:rsidR="00D301C6" w:rsidRPr="00D10EF8">
        <w:instrText>HYPERLINK "https://www.osce.org/parliamentary-assembly/453471"</w:instrText>
      </w:r>
      <w:r w:rsidR="00D301C6" w:rsidRPr="00D10EF8">
        <w:rPr>
          <w:lang w:val="en-GB"/>
        </w:rPr>
        <w:fldChar w:fldCharType="separate"/>
      </w:r>
      <w:r w:rsidR="00D301C6" w:rsidRPr="00D10EF8">
        <w:rPr>
          <w:rStyle w:val="Hyperlink"/>
          <w:lang w:val="fr-FR"/>
        </w:rPr>
        <w:t>https://www.osce.org/parliamentary-assembly/453471</w:t>
      </w:r>
      <w:r w:rsidR="00D301C6" w:rsidRPr="00D10EF8">
        <w:rPr>
          <w:rStyle w:val="Hyperlink"/>
          <w:lang w:val="fr-FR"/>
        </w:rPr>
        <w:fldChar w:fldCharType="end"/>
      </w:r>
      <w:bookmarkEnd w:id="938"/>
      <w:r w:rsidR="00BF73AB" w:rsidRPr="00373A64">
        <w:rPr>
          <w:rStyle w:val="Hyperlink"/>
          <w:color w:val="auto"/>
          <w:lang w:val="fr-FR"/>
        </w:rPr>
        <w:t> ;</w:t>
      </w:r>
      <w:r w:rsidR="00D301C6" w:rsidRPr="00373A64">
        <w:rPr>
          <w:rStyle w:val="Hyperlink"/>
          <w:color w:val="auto"/>
          <w:lang w:val="fr-FR"/>
        </w:rPr>
        <w:t xml:space="preserve"> </w:t>
      </w:r>
      <w:hyperlink r:id="rId569" w:history="1">
        <w:r w:rsidR="00D301C6" w:rsidRPr="00D10EF8">
          <w:rPr>
            <w:rStyle w:val="Hyperlink"/>
            <w:lang w:val="fr-FR"/>
          </w:rPr>
          <w:t>https://www.osce.org/representative-on-freedom-of-media/453459</w:t>
        </w:r>
      </w:hyperlink>
      <w:r w:rsidR="00BF73AB">
        <w:rPr>
          <w:rStyle w:val="Hyperlink"/>
          <w:lang w:val="fr-FR"/>
        </w:rPr>
        <w:t> </w:t>
      </w:r>
      <w:r w:rsidR="00BF73AB" w:rsidRPr="00373A64">
        <w:rPr>
          <w:rStyle w:val="Hyperlink"/>
          <w:color w:val="auto"/>
          <w:lang w:val="fr-FR"/>
        </w:rPr>
        <w:t>;</w:t>
      </w:r>
      <w:r w:rsidR="00D301C6" w:rsidRPr="00373A64">
        <w:rPr>
          <w:rStyle w:val="Hyperlink"/>
          <w:color w:val="auto"/>
          <w:lang w:val="fr-FR"/>
        </w:rPr>
        <w:t xml:space="preserve"> </w:t>
      </w:r>
      <w:hyperlink r:id="rId570" w:history="1">
        <w:r w:rsidR="00D301C6" w:rsidRPr="00D10EF8">
          <w:rPr>
            <w:rStyle w:val="Hyperlink"/>
            <w:lang w:val="fr-FR"/>
          </w:rPr>
          <w:t>https://www.europarl.europa.eu/</w:t>
        </w:r>
        <w:r w:rsidR="00373A64">
          <w:rPr>
            <w:rStyle w:val="Hyperlink"/>
            <w:lang w:val="fr-FR"/>
          </w:rPr>
          <w:t xml:space="preserve"> </w:t>
        </w:r>
        <w:r w:rsidR="00D301C6" w:rsidRPr="00D10EF8">
          <w:rPr>
            <w:rStyle w:val="Hyperlink"/>
            <w:lang w:val="fr-FR"/>
          </w:rPr>
          <w:t>doceo/document/TA-9-2020-0173_EN.html</w:t>
        </w:r>
      </w:hyperlink>
      <w:r w:rsidR="00D301C6" w:rsidRPr="00D10EF8">
        <w:t>.</w:t>
      </w:r>
    </w:p>
  </w:footnote>
  <w:footnote w:id="512">
    <w:p w14:paraId="7A61D2F5" w14:textId="2997F9AF" w:rsidR="00D301C6" w:rsidRPr="00DA5E7E" w:rsidRDefault="00D233E2" w:rsidP="005B4367">
      <w:pPr>
        <w:pStyle w:val="FootnoteText"/>
        <w:rPr>
          <w:lang w:val="en-US"/>
        </w:rPr>
      </w:pPr>
      <w:r w:rsidRPr="00D10EF8">
        <w:tab/>
      </w:r>
      <w:r w:rsidRPr="00093AC5">
        <w:rPr>
          <w:rStyle w:val="FootnoteReference"/>
        </w:rPr>
        <w:footnoteRef/>
      </w:r>
      <w:r w:rsidRPr="00DA5E7E">
        <w:rPr>
          <w:lang w:val="en-US"/>
        </w:rPr>
        <w:tab/>
      </w:r>
      <w:r w:rsidR="00D301C6" w:rsidRPr="00DA5E7E">
        <w:rPr>
          <w:lang w:val="en-US"/>
        </w:rPr>
        <w:t>Communications des organisations suivantes</w:t>
      </w:r>
      <w:r w:rsidR="008E21C9">
        <w:rPr>
          <w:lang w:val="en-US"/>
        </w:rPr>
        <w:t> :</w:t>
      </w:r>
      <w:r w:rsidR="00D301C6" w:rsidRPr="00DA5E7E">
        <w:rPr>
          <w:lang w:val="en-US"/>
        </w:rPr>
        <w:t xml:space="preserve"> American Civil Liberties Union (ACLU)</w:t>
      </w:r>
      <w:r w:rsidR="00BF73AB">
        <w:rPr>
          <w:lang w:val="en-US"/>
        </w:rPr>
        <w:t> ;</w:t>
      </w:r>
      <w:r w:rsidR="00D301C6" w:rsidRPr="00DA5E7E">
        <w:rPr>
          <w:lang w:val="en-US"/>
        </w:rPr>
        <w:t xml:space="preserve"> Advocates for Human Rights</w:t>
      </w:r>
      <w:r w:rsidR="00BF73AB">
        <w:rPr>
          <w:lang w:val="en-US"/>
        </w:rPr>
        <w:t> ;</w:t>
      </w:r>
      <w:r w:rsidR="00D301C6" w:rsidRPr="00DA5E7E">
        <w:rPr>
          <w:lang w:val="en-US"/>
        </w:rPr>
        <w:t xml:space="preserve"> Andy and Gwen Stern Community Lawyering Clinic/American Civil Liberties Union Pennsylvania</w:t>
      </w:r>
      <w:r w:rsidR="00BF73AB">
        <w:rPr>
          <w:lang w:val="en-US"/>
        </w:rPr>
        <w:t> ;</w:t>
      </w:r>
      <w:r w:rsidR="00D301C6" w:rsidRPr="00DA5E7E">
        <w:rPr>
          <w:lang w:val="en-US"/>
        </w:rPr>
        <w:t xml:space="preserve"> Forensic Architecture/Bellingcat</w:t>
      </w:r>
      <w:r w:rsidR="00BF73AB">
        <w:rPr>
          <w:lang w:val="en-US"/>
        </w:rPr>
        <w:t> ;</w:t>
      </w:r>
      <w:r w:rsidR="00D301C6" w:rsidRPr="00DA5E7E">
        <w:rPr>
          <w:lang w:val="en-US"/>
        </w:rPr>
        <w:t xml:space="preserve"> Human Rights Watch</w:t>
      </w:r>
      <w:r w:rsidR="00BF73AB">
        <w:rPr>
          <w:lang w:val="en-US"/>
        </w:rPr>
        <w:t> ;</w:t>
      </w:r>
      <w:r w:rsidR="00D301C6" w:rsidRPr="00DA5E7E">
        <w:rPr>
          <w:lang w:val="en-US"/>
        </w:rPr>
        <w:t xml:space="preserve"> Inter-American Commission on Human Rights</w:t>
      </w:r>
      <w:r w:rsidR="00BF73AB">
        <w:rPr>
          <w:lang w:val="en-US"/>
        </w:rPr>
        <w:t> ;</w:t>
      </w:r>
      <w:r w:rsidR="00D301C6" w:rsidRPr="00DA5E7E">
        <w:rPr>
          <w:lang w:val="en-US"/>
        </w:rPr>
        <w:t xml:space="preserve"> International Network of Civil Liberties Organisations (INCLO)</w:t>
      </w:r>
      <w:r w:rsidR="00BF73AB">
        <w:rPr>
          <w:lang w:val="en-US"/>
        </w:rPr>
        <w:t> ;</w:t>
      </w:r>
      <w:r w:rsidR="00D301C6" w:rsidRPr="00DA5E7E">
        <w:rPr>
          <w:lang w:val="en-US"/>
        </w:rPr>
        <w:t xml:space="preserve"> NAACP Legal Defense and Educational Fund, Inc. (LDF)</w:t>
      </w:r>
      <w:r w:rsidR="00BF73AB">
        <w:rPr>
          <w:lang w:val="en-US"/>
        </w:rPr>
        <w:t> ;</w:t>
      </w:r>
      <w:r w:rsidR="00D301C6" w:rsidRPr="00DA5E7E">
        <w:rPr>
          <w:lang w:val="en-US"/>
        </w:rPr>
        <w:t xml:space="preserve"> University of Southern California Gould School of Law International Human Rights Clinic/Access Now avec le concours de Foley Hoag LLP</w:t>
      </w:r>
      <w:r w:rsidR="00BF73AB">
        <w:rPr>
          <w:lang w:val="en-US"/>
        </w:rPr>
        <w:t> ;</w:t>
      </w:r>
      <w:r w:rsidR="00D301C6" w:rsidRPr="00DA5E7E">
        <w:rPr>
          <w:lang w:val="en-US"/>
        </w:rPr>
        <w:t xml:space="preserve"> </w:t>
      </w:r>
      <w:hyperlink r:id="rId571" w:history="1">
        <w:r w:rsidR="00D301C6" w:rsidRPr="00D301C6">
          <w:rPr>
            <w:rStyle w:val="Hyperlink"/>
            <w:lang w:val="en-US"/>
          </w:rPr>
          <w:t>https://spcommreports.ohchr.org/TMResultsBase/DownLoadPublicCommunicationFile?gId=25335</w:t>
        </w:r>
      </w:hyperlink>
      <w:r w:rsidR="00BF73AB">
        <w:rPr>
          <w:lang w:val="en-US"/>
        </w:rPr>
        <w:t> ;</w:t>
      </w:r>
      <w:r w:rsidR="00D301C6" w:rsidRPr="00DA5E7E">
        <w:rPr>
          <w:lang w:val="en-US"/>
        </w:rPr>
        <w:t xml:space="preserve"> </w:t>
      </w:r>
      <w:hyperlink r:id="rId572" w:history="1">
        <w:r w:rsidR="00D301C6" w:rsidRPr="00D301C6">
          <w:rPr>
            <w:rStyle w:val="Hyperlink"/>
            <w:lang w:val="en-US"/>
          </w:rPr>
          <w:t>https://spcommreports.ohchr.org/TMResultsBase/DownLoadPublicCommunicationFile?gId=25589</w:t>
        </w:r>
      </w:hyperlink>
      <w:r w:rsidR="00BF73AB">
        <w:rPr>
          <w:lang w:val="en-US"/>
        </w:rPr>
        <w:t> ;</w:t>
      </w:r>
      <w:r w:rsidR="00D301C6" w:rsidRPr="00DA5E7E">
        <w:rPr>
          <w:lang w:val="en-US"/>
        </w:rPr>
        <w:t xml:space="preserve"> </w:t>
      </w:r>
      <w:hyperlink r:id="rId573" w:history="1">
        <w:r w:rsidR="00D301C6" w:rsidRPr="00D301C6">
          <w:rPr>
            <w:rStyle w:val="Hyperlink"/>
            <w:lang w:val="en-US"/>
          </w:rPr>
          <w:t>https://www.ohchr.org/EN/NewsEvents/Pages/DisplayNews.aspx?NewsID=25948&amp;LangID=E</w:t>
        </w:r>
      </w:hyperlink>
      <w:r w:rsidR="00BF73AB">
        <w:rPr>
          <w:lang w:val="en-US"/>
        </w:rPr>
        <w:t> ;</w:t>
      </w:r>
      <w:r w:rsidR="00D301C6" w:rsidRPr="00DA5E7E">
        <w:rPr>
          <w:lang w:val="en-US"/>
        </w:rPr>
        <w:t xml:space="preserve"> </w:t>
      </w:r>
      <w:hyperlink r:id="rId574" w:history="1">
        <w:r w:rsidR="00D301C6" w:rsidRPr="00D301C6">
          <w:rPr>
            <w:rStyle w:val="Hyperlink"/>
            <w:lang w:val="en-US"/>
          </w:rPr>
          <w:t>https://www.ohchr.org/Documents/HRBodies/CERD/earlywarning/statements/USA.PDF</w:t>
        </w:r>
      </w:hyperlink>
      <w:r w:rsidR="00BF73AB">
        <w:rPr>
          <w:lang w:val="en-US"/>
        </w:rPr>
        <w:t> ;</w:t>
      </w:r>
      <w:r w:rsidR="00D301C6" w:rsidRPr="00DA5E7E">
        <w:rPr>
          <w:lang w:val="en-US"/>
        </w:rPr>
        <w:t xml:space="preserve"> </w:t>
      </w:r>
      <w:hyperlink r:id="rId575" w:history="1">
        <w:r w:rsidR="00D301C6" w:rsidRPr="00D301C6">
          <w:rPr>
            <w:rStyle w:val="Hyperlink"/>
            <w:lang w:val="en-US"/>
          </w:rPr>
          <w:t>https://www.aclu.org/news/criminal-law-reform/all-hell-broke-loose/</w:t>
        </w:r>
      </w:hyperlink>
      <w:r w:rsidR="00BF73AB">
        <w:rPr>
          <w:lang w:val="en-US"/>
        </w:rPr>
        <w:t> ;</w:t>
      </w:r>
      <w:r w:rsidR="00D301C6" w:rsidRPr="00DA5E7E">
        <w:rPr>
          <w:lang w:val="en-US"/>
        </w:rPr>
        <w:t xml:space="preserve"> </w:t>
      </w:r>
      <w:hyperlink r:id="rId576" w:history="1">
        <w:r w:rsidR="00D301C6" w:rsidRPr="00D301C6">
          <w:rPr>
            <w:rStyle w:val="Hyperlink"/>
            <w:lang w:val="en-US"/>
          </w:rPr>
          <w:t>https://covid19.inclo.net/</w:t>
        </w:r>
        <w:r w:rsidR="00D210C9">
          <w:rPr>
            <w:rStyle w:val="Hyperlink"/>
            <w:lang w:val="en-US"/>
          </w:rPr>
          <w:t xml:space="preserve"> </w:t>
        </w:r>
        <w:r w:rsidR="00D301C6" w:rsidRPr="00D301C6">
          <w:rPr>
            <w:rStyle w:val="Hyperlink"/>
            <w:lang w:val="en-US"/>
          </w:rPr>
          <w:t>2020/06/23/united-states-anti-lockdown-and-anti-police-brutality-demonstrations/</w:t>
        </w:r>
      </w:hyperlink>
      <w:r w:rsidR="00BF73AB">
        <w:rPr>
          <w:lang w:val="en-US"/>
        </w:rPr>
        <w:t> ;</w:t>
      </w:r>
      <w:r w:rsidR="00D301C6" w:rsidRPr="00DA5E7E">
        <w:rPr>
          <w:lang w:val="en-US"/>
        </w:rPr>
        <w:t xml:space="preserve"> </w:t>
      </w:r>
      <w:hyperlink r:id="rId577" w:history="1">
        <w:r w:rsidR="00D301C6" w:rsidRPr="00D301C6">
          <w:rPr>
            <w:rStyle w:val="Hyperlink"/>
            <w:lang w:val="en-US"/>
          </w:rPr>
          <w:t>https://www.fidh.org/en/region/americas/usa/now-is-the-time-for-action-to-fight-systemic-racism-in-the-usa-and</w:t>
        </w:r>
      </w:hyperlink>
      <w:r w:rsidR="00BF73AB">
        <w:rPr>
          <w:lang w:val="en-US"/>
        </w:rPr>
        <w:t> ;</w:t>
      </w:r>
      <w:r w:rsidR="00D301C6" w:rsidRPr="00DA5E7E">
        <w:rPr>
          <w:lang w:val="en-US"/>
        </w:rPr>
        <w:t xml:space="preserve"> </w:t>
      </w:r>
      <w:hyperlink r:id="rId578" w:history="1">
        <w:r w:rsidR="00D301C6" w:rsidRPr="00D301C6">
          <w:rPr>
            <w:rStyle w:val="Hyperlink"/>
            <w:lang w:val="en-US"/>
          </w:rPr>
          <w:t>https://monitor.civicus.org/updates/2020/06/22/country-wide-protests-end-police-brutality-united-states-met-militarised-law-enforcemen/</w:t>
        </w:r>
      </w:hyperlink>
      <w:r w:rsidR="00BF73AB">
        <w:rPr>
          <w:lang w:val="en-US"/>
        </w:rPr>
        <w:t> ;</w:t>
      </w:r>
      <w:r w:rsidR="00D301C6" w:rsidRPr="00DA5E7E">
        <w:rPr>
          <w:lang w:val="en-US"/>
        </w:rPr>
        <w:t xml:space="preserve"> </w:t>
      </w:r>
      <w:hyperlink r:id="rId579" w:anchor="page=2" w:history="1">
        <w:r w:rsidR="00D301C6" w:rsidRPr="00D301C6">
          <w:rPr>
            <w:rStyle w:val="Hyperlink"/>
            <w:lang w:val="en-US"/>
          </w:rPr>
          <w:t>https://civicus.org/documents/</w:t>
        </w:r>
        <w:r w:rsidR="00D210C9">
          <w:rPr>
            <w:rStyle w:val="Hyperlink"/>
            <w:lang w:val="en-US"/>
          </w:rPr>
          <w:t xml:space="preserve"> </w:t>
        </w:r>
        <w:r w:rsidR="00D301C6" w:rsidRPr="00D301C6">
          <w:rPr>
            <w:rStyle w:val="Hyperlink"/>
            <w:lang w:val="en-US"/>
          </w:rPr>
          <w:t>SOCS2021Part1.pdf#page=2</w:t>
        </w:r>
      </w:hyperlink>
      <w:r w:rsidR="00BF73AB">
        <w:rPr>
          <w:lang w:val="en-US"/>
        </w:rPr>
        <w:t> ;</w:t>
      </w:r>
      <w:r w:rsidR="00D301C6" w:rsidRPr="00DA5E7E">
        <w:rPr>
          <w:lang w:val="en-US"/>
        </w:rPr>
        <w:t xml:space="preserve"> </w:t>
      </w:r>
      <w:hyperlink r:id="rId580" w:history="1">
        <w:r w:rsidR="00D301C6" w:rsidRPr="00D301C6">
          <w:rPr>
            <w:rStyle w:val="Hyperlink"/>
            <w:lang w:val="en-US"/>
          </w:rPr>
          <w:t>https://www.inclo.net/pdf/statements/30052020_INCLO%20</w:t>
        </w:r>
        <w:r w:rsidR="00D210C9">
          <w:rPr>
            <w:rStyle w:val="Hyperlink"/>
            <w:lang w:val="en-US"/>
          </w:rPr>
          <w:t xml:space="preserve"> </w:t>
        </w:r>
        <w:r w:rsidR="00D301C6" w:rsidRPr="00D301C6">
          <w:rPr>
            <w:rStyle w:val="Hyperlink"/>
            <w:lang w:val="en-US"/>
          </w:rPr>
          <w:t>Statement%20re%20use%20of%20police%20force%20in%20USA.pdf</w:t>
        </w:r>
      </w:hyperlink>
      <w:r w:rsidR="00D301C6" w:rsidRPr="00DA5E7E">
        <w:rPr>
          <w:lang w:val="en-US"/>
        </w:rPr>
        <w:t>.</w:t>
      </w:r>
    </w:p>
  </w:footnote>
  <w:footnote w:id="513">
    <w:p w14:paraId="15E70255" w14:textId="70A7F24B"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hyperlink r:id="rId581" w:history="1">
        <w:r w:rsidR="00D301C6" w:rsidRPr="00813782">
          <w:rPr>
            <w:rStyle w:val="Hyperlink"/>
            <w:lang w:val="en-US"/>
          </w:rPr>
          <w:t>https://www.ohchr.org/EN/NewsEvents/Pages/DisplayNews.aspx?NewsID=25922&amp;LangID=E</w:t>
        </w:r>
      </w:hyperlink>
      <w:r w:rsidR="00D301C6" w:rsidRPr="00DA5E7E">
        <w:rPr>
          <w:lang w:val="en-US"/>
        </w:rPr>
        <w:t>.</w:t>
      </w:r>
    </w:p>
  </w:footnote>
  <w:footnote w:id="514">
    <w:p w14:paraId="5A513E22" w14:textId="6B397D35" w:rsidR="00D301C6" w:rsidRPr="00D10EF8" w:rsidRDefault="00D233E2" w:rsidP="005B4367">
      <w:pPr>
        <w:pStyle w:val="FootnoteText"/>
      </w:pPr>
      <w:r w:rsidRPr="00DA5E7E">
        <w:rPr>
          <w:lang w:val="en-US"/>
        </w:rPr>
        <w:tab/>
      </w:r>
      <w:r w:rsidRPr="00093AC5">
        <w:rPr>
          <w:rStyle w:val="FootnoteReference"/>
        </w:rPr>
        <w:footnoteRef/>
      </w:r>
      <w:r w:rsidRPr="00D10EF8">
        <w:tab/>
      </w:r>
      <w:r w:rsidR="00D301C6" w:rsidRPr="00D10EF8">
        <w:t>Communication de Forensic Architecture/Bellingcat.</w:t>
      </w:r>
    </w:p>
  </w:footnote>
  <w:footnote w:id="515">
    <w:p w14:paraId="79C99496" w14:textId="23D63844" w:rsidR="00D301C6" w:rsidRPr="00D10EF8" w:rsidRDefault="00D233E2" w:rsidP="005B4367">
      <w:pPr>
        <w:pStyle w:val="FootnoteText"/>
      </w:pPr>
      <w:r w:rsidRPr="00D10EF8">
        <w:tab/>
      </w:r>
      <w:r w:rsidRPr="00093AC5">
        <w:rPr>
          <w:rStyle w:val="FootnoteReference"/>
        </w:rPr>
        <w:footnoteRef/>
      </w:r>
      <w:r w:rsidRPr="00D10EF8">
        <w:tab/>
      </w:r>
      <w:hyperlink r:id="rId582" w:history="1">
        <w:r w:rsidR="00D301C6" w:rsidRPr="00D10EF8">
          <w:rPr>
            <w:rStyle w:val="Hyperlink"/>
            <w:lang w:val="fr-FR"/>
          </w:rPr>
          <w:t>https://www.amnestyusa.org/protest-map/</w:t>
        </w:r>
      </w:hyperlink>
      <w:r w:rsidR="00D301C6" w:rsidRPr="00D10EF8">
        <w:t>.</w:t>
      </w:r>
    </w:p>
  </w:footnote>
  <w:footnote w:id="516">
    <w:p w14:paraId="45563075" w14:textId="59AC06DB" w:rsidR="00D301C6" w:rsidRPr="00D10EF8" w:rsidRDefault="00D233E2" w:rsidP="005B4367">
      <w:pPr>
        <w:pStyle w:val="FootnoteText"/>
      </w:pPr>
      <w:r w:rsidRPr="00D10EF8">
        <w:tab/>
      </w:r>
      <w:r w:rsidRPr="00093AC5">
        <w:rPr>
          <w:rStyle w:val="FootnoteReference"/>
        </w:rPr>
        <w:footnoteRef/>
      </w:r>
      <w:r w:rsidRPr="00D10EF8">
        <w:tab/>
      </w:r>
      <w:hyperlink r:id="rId583" w:history="1">
        <w:r w:rsidR="00D301C6" w:rsidRPr="00001BA3">
          <w:rPr>
            <w:rStyle w:val="Hyperlink"/>
            <w:lang w:val="fr-FR"/>
          </w:rPr>
          <w:t>https://www.amnestyusa.org/protest-map/</w:t>
        </w:r>
      </w:hyperlink>
      <w:r w:rsidR="00D301C6" w:rsidRPr="00D10EF8">
        <w:t>.</w:t>
      </w:r>
    </w:p>
  </w:footnote>
  <w:footnote w:id="517">
    <w:p w14:paraId="168DDCFC" w14:textId="5802AC47" w:rsidR="00D301C6" w:rsidRPr="00DA5E7E" w:rsidRDefault="00D233E2" w:rsidP="005B4367">
      <w:pPr>
        <w:pStyle w:val="FootnoteText"/>
        <w:rPr>
          <w:lang w:val="en-US"/>
        </w:rPr>
      </w:pPr>
      <w:r w:rsidRPr="00D10EF8">
        <w:tab/>
      </w:r>
      <w:r w:rsidRPr="00093AC5">
        <w:rPr>
          <w:rStyle w:val="FootnoteReference"/>
        </w:rPr>
        <w:footnoteRef/>
      </w:r>
      <w:r w:rsidRPr="00DA5E7E">
        <w:rPr>
          <w:lang w:val="en-US"/>
        </w:rPr>
        <w:tab/>
      </w:r>
      <w:r w:rsidR="00D301C6" w:rsidRPr="00DA5E7E">
        <w:rPr>
          <w:lang w:val="en-US"/>
        </w:rPr>
        <w:t>Communications des organisations suivantes : Amelia Carter, Andy and Gwen Stern Community Lawyering Clinic/American Civil Liberties Union Pennsylvania.</w:t>
      </w:r>
    </w:p>
  </w:footnote>
  <w:footnote w:id="518">
    <w:p w14:paraId="5B637946" w14:textId="6B98BA6F" w:rsidR="00D301C6" w:rsidRPr="00813782" w:rsidRDefault="00D233E2" w:rsidP="005B4367">
      <w:pPr>
        <w:pStyle w:val="FootnoteText"/>
        <w:rPr>
          <w:lang w:val="en-GB"/>
        </w:rPr>
      </w:pPr>
      <w:r w:rsidRPr="00DA5E7E">
        <w:rPr>
          <w:lang w:val="en-US"/>
        </w:rPr>
        <w:tab/>
      </w:r>
      <w:r w:rsidRPr="00093AC5">
        <w:rPr>
          <w:rStyle w:val="FootnoteReference"/>
        </w:rPr>
        <w:footnoteRef/>
      </w:r>
      <w:r w:rsidRPr="00DA5E7E">
        <w:rPr>
          <w:lang w:val="en-US"/>
        </w:rPr>
        <w:tab/>
      </w:r>
      <w:hyperlink r:id="rId584" w:history="1">
        <w:r w:rsidR="00D301C6" w:rsidRPr="00D301C6">
          <w:rPr>
            <w:rStyle w:val="Hyperlink"/>
            <w:lang w:val="en-US"/>
          </w:rPr>
          <w:t>https://www.aclu.org/news/criminal-law-reform/the-law-enforcement-violence-trump-wont-talk-about/</w:t>
        </w:r>
      </w:hyperlink>
      <w:r w:rsidR="00D301C6" w:rsidRPr="00DA5E7E">
        <w:rPr>
          <w:lang w:val="en-US"/>
        </w:rPr>
        <w:t xml:space="preserve">. </w:t>
      </w:r>
    </w:p>
  </w:footnote>
  <w:footnote w:id="519">
    <w:p w14:paraId="12306872" w14:textId="11C7269D"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Communications de Forensic Architecture/Bellingcat, Human Rights Watch</w:t>
      </w:r>
      <w:r w:rsidR="00BF73AB">
        <w:rPr>
          <w:lang w:val="en-US"/>
        </w:rPr>
        <w:t> ;</w:t>
      </w:r>
      <w:r w:rsidR="00D301C6" w:rsidRPr="00DA5E7E">
        <w:rPr>
          <w:lang w:val="en-US"/>
        </w:rPr>
        <w:t xml:space="preserve"> </w:t>
      </w:r>
      <w:hyperlink r:id="rId585" w:history="1">
        <w:r w:rsidR="00D301C6" w:rsidRPr="00813782">
          <w:rPr>
            <w:rStyle w:val="Hyperlink"/>
            <w:lang w:val="en-US"/>
          </w:rPr>
          <w:t>https://phr.org/our-work/resources/a-targeted-attack-on-the-bronx/</w:t>
        </w:r>
      </w:hyperlink>
      <w:r w:rsidR="00BF73AB">
        <w:rPr>
          <w:rStyle w:val="Hyperlink"/>
          <w:lang w:val="en-US"/>
        </w:rPr>
        <w:t> </w:t>
      </w:r>
      <w:r w:rsidR="00BF73AB" w:rsidRPr="00FA5BFC">
        <w:rPr>
          <w:rStyle w:val="Hyperlink"/>
          <w:color w:val="auto"/>
          <w:lang w:val="en-US"/>
        </w:rPr>
        <w:t>;</w:t>
      </w:r>
      <w:r w:rsidR="00D301C6" w:rsidRPr="00DA5E7E">
        <w:rPr>
          <w:lang w:val="en-US"/>
        </w:rPr>
        <w:t xml:space="preserve"> </w:t>
      </w:r>
      <w:hyperlink r:id="rId586" w:history="1">
        <w:r w:rsidR="00D301C6" w:rsidRPr="00813782">
          <w:rPr>
            <w:rStyle w:val="Hyperlink"/>
            <w:lang w:val="en-US"/>
          </w:rPr>
          <w:t>https://www.hrw.org/report/2020/09/30/kettling-protesters-bronx/systemic-police-brutality-and-its-costs-united-states</w:t>
        </w:r>
      </w:hyperlink>
      <w:r w:rsidR="00BF73AB">
        <w:rPr>
          <w:rStyle w:val="Hyperlink"/>
          <w:lang w:val="en-US"/>
        </w:rPr>
        <w:t> </w:t>
      </w:r>
      <w:r w:rsidR="00BF73AB" w:rsidRPr="00FA5BFC">
        <w:rPr>
          <w:rStyle w:val="Hyperlink"/>
          <w:color w:val="auto"/>
          <w:lang w:val="en-US"/>
        </w:rPr>
        <w:t>;</w:t>
      </w:r>
      <w:r w:rsidR="00D301C6" w:rsidRPr="00FA5BFC">
        <w:rPr>
          <w:lang w:val="en-US"/>
        </w:rPr>
        <w:t xml:space="preserve"> </w:t>
      </w:r>
      <w:hyperlink r:id="rId587" w:history="1">
        <w:r w:rsidR="00D301C6" w:rsidRPr="00813782">
          <w:rPr>
            <w:rStyle w:val="Hyperlink"/>
            <w:lang w:val="en-US"/>
          </w:rPr>
          <w:t>https://www.amnestyusa.org/</w:t>
        </w:r>
        <w:r w:rsidR="00FA5BFC">
          <w:rPr>
            <w:rStyle w:val="Hyperlink"/>
            <w:lang w:val="en-US"/>
          </w:rPr>
          <w:t xml:space="preserve"> </w:t>
        </w:r>
        <w:r w:rsidR="00D301C6" w:rsidRPr="00813782">
          <w:rPr>
            <w:rStyle w:val="Hyperlink"/>
            <w:lang w:val="en-US"/>
          </w:rPr>
          <w:t>wp-content/uploads/2020/07/WorldisWatchingFullReport080220.pdf</w:t>
        </w:r>
      </w:hyperlink>
      <w:r w:rsidR="00D301C6" w:rsidRPr="00DA5E7E">
        <w:rPr>
          <w:lang w:val="en-US"/>
        </w:rPr>
        <w:t xml:space="preserve">, </w:t>
      </w:r>
      <w:r w:rsidR="002A7FA1" w:rsidRPr="00DA5E7E">
        <w:rPr>
          <w:lang w:val="en-US"/>
        </w:rPr>
        <w:t>p. </w:t>
      </w:r>
      <w:r w:rsidR="00D301C6" w:rsidRPr="00DA5E7E">
        <w:rPr>
          <w:lang w:val="en-US"/>
        </w:rPr>
        <w:t>41et 42.</w:t>
      </w:r>
    </w:p>
  </w:footnote>
  <w:footnote w:id="520">
    <w:p w14:paraId="6623941C" w14:textId="75E5A070" w:rsidR="00D301C6" w:rsidRPr="00D10EF8" w:rsidRDefault="00D233E2" w:rsidP="005B4367">
      <w:pPr>
        <w:pStyle w:val="FootnoteText"/>
      </w:pPr>
      <w:r w:rsidRPr="00DA5E7E">
        <w:rPr>
          <w:lang w:val="en-US"/>
        </w:rPr>
        <w:tab/>
      </w:r>
      <w:r w:rsidRPr="00093AC5">
        <w:rPr>
          <w:rStyle w:val="FootnoteReference"/>
        </w:rPr>
        <w:footnoteRef/>
      </w:r>
      <w:r w:rsidRPr="00DA5E7E">
        <w:rPr>
          <w:lang w:val="en-US"/>
        </w:rPr>
        <w:tab/>
      </w:r>
      <w:hyperlink r:id="rId588" w:history="1">
        <w:r w:rsidR="00D301C6" w:rsidRPr="00813782">
          <w:rPr>
            <w:rStyle w:val="Hyperlink"/>
            <w:lang w:val="en-US"/>
          </w:rPr>
          <w:t>https://netpol.org/black-lives-matter/</w:t>
        </w:r>
      </w:hyperlink>
      <w:r w:rsidR="00D301C6" w:rsidRPr="00813782">
        <w:rPr>
          <w:lang w:val="en-US"/>
        </w:rPr>
        <w:t xml:space="preserve">, </w:t>
      </w:r>
      <w:r w:rsidR="002A7FA1">
        <w:rPr>
          <w:lang w:val="en-US"/>
        </w:rPr>
        <w:t>p. </w:t>
      </w:r>
      <w:r w:rsidR="00D301C6" w:rsidRPr="00813782">
        <w:rPr>
          <w:lang w:val="en-US"/>
        </w:rPr>
        <w:t xml:space="preserve">3. </w:t>
      </w:r>
      <w:r w:rsidR="00D301C6" w:rsidRPr="00D10EF8">
        <w:t>Voir également les communications de Black Protest Legal Support et de Race Equality First</w:t>
      </w:r>
      <w:r w:rsidR="00BF73AB">
        <w:t> ;</w:t>
      </w:r>
      <w:r w:rsidR="00D301C6" w:rsidRPr="00D10EF8">
        <w:t xml:space="preserve"> </w:t>
      </w:r>
      <w:hyperlink r:id="rId589" w:history="1">
        <w:r w:rsidR="00D301C6" w:rsidRPr="00D10EF8">
          <w:rPr>
            <w:rStyle w:val="Hyperlink"/>
            <w:lang w:val="fr-FR"/>
          </w:rPr>
          <w:t>https://www.amnesty.org/fr/documents/pol10/3202/2021/fr/</w:t>
        </w:r>
      </w:hyperlink>
      <w:r w:rsidR="00D301C6" w:rsidRPr="00D10EF8">
        <w:t xml:space="preserve">, </w:t>
      </w:r>
      <w:r w:rsidR="002A7FA1">
        <w:t>p. </w:t>
      </w:r>
      <w:r w:rsidR="00D301C6" w:rsidRPr="00D10EF8">
        <w:t>379 et 380</w:t>
      </w:r>
    </w:p>
  </w:footnote>
  <w:footnote w:id="521">
    <w:p w14:paraId="7DF5E6EF" w14:textId="58229FCC" w:rsidR="00D301C6" w:rsidRPr="00D10EF8" w:rsidRDefault="00D233E2" w:rsidP="005B4367">
      <w:pPr>
        <w:pStyle w:val="FootnoteText"/>
      </w:pPr>
      <w:r w:rsidRPr="00D10EF8">
        <w:tab/>
      </w:r>
      <w:r w:rsidRPr="00093AC5">
        <w:rPr>
          <w:rStyle w:val="FootnoteReference"/>
        </w:rPr>
        <w:footnoteRef/>
      </w:r>
      <w:r w:rsidRPr="00D10EF8">
        <w:tab/>
      </w:r>
      <w:hyperlink r:id="rId590" w:history="1">
        <w:r w:rsidR="00D301C6" w:rsidRPr="00D10EF8">
          <w:rPr>
            <w:rStyle w:val="Hyperlink"/>
            <w:lang w:val="fr-FR"/>
          </w:rPr>
          <w:t>https://www.bbc.com/news/uk-england-tyne-53034023</w:t>
        </w:r>
      </w:hyperlink>
      <w:r w:rsidR="00BF73AB">
        <w:t> ;</w:t>
      </w:r>
      <w:r w:rsidR="00D301C6" w:rsidRPr="00D10EF8">
        <w:t xml:space="preserve"> </w:t>
      </w:r>
      <w:hyperlink r:id="rId591" w:history="1">
        <w:r w:rsidR="00D301C6" w:rsidRPr="00D10EF8">
          <w:rPr>
            <w:rStyle w:val="Hyperlink"/>
            <w:lang w:val="fr-FR"/>
          </w:rPr>
          <w:t>https://www.bbc.com/news/uk-england-london-52954899</w:t>
        </w:r>
      </w:hyperlink>
      <w:r w:rsidR="00D301C6" w:rsidRPr="00D10EF8">
        <w:rPr>
          <w:rStyle w:val="Hyperlink"/>
          <w:lang w:val="fr-FR"/>
        </w:rPr>
        <w:t>.</w:t>
      </w:r>
    </w:p>
  </w:footnote>
  <w:footnote w:id="522">
    <w:p w14:paraId="5DA96D30" w14:textId="20210F1B"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Communications de Black Protest Legal Support et de Race Equality First. Voir également </w:t>
      </w:r>
      <w:hyperlink r:id="rId592" w:history="1">
        <w:r w:rsidR="00D301C6" w:rsidRPr="00D10EF8">
          <w:rPr>
            <w:rStyle w:val="Hyperlink"/>
            <w:lang w:val="fr-FR"/>
          </w:rPr>
          <w:t>https://netpol.org/black-lives-matter/</w:t>
        </w:r>
      </w:hyperlink>
      <w:r w:rsidR="00BF73AB">
        <w:t> </w:t>
      </w:r>
      <w:r w:rsidR="00BF73AB" w:rsidRPr="00FA5BFC">
        <w:t>;</w:t>
      </w:r>
      <w:r w:rsidR="00D301C6" w:rsidRPr="00D10EF8">
        <w:t xml:space="preserve"> </w:t>
      </w:r>
      <w:hyperlink r:id="rId593" w:history="1">
        <w:r w:rsidR="00D301C6" w:rsidRPr="00D10EF8">
          <w:rPr>
            <w:rStyle w:val="Hyperlink"/>
            <w:lang w:val="fr-FR"/>
          </w:rPr>
          <w:t>https://monitor.civicus.org/updates/2020/12/15/peaceful-assembly-under-threat-crackdown-environmental-and-blm-protesters/</w:t>
        </w:r>
      </w:hyperlink>
      <w:r w:rsidR="00BF73AB">
        <w:rPr>
          <w:rStyle w:val="Hyperlink"/>
          <w:lang w:val="fr-FR"/>
        </w:rPr>
        <w:t> </w:t>
      </w:r>
      <w:r w:rsidR="00BF73AB" w:rsidRPr="00FA5BFC">
        <w:rPr>
          <w:rStyle w:val="Hyperlink"/>
          <w:color w:val="auto"/>
          <w:lang w:val="fr-FR"/>
        </w:rPr>
        <w:t>;</w:t>
      </w:r>
      <w:r w:rsidR="00D301C6" w:rsidRPr="00FA5BFC">
        <w:t xml:space="preserve"> </w:t>
      </w:r>
      <w:hyperlink r:id="rId594" w:history="1">
        <w:r w:rsidR="00D301C6" w:rsidRPr="00D10EF8">
          <w:rPr>
            <w:rStyle w:val="Hyperlink"/>
            <w:lang w:val="fr-FR"/>
          </w:rPr>
          <w:t>https://www.bbc.com/</w:t>
        </w:r>
        <w:r w:rsidR="00FA5BFC">
          <w:rPr>
            <w:rStyle w:val="Hyperlink"/>
            <w:lang w:val="fr-FR"/>
          </w:rPr>
          <w:t xml:space="preserve"> </w:t>
        </w:r>
        <w:r w:rsidR="00D301C6" w:rsidRPr="00D10EF8">
          <w:rPr>
            <w:rStyle w:val="Hyperlink"/>
            <w:lang w:val="fr-FR"/>
          </w:rPr>
          <w:t>news/uk-53031072</w:t>
        </w:r>
      </w:hyperlink>
      <w:r w:rsidR="00BF73AB">
        <w:t> </w:t>
      </w:r>
      <w:r w:rsidR="00BF73AB" w:rsidRPr="00FA5BFC">
        <w:t>;</w:t>
      </w:r>
      <w:r w:rsidR="00D301C6" w:rsidRPr="00FA5BFC">
        <w:t xml:space="preserve"> </w:t>
      </w:r>
      <w:hyperlink r:id="rId595" w:history="1">
        <w:r w:rsidR="00D301C6" w:rsidRPr="00D10EF8">
          <w:rPr>
            <w:rStyle w:val="Hyperlink"/>
            <w:lang w:val="fr-FR"/>
          </w:rPr>
          <w:t>https://covid19.inclo.net/2020/06/23/united-kingdom-anti-lockdown-protests-and-blm-solidarity-marches/</w:t>
        </w:r>
      </w:hyperlink>
      <w:r w:rsidR="00BF73AB">
        <w:t> </w:t>
      </w:r>
      <w:r w:rsidR="00BF73AB" w:rsidRPr="00FA5BFC">
        <w:t>;</w:t>
      </w:r>
      <w:r w:rsidR="00D301C6" w:rsidRPr="00D10EF8">
        <w:t xml:space="preserve"> </w:t>
      </w:r>
      <w:hyperlink r:id="rId596" w:history="1">
        <w:r w:rsidR="00D301C6" w:rsidRPr="00D10EF8">
          <w:rPr>
            <w:rStyle w:val="Hyperlink"/>
            <w:lang w:val="fr-FR"/>
          </w:rPr>
          <w:t>https://www.bbc.co.uk/news/uk-england-london-52954899</w:t>
        </w:r>
      </w:hyperlink>
      <w:r w:rsidR="00D301C6" w:rsidRPr="00D10EF8">
        <w:t>.</w:t>
      </w:r>
    </w:p>
  </w:footnote>
  <w:footnote w:id="523">
    <w:p w14:paraId="47CEA8C6" w14:textId="20FB3048"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Voir, par exemple, </w:t>
      </w:r>
      <w:hyperlink r:id="rId597" w:history="1">
        <w:r w:rsidR="00D301C6" w:rsidRPr="00D10EF8">
          <w:rPr>
            <w:rStyle w:val="Hyperlink"/>
            <w:lang w:val="fr-FR"/>
          </w:rPr>
          <w:t>https://carnegieeurope.eu/2021/01/27/europeans-right-to-protest-under-threat-pub-83735</w:t>
        </w:r>
      </w:hyperlink>
      <w:r w:rsidR="00BF73AB">
        <w:rPr>
          <w:rStyle w:val="Hyperlink"/>
          <w:lang w:val="fr-FR"/>
        </w:rPr>
        <w:t> </w:t>
      </w:r>
      <w:r w:rsidR="00BF73AB" w:rsidRPr="002D5B5D">
        <w:rPr>
          <w:rStyle w:val="Hyperlink"/>
          <w:color w:val="auto"/>
          <w:lang w:val="fr-FR"/>
        </w:rPr>
        <w:t>;</w:t>
      </w:r>
      <w:r w:rsidR="00D301C6" w:rsidRPr="00D10EF8">
        <w:t xml:space="preserve"> </w:t>
      </w:r>
      <w:hyperlink r:id="rId598" w:anchor="_ftn7" w:history="1">
        <w:r w:rsidR="00D301C6" w:rsidRPr="00D10EF8">
          <w:rPr>
            <w:rStyle w:val="Hyperlink"/>
            <w:lang w:val="fr-FR"/>
          </w:rPr>
          <w:t>https://www.liguedh.be/quand-les-citoyen%c2%b7ne%c2%b7s-utilisent-leur-droit-de-manifester-pour-denoncer-les-violences-policieres-les-forces-de-lordre-repondent-par-la-violence/#_ftn7</w:t>
        </w:r>
      </w:hyperlink>
      <w:r w:rsidR="00BF73AB">
        <w:rPr>
          <w:rStyle w:val="Hyperlink"/>
          <w:lang w:val="fr-FR"/>
        </w:rPr>
        <w:t> </w:t>
      </w:r>
      <w:r w:rsidR="00BF73AB" w:rsidRPr="002D5B5D">
        <w:rPr>
          <w:rStyle w:val="Hyperlink"/>
          <w:color w:val="auto"/>
          <w:lang w:val="fr-FR"/>
        </w:rPr>
        <w:t>;</w:t>
      </w:r>
      <w:r w:rsidR="00D301C6" w:rsidRPr="00D10EF8">
        <w:t xml:space="preserve"> </w:t>
      </w:r>
      <w:hyperlink r:id="rId599" w:history="1">
        <w:r w:rsidR="00D301C6" w:rsidRPr="00D10EF8">
          <w:rPr>
            <w:rStyle w:val="Hyperlink"/>
            <w:lang w:val="fr-FR"/>
          </w:rPr>
          <w:t>https://monitor.civicus.org/updates/2020/08/25/pandemic-brazil-aggravates-democratic-backslide/h</w:t>
        </w:r>
      </w:hyperlink>
      <w:r w:rsidR="00BF73AB">
        <w:rPr>
          <w:rStyle w:val="Hyperlink"/>
          <w:lang w:val="fr-FR"/>
        </w:rPr>
        <w:t> </w:t>
      </w:r>
      <w:r w:rsidR="00BF73AB" w:rsidRPr="002D5B5D">
        <w:rPr>
          <w:rStyle w:val="Hyperlink"/>
          <w:color w:val="auto"/>
          <w:lang w:val="fr-FR"/>
        </w:rPr>
        <w:t>;</w:t>
      </w:r>
      <w:r w:rsidR="00D301C6" w:rsidRPr="00D10EF8">
        <w:t xml:space="preserve"> </w:t>
      </w:r>
      <w:hyperlink r:id="rId600" w:history="1">
        <w:r w:rsidR="00D301C6" w:rsidRPr="00D10EF8">
          <w:rPr>
            <w:rStyle w:val="Hyperlink"/>
            <w:lang w:val="fr-FR"/>
          </w:rPr>
          <w:t>https://www.reuters.com/article/us-minneapolis-police-protests-france-idUSKBN23K0J3</w:t>
        </w:r>
      </w:hyperlink>
      <w:r w:rsidR="00D301C6" w:rsidRPr="00D10EF8">
        <w:rPr>
          <w:rStyle w:val="Hyperlink"/>
          <w:lang w:val="fr-FR"/>
        </w:rPr>
        <w:t>.</w:t>
      </w:r>
    </w:p>
  </w:footnote>
  <w:footnote w:id="524">
    <w:p w14:paraId="5E2D81B4" w14:textId="11659E56" w:rsidR="00D301C6" w:rsidRPr="00D10EF8" w:rsidRDefault="00D233E2" w:rsidP="005B4367">
      <w:pPr>
        <w:pStyle w:val="FootnoteText"/>
      </w:pPr>
      <w:r w:rsidRPr="00D10EF8">
        <w:tab/>
      </w:r>
      <w:r w:rsidRPr="00093AC5">
        <w:rPr>
          <w:rStyle w:val="FootnoteReference"/>
        </w:rPr>
        <w:footnoteRef/>
      </w:r>
      <w:r w:rsidRPr="00D10EF8">
        <w:tab/>
      </w:r>
      <w:hyperlink r:id="rId601" w:history="1">
        <w:r w:rsidR="00D301C6" w:rsidRPr="00D10EF8">
          <w:rPr>
            <w:rStyle w:val="Hyperlink"/>
            <w:lang w:val="fr-FR"/>
          </w:rPr>
          <w:t>https://www.amnesty.org/download/Documents/AMR5132382020ENGLISH.PDF</w:t>
        </w:r>
      </w:hyperlink>
      <w:r w:rsidR="00D301C6" w:rsidRPr="002D5B5D">
        <w:rPr>
          <w:rStyle w:val="Hyperlink"/>
          <w:color w:val="auto"/>
          <w:lang w:val="fr-FR"/>
        </w:rPr>
        <w:t xml:space="preserve">, </w:t>
      </w:r>
      <w:r w:rsidR="002A7FA1" w:rsidRPr="002D5B5D">
        <w:rPr>
          <w:rStyle w:val="Hyperlink"/>
          <w:color w:val="auto"/>
          <w:lang w:val="fr-FR"/>
        </w:rPr>
        <w:t>p. </w:t>
      </w:r>
      <w:r w:rsidR="00D301C6" w:rsidRPr="002D5B5D">
        <w:rPr>
          <w:rStyle w:val="Hyperlink"/>
          <w:color w:val="auto"/>
          <w:lang w:val="fr-FR"/>
        </w:rPr>
        <w:t>4.</w:t>
      </w:r>
    </w:p>
  </w:footnote>
  <w:footnote w:id="525">
    <w:p w14:paraId="12D5C510" w14:textId="19F20E59" w:rsidR="00D301C6" w:rsidRPr="004A035C" w:rsidRDefault="00D233E2" w:rsidP="005B4367">
      <w:pPr>
        <w:pStyle w:val="FootnoteText"/>
      </w:pPr>
      <w:r w:rsidRPr="00D10EF8">
        <w:tab/>
      </w:r>
      <w:r w:rsidRPr="00093AC5">
        <w:rPr>
          <w:rStyle w:val="FootnoteReference"/>
        </w:rPr>
        <w:footnoteRef/>
      </w:r>
      <w:r w:rsidRPr="00D10EF8">
        <w:tab/>
      </w:r>
      <w:hyperlink r:id="rId602" w:history="1">
        <w:r w:rsidR="00D301C6" w:rsidRPr="00D10EF8">
          <w:rPr>
            <w:rStyle w:val="Hyperlink"/>
            <w:lang w:val="fr-FR"/>
          </w:rPr>
          <w:t>https://www.amnesty.org/download/Documents/AMR5132382020ENGLISH.PDF</w:t>
        </w:r>
      </w:hyperlink>
      <w:r w:rsidR="00D301C6" w:rsidRPr="00D10EF8">
        <w:t xml:space="preserve">. </w:t>
      </w:r>
      <w:hyperlink r:id="rId603" w:history="1">
        <w:r w:rsidR="00D301C6" w:rsidRPr="004A035C">
          <w:rPr>
            <w:rStyle w:val="Hyperlink"/>
          </w:rPr>
          <w:t>https://www.amnesty.org/en/latest/news/2020/10/usa-police-failing-protect-protesters-from-violence/</w:t>
        </w:r>
      </w:hyperlink>
      <w:r w:rsidR="00BF73AB">
        <w:rPr>
          <w:rStyle w:val="Hyperlink"/>
        </w:rPr>
        <w:t> </w:t>
      </w:r>
      <w:r w:rsidR="00BF73AB" w:rsidRPr="00FC64FB">
        <w:rPr>
          <w:rStyle w:val="Hyperlink"/>
          <w:color w:val="auto"/>
        </w:rPr>
        <w:t>;</w:t>
      </w:r>
      <w:r w:rsidR="00D301C6" w:rsidRPr="004A035C">
        <w:rPr>
          <w:rStyle w:val="Hyperlink"/>
        </w:rPr>
        <w:t xml:space="preserve"> </w:t>
      </w:r>
      <w:hyperlink r:id="rId604" w:history="1">
        <w:r w:rsidR="00D301C6" w:rsidRPr="004A035C">
          <w:rPr>
            <w:rStyle w:val="Hyperlink"/>
          </w:rPr>
          <w:t>https://pen.org/press-release/kenosha-authorities-must-commit-to-protecting-protesters/</w:t>
        </w:r>
      </w:hyperlink>
      <w:r w:rsidR="00D301C6" w:rsidRPr="004A035C">
        <w:t>.</w:t>
      </w:r>
    </w:p>
  </w:footnote>
  <w:footnote w:id="526">
    <w:p w14:paraId="2DF5B527" w14:textId="64A90288" w:rsidR="00D301C6" w:rsidRPr="00DA5E7E" w:rsidRDefault="00D233E2" w:rsidP="005B4367">
      <w:pPr>
        <w:pStyle w:val="FootnoteText"/>
        <w:rPr>
          <w:lang w:val="en-US"/>
        </w:rPr>
      </w:pPr>
      <w:r w:rsidRPr="00D10EF8">
        <w:tab/>
      </w:r>
      <w:r w:rsidRPr="00093AC5">
        <w:rPr>
          <w:rStyle w:val="FootnoteReference"/>
        </w:rPr>
        <w:footnoteRef/>
      </w:r>
      <w:r w:rsidRPr="00DA5E7E">
        <w:rPr>
          <w:lang w:val="en-US"/>
        </w:rPr>
        <w:tab/>
      </w:r>
      <w:hyperlink r:id="rId605" w:history="1">
        <w:r w:rsidR="00D301C6" w:rsidRPr="00813782">
          <w:rPr>
            <w:rStyle w:val="Hyperlink"/>
            <w:lang w:val="en-US"/>
          </w:rPr>
          <w:t>https://www.amnesty.org/download/Documents/AMR5132382020ENGLISH.PDF</w:t>
        </w:r>
      </w:hyperlink>
      <w:r w:rsidR="00D301C6" w:rsidRPr="00DA5E7E">
        <w:rPr>
          <w:lang w:val="en-US"/>
        </w:rPr>
        <w:t xml:space="preserve">, </w:t>
      </w:r>
      <w:r w:rsidR="002A7FA1" w:rsidRPr="00DA5E7E">
        <w:rPr>
          <w:lang w:val="en-US"/>
        </w:rPr>
        <w:t>p. </w:t>
      </w:r>
      <w:r w:rsidR="00D301C6" w:rsidRPr="00DA5E7E">
        <w:rPr>
          <w:lang w:val="en-US"/>
        </w:rPr>
        <w:t>4, 6, 12</w:t>
      </w:r>
      <w:r w:rsidR="00BF73AB">
        <w:rPr>
          <w:lang w:val="en-US"/>
        </w:rPr>
        <w:t> ;</w:t>
      </w:r>
      <w:r w:rsidR="00D301C6" w:rsidRPr="00DA5E7E">
        <w:rPr>
          <w:lang w:val="en-US"/>
        </w:rPr>
        <w:t xml:space="preserve"> </w:t>
      </w:r>
      <w:hyperlink r:id="rId606" w:history="1">
        <w:r w:rsidR="00D301C6" w:rsidRPr="00813782">
          <w:rPr>
            <w:rStyle w:val="Hyperlink"/>
            <w:lang w:val="en-US"/>
          </w:rPr>
          <w:t>https://spcommreports.ohchr.org/TMResultsBase/DownLoadPublicCommunicationFile?gId=25802</w:t>
        </w:r>
      </w:hyperlink>
      <w:r w:rsidR="00BF73AB">
        <w:rPr>
          <w:rStyle w:val="Hyperlink"/>
          <w:lang w:val="en-US"/>
        </w:rPr>
        <w:t> </w:t>
      </w:r>
      <w:r w:rsidR="00BF73AB" w:rsidRPr="00FC64FB">
        <w:rPr>
          <w:rStyle w:val="Hyperlink"/>
          <w:color w:val="auto"/>
          <w:lang w:val="en-US"/>
        </w:rPr>
        <w:t>;</w:t>
      </w:r>
      <w:r w:rsidR="00D301C6" w:rsidRPr="00DA5E7E">
        <w:rPr>
          <w:lang w:val="en-US"/>
        </w:rPr>
        <w:t xml:space="preserve"> communication de la Andy and Gwen Stern Community Lawyering Clinic/American Civil Liberties Union Pennsylvania.</w:t>
      </w:r>
    </w:p>
  </w:footnote>
  <w:footnote w:id="527">
    <w:p w14:paraId="463377CD" w14:textId="78A29F95"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hyperlink r:id="rId607" w:history="1">
        <w:r w:rsidR="00D301C6" w:rsidRPr="00813782">
          <w:rPr>
            <w:rStyle w:val="Hyperlink"/>
            <w:lang w:val="en-US"/>
          </w:rPr>
          <w:t>https://monitor.civicus.org/updates/2021/01/08/authorities-fail-protect-anti-racism-protesters-climate-protests-staged/</w:t>
        </w:r>
      </w:hyperlink>
      <w:r w:rsidR="00D301C6" w:rsidRPr="00DA5E7E">
        <w:rPr>
          <w:lang w:val="en-US"/>
        </w:rPr>
        <w:t>.</w:t>
      </w:r>
    </w:p>
  </w:footnote>
  <w:footnote w:id="528">
    <w:p w14:paraId="3F87DD1F" w14:textId="1BC4CE17"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hyperlink r:id="rId608" w:history="1">
        <w:r w:rsidR="00D301C6" w:rsidRPr="00DA5E7E">
          <w:rPr>
            <w:color w:val="0000FF"/>
            <w:lang w:val="en-US"/>
          </w:rPr>
          <w:t>https://nltimes.nl/2016/11/12/nearly-200-anti-zwarte-piet-protesters-arrested-rotterdam</w:t>
        </w:r>
      </w:hyperlink>
      <w:r w:rsidR="00BF73AB">
        <w:rPr>
          <w:color w:val="0000FF"/>
          <w:lang w:val="en-US"/>
        </w:rPr>
        <w:t> </w:t>
      </w:r>
      <w:r w:rsidR="00BF73AB" w:rsidRPr="00FC64FB">
        <w:rPr>
          <w:lang w:val="en-US"/>
        </w:rPr>
        <w:t>;</w:t>
      </w:r>
      <w:r w:rsidR="00D301C6" w:rsidRPr="00FC64FB">
        <w:rPr>
          <w:lang w:val="en-US"/>
        </w:rPr>
        <w:t xml:space="preserve"> </w:t>
      </w:r>
      <w:hyperlink r:id="rId609" w:history="1">
        <w:r w:rsidR="00D301C6" w:rsidRPr="00813782">
          <w:rPr>
            <w:rStyle w:val="Hyperlink"/>
            <w:lang w:val="en-US"/>
          </w:rPr>
          <w:t>https://nltimes.nl/2017/11/18/white-extremists-stop-anti-blackface-rally-officials-say-zwarte-piet-protestors-welcome</w:t>
        </w:r>
      </w:hyperlink>
      <w:r w:rsidR="00BF73AB">
        <w:rPr>
          <w:rStyle w:val="Hyperlink"/>
          <w:lang w:val="en-US"/>
        </w:rPr>
        <w:t> </w:t>
      </w:r>
      <w:r w:rsidR="00BF73AB" w:rsidRPr="00FC64FB">
        <w:rPr>
          <w:rStyle w:val="Hyperlink"/>
          <w:color w:val="auto"/>
          <w:lang w:val="en-US"/>
        </w:rPr>
        <w:t>;</w:t>
      </w:r>
      <w:r w:rsidR="00D301C6" w:rsidRPr="00DA5E7E">
        <w:rPr>
          <w:lang w:val="en-US"/>
        </w:rPr>
        <w:t xml:space="preserve"> </w:t>
      </w:r>
      <w:hyperlink r:id="rId610" w:history="1">
        <w:r w:rsidR="00D301C6" w:rsidRPr="00813782">
          <w:rPr>
            <w:rStyle w:val="Hyperlink"/>
            <w:lang w:val="en-US"/>
          </w:rPr>
          <w:t>https://www.hartvannederland.nl/nieuws/overzicht-vreedzaam-protest-op-veel-plekken-opgewacht-met-geweld</w:t>
        </w:r>
      </w:hyperlink>
      <w:r w:rsidR="00D301C6" w:rsidRPr="00DA5E7E">
        <w:rPr>
          <w:lang w:val="en-US"/>
        </w:rPr>
        <w:t>.</w:t>
      </w:r>
    </w:p>
  </w:footnote>
  <w:footnote w:id="529">
    <w:p w14:paraId="5A3ACC72" w14:textId="217015C5" w:rsidR="00D301C6" w:rsidRPr="00D10EF8" w:rsidRDefault="00D233E2" w:rsidP="005B4367">
      <w:pPr>
        <w:pStyle w:val="FootnoteText"/>
        <w:rPr>
          <w:lang w:val="fr-FR"/>
        </w:rPr>
      </w:pPr>
      <w:r w:rsidRPr="00DA5E7E">
        <w:rPr>
          <w:lang w:val="en-US"/>
        </w:rPr>
        <w:tab/>
      </w:r>
      <w:r w:rsidRPr="00093AC5">
        <w:rPr>
          <w:rStyle w:val="FootnoteReference"/>
        </w:rPr>
        <w:footnoteRef/>
      </w:r>
      <w:r w:rsidRPr="00DA5E7E">
        <w:rPr>
          <w:lang w:val="en-US"/>
        </w:rPr>
        <w:tab/>
      </w:r>
      <w:r w:rsidR="00D301C6" w:rsidRPr="00DA5E7E">
        <w:rPr>
          <w:lang w:val="en-US"/>
        </w:rPr>
        <w:t>Communication de Forensic Architecture/Bellingcat. Voir également la communication de l</w:t>
      </w:r>
      <w:r w:rsidR="00F60EAA">
        <w:rPr>
          <w:lang w:val="en-US"/>
        </w:rPr>
        <w:t>’</w:t>
      </w:r>
      <w:r w:rsidR="00D301C6" w:rsidRPr="00DA5E7E">
        <w:rPr>
          <w:lang w:val="en-US"/>
        </w:rPr>
        <w:t xml:space="preserve">University of Southern California Gould School of Law International Human Rights Clinic/Access Now avec le concours de Foley Hoag LLP. </w:t>
      </w:r>
      <w:hyperlink r:id="rId611" w:history="1">
        <w:r w:rsidR="00D301C6" w:rsidRPr="004A035C">
          <w:rPr>
            <w:rStyle w:val="Hyperlink"/>
          </w:rPr>
          <w:t>https://www.theguardian.com/us-news/2020/oct/29/us-police-brutality-protest</w:t>
        </w:r>
      </w:hyperlink>
      <w:r w:rsidR="00D301C6" w:rsidRPr="004A035C">
        <w:t xml:space="preserve">. </w:t>
      </w:r>
      <w:r w:rsidR="00D301C6" w:rsidRPr="00D10EF8">
        <w:rPr>
          <w:lang w:val="fr-FR"/>
        </w:rPr>
        <w:t xml:space="preserve">Voir également </w:t>
      </w:r>
      <w:hyperlink r:id="rId612" w:anchor="page=2" w:history="1">
        <w:r w:rsidR="00D301C6" w:rsidRPr="00D10EF8">
          <w:rPr>
            <w:rStyle w:val="Hyperlink"/>
            <w:lang w:val="fr-FR"/>
          </w:rPr>
          <w:t>https://civicus.org/documents/SOCS2021Part1.pdf#page=2</w:t>
        </w:r>
      </w:hyperlink>
      <w:r w:rsidR="00D301C6" w:rsidRPr="00D10EF8">
        <w:rPr>
          <w:lang w:val="fr-FR"/>
        </w:rPr>
        <w:t xml:space="preserve">, </w:t>
      </w:r>
      <w:r w:rsidR="002A7FA1">
        <w:rPr>
          <w:lang w:val="fr-FR"/>
        </w:rPr>
        <w:t>p. </w:t>
      </w:r>
      <w:r w:rsidR="00D301C6" w:rsidRPr="00D10EF8">
        <w:rPr>
          <w:lang w:val="fr-FR"/>
        </w:rPr>
        <w:t>32.</w:t>
      </w:r>
    </w:p>
  </w:footnote>
  <w:footnote w:id="530">
    <w:p w14:paraId="1CC2179E" w14:textId="6E281271" w:rsidR="00D301C6" w:rsidRPr="00D10EF8" w:rsidRDefault="00D233E2" w:rsidP="005B4367">
      <w:pPr>
        <w:pStyle w:val="FootnoteText"/>
      </w:pPr>
      <w:r w:rsidRPr="00D10EF8">
        <w:tab/>
      </w:r>
      <w:r w:rsidRPr="00093AC5">
        <w:rPr>
          <w:rStyle w:val="FootnoteReference"/>
        </w:rPr>
        <w:footnoteRef/>
      </w:r>
      <w:r w:rsidRPr="00D10EF8">
        <w:tab/>
      </w:r>
      <w:hyperlink r:id="rId613" w:history="1">
        <w:r w:rsidR="00D301C6" w:rsidRPr="00D10EF8">
          <w:rPr>
            <w:rStyle w:val="Hyperlink"/>
            <w:lang w:val="fr-FR"/>
          </w:rPr>
          <w:t>https://www.theguardian.com/us-news/2021/jan/13/us-police-use-of-force-protests-black-lives-matter-far-right</w:t>
        </w:r>
      </w:hyperlink>
      <w:r w:rsidR="00D301C6" w:rsidRPr="00D10EF8">
        <w:t xml:space="preserve"> à propos de l</w:t>
      </w:r>
      <w:r w:rsidR="00F60EAA">
        <w:t>’</w:t>
      </w:r>
      <w:r w:rsidR="00D301C6" w:rsidRPr="00D10EF8">
        <w:t>ACLED</w:t>
      </w:r>
      <w:r w:rsidR="00BF73AB">
        <w:t> ;</w:t>
      </w:r>
      <w:r w:rsidR="00D301C6" w:rsidRPr="00D10EF8">
        <w:t xml:space="preserve"> </w:t>
      </w:r>
      <w:hyperlink r:id="rId614" w:history="1">
        <w:r w:rsidR="00D301C6" w:rsidRPr="00D10EF8">
          <w:rPr>
            <w:rStyle w:val="Hyperlink"/>
            <w:lang w:val="fr-FR"/>
          </w:rPr>
          <w:t>https://acleddata.com/acleddatanew/wp-content/uploads/2021/05/ACLED_Report_A-Year-of-Racial-Justice-Protests_May2021.pdf</w:t>
        </w:r>
      </w:hyperlink>
      <w:r w:rsidR="00D301C6" w:rsidRPr="00D10EF8">
        <w:rPr>
          <w:rStyle w:val="Hyperlink"/>
          <w:lang w:val="fr-FR"/>
        </w:rPr>
        <w:t>.</w:t>
      </w:r>
    </w:p>
  </w:footnote>
  <w:footnote w:id="531">
    <w:p w14:paraId="5D10D8F2" w14:textId="670A95A8" w:rsidR="00D301C6" w:rsidRPr="00D10EF8" w:rsidRDefault="00D233E2" w:rsidP="005B4367">
      <w:pPr>
        <w:pStyle w:val="FootnoteText"/>
      </w:pPr>
      <w:r w:rsidRPr="00D10EF8">
        <w:tab/>
      </w:r>
      <w:r w:rsidRPr="00093AC5">
        <w:rPr>
          <w:rStyle w:val="FootnoteReference"/>
        </w:rPr>
        <w:footnoteRef/>
      </w:r>
      <w:r w:rsidRPr="00D10EF8">
        <w:tab/>
      </w:r>
      <w:hyperlink r:id="rId615" w:history="1">
        <w:r w:rsidR="00D301C6" w:rsidRPr="00D10EF8">
          <w:rPr>
            <w:rStyle w:val="Hyperlink"/>
            <w:lang w:val="fr-FR"/>
          </w:rPr>
          <w:t>https://www.amnesty.org/download/Documents/AMR5132382020ENGLISH.PDF</w:t>
        </w:r>
      </w:hyperlink>
      <w:r w:rsidR="00D301C6" w:rsidRPr="00D10EF8">
        <w:t xml:space="preserve">, </w:t>
      </w:r>
      <w:r w:rsidR="002A7FA1">
        <w:t>p. </w:t>
      </w:r>
      <w:r w:rsidR="00D301C6" w:rsidRPr="00D10EF8">
        <w:t>5</w:t>
      </w:r>
      <w:r w:rsidR="00BF73AB">
        <w:t> ;</w:t>
      </w:r>
      <w:r w:rsidR="00D301C6" w:rsidRPr="00D10EF8">
        <w:t xml:space="preserve"> </w:t>
      </w:r>
      <w:hyperlink r:id="rId616" w:history="1">
        <w:r w:rsidR="00D301C6" w:rsidRPr="00D10EF8">
          <w:rPr>
            <w:rStyle w:val="Hyperlink"/>
            <w:lang w:val="fr-FR"/>
          </w:rPr>
          <w:t>https://www.hrw.org/news/2020/09/14/kenosha-police-turned-blind-eye-us-vigilantes</w:t>
        </w:r>
      </w:hyperlink>
      <w:r w:rsidR="00BF73AB">
        <w:rPr>
          <w:rStyle w:val="Hyperlink"/>
          <w:lang w:val="fr-FR"/>
        </w:rPr>
        <w:t> </w:t>
      </w:r>
      <w:r w:rsidR="00BF73AB" w:rsidRPr="00AD498B">
        <w:rPr>
          <w:rStyle w:val="Hyperlink"/>
          <w:color w:val="auto"/>
          <w:lang w:val="fr-FR"/>
        </w:rPr>
        <w:t>;</w:t>
      </w:r>
      <w:r w:rsidR="00D301C6" w:rsidRPr="00AD498B">
        <w:t xml:space="preserve"> </w:t>
      </w:r>
      <w:hyperlink r:id="rId617" w:history="1">
        <w:r w:rsidR="00D301C6" w:rsidRPr="00D10EF8">
          <w:rPr>
            <w:rStyle w:val="Hyperlink"/>
            <w:lang w:val="fr-FR"/>
          </w:rPr>
          <w:t>https://phr.org/our-work/resources/a-targeted-attack-on-the-bronx/</w:t>
        </w:r>
      </w:hyperlink>
      <w:r w:rsidR="00D301C6" w:rsidRPr="00D10EF8">
        <w:rPr>
          <w:rStyle w:val="Hyperlink"/>
          <w:lang w:val="fr-FR"/>
        </w:rPr>
        <w:t>.</w:t>
      </w:r>
    </w:p>
  </w:footnote>
  <w:footnote w:id="532">
    <w:p w14:paraId="6A5F9FDE" w14:textId="193E8C7F" w:rsidR="00D301C6" w:rsidRPr="00D10EF8" w:rsidRDefault="00D233E2" w:rsidP="005B4367">
      <w:pPr>
        <w:pStyle w:val="FootnoteText"/>
      </w:pPr>
      <w:r w:rsidRPr="00D10EF8">
        <w:tab/>
      </w:r>
      <w:r w:rsidRPr="00093AC5">
        <w:rPr>
          <w:rStyle w:val="FootnoteReference"/>
        </w:rPr>
        <w:footnoteRef/>
      </w:r>
      <w:r w:rsidRPr="00D10EF8">
        <w:tab/>
      </w:r>
      <w:r w:rsidR="00D301C6" w:rsidRPr="00D10EF8">
        <w:t xml:space="preserve">Communication de Race Equality First, à propos de </w:t>
      </w:r>
      <w:hyperlink r:id="rId618" w:history="1">
        <w:r w:rsidR="00D301C6" w:rsidRPr="00D10EF8">
          <w:rPr>
            <w:rStyle w:val="Hyperlink"/>
            <w:lang w:val="fr-FR"/>
          </w:rPr>
          <w:t>https://secureservercdn.net/50.62.198.70/</w:t>
        </w:r>
        <w:r w:rsidR="00AD498B">
          <w:rPr>
            <w:rStyle w:val="Hyperlink"/>
            <w:lang w:val="fr-FR"/>
          </w:rPr>
          <w:t xml:space="preserve"> </w:t>
        </w:r>
        <w:r w:rsidR="00D301C6" w:rsidRPr="00D10EF8">
          <w:rPr>
            <w:rStyle w:val="Hyperlink"/>
            <w:lang w:val="fr-FR"/>
          </w:rPr>
          <w:t>561.6fe.myftpupload.com/wp-content/uploads/2020/11/Britain-is-not-innocent-web-version.pdf</w:t>
        </w:r>
      </w:hyperlink>
      <w:r w:rsidR="00D301C6" w:rsidRPr="00D10EF8">
        <w:t>.</w:t>
      </w:r>
    </w:p>
  </w:footnote>
  <w:footnote w:id="533">
    <w:p w14:paraId="7184ED53" w14:textId="4A2CFCE4" w:rsidR="00D301C6" w:rsidRPr="00E21F93" w:rsidRDefault="00D233E2" w:rsidP="005B4367">
      <w:pPr>
        <w:pStyle w:val="FootnoteText"/>
        <w:rPr>
          <w:lang w:val="en-US"/>
        </w:rPr>
      </w:pPr>
      <w:r w:rsidRPr="00D10EF8">
        <w:tab/>
      </w:r>
      <w:r w:rsidRPr="00093AC5">
        <w:rPr>
          <w:rStyle w:val="FootnoteReference"/>
        </w:rPr>
        <w:footnoteRef/>
      </w:r>
      <w:r w:rsidRPr="00E21F93">
        <w:rPr>
          <w:lang w:val="en-US"/>
        </w:rPr>
        <w:tab/>
      </w:r>
      <w:r w:rsidR="00D301C6" w:rsidRPr="00E21F93">
        <w:rPr>
          <w:lang w:val="en-US"/>
        </w:rPr>
        <w:t>Communication de Black Protest Legal Support.</w:t>
      </w:r>
    </w:p>
  </w:footnote>
  <w:footnote w:id="534">
    <w:p w14:paraId="139175A7" w14:textId="0FA0AA6C" w:rsidR="00D301C6" w:rsidRPr="00AD498B" w:rsidRDefault="00D233E2" w:rsidP="005B4367">
      <w:pPr>
        <w:pStyle w:val="FootnoteText"/>
        <w:rPr>
          <w:lang w:val="en-US"/>
        </w:rPr>
      </w:pPr>
      <w:r w:rsidRPr="00E21F93">
        <w:rPr>
          <w:lang w:val="en-US"/>
        </w:rPr>
        <w:tab/>
      </w:r>
      <w:r w:rsidRPr="00093AC5">
        <w:rPr>
          <w:rStyle w:val="FootnoteReference"/>
        </w:rPr>
        <w:footnoteRef/>
      </w:r>
      <w:r w:rsidRPr="00AD498B">
        <w:rPr>
          <w:lang w:val="en-US"/>
        </w:rPr>
        <w:tab/>
      </w:r>
      <w:hyperlink r:id="rId619" w:history="1">
        <w:r w:rsidR="00D301C6" w:rsidRPr="00AD498B">
          <w:rPr>
            <w:rStyle w:val="Hyperlink"/>
            <w:lang w:val="en-US"/>
          </w:rPr>
          <w:t>https://secureservercdn.net/50.62.198.70/561.6fe.myftpupload.com/wp-content/uploads/2020/</w:t>
        </w:r>
        <w:r w:rsidR="00AD498B" w:rsidRPr="00AD498B">
          <w:rPr>
            <w:rStyle w:val="Hyperlink"/>
            <w:lang w:val="en-US"/>
          </w:rPr>
          <w:t xml:space="preserve"> </w:t>
        </w:r>
        <w:r w:rsidR="00D301C6" w:rsidRPr="00AD498B">
          <w:rPr>
            <w:rStyle w:val="Hyperlink"/>
            <w:lang w:val="en-US"/>
          </w:rPr>
          <w:t>11/Britain-is-not-innocent-web-version.pdf</w:t>
        </w:r>
      </w:hyperlink>
      <w:r w:rsidR="00D301C6" w:rsidRPr="00AD498B">
        <w:rPr>
          <w:lang w:val="en-US"/>
        </w:rPr>
        <w:t xml:space="preserve">, </w:t>
      </w:r>
      <w:r w:rsidR="002A7FA1" w:rsidRPr="00AD498B">
        <w:rPr>
          <w:lang w:val="en-US"/>
        </w:rPr>
        <w:t>p. </w:t>
      </w:r>
      <w:r w:rsidR="00D301C6" w:rsidRPr="00AD498B">
        <w:rPr>
          <w:lang w:val="en-US"/>
        </w:rPr>
        <w:t>6.</w:t>
      </w:r>
    </w:p>
  </w:footnote>
  <w:footnote w:id="535">
    <w:p w14:paraId="4E5B3BBE" w14:textId="56EC43AE" w:rsidR="00D301C6" w:rsidRPr="00DA5E7E" w:rsidRDefault="00D233E2" w:rsidP="005B4367">
      <w:pPr>
        <w:pStyle w:val="FootnoteText"/>
        <w:rPr>
          <w:lang w:val="en-US"/>
        </w:rPr>
      </w:pPr>
      <w:r w:rsidRPr="00AD498B">
        <w:rPr>
          <w:lang w:val="en-US"/>
        </w:rPr>
        <w:tab/>
      </w:r>
      <w:r w:rsidRPr="00093AC5">
        <w:rPr>
          <w:rStyle w:val="FootnoteReference"/>
        </w:rPr>
        <w:footnoteRef/>
      </w:r>
      <w:r w:rsidRPr="00DA5E7E">
        <w:rPr>
          <w:lang w:val="en-US"/>
        </w:rPr>
        <w:tab/>
      </w:r>
      <w:r w:rsidR="00D301C6" w:rsidRPr="00DA5E7E">
        <w:rPr>
          <w:lang w:val="en-US"/>
        </w:rPr>
        <w:t>Communications des organisations suivantes : American Civil Liberties Union (ACLU), Committee to Protect Journalists, Forensic Architecture/Bellingcat, Human Rights First, University of Southern California Gould School of Law International Human Rights Clinic/Access Now avec le concours de Foley Hoag LLP</w:t>
      </w:r>
      <w:r w:rsidR="00BF73AB">
        <w:rPr>
          <w:lang w:val="en-US"/>
        </w:rPr>
        <w:t> ;</w:t>
      </w:r>
      <w:r w:rsidR="00D301C6" w:rsidRPr="00DA5E7E">
        <w:rPr>
          <w:lang w:val="en-US"/>
        </w:rPr>
        <w:t xml:space="preserve"> </w:t>
      </w:r>
      <w:hyperlink r:id="rId620" w:history="1">
        <w:r w:rsidR="00D301C6" w:rsidRPr="00813782">
          <w:rPr>
            <w:rStyle w:val="Hyperlink"/>
            <w:lang w:val="en-US"/>
          </w:rPr>
          <w:t>https://spcommreports.ohchr.org/TMResultsBase/DownLoadPublic</w:t>
        </w:r>
        <w:r w:rsidR="003D7329">
          <w:rPr>
            <w:rStyle w:val="Hyperlink"/>
            <w:lang w:val="en-US"/>
          </w:rPr>
          <w:t xml:space="preserve"> </w:t>
        </w:r>
        <w:r w:rsidR="00D301C6" w:rsidRPr="00813782">
          <w:rPr>
            <w:rStyle w:val="Hyperlink"/>
            <w:lang w:val="en-US"/>
          </w:rPr>
          <w:t>CommunicationFile?gId=25589</w:t>
        </w:r>
      </w:hyperlink>
      <w:r w:rsidR="00BF73AB">
        <w:rPr>
          <w:rStyle w:val="Hyperlink"/>
          <w:lang w:val="en-US"/>
        </w:rPr>
        <w:t> </w:t>
      </w:r>
      <w:r w:rsidR="00BF73AB" w:rsidRPr="00AD498B">
        <w:rPr>
          <w:rStyle w:val="Hyperlink"/>
          <w:color w:val="auto"/>
          <w:lang w:val="en-US"/>
        </w:rPr>
        <w:t>;</w:t>
      </w:r>
      <w:r w:rsidR="00D301C6" w:rsidRPr="00AD498B">
        <w:rPr>
          <w:lang w:val="en-US"/>
        </w:rPr>
        <w:t xml:space="preserve"> </w:t>
      </w:r>
      <w:hyperlink r:id="rId621" w:history="1">
        <w:r w:rsidR="00D301C6" w:rsidRPr="00813782">
          <w:rPr>
            <w:lang w:val="en-US"/>
          </w:rPr>
          <w:t>https://www.ohchr.org/EN/NewsEvents/Pages/DisplayNews.aspx?</w:t>
        </w:r>
        <w:r w:rsidR="003D7329">
          <w:rPr>
            <w:lang w:val="en-US"/>
          </w:rPr>
          <w:t xml:space="preserve"> </w:t>
        </w:r>
        <w:r w:rsidR="00D301C6" w:rsidRPr="00813782">
          <w:rPr>
            <w:lang w:val="en-US"/>
          </w:rPr>
          <w:t>NewsID=25946&amp;LangID=E</w:t>
        </w:r>
      </w:hyperlink>
      <w:r w:rsidR="00BF73AB">
        <w:rPr>
          <w:lang w:val="en-US"/>
        </w:rPr>
        <w:t> ;</w:t>
      </w:r>
      <w:r w:rsidR="00D301C6" w:rsidRPr="00813782">
        <w:rPr>
          <w:lang w:val="en-US"/>
        </w:rPr>
        <w:t xml:space="preserve"> </w:t>
      </w:r>
      <w:hyperlink r:id="rId622" w:history="1">
        <w:r w:rsidR="00D301C6" w:rsidRPr="00813782">
          <w:rPr>
            <w:lang w:val="en-US"/>
          </w:rPr>
          <w:t>https://www.ohchr.org/EN/NewsEvents/Pages/DisplayNews.aspx?</w:t>
        </w:r>
        <w:r w:rsidR="003D7329">
          <w:rPr>
            <w:lang w:val="en-US"/>
          </w:rPr>
          <w:t xml:space="preserve"> </w:t>
        </w:r>
        <w:r w:rsidR="00D301C6" w:rsidRPr="00813782">
          <w:rPr>
            <w:lang w:val="en-US"/>
          </w:rPr>
          <w:t>NewsID=25933&amp;LangID=E</w:t>
        </w:r>
      </w:hyperlink>
      <w:r w:rsidR="00BF73AB">
        <w:rPr>
          <w:lang w:val="en-US"/>
        </w:rPr>
        <w:t> ;</w:t>
      </w:r>
      <w:r w:rsidR="00D301C6" w:rsidRPr="00DA5E7E">
        <w:rPr>
          <w:lang w:val="en-US"/>
        </w:rPr>
        <w:t xml:space="preserve"> </w:t>
      </w:r>
      <w:hyperlink r:id="rId623" w:history="1">
        <w:r w:rsidR="00D301C6" w:rsidRPr="00813782">
          <w:rPr>
            <w:rStyle w:val="Hyperlink"/>
            <w:lang w:val="en-US"/>
          </w:rPr>
          <w:t>https://www.humanrightsfirst.org/press-release/more-500-veterans-sign-letter-denouncing-use-armed-forces-suppress-civil-liberties</w:t>
        </w:r>
      </w:hyperlink>
      <w:r w:rsidR="00BF73AB">
        <w:rPr>
          <w:lang w:val="en-US"/>
        </w:rPr>
        <w:t> ;</w:t>
      </w:r>
      <w:r w:rsidR="00D301C6" w:rsidRPr="00DA5E7E">
        <w:rPr>
          <w:lang w:val="en-US"/>
        </w:rPr>
        <w:t xml:space="preserve"> </w:t>
      </w:r>
      <w:hyperlink r:id="rId624" w:history="1">
        <w:r w:rsidR="00D301C6" w:rsidRPr="00813782">
          <w:rPr>
            <w:rStyle w:val="Hyperlink"/>
            <w:lang w:val="en-US"/>
          </w:rPr>
          <w:t>https://www.humanrightsfirst.org/</w:t>
        </w:r>
        <w:r w:rsidR="003D7329">
          <w:rPr>
            <w:rStyle w:val="Hyperlink"/>
            <w:lang w:val="en-US"/>
          </w:rPr>
          <w:t xml:space="preserve"> </w:t>
        </w:r>
        <w:r w:rsidR="00D301C6" w:rsidRPr="00813782">
          <w:rPr>
            <w:rStyle w:val="Hyperlink"/>
            <w:lang w:val="en-US"/>
          </w:rPr>
          <w:t>press-release/retired-military-leaders-urge-governors-resist-trump-s-attempt-use-military-against</w:t>
        </w:r>
      </w:hyperlink>
      <w:r w:rsidR="00D301C6" w:rsidRPr="00DA5E7E">
        <w:rPr>
          <w:lang w:val="en-US"/>
        </w:rPr>
        <w:t>.</w:t>
      </w:r>
    </w:p>
  </w:footnote>
  <w:footnote w:id="536">
    <w:p w14:paraId="1D0FCB15" w14:textId="08B32994"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hyperlink r:id="rId625" w:history="1">
        <w:r w:rsidR="00D301C6" w:rsidRPr="00813782">
          <w:rPr>
            <w:rStyle w:val="Hyperlink"/>
            <w:lang w:val="en-US"/>
          </w:rPr>
          <w:t>https://www.amnestyusa.org/worldiswatching/</w:t>
        </w:r>
      </w:hyperlink>
      <w:r w:rsidR="00BF73AB">
        <w:rPr>
          <w:rStyle w:val="Hyperlink"/>
          <w:lang w:val="en-US"/>
        </w:rPr>
        <w:t> </w:t>
      </w:r>
      <w:r w:rsidR="00BF73AB" w:rsidRPr="00CB3EEF">
        <w:rPr>
          <w:rStyle w:val="Hyperlink"/>
          <w:color w:val="auto"/>
          <w:lang w:val="en-US"/>
        </w:rPr>
        <w:t>;</w:t>
      </w:r>
      <w:r w:rsidR="00D301C6" w:rsidRPr="00CB3EEF">
        <w:rPr>
          <w:lang w:val="en-US"/>
        </w:rPr>
        <w:t xml:space="preserve"> </w:t>
      </w:r>
      <w:hyperlink r:id="rId626" w:history="1">
        <w:r w:rsidR="00D301C6" w:rsidRPr="00813782">
          <w:rPr>
            <w:rStyle w:val="Hyperlink"/>
            <w:lang w:val="en-US"/>
          </w:rPr>
          <w:t>https://www.amnesty.org/fr/documents/</w:t>
        </w:r>
        <w:r w:rsidR="00CB3EEF">
          <w:rPr>
            <w:rStyle w:val="Hyperlink"/>
            <w:lang w:val="en-US"/>
          </w:rPr>
          <w:t xml:space="preserve"> </w:t>
        </w:r>
        <w:r w:rsidR="00D301C6" w:rsidRPr="00813782">
          <w:rPr>
            <w:rStyle w:val="Hyperlink"/>
            <w:lang w:val="en-US"/>
          </w:rPr>
          <w:t>amr51/2807/2020/fr/</w:t>
        </w:r>
      </w:hyperlink>
      <w:r w:rsidR="00D301C6" w:rsidRPr="00DA5E7E">
        <w:rPr>
          <w:lang w:val="en-US"/>
        </w:rPr>
        <w:t xml:space="preserve">, </w:t>
      </w:r>
      <w:r w:rsidR="002A7FA1" w:rsidRPr="00DA5E7E">
        <w:rPr>
          <w:lang w:val="en-US"/>
        </w:rPr>
        <w:t>p. </w:t>
      </w:r>
      <w:r w:rsidR="00D301C6" w:rsidRPr="00DA5E7E">
        <w:rPr>
          <w:lang w:val="en-US"/>
        </w:rPr>
        <w:t xml:space="preserve">24. </w:t>
      </w:r>
      <w:r w:rsidR="00D301C6" w:rsidRPr="00D10EF8">
        <w:rPr>
          <w:lang w:val="fr-FR"/>
        </w:rPr>
        <w:t xml:space="preserve">Voir également les communications du NAACP Legal Defense Fund, Inc. </w:t>
      </w:r>
      <w:r w:rsidR="00D301C6" w:rsidRPr="00DA5E7E">
        <w:rPr>
          <w:lang w:val="en-US"/>
        </w:rPr>
        <w:t>(LDF).</w:t>
      </w:r>
    </w:p>
  </w:footnote>
  <w:footnote w:id="537">
    <w:p w14:paraId="01EE9D0E" w14:textId="7E201719" w:rsidR="00D301C6" w:rsidRPr="00DA5E7E" w:rsidRDefault="00D233E2" w:rsidP="005B4367">
      <w:pPr>
        <w:pStyle w:val="FootnoteText"/>
        <w:rPr>
          <w:lang w:val="en-US"/>
        </w:rPr>
      </w:pPr>
      <w:bookmarkStart w:id="1059" w:name="_Hlk108717978"/>
      <w:r w:rsidRPr="00DA5E7E">
        <w:rPr>
          <w:lang w:val="en-US"/>
        </w:rPr>
        <w:tab/>
      </w:r>
      <w:r w:rsidRPr="00093AC5">
        <w:rPr>
          <w:rStyle w:val="FootnoteReference"/>
        </w:rPr>
        <w:footnoteRef/>
      </w:r>
      <w:r w:rsidRPr="00DA5E7E">
        <w:rPr>
          <w:lang w:val="en-US"/>
        </w:rPr>
        <w:tab/>
      </w:r>
      <w:r w:rsidR="00D301C6" w:rsidRPr="00DA5E7E">
        <w:rPr>
          <w:lang w:val="en-US"/>
        </w:rPr>
        <w:t xml:space="preserve">Communication de </w:t>
      </w:r>
      <w:bookmarkEnd w:id="1059"/>
      <w:r w:rsidR="00D301C6" w:rsidRPr="00DA5E7E">
        <w:rPr>
          <w:lang w:val="en-US"/>
        </w:rPr>
        <w:t>Human Rights First.</w:t>
      </w:r>
    </w:p>
  </w:footnote>
  <w:footnote w:id="538">
    <w:p w14:paraId="3A0BCCF2" w14:textId="78FB930C"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rFonts w:eastAsia="Arial Unicode MS"/>
          <w:lang w:val="en-US"/>
        </w:rPr>
        <w:t>Communication de Human Rights First</w:t>
      </w:r>
      <w:r w:rsidR="00BF73AB">
        <w:rPr>
          <w:rFonts w:eastAsia="Arial Unicode MS"/>
          <w:lang w:val="en-US"/>
        </w:rPr>
        <w:t> ;</w:t>
      </w:r>
      <w:r w:rsidR="00D301C6" w:rsidRPr="00DA5E7E">
        <w:rPr>
          <w:rFonts w:eastAsia="Arial Unicode MS"/>
          <w:lang w:val="en-US"/>
        </w:rPr>
        <w:t xml:space="preserve"> </w:t>
      </w:r>
      <w:hyperlink r:id="rId627" w:history="1">
        <w:r w:rsidR="00D301C6" w:rsidRPr="00813782">
          <w:rPr>
            <w:rStyle w:val="Hyperlink"/>
            <w:lang w:val="en-US"/>
          </w:rPr>
          <w:t>https://news.un.org/en/story/2020/07/1068971</w:t>
        </w:r>
      </w:hyperlink>
      <w:r w:rsidR="00BF73AB">
        <w:rPr>
          <w:rStyle w:val="Hyperlink"/>
          <w:lang w:val="en-US"/>
        </w:rPr>
        <w:t> </w:t>
      </w:r>
      <w:r w:rsidR="00BF73AB" w:rsidRPr="00CB3EEF">
        <w:rPr>
          <w:rStyle w:val="Hyperlink"/>
          <w:color w:val="auto"/>
          <w:lang w:val="en-US"/>
        </w:rPr>
        <w:t>;</w:t>
      </w:r>
      <w:r w:rsidR="00D301C6" w:rsidRPr="00CB3EEF">
        <w:rPr>
          <w:rStyle w:val="Hyperlink"/>
          <w:color w:val="auto"/>
          <w:lang w:val="en-US"/>
        </w:rPr>
        <w:t xml:space="preserve"> </w:t>
      </w:r>
      <w:r w:rsidR="00D301C6" w:rsidRPr="00813782">
        <w:rPr>
          <w:rStyle w:val="Hyperlink"/>
          <w:lang w:val="en-US"/>
        </w:rPr>
        <w:t>https://www.ohchr.org/EN/NewsEvents/Pages/DisplayNews.aspx?NewsID=25948&amp;LangID=E</w:t>
      </w:r>
      <w:r w:rsidR="00D301C6" w:rsidRPr="00DA5E7E">
        <w:rPr>
          <w:rFonts w:eastAsia="Arial Unicode MS"/>
          <w:lang w:val="en-US"/>
        </w:rPr>
        <w:t>.</w:t>
      </w:r>
    </w:p>
  </w:footnote>
  <w:footnote w:id="539">
    <w:p w14:paraId="71C235DB" w14:textId="627260C2"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Communication de Human Rights First.</w:t>
      </w:r>
    </w:p>
  </w:footnote>
  <w:footnote w:id="540">
    <w:p w14:paraId="42991083" w14:textId="49400536" w:rsidR="00D301C6" w:rsidRPr="00E21F93"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Communication de Forensic Architecture/Bellingcat, Human Rights First, University of Southern California Gould School of Law International Human Rights Clinic/Access Now, avec le concours de Foley Hoag LLP</w:t>
      </w:r>
      <w:r w:rsidR="00BF73AB">
        <w:rPr>
          <w:lang w:val="en-US"/>
        </w:rPr>
        <w:t> ;</w:t>
      </w:r>
      <w:r w:rsidR="00D301C6" w:rsidRPr="00DA5E7E">
        <w:rPr>
          <w:lang w:val="en-US"/>
        </w:rPr>
        <w:t xml:space="preserve"> </w:t>
      </w:r>
      <w:hyperlink r:id="rId628" w:history="1">
        <w:r w:rsidR="00D301C6" w:rsidRPr="00813782">
          <w:rPr>
            <w:rStyle w:val="Hyperlink"/>
            <w:lang w:val="en-US"/>
          </w:rPr>
          <w:t>https://pen.org/press-release/pen-america-signs-letter-condemning-federal-law-enforcement-targeting-protesters/</w:t>
        </w:r>
      </w:hyperlink>
      <w:r w:rsidR="00BF73AB">
        <w:rPr>
          <w:rStyle w:val="Hyperlink"/>
          <w:lang w:val="en-US"/>
        </w:rPr>
        <w:t> </w:t>
      </w:r>
      <w:r w:rsidR="00BF73AB" w:rsidRPr="00D84C97">
        <w:rPr>
          <w:rStyle w:val="Hyperlink"/>
          <w:color w:val="auto"/>
          <w:lang w:val="en-US"/>
        </w:rPr>
        <w:t>;</w:t>
      </w:r>
      <w:r w:rsidR="00D301C6" w:rsidRPr="00DA5E7E">
        <w:rPr>
          <w:lang w:val="en-US"/>
        </w:rPr>
        <w:t xml:space="preserve"> </w:t>
      </w:r>
      <w:hyperlink r:id="rId629" w:history="1">
        <w:r w:rsidR="00D301C6" w:rsidRPr="00813782">
          <w:rPr>
            <w:rStyle w:val="Hyperlink"/>
            <w:lang w:val="en-US"/>
          </w:rPr>
          <w:t>https://pen.org/press-release/snatching-of-protesters-in-portland-astonishing-act-of-repression/</w:t>
        </w:r>
      </w:hyperlink>
      <w:r w:rsidR="00BF73AB">
        <w:rPr>
          <w:rStyle w:val="Hyperlink"/>
          <w:lang w:val="en-US"/>
        </w:rPr>
        <w:t> </w:t>
      </w:r>
      <w:r w:rsidR="00BF73AB" w:rsidRPr="00D84C97">
        <w:rPr>
          <w:rStyle w:val="Hyperlink"/>
          <w:color w:val="auto"/>
          <w:lang w:val="en-US"/>
        </w:rPr>
        <w:t>;</w:t>
      </w:r>
      <w:r w:rsidR="00D301C6" w:rsidRPr="00813782">
        <w:rPr>
          <w:rStyle w:val="Hyperlink"/>
          <w:lang w:val="en-US"/>
        </w:rPr>
        <w:t xml:space="preserve"> </w:t>
      </w:r>
      <w:hyperlink r:id="rId630" w:history="1">
        <w:r w:rsidR="00D301C6" w:rsidRPr="00813782">
          <w:rPr>
            <w:rStyle w:val="Hyperlink"/>
            <w:lang w:val="en-US"/>
          </w:rPr>
          <w:t>https://ushrnetwork.org/news/242/100/Federal-officers-violate-protestors-human-rights-in-Portland?emci=d056dd88-fcd0-ea11-9b05-00155d03bda0&amp;emdi</w:t>
        </w:r>
        <w:r w:rsidR="00D84C97">
          <w:rPr>
            <w:rStyle w:val="Hyperlink"/>
            <w:lang w:val="en-US"/>
          </w:rPr>
          <w:t xml:space="preserve"> </w:t>
        </w:r>
        <w:r w:rsidR="00D301C6" w:rsidRPr="00813782">
          <w:rPr>
            <w:rStyle w:val="Hyperlink"/>
            <w:lang w:val="en-US"/>
          </w:rPr>
          <w:t>=929b9215-fed0-ea11-9b05-00155d03bda0&amp;ceid=7964700</w:t>
        </w:r>
        <w:r w:rsidR="00BF73AB">
          <w:rPr>
            <w:rStyle w:val="Hyperlink"/>
            <w:lang w:val="en-US"/>
          </w:rPr>
          <w:t> </w:t>
        </w:r>
        <w:r w:rsidR="00BF73AB" w:rsidRPr="00D84C97">
          <w:rPr>
            <w:rStyle w:val="Hyperlink"/>
            <w:color w:val="auto"/>
            <w:lang w:val="en-US"/>
          </w:rPr>
          <w:t>;</w:t>
        </w:r>
        <w:r w:rsidR="00D301C6" w:rsidRPr="00D84C97">
          <w:rPr>
            <w:rStyle w:val="Hyperlink"/>
            <w:color w:val="auto"/>
            <w:lang w:val="en-US"/>
          </w:rPr>
          <w:t xml:space="preserve"> </w:t>
        </w:r>
      </w:hyperlink>
      <w:hyperlink r:id="rId631" w:history="1">
        <w:r w:rsidR="00D301C6" w:rsidRPr="00813782">
          <w:rPr>
            <w:rStyle w:val="Hyperlink"/>
            <w:lang w:val="en-US"/>
          </w:rPr>
          <w:t>https://monitor.civicus.org/updates/</w:t>
        </w:r>
        <w:r w:rsidR="00D84C97">
          <w:rPr>
            <w:rStyle w:val="Hyperlink"/>
            <w:lang w:val="en-US"/>
          </w:rPr>
          <w:t xml:space="preserve"> </w:t>
        </w:r>
        <w:r w:rsidR="00D301C6" w:rsidRPr="00813782">
          <w:rPr>
            <w:rStyle w:val="Hyperlink"/>
            <w:lang w:val="en-US"/>
          </w:rPr>
          <w:t>2020/08/31/escalating-tensions-federal-troops-deployed-and-agents-use-excessive-force-against-protesters/</w:t>
        </w:r>
      </w:hyperlink>
      <w:r w:rsidR="00D301C6" w:rsidRPr="00813782">
        <w:rPr>
          <w:rStyle w:val="Hyperlink"/>
          <w:lang w:val="en-US"/>
        </w:rPr>
        <w:t>.</w:t>
      </w:r>
    </w:p>
  </w:footnote>
  <w:footnote w:id="541">
    <w:p w14:paraId="051B5878" w14:textId="78F28229" w:rsidR="00D301C6" w:rsidRPr="00123808" w:rsidRDefault="00D233E2" w:rsidP="005B4367">
      <w:pPr>
        <w:pStyle w:val="FootnoteText"/>
        <w:rPr>
          <w:lang w:val="en-US"/>
        </w:rPr>
      </w:pPr>
      <w:r w:rsidRPr="00E21F93">
        <w:rPr>
          <w:lang w:val="en-US"/>
        </w:rPr>
        <w:tab/>
      </w:r>
      <w:r w:rsidRPr="00093AC5">
        <w:rPr>
          <w:rStyle w:val="FootnoteReference"/>
        </w:rPr>
        <w:footnoteRef/>
      </w:r>
      <w:r w:rsidRPr="00123808">
        <w:rPr>
          <w:lang w:val="en-US"/>
        </w:rPr>
        <w:tab/>
      </w:r>
      <w:hyperlink r:id="rId632" w:history="1">
        <w:r w:rsidR="00D301C6" w:rsidRPr="00123808">
          <w:rPr>
            <w:color w:val="0000FF"/>
            <w:lang w:val="en-US"/>
          </w:rPr>
          <w:t>https://news.un.org/en/story/2020/07/1068971</w:t>
        </w:r>
      </w:hyperlink>
      <w:r w:rsidR="00BF73AB" w:rsidRPr="00123808">
        <w:rPr>
          <w:color w:val="0000FF"/>
          <w:lang w:val="en-US"/>
        </w:rPr>
        <w:t> </w:t>
      </w:r>
      <w:r w:rsidR="00BF73AB" w:rsidRPr="00123808">
        <w:rPr>
          <w:lang w:val="en-US"/>
        </w:rPr>
        <w:t>;</w:t>
      </w:r>
      <w:r w:rsidR="00D301C6" w:rsidRPr="00123808">
        <w:rPr>
          <w:lang w:val="en-US"/>
        </w:rPr>
        <w:t xml:space="preserve"> </w:t>
      </w:r>
      <w:hyperlink r:id="rId633" w:history="1">
        <w:r w:rsidR="00D301C6" w:rsidRPr="00123808">
          <w:rPr>
            <w:rStyle w:val="Hyperlink"/>
            <w:lang w:val="en-US"/>
          </w:rPr>
          <w:t>https://www.ohchr.org/EN/NewsEvents/Pages/</w:t>
        </w:r>
        <w:r w:rsidR="00123808" w:rsidRPr="00123808">
          <w:rPr>
            <w:rStyle w:val="Hyperlink"/>
            <w:lang w:val="en-US"/>
          </w:rPr>
          <w:t xml:space="preserve"> </w:t>
        </w:r>
        <w:r w:rsidR="00D301C6" w:rsidRPr="00123808">
          <w:rPr>
            <w:rStyle w:val="Hyperlink"/>
            <w:lang w:val="en-US"/>
          </w:rPr>
          <w:t>DisplayNews.aspx?NewsID=25948&amp;LangID=E</w:t>
        </w:r>
      </w:hyperlink>
      <w:r w:rsidR="00123808" w:rsidRPr="00123808">
        <w:rPr>
          <w:rStyle w:val="Hyperlink"/>
          <w:color w:val="auto"/>
          <w:lang w:val="en-US"/>
        </w:rPr>
        <w:t xml:space="preserve"> ; </w:t>
      </w:r>
      <w:hyperlink r:id="rId634" w:history="1">
        <w:r w:rsidR="00D301C6" w:rsidRPr="00123808">
          <w:rPr>
            <w:rStyle w:val="Hyperlink"/>
            <w:lang w:val="en-US"/>
          </w:rPr>
          <w:t>https://spcommreports.ohchr.org/TMResultsBase/</w:t>
        </w:r>
        <w:r w:rsidR="00123808">
          <w:rPr>
            <w:rStyle w:val="Hyperlink"/>
            <w:lang w:val="en-US"/>
          </w:rPr>
          <w:t xml:space="preserve"> </w:t>
        </w:r>
        <w:r w:rsidR="00D301C6" w:rsidRPr="00123808">
          <w:rPr>
            <w:rStyle w:val="Hyperlink"/>
            <w:lang w:val="en-US"/>
          </w:rPr>
          <w:t>DownLoadPublicCommunicationFile?gId=25589</w:t>
        </w:r>
      </w:hyperlink>
      <w:r w:rsidR="00D301C6" w:rsidRPr="00123808">
        <w:rPr>
          <w:rStyle w:val="Hyperlink"/>
          <w:lang w:val="en-US"/>
        </w:rPr>
        <w:t>.</w:t>
      </w:r>
    </w:p>
  </w:footnote>
  <w:footnote w:id="542">
    <w:p w14:paraId="051DB622" w14:textId="27AA7B9C" w:rsidR="00D301C6" w:rsidRPr="00E21F93" w:rsidRDefault="00D233E2" w:rsidP="005B4367">
      <w:pPr>
        <w:pStyle w:val="FootnoteText"/>
        <w:rPr>
          <w:lang w:val="en-US"/>
        </w:rPr>
      </w:pPr>
      <w:r w:rsidRPr="00123808">
        <w:rPr>
          <w:lang w:val="en-US"/>
        </w:rPr>
        <w:tab/>
      </w:r>
      <w:r w:rsidRPr="00093AC5">
        <w:rPr>
          <w:rStyle w:val="FootnoteReference"/>
        </w:rPr>
        <w:footnoteRef/>
      </w:r>
      <w:r w:rsidRPr="00E21F93">
        <w:rPr>
          <w:lang w:val="en-US"/>
        </w:rPr>
        <w:tab/>
      </w:r>
      <w:r w:rsidR="00D301C6" w:rsidRPr="00E21F93">
        <w:rPr>
          <w:rStyle w:val="Hyperlink"/>
          <w:lang w:val="en-US"/>
        </w:rPr>
        <w:t>https://www.amnesty.org/fr/latest/news/2021/06/scale-new-york-police-facial-recognition-revealed/.</w:t>
      </w:r>
    </w:p>
  </w:footnote>
  <w:footnote w:id="543">
    <w:p w14:paraId="5FE0F537" w14:textId="695D520C" w:rsidR="00D301C6" w:rsidRPr="00DA5E7E" w:rsidRDefault="00D233E2" w:rsidP="005B4367">
      <w:pPr>
        <w:pStyle w:val="FootnoteText"/>
        <w:rPr>
          <w:lang w:val="en-US"/>
        </w:rPr>
      </w:pPr>
      <w:r w:rsidRPr="00E21F93">
        <w:rPr>
          <w:lang w:val="en-US"/>
        </w:rPr>
        <w:tab/>
      </w:r>
      <w:r w:rsidRPr="00093AC5">
        <w:rPr>
          <w:rStyle w:val="FootnoteReference"/>
        </w:rPr>
        <w:footnoteRef/>
      </w:r>
      <w:r w:rsidRPr="00DA5E7E">
        <w:rPr>
          <w:lang w:val="en-US"/>
        </w:rPr>
        <w:tab/>
      </w:r>
      <w:r w:rsidR="00D301C6" w:rsidRPr="00DA5E7E">
        <w:rPr>
          <w:lang w:val="en-US"/>
        </w:rPr>
        <w:t>Communication de l</w:t>
      </w:r>
      <w:r w:rsidR="00F60EAA">
        <w:rPr>
          <w:lang w:val="en-US"/>
        </w:rPr>
        <w:t>’</w:t>
      </w:r>
      <w:r w:rsidR="00D301C6" w:rsidRPr="00DA5E7E">
        <w:rPr>
          <w:lang w:val="en-US"/>
        </w:rPr>
        <w:t>University of Southern California Gould School of Law International Human Rights Clinic/Access Now, avec le concours de Foley Hoag LLP</w:t>
      </w:r>
      <w:r w:rsidR="00BF73AB">
        <w:rPr>
          <w:lang w:val="en-US"/>
        </w:rPr>
        <w:t> ;</w:t>
      </w:r>
      <w:r w:rsidR="00D301C6" w:rsidRPr="00DA5E7E">
        <w:rPr>
          <w:lang w:val="en-US"/>
        </w:rPr>
        <w:t xml:space="preserve"> </w:t>
      </w:r>
      <w:r w:rsidR="00D301C6" w:rsidRPr="00813782">
        <w:rPr>
          <w:rStyle w:val="Hyperlink"/>
          <w:lang w:val="en-US"/>
        </w:rPr>
        <w:t>https://www.nytimes.com/2020/06/</w:t>
      </w:r>
      <w:r w:rsidR="00123808">
        <w:rPr>
          <w:rStyle w:val="Hyperlink"/>
          <w:lang w:val="en-US"/>
        </w:rPr>
        <w:t xml:space="preserve"> </w:t>
      </w:r>
      <w:r w:rsidR="00D301C6" w:rsidRPr="00813782">
        <w:rPr>
          <w:rStyle w:val="Hyperlink"/>
          <w:lang w:val="en-US"/>
        </w:rPr>
        <w:t>19/us/politics/george-floyd-protests-surveillance.html.</w:t>
      </w:r>
    </w:p>
  </w:footnote>
  <w:footnote w:id="544">
    <w:p w14:paraId="542C2807" w14:textId="3C217E6F"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Communication de l</w:t>
      </w:r>
      <w:r w:rsidR="00F60EAA">
        <w:rPr>
          <w:lang w:val="en-US"/>
        </w:rPr>
        <w:t>’</w:t>
      </w:r>
      <w:r w:rsidR="00D301C6" w:rsidRPr="00DA5E7E">
        <w:rPr>
          <w:lang w:val="en-US"/>
        </w:rPr>
        <w:t>University of Southern California Gould School of Law International Human Rights Clinic/Access Now, avec le concours de Foley Hoag LLP</w:t>
      </w:r>
      <w:r w:rsidR="00BF73AB">
        <w:rPr>
          <w:lang w:val="en-US"/>
        </w:rPr>
        <w:t> ;</w:t>
      </w:r>
      <w:r w:rsidR="00D301C6" w:rsidRPr="00DA5E7E">
        <w:rPr>
          <w:lang w:val="en-US"/>
        </w:rPr>
        <w:t xml:space="preserve"> </w:t>
      </w:r>
      <w:hyperlink r:id="rId635" w:history="1">
        <w:r w:rsidR="00D301C6" w:rsidRPr="00813782">
          <w:rPr>
            <w:rStyle w:val="Hyperlink"/>
            <w:lang w:val="en-US"/>
          </w:rPr>
          <w:t>https://spcommreports.ohchr.org/</w:t>
        </w:r>
        <w:r w:rsidR="00123808">
          <w:rPr>
            <w:rStyle w:val="Hyperlink"/>
            <w:lang w:val="en-US"/>
          </w:rPr>
          <w:t xml:space="preserve"> </w:t>
        </w:r>
        <w:r w:rsidR="00D301C6" w:rsidRPr="00813782">
          <w:rPr>
            <w:rStyle w:val="Hyperlink"/>
            <w:lang w:val="en-US"/>
          </w:rPr>
          <w:t>TMResultsBase/DownLoadPublicCommunicationFile?gId=25589</w:t>
        </w:r>
      </w:hyperlink>
      <w:r w:rsidR="00D301C6" w:rsidRPr="00DA5E7E">
        <w:rPr>
          <w:lang w:val="en-US"/>
        </w:rPr>
        <w:t>.</w:t>
      </w:r>
    </w:p>
  </w:footnote>
  <w:footnote w:id="545">
    <w:p w14:paraId="3D0887B5" w14:textId="57A36795"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hyperlink r:id="rId636" w:history="1">
        <w:r w:rsidR="00D301C6" w:rsidRPr="00813782">
          <w:rPr>
            <w:rStyle w:val="Hyperlink"/>
            <w:lang w:val="en-US"/>
          </w:rPr>
          <w:t>https://www.accessnow.org/cms/assets/uploads/2020/07/Defending-Peaceful-Assembly-Association-Digital-Age.pdf</w:t>
        </w:r>
      </w:hyperlink>
      <w:r w:rsidR="00D301C6" w:rsidRPr="00DA5E7E">
        <w:rPr>
          <w:lang w:val="en-US"/>
        </w:rPr>
        <w:t xml:space="preserve">, </w:t>
      </w:r>
      <w:r w:rsidR="002A7FA1" w:rsidRPr="00DA5E7E">
        <w:rPr>
          <w:lang w:val="en-US"/>
        </w:rPr>
        <w:t>p. </w:t>
      </w:r>
      <w:r w:rsidR="00D301C6" w:rsidRPr="00DA5E7E">
        <w:rPr>
          <w:lang w:val="en-US"/>
        </w:rPr>
        <w:t>25</w:t>
      </w:r>
      <w:r w:rsidR="00BF73AB">
        <w:rPr>
          <w:lang w:val="en-US"/>
        </w:rPr>
        <w:t> ;</w:t>
      </w:r>
      <w:r w:rsidR="00D301C6" w:rsidRPr="00DA5E7E">
        <w:rPr>
          <w:lang w:val="en-US"/>
        </w:rPr>
        <w:t xml:space="preserve"> </w:t>
      </w:r>
      <w:hyperlink r:id="rId637" w:history="1">
        <w:r w:rsidR="00D301C6" w:rsidRPr="00813782">
          <w:rPr>
            <w:rStyle w:val="Hyperlink"/>
            <w:lang w:val="en-US"/>
          </w:rPr>
          <w:t>https://theintercept.com/2020/07/09/twitter-dataminr-police-spy-surveillance-black-lives-matter-protests/</w:t>
        </w:r>
      </w:hyperlink>
      <w:r w:rsidR="00D301C6" w:rsidRPr="00DA5E7E">
        <w:rPr>
          <w:lang w:val="en-US"/>
        </w:rPr>
        <w:t>.</w:t>
      </w:r>
    </w:p>
  </w:footnote>
  <w:footnote w:id="546">
    <w:p w14:paraId="0B4B0B91" w14:textId="796A0F3A"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Communications des organisations suivantes : American Civil Liberties Union (ACLU), Forensic Architecture/Bellingcat, International Network of Civil Liberties Organisations (INCLO), National Lawyers Guild (NLG) Chicago/the International Human Rights Clinic at the University of Illinois at Chicago John Marshall Law School, University of Southern California Gould School of Law International Human Rights Clinic/Access Now, avec le concours de Foley Hoag LLP</w:t>
      </w:r>
      <w:r w:rsidR="00BF73AB">
        <w:rPr>
          <w:lang w:val="en-US"/>
        </w:rPr>
        <w:t> ;</w:t>
      </w:r>
      <w:r w:rsidR="00D301C6" w:rsidRPr="00DA5E7E">
        <w:rPr>
          <w:lang w:val="en-US"/>
        </w:rPr>
        <w:t xml:space="preserve"> </w:t>
      </w:r>
      <w:hyperlink r:id="rId638" w:history="1">
        <w:r w:rsidR="00D301C6" w:rsidRPr="00813782">
          <w:rPr>
            <w:rStyle w:val="Hyperlink"/>
            <w:lang w:val="en-US"/>
          </w:rPr>
          <w:t>www.ohchr.org/EN/NewsEvents/Pages/DisplayNews.aspx?NewsID=25948&amp;LangID=E</w:t>
        </w:r>
      </w:hyperlink>
      <w:r w:rsidR="00BF73AB" w:rsidRPr="00277F07">
        <w:rPr>
          <w:rStyle w:val="Hyperlink"/>
          <w:color w:val="auto"/>
          <w:lang w:val="en-US"/>
        </w:rPr>
        <w:t> ;</w:t>
      </w:r>
      <w:r w:rsidR="00D301C6" w:rsidRPr="00DA5E7E">
        <w:rPr>
          <w:lang w:val="en-US"/>
        </w:rPr>
        <w:t xml:space="preserve"> </w:t>
      </w:r>
      <w:hyperlink r:id="rId639" w:history="1">
        <w:r w:rsidR="00D301C6" w:rsidRPr="00813782">
          <w:rPr>
            <w:rStyle w:val="Hyperlink"/>
            <w:lang w:val="en-US"/>
          </w:rPr>
          <w:t>https://spcommreports.ohchr.org/TMResultsBase/DownLoadPublicCommunicationFile?gId=25589</w:t>
        </w:r>
      </w:hyperlink>
      <w:r w:rsidR="00D301C6" w:rsidRPr="00DA5E7E">
        <w:rPr>
          <w:lang w:val="en-US"/>
        </w:rPr>
        <w:t>.</w:t>
      </w:r>
    </w:p>
  </w:footnote>
  <w:footnote w:id="547">
    <w:p w14:paraId="590760DD" w14:textId="14D96333" w:rsidR="00D301C6" w:rsidRPr="004A035C" w:rsidRDefault="00D233E2" w:rsidP="005B4367">
      <w:pPr>
        <w:pStyle w:val="FootnoteText"/>
      </w:pPr>
      <w:r w:rsidRPr="00DA5E7E">
        <w:rPr>
          <w:lang w:val="en-US"/>
        </w:rPr>
        <w:tab/>
      </w:r>
      <w:r w:rsidRPr="00093AC5">
        <w:rPr>
          <w:rStyle w:val="FootnoteReference"/>
        </w:rPr>
        <w:footnoteRef/>
      </w:r>
      <w:r w:rsidRPr="00DA5E7E">
        <w:rPr>
          <w:lang w:val="en-US"/>
        </w:rPr>
        <w:tab/>
      </w:r>
      <w:r w:rsidR="00D301C6" w:rsidRPr="00DA5E7E">
        <w:rPr>
          <w:lang w:val="en-US"/>
        </w:rPr>
        <w:t>Communication de l</w:t>
      </w:r>
      <w:r w:rsidR="00F60EAA">
        <w:rPr>
          <w:lang w:val="en-US"/>
        </w:rPr>
        <w:t>’</w:t>
      </w:r>
      <w:r w:rsidR="00D301C6" w:rsidRPr="00DA5E7E">
        <w:rPr>
          <w:lang w:val="en-US"/>
        </w:rPr>
        <w:t xml:space="preserve">University of Southern California Gould School of Law International Human Rights Clinic/Access Now, avec le concours de Foley Hoag LLP. </w:t>
      </w:r>
      <w:r w:rsidR="00D301C6" w:rsidRPr="00D10EF8">
        <w:rPr>
          <w:lang w:val="fr-FR"/>
        </w:rPr>
        <w:t>En juin, Associated Press a fait savoir qu</w:t>
      </w:r>
      <w:r w:rsidR="00F60EAA">
        <w:rPr>
          <w:lang w:val="fr-FR"/>
        </w:rPr>
        <w:t>’</w:t>
      </w:r>
      <w:r w:rsidR="00D301C6" w:rsidRPr="00D10EF8">
        <w:rPr>
          <w:lang w:val="fr-FR"/>
        </w:rPr>
        <w:t xml:space="preserve">environ 9 000 personnes avaient été placées en détention. </w:t>
      </w:r>
      <w:hyperlink r:id="rId640" w:history="1">
        <w:r w:rsidR="00D301C6" w:rsidRPr="004A035C">
          <w:rPr>
            <w:rStyle w:val="Hyperlink"/>
          </w:rPr>
          <w:t>https://apnews.com/article/c51f66bd298157c52520ef56026e4857</w:t>
        </w:r>
      </w:hyperlink>
      <w:r w:rsidR="00D301C6" w:rsidRPr="004A035C">
        <w:rPr>
          <w:rStyle w:val="Hyperlink"/>
        </w:rPr>
        <w:t>.</w:t>
      </w:r>
    </w:p>
  </w:footnote>
  <w:footnote w:id="548">
    <w:p w14:paraId="0B1BD80E" w14:textId="22E20D39" w:rsidR="00D301C6" w:rsidRPr="004A035C" w:rsidRDefault="00D233E2" w:rsidP="005B4367">
      <w:pPr>
        <w:pStyle w:val="FootnoteText"/>
      </w:pPr>
      <w:r w:rsidRPr="00D10EF8">
        <w:tab/>
      </w:r>
      <w:r w:rsidRPr="00093AC5">
        <w:rPr>
          <w:rStyle w:val="FootnoteReference"/>
        </w:rPr>
        <w:footnoteRef/>
      </w:r>
      <w:r w:rsidRPr="00D10EF8">
        <w:tab/>
      </w:r>
      <w:hyperlink r:id="rId641" w:history="1">
        <w:r w:rsidR="00D301C6" w:rsidRPr="004A035C">
          <w:rPr>
            <w:color w:val="0000FF"/>
          </w:rPr>
          <w:t>https://www.theguardian.com/us-news/2020/oct/29/us-police-brutality-protest</w:t>
        </w:r>
      </w:hyperlink>
      <w:r w:rsidR="00D301C6" w:rsidRPr="004A035C">
        <w:rPr>
          <w:color w:val="0000FF"/>
        </w:rPr>
        <w:t>.</w:t>
      </w:r>
    </w:p>
  </w:footnote>
  <w:footnote w:id="549">
    <w:p w14:paraId="463C356D" w14:textId="43DB25CE" w:rsidR="00D301C6" w:rsidRPr="004A035C" w:rsidRDefault="00D233E2" w:rsidP="005B4367">
      <w:pPr>
        <w:pStyle w:val="FootnoteText"/>
      </w:pPr>
      <w:r w:rsidRPr="00D10EF8">
        <w:tab/>
      </w:r>
      <w:r w:rsidRPr="00093AC5">
        <w:rPr>
          <w:rStyle w:val="FootnoteReference"/>
        </w:rPr>
        <w:footnoteRef/>
      </w:r>
      <w:r w:rsidRPr="00D10EF8">
        <w:tab/>
      </w:r>
      <w:hyperlink r:id="rId642" w:history="1">
        <w:r w:rsidR="00D301C6" w:rsidRPr="004A035C">
          <w:rPr>
            <w:rStyle w:val="Hyperlink"/>
          </w:rPr>
          <w:t>https://www.hrw.org/fr/news/2020/06/30/les-etats-unis-commettent-les-memes-abus-quils-condamnent-letranger</w:t>
        </w:r>
      </w:hyperlink>
      <w:r w:rsidR="00D301C6" w:rsidRPr="004A035C">
        <w:t>.</w:t>
      </w:r>
    </w:p>
  </w:footnote>
  <w:footnote w:id="550">
    <w:p w14:paraId="0EDA741D" w14:textId="3F61E571" w:rsidR="00D301C6" w:rsidRPr="004A035C" w:rsidRDefault="00D233E2" w:rsidP="005B4367">
      <w:pPr>
        <w:pStyle w:val="FootnoteText"/>
      </w:pPr>
      <w:r w:rsidRPr="00D10EF8">
        <w:tab/>
      </w:r>
      <w:r w:rsidRPr="00093AC5">
        <w:rPr>
          <w:rStyle w:val="FootnoteReference"/>
        </w:rPr>
        <w:footnoteRef/>
      </w:r>
      <w:r w:rsidRPr="00D10EF8">
        <w:tab/>
      </w:r>
      <w:hyperlink r:id="rId643" w:history="1">
        <w:r w:rsidR="00D301C6" w:rsidRPr="00494704">
          <w:rPr>
            <w:rStyle w:val="Hyperlink"/>
          </w:rPr>
          <w:t>https://www.theguardian.com/us-news/2021/apr/17/george-floyd-protesters-charges-citations-analysis</w:t>
        </w:r>
      </w:hyperlink>
      <w:r w:rsidR="00D301C6" w:rsidRPr="004A035C">
        <w:rPr>
          <w:rFonts w:eastAsia="Arial Unicode MS"/>
        </w:rPr>
        <w:t>.</w:t>
      </w:r>
    </w:p>
  </w:footnote>
  <w:footnote w:id="551">
    <w:p w14:paraId="6DA52405" w14:textId="32CA8E11" w:rsidR="00D301C6" w:rsidRPr="00DA5E7E" w:rsidRDefault="00D233E2" w:rsidP="005B4367">
      <w:pPr>
        <w:pStyle w:val="FootnoteText"/>
        <w:rPr>
          <w:lang w:val="en-US"/>
        </w:rPr>
      </w:pPr>
      <w:r w:rsidRPr="00D10EF8">
        <w:tab/>
      </w:r>
      <w:r w:rsidRPr="00093AC5">
        <w:rPr>
          <w:rStyle w:val="FootnoteReference"/>
        </w:rPr>
        <w:footnoteRef/>
      </w:r>
      <w:r w:rsidRPr="00DA5E7E">
        <w:rPr>
          <w:lang w:val="en-US"/>
        </w:rPr>
        <w:tab/>
      </w:r>
      <w:r w:rsidR="00D301C6" w:rsidRPr="00DA5E7E">
        <w:rPr>
          <w:lang w:val="en-US"/>
        </w:rPr>
        <w:t>Communication de l</w:t>
      </w:r>
      <w:r w:rsidR="00F60EAA">
        <w:rPr>
          <w:lang w:val="en-US"/>
        </w:rPr>
        <w:t>’</w:t>
      </w:r>
      <w:r w:rsidR="00D301C6" w:rsidRPr="00DA5E7E">
        <w:rPr>
          <w:lang w:val="en-US"/>
        </w:rPr>
        <w:t>University of Southern California Gould School of Law International Human Rights Clinic/Access Now, avec le concours de Foley Hoag LLP</w:t>
      </w:r>
      <w:r w:rsidR="00BF73AB">
        <w:rPr>
          <w:lang w:val="en-US"/>
        </w:rPr>
        <w:t> ;</w:t>
      </w:r>
      <w:r w:rsidR="00D301C6" w:rsidRPr="00DA5E7E" w:rsidDel="00F60651">
        <w:rPr>
          <w:lang w:val="en-US"/>
        </w:rPr>
        <w:t xml:space="preserve"> </w:t>
      </w:r>
      <w:hyperlink r:id="rId644" w:history="1">
        <w:r w:rsidR="00D301C6" w:rsidRPr="00813782">
          <w:rPr>
            <w:rStyle w:val="Hyperlink"/>
            <w:lang w:val="en-US"/>
          </w:rPr>
          <w:t>https://time.com/5880229/arrests-black-lives-matter-protests-impact/</w:t>
        </w:r>
      </w:hyperlink>
      <w:r w:rsidR="00BF73AB">
        <w:rPr>
          <w:rStyle w:val="Hyperlink"/>
          <w:lang w:val="en-US"/>
        </w:rPr>
        <w:t> </w:t>
      </w:r>
      <w:r w:rsidR="00BF73AB" w:rsidRPr="00494704">
        <w:rPr>
          <w:rStyle w:val="Hyperlink"/>
          <w:color w:val="auto"/>
          <w:lang w:val="en-US"/>
        </w:rPr>
        <w:t>;</w:t>
      </w:r>
      <w:r w:rsidR="00D301C6" w:rsidRPr="00813782">
        <w:rPr>
          <w:rStyle w:val="Hyperlink"/>
          <w:lang w:val="en-US"/>
        </w:rPr>
        <w:t xml:space="preserve"> </w:t>
      </w:r>
      <w:hyperlink r:id="rId645" w:history="1">
        <w:r w:rsidR="00D301C6" w:rsidRPr="00DA5E7E">
          <w:rPr>
            <w:color w:val="0000FF"/>
            <w:lang w:val="en-US"/>
          </w:rPr>
          <w:t>https://www.justice.gov/opa/pr/over-300-people-facing-federal-charges-crimes-committed-during-nationwide-demonstrations</w:t>
        </w:r>
      </w:hyperlink>
      <w:r w:rsidR="00D301C6" w:rsidRPr="00DA5E7E">
        <w:rPr>
          <w:color w:val="0000FF"/>
          <w:lang w:val="en-US"/>
        </w:rPr>
        <w:t>.</w:t>
      </w:r>
    </w:p>
  </w:footnote>
  <w:footnote w:id="552">
    <w:p w14:paraId="7363C973" w14:textId="1E9426CF"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hyperlink r:id="rId646" w:history="1">
        <w:r w:rsidR="00D301C6" w:rsidRPr="00813782">
          <w:rPr>
            <w:rStyle w:val="Hyperlink"/>
            <w:lang w:val="en-US"/>
          </w:rPr>
          <w:t>https://www.hrw.org/fr/news/2020/06/30/les-etats-unis-commettent-les-memes-abus-quils-condamnent-letranger</w:t>
        </w:r>
      </w:hyperlink>
      <w:r w:rsidR="00D301C6" w:rsidRPr="00DA5E7E">
        <w:rPr>
          <w:lang w:val="en-US"/>
        </w:rPr>
        <w:t>.</w:t>
      </w:r>
    </w:p>
  </w:footnote>
  <w:footnote w:id="553">
    <w:p w14:paraId="563447DF" w14:textId="31DAE177"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hyperlink r:id="rId647" w:history="1">
        <w:r w:rsidR="00D301C6" w:rsidRPr="00813782">
          <w:rPr>
            <w:rStyle w:val="Hyperlink"/>
            <w:lang w:val="en-US"/>
          </w:rPr>
          <w:t>https://www.liguedh.be/quand-les-citoyen%C2%B7ne%C2%B7s-utilisent-leur-droit-de-manifester-pour-denoncer-les-violences-policieres-les-forces-de-lordre-repondent-par-la-violence/</w:t>
        </w:r>
      </w:hyperlink>
      <w:r w:rsidR="00D301C6" w:rsidRPr="00DA5E7E">
        <w:rPr>
          <w:lang w:val="en-US"/>
        </w:rPr>
        <w:t>.</w:t>
      </w:r>
    </w:p>
  </w:footnote>
  <w:footnote w:id="554">
    <w:p w14:paraId="2EB62309" w14:textId="16417BC9"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Communications de l</w:t>
      </w:r>
      <w:r w:rsidR="00F60EAA">
        <w:rPr>
          <w:lang w:val="en-US"/>
        </w:rPr>
        <w:t>’</w:t>
      </w:r>
      <w:r w:rsidR="00D301C6" w:rsidRPr="00DA5E7E">
        <w:rPr>
          <w:lang w:val="en-US"/>
        </w:rPr>
        <w:t>International Network of Civil Liberties Organisations (INCLO) et de Black Protest Legal Support.</w:t>
      </w:r>
    </w:p>
  </w:footnote>
  <w:footnote w:id="555">
    <w:p w14:paraId="1C6ACEC3" w14:textId="36C1F9C4"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hyperlink r:id="rId648" w:anchor="page=2" w:history="1">
        <w:r w:rsidR="00D301C6" w:rsidRPr="00813782">
          <w:rPr>
            <w:rStyle w:val="Hyperlink"/>
            <w:lang w:val="en-US"/>
          </w:rPr>
          <w:t>https://civicus.org/documents/SOCS2021Part1.pdf#page=2</w:t>
        </w:r>
      </w:hyperlink>
      <w:r w:rsidR="00D301C6" w:rsidRPr="00DA5E7E">
        <w:rPr>
          <w:lang w:val="en-US"/>
        </w:rPr>
        <w:t>.</w:t>
      </w:r>
    </w:p>
  </w:footnote>
  <w:footnote w:id="556">
    <w:p w14:paraId="488AD50C" w14:textId="2AA66618" w:rsidR="00D301C6" w:rsidRPr="00DA5E7E" w:rsidRDefault="00D233E2"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Communication de Black Protest Legal Support</w:t>
      </w:r>
      <w:r w:rsidR="00BF73AB">
        <w:rPr>
          <w:lang w:val="en-US"/>
        </w:rPr>
        <w:t> ;</w:t>
      </w:r>
      <w:r w:rsidR="00D301C6" w:rsidRPr="00DA5E7E">
        <w:rPr>
          <w:lang w:val="en-US"/>
        </w:rPr>
        <w:t xml:space="preserve"> </w:t>
      </w:r>
      <w:hyperlink r:id="rId649" w:history="1">
        <w:r w:rsidR="00D301C6" w:rsidRPr="00813782">
          <w:rPr>
            <w:rStyle w:val="Hyperlink"/>
            <w:lang w:val="en-US"/>
          </w:rPr>
          <w:t>https://www.theguardian.com/world/2020/aug/25/</w:t>
        </w:r>
        <w:r w:rsidR="00AD5CD5">
          <w:rPr>
            <w:rStyle w:val="Hyperlink"/>
            <w:lang w:val="en-US"/>
          </w:rPr>
          <w:t xml:space="preserve"> </w:t>
        </w:r>
        <w:r w:rsidR="00D301C6" w:rsidRPr="00813782">
          <w:rPr>
            <w:rStyle w:val="Hyperlink"/>
            <w:lang w:val="en-US"/>
          </w:rPr>
          <w:t>black-organiser-of-uk-anti-racism-rally-threatened-with-arrest</w:t>
        </w:r>
      </w:hyperlink>
      <w:r w:rsidR="00BF73AB">
        <w:rPr>
          <w:rStyle w:val="Hyperlink"/>
          <w:lang w:val="en-US"/>
        </w:rPr>
        <w:t> </w:t>
      </w:r>
      <w:r w:rsidR="00BF73AB" w:rsidRPr="00AD5CD5">
        <w:rPr>
          <w:rStyle w:val="Hyperlink"/>
          <w:color w:val="auto"/>
          <w:lang w:val="en-US"/>
        </w:rPr>
        <w:t>;</w:t>
      </w:r>
      <w:r w:rsidR="00D301C6" w:rsidRPr="00813782">
        <w:rPr>
          <w:rStyle w:val="Hyperlink"/>
          <w:lang w:val="en-US"/>
        </w:rPr>
        <w:t xml:space="preserve"> https://www.theguardian.com/uk-news/2020/aug/28/metropolitan-police-drop-investigation-into-anti-racism-protester-ken-hinds?CMP=share_btn_tw</w:t>
      </w:r>
      <w:r w:rsidR="00D301C6" w:rsidRPr="00DA5E7E">
        <w:rPr>
          <w:lang w:val="en-US"/>
        </w:rPr>
        <w:t>.</w:t>
      </w:r>
    </w:p>
  </w:footnote>
  <w:footnote w:id="557">
    <w:p w14:paraId="111C0EC5" w14:textId="1E272250"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hyperlink r:id="rId650" w:history="1">
        <w:r w:rsidR="00D301C6" w:rsidRPr="00813782">
          <w:rPr>
            <w:rStyle w:val="Hyperlink"/>
            <w:lang w:val="en-US"/>
          </w:rPr>
          <w:t>https://www.amnesty.org.uk/press-releases/northern-ireland-fines-imposed-peaceful-black-lives-matter-protestors-deeply</w:t>
        </w:r>
      </w:hyperlink>
      <w:r w:rsidR="00BF73AB">
        <w:rPr>
          <w:lang w:val="en-US"/>
        </w:rPr>
        <w:t> ;</w:t>
      </w:r>
      <w:r w:rsidR="00D301C6" w:rsidRPr="00DA5E7E">
        <w:rPr>
          <w:lang w:val="en-US"/>
        </w:rPr>
        <w:t xml:space="preserve"> </w:t>
      </w:r>
      <w:hyperlink r:id="rId651" w:history="1">
        <w:r w:rsidR="00D301C6" w:rsidRPr="00813782">
          <w:rPr>
            <w:rStyle w:val="Hyperlink"/>
            <w:lang w:val="en-US"/>
          </w:rPr>
          <w:t>https://www.amnesty.org.uk/press-releases/laws-restricting-protest-northern-ireland-unacceptable</w:t>
        </w:r>
      </w:hyperlink>
      <w:r w:rsidR="00D301C6" w:rsidRPr="00DA5E7E">
        <w:rPr>
          <w:lang w:val="en-US"/>
        </w:rPr>
        <w:t>.</w:t>
      </w:r>
    </w:p>
  </w:footnote>
  <w:footnote w:id="558">
    <w:p w14:paraId="7C6F5422" w14:textId="4F0541E5"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hyperlink r:id="rId652" w:history="1">
        <w:r w:rsidR="00D301C6" w:rsidRPr="00813782">
          <w:rPr>
            <w:rStyle w:val="Hyperlink"/>
            <w:lang w:val="en-US"/>
          </w:rPr>
          <w:t>https://www.bbc.com/news/uk-northern-ireland-57330499</w:t>
        </w:r>
      </w:hyperlink>
      <w:r w:rsidR="00D301C6" w:rsidRPr="00DA5E7E">
        <w:rPr>
          <w:lang w:val="en-US"/>
        </w:rPr>
        <w:t>.</w:t>
      </w:r>
    </w:p>
  </w:footnote>
  <w:footnote w:id="559">
    <w:p w14:paraId="55FBA1DF" w14:textId="05B6B430"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hyperlink r:id="rId653" w:history="1">
        <w:r w:rsidR="00D301C6" w:rsidRPr="00813782">
          <w:rPr>
            <w:rStyle w:val="Hyperlink"/>
            <w:lang w:val="en-US"/>
          </w:rPr>
          <w:t>https://www.policeombudsman.org/PONI/files/85/858a4b0b-9b99-4921-b947-5fae248ba683.pdf</w:t>
        </w:r>
      </w:hyperlink>
      <w:r w:rsidR="00BF73AB">
        <w:rPr>
          <w:lang w:val="en-US"/>
        </w:rPr>
        <w:t> ;</w:t>
      </w:r>
      <w:r w:rsidR="00D301C6" w:rsidRPr="00DA5E7E">
        <w:rPr>
          <w:lang w:val="en-US"/>
        </w:rPr>
        <w:t xml:space="preserve"> </w:t>
      </w:r>
      <w:hyperlink r:id="rId654" w:history="1">
        <w:r w:rsidR="00D301C6" w:rsidRPr="00813782">
          <w:rPr>
            <w:rStyle w:val="Hyperlink"/>
            <w:lang w:val="en-US"/>
          </w:rPr>
          <w:t>https://www.amnesty.org.uk/press-releases/northern-ireland-critical-police-ombudsman-report-policing-black-lives-matter</w:t>
        </w:r>
      </w:hyperlink>
      <w:r w:rsidR="00BF73AB">
        <w:rPr>
          <w:lang w:val="en-US"/>
        </w:rPr>
        <w:t> ;</w:t>
      </w:r>
      <w:r w:rsidR="00D301C6" w:rsidRPr="00DA5E7E">
        <w:rPr>
          <w:lang w:val="en-US"/>
        </w:rPr>
        <w:t xml:space="preserve"> </w:t>
      </w:r>
      <w:hyperlink r:id="rId655" w:history="1">
        <w:r w:rsidR="00D301C6" w:rsidRPr="00813782">
          <w:rPr>
            <w:rStyle w:val="Hyperlink"/>
            <w:lang w:val="en-US"/>
          </w:rPr>
          <w:t>https://www.bbc.com/news/uk-northern-ireland-55399659</w:t>
        </w:r>
      </w:hyperlink>
      <w:r w:rsidR="00D301C6" w:rsidRPr="00813782">
        <w:rPr>
          <w:rStyle w:val="Hyperlink"/>
          <w:lang w:val="en-US"/>
        </w:rPr>
        <w:t>.</w:t>
      </w:r>
    </w:p>
  </w:footnote>
  <w:footnote w:id="560">
    <w:p w14:paraId="317DDC3A" w14:textId="12CF5135"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hyperlink r:id="rId656" w:history="1">
        <w:r w:rsidR="00D301C6" w:rsidRPr="00813782">
          <w:rPr>
            <w:rStyle w:val="Hyperlink"/>
            <w:lang w:val="en-US"/>
          </w:rPr>
          <w:t>https://www.policeombudsman.org/Media-Releases/2021/Investigation-to-assess-consistency-of-police-enga</w:t>
        </w:r>
      </w:hyperlink>
      <w:r w:rsidR="00BF73AB">
        <w:rPr>
          <w:lang w:val="en-US"/>
        </w:rPr>
        <w:t> ;</w:t>
      </w:r>
      <w:r w:rsidR="00D301C6" w:rsidRPr="00DA5E7E">
        <w:rPr>
          <w:lang w:val="en-US"/>
        </w:rPr>
        <w:t xml:space="preserve"> </w:t>
      </w:r>
      <w:hyperlink r:id="rId657" w:history="1">
        <w:r w:rsidR="00D301C6" w:rsidRPr="00813782">
          <w:rPr>
            <w:rStyle w:val="Hyperlink"/>
            <w:lang w:val="en-US"/>
          </w:rPr>
          <w:t>https://www.amnesty.org.uk/press-releases/northern-ireland-amnesty-welcomes-new-ombudsman-investigation-policing-black-lives</w:t>
        </w:r>
      </w:hyperlink>
      <w:r w:rsidR="00D301C6" w:rsidRPr="00DA5E7E">
        <w:rPr>
          <w:lang w:val="en-US"/>
        </w:rPr>
        <w:t>.</w:t>
      </w:r>
    </w:p>
  </w:footnote>
  <w:footnote w:id="561">
    <w:p w14:paraId="44766C58" w14:textId="4394301E"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hyperlink r:id="rId658" w:history="1">
        <w:r w:rsidR="00D301C6" w:rsidRPr="00813782">
          <w:rPr>
            <w:rStyle w:val="Hyperlink"/>
            <w:lang w:val="en-US"/>
          </w:rPr>
          <w:t>https://www.avonandsomerset.police.uk/news/2021/04/statement-after-apology-issued-to-four-people/</w:t>
        </w:r>
      </w:hyperlink>
      <w:r w:rsidR="00BF73AB">
        <w:rPr>
          <w:rStyle w:val="Hyperlink"/>
          <w:lang w:val="en-US"/>
        </w:rPr>
        <w:t> </w:t>
      </w:r>
      <w:r w:rsidR="00BF73AB" w:rsidRPr="00F45CB5">
        <w:rPr>
          <w:rStyle w:val="Hyperlink"/>
          <w:color w:val="auto"/>
          <w:lang w:val="en-US"/>
        </w:rPr>
        <w:t>;</w:t>
      </w:r>
      <w:r w:rsidR="00D301C6" w:rsidRPr="00DA5E7E">
        <w:rPr>
          <w:lang w:val="en-US"/>
        </w:rPr>
        <w:t xml:space="preserve"> </w:t>
      </w:r>
      <w:hyperlink r:id="rId659" w:history="1">
        <w:r w:rsidR="00D301C6" w:rsidRPr="00813782">
          <w:rPr>
            <w:rStyle w:val="Hyperlink"/>
            <w:lang w:val="en-US"/>
          </w:rPr>
          <w:t>https://www.theguardian.com/world/2021/apr/22/bristol-police-to-pay-damages-for-arrest-of-activists-using-covid-powers?CMP=Share_iOSApp_Other</w:t>
        </w:r>
      </w:hyperlink>
      <w:r w:rsidR="00D301C6" w:rsidRPr="00813782">
        <w:rPr>
          <w:rStyle w:val="Hyperlink"/>
          <w:lang w:val="en-US"/>
        </w:rPr>
        <w:t>.</w:t>
      </w:r>
    </w:p>
  </w:footnote>
  <w:footnote w:id="562">
    <w:p w14:paraId="0E274C8E" w14:textId="6758ED1D"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hyperlink r:id="rId660" w:history="1">
        <w:r w:rsidR="00D301C6" w:rsidRPr="00813782">
          <w:rPr>
            <w:rStyle w:val="Hyperlink"/>
            <w:lang w:val="en-US"/>
          </w:rPr>
          <w:t>https://www.hrw.org/report/2020/09/30/kettling-protesters-bronx/systemic-police-brutality-and-its-costs-united-states</w:t>
        </w:r>
      </w:hyperlink>
      <w:r w:rsidR="00D301C6" w:rsidRPr="00DA5E7E">
        <w:rPr>
          <w:lang w:val="en-US"/>
        </w:rPr>
        <w:t>.</w:t>
      </w:r>
    </w:p>
  </w:footnote>
  <w:footnote w:id="563">
    <w:p w14:paraId="14B09C3C" w14:textId="51E830AA" w:rsidR="00D301C6" w:rsidRPr="00481DD5"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Communication de l</w:t>
      </w:r>
      <w:r w:rsidR="00F60EAA">
        <w:rPr>
          <w:lang w:val="en-US"/>
        </w:rPr>
        <w:t>’</w:t>
      </w:r>
      <w:r w:rsidR="00D301C6" w:rsidRPr="00DA5E7E">
        <w:rPr>
          <w:lang w:val="en-US"/>
        </w:rPr>
        <w:t xml:space="preserve">International Network of Civil Liberties Organisations (INCLO). </w:t>
      </w:r>
      <w:hyperlink r:id="rId661" w:history="1">
        <w:r w:rsidR="00D301C6" w:rsidRPr="00481DD5">
          <w:rPr>
            <w:rStyle w:val="Hyperlink"/>
            <w:lang w:val="en-US"/>
          </w:rPr>
          <w:t>https://www.hrlc.org.au/news/2020/6/18/australians-right-to-protest</w:t>
        </w:r>
      </w:hyperlink>
      <w:r w:rsidR="00BF73AB" w:rsidRPr="00481DD5">
        <w:rPr>
          <w:rStyle w:val="Hyperlink"/>
          <w:lang w:val="en-US"/>
        </w:rPr>
        <w:t> </w:t>
      </w:r>
      <w:r w:rsidR="00BF73AB" w:rsidRPr="00F45CB5">
        <w:rPr>
          <w:rStyle w:val="Hyperlink"/>
          <w:color w:val="auto"/>
          <w:lang w:val="en-US"/>
        </w:rPr>
        <w:t>;</w:t>
      </w:r>
      <w:r w:rsidR="00D301C6" w:rsidRPr="00481DD5">
        <w:rPr>
          <w:rStyle w:val="Hyperlink"/>
          <w:lang w:val="en-US"/>
        </w:rPr>
        <w:t xml:space="preserve"> </w:t>
      </w:r>
      <w:hyperlink r:id="rId662" w:history="1">
        <w:r w:rsidR="00D301C6" w:rsidRPr="00481DD5">
          <w:rPr>
            <w:rStyle w:val="Hyperlink"/>
            <w:lang w:val="en-US"/>
          </w:rPr>
          <w:t>https://www.bbc.com/news/</w:t>
        </w:r>
        <w:r w:rsidR="00F45CB5">
          <w:rPr>
            <w:rStyle w:val="Hyperlink"/>
            <w:lang w:val="en-US"/>
          </w:rPr>
          <w:t xml:space="preserve"> </w:t>
        </w:r>
        <w:r w:rsidR="00D301C6" w:rsidRPr="00481DD5">
          <w:rPr>
            <w:rStyle w:val="Hyperlink"/>
            <w:lang w:val="en-US"/>
          </w:rPr>
          <w:t>world-australia-52947115</w:t>
        </w:r>
      </w:hyperlink>
      <w:r w:rsidR="00BF73AB" w:rsidRPr="00481DD5">
        <w:rPr>
          <w:lang w:val="en-US"/>
        </w:rPr>
        <w:t> ;</w:t>
      </w:r>
      <w:r w:rsidR="00D301C6" w:rsidRPr="00481DD5">
        <w:rPr>
          <w:lang w:val="en-US"/>
        </w:rPr>
        <w:t xml:space="preserve"> </w:t>
      </w:r>
      <w:hyperlink r:id="rId663" w:history="1">
        <w:r w:rsidR="00D301C6" w:rsidRPr="00481DD5">
          <w:rPr>
            <w:rStyle w:val="Hyperlink"/>
            <w:lang w:val="en-US"/>
          </w:rPr>
          <w:t>https://www.theguardian.com/australia-news/2020/jul/23/nsw-police-chief-undermined-legal-challenge-to-blm-protest-planned-for-sydney-organisers-say</w:t>
        </w:r>
      </w:hyperlink>
      <w:r w:rsidR="00BF73AB" w:rsidRPr="00481DD5">
        <w:rPr>
          <w:rStyle w:val="Hyperlink"/>
          <w:lang w:val="en-US"/>
        </w:rPr>
        <w:t> </w:t>
      </w:r>
      <w:r w:rsidR="00BF73AB" w:rsidRPr="00F45CB5">
        <w:rPr>
          <w:rStyle w:val="Hyperlink"/>
          <w:color w:val="auto"/>
          <w:lang w:val="en-US"/>
        </w:rPr>
        <w:t>;</w:t>
      </w:r>
      <w:r w:rsidR="00D301C6" w:rsidRPr="00481DD5">
        <w:rPr>
          <w:lang w:val="en-US"/>
        </w:rPr>
        <w:t xml:space="preserve"> </w:t>
      </w:r>
      <w:hyperlink r:id="rId664" w:history="1">
        <w:r w:rsidR="00D301C6" w:rsidRPr="00481DD5">
          <w:rPr>
            <w:rStyle w:val="Hyperlink"/>
            <w:lang w:val="en-US"/>
          </w:rPr>
          <w:t>https://monitor.civicus.org/updates/2020/10/12/secret-whistle-blower-hearings-overreach-security-laws-and-arrest-protesters-australia/</w:t>
        </w:r>
      </w:hyperlink>
      <w:r w:rsidR="00D301C6" w:rsidRPr="00481DD5">
        <w:rPr>
          <w:lang w:val="en-US"/>
        </w:rPr>
        <w:t>.</w:t>
      </w:r>
    </w:p>
  </w:footnote>
  <w:footnote w:id="564">
    <w:p w14:paraId="5666698F" w14:textId="3284E17A" w:rsidR="00D301C6" w:rsidRPr="00DA5E7E" w:rsidRDefault="009D2B36" w:rsidP="005B4367">
      <w:pPr>
        <w:pStyle w:val="FootnoteText"/>
        <w:rPr>
          <w:lang w:val="en-US"/>
        </w:rPr>
      </w:pPr>
      <w:r w:rsidRPr="00481DD5">
        <w:rPr>
          <w:lang w:val="en-US"/>
        </w:rPr>
        <w:tab/>
      </w:r>
      <w:r w:rsidRPr="00093AC5">
        <w:rPr>
          <w:rStyle w:val="FootnoteReference"/>
        </w:rPr>
        <w:footnoteRef/>
      </w:r>
      <w:r w:rsidRPr="00DA5E7E">
        <w:rPr>
          <w:lang w:val="en-US"/>
        </w:rPr>
        <w:tab/>
      </w:r>
      <w:hyperlink r:id="rId665" w:history="1">
        <w:r w:rsidR="00D301C6" w:rsidRPr="00813782">
          <w:rPr>
            <w:rStyle w:val="Hyperlink"/>
            <w:lang w:val="en-US"/>
          </w:rPr>
          <w:t>https://covid19.inclo.net/2020/06/23/australia-isolated-anti-lockdown-protests-and-blm-solidarity-marches/</w:t>
        </w:r>
      </w:hyperlink>
      <w:r w:rsidR="00D301C6" w:rsidRPr="00813782">
        <w:rPr>
          <w:rStyle w:val="Hyperlink"/>
          <w:lang w:val="en-US"/>
        </w:rPr>
        <w:t>.</w:t>
      </w:r>
    </w:p>
  </w:footnote>
  <w:footnote w:id="565">
    <w:p w14:paraId="31EC82E5" w14:textId="539FC70B"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hyperlink r:id="rId666" w:history="1">
        <w:r w:rsidR="00D301C6" w:rsidRPr="00813782">
          <w:rPr>
            <w:rStyle w:val="Hyperlink"/>
            <w:lang w:val="en-US"/>
          </w:rPr>
          <w:t>https://www.theguardian.com/world/2020/jun/01/thousands-in-new-zealand-protest-against-george-floyd-killing</w:t>
        </w:r>
      </w:hyperlink>
      <w:r w:rsidR="00BF73AB">
        <w:rPr>
          <w:lang w:val="en-US"/>
        </w:rPr>
        <w:t> ;</w:t>
      </w:r>
      <w:r w:rsidR="00D301C6" w:rsidRPr="00DA5E7E">
        <w:rPr>
          <w:lang w:val="en-US"/>
        </w:rPr>
        <w:t xml:space="preserve"> </w:t>
      </w:r>
      <w:hyperlink r:id="rId667" w:history="1">
        <w:r w:rsidR="00D301C6" w:rsidRPr="00813782">
          <w:rPr>
            <w:rStyle w:val="Hyperlink"/>
            <w:lang w:val="en-US"/>
          </w:rPr>
          <w:t>https://twitter.com/winstonpeters/status/1267347397597818882</w:t>
        </w:r>
      </w:hyperlink>
      <w:r w:rsidR="00BF73AB">
        <w:rPr>
          <w:lang w:val="en-US"/>
        </w:rPr>
        <w:t> ;</w:t>
      </w:r>
      <w:r w:rsidR="00D301C6" w:rsidRPr="00DA5E7E">
        <w:rPr>
          <w:lang w:val="en-US"/>
        </w:rPr>
        <w:t xml:space="preserve"> </w:t>
      </w:r>
      <w:hyperlink r:id="rId668" w:history="1">
        <w:r w:rsidR="00D301C6" w:rsidRPr="00813782">
          <w:rPr>
            <w:rStyle w:val="Hyperlink"/>
            <w:lang w:val="en-US"/>
          </w:rPr>
          <w:t>https://time.com/</w:t>
        </w:r>
        <w:r w:rsidR="00F45CB5">
          <w:rPr>
            <w:rStyle w:val="Hyperlink"/>
            <w:lang w:val="en-US"/>
          </w:rPr>
          <w:t xml:space="preserve"> </w:t>
        </w:r>
        <w:r w:rsidR="00D301C6" w:rsidRPr="00813782">
          <w:rPr>
            <w:rStyle w:val="Hyperlink"/>
            <w:lang w:val="en-US"/>
          </w:rPr>
          <w:t>5845981/new-zealand-george-floyd/</w:t>
        </w:r>
      </w:hyperlink>
      <w:r w:rsidR="00D301C6" w:rsidRPr="00DA5E7E">
        <w:rPr>
          <w:lang w:val="en-US"/>
        </w:rPr>
        <w:t>.</w:t>
      </w:r>
    </w:p>
  </w:footnote>
  <w:footnote w:id="566">
    <w:p w14:paraId="59664CE7" w14:textId="04D937DA" w:rsidR="00D301C6" w:rsidRPr="00D10EF8" w:rsidRDefault="009D2B36" w:rsidP="005B4367">
      <w:pPr>
        <w:pStyle w:val="FootnoteText"/>
        <w:rPr>
          <w:lang w:val="fr-FR"/>
        </w:rPr>
      </w:pPr>
      <w:r w:rsidRPr="00DA5E7E">
        <w:rPr>
          <w:lang w:val="en-US"/>
        </w:rPr>
        <w:tab/>
      </w:r>
      <w:r w:rsidRPr="00093AC5">
        <w:rPr>
          <w:rStyle w:val="FootnoteReference"/>
        </w:rPr>
        <w:footnoteRef/>
      </w:r>
      <w:r w:rsidRPr="00DA5E7E">
        <w:rPr>
          <w:lang w:val="en-US"/>
        </w:rPr>
        <w:tab/>
      </w:r>
      <w:hyperlink r:id="rId669" w:history="1">
        <w:r w:rsidR="00D301C6" w:rsidRPr="00813782">
          <w:rPr>
            <w:rStyle w:val="Hyperlink"/>
            <w:lang w:val="en-US"/>
          </w:rPr>
          <w:t>https://www.ohchr.org/EN/NewsEvents/Pages/DisplayNews.aspx?NewsID=27060&amp;LangID=E</w:t>
        </w:r>
      </w:hyperlink>
      <w:r w:rsidR="00D301C6" w:rsidRPr="00DA5E7E">
        <w:rPr>
          <w:lang w:val="en-US"/>
        </w:rPr>
        <w:t xml:space="preserve">. </w:t>
      </w:r>
      <w:r w:rsidR="00D301C6" w:rsidRPr="00D10EF8">
        <w:rPr>
          <w:lang w:val="fr-FR"/>
        </w:rPr>
        <w:t xml:space="preserve">Voir également </w:t>
      </w:r>
      <w:hyperlink r:id="rId670" w:history="1">
        <w:r w:rsidR="00D301C6" w:rsidRPr="00D10EF8">
          <w:rPr>
            <w:rStyle w:val="Hyperlink"/>
            <w:lang w:val="fr-FR"/>
          </w:rPr>
          <w:t>https://www.icnl.org/post/analysis/u-s-current-trend-new-wave-of-legislation-targeting-black-lives-matter-protesters</w:t>
        </w:r>
      </w:hyperlink>
      <w:r w:rsidR="00D301C6" w:rsidRPr="00D10EF8">
        <w:rPr>
          <w:rStyle w:val="Hyperlink"/>
          <w:lang w:val="fr-FR"/>
        </w:rPr>
        <w:t>.</w:t>
      </w:r>
    </w:p>
  </w:footnote>
  <w:footnote w:id="567">
    <w:p w14:paraId="44A11F39" w14:textId="25B81C4E" w:rsidR="00D301C6" w:rsidRPr="00D10EF8" w:rsidRDefault="009D2B36" w:rsidP="005B4367">
      <w:pPr>
        <w:pStyle w:val="FootnoteText"/>
      </w:pPr>
      <w:r w:rsidRPr="00D10EF8">
        <w:tab/>
      </w:r>
      <w:r w:rsidRPr="00093AC5">
        <w:rPr>
          <w:rStyle w:val="FootnoteReference"/>
        </w:rPr>
        <w:footnoteRef/>
      </w:r>
      <w:r w:rsidRPr="00D10EF8">
        <w:tab/>
      </w:r>
      <w:hyperlink r:id="rId671" w:history="1">
        <w:r w:rsidR="00D301C6" w:rsidRPr="00D10EF8">
          <w:rPr>
            <w:rStyle w:val="Hyperlink"/>
            <w:lang w:val="fr-FR"/>
          </w:rPr>
          <w:t>https://www.aclufl.org/en/press-releases/aclu-florida-condemns-gov-desantis-proposed-anti-protest-bill</w:t>
        </w:r>
      </w:hyperlink>
      <w:r w:rsidR="00D301C6" w:rsidRPr="00D10EF8">
        <w:t>.</w:t>
      </w:r>
    </w:p>
  </w:footnote>
  <w:footnote w:id="568">
    <w:p w14:paraId="7437975C" w14:textId="24ACDA7B" w:rsidR="00D301C6" w:rsidRPr="00D10EF8" w:rsidRDefault="009D2B36" w:rsidP="005B4367">
      <w:pPr>
        <w:pStyle w:val="FootnoteText"/>
      </w:pPr>
      <w:r w:rsidRPr="00D10EF8">
        <w:tab/>
      </w:r>
      <w:r w:rsidRPr="002B2596">
        <w:rPr>
          <w:rStyle w:val="FootnoteReference"/>
        </w:rPr>
        <w:footnoteRef/>
      </w:r>
      <w:r w:rsidRPr="002B2596">
        <w:tab/>
      </w:r>
      <w:hyperlink r:id="rId672" w:history="1">
        <w:r w:rsidR="00D301C6" w:rsidRPr="002B2596">
          <w:rPr>
            <w:rStyle w:val="Hyperlink"/>
            <w:lang w:val="fr-FR"/>
          </w:rPr>
          <w:t>https://www.ohchr.org/EN/NewsEvents/Pages/DisplayNews.aspx?NewsID=27060&amp;LangID=E</w:t>
        </w:r>
      </w:hyperlink>
      <w:r w:rsidR="00D301C6" w:rsidRPr="002B2596">
        <w:rPr>
          <w:rStyle w:val="Hyperlink"/>
          <w:lang w:val="fr-FR"/>
        </w:rPr>
        <w:t>.</w:t>
      </w:r>
    </w:p>
  </w:footnote>
  <w:footnote w:id="569">
    <w:p w14:paraId="13B69378" w14:textId="52B09A74" w:rsidR="00D301C6" w:rsidRPr="00D10EF8" w:rsidRDefault="009D2B36" w:rsidP="005B4367">
      <w:pPr>
        <w:pStyle w:val="FootnoteText"/>
      </w:pPr>
      <w:r w:rsidRPr="00D10EF8">
        <w:tab/>
      </w:r>
      <w:r w:rsidRPr="00093AC5">
        <w:rPr>
          <w:rStyle w:val="FootnoteReference"/>
        </w:rPr>
        <w:footnoteRef/>
      </w:r>
      <w:r w:rsidRPr="00D10EF8">
        <w:tab/>
      </w:r>
      <w:hyperlink r:id="rId673" w:history="1">
        <w:r w:rsidR="00D301C6" w:rsidRPr="00D10EF8">
          <w:rPr>
            <w:rStyle w:val="Hyperlink"/>
            <w:lang w:val="fr-FR"/>
          </w:rPr>
          <w:t>https://www.libertyhumanrights.org.uk/issue/liberty-responds-to-plans-to-fast-track-prosecutions-for-protesters/</w:t>
        </w:r>
      </w:hyperlink>
      <w:r w:rsidR="00D301C6" w:rsidRPr="00D10EF8">
        <w:t>.</w:t>
      </w:r>
    </w:p>
  </w:footnote>
  <w:footnote w:id="570">
    <w:p w14:paraId="5E441D90" w14:textId="3506CC14" w:rsidR="00D301C6" w:rsidRPr="00D10EF8" w:rsidRDefault="009D2B36" w:rsidP="005B4367">
      <w:pPr>
        <w:pStyle w:val="FootnoteText"/>
      </w:pPr>
      <w:r w:rsidRPr="00D10EF8">
        <w:tab/>
      </w:r>
      <w:r w:rsidRPr="00093AC5">
        <w:rPr>
          <w:rStyle w:val="FootnoteReference"/>
        </w:rPr>
        <w:footnoteRef/>
      </w:r>
      <w:r w:rsidRPr="00D10EF8">
        <w:tab/>
      </w:r>
      <w:r w:rsidR="00D301C6" w:rsidRPr="00D10EF8">
        <w:t>Communication de l</w:t>
      </w:r>
      <w:r w:rsidR="00F60EAA">
        <w:t>’</w:t>
      </w:r>
      <w:r w:rsidR="00D301C6" w:rsidRPr="00D10EF8">
        <w:t>International Network of Civil Liberties Organisations (INCLO)</w:t>
      </w:r>
      <w:r w:rsidR="00BF73AB">
        <w:t> ;</w:t>
      </w:r>
      <w:r w:rsidR="00D301C6" w:rsidRPr="00D10EF8">
        <w:t xml:space="preserve"> </w:t>
      </w:r>
      <w:hyperlink r:id="rId674" w:history="1">
        <w:r w:rsidR="00D301C6" w:rsidRPr="00D10EF8">
          <w:rPr>
            <w:rStyle w:val="Hyperlink"/>
            <w:lang w:val="fr-FR"/>
          </w:rPr>
          <w:t>https://www.independent.co.uk/news/uk/crime/courts-fast-tracking-prosecutions-black-lives-matter-a9562031.html</w:t>
        </w:r>
      </w:hyperlink>
      <w:r w:rsidR="00D301C6" w:rsidRPr="00D10EF8">
        <w:t>.</w:t>
      </w:r>
    </w:p>
  </w:footnote>
  <w:footnote w:id="571">
    <w:p w14:paraId="762EF546" w14:textId="5C7A54F1" w:rsidR="00D301C6" w:rsidRPr="00D10EF8" w:rsidRDefault="009D2B36" w:rsidP="005B4367">
      <w:pPr>
        <w:pStyle w:val="FootnoteText"/>
      </w:pPr>
      <w:r w:rsidRPr="00D10EF8">
        <w:tab/>
      </w:r>
      <w:r w:rsidRPr="00093AC5">
        <w:rPr>
          <w:rStyle w:val="FootnoteReference"/>
        </w:rPr>
        <w:footnoteRef/>
      </w:r>
      <w:r w:rsidRPr="00D10EF8">
        <w:tab/>
      </w:r>
      <w:hyperlink r:id="rId675" w:history="1">
        <w:r w:rsidR="00D301C6" w:rsidRPr="00D10EF8">
          <w:rPr>
            <w:rStyle w:val="Hyperlink"/>
            <w:lang w:val="fr-FR"/>
          </w:rPr>
          <w:t>https://www.libertyhumanrights.org.uk/issue/liberty-responds-to-plans-to-fast-track-prosecutions-for-protesters/</w:t>
        </w:r>
      </w:hyperlink>
      <w:r w:rsidR="00D301C6" w:rsidRPr="00D10EF8">
        <w:t>.</w:t>
      </w:r>
    </w:p>
  </w:footnote>
  <w:footnote w:id="572">
    <w:p w14:paraId="02848814" w14:textId="07E0FD9F" w:rsidR="00D301C6" w:rsidRPr="00B0628D" w:rsidRDefault="009D2B36" w:rsidP="005B4367">
      <w:pPr>
        <w:pStyle w:val="FootnoteText"/>
        <w:rPr>
          <w:lang w:val="fr-CA"/>
        </w:rPr>
      </w:pPr>
      <w:r w:rsidRPr="00D10EF8">
        <w:tab/>
      </w:r>
      <w:r w:rsidRPr="00093AC5">
        <w:rPr>
          <w:rStyle w:val="FootnoteReference"/>
        </w:rPr>
        <w:footnoteRef/>
      </w:r>
      <w:r w:rsidRPr="00D10EF8">
        <w:tab/>
      </w:r>
      <w:hyperlink r:id="rId676" w:history="1">
        <w:r w:rsidR="00D301C6" w:rsidRPr="00813782">
          <w:rPr>
            <w:rStyle w:val="Hyperlink"/>
            <w:lang w:val="fr-FR"/>
          </w:rPr>
          <w:t>https://www.ohchr.org/EN/NewsEvents/Pages/DisplayNews.aspx?NewsID=25922&amp;LangID=E</w:t>
        </w:r>
      </w:hyperlink>
      <w:r w:rsidR="00BF73AB">
        <w:t> ;</w:t>
      </w:r>
      <w:r w:rsidR="00D301C6" w:rsidRPr="00813782">
        <w:t xml:space="preserve"> </w:t>
      </w:r>
      <w:hyperlink r:id="rId677" w:history="1">
        <w:r w:rsidR="00D301C6" w:rsidRPr="00813782">
          <w:rPr>
            <w:rStyle w:val="Hyperlink"/>
            <w:lang w:val="fr-FR"/>
          </w:rPr>
          <w:t>https://spcommreports.ohchr.org/TMResultsBase/DownLoadPublicCommunicationFile?gId=25335</w:t>
        </w:r>
      </w:hyperlink>
      <w:r w:rsidR="00BF73AB">
        <w:t> ;</w:t>
      </w:r>
      <w:r w:rsidR="00D301C6" w:rsidRPr="00813782">
        <w:t xml:space="preserve"> </w:t>
      </w:r>
      <w:hyperlink r:id="rId678" w:history="1">
        <w:r w:rsidR="00D301C6" w:rsidRPr="00813782">
          <w:rPr>
            <w:rStyle w:val="Hyperlink"/>
            <w:lang w:val="fr-FR"/>
          </w:rPr>
          <w:t>https://www.ohchr.org/EN/NewsEvents/Pages/DisplayNews.aspx?NewsID=25980&amp;LangID=E</w:t>
        </w:r>
      </w:hyperlink>
      <w:r w:rsidR="00BF73AB">
        <w:t> ;</w:t>
      </w:r>
      <w:r w:rsidR="00D301C6" w:rsidRPr="00813782">
        <w:t xml:space="preserve"> </w:t>
      </w:r>
      <w:hyperlink r:id="rId679" w:history="1">
        <w:r w:rsidR="00D301C6" w:rsidRPr="00813782">
          <w:rPr>
            <w:rStyle w:val="Hyperlink"/>
            <w:lang w:val="fr-FR"/>
          </w:rPr>
          <w:t>https://www.accessnow.org/standing-with-black-lives-matter</w:t>
        </w:r>
      </w:hyperlink>
      <w:r w:rsidR="00D301C6" w:rsidRPr="00813782">
        <w:t xml:space="preserve"> /</w:t>
      </w:r>
      <w:r w:rsidR="00BF73AB">
        <w:t> ;</w:t>
      </w:r>
      <w:r w:rsidR="00D301C6" w:rsidRPr="00813782">
        <w:t xml:space="preserve"> </w:t>
      </w:r>
      <w:hyperlink r:id="rId680" w:history="1">
        <w:r w:rsidR="00D301C6" w:rsidRPr="00813782">
          <w:rPr>
            <w:rStyle w:val="Hyperlink"/>
            <w:lang w:val="fr-FR"/>
          </w:rPr>
          <w:t>https://www.oas.org/en/iachr/</w:t>
        </w:r>
        <w:r w:rsidR="00874261">
          <w:rPr>
            <w:rStyle w:val="Hyperlink"/>
            <w:lang w:val="fr-FR"/>
          </w:rPr>
          <w:t xml:space="preserve"> </w:t>
        </w:r>
        <w:r w:rsidR="00D301C6" w:rsidRPr="00813782">
          <w:rPr>
            <w:rStyle w:val="Hyperlink"/>
            <w:lang w:val="fr-FR"/>
          </w:rPr>
          <w:t>media_center/PReleases/2020/129.asp</w:t>
        </w:r>
      </w:hyperlink>
      <w:r w:rsidR="00BF73AB">
        <w:t> ;</w:t>
      </w:r>
      <w:r w:rsidR="00D301C6" w:rsidRPr="00813782">
        <w:t xml:space="preserve"> </w:t>
      </w:r>
      <w:hyperlink r:id="rId681" w:history="1">
        <w:r w:rsidR="00D301C6" w:rsidRPr="00813782">
          <w:rPr>
            <w:rStyle w:val="Hyperlink"/>
            <w:lang w:val="fr-FR"/>
          </w:rPr>
          <w:t>https://www.europarl.europa.eu/doceo/document/TA-9-2020-0173_FR.html</w:t>
        </w:r>
      </w:hyperlink>
      <w:r w:rsidR="00D301C6" w:rsidRPr="00813782">
        <w:t>, par</w:t>
      </w:r>
      <w:r w:rsidR="00874261">
        <w:t>.</w:t>
      </w:r>
      <w:r w:rsidR="00D301C6" w:rsidRPr="00813782">
        <w:t xml:space="preserve"> H.</w:t>
      </w:r>
    </w:p>
  </w:footnote>
  <w:footnote w:id="573">
    <w:p w14:paraId="31650E4E" w14:textId="0B0F35D5" w:rsidR="00D301C6" w:rsidRPr="00D10EF8" w:rsidRDefault="009D2B36" w:rsidP="005B4367">
      <w:pPr>
        <w:pStyle w:val="FootnoteText"/>
      </w:pPr>
      <w:r w:rsidRPr="00D10EF8">
        <w:tab/>
      </w:r>
      <w:r w:rsidRPr="00093AC5">
        <w:rPr>
          <w:rStyle w:val="FootnoteReference"/>
        </w:rPr>
        <w:footnoteRef/>
      </w:r>
      <w:r w:rsidRPr="00D10EF8">
        <w:tab/>
      </w:r>
      <w:hyperlink r:id="rId682" w:history="1">
        <w:r w:rsidR="00D301C6" w:rsidRPr="00D10EF8">
          <w:rPr>
            <w:rStyle w:val="Hyperlink"/>
            <w:lang w:val="fr-FR"/>
          </w:rPr>
          <w:t>https://www.nytimes.com/2020/07/29/us/protests-portland-federal-withdrawal.html</w:t>
        </w:r>
      </w:hyperlink>
      <w:r w:rsidR="00D301C6" w:rsidRPr="00D10EF8">
        <w:t>.</w:t>
      </w:r>
    </w:p>
  </w:footnote>
  <w:footnote w:id="574">
    <w:p w14:paraId="0CE2922B" w14:textId="0017B574" w:rsidR="00D301C6" w:rsidRPr="00D10EF8" w:rsidRDefault="009D2B36" w:rsidP="005B4367">
      <w:pPr>
        <w:pStyle w:val="FootnoteText"/>
      </w:pPr>
      <w:r w:rsidRPr="00D10EF8">
        <w:tab/>
      </w:r>
      <w:r w:rsidRPr="00093AC5">
        <w:rPr>
          <w:rStyle w:val="FootnoteReference"/>
        </w:rPr>
        <w:footnoteRef/>
      </w:r>
      <w:r w:rsidRPr="00D10EF8">
        <w:tab/>
      </w:r>
      <w:hyperlink r:id="rId683" w:history="1">
        <w:r w:rsidR="00D301C6" w:rsidRPr="00D10EF8">
          <w:rPr>
            <w:rStyle w:val="Hyperlink"/>
            <w:lang w:val="fr-FR"/>
          </w:rPr>
          <w:t>https://www.justice.gov/opa/pr/attorney-general-william-p-barrs-statement-riots-and-domestic-terrorism</w:t>
        </w:r>
      </w:hyperlink>
      <w:r w:rsidR="00D301C6" w:rsidRPr="00D10EF8">
        <w:t>.</w:t>
      </w:r>
    </w:p>
  </w:footnote>
  <w:footnote w:id="575">
    <w:p w14:paraId="6B0E3F34" w14:textId="612149EE" w:rsidR="00D301C6" w:rsidRPr="00D10EF8" w:rsidRDefault="009D2B36" w:rsidP="005B4367">
      <w:pPr>
        <w:pStyle w:val="FootnoteText"/>
      </w:pPr>
      <w:r w:rsidRPr="00D10EF8">
        <w:tab/>
      </w:r>
      <w:r w:rsidRPr="00093AC5">
        <w:rPr>
          <w:rStyle w:val="FootnoteReference"/>
        </w:rPr>
        <w:footnoteRef/>
      </w:r>
      <w:r w:rsidRPr="00D10EF8">
        <w:tab/>
      </w:r>
      <w:hyperlink r:id="rId684" w:history="1">
        <w:r w:rsidR="00D301C6" w:rsidRPr="00D10EF8">
          <w:rPr>
            <w:rStyle w:val="Hyperlink"/>
            <w:lang w:val="fr-FR"/>
          </w:rPr>
          <w:t>https://www.federalregister.gov/documents/2020/07/02/2020-14509/protecting-american-monuments-memorials-and-statues-and-combating-recent-criminal-violence</w:t>
        </w:r>
      </w:hyperlink>
      <w:r w:rsidR="00D301C6" w:rsidRPr="00D10EF8">
        <w:t>.</w:t>
      </w:r>
    </w:p>
  </w:footnote>
  <w:footnote w:id="576">
    <w:p w14:paraId="1C9BA7F4" w14:textId="41237A77" w:rsidR="00D301C6" w:rsidRPr="00D10EF8" w:rsidRDefault="009D2B36" w:rsidP="005B4367">
      <w:pPr>
        <w:pStyle w:val="FootnoteText"/>
      </w:pPr>
      <w:r w:rsidRPr="00D10EF8">
        <w:tab/>
      </w:r>
      <w:r w:rsidRPr="00093AC5">
        <w:rPr>
          <w:rStyle w:val="FootnoteReference"/>
        </w:rPr>
        <w:footnoteRef/>
      </w:r>
      <w:r w:rsidRPr="00D10EF8">
        <w:tab/>
      </w:r>
      <w:hyperlink r:id="rId685" w:history="1">
        <w:r w:rsidR="00D301C6" w:rsidRPr="00D10EF8">
          <w:rPr>
            <w:rStyle w:val="Hyperlink"/>
            <w:lang w:val="fr-FR"/>
          </w:rPr>
          <w:t>https://www.whitehouse.gov/briefing-room/presidential-actions/2021/05/14/executive-order-on-the-revocation-of-certain-presidential-actions-and-technical-amendment/</w:t>
        </w:r>
      </w:hyperlink>
      <w:r w:rsidR="00D301C6" w:rsidRPr="00D10EF8">
        <w:t xml:space="preserve"> </w:t>
      </w:r>
    </w:p>
  </w:footnote>
  <w:footnote w:id="577">
    <w:p w14:paraId="1A86EB13" w14:textId="5D6E8477" w:rsidR="00D301C6" w:rsidRPr="00D10EF8" w:rsidRDefault="009D2B36" w:rsidP="005B4367">
      <w:pPr>
        <w:pStyle w:val="FootnoteText"/>
      </w:pPr>
      <w:r w:rsidRPr="00D10EF8">
        <w:tab/>
      </w:r>
      <w:r w:rsidRPr="00093AC5">
        <w:rPr>
          <w:rStyle w:val="FootnoteReference"/>
        </w:rPr>
        <w:footnoteRef/>
      </w:r>
      <w:r w:rsidRPr="00D10EF8">
        <w:tab/>
      </w:r>
      <w:hyperlink r:id="rId686" w:history="1">
        <w:r w:rsidR="00D301C6" w:rsidRPr="00D10EF8">
          <w:rPr>
            <w:rStyle w:val="Hyperlink"/>
            <w:lang w:val="fr-FR"/>
          </w:rPr>
          <w:t>https://edition.cnn.com/us/live-news/george-floyd-protests-06-07-20/h_9490072083f48e</w:t>
        </w:r>
        <w:r w:rsidR="00874261">
          <w:rPr>
            <w:rStyle w:val="Hyperlink"/>
            <w:lang w:val="fr-FR"/>
          </w:rPr>
          <w:t xml:space="preserve"> </w:t>
        </w:r>
        <w:r w:rsidR="00D301C6" w:rsidRPr="00D10EF8">
          <w:rPr>
            <w:rStyle w:val="Hyperlink"/>
            <w:lang w:val="fr-FR"/>
          </w:rPr>
          <w:t>264cadc5f0660ea18a</w:t>
        </w:r>
      </w:hyperlink>
      <w:r w:rsidR="00D301C6" w:rsidRPr="00D10EF8">
        <w:t>.</w:t>
      </w:r>
    </w:p>
  </w:footnote>
  <w:footnote w:id="578">
    <w:p w14:paraId="44F4EA8E" w14:textId="21ADC481" w:rsidR="00D301C6" w:rsidRPr="00D10EF8" w:rsidRDefault="009D2B36" w:rsidP="005B4367">
      <w:pPr>
        <w:pStyle w:val="FootnoteText"/>
        <w:rPr>
          <w:rFonts w:eastAsia="Times New Roman"/>
          <w:color w:val="222222"/>
          <w:shd w:val="clear" w:color="auto" w:fill="FFFFFF"/>
          <w:lang w:eastAsia="en-GB"/>
        </w:rPr>
      </w:pPr>
      <w:r w:rsidRPr="00D10EF8">
        <w:tab/>
      </w:r>
      <w:r w:rsidRPr="00093AC5">
        <w:rPr>
          <w:rStyle w:val="FootnoteReference"/>
        </w:rPr>
        <w:footnoteRef/>
      </w:r>
      <w:r w:rsidRPr="00D10EF8">
        <w:tab/>
      </w:r>
      <w:hyperlink r:id="rId687" w:history="1">
        <w:r w:rsidR="00D301C6" w:rsidRPr="00D10EF8">
          <w:rPr>
            <w:rStyle w:val="Hyperlink"/>
            <w:lang w:val="fr-FR"/>
          </w:rPr>
          <w:t>https://www.usnews.com/news/world/articles/2020-06-07/australian-minister-calls-anti-racism-protests-self-indulgent</w:t>
        </w:r>
      </w:hyperlink>
      <w:r w:rsidR="00D301C6" w:rsidRPr="00D10EF8">
        <w:rPr>
          <w:rFonts w:eastAsia="Times New Roman"/>
          <w:color w:val="222222"/>
          <w:shd w:val="clear" w:color="auto" w:fill="FFFFFF"/>
          <w:lang w:eastAsia="en-GB"/>
        </w:rPr>
        <w:t>. Voir également la communication de l</w:t>
      </w:r>
      <w:r w:rsidR="00F60EAA">
        <w:rPr>
          <w:rFonts w:eastAsia="Times New Roman"/>
          <w:color w:val="222222"/>
          <w:shd w:val="clear" w:color="auto" w:fill="FFFFFF"/>
          <w:lang w:eastAsia="en-GB"/>
        </w:rPr>
        <w:t>’</w:t>
      </w:r>
      <w:r w:rsidR="00D301C6" w:rsidRPr="00D10EF8">
        <w:rPr>
          <w:rFonts w:eastAsia="Times New Roman"/>
          <w:color w:val="222222"/>
          <w:shd w:val="clear" w:color="auto" w:fill="FFFFFF"/>
          <w:lang w:eastAsia="en-GB"/>
        </w:rPr>
        <w:t>International Network of Civil Liberties Organisations (INCLO).</w:t>
      </w:r>
    </w:p>
  </w:footnote>
  <w:footnote w:id="579">
    <w:p w14:paraId="02D71B56" w14:textId="7A7064CA" w:rsidR="00D301C6" w:rsidRPr="00D10EF8" w:rsidRDefault="009D2B36" w:rsidP="005B4367">
      <w:pPr>
        <w:pStyle w:val="FootnoteText"/>
      </w:pPr>
      <w:r w:rsidRPr="00D10EF8">
        <w:tab/>
      </w:r>
      <w:r w:rsidRPr="00093AC5">
        <w:rPr>
          <w:rStyle w:val="FootnoteReference"/>
        </w:rPr>
        <w:footnoteRef/>
      </w:r>
      <w:r w:rsidRPr="00D10EF8">
        <w:tab/>
      </w:r>
      <w:hyperlink r:id="rId688" w:history="1">
        <w:r w:rsidR="00D301C6" w:rsidRPr="00D10EF8">
          <w:rPr>
            <w:rStyle w:val="Hyperlink"/>
            <w:lang w:val="fr-FR"/>
          </w:rPr>
          <w:t>https://www.voanews.com/east-asia-pacific/thousands-march-australia-anti-racism-rallies</w:t>
        </w:r>
      </w:hyperlink>
      <w:r w:rsidR="00D301C6" w:rsidRPr="00D10EF8">
        <w:rPr>
          <w:rStyle w:val="Hyperlink"/>
          <w:lang w:val="fr-FR"/>
        </w:rPr>
        <w:t>.</w:t>
      </w:r>
    </w:p>
  </w:footnote>
  <w:footnote w:id="580">
    <w:p w14:paraId="11406C3D" w14:textId="1B4BF9C2" w:rsidR="00D301C6" w:rsidRPr="00D10EF8" w:rsidRDefault="009D2B36" w:rsidP="005B4367">
      <w:pPr>
        <w:pStyle w:val="FootnoteText"/>
      </w:pPr>
      <w:r w:rsidRPr="00D10EF8">
        <w:tab/>
      </w:r>
      <w:r w:rsidRPr="00093AC5">
        <w:rPr>
          <w:rStyle w:val="FootnoteReference"/>
        </w:rPr>
        <w:footnoteRef/>
      </w:r>
      <w:r w:rsidRPr="00D10EF8">
        <w:tab/>
      </w:r>
      <w:hyperlink r:id="rId689" w:anchor="block-5ede5e208f083999a26dc62d" w:history="1">
        <w:r w:rsidR="00D301C6" w:rsidRPr="00D10EF8">
          <w:rPr>
            <w:color w:val="0000FF"/>
          </w:rPr>
          <w:t>https://www.theguardian.com/politics/live/2020/jun/08/uk-coronavirus-johnson-says-anti-racist-protests-were-subverted-by-thuggery-live-news-covid19-updates?page=with:block-5ede5e208f083999a26dc62d#block-5ede5e208f083999a26dc62d</w:t>
        </w:r>
      </w:hyperlink>
      <w:r w:rsidR="00D301C6" w:rsidRPr="00D10EF8">
        <w:t>.</w:t>
      </w:r>
    </w:p>
  </w:footnote>
  <w:footnote w:id="581">
    <w:p w14:paraId="6F852A44" w14:textId="7E394AE5" w:rsidR="00D301C6" w:rsidRPr="00D10EF8" w:rsidRDefault="009D2B36" w:rsidP="005B4367">
      <w:pPr>
        <w:pStyle w:val="FootnoteText"/>
      </w:pPr>
      <w:r w:rsidRPr="00D10EF8">
        <w:tab/>
      </w:r>
      <w:r w:rsidRPr="00093AC5">
        <w:rPr>
          <w:rStyle w:val="FootnoteReference"/>
        </w:rPr>
        <w:footnoteRef/>
      </w:r>
      <w:r w:rsidRPr="00D10EF8">
        <w:tab/>
      </w:r>
      <w:hyperlink r:id="rId690" w:history="1">
        <w:r w:rsidR="00D301C6" w:rsidRPr="00D10EF8">
          <w:rPr>
            <w:rStyle w:val="Hyperlink"/>
            <w:lang w:val="fr-FR"/>
          </w:rPr>
          <w:t>https://www.independent.co.uk/news/uk/home-news/robert-milligan-statue-docklands-removed-slave-trader-west-india-quay-a9557686.html</w:t>
        </w:r>
      </w:hyperlink>
      <w:r w:rsidR="00D301C6" w:rsidRPr="00D10EF8">
        <w:t>.</w:t>
      </w:r>
    </w:p>
  </w:footnote>
  <w:footnote w:id="582">
    <w:p w14:paraId="62B355D5" w14:textId="07A083FB" w:rsidR="00D301C6" w:rsidRPr="00D10EF8" w:rsidRDefault="009D2B36" w:rsidP="005B4367">
      <w:pPr>
        <w:pStyle w:val="FootnoteText"/>
      </w:pPr>
      <w:r w:rsidRPr="00D10EF8">
        <w:tab/>
      </w:r>
      <w:r w:rsidRPr="00093AC5">
        <w:rPr>
          <w:rStyle w:val="FootnoteReference"/>
        </w:rPr>
        <w:footnoteRef/>
      </w:r>
      <w:r w:rsidRPr="00D10EF8">
        <w:tab/>
      </w:r>
      <w:r w:rsidR="00D301C6" w:rsidRPr="00D10EF8">
        <w:t>Par la suite, le maire de Bristol a établi une commission chargée de se pencher sur l</w:t>
      </w:r>
      <w:r w:rsidR="00F60EAA">
        <w:t>’</w:t>
      </w:r>
      <w:r w:rsidR="00D301C6" w:rsidRPr="00D10EF8">
        <w:t>avenir de la statue, qui est actuellement exposée dans un musée (</w:t>
      </w:r>
      <w:hyperlink r:id="rId691" w:history="1">
        <w:r w:rsidR="00D301C6" w:rsidRPr="00D10EF8">
          <w:rPr>
            <w:rStyle w:val="Hyperlink"/>
            <w:lang w:val="fr-FR"/>
          </w:rPr>
          <w:t>https://www.bristol.gov.uk/policies-plans-strategies/we-are-bristol-history-commission</w:t>
        </w:r>
      </w:hyperlink>
      <w:r w:rsidR="00BF73AB">
        <w:rPr>
          <w:rStyle w:val="Hyperlink"/>
          <w:lang w:val="fr-FR"/>
        </w:rPr>
        <w:t> </w:t>
      </w:r>
      <w:r w:rsidR="00BF73AB" w:rsidRPr="00C8326C">
        <w:rPr>
          <w:rStyle w:val="Hyperlink"/>
          <w:color w:val="auto"/>
          <w:lang w:val="fr-FR"/>
        </w:rPr>
        <w:t>;</w:t>
      </w:r>
      <w:r w:rsidR="00D301C6" w:rsidRPr="00D10EF8">
        <w:t xml:space="preserve"> </w:t>
      </w:r>
      <w:hyperlink r:id="rId692" w:history="1">
        <w:r w:rsidR="00D301C6" w:rsidRPr="00D10EF8">
          <w:rPr>
            <w:rStyle w:val="Hyperlink"/>
            <w:lang w:val="fr-FR"/>
          </w:rPr>
          <w:t>https://www.theguardian.com/uk-news/2021/</w:t>
        </w:r>
        <w:r w:rsidR="00C8326C">
          <w:rPr>
            <w:rStyle w:val="Hyperlink"/>
            <w:lang w:val="fr-FR"/>
          </w:rPr>
          <w:t xml:space="preserve"> </w:t>
        </w:r>
        <w:r w:rsidR="00D301C6" w:rsidRPr="00D10EF8">
          <w:rPr>
            <w:rStyle w:val="Hyperlink"/>
            <w:lang w:val="fr-FR"/>
          </w:rPr>
          <w:t>may/28/statue-of-slave-trader-edward-colston-to-go-on-display-in-bristol-museum</w:t>
        </w:r>
      </w:hyperlink>
      <w:r w:rsidR="00D301C6" w:rsidRPr="00D10EF8">
        <w:t>).</w:t>
      </w:r>
    </w:p>
  </w:footnote>
  <w:footnote w:id="583">
    <w:p w14:paraId="14F0B236" w14:textId="632015D5" w:rsidR="00D301C6" w:rsidRPr="00D10EF8" w:rsidRDefault="009D2B36" w:rsidP="005B4367">
      <w:pPr>
        <w:pStyle w:val="FootnoteText"/>
      </w:pPr>
      <w:r w:rsidRPr="00D10EF8">
        <w:tab/>
      </w:r>
      <w:r w:rsidRPr="00093AC5">
        <w:rPr>
          <w:rStyle w:val="FootnoteReference"/>
        </w:rPr>
        <w:footnoteRef/>
      </w:r>
      <w:r w:rsidRPr="00D10EF8">
        <w:tab/>
      </w:r>
      <w:hyperlink r:id="rId693" w:history="1">
        <w:r w:rsidR="00D301C6" w:rsidRPr="00D10EF8">
          <w:rPr>
            <w:rStyle w:val="Hyperlink"/>
            <w:lang w:val="fr-FR"/>
          </w:rPr>
          <w:t>https://www.bbc.com/news/uk-england-bristol-52962356</w:t>
        </w:r>
      </w:hyperlink>
      <w:r w:rsidR="00D301C6" w:rsidRPr="00D10EF8">
        <w:t>.</w:t>
      </w:r>
    </w:p>
  </w:footnote>
  <w:footnote w:id="584">
    <w:p w14:paraId="70F16F52" w14:textId="69F219BE" w:rsidR="00D301C6" w:rsidRPr="00D10EF8" w:rsidRDefault="009D2B36" w:rsidP="00FC7946">
      <w:pPr>
        <w:pStyle w:val="FootnoteText"/>
        <w:suppressAutoHyphens w:val="0"/>
      </w:pPr>
      <w:bookmarkStart w:id="1074" w:name="_Hlk108768901"/>
      <w:r w:rsidRPr="00D10EF8">
        <w:tab/>
      </w:r>
      <w:r w:rsidRPr="00093AC5">
        <w:rPr>
          <w:rStyle w:val="FootnoteReference"/>
        </w:rPr>
        <w:footnoteRef/>
      </w:r>
      <w:r w:rsidRPr="00D10EF8">
        <w:tab/>
      </w:r>
      <w:r w:rsidR="00D301C6" w:rsidRPr="003856F5">
        <w:t>Communications</w:t>
      </w:r>
      <w:r w:rsidR="00D301C6" w:rsidRPr="00D10EF8">
        <w:t xml:space="preserve"> d</w:t>
      </w:r>
      <w:r w:rsidR="00D301C6">
        <w:t>es organismes suivants :</w:t>
      </w:r>
      <w:r w:rsidR="00D301C6" w:rsidRPr="00D10EF8">
        <w:t xml:space="preserve"> Comité pour la protection des journalistes </w:t>
      </w:r>
      <w:bookmarkEnd w:id="1074"/>
      <w:r w:rsidR="00D301C6" w:rsidRPr="00D10EF8">
        <w:t xml:space="preserve">(à propos de </w:t>
      </w:r>
      <w:hyperlink r:id="rId694" w:history="1">
        <w:r w:rsidR="00D301C6" w:rsidRPr="00D10EF8">
          <w:rPr>
            <w:rStyle w:val="Hyperlink"/>
            <w:lang w:val="fr-FR"/>
          </w:rPr>
          <w:t>https://cpj.org/reports/2020/06/covering-police-violence-protests-in-the-us/</w:t>
        </w:r>
      </w:hyperlink>
      <w:r w:rsidR="00D301C6" w:rsidRPr="00D10EF8">
        <w:t>)</w:t>
      </w:r>
      <w:r w:rsidR="00D301C6">
        <w:t xml:space="preserve"> et</w:t>
      </w:r>
      <w:r w:rsidR="00D301C6" w:rsidRPr="00D10EF8">
        <w:t xml:space="preserve"> University of Southern California Gould School of Law International Human Rights Clinic/Access Now</w:t>
      </w:r>
      <w:r w:rsidR="00D301C6">
        <w:t>,</w:t>
      </w:r>
      <w:r w:rsidR="00D301C6" w:rsidRPr="00D10EF8">
        <w:t xml:space="preserve"> avec le concours de Foley Hoag LLP</w:t>
      </w:r>
      <w:r w:rsidR="00BF73AB">
        <w:t> ;</w:t>
      </w:r>
      <w:r w:rsidR="00D301C6" w:rsidRPr="00D10EF8">
        <w:t xml:space="preserve"> </w:t>
      </w:r>
      <w:hyperlink r:id="rId695" w:history="1">
        <w:r w:rsidR="00D301C6" w:rsidRPr="00813782">
          <w:rPr>
            <w:rStyle w:val="Hyperlink"/>
            <w:lang w:val="fr-FR"/>
          </w:rPr>
          <w:t>https://news.un.org/fr/story/2020/06/1070582</w:t>
        </w:r>
      </w:hyperlink>
      <w:r w:rsidR="00BF73AB">
        <w:t> ;</w:t>
      </w:r>
      <w:r w:rsidR="00D301C6" w:rsidRPr="00D10EF8">
        <w:t xml:space="preserve"> </w:t>
      </w:r>
      <w:hyperlink r:id="rId696" w:history="1">
        <w:r w:rsidR="00D301C6" w:rsidRPr="00D10EF8">
          <w:rPr>
            <w:rStyle w:val="Hyperlink"/>
            <w:lang w:val="fr-FR"/>
          </w:rPr>
          <w:t>https://spcommreports.ohchr.org/</w:t>
        </w:r>
        <w:r w:rsidR="00FC7946">
          <w:rPr>
            <w:rStyle w:val="Hyperlink"/>
            <w:lang w:val="fr-FR"/>
          </w:rPr>
          <w:t xml:space="preserve"> </w:t>
        </w:r>
        <w:r w:rsidR="00D301C6" w:rsidRPr="00D10EF8">
          <w:rPr>
            <w:rStyle w:val="Hyperlink"/>
            <w:lang w:val="fr-FR"/>
          </w:rPr>
          <w:t>TMResultsBase/DownLoadPublicCommunicationFile?gId=25589</w:t>
        </w:r>
      </w:hyperlink>
      <w:r w:rsidR="00BF73AB">
        <w:rPr>
          <w:rStyle w:val="Hyperlink"/>
          <w:lang w:val="fr-FR"/>
        </w:rPr>
        <w:t> </w:t>
      </w:r>
      <w:r w:rsidR="00BF73AB" w:rsidRPr="00FC7946">
        <w:rPr>
          <w:rStyle w:val="Hyperlink"/>
          <w:color w:val="auto"/>
          <w:lang w:val="fr-FR"/>
        </w:rPr>
        <w:t>;</w:t>
      </w:r>
      <w:r w:rsidR="00D301C6" w:rsidRPr="00FC7946">
        <w:t xml:space="preserve"> </w:t>
      </w:r>
      <w:hyperlink r:id="rId697" w:history="1">
        <w:r w:rsidR="00D301C6" w:rsidRPr="00FC7946">
          <w:rPr>
            <w:rStyle w:val="Hyperlink"/>
          </w:rPr>
          <w:t>https://www.oas.org/en/</w:t>
        </w:r>
        <w:r w:rsidR="00FC7946">
          <w:rPr>
            <w:rStyle w:val="Hyperlink"/>
          </w:rPr>
          <w:t xml:space="preserve"> </w:t>
        </w:r>
        <w:r w:rsidR="00D301C6" w:rsidRPr="00FC7946">
          <w:rPr>
            <w:rStyle w:val="Hyperlink"/>
          </w:rPr>
          <w:t>iachr/media_center/PReleases/2020/129.asp</w:t>
        </w:r>
      </w:hyperlink>
      <w:r w:rsidR="00BF73AB">
        <w:rPr>
          <w:lang w:val="fr-FR"/>
        </w:rPr>
        <w:t> ;</w:t>
      </w:r>
      <w:r w:rsidR="00D301C6" w:rsidRPr="00D10EF8">
        <w:rPr>
          <w:lang w:val="fr-FR"/>
        </w:rPr>
        <w:t xml:space="preserve"> </w:t>
      </w:r>
      <w:hyperlink r:id="rId698" w:history="1">
        <w:r w:rsidR="00D301C6" w:rsidRPr="00FC7946">
          <w:rPr>
            <w:rStyle w:val="Hyperlink"/>
          </w:rPr>
          <w:t>https://www.osce.org/representative-on-freedom-of-media/453459</w:t>
        </w:r>
      </w:hyperlink>
      <w:r w:rsidR="00BF73AB">
        <w:rPr>
          <w:lang w:val="fr-FR"/>
        </w:rPr>
        <w:t> ;</w:t>
      </w:r>
      <w:r w:rsidR="00D301C6" w:rsidRPr="00D10EF8">
        <w:rPr>
          <w:lang w:val="fr-FR"/>
        </w:rPr>
        <w:t xml:space="preserve"> </w:t>
      </w:r>
      <w:hyperlink r:id="rId699" w:history="1">
        <w:r w:rsidR="00D301C6" w:rsidRPr="00D10EF8">
          <w:rPr>
            <w:rStyle w:val="Hyperlink"/>
            <w:lang w:val="fr-FR"/>
          </w:rPr>
          <w:t>https://www.europarl.europa.eu/doceo/document/TA-9-2020-0173_FR.html</w:t>
        </w:r>
      </w:hyperlink>
      <w:r w:rsidR="00D301C6" w:rsidRPr="00D10EF8">
        <w:rPr>
          <w:lang w:val="fr-FR"/>
        </w:rPr>
        <w:t>.</w:t>
      </w:r>
    </w:p>
  </w:footnote>
  <w:footnote w:id="585">
    <w:p w14:paraId="79489558" w14:textId="3583C761" w:rsidR="00D301C6" w:rsidRPr="00D10EF8" w:rsidRDefault="009D2B36" w:rsidP="005B4367">
      <w:pPr>
        <w:pStyle w:val="FootnoteText"/>
        <w:rPr>
          <w:lang w:val="fr-FR"/>
        </w:rPr>
      </w:pPr>
      <w:r w:rsidRPr="00D10EF8">
        <w:tab/>
      </w:r>
      <w:r w:rsidRPr="00093AC5">
        <w:rPr>
          <w:rStyle w:val="FootnoteReference"/>
        </w:rPr>
        <w:footnoteRef/>
      </w:r>
      <w:r w:rsidRPr="00DA5E7E">
        <w:rPr>
          <w:lang w:val="en-US"/>
        </w:rPr>
        <w:tab/>
      </w:r>
      <w:r w:rsidR="00D301C6" w:rsidRPr="00DA5E7E">
        <w:rPr>
          <w:lang w:val="en-US"/>
        </w:rPr>
        <w:t>Communication de l</w:t>
      </w:r>
      <w:r w:rsidR="00F60EAA">
        <w:rPr>
          <w:lang w:val="en-US"/>
        </w:rPr>
        <w:t>’</w:t>
      </w:r>
      <w:r w:rsidR="00D301C6" w:rsidRPr="00DA5E7E">
        <w:rPr>
          <w:lang w:val="en-US"/>
        </w:rPr>
        <w:t xml:space="preserve">University of Southern California Gould School of Law International Human Rights Clinic/Access Now avec le concours de Foley Hoag LLP. </w:t>
      </w:r>
      <w:r w:rsidR="00D301C6" w:rsidRPr="00D10EF8">
        <w:rPr>
          <w:lang w:val="fr-FR"/>
        </w:rPr>
        <w:t>Voir également les communications du Comité pour la protection des journalistes</w:t>
      </w:r>
      <w:r w:rsidR="00D301C6">
        <w:rPr>
          <w:lang w:val="fr-FR"/>
        </w:rPr>
        <w:t>,</w:t>
      </w:r>
      <w:r w:rsidR="00D301C6" w:rsidRPr="00D10EF8">
        <w:rPr>
          <w:lang w:val="fr-FR"/>
        </w:rPr>
        <w:t xml:space="preserve"> </w:t>
      </w:r>
      <w:r w:rsidR="00D301C6" w:rsidRPr="00CE186C">
        <w:rPr>
          <w:lang w:val="fr-FR"/>
        </w:rPr>
        <w:t>Witness.</w:t>
      </w:r>
      <w:r w:rsidR="00D301C6" w:rsidRPr="00D10EF8">
        <w:rPr>
          <w:lang w:val="fr-FR"/>
        </w:rPr>
        <w:t xml:space="preserve"> </w:t>
      </w:r>
      <w:hyperlink r:id="rId700" w:history="1">
        <w:r w:rsidR="00D301C6" w:rsidRPr="00D10EF8">
          <w:rPr>
            <w:rStyle w:val="Hyperlink"/>
            <w:lang w:val="fr-FR"/>
          </w:rPr>
          <w:t>https://pressfreedomtracker.us/george-floyd-protests/</w:t>
        </w:r>
      </w:hyperlink>
      <w:r w:rsidR="00BF73AB">
        <w:rPr>
          <w:rStyle w:val="Hyperlink"/>
          <w:lang w:val="fr-FR"/>
        </w:rPr>
        <w:t> </w:t>
      </w:r>
      <w:r w:rsidR="00BF73AB" w:rsidRPr="00FC7946">
        <w:rPr>
          <w:rStyle w:val="Hyperlink"/>
          <w:color w:val="auto"/>
          <w:lang w:val="fr-FR"/>
        </w:rPr>
        <w:t>;</w:t>
      </w:r>
      <w:r w:rsidR="00D301C6" w:rsidRPr="00D10EF8">
        <w:rPr>
          <w:rStyle w:val="Hyperlink"/>
          <w:lang w:val="fr-FR"/>
        </w:rPr>
        <w:t xml:space="preserve"> </w:t>
      </w:r>
      <w:hyperlink r:id="rId701" w:history="1">
        <w:r w:rsidR="00D301C6" w:rsidRPr="00D10EF8">
          <w:rPr>
            <w:rStyle w:val="Hyperlink"/>
            <w:lang w:val="fr-FR"/>
          </w:rPr>
          <w:t>https://www.amnestyusa.org/wp-content/uploads/2020/07/WorldisWatching</w:t>
        </w:r>
        <w:r w:rsidR="00FC7946">
          <w:rPr>
            <w:rStyle w:val="Hyperlink"/>
            <w:lang w:val="fr-FR"/>
          </w:rPr>
          <w:t xml:space="preserve"> </w:t>
        </w:r>
        <w:r w:rsidR="00D301C6" w:rsidRPr="00D10EF8">
          <w:rPr>
            <w:rStyle w:val="Hyperlink"/>
            <w:lang w:val="fr-FR"/>
          </w:rPr>
          <w:t>FullReport080220.pdf</w:t>
        </w:r>
      </w:hyperlink>
      <w:r w:rsidR="00D301C6" w:rsidRPr="00D10EF8">
        <w:rPr>
          <w:lang w:val="fr-FR"/>
        </w:rPr>
        <w:t>, p.</w:t>
      </w:r>
      <w:r w:rsidR="00FC7946">
        <w:rPr>
          <w:lang w:val="fr-FR"/>
        </w:rPr>
        <w:t> </w:t>
      </w:r>
      <w:r w:rsidR="00D301C6" w:rsidRPr="00D10EF8">
        <w:rPr>
          <w:lang w:val="fr-FR"/>
        </w:rPr>
        <w:t>41 et suiv</w:t>
      </w:r>
      <w:r w:rsidR="00FC7946">
        <w:rPr>
          <w:lang w:val="fr-FR"/>
        </w:rPr>
        <w:t>.</w:t>
      </w:r>
      <w:r w:rsidR="00BF73AB">
        <w:rPr>
          <w:lang w:val="fr-FR"/>
        </w:rPr>
        <w:t> ;</w:t>
      </w:r>
      <w:r w:rsidR="00D301C6" w:rsidRPr="00D10EF8">
        <w:rPr>
          <w:color w:val="0000FF"/>
          <w:u w:val="single"/>
          <w:lang w:val="fr-FR"/>
        </w:rPr>
        <w:t xml:space="preserve"> </w:t>
      </w:r>
      <w:hyperlink r:id="rId702" w:history="1">
        <w:r w:rsidR="00D301C6" w:rsidRPr="00D10EF8">
          <w:rPr>
            <w:rStyle w:val="Hyperlink"/>
            <w:lang w:val="fr-FR"/>
          </w:rPr>
          <w:t>https://www.hrw.org/fr/news/2020/06/30/les-etats-unis-commettent-les-memes-abus-quils-condamnent-letranger</w:t>
        </w:r>
      </w:hyperlink>
      <w:r w:rsidR="00BF73AB">
        <w:rPr>
          <w:lang w:val="fr-FR"/>
        </w:rPr>
        <w:t> ;</w:t>
      </w:r>
      <w:r w:rsidR="00D301C6" w:rsidRPr="00D10EF8">
        <w:rPr>
          <w:lang w:val="fr-FR"/>
        </w:rPr>
        <w:t xml:space="preserve"> </w:t>
      </w:r>
      <w:hyperlink r:id="rId703" w:history="1">
        <w:r w:rsidR="00D301C6" w:rsidRPr="00D10EF8">
          <w:rPr>
            <w:rStyle w:val="Hyperlink"/>
            <w:lang w:val="fr-FR"/>
          </w:rPr>
          <w:t>https://rsf.org/en/news/us-fueled-years-trumps-demonization-media-unprecedented-violence-breaks-out-against-journalists</w:t>
        </w:r>
      </w:hyperlink>
      <w:r w:rsidR="00BF73AB">
        <w:rPr>
          <w:rStyle w:val="Hyperlink"/>
          <w:lang w:val="fr-FR"/>
        </w:rPr>
        <w:t> </w:t>
      </w:r>
      <w:r w:rsidR="00BF73AB" w:rsidRPr="00FC7946">
        <w:rPr>
          <w:rStyle w:val="Hyperlink"/>
          <w:color w:val="auto"/>
          <w:lang w:val="fr-FR"/>
        </w:rPr>
        <w:t>;</w:t>
      </w:r>
      <w:r w:rsidR="00D301C6" w:rsidRPr="00FC7946">
        <w:rPr>
          <w:lang w:val="fr-FR"/>
        </w:rPr>
        <w:t xml:space="preserve"> </w:t>
      </w:r>
      <w:hyperlink r:id="rId704" w:history="1">
        <w:r w:rsidR="00D301C6" w:rsidRPr="00D10EF8">
          <w:rPr>
            <w:rStyle w:val="Hyperlink"/>
            <w:lang w:val="fr-FR"/>
          </w:rPr>
          <w:t>https://www.article19.org/resources/us-authorities-must-protect-protesters-and-journalists-end-use-of-excessive-force/</w:t>
        </w:r>
      </w:hyperlink>
      <w:r w:rsidR="00BF73AB">
        <w:rPr>
          <w:rStyle w:val="Hyperlink"/>
          <w:lang w:val="fr-FR"/>
        </w:rPr>
        <w:t> </w:t>
      </w:r>
      <w:r w:rsidR="00BF73AB" w:rsidRPr="004E5E48">
        <w:rPr>
          <w:rStyle w:val="Hyperlink"/>
          <w:color w:val="auto"/>
          <w:lang w:val="fr-FR"/>
        </w:rPr>
        <w:t>;</w:t>
      </w:r>
      <w:r w:rsidR="00D301C6" w:rsidRPr="00D10EF8">
        <w:rPr>
          <w:lang w:val="fr-FR"/>
        </w:rPr>
        <w:t xml:space="preserve"> </w:t>
      </w:r>
      <w:hyperlink r:id="rId705" w:history="1">
        <w:r w:rsidR="00D301C6" w:rsidRPr="00D10EF8">
          <w:rPr>
            <w:rStyle w:val="Hyperlink"/>
            <w:lang w:val="fr-FR"/>
          </w:rPr>
          <w:t>https://www.press.org/newsroom/journalism-groups-call-police-nationwide-halt-use-violence-arrests-against-journalists</w:t>
        </w:r>
      </w:hyperlink>
      <w:r w:rsidR="00BF73AB">
        <w:rPr>
          <w:rStyle w:val="Hyperlink"/>
          <w:lang w:val="fr-FR"/>
        </w:rPr>
        <w:t> </w:t>
      </w:r>
      <w:r w:rsidR="00BF73AB" w:rsidRPr="004E5E48">
        <w:rPr>
          <w:rStyle w:val="Hyperlink"/>
          <w:color w:val="auto"/>
          <w:lang w:val="fr-FR"/>
        </w:rPr>
        <w:t>;</w:t>
      </w:r>
      <w:r w:rsidR="00D301C6" w:rsidRPr="004E5E48">
        <w:rPr>
          <w:lang w:val="fr-FR"/>
        </w:rPr>
        <w:t xml:space="preserve"> </w:t>
      </w:r>
      <w:hyperlink r:id="rId706" w:history="1">
        <w:r w:rsidR="00D301C6" w:rsidRPr="00D10EF8">
          <w:rPr>
            <w:rStyle w:val="Hyperlink"/>
            <w:lang w:val="fr-FR"/>
          </w:rPr>
          <w:t>https://monitor.civicus.org/updates/2020/07/13/militarised-police-continue-use-excessive-force-against-protesters/</w:t>
        </w:r>
      </w:hyperlink>
      <w:r w:rsidR="00D301C6" w:rsidRPr="00D10EF8">
        <w:rPr>
          <w:rStyle w:val="Hyperlink"/>
          <w:lang w:val="fr-FR"/>
        </w:rPr>
        <w:t>.</w:t>
      </w:r>
    </w:p>
  </w:footnote>
  <w:footnote w:id="586">
    <w:p w14:paraId="70965B35" w14:textId="370E0C5A" w:rsidR="00D301C6" w:rsidRPr="00D10EF8" w:rsidRDefault="009D2B36" w:rsidP="005B4367">
      <w:pPr>
        <w:pStyle w:val="FootnoteText"/>
      </w:pPr>
      <w:r w:rsidRPr="00D10EF8">
        <w:tab/>
      </w:r>
      <w:r w:rsidRPr="00093AC5">
        <w:rPr>
          <w:rStyle w:val="FootnoteReference"/>
        </w:rPr>
        <w:footnoteRef/>
      </w:r>
      <w:r w:rsidRPr="00D10EF8">
        <w:tab/>
      </w:r>
      <w:hyperlink r:id="rId707" w:history="1">
        <w:r w:rsidR="00D301C6" w:rsidRPr="00D10EF8">
          <w:rPr>
            <w:rStyle w:val="Hyperlink"/>
            <w:lang w:val="fr-FR"/>
          </w:rPr>
          <w:t>https://pressfreedomtracker.us/1-year-blm/</w:t>
        </w:r>
      </w:hyperlink>
      <w:r w:rsidR="00D301C6" w:rsidRPr="00D10EF8">
        <w:t>.</w:t>
      </w:r>
    </w:p>
  </w:footnote>
  <w:footnote w:id="587">
    <w:p w14:paraId="53360567" w14:textId="44381627" w:rsidR="00D301C6" w:rsidRPr="00D10EF8" w:rsidRDefault="009D2B36" w:rsidP="005B4367">
      <w:pPr>
        <w:pStyle w:val="FootnoteText"/>
      </w:pPr>
      <w:r w:rsidRPr="00D10EF8">
        <w:tab/>
      </w:r>
      <w:r w:rsidRPr="00093AC5">
        <w:rPr>
          <w:rStyle w:val="FootnoteReference"/>
        </w:rPr>
        <w:footnoteRef/>
      </w:r>
      <w:r w:rsidRPr="00D10EF8">
        <w:tab/>
      </w:r>
      <w:r w:rsidR="00D301C6" w:rsidRPr="00D10EF8">
        <w:t xml:space="preserve">Communications du Comité pour la protection des journalistes. Voir également </w:t>
      </w:r>
      <w:hyperlink r:id="rId708" w:history="1">
        <w:r w:rsidR="00D301C6" w:rsidRPr="00D10EF8">
          <w:rPr>
            <w:rStyle w:val="Hyperlink"/>
            <w:lang w:val="fr-FR"/>
          </w:rPr>
          <w:t>https://cpj.org/</w:t>
        </w:r>
        <w:r w:rsidR="004E5E48">
          <w:rPr>
            <w:rStyle w:val="Hyperlink"/>
            <w:lang w:val="fr-FR"/>
          </w:rPr>
          <w:t xml:space="preserve"> </w:t>
        </w:r>
        <w:r w:rsidR="00D301C6" w:rsidRPr="00D10EF8">
          <w:rPr>
            <w:rStyle w:val="Hyperlink"/>
            <w:lang w:val="fr-FR"/>
          </w:rPr>
          <w:t>2020/09/when-police-patrol-protests-in-military-gear-journalists-face-a-hostile-reporting-environment/</w:t>
        </w:r>
      </w:hyperlink>
      <w:r w:rsidR="00D301C6" w:rsidRPr="00D10EF8">
        <w:t>.</w:t>
      </w:r>
    </w:p>
  </w:footnote>
  <w:footnote w:id="588">
    <w:p w14:paraId="5A7A11B7" w14:textId="237E33AF" w:rsidR="00D301C6" w:rsidRPr="00D10EF8" w:rsidRDefault="009D2B36" w:rsidP="005B4367">
      <w:pPr>
        <w:pStyle w:val="FootnoteText"/>
      </w:pPr>
      <w:r w:rsidRPr="00D10EF8">
        <w:tab/>
      </w:r>
      <w:r w:rsidRPr="00093AC5">
        <w:rPr>
          <w:rStyle w:val="FootnoteReference"/>
        </w:rPr>
        <w:footnoteRef/>
      </w:r>
      <w:r w:rsidRPr="00D10EF8">
        <w:tab/>
      </w:r>
      <w:hyperlink r:id="rId709" w:history="1">
        <w:r w:rsidR="00D301C6" w:rsidRPr="00D10EF8">
          <w:rPr>
            <w:rStyle w:val="Hyperlink"/>
            <w:lang w:val="fr-FR"/>
          </w:rPr>
          <w:t>https://www.amnestyusa.org/press-releases/amnesty-international-usa-responds-to-andrea-sahouri-being-found-not-guilty/</w:t>
        </w:r>
      </w:hyperlink>
      <w:r w:rsidR="00D301C6" w:rsidRPr="00D10EF8">
        <w:t>.</w:t>
      </w:r>
    </w:p>
  </w:footnote>
  <w:footnote w:id="589">
    <w:p w14:paraId="18067665" w14:textId="30E569CC" w:rsidR="00D301C6" w:rsidRPr="00D10EF8" w:rsidRDefault="009D2B36" w:rsidP="00E21B72">
      <w:pPr>
        <w:pStyle w:val="FootnoteText"/>
        <w:suppressAutoHyphens w:val="0"/>
      </w:pPr>
      <w:r w:rsidRPr="00D10EF8">
        <w:tab/>
      </w:r>
      <w:r w:rsidRPr="00F60265">
        <w:rPr>
          <w:rStyle w:val="FootnoteReference"/>
        </w:rPr>
        <w:footnoteRef/>
      </w:r>
      <w:r w:rsidRPr="00F60265">
        <w:tab/>
      </w:r>
      <w:r w:rsidR="00D301C6" w:rsidRPr="00F60265">
        <w:t>Communication du Comité pour la protection des journalistes</w:t>
      </w:r>
      <w:r w:rsidR="00BF73AB" w:rsidRPr="00F60265">
        <w:t> ;</w:t>
      </w:r>
      <w:r w:rsidR="00D301C6" w:rsidRPr="00D10EF8">
        <w:t xml:space="preserve"> </w:t>
      </w:r>
      <w:hyperlink r:id="rId710" w:history="1">
        <w:r w:rsidR="00D301C6" w:rsidRPr="00D10EF8">
          <w:rPr>
            <w:rStyle w:val="Hyperlink"/>
            <w:lang w:val="fr-FR"/>
          </w:rPr>
          <w:t>https://freedom.press/static/pdf.js/</w:t>
        </w:r>
        <w:r w:rsidR="00E21B72">
          <w:rPr>
            <w:rStyle w:val="Hyperlink"/>
            <w:lang w:val="fr-FR"/>
          </w:rPr>
          <w:t xml:space="preserve"> </w:t>
        </w:r>
        <w:r w:rsidR="00D301C6" w:rsidRPr="00D10EF8">
          <w:rPr>
            <w:rStyle w:val="Hyperlink"/>
            <w:lang w:val="fr-FR"/>
          </w:rPr>
          <w:t>web/viewer.html?file=/documents/60/Journalists_Under_Arrest_in_2020_KLKbBVW.pdf</w:t>
        </w:r>
      </w:hyperlink>
      <w:r w:rsidR="00D301C6" w:rsidRPr="00D10EF8">
        <w:t>, p.5.</w:t>
      </w:r>
    </w:p>
  </w:footnote>
  <w:footnote w:id="590">
    <w:p w14:paraId="4AF8BD28" w14:textId="1E2D3717" w:rsidR="00D301C6" w:rsidRPr="00D10EF8" w:rsidRDefault="009D2B36" w:rsidP="005B4367">
      <w:pPr>
        <w:pStyle w:val="FootnoteText"/>
      </w:pPr>
      <w:r w:rsidRPr="00D10EF8">
        <w:tab/>
      </w:r>
      <w:r w:rsidRPr="00093AC5">
        <w:rPr>
          <w:rStyle w:val="FootnoteReference"/>
        </w:rPr>
        <w:footnoteRef/>
      </w:r>
      <w:r w:rsidRPr="00D10EF8">
        <w:tab/>
      </w:r>
      <w:r w:rsidR="00D301C6" w:rsidRPr="00D10EF8">
        <w:t>Communications de l</w:t>
      </w:r>
      <w:r w:rsidR="00F60EAA">
        <w:t>’</w:t>
      </w:r>
      <w:r w:rsidR="00D301C6" w:rsidRPr="00D10EF8">
        <w:t>American Civil Liberties Union (ACLU) et de l</w:t>
      </w:r>
      <w:r w:rsidR="00F60EAA">
        <w:t>’</w:t>
      </w:r>
      <w:r w:rsidR="00D301C6" w:rsidRPr="00D10EF8">
        <w:t xml:space="preserve">American Civil Liberties Union Oregon. </w:t>
      </w:r>
      <w:hyperlink r:id="rId711" w:history="1">
        <w:r w:rsidR="00D301C6" w:rsidRPr="00D10EF8">
          <w:rPr>
            <w:rStyle w:val="Hyperlink"/>
            <w:lang w:val="fr-FR"/>
          </w:rPr>
          <w:t>https://www.aclu.org/news/criminal-law-reform/a-constitutional-crisis-in-portland/</w:t>
        </w:r>
      </w:hyperlink>
      <w:r w:rsidR="00BF73AB">
        <w:rPr>
          <w:rStyle w:val="Hyperlink"/>
          <w:lang w:val="fr-FR"/>
        </w:rPr>
        <w:t> </w:t>
      </w:r>
      <w:r w:rsidR="00BF73AB" w:rsidRPr="00E21B72">
        <w:rPr>
          <w:rStyle w:val="Hyperlink"/>
          <w:color w:val="auto"/>
          <w:lang w:val="fr-FR"/>
        </w:rPr>
        <w:t>;</w:t>
      </w:r>
      <w:r w:rsidR="00D301C6" w:rsidRPr="00E21B72">
        <w:rPr>
          <w:rStyle w:val="Hyperlink"/>
          <w:color w:val="auto"/>
          <w:lang w:val="fr-FR"/>
        </w:rPr>
        <w:t xml:space="preserve"> </w:t>
      </w:r>
      <w:hyperlink r:id="rId712" w:history="1">
        <w:r w:rsidR="00D301C6" w:rsidRPr="00D10EF8">
          <w:rPr>
            <w:rStyle w:val="Hyperlink"/>
            <w:lang w:val="fr-FR"/>
          </w:rPr>
          <w:t>https://www.aclu.org/news/free-speech/police-are-attacking-journalists-at-protests-were-suing/</w:t>
        </w:r>
      </w:hyperlink>
      <w:r w:rsidR="00D301C6" w:rsidRPr="00D10EF8">
        <w:rPr>
          <w:rStyle w:val="Hyperlink"/>
          <w:lang w:val="fr-FR"/>
        </w:rPr>
        <w:t>.</w:t>
      </w:r>
    </w:p>
  </w:footnote>
  <w:footnote w:id="591">
    <w:p w14:paraId="437D97C6" w14:textId="1A1BD0F3" w:rsidR="00D301C6" w:rsidRPr="00D10EF8" w:rsidRDefault="009D2B36" w:rsidP="005B4367">
      <w:pPr>
        <w:pStyle w:val="FootnoteText"/>
      </w:pPr>
      <w:r w:rsidRPr="00D10EF8">
        <w:tab/>
      </w:r>
      <w:r w:rsidRPr="00093AC5">
        <w:rPr>
          <w:rStyle w:val="FootnoteReference"/>
        </w:rPr>
        <w:footnoteRef/>
      </w:r>
      <w:r w:rsidRPr="00D10EF8">
        <w:tab/>
      </w:r>
      <w:r w:rsidR="00D301C6" w:rsidRPr="002273CE">
        <w:t xml:space="preserve">Cette expression est principalement utilisée dans ce contexte aux États-Unis et au Royaume-Uni, où les observateurs juridiques suivent les manifestations, établissent des rapports sur leurs observations et contribuent grandement à garantir le respect des droits des manifestants.  </w:t>
      </w:r>
    </w:p>
  </w:footnote>
  <w:footnote w:id="592">
    <w:p w14:paraId="44346484" w14:textId="743D17C6" w:rsidR="00D301C6" w:rsidRPr="00E21B72" w:rsidRDefault="009D2B36" w:rsidP="005B4367">
      <w:pPr>
        <w:pStyle w:val="FootnoteText"/>
        <w:rPr>
          <w:lang w:val="en-US"/>
        </w:rPr>
      </w:pPr>
      <w:r w:rsidRPr="00D10EF8">
        <w:tab/>
      </w:r>
      <w:r w:rsidRPr="00093AC5">
        <w:rPr>
          <w:rStyle w:val="FootnoteReference"/>
        </w:rPr>
        <w:footnoteRef/>
      </w:r>
      <w:r w:rsidRPr="00E21B72">
        <w:rPr>
          <w:lang w:val="en-US"/>
        </w:rPr>
        <w:tab/>
      </w:r>
      <w:hyperlink r:id="rId713" w:history="1">
        <w:r w:rsidR="00D301C6" w:rsidRPr="00E21B72">
          <w:rPr>
            <w:rStyle w:val="Hyperlink"/>
            <w:lang w:val="en-US"/>
          </w:rPr>
          <w:t>https://www.hrw.org/fr/news/2020/06/30/les-etats-unis-commettent-les-memes-abus-quils-condamnent-letranger</w:t>
        </w:r>
      </w:hyperlink>
      <w:r w:rsidR="00BF73AB" w:rsidRPr="00E21B72">
        <w:rPr>
          <w:lang w:val="en-US"/>
        </w:rPr>
        <w:t> ;</w:t>
      </w:r>
      <w:r w:rsidR="00D301C6" w:rsidRPr="00E21B72">
        <w:rPr>
          <w:rStyle w:val="Hyperlink"/>
          <w:lang w:val="en-US"/>
        </w:rPr>
        <w:t xml:space="preserve"> </w:t>
      </w:r>
      <w:hyperlink r:id="rId714" w:history="1">
        <w:r w:rsidR="00D301C6" w:rsidRPr="00E21B72">
          <w:rPr>
            <w:rStyle w:val="Hyperlink"/>
            <w:lang w:val="en-US"/>
          </w:rPr>
          <w:t>https://www.amnestyusa.org/wp-content/uploads/2020/07/</w:t>
        </w:r>
        <w:r w:rsidR="00E21B72" w:rsidRPr="00E21B72">
          <w:rPr>
            <w:rStyle w:val="Hyperlink"/>
            <w:lang w:val="en-US"/>
          </w:rPr>
          <w:t xml:space="preserve"> </w:t>
        </w:r>
        <w:r w:rsidR="00D301C6" w:rsidRPr="00E21B72">
          <w:rPr>
            <w:rStyle w:val="Hyperlink"/>
            <w:lang w:val="en-US"/>
          </w:rPr>
          <w:t>WorldisWatchingFullReport080220.pdf</w:t>
        </w:r>
      </w:hyperlink>
      <w:r w:rsidR="00D301C6" w:rsidRPr="00E21B72">
        <w:rPr>
          <w:lang w:val="en-US"/>
        </w:rPr>
        <w:t xml:space="preserve">, </w:t>
      </w:r>
      <w:r w:rsidR="002A7FA1" w:rsidRPr="00E21B72">
        <w:rPr>
          <w:lang w:val="en-US"/>
        </w:rPr>
        <w:t>p. </w:t>
      </w:r>
      <w:r w:rsidR="00D301C6" w:rsidRPr="00E21B72">
        <w:rPr>
          <w:lang w:val="en-US"/>
        </w:rPr>
        <w:t>49 à 55.</w:t>
      </w:r>
    </w:p>
  </w:footnote>
  <w:footnote w:id="593">
    <w:p w14:paraId="2900F0C6" w14:textId="66C5EFD4" w:rsidR="00D301C6" w:rsidRPr="00E21B72" w:rsidRDefault="009D2B36" w:rsidP="005B4367">
      <w:pPr>
        <w:pStyle w:val="FootnoteText"/>
        <w:rPr>
          <w:lang w:val="en-US"/>
        </w:rPr>
      </w:pPr>
      <w:r w:rsidRPr="00E21B72">
        <w:rPr>
          <w:lang w:val="en-US"/>
        </w:rPr>
        <w:tab/>
      </w:r>
      <w:r w:rsidRPr="00093AC5">
        <w:rPr>
          <w:rStyle w:val="FootnoteReference"/>
        </w:rPr>
        <w:footnoteRef/>
      </w:r>
      <w:r w:rsidRPr="00E21B72">
        <w:rPr>
          <w:lang w:val="en-US"/>
        </w:rPr>
        <w:tab/>
      </w:r>
      <w:hyperlink r:id="rId715" w:history="1">
        <w:r w:rsidR="00D301C6" w:rsidRPr="00E21B72">
          <w:rPr>
            <w:rStyle w:val="Hyperlink"/>
            <w:lang w:val="en-US"/>
          </w:rPr>
          <w:t>https://secureservercdn.net/50.62.198.70/561.6fe.myftpupload.com/wp-content/uploads/2020/</w:t>
        </w:r>
        <w:r w:rsidR="00E21B72" w:rsidRPr="00E21B72">
          <w:rPr>
            <w:rStyle w:val="Hyperlink"/>
            <w:lang w:val="en-US"/>
          </w:rPr>
          <w:t xml:space="preserve"> </w:t>
        </w:r>
        <w:r w:rsidR="00D301C6" w:rsidRPr="00E21B72">
          <w:rPr>
            <w:rStyle w:val="Hyperlink"/>
            <w:lang w:val="en-US"/>
          </w:rPr>
          <w:t>11/Britain-is-not-innocent-web-version.pdf</w:t>
        </w:r>
      </w:hyperlink>
      <w:r w:rsidR="00D301C6" w:rsidRPr="00E21B72">
        <w:rPr>
          <w:lang w:val="en-US"/>
        </w:rPr>
        <w:t xml:space="preserve">, </w:t>
      </w:r>
      <w:r w:rsidR="002A7FA1" w:rsidRPr="00E21B72">
        <w:rPr>
          <w:lang w:val="en-US"/>
        </w:rPr>
        <w:t>p. </w:t>
      </w:r>
      <w:r w:rsidR="00D301C6" w:rsidRPr="00E21B72">
        <w:rPr>
          <w:lang w:val="en-US"/>
        </w:rPr>
        <w:t>4.</w:t>
      </w:r>
    </w:p>
  </w:footnote>
  <w:footnote w:id="594">
    <w:p w14:paraId="2421A716" w14:textId="3FF1B61F" w:rsidR="00D301C6" w:rsidRPr="004A035C" w:rsidRDefault="009D2B36" w:rsidP="005B4367">
      <w:pPr>
        <w:pStyle w:val="FootnoteText"/>
      </w:pPr>
      <w:r w:rsidRPr="00E21B72">
        <w:rPr>
          <w:lang w:val="en-US"/>
        </w:rPr>
        <w:tab/>
      </w:r>
      <w:r w:rsidRPr="00093AC5">
        <w:rPr>
          <w:rStyle w:val="FootnoteReference"/>
        </w:rPr>
        <w:footnoteRef/>
      </w:r>
      <w:r w:rsidRPr="00DA5E7E">
        <w:rPr>
          <w:lang w:val="en-US"/>
        </w:rPr>
        <w:tab/>
      </w:r>
      <w:r w:rsidR="00D301C6" w:rsidRPr="00DA5E7E">
        <w:rPr>
          <w:lang w:val="en-US"/>
        </w:rPr>
        <w:t xml:space="preserve">Communication de la Andy and Gwen Stern Community Lawyering Clinic/American Civil Liberties Union Pennsylvania. </w:t>
      </w:r>
      <w:hyperlink r:id="rId716" w:history="1">
        <w:r w:rsidR="00D301C6" w:rsidRPr="004A035C">
          <w:rPr>
            <w:rStyle w:val="Hyperlink"/>
          </w:rPr>
          <w:t>https://phr.org/our-work/resources/a-targeted-attack-on-the-bronx/</w:t>
        </w:r>
      </w:hyperlink>
      <w:r w:rsidR="00BF73AB">
        <w:rPr>
          <w:rStyle w:val="Hyperlink"/>
        </w:rPr>
        <w:t> </w:t>
      </w:r>
      <w:r w:rsidR="00BF73AB" w:rsidRPr="008E6EED">
        <w:rPr>
          <w:rStyle w:val="Hyperlink"/>
          <w:color w:val="auto"/>
        </w:rPr>
        <w:t>;</w:t>
      </w:r>
      <w:r w:rsidR="00D301C6" w:rsidRPr="008E6EED">
        <w:t xml:space="preserve"> </w:t>
      </w:r>
      <w:hyperlink r:id="rId717" w:history="1">
        <w:r w:rsidR="00D301C6" w:rsidRPr="004A035C">
          <w:rPr>
            <w:rStyle w:val="Hyperlink"/>
          </w:rPr>
          <w:t>https://www.hrw.org/fr/news/2020/06/30/les-etats-unis-commettent-les-memes-abus-quils-condamnent-letranger</w:t>
        </w:r>
      </w:hyperlink>
      <w:r w:rsidR="00D301C6" w:rsidRPr="004A035C">
        <w:rPr>
          <w:rStyle w:val="Hyperlink"/>
        </w:rPr>
        <w:t>.</w:t>
      </w:r>
    </w:p>
  </w:footnote>
  <w:footnote w:id="595">
    <w:p w14:paraId="3A13B196" w14:textId="05E0EAE7" w:rsidR="00D301C6" w:rsidRPr="004A035C" w:rsidRDefault="009D2B36" w:rsidP="005B4367">
      <w:pPr>
        <w:pStyle w:val="FootnoteText"/>
      </w:pPr>
      <w:r w:rsidRPr="00D10EF8">
        <w:tab/>
      </w:r>
      <w:r w:rsidRPr="00093AC5">
        <w:rPr>
          <w:rStyle w:val="FootnoteReference"/>
        </w:rPr>
        <w:footnoteRef/>
      </w:r>
      <w:r w:rsidRPr="00D10EF8">
        <w:tab/>
      </w:r>
      <w:hyperlink r:id="rId718" w:history="1">
        <w:r w:rsidR="00D301C6" w:rsidRPr="004A035C">
          <w:rPr>
            <w:rStyle w:val="Hyperlink"/>
          </w:rPr>
          <w:t>https://spcommreports.ohchr.org/TMResultsBase/DownLoadPublicCommunicationFile?gId=25589</w:t>
        </w:r>
      </w:hyperlink>
      <w:r w:rsidR="00BF73AB">
        <w:rPr>
          <w:rStyle w:val="Hyperlink"/>
        </w:rPr>
        <w:t> </w:t>
      </w:r>
      <w:r w:rsidR="00BF73AB" w:rsidRPr="008E6EED">
        <w:rPr>
          <w:rStyle w:val="Hyperlink"/>
          <w:color w:val="auto"/>
        </w:rPr>
        <w:t>;</w:t>
      </w:r>
      <w:r w:rsidR="00D301C6" w:rsidRPr="008E6EED">
        <w:t xml:space="preserve"> </w:t>
      </w:r>
      <w:hyperlink r:id="rId719" w:history="1">
        <w:r w:rsidR="00D301C6" w:rsidRPr="004A035C">
          <w:rPr>
            <w:rStyle w:val="Hyperlink"/>
          </w:rPr>
          <w:t>https://phr.org/our-work/resources/now-they-just-seem-to-want-to-hurt-us-portland-oregon/</w:t>
        </w:r>
      </w:hyperlink>
      <w:r w:rsidR="00BF73AB">
        <w:rPr>
          <w:rStyle w:val="Hyperlink"/>
        </w:rPr>
        <w:t> </w:t>
      </w:r>
      <w:r w:rsidR="00BF73AB" w:rsidRPr="008E6EED">
        <w:rPr>
          <w:rStyle w:val="Hyperlink"/>
          <w:color w:val="auto"/>
        </w:rPr>
        <w:t>;</w:t>
      </w:r>
      <w:r w:rsidR="00D301C6" w:rsidRPr="008E6EED">
        <w:t xml:space="preserve"> </w:t>
      </w:r>
      <w:hyperlink r:id="rId720" w:history="1">
        <w:r w:rsidR="00D301C6" w:rsidRPr="004A035C">
          <w:rPr>
            <w:rStyle w:val="Hyperlink"/>
          </w:rPr>
          <w:t>https://www.aclu.org/press-releases/aclu-sues-feds-portland-police-attacking-medics-protests</w:t>
        </w:r>
      </w:hyperlink>
      <w:r w:rsidR="00D301C6" w:rsidRPr="004A035C">
        <w:rPr>
          <w:rStyle w:val="Hyperlink"/>
        </w:rPr>
        <w:t>.</w:t>
      </w:r>
    </w:p>
  </w:footnote>
  <w:footnote w:id="596">
    <w:p w14:paraId="2090A2FB" w14:textId="4DFECBEA" w:rsidR="00D301C6" w:rsidRPr="00D10EF8" w:rsidRDefault="009D2B36" w:rsidP="005B4367">
      <w:pPr>
        <w:pStyle w:val="FootnoteText"/>
        <w:rPr>
          <w:lang w:val="fr-FR"/>
        </w:rPr>
      </w:pPr>
      <w:r w:rsidRPr="00D10EF8">
        <w:tab/>
      </w:r>
      <w:r w:rsidRPr="00093AC5">
        <w:rPr>
          <w:rStyle w:val="FootnoteReference"/>
        </w:rPr>
        <w:footnoteRef/>
      </w:r>
      <w:r w:rsidRPr="00DA5E7E">
        <w:rPr>
          <w:lang w:val="en-US"/>
        </w:rPr>
        <w:tab/>
      </w:r>
      <w:hyperlink r:id="rId721" w:history="1">
        <w:r w:rsidR="00D301C6" w:rsidRPr="00813782">
          <w:rPr>
            <w:rStyle w:val="Hyperlink"/>
            <w:lang w:val="en-US"/>
          </w:rPr>
          <w:t>https://rm.coe.int/lutter-contre-le-racisme-et-la-discrimination-raciale-a-l-egard-des-pe/1680a1c0d2</w:t>
        </w:r>
      </w:hyperlink>
      <w:r w:rsidR="00D301C6" w:rsidRPr="00DA5E7E">
        <w:rPr>
          <w:lang w:val="en-US"/>
        </w:rPr>
        <w:t xml:space="preserve">, </w:t>
      </w:r>
      <w:r w:rsidR="002A7FA1" w:rsidRPr="00DA5E7E">
        <w:rPr>
          <w:lang w:val="en-US"/>
        </w:rPr>
        <w:t>p. </w:t>
      </w:r>
      <w:r w:rsidR="00D301C6" w:rsidRPr="00DA5E7E">
        <w:rPr>
          <w:lang w:val="en-US"/>
        </w:rPr>
        <w:t>8 et 9</w:t>
      </w:r>
      <w:r w:rsidR="00BF73AB">
        <w:rPr>
          <w:lang w:val="en-US"/>
        </w:rPr>
        <w:t> ;</w:t>
      </w:r>
      <w:r w:rsidR="00D301C6" w:rsidRPr="00DA5E7E">
        <w:rPr>
          <w:lang w:val="en-US"/>
        </w:rPr>
        <w:t xml:space="preserve"> </w:t>
      </w:r>
      <w:r w:rsidR="008E6EED">
        <w:rPr>
          <w:lang w:val="en-US"/>
        </w:rPr>
        <w:t>c</w:t>
      </w:r>
      <w:r w:rsidR="00D301C6" w:rsidRPr="00DA5E7E">
        <w:rPr>
          <w:lang w:val="en-US"/>
        </w:rPr>
        <w:t>ommunication de l</w:t>
      </w:r>
      <w:r w:rsidR="00F60EAA">
        <w:rPr>
          <w:lang w:val="en-US"/>
        </w:rPr>
        <w:t>’</w:t>
      </w:r>
      <w:r w:rsidR="00D301C6" w:rsidRPr="00DA5E7E">
        <w:rPr>
          <w:lang w:val="en-US"/>
        </w:rPr>
        <w:t xml:space="preserve">University of Minnesota Human Rights Program. </w:t>
      </w:r>
      <w:r w:rsidR="00D301C6" w:rsidRPr="00D10EF8">
        <w:rPr>
          <w:lang w:val="fr-FR"/>
        </w:rPr>
        <w:t xml:space="preserve">Voir également A/HRC/44/24, </w:t>
      </w:r>
      <w:r w:rsidR="002A7FA1">
        <w:rPr>
          <w:lang w:val="fr-FR"/>
        </w:rPr>
        <w:t>par. </w:t>
      </w:r>
      <w:r w:rsidR="00D301C6" w:rsidRPr="00D10EF8">
        <w:rPr>
          <w:lang w:val="fr-FR"/>
        </w:rPr>
        <w:t>15.</w:t>
      </w:r>
    </w:p>
  </w:footnote>
  <w:footnote w:id="597">
    <w:p w14:paraId="67C948B4" w14:textId="6D9D68FA" w:rsidR="00D301C6" w:rsidRPr="00D10EF8" w:rsidRDefault="009D2B36" w:rsidP="005B4367">
      <w:pPr>
        <w:pStyle w:val="FootnoteText"/>
      </w:pPr>
      <w:r w:rsidRPr="00D10EF8">
        <w:tab/>
      </w:r>
      <w:r w:rsidRPr="00093AC5">
        <w:rPr>
          <w:rStyle w:val="FootnoteReference"/>
        </w:rPr>
        <w:footnoteRef/>
      </w:r>
      <w:r w:rsidRPr="00D10EF8">
        <w:tab/>
      </w:r>
      <w:hyperlink r:id="rId722" w:history="1">
        <w:r w:rsidR="00D301C6" w:rsidRPr="00D10EF8">
          <w:rPr>
            <w:rStyle w:val="Hyperlink"/>
            <w:lang w:val="fr-FR"/>
          </w:rPr>
          <w:t>https://spcommreports.ohchr.org/TMResultsBase/DownLoadPublicCommunicationFile?gId=25639</w:t>
        </w:r>
      </w:hyperlink>
      <w:r w:rsidR="00BF73AB">
        <w:rPr>
          <w:rStyle w:val="Hyperlink"/>
          <w:lang w:val="fr-FR"/>
        </w:rPr>
        <w:t> </w:t>
      </w:r>
      <w:r w:rsidR="00BF73AB" w:rsidRPr="008E6EED">
        <w:rPr>
          <w:rStyle w:val="Hyperlink"/>
          <w:color w:val="auto"/>
          <w:lang w:val="fr-FR"/>
        </w:rPr>
        <w:t>;</w:t>
      </w:r>
      <w:r w:rsidR="00D301C6" w:rsidRPr="008E6EED">
        <w:t xml:space="preserve"> </w:t>
      </w:r>
      <w:hyperlink r:id="rId723" w:history="1">
        <w:r w:rsidR="00D301C6" w:rsidRPr="00D10EF8">
          <w:rPr>
            <w:rStyle w:val="Hyperlink"/>
            <w:lang w:val="fr-FR"/>
          </w:rPr>
          <w:t>https://spcommreports.ohchr.org/TMResultsBase/DownLoadPublicCommunicationFile?gId=18791</w:t>
        </w:r>
      </w:hyperlink>
      <w:r w:rsidR="00D301C6" w:rsidRPr="00D10EF8">
        <w:t>.</w:t>
      </w:r>
    </w:p>
  </w:footnote>
  <w:footnote w:id="598">
    <w:p w14:paraId="2FF71335" w14:textId="435376A8" w:rsidR="00D301C6" w:rsidRPr="00D10EF8" w:rsidRDefault="009D2B36" w:rsidP="005B4367">
      <w:pPr>
        <w:pStyle w:val="FootnoteText"/>
      </w:pPr>
      <w:r w:rsidRPr="00D10EF8">
        <w:tab/>
      </w:r>
      <w:r w:rsidRPr="00093AC5">
        <w:rPr>
          <w:rStyle w:val="FootnoteReference"/>
        </w:rPr>
        <w:footnoteRef/>
      </w:r>
      <w:r w:rsidRPr="00D10EF8">
        <w:tab/>
      </w:r>
      <w:hyperlink r:id="rId724" w:history="1">
        <w:r w:rsidR="00D301C6" w:rsidRPr="00D10EF8">
          <w:rPr>
            <w:rStyle w:val="Hyperlink"/>
            <w:lang w:val="fr-FR"/>
          </w:rPr>
          <w:t>https://rm.coe.int/lutter-contre-le-racisme-et-la-discrimination-raciale-a-l-egard-des-pe/1680a1c0d2</w:t>
        </w:r>
      </w:hyperlink>
      <w:r w:rsidR="00D301C6" w:rsidRPr="00D10EF8">
        <w:t xml:space="preserve">, </w:t>
      </w:r>
      <w:r w:rsidR="002A7FA1">
        <w:t>p. </w:t>
      </w:r>
      <w:r w:rsidR="00D301C6" w:rsidRPr="00D10EF8">
        <w:t>9.</w:t>
      </w:r>
    </w:p>
  </w:footnote>
  <w:footnote w:id="599">
    <w:p w14:paraId="34A8AEB9" w14:textId="345EDEA2" w:rsidR="00D301C6" w:rsidRPr="00D10EF8" w:rsidRDefault="009D2B36" w:rsidP="005B4367">
      <w:pPr>
        <w:pStyle w:val="FootnoteText"/>
      </w:pPr>
      <w:r w:rsidRPr="00D10EF8">
        <w:tab/>
      </w:r>
      <w:r w:rsidRPr="00093AC5">
        <w:rPr>
          <w:rStyle w:val="FootnoteReference"/>
        </w:rPr>
        <w:footnoteRef/>
      </w:r>
      <w:r w:rsidRPr="00D10EF8">
        <w:tab/>
      </w:r>
      <w:hyperlink r:id="rId725" w:history="1">
        <w:r w:rsidR="00D301C6" w:rsidRPr="00D10EF8">
          <w:rPr>
            <w:rStyle w:val="Hyperlink"/>
            <w:lang w:val="fr-FR"/>
          </w:rPr>
          <w:t>https://rm.coe.int/lutter-contre-le-racisme-et-la-discrimination-raciale-a-l-egard-des-pe/1680a1c0d2</w:t>
        </w:r>
      </w:hyperlink>
      <w:r w:rsidR="00D301C6" w:rsidRPr="00D10EF8">
        <w:t xml:space="preserve">, </w:t>
      </w:r>
      <w:r w:rsidR="002A7FA1">
        <w:t>p. </w:t>
      </w:r>
      <w:r w:rsidR="00D301C6" w:rsidRPr="00D10EF8">
        <w:t>9.</w:t>
      </w:r>
    </w:p>
  </w:footnote>
  <w:footnote w:id="600">
    <w:p w14:paraId="4643BA36" w14:textId="087988A1" w:rsidR="00D301C6" w:rsidRPr="00D10EF8" w:rsidRDefault="009D2B36" w:rsidP="005B4367">
      <w:pPr>
        <w:pStyle w:val="FootnoteText"/>
      </w:pPr>
      <w:r w:rsidRPr="00D10EF8">
        <w:tab/>
      </w:r>
      <w:r w:rsidRPr="00093AC5">
        <w:rPr>
          <w:rStyle w:val="FootnoteReference"/>
        </w:rPr>
        <w:footnoteRef/>
      </w:r>
      <w:r w:rsidRPr="00D10EF8">
        <w:tab/>
      </w:r>
      <w:hyperlink r:id="rId726" w:history="1">
        <w:r w:rsidR="00D301C6" w:rsidRPr="00D10EF8">
          <w:rPr>
            <w:rStyle w:val="Hyperlink"/>
            <w:lang w:val="fr-FR"/>
          </w:rPr>
          <w:t>https://rm.coe.int/rapport-annuel-ecri-2019/16809ca6d4</w:t>
        </w:r>
      </w:hyperlink>
      <w:r w:rsidR="00D301C6" w:rsidRPr="00D10EF8">
        <w:t xml:space="preserve">, </w:t>
      </w:r>
      <w:r w:rsidR="002A7FA1">
        <w:t>par. </w:t>
      </w:r>
      <w:r w:rsidR="00D301C6" w:rsidRPr="00D10EF8">
        <w:t>12.</w:t>
      </w:r>
    </w:p>
  </w:footnote>
  <w:footnote w:id="601">
    <w:p w14:paraId="2F4B7CA4" w14:textId="430115FA" w:rsidR="00D301C6" w:rsidRPr="00D10EF8" w:rsidRDefault="009D2B36" w:rsidP="005B4367">
      <w:pPr>
        <w:pStyle w:val="FootnoteText"/>
      </w:pPr>
      <w:r w:rsidRPr="00D10EF8">
        <w:tab/>
      </w:r>
      <w:r w:rsidRPr="00093AC5">
        <w:rPr>
          <w:rStyle w:val="FootnoteReference"/>
        </w:rPr>
        <w:footnoteRef/>
      </w:r>
      <w:r w:rsidRPr="00D10EF8">
        <w:tab/>
      </w:r>
      <w:hyperlink r:id="rId727" w:history="1">
        <w:r w:rsidR="00D301C6" w:rsidRPr="00D10EF8">
          <w:rPr>
            <w:rStyle w:val="Hyperlink"/>
            <w:lang w:val="fr-FR"/>
          </w:rPr>
          <w:t>https://www.ohchr.org/EN/NewsEvents/Pages/DisplayNews.aspx?NewsID=26806&amp;LangID=E</w:t>
        </w:r>
      </w:hyperlink>
      <w:r w:rsidR="00D301C6" w:rsidRPr="00D10EF8">
        <w:t>.</w:t>
      </w:r>
    </w:p>
  </w:footnote>
  <w:footnote w:id="602">
    <w:p w14:paraId="7DF95CF1" w14:textId="03BEC299" w:rsidR="00D301C6" w:rsidRPr="00D10EF8" w:rsidRDefault="009D2B36" w:rsidP="005B4367">
      <w:pPr>
        <w:pStyle w:val="FootnoteText"/>
      </w:pPr>
      <w:r w:rsidRPr="00D10EF8">
        <w:tab/>
      </w:r>
      <w:r w:rsidRPr="00093AC5">
        <w:rPr>
          <w:rStyle w:val="FootnoteReference"/>
        </w:rPr>
        <w:footnoteRef/>
      </w:r>
      <w:r w:rsidRPr="00D10EF8">
        <w:tab/>
      </w:r>
      <w:hyperlink r:id="rId728" w:history="1">
        <w:r w:rsidR="00D301C6" w:rsidRPr="00D10EF8">
          <w:rPr>
            <w:rStyle w:val="Hyperlink"/>
            <w:lang w:val="fr-FR"/>
          </w:rPr>
          <w:t>https://fra.europa.eu/en/publication/2020/december-2020-update-ngo-ships-involved-search-and-rescue-mediterranean-and-legal</w:t>
        </w:r>
      </w:hyperlink>
      <w:r w:rsidR="00D301C6" w:rsidRPr="00D10EF8">
        <w:t>.</w:t>
      </w:r>
    </w:p>
  </w:footnote>
  <w:footnote w:id="603">
    <w:p w14:paraId="626F80AF" w14:textId="53C8E49B" w:rsidR="00D301C6" w:rsidRPr="00D10EF8" w:rsidRDefault="009D2B36" w:rsidP="005B4367">
      <w:pPr>
        <w:pStyle w:val="FootnoteText"/>
      </w:pPr>
      <w:r w:rsidRPr="00D10EF8">
        <w:tab/>
      </w:r>
      <w:r w:rsidRPr="00093AC5">
        <w:rPr>
          <w:rStyle w:val="FootnoteReference"/>
        </w:rPr>
        <w:footnoteRef/>
      </w:r>
      <w:r w:rsidRPr="00D10EF8">
        <w:tab/>
      </w:r>
      <w:r w:rsidR="00D301C6" w:rsidRPr="00D10EF8">
        <w:t>Communication de Cristosal</w:t>
      </w:r>
      <w:r w:rsidR="00BF73AB">
        <w:t> ;</w:t>
      </w:r>
      <w:r w:rsidR="00D301C6" w:rsidRPr="00D10EF8">
        <w:t xml:space="preserve"> </w:t>
      </w:r>
      <w:hyperlink r:id="rId729" w:history="1">
        <w:r w:rsidR="00D301C6" w:rsidRPr="00540D2C">
          <w:rPr>
            <w:rStyle w:val="FollowedHyperlink"/>
          </w:rPr>
          <w:t>https://www.corteidh.or.cr/docs/medidas/garifuna_se_03.pdf</w:t>
        </w:r>
      </w:hyperlink>
      <w:r w:rsidR="00BF73AB" w:rsidRPr="00540D2C">
        <w:rPr>
          <w:rStyle w:val="FollowedHyperlink"/>
        </w:rPr>
        <w:t> ;</w:t>
      </w:r>
      <w:r w:rsidR="00D301C6" w:rsidRPr="00540D2C">
        <w:rPr>
          <w:rStyle w:val="FollowedHyperlink"/>
        </w:rPr>
        <w:t xml:space="preserve"> </w:t>
      </w:r>
      <w:hyperlink r:id="rId730" w:history="1">
        <w:r w:rsidR="00D301C6" w:rsidRPr="00540D2C">
          <w:rPr>
            <w:rStyle w:val="FollowedHyperlink"/>
          </w:rPr>
          <w:t>www.corteidh.or.cr/docs/casos/articulos/seriec_305_esp.pdf</w:t>
        </w:r>
      </w:hyperlink>
      <w:r w:rsidR="00BF73AB">
        <w:t> ;</w:t>
      </w:r>
      <w:r w:rsidR="00D301C6" w:rsidRPr="00D10EF8">
        <w:rPr>
          <w:color w:val="000000"/>
          <w:u w:color="000000"/>
        </w:rPr>
        <w:t xml:space="preserve"> </w:t>
      </w:r>
      <w:r w:rsidR="00D301C6" w:rsidRPr="00D10EF8">
        <w:t>A/HRC/40/60/Add.2</w:t>
      </w:r>
      <w:r w:rsidR="00BF73AB">
        <w:t> ;</w:t>
      </w:r>
      <w:r w:rsidR="00D301C6" w:rsidRPr="00D10EF8">
        <w:t xml:space="preserve"> A/HRC/35/23/Add.1.</w:t>
      </w:r>
    </w:p>
  </w:footnote>
  <w:footnote w:id="604">
    <w:p w14:paraId="6AA8B295" w14:textId="42E67C9A" w:rsidR="00D301C6" w:rsidRPr="00D10EF8" w:rsidRDefault="009D2B36" w:rsidP="005B4367">
      <w:pPr>
        <w:pStyle w:val="FootnoteText"/>
      </w:pPr>
      <w:r w:rsidRPr="00D10EF8">
        <w:tab/>
      </w:r>
      <w:r w:rsidRPr="00093AC5">
        <w:rPr>
          <w:rStyle w:val="FootnoteReference"/>
        </w:rPr>
        <w:footnoteRef/>
      </w:r>
      <w:r w:rsidRPr="00D10EF8">
        <w:tab/>
      </w:r>
      <w:hyperlink r:id="rId731" w:history="1">
        <w:r w:rsidR="00D301C6" w:rsidRPr="00D10EF8">
          <w:rPr>
            <w:rStyle w:val="Hyperlink"/>
            <w:lang w:val="fr-FR"/>
          </w:rPr>
          <w:t>https://www.corteidh.or.cr/docs/medidas/garifuna_se_03.pdf</w:t>
        </w:r>
      </w:hyperlink>
      <w:r w:rsidR="00D301C6" w:rsidRPr="00D10EF8">
        <w:rPr>
          <w:rStyle w:val="Hyperlink"/>
          <w:lang w:val="fr-FR"/>
        </w:rPr>
        <w:t>.</w:t>
      </w:r>
    </w:p>
  </w:footnote>
  <w:footnote w:id="605">
    <w:p w14:paraId="64D7E561" w14:textId="46FE90FC" w:rsidR="00D301C6" w:rsidRPr="00D10EF8" w:rsidRDefault="009D2B36" w:rsidP="005B4367">
      <w:pPr>
        <w:pStyle w:val="FootnoteText"/>
      </w:pPr>
      <w:r w:rsidRPr="00D10EF8">
        <w:tab/>
      </w:r>
      <w:r w:rsidRPr="00093AC5">
        <w:rPr>
          <w:rStyle w:val="FootnoteReference"/>
        </w:rPr>
        <w:footnoteRef/>
      </w:r>
      <w:r w:rsidRPr="00D10EF8">
        <w:tab/>
      </w:r>
      <w:hyperlink r:id="rId732" w:history="1">
        <w:r w:rsidR="00D301C6" w:rsidRPr="00D10EF8">
          <w:rPr>
            <w:rStyle w:val="Hyperlink"/>
            <w:lang w:val="fr-FR"/>
          </w:rPr>
          <w:t>www.indepaz.org.co/wp-content/uploads/2021/04/Informe-Li%CC%81deres.pdf</w:t>
        </w:r>
      </w:hyperlink>
      <w:r w:rsidR="00D301C6" w:rsidRPr="00D10EF8">
        <w:t xml:space="preserve">. Voir également A/HRC/46/76, </w:t>
      </w:r>
      <w:r w:rsidR="002A7FA1">
        <w:t>par. </w:t>
      </w:r>
      <w:r w:rsidR="00D301C6" w:rsidRPr="00D10EF8">
        <w:t>21</w:t>
      </w:r>
      <w:r w:rsidR="00BF73AB">
        <w:t> ;</w:t>
      </w:r>
      <w:r w:rsidR="00D301C6" w:rsidRPr="00D10EF8">
        <w:t xml:space="preserve"> </w:t>
      </w:r>
      <w:hyperlink r:id="rId733" w:history="1">
        <w:r w:rsidR="00D301C6" w:rsidRPr="00D10EF8">
          <w:rPr>
            <w:rStyle w:val="Hyperlink"/>
            <w:lang w:val="fr-FR"/>
          </w:rPr>
          <w:t>https://spcommreports.ohchr.org/TMResultsBase/DownLoadPublicCommunicationFile?gId=15518</w:t>
        </w:r>
      </w:hyperlink>
      <w:r w:rsidR="00BF73AB">
        <w:rPr>
          <w:rStyle w:val="Hyperlink"/>
          <w:lang w:val="fr-FR"/>
        </w:rPr>
        <w:t> </w:t>
      </w:r>
      <w:r w:rsidR="00BF73AB" w:rsidRPr="00540D2C">
        <w:rPr>
          <w:rStyle w:val="Hyperlink"/>
          <w:color w:val="auto"/>
          <w:lang w:val="fr-FR"/>
        </w:rPr>
        <w:t>;</w:t>
      </w:r>
      <w:r w:rsidR="00D301C6" w:rsidRPr="00540D2C">
        <w:t xml:space="preserve"> </w:t>
      </w:r>
      <w:hyperlink r:id="rId734" w:history="1">
        <w:r w:rsidR="00D301C6" w:rsidRPr="00D10EF8">
          <w:rPr>
            <w:rStyle w:val="Hyperlink"/>
            <w:lang w:val="fr-FR"/>
          </w:rPr>
          <w:t>https://spcommreports.ohchr.org/TMResultsBase/DownLoadPublicCommunicationFile?gId=23169</w:t>
        </w:r>
      </w:hyperlink>
      <w:r w:rsidR="00BF73AB">
        <w:rPr>
          <w:rStyle w:val="Hyperlink"/>
          <w:lang w:val="fr-FR"/>
        </w:rPr>
        <w:t> </w:t>
      </w:r>
      <w:r w:rsidR="00BF73AB" w:rsidRPr="00540D2C">
        <w:rPr>
          <w:rStyle w:val="Hyperlink"/>
          <w:color w:val="auto"/>
          <w:lang w:val="fr-FR"/>
        </w:rPr>
        <w:t>;</w:t>
      </w:r>
      <w:r w:rsidR="00D301C6" w:rsidRPr="00D10EF8">
        <w:t xml:space="preserve"> </w:t>
      </w:r>
      <w:hyperlink r:id="rId735" w:history="1">
        <w:r w:rsidR="00D301C6" w:rsidRPr="00D10EF8">
          <w:rPr>
            <w:rStyle w:val="Hyperlink"/>
            <w:lang w:val="fr-FR"/>
          </w:rPr>
          <w:t>https://spcommreports.ohchr.org/TMResultsBase/DownLoadPublicCommunicationFile?gId=24100</w:t>
        </w:r>
      </w:hyperlink>
      <w:r w:rsidR="00BF73AB">
        <w:rPr>
          <w:rStyle w:val="Hyperlink"/>
          <w:lang w:val="fr-FR"/>
        </w:rPr>
        <w:t> </w:t>
      </w:r>
      <w:r w:rsidR="00BF73AB" w:rsidRPr="00540D2C">
        <w:rPr>
          <w:rStyle w:val="Hyperlink"/>
          <w:color w:val="auto"/>
          <w:lang w:val="fr-FR"/>
        </w:rPr>
        <w:t>;</w:t>
      </w:r>
      <w:r w:rsidR="00D301C6" w:rsidRPr="00540D2C">
        <w:t xml:space="preserve"> </w:t>
      </w:r>
      <w:hyperlink r:id="rId736" w:history="1">
        <w:r w:rsidR="00D301C6" w:rsidRPr="00D10EF8">
          <w:rPr>
            <w:rStyle w:val="Hyperlink"/>
            <w:lang w:val="fr-FR"/>
          </w:rPr>
          <w:t>https://spcommreports.ohchr.org/TMResultsBase/DownLoadPublicCommunicationFile?gId=24886</w:t>
        </w:r>
      </w:hyperlink>
      <w:r w:rsidR="00BF73AB">
        <w:rPr>
          <w:rStyle w:val="Hyperlink"/>
          <w:lang w:val="fr-FR"/>
        </w:rPr>
        <w:t> </w:t>
      </w:r>
      <w:r w:rsidR="00BF73AB" w:rsidRPr="00540D2C">
        <w:rPr>
          <w:rStyle w:val="Hyperlink"/>
          <w:color w:val="auto"/>
          <w:lang w:val="fr-FR"/>
        </w:rPr>
        <w:t>;</w:t>
      </w:r>
      <w:r w:rsidR="00D301C6" w:rsidRPr="00D10EF8">
        <w:t xml:space="preserve"> CERD/C/COL/CO/17-19, </w:t>
      </w:r>
      <w:r w:rsidR="002A7FA1">
        <w:t>par. </w:t>
      </w:r>
      <w:r w:rsidR="00D301C6" w:rsidRPr="00D10EF8">
        <w:t>28</w:t>
      </w:r>
      <w:r w:rsidR="00BF73AB">
        <w:t> ;</w:t>
      </w:r>
      <w:r w:rsidR="00D301C6" w:rsidRPr="00D10EF8">
        <w:t xml:space="preserve"> </w:t>
      </w:r>
      <w:hyperlink r:id="rId737" w:history="1">
        <w:r w:rsidR="00D301C6" w:rsidRPr="00D10EF8">
          <w:rPr>
            <w:rStyle w:val="Hyperlink"/>
            <w:lang w:val="fr-FR"/>
          </w:rPr>
          <w:t>https://www.oas.org/es/CIDH/jsForm/?File=/es/cidh/prensa/</w:t>
        </w:r>
        <w:r w:rsidR="00540D2C">
          <w:rPr>
            <w:rStyle w:val="Hyperlink"/>
            <w:lang w:val="fr-FR"/>
          </w:rPr>
          <w:t xml:space="preserve"> </w:t>
        </w:r>
        <w:r w:rsidR="00D301C6" w:rsidRPr="00D10EF8">
          <w:rPr>
            <w:rStyle w:val="Hyperlink"/>
            <w:lang w:val="fr-FR"/>
          </w:rPr>
          <w:t>comunicados/2021/151.asp</w:t>
        </w:r>
      </w:hyperlink>
      <w:r w:rsidR="00D301C6" w:rsidRPr="00D10EF8">
        <w:t>.</w:t>
      </w:r>
    </w:p>
  </w:footnote>
  <w:footnote w:id="606">
    <w:p w14:paraId="49879F9E" w14:textId="40D7EF1C" w:rsidR="00D301C6" w:rsidRPr="00E1672E" w:rsidRDefault="009D2B36" w:rsidP="005B4367">
      <w:pPr>
        <w:pStyle w:val="FootnoteText"/>
      </w:pPr>
      <w:r w:rsidRPr="00D10EF8">
        <w:tab/>
      </w:r>
      <w:r w:rsidRPr="00093AC5">
        <w:rPr>
          <w:rStyle w:val="FootnoteReference"/>
        </w:rPr>
        <w:footnoteRef/>
      </w:r>
      <w:r w:rsidRPr="00E1672E">
        <w:tab/>
      </w:r>
      <w:hyperlink r:id="rId738" w:history="1">
        <w:r w:rsidR="00D301C6" w:rsidRPr="00E1672E">
          <w:rPr>
            <w:rStyle w:val="FollowedHyperlink"/>
          </w:rPr>
          <w:t>www.ohchr.org/EN/NewsEvents/Pages/DisplayNews.aspx?NewsID=22901</w:t>
        </w:r>
      </w:hyperlink>
      <w:r w:rsidR="00BF73AB" w:rsidRPr="00E1672E">
        <w:t> ;</w:t>
      </w:r>
      <w:r w:rsidR="00D301C6" w:rsidRPr="00E1672E">
        <w:t xml:space="preserve"> </w:t>
      </w:r>
      <w:hyperlink r:id="rId739" w:history="1">
        <w:r w:rsidR="00D301C6" w:rsidRPr="00E1672E">
          <w:rPr>
            <w:rStyle w:val="FollowedHyperlink"/>
          </w:rPr>
          <w:t>www.ohchr.org/EN/</w:t>
        </w:r>
        <w:r w:rsidR="00E1672E" w:rsidRPr="00E1672E">
          <w:rPr>
            <w:rStyle w:val="FollowedHyperlink"/>
          </w:rPr>
          <w:t xml:space="preserve"> </w:t>
        </w:r>
        <w:r w:rsidR="00D301C6" w:rsidRPr="00E1672E">
          <w:rPr>
            <w:rStyle w:val="FollowedHyperlink"/>
          </w:rPr>
          <w:t>NewsEvents/Pages/DisplayNews.aspx?NewsID=22837</w:t>
        </w:r>
      </w:hyperlink>
      <w:r w:rsidR="00BF73AB" w:rsidRPr="00E1672E">
        <w:rPr>
          <w:rStyle w:val="FollowedHyperlink"/>
        </w:rPr>
        <w:t> </w:t>
      </w:r>
      <w:r w:rsidR="00BF73AB" w:rsidRPr="00E1672E">
        <w:t>;</w:t>
      </w:r>
      <w:r w:rsidR="00D301C6" w:rsidRPr="00E1672E">
        <w:t xml:space="preserve"> </w:t>
      </w:r>
      <w:hyperlink r:id="rId740" w:history="1">
        <w:r w:rsidR="00D301C6" w:rsidRPr="00E1672E">
          <w:rPr>
            <w:rStyle w:val="Hyperlink"/>
          </w:rPr>
          <w:t>https://spcommreports.ohchr.org/TMResults</w:t>
        </w:r>
        <w:r w:rsidR="00E1672E" w:rsidRPr="00E1672E">
          <w:rPr>
            <w:rStyle w:val="Hyperlink"/>
          </w:rPr>
          <w:t xml:space="preserve"> </w:t>
        </w:r>
        <w:r w:rsidR="00D301C6" w:rsidRPr="00E1672E">
          <w:rPr>
            <w:rStyle w:val="Hyperlink"/>
          </w:rPr>
          <w:t>Base</w:t>
        </w:r>
        <w:r w:rsidR="00E1672E" w:rsidRPr="00E1672E">
          <w:rPr>
            <w:rStyle w:val="Hyperlink"/>
          </w:rPr>
          <w:t>/</w:t>
        </w:r>
        <w:r w:rsidR="00D301C6" w:rsidRPr="00E1672E">
          <w:rPr>
            <w:rStyle w:val="Hyperlink"/>
          </w:rPr>
          <w:t>DownLoadPublicCommunicationFile?gId=24284</w:t>
        </w:r>
      </w:hyperlink>
      <w:r w:rsidR="00BF73AB" w:rsidRPr="00E1672E">
        <w:t> ;</w:t>
      </w:r>
      <w:r w:rsidR="00D301C6" w:rsidRPr="00E1672E">
        <w:t xml:space="preserve"> </w:t>
      </w:r>
      <w:r w:rsidR="00D301C6" w:rsidRPr="00E1672E">
        <w:rPr>
          <w:rStyle w:val="FollowedHyperlink"/>
        </w:rPr>
        <w:t>https://spcommreports.ohchr.org/TMResults</w:t>
      </w:r>
      <w:r w:rsidR="00E1672E" w:rsidRPr="00E1672E">
        <w:rPr>
          <w:rStyle w:val="FollowedHyperlink"/>
        </w:rPr>
        <w:t xml:space="preserve"> </w:t>
      </w:r>
      <w:r w:rsidR="00D301C6" w:rsidRPr="00E1672E">
        <w:rPr>
          <w:rStyle w:val="FollowedHyperlink"/>
        </w:rPr>
        <w:t>Base/DownLoadPublicCommunicationFile?gId=23709</w:t>
      </w:r>
      <w:r w:rsidR="00D301C6" w:rsidRPr="00E1672E">
        <w:t>.</w:t>
      </w:r>
    </w:p>
  </w:footnote>
  <w:footnote w:id="607">
    <w:p w14:paraId="73034105" w14:textId="4F231C19" w:rsidR="00D301C6" w:rsidRPr="00D10EF8" w:rsidRDefault="009D2B36" w:rsidP="005B4367">
      <w:pPr>
        <w:pStyle w:val="FootnoteText"/>
      </w:pPr>
      <w:r w:rsidRPr="00E1672E">
        <w:tab/>
      </w:r>
      <w:r w:rsidRPr="00093AC5">
        <w:rPr>
          <w:rStyle w:val="FootnoteReference"/>
        </w:rPr>
        <w:footnoteRef/>
      </w:r>
      <w:r w:rsidRPr="00D10EF8">
        <w:tab/>
      </w:r>
      <w:r w:rsidR="00D301C6" w:rsidRPr="00D10EF8">
        <w:t xml:space="preserve">CERD/C/MEX/CO/18-21, </w:t>
      </w:r>
      <w:r w:rsidR="002A7FA1">
        <w:t>par. </w:t>
      </w:r>
      <w:r w:rsidR="00D301C6" w:rsidRPr="00D10EF8">
        <w:t>30.</w:t>
      </w:r>
    </w:p>
  </w:footnote>
  <w:footnote w:id="608">
    <w:p w14:paraId="5EE247BD" w14:textId="24271822" w:rsidR="00D301C6" w:rsidRPr="00D10EF8" w:rsidRDefault="009D2B36" w:rsidP="005B4367">
      <w:pPr>
        <w:pStyle w:val="FootnoteText"/>
      </w:pPr>
      <w:r w:rsidRPr="00D10EF8">
        <w:tab/>
      </w:r>
      <w:r w:rsidRPr="00093AC5">
        <w:rPr>
          <w:rStyle w:val="FootnoteReference"/>
        </w:rPr>
        <w:footnoteRef/>
      </w:r>
      <w:r w:rsidRPr="00D10EF8">
        <w:tab/>
      </w:r>
      <w:hyperlink r:id="rId741" w:history="1">
        <w:r w:rsidR="00D301C6" w:rsidRPr="00D10EF8">
          <w:rPr>
            <w:rStyle w:val="Hyperlink"/>
            <w:lang w:val="fr-FR"/>
          </w:rPr>
          <w:t>https://www.businessinsider.com/phoenix-protest-black-lives-matter-immigrants-ice-daca-2020-10?r=US&amp;IR=T</w:t>
        </w:r>
      </w:hyperlink>
      <w:r w:rsidR="00BF73AB" w:rsidRPr="00E1672E">
        <w:rPr>
          <w:rStyle w:val="Hyperlink"/>
          <w:color w:val="auto"/>
          <w:lang w:val="fr-FR"/>
        </w:rPr>
        <w:t> ;</w:t>
      </w:r>
      <w:r w:rsidR="00D301C6" w:rsidRPr="00E1672E">
        <w:rPr>
          <w:rStyle w:val="Hyperlink"/>
          <w:color w:val="auto"/>
          <w:lang w:val="fr-FR"/>
        </w:rPr>
        <w:t xml:space="preserve"> </w:t>
      </w:r>
      <w:hyperlink r:id="rId742" w:history="1">
        <w:r w:rsidR="00D301C6" w:rsidRPr="00D10EF8">
          <w:rPr>
            <w:rStyle w:val="Hyperlink"/>
            <w:lang w:val="fr-FR"/>
          </w:rPr>
          <w:t>https://www.pbs.org/newshour/nation/for-immigrants-marching-with-black-lives-matter-has-risks</w:t>
        </w:r>
      </w:hyperlink>
      <w:r w:rsidR="00D301C6" w:rsidRPr="00D10EF8">
        <w:rPr>
          <w:rStyle w:val="Hyperlink"/>
          <w:lang w:val="fr-FR"/>
        </w:rPr>
        <w:t>.</w:t>
      </w:r>
    </w:p>
  </w:footnote>
  <w:footnote w:id="609">
    <w:p w14:paraId="29E6FF4B" w14:textId="13FD70A8" w:rsidR="00D301C6" w:rsidRPr="006638B7" w:rsidRDefault="009D2B36" w:rsidP="005B4367">
      <w:pPr>
        <w:pStyle w:val="FootnoteText"/>
      </w:pPr>
      <w:r w:rsidRPr="00D10EF8">
        <w:tab/>
      </w:r>
      <w:r w:rsidRPr="00093AC5">
        <w:rPr>
          <w:rStyle w:val="FootnoteReference"/>
        </w:rPr>
        <w:footnoteRef/>
      </w:r>
      <w:r w:rsidRPr="006638B7">
        <w:tab/>
      </w:r>
      <w:r w:rsidR="00D301C6" w:rsidRPr="006638B7">
        <w:t>Communication de Human Rights First</w:t>
      </w:r>
      <w:r w:rsidR="00BF73AB" w:rsidRPr="006638B7">
        <w:t> ;</w:t>
      </w:r>
      <w:r w:rsidR="00D301C6" w:rsidRPr="006638B7">
        <w:t xml:space="preserve"> </w:t>
      </w:r>
      <w:hyperlink r:id="rId743" w:history="1">
        <w:r w:rsidR="00D301C6" w:rsidRPr="006638B7">
          <w:rPr>
            <w:rStyle w:val="Hyperlink"/>
          </w:rPr>
          <w:t>https://www.americanimmigrationcouncil.org/news/lawsuit-demands-information-cbps-role-racial-justice-protests</w:t>
        </w:r>
      </w:hyperlink>
      <w:r w:rsidR="00BF73AB" w:rsidRPr="006638B7">
        <w:rPr>
          <w:rStyle w:val="Hyperlink"/>
        </w:rPr>
        <w:t> </w:t>
      </w:r>
      <w:r w:rsidR="00BF73AB" w:rsidRPr="006638B7">
        <w:rPr>
          <w:rStyle w:val="Hyperlink"/>
          <w:color w:val="auto"/>
        </w:rPr>
        <w:t>;</w:t>
      </w:r>
      <w:r w:rsidR="00D301C6" w:rsidRPr="006638B7">
        <w:t xml:space="preserve"> </w:t>
      </w:r>
      <w:hyperlink r:id="rId744" w:history="1">
        <w:r w:rsidR="00D301C6" w:rsidRPr="006638B7">
          <w:rPr>
            <w:rStyle w:val="Hyperlink"/>
          </w:rPr>
          <w:t>https://www.americanimmigration</w:t>
        </w:r>
        <w:r w:rsidR="006638B7">
          <w:rPr>
            <w:rStyle w:val="Hyperlink"/>
          </w:rPr>
          <w:t xml:space="preserve"> </w:t>
        </w:r>
        <w:r w:rsidR="00D301C6" w:rsidRPr="006638B7">
          <w:rPr>
            <w:rStyle w:val="Hyperlink"/>
          </w:rPr>
          <w:t>council.org/sites/default/files/litigation_documents/lawsuit_demands_records_on_us_immigration_enforcements_role_in_protests_complaint.pdf</w:t>
        </w:r>
      </w:hyperlink>
      <w:r w:rsidR="00BF73AB" w:rsidRPr="006638B7">
        <w:rPr>
          <w:rStyle w:val="Hyperlink"/>
        </w:rPr>
        <w:t> </w:t>
      </w:r>
      <w:r w:rsidR="00BF73AB" w:rsidRPr="006638B7">
        <w:rPr>
          <w:rStyle w:val="Hyperlink"/>
          <w:color w:val="auto"/>
        </w:rPr>
        <w:t>;</w:t>
      </w:r>
      <w:r w:rsidR="00D301C6" w:rsidRPr="006638B7">
        <w:t xml:space="preserve"> </w:t>
      </w:r>
      <w:hyperlink r:id="rId745" w:history="1">
        <w:r w:rsidR="00D301C6" w:rsidRPr="006638B7">
          <w:rPr>
            <w:rStyle w:val="Hyperlink"/>
          </w:rPr>
          <w:t>https://www.merkley.senate.gov/imo/media/doc/ICE</w:t>
        </w:r>
        <w:r w:rsidR="006638B7">
          <w:rPr>
            <w:rStyle w:val="Hyperlink"/>
          </w:rPr>
          <w:t xml:space="preserve"> </w:t>
        </w:r>
        <w:r w:rsidR="00D301C6" w:rsidRPr="006638B7">
          <w:rPr>
            <w:rStyle w:val="Hyperlink"/>
          </w:rPr>
          <w:t>%20and%20CBP%20at%20Demonstrations%20Letter.pdf</w:t>
        </w:r>
      </w:hyperlink>
      <w:r w:rsidR="00D301C6" w:rsidRPr="006638B7">
        <w:t>.</w:t>
      </w:r>
    </w:p>
  </w:footnote>
  <w:footnote w:id="610">
    <w:p w14:paraId="1DDCADB9" w14:textId="033550C6" w:rsidR="00D301C6" w:rsidRPr="00DA5E7E" w:rsidRDefault="009D2B36" w:rsidP="005B4367">
      <w:pPr>
        <w:pStyle w:val="FootnoteText"/>
        <w:rPr>
          <w:lang w:val="en-US"/>
        </w:rPr>
      </w:pPr>
      <w:r w:rsidRPr="006638B7">
        <w:tab/>
      </w:r>
      <w:r w:rsidRPr="00093AC5">
        <w:rPr>
          <w:rStyle w:val="FootnoteReference"/>
        </w:rPr>
        <w:footnoteRef/>
      </w:r>
      <w:r w:rsidRPr="00DA5E7E">
        <w:rPr>
          <w:lang w:val="en-US"/>
        </w:rPr>
        <w:tab/>
      </w:r>
      <w:hyperlink r:id="rId746" w:anchor=".YCEd_uhKjIV" w:history="1">
        <w:r w:rsidR="00D301C6" w:rsidRPr="00813782">
          <w:rPr>
            <w:rStyle w:val="Hyperlink"/>
            <w:lang w:val="en-US"/>
          </w:rPr>
          <w:t>https://immigrationimpact.com/2020/06/25/black-lives-matter-ice/#.YCEd_uhKjIV</w:t>
        </w:r>
      </w:hyperlink>
      <w:r w:rsidR="00BF73AB">
        <w:rPr>
          <w:rStyle w:val="Hyperlink"/>
          <w:lang w:val="en-US"/>
        </w:rPr>
        <w:t> </w:t>
      </w:r>
      <w:r w:rsidR="00BF73AB" w:rsidRPr="00676E5E">
        <w:rPr>
          <w:rStyle w:val="Hyperlink"/>
          <w:color w:val="auto"/>
          <w:lang w:val="en-US"/>
        </w:rPr>
        <w:t>;</w:t>
      </w:r>
      <w:r w:rsidR="00D301C6" w:rsidRPr="00676E5E">
        <w:rPr>
          <w:rStyle w:val="Hyperlink"/>
          <w:color w:val="auto"/>
          <w:lang w:val="en-US"/>
        </w:rPr>
        <w:t xml:space="preserve"> </w:t>
      </w:r>
      <w:hyperlink r:id="rId747" w:history="1">
        <w:r w:rsidR="00D301C6" w:rsidRPr="00813782">
          <w:rPr>
            <w:rStyle w:val="Hyperlink"/>
            <w:lang w:val="en-US"/>
          </w:rPr>
          <w:t>https://wearemitu.com/things-that-matter/ice-is-arresting-and-deporting-undocumented-marchers-who-attend-black-lives-matter-protests/</w:t>
        </w:r>
      </w:hyperlink>
      <w:r w:rsidR="00D301C6" w:rsidRPr="00DA5E7E">
        <w:rPr>
          <w:lang w:val="en-US"/>
        </w:rPr>
        <w:t>.</w:t>
      </w:r>
    </w:p>
  </w:footnote>
  <w:footnote w:id="611">
    <w:p w14:paraId="36016501" w14:textId="39FF8BF5"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hyperlink r:id="rId748" w:history="1">
        <w:r w:rsidR="00D301C6" w:rsidRPr="00813782">
          <w:rPr>
            <w:rStyle w:val="Hyperlink"/>
            <w:lang w:val="en-US"/>
          </w:rPr>
          <w:t>https://edition.cnn.com/2020/06/14/us/black-lives-matter-immigrants-visa-status-protest-trnd/index.html</w:t>
        </w:r>
      </w:hyperlink>
      <w:r w:rsidR="00BF73AB">
        <w:rPr>
          <w:rStyle w:val="Hyperlink"/>
          <w:lang w:val="en-US"/>
        </w:rPr>
        <w:t> </w:t>
      </w:r>
      <w:r w:rsidR="00BF73AB" w:rsidRPr="003A7361">
        <w:rPr>
          <w:rStyle w:val="Hyperlink"/>
          <w:color w:val="auto"/>
          <w:lang w:val="en-US"/>
        </w:rPr>
        <w:t>;</w:t>
      </w:r>
      <w:r w:rsidR="00D301C6" w:rsidRPr="00DA5E7E">
        <w:rPr>
          <w:lang w:val="en-US"/>
        </w:rPr>
        <w:t xml:space="preserve"> </w:t>
      </w:r>
      <w:hyperlink r:id="rId749" w:history="1">
        <w:r w:rsidR="00D301C6" w:rsidRPr="00813782">
          <w:rPr>
            <w:rStyle w:val="Hyperlink"/>
            <w:lang w:val="en-US"/>
          </w:rPr>
          <w:t>https://www.nilc.org/issues/immigration-enforcement/immigrant-participation-in-protests-rights/</w:t>
        </w:r>
      </w:hyperlink>
      <w:r w:rsidR="00BF73AB">
        <w:rPr>
          <w:rStyle w:val="Hyperlink"/>
          <w:lang w:val="en-US"/>
        </w:rPr>
        <w:t> </w:t>
      </w:r>
      <w:r w:rsidR="00BF73AB" w:rsidRPr="003A7361">
        <w:rPr>
          <w:rStyle w:val="Hyperlink"/>
          <w:color w:val="auto"/>
          <w:lang w:val="en-US"/>
        </w:rPr>
        <w:t>;</w:t>
      </w:r>
      <w:r w:rsidR="00D301C6" w:rsidRPr="00DA5E7E">
        <w:rPr>
          <w:lang w:val="en-US"/>
        </w:rPr>
        <w:t xml:space="preserve"> </w:t>
      </w:r>
      <w:hyperlink r:id="rId750" w:history="1">
        <w:r w:rsidR="00D301C6" w:rsidRPr="00813782">
          <w:rPr>
            <w:rStyle w:val="Hyperlink"/>
            <w:lang w:val="en-US"/>
          </w:rPr>
          <w:t>https://thehill.com/latino/500552-dreamers-grapple-with-immigration-risks-in-joining-floyd-protests</w:t>
        </w:r>
      </w:hyperlink>
      <w:r w:rsidR="00D301C6" w:rsidRPr="00DA5E7E">
        <w:rPr>
          <w:lang w:val="en-US"/>
        </w:rPr>
        <w:t xml:space="preserve">. </w:t>
      </w:r>
    </w:p>
  </w:footnote>
  <w:footnote w:id="612">
    <w:p w14:paraId="6E8CA62F" w14:textId="40B6DE50"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Communication de Conectas Direitos Humanos</w:t>
      </w:r>
      <w:r w:rsidR="00BF73AB">
        <w:rPr>
          <w:lang w:val="en-US"/>
        </w:rPr>
        <w:t> ;</w:t>
      </w:r>
      <w:r w:rsidR="00D301C6" w:rsidRPr="00DA5E7E">
        <w:rPr>
          <w:lang w:val="en-US"/>
        </w:rPr>
        <w:t xml:space="preserve"> </w:t>
      </w:r>
      <w:hyperlink r:id="rId751" w:history="1">
        <w:r w:rsidR="00D301C6" w:rsidRPr="00813782">
          <w:rPr>
            <w:rStyle w:val="Hyperlink"/>
            <w:lang w:val="en-US"/>
          </w:rPr>
          <w:t>https://www.oas.org/en/iachr/media_center/</w:t>
        </w:r>
        <w:r w:rsidR="005E684A">
          <w:rPr>
            <w:rStyle w:val="Hyperlink"/>
            <w:lang w:val="en-US"/>
          </w:rPr>
          <w:t xml:space="preserve"> </w:t>
        </w:r>
        <w:r w:rsidR="00D301C6" w:rsidRPr="00813782">
          <w:rPr>
            <w:rStyle w:val="Hyperlink"/>
            <w:lang w:val="en-US"/>
          </w:rPr>
          <w:t>PReleases/2020/187.asp</w:t>
        </w:r>
      </w:hyperlink>
      <w:r w:rsidR="00BF73AB">
        <w:rPr>
          <w:rStyle w:val="Hyperlink"/>
          <w:lang w:val="en-US"/>
        </w:rPr>
        <w:t> </w:t>
      </w:r>
      <w:r w:rsidR="00BF73AB" w:rsidRPr="005E684A">
        <w:rPr>
          <w:rStyle w:val="Hyperlink"/>
          <w:color w:val="auto"/>
          <w:lang w:val="en-US"/>
        </w:rPr>
        <w:t>;</w:t>
      </w:r>
      <w:r w:rsidR="00D301C6" w:rsidRPr="00DA5E7E">
        <w:rPr>
          <w:lang w:val="en-US"/>
        </w:rPr>
        <w:t xml:space="preserve"> </w:t>
      </w:r>
      <w:hyperlink r:id="rId752" w:history="1">
        <w:r w:rsidR="00D301C6" w:rsidRPr="00813782">
          <w:rPr>
            <w:rStyle w:val="Hyperlink"/>
            <w:lang w:val="en-US"/>
          </w:rPr>
          <w:t>https://www.conectas.org/en/news/understand-what-led-the-supreme-court-to-suspend-police-operations-in-rio-de-janeiros-favelas</w:t>
        </w:r>
      </w:hyperlink>
      <w:r w:rsidR="00D301C6" w:rsidRPr="00813782">
        <w:rPr>
          <w:rStyle w:val="Hyperlink"/>
          <w:lang w:val="en-US"/>
        </w:rPr>
        <w:t>.</w:t>
      </w:r>
    </w:p>
  </w:footnote>
  <w:footnote w:id="613">
    <w:p w14:paraId="24D05C93" w14:textId="2379C3CA"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Communication de Human Rights Watch</w:t>
      </w:r>
      <w:r w:rsidR="00BF73AB">
        <w:rPr>
          <w:lang w:val="en-US"/>
        </w:rPr>
        <w:t> ;</w:t>
      </w:r>
      <w:r w:rsidR="00D301C6" w:rsidRPr="00DA5E7E">
        <w:rPr>
          <w:lang w:val="en-US"/>
        </w:rPr>
        <w:t xml:space="preserve"> </w:t>
      </w:r>
      <w:hyperlink r:id="rId753" w:history="1">
        <w:r w:rsidR="00D301C6" w:rsidRPr="00813782">
          <w:rPr>
            <w:rStyle w:val="Hyperlink"/>
            <w:lang w:val="en-US"/>
          </w:rPr>
          <w:t>https://www.amnesty.org/en/latest/news/2021/01/france-systemic-police-discrimination-requires-reforms/</w:t>
        </w:r>
      </w:hyperlink>
      <w:r w:rsidR="00D301C6" w:rsidRPr="00DA5E7E">
        <w:rPr>
          <w:lang w:val="en-US"/>
        </w:rPr>
        <w:t>.</w:t>
      </w:r>
    </w:p>
  </w:footnote>
  <w:footnote w:id="614">
    <w:p w14:paraId="687C44D9" w14:textId="68D9C239"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hyperlink r:id="rId754" w:history="1">
        <w:r w:rsidR="00D301C6" w:rsidRPr="00813782">
          <w:rPr>
            <w:rStyle w:val="Hyperlink"/>
            <w:lang w:val="en-US"/>
          </w:rPr>
          <w:t>https://www.ohchr.org/EN/NewsEvents/Pages/DisplayNews.aspx?NewsID=25922&amp;LangID=E</w:t>
        </w:r>
      </w:hyperlink>
      <w:r w:rsidR="00D301C6" w:rsidRPr="00DA5E7E">
        <w:rPr>
          <w:lang w:val="en-US"/>
        </w:rPr>
        <w:t>.</w:t>
      </w:r>
    </w:p>
  </w:footnote>
  <w:footnote w:id="615">
    <w:p w14:paraId="026A23AF" w14:textId="3DF3E59C"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813782">
        <w:rPr>
          <w:lang w:val="en-US"/>
        </w:rPr>
        <w:t>CCPR/C/GC/37, par.1.</w:t>
      </w:r>
    </w:p>
  </w:footnote>
  <w:footnote w:id="616">
    <w:p w14:paraId="3CE7A4CD" w14:textId="58356CB7" w:rsidR="00D301C6" w:rsidRPr="00DA5E7E" w:rsidRDefault="009D2B36" w:rsidP="005B4367">
      <w:pPr>
        <w:pStyle w:val="FootnoteText"/>
        <w:rPr>
          <w:lang w:val="en-US"/>
        </w:rPr>
      </w:pPr>
      <w:r w:rsidRPr="00DA5E7E">
        <w:rPr>
          <w:lang w:val="en-US"/>
        </w:rPr>
        <w:tab/>
      </w:r>
      <w:r w:rsidRPr="00093AC5">
        <w:rPr>
          <w:rStyle w:val="FootnoteReference"/>
        </w:rPr>
        <w:footnoteRef/>
      </w:r>
      <w:r w:rsidRPr="00DA5E7E">
        <w:rPr>
          <w:lang w:val="en-US"/>
        </w:rPr>
        <w:tab/>
      </w:r>
      <w:hyperlink r:id="rId755" w:history="1">
        <w:r w:rsidR="00D301C6" w:rsidRPr="00813782">
          <w:rPr>
            <w:rStyle w:val="Hyperlink"/>
            <w:lang w:val="en-US"/>
          </w:rPr>
          <w:t>https://www.ohchr.org/Documents/Issues/PublicAffairs/GuidelinesRightParticipatePublicAffairs_ web.pdf</w:t>
        </w:r>
      </w:hyperlink>
      <w:r w:rsidR="00D301C6" w:rsidRPr="00DA5E7E">
        <w:rPr>
          <w:lang w:val="en-US"/>
        </w:rPr>
        <w:t>.</w:t>
      </w:r>
    </w:p>
  </w:footnote>
  <w:footnote w:id="617">
    <w:p w14:paraId="1DAA171B" w14:textId="625219C1" w:rsidR="00D301C6" w:rsidRPr="00D10EF8" w:rsidRDefault="009D2B36" w:rsidP="005B4367">
      <w:pPr>
        <w:pStyle w:val="FootnoteText"/>
      </w:pPr>
      <w:r w:rsidRPr="00DA5E7E">
        <w:rPr>
          <w:lang w:val="en-US"/>
        </w:rPr>
        <w:tab/>
      </w:r>
      <w:r w:rsidRPr="00093AC5">
        <w:rPr>
          <w:rStyle w:val="FootnoteReference"/>
        </w:rPr>
        <w:footnoteRef/>
      </w:r>
      <w:r w:rsidRPr="00D10EF8">
        <w:tab/>
      </w:r>
      <w:hyperlink r:id="rId756" w:history="1">
        <w:r w:rsidR="00D301C6" w:rsidRPr="00D10EF8">
          <w:rPr>
            <w:rStyle w:val="Hyperlink"/>
            <w:lang w:val="fr-FR"/>
          </w:rPr>
          <w:t>https://www.ohchr.org/Documents/Issues/PublicAffairs/GuidelinesRightParticipatePublicAffairs_ web.pdf</w:t>
        </w:r>
      </w:hyperlink>
      <w:r w:rsidR="00D301C6" w:rsidRPr="00D10EF8">
        <w:t xml:space="preserve">, </w:t>
      </w:r>
      <w:r w:rsidR="002A7FA1">
        <w:t>par. </w:t>
      </w:r>
      <w:r w:rsidR="00D301C6" w:rsidRPr="00D10EF8">
        <w:t>56 et 57.</w:t>
      </w:r>
    </w:p>
  </w:footnote>
  <w:footnote w:id="618">
    <w:p w14:paraId="21452DFE" w14:textId="3D1788F3" w:rsidR="00D301C6" w:rsidRPr="00D10EF8" w:rsidRDefault="009D2B36" w:rsidP="005B4367">
      <w:pPr>
        <w:pStyle w:val="FootnoteText"/>
      </w:pPr>
      <w:r w:rsidRPr="00D10EF8">
        <w:tab/>
      </w:r>
      <w:r w:rsidRPr="00093AC5">
        <w:rPr>
          <w:rStyle w:val="FootnoteReference"/>
        </w:rPr>
        <w:footnoteRef/>
      </w:r>
      <w:r w:rsidRPr="00D10EF8">
        <w:tab/>
      </w:r>
      <w:hyperlink r:id="rId757" w:history="1">
        <w:r w:rsidR="00D301C6" w:rsidRPr="00813782">
          <w:rPr>
            <w:rStyle w:val="Hyperlink"/>
            <w:lang w:val="fr-FR"/>
          </w:rPr>
          <w:t>https://www.un.org/sg/sites/www.un.org.sg/files/atoms/files/La_plus_haute_aspiration_</w:t>
        </w:r>
        <w:r>
          <w:rPr>
            <w:rStyle w:val="Hyperlink"/>
            <w:lang w:val="fr-FR"/>
          </w:rPr>
          <w:t xml:space="preserve"> </w:t>
        </w:r>
        <w:r w:rsidR="00D301C6" w:rsidRPr="00813782">
          <w:rPr>
            <w:rStyle w:val="Hyperlink"/>
            <w:lang w:val="fr-FR"/>
          </w:rPr>
          <w:t>Un_appel_a_l%27action_en_faveur_des_droits_humains_French.pdf</w:t>
        </w:r>
      </w:hyperlink>
      <w:r w:rsidR="00D301C6" w:rsidRPr="00813782">
        <w:t xml:space="preserve">. </w:t>
      </w:r>
    </w:p>
  </w:footnote>
  <w:footnote w:id="619">
    <w:p w14:paraId="7602322D" w14:textId="1ACB7E53" w:rsidR="00D301C6" w:rsidRPr="00D10EF8" w:rsidRDefault="009D2B36" w:rsidP="005B4367">
      <w:pPr>
        <w:pStyle w:val="FootnoteText"/>
      </w:pPr>
      <w:r w:rsidRPr="00D10EF8">
        <w:tab/>
      </w:r>
      <w:r w:rsidRPr="00093AC5">
        <w:rPr>
          <w:rStyle w:val="FootnoteReference"/>
        </w:rPr>
        <w:footnoteRef/>
      </w:r>
      <w:r w:rsidRPr="00D10EF8">
        <w:tab/>
      </w:r>
      <w:hyperlink r:id="rId758" w:history="1">
        <w:r w:rsidR="00D301C6" w:rsidRPr="00813782">
          <w:rPr>
            <w:rStyle w:val="Hyperlink"/>
            <w:lang w:val="fr-FR"/>
          </w:rPr>
          <w:t>https://www.ohchr.org/fr/2021/03/oral-update-high-commissioner-human-rights-implementation-ahrcres431-promotion-and?LangID=F&amp;NewsID=2692</w:t>
        </w:r>
      </w:hyperlink>
      <w:r w:rsidR="00BF73AB">
        <w:t> ;</w:t>
      </w:r>
      <w:r w:rsidR="00D301C6" w:rsidRPr="00D10EF8">
        <w:rPr>
          <w:lang w:val="fr-FR"/>
        </w:rPr>
        <w:t xml:space="preserve"> </w:t>
      </w:r>
      <w:hyperlink r:id="rId759" w:history="1">
        <w:r w:rsidR="00D301C6" w:rsidRPr="00637B80">
          <w:rPr>
            <w:rStyle w:val="FollowedHyperlink"/>
          </w:rPr>
          <w:t>https://www.un.org/sg/en/content/secretary-generals-remarks-the-general-assembly-observance-of-the-international-day-for-the-elimination-of-racial-discrimination-delivered</w:t>
        </w:r>
      </w:hyperlink>
      <w:r w:rsidR="00D301C6" w:rsidRPr="00D10EF8">
        <w:rPr>
          <w:lang w:val="fr-FR"/>
        </w:rPr>
        <w:t>.</w:t>
      </w:r>
    </w:p>
  </w:footnote>
  <w:footnote w:id="620">
    <w:p w14:paraId="4D4BDE6F" w14:textId="7A22DA9B" w:rsidR="00D301C6" w:rsidRPr="00D10EF8" w:rsidRDefault="009D2B36"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74</w:t>
      </w:r>
      <w:r w:rsidR="00BF73AB">
        <w:t> ;</w:t>
      </w:r>
      <w:r w:rsidR="00D301C6" w:rsidRPr="00D10EF8">
        <w:t xml:space="preserve"> A/HRC/31/66, </w:t>
      </w:r>
      <w:r w:rsidR="002A7FA1">
        <w:t>par. </w:t>
      </w:r>
      <w:r w:rsidR="00D301C6" w:rsidRPr="00D10EF8">
        <w:t>41.</w:t>
      </w:r>
    </w:p>
  </w:footnote>
  <w:footnote w:id="621">
    <w:p w14:paraId="72A12C5A" w14:textId="2644A6A7" w:rsidR="00D301C6" w:rsidRPr="00D10EF8" w:rsidRDefault="009D2B36"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23.</w:t>
      </w:r>
    </w:p>
  </w:footnote>
  <w:footnote w:id="622">
    <w:p w14:paraId="2C2F6558" w14:textId="1139B946" w:rsidR="00D301C6" w:rsidRPr="00481DD5" w:rsidRDefault="009D2B36" w:rsidP="005B4367">
      <w:pPr>
        <w:pStyle w:val="FootnoteText"/>
      </w:pPr>
      <w:r w:rsidRPr="00D10EF8">
        <w:tab/>
      </w:r>
      <w:r w:rsidRPr="00093AC5">
        <w:rPr>
          <w:rStyle w:val="FootnoteReference"/>
        </w:rPr>
        <w:footnoteRef/>
      </w:r>
      <w:r w:rsidRPr="00481DD5">
        <w:tab/>
      </w:r>
      <w:r w:rsidR="00D301C6" w:rsidRPr="00481DD5">
        <w:t>CCPR/C/GC/37</w:t>
      </w:r>
      <w:r w:rsidR="00BF73AB" w:rsidRPr="00481DD5">
        <w:t> ;</w:t>
      </w:r>
      <w:r w:rsidR="00D301C6" w:rsidRPr="00481DD5">
        <w:t xml:space="preserve"> A/HRC/31/66</w:t>
      </w:r>
      <w:r w:rsidR="00BF73AB" w:rsidRPr="00481DD5">
        <w:t> ;</w:t>
      </w:r>
      <w:r w:rsidR="00D301C6" w:rsidRPr="00481DD5">
        <w:t xml:space="preserve"> A/HRC/40/52.</w:t>
      </w:r>
    </w:p>
  </w:footnote>
  <w:footnote w:id="623">
    <w:p w14:paraId="314FA322" w14:textId="7CBF92AF" w:rsidR="00D301C6" w:rsidRPr="00D10EF8" w:rsidRDefault="009D2B36" w:rsidP="005B4367">
      <w:pPr>
        <w:pStyle w:val="FootnoteText"/>
      </w:pPr>
      <w:r w:rsidRPr="00481DD5">
        <w:tab/>
      </w:r>
      <w:r w:rsidRPr="00093AC5">
        <w:rPr>
          <w:rStyle w:val="FootnoteReference"/>
        </w:rPr>
        <w:footnoteRef/>
      </w:r>
      <w:r w:rsidRPr="00D10EF8">
        <w:tab/>
      </w:r>
      <w:r w:rsidR="00D301C6" w:rsidRPr="00D10EF8">
        <w:rPr>
          <w:lang w:val="fr-FR"/>
        </w:rPr>
        <w:t>A/HRC/32/20.</w:t>
      </w:r>
    </w:p>
  </w:footnote>
  <w:footnote w:id="624">
    <w:p w14:paraId="573211BD" w14:textId="44E63988" w:rsidR="00D301C6" w:rsidRPr="00D10EF8" w:rsidRDefault="009D2B36" w:rsidP="005B4367">
      <w:pPr>
        <w:pStyle w:val="FootnoteText"/>
      </w:pPr>
      <w:r w:rsidRPr="00D10EF8">
        <w:tab/>
      </w:r>
      <w:r w:rsidRPr="00093AC5">
        <w:rPr>
          <w:rStyle w:val="FootnoteReference"/>
        </w:rPr>
        <w:footnoteRef/>
      </w:r>
      <w:r w:rsidRPr="00D10EF8">
        <w:tab/>
      </w:r>
      <w:r w:rsidR="00D301C6" w:rsidRPr="00D10EF8">
        <w:rPr>
          <w:lang w:val="fr-FR"/>
        </w:rPr>
        <w:t xml:space="preserve">A/HRC/31/66, </w:t>
      </w:r>
      <w:r w:rsidR="002A7FA1">
        <w:rPr>
          <w:lang w:val="fr-FR"/>
        </w:rPr>
        <w:t>par. </w:t>
      </w:r>
      <w:r w:rsidR="00D301C6" w:rsidRPr="00D10EF8">
        <w:rPr>
          <w:lang w:val="fr-FR"/>
        </w:rPr>
        <w:t>50.</w:t>
      </w:r>
    </w:p>
  </w:footnote>
  <w:footnote w:id="625">
    <w:p w14:paraId="36DF56F4" w14:textId="3EAD4B85" w:rsidR="00D301C6" w:rsidRPr="00D10EF8" w:rsidRDefault="009D2B36" w:rsidP="009D2B36">
      <w:pPr>
        <w:pStyle w:val="FootnoteText"/>
        <w:suppressAutoHyphens w:val="0"/>
      </w:pPr>
      <w:r w:rsidRPr="00D10EF8">
        <w:tab/>
      </w:r>
      <w:r w:rsidRPr="00093AC5">
        <w:rPr>
          <w:rStyle w:val="FootnoteReference"/>
        </w:rPr>
        <w:footnoteRef/>
      </w:r>
      <w:r w:rsidRPr="00D10EF8">
        <w:tab/>
      </w:r>
      <w:r w:rsidR="00D301C6" w:rsidRPr="00D10EF8">
        <w:rPr>
          <w:lang w:val="fr-FR"/>
        </w:rPr>
        <w:t>CCPR/C/21/Rev.1/Add.11</w:t>
      </w:r>
      <w:r w:rsidR="00BF73AB">
        <w:rPr>
          <w:lang w:val="fr-FR"/>
        </w:rPr>
        <w:t> ;</w:t>
      </w:r>
      <w:r w:rsidR="00D301C6" w:rsidRPr="00D10EF8">
        <w:rPr>
          <w:lang w:val="fr-FR"/>
        </w:rPr>
        <w:t xml:space="preserve"> CCPR/C/GC/37</w:t>
      </w:r>
      <w:r w:rsidR="00BF73AB">
        <w:rPr>
          <w:lang w:val="fr-FR"/>
        </w:rPr>
        <w:t> ;</w:t>
      </w:r>
      <w:r w:rsidR="00D301C6" w:rsidRPr="00D10EF8">
        <w:rPr>
          <w:lang w:val="fr-FR"/>
        </w:rPr>
        <w:t xml:space="preserve"> CCPR/C/GC/34</w:t>
      </w:r>
      <w:r w:rsidR="00BF73AB">
        <w:rPr>
          <w:lang w:val="fr-FR"/>
        </w:rPr>
        <w:t> ;</w:t>
      </w:r>
      <w:r w:rsidR="00D301C6" w:rsidRPr="00D10EF8">
        <w:rPr>
          <w:lang w:val="fr-FR"/>
        </w:rPr>
        <w:t xml:space="preserve"> </w:t>
      </w:r>
      <w:hyperlink r:id="rId760" w:history="1">
        <w:r w:rsidR="00D301C6" w:rsidRPr="00813782">
          <w:rPr>
            <w:rStyle w:val="Hyperlink"/>
            <w:lang w:val="fr-FR"/>
          </w:rPr>
          <w:t>https://www.ohchr.org/sites/default/</w:t>
        </w:r>
        <w:r>
          <w:rPr>
            <w:rStyle w:val="Hyperlink"/>
            <w:lang w:val="fr-FR"/>
          </w:rPr>
          <w:t xml:space="preserve"> </w:t>
        </w:r>
        <w:r w:rsidR="00D301C6" w:rsidRPr="00813782">
          <w:rPr>
            <w:rStyle w:val="Hyperlink"/>
            <w:lang w:val="fr-FR"/>
          </w:rPr>
          <w:t>files/Documents/Issues/CivicSpace/CivicSpaceandCovid_FR.pdf</w:t>
        </w:r>
      </w:hyperlink>
      <w:r w:rsidR="00D301C6" w:rsidRPr="00813782">
        <w:t xml:space="preserve">. </w:t>
      </w:r>
    </w:p>
  </w:footnote>
  <w:footnote w:id="626">
    <w:p w14:paraId="31179992" w14:textId="4B748E10" w:rsidR="00D301C6" w:rsidRPr="00D10EF8" w:rsidRDefault="009D2B36" w:rsidP="005B4367">
      <w:pPr>
        <w:pStyle w:val="FootnoteText"/>
      </w:pPr>
      <w:r w:rsidRPr="00D10EF8">
        <w:tab/>
      </w:r>
      <w:r w:rsidRPr="00093AC5">
        <w:rPr>
          <w:rStyle w:val="FootnoteReference"/>
        </w:rPr>
        <w:footnoteRef/>
      </w:r>
      <w:r w:rsidRPr="00D10EF8">
        <w:tab/>
      </w:r>
      <w:hyperlink r:id="rId761" w:history="1">
        <w:r w:rsidR="00D301C6" w:rsidRPr="00813782">
          <w:rPr>
            <w:rStyle w:val="Hyperlink"/>
            <w:lang w:val="fr-FR"/>
          </w:rPr>
          <w:t>https://www.ohchr.org/Documents/Issues/CivicSpace/CivicSpaceandCovid_FR.pdf</w:t>
        </w:r>
      </w:hyperlink>
      <w:r w:rsidR="00D301C6" w:rsidRPr="00D10EF8">
        <w:t xml:space="preserve">, </w:t>
      </w:r>
      <w:r w:rsidR="002A7FA1">
        <w:t>p. </w:t>
      </w:r>
      <w:r w:rsidR="00D301C6" w:rsidRPr="00D10EF8">
        <w:t>3.</w:t>
      </w:r>
    </w:p>
  </w:footnote>
  <w:footnote w:id="627">
    <w:p w14:paraId="716B4217" w14:textId="0E48F22E" w:rsidR="00D301C6" w:rsidRPr="00D10EF8" w:rsidRDefault="009D2B36"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26.</w:t>
      </w:r>
    </w:p>
  </w:footnote>
  <w:footnote w:id="628">
    <w:p w14:paraId="3AD35435" w14:textId="7108C4F5" w:rsidR="00D301C6" w:rsidRPr="00D10EF8" w:rsidRDefault="009D2B36"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22, 24</w:t>
      </w:r>
      <w:r w:rsidR="00D301C6">
        <w:t xml:space="preserve">, </w:t>
      </w:r>
      <w:r w:rsidR="00D301C6" w:rsidRPr="00D10EF8">
        <w:t>25</w:t>
      </w:r>
      <w:r w:rsidR="00D301C6">
        <w:t xml:space="preserve"> et</w:t>
      </w:r>
      <w:r w:rsidR="00D301C6" w:rsidRPr="00D10EF8">
        <w:t xml:space="preserve"> 94</w:t>
      </w:r>
      <w:r w:rsidR="00BF73AB">
        <w:t> ;</w:t>
      </w:r>
      <w:r w:rsidR="00D301C6" w:rsidRPr="00D10EF8">
        <w:t xml:space="preserve"> A/HRC/31/66, </w:t>
      </w:r>
      <w:r w:rsidR="002A7FA1">
        <w:t>par. </w:t>
      </w:r>
      <w:r w:rsidR="00D301C6" w:rsidRPr="00D10EF8">
        <w:t>41</w:t>
      </w:r>
      <w:r w:rsidR="00D301C6">
        <w:t xml:space="preserve"> et</w:t>
      </w:r>
      <w:r w:rsidR="00D301C6" w:rsidRPr="00D10EF8">
        <w:t xml:space="preserve"> 68</w:t>
      </w:r>
      <w:r w:rsidR="00D301C6">
        <w:t xml:space="preserve"> à </w:t>
      </w:r>
      <w:r w:rsidR="00D301C6" w:rsidRPr="00D10EF8">
        <w:t>72.</w:t>
      </w:r>
    </w:p>
  </w:footnote>
  <w:footnote w:id="629">
    <w:p w14:paraId="585245CD" w14:textId="4F158255" w:rsidR="00D301C6" w:rsidRPr="00D10EF8" w:rsidRDefault="009D2B36" w:rsidP="005B4367">
      <w:pPr>
        <w:pStyle w:val="FootnoteText"/>
      </w:pPr>
      <w:r w:rsidRPr="00D10EF8">
        <w:tab/>
      </w:r>
      <w:r w:rsidRPr="00093AC5">
        <w:rPr>
          <w:rStyle w:val="FootnoteReference"/>
        </w:rPr>
        <w:footnoteRef/>
      </w:r>
      <w:r w:rsidRPr="00D10EF8">
        <w:tab/>
      </w:r>
      <w:r w:rsidR="00D301C6" w:rsidRPr="00D10EF8">
        <w:rPr>
          <w:lang w:val="fr-FR"/>
        </w:rPr>
        <w:t>CCPR/C/GC/34</w:t>
      </w:r>
      <w:r w:rsidR="00BF73AB">
        <w:rPr>
          <w:lang w:val="fr-FR"/>
        </w:rPr>
        <w:t> ;</w:t>
      </w:r>
      <w:r w:rsidR="00D301C6" w:rsidRPr="00D10EF8">
        <w:rPr>
          <w:lang w:val="fr-FR"/>
        </w:rPr>
        <w:t xml:space="preserve"> A/HRC/31/66, </w:t>
      </w:r>
      <w:r w:rsidR="002A7FA1">
        <w:rPr>
          <w:lang w:val="fr-FR"/>
        </w:rPr>
        <w:t>par. </w:t>
      </w:r>
      <w:r w:rsidR="00D301C6" w:rsidRPr="00D10EF8">
        <w:rPr>
          <w:lang w:val="fr-FR"/>
        </w:rPr>
        <w:t>66.</w:t>
      </w:r>
    </w:p>
  </w:footnote>
  <w:footnote w:id="630">
    <w:p w14:paraId="674CAD6D" w14:textId="30EE6B2B" w:rsidR="00D301C6" w:rsidRPr="00D10EF8" w:rsidRDefault="009D2B36"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48.</w:t>
      </w:r>
    </w:p>
  </w:footnote>
  <w:footnote w:id="631">
    <w:p w14:paraId="03A61448" w14:textId="0CB6A6A4" w:rsidR="00D301C6" w:rsidRPr="00D10EF8" w:rsidRDefault="009D2B36"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94.</w:t>
      </w:r>
    </w:p>
  </w:footnote>
  <w:footnote w:id="632">
    <w:p w14:paraId="1564ADEE" w14:textId="36BD32B5" w:rsidR="00D301C6" w:rsidRPr="00D10EF8" w:rsidRDefault="009D2B36"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30</w:t>
      </w:r>
      <w:r w:rsidR="00BF73AB">
        <w:t> ;</w:t>
      </w:r>
      <w:r w:rsidR="00D301C6" w:rsidRPr="00D10EF8">
        <w:t xml:space="preserve"> </w:t>
      </w:r>
      <w:hyperlink r:id="rId762" w:history="1">
        <w:r w:rsidR="00D301C6" w:rsidRPr="00D10EF8">
          <w:rPr>
            <w:rStyle w:val="Hyperlink"/>
            <w:lang w:val="fr-FR"/>
          </w:rPr>
          <w:t>https://www.ohchr.org/EN/ProfessionalInterest/Pages/</w:t>
        </w:r>
        <w:r>
          <w:rPr>
            <w:rStyle w:val="Hyperlink"/>
            <w:lang w:val="fr-FR"/>
          </w:rPr>
          <w:t xml:space="preserve"> </w:t>
        </w:r>
        <w:r w:rsidR="00D301C6" w:rsidRPr="00D10EF8">
          <w:rPr>
            <w:rStyle w:val="Hyperlink"/>
            <w:lang w:val="fr-FR"/>
          </w:rPr>
          <w:t>RightAndResponsibility.aspx</w:t>
        </w:r>
      </w:hyperlink>
      <w:r w:rsidR="00D301C6" w:rsidRPr="00D10EF8">
        <w:t>.</w:t>
      </w:r>
    </w:p>
  </w:footnote>
  <w:footnote w:id="633">
    <w:p w14:paraId="52713789" w14:textId="0BD319BD" w:rsidR="00D301C6" w:rsidRPr="00D10EF8" w:rsidRDefault="009D2B36"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78.</w:t>
      </w:r>
    </w:p>
  </w:footnote>
  <w:footnote w:id="634">
    <w:p w14:paraId="5C6C65D3" w14:textId="34A831E7" w:rsidR="00D301C6" w:rsidRPr="00D10EF8" w:rsidRDefault="009D2B36" w:rsidP="005B4367">
      <w:pPr>
        <w:pStyle w:val="FootnoteText"/>
      </w:pPr>
      <w:r w:rsidRPr="00D10EF8">
        <w:tab/>
      </w:r>
      <w:r w:rsidRPr="00093AC5">
        <w:rPr>
          <w:rStyle w:val="FootnoteReference"/>
        </w:rPr>
        <w:footnoteRef/>
      </w:r>
      <w:r w:rsidRPr="00D10EF8">
        <w:tab/>
      </w:r>
      <w:r w:rsidR="00D301C6" w:rsidRPr="00D10EF8">
        <w:t>Principes de base sur le recours à la force et l</w:t>
      </w:r>
      <w:r w:rsidR="00F60EAA">
        <w:t>’</w:t>
      </w:r>
      <w:r w:rsidR="00D301C6" w:rsidRPr="00D10EF8">
        <w:t>utilisation des armes à feu par les responsables de l</w:t>
      </w:r>
      <w:r w:rsidR="00F60EAA">
        <w:t>’</w:t>
      </w:r>
      <w:r w:rsidR="00D301C6" w:rsidRPr="00D10EF8">
        <w:t>application des lois, principes 4 et 20</w:t>
      </w:r>
    </w:p>
  </w:footnote>
  <w:footnote w:id="635">
    <w:p w14:paraId="458B2E70" w14:textId="5B1E7208" w:rsidR="00D301C6" w:rsidRPr="00D10EF8" w:rsidRDefault="009D2B36" w:rsidP="005B4367">
      <w:pPr>
        <w:pStyle w:val="FootnoteText"/>
      </w:pPr>
      <w:r w:rsidRPr="00D10EF8">
        <w:tab/>
      </w:r>
      <w:r w:rsidRPr="00093AC5">
        <w:rPr>
          <w:rStyle w:val="FootnoteReference"/>
        </w:rPr>
        <w:footnoteRef/>
      </w:r>
      <w:r w:rsidRPr="00D10EF8">
        <w:tab/>
      </w:r>
      <w:r w:rsidR="00D301C6" w:rsidRPr="00D10EF8">
        <w:tab/>
        <w:t xml:space="preserve">A/HRC/26/36, </w:t>
      </w:r>
      <w:r w:rsidR="002A7FA1">
        <w:t>par. </w:t>
      </w:r>
      <w:r w:rsidR="00D301C6" w:rsidRPr="00D10EF8">
        <w:t>75</w:t>
      </w:r>
      <w:r w:rsidR="00BF73AB">
        <w:t> ;</w:t>
      </w:r>
      <w:r w:rsidR="00D301C6" w:rsidRPr="00D10EF8">
        <w:t xml:space="preserve"> A/HRC/31/66, </w:t>
      </w:r>
      <w:r w:rsidR="002A7FA1">
        <w:t>par. </w:t>
      </w:r>
      <w:r w:rsidR="00D301C6" w:rsidRPr="00D10EF8">
        <w:t>61.</w:t>
      </w:r>
    </w:p>
  </w:footnote>
  <w:footnote w:id="636">
    <w:p w14:paraId="07814FEA" w14:textId="1C2094CB" w:rsidR="00D301C6" w:rsidRPr="00D10EF8" w:rsidRDefault="00D271B5" w:rsidP="005B4367">
      <w:pPr>
        <w:pStyle w:val="FootnoteText"/>
      </w:pPr>
      <w:r w:rsidRPr="00D10EF8">
        <w:tab/>
      </w:r>
      <w:r w:rsidRPr="00093AC5">
        <w:rPr>
          <w:rStyle w:val="FootnoteReference"/>
        </w:rPr>
        <w:footnoteRef/>
      </w:r>
      <w:r w:rsidRPr="00D10EF8">
        <w:tab/>
      </w:r>
      <w:r w:rsidR="00D301C6" w:rsidRPr="00D10EF8">
        <w:t>Principes de base sur le recours à la force et l</w:t>
      </w:r>
      <w:r w:rsidR="00F60EAA">
        <w:t>’</w:t>
      </w:r>
      <w:r w:rsidR="00D301C6" w:rsidRPr="00D10EF8">
        <w:t>utilisation des armes à feu par les responsables de l</w:t>
      </w:r>
      <w:r w:rsidR="00F60EAA">
        <w:t>’</w:t>
      </w:r>
      <w:r w:rsidR="00D301C6" w:rsidRPr="00D10EF8">
        <w:t>application des lois, principe 13.</w:t>
      </w:r>
    </w:p>
  </w:footnote>
  <w:footnote w:id="637">
    <w:p w14:paraId="06E37397" w14:textId="1F375E42" w:rsidR="00D301C6" w:rsidRPr="00D10EF8" w:rsidRDefault="00D271B5" w:rsidP="005B4367">
      <w:pPr>
        <w:pStyle w:val="FootnoteText"/>
      </w:pPr>
      <w:r w:rsidRPr="00D10EF8">
        <w:tab/>
      </w:r>
      <w:r w:rsidRPr="00093AC5">
        <w:rPr>
          <w:rStyle w:val="FootnoteReference"/>
        </w:rPr>
        <w:footnoteRef/>
      </w:r>
      <w:r w:rsidRPr="00D10EF8">
        <w:tab/>
      </w:r>
      <w:r w:rsidR="00D301C6" w:rsidRPr="00D10EF8">
        <w:t>Principes de base sur le recours à la force et l</w:t>
      </w:r>
      <w:r w:rsidR="00F60EAA">
        <w:t>’</w:t>
      </w:r>
      <w:r w:rsidR="00D301C6" w:rsidRPr="00D10EF8">
        <w:t>utilisation des armes à feu par les responsables de l</w:t>
      </w:r>
      <w:r w:rsidR="00F60EAA">
        <w:t>’</w:t>
      </w:r>
      <w:r w:rsidR="00D301C6" w:rsidRPr="00D10EF8">
        <w:t>application des lois, principe 5</w:t>
      </w:r>
      <w:r w:rsidR="00D301C6">
        <w:t xml:space="preserve"> </w:t>
      </w:r>
      <w:r w:rsidR="00D301C6" w:rsidRPr="00D10EF8">
        <w:t>(</w:t>
      </w:r>
      <w:r w:rsidR="00D301C6">
        <w:t xml:space="preserve">al. </w:t>
      </w:r>
      <w:r w:rsidR="00D301C6" w:rsidRPr="00D10EF8">
        <w:t>a)</w:t>
      </w:r>
      <w:r w:rsidR="00D301C6">
        <w:t>)</w:t>
      </w:r>
      <w:r w:rsidR="00BF73AB">
        <w:t> ;</w:t>
      </w:r>
      <w:r w:rsidR="00D301C6" w:rsidRPr="00D10EF8">
        <w:t xml:space="preserve"> </w:t>
      </w:r>
      <w:hyperlink r:id="rId763" w:history="1">
        <w:r w:rsidR="00D301C6" w:rsidRPr="00D10EF8">
          <w:rPr>
            <w:rStyle w:val="Hyperlink"/>
            <w:rFonts w:eastAsia="Calibri"/>
            <w:lang w:val="fr-FR"/>
          </w:rPr>
          <w:t>https://www.ohchr.org/Documents/ProfessionalInterest/</w:t>
        </w:r>
        <w:r w:rsidR="005B010D">
          <w:rPr>
            <w:rStyle w:val="Hyperlink"/>
            <w:rFonts w:eastAsia="Calibri"/>
            <w:lang w:val="fr-FR"/>
          </w:rPr>
          <w:t xml:space="preserve"> </w:t>
        </w:r>
        <w:r w:rsidR="00D301C6" w:rsidRPr="00D10EF8">
          <w:rPr>
            <w:rStyle w:val="Hyperlink"/>
            <w:rFonts w:eastAsia="Calibri"/>
            <w:lang w:val="fr-FR"/>
          </w:rPr>
          <w:t>UseOfForceAndFirearms.pdf</w:t>
        </w:r>
      </w:hyperlink>
      <w:r w:rsidR="00D301C6" w:rsidRPr="00D10EF8">
        <w:t xml:space="preserve">, </w:t>
      </w:r>
      <w:r w:rsidR="002A7FA1">
        <w:t>p. </w:t>
      </w:r>
      <w:r w:rsidR="00D301C6" w:rsidRPr="00D10EF8">
        <w:t>18</w:t>
      </w:r>
      <w:r w:rsidR="00BF73AB">
        <w:t> ;</w:t>
      </w:r>
      <w:r w:rsidR="00D301C6" w:rsidRPr="00D10EF8">
        <w:t xml:space="preserve"> A/HRC/26/36, </w:t>
      </w:r>
      <w:r w:rsidR="002A7FA1">
        <w:t>par. </w:t>
      </w:r>
      <w:r w:rsidR="00D301C6" w:rsidRPr="00D10EF8">
        <w:t>66</w:t>
      </w:r>
      <w:r w:rsidR="00BF73AB">
        <w:t> ;</w:t>
      </w:r>
      <w:r w:rsidR="00D301C6" w:rsidRPr="00D10EF8">
        <w:t xml:space="preserve"> </w:t>
      </w:r>
      <w:r w:rsidR="005B010D">
        <w:t>c</w:t>
      </w:r>
      <w:r w:rsidR="00D301C6" w:rsidRPr="00D10EF8">
        <w:t>ommentaire b) sur l</w:t>
      </w:r>
      <w:r w:rsidR="00F60EAA">
        <w:t>’</w:t>
      </w:r>
      <w:r w:rsidR="00D301C6" w:rsidRPr="00D10EF8">
        <w:t>article</w:t>
      </w:r>
      <w:r w:rsidR="005B010D">
        <w:t> </w:t>
      </w:r>
      <w:r w:rsidR="00D301C6" w:rsidRPr="00D10EF8">
        <w:t>3, Code de conduite pour les responsables de l</w:t>
      </w:r>
      <w:r w:rsidR="00F60EAA">
        <w:t>’</w:t>
      </w:r>
      <w:r w:rsidR="00D301C6" w:rsidRPr="00D10EF8">
        <w:t>application des lois.</w:t>
      </w:r>
    </w:p>
  </w:footnote>
  <w:footnote w:id="638">
    <w:p w14:paraId="5ED62871" w14:textId="52F4CD4B" w:rsidR="00D301C6" w:rsidRPr="00D10EF8" w:rsidRDefault="00D271B5"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98</w:t>
      </w:r>
      <w:r w:rsidR="00BF73AB">
        <w:t> ;</w:t>
      </w:r>
      <w:r w:rsidR="00D301C6" w:rsidRPr="00D10EF8">
        <w:t xml:space="preserve"> Principes de base sur le recours à la force et l</w:t>
      </w:r>
      <w:r w:rsidR="00F60EAA">
        <w:t>’</w:t>
      </w:r>
      <w:r w:rsidR="00D301C6" w:rsidRPr="00D10EF8">
        <w:t>utilisation des armes à feu par les responsables de l</w:t>
      </w:r>
      <w:r w:rsidR="00F60EAA">
        <w:t>’</w:t>
      </w:r>
      <w:r w:rsidR="00D301C6" w:rsidRPr="00D10EF8">
        <w:t>application des lois</w:t>
      </w:r>
      <w:r w:rsidR="00BF73AB">
        <w:t> ;</w:t>
      </w:r>
      <w:r w:rsidR="00D301C6" w:rsidRPr="00D10EF8">
        <w:t xml:space="preserve"> </w:t>
      </w:r>
      <w:hyperlink r:id="rId764" w:history="1">
        <w:r w:rsidR="00D301C6" w:rsidRPr="00D10EF8">
          <w:rPr>
            <w:rStyle w:val="Hyperlink"/>
            <w:lang w:val="fr-FR"/>
          </w:rPr>
          <w:t>https://www.ohchr.org/Documents/HRBodies/</w:t>
        </w:r>
        <w:r w:rsidR="005B010D">
          <w:rPr>
            <w:rStyle w:val="Hyperlink"/>
            <w:lang w:val="fr-FR"/>
          </w:rPr>
          <w:t xml:space="preserve"> </w:t>
        </w:r>
        <w:r w:rsidR="00D301C6" w:rsidRPr="00D10EF8">
          <w:rPr>
            <w:rStyle w:val="Hyperlink"/>
            <w:lang w:val="fr-FR"/>
          </w:rPr>
          <w:t>CCPR/LLW_Guidance.pdf</w:t>
        </w:r>
      </w:hyperlink>
      <w:r w:rsidR="00D301C6" w:rsidRPr="00D10EF8">
        <w:t>.</w:t>
      </w:r>
    </w:p>
  </w:footnote>
  <w:footnote w:id="639">
    <w:p w14:paraId="58DA66EB" w14:textId="4216213E" w:rsidR="00D301C6" w:rsidRPr="00D10EF8" w:rsidRDefault="00D271B5"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13 et 14.</w:t>
      </w:r>
    </w:p>
  </w:footnote>
  <w:footnote w:id="640">
    <w:p w14:paraId="4DAB267A" w14:textId="22A0DB43" w:rsidR="00D301C6" w:rsidRPr="00E33C0E" w:rsidRDefault="00D271B5" w:rsidP="005B4367">
      <w:pPr>
        <w:pStyle w:val="FootnoteText"/>
        <w:rPr>
          <w:lang w:val="en-US"/>
        </w:rPr>
      </w:pPr>
      <w:r w:rsidRPr="00D10EF8">
        <w:tab/>
      </w:r>
      <w:r w:rsidRPr="00093AC5">
        <w:rPr>
          <w:rStyle w:val="FootnoteReference"/>
        </w:rPr>
        <w:footnoteRef/>
      </w:r>
      <w:r w:rsidRPr="00E33C0E">
        <w:rPr>
          <w:lang w:val="en-US"/>
        </w:rPr>
        <w:tab/>
      </w:r>
      <w:r w:rsidR="00D301C6" w:rsidRPr="00E33C0E">
        <w:rPr>
          <w:lang w:val="en-US"/>
        </w:rPr>
        <w:t xml:space="preserve">CCPR/C/GC/37, </w:t>
      </w:r>
      <w:r w:rsidR="002A7FA1" w:rsidRPr="00E33C0E">
        <w:rPr>
          <w:lang w:val="en-US"/>
        </w:rPr>
        <w:t>par. </w:t>
      </w:r>
      <w:r w:rsidR="00D301C6" w:rsidRPr="00E33C0E">
        <w:rPr>
          <w:lang w:val="en-US"/>
        </w:rPr>
        <w:t>84</w:t>
      </w:r>
      <w:r w:rsidR="00BF73AB" w:rsidRPr="00E33C0E">
        <w:rPr>
          <w:lang w:val="en-US"/>
        </w:rPr>
        <w:t> ;</w:t>
      </w:r>
      <w:r w:rsidR="00D301C6" w:rsidRPr="00E33C0E">
        <w:rPr>
          <w:lang w:val="en-US"/>
        </w:rPr>
        <w:t xml:space="preserve"> </w:t>
      </w:r>
      <w:hyperlink r:id="rId765" w:history="1">
        <w:r w:rsidR="00D301C6" w:rsidRPr="00E33C0E">
          <w:rPr>
            <w:rStyle w:val="Hyperlink"/>
            <w:lang w:val="en-US"/>
          </w:rPr>
          <w:t>https://www.ohchr.org/sites/default/files/Documents/Publications/</w:t>
        </w:r>
        <w:r w:rsidR="00E33C0E" w:rsidRPr="00E33C0E">
          <w:rPr>
            <w:rStyle w:val="Hyperlink"/>
            <w:lang w:val="en-US"/>
          </w:rPr>
          <w:t xml:space="preserve"> </w:t>
        </w:r>
        <w:r w:rsidR="00D301C6" w:rsidRPr="00E33C0E">
          <w:rPr>
            <w:rStyle w:val="Hyperlink"/>
            <w:lang w:val="en-US"/>
          </w:rPr>
          <w:t>training5Add2fr.pdf</w:t>
        </w:r>
      </w:hyperlink>
      <w:r w:rsidR="00D301C6" w:rsidRPr="00E33C0E">
        <w:rPr>
          <w:lang w:val="en-US"/>
        </w:rPr>
        <w:t>.</w:t>
      </w:r>
    </w:p>
  </w:footnote>
  <w:footnote w:id="641">
    <w:p w14:paraId="39EFFFBF" w14:textId="3E5EACE9" w:rsidR="00D301C6" w:rsidRPr="00D10EF8" w:rsidRDefault="00D271B5" w:rsidP="005B4367">
      <w:pPr>
        <w:pStyle w:val="FootnoteText"/>
      </w:pPr>
      <w:r w:rsidRPr="00E33C0E">
        <w:rPr>
          <w:lang w:val="en-US"/>
        </w:rPr>
        <w:tab/>
      </w:r>
      <w:r w:rsidRPr="00093AC5">
        <w:rPr>
          <w:rStyle w:val="FootnoteReference"/>
        </w:rPr>
        <w:footnoteRef/>
      </w:r>
      <w:r w:rsidRPr="00D10EF8">
        <w:tab/>
      </w:r>
      <w:r w:rsidR="00D301C6" w:rsidRPr="00D10EF8">
        <w:rPr>
          <w:lang w:val="fr-FR"/>
        </w:rPr>
        <w:t xml:space="preserve">CCPR/C/GC/37, </w:t>
      </w:r>
      <w:r w:rsidR="002A7FA1">
        <w:rPr>
          <w:lang w:val="fr-FR"/>
        </w:rPr>
        <w:t>par. </w:t>
      </w:r>
      <w:r w:rsidR="00D301C6" w:rsidRPr="00D10EF8">
        <w:rPr>
          <w:lang w:val="fr-FR"/>
        </w:rPr>
        <w:t>80</w:t>
      </w:r>
      <w:r w:rsidR="00BF73AB">
        <w:rPr>
          <w:lang w:val="fr-FR"/>
        </w:rPr>
        <w:t> ;</w:t>
      </w:r>
      <w:r w:rsidR="00D301C6" w:rsidRPr="00D10EF8">
        <w:rPr>
          <w:lang w:val="fr-FR"/>
        </w:rPr>
        <w:t xml:space="preserve"> </w:t>
      </w:r>
      <w:hyperlink r:id="rId766" w:history="1">
        <w:r w:rsidR="00D301C6" w:rsidRPr="00E33C0E">
          <w:rPr>
            <w:rStyle w:val="Hyperlink"/>
            <w:lang w:val="fr-FR"/>
          </w:rPr>
          <w:t>https://www.ohchr.org/fr/instruments-mechanisms/instruments/code-conduct-law-enforcement-officials</w:t>
        </w:r>
      </w:hyperlink>
      <w:r w:rsidR="00BF73AB" w:rsidRPr="00E33C0E">
        <w:rPr>
          <w:lang w:val="fr-FR"/>
        </w:rPr>
        <w:t> ;</w:t>
      </w:r>
      <w:r w:rsidR="00D301C6" w:rsidRPr="00E33C0E">
        <w:rPr>
          <w:lang w:val="fr-FR"/>
        </w:rPr>
        <w:t xml:space="preserve"> A/HRC/31/66</w:t>
      </w:r>
      <w:r w:rsidR="00D301C6" w:rsidRPr="00D10EF8">
        <w:t>.</w:t>
      </w:r>
      <w:r w:rsidR="00D301C6" w:rsidRPr="00D10EF8">
        <w:rPr>
          <w:lang w:val="fr-FR"/>
        </w:rPr>
        <w:t xml:space="preserve"> </w:t>
      </w:r>
    </w:p>
  </w:footnote>
  <w:footnote w:id="642">
    <w:p w14:paraId="47330BAB" w14:textId="511C438E" w:rsidR="00D301C6" w:rsidRPr="00D10EF8" w:rsidRDefault="00D271B5"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80</w:t>
      </w:r>
      <w:r w:rsidR="00BF73AB">
        <w:t> ;</w:t>
      </w:r>
      <w:r w:rsidR="00D301C6" w:rsidRPr="00D10EF8">
        <w:t xml:space="preserve"> </w:t>
      </w:r>
      <w:hyperlink r:id="rId767" w:history="1">
        <w:r w:rsidR="00D301C6" w:rsidRPr="00D10EF8">
          <w:rPr>
            <w:rStyle w:val="Hyperlink"/>
            <w:lang w:val="fr-FR"/>
          </w:rPr>
          <w:t>https://www.ohchr.org/fr/instruments-mechanisms/instruments/code-conduct-law-enforcement-officials</w:t>
        </w:r>
      </w:hyperlink>
      <w:r w:rsidR="00D301C6" w:rsidRPr="00D10EF8">
        <w:t>, commentaire, article premier</w:t>
      </w:r>
      <w:r w:rsidR="00BF73AB">
        <w:t> ;</w:t>
      </w:r>
      <w:r w:rsidR="00D301C6" w:rsidRPr="00D10EF8">
        <w:t xml:space="preserve"> </w:t>
      </w:r>
      <w:hyperlink r:id="rId768" w:history="1">
        <w:r w:rsidR="00D301C6" w:rsidRPr="00D10EF8">
          <w:rPr>
            <w:rStyle w:val="Hyperlink"/>
            <w:lang w:val="fr-FR"/>
          </w:rPr>
          <w:t>https://achpr.org/public/Document/file/Any/achpr_guidelines_on_policing_assemblies_eng_fre_por_ara.pdf</w:t>
        </w:r>
      </w:hyperlink>
      <w:r w:rsidR="00D301C6" w:rsidRPr="00D10EF8">
        <w:t>, par.3.2</w:t>
      </w:r>
      <w:r w:rsidR="00BF73AB">
        <w:t> ;</w:t>
      </w:r>
      <w:r w:rsidR="00D301C6" w:rsidRPr="00D10EF8">
        <w:t xml:space="preserve"> </w:t>
      </w:r>
      <w:hyperlink r:id="rId769" w:history="1">
        <w:r w:rsidR="00D301C6" w:rsidRPr="00D10EF8">
          <w:rPr>
            <w:rStyle w:val="Hyperlink"/>
            <w:lang w:val="fr-FR"/>
          </w:rPr>
          <w:t>https://www.ohchr.org/fr/instruments-mechanisms/instruments/basic-principles-use-force-and-firearms-law-enforcement</w:t>
        </w:r>
      </w:hyperlink>
      <w:r w:rsidR="00BF73AB">
        <w:t> ;</w:t>
      </w:r>
      <w:r w:rsidR="00D301C6" w:rsidRPr="00D10EF8">
        <w:t xml:space="preserve"> </w:t>
      </w:r>
      <w:hyperlink r:id="rId770" w:history="1">
        <w:r w:rsidR="00D301C6" w:rsidRPr="00D10EF8">
          <w:rPr>
            <w:rStyle w:val="Hyperlink"/>
            <w:lang w:val="fr-FR"/>
          </w:rPr>
          <w:t>https://www.ohchr.org/sites/default/files/Documents/</w:t>
        </w:r>
        <w:r w:rsidR="00E33C0E">
          <w:rPr>
            <w:rStyle w:val="Hyperlink"/>
            <w:lang w:val="fr-FR"/>
          </w:rPr>
          <w:t xml:space="preserve"> </w:t>
        </w:r>
        <w:r w:rsidR="00D301C6" w:rsidRPr="00D10EF8">
          <w:rPr>
            <w:rStyle w:val="Hyperlink"/>
            <w:lang w:val="fr-FR"/>
          </w:rPr>
          <w:t>Publications/MinnesotaProtocol_FR.pdf</w:t>
        </w:r>
      </w:hyperlink>
      <w:r w:rsidR="00BF73AB">
        <w:t> ;</w:t>
      </w:r>
      <w:r w:rsidR="00D301C6" w:rsidRPr="00D10EF8">
        <w:t xml:space="preserve"> A/HRC/31/66, </w:t>
      </w:r>
      <w:r w:rsidR="002A7FA1">
        <w:t>par. </w:t>
      </w:r>
      <w:r w:rsidR="00D301C6" w:rsidRPr="00D10EF8">
        <w:t>66.</w:t>
      </w:r>
    </w:p>
  </w:footnote>
  <w:footnote w:id="643">
    <w:p w14:paraId="0C536B54" w14:textId="4627576F" w:rsidR="00D301C6" w:rsidRPr="00D10EF8" w:rsidRDefault="00D271B5" w:rsidP="005B4367">
      <w:pPr>
        <w:pStyle w:val="FootnoteText"/>
      </w:pPr>
      <w:r w:rsidRPr="00D10EF8">
        <w:tab/>
      </w:r>
      <w:r w:rsidRPr="00093AC5">
        <w:rPr>
          <w:rStyle w:val="FootnoteReference"/>
        </w:rPr>
        <w:footnoteRef/>
      </w:r>
      <w:r w:rsidRPr="00D10EF8">
        <w:tab/>
      </w:r>
      <w:r w:rsidR="00D301C6" w:rsidRPr="00D10EF8">
        <w:t xml:space="preserve">A/HRC/31/66, </w:t>
      </w:r>
      <w:r w:rsidR="002A7FA1">
        <w:t>par. </w:t>
      </w:r>
      <w:r w:rsidR="00D301C6" w:rsidRPr="00D10EF8">
        <w:t>73.</w:t>
      </w:r>
    </w:p>
  </w:footnote>
  <w:footnote w:id="644">
    <w:p w14:paraId="77491E93" w14:textId="1B1BBDE6" w:rsidR="00D301C6" w:rsidRPr="00D10EF8" w:rsidRDefault="00D271B5" w:rsidP="005B4367">
      <w:pPr>
        <w:pStyle w:val="FootnoteText"/>
      </w:pPr>
      <w:r w:rsidRPr="00D10EF8">
        <w:tab/>
      </w:r>
      <w:r w:rsidRPr="00093AC5">
        <w:rPr>
          <w:rStyle w:val="FootnoteReference"/>
        </w:rPr>
        <w:footnoteRef/>
      </w:r>
      <w:r w:rsidRPr="00D10EF8">
        <w:tab/>
      </w:r>
      <w:r w:rsidR="00D301C6" w:rsidRPr="00D10EF8">
        <w:t xml:space="preserve">A/HRC/44/24, </w:t>
      </w:r>
      <w:r w:rsidR="002A7FA1">
        <w:t>par. </w:t>
      </w:r>
      <w:r w:rsidR="00D301C6" w:rsidRPr="00D10EF8">
        <w:t>53 (al. f)).</w:t>
      </w:r>
    </w:p>
  </w:footnote>
  <w:footnote w:id="645">
    <w:p w14:paraId="4B26DBEC" w14:textId="70B17968" w:rsidR="00D301C6" w:rsidRPr="00D10EF8" w:rsidRDefault="00D271B5"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29 et 90</w:t>
      </w:r>
      <w:r w:rsidR="00BF73AB">
        <w:t> ;</w:t>
      </w:r>
      <w:r w:rsidR="00D301C6" w:rsidRPr="00D10EF8">
        <w:t xml:space="preserve"> </w:t>
      </w:r>
      <w:hyperlink r:id="rId771" w:history="1">
        <w:r w:rsidR="00D301C6" w:rsidRPr="00D10EF8">
          <w:rPr>
            <w:rStyle w:val="Hyperlink"/>
            <w:lang w:val="fr-FR"/>
          </w:rPr>
          <w:t>https://www.ohchr.org/sites/default/files/Documents/Publications/</w:t>
        </w:r>
        <w:r w:rsidR="00724478">
          <w:rPr>
            <w:rStyle w:val="Hyperlink"/>
            <w:lang w:val="fr-FR"/>
          </w:rPr>
          <w:t xml:space="preserve"> </w:t>
        </w:r>
        <w:r w:rsidR="00D301C6" w:rsidRPr="00D10EF8">
          <w:rPr>
            <w:rStyle w:val="Hyperlink"/>
            <w:lang w:val="fr-FR"/>
          </w:rPr>
          <w:t>MinnesotaProtocol_FR.pdf</w:t>
        </w:r>
      </w:hyperlink>
      <w:r w:rsidR="00D301C6" w:rsidRPr="00D10EF8">
        <w:t>.</w:t>
      </w:r>
    </w:p>
  </w:footnote>
  <w:footnote w:id="646">
    <w:p w14:paraId="2CCFC394" w14:textId="604911C6" w:rsidR="00D301C6" w:rsidRPr="00D10EF8" w:rsidRDefault="00D271B5" w:rsidP="005B4367">
      <w:pPr>
        <w:pStyle w:val="FootnoteText"/>
      </w:pPr>
      <w:r w:rsidRPr="00D10EF8">
        <w:tab/>
      </w:r>
      <w:r w:rsidRPr="00093AC5">
        <w:rPr>
          <w:rStyle w:val="FootnoteReference"/>
        </w:rPr>
        <w:footnoteRef/>
      </w:r>
      <w:r w:rsidRPr="00D10EF8">
        <w:tab/>
      </w:r>
      <w:r w:rsidR="00D301C6" w:rsidRPr="00D10EF8">
        <w:rPr>
          <w:lang w:val="fr-FR"/>
        </w:rPr>
        <w:t xml:space="preserve">CCPR/C/GC/37, </w:t>
      </w:r>
      <w:r w:rsidR="002A7FA1">
        <w:rPr>
          <w:lang w:val="fr-FR"/>
        </w:rPr>
        <w:t>par. </w:t>
      </w:r>
      <w:r w:rsidR="00D301C6" w:rsidRPr="00D10EF8">
        <w:rPr>
          <w:lang w:val="fr-FR"/>
        </w:rPr>
        <w:t>100 et 103</w:t>
      </w:r>
      <w:r w:rsidR="00BF73AB">
        <w:rPr>
          <w:lang w:val="fr-FR"/>
        </w:rPr>
        <w:t> ;</w:t>
      </w:r>
      <w:r w:rsidR="00D301C6" w:rsidRPr="00D10EF8">
        <w:rPr>
          <w:lang w:val="fr-FR"/>
        </w:rPr>
        <w:t xml:space="preserve"> CAT/C/DEU/CO/6, </w:t>
      </w:r>
      <w:r w:rsidR="002A7FA1">
        <w:rPr>
          <w:lang w:val="fr-FR"/>
        </w:rPr>
        <w:t>par. </w:t>
      </w:r>
      <w:r w:rsidR="00D301C6" w:rsidRPr="00D10EF8">
        <w:rPr>
          <w:lang w:val="fr-FR"/>
        </w:rPr>
        <w:t>38.</w:t>
      </w:r>
    </w:p>
  </w:footnote>
  <w:footnote w:id="647">
    <w:p w14:paraId="398ECC3F" w14:textId="04080B81" w:rsidR="00D301C6" w:rsidRPr="00D10EF8" w:rsidRDefault="00D271B5" w:rsidP="005B4367">
      <w:pPr>
        <w:pStyle w:val="FootnoteText"/>
      </w:pPr>
      <w:r w:rsidRPr="00D10EF8">
        <w:tab/>
      </w:r>
      <w:r w:rsidRPr="00093AC5">
        <w:rPr>
          <w:rStyle w:val="FootnoteReference"/>
        </w:rPr>
        <w:footnoteRef/>
      </w:r>
      <w:r w:rsidRPr="00D10EF8">
        <w:tab/>
      </w:r>
      <w:r w:rsidR="00D301C6" w:rsidRPr="00D10EF8">
        <w:t xml:space="preserve">CCPR/C/GC/37, </w:t>
      </w:r>
      <w:r w:rsidR="002A7FA1">
        <w:t>par. </w:t>
      </w:r>
      <w:r w:rsidR="00D301C6" w:rsidRPr="00D10EF8">
        <w:t>92.</w:t>
      </w:r>
    </w:p>
  </w:footnote>
  <w:footnote w:id="648">
    <w:p w14:paraId="363E71AB" w14:textId="59E0D3E7" w:rsidR="00D301C6" w:rsidRPr="00D10EF8" w:rsidRDefault="00D271B5" w:rsidP="005B4367">
      <w:pPr>
        <w:pStyle w:val="FootnoteText"/>
      </w:pPr>
      <w:r w:rsidRPr="00D10EF8">
        <w:tab/>
      </w:r>
      <w:r w:rsidRPr="00093AC5">
        <w:rPr>
          <w:rStyle w:val="FootnoteReference"/>
        </w:rPr>
        <w:footnoteRef/>
      </w:r>
      <w:r w:rsidRPr="00D10EF8">
        <w:tab/>
      </w:r>
      <w:r w:rsidR="00D301C6" w:rsidRPr="00D10EF8">
        <w:t xml:space="preserve">CCPR/C/GC/36, </w:t>
      </w:r>
      <w:r w:rsidR="002A7FA1">
        <w:t>par. </w:t>
      </w:r>
      <w:r w:rsidR="00D301C6" w:rsidRPr="00D10EF8">
        <w:t>53.</w:t>
      </w:r>
    </w:p>
  </w:footnote>
  <w:footnote w:id="649">
    <w:p w14:paraId="149B6C5D" w14:textId="712142A9" w:rsidR="00D301C6" w:rsidRPr="00D10EF8" w:rsidRDefault="00D271B5" w:rsidP="005B4367">
      <w:pPr>
        <w:pStyle w:val="FootnoteText"/>
      </w:pPr>
      <w:r w:rsidRPr="00D10EF8">
        <w:tab/>
      </w:r>
      <w:r w:rsidRPr="00093AC5">
        <w:rPr>
          <w:rStyle w:val="FootnoteReference"/>
        </w:rPr>
        <w:footnoteRef/>
      </w:r>
      <w:r w:rsidRPr="00D10EF8">
        <w:tab/>
      </w:r>
      <w:hyperlink r:id="rId772" w:history="1">
        <w:r w:rsidR="00D301C6" w:rsidRPr="00D10EF8">
          <w:rPr>
            <w:rStyle w:val="Hyperlink"/>
            <w:lang w:val="fr-FR"/>
          </w:rPr>
          <w:t>https://en.unesco.org/news/slave-trade-and-slavery-founding-tragedy-our-modern-world</w:t>
        </w:r>
      </w:hyperlink>
      <w:r w:rsidR="00D301C6" w:rsidRPr="00D10EF8">
        <w:rPr>
          <w:lang w:val="fr-FR"/>
        </w:rPr>
        <w:t xml:space="preserve">. Voir également </w:t>
      </w:r>
      <w:hyperlink r:id="rId773" w:history="1">
        <w:r w:rsidR="00D301C6" w:rsidRPr="00D10EF8">
          <w:rPr>
            <w:rStyle w:val="Hyperlink"/>
            <w:lang w:val="fr-FR"/>
          </w:rPr>
          <w:t>https://unesdoc.unesco.org/ark:/48223/pf0000366348</w:t>
        </w:r>
      </w:hyperlink>
      <w:r w:rsidR="00D301C6" w:rsidRPr="00D10EF8">
        <w:t>,</w:t>
      </w:r>
      <w:r w:rsidR="00D301C6" w:rsidRPr="00D10EF8">
        <w:rPr>
          <w:lang w:val="fr-FR"/>
        </w:rPr>
        <w:t xml:space="preserve"> </w:t>
      </w:r>
      <w:r w:rsidR="002A7FA1">
        <w:rPr>
          <w:lang w:val="fr-FR"/>
        </w:rPr>
        <w:t>p. </w:t>
      </w:r>
      <w:r w:rsidR="00D301C6" w:rsidRPr="00D10EF8">
        <w:rPr>
          <w:lang w:val="fr-FR"/>
        </w:rPr>
        <w:t>5</w:t>
      </w:r>
      <w:r w:rsidR="005955D3">
        <w:rPr>
          <w:lang w:val="fr-FR"/>
        </w:rPr>
        <w:t>,</w:t>
      </w:r>
      <w:r w:rsidR="00D301C6" w:rsidRPr="00D10EF8">
        <w:rPr>
          <w:lang w:val="fr-FR"/>
        </w:rPr>
        <w:t xml:space="preserve"> pour un aperçu des routes de l</w:t>
      </w:r>
      <w:r w:rsidR="00F60EAA">
        <w:rPr>
          <w:lang w:val="fr-FR"/>
        </w:rPr>
        <w:t>’</w:t>
      </w:r>
      <w:r w:rsidR="00D301C6" w:rsidRPr="00D10EF8">
        <w:rPr>
          <w:lang w:val="fr-FR"/>
        </w:rPr>
        <w:t>esclavage.</w:t>
      </w:r>
    </w:p>
  </w:footnote>
  <w:footnote w:id="650">
    <w:p w14:paraId="2998EAF4" w14:textId="6F50705E" w:rsidR="00D301C6" w:rsidRPr="00DA5E7E" w:rsidRDefault="00D271B5" w:rsidP="005B4367">
      <w:pPr>
        <w:pStyle w:val="FootnoteText"/>
        <w:rPr>
          <w:lang w:val="en-US"/>
        </w:rPr>
      </w:pPr>
      <w:r w:rsidRPr="00D10EF8">
        <w:tab/>
      </w:r>
      <w:r w:rsidRPr="00093AC5">
        <w:rPr>
          <w:rStyle w:val="FootnoteReference"/>
        </w:rPr>
        <w:footnoteRef/>
      </w:r>
      <w:r w:rsidRPr="00DA5E7E">
        <w:rPr>
          <w:lang w:val="en-US"/>
        </w:rPr>
        <w:tab/>
      </w:r>
      <w:r w:rsidR="00D301C6" w:rsidRPr="00DA5E7E">
        <w:rPr>
          <w:lang w:val="en-US"/>
        </w:rPr>
        <w:t xml:space="preserve">Voir, par exemple, Ana Lucia Araujo, </w:t>
      </w:r>
      <w:r w:rsidR="00D301C6" w:rsidRPr="00DA5E7E">
        <w:rPr>
          <w:i/>
          <w:lang w:val="en-US"/>
        </w:rPr>
        <w:t>Reparations for Slavery and the Slave Trade: A Transnational and Comparative History</w:t>
      </w:r>
      <w:r w:rsidR="00D301C6" w:rsidRPr="00DA5E7E">
        <w:rPr>
          <w:lang w:val="en-US"/>
        </w:rPr>
        <w:t xml:space="preserve">, New York: Bloomsbury Academic, 2017, </w:t>
      </w:r>
      <w:r w:rsidR="002A7FA1" w:rsidRPr="00DA5E7E">
        <w:rPr>
          <w:lang w:val="en-US"/>
        </w:rPr>
        <w:t>p. </w:t>
      </w:r>
      <w:r w:rsidR="00D301C6" w:rsidRPr="00DA5E7E">
        <w:rPr>
          <w:lang w:val="en-US"/>
        </w:rPr>
        <w:t>42</w:t>
      </w:r>
      <w:r w:rsidR="005955D3">
        <w:rPr>
          <w:lang w:val="en-US"/>
        </w:rPr>
        <w:t xml:space="preserve"> et </w:t>
      </w:r>
      <w:r w:rsidR="00D301C6" w:rsidRPr="00DA5E7E">
        <w:rPr>
          <w:lang w:val="en-US"/>
        </w:rPr>
        <w:t>43.</w:t>
      </w:r>
    </w:p>
  </w:footnote>
  <w:footnote w:id="651">
    <w:p w14:paraId="6A7A4AD6" w14:textId="3AC21131" w:rsidR="00D301C6" w:rsidRPr="003D30D1" w:rsidRDefault="00D271B5" w:rsidP="005B4367">
      <w:pPr>
        <w:pStyle w:val="FootnoteText"/>
        <w:rPr>
          <w:lang w:val="fr-CA"/>
        </w:rPr>
      </w:pPr>
      <w:r w:rsidRPr="00DA5E7E">
        <w:rPr>
          <w:lang w:val="en-US"/>
        </w:rPr>
        <w:tab/>
      </w:r>
      <w:r w:rsidRPr="00093AC5">
        <w:rPr>
          <w:rStyle w:val="FootnoteReference"/>
        </w:rPr>
        <w:footnoteRef/>
      </w:r>
      <w:r w:rsidRPr="00D10EF8">
        <w:tab/>
      </w:r>
      <w:r w:rsidR="00D301C6" w:rsidRPr="00813782">
        <w:t>Déclaration et Programme d</w:t>
      </w:r>
      <w:r w:rsidR="00F60EAA">
        <w:t>’</w:t>
      </w:r>
      <w:r w:rsidR="00D301C6" w:rsidRPr="00813782">
        <w:t xml:space="preserve">action de Durban, </w:t>
      </w:r>
      <w:r w:rsidR="002A7FA1">
        <w:t>par. </w:t>
      </w:r>
      <w:r w:rsidR="00D301C6" w:rsidRPr="00813782">
        <w:t>13</w:t>
      </w:r>
    </w:p>
  </w:footnote>
  <w:footnote w:id="652">
    <w:p w14:paraId="7095D66C" w14:textId="05FE8A2A" w:rsidR="00D301C6" w:rsidRPr="00D10EF8" w:rsidRDefault="007F02E2" w:rsidP="005B4367">
      <w:pPr>
        <w:pStyle w:val="FootnoteText"/>
      </w:pPr>
      <w:r w:rsidRPr="00D10EF8">
        <w:tab/>
      </w:r>
      <w:r w:rsidRPr="00093AC5">
        <w:rPr>
          <w:rStyle w:val="FootnoteReference"/>
        </w:rPr>
        <w:footnoteRef/>
      </w:r>
      <w:r w:rsidRPr="00D10EF8">
        <w:tab/>
      </w:r>
      <w:r w:rsidR="00D301C6" w:rsidRPr="00D10EF8">
        <w:t>Déclaration et Programme d</w:t>
      </w:r>
      <w:r w:rsidR="00F60EAA">
        <w:t>’</w:t>
      </w:r>
      <w:r w:rsidR="00D301C6" w:rsidRPr="00D10EF8">
        <w:t xml:space="preserve">action de Durban, </w:t>
      </w:r>
      <w:r w:rsidR="002A7FA1">
        <w:t>par. </w:t>
      </w:r>
      <w:r w:rsidR="00D301C6" w:rsidRPr="00D10EF8">
        <w:t>14.</w:t>
      </w:r>
    </w:p>
  </w:footnote>
  <w:footnote w:id="653">
    <w:p w14:paraId="3F4FCF8A" w14:textId="2A158F46" w:rsidR="00D301C6" w:rsidRPr="00D10EF8" w:rsidRDefault="007F02E2" w:rsidP="005B4367">
      <w:pPr>
        <w:pStyle w:val="FootnoteText"/>
      </w:pPr>
      <w:r w:rsidRPr="00D10EF8">
        <w:tab/>
      </w:r>
      <w:r w:rsidRPr="00093AC5">
        <w:rPr>
          <w:rStyle w:val="FootnoteReference"/>
        </w:rPr>
        <w:footnoteRef/>
      </w:r>
      <w:r w:rsidRPr="00D10EF8">
        <w:tab/>
      </w:r>
      <w:r w:rsidR="00D301C6" w:rsidRPr="00D10EF8">
        <w:t>E/CN.4/2005/L.48.</w:t>
      </w:r>
    </w:p>
  </w:footnote>
  <w:footnote w:id="654">
    <w:p w14:paraId="73D9C6F5" w14:textId="7C3E6089" w:rsidR="00D301C6" w:rsidRPr="00D10EF8" w:rsidRDefault="007F02E2" w:rsidP="005B4367">
      <w:pPr>
        <w:pStyle w:val="FootnoteText"/>
      </w:pPr>
      <w:r w:rsidRPr="00D10EF8">
        <w:tab/>
      </w:r>
      <w:r w:rsidRPr="00093AC5">
        <w:rPr>
          <w:rStyle w:val="FootnoteReference"/>
        </w:rPr>
        <w:footnoteRef/>
      </w:r>
      <w:r w:rsidRPr="00D10EF8">
        <w:tab/>
      </w:r>
      <w:r w:rsidR="00D301C6" w:rsidRPr="00D10EF8">
        <w:t>E/CN.4/2005/L.48.</w:t>
      </w:r>
    </w:p>
  </w:footnote>
  <w:footnote w:id="655">
    <w:p w14:paraId="04B29F71" w14:textId="153DDA4F" w:rsidR="00D301C6" w:rsidRPr="00B62A60" w:rsidRDefault="007F02E2" w:rsidP="005B4367">
      <w:pPr>
        <w:pStyle w:val="FootnoteText"/>
        <w:rPr>
          <w:lang w:val="en-US"/>
        </w:rPr>
      </w:pPr>
      <w:r w:rsidRPr="00D10EF8">
        <w:tab/>
      </w:r>
      <w:r w:rsidRPr="00093AC5">
        <w:rPr>
          <w:rStyle w:val="FootnoteReference"/>
        </w:rPr>
        <w:footnoteRef/>
      </w:r>
      <w:r w:rsidRPr="00B62A60">
        <w:rPr>
          <w:lang w:val="en-US"/>
        </w:rPr>
        <w:tab/>
      </w:r>
      <w:hyperlink r:id="rId774" w:anchor="search=truth%20and%20justice%20commission" w:history="1">
        <w:r w:rsidR="00D301C6" w:rsidRPr="00B62A60">
          <w:rPr>
            <w:rStyle w:val="Hyperlink"/>
            <w:lang w:val="en-US"/>
          </w:rPr>
          <w:t>https://attorneygeneral.govmu.org/Documents/Laws%20of%20Mauritius/A-Z%20Acts/T/Tr/</w:t>
        </w:r>
        <w:r w:rsidR="00B62A60" w:rsidRPr="00B62A60">
          <w:rPr>
            <w:rStyle w:val="Hyperlink"/>
            <w:lang w:val="en-US"/>
          </w:rPr>
          <w:t xml:space="preserve"> </w:t>
        </w:r>
        <w:r w:rsidR="00D301C6" w:rsidRPr="00B62A60">
          <w:rPr>
            <w:rStyle w:val="Hyperlink"/>
            <w:lang w:val="en-US"/>
          </w:rPr>
          <w:t>TRUTHANDJUSTICECOMMISSIONACTNo28of2008.pdf#search=truth%20and%20justice</w:t>
        </w:r>
        <w:r w:rsidR="00B62A60">
          <w:rPr>
            <w:rStyle w:val="Hyperlink"/>
            <w:lang w:val="en-US"/>
          </w:rPr>
          <w:t xml:space="preserve"> </w:t>
        </w:r>
        <w:r w:rsidR="00D301C6" w:rsidRPr="00B62A60">
          <w:rPr>
            <w:rStyle w:val="Hyperlink"/>
            <w:lang w:val="en-US"/>
          </w:rPr>
          <w:t>%20commission</w:t>
        </w:r>
      </w:hyperlink>
      <w:r w:rsidR="00D301C6" w:rsidRPr="00B62A60">
        <w:rPr>
          <w:lang w:val="en-US"/>
        </w:rPr>
        <w:t>.</w:t>
      </w:r>
    </w:p>
  </w:footnote>
  <w:footnote w:id="656">
    <w:p w14:paraId="539B5E08" w14:textId="54CD0973" w:rsidR="00D301C6" w:rsidRPr="00D10EF8" w:rsidRDefault="007F02E2" w:rsidP="005B4367">
      <w:pPr>
        <w:pStyle w:val="FootnoteText"/>
      </w:pPr>
      <w:r w:rsidRPr="00B62A60">
        <w:rPr>
          <w:lang w:val="en-US"/>
        </w:rPr>
        <w:tab/>
      </w:r>
      <w:r w:rsidRPr="00093AC5">
        <w:rPr>
          <w:rStyle w:val="FootnoteReference"/>
        </w:rPr>
        <w:footnoteRef/>
      </w:r>
      <w:r w:rsidRPr="00D10EF8">
        <w:tab/>
      </w:r>
      <w:hyperlink r:id="rId775" w:history="1">
        <w:r w:rsidR="00D301C6" w:rsidRPr="00D10EF8">
          <w:rPr>
            <w:rStyle w:val="Hyperlink"/>
            <w:lang w:val="fr-FR"/>
          </w:rPr>
          <w:t>https://www.usip.org/publications/2012/02/truth-commission-mauritius</w:t>
        </w:r>
      </w:hyperlink>
      <w:r w:rsidR="00D301C6" w:rsidRPr="00D10EF8">
        <w:t>.</w:t>
      </w:r>
    </w:p>
  </w:footnote>
  <w:footnote w:id="657">
    <w:p w14:paraId="0A734AA7" w14:textId="0F89B593" w:rsidR="00D301C6" w:rsidRPr="00D10EF8" w:rsidRDefault="007F02E2" w:rsidP="005B4367">
      <w:pPr>
        <w:pStyle w:val="FootnoteText"/>
      </w:pPr>
      <w:r w:rsidRPr="00D10EF8">
        <w:tab/>
      </w:r>
      <w:r w:rsidRPr="00093AC5">
        <w:rPr>
          <w:rStyle w:val="FootnoteReference"/>
        </w:rPr>
        <w:footnoteRef/>
      </w:r>
      <w:r w:rsidRPr="00452177">
        <w:rPr>
          <w:lang w:val="en-US"/>
        </w:rPr>
        <w:tab/>
      </w:r>
      <w:hyperlink r:id="rId776" w:history="1">
        <w:r w:rsidR="00D301C6" w:rsidRPr="00452177">
          <w:rPr>
            <w:rStyle w:val="Hyperlink"/>
            <w:lang w:val="en-US"/>
          </w:rPr>
          <w:t>https://www.congress.gov/bill/117th-congress/house-bill/40?q=%7B%22search%22%3A%</w:t>
        </w:r>
        <w:r w:rsidR="00452177" w:rsidRPr="00452177">
          <w:rPr>
            <w:rStyle w:val="Hyperlink"/>
            <w:lang w:val="en-US"/>
          </w:rPr>
          <w:t xml:space="preserve"> </w:t>
        </w:r>
        <w:r w:rsidR="00D301C6" w:rsidRPr="00452177">
          <w:rPr>
            <w:rStyle w:val="Hyperlink"/>
            <w:lang w:val="en-US"/>
          </w:rPr>
          <w:t>5B%22reparations%22%5D%7D&amp;s=3&amp;r=2</w:t>
        </w:r>
      </w:hyperlink>
      <w:r w:rsidR="00D301C6" w:rsidRPr="00452177">
        <w:rPr>
          <w:lang w:val="en-US"/>
        </w:rPr>
        <w:t xml:space="preserve">. </w:t>
      </w:r>
      <w:r w:rsidR="00D301C6" w:rsidRPr="00D10EF8">
        <w:t xml:space="preserve">Voir également S.40, </w:t>
      </w:r>
      <w:r w:rsidR="00D301C6">
        <w:t xml:space="preserve">le </w:t>
      </w:r>
      <w:r w:rsidR="00D301C6" w:rsidRPr="00D410DA">
        <w:t>projet de loi du Sénat</w:t>
      </w:r>
      <w:r w:rsidR="00D301C6">
        <w:t xml:space="preserve"> qui l</w:t>
      </w:r>
      <w:r w:rsidR="00F60EAA">
        <w:t>’</w:t>
      </w:r>
      <w:r w:rsidR="00D301C6">
        <w:t>accompagne</w:t>
      </w:r>
      <w:r w:rsidR="00D301C6" w:rsidRPr="00D10EF8">
        <w:t>.</w:t>
      </w:r>
    </w:p>
  </w:footnote>
  <w:footnote w:id="658">
    <w:p w14:paraId="040391CF" w14:textId="080776DA" w:rsidR="00D301C6" w:rsidRPr="00D10EF8" w:rsidRDefault="007F02E2" w:rsidP="005B4367">
      <w:pPr>
        <w:pStyle w:val="FootnoteText"/>
      </w:pPr>
      <w:r w:rsidRPr="00D10EF8">
        <w:tab/>
      </w:r>
      <w:r w:rsidRPr="00093AC5">
        <w:rPr>
          <w:rStyle w:val="FootnoteReference"/>
        </w:rPr>
        <w:footnoteRef/>
      </w:r>
      <w:r w:rsidRPr="00D10EF8">
        <w:tab/>
      </w:r>
      <w:r w:rsidR="00D301C6" w:rsidRPr="00D10EF8">
        <w:t>Ibid.</w:t>
      </w:r>
    </w:p>
  </w:footnote>
  <w:footnote w:id="659">
    <w:p w14:paraId="17FD5AF7" w14:textId="310782C6" w:rsidR="00D301C6" w:rsidRPr="00D10EF8" w:rsidRDefault="007F02E2" w:rsidP="005B4367">
      <w:pPr>
        <w:pStyle w:val="FootnoteText"/>
      </w:pPr>
      <w:r w:rsidRPr="00D10EF8">
        <w:tab/>
      </w:r>
      <w:r w:rsidRPr="00093AC5">
        <w:rPr>
          <w:rStyle w:val="FootnoteReference"/>
        </w:rPr>
        <w:footnoteRef/>
      </w:r>
      <w:r w:rsidRPr="00452177">
        <w:rPr>
          <w:lang w:val="en-US"/>
        </w:rPr>
        <w:tab/>
      </w:r>
      <w:hyperlink r:id="rId777" w:history="1">
        <w:r w:rsidR="00D301C6" w:rsidRPr="00452177">
          <w:rPr>
            <w:rStyle w:val="Hyperlink"/>
            <w:lang w:val="en-US"/>
          </w:rPr>
          <w:t>https://www.congress.gov/bill/117th-congress/house-bill/40/all-actions?q=%7B%22search%</w:t>
        </w:r>
        <w:r w:rsidR="00452177" w:rsidRPr="00452177">
          <w:rPr>
            <w:rStyle w:val="Hyperlink"/>
            <w:lang w:val="en-US"/>
          </w:rPr>
          <w:t xml:space="preserve"> </w:t>
        </w:r>
        <w:r w:rsidR="00D301C6" w:rsidRPr="00452177">
          <w:rPr>
            <w:rStyle w:val="Hyperlink"/>
            <w:lang w:val="en-US"/>
          </w:rPr>
          <w:t>22%3A%5B%22reparations%22%5D%7D&amp;s=3&amp;r=2</w:t>
        </w:r>
      </w:hyperlink>
      <w:r w:rsidR="00D301C6" w:rsidRPr="00452177">
        <w:rPr>
          <w:lang w:val="en-US"/>
        </w:rPr>
        <w:t xml:space="preserve">. </w:t>
      </w:r>
      <w:r w:rsidR="00D301C6" w:rsidRPr="00D10EF8">
        <w:t xml:space="preserve">Voir également S.40, </w:t>
      </w:r>
      <w:r w:rsidR="00D301C6" w:rsidRPr="00D40676">
        <w:t>le projet de loi du Sénat qui l</w:t>
      </w:r>
      <w:r w:rsidR="00F60EAA">
        <w:t>’</w:t>
      </w:r>
      <w:r w:rsidR="00D301C6" w:rsidRPr="00D40676">
        <w:t>accompagne</w:t>
      </w:r>
      <w:r w:rsidR="00D301C6" w:rsidRPr="00D10EF8">
        <w:t>.</w:t>
      </w:r>
    </w:p>
  </w:footnote>
  <w:footnote w:id="660">
    <w:p w14:paraId="6D976203" w14:textId="4E56FB79" w:rsidR="00D301C6" w:rsidRPr="00452177" w:rsidRDefault="007F02E2" w:rsidP="005B4367">
      <w:pPr>
        <w:pStyle w:val="FootnoteText"/>
        <w:rPr>
          <w:lang w:val="en-US"/>
        </w:rPr>
      </w:pPr>
      <w:r w:rsidRPr="00D10EF8">
        <w:tab/>
      </w:r>
      <w:r w:rsidRPr="00093AC5">
        <w:rPr>
          <w:rStyle w:val="FootnoteReference"/>
        </w:rPr>
        <w:footnoteRef/>
      </w:r>
      <w:r w:rsidRPr="00452177">
        <w:rPr>
          <w:lang w:val="en-US"/>
        </w:rPr>
        <w:tab/>
      </w:r>
      <w:hyperlink r:id="rId778" w:history="1">
        <w:r w:rsidR="00D301C6" w:rsidRPr="00452177">
          <w:rPr>
            <w:rStyle w:val="Hyperlink"/>
            <w:lang w:val="en-US"/>
          </w:rPr>
          <w:t>https://www.congress.gov/bill/117th-congress/house-concurrent-resolution/19?q=%7B%22search%</w:t>
        </w:r>
        <w:r w:rsidR="00452177" w:rsidRPr="00452177">
          <w:rPr>
            <w:rStyle w:val="Hyperlink"/>
            <w:lang w:val="en-US"/>
          </w:rPr>
          <w:t xml:space="preserve"> </w:t>
        </w:r>
        <w:r w:rsidR="00D301C6" w:rsidRPr="00452177">
          <w:rPr>
            <w:rStyle w:val="Hyperlink"/>
            <w:lang w:val="en-US"/>
          </w:rPr>
          <w:t>22%3A%5B%22racial+healing%22%5D%7D&amp;s=6&amp;r=2</w:t>
        </w:r>
      </w:hyperlink>
      <w:r w:rsidR="00452177" w:rsidRPr="00452177">
        <w:rPr>
          <w:rStyle w:val="Hyperlink"/>
          <w:lang w:val="en-US"/>
        </w:rPr>
        <w:t>.</w:t>
      </w:r>
      <w:r w:rsidR="00D301C6" w:rsidRPr="00452177">
        <w:rPr>
          <w:lang w:val="en-US"/>
        </w:rPr>
        <w:t xml:space="preserve">  </w:t>
      </w:r>
    </w:p>
  </w:footnote>
  <w:footnote w:id="661">
    <w:p w14:paraId="6397F457" w14:textId="356931E8" w:rsidR="00D301C6" w:rsidRPr="00D10EF8" w:rsidRDefault="007F02E2" w:rsidP="00D8141A">
      <w:pPr>
        <w:pStyle w:val="FootnoteText"/>
        <w:suppressAutoHyphens w:val="0"/>
      </w:pPr>
      <w:r w:rsidRPr="00452177">
        <w:rPr>
          <w:lang w:val="en-US"/>
        </w:rPr>
        <w:tab/>
      </w:r>
      <w:r w:rsidRPr="00093AC5">
        <w:rPr>
          <w:rStyle w:val="FootnoteReference"/>
        </w:rPr>
        <w:footnoteRef/>
      </w:r>
      <w:r w:rsidRPr="00D10EF8">
        <w:tab/>
      </w:r>
      <w:hyperlink r:id="rId779" w:history="1">
        <w:r w:rsidR="00D301C6" w:rsidRPr="00D10EF8">
          <w:rPr>
            <w:rStyle w:val="Hyperlink"/>
            <w:lang w:val="fr-FR"/>
          </w:rPr>
          <w:t>https://msa.maryland.gov/lynching-truth-reconciliation/pdf/ch_41_hb0307t.pdf</w:t>
        </w:r>
      </w:hyperlink>
      <w:r w:rsidR="00BF73AB">
        <w:rPr>
          <w:rStyle w:val="Hyperlink"/>
          <w:lang w:val="fr-FR"/>
        </w:rPr>
        <w:t> </w:t>
      </w:r>
      <w:r w:rsidR="00BF73AB" w:rsidRPr="00D8141A">
        <w:rPr>
          <w:rStyle w:val="Hyperlink"/>
          <w:color w:val="auto"/>
          <w:lang w:val="fr-FR"/>
        </w:rPr>
        <w:t>;</w:t>
      </w:r>
      <w:r w:rsidR="00D301C6" w:rsidRPr="00D8141A">
        <w:rPr>
          <w:rStyle w:val="Hyperlink"/>
          <w:color w:val="auto"/>
          <w:lang w:val="fr-FR"/>
        </w:rPr>
        <w:t xml:space="preserve"> </w:t>
      </w:r>
      <w:r w:rsidR="00D301C6" w:rsidRPr="00D10EF8">
        <w:t xml:space="preserve"> </w:t>
      </w:r>
      <w:hyperlink r:id="rId780" w:history="1">
        <w:r w:rsidR="00D301C6" w:rsidRPr="00D10EF8">
          <w:rPr>
            <w:rStyle w:val="Hyperlink"/>
            <w:lang w:val="fr-FR"/>
          </w:rPr>
          <w:t>https://msa.maryland.gov/lynching-truth-reconciliation/pdf/interim-report.pdf</w:t>
        </w:r>
      </w:hyperlink>
      <w:r w:rsidR="00D301C6" w:rsidRPr="00D10EF8">
        <w:t xml:space="preserve">, </w:t>
      </w:r>
      <w:r w:rsidR="002A7FA1">
        <w:t>p. </w:t>
      </w:r>
      <w:r w:rsidR="00D301C6" w:rsidRPr="00D10EF8">
        <w:t xml:space="preserve">7. </w:t>
      </w:r>
      <w:r w:rsidR="00D301C6">
        <w:t>D</w:t>
      </w:r>
      <w:r w:rsidR="00F60EAA">
        <w:t>’</w:t>
      </w:r>
      <w:r w:rsidR="00D301C6">
        <w:t>autres initiatives comme</w:t>
      </w:r>
      <w:r w:rsidR="00D301C6" w:rsidRPr="00813782">
        <w:t xml:space="preserve"> la </w:t>
      </w:r>
      <w:r w:rsidR="00D301C6" w:rsidRPr="00396990">
        <w:t>Commission Vérité et réconciliation sur le lynchage</w:t>
      </w:r>
      <w:r w:rsidR="00D301C6">
        <w:t xml:space="preserve"> </w:t>
      </w:r>
      <w:r w:rsidR="00D301C6" w:rsidRPr="00093B76">
        <w:t>du comté d</w:t>
      </w:r>
      <w:r w:rsidR="00F60EAA">
        <w:t>’</w:t>
      </w:r>
      <w:r w:rsidR="00D301C6" w:rsidRPr="00093B76">
        <w:t>Howard</w:t>
      </w:r>
      <w:r w:rsidR="00A13ED4">
        <w:t> </w:t>
      </w:r>
      <w:r w:rsidR="00D301C6" w:rsidRPr="00093B76">
        <w:t>(</w:t>
      </w:r>
      <w:hyperlink r:id="rId781" w:history="1">
        <w:r w:rsidR="00D301C6" w:rsidRPr="00093B76">
          <w:rPr>
            <w:rStyle w:val="Hyperlink"/>
            <w:lang w:val="fr-FR"/>
          </w:rPr>
          <w:t>http://www.hocoltr.org/about/</w:t>
        </w:r>
      </w:hyperlink>
      <w:r w:rsidR="00D301C6" w:rsidRPr="00093B76">
        <w:t xml:space="preserve">) contribueront à ce travail. Voir également </w:t>
      </w:r>
      <w:hyperlink r:id="rId782" w:history="1">
        <w:r w:rsidR="00D301C6" w:rsidRPr="00093B76">
          <w:rPr>
            <w:rStyle w:val="Hyperlink"/>
            <w:lang w:val="fr-FR"/>
          </w:rPr>
          <w:t>https://www.mapcustomizer.com/map/US%20Truth%20and%20Reconciliation%20Initiatives</w:t>
        </w:r>
        <w:r w:rsidR="00A13ED4">
          <w:rPr>
            <w:rStyle w:val="Hyperlink"/>
            <w:lang w:val="fr-FR"/>
          </w:rPr>
          <w:t xml:space="preserve"> </w:t>
        </w:r>
        <w:r w:rsidR="00D301C6" w:rsidRPr="00093B76">
          <w:rPr>
            <w:rStyle w:val="Hyperlink"/>
            <w:lang w:val="fr-FR"/>
          </w:rPr>
          <w:t>%202020</w:t>
        </w:r>
      </w:hyperlink>
      <w:r w:rsidR="00D301C6" w:rsidRPr="00093B76">
        <w:t>.</w:t>
      </w:r>
    </w:p>
  </w:footnote>
  <w:footnote w:id="662">
    <w:p w14:paraId="57859322" w14:textId="1FC2B71A" w:rsidR="00D301C6" w:rsidRPr="00D10EF8" w:rsidRDefault="007F02E2" w:rsidP="005B4367">
      <w:pPr>
        <w:pStyle w:val="FootnoteText"/>
      </w:pPr>
      <w:r w:rsidRPr="00D10EF8">
        <w:tab/>
      </w:r>
      <w:r w:rsidRPr="00093AC5">
        <w:rPr>
          <w:rStyle w:val="FootnoteReference"/>
        </w:rPr>
        <w:footnoteRef/>
      </w:r>
      <w:r w:rsidRPr="00D10EF8">
        <w:tab/>
      </w:r>
      <w:hyperlink r:id="rId783" w:history="1">
        <w:r w:rsidR="00D301C6" w:rsidRPr="00D10EF8">
          <w:rPr>
            <w:rStyle w:val="Hyperlink"/>
            <w:lang w:val="fr-FR"/>
          </w:rPr>
          <w:t>https://columbiaandslavery.columbia.edu/content/about-project</w:t>
        </w:r>
      </w:hyperlink>
      <w:r w:rsidR="00D301C6" w:rsidRPr="00D10EF8">
        <w:rPr>
          <w:rStyle w:val="Hyperlink"/>
          <w:lang w:val="fr-FR"/>
        </w:rPr>
        <w:t>.</w:t>
      </w:r>
    </w:p>
  </w:footnote>
  <w:footnote w:id="663">
    <w:p w14:paraId="3A6A5DE9" w14:textId="6ED39A5F" w:rsidR="00D301C6" w:rsidRPr="00D10EF8" w:rsidRDefault="007F02E2" w:rsidP="005B4367">
      <w:pPr>
        <w:pStyle w:val="FootnoteText"/>
      </w:pPr>
      <w:r w:rsidRPr="00D10EF8">
        <w:tab/>
      </w:r>
      <w:r w:rsidRPr="00093AC5">
        <w:rPr>
          <w:rStyle w:val="FootnoteReference"/>
        </w:rPr>
        <w:footnoteRef/>
      </w:r>
      <w:r w:rsidRPr="00D10EF8">
        <w:tab/>
      </w:r>
      <w:hyperlink r:id="rId784" w:history="1">
        <w:r w:rsidR="00D301C6" w:rsidRPr="00D10EF8">
          <w:rPr>
            <w:rStyle w:val="Hyperlink"/>
            <w:lang w:val="fr-FR"/>
          </w:rPr>
          <w:t>https://www.legacyofslavery.radcliffe.harvard.edu/</w:t>
        </w:r>
      </w:hyperlink>
      <w:r w:rsidR="00D301C6" w:rsidRPr="00D10EF8">
        <w:t>.</w:t>
      </w:r>
    </w:p>
  </w:footnote>
  <w:footnote w:id="664">
    <w:p w14:paraId="1DA19654" w14:textId="55E3037D" w:rsidR="00D301C6" w:rsidRPr="00D10EF8" w:rsidRDefault="007F02E2" w:rsidP="005B4367">
      <w:pPr>
        <w:pStyle w:val="FootnoteText"/>
      </w:pPr>
      <w:r w:rsidRPr="00D10EF8">
        <w:tab/>
      </w:r>
      <w:r w:rsidRPr="00093AC5">
        <w:rPr>
          <w:rStyle w:val="FootnoteReference"/>
        </w:rPr>
        <w:footnoteRef/>
      </w:r>
      <w:r w:rsidRPr="00D10EF8">
        <w:tab/>
      </w:r>
      <w:hyperlink r:id="rId785" w:history="1">
        <w:r w:rsidR="00D301C6" w:rsidRPr="00A13ED4">
          <w:rPr>
            <w:rStyle w:val="FollowedHyperlink"/>
          </w:rPr>
          <w:t>https://especiales.comisiondelaverdad.co/la-verdad-del-pueblo-negro/</w:t>
        </w:r>
      </w:hyperlink>
      <w:r w:rsidR="00D301C6" w:rsidRPr="00A13ED4">
        <w:rPr>
          <w:rStyle w:val="FollowedHyperlink"/>
        </w:rPr>
        <w:t>.</w:t>
      </w:r>
    </w:p>
  </w:footnote>
  <w:footnote w:id="665">
    <w:p w14:paraId="5B10D075" w14:textId="3B2007AC" w:rsidR="00D301C6" w:rsidRPr="00D10EF8" w:rsidRDefault="007F02E2" w:rsidP="005B4367">
      <w:pPr>
        <w:pStyle w:val="FootnoteText"/>
      </w:pPr>
      <w:r w:rsidRPr="00D10EF8">
        <w:tab/>
      </w:r>
      <w:r w:rsidRPr="00093AC5">
        <w:rPr>
          <w:rStyle w:val="FootnoteReference"/>
        </w:rPr>
        <w:footnoteRef/>
      </w:r>
      <w:r w:rsidRPr="00D10EF8">
        <w:tab/>
      </w:r>
      <w:hyperlink r:id="rId786" w:history="1">
        <w:r w:rsidR="00D301C6" w:rsidRPr="00D10EF8">
          <w:rPr>
            <w:rStyle w:val="Hyperlink"/>
            <w:lang w:val="fr-FR"/>
          </w:rPr>
          <w:t>https://www.dekamer.be/FLWB/PDF/55/1462/55K1462001.pdf</w:t>
        </w:r>
      </w:hyperlink>
      <w:r w:rsidR="00D301C6" w:rsidRPr="00D10EF8">
        <w:rPr>
          <w:rStyle w:val="Hyperlink"/>
          <w:lang w:val="fr-FR"/>
        </w:rPr>
        <w:t xml:space="preserve">. Voir également </w:t>
      </w:r>
      <w:hyperlink r:id="rId787" w:history="1">
        <w:r w:rsidR="00D301C6" w:rsidRPr="00D10EF8">
          <w:rPr>
            <w:rStyle w:val="Hyperlink"/>
            <w:lang w:val="fr-FR"/>
          </w:rPr>
          <w:t>https://www.hrw.org/news/2020/06/30/belgium-moving-regrets-reparations</w:t>
        </w:r>
      </w:hyperlink>
      <w:r w:rsidR="00D301C6" w:rsidRPr="00D10EF8">
        <w:t>.</w:t>
      </w:r>
    </w:p>
  </w:footnote>
  <w:footnote w:id="666">
    <w:p w14:paraId="2F19FE55" w14:textId="0243E507" w:rsidR="00D301C6" w:rsidRPr="00D10EF8" w:rsidRDefault="007F02E2" w:rsidP="005B4367">
      <w:pPr>
        <w:pStyle w:val="FootnoteText"/>
      </w:pPr>
      <w:r w:rsidRPr="00D10EF8">
        <w:tab/>
      </w:r>
      <w:r w:rsidRPr="00093AC5">
        <w:rPr>
          <w:rStyle w:val="FootnoteReference"/>
        </w:rPr>
        <w:footnoteRef/>
      </w:r>
      <w:r w:rsidRPr="00D10EF8">
        <w:tab/>
      </w:r>
      <w:r w:rsidR="00D301C6" w:rsidRPr="00D10EF8">
        <w:t xml:space="preserve">Voir, plus généralement, A/HRC/42/59/Add.1, </w:t>
      </w:r>
      <w:r w:rsidR="002A7FA1">
        <w:t>par. </w:t>
      </w:r>
      <w:r w:rsidR="00D301C6" w:rsidRPr="00D10EF8">
        <w:t>7 à 12.</w:t>
      </w:r>
    </w:p>
  </w:footnote>
  <w:footnote w:id="667">
    <w:p w14:paraId="133ED6F4" w14:textId="3AB7B7B4" w:rsidR="00D301C6" w:rsidRPr="00A13ED4" w:rsidRDefault="007F02E2" w:rsidP="005B4367">
      <w:pPr>
        <w:pStyle w:val="FootnoteText"/>
        <w:rPr>
          <w:lang w:val="en-US"/>
        </w:rPr>
      </w:pPr>
      <w:r w:rsidRPr="00D10EF8">
        <w:tab/>
      </w:r>
      <w:r w:rsidRPr="00093AC5">
        <w:rPr>
          <w:rStyle w:val="FootnoteReference"/>
        </w:rPr>
        <w:footnoteRef/>
      </w:r>
      <w:r w:rsidRPr="00A13ED4">
        <w:rPr>
          <w:lang w:val="en-US"/>
        </w:rPr>
        <w:tab/>
      </w:r>
      <w:hyperlink r:id="rId788" w:anchor=":~:text=The%20statue%20of%20Leopold%20II%2C%20a%20Belgian%20king,racism%20in%20Belgium%20and%20has%20now%20been%20removed" w:history="1">
        <w:r w:rsidR="00D301C6" w:rsidRPr="00A13ED4">
          <w:rPr>
            <w:rStyle w:val="Hyperlink"/>
            <w:lang w:val="en-US"/>
          </w:rPr>
          <w:t>https://www.nytimes.com/2020/06/09/world/europe/king-leopold-statue-antwerp.html#:~:text</w:t>
        </w:r>
        <w:r w:rsidR="00A13ED4">
          <w:rPr>
            <w:rStyle w:val="Hyperlink"/>
            <w:lang w:val="en-US"/>
          </w:rPr>
          <w:t xml:space="preserve"> </w:t>
        </w:r>
        <w:r w:rsidR="00D301C6" w:rsidRPr="00A13ED4">
          <w:rPr>
            <w:rStyle w:val="Hyperlink"/>
            <w:lang w:val="en-US"/>
          </w:rPr>
          <w:t>=The%20statue%20of%20Leopold%20II%2C%20a%20Belgian%20king,racism%20in%20Belgium%20and%20has%20now%20been%20removed</w:t>
        </w:r>
      </w:hyperlink>
      <w:r w:rsidR="00BF73AB" w:rsidRPr="00A13ED4">
        <w:rPr>
          <w:rStyle w:val="Hyperlink"/>
          <w:lang w:val="en-US"/>
        </w:rPr>
        <w:t> </w:t>
      </w:r>
      <w:r w:rsidR="00BF73AB" w:rsidRPr="00A13ED4">
        <w:rPr>
          <w:rStyle w:val="Hyperlink"/>
          <w:color w:val="auto"/>
          <w:lang w:val="en-US"/>
        </w:rPr>
        <w:t>;</w:t>
      </w:r>
      <w:r w:rsidR="00D301C6" w:rsidRPr="00A13ED4">
        <w:rPr>
          <w:rStyle w:val="Hyperlink"/>
          <w:color w:val="auto"/>
          <w:lang w:val="en-US"/>
        </w:rPr>
        <w:t xml:space="preserve"> </w:t>
      </w:r>
      <w:r w:rsidR="00D301C6" w:rsidRPr="00A13ED4">
        <w:rPr>
          <w:rStyle w:val="Hyperlink"/>
          <w:lang w:val="en-US"/>
        </w:rPr>
        <w:t>https://www.theguardian.com/world/2020/jun/12/</w:t>
      </w:r>
      <w:r w:rsidR="00A13ED4">
        <w:rPr>
          <w:rStyle w:val="Hyperlink"/>
          <w:lang w:val="en-US"/>
        </w:rPr>
        <w:t xml:space="preserve"> </w:t>
      </w:r>
      <w:r w:rsidR="00D301C6" w:rsidRPr="00A13ED4">
        <w:rPr>
          <w:rStyle w:val="Hyperlink"/>
          <w:lang w:val="en-US"/>
        </w:rPr>
        <w:t>belgium-forced-to-reckon-with-leopolds-legacy-and-its-colonial-past</w:t>
      </w:r>
      <w:r w:rsidR="00D301C6" w:rsidRPr="00A13ED4">
        <w:rPr>
          <w:lang w:val="en-US"/>
        </w:rPr>
        <w:t>.</w:t>
      </w:r>
    </w:p>
  </w:footnote>
  <w:footnote w:id="668">
    <w:p w14:paraId="6CC8FA79" w14:textId="749EC5F6" w:rsidR="00D301C6" w:rsidRPr="00D10EF8" w:rsidRDefault="007F02E2" w:rsidP="005B4367">
      <w:pPr>
        <w:pStyle w:val="FootnoteText"/>
      </w:pPr>
      <w:r w:rsidRPr="00A13ED4">
        <w:rPr>
          <w:lang w:val="en-US"/>
        </w:rPr>
        <w:tab/>
      </w:r>
      <w:r w:rsidRPr="00093AC5">
        <w:rPr>
          <w:rStyle w:val="FootnoteReference"/>
        </w:rPr>
        <w:footnoteRef/>
      </w:r>
      <w:r w:rsidRPr="00D10EF8">
        <w:tab/>
      </w:r>
      <w:hyperlink r:id="rId789" w:history="1">
        <w:r w:rsidR="00D301C6" w:rsidRPr="00D10EF8">
          <w:rPr>
            <w:rStyle w:val="Hyperlink"/>
            <w:lang w:val="fr-FR"/>
          </w:rPr>
          <w:t>https://www.independent.co.uk/news/world/europe/belgium-king-leopold-statue-who-colonial-africa-congo-black-lives-matter-a9560291.html</w:t>
        </w:r>
      </w:hyperlink>
      <w:r w:rsidR="00D301C6" w:rsidRPr="00D10EF8">
        <w:t>.</w:t>
      </w:r>
    </w:p>
  </w:footnote>
  <w:footnote w:id="669">
    <w:p w14:paraId="753DD7C2" w14:textId="6298304B" w:rsidR="00D301C6" w:rsidRPr="00D10EF8" w:rsidRDefault="007F02E2" w:rsidP="005B4367">
      <w:pPr>
        <w:pStyle w:val="FootnoteText"/>
      </w:pPr>
      <w:r w:rsidRPr="00D10EF8">
        <w:tab/>
      </w:r>
      <w:r w:rsidRPr="00093AC5">
        <w:rPr>
          <w:rStyle w:val="FootnoteReference"/>
        </w:rPr>
        <w:footnoteRef/>
      </w:r>
      <w:r w:rsidRPr="00D10EF8">
        <w:tab/>
      </w:r>
      <w:hyperlink r:id="rId790" w:history="1">
        <w:r w:rsidR="00D301C6" w:rsidRPr="00D10EF8">
          <w:rPr>
            <w:rStyle w:val="Hyperlink"/>
            <w:lang w:val="fr-FR"/>
          </w:rPr>
          <w:t>https://apnews.com/article/europe-netherlands-race-and-ethnicity-health-coronavirus-pandemic-76fa36f730acd05d83ebf40ffefe31df</w:t>
        </w:r>
      </w:hyperlink>
      <w:r w:rsidR="00D301C6" w:rsidRPr="00D10EF8">
        <w:rPr>
          <w:rStyle w:val="Hyperlink"/>
          <w:lang w:val="fr-FR"/>
        </w:rPr>
        <w:t xml:space="preserve">. </w:t>
      </w:r>
      <w:r w:rsidR="00D301C6" w:rsidRPr="005E5808">
        <w:rPr>
          <w:rStyle w:val="Hyperlink"/>
          <w:color w:val="auto"/>
          <w:lang w:val="fr-FR"/>
        </w:rPr>
        <w:t xml:space="preserve">Voir également </w:t>
      </w:r>
      <w:hyperlink r:id="rId791" w:history="1">
        <w:r w:rsidR="00D301C6" w:rsidRPr="00D10EF8">
          <w:rPr>
            <w:rStyle w:val="Hyperlink"/>
            <w:lang w:val="fr-FR"/>
          </w:rPr>
          <w:t>https://www.rijksoverheid.nl/actueel/nieuws/</w:t>
        </w:r>
        <w:r w:rsidR="005E5808">
          <w:rPr>
            <w:rStyle w:val="Hyperlink"/>
            <w:lang w:val="fr-FR"/>
          </w:rPr>
          <w:t xml:space="preserve"> </w:t>
        </w:r>
        <w:r w:rsidR="00D301C6" w:rsidRPr="00D10EF8">
          <w:rPr>
            <w:rStyle w:val="Hyperlink"/>
            <w:lang w:val="fr-FR"/>
          </w:rPr>
          <w:t>2020/07/01/start-dialooggroep-slavernijverleden</w:t>
        </w:r>
      </w:hyperlink>
      <w:r w:rsidR="00D301C6" w:rsidRPr="00D10EF8">
        <w:t>.</w:t>
      </w:r>
    </w:p>
  </w:footnote>
  <w:footnote w:id="670">
    <w:p w14:paraId="608B2B94" w14:textId="12D889C6" w:rsidR="00D301C6" w:rsidRPr="00D10EF8" w:rsidRDefault="007F02E2" w:rsidP="005B4367">
      <w:pPr>
        <w:pStyle w:val="FootnoteText"/>
      </w:pPr>
      <w:r w:rsidRPr="00D10EF8">
        <w:tab/>
      </w:r>
      <w:r w:rsidRPr="00093AC5">
        <w:rPr>
          <w:rStyle w:val="FootnoteReference"/>
        </w:rPr>
        <w:footnoteRef/>
      </w:r>
      <w:r w:rsidRPr="00D10EF8">
        <w:tab/>
      </w:r>
      <w:hyperlink r:id="rId792" w:history="1">
        <w:r w:rsidR="00D301C6" w:rsidRPr="00D10EF8">
          <w:rPr>
            <w:rStyle w:val="Hyperlink"/>
            <w:lang w:val="fr-FR"/>
          </w:rPr>
          <w:t>https://www.rijksoverheid.nl/actueel/nieuws/2021/05/07/dialoog-slavernijverleden</w:t>
        </w:r>
      </w:hyperlink>
      <w:r w:rsidR="00D301C6" w:rsidRPr="00D10EF8">
        <w:rPr>
          <w:rStyle w:val="Hyperlink"/>
          <w:lang w:val="fr-FR"/>
        </w:rPr>
        <w:t>.</w:t>
      </w:r>
    </w:p>
  </w:footnote>
  <w:footnote w:id="671">
    <w:p w14:paraId="5613C194" w14:textId="159B837A" w:rsidR="00D301C6" w:rsidRPr="00D10EF8" w:rsidRDefault="007F02E2" w:rsidP="005B4367">
      <w:pPr>
        <w:pStyle w:val="FootnoteText"/>
      </w:pPr>
      <w:r w:rsidRPr="00D10EF8">
        <w:tab/>
      </w:r>
      <w:r w:rsidRPr="00093AC5">
        <w:rPr>
          <w:rStyle w:val="FootnoteReference"/>
        </w:rPr>
        <w:footnoteRef/>
      </w:r>
      <w:r w:rsidRPr="00D10EF8">
        <w:tab/>
      </w:r>
      <w:hyperlink r:id="rId793" w:history="1">
        <w:r w:rsidR="00D301C6" w:rsidRPr="00D10EF8">
          <w:rPr>
            <w:rStyle w:val="Hyperlink"/>
            <w:lang w:val="fr-FR"/>
          </w:rPr>
          <w:t>https://www.nationaalarchief.nl/en/slavery</w:t>
        </w:r>
      </w:hyperlink>
      <w:r w:rsidR="00D301C6" w:rsidRPr="00D10EF8">
        <w:rPr>
          <w:rStyle w:val="Hyperlink"/>
          <w:lang w:val="fr-FR"/>
        </w:rPr>
        <w:t>.</w:t>
      </w:r>
      <w:r w:rsidR="00D301C6" w:rsidRPr="00D10EF8">
        <w:t xml:space="preserve"> </w:t>
      </w:r>
      <w:r w:rsidR="00D301C6" w:rsidRPr="00D10EF8">
        <w:rPr>
          <w:rStyle w:val="Hyperlink"/>
          <w:lang w:val="fr-FR"/>
        </w:rPr>
        <w:t>Voir également A/HRC/30/56/Add.1</w:t>
      </w:r>
      <w:r w:rsidR="00D301C6" w:rsidRPr="005E5808">
        <w:rPr>
          <w:rStyle w:val="Hyperlink"/>
          <w:color w:val="auto"/>
          <w:lang w:val="fr-FR"/>
        </w:rPr>
        <w:t xml:space="preserve">, </w:t>
      </w:r>
      <w:r w:rsidR="002A7FA1" w:rsidRPr="005E5808">
        <w:rPr>
          <w:rStyle w:val="Hyperlink"/>
          <w:color w:val="auto"/>
          <w:lang w:val="fr-FR"/>
        </w:rPr>
        <w:t>par. </w:t>
      </w:r>
      <w:r w:rsidR="00D301C6" w:rsidRPr="005E5808">
        <w:rPr>
          <w:rStyle w:val="Hyperlink"/>
          <w:color w:val="auto"/>
          <w:lang w:val="fr-FR"/>
        </w:rPr>
        <w:t>67</w:t>
      </w:r>
      <w:r w:rsidR="00D301C6" w:rsidRPr="005E5808">
        <w:t>.</w:t>
      </w:r>
    </w:p>
  </w:footnote>
  <w:footnote w:id="672">
    <w:p w14:paraId="4EF62B6C" w14:textId="7B770530" w:rsidR="00D301C6" w:rsidRPr="00C33924" w:rsidRDefault="007F02E2" w:rsidP="003E74F9">
      <w:pPr>
        <w:pStyle w:val="FootnoteText"/>
        <w:suppressAutoHyphens w:val="0"/>
        <w:rPr>
          <w:lang w:val="en-US"/>
        </w:rPr>
      </w:pPr>
      <w:r w:rsidRPr="00D10EF8">
        <w:tab/>
      </w:r>
      <w:r w:rsidRPr="00093AC5">
        <w:rPr>
          <w:rStyle w:val="FootnoteReference"/>
        </w:rPr>
        <w:footnoteRef/>
      </w:r>
      <w:r w:rsidRPr="00C33924">
        <w:rPr>
          <w:lang w:val="en-US"/>
        </w:rPr>
        <w:tab/>
      </w:r>
      <w:hyperlink r:id="rId794" w:anchor=":~:text=Amsterdam%20Considers%20Apology%20for%20Slavery%20in%20Former%20Colony,including%20the%20Royal%20Palace%2C%20center%2C%20on%20Dam%20Square" w:history="1">
        <w:r w:rsidR="00D301C6" w:rsidRPr="00C33924">
          <w:rPr>
            <w:rStyle w:val="Hyperlink"/>
            <w:lang w:val="en-US"/>
          </w:rPr>
          <w:t>https://www.nytimes.com/2020/02/10/world/europe/amsterdam-considers-apology-for-slavery-in-former-colony.html#:~:text=Amsterdam%20Considers%20Apology%20for%20Slavery%20in</w:t>
        </w:r>
        <w:r w:rsidR="00C33924">
          <w:rPr>
            <w:rStyle w:val="Hyperlink"/>
            <w:lang w:val="en-US"/>
          </w:rPr>
          <w:t xml:space="preserve"> </w:t>
        </w:r>
        <w:r w:rsidR="00D301C6" w:rsidRPr="00C33924">
          <w:rPr>
            <w:rStyle w:val="Hyperlink"/>
            <w:lang w:val="en-US"/>
          </w:rPr>
          <w:t>%20Former%20Colony,including%20the%20Royal%20Palace%2C%20center%2C%20on%20</w:t>
        </w:r>
        <w:r w:rsidR="00C33924">
          <w:rPr>
            <w:rStyle w:val="Hyperlink"/>
            <w:lang w:val="en-US"/>
          </w:rPr>
          <w:t xml:space="preserve"> </w:t>
        </w:r>
        <w:r w:rsidR="00D301C6" w:rsidRPr="00C33924">
          <w:rPr>
            <w:rStyle w:val="Hyperlink"/>
            <w:lang w:val="en-US"/>
          </w:rPr>
          <w:t>Dam%20Square</w:t>
        </w:r>
      </w:hyperlink>
      <w:r w:rsidR="00BF73AB" w:rsidRPr="00C33924">
        <w:rPr>
          <w:lang w:val="en-US"/>
        </w:rPr>
        <w:t> ;</w:t>
      </w:r>
      <w:r w:rsidR="00D301C6" w:rsidRPr="00C33924">
        <w:rPr>
          <w:lang w:val="en-US"/>
        </w:rPr>
        <w:t xml:space="preserve"> </w:t>
      </w:r>
      <w:hyperlink r:id="rId795" w:history="1">
        <w:r w:rsidR="00D301C6" w:rsidRPr="00C33924">
          <w:rPr>
            <w:rStyle w:val="Hyperlink"/>
            <w:lang w:val="en-US"/>
          </w:rPr>
          <w:t>https://apnews.com/article/76fa36f730acd05d83ebf40ffefe31df</w:t>
        </w:r>
      </w:hyperlink>
      <w:r w:rsidR="00BF73AB" w:rsidRPr="00C33924">
        <w:rPr>
          <w:rStyle w:val="Hyperlink"/>
          <w:color w:val="auto"/>
          <w:lang w:val="en-US"/>
        </w:rPr>
        <w:t> ;</w:t>
      </w:r>
      <w:r w:rsidR="00D301C6" w:rsidRPr="00C33924">
        <w:rPr>
          <w:rStyle w:val="Hyperlink"/>
          <w:lang w:val="en-US"/>
        </w:rPr>
        <w:t xml:space="preserve"> https://nos.nl/</w:t>
      </w:r>
      <w:r w:rsidR="00C33924">
        <w:rPr>
          <w:rStyle w:val="Hyperlink"/>
          <w:lang w:val="en-US"/>
        </w:rPr>
        <w:t xml:space="preserve"> </w:t>
      </w:r>
      <w:r w:rsidR="00D301C6" w:rsidRPr="00C33924">
        <w:rPr>
          <w:rStyle w:val="Hyperlink"/>
          <w:lang w:val="en-US"/>
        </w:rPr>
        <w:t>artikel/2364305-rotterdam-overweegt-aanbieden-excuses-voor-slavernijverleden</w:t>
      </w:r>
      <w:r w:rsidR="00D301C6" w:rsidRPr="00C33924">
        <w:rPr>
          <w:lang w:val="en-US"/>
        </w:rPr>
        <w:t>.</w:t>
      </w:r>
    </w:p>
  </w:footnote>
  <w:footnote w:id="673">
    <w:p w14:paraId="54ECB436" w14:textId="10E1D952" w:rsidR="00D301C6" w:rsidRPr="00C33924" w:rsidRDefault="007F02E2" w:rsidP="005B4367">
      <w:pPr>
        <w:pStyle w:val="FootnoteText"/>
        <w:rPr>
          <w:lang w:val="en-US"/>
        </w:rPr>
      </w:pPr>
      <w:r w:rsidRPr="00C33924">
        <w:rPr>
          <w:lang w:val="en-US"/>
        </w:rPr>
        <w:tab/>
      </w:r>
      <w:r w:rsidRPr="00093AC5">
        <w:rPr>
          <w:rStyle w:val="FootnoteReference"/>
        </w:rPr>
        <w:footnoteRef/>
      </w:r>
      <w:r w:rsidRPr="00C33924">
        <w:rPr>
          <w:lang w:val="en-US"/>
        </w:rPr>
        <w:tab/>
      </w:r>
      <w:hyperlink r:id="rId796" w:history="1">
        <w:r w:rsidR="00D301C6" w:rsidRPr="00C33924">
          <w:rPr>
            <w:rStyle w:val="Hyperlink"/>
            <w:lang w:val="en-US"/>
          </w:rPr>
          <w:t>https://www.rijksmuseum.nl/en/whats-on/exhibitions/slavery</w:t>
        </w:r>
      </w:hyperlink>
      <w:r w:rsidR="00BF73AB" w:rsidRPr="00C33924">
        <w:rPr>
          <w:lang w:val="en-US"/>
        </w:rPr>
        <w:t> ;</w:t>
      </w:r>
      <w:r w:rsidR="00D301C6" w:rsidRPr="00C33924">
        <w:rPr>
          <w:lang w:val="en-US"/>
        </w:rPr>
        <w:t xml:space="preserve"> </w:t>
      </w:r>
      <w:hyperlink r:id="rId797" w:history="1">
        <w:r w:rsidR="00D301C6" w:rsidRPr="00C33924">
          <w:rPr>
            <w:rStyle w:val="Hyperlink"/>
            <w:lang w:val="en-US"/>
          </w:rPr>
          <w:t>https://www.theguardian.com/world/</w:t>
        </w:r>
        <w:r w:rsidR="00C33924">
          <w:rPr>
            <w:rStyle w:val="Hyperlink"/>
            <w:lang w:val="en-US"/>
          </w:rPr>
          <w:t xml:space="preserve"> </w:t>
        </w:r>
        <w:r w:rsidR="00D301C6" w:rsidRPr="00C33924">
          <w:rPr>
            <w:rStyle w:val="Hyperlink"/>
            <w:lang w:val="en-US"/>
          </w:rPr>
          <w:t>2021/may/18/rijksmuseum-slavery-exhibition-confronts-cruelty-of-dutch-trade</w:t>
        </w:r>
      </w:hyperlink>
      <w:r w:rsidR="00D301C6" w:rsidRPr="00C33924">
        <w:rPr>
          <w:lang w:val="en-US"/>
        </w:rPr>
        <w:t>.</w:t>
      </w:r>
    </w:p>
  </w:footnote>
  <w:footnote w:id="674">
    <w:p w14:paraId="17CA5DA0" w14:textId="31942735" w:rsidR="00D301C6" w:rsidRPr="00D10EF8" w:rsidRDefault="007F02E2" w:rsidP="005B4367">
      <w:pPr>
        <w:pStyle w:val="FootnoteText"/>
      </w:pPr>
      <w:r w:rsidRPr="00C33924">
        <w:rPr>
          <w:lang w:val="en-US"/>
        </w:rPr>
        <w:tab/>
      </w:r>
      <w:r w:rsidRPr="00093AC5">
        <w:rPr>
          <w:rStyle w:val="FootnoteReference"/>
        </w:rPr>
        <w:footnoteRef/>
      </w:r>
      <w:r w:rsidRPr="00D10EF8">
        <w:tab/>
      </w:r>
      <w:hyperlink r:id="rId798" w:history="1">
        <w:r w:rsidR="00D301C6" w:rsidRPr="00D10EF8">
          <w:rPr>
            <w:rStyle w:val="Hyperlink"/>
            <w:lang w:val="fr-FR"/>
          </w:rPr>
          <w:t>https://www.europarl.europa.eu/doceo/document/TA-9-2020-0173_FR.html</w:t>
        </w:r>
      </w:hyperlink>
      <w:r w:rsidR="00D301C6" w:rsidRPr="00D10EF8">
        <w:rPr>
          <w:lang w:val="fr-FR"/>
        </w:rPr>
        <w:t>.</w:t>
      </w:r>
    </w:p>
  </w:footnote>
  <w:footnote w:id="675">
    <w:p w14:paraId="49768D14" w14:textId="77CD1614" w:rsidR="00D301C6" w:rsidRPr="00D10EF8" w:rsidRDefault="007F02E2" w:rsidP="005B4367">
      <w:pPr>
        <w:pStyle w:val="FootnoteText"/>
      </w:pPr>
      <w:r w:rsidRPr="00D10EF8">
        <w:tab/>
      </w:r>
      <w:r w:rsidRPr="00093AC5">
        <w:rPr>
          <w:rStyle w:val="FootnoteReference"/>
        </w:rPr>
        <w:footnoteRef/>
      </w:r>
      <w:r w:rsidRPr="00D10EF8">
        <w:tab/>
      </w:r>
      <w:hyperlink r:id="rId799" w:history="1">
        <w:r w:rsidR="00D301C6" w:rsidRPr="00C33924">
          <w:rPr>
            <w:rStyle w:val="Hyperlink"/>
          </w:rPr>
          <w:t>https://www.legifrance.gouv.fr/jorf/id/JORFTEXT000000405369/</w:t>
        </w:r>
      </w:hyperlink>
      <w:r w:rsidR="00D301C6" w:rsidRPr="00D10EF8">
        <w:rPr>
          <w:lang w:val="fr-FR"/>
        </w:rPr>
        <w:t>.</w:t>
      </w:r>
    </w:p>
  </w:footnote>
  <w:footnote w:id="676">
    <w:p w14:paraId="640F1CD1" w14:textId="18ACF923" w:rsidR="00D301C6" w:rsidRPr="00D10EF8" w:rsidRDefault="007F02E2" w:rsidP="005B4367">
      <w:pPr>
        <w:pStyle w:val="FootnoteText"/>
      </w:pPr>
      <w:r w:rsidRPr="00D10EF8">
        <w:tab/>
      </w:r>
      <w:r w:rsidRPr="00093AC5">
        <w:rPr>
          <w:rStyle w:val="FootnoteReference"/>
        </w:rPr>
        <w:footnoteRef/>
      </w:r>
      <w:r w:rsidRPr="00D10EF8">
        <w:tab/>
      </w:r>
      <w:hyperlink r:id="rId800" w:history="1">
        <w:r w:rsidR="00D301C6" w:rsidRPr="00D10EF8">
          <w:rPr>
            <w:rStyle w:val="Hyperlink"/>
            <w:lang w:val="fr-FR"/>
          </w:rPr>
          <w:t>https://www.congress.gov/bill/109th-congress/senate-resolution/39</w:t>
        </w:r>
      </w:hyperlink>
      <w:r w:rsidR="00D301C6" w:rsidRPr="00D10EF8">
        <w:t>.</w:t>
      </w:r>
    </w:p>
  </w:footnote>
  <w:footnote w:id="677">
    <w:p w14:paraId="32D174FD" w14:textId="53B27152" w:rsidR="00D301C6" w:rsidRPr="00D10EF8" w:rsidRDefault="007F02E2" w:rsidP="005B4367">
      <w:pPr>
        <w:pStyle w:val="FootnoteText"/>
      </w:pPr>
      <w:r w:rsidRPr="00D10EF8">
        <w:tab/>
      </w:r>
      <w:r w:rsidRPr="00093AC5">
        <w:rPr>
          <w:rStyle w:val="FootnoteReference"/>
        </w:rPr>
        <w:footnoteRef/>
      </w:r>
      <w:r w:rsidRPr="00D10EF8">
        <w:tab/>
      </w:r>
      <w:hyperlink r:id="rId801" w:history="1">
        <w:r w:rsidR="00D301C6" w:rsidRPr="00D10EF8">
          <w:rPr>
            <w:rStyle w:val="Hyperlink"/>
            <w:lang w:val="fr-FR"/>
          </w:rPr>
          <w:t>https://www.congress.gov/bill/111th-congress/senate-concurrent-resolution/26</w:t>
        </w:r>
      </w:hyperlink>
      <w:r w:rsidR="00D301C6" w:rsidRPr="00D10EF8">
        <w:t>.</w:t>
      </w:r>
    </w:p>
  </w:footnote>
  <w:footnote w:id="678">
    <w:p w14:paraId="2881D971" w14:textId="5E634747" w:rsidR="00D301C6" w:rsidRPr="00D10EF8" w:rsidRDefault="007F02E2" w:rsidP="005B4367">
      <w:pPr>
        <w:pStyle w:val="FootnoteText"/>
      </w:pPr>
      <w:r w:rsidRPr="00D10EF8">
        <w:tab/>
      </w:r>
      <w:r w:rsidRPr="00093AC5">
        <w:rPr>
          <w:rStyle w:val="FootnoteReference"/>
        </w:rPr>
        <w:footnoteRef/>
      </w:r>
      <w:r w:rsidRPr="00D10EF8">
        <w:tab/>
      </w:r>
      <w:hyperlink r:id="rId802" w:history="1">
        <w:r w:rsidR="00D301C6" w:rsidRPr="00D10EF8">
          <w:rPr>
            <w:rStyle w:val="Hyperlink"/>
            <w:lang w:val="fr-FR"/>
          </w:rPr>
          <w:t>https://www.congress.gov/bill/110th-congress/house-resolution/194/text</w:t>
        </w:r>
      </w:hyperlink>
      <w:r w:rsidR="00D301C6" w:rsidRPr="00D10EF8">
        <w:t>.</w:t>
      </w:r>
    </w:p>
  </w:footnote>
  <w:footnote w:id="679">
    <w:p w14:paraId="187F7B20" w14:textId="68999E2A" w:rsidR="00D301C6" w:rsidRPr="00F25103" w:rsidRDefault="007F02E2" w:rsidP="005B4367">
      <w:pPr>
        <w:pStyle w:val="FootnoteText"/>
        <w:rPr>
          <w:lang w:val="en-US"/>
        </w:rPr>
      </w:pPr>
      <w:r w:rsidRPr="00D10EF8">
        <w:tab/>
      </w:r>
      <w:r w:rsidRPr="00093AC5">
        <w:rPr>
          <w:rStyle w:val="FootnoteReference"/>
        </w:rPr>
        <w:footnoteRef/>
      </w:r>
      <w:r w:rsidRPr="00F25103">
        <w:rPr>
          <w:lang w:val="en-US"/>
        </w:rPr>
        <w:tab/>
      </w:r>
      <w:r w:rsidRPr="00F25103">
        <w:rPr>
          <w:lang w:val="en-US"/>
        </w:rPr>
        <w:tab/>
      </w:r>
      <w:r w:rsidR="00D301C6" w:rsidRPr="00F25103">
        <w:rPr>
          <w:lang w:val="en-US"/>
        </w:rPr>
        <w:t xml:space="preserve">Voir, par exemple, </w:t>
      </w:r>
      <w:hyperlink r:id="rId803" w:history="1">
        <w:r w:rsidR="00D301C6" w:rsidRPr="00F25103">
          <w:rPr>
            <w:rStyle w:val="Hyperlink"/>
            <w:lang w:val="en-US"/>
          </w:rPr>
          <w:t>https://lis.virginia.gov/cgi-bin/legp604.exe?071+ful+HJ728ER</w:t>
        </w:r>
      </w:hyperlink>
      <w:r w:rsidR="00BF73AB" w:rsidRPr="00F25103">
        <w:rPr>
          <w:lang w:val="en-US"/>
        </w:rPr>
        <w:t> ;</w:t>
      </w:r>
      <w:r w:rsidR="00D301C6" w:rsidRPr="00F25103">
        <w:rPr>
          <w:lang w:val="en-US"/>
        </w:rPr>
        <w:t xml:space="preserve"> </w:t>
      </w:r>
      <w:hyperlink r:id="rId804" w:history="1">
        <w:r w:rsidR="00D301C6" w:rsidRPr="00F25103">
          <w:rPr>
            <w:rStyle w:val="Hyperlink"/>
            <w:lang w:val="en-US"/>
          </w:rPr>
          <w:t>https://mgaleg.maryland.gov/2007RS/bills/hj/hj0004t.pdf</w:t>
        </w:r>
      </w:hyperlink>
      <w:r w:rsidR="00BF73AB" w:rsidRPr="00F25103">
        <w:rPr>
          <w:rStyle w:val="Hyperlink"/>
          <w:lang w:val="en-US"/>
        </w:rPr>
        <w:t> </w:t>
      </w:r>
      <w:r w:rsidR="00BF73AB" w:rsidRPr="00F25103">
        <w:rPr>
          <w:rStyle w:val="Hyperlink"/>
          <w:color w:val="auto"/>
          <w:lang w:val="en-US"/>
        </w:rPr>
        <w:t>;</w:t>
      </w:r>
      <w:r w:rsidR="00D301C6" w:rsidRPr="00F25103">
        <w:rPr>
          <w:lang w:val="en-US"/>
        </w:rPr>
        <w:t xml:space="preserve"> </w:t>
      </w:r>
      <w:hyperlink r:id="rId805" w:history="1">
        <w:r w:rsidR="00D301C6" w:rsidRPr="00F25103">
          <w:rPr>
            <w:rStyle w:val="Hyperlink"/>
            <w:lang w:val="en-US"/>
          </w:rPr>
          <w:t>https://mgaleg.maryland.gov/mgawebsite/</w:t>
        </w:r>
        <w:r w:rsidR="00F25103" w:rsidRPr="00F25103">
          <w:rPr>
            <w:rStyle w:val="Hyperlink"/>
            <w:lang w:val="en-US"/>
          </w:rPr>
          <w:t xml:space="preserve"> </w:t>
        </w:r>
        <w:r w:rsidR="00D301C6" w:rsidRPr="00F25103">
          <w:rPr>
            <w:rStyle w:val="Hyperlink"/>
            <w:lang w:val="en-US"/>
          </w:rPr>
          <w:t>Search/Legislation?target=/2007rs/billfile/sj0006.htm</w:t>
        </w:r>
      </w:hyperlink>
      <w:r w:rsidR="00BF73AB" w:rsidRPr="00F25103">
        <w:rPr>
          <w:rStyle w:val="Hyperlink"/>
          <w:lang w:val="en-US"/>
        </w:rPr>
        <w:t> </w:t>
      </w:r>
      <w:r w:rsidR="00BF73AB" w:rsidRPr="00F25103">
        <w:rPr>
          <w:rStyle w:val="Hyperlink"/>
          <w:color w:val="auto"/>
          <w:lang w:val="en-US"/>
        </w:rPr>
        <w:t>;</w:t>
      </w:r>
      <w:r w:rsidR="00D301C6" w:rsidRPr="00F25103">
        <w:rPr>
          <w:lang w:val="en-US"/>
        </w:rPr>
        <w:t xml:space="preserve"> </w:t>
      </w:r>
      <w:hyperlink r:id="rId806" w:history="1">
        <w:r w:rsidR="00D301C6" w:rsidRPr="00F25103">
          <w:rPr>
            <w:rStyle w:val="Hyperlink"/>
            <w:lang w:val="en-US"/>
          </w:rPr>
          <w:t>https://www.ictj.org/sites/default/files/</w:t>
        </w:r>
        <w:r w:rsidR="00F25103" w:rsidRPr="00F25103">
          <w:rPr>
            <w:rStyle w:val="Hyperlink"/>
            <w:lang w:val="en-US"/>
          </w:rPr>
          <w:t xml:space="preserve"> </w:t>
        </w:r>
        <w:r w:rsidR="00D301C6" w:rsidRPr="00F25103">
          <w:rPr>
            <w:rStyle w:val="Hyperlink"/>
            <w:lang w:val="en-US"/>
          </w:rPr>
          <w:t>ICTJ_Briefing_TJ_US_Race.pdf</w:t>
        </w:r>
      </w:hyperlink>
      <w:r w:rsidR="00D301C6" w:rsidRPr="00F25103">
        <w:rPr>
          <w:lang w:val="en-US"/>
        </w:rPr>
        <w:t xml:space="preserve">, </w:t>
      </w:r>
      <w:r w:rsidR="002A7FA1" w:rsidRPr="00F25103">
        <w:rPr>
          <w:lang w:val="en-US"/>
        </w:rPr>
        <w:t>p. </w:t>
      </w:r>
      <w:r w:rsidR="00D301C6" w:rsidRPr="00F25103">
        <w:rPr>
          <w:lang w:val="en-US"/>
        </w:rPr>
        <w:t>8.</w:t>
      </w:r>
    </w:p>
  </w:footnote>
  <w:footnote w:id="680">
    <w:p w14:paraId="6DA34181" w14:textId="68559822" w:rsidR="00D301C6" w:rsidRPr="00F25103" w:rsidRDefault="007F02E2" w:rsidP="005B4367">
      <w:pPr>
        <w:pStyle w:val="FootnoteText"/>
        <w:rPr>
          <w:lang w:val="en-US"/>
        </w:rPr>
      </w:pPr>
      <w:r w:rsidRPr="00F25103">
        <w:rPr>
          <w:lang w:val="en-US"/>
        </w:rPr>
        <w:tab/>
      </w:r>
      <w:r w:rsidRPr="00093AC5">
        <w:rPr>
          <w:rStyle w:val="FootnoteReference"/>
        </w:rPr>
        <w:footnoteRef/>
      </w:r>
      <w:r w:rsidRPr="00F25103">
        <w:rPr>
          <w:lang w:val="en-US"/>
        </w:rPr>
        <w:tab/>
      </w:r>
      <w:r w:rsidR="00D301C6" w:rsidRPr="00F25103">
        <w:rPr>
          <w:lang w:val="en-US"/>
        </w:rPr>
        <w:t xml:space="preserve">Voir, par exemple, </w:t>
      </w:r>
      <w:hyperlink r:id="rId807" w:history="1">
        <w:r w:rsidR="00D301C6" w:rsidRPr="00F25103">
          <w:rPr>
            <w:rStyle w:val="Hyperlink"/>
            <w:lang w:val="en-US"/>
          </w:rPr>
          <w:t>https://charlottenc.gov/CityClerk/Minutes/August%2010,%202020.pdf</w:t>
        </w:r>
      </w:hyperlink>
      <w:r w:rsidR="00D301C6" w:rsidRPr="00F25103">
        <w:rPr>
          <w:lang w:val="en-US"/>
        </w:rPr>
        <w:t xml:space="preserve">, </w:t>
      </w:r>
      <w:r w:rsidR="002A7FA1" w:rsidRPr="00F25103">
        <w:rPr>
          <w:lang w:val="en-US"/>
        </w:rPr>
        <w:t>p. </w:t>
      </w:r>
      <w:r w:rsidR="00D301C6" w:rsidRPr="00F25103">
        <w:rPr>
          <w:lang w:val="en-US"/>
        </w:rPr>
        <w:t>611</w:t>
      </w:r>
      <w:r w:rsidR="00BF73AB" w:rsidRPr="00F25103">
        <w:rPr>
          <w:lang w:val="en-US"/>
        </w:rPr>
        <w:t> ;</w:t>
      </w:r>
      <w:r w:rsidR="00D301C6" w:rsidRPr="00F25103">
        <w:rPr>
          <w:rStyle w:val="Hyperlink"/>
          <w:lang w:val="en-US"/>
        </w:rPr>
        <w:t xml:space="preserve"> </w:t>
      </w:r>
      <w:hyperlink r:id="rId808" w:history="1">
        <w:r w:rsidR="00D301C6" w:rsidRPr="00F25103">
          <w:rPr>
            <w:rStyle w:val="Hyperlink"/>
            <w:lang w:val="en-US"/>
          </w:rPr>
          <w:t>https://www.msn.com/en-us/news/us/charlottes-mayor-apologized-for-the-citys-role-in-systemic-racism-what-comes-next/ar-BB181ILJ</w:t>
        </w:r>
      </w:hyperlink>
      <w:r w:rsidR="00BF73AB" w:rsidRPr="00F25103">
        <w:rPr>
          <w:rStyle w:val="Hyperlink"/>
          <w:lang w:val="en-US"/>
        </w:rPr>
        <w:t> </w:t>
      </w:r>
      <w:r w:rsidR="00BF73AB" w:rsidRPr="00F25103">
        <w:rPr>
          <w:rStyle w:val="Hyperlink"/>
          <w:color w:val="auto"/>
          <w:lang w:val="en-US"/>
        </w:rPr>
        <w:t>;</w:t>
      </w:r>
      <w:r w:rsidR="00D301C6" w:rsidRPr="00F25103">
        <w:rPr>
          <w:rStyle w:val="Hyperlink"/>
          <w:color w:val="auto"/>
          <w:lang w:val="en-US"/>
        </w:rPr>
        <w:t xml:space="preserve"> </w:t>
      </w:r>
      <w:hyperlink r:id="rId809" w:history="1">
        <w:r w:rsidR="00D301C6" w:rsidRPr="00F25103">
          <w:rPr>
            <w:rStyle w:val="Hyperlink"/>
            <w:lang w:val="en-US"/>
          </w:rPr>
          <w:t>https://www.cityofspartanburg.org/cms_assets/</w:t>
        </w:r>
        <w:r w:rsidR="00F25103" w:rsidRPr="00F25103">
          <w:rPr>
            <w:rStyle w:val="Hyperlink"/>
            <w:lang w:val="en-US"/>
          </w:rPr>
          <w:t xml:space="preserve"> </w:t>
        </w:r>
        <w:r w:rsidR="00D301C6" w:rsidRPr="00F25103">
          <w:rPr>
            <w:rStyle w:val="Hyperlink"/>
            <w:lang w:val="en-US"/>
          </w:rPr>
          <w:t>City_Council_files/9.28.2020.Agenda%20Packet.pdf</w:t>
        </w:r>
      </w:hyperlink>
      <w:r w:rsidR="00D301C6" w:rsidRPr="00F25103">
        <w:rPr>
          <w:lang w:val="en-US"/>
        </w:rPr>
        <w:t xml:space="preserve">, </w:t>
      </w:r>
      <w:r w:rsidR="002A7FA1" w:rsidRPr="00F25103">
        <w:rPr>
          <w:lang w:val="en-US"/>
        </w:rPr>
        <w:t>p. </w:t>
      </w:r>
      <w:r w:rsidR="00D301C6" w:rsidRPr="00F25103">
        <w:rPr>
          <w:lang w:val="en-US"/>
        </w:rPr>
        <w:t>15.</w:t>
      </w:r>
    </w:p>
  </w:footnote>
  <w:footnote w:id="681">
    <w:p w14:paraId="2B14EBA0" w14:textId="293E3815" w:rsidR="00D301C6" w:rsidRPr="00F25103" w:rsidRDefault="007F02E2" w:rsidP="005B4367">
      <w:pPr>
        <w:pStyle w:val="FootnoteText"/>
        <w:rPr>
          <w:lang w:val="en-US"/>
        </w:rPr>
      </w:pPr>
      <w:r w:rsidRPr="00F25103">
        <w:rPr>
          <w:lang w:val="en-US"/>
        </w:rPr>
        <w:tab/>
      </w:r>
      <w:r w:rsidRPr="00093AC5">
        <w:rPr>
          <w:rStyle w:val="FootnoteReference"/>
        </w:rPr>
        <w:footnoteRef/>
      </w:r>
      <w:r w:rsidRPr="00F25103">
        <w:rPr>
          <w:lang w:val="en-US"/>
        </w:rPr>
        <w:tab/>
      </w:r>
      <w:r w:rsidRPr="00F25103">
        <w:rPr>
          <w:lang w:val="en-US"/>
        </w:rPr>
        <w:tab/>
      </w:r>
      <w:hyperlink r:id="rId810" w:history="1">
        <w:r w:rsidR="00D301C6" w:rsidRPr="00F25103">
          <w:rPr>
            <w:rStyle w:val="Hyperlink"/>
            <w:lang w:val="en-US"/>
          </w:rPr>
          <w:t>https://www.ashevillenc.gov/news/asheville-reparations-resolution-is-designed-to-help-black-community-access-to-the-opportunity-to-build-</w:t>
        </w:r>
      </w:hyperlink>
      <w:r w:rsidR="00BF73AB" w:rsidRPr="00F25103">
        <w:rPr>
          <w:rStyle w:val="Hyperlink"/>
          <w:lang w:val="en-US"/>
        </w:rPr>
        <w:t> </w:t>
      </w:r>
      <w:r w:rsidR="00BF73AB" w:rsidRPr="00323549">
        <w:rPr>
          <w:rStyle w:val="Hyperlink"/>
          <w:color w:val="auto"/>
          <w:lang w:val="en-US"/>
        </w:rPr>
        <w:t>;</w:t>
      </w:r>
      <w:r w:rsidR="00D301C6" w:rsidRPr="00F25103">
        <w:rPr>
          <w:lang w:val="en-US"/>
        </w:rPr>
        <w:t xml:space="preserve"> </w:t>
      </w:r>
      <w:hyperlink r:id="rId811" w:history="1">
        <w:r w:rsidR="00D301C6" w:rsidRPr="00F25103">
          <w:rPr>
            <w:rStyle w:val="Hyperlink"/>
            <w:lang w:val="en-US"/>
          </w:rPr>
          <w:t>https://www.ashevillenc.gov/news/asheville-reparations-speaker-series-continues-june-10-and-17-community-urged-to-participate/</w:t>
        </w:r>
      </w:hyperlink>
      <w:r w:rsidR="00BF73AB" w:rsidRPr="00F25103">
        <w:rPr>
          <w:rStyle w:val="Hyperlink"/>
          <w:lang w:val="en-US"/>
        </w:rPr>
        <w:t> </w:t>
      </w:r>
      <w:r w:rsidR="00BF73AB" w:rsidRPr="00323549">
        <w:rPr>
          <w:rStyle w:val="Hyperlink"/>
          <w:color w:val="auto"/>
          <w:lang w:val="en-US"/>
        </w:rPr>
        <w:t>;</w:t>
      </w:r>
      <w:r w:rsidR="00D301C6" w:rsidRPr="00323549">
        <w:rPr>
          <w:lang w:val="en-US"/>
        </w:rPr>
        <w:t xml:space="preserve"> </w:t>
      </w:r>
      <w:hyperlink r:id="rId812" w:history="1">
        <w:r w:rsidR="00D301C6" w:rsidRPr="00F25103">
          <w:rPr>
            <w:rStyle w:val="Hyperlink"/>
            <w:lang w:val="en-US"/>
          </w:rPr>
          <w:t>https://www.charlotteobserver.com/news/nation-world/national/article244150107.html</w:t>
        </w:r>
      </w:hyperlink>
      <w:r w:rsidR="00BF73AB" w:rsidRPr="00F25103">
        <w:rPr>
          <w:rStyle w:val="Hyperlink"/>
          <w:lang w:val="en-US"/>
        </w:rPr>
        <w:t> </w:t>
      </w:r>
      <w:r w:rsidR="00BF73AB" w:rsidRPr="00323549">
        <w:rPr>
          <w:rStyle w:val="Hyperlink"/>
          <w:color w:val="auto"/>
          <w:lang w:val="en-US"/>
        </w:rPr>
        <w:t>;</w:t>
      </w:r>
      <w:r w:rsidR="00D301C6" w:rsidRPr="00323549">
        <w:rPr>
          <w:lang w:val="en-US"/>
        </w:rPr>
        <w:t xml:space="preserve"> </w:t>
      </w:r>
      <w:hyperlink r:id="rId813" w:history="1">
        <w:r w:rsidR="00D301C6" w:rsidRPr="00F25103">
          <w:rPr>
            <w:rStyle w:val="Hyperlink"/>
            <w:lang w:val="en-US"/>
          </w:rPr>
          <w:t>https://www.ashevillenc.gov/news/asheville-city-council-makes-initial-2-1-million-in-reparations-funding-appropriation/wealth/</w:t>
        </w:r>
      </w:hyperlink>
      <w:r w:rsidR="00323549" w:rsidRPr="00323549">
        <w:rPr>
          <w:rStyle w:val="Hyperlink"/>
          <w:lang w:val="en-US"/>
        </w:rPr>
        <w:t> </w:t>
      </w:r>
      <w:r w:rsidR="00323549" w:rsidRPr="00323549">
        <w:rPr>
          <w:lang w:val="en-US"/>
        </w:rPr>
        <w:t>;</w:t>
      </w:r>
      <w:r w:rsidR="00323549">
        <w:rPr>
          <w:lang w:val="en-US"/>
        </w:rPr>
        <w:t xml:space="preserve"> </w:t>
      </w:r>
      <w:hyperlink r:id="rId814" w:history="1">
        <w:r w:rsidR="00D301C6" w:rsidRPr="00F25103">
          <w:rPr>
            <w:rStyle w:val="Hyperlink"/>
            <w:lang w:val="en-US"/>
          </w:rPr>
          <w:t>https://drive.google.com/file/d/1WKialVISWzu72</w:t>
        </w:r>
        <w:r w:rsidR="00323549">
          <w:rPr>
            <w:rStyle w:val="Hyperlink"/>
            <w:lang w:val="en-US"/>
          </w:rPr>
          <w:t xml:space="preserve"> </w:t>
        </w:r>
        <w:r w:rsidR="00D301C6" w:rsidRPr="00F25103">
          <w:rPr>
            <w:rStyle w:val="Hyperlink"/>
            <w:lang w:val="en-US"/>
          </w:rPr>
          <w:t>mhasyy9SslDbVGMSj5U/view</w:t>
        </w:r>
      </w:hyperlink>
      <w:r w:rsidR="00D301C6" w:rsidRPr="00F25103">
        <w:rPr>
          <w:rStyle w:val="Hyperlink"/>
          <w:lang w:val="en-US"/>
        </w:rPr>
        <w:t>.</w:t>
      </w:r>
    </w:p>
  </w:footnote>
  <w:footnote w:id="682">
    <w:p w14:paraId="5CA0130B" w14:textId="1C090C92" w:rsidR="00D301C6" w:rsidRPr="00D10EF8" w:rsidRDefault="007F02E2" w:rsidP="005B4367">
      <w:pPr>
        <w:pStyle w:val="FootnoteText"/>
      </w:pPr>
      <w:r w:rsidRPr="00F25103">
        <w:rPr>
          <w:lang w:val="en-US"/>
        </w:rPr>
        <w:tab/>
      </w:r>
      <w:r w:rsidRPr="00093AC5">
        <w:rPr>
          <w:rStyle w:val="FootnoteReference"/>
        </w:rPr>
        <w:footnoteRef/>
      </w:r>
      <w:r w:rsidRPr="00D10EF8">
        <w:tab/>
      </w:r>
      <w:r w:rsidR="00D301C6" w:rsidRPr="00D10EF8">
        <w:tab/>
      </w:r>
      <w:hyperlink r:id="rId815" w:history="1">
        <w:r w:rsidR="00D301C6" w:rsidRPr="00D10EF8">
          <w:rPr>
            <w:rStyle w:val="Hyperlink"/>
            <w:lang w:val="fr-FR"/>
          </w:rPr>
          <w:t>https://apnews.com/article/race-and-ethnicity-discrimination-north-carolina-slavery-raleigh-4e975e1c68704aae5bf3121050983c1c</w:t>
        </w:r>
      </w:hyperlink>
      <w:r w:rsidR="00D301C6" w:rsidRPr="00D10EF8">
        <w:t>.</w:t>
      </w:r>
    </w:p>
  </w:footnote>
  <w:footnote w:id="683">
    <w:p w14:paraId="04077680" w14:textId="2BB99E71" w:rsidR="00D301C6" w:rsidRPr="00D10EF8" w:rsidRDefault="007F02E2" w:rsidP="005B4367">
      <w:pPr>
        <w:pStyle w:val="FootnoteText"/>
      </w:pPr>
      <w:r w:rsidRPr="00D10EF8">
        <w:tab/>
      </w:r>
      <w:r w:rsidRPr="00093AC5">
        <w:rPr>
          <w:rStyle w:val="FootnoteReference"/>
        </w:rPr>
        <w:footnoteRef/>
      </w:r>
      <w:r w:rsidRPr="00D10EF8">
        <w:tab/>
      </w:r>
      <w:hyperlink r:id="rId816" w:history="1">
        <w:r w:rsidR="00D301C6" w:rsidRPr="00D10EF8">
          <w:rPr>
            <w:rStyle w:val="Hyperlink"/>
            <w:lang w:val="fr-FR"/>
          </w:rPr>
          <w:t>https://www.georgetown.edu/news/georgetown-apologizes-for-1838-sale-of-272-slaves-dedicates-buildings/</w:t>
        </w:r>
      </w:hyperlink>
      <w:r w:rsidR="00D301C6" w:rsidRPr="00D10EF8">
        <w:t>.</w:t>
      </w:r>
    </w:p>
  </w:footnote>
  <w:footnote w:id="684">
    <w:p w14:paraId="2D59B663" w14:textId="7C88A1E0" w:rsidR="00D301C6" w:rsidRPr="00967D50" w:rsidRDefault="007F02E2" w:rsidP="005B4367">
      <w:pPr>
        <w:pStyle w:val="FootnoteText"/>
        <w:rPr>
          <w:lang w:val="fr-CA"/>
        </w:rPr>
      </w:pPr>
      <w:r w:rsidRPr="00D10EF8">
        <w:tab/>
      </w:r>
      <w:r w:rsidRPr="00093AC5">
        <w:rPr>
          <w:rStyle w:val="FootnoteReference"/>
        </w:rPr>
        <w:footnoteRef/>
      </w:r>
      <w:r w:rsidRPr="00D10EF8">
        <w:tab/>
      </w:r>
      <w:hyperlink r:id="rId817" w:history="1">
        <w:r w:rsidR="00D301C6" w:rsidRPr="00813782">
          <w:rPr>
            <w:rStyle w:val="Hyperlink"/>
            <w:lang w:val="fr-FR"/>
          </w:rPr>
          <w:t>https://www.gov.uk/government/news/statement-to-parliament-on-settlement-of-mau-mau-claims</w:t>
        </w:r>
      </w:hyperlink>
      <w:r w:rsidR="00D301C6" w:rsidRPr="00813782">
        <w:t>.</w:t>
      </w:r>
    </w:p>
  </w:footnote>
  <w:footnote w:id="685">
    <w:p w14:paraId="65B6BC0B" w14:textId="107EB98A" w:rsidR="00D301C6" w:rsidRPr="00DA5E7E" w:rsidRDefault="007F02E2" w:rsidP="005B4367">
      <w:pPr>
        <w:pStyle w:val="FootnoteText"/>
        <w:rPr>
          <w:lang w:val="es-ES" w:eastAsia="en-GB"/>
        </w:rPr>
      </w:pPr>
      <w:r w:rsidRPr="00D10EF8">
        <w:tab/>
      </w:r>
      <w:r w:rsidRPr="00093AC5">
        <w:rPr>
          <w:rStyle w:val="FootnoteReference"/>
        </w:rPr>
        <w:footnoteRef/>
      </w:r>
      <w:r w:rsidRPr="00DA5E7E">
        <w:rPr>
          <w:lang w:val="es-ES"/>
        </w:rPr>
        <w:tab/>
      </w:r>
      <w:r w:rsidR="00D301C6" w:rsidRPr="00DA5E7E">
        <w:rPr>
          <w:lang w:val="es-ES"/>
        </w:rPr>
        <w:t>Ibid.</w:t>
      </w:r>
      <w:r w:rsidR="00BF73AB">
        <w:rPr>
          <w:lang w:val="es-ES"/>
        </w:rPr>
        <w:t> ;</w:t>
      </w:r>
      <w:r w:rsidR="00D301C6" w:rsidRPr="00DA5E7E">
        <w:rPr>
          <w:lang w:val="es-ES"/>
        </w:rPr>
        <w:t xml:space="preserve"> </w:t>
      </w:r>
      <w:hyperlink r:id="rId818" w:history="1">
        <w:r w:rsidR="00D301C6" w:rsidRPr="00813782">
          <w:rPr>
            <w:rStyle w:val="Hyperlink"/>
            <w:lang w:val="es-ES"/>
          </w:rPr>
          <w:t>https://www.leighday.co.uk/latest-updates/cases-and-testimonials/cases/the-mau-mau-claims/</w:t>
        </w:r>
      </w:hyperlink>
      <w:r w:rsidR="00D301C6" w:rsidRPr="00DA5E7E">
        <w:rPr>
          <w:lang w:val="es-ES"/>
        </w:rPr>
        <w:t>.</w:t>
      </w:r>
    </w:p>
  </w:footnote>
  <w:footnote w:id="686">
    <w:p w14:paraId="2E58E829" w14:textId="50EC38B0" w:rsidR="00D301C6" w:rsidRPr="00DA5E7E" w:rsidRDefault="007F02E2" w:rsidP="005B4367">
      <w:pPr>
        <w:pStyle w:val="FootnoteText"/>
        <w:rPr>
          <w:lang w:val="es-ES"/>
        </w:rPr>
      </w:pPr>
      <w:r w:rsidRPr="00DA5E7E">
        <w:rPr>
          <w:lang w:val="es-ES"/>
        </w:rPr>
        <w:tab/>
      </w:r>
      <w:r w:rsidRPr="00093AC5">
        <w:rPr>
          <w:rStyle w:val="FootnoteReference"/>
        </w:rPr>
        <w:footnoteRef/>
      </w:r>
      <w:r w:rsidRPr="00DA5E7E">
        <w:rPr>
          <w:lang w:val="es-ES"/>
        </w:rPr>
        <w:tab/>
      </w:r>
      <w:hyperlink r:id="rId819" w:history="1">
        <w:r w:rsidR="00D301C6" w:rsidRPr="00813782">
          <w:rPr>
            <w:rStyle w:val="Hyperlink"/>
            <w:lang w:val="es-ES"/>
          </w:rPr>
          <w:t>https://www.rtbf.be/info/belgique/detail_le-roi-philippe-exprime-au-congo-ses-profonds-regrets-pour-les-blessures-du-passe?id=10532781</w:t>
        </w:r>
      </w:hyperlink>
      <w:r w:rsidR="00BF73AB">
        <w:rPr>
          <w:rStyle w:val="Hyperlink"/>
          <w:lang w:val="es-ES"/>
        </w:rPr>
        <w:t> </w:t>
      </w:r>
      <w:r w:rsidR="00BF73AB" w:rsidRPr="0062246B">
        <w:rPr>
          <w:rStyle w:val="Hyperlink"/>
          <w:color w:val="auto"/>
          <w:lang w:val="es-ES"/>
        </w:rPr>
        <w:t>;</w:t>
      </w:r>
      <w:r w:rsidR="00D301C6" w:rsidRPr="00DA5E7E">
        <w:rPr>
          <w:lang w:val="es-ES"/>
        </w:rPr>
        <w:t xml:space="preserve"> </w:t>
      </w:r>
      <w:hyperlink r:id="rId820" w:history="1">
        <w:r w:rsidR="00D301C6" w:rsidRPr="00813782">
          <w:rPr>
            <w:rStyle w:val="Hyperlink"/>
            <w:lang w:val="es-ES"/>
          </w:rPr>
          <w:t>https://www.bbc.com/news/world-europe-53232105</w:t>
        </w:r>
      </w:hyperlink>
      <w:r w:rsidR="00A36F86">
        <w:rPr>
          <w:rStyle w:val="Hyperlink"/>
          <w:lang w:val="es-ES"/>
        </w:rPr>
        <w:t>.</w:t>
      </w:r>
      <w:r w:rsidR="00D301C6" w:rsidRPr="00DA5E7E">
        <w:rPr>
          <w:lang w:val="es-ES"/>
        </w:rPr>
        <w:t xml:space="preserve"> </w:t>
      </w:r>
    </w:p>
  </w:footnote>
  <w:footnote w:id="687">
    <w:p w14:paraId="23CF3188" w14:textId="36AC6FC7" w:rsidR="00D301C6" w:rsidRPr="00DA5E7E" w:rsidRDefault="007F02E2" w:rsidP="005B4367">
      <w:pPr>
        <w:pStyle w:val="FootnoteText"/>
        <w:rPr>
          <w:lang w:val="es-ES"/>
        </w:rPr>
      </w:pPr>
      <w:r w:rsidRPr="00DA5E7E">
        <w:rPr>
          <w:lang w:val="es-ES"/>
        </w:rPr>
        <w:tab/>
      </w:r>
      <w:r w:rsidRPr="00093AC5">
        <w:rPr>
          <w:rStyle w:val="FootnoteReference"/>
        </w:rPr>
        <w:footnoteRef/>
      </w:r>
      <w:r w:rsidRPr="00DA5E7E">
        <w:rPr>
          <w:lang w:val="es-ES"/>
        </w:rPr>
        <w:tab/>
      </w:r>
      <w:hyperlink r:id="rId821" w:history="1">
        <w:r w:rsidR="00D301C6" w:rsidRPr="00813782">
          <w:rPr>
            <w:rStyle w:val="Hyperlink"/>
            <w:lang w:val="es-ES"/>
          </w:rPr>
          <w:t>https://www.europarl.europa.eu/doceo/document/B-8-2019-0212_FR.html</w:t>
        </w:r>
      </w:hyperlink>
      <w:r w:rsidR="00D301C6" w:rsidRPr="00DA5E7E">
        <w:rPr>
          <w:lang w:val="es-ES"/>
        </w:rPr>
        <w:t>.</w:t>
      </w:r>
    </w:p>
  </w:footnote>
  <w:footnote w:id="688">
    <w:p w14:paraId="5EABF091" w14:textId="70BB90C5" w:rsidR="00D301C6" w:rsidRPr="00DA5E7E" w:rsidRDefault="007F02E2" w:rsidP="005B4367">
      <w:pPr>
        <w:pStyle w:val="FootnoteText"/>
        <w:rPr>
          <w:lang w:val="es-ES"/>
        </w:rPr>
      </w:pPr>
      <w:r w:rsidRPr="00DA5E7E">
        <w:rPr>
          <w:lang w:val="es-ES"/>
        </w:rPr>
        <w:tab/>
      </w:r>
      <w:r w:rsidRPr="00093AC5">
        <w:rPr>
          <w:rStyle w:val="FootnoteReference"/>
        </w:rPr>
        <w:footnoteRef/>
      </w:r>
      <w:r w:rsidRPr="00DA5E7E">
        <w:rPr>
          <w:lang w:val="es-ES"/>
        </w:rPr>
        <w:tab/>
      </w:r>
      <w:hyperlink r:id="rId822" w:history="1">
        <w:r w:rsidR="00D301C6" w:rsidRPr="00813782">
          <w:rPr>
            <w:rStyle w:val="Hyperlink"/>
            <w:lang w:val="es-ES"/>
          </w:rPr>
          <w:t>https://www.ardi-ep.eu/inaugural-european-parliament-commemoration-of-the-european-day-for-the-abolition-of-the-slave-trade/</w:t>
        </w:r>
      </w:hyperlink>
      <w:r w:rsidR="00D301C6" w:rsidRPr="00DA5E7E">
        <w:rPr>
          <w:lang w:val="es-ES"/>
        </w:rPr>
        <w:t>.</w:t>
      </w:r>
    </w:p>
  </w:footnote>
  <w:footnote w:id="689">
    <w:p w14:paraId="0538D36E" w14:textId="47172503" w:rsidR="00D301C6" w:rsidRPr="00DA5E7E" w:rsidRDefault="007F02E2" w:rsidP="005B4367">
      <w:pPr>
        <w:pStyle w:val="FootnoteText"/>
        <w:rPr>
          <w:lang w:val="de-DE"/>
        </w:rPr>
      </w:pPr>
      <w:r w:rsidRPr="00DA5E7E">
        <w:rPr>
          <w:lang w:val="es-ES"/>
        </w:rPr>
        <w:tab/>
      </w:r>
      <w:r w:rsidRPr="00093AC5">
        <w:rPr>
          <w:rStyle w:val="FootnoteReference"/>
        </w:rPr>
        <w:footnoteRef/>
      </w:r>
      <w:r w:rsidRPr="00DA5E7E">
        <w:rPr>
          <w:lang w:val="de-DE"/>
        </w:rPr>
        <w:tab/>
      </w:r>
      <w:hyperlink r:id="rId823" w:history="1">
        <w:r w:rsidR="00D301C6" w:rsidRPr="00813782">
          <w:rPr>
            <w:rStyle w:val="Hyperlink"/>
            <w:lang w:val="de-DE"/>
          </w:rPr>
          <w:t>https://www.elysee.fr/admin/upload/default/0001/09/0586b6b0ef1c2fc2540589c6d56a1ae63a65d97c. pdf</w:t>
        </w:r>
      </w:hyperlink>
      <w:r w:rsidR="00BF73AB">
        <w:rPr>
          <w:rStyle w:val="Hyperlink"/>
          <w:lang w:val="de-DE"/>
        </w:rPr>
        <w:t> </w:t>
      </w:r>
      <w:r w:rsidR="00BF73AB" w:rsidRPr="0062246B">
        <w:rPr>
          <w:rStyle w:val="Hyperlink"/>
          <w:color w:val="auto"/>
          <w:lang w:val="de-DE"/>
        </w:rPr>
        <w:t>;</w:t>
      </w:r>
      <w:r w:rsidR="00D301C6" w:rsidRPr="00DA5E7E">
        <w:rPr>
          <w:lang w:val="de-DE"/>
        </w:rPr>
        <w:t xml:space="preserve"> </w:t>
      </w:r>
      <w:hyperlink r:id="rId824" w:history="1">
        <w:r w:rsidR="00D301C6" w:rsidRPr="00813782">
          <w:rPr>
            <w:rStyle w:val="Hyperlink"/>
            <w:lang w:val="de-DE"/>
          </w:rPr>
          <w:t>https://www.elysee.fr/emmanuel-macron/2021/01/20/remise-du-rapport-sur-la-memoire-de-la-colonisation-et-de-la-guerre-dalgerie</w:t>
        </w:r>
      </w:hyperlink>
      <w:r w:rsidR="00BF73AB">
        <w:rPr>
          <w:rStyle w:val="Hyperlink"/>
          <w:lang w:val="de-DE"/>
        </w:rPr>
        <w:t> </w:t>
      </w:r>
      <w:r w:rsidR="00BF73AB" w:rsidRPr="0062246B">
        <w:rPr>
          <w:rStyle w:val="Hyperlink"/>
          <w:color w:val="auto"/>
          <w:lang w:val="de-DE"/>
        </w:rPr>
        <w:t>;</w:t>
      </w:r>
      <w:r w:rsidR="00D301C6" w:rsidRPr="00DA5E7E">
        <w:rPr>
          <w:lang w:val="de-DE"/>
        </w:rPr>
        <w:t xml:space="preserve"> </w:t>
      </w:r>
      <w:hyperlink r:id="rId825" w:history="1">
        <w:r w:rsidR="00D301C6" w:rsidRPr="00813782">
          <w:rPr>
            <w:rStyle w:val="Hyperlink"/>
            <w:lang w:val="de-DE"/>
          </w:rPr>
          <w:t>https://www.nytimes.com/2021/01/20/world/europe/france-algeria-war-report.html</w:t>
        </w:r>
      </w:hyperlink>
      <w:r w:rsidR="00D301C6" w:rsidRPr="00DA5E7E">
        <w:rPr>
          <w:lang w:val="de-DE"/>
        </w:rPr>
        <w:t>.</w:t>
      </w:r>
    </w:p>
  </w:footnote>
  <w:footnote w:id="690">
    <w:p w14:paraId="7013D3E3" w14:textId="11479A06" w:rsidR="00D301C6" w:rsidRPr="00A36F86" w:rsidRDefault="007F02E2" w:rsidP="005B4367">
      <w:pPr>
        <w:pStyle w:val="FootnoteText"/>
        <w:rPr>
          <w:lang w:val="en-US" w:eastAsia="en-GB"/>
        </w:rPr>
      </w:pPr>
      <w:r w:rsidRPr="00DA5E7E">
        <w:rPr>
          <w:lang w:val="de-DE"/>
        </w:rPr>
        <w:tab/>
      </w:r>
      <w:r w:rsidRPr="00093AC5">
        <w:rPr>
          <w:rStyle w:val="FootnoteReference"/>
        </w:rPr>
        <w:footnoteRef/>
      </w:r>
      <w:r w:rsidRPr="00A36F86">
        <w:rPr>
          <w:lang w:val="en-US"/>
        </w:rPr>
        <w:tab/>
      </w:r>
      <w:hyperlink r:id="rId826" w:history="1">
        <w:r w:rsidR="00D301C6" w:rsidRPr="00A36F86">
          <w:rPr>
            <w:rStyle w:val="Hyperlink"/>
            <w:lang w:val="en-US"/>
          </w:rPr>
          <w:t>https://www.auswaertiges-amt.de/en/newsroom/news/151104-namibia/276108</w:t>
        </w:r>
      </w:hyperlink>
      <w:r w:rsidR="00BF73AB" w:rsidRPr="00A36F86">
        <w:rPr>
          <w:rStyle w:val="Hyperlink"/>
          <w:lang w:val="en-US"/>
        </w:rPr>
        <w:t> </w:t>
      </w:r>
      <w:r w:rsidR="00BF73AB" w:rsidRPr="00A36F86">
        <w:rPr>
          <w:rStyle w:val="Hyperlink"/>
          <w:color w:val="auto"/>
          <w:lang w:val="en-US"/>
        </w:rPr>
        <w:t>;</w:t>
      </w:r>
      <w:r w:rsidR="00D301C6" w:rsidRPr="00A36F86">
        <w:rPr>
          <w:lang w:val="en-US"/>
        </w:rPr>
        <w:t xml:space="preserve"> </w:t>
      </w:r>
      <w:hyperlink r:id="rId827" w:history="1">
        <w:r w:rsidR="00D301C6" w:rsidRPr="00A36F86">
          <w:rPr>
            <w:rStyle w:val="Hyperlink"/>
            <w:lang w:val="en-US"/>
          </w:rPr>
          <w:t>https://www.dw.com/</w:t>
        </w:r>
        <w:r w:rsidR="00A36F86" w:rsidRPr="00A36F86">
          <w:rPr>
            <w:rStyle w:val="Hyperlink"/>
            <w:lang w:val="en-US"/>
          </w:rPr>
          <w:t xml:space="preserve"> </w:t>
        </w:r>
        <w:r w:rsidR="00D301C6" w:rsidRPr="00A36F86">
          <w:rPr>
            <w:rStyle w:val="Hyperlink"/>
            <w:lang w:val="en-US"/>
          </w:rPr>
          <w:t>en/namibia-germany-reparations/a-54535589</w:t>
        </w:r>
      </w:hyperlink>
      <w:r w:rsidR="00D301C6" w:rsidRPr="00A36F86">
        <w:rPr>
          <w:lang w:val="en-US"/>
        </w:rPr>
        <w:t>.</w:t>
      </w:r>
    </w:p>
  </w:footnote>
  <w:footnote w:id="691">
    <w:p w14:paraId="43B49CC2" w14:textId="1CBAE7B7" w:rsidR="00D301C6" w:rsidRPr="00DA5E7E" w:rsidRDefault="007F02E2" w:rsidP="005B4367">
      <w:pPr>
        <w:pStyle w:val="FootnoteText"/>
        <w:rPr>
          <w:lang w:val="de-DE"/>
        </w:rPr>
      </w:pPr>
      <w:r w:rsidRPr="00A36F86">
        <w:rPr>
          <w:lang w:val="en-US"/>
        </w:rPr>
        <w:tab/>
      </w:r>
      <w:r w:rsidRPr="00093AC5">
        <w:rPr>
          <w:rStyle w:val="FootnoteReference"/>
        </w:rPr>
        <w:footnoteRef/>
      </w:r>
      <w:r w:rsidRPr="00DA5E7E">
        <w:rPr>
          <w:lang w:val="de-DE"/>
        </w:rPr>
        <w:tab/>
      </w:r>
      <w:hyperlink r:id="rId828" w:history="1">
        <w:r w:rsidR="00D301C6" w:rsidRPr="00813782">
          <w:rPr>
            <w:rStyle w:val="Hyperlink"/>
            <w:lang w:val="de-DE"/>
          </w:rPr>
          <w:t>https://www.auswaertiges-amt.de/en/newsroom/news/-/2463598</w:t>
        </w:r>
      </w:hyperlink>
      <w:r w:rsidR="00D301C6" w:rsidRPr="00813782">
        <w:rPr>
          <w:rStyle w:val="Hyperlink"/>
          <w:lang w:val="de-DE"/>
        </w:rPr>
        <w:t>.</w:t>
      </w:r>
    </w:p>
  </w:footnote>
  <w:footnote w:id="692">
    <w:p w14:paraId="02EE8A88" w14:textId="6A965B8D" w:rsidR="00D301C6" w:rsidRPr="00DA5E7E" w:rsidRDefault="007F02E2" w:rsidP="005B4367">
      <w:pPr>
        <w:pStyle w:val="FootnoteText"/>
        <w:rPr>
          <w:lang w:val="de-DE"/>
        </w:rPr>
      </w:pPr>
      <w:r w:rsidRPr="00DA5E7E">
        <w:rPr>
          <w:lang w:val="de-DE"/>
        </w:rPr>
        <w:tab/>
      </w:r>
      <w:r w:rsidRPr="00093AC5">
        <w:rPr>
          <w:rStyle w:val="FootnoteReference"/>
        </w:rPr>
        <w:footnoteRef/>
      </w:r>
      <w:r w:rsidRPr="00DA5E7E">
        <w:rPr>
          <w:lang w:val="de-DE"/>
        </w:rPr>
        <w:tab/>
      </w:r>
      <w:hyperlink r:id="rId829" w:history="1">
        <w:r w:rsidR="00D301C6" w:rsidRPr="00813782">
          <w:rPr>
            <w:rStyle w:val="Hyperlink"/>
            <w:lang w:val="de-DE"/>
          </w:rPr>
          <w:t>https://www.ucl.ac.uk/lbs/</w:t>
        </w:r>
      </w:hyperlink>
      <w:r w:rsidR="00BF73AB">
        <w:rPr>
          <w:rStyle w:val="Hyperlink"/>
          <w:lang w:val="de-DE"/>
        </w:rPr>
        <w:t> ;</w:t>
      </w:r>
      <w:r w:rsidR="00D301C6" w:rsidRPr="00813782">
        <w:rPr>
          <w:rStyle w:val="Hyperlink"/>
          <w:lang w:val="de-DE"/>
        </w:rPr>
        <w:t xml:space="preserve"> </w:t>
      </w:r>
      <w:hyperlink r:id="rId830" w:history="1">
        <w:r w:rsidR="00D301C6" w:rsidRPr="00813782">
          <w:rPr>
            <w:rStyle w:val="Hyperlink"/>
            <w:lang w:val="de-DE"/>
          </w:rPr>
          <w:t>https://www.theguardian.com/education/2020/sep/22/jamaican-director-of-ucls-slavery-research-centre-british-racism-is-clear-and-sharp</w:t>
        </w:r>
      </w:hyperlink>
      <w:r w:rsidR="00D301C6" w:rsidRPr="00813782">
        <w:rPr>
          <w:rStyle w:val="Hyperlink"/>
          <w:lang w:val="de-DE"/>
        </w:rPr>
        <w:t>.</w:t>
      </w:r>
    </w:p>
  </w:footnote>
  <w:footnote w:id="693">
    <w:p w14:paraId="144544E6" w14:textId="1A839B5B" w:rsidR="00D301C6" w:rsidRPr="00DA5E7E" w:rsidRDefault="007F02E2" w:rsidP="005B4367">
      <w:pPr>
        <w:pStyle w:val="FootnoteText"/>
        <w:rPr>
          <w:lang w:val="de-DE"/>
        </w:rPr>
      </w:pPr>
      <w:r w:rsidRPr="00DA5E7E">
        <w:rPr>
          <w:lang w:val="de-DE"/>
        </w:rPr>
        <w:tab/>
      </w:r>
      <w:r w:rsidRPr="00093AC5">
        <w:rPr>
          <w:rStyle w:val="FootnoteReference"/>
        </w:rPr>
        <w:footnoteRef/>
      </w:r>
      <w:r w:rsidRPr="00DA5E7E">
        <w:rPr>
          <w:lang w:val="de-DE"/>
        </w:rPr>
        <w:tab/>
      </w:r>
      <w:hyperlink r:id="rId831" w:history="1">
        <w:r w:rsidR="00D301C6" w:rsidRPr="00813782">
          <w:rPr>
            <w:rStyle w:val="Hyperlink"/>
            <w:lang w:val="de-DE"/>
          </w:rPr>
          <w:t>https://www.lloyds.com/news-and-insights/news/our-full-statement-on-the-lloyds-markets-role-in-the-slave-trade</w:t>
        </w:r>
      </w:hyperlink>
      <w:r w:rsidR="00BF73AB">
        <w:rPr>
          <w:rStyle w:val="Hyperlink"/>
          <w:lang w:val="de-DE"/>
        </w:rPr>
        <w:t> ;</w:t>
      </w:r>
      <w:r w:rsidR="00D301C6" w:rsidRPr="00DA5E7E">
        <w:rPr>
          <w:lang w:val="de-DE"/>
        </w:rPr>
        <w:t xml:space="preserve"> </w:t>
      </w:r>
      <w:hyperlink r:id="rId832" w:history="1">
        <w:r w:rsidR="00D301C6" w:rsidRPr="00813782">
          <w:rPr>
            <w:rStyle w:val="Hyperlink"/>
            <w:lang w:val="de-DE"/>
          </w:rPr>
          <w:t>https://www.theguardian.com/world/2020/jun/18/lloyds-of-london-and-greene-king-to-make-slave-trade-reparations</w:t>
        </w:r>
      </w:hyperlink>
      <w:r w:rsidR="00D301C6" w:rsidRPr="00813782">
        <w:rPr>
          <w:rStyle w:val="Hyperlink"/>
          <w:lang w:val="de-DE"/>
        </w:rPr>
        <w:t>.</w:t>
      </w:r>
    </w:p>
  </w:footnote>
  <w:footnote w:id="694">
    <w:p w14:paraId="4070D598" w14:textId="7BFDED27" w:rsidR="00D301C6" w:rsidRPr="00D10EF8" w:rsidRDefault="007F02E2" w:rsidP="005B4367">
      <w:pPr>
        <w:pStyle w:val="FootnoteText"/>
      </w:pPr>
      <w:r w:rsidRPr="00DA5E7E">
        <w:rPr>
          <w:lang w:val="de-DE"/>
        </w:rPr>
        <w:tab/>
      </w:r>
      <w:r w:rsidRPr="00093AC5">
        <w:rPr>
          <w:rStyle w:val="FootnoteReference"/>
        </w:rPr>
        <w:footnoteRef/>
      </w:r>
      <w:r w:rsidRPr="00D10EF8">
        <w:tab/>
      </w:r>
      <w:r w:rsidR="00D301C6" w:rsidRPr="00D10EF8">
        <w:t xml:space="preserve">Voir, par exemple, </w:t>
      </w:r>
      <w:hyperlink r:id="rId833" w:history="1">
        <w:r w:rsidR="00D301C6" w:rsidRPr="00D10EF8">
          <w:rPr>
            <w:rStyle w:val="Hyperlink"/>
            <w:lang w:val="fr-FR"/>
          </w:rPr>
          <w:t>https://www.greeneking.co.uk/newsroom/latest-news/new-partnership-announced-between-greene-king-and-the-international-slavery-museum/</w:t>
        </w:r>
      </w:hyperlink>
      <w:r w:rsidR="00BF73AB">
        <w:rPr>
          <w:rStyle w:val="Hyperlink"/>
          <w:lang w:val="fr-FR"/>
        </w:rPr>
        <w:t> ;</w:t>
      </w:r>
      <w:r w:rsidR="00D301C6" w:rsidRPr="00D10EF8">
        <w:t xml:space="preserve"> </w:t>
      </w:r>
      <w:hyperlink r:id="rId834" w:history="1">
        <w:r w:rsidR="00D301C6" w:rsidRPr="00D10EF8">
          <w:rPr>
            <w:rStyle w:val="Hyperlink"/>
            <w:lang w:val="fr-FR"/>
          </w:rPr>
          <w:t>https://www.greeneking.co.uk/newsroom/latest-news/greene-king-pledges-new-five-year-commitment-with-the-prince-s-trust-to-create-1000-job-opportunities-for-young-people-and-drive-bame-diversity-across-the-business/</w:t>
        </w:r>
      </w:hyperlink>
      <w:r w:rsidR="00D301C6" w:rsidRPr="00D10EF8">
        <w:t>.</w:t>
      </w:r>
    </w:p>
  </w:footnote>
  <w:footnote w:id="695">
    <w:p w14:paraId="43BEEEE0" w14:textId="01CF53CE" w:rsidR="00D301C6" w:rsidRPr="00D10EF8" w:rsidRDefault="007F02E2" w:rsidP="005B4367">
      <w:pPr>
        <w:pStyle w:val="FootnoteText"/>
      </w:pPr>
      <w:r w:rsidRPr="00D10EF8">
        <w:tab/>
      </w:r>
      <w:r w:rsidRPr="00093AC5">
        <w:rPr>
          <w:rStyle w:val="FootnoteReference"/>
        </w:rPr>
        <w:footnoteRef/>
      </w:r>
      <w:r w:rsidRPr="00D10EF8">
        <w:tab/>
      </w:r>
      <w:hyperlink r:id="rId835" w:history="1">
        <w:r w:rsidR="00D301C6" w:rsidRPr="00D10EF8">
          <w:rPr>
            <w:rStyle w:val="Hyperlink"/>
            <w:lang w:val="fr-FR"/>
          </w:rPr>
          <w:t>https://www.bankofengland.co.uk/news/2020/june/statement-in-relation-to-the-banks-historical-links-to-the-slave-trade</w:t>
        </w:r>
      </w:hyperlink>
      <w:r w:rsidR="00BF73AB">
        <w:rPr>
          <w:rStyle w:val="Hyperlink"/>
          <w:lang w:val="fr-FR"/>
        </w:rPr>
        <w:t> ;</w:t>
      </w:r>
      <w:r w:rsidR="00D301C6" w:rsidRPr="00D10EF8">
        <w:t xml:space="preserve"> </w:t>
      </w:r>
      <w:hyperlink r:id="rId836" w:history="1">
        <w:r w:rsidR="00D301C6" w:rsidRPr="00D10EF8">
          <w:rPr>
            <w:rStyle w:val="Hyperlink"/>
            <w:lang w:val="fr-FR"/>
          </w:rPr>
          <w:t>https://www.independent.co.uk/news/uk/home-news/lloyds-london-greene-king-slavery-links-apology-black-lives-matter-a9572421.html</w:t>
        </w:r>
      </w:hyperlink>
      <w:r w:rsidR="00BF73AB">
        <w:rPr>
          <w:rStyle w:val="Hyperlink"/>
          <w:lang w:val="fr-FR"/>
        </w:rPr>
        <w:t> ;</w:t>
      </w:r>
      <w:r w:rsidR="00D301C6" w:rsidRPr="00D10EF8">
        <w:t xml:space="preserve"> </w:t>
      </w:r>
      <w:hyperlink r:id="rId837" w:history="1">
        <w:r w:rsidR="00D301C6" w:rsidRPr="00D10EF8">
          <w:rPr>
            <w:rStyle w:val="Hyperlink"/>
            <w:lang w:val="fr-FR"/>
          </w:rPr>
          <w:t>https://fortune.com/2020/06/18/george-floyd-protests-uk-slavery-reparations/</w:t>
        </w:r>
      </w:hyperlink>
      <w:r w:rsidR="00D301C6" w:rsidRPr="00D10EF8">
        <w:t>.</w:t>
      </w:r>
    </w:p>
  </w:footnote>
  <w:footnote w:id="696">
    <w:p w14:paraId="0EDEEC3B" w14:textId="6379CCEF" w:rsidR="00D301C6" w:rsidRPr="00D10EF8" w:rsidRDefault="007F02E2" w:rsidP="005B4367">
      <w:pPr>
        <w:pStyle w:val="FootnoteText"/>
      </w:pPr>
      <w:r w:rsidRPr="00D10EF8">
        <w:tab/>
      </w:r>
      <w:r w:rsidRPr="00093AC5">
        <w:rPr>
          <w:rStyle w:val="FootnoteReference"/>
        </w:rPr>
        <w:footnoteRef/>
      </w:r>
      <w:r w:rsidRPr="00D10EF8">
        <w:tab/>
      </w:r>
      <w:hyperlink r:id="rId838" w:history="1">
        <w:r w:rsidR="00D301C6" w:rsidRPr="00D10EF8">
          <w:rPr>
            <w:rStyle w:val="Hyperlink"/>
            <w:lang w:val="fr-FR"/>
          </w:rPr>
          <w:t>https://www.amnesty.org/fr/latest/news/2020/06/i-cant-breathe-refrain-reignited-movement/</w:t>
        </w:r>
      </w:hyperlink>
      <w:r w:rsidR="00D301C6" w:rsidRPr="00D10EF8">
        <w:rPr>
          <w:rStyle w:val="Hyperlink"/>
          <w:lang w:val="fr-FR"/>
        </w:rPr>
        <w:t>.</w:t>
      </w:r>
    </w:p>
  </w:footnote>
  <w:footnote w:id="697">
    <w:p w14:paraId="191959A5" w14:textId="4BCAE28C" w:rsidR="00D301C6" w:rsidRPr="00D10EF8" w:rsidRDefault="007F02E2" w:rsidP="005B4367">
      <w:pPr>
        <w:pStyle w:val="FootnoteText"/>
      </w:pPr>
      <w:r w:rsidRPr="00D10EF8">
        <w:tab/>
      </w:r>
      <w:r w:rsidRPr="00093AC5">
        <w:rPr>
          <w:rStyle w:val="FootnoteReference"/>
        </w:rPr>
        <w:footnoteRef/>
      </w:r>
      <w:r w:rsidRPr="00D10EF8">
        <w:tab/>
      </w:r>
      <w:hyperlink r:id="rId839" w:history="1">
        <w:r w:rsidR="00D301C6" w:rsidRPr="00D10EF8">
          <w:rPr>
            <w:rStyle w:val="Hyperlink"/>
            <w:lang w:val="fr-FR"/>
          </w:rPr>
          <w:t>https://www.washingtonpost.com/archive/politics/2005/06/20/seeking-more-than-apologies-for-slavery/cff95386-8fbf-417b-aae0-bdb85f1f1a97/</w:t>
        </w:r>
      </w:hyperlink>
      <w:r w:rsidR="00D301C6" w:rsidRPr="00D10EF8">
        <w:t>.</w:t>
      </w:r>
    </w:p>
  </w:footnote>
  <w:footnote w:id="698">
    <w:p w14:paraId="7C90C9FB" w14:textId="771C5D4F" w:rsidR="00D301C6" w:rsidRPr="00D10EF8" w:rsidRDefault="007F02E2" w:rsidP="005B4367">
      <w:pPr>
        <w:pStyle w:val="FootnoteText"/>
      </w:pPr>
      <w:r w:rsidRPr="00D10EF8">
        <w:tab/>
      </w:r>
      <w:r w:rsidRPr="00093AC5">
        <w:rPr>
          <w:rStyle w:val="FootnoteReference"/>
        </w:rPr>
        <w:footnoteRef/>
      </w:r>
      <w:r w:rsidRPr="004D79B5">
        <w:rPr>
          <w:lang w:val="en-US"/>
        </w:rPr>
        <w:tab/>
      </w:r>
      <w:hyperlink r:id="rId840" w:history="1">
        <w:r w:rsidR="00D301C6" w:rsidRPr="004D79B5">
          <w:rPr>
            <w:rStyle w:val="Hyperlink"/>
            <w:lang w:val="en-US"/>
          </w:rPr>
          <w:t>https://www.theguardian.com/world/2005/jan/22/usa.davidteather</w:t>
        </w:r>
      </w:hyperlink>
      <w:r w:rsidR="00BF73AB" w:rsidRPr="004D79B5">
        <w:rPr>
          <w:rStyle w:val="Hyperlink"/>
          <w:lang w:val="en-US"/>
        </w:rPr>
        <w:t> </w:t>
      </w:r>
      <w:r w:rsidR="00BF73AB" w:rsidRPr="004D79B5">
        <w:rPr>
          <w:rStyle w:val="Hyperlink"/>
          <w:color w:val="auto"/>
          <w:lang w:val="en-US"/>
        </w:rPr>
        <w:t>;</w:t>
      </w:r>
      <w:r w:rsidR="00D301C6" w:rsidRPr="004D79B5">
        <w:rPr>
          <w:lang w:val="en-US"/>
        </w:rPr>
        <w:t xml:space="preserve"> </w:t>
      </w:r>
      <w:hyperlink r:id="rId841" w:history="1">
        <w:r w:rsidR="00D301C6" w:rsidRPr="004D79B5">
          <w:rPr>
            <w:rStyle w:val="Hyperlink"/>
            <w:lang w:val="en-US"/>
          </w:rPr>
          <w:t>https://fortune.com/2020/06/18/</w:t>
        </w:r>
        <w:r w:rsidR="004D79B5" w:rsidRPr="004D79B5">
          <w:rPr>
            <w:rStyle w:val="Hyperlink"/>
            <w:lang w:val="en-US"/>
          </w:rPr>
          <w:t xml:space="preserve"> </w:t>
        </w:r>
        <w:r w:rsidR="00D301C6" w:rsidRPr="004D79B5">
          <w:rPr>
            <w:rStyle w:val="Hyperlink"/>
            <w:lang w:val="en-US"/>
          </w:rPr>
          <w:t>george-floyd-protests-uk-slavery-reparations</w:t>
        </w:r>
      </w:hyperlink>
      <w:r w:rsidR="00D301C6" w:rsidRPr="004D79B5">
        <w:rPr>
          <w:lang w:val="en-US"/>
        </w:rPr>
        <w:t xml:space="preserve">/. </w:t>
      </w:r>
      <w:r w:rsidR="00D301C6" w:rsidRPr="00D10EF8">
        <w:t xml:space="preserve">Voir également </w:t>
      </w:r>
      <w:hyperlink r:id="rId842" w:history="1">
        <w:r w:rsidR="00D301C6" w:rsidRPr="00D10EF8">
          <w:rPr>
            <w:rStyle w:val="Hyperlink"/>
            <w:lang w:val="fr-FR"/>
          </w:rPr>
          <w:t>https://www.nytimes.com/2016/12/18/</w:t>
        </w:r>
        <w:r w:rsidR="004D79B5">
          <w:rPr>
            <w:rStyle w:val="Hyperlink"/>
            <w:lang w:val="fr-FR"/>
          </w:rPr>
          <w:t xml:space="preserve"> </w:t>
        </w:r>
        <w:r w:rsidR="00D301C6" w:rsidRPr="00D10EF8">
          <w:rPr>
            <w:rStyle w:val="Hyperlink"/>
            <w:lang w:val="fr-FR"/>
          </w:rPr>
          <w:t>us/insurance-policies-on-slaves-new-york-lifes-complicated-past.html</w:t>
        </w:r>
      </w:hyperlink>
      <w:r w:rsidR="00D301C6" w:rsidRPr="00D10EF8">
        <w:t>.</w:t>
      </w:r>
    </w:p>
  </w:footnote>
  <w:footnote w:id="699">
    <w:p w14:paraId="59A1A77B" w14:textId="626602B4" w:rsidR="00D301C6" w:rsidRPr="00D10EF8" w:rsidRDefault="007F02E2" w:rsidP="005B4367">
      <w:pPr>
        <w:pStyle w:val="FootnoteText"/>
      </w:pPr>
      <w:r w:rsidRPr="00D10EF8">
        <w:tab/>
      </w:r>
      <w:r w:rsidRPr="00093AC5">
        <w:rPr>
          <w:rStyle w:val="FootnoteReference"/>
        </w:rPr>
        <w:footnoteRef/>
      </w:r>
      <w:r w:rsidRPr="00D10EF8">
        <w:tab/>
      </w:r>
      <w:hyperlink r:id="rId843" w:history="1">
        <w:r w:rsidR="00D301C6" w:rsidRPr="00D10EF8">
          <w:rPr>
            <w:rStyle w:val="Hyperlink"/>
            <w:lang w:val="fr-FR"/>
          </w:rPr>
          <w:t>https://www.courant.com/news/connecticut/hc-xpm-2000-07-04-0007040049-story.html</w:t>
        </w:r>
      </w:hyperlink>
      <w:r w:rsidR="00D301C6" w:rsidRPr="00D10EF8">
        <w:t>.</w:t>
      </w:r>
    </w:p>
  </w:footnote>
  <w:footnote w:id="700">
    <w:p w14:paraId="29A2F8EB" w14:textId="5CBF5027" w:rsidR="00D301C6" w:rsidRPr="004D79B5" w:rsidRDefault="007F02E2" w:rsidP="005B4367">
      <w:pPr>
        <w:pStyle w:val="FootnoteText"/>
        <w:rPr>
          <w:lang w:val="en-US"/>
        </w:rPr>
      </w:pPr>
      <w:r w:rsidRPr="00D10EF8">
        <w:tab/>
      </w:r>
      <w:r w:rsidRPr="00093AC5">
        <w:rPr>
          <w:rStyle w:val="FootnoteReference"/>
        </w:rPr>
        <w:footnoteRef/>
      </w:r>
      <w:r w:rsidRPr="004D79B5">
        <w:rPr>
          <w:lang w:val="en-US"/>
        </w:rPr>
        <w:tab/>
      </w:r>
      <w:hyperlink r:id="rId844" w:history="1">
        <w:r w:rsidR="00D301C6" w:rsidRPr="004D79B5">
          <w:rPr>
            <w:rStyle w:val="Hyperlink"/>
            <w:lang w:val="en-US"/>
          </w:rPr>
          <w:t>https://www.whitehouse.gov/briefing-room/presidential-actions/2021/06/18/a-proclamation-on-juneteenth-day-of-observance-2021/</w:t>
        </w:r>
      </w:hyperlink>
      <w:r w:rsidR="00BF73AB" w:rsidRPr="004D79B5">
        <w:rPr>
          <w:rStyle w:val="Hyperlink"/>
          <w:lang w:val="en-US"/>
        </w:rPr>
        <w:t> </w:t>
      </w:r>
      <w:r w:rsidR="00BF73AB" w:rsidRPr="004D79B5">
        <w:rPr>
          <w:rStyle w:val="Hyperlink"/>
          <w:color w:val="auto"/>
          <w:lang w:val="en-US"/>
        </w:rPr>
        <w:t>;</w:t>
      </w:r>
      <w:r w:rsidR="00D301C6" w:rsidRPr="004D79B5">
        <w:rPr>
          <w:lang w:val="en-US"/>
        </w:rPr>
        <w:t xml:space="preserve"> </w:t>
      </w:r>
      <w:hyperlink r:id="rId845" w:history="1">
        <w:r w:rsidR="00D301C6" w:rsidRPr="004D79B5">
          <w:rPr>
            <w:rStyle w:val="Hyperlink"/>
            <w:lang w:val="en-US"/>
          </w:rPr>
          <w:t>https://rules.house.gov/sites/democrats.rules.house.gov/</w:t>
        </w:r>
        <w:r w:rsidR="004D79B5" w:rsidRPr="004D79B5">
          <w:rPr>
            <w:rStyle w:val="Hyperlink"/>
            <w:lang w:val="en-US"/>
          </w:rPr>
          <w:t xml:space="preserve"> </w:t>
        </w:r>
        <w:r w:rsidR="00D301C6" w:rsidRPr="004D79B5">
          <w:rPr>
            <w:rStyle w:val="Hyperlink"/>
            <w:lang w:val="en-US"/>
          </w:rPr>
          <w:t>files/BILLS-117S475EIS.pdf</w:t>
        </w:r>
      </w:hyperlink>
      <w:r w:rsidR="00BF73AB" w:rsidRPr="004D79B5">
        <w:rPr>
          <w:rStyle w:val="Hyperlink"/>
          <w:lang w:val="en-US"/>
        </w:rPr>
        <w:t> </w:t>
      </w:r>
      <w:r w:rsidR="00BF73AB" w:rsidRPr="004D79B5">
        <w:rPr>
          <w:rStyle w:val="Hyperlink"/>
          <w:color w:val="auto"/>
          <w:lang w:val="en-US"/>
        </w:rPr>
        <w:t>;</w:t>
      </w:r>
      <w:r w:rsidR="00D301C6" w:rsidRPr="004D79B5">
        <w:rPr>
          <w:lang w:val="en-US"/>
        </w:rPr>
        <w:t xml:space="preserve"> </w:t>
      </w:r>
      <w:hyperlink r:id="rId846" w:history="1">
        <w:r w:rsidR="00D301C6" w:rsidRPr="004D79B5">
          <w:rPr>
            <w:rStyle w:val="Hyperlink"/>
            <w:lang w:val="en-US"/>
          </w:rPr>
          <w:t>https://twitter.com/UNHumanRights/status/1406259518753935367</w:t>
        </w:r>
      </w:hyperlink>
      <w:r w:rsidR="00D301C6" w:rsidRPr="004D79B5">
        <w:rPr>
          <w:lang w:val="en-US"/>
        </w:rPr>
        <w:t>.</w:t>
      </w:r>
    </w:p>
  </w:footnote>
  <w:footnote w:id="701">
    <w:p w14:paraId="6C34240A" w14:textId="4CF554B7" w:rsidR="00D301C6" w:rsidRPr="00D10EF8" w:rsidRDefault="007F02E2" w:rsidP="005B4367">
      <w:pPr>
        <w:pStyle w:val="FootnoteText"/>
      </w:pPr>
      <w:r w:rsidRPr="004D79B5">
        <w:rPr>
          <w:lang w:val="en-US"/>
        </w:rPr>
        <w:tab/>
      </w:r>
      <w:r w:rsidRPr="00093AC5">
        <w:rPr>
          <w:rStyle w:val="FootnoteReference"/>
        </w:rPr>
        <w:footnoteRef/>
      </w:r>
      <w:r w:rsidRPr="00D10EF8">
        <w:tab/>
      </w:r>
      <w:hyperlink r:id="rId847" w:history="1">
        <w:r w:rsidR="00D301C6" w:rsidRPr="00D10EF8">
          <w:rPr>
            <w:rStyle w:val="Hyperlink"/>
            <w:lang w:val="fr-FR"/>
          </w:rPr>
          <w:t>https://museumandmemorial.eji.org/</w:t>
        </w:r>
      </w:hyperlink>
      <w:r w:rsidR="00D301C6" w:rsidRPr="00D10EF8">
        <w:rPr>
          <w:lang w:val="fr-FR"/>
        </w:rPr>
        <w:t>.</w:t>
      </w:r>
    </w:p>
  </w:footnote>
  <w:footnote w:id="702">
    <w:p w14:paraId="27577737" w14:textId="681C9A08" w:rsidR="00D301C6" w:rsidRPr="00D10EF8" w:rsidRDefault="007F02E2" w:rsidP="005B4367">
      <w:pPr>
        <w:pStyle w:val="FootnoteText"/>
      </w:pPr>
      <w:r w:rsidRPr="00D10EF8">
        <w:tab/>
      </w:r>
      <w:r w:rsidRPr="00093AC5">
        <w:rPr>
          <w:rStyle w:val="FootnoteReference"/>
        </w:rPr>
        <w:footnoteRef/>
      </w:r>
      <w:r w:rsidRPr="00D10EF8">
        <w:tab/>
      </w:r>
      <w:hyperlink r:id="rId848" w:history="1">
        <w:r w:rsidR="00D301C6" w:rsidRPr="00D10EF8">
          <w:rPr>
            <w:rStyle w:val="Hyperlink"/>
            <w:lang w:val="fr-FR"/>
          </w:rPr>
          <w:t>https://www.hrw.org/sites/default/files/media_2020/11/tulsa-reparations0520_web.pdf</w:t>
        </w:r>
      </w:hyperlink>
      <w:r w:rsidR="00D301C6" w:rsidRPr="00D10EF8">
        <w:t xml:space="preserve">, </w:t>
      </w:r>
      <w:r w:rsidR="002A7FA1">
        <w:t>p. </w:t>
      </w:r>
      <w:r w:rsidR="00D301C6" w:rsidRPr="00D10EF8">
        <w:t xml:space="preserve">1. Voir également </w:t>
      </w:r>
      <w:hyperlink r:id="rId849" w:history="1">
        <w:r w:rsidR="00D301C6" w:rsidRPr="00D10EF8">
          <w:rPr>
            <w:rStyle w:val="Hyperlink"/>
            <w:lang w:val="fr-FR"/>
          </w:rPr>
          <w:t>https://www.okhistory.org/research/forms/freport.pdf</w:t>
        </w:r>
      </w:hyperlink>
      <w:r w:rsidR="00D301C6" w:rsidRPr="00D10EF8">
        <w:rPr>
          <w:rStyle w:val="Hyperlink"/>
          <w:lang w:val="fr-FR"/>
        </w:rPr>
        <w:t>.</w:t>
      </w:r>
    </w:p>
  </w:footnote>
  <w:footnote w:id="703">
    <w:p w14:paraId="61853BE4" w14:textId="7EDA477E" w:rsidR="00D301C6" w:rsidRPr="00D10EF8" w:rsidRDefault="007F02E2" w:rsidP="005B4367">
      <w:pPr>
        <w:pStyle w:val="FootnoteText"/>
      </w:pPr>
      <w:r w:rsidRPr="00D10EF8">
        <w:tab/>
      </w:r>
      <w:r w:rsidRPr="00093AC5">
        <w:rPr>
          <w:rStyle w:val="FootnoteReference"/>
        </w:rPr>
        <w:footnoteRef/>
      </w:r>
      <w:r w:rsidRPr="00D10EF8">
        <w:tab/>
      </w:r>
      <w:hyperlink r:id="rId850" w:history="1">
        <w:r w:rsidR="00D301C6" w:rsidRPr="00D10EF8">
          <w:rPr>
            <w:rStyle w:val="Hyperlink"/>
            <w:lang w:val="fr-FR"/>
          </w:rPr>
          <w:t>https://eji.org/news/tulsa-installs-marker-commemorating-1921-racial-terror-massacre/</w:t>
        </w:r>
      </w:hyperlink>
      <w:r w:rsidR="00D301C6" w:rsidRPr="00D10EF8">
        <w:rPr>
          <w:rStyle w:val="Hyperlink"/>
          <w:lang w:val="fr-FR"/>
        </w:rPr>
        <w:t>.</w:t>
      </w:r>
    </w:p>
  </w:footnote>
  <w:footnote w:id="704">
    <w:p w14:paraId="4F577B89" w14:textId="70139081" w:rsidR="00D301C6" w:rsidRPr="00D10EF8" w:rsidRDefault="007F02E2" w:rsidP="005B4367">
      <w:pPr>
        <w:pStyle w:val="FootnoteText"/>
      </w:pPr>
      <w:r w:rsidRPr="00D10EF8">
        <w:tab/>
      </w:r>
      <w:r w:rsidRPr="00093AC5">
        <w:rPr>
          <w:rStyle w:val="FootnoteReference"/>
        </w:rPr>
        <w:footnoteRef/>
      </w:r>
      <w:r w:rsidRPr="00D10EF8">
        <w:tab/>
      </w:r>
      <w:hyperlink r:id="rId851" w:history="1">
        <w:r w:rsidR="00D301C6" w:rsidRPr="00D10EF8">
          <w:rPr>
            <w:rStyle w:val="Hyperlink"/>
            <w:lang w:val="fr-FR"/>
          </w:rPr>
          <w:t>https://www.whitehouse.gov/briefing-room/speeches-remarks/2021/06/02/remarks-by-president-biden-commemorating-the-100th-anniversary-of-the-tulsa-race-massacre/</w:t>
        </w:r>
      </w:hyperlink>
      <w:r w:rsidR="00D301C6" w:rsidRPr="00D10EF8">
        <w:rPr>
          <w:rStyle w:val="Hyperlink"/>
          <w:lang w:val="fr-FR"/>
        </w:rPr>
        <w:t>.</w:t>
      </w:r>
    </w:p>
  </w:footnote>
  <w:footnote w:id="705">
    <w:p w14:paraId="6A2B0B36" w14:textId="3223EAE4" w:rsidR="00D301C6" w:rsidRPr="00D10EF8" w:rsidRDefault="007F02E2" w:rsidP="005B4367">
      <w:pPr>
        <w:pStyle w:val="FootnoteText"/>
      </w:pPr>
      <w:r w:rsidRPr="00D10EF8">
        <w:tab/>
      </w:r>
      <w:r w:rsidRPr="00093AC5">
        <w:rPr>
          <w:rStyle w:val="FootnoteReference"/>
        </w:rPr>
        <w:footnoteRef/>
      </w:r>
      <w:r w:rsidRPr="00D10EF8">
        <w:tab/>
      </w:r>
      <w:hyperlink r:id="rId852" w:history="1">
        <w:r w:rsidR="00D301C6" w:rsidRPr="00D10EF8">
          <w:rPr>
            <w:rStyle w:val="Hyperlink"/>
            <w:lang w:val="fr-FR"/>
          </w:rPr>
          <w:t>https://www.theguardian.com/global-development/2020/jul/01/decolonise-and-rename-streets-of-uganda-and-sudan-activists-urge</w:t>
        </w:r>
      </w:hyperlink>
      <w:r w:rsidR="00BF73AB">
        <w:rPr>
          <w:rStyle w:val="Hyperlink"/>
          <w:lang w:val="fr-FR"/>
        </w:rPr>
        <w:t> ;</w:t>
      </w:r>
      <w:r w:rsidR="00D301C6" w:rsidRPr="00D10EF8">
        <w:rPr>
          <w:rStyle w:val="Hyperlink"/>
          <w:lang w:val="fr-FR"/>
        </w:rPr>
        <w:t xml:space="preserve"> </w:t>
      </w:r>
      <w:hyperlink r:id="rId853" w:anchor="page=2" w:history="1">
        <w:r w:rsidR="00D301C6" w:rsidRPr="00D10EF8">
          <w:rPr>
            <w:rStyle w:val="Hyperlink"/>
            <w:lang w:val="fr-FR"/>
          </w:rPr>
          <w:t>https://civicus.org/documents/SOCS2021Part1.pdf#page=2</w:t>
        </w:r>
      </w:hyperlink>
      <w:r w:rsidR="00D301C6" w:rsidRPr="00D10EF8">
        <w:t>.</w:t>
      </w:r>
    </w:p>
  </w:footnote>
  <w:footnote w:id="706">
    <w:p w14:paraId="105A0BA9" w14:textId="455231B0" w:rsidR="00D301C6" w:rsidRPr="00D10EF8" w:rsidRDefault="007F02E2" w:rsidP="005B4367">
      <w:pPr>
        <w:pStyle w:val="FootnoteText"/>
      </w:pPr>
      <w:r w:rsidRPr="00D10EF8">
        <w:tab/>
      </w:r>
      <w:r w:rsidRPr="00093AC5">
        <w:rPr>
          <w:rStyle w:val="FootnoteReference"/>
        </w:rPr>
        <w:footnoteRef/>
      </w:r>
      <w:r w:rsidRPr="00D10EF8">
        <w:tab/>
      </w:r>
      <w:hyperlink r:id="rId854" w:history="1">
        <w:r w:rsidR="00D301C6" w:rsidRPr="00D10EF8">
          <w:rPr>
            <w:rStyle w:val="Hyperlink"/>
            <w:lang w:val="fr-FR"/>
          </w:rPr>
          <w:t>https://www.amnesty.org/fr/latest/news/2020/06/i-cant-breathe-refrain-reignited-movement/</w:t>
        </w:r>
      </w:hyperlink>
      <w:r w:rsidR="00D301C6" w:rsidRPr="00D10EF8">
        <w:rPr>
          <w:lang w:val="fr-FR"/>
        </w:rPr>
        <w:t>.</w:t>
      </w:r>
    </w:p>
  </w:footnote>
  <w:footnote w:id="707">
    <w:p w14:paraId="697DFB3A" w14:textId="5DB8C409" w:rsidR="00D301C6" w:rsidRPr="00D10EF8" w:rsidRDefault="007F02E2" w:rsidP="005B4367">
      <w:pPr>
        <w:pStyle w:val="FootnoteText"/>
      </w:pPr>
      <w:r w:rsidRPr="00D10EF8">
        <w:tab/>
      </w:r>
      <w:r w:rsidRPr="00093AC5">
        <w:rPr>
          <w:rStyle w:val="FootnoteReference"/>
        </w:rPr>
        <w:footnoteRef/>
      </w:r>
      <w:r w:rsidRPr="00D10EF8">
        <w:tab/>
      </w:r>
      <w:hyperlink r:id="rId855" w:history="1">
        <w:r w:rsidR="00D301C6" w:rsidRPr="00D10EF8">
          <w:rPr>
            <w:rStyle w:val="Hyperlink"/>
            <w:lang w:val="fr-FR"/>
          </w:rPr>
          <w:t>https://www.london.gov.uk/press-releases/mayoral/mayor-unveils-commission-to-review-diversity</w:t>
        </w:r>
      </w:hyperlink>
      <w:r w:rsidR="00D301C6" w:rsidRPr="00D10EF8">
        <w:t>.</w:t>
      </w:r>
    </w:p>
  </w:footnote>
  <w:footnote w:id="708">
    <w:p w14:paraId="211BE00D" w14:textId="429A5CCE" w:rsidR="00D301C6" w:rsidRPr="00D10EF8" w:rsidRDefault="007F02E2" w:rsidP="005B4367">
      <w:pPr>
        <w:pStyle w:val="FootnoteText"/>
      </w:pPr>
      <w:r w:rsidRPr="00D10EF8">
        <w:tab/>
      </w:r>
      <w:r w:rsidRPr="00093AC5">
        <w:rPr>
          <w:rStyle w:val="FootnoteReference"/>
        </w:rPr>
        <w:footnoteRef/>
      </w:r>
      <w:r w:rsidRPr="00D10EF8">
        <w:tab/>
      </w:r>
      <w:hyperlink r:id="rId856" w:history="1">
        <w:r w:rsidR="00D301C6" w:rsidRPr="00D10EF8">
          <w:rPr>
            <w:rStyle w:val="Hyperlink"/>
            <w:lang w:val="fr-FR"/>
          </w:rPr>
          <w:t>https://www.independent.co.uk/news/uk/home-news/sadiq-khan-statues-london-diversity-edward-colston-black-lives-matter-a9555941.html</w:t>
        </w:r>
      </w:hyperlink>
      <w:r w:rsidR="00D301C6" w:rsidRPr="00D10EF8">
        <w:t>.</w:t>
      </w:r>
    </w:p>
  </w:footnote>
  <w:footnote w:id="709">
    <w:p w14:paraId="456F0F7D" w14:textId="38BAAD85" w:rsidR="00D301C6" w:rsidRPr="00D10EF8" w:rsidRDefault="007F02E2" w:rsidP="005B4367">
      <w:pPr>
        <w:pStyle w:val="FootnoteText"/>
      </w:pPr>
      <w:r w:rsidRPr="00D10EF8">
        <w:tab/>
      </w:r>
      <w:r w:rsidRPr="00093AC5">
        <w:rPr>
          <w:rStyle w:val="FootnoteReference"/>
        </w:rPr>
        <w:footnoteRef/>
      </w:r>
      <w:r w:rsidRPr="00D10EF8">
        <w:tab/>
      </w:r>
      <w:hyperlink r:id="rId857" w:history="1">
        <w:r w:rsidR="00D301C6" w:rsidRPr="00D10EF8">
          <w:rPr>
            <w:rStyle w:val="Hyperlink"/>
            <w:lang w:val="fr-FR"/>
          </w:rPr>
          <w:t>https://metro.co.uk/2020/11/19/chicago-offers-reparations-to-african-americans-can-the-uk-get-it-13451195/?ito=cbshare</w:t>
        </w:r>
      </w:hyperlink>
      <w:r w:rsidR="00D301C6" w:rsidRPr="00D10EF8">
        <w:t>.</w:t>
      </w:r>
    </w:p>
  </w:footnote>
  <w:footnote w:id="710">
    <w:p w14:paraId="50B21429" w14:textId="307481CC" w:rsidR="00D301C6" w:rsidRPr="00D10EF8" w:rsidRDefault="007F02E2" w:rsidP="005B4367">
      <w:pPr>
        <w:pStyle w:val="FootnoteText"/>
      </w:pPr>
      <w:r w:rsidRPr="00D10EF8">
        <w:tab/>
      </w:r>
      <w:r w:rsidRPr="00093AC5">
        <w:rPr>
          <w:rStyle w:val="FootnoteReference"/>
        </w:rPr>
        <w:footnoteRef/>
      </w:r>
      <w:r w:rsidRPr="00D10EF8">
        <w:tab/>
      </w:r>
      <w:hyperlink r:id="rId858" w:history="1">
        <w:r w:rsidR="00D301C6" w:rsidRPr="00D10EF8">
          <w:rPr>
            <w:rStyle w:val="Hyperlink"/>
            <w:lang w:val="fr-FR"/>
          </w:rPr>
          <w:t>https://www.theguardian.com/world/2020/nov/19/banking-slavery-switzerland-examines-its-colonial-conscience</w:t>
        </w:r>
      </w:hyperlink>
      <w:r w:rsidR="00D301C6" w:rsidRPr="00D10EF8">
        <w:rPr>
          <w:rStyle w:val="Hyperlink"/>
          <w:lang w:val="fr-FR"/>
        </w:rPr>
        <w:t xml:space="preserve">. </w:t>
      </w:r>
      <w:r w:rsidR="00D301C6" w:rsidRPr="00926093">
        <w:rPr>
          <w:rStyle w:val="Hyperlink"/>
          <w:color w:val="auto"/>
          <w:lang w:val="fr-FR"/>
        </w:rPr>
        <w:t xml:space="preserve">Voir également </w:t>
      </w:r>
      <w:hyperlink r:id="rId859" w:history="1">
        <w:r w:rsidR="00D301C6" w:rsidRPr="00D10EF8">
          <w:rPr>
            <w:rStyle w:val="Hyperlink"/>
            <w:lang w:val="fr-FR"/>
          </w:rPr>
          <w:t>https://www.media.uzh.ch/en/Press-Releases/2020/Slavery.html</w:t>
        </w:r>
      </w:hyperlink>
      <w:r w:rsidR="00D301C6" w:rsidRPr="00D10EF8">
        <w:rPr>
          <w:rStyle w:val="Hyperlink"/>
          <w:lang w:val="fr-FR"/>
        </w:rPr>
        <w:t>.</w:t>
      </w:r>
    </w:p>
  </w:footnote>
  <w:footnote w:id="711">
    <w:p w14:paraId="5ABC5C5C" w14:textId="56DC15F5" w:rsidR="00D301C6" w:rsidRPr="00D10EF8" w:rsidRDefault="007F02E2" w:rsidP="005B4367">
      <w:pPr>
        <w:pStyle w:val="FootnoteText"/>
      </w:pPr>
      <w:r w:rsidRPr="00D10EF8">
        <w:tab/>
      </w:r>
      <w:r w:rsidRPr="00093AC5">
        <w:rPr>
          <w:rStyle w:val="FootnoteReference"/>
        </w:rPr>
        <w:footnoteRef/>
      </w:r>
      <w:r w:rsidRPr="00D10EF8">
        <w:tab/>
      </w:r>
      <w:hyperlink r:id="rId860" w:history="1">
        <w:r w:rsidR="00D301C6" w:rsidRPr="00D10EF8">
          <w:rPr>
            <w:rStyle w:val="Hyperlink"/>
            <w:lang w:val="fr-FR"/>
          </w:rPr>
          <w:t>https://www.tcd.ie/news_events/articles/trinity-college-begins-two-year-investigation-into-its-colonial-past/</w:t>
        </w:r>
      </w:hyperlink>
      <w:r w:rsidR="00D301C6" w:rsidRPr="00D10EF8">
        <w:t>.</w:t>
      </w:r>
    </w:p>
  </w:footnote>
  <w:footnote w:id="712">
    <w:p w14:paraId="07300BBE" w14:textId="6D54A4F7" w:rsidR="00D301C6" w:rsidRPr="00D10EF8" w:rsidRDefault="007F02E2" w:rsidP="005B4367">
      <w:pPr>
        <w:pStyle w:val="FootnoteText"/>
      </w:pPr>
      <w:r w:rsidRPr="00D10EF8">
        <w:tab/>
      </w:r>
      <w:r w:rsidRPr="00093AC5">
        <w:rPr>
          <w:rStyle w:val="FootnoteReference"/>
        </w:rPr>
        <w:footnoteRef/>
      </w:r>
      <w:r w:rsidRPr="00D10EF8">
        <w:tab/>
      </w:r>
      <w:hyperlink r:id="rId861" w:history="1">
        <w:r w:rsidR="00D301C6" w:rsidRPr="00D10EF8">
          <w:rPr>
            <w:rStyle w:val="Hyperlink"/>
            <w:lang w:val="fr-FR"/>
          </w:rPr>
          <w:t>https://www.bristol.ac.uk/news/2019/october/professor-of-the-history-of-slavery-.html</w:t>
        </w:r>
      </w:hyperlink>
      <w:r w:rsidR="00BF73AB">
        <w:rPr>
          <w:rStyle w:val="Hyperlink"/>
          <w:lang w:val="fr-FR"/>
        </w:rPr>
        <w:t> </w:t>
      </w:r>
      <w:r w:rsidR="00BF73AB" w:rsidRPr="00E46E94">
        <w:rPr>
          <w:rStyle w:val="Hyperlink"/>
          <w:color w:val="auto"/>
          <w:lang w:val="fr-FR"/>
        </w:rPr>
        <w:t>;</w:t>
      </w:r>
      <w:r w:rsidR="00D301C6" w:rsidRPr="00E46E94">
        <w:t xml:space="preserve"> </w:t>
      </w:r>
      <w:hyperlink r:id="rId862" w:history="1">
        <w:r w:rsidR="00D301C6" w:rsidRPr="00D10EF8">
          <w:rPr>
            <w:rStyle w:val="Hyperlink"/>
            <w:lang w:val="fr-FR"/>
          </w:rPr>
          <w:t>https://www.theguardian.com/education/2019/oct/30/olivette-otele-uk-first-black-female-history-professor-to-research-bristol-slavery-links</w:t>
        </w:r>
      </w:hyperlink>
      <w:r w:rsidR="00D301C6" w:rsidRPr="00D10EF8">
        <w:t>.</w:t>
      </w:r>
    </w:p>
  </w:footnote>
  <w:footnote w:id="713">
    <w:p w14:paraId="593F3517" w14:textId="5A4482C3" w:rsidR="00D301C6" w:rsidRPr="00944BEB" w:rsidRDefault="007F02E2" w:rsidP="005B4367">
      <w:pPr>
        <w:pStyle w:val="FootnoteText"/>
        <w:rPr>
          <w:lang w:val="en-US"/>
        </w:rPr>
      </w:pPr>
      <w:r w:rsidRPr="00D10EF8">
        <w:tab/>
      </w:r>
      <w:r w:rsidRPr="00093AC5">
        <w:rPr>
          <w:rStyle w:val="FootnoteReference"/>
        </w:rPr>
        <w:footnoteRef/>
      </w:r>
      <w:r w:rsidRPr="00944BEB">
        <w:rPr>
          <w:lang w:val="en-US"/>
        </w:rPr>
        <w:tab/>
      </w:r>
      <w:hyperlink r:id="rId863" w:history="1">
        <w:r w:rsidR="00D301C6" w:rsidRPr="00944BEB">
          <w:rPr>
            <w:rStyle w:val="Hyperlink"/>
            <w:lang w:val="en-US"/>
          </w:rPr>
          <w:t>https://democracy.edinburgh.gov.uk/documents/s24854/6.7%20-%20Response%20to%20Motion</w:t>
        </w:r>
        <w:r w:rsidR="00944BEB">
          <w:rPr>
            <w:rStyle w:val="Hyperlink"/>
            <w:lang w:val="en-US"/>
          </w:rPr>
          <w:t xml:space="preserve"> </w:t>
        </w:r>
        <w:r w:rsidR="00D301C6" w:rsidRPr="00944BEB">
          <w:rPr>
            <w:rStyle w:val="Hyperlink"/>
            <w:lang w:val="en-US"/>
          </w:rPr>
          <w:t>%20-%20Black%20Lives%20Matter%20v2.pdf</w:t>
        </w:r>
      </w:hyperlink>
      <w:r w:rsidR="00BF73AB" w:rsidRPr="00944BEB">
        <w:rPr>
          <w:rStyle w:val="Hyperlink"/>
          <w:lang w:val="en-US"/>
        </w:rPr>
        <w:t> </w:t>
      </w:r>
      <w:r w:rsidR="00BF73AB" w:rsidRPr="00944BEB">
        <w:rPr>
          <w:rStyle w:val="Hyperlink"/>
          <w:color w:val="auto"/>
          <w:lang w:val="en-US"/>
        </w:rPr>
        <w:t>;</w:t>
      </w:r>
      <w:r w:rsidR="00D301C6" w:rsidRPr="00944BEB">
        <w:rPr>
          <w:lang w:val="en-US"/>
        </w:rPr>
        <w:t xml:space="preserve"> </w:t>
      </w:r>
      <w:hyperlink r:id="rId864" w:history="1">
        <w:r w:rsidR="00D301C6" w:rsidRPr="00944BEB">
          <w:rPr>
            <w:rStyle w:val="Hyperlink"/>
            <w:lang w:val="en-US"/>
          </w:rPr>
          <w:t>https://www.edinburgh.gov.uk/news/article/</w:t>
        </w:r>
        <w:r w:rsidR="00944BEB">
          <w:rPr>
            <w:rStyle w:val="Hyperlink"/>
            <w:lang w:val="en-US"/>
          </w:rPr>
          <w:t xml:space="preserve"> </w:t>
        </w:r>
        <w:r w:rsidR="00D301C6" w:rsidRPr="00944BEB">
          <w:rPr>
            <w:rStyle w:val="Hyperlink"/>
            <w:lang w:val="en-US"/>
          </w:rPr>
          <w:t>13127/edinburgh-slavery-and-colonialism-legacy-review-group-an-update</w:t>
        </w:r>
      </w:hyperlink>
      <w:r w:rsidR="00D301C6" w:rsidRPr="00944BEB">
        <w:rPr>
          <w:rStyle w:val="Hyperlink"/>
          <w:lang w:val="en-US"/>
        </w:rPr>
        <w:t>.</w:t>
      </w:r>
    </w:p>
  </w:footnote>
  <w:footnote w:id="714">
    <w:p w14:paraId="68E48E9E" w14:textId="551941F9" w:rsidR="00D301C6" w:rsidRPr="00DA5E7E" w:rsidRDefault="007F02E2" w:rsidP="005B4367">
      <w:pPr>
        <w:pStyle w:val="FootnoteText"/>
        <w:rPr>
          <w:lang w:val="en-US"/>
        </w:rPr>
      </w:pPr>
      <w:r w:rsidRPr="00944BEB">
        <w:rPr>
          <w:lang w:val="en-US"/>
        </w:rPr>
        <w:tab/>
      </w:r>
      <w:r w:rsidRPr="00093AC5">
        <w:rPr>
          <w:rStyle w:val="FootnoteReference"/>
        </w:rPr>
        <w:footnoteRef/>
      </w:r>
      <w:r w:rsidRPr="00DA5E7E">
        <w:rPr>
          <w:lang w:val="en-US"/>
        </w:rPr>
        <w:tab/>
      </w:r>
      <w:hyperlink r:id="rId865" w:history="1">
        <w:r w:rsidR="00D301C6" w:rsidRPr="00813782">
          <w:rPr>
            <w:rStyle w:val="Hyperlink"/>
            <w:lang w:val="en-US"/>
          </w:rPr>
          <w:t>https://static1.squarespace.com/static/5ef1dc3c44302c215912e2d3/t/60a62e7f8c2e2e1f8d7756b0/162 1503615191/20.05.21+Commission+Press+Statement+FINAL.pdf</w:t>
        </w:r>
      </w:hyperlink>
      <w:r w:rsidR="00BF73AB">
        <w:rPr>
          <w:rStyle w:val="Hyperlink"/>
          <w:lang w:val="en-US"/>
        </w:rPr>
        <w:t> </w:t>
      </w:r>
      <w:r w:rsidR="00BF73AB" w:rsidRPr="00944BEB">
        <w:rPr>
          <w:rStyle w:val="Hyperlink"/>
          <w:color w:val="auto"/>
          <w:lang w:val="en-US"/>
        </w:rPr>
        <w:t>;</w:t>
      </w:r>
      <w:r w:rsidR="00D301C6" w:rsidRPr="00944BEB">
        <w:rPr>
          <w:lang w:val="en-US"/>
        </w:rPr>
        <w:t xml:space="preserve"> </w:t>
      </w:r>
      <w:hyperlink r:id="rId866" w:history="1">
        <w:r w:rsidR="00D301C6" w:rsidRPr="00813782">
          <w:rPr>
            <w:rStyle w:val="Hyperlink"/>
            <w:lang w:val="en-US"/>
          </w:rPr>
          <w:t>https://www.oriel.ox.ac.uk/</w:t>
        </w:r>
        <w:r w:rsidR="00944BEB">
          <w:rPr>
            <w:rStyle w:val="Hyperlink"/>
            <w:lang w:val="en-US"/>
          </w:rPr>
          <w:t xml:space="preserve"> </w:t>
        </w:r>
        <w:r w:rsidR="00D301C6" w:rsidRPr="00813782">
          <w:rPr>
            <w:rStyle w:val="Hyperlink"/>
            <w:lang w:val="en-US"/>
          </w:rPr>
          <w:t>about-college/news-events/news/decisions-made-college-following-completion-independent-commission</w:t>
        </w:r>
      </w:hyperlink>
      <w:r w:rsidR="00D301C6" w:rsidRPr="00DA5E7E">
        <w:rPr>
          <w:lang w:val="en-US"/>
        </w:rPr>
        <w:t>.</w:t>
      </w:r>
    </w:p>
  </w:footnote>
  <w:footnote w:id="715">
    <w:p w14:paraId="23402661" w14:textId="04632D3D" w:rsidR="00D301C6" w:rsidRPr="00D10EF8" w:rsidRDefault="007F02E2" w:rsidP="005B4367">
      <w:pPr>
        <w:pStyle w:val="FootnoteText"/>
      </w:pPr>
      <w:r w:rsidRPr="00DA5E7E">
        <w:rPr>
          <w:lang w:val="en-US"/>
        </w:rPr>
        <w:tab/>
      </w:r>
      <w:r w:rsidRPr="00093AC5">
        <w:rPr>
          <w:rStyle w:val="FootnoteReference"/>
        </w:rPr>
        <w:footnoteRef/>
      </w:r>
      <w:r w:rsidRPr="00D10EF8">
        <w:tab/>
      </w:r>
      <w:r w:rsidR="00D301C6" w:rsidRPr="00D10EF8">
        <w:rPr>
          <w:rFonts w:eastAsia="Arial Unicode MS"/>
          <w:lang w:val="fr-FR"/>
        </w:rPr>
        <w:t>Communication de l</w:t>
      </w:r>
      <w:r w:rsidR="00F60EAA">
        <w:rPr>
          <w:rFonts w:eastAsia="Arial Unicode MS"/>
          <w:lang w:val="fr-FR"/>
        </w:rPr>
        <w:t>’</w:t>
      </w:r>
      <w:r w:rsidR="00D301C6" w:rsidRPr="00D10EF8">
        <w:rPr>
          <w:rFonts w:eastAsia="Arial Unicode MS"/>
          <w:lang w:val="fr-FR"/>
        </w:rPr>
        <w:t>Argentine.</w:t>
      </w:r>
    </w:p>
  </w:footnote>
  <w:footnote w:id="716">
    <w:p w14:paraId="6F0D2F0D" w14:textId="28C8ACF3" w:rsidR="00D301C6" w:rsidRPr="00D10EF8" w:rsidRDefault="007F02E2" w:rsidP="005B4367">
      <w:pPr>
        <w:pStyle w:val="FootnoteText"/>
      </w:pPr>
      <w:r w:rsidRPr="00D10EF8">
        <w:tab/>
      </w:r>
      <w:r w:rsidRPr="00093AC5">
        <w:rPr>
          <w:rStyle w:val="FootnoteReference"/>
        </w:rPr>
        <w:footnoteRef/>
      </w:r>
      <w:r w:rsidRPr="00D10EF8">
        <w:tab/>
      </w:r>
      <w:r w:rsidR="00D301C6" w:rsidRPr="008D2462">
        <w:rPr>
          <w:rStyle w:val="Hyperlink"/>
          <w:spacing w:val="-2"/>
          <w:lang w:val="fr-FR"/>
        </w:rPr>
        <w:t xml:space="preserve">https://memoire-esclavage.org/. </w:t>
      </w:r>
      <w:r w:rsidR="00D301C6" w:rsidRPr="008D2462">
        <w:rPr>
          <w:rStyle w:val="Hyperlink"/>
          <w:color w:val="auto"/>
          <w:spacing w:val="-2"/>
          <w:lang w:val="fr-FR"/>
        </w:rPr>
        <w:t xml:space="preserve">Voir également </w:t>
      </w:r>
      <w:r w:rsidR="00D301C6" w:rsidRPr="008D2462">
        <w:rPr>
          <w:rStyle w:val="Hyperlink"/>
          <w:spacing w:val="-2"/>
          <w:lang w:val="fr-FR"/>
        </w:rPr>
        <w:t>https://unesdoc.unesco.org/ark:/48223/pf0000366348</w:t>
      </w:r>
      <w:r w:rsidR="00D301C6" w:rsidRPr="008D2462">
        <w:rPr>
          <w:rStyle w:val="Hyperlink"/>
          <w:color w:val="auto"/>
          <w:spacing w:val="-2"/>
          <w:lang w:val="fr-FR"/>
        </w:rPr>
        <w:t>,</w:t>
      </w:r>
      <w:r w:rsidR="00D301C6" w:rsidRPr="00944BEB">
        <w:rPr>
          <w:rStyle w:val="Hyperlink"/>
          <w:color w:val="auto"/>
          <w:lang w:val="fr-FR"/>
        </w:rPr>
        <w:t xml:space="preserve"> </w:t>
      </w:r>
      <w:r w:rsidR="002A7FA1" w:rsidRPr="00944BEB">
        <w:rPr>
          <w:rStyle w:val="Hyperlink"/>
          <w:color w:val="auto"/>
          <w:lang w:val="fr-FR"/>
        </w:rPr>
        <w:t>p. </w:t>
      </w:r>
      <w:r w:rsidR="00D301C6" w:rsidRPr="00944BEB">
        <w:rPr>
          <w:rStyle w:val="Hyperlink"/>
          <w:color w:val="auto"/>
          <w:lang w:val="fr-FR"/>
        </w:rPr>
        <w:t>14</w:t>
      </w:r>
      <w:r w:rsidR="00944BEB" w:rsidRPr="00944BEB">
        <w:rPr>
          <w:rStyle w:val="Hyperlink"/>
          <w:color w:val="auto"/>
          <w:lang w:val="fr-FR"/>
        </w:rPr>
        <w:t xml:space="preserve"> et </w:t>
      </w:r>
      <w:r w:rsidR="00D301C6" w:rsidRPr="00944BEB">
        <w:rPr>
          <w:rStyle w:val="Hyperlink"/>
          <w:color w:val="auto"/>
          <w:lang w:val="fr-FR"/>
        </w:rPr>
        <w:t>15</w:t>
      </w:r>
      <w:r w:rsidR="00BF73AB" w:rsidRPr="00944BEB">
        <w:rPr>
          <w:rStyle w:val="Hyperlink"/>
          <w:color w:val="auto"/>
          <w:lang w:val="fr-FR"/>
        </w:rPr>
        <w:t> ;</w:t>
      </w:r>
      <w:r w:rsidR="00D301C6" w:rsidRPr="00944BEB">
        <w:rPr>
          <w:rStyle w:val="Hyperlink"/>
          <w:color w:val="auto"/>
          <w:lang w:val="fr-FR"/>
        </w:rPr>
        <w:t xml:space="preserve"> </w:t>
      </w:r>
      <w:r w:rsidR="00D301C6" w:rsidRPr="00D10EF8">
        <w:rPr>
          <w:rStyle w:val="Hyperlink"/>
          <w:lang w:val="fr-FR"/>
        </w:rPr>
        <w:t>https://www.independent.co.uk/travel/europe/amsterdam-black-lives-matter-netherlands-heritage-tour-slavery-dutch-east-india-company-a9595986.html.</w:t>
      </w:r>
    </w:p>
  </w:footnote>
  <w:footnote w:id="717">
    <w:p w14:paraId="67D3016D" w14:textId="588C4324" w:rsidR="00D301C6" w:rsidRPr="00D10EF8" w:rsidRDefault="007F02E2" w:rsidP="005B4367">
      <w:pPr>
        <w:pStyle w:val="FootnoteText"/>
      </w:pPr>
      <w:r w:rsidRPr="00D10EF8">
        <w:tab/>
      </w:r>
      <w:r w:rsidRPr="00093AC5">
        <w:rPr>
          <w:rStyle w:val="FootnoteReference"/>
        </w:rPr>
        <w:footnoteRef/>
      </w:r>
      <w:r w:rsidRPr="00D10EF8">
        <w:tab/>
      </w:r>
      <w:hyperlink r:id="rId867" w:history="1">
        <w:r w:rsidR="00D301C6" w:rsidRPr="00D10EF8">
          <w:rPr>
            <w:rStyle w:val="Hyperlink"/>
            <w:lang w:val="fr-FR"/>
          </w:rPr>
          <w:t>https://www.bordeaux.fr/p137697/modeste-testas</w:t>
        </w:r>
      </w:hyperlink>
      <w:r w:rsidR="00D301C6" w:rsidRPr="00D10EF8">
        <w:t>.</w:t>
      </w:r>
    </w:p>
  </w:footnote>
  <w:footnote w:id="718">
    <w:p w14:paraId="24EAAE9B" w14:textId="294D3F15" w:rsidR="00D301C6" w:rsidRPr="00D10EF8" w:rsidRDefault="007F02E2" w:rsidP="005B4367">
      <w:pPr>
        <w:pStyle w:val="FootnoteText"/>
      </w:pPr>
      <w:r w:rsidRPr="00D10EF8">
        <w:tab/>
      </w:r>
      <w:r w:rsidRPr="00093AC5">
        <w:rPr>
          <w:rStyle w:val="FootnoteReference"/>
        </w:rPr>
        <w:footnoteRef/>
      </w:r>
      <w:r w:rsidRPr="00D10EF8">
        <w:tab/>
      </w:r>
      <w:hyperlink r:id="rId868" w:history="1">
        <w:r w:rsidR="00D301C6" w:rsidRPr="00D10EF8">
          <w:rPr>
            <w:rStyle w:val="Hyperlink"/>
            <w:lang w:val="fr-FR"/>
          </w:rPr>
          <w:t>https://www.nytimes.com/2020/06/24/world/europe/france-george-floyd-racism-slave-trade.html</w:t>
        </w:r>
      </w:hyperlink>
      <w:r w:rsidR="00BF73AB">
        <w:rPr>
          <w:rStyle w:val="Hyperlink"/>
          <w:lang w:val="fr-FR"/>
        </w:rPr>
        <w:t> </w:t>
      </w:r>
      <w:r w:rsidR="00BF73AB" w:rsidRPr="008D2462">
        <w:rPr>
          <w:rStyle w:val="Hyperlink"/>
          <w:color w:val="auto"/>
          <w:lang w:val="fr-FR"/>
        </w:rPr>
        <w:t>;</w:t>
      </w:r>
      <w:r w:rsidR="00D301C6" w:rsidRPr="008D2462">
        <w:rPr>
          <w:rStyle w:val="Hyperlink"/>
          <w:color w:val="auto"/>
          <w:lang w:val="fr-FR"/>
        </w:rPr>
        <w:t xml:space="preserve"> </w:t>
      </w:r>
      <w:hyperlink r:id="rId869" w:history="1">
        <w:r w:rsidR="00D301C6" w:rsidRPr="00D10EF8">
          <w:rPr>
            <w:rStyle w:val="Hyperlink"/>
            <w:lang w:val="fr-FR"/>
          </w:rPr>
          <w:t>https://www.lemonde.fr/afrique/article/2019/12/03/a-bordeaux-une-sculpture-pour-rappeler-le-passe-negrier-de-la-ville_6021449_3212.html</w:t>
        </w:r>
      </w:hyperlink>
      <w:r w:rsidR="00BF73AB">
        <w:rPr>
          <w:rStyle w:val="Hyperlink"/>
          <w:lang w:val="fr-FR"/>
        </w:rPr>
        <w:t> </w:t>
      </w:r>
      <w:r w:rsidR="00BF73AB" w:rsidRPr="008D2462">
        <w:rPr>
          <w:rStyle w:val="Hyperlink"/>
          <w:color w:val="auto"/>
          <w:lang w:val="fr-FR"/>
        </w:rPr>
        <w:t>;</w:t>
      </w:r>
      <w:r w:rsidR="00D301C6" w:rsidRPr="00D10EF8">
        <w:rPr>
          <w:rStyle w:val="Hyperlink"/>
          <w:lang w:val="fr-FR"/>
        </w:rPr>
        <w:t xml:space="preserve"> https://www.memoire-esclavage-bordeaux.fr/parcours-memoriel/rue-gramont.</w:t>
      </w:r>
    </w:p>
  </w:footnote>
  <w:footnote w:id="719">
    <w:p w14:paraId="5A393B63" w14:textId="200C61F4" w:rsidR="00D301C6" w:rsidRPr="00D10EF8" w:rsidRDefault="007F02E2" w:rsidP="005B4367">
      <w:pPr>
        <w:pStyle w:val="FootnoteText"/>
      </w:pPr>
      <w:r w:rsidRPr="00D10EF8">
        <w:tab/>
      </w:r>
      <w:r w:rsidRPr="00093AC5">
        <w:rPr>
          <w:rStyle w:val="FootnoteReference"/>
        </w:rPr>
        <w:footnoteRef/>
      </w:r>
      <w:r w:rsidRPr="00D10EF8">
        <w:tab/>
      </w:r>
      <w:hyperlink r:id="rId870" w:history="1">
        <w:r w:rsidR="00D301C6" w:rsidRPr="00D10EF8">
          <w:rPr>
            <w:rStyle w:val="Hyperlink"/>
            <w:lang w:val="fr-FR"/>
          </w:rPr>
          <w:t>https://www.independent.co.uk/news/world/europe/belgium-king-leopold-statue-who-colonial-africa-congo-black-lives-matter-a9560291.html</w:t>
        </w:r>
      </w:hyperlink>
      <w:r w:rsidR="00D301C6" w:rsidRPr="00D10EF8">
        <w:rPr>
          <w:rStyle w:val="Hyperlink"/>
          <w:lang w:val="fr-FR"/>
        </w:rPr>
        <w:t>.</w:t>
      </w:r>
    </w:p>
  </w:footnote>
  <w:footnote w:id="720">
    <w:p w14:paraId="60A81EF4" w14:textId="29AFD030" w:rsidR="00D301C6" w:rsidRPr="00D10EF8" w:rsidRDefault="007F02E2" w:rsidP="005B4367">
      <w:pPr>
        <w:pStyle w:val="FootnoteText"/>
      </w:pPr>
      <w:r w:rsidRPr="00D10EF8">
        <w:tab/>
      </w:r>
      <w:r w:rsidRPr="00093AC5">
        <w:rPr>
          <w:rStyle w:val="FootnoteReference"/>
        </w:rPr>
        <w:footnoteRef/>
      </w:r>
      <w:r w:rsidRPr="00D10EF8">
        <w:tab/>
      </w:r>
      <w:hyperlink r:id="rId871" w:history="1">
        <w:r w:rsidR="00D301C6" w:rsidRPr="00D10EF8">
          <w:rPr>
            <w:rStyle w:val="Hyperlink"/>
            <w:lang w:val="fr-FR"/>
          </w:rPr>
          <w:t>https://unesdoc.unesco.org/ark:/48223/pf0000366348</w:t>
        </w:r>
      </w:hyperlink>
      <w:r w:rsidR="00D301C6" w:rsidRPr="00D10EF8">
        <w:rPr>
          <w:rStyle w:val="Hyperlink"/>
          <w:lang w:val="fr-FR"/>
        </w:rPr>
        <w:t>.</w:t>
      </w:r>
    </w:p>
  </w:footnote>
  <w:footnote w:id="721">
    <w:p w14:paraId="2CB85640" w14:textId="25A61F2D" w:rsidR="00D301C6" w:rsidRPr="00D10EF8" w:rsidRDefault="007F02E2" w:rsidP="005B4367">
      <w:pPr>
        <w:pStyle w:val="FootnoteText"/>
      </w:pPr>
      <w:r w:rsidRPr="00D10EF8">
        <w:tab/>
      </w:r>
      <w:r w:rsidRPr="00093AC5">
        <w:rPr>
          <w:rStyle w:val="FootnoteReference"/>
        </w:rPr>
        <w:footnoteRef/>
      </w:r>
      <w:r w:rsidRPr="00D10EF8">
        <w:tab/>
      </w:r>
      <w:hyperlink r:id="rId872" w:history="1">
        <w:r w:rsidR="00D301C6" w:rsidRPr="00813782">
          <w:rPr>
            <w:rStyle w:val="Hyperlink"/>
            <w:lang w:val="fr-FR"/>
          </w:rPr>
          <w:t>https://www.unesco.org/fr/articles/archives-du-commerce-des-esclaves</w:t>
        </w:r>
      </w:hyperlink>
      <w:r w:rsidR="00D301C6" w:rsidRPr="00D10EF8">
        <w:rPr>
          <w:rStyle w:val="Hyperlink"/>
          <w:lang w:val="fr-FR"/>
        </w:rPr>
        <w:t>.</w:t>
      </w:r>
    </w:p>
  </w:footnote>
  <w:footnote w:id="722">
    <w:p w14:paraId="36D1A666" w14:textId="2D5C8B4A" w:rsidR="00D301C6" w:rsidRPr="00D10EF8" w:rsidRDefault="007F02E2" w:rsidP="005B4367">
      <w:pPr>
        <w:pStyle w:val="FootnoteText"/>
      </w:pPr>
      <w:r w:rsidRPr="00D10EF8">
        <w:tab/>
      </w:r>
      <w:r w:rsidRPr="00093AC5">
        <w:rPr>
          <w:rStyle w:val="FootnoteReference"/>
        </w:rPr>
        <w:footnoteRef/>
      </w:r>
      <w:r w:rsidRPr="00D10EF8">
        <w:tab/>
      </w:r>
      <w:hyperlink r:id="rId873" w:history="1">
        <w:r w:rsidR="00D301C6" w:rsidRPr="00D10EF8">
          <w:rPr>
            <w:rStyle w:val="Hyperlink"/>
            <w:lang w:val="fr-FR"/>
          </w:rPr>
          <w:t>https://unesdoc.unesco.org/ark:/48223/pf0000366348</w:t>
        </w:r>
      </w:hyperlink>
      <w:r w:rsidR="00D301C6" w:rsidRPr="00D10EF8">
        <w:t xml:space="preserve">, </w:t>
      </w:r>
      <w:r w:rsidR="002A7FA1">
        <w:t>p. </w:t>
      </w:r>
      <w:r w:rsidR="00D301C6" w:rsidRPr="00D10EF8">
        <w:t>53.</w:t>
      </w:r>
    </w:p>
  </w:footnote>
  <w:footnote w:id="723">
    <w:p w14:paraId="23E96608" w14:textId="31E501DF" w:rsidR="00D301C6" w:rsidRPr="000F136E" w:rsidRDefault="007F02E2" w:rsidP="005B4367">
      <w:pPr>
        <w:pStyle w:val="FootnoteText"/>
        <w:rPr>
          <w:lang w:val="en-US"/>
        </w:rPr>
      </w:pPr>
      <w:r w:rsidRPr="00D10EF8">
        <w:tab/>
      </w:r>
      <w:r w:rsidRPr="00093AC5">
        <w:rPr>
          <w:rStyle w:val="FootnoteReference"/>
        </w:rPr>
        <w:footnoteRef/>
      </w:r>
      <w:r w:rsidRPr="000F136E">
        <w:rPr>
          <w:lang w:val="en-US"/>
        </w:rPr>
        <w:tab/>
      </w:r>
      <w:hyperlink r:id="rId874" w:history="1">
        <w:r w:rsidR="00D301C6" w:rsidRPr="000F136E">
          <w:rPr>
            <w:rStyle w:val="Hyperlink"/>
            <w:lang w:val="en-US"/>
          </w:rPr>
          <w:t>https://caricomreparations.org/caricom/caricoms-10-point-reparation-plan/</w:t>
        </w:r>
      </w:hyperlink>
      <w:r w:rsidR="00BF73AB" w:rsidRPr="000F136E">
        <w:rPr>
          <w:lang w:val="en-US"/>
        </w:rPr>
        <w:t> ;</w:t>
      </w:r>
      <w:r w:rsidR="00D301C6" w:rsidRPr="000F136E">
        <w:rPr>
          <w:lang w:val="en-US"/>
        </w:rPr>
        <w:t xml:space="preserve"> </w:t>
      </w:r>
      <w:r w:rsidR="00D301C6" w:rsidRPr="000F136E">
        <w:rPr>
          <w:rStyle w:val="Hyperlink"/>
          <w:lang w:val="en-US"/>
        </w:rPr>
        <w:t>https://caricom.org/</w:t>
      </w:r>
      <w:r w:rsidR="000F136E" w:rsidRPr="000F136E">
        <w:rPr>
          <w:rStyle w:val="Hyperlink"/>
          <w:lang w:val="en-US"/>
        </w:rPr>
        <w:t xml:space="preserve"> </w:t>
      </w:r>
      <w:r w:rsidR="00D301C6" w:rsidRPr="000F136E">
        <w:rPr>
          <w:rStyle w:val="Hyperlink"/>
          <w:lang w:val="en-US"/>
        </w:rPr>
        <w:t>reparations-for-native-genocide-and-slavery/</w:t>
      </w:r>
      <w:r w:rsidR="00D301C6" w:rsidRPr="000F136E">
        <w:rPr>
          <w:lang w:val="en-US"/>
        </w:rPr>
        <w:t>.</w:t>
      </w:r>
    </w:p>
  </w:footnote>
  <w:footnote w:id="724">
    <w:p w14:paraId="4BFC059D" w14:textId="014E9055" w:rsidR="00D301C6" w:rsidRPr="00D10EF8" w:rsidRDefault="007F02E2" w:rsidP="005B4367">
      <w:pPr>
        <w:pStyle w:val="FootnoteText"/>
      </w:pPr>
      <w:r w:rsidRPr="000F136E">
        <w:rPr>
          <w:lang w:val="en-US"/>
        </w:rPr>
        <w:tab/>
      </w:r>
      <w:r w:rsidRPr="00093AC5">
        <w:rPr>
          <w:rStyle w:val="FootnoteReference"/>
        </w:rPr>
        <w:footnoteRef/>
      </w:r>
      <w:r w:rsidRPr="00D10EF8">
        <w:tab/>
      </w:r>
      <w:hyperlink r:id="rId875" w:history="1">
        <w:r w:rsidR="00D301C6" w:rsidRPr="00D10EF8">
          <w:rPr>
            <w:rStyle w:val="Hyperlink"/>
            <w:lang w:val="fr-FR"/>
          </w:rPr>
          <w:t>http://celac.cubaminrex.cu/sites/default/files/ficheros/esclavitud_final.pdf</w:t>
        </w:r>
      </w:hyperlink>
      <w:r w:rsidR="00BF73AB">
        <w:rPr>
          <w:rStyle w:val="Hyperlink"/>
          <w:lang w:val="fr-FR"/>
        </w:rPr>
        <w:t> </w:t>
      </w:r>
      <w:r w:rsidR="00BF73AB" w:rsidRPr="00720665">
        <w:rPr>
          <w:rStyle w:val="Hyperlink"/>
          <w:color w:val="auto"/>
          <w:lang w:val="fr-FR"/>
        </w:rPr>
        <w:t>;</w:t>
      </w:r>
      <w:r w:rsidR="00D301C6" w:rsidRPr="00D10EF8">
        <w:t xml:space="preserve"> </w:t>
      </w:r>
      <w:hyperlink r:id="rId876" w:history="1">
        <w:r w:rsidR="00D301C6" w:rsidRPr="00D10EF8">
          <w:rPr>
            <w:rStyle w:val="Hyperlink"/>
            <w:lang w:val="fr-FR"/>
          </w:rPr>
          <w:t>https://acs-aec.org/index.php?q=press-center/releases/2019/sg-soomer-75-years-after-capitalism-and-slavery-work-still-important</w:t>
        </w:r>
      </w:hyperlink>
      <w:r w:rsidR="00BF73AB">
        <w:rPr>
          <w:rStyle w:val="Hyperlink"/>
          <w:lang w:val="fr-FR"/>
        </w:rPr>
        <w:t> </w:t>
      </w:r>
      <w:r w:rsidR="00BF73AB" w:rsidRPr="00720665">
        <w:rPr>
          <w:rStyle w:val="Hyperlink"/>
          <w:color w:val="auto"/>
          <w:lang w:val="fr-FR"/>
        </w:rPr>
        <w:t>;</w:t>
      </w:r>
      <w:r w:rsidR="00D301C6" w:rsidRPr="00D10EF8">
        <w:t xml:space="preserve"> </w:t>
      </w:r>
      <w:hyperlink r:id="rId877" w:history="1">
        <w:r w:rsidR="00D301C6" w:rsidRPr="00D10EF8">
          <w:rPr>
            <w:rStyle w:val="Hyperlink"/>
            <w:lang w:val="fr-FR"/>
          </w:rPr>
          <w:t>https://caribbeanempowerment.wordpress.com/2021/03/12/reparations-issues/</w:t>
        </w:r>
      </w:hyperlink>
      <w:r w:rsidR="00D301C6" w:rsidRPr="00D10EF8">
        <w:t>.</w:t>
      </w:r>
    </w:p>
  </w:footnote>
  <w:footnote w:id="725">
    <w:p w14:paraId="1E704788" w14:textId="1198F9CE" w:rsidR="00D301C6" w:rsidRPr="00D10EF8" w:rsidRDefault="007F02E2" w:rsidP="005B4367">
      <w:pPr>
        <w:pStyle w:val="FootnoteText"/>
      </w:pPr>
      <w:r w:rsidRPr="00D10EF8">
        <w:tab/>
      </w:r>
      <w:r w:rsidRPr="00093AC5">
        <w:rPr>
          <w:rStyle w:val="FootnoteReference"/>
        </w:rPr>
        <w:footnoteRef/>
      </w:r>
      <w:r w:rsidRPr="00D10EF8">
        <w:tab/>
      </w:r>
      <w:hyperlink r:id="rId878" w:history="1">
        <w:r w:rsidR="00D301C6" w:rsidRPr="00D10EF8">
          <w:rPr>
            <w:rStyle w:val="Hyperlink"/>
            <w:lang w:val="fr-FR"/>
          </w:rPr>
          <w:t>https://caricomreparations.org/caricom/caricoms-10-point-reparation-plan/</w:t>
        </w:r>
      </w:hyperlink>
      <w:r w:rsidR="00D301C6" w:rsidRPr="00D10EF8">
        <w:t>.</w:t>
      </w:r>
    </w:p>
  </w:footnote>
  <w:footnote w:id="726">
    <w:p w14:paraId="5474EAAC" w14:textId="6A8ECC11" w:rsidR="00D301C6" w:rsidRPr="00D10EF8" w:rsidRDefault="007F02E2" w:rsidP="005B4367">
      <w:pPr>
        <w:pStyle w:val="FootnoteText"/>
      </w:pPr>
      <w:r w:rsidRPr="00D10EF8">
        <w:tab/>
      </w:r>
      <w:r w:rsidRPr="00093AC5">
        <w:rPr>
          <w:rStyle w:val="FootnoteReference"/>
        </w:rPr>
        <w:footnoteRef/>
      </w:r>
      <w:r w:rsidRPr="00D10EF8">
        <w:tab/>
      </w:r>
      <w:hyperlink r:id="rId879" w:history="1">
        <w:r w:rsidR="00D301C6" w:rsidRPr="00D10EF8">
          <w:rPr>
            <w:rStyle w:val="Hyperlink"/>
            <w:lang w:val="fr-FR"/>
          </w:rPr>
          <w:t>https://www.theguardian.com/world/2014/feb/24/uk-resists-reparation-slavery</w:t>
        </w:r>
      </w:hyperlink>
      <w:r w:rsidR="00D301C6" w:rsidRPr="00D10EF8">
        <w:t>.</w:t>
      </w:r>
    </w:p>
  </w:footnote>
  <w:footnote w:id="727">
    <w:p w14:paraId="245BA027" w14:textId="5B081CFF" w:rsidR="00D301C6" w:rsidRPr="00D10EF8" w:rsidRDefault="007F02E2" w:rsidP="005B4367">
      <w:pPr>
        <w:pStyle w:val="FootnoteText"/>
      </w:pPr>
      <w:r w:rsidRPr="00D10EF8">
        <w:tab/>
      </w:r>
      <w:r w:rsidRPr="00093AC5">
        <w:rPr>
          <w:rStyle w:val="FootnoteReference"/>
        </w:rPr>
        <w:footnoteRef/>
      </w:r>
      <w:r w:rsidRPr="00D10EF8">
        <w:tab/>
      </w:r>
      <w:hyperlink r:id="rId880" w:history="1">
        <w:r w:rsidR="00D301C6" w:rsidRPr="00D10EF8">
          <w:rPr>
            <w:rStyle w:val="Hyperlink"/>
            <w:lang w:val="fr-FR"/>
          </w:rPr>
          <w:t>https://www.europarl.europa.eu/doceo/document/B-8-2019-0212_FR.html</w:t>
        </w:r>
      </w:hyperlink>
      <w:r w:rsidR="00D301C6" w:rsidRPr="00D10EF8">
        <w:t xml:space="preserve">, </w:t>
      </w:r>
      <w:r w:rsidR="002A7FA1">
        <w:t>par. </w:t>
      </w:r>
      <w:r w:rsidR="00D301C6" w:rsidRPr="00D10EF8">
        <w:t>8.</w:t>
      </w:r>
    </w:p>
  </w:footnote>
  <w:footnote w:id="728">
    <w:p w14:paraId="6A1BBF93" w14:textId="1FA505E9" w:rsidR="00D301C6" w:rsidRPr="00277D26" w:rsidRDefault="007F02E2" w:rsidP="005B4367">
      <w:pPr>
        <w:pStyle w:val="FootnoteText"/>
        <w:rPr>
          <w:lang w:val="en-US"/>
        </w:rPr>
      </w:pPr>
      <w:r w:rsidRPr="00D10EF8">
        <w:tab/>
      </w:r>
      <w:r w:rsidRPr="00093AC5">
        <w:rPr>
          <w:rStyle w:val="FootnoteReference"/>
        </w:rPr>
        <w:footnoteRef/>
      </w:r>
      <w:r w:rsidRPr="00277D26">
        <w:rPr>
          <w:lang w:val="en-US"/>
        </w:rPr>
        <w:tab/>
      </w:r>
      <w:r w:rsidR="00D301C6" w:rsidRPr="00277D26">
        <w:rPr>
          <w:lang w:val="en-US"/>
        </w:rPr>
        <w:t>CM/Res.1339 (LIV)</w:t>
      </w:r>
      <w:r w:rsidR="00BF73AB" w:rsidRPr="00277D26">
        <w:rPr>
          <w:lang w:val="en-US"/>
        </w:rPr>
        <w:t> ;</w:t>
      </w:r>
      <w:r w:rsidR="00D301C6" w:rsidRPr="00277D26">
        <w:rPr>
          <w:lang w:val="en-US"/>
        </w:rPr>
        <w:t xml:space="preserve"> </w:t>
      </w:r>
      <w:hyperlink r:id="rId881" w:history="1">
        <w:r w:rsidR="00D301C6" w:rsidRPr="00277D26">
          <w:rPr>
            <w:rStyle w:val="Hyperlink"/>
            <w:lang w:val="en-US"/>
          </w:rPr>
          <w:t>https://au.int/sites/default/files/decisions/9621-council_en_27_may_</w:t>
        </w:r>
        <w:r w:rsidR="00277D26">
          <w:rPr>
            <w:rStyle w:val="Hyperlink"/>
            <w:lang w:val="en-US"/>
          </w:rPr>
          <w:t xml:space="preserve"> </w:t>
        </w:r>
        <w:r w:rsidR="00D301C6" w:rsidRPr="00277D26">
          <w:rPr>
            <w:rStyle w:val="Hyperlink"/>
            <w:lang w:val="en-US"/>
          </w:rPr>
          <w:t>28_june_1991_council_ministers_fifty_fourth_ordinary_session.pdf</w:t>
        </w:r>
      </w:hyperlink>
      <w:r w:rsidR="00BF73AB" w:rsidRPr="00277D26">
        <w:rPr>
          <w:rStyle w:val="Hyperlink"/>
          <w:lang w:val="en-US"/>
        </w:rPr>
        <w:t> ;</w:t>
      </w:r>
      <w:r w:rsidR="00D301C6" w:rsidRPr="00277D26">
        <w:rPr>
          <w:lang w:val="en-US"/>
        </w:rPr>
        <w:t xml:space="preserve"> CM/Res.1373 (LV)</w:t>
      </w:r>
      <w:r w:rsidR="00BF73AB" w:rsidRPr="00277D26">
        <w:rPr>
          <w:lang w:val="en-US"/>
        </w:rPr>
        <w:t> ;</w:t>
      </w:r>
      <w:r w:rsidR="00D301C6" w:rsidRPr="00277D26">
        <w:rPr>
          <w:lang w:val="en-US"/>
        </w:rPr>
        <w:t xml:space="preserve"> </w:t>
      </w:r>
      <w:hyperlink r:id="rId882" w:history="1">
        <w:r w:rsidR="00D301C6" w:rsidRPr="00277D26">
          <w:rPr>
            <w:rStyle w:val="Hyperlink"/>
            <w:lang w:val="en-US"/>
          </w:rPr>
          <w:t>https://au.int/sites/default/files/decisions/9618-council_en_24_28_february_1992_council_ministers_</w:t>
        </w:r>
        <w:r w:rsidR="00277D26">
          <w:rPr>
            <w:rStyle w:val="Hyperlink"/>
            <w:lang w:val="en-US"/>
          </w:rPr>
          <w:t xml:space="preserve"> </w:t>
        </w:r>
        <w:r w:rsidR="00D301C6" w:rsidRPr="00277D26">
          <w:rPr>
            <w:rStyle w:val="Hyperlink"/>
            <w:lang w:val="en-US"/>
          </w:rPr>
          <w:t>fifty_fifth_ordinary_session.pdf</w:t>
        </w:r>
      </w:hyperlink>
      <w:r w:rsidR="00BF73AB" w:rsidRPr="00277D26">
        <w:rPr>
          <w:rStyle w:val="Hyperlink"/>
          <w:lang w:val="en-US"/>
        </w:rPr>
        <w:t> ;</w:t>
      </w:r>
      <w:r w:rsidR="00D301C6" w:rsidRPr="00277D26">
        <w:rPr>
          <w:lang w:val="en-US"/>
        </w:rPr>
        <w:t xml:space="preserve"> CM/Res.1391 (LVI)</w:t>
      </w:r>
      <w:r w:rsidR="00BF73AB" w:rsidRPr="00277D26">
        <w:rPr>
          <w:lang w:val="en-US"/>
        </w:rPr>
        <w:t> ;</w:t>
      </w:r>
      <w:r w:rsidR="00D301C6" w:rsidRPr="00277D26">
        <w:rPr>
          <w:lang w:val="en-US"/>
        </w:rPr>
        <w:t xml:space="preserve"> </w:t>
      </w:r>
      <w:hyperlink r:id="rId883" w:history="1">
        <w:r w:rsidR="00D301C6" w:rsidRPr="00277D26">
          <w:rPr>
            <w:rStyle w:val="Hyperlink"/>
            <w:lang w:val="en-US"/>
          </w:rPr>
          <w:t>https://au.int/sites/default/files/decisions/</w:t>
        </w:r>
        <w:r w:rsidR="00277D26">
          <w:rPr>
            <w:rStyle w:val="Hyperlink"/>
            <w:lang w:val="en-US"/>
          </w:rPr>
          <w:t xml:space="preserve"> </w:t>
        </w:r>
        <w:r w:rsidR="00D301C6" w:rsidRPr="00277D26">
          <w:rPr>
            <w:rStyle w:val="Hyperlink"/>
            <w:lang w:val="en-US"/>
          </w:rPr>
          <w:t>9616-council_en_22_28_june_1992_council_ministers_fifty_sixth_ordinary_session.pdf</w:t>
        </w:r>
      </w:hyperlink>
      <w:r w:rsidR="00D301C6" w:rsidRPr="00277D26">
        <w:rPr>
          <w:lang w:val="en-US"/>
        </w:rPr>
        <w:t>.</w:t>
      </w:r>
    </w:p>
  </w:footnote>
  <w:footnote w:id="729">
    <w:p w14:paraId="45914836" w14:textId="0F77A770" w:rsidR="00D301C6" w:rsidRPr="00DA5E7E" w:rsidRDefault="007F02E2" w:rsidP="005B4367">
      <w:pPr>
        <w:pStyle w:val="FootnoteText"/>
        <w:rPr>
          <w:lang w:val="en-US"/>
        </w:rPr>
      </w:pPr>
      <w:r w:rsidRPr="00277D26">
        <w:rPr>
          <w:lang w:val="en-US"/>
        </w:rPr>
        <w:tab/>
      </w:r>
      <w:r w:rsidRPr="00093AC5">
        <w:rPr>
          <w:rStyle w:val="FootnoteReference"/>
        </w:rPr>
        <w:footnoteRef/>
      </w:r>
      <w:r w:rsidRPr="00DA5E7E">
        <w:rPr>
          <w:lang w:val="en-US"/>
        </w:rPr>
        <w:tab/>
      </w:r>
      <w:r w:rsidR="00D301C6" w:rsidRPr="00DA5E7E">
        <w:rPr>
          <w:lang w:val="en-US"/>
        </w:rPr>
        <w:t xml:space="preserve">Ana Lucia Araujo, Reparations for Slavery and the Slave Trade: A Transnational and Comparative History, New York: Bloomsbury Academic, 2017, </w:t>
      </w:r>
      <w:r w:rsidR="002A7FA1" w:rsidRPr="00DA5E7E">
        <w:rPr>
          <w:lang w:val="en-US"/>
        </w:rPr>
        <w:t>p. </w:t>
      </w:r>
      <w:r w:rsidR="00D301C6" w:rsidRPr="00DA5E7E">
        <w:rPr>
          <w:lang w:val="en-US"/>
        </w:rPr>
        <w:t>155 et 156</w:t>
      </w:r>
      <w:r w:rsidR="00BF73AB">
        <w:rPr>
          <w:lang w:val="en-US"/>
        </w:rPr>
        <w:t> ;</w:t>
      </w:r>
      <w:r w:rsidR="00D301C6" w:rsidRPr="00DA5E7E">
        <w:rPr>
          <w:lang w:val="en-US"/>
        </w:rPr>
        <w:t xml:space="preserve"> Elazar Barkan, The Guilt of Nations, Norton: New York, 2000, </w:t>
      </w:r>
      <w:r w:rsidR="002A7FA1" w:rsidRPr="00DA5E7E">
        <w:rPr>
          <w:lang w:val="en-US"/>
        </w:rPr>
        <w:t>p. </w:t>
      </w:r>
      <w:r w:rsidR="00D301C6" w:rsidRPr="00DA5E7E">
        <w:rPr>
          <w:lang w:val="en-US"/>
        </w:rPr>
        <w:t>301 et 302</w:t>
      </w:r>
      <w:r w:rsidR="00BF73AB">
        <w:rPr>
          <w:lang w:val="en-US"/>
        </w:rPr>
        <w:t> ;</w:t>
      </w:r>
      <w:r w:rsidR="00D301C6" w:rsidRPr="00DA5E7E">
        <w:rPr>
          <w:lang w:val="en-US"/>
        </w:rPr>
        <w:t xml:space="preserve"> </w:t>
      </w:r>
      <w:hyperlink r:id="rId884" w:history="1">
        <w:r w:rsidR="00D301C6" w:rsidRPr="00813782">
          <w:rPr>
            <w:rStyle w:val="Hyperlink"/>
            <w:lang w:val="en-US"/>
          </w:rPr>
          <w:t>https://journals.openedition.org/etudesafricaines/4543</w:t>
        </w:r>
      </w:hyperlink>
      <w:r w:rsidR="00BF73AB">
        <w:rPr>
          <w:rStyle w:val="Hyperlink"/>
          <w:lang w:val="en-US"/>
        </w:rPr>
        <w:t> ;</w:t>
      </w:r>
      <w:r w:rsidR="00D301C6" w:rsidRPr="00DA5E7E">
        <w:rPr>
          <w:lang w:val="en-US"/>
        </w:rPr>
        <w:t xml:space="preserve"> Lord Giffard, « Formulating the Case for Reparations</w:t>
      </w:r>
      <w:r w:rsidR="00D05298">
        <w:rPr>
          <w:lang w:val="en-US"/>
        </w:rPr>
        <w:t> </w:t>
      </w:r>
      <w:r w:rsidR="00D301C6" w:rsidRPr="00DA5E7E">
        <w:rPr>
          <w:lang w:val="en-US"/>
        </w:rPr>
        <w:t xml:space="preserve">» dans Colonialism, Slavery, Reparations and Trade Remedying the </w:t>
      </w:r>
      <w:r w:rsidR="00F60EAA">
        <w:rPr>
          <w:lang w:val="en-US"/>
        </w:rPr>
        <w:t>‘</w:t>
      </w:r>
      <w:r w:rsidR="00D301C6" w:rsidRPr="00DA5E7E">
        <w:rPr>
          <w:lang w:val="en-US"/>
        </w:rPr>
        <w:t>Past</w:t>
      </w:r>
      <w:r w:rsidR="00F60EAA">
        <w:rPr>
          <w:lang w:val="en-US"/>
        </w:rPr>
        <w:t>’</w:t>
      </w:r>
      <w:r w:rsidR="00D301C6" w:rsidRPr="00DA5E7E">
        <w:rPr>
          <w:lang w:val="en-US"/>
        </w:rPr>
        <w:t>?, sous la direction de Fernne Brennan, John Packer, Routledge 2013 (</w:t>
      </w:r>
      <w:r w:rsidR="002A7FA1" w:rsidRPr="00DA5E7E">
        <w:rPr>
          <w:lang w:val="en-US"/>
        </w:rPr>
        <w:t>p. </w:t>
      </w:r>
      <w:r w:rsidR="00D301C6" w:rsidRPr="00DA5E7E">
        <w:rPr>
          <w:lang w:val="en-US"/>
        </w:rPr>
        <w:t>84 et suiv</w:t>
      </w:r>
      <w:r w:rsidR="004551ED">
        <w:rPr>
          <w:lang w:val="en-US"/>
        </w:rPr>
        <w:t>.</w:t>
      </w:r>
      <w:r w:rsidR="00D301C6" w:rsidRPr="00DA5E7E">
        <w:rPr>
          <w:lang w:val="en-US"/>
        </w:rPr>
        <w:t>)</w:t>
      </w:r>
      <w:r w:rsidR="00BF73AB">
        <w:rPr>
          <w:lang w:val="en-US"/>
        </w:rPr>
        <w:t> ;</w:t>
      </w:r>
      <w:r w:rsidR="00D301C6" w:rsidRPr="00DA5E7E">
        <w:rPr>
          <w:lang w:val="en-US"/>
        </w:rPr>
        <w:t xml:space="preserve"> </w:t>
      </w:r>
      <w:hyperlink r:id="rId885" w:history="1">
        <w:r w:rsidR="00D301C6" w:rsidRPr="00813782">
          <w:rPr>
            <w:rStyle w:val="Hyperlink"/>
            <w:lang w:val="en-US"/>
          </w:rPr>
          <w:t>https://www.inosaar.llc.</w:t>
        </w:r>
        <w:r w:rsidR="004551ED">
          <w:rPr>
            <w:rStyle w:val="Hyperlink"/>
            <w:lang w:val="en-US"/>
          </w:rPr>
          <w:t xml:space="preserve"> </w:t>
        </w:r>
        <w:r w:rsidR="00D301C6" w:rsidRPr="00813782">
          <w:rPr>
            <w:rStyle w:val="Hyperlink"/>
            <w:lang w:val="en-US"/>
          </w:rPr>
          <w:t>ed.ac.uk/en/timeline/first-pan-african-conference-reparations</w:t>
        </w:r>
      </w:hyperlink>
      <w:r w:rsidR="00D301C6" w:rsidRPr="00DA5E7E">
        <w:rPr>
          <w:lang w:val="en-US"/>
        </w:rPr>
        <w:t>.</w:t>
      </w:r>
    </w:p>
  </w:footnote>
  <w:footnote w:id="730">
    <w:p w14:paraId="718C2957" w14:textId="25C0CDD2" w:rsidR="00D301C6" w:rsidRPr="00DA5E7E" w:rsidRDefault="007F02E2" w:rsidP="005B4367">
      <w:pPr>
        <w:pStyle w:val="FootnoteText"/>
        <w:rPr>
          <w:lang w:val="en-US"/>
        </w:rPr>
      </w:pPr>
      <w:r w:rsidRPr="00DA5E7E">
        <w:rPr>
          <w:lang w:val="en-US"/>
        </w:rPr>
        <w:tab/>
      </w:r>
      <w:r w:rsidRPr="00093AC5">
        <w:rPr>
          <w:rStyle w:val="FootnoteReference"/>
        </w:rPr>
        <w:footnoteRef/>
      </w:r>
      <w:r w:rsidRPr="00DA5E7E">
        <w:rPr>
          <w:lang w:val="en-US"/>
        </w:rPr>
        <w:tab/>
      </w:r>
      <w:hyperlink r:id="rId886" w:history="1">
        <w:r w:rsidR="00D301C6" w:rsidRPr="00813782">
          <w:rPr>
            <w:rStyle w:val="Hyperlink"/>
            <w:lang w:val="en-US"/>
          </w:rPr>
          <w:t>https://www.theguardian.com/news/2020/oct/06/long-fight-for-slavery-reparations-evanston-chicago</w:t>
        </w:r>
      </w:hyperlink>
      <w:r w:rsidR="00BF73AB">
        <w:rPr>
          <w:rStyle w:val="Hyperlink"/>
          <w:lang w:val="en-US"/>
        </w:rPr>
        <w:t> </w:t>
      </w:r>
      <w:r w:rsidR="00BF73AB" w:rsidRPr="004551ED">
        <w:rPr>
          <w:rStyle w:val="Hyperlink"/>
          <w:color w:val="auto"/>
          <w:lang w:val="en-US"/>
        </w:rPr>
        <w:t>;</w:t>
      </w:r>
      <w:r w:rsidR="00D301C6" w:rsidRPr="004551ED">
        <w:rPr>
          <w:lang w:val="en-US"/>
        </w:rPr>
        <w:t xml:space="preserve"> </w:t>
      </w:r>
      <w:hyperlink r:id="rId887" w:history="1">
        <w:r w:rsidR="00D301C6" w:rsidRPr="00813782">
          <w:rPr>
            <w:rStyle w:val="Hyperlink"/>
            <w:lang w:val="en-US"/>
          </w:rPr>
          <w:t>https://www.theguardian.com/us-news/2020/jan/19/reparations-program-evanston-illinois-african-americans-slavery</w:t>
        </w:r>
      </w:hyperlink>
      <w:r w:rsidR="00D301C6" w:rsidRPr="00DA5E7E">
        <w:rPr>
          <w:lang w:val="en-US"/>
        </w:rPr>
        <w:t>.</w:t>
      </w:r>
    </w:p>
  </w:footnote>
  <w:footnote w:id="731">
    <w:p w14:paraId="291AD3C3" w14:textId="67A37FAC" w:rsidR="00D301C6" w:rsidRPr="00DA5E7E" w:rsidRDefault="007F02E2"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 xml:space="preserve">Communication du </w:t>
      </w:r>
      <w:r w:rsidR="004551ED">
        <w:rPr>
          <w:lang w:val="en-US"/>
        </w:rPr>
        <w:t>révérend</w:t>
      </w:r>
      <w:r w:rsidR="00D301C6" w:rsidRPr="00DA5E7E">
        <w:rPr>
          <w:lang w:val="en-US"/>
        </w:rPr>
        <w:t xml:space="preserve"> Robert Turner (Historic Vernon African Methodist Episcopal Church)</w:t>
      </w:r>
      <w:r w:rsidR="00BF73AB">
        <w:rPr>
          <w:lang w:val="en-US"/>
        </w:rPr>
        <w:t> ;</w:t>
      </w:r>
      <w:r w:rsidR="00D301C6" w:rsidRPr="00DA5E7E">
        <w:rPr>
          <w:lang w:val="en-US"/>
        </w:rPr>
        <w:t xml:space="preserve"> Elazar Barkan, The Guilt of Nations, Norton: New York, 2000 </w:t>
      </w:r>
      <w:r w:rsidR="002A7FA1" w:rsidRPr="00DA5E7E">
        <w:rPr>
          <w:lang w:val="en-US"/>
        </w:rPr>
        <w:t>p. </w:t>
      </w:r>
      <w:r w:rsidR="00D301C6" w:rsidRPr="00DA5E7E">
        <w:rPr>
          <w:lang w:val="en-US"/>
        </w:rPr>
        <w:t>296 à 299</w:t>
      </w:r>
      <w:r w:rsidR="00BF73AB">
        <w:rPr>
          <w:lang w:val="en-US"/>
        </w:rPr>
        <w:t> ;</w:t>
      </w:r>
      <w:r w:rsidR="00D301C6" w:rsidRPr="00DA5E7E">
        <w:rPr>
          <w:lang w:val="en-US"/>
        </w:rPr>
        <w:t xml:space="preserve"> </w:t>
      </w:r>
      <w:hyperlink r:id="rId888" w:history="1">
        <w:r w:rsidR="00D301C6" w:rsidRPr="00813782">
          <w:rPr>
            <w:rStyle w:val="Hyperlink"/>
            <w:lang w:val="en-US"/>
          </w:rPr>
          <w:t>https://time.com/</w:t>
        </w:r>
        <w:r w:rsidR="008157CE">
          <w:rPr>
            <w:rStyle w:val="Hyperlink"/>
            <w:lang w:val="en-US"/>
          </w:rPr>
          <w:t xml:space="preserve"> </w:t>
        </w:r>
        <w:r w:rsidR="00D301C6" w:rsidRPr="00813782">
          <w:rPr>
            <w:rStyle w:val="Hyperlink"/>
            <w:lang w:val="en-US"/>
          </w:rPr>
          <w:t>5887247/reparations-america-rosewood-massacre/</w:t>
        </w:r>
      </w:hyperlink>
      <w:r w:rsidR="00BF73AB">
        <w:rPr>
          <w:lang w:val="en-US"/>
        </w:rPr>
        <w:t> ;</w:t>
      </w:r>
      <w:r w:rsidR="00D301C6" w:rsidRPr="00DA5E7E">
        <w:rPr>
          <w:lang w:val="en-US"/>
        </w:rPr>
        <w:t xml:space="preserve"> </w:t>
      </w:r>
      <w:hyperlink r:id="rId889" w:history="1">
        <w:r w:rsidR="00D301C6" w:rsidRPr="00813782">
          <w:rPr>
            <w:rStyle w:val="Hyperlink"/>
            <w:lang w:val="en-US"/>
          </w:rPr>
          <w:t>https://www.theguardian.com/</w:t>
        </w:r>
        <w:r w:rsidR="004551ED">
          <w:rPr>
            <w:rStyle w:val="Hyperlink"/>
            <w:lang w:val="en-US"/>
          </w:rPr>
          <w:t xml:space="preserve"> </w:t>
        </w:r>
        <w:r w:rsidR="00D301C6" w:rsidRPr="00813782">
          <w:rPr>
            <w:rStyle w:val="Hyperlink"/>
            <w:lang w:val="en-US"/>
          </w:rPr>
          <w:t>us-news/2016/jan/</w:t>
        </w:r>
        <w:r w:rsidR="008157CE">
          <w:rPr>
            <w:rStyle w:val="Hyperlink"/>
            <w:lang w:val="en-US"/>
          </w:rPr>
          <w:t xml:space="preserve"> </w:t>
        </w:r>
        <w:r w:rsidR="00D301C6" w:rsidRPr="00813782">
          <w:rPr>
            <w:rStyle w:val="Hyperlink"/>
            <w:lang w:val="en-US"/>
          </w:rPr>
          <w:t>03/rosewood-florida-massacre-racial-violence-reparations</w:t>
        </w:r>
      </w:hyperlink>
      <w:r w:rsidR="00D301C6" w:rsidRPr="00DA5E7E">
        <w:rPr>
          <w:lang w:val="en-US"/>
        </w:rPr>
        <w:t>.</w:t>
      </w:r>
    </w:p>
  </w:footnote>
  <w:footnote w:id="732">
    <w:p w14:paraId="053A9BB6" w14:textId="762201B5"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890" w:history="1">
        <w:r w:rsidR="00D301C6" w:rsidRPr="00813782">
          <w:rPr>
            <w:rStyle w:val="Hyperlink"/>
            <w:lang w:val="en-US"/>
          </w:rPr>
          <w:t>https://www.washingtonpost.com/graphics/2020/national/rosewood-reparations/</w:t>
        </w:r>
      </w:hyperlink>
      <w:r w:rsidR="00D301C6" w:rsidRPr="00DA5E7E">
        <w:rPr>
          <w:lang w:val="en-US"/>
        </w:rPr>
        <w:t>.</w:t>
      </w:r>
    </w:p>
  </w:footnote>
  <w:footnote w:id="733">
    <w:p w14:paraId="34744D9D" w14:textId="6546631B"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891" w:history="1">
        <w:r w:rsidR="00D301C6" w:rsidRPr="00813782">
          <w:rPr>
            <w:rStyle w:val="Hyperlink"/>
            <w:lang w:val="en-US"/>
          </w:rPr>
          <w:t>https://leginfo.legislature.ca.gov/faces/billTextClient.xhtml?bill_id=201920200AB3121&amp;search_ keywords=reparations</w:t>
        </w:r>
      </w:hyperlink>
      <w:r w:rsidR="00BF73AB">
        <w:rPr>
          <w:rStyle w:val="Hyperlink"/>
          <w:lang w:val="en-US"/>
        </w:rPr>
        <w:t> </w:t>
      </w:r>
      <w:r w:rsidR="00BF73AB" w:rsidRPr="004551ED">
        <w:rPr>
          <w:rStyle w:val="Hyperlink"/>
          <w:color w:val="auto"/>
          <w:lang w:val="en-US"/>
        </w:rPr>
        <w:t>;</w:t>
      </w:r>
      <w:r w:rsidR="00D301C6" w:rsidRPr="00DA5E7E">
        <w:rPr>
          <w:lang w:val="en-US"/>
        </w:rPr>
        <w:t xml:space="preserve"> </w:t>
      </w:r>
      <w:hyperlink r:id="rId892" w:history="1">
        <w:r w:rsidR="00D301C6" w:rsidRPr="00813782">
          <w:rPr>
            <w:rStyle w:val="Hyperlink"/>
            <w:lang w:val="en-US"/>
          </w:rPr>
          <w:t>https://www.theguardian.com/us-news/2020/sep/30/california-slavery-reparations-law</w:t>
        </w:r>
      </w:hyperlink>
      <w:r w:rsidR="00BF73AB">
        <w:rPr>
          <w:rStyle w:val="Hyperlink"/>
          <w:lang w:val="en-US"/>
        </w:rPr>
        <w:t> </w:t>
      </w:r>
      <w:r w:rsidR="00BF73AB" w:rsidRPr="004551ED">
        <w:rPr>
          <w:rStyle w:val="Hyperlink"/>
          <w:color w:val="auto"/>
          <w:lang w:val="en-US"/>
        </w:rPr>
        <w:t>;</w:t>
      </w:r>
      <w:r w:rsidR="00D301C6" w:rsidRPr="004551ED">
        <w:rPr>
          <w:lang w:val="en-US"/>
        </w:rPr>
        <w:t xml:space="preserve"> </w:t>
      </w:r>
      <w:hyperlink r:id="rId893" w:history="1">
        <w:r w:rsidR="00D301C6" w:rsidRPr="00813782">
          <w:rPr>
            <w:rStyle w:val="Hyperlink"/>
            <w:lang w:val="en-US"/>
          </w:rPr>
          <w:t>https://apnews.com/article/legislature-slavery-california-gavin-newsom-state-legislature-85b905e79384e5945ccab4e2930116d9</w:t>
        </w:r>
      </w:hyperlink>
      <w:r w:rsidR="00D301C6" w:rsidRPr="00DA5E7E">
        <w:rPr>
          <w:lang w:val="en-US"/>
        </w:rPr>
        <w:t>.</w:t>
      </w:r>
    </w:p>
  </w:footnote>
  <w:footnote w:id="734">
    <w:p w14:paraId="6CD25839" w14:textId="473F9B06"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894" w:history="1">
        <w:r w:rsidR="00D301C6" w:rsidRPr="00813782">
          <w:rPr>
            <w:rStyle w:val="Hyperlink"/>
            <w:lang w:val="en-US"/>
          </w:rPr>
          <w:t>https://cityordinances.durhamnc.gov/OnBaseAgendaOnline/Documents/ViewDocument/Final-Published%20Attachment%20-%2014231%20-%20RESOLUTION%20-%201%20-%20</w:t>
        </w:r>
        <w:r w:rsidR="004551ED">
          <w:rPr>
            <w:rStyle w:val="Hyperlink"/>
            <w:lang w:val="en-US"/>
          </w:rPr>
          <w:t xml:space="preserve"> </w:t>
        </w:r>
        <w:r w:rsidR="00D301C6" w:rsidRPr="00813782">
          <w:rPr>
            <w:rStyle w:val="Hyperlink"/>
            <w:lang w:val="en-US"/>
          </w:rPr>
          <w:t>RESOLUTION%20IN%20SUPPORT%20.pdf?meetingId=417&amp;documentType=Agenda&amp;itemId=18303&amp;publishId=77278&amp;isSection=false</w:t>
        </w:r>
      </w:hyperlink>
      <w:r w:rsidR="00BF73AB">
        <w:rPr>
          <w:lang w:val="en-US"/>
        </w:rPr>
        <w:t> ;</w:t>
      </w:r>
      <w:r w:rsidR="00D301C6" w:rsidRPr="00DA5E7E">
        <w:rPr>
          <w:lang w:val="en-US"/>
        </w:rPr>
        <w:t xml:space="preserve"> </w:t>
      </w:r>
      <w:hyperlink r:id="rId895" w:history="1">
        <w:r w:rsidR="00D301C6" w:rsidRPr="00813782">
          <w:rPr>
            <w:rStyle w:val="Hyperlink"/>
            <w:lang w:val="en-US"/>
          </w:rPr>
          <w:t>https://www.foxnews.com/us/durham-city-council-approves-reparations-resolution-enslaved-people</w:t>
        </w:r>
      </w:hyperlink>
      <w:r w:rsidR="00BF73AB">
        <w:rPr>
          <w:rStyle w:val="Hyperlink"/>
          <w:lang w:val="en-US"/>
        </w:rPr>
        <w:t> </w:t>
      </w:r>
      <w:r w:rsidR="00BF73AB" w:rsidRPr="004551ED">
        <w:rPr>
          <w:rStyle w:val="Hyperlink"/>
          <w:color w:val="auto"/>
          <w:lang w:val="en-US"/>
        </w:rPr>
        <w:t>;</w:t>
      </w:r>
      <w:r w:rsidR="00D301C6" w:rsidRPr="004551ED">
        <w:rPr>
          <w:lang w:val="en-US"/>
        </w:rPr>
        <w:t xml:space="preserve"> </w:t>
      </w:r>
      <w:hyperlink r:id="rId896" w:history="1">
        <w:r w:rsidR="00D301C6" w:rsidRPr="00813782">
          <w:rPr>
            <w:rStyle w:val="Hyperlink"/>
            <w:lang w:val="en-US"/>
          </w:rPr>
          <w:t>https://durhamnc.gov/DocumentCenter/View/</w:t>
        </w:r>
        <w:r w:rsidR="004551ED">
          <w:rPr>
            <w:rStyle w:val="Hyperlink"/>
            <w:lang w:val="en-US"/>
          </w:rPr>
          <w:t xml:space="preserve"> </w:t>
        </w:r>
        <w:r w:rsidR="00D301C6" w:rsidRPr="00813782">
          <w:rPr>
            <w:rStyle w:val="Hyperlink"/>
            <w:lang w:val="en-US"/>
          </w:rPr>
          <w:t>32853/FINAL-REPORT-Durham-Racial-Equity-Task-Force-72220</w:t>
        </w:r>
      </w:hyperlink>
      <w:r w:rsidR="00D301C6" w:rsidRPr="00813782">
        <w:rPr>
          <w:rStyle w:val="Hyperlink"/>
          <w:lang w:val="en-US"/>
        </w:rPr>
        <w:t>.</w:t>
      </w:r>
    </w:p>
  </w:footnote>
  <w:footnote w:id="735">
    <w:p w14:paraId="5C8F7AE4" w14:textId="3BDF1C4A"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897" w:history="1">
        <w:r w:rsidR="00D301C6" w:rsidRPr="00813782">
          <w:rPr>
            <w:rStyle w:val="Hyperlink"/>
            <w:lang w:val="en-US"/>
          </w:rPr>
          <w:t>https://www.providenceri.gov/mayor-jorge-elorza-announces-truth-telling-reconciliation-municipal-reparations-process-2/</w:t>
        </w:r>
      </w:hyperlink>
      <w:r w:rsidR="00BF73AB">
        <w:rPr>
          <w:rStyle w:val="Hyperlink"/>
          <w:lang w:val="en-US"/>
        </w:rPr>
        <w:t> </w:t>
      </w:r>
      <w:r w:rsidR="00BF73AB" w:rsidRPr="004551ED">
        <w:rPr>
          <w:rStyle w:val="Hyperlink"/>
          <w:color w:val="auto"/>
          <w:lang w:val="en-US"/>
        </w:rPr>
        <w:t>;</w:t>
      </w:r>
      <w:r w:rsidR="00D301C6" w:rsidRPr="00DA5E7E">
        <w:rPr>
          <w:lang w:val="en-US"/>
        </w:rPr>
        <w:t xml:space="preserve"> </w:t>
      </w:r>
      <w:hyperlink r:id="rId898" w:history="1">
        <w:r w:rsidR="00D301C6" w:rsidRPr="00813782">
          <w:rPr>
            <w:rStyle w:val="Hyperlink"/>
            <w:lang w:val="en-US"/>
          </w:rPr>
          <w:t>https://www.providenceri.gov/mayor-jorge-elorza-joins-community-members-launching-truth-telling-phase/</w:t>
        </w:r>
      </w:hyperlink>
      <w:r w:rsidR="00D301C6" w:rsidRPr="00813782">
        <w:rPr>
          <w:rStyle w:val="Hyperlink"/>
          <w:lang w:val="en-US"/>
        </w:rPr>
        <w:t>.</w:t>
      </w:r>
    </w:p>
  </w:footnote>
  <w:footnote w:id="736">
    <w:p w14:paraId="076A6428" w14:textId="68AE0743" w:rsidR="00D301C6" w:rsidRPr="00DA5E7E" w:rsidRDefault="00AB123B" w:rsidP="005B4367">
      <w:pPr>
        <w:pStyle w:val="FootnoteText"/>
        <w:rPr>
          <w:i/>
          <w:lang w:val="en-US"/>
        </w:rPr>
      </w:pPr>
      <w:r w:rsidRPr="00DA5E7E">
        <w:rPr>
          <w:lang w:val="en-US"/>
        </w:rPr>
        <w:tab/>
      </w:r>
      <w:r w:rsidRPr="00093AC5">
        <w:rPr>
          <w:rStyle w:val="FootnoteReference"/>
        </w:rPr>
        <w:footnoteRef/>
      </w:r>
      <w:r w:rsidRPr="00DA5E7E">
        <w:rPr>
          <w:lang w:val="en-US"/>
        </w:rPr>
        <w:tab/>
      </w:r>
      <w:r w:rsidR="00D301C6" w:rsidRPr="00DA5E7E">
        <w:rPr>
          <w:lang w:val="en-US"/>
        </w:rPr>
        <w:t xml:space="preserve">Voir, par exemple, </w:t>
      </w:r>
      <w:r w:rsidR="00D301C6" w:rsidRPr="00DA5E7E">
        <w:rPr>
          <w:i/>
          <w:lang w:val="en-US"/>
        </w:rPr>
        <w:t xml:space="preserve">Lewis v. United States, </w:t>
      </w:r>
      <w:r w:rsidR="00014C64">
        <w:rPr>
          <w:rFonts w:eastAsia="MS Mincho"/>
          <w:lang w:val="en-US"/>
        </w:rPr>
        <w:t>No. </w:t>
      </w:r>
      <w:r w:rsidR="00D301C6" w:rsidRPr="00DA5E7E">
        <w:rPr>
          <w:lang w:val="en-US"/>
        </w:rPr>
        <w:t xml:space="preserve">C 94-01380 CW, 1994 U.S. Dist LEXIS 7868 (N.D. Cal 7 June 1994) </w:t>
      </w:r>
      <w:r w:rsidR="00D301C6" w:rsidRPr="00DA5E7E">
        <w:rPr>
          <w:i/>
          <w:lang w:val="en-US"/>
        </w:rPr>
        <w:t>US</w:t>
      </w:r>
      <w:r w:rsidR="00BF73AB">
        <w:rPr>
          <w:i/>
          <w:lang w:val="en-US"/>
        </w:rPr>
        <w:t> ;</w:t>
      </w:r>
      <w:r w:rsidR="00D301C6" w:rsidRPr="00DA5E7E">
        <w:rPr>
          <w:lang w:val="en-US"/>
        </w:rPr>
        <w:t xml:space="preserve"> </w:t>
      </w:r>
      <w:r w:rsidR="00D301C6" w:rsidRPr="00DA5E7E">
        <w:rPr>
          <w:i/>
          <w:lang w:val="en-US"/>
        </w:rPr>
        <w:t>Lloyd v. United States</w:t>
      </w:r>
      <w:r w:rsidR="00D301C6" w:rsidRPr="00DA5E7E">
        <w:rPr>
          <w:lang w:val="en-US"/>
        </w:rPr>
        <w:t xml:space="preserve">, </w:t>
      </w:r>
      <w:r w:rsidR="00014C64">
        <w:rPr>
          <w:rFonts w:eastAsia="MS Mincho"/>
          <w:lang w:val="en-US"/>
        </w:rPr>
        <w:t>No. </w:t>
      </w:r>
      <w:r w:rsidR="00D301C6" w:rsidRPr="00DA5E7E">
        <w:rPr>
          <w:lang w:val="en-US"/>
        </w:rPr>
        <w:t>C 94-01192 CW, 1994</w:t>
      </w:r>
      <w:r w:rsidR="00D301C6" w:rsidRPr="00DA5E7E">
        <w:rPr>
          <w:i/>
          <w:lang w:val="en-US"/>
        </w:rPr>
        <w:t xml:space="preserve"> </w:t>
      </w:r>
      <w:r w:rsidR="00D301C6" w:rsidRPr="00DA5E7E">
        <w:rPr>
          <w:lang w:val="en-US"/>
        </w:rPr>
        <w:t>U.S. Dist LEXIS 7869 (N.D. Cal. 7 June 1994)</w:t>
      </w:r>
      <w:r w:rsidR="00BF73AB">
        <w:rPr>
          <w:lang w:val="en-US"/>
        </w:rPr>
        <w:t> ;</w:t>
      </w:r>
      <w:r w:rsidR="00D301C6" w:rsidRPr="00DA5E7E">
        <w:rPr>
          <w:lang w:val="en-US"/>
        </w:rPr>
        <w:t xml:space="preserve"> </w:t>
      </w:r>
      <w:r w:rsidR="00D301C6" w:rsidRPr="00DA5E7E">
        <w:rPr>
          <w:i/>
          <w:lang w:val="en-US"/>
        </w:rPr>
        <w:t>US Jackson v. United States,</w:t>
      </w:r>
      <w:r w:rsidR="00D301C6" w:rsidRPr="00DA5E7E">
        <w:rPr>
          <w:lang w:val="en-US"/>
        </w:rPr>
        <w:t xml:space="preserve"> </w:t>
      </w:r>
      <w:r w:rsidR="00014C64">
        <w:rPr>
          <w:rFonts w:eastAsia="MS Mincho"/>
          <w:lang w:val="en-US"/>
        </w:rPr>
        <w:t>No. </w:t>
      </w:r>
      <w:r w:rsidR="00D301C6" w:rsidRPr="00DA5E7E">
        <w:rPr>
          <w:lang w:val="en-US"/>
        </w:rPr>
        <w:t>C 94-01494 CW 1994 U.S. Dist. LEXIS 7872 (N.D. Cal. 7 June 1994)</w:t>
      </w:r>
      <w:r w:rsidR="00D301C6" w:rsidRPr="00DA5E7E">
        <w:rPr>
          <w:i/>
          <w:lang w:val="en-US"/>
        </w:rPr>
        <w:t>.</w:t>
      </w:r>
    </w:p>
  </w:footnote>
  <w:footnote w:id="737">
    <w:p w14:paraId="17911884" w14:textId="05AC4AC4"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i/>
          <w:lang w:val="en-US"/>
        </w:rPr>
        <w:t>Cato v. United States</w:t>
      </w:r>
      <w:r w:rsidR="00D301C6" w:rsidRPr="00DA5E7E">
        <w:rPr>
          <w:lang w:val="en-US"/>
        </w:rPr>
        <w:t>, 70 F.3d 1103 (9th Cir. 1995).</w:t>
      </w:r>
    </w:p>
  </w:footnote>
  <w:footnote w:id="738">
    <w:p w14:paraId="34664C75" w14:textId="36C0168B" w:rsidR="00D301C6" w:rsidRPr="00813782" w:rsidRDefault="00AB123B" w:rsidP="005B4367">
      <w:pPr>
        <w:pStyle w:val="FootnoteText"/>
        <w:rPr>
          <w:lang w:val="en-US"/>
        </w:rPr>
      </w:pPr>
      <w:r w:rsidRPr="00DA5E7E">
        <w:rPr>
          <w:lang w:val="en-US"/>
        </w:rPr>
        <w:tab/>
      </w:r>
      <w:r w:rsidRPr="00093AC5">
        <w:rPr>
          <w:rStyle w:val="FootnoteReference"/>
        </w:rPr>
        <w:footnoteRef/>
      </w:r>
      <w:r w:rsidRPr="00D10EF8">
        <w:tab/>
      </w:r>
      <w:r w:rsidR="00D301C6" w:rsidRPr="007A6C5D">
        <w:rPr>
          <w:i/>
        </w:rPr>
        <w:t xml:space="preserve">Farmer-Paellmann </w:t>
      </w:r>
      <w:r w:rsidR="00D301C6">
        <w:rPr>
          <w:i/>
        </w:rPr>
        <w:t>c</w:t>
      </w:r>
      <w:r w:rsidR="00D301C6" w:rsidRPr="007A6C5D">
        <w:rPr>
          <w:i/>
        </w:rPr>
        <w:t>. FleetBoston Fin. Cor</w:t>
      </w:r>
      <w:r w:rsidR="002A7FA1">
        <w:rPr>
          <w:i/>
        </w:rPr>
        <w:t>p. </w:t>
      </w:r>
      <w:r w:rsidR="00D301C6" w:rsidRPr="007A6C5D">
        <w:t>(E.D.N.Y. 2002) (No. 02</w:t>
      </w:r>
      <w:r w:rsidR="003B458A">
        <w:t>-</w:t>
      </w:r>
      <w:r w:rsidR="00D301C6" w:rsidRPr="007A6C5D">
        <w:t>CV</w:t>
      </w:r>
      <w:r w:rsidR="003B458A">
        <w:t>-</w:t>
      </w:r>
      <w:r w:rsidR="00D301C6" w:rsidRPr="007A6C5D">
        <w:t xml:space="preserve">1862). </w:t>
      </w:r>
      <w:r w:rsidR="00D301C6">
        <w:t xml:space="preserve">Une </w:t>
      </w:r>
      <w:r w:rsidR="00D301C6" w:rsidRPr="007A6C5D">
        <w:t>action collective a été engagée contre FleetBoston Financial Corporation, Aetna et la société de chemins de fer CSX et a été déclarée irrecevable pour défaut d</w:t>
      </w:r>
      <w:r w:rsidR="00F60EAA">
        <w:t>’</w:t>
      </w:r>
      <w:r w:rsidR="00D301C6" w:rsidRPr="007A6C5D">
        <w:t>intérêt à agir (et pour d</w:t>
      </w:r>
      <w:r w:rsidR="00F60EAA">
        <w:t>’</w:t>
      </w:r>
      <w:r w:rsidR="00D301C6" w:rsidRPr="007A6C5D">
        <w:t xml:space="preserve">autres motifs comme  la justiciabilité et la prescription). </w:t>
      </w:r>
      <w:r w:rsidR="00D301C6" w:rsidRPr="00813782">
        <w:rPr>
          <w:lang w:val="en-US"/>
        </w:rPr>
        <w:t>Voir également, J. Angelo Corlett</w:t>
      </w:r>
      <w:r w:rsidR="00D301C6" w:rsidRPr="00813782">
        <w:rPr>
          <w:i/>
          <w:lang w:val="en-US"/>
        </w:rPr>
        <w:t xml:space="preserve"> </w:t>
      </w:r>
      <w:r w:rsidR="00D301C6" w:rsidRPr="00813782">
        <w:rPr>
          <w:lang w:val="en-US"/>
        </w:rPr>
        <w:t>in</w:t>
      </w:r>
      <w:r w:rsidR="00D301C6" w:rsidRPr="00813782">
        <w:rPr>
          <w:i/>
          <w:lang w:val="en-US"/>
        </w:rPr>
        <w:t xml:space="preserve"> Redress for Historical Injustices in the United States, </w:t>
      </w:r>
      <w:r w:rsidR="00D301C6" w:rsidRPr="00813782">
        <w:rPr>
          <w:lang w:val="en-US"/>
        </w:rPr>
        <w:t xml:space="preserve">Michael T. Martin, Marilyn Yaquinto, </w:t>
      </w:r>
      <w:r w:rsidR="003B458A">
        <w:rPr>
          <w:lang w:val="en-US"/>
        </w:rPr>
        <w:t xml:space="preserve">éd., </w:t>
      </w:r>
      <w:r w:rsidR="00D301C6" w:rsidRPr="00813782">
        <w:rPr>
          <w:lang w:val="en-US"/>
        </w:rPr>
        <w:t>Duke University Press, 2007</w:t>
      </w:r>
      <w:r w:rsidR="00BF73AB">
        <w:rPr>
          <w:lang w:val="en-US"/>
        </w:rPr>
        <w:t> ;</w:t>
      </w:r>
      <w:r w:rsidR="00D301C6" w:rsidRPr="00813782">
        <w:rPr>
          <w:lang w:val="en-US"/>
        </w:rPr>
        <w:t xml:space="preserve"> </w:t>
      </w:r>
      <w:hyperlink r:id="rId899" w:history="1">
        <w:r w:rsidR="00D301C6" w:rsidRPr="00813782">
          <w:rPr>
            <w:rStyle w:val="Hyperlink"/>
            <w:lang w:val="en-US"/>
          </w:rPr>
          <w:t>https://www.washingtonpost.com/archive/politics/2000/03/09/in-aetnas-past-slave-owner-policies/</w:t>
        </w:r>
        <w:r w:rsidR="0071410D">
          <w:rPr>
            <w:rStyle w:val="Hyperlink"/>
            <w:lang w:val="en-US"/>
          </w:rPr>
          <w:t xml:space="preserve"> </w:t>
        </w:r>
        <w:r w:rsidR="00D301C6" w:rsidRPr="00813782">
          <w:rPr>
            <w:rStyle w:val="Hyperlink"/>
            <w:lang w:val="en-US"/>
          </w:rPr>
          <w:t>faa58ed3-51ba-44e6-b59f-c36ae181e093/</w:t>
        </w:r>
      </w:hyperlink>
      <w:r w:rsidR="00BF73AB">
        <w:rPr>
          <w:rStyle w:val="Hyperlink"/>
          <w:lang w:val="en-US"/>
        </w:rPr>
        <w:t> </w:t>
      </w:r>
      <w:r w:rsidR="00BF73AB" w:rsidRPr="00B904BC">
        <w:rPr>
          <w:rStyle w:val="Hyperlink"/>
          <w:color w:val="auto"/>
          <w:lang w:val="en-US"/>
        </w:rPr>
        <w:t>;</w:t>
      </w:r>
      <w:r w:rsidR="00D301C6" w:rsidRPr="00B904BC">
        <w:rPr>
          <w:lang w:val="en-US"/>
        </w:rPr>
        <w:t xml:space="preserve"> </w:t>
      </w:r>
      <w:hyperlink r:id="rId900" w:history="1">
        <w:r w:rsidR="00D301C6" w:rsidRPr="00813782">
          <w:rPr>
            <w:rStyle w:val="Hyperlink"/>
            <w:lang w:val="en-US"/>
          </w:rPr>
          <w:t>https://www.washingtonpost.com/archive/</w:t>
        </w:r>
        <w:r w:rsidR="00B904BC">
          <w:rPr>
            <w:rStyle w:val="Hyperlink"/>
            <w:lang w:val="en-US"/>
          </w:rPr>
          <w:t xml:space="preserve"> </w:t>
        </w:r>
        <w:r w:rsidR="00D301C6" w:rsidRPr="00813782">
          <w:rPr>
            <w:rStyle w:val="Hyperlink"/>
            <w:lang w:val="en-US"/>
          </w:rPr>
          <w:t>politics/2005/</w:t>
        </w:r>
        <w:r w:rsidR="0071410D">
          <w:rPr>
            <w:rStyle w:val="Hyperlink"/>
            <w:lang w:val="en-US"/>
          </w:rPr>
          <w:t xml:space="preserve"> </w:t>
        </w:r>
        <w:r w:rsidR="00D301C6" w:rsidRPr="00813782">
          <w:rPr>
            <w:rStyle w:val="Hyperlink"/>
            <w:lang w:val="en-US"/>
          </w:rPr>
          <w:t>06/20/seeking-more-than-apologies-for-slavery/cff95386-8fbf-417b-aae0-bdb85f1f1a97/</w:t>
        </w:r>
      </w:hyperlink>
      <w:r w:rsidR="00BF73AB">
        <w:rPr>
          <w:rStyle w:val="Hyperlink"/>
          <w:lang w:val="en-US"/>
        </w:rPr>
        <w:t> </w:t>
      </w:r>
      <w:r w:rsidR="00BF73AB" w:rsidRPr="00B904BC">
        <w:rPr>
          <w:rStyle w:val="Hyperlink"/>
          <w:color w:val="auto"/>
          <w:lang w:val="en-US"/>
        </w:rPr>
        <w:t>;</w:t>
      </w:r>
      <w:r w:rsidR="00D301C6" w:rsidRPr="00813782">
        <w:rPr>
          <w:lang w:val="en-US"/>
        </w:rPr>
        <w:t xml:space="preserve"> </w:t>
      </w:r>
      <w:hyperlink r:id="rId901" w:history="1">
        <w:r w:rsidR="00D301C6" w:rsidRPr="00813782">
          <w:rPr>
            <w:rStyle w:val="Hyperlink"/>
            <w:lang w:val="en-US"/>
          </w:rPr>
          <w:t>https://www.theguardian.com/world/2002/sep/05/usa.duncancampbell</w:t>
        </w:r>
      </w:hyperlink>
      <w:r w:rsidR="00BF73AB">
        <w:rPr>
          <w:rStyle w:val="Hyperlink"/>
          <w:lang w:val="en-US"/>
        </w:rPr>
        <w:t> ;</w:t>
      </w:r>
      <w:r w:rsidR="00D301C6" w:rsidRPr="00813782">
        <w:rPr>
          <w:lang w:val="en-US"/>
        </w:rPr>
        <w:t xml:space="preserve"> Elazar Barkan, </w:t>
      </w:r>
      <w:r w:rsidR="00D301C6" w:rsidRPr="00813782">
        <w:rPr>
          <w:i/>
          <w:lang w:val="en-US"/>
        </w:rPr>
        <w:t>The Guilt of Nations</w:t>
      </w:r>
      <w:r w:rsidR="00D301C6" w:rsidRPr="00813782">
        <w:rPr>
          <w:lang w:val="en-US"/>
        </w:rPr>
        <w:t xml:space="preserve">, Norton: New York, 2000, </w:t>
      </w:r>
      <w:r w:rsidR="002A7FA1">
        <w:rPr>
          <w:lang w:val="en-US"/>
        </w:rPr>
        <w:t>p. </w:t>
      </w:r>
      <w:r w:rsidR="00D301C6" w:rsidRPr="00813782">
        <w:rPr>
          <w:lang w:val="en-US"/>
        </w:rPr>
        <w:t>291</w:t>
      </w:r>
      <w:r w:rsidR="00BF73AB">
        <w:rPr>
          <w:lang w:val="en-US"/>
        </w:rPr>
        <w:t> ;</w:t>
      </w:r>
      <w:r w:rsidR="00D301C6" w:rsidRPr="00813782">
        <w:rPr>
          <w:lang w:val="en-US"/>
        </w:rPr>
        <w:t xml:space="preserve"> Dinah Shelton in </w:t>
      </w:r>
      <w:r w:rsidR="00D301C6" w:rsidRPr="00813782">
        <w:rPr>
          <w:i/>
          <w:lang w:val="en-US"/>
        </w:rPr>
        <w:t xml:space="preserve">Colonialism, Slavery, Reparations and Trade Remedying the </w:t>
      </w:r>
      <w:r w:rsidR="00F60EAA">
        <w:rPr>
          <w:i/>
          <w:lang w:val="en-US"/>
        </w:rPr>
        <w:t>‘</w:t>
      </w:r>
      <w:r w:rsidR="00D301C6" w:rsidRPr="00813782">
        <w:rPr>
          <w:i/>
          <w:lang w:val="en-US"/>
        </w:rPr>
        <w:t>Past</w:t>
      </w:r>
      <w:r w:rsidR="00F60EAA">
        <w:rPr>
          <w:i/>
          <w:lang w:val="en-US"/>
        </w:rPr>
        <w:t>’</w:t>
      </w:r>
      <w:r w:rsidR="00D301C6" w:rsidRPr="00813782">
        <w:rPr>
          <w:i/>
          <w:lang w:val="en-US"/>
        </w:rPr>
        <w:t>?</w:t>
      </w:r>
      <w:r w:rsidR="00D301C6" w:rsidRPr="00813782">
        <w:rPr>
          <w:lang w:val="en-US"/>
        </w:rPr>
        <w:t xml:space="preserve">, Fernne Brennan, John Packer, </w:t>
      </w:r>
      <w:r w:rsidR="00237C56">
        <w:rPr>
          <w:lang w:val="en-US"/>
        </w:rPr>
        <w:t xml:space="preserve">éd., </w:t>
      </w:r>
      <w:r w:rsidR="00D301C6" w:rsidRPr="00813782">
        <w:rPr>
          <w:lang w:val="en-US"/>
        </w:rPr>
        <w:t>Routledge 2013.</w:t>
      </w:r>
    </w:p>
  </w:footnote>
  <w:footnote w:id="739">
    <w:p w14:paraId="538FE970" w14:textId="114A777C" w:rsidR="00D301C6" w:rsidRPr="00A26755" w:rsidRDefault="00AB123B" w:rsidP="005B4367">
      <w:pPr>
        <w:pStyle w:val="FootnoteText"/>
      </w:pPr>
      <w:r w:rsidRPr="00DA5E7E">
        <w:rPr>
          <w:lang w:val="en-US"/>
        </w:rPr>
        <w:tab/>
      </w:r>
      <w:r w:rsidRPr="00093AC5">
        <w:rPr>
          <w:rStyle w:val="FootnoteReference"/>
        </w:rPr>
        <w:footnoteRef/>
      </w:r>
      <w:r w:rsidRPr="00DA5E7E">
        <w:rPr>
          <w:lang w:val="en-US"/>
        </w:rPr>
        <w:tab/>
      </w:r>
      <w:r w:rsidR="00D301C6" w:rsidRPr="00DA5E7E">
        <w:rPr>
          <w:lang w:val="en-US"/>
        </w:rPr>
        <w:t>« 1921 Tulsa Race Riot Reconciliation Act of 2001</w:t>
      </w:r>
      <w:r w:rsidR="00A26755">
        <w:rPr>
          <w:lang w:val="en-US"/>
        </w:rPr>
        <w:t> </w:t>
      </w:r>
      <w:r w:rsidR="00D301C6" w:rsidRPr="00DA5E7E">
        <w:rPr>
          <w:lang w:val="en-US"/>
        </w:rPr>
        <w:t xml:space="preserve">», 74 Okl. St. § 8000.1. </w:t>
      </w:r>
      <w:r w:rsidR="00D301C6" w:rsidRPr="00A26755">
        <w:t xml:space="preserve">Voir </w:t>
      </w:r>
      <w:hyperlink r:id="rId902" w:history="1">
        <w:r w:rsidR="00D301C6" w:rsidRPr="00A26755">
          <w:rPr>
            <w:rStyle w:val="Hyperlink"/>
          </w:rPr>
          <w:t>https://www.hrw.org/sites/default/files/media_2020/11/tulsa-reparations0520_web.pdf</w:t>
        </w:r>
      </w:hyperlink>
      <w:r w:rsidR="00D301C6" w:rsidRPr="00A26755">
        <w:t xml:space="preserve">, </w:t>
      </w:r>
      <w:r w:rsidR="002A7FA1" w:rsidRPr="00A26755">
        <w:t>p. </w:t>
      </w:r>
      <w:r w:rsidR="00D301C6" w:rsidRPr="00A26755">
        <w:t>39.</w:t>
      </w:r>
    </w:p>
  </w:footnote>
  <w:footnote w:id="740">
    <w:p w14:paraId="52FB4BB9" w14:textId="4EB96160" w:rsidR="00D301C6" w:rsidRPr="00DA5E7E" w:rsidRDefault="00AB123B" w:rsidP="005B4367">
      <w:pPr>
        <w:pStyle w:val="FootnoteText"/>
        <w:rPr>
          <w:lang w:val="en-US"/>
        </w:rPr>
      </w:pPr>
      <w:r w:rsidRPr="00A26755">
        <w:tab/>
      </w:r>
      <w:r w:rsidRPr="00093AC5">
        <w:rPr>
          <w:rStyle w:val="FootnoteReference"/>
        </w:rPr>
        <w:footnoteRef/>
      </w:r>
      <w:r w:rsidRPr="00DA5E7E">
        <w:rPr>
          <w:lang w:val="en-US"/>
        </w:rPr>
        <w:tab/>
      </w:r>
      <w:r w:rsidR="00D301C6" w:rsidRPr="00DA5E7E">
        <w:rPr>
          <w:i/>
          <w:lang w:val="en-US"/>
        </w:rPr>
        <w:t>Alexander v. Oklahoma</w:t>
      </w:r>
      <w:r w:rsidR="00D301C6" w:rsidRPr="00DA5E7E">
        <w:rPr>
          <w:lang w:val="en-US"/>
        </w:rPr>
        <w:t xml:space="preserve">, 382 F.3d 1206 (10th Cir. 2004). Voir également </w:t>
      </w:r>
      <w:r w:rsidR="00D301C6" w:rsidRPr="00DA5E7E">
        <w:rPr>
          <w:i/>
          <w:lang w:val="en-US"/>
        </w:rPr>
        <w:t>Redress for Historical Injustices in the United States</w:t>
      </w:r>
      <w:r w:rsidR="00D301C6" w:rsidRPr="00DA5E7E">
        <w:rPr>
          <w:lang w:val="en-US"/>
        </w:rPr>
        <w:t xml:space="preserve">, Michael T. Martin, Marilyn Yaquinto, </w:t>
      </w:r>
      <w:r w:rsidR="00A26755">
        <w:rPr>
          <w:lang w:val="en-US"/>
        </w:rPr>
        <w:t xml:space="preserve">éd., </w:t>
      </w:r>
      <w:r w:rsidR="00D301C6" w:rsidRPr="00DA5E7E">
        <w:rPr>
          <w:lang w:val="en-US"/>
        </w:rPr>
        <w:t xml:space="preserve">Duke University Press, 2007, </w:t>
      </w:r>
      <w:r w:rsidR="002A7FA1" w:rsidRPr="00DA5E7E">
        <w:rPr>
          <w:lang w:val="en-US"/>
        </w:rPr>
        <w:t>p. </w:t>
      </w:r>
      <w:r w:rsidR="00D301C6" w:rsidRPr="00DA5E7E">
        <w:rPr>
          <w:lang w:val="en-US"/>
        </w:rPr>
        <w:t>13.</w:t>
      </w:r>
    </w:p>
  </w:footnote>
  <w:footnote w:id="741">
    <w:p w14:paraId="0D94D07A" w14:textId="38716B2E"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903" w:history="1">
        <w:r w:rsidR="00D301C6" w:rsidRPr="00813782">
          <w:rPr>
            <w:rStyle w:val="Hyperlink"/>
            <w:lang w:val="en-US"/>
          </w:rPr>
          <w:t>https://www.hrw.org/news/2021/05/21/us-failed-justice-100-years-after-tulsa-race-massacre</w:t>
        </w:r>
      </w:hyperlink>
      <w:r w:rsidR="00D301C6" w:rsidRPr="00813782">
        <w:rPr>
          <w:rStyle w:val="Hyperlink"/>
          <w:lang w:val="en-US"/>
        </w:rPr>
        <w:t>.</w:t>
      </w:r>
    </w:p>
  </w:footnote>
  <w:footnote w:id="742">
    <w:p w14:paraId="210E8AC0" w14:textId="5672D2B4"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904" w:history="1">
        <w:r w:rsidR="00D301C6" w:rsidRPr="00813782">
          <w:rPr>
            <w:rStyle w:val="Hyperlink"/>
            <w:lang w:val="en-US"/>
          </w:rPr>
          <w:t>https://www.okhistory.org/research/forms/freport.pdf</w:t>
        </w:r>
      </w:hyperlink>
      <w:r w:rsidR="00D301C6" w:rsidRPr="00DA5E7E">
        <w:rPr>
          <w:lang w:val="en-US"/>
        </w:rPr>
        <w:t xml:space="preserve">, </w:t>
      </w:r>
      <w:r w:rsidR="002A7FA1" w:rsidRPr="00DA5E7E">
        <w:rPr>
          <w:lang w:val="en-US"/>
        </w:rPr>
        <w:t>p. </w:t>
      </w:r>
      <w:r w:rsidR="00D301C6" w:rsidRPr="00DA5E7E">
        <w:rPr>
          <w:lang w:val="en-US"/>
        </w:rPr>
        <w:t>74.</w:t>
      </w:r>
    </w:p>
  </w:footnote>
  <w:footnote w:id="743">
    <w:p w14:paraId="45EDA497" w14:textId="080A6BD1"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w:history="1"/>
      <w:hyperlink r:id="rId905" w:history="1">
        <w:r w:rsidR="00D301C6" w:rsidRPr="00813782">
          <w:rPr>
            <w:rStyle w:val="Hyperlink"/>
            <w:lang w:val="en-US"/>
          </w:rPr>
          <w:t>https://www.hrw.org/sites/default/files/media_2020/11/tulsa-reparations0520_web.pdf</w:t>
        </w:r>
      </w:hyperlink>
      <w:r w:rsidR="00D301C6" w:rsidRPr="00813782">
        <w:rPr>
          <w:rStyle w:val="Hyperlink"/>
          <w:lang w:val="en-US"/>
        </w:rPr>
        <w:t>.</w:t>
      </w:r>
    </w:p>
  </w:footnote>
  <w:footnote w:id="744">
    <w:p w14:paraId="48D02194" w14:textId="38D98794" w:rsidR="00D301C6" w:rsidRPr="00A26755" w:rsidRDefault="00AB123B" w:rsidP="005B4367">
      <w:pPr>
        <w:pStyle w:val="FootnoteText"/>
        <w:rPr>
          <w:lang w:val="en-US"/>
        </w:rPr>
      </w:pPr>
      <w:r w:rsidRPr="00DA5E7E">
        <w:rPr>
          <w:lang w:val="en-US"/>
        </w:rPr>
        <w:tab/>
      </w:r>
      <w:r w:rsidRPr="00093AC5">
        <w:rPr>
          <w:rStyle w:val="FootnoteReference"/>
        </w:rPr>
        <w:footnoteRef/>
      </w:r>
      <w:r w:rsidRPr="00A26755">
        <w:rPr>
          <w:lang w:val="en-US"/>
        </w:rPr>
        <w:tab/>
      </w:r>
      <w:hyperlink r:id="rId906" w:history="1">
        <w:r w:rsidR="00D301C6" w:rsidRPr="00A26755">
          <w:rPr>
            <w:rStyle w:val="Hyperlink"/>
            <w:lang w:val="en-US"/>
          </w:rPr>
          <w:t>https://www.npr.org/sections/live-updates-protests-for-racial-justice/2020/09/03/909151983/</w:t>
        </w:r>
        <w:r w:rsidR="00A26755" w:rsidRPr="00A26755">
          <w:rPr>
            <w:rStyle w:val="Hyperlink"/>
            <w:lang w:val="en-US"/>
          </w:rPr>
          <w:t xml:space="preserve"> </w:t>
        </w:r>
        <w:r w:rsidR="00D301C6" w:rsidRPr="00A26755">
          <w:rPr>
            <w:rStyle w:val="Hyperlink"/>
            <w:lang w:val="en-US"/>
          </w:rPr>
          <w:t>oklahoma-lawsuit-seeks-reparations-in-connection-to-1921-tulsa-massacre?t=1607619507261</w:t>
        </w:r>
      </w:hyperlink>
      <w:r w:rsidR="00D301C6" w:rsidRPr="00A26755">
        <w:rPr>
          <w:lang w:val="en-US"/>
        </w:rPr>
        <w:t xml:space="preserve"> (copie de la pétition).</w:t>
      </w:r>
    </w:p>
  </w:footnote>
  <w:footnote w:id="745">
    <w:p w14:paraId="73A4F3BE" w14:textId="3D8A0EDA" w:rsidR="00D301C6" w:rsidRPr="00DA5E7E" w:rsidRDefault="00AB123B" w:rsidP="005B4367">
      <w:pPr>
        <w:pStyle w:val="FootnoteText"/>
        <w:rPr>
          <w:lang w:val="en-US"/>
        </w:rPr>
      </w:pPr>
      <w:r w:rsidRPr="00A26755">
        <w:rPr>
          <w:lang w:val="en-US"/>
        </w:rPr>
        <w:tab/>
      </w:r>
      <w:r w:rsidRPr="00093AC5">
        <w:rPr>
          <w:rStyle w:val="FootnoteReference"/>
        </w:rPr>
        <w:footnoteRef/>
      </w:r>
      <w:r w:rsidRPr="00DA5E7E">
        <w:rPr>
          <w:lang w:val="en-US"/>
        </w:rPr>
        <w:tab/>
      </w:r>
      <w:r w:rsidR="00D301C6" w:rsidRPr="0071410D">
        <w:rPr>
          <w:spacing w:val="-2"/>
          <w:lang w:val="en-US"/>
        </w:rPr>
        <w:t xml:space="preserve">Communication du </w:t>
      </w:r>
      <w:r w:rsidR="00A26755" w:rsidRPr="0071410D">
        <w:rPr>
          <w:spacing w:val="-2"/>
          <w:lang w:val="en-US"/>
        </w:rPr>
        <w:t>révérend</w:t>
      </w:r>
      <w:r w:rsidR="00D301C6" w:rsidRPr="0071410D">
        <w:rPr>
          <w:spacing w:val="-2"/>
          <w:lang w:val="en-US"/>
        </w:rPr>
        <w:t xml:space="preserve"> Dr. Robert Turner (Historic Vernon African Methodist Episcopal Church).</w:t>
      </w:r>
    </w:p>
  </w:footnote>
  <w:footnote w:id="746">
    <w:p w14:paraId="1A27BD15" w14:textId="310636F8"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907" w:history="1">
        <w:r w:rsidR="00D301C6" w:rsidRPr="00813782">
          <w:rPr>
            <w:rStyle w:val="Hyperlink"/>
            <w:lang w:val="en-US"/>
          </w:rPr>
          <w:t>https://www.gov.uk/government/news/statement-to-parliament-on-settlement-of-mau-mau-claims</w:t>
        </w:r>
      </w:hyperlink>
      <w:r w:rsidR="00D301C6" w:rsidRPr="00DA5E7E">
        <w:rPr>
          <w:lang w:val="en-US"/>
        </w:rPr>
        <w:t>.</w:t>
      </w:r>
    </w:p>
  </w:footnote>
  <w:footnote w:id="747">
    <w:p w14:paraId="018D8841" w14:textId="28D34CCD"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908" w:history="1">
        <w:r w:rsidR="00D301C6" w:rsidRPr="00813782">
          <w:rPr>
            <w:rStyle w:val="Hyperlink"/>
            <w:lang w:val="en-US"/>
          </w:rPr>
          <w:t>https://www.legifrance.gouv.fr/jorf/id/JORFTEXT000042738023</w:t>
        </w:r>
      </w:hyperlink>
      <w:r w:rsidR="00D301C6" w:rsidRPr="00813782">
        <w:rPr>
          <w:rStyle w:val="Hyperlink"/>
          <w:lang w:val="en-US"/>
        </w:rPr>
        <w:t>.</w:t>
      </w:r>
    </w:p>
  </w:footnote>
  <w:footnote w:id="748">
    <w:p w14:paraId="2DB0CCE1" w14:textId="41EA88F4"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909" w:history="1">
        <w:r w:rsidR="00D301C6" w:rsidRPr="00813782">
          <w:rPr>
            <w:rStyle w:val="Hyperlink"/>
            <w:lang w:val="en-US"/>
          </w:rPr>
          <w:t>https://www.elysee.fr/emmanuel-macron/2018/11/23/remise-du-rapport-savoy-sarr-sur-la-restitution-du-patrimoine-africain</w:t>
        </w:r>
      </w:hyperlink>
      <w:r w:rsidR="00BF73AB">
        <w:rPr>
          <w:rStyle w:val="Hyperlink"/>
          <w:lang w:val="en-US"/>
        </w:rPr>
        <w:t> ;</w:t>
      </w:r>
      <w:r w:rsidR="00D301C6" w:rsidRPr="00DA5E7E">
        <w:rPr>
          <w:lang w:val="en-US"/>
        </w:rPr>
        <w:t xml:space="preserve"> </w:t>
      </w:r>
      <w:hyperlink r:id="rId910" w:history="1">
        <w:r w:rsidR="00D301C6" w:rsidRPr="00813782">
          <w:rPr>
            <w:rStyle w:val="Hyperlink"/>
            <w:lang w:val="en-US"/>
          </w:rPr>
          <w:t>http://restitutionreport2018.com/</w:t>
        </w:r>
      </w:hyperlink>
      <w:r w:rsidR="00D301C6" w:rsidRPr="00DA5E7E">
        <w:rPr>
          <w:lang w:val="en-US"/>
        </w:rPr>
        <w:t>.</w:t>
      </w:r>
    </w:p>
  </w:footnote>
  <w:footnote w:id="749">
    <w:p w14:paraId="72B08E1B" w14:textId="6B45B980"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911" w:history="1">
        <w:r w:rsidR="00D301C6" w:rsidRPr="00813782">
          <w:rPr>
            <w:rStyle w:val="Hyperlink"/>
            <w:lang w:val="en-US"/>
          </w:rPr>
          <w:t>https://www.auswaertiges-amt.de/en/newsroom/news/-/2462510</w:t>
        </w:r>
      </w:hyperlink>
      <w:r w:rsidR="00BF73AB">
        <w:rPr>
          <w:rStyle w:val="Hyperlink"/>
          <w:lang w:val="en-US"/>
        </w:rPr>
        <w:t> </w:t>
      </w:r>
      <w:r w:rsidR="00BF73AB" w:rsidRPr="00BB4F46">
        <w:rPr>
          <w:rStyle w:val="Hyperlink"/>
          <w:color w:val="auto"/>
          <w:lang w:val="en-US"/>
        </w:rPr>
        <w:t>;</w:t>
      </w:r>
      <w:r w:rsidR="00D301C6" w:rsidRPr="00BB4F46">
        <w:rPr>
          <w:rStyle w:val="Hyperlink"/>
          <w:color w:val="auto"/>
          <w:lang w:val="en-US"/>
        </w:rPr>
        <w:t xml:space="preserve"> </w:t>
      </w:r>
      <w:hyperlink r:id="rId912" w:history="1">
        <w:r w:rsidR="00D301C6" w:rsidRPr="00813782">
          <w:rPr>
            <w:rStyle w:val="Hyperlink"/>
            <w:lang w:val="en-US"/>
          </w:rPr>
          <w:t>https://www.brusselstimes.com/</w:t>
        </w:r>
        <w:r w:rsidR="00BB4F46">
          <w:rPr>
            <w:rStyle w:val="Hyperlink"/>
            <w:lang w:val="en-US"/>
          </w:rPr>
          <w:t xml:space="preserve"> </w:t>
        </w:r>
        <w:r w:rsidR="00D301C6" w:rsidRPr="00813782">
          <w:rPr>
            <w:rStyle w:val="Hyperlink"/>
            <w:lang w:val="en-US"/>
          </w:rPr>
          <w:t>news/belgium-all-news/174486/africa-museum-will-return-stolen-artworks-to-congo/?fbclid=IwAR0tcc_4o6p4zlajONC1_KV4J4P-blSFPZA7jM1g6CuwNyljHoKtdyrZCpk</w:t>
        </w:r>
      </w:hyperlink>
      <w:r w:rsidR="00BF73AB">
        <w:rPr>
          <w:rStyle w:val="Hyperlink"/>
          <w:lang w:val="en-US"/>
        </w:rPr>
        <w:t> </w:t>
      </w:r>
      <w:r w:rsidR="00BF73AB" w:rsidRPr="00BB4F46">
        <w:rPr>
          <w:rStyle w:val="Hyperlink"/>
          <w:color w:val="auto"/>
          <w:lang w:val="en-US"/>
        </w:rPr>
        <w:t>;</w:t>
      </w:r>
      <w:r w:rsidR="00D301C6" w:rsidRPr="00BB4F46">
        <w:rPr>
          <w:rStyle w:val="Hyperlink"/>
          <w:color w:val="auto"/>
          <w:lang w:val="en-US"/>
        </w:rPr>
        <w:t xml:space="preserve"> </w:t>
      </w:r>
      <w:r w:rsidR="00D301C6" w:rsidRPr="00813782">
        <w:rPr>
          <w:rStyle w:val="Hyperlink"/>
          <w:lang w:val="en-US"/>
        </w:rPr>
        <w:t>https://twitter.com/ThomasDermine/status/1406195836443320321.</w:t>
      </w:r>
    </w:p>
  </w:footnote>
  <w:footnote w:id="750">
    <w:p w14:paraId="7A489A41" w14:textId="388C539D"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913" w:history="1">
        <w:r w:rsidR="00D301C6" w:rsidRPr="00813782">
          <w:rPr>
            <w:rStyle w:val="Hyperlink"/>
            <w:lang w:val="en-US"/>
          </w:rPr>
          <w:t>https://www.washingtonpost.com/religion/maryland-episcopal-church-commits-1-million-to-reparations-seed-fund/2020/09/18/bcabd4e6-f8fb-11ea-a275-1a2c2d36e1f1_story.html</w:t>
        </w:r>
      </w:hyperlink>
      <w:r w:rsidR="00BF73AB">
        <w:rPr>
          <w:rStyle w:val="Hyperlink"/>
          <w:lang w:val="en-US"/>
        </w:rPr>
        <w:t> </w:t>
      </w:r>
      <w:r w:rsidR="00BF73AB" w:rsidRPr="00BB4F46">
        <w:rPr>
          <w:rStyle w:val="Hyperlink"/>
          <w:color w:val="auto"/>
          <w:lang w:val="en-US"/>
        </w:rPr>
        <w:t>;</w:t>
      </w:r>
      <w:r w:rsidR="00D301C6" w:rsidRPr="00BB4F46">
        <w:rPr>
          <w:lang w:val="en-US"/>
        </w:rPr>
        <w:t xml:space="preserve"> </w:t>
      </w:r>
      <w:hyperlink r:id="rId914" w:history="1">
        <w:r w:rsidR="00D301C6" w:rsidRPr="00813782">
          <w:rPr>
            <w:rStyle w:val="Hyperlink"/>
            <w:lang w:val="en-US"/>
          </w:rPr>
          <w:t>https://www.washingtontimes.com/news/2021/jan/29/church-established-by-slave-owners-creates-reparat/</w:t>
        </w:r>
      </w:hyperlink>
      <w:r w:rsidR="00D301C6" w:rsidRPr="00DA5E7E">
        <w:rPr>
          <w:lang w:val="en-US"/>
        </w:rPr>
        <w:t>.</w:t>
      </w:r>
    </w:p>
  </w:footnote>
  <w:footnote w:id="751">
    <w:p w14:paraId="4E529C2F" w14:textId="4E936D97"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915" w:history="1">
        <w:r w:rsidR="00D301C6" w:rsidRPr="00813782">
          <w:rPr>
            <w:rStyle w:val="Hyperlink"/>
            <w:lang w:val="en-US"/>
          </w:rPr>
          <w:t>https://www.nytimes.com/2019/10/21/nyregion/princeton-seminary-slavery-reparations.html</w:t>
        </w:r>
      </w:hyperlink>
      <w:r w:rsidR="00D301C6" w:rsidRPr="00DA5E7E">
        <w:rPr>
          <w:lang w:val="en-US"/>
        </w:rPr>
        <w:t>.</w:t>
      </w:r>
    </w:p>
  </w:footnote>
  <w:footnote w:id="752">
    <w:p w14:paraId="523E988E" w14:textId="55CB827F"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 xml:space="preserve">A/74/321, </w:t>
      </w:r>
      <w:r w:rsidR="002A7FA1" w:rsidRPr="00DA5E7E">
        <w:rPr>
          <w:lang w:val="en-US"/>
        </w:rPr>
        <w:t>par. </w:t>
      </w:r>
      <w:r w:rsidR="00D301C6" w:rsidRPr="00DA5E7E">
        <w:rPr>
          <w:lang w:val="en-US"/>
        </w:rPr>
        <w:t>62.</w:t>
      </w:r>
    </w:p>
  </w:footnote>
  <w:footnote w:id="753">
    <w:p w14:paraId="466F657D" w14:textId="53945C62"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916" w:history="1">
        <w:r w:rsidR="00D301C6" w:rsidRPr="00DA5E7E">
          <w:rPr>
            <w:rStyle w:val="Hyperlink"/>
            <w:lang w:val="en-US"/>
          </w:rPr>
          <w:t>https://www.theguardian.com/uk/2006/feb/09/religion.world</w:t>
        </w:r>
      </w:hyperlink>
      <w:r w:rsidR="00D301C6" w:rsidRPr="00DA5E7E">
        <w:rPr>
          <w:lang w:val="en-US"/>
        </w:rPr>
        <w:t>.</w:t>
      </w:r>
    </w:p>
  </w:footnote>
  <w:footnote w:id="754">
    <w:p w14:paraId="3A954773" w14:textId="290E34CF"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917" w:history="1">
        <w:r w:rsidR="00D301C6" w:rsidRPr="00DA5E7E">
          <w:rPr>
            <w:rStyle w:val="Hyperlink"/>
            <w:lang w:val="en-US"/>
          </w:rPr>
          <w:t>https://www.churchofengland.org/sites/default/files/2021-05/Contested_Heritage_in_Cathedrals</w:t>
        </w:r>
        <w:r w:rsidR="00A4127E">
          <w:rPr>
            <w:rStyle w:val="Hyperlink"/>
            <w:lang w:val="en-US"/>
          </w:rPr>
          <w:t xml:space="preserve"> </w:t>
        </w:r>
        <w:r w:rsidR="00D301C6" w:rsidRPr="00DA5E7E">
          <w:rPr>
            <w:rStyle w:val="Hyperlink"/>
            <w:lang w:val="en-US"/>
          </w:rPr>
          <w:t>_and_Churches.pdf</w:t>
        </w:r>
      </w:hyperlink>
      <w:r w:rsidR="00D301C6" w:rsidRPr="00DA5E7E">
        <w:rPr>
          <w:lang w:val="en-US"/>
        </w:rPr>
        <w:t xml:space="preserve">, </w:t>
      </w:r>
      <w:r w:rsidR="002A7FA1" w:rsidRPr="00DA5E7E">
        <w:rPr>
          <w:lang w:val="en-US"/>
        </w:rPr>
        <w:t>p. </w:t>
      </w:r>
      <w:r w:rsidR="00D301C6" w:rsidRPr="00DA5E7E">
        <w:rPr>
          <w:lang w:val="en-US"/>
        </w:rPr>
        <w:t>7.</w:t>
      </w:r>
    </w:p>
  </w:footnote>
  <w:footnote w:id="755">
    <w:p w14:paraId="0BE2D4DB" w14:textId="69313E2D" w:rsidR="00D301C6" w:rsidRPr="00FC53D5" w:rsidRDefault="00AB123B" w:rsidP="005B4367">
      <w:pPr>
        <w:pStyle w:val="FootnoteText"/>
      </w:pPr>
      <w:r w:rsidRPr="00DA5E7E">
        <w:rPr>
          <w:lang w:val="en-US"/>
        </w:rPr>
        <w:tab/>
      </w:r>
      <w:r w:rsidRPr="00093AC5">
        <w:rPr>
          <w:rStyle w:val="FootnoteReference"/>
        </w:rPr>
        <w:footnoteRef/>
      </w:r>
      <w:r w:rsidRPr="00FC53D5">
        <w:tab/>
      </w:r>
      <w:r w:rsidR="00D301C6" w:rsidRPr="00FC53D5">
        <w:t xml:space="preserve">Voir, par exemple, </w:t>
      </w:r>
      <w:hyperlink r:id="rId918" w:history="1">
        <w:r w:rsidR="00D301C6" w:rsidRPr="00FC53D5">
          <w:rPr>
            <w:rStyle w:val="Hyperlink"/>
          </w:rPr>
          <w:t>https://www.washingtonpost.com/gdpr-consent/?next_url=https%3a%2f%2f</w:t>
        </w:r>
        <w:r w:rsidR="00FC53D5" w:rsidRPr="00FC53D5">
          <w:rPr>
            <w:rStyle w:val="Hyperlink"/>
          </w:rPr>
          <w:t xml:space="preserve"> </w:t>
        </w:r>
        <w:r w:rsidR="00D301C6" w:rsidRPr="00FC53D5">
          <w:rPr>
            <w:rStyle w:val="Hyperlink"/>
          </w:rPr>
          <w:t>www.washingtonpost.com%2feducation%2f2021%2f06%2f05%2fjohn-hopkins-slavery-founder-inquiry%2f</w:t>
        </w:r>
      </w:hyperlink>
      <w:r w:rsidR="00D301C6" w:rsidRPr="00FC53D5">
        <w:t>.</w:t>
      </w:r>
    </w:p>
  </w:footnote>
  <w:footnote w:id="756">
    <w:p w14:paraId="180C9361" w14:textId="212B2468" w:rsidR="00D301C6" w:rsidRPr="00D10EF8" w:rsidRDefault="00AB123B" w:rsidP="005B4367">
      <w:pPr>
        <w:pStyle w:val="FootnoteText"/>
      </w:pPr>
      <w:r w:rsidRPr="00FC53D5">
        <w:tab/>
      </w:r>
      <w:r w:rsidRPr="00093AC5">
        <w:rPr>
          <w:rStyle w:val="FootnoteReference"/>
        </w:rPr>
        <w:footnoteRef/>
      </w:r>
      <w:r w:rsidRPr="00D10EF8">
        <w:tab/>
      </w:r>
      <w:hyperlink r:id="rId919" w:history="1">
        <w:r w:rsidR="00D301C6" w:rsidRPr="00D10EF8">
          <w:rPr>
            <w:rStyle w:val="Hyperlink"/>
            <w:lang w:val="fr-FR"/>
          </w:rPr>
          <w:t>https://www.georgetown.edu/news/georgetown-apologizes-for-1838-sale-of-272-slaves-dedicates-buildings/</w:t>
        </w:r>
      </w:hyperlink>
      <w:r w:rsidR="00BF73AB">
        <w:t> ;</w:t>
      </w:r>
      <w:r w:rsidR="00D301C6" w:rsidRPr="00D10EF8">
        <w:t xml:space="preserve"> </w:t>
      </w:r>
      <w:hyperlink r:id="rId920" w:history="1">
        <w:r w:rsidR="00D301C6" w:rsidRPr="00D10EF8">
          <w:rPr>
            <w:rStyle w:val="Hyperlink"/>
            <w:lang w:val="fr-FR"/>
          </w:rPr>
          <w:t>https://www.washingtonpost.com/gdpr-consent/?next_url=https%3a%2f%2f</w:t>
        </w:r>
        <w:r w:rsidR="00FC53D5">
          <w:rPr>
            <w:rStyle w:val="Hyperlink"/>
            <w:lang w:val="fr-FR"/>
          </w:rPr>
          <w:t xml:space="preserve"> </w:t>
        </w:r>
        <w:r w:rsidR="00D301C6" w:rsidRPr="00D10EF8">
          <w:rPr>
            <w:rStyle w:val="Hyperlink"/>
            <w:lang w:val="fr-FR"/>
          </w:rPr>
          <w:t>www.washingtonpost.com%2fnews%2fgrade-point%2fwp%2f2016%2f09%2f02%2fnow-is-the-time-descendants-respond-to-georgetowns-efforts-to-confront-the-legacy-of-slavery%2f</w:t>
        </w:r>
      </w:hyperlink>
      <w:r w:rsidR="00D301C6" w:rsidRPr="00D10EF8">
        <w:rPr>
          <w:rStyle w:val="Hyperlink"/>
          <w:lang w:val="fr-FR"/>
        </w:rPr>
        <w:t>.</w:t>
      </w:r>
    </w:p>
  </w:footnote>
  <w:footnote w:id="757">
    <w:p w14:paraId="357E9E18" w14:textId="01A9D15D" w:rsidR="00D301C6" w:rsidRPr="00D10EF8" w:rsidRDefault="00AB123B" w:rsidP="005B4367">
      <w:pPr>
        <w:pStyle w:val="FootnoteText"/>
      </w:pPr>
      <w:r w:rsidRPr="00D10EF8">
        <w:tab/>
      </w:r>
      <w:r w:rsidRPr="00093AC5">
        <w:rPr>
          <w:rStyle w:val="FootnoteReference"/>
        </w:rPr>
        <w:footnoteRef/>
      </w:r>
      <w:r w:rsidRPr="00D10EF8">
        <w:tab/>
      </w:r>
      <w:hyperlink r:id="rId921" w:history="1">
        <w:r w:rsidR="00D301C6" w:rsidRPr="00D10EF8">
          <w:rPr>
            <w:rStyle w:val="Hyperlink"/>
            <w:lang w:val="fr-FR"/>
          </w:rPr>
          <w:t>https://www.theatlantic.com/education/archive/2019/04/why-are-georgetown-students-paying-reparations/587443/</w:t>
        </w:r>
      </w:hyperlink>
      <w:r w:rsidR="00BF73AB">
        <w:rPr>
          <w:rStyle w:val="Hyperlink"/>
          <w:lang w:val="fr-FR"/>
        </w:rPr>
        <w:t> </w:t>
      </w:r>
      <w:r w:rsidR="00BF73AB" w:rsidRPr="00FC53D5">
        <w:rPr>
          <w:rStyle w:val="Hyperlink"/>
          <w:color w:val="auto"/>
          <w:lang w:val="fr-FR"/>
        </w:rPr>
        <w:t>;</w:t>
      </w:r>
      <w:r w:rsidR="00D301C6" w:rsidRPr="00D10EF8">
        <w:rPr>
          <w:rStyle w:val="Hyperlink"/>
          <w:lang w:val="fr-FR"/>
        </w:rPr>
        <w:t xml:space="preserve"> </w:t>
      </w:r>
      <w:hyperlink r:id="rId922" w:history="1">
        <w:r w:rsidR="00D301C6" w:rsidRPr="00D10EF8">
          <w:rPr>
            <w:rStyle w:val="Hyperlink"/>
            <w:lang w:val="fr-FR"/>
          </w:rPr>
          <w:t>https://www.nytimes.com/2019/04/12/us/georgetown-reparations.html</w:t>
        </w:r>
      </w:hyperlink>
      <w:r w:rsidR="00BF73AB">
        <w:rPr>
          <w:rStyle w:val="Hyperlink"/>
          <w:lang w:val="fr-FR"/>
        </w:rPr>
        <w:t> </w:t>
      </w:r>
      <w:r w:rsidR="00BF73AB" w:rsidRPr="00FC53D5">
        <w:rPr>
          <w:rStyle w:val="Hyperlink"/>
          <w:color w:val="auto"/>
          <w:lang w:val="fr-FR"/>
        </w:rPr>
        <w:t>;</w:t>
      </w:r>
      <w:r w:rsidR="00D301C6" w:rsidRPr="00FC53D5">
        <w:t xml:space="preserve"> </w:t>
      </w:r>
      <w:hyperlink r:id="rId923" w:history="1">
        <w:r w:rsidR="00D301C6" w:rsidRPr="00D10EF8">
          <w:rPr>
            <w:rStyle w:val="Hyperlink"/>
            <w:lang w:val="fr-FR"/>
          </w:rPr>
          <w:t>https://www.washingtonpost.com/education/2019/10/03/georgetown-students-protest-demanding-action-reparations-descendants-enslaved-people/</w:t>
        </w:r>
      </w:hyperlink>
      <w:r w:rsidR="00D301C6" w:rsidRPr="00D10EF8">
        <w:rPr>
          <w:rStyle w:val="Hyperlink"/>
          <w:lang w:val="fr-FR"/>
        </w:rPr>
        <w:t>.</w:t>
      </w:r>
    </w:p>
  </w:footnote>
  <w:footnote w:id="758">
    <w:p w14:paraId="5583DEDA" w14:textId="11D31797" w:rsidR="00D301C6" w:rsidRPr="00FC53D5" w:rsidRDefault="00AB123B" w:rsidP="005B4367">
      <w:pPr>
        <w:pStyle w:val="FootnoteText"/>
      </w:pPr>
      <w:r w:rsidRPr="00D10EF8">
        <w:tab/>
      </w:r>
      <w:r w:rsidRPr="00093AC5">
        <w:rPr>
          <w:rStyle w:val="FootnoteReference"/>
        </w:rPr>
        <w:footnoteRef/>
      </w:r>
      <w:r w:rsidRPr="00FC53D5">
        <w:tab/>
      </w:r>
      <w:hyperlink r:id="rId924" w:history="1">
        <w:r w:rsidR="00D301C6" w:rsidRPr="00FC53D5">
          <w:rPr>
            <w:rStyle w:val="Hyperlink"/>
          </w:rPr>
          <w:t>https://www.aaihs.org/a-case-for-reparations-at-the-university-of-chicago/</w:t>
        </w:r>
      </w:hyperlink>
      <w:r w:rsidR="00BF73AB" w:rsidRPr="00FC53D5">
        <w:rPr>
          <w:rStyle w:val="Hyperlink"/>
        </w:rPr>
        <w:t> </w:t>
      </w:r>
      <w:r w:rsidR="00BF73AB" w:rsidRPr="00FC53D5">
        <w:rPr>
          <w:rStyle w:val="Hyperlink"/>
          <w:color w:val="auto"/>
        </w:rPr>
        <w:t>;</w:t>
      </w:r>
      <w:r w:rsidR="00D301C6" w:rsidRPr="00FC53D5">
        <w:t xml:space="preserve"> </w:t>
      </w:r>
      <w:hyperlink r:id="rId925" w:history="1">
        <w:r w:rsidR="00D301C6" w:rsidRPr="00FC53D5">
          <w:rPr>
            <w:rStyle w:val="Hyperlink"/>
          </w:rPr>
          <w:t>https://www.lib.uchicago.edu/collex/exhibits/case-reparations-university-chicago-sources/</w:t>
        </w:r>
      </w:hyperlink>
      <w:r w:rsidR="00D301C6" w:rsidRPr="00FC53D5">
        <w:t>.</w:t>
      </w:r>
    </w:p>
  </w:footnote>
  <w:footnote w:id="759">
    <w:p w14:paraId="3F092CC2" w14:textId="4D085090" w:rsidR="00D301C6" w:rsidRPr="00D10EF8" w:rsidRDefault="00AB123B" w:rsidP="005B4367">
      <w:pPr>
        <w:pStyle w:val="FootnoteText"/>
      </w:pPr>
      <w:r w:rsidRPr="00FC53D5">
        <w:tab/>
      </w:r>
      <w:r w:rsidRPr="00093AC5">
        <w:rPr>
          <w:rStyle w:val="FootnoteReference"/>
        </w:rPr>
        <w:footnoteRef/>
      </w:r>
      <w:r w:rsidRPr="00D10EF8">
        <w:tab/>
      </w:r>
      <w:hyperlink r:id="rId926" w:history="1">
        <w:r w:rsidR="00D301C6" w:rsidRPr="00D10EF8">
          <w:rPr>
            <w:rStyle w:val="Hyperlink"/>
            <w:lang w:val="fr-FR"/>
          </w:rPr>
          <w:t>https://www.brown.edu/Research/Slavery_Justice/documents/SlaveryAndJustice.pdf</w:t>
        </w:r>
      </w:hyperlink>
      <w:r w:rsidR="00D301C6" w:rsidRPr="00D10EF8">
        <w:t>.</w:t>
      </w:r>
    </w:p>
  </w:footnote>
  <w:footnote w:id="760">
    <w:p w14:paraId="5E06E6F7" w14:textId="1EC6478F" w:rsidR="00D301C6" w:rsidRPr="00D10EF8" w:rsidRDefault="00AB123B" w:rsidP="005B4367">
      <w:pPr>
        <w:pStyle w:val="FootnoteText"/>
      </w:pPr>
      <w:r w:rsidRPr="00D10EF8">
        <w:tab/>
      </w:r>
      <w:r w:rsidRPr="00093AC5">
        <w:rPr>
          <w:rStyle w:val="FootnoteReference"/>
        </w:rPr>
        <w:footnoteRef/>
      </w:r>
      <w:r w:rsidRPr="00D10EF8">
        <w:tab/>
      </w:r>
      <w:hyperlink r:id="rId927" w:history="1">
        <w:r w:rsidR="00D301C6" w:rsidRPr="00D10EF8">
          <w:rPr>
            <w:rStyle w:val="Hyperlink"/>
            <w:lang w:val="fr-FR"/>
          </w:rPr>
          <w:t>https://www.nytimes.com/2019/09/12/us/virginia-seminary-reparations.html</w:t>
        </w:r>
      </w:hyperlink>
      <w:r w:rsidR="00D301C6" w:rsidRPr="00D10EF8">
        <w:t xml:space="preserve">. Voir également </w:t>
      </w:r>
      <w:hyperlink r:id="rId928" w:history="1">
        <w:r w:rsidR="00D301C6" w:rsidRPr="00D10EF8">
          <w:rPr>
            <w:rStyle w:val="Hyperlink"/>
            <w:lang w:val="fr-FR"/>
          </w:rPr>
          <w:t>https://www.nytimes.com/2019/11/06/us/harvard-antigua-slavery-reparations.html</w:t>
        </w:r>
      </w:hyperlink>
      <w:r w:rsidR="00BF73AB">
        <w:rPr>
          <w:rStyle w:val="Hyperlink"/>
          <w:lang w:val="fr-FR"/>
        </w:rPr>
        <w:t> </w:t>
      </w:r>
      <w:r w:rsidR="00BF73AB" w:rsidRPr="00FC53D5">
        <w:rPr>
          <w:rStyle w:val="Hyperlink"/>
          <w:color w:val="auto"/>
          <w:lang w:val="fr-FR"/>
        </w:rPr>
        <w:t>;</w:t>
      </w:r>
      <w:r w:rsidR="00D301C6" w:rsidRPr="00FC53D5">
        <w:t xml:space="preserve"> </w:t>
      </w:r>
      <w:hyperlink r:id="rId929" w:history="1">
        <w:r w:rsidR="00D301C6" w:rsidRPr="00D10EF8">
          <w:rPr>
            <w:rStyle w:val="Hyperlink"/>
            <w:lang w:val="fr-FR"/>
          </w:rPr>
          <w:t>https://www.washingtonpost.com/religion/2018/12/12/southern-baptist-conventions-flagship-seminary-admits-all-four-its-founders-owned-slaves/</w:t>
        </w:r>
      </w:hyperlink>
      <w:r w:rsidR="00D301C6" w:rsidRPr="00D10EF8">
        <w:rPr>
          <w:rStyle w:val="Hyperlink"/>
          <w:lang w:val="fr-FR"/>
        </w:rPr>
        <w:t>.</w:t>
      </w:r>
    </w:p>
  </w:footnote>
  <w:footnote w:id="761">
    <w:p w14:paraId="49D77F6D" w14:textId="0C3CE660" w:rsidR="00D301C6" w:rsidRPr="00D10EF8" w:rsidRDefault="00AB123B" w:rsidP="005B4367">
      <w:pPr>
        <w:pStyle w:val="FootnoteText"/>
      </w:pPr>
      <w:r w:rsidRPr="00D10EF8">
        <w:tab/>
      </w:r>
      <w:r w:rsidRPr="00093AC5">
        <w:rPr>
          <w:rStyle w:val="FootnoteReference"/>
        </w:rPr>
        <w:footnoteRef/>
      </w:r>
      <w:r w:rsidRPr="00D10EF8">
        <w:tab/>
      </w:r>
      <w:hyperlink r:id="rId930" w:history="1">
        <w:r w:rsidR="00D301C6" w:rsidRPr="00D10EF8">
          <w:rPr>
            <w:rStyle w:val="Hyperlink"/>
            <w:lang w:val="fr-FR"/>
          </w:rPr>
          <w:t>https://www.gla.ac.uk/news/archiveofnews/2019/september/headline_667960_en.html</w:t>
        </w:r>
      </w:hyperlink>
      <w:r w:rsidR="00BF73AB">
        <w:t> </w:t>
      </w:r>
      <w:r w:rsidR="00BF73AB" w:rsidRPr="00FC53D5">
        <w:t>;</w:t>
      </w:r>
      <w:r w:rsidR="00D301C6" w:rsidRPr="00FC53D5">
        <w:t xml:space="preserve"> </w:t>
      </w:r>
      <w:hyperlink r:id="rId931" w:history="1">
        <w:r w:rsidR="00D301C6" w:rsidRPr="00D10EF8">
          <w:rPr>
            <w:rStyle w:val="Hyperlink"/>
            <w:lang w:val="fr-FR"/>
          </w:rPr>
          <w:t>https://www.gla.ac.uk/media/Media_607547_smxx.pdf</w:t>
        </w:r>
      </w:hyperlink>
      <w:r w:rsidR="00D301C6" w:rsidRPr="00D10EF8">
        <w:rPr>
          <w:rStyle w:val="Hyperlink"/>
          <w:lang w:val="fr-FR"/>
        </w:rPr>
        <w:t>.</w:t>
      </w:r>
    </w:p>
  </w:footnote>
  <w:footnote w:id="762">
    <w:p w14:paraId="6B404F70" w14:textId="29C45973" w:rsidR="00D301C6" w:rsidRPr="00DA5E7E" w:rsidRDefault="00AB123B" w:rsidP="005B4367">
      <w:pPr>
        <w:pStyle w:val="FootnoteText"/>
        <w:rPr>
          <w:lang w:val="en-US"/>
        </w:rPr>
      </w:pPr>
      <w:r w:rsidRPr="00D10EF8">
        <w:tab/>
      </w:r>
      <w:r w:rsidRPr="00093AC5">
        <w:rPr>
          <w:rStyle w:val="FootnoteReference"/>
        </w:rPr>
        <w:footnoteRef/>
      </w:r>
      <w:r w:rsidRPr="00DA5E7E">
        <w:rPr>
          <w:lang w:val="en-US"/>
        </w:rPr>
        <w:tab/>
      </w:r>
      <w:r w:rsidR="00D301C6" w:rsidRPr="00DA5E7E">
        <w:rPr>
          <w:lang w:val="en-US"/>
        </w:rPr>
        <w:t xml:space="preserve">Ana Lucia Araujo, Reparations for Slavery and the Slave Trade: A Transnational and Comparative History, New York: Bloomsbury Academic, 2017, </w:t>
      </w:r>
      <w:r w:rsidR="002A7FA1" w:rsidRPr="00DA5E7E">
        <w:rPr>
          <w:lang w:val="en-US"/>
        </w:rPr>
        <w:t>p. </w:t>
      </w:r>
      <w:r w:rsidR="00D301C6" w:rsidRPr="00DA5E7E">
        <w:rPr>
          <w:lang w:val="en-US"/>
        </w:rPr>
        <w:t>155.</w:t>
      </w:r>
    </w:p>
  </w:footnote>
  <w:footnote w:id="763">
    <w:p w14:paraId="1D346989" w14:textId="772FEA5E" w:rsidR="00D301C6" w:rsidRPr="00D10EF8" w:rsidRDefault="00AB123B" w:rsidP="005B4367">
      <w:pPr>
        <w:pStyle w:val="FootnoteText"/>
      </w:pPr>
      <w:r w:rsidRPr="00DA5E7E">
        <w:rPr>
          <w:lang w:val="en-US"/>
        </w:rPr>
        <w:tab/>
      </w:r>
      <w:r w:rsidRPr="00093AC5">
        <w:rPr>
          <w:rStyle w:val="FootnoteReference"/>
        </w:rPr>
        <w:footnoteRef/>
      </w:r>
      <w:r w:rsidRPr="00D10EF8">
        <w:tab/>
      </w:r>
      <w:r w:rsidR="00D301C6" w:rsidRPr="00D10EF8">
        <w:t xml:space="preserve">Décret présidentiel </w:t>
      </w:r>
      <w:r w:rsidR="00D25234">
        <w:rPr>
          <w:rFonts w:eastAsia="MS Mincho"/>
        </w:rPr>
        <w:t>n</w:t>
      </w:r>
      <w:r w:rsidR="00D25234">
        <w:rPr>
          <w:rFonts w:eastAsia="MS Mincho"/>
          <w:vertAlign w:val="superscript"/>
        </w:rPr>
        <w:t>o</w:t>
      </w:r>
      <w:r w:rsidR="00D25234">
        <w:t> </w:t>
      </w:r>
      <w:r w:rsidR="00D301C6" w:rsidRPr="00D10EF8">
        <w:t>4.887 du 20 novembre 2003.</w:t>
      </w:r>
    </w:p>
  </w:footnote>
  <w:footnote w:id="764">
    <w:p w14:paraId="7EC16B55" w14:textId="76149B37" w:rsidR="00D301C6" w:rsidRPr="00D10EF8" w:rsidRDefault="00AB123B" w:rsidP="005B4367">
      <w:pPr>
        <w:pStyle w:val="FootnoteText"/>
      </w:pPr>
      <w:r w:rsidRPr="00D10EF8">
        <w:tab/>
      </w:r>
      <w:r w:rsidRPr="00093AC5">
        <w:rPr>
          <w:rStyle w:val="FootnoteReference"/>
        </w:rPr>
        <w:footnoteRef/>
      </w:r>
      <w:r w:rsidRPr="00D10EF8">
        <w:tab/>
      </w:r>
      <w:r w:rsidR="00D301C6" w:rsidRPr="00D10EF8">
        <w:tab/>
        <w:t xml:space="preserve">Loi </w:t>
      </w:r>
      <w:r w:rsidR="00D25234">
        <w:rPr>
          <w:rFonts w:eastAsia="MS Mincho"/>
        </w:rPr>
        <w:t>n</w:t>
      </w:r>
      <w:r w:rsidR="00D25234">
        <w:rPr>
          <w:rFonts w:eastAsia="MS Mincho"/>
          <w:vertAlign w:val="superscript"/>
        </w:rPr>
        <w:t>o</w:t>
      </w:r>
      <w:r w:rsidR="00D25234">
        <w:t> </w:t>
      </w:r>
      <w:r w:rsidR="00D301C6" w:rsidRPr="00D10EF8">
        <w:t>10</w:t>
      </w:r>
      <w:r w:rsidR="00D301C6">
        <w:t> </w:t>
      </w:r>
      <w:r w:rsidR="00D301C6" w:rsidRPr="00D10EF8">
        <w:t xml:space="preserve">639 du 9 janvier 2003. Voir également </w:t>
      </w:r>
      <w:hyperlink r:id="rId932" w:history="1">
        <w:r w:rsidR="00D301C6" w:rsidRPr="00D10EF8">
          <w:rPr>
            <w:rStyle w:val="Hyperlink"/>
            <w:lang w:val="fr-FR"/>
          </w:rPr>
          <w:t>https://unesdoc.unesco.org/ark:/</w:t>
        </w:r>
        <w:r w:rsidR="00D25234">
          <w:rPr>
            <w:rStyle w:val="Hyperlink"/>
            <w:lang w:val="fr-FR"/>
          </w:rPr>
          <w:t xml:space="preserve"> </w:t>
        </w:r>
        <w:r w:rsidR="00D301C6" w:rsidRPr="00D10EF8">
          <w:rPr>
            <w:rStyle w:val="Hyperlink"/>
            <w:lang w:val="fr-FR"/>
          </w:rPr>
          <w:t>48223/pf0000366348</w:t>
        </w:r>
      </w:hyperlink>
      <w:r w:rsidR="00D301C6" w:rsidRPr="00D10EF8">
        <w:t xml:space="preserve">, </w:t>
      </w:r>
      <w:r w:rsidR="002A7FA1">
        <w:t>p. </w:t>
      </w:r>
      <w:r w:rsidR="00D301C6" w:rsidRPr="00D10EF8">
        <w:t>14.</w:t>
      </w:r>
    </w:p>
  </w:footnote>
  <w:footnote w:id="765">
    <w:p w14:paraId="5D3F8F6B" w14:textId="0F938851" w:rsidR="00D301C6" w:rsidRPr="00D10EF8" w:rsidRDefault="00AB123B" w:rsidP="005B4367">
      <w:pPr>
        <w:pStyle w:val="FootnoteText"/>
      </w:pPr>
      <w:r w:rsidRPr="00D10EF8">
        <w:tab/>
      </w:r>
      <w:r w:rsidRPr="00093AC5">
        <w:rPr>
          <w:rStyle w:val="FootnoteReference"/>
        </w:rPr>
        <w:footnoteRef/>
      </w:r>
      <w:r w:rsidRPr="00D25234">
        <w:rPr>
          <w:lang w:val="en-US"/>
        </w:rPr>
        <w:tab/>
      </w:r>
      <w:hyperlink r:id="rId933" w:history="1">
        <w:r w:rsidR="00D301C6" w:rsidRPr="00D25234">
          <w:rPr>
            <w:rStyle w:val="Hyperlink"/>
            <w:lang w:val="en-US"/>
          </w:rPr>
          <w:t>https://pdba.georgetown.edu/Constitutions/Ecuador/ecuador98.html</w:t>
        </w:r>
      </w:hyperlink>
      <w:r w:rsidR="00BF73AB" w:rsidRPr="00D25234">
        <w:rPr>
          <w:lang w:val="en-US"/>
        </w:rPr>
        <w:t> ;</w:t>
      </w:r>
      <w:r w:rsidR="00D301C6" w:rsidRPr="00D25234">
        <w:rPr>
          <w:lang w:val="en-US"/>
        </w:rPr>
        <w:t xml:space="preserve"> </w:t>
      </w:r>
      <w:hyperlink r:id="rId934" w:history="1">
        <w:r w:rsidR="00D301C6" w:rsidRPr="00D25234">
          <w:rPr>
            <w:rStyle w:val="Hyperlink"/>
            <w:lang w:val="en-US"/>
          </w:rPr>
          <w:t>https://pdba.georgetown.edu/</w:t>
        </w:r>
        <w:r w:rsidR="00D25234" w:rsidRPr="00D25234">
          <w:rPr>
            <w:rStyle w:val="Hyperlink"/>
            <w:lang w:val="en-US"/>
          </w:rPr>
          <w:t xml:space="preserve"> </w:t>
        </w:r>
        <w:r w:rsidR="00D301C6" w:rsidRPr="00D25234">
          <w:rPr>
            <w:rStyle w:val="Hyperlink"/>
            <w:lang w:val="en-US"/>
          </w:rPr>
          <w:t>Constitutions/Ecuador/english08.html</w:t>
        </w:r>
      </w:hyperlink>
      <w:r w:rsidR="00D301C6" w:rsidRPr="00D25234">
        <w:rPr>
          <w:lang w:val="en-US"/>
        </w:rPr>
        <w:t xml:space="preserve">. </w:t>
      </w:r>
      <w:r w:rsidR="00D301C6" w:rsidRPr="00D10EF8">
        <w:t>Voir également la loi de 2006 relative aux droits collectifs du peuple noir ou afro-équatorien.</w:t>
      </w:r>
    </w:p>
  </w:footnote>
  <w:footnote w:id="766">
    <w:p w14:paraId="6A6DD94E" w14:textId="33B88885" w:rsidR="00D301C6" w:rsidRPr="00DA5E7E" w:rsidRDefault="00AB123B" w:rsidP="005B4367">
      <w:pPr>
        <w:pStyle w:val="FootnoteText"/>
        <w:rPr>
          <w:lang w:val="en-US"/>
        </w:rPr>
      </w:pPr>
      <w:r w:rsidRPr="00D10EF8">
        <w:tab/>
      </w:r>
      <w:r w:rsidRPr="00093AC5">
        <w:rPr>
          <w:rStyle w:val="FootnoteReference"/>
        </w:rPr>
        <w:footnoteRef/>
      </w:r>
      <w:r w:rsidRPr="00DA5E7E">
        <w:rPr>
          <w:lang w:val="en-US"/>
        </w:rPr>
        <w:tab/>
      </w:r>
      <w:r w:rsidR="00D301C6" w:rsidRPr="00DA5E7E">
        <w:rPr>
          <w:lang w:val="en-US"/>
        </w:rPr>
        <w:t xml:space="preserve">Ana Lucia Araujo, Reparations for Slavery and the Slave Trade: A Transnational and Comparative History, New York: Bloomsbury Academic, 2017, </w:t>
      </w:r>
      <w:r w:rsidR="002A7FA1" w:rsidRPr="00DA5E7E">
        <w:rPr>
          <w:lang w:val="en-US"/>
        </w:rPr>
        <w:t>p. </w:t>
      </w:r>
      <w:r w:rsidR="00D301C6" w:rsidRPr="00DA5E7E">
        <w:rPr>
          <w:lang w:val="en-US"/>
        </w:rPr>
        <w:t>155.</w:t>
      </w:r>
    </w:p>
  </w:footnote>
  <w:footnote w:id="767">
    <w:p w14:paraId="13367296" w14:textId="4BD586D1"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hyperlink r:id="rId935" w:history="1">
        <w:r w:rsidR="00D301C6" w:rsidRPr="00813782">
          <w:rPr>
            <w:rStyle w:val="Hyperlink"/>
            <w:lang w:val="en-US"/>
          </w:rPr>
          <w:t>https://eji.org/news/history-racial-injustice-sexual-exploitation-black-women/</w:t>
        </w:r>
      </w:hyperlink>
      <w:r w:rsidR="00D301C6" w:rsidRPr="00DA5E7E">
        <w:rPr>
          <w:lang w:val="en-US"/>
        </w:rPr>
        <w:t>.</w:t>
      </w:r>
    </w:p>
  </w:footnote>
  <w:footnote w:id="768">
    <w:p w14:paraId="2AD69187" w14:textId="003D4CAB"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ab/>
      </w:r>
      <w:hyperlink r:id="rId936" w:history="1">
        <w:r w:rsidR="00D301C6" w:rsidRPr="00813782">
          <w:rPr>
            <w:rStyle w:val="Hyperlink"/>
            <w:lang w:val="en-US"/>
          </w:rPr>
          <w:t>https://healingthewoundsofslavery.org/wp-content/uploads/2021/04/UNESCO-GHFP_2020_Healing-the-Wounds-of-Slavey_Desk-Review_Report.pdf</w:t>
        </w:r>
      </w:hyperlink>
      <w:r w:rsidR="00D301C6" w:rsidRPr="00DA5E7E">
        <w:rPr>
          <w:lang w:val="en-US"/>
        </w:rPr>
        <w:t xml:space="preserve">, </w:t>
      </w:r>
      <w:r w:rsidR="002A7FA1" w:rsidRPr="00DA5E7E">
        <w:rPr>
          <w:lang w:val="en-US"/>
        </w:rPr>
        <w:t>p. </w:t>
      </w:r>
      <w:r w:rsidR="00D301C6" w:rsidRPr="00DA5E7E">
        <w:rPr>
          <w:lang w:val="en-US"/>
        </w:rPr>
        <w:t>11.</w:t>
      </w:r>
    </w:p>
  </w:footnote>
  <w:footnote w:id="769">
    <w:p w14:paraId="0499A1E4" w14:textId="3B46A8A1"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 xml:space="preserve">A/74/274, </w:t>
      </w:r>
      <w:r w:rsidR="002A7FA1" w:rsidRPr="00DA5E7E">
        <w:rPr>
          <w:lang w:val="en-US"/>
        </w:rPr>
        <w:t>par. </w:t>
      </w:r>
      <w:r w:rsidR="00D301C6" w:rsidRPr="00DA5E7E">
        <w:rPr>
          <w:lang w:val="en-US"/>
        </w:rPr>
        <w:t>42.</w:t>
      </w:r>
    </w:p>
  </w:footnote>
  <w:footnote w:id="770">
    <w:p w14:paraId="14E46400" w14:textId="6244C18A" w:rsidR="00D301C6" w:rsidRPr="00DA5E7E" w:rsidRDefault="00AB123B" w:rsidP="005B4367">
      <w:pPr>
        <w:pStyle w:val="FootnoteText"/>
        <w:rPr>
          <w:lang w:val="en-US"/>
        </w:rPr>
      </w:pPr>
      <w:r w:rsidRPr="00DA5E7E">
        <w:rPr>
          <w:lang w:val="en-US"/>
        </w:rPr>
        <w:tab/>
      </w:r>
      <w:r w:rsidRPr="00093AC5">
        <w:rPr>
          <w:rStyle w:val="FootnoteReference"/>
        </w:rPr>
        <w:footnoteRef/>
      </w:r>
      <w:r w:rsidRPr="00DA5E7E">
        <w:rPr>
          <w:lang w:val="en-US"/>
        </w:rPr>
        <w:tab/>
      </w:r>
      <w:r w:rsidR="00D301C6" w:rsidRPr="00DA5E7E">
        <w:rPr>
          <w:lang w:val="en-US"/>
        </w:rPr>
        <w:t xml:space="preserve">Ibid., </w:t>
      </w:r>
      <w:r w:rsidR="002A7FA1" w:rsidRPr="00DA5E7E">
        <w:rPr>
          <w:lang w:val="en-US"/>
        </w:rPr>
        <w:t>par. </w:t>
      </w:r>
      <w:r w:rsidR="00D301C6" w:rsidRPr="00DA5E7E">
        <w:rPr>
          <w:lang w:val="en-US"/>
        </w:rPr>
        <w:t>70.</w:t>
      </w:r>
    </w:p>
  </w:footnote>
  <w:footnote w:id="771">
    <w:p w14:paraId="18DD0202" w14:textId="77777777" w:rsidR="00D301C6" w:rsidRPr="00DA5E7E" w:rsidRDefault="00D301C6" w:rsidP="005B4367">
      <w:pPr>
        <w:pStyle w:val="FootnoteText"/>
        <w:rPr>
          <w:lang w:val="en-US"/>
        </w:rPr>
      </w:pPr>
      <w:r w:rsidRPr="00DA5E7E">
        <w:rPr>
          <w:lang w:val="en-US"/>
        </w:rPr>
        <w:tab/>
      </w:r>
      <w:r w:rsidRPr="005B4367">
        <w:rPr>
          <w:rStyle w:val="FootnoteReference"/>
        </w:rPr>
        <w:footnoteRef/>
      </w:r>
      <w:r w:rsidRPr="00DA5E7E">
        <w:rPr>
          <w:lang w:val="en-US"/>
        </w:rPr>
        <w:tab/>
      </w:r>
      <w:hyperlink r:id="rId937" w:history="1">
        <w:r w:rsidRPr="00DA5E7E">
          <w:rPr>
            <w:rStyle w:val="Hyperlink"/>
            <w:lang w:val="en-US"/>
          </w:rPr>
          <w:t>https://www.ohchr.org/fr/2020/06/43rd-session-human-rights-council-urgent-debate-current-racially-inspired-human-rights?LangID=F&amp;NewsID=25968</w:t>
        </w:r>
      </w:hyperlink>
      <w:r w:rsidRPr="00DA5E7E">
        <w:rPr>
          <w:rStyle w:val="Hyperlink"/>
          <w:lang w:val="en-US"/>
        </w:rPr>
        <w:t>.</w:t>
      </w:r>
    </w:p>
  </w:footnote>
  <w:footnote w:id="772">
    <w:p w14:paraId="71A2CE6E" w14:textId="22F3D994" w:rsidR="00D301C6" w:rsidRPr="00DA5E7E" w:rsidRDefault="00D301C6" w:rsidP="005B4367">
      <w:pPr>
        <w:pStyle w:val="FootnoteText"/>
        <w:rPr>
          <w:lang w:val="en-US"/>
        </w:rPr>
      </w:pPr>
      <w:r w:rsidRPr="00DA5E7E">
        <w:rPr>
          <w:lang w:val="en-US"/>
        </w:rPr>
        <w:tab/>
      </w:r>
      <w:r w:rsidRPr="005B4367">
        <w:rPr>
          <w:rStyle w:val="FootnoteReference"/>
        </w:rPr>
        <w:footnoteRef/>
      </w:r>
      <w:r w:rsidRPr="00DA5E7E">
        <w:rPr>
          <w:lang w:val="en-US"/>
        </w:rPr>
        <w:tab/>
        <w:t xml:space="preserve">A/74/321, </w:t>
      </w:r>
      <w:r w:rsidR="002A7FA1" w:rsidRPr="00DA5E7E">
        <w:rPr>
          <w:lang w:val="en-US"/>
        </w:rPr>
        <w:t>par. </w:t>
      </w:r>
      <w:r w:rsidRPr="00DA5E7E">
        <w:rPr>
          <w:lang w:val="en-US"/>
        </w:rPr>
        <w:t xml:space="preserve">53. Voir également Shelton dans Colonialism, Slavery, Reparations and Trade Remedying the </w:t>
      </w:r>
      <w:r w:rsidR="00F60EAA">
        <w:rPr>
          <w:lang w:val="en-US"/>
        </w:rPr>
        <w:t>‘</w:t>
      </w:r>
      <w:r w:rsidRPr="00DA5E7E">
        <w:rPr>
          <w:lang w:val="en-US"/>
        </w:rPr>
        <w:t>Past</w:t>
      </w:r>
      <w:r w:rsidR="00F60EAA">
        <w:rPr>
          <w:lang w:val="en-US"/>
        </w:rPr>
        <w:t>’</w:t>
      </w:r>
      <w:r w:rsidRPr="00DA5E7E">
        <w:rPr>
          <w:lang w:val="en-US"/>
        </w:rPr>
        <w:t>?, sous la direction de Fernne Brennan, John Packer, Routledge 2013.</w:t>
      </w:r>
    </w:p>
  </w:footnote>
  <w:footnote w:id="773">
    <w:p w14:paraId="0DD64BA6" w14:textId="3DBEBD3C" w:rsidR="00D301C6" w:rsidRPr="00F87B9F" w:rsidRDefault="00D301C6" w:rsidP="005B4367">
      <w:pPr>
        <w:pStyle w:val="FootnoteText"/>
      </w:pPr>
      <w:r w:rsidRPr="00DA5E7E">
        <w:rPr>
          <w:lang w:val="en-US"/>
        </w:rPr>
        <w:tab/>
      </w:r>
      <w:r w:rsidRPr="005B4367">
        <w:rPr>
          <w:rStyle w:val="FootnoteReference"/>
        </w:rPr>
        <w:footnoteRef/>
      </w:r>
      <w:r w:rsidRPr="00D10EF8">
        <w:tab/>
      </w:r>
      <w:r w:rsidRPr="00F87B9F">
        <w:t xml:space="preserve">Ibid., </w:t>
      </w:r>
      <w:r w:rsidR="002A7FA1">
        <w:t>par. </w:t>
      </w:r>
      <w:r w:rsidRPr="00F87B9F">
        <w:t>15.</w:t>
      </w:r>
    </w:p>
  </w:footnote>
  <w:footnote w:id="774">
    <w:p w14:paraId="7120D22E" w14:textId="24473468" w:rsidR="00D301C6" w:rsidRPr="00F87B9F" w:rsidRDefault="00D301C6" w:rsidP="005B4367">
      <w:pPr>
        <w:pStyle w:val="FootnoteText"/>
      </w:pPr>
      <w:r w:rsidRPr="00D10EF8">
        <w:tab/>
      </w:r>
      <w:r w:rsidRPr="005B4367">
        <w:rPr>
          <w:rStyle w:val="FootnoteReference"/>
        </w:rPr>
        <w:footnoteRef/>
      </w:r>
      <w:r w:rsidRPr="00D10EF8">
        <w:tab/>
      </w:r>
      <w:r w:rsidRPr="00F87B9F">
        <w:t xml:space="preserve">A/RES/69/16, </w:t>
      </w:r>
      <w:r w:rsidR="00E031E4">
        <w:t>a</w:t>
      </w:r>
      <w:r w:rsidRPr="00F87B9F">
        <w:t xml:space="preserve">nnexe, </w:t>
      </w:r>
      <w:r w:rsidR="002A7FA1">
        <w:t>par. </w:t>
      </w:r>
      <w:r w:rsidRPr="00F87B9F">
        <w:t>9 (al. a)).</w:t>
      </w:r>
    </w:p>
  </w:footnote>
  <w:footnote w:id="775">
    <w:p w14:paraId="132C155E" w14:textId="236B37FC" w:rsidR="00D301C6" w:rsidRPr="00F87B9F" w:rsidRDefault="00D301C6" w:rsidP="005B4367">
      <w:pPr>
        <w:pStyle w:val="FootnoteText"/>
      </w:pPr>
      <w:r w:rsidRPr="00D10EF8">
        <w:tab/>
      </w:r>
      <w:r w:rsidRPr="005B4367">
        <w:rPr>
          <w:rStyle w:val="FootnoteReference"/>
        </w:rPr>
        <w:footnoteRef/>
      </w:r>
      <w:r w:rsidRPr="00D10EF8">
        <w:tab/>
      </w:r>
      <w:r w:rsidRPr="00F87B9F">
        <w:t xml:space="preserve">A/HRC/45/47, </w:t>
      </w:r>
      <w:r w:rsidR="002A7FA1">
        <w:t>par. </w:t>
      </w:r>
      <w:r w:rsidRPr="00F87B9F">
        <w:t>60.</w:t>
      </w:r>
    </w:p>
  </w:footnote>
  <w:footnote w:id="776">
    <w:p w14:paraId="1D3C64EF" w14:textId="7BC1ABBC" w:rsidR="00D301C6" w:rsidRPr="00F87B9F" w:rsidRDefault="00D301C6" w:rsidP="005B4367">
      <w:pPr>
        <w:pStyle w:val="FootnoteText"/>
      </w:pPr>
      <w:r w:rsidRPr="00D10EF8">
        <w:tab/>
      </w:r>
      <w:r w:rsidRPr="005B4367">
        <w:rPr>
          <w:rStyle w:val="FootnoteReference"/>
        </w:rPr>
        <w:footnoteRef/>
      </w:r>
      <w:r w:rsidRPr="00D10EF8">
        <w:tab/>
      </w:r>
      <w:r w:rsidRPr="00F87B9F">
        <w:t xml:space="preserve">Ibid., </w:t>
      </w:r>
      <w:r w:rsidR="002A7FA1">
        <w:t>par. </w:t>
      </w:r>
      <w:r w:rsidRPr="00F87B9F">
        <w:t>61.</w:t>
      </w:r>
    </w:p>
  </w:footnote>
  <w:footnote w:id="777">
    <w:p w14:paraId="30F8D7A0" w14:textId="29962E74" w:rsidR="00D301C6" w:rsidRPr="008148E1" w:rsidRDefault="00D301C6" w:rsidP="005B4367">
      <w:pPr>
        <w:pStyle w:val="FootnoteText"/>
        <w:rPr>
          <w:lang w:val="en-US"/>
        </w:rPr>
      </w:pPr>
      <w:r w:rsidRPr="00D10EF8">
        <w:tab/>
      </w:r>
      <w:r w:rsidRPr="005B4367">
        <w:rPr>
          <w:rStyle w:val="FootnoteReference"/>
        </w:rPr>
        <w:footnoteRef/>
      </w:r>
      <w:r w:rsidRPr="008148E1">
        <w:rPr>
          <w:rStyle w:val="FootnoteReference"/>
          <w:lang w:val="en-US"/>
        </w:rPr>
        <w:tab/>
      </w:r>
      <w:r w:rsidRPr="008148E1">
        <w:rPr>
          <w:lang w:val="en-US"/>
        </w:rPr>
        <w:t xml:space="preserve">Ibid., </w:t>
      </w:r>
      <w:r w:rsidR="002A7FA1" w:rsidRPr="008148E1">
        <w:rPr>
          <w:lang w:val="en-US"/>
        </w:rPr>
        <w:t>par. </w:t>
      </w:r>
      <w:r w:rsidRPr="008148E1">
        <w:rPr>
          <w:lang w:val="en-US"/>
        </w:rPr>
        <w:t>14</w:t>
      </w:r>
      <w:r w:rsidR="00BF73AB" w:rsidRPr="008148E1">
        <w:rPr>
          <w:lang w:val="en-US"/>
        </w:rPr>
        <w:t> ;</w:t>
      </w:r>
      <w:r w:rsidRPr="008148E1">
        <w:rPr>
          <w:lang w:val="en-US"/>
        </w:rPr>
        <w:t xml:space="preserve"> </w:t>
      </w:r>
      <w:hyperlink r:id="rId938" w:history="1">
        <w:r w:rsidRPr="008148E1">
          <w:rPr>
            <w:rStyle w:val="Hyperlink"/>
            <w:lang w:val="en-US"/>
          </w:rPr>
          <w:t>https://ohchr.org/Documents/Issues/Racism/WGEAPD/Guidelines_inclusion_</w:t>
        </w:r>
        <w:r w:rsidR="008148E1" w:rsidRPr="008148E1">
          <w:rPr>
            <w:rStyle w:val="Hyperlink"/>
            <w:lang w:val="en-US"/>
          </w:rPr>
          <w:t xml:space="preserve"> </w:t>
        </w:r>
        <w:r w:rsidRPr="008148E1">
          <w:rPr>
            <w:rStyle w:val="Hyperlink"/>
            <w:lang w:val="en-US"/>
          </w:rPr>
          <w:t>2030_Agenda.pdf</w:t>
        </w:r>
      </w:hyperlink>
      <w:r w:rsidRPr="008148E1">
        <w:rPr>
          <w:lang w:val="en-US"/>
        </w:rPr>
        <w:t>.</w:t>
      </w:r>
    </w:p>
  </w:footnote>
  <w:footnote w:id="778">
    <w:p w14:paraId="5574F4CF" w14:textId="08079D90" w:rsidR="00D301C6" w:rsidRPr="00F87B9F" w:rsidRDefault="00D301C6" w:rsidP="005B4367">
      <w:pPr>
        <w:pStyle w:val="FootnoteText"/>
      </w:pPr>
      <w:r w:rsidRPr="008148E1">
        <w:rPr>
          <w:lang w:val="en-US"/>
        </w:rPr>
        <w:tab/>
      </w:r>
      <w:r w:rsidRPr="005B4367">
        <w:rPr>
          <w:rStyle w:val="FootnoteReference"/>
        </w:rPr>
        <w:footnoteRef/>
      </w:r>
      <w:r w:rsidRPr="00D10EF8">
        <w:tab/>
      </w:r>
      <w:r w:rsidRPr="00F87B9F">
        <w:t xml:space="preserve">A/RES/75/237, </w:t>
      </w:r>
      <w:r w:rsidR="002A7FA1">
        <w:t>par. </w:t>
      </w:r>
      <w:r w:rsidRPr="00F87B9F">
        <w:t>27.</w:t>
      </w:r>
    </w:p>
  </w:footnote>
  <w:footnote w:id="779">
    <w:p w14:paraId="02E08152" w14:textId="77777777" w:rsidR="00D301C6" w:rsidRPr="00F87B9F" w:rsidRDefault="00D301C6" w:rsidP="005B4367">
      <w:pPr>
        <w:pStyle w:val="FootnoteText"/>
      </w:pPr>
      <w:r w:rsidRPr="00D10EF8">
        <w:tab/>
      </w:r>
      <w:r w:rsidRPr="005B4367">
        <w:rPr>
          <w:rStyle w:val="FootnoteReference"/>
        </w:rPr>
        <w:footnoteRef/>
      </w:r>
      <w:r w:rsidRPr="00D10EF8">
        <w:tab/>
      </w:r>
      <w:r w:rsidRPr="00F87B9F">
        <w:t>A/75/174.</w:t>
      </w:r>
    </w:p>
  </w:footnote>
  <w:footnote w:id="780">
    <w:p w14:paraId="79CDCB47" w14:textId="09137DAD" w:rsidR="00D301C6" w:rsidRPr="00F87B9F" w:rsidRDefault="00D301C6" w:rsidP="005B4367">
      <w:pPr>
        <w:pStyle w:val="FootnoteText"/>
      </w:pPr>
      <w:r w:rsidRPr="00D10EF8">
        <w:tab/>
      </w:r>
      <w:r w:rsidRPr="005B4367">
        <w:rPr>
          <w:rStyle w:val="FootnoteReference"/>
        </w:rPr>
        <w:footnoteRef/>
      </w:r>
      <w:r w:rsidRPr="00D10EF8">
        <w:tab/>
      </w:r>
      <w:r w:rsidRPr="00F87B9F">
        <w:t>Déclaration et Programme d</w:t>
      </w:r>
      <w:r w:rsidR="00F60EAA">
        <w:t>’</w:t>
      </w:r>
      <w:r w:rsidRPr="00F87B9F">
        <w:t xml:space="preserve">action de Durban, </w:t>
      </w:r>
      <w:r w:rsidR="002A7FA1">
        <w:t>par. </w:t>
      </w:r>
      <w:r w:rsidRPr="00F87B9F">
        <w:t>106.</w:t>
      </w:r>
    </w:p>
  </w:footnote>
  <w:footnote w:id="781">
    <w:p w14:paraId="66FC4E3E" w14:textId="78D99972" w:rsidR="00D301C6" w:rsidRPr="00D10EF8" w:rsidRDefault="00D301C6" w:rsidP="005B4367">
      <w:pPr>
        <w:pStyle w:val="FootnoteText"/>
      </w:pPr>
      <w:r w:rsidRPr="00D10EF8">
        <w:tab/>
      </w:r>
      <w:r w:rsidRPr="005B4367">
        <w:rPr>
          <w:rStyle w:val="FootnoteReference"/>
        </w:rPr>
        <w:footnoteRef/>
      </w:r>
      <w:r w:rsidRPr="00D10EF8">
        <w:tab/>
      </w:r>
      <w:r w:rsidRPr="00F87B9F">
        <w:t>Déclaration et Programme d</w:t>
      </w:r>
      <w:r w:rsidR="00F60EAA">
        <w:t>’</w:t>
      </w:r>
      <w:r w:rsidRPr="00F87B9F">
        <w:t xml:space="preserve">action de Durban, </w:t>
      </w:r>
      <w:r w:rsidR="002A7FA1">
        <w:t>par. </w:t>
      </w:r>
      <w:r w:rsidRPr="00F87B9F">
        <w:t>100 et 101.</w:t>
      </w:r>
    </w:p>
  </w:footnote>
  <w:footnote w:id="782">
    <w:p w14:paraId="78527D35" w14:textId="13AFFF32" w:rsidR="00D301C6" w:rsidRPr="00F87B9F" w:rsidRDefault="00D301C6" w:rsidP="005B4367">
      <w:pPr>
        <w:pStyle w:val="FootnoteText"/>
      </w:pPr>
      <w:r w:rsidRPr="00D10EF8">
        <w:tab/>
      </w:r>
      <w:r w:rsidRPr="005B4367">
        <w:rPr>
          <w:rStyle w:val="FootnoteReference"/>
        </w:rPr>
        <w:footnoteRef/>
      </w:r>
      <w:r w:rsidRPr="00D10EF8">
        <w:tab/>
      </w:r>
      <w:r w:rsidRPr="00F87B9F">
        <w:t xml:space="preserve">A/HRC/45/47, </w:t>
      </w:r>
      <w:r w:rsidR="002A7FA1">
        <w:t>par. </w:t>
      </w:r>
      <w:r w:rsidRPr="00F87B9F">
        <w:t>60</w:t>
      </w:r>
      <w:r w:rsidR="00BF73AB">
        <w:t> ;</w:t>
      </w:r>
      <w:r w:rsidRPr="00F87B9F">
        <w:t xml:space="preserve"> CERD/C/GC/34, </w:t>
      </w:r>
      <w:r w:rsidR="002A7FA1">
        <w:t>par. </w:t>
      </w:r>
      <w:r w:rsidRPr="00F87B9F">
        <w:t>17.</w:t>
      </w:r>
    </w:p>
  </w:footnote>
  <w:footnote w:id="783">
    <w:p w14:paraId="0F9A4E8C" w14:textId="5EDD1762" w:rsidR="00D301C6" w:rsidRPr="00F87B9F" w:rsidRDefault="00D301C6" w:rsidP="005B4367">
      <w:pPr>
        <w:pStyle w:val="FootnoteText"/>
      </w:pPr>
      <w:r w:rsidRPr="00D10EF8">
        <w:tab/>
      </w:r>
      <w:r w:rsidRPr="005B4367">
        <w:rPr>
          <w:rStyle w:val="FootnoteReference"/>
        </w:rPr>
        <w:footnoteRef/>
      </w:r>
      <w:r w:rsidRPr="00D10EF8">
        <w:tab/>
      </w:r>
      <w:r w:rsidRPr="00F87B9F">
        <w:t xml:space="preserve">A/74/321, </w:t>
      </w:r>
      <w:r w:rsidR="002A7FA1">
        <w:t>par. </w:t>
      </w:r>
      <w:r w:rsidRPr="00F87B9F">
        <w:t>60.</w:t>
      </w:r>
    </w:p>
  </w:footnote>
  <w:footnote w:id="784">
    <w:p w14:paraId="2DC400BD" w14:textId="18DF251A" w:rsidR="00D301C6" w:rsidRPr="00F87B9F" w:rsidRDefault="00D301C6" w:rsidP="005B4367">
      <w:pPr>
        <w:pStyle w:val="FootnoteText"/>
      </w:pPr>
      <w:r w:rsidRPr="00D10EF8">
        <w:tab/>
      </w:r>
      <w:r w:rsidRPr="005B4367">
        <w:rPr>
          <w:rStyle w:val="FootnoteReference"/>
        </w:rPr>
        <w:footnoteRef/>
      </w:r>
      <w:r w:rsidRPr="00D10EF8">
        <w:tab/>
      </w:r>
      <w:r w:rsidRPr="00F87B9F">
        <w:t>Déclaration et Programme d</w:t>
      </w:r>
      <w:r w:rsidR="00F60EAA">
        <w:t>’</w:t>
      </w:r>
      <w:r w:rsidRPr="00F87B9F">
        <w:t xml:space="preserve">action de Durban, </w:t>
      </w:r>
      <w:r w:rsidR="002A7FA1">
        <w:t>par. </w:t>
      </w:r>
      <w:r w:rsidRPr="00F87B9F">
        <w:t>106.</w:t>
      </w:r>
    </w:p>
  </w:footnote>
  <w:footnote w:id="785">
    <w:p w14:paraId="535D2F1F" w14:textId="5D9E20A8" w:rsidR="00D301C6" w:rsidRPr="00F87B9F" w:rsidRDefault="00D301C6" w:rsidP="005B4367">
      <w:pPr>
        <w:pStyle w:val="FootnoteText"/>
      </w:pPr>
      <w:r w:rsidRPr="00D10EF8">
        <w:tab/>
      </w:r>
      <w:r w:rsidRPr="005B4367">
        <w:rPr>
          <w:rStyle w:val="FootnoteReference"/>
        </w:rPr>
        <w:footnoteRef/>
      </w:r>
      <w:r w:rsidRPr="00D10EF8">
        <w:tab/>
      </w:r>
      <w:r w:rsidRPr="00F87B9F">
        <w:t>Voir Ensemble de principes actualisé pour la protection et la promotion des droits de l</w:t>
      </w:r>
      <w:r w:rsidR="00F60EAA">
        <w:t>’</w:t>
      </w:r>
      <w:r w:rsidRPr="00F87B9F">
        <w:t>homme par la lutte contre l</w:t>
      </w:r>
      <w:r w:rsidR="00F60EAA">
        <w:t>’</w:t>
      </w:r>
      <w:r w:rsidRPr="00F87B9F">
        <w:t>impunité (E/CN.4/2005/102/Add.1).</w:t>
      </w:r>
    </w:p>
  </w:footnote>
  <w:footnote w:id="786">
    <w:p w14:paraId="38E597A5" w14:textId="486462F8" w:rsidR="00D301C6" w:rsidRPr="00F87B9F" w:rsidRDefault="00D301C6" w:rsidP="005B4367">
      <w:pPr>
        <w:pStyle w:val="FootnoteText"/>
      </w:pPr>
      <w:r w:rsidRPr="00D10EF8">
        <w:tab/>
      </w:r>
      <w:r w:rsidRPr="005B4367">
        <w:rPr>
          <w:rStyle w:val="FootnoteReference"/>
        </w:rPr>
        <w:footnoteRef/>
      </w:r>
      <w:r w:rsidRPr="00D10EF8">
        <w:tab/>
      </w:r>
      <w:r w:rsidRPr="00F87B9F">
        <w:rPr>
          <w:lang w:val="fr-FR"/>
        </w:rPr>
        <w:t>A/HRC/45/47</w:t>
      </w:r>
      <w:r w:rsidR="00BF73AB">
        <w:rPr>
          <w:lang w:val="fr-FR"/>
        </w:rPr>
        <w:t> ;</w:t>
      </w:r>
      <w:r w:rsidRPr="00F87B9F">
        <w:rPr>
          <w:lang w:val="fr-FR"/>
        </w:rPr>
        <w:t xml:space="preserve"> A/74/321</w:t>
      </w:r>
      <w:r w:rsidR="00BF73AB">
        <w:rPr>
          <w:lang w:val="fr-FR"/>
        </w:rPr>
        <w:t> ;</w:t>
      </w:r>
      <w:r w:rsidRPr="00F87B9F">
        <w:rPr>
          <w:lang w:val="fr-FR"/>
        </w:rPr>
        <w:t xml:space="preserve"> A/HRC/27/68</w:t>
      </w:r>
      <w:r w:rsidR="00BF73AB">
        <w:rPr>
          <w:lang w:val="fr-FR"/>
        </w:rPr>
        <w:t> ;</w:t>
      </w:r>
      <w:r w:rsidRPr="00F87B9F">
        <w:rPr>
          <w:lang w:val="fr-FR"/>
        </w:rPr>
        <w:t xml:space="preserve"> recommandations détaillées par pays dans A/HRC/33/61/Add.2</w:t>
      </w:r>
      <w:r w:rsidR="00BF73AB">
        <w:rPr>
          <w:lang w:val="fr-FR"/>
        </w:rPr>
        <w:t> ;</w:t>
      </w:r>
      <w:r w:rsidRPr="00F87B9F">
        <w:rPr>
          <w:lang w:val="fr-FR"/>
        </w:rPr>
        <w:t xml:space="preserve"> A/HRC/36/60/Add.1</w:t>
      </w:r>
      <w:r w:rsidR="00BF73AB">
        <w:rPr>
          <w:lang w:val="fr-FR"/>
        </w:rPr>
        <w:t> ;</w:t>
      </w:r>
      <w:r w:rsidRPr="00F87B9F">
        <w:rPr>
          <w:lang w:val="fr-FR"/>
        </w:rPr>
        <w:t xml:space="preserve"> A/HRC/42/59/Add.1</w:t>
      </w:r>
      <w:r w:rsidR="00BF73AB">
        <w:rPr>
          <w:lang w:val="fr-FR"/>
        </w:rPr>
        <w:t> ;</w:t>
      </w:r>
      <w:r w:rsidRPr="00F87B9F">
        <w:rPr>
          <w:lang w:val="fr-FR"/>
        </w:rPr>
        <w:t xml:space="preserve"> A/HRC/39/69/Add.2.</w:t>
      </w:r>
    </w:p>
  </w:footnote>
  <w:footnote w:id="787">
    <w:p w14:paraId="5AF7778C" w14:textId="23511672" w:rsidR="00D301C6" w:rsidRPr="00F87B9F" w:rsidRDefault="00D301C6" w:rsidP="005B4367">
      <w:pPr>
        <w:pStyle w:val="FootnoteText"/>
      </w:pPr>
      <w:r w:rsidRPr="00D10EF8">
        <w:tab/>
      </w:r>
      <w:r w:rsidRPr="005B4367">
        <w:rPr>
          <w:rStyle w:val="FootnoteReference"/>
        </w:rPr>
        <w:footnoteRef/>
      </w:r>
      <w:r w:rsidRPr="00D10EF8">
        <w:tab/>
      </w:r>
      <w:r w:rsidRPr="00F87B9F">
        <w:t>Par exemple, A/HRC/33/61/Add.2</w:t>
      </w:r>
      <w:r w:rsidR="00BF73AB">
        <w:t> ;</w:t>
      </w:r>
      <w:r w:rsidRPr="00F87B9F">
        <w:t xml:space="preserve"> A/HRC/36/60/Add.1</w:t>
      </w:r>
      <w:r w:rsidR="00BF73AB">
        <w:t> ;</w:t>
      </w:r>
      <w:r w:rsidRPr="00F87B9F">
        <w:t xml:space="preserve"> A/HRC/42/59/Add.1</w:t>
      </w:r>
      <w:r w:rsidR="00BF73AB">
        <w:t> ;</w:t>
      </w:r>
      <w:r w:rsidRPr="00F87B9F">
        <w:t xml:space="preserve"> A/HRC/39/69/Add.2 et CERD/C/ESP/CO/21-23, </w:t>
      </w:r>
      <w:r w:rsidR="002A7FA1">
        <w:t>par. </w:t>
      </w:r>
      <w:r w:rsidRPr="00F87B9F">
        <w:t>30</w:t>
      </w:r>
      <w:r w:rsidR="00BF73AB">
        <w:t> ;</w:t>
      </w:r>
      <w:r w:rsidRPr="00F87B9F">
        <w:t xml:space="preserve"> A/HRC/36/60/Add.2</w:t>
      </w:r>
      <w:r w:rsidR="00BF73AB">
        <w:t> ;</w:t>
      </w:r>
      <w:r w:rsidRPr="00F87B9F">
        <w:t xml:space="preserve"> CERD/C/GBR/CO/21-23, </w:t>
      </w:r>
      <w:r w:rsidR="002A7FA1">
        <w:t>par. </w:t>
      </w:r>
      <w:r w:rsidRPr="00F87B9F">
        <w:t>34.</w:t>
      </w:r>
    </w:p>
  </w:footnote>
  <w:footnote w:id="788">
    <w:p w14:paraId="62B21132" w14:textId="0DB36C8C" w:rsidR="00D301C6" w:rsidRPr="00F87B9F" w:rsidRDefault="00D301C6" w:rsidP="005B4367">
      <w:pPr>
        <w:pStyle w:val="FootnoteText"/>
      </w:pPr>
      <w:r w:rsidRPr="00D10EF8">
        <w:tab/>
      </w:r>
      <w:r w:rsidRPr="005B4367">
        <w:rPr>
          <w:rStyle w:val="FootnoteReference"/>
        </w:rPr>
        <w:footnoteRef/>
      </w:r>
      <w:r w:rsidRPr="00D10EF8">
        <w:tab/>
      </w:r>
      <w:r w:rsidRPr="00F87B9F">
        <w:t>Par exemple, A/HRC/33/61/Add.2</w:t>
      </w:r>
      <w:r w:rsidR="00BF73AB">
        <w:t> ;</w:t>
      </w:r>
      <w:r w:rsidRPr="00F87B9F">
        <w:t xml:space="preserve"> A/HRC/36/60/Add.1</w:t>
      </w:r>
      <w:r w:rsidR="00BF73AB">
        <w:t> ;</w:t>
      </w:r>
      <w:r w:rsidRPr="00F87B9F">
        <w:t xml:space="preserve"> A/HRC/36/60/Add.2.</w:t>
      </w:r>
    </w:p>
  </w:footnote>
  <w:footnote w:id="789">
    <w:p w14:paraId="644A951C" w14:textId="0F941C68" w:rsidR="00D301C6" w:rsidRPr="00F87B9F" w:rsidRDefault="00D301C6" w:rsidP="005B4367">
      <w:pPr>
        <w:pStyle w:val="FootnoteText"/>
      </w:pPr>
      <w:r w:rsidRPr="00D10EF8">
        <w:tab/>
      </w:r>
      <w:r w:rsidRPr="005B4367">
        <w:rPr>
          <w:rStyle w:val="FootnoteReference"/>
        </w:rPr>
        <w:footnoteRef/>
      </w:r>
      <w:r w:rsidRPr="00D10EF8">
        <w:tab/>
      </w:r>
      <w:r w:rsidRPr="00F87B9F">
        <w:t>Par exemple, A/HRC/36/60/Add.1</w:t>
      </w:r>
      <w:r w:rsidR="00BF73AB">
        <w:t> ;</w:t>
      </w:r>
      <w:r w:rsidRPr="00F87B9F">
        <w:t xml:space="preserve"> A/HRC/42/59/Add.1</w:t>
      </w:r>
      <w:r w:rsidR="00BF73AB">
        <w:t> ;</w:t>
      </w:r>
      <w:r w:rsidRPr="00F87B9F">
        <w:t xml:space="preserve"> A/HRC/36/60/Add.2.</w:t>
      </w:r>
    </w:p>
  </w:footnote>
  <w:footnote w:id="790">
    <w:p w14:paraId="1C474D3C" w14:textId="77777777" w:rsidR="00D301C6" w:rsidRPr="00F87B9F" w:rsidRDefault="00D301C6" w:rsidP="005B4367">
      <w:pPr>
        <w:pStyle w:val="FootnoteText"/>
      </w:pPr>
      <w:r w:rsidRPr="00D10EF8">
        <w:tab/>
      </w:r>
      <w:r w:rsidRPr="005B4367">
        <w:rPr>
          <w:rStyle w:val="FootnoteReference"/>
        </w:rPr>
        <w:footnoteRef/>
      </w:r>
      <w:r w:rsidRPr="00D10EF8">
        <w:tab/>
      </w:r>
      <w:r w:rsidRPr="00F87B9F">
        <w:t>Par exemple, A/HRC/42/59/Add.1.</w:t>
      </w:r>
    </w:p>
  </w:footnote>
  <w:footnote w:id="791">
    <w:p w14:paraId="766AA626" w14:textId="77777777" w:rsidR="00D301C6" w:rsidRPr="00F87B9F" w:rsidRDefault="00D301C6" w:rsidP="005B4367">
      <w:pPr>
        <w:pStyle w:val="FootnoteText"/>
      </w:pPr>
      <w:r w:rsidRPr="00D10EF8">
        <w:tab/>
      </w:r>
      <w:r w:rsidRPr="005B4367">
        <w:rPr>
          <w:rStyle w:val="FootnoteReference"/>
        </w:rPr>
        <w:footnoteRef/>
      </w:r>
      <w:r w:rsidRPr="00D10EF8">
        <w:tab/>
      </w:r>
      <w:r w:rsidRPr="00F87B9F">
        <w:t>Par exemple, A/HRC/42/59/Add.1.</w:t>
      </w:r>
    </w:p>
  </w:footnote>
  <w:footnote w:id="792">
    <w:p w14:paraId="7474F836" w14:textId="12BF1C25" w:rsidR="00D301C6" w:rsidRPr="00F87B9F" w:rsidRDefault="00D301C6" w:rsidP="005B4367">
      <w:pPr>
        <w:pStyle w:val="FootnoteText"/>
      </w:pPr>
      <w:r w:rsidRPr="00D10EF8">
        <w:tab/>
      </w:r>
      <w:r w:rsidRPr="005B4367">
        <w:rPr>
          <w:rStyle w:val="FootnoteReference"/>
        </w:rPr>
        <w:footnoteRef/>
      </w:r>
      <w:r w:rsidRPr="00D10EF8">
        <w:tab/>
      </w:r>
      <w:r w:rsidRPr="00F87B9F">
        <w:t xml:space="preserve">A/74/321, </w:t>
      </w:r>
      <w:r w:rsidR="002A7FA1">
        <w:t>par. </w:t>
      </w:r>
      <w:r w:rsidRPr="00F87B9F">
        <w:t>61.</w:t>
      </w:r>
    </w:p>
  </w:footnote>
  <w:footnote w:id="793">
    <w:p w14:paraId="46632BEC" w14:textId="5BE6D82A" w:rsidR="00D301C6" w:rsidRPr="00713B13" w:rsidRDefault="00D301C6" w:rsidP="005B4367">
      <w:pPr>
        <w:pStyle w:val="FootnoteText"/>
      </w:pPr>
      <w:r w:rsidRPr="00D10EF8">
        <w:tab/>
      </w:r>
      <w:r w:rsidRPr="005B4367">
        <w:rPr>
          <w:rStyle w:val="FootnoteReference"/>
        </w:rPr>
        <w:footnoteRef/>
      </w:r>
      <w:r w:rsidRPr="00D10EF8">
        <w:tab/>
      </w:r>
      <w:r w:rsidRPr="00713B13">
        <w:rPr>
          <w:lang w:val="fr-FR"/>
        </w:rPr>
        <w:t>A/69/518, sect</w:t>
      </w:r>
      <w:r w:rsidR="00BA286C">
        <w:rPr>
          <w:lang w:val="fr-FR"/>
        </w:rPr>
        <w:t>. </w:t>
      </w:r>
      <w:r w:rsidRPr="00713B13">
        <w:rPr>
          <w:lang w:val="fr-FR"/>
        </w:rPr>
        <w:t>E.</w:t>
      </w:r>
    </w:p>
  </w:footnote>
  <w:footnote w:id="794">
    <w:p w14:paraId="6598E3C2" w14:textId="5A13C729" w:rsidR="00D301C6" w:rsidRPr="00713B13" w:rsidRDefault="00D301C6" w:rsidP="005B4367">
      <w:pPr>
        <w:pStyle w:val="FootnoteText"/>
      </w:pPr>
      <w:r w:rsidRPr="00D10EF8">
        <w:tab/>
      </w:r>
      <w:r w:rsidRPr="005B4367">
        <w:rPr>
          <w:rStyle w:val="FootnoteReference"/>
        </w:rPr>
        <w:footnoteRef/>
      </w:r>
      <w:r w:rsidRPr="00D10EF8">
        <w:tab/>
      </w:r>
      <w:r w:rsidRPr="00713B13">
        <w:t xml:space="preserve">A/75/174, </w:t>
      </w:r>
      <w:r w:rsidR="002A7FA1">
        <w:t>par. </w:t>
      </w:r>
      <w:r w:rsidRPr="00713B13">
        <w:t>81 à 91.</w:t>
      </w:r>
    </w:p>
  </w:footnote>
  <w:footnote w:id="795">
    <w:p w14:paraId="35668050" w14:textId="4A613067" w:rsidR="00D301C6" w:rsidRPr="00713B13" w:rsidRDefault="00D301C6" w:rsidP="005B4367">
      <w:pPr>
        <w:pStyle w:val="FootnoteText"/>
      </w:pPr>
      <w:r w:rsidRPr="00D10EF8">
        <w:tab/>
      </w:r>
      <w:r w:rsidRPr="005B4367">
        <w:rPr>
          <w:rStyle w:val="FootnoteReference"/>
        </w:rPr>
        <w:footnoteRef/>
      </w:r>
      <w:r w:rsidRPr="00D10EF8">
        <w:tab/>
      </w:r>
      <w:r w:rsidRPr="00713B13">
        <w:t>Voir l</w:t>
      </w:r>
      <w:r w:rsidR="00F60EAA">
        <w:t>’</w:t>
      </w:r>
      <w:r w:rsidRPr="00713B13">
        <w:t>Ensemble de principes actualisé pour la protection et la promotion des droits de l</w:t>
      </w:r>
      <w:r w:rsidR="00F60EAA">
        <w:t>’</w:t>
      </w:r>
      <w:r w:rsidRPr="00713B13">
        <w:t>homme par la lutte contre l</w:t>
      </w:r>
      <w:r w:rsidR="00F60EAA">
        <w:t>’</w:t>
      </w:r>
      <w:r w:rsidRPr="00713B13">
        <w:t>impunité et les Principes fondamentaux et directives concernant le droit à un recours et à réparation des victimes de violations flagrantes du droit international des droits de l</w:t>
      </w:r>
      <w:r w:rsidR="00F60EAA">
        <w:t>’</w:t>
      </w:r>
      <w:r w:rsidRPr="00713B13">
        <w:t>homme et de violations graves du droit international humanitaire. Voir également CCPR/C/GC/31, la Convention américaine relative aux droits de l</w:t>
      </w:r>
      <w:r w:rsidR="00F60EAA">
        <w:t>’</w:t>
      </w:r>
      <w:r w:rsidRPr="00713B13">
        <w:t xml:space="preserve">homme </w:t>
      </w:r>
      <w:r w:rsidR="002A7FA1">
        <w:t>(art. </w:t>
      </w:r>
      <w:r w:rsidRPr="00713B13">
        <w:t>25), la Convention européenne des droits de l</w:t>
      </w:r>
      <w:r w:rsidR="00F60EAA">
        <w:t>’</w:t>
      </w:r>
      <w:r w:rsidRPr="00713B13">
        <w:t xml:space="preserve">homme </w:t>
      </w:r>
      <w:r w:rsidR="002A7FA1">
        <w:t>(art. </w:t>
      </w:r>
      <w:r w:rsidRPr="00713B13">
        <w:t>13)</w:t>
      </w:r>
      <w:r w:rsidR="00BA286C">
        <w:t xml:space="preserve"> </w:t>
      </w:r>
      <w:r w:rsidRPr="00713B13">
        <w:t>et les Directives et principes sur le droit à un procès équitable et à l</w:t>
      </w:r>
      <w:r w:rsidR="00F60EAA">
        <w:t>’</w:t>
      </w:r>
      <w:r w:rsidRPr="00713B13">
        <w:t>assistance judiciaire en Afrique de la Commission africaine des droits de l</w:t>
      </w:r>
      <w:r w:rsidR="00F60EAA">
        <w:t>’</w:t>
      </w:r>
      <w:r w:rsidRPr="00713B13">
        <w:t>homme et des peuples (sect</w:t>
      </w:r>
      <w:r w:rsidR="00BA286C">
        <w:t>. </w:t>
      </w:r>
      <w:r w:rsidRPr="00713B13">
        <w:t>C).</w:t>
      </w:r>
    </w:p>
  </w:footnote>
  <w:footnote w:id="796">
    <w:p w14:paraId="38555A0D" w14:textId="21961AB7" w:rsidR="00D301C6" w:rsidRPr="00DA5E7E" w:rsidRDefault="00D301C6" w:rsidP="005B4367">
      <w:pPr>
        <w:pStyle w:val="FootnoteText"/>
        <w:rPr>
          <w:lang w:val="en-US"/>
        </w:rPr>
      </w:pPr>
      <w:r w:rsidRPr="00D10EF8">
        <w:rPr>
          <w:lang w:val="fr-FR"/>
        </w:rPr>
        <w:tab/>
      </w:r>
      <w:r w:rsidRPr="005B4367">
        <w:rPr>
          <w:rStyle w:val="FootnoteReference"/>
        </w:rPr>
        <w:footnoteRef/>
      </w:r>
      <w:r w:rsidRPr="00DA5E7E">
        <w:rPr>
          <w:lang w:val="en-US"/>
        </w:rPr>
        <w:tab/>
      </w:r>
      <w:r w:rsidRPr="00DA5E7E">
        <w:rPr>
          <w:i/>
          <w:lang w:val="en-US"/>
        </w:rPr>
        <w:t>Case concerning the Factory at Chorzow</w:t>
      </w:r>
      <w:r w:rsidRPr="00DA5E7E">
        <w:rPr>
          <w:lang w:val="en-US"/>
        </w:rPr>
        <w:t>, Merits, Judgment no 13, 1928, P.C.I.J., Series A, No.17, p.47</w:t>
      </w:r>
      <w:r w:rsidR="00BF73AB">
        <w:rPr>
          <w:lang w:val="en-US"/>
        </w:rPr>
        <w:t> ;</w:t>
      </w:r>
      <w:r w:rsidRPr="00DA5E7E">
        <w:rPr>
          <w:lang w:val="en-US"/>
        </w:rPr>
        <w:t xml:space="preserve"> </w:t>
      </w:r>
      <w:r w:rsidRPr="00713B13">
        <w:rPr>
          <w:lang w:val="en-US"/>
        </w:rPr>
        <w:t>CCPR/C/21/Rev.1/Add.13.</w:t>
      </w:r>
    </w:p>
  </w:footnote>
  <w:footnote w:id="797">
    <w:p w14:paraId="3D6C6829" w14:textId="77777777" w:rsidR="00D301C6" w:rsidRPr="00DA5E7E" w:rsidRDefault="00D301C6" w:rsidP="005B4367">
      <w:pPr>
        <w:pStyle w:val="FootnoteText"/>
        <w:rPr>
          <w:lang w:val="en-US"/>
        </w:rPr>
      </w:pPr>
      <w:r w:rsidRPr="00DA5E7E">
        <w:rPr>
          <w:lang w:val="en-US"/>
        </w:rPr>
        <w:tab/>
      </w:r>
      <w:r w:rsidRPr="0081604B">
        <w:rPr>
          <w:rStyle w:val="FootnoteReference"/>
        </w:rPr>
        <w:footnoteRef/>
      </w:r>
      <w:r w:rsidRPr="00DA5E7E">
        <w:rPr>
          <w:lang w:val="en-US"/>
        </w:rPr>
        <w:tab/>
      </w:r>
      <w:r w:rsidRPr="00713B13">
        <w:rPr>
          <w:lang w:val="en-US"/>
        </w:rPr>
        <w:t>A/74/147.</w:t>
      </w:r>
    </w:p>
  </w:footnote>
  <w:footnote w:id="798">
    <w:p w14:paraId="02E4B2A8" w14:textId="5012DCB9" w:rsidR="00D301C6" w:rsidRPr="00DA5E7E" w:rsidRDefault="00D301C6" w:rsidP="005B4367">
      <w:pPr>
        <w:pStyle w:val="FootnoteText"/>
        <w:rPr>
          <w:lang w:val="en-US"/>
        </w:rPr>
      </w:pPr>
      <w:r w:rsidRPr="00DA5E7E">
        <w:rPr>
          <w:lang w:val="en-US"/>
        </w:rPr>
        <w:tab/>
      </w:r>
      <w:r w:rsidRPr="0081604B">
        <w:rPr>
          <w:rStyle w:val="FootnoteReference"/>
        </w:rPr>
        <w:footnoteRef/>
      </w:r>
      <w:r w:rsidRPr="00DA5E7E">
        <w:rPr>
          <w:lang w:val="en-US"/>
        </w:rPr>
        <w:tab/>
      </w:r>
      <w:r w:rsidRPr="00713B13">
        <w:rPr>
          <w:lang w:val="en-US"/>
        </w:rPr>
        <w:t>A/HRC/45/45</w:t>
      </w:r>
      <w:r w:rsidR="004A238A">
        <w:rPr>
          <w:lang w:val="en-US"/>
        </w:rPr>
        <w:t> ;</w:t>
      </w:r>
      <w:r w:rsidRPr="00713B13">
        <w:rPr>
          <w:lang w:val="en-US"/>
        </w:rPr>
        <w:t> </w:t>
      </w:r>
      <w:hyperlink r:id="rId939" w:history="1">
        <w:r w:rsidRPr="00713B13">
          <w:rPr>
            <w:rStyle w:val="Hyperlink"/>
            <w:lang w:val="en-US"/>
          </w:rPr>
          <w:t>https://www.oas.org/fr/cidh/decisions/pdf/Resolution-3-19-fr.pdf</w:t>
        </w:r>
      </w:hyperlink>
      <w:r w:rsidRPr="00713B13">
        <w:rPr>
          <w:lang w:val="en-US"/>
        </w:rPr>
        <w:t>.</w:t>
      </w:r>
    </w:p>
  </w:footnote>
  <w:footnote w:id="799">
    <w:p w14:paraId="1AA68EA1" w14:textId="77777777" w:rsidR="00D301C6" w:rsidRPr="00713B13" w:rsidRDefault="00D301C6" w:rsidP="005B4367">
      <w:pPr>
        <w:pStyle w:val="FootnoteText"/>
      </w:pPr>
      <w:r w:rsidRPr="00DA5E7E">
        <w:rPr>
          <w:lang w:val="en-US"/>
        </w:rPr>
        <w:tab/>
      </w:r>
      <w:r w:rsidRPr="0081604B">
        <w:rPr>
          <w:rStyle w:val="FootnoteReference"/>
        </w:rPr>
        <w:footnoteRef/>
      </w:r>
      <w:r w:rsidRPr="00D10EF8">
        <w:tab/>
      </w:r>
      <w:r w:rsidRPr="00713B13">
        <w:rPr>
          <w:lang w:val="fr-FR"/>
        </w:rPr>
        <w:t>A/HRC/34/62.</w:t>
      </w:r>
    </w:p>
  </w:footnote>
  <w:footnote w:id="800">
    <w:p w14:paraId="02BA87CB" w14:textId="77777777" w:rsidR="00D301C6" w:rsidRPr="00713B13" w:rsidRDefault="00D301C6" w:rsidP="005B4367">
      <w:pPr>
        <w:pStyle w:val="FootnoteText"/>
      </w:pPr>
      <w:r w:rsidRPr="00D10EF8">
        <w:tab/>
      </w:r>
      <w:r w:rsidRPr="0081604B">
        <w:rPr>
          <w:rStyle w:val="FootnoteReference"/>
        </w:rPr>
        <w:footnoteRef/>
      </w:r>
      <w:r w:rsidRPr="00D10EF8">
        <w:tab/>
      </w:r>
      <w:r w:rsidRPr="00713B13">
        <w:rPr>
          <w:lang w:val="fr-FR"/>
        </w:rPr>
        <w:t>A/74/321, par.10.</w:t>
      </w:r>
    </w:p>
  </w:footnote>
  <w:footnote w:id="801">
    <w:p w14:paraId="48F81DEF" w14:textId="07EEC1B1" w:rsidR="00D301C6" w:rsidRPr="00713B13" w:rsidRDefault="00713B13" w:rsidP="005B4367">
      <w:pPr>
        <w:pStyle w:val="FootnoteText"/>
        <w:rPr>
          <w:lang w:val="fr-CA"/>
        </w:rPr>
      </w:pPr>
      <w:r>
        <w:tab/>
      </w:r>
      <w:r w:rsidR="00D301C6" w:rsidRPr="0081604B">
        <w:rPr>
          <w:rStyle w:val="FootnoteReference"/>
        </w:rPr>
        <w:footnoteRef/>
      </w:r>
      <w:r>
        <w:tab/>
      </w:r>
      <w:r w:rsidR="00D301C6" w:rsidRPr="00713B13">
        <w:t>A/HRC/45/45</w:t>
      </w:r>
      <w:r w:rsidR="00BF73AB">
        <w:t> ;</w:t>
      </w:r>
      <w:r w:rsidR="00D301C6" w:rsidRPr="00713B13">
        <w:t xml:space="preserve"> </w:t>
      </w:r>
      <w:hyperlink r:id="rId940" w:history="1">
        <w:r w:rsidR="00D301C6" w:rsidRPr="00713B13">
          <w:rPr>
            <w:rStyle w:val="Hyperlink"/>
            <w:lang w:val="fr-FR"/>
          </w:rPr>
          <w:t>https://www.oas.org/fr/cidh/decisions/pdf/Resolution-3-19-fr.pdf</w:t>
        </w:r>
      </w:hyperlink>
      <w:r w:rsidR="00D301C6" w:rsidRPr="00713B13">
        <w:t xml:space="preserve">. </w:t>
      </w:r>
    </w:p>
  </w:footnote>
  <w:footnote w:id="802">
    <w:p w14:paraId="71A13397" w14:textId="4D6C3F3E" w:rsidR="00D301C6" w:rsidRPr="00713B13" w:rsidRDefault="00D301C6" w:rsidP="005B4367">
      <w:pPr>
        <w:pStyle w:val="FootnoteText"/>
      </w:pPr>
      <w:r w:rsidRPr="00D10EF8">
        <w:tab/>
      </w:r>
      <w:r w:rsidRPr="0081604B">
        <w:rPr>
          <w:rStyle w:val="FootnoteReference"/>
        </w:rPr>
        <w:footnoteRef/>
      </w:r>
      <w:r w:rsidRPr="00D10EF8">
        <w:tab/>
      </w:r>
      <w:r w:rsidRPr="00713B13">
        <w:t>Déclaration et Programme d</w:t>
      </w:r>
      <w:r w:rsidR="00F60EAA">
        <w:t>’</w:t>
      </w:r>
      <w:r w:rsidRPr="00713B13">
        <w:t>action de Durban, par.119</w:t>
      </w:r>
      <w:r w:rsidR="00BF73AB">
        <w:t> ;</w:t>
      </w:r>
      <w:r w:rsidRPr="00713B13">
        <w:t xml:space="preserve"> </w:t>
      </w:r>
      <w:hyperlink r:id="rId941" w:history="1">
        <w:r w:rsidRPr="00713B13">
          <w:rPr>
            <w:rStyle w:val="Hyperlink"/>
            <w:lang w:val="fr-FR"/>
          </w:rPr>
          <w:t>https://unesdoc.unesco.org/ark:/</w:t>
        </w:r>
        <w:r w:rsidR="00EC0D2F">
          <w:rPr>
            <w:rStyle w:val="Hyperlink"/>
            <w:lang w:val="fr-FR"/>
          </w:rPr>
          <w:t xml:space="preserve"> </w:t>
        </w:r>
        <w:r w:rsidRPr="00713B13">
          <w:rPr>
            <w:rStyle w:val="Hyperlink"/>
            <w:lang w:val="fr-FR"/>
          </w:rPr>
          <w:t>48223/pf0000366348</w:t>
        </w:r>
      </w:hyperlink>
      <w:r w:rsidRPr="00713B13">
        <w:t xml:space="preserve"> (recommandations).</w:t>
      </w:r>
    </w:p>
  </w:footnote>
  <w:footnote w:id="803">
    <w:p w14:paraId="50450990" w14:textId="139C5047" w:rsidR="00D301C6" w:rsidRPr="00713B13" w:rsidRDefault="00D301C6" w:rsidP="005B4367">
      <w:pPr>
        <w:pStyle w:val="FootnoteText"/>
      </w:pPr>
      <w:r w:rsidRPr="00D10EF8">
        <w:tab/>
      </w:r>
      <w:r w:rsidRPr="0081604B">
        <w:rPr>
          <w:rStyle w:val="FootnoteReference"/>
        </w:rPr>
        <w:footnoteRef/>
      </w:r>
      <w:r w:rsidRPr="00D10EF8">
        <w:tab/>
      </w:r>
      <w:r w:rsidRPr="00713B13">
        <w:t xml:space="preserve">CERD/C/GC/34, </w:t>
      </w:r>
      <w:r w:rsidR="002A7FA1">
        <w:t>par. </w:t>
      </w:r>
      <w:r w:rsidRPr="00713B13">
        <w:t>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C975" w14:textId="71C7C468" w:rsidR="0093584F" w:rsidRPr="0093584F" w:rsidRDefault="0000765D">
    <w:pPr>
      <w:pStyle w:val="Header"/>
    </w:pPr>
    <w:fldSimple w:instr=" TITLE  \* MERGEFORMAT ">
      <w:r w:rsidR="00F66403">
        <w:t>A/HRC/47/CRP.1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7B06" w14:textId="3C8B1BE6" w:rsidR="0093584F" w:rsidRPr="0093584F" w:rsidRDefault="0000765D" w:rsidP="0093584F">
    <w:pPr>
      <w:pStyle w:val="Header"/>
      <w:jc w:val="right"/>
    </w:pPr>
    <w:fldSimple w:instr=" TITLE  \* MERGEFORMAT ">
      <w:r w:rsidR="00F66403">
        <w:t>A/HRC/47/CRP.1</w:t>
      </w:r>
    </w:fldSimple>
  </w:p>
  <w:p w14:paraId="44C2EF95" w14:textId="77777777" w:rsidR="009F7CBD" w:rsidRDefault="009F7C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6A7EEC52"/>
    <w:lvl w:ilvl="0" w:tplc="8DE643D2">
      <w:start w:val="1"/>
      <w:numFmt w:val="decimal"/>
      <w:lvlText w:val="%1."/>
      <w:lvlJc w:val="left"/>
      <w:pPr>
        <w:tabs>
          <w:tab w:val="num" w:pos="0"/>
        </w:tabs>
        <w:ind w:left="1134" w:firstLine="0"/>
      </w:pPr>
      <w:rPr>
        <w:rFonts w:ascii="Times New Roman" w:hAnsi="Times New Roman"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B3320"/>
    <w:multiLevelType w:val="hybridMultilevel"/>
    <w:tmpl w:val="FE04AC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03ABB"/>
    <w:multiLevelType w:val="hybridMultilevel"/>
    <w:tmpl w:val="E472910C"/>
    <w:lvl w:ilvl="0" w:tplc="26422ABC">
      <w:start w:val="1"/>
      <w:numFmt w:val="low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D7909"/>
    <w:multiLevelType w:val="multilevel"/>
    <w:tmpl w:val="76AAE7E8"/>
    <w:lvl w:ilvl="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6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D4527F"/>
    <w:multiLevelType w:val="hybridMultilevel"/>
    <w:tmpl w:val="135E66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54887"/>
    <w:multiLevelType w:val="hybridMultilevel"/>
    <w:tmpl w:val="6F6E5D1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3E05AA"/>
    <w:multiLevelType w:val="hybridMultilevel"/>
    <w:tmpl w:val="C540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C627EC"/>
    <w:multiLevelType w:val="hybridMultilevel"/>
    <w:tmpl w:val="6632F4AE"/>
    <w:lvl w:ilvl="0" w:tplc="EA902B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563ED6"/>
    <w:multiLevelType w:val="hybridMultilevel"/>
    <w:tmpl w:val="B9C655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74461C"/>
    <w:multiLevelType w:val="hybridMultilevel"/>
    <w:tmpl w:val="E7ECF344"/>
    <w:lvl w:ilvl="0" w:tplc="F1E80F56">
      <w:start w:val="1"/>
      <w:numFmt w:val="decimal"/>
      <w:lvlText w:val="%1."/>
      <w:lvlJc w:val="left"/>
      <w:pPr>
        <w:ind w:left="360" w:hanging="360"/>
      </w:pPr>
      <w:rPr>
        <w:rFonts w:ascii="Times New Roman" w:eastAsia="SimSun" w:hAnsi="Times New Roman" w:cs="Times New Roman"/>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5147CE"/>
    <w:multiLevelType w:val="hybridMultilevel"/>
    <w:tmpl w:val="DCB217B2"/>
    <w:lvl w:ilvl="0" w:tplc="08090015">
      <w:start w:val="1"/>
      <w:numFmt w:val="upp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80B022C"/>
    <w:multiLevelType w:val="hybridMultilevel"/>
    <w:tmpl w:val="8FCAA100"/>
    <w:lvl w:ilvl="0" w:tplc="207EFC4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67757"/>
    <w:multiLevelType w:val="hybridMultilevel"/>
    <w:tmpl w:val="086E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F7662E"/>
    <w:multiLevelType w:val="hybridMultilevel"/>
    <w:tmpl w:val="76AAE7E8"/>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5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76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EF00DC"/>
    <w:multiLevelType w:val="hybridMultilevel"/>
    <w:tmpl w:val="2B1405C0"/>
    <w:lvl w:ilvl="0" w:tplc="EBBAFF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8B3306"/>
    <w:multiLevelType w:val="hybridMultilevel"/>
    <w:tmpl w:val="951CE71A"/>
    <w:lvl w:ilvl="0" w:tplc="4C9082F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74D84"/>
    <w:multiLevelType w:val="hybridMultilevel"/>
    <w:tmpl w:val="067872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87807"/>
    <w:multiLevelType w:val="hybridMultilevel"/>
    <w:tmpl w:val="E2C65626"/>
    <w:lvl w:ilvl="0" w:tplc="136EC06A">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2A5F37E8"/>
    <w:multiLevelType w:val="hybridMultilevel"/>
    <w:tmpl w:val="BCC6A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FB3BAC"/>
    <w:multiLevelType w:val="hybridMultilevel"/>
    <w:tmpl w:val="BC4662A8"/>
    <w:lvl w:ilvl="0" w:tplc="6AF22CA2">
      <w:start w:val="2"/>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AE10A0D"/>
    <w:multiLevelType w:val="hybridMultilevel"/>
    <w:tmpl w:val="A5FE8A22"/>
    <w:lvl w:ilvl="0" w:tplc="B6CE97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4E99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2C96A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E4608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8089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0CB34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0A44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E65F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F875C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BF85CBF"/>
    <w:multiLevelType w:val="hybridMultilevel"/>
    <w:tmpl w:val="6DBC4C7C"/>
    <w:lvl w:ilvl="0" w:tplc="A0345CDA">
      <w:start w:val="20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33EC1"/>
    <w:multiLevelType w:val="hybridMultilevel"/>
    <w:tmpl w:val="C2F4B5F4"/>
    <w:lvl w:ilvl="0" w:tplc="34B44C8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3D3E30A9"/>
    <w:multiLevelType w:val="multilevel"/>
    <w:tmpl w:val="0E22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127A52"/>
    <w:multiLevelType w:val="hybridMultilevel"/>
    <w:tmpl w:val="FC1EB7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D91769"/>
    <w:multiLevelType w:val="hybridMultilevel"/>
    <w:tmpl w:val="063A41B0"/>
    <w:lvl w:ilvl="0" w:tplc="7AAA2F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145139"/>
    <w:multiLevelType w:val="hybridMultilevel"/>
    <w:tmpl w:val="67A0E4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7A43366"/>
    <w:multiLevelType w:val="hybridMultilevel"/>
    <w:tmpl w:val="CFE400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8620EE5"/>
    <w:multiLevelType w:val="hybridMultilevel"/>
    <w:tmpl w:val="4052F6CC"/>
    <w:lvl w:ilvl="0" w:tplc="823EFD8C">
      <w:start w:val="1"/>
      <w:numFmt w:val="upperRoman"/>
      <w:lvlText w:val="%1."/>
      <w:lvlJc w:val="left"/>
      <w:pPr>
        <w:ind w:left="720" w:hanging="50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38CF2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38387C">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401033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7828EE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A68240">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7AB29F7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100FF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718D94A">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8EA0CC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4FC75A52"/>
    <w:multiLevelType w:val="hybridMultilevel"/>
    <w:tmpl w:val="76AAE7E8"/>
    <w:lvl w:ilvl="0" w:tplc="55E45F7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AC188">
      <w:start w:val="1"/>
      <w:numFmt w:val="lowerLetter"/>
      <w:lvlText w:val="%2."/>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B24576">
      <w:start w:val="1"/>
      <w:numFmt w:val="lowerRoman"/>
      <w:lvlText w:val="%3."/>
      <w:lvlJc w:val="left"/>
      <w:pPr>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A5AE65C">
      <w:start w:val="1"/>
      <w:numFmt w:val="decimal"/>
      <w:lvlText w:val="%4."/>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449562">
      <w:start w:val="1"/>
      <w:numFmt w:val="lowerLetter"/>
      <w:lvlText w:val="%5."/>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4DCC2">
      <w:start w:val="1"/>
      <w:numFmt w:val="lowerRoman"/>
      <w:lvlText w:val="%6."/>
      <w:lvlJc w:val="left"/>
      <w:pPr>
        <w:ind w:left="5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6C3F9E">
      <w:start w:val="1"/>
      <w:numFmt w:val="decimal"/>
      <w:lvlText w:val="%7."/>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B8B382">
      <w:start w:val="1"/>
      <w:numFmt w:val="lowerLetter"/>
      <w:lvlText w:val="%8."/>
      <w:lvlJc w:val="left"/>
      <w:pPr>
        <w:ind w:left="6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C28348">
      <w:start w:val="1"/>
      <w:numFmt w:val="lowerRoman"/>
      <w:lvlText w:val="%9."/>
      <w:lvlJc w:val="left"/>
      <w:pPr>
        <w:ind w:left="76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48A7060"/>
    <w:multiLevelType w:val="hybridMultilevel"/>
    <w:tmpl w:val="DB280750"/>
    <w:lvl w:ilvl="0" w:tplc="5F1C27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E655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BE8126D"/>
    <w:multiLevelType w:val="hybridMultilevel"/>
    <w:tmpl w:val="339EB8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F2443F"/>
    <w:multiLevelType w:val="hybridMultilevel"/>
    <w:tmpl w:val="FBDA6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4610B7"/>
    <w:multiLevelType w:val="hybridMultilevel"/>
    <w:tmpl w:val="CD3C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A5DA3"/>
    <w:multiLevelType w:val="hybridMultilevel"/>
    <w:tmpl w:val="F90008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57D43BC"/>
    <w:multiLevelType w:val="hybridMultilevel"/>
    <w:tmpl w:val="A5FE8A22"/>
    <w:lvl w:ilvl="0" w:tplc="E404EE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FCDD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DE447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0029F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4472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50851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84864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5C85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8C311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5CD32C3"/>
    <w:multiLevelType w:val="hybridMultilevel"/>
    <w:tmpl w:val="4E1C03A4"/>
    <w:lvl w:ilvl="0" w:tplc="4E4C53B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E502122A"/>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AC5442E"/>
    <w:multiLevelType w:val="multilevel"/>
    <w:tmpl w:val="76AAE7E8"/>
    <w:lvl w:ilvl="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6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63D43F3"/>
    <w:multiLevelType w:val="hybridMultilevel"/>
    <w:tmpl w:val="ED768C44"/>
    <w:lvl w:ilvl="0" w:tplc="F0A6A768">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A512E0"/>
    <w:multiLevelType w:val="hybridMultilevel"/>
    <w:tmpl w:val="E4148CBE"/>
    <w:lvl w:ilvl="0" w:tplc="207EFC4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C729F4"/>
    <w:multiLevelType w:val="hybridMultilevel"/>
    <w:tmpl w:val="760624E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2"/>
  </w:num>
  <w:num w:numId="3">
    <w:abstractNumId w:val="35"/>
  </w:num>
  <w:num w:numId="4">
    <w:abstractNumId w:val="2"/>
  </w:num>
  <w:num w:numId="5">
    <w:abstractNumId w:val="42"/>
  </w:num>
  <w:num w:numId="6">
    <w:abstractNumId w:val="25"/>
  </w:num>
  <w:num w:numId="7">
    <w:abstractNumId w:val="10"/>
  </w:num>
  <w:num w:numId="8">
    <w:abstractNumId w:val="17"/>
  </w:num>
  <w:num w:numId="9">
    <w:abstractNumId w:val="29"/>
  </w:num>
  <w:num w:numId="10">
    <w:abstractNumId w:val="11"/>
  </w:num>
  <w:num w:numId="11">
    <w:abstractNumId w:val="8"/>
  </w:num>
  <w:num w:numId="12">
    <w:abstractNumId w:val="23"/>
  </w:num>
  <w:num w:numId="13">
    <w:abstractNumId w:val="33"/>
  </w:num>
  <w:num w:numId="14">
    <w:abstractNumId w:val="31"/>
  </w:num>
  <w:num w:numId="15">
    <w:abstractNumId w:val="20"/>
  </w:num>
  <w:num w:numId="16">
    <w:abstractNumId w:val="3"/>
  </w:num>
  <w:num w:numId="17">
    <w:abstractNumId w:val="37"/>
  </w:num>
  <w:num w:numId="18">
    <w:abstractNumId w:val="21"/>
  </w:num>
  <w:num w:numId="19">
    <w:abstractNumId w:val="30"/>
  </w:num>
  <w:num w:numId="20">
    <w:abstractNumId w:val="1"/>
  </w:num>
  <w:num w:numId="21">
    <w:abstractNumId w:val="9"/>
  </w:num>
  <w:num w:numId="22">
    <w:abstractNumId w:val="5"/>
  </w:num>
  <w:num w:numId="23">
    <w:abstractNumId w:val="27"/>
  </w:num>
  <w:num w:numId="24">
    <w:abstractNumId w:val="15"/>
  </w:num>
  <w:num w:numId="25">
    <w:abstractNumId w:val="34"/>
  </w:num>
  <w:num w:numId="26">
    <w:abstractNumId w:val="39"/>
  </w:num>
  <w:num w:numId="27">
    <w:abstractNumId w:val="36"/>
  </w:num>
  <w:num w:numId="28">
    <w:abstractNumId w:val="45"/>
  </w:num>
  <w:num w:numId="29">
    <w:abstractNumId w:val="13"/>
  </w:num>
  <w:num w:numId="30">
    <w:abstractNumId w:val="16"/>
  </w:num>
  <w:num w:numId="31">
    <w:abstractNumId w:val="46"/>
  </w:num>
  <w:num w:numId="32">
    <w:abstractNumId w:val="41"/>
  </w:num>
  <w:num w:numId="33">
    <w:abstractNumId w:val="38"/>
  </w:num>
  <w:num w:numId="34">
    <w:abstractNumId w:val="24"/>
  </w:num>
  <w:num w:numId="35">
    <w:abstractNumId w:val="40"/>
  </w:num>
  <w:num w:numId="36">
    <w:abstractNumId w:val="47"/>
  </w:num>
  <w:num w:numId="37">
    <w:abstractNumId w:val="14"/>
  </w:num>
  <w:num w:numId="38">
    <w:abstractNumId w:val="14"/>
    <w:lvlOverride w:ilvl="0">
      <w:startOverride w:val="59"/>
    </w:lvlOverride>
  </w:num>
  <w:num w:numId="39">
    <w:abstractNumId w:val="18"/>
  </w:num>
  <w:num w:numId="40">
    <w:abstractNumId w:val="44"/>
  </w:num>
  <w:num w:numId="41">
    <w:abstractNumId w:val="4"/>
  </w:num>
  <w:num w:numId="42">
    <w:abstractNumId w:val="12"/>
  </w:num>
  <w:num w:numId="43">
    <w:abstractNumId w:val="7"/>
  </w:num>
  <w:num w:numId="44">
    <w:abstractNumId w:val="26"/>
  </w:num>
  <w:num w:numId="45">
    <w:abstractNumId w:val="19"/>
  </w:num>
  <w:num w:numId="46">
    <w:abstractNumId w:val="28"/>
  </w:num>
  <w:num w:numId="4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9A"/>
    <w:rsid w:val="00001908"/>
    <w:rsid w:val="0000765D"/>
    <w:rsid w:val="00010AF0"/>
    <w:rsid w:val="00010D4E"/>
    <w:rsid w:val="00014C64"/>
    <w:rsid w:val="00017F94"/>
    <w:rsid w:val="00021576"/>
    <w:rsid w:val="00023842"/>
    <w:rsid w:val="00023884"/>
    <w:rsid w:val="00026052"/>
    <w:rsid w:val="00031BE7"/>
    <w:rsid w:val="00031D41"/>
    <w:rsid w:val="00032472"/>
    <w:rsid w:val="00033277"/>
    <w:rsid w:val="000334F9"/>
    <w:rsid w:val="000337DF"/>
    <w:rsid w:val="000421C2"/>
    <w:rsid w:val="00045438"/>
    <w:rsid w:val="000603D8"/>
    <w:rsid w:val="00062993"/>
    <w:rsid w:val="000711C0"/>
    <w:rsid w:val="0007796D"/>
    <w:rsid w:val="0008671A"/>
    <w:rsid w:val="00090164"/>
    <w:rsid w:val="00093AC5"/>
    <w:rsid w:val="000A1236"/>
    <w:rsid w:val="000A25E5"/>
    <w:rsid w:val="000A4D22"/>
    <w:rsid w:val="000A5492"/>
    <w:rsid w:val="000A7CB3"/>
    <w:rsid w:val="000B3728"/>
    <w:rsid w:val="000B7790"/>
    <w:rsid w:val="000B7B37"/>
    <w:rsid w:val="000C20B5"/>
    <w:rsid w:val="000C4766"/>
    <w:rsid w:val="000D0DD1"/>
    <w:rsid w:val="000E117A"/>
    <w:rsid w:val="000E17E8"/>
    <w:rsid w:val="000E3D75"/>
    <w:rsid w:val="000F136E"/>
    <w:rsid w:val="000F4ED1"/>
    <w:rsid w:val="000F7152"/>
    <w:rsid w:val="00101358"/>
    <w:rsid w:val="00111F2F"/>
    <w:rsid w:val="0011651F"/>
    <w:rsid w:val="001174EB"/>
    <w:rsid w:val="001178EC"/>
    <w:rsid w:val="00123579"/>
    <w:rsid w:val="00123808"/>
    <w:rsid w:val="0013625B"/>
    <w:rsid w:val="0014365E"/>
    <w:rsid w:val="00145CE6"/>
    <w:rsid w:val="00146FE9"/>
    <w:rsid w:val="0015377F"/>
    <w:rsid w:val="00156EBF"/>
    <w:rsid w:val="001616F8"/>
    <w:rsid w:val="00171B65"/>
    <w:rsid w:val="00175C4A"/>
    <w:rsid w:val="00176178"/>
    <w:rsid w:val="00182DFB"/>
    <w:rsid w:val="001923BC"/>
    <w:rsid w:val="001A5622"/>
    <w:rsid w:val="001B0520"/>
    <w:rsid w:val="001B35E0"/>
    <w:rsid w:val="001B3FAD"/>
    <w:rsid w:val="001C60A8"/>
    <w:rsid w:val="001D0A8E"/>
    <w:rsid w:val="001D4204"/>
    <w:rsid w:val="001F04A5"/>
    <w:rsid w:val="001F14F0"/>
    <w:rsid w:val="001F3F1E"/>
    <w:rsid w:val="001F525A"/>
    <w:rsid w:val="00205A06"/>
    <w:rsid w:val="00223272"/>
    <w:rsid w:val="002277C7"/>
    <w:rsid w:val="00231FD7"/>
    <w:rsid w:val="002361A9"/>
    <w:rsid w:val="00237C56"/>
    <w:rsid w:val="00244780"/>
    <w:rsid w:val="0024658E"/>
    <w:rsid w:val="00246FF6"/>
    <w:rsid w:val="0024727D"/>
    <w:rsid w:val="0024779E"/>
    <w:rsid w:val="00247F71"/>
    <w:rsid w:val="00252C2A"/>
    <w:rsid w:val="00254549"/>
    <w:rsid w:val="002656E6"/>
    <w:rsid w:val="0026595B"/>
    <w:rsid w:val="00266148"/>
    <w:rsid w:val="0026657A"/>
    <w:rsid w:val="00266922"/>
    <w:rsid w:val="00277D26"/>
    <w:rsid w:val="00277F07"/>
    <w:rsid w:val="0028020D"/>
    <w:rsid w:val="0028295B"/>
    <w:rsid w:val="002832AC"/>
    <w:rsid w:val="00284342"/>
    <w:rsid w:val="00284DBD"/>
    <w:rsid w:val="00296A05"/>
    <w:rsid w:val="002A5441"/>
    <w:rsid w:val="002A7FA1"/>
    <w:rsid w:val="002B195C"/>
    <w:rsid w:val="002B19A7"/>
    <w:rsid w:val="002B2596"/>
    <w:rsid w:val="002B4082"/>
    <w:rsid w:val="002B6E14"/>
    <w:rsid w:val="002B71C6"/>
    <w:rsid w:val="002B71DA"/>
    <w:rsid w:val="002C00BE"/>
    <w:rsid w:val="002C775A"/>
    <w:rsid w:val="002D0805"/>
    <w:rsid w:val="002D17BE"/>
    <w:rsid w:val="002D5B5D"/>
    <w:rsid w:val="002D7C93"/>
    <w:rsid w:val="002F4078"/>
    <w:rsid w:val="00301B96"/>
    <w:rsid w:val="00303209"/>
    <w:rsid w:val="003064B5"/>
    <w:rsid w:val="003105F9"/>
    <w:rsid w:val="0031235A"/>
    <w:rsid w:val="00317C7C"/>
    <w:rsid w:val="003207C0"/>
    <w:rsid w:val="003210BC"/>
    <w:rsid w:val="00322DB8"/>
    <w:rsid w:val="00322EE3"/>
    <w:rsid w:val="00323549"/>
    <w:rsid w:val="00324F94"/>
    <w:rsid w:val="00326946"/>
    <w:rsid w:val="00330201"/>
    <w:rsid w:val="003335C3"/>
    <w:rsid w:val="00341D02"/>
    <w:rsid w:val="0034542D"/>
    <w:rsid w:val="00346F76"/>
    <w:rsid w:val="00347172"/>
    <w:rsid w:val="00350986"/>
    <w:rsid w:val="00350D4B"/>
    <w:rsid w:val="00362602"/>
    <w:rsid w:val="00365E40"/>
    <w:rsid w:val="0036627F"/>
    <w:rsid w:val="00371B4D"/>
    <w:rsid w:val="003726E0"/>
    <w:rsid w:val="00372A0F"/>
    <w:rsid w:val="00373A64"/>
    <w:rsid w:val="0037599F"/>
    <w:rsid w:val="00381C41"/>
    <w:rsid w:val="00385A34"/>
    <w:rsid w:val="00386CE1"/>
    <w:rsid w:val="003875AD"/>
    <w:rsid w:val="00390269"/>
    <w:rsid w:val="00390860"/>
    <w:rsid w:val="0039512D"/>
    <w:rsid w:val="00396AA7"/>
    <w:rsid w:val="003A185B"/>
    <w:rsid w:val="003A2268"/>
    <w:rsid w:val="003A25B1"/>
    <w:rsid w:val="003A28F5"/>
    <w:rsid w:val="003A6E21"/>
    <w:rsid w:val="003A7361"/>
    <w:rsid w:val="003B1628"/>
    <w:rsid w:val="003B270D"/>
    <w:rsid w:val="003B458A"/>
    <w:rsid w:val="003B649B"/>
    <w:rsid w:val="003B7B9E"/>
    <w:rsid w:val="003B7BCA"/>
    <w:rsid w:val="003C1CA0"/>
    <w:rsid w:val="003C7980"/>
    <w:rsid w:val="003C79EB"/>
    <w:rsid w:val="003D0E9E"/>
    <w:rsid w:val="003D7329"/>
    <w:rsid w:val="003E3407"/>
    <w:rsid w:val="003E74F9"/>
    <w:rsid w:val="003F1B93"/>
    <w:rsid w:val="003F5567"/>
    <w:rsid w:val="00413EF7"/>
    <w:rsid w:val="0041510D"/>
    <w:rsid w:val="0041610A"/>
    <w:rsid w:val="00422019"/>
    <w:rsid w:val="00424068"/>
    <w:rsid w:val="00425252"/>
    <w:rsid w:val="004277A7"/>
    <w:rsid w:val="00437942"/>
    <w:rsid w:val="00441C3B"/>
    <w:rsid w:val="00446FE5"/>
    <w:rsid w:val="00447A0C"/>
    <w:rsid w:val="00447BDC"/>
    <w:rsid w:val="00452177"/>
    <w:rsid w:val="00452396"/>
    <w:rsid w:val="004524E5"/>
    <w:rsid w:val="004532BA"/>
    <w:rsid w:val="00453497"/>
    <w:rsid w:val="004551ED"/>
    <w:rsid w:val="0047519F"/>
    <w:rsid w:val="0047744C"/>
    <w:rsid w:val="00481DD5"/>
    <w:rsid w:val="00482330"/>
    <w:rsid w:val="0048705C"/>
    <w:rsid w:val="00494704"/>
    <w:rsid w:val="0049679A"/>
    <w:rsid w:val="004A035C"/>
    <w:rsid w:val="004A238A"/>
    <w:rsid w:val="004A7F16"/>
    <w:rsid w:val="004B1F81"/>
    <w:rsid w:val="004B3071"/>
    <w:rsid w:val="004C19D1"/>
    <w:rsid w:val="004C5B17"/>
    <w:rsid w:val="004D0152"/>
    <w:rsid w:val="004D2A20"/>
    <w:rsid w:val="004D79B5"/>
    <w:rsid w:val="004E37F6"/>
    <w:rsid w:val="004E468C"/>
    <w:rsid w:val="004E5E48"/>
    <w:rsid w:val="004F60EB"/>
    <w:rsid w:val="004F64E4"/>
    <w:rsid w:val="0050093C"/>
    <w:rsid w:val="005079A7"/>
    <w:rsid w:val="005119C5"/>
    <w:rsid w:val="00513C2C"/>
    <w:rsid w:val="005205CD"/>
    <w:rsid w:val="005213AD"/>
    <w:rsid w:val="005267B8"/>
    <w:rsid w:val="0053501B"/>
    <w:rsid w:val="00537037"/>
    <w:rsid w:val="00540D2C"/>
    <w:rsid w:val="00542132"/>
    <w:rsid w:val="0054568E"/>
    <w:rsid w:val="005505B7"/>
    <w:rsid w:val="00554A43"/>
    <w:rsid w:val="005558C1"/>
    <w:rsid w:val="00555F2F"/>
    <w:rsid w:val="0055781F"/>
    <w:rsid w:val="00562B6A"/>
    <w:rsid w:val="00573BE5"/>
    <w:rsid w:val="005744EB"/>
    <w:rsid w:val="0058565B"/>
    <w:rsid w:val="00586ED3"/>
    <w:rsid w:val="00590912"/>
    <w:rsid w:val="005955D3"/>
    <w:rsid w:val="00596AA9"/>
    <w:rsid w:val="005A1F62"/>
    <w:rsid w:val="005A3E31"/>
    <w:rsid w:val="005B010D"/>
    <w:rsid w:val="005B19E1"/>
    <w:rsid w:val="005B1C86"/>
    <w:rsid w:val="005B3261"/>
    <w:rsid w:val="005B4367"/>
    <w:rsid w:val="005C36EA"/>
    <w:rsid w:val="005C65E7"/>
    <w:rsid w:val="005D26D7"/>
    <w:rsid w:val="005D46DA"/>
    <w:rsid w:val="005D4B56"/>
    <w:rsid w:val="005E5808"/>
    <w:rsid w:val="005E684A"/>
    <w:rsid w:val="005F431A"/>
    <w:rsid w:val="005F6C97"/>
    <w:rsid w:val="0060576E"/>
    <w:rsid w:val="00606243"/>
    <w:rsid w:val="0060671C"/>
    <w:rsid w:val="006070A9"/>
    <w:rsid w:val="006117D9"/>
    <w:rsid w:val="006131B2"/>
    <w:rsid w:val="006221B2"/>
    <w:rsid w:val="0062246B"/>
    <w:rsid w:val="006259A6"/>
    <w:rsid w:val="00633EF3"/>
    <w:rsid w:val="0063476C"/>
    <w:rsid w:val="00637B80"/>
    <w:rsid w:val="00647C71"/>
    <w:rsid w:val="0065229A"/>
    <w:rsid w:val="00653447"/>
    <w:rsid w:val="00653F4E"/>
    <w:rsid w:val="00656E61"/>
    <w:rsid w:val="006638B7"/>
    <w:rsid w:val="00666B61"/>
    <w:rsid w:val="00676E5E"/>
    <w:rsid w:val="0068492E"/>
    <w:rsid w:val="0069189C"/>
    <w:rsid w:val="006A00AA"/>
    <w:rsid w:val="006A44E6"/>
    <w:rsid w:val="006A62B8"/>
    <w:rsid w:val="006B6ED1"/>
    <w:rsid w:val="006E6842"/>
    <w:rsid w:val="006E6C49"/>
    <w:rsid w:val="006F5E0A"/>
    <w:rsid w:val="007013E8"/>
    <w:rsid w:val="00702E29"/>
    <w:rsid w:val="00707CD6"/>
    <w:rsid w:val="007133EA"/>
    <w:rsid w:val="00713B13"/>
    <w:rsid w:val="0071410D"/>
    <w:rsid w:val="0071601D"/>
    <w:rsid w:val="00716575"/>
    <w:rsid w:val="00720665"/>
    <w:rsid w:val="00721042"/>
    <w:rsid w:val="0072366B"/>
    <w:rsid w:val="00724478"/>
    <w:rsid w:val="007308DD"/>
    <w:rsid w:val="00740A7C"/>
    <w:rsid w:val="00745692"/>
    <w:rsid w:val="00751864"/>
    <w:rsid w:val="00752364"/>
    <w:rsid w:val="00754C54"/>
    <w:rsid w:val="007565BA"/>
    <w:rsid w:val="00756686"/>
    <w:rsid w:val="007601CD"/>
    <w:rsid w:val="00762752"/>
    <w:rsid w:val="00762C72"/>
    <w:rsid w:val="00762EDD"/>
    <w:rsid w:val="007672F2"/>
    <w:rsid w:val="00773187"/>
    <w:rsid w:val="007811E0"/>
    <w:rsid w:val="00793D4A"/>
    <w:rsid w:val="007941E7"/>
    <w:rsid w:val="00795C62"/>
    <w:rsid w:val="00797BD5"/>
    <w:rsid w:val="007A62E6"/>
    <w:rsid w:val="007B0E1A"/>
    <w:rsid w:val="007B2239"/>
    <w:rsid w:val="007B3667"/>
    <w:rsid w:val="007D244B"/>
    <w:rsid w:val="007D25C5"/>
    <w:rsid w:val="007D5F99"/>
    <w:rsid w:val="007E0630"/>
    <w:rsid w:val="007E39E8"/>
    <w:rsid w:val="007E3A8E"/>
    <w:rsid w:val="007E756F"/>
    <w:rsid w:val="007F02E2"/>
    <w:rsid w:val="007F0CA2"/>
    <w:rsid w:val="007F7D6A"/>
    <w:rsid w:val="00800309"/>
    <w:rsid w:val="008044D0"/>
    <w:rsid w:val="0080684C"/>
    <w:rsid w:val="008146A6"/>
    <w:rsid w:val="008148E1"/>
    <w:rsid w:val="008157CE"/>
    <w:rsid w:val="0081604B"/>
    <w:rsid w:val="00817C90"/>
    <w:rsid w:val="0083052D"/>
    <w:rsid w:val="008318EC"/>
    <w:rsid w:val="0083212B"/>
    <w:rsid w:val="008321BE"/>
    <w:rsid w:val="00833946"/>
    <w:rsid w:val="00836541"/>
    <w:rsid w:val="00843A94"/>
    <w:rsid w:val="008539A7"/>
    <w:rsid w:val="00855ECA"/>
    <w:rsid w:val="008620CD"/>
    <w:rsid w:val="00864FB4"/>
    <w:rsid w:val="00865D95"/>
    <w:rsid w:val="00865E37"/>
    <w:rsid w:val="008710F6"/>
    <w:rsid w:val="008712B8"/>
    <w:rsid w:val="00871803"/>
    <w:rsid w:val="00871C75"/>
    <w:rsid w:val="00874261"/>
    <w:rsid w:val="00875BB1"/>
    <w:rsid w:val="008776DC"/>
    <w:rsid w:val="0088036D"/>
    <w:rsid w:val="0088074E"/>
    <w:rsid w:val="00884BCB"/>
    <w:rsid w:val="00891E64"/>
    <w:rsid w:val="008A127A"/>
    <w:rsid w:val="008A3E7A"/>
    <w:rsid w:val="008A4F4F"/>
    <w:rsid w:val="008B06EC"/>
    <w:rsid w:val="008B1399"/>
    <w:rsid w:val="008B3262"/>
    <w:rsid w:val="008B72F8"/>
    <w:rsid w:val="008C6A4B"/>
    <w:rsid w:val="008D2462"/>
    <w:rsid w:val="008E004F"/>
    <w:rsid w:val="008E21C9"/>
    <w:rsid w:val="008E2CA5"/>
    <w:rsid w:val="008E6EED"/>
    <w:rsid w:val="008F1991"/>
    <w:rsid w:val="008F2466"/>
    <w:rsid w:val="008F5844"/>
    <w:rsid w:val="00914436"/>
    <w:rsid w:val="0091490B"/>
    <w:rsid w:val="00916CF0"/>
    <w:rsid w:val="00926093"/>
    <w:rsid w:val="0093058F"/>
    <w:rsid w:val="0093584F"/>
    <w:rsid w:val="00936FE3"/>
    <w:rsid w:val="00944BEB"/>
    <w:rsid w:val="00946670"/>
    <w:rsid w:val="00950FA8"/>
    <w:rsid w:val="009523EE"/>
    <w:rsid w:val="009704DC"/>
    <w:rsid w:val="009705C8"/>
    <w:rsid w:val="009762F5"/>
    <w:rsid w:val="0097679C"/>
    <w:rsid w:val="00980478"/>
    <w:rsid w:val="0098143E"/>
    <w:rsid w:val="00981BD2"/>
    <w:rsid w:val="00982FDC"/>
    <w:rsid w:val="00994EDC"/>
    <w:rsid w:val="009A0B15"/>
    <w:rsid w:val="009A66DF"/>
    <w:rsid w:val="009B0D62"/>
    <w:rsid w:val="009B3025"/>
    <w:rsid w:val="009C1CDA"/>
    <w:rsid w:val="009C1CF4"/>
    <w:rsid w:val="009C32AA"/>
    <w:rsid w:val="009D2B36"/>
    <w:rsid w:val="009E07EE"/>
    <w:rsid w:val="009F0237"/>
    <w:rsid w:val="009F7CBD"/>
    <w:rsid w:val="00A0070E"/>
    <w:rsid w:val="00A076B2"/>
    <w:rsid w:val="00A07977"/>
    <w:rsid w:val="00A10559"/>
    <w:rsid w:val="00A13B0C"/>
    <w:rsid w:val="00A13ED4"/>
    <w:rsid w:val="00A17557"/>
    <w:rsid w:val="00A26755"/>
    <w:rsid w:val="00A30353"/>
    <w:rsid w:val="00A3507E"/>
    <w:rsid w:val="00A36F86"/>
    <w:rsid w:val="00A4127E"/>
    <w:rsid w:val="00A533D2"/>
    <w:rsid w:val="00A73B0B"/>
    <w:rsid w:val="00A800BC"/>
    <w:rsid w:val="00A809E9"/>
    <w:rsid w:val="00A80DF4"/>
    <w:rsid w:val="00A819EA"/>
    <w:rsid w:val="00A837EB"/>
    <w:rsid w:val="00A843C2"/>
    <w:rsid w:val="00A90039"/>
    <w:rsid w:val="00A92BA9"/>
    <w:rsid w:val="00A92CC3"/>
    <w:rsid w:val="00A9692A"/>
    <w:rsid w:val="00AA3CDE"/>
    <w:rsid w:val="00AB0B30"/>
    <w:rsid w:val="00AB123B"/>
    <w:rsid w:val="00AC3492"/>
    <w:rsid w:val="00AC3823"/>
    <w:rsid w:val="00AC7431"/>
    <w:rsid w:val="00AD06E2"/>
    <w:rsid w:val="00AD1CC3"/>
    <w:rsid w:val="00AD33E9"/>
    <w:rsid w:val="00AD498B"/>
    <w:rsid w:val="00AD5CD5"/>
    <w:rsid w:val="00AD642E"/>
    <w:rsid w:val="00AD6663"/>
    <w:rsid w:val="00AE0772"/>
    <w:rsid w:val="00AE323C"/>
    <w:rsid w:val="00AE413A"/>
    <w:rsid w:val="00AE463D"/>
    <w:rsid w:val="00AF6976"/>
    <w:rsid w:val="00B00181"/>
    <w:rsid w:val="00B00B0D"/>
    <w:rsid w:val="00B06971"/>
    <w:rsid w:val="00B07D6E"/>
    <w:rsid w:val="00B12402"/>
    <w:rsid w:val="00B14642"/>
    <w:rsid w:val="00B22C19"/>
    <w:rsid w:val="00B2414F"/>
    <w:rsid w:val="00B301FC"/>
    <w:rsid w:val="00B35B42"/>
    <w:rsid w:val="00B42973"/>
    <w:rsid w:val="00B45D1E"/>
    <w:rsid w:val="00B45E5E"/>
    <w:rsid w:val="00B51F24"/>
    <w:rsid w:val="00B5587C"/>
    <w:rsid w:val="00B61997"/>
    <w:rsid w:val="00B62A33"/>
    <w:rsid w:val="00B62A60"/>
    <w:rsid w:val="00B659DC"/>
    <w:rsid w:val="00B7058F"/>
    <w:rsid w:val="00B709FD"/>
    <w:rsid w:val="00B73A6B"/>
    <w:rsid w:val="00B73A6F"/>
    <w:rsid w:val="00B765F7"/>
    <w:rsid w:val="00B8237E"/>
    <w:rsid w:val="00B9045F"/>
    <w:rsid w:val="00B904BC"/>
    <w:rsid w:val="00B90812"/>
    <w:rsid w:val="00BA0CA9"/>
    <w:rsid w:val="00BA286C"/>
    <w:rsid w:val="00BA5692"/>
    <w:rsid w:val="00BA5E99"/>
    <w:rsid w:val="00BA7A1A"/>
    <w:rsid w:val="00BA7BE5"/>
    <w:rsid w:val="00BB2D29"/>
    <w:rsid w:val="00BB3ABB"/>
    <w:rsid w:val="00BB4106"/>
    <w:rsid w:val="00BB4F46"/>
    <w:rsid w:val="00BB6E49"/>
    <w:rsid w:val="00BB700C"/>
    <w:rsid w:val="00BC1748"/>
    <w:rsid w:val="00BD1CD3"/>
    <w:rsid w:val="00BD2EBF"/>
    <w:rsid w:val="00BD34EC"/>
    <w:rsid w:val="00BD7791"/>
    <w:rsid w:val="00BD7AE0"/>
    <w:rsid w:val="00BE27D5"/>
    <w:rsid w:val="00BE7404"/>
    <w:rsid w:val="00BF0B26"/>
    <w:rsid w:val="00BF2B1F"/>
    <w:rsid w:val="00BF73AB"/>
    <w:rsid w:val="00C02897"/>
    <w:rsid w:val="00C05A2D"/>
    <w:rsid w:val="00C061D7"/>
    <w:rsid w:val="00C063B5"/>
    <w:rsid w:val="00C0678A"/>
    <w:rsid w:val="00C07CF2"/>
    <w:rsid w:val="00C124F2"/>
    <w:rsid w:val="00C1339B"/>
    <w:rsid w:val="00C148F5"/>
    <w:rsid w:val="00C22D8B"/>
    <w:rsid w:val="00C27939"/>
    <w:rsid w:val="00C33924"/>
    <w:rsid w:val="00C33F4C"/>
    <w:rsid w:val="00C34278"/>
    <w:rsid w:val="00C34F42"/>
    <w:rsid w:val="00C356BE"/>
    <w:rsid w:val="00C450DE"/>
    <w:rsid w:val="00C46DAE"/>
    <w:rsid w:val="00C703F3"/>
    <w:rsid w:val="00C70607"/>
    <w:rsid w:val="00C8326C"/>
    <w:rsid w:val="00C90069"/>
    <w:rsid w:val="00CA16C2"/>
    <w:rsid w:val="00CA260E"/>
    <w:rsid w:val="00CA4FC5"/>
    <w:rsid w:val="00CB2643"/>
    <w:rsid w:val="00CB29C1"/>
    <w:rsid w:val="00CB327A"/>
    <w:rsid w:val="00CB3EEF"/>
    <w:rsid w:val="00CB4DF0"/>
    <w:rsid w:val="00CB6E04"/>
    <w:rsid w:val="00CB74A3"/>
    <w:rsid w:val="00CD39EE"/>
    <w:rsid w:val="00CD4A5C"/>
    <w:rsid w:val="00CD5177"/>
    <w:rsid w:val="00CD6B67"/>
    <w:rsid w:val="00CE020A"/>
    <w:rsid w:val="00CE2A12"/>
    <w:rsid w:val="00CF0FA5"/>
    <w:rsid w:val="00CF2DD3"/>
    <w:rsid w:val="00D05298"/>
    <w:rsid w:val="00D0709E"/>
    <w:rsid w:val="00D148FD"/>
    <w:rsid w:val="00D210C9"/>
    <w:rsid w:val="00D223D9"/>
    <w:rsid w:val="00D233E2"/>
    <w:rsid w:val="00D25234"/>
    <w:rsid w:val="00D25CF0"/>
    <w:rsid w:val="00D271B5"/>
    <w:rsid w:val="00D27D34"/>
    <w:rsid w:val="00D301C6"/>
    <w:rsid w:val="00D31062"/>
    <w:rsid w:val="00D3218E"/>
    <w:rsid w:val="00D32E2B"/>
    <w:rsid w:val="00D3439C"/>
    <w:rsid w:val="00D34C9B"/>
    <w:rsid w:val="00D5245F"/>
    <w:rsid w:val="00D57D2A"/>
    <w:rsid w:val="00D60D25"/>
    <w:rsid w:val="00D70942"/>
    <w:rsid w:val="00D74223"/>
    <w:rsid w:val="00D8141A"/>
    <w:rsid w:val="00D84C97"/>
    <w:rsid w:val="00D861EC"/>
    <w:rsid w:val="00D8748D"/>
    <w:rsid w:val="00D943BC"/>
    <w:rsid w:val="00DA5128"/>
    <w:rsid w:val="00DA5E7E"/>
    <w:rsid w:val="00DB1831"/>
    <w:rsid w:val="00DB41E7"/>
    <w:rsid w:val="00DB50E2"/>
    <w:rsid w:val="00DC23B8"/>
    <w:rsid w:val="00DD12D7"/>
    <w:rsid w:val="00DD3BFD"/>
    <w:rsid w:val="00DD3D0D"/>
    <w:rsid w:val="00DE1EC6"/>
    <w:rsid w:val="00DF6678"/>
    <w:rsid w:val="00E031E4"/>
    <w:rsid w:val="00E058D0"/>
    <w:rsid w:val="00E068F7"/>
    <w:rsid w:val="00E13E3E"/>
    <w:rsid w:val="00E13F11"/>
    <w:rsid w:val="00E1672E"/>
    <w:rsid w:val="00E21B72"/>
    <w:rsid w:val="00E21F93"/>
    <w:rsid w:val="00E33C0E"/>
    <w:rsid w:val="00E35339"/>
    <w:rsid w:val="00E411D9"/>
    <w:rsid w:val="00E428EA"/>
    <w:rsid w:val="00E432DA"/>
    <w:rsid w:val="00E43C10"/>
    <w:rsid w:val="00E46E94"/>
    <w:rsid w:val="00E53DDC"/>
    <w:rsid w:val="00E61B96"/>
    <w:rsid w:val="00E62086"/>
    <w:rsid w:val="00E625B5"/>
    <w:rsid w:val="00E62B40"/>
    <w:rsid w:val="00E722FA"/>
    <w:rsid w:val="00E72A57"/>
    <w:rsid w:val="00E72DF4"/>
    <w:rsid w:val="00E90705"/>
    <w:rsid w:val="00E93DFE"/>
    <w:rsid w:val="00EA3C1D"/>
    <w:rsid w:val="00EB0C27"/>
    <w:rsid w:val="00EB6645"/>
    <w:rsid w:val="00EC0D2F"/>
    <w:rsid w:val="00EC4F99"/>
    <w:rsid w:val="00ED5DF2"/>
    <w:rsid w:val="00ED748F"/>
    <w:rsid w:val="00EE0F50"/>
    <w:rsid w:val="00EE59F2"/>
    <w:rsid w:val="00EE5F58"/>
    <w:rsid w:val="00EE7D97"/>
    <w:rsid w:val="00EF2E22"/>
    <w:rsid w:val="00EF5758"/>
    <w:rsid w:val="00F00762"/>
    <w:rsid w:val="00F0589E"/>
    <w:rsid w:val="00F05D47"/>
    <w:rsid w:val="00F06D91"/>
    <w:rsid w:val="00F13863"/>
    <w:rsid w:val="00F20464"/>
    <w:rsid w:val="00F20990"/>
    <w:rsid w:val="00F24C6F"/>
    <w:rsid w:val="00F25103"/>
    <w:rsid w:val="00F25C35"/>
    <w:rsid w:val="00F3044C"/>
    <w:rsid w:val="00F30CED"/>
    <w:rsid w:val="00F37D50"/>
    <w:rsid w:val="00F42889"/>
    <w:rsid w:val="00F43D66"/>
    <w:rsid w:val="00F452DB"/>
    <w:rsid w:val="00F45CB5"/>
    <w:rsid w:val="00F474FB"/>
    <w:rsid w:val="00F5398E"/>
    <w:rsid w:val="00F53B47"/>
    <w:rsid w:val="00F56D1D"/>
    <w:rsid w:val="00F60265"/>
    <w:rsid w:val="00F60EAA"/>
    <w:rsid w:val="00F660DF"/>
    <w:rsid w:val="00F66403"/>
    <w:rsid w:val="00F674DB"/>
    <w:rsid w:val="00F733A4"/>
    <w:rsid w:val="00F741B0"/>
    <w:rsid w:val="00F74EC9"/>
    <w:rsid w:val="00F87B9F"/>
    <w:rsid w:val="00F94B40"/>
    <w:rsid w:val="00F95C08"/>
    <w:rsid w:val="00F96D9B"/>
    <w:rsid w:val="00F973F1"/>
    <w:rsid w:val="00FA014A"/>
    <w:rsid w:val="00FA0F30"/>
    <w:rsid w:val="00FA5BFC"/>
    <w:rsid w:val="00FB284C"/>
    <w:rsid w:val="00FB5021"/>
    <w:rsid w:val="00FB5B79"/>
    <w:rsid w:val="00FB624F"/>
    <w:rsid w:val="00FB686A"/>
    <w:rsid w:val="00FC02F0"/>
    <w:rsid w:val="00FC0BD8"/>
    <w:rsid w:val="00FC53D5"/>
    <w:rsid w:val="00FC64FB"/>
    <w:rsid w:val="00FC7946"/>
    <w:rsid w:val="00FD0634"/>
    <w:rsid w:val="00FD2327"/>
    <w:rsid w:val="00FD470F"/>
    <w:rsid w:val="00FD57E1"/>
    <w:rsid w:val="00FD6912"/>
    <w:rsid w:val="00FF0B8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4A379"/>
  <w15:docId w15:val="{171CE904-CDB8-49DD-9845-2F35610D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B9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301B96"/>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023842"/>
    <w:pPr>
      <w:outlineLvl w:val="1"/>
    </w:pPr>
  </w:style>
  <w:style w:type="paragraph" w:styleId="Heading3">
    <w:name w:val="heading 3"/>
    <w:basedOn w:val="Normal"/>
    <w:next w:val="Normal"/>
    <w:link w:val="Heading3Char"/>
    <w:uiPriority w:val="9"/>
    <w:qFormat/>
    <w:rsid w:val="00023842"/>
    <w:pPr>
      <w:outlineLvl w:val="2"/>
    </w:pPr>
  </w:style>
  <w:style w:type="paragraph" w:styleId="Heading4">
    <w:name w:val="heading 4"/>
    <w:basedOn w:val="Normal"/>
    <w:next w:val="Normal"/>
    <w:link w:val="Heading4Char"/>
    <w:uiPriority w:val="9"/>
    <w:qFormat/>
    <w:rsid w:val="00023842"/>
    <w:pPr>
      <w:outlineLvl w:val="3"/>
    </w:pPr>
  </w:style>
  <w:style w:type="paragraph" w:styleId="Heading5">
    <w:name w:val="heading 5"/>
    <w:basedOn w:val="Normal"/>
    <w:next w:val="Normal"/>
    <w:link w:val="Heading5Char"/>
    <w:uiPriority w:val="9"/>
    <w:qFormat/>
    <w:rsid w:val="00023842"/>
    <w:pPr>
      <w:outlineLvl w:val="4"/>
    </w:pPr>
  </w:style>
  <w:style w:type="paragraph" w:styleId="Heading6">
    <w:name w:val="heading 6"/>
    <w:basedOn w:val="Normal"/>
    <w:next w:val="Normal"/>
    <w:link w:val="Heading6Char"/>
    <w:uiPriority w:val="9"/>
    <w:qFormat/>
    <w:rsid w:val="00023842"/>
    <w:pPr>
      <w:outlineLvl w:val="5"/>
    </w:pPr>
  </w:style>
  <w:style w:type="paragraph" w:styleId="Heading7">
    <w:name w:val="heading 7"/>
    <w:basedOn w:val="Normal"/>
    <w:next w:val="Normal"/>
    <w:link w:val="Heading7Char"/>
    <w:uiPriority w:val="9"/>
    <w:semiHidden/>
    <w:qFormat/>
    <w:rsid w:val="00023842"/>
    <w:pPr>
      <w:outlineLvl w:val="6"/>
    </w:pPr>
  </w:style>
  <w:style w:type="paragraph" w:styleId="Heading8">
    <w:name w:val="heading 8"/>
    <w:basedOn w:val="Normal"/>
    <w:next w:val="Normal"/>
    <w:link w:val="Heading8Char"/>
    <w:uiPriority w:val="9"/>
    <w:semiHidden/>
    <w:qFormat/>
    <w:rsid w:val="00023842"/>
    <w:pPr>
      <w:outlineLvl w:val="7"/>
    </w:pPr>
  </w:style>
  <w:style w:type="paragraph" w:styleId="Heading9">
    <w:name w:val="heading 9"/>
    <w:basedOn w:val="Normal"/>
    <w:next w:val="Normal"/>
    <w:link w:val="Heading9Char"/>
    <w:uiPriority w:val="9"/>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301B9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01B96"/>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301B96"/>
    <w:pPr>
      <w:spacing w:line="240" w:lineRule="auto"/>
    </w:pPr>
    <w:rPr>
      <w:sz w:val="16"/>
    </w:rPr>
  </w:style>
  <w:style w:type="character" w:customStyle="1" w:styleId="FooterChar">
    <w:name w:val="Footer Char"/>
    <w:aliases w:val="3_G Char"/>
    <w:basedOn w:val="DefaultParagraphFont"/>
    <w:link w:val="Footer"/>
    <w:uiPriority w:val="99"/>
    <w:rsid w:val="00301B9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01B96"/>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301B96"/>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301B96"/>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301B96"/>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01B96"/>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01B96"/>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01B96"/>
    <w:pPr>
      <w:tabs>
        <w:tab w:val="left" w:pos="1701"/>
        <w:tab w:val="left" w:pos="2268"/>
        <w:tab w:val="left" w:pos="2835"/>
      </w:tabs>
      <w:spacing w:after="120"/>
      <w:ind w:left="1134" w:right="1134"/>
      <w:jc w:val="both"/>
    </w:pPr>
  </w:style>
  <w:style w:type="paragraph" w:customStyle="1" w:styleId="SLG">
    <w:name w:val="__S_L_G"/>
    <w:basedOn w:val="Normal"/>
    <w:next w:val="Normal"/>
    <w:rsid w:val="00301B96"/>
    <w:pPr>
      <w:keepNext/>
      <w:keepLines/>
      <w:spacing w:before="240" w:after="240" w:line="580" w:lineRule="exact"/>
      <w:ind w:left="1134" w:right="1134"/>
    </w:pPr>
    <w:rPr>
      <w:b/>
      <w:sz w:val="56"/>
    </w:rPr>
  </w:style>
  <w:style w:type="paragraph" w:customStyle="1" w:styleId="SMG">
    <w:name w:val="__S_M_G"/>
    <w:basedOn w:val="Normal"/>
    <w:next w:val="Normal"/>
    <w:rsid w:val="00301B96"/>
    <w:pPr>
      <w:keepNext/>
      <w:keepLines/>
      <w:spacing w:before="240" w:after="240" w:line="420" w:lineRule="exact"/>
      <w:ind w:left="1134" w:right="1134"/>
    </w:pPr>
    <w:rPr>
      <w:b/>
      <w:sz w:val="40"/>
    </w:rPr>
  </w:style>
  <w:style w:type="paragraph" w:customStyle="1" w:styleId="SSG">
    <w:name w:val="__S_S_G"/>
    <w:basedOn w:val="Normal"/>
    <w:next w:val="Normal"/>
    <w:rsid w:val="00301B96"/>
    <w:pPr>
      <w:keepNext/>
      <w:keepLines/>
      <w:spacing w:before="240" w:after="240" w:line="300" w:lineRule="exact"/>
      <w:ind w:left="1134" w:right="1134"/>
    </w:pPr>
    <w:rPr>
      <w:b/>
      <w:sz w:val="28"/>
    </w:rPr>
  </w:style>
  <w:style w:type="paragraph" w:customStyle="1" w:styleId="XLargeG">
    <w:name w:val="__XLarge_G"/>
    <w:basedOn w:val="Normal"/>
    <w:next w:val="Normal"/>
    <w:rsid w:val="00301B96"/>
    <w:pPr>
      <w:keepNext/>
      <w:keepLines/>
      <w:spacing w:before="240" w:after="240" w:line="420" w:lineRule="exact"/>
      <w:ind w:left="1134" w:right="1134"/>
    </w:pPr>
    <w:rPr>
      <w:b/>
      <w:sz w:val="40"/>
    </w:rPr>
  </w:style>
  <w:style w:type="paragraph" w:customStyle="1" w:styleId="Bullet1G">
    <w:name w:val="_Bullet 1_G"/>
    <w:basedOn w:val="Normal"/>
    <w:qFormat/>
    <w:rsid w:val="00301B96"/>
    <w:pPr>
      <w:tabs>
        <w:tab w:val="num" w:pos="0"/>
      </w:tabs>
      <w:spacing w:after="120"/>
      <w:ind w:left="1134" w:right="1134"/>
      <w:jc w:val="both"/>
    </w:pPr>
  </w:style>
  <w:style w:type="paragraph" w:customStyle="1" w:styleId="Bullet2G">
    <w:name w:val="_Bullet 2_G"/>
    <w:basedOn w:val="Normal"/>
    <w:qFormat/>
    <w:rsid w:val="004A035C"/>
    <w:pPr>
      <w:numPr>
        <w:numId w:val="47"/>
      </w:numPr>
      <w:spacing w:after="120"/>
      <w:ind w:right="1134"/>
      <w:jc w:val="both"/>
    </w:pPr>
  </w:style>
  <w:style w:type="character" w:styleId="FootnoteReference">
    <w:name w:val="footnote reference"/>
    <w:aliases w:val="4_G"/>
    <w:basedOn w:val="DefaultParagraphFont"/>
    <w:qFormat/>
    <w:rsid w:val="00CD6B67"/>
    <w:rPr>
      <w:rFonts w:ascii="Times New Roman" w:hAnsi="Times New Roman"/>
      <w:sz w:val="18"/>
      <w:vertAlign w:val="superscript"/>
      <w:lang w:val="fr-CH"/>
    </w:rPr>
  </w:style>
  <w:style w:type="character" w:styleId="EndnoteReference">
    <w:name w:val="endnote reference"/>
    <w:aliases w:val="1_G"/>
    <w:basedOn w:val="DefaultParagraphFont"/>
    <w:uiPriority w:val="99"/>
    <w:qFormat/>
    <w:rsid w:val="00CD6B67"/>
    <w:rPr>
      <w:rFonts w:ascii="Times New Roman" w:hAnsi="Times New Roman"/>
      <w:sz w:val="18"/>
      <w:vertAlign w:val="superscript"/>
      <w:lang w:val="fr-CH"/>
    </w:rPr>
  </w:style>
  <w:style w:type="table" w:styleId="TableGrid">
    <w:name w:val="Table Grid"/>
    <w:basedOn w:val="TableNormal"/>
    <w:rsid w:val="00301B9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301B96"/>
    <w:rPr>
      <w:color w:val="0000FF"/>
      <w:u w:val="none"/>
    </w:rPr>
  </w:style>
  <w:style w:type="character" w:styleId="FollowedHyperlink">
    <w:name w:val="FollowedHyperlink"/>
    <w:basedOn w:val="DefaultParagraphFont"/>
    <w:uiPriority w:val="99"/>
    <w:unhideWhenUsed/>
    <w:rsid w:val="00301B96"/>
    <w:rPr>
      <w:color w:val="0000FF"/>
      <w:u w:val="none"/>
    </w:rPr>
  </w:style>
  <w:style w:type="paragraph" w:styleId="FootnoteText">
    <w:name w:val="footnote text"/>
    <w:aliases w:val="5_G"/>
    <w:basedOn w:val="Normal"/>
    <w:link w:val="FootnoteTextChar"/>
    <w:qFormat/>
    <w:rsid w:val="005B436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B4367"/>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301B96"/>
  </w:style>
  <w:style w:type="character" w:customStyle="1" w:styleId="EndnoteTextChar">
    <w:name w:val="Endnote Text Char"/>
    <w:aliases w:val="2_G Char"/>
    <w:basedOn w:val="DefaultParagraphFont"/>
    <w:link w:val="EndnoteText"/>
    <w:uiPriority w:val="99"/>
    <w:rsid w:val="00301B96"/>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301B96"/>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301B96"/>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uiPriority w:val="9"/>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uiPriority w:val="9"/>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uiPriority w:val="9"/>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uiPriority w:val="9"/>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uiPriority w:val="9"/>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uiPriority w:val="9"/>
    <w:semiHidden/>
    <w:rsid w:val="00023842"/>
    <w:rPr>
      <w:rFonts w:ascii="Times New Roman" w:eastAsia="Times New Roman" w:hAnsi="Times New Roman" w:cs="Times New Roman"/>
      <w:sz w:val="20"/>
      <w:szCs w:val="20"/>
      <w:lang w:eastAsia="en-US"/>
    </w:rPr>
  </w:style>
  <w:style w:type="paragraph" w:styleId="Revision">
    <w:name w:val="Revision"/>
    <w:hidden/>
    <w:uiPriority w:val="99"/>
    <w:semiHidden/>
    <w:rsid w:val="00865E37"/>
    <w:pPr>
      <w:spacing w:after="0" w:line="240" w:lineRule="auto"/>
    </w:pPr>
    <w:rPr>
      <w:rFonts w:ascii="Times New Roman" w:eastAsiaTheme="minorHAnsi" w:hAnsi="Times New Roman" w:cs="Times New Roman"/>
      <w:sz w:val="20"/>
      <w:szCs w:val="20"/>
      <w:lang w:val="en-GB" w:eastAsia="en-US"/>
    </w:rPr>
  </w:style>
  <w:style w:type="character" w:customStyle="1" w:styleId="SingleTxtGChar">
    <w:name w:val="_ Single Txt_G Char"/>
    <w:link w:val="SingleTxtG"/>
    <w:qFormat/>
    <w:rsid w:val="00865E37"/>
    <w:rPr>
      <w:rFonts w:ascii="Times New Roman" w:eastAsiaTheme="minorHAnsi" w:hAnsi="Times New Roman" w:cs="Times New Roman"/>
      <w:sz w:val="20"/>
      <w:szCs w:val="20"/>
      <w:lang w:eastAsia="en-US"/>
    </w:rPr>
  </w:style>
  <w:style w:type="paragraph" w:customStyle="1" w:styleId="SingleTxt">
    <w:name w:val="__Single Txt"/>
    <w:basedOn w:val="Normal"/>
    <w:rsid w:val="00D301C6"/>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lang w:val="en-GB"/>
    </w:rPr>
  </w:style>
  <w:style w:type="paragraph" w:styleId="Caption">
    <w:name w:val="caption"/>
    <w:basedOn w:val="Normal"/>
    <w:next w:val="Normal"/>
    <w:uiPriority w:val="35"/>
    <w:semiHidden/>
    <w:unhideWhenUsed/>
    <w:qFormat/>
    <w:rsid w:val="00D301C6"/>
    <w:pPr>
      <w:suppressAutoHyphens w:val="0"/>
      <w:kinsoku/>
      <w:overflowPunct/>
      <w:autoSpaceDE/>
      <w:autoSpaceDN/>
      <w:adjustRightInd/>
      <w:snapToGrid/>
      <w:spacing w:after="160" w:line="240" w:lineRule="auto"/>
    </w:pPr>
    <w:rPr>
      <w:rFonts w:asciiTheme="minorHAnsi" w:eastAsiaTheme="minorEastAsia" w:hAnsiTheme="minorHAnsi" w:cstheme="minorBidi"/>
      <w:b/>
      <w:bCs/>
      <w:smallCaps/>
      <w:color w:val="1F497D" w:themeColor="text2"/>
      <w:sz w:val="22"/>
      <w:szCs w:val="22"/>
      <w:lang w:val="en-GB"/>
    </w:rPr>
  </w:style>
  <w:style w:type="character" w:customStyle="1" w:styleId="UnresolvedMention">
    <w:name w:val="Unresolved Mention"/>
    <w:basedOn w:val="DefaultParagraphFont"/>
    <w:uiPriority w:val="99"/>
    <w:semiHidden/>
    <w:unhideWhenUsed/>
    <w:rsid w:val="00E33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17" Type="http://schemas.openxmlformats.org/officeDocument/2006/relationships/hyperlink" Target="https://www.oas.org/en/iachr/afro-descendants/docs/pdf/afros_2011_eng.pdf" TargetMode="External"/><Relationship Id="rId671" Type="http://schemas.openxmlformats.org/officeDocument/2006/relationships/hyperlink" Target="https://www.aclufl.org/en/press-releases/aclu-florida-condemns-gov-desantis-proposed-anti-protest-bill" TargetMode="External"/><Relationship Id="rId769" Type="http://schemas.openxmlformats.org/officeDocument/2006/relationships/hyperlink" Target="https://www.ohchr.org/fr/instruments-mechanisms/instruments/basic-principles-use-force-and-firearms-law-enforcement" TargetMode="External"/><Relationship Id="rId21" Type="http://schemas.openxmlformats.org/officeDocument/2006/relationships/hyperlink" Target="https://www.cepal.org/en/publications/44458-first-regional-report-implementation-montevideo-consensus-population-and" TargetMode="External"/><Relationship Id="rId324" Type="http://schemas.openxmlformats.org/officeDocument/2006/relationships/hyperlink" Target="https://assets.publishing.service.gov.uk/government/uploads/system/uploads/attachment_%20data/file/904864/Population_30June2020.ods" TargetMode="External"/><Relationship Id="rId531" Type="http://schemas.openxmlformats.org/officeDocument/2006/relationships/hyperlink" Target="https://www.cbc.ca/news/canada/toronto/toronto-protests-anti-racism-1.5599966" TargetMode="External"/><Relationship Id="rId629" Type="http://schemas.openxmlformats.org/officeDocument/2006/relationships/hyperlink" Target="https://pen.org/press-release/snatching-of-protesters-in-portland-astonishing-act-of-repression/" TargetMode="External"/><Relationship Id="rId170" Type="http://schemas.openxmlformats.org/officeDocument/2006/relationships/hyperlink" Target="https://www.defenseurdesdroits.fr/sites/default/files/atoms/files/rap-origine-en-num-22.09.20.pdf" TargetMode="External"/><Relationship Id="rId836" Type="http://schemas.openxmlformats.org/officeDocument/2006/relationships/hyperlink" Target="https://www.independent.co.uk/news/uk/home-news/lloyds-london-greene-king-slavery-links-apology-black-lives-matter-a9572421.html" TargetMode="External"/><Relationship Id="rId268" Type="http://schemas.openxmlformats.org/officeDocument/2006/relationships/hyperlink" Target="https://www.amnesty.org/en/latest/news/2020/06/europe-covid19-lockdowns-expose-racial-bias-and-discrimination-within-police/" TargetMode="External"/><Relationship Id="rId475" Type="http://schemas.openxmlformats.org/officeDocument/2006/relationships/hyperlink" Target="https://edition.cnn.com/2020/06/08/us/lapd-protesters-black-lives-matter/index.html" TargetMode="External"/><Relationship Id="rId682" Type="http://schemas.openxmlformats.org/officeDocument/2006/relationships/hyperlink" Target="https://www.nytimes.com/2020/07/29/us/protests-portland-federal-withdrawal.html" TargetMode="External"/><Relationship Id="rId903" Type="http://schemas.openxmlformats.org/officeDocument/2006/relationships/hyperlink" Target="https://www.hrw.org/news/2021/05/21/us-failed-justice-100-years-after-tulsa-race-massacre" TargetMode="External"/><Relationship Id="rId32" Type="http://schemas.openxmlformats.org/officeDocument/2006/relationships/hyperlink" Target="https://www.oas.org/en/iachr/reports/pdfs/PoliceUseOfForceAfrosUSA.pdf" TargetMode="External"/><Relationship Id="rId128" Type="http://schemas.openxmlformats.org/officeDocument/2006/relationships/hyperlink" Target="https://newsarchive.ohchr.org/EN/NewsEvents/Pages/DisplayNews.aspx?NewsID=13995&amp;LangID=E" TargetMode="External"/><Relationship Id="rId335" Type="http://schemas.openxmlformats.org/officeDocument/2006/relationships/hyperlink" Target="https://pubmed.ncbi.nlm.nih.gov/27565526/" TargetMode="External"/><Relationship Id="rId542" Type="http://schemas.openxmlformats.org/officeDocument/2006/relationships/hyperlink" Target="https://www.elperiodico.com/es/internacional/20200606/protestas-sacuden-mexico-tras-muerte-giovanni-lopez-bajo-custodia-policial-7989373" TargetMode="External"/><Relationship Id="rId181" Type="http://schemas.openxmlformats.org/officeDocument/2006/relationships/hyperlink" Target="https://www.whitehouse.gov/briefing-room/presidential-actions/2021/01/20/executive-order-advancing-racial-equity-and-support-for-underserved-communities-through-the-federal-government/" TargetMode="External"/><Relationship Id="rId402" Type="http://schemas.openxmlformats.org/officeDocument/2006/relationships/hyperlink" Target="https://www.ohchr.org/EN/Issues/Racism/Pages/Call-Implementation-HRC-Resolution-43-1.aspx" TargetMode="External"/><Relationship Id="rId847" Type="http://schemas.openxmlformats.org/officeDocument/2006/relationships/hyperlink" Target="https://museumandmemorial.eji.org/" TargetMode="External"/><Relationship Id="rId279" Type="http://schemas.openxmlformats.org/officeDocument/2006/relationships/hyperlink" Target="https://www.gov.uk/government/statistics/youth-justice-statistics-2018-to-2019" TargetMode="External"/><Relationship Id="rId486" Type="http://schemas.openxmlformats.org/officeDocument/2006/relationships/hyperlink" Target="https://assets.publishing.service.gov.uk/government/uploads/system/uploads/attachment_data/file/%20686071/Revised_RDA_report_March_2018.pdf" TargetMode="External"/><Relationship Id="rId693" Type="http://schemas.openxmlformats.org/officeDocument/2006/relationships/hyperlink" Target="https://www.bbc.com/news/uk-england-bristol-52962356" TargetMode="External"/><Relationship Id="rId707" Type="http://schemas.openxmlformats.org/officeDocument/2006/relationships/hyperlink" Target="https://pressfreedomtracker.us/1-year-blm/" TargetMode="External"/><Relationship Id="rId914" Type="http://schemas.openxmlformats.org/officeDocument/2006/relationships/hyperlink" Target="https://www.washingtontimes.com/news/2021/jan/29/church-established-by-slave-owners-creates-reparat/" TargetMode="External"/><Relationship Id="rId43" Type="http://schemas.openxmlformats.org/officeDocument/2006/relationships/hyperlink" Target="https://fra.europa.eu/sites/default/files/fra_uploads/fra-2018-being-black-in-the-eu_en.pdf" TargetMode="External"/><Relationship Id="rId139" Type="http://schemas.openxmlformats.org/officeDocument/2006/relationships/hyperlink" Target="https://www.gov.uk/government/publications/windrush-lessons-learned-review-response-comprehensive-improvement-plan" TargetMode="External"/><Relationship Id="rId346" Type="http://schemas.openxmlformats.org/officeDocument/2006/relationships/hyperlink" Target="https://exame.com/brasil/negros-sao-mais-condenados-por-trafico-e-com-menos-drogas-em-sao-paulo/" TargetMode="External"/><Relationship Id="rId553" Type="http://schemas.openxmlformats.org/officeDocument/2006/relationships/hyperlink" Target="https://monitor.civicus.org/updates/2020/08/17/Charges-against-HRD-Madi-Jobarteh-dropped-Gambia-closer-to-access-to-information-law/" TargetMode="External"/><Relationship Id="rId760" Type="http://schemas.openxmlformats.org/officeDocument/2006/relationships/hyperlink" Target="https://www.ohchr.org/sites/default/files/Documents/Issues/CivicSpace/CivicSpaceandCovid_FR.pdf" TargetMode="External"/><Relationship Id="rId192" Type="http://schemas.openxmlformats.org/officeDocument/2006/relationships/hyperlink" Target="https://spcommreports.ohchr.org/TMResultsBase/DownLoadPublicCommunicationFile?gId=20624" TargetMode="External"/><Relationship Id="rId206" Type="http://schemas.openxmlformats.org/officeDocument/2006/relationships/hyperlink" Target="https://www.politico.eu/article/eus-fight-against-racism-isnt-working/" TargetMode="External"/><Relationship Id="rId413" Type="http://schemas.openxmlformats.org/officeDocument/2006/relationships/hyperlink" Target="http://www.corteidh.or.cr/docs/casos/articulos/seriec_410_esp.pdf" TargetMode="External"/><Relationship Id="rId858" Type="http://schemas.openxmlformats.org/officeDocument/2006/relationships/hyperlink" Target="https://www.theguardian.com/world/2020/nov/19/banking-slavery-switzerland-examines-its-colonial-conscience" TargetMode="External"/><Relationship Id="rId497" Type="http://schemas.openxmlformats.org/officeDocument/2006/relationships/hyperlink" Target="https://www.ethnicity-facts-figures.service.gov.uk/crime-justice-and-the-law" TargetMode="External"/><Relationship Id="rId620" Type="http://schemas.openxmlformats.org/officeDocument/2006/relationships/hyperlink" Target="https://spcommreports.ohchr.org/TMResultsBase/DownLoadPublicCommunicationFile?gId=25589" TargetMode="External"/><Relationship Id="rId718" Type="http://schemas.openxmlformats.org/officeDocument/2006/relationships/hyperlink" Target="https://spcommreports.ohchr.org/TMResultsBase/DownLoadPublicCommunicationFile?gId=25589" TargetMode="External"/><Relationship Id="rId925" Type="http://schemas.openxmlformats.org/officeDocument/2006/relationships/hyperlink" Target="https://www.lib.uchicago.edu/collex/exhibits/case-reparations-university-chicago-sources/" TargetMode="External"/><Relationship Id="rId357" Type="http://schemas.openxmlformats.org/officeDocument/2006/relationships/hyperlink" Target="https://www.amnestyusa.org/issues/the-united-states-is-violating-the-human-rights-of-black-people-by-failing-to-restrict-use-of-deadly-force-by-police/" TargetMode="External"/><Relationship Id="rId54" Type="http://schemas.openxmlformats.org/officeDocument/2006/relationships/hyperlink" Target="https://openknowledge.worldbank.org/handle/10986/30201" TargetMode="External"/><Relationship Id="rId217" Type="http://schemas.openxmlformats.org/officeDocument/2006/relationships/hyperlink" Target="https://www.oas.org/en/iachr/afro-descendants/docs/pdf/afros_2011_eng.pdf" TargetMode="External"/><Relationship Id="rId564" Type="http://schemas.openxmlformats.org/officeDocument/2006/relationships/hyperlink" Target="https://www.ohchr.org/EN/NewsEvents/Pages/DisplayNews.aspx?NewsID=25946&amp;LangID=E" TargetMode="External"/><Relationship Id="rId771" Type="http://schemas.openxmlformats.org/officeDocument/2006/relationships/hyperlink" Target="https://www.ohchr.org/sites/default/files/Documents/Publications/MinnesotaProtocol_FR.pdf" TargetMode="External"/><Relationship Id="rId869" Type="http://schemas.openxmlformats.org/officeDocument/2006/relationships/hyperlink" Target="https://www.lemonde.fr/afrique/article/2019/12/03/a-bordeaux-une-sculpture-pour-rappeler-le-passe-negrier-de-la-ville_6021449_3212.html" TargetMode="External"/><Relationship Id="rId424" Type="http://schemas.openxmlformats.org/officeDocument/2006/relationships/hyperlink" Target="http://www.washingtonpost.com/sf/investigative/2015/04/11/thousands-dead-few-prosecuted/?utm_term=.90c3d610122a" TargetMode="External"/><Relationship Id="rId631" Type="http://schemas.openxmlformats.org/officeDocument/2006/relationships/hyperlink" Target="https://monitor.civicus.org/updates/2020/08/31/escalating-tensions-federal-troops-deployed-and-agents-use-excessive-force-against-protesters/" TargetMode="External"/><Relationship Id="rId729" Type="http://schemas.openxmlformats.org/officeDocument/2006/relationships/hyperlink" Target="https://www.corteidh.or.cr/docs/medidas/garifuna_se_03.pdf" TargetMode="External"/><Relationship Id="rId270" Type="http://schemas.openxmlformats.org/officeDocument/2006/relationships/hyperlink" Target="https://www.lawrencereview.co.uk/" TargetMode="External"/><Relationship Id="rId936" Type="http://schemas.openxmlformats.org/officeDocument/2006/relationships/hyperlink" Target="https://healingthewoundsofslavery.org/wp-content/uploads/2021/04/UNESCO-GHFP_2020_Healing-the-Wounds-of-Slavey_Desk-Review_Report.pdf" TargetMode="External"/><Relationship Id="rId65" Type="http://schemas.openxmlformats.org/officeDocument/2006/relationships/hyperlink" Target="https://spcommreports.ohchr.org/TMResultsBase/DownLoadPublicCommunicationFile?gId=25814" TargetMode="External"/><Relationship Id="rId130" Type="http://schemas.openxmlformats.org/officeDocument/2006/relationships/hyperlink" Target="https://fra.europa.eu/sites/default/files/fra_uploads/fra-2018-fundamental-rights-report-2018_en.pdf" TargetMode="External"/><Relationship Id="rId368" Type="http://schemas.openxmlformats.org/officeDocument/2006/relationships/hyperlink" Target="https://assets.publishing.service.gov.uk/government/uploads/system/uploads/attachment_data/file/874022/6.5577_HO_Windrush_Lessons_Learned_Review_WEB_v2.pdf" TargetMode="External"/><Relationship Id="rId575" Type="http://schemas.openxmlformats.org/officeDocument/2006/relationships/hyperlink" Target="https://www.aclu.org/news/criminal-law-reform/all-hell-broke-loose/" TargetMode="External"/><Relationship Id="rId782" Type="http://schemas.openxmlformats.org/officeDocument/2006/relationships/hyperlink" Target="https://www.mapcustomizer.com/map/US%20Truth%20and%20Reconciliation%20Initiatives%202020" TargetMode="External"/><Relationship Id="rId228" Type="http://schemas.openxmlformats.org/officeDocument/2006/relationships/hyperlink" Target="https://www.canada.ca/fr/conseil-prive/campagnes/discours-trone/2020/discours-du-trone.html" TargetMode="External"/><Relationship Id="rId435" Type="http://schemas.openxmlformats.org/officeDocument/2006/relationships/hyperlink" Target="https://www.cato.org/publications/policy-analysis/qualified-immunity-legal-practical-moral-failure" TargetMode="External"/><Relationship Id="rId642" Type="http://schemas.openxmlformats.org/officeDocument/2006/relationships/hyperlink" Target="https://www.hrw.org/fr/news/2020/06/30/les-etats-unis-commettent-les-memes-abus-quils-condamnent-letranger" TargetMode="External"/><Relationship Id="rId281" Type="http://schemas.openxmlformats.org/officeDocument/2006/relationships/hyperlink" Target="https://www.justice.gov/sites/default/files/opa/press-releases/attachments/2015/03/04/ferguson_police_department_report.pdf" TargetMode="External"/><Relationship Id="rId502" Type="http://schemas.openxmlformats.org/officeDocument/2006/relationships/hyperlink" Target="https://acleddata.com/2020/08/31/us-crisis-monitor-releases-full-data-for-summer-2020/" TargetMode="External"/><Relationship Id="rId76" Type="http://schemas.openxmlformats.org/officeDocument/2006/relationships/hyperlink" Target="https://www.lawrencereview.co.uk/" TargetMode="External"/><Relationship Id="rId141" Type="http://schemas.openxmlformats.org/officeDocument/2006/relationships/hyperlink" Target="https://www.amnesty.org/en/latest/campaigns/2019/04/lebanon-migrant-domestic-workers-their-house-is-our-prison/" TargetMode="External"/><Relationship Id="rId379" Type="http://schemas.openxmlformats.org/officeDocument/2006/relationships/hyperlink" Target="https://raceandequality.org/wp-content/uploads/2021/01/Dossier_Brazil_ENG.pdf" TargetMode="External"/><Relationship Id="rId586" Type="http://schemas.openxmlformats.org/officeDocument/2006/relationships/hyperlink" Target="https://www.hrw.org/report/2020/09/30/kettling-protesters-bronx/systemic-police-brutality-and-its-costs-united-states" TargetMode="External"/><Relationship Id="rId793" Type="http://schemas.openxmlformats.org/officeDocument/2006/relationships/hyperlink" Target="https://www.nationaalarchief.nl/en/slavery" TargetMode="External"/><Relationship Id="rId807" Type="http://schemas.openxmlformats.org/officeDocument/2006/relationships/hyperlink" Target="https://charlottenc.gov/CityClerk/Minutes/August%2010,%202020.pdf" TargetMode="External"/><Relationship Id="rId7" Type="http://schemas.openxmlformats.org/officeDocument/2006/relationships/hyperlink" Target="https://www.ohchr.org/fr/documents/reports/ahrc4753-promotion-and-protection-human-rights-and-fundamental-freedoms-africans" TargetMode="External"/><Relationship Id="rId239" Type="http://schemas.openxmlformats.org/officeDocument/2006/relationships/hyperlink" Target="https://fra.europa.eu/en/publication/2020/fundamental-rights-report-2020" TargetMode="External"/><Relationship Id="rId446" Type="http://schemas.openxmlformats.org/officeDocument/2006/relationships/hyperlink" Target="https://www.buzzfeednews.com/article/albertsamaha/breaking-baltimores-blue-wall-of-silence" TargetMode="External"/><Relationship Id="rId653" Type="http://schemas.openxmlformats.org/officeDocument/2006/relationships/hyperlink" Target="https://www.policeombudsman.org/PONI/files/85/858a4b0b-9b99-4921-b947-5fae248ba683.pdf" TargetMode="External"/><Relationship Id="rId292" Type="http://schemas.openxmlformats.org/officeDocument/2006/relationships/hyperlink" Target="https://www.runnymedetrust.org/uploads/Race%2520and%2520Policing%2520v5.pdf" TargetMode="External"/><Relationship Id="rId306" Type="http://schemas.openxmlformats.org/officeDocument/2006/relationships/hyperlink" Target="http://www.oas.org/en/iachr/media_center/PReleases/2018/271.asp" TargetMode="External"/><Relationship Id="rId860" Type="http://schemas.openxmlformats.org/officeDocument/2006/relationships/hyperlink" Target="https://www.tcd.ie/news_events/articles/trinity-college-begins-two-year-investigation-into-its-colonial-past/" TargetMode="External"/><Relationship Id="rId87" Type="http://schemas.openxmlformats.org/officeDocument/2006/relationships/hyperlink" Target="http://www.cepal.org/sites/default/files/publication/files/44387/S1800725_en.pdf" TargetMode="External"/><Relationship Id="rId513" Type="http://schemas.openxmlformats.org/officeDocument/2006/relationships/hyperlink" Target="https://www.theguardian.com/world/2020/jun/12/brazil-black-boy-fall-death-racism" TargetMode="External"/><Relationship Id="rId597" Type="http://schemas.openxmlformats.org/officeDocument/2006/relationships/hyperlink" Target="https://carnegieeurope.eu/2021/01/27/europeans-right-to-protest-under-threat-pub-83735" TargetMode="External"/><Relationship Id="rId720" Type="http://schemas.openxmlformats.org/officeDocument/2006/relationships/hyperlink" Target="https://www.aclu.org/press-releases/aclu-sues-feds-portland-police-attacking-medics-protests" TargetMode="External"/><Relationship Id="rId818" Type="http://schemas.openxmlformats.org/officeDocument/2006/relationships/hyperlink" Target="https://www.leighday.co.uk/latest-updates/cases-and-testimonials/cases/the-mau-mau-claims/" TargetMode="External"/><Relationship Id="rId152" Type="http://schemas.openxmlformats.org/officeDocument/2006/relationships/hyperlink" Target="https://fra.europa.eu/sites/default/files/fra_uploads/fra-2018-fundamental-rights-report-2018_en.pdf" TargetMode="External"/><Relationship Id="rId457" Type="http://schemas.openxmlformats.org/officeDocument/2006/relationships/hyperlink" Target="https://www.defenseurdesdroits.fr/fr/etudes-et-recherches/2017/01/enquete-sur-lacces-aux-droits-volume-1-relations-police-population-le" TargetMode="External"/><Relationship Id="rId664" Type="http://schemas.openxmlformats.org/officeDocument/2006/relationships/hyperlink" Target="https://monitor.civicus.org/updates/2020/10/12/secret-whistle-blower-hearings-overreach-security-laws-and-arrest-protesters-australia/" TargetMode="External"/><Relationship Id="rId871" Type="http://schemas.openxmlformats.org/officeDocument/2006/relationships/hyperlink" Target="https://unesdoc.unesco.org/ark:/48223/pf0000366348" TargetMode="External"/><Relationship Id="rId14" Type="http://schemas.openxmlformats.org/officeDocument/2006/relationships/hyperlink" Target="https://www.ohchr.org/en/NewsEvents/Pages/DisplayNews.aspx?NewsID=25969&amp;LangID=E" TargetMode="External"/><Relationship Id="rId317" Type="http://schemas.openxmlformats.org/officeDocument/2006/relationships/hyperlink" Target="http://www.ussc.gov/news/congressional-testimony-and-reports/booker-reports/report-continuing-impact-united-states-v-booker-federal-sentencing" TargetMode="External"/><Relationship Id="rId524" Type="http://schemas.openxmlformats.org/officeDocument/2006/relationships/hyperlink" Target="https://covid19.inclo.net/2020/06/23/australia-isolated-anti-lockdown-protests-and-blm-solidarity-marches/" TargetMode="External"/><Relationship Id="rId731" Type="http://schemas.openxmlformats.org/officeDocument/2006/relationships/hyperlink" Target="https://www.corteidh.or.cr/docs/medidas/garifuna_se_03.pdf" TargetMode="External"/><Relationship Id="rId98" Type="http://schemas.openxmlformats.org/officeDocument/2006/relationships/hyperlink" Target="https://www.thelancet.com/action/showPdf?pii=S2589-5370%2820%2930374-6" TargetMode="External"/><Relationship Id="rId163" Type="http://schemas.openxmlformats.org/officeDocument/2006/relationships/hyperlink" Target="https://op.europa.eu/en/publication-detail/-/publication/1dcc2e44-4370-11ea-b81b-01aa75ed71a1/language-nl" TargetMode="External"/><Relationship Id="rId370" Type="http://schemas.openxmlformats.org/officeDocument/2006/relationships/hyperlink" Target="https://tbinternet.ohchr.org/Treaties/CERD/Shared%20Documents/LBY/INT_CERD_SWA_LBY_8609_E.pdf" TargetMode="External"/><Relationship Id="rId829" Type="http://schemas.openxmlformats.org/officeDocument/2006/relationships/hyperlink" Target="https://www.ucl.ac.uk/lbs/" TargetMode="External"/><Relationship Id="rId230" Type="http://schemas.openxmlformats.org/officeDocument/2006/relationships/hyperlink" Target="https://fra.europa.eu/sites/default/files/fra_uploads/fra-2018-fundamental-rights-report-2018_en.pdf" TargetMode="External"/><Relationship Id="rId468" Type="http://schemas.openxmlformats.org/officeDocument/2006/relationships/hyperlink" Target="https://www.gov.uk/government/publications/lammy-review-final-report" TargetMode="External"/><Relationship Id="rId675" Type="http://schemas.openxmlformats.org/officeDocument/2006/relationships/hyperlink" Target="https://www.libertyhumanrights.org.uk/issue/liberty-responds-to-plans-to-fast-track-prosecutions-for-protesters/" TargetMode="External"/><Relationship Id="rId882" Type="http://schemas.openxmlformats.org/officeDocument/2006/relationships/hyperlink" Target="https://au.int/sites/default/files/decisions/9618-council_en_24_28_february_1992_council_ministers_fifty_fifth_ordinary_session.pdf" TargetMode="External"/><Relationship Id="rId25" Type="http://schemas.openxmlformats.org/officeDocument/2006/relationships/hyperlink" Target="https://www.worldbank.org/en/region/lac/brief/afro-descendants-in-latin-america" TargetMode="External"/><Relationship Id="rId328" Type="http://schemas.openxmlformats.org/officeDocument/2006/relationships/hyperlink" Target="https://www150.statcan.gc.ca/n1/pub/89-657-x/89-657-x2019002-fra.htm" TargetMode="External"/><Relationship Id="rId535" Type="http://schemas.openxmlformats.org/officeDocument/2006/relationships/hyperlink" Target="https://www.euronews.com/2020/06/14/anti-racism-activists-form-9-kms-socially-distant-human-chain-in-berlin" TargetMode="External"/><Relationship Id="rId742" Type="http://schemas.openxmlformats.org/officeDocument/2006/relationships/hyperlink" Target="https://www.pbs.org/newshour/nation/for-immigrants-marching-with-black-lives-matter-has-risks" TargetMode="External"/><Relationship Id="rId174" Type="http://schemas.openxmlformats.org/officeDocument/2006/relationships/hyperlink" Target="https://fra.europa.eu/sites/default/files/fra_uploads/fra-2019-being-black-in-the-eu-summary_fr.pdf" TargetMode="External"/><Relationship Id="rId381" Type="http://schemas.openxmlformats.org/officeDocument/2006/relationships/hyperlink" Target="https://assets.publishing.service.gov.uk/government/uploads/system/uploads/attachment_%20data/file/655401/Report_of_Angiolini_Review_ISBN_Accessible.pdf" TargetMode="External"/><Relationship Id="rId602" Type="http://schemas.openxmlformats.org/officeDocument/2006/relationships/hyperlink" Target="https://www.amnesty.org/download/Documents/AMR5132382020ENGLISH.PDF" TargetMode="External"/><Relationship Id="rId241" Type="http://schemas.openxmlformats.org/officeDocument/2006/relationships/hyperlink" Target="https://www.oas.org/en/iachr/afro-descendants/docs/pdf/afros_2011_eng.pdf" TargetMode="External"/><Relationship Id="rId479" Type="http://schemas.openxmlformats.org/officeDocument/2006/relationships/hyperlink" Target="https://www.gov.ca.gov/2019/03/13/governor-gavin-newsom-orders-a-halt-to-the-death-penalty-in-california/" TargetMode="External"/><Relationship Id="rId686" Type="http://schemas.openxmlformats.org/officeDocument/2006/relationships/hyperlink" Target="https://edition.cnn.com/us/live-news/george-floyd-protests-06-07-20/h_9490072083f48e264cadc5f0660ea18a" TargetMode="External"/><Relationship Id="rId893" Type="http://schemas.openxmlformats.org/officeDocument/2006/relationships/hyperlink" Target="https://apnews.com/article/legislature-slavery-california-gavin-newsom-state-legislature-85b905e79384e5945ccab4e2930116d9" TargetMode="External"/><Relationship Id="rId907" Type="http://schemas.openxmlformats.org/officeDocument/2006/relationships/hyperlink" Target="https://www.gov.uk/government/news/statement-to-parliament-on-settlement-of-mau-mau-claims" TargetMode="External"/><Relationship Id="rId36" Type="http://schemas.openxmlformats.org/officeDocument/2006/relationships/hyperlink" Target="http://www.worldbank.org/en/region/lac/brief/afro-descendants-in-latin-america" TargetMode="External"/><Relationship Id="rId283" Type="http://schemas.openxmlformats.org/officeDocument/2006/relationships/hyperlink" Target="https://www.hrw.org/report/2012/01/26/root-humiliation/abusive-identity-checks-france" TargetMode="External"/><Relationship Id="rId339" Type="http://schemas.openxmlformats.org/officeDocument/2006/relationships/hyperlink" Target="https://www.ohchr.org/EN/NewsEvents/Pages/DisplayNews.aspx?NewsID=20746&amp;LangID=E" TargetMode="External"/><Relationship Id="rId490" Type="http://schemas.openxmlformats.org/officeDocument/2006/relationships/hyperlink" Target="https://www.ohchr.org/fr/instruments-mechanisms/instruments/basic-principles-use-force-and-firearms-law-enforcement" TargetMode="External"/><Relationship Id="rId504" Type="http://schemas.openxmlformats.org/officeDocument/2006/relationships/hyperlink" Target="https://www.washingtonpost.com/politics/2020/10/16/this-summers-black-lives-matter-protesters-were-overwhelming-peaceful-our-research-finds/" TargetMode="External"/><Relationship Id="rId546" Type="http://schemas.openxmlformats.org/officeDocument/2006/relationships/hyperlink" Target="https://www.africanews.com/2020/06/04/black-lives-matter-protest-hits-south-africa/" TargetMode="External"/><Relationship Id="rId711" Type="http://schemas.openxmlformats.org/officeDocument/2006/relationships/hyperlink" Target="https://www.aclu.org/news/criminal-law-reform/a-constitutional-crisis-in-portland/" TargetMode="External"/><Relationship Id="rId753" Type="http://schemas.openxmlformats.org/officeDocument/2006/relationships/hyperlink" Target="https://www.amnesty.org/en/latest/news/2021/01/france-systemic-police-discrimination-requires-reforms/" TargetMode="External"/><Relationship Id="rId78" Type="http://schemas.openxmlformats.org/officeDocument/2006/relationships/hyperlink" Target="https://www.enar-eu.org/IMG/pdf/shadowreport_afrophobia_final_with_corrections.pdf" TargetMode="External"/><Relationship Id="rId101" Type="http://schemas.openxmlformats.org/officeDocument/2006/relationships/hyperlink" Target="https://www.ncbi.nlm.nih.gov/pmc/articles/PMC7441277/" TargetMode="External"/><Relationship Id="rId143" Type="http://schemas.openxmlformats.org/officeDocument/2006/relationships/hyperlink" Target="https://www.hrw.org/news/2017/12/08/metoo-say-domestic-workers-middle-east" TargetMode="External"/><Relationship Id="rId185" Type="http://schemas.openxmlformats.org/officeDocument/2006/relationships/hyperlink" Target="http://www.statewatch.org/media/documents/news/2018/mar/eu-com-data-collection-field-of-equality-study-2017.pdf" TargetMode="External"/><Relationship Id="rId350" Type="http://schemas.openxmlformats.org/officeDocument/2006/relationships/hyperlink" Target="https://www.hri.global/files/2021/04/07/HRI_Death_Penalty_Report_2020_FINAL.pdf" TargetMode="External"/><Relationship Id="rId406" Type="http://schemas.openxmlformats.org/officeDocument/2006/relationships/hyperlink" Target="https://assets.publishing.service.gov.uk/government/uploads/system/uploads/attachment_%20data/file/655401/Report_of_Angiolini_Review_ISBN_Accessible.pdf" TargetMode="External"/><Relationship Id="rId588" Type="http://schemas.openxmlformats.org/officeDocument/2006/relationships/hyperlink" Target="https://netpol.org/black-lives-matter/" TargetMode="External"/><Relationship Id="rId795" Type="http://schemas.openxmlformats.org/officeDocument/2006/relationships/hyperlink" Target="https://apnews.com/article/76fa36f730acd05d83ebf40ffefe31df" TargetMode="External"/><Relationship Id="rId809" Type="http://schemas.openxmlformats.org/officeDocument/2006/relationships/hyperlink" Target="https://www.cityofspartanburg.org/cms_assets/City_Council_files/9.28.2020.Agenda%20Packet.pdf" TargetMode="External"/><Relationship Id="rId9" Type="http://schemas.openxmlformats.org/officeDocument/2006/relationships/hyperlink" Target="https://www.ohchr.org/fr/instruments-mechanisms/instruments/code-conduct-law-enforcement-officials" TargetMode="External"/><Relationship Id="rId210" Type="http://schemas.openxmlformats.org/officeDocument/2006/relationships/hyperlink" Target="http://www.oas.org/en/sare/documents/res-2891-16-en.pdf" TargetMode="External"/><Relationship Id="rId392" Type="http://schemas.openxmlformats.org/officeDocument/2006/relationships/hyperlink" Target="https://inquirycommission.org/website/wp-content/uploads/2021/04/Commission-Report-15-April.pdf" TargetMode="External"/><Relationship Id="rId448" Type="http://schemas.openxmlformats.org/officeDocument/2006/relationships/hyperlink" Target="https://www.defenseurdesdroits.fr/sites/default/files/atoms/files/raa-2019-num-accessopti.pdf" TargetMode="External"/><Relationship Id="rId613" Type="http://schemas.openxmlformats.org/officeDocument/2006/relationships/hyperlink" Target="https://www.theguardian.com/us-news/2021/jan/13/us-police-use-of-force-protests-black-lives-matter-far-right" TargetMode="External"/><Relationship Id="rId655" Type="http://schemas.openxmlformats.org/officeDocument/2006/relationships/hyperlink" Target="https://www.bbc.com/news/uk-northern-ireland-55399659" TargetMode="External"/><Relationship Id="rId697" Type="http://schemas.openxmlformats.org/officeDocument/2006/relationships/hyperlink" Target="https://www.oas.org/en/iachr/media_center/PReleases/2020/129.asp" TargetMode="External"/><Relationship Id="rId820" Type="http://schemas.openxmlformats.org/officeDocument/2006/relationships/hyperlink" Target="https://www.bbc.com/news/world-europe-53232105" TargetMode="External"/><Relationship Id="rId862" Type="http://schemas.openxmlformats.org/officeDocument/2006/relationships/hyperlink" Target="https://www.theguardian.com/education/2019/oct/30/olivette-otele-uk-first-black-female-history-professor-to-research-bristol-slavery-links" TargetMode="External"/><Relationship Id="rId918" Type="http://schemas.openxmlformats.org/officeDocument/2006/relationships/hyperlink" Target="https://www.washingtonpost.com/gdpr-consent/?next_url=https%3a%2f%2fwww.washingtonpost.com%2feducation%2f2021%2f06%2f05%2fjohn-hopkins-slavery-founder-inquiry%2f" TargetMode="External"/><Relationship Id="rId252" Type="http://schemas.openxmlformats.org/officeDocument/2006/relationships/hyperlink" Target="https://www.ohchr.org/Documents/Issues/Racism/WGEAPD/Guidelines_inclusion_2030_" TargetMode="External"/><Relationship Id="rId294" Type="http://schemas.openxmlformats.org/officeDocument/2006/relationships/hyperlink" Target="https://www.runnymedetrust.org/uploads/Race%20and%20Policing%20v5.pdf" TargetMode="External"/><Relationship Id="rId308" Type="http://schemas.openxmlformats.org/officeDocument/2006/relationships/hyperlink" Target="https://www.ohchr.org/EN/NewsEvents/Pages/DisplayNews.aspx?NewsID=23942&amp;LangID=E" TargetMode="External"/><Relationship Id="rId515" Type="http://schemas.openxmlformats.org/officeDocument/2006/relationships/hyperlink" Target="https://apnews.com/article/virus-outbreak-police-rio-de-janeiro-ap-top-news-brazil-8bfe3a86aa1db5b9671d9d41be8617b7" TargetMode="External"/><Relationship Id="rId722" Type="http://schemas.openxmlformats.org/officeDocument/2006/relationships/hyperlink" Target="https://spcommreports.ohchr.org/TMResultsBase/DownLoadPublicCommunicationFile?gId=25639" TargetMode="External"/><Relationship Id="rId47" Type="http://schemas.openxmlformats.org/officeDocument/2006/relationships/hyperlink" Target="https://files.epi.org/pdf/142084.pdf" TargetMode="External"/><Relationship Id="rId89" Type="http://schemas.openxmlformats.org/officeDocument/2006/relationships/hyperlink" Target="https://healingthewoundsofslavery.org/wp-content/uploads/2021/04/UNESCO-GHFP_2020_Healing-the-Wounds-of-Slavey_Desk-Review_Report.pdf" TargetMode="External"/><Relationship Id="rId112" Type="http://schemas.openxmlformats.org/officeDocument/2006/relationships/hyperlink" Target="https://ainowinstitute.org/discriminatingsystems.pdf" TargetMode="External"/><Relationship Id="rId154" Type="http://schemas.openxmlformats.org/officeDocument/2006/relationships/hyperlink" Target="https://mkcentrum.se/wp-content/uploads/2014/12/Afrofobi-20140203-executive-summary.pdf" TargetMode="External"/><Relationship Id="rId361" Type="http://schemas.openxmlformats.org/officeDocument/2006/relationships/hyperlink" Target="https://forumseguranca.org.br/wp-content/uploads/2020/10/anuario-14-2020-v1-interativo.pdf" TargetMode="External"/><Relationship Id="rId557" Type="http://schemas.openxmlformats.org/officeDocument/2006/relationships/hyperlink" Target="https://www1.nyc.gov/assets/doi/reports/pdf/2020/DOIRpt.NYPD%20Reponse.%20GeorgeFloyd%20Protests.12.18.2020.pdf" TargetMode="External"/><Relationship Id="rId599" Type="http://schemas.openxmlformats.org/officeDocument/2006/relationships/hyperlink" Target="https://monitor.civicus.org/updates/2020/08/25/pandemic-brazil-aggravates-democratic-backslide/h" TargetMode="External"/><Relationship Id="rId764" Type="http://schemas.openxmlformats.org/officeDocument/2006/relationships/hyperlink" Target="https://www.ohchr.org/Documents/HRBodies/CCPR/LLW_Guidance.pdf" TargetMode="External"/><Relationship Id="rId196" Type="http://schemas.openxmlformats.org/officeDocument/2006/relationships/hyperlink" Target="https://www.enar-eu.org/IMG/pdf/sr_key_findings-2.pdf" TargetMode="External"/><Relationship Id="rId417" Type="http://schemas.openxmlformats.org/officeDocument/2006/relationships/hyperlink" Target="https://www.icrc.org/en/doc/assets/files/publications/icrc-002-4126.pdf" TargetMode="External"/><Relationship Id="rId459" Type="http://schemas.openxmlformats.org/officeDocument/2006/relationships/hyperlink" Target="https://time.com/4398392/obama-police-reform-report-task-force-on-21st-century-policing/" TargetMode="External"/><Relationship Id="rId624" Type="http://schemas.openxmlformats.org/officeDocument/2006/relationships/hyperlink" Target="https://www.humanrightsfirst.org/press-release/retired-military-leaders-urge-governors-resist-trump-s-attempt-use-military-against" TargetMode="External"/><Relationship Id="rId666" Type="http://schemas.openxmlformats.org/officeDocument/2006/relationships/hyperlink" Target="https://www.theguardian.com/world/2020/jun/01/thousands-in-new-zealand-protest-against-george-floyd-killing" TargetMode="External"/><Relationship Id="rId831" Type="http://schemas.openxmlformats.org/officeDocument/2006/relationships/hyperlink" Target="https://www.lloyds.com/news-and-insights/news/our-full-statement-on-the-lloyds-markets-role-in-the-slave-trade" TargetMode="External"/><Relationship Id="rId873" Type="http://schemas.openxmlformats.org/officeDocument/2006/relationships/hyperlink" Target="https://unesdoc.unesco.org/ark:/48223/pf0000366348" TargetMode="External"/><Relationship Id="rId16" Type="http://schemas.openxmlformats.org/officeDocument/2006/relationships/hyperlink" Target="https://www.coe.int/fr/web/european-commission-against-racism-and-intolerance/-/ecri-warns-against-racial-profiling-in-policing-and-calls-for-a-systemic-response-to-address-racism-in-all-areas" TargetMode="External"/><Relationship Id="rId221" Type="http://schemas.openxmlformats.org/officeDocument/2006/relationships/hyperlink" Target="https://ec.europa.eu/info/files/union-equality-eu-action-plan-against-racism-2020-2025_fr" TargetMode="External"/><Relationship Id="rId263" Type="http://schemas.openxmlformats.org/officeDocument/2006/relationships/hyperlink" Target="https://fra.europa.eu/sites/default/files/fra_uploads/fra-2018-being-black-in-the-eu_en.pdf" TargetMode="External"/><Relationship Id="rId319" Type="http://schemas.openxmlformats.org/officeDocument/2006/relationships/hyperlink" Target="https://www.sentencingproject.org/publications/un-report-on-racial-disparities/" TargetMode="External"/><Relationship Id="rId470" Type="http://schemas.openxmlformats.org/officeDocument/2006/relationships/hyperlink" Target="https://committees.parliament.uk/publications/3376/documents/32359/default/" TargetMode="External"/><Relationship Id="rId526" Type="http://schemas.openxmlformats.org/officeDocument/2006/relationships/hyperlink" Target="https://www.euronews.com/2020/06/08/10-000-black-lives-matters-protesters-take-to-streets-of-brussels" TargetMode="External"/><Relationship Id="rId929" Type="http://schemas.openxmlformats.org/officeDocument/2006/relationships/hyperlink" Target="https://www.washingtonpost.com/religion/2018/12/12/southern-baptist-conventions-flagship-seminary-admits-all-four-its-founders-owned-slaves/" TargetMode="External"/><Relationship Id="rId58" Type="http://schemas.openxmlformats.org/officeDocument/2006/relationships/hyperlink" Target="https://fra.europa.eu/sites/default/files/fra_uploads/fra-2019-being-black-in-the-eu-summary_fr.pdf" TargetMode="External"/><Relationship Id="rId123" Type="http://schemas.openxmlformats.org/officeDocument/2006/relationships/hyperlink" Target="https://openknowledge.worldbank.org/handle/10986/30201" TargetMode="External"/><Relationship Id="rId330" Type="http://schemas.openxmlformats.org/officeDocument/2006/relationships/hyperlink" Target="https://www.propublica.org/article/machine-bias-risk-assessments-in-criminal-sentencing" TargetMode="External"/><Relationship Id="rId568" Type="http://schemas.openxmlformats.org/officeDocument/2006/relationships/hyperlink" Target="https://www.oas.org/en/iachr/media_center/PReleases/2020/129.asp" TargetMode="External"/><Relationship Id="rId733" Type="http://schemas.openxmlformats.org/officeDocument/2006/relationships/hyperlink" Target="https://spcommreports.ohchr.org/TMResultsBase/DownLoadPublicCommunicationFile?gId=15518" TargetMode="External"/><Relationship Id="rId775" Type="http://schemas.openxmlformats.org/officeDocument/2006/relationships/hyperlink" Target="https://www.usip.org/publications/2012/02/truth-commission-mauritius" TargetMode="External"/><Relationship Id="rId940" Type="http://schemas.openxmlformats.org/officeDocument/2006/relationships/hyperlink" Target="https://www.oas.org/fr/cidh/decisions/pdf/Resolution-3-19-fr.pdf" TargetMode="External"/><Relationship Id="rId165" Type="http://schemas.openxmlformats.org/officeDocument/2006/relationships/hyperlink" Target="https://repositorio.cepal.org/bitstream/handle/11362/45202/1/S1900854_es.pdf" TargetMode="External"/><Relationship Id="rId372" Type="http://schemas.openxmlformats.org/officeDocument/2006/relationships/hyperlink" Target="http://avp.org/wp-content/uploads/2017/04/2013_ncavp_hvreport_final.pdf" TargetMode="External"/><Relationship Id="rId428" Type="http://schemas.openxmlformats.org/officeDocument/2006/relationships/hyperlink" Target="https://www.theatlantic.com/ideas/archive/2020/06/prosecutors-need-to-do-their-part/612997/" TargetMode="External"/><Relationship Id="rId635" Type="http://schemas.openxmlformats.org/officeDocument/2006/relationships/hyperlink" Target="https://spcommreports.ohchr.org/TMResultsBase/DownLoadPublicCommunicationFile?gId=25589" TargetMode="External"/><Relationship Id="rId677" Type="http://schemas.openxmlformats.org/officeDocument/2006/relationships/hyperlink" Target="https://spcommreports.ohchr.org/TMResultsBase/DownLoadPublicCommunicationFile?gId=25335" TargetMode="External"/><Relationship Id="rId800" Type="http://schemas.openxmlformats.org/officeDocument/2006/relationships/hyperlink" Target="https://www.congress.gov/bill/109th-congress/senate-resolution/39" TargetMode="External"/><Relationship Id="rId842" Type="http://schemas.openxmlformats.org/officeDocument/2006/relationships/hyperlink" Target="https://www.nytimes.com/2016/12/18/us/insurance-policies-on-slaves-new-york-lifes-complicated-past.html" TargetMode="External"/><Relationship Id="rId232" Type="http://schemas.openxmlformats.org/officeDocument/2006/relationships/hyperlink" Target="https://www.worldbank.org/en/region/lac/brief/afro-descendants-in-latin-america" TargetMode="External"/><Relationship Id="rId274" Type="http://schemas.openxmlformats.org/officeDocument/2006/relationships/hyperlink" Target="https://ocrdata.ed.gov/estimations/2017-2018" TargetMode="External"/><Relationship Id="rId481" Type="http://schemas.openxmlformats.org/officeDocument/2006/relationships/hyperlink" Target="https://deathpenaltyinfo.org/news/california-legislature-passes-racial-justice-package-affecting-death-penalty-practices" TargetMode="External"/><Relationship Id="rId702" Type="http://schemas.openxmlformats.org/officeDocument/2006/relationships/hyperlink" Target="https://www.hrw.org/fr/news/2020/06/30/les-etats-unis-commettent-les-memes-abus-quils-condamnent-letranger" TargetMode="External"/><Relationship Id="rId884" Type="http://schemas.openxmlformats.org/officeDocument/2006/relationships/hyperlink" Target="https://journals.openedition.org/etudesafricaines/4543" TargetMode="External"/><Relationship Id="rId27" Type="http://schemas.openxmlformats.org/officeDocument/2006/relationships/hyperlink" Target="https://www.worldbank.org/en/region/lac/brief/afro-descendants-in-latin-america" TargetMode="External"/><Relationship Id="rId69" Type="http://schemas.openxmlformats.org/officeDocument/2006/relationships/hyperlink" Target="http://www.mossvilleproject.com/" TargetMode="External"/><Relationship Id="rId134" Type="http://schemas.openxmlformats.org/officeDocument/2006/relationships/hyperlink" Target="https://assembly.coe.int/LifeRay/EGA/Pdf/Press/2021/20210316-Afrophobie-prov-FR.pdf" TargetMode="External"/><Relationship Id="rId537" Type="http://schemas.openxmlformats.org/officeDocument/2006/relationships/hyperlink" Target="https://monitor.civicus.org/updates/2020/07/09/court-finds-german-mass-surveillance-law-disregards-press-freedom-large-turnout-blm-protests/" TargetMode="External"/><Relationship Id="rId579" Type="http://schemas.openxmlformats.org/officeDocument/2006/relationships/hyperlink" Target="https://civicus.org/documents/SOCS2021Part1.pdf" TargetMode="External"/><Relationship Id="rId744" Type="http://schemas.openxmlformats.org/officeDocument/2006/relationships/hyperlink" Target="https://www.americanimmigrationcouncil.org/sites/default/files/litigation_documents/lawsuit_demands_records_on_us_immigration_enforcements_role_in_protests_complaint.pdf" TargetMode="External"/><Relationship Id="rId786" Type="http://schemas.openxmlformats.org/officeDocument/2006/relationships/hyperlink" Target="https://www.dekamer.be/FLWB/PDF/55/1462/55K1462001.pdf" TargetMode="External"/><Relationship Id="rId80" Type="http://schemas.openxmlformats.org/officeDocument/2006/relationships/hyperlink" Target="https://fra.europa.eu/sites/default/files/fra_uploads/fra-2018-being-black-in-the-eu_en.pdf" TargetMode="External"/><Relationship Id="rId176" Type="http://schemas.openxmlformats.org/officeDocument/2006/relationships/hyperlink" Target="https://ec.europa.eu/info/sites/default/files/report_on_the_application_of_the_racial_equality_%20directive_and_the_employment_equality_directive_en.pdf" TargetMode="External"/><Relationship Id="rId341" Type="http://schemas.openxmlformats.org/officeDocument/2006/relationships/hyperlink" Target="https://www.release.org.uk/publications/ColourOfInjustice" TargetMode="External"/><Relationship Id="rId383" Type="http://schemas.openxmlformats.org/officeDocument/2006/relationships/hyperlink" Target="https://inquirycommission.org/website/wp-content/uploads/2021/04/Commission-Report-15-April.pdf" TargetMode="External"/><Relationship Id="rId439" Type="http://schemas.openxmlformats.org/officeDocument/2006/relationships/hyperlink" Target="https://www.ohchr.org/Documents/HRBodies/CCPR/LLW_Guidance.pdf" TargetMode="External"/><Relationship Id="rId590" Type="http://schemas.openxmlformats.org/officeDocument/2006/relationships/hyperlink" Target="https://www.bbc.com/news/uk-england-tyne-53034023" TargetMode="External"/><Relationship Id="rId604" Type="http://schemas.openxmlformats.org/officeDocument/2006/relationships/hyperlink" Target="https://pen.org/press-release/kenosha-authorities-must-commit-to-protecting-protesters/" TargetMode="External"/><Relationship Id="rId646" Type="http://schemas.openxmlformats.org/officeDocument/2006/relationships/hyperlink" Target="https://www.hrw.org/fr/news/2020/06/30/les-etats-unis-commettent-les-memes-abus-quils-condamnent-letranger" TargetMode="External"/><Relationship Id="rId811" Type="http://schemas.openxmlformats.org/officeDocument/2006/relationships/hyperlink" Target="https://www.ashevillenc.gov/news/asheville-reparations-speaker-series-continues-june-10-and-17-community-urged-to-participate/" TargetMode="External"/><Relationship Id="rId201" Type="http://schemas.openxmlformats.org/officeDocument/2006/relationships/hyperlink" Target="https://www.cepal.org/en/publications/44458-first-regional-report-implementation-montevideo-consensus-population-and%20p.%20204" TargetMode="External"/><Relationship Id="rId243" Type="http://schemas.openxmlformats.org/officeDocument/2006/relationships/hyperlink" Target="https://rm.coe.int/rapport-annuel-ecri-2019/16809ca6d4" TargetMode="External"/><Relationship Id="rId285" Type="http://schemas.openxmlformats.org/officeDocument/2006/relationships/hyperlink" Target="https://news.un.org/fr/story/2019/03/1038761" TargetMode="External"/><Relationship Id="rId450" Type="http://schemas.openxmlformats.org/officeDocument/2006/relationships/hyperlink" Target="https://www.justice.gov/opa/file/925846/download" TargetMode="External"/><Relationship Id="rId506" Type="http://schemas.openxmlformats.org/officeDocument/2006/relationships/hyperlink" Target="https://www.amnesty.org.uk/files/annual_report_-_english_-_air1415.pdf?VersionId=rs2Y9xqquY7uqZ5ymI6ATNyx70seijCJ" TargetMode="External"/><Relationship Id="rId688" Type="http://schemas.openxmlformats.org/officeDocument/2006/relationships/hyperlink" Target="https://www.voanews.com/east-asia-pacific/thousands-march-australia-anti-racism-rallies" TargetMode="External"/><Relationship Id="rId853" Type="http://schemas.openxmlformats.org/officeDocument/2006/relationships/hyperlink" Target="https://civicus.org/documents/SOCS2021Part1.pdf" TargetMode="External"/><Relationship Id="rId895" Type="http://schemas.openxmlformats.org/officeDocument/2006/relationships/hyperlink" Target="https://www.foxnews.com/us/durham-city-council-approves-reparations-resolution-enslaved-people" TargetMode="External"/><Relationship Id="rId909" Type="http://schemas.openxmlformats.org/officeDocument/2006/relationships/hyperlink" Target="https://www.elysee.fr/emmanuel-macron/2018/11/23/remise-du-rapport-savoy-sarr-sur-la-restitution-du-patrimoine-africain" TargetMode="External"/><Relationship Id="rId38" Type="http://schemas.openxmlformats.org/officeDocument/2006/relationships/hyperlink" Target="https://www.oas.org/en/iachr/afro-descendants/docs/pdf/afros_2011_eng.pdf" TargetMode="External"/><Relationship Id="rId103" Type="http://schemas.openxmlformats.org/officeDocument/2006/relationships/hyperlink" Target="https://www.ohchr.org/EN/NewsEvents/Pages/DisplayNews.aspx?NewsID=25916&amp;LangID=E" TargetMode="External"/><Relationship Id="rId310" Type="http://schemas.openxmlformats.org/officeDocument/2006/relationships/hyperlink" Target="https://www.nyulawreview.org/online-features/dirty-data-bad-predictions-how-civil-rights-violations-impact-police-data-predictive-policing-systems-and-justice/" TargetMode="External"/><Relationship Id="rId492" Type="http://schemas.openxmlformats.org/officeDocument/2006/relationships/hyperlink" Target="https://www.amnestyusa.org/wp-content/uploads/2015/06/aiusa_deadlyforcereportjune2015-1.pdf" TargetMode="External"/><Relationship Id="rId548" Type="http://schemas.openxmlformats.org/officeDocument/2006/relationships/hyperlink" Target="https://www.abc.es/espana/madrid/abci-criticas-doble-rasero-gobierno-manifestacion-contra-racismo-y-protestas-nunez-balboa-202006081202_noticia.html?ref=https:%2F%2Fwww.google.com%2F" TargetMode="External"/><Relationship Id="rId713" Type="http://schemas.openxmlformats.org/officeDocument/2006/relationships/hyperlink" Target="https://www.hrw.org/fr/news/2020/06/30/les-etats-unis-commettent-les-memes-abus-quils-condamnent-letranger" TargetMode="External"/><Relationship Id="rId755" Type="http://schemas.openxmlformats.org/officeDocument/2006/relationships/hyperlink" Target="https://www.ohchr.org/Documents/Issues/PublicAffairs/GuidelinesRightParticipatePublicAffairs_%20web.pdf" TargetMode="External"/><Relationship Id="rId797" Type="http://schemas.openxmlformats.org/officeDocument/2006/relationships/hyperlink" Target="https://www.theguardian.com/world/2021/may/18/rijksmuseum-slavery-exhibition-confronts-cruelty-of-dutch-trade" TargetMode="External"/><Relationship Id="rId920" Type="http://schemas.openxmlformats.org/officeDocument/2006/relationships/hyperlink" Target="https://www.washingtonpost.com/gdpr-consent/?next_url=https%3a%2f%2fwww.washingtonpost.com%2fnews%2fgrade-point%2fwp%2f2016%2f09%2f02%2fnow-is-the-time-descendants-respond-to-georgetowns-efforts-to-confront-the-legacy-of-slavery%2f" TargetMode="External"/><Relationship Id="rId91" Type="http://schemas.openxmlformats.org/officeDocument/2006/relationships/hyperlink" Target="https://www.ama-assn.org/delivering-care/health-equity/ama-racism-threat-public-health" TargetMode="External"/><Relationship Id="rId145" Type="http://schemas.openxmlformats.org/officeDocument/2006/relationships/hyperlink" Target="https://www.oas.org/en/iachr/afro-descendants/docs/pdf/afros_2011_eng.pdf" TargetMode="External"/><Relationship Id="rId187" Type="http://schemas.openxmlformats.org/officeDocument/2006/relationships/hyperlink" Target="https://www.oas.org/en/iachr/afro-descendants/docs/pdf/afros_2011_eng.pdf" TargetMode="External"/><Relationship Id="rId352" Type="http://schemas.openxmlformats.org/officeDocument/2006/relationships/hyperlink" Target="https://edition.cnn.com/2016/07/28/asia/indonesia-drug-executions/index.html" TargetMode="External"/><Relationship Id="rId394" Type="http://schemas.openxmlformats.org/officeDocument/2006/relationships/hyperlink" Target="https://www.ohchr.org/EN/NewsEvents/Pages/DisplayNews.aspx?NewsID=27016&amp;LangID=E" TargetMode="External"/><Relationship Id="rId408" Type="http://schemas.openxmlformats.org/officeDocument/2006/relationships/hyperlink" Target="https://assets.publishing.service.gov.uk/government/uploads/system/uploads/attachment_%20data/file/655401/Report_of_Angiolini_Review_ISBN_Accessible.pdf" TargetMode="External"/><Relationship Id="rId615" Type="http://schemas.openxmlformats.org/officeDocument/2006/relationships/hyperlink" Target="https://www.amnesty.org/download/Documents/AMR5132382020ENGLISH.PDF" TargetMode="External"/><Relationship Id="rId822" Type="http://schemas.openxmlformats.org/officeDocument/2006/relationships/hyperlink" Target="https://www.ardi-ep.eu/inaugural-european-parliament-commemoration-of-the-european-day-for-the-abolition-of-the-slave-trade/" TargetMode="External"/><Relationship Id="rId212" Type="http://schemas.openxmlformats.org/officeDocument/2006/relationships/hyperlink" Target="https://www.cepal.org/en/publications/45202-people-african-descent-latin-america-and-caribbean-developing-indicators-measure" TargetMode="External"/><Relationship Id="rId254" Type="http://schemas.openxmlformats.org/officeDocument/2006/relationships/hyperlink" Target="https://newsarchive.ohchr.org/en/NewsEvents/Pages/DisplayNews.aspx?NewsID=13164&amp;LangID=E" TargetMode="External"/><Relationship Id="rId657" Type="http://schemas.openxmlformats.org/officeDocument/2006/relationships/hyperlink" Target="https://www.amnesty.org.uk/press-releases/northern-ireland-amnesty-welcomes-new-ombudsman-investigation-policing-black-lives" TargetMode="External"/><Relationship Id="rId699" Type="http://schemas.openxmlformats.org/officeDocument/2006/relationships/hyperlink" Target="https://www.europarl.europa.eu/doceo/document/TA-9-2020-0173_FR.html" TargetMode="External"/><Relationship Id="rId864" Type="http://schemas.openxmlformats.org/officeDocument/2006/relationships/hyperlink" Target="https://www.edinburgh.gov.uk/news/article/13127/edinburgh-slavery-and-colonialism-legacy-review-group-an-update" TargetMode="External"/><Relationship Id="rId49" Type="http://schemas.openxmlformats.org/officeDocument/2006/relationships/hyperlink" Target="https://www12.statcan.gc.ca/census-recensement/2016/dp-pd/dt-td/Rp-fra.cfm?TABID=2&amp;LANG=F&amp;A=R&amp;APATH=3&amp;DETAIL=0&amp;DIM=0&amp;FL=A&amp;FREE=0&amp;GC=01&amp;GL=-1&amp;GID=1341679&amp;GK=1&amp;GRP=1&amp;O=D&amp;PID=110563&amp;PRID=10&amp;PTYPE=109445&amp;S=0&amp;SHOWALL=0&amp;SUB=0&amp;Temporal=2017&amp;THEME=120&amp;VID=0&amp;VNAMEE=&amp;VNAMEF=&amp;D1=0&amp;D2=0&amp;D3=0&amp;D4=0&amp;D5=0&amp;D6=0" TargetMode="External"/><Relationship Id="rId114" Type="http://schemas.openxmlformats.org/officeDocument/2006/relationships/hyperlink" Target="https://papers.ssrn.com/sol3/papers.cfm?abstract_id=3714297" TargetMode="External"/><Relationship Id="rId296" Type="http://schemas.openxmlformats.org/officeDocument/2006/relationships/hyperlink" Target="https://www.hrw.org/fr/report/2020/06/18/ils-nous-parlent-comme-des-chiens/controles-de-police-abusifs-en-france" TargetMode="External"/><Relationship Id="rId461" Type="http://schemas.openxmlformats.org/officeDocument/2006/relationships/hyperlink" Target="https://www.npr.org/2020/06/22/881814431/how-recommendations-of-an-obama-task-force-have-and-havent-changed-u-s-policing?t=1624022729339" TargetMode="External"/><Relationship Id="rId517" Type="http://schemas.openxmlformats.org/officeDocument/2006/relationships/hyperlink" Target="https://cespad.org.hn/2020/07/21/alerta-policia-hondurena-reprime-protesta-de-comunidad-garifunas-y-afecta-gravemente-a-una-nina/" TargetMode="External"/><Relationship Id="rId559" Type="http://schemas.openxmlformats.org/officeDocument/2006/relationships/hyperlink" Target="https://www.justice.gov/opa/pr/over-300-people-facing-federal-charges-crimes-committed-during-nationwide-demonstrations" TargetMode="External"/><Relationship Id="rId724" Type="http://schemas.openxmlformats.org/officeDocument/2006/relationships/hyperlink" Target="https://rm.coe.int/lutter-contre-le-racisme-et-la-discrimination-raciale-a-l-egard-des-pe/1680a1c0d2" TargetMode="External"/><Relationship Id="rId766" Type="http://schemas.openxmlformats.org/officeDocument/2006/relationships/hyperlink" Target="https://www.ohchr.org/fr/instruments-mechanisms/instruments/code-conduct-law-enforcement-officials" TargetMode="External"/><Relationship Id="rId931" Type="http://schemas.openxmlformats.org/officeDocument/2006/relationships/hyperlink" Target="https://www.gla.ac.uk/media/Media_607547_smxx.pdf" TargetMode="External"/><Relationship Id="rId60" Type="http://schemas.openxmlformats.org/officeDocument/2006/relationships/hyperlink" Target="https://uploads-ssl.webflow.com/5f5bdc0f30fe4b120448a029/5f973b076be4cadc5045fad3_An%20Avoidable%20Crisis.pdf" TargetMode="External"/><Relationship Id="rId156" Type="http://schemas.openxmlformats.org/officeDocument/2006/relationships/hyperlink" Target="https://openknowledge.worldbank.org/handle/10986/30201" TargetMode="External"/><Relationship Id="rId198" Type="http://schemas.openxmlformats.org/officeDocument/2006/relationships/hyperlink" Target="https://openknowledge.worldbank.org/handle/10986/30201" TargetMode="External"/><Relationship Id="rId321" Type="http://schemas.openxmlformats.org/officeDocument/2006/relationships/hyperlink" Target="https://www.sentencingproject.org/publications/un-report-on-racial-disparities/" TargetMode="External"/><Relationship Id="rId363" Type="http://schemas.openxmlformats.org/officeDocument/2006/relationships/hyperlink" Target="https://www.undocs.org/A/HRC/29/36" TargetMode="External"/><Relationship Id="rId419" Type="http://schemas.openxmlformats.org/officeDocument/2006/relationships/hyperlink" Target="https://www.ohchr.org/Documents/ProfessionalInterest/UseOfForceAndFirearms.pdf" TargetMode="External"/><Relationship Id="rId570" Type="http://schemas.openxmlformats.org/officeDocument/2006/relationships/hyperlink" Target="https://www.europarl.europa.eu/doceo/document/TA-9-2020-0173_EN.html" TargetMode="External"/><Relationship Id="rId626" Type="http://schemas.openxmlformats.org/officeDocument/2006/relationships/hyperlink" Target="https://www.amnesty.org/fr/documents/amr51/2807/2020/fr/" TargetMode="External"/><Relationship Id="rId223" Type="http://schemas.openxmlformats.org/officeDocument/2006/relationships/hyperlink" Target="https://www.europarl.europa.eu/doceo/document/TA-8-2019-0239_FR.html" TargetMode="External"/><Relationship Id="rId430" Type="http://schemas.openxmlformats.org/officeDocument/2006/relationships/hyperlink" Target="https://www.theatlantic.com/ideas/archive/2021/04/what-was-different-time/618735/" TargetMode="External"/><Relationship Id="rId668" Type="http://schemas.openxmlformats.org/officeDocument/2006/relationships/hyperlink" Target="https://time.com/5845981/new-zealand-george-floyd/" TargetMode="External"/><Relationship Id="rId833" Type="http://schemas.openxmlformats.org/officeDocument/2006/relationships/hyperlink" Target="https://www.greeneking.co.uk/newsroom/latest-news/new-partnership-announced-between-greene-king-and-the-international-slavery-museum/" TargetMode="External"/><Relationship Id="rId875" Type="http://schemas.openxmlformats.org/officeDocument/2006/relationships/hyperlink" Target="http://celac.cubaminrex.cu/sites/default/files/ficheros/esclavitud_final.pdf" TargetMode="External"/><Relationship Id="rId18" Type="http://schemas.openxmlformats.org/officeDocument/2006/relationships/hyperlink" Target="https://fra.europa.eu/en/publication/2020/fundamental-rights-report-2020" TargetMode="External"/><Relationship Id="rId265" Type="http://schemas.openxmlformats.org/officeDocument/2006/relationships/hyperlink" Target="https://www.defenseurdesdroits.fr/fr/actus/actualites/relations-policepopulation-le-defenseur-des-droits-publie-une-enquete-sur-les" TargetMode="External"/><Relationship Id="rId472" Type="http://schemas.openxmlformats.org/officeDocument/2006/relationships/hyperlink" Target="https://committees.parliament.uk/publications/3376/documents/32359/default/" TargetMode="External"/><Relationship Id="rId528" Type="http://schemas.openxmlformats.org/officeDocument/2006/relationships/hyperlink" Target="https://covid19.inclo.net/2020/06/23/canada-anti-lockdown-protests-and-anti-racism-marches/" TargetMode="External"/><Relationship Id="rId735" Type="http://schemas.openxmlformats.org/officeDocument/2006/relationships/hyperlink" Target="https://spcommreports.ohchr.org/TMResultsBase/DownLoadPublicCommunicationFile?gId=24100" TargetMode="External"/><Relationship Id="rId900" Type="http://schemas.openxmlformats.org/officeDocument/2006/relationships/hyperlink" Target="https://www.washingtonpost.com/archive/politics/2005/06/20/seeking-more-than-apologies-for-slavery/cff95386-8fbf-417b-aae0-bdb85f1f1a97/" TargetMode="External"/><Relationship Id="rId125" Type="http://schemas.openxmlformats.org/officeDocument/2006/relationships/hyperlink" Target="https://www.enar-eu.org/IMG/pdf/sr_key_findings-2.pdf" TargetMode="External"/><Relationship Id="rId167" Type="http://schemas.openxmlformats.org/officeDocument/2006/relationships/hyperlink" Target="https://www.insee.fr/fr/information/2108548" TargetMode="External"/><Relationship Id="rId332" Type="http://schemas.openxmlformats.org/officeDocument/2006/relationships/hyperlink" Target="https://www.ohchr.org/EN/NewsEvents/Pages/DisplayNews.aspx?NewsID=26742&amp;LangID=E" TargetMode="External"/><Relationship Id="rId374" Type="http://schemas.openxmlformats.org/officeDocument/2006/relationships/hyperlink" Target="https://www.ohchr.org/fr/documents/reports/ahrc4753-promotion-and-protection-human-rights-and-fundamental-freedoms-africans" TargetMode="External"/><Relationship Id="rId581" Type="http://schemas.openxmlformats.org/officeDocument/2006/relationships/hyperlink" Target="https://www.ohchr.org/EN/NewsEvents/Pages/DisplayNews.aspx?NewsID=25922&amp;LangID=E" TargetMode="External"/><Relationship Id="rId777" Type="http://schemas.openxmlformats.org/officeDocument/2006/relationships/hyperlink" Target="https://www.congress.gov/bill/117th-congress/house-bill/40/all-actions?q=%7B%22search%22%3A%5B%22reparations%22%5D%7D&amp;s=3&amp;r=2" TargetMode="External"/><Relationship Id="rId71" Type="http://schemas.openxmlformats.org/officeDocument/2006/relationships/hyperlink" Target="https://rm.coe.int/rapport-de-l-ecri-sur-l-allemagne-sixieme-cycle-de-monitoring/16809ce4c1" TargetMode="External"/><Relationship Id="rId234" Type="http://schemas.openxmlformats.org/officeDocument/2006/relationships/hyperlink" Target="https://repositorio.cepal.org/bitstream/handle/11362/44387/1/S1800725_en.pdf" TargetMode="External"/><Relationship Id="rId637" Type="http://schemas.openxmlformats.org/officeDocument/2006/relationships/hyperlink" Target="https://theintercept.com/2020/07/09/twitter-dataminr-police-spy-surveillance-black-lives-matter-protests/" TargetMode="External"/><Relationship Id="rId679" Type="http://schemas.openxmlformats.org/officeDocument/2006/relationships/hyperlink" Target="https://www.accessnow.org/standing-with-black-lives-matter" TargetMode="External"/><Relationship Id="rId802" Type="http://schemas.openxmlformats.org/officeDocument/2006/relationships/hyperlink" Target="https://www.congress.gov/bill/110th-congress/house-resolution/194/text" TargetMode="External"/><Relationship Id="rId844" Type="http://schemas.openxmlformats.org/officeDocument/2006/relationships/hyperlink" Target="https://www.whitehouse.gov/briefing-room/presidential-actions/2021/06/18/a-proclamation-on-juneteenth-day-of-observance-2021/" TargetMode="External"/><Relationship Id="rId886" Type="http://schemas.openxmlformats.org/officeDocument/2006/relationships/hyperlink" Target="https://www.theguardian.com/news/2020/oct/06/long-fight-for-slavery-reparations-evanston-chicago" TargetMode="External"/><Relationship Id="rId2" Type="http://schemas.openxmlformats.org/officeDocument/2006/relationships/hyperlink" Target="https://www.ohchr.org/fr/stories/2021/04/verdict-testament-courage-perseverance-and-justice" TargetMode="External"/><Relationship Id="rId29" Type="http://schemas.openxmlformats.org/officeDocument/2006/relationships/hyperlink" Target="https://openknowledge.worldbank.org/handle/10986/30201" TargetMode="External"/><Relationship Id="rId276" Type="http://schemas.openxmlformats.org/officeDocument/2006/relationships/hyperlink" Target="https://www.aclu.org/issues/juvenile-justice/school-prison-pipeline/school-prison-pipeline?redirect=feature/school-prison-pipeline" TargetMode="External"/><Relationship Id="rId441" Type="http://schemas.openxmlformats.org/officeDocument/2006/relationships/hyperlink" Target="https://www.ohchr.org/Documents/ProfessionalInterest/UseOfForceAndFirearms.pdf" TargetMode="External"/><Relationship Id="rId483" Type="http://schemas.openxmlformats.org/officeDocument/2006/relationships/hyperlink" Target="https://www.statcan.gc.ca/fr/apercu/smr09/smr09_106" TargetMode="External"/><Relationship Id="rId539" Type="http://schemas.openxmlformats.org/officeDocument/2006/relationships/hyperlink" Target="https://thediplomat.com/2020/06/japan-holds-anti-racism-rally-protesting-homegrown-police-brutality-in-solidarity-with-black-lives-matter/" TargetMode="External"/><Relationship Id="rId690" Type="http://schemas.openxmlformats.org/officeDocument/2006/relationships/hyperlink" Target="https://www.independent.co.uk/news/uk/home-news/robert-milligan-statue-docklands-removed-slave-trader-west-india-quay-a9557686.html" TargetMode="External"/><Relationship Id="rId704" Type="http://schemas.openxmlformats.org/officeDocument/2006/relationships/hyperlink" Target="https://www.article19.org/resources/us-authorities-must-protect-protesters-and-journalists-end-use-of-excessive-force/" TargetMode="External"/><Relationship Id="rId746" Type="http://schemas.openxmlformats.org/officeDocument/2006/relationships/hyperlink" Target="https://immigrationimpact.com/2020/06/25/black-lives-matter-ice/" TargetMode="External"/><Relationship Id="rId911" Type="http://schemas.openxmlformats.org/officeDocument/2006/relationships/hyperlink" Target="https://www.auswaertiges-amt.de/en/newsroom/news/-/2462510" TargetMode="External"/><Relationship Id="rId40" Type="http://schemas.openxmlformats.org/officeDocument/2006/relationships/hyperlink" Target="https://www150.statcan.gc.ca/n1/pub/89-657-x/89-657-x2019002-fra.htm" TargetMode="External"/><Relationship Id="rId136" Type="http://schemas.openxmlformats.org/officeDocument/2006/relationships/hyperlink" Target="https://documents-dds-ny.un.org/doc/UNDOC/GEN/G17/053/81/pdf/G1705381.pdf?OpenElement" TargetMode="External"/><Relationship Id="rId178" Type="http://schemas.openxmlformats.org/officeDocument/2006/relationships/hyperlink" Target="https://www.ethnicity-facts-figures.service.gov.uk/" TargetMode="External"/><Relationship Id="rId301" Type="http://schemas.openxmlformats.org/officeDocument/2006/relationships/hyperlink" Target="https://inquirycommission.org/website/wp-content/uploads/2021/04/Commission-Report-15-April.pdf" TargetMode="External"/><Relationship Id="rId343" Type="http://schemas.openxmlformats.org/officeDocument/2006/relationships/hyperlink" Target="https://www.gov.uk/government/publications/black-asian-and-minority-ethnic-disproportionality-in-the-criminal-justice-system-in-england-and-wales" TargetMode="External"/><Relationship Id="rId550" Type="http://schemas.openxmlformats.org/officeDocument/2006/relationships/hyperlink" Target="https://www.rts.ch/info/monde/11370418-george-floyd-reveille-la-memoire-des-violences-policieres-dans-le-monde.html" TargetMode="External"/><Relationship Id="rId788" Type="http://schemas.openxmlformats.org/officeDocument/2006/relationships/hyperlink" Target="https://www.nytimes.com/2020/06/09/world/europe/king-leopold-statue-antwerp.html" TargetMode="External"/><Relationship Id="rId82" Type="http://schemas.openxmlformats.org/officeDocument/2006/relationships/hyperlink" Target="https://rm.coe.int/combating-racism-and-racial-discrimination,-against-people-of-african-d/1680a1c0b6" TargetMode="External"/><Relationship Id="rId203" Type="http://schemas.openxmlformats.org/officeDocument/2006/relationships/hyperlink" Target="https://eur-lex.europa.eu/legal-content/FR/TXT/?uri=LEGISSUM%3Al33178" TargetMode="External"/><Relationship Id="rId385" Type="http://schemas.openxmlformats.org/officeDocument/2006/relationships/hyperlink" Target="https://www.washingtonpost.com/national/multi-million-settlement-reached-in-breonna-taylor-lawsuit/2020/09/15/f2a57fa4-f75a-11ea-85f7-5941188a98cd_story.html" TargetMode="External"/><Relationship Id="rId592" Type="http://schemas.openxmlformats.org/officeDocument/2006/relationships/hyperlink" Target="https://netpol.org/black-lives-matter/" TargetMode="External"/><Relationship Id="rId606" Type="http://schemas.openxmlformats.org/officeDocument/2006/relationships/hyperlink" Target="https://spcommreports.ohchr.org/TMResultsBase/DownLoadPublicCommunicationFile?gId=25802" TargetMode="External"/><Relationship Id="rId648" Type="http://schemas.openxmlformats.org/officeDocument/2006/relationships/hyperlink" Target="https://civicus.org/documents/SOCS2021Part1.pdf" TargetMode="External"/><Relationship Id="rId813" Type="http://schemas.openxmlformats.org/officeDocument/2006/relationships/hyperlink" Target="https://www.ashevillenc.gov/news/asheville-city-council-makes-initial-2-1-million-in-reparations-funding-appropriation/wealth/" TargetMode="External"/><Relationship Id="rId855" Type="http://schemas.openxmlformats.org/officeDocument/2006/relationships/hyperlink" Target="https://www.london.gov.uk/press-releases/mayoral/mayor-unveils-commission-to-review-diversity" TargetMode="External"/><Relationship Id="rId245" Type="http://schemas.openxmlformats.org/officeDocument/2006/relationships/hyperlink" Target="https://rm.coe.int/lutter-contre-le-racisme-et-la-discrimination-raciale-a-l-egard-des-pe/1680a1c0d2" TargetMode="External"/><Relationship Id="rId287" Type="http://schemas.openxmlformats.org/officeDocument/2006/relationships/hyperlink" Target="https://www.apa.org/pubs/journals/releases/psp-pspi0000092.pdf" TargetMode="External"/><Relationship Id="rId410" Type="http://schemas.openxmlformats.org/officeDocument/2006/relationships/hyperlink" Target="https://www.policeconduct.gov.uk/news/iopc-announces-thematic-focus-race-discrimination-investigations" TargetMode="External"/><Relationship Id="rId452" Type="http://schemas.openxmlformats.org/officeDocument/2006/relationships/hyperlink" Target="https://www.hrw.org/sites/default/files/media_2020/06/france0620_web_1.pdf" TargetMode="External"/><Relationship Id="rId494" Type="http://schemas.openxmlformats.org/officeDocument/2006/relationships/hyperlink" Target="https://www.ohchr.org/fr/publications/united-nations-human-rights-guidance-less-lethal-weapons-law-enforcement" TargetMode="External"/><Relationship Id="rId508" Type="http://schemas.openxmlformats.org/officeDocument/2006/relationships/hyperlink" Target="https://www.france24.com/fr/20200613-france-manifestation-contre-racisme-grandes-villes-francaises-adama-traore-violences-policieres" TargetMode="External"/><Relationship Id="rId715" Type="http://schemas.openxmlformats.org/officeDocument/2006/relationships/hyperlink" Target="https://secureservercdn.net/50.62.198.70/561.6fe.myftpupload.com/wp-content/uploads/2020/11/Britain-is-not-innocent-web-version.pdf" TargetMode="External"/><Relationship Id="rId897" Type="http://schemas.openxmlformats.org/officeDocument/2006/relationships/hyperlink" Target="https://www.providenceri.gov/mayor-jorge-elorza-announces-truth-telling-reconciliation-municipal-reparations-process-2/" TargetMode="External"/><Relationship Id="rId922" Type="http://schemas.openxmlformats.org/officeDocument/2006/relationships/hyperlink" Target="https://www.nytimes.com/2019/04/12/us/georgetown-reparations.html" TargetMode="External"/><Relationship Id="rId105" Type="http://schemas.openxmlformats.org/officeDocument/2006/relationships/hyperlink" Target="https://ainowinstitute.org/discriminatingsystems.pdf" TargetMode="External"/><Relationship Id="rId147" Type="http://schemas.openxmlformats.org/officeDocument/2006/relationships/hyperlink" Target="https://rm.coe.int/rapport-annuel-ecri-2019/16809ca6d4" TargetMode="External"/><Relationship Id="rId312" Type="http://schemas.openxmlformats.org/officeDocument/2006/relationships/hyperlink" Target="https://www.ipea.gov.br/portal/images/stories/PDFs/relatoriopesquisa/150325_relatorio_aplicacao_%20penas.pdf" TargetMode="External"/><Relationship Id="rId354" Type="http://schemas.openxmlformats.org/officeDocument/2006/relationships/hyperlink" Target="https://bjs.ojp.gov/content/pub/pdf/cpp15.pdf" TargetMode="External"/><Relationship Id="rId757" Type="http://schemas.openxmlformats.org/officeDocument/2006/relationships/hyperlink" Target="https://www.un.org/sg/sites/www.un.org.sg/files/atoms/files/La_plus_haute_aspiration_Un_appel_a_l%27action_en_faveur_des_droits_humains_French.pdf" TargetMode="External"/><Relationship Id="rId799" Type="http://schemas.openxmlformats.org/officeDocument/2006/relationships/hyperlink" Target="https://www.legifrance.gouv.fr/jorf/id/JORFTEXT000000405369/" TargetMode="External"/><Relationship Id="rId51" Type="http://schemas.openxmlformats.org/officeDocument/2006/relationships/hyperlink" Target="https://www.ohchr.org/sites/default/files/Documents/Issues/Racism/COVID-19_and_Racial_Discrimination_FR.pdf" TargetMode="External"/><Relationship Id="rId93" Type="http://schemas.openxmlformats.org/officeDocument/2006/relationships/hyperlink" Target="https://www.ohchr.org/sites/default/files/Documents/Issues/Racism/COVID-19_and_Racial_Discrimination_FR.pdf" TargetMode="External"/><Relationship Id="rId189" Type="http://schemas.openxmlformats.org/officeDocument/2006/relationships/hyperlink" Target="https://mkcentrum.se/wp-content/uploads/2014/12/Afrofobi-20140203-executive-summary.pdf" TargetMode="External"/><Relationship Id="rId396" Type="http://schemas.openxmlformats.org/officeDocument/2006/relationships/hyperlink" Target="https://www.justice.gov/opa/pr/attorney-general-merrick-b-garland-announces-investigation-city-minneapolis-minnesota-and" TargetMode="External"/><Relationship Id="rId561" Type="http://schemas.openxmlformats.org/officeDocument/2006/relationships/hyperlink" Target="https://www.ohchr.org/Documents/Issues/CivicSpace/CivicSpaceandCovid.pdf" TargetMode="External"/><Relationship Id="rId617" Type="http://schemas.openxmlformats.org/officeDocument/2006/relationships/hyperlink" Target="https://phr.org/our-work/resources/a-targeted-attack-on-the-bronx/" TargetMode="External"/><Relationship Id="rId659" Type="http://schemas.openxmlformats.org/officeDocument/2006/relationships/hyperlink" Target="https://www.theguardian.com/world/2021/apr/22/bristol-police-to-pay-damages-for-arrest-of-activists-using-covid-powers?CMP=Share_iOSApp_Other" TargetMode="External"/><Relationship Id="rId824" Type="http://schemas.openxmlformats.org/officeDocument/2006/relationships/hyperlink" Target="https://www.elysee.fr/emmanuel-macron/2021/01/20/remise-du-rapport-sur-la-memoire-de-la-colonisation-et-de-la-guerre-dalgerie" TargetMode="External"/><Relationship Id="rId866" Type="http://schemas.openxmlformats.org/officeDocument/2006/relationships/hyperlink" Target="https://www.oriel.ox.ac.uk/about-college/news-events/news/decisions-made-college-following-completion-independent-commission" TargetMode="External"/><Relationship Id="rId214" Type="http://schemas.openxmlformats.org/officeDocument/2006/relationships/hyperlink" Target="https://fra.europa.eu/sites/default/files/fra_uploads/fra-2017-fundamental-rights-report-2017_en.pdf" TargetMode="External"/><Relationship Id="rId256" Type="http://schemas.openxmlformats.org/officeDocument/2006/relationships/hyperlink" Target="https://rm.coe.int/ecri-report-on-germany-sixth-monitoring-cycle-/16809ce4be" TargetMode="External"/><Relationship Id="rId298" Type="http://schemas.openxmlformats.org/officeDocument/2006/relationships/hyperlink" Target="http://www.oas.org/en/iachr/reports/pdfs/PoliceUseOfForceAfrosUSA.pdf" TargetMode="External"/><Relationship Id="rId421" Type="http://schemas.openxmlformats.org/officeDocument/2006/relationships/hyperlink" Target="https://ohchr.org/Documents/Publications/MinnesotaProtocol.pdf" TargetMode="External"/><Relationship Id="rId463" Type="http://schemas.openxmlformats.org/officeDocument/2006/relationships/hyperlink" Target="https://www.justice.gov/opa/pr/attorney-general-holder-announces-federal-law-enforcement-agencies-adopt-stricter-policies-0;%20" TargetMode="External"/><Relationship Id="rId519" Type="http://schemas.openxmlformats.org/officeDocument/2006/relationships/hyperlink" Target="https://elpais.com/espana/madrid/2020-06-07/el-no-puedo-respirar-de-las-miles-de-personas-que-se-han-manifestado-en-madrid-contra-el-racismo.html" TargetMode="External"/><Relationship Id="rId670" Type="http://schemas.openxmlformats.org/officeDocument/2006/relationships/hyperlink" Target="https://www.icnl.org/post/analysis/u-s-current-trend-new-wave-of-legislation-targeting-black-lives-matter-protesters" TargetMode="External"/><Relationship Id="rId116" Type="http://schemas.openxmlformats.org/officeDocument/2006/relationships/hyperlink" Target="https://www.cepal.org/sites/default/files/publication/files/46191/S2000226_es.pdf" TargetMode="External"/><Relationship Id="rId158" Type="http://schemas.openxmlformats.org/officeDocument/2006/relationships/hyperlink" Target="https://spcommreports.ohchr.org/TMResultsBase/DownLoadPublicCommunicationFile?gId=3275" TargetMode="External"/><Relationship Id="rId323" Type="http://schemas.openxmlformats.org/officeDocument/2006/relationships/hyperlink" Target="https://innocenceproject.org/what-wrongful-convictions-teach-us-about-racial-inequality/" TargetMode="External"/><Relationship Id="rId530" Type="http://schemas.openxmlformats.org/officeDocument/2006/relationships/hyperlink" Target="https://www.cbc.ca/news/canada/ottawa/ottawa-no-peace-until-justice-1.5600508" TargetMode="External"/><Relationship Id="rId726" Type="http://schemas.openxmlformats.org/officeDocument/2006/relationships/hyperlink" Target="https://rm.coe.int/rapport-annuel-ecri-2019/16809ca6d4" TargetMode="External"/><Relationship Id="rId768" Type="http://schemas.openxmlformats.org/officeDocument/2006/relationships/hyperlink" Target="https://achpr.org/public/Document/file/Any/achpr_guidelines_on_policing_assemblies_eng_fre_por_ara.pdf" TargetMode="External"/><Relationship Id="rId933" Type="http://schemas.openxmlformats.org/officeDocument/2006/relationships/hyperlink" Target="https://pdba.georgetown.edu/Constitutions/Ecuador/ecuador98.html" TargetMode="External"/><Relationship Id="rId20" Type="http://schemas.openxmlformats.org/officeDocument/2006/relationships/hyperlink" Target="https://repositorio.cepal.org/bitstream/handle/11362/44387/1/S1800725_en.pdf" TargetMode="External"/><Relationship Id="rId62" Type="http://schemas.openxmlformats.org/officeDocument/2006/relationships/hyperlink" Target="https://www.oas.org/en/iachr/reports/pdfs/PoliceUseOfForceAfrosUSA.pdf" TargetMode="External"/><Relationship Id="rId365" Type="http://schemas.openxmlformats.org/officeDocument/2006/relationships/hyperlink" Target="https://missingmigrants.iom.int/region/mediterranean" TargetMode="External"/><Relationship Id="rId572" Type="http://schemas.openxmlformats.org/officeDocument/2006/relationships/hyperlink" Target="https://spcommreports.ohchr.org/TMResultsBase/DownLoadPublicCommunicationFile?gId=25589" TargetMode="External"/><Relationship Id="rId628" Type="http://schemas.openxmlformats.org/officeDocument/2006/relationships/hyperlink" Target="https://pen.org/press-release/pen-america-signs-letter-condemning-federal-law-enforcement-targeting-protesters/" TargetMode="External"/><Relationship Id="rId835" Type="http://schemas.openxmlformats.org/officeDocument/2006/relationships/hyperlink" Target="https://www.bankofengland.co.uk/news/2020/june/statement-in-relation-to-the-banks-historical-links-to-the-slave-trade" TargetMode="External"/><Relationship Id="rId225" Type="http://schemas.openxmlformats.org/officeDocument/2006/relationships/hyperlink" Target="https://www.whitehouse.gov/briefing-room/presidential-actions/2021/01/20/executive-order-advancing-racial-equity-and-support-for-underserved-communities-through-the-federal-government/" TargetMode="External"/><Relationship Id="rId267" Type="http://schemas.openxmlformats.org/officeDocument/2006/relationships/hyperlink" Target="https://libertyinvestigates.org.uk/articles/bame-people-disproportionately-targeted-by-coronavirus-fines/" TargetMode="External"/><Relationship Id="rId432" Type="http://schemas.openxmlformats.org/officeDocument/2006/relationships/hyperlink" Target="https://www.hrw.org/sites/default/files/report_pdf/brazil0716web_1.pdf" TargetMode="External"/><Relationship Id="rId474" Type="http://schemas.openxmlformats.org/officeDocument/2006/relationships/hyperlink" Target="https://monitor.civicus.org/updates/2020/07/13/militarised-police-continue-use-excessive-force-against-protesters/" TargetMode="External"/><Relationship Id="rId877" Type="http://schemas.openxmlformats.org/officeDocument/2006/relationships/hyperlink" Target="https://caribbeanempowerment.wordpress.com/2021/03/12/reparations-issues/" TargetMode="External"/><Relationship Id="rId127" Type="http://schemas.openxmlformats.org/officeDocument/2006/relationships/hyperlink" Target="https://news.un.org/fr/story/2013/11/278372-lonu-denonce-les-attaques-racistes-visant-la-ministre-francaise-de-la-justice" TargetMode="External"/><Relationship Id="rId681" Type="http://schemas.openxmlformats.org/officeDocument/2006/relationships/hyperlink" Target="https://www.europarl.europa.eu/doceo/document/TA-9-2020-0173_FR.html" TargetMode="External"/><Relationship Id="rId737" Type="http://schemas.openxmlformats.org/officeDocument/2006/relationships/hyperlink" Target="https://www.oas.org/es/CIDH/jsForm/?File=/es/cidh/prensa/comunicados/2021/151.asp" TargetMode="External"/><Relationship Id="rId779" Type="http://schemas.openxmlformats.org/officeDocument/2006/relationships/hyperlink" Target="https://msa.maryland.gov/lynching-truth-reconciliation/pdf/ch_41_hb0307t.pdf" TargetMode="External"/><Relationship Id="rId902" Type="http://schemas.openxmlformats.org/officeDocument/2006/relationships/hyperlink" Target="https://www.hrw.org/sites/default/files/media_2020/11/tulsa-reparations0520_web.pdf" TargetMode="External"/><Relationship Id="rId31" Type="http://schemas.openxmlformats.org/officeDocument/2006/relationships/hyperlink" Target="https://files.epi.org/pdf/142084.pdf" TargetMode="External"/><Relationship Id="rId73" Type="http://schemas.openxmlformats.org/officeDocument/2006/relationships/hyperlink" Target="http://www.oas.org/en/iachr/afro-descendants/docs/pdf/afros_2011_eng.pdf" TargetMode="External"/><Relationship Id="rId169" Type="http://schemas.openxmlformats.org/officeDocument/2006/relationships/hyperlink" Target="https://rm.coe.int/cinquieme-rapport-sur-la-france/16808b572e" TargetMode="External"/><Relationship Id="rId334" Type="http://schemas.openxmlformats.org/officeDocument/2006/relationships/hyperlink" Target="https://www.ohchr.org/EN/NewsEvents/Pages/DisplayNews.aspx?NewsID=24332&amp;LangID=E" TargetMode="External"/><Relationship Id="rId376" Type="http://schemas.openxmlformats.org/officeDocument/2006/relationships/hyperlink" Target="https://www.oas.org/en/iachr/reports/pdfs/PoliceUseOfForceAfrosUSA.pdf" TargetMode="External"/><Relationship Id="rId541" Type="http://schemas.openxmlformats.org/officeDocument/2006/relationships/hyperlink" Target="https://www.bbc.com/mundo/noticias-52935685" TargetMode="External"/><Relationship Id="rId583" Type="http://schemas.openxmlformats.org/officeDocument/2006/relationships/hyperlink" Target="https://www.amnestyusa.org/protest-map/" TargetMode="External"/><Relationship Id="rId639" Type="http://schemas.openxmlformats.org/officeDocument/2006/relationships/hyperlink" Target="https://spcommreports.ohchr.org/TMResultsBase/DownLoadPublicCommunicationFile?gId=25589" TargetMode="External"/><Relationship Id="rId790" Type="http://schemas.openxmlformats.org/officeDocument/2006/relationships/hyperlink" Target="https://apnews.com/article/europe-netherlands-race-and-ethnicity-health-coronavirus-pandemic-76fa36f730acd05d83ebf40ffefe31df" TargetMode="External"/><Relationship Id="rId804" Type="http://schemas.openxmlformats.org/officeDocument/2006/relationships/hyperlink" Target="https://mgaleg.maryland.gov/2007RS/bills/hj/hj0004t.pdf" TargetMode="External"/><Relationship Id="rId4" Type="http://schemas.openxmlformats.org/officeDocument/2006/relationships/hyperlink" Target="https://www.aclu.org/sites/default/files/field_document/20.06.08_final_and_signed_letter_to_%20unhrc_aclu_and_ushrn.pdf" TargetMode="External"/><Relationship Id="rId180" Type="http://schemas.openxmlformats.org/officeDocument/2006/relationships/hyperlink" Target="https://www.whitehouse.gov/briefing-room/presidential-actions/2021/01/20/executive-order-advancing-racial-equity-and-support-for-underserved-communities-through-the-federal-government/" TargetMode="External"/><Relationship Id="rId236" Type="http://schemas.openxmlformats.org/officeDocument/2006/relationships/hyperlink" Target="https://www.oas.org/en/iachr/afro-descendants/docs/pdf/afros_2011_eng.pdf" TargetMode="External"/><Relationship Id="rId278" Type="http://schemas.openxmlformats.org/officeDocument/2006/relationships/hyperlink" Target="https://www.vox.com/2015/2/24/8101289/school-discipline-race" TargetMode="External"/><Relationship Id="rId401" Type="http://schemas.openxmlformats.org/officeDocument/2006/relationships/hyperlink" Target="https://www.ohchr.org/EN/Issues/Racism/Pages/Call-Implementation-HRC-Resolution-43-1.aspx" TargetMode="External"/><Relationship Id="rId443" Type="http://schemas.openxmlformats.org/officeDocument/2006/relationships/hyperlink" Target="https://www.justice.gov/crt/file/883296/download" TargetMode="External"/><Relationship Id="rId650" Type="http://schemas.openxmlformats.org/officeDocument/2006/relationships/hyperlink" Target="https://www.amnesty.org.uk/press-releases/northern-ireland-fines-imposed-peaceful-black-lives-matter-protestors-deeply" TargetMode="External"/><Relationship Id="rId846" Type="http://schemas.openxmlformats.org/officeDocument/2006/relationships/hyperlink" Target="https://twitter.com/UNHumanRights/status/1406259518753935367" TargetMode="External"/><Relationship Id="rId888" Type="http://schemas.openxmlformats.org/officeDocument/2006/relationships/hyperlink" Target="https://time.com/5887247/reparations-america-rosewood-massacre/" TargetMode="External"/><Relationship Id="rId303" Type="http://schemas.openxmlformats.org/officeDocument/2006/relationships/hyperlink" Target="https://www.aclu.org/sites/default/files/field_document/jus14-warcomeshome-text-rel1.pdf" TargetMode="External"/><Relationship Id="rId485" Type="http://schemas.openxmlformats.org/officeDocument/2006/relationships/hyperlink" Target="https://www.ethnicity-facts-figures.service.gov.uk/" TargetMode="External"/><Relationship Id="rId692" Type="http://schemas.openxmlformats.org/officeDocument/2006/relationships/hyperlink" Target="https://www.theguardian.com/uk-news/2021/may/28/statue-of-slave-trader-edward-colston-to-go-on-display-in-bristol-museum" TargetMode="External"/><Relationship Id="rId706" Type="http://schemas.openxmlformats.org/officeDocument/2006/relationships/hyperlink" Target="https://monitor.civicus.org/updates/2020/07/13/militarised-police-continue-use-excessive-force-against-protesters/" TargetMode="External"/><Relationship Id="rId748" Type="http://schemas.openxmlformats.org/officeDocument/2006/relationships/hyperlink" Target="https://edition.cnn.com/2020/06/14/us/black-lives-matter-immigrants-visa-status-protest-trnd/index.html" TargetMode="External"/><Relationship Id="rId913" Type="http://schemas.openxmlformats.org/officeDocument/2006/relationships/hyperlink" Target="https://www.washingtonpost.com/religion/maryland-episcopal-church-commits-1-million-to-reparations-seed-fund/2020/09/18/bcabd4e6-f8fb-11ea-a275-1a2c2d36e1f1_story.html" TargetMode="External"/><Relationship Id="rId42" Type="http://schemas.openxmlformats.org/officeDocument/2006/relationships/hyperlink" Target="https://www.enar-eu.org/IMG/pdf/shadowreport_2016x2017_long_final_lowres.pdf" TargetMode="External"/><Relationship Id="rId84" Type="http://schemas.openxmlformats.org/officeDocument/2006/relationships/hyperlink" Target="http://www.lawrencereview.co.uk/" TargetMode="External"/><Relationship Id="rId138" Type="http://schemas.openxmlformats.org/officeDocument/2006/relationships/hyperlink" Target="https://www.gov.uk/government/publications/windrush-lessons-learned-review" TargetMode="External"/><Relationship Id="rId345" Type="http://schemas.openxmlformats.org/officeDocument/2006/relationships/hyperlink" Target="https://pubmed.ncbi.nlm.nih.gov/33011019/" TargetMode="External"/><Relationship Id="rId387" Type="http://schemas.openxmlformats.org/officeDocument/2006/relationships/hyperlink" Target="https://www.oas.org/en/iachr/reports/pdfs/Brasil2021-en.pdf" TargetMode="External"/><Relationship Id="rId510" Type="http://schemas.openxmlformats.org/officeDocument/2006/relationships/hyperlink" Target="https://www.washingtonpost.com/world/europe/assa-traore-black-lives-matter-france/2020/06/12/45c0f450-aa87-11ea-a43b-be9f6494a87d_story.html" TargetMode="External"/><Relationship Id="rId552" Type="http://schemas.openxmlformats.org/officeDocument/2006/relationships/hyperlink" Target="https://www.rts.ch/info/monde/11381085-plusieurs-milliers-de-manifestants-contre-le-racisme-a-lausanne.html" TargetMode="External"/><Relationship Id="rId594" Type="http://schemas.openxmlformats.org/officeDocument/2006/relationships/hyperlink" Target="https://www.bbc.com/news/uk-53031072" TargetMode="External"/><Relationship Id="rId608" Type="http://schemas.openxmlformats.org/officeDocument/2006/relationships/hyperlink" Target="https://nltimes.nl/2016/11/12/nearly-200-anti-zwarte-piet-protesters-arrested-rotterdam" TargetMode="External"/><Relationship Id="rId815" Type="http://schemas.openxmlformats.org/officeDocument/2006/relationships/hyperlink" Target="https://apnews.com/article/race-and-ethnicity-discrimination-north-carolina-slavery-raleigh-4e975e1c68704aae5bf3121050983c1c" TargetMode="External"/><Relationship Id="rId191" Type="http://schemas.openxmlformats.org/officeDocument/2006/relationships/hyperlink" Target="https://www.oas.org/en/iachr/afro-descendants/docs/pdf/afros_2011_eng.pdf" TargetMode="External"/><Relationship Id="rId205" Type="http://schemas.openxmlformats.org/officeDocument/2006/relationships/hyperlink" Target="https://eur-lex.europa.eu/legal-content/FR/TXT/PDF/?uri=CELEX:32000L0043&amp;from=FR" TargetMode="External"/><Relationship Id="rId247" Type="http://schemas.openxmlformats.org/officeDocument/2006/relationships/hyperlink" Target="https://www.coe.int/fr/web/european-commission-against-racism-and-intolerance/recommendation-no.2" TargetMode="External"/><Relationship Id="rId412" Type="http://schemas.openxmlformats.org/officeDocument/2006/relationships/hyperlink" Target="https://www.justice.gov/opa/pr/department-justice-announces-investigation-louisvillejefferson-county-metro-government-and" TargetMode="External"/><Relationship Id="rId857" Type="http://schemas.openxmlformats.org/officeDocument/2006/relationships/hyperlink" Target="https://metro.co.uk/2020/11/19/chicago-offers-reparations-to-african-americans-can-the-uk-get-it-13451195/?ito=cbshare" TargetMode="External"/><Relationship Id="rId899" Type="http://schemas.openxmlformats.org/officeDocument/2006/relationships/hyperlink" Target="https://www.washingtonpost.com/archive/politics/2000/03/09/in-aetnas-past-slave-owner-policies/faa58ed3-51ba-44e6-b59f-c36ae181e093/" TargetMode="External"/><Relationship Id="rId107" Type="http://schemas.openxmlformats.org/officeDocument/2006/relationships/hyperlink" Target="https://science.sciencemag.org/content/sci/366/6464/447.full.pdf" TargetMode="External"/><Relationship Id="rId289" Type="http://schemas.openxmlformats.org/officeDocument/2006/relationships/hyperlink" Target="https://www.runnymedetrust.org/uploads/publications/pdfs/EthnicProfiling-2010.pdf" TargetMode="External"/><Relationship Id="rId454" Type="http://schemas.openxmlformats.org/officeDocument/2006/relationships/hyperlink" Target="https://louisvilleky.gov/news/mayor-fischer-announces-settlement-civil-lawsuit-filed-breonna-taylors-estate" TargetMode="External"/><Relationship Id="rId496" Type="http://schemas.openxmlformats.org/officeDocument/2006/relationships/hyperlink" Target="https://www.ohchr.org/Documents/Issues/Disability/SDG-CRPD-Resource/policy-guideline-good-health.pdf" TargetMode="External"/><Relationship Id="rId661" Type="http://schemas.openxmlformats.org/officeDocument/2006/relationships/hyperlink" Target="https://www.hrlc.org.au/news/2020/6/18/australians-right-to-protest" TargetMode="External"/><Relationship Id="rId717" Type="http://schemas.openxmlformats.org/officeDocument/2006/relationships/hyperlink" Target="https://www.hrw.org/fr/news/2020/06/30/les-etats-unis-commettent-les-memes-abus-quils-condamnent-letranger" TargetMode="External"/><Relationship Id="rId759" Type="http://schemas.openxmlformats.org/officeDocument/2006/relationships/hyperlink" Target="https://www.un.org/sg/en/content/secretary-generals-remarks-the-general-assembly-observance-of-the-international-day-for-the-elimination-of-racial-discrimination-delivered" TargetMode="External"/><Relationship Id="rId924" Type="http://schemas.openxmlformats.org/officeDocument/2006/relationships/hyperlink" Target="https://www.aaihs.org/a-case-for-reparations-at-the-university-of-chicago/" TargetMode="External"/><Relationship Id="rId11" Type="http://schemas.openxmlformats.org/officeDocument/2006/relationships/hyperlink" Target="http://www.un.org/sites/un2.un.org/files/women_and_girls_of_african_descent_web.pdf" TargetMode="External"/><Relationship Id="rId53" Type="http://schemas.openxmlformats.org/officeDocument/2006/relationships/hyperlink" Target="https://fra.europa.eu/en/publication/2020/fundamental-rights-report-2020" TargetMode="External"/><Relationship Id="rId149" Type="http://schemas.openxmlformats.org/officeDocument/2006/relationships/hyperlink" Target="https://www.enar-eu.org/IMG/pdf/sr_key_findings-2.pdf" TargetMode="External"/><Relationship Id="rId314" Type="http://schemas.openxmlformats.org/officeDocument/2006/relationships/hyperlink" Target="https://www.conjur.com.br/2020-nov-24/opiniao-custodia-videoconferencia-racismo-estrutural" TargetMode="External"/><Relationship Id="rId356" Type="http://schemas.openxmlformats.org/officeDocument/2006/relationships/hyperlink" Target="https://www.washingtonpost.com/graphics/investigations/police-shootings-database/" TargetMode="External"/><Relationship Id="rId398" Type="http://schemas.openxmlformats.org/officeDocument/2006/relationships/hyperlink" Target="https://www.ohchr.org/fr/documents/reports/ahrc4753-promotion-and-protection-human-rights-and-fundamental-freedoms-africans" TargetMode="External"/><Relationship Id="rId521" Type="http://schemas.openxmlformats.org/officeDocument/2006/relationships/hyperlink" Target="https://secureservercdn.net/50.62.198.70/561.6fe.myftpupload.com/wp-content/uploads/2020/11/Britain-is-not-innocent-web-version.pdf" TargetMode="External"/><Relationship Id="rId563" Type="http://schemas.openxmlformats.org/officeDocument/2006/relationships/hyperlink" Target="https://news.un.org/en/story/2020/07/1068971" TargetMode="External"/><Relationship Id="rId619" Type="http://schemas.openxmlformats.org/officeDocument/2006/relationships/hyperlink" Target="https://secureservercdn.net/50.62.198.70/561.6fe.myftpupload.com/wp-content/uploads/2020/11/Britain-is-not-innocent-web-version.pdf" TargetMode="External"/><Relationship Id="rId770" Type="http://schemas.openxmlformats.org/officeDocument/2006/relationships/hyperlink" Target="https://www.ohchr.org/sites/default/files/Documents/Publications/MinnesotaProtocol_FR.pdf" TargetMode="External"/><Relationship Id="rId95" Type="http://schemas.openxmlformats.org/officeDocument/2006/relationships/hyperlink" Target="https://www.lawrencereview.co.uk/" TargetMode="External"/><Relationship Id="rId160" Type="http://schemas.openxmlformats.org/officeDocument/2006/relationships/hyperlink" Target="https://www.ohchr.org/EN/NewsEvents/Pages/DisplayNews.aspx?NewsID=22765" TargetMode="External"/><Relationship Id="rId216" Type="http://schemas.openxmlformats.org/officeDocument/2006/relationships/hyperlink" Target="https://www.gouvernement.fr/sites/default/files/contenu/piece-jointe/2018/03/plan_national_de_lutte_contre_la_racisme_et_lantisemitisme_2018-2020.pdf" TargetMode="External"/><Relationship Id="rId423" Type="http://schemas.openxmlformats.org/officeDocument/2006/relationships/hyperlink" Target="https://mappingpoliceviolence.org/" TargetMode="External"/><Relationship Id="rId826" Type="http://schemas.openxmlformats.org/officeDocument/2006/relationships/hyperlink" Target="https://www.auswaertiges-amt.de/en/newsroom/news/151104-namibia/276108" TargetMode="External"/><Relationship Id="rId868" Type="http://schemas.openxmlformats.org/officeDocument/2006/relationships/hyperlink" Target="https://www.nytimes.com/2020/06/24/world/europe/france-george-floyd-racism-slave-trade.html" TargetMode="External"/><Relationship Id="rId258" Type="http://schemas.openxmlformats.org/officeDocument/2006/relationships/hyperlink" Target="https://www.amnesty.org/en/latest/news/2021/01/france-systemic-police-discrimination-requires-reforms/" TargetMode="External"/><Relationship Id="rId465" Type="http://schemas.openxmlformats.org/officeDocument/2006/relationships/hyperlink" Target="https://www.gov.uk/government/publications/the-stephen-lawrence-inquiry" TargetMode="External"/><Relationship Id="rId630" Type="http://schemas.openxmlformats.org/officeDocument/2006/relationships/hyperlink" Target="https://ushrnetwork.org/news/242/100/Federal-officers-violate-protestors-human-rights-in-Portland?emci=d056dd88-fcd0-ea11-9b05-00155d03bda0&amp;emdi=929b9215-fed0-ea11-9b05-00155d03bda0&amp;ceid=7964700&#160;;%20" TargetMode="External"/><Relationship Id="rId672" Type="http://schemas.openxmlformats.org/officeDocument/2006/relationships/hyperlink" Target="https://www.ohchr.org/EN/NewsEvents/Pages/DisplayNews.aspx?NewsID=27060&amp;LangID=E" TargetMode="External"/><Relationship Id="rId728" Type="http://schemas.openxmlformats.org/officeDocument/2006/relationships/hyperlink" Target="https://fra.europa.eu/en/publication/2020/december-2020-update-ngo-ships-involved-search-and-rescue-mediterranean-and-legal" TargetMode="External"/><Relationship Id="rId935" Type="http://schemas.openxmlformats.org/officeDocument/2006/relationships/hyperlink" Target="https://eji.org/news/history-racial-injustice-sexual-exploitation-black-women/" TargetMode="External"/><Relationship Id="rId22" Type="http://schemas.openxmlformats.org/officeDocument/2006/relationships/hyperlink" Target="https://www.ohchr.org/Documents/Issues/Racism/WGEAPD/Guidelines_inclusion_2030_Agenda.pdf" TargetMode="External"/><Relationship Id="rId64" Type="http://schemas.openxmlformats.org/officeDocument/2006/relationships/hyperlink" Target="https://openknowledge.worldbank.org/handle/10986/30201" TargetMode="External"/><Relationship Id="rId118" Type="http://schemas.openxmlformats.org/officeDocument/2006/relationships/hyperlink" Target="https://www.whitehouse.gov/briefing-room/presidential-actions/2021/03/07/executive-order-on-promoting-access-to-voting/" TargetMode="External"/><Relationship Id="rId325" Type="http://schemas.openxmlformats.org/officeDocument/2006/relationships/hyperlink" Target="https://www.ethnicity-facts-figures.service.gov.uk/uk-population-by-ethnicity/national-and-regional-populations/population-of-england-and-wales/latest" TargetMode="External"/><Relationship Id="rId367" Type="http://schemas.openxmlformats.org/officeDocument/2006/relationships/hyperlink" Target="https://www.ohchr.org/en/NewsEvents/Pages/DisplayNews.aspx?NewsID=25146&amp;LangID=E" TargetMode="External"/><Relationship Id="rId532" Type="http://schemas.openxmlformats.org/officeDocument/2006/relationships/hyperlink" Target="https://www.cbc.ca/news/canada/nova-scotia/hundreds-gather-for-black-lives-matter-vigil-in-halifax-1.5600768" TargetMode="External"/><Relationship Id="rId574" Type="http://schemas.openxmlformats.org/officeDocument/2006/relationships/hyperlink" Target="https://www.ohchr.org/Documents/HRBodies/CERD/earlywarning/statements/USA.PDF" TargetMode="External"/><Relationship Id="rId171" Type="http://schemas.openxmlformats.org/officeDocument/2006/relationships/hyperlink" Target="https://www.cncdh.fr/sites/default/files/rapport_racisme_2019_focus_racisme_anti-noirs_vdef.pdf" TargetMode="External"/><Relationship Id="rId227" Type="http://schemas.openxmlformats.org/officeDocument/2006/relationships/hyperlink" Target="https://www.canada.ca/fr/patrimoine-canadien/campagnes/mobilisation-contre-racisme/strategie-contre-racisme.html" TargetMode="External"/><Relationship Id="rId781" Type="http://schemas.openxmlformats.org/officeDocument/2006/relationships/hyperlink" Target="http://www.hocoltr.org/about/" TargetMode="External"/><Relationship Id="rId837" Type="http://schemas.openxmlformats.org/officeDocument/2006/relationships/hyperlink" Target="https://fortune.com/2020/06/18/george-floyd-protests-uk-slavery-reparations/" TargetMode="External"/><Relationship Id="rId879" Type="http://schemas.openxmlformats.org/officeDocument/2006/relationships/hyperlink" Target="https://www.theguardian.com/world/2014/feb/24/uk-resists-reparation-slavery" TargetMode="External"/><Relationship Id="rId269" Type="http://schemas.openxmlformats.org/officeDocument/2006/relationships/hyperlink" Target="https://www.enar-eu.org/Police-violence-and-racial-profiling-during-Covid-19-need-to-stop-governments" TargetMode="External"/><Relationship Id="rId434" Type="http://schemas.openxmlformats.org/officeDocument/2006/relationships/hyperlink" Target="https://theappeal.org/qualified-immunity-explained/l" TargetMode="External"/><Relationship Id="rId476" Type="http://schemas.openxmlformats.org/officeDocument/2006/relationships/hyperlink" Target="https://www.ncsl.org/research/civil-and-criminal-justice/a-year-after-death-of-george-floyd-work-continues-on-policing-policy-magazine2021.aspx" TargetMode="External"/><Relationship Id="rId641" Type="http://schemas.openxmlformats.org/officeDocument/2006/relationships/hyperlink" Target="https://www.theguardian.com/us-news/2020/oct/29/us-police-brutality-protest" TargetMode="External"/><Relationship Id="rId683" Type="http://schemas.openxmlformats.org/officeDocument/2006/relationships/hyperlink" Target="https://www.justice.gov/opa/pr/attorney-general-william-p-barrs-statement-riots-and-domestic-terrorism" TargetMode="External"/><Relationship Id="rId739" Type="http://schemas.openxmlformats.org/officeDocument/2006/relationships/hyperlink" Target="https://www.ohchr.org/EN/NewsEvents/Pages/DisplayNews.aspx?NewsID=22837" TargetMode="External"/><Relationship Id="rId890" Type="http://schemas.openxmlformats.org/officeDocument/2006/relationships/hyperlink" Target="https://www.washingtonpost.com/graphics/2020/national/rosewood-reparations/" TargetMode="External"/><Relationship Id="rId904" Type="http://schemas.openxmlformats.org/officeDocument/2006/relationships/hyperlink" Target="https://www.okhistory.org/research/forms/freport.pdf" TargetMode="External"/><Relationship Id="rId33" Type="http://schemas.openxmlformats.org/officeDocument/2006/relationships/hyperlink" Target="https://fra.europa.eu/sites/default/files/fra_uploads/fra-2018-being-black-in-the-eu_en.pdf" TargetMode="External"/><Relationship Id="rId129" Type="http://schemas.openxmlformats.org/officeDocument/2006/relationships/hyperlink" Target="https://assembly.coe.int/LifeRay/EGA/Pdf/Press/2021/20210316-Afrophobie-prov-FR.pdf" TargetMode="External"/><Relationship Id="rId280" Type="http://schemas.openxmlformats.org/officeDocument/2006/relationships/hyperlink" Target="http://www.attorneygeneral.jus.gov.on.ca/inquiries/ipperwash/policy_part/projects/pdf/AfricanCanadianClinicIpperwashProject_SIUStudybyScotWortley.pdf" TargetMode="External"/><Relationship Id="rId336" Type="http://schemas.openxmlformats.org/officeDocument/2006/relationships/hyperlink" Target="https://link.springer.com/article/10.1007/s11524-018-00325-1" TargetMode="External"/><Relationship Id="rId501" Type="http://schemas.openxmlformats.org/officeDocument/2006/relationships/hyperlink" Target="https://blmprotests.forensic-architecture.org/" TargetMode="External"/><Relationship Id="rId543" Type="http://schemas.openxmlformats.org/officeDocument/2006/relationships/hyperlink" Target="https://nltimes.nl/2020/06/03/amsterdam-mayor-wont-step-pledges-handle-large-crowds-better-future" TargetMode="External"/><Relationship Id="rId75" Type="http://schemas.openxmlformats.org/officeDocument/2006/relationships/hyperlink" Target="https://rm.coe.int/combating-racism-and-racial-discrimination,-against-people-of-african-d/1680a1c0b6" TargetMode="External"/><Relationship Id="rId140" Type="http://schemas.openxmlformats.org/officeDocument/2006/relationships/hyperlink" Target="https://www.aljazeera.com/features/2021/6/16/vanished-the-plight-of-3-ethiopian-domestic-workers-in-lebanon" TargetMode="External"/><Relationship Id="rId182" Type="http://schemas.openxmlformats.org/officeDocument/2006/relationships/hyperlink" Target="https://www.worldbank.org/en/region/lac/brief/afro-descendants-in-latin-america" TargetMode="External"/><Relationship Id="rId378" Type="http://schemas.openxmlformats.org/officeDocument/2006/relationships/hyperlink" Target="https://antrabrasil.files.wordpress.com/2020/11/dosier-de-los-asesinatos-y-de-la-violencia-en-contra-travestis-y-transexuales-brasilenas-en-2019.pdf" TargetMode="External"/><Relationship Id="rId403" Type="http://schemas.openxmlformats.org/officeDocument/2006/relationships/hyperlink" Target="https://www.paul.senate.gov/news/sen-rand-paul-introduces-justice-breonna-taylor-act" TargetMode="External"/><Relationship Id="rId585" Type="http://schemas.openxmlformats.org/officeDocument/2006/relationships/hyperlink" Target="https://phr.org/our-work/resources/a-targeted-attack-on-the-bronx/" TargetMode="External"/><Relationship Id="rId750" Type="http://schemas.openxmlformats.org/officeDocument/2006/relationships/hyperlink" Target="https://thehill.com/latino/500552-dreamers-grapple-with-immigration-risks-in-joining-floyd-protests" TargetMode="External"/><Relationship Id="rId792" Type="http://schemas.openxmlformats.org/officeDocument/2006/relationships/hyperlink" Target="https://www.rijksoverheid.nl/actueel/nieuws/2021/05/07/dialoog-slavernijverleden" TargetMode="External"/><Relationship Id="rId806" Type="http://schemas.openxmlformats.org/officeDocument/2006/relationships/hyperlink" Target="https://www.ictj.org/sites/default/files/ICTJ_Briefing_TJ_US_Race.pdf" TargetMode="External"/><Relationship Id="rId848" Type="http://schemas.openxmlformats.org/officeDocument/2006/relationships/hyperlink" Target="https://www.hrw.org/sites/default/files/media_2020/11/tulsa-reparations0520_web.pdf" TargetMode="External"/><Relationship Id="rId6" Type="http://schemas.openxmlformats.org/officeDocument/2006/relationships/hyperlink" Target="https://www.ohchr.org/fr/stories/2021/04/verdict-testament-courage-perseverance-and-justice" TargetMode="External"/><Relationship Id="rId238" Type="http://schemas.openxmlformats.org/officeDocument/2006/relationships/hyperlink" Target="https://ec.europa.eu/info/sites/default/files/report_on_the_application_of_the_racial_equality_%20directive_and_the_employment_equality_directive_en.pdf" TargetMode="External"/><Relationship Id="rId445" Type="http://schemas.openxmlformats.org/officeDocument/2006/relationships/hyperlink" Target="https://theintercept.com/series/code-of-silence/" TargetMode="External"/><Relationship Id="rId487" Type="http://schemas.openxmlformats.org/officeDocument/2006/relationships/hyperlink" Target="https://gspp.berkeley.edu/assets/uploads/research/pdf/SpencerCharbonneauGlaser.Compass.2016.pdf" TargetMode="External"/><Relationship Id="rId610" Type="http://schemas.openxmlformats.org/officeDocument/2006/relationships/hyperlink" Target="https://www.hartvannederland.nl/nieuws/overzicht-vreedzaam-protest-op-veel-plekken-opgewacht-met-geweld" TargetMode="External"/><Relationship Id="rId652" Type="http://schemas.openxmlformats.org/officeDocument/2006/relationships/hyperlink" Target="https://www.bbc.com/news/uk-northern-ireland-57330499" TargetMode="External"/><Relationship Id="rId694" Type="http://schemas.openxmlformats.org/officeDocument/2006/relationships/hyperlink" Target="https://cpj.org/reports/2020/06/covering-police-violence-protests-in-the-us/" TargetMode="External"/><Relationship Id="rId708" Type="http://schemas.openxmlformats.org/officeDocument/2006/relationships/hyperlink" Target="https://cpj.org/2020/09/when-police-patrol-protests-in-military-gear-journalists-face-a-hostile-reporting-environment/" TargetMode="External"/><Relationship Id="rId915" Type="http://schemas.openxmlformats.org/officeDocument/2006/relationships/hyperlink" Target="https://www.nytimes.com/2019/10/21/nyregion/princeton-seminary-slavery-reparations.html" TargetMode="External"/><Relationship Id="rId291" Type="http://schemas.openxmlformats.org/officeDocument/2006/relationships/hyperlink" Target="https://www.hrw.org/fr/report/2020/06/18/ils-nous-parlent-comme-des-chiens/controles-de-police-abusifs-en-france" TargetMode="External"/><Relationship Id="rId305" Type="http://schemas.openxmlformats.org/officeDocument/2006/relationships/hyperlink" Target="https://www.aclu.org/sites/default/files/field_document/jus14-warcomeshome-text-rel1.pdf&#160;;%20" TargetMode="External"/><Relationship Id="rId347" Type="http://schemas.openxmlformats.org/officeDocument/2006/relationships/hyperlink" Target="https://www.ohchr.org/fr/press-releases/2017/10/death-penalty-disproportionately-affects-poor-un-rights-experts-warn?LangID=E&amp;NewsID=22208" TargetMode="External"/><Relationship Id="rId512" Type="http://schemas.openxmlformats.org/officeDocument/2006/relationships/hyperlink" Target="https://www.ohchr.org/EN/NewsEvents/Pages/DisplayNews.aspx?NewsID=26535" TargetMode="External"/><Relationship Id="rId44" Type="http://schemas.openxmlformats.org/officeDocument/2006/relationships/hyperlink" Target="https://repositorio.cepal.org/bitstream/handle/11362/44387/1/S1800725_en.pdf" TargetMode="External"/><Relationship Id="rId86" Type="http://schemas.openxmlformats.org/officeDocument/2006/relationships/hyperlink" Target="http://www.oas.org/en/iachr/afro-descendants/docs/pdf/afros_2011_eng.pdf" TargetMode="External"/><Relationship Id="rId151" Type="http://schemas.openxmlformats.org/officeDocument/2006/relationships/hyperlink" Target="https://assembly.coe.int/LifeRay/EGA/Pdf/Press/2021/20210316-Afrophobie-prov-FR.pdf" TargetMode="External"/><Relationship Id="rId389" Type="http://schemas.openxmlformats.org/officeDocument/2006/relationships/hyperlink" Target="http://www.onumulheres.org.br/noticias/sistema-onu-lamenta-a-morte-do-menino-joao-pedro-e-faz-apelo-pela-vida-da-juventude-negra/" TargetMode="External"/><Relationship Id="rId554" Type="http://schemas.openxmlformats.org/officeDocument/2006/relationships/hyperlink" Target="https://www.straitstimes.com/asia/se-asia/thailand-holds-zoom-protest-for-black-lives-matter-movement" TargetMode="External"/><Relationship Id="rId596" Type="http://schemas.openxmlformats.org/officeDocument/2006/relationships/hyperlink" Target="https://www.bbc.co.uk/news/uk-england-london-52954899" TargetMode="External"/><Relationship Id="rId761" Type="http://schemas.openxmlformats.org/officeDocument/2006/relationships/hyperlink" Target="https://www.ohchr.org/sites/default/files/Documents/Issues/CivicSpace/CivicSpaceandCovid_FR.pdf" TargetMode="External"/><Relationship Id="rId817" Type="http://schemas.openxmlformats.org/officeDocument/2006/relationships/hyperlink" Target="https://www.gov.uk/government/news/statement-to-parliament-on-settlement-of-mau-mau-claims" TargetMode="External"/><Relationship Id="rId859" Type="http://schemas.openxmlformats.org/officeDocument/2006/relationships/hyperlink" Target="https://www.media.uzh.ch/en/Press-Releases/2020/Slavery.html" TargetMode="External"/><Relationship Id="rId193" Type="http://schemas.openxmlformats.org/officeDocument/2006/relationships/hyperlink" Target="https://www.worldbank.org/en/region/lac/brief/afro-descendants-in-latin-america" TargetMode="External"/><Relationship Id="rId207" Type="http://schemas.openxmlformats.org/officeDocument/2006/relationships/hyperlink" Target="https://openknowledge.worldbank.org/handle/10986/30201" TargetMode="External"/><Relationship Id="rId249" Type="http://schemas.openxmlformats.org/officeDocument/2006/relationships/hyperlink" Target="https://assembly.coe.int/LifeRay/EGA/Pdf/Press/2021/20210316-Afrophobie-prov-FR.pdf" TargetMode="External"/><Relationship Id="rId414" Type="http://schemas.openxmlformats.org/officeDocument/2006/relationships/hyperlink" Target="https://www.argentina.gob.ar/noticias/historico-reconocimiento-ante-la-corte-interamericana-de-derechos-humanos-por-casos-de" TargetMode="External"/><Relationship Id="rId456" Type="http://schemas.openxmlformats.org/officeDocument/2006/relationships/hyperlink" Target="https://inquirycommission.org/video-and-transcript-tamir-rice-hearing-tuesday-january-26-international-commission-of-inquiry/" TargetMode="External"/><Relationship Id="rId498" Type="http://schemas.openxmlformats.org/officeDocument/2006/relationships/hyperlink" Target="https://www.unodc.org/documents/justice-and-prison-reform/17-03483_ebook.pdf" TargetMode="External"/><Relationship Id="rId621" Type="http://schemas.openxmlformats.org/officeDocument/2006/relationships/hyperlink" Target="https://www.ohchr.org/EN/NewsEvents/Pages/DisplayNews.aspx?NewsID=25946&amp;LangID=E" TargetMode="External"/><Relationship Id="rId663" Type="http://schemas.openxmlformats.org/officeDocument/2006/relationships/hyperlink" Target="https://www.theguardian.com/australia-news/2020/jul/23/nsw-police-chief-undermined-legal-challenge-to-blm-protest-planned-for-sydney-organisers-say" TargetMode="External"/><Relationship Id="rId870" Type="http://schemas.openxmlformats.org/officeDocument/2006/relationships/hyperlink" Target="https://www.independent.co.uk/news/world/europe/belgium-king-leopold-statue-who-colonial-africa-congo-black-lives-matter-a9560291.html" TargetMode="External"/><Relationship Id="rId13" Type="http://schemas.openxmlformats.org/officeDocument/2006/relationships/hyperlink" Target="https://www.ohchr.org/Documents/HRBodies/CERD/earlywarning/statements/USA.PDF" TargetMode="External"/><Relationship Id="rId109" Type="http://schemas.openxmlformats.org/officeDocument/2006/relationships/hyperlink" Target="https://www.nejm.org/doi/pdf/10.1056/NEJMms2004740" TargetMode="External"/><Relationship Id="rId260" Type="http://schemas.openxmlformats.org/officeDocument/2006/relationships/hyperlink" Target="https://bjs.ojp.gov/content/pub/pdf/cpp15.pdf" TargetMode="External"/><Relationship Id="rId316" Type="http://schemas.openxmlformats.org/officeDocument/2006/relationships/hyperlink" Target="https://www.pewresearch.org/fact-tank/2020/05/06/share-of-black-white-hispanic-americans-in-prison-2018-vs-2006/ft_20-05-05_imprisonmentrates_2a/" TargetMode="External"/><Relationship Id="rId523" Type="http://schemas.openxmlformats.org/officeDocument/2006/relationships/hyperlink" Target="https://www.lanacion.com.ar/politica/muerte-george-floyd-izquierda-marcha-camara-comercio-nid2372659" TargetMode="External"/><Relationship Id="rId719" Type="http://schemas.openxmlformats.org/officeDocument/2006/relationships/hyperlink" Target="https://phr.org/our-work/resources/now-they-just-seem-to-want-to-hurt-us-portland-oregon/" TargetMode="External"/><Relationship Id="rId926" Type="http://schemas.openxmlformats.org/officeDocument/2006/relationships/hyperlink" Target="https://www.brown.edu/Research/Slavery_Justice/documents/SlaveryAndJustice.pdf" TargetMode="External"/><Relationship Id="rId55" Type="http://schemas.openxmlformats.org/officeDocument/2006/relationships/hyperlink" Target="https://www.europarl.europa.eu/doceo/document/TA-8-2019-0239_FR.html" TargetMode="External"/><Relationship Id="rId97" Type="http://schemas.openxmlformats.org/officeDocument/2006/relationships/hyperlink" Target="https://www.adl.org/education/resources/tools-and-strategies/how-systemic-racism-impacts-coronavirus-racial-disparities" TargetMode="External"/><Relationship Id="rId120" Type="http://schemas.openxmlformats.org/officeDocument/2006/relationships/hyperlink" Target="https://committees.parliament.uk/publications/3376/documents/32359/default/" TargetMode="External"/><Relationship Id="rId358" Type="http://schemas.openxmlformats.org/officeDocument/2006/relationships/hyperlink" Target="https://www.ohrc.on.ca/fr/enqu%C3%AAte-d%E2%80%99int%C3%A9r%C3%AAt-public-sur-le-profilage-racial-et-la-discrimination-raciale-au-sein-du-service-de/un-impact-collectif-rapport-provisoire-relatif-%C3%A0-lenqu%C3%AAte-sur-le-profilage" TargetMode="External"/><Relationship Id="rId565" Type="http://schemas.openxmlformats.org/officeDocument/2006/relationships/hyperlink" Target="https://www.ohchr.org/EN/NewsEvents/Pages/DisplayNews.aspx?NewsID=25948&amp;LangID=E" TargetMode="External"/><Relationship Id="rId730" Type="http://schemas.openxmlformats.org/officeDocument/2006/relationships/hyperlink" Target="https://www.corteidh.or.cr/docs/casos/articulos/seriec_305_esp.pdf" TargetMode="External"/><Relationship Id="rId772" Type="http://schemas.openxmlformats.org/officeDocument/2006/relationships/hyperlink" Target="https://en.unesco.org/news/slave-trade-and-slavery-founding-tragedy-our-modern-world%20" TargetMode="External"/><Relationship Id="rId828" Type="http://schemas.openxmlformats.org/officeDocument/2006/relationships/hyperlink" Target="https://www.auswaertiges-amt.de/en/newsroom/news/-/2463598" TargetMode="External"/><Relationship Id="rId162" Type="http://schemas.openxmlformats.org/officeDocument/2006/relationships/hyperlink" Target="https://ec.europa.eu/info/sites/default/files/final_guidelines_4-10-18_without_date_july.pdf" TargetMode="External"/><Relationship Id="rId218" Type="http://schemas.openxmlformats.org/officeDocument/2006/relationships/hyperlink" Target="https://www.blackhistorymonth.org.uk/" TargetMode="External"/><Relationship Id="rId425" Type="http://schemas.openxmlformats.org/officeDocument/2006/relationships/hyperlink" Target="https://www.temblores.org/bolillo-dios-y-patria" TargetMode="External"/><Relationship Id="rId467" Type="http://schemas.openxmlformats.org/officeDocument/2006/relationships/hyperlink" Target="https://webarchive.nationalarchives.gov.uk/20131004165058/http://www.ipcc.gov.uk/investigations/sean-rigg-metropolitan-police-service" TargetMode="External"/><Relationship Id="rId632" Type="http://schemas.openxmlformats.org/officeDocument/2006/relationships/hyperlink" Target="https://news.un.org/en/story/2020/07/1068971" TargetMode="External"/><Relationship Id="rId271" Type="http://schemas.openxmlformats.org/officeDocument/2006/relationships/hyperlink" Target="https://raceandequality.org/category/colombia/?post_date=2020-10-06" TargetMode="External"/><Relationship Id="rId674" Type="http://schemas.openxmlformats.org/officeDocument/2006/relationships/hyperlink" Target="https://www.independent.co.uk/news/uk/crime/courts-fast-tracking-prosecutions-black-lives-matter-a9562031.html" TargetMode="External"/><Relationship Id="rId881" Type="http://schemas.openxmlformats.org/officeDocument/2006/relationships/hyperlink" Target="https://au.int/sites/default/files/decisions/9621-council_en_27_may_28_june_1991_council_ministers_fifty_fourth_ordinary_session.pdf" TargetMode="External"/><Relationship Id="rId937" Type="http://schemas.openxmlformats.org/officeDocument/2006/relationships/hyperlink" Target="https://www.ohchr.org/fr/2020/06/43rd-session-human-rights-council-urgent-debate-current-racially-inspired-human-rights?LangID=F&amp;NewsID=25968" TargetMode="External"/><Relationship Id="rId24" Type="http://schemas.openxmlformats.org/officeDocument/2006/relationships/hyperlink" Target="https://op.europa.eu/en/publication-detail/-/publication/1dcc2e44-4370-11ea-b81b-01aa75ed71a1/language-nl" TargetMode="External"/><Relationship Id="rId66" Type="http://schemas.openxmlformats.org/officeDocument/2006/relationships/hyperlink" Target="https://spcommreports.ohchr.org/TMResultsBase/DownLoadPublicCommunicationFile?gId=18792" TargetMode="External"/><Relationship Id="rId131" Type="http://schemas.openxmlformats.org/officeDocument/2006/relationships/hyperlink" Target="https://www.ohchr.org/Documents/Countries/IT/ItalyMissionReport.pdf" TargetMode="External"/><Relationship Id="rId327" Type="http://schemas.openxmlformats.org/officeDocument/2006/relationships/hyperlink" Target="https://www.cqc.org.uk/sites/default/files/20200206_mhareport1819_report.pdf" TargetMode="External"/><Relationship Id="rId369" Type="http://schemas.openxmlformats.org/officeDocument/2006/relationships/hyperlink" Target="https://www.ohchr.org/Documents/Countries/LY/LibyaMigrationReport.pdf" TargetMode="External"/><Relationship Id="rId534" Type="http://schemas.openxmlformats.org/officeDocument/2006/relationships/hyperlink" Target="https://www.efe.com/efe/america/sociedad/un-acto-contra-el-racismo-en-santo-domingo-termina-de-forma-abrupta-e-incidentada/20000013-4267306l" TargetMode="External"/><Relationship Id="rId576" Type="http://schemas.openxmlformats.org/officeDocument/2006/relationships/hyperlink" Target="https://covid19.inclo.net/2020/06/23/united-states-anti-lockdown-and-anti-police-brutality-demonstrations/" TargetMode="External"/><Relationship Id="rId741" Type="http://schemas.openxmlformats.org/officeDocument/2006/relationships/hyperlink" Target="https://www.businessinsider.com/phoenix-protest-black-lives-matter-immigrants-ice-daca-2020-10?r=US&amp;IR=T" TargetMode="External"/><Relationship Id="rId783" Type="http://schemas.openxmlformats.org/officeDocument/2006/relationships/hyperlink" Target="https://columbiaandslavery.columbia.edu/content/about-project" TargetMode="External"/><Relationship Id="rId839" Type="http://schemas.openxmlformats.org/officeDocument/2006/relationships/hyperlink" Target="https://www.washingtonpost.com/archive/politics/2005/06/20/seeking-more-than-apologies-for-slavery/cff95386-8fbf-417b-aae0-bdb85f1f1a97/" TargetMode="External"/><Relationship Id="rId173" Type="http://schemas.openxmlformats.org/officeDocument/2006/relationships/hyperlink" Target="https://ec.europa.eu/info/sites/default/files/fr-orientations_pour_ameliorer_la_collecte_et_lutilisation_des_donnees_relatives_a_legalite.pdf" TargetMode="External"/><Relationship Id="rId229" Type="http://schemas.openxmlformats.org/officeDocument/2006/relationships/hyperlink" Target="https://fra.europa.eu/en/publication/2020/fundamental-rights-report-2020" TargetMode="External"/><Relationship Id="rId380" Type="http://schemas.openxmlformats.org/officeDocument/2006/relationships/hyperlink" Target="http://www.onumulheres.org.br/noticias/nota-publica-do-alto-comissariado-de-direitos-humanos-das-nacoes-unidas-para-america-do-sul-e-da-onu-mulheres-brasil-sobre-o-assassinato-de-luana-reis/" TargetMode="External"/><Relationship Id="rId436" Type="http://schemas.openxmlformats.org/officeDocument/2006/relationships/hyperlink" Target="https://www.thenation.com/article/why-its-impossible-indict-cop/" TargetMode="External"/><Relationship Id="rId601" Type="http://schemas.openxmlformats.org/officeDocument/2006/relationships/hyperlink" Target="https://www.amnesty.org/download/Documents/AMR5132382020ENGLISH.PDF" TargetMode="External"/><Relationship Id="rId643" Type="http://schemas.openxmlformats.org/officeDocument/2006/relationships/hyperlink" Target="https://www.theguardian.com/us-news/2021/apr/17/george-floyd-protesters-charges-citations-analysis" TargetMode="External"/><Relationship Id="rId240" Type="http://schemas.openxmlformats.org/officeDocument/2006/relationships/hyperlink" Target="https://equineteurope.org/2021/towards-stronger-equality-bodies-for-an-equal-europe/" TargetMode="External"/><Relationship Id="rId478" Type="http://schemas.openxmlformats.org/officeDocument/2006/relationships/hyperlink" Target="https://www.minneapolismn.gov/government/programs-initiatives/community-safety/focus-areas/police-policy-reform/" TargetMode="External"/><Relationship Id="rId685" Type="http://schemas.openxmlformats.org/officeDocument/2006/relationships/hyperlink" Target="https://www.whitehouse.gov/briefing-room/presidential-actions/2021/05/14/executive-order-on-the-revocation-of-certain-presidential-actions-and-technical-amendment/" TargetMode="External"/><Relationship Id="rId850" Type="http://schemas.openxmlformats.org/officeDocument/2006/relationships/hyperlink" Target="https://eji.org/news/tulsa-installs-marker-commemorating-1921-racial-terror-massacre/" TargetMode="External"/><Relationship Id="rId892" Type="http://schemas.openxmlformats.org/officeDocument/2006/relationships/hyperlink" Target="https://www.theguardian.com/us-news/2020/sep/30/california-slavery-reparations-law" TargetMode="External"/><Relationship Id="rId906" Type="http://schemas.openxmlformats.org/officeDocument/2006/relationships/hyperlink" Target="https://www.npr.org/sections/live-updates-protests-for-racial-justice/2020/09/03/909151983/oklahoma-lawsuit-seeks-reparations-in-connection-to-1921-tulsa-massacre?t=1607619507261" TargetMode="External"/><Relationship Id="rId35" Type="http://schemas.openxmlformats.org/officeDocument/2006/relationships/hyperlink" Target="https://fra.europa.eu/sites/default/files/fra_uploads/fra-2018-being-black-in-the-eu_en.pdf" TargetMode="External"/><Relationship Id="rId77" Type="http://schemas.openxmlformats.org/officeDocument/2006/relationships/hyperlink" Target="https://www.europarl.europa.eu/doceo/document/TA-8-2019-0239_FR.html" TargetMode="External"/><Relationship Id="rId100" Type="http://schemas.openxmlformats.org/officeDocument/2006/relationships/hyperlink" Target="http://sobadev.iamempowered.com/sites/soba.iamempowered.com/files/NUL-SOBA-2020-ES-web.pdf" TargetMode="External"/><Relationship Id="rId282" Type="http://schemas.openxmlformats.org/officeDocument/2006/relationships/hyperlink" Target="https://www.equalityhumanrights.com/sites/default/files/ehrc_stop_and_search_report.pdf" TargetMode="External"/><Relationship Id="rId338" Type="http://schemas.openxmlformats.org/officeDocument/2006/relationships/hyperlink" Target="https://journals.sagepub.com/doi/abs/10.1177/0011128714568427" TargetMode="External"/><Relationship Id="rId503" Type="http://schemas.openxmlformats.org/officeDocument/2006/relationships/hyperlink" Target="https://www.theguardian.com/world/2020/sep/05/nearly-all-black-lives-matter-protests-are-peaceful-despite-trump-narrative-report-finds" TargetMode="External"/><Relationship Id="rId545" Type="http://schemas.openxmlformats.org/officeDocument/2006/relationships/hyperlink" Target="https://monitor.civicus.org/updates/2020/07/14/tension-between-right-protest-and-covid-19-measures-rises/" TargetMode="External"/><Relationship Id="rId587" Type="http://schemas.openxmlformats.org/officeDocument/2006/relationships/hyperlink" Target="https://www.amnestyusa.org/wp-content/uploads/2020/07/WorldisWatchingFullReport080220.pdf" TargetMode="External"/><Relationship Id="rId710" Type="http://schemas.openxmlformats.org/officeDocument/2006/relationships/hyperlink" Target="https://freedom.press/static/pdf.js/web/viewer.html?file=/documents/60/Journalists_Under_Arrest_in_2020_KLKbBVW.pdf" TargetMode="External"/><Relationship Id="rId752" Type="http://schemas.openxmlformats.org/officeDocument/2006/relationships/hyperlink" Target="https://www.conectas.org/en/news/understand-what-led-the-supreme-court-to-suspend-police-operations-in-rio-de-janeiros-favelas" TargetMode="External"/><Relationship Id="rId808" Type="http://schemas.openxmlformats.org/officeDocument/2006/relationships/hyperlink" Target="https://www.msn.com/en-us/news/us/charlottes-mayor-apologized-for-the-citys-role-in-systemic-racism-what-comes-next/ar-BB181ILJ" TargetMode="External"/><Relationship Id="rId8" Type="http://schemas.openxmlformats.org/officeDocument/2006/relationships/hyperlink" Target="https://www.ohchr.org/fr/instruments-mechanisms/instruments/basic-principles-use-force-and-firearms-law-enforcement" TargetMode="External"/><Relationship Id="rId142" Type="http://schemas.openxmlformats.org/officeDocument/2006/relationships/hyperlink" Target="https://www.ilo.org/dyn/normlex/en/f?p=1000:13100:0::NO::P13100_COMMENT_ID,P13100_LANG_CODE:4060524,fr:NO" TargetMode="External"/><Relationship Id="rId184" Type="http://schemas.openxmlformats.org/officeDocument/2006/relationships/hyperlink" Target="https://www.worldbank.org/en/region/lac/brief/afro-descendants-in-latin-america" TargetMode="External"/><Relationship Id="rId391" Type="http://schemas.openxmlformats.org/officeDocument/2006/relationships/hyperlink" Target="https://eji.org/issues/presumption-of-guilt/" TargetMode="External"/><Relationship Id="rId405" Type="http://schemas.openxmlformats.org/officeDocument/2006/relationships/hyperlink" Target="https://www.ohchr.org/EN/Issues/Racism/Pages/Call-Implementation-HRC-Resolution-43-1.aspx" TargetMode="External"/><Relationship Id="rId447" Type="http://schemas.openxmlformats.org/officeDocument/2006/relationships/hyperlink" Target="https://defenseurdesdroits.fr/fr/communiques-de-presse/2016/07/le-defenseur-des-droits-a-ete-saisi-des-circonstances-dans-lesquelles" TargetMode="External"/><Relationship Id="rId612" Type="http://schemas.openxmlformats.org/officeDocument/2006/relationships/hyperlink" Target="https://civicus.org/documents/SOCS2021Part1.pdf" TargetMode="External"/><Relationship Id="rId794" Type="http://schemas.openxmlformats.org/officeDocument/2006/relationships/hyperlink" Target="https://www.nytimes.com/2020/02/10/world/europe/amsterdam-considers-apology-for-slavery-in-former-colony.html" TargetMode="External"/><Relationship Id="rId251" Type="http://schemas.openxmlformats.org/officeDocument/2006/relationships/hyperlink" Target="https://www.ohchr.org/sites/default/files/Documents/Issues/HRIndicators/GuidanceNoteonApproachtoData_FR.pdf" TargetMode="External"/><Relationship Id="rId489" Type="http://schemas.openxmlformats.org/officeDocument/2006/relationships/hyperlink" Target="https://www.ohchr.org/Documents/ProfessionalInterest/executions.pdf" TargetMode="External"/><Relationship Id="rId654" Type="http://schemas.openxmlformats.org/officeDocument/2006/relationships/hyperlink" Target="https://www.amnesty.org.uk/press-releases/northern-ireland-critical-police-ombudsman-report-policing-black-lives-matter" TargetMode="External"/><Relationship Id="rId696" Type="http://schemas.openxmlformats.org/officeDocument/2006/relationships/hyperlink" Target="https://spcommreports.ohchr.org/TMResultsBase/DownLoadPublicCommunicationFile?gId=25589" TargetMode="External"/><Relationship Id="rId861" Type="http://schemas.openxmlformats.org/officeDocument/2006/relationships/hyperlink" Target="https://www.bristol.ac.uk/news/2019/october/professor-of-the-history-of-slavery-.html" TargetMode="External"/><Relationship Id="rId917" Type="http://schemas.openxmlformats.org/officeDocument/2006/relationships/hyperlink" Target="https://www.churchofengland.org/sites/default/files/2021-05/Contested_Heritage_in_Cathedrals_and_Churches.pdf" TargetMode="External"/><Relationship Id="rId46" Type="http://schemas.openxmlformats.org/officeDocument/2006/relationships/hyperlink" Target="https://uploads-ssl.webflow.com/5f5bdc0f30fe4b120448a029/5f973b076be4cadc5045fad3_An%20Avoidable%20Crisis.pdf" TargetMode="External"/><Relationship Id="rId293" Type="http://schemas.openxmlformats.org/officeDocument/2006/relationships/hyperlink" Target="https://www.tandfonline.com/doi/pdf/10.1080/07418820802119950" TargetMode="External"/><Relationship Id="rId307" Type="http://schemas.openxmlformats.org/officeDocument/2006/relationships/hyperlink" Target="http://www.oas.org/en/iachr/media_center/PReleases/2018/047.asp" TargetMode="External"/><Relationship Id="rId349" Type="http://schemas.openxmlformats.org/officeDocument/2006/relationships/hyperlink" Target="https://documents.deathpenaltyinfo.org/pdf/FactSheet.pdf" TargetMode="External"/><Relationship Id="rId514" Type="http://schemas.openxmlformats.org/officeDocument/2006/relationships/hyperlink" Target="https://brasil.elpais.com/brasil/2020-06-06/vidas-negras-importam-chacoalha-parcela-de-brasileiros-entorpecida-pela-rotina-de-violencia-racista.html" TargetMode="External"/><Relationship Id="rId556" Type="http://schemas.openxmlformats.org/officeDocument/2006/relationships/hyperlink" Target="https://www.ohchr.org/EN/NewsEvents/Pages/DisplayNews.aspx?NewsID=25922&amp;LangID=E" TargetMode="External"/><Relationship Id="rId721" Type="http://schemas.openxmlformats.org/officeDocument/2006/relationships/hyperlink" Target="https://rm.coe.int/lutter-contre-le-racisme-et-la-discrimination-raciale-a-l-egard-des-pe/1680a1c0d2" TargetMode="External"/><Relationship Id="rId763" Type="http://schemas.openxmlformats.org/officeDocument/2006/relationships/hyperlink" Target="https://www.ohchr.org/Documents/ProfessionalInterest/UseOfForceAndFirearms.pdf" TargetMode="External"/><Relationship Id="rId88" Type="http://schemas.openxmlformats.org/officeDocument/2006/relationships/hyperlink" Target="https://iris.paho.org/handle/10665.2/51571" TargetMode="External"/><Relationship Id="rId111" Type="http://schemas.openxmlformats.org/officeDocument/2006/relationships/hyperlink" Target="https://www.propublica.org/article/facebook-lets-advertisers-exclude-users-by-race" TargetMode="External"/><Relationship Id="rId153" Type="http://schemas.openxmlformats.org/officeDocument/2006/relationships/hyperlink" Target="https://www.pewresearch.org/fact-tank/2017/07/25/1-in-4-black-americans-have-faced-online-harassment-because-of-their-race-or-ethnicity/" TargetMode="External"/><Relationship Id="rId195" Type="http://schemas.openxmlformats.org/officeDocument/2006/relationships/hyperlink" Target="https://www.oas.org/en/iachr/afro-descendants/docs/pdf/afros_2011_eng.pdf" TargetMode="External"/><Relationship Id="rId209" Type="http://schemas.openxmlformats.org/officeDocument/2006/relationships/hyperlink" Target="http://www.oas.org/en/sare/documents/res-2891-16-en.pdf" TargetMode="External"/><Relationship Id="rId360" Type="http://schemas.openxmlformats.org/officeDocument/2006/relationships/hyperlink" Target="http://www.scielo.org.co/pdf/res/n64/0123-885X-res-64-00027.pdf" TargetMode="External"/><Relationship Id="rId416" Type="http://schemas.openxmlformats.org/officeDocument/2006/relationships/hyperlink" Target="https://www.achpr.org/legalinstruments/detail?id=10" TargetMode="External"/><Relationship Id="rId598" Type="http://schemas.openxmlformats.org/officeDocument/2006/relationships/hyperlink" Target="https://www.liguedh.be/quand-les-citoyen%c2%b7ne%c2%b7s-utilisent-leur-droit-de-manifester-pour-denoncer-les-violences-policieres-les-forces-de-lordre-repondent-par-la-violence/" TargetMode="External"/><Relationship Id="rId819" Type="http://schemas.openxmlformats.org/officeDocument/2006/relationships/hyperlink" Target="https://www.rtbf.be/info/belgique/detail_le-roi-philippe-exprime-au-congo-ses-profonds-regrets-pour-les-blessures-du-passe?id=10532781" TargetMode="External"/><Relationship Id="rId220" Type="http://schemas.openxmlformats.org/officeDocument/2006/relationships/hyperlink" Target="http://blackhistory.eu/" TargetMode="External"/><Relationship Id="rId458" Type="http://schemas.openxmlformats.org/officeDocument/2006/relationships/hyperlink" Target="https://cops.usdoj.gov/pdf/taskforce/taskforce_finalreport.pdf" TargetMode="External"/><Relationship Id="rId623" Type="http://schemas.openxmlformats.org/officeDocument/2006/relationships/hyperlink" Target="https://www.humanrightsfirst.org/press-release/more-500-veterans-sign-letter-denouncing-use-armed-forces-suppress-civil-liberties" TargetMode="External"/><Relationship Id="rId665" Type="http://schemas.openxmlformats.org/officeDocument/2006/relationships/hyperlink" Target="https://covid19.inclo.net/2020/06/23/australia-isolated-anti-lockdown-protests-and-blm-solidarity-marches/" TargetMode="External"/><Relationship Id="rId830" Type="http://schemas.openxmlformats.org/officeDocument/2006/relationships/hyperlink" Target="https://www.theguardian.com/education/2020/sep/22/jamaican-director-of-ucls-slavery-research-centre-british-racism-is-clear-and-sharp" TargetMode="External"/><Relationship Id="rId872" Type="http://schemas.openxmlformats.org/officeDocument/2006/relationships/hyperlink" Target="https://www.unesco.org/fr/articles/archives-du-commerce-des-esclaves" TargetMode="External"/><Relationship Id="rId928" Type="http://schemas.openxmlformats.org/officeDocument/2006/relationships/hyperlink" Target="https://www.nytimes.com/2019/11/06/us/harvard-antigua-slavery-reparations.html" TargetMode="External"/><Relationship Id="rId15" Type="http://schemas.openxmlformats.org/officeDocument/2006/relationships/hyperlink" Target="https://www.oas.org/en/iachr/afro-descendants/docs/pdf/afros_2011_eng.pdf" TargetMode="External"/><Relationship Id="rId57" Type="http://schemas.openxmlformats.org/officeDocument/2006/relationships/hyperlink" Target="https://spcommreports.ohchr.org/TMResultsBase/DownLoadPublicCommunicationFile?gId=25814" TargetMode="External"/><Relationship Id="rId262" Type="http://schemas.openxmlformats.org/officeDocument/2006/relationships/hyperlink" Target="https://fra.europa.eu/sites/default/files/fra_uploads/fra-2021-fundamental-rights-survey-police-stops_en.pdf" TargetMode="External"/><Relationship Id="rId318" Type="http://schemas.openxmlformats.org/officeDocument/2006/relationships/hyperlink" Target="https://www.ussc.gov/sites/default/files/pdf/research-and-publications/research-publications/2017/20171114_Demographics.pdf" TargetMode="External"/><Relationship Id="rId525" Type="http://schemas.openxmlformats.org/officeDocument/2006/relationships/hyperlink" Target="https://www.lesoir.be/312689/article/2020-07-11/manifestation-contre-le-racisme-et-les-violences-policieres-namur" TargetMode="External"/><Relationship Id="rId567" Type="http://schemas.openxmlformats.org/officeDocument/2006/relationships/hyperlink" Target="https://spcommreports.ohchr.org/TMResultsBase/DownLoadPublicCommunicationFile?gId=25589" TargetMode="External"/><Relationship Id="rId732" Type="http://schemas.openxmlformats.org/officeDocument/2006/relationships/hyperlink" Target="http://www.indepaz.org.co/wp-content/uploads/2021/04/Informe-Li%CC%81deres.pdf" TargetMode="External"/><Relationship Id="rId99" Type="http://schemas.openxmlformats.org/officeDocument/2006/relationships/hyperlink" Target="https://www.ohchr.org/sites/default/files/Documents/Issues/Racism/COVID-19_and_Racial_Discrimination_FR.pdf" TargetMode="External"/><Relationship Id="rId122" Type="http://schemas.openxmlformats.org/officeDocument/2006/relationships/hyperlink" Target="http://www.oas.org/en/iachr/afro-descendants/docs/pdf/afros_2011_eng.pdf,%20para" TargetMode="External"/><Relationship Id="rId164" Type="http://schemas.openxmlformats.org/officeDocument/2006/relationships/hyperlink" Target="https://www.worldbank.org/en/region/lac/brief/afro-descendants-in-latin-america" TargetMode="External"/><Relationship Id="rId371" Type="http://schemas.openxmlformats.org/officeDocument/2006/relationships/hyperlink" Target="http://www.oas.org/en/iachr/multimedia/2015/lgbti-violence/lgbti-violence.html" TargetMode="External"/><Relationship Id="rId774" Type="http://schemas.openxmlformats.org/officeDocument/2006/relationships/hyperlink" Target="https://attorneygeneral.govmu.org/Documents/Laws%20of%20Mauritius/A-Z%20Acts/T/Tr/TRUTHANDJUSTICECOMMISSIONACTNo28of2008.pdf" TargetMode="External"/><Relationship Id="rId427" Type="http://schemas.openxmlformats.org/officeDocument/2006/relationships/hyperlink" Target="https://inquirycommission.org/website/wp-content/uploads/2021/04/Commission-Report-15-April.pdf" TargetMode="External"/><Relationship Id="rId469" Type="http://schemas.openxmlformats.org/officeDocument/2006/relationships/hyperlink" Target="https://assets.publishing.service.gov.uk/government/uploads/system/uploads/attachment_data/file/277111/4262.pdf" TargetMode="External"/><Relationship Id="rId634" Type="http://schemas.openxmlformats.org/officeDocument/2006/relationships/hyperlink" Target="https://spcommreports.ohchr.org/TMResultsBase/DownLoadPublicCommunicationFile?gId=25589" TargetMode="External"/><Relationship Id="rId676" Type="http://schemas.openxmlformats.org/officeDocument/2006/relationships/hyperlink" Target="https://www.ohchr.org/EN/NewsEvents/Pages/DisplayNews.aspx?NewsID=25922&amp;LangID=E" TargetMode="External"/><Relationship Id="rId841" Type="http://schemas.openxmlformats.org/officeDocument/2006/relationships/hyperlink" Target="https://fortune.com/2020/06/18/george-floyd-protests-uk-slavery-reparations" TargetMode="External"/><Relationship Id="rId883" Type="http://schemas.openxmlformats.org/officeDocument/2006/relationships/hyperlink" Target="https://au.int/sites/default/files/decisions/9616-council_en_22_28_june_1992_council_ministers_fifty_sixth_ordinary_session.pdf" TargetMode="External"/><Relationship Id="rId26" Type="http://schemas.openxmlformats.org/officeDocument/2006/relationships/hyperlink" Target="https://repositorio.cepal.org/bitstream/handle/11362/45202/1/S1900854_es.pdf" TargetMode="External"/><Relationship Id="rId231" Type="http://schemas.openxmlformats.org/officeDocument/2006/relationships/hyperlink" Target="https://www.cepal.org/en/publications/44458-first-regional-report-implementation-montevideo-consensus-population-and" TargetMode="External"/><Relationship Id="rId273" Type="http://schemas.openxmlformats.org/officeDocument/2006/relationships/hyperlink" Target="https://www.aclu.org/issues/juvenile-justice/school-prison-pipeline" TargetMode="External"/><Relationship Id="rId329" Type="http://schemas.openxmlformats.org/officeDocument/2006/relationships/hyperlink" Target="https://www.oci-bec.gc.ca/cnt/rpt/annrpt/annrpt20182019-fra.aspx" TargetMode="External"/><Relationship Id="rId480" Type="http://schemas.openxmlformats.org/officeDocument/2006/relationships/hyperlink" Target="https://reports.deathpenaltyinfo.org/year-end/YearEndReport2020.pdf" TargetMode="External"/><Relationship Id="rId536" Type="http://schemas.openxmlformats.org/officeDocument/2006/relationships/hyperlink" Target="https://www.dw.com/en/germany-thousands-attend-anti-racism-protests-honoring-george-floyd/a-53700909" TargetMode="External"/><Relationship Id="rId701" Type="http://schemas.openxmlformats.org/officeDocument/2006/relationships/hyperlink" Target="https://www.amnestyusa.org/wp-content/uploads/2020/07/WorldisWatchingFullReport080220.pdf" TargetMode="External"/><Relationship Id="rId939" Type="http://schemas.openxmlformats.org/officeDocument/2006/relationships/hyperlink" Target="https://www.oas.org/fr/cidh/decisions/pdf/Resolution-3-19-fr.pdf" TargetMode="External"/><Relationship Id="rId68" Type="http://schemas.openxmlformats.org/officeDocument/2006/relationships/hyperlink" Target="https://spcommreports.ohchr.org/TMResultsBase/DownLoadPublicCommunicationFile?gId=25814" TargetMode="External"/><Relationship Id="rId133" Type="http://schemas.openxmlformats.org/officeDocument/2006/relationships/hyperlink" Target="https://assembly.coe.int/LifeRay/EGA/Pdf/Press/2021/20210316-Afrophobie-prov-FR.pdf" TargetMode="External"/><Relationship Id="rId175" Type="http://schemas.openxmlformats.org/officeDocument/2006/relationships/hyperlink" Target="https://ec.europa.eu/info/sites/default/files/a_union_of_equality_eu_action_plan_against_racism_2020_-2025_fr.pdf" TargetMode="External"/><Relationship Id="rId340" Type="http://schemas.openxmlformats.org/officeDocument/2006/relationships/hyperlink" Target="https://pubmed.ncbi.nlm.nih.gov/28690668/" TargetMode="External"/><Relationship Id="rId578" Type="http://schemas.openxmlformats.org/officeDocument/2006/relationships/hyperlink" Target="https://monitor.civicus.org/updates/2020/06/22/country-wide-protests-end-police-brutality-united-states-met-militarised-law-enforcemen/" TargetMode="External"/><Relationship Id="rId743" Type="http://schemas.openxmlformats.org/officeDocument/2006/relationships/hyperlink" Target="https://www.americanimmigrationcouncil.org/news/lawsuit-demands-information-cbps-role-racial-justice-protests" TargetMode="External"/><Relationship Id="rId785" Type="http://schemas.openxmlformats.org/officeDocument/2006/relationships/hyperlink" Target="https://especiales.comisiondelaverdad.co/la-verdad-del-pueblo-negro/" TargetMode="External"/><Relationship Id="rId200" Type="http://schemas.openxmlformats.org/officeDocument/2006/relationships/hyperlink" Target="https://rm.coe.int/rapport-annuel-ecri-2019/16809ca6d4" TargetMode="External"/><Relationship Id="rId382" Type="http://schemas.openxmlformats.org/officeDocument/2006/relationships/hyperlink" Target="https://www.saunders.co.uk/news/inquest-into-the-death-of-kevin-clarke-concludes/" TargetMode="External"/><Relationship Id="rId438" Type="http://schemas.openxmlformats.org/officeDocument/2006/relationships/hyperlink" Target="https://www.ohchr.org/Documents/ProfessionalInterest/UseOfForceAndFirearms.pdf" TargetMode="External"/><Relationship Id="rId603" Type="http://schemas.openxmlformats.org/officeDocument/2006/relationships/hyperlink" Target="https://www.amnesty.org/en/latest/news/2020/10/usa-police-failing-protect-protesters-from-violence/" TargetMode="External"/><Relationship Id="rId645" Type="http://schemas.openxmlformats.org/officeDocument/2006/relationships/hyperlink" Target="https://www.justice.gov/opa/pr/over-300-people-facing-federal-charges-crimes-committed-during-nationwide-demonstrations" TargetMode="External"/><Relationship Id="rId687" Type="http://schemas.openxmlformats.org/officeDocument/2006/relationships/hyperlink" Target="https://www.usnews.com/news/world/articles/2020-06-07/australian-minister-calls-anti-racism-protests-self-indulgent" TargetMode="External"/><Relationship Id="rId810" Type="http://schemas.openxmlformats.org/officeDocument/2006/relationships/hyperlink" Target="https://www.ashevillenc.gov/news/asheville-reparations-resolution-is-designed-to-help-black-community-access-to-the-opportunity-to-build-" TargetMode="External"/><Relationship Id="rId852" Type="http://schemas.openxmlformats.org/officeDocument/2006/relationships/hyperlink" Target="https://www.theguardian.com/global-development/2020/jul/01/decolonise-and-rename-streets-of-uganda-and-sudan-activists-urge" TargetMode="External"/><Relationship Id="rId908" Type="http://schemas.openxmlformats.org/officeDocument/2006/relationships/hyperlink" Target="https://www.legifrance.gouv.fr/jorf/id/JORFTEXT000042738023" TargetMode="External"/><Relationship Id="rId242" Type="http://schemas.openxmlformats.org/officeDocument/2006/relationships/hyperlink" Target="https://www.oas.org/en/iachr/afro-descendants/docs/pdf/afros_2011_eng.pdf" TargetMode="External"/><Relationship Id="rId284" Type="http://schemas.openxmlformats.org/officeDocument/2006/relationships/hyperlink" Target="https://inquirycommission.org/website/wp-content/uploads/2021/04/Commission-Report-15-April.pdf" TargetMode="External"/><Relationship Id="rId491" Type="http://schemas.openxmlformats.org/officeDocument/2006/relationships/hyperlink" Target="https://www.ohchr.org/fr/instruments-mechanisms/instruments/code-conduct-law-enforcement-officials" TargetMode="External"/><Relationship Id="rId505" Type="http://schemas.openxmlformats.org/officeDocument/2006/relationships/hyperlink" Target="https://sites.google.com/view/crowdcountingconsortium/home" TargetMode="External"/><Relationship Id="rId712" Type="http://schemas.openxmlformats.org/officeDocument/2006/relationships/hyperlink" Target="https://www.aclu.org/news/free-speech/police-are-attacking-journalists-at-protests-were-suing/l" TargetMode="External"/><Relationship Id="rId894" Type="http://schemas.openxmlformats.org/officeDocument/2006/relationships/hyperlink" Target="https://cityordinances.durhamnc.gov/OnBaseAgendaOnline/Documents/ViewDocument/Final-Published%20Attachment%20-%2014231%20-%20RESOLUTION%20-%201%20-%20RESOLUTION%20IN%20SUPPORT%20.pdf?meetingId=417&amp;documentType=Agenda&amp;itemId=18303&amp;publishId=77278&amp;isSection=false" TargetMode="External"/><Relationship Id="rId37" Type="http://schemas.openxmlformats.org/officeDocument/2006/relationships/hyperlink" Target="http://www.cepal.org/es/publicaciones/46191-afrodescendientes-la-matriz-la-desigualdad-social-america-latina-retos-la" TargetMode="External"/><Relationship Id="rId79" Type="http://schemas.openxmlformats.org/officeDocument/2006/relationships/hyperlink" Target="https://www.enar-eu.org/IMG/pdf/shadowreport_afrophobia_final_with_corrections.pdf" TargetMode="External"/><Relationship Id="rId102" Type="http://schemas.openxmlformats.org/officeDocument/2006/relationships/hyperlink" Target="https://www.ft.com/content/5fd6ab18-be4a-48de-b887-8478a391dd72" TargetMode="External"/><Relationship Id="rId144" Type="http://schemas.openxmlformats.org/officeDocument/2006/relationships/hyperlink" Target="https://www.business-humanrights.org/en/latest-news/more-than-1000-companies-pause-advertising-on-facebook-as-part-of-civil-society-campaign-to-stop-spread-of-hate-discrimination-on-the-platform/" TargetMode="External"/><Relationship Id="rId547" Type="http://schemas.openxmlformats.org/officeDocument/2006/relationships/hyperlink" Target="https://www.pri.org/stories/2020-06-08/america-s-blm-protests-find-solidarity-south-korea" TargetMode="External"/><Relationship Id="rId589" Type="http://schemas.openxmlformats.org/officeDocument/2006/relationships/hyperlink" Target="https://www.amnesty.org/fr/documents/pol10/3202/2021/fr/" TargetMode="External"/><Relationship Id="rId754" Type="http://schemas.openxmlformats.org/officeDocument/2006/relationships/hyperlink" Target="https://www.ohchr.org/EN/NewsEvents/Pages/DisplayNews.aspx?NewsID=25922&amp;LangID=E" TargetMode="External"/><Relationship Id="rId796" Type="http://schemas.openxmlformats.org/officeDocument/2006/relationships/hyperlink" Target="https://www.rijksmuseum.nl/en/whats-on/exhibitions/slavery" TargetMode="External"/><Relationship Id="rId90" Type="http://schemas.openxmlformats.org/officeDocument/2006/relationships/hyperlink" Target="https://papers.ssrn.com/sol3/papers.cfm?abstract_id=3644684" TargetMode="External"/><Relationship Id="rId186" Type="http://schemas.openxmlformats.org/officeDocument/2006/relationships/hyperlink" Target="https://www.enar-eu.org/IMG/pdf/sr_key_findings-2.pdf" TargetMode="External"/><Relationship Id="rId351" Type="http://schemas.openxmlformats.org/officeDocument/2006/relationships/hyperlink" Target="http://icjr.or.id/data/wpcontent/uploads/2018/08/DEATHPENALTY-POLICY-final-1.pdf" TargetMode="External"/><Relationship Id="rId393" Type="http://schemas.openxmlformats.org/officeDocument/2006/relationships/hyperlink" Target="https://mncourts.gov/mncourtsgov/media/High-Profile-Cases/27-CR-20-12646/MCRO_27-CR-20-12646_Sentencing-Order_2021-06-25_20210625145755.pdf" TargetMode="External"/><Relationship Id="rId407" Type="http://schemas.openxmlformats.org/officeDocument/2006/relationships/hyperlink" Target="https://assets.publishing.service.gov.uk/government/uploads/system/uploads/attachment_%20data/file/655401/Report_of_Angiolini_Review_ISBN_Accessible.pdf" TargetMode="External"/><Relationship Id="rId449" Type="http://schemas.openxmlformats.org/officeDocument/2006/relationships/hyperlink" Target="https://www.theguardian.com/uk-news/2021/jan/18/fewer-than-one-in-10-police-officers-fired-after-gross-misconduct-finding" TargetMode="External"/><Relationship Id="rId614" Type="http://schemas.openxmlformats.org/officeDocument/2006/relationships/hyperlink" Target="https://acleddata.com/acleddatanew/wp-content/uploads/2021/05/ACLED_Report_A-Year-of-Racial-Justice-Protests_May2021.pdf" TargetMode="External"/><Relationship Id="rId656" Type="http://schemas.openxmlformats.org/officeDocument/2006/relationships/hyperlink" Target="https://www.policeombudsman.org/Media-Releases/2021/Investigation-to-assess-consistency-of-police-enga" TargetMode="External"/><Relationship Id="rId821" Type="http://schemas.openxmlformats.org/officeDocument/2006/relationships/hyperlink" Target="https://www.europarl.europa.eu/doceo/document/B-8-2019-0212_FR.html" TargetMode="External"/><Relationship Id="rId863" Type="http://schemas.openxmlformats.org/officeDocument/2006/relationships/hyperlink" Target="https://democracy.edinburgh.gov.uk/documents/s24854/6.7%20-%20Response%20to%20Motion%20-%20Black%20Lives%20Matter%20v2.pdf" TargetMode="External"/><Relationship Id="rId211" Type="http://schemas.openxmlformats.org/officeDocument/2006/relationships/hyperlink" Target="https://www.cepal.org/en/publications/44458-first-regional-report-implementation-montevideo-consensus-population-and" TargetMode="External"/><Relationship Id="rId253" Type="http://schemas.openxmlformats.org/officeDocument/2006/relationships/hyperlink" Target="https://news.un.org/fr/story/2013/03/263552-pas-de-place-pour-le-racisme-dans-le-sport-affirme-lonu" TargetMode="External"/><Relationship Id="rId295" Type="http://schemas.openxmlformats.org/officeDocument/2006/relationships/hyperlink" Target="https://www.cambridge.org/core/journals/law-and-social-inquiry/article/police-as-placeconsolidators-the-organizational-amplification-of-urban-inequality/D67D4B3CA01CA42DBC75CC10216160DE" TargetMode="External"/><Relationship Id="rId309" Type="http://schemas.openxmlformats.org/officeDocument/2006/relationships/hyperlink" Target="http://www.oas.org/en/iachr/reports/pdfs/PoliceUseOfForceAfrosUSA.pdf" TargetMode="External"/><Relationship Id="rId460" Type="http://schemas.openxmlformats.org/officeDocument/2006/relationships/hyperlink" Target="https://journals.sagepub.com/doi/pdf/10.1177/0002716219887372" TargetMode="External"/><Relationship Id="rId516" Type="http://schemas.openxmlformats.org/officeDocument/2006/relationships/hyperlink" Target="https://www.reuters.com/article/us-brazil-protests-race-feature-idUSKBN23E0QF" TargetMode="External"/><Relationship Id="rId698" Type="http://schemas.openxmlformats.org/officeDocument/2006/relationships/hyperlink" Target="https://www.osce.org/representative-on-freedom-of-media/453459" TargetMode="External"/><Relationship Id="rId919" Type="http://schemas.openxmlformats.org/officeDocument/2006/relationships/hyperlink" Target="https://www.georgetown.edu/news/georgetown-apologizes-for-1838-sale-of-272-slaves-dedicates-buildings/" TargetMode="External"/><Relationship Id="rId48" Type="http://schemas.openxmlformats.org/officeDocument/2006/relationships/hyperlink" Target="https://www150.statcan.gc.ca/n1/pub/89-657-x/89-657-x2019002-fra.htm" TargetMode="External"/><Relationship Id="rId113" Type="http://schemas.openxmlformats.org/officeDocument/2006/relationships/hyperlink" Target="https://themarkup.org/news/2021/05/26/nycs-school-algorithms-cement-segregation-this-data-shows-how" TargetMode="External"/><Relationship Id="rId320" Type="http://schemas.openxmlformats.org/officeDocument/2006/relationships/hyperlink" Target="https://www.americanbar.org/groups/young_lawyers/publications/after-the-bar/public-service/racial-disparities-criminal-justice-how-lawyers-can-help/" TargetMode="External"/><Relationship Id="rId558" Type="http://schemas.openxmlformats.org/officeDocument/2006/relationships/hyperlink" Target="https://www.bbc.com/news/uk-england-london-52954899" TargetMode="External"/><Relationship Id="rId723" Type="http://schemas.openxmlformats.org/officeDocument/2006/relationships/hyperlink" Target="https://spcommreports.ohchr.org/TMResultsBase/DownLoadPublicCommunicationFile?gId=18791" TargetMode="External"/><Relationship Id="rId765" Type="http://schemas.openxmlformats.org/officeDocument/2006/relationships/hyperlink" Target="https://www.ohchr.org/sites/default/files/Documents/Publications/training5Add2fr.pdf" TargetMode="External"/><Relationship Id="rId930" Type="http://schemas.openxmlformats.org/officeDocument/2006/relationships/hyperlink" Target="https://www.gla.ac.uk/news/archiveofnews/2019/september/headline_667960_en.html" TargetMode="External"/><Relationship Id="rId155" Type="http://schemas.openxmlformats.org/officeDocument/2006/relationships/hyperlink" Target="https://openknowledge.worldbank.org/handle/10986/30201" TargetMode="External"/><Relationship Id="rId197" Type="http://schemas.openxmlformats.org/officeDocument/2006/relationships/hyperlink" Target="https://repositorio.cepal.org/bitstream/handle/11362/44458/6/S1801011_en.pdf" TargetMode="External"/><Relationship Id="rId362" Type="http://schemas.openxmlformats.org/officeDocument/2006/relationships/hyperlink" Target="http://observatorioseguranca.com.br/wp-content/uploads/2020/12/Novo-Relat%C3%B3rio_A-cor-da-viol%C3%AAncia-policial_a-bala-n%C3%A3o-erra-o-alvo.pdf" TargetMode="External"/><Relationship Id="rId418" Type="http://schemas.openxmlformats.org/officeDocument/2006/relationships/hyperlink" Target="https://www.ohchr.org/fr/instruments-mechanisms/instruments/body-principles-protection-all-persons-under-any-form-detention" TargetMode="External"/><Relationship Id="rId625" Type="http://schemas.openxmlformats.org/officeDocument/2006/relationships/hyperlink" Target="https://www.amnestyusa.org/worldiswatching/" TargetMode="External"/><Relationship Id="rId832" Type="http://schemas.openxmlformats.org/officeDocument/2006/relationships/hyperlink" Target="https://www.theguardian.com/world/2020/jun/18/lloyds-of-london-and-greene-king-to-make-slave-trade-reparations" TargetMode="External"/><Relationship Id="rId222" Type="http://schemas.openxmlformats.org/officeDocument/2006/relationships/hyperlink" Target="https://ec.europa.eu/info/sites/info/files/a_union_of_equality_eu_action_plan_against_racism_2020_-2025_fr.pdf" TargetMode="External"/><Relationship Id="rId264" Type="http://schemas.openxmlformats.org/officeDocument/2006/relationships/hyperlink" Target="https://www.defenseurdesdroits.fr/sites/default/files/atoms/files/rapport-enquete_relations_police_population-20170111_1.pdf" TargetMode="External"/><Relationship Id="rId471" Type="http://schemas.openxmlformats.org/officeDocument/2006/relationships/hyperlink" Target="https://assets.publishing.service.gov.uk/government/uploads/system/uploads/attachment_data/file/655401/Report_of_Angiolini_Review_ISBN_Accessible.pdf" TargetMode="External"/><Relationship Id="rId667" Type="http://schemas.openxmlformats.org/officeDocument/2006/relationships/hyperlink" Target="https://twitter.com/winstonpeters/status/1267347397597818882" TargetMode="External"/><Relationship Id="rId874" Type="http://schemas.openxmlformats.org/officeDocument/2006/relationships/hyperlink" Target="https://caricomreparations.org/caricom/caricoms-10-point-reparation-plan/" TargetMode="External"/><Relationship Id="rId17" Type="http://schemas.openxmlformats.org/officeDocument/2006/relationships/hyperlink" Target="https://rm.coe.int/declaration-de-l-ecri-sur-les-abus-policiers-a-caractere-raciste-notam/16809eee69" TargetMode="External"/><Relationship Id="rId59" Type="http://schemas.openxmlformats.org/officeDocument/2006/relationships/hyperlink" Target="https://fra.europa.eu/sites/default/files/fra_uploads/fra-2019-fundamental-rights-report-2019_en.pdf" TargetMode="External"/><Relationship Id="rId124" Type="http://schemas.openxmlformats.org/officeDocument/2006/relationships/hyperlink" Target="https://assembly.coe.int/LifeRay/EGA/Pdf/Press/2021/20210316-Afrophobie-prov-FR.pdf" TargetMode="External"/><Relationship Id="rId527" Type="http://schemas.openxmlformats.org/officeDocument/2006/relationships/hyperlink" Target="https://www.independent.co.uk/news/world/europe/belgium-king-leopold-statue-who-colonial-africa-congo-black-lives-matter-a9560291.html" TargetMode="External"/><Relationship Id="rId569" Type="http://schemas.openxmlformats.org/officeDocument/2006/relationships/hyperlink" Target="https://www.osce.org/representative-on-freedom-of-media/453459" TargetMode="External"/><Relationship Id="rId734" Type="http://schemas.openxmlformats.org/officeDocument/2006/relationships/hyperlink" Target="https://spcommreports.ohchr.org/TMResultsBase/DownLoadPublicCommunicationFile?gId=23169" TargetMode="External"/><Relationship Id="rId776" Type="http://schemas.openxmlformats.org/officeDocument/2006/relationships/hyperlink" Target="https://www.congress.gov/bill/117th-congress/house-bill/40?q=%7B%22search%22%3A%5B%22reparations%22%5D%7D&amp;s=3&amp;r=2" TargetMode="External"/><Relationship Id="rId941" Type="http://schemas.openxmlformats.org/officeDocument/2006/relationships/hyperlink" Target="https://unesdoc.unesco.org/ark:/48223/pf0000366348" TargetMode="External"/><Relationship Id="rId70" Type="http://schemas.openxmlformats.org/officeDocument/2006/relationships/hyperlink" Target="https://assembly.coe.int/LifeRay/EGA/Pdf/Press/2021/20210316-Afrophobie-prov-FR.pdf" TargetMode="External"/><Relationship Id="rId166" Type="http://schemas.openxmlformats.org/officeDocument/2006/relationships/hyperlink" Target="https://rm.coe.int/cinquieme-rapport-sur-la-france/16808b572e" TargetMode="External"/><Relationship Id="rId331" Type="http://schemas.openxmlformats.org/officeDocument/2006/relationships/hyperlink" Target="https://www.propublica.org/article/machine-bias-risk-assessments-in-criminal-sentencing" TargetMode="External"/><Relationship Id="rId373" Type="http://schemas.openxmlformats.org/officeDocument/2006/relationships/hyperlink" Target="https://papers.ssrn.com/sol3/Delivery.cfm/SSRN_ID3832989_code249436.pdf?abstractid=3832989%20&amp;mirid=1" TargetMode="External"/><Relationship Id="rId429" Type="http://schemas.openxmlformats.org/officeDocument/2006/relationships/hyperlink" Target="https://eji.org/wp-content/uploads/2019/10/illegal-racial-discrimination-in-jury-selection.pdf" TargetMode="External"/><Relationship Id="rId580" Type="http://schemas.openxmlformats.org/officeDocument/2006/relationships/hyperlink" Target="https://www.inclo.net/pdf/statements/30052020_INCLO%20Statement%20re%20use%20of%20police%20force%20in%20USA.pdf" TargetMode="External"/><Relationship Id="rId636" Type="http://schemas.openxmlformats.org/officeDocument/2006/relationships/hyperlink" Target="https://www.accessnow.org/cms/assets/uploads/2020/07/Defending-Peaceful-Assembly-Association-Digital-Age.pdf" TargetMode="External"/><Relationship Id="rId801" Type="http://schemas.openxmlformats.org/officeDocument/2006/relationships/hyperlink" Target="https://www.congress.gov/bill/111th-congress/senate-concurrent-resolution/26" TargetMode="External"/><Relationship Id="rId1" Type="http://schemas.openxmlformats.org/officeDocument/2006/relationships/hyperlink" Target="https://www.ohchr.org/fr/stories/2021/04/verdict-testament-courage-perseverance-and-justice" TargetMode="External"/><Relationship Id="rId233" Type="http://schemas.openxmlformats.org/officeDocument/2006/relationships/hyperlink" Target="https://www.cepal.org/en/publications/44458-first-regional-report-implementation-montevideo-consensus-population-and" TargetMode="External"/><Relationship Id="rId440" Type="http://schemas.openxmlformats.org/officeDocument/2006/relationships/hyperlink" Target="https://www.unodc.org/pdf/criminal_justice/Handbook_on_police_Accountability_Oversight_and_Integrity.pdf" TargetMode="External"/><Relationship Id="rId678" Type="http://schemas.openxmlformats.org/officeDocument/2006/relationships/hyperlink" Target="https://www.ohchr.org/EN/NewsEvents/Pages/DisplayNews.aspx?NewsID=25980&amp;LangID=E" TargetMode="External"/><Relationship Id="rId843" Type="http://schemas.openxmlformats.org/officeDocument/2006/relationships/hyperlink" Target="https://www.courant.com/news/connecticut/hc-xpm-2000-07-04-0007040049-story.html" TargetMode="External"/><Relationship Id="rId885" Type="http://schemas.openxmlformats.org/officeDocument/2006/relationships/hyperlink" Target="https://www.inosaar.llc.ed.ac.uk/en/timeline/first-pan-african-conference-reparations" TargetMode="External"/><Relationship Id="rId28" Type="http://schemas.openxmlformats.org/officeDocument/2006/relationships/hyperlink" Target="https://repositorio.cepal.org/bitstream/handle/11362/44387/S1800725_en.pdf?sequence=%201&amp;isAllowed=y" TargetMode="External"/><Relationship Id="rId275" Type="http://schemas.openxmlformats.org/officeDocument/2006/relationships/hyperlink" Target="https://www2.ed.gov/about/offices/list/ocr/docs/crdc-discipline-snapshot.pdf" TargetMode="External"/><Relationship Id="rId300" Type="http://schemas.openxmlformats.org/officeDocument/2006/relationships/hyperlink" Target="http://www.oas.org/en/iachr/reports/pdfs/Brasil2021-en.pdf" TargetMode="External"/><Relationship Id="rId482" Type="http://schemas.openxmlformats.org/officeDocument/2006/relationships/hyperlink" Target="https://deathpenaltyinfo.org/news/north-carolina-supreme-court-strikes-down-racial-justice-actrepeal-permits-race-challenges-by-130-death-row-prisoners" TargetMode="External"/><Relationship Id="rId538" Type="http://schemas.openxmlformats.org/officeDocument/2006/relationships/hyperlink" Target="https://www.nytimes.com/2020/07/01/world/asia/japan-racism-black-lives-matter.html" TargetMode="External"/><Relationship Id="rId703" Type="http://schemas.openxmlformats.org/officeDocument/2006/relationships/hyperlink" Target="https://rsf.org/en/news/us-fueled-years-trumps-demonization-media-unprecedented-violence-breaks-out-against-journalists" TargetMode="External"/><Relationship Id="rId745" Type="http://schemas.openxmlformats.org/officeDocument/2006/relationships/hyperlink" Target="https://www.merkley.senate.gov/imo/media/doc/ICE%20and%20CBP%20at%20Demonstrations%20Letter.pdf" TargetMode="External"/><Relationship Id="rId910" Type="http://schemas.openxmlformats.org/officeDocument/2006/relationships/hyperlink" Target="http://restitutionreport2018.com/" TargetMode="External"/><Relationship Id="rId81" Type="http://schemas.openxmlformats.org/officeDocument/2006/relationships/hyperlink" Target="https://www.enar-eu.org/IMG/pdf/sr_key_findings-2.pdf" TargetMode="External"/><Relationship Id="rId135" Type="http://schemas.openxmlformats.org/officeDocument/2006/relationships/hyperlink" Target="https://www.ohchr.org/EN/NewsEvents/Pages/DisplayNews.aspx?NewsID=14751&amp;LangID=E" TargetMode="External"/><Relationship Id="rId177" Type="http://schemas.openxmlformats.org/officeDocument/2006/relationships/hyperlink" Target="https://ec.europa.eu/info/sites/default/files/report_on_the_application_of_the_racial_equality_directive_and_the_employment_equality_directive_en.pdf" TargetMode="External"/><Relationship Id="rId342" Type="http://schemas.openxmlformats.org/officeDocument/2006/relationships/hyperlink" Target="https://assets.publishing.service.gov.uk/government/uploads/system/uploads/attachment_data/file/%20643001/lammy-review-final-report.pdf" TargetMode="External"/><Relationship Id="rId384" Type="http://schemas.openxmlformats.org/officeDocument/2006/relationships/hyperlink" Target="http://www.oas.org/en/iachr/reports/pdfs/Brasil2021-en.pdf" TargetMode="External"/><Relationship Id="rId591" Type="http://schemas.openxmlformats.org/officeDocument/2006/relationships/hyperlink" Target="https://www.bbc.com/news/uk-england-london-52954899" TargetMode="External"/><Relationship Id="rId605" Type="http://schemas.openxmlformats.org/officeDocument/2006/relationships/hyperlink" Target="https://www.amnesty.org/download/Documents/AMR5132382020ENGLISH.PDF" TargetMode="External"/><Relationship Id="rId787" Type="http://schemas.openxmlformats.org/officeDocument/2006/relationships/hyperlink" Target="https://www.hrw.org/news/2020/06/30/belgium-moving-regrets-reparations" TargetMode="External"/><Relationship Id="rId812" Type="http://schemas.openxmlformats.org/officeDocument/2006/relationships/hyperlink" Target="https://www.charlotteobserver.com/news/nation-world/national/article244150107.html" TargetMode="External"/><Relationship Id="rId202" Type="http://schemas.openxmlformats.org/officeDocument/2006/relationships/hyperlink" Target="https://www.oas.org/en/iachr/afro-descendants/docs/pdf/afros_2011_eng.pdf" TargetMode="External"/><Relationship Id="rId244" Type="http://schemas.openxmlformats.org/officeDocument/2006/relationships/hyperlink" Target="https://www.un.org/en/observances/decade-people-african-descent/actions-taken" TargetMode="External"/><Relationship Id="rId647" Type="http://schemas.openxmlformats.org/officeDocument/2006/relationships/hyperlink" Target="https://www.liguedh.be/quand-les-citoyen%C2%B7ne%C2%B7s-utilisent-leur-droit-de-manifester-pour-denoncer-les-violences-policieres-les-forces-de-lordre-repondent-par-la-violence/" TargetMode="External"/><Relationship Id="rId689" Type="http://schemas.openxmlformats.org/officeDocument/2006/relationships/hyperlink" Target="https://www.theguardian.com/politics/live/2020/jun/08/uk-coronavirus-johnson-says-anti-racist-protests-were-subverted-by-thuggery-live-news-covid19-updates?page=with:block-5ede5e208f083999a26dc62d" TargetMode="External"/><Relationship Id="rId854" Type="http://schemas.openxmlformats.org/officeDocument/2006/relationships/hyperlink" Target="https://www.amnesty.org/fr/latest/news/2020/06/i-cant-breathe-refrain-reignited-movement/" TargetMode="External"/><Relationship Id="rId896" Type="http://schemas.openxmlformats.org/officeDocument/2006/relationships/hyperlink" Target="https://durhamnc.gov/DocumentCenter/View/32853/FINAL-REPORT-Durham-Racial-Equity-Task-Force-72220" TargetMode="External"/><Relationship Id="rId39" Type="http://schemas.openxmlformats.org/officeDocument/2006/relationships/hyperlink" Target="http://www.oas.org/en/iachr/reports/pdfs/PoliceUseOfForceAfrosUSA.pdf" TargetMode="External"/><Relationship Id="rId286" Type="http://schemas.openxmlformats.org/officeDocument/2006/relationships/hyperlink" Target="https://papers.ssrn.com/sol3/Delivery.cfm/SSRN_ID3832989_code249436.pdf?abstractid=%203832989&amp;mirid=1" TargetMode="External"/><Relationship Id="rId451" Type="http://schemas.openxmlformats.org/officeDocument/2006/relationships/hyperlink" Target="https://inquirycommission.org/website/wp-content/uploads/2021/04/Commission-Report-15-April.pdf" TargetMode="External"/><Relationship Id="rId493" Type="http://schemas.openxmlformats.org/officeDocument/2006/relationships/hyperlink" Target="https://chicagounbound.uchicago.edu/ihrc/14" TargetMode="External"/><Relationship Id="rId507" Type="http://schemas.openxmlformats.org/officeDocument/2006/relationships/hyperlink" Target="https://www.bbc.com/news/world-europe-53036388" TargetMode="External"/><Relationship Id="rId549" Type="http://schemas.openxmlformats.org/officeDocument/2006/relationships/hyperlink" Target="https://www.thehindu.com/news/international/concern-over-police-brutality-in-sri-lanka/article31798486.ece" TargetMode="External"/><Relationship Id="rId714" Type="http://schemas.openxmlformats.org/officeDocument/2006/relationships/hyperlink" Target="https://www.amnestyusa.org/wp-content/uploads/2020/07/WorldisWatchingFullReport080220.pdf" TargetMode="External"/><Relationship Id="rId756" Type="http://schemas.openxmlformats.org/officeDocument/2006/relationships/hyperlink" Target="https://www.ohchr.org/Documents/Issues/PublicAffairs/GuidelinesRightParticipatePublicAffairs_%20web.pdf" TargetMode="External"/><Relationship Id="rId921" Type="http://schemas.openxmlformats.org/officeDocument/2006/relationships/hyperlink" Target="https://www.theatlantic.com/education/archive/2019/04/why-are-georgetown-students-paying-reparations/587443/" TargetMode="External"/><Relationship Id="rId50" Type="http://schemas.openxmlformats.org/officeDocument/2006/relationships/hyperlink" Target="https://www150.statcan.gc.ca/t1/tbl1/fr/tv.action?pid=1110013502&amp;cubeTimeFrame.startYear=2016&amp;cubeTimeFrame.endYear=2016&amp;referencePeriods=20160101%2C20160101&amp;request_locale=fr" TargetMode="External"/><Relationship Id="rId104" Type="http://schemas.openxmlformats.org/officeDocument/2006/relationships/hyperlink" Target="https://spcommreports.ohchr.org/TMResultsBase/DownLoadPublicCommunicationFile?gId=25213" TargetMode="External"/><Relationship Id="rId146" Type="http://schemas.openxmlformats.org/officeDocument/2006/relationships/hyperlink" Target="https://www.ohchr.org/Documents/Countries/IT/ItalyMissionReport.pdf" TargetMode="External"/><Relationship Id="rId188" Type="http://schemas.openxmlformats.org/officeDocument/2006/relationships/hyperlink" Target="https://www.cncdh.fr/sites/default/files/rapport_racisme_2019_focus_racisme_anti-noirs_vdef.pdf" TargetMode="External"/><Relationship Id="rId311" Type="http://schemas.openxmlformats.org/officeDocument/2006/relationships/hyperlink" Target="https://www.oas.org/en/iachr/reports/pdfs/Brasil2021-en.pdf" TargetMode="External"/><Relationship Id="rId353" Type="http://schemas.openxmlformats.org/officeDocument/2006/relationships/hyperlink" Target="https://www.amnesty.org/fr/documents/act50/3487/2016/fr/" TargetMode="External"/><Relationship Id="rId395" Type="http://schemas.openxmlformats.org/officeDocument/2006/relationships/hyperlink" Target="https://www.ohchr.org/fr/documents/reports/ahrc4753-promotion-and-protection-human-rights-and-fundamental-freedoms-africans" TargetMode="External"/><Relationship Id="rId409" Type="http://schemas.openxmlformats.org/officeDocument/2006/relationships/hyperlink" Target="https://archive2021.parliament.scot/S5_HealthandSportCommittee/General%20Documents%20/20200521CSJtoMMSheku_Bayoh.pdf" TargetMode="External"/><Relationship Id="rId560" Type="http://schemas.openxmlformats.org/officeDocument/2006/relationships/hyperlink" Target="https://acleddata.com/2021/05/25/a-year-of-racial-justice-protests-key-trends-in-demonstrations-supporting-the-blm-movement/" TargetMode="External"/><Relationship Id="rId798" Type="http://schemas.openxmlformats.org/officeDocument/2006/relationships/hyperlink" Target="https://www.europarl.europa.eu/doceo/document/TA-9-2020-0173_FR.html" TargetMode="External"/><Relationship Id="rId92" Type="http://schemas.openxmlformats.org/officeDocument/2006/relationships/hyperlink" Target="https://www.gov.uk/government/news/government-working-with-midwives-medical-experts-and-academics-to-investigate-bame-maternal-mortality" TargetMode="External"/><Relationship Id="rId213" Type="http://schemas.openxmlformats.org/officeDocument/2006/relationships/hyperlink" Target="https://www.cepal.org/en/publications/44458-first-regional-report-implementation-montevideo-consensus-population-and" TargetMode="External"/><Relationship Id="rId420" Type="http://schemas.openxmlformats.org/officeDocument/2006/relationships/hyperlink" Target="https://ohchr.org/Documents/Publications/MinnesotaProtocol.pdf" TargetMode="External"/><Relationship Id="rId616" Type="http://schemas.openxmlformats.org/officeDocument/2006/relationships/hyperlink" Target="https://www.hrw.org/news/2020/09/14/kenosha-police-turned-blind-eye-us-vigilantes" TargetMode="External"/><Relationship Id="rId658" Type="http://schemas.openxmlformats.org/officeDocument/2006/relationships/hyperlink" Target="https://www.avonandsomerset.police.uk/news/2021/04/statement-after-apology-issued-to-four-people/" TargetMode="External"/><Relationship Id="rId823" Type="http://schemas.openxmlformats.org/officeDocument/2006/relationships/hyperlink" Target="https://www.elysee.fr/admin/upload/default/0001/09/0586b6b0ef1c2fc2540589c6d56a1ae63a65d97c.%20pdf" TargetMode="External"/><Relationship Id="rId865" Type="http://schemas.openxmlformats.org/officeDocument/2006/relationships/hyperlink" Target="https://static1.squarespace.com/static/5ef1dc3c44302c215912e2d3/t/60a62e7f8c2e2e1f8d7756b0/162%201503615191/20.05.21+Commission+Press+Statement+FINAL.pdf" TargetMode="External"/><Relationship Id="rId255" Type="http://schemas.openxmlformats.org/officeDocument/2006/relationships/hyperlink" Target="https://rm.coe.int/report-on-austria-6th-monitoring-cycle-/16809e826f" TargetMode="External"/><Relationship Id="rId297" Type="http://schemas.openxmlformats.org/officeDocument/2006/relationships/hyperlink" Target="https://www.aclu.org/sites/default/files/field_document/jus14-warcomeshome-text-rel1.pdf" TargetMode="External"/><Relationship Id="rId462" Type="http://schemas.openxmlformats.org/officeDocument/2006/relationships/hyperlink" Target="https://www.justice.gov/sites/default/files/opa/press-releases/attachments/2015/03/04/ferguson_police_department_report.pdf" TargetMode="External"/><Relationship Id="rId518" Type="http://schemas.openxmlformats.org/officeDocument/2006/relationships/hyperlink" Target="https://www.stop-racial-profiling.ch/en/2020/06/11/blm-en/" TargetMode="External"/><Relationship Id="rId725" Type="http://schemas.openxmlformats.org/officeDocument/2006/relationships/hyperlink" Target="https://rm.coe.int/lutter-contre-le-racisme-et-la-discrimination-raciale-a-l-egard-des-pe/1680a1c0d2" TargetMode="External"/><Relationship Id="rId932" Type="http://schemas.openxmlformats.org/officeDocument/2006/relationships/hyperlink" Target="https://unesdoc.unesco.org/ark:/48223/pf0000366348" TargetMode="External"/><Relationship Id="rId115" Type="http://schemas.openxmlformats.org/officeDocument/2006/relationships/hyperlink" Target="https://openknowledge.worldbank.org/handle/10986/30201" TargetMode="External"/><Relationship Id="rId157" Type="http://schemas.openxmlformats.org/officeDocument/2006/relationships/hyperlink" Target="https://mkcentrum.se/wp-content/uploads/2014/12/Afrofobi-20140203-executive-summary.pdf" TargetMode="External"/><Relationship Id="rId322" Type="http://schemas.openxmlformats.org/officeDocument/2006/relationships/hyperlink" Target="https://www.vera.org/downloads/publications/for-the-record-unjust-burden-racial-disparities.pdf" TargetMode="External"/><Relationship Id="rId364" Type="http://schemas.openxmlformats.org/officeDocument/2006/relationships/hyperlink" Target="https://www.fcnl.org/updates/2020-12/black-lives-matter-black-immigrants-lives-matter-black-asylum-seekers-lives-matter" TargetMode="External"/><Relationship Id="rId767" Type="http://schemas.openxmlformats.org/officeDocument/2006/relationships/hyperlink" Target="https://www.ohchr.org/fr/instruments-mechanisms/instruments/code-conduct-law-enforcement-officials" TargetMode="External"/><Relationship Id="rId61" Type="http://schemas.openxmlformats.org/officeDocument/2006/relationships/hyperlink" Target="https://www.defenseurdesdroits.fr/sites/default/files/atoms/files/171213_ddd_ead_discrimination_logement_num_0.pdf" TargetMode="External"/><Relationship Id="rId199" Type="http://schemas.openxmlformats.org/officeDocument/2006/relationships/hyperlink" Target="https://rm.coe.int/lutter-contre-le-racisme-et-la-discrimination-raciale-a-l-egard-des-pe/1680a1c0d2" TargetMode="External"/><Relationship Id="rId571" Type="http://schemas.openxmlformats.org/officeDocument/2006/relationships/hyperlink" Target="https://spcommreports.ohchr.org/TMResultsBase/DownLoadPublicCommunicationFile?gId=25335" TargetMode="External"/><Relationship Id="rId627" Type="http://schemas.openxmlformats.org/officeDocument/2006/relationships/hyperlink" Target="https://news.un.org/en/story/2020/07/1068971" TargetMode="External"/><Relationship Id="rId669" Type="http://schemas.openxmlformats.org/officeDocument/2006/relationships/hyperlink" Target="https://www.ohchr.org/EN/NewsEvents/Pages/DisplayNews.aspx?NewsID=27060&amp;LangID=E" TargetMode="External"/><Relationship Id="rId834" Type="http://schemas.openxmlformats.org/officeDocument/2006/relationships/hyperlink" Target="https://www.greeneking.co.uk/newsroom/latest-news/greene-king-pledges-new-five-year-commitment-with-the-prince-s-trust-to-create-1000-job-opportunities-for-young-people-and-drive-bame-diversity-across-the-business/" TargetMode="External"/><Relationship Id="rId876" Type="http://schemas.openxmlformats.org/officeDocument/2006/relationships/hyperlink" Target="https://acs-aec.org/index.php?q=press-center/releases/2019/sg-soomer-75-years-after-capitalism-and-slavery-work-still-important" TargetMode="External"/><Relationship Id="rId19" Type="http://schemas.openxmlformats.org/officeDocument/2006/relationships/hyperlink" Target="https://www.worldbank.org/en/region/lac/brief/afro-descendants-in-latin-america" TargetMode="External"/><Relationship Id="rId224" Type="http://schemas.openxmlformats.org/officeDocument/2006/relationships/hyperlink" Target="https://www.ardi-ep.eu/save-the-date-european-summit-against-racism-to-be-virtually-held-on-19-march-2021/" TargetMode="External"/><Relationship Id="rId266" Type="http://schemas.openxmlformats.org/officeDocument/2006/relationships/hyperlink" Target="https://www.ilexaccionjuridica.org/wp-content/uploads/2020/06/Abuso-Policial-Final-web.pdf" TargetMode="External"/><Relationship Id="rId431" Type="http://schemas.openxmlformats.org/officeDocument/2006/relationships/hyperlink" Target="https://chicagounbound.uchicago.edu/cgi/viewcontent.cgi?article=1014&amp;context=ihrc" TargetMode="External"/><Relationship Id="rId473" Type="http://schemas.openxmlformats.org/officeDocument/2006/relationships/hyperlink" Target="https://www.amnesty.org/fr/latest/news/2020/06/i-cant-breathe-refrain-reignited-movement/" TargetMode="External"/><Relationship Id="rId529" Type="http://schemas.openxmlformats.org/officeDocument/2006/relationships/hyperlink" Target="https://monitor.civicus.org/updates/2020/07/20/protests-against-police-brutality-and-harassment-black-and-first-nations-people-across-canada/" TargetMode="External"/><Relationship Id="rId680" Type="http://schemas.openxmlformats.org/officeDocument/2006/relationships/hyperlink" Target="https://www.oas.org/en/iachr/media_center/PReleases/2020/129.asp" TargetMode="External"/><Relationship Id="rId736" Type="http://schemas.openxmlformats.org/officeDocument/2006/relationships/hyperlink" Target="https://spcommreports.ohchr.org/TMResultsBase/DownLoadPublicCommunicationFile?gId=24886" TargetMode="External"/><Relationship Id="rId901" Type="http://schemas.openxmlformats.org/officeDocument/2006/relationships/hyperlink" Target="https://www.theguardian.com/world/2002/sep/05/usa.duncancampbell" TargetMode="External"/><Relationship Id="rId30" Type="http://schemas.openxmlformats.org/officeDocument/2006/relationships/hyperlink" Target="https://www.census.gov/library/stories/2020/09/poverty-rates-for-blacks-and-hispanics-reached-historic-lows-in-2019.html" TargetMode="External"/><Relationship Id="rId126" Type="http://schemas.openxmlformats.org/officeDocument/2006/relationships/hyperlink" Target="https://assembly.coe.int/LifeRay/EGA/Pdf/Press/2021/20210316-Afrophobie-prov-FR.pdf" TargetMode="External"/><Relationship Id="rId168" Type="http://schemas.openxmlformats.org/officeDocument/2006/relationships/hyperlink" Target="https://rm.coe.int/cinquieme-rapport-sur-la-france/16808b572e" TargetMode="External"/><Relationship Id="rId333" Type="http://schemas.openxmlformats.org/officeDocument/2006/relationships/hyperlink" Target="https://www.ohchr.org/EN/NewsEvents/Pages/DisplayNews.aspx?NewsID=24529&amp;LangID=E" TargetMode="External"/><Relationship Id="rId540" Type="http://schemas.openxmlformats.org/officeDocument/2006/relationships/hyperlink" Target="https://hchr.org.mx/comunicados/la-onu-dh-condena-la-muerte-en-custodia-de-alejandro-giovanni-lopez-ramirez-en-jalisco/" TargetMode="External"/><Relationship Id="rId778" Type="http://schemas.openxmlformats.org/officeDocument/2006/relationships/hyperlink" Target="https://www.congress.gov/bill/117th-congress/house-concurrent-resolution/19?q=%7B%22search%22%3A%5B%22racial+healing%22%5D%7D&amp;s=6&amp;r=2" TargetMode="External"/><Relationship Id="rId72" Type="http://schemas.openxmlformats.org/officeDocument/2006/relationships/hyperlink" Target="http://www.worldbank.org/en/region/lac/brief/afro-descendants-in-latin-america" TargetMode="External"/><Relationship Id="rId375" Type="http://schemas.openxmlformats.org/officeDocument/2006/relationships/hyperlink" Target="https://44bbdc6e-01a4-4a9a-88bc-731c6524888e.filesusr.com/ugd/62e126_8752f0575a22470ba7c7be7f723ed6ee.pdf" TargetMode="External"/><Relationship Id="rId582" Type="http://schemas.openxmlformats.org/officeDocument/2006/relationships/hyperlink" Target="https://www.amnestyusa.org/protest-map/" TargetMode="External"/><Relationship Id="rId638" Type="http://schemas.openxmlformats.org/officeDocument/2006/relationships/hyperlink" Target="http://www.ohchr.org/EN/NewsEvents/Pages/DisplayNews.aspx?NewsID=25948&amp;LangID=E" TargetMode="External"/><Relationship Id="rId803" Type="http://schemas.openxmlformats.org/officeDocument/2006/relationships/hyperlink" Target="https://lis.virginia.gov/cgi-bin/legp604.exe?071+ful+HJ728ER" TargetMode="External"/><Relationship Id="rId845" Type="http://schemas.openxmlformats.org/officeDocument/2006/relationships/hyperlink" Target="https://rules.house.gov/sites/democrats.rules.house.gov/files/BILLS-117S475EIS.pdf" TargetMode="External"/><Relationship Id="rId3" Type="http://schemas.openxmlformats.org/officeDocument/2006/relationships/hyperlink" Target="https://www.ohchr.org/fr/stories/2021/04/verdict-testament-courage-perseverance-and-justice" TargetMode="External"/><Relationship Id="rId235" Type="http://schemas.openxmlformats.org/officeDocument/2006/relationships/hyperlink" Target="https://www.cepal.org/en/publications/44458-first-regional-report-implementation-montevideo-consensus-population-and" TargetMode="External"/><Relationship Id="rId277" Type="http://schemas.openxmlformats.org/officeDocument/2006/relationships/hyperlink" Target="https://files.eric.ed.gov/fulltext/EJ870076.pdf" TargetMode="External"/><Relationship Id="rId400" Type="http://schemas.openxmlformats.org/officeDocument/2006/relationships/hyperlink" Target="https://assets.publishing.service.gov.uk/government/uploads/system/uploads/attachment_data/file/859076/guide-to-coroner-services-bereaved-people-jan-2020.pdf" TargetMode="External"/><Relationship Id="rId442" Type="http://schemas.openxmlformats.org/officeDocument/2006/relationships/hyperlink" Target="https://www.justice.gov/opa/file/925846/download" TargetMode="External"/><Relationship Id="rId484" Type="http://schemas.openxmlformats.org/officeDocument/2006/relationships/hyperlink" Target="https://ec.europa.eu/info/sites/default/files/a_union_of_equality_eu_action_plan_against_racism_2020_-2025_fr.pdf" TargetMode="External"/><Relationship Id="rId705" Type="http://schemas.openxmlformats.org/officeDocument/2006/relationships/hyperlink" Target="https://www.press.org/newsroom/journalism-groups-call-police-nationwide-halt-use-violence-arrests-against-journalists" TargetMode="External"/><Relationship Id="rId887" Type="http://schemas.openxmlformats.org/officeDocument/2006/relationships/hyperlink" Target="https://www.theguardian.com/us-news/2020/jan/19/reparations-program-evanston-illinois-african-americans-slavery" TargetMode="External"/><Relationship Id="rId137" Type="http://schemas.openxmlformats.org/officeDocument/2006/relationships/hyperlink" Target="https://publications.parliament.uk/pa/jt5801/jtselect/jtrights/559/55906.htm" TargetMode="External"/><Relationship Id="rId302" Type="http://schemas.openxmlformats.org/officeDocument/2006/relationships/hyperlink" Target="http://www.oas.org/en/iachr/reports/pdfs/Brasil2021-en.pdf" TargetMode="External"/><Relationship Id="rId344" Type="http://schemas.openxmlformats.org/officeDocument/2006/relationships/hyperlink" Target="https://www.vice.com/en/article/d35eyq/black-and-indigenous-people-are-overrepresented-in-canadas-weed-arrests" TargetMode="External"/><Relationship Id="rId691" Type="http://schemas.openxmlformats.org/officeDocument/2006/relationships/hyperlink" Target="https://www.bristol.gov.uk/policies-plans-strategies/we-are-bristol-history-commission" TargetMode="External"/><Relationship Id="rId747" Type="http://schemas.openxmlformats.org/officeDocument/2006/relationships/hyperlink" Target="https://wearemitu.com/things-that-matter/ice-is-arresting-and-deporting-undocumented-marchers-who-attend-black-lives-matter-protests/" TargetMode="External"/><Relationship Id="rId789" Type="http://schemas.openxmlformats.org/officeDocument/2006/relationships/hyperlink" Target="https://www.independent.co.uk/news/world/europe/belgium-king-leopold-statue-who-colonial-africa-congo-black-lives-matter-a9560291.html" TargetMode="External"/><Relationship Id="rId912" Type="http://schemas.openxmlformats.org/officeDocument/2006/relationships/hyperlink" Target="https://www.brusselstimes.com/news/belgium-all-news/174486/africa-museum-will-return-stolen-artworks-to-congo/?fbclid=IwAR0tcc_4o6p4zlajONC1_KV4J4P-blSFPZA7jM1g6CuwNyljHoKtdyrZCpk" TargetMode="External"/><Relationship Id="rId41" Type="http://schemas.openxmlformats.org/officeDocument/2006/relationships/hyperlink" Target="https://www.statewatch.org/media/documents/news/2018/mar/eu-com-data-collection-field-of-equality-study-2017.pdf" TargetMode="External"/><Relationship Id="rId83" Type="http://schemas.openxmlformats.org/officeDocument/2006/relationships/hyperlink" Target="https://www2.ed.gov/about/offices/list/ocr/docs/crdc-discipline-snapshot.pdf" TargetMode="External"/><Relationship Id="rId179" Type="http://schemas.openxmlformats.org/officeDocument/2006/relationships/hyperlink" Target="https://www.gov.uk/government/publications/race-disparity-audit" TargetMode="External"/><Relationship Id="rId386" Type="http://schemas.openxmlformats.org/officeDocument/2006/relationships/hyperlink" Target="https://www.oas.org/en/iachr/reports/pdfs/Brasil2021-en.pdf" TargetMode="External"/><Relationship Id="rId551" Type="http://schemas.openxmlformats.org/officeDocument/2006/relationships/hyperlink" Target="https://www.rts.ch/info/suisse/11398030-contre-le-racisme-des-manifestations-dans-plusieurs-villes-de-suisse.html" TargetMode="External"/><Relationship Id="rId593" Type="http://schemas.openxmlformats.org/officeDocument/2006/relationships/hyperlink" Target="https://monitor.civicus.org/updates/2020/12/15/peaceful-assembly-under-threat-crackdown-environmental-and-blm-protesters/" TargetMode="External"/><Relationship Id="rId607" Type="http://schemas.openxmlformats.org/officeDocument/2006/relationships/hyperlink" Target="https://monitor.civicus.org/updates/2021/01/08/authorities-fail-protect-anti-racism-protesters-climate-protests-staged/" TargetMode="External"/><Relationship Id="rId649" Type="http://schemas.openxmlformats.org/officeDocument/2006/relationships/hyperlink" Target="https://www.theguardian.com/world/2020/aug/25/black-organiser-of-uk-anti-racism-rally-threatened-with-arrest" TargetMode="External"/><Relationship Id="rId814" Type="http://schemas.openxmlformats.org/officeDocument/2006/relationships/hyperlink" Target="https://drive.google.com/file/d/1WKialVISWzu72mhasyy9SslDbVGMSj5U/view" TargetMode="External"/><Relationship Id="rId856" Type="http://schemas.openxmlformats.org/officeDocument/2006/relationships/hyperlink" Target="https://www.independent.co.uk/news/uk/home-news/sadiq-khan-statues-london-diversity-edward-colston-black-lives-matter-a9555941.html" TargetMode="External"/><Relationship Id="rId190" Type="http://schemas.openxmlformats.org/officeDocument/2006/relationships/hyperlink" Target="https://ec.europa.eu/newsroom/just/item-detail.cfm?item_id=51025" TargetMode="External"/><Relationship Id="rId204" Type="http://schemas.openxmlformats.org/officeDocument/2006/relationships/hyperlink" Target="https://op.europa.eu/en/publication-detail/-/publication/b2e52f4f-7f8c-11e3-9b7d-01aa75ed71a1/language-fr" TargetMode="External"/><Relationship Id="rId246" Type="http://schemas.openxmlformats.org/officeDocument/2006/relationships/hyperlink" Target="https://fra.europa.eu/sites/default/files/fra_uploads/fra-2018-fundamental-rights-report-2018_en.pdf" TargetMode="External"/><Relationship Id="rId288" Type="http://schemas.openxmlformats.org/officeDocument/2006/relationships/hyperlink" Target="https://www.enar-eu.org/IMG/pdf/shadowreport_afrophobia_final_with_corrections.pdf" TargetMode="External"/><Relationship Id="rId411" Type="http://schemas.openxmlformats.org/officeDocument/2006/relationships/hyperlink" Target="https://www.justice.gov/opa/pr/attorney-general-merrick-b-garland-announces-investigation-city-minneapolis-minnesota-and" TargetMode="External"/><Relationship Id="rId453" Type="http://schemas.openxmlformats.org/officeDocument/2006/relationships/hyperlink" Target="https://www.reuters.com/article/us-usa-race-georgefloyd-lawsuit-idUSKBN2B42GX" TargetMode="External"/><Relationship Id="rId509" Type="http://schemas.openxmlformats.org/officeDocument/2006/relationships/hyperlink" Target="https://www.france24.com/fr/france/20201128-en-direct-manifestations-contre-la-loi-s%C3%A9curit%C3%A9-globale-dans-toute-la-france" TargetMode="External"/><Relationship Id="rId660" Type="http://schemas.openxmlformats.org/officeDocument/2006/relationships/hyperlink" Target="https://www.hrw.org/report/2020/09/30/kettling-protesters-bronx/systemic-police-brutality-and-its-costs-united-states" TargetMode="External"/><Relationship Id="rId898" Type="http://schemas.openxmlformats.org/officeDocument/2006/relationships/hyperlink" Target="https://www.providenceri.gov/mayor-jorge-elorza-joins-community-members-launching-truth-telling-phase/" TargetMode="External"/><Relationship Id="rId106" Type="http://schemas.openxmlformats.org/officeDocument/2006/relationships/hyperlink" Target="https://ainowinstitute.org/discriminatingsystems.pdf" TargetMode="External"/><Relationship Id="rId313" Type="http://schemas.openxmlformats.org/officeDocument/2006/relationships/hyperlink" Target="https://ponte.org/negros-audiencia-de-custodia/" TargetMode="External"/><Relationship Id="rId495" Type="http://schemas.openxmlformats.org/officeDocument/2006/relationships/hyperlink" Target="https://www.who.int/mental_health/policy/quality_rights/en/" TargetMode="External"/><Relationship Id="rId716" Type="http://schemas.openxmlformats.org/officeDocument/2006/relationships/hyperlink" Target="https://phr.org/our-work/resources/a-targeted-attack-on-the-bronx/" TargetMode="External"/><Relationship Id="rId758" Type="http://schemas.openxmlformats.org/officeDocument/2006/relationships/hyperlink" Target="https://www.ohchr.org/fr/2021/03/oral-update-high-commissioner-human-rights-implementation-ahrcres431-promotion-and?LangID=F&amp;NewsID=2692" TargetMode="External"/><Relationship Id="rId923" Type="http://schemas.openxmlformats.org/officeDocument/2006/relationships/hyperlink" Target="https://www.washingtonpost.com/education/2019/10/03/georgetown-students-protest-demanding-action-reparations-descendants-enslaved-people/" TargetMode="External"/><Relationship Id="rId10" Type="http://schemas.openxmlformats.org/officeDocument/2006/relationships/hyperlink" Target="https://www.un.org/fr/durbanreview2009/ddpa.shtml" TargetMode="External"/><Relationship Id="rId52" Type="http://schemas.openxmlformats.org/officeDocument/2006/relationships/hyperlink" Target="https://drive.google.com/file/d/1Aqmk7Wp3Ppf6wZUTM-ho9O8Dpwjr00vo/view" TargetMode="External"/><Relationship Id="rId94" Type="http://schemas.openxmlformats.org/officeDocument/2006/relationships/hyperlink" Target="https://www.ohchr.org/EN/NewsEvents/Pages/DisplayNews.aspx?NewsID=25916" TargetMode="External"/><Relationship Id="rId148" Type="http://schemas.openxmlformats.org/officeDocument/2006/relationships/hyperlink" Target="http://www.europarl.europa.eu/doceo/document/TA-8-2019-0239_FR.html" TargetMode="External"/><Relationship Id="rId355" Type="http://schemas.openxmlformats.org/officeDocument/2006/relationships/hyperlink" Target="https://mappingpoliceviolence.org/" TargetMode="External"/><Relationship Id="rId397" Type="http://schemas.openxmlformats.org/officeDocument/2006/relationships/hyperlink" Target="https://www.ohchr.org/fr/documents/reports/ahrc4753-promotion-and-protection-human-rights-and-fundamental-freedoms-africans" TargetMode="External"/><Relationship Id="rId520" Type="http://schemas.openxmlformats.org/officeDocument/2006/relationships/hyperlink" Target="https://www.theneweuropean.co.uk/brexit-news/anti-racism-protests-reveal-europes-own-problems-85082" TargetMode="External"/><Relationship Id="rId562" Type="http://schemas.openxmlformats.org/officeDocument/2006/relationships/hyperlink" Target="https://www.ohchr.org/EN/NewsEvents/Pages/DisplayNews.aspx?NewsID=25922&amp;LangID=E" TargetMode="External"/><Relationship Id="rId618" Type="http://schemas.openxmlformats.org/officeDocument/2006/relationships/hyperlink" Target="https://secureservercdn.net/50.62.198.70/561.6fe.myftpupload.com/wp-content/uploads/2020/11/Britain-is-not-innocent-web-version.pdf" TargetMode="External"/><Relationship Id="rId825" Type="http://schemas.openxmlformats.org/officeDocument/2006/relationships/hyperlink" Target="https://www.nytimes.com/2021/01/20/world/europe/france-algeria-war-report.html" TargetMode="External"/><Relationship Id="rId215" Type="http://schemas.openxmlformats.org/officeDocument/2006/relationships/hyperlink" Target="https://assembly.coe.int/LifeRay/EGA/Pdf/Press/2021/20210316-Afrophobie-prov-FR.pdf" TargetMode="External"/><Relationship Id="rId257" Type="http://schemas.openxmlformats.org/officeDocument/2006/relationships/hyperlink" Target="https://fra.europa.eu/sites/default/files/fra_uploads/fra-2018-being-black-in-the-eu_en.pdf" TargetMode="External"/><Relationship Id="rId422" Type="http://schemas.openxmlformats.org/officeDocument/2006/relationships/hyperlink" Target="https://www.unodc.org/documents/justice-and-prison-reform/crimeprevention/PoliceAccountability_Oversight_and_Integrity_10-57991_Ebook.pdf" TargetMode="External"/><Relationship Id="rId464" Type="http://schemas.openxmlformats.org/officeDocument/2006/relationships/hyperlink" Target="https://www.dhs.gov/news/2014/12/08/fact-sheet-us-department-justice-racial-profiling-guidance" TargetMode="External"/><Relationship Id="rId867" Type="http://schemas.openxmlformats.org/officeDocument/2006/relationships/hyperlink" Target="https://www.bordeaux.fr/p137697/modeste-testas" TargetMode="External"/><Relationship Id="rId299" Type="http://schemas.openxmlformats.org/officeDocument/2006/relationships/hyperlink" Target="https://inquirycommission.org/website/wp-content/uploads/2021/04/Commission-Report-15-April.pdf" TargetMode="External"/><Relationship Id="rId727" Type="http://schemas.openxmlformats.org/officeDocument/2006/relationships/hyperlink" Target="https://www.ohchr.org/EN/NewsEvents/Pages/DisplayNews.aspx?NewsID=26806&amp;LangID=E" TargetMode="External"/><Relationship Id="rId934" Type="http://schemas.openxmlformats.org/officeDocument/2006/relationships/hyperlink" Target="https://pdba.georgetown.edu/Constitutions/Ecuador/english08.html" TargetMode="External"/><Relationship Id="rId63" Type="http://schemas.openxmlformats.org/officeDocument/2006/relationships/hyperlink" Target="https://www.whitehouse.gov/briefing-room/presidential-actions/2021/01/26/memorandum-on-redressing-our-nations-and-the-federal-governments-history-of-discriminatory-housing-practices-and-policies/" TargetMode="External"/><Relationship Id="rId159" Type="http://schemas.openxmlformats.org/officeDocument/2006/relationships/hyperlink" Target="https://spcommreports.ohchr.org/TMResultsBase/DownLoadPublicCommunicationFile?gId=23609" TargetMode="External"/><Relationship Id="rId366" Type="http://schemas.openxmlformats.org/officeDocument/2006/relationships/hyperlink" Target="https://www.ohchr.org/en/NewsEvents/Pages/DisplayNews.aspx?NewsID=16270&amp;LangID=E" TargetMode="External"/><Relationship Id="rId573" Type="http://schemas.openxmlformats.org/officeDocument/2006/relationships/hyperlink" Target="https://www.ohchr.org/EN/NewsEvents/Pages/DisplayNews.aspx?NewsID=25948&amp;LangID=E" TargetMode="External"/><Relationship Id="rId780" Type="http://schemas.openxmlformats.org/officeDocument/2006/relationships/hyperlink" Target="https://msa.maryland.gov/lynching-truth-reconciliation/pdf/interim-report.pdf" TargetMode="External"/><Relationship Id="rId226" Type="http://schemas.openxmlformats.org/officeDocument/2006/relationships/hyperlink" Target="https://www.whitehouse.gov/briefing-room/presidential-actions/2021/01/20/executive-order-advancing-racial-equity-and-support-for-underserved-communities-through-the-federal-government/" TargetMode="External"/><Relationship Id="rId433" Type="http://schemas.openxmlformats.org/officeDocument/2006/relationships/hyperlink" Target="https://inquirycommission.org/website/wp-content/uploads/2021/04/Commission-Report-15-April.pdf" TargetMode="External"/><Relationship Id="rId878" Type="http://schemas.openxmlformats.org/officeDocument/2006/relationships/hyperlink" Target="https://caricomreparations.org/caricom/caricoms-10-point-reparation-plan/" TargetMode="External"/><Relationship Id="rId640" Type="http://schemas.openxmlformats.org/officeDocument/2006/relationships/hyperlink" Target="https://apnews.com/article/c51f66bd298157c52520ef56026e4857" TargetMode="External"/><Relationship Id="rId738" Type="http://schemas.openxmlformats.org/officeDocument/2006/relationships/hyperlink" Target="https://www.ohchr.org/EN/NewsEvents/Pages/DisplayNews.aspx?NewsID=22901" TargetMode="External"/><Relationship Id="rId74" Type="http://schemas.openxmlformats.org/officeDocument/2006/relationships/hyperlink" Target="http://www.enar-eu.org/IMG/pdf/sr_key_findings-2.pdf" TargetMode="External"/><Relationship Id="rId377" Type="http://schemas.openxmlformats.org/officeDocument/2006/relationships/hyperlink" Target="http://www.oas.org/en/iachr/reports/pdfs/violencelgbtipersons.pdf" TargetMode="External"/><Relationship Id="rId500" Type="http://schemas.openxmlformats.org/officeDocument/2006/relationships/hyperlink" Target="https://www.ohchr.org/fr/instruments-mechanisms/instruments/declaration-basic-principles-justice-victims-crime-and-abuse" TargetMode="External"/><Relationship Id="rId584" Type="http://schemas.openxmlformats.org/officeDocument/2006/relationships/hyperlink" Target="https://www.aclu.org/news/criminal-law-reform/the-law-enforcement-violence-trump-wont-talk-about/" TargetMode="External"/><Relationship Id="rId805" Type="http://schemas.openxmlformats.org/officeDocument/2006/relationships/hyperlink" Target="https://mgaleg.maryland.gov/mgawebsite/Search/Legislation?target=/2007rs/billfile/sj0006.htm" TargetMode="External"/><Relationship Id="rId5" Type="http://schemas.openxmlformats.org/officeDocument/2006/relationships/hyperlink" Target="https://www.ohchr.org/fr/stories/2021/04/verdict-testament-courage-perseverance-and-justice" TargetMode="External"/><Relationship Id="rId237" Type="http://schemas.openxmlformats.org/officeDocument/2006/relationships/hyperlink" Target="https://www.un.org/en/observances/decade-people-african-descent/actions-taken" TargetMode="External"/><Relationship Id="rId791" Type="http://schemas.openxmlformats.org/officeDocument/2006/relationships/hyperlink" Target="https://www.rijksoverheid.nl/actueel/nieuws/2020/07/01/start-dialooggroep-slavernijverleden" TargetMode="External"/><Relationship Id="rId889" Type="http://schemas.openxmlformats.org/officeDocument/2006/relationships/hyperlink" Target="https://www.theguardian.com/us-news/2016/jan/03/rosewood-florida-massacre-racial-violence-reparations" TargetMode="External"/><Relationship Id="rId444" Type="http://schemas.openxmlformats.org/officeDocument/2006/relationships/hyperlink" Target="https://www.justice.gov/crt/file/883296/download" TargetMode="External"/><Relationship Id="rId651" Type="http://schemas.openxmlformats.org/officeDocument/2006/relationships/hyperlink" Target="https://www.amnesty.org.uk/press-releases/laws-restricting-protest-northern-ireland-unacceptable" TargetMode="External"/><Relationship Id="rId749" Type="http://schemas.openxmlformats.org/officeDocument/2006/relationships/hyperlink" Target="https://www.nilc.org/issues/immigration-enforcement/immigrant-participation-in-protests-rights/" TargetMode="External"/><Relationship Id="rId290" Type="http://schemas.openxmlformats.org/officeDocument/2006/relationships/hyperlink" Target="https://www.ilexaccionjuridica.org/wp-content/uploads/2020/06/Abuso-Policial-Final-web.pdf" TargetMode="External"/><Relationship Id="rId304" Type="http://schemas.openxmlformats.org/officeDocument/2006/relationships/hyperlink" Target="http://www.oas.org/en/iachr/reports/pdfs/PoliceUseOfForceAfrosUSA.pdf" TargetMode="External"/><Relationship Id="rId388" Type="http://schemas.openxmlformats.org/officeDocument/2006/relationships/hyperlink" Target="http://www.oas.org/en/iachr/media_center/PReleases/2020/187.asp" TargetMode="External"/><Relationship Id="rId511" Type="http://schemas.openxmlformats.org/officeDocument/2006/relationships/hyperlink" Target="https://www.npr.org/2020/12/30/950053607/in-2020-protests-spread-across-the-globe-with-a-similar-message-black-lives-matt" TargetMode="External"/><Relationship Id="rId609" Type="http://schemas.openxmlformats.org/officeDocument/2006/relationships/hyperlink" Target="https://nltimes.nl/2017/11/18/white-extremists-stop-anti-blackface-rally-officials-say-zwarte-piet-protestors-welcome" TargetMode="External"/><Relationship Id="rId85" Type="http://schemas.openxmlformats.org/officeDocument/2006/relationships/hyperlink" Target="http://www.europarl.europa.eu/doceo/document/TA-8-2019-0239_FR.html" TargetMode="External"/><Relationship Id="rId150" Type="http://schemas.openxmlformats.org/officeDocument/2006/relationships/hyperlink" Target="https://www.visionofhumanity.org/wp-content/uploads/2020/11/GTI-2020-web-2.pdf" TargetMode="External"/><Relationship Id="rId595" Type="http://schemas.openxmlformats.org/officeDocument/2006/relationships/hyperlink" Target="https://covid19.inclo.net/2020/06/23/united-kingdom-anti-lockdown-protests-and-blm-solidarity-marches/" TargetMode="External"/><Relationship Id="rId816" Type="http://schemas.openxmlformats.org/officeDocument/2006/relationships/hyperlink" Target="https://www.georgetown.edu/news/georgetown-apologizes-for-1838-sale-of-272-slaves-dedicates-buildings/" TargetMode="External"/><Relationship Id="rId248" Type="http://schemas.openxmlformats.org/officeDocument/2006/relationships/hyperlink" Target="https://www.europarl.europa.eu/doceo/document/TA-8-2019-0239_FR.pdf" TargetMode="External"/><Relationship Id="rId455" Type="http://schemas.openxmlformats.org/officeDocument/2006/relationships/hyperlink" Target="https://www.minneapolismn.gov/government/programs-initiatives/38th-chicago/" TargetMode="External"/><Relationship Id="rId662" Type="http://schemas.openxmlformats.org/officeDocument/2006/relationships/hyperlink" Target="https://www.bbc.com/news/world-australia-52947115" TargetMode="External"/><Relationship Id="rId12" Type="http://schemas.openxmlformats.org/officeDocument/2006/relationships/hyperlink" Target="https://www.un.org/womenwatch/daw/csw/genrac/report.htm" TargetMode="External"/><Relationship Id="rId108" Type="http://schemas.openxmlformats.org/officeDocument/2006/relationships/hyperlink" Target="https://dl.acm.org/doi/10.1145/3287560.3287593" TargetMode="External"/><Relationship Id="rId315" Type="http://schemas.openxmlformats.org/officeDocument/2006/relationships/hyperlink" Target="https://www.sentencingproject.org/wp-content/uploads/2021/06/Trends-in-US-Corrections.pdf" TargetMode="External"/><Relationship Id="rId522" Type="http://schemas.openxmlformats.org/officeDocument/2006/relationships/hyperlink" Target="https://www.infobae.com/america/agencias/2020/06/02/manifestantes-marchan-en-buenos-aires-por-la-muerte-de-george-floyd-en-eeuu/" TargetMode="External"/><Relationship Id="rId96" Type="http://schemas.openxmlformats.org/officeDocument/2006/relationships/hyperlink" Target="https://www.ncbi.nlm.nih.gov/pmc/articles/PMC7441277/" TargetMode="External"/><Relationship Id="rId161" Type="http://schemas.openxmlformats.org/officeDocument/2006/relationships/hyperlink" Target="https://www.ohchr.org/Documents/Issues/Racism/WGEAPD/Guidelines_inclusion_2030_Agenda.pdf" TargetMode="External"/><Relationship Id="rId399" Type="http://schemas.openxmlformats.org/officeDocument/2006/relationships/hyperlink" Target="https://www.policeconduct.gov.uk/" TargetMode="External"/><Relationship Id="rId827" Type="http://schemas.openxmlformats.org/officeDocument/2006/relationships/hyperlink" Target="https://www.dw.com/en/namibia-germany-reparations/a-54535589" TargetMode="External"/><Relationship Id="rId259" Type="http://schemas.openxmlformats.org/officeDocument/2006/relationships/hyperlink" Target="https://ucr.fbi.gov/crime-in-the-u.s/2019/crime-in-the-u.s.-2019/tables/table-43" TargetMode="External"/><Relationship Id="rId466" Type="http://schemas.openxmlformats.org/officeDocument/2006/relationships/hyperlink" Target="https://publications.parliament.uk/pa/cm200809/cmselect/cmhaff/427/427.pdf" TargetMode="External"/><Relationship Id="rId673" Type="http://schemas.openxmlformats.org/officeDocument/2006/relationships/hyperlink" Target="https://www.libertyhumanrights.org.uk/issue/liberty-responds-to-plans-to-fast-track-prosecutions-for-protesters/" TargetMode="External"/><Relationship Id="rId880" Type="http://schemas.openxmlformats.org/officeDocument/2006/relationships/hyperlink" Target="https://www.europarl.europa.eu/doceo/document/B-8-2019-0212_FR.html" TargetMode="External"/><Relationship Id="rId23" Type="http://schemas.openxmlformats.org/officeDocument/2006/relationships/hyperlink" Target="https://ec.europa.eu/info/sites/default/files/final_guidelines_4-10-18_without_date_july.pdf" TargetMode="External"/><Relationship Id="rId119" Type="http://schemas.openxmlformats.org/officeDocument/2006/relationships/hyperlink" Target="https://papers.ssrn.com/sol3/papers.cfm?abstract_id=3644684" TargetMode="External"/><Relationship Id="rId326" Type="http://schemas.openxmlformats.org/officeDocument/2006/relationships/hyperlink" Target="https://www.bbc.com/news/52890363" TargetMode="External"/><Relationship Id="rId533" Type="http://schemas.openxmlformats.org/officeDocument/2006/relationships/hyperlink" Target="https://www.cbc.ca/news/canada/toronto/protest-toronto-regis-korchinski-paquet-1.5591745" TargetMode="External"/><Relationship Id="rId740" Type="http://schemas.openxmlformats.org/officeDocument/2006/relationships/hyperlink" Target="https://spcommreports.ohchr.org/TMResultsBase/DownLoadPublicCommunicationFile?gId=24284" TargetMode="External"/><Relationship Id="rId838" Type="http://schemas.openxmlformats.org/officeDocument/2006/relationships/hyperlink" Target="https://www.amnesty.org/fr/latest/news/2020/06/i-cant-breathe-refrain-reignited-movement/" TargetMode="External"/><Relationship Id="rId172" Type="http://schemas.openxmlformats.org/officeDocument/2006/relationships/hyperlink" Target="https://op.europa.eu/en/publication-detail/-/publication/1dcc2e44-4370-11ea-b81b-01aa75ed71a1/language-en" TargetMode="External"/><Relationship Id="rId477" Type="http://schemas.openxmlformats.org/officeDocument/2006/relationships/hyperlink" Target="https://mn.gov/governor/news/?id=1055-441356" TargetMode="External"/><Relationship Id="rId600" Type="http://schemas.openxmlformats.org/officeDocument/2006/relationships/hyperlink" Target="https://www.reuters.com/article/us-minneapolis-police-protests-france-idUSKBN23K0J3" TargetMode="External"/><Relationship Id="rId684" Type="http://schemas.openxmlformats.org/officeDocument/2006/relationships/hyperlink" Target="https://www.federalregister.gov/documents/2020/07/02/2020-14509/protecting-american-monuments-memorials-and-statues-and-combating-recent-criminal-violence" TargetMode="External"/><Relationship Id="rId337" Type="http://schemas.openxmlformats.org/officeDocument/2006/relationships/hyperlink" Target="https://nij.ojp.gov/library/publications/race-differences-drug-offending-and-drug-distribution-arrests" TargetMode="External"/><Relationship Id="rId891" Type="http://schemas.openxmlformats.org/officeDocument/2006/relationships/hyperlink" Target="https://leginfo.legislature.ca.gov/faces/billTextClient.xhtml?bill_id=201920200AB3121&amp;search_%20keywords=reparations" TargetMode="External"/><Relationship Id="rId905" Type="http://schemas.openxmlformats.org/officeDocument/2006/relationships/hyperlink" Target="https://www.hrw.org/sites/default/files/media_2020/11/tulsa-reparations0520_web.pdf" TargetMode="External"/><Relationship Id="rId34" Type="http://schemas.openxmlformats.org/officeDocument/2006/relationships/hyperlink" Target="https://ec.europa.eu/migrant-integration/librarydoc/enar-shadow-report-racism-discrimination-in-employment-in-europe-2013-2017" TargetMode="External"/><Relationship Id="rId544" Type="http://schemas.openxmlformats.org/officeDocument/2006/relationships/hyperlink" Target="https://nltimes.nl/2020/06/02/thousands-attend-black-lives-matter-rallies-keeping-physical-distance" TargetMode="External"/><Relationship Id="rId751" Type="http://schemas.openxmlformats.org/officeDocument/2006/relationships/hyperlink" Target="https://www.oas.org/en/iachr/media_center/PReleases/2020/187.asp" TargetMode="External"/><Relationship Id="rId849" Type="http://schemas.openxmlformats.org/officeDocument/2006/relationships/hyperlink" Target="https://www.okhistory.org/research/forms/freport.pdf" TargetMode="External"/><Relationship Id="rId183" Type="http://schemas.openxmlformats.org/officeDocument/2006/relationships/hyperlink" Target="https://www.cepal.org/es/publicaciones/46191-afrodescendientes-la-matriz-la-desigualdad-social-america-latina-retos-la" TargetMode="External"/><Relationship Id="rId390" Type="http://schemas.openxmlformats.org/officeDocument/2006/relationships/hyperlink" Target="http://www.stf.jus.br/arquivo/cms/noticiaNoticiaStf/anexo/ADPF635DECISaO5DEJUNHODE20202.%20pdf" TargetMode="External"/><Relationship Id="rId404" Type="http://schemas.openxmlformats.org/officeDocument/2006/relationships/hyperlink" Target="https://www.justice.gov/opa/pr/department-justice-announces-investigation-louisvillejefferson-county-metro-government-and" TargetMode="External"/><Relationship Id="rId611" Type="http://schemas.openxmlformats.org/officeDocument/2006/relationships/hyperlink" Target="https://www.theguardian.com/us-news/2020/oct/29/us-police-brutality-protest" TargetMode="External"/><Relationship Id="rId250" Type="http://schemas.openxmlformats.org/officeDocument/2006/relationships/hyperlink" Target="https://www.ohchr.org/sites/default/files/Documents/Publications/HR_PUB_12_2_fr.pdf" TargetMode="External"/><Relationship Id="rId488" Type="http://schemas.openxmlformats.org/officeDocument/2006/relationships/hyperlink" Target="https://minorityrights.org/trends2020/" TargetMode="External"/><Relationship Id="rId695" Type="http://schemas.openxmlformats.org/officeDocument/2006/relationships/hyperlink" Target="https://news.un.org/fr/story/2020/06/1070582" TargetMode="External"/><Relationship Id="rId709" Type="http://schemas.openxmlformats.org/officeDocument/2006/relationships/hyperlink" Target="https://www.amnestyusa.org/press-releases/amnesty-international-usa-responds-to-andrea-sahouri-being-found-not-guilty/" TargetMode="External"/><Relationship Id="rId916" Type="http://schemas.openxmlformats.org/officeDocument/2006/relationships/hyperlink" Target="https://www.theguardian.com/uk/2006/feb/09/religion.world" TargetMode="External"/><Relationship Id="rId45" Type="http://schemas.openxmlformats.org/officeDocument/2006/relationships/hyperlink" Target="https://openknowledge.worldbank.org/handle/10986/30201" TargetMode="External"/><Relationship Id="rId110" Type="http://schemas.openxmlformats.org/officeDocument/2006/relationships/hyperlink" Target="https://algorithmwatch.ch/fr/racial-health-bias/" TargetMode="External"/><Relationship Id="rId348" Type="http://schemas.openxmlformats.org/officeDocument/2006/relationships/hyperlink" Target="https://documents.deathpenaltyinfo.org/pdf/FactSheet.pdf" TargetMode="External"/><Relationship Id="rId555" Type="http://schemas.openxmlformats.org/officeDocument/2006/relationships/hyperlink" Target="https://acleddata.com/2020/08/31/us-crisis-monitor-releases-full-data-for-summer-2020" TargetMode="External"/><Relationship Id="rId762" Type="http://schemas.openxmlformats.org/officeDocument/2006/relationships/hyperlink" Target="https://www.ohchr.org/EN/ProfessionalInterest/Pages/RightAndResponsibility.aspx" TargetMode="External"/><Relationship Id="rId194" Type="http://schemas.openxmlformats.org/officeDocument/2006/relationships/hyperlink" Target="https://www.enar-eu.org/IMG/pdf/sr_key_findings-2.pdf" TargetMode="External"/><Relationship Id="rId208" Type="http://schemas.openxmlformats.org/officeDocument/2006/relationships/hyperlink" Target="http://www.oas.org/en/sla/dil/inter_american_treaties_A-68_racism_signatories.asp" TargetMode="External"/><Relationship Id="rId415" Type="http://schemas.openxmlformats.org/officeDocument/2006/relationships/hyperlink" Target="https://www.corteidh.or.cr/docs/casos/articulos/seriec_333_esp.pdf" TargetMode="External"/><Relationship Id="rId622" Type="http://schemas.openxmlformats.org/officeDocument/2006/relationships/hyperlink" Target="https://www.ohchr.org/EN/NewsEvents/Pages/DisplayNews.aspx?NewsID=25933&amp;LangID=E" TargetMode="External"/><Relationship Id="rId261" Type="http://schemas.openxmlformats.org/officeDocument/2006/relationships/hyperlink" Target="https://www.ethnicity-facts-figures.service.gov.uk/crime-justice-and-the-law/policing/stop-and-search/latest" TargetMode="External"/><Relationship Id="rId499" Type="http://schemas.openxmlformats.org/officeDocument/2006/relationships/hyperlink" Target="https://www.ohchr.org/EN/NewsEvents/Pages/DisplayNews.aspx?NewsID=20813" TargetMode="External"/><Relationship Id="rId927" Type="http://schemas.openxmlformats.org/officeDocument/2006/relationships/hyperlink" Target="https://www.nytimes.com/2019/09/12/us/virginia-seminary-reparations.html" TargetMode="External"/><Relationship Id="rId56" Type="http://schemas.openxmlformats.org/officeDocument/2006/relationships/hyperlink" Target="https://www.defenseurdesdroits.fr/sites/default/files/atoms/files/rap-origine-en-num-22.09.20.pdf" TargetMode="External"/><Relationship Id="rId359" Type="http://schemas.openxmlformats.org/officeDocument/2006/relationships/hyperlink" Target="https://forumseguranca.org.br/wp-content/uploads/2020/11/infografico-violncia-desigualdade-racial-2020-v6.pdf" TargetMode="External"/><Relationship Id="rId566" Type="http://schemas.openxmlformats.org/officeDocument/2006/relationships/hyperlink" Target="https://www.ohchr.org/en/NewsEvents/Pages/DisplayNews.aspx?NewsID=25927&amp;LangID=E" TargetMode="External"/><Relationship Id="rId773" Type="http://schemas.openxmlformats.org/officeDocument/2006/relationships/hyperlink" Target="https://unesdoc.unesco.org/ark:/48223/pf0000366348" TargetMode="External"/><Relationship Id="rId121" Type="http://schemas.openxmlformats.org/officeDocument/2006/relationships/hyperlink" Target="https://rm.coe.int/lutter-contre-le-racisme-et-la-discrimination-raciale-a-l-egard-des-pe/1680a1c0d2" TargetMode="External"/><Relationship Id="rId219" Type="http://schemas.openxmlformats.org/officeDocument/2006/relationships/hyperlink" Target="https://www.canada.ca/fr/patrimoine-canadien/campagnes/mois-histoire-des-noirs.html" TargetMode="External"/><Relationship Id="rId426" Type="http://schemas.openxmlformats.org/officeDocument/2006/relationships/hyperlink" Target="https://inquirycommission.org/website/wp-content/uploads/2021/04/Commission-Report-15-April.pdf" TargetMode="External"/><Relationship Id="rId633" Type="http://schemas.openxmlformats.org/officeDocument/2006/relationships/hyperlink" Target="https://www.ohchr.org/EN/NewsEvents/Pages/DisplayNews.aspx?NewsID=25948&amp;LangID=E" TargetMode="External"/><Relationship Id="rId840" Type="http://schemas.openxmlformats.org/officeDocument/2006/relationships/hyperlink" Target="https://www.theguardian.com/world/2005/jan/22/usa.davidteather" TargetMode="External"/><Relationship Id="rId938" Type="http://schemas.openxmlformats.org/officeDocument/2006/relationships/hyperlink" Target="https://ohchr.org/Documents/Issues/Racism/WGEAPD/Guidelines_inclusion_2030_Agenda.pdf" TargetMode="External"/><Relationship Id="rId67" Type="http://schemas.openxmlformats.org/officeDocument/2006/relationships/hyperlink" Target="https://spcommreports.ohchr.org/TMResultsBase/DownLoadPublicCommunicationFile?gId=19482" TargetMode="External"/><Relationship Id="rId272" Type="http://schemas.openxmlformats.org/officeDocument/2006/relationships/hyperlink" Target="http://www.ohchr.org/EN/NewsEvents/Pages/DisplayNews.aspx?NewsID=17000" TargetMode="External"/><Relationship Id="rId577" Type="http://schemas.openxmlformats.org/officeDocument/2006/relationships/hyperlink" Target="https://www.fidh.org/en/region/americas/usa/now-is-the-time-for-action-to-fight-systemic-racism-in-the-usa-and" TargetMode="External"/><Relationship Id="rId700" Type="http://schemas.openxmlformats.org/officeDocument/2006/relationships/hyperlink" Target="https://pressfreedomtracker.us/george-floyd-protests/" TargetMode="External"/><Relationship Id="rId132" Type="http://schemas.openxmlformats.org/officeDocument/2006/relationships/hyperlink" Target="https://www.amnesty.org.uk/online-violence-women-mps" TargetMode="External"/><Relationship Id="rId784" Type="http://schemas.openxmlformats.org/officeDocument/2006/relationships/hyperlink" Target="https://www.legacyofslavery.radcliffe.harvard.edu/" TargetMode="External"/><Relationship Id="rId437" Type="http://schemas.openxmlformats.org/officeDocument/2006/relationships/hyperlink" Target="https://www.theusconstitution.org/news/the-supreme-court-enabled-horrific-police-violence-by-ignoring-constitutional-history/" TargetMode="External"/><Relationship Id="rId644" Type="http://schemas.openxmlformats.org/officeDocument/2006/relationships/hyperlink" Target="https://time.com/5880229/arrests-black-lives-matter-protests-impact/" TargetMode="External"/><Relationship Id="rId851" Type="http://schemas.openxmlformats.org/officeDocument/2006/relationships/hyperlink" Target="https://www.whitehouse.gov/briefing-room/speeches-remarks/2021/06/02/remarks-by-president-biden-commemorating-the-100th-anniversary-of-the-tulsa-race-massac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2407-5106-4592-BE8D-7B138F2E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48142</Words>
  <Characters>274411</Characters>
  <Application>Microsoft Office Word</Application>
  <DocSecurity>4</DocSecurity>
  <Lines>2286</Lines>
  <Paragraphs>643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A/HRC/47/CRP.1</vt:lpstr>
      <vt:lpstr>A/HRC/47/CRP.1</vt:lpstr>
    </vt:vector>
  </TitlesOfParts>
  <Company>DCM</Company>
  <LinksUpToDate>false</LinksUpToDate>
  <CharactersWithSpaces>321910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A/HRC/47/CRP.1</dc:title>
  <dc:subject/>
  <dc:creator>Nathalie VITTOZ</dc:creator>
  <cp:keywords/>
  <cp:lastModifiedBy>ARDS LPP</cp:lastModifiedBy>
  <cp:revision>2</cp:revision>
  <cp:lastPrinted>2014-05-14T10:59:00Z</cp:lastPrinted>
  <dcterms:created xsi:type="dcterms:W3CDTF">2022-12-02T14:00:00Z</dcterms:created>
  <dcterms:modified xsi:type="dcterms:W3CDTF">2022-12-02T14:00:00Z</dcterms:modified>
</cp:coreProperties>
</file>