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D433" w14:textId="77777777" w:rsidR="008E3CA0" w:rsidRPr="004C25CD" w:rsidRDefault="00000000" w:rsidP="00F63D8B">
      <w:pPr>
        <w:jc w:val="center"/>
        <w:rPr>
          <w:b/>
          <w:color w:val="595959" w:themeColor="text1" w:themeTint="A6"/>
          <w:sz w:val="36"/>
          <w:szCs w:val="36"/>
        </w:rPr>
      </w:pPr>
      <w:r>
        <w:rPr>
          <w:noProof/>
        </w:rPr>
        <w:pict w14:anchorId="7BE731CE">
          <v:rect id="_x0000_s2051" style="position:absolute;left:0;text-align:left;margin-left:-16.85pt;margin-top:-20.45pt;width:500.4pt;height:62.4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54574C" w:rsidRPr="00F63D8B">
        <w:rPr>
          <w:b/>
          <w:sz w:val="36"/>
          <w:szCs w:val="36"/>
        </w:rPr>
        <w:t>Le droit à un logement convenable des personnes âgées</w:t>
      </w:r>
    </w:p>
    <w:p w14:paraId="0C7C8CEF" w14:textId="77777777" w:rsidR="00F63D8B" w:rsidRPr="004C25CD" w:rsidRDefault="00F63D8B">
      <w:pPr>
        <w:rPr>
          <w:b/>
          <w:color w:val="595959" w:themeColor="text1" w:themeTint="A6"/>
          <w:sz w:val="28"/>
          <w:szCs w:val="28"/>
        </w:rPr>
      </w:pPr>
    </w:p>
    <w:p w14:paraId="21376F96" w14:textId="77777777" w:rsidR="00671868" w:rsidRPr="00671868" w:rsidRDefault="00671868" w:rsidP="000133E7">
      <w:pPr>
        <w:spacing w:after="160" w:line="259" w:lineRule="auto"/>
        <w:rPr>
          <w:rFonts w:ascii="Calibri" w:hAnsi="Calibri"/>
          <w:sz w:val="40"/>
          <w:szCs w:val="40"/>
        </w:rPr>
      </w:pPr>
    </w:p>
    <w:p w14:paraId="66C0A143" w14:textId="77777777" w:rsidR="00671868" w:rsidRPr="00B96B17" w:rsidRDefault="00671868" w:rsidP="00671868">
      <w:pPr>
        <w:spacing w:after="160" w:line="259" w:lineRule="auto"/>
        <w:rPr>
          <w:rFonts w:ascii="Calibri" w:hAnsi="Calibri"/>
          <w:sz w:val="28"/>
          <w:szCs w:val="28"/>
        </w:rPr>
      </w:pPr>
      <w:r w:rsidRPr="00B96B17">
        <w:rPr>
          <w:rFonts w:ascii="Calibri" w:hAnsi="Calibri"/>
          <w:sz w:val="28"/>
          <w:szCs w:val="28"/>
        </w:rPr>
        <w:t>Le Mali, à l’instar des autres pays africains commence à avoir une population vieillissante.</w:t>
      </w:r>
    </w:p>
    <w:p w14:paraId="06F76408" w14:textId="77777777" w:rsidR="00671868" w:rsidRPr="00B96B17" w:rsidRDefault="00671868" w:rsidP="00671868">
      <w:pPr>
        <w:spacing w:after="160" w:line="259" w:lineRule="auto"/>
        <w:rPr>
          <w:rFonts w:ascii="Calibri" w:hAnsi="Calibri"/>
          <w:sz w:val="28"/>
          <w:szCs w:val="28"/>
        </w:rPr>
      </w:pPr>
      <w:r w:rsidRPr="00B96B17">
        <w:rPr>
          <w:rFonts w:ascii="Calibri" w:hAnsi="Calibri"/>
          <w:sz w:val="28"/>
          <w:szCs w:val="28"/>
        </w:rPr>
        <w:t>Ainsi, dans le cadre de la prévention des risques liés au vieillissement, le Mali suite à la résolution 46/41 de l’Assemblée Nationale des Nations Unies en 1947, a mis en œuvre un document de Politique Nationale de Solidarité et d’Action Sociale en faveur des Personnes Agées en 1993. Cette politique visait à réduire les inégalités et les injustices sociales è l’égard de cette couche, surtout dans le domaine de la santé, de la nutrition et du logement.</w:t>
      </w:r>
    </w:p>
    <w:p w14:paraId="5BC52E78" w14:textId="77777777" w:rsidR="00120BD3" w:rsidRPr="00B96B17" w:rsidRDefault="00671868" w:rsidP="00671868">
      <w:pPr>
        <w:spacing w:after="160" w:line="259" w:lineRule="auto"/>
        <w:rPr>
          <w:rFonts w:ascii="Calibri" w:hAnsi="Calibri"/>
          <w:sz w:val="28"/>
          <w:szCs w:val="28"/>
        </w:rPr>
      </w:pPr>
      <w:r w:rsidRPr="00B96B17">
        <w:rPr>
          <w:rFonts w:ascii="Calibri" w:hAnsi="Calibri"/>
          <w:sz w:val="28"/>
          <w:szCs w:val="28"/>
        </w:rPr>
        <w:t xml:space="preserve">En 2006, l’Arrêté no 06/1947 du 11 Septembre 2006 a institué au Mali une carte de priorité pour les Personnes </w:t>
      </w:r>
      <w:r w:rsidR="00120BD3" w:rsidRPr="00B96B17">
        <w:rPr>
          <w:rFonts w:ascii="Calibri" w:hAnsi="Calibri"/>
          <w:sz w:val="28"/>
          <w:szCs w:val="28"/>
        </w:rPr>
        <w:t>Agées,</w:t>
      </w:r>
      <w:r w:rsidRPr="00B96B17">
        <w:rPr>
          <w:rFonts w:ascii="Calibri" w:hAnsi="Calibri"/>
          <w:sz w:val="28"/>
          <w:szCs w:val="28"/>
        </w:rPr>
        <w:t xml:space="preserve"> leur permettant de bénéficier d’une réduction de 50% sur les frais de consultations et d’examen</w:t>
      </w:r>
      <w:r w:rsidR="00120BD3" w:rsidRPr="00B96B17">
        <w:rPr>
          <w:rFonts w:ascii="Calibri" w:hAnsi="Calibri"/>
          <w:sz w:val="28"/>
          <w:szCs w:val="28"/>
        </w:rPr>
        <w:t>.</w:t>
      </w:r>
    </w:p>
    <w:p w14:paraId="369487D6" w14:textId="77777777" w:rsidR="00671868" w:rsidRPr="00B96B17" w:rsidRDefault="00120BD3" w:rsidP="00671868">
      <w:pPr>
        <w:spacing w:after="160" w:line="259" w:lineRule="auto"/>
        <w:rPr>
          <w:rFonts w:ascii="Calibri" w:hAnsi="Calibri"/>
          <w:sz w:val="28"/>
          <w:szCs w:val="28"/>
        </w:rPr>
      </w:pPr>
      <w:r w:rsidRPr="00B96B17">
        <w:rPr>
          <w:rFonts w:ascii="Calibri" w:hAnsi="Calibri"/>
          <w:sz w:val="28"/>
          <w:szCs w:val="28"/>
        </w:rPr>
        <w:t>Notons cependant qu’à la date d’aujourd’hui aucu</w:t>
      </w:r>
      <w:r w:rsidR="009B13D1" w:rsidRPr="00B96B17">
        <w:rPr>
          <w:rFonts w:ascii="Calibri" w:hAnsi="Calibri"/>
          <w:sz w:val="28"/>
          <w:szCs w:val="28"/>
        </w:rPr>
        <w:t>ne politique n’est mise en place pour accorder spécialement des logements aux Personnes Agées</w:t>
      </w:r>
      <w:r w:rsidR="00AF7FBD" w:rsidRPr="00B96B17">
        <w:rPr>
          <w:rFonts w:ascii="Calibri" w:hAnsi="Calibri"/>
          <w:sz w:val="28"/>
          <w:szCs w:val="28"/>
        </w:rPr>
        <w:t>. Ceci peut s’expliquer par notre coutume qui est basée sur la solidarité et la vie communautaire</w:t>
      </w:r>
      <w:r w:rsidR="00671868" w:rsidRPr="00B96B17">
        <w:rPr>
          <w:rFonts w:ascii="Calibri" w:hAnsi="Calibri"/>
          <w:sz w:val="28"/>
          <w:szCs w:val="28"/>
        </w:rPr>
        <w:t xml:space="preserve"> </w:t>
      </w:r>
    </w:p>
    <w:p w14:paraId="7B2BF933" w14:textId="77777777" w:rsidR="00671868" w:rsidRPr="00B96B17" w:rsidRDefault="00671868" w:rsidP="00671868">
      <w:pPr>
        <w:spacing w:after="160" w:line="259" w:lineRule="auto"/>
        <w:rPr>
          <w:rFonts w:ascii="Calibri" w:hAnsi="Calibri"/>
          <w:sz w:val="28"/>
          <w:szCs w:val="28"/>
        </w:rPr>
      </w:pPr>
    </w:p>
    <w:p w14:paraId="61041F46" w14:textId="77777777" w:rsidR="0054574C" w:rsidRPr="00B96B17" w:rsidRDefault="0054574C">
      <w:pPr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Les informations sur l’une ou </w:t>
      </w:r>
      <w:r w:rsidR="00AF7FBD" w:rsidRPr="00B96B17">
        <w:rPr>
          <w:b/>
          <w:color w:val="595959" w:themeColor="text1" w:themeTint="A6"/>
          <w:sz w:val="28"/>
          <w:szCs w:val="28"/>
        </w:rPr>
        <w:t>l’ensemble des</w:t>
      </w:r>
      <w:r w:rsidRPr="00B96B17">
        <w:rPr>
          <w:b/>
          <w:color w:val="595959" w:themeColor="text1" w:themeTint="A6"/>
          <w:sz w:val="28"/>
          <w:szCs w:val="28"/>
        </w:rPr>
        <w:t xml:space="preserve"> questions suivantes :</w:t>
      </w:r>
    </w:p>
    <w:p w14:paraId="7630A31B" w14:textId="77777777" w:rsidR="00C14C2F" w:rsidRPr="00B96B17" w:rsidRDefault="0054574C" w:rsidP="000B1D11">
      <w:pPr>
        <w:pStyle w:val="Listenabsatz"/>
        <w:numPr>
          <w:ilvl w:val="0"/>
          <w:numId w:val="1"/>
        </w:numPr>
        <w:jc w:val="both"/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>Quels sont les cadres juridiques, politiques, et institutionnels locaux qui protègent et promeuvent le droit au logement convenable des personnes âgées ?</w:t>
      </w:r>
    </w:p>
    <w:p w14:paraId="42EE4B7A" w14:textId="77777777" w:rsidR="004545F5" w:rsidRPr="00B96B17" w:rsidRDefault="004545F5" w:rsidP="004545F5">
      <w:pPr>
        <w:pStyle w:val="Listenabsatz"/>
        <w:ind w:left="360"/>
        <w:jc w:val="both"/>
        <w:rPr>
          <w:b/>
          <w:color w:val="595959" w:themeColor="text1" w:themeTint="A6"/>
          <w:sz w:val="28"/>
          <w:szCs w:val="28"/>
        </w:rPr>
      </w:pPr>
    </w:p>
    <w:p w14:paraId="4AD26D26" w14:textId="77777777" w:rsidR="00695F36" w:rsidRPr="00B96B17" w:rsidRDefault="0054574C" w:rsidP="00695F36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 </w:t>
      </w:r>
      <w:r w:rsidR="00C14C2F" w:rsidRPr="00B96B17">
        <w:rPr>
          <w:b/>
          <w:color w:val="595959" w:themeColor="text1" w:themeTint="A6"/>
          <w:sz w:val="28"/>
          <w:szCs w:val="28"/>
        </w:rPr>
        <w:t>Quels plans d’action locaux et internationaux, les plans de développements et les programmes de soutien existants pour faire progresser le droit au logement convenable des personnes âgées ?</w:t>
      </w:r>
    </w:p>
    <w:p w14:paraId="05B21EE1" w14:textId="77777777" w:rsidR="000A5468" w:rsidRPr="00B96B17" w:rsidRDefault="00427531" w:rsidP="00695F36">
      <w:pPr>
        <w:pStyle w:val="Listenabsatz"/>
        <w:numPr>
          <w:ilvl w:val="0"/>
          <w:numId w:val="4"/>
        </w:numPr>
        <w:spacing w:before="240" w:line="360" w:lineRule="auto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Disposions et budget alloué à </w:t>
      </w:r>
      <w:r w:rsidR="00AF7FBD" w:rsidRPr="00B96B17">
        <w:rPr>
          <w:i/>
          <w:color w:val="595959" w:themeColor="text1" w:themeTint="A6"/>
          <w:sz w:val="28"/>
          <w:szCs w:val="28"/>
        </w:rPr>
        <w:t>leur réalisation</w:t>
      </w:r>
      <w:r w:rsidRPr="00B96B17">
        <w:rPr>
          <w:i/>
          <w:color w:val="595959" w:themeColor="text1" w:themeTint="A6"/>
          <w:sz w:val="28"/>
          <w:szCs w:val="28"/>
        </w:rPr>
        <w:t> :</w:t>
      </w:r>
    </w:p>
    <w:p w14:paraId="1D574993" w14:textId="77777777" w:rsidR="00695F36" w:rsidRPr="00B96B17" w:rsidRDefault="00695F36" w:rsidP="00695F36">
      <w:pPr>
        <w:pStyle w:val="Listenabsatz"/>
        <w:spacing w:before="240"/>
        <w:ind w:left="1080"/>
        <w:rPr>
          <w:i/>
          <w:color w:val="595959" w:themeColor="text1" w:themeTint="A6"/>
          <w:sz w:val="28"/>
          <w:szCs w:val="28"/>
        </w:rPr>
      </w:pPr>
    </w:p>
    <w:p w14:paraId="38AE49D8" w14:textId="77777777" w:rsidR="000A5468" w:rsidRPr="00B96B17" w:rsidRDefault="000A5468" w:rsidP="000A5468">
      <w:pPr>
        <w:pStyle w:val="Listenabsatz"/>
        <w:ind w:left="36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lastRenderedPageBreak/>
        <w:t xml:space="preserve">Le Conseil National des Personnes Agées (CNPAM) est l’organe associatif </w:t>
      </w:r>
      <w:r w:rsidR="00530107" w:rsidRPr="00B96B17">
        <w:rPr>
          <w:i/>
          <w:color w:val="595959" w:themeColor="text1" w:themeTint="A6"/>
          <w:sz w:val="28"/>
          <w:szCs w:val="28"/>
        </w:rPr>
        <w:t>des Personnes</w:t>
      </w:r>
      <w:r w:rsidRPr="00B96B17">
        <w:rPr>
          <w:i/>
          <w:color w:val="595959" w:themeColor="text1" w:themeTint="A6"/>
          <w:sz w:val="28"/>
          <w:szCs w:val="28"/>
        </w:rPr>
        <w:t xml:space="preserve"> Agées mis en place depuis le lendemain de la Première Assemblée Mondiale sur le Vieillissement à Vienne (Autriche) en 1982.  Le CNPAM avec un statut facultatif donne un avis au pouvoir public à tous les niveaux sur les grandes décisions politiques et sur l’ensemble du territoire comme médiateur dans les conflits.</w:t>
      </w:r>
      <w:r w:rsidR="00546325" w:rsidRPr="00B96B17">
        <w:rPr>
          <w:i/>
          <w:color w:val="595959" w:themeColor="text1" w:themeTint="A6"/>
          <w:sz w:val="28"/>
          <w:szCs w:val="28"/>
        </w:rPr>
        <w:t xml:space="preserve"> Il participe activement dans toutes les instances décisionnelles pour l’élaboration des programmes nationaux de développement.   </w:t>
      </w:r>
    </w:p>
    <w:p w14:paraId="1153BB37" w14:textId="77777777" w:rsidR="004545F5" w:rsidRPr="00B96B17" w:rsidRDefault="00427531" w:rsidP="004545F5">
      <w:pPr>
        <w:pStyle w:val="Listenabsatz"/>
        <w:ind w:left="36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Il dispose des subventions de la DNDS, l’IERGG-MA. A sa création</w:t>
      </w:r>
      <w:r w:rsidR="004D622F" w:rsidRPr="00B96B17">
        <w:rPr>
          <w:i/>
          <w:color w:val="595959" w:themeColor="text1" w:themeTint="A6"/>
          <w:sz w:val="28"/>
          <w:szCs w:val="28"/>
        </w:rPr>
        <w:t>,</w:t>
      </w:r>
      <w:r w:rsidRPr="00B96B17">
        <w:rPr>
          <w:i/>
          <w:color w:val="595959" w:themeColor="text1" w:themeTint="A6"/>
          <w:sz w:val="28"/>
          <w:szCs w:val="28"/>
        </w:rPr>
        <w:t xml:space="preserve"> il a bénéficié de donation d’un véhicule de fonctionnement. Il abrite dans les locaux de l’IERGG-MA dont il est membre du Co</w:t>
      </w:r>
      <w:r w:rsidR="00B96B17">
        <w:rPr>
          <w:i/>
          <w:color w:val="595959" w:themeColor="text1" w:themeTint="A6"/>
          <w:sz w:val="28"/>
          <w:szCs w:val="28"/>
        </w:rPr>
        <w:t xml:space="preserve">nseil d’Administration et du  </w:t>
      </w:r>
      <w:r w:rsidRPr="00B96B17">
        <w:rPr>
          <w:i/>
          <w:color w:val="595959" w:themeColor="text1" w:themeTint="A6"/>
          <w:sz w:val="28"/>
          <w:szCs w:val="28"/>
        </w:rPr>
        <w:t xml:space="preserve"> comité Scientifique et Technique.</w:t>
      </w:r>
    </w:p>
    <w:p w14:paraId="5441D4FE" w14:textId="77777777" w:rsidR="004545F5" w:rsidRPr="00B96B17" w:rsidRDefault="004545F5" w:rsidP="004545F5">
      <w:pPr>
        <w:pStyle w:val="Listenabsatz"/>
        <w:spacing w:before="240"/>
        <w:rPr>
          <w:i/>
          <w:color w:val="595959" w:themeColor="text1" w:themeTint="A6"/>
          <w:sz w:val="28"/>
          <w:szCs w:val="28"/>
        </w:rPr>
      </w:pPr>
    </w:p>
    <w:p w14:paraId="7C94EDF6" w14:textId="77777777" w:rsidR="00551532" w:rsidRPr="00B96B17" w:rsidRDefault="00551532" w:rsidP="00674C70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Comment les personnes âgées sont-elles </w:t>
      </w:r>
      <w:r w:rsidR="00B721BE" w:rsidRPr="00B96B17">
        <w:rPr>
          <w:b/>
          <w:color w:val="595959" w:themeColor="text1" w:themeTint="A6"/>
          <w:sz w:val="28"/>
          <w:szCs w:val="28"/>
        </w:rPr>
        <w:t>impliquées</w:t>
      </w:r>
      <w:r w:rsidRPr="00B96B17">
        <w:rPr>
          <w:b/>
          <w:color w:val="595959" w:themeColor="text1" w:themeTint="A6"/>
          <w:sz w:val="28"/>
          <w:szCs w:val="28"/>
        </w:rPr>
        <w:t xml:space="preserve"> et participent-elles à l’élaboration de plans d’action, de politiques ou </w:t>
      </w:r>
      <w:r w:rsidR="00674C70" w:rsidRPr="00B96B17">
        <w:rPr>
          <w:b/>
          <w:color w:val="595959" w:themeColor="text1" w:themeTint="A6"/>
          <w:sz w:val="28"/>
          <w:szCs w:val="28"/>
        </w:rPr>
        <w:t xml:space="preserve">de législations relatives au logement au </w:t>
      </w:r>
      <w:r w:rsidR="00674C70" w:rsidRPr="00B96B1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logement ? </w:t>
      </w:r>
    </w:p>
    <w:p w14:paraId="7879E076" w14:textId="77777777" w:rsidR="009F61FB" w:rsidRPr="00B96B17" w:rsidRDefault="00B721BE" w:rsidP="009F61FB">
      <w:pPr>
        <w:pStyle w:val="Listenabsatz"/>
        <w:ind w:left="0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>Voir</w:t>
      </w:r>
      <w:r w:rsidR="00427531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si le CNPAM est membre </w:t>
      </w:r>
      <w:r w:rsidR="009F61FB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de la commission </w:t>
      </w:r>
      <w:r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d’attribution des logements  </w:t>
      </w:r>
      <w:r w:rsidR="00427531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sociaux ? </w:t>
      </w:r>
      <w:r w:rsidR="009F61FB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Membre du conseil Economique  </w:t>
      </w:r>
      <w:r w:rsidR="009F61FB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fldChar w:fldCharType="begin"/>
      </w:r>
      <w:r w:rsidR="009F61FB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instrText xml:space="preserve"> HYPERLINK "https://www.google.com/url?sa=t&amp;rct=j&amp;q=&amp;esrc=s&amp;source=web&amp;cd=&amp;cad=rja&amp;uact=8&amp;ved=2ahUKEwj636j527v2AhUHxoUKHaJyBV8QFnoECAgQAQ&amp;url=https%3A%2F%2Fkoulouba.ml%2Finstitutions%2Fle-conseil-economique-social-et-culturel%2F&amp;usg=AOvVaw2MFSmNfXWyzpk90poS-VJH" </w:instrText>
      </w:r>
      <w:r w:rsidR="00C217C2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</w:r>
      <w:r w:rsidR="009F61FB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fldChar w:fldCharType="separate"/>
      </w:r>
      <w:r w:rsidR="009F61FB" w:rsidRPr="00B96B17">
        <w:rPr>
          <w:rFonts w:ascii="Times New Roman" w:hAnsi="Times New Roman"/>
          <w:b/>
          <w:bCs/>
          <w:i/>
          <w:color w:val="595959" w:themeColor="text1" w:themeTint="A6"/>
          <w:sz w:val="28"/>
          <w:szCs w:val="28"/>
          <w:lang w:eastAsia="fr-FR"/>
        </w:rPr>
        <w:t>Social et Culture du Mali ; membres des instances supérieures de structures politiques (Assemblée nationale, municipalité</w:t>
      </w:r>
      <w:r w:rsidR="00D20106" w:rsidRPr="00B96B17">
        <w:rPr>
          <w:rFonts w:ascii="Times New Roman" w:hAnsi="Times New Roman"/>
          <w:b/>
          <w:bCs/>
          <w:i/>
          <w:color w:val="595959" w:themeColor="text1" w:themeTint="A6"/>
          <w:sz w:val="28"/>
          <w:szCs w:val="28"/>
          <w:lang w:eastAsia="fr-FR"/>
        </w:rPr>
        <w:t>,</w:t>
      </w:r>
      <w:r w:rsidR="009F61FB" w:rsidRPr="00B96B17">
        <w:rPr>
          <w:rFonts w:ascii="Times New Roman" w:hAnsi="Times New Roman"/>
          <w:b/>
          <w:bCs/>
          <w:i/>
          <w:color w:val="595959" w:themeColor="text1" w:themeTint="A6"/>
          <w:sz w:val="28"/>
          <w:szCs w:val="28"/>
          <w:lang w:eastAsia="fr-FR"/>
        </w:rPr>
        <w:t xml:space="preserve"> </w:t>
      </w:r>
      <w:r w:rsidR="00D20106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Haut </w:t>
      </w:r>
      <w:r w:rsidR="00D20106" w:rsidRPr="00B96B17">
        <w:rPr>
          <w:rStyle w:val="Hervorhebung"/>
          <w:rFonts w:ascii="Times New Roman" w:hAnsi="Times New Roman"/>
          <w:i w:val="0"/>
          <w:color w:val="595959" w:themeColor="text1" w:themeTint="A6"/>
          <w:sz w:val="28"/>
          <w:szCs w:val="28"/>
        </w:rPr>
        <w:t>Conseil</w:t>
      </w:r>
      <w:r w:rsidR="00D20106" w:rsidRPr="00B96B17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des </w:t>
      </w:r>
      <w:r w:rsidR="00D20106" w:rsidRPr="00B96B17">
        <w:rPr>
          <w:rStyle w:val="Hervorhebung"/>
          <w:rFonts w:ascii="Times New Roman" w:hAnsi="Times New Roman"/>
          <w:i w:val="0"/>
          <w:color w:val="595959" w:themeColor="text1" w:themeTint="A6"/>
          <w:sz w:val="28"/>
          <w:szCs w:val="28"/>
        </w:rPr>
        <w:t>Collectivités Territoriales</w:t>
      </w:r>
      <w:r w:rsidR="009F61FB" w:rsidRPr="00B96B17">
        <w:rPr>
          <w:rFonts w:ascii="Times New Roman" w:hAnsi="Times New Roman"/>
          <w:b/>
          <w:bCs/>
          <w:i/>
          <w:color w:val="595959" w:themeColor="text1" w:themeTint="A6"/>
          <w:sz w:val="28"/>
          <w:szCs w:val="28"/>
          <w:lang w:eastAsia="fr-FR"/>
        </w:rPr>
        <w:t xml:space="preserve"> </w:t>
      </w:r>
      <w:r w:rsidR="00D20106" w:rsidRPr="00B96B17">
        <w:rPr>
          <w:rFonts w:ascii="Times New Roman" w:hAnsi="Times New Roman"/>
          <w:b/>
          <w:bCs/>
          <w:i/>
          <w:color w:val="595959" w:themeColor="text1" w:themeTint="A6"/>
          <w:sz w:val="28"/>
          <w:szCs w:val="28"/>
          <w:lang w:eastAsia="fr-FR"/>
        </w:rPr>
        <w:t>etc.</w:t>
      </w:r>
    </w:p>
    <w:p w14:paraId="76A516DC" w14:textId="77777777" w:rsidR="009F61FB" w:rsidRPr="00B96B17" w:rsidRDefault="009F61FB" w:rsidP="009F61FB">
      <w:pPr>
        <w:pStyle w:val="Listenabsatz"/>
        <w:ind w:left="360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fldChar w:fldCharType="end"/>
      </w:r>
      <w:r w:rsidR="00AF3185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t>Les PA sont regroupées au sein du CNPAM dont une des missions est d’inciter les PA à prendre conscience</w:t>
      </w:r>
      <w:r w:rsidR="002902BC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t xml:space="preserve"> qu’elles peuvent et doivent apporter leurs contributions de qualité dans le développement </w:t>
      </w:r>
      <w:r w:rsidR="00B96B17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t>économique,</w:t>
      </w:r>
      <w:r w:rsidR="002902BC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t xml:space="preserve"> social et culturel de notre pays</w:t>
      </w:r>
      <w:r w:rsidR="00AF3185" w:rsidRPr="00B96B17">
        <w:rPr>
          <w:rFonts w:ascii="Times New Roman" w:hAnsi="Times New Roman"/>
          <w:i/>
          <w:color w:val="595959" w:themeColor="text1" w:themeTint="A6"/>
          <w:sz w:val="28"/>
          <w:szCs w:val="28"/>
          <w:lang w:eastAsia="fr-FR"/>
        </w:rPr>
        <w:t xml:space="preserve"> </w:t>
      </w:r>
    </w:p>
    <w:p w14:paraId="366AE9D6" w14:textId="77777777" w:rsidR="00E503EA" w:rsidRPr="00B96B17" w:rsidRDefault="00674C70" w:rsidP="00E503EA">
      <w:pPr>
        <w:pStyle w:val="Listenabsatz"/>
        <w:numPr>
          <w:ilvl w:val="0"/>
          <w:numId w:val="1"/>
        </w:numPr>
        <w:spacing w:before="240"/>
        <w:jc w:val="both"/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A quels défis, obstacles et formations discrimination les personnes </w:t>
      </w:r>
      <w:r w:rsidR="00B96B17" w:rsidRPr="00B96B17">
        <w:rPr>
          <w:b/>
          <w:color w:val="595959" w:themeColor="text1" w:themeTint="A6"/>
          <w:sz w:val="28"/>
          <w:szCs w:val="28"/>
        </w:rPr>
        <w:t>âgées sont</w:t>
      </w:r>
      <w:r w:rsidRPr="00B96B17">
        <w:rPr>
          <w:b/>
          <w:color w:val="595959" w:themeColor="text1" w:themeTint="A6"/>
          <w:sz w:val="28"/>
          <w:szCs w:val="28"/>
        </w:rPr>
        <w:t xml:space="preserve"> confrontées dans l’exercice de leur droit à un logement convenable ?</w:t>
      </w:r>
    </w:p>
    <w:p w14:paraId="3E999095" w14:textId="77777777" w:rsidR="00E503EA" w:rsidRPr="00B96B17" w:rsidRDefault="00E503EA" w:rsidP="00E503EA">
      <w:pPr>
        <w:pStyle w:val="Listenabsatz"/>
        <w:spacing w:before="240"/>
        <w:ind w:left="360"/>
        <w:jc w:val="both"/>
        <w:rPr>
          <w:b/>
          <w:color w:val="595959" w:themeColor="text1" w:themeTint="A6"/>
          <w:sz w:val="28"/>
          <w:szCs w:val="28"/>
        </w:rPr>
      </w:pPr>
    </w:p>
    <w:p w14:paraId="244C75CE" w14:textId="77777777" w:rsidR="00E503EA" w:rsidRPr="00B96B17" w:rsidRDefault="00E503EA" w:rsidP="00E503EA">
      <w:pPr>
        <w:pStyle w:val="Listenabsatz"/>
        <w:numPr>
          <w:ilvl w:val="0"/>
          <w:numId w:val="4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Mentionner</w:t>
      </w:r>
      <w:r w:rsidRPr="00B96B17">
        <w:rPr>
          <w:b/>
          <w:color w:val="595959" w:themeColor="text1" w:themeTint="A6"/>
          <w:sz w:val="28"/>
          <w:szCs w:val="28"/>
        </w:rPr>
        <w:t xml:space="preserve"> </w:t>
      </w:r>
      <w:r w:rsidRPr="00B96B17">
        <w:rPr>
          <w:i/>
          <w:color w:val="595959" w:themeColor="text1" w:themeTint="A6"/>
          <w:sz w:val="28"/>
          <w:szCs w:val="28"/>
        </w:rPr>
        <w:t xml:space="preserve">toute </w:t>
      </w:r>
      <w:r w:rsidR="00B96B17" w:rsidRPr="00B96B17">
        <w:rPr>
          <w:i/>
          <w:color w:val="595959" w:themeColor="text1" w:themeTint="A6"/>
          <w:sz w:val="28"/>
          <w:szCs w:val="28"/>
        </w:rPr>
        <w:t>législation,</w:t>
      </w:r>
      <w:r w:rsidR="00B96B17" w:rsidRPr="00B96B17">
        <w:rPr>
          <w:b/>
          <w:color w:val="595959" w:themeColor="text1" w:themeTint="A6"/>
          <w:sz w:val="28"/>
          <w:szCs w:val="28"/>
        </w:rPr>
        <w:t xml:space="preserve"> politique</w:t>
      </w:r>
      <w:r w:rsidRPr="00B96B17">
        <w:rPr>
          <w:i/>
          <w:color w:val="595959" w:themeColor="text1" w:themeTint="A6"/>
          <w:sz w:val="28"/>
          <w:szCs w:val="28"/>
        </w:rPr>
        <w:t xml:space="preserve"> ou pratique existante. Indiquer leur impact sur la jouissance des droits les personnes</w:t>
      </w:r>
      <w:r w:rsidRPr="00B96B17">
        <w:rPr>
          <w:b/>
          <w:color w:val="595959" w:themeColor="text1" w:themeTint="A6"/>
          <w:sz w:val="28"/>
          <w:szCs w:val="28"/>
        </w:rPr>
        <w:t xml:space="preserve"> </w:t>
      </w:r>
      <w:r w:rsidRPr="00B96B17">
        <w:rPr>
          <w:i/>
          <w:color w:val="595959" w:themeColor="text1" w:themeTint="A6"/>
          <w:sz w:val="28"/>
          <w:szCs w:val="28"/>
        </w:rPr>
        <w:t>âgées, d’autres droits de l’homme.</w:t>
      </w:r>
    </w:p>
    <w:p w14:paraId="245012DD" w14:textId="77777777" w:rsidR="00600901" w:rsidRPr="00B96B17" w:rsidRDefault="00B422F1" w:rsidP="00E503EA">
      <w:pPr>
        <w:spacing w:before="240"/>
        <w:jc w:val="both"/>
        <w:rPr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L’obstacle majeur de 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la jouissance de </w:t>
      </w:r>
      <w:r w:rsidRPr="00B96B17">
        <w:rPr>
          <w:i/>
          <w:color w:val="595959" w:themeColor="text1" w:themeTint="A6"/>
          <w:sz w:val="28"/>
          <w:szCs w:val="28"/>
        </w:rPr>
        <w:t>droit au logement convenable des personnes âgées réside dans le fait qu</w:t>
      </w:r>
      <w:r w:rsidR="003E370D" w:rsidRPr="00B96B17">
        <w:rPr>
          <w:i/>
          <w:color w:val="595959" w:themeColor="text1" w:themeTint="A6"/>
          <w:sz w:val="28"/>
          <w:szCs w:val="28"/>
        </w:rPr>
        <w:t>’</w:t>
      </w:r>
      <w:r w:rsidRPr="00B96B17">
        <w:rPr>
          <w:i/>
          <w:color w:val="595959" w:themeColor="text1" w:themeTint="A6"/>
          <w:sz w:val="28"/>
          <w:szCs w:val="28"/>
        </w:rPr>
        <w:t>e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lles </w:t>
      </w:r>
      <w:r w:rsidR="00B96B17" w:rsidRPr="00B96B17">
        <w:rPr>
          <w:i/>
          <w:color w:val="595959" w:themeColor="text1" w:themeTint="A6"/>
          <w:sz w:val="28"/>
          <w:szCs w:val="28"/>
        </w:rPr>
        <w:t>sont majoritairement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 sans revenus sûrs et </w:t>
      </w:r>
      <w:r w:rsidR="0075228D" w:rsidRPr="00B96B17">
        <w:rPr>
          <w:i/>
          <w:color w:val="595959" w:themeColor="text1" w:themeTint="A6"/>
          <w:sz w:val="28"/>
          <w:szCs w:val="28"/>
        </w:rPr>
        <w:t xml:space="preserve">ne 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peuvent pas être </w:t>
      </w:r>
      <w:r w:rsidR="00471B28" w:rsidRPr="00B96B17">
        <w:rPr>
          <w:i/>
          <w:color w:val="595959" w:themeColor="text1" w:themeTint="A6"/>
          <w:sz w:val="28"/>
          <w:szCs w:val="28"/>
        </w:rPr>
        <w:t>des candidates potentielles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 pour les logements sociaux régulièrement attribuées au sein de la communauté</w:t>
      </w:r>
      <w:r w:rsidR="003E370D" w:rsidRPr="00B96B17">
        <w:rPr>
          <w:color w:val="595959" w:themeColor="text1" w:themeTint="A6"/>
          <w:sz w:val="28"/>
          <w:szCs w:val="28"/>
        </w:rPr>
        <w:t xml:space="preserve">. </w:t>
      </w:r>
    </w:p>
    <w:p w14:paraId="2EF07683" w14:textId="77777777" w:rsidR="00B422F1" w:rsidRPr="00B96B17" w:rsidRDefault="00B70B8D" w:rsidP="00E503EA">
      <w:pPr>
        <w:spacing w:before="24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lastRenderedPageBreak/>
        <w:t xml:space="preserve">En 2017 la population des personnes âgées était estimée à environ 1 226 713 avec un </w:t>
      </w:r>
      <w:r w:rsidR="00347718" w:rsidRPr="00B96B17">
        <w:rPr>
          <w:i/>
          <w:color w:val="595959" w:themeColor="text1" w:themeTint="A6"/>
          <w:sz w:val="28"/>
          <w:szCs w:val="28"/>
        </w:rPr>
        <w:t>taux d’accroissement de 6,5%</w:t>
      </w:r>
      <w:r w:rsidRPr="00B96B17">
        <w:rPr>
          <w:i/>
          <w:color w:val="595959" w:themeColor="text1" w:themeTint="A6"/>
          <w:sz w:val="28"/>
          <w:szCs w:val="28"/>
        </w:rPr>
        <w:t xml:space="preserve">. </w:t>
      </w:r>
      <w:r w:rsidR="003E370D" w:rsidRPr="00B96B17">
        <w:rPr>
          <w:i/>
          <w:color w:val="595959" w:themeColor="text1" w:themeTint="A6"/>
          <w:sz w:val="28"/>
          <w:szCs w:val="28"/>
        </w:rPr>
        <w:t xml:space="preserve"> </w:t>
      </w:r>
    </w:p>
    <w:p w14:paraId="59FF4B57" w14:textId="77777777" w:rsidR="003E77EE" w:rsidRPr="00B96B17" w:rsidRDefault="000B1D11" w:rsidP="000B1D11">
      <w:pPr>
        <w:pStyle w:val="Listenabsatz"/>
        <w:numPr>
          <w:ilvl w:val="0"/>
          <w:numId w:val="1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>Les autres facteurs</w:t>
      </w:r>
      <w:r w:rsidRPr="00B96B17">
        <w:rPr>
          <w:b/>
          <w:i/>
          <w:color w:val="595959" w:themeColor="text1" w:themeTint="A6"/>
          <w:sz w:val="28"/>
          <w:szCs w:val="28"/>
        </w:rPr>
        <w:t xml:space="preserve"> </w:t>
      </w:r>
      <w:r w:rsidRPr="00B96B17">
        <w:rPr>
          <w:i/>
          <w:color w:val="595959" w:themeColor="text1" w:themeTint="A6"/>
          <w:sz w:val="28"/>
          <w:szCs w:val="28"/>
        </w:rPr>
        <w:t xml:space="preserve">(genres, sexes, race, ethnie, identité autochtone, situation de handicap, orientation sexuelle, identité de genre, </w:t>
      </w:r>
      <w:r w:rsidR="003E77EE" w:rsidRPr="00B96B17">
        <w:rPr>
          <w:i/>
          <w:color w:val="595959" w:themeColor="text1" w:themeTint="A6"/>
          <w:sz w:val="28"/>
          <w:szCs w:val="28"/>
        </w:rPr>
        <w:t>religion</w:t>
      </w:r>
      <w:r w:rsidRPr="00B96B17">
        <w:rPr>
          <w:i/>
          <w:color w:val="595959" w:themeColor="text1" w:themeTint="A6"/>
          <w:sz w:val="28"/>
          <w:szCs w:val="28"/>
        </w:rPr>
        <w:t xml:space="preserve">, statut social, </w:t>
      </w:r>
      <w:r w:rsidR="003E77EE" w:rsidRPr="00B96B17">
        <w:rPr>
          <w:i/>
          <w:color w:val="595959" w:themeColor="text1" w:themeTint="A6"/>
          <w:sz w:val="28"/>
          <w:szCs w:val="28"/>
        </w:rPr>
        <w:t>lieu d’origine et statut d’immigration)</w:t>
      </w:r>
      <w:r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3E77EE" w:rsidRPr="00B96B17">
        <w:rPr>
          <w:b/>
          <w:color w:val="595959" w:themeColor="text1" w:themeTint="A6"/>
          <w:sz w:val="28"/>
          <w:szCs w:val="28"/>
        </w:rPr>
        <w:t>se recoupent et ont un impact sur la jouissance des droits des personnes âgées à un logement convenable ?</w:t>
      </w:r>
    </w:p>
    <w:p w14:paraId="31FA3AF2" w14:textId="77777777" w:rsidR="0075228D" w:rsidRPr="00B96B17" w:rsidRDefault="0075228D" w:rsidP="0075228D">
      <w:pPr>
        <w:pStyle w:val="Listenabsatz"/>
        <w:ind w:left="0"/>
        <w:jc w:val="both"/>
        <w:rPr>
          <w:i/>
          <w:color w:val="595959" w:themeColor="text1" w:themeTint="A6"/>
          <w:sz w:val="28"/>
          <w:szCs w:val="28"/>
        </w:rPr>
      </w:pPr>
    </w:p>
    <w:p w14:paraId="67B436CB" w14:textId="77777777" w:rsidR="0032247D" w:rsidRPr="00B96B17" w:rsidRDefault="00C06A69" w:rsidP="0075228D">
      <w:pPr>
        <w:pStyle w:val="Listenabsatz"/>
        <w:ind w:left="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Aucune</w:t>
      </w:r>
      <w:r w:rsidR="0075228D"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Pr="00B96B17">
        <w:rPr>
          <w:i/>
          <w:color w:val="595959" w:themeColor="text1" w:themeTint="A6"/>
          <w:sz w:val="28"/>
          <w:szCs w:val="28"/>
        </w:rPr>
        <w:t xml:space="preserve">de ces </w:t>
      </w:r>
      <w:r w:rsidR="0075228D" w:rsidRPr="00B96B17">
        <w:rPr>
          <w:i/>
          <w:color w:val="595959" w:themeColor="text1" w:themeTint="A6"/>
          <w:sz w:val="28"/>
          <w:szCs w:val="28"/>
        </w:rPr>
        <w:t>considération</w:t>
      </w:r>
      <w:r w:rsidRPr="00B96B17">
        <w:rPr>
          <w:i/>
          <w:color w:val="595959" w:themeColor="text1" w:themeTint="A6"/>
          <w:sz w:val="28"/>
          <w:szCs w:val="28"/>
        </w:rPr>
        <w:t>s</w:t>
      </w:r>
      <w:r w:rsidR="00B04303" w:rsidRPr="00B96B17">
        <w:rPr>
          <w:i/>
          <w:color w:val="595959" w:themeColor="text1" w:themeTint="A6"/>
          <w:sz w:val="28"/>
          <w:szCs w:val="28"/>
        </w:rPr>
        <w:t xml:space="preserve"> (sexe, ethnie, autochtone, handicapé, toute confession religieuse, immigrant…). Les personnes âgées</w:t>
      </w:r>
      <w:r w:rsidR="0075228D" w:rsidRPr="00B96B17">
        <w:rPr>
          <w:i/>
          <w:color w:val="595959" w:themeColor="text1" w:themeTint="A6"/>
          <w:sz w:val="28"/>
          <w:szCs w:val="28"/>
        </w:rPr>
        <w:t xml:space="preserve"> bénéficient des logements sociaux </w:t>
      </w:r>
      <w:r w:rsidR="00B04303" w:rsidRPr="00B96B17">
        <w:rPr>
          <w:i/>
          <w:color w:val="595959" w:themeColor="text1" w:themeTint="A6"/>
          <w:sz w:val="28"/>
          <w:szCs w:val="28"/>
        </w:rPr>
        <w:t>au même titre que les autres</w:t>
      </w:r>
      <w:r w:rsidR="0075228D" w:rsidRPr="00B96B17">
        <w:rPr>
          <w:i/>
          <w:color w:val="595959" w:themeColor="text1" w:themeTint="A6"/>
          <w:sz w:val="28"/>
          <w:szCs w:val="28"/>
        </w:rPr>
        <w:t>.</w:t>
      </w:r>
    </w:p>
    <w:p w14:paraId="07A704A2" w14:textId="77777777" w:rsidR="0075228D" w:rsidRPr="00B96B17" w:rsidRDefault="0075228D" w:rsidP="0075228D">
      <w:pPr>
        <w:pStyle w:val="Listenabsatz"/>
        <w:ind w:left="0"/>
        <w:jc w:val="both"/>
        <w:rPr>
          <w:i/>
          <w:color w:val="595959" w:themeColor="text1" w:themeTint="A6"/>
          <w:sz w:val="28"/>
          <w:szCs w:val="28"/>
        </w:rPr>
      </w:pPr>
    </w:p>
    <w:p w14:paraId="2D696A22" w14:textId="77777777" w:rsidR="0032247D" w:rsidRPr="00B96B17" w:rsidRDefault="00B04303" w:rsidP="00EE021D">
      <w:pPr>
        <w:pStyle w:val="Listenabsatz"/>
        <w:numPr>
          <w:ilvl w:val="0"/>
          <w:numId w:val="1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Quel impact </w:t>
      </w:r>
      <w:r w:rsidR="003E77EE" w:rsidRPr="00B96B17">
        <w:rPr>
          <w:b/>
          <w:color w:val="595959" w:themeColor="text1" w:themeTint="A6"/>
          <w:sz w:val="28"/>
          <w:szCs w:val="28"/>
        </w:rPr>
        <w:t>la pandémie du COVID-19 a-t-elle eu sur le droit des personnes âgées à un logement convenable dans votre pays (</w:t>
      </w:r>
      <w:r w:rsidR="003E77EE" w:rsidRPr="00B96B17">
        <w:rPr>
          <w:i/>
          <w:color w:val="595959" w:themeColor="text1" w:themeTint="A6"/>
          <w:sz w:val="28"/>
          <w:szCs w:val="28"/>
        </w:rPr>
        <w:t>par exemple</w:t>
      </w:r>
      <w:r w:rsidR="003E77EE" w:rsidRPr="00B96B17">
        <w:rPr>
          <w:b/>
          <w:color w:val="595959" w:themeColor="text1" w:themeTint="A6"/>
          <w:sz w:val="28"/>
          <w:szCs w:val="28"/>
        </w:rPr>
        <w:t xml:space="preserve"> </w:t>
      </w:r>
      <w:r w:rsidR="003E77EE" w:rsidRPr="00B96B17">
        <w:rPr>
          <w:i/>
          <w:color w:val="595959" w:themeColor="text1" w:themeTint="A6"/>
          <w:sz w:val="28"/>
          <w:szCs w:val="28"/>
        </w:rPr>
        <w:t>l</w:t>
      </w:r>
      <w:r w:rsidR="00464354" w:rsidRPr="00B96B17">
        <w:rPr>
          <w:i/>
          <w:color w:val="595959" w:themeColor="text1" w:themeTint="A6"/>
          <w:sz w:val="28"/>
          <w:szCs w:val="28"/>
        </w:rPr>
        <w:t>a pandémie a-t-elle provoqué</w:t>
      </w:r>
      <w:r w:rsidR="003E77EE" w:rsidRPr="00B96B17">
        <w:rPr>
          <w:i/>
          <w:color w:val="595959" w:themeColor="text1" w:themeTint="A6"/>
          <w:sz w:val="28"/>
          <w:szCs w:val="28"/>
        </w:rPr>
        <w:t>e</w:t>
      </w:r>
      <w:r w:rsidR="00464354" w:rsidRPr="00B96B17">
        <w:rPr>
          <w:i/>
          <w:color w:val="595959" w:themeColor="text1" w:themeTint="A6"/>
          <w:sz w:val="28"/>
          <w:szCs w:val="28"/>
        </w:rPr>
        <w:t xml:space="preserve"> un changement de politique au détriment des institutions et mis d’avantage en lumière les soutiens communautaire) </w:t>
      </w:r>
      <w:r w:rsidR="00464354" w:rsidRPr="00B96B17">
        <w:rPr>
          <w:b/>
          <w:color w:val="595959" w:themeColor="text1" w:themeTint="A6"/>
          <w:sz w:val="28"/>
          <w:szCs w:val="28"/>
        </w:rPr>
        <w:t xml:space="preserve">? </w:t>
      </w:r>
    </w:p>
    <w:p w14:paraId="4019656E" w14:textId="77777777" w:rsidR="00B029BA" w:rsidRPr="00B96B17" w:rsidRDefault="0021358F" w:rsidP="00B029BA">
      <w:p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L</w:t>
      </w:r>
      <w:r w:rsidR="001406FD" w:rsidRPr="00B96B17">
        <w:rPr>
          <w:i/>
          <w:color w:val="595959" w:themeColor="text1" w:themeTint="A6"/>
          <w:sz w:val="28"/>
          <w:szCs w:val="28"/>
        </w:rPr>
        <w:t xml:space="preserve">a politique nationale en faveur des personnes âgées est fondamentalement inspirée sur la solidarité familiale et communautaire à l’endroit des couches vulnérabilisées du point de vue social, social, économique, et sanitaire à l’image des personnes </w:t>
      </w:r>
      <w:r w:rsidR="002B0E1A" w:rsidRPr="00B96B17">
        <w:rPr>
          <w:i/>
          <w:color w:val="595959" w:themeColor="text1" w:themeTint="A6"/>
          <w:sz w:val="28"/>
          <w:szCs w:val="28"/>
        </w:rPr>
        <w:t xml:space="preserve">en difficultés (personnes </w:t>
      </w:r>
      <w:r w:rsidR="001406FD" w:rsidRPr="00B96B17">
        <w:rPr>
          <w:i/>
          <w:color w:val="595959" w:themeColor="text1" w:themeTint="A6"/>
          <w:sz w:val="28"/>
          <w:szCs w:val="28"/>
        </w:rPr>
        <w:t>handicapées, personnes âgées</w:t>
      </w:r>
      <w:r w:rsidR="002B0E1A" w:rsidRPr="00B96B17">
        <w:rPr>
          <w:i/>
          <w:color w:val="595959" w:themeColor="text1" w:themeTint="A6"/>
          <w:sz w:val="28"/>
          <w:szCs w:val="28"/>
        </w:rPr>
        <w:t>)</w:t>
      </w:r>
      <w:r w:rsidR="001406FD" w:rsidRPr="00B96B17">
        <w:rPr>
          <w:i/>
          <w:color w:val="595959" w:themeColor="text1" w:themeTint="A6"/>
          <w:sz w:val="28"/>
          <w:szCs w:val="28"/>
        </w:rPr>
        <w:t>.</w:t>
      </w:r>
      <w:r w:rsidR="002B0E1A"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B96B17" w:rsidRPr="00B96B17">
        <w:rPr>
          <w:i/>
          <w:color w:val="595959" w:themeColor="text1" w:themeTint="A6"/>
          <w:sz w:val="28"/>
          <w:szCs w:val="28"/>
        </w:rPr>
        <w:t>Les personnes</w:t>
      </w:r>
      <w:r w:rsidR="00F77CB3" w:rsidRPr="00B96B17">
        <w:rPr>
          <w:i/>
          <w:color w:val="595959" w:themeColor="text1" w:themeTint="A6"/>
          <w:sz w:val="28"/>
          <w:szCs w:val="28"/>
        </w:rPr>
        <w:t xml:space="preserve"> âgées </w:t>
      </w:r>
      <w:r w:rsidR="002B0E1A" w:rsidRPr="00B96B17">
        <w:rPr>
          <w:i/>
          <w:color w:val="595959" w:themeColor="text1" w:themeTint="A6"/>
          <w:sz w:val="28"/>
          <w:szCs w:val="28"/>
        </w:rPr>
        <w:t>ont bénéficié</w:t>
      </w:r>
      <w:r w:rsidR="00F77CB3"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Pr="00B96B17">
        <w:rPr>
          <w:i/>
          <w:color w:val="595959" w:themeColor="text1" w:themeTint="A6"/>
          <w:sz w:val="28"/>
          <w:szCs w:val="28"/>
        </w:rPr>
        <w:t xml:space="preserve">d’une attention sécuritaire face au risque </w:t>
      </w:r>
      <w:r w:rsidR="002B0E1A" w:rsidRPr="00B96B17">
        <w:rPr>
          <w:i/>
          <w:color w:val="595959" w:themeColor="text1" w:themeTint="A6"/>
          <w:sz w:val="28"/>
          <w:szCs w:val="28"/>
        </w:rPr>
        <w:t>de contracter la COVID</w:t>
      </w:r>
      <w:r w:rsidRPr="00B96B17">
        <w:rPr>
          <w:i/>
          <w:color w:val="595959" w:themeColor="text1" w:themeTint="A6"/>
          <w:sz w:val="28"/>
          <w:szCs w:val="28"/>
        </w:rPr>
        <w:t xml:space="preserve">. </w:t>
      </w:r>
      <w:r w:rsidR="002B0E1A" w:rsidRPr="00B96B17">
        <w:rPr>
          <w:i/>
          <w:color w:val="595959" w:themeColor="text1" w:themeTint="A6"/>
          <w:sz w:val="28"/>
          <w:szCs w:val="28"/>
        </w:rPr>
        <w:t>La Direction Nationale du Développement Social en Collaboration avec L’Institut d’Etudes et de Recherche en Géronto-Gériatrie ont fait des campagnes de sensibilisation</w:t>
      </w:r>
      <w:r w:rsidR="00B96B17">
        <w:rPr>
          <w:i/>
          <w:color w:val="595959" w:themeColor="text1" w:themeTint="A6"/>
          <w:sz w:val="28"/>
          <w:szCs w:val="28"/>
        </w:rPr>
        <w:t xml:space="preserve"> des personnes âgées et de leur</w:t>
      </w:r>
      <w:r w:rsidR="002B0E1A" w:rsidRPr="00B96B17">
        <w:rPr>
          <w:i/>
          <w:color w:val="595959" w:themeColor="text1" w:themeTint="A6"/>
          <w:sz w:val="28"/>
          <w:szCs w:val="28"/>
        </w:rPr>
        <w:t xml:space="preserve"> entourage concernant la maladie. </w:t>
      </w:r>
    </w:p>
    <w:p w14:paraId="295506F4" w14:textId="77777777" w:rsidR="00464354" w:rsidRPr="00B96B17" w:rsidRDefault="00464354" w:rsidP="003F616E">
      <w:pPr>
        <w:spacing w:before="240"/>
        <w:jc w:val="both"/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>Quelles mesures ont été prises pour minimiser l’impact de la pandémie ?</w:t>
      </w:r>
    </w:p>
    <w:p w14:paraId="3DF877E3" w14:textId="77777777" w:rsidR="0032247D" w:rsidRPr="00B96B17" w:rsidRDefault="00E00B2D" w:rsidP="003F616E">
      <w:pPr>
        <w:spacing w:before="24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Pour </w:t>
      </w:r>
      <w:r w:rsidR="003F616E" w:rsidRPr="00B96B17">
        <w:rPr>
          <w:i/>
          <w:color w:val="595959" w:themeColor="text1" w:themeTint="A6"/>
          <w:sz w:val="28"/>
          <w:szCs w:val="28"/>
        </w:rPr>
        <w:t xml:space="preserve">minimiser l’impact de la pandémie, une campagne d’information, de communication et de sensibilisation leur est adressée à travers les voies traditionnelles de communication, des radios de proximité, les télévisions nationales et privées ou confessionnelles. </w:t>
      </w:r>
      <w:r w:rsidRPr="00B96B17">
        <w:rPr>
          <w:i/>
          <w:color w:val="595959" w:themeColor="text1" w:themeTint="A6"/>
          <w:sz w:val="28"/>
          <w:szCs w:val="28"/>
        </w:rPr>
        <w:t>Des kits de lavage de main et des masques leur ont été distribué</w:t>
      </w:r>
      <w:r w:rsidR="00535FB1" w:rsidRPr="00B96B17">
        <w:rPr>
          <w:i/>
          <w:color w:val="595959" w:themeColor="text1" w:themeTint="A6"/>
          <w:sz w:val="28"/>
          <w:szCs w:val="28"/>
        </w:rPr>
        <w:t>s.</w:t>
      </w:r>
    </w:p>
    <w:p w14:paraId="001C109E" w14:textId="77777777" w:rsidR="00D82E55" w:rsidRPr="00B96B17" w:rsidRDefault="00464354" w:rsidP="00464354">
      <w:pPr>
        <w:pStyle w:val="Listenabsatz"/>
        <w:numPr>
          <w:ilvl w:val="0"/>
          <w:numId w:val="1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>Quelles straté</w:t>
      </w:r>
      <w:r w:rsidR="00B96B17">
        <w:rPr>
          <w:b/>
          <w:color w:val="595959" w:themeColor="text1" w:themeTint="A6"/>
          <w:sz w:val="28"/>
          <w:szCs w:val="28"/>
        </w:rPr>
        <w:t xml:space="preserve">gies alternatives de logements </w:t>
      </w:r>
      <w:r w:rsidRPr="00B96B17">
        <w:rPr>
          <w:b/>
          <w:color w:val="595959" w:themeColor="text1" w:themeTint="A6"/>
          <w:sz w:val="28"/>
          <w:szCs w:val="28"/>
        </w:rPr>
        <w:t xml:space="preserve">pour les personnes </w:t>
      </w:r>
      <w:r w:rsidR="00D82E55" w:rsidRPr="00B96B17">
        <w:rPr>
          <w:b/>
          <w:color w:val="595959" w:themeColor="text1" w:themeTint="A6"/>
          <w:sz w:val="28"/>
          <w:szCs w:val="28"/>
        </w:rPr>
        <w:t>âgées,</w:t>
      </w:r>
      <w:r w:rsidRPr="00B96B17">
        <w:rPr>
          <w:b/>
          <w:color w:val="595959" w:themeColor="text1" w:themeTint="A6"/>
          <w:sz w:val="28"/>
          <w:szCs w:val="28"/>
        </w:rPr>
        <w:t xml:space="preserve"> autres que les maisons de retraite </w:t>
      </w:r>
      <w:r w:rsidR="00D82E55" w:rsidRPr="00B96B17">
        <w:rPr>
          <w:b/>
          <w:color w:val="595959" w:themeColor="text1" w:themeTint="A6"/>
          <w:sz w:val="28"/>
          <w:szCs w:val="28"/>
        </w:rPr>
        <w:t xml:space="preserve">et les institutions publiques, existent </w:t>
      </w:r>
      <w:r w:rsidR="00D82E55" w:rsidRPr="00B96B17">
        <w:rPr>
          <w:b/>
          <w:color w:val="595959" w:themeColor="text1" w:themeTint="A6"/>
          <w:sz w:val="28"/>
          <w:szCs w:val="28"/>
        </w:rPr>
        <w:lastRenderedPageBreak/>
        <w:t>dans votre pays ? Quelles politique/programmes sont en place pour permettre aux personnes âgées, de vivre de manière indépendante dans leur communauté à mesure qu’elles vieillissent ?</w:t>
      </w:r>
    </w:p>
    <w:p w14:paraId="4FB62602" w14:textId="77777777" w:rsidR="00CB4442" w:rsidRPr="00B96B17" w:rsidRDefault="00CB4442" w:rsidP="0032247D">
      <w:pPr>
        <w:pStyle w:val="Listenabsatz"/>
        <w:ind w:left="360"/>
        <w:jc w:val="both"/>
        <w:rPr>
          <w:i/>
          <w:color w:val="595959" w:themeColor="text1" w:themeTint="A6"/>
          <w:sz w:val="28"/>
          <w:szCs w:val="28"/>
        </w:rPr>
      </w:pPr>
    </w:p>
    <w:p w14:paraId="19DD05CE" w14:textId="77777777" w:rsidR="00CB4442" w:rsidRPr="00B96B17" w:rsidRDefault="00CB4442" w:rsidP="0075228D">
      <w:pPr>
        <w:pStyle w:val="Listenabsatz"/>
        <w:numPr>
          <w:ilvl w:val="0"/>
          <w:numId w:val="2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Fournir les informations détaillées :  </w:t>
      </w:r>
    </w:p>
    <w:p w14:paraId="4F3460FD" w14:textId="77777777" w:rsidR="00ED4A62" w:rsidRPr="00B96B17" w:rsidRDefault="00ED4A62" w:rsidP="00CB4442">
      <w:pPr>
        <w:pStyle w:val="Listenabsatz"/>
        <w:ind w:left="360"/>
        <w:jc w:val="both"/>
        <w:rPr>
          <w:i/>
          <w:color w:val="595959" w:themeColor="text1" w:themeTint="A6"/>
          <w:sz w:val="28"/>
          <w:szCs w:val="28"/>
        </w:rPr>
      </w:pPr>
    </w:p>
    <w:p w14:paraId="2779A9BF" w14:textId="77777777" w:rsidR="00EE4E09" w:rsidRPr="00B96B17" w:rsidRDefault="003E370D" w:rsidP="00C217C2">
      <w:pPr>
        <w:pStyle w:val="Listenabsatz"/>
        <w:spacing w:line="360" w:lineRule="auto"/>
        <w:ind w:left="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A la date d’</w:t>
      </w:r>
      <w:r w:rsidR="00CB4442" w:rsidRPr="00B96B17">
        <w:rPr>
          <w:i/>
          <w:color w:val="595959" w:themeColor="text1" w:themeTint="A6"/>
          <w:sz w:val="28"/>
          <w:szCs w:val="28"/>
        </w:rPr>
        <w:t>a</w:t>
      </w:r>
      <w:r w:rsidRPr="00B96B17">
        <w:rPr>
          <w:i/>
          <w:color w:val="595959" w:themeColor="text1" w:themeTint="A6"/>
          <w:sz w:val="28"/>
          <w:szCs w:val="28"/>
        </w:rPr>
        <w:t xml:space="preserve">ujourd’hui, il n’existe pas de maison de retraites </w:t>
      </w:r>
      <w:r w:rsidR="00CB4442" w:rsidRPr="00B96B17">
        <w:rPr>
          <w:i/>
          <w:color w:val="595959" w:themeColor="text1" w:themeTint="A6"/>
          <w:sz w:val="28"/>
          <w:szCs w:val="28"/>
        </w:rPr>
        <w:t xml:space="preserve">pour </w:t>
      </w:r>
      <w:r w:rsidRPr="00B96B17">
        <w:rPr>
          <w:i/>
          <w:color w:val="595959" w:themeColor="text1" w:themeTint="A6"/>
          <w:sz w:val="28"/>
          <w:szCs w:val="28"/>
        </w:rPr>
        <w:t xml:space="preserve">interner les personnes âgées qui </w:t>
      </w:r>
      <w:r w:rsidR="00CB4442" w:rsidRPr="00B96B17">
        <w:rPr>
          <w:i/>
          <w:color w:val="595959" w:themeColor="text1" w:themeTint="A6"/>
          <w:sz w:val="28"/>
          <w:szCs w:val="28"/>
        </w:rPr>
        <w:t>contin</w:t>
      </w:r>
      <w:r w:rsidR="00535FB1" w:rsidRPr="00B96B17">
        <w:rPr>
          <w:i/>
          <w:color w:val="595959" w:themeColor="text1" w:themeTint="A6"/>
          <w:sz w:val="28"/>
          <w:szCs w:val="28"/>
        </w:rPr>
        <w:t>u</w:t>
      </w:r>
      <w:r w:rsidR="00CB4442" w:rsidRPr="00B96B17">
        <w:rPr>
          <w:i/>
          <w:color w:val="595959" w:themeColor="text1" w:themeTint="A6"/>
          <w:sz w:val="28"/>
          <w:szCs w:val="28"/>
        </w:rPr>
        <w:t xml:space="preserve">ent </w:t>
      </w:r>
      <w:r w:rsidRPr="00B96B17">
        <w:rPr>
          <w:i/>
          <w:color w:val="595959" w:themeColor="text1" w:themeTint="A6"/>
          <w:sz w:val="28"/>
          <w:szCs w:val="28"/>
        </w:rPr>
        <w:t>toujours</w:t>
      </w:r>
      <w:r w:rsidR="00CB4442" w:rsidRPr="00B96B17">
        <w:rPr>
          <w:i/>
          <w:color w:val="595959" w:themeColor="text1" w:themeTint="A6"/>
          <w:sz w:val="28"/>
          <w:szCs w:val="28"/>
        </w:rPr>
        <w:t xml:space="preserve"> de bénéficier</w:t>
      </w:r>
      <w:r w:rsidRPr="00B96B17">
        <w:rPr>
          <w:i/>
          <w:color w:val="595959" w:themeColor="text1" w:themeTint="A6"/>
          <w:sz w:val="28"/>
          <w:szCs w:val="28"/>
        </w:rPr>
        <w:t xml:space="preserve"> d’une cohabitation avec les autres composantes de la famille plus ou moins élargie</w:t>
      </w:r>
      <w:r w:rsidR="00B96B17">
        <w:rPr>
          <w:i/>
          <w:color w:val="595959" w:themeColor="text1" w:themeTint="A6"/>
          <w:sz w:val="28"/>
          <w:szCs w:val="28"/>
        </w:rPr>
        <w:t>. Quel</w:t>
      </w:r>
      <w:r w:rsidR="00B96B17" w:rsidRPr="00B96B17">
        <w:rPr>
          <w:i/>
          <w:color w:val="595959" w:themeColor="text1" w:themeTint="A6"/>
          <w:sz w:val="28"/>
          <w:szCs w:val="28"/>
        </w:rPr>
        <w:t xml:space="preserve"> que</w:t>
      </w:r>
      <w:r w:rsidR="00CB4442" w:rsidRPr="00B96B17">
        <w:rPr>
          <w:i/>
          <w:color w:val="595959" w:themeColor="text1" w:themeTint="A6"/>
          <w:sz w:val="28"/>
          <w:szCs w:val="28"/>
        </w:rPr>
        <w:t xml:space="preserve"> soit l’âge, la personne âgée peut toujours vivre dans la société malien</w:t>
      </w:r>
      <w:r w:rsidR="00535FB1" w:rsidRPr="00B96B17">
        <w:rPr>
          <w:i/>
          <w:color w:val="595959" w:themeColor="text1" w:themeTint="A6"/>
          <w:sz w:val="28"/>
          <w:szCs w:val="28"/>
        </w:rPr>
        <w:t>ne dans la concession familiale</w:t>
      </w:r>
      <w:r w:rsidR="00CB4442" w:rsidRPr="00B96B17">
        <w:rPr>
          <w:i/>
          <w:color w:val="595959" w:themeColor="text1" w:themeTint="A6"/>
          <w:sz w:val="28"/>
          <w:szCs w:val="28"/>
        </w:rPr>
        <w:t xml:space="preserve">. Elle est membre à part entièrement sans autres considérations discriminatoires. </w:t>
      </w:r>
    </w:p>
    <w:p w14:paraId="0171C414" w14:textId="77777777" w:rsidR="00EE4E09" w:rsidRPr="00B96B17" w:rsidRDefault="00EE4E09" w:rsidP="00C217C2">
      <w:pPr>
        <w:pStyle w:val="Listenabsatz"/>
        <w:spacing w:line="360" w:lineRule="auto"/>
        <w:ind w:left="360"/>
        <w:jc w:val="both"/>
        <w:rPr>
          <w:i/>
          <w:color w:val="595959" w:themeColor="text1" w:themeTint="A6"/>
          <w:sz w:val="28"/>
          <w:szCs w:val="28"/>
        </w:rPr>
      </w:pPr>
    </w:p>
    <w:p w14:paraId="047BF5E1" w14:textId="77777777" w:rsidR="00CB4442" w:rsidRPr="00B96B17" w:rsidRDefault="00EE4E09" w:rsidP="00C217C2">
      <w:pPr>
        <w:pStyle w:val="Listenabsatz"/>
        <w:spacing w:line="360" w:lineRule="auto"/>
        <w:ind w:left="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En 1999, dans le cadre d’une politique d’un toit aux démunis Fondation Partage a fait une donation à une dizaine de </w:t>
      </w:r>
      <w:r w:rsidR="00535FB1" w:rsidRPr="00B96B17">
        <w:rPr>
          <w:i/>
          <w:color w:val="595959" w:themeColor="text1" w:themeTint="A6"/>
          <w:sz w:val="28"/>
          <w:szCs w:val="28"/>
        </w:rPr>
        <w:t>« </w:t>
      </w:r>
      <w:r w:rsidRPr="00B96B17">
        <w:rPr>
          <w:i/>
          <w:color w:val="595959" w:themeColor="text1" w:themeTint="A6"/>
          <w:sz w:val="28"/>
          <w:szCs w:val="28"/>
        </w:rPr>
        <w:t>sans abri</w:t>
      </w:r>
      <w:r w:rsidR="00535FB1" w:rsidRPr="00B96B17">
        <w:rPr>
          <w:i/>
          <w:color w:val="595959" w:themeColor="text1" w:themeTint="A6"/>
          <w:sz w:val="28"/>
          <w:szCs w:val="28"/>
        </w:rPr>
        <w:t> »</w:t>
      </w:r>
      <w:r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535FB1" w:rsidRPr="00B96B17">
        <w:rPr>
          <w:i/>
          <w:color w:val="595959" w:themeColor="text1" w:themeTint="A6"/>
          <w:sz w:val="28"/>
          <w:szCs w:val="28"/>
        </w:rPr>
        <w:t>vivant</w:t>
      </w:r>
      <w:r w:rsidRPr="00B96B17">
        <w:rPr>
          <w:i/>
          <w:color w:val="595959" w:themeColor="text1" w:themeTint="A6"/>
          <w:sz w:val="28"/>
          <w:szCs w:val="28"/>
        </w:rPr>
        <w:t xml:space="preserve"> sur les dépotoirs de la capitale du District </w:t>
      </w:r>
      <w:r w:rsidR="00535FB1" w:rsidRPr="00B96B17">
        <w:rPr>
          <w:i/>
          <w:color w:val="595959" w:themeColor="text1" w:themeTint="A6"/>
          <w:sz w:val="28"/>
          <w:szCs w:val="28"/>
        </w:rPr>
        <w:t>de Bamako. Ces bénéficiaires de ce geste</w:t>
      </w:r>
      <w:r w:rsidRPr="00B96B17">
        <w:rPr>
          <w:i/>
          <w:color w:val="595959" w:themeColor="text1" w:themeTint="A6"/>
          <w:sz w:val="28"/>
          <w:szCs w:val="28"/>
        </w:rPr>
        <w:t xml:space="preserve"> de générosité de la </w:t>
      </w:r>
      <w:r w:rsidR="00535FB1" w:rsidRPr="00B96B17">
        <w:rPr>
          <w:i/>
          <w:color w:val="595959" w:themeColor="text1" w:themeTint="A6"/>
          <w:sz w:val="28"/>
          <w:szCs w:val="28"/>
        </w:rPr>
        <w:t xml:space="preserve">part </w:t>
      </w:r>
      <w:r w:rsidRPr="00B96B17">
        <w:rPr>
          <w:i/>
          <w:color w:val="595959" w:themeColor="text1" w:themeTint="A6"/>
          <w:sz w:val="28"/>
          <w:szCs w:val="28"/>
        </w:rPr>
        <w:t xml:space="preserve">Première Dame </w:t>
      </w:r>
      <w:r w:rsidR="00535FB1" w:rsidRPr="00B96B17">
        <w:rPr>
          <w:i/>
          <w:color w:val="595959" w:themeColor="text1" w:themeTint="A6"/>
          <w:sz w:val="28"/>
          <w:szCs w:val="28"/>
        </w:rPr>
        <w:t>de l’époque concernaient majoritairement l</w:t>
      </w:r>
      <w:r w:rsidRPr="00B96B17">
        <w:rPr>
          <w:i/>
          <w:color w:val="595959" w:themeColor="text1" w:themeTint="A6"/>
          <w:sz w:val="28"/>
          <w:szCs w:val="28"/>
        </w:rPr>
        <w:t xml:space="preserve">es personnes </w:t>
      </w:r>
      <w:r w:rsidR="00535FB1" w:rsidRPr="00B96B17">
        <w:rPr>
          <w:i/>
          <w:color w:val="595959" w:themeColor="text1" w:themeTint="A6"/>
          <w:sz w:val="28"/>
          <w:szCs w:val="28"/>
        </w:rPr>
        <w:t xml:space="preserve">âgées </w:t>
      </w:r>
      <w:r w:rsidRPr="00B96B17">
        <w:rPr>
          <w:i/>
          <w:color w:val="595959" w:themeColor="text1" w:themeTint="A6"/>
          <w:sz w:val="28"/>
          <w:szCs w:val="28"/>
        </w:rPr>
        <w:t xml:space="preserve">femmes. </w:t>
      </w:r>
      <w:r w:rsidR="00E503EA" w:rsidRPr="00B96B17">
        <w:rPr>
          <w:i/>
          <w:color w:val="595959" w:themeColor="text1" w:themeTint="A6"/>
          <w:sz w:val="28"/>
          <w:szCs w:val="28"/>
        </w:rPr>
        <w:t xml:space="preserve"> </w:t>
      </w:r>
    </w:p>
    <w:p w14:paraId="22947E93" w14:textId="77777777" w:rsidR="00AB579B" w:rsidRPr="00B96B17" w:rsidRDefault="00AB579B" w:rsidP="00C217C2">
      <w:pPr>
        <w:pStyle w:val="Listenabsatz"/>
        <w:spacing w:line="360" w:lineRule="auto"/>
        <w:ind w:left="360"/>
        <w:jc w:val="both"/>
        <w:rPr>
          <w:i/>
          <w:color w:val="595959" w:themeColor="text1" w:themeTint="A6"/>
          <w:sz w:val="28"/>
          <w:szCs w:val="28"/>
        </w:rPr>
      </w:pPr>
    </w:p>
    <w:p w14:paraId="35C89777" w14:textId="77777777" w:rsidR="00CB4442" w:rsidRPr="00B96B17" w:rsidRDefault="00AB579B" w:rsidP="00C217C2">
      <w:pPr>
        <w:pStyle w:val="Listenabsatz"/>
        <w:spacing w:line="360" w:lineRule="auto"/>
        <w:ind w:left="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La politique de pr</w:t>
      </w:r>
      <w:r w:rsidR="00346094" w:rsidRPr="00B96B17">
        <w:rPr>
          <w:i/>
          <w:color w:val="595959" w:themeColor="text1" w:themeTint="A6"/>
          <w:sz w:val="28"/>
          <w:szCs w:val="28"/>
        </w:rPr>
        <w:t xml:space="preserve">otection au Mali </w:t>
      </w:r>
      <w:r w:rsidRPr="00B96B17">
        <w:rPr>
          <w:i/>
          <w:color w:val="595959" w:themeColor="text1" w:themeTint="A6"/>
          <w:sz w:val="28"/>
          <w:szCs w:val="28"/>
        </w:rPr>
        <w:t>consist</w:t>
      </w:r>
      <w:r w:rsidR="00346094" w:rsidRPr="00B96B17">
        <w:rPr>
          <w:i/>
          <w:color w:val="595959" w:themeColor="text1" w:themeTint="A6"/>
          <w:sz w:val="28"/>
          <w:szCs w:val="28"/>
        </w:rPr>
        <w:t>ait</w:t>
      </w:r>
      <w:r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346094" w:rsidRPr="00B96B17">
        <w:rPr>
          <w:i/>
          <w:color w:val="595959" w:themeColor="text1" w:themeTint="A6"/>
          <w:sz w:val="28"/>
          <w:szCs w:val="28"/>
        </w:rPr>
        <w:t>à mettre place</w:t>
      </w:r>
      <w:r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346094" w:rsidRPr="00B96B17">
        <w:rPr>
          <w:i/>
          <w:color w:val="595959" w:themeColor="text1" w:themeTint="A6"/>
          <w:sz w:val="28"/>
          <w:szCs w:val="28"/>
        </w:rPr>
        <w:t xml:space="preserve">l’Institut National de Prévoyance Social (INPS) et </w:t>
      </w:r>
      <w:r w:rsidRPr="00B96B17">
        <w:rPr>
          <w:i/>
          <w:color w:val="595959" w:themeColor="text1" w:themeTint="A6"/>
          <w:sz w:val="28"/>
          <w:szCs w:val="28"/>
        </w:rPr>
        <w:t xml:space="preserve">de la Caisse Nationale de Retraite dénommée aujourd’hui, Caisse Malienne de Sécurité Sociale (CMSS), qui assurent le paiement des pensions de retraites pour ses contribuables.     </w:t>
      </w:r>
    </w:p>
    <w:p w14:paraId="6B678469" w14:textId="77777777" w:rsidR="00AB579B" w:rsidRPr="00B96B17" w:rsidRDefault="00AB579B" w:rsidP="00C217C2">
      <w:pPr>
        <w:spacing w:line="360" w:lineRule="auto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D’autres formes de sécurité sociale existent au mali, comme l’Assurance Maladie Obligatoire (AMO), le </w:t>
      </w:r>
      <w:r w:rsidR="009125B3" w:rsidRPr="00B96B17">
        <w:rPr>
          <w:i/>
          <w:color w:val="595959" w:themeColor="text1" w:themeTint="A6"/>
          <w:sz w:val="28"/>
          <w:szCs w:val="28"/>
        </w:rPr>
        <w:t>Régime d’</w:t>
      </w:r>
      <w:r w:rsidRPr="00B96B17">
        <w:rPr>
          <w:i/>
          <w:color w:val="595959" w:themeColor="text1" w:themeTint="A6"/>
          <w:sz w:val="28"/>
          <w:szCs w:val="28"/>
        </w:rPr>
        <w:t>A</w:t>
      </w:r>
      <w:r w:rsidR="009125B3" w:rsidRPr="00B96B17">
        <w:rPr>
          <w:i/>
          <w:color w:val="595959" w:themeColor="text1" w:themeTint="A6"/>
          <w:sz w:val="28"/>
          <w:szCs w:val="28"/>
        </w:rPr>
        <w:t xml:space="preserve">ssurance </w:t>
      </w:r>
      <w:r w:rsidRPr="00B96B17">
        <w:rPr>
          <w:i/>
          <w:color w:val="595959" w:themeColor="text1" w:themeTint="A6"/>
          <w:sz w:val="28"/>
          <w:szCs w:val="28"/>
        </w:rPr>
        <w:t>M</w:t>
      </w:r>
      <w:r w:rsidR="009125B3" w:rsidRPr="00B96B17">
        <w:rPr>
          <w:i/>
          <w:color w:val="595959" w:themeColor="text1" w:themeTint="A6"/>
          <w:sz w:val="28"/>
          <w:szCs w:val="28"/>
        </w:rPr>
        <w:t xml:space="preserve">aladie des </w:t>
      </w:r>
      <w:r w:rsidRPr="00B96B17">
        <w:rPr>
          <w:i/>
          <w:color w:val="595959" w:themeColor="text1" w:themeTint="A6"/>
          <w:sz w:val="28"/>
          <w:szCs w:val="28"/>
        </w:rPr>
        <w:t>D</w:t>
      </w:r>
      <w:r w:rsidR="009125B3" w:rsidRPr="00B96B17">
        <w:rPr>
          <w:i/>
          <w:color w:val="595959" w:themeColor="text1" w:themeTint="A6"/>
          <w:sz w:val="28"/>
          <w:szCs w:val="28"/>
        </w:rPr>
        <w:t>émunis (R</w:t>
      </w:r>
      <w:r w:rsidRPr="00B96B17">
        <w:rPr>
          <w:i/>
          <w:color w:val="595959" w:themeColor="text1" w:themeTint="A6"/>
          <w:sz w:val="28"/>
          <w:szCs w:val="28"/>
        </w:rPr>
        <w:t>AMED</w:t>
      </w:r>
      <w:r w:rsidR="009125B3" w:rsidRPr="00B96B17">
        <w:rPr>
          <w:i/>
          <w:color w:val="595959" w:themeColor="text1" w:themeTint="A6"/>
          <w:sz w:val="28"/>
          <w:szCs w:val="28"/>
        </w:rPr>
        <w:t>)</w:t>
      </w:r>
    </w:p>
    <w:p w14:paraId="7D4F9FEF" w14:textId="77777777" w:rsidR="00D82E55" w:rsidRPr="00B96B17" w:rsidRDefault="00D82E55" w:rsidP="00D82E55">
      <w:pPr>
        <w:pStyle w:val="Listenabsatz"/>
        <w:numPr>
          <w:ilvl w:val="0"/>
          <w:numId w:val="1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lastRenderedPageBreak/>
        <w:t>Quelles nouvelles stratégies</w:t>
      </w:r>
      <w:r w:rsidR="006E451A" w:rsidRPr="00B96B17">
        <w:rPr>
          <w:b/>
          <w:color w:val="595959" w:themeColor="text1" w:themeTint="A6"/>
          <w:sz w:val="28"/>
          <w:szCs w:val="28"/>
        </w:rPr>
        <w:t xml:space="preserve"> de logement durable pour les personnes âgées compte tenu des préoccupations actuelles concernant les impacts de changement climatique ? </w:t>
      </w:r>
    </w:p>
    <w:p w14:paraId="72B79453" w14:textId="77777777" w:rsidR="0032247D" w:rsidRPr="00B96B17" w:rsidRDefault="00B029BA" w:rsidP="00B029BA">
      <w:p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La stratégie de logement durable et sécuritaire est </w:t>
      </w:r>
      <w:r w:rsidR="00B96B17" w:rsidRPr="00B96B17">
        <w:rPr>
          <w:i/>
          <w:color w:val="595959" w:themeColor="text1" w:themeTint="A6"/>
          <w:sz w:val="28"/>
          <w:szCs w:val="28"/>
        </w:rPr>
        <w:t>surtout familiale</w:t>
      </w:r>
      <w:r w:rsidRPr="00B96B17">
        <w:rPr>
          <w:i/>
          <w:color w:val="595959" w:themeColor="text1" w:themeTint="A6"/>
          <w:sz w:val="28"/>
          <w:szCs w:val="28"/>
        </w:rPr>
        <w:t xml:space="preserve"> et communautaire. Dans un contexte de changement climatique, il n’existe encore aucun dispositif préventif concernant les personnes âgées.    </w:t>
      </w:r>
    </w:p>
    <w:p w14:paraId="07C221C7" w14:textId="77777777" w:rsidR="009F61FB" w:rsidRPr="00B96B17" w:rsidRDefault="009F61FB" w:rsidP="00B029BA">
      <w:pPr>
        <w:jc w:val="both"/>
        <w:rPr>
          <w:i/>
          <w:color w:val="595959" w:themeColor="text1" w:themeTint="A6"/>
          <w:sz w:val="28"/>
          <w:szCs w:val="28"/>
        </w:rPr>
      </w:pPr>
    </w:p>
    <w:p w14:paraId="3D9678E1" w14:textId="77777777" w:rsidR="006E451A" w:rsidRPr="00B96B17" w:rsidRDefault="000734F5" w:rsidP="006E451A">
      <w:pPr>
        <w:pStyle w:val="Listenabsatz"/>
        <w:numPr>
          <w:ilvl w:val="0"/>
          <w:numId w:val="1"/>
        </w:numPr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Comment l’Etat </w:t>
      </w:r>
      <w:r w:rsidR="006F3B67" w:rsidRPr="00B96B17">
        <w:rPr>
          <w:b/>
          <w:color w:val="595959" w:themeColor="text1" w:themeTint="A6"/>
          <w:sz w:val="28"/>
          <w:szCs w:val="28"/>
        </w:rPr>
        <w:t>s’acquitte –il de ses obligations d’assurer l’accès des personnes âgées à la justice et</w:t>
      </w:r>
      <w:r w:rsidR="00CC4D2C" w:rsidRPr="00B96B17">
        <w:rPr>
          <w:b/>
          <w:color w:val="595959" w:themeColor="text1" w:themeTint="A6"/>
          <w:sz w:val="28"/>
          <w:szCs w:val="28"/>
        </w:rPr>
        <w:t xml:space="preserve"> d’obtenir des recours et des ré</w:t>
      </w:r>
      <w:r w:rsidR="006F3B67" w:rsidRPr="00B96B17">
        <w:rPr>
          <w:b/>
          <w:color w:val="595959" w:themeColor="text1" w:themeTint="A6"/>
          <w:sz w:val="28"/>
          <w:szCs w:val="28"/>
        </w:rPr>
        <w:t>par</w:t>
      </w:r>
      <w:r w:rsidR="00B54B89" w:rsidRPr="00B96B17">
        <w:rPr>
          <w:b/>
          <w:color w:val="595959" w:themeColor="text1" w:themeTint="A6"/>
          <w:sz w:val="28"/>
          <w:szCs w:val="28"/>
        </w:rPr>
        <w:t>a</w:t>
      </w:r>
      <w:r w:rsidR="006F3B67" w:rsidRPr="00B96B17">
        <w:rPr>
          <w:b/>
          <w:color w:val="595959" w:themeColor="text1" w:themeTint="A6"/>
          <w:sz w:val="28"/>
          <w:szCs w:val="28"/>
        </w:rPr>
        <w:t xml:space="preserve">tions lors que leur droit à un logement convenable a été violé ? </w:t>
      </w:r>
    </w:p>
    <w:p w14:paraId="50A8224F" w14:textId="77777777" w:rsidR="00B70B8D" w:rsidRPr="00B96B17" w:rsidRDefault="00B70B8D" w:rsidP="00B70B8D">
      <w:pPr>
        <w:pStyle w:val="Listenabsatz"/>
        <w:ind w:left="360"/>
        <w:jc w:val="both"/>
        <w:rPr>
          <w:i/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>Il s’agit d’une situation qui est prise en compte par le droit public</w:t>
      </w:r>
    </w:p>
    <w:p w14:paraId="5D3910FB" w14:textId="77777777" w:rsidR="00674C70" w:rsidRPr="00B96B17" w:rsidRDefault="003E77EE" w:rsidP="003E77EE">
      <w:pPr>
        <w:pStyle w:val="Listenabsatz"/>
        <w:ind w:left="360"/>
        <w:jc w:val="both"/>
        <w:rPr>
          <w:color w:val="595959" w:themeColor="text1" w:themeTint="A6"/>
          <w:sz w:val="28"/>
          <w:szCs w:val="28"/>
        </w:rPr>
      </w:pPr>
      <w:r w:rsidRPr="00B96B17">
        <w:rPr>
          <w:i/>
          <w:color w:val="595959" w:themeColor="text1" w:themeTint="A6"/>
          <w:sz w:val="28"/>
          <w:szCs w:val="28"/>
        </w:rPr>
        <w:t xml:space="preserve"> </w:t>
      </w:r>
      <w:r w:rsidR="00B70B8D" w:rsidRPr="00B96B17">
        <w:rPr>
          <w:i/>
          <w:color w:val="595959" w:themeColor="text1" w:themeTint="A6"/>
          <w:sz w:val="28"/>
          <w:szCs w:val="28"/>
        </w:rPr>
        <w:t xml:space="preserve"> </w:t>
      </w:r>
    </w:p>
    <w:p w14:paraId="714D56AE" w14:textId="77777777" w:rsidR="0054574C" w:rsidRPr="00B96B17" w:rsidRDefault="00C14C2F" w:rsidP="00C14C2F">
      <w:pPr>
        <w:rPr>
          <w:b/>
          <w:color w:val="595959" w:themeColor="text1" w:themeTint="A6"/>
          <w:sz w:val="28"/>
          <w:szCs w:val="28"/>
        </w:rPr>
      </w:pPr>
      <w:r w:rsidRPr="00B96B17">
        <w:rPr>
          <w:b/>
          <w:color w:val="595959" w:themeColor="text1" w:themeTint="A6"/>
          <w:sz w:val="28"/>
          <w:szCs w:val="28"/>
        </w:rPr>
        <w:t xml:space="preserve"> </w:t>
      </w:r>
      <w:r w:rsidR="005D0BB4" w:rsidRPr="00B96B17">
        <w:rPr>
          <w:b/>
          <w:color w:val="595959" w:themeColor="text1" w:themeTint="A6"/>
          <w:sz w:val="28"/>
          <w:szCs w:val="28"/>
        </w:rPr>
        <w:t>Références</w:t>
      </w:r>
    </w:p>
    <w:p w14:paraId="3F0347D3" w14:textId="77777777" w:rsidR="005D0BB4" w:rsidRPr="004C25CD" w:rsidRDefault="005D0BB4" w:rsidP="00C14C2F">
      <w:pPr>
        <w:rPr>
          <w:b/>
          <w:color w:val="595959" w:themeColor="text1" w:themeTint="A6"/>
          <w:sz w:val="36"/>
          <w:szCs w:val="36"/>
        </w:rPr>
      </w:pPr>
      <w:r w:rsidRPr="00B96B17">
        <w:rPr>
          <w:b/>
          <w:color w:val="595959" w:themeColor="text1" w:themeTint="A6"/>
          <w:sz w:val="28"/>
          <w:szCs w:val="28"/>
        </w:rPr>
        <w:t>https://www.instat-mali.org/laravel-filem</w:t>
      </w:r>
      <w:r w:rsidRPr="004C25CD">
        <w:rPr>
          <w:b/>
          <w:color w:val="595959" w:themeColor="text1" w:themeTint="A6"/>
          <w:sz w:val="36"/>
          <w:szCs w:val="36"/>
        </w:rPr>
        <w:t>anager/files/shares/eq/rana17pas1_eq.pdf</w:t>
      </w:r>
    </w:p>
    <w:sectPr w:rsidR="005D0BB4" w:rsidRPr="004C25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FC60" w14:textId="77777777" w:rsidR="00462B0F" w:rsidRDefault="00462B0F" w:rsidP="00EE021D">
      <w:pPr>
        <w:spacing w:after="0" w:line="240" w:lineRule="auto"/>
      </w:pPr>
      <w:r>
        <w:separator/>
      </w:r>
    </w:p>
  </w:endnote>
  <w:endnote w:type="continuationSeparator" w:id="0">
    <w:p w14:paraId="0F66D081" w14:textId="77777777" w:rsidR="00462B0F" w:rsidRDefault="00462B0F" w:rsidP="00EE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D0A8" w14:textId="77777777" w:rsidR="00EE021D" w:rsidRDefault="00000000">
    <w:pPr>
      <w:pStyle w:val="Fuzeile"/>
    </w:pPr>
    <w:r>
      <w:rPr>
        <w:noProof/>
      </w:rPr>
      <w:pict w14:anchorId="515A7D7B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1025" type="#_x0000_t65" style="position:absolute;margin-left:0;margin-top:0;width:29pt;height:21.6pt;z-index:251658240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>
            <w:txbxContent>
              <w:p w14:paraId="52AC1AB4" w14:textId="77777777" w:rsidR="00EE021D" w:rsidRDefault="00EE021D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B4242E" w:rsidRPr="00B4242E">
                  <w:rPr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C147" w14:textId="77777777" w:rsidR="00462B0F" w:rsidRDefault="00462B0F" w:rsidP="00EE021D">
      <w:pPr>
        <w:spacing w:after="0" w:line="240" w:lineRule="auto"/>
      </w:pPr>
      <w:r>
        <w:separator/>
      </w:r>
    </w:p>
  </w:footnote>
  <w:footnote w:type="continuationSeparator" w:id="0">
    <w:p w14:paraId="5DCC14C1" w14:textId="77777777" w:rsidR="00462B0F" w:rsidRDefault="00462B0F" w:rsidP="00EE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9F3"/>
    <w:multiLevelType w:val="hybridMultilevel"/>
    <w:tmpl w:val="FFFFFFFF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DCC"/>
    <w:multiLevelType w:val="hybridMultilevel"/>
    <w:tmpl w:val="FFFFFFFF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65D5F"/>
    <w:multiLevelType w:val="hybridMultilevel"/>
    <w:tmpl w:val="FFFFFFFF"/>
    <w:lvl w:ilvl="0" w:tplc="D2B4C9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A4E47E0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90573054">
    <w:abstractNumId w:val="2"/>
  </w:num>
  <w:num w:numId="2" w16cid:durableId="655453225">
    <w:abstractNumId w:val="0"/>
  </w:num>
  <w:num w:numId="3" w16cid:durableId="819611763">
    <w:abstractNumId w:val="3"/>
  </w:num>
  <w:num w:numId="4" w16cid:durableId="72911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574C"/>
    <w:rsid w:val="000133E7"/>
    <w:rsid w:val="000734F5"/>
    <w:rsid w:val="000A5468"/>
    <w:rsid w:val="000B1D11"/>
    <w:rsid w:val="000D78C7"/>
    <w:rsid w:val="000E32F7"/>
    <w:rsid w:val="00120BD3"/>
    <w:rsid w:val="001406FD"/>
    <w:rsid w:val="0021358F"/>
    <w:rsid w:val="00220E7A"/>
    <w:rsid w:val="0023588F"/>
    <w:rsid w:val="002902BC"/>
    <w:rsid w:val="002B0E1A"/>
    <w:rsid w:val="002F2C51"/>
    <w:rsid w:val="0032247D"/>
    <w:rsid w:val="00331BFD"/>
    <w:rsid w:val="00346094"/>
    <w:rsid w:val="00347718"/>
    <w:rsid w:val="003E370D"/>
    <w:rsid w:val="003E77EE"/>
    <w:rsid w:val="003F616E"/>
    <w:rsid w:val="00427531"/>
    <w:rsid w:val="004545F5"/>
    <w:rsid w:val="00462B0F"/>
    <w:rsid w:val="00464354"/>
    <w:rsid w:val="00471B28"/>
    <w:rsid w:val="004C25CD"/>
    <w:rsid w:val="004D622F"/>
    <w:rsid w:val="004E0675"/>
    <w:rsid w:val="00501F1A"/>
    <w:rsid w:val="00530107"/>
    <w:rsid w:val="00535FB1"/>
    <w:rsid w:val="0054574C"/>
    <w:rsid w:val="00546325"/>
    <w:rsid w:val="00551532"/>
    <w:rsid w:val="005D0BB4"/>
    <w:rsid w:val="00600901"/>
    <w:rsid w:val="00671868"/>
    <w:rsid w:val="00674C70"/>
    <w:rsid w:val="00695F36"/>
    <w:rsid w:val="006E451A"/>
    <w:rsid w:val="006F3B67"/>
    <w:rsid w:val="0075228D"/>
    <w:rsid w:val="00806BA9"/>
    <w:rsid w:val="00893C07"/>
    <w:rsid w:val="008E3CA0"/>
    <w:rsid w:val="009125B3"/>
    <w:rsid w:val="009746F3"/>
    <w:rsid w:val="009B13D1"/>
    <w:rsid w:val="009F61FB"/>
    <w:rsid w:val="00A13717"/>
    <w:rsid w:val="00AB579B"/>
    <w:rsid w:val="00AF3185"/>
    <w:rsid w:val="00AF7FBD"/>
    <w:rsid w:val="00B029BA"/>
    <w:rsid w:val="00B04303"/>
    <w:rsid w:val="00B422F1"/>
    <w:rsid w:val="00B4242E"/>
    <w:rsid w:val="00B54B89"/>
    <w:rsid w:val="00B54FD6"/>
    <w:rsid w:val="00B70B8D"/>
    <w:rsid w:val="00B7120F"/>
    <w:rsid w:val="00B721BE"/>
    <w:rsid w:val="00B9500F"/>
    <w:rsid w:val="00B96B17"/>
    <w:rsid w:val="00C06A69"/>
    <w:rsid w:val="00C14C2F"/>
    <w:rsid w:val="00C217C2"/>
    <w:rsid w:val="00CB4442"/>
    <w:rsid w:val="00CC4D2C"/>
    <w:rsid w:val="00D20106"/>
    <w:rsid w:val="00D82E55"/>
    <w:rsid w:val="00DC34C5"/>
    <w:rsid w:val="00E00B2D"/>
    <w:rsid w:val="00E503EA"/>
    <w:rsid w:val="00E7085B"/>
    <w:rsid w:val="00E80924"/>
    <w:rsid w:val="00ED4A62"/>
    <w:rsid w:val="00EE021D"/>
    <w:rsid w:val="00EE4E09"/>
    <w:rsid w:val="00F47AB5"/>
    <w:rsid w:val="00F63D8B"/>
    <w:rsid w:val="00F72F7A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27EA0C8"/>
  <w14:defaultImageDpi w14:val="0"/>
  <w15:docId w15:val="{F8CE98F3-8040-483F-86F2-42CFC2D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paragraph" w:styleId="berschrift3">
    <w:name w:val="heading 3"/>
    <w:basedOn w:val="Standard"/>
    <w:link w:val="berschrift3Zchn"/>
    <w:uiPriority w:val="9"/>
    <w:qFormat/>
    <w:rsid w:val="009F61F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74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F61FB"/>
    <w:rPr>
      <w:rFonts w:ascii="Times New Roman" w:hAnsi="Times New Roman" w:cs="Times New Roman"/>
      <w:b/>
      <w:bCs/>
      <w:sz w:val="27"/>
      <w:szCs w:val="27"/>
      <w:lang w:val="x-none" w:eastAsia="fr-FR"/>
    </w:rPr>
  </w:style>
  <w:style w:type="paragraph" w:styleId="Kopfzeile">
    <w:name w:val="header"/>
    <w:basedOn w:val="Standard"/>
    <w:link w:val="KopfzeileZchn"/>
    <w:uiPriority w:val="99"/>
    <w:unhideWhenUsed/>
    <w:rsid w:val="00EE021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E021D"/>
    <w:rPr>
      <w:rFonts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9F61FB"/>
    <w:rPr>
      <w:rFonts w:cs="Times New Roman"/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E021D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D2010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B9632DCE06843B1F5F54F58526BE6" ma:contentTypeVersion="4" ma:contentTypeDescription="Ein neues Dokument erstellen." ma:contentTypeScope="" ma:versionID="0b30f4000478308ed0603070be30e814">
  <xsd:schema xmlns:xsd="http://www.w3.org/2001/XMLSchema" xmlns:xs="http://www.w3.org/2001/XMLSchema" xmlns:p="http://schemas.microsoft.com/office/2006/metadata/properties" xmlns:ns2="9ae152c7-17e6-499c-a5ad-ebdcfe73bed9" targetNamespace="http://schemas.microsoft.com/office/2006/metadata/properties" ma:root="true" ma:fieldsID="a7c431d46ec5abc863993b288030d5e0" ns2:_="">
    <xsd:import namespace="9ae152c7-17e6-499c-a5ad-ebdcfe73b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52c7-17e6-499c-a5ad-ebdcfe7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C7AA5-4C52-4F5A-8809-73382C624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DEBD2-8F30-4552-B338-0C3D51B54701}"/>
</file>

<file path=customXml/itemProps3.xml><?xml version="1.0" encoding="utf-8"?>
<ds:datastoreItem xmlns:ds="http://schemas.openxmlformats.org/officeDocument/2006/customXml" ds:itemID="{FC772624-188B-4D73-B27C-E970C72B6FE0}"/>
</file>

<file path=customXml/itemProps4.xml><?xml version="1.0" encoding="utf-8"?>
<ds:datastoreItem xmlns:ds="http://schemas.openxmlformats.org/officeDocument/2006/customXml" ds:itemID="{7EEE9C7F-2CE0-4118-AA54-FD6800BF5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Litschke, Peter</cp:lastModifiedBy>
  <cp:revision>2</cp:revision>
  <dcterms:created xsi:type="dcterms:W3CDTF">2022-08-02T11:28:00Z</dcterms:created>
  <dcterms:modified xsi:type="dcterms:W3CDTF">2022-08-02T11:28:00Z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0x0101006E2B9632DCE06843B1F5F54F58526BE6</vt:lpwstr>
  </property>
</Properties>
</file>