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B3" w:rsidRPr="009331BB" w:rsidRDefault="00D517B3" w:rsidP="00F409EE">
      <w:pPr>
        <w:bidi w:val="0"/>
        <w:rPr>
          <w:rFonts w:cs="Times New Roman"/>
          <w:color w:val="000000"/>
        </w:rPr>
      </w:pPr>
      <w:r w:rsidRPr="009331BB">
        <w:rPr>
          <w:rFonts w:cs="Times New Roman"/>
          <w:color w:val="000000"/>
        </w:rPr>
        <w:t xml:space="preserve">Date:  </w:t>
      </w:r>
      <w:r>
        <w:rPr>
          <w:rFonts w:cs="Times New Roman"/>
          <w:color w:val="000000"/>
        </w:rPr>
        <w:t>May</w:t>
      </w:r>
      <w:r w:rsidRPr="009331BB">
        <w:rPr>
          <w:rFonts w:cs="Times New Roman"/>
          <w:color w:val="000000"/>
        </w:rPr>
        <w:t xml:space="preserve"> </w:t>
      </w:r>
      <w:r w:rsidR="00F409EE">
        <w:rPr>
          <w:rFonts w:cs="Times New Roman"/>
          <w:color w:val="000000"/>
        </w:rPr>
        <w:t>2</w:t>
      </w:r>
      <w:r w:rsidRPr="009331BB">
        <w:rPr>
          <w:rFonts w:cs="Times New Roman"/>
          <w:color w:val="000000"/>
        </w:rPr>
        <w:t>, 2022</w:t>
      </w:r>
    </w:p>
    <w:p w:rsidR="00D517B3" w:rsidRPr="009331BB" w:rsidRDefault="00F409EE" w:rsidP="00F409EE">
      <w:pPr>
        <w:bidi w:val="0"/>
        <w:rPr>
          <w:rFonts w:cs="Times New Roman"/>
          <w:color w:val="000000"/>
        </w:rPr>
      </w:pPr>
      <w:r>
        <w:rPr>
          <w:rFonts w:cs="Times New Roman"/>
          <w:color w:val="000000"/>
        </w:rPr>
        <w:t>Iyar</w:t>
      </w:r>
      <w:r w:rsidR="00D517B3" w:rsidRPr="009331BB">
        <w:rPr>
          <w:rFonts w:cs="Times New Roman"/>
          <w:color w:val="000000"/>
        </w:rPr>
        <w:t xml:space="preserve"> </w:t>
      </w:r>
      <w:r>
        <w:rPr>
          <w:rFonts w:cs="Times New Roman"/>
          <w:color w:val="000000"/>
        </w:rPr>
        <w:t>1</w:t>
      </w:r>
      <w:r w:rsidR="00D517B3" w:rsidRPr="009331BB">
        <w:rPr>
          <w:rFonts w:cs="Times New Roman"/>
          <w:color w:val="000000"/>
        </w:rPr>
        <w:t>, 5782</w:t>
      </w:r>
    </w:p>
    <w:p w:rsidR="00D517B3" w:rsidRPr="009331BB" w:rsidRDefault="00D517B3" w:rsidP="00D517B3">
      <w:pPr>
        <w:bidi w:val="0"/>
        <w:spacing w:before="240"/>
        <w:rPr>
          <w:rFonts w:cs="Times New Roman"/>
          <w:color w:val="000000"/>
        </w:rPr>
      </w:pPr>
      <w:r w:rsidRPr="009331BB">
        <w:rPr>
          <w:rFonts w:cs="Times New Roman"/>
          <w:color w:val="000000"/>
        </w:rPr>
        <w:t>To: M</w:t>
      </w:r>
      <w:r>
        <w:rPr>
          <w:rFonts w:cs="Times New Roman"/>
          <w:color w:val="000000"/>
        </w:rPr>
        <w:t>s</w:t>
      </w:r>
      <w:r w:rsidRPr="009331BB">
        <w:rPr>
          <w:rFonts w:cs="Times New Roman"/>
          <w:color w:val="000000"/>
        </w:rPr>
        <w:t xml:space="preserve">. </w:t>
      </w:r>
      <w:r>
        <w:rPr>
          <w:rFonts w:cs="Times New Roman"/>
          <w:color w:val="000000"/>
        </w:rPr>
        <w:t>Claudia Mahler</w:t>
      </w:r>
      <w:r w:rsidRPr="009331BB">
        <w:rPr>
          <w:rFonts w:cs="Times New Roman"/>
          <w:color w:val="000000"/>
        </w:rPr>
        <w:t xml:space="preserve">, Independent Expert on </w:t>
      </w:r>
      <w:r>
        <w:rPr>
          <w:rFonts w:cs="Times New Roman"/>
          <w:color w:val="000000"/>
        </w:rPr>
        <w:t>the enjoyment of all human rights by older persons</w:t>
      </w:r>
    </w:p>
    <w:p w:rsidR="00D517B3" w:rsidRDefault="00D517B3" w:rsidP="001E50A6">
      <w:pPr>
        <w:pStyle w:val="NormalWeb"/>
        <w:spacing w:before="120" w:beforeAutospacing="0" w:after="240" w:afterAutospacing="0" w:line="360" w:lineRule="auto"/>
        <w:jc w:val="center"/>
        <w:rPr>
          <w:rFonts w:cs="David"/>
          <w:b/>
          <w:bCs/>
          <w:color w:val="auto"/>
          <w:u w:val="single"/>
        </w:rPr>
      </w:pPr>
    </w:p>
    <w:p w:rsidR="003875E4" w:rsidRDefault="008D3836" w:rsidP="001E50A6">
      <w:pPr>
        <w:pStyle w:val="NormalWeb"/>
        <w:spacing w:before="120" w:beforeAutospacing="0" w:after="240" w:afterAutospacing="0" w:line="360" w:lineRule="auto"/>
        <w:jc w:val="center"/>
        <w:rPr>
          <w:rFonts w:cs="David"/>
          <w:b/>
          <w:bCs/>
          <w:color w:val="auto"/>
          <w:u w:val="single"/>
        </w:rPr>
      </w:pPr>
      <w:r>
        <w:rPr>
          <w:rFonts w:cs="David"/>
          <w:b/>
          <w:bCs/>
          <w:color w:val="auto"/>
          <w:u w:val="single"/>
        </w:rPr>
        <w:t>Older Persons and the Right to Adequate Housing</w:t>
      </w:r>
    </w:p>
    <w:p w:rsidR="00CF725A" w:rsidRDefault="00F11E9D" w:rsidP="00BE6B7F">
      <w:pPr>
        <w:tabs>
          <w:tab w:val="left" w:pos="0"/>
        </w:tabs>
        <w:bidi w:val="0"/>
        <w:spacing w:after="160"/>
        <w:rPr>
          <w:rFonts w:cs="Times New Roman"/>
        </w:rPr>
      </w:pPr>
      <w:r>
        <w:rPr>
          <w:rFonts w:cs="Times New Roman"/>
        </w:rPr>
        <w:t xml:space="preserve">The Department of Senior Citizens in the Ministry of Social Equality </w:t>
      </w:r>
      <w:proofErr w:type="gramStart"/>
      <w:r w:rsidR="0076101B">
        <w:rPr>
          <w:rFonts w:cs="Times New Roman"/>
        </w:rPr>
        <w:t>is charged</w:t>
      </w:r>
      <w:proofErr w:type="gramEnd"/>
      <w:r w:rsidR="0076101B">
        <w:rPr>
          <w:rFonts w:cs="Times New Roman"/>
        </w:rPr>
        <w:t xml:space="preserve"> with the promotion of rights of </w:t>
      </w:r>
      <w:r w:rsidR="006C18A7">
        <w:rPr>
          <w:rFonts w:cs="Times New Roman"/>
        </w:rPr>
        <w:t>older</w:t>
      </w:r>
      <w:r w:rsidR="0076101B">
        <w:rPr>
          <w:rFonts w:cs="Times New Roman"/>
        </w:rPr>
        <w:t xml:space="preserve"> </w:t>
      </w:r>
      <w:r w:rsidR="006C18A7">
        <w:rPr>
          <w:rFonts w:cs="Times New Roman"/>
        </w:rPr>
        <w:t>persons</w:t>
      </w:r>
      <w:r w:rsidR="0076101B">
        <w:rPr>
          <w:rFonts w:cs="Times New Roman"/>
        </w:rPr>
        <w:t xml:space="preserve">. </w:t>
      </w:r>
      <w:r w:rsidR="00D517B3">
        <w:rPr>
          <w:rFonts w:cs="Times New Roman"/>
        </w:rPr>
        <w:t xml:space="preserve">Upon reaching </w:t>
      </w:r>
      <w:r w:rsidR="00BE6B7F">
        <w:rPr>
          <w:rFonts w:cs="Times New Roman"/>
        </w:rPr>
        <w:t>retirement</w:t>
      </w:r>
      <w:r w:rsidR="00D517B3">
        <w:rPr>
          <w:rFonts w:cs="Times New Roman"/>
        </w:rPr>
        <w:t xml:space="preserve"> age </w:t>
      </w:r>
      <w:r w:rsidR="00BE6B7F">
        <w:rPr>
          <w:rFonts w:cs="Times New Roman"/>
        </w:rPr>
        <w:t xml:space="preserve">(62 for women, </w:t>
      </w:r>
      <w:r w:rsidR="00D517B3">
        <w:rPr>
          <w:rFonts w:cs="Times New Roman"/>
        </w:rPr>
        <w:t>6</w:t>
      </w:r>
      <w:r w:rsidR="00BE6B7F">
        <w:rPr>
          <w:rFonts w:cs="Times New Roman"/>
        </w:rPr>
        <w:t>7 for men)</w:t>
      </w:r>
      <w:r w:rsidR="00D517B3">
        <w:rPr>
          <w:rFonts w:cs="Times New Roman"/>
        </w:rPr>
        <w:t>, t</w:t>
      </w:r>
      <w:r w:rsidR="0076101B">
        <w:rPr>
          <w:rFonts w:cs="Times New Roman"/>
        </w:rPr>
        <w:t xml:space="preserve">he majority of this population </w:t>
      </w:r>
      <w:r w:rsidR="00CF725A">
        <w:rPr>
          <w:rFonts w:cs="Times New Roman"/>
        </w:rPr>
        <w:t>prefer</w:t>
      </w:r>
      <w:r w:rsidR="0076101B">
        <w:rPr>
          <w:rFonts w:cs="Times New Roman"/>
        </w:rPr>
        <w:t xml:space="preserve"> to </w:t>
      </w:r>
      <w:r w:rsidR="00CF725A">
        <w:rPr>
          <w:rFonts w:cs="Times New Roman"/>
        </w:rPr>
        <w:t>remain</w:t>
      </w:r>
      <w:r w:rsidR="0076101B">
        <w:rPr>
          <w:rFonts w:cs="Times New Roman"/>
        </w:rPr>
        <w:t xml:space="preserve"> in their own home (97%), whereas the rest (3%) </w:t>
      </w:r>
      <w:r w:rsidR="00CF725A">
        <w:rPr>
          <w:rFonts w:cs="Times New Roman"/>
        </w:rPr>
        <w:t>favor</w:t>
      </w:r>
      <w:r w:rsidR="00CF725A" w:rsidDel="00CF725A">
        <w:rPr>
          <w:rFonts w:cs="Times New Roman"/>
        </w:rPr>
        <w:t xml:space="preserve"> </w:t>
      </w:r>
      <w:r w:rsidR="0076101B">
        <w:rPr>
          <w:rFonts w:cs="Times New Roman"/>
        </w:rPr>
        <w:t>to move to various forms of housing, primarily assisted living facilities. Based on the</w:t>
      </w:r>
      <w:bookmarkStart w:id="0" w:name="_GoBack"/>
      <w:bookmarkEnd w:id="0"/>
      <w:r w:rsidR="0076101B">
        <w:rPr>
          <w:rFonts w:cs="Times New Roman"/>
        </w:rPr>
        <w:t xml:space="preserve"> </w:t>
      </w:r>
      <w:proofErr w:type="gramStart"/>
      <w:r w:rsidR="0076101B">
        <w:rPr>
          <w:rFonts w:cs="Times New Roman"/>
        </w:rPr>
        <w:t>character</w:t>
      </w:r>
      <w:proofErr w:type="gramEnd"/>
      <w:r w:rsidR="0076101B">
        <w:rPr>
          <w:rFonts w:cs="Times New Roman"/>
        </w:rPr>
        <w:t xml:space="preserve"> of this target population, the Ministry's vision is </w:t>
      </w:r>
      <w:r w:rsidR="00073C0D">
        <w:rPr>
          <w:rFonts w:cs="Times New Roman"/>
        </w:rPr>
        <w:t xml:space="preserve">to </w:t>
      </w:r>
      <w:r w:rsidRPr="00952B3D">
        <w:rPr>
          <w:rFonts w:cs="Times New Roman"/>
          <w:b/>
          <w:bCs/>
          <w:i/>
          <w:iCs/>
        </w:rPr>
        <w:t xml:space="preserve">advance and support a broad range of forms of </w:t>
      </w:r>
      <w:r w:rsidRPr="007F0BB2">
        <w:rPr>
          <w:rFonts w:cs="Times New Roman"/>
          <w:b/>
          <w:bCs/>
          <w:i/>
          <w:iCs/>
        </w:rPr>
        <w:t>housing</w:t>
      </w:r>
      <w:r w:rsidRPr="00952B3D">
        <w:rPr>
          <w:rFonts w:cs="Times New Roman"/>
          <w:b/>
          <w:bCs/>
          <w:i/>
          <w:iCs/>
        </w:rPr>
        <w:t xml:space="preserve">, in order to create a </w:t>
      </w:r>
      <w:r w:rsidR="00073C0D">
        <w:rPr>
          <w:rFonts w:cs="Times New Roman"/>
          <w:b/>
          <w:bCs/>
          <w:i/>
          <w:iCs/>
          <w:u w:val="single"/>
        </w:rPr>
        <w:t>variety</w:t>
      </w:r>
      <w:r w:rsidR="00073C0D" w:rsidRPr="006C18A7">
        <w:rPr>
          <w:rFonts w:cs="Times New Roman"/>
          <w:b/>
          <w:bCs/>
          <w:i/>
          <w:iCs/>
        </w:rPr>
        <w:t xml:space="preserve"> of</w:t>
      </w:r>
      <w:r w:rsidRPr="006C18A7">
        <w:rPr>
          <w:rFonts w:cs="Times New Roman"/>
          <w:b/>
          <w:bCs/>
          <w:i/>
          <w:iCs/>
        </w:rPr>
        <w:t xml:space="preserve"> </w:t>
      </w:r>
      <w:r w:rsidRPr="00952B3D">
        <w:rPr>
          <w:rFonts w:cs="Times New Roman"/>
          <w:b/>
          <w:bCs/>
          <w:i/>
          <w:iCs/>
        </w:rPr>
        <w:t>adjusted and</w:t>
      </w:r>
      <w:r>
        <w:rPr>
          <w:rFonts w:cs="Times New Roman"/>
        </w:rPr>
        <w:t xml:space="preserve"> </w:t>
      </w:r>
      <w:r w:rsidRPr="00952B3D">
        <w:rPr>
          <w:rFonts w:cs="Times New Roman"/>
          <w:b/>
          <w:bCs/>
          <w:i/>
          <w:iCs/>
        </w:rPr>
        <w:t>affordable</w:t>
      </w:r>
      <w:r w:rsidR="00073C0D">
        <w:rPr>
          <w:rFonts w:cs="Times New Roman"/>
          <w:b/>
          <w:bCs/>
          <w:i/>
          <w:iCs/>
        </w:rPr>
        <w:t xml:space="preserve"> solutions</w:t>
      </w:r>
      <w:r w:rsidRPr="00952B3D">
        <w:rPr>
          <w:rFonts w:cs="Times New Roman"/>
          <w:b/>
          <w:bCs/>
          <w:i/>
          <w:iCs/>
        </w:rPr>
        <w:t>,</w:t>
      </w:r>
      <w:r w:rsidR="00073C0D">
        <w:rPr>
          <w:rFonts w:cs="Times New Roman"/>
          <w:b/>
          <w:bCs/>
          <w:i/>
          <w:iCs/>
        </w:rPr>
        <w:t xml:space="preserve"> allowing </w:t>
      </w:r>
      <w:r w:rsidRPr="00952B3D">
        <w:rPr>
          <w:rFonts w:cs="Times New Roman"/>
          <w:b/>
          <w:bCs/>
          <w:i/>
          <w:iCs/>
        </w:rPr>
        <w:t xml:space="preserve">senior citizens </w:t>
      </w:r>
      <w:r w:rsidRPr="006C18A7">
        <w:rPr>
          <w:rFonts w:cs="Times New Roman"/>
          <w:b/>
          <w:bCs/>
          <w:i/>
          <w:iCs/>
        </w:rPr>
        <w:t xml:space="preserve">to </w:t>
      </w:r>
      <w:r w:rsidRPr="00952B3D">
        <w:rPr>
          <w:rFonts w:cs="Times New Roman"/>
          <w:b/>
          <w:bCs/>
          <w:i/>
          <w:iCs/>
          <w:u w:val="single"/>
        </w:rPr>
        <w:t>choose</w:t>
      </w:r>
      <w:r w:rsidRPr="00952B3D">
        <w:rPr>
          <w:rFonts w:cs="Times New Roman"/>
          <w:b/>
          <w:bCs/>
          <w:i/>
          <w:iCs/>
        </w:rPr>
        <w:t xml:space="preserve"> the form of </w:t>
      </w:r>
      <w:r w:rsidRPr="007F0BB2">
        <w:rPr>
          <w:rFonts w:cs="Times New Roman"/>
          <w:b/>
          <w:bCs/>
          <w:i/>
          <w:iCs/>
        </w:rPr>
        <w:t>housing</w:t>
      </w:r>
      <w:r w:rsidRPr="00952B3D">
        <w:rPr>
          <w:rFonts w:cs="Times New Roman"/>
          <w:b/>
          <w:bCs/>
          <w:i/>
          <w:iCs/>
        </w:rPr>
        <w:t xml:space="preserve"> best</w:t>
      </w:r>
      <w:r w:rsidR="001E50A6">
        <w:rPr>
          <w:rFonts w:cs="Times New Roman"/>
          <w:b/>
          <w:bCs/>
          <w:i/>
          <w:iCs/>
        </w:rPr>
        <w:t xml:space="preserve"> suited</w:t>
      </w:r>
      <w:r w:rsidRPr="00952B3D">
        <w:rPr>
          <w:rFonts w:cs="Times New Roman"/>
          <w:b/>
          <w:bCs/>
          <w:i/>
          <w:iCs/>
        </w:rPr>
        <w:t xml:space="preserve"> for</w:t>
      </w:r>
      <w:r>
        <w:rPr>
          <w:rFonts w:cs="Times New Roman"/>
        </w:rPr>
        <w:t xml:space="preserve"> </w:t>
      </w:r>
      <w:r w:rsidRPr="00952B3D">
        <w:rPr>
          <w:rFonts w:cs="Times New Roman"/>
          <w:b/>
          <w:bCs/>
          <w:i/>
          <w:iCs/>
        </w:rPr>
        <w:t>them</w:t>
      </w:r>
      <w:r>
        <w:rPr>
          <w:rFonts w:cs="Times New Roman"/>
        </w:rPr>
        <w:t>.</w:t>
      </w:r>
      <w:r w:rsidR="001E50A6">
        <w:t xml:space="preserve"> </w:t>
      </w:r>
      <w:proofErr w:type="gramStart"/>
      <w:r w:rsidR="00BC5BCD">
        <w:t xml:space="preserve">The strategies for achieving </w:t>
      </w:r>
      <w:r w:rsidR="001E50A6">
        <w:t>this goal</w:t>
      </w:r>
      <w:r w:rsidR="00BC5BCD">
        <w:t xml:space="preserve"> include</w:t>
      </w:r>
      <w:r w:rsidR="00F409EE">
        <w:t>:</w:t>
      </w:r>
      <w:r w:rsidR="00BC5BCD">
        <w:t xml:space="preserve"> the increase of supply of small</w:t>
      </w:r>
      <w:r w:rsidR="00672E81">
        <w:t xml:space="preserve">er </w:t>
      </w:r>
      <w:r w:rsidR="00B83BC3">
        <w:rPr>
          <w:rFonts w:cs="Times New Roman"/>
        </w:rPr>
        <w:t>apartments on the private market;</w:t>
      </w:r>
      <w:r w:rsidR="00672E81">
        <w:rPr>
          <w:rFonts w:cs="Times New Roman"/>
        </w:rPr>
        <w:t xml:space="preserve"> the </w:t>
      </w:r>
      <w:r w:rsidR="00B83BC3">
        <w:rPr>
          <w:rFonts w:cs="Times New Roman"/>
        </w:rPr>
        <w:t xml:space="preserve">increase </w:t>
      </w:r>
      <w:r w:rsidR="00672E81">
        <w:rPr>
          <w:rFonts w:cs="Times New Roman"/>
        </w:rPr>
        <w:t xml:space="preserve">of </w:t>
      </w:r>
      <w:r w:rsidR="00B83BC3">
        <w:rPr>
          <w:rFonts w:cs="Times New Roman"/>
        </w:rPr>
        <w:t xml:space="preserve">supply of </w:t>
      </w:r>
      <w:r w:rsidR="00672E81">
        <w:rPr>
          <w:rFonts w:cs="Times New Roman"/>
        </w:rPr>
        <w:t xml:space="preserve">long-term rental </w:t>
      </w:r>
      <w:r w:rsidR="00B83BC3">
        <w:rPr>
          <w:rFonts w:cs="Times New Roman"/>
        </w:rPr>
        <w:t>apartments;</w:t>
      </w:r>
      <w:r w:rsidR="00672E81">
        <w:rPr>
          <w:rFonts w:cs="Times New Roman"/>
        </w:rPr>
        <w:t xml:space="preserve"> the advancement of </w:t>
      </w:r>
      <w:r w:rsidR="00B83BC3">
        <w:rPr>
          <w:rFonts w:cs="Times New Roman"/>
        </w:rPr>
        <w:t>affordable assisted living</w:t>
      </w:r>
      <w:r w:rsidR="00672E81">
        <w:rPr>
          <w:rFonts w:cs="Times New Roman"/>
        </w:rPr>
        <w:t xml:space="preserve"> facilities</w:t>
      </w:r>
      <w:r w:rsidR="00B83BC3">
        <w:rPr>
          <w:rFonts w:cs="Times New Roman"/>
        </w:rPr>
        <w:t>;</w:t>
      </w:r>
      <w:r w:rsidR="00672E81">
        <w:rPr>
          <w:rFonts w:cs="Times New Roman"/>
        </w:rPr>
        <w:t xml:space="preserve"> the support of the "</w:t>
      </w:r>
      <w:r w:rsidR="00672E81">
        <w:rPr>
          <w:rFonts w:cs="Times New Roman"/>
          <w:i/>
          <w:iCs/>
        </w:rPr>
        <w:t>aging in place</w:t>
      </w:r>
      <w:r w:rsidR="00672E81">
        <w:rPr>
          <w:rFonts w:cs="Times New Roman"/>
        </w:rPr>
        <w:t>" approach</w:t>
      </w:r>
      <w:r w:rsidR="006C18A7">
        <w:rPr>
          <w:rFonts w:cs="Times New Roman"/>
        </w:rPr>
        <w:t>,</w:t>
      </w:r>
      <w:r w:rsidR="00672E81">
        <w:rPr>
          <w:rFonts w:cs="Times New Roman"/>
        </w:rPr>
        <w:t xml:space="preserve"> through the development of</w:t>
      </w:r>
      <w:r w:rsidR="00383D8F">
        <w:rPr>
          <w:rFonts w:cs="Times New Roman"/>
        </w:rPr>
        <w:t xml:space="preserve"> modular comprehensive services;</w:t>
      </w:r>
      <w:r w:rsidR="00044DAB">
        <w:rPr>
          <w:rFonts w:cs="Times New Roman"/>
        </w:rPr>
        <w:t xml:space="preserve"> </w:t>
      </w:r>
      <w:r w:rsidR="006C18A7">
        <w:rPr>
          <w:rFonts w:cs="Times New Roman"/>
        </w:rPr>
        <w:t xml:space="preserve">and </w:t>
      </w:r>
      <w:r w:rsidR="00044DAB">
        <w:rPr>
          <w:rFonts w:cs="Times New Roman"/>
        </w:rPr>
        <w:t xml:space="preserve">the development and ensuring of </w:t>
      </w:r>
      <w:r w:rsidR="00B83BC3">
        <w:rPr>
          <w:rFonts w:cs="Times New Roman"/>
        </w:rPr>
        <w:t>accessibility of various innovative forms of housing.</w:t>
      </w:r>
      <w:proofErr w:type="gramEnd"/>
      <w:r w:rsidR="00044DAB">
        <w:rPr>
          <w:rFonts w:cs="Times New Roman"/>
        </w:rPr>
        <w:t xml:space="preserve"> </w:t>
      </w:r>
    </w:p>
    <w:p w:rsidR="00044DAB" w:rsidRDefault="00044DAB" w:rsidP="00CF725A">
      <w:pPr>
        <w:tabs>
          <w:tab w:val="left" w:pos="0"/>
        </w:tabs>
        <w:bidi w:val="0"/>
        <w:spacing w:after="160"/>
        <w:rPr>
          <w:rFonts w:cs="Times New Roman"/>
        </w:rPr>
      </w:pPr>
    </w:p>
    <w:p w:rsidR="000C2D9B" w:rsidRDefault="00B83BC3" w:rsidP="00CF725A">
      <w:pPr>
        <w:tabs>
          <w:tab w:val="left" w:pos="0"/>
        </w:tabs>
        <w:bidi w:val="0"/>
        <w:spacing w:after="160"/>
        <w:rPr>
          <w:rFonts w:cs="Times New Roman"/>
        </w:rPr>
      </w:pPr>
      <w:r>
        <w:rPr>
          <w:rFonts w:cs="Times New Roman"/>
        </w:rPr>
        <w:t xml:space="preserve">In each one of the </w:t>
      </w:r>
      <w:proofErr w:type="gramStart"/>
      <w:r>
        <w:rPr>
          <w:rFonts w:cs="Times New Roman"/>
        </w:rPr>
        <w:t>aforesaid</w:t>
      </w:r>
      <w:proofErr w:type="gramEnd"/>
      <w:r>
        <w:rPr>
          <w:rFonts w:cs="Times New Roman"/>
        </w:rPr>
        <w:t xml:space="preserve">, there are various advantages and benefits which are directed at a broad range of profiles of senior citizens, and together, they create a broad response to a </w:t>
      </w:r>
      <w:r w:rsidR="000C2D9B">
        <w:rPr>
          <w:rFonts w:cs="Times New Roman"/>
        </w:rPr>
        <w:t>socio-economically diverse</w:t>
      </w:r>
      <w:r w:rsidR="000C2D9B" w:rsidRPr="000C2D9B">
        <w:rPr>
          <w:rFonts w:cs="Times New Roman"/>
        </w:rPr>
        <w:t xml:space="preserve"> </w:t>
      </w:r>
      <w:r w:rsidR="000C2D9B">
        <w:rPr>
          <w:rFonts w:cs="Times New Roman"/>
        </w:rPr>
        <w:t>population</w:t>
      </w:r>
      <w:r>
        <w:rPr>
          <w:rFonts w:cs="Times New Roman"/>
        </w:rPr>
        <w:t>,</w:t>
      </w:r>
      <w:r w:rsidR="000C2D9B">
        <w:rPr>
          <w:rFonts w:cs="Times New Roman"/>
        </w:rPr>
        <w:t xml:space="preserve"> as well as to </w:t>
      </w:r>
      <w:r w:rsidR="006C18A7">
        <w:rPr>
          <w:rFonts w:cs="Times New Roman"/>
        </w:rPr>
        <w:t xml:space="preserve">its </w:t>
      </w:r>
      <w:r w:rsidR="000C2D9B">
        <w:rPr>
          <w:rFonts w:cs="Times New Roman"/>
        </w:rPr>
        <w:t>different stages of mental and physical functionality.</w:t>
      </w:r>
    </w:p>
    <w:p w:rsidR="00B83BC3" w:rsidRDefault="009336B4" w:rsidP="00685173">
      <w:pPr>
        <w:tabs>
          <w:tab w:val="left" w:pos="0"/>
        </w:tabs>
        <w:bidi w:val="0"/>
        <w:spacing w:after="160"/>
        <w:rPr>
          <w:rFonts w:cs="Times New Roman"/>
        </w:rPr>
      </w:pPr>
      <w:r>
        <w:rPr>
          <w:rFonts w:cs="Times New Roman"/>
        </w:rPr>
        <w:t xml:space="preserve">The policy adopted by the </w:t>
      </w:r>
      <w:r w:rsidR="00055031">
        <w:rPr>
          <w:rFonts w:cs="Times New Roman"/>
        </w:rPr>
        <w:t>M</w:t>
      </w:r>
      <w:r>
        <w:rPr>
          <w:rFonts w:cs="Times New Roman"/>
        </w:rPr>
        <w:t xml:space="preserve">inistry </w:t>
      </w:r>
      <w:r w:rsidR="00DE6703">
        <w:rPr>
          <w:rFonts w:cs="Times New Roman"/>
        </w:rPr>
        <w:t xml:space="preserve">is not one of separatism and the allocation of exclusive solutions for older persons, since that might increase ageism and place them </w:t>
      </w:r>
      <w:r w:rsidR="00DE6703">
        <w:rPr>
          <w:rFonts w:cs="Times New Roman"/>
        </w:rPr>
        <w:lastRenderedPageBreak/>
        <w:t xml:space="preserve">in an inferior </w:t>
      </w:r>
      <w:r w:rsidR="005B6B69">
        <w:rPr>
          <w:rFonts w:cs="Times New Roman"/>
        </w:rPr>
        <w:t xml:space="preserve">position. Rather, the </w:t>
      </w:r>
      <w:r w:rsidR="00055031">
        <w:rPr>
          <w:rFonts w:cs="Times New Roman"/>
        </w:rPr>
        <w:t>M</w:t>
      </w:r>
      <w:r w:rsidR="005B6B69">
        <w:rPr>
          <w:rFonts w:cs="Times New Roman"/>
        </w:rPr>
        <w:t>inistry promotes general vital housing solutions, with the exception of affordable assisted living, that would benefit older persons among other entitled</w:t>
      </w:r>
      <w:r w:rsidR="006C18A7">
        <w:rPr>
          <w:rFonts w:cs="Times New Roman"/>
        </w:rPr>
        <w:t xml:space="preserve"> sections of the population</w:t>
      </w:r>
      <w:r w:rsidR="005B6B69">
        <w:rPr>
          <w:rFonts w:cs="Times New Roman"/>
        </w:rPr>
        <w:t xml:space="preserve">. </w:t>
      </w:r>
      <w:r w:rsidR="006C18A7">
        <w:rPr>
          <w:rFonts w:cs="Times New Roman"/>
        </w:rPr>
        <w:t>In order to achieve these goals, t</w:t>
      </w:r>
      <w:r w:rsidR="006D30E3">
        <w:rPr>
          <w:rFonts w:cs="Times New Roman"/>
        </w:rPr>
        <w:t xml:space="preserve">he Ministry of Social Equality closely cooperates with </w:t>
      </w:r>
      <w:r w:rsidR="00B83BC3">
        <w:rPr>
          <w:rFonts w:cs="Times New Roman"/>
        </w:rPr>
        <w:t>the Ministry of Construction and Housing, the Ministry of Welfare</w:t>
      </w:r>
      <w:r w:rsidR="006D30E3" w:rsidRPr="006D30E3">
        <w:t xml:space="preserve"> </w:t>
      </w:r>
      <w:r w:rsidR="006D30E3" w:rsidRPr="006D30E3">
        <w:rPr>
          <w:rFonts w:cs="Times New Roman"/>
        </w:rPr>
        <w:t>and Social Affairs</w:t>
      </w:r>
      <w:r w:rsidR="006D30E3">
        <w:rPr>
          <w:rFonts w:cs="Times New Roman"/>
        </w:rPr>
        <w:t>,</w:t>
      </w:r>
      <w:r w:rsidR="00B83BC3">
        <w:rPr>
          <w:rFonts w:cs="Times New Roman"/>
        </w:rPr>
        <w:t xml:space="preserve"> the Ministry of </w:t>
      </w:r>
      <w:r w:rsidR="006D30E3" w:rsidRPr="006D30E3">
        <w:rPr>
          <w:rFonts w:cs="Times New Roman"/>
        </w:rPr>
        <w:t>Aliyah and Integration</w:t>
      </w:r>
      <w:r w:rsidR="006D30E3">
        <w:rPr>
          <w:rFonts w:cs="Times New Roman"/>
        </w:rPr>
        <w:t>,</w:t>
      </w:r>
      <w:r w:rsidR="006D30E3" w:rsidRPr="006D30E3">
        <w:rPr>
          <w:rFonts w:cs="Times New Roman"/>
        </w:rPr>
        <w:t xml:space="preserve"> </w:t>
      </w:r>
      <w:r w:rsidR="006D30E3">
        <w:rPr>
          <w:rFonts w:cs="Times New Roman"/>
        </w:rPr>
        <w:t>the Government Authority for Urban Renewal and with the governmental company “</w:t>
      </w:r>
      <w:proofErr w:type="spellStart"/>
      <w:r w:rsidR="006D30E3" w:rsidRPr="00FD5166">
        <w:rPr>
          <w:rFonts w:cs="Times New Roman"/>
          <w:i/>
          <w:iCs/>
        </w:rPr>
        <w:t>Dira</w:t>
      </w:r>
      <w:proofErr w:type="spellEnd"/>
      <w:r w:rsidR="006D30E3" w:rsidRPr="00FD5166">
        <w:rPr>
          <w:rFonts w:cs="Times New Roman"/>
          <w:i/>
          <w:iCs/>
        </w:rPr>
        <w:t xml:space="preserve"> </w:t>
      </w:r>
      <w:proofErr w:type="spellStart"/>
      <w:r w:rsidR="006D30E3" w:rsidRPr="00FD5166">
        <w:rPr>
          <w:rFonts w:cs="Times New Roman"/>
          <w:i/>
          <w:iCs/>
        </w:rPr>
        <w:t>LeHaskir</w:t>
      </w:r>
      <w:proofErr w:type="spellEnd"/>
      <w:r w:rsidR="006D30E3">
        <w:rPr>
          <w:rFonts w:cs="Times New Roman"/>
        </w:rPr>
        <w:t>”</w:t>
      </w:r>
      <w:r w:rsidR="00B83BC3">
        <w:rPr>
          <w:rFonts w:cs="Times New Roman"/>
        </w:rPr>
        <w:t>.</w:t>
      </w:r>
    </w:p>
    <w:p w:rsidR="00EA3FC6" w:rsidRDefault="00864BF1" w:rsidP="008372AF">
      <w:pPr>
        <w:tabs>
          <w:tab w:val="left" w:pos="0"/>
        </w:tabs>
        <w:bidi w:val="0"/>
        <w:spacing w:after="160"/>
        <w:rPr>
          <w:rFonts w:cs="Times New Roman"/>
        </w:rPr>
      </w:pPr>
      <w:r>
        <w:rPr>
          <w:rFonts w:cs="Times New Roman"/>
        </w:rPr>
        <w:t xml:space="preserve">On a national policy level, the State of Israel </w:t>
      </w:r>
      <w:r w:rsidR="004847FF">
        <w:rPr>
          <w:rFonts w:cs="Times New Roman"/>
        </w:rPr>
        <w:t>strives to make necessary preparations</w:t>
      </w:r>
      <w:r w:rsidR="0038551B">
        <w:rPr>
          <w:rFonts w:cs="Times New Roman"/>
        </w:rPr>
        <w:t>, including the development of the housing sector,</w:t>
      </w:r>
      <w:r w:rsidR="004847FF">
        <w:rPr>
          <w:rFonts w:cs="Times New Roman"/>
        </w:rPr>
        <w:t xml:space="preserve"> ahead of the </w:t>
      </w:r>
      <w:r w:rsidR="0038551B">
        <w:rPr>
          <w:rFonts w:cs="Times New Roman"/>
        </w:rPr>
        <w:t>aging of the population.</w:t>
      </w:r>
      <w:r w:rsidR="00350FBA">
        <w:rPr>
          <w:rFonts w:cs="Times New Roman"/>
        </w:rPr>
        <w:t xml:space="preserve"> Following </w:t>
      </w:r>
      <w:r w:rsidR="00B83BC3">
        <w:rPr>
          <w:rFonts w:cs="Times New Roman"/>
        </w:rPr>
        <w:t xml:space="preserve">Government </w:t>
      </w:r>
      <w:r w:rsidR="00CF725A">
        <w:rPr>
          <w:rFonts w:cs="Times New Roman"/>
        </w:rPr>
        <w:t xml:space="preserve">Resolution </w:t>
      </w:r>
      <w:r w:rsidR="00B83BC3">
        <w:rPr>
          <w:rFonts w:cs="Times New Roman"/>
        </w:rPr>
        <w:t xml:space="preserve">No. 3237 </w:t>
      </w:r>
      <w:r w:rsidR="00350FBA">
        <w:rPr>
          <w:rFonts w:cs="Times New Roman"/>
        </w:rPr>
        <w:t>from 2018</w:t>
      </w:r>
      <w:r w:rsidR="00B83BC3">
        <w:rPr>
          <w:rFonts w:cs="Times New Roman"/>
        </w:rPr>
        <w:t>, a</w:t>
      </w:r>
      <w:r w:rsidR="00350FBA">
        <w:rPr>
          <w:rFonts w:cs="Times New Roman"/>
        </w:rPr>
        <w:t xml:space="preserve">n </w:t>
      </w:r>
      <w:r w:rsidR="00B83BC3">
        <w:rPr>
          <w:rFonts w:cs="Times New Roman"/>
        </w:rPr>
        <w:t>Inter</w:t>
      </w:r>
      <w:r w:rsidR="00350FBA">
        <w:rPr>
          <w:rFonts w:cs="Times New Roman"/>
        </w:rPr>
        <w:t>-</w:t>
      </w:r>
      <w:r w:rsidR="00B83BC3">
        <w:rPr>
          <w:rFonts w:cs="Times New Roman"/>
        </w:rPr>
        <w:t>ministerial Committee for Advancing Solutions of Assisted Living</w:t>
      </w:r>
      <w:r w:rsidR="00A13EBB">
        <w:rPr>
          <w:rFonts w:cs="Times New Roman"/>
        </w:rPr>
        <w:t xml:space="preserve"> submitted a report</w:t>
      </w:r>
      <w:r w:rsidR="00B7008B">
        <w:rPr>
          <w:rFonts w:cs="Times New Roman"/>
        </w:rPr>
        <w:t>,</w:t>
      </w:r>
      <w:r w:rsidR="00B04F5B">
        <w:rPr>
          <w:rFonts w:cs="Times New Roman"/>
        </w:rPr>
        <w:t xml:space="preserve"> which </w:t>
      </w:r>
      <w:r w:rsidR="00B7008B">
        <w:rPr>
          <w:rFonts w:cs="Times New Roman"/>
        </w:rPr>
        <w:t>outlined the</w:t>
      </w:r>
      <w:r w:rsidR="009F0335">
        <w:rPr>
          <w:rFonts w:cs="Times New Roman"/>
        </w:rPr>
        <w:t xml:space="preserve"> framework of the</w:t>
      </w:r>
      <w:r w:rsidR="00B7008B">
        <w:rPr>
          <w:rFonts w:cs="Times New Roman"/>
        </w:rPr>
        <w:t xml:space="preserve"> activities of all relevant ministries in the matter</w:t>
      </w:r>
      <w:r w:rsidR="006C18A7">
        <w:rPr>
          <w:rFonts w:cs="Times New Roman"/>
        </w:rPr>
        <w:t>,</w:t>
      </w:r>
      <w:r w:rsidR="00B7008B">
        <w:rPr>
          <w:rFonts w:cs="Times New Roman"/>
        </w:rPr>
        <w:t xml:space="preserve"> and </w:t>
      </w:r>
      <w:r w:rsidR="00B83BC3">
        <w:rPr>
          <w:rFonts w:cs="Times New Roman"/>
        </w:rPr>
        <w:t xml:space="preserve">determined </w:t>
      </w:r>
      <w:r w:rsidR="00B04F5B">
        <w:rPr>
          <w:rFonts w:cs="Times New Roman"/>
        </w:rPr>
        <w:t xml:space="preserve">the main issues </w:t>
      </w:r>
      <w:r w:rsidR="00FE7FAA">
        <w:rPr>
          <w:rFonts w:cs="Times New Roman"/>
        </w:rPr>
        <w:t xml:space="preserve">regarding </w:t>
      </w:r>
      <w:r w:rsidR="00B04F5B">
        <w:rPr>
          <w:rFonts w:cs="Times New Roman"/>
        </w:rPr>
        <w:t xml:space="preserve">the development of </w:t>
      </w:r>
      <w:r w:rsidR="00FE7FAA">
        <w:rPr>
          <w:rFonts w:cs="Times New Roman"/>
        </w:rPr>
        <w:t xml:space="preserve">adequate housing for older persons. </w:t>
      </w:r>
      <w:r w:rsidR="00055031">
        <w:rPr>
          <w:rFonts w:cs="Times New Roman"/>
        </w:rPr>
        <w:t xml:space="preserve">Also following the Committee's report, the Ministry of Social Equality conducted </w:t>
      </w:r>
      <w:r w:rsidR="00EA3FC6">
        <w:rPr>
          <w:rFonts w:cs="Times New Roman"/>
        </w:rPr>
        <w:t xml:space="preserve">a research study </w:t>
      </w:r>
      <w:r w:rsidR="00055031">
        <w:rPr>
          <w:rFonts w:cs="Times New Roman"/>
        </w:rPr>
        <w:t xml:space="preserve">regarding </w:t>
      </w:r>
      <w:r w:rsidR="00B83BC3">
        <w:rPr>
          <w:rFonts w:cs="Times New Roman"/>
        </w:rPr>
        <w:t xml:space="preserve">housing requirements and preferences among </w:t>
      </w:r>
      <w:r w:rsidR="00055031">
        <w:rPr>
          <w:rFonts w:cs="Times New Roman"/>
        </w:rPr>
        <w:t>older persons</w:t>
      </w:r>
      <w:r w:rsidR="00B83BC3">
        <w:rPr>
          <w:rFonts w:cs="Times New Roman"/>
        </w:rPr>
        <w:t xml:space="preserve"> in Israel</w:t>
      </w:r>
      <w:r w:rsidR="00055031">
        <w:rPr>
          <w:rFonts w:cs="Times New Roman"/>
        </w:rPr>
        <w:t>, in order to formulate a strategic framework</w:t>
      </w:r>
      <w:r w:rsidR="00891C57">
        <w:rPr>
          <w:rFonts w:cs="Times New Roman"/>
        </w:rPr>
        <w:t xml:space="preserve"> of modular comprehensive services</w:t>
      </w:r>
      <w:r w:rsidR="00055031">
        <w:rPr>
          <w:rFonts w:cs="Times New Roman"/>
        </w:rPr>
        <w:t>.</w:t>
      </w:r>
      <w:r w:rsidR="00891C57">
        <w:rPr>
          <w:rFonts w:cs="Times New Roman"/>
        </w:rPr>
        <w:t xml:space="preserve"> Additionally, the Ministry initiated group meetings with older persons, </w:t>
      </w:r>
      <w:r w:rsidR="00EA3FC6">
        <w:rPr>
          <w:rFonts w:cs="Times New Roman"/>
        </w:rPr>
        <w:t>seeking</w:t>
      </w:r>
      <w:r w:rsidR="00B83BC3">
        <w:rPr>
          <w:rFonts w:cs="Times New Roman"/>
        </w:rPr>
        <w:t xml:space="preserve"> to advance community housing, and remove economic and planning barriers in favor of promoting the long-term institutional rental market, and increasing the supply of housing in Israel.</w:t>
      </w:r>
      <w:r w:rsidR="00795583">
        <w:rPr>
          <w:rFonts w:cs="Times New Roman"/>
        </w:rPr>
        <w:t xml:space="preserve"> </w:t>
      </w:r>
      <w:r w:rsidR="00B83BC3">
        <w:rPr>
          <w:rFonts w:cs="Times New Roman"/>
        </w:rPr>
        <w:t>Together with the Ministry of Construction and Housing and the Ministry of Finance, the Ministry</w:t>
      </w:r>
      <w:r w:rsidR="009D6651" w:rsidRPr="009D6651">
        <w:rPr>
          <w:rFonts w:cs="Times New Roman"/>
        </w:rPr>
        <w:t xml:space="preserve"> </w:t>
      </w:r>
      <w:r w:rsidR="00DD2D2E">
        <w:rPr>
          <w:rFonts w:cs="Times New Roman"/>
        </w:rPr>
        <w:t xml:space="preserve">of </w:t>
      </w:r>
      <w:r w:rsidR="009D6651">
        <w:rPr>
          <w:rFonts w:cs="Times New Roman"/>
        </w:rPr>
        <w:t>Social Equality</w:t>
      </w:r>
      <w:r w:rsidR="00B83BC3">
        <w:rPr>
          <w:rFonts w:cs="Times New Roman"/>
        </w:rPr>
        <w:t xml:space="preserve"> has </w:t>
      </w:r>
      <w:r w:rsidR="009D6651">
        <w:rPr>
          <w:rFonts w:cs="Times New Roman"/>
        </w:rPr>
        <w:t xml:space="preserve">promoted </w:t>
      </w:r>
      <w:r w:rsidR="00B83BC3">
        <w:rPr>
          <w:rFonts w:cs="Times New Roman"/>
        </w:rPr>
        <w:t xml:space="preserve">Government </w:t>
      </w:r>
      <w:r w:rsidR="00EA3FC6">
        <w:rPr>
          <w:rFonts w:cs="Times New Roman"/>
        </w:rPr>
        <w:t xml:space="preserve">Resolution </w:t>
      </w:r>
      <w:r w:rsidR="00B83BC3">
        <w:rPr>
          <w:rFonts w:cs="Times New Roman"/>
        </w:rPr>
        <w:t xml:space="preserve">No. 204, which determined that the long-term institutional rental </w:t>
      </w:r>
      <w:proofErr w:type="gramStart"/>
      <w:r w:rsidR="00B83BC3">
        <w:rPr>
          <w:rFonts w:cs="Times New Roman"/>
        </w:rPr>
        <w:t xml:space="preserve">would be </w:t>
      </w:r>
      <w:r w:rsidR="00EA3FC6">
        <w:rPr>
          <w:rFonts w:cs="Times New Roman"/>
        </w:rPr>
        <w:t>extended</w:t>
      </w:r>
      <w:proofErr w:type="gramEnd"/>
      <w:r w:rsidR="00EA3FC6">
        <w:rPr>
          <w:rFonts w:cs="Times New Roman"/>
        </w:rPr>
        <w:t xml:space="preserve"> to </w:t>
      </w:r>
      <w:r w:rsidR="00B83BC3">
        <w:rPr>
          <w:rFonts w:cs="Times New Roman"/>
        </w:rPr>
        <w:t>20 years</w:t>
      </w:r>
      <w:r w:rsidR="00EA3FC6">
        <w:rPr>
          <w:rFonts w:cs="Times New Roman"/>
        </w:rPr>
        <w:t>.</w:t>
      </w:r>
    </w:p>
    <w:p w:rsidR="00B83BC3" w:rsidRDefault="00A4330A" w:rsidP="008372AF">
      <w:pPr>
        <w:tabs>
          <w:tab w:val="left" w:pos="0"/>
        </w:tabs>
        <w:bidi w:val="0"/>
        <w:spacing w:after="160"/>
        <w:rPr>
          <w:rFonts w:cs="Times New Roman"/>
        </w:rPr>
      </w:pPr>
      <w:r>
        <w:rPr>
          <w:rFonts w:cs="Times New Roman"/>
        </w:rPr>
        <w:t>The Ministry also operates</w:t>
      </w:r>
      <w:r w:rsidR="008372AF">
        <w:rPr>
          <w:rFonts w:cs="Times New Roman"/>
        </w:rPr>
        <w:t>,</w:t>
      </w:r>
      <w:r>
        <w:rPr>
          <w:rFonts w:cs="Times New Roman"/>
        </w:rPr>
        <w:t xml:space="preserve"> on a regular basis a call-center for older persons, who may contact it on any matter and </w:t>
      </w:r>
      <w:r w:rsidR="00B83BC3">
        <w:rPr>
          <w:rFonts w:cs="Times New Roman"/>
        </w:rPr>
        <w:t>receive assistance. Th</w:t>
      </w:r>
      <w:r w:rsidR="0050627F">
        <w:rPr>
          <w:rFonts w:cs="Times New Roman"/>
        </w:rPr>
        <w:t>i</w:t>
      </w:r>
      <w:r w:rsidR="00B83BC3">
        <w:rPr>
          <w:rFonts w:cs="Times New Roman"/>
        </w:rPr>
        <w:t xml:space="preserve">s </w:t>
      </w:r>
      <w:r>
        <w:rPr>
          <w:rFonts w:cs="Times New Roman"/>
        </w:rPr>
        <w:t>call-center is</w:t>
      </w:r>
      <w:r w:rsidR="00B83BC3">
        <w:rPr>
          <w:rFonts w:cs="Times New Roman"/>
        </w:rPr>
        <w:t xml:space="preserve"> an additional platform </w:t>
      </w:r>
      <w:r>
        <w:rPr>
          <w:rFonts w:cs="Times New Roman"/>
        </w:rPr>
        <w:t xml:space="preserve">through which </w:t>
      </w:r>
      <w:r w:rsidR="00B83BC3">
        <w:rPr>
          <w:rFonts w:cs="Times New Roman"/>
        </w:rPr>
        <w:t>the Ministry maintain</w:t>
      </w:r>
      <w:r>
        <w:rPr>
          <w:rFonts w:cs="Times New Roman"/>
        </w:rPr>
        <w:t xml:space="preserve">s </w:t>
      </w:r>
      <w:r w:rsidR="00006BEF">
        <w:rPr>
          <w:rFonts w:cs="Times New Roman"/>
        </w:rPr>
        <w:t xml:space="preserve">regular </w:t>
      </w:r>
      <w:r w:rsidR="00B83BC3">
        <w:rPr>
          <w:rFonts w:cs="Times New Roman"/>
        </w:rPr>
        <w:t xml:space="preserve">contact with </w:t>
      </w:r>
      <w:r>
        <w:rPr>
          <w:rFonts w:cs="Times New Roman"/>
        </w:rPr>
        <w:t>older persons, allowing t</w:t>
      </w:r>
      <w:r w:rsidR="00B83BC3">
        <w:rPr>
          <w:rFonts w:cs="Times New Roman"/>
        </w:rPr>
        <w:t xml:space="preserve">hem </w:t>
      </w:r>
      <w:r>
        <w:rPr>
          <w:rFonts w:cs="Times New Roman"/>
        </w:rPr>
        <w:t xml:space="preserve">to </w:t>
      </w:r>
      <w:r w:rsidR="00B83BC3">
        <w:rPr>
          <w:rFonts w:cs="Times New Roman"/>
        </w:rPr>
        <w:t>express their opinions.</w:t>
      </w:r>
    </w:p>
    <w:p w:rsidR="008372AF" w:rsidRDefault="006C18A7" w:rsidP="008372AF">
      <w:pPr>
        <w:tabs>
          <w:tab w:val="left" w:pos="0"/>
        </w:tabs>
        <w:bidi w:val="0"/>
        <w:spacing w:after="160"/>
        <w:rPr>
          <w:rFonts w:cs="Times New Roman"/>
        </w:rPr>
      </w:pPr>
      <w:r>
        <w:rPr>
          <w:rFonts w:cs="Times New Roman"/>
        </w:rPr>
        <w:t xml:space="preserve">In addition to the State's efforts to increase the supply of affordable apartments available both for purchase and long-term rent, along with the efforts of the Ministry of Social Equality and the Ministry of Construction and Housing to advance high quality and affordable assisted living facilities, local authorities and various organizations promote independent living arrangements for older persons. </w:t>
      </w:r>
      <w:r w:rsidR="008372AF">
        <w:rPr>
          <w:rFonts w:cs="Times New Roman"/>
        </w:rPr>
        <w:t xml:space="preserve">Some of the most notable examples are: </w:t>
      </w:r>
    </w:p>
    <w:p w:rsidR="00EA3FC6" w:rsidRDefault="00EA3FC6" w:rsidP="008372AF">
      <w:pPr>
        <w:numPr>
          <w:ilvl w:val="0"/>
          <w:numId w:val="14"/>
        </w:numPr>
        <w:tabs>
          <w:tab w:val="left" w:pos="0"/>
        </w:tabs>
        <w:bidi w:val="0"/>
        <w:spacing w:after="160"/>
        <w:rPr>
          <w:rFonts w:cs="Times New Roman"/>
        </w:rPr>
      </w:pPr>
      <w:r>
        <w:rPr>
          <w:rFonts w:cs="Times New Roman"/>
        </w:rPr>
        <w:lastRenderedPageBreak/>
        <w:t>T</w:t>
      </w:r>
      <w:r w:rsidR="006C18A7" w:rsidRPr="00D55B32">
        <w:rPr>
          <w:rFonts w:cs="Times New Roman"/>
        </w:rPr>
        <w:t>he Harish Group</w:t>
      </w:r>
      <w:r w:rsidR="006C18A7">
        <w:rPr>
          <w:rFonts w:cs="Times New Roman"/>
        </w:rPr>
        <w:t xml:space="preserve">, a group consisting of older persons from all over the country, who organized to lease apartments in a single building, in the town of Harish. This initiative inspired other groups to adopt similar housing formats, which often include a diverse range of apartments and communal public areas. </w:t>
      </w:r>
    </w:p>
    <w:p w:rsidR="008372AF" w:rsidRDefault="006C18A7" w:rsidP="008372AF">
      <w:pPr>
        <w:numPr>
          <w:ilvl w:val="0"/>
          <w:numId w:val="14"/>
        </w:numPr>
        <w:tabs>
          <w:tab w:val="left" w:pos="0"/>
        </w:tabs>
        <w:bidi w:val="0"/>
        <w:spacing w:after="160"/>
        <w:rPr>
          <w:rFonts w:cs="Times New Roman"/>
        </w:rPr>
      </w:pPr>
      <w:r>
        <w:rPr>
          <w:rFonts w:cs="Times New Roman"/>
        </w:rPr>
        <w:t xml:space="preserve">The Gil Senior Citizens’ Residences in </w:t>
      </w:r>
      <w:proofErr w:type="spellStart"/>
      <w:r>
        <w:rPr>
          <w:rFonts w:cs="Times New Roman"/>
        </w:rPr>
        <w:t>Kfar</w:t>
      </w:r>
      <w:proofErr w:type="spellEnd"/>
      <w:r>
        <w:rPr>
          <w:rFonts w:cs="Times New Roman"/>
        </w:rPr>
        <w:t xml:space="preserve"> </w:t>
      </w:r>
      <w:proofErr w:type="gramStart"/>
      <w:r>
        <w:rPr>
          <w:rFonts w:cs="Times New Roman"/>
        </w:rPr>
        <w:t>Saba,</w:t>
      </w:r>
      <w:proofErr w:type="gramEnd"/>
      <w:r>
        <w:rPr>
          <w:rFonts w:cs="Times New Roman"/>
        </w:rPr>
        <w:t xml:space="preserve"> exemplifies a unique housing model</w:t>
      </w:r>
      <w:r w:rsidR="00EA3FC6">
        <w:rPr>
          <w:rFonts w:cs="Times New Roman"/>
        </w:rPr>
        <w:t xml:space="preserve">, where </w:t>
      </w:r>
      <w:r>
        <w:rPr>
          <w:rFonts w:cs="Times New Roman"/>
        </w:rPr>
        <w:t>the local authority has allocated land, at its expense, and built a facility consisting of small apartments for perpetual lease at a subsidized cost for residents over the age of 65.</w:t>
      </w:r>
      <w:r w:rsidR="008372AF" w:rsidRPr="008372AF">
        <w:rPr>
          <w:rFonts w:cs="Times New Roman"/>
        </w:rPr>
        <w:t xml:space="preserve"> </w:t>
      </w:r>
    </w:p>
    <w:p w:rsidR="008372AF" w:rsidRDefault="008372AF" w:rsidP="008372AF">
      <w:pPr>
        <w:numPr>
          <w:ilvl w:val="0"/>
          <w:numId w:val="14"/>
        </w:numPr>
        <w:tabs>
          <w:tab w:val="left" w:pos="0"/>
        </w:tabs>
        <w:bidi w:val="0"/>
        <w:spacing w:after="160"/>
        <w:rPr>
          <w:rFonts w:cs="Times New Roman"/>
        </w:rPr>
      </w:pPr>
      <w:r>
        <w:rPr>
          <w:rFonts w:cs="Times New Roman"/>
        </w:rPr>
        <w:t>The CHI Co-Housing Israel Non-Profit Organization is an additional example of a unique group that organized as a cooperative society.</w:t>
      </w:r>
    </w:p>
    <w:p w:rsidR="006C18A7" w:rsidRDefault="00683F56" w:rsidP="00EA3FC6">
      <w:pPr>
        <w:tabs>
          <w:tab w:val="left" w:pos="0"/>
        </w:tabs>
        <w:bidi w:val="0"/>
        <w:spacing w:after="160"/>
        <w:rPr>
          <w:rFonts w:cs="Times New Roman"/>
        </w:rPr>
      </w:pPr>
      <w:r>
        <w:rPr>
          <w:rFonts w:cs="Times New Roman"/>
        </w:rPr>
        <w:t xml:space="preserve">Since the </w:t>
      </w:r>
      <w:r w:rsidR="00B83BC3">
        <w:rPr>
          <w:rFonts w:cs="Times New Roman"/>
        </w:rPr>
        <w:t xml:space="preserve">State of Israel is a relatively young country, and the encounter with the unique requirements of </w:t>
      </w:r>
      <w:r>
        <w:rPr>
          <w:rFonts w:cs="Times New Roman"/>
        </w:rPr>
        <w:t>older persons</w:t>
      </w:r>
      <w:r w:rsidR="00B83BC3">
        <w:rPr>
          <w:rFonts w:cs="Times New Roman"/>
        </w:rPr>
        <w:t xml:space="preserve"> is </w:t>
      </w:r>
      <w:r>
        <w:rPr>
          <w:rFonts w:cs="Times New Roman"/>
        </w:rPr>
        <w:t xml:space="preserve">considerably </w:t>
      </w:r>
      <w:r w:rsidR="00B83BC3">
        <w:rPr>
          <w:rFonts w:cs="Times New Roman"/>
        </w:rPr>
        <w:t xml:space="preserve">new, the greatest challenge </w:t>
      </w:r>
      <w:r w:rsidR="00EA3FC6">
        <w:rPr>
          <w:rFonts w:cs="Times New Roman"/>
        </w:rPr>
        <w:t xml:space="preserve">is </w:t>
      </w:r>
      <w:r w:rsidR="00B83BC3">
        <w:rPr>
          <w:rFonts w:cs="Times New Roman"/>
        </w:rPr>
        <w:t>raising awareness of the population of senior citizens as a</w:t>
      </w:r>
      <w:r w:rsidR="00EA3FC6">
        <w:rPr>
          <w:rFonts w:cs="Times New Roman"/>
        </w:rPr>
        <w:t>n</w:t>
      </w:r>
      <w:r w:rsidR="00B83BC3">
        <w:rPr>
          <w:rFonts w:cs="Times New Roman"/>
        </w:rPr>
        <w:t xml:space="preserve"> active and productive</w:t>
      </w:r>
      <w:r w:rsidR="00EA3FC6" w:rsidRPr="00EA3FC6">
        <w:rPr>
          <w:rFonts w:cs="Times New Roman"/>
        </w:rPr>
        <w:t xml:space="preserve"> </w:t>
      </w:r>
      <w:r w:rsidR="00EA3FC6">
        <w:rPr>
          <w:rFonts w:cs="Times New Roman"/>
        </w:rPr>
        <w:t>population</w:t>
      </w:r>
      <w:r w:rsidR="00B83BC3">
        <w:rPr>
          <w:rFonts w:cs="Times New Roman"/>
        </w:rPr>
        <w:t xml:space="preserve">, </w:t>
      </w:r>
      <w:r w:rsidR="00EA5E5E">
        <w:rPr>
          <w:rFonts w:cs="Times New Roman"/>
        </w:rPr>
        <w:t>yet with</w:t>
      </w:r>
      <w:r w:rsidR="00B83BC3">
        <w:rPr>
          <w:rFonts w:cs="Times New Roman"/>
        </w:rPr>
        <w:t xml:space="preserve"> its own </w:t>
      </w:r>
      <w:r w:rsidR="00EA5E5E">
        <w:rPr>
          <w:rFonts w:cs="Times New Roman"/>
        </w:rPr>
        <w:t xml:space="preserve">particular </w:t>
      </w:r>
      <w:r w:rsidR="00B83BC3">
        <w:rPr>
          <w:rFonts w:cs="Times New Roman"/>
        </w:rPr>
        <w:t>needs. At the same</w:t>
      </w:r>
      <w:r w:rsidR="00EA5E5E">
        <w:rPr>
          <w:rFonts w:cs="Times New Roman"/>
        </w:rPr>
        <w:t xml:space="preserve"> time,</w:t>
      </w:r>
      <w:r w:rsidR="00B83BC3">
        <w:rPr>
          <w:rFonts w:cs="Times New Roman"/>
        </w:rPr>
        <w:t xml:space="preserve"> </w:t>
      </w:r>
      <w:r w:rsidR="00EA5E5E">
        <w:rPr>
          <w:rFonts w:cs="Times New Roman"/>
        </w:rPr>
        <w:t>the Ministry</w:t>
      </w:r>
      <w:r w:rsidR="006C18A7" w:rsidRPr="006C18A7">
        <w:rPr>
          <w:rFonts w:cs="Times New Roman"/>
        </w:rPr>
        <w:t xml:space="preserve"> </w:t>
      </w:r>
      <w:r w:rsidR="006C18A7">
        <w:rPr>
          <w:rFonts w:cs="Times New Roman"/>
        </w:rPr>
        <w:t>of Social Equality</w:t>
      </w:r>
      <w:r w:rsidR="00B83BC3">
        <w:rPr>
          <w:rFonts w:cs="Times New Roman"/>
        </w:rPr>
        <w:t xml:space="preserve"> deal</w:t>
      </w:r>
      <w:r w:rsidR="00EA5E5E">
        <w:rPr>
          <w:rFonts w:cs="Times New Roman"/>
        </w:rPr>
        <w:t>s</w:t>
      </w:r>
      <w:r w:rsidR="00B83BC3">
        <w:rPr>
          <w:rFonts w:cs="Times New Roman"/>
        </w:rPr>
        <w:t xml:space="preserve"> with ageism </w:t>
      </w:r>
      <w:r w:rsidR="00EA5E5E">
        <w:rPr>
          <w:rFonts w:cs="Times New Roman"/>
        </w:rPr>
        <w:t xml:space="preserve">both </w:t>
      </w:r>
      <w:r w:rsidR="00B83BC3">
        <w:rPr>
          <w:rFonts w:cs="Times New Roman"/>
        </w:rPr>
        <w:t xml:space="preserve">among the </w:t>
      </w:r>
      <w:r w:rsidR="00EA5E5E">
        <w:rPr>
          <w:rFonts w:cs="Times New Roman"/>
        </w:rPr>
        <w:t xml:space="preserve">general </w:t>
      </w:r>
      <w:r w:rsidR="00B83BC3">
        <w:rPr>
          <w:rFonts w:cs="Times New Roman"/>
        </w:rPr>
        <w:t xml:space="preserve">population </w:t>
      </w:r>
      <w:r w:rsidR="00EA5E5E">
        <w:rPr>
          <w:rFonts w:cs="Times New Roman"/>
        </w:rPr>
        <w:t>and within</w:t>
      </w:r>
      <w:r w:rsidR="00B83BC3">
        <w:rPr>
          <w:rFonts w:cs="Times New Roman"/>
        </w:rPr>
        <w:t xml:space="preserve"> </w:t>
      </w:r>
      <w:r w:rsidR="00EA5E5E">
        <w:rPr>
          <w:rFonts w:cs="Times New Roman"/>
        </w:rPr>
        <w:t>older persons</w:t>
      </w:r>
      <w:r w:rsidR="00B83BC3">
        <w:rPr>
          <w:rFonts w:cs="Times New Roman"/>
        </w:rPr>
        <w:t xml:space="preserve"> themselves.</w:t>
      </w:r>
      <w:r w:rsidR="00006BEF">
        <w:rPr>
          <w:rFonts w:cs="Times New Roman"/>
        </w:rPr>
        <w:t xml:space="preserve"> </w:t>
      </w:r>
    </w:p>
    <w:p w:rsidR="002F6BA5" w:rsidRDefault="00006BEF" w:rsidP="002F6BA5">
      <w:pPr>
        <w:tabs>
          <w:tab w:val="left" w:pos="0"/>
        </w:tabs>
        <w:bidi w:val="0"/>
        <w:spacing w:after="160"/>
        <w:rPr>
          <w:rFonts w:cs="Times New Roman"/>
          <w:bCs/>
        </w:rPr>
      </w:pPr>
      <w:r>
        <w:rPr>
          <w:rFonts w:cs="Times New Roman"/>
        </w:rPr>
        <w:t xml:space="preserve">In the context of the housing sector, it </w:t>
      </w:r>
      <w:proofErr w:type="gramStart"/>
      <w:r>
        <w:rPr>
          <w:rFonts w:cs="Times New Roman"/>
        </w:rPr>
        <w:t>should be noted</w:t>
      </w:r>
      <w:proofErr w:type="gramEnd"/>
      <w:r>
        <w:rPr>
          <w:rFonts w:cs="Times New Roman"/>
        </w:rPr>
        <w:t xml:space="preserve"> that </w:t>
      </w:r>
      <w:r w:rsidR="00B83BC3">
        <w:rPr>
          <w:rFonts w:cs="Times New Roman"/>
          <w:bCs/>
        </w:rPr>
        <w:t xml:space="preserve">the supply of </w:t>
      </w:r>
      <w:r>
        <w:rPr>
          <w:rFonts w:cs="Times New Roman"/>
          <w:bCs/>
        </w:rPr>
        <w:t xml:space="preserve">housing solutions </w:t>
      </w:r>
      <w:r w:rsidR="00B83BC3">
        <w:rPr>
          <w:rFonts w:cs="Times New Roman"/>
          <w:bCs/>
        </w:rPr>
        <w:t>in central locations</w:t>
      </w:r>
      <w:r>
        <w:rPr>
          <w:rFonts w:cs="Times New Roman"/>
          <w:bCs/>
        </w:rPr>
        <w:t>,</w:t>
      </w:r>
      <w:r w:rsidR="00B83BC3">
        <w:rPr>
          <w:rFonts w:cs="Times New Roman"/>
          <w:bCs/>
        </w:rPr>
        <w:t xml:space="preserve"> with</w:t>
      </w:r>
      <w:r>
        <w:rPr>
          <w:rFonts w:cs="Times New Roman"/>
          <w:bCs/>
        </w:rPr>
        <w:t xml:space="preserve"> high</w:t>
      </w:r>
      <w:r w:rsidR="00B83BC3">
        <w:rPr>
          <w:rFonts w:cs="Times New Roman"/>
          <w:bCs/>
        </w:rPr>
        <w:t xml:space="preserve"> accessibility to services</w:t>
      </w:r>
      <w:r>
        <w:rPr>
          <w:rFonts w:cs="Times New Roman"/>
          <w:bCs/>
        </w:rPr>
        <w:t>,</w:t>
      </w:r>
      <w:r w:rsidR="00B83BC3">
        <w:rPr>
          <w:rFonts w:cs="Times New Roman"/>
          <w:bCs/>
        </w:rPr>
        <w:t xml:space="preserve"> is relatively small</w:t>
      </w:r>
      <w:r w:rsidR="00526578">
        <w:rPr>
          <w:rFonts w:cs="Times New Roman"/>
          <w:bCs/>
        </w:rPr>
        <w:t>er</w:t>
      </w:r>
      <w:r w:rsidR="00B83BC3">
        <w:rPr>
          <w:rFonts w:cs="Times New Roman"/>
          <w:bCs/>
        </w:rPr>
        <w:t xml:space="preserve"> </w:t>
      </w:r>
      <w:r w:rsidR="00526578">
        <w:rPr>
          <w:rFonts w:cs="Times New Roman"/>
          <w:bCs/>
        </w:rPr>
        <w:t>than</w:t>
      </w:r>
      <w:r w:rsidR="00B83BC3">
        <w:rPr>
          <w:rFonts w:cs="Times New Roman"/>
          <w:bCs/>
        </w:rPr>
        <w:t xml:space="preserve"> </w:t>
      </w:r>
      <w:r w:rsidR="00526578">
        <w:rPr>
          <w:rFonts w:cs="Times New Roman"/>
          <w:bCs/>
        </w:rPr>
        <w:t xml:space="preserve">their </w:t>
      </w:r>
      <w:r w:rsidR="00B83BC3">
        <w:rPr>
          <w:rFonts w:cs="Times New Roman"/>
          <w:bCs/>
        </w:rPr>
        <w:t xml:space="preserve">demand, </w:t>
      </w:r>
      <w:r w:rsidR="00526578">
        <w:rPr>
          <w:rFonts w:cs="Times New Roman"/>
          <w:bCs/>
        </w:rPr>
        <w:t>which</w:t>
      </w:r>
      <w:r w:rsidR="00B83BC3">
        <w:rPr>
          <w:rFonts w:cs="Times New Roman"/>
          <w:bCs/>
        </w:rPr>
        <w:t xml:space="preserve"> increases the</w:t>
      </w:r>
      <w:r w:rsidR="00526578">
        <w:rPr>
          <w:rFonts w:cs="Times New Roman"/>
          <w:bCs/>
        </w:rPr>
        <w:t>ir</w:t>
      </w:r>
      <w:r w:rsidR="00B83BC3">
        <w:rPr>
          <w:rFonts w:cs="Times New Roman"/>
          <w:bCs/>
        </w:rPr>
        <w:t xml:space="preserve"> cost</w:t>
      </w:r>
      <w:r w:rsidR="002F6BA5">
        <w:rPr>
          <w:rFonts w:cs="Times New Roman"/>
          <w:bCs/>
        </w:rPr>
        <w:t xml:space="preserve">, </w:t>
      </w:r>
      <w:r w:rsidR="00526578">
        <w:rPr>
          <w:rFonts w:cs="Times New Roman"/>
          <w:bCs/>
        </w:rPr>
        <w:t xml:space="preserve">in a manner that might </w:t>
      </w:r>
      <w:r w:rsidR="00526578">
        <w:t>intersect older persons'</w:t>
      </w:r>
      <w:r w:rsidR="00526578" w:rsidRPr="00526578">
        <w:t xml:space="preserve"> </w:t>
      </w:r>
      <w:r w:rsidR="00526578">
        <w:t>enjoyment of the right to adequate housing</w:t>
      </w:r>
      <w:r w:rsidR="00526578">
        <w:rPr>
          <w:rFonts w:cs="Times New Roman"/>
          <w:bCs/>
        </w:rPr>
        <w:t>, accessible</w:t>
      </w:r>
      <w:r w:rsidR="00B83BC3">
        <w:rPr>
          <w:rFonts w:cs="Times New Roman"/>
          <w:bCs/>
        </w:rPr>
        <w:t xml:space="preserve"> to </w:t>
      </w:r>
      <w:r w:rsidR="00526578">
        <w:rPr>
          <w:rFonts w:cs="Times New Roman"/>
          <w:bCs/>
        </w:rPr>
        <w:t xml:space="preserve">public </w:t>
      </w:r>
      <w:r w:rsidR="00E60D7F">
        <w:rPr>
          <w:rFonts w:cs="Times New Roman"/>
          <w:bCs/>
        </w:rPr>
        <w:t>transportation</w:t>
      </w:r>
      <w:r w:rsidR="006C18A7">
        <w:rPr>
          <w:rFonts w:cs="Times New Roman"/>
          <w:bCs/>
        </w:rPr>
        <w:t>,</w:t>
      </w:r>
      <w:r w:rsidR="00B83BC3">
        <w:rPr>
          <w:rFonts w:cs="Times New Roman"/>
          <w:bCs/>
        </w:rPr>
        <w:t xml:space="preserve"> </w:t>
      </w:r>
      <w:r w:rsidR="006C18A7">
        <w:rPr>
          <w:rFonts w:cs="Times New Roman"/>
          <w:bCs/>
        </w:rPr>
        <w:t xml:space="preserve">health </w:t>
      </w:r>
      <w:r w:rsidR="00B83BC3">
        <w:rPr>
          <w:rFonts w:cs="Times New Roman"/>
          <w:bCs/>
        </w:rPr>
        <w:t xml:space="preserve">and </w:t>
      </w:r>
      <w:r w:rsidR="00E60D7F">
        <w:rPr>
          <w:rFonts w:cs="Times New Roman"/>
          <w:bCs/>
        </w:rPr>
        <w:t xml:space="preserve">social </w:t>
      </w:r>
      <w:r w:rsidR="006C18A7">
        <w:rPr>
          <w:rFonts w:cs="Times New Roman"/>
          <w:bCs/>
        </w:rPr>
        <w:t>services.</w:t>
      </w:r>
      <w:r w:rsidR="009B158A">
        <w:rPr>
          <w:rFonts w:cs="Times New Roman"/>
          <w:bCs/>
        </w:rPr>
        <w:t xml:space="preserve"> On the other hand, peripheral localities unfortunately still suffer from inferiority of services, such as </w:t>
      </w:r>
      <w:r w:rsidR="008372AF">
        <w:rPr>
          <w:rFonts w:cs="Times New Roman"/>
          <w:bCs/>
        </w:rPr>
        <w:t>lesser</w:t>
      </w:r>
      <w:r w:rsidR="00B83BC3">
        <w:rPr>
          <w:rFonts w:cs="Times New Roman"/>
          <w:bCs/>
        </w:rPr>
        <w:t xml:space="preserve"> health</w:t>
      </w:r>
      <w:r w:rsidR="00B83BC3" w:rsidRPr="006C6C49">
        <w:rPr>
          <w:rFonts w:cs="Times New Roman"/>
          <w:bCs/>
        </w:rPr>
        <w:t xml:space="preserve"> </w:t>
      </w:r>
      <w:r w:rsidR="00B83BC3">
        <w:rPr>
          <w:rFonts w:cs="Times New Roman"/>
          <w:bCs/>
        </w:rPr>
        <w:t>services, reduced employment opportunities and second-rate transportation, social and community services.</w:t>
      </w:r>
      <w:r w:rsidR="008F6FCD">
        <w:rPr>
          <w:rFonts w:cs="Times New Roman"/>
          <w:bCs/>
        </w:rPr>
        <w:t xml:space="preserve"> </w:t>
      </w:r>
    </w:p>
    <w:p w:rsidR="000A6723" w:rsidRDefault="008F6FCD" w:rsidP="00704BB2">
      <w:pPr>
        <w:tabs>
          <w:tab w:val="left" w:pos="0"/>
        </w:tabs>
        <w:bidi w:val="0"/>
        <w:spacing w:after="160"/>
        <w:rPr>
          <w:rFonts w:cs="Times New Roman"/>
          <w:bCs/>
        </w:rPr>
      </w:pPr>
      <w:r>
        <w:rPr>
          <w:rFonts w:cs="Times New Roman"/>
          <w:bCs/>
        </w:rPr>
        <w:t xml:space="preserve">Particular attention </w:t>
      </w:r>
      <w:proofErr w:type="gramStart"/>
      <w:r>
        <w:rPr>
          <w:rFonts w:cs="Times New Roman"/>
          <w:bCs/>
        </w:rPr>
        <w:t>must be given</w:t>
      </w:r>
      <w:proofErr w:type="gramEnd"/>
      <w:r>
        <w:rPr>
          <w:rFonts w:cs="Times New Roman"/>
          <w:bCs/>
        </w:rPr>
        <w:t xml:space="preserve"> to older LGBT</w:t>
      </w:r>
      <w:r w:rsidR="00C935CF">
        <w:rPr>
          <w:rFonts w:cs="Times New Roman"/>
          <w:bCs/>
        </w:rPr>
        <w:t>Q</w:t>
      </w:r>
      <w:r>
        <w:rPr>
          <w:rFonts w:cs="Times New Roman"/>
          <w:bCs/>
        </w:rPr>
        <w:t xml:space="preserve"> p</w:t>
      </w:r>
      <w:r w:rsidR="00E406DC">
        <w:rPr>
          <w:rFonts w:cs="Times New Roman"/>
          <w:bCs/>
        </w:rPr>
        <w:t>ersons</w:t>
      </w:r>
      <w:r w:rsidR="00704BB2">
        <w:rPr>
          <w:rFonts w:cs="Times New Roman"/>
          <w:bCs/>
        </w:rPr>
        <w:t xml:space="preserve">, which, </w:t>
      </w:r>
      <w:r w:rsidR="00B83BC3">
        <w:rPr>
          <w:rFonts w:cs="Times New Roman"/>
          <w:bCs/>
        </w:rPr>
        <w:t xml:space="preserve">just like other elderly people, have to deal, as they grow older, with a deteriorating health condition and with changes in their family and social situation. However, among the elderly LGBTQ population, these difficulties </w:t>
      </w:r>
      <w:proofErr w:type="gramStart"/>
      <w:r w:rsidR="00B83BC3">
        <w:rPr>
          <w:rFonts w:cs="Times New Roman"/>
          <w:bCs/>
        </w:rPr>
        <w:t>are intensified</w:t>
      </w:r>
      <w:proofErr w:type="gramEnd"/>
      <w:r w:rsidR="00B83BC3">
        <w:rPr>
          <w:rFonts w:cs="Times New Roman"/>
          <w:bCs/>
        </w:rPr>
        <w:t>, and it is much more difficult for these people to receive assistance in dealing with these problems, because many</w:t>
      </w:r>
      <w:r w:rsidR="00B83BC3" w:rsidRPr="00B30270">
        <w:rPr>
          <w:rFonts w:cs="Times New Roman"/>
          <w:bCs/>
        </w:rPr>
        <w:t xml:space="preserve"> </w:t>
      </w:r>
      <w:r w:rsidR="00B83BC3">
        <w:rPr>
          <w:rFonts w:cs="Times New Roman"/>
          <w:bCs/>
        </w:rPr>
        <w:t xml:space="preserve">LGBTQ adults have experienced, during their lifetime, a negative attitude from society, and they find it difficult to integrate into </w:t>
      </w:r>
      <w:r w:rsidR="00C935CF">
        <w:rPr>
          <w:rFonts w:cs="Times New Roman"/>
          <w:bCs/>
        </w:rPr>
        <w:t>service frameworks for the older</w:t>
      </w:r>
      <w:r w:rsidR="00B83BC3">
        <w:rPr>
          <w:rFonts w:cs="Times New Roman"/>
          <w:bCs/>
        </w:rPr>
        <w:t>.</w:t>
      </w:r>
    </w:p>
    <w:p w:rsidR="00D766EE" w:rsidRDefault="000A6723" w:rsidP="00A07715">
      <w:pPr>
        <w:tabs>
          <w:tab w:val="left" w:pos="0"/>
        </w:tabs>
        <w:bidi w:val="0"/>
        <w:spacing w:after="160"/>
        <w:rPr>
          <w:rFonts w:cs="Times New Roman"/>
          <w:bCs/>
        </w:rPr>
      </w:pPr>
      <w:r>
        <w:rPr>
          <w:rFonts w:cs="Times New Roman"/>
          <w:bCs/>
        </w:rPr>
        <w:t xml:space="preserve">In areas of urban renewal, age and frequently </w:t>
      </w:r>
      <w:r w:rsidR="00B83BC3">
        <w:rPr>
          <w:rFonts w:cs="Times New Roman"/>
          <w:bCs/>
        </w:rPr>
        <w:t>socio-economic status</w:t>
      </w:r>
      <w:r>
        <w:rPr>
          <w:rFonts w:cs="Times New Roman"/>
          <w:bCs/>
        </w:rPr>
        <w:t xml:space="preserve"> might be</w:t>
      </w:r>
      <w:r w:rsidR="00B83BC3">
        <w:rPr>
          <w:rFonts w:cs="Times New Roman"/>
          <w:bCs/>
        </w:rPr>
        <w:t xml:space="preserve"> a source for the discrimination of </w:t>
      </w:r>
      <w:r>
        <w:rPr>
          <w:rFonts w:cs="Times New Roman"/>
          <w:bCs/>
        </w:rPr>
        <w:t>resident older persons. Since u</w:t>
      </w:r>
      <w:r w:rsidR="00B83BC3">
        <w:rPr>
          <w:rFonts w:cs="Times New Roman"/>
          <w:bCs/>
        </w:rPr>
        <w:t xml:space="preserve">rban renewal </w:t>
      </w:r>
      <w:r>
        <w:rPr>
          <w:rFonts w:cs="Times New Roman"/>
          <w:bCs/>
        </w:rPr>
        <w:t xml:space="preserve">may be </w:t>
      </w:r>
      <w:r w:rsidR="00B83BC3">
        <w:rPr>
          <w:rFonts w:cs="Times New Roman"/>
          <w:bCs/>
        </w:rPr>
        <w:t xml:space="preserve">detrimental </w:t>
      </w:r>
      <w:r w:rsidR="00B83BC3">
        <w:rPr>
          <w:rFonts w:cs="Times New Roman"/>
          <w:bCs/>
        </w:rPr>
        <w:lastRenderedPageBreak/>
        <w:t xml:space="preserve">to the quality of life of </w:t>
      </w:r>
      <w:r>
        <w:rPr>
          <w:rFonts w:cs="Times New Roman"/>
          <w:bCs/>
        </w:rPr>
        <w:t>older persons</w:t>
      </w:r>
      <w:r w:rsidR="00B83BC3">
        <w:rPr>
          <w:rFonts w:cs="Times New Roman"/>
          <w:bCs/>
        </w:rPr>
        <w:t xml:space="preserve">, </w:t>
      </w:r>
      <w:r w:rsidR="00DD2D2E">
        <w:rPr>
          <w:rFonts w:cs="Times New Roman"/>
          <w:bCs/>
        </w:rPr>
        <w:t xml:space="preserve">the Ministry of </w:t>
      </w:r>
      <w:r w:rsidR="00DD2D2E">
        <w:rPr>
          <w:rFonts w:cs="Times New Roman"/>
        </w:rPr>
        <w:t>Social Equality</w:t>
      </w:r>
      <w:r w:rsidR="00DD2D2E">
        <w:rPr>
          <w:rFonts w:cs="Times New Roman"/>
          <w:bCs/>
        </w:rPr>
        <w:t xml:space="preserve"> and the</w:t>
      </w:r>
      <w:r w:rsidR="00B83BC3">
        <w:rPr>
          <w:rFonts w:cs="Times New Roman"/>
          <w:bCs/>
        </w:rPr>
        <w:t xml:space="preserve"> Urban Renewal Authority</w:t>
      </w:r>
      <w:r w:rsidR="00F778F2">
        <w:rPr>
          <w:rFonts w:cs="Times New Roman"/>
          <w:bCs/>
        </w:rPr>
        <w:t>, which</w:t>
      </w:r>
      <w:r w:rsidR="00B83BC3">
        <w:rPr>
          <w:rFonts w:cs="Times New Roman"/>
          <w:bCs/>
        </w:rPr>
        <w:t xml:space="preserve"> </w:t>
      </w:r>
      <w:proofErr w:type="gramStart"/>
      <w:r w:rsidR="00B83BC3">
        <w:rPr>
          <w:rFonts w:cs="Times New Roman"/>
          <w:bCs/>
        </w:rPr>
        <w:t xml:space="preserve">is also </w:t>
      </w:r>
      <w:r w:rsidR="00F778F2">
        <w:rPr>
          <w:rFonts w:cs="Times New Roman"/>
          <w:bCs/>
        </w:rPr>
        <w:t>charged</w:t>
      </w:r>
      <w:proofErr w:type="gramEnd"/>
      <w:r w:rsidR="00F778F2">
        <w:rPr>
          <w:rFonts w:cs="Times New Roman"/>
          <w:bCs/>
        </w:rPr>
        <w:t xml:space="preserve"> with caring for</w:t>
      </w:r>
      <w:r w:rsidR="00B83BC3">
        <w:rPr>
          <w:rFonts w:cs="Times New Roman"/>
          <w:bCs/>
        </w:rPr>
        <w:t xml:space="preserve"> </w:t>
      </w:r>
      <w:r w:rsidR="006C18A7">
        <w:rPr>
          <w:rFonts w:cs="Times New Roman"/>
          <w:bCs/>
        </w:rPr>
        <w:t>residents</w:t>
      </w:r>
      <w:r w:rsidR="00B83BC3">
        <w:rPr>
          <w:rFonts w:cs="Times New Roman"/>
          <w:bCs/>
        </w:rPr>
        <w:t xml:space="preserve"> </w:t>
      </w:r>
      <w:r w:rsidR="00F778F2">
        <w:rPr>
          <w:rFonts w:cs="Times New Roman"/>
          <w:bCs/>
        </w:rPr>
        <w:t>of</w:t>
      </w:r>
      <w:r w:rsidR="00B83BC3">
        <w:rPr>
          <w:rFonts w:cs="Times New Roman"/>
          <w:bCs/>
        </w:rPr>
        <w:t xml:space="preserve"> urban renewal projects,</w:t>
      </w:r>
      <w:r w:rsidR="00DD2D2E">
        <w:rPr>
          <w:rFonts w:cs="Times New Roman"/>
          <w:bCs/>
        </w:rPr>
        <w:t xml:space="preserve"> hold</w:t>
      </w:r>
      <w:r w:rsidR="00D766EE">
        <w:rPr>
          <w:rFonts w:cs="Times New Roman"/>
          <w:bCs/>
        </w:rPr>
        <w:t>s</w:t>
      </w:r>
      <w:r w:rsidR="00DD2D2E">
        <w:rPr>
          <w:rFonts w:cs="Times New Roman"/>
          <w:bCs/>
        </w:rPr>
        <w:t xml:space="preserve"> round table meetings in order to </w:t>
      </w:r>
      <w:r w:rsidR="00A07715">
        <w:rPr>
          <w:rFonts w:cs="Times New Roman"/>
          <w:bCs/>
        </w:rPr>
        <w:t>promote the interests of this population</w:t>
      </w:r>
      <w:r w:rsidR="00DD2D2E">
        <w:rPr>
          <w:rFonts w:cs="Times New Roman"/>
          <w:bCs/>
        </w:rPr>
        <w:t>.</w:t>
      </w:r>
    </w:p>
    <w:p w:rsidR="00DD2D2E" w:rsidRDefault="006C18A7" w:rsidP="00997956">
      <w:pPr>
        <w:tabs>
          <w:tab w:val="left" w:pos="0"/>
        </w:tabs>
        <w:bidi w:val="0"/>
        <w:spacing w:after="160"/>
        <w:rPr>
          <w:rFonts w:cs="Times New Roman"/>
          <w:bCs/>
        </w:rPr>
      </w:pPr>
      <w:r>
        <w:rPr>
          <w:rFonts w:cs="Times New Roman"/>
          <w:bCs/>
        </w:rPr>
        <w:t>In this context, the law regulat</w:t>
      </w:r>
      <w:r w:rsidR="00997956">
        <w:rPr>
          <w:rFonts w:cs="Times New Roman"/>
          <w:bCs/>
        </w:rPr>
        <w:t>ing</w:t>
      </w:r>
      <w:r>
        <w:rPr>
          <w:rFonts w:cs="Times New Roman"/>
          <w:bCs/>
        </w:rPr>
        <w:t xml:space="preserve"> evacuation and construction projects has been amended, updating the threshold of reasonableness of a "refusing tenant" and</w:t>
      </w:r>
      <w:r w:rsidR="00A07715">
        <w:rPr>
          <w:rFonts w:cs="Times New Roman"/>
          <w:bCs/>
        </w:rPr>
        <w:t xml:space="preserve"> what is deemed </w:t>
      </w:r>
      <w:proofErr w:type="gramStart"/>
      <w:r w:rsidR="00A07715">
        <w:rPr>
          <w:rFonts w:cs="Times New Roman"/>
          <w:bCs/>
        </w:rPr>
        <w:t>to be a</w:t>
      </w:r>
      <w:proofErr w:type="gramEnd"/>
      <w:r w:rsidR="00A07715">
        <w:rPr>
          <w:rFonts w:cs="Times New Roman"/>
          <w:bCs/>
        </w:rPr>
        <w:t xml:space="preserve"> reasonable refusal. Moreover, additional housing alternatives </w:t>
      </w:r>
      <w:proofErr w:type="gramStart"/>
      <w:r w:rsidR="00A07715">
        <w:rPr>
          <w:rFonts w:cs="Times New Roman"/>
          <w:bCs/>
        </w:rPr>
        <w:t>have been introduced</w:t>
      </w:r>
      <w:proofErr w:type="gramEnd"/>
      <w:r w:rsidR="00A07715">
        <w:rPr>
          <w:rFonts w:cs="Times New Roman"/>
          <w:bCs/>
        </w:rPr>
        <w:t>, addressing senior citizens over the age of 75 years.</w:t>
      </w:r>
      <w:r>
        <w:rPr>
          <w:rFonts w:cs="Times New Roman"/>
          <w:bCs/>
        </w:rPr>
        <w:t xml:space="preserve"> </w:t>
      </w:r>
    </w:p>
    <w:p w:rsidR="0014017D" w:rsidRPr="00B96689" w:rsidRDefault="0014017D" w:rsidP="006C18A7">
      <w:pPr>
        <w:bidi w:val="0"/>
        <w:rPr>
          <w:rFonts w:hint="cs"/>
          <w:rtl/>
        </w:rPr>
      </w:pPr>
    </w:p>
    <w:sectPr w:rsidR="0014017D" w:rsidRPr="00B96689" w:rsidSect="00B53560">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6" w:h="16838" w:code="9"/>
      <w:pgMar w:top="1361" w:right="1758" w:bottom="1361" w:left="1758" w:header="397" w:footer="397" w:gutter="0"/>
      <w:paperSrc w:first="1" w:other="1"/>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4B" w:rsidRDefault="00F5164B">
      <w:r>
        <w:separator/>
      </w:r>
    </w:p>
  </w:endnote>
  <w:endnote w:type="continuationSeparator" w:id="0">
    <w:p w:rsidR="00F5164B" w:rsidRDefault="00F5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D5" w:rsidRDefault="006944D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6944D5" w:rsidRDefault="006944D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84" w:rsidRDefault="009F2C84">
    <w:pPr>
      <w:pStyle w:val="Footer"/>
      <w:jc w:val="center"/>
      <w:rPr>
        <w:cs/>
      </w:rPr>
    </w:pPr>
    <w:r>
      <w:fldChar w:fldCharType="begin"/>
    </w:r>
    <w:r>
      <w:rPr>
        <w:cs/>
      </w:rPr>
      <w:instrText>PAGE   \* MERGEFORMAT</w:instrText>
    </w:r>
    <w:r>
      <w:fldChar w:fldCharType="separate"/>
    </w:r>
    <w:r w:rsidR="00190FE9" w:rsidRPr="00190FE9">
      <w:rPr>
        <w:noProof/>
        <w:rtl/>
        <w:lang w:val="he-IL"/>
      </w:rPr>
      <w:t>3</w:t>
    </w:r>
    <w:r>
      <w:fldChar w:fldCharType="end"/>
    </w:r>
  </w:p>
  <w:p w:rsidR="009F2C84" w:rsidRDefault="009F2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84" w:rsidRPr="00DD7D84" w:rsidRDefault="00DD7D84" w:rsidP="00DD7D84">
    <w:pPr>
      <w:pStyle w:val="Footer"/>
      <w:tabs>
        <w:tab w:val="clear" w:pos="4153"/>
        <w:tab w:val="left" w:pos="1366"/>
        <w:tab w:val="left" w:leader="underscore" w:pos="7036"/>
      </w:tabs>
      <w:jc w:val="center"/>
      <w:rPr>
        <w:rFonts w:cs="Times New Roman"/>
        <w:sz w:val="20"/>
        <w:szCs w:val="20"/>
        <w:rtl/>
      </w:rPr>
    </w:pPr>
    <w:r w:rsidRPr="00DD7D84">
      <w:rPr>
        <w:rFonts w:cs="Times New Roman"/>
        <w:sz w:val="20"/>
        <w:szCs w:val="20"/>
        <w:rtl/>
      </w:rPr>
      <w:t>__________________________________________________________</w:t>
    </w:r>
  </w:p>
  <w:p w:rsidR="00DD7D84" w:rsidRPr="00DD7D84" w:rsidRDefault="00DD7D84" w:rsidP="00DD7D84">
    <w:pPr>
      <w:pStyle w:val="Footer"/>
      <w:jc w:val="center"/>
      <w:rPr>
        <w:rFonts w:cs="Times New Roman"/>
        <w:sz w:val="20"/>
        <w:szCs w:val="20"/>
      </w:rPr>
    </w:pPr>
    <w:r w:rsidRPr="00DD7D84">
      <w:rPr>
        <w:rFonts w:cs="Times New Roman"/>
        <w:sz w:val="20"/>
        <w:szCs w:val="20"/>
      </w:rPr>
      <w:t>P.O. Box 7377 Tel-Aviv 67012 Tel: 972-3-7634152 Fax: 972-3-7634706</w:t>
    </w:r>
  </w:p>
  <w:p w:rsidR="006944D5" w:rsidRPr="00DD7D84" w:rsidRDefault="00DD7D84" w:rsidP="005F67D0">
    <w:pPr>
      <w:pStyle w:val="Footer"/>
      <w:jc w:val="center"/>
      <w:rPr>
        <w:rFonts w:cs="Times New Roman"/>
        <w:sz w:val="20"/>
        <w:szCs w:val="20"/>
        <w:rtl/>
      </w:rPr>
    </w:pPr>
    <w:r w:rsidRPr="00DD7D84">
      <w:rPr>
        <w:rFonts w:cs="Times New Roman"/>
        <w:sz w:val="20"/>
        <w:szCs w:val="20"/>
      </w:rPr>
      <w:t xml:space="preserve">E-Mail: </w:t>
    </w:r>
    <w:hyperlink r:id="rId1" w:history="1">
      <w:r w:rsidRPr="00DD7D84">
        <w:rPr>
          <w:rStyle w:val="Hyperlink"/>
          <w:rFonts w:cs="Times New Roman"/>
          <w:sz w:val="20"/>
          <w:szCs w:val="20"/>
        </w:rPr>
        <w:t>International@justice.gov.il</w:t>
      </w:r>
    </w:hyperlink>
    <w:r w:rsidRPr="00DD7D84">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4B" w:rsidRDefault="00F5164B">
      <w:r>
        <w:separator/>
      </w:r>
    </w:p>
  </w:footnote>
  <w:footnote w:type="continuationSeparator" w:id="0">
    <w:p w:rsidR="00F5164B" w:rsidRDefault="00F5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D5" w:rsidRDefault="006944D5" w:rsidP="00CF2CAA">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944D5" w:rsidRDefault="0069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D5" w:rsidRDefault="006944D5" w:rsidP="00CF2CAA">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190FE9">
      <w:rPr>
        <w:rStyle w:val="PageNumber"/>
        <w:noProof/>
        <w:rtl/>
      </w:rPr>
      <w:t>3</w:t>
    </w:r>
    <w:r>
      <w:rPr>
        <w:rStyle w:val="PageNumber"/>
        <w:rtl/>
      </w:rPr>
      <w:fldChar w:fldCharType="end"/>
    </w:r>
  </w:p>
  <w:p w:rsidR="006944D5" w:rsidRDefault="006944D5">
    <w:pPr>
      <w:pStyle w:val="Header"/>
      <w:spacing w:line="240" w:lineRule="auto"/>
      <w:jc w:val="center"/>
      <w:rPr>
        <w:rStyle w:val="PageNumber"/>
        <w:rFonts w:cs="David" w:hint="cs"/>
        <w:sz w:val="22"/>
        <w:rtl/>
      </w:rPr>
    </w:pPr>
  </w:p>
  <w:tbl>
    <w:tblPr>
      <w:tblW w:w="9356" w:type="dxa"/>
      <w:tblInd w:w="-459" w:type="dxa"/>
      <w:tblLayout w:type="fixed"/>
      <w:tblLook w:val="0000" w:firstRow="0" w:lastRow="0" w:firstColumn="0" w:lastColumn="0" w:noHBand="0" w:noVBand="0"/>
    </w:tblPr>
    <w:tblGrid>
      <w:gridCol w:w="4723"/>
      <w:gridCol w:w="4633"/>
    </w:tblGrid>
    <w:tr w:rsidR="006944D5">
      <w:tblPrEx>
        <w:tblCellMar>
          <w:top w:w="0" w:type="dxa"/>
          <w:bottom w:w="0" w:type="dxa"/>
        </w:tblCellMar>
      </w:tblPrEx>
      <w:tc>
        <w:tcPr>
          <w:tcW w:w="4723" w:type="dxa"/>
        </w:tcPr>
        <w:p w:rsidR="006944D5" w:rsidRDefault="006944D5">
          <w:pPr>
            <w:pStyle w:val="Header"/>
            <w:bidi w:val="0"/>
            <w:spacing w:line="240" w:lineRule="auto"/>
            <w:rPr>
              <w:rFonts w:cs="David"/>
              <w:spacing w:val="60"/>
              <w:sz w:val="22"/>
              <w:szCs w:val="28"/>
              <w:rtl/>
            </w:rPr>
          </w:pPr>
        </w:p>
      </w:tc>
      <w:tc>
        <w:tcPr>
          <w:tcW w:w="4633" w:type="dxa"/>
        </w:tcPr>
        <w:p w:rsidR="006944D5" w:rsidRDefault="006944D5">
          <w:pPr>
            <w:pStyle w:val="Header"/>
            <w:spacing w:line="240" w:lineRule="auto"/>
            <w:rPr>
              <w:rFonts w:cs="David"/>
              <w:spacing w:val="60"/>
              <w:szCs w:val="28"/>
              <w:rtl/>
            </w:rPr>
          </w:pPr>
        </w:p>
      </w:tc>
    </w:tr>
  </w:tbl>
  <w:p w:rsidR="006944D5" w:rsidRDefault="006944D5">
    <w:pPr>
      <w:pStyle w:val="Header"/>
      <w:spacing w:line="240" w:lineRule="auto"/>
      <w:rPr>
        <w:rFonts w:hint="cs"/>
        <w:rtl/>
      </w:rPr>
    </w:pPr>
  </w:p>
  <w:p w:rsidR="00E96678" w:rsidRDefault="00E96678" w:rsidP="00E96678">
    <w:pPr>
      <w:pStyle w:val="Header"/>
      <w:bidi w:val="0"/>
      <w:spacing w:line="240" w:lineRule="auto"/>
      <w:jc w:val="center"/>
      <w:rPr>
        <w:rFonts w:cs="David"/>
        <w:b/>
        <w:bCs/>
        <w:sz w:val="22"/>
      </w:rPr>
    </w:pPr>
    <w:r>
      <w:rPr>
        <w:rFonts w:cs="David"/>
        <w:b/>
        <w:bCs/>
        <w:sz w:val="22"/>
      </w:rPr>
      <w:t>Office of the Deputy Attorney General (International Law)</w:t>
    </w:r>
  </w:p>
  <w:p w:rsidR="006944D5" w:rsidRDefault="006944D5">
    <w:pPr>
      <w:pStyle w:val="Header"/>
      <w:spacing w:line="240" w:lineRule="auto"/>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D5" w:rsidRPr="005F67D0" w:rsidRDefault="006944D5" w:rsidP="005F67D0">
    <w:pPr>
      <w:tabs>
        <w:tab w:val="center" w:pos="4153"/>
        <w:tab w:val="right" w:pos="8306"/>
      </w:tabs>
      <w:spacing w:line="240" w:lineRule="auto"/>
      <w:jc w:val="center"/>
      <w:rPr>
        <w:b/>
        <w:bCs/>
        <w:spacing w:val="60"/>
        <w:sz w:val="20"/>
        <w:szCs w:val="28"/>
        <w:rtl/>
      </w:rPr>
    </w:pPr>
    <w:r w:rsidRPr="005F67D0">
      <w:rPr>
        <w:rFonts w:hint="cs"/>
        <w:sz w:val="20"/>
        <w:szCs w:val="20"/>
      </w:rPr>
      <w:object w:dxaOrig="1305"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60.1pt">
          <v:imagedata r:id="rId1" o:title=""/>
        </v:shape>
        <o:OLEObject Type="Embed" ProgID="Word.Picture.8" ShapeID="_x0000_i1025" DrawAspect="Content" ObjectID="_1712999421" r:id="rId2"/>
      </w:object>
    </w:r>
  </w:p>
  <w:p w:rsidR="006944D5" w:rsidRPr="005F67D0" w:rsidRDefault="006944D5" w:rsidP="005F67D0">
    <w:pPr>
      <w:tabs>
        <w:tab w:val="center" w:pos="4153"/>
        <w:tab w:val="right" w:pos="8306"/>
      </w:tabs>
      <w:bidi w:val="0"/>
      <w:spacing w:line="240" w:lineRule="auto"/>
      <w:jc w:val="center"/>
      <w:rPr>
        <w:b/>
        <w:bCs/>
        <w:spacing w:val="60"/>
      </w:rPr>
    </w:pPr>
    <w:r w:rsidRPr="005F67D0">
      <w:rPr>
        <w:b/>
        <w:bCs/>
        <w:spacing w:val="60"/>
      </w:rPr>
      <w:t>State of Israel</w:t>
    </w:r>
  </w:p>
  <w:p w:rsidR="006944D5" w:rsidRPr="005F67D0" w:rsidRDefault="006944D5" w:rsidP="005F67D0">
    <w:pPr>
      <w:tabs>
        <w:tab w:val="center" w:pos="4153"/>
        <w:tab w:val="right" w:pos="8306"/>
      </w:tabs>
      <w:bidi w:val="0"/>
      <w:spacing w:line="240" w:lineRule="auto"/>
      <w:jc w:val="center"/>
      <w:rPr>
        <w:b/>
        <w:bCs/>
        <w:spacing w:val="60"/>
      </w:rPr>
    </w:pPr>
    <w:r w:rsidRPr="005F67D0">
      <w:rPr>
        <w:b/>
        <w:bCs/>
        <w:spacing w:val="60"/>
      </w:rPr>
      <w:t>Ministry of Justice</w:t>
    </w:r>
  </w:p>
  <w:p w:rsidR="006944D5" w:rsidRPr="005F67D0" w:rsidRDefault="006944D5" w:rsidP="005F67D0">
    <w:pPr>
      <w:tabs>
        <w:tab w:val="center" w:pos="4153"/>
        <w:tab w:val="right" w:pos="8306"/>
      </w:tabs>
      <w:spacing w:line="240" w:lineRule="auto"/>
      <w:jc w:val="center"/>
      <w:rPr>
        <w:b/>
        <w:bCs/>
        <w:spacing w:val="60"/>
        <w:sz w:val="20"/>
        <w:szCs w:val="28"/>
        <w:rtl/>
      </w:rPr>
    </w:pPr>
  </w:p>
  <w:tbl>
    <w:tblPr>
      <w:bidiVisual/>
      <w:tblW w:w="0" w:type="auto"/>
      <w:tblInd w:w="56" w:type="dxa"/>
      <w:tblLayout w:type="fixed"/>
      <w:tblLook w:val="0000" w:firstRow="0" w:lastRow="0" w:firstColumn="0" w:lastColumn="0" w:noHBand="0" w:noVBand="0"/>
    </w:tblPr>
    <w:tblGrid>
      <w:gridCol w:w="8364"/>
    </w:tblGrid>
    <w:tr w:rsidR="006944D5" w:rsidRPr="005F67D0" w:rsidTr="005F67D0">
      <w:tc>
        <w:tcPr>
          <w:tcW w:w="8364" w:type="dxa"/>
        </w:tcPr>
        <w:p w:rsidR="00E96678" w:rsidRDefault="00E96678" w:rsidP="00E96678">
          <w:pPr>
            <w:pStyle w:val="Header"/>
            <w:bidi w:val="0"/>
            <w:spacing w:line="240" w:lineRule="auto"/>
            <w:jc w:val="center"/>
            <w:rPr>
              <w:rFonts w:cs="David"/>
              <w:b/>
              <w:bCs/>
              <w:sz w:val="22"/>
            </w:rPr>
          </w:pPr>
          <w:r>
            <w:rPr>
              <w:rFonts w:cs="David"/>
              <w:b/>
              <w:bCs/>
              <w:sz w:val="22"/>
            </w:rPr>
            <w:t>Office of the Deputy Attorney General (International Law)</w:t>
          </w:r>
        </w:p>
        <w:p w:rsidR="006944D5" w:rsidRPr="005F67D0" w:rsidRDefault="006944D5" w:rsidP="00E96678">
          <w:pPr>
            <w:tabs>
              <w:tab w:val="center" w:pos="4153"/>
              <w:tab w:val="right" w:pos="8306"/>
            </w:tabs>
            <w:bidi w:val="0"/>
            <w:spacing w:line="240" w:lineRule="auto"/>
            <w:jc w:val="center"/>
            <w:rPr>
              <w:spacing w:val="60"/>
              <w:rtl/>
            </w:rPr>
          </w:pPr>
        </w:p>
      </w:tc>
    </w:tr>
  </w:tbl>
  <w:p w:rsidR="006944D5" w:rsidRPr="005F67D0" w:rsidRDefault="006944D5" w:rsidP="005F67D0">
    <w:pPr>
      <w:pStyle w:val="Header"/>
      <w:spacing w:line="240" w:lineRule="auto"/>
      <w:rPr>
        <w:rFonts w:hint="cs"/>
        <w:b/>
        <w:bCs/>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734"/>
    <w:multiLevelType w:val="singleLevel"/>
    <w:tmpl w:val="3738AA6A"/>
    <w:lvl w:ilvl="0">
      <w:start w:val="1"/>
      <w:numFmt w:val="decimal"/>
      <w:lvlText w:val="%1."/>
      <w:lvlJc w:val="left"/>
      <w:pPr>
        <w:tabs>
          <w:tab w:val="num" w:pos="360"/>
        </w:tabs>
        <w:ind w:left="360" w:right="360" w:hanging="360"/>
      </w:pPr>
      <w:rPr>
        <w:rFonts w:hint="default"/>
      </w:rPr>
    </w:lvl>
  </w:abstractNum>
  <w:abstractNum w:abstractNumId="1" w15:restartNumberingAfterBreak="0">
    <w:nsid w:val="0FC83161"/>
    <w:multiLevelType w:val="multilevel"/>
    <w:tmpl w:val="0409001F"/>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47806EC"/>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3" w15:restartNumberingAfterBreak="0">
    <w:nsid w:val="1C325BD5"/>
    <w:multiLevelType w:val="singleLevel"/>
    <w:tmpl w:val="7E3A05CC"/>
    <w:lvl w:ilvl="0">
      <w:numFmt w:val="chosung"/>
      <w:lvlText w:val="-"/>
      <w:lvlJc w:val="left"/>
      <w:pPr>
        <w:tabs>
          <w:tab w:val="num" w:pos="360"/>
        </w:tabs>
        <w:ind w:left="360" w:right="360" w:hanging="360"/>
      </w:pPr>
      <w:rPr>
        <w:rFonts w:cs="Times New Roman" w:hint="default"/>
      </w:rPr>
    </w:lvl>
  </w:abstractNum>
  <w:abstractNum w:abstractNumId="4" w15:restartNumberingAfterBreak="0">
    <w:nsid w:val="1F967D44"/>
    <w:multiLevelType w:val="hybridMultilevel"/>
    <w:tmpl w:val="D9DEB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E22AB"/>
    <w:multiLevelType w:val="singleLevel"/>
    <w:tmpl w:val="7E3A05CC"/>
    <w:lvl w:ilvl="0">
      <w:numFmt w:val="chosung"/>
      <w:lvlText w:val="-"/>
      <w:lvlJc w:val="left"/>
      <w:pPr>
        <w:tabs>
          <w:tab w:val="num" w:pos="360"/>
        </w:tabs>
        <w:ind w:left="360" w:right="360" w:hanging="360"/>
      </w:pPr>
      <w:rPr>
        <w:rFonts w:cs="Times New Roman" w:hint="default"/>
      </w:rPr>
    </w:lvl>
  </w:abstractNum>
  <w:abstractNum w:abstractNumId="6" w15:restartNumberingAfterBreak="0">
    <w:nsid w:val="45271FA1"/>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7" w15:restartNumberingAfterBreak="0">
    <w:nsid w:val="4C1C0F1F"/>
    <w:multiLevelType w:val="singleLevel"/>
    <w:tmpl w:val="8DA0C96A"/>
    <w:lvl w:ilvl="0">
      <w:numFmt w:val="chosung"/>
      <w:lvlText w:val="-"/>
      <w:lvlJc w:val="left"/>
      <w:pPr>
        <w:tabs>
          <w:tab w:val="num" w:pos="360"/>
        </w:tabs>
        <w:ind w:left="360" w:right="360" w:hanging="360"/>
      </w:pPr>
      <w:rPr>
        <w:rFonts w:cs="Times New Roman" w:hint="default"/>
        <w:sz w:val="24"/>
      </w:rPr>
    </w:lvl>
  </w:abstractNum>
  <w:abstractNum w:abstractNumId="8" w15:restartNumberingAfterBreak="0">
    <w:nsid w:val="53633C8C"/>
    <w:multiLevelType w:val="hybridMultilevel"/>
    <w:tmpl w:val="9642DEB6"/>
    <w:lvl w:ilvl="0" w:tplc="86A6278C">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02C3D"/>
    <w:multiLevelType w:val="singleLevel"/>
    <w:tmpl w:val="130E4B00"/>
    <w:lvl w:ilvl="0">
      <w:start w:val="1"/>
      <w:numFmt w:val="decimal"/>
      <w:lvlText w:val="%1."/>
      <w:lvlJc w:val="left"/>
      <w:pPr>
        <w:tabs>
          <w:tab w:val="num" w:pos="360"/>
        </w:tabs>
        <w:ind w:left="360" w:right="360" w:hanging="360"/>
      </w:pPr>
      <w:rPr>
        <w:rFonts w:hint="default"/>
        <w:sz w:val="24"/>
      </w:rPr>
    </w:lvl>
  </w:abstractNum>
  <w:abstractNum w:abstractNumId="10" w15:restartNumberingAfterBreak="0">
    <w:nsid w:val="62DE2856"/>
    <w:multiLevelType w:val="hybridMultilevel"/>
    <w:tmpl w:val="1CA0A314"/>
    <w:lvl w:ilvl="0" w:tplc="A87AECC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A64E3"/>
    <w:multiLevelType w:val="hybridMultilevel"/>
    <w:tmpl w:val="61F8EE86"/>
    <w:lvl w:ilvl="0" w:tplc="708E5C90">
      <w:start w:val="1"/>
      <w:numFmt w:val="decimal"/>
      <w:lvlText w:val="%1."/>
      <w:lvlJc w:val="left"/>
      <w:pPr>
        <w:ind w:left="720" w:hanging="360"/>
      </w:pPr>
    </w:lvl>
    <w:lvl w:ilvl="1" w:tplc="922E643A">
      <w:start w:val="1"/>
      <w:numFmt w:val="bullet"/>
      <w:lvlText w:val="o"/>
      <w:lvlJc w:val="left"/>
      <w:pPr>
        <w:ind w:left="1440" w:hanging="360"/>
      </w:pPr>
      <w:rPr>
        <w:rFonts w:ascii="Courier New" w:hAnsi="Courier New" w:cs="Courier New" w:hint="default"/>
      </w:rPr>
    </w:lvl>
    <w:lvl w:ilvl="2" w:tplc="6316B74E">
      <w:start w:val="1"/>
      <w:numFmt w:val="bullet"/>
      <w:lvlText w:val=""/>
      <w:lvlJc w:val="left"/>
      <w:pPr>
        <w:ind w:left="2160" w:hanging="360"/>
      </w:pPr>
      <w:rPr>
        <w:rFonts w:ascii="Wingdings" w:hAnsi="Wingdings" w:hint="default"/>
      </w:rPr>
    </w:lvl>
    <w:lvl w:ilvl="3" w:tplc="994EC88E">
      <w:start w:val="1"/>
      <w:numFmt w:val="bullet"/>
      <w:lvlText w:val=""/>
      <w:lvlJc w:val="left"/>
      <w:pPr>
        <w:ind w:left="2880" w:hanging="360"/>
      </w:pPr>
      <w:rPr>
        <w:rFonts w:ascii="Symbol" w:hAnsi="Symbol" w:hint="default"/>
      </w:rPr>
    </w:lvl>
    <w:lvl w:ilvl="4" w:tplc="A5122254">
      <w:start w:val="1"/>
      <w:numFmt w:val="bullet"/>
      <w:lvlText w:val="o"/>
      <w:lvlJc w:val="left"/>
      <w:pPr>
        <w:ind w:left="3600" w:hanging="360"/>
      </w:pPr>
      <w:rPr>
        <w:rFonts w:ascii="Courier New" w:hAnsi="Courier New" w:cs="Courier New" w:hint="default"/>
      </w:rPr>
    </w:lvl>
    <w:lvl w:ilvl="5" w:tplc="60145B28">
      <w:start w:val="1"/>
      <w:numFmt w:val="bullet"/>
      <w:lvlText w:val=""/>
      <w:lvlJc w:val="left"/>
      <w:pPr>
        <w:ind w:left="4320" w:hanging="360"/>
      </w:pPr>
      <w:rPr>
        <w:rFonts w:ascii="Wingdings" w:hAnsi="Wingdings" w:hint="default"/>
      </w:rPr>
    </w:lvl>
    <w:lvl w:ilvl="6" w:tplc="A166573E">
      <w:start w:val="1"/>
      <w:numFmt w:val="bullet"/>
      <w:lvlText w:val=""/>
      <w:lvlJc w:val="left"/>
      <w:pPr>
        <w:ind w:left="5040" w:hanging="360"/>
      </w:pPr>
      <w:rPr>
        <w:rFonts w:ascii="Symbol" w:hAnsi="Symbol" w:hint="default"/>
      </w:rPr>
    </w:lvl>
    <w:lvl w:ilvl="7" w:tplc="58760C24">
      <w:start w:val="1"/>
      <w:numFmt w:val="bullet"/>
      <w:lvlText w:val="o"/>
      <w:lvlJc w:val="left"/>
      <w:pPr>
        <w:ind w:left="5760" w:hanging="360"/>
      </w:pPr>
      <w:rPr>
        <w:rFonts w:ascii="Courier New" w:hAnsi="Courier New" w:cs="Courier New" w:hint="default"/>
      </w:rPr>
    </w:lvl>
    <w:lvl w:ilvl="8" w:tplc="254C3246">
      <w:start w:val="1"/>
      <w:numFmt w:val="bullet"/>
      <w:lvlText w:val=""/>
      <w:lvlJc w:val="left"/>
      <w:pPr>
        <w:ind w:left="6480" w:hanging="360"/>
      </w:pPr>
      <w:rPr>
        <w:rFonts w:ascii="Wingdings" w:hAnsi="Wingdings" w:hint="default"/>
      </w:rPr>
    </w:lvl>
  </w:abstractNum>
  <w:abstractNum w:abstractNumId="12" w15:restartNumberingAfterBreak="0">
    <w:nsid w:val="734316EC"/>
    <w:multiLevelType w:val="hybridMultilevel"/>
    <w:tmpl w:val="375C39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983AEA"/>
    <w:multiLevelType w:val="hybridMultilevel"/>
    <w:tmpl w:val="D7CC4618"/>
    <w:lvl w:ilvl="0" w:tplc="002613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0"/>
  </w:num>
  <w:num w:numId="4">
    <w:abstractNumId w:val="2"/>
  </w:num>
  <w:num w:numId="5">
    <w:abstractNumId w:val="6"/>
  </w:num>
  <w:num w:numId="6">
    <w:abstractNumId w:val="3"/>
  </w:num>
  <w:num w:numId="7">
    <w:abstractNumId w:val="7"/>
  </w:num>
  <w:num w:numId="8">
    <w:abstractNumId w:val="13"/>
  </w:num>
  <w:num w:numId="9">
    <w:abstractNumId w:val="1"/>
  </w:num>
  <w:num w:numId="10">
    <w:abstractNumId w:val="12"/>
  </w:num>
  <w:num w:numId="11">
    <w:abstractNumId w:val="10"/>
  </w:num>
  <w:num w:numId="12">
    <w:abstractNumId w:va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BA"/>
    <w:rsid w:val="00005D53"/>
    <w:rsid w:val="00006BEF"/>
    <w:rsid w:val="00017F8B"/>
    <w:rsid w:val="00021F73"/>
    <w:rsid w:val="00044179"/>
    <w:rsid w:val="00044DAB"/>
    <w:rsid w:val="000475F7"/>
    <w:rsid w:val="00052B11"/>
    <w:rsid w:val="00055031"/>
    <w:rsid w:val="00056B86"/>
    <w:rsid w:val="00072394"/>
    <w:rsid w:val="00073C0D"/>
    <w:rsid w:val="000750F9"/>
    <w:rsid w:val="00087099"/>
    <w:rsid w:val="00091191"/>
    <w:rsid w:val="00092537"/>
    <w:rsid w:val="00096BEA"/>
    <w:rsid w:val="000A6723"/>
    <w:rsid w:val="000A6C4D"/>
    <w:rsid w:val="000B070D"/>
    <w:rsid w:val="000B2C21"/>
    <w:rsid w:val="000C2D9B"/>
    <w:rsid w:val="000C45F7"/>
    <w:rsid w:val="000D18AC"/>
    <w:rsid w:val="000E6070"/>
    <w:rsid w:val="0010385F"/>
    <w:rsid w:val="00103977"/>
    <w:rsid w:val="001052F3"/>
    <w:rsid w:val="0011518C"/>
    <w:rsid w:val="001231A5"/>
    <w:rsid w:val="0014017D"/>
    <w:rsid w:val="001451F2"/>
    <w:rsid w:val="00164C8C"/>
    <w:rsid w:val="0016622F"/>
    <w:rsid w:val="0018164A"/>
    <w:rsid w:val="00190FE9"/>
    <w:rsid w:val="0019400D"/>
    <w:rsid w:val="001A00E2"/>
    <w:rsid w:val="001A7F71"/>
    <w:rsid w:val="001B291B"/>
    <w:rsid w:val="001B6518"/>
    <w:rsid w:val="001B7AD6"/>
    <w:rsid w:val="001C355D"/>
    <w:rsid w:val="001C5C5A"/>
    <w:rsid w:val="001E32C8"/>
    <w:rsid w:val="001E50A6"/>
    <w:rsid w:val="001F66C9"/>
    <w:rsid w:val="002031E0"/>
    <w:rsid w:val="00203B61"/>
    <w:rsid w:val="002301B7"/>
    <w:rsid w:val="00232D60"/>
    <w:rsid w:val="0023601C"/>
    <w:rsid w:val="00243168"/>
    <w:rsid w:val="00256FAC"/>
    <w:rsid w:val="002616FE"/>
    <w:rsid w:val="002657B8"/>
    <w:rsid w:val="00265A51"/>
    <w:rsid w:val="00271B47"/>
    <w:rsid w:val="00274249"/>
    <w:rsid w:val="00274684"/>
    <w:rsid w:val="002752CF"/>
    <w:rsid w:val="00277276"/>
    <w:rsid w:val="00280FA8"/>
    <w:rsid w:val="00286E64"/>
    <w:rsid w:val="00287B99"/>
    <w:rsid w:val="00296D50"/>
    <w:rsid w:val="002A3762"/>
    <w:rsid w:val="002B6FB0"/>
    <w:rsid w:val="002D34D6"/>
    <w:rsid w:val="002D7F5D"/>
    <w:rsid w:val="002F6BA5"/>
    <w:rsid w:val="003068A9"/>
    <w:rsid w:val="0030714A"/>
    <w:rsid w:val="00342F0A"/>
    <w:rsid w:val="0034521D"/>
    <w:rsid w:val="00350FBA"/>
    <w:rsid w:val="0036111A"/>
    <w:rsid w:val="00363F05"/>
    <w:rsid w:val="00367111"/>
    <w:rsid w:val="00381348"/>
    <w:rsid w:val="00383D8F"/>
    <w:rsid w:val="0038551B"/>
    <w:rsid w:val="003875E4"/>
    <w:rsid w:val="00391D56"/>
    <w:rsid w:val="003949B0"/>
    <w:rsid w:val="00394E85"/>
    <w:rsid w:val="003A63E0"/>
    <w:rsid w:val="003B48D6"/>
    <w:rsid w:val="003B62C2"/>
    <w:rsid w:val="003F315D"/>
    <w:rsid w:val="0040111A"/>
    <w:rsid w:val="00401DC1"/>
    <w:rsid w:val="0041682A"/>
    <w:rsid w:val="00423447"/>
    <w:rsid w:val="00423F18"/>
    <w:rsid w:val="0042486F"/>
    <w:rsid w:val="00434284"/>
    <w:rsid w:val="004456FF"/>
    <w:rsid w:val="0045713F"/>
    <w:rsid w:val="00466065"/>
    <w:rsid w:val="0046622B"/>
    <w:rsid w:val="00473175"/>
    <w:rsid w:val="0047787C"/>
    <w:rsid w:val="004814BA"/>
    <w:rsid w:val="004847FF"/>
    <w:rsid w:val="00484CF9"/>
    <w:rsid w:val="004925D5"/>
    <w:rsid w:val="00497A8D"/>
    <w:rsid w:val="004A3633"/>
    <w:rsid w:val="004A482E"/>
    <w:rsid w:val="004B18D4"/>
    <w:rsid w:val="004B232D"/>
    <w:rsid w:val="004C2C80"/>
    <w:rsid w:val="004E3582"/>
    <w:rsid w:val="005003A1"/>
    <w:rsid w:val="005020C8"/>
    <w:rsid w:val="0050627F"/>
    <w:rsid w:val="005230E2"/>
    <w:rsid w:val="00526578"/>
    <w:rsid w:val="00526B97"/>
    <w:rsid w:val="005312AC"/>
    <w:rsid w:val="005324C7"/>
    <w:rsid w:val="005415FE"/>
    <w:rsid w:val="00541AE1"/>
    <w:rsid w:val="00550C4B"/>
    <w:rsid w:val="0055622D"/>
    <w:rsid w:val="0056021C"/>
    <w:rsid w:val="0056049D"/>
    <w:rsid w:val="00563B5F"/>
    <w:rsid w:val="005646CC"/>
    <w:rsid w:val="00577AB8"/>
    <w:rsid w:val="00586C2A"/>
    <w:rsid w:val="00587987"/>
    <w:rsid w:val="005B6B69"/>
    <w:rsid w:val="005C55BB"/>
    <w:rsid w:val="005D1ACE"/>
    <w:rsid w:val="005D3653"/>
    <w:rsid w:val="005E35D8"/>
    <w:rsid w:val="005E3E7E"/>
    <w:rsid w:val="005E5D59"/>
    <w:rsid w:val="005F67D0"/>
    <w:rsid w:val="00604DEB"/>
    <w:rsid w:val="006058FC"/>
    <w:rsid w:val="00607F1C"/>
    <w:rsid w:val="00617AEA"/>
    <w:rsid w:val="00621343"/>
    <w:rsid w:val="0062313F"/>
    <w:rsid w:val="00623C5D"/>
    <w:rsid w:val="0064135C"/>
    <w:rsid w:val="00645282"/>
    <w:rsid w:val="0064652F"/>
    <w:rsid w:val="00646BCB"/>
    <w:rsid w:val="00653AE9"/>
    <w:rsid w:val="00654427"/>
    <w:rsid w:val="0065566C"/>
    <w:rsid w:val="00662325"/>
    <w:rsid w:val="00666B61"/>
    <w:rsid w:val="0066706C"/>
    <w:rsid w:val="006677B2"/>
    <w:rsid w:val="00670455"/>
    <w:rsid w:val="00672E81"/>
    <w:rsid w:val="006744BA"/>
    <w:rsid w:val="006810BA"/>
    <w:rsid w:val="00683F56"/>
    <w:rsid w:val="00685173"/>
    <w:rsid w:val="006856AB"/>
    <w:rsid w:val="00687A4C"/>
    <w:rsid w:val="00691F8D"/>
    <w:rsid w:val="006944D5"/>
    <w:rsid w:val="006A1CF5"/>
    <w:rsid w:val="006A2A9F"/>
    <w:rsid w:val="006A55F2"/>
    <w:rsid w:val="006B0AF5"/>
    <w:rsid w:val="006B2ECD"/>
    <w:rsid w:val="006C09A4"/>
    <w:rsid w:val="006C18A7"/>
    <w:rsid w:val="006C559E"/>
    <w:rsid w:val="006D30E3"/>
    <w:rsid w:val="006D3C2E"/>
    <w:rsid w:val="006E42A7"/>
    <w:rsid w:val="006F0C5B"/>
    <w:rsid w:val="006F4846"/>
    <w:rsid w:val="006F6FCF"/>
    <w:rsid w:val="00704BB2"/>
    <w:rsid w:val="00705DA6"/>
    <w:rsid w:val="00705DBD"/>
    <w:rsid w:val="00721E30"/>
    <w:rsid w:val="00722097"/>
    <w:rsid w:val="00723117"/>
    <w:rsid w:val="00737CF8"/>
    <w:rsid w:val="00743A72"/>
    <w:rsid w:val="00747C83"/>
    <w:rsid w:val="007551BA"/>
    <w:rsid w:val="00755D18"/>
    <w:rsid w:val="0076101B"/>
    <w:rsid w:val="00777F95"/>
    <w:rsid w:val="00790A8F"/>
    <w:rsid w:val="00795583"/>
    <w:rsid w:val="007A6351"/>
    <w:rsid w:val="007A71F6"/>
    <w:rsid w:val="007B3F1C"/>
    <w:rsid w:val="007C0532"/>
    <w:rsid w:val="007D39DE"/>
    <w:rsid w:val="007D5C3F"/>
    <w:rsid w:val="007D61AB"/>
    <w:rsid w:val="007E42CF"/>
    <w:rsid w:val="007F5593"/>
    <w:rsid w:val="007F6FF0"/>
    <w:rsid w:val="00802D4F"/>
    <w:rsid w:val="008372AF"/>
    <w:rsid w:val="008446F3"/>
    <w:rsid w:val="00846E48"/>
    <w:rsid w:val="008520CC"/>
    <w:rsid w:val="00852283"/>
    <w:rsid w:val="0085598D"/>
    <w:rsid w:val="00857142"/>
    <w:rsid w:val="008611B7"/>
    <w:rsid w:val="00864BF1"/>
    <w:rsid w:val="0086584F"/>
    <w:rsid w:val="008721B2"/>
    <w:rsid w:val="00874973"/>
    <w:rsid w:val="008862E5"/>
    <w:rsid w:val="00891C57"/>
    <w:rsid w:val="00891D16"/>
    <w:rsid w:val="0089439D"/>
    <w:rsid w:val="008A48D3"/>
    <w:rsid w:val="008A6500"/>
    <w:rsid w:val="008B4305"/>
    <w:rsid w:val="008B6C84"/>
    <w:rsid w:val="008B6EF4"/>
    <w:rsid w:val="008C10D4"/>
    <w:rsid w:val="008C7ABC"/>
    <w:rsid w:val="008D3836"/>
    <w:rsid w:val="008D3CD2"/>
    <w:rsid w:val="008D4128"/>
    <w:rsid w:val="008E5CAF"/>
    <w:rsid w:val="008F6FCD"/>
    <w:rsid w:val="00901728"/>
    <w:rsid w:val="00924F51"/>
    <w:rsid w:val="009336B4"/>
    <w:rsid w:val="00935F5E"/>
    <w:rsid w:val="0095113F"/>
    <w:rsid w:val="0095263B"/>
    <w:rsid w:val="0095671F"/>
    <w:rsid w:val="0096500F"/>
    <w:rsid w:val="00974A42"/>
    <w:rsid w:val="00976DD9"/>
    <w:rsid w:val="009816D1"/>
    <w:rsid w:val="00991AA3"/>
    <w:rsid w:val="00996D47"/>
    <w:rsid w:val="00997956"/>
    <w:rsid w:val="009B158A"/>
    <w:rsid w:val="009B5F62"/>
    <w:rsid w:val="009C5B1B"/>
    <w:rsid w:val="009D109A"/>
    <w:rsid w:val="009D113F"/>
    <w:rsid w:val="009D6651"/>
    <w:rsid w:val="009E5D68"/>
    <w:rsid w:val="009F0335"/>
    <w:rsid w:val="009F1841"/>
    <w:rsid w:val="009F2BDC"/>
    <w:rsid w:val="009F2C84"/>
    <w:rsid w:val="009F2FE5"/>
    <w:rsid w:val="009F478D"/>
    <w:rsid w:val="00A07715"/>
    <w:rsid w:val="00A13EBB"/>
    <w:rsid w:val="00A1420C"/>
    <w:rsid w:val="00A1655E"/>
    <w:rsid w:val="00A1715A"/>
    <w:rsid w:val="00A20AC0"/>
    <w:rsid w:val="00A24F51"/>
    <w:rsid w:val="00A251FB"/>
    <w:rsid w:val="00A30030"/>
    <w:rsid w:val="00A3088E"/>
    <w:rsid w:val="00A31F37"/>
    <w:rsid w:val="00A33B30"/>
    <w:rsid w:val="00A4330A"/>
    <w:rsid w:val="00A511EF"/>
    <w:rsid w:val="00A60172"/>
    <w:rsid w:val="00A6722F"/>
    <w:rsid w:val="00A74148"/>
    <w:rsid w:val="00A771F2"/>
    <w:rsid w:val="00A816EC"/>
    <w:rsid w:val="00AA2639"/>
    <w:rsid w:val="00AA766E"/>
    <w:rsid w:val="00AD12E9"/>
    <w:rsid w:val="00AD233B"/>
    <w:rsid w:val="00AD2482"/>
    <w:rsid w:val="00AD37DB"/>
    <w:rsid w:val="00AE22A7"/>
    <w:rsid w:val="00AF2467"/>
    <w:rsid w:val="00AF2E4D"/>
    <w:rsid w:val="00B02D6E"/>
    <w:rsid w:val="00B04F5B"/>
    <w:rsid w:val="00B07B0B"/>
    <w:rsid w:val="00B11003"/>
    <w:rsid w:val="00B172E3"/>
    <w:rsid w:val="00B17C6A"/>
    <w:rsid w:val="00B20B35"/>
    <w:rsid w:val="00B50162"/>
    <w:rsid w:val="00B53560"/>
    <w:rsid w:val="00B62767"/>
    <w:rsid w:val="00B636C7"/>
    <w:rsid w:val="00B6382E"/>
    <w:rsid w:val="00B7008B"/>
    <w:rsid w:val="00B77220"/>
    <w:rsid w:val="00B772B5"/>
    <w:rsid w:val="00B83BC3"/>
    <w:rsid w:val="00B94EF0"/>
    <w:rsid w:val="00B96689"/>
    <w:rsid w:val="00BA6E89"/>
    <w:rsid w:val="00BB1965"/>
    <w:rsid w:val="00BB5854"/>
    <w:rsid w:val="00BC5239"/>
    <w:rsid w:val="00BC5BCD"/>
    <w:rsid w:val="00BE1B1F"/>
    <w:rsid w:val="00BE3527"/>
    <w:rsid w:val="00BE6B7F"/>
    <w:rsid w:val="00C04094"/>
    <w:rsid w:val="00C1033B"/>
    <w:rsid w:val="00C125CC"/>
    <w:rsid w:val="00C13F0F"/>
    <w:rsid w:val="00C2275B"/>
    <w:rsid w:val="00C45605"/>
    <w:rsid w:val="00C45F2E"/>
    <w:rsid w:val="00C53892"/>
    <w:rsid w:val="00C61F61"/>
    <w:rsid w:val="00C63C00"/>
    <w:rsid w:val="00C724E5"/>
    <w:rsid w:val="00C73009"/>
    <w:rsid w:val="00C75570"/>
    <w:rsid w:val="00C935CF"/>
    <w:rsid w:val="00CA6398"/>
    <w:rsid w:val="00CA7D86"/>
    <w:rsid w:val="00CB342B"/>
    <w:rsid w:val="00CB3BD4"/>
    <w:rsid w:val="00CB4DF1"/>
    <w:rsid w:val="00CB5B0C"/>
    <w:rsid w:val="00CB5C21"/>
    <w:rsid w:val="00CC3703"/>
    <w:rsid w:val="00CC3D93"/>
    <w:rsid w:val="00CD119F"/>
    <w:rsid w:val="00CD4D71"/>
    <w:rsid w:val="00CE15F7"/>
    <w:rsid w:val="00CE63BF"/>
    <w:rsid w:val="00CE6550"/>
    <w:rsid w:val="00CF1155"/>
    <w:rsid w:val="00CF240C"/>
    <w:rsid w:val="00CF2CAA"/>
    <w:rsid w:val="00CF725A"/>
    <w:rsid w:val="00CF7831"/>
    <w:rsid w:val="00D01D17"/>
    <w:rsid w:val="00D36559"/>
    <w:rsid w:val="00D4452D"/>
    <w:rsid w:val="00D45A72"/>
    <w:rsid w:val="00D517B3"/>
    <w:rsid w:val="00D54DAC"/>
    <w:rsid w:val="00D619CB"/>
    <w:rsid w:val="00D61CED"/>
    <w:rsid w:val="00D62B72"/>
    <w:rsid w:val="00D649D2"/>
    <w:rsid w:val="00D728C2"/>
    <w:rsid w:val="00D74C19"/>
    <w:rsid w:val="00D75BD8"/>
    <w:rsid w:val="00D766EE"/>
    <w:rsid w:val="00D80BE7"/>
    <w:rsid w:val="00D81859"/>
    <w:rsid w:val="00D87B8D"/>
    <w:rsid w:val="00DA40BC"/>
    <w:rsid w:val="00DB048A"/>
    <w:rsid w:val="00DB0C8F"/>
    <w:rsid w:val="00DB7578"/>
    <w:rsid w:val="00DC7193"/>
    <w:rsid w:val="00DD2D2E"/>
    <w:rsid w:val="00DD7D84"/>
    <w:rsid w:val="00DE2AE9"/>
    <w:rsid w:val="00DE2CC9"/>
    <w:rsid w:val="00DE6703"/>
    <w:rsid w:val="00E00723"/>
    <w:rsid w:val="00E22A5A"/>
    <w:rsid w:val="00E26D4C"/>
    <w:rsid w:val="00E30426"/>
    <w:rsid w:val="00E345EF"/>
    <w:rsid w:val="00E406DC"/>
    <w:rsid w:val="00E412DD"/>
    <w:rsid w:val="00E60D7F"/>
    <w:rsid w:val="00E7291C"/>
    <w:rsid w:val="00E76752"/>
    <w:rsid w:val="00E827BF"/>
    <w:rsid w:val="00E96678"/>
    <w:rsid w:val="00E97A70"/>
    <w:rsid w:val="00EA254A"/>
    <w:rsid w:val="00EA3FC6"/>
    <w:rsid w:val="00EA4CDA"/>
    <w:rsid w:val="00EA5E5E"/>
    <w:rsid w:val="00EA6D87"/>
    <w:rsid w:val="00EB2667"/>
    <w:rsid w:val="00EB6F8E"/>
    <w:rsid w:val="00EB7ED9"/>
    <w:rsid w:val="00ED55C4"/>
    <w:rsid w:val="00ED620C"/>
    <w:rsid w:val="00EE5ECC"/>
    <w:rsid w:val="00EE6AC4"/>
    <w:rsid w:val="00F02A9A"/>
    <w:rsid w:val="00F03791"/>
    <w:rsid w:val="00F11E9D"/>
    <w:rsid w:val="00F14C33"/>
    <w:rsid w:val="00F167CD"/>
    <w:rsid w:val="00F23E32"/>
    <w:rsid w:val="00F26BFD"/>
    <w:rsid w:val="00F409EE"/>
    <w:rsid w:val="00F5164B"/>
    <w:rsid w:val="00F60924"/>
    <w:rsid w:val="00F63FD3"/>
    <w:rsid w:val="00F7065A"/>
    <w:rsid w:val="00F778F2"/>
    <w:rsid w:val="00F84233"/>
    <w:rsid w:val="00F909D5"/>
    <w:rsid w:val="00F922A1"/>
    <w:rsid w:val="00F92815"/>
    <w:rsid w:val="00F94A65"/>
    <w:rsid w:val="00FC0CE7"/>
    <w:rsid w:val="00FD0202"/>
    <w:rsid w:val="00FE3BDE"/>
    <w:rsid w:val="00FE5DD7"/>
    <w:rsid w:val="00FE7FAA"/>
    <w:rsid w:val="00FF74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BF06D"/>
  <w15:chartTrackingRefBased/>
  <w15:docId w15:val="{E52D4BC7-BF35-4572-9757-B0CC7AB5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line="360" w:lineRule="auto"/>
      <w:jc w:val="both"/>
    </w:pPr>
    <w:rPr>
      <w:rFonts w:cs="Narkisim"/>
      <w:sz w:val="24"/>
      <w:szCs w:val="24"/>
      <w:lang w:eastAsia="he-IL"/>
    </w:rPr>
  </w:style>
  <w:style w:type="paragraph" w:styleId="Heading1">
    <w:name w:val="heading 1"/>
    <w:basedOn w:val="Normal"/>
    <w:next w:val="Normal"/>
    <w:qFormat/>
    <w:pPr>
      <w:keepNext/>
      <w:outlineLvl w:val="0"/>
    </w:pPr>
    <w:rPr>
      <w:rFonts w:cs="David"/>
      <w:u w:val="single"/>
    </w:rPr>
  </w:style>
  <w:style w:type="paragraph" w:styleId="Heading2">
    <w:name w:val="heading 2"/>
    <w:basedOn w:val="Normal"/>
    <w:next w:val="Normal"/>
    <w:qFormat/>
    <w:pPr>
      <w:keepNext/>
      <w:outlineLvl w:val="1"/>
    </w:pPr>
    <w:rPr>
      <w:rFonts w:cs="David"/>
      <w:u w:val="single"/>
    </w:rPr>
  </w:style>
  <w:style w:type="paragraph" w:styleId="Heading3">
    <w:name w:val="heading 3"/>
    <w:basedOn w:val="Normal"/>
    <w:next w:val="Normal"/>
    <w:qFormat/>
    <w:pPr>
      <w:keepNext/>
      <w:outlineLvl w:val="2"/>
    </w:pPr>
    <w:rPr>
      <w:rFonts w:cs="David"/>
      <w:b/>
      <w:bCs/>
    </w:rPr>
  </w:style>
  <w:style w:type="paragraph" w:styleId="Heading4">
    <w:name w:val="heading 4"/>
    <w:basedOn w:val="Normal"/>
    <w:next w:val="Normal"/>
    <w:qFormat/>
    <w:pPr>
      <w:keepNext/>
      <w:outlineLvl w:val="3"/>
    </w:pPr>
    <w:rPr>
      <w:rFonts w:cs="David"/>
      <w:b/>
      <w:bCs/>
    </w:rPr>
  </w:style>
  <w:style w:type="paragraph" w:styleId="Heading5">
    <w:name w:val="heading 5"/>
    <w:basedOn w:val="Normal"/>
    <w:next w:val="Normal"/>
    <w:qFormat/>
    <w:pPr>
      <w:keepNext/>
      <w:ind w:left="90"/>
      <w:outlineLvl w:val="4"/>
    </w:pPr>
  </w:style>
  <w:style w:type="paragraph" w:styleId="Heading6">
    <w:name w:val="heading 6"/>
    <w:basedOn w:val="Normal"/>
    <w:next w:val="Normal"/>
    <w:qFormat/>
    <w:pPr>
      <w:keepNext/>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rFonts w:cs="David"/>
    </w:rPr>
  </w:style>
  <w:style w:type="character" w:styleId="FootnoteReference">
    <w:name w:val="footnote reference"/>
    <w:semiHidden/>
    <w:rPr>
      <w:vertAlign w:val="superscript"/>
    </w:rPr>
  </w:style>
  <w:style w:type="paragraph" w:styleId="BodyText2">
    <w:name w:val="Body Text 2"/>
    <w:basedOn w:val="Normal"/>
    <w:rsid w:val="009E5D68"/>
    <w:pPr>
      <w:bidi w:val="0"/>
      <w:spacing w:line="480" w:lineRule="auto"/>
    </w:pPr>
    <w:rPr>
      <w:rFonts w:cs="Miriam"/>
      <w:szCs w:val="20"/>
      <w:lang w:val="en-GB" w:eastAsia="en-US" w:bidi="ar-SA"/>
    </w:rPr>
  </w:style>
  <w:style w:type="paragraph" w:styleId="BlockText">
    <w:name w:val="Block Text"/>
    <w:basedOn w:val="Normal"/>
    <w:rsid w:val="009E5D68"/>
    <w:pPr>
      <w:bidi w:val="0"/>
      <w:spacing w:line="480" w:lineRule="auto"/>
      <w:ind w:left="720" w:right="793"/>
    </w:pPr>
    <w:rPr>
      <w:rFonts w:cs="David"/>
      <w:snapToGrid w:val="0"/>
      <w:lang w:val="en-GB" w:bidi="ar-SA"/>
    </w:rPr>
  </w:style>
  <w:style w:type="paragraph" w:styleId="NormalWeb">
    <w:name w:val="Normal (Web)"/>
    <w:basedOn w:val="Normal"/>
    <w:rsid w:val="00EB7ED9"/>
    <w:pPr>
      <w:bidi w:val="0"/>
      <w:spacing w:before="100" w:beforeAutospacing="1" w:after="100" w:afterAutospacing="1" w:line="240" w:lineRule="auto"/>
      <w:jc w:val="left"/>
    </w:pPr>
    <w:rPr>
      <w:rFonts w:cs="Times New Roman"/>
      <w:color w:val="000000"/>
    </w:rPr>
  </w:style>
  <w:style w:type="paragraph" w:styleId="BalloonText">
    <w:name w:val="Balloon Text"/>
    <w:basedOn w:val="Normal"/>
    <w:semiHidden/>
    <w:rsid w:val="00526B97"/>
    <w:rPr>
      <w:rFonts w:ascii="Tahoma" w:hAnsi="Tahoma" w:cs="Tahoma"/>
      <w:sz w:val="16"/>
      <w:szCs w:val="16"/>
    </w:rPr>
  </w:style>
  <w:style w:type="character" w:styleId="CommentReference">
    <w:name w:val="annotation reference"/>
    <w:rsid w:val="0041682A"/>
    <w:rPr>
      <w:sz w:val="16"/>
      <w:szCs w:val="16"/>
    </w:rPr>
  </w:style>
  <w:style w:type="paragraph" w:styleId="CommentText">
    <w:name w:val="annotation text"/>
    <w:basedOn w:val="Normal"/>
    <w:link w:val="CommentTextChar"/>
    <w:rsid w:val="0041682A"/>
    <w:rPr>
      <w:sz w:val="20"/>
      <w:szCs w:val="20"/>
    </w:rPr>
  </w:style>
  <w:style w:type="character" w:customStyle="1" w:styleId="CommentTextChar">
    <w:name w:val="Comment Text Char"/>
    <w:link w:val="CommentText"/>
    <w:rsid w:val="0041682A"/>
    <w:rPr>
      <w:rFonts w:cs="Narkisim"/>
      <w:lang w:eastAsia="he-IL"/>
    </w:rPr>
  </w:style>
  <w:style w:type="paragraph" w:styleId="CommentSubject">
    <w:name w:val="annotation subject"/>
    <w:basedOn w:val="CommentText"/>
    <w:next w:val="CommentText"/>
    <w:link w:val="CommentSubjectChar"/>
    <w:rsid w:val="0041682A"/>
    <w:rPr>
      <w:b/>
      <w:bCs/>
    </w:rPr>
  </w:style>
  <w:style w:type="character" w:customStyle="1" w:styleId="CommentSubjectChar">
    <w:name w:val="Comment Subject Char"/>
    <w:link w:val="CommentSubject"/>
    <w:rsid w:val="0041682A"/>
    <w:rPr>
      <w:rFonts w:cs="Narkisim"/>
      <w:b/>
      <w:bCs/>
      <w:lang w:eastAsia="he-IL"/>
    </w:rPr>
  </w:style>
  <w:style w:type="paragraph" w:customStyle="1" w:styleId="Default">
    <w:name w:val="Default"/>
    <w:rsid w:val="00D80BE7"/>
    <w:pPr>
      <w:widowControl w:val="0"/>
      <w:autoSpaceDE w:val="0"/>
      <w:autoSpaceDN w:val="0"/>
      <w:adjustRightInd w:val="0"/>
      <w:spacing w:line="360" w:lineRule="atLeast"/>
      <w:jc w:val="both"/>
      <w:textAlignment w:val="baseline"/>
    </w:pPr>
    <w:rPr>
      <w:rFonts w:cs="Times New Roman"/>
      <w:color w:val="000000"/>
      <w:sz w:val="24"/>
      <w:szCs w:val="24"/>
    </w:rPr>
  </w:style>
  <w:style w:type="paragraph" w:customStyle="1" w:styleId="a">
    <w:name w:val="תו"/>
    <w:basedOn w:val="Normal"/>
    <w:rsid w:val="00D80BE7"/>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hAnsi="Arial" w:cs="David"/>
      <w:noProof/>
      <w:szCs w:val="28"/>
    </w:rPr>
  </w:style>
  <w:style w:type="paragraph" w:customStyle="1" w:styleId="CharChar16">
    <w:name w:val=" Char Char16"/>
    <w:basedOn w:val="Normal"/>
    <w:rsid w:val="00D01D17"/>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hAnsi="Arial" w:cs="David"/>
      <w:noProof/>
      <w:szCs w:val="28"/>
    </w:rPr>
  </w:style>
  <w:style w:type="paragraph" w:styleId="Revision">
    <w:name w:val="Revision"/>
    <w:hidden/>
    <w:uiPriority w:val="99"/>
    <w:semiHidden/>
    <w:rsid w:val="0064135C"/>
    <w:rPr>
      <w:rFonts w:cs="Narkisim"/>
      <w:sz w:val="24"/>
      <w:szCs w:val="24"/>
      <w:lang w:eastAsia="he-IL"/>
    </w:rPr>
  </w:style>
  <w:style w:type="paragraph" w:customStyle="1" w:styleId="CharChar5CharCharCharCharCharCharCharChar">
    <w:name w:val=" Char Char5 תו תו Char Char תו תו Char Char תו תו Char Char תו תו Char Char"/>
    <w:basedOn w:val="Normal"/>
    <w:rsid w:val="000A6C4D"/>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hAnsi="Arial" w:cs="David"/>
      <w:noProof/>
      <w:szCs w:val="28"/>
    </w:rPr>
  </w:style>
  <w:style w:type="character" w:customStyle="1" w:styleId="HeaderChar">
    <w:name w:val="Header Char"/>
    <w:link w:val="Header"/>
    <w:rsid w:val="00587987"/>
    <w:rPr>
      <w:rFonts w:cs="Narkisim"/>
      <w:sz w:val="24"/>
      <w:szCs w:val="24"/>
      <w:lang w:eastAsia="he-IL"/>
    </w:rPr>
  </w:style>
  <w:style w:type="character" w:customStyle="1" w:styleId="FooterChar">
    <w:name w:val="Footer Char"/>
    <w:link w:val="Footer"/>
    <w:rsid w:val="009F2C84"/>
    <w:rPr>
      <w:rFonts w:cs="Narkisim"/>
      <w:sz w:val="24"/>
      <w:szCs w:val="24"/>
      <w:lang w:eastAsia="he-IL"/>
    </w:rPr>
  </w:style>
  <w:style w:type="paragraph" w:customStyle="1" w:styleId="HeadHatzaotHok">
    <w:name w:val="Head HatzaotHok"/>
    <w:basedOn w:val="Normal"/>
    <w:link w:val="HeadHatzaotHok0"/>
    <w:rsid w:val="00BE3527"/>
    <w:pPr>
      <w:keepNext/>
      <w:keepLines/>
      <w:widowControl w:val="0"/>
      <w:autoSpaceDE w:val="0"/>
      <w:autoSpaceDN w:val="0"/>
      <w:adjustRightInd w:val="0"/>
      <w:snapToGrid w:val="0"/>
      <w:spacing w:before="240"/>
      <w:jc w:val="center"/>
      <w:textAlignment w:val="center"/>
    </w:pPr>
    <w:rPr>
      <w:rFonts w:ascii="Arial" w:eastAsia="Arial Unicode MS" w:hAnsi="Arial" w:cs="David"/>
      <w:b/>
      <w:bCs/>
      <w:color w:val="000000"/>
      <w:sz w:val="20"/>
      <w:szCs w:val="26"/>
      <w:lang w:eastAsia="ja-JP"/>
    </w:rPr>
  </w:style>
  <w:style w:type="character" w:customStyle="1" w:styleId="HeadHatzaotHok0">
    <w:name w:val="Head HatzaotHok תו"/>
    <w:link w:val="HeadHatzaotHok"/>
    <w:locked/>
    <w:rsid w:val="00BE3527"/>
    <w:rPr>
      <w:rFonts w:ascii="Arial" w:eastAsia="Arial Unicode MS" w:hAnsi="Arial" w:cs="David"/>
      <w:b/>
      <w:bCs/>
      <w:color w:val="000000"/>
      <w:szCs w:val="26"/>
      <w:lang w:eastAsia="ja-JP"/>
    </w:rPr>
  </w:style>
  <w:style w:type="character" w:styleId="Hyperlink">
    <w:name w:val="Hyperlink"/>
    <w:unhideWhenUsed/>
    <w:rsid w:val="00DD7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5359">
      <w:bodyDiv w:val="1"/>
      <w:marLeft w:val="0"/>
      <w:marRight w:val="0"/>
      <w:marTop w:val="0"/>
      <w:marBottom w:val="0"/>
      <w:divBdr>
        <w:top w:val="none" w:sz="0" w:space="0" w:color="auto"/>
        <w:left w:val="none" w:sz="0" w:space="0" w:color="auto"/>
        <w:bottom w:val="none" w:sz="0" w:space="0" w:color="auto"/>
        <w:right w:val="none" w:sz="0" w:space="0" w:color="auto"/>
      </w:divBdr>
    </w:div>
    <w:div w:id="276373589">
      <w:bodyDiv w:val="1"/>
      <w:marLeft w:val="0"/>
      <w:marRight w:val="0"/>
      <w:marTop w:val="0"/>
      <w:marBottom w:val="0"/>
      <w:divBdr>
        <w:top w:val="none" w:sz="0" w:space="0" w:color="auto"/>
        <w:left w:val="none" w:sz="0" w:space="0" w:color="auto"/>
        <w:bottom w:val="none" w:sz="0" w:space="0" w:color="auto"/>
        <w:right w:val="none" w:sz="0" w:space="0" w:color="auto"/>
      </w:divBdr>
      <w:divsChild>
        <w:div w:id="292947251">
          <w:marLeft w:val="0"/>
          <w:marRight w:val="0"/>
          <w:marTop w:val="0"/>
          <w:marBottom w:val="0"/>
          <w:divBdr>
            <w:top w:val="none" w:sz="0" w:space="0" w:color="auto"/>
            <w:left w:val="none" w:sz="0" w:space="0" w:color="auto"/>
            <w:bottom w:val="none" w:sz="0" w:space="0" w:color="auto"/>
            <w:right w:val="none" w:sz="0" w:space="0" w:color="auto"/>
          </w:divBdr>
        </w:div>
      </w:divsChild>
    </w:div>
    <w:div w:id="520317990">
      <w:bodyDiv w:val="1"/>
      <w:marLeft w:val="0"/>
      <w:marRight w:val="0"/>
      <w:marTop w:val="0"/>
      <w:marBottom w:val="0"/>
      <w:divBdr>
        <w:top w:val="none" w:sz="0" w:space="0" w:color="auto"/>
        <w:left w:val="none" w:sz="0" w:space="0" w:color="auto"/>
        <w:bottom w:val="none" w:sz="0" w:space="0" w:color="auto"/>
        <w:right w:val="none" w:sz="0" w:space="0" w:color="auto"/>
      </w:divBdr>
    </w:div>
    <w:div w:id="728919483">
      <w:bodyDiv w:val="1"/>
      <w:marLeft w:val="0"/>
      <w:marRight w:val="0"/>
      <w:marTop w:val="0"/>
      <w:marBottom w:val="0"/>
      <w:divBdr>
        <w:top w:val="none" w:sz="0" w:space="0" w:color="auto"/>
        <w:left w:val="none" w:sz="0" w:space="0" w:color="auto"/>
        <w:bottom w:val="none" w:sz="0" w:space="0" w:color="auto"/>
        <w:right w:val="none" w:sz="0" w:space="0" w:color="auto"/>
      </w:divBdr>
      <w:divsChild>
        <w:div w:id="557285042">
          <w:marLeft w:val="0"/>
          <w:marRight w:val="0"/>
          <w:marTop w:val="0"/>
          <w:marBottom w:val="0"/>
          <w:divBdr>
            <w:top w:val="none" w:sz="0" w:space="0" w:color="auto"/>
            <w:left w:val="none" w:sz="0" w:space="0" w:color="auto"/>
            <w:bottom w:val="none" w:sz="0" w:space="0" w:color="auto"/>
            <w:right w:val="none" w:sz="0" w:space="0" w:color="auto"/>
          </w:divBdr>
        </w:div>
      </w:divsChild>
    </w:div>
    <w:div w:id="1268851708">
      <w:bodyDiv w:val="1"/>
      <w:marLeft w:val="0"/>
      <w:marRight w:val="0"/>
      <w:marTop w:val="0"/>
      <w:marBottom w:val="0"/>
      <w:divBdr>
        <w:top w:val="none" w:sz="0" w:space="0" w:color="auto"/>
        <w:left w:val="none" w:sz="0" w:space="0" w:color="auto"/>
        <w:bottom w:val="none" w:sz="0" w:space="0" w:color="auto"/>
        <w:right w:val="none" w:sz="0" w:space="0" w:color="auto"/>
      </w:divBdr>
      <w:divsChild>
        <w:div w:id="1242065058">
          <w:marLeft w:val="225"/>
          <w:marRight w:val="0"/>
          <w:marTop w:val="75"/>
          <w:marBottom w:val="0"/>
          <w:divBdr>
            <w:top w:val="none" w:sz="0" w:space="0" w:color="auto"/>
            <w:left w:val="none" w:sz="0" w:space="0" w:color="auto"/>
            <w:bottom w:val="none" w:sz="0" w:space="0" w:color="auto"/>
            <w:right w:val="none" w:sz="0" w:space="0" w:color="auto"/>
          </w:divBdr>
          <w:divsChild>
            <w:div w:id="1638220533">
              <w:marLeft w:val="0"/>
              <w:marRight w:val="0"/>
              <w:marTop w:val="0"/>
              <w:marBottom w:val="0"/>
              <w:divBdr>
                <w:top w:val="none" w:sz="0" w:space="0" w:color="auto"/>
                <w:left w:val="none" w:sz="0" w:space="0" w:color="auto"/>
                <w:bottom w:val="none" w:sz="0" w:space="0" w:color="auto"/>
                <w:right w:val="none" w:sz="0" w:space="0" w:color="auto"/>
              </w:divBdr>
              <w:divsChild>
                <w:div w:id="1310599770">
                  <w:marLeft w:val="0"/>
                  <w:marRight w:val="0"/>
                  <w:marTop w:val="0"/>
                  <w:marBottom w:val="0"/>
                  <w:divBdr>
                    <w:top w:val="none" w:sz="0" w:space="0" w:color="auto"/>
                    <w:left w:val="none" w:sz="0" w:space="0" w:color="auto"/>
                    <w:bottom w:val="none" w:sz="0" w:space="0" w:color="auto"/>
                    <w:right w:val="none" w:sz="0" w:space="0" w:color="auto"/>
                  </w:divBdr>
                  <w:divsChild>
                    <w:div w:id="185677470">
                      <w:marLeft w:val="0"/>
                      <w:marRight w:val="0"/>
                      <w:marTop w:val="0"/>
                      <w:marBottom w:val="0"/>
                      <w:divBdr>
                        <w:top w:val="none" w:sz="0" w:space="0" w:color="auto"/>
                        <w:left w:val="none" w:sz="0" w:space="0" w:color="auto"/>
                        <w:bottom w:val="none" w:sz="0" w:space="0" w:color="auto"/>
                        <w:right w:val="none" w:sz="0" w:space="0" w:color="auto"/>
                      </w:divBdr>
                    </w:div>
                    <w:div w:id="710039089">
                      <w:marLeft w:val="0"/>
                      <w:marRight w:val="0"/>
                      <w:marTop w:val="0"/>
                      <w:marBottom w:val="0"/>
                      <w:divBdr>
                        <w:top w:val="none" w:sz="0" w:space="0" w:color="auto"/>
                        <w:left w:val="none" w:sz="0" w:space="0" w:color="auto"/>
                        <w:bottom w:val="none" w:sz="0" w:space="0" w:color="auto"/>
                        <w:right w:val="none" w:sz="0" w:space="0" w:color="auto"/>
                      </w:divBdr>
                    </w:div>
                    <w:div w:id="792602396">
                      <w:marLeft w:val="0"/>
                      <w:marRight w:val="0"/>
                      <w:marTop w:val="0"/>
                      <w:marBottom w:val="0"/>
                      <w:divBdr>
                        <w:top w:val="none" w:sz="0" w:space="0" w:color="auto"/>
                        <w:left w:val="none" w:sz="0" w:space="0" w:color="auto"/>
                        <w:bottom w:val="none" w:sz="0" w:space="0" w:color="auto"/>
                        <w:right w:val="none" w:sz="0" w:space="0" w:color="auto"/>
                      </w:divBdr>
                    </w:div>
                    <w:div w:id="865144968">
                      <w:marLeft w:val="0"/>
                      <w:marRight w:val="0"/>
                      <w:marTop w:val="0"/>
                      <w:marBottom w:val="0"/>
                      <w:divBdr>
                        <w:top w:val="none" w:sz="0" w:space="0" w:color="auto"/>
                        <w:left w:val="none" w:sz="0" w:space="0" w:color="auto"/>
                        <w:bottom w:val="none" w:sz="0" w:space="0" w:color="auto"/>
                        <w:right w:val="none" w:sz="0" w:space="0" w:color="auto"/>
                      </w:divBdr>
                    </w:div>
                    <w:div w:id="1001659093">
                      <w:marLeft w:val="0"/>
                      <w:marRight w:val="0"/>
                      <w:marTop w:val="0"/>
                      <w:marBottom w:val="0"/>
                      <w:divBdr>
                        <w:top w:val="none" w:sz="0" w:space="0" w:color="auto"/>
                        <w:left w:val="none" w:sz="0" w:space="0" w:color="auto"/>
                        <w:bottom w:val="none" w:sz="0" w:space="0" w:color="auto"/>
                        <w:right w:val="none" w:sz="0" w:space="0" w:color="auto"/>
                      </w:divBdr>
                    </w:div>
                    <w:div w:id="1291403057">
                      <w:marLeft w:val="0"/>
                      <w:marRight w:val="0"/>
                      <w:marTop w:val="0"/>
                      <w:marBottom w:val="0"/>
                      <w:divBdr>
                        <w:top w:val="none" w:sz="0" w:space="0" w:color="auto"/>
                        <w:left w:val="none" w:sz="0" w:space="0" w:color="auto"/>
                        <w:bottom w:val="none" w:sz="0" w:space="0" w:color="auto"/>
                        <w:right w:val="none" w:sz="0" w:space="0" w:color="auto"/>
                      </w:divBdr>
                    </w:div>
                    <w:div w:id="1616785172">
                      <w:marLeft w:val="0"/>
                      <w:marRight w:val="0"/>
                      <w:marTop w:val="0"/>
                      <w:marBottom w:val="0"/>
                      <w:divBdr>
                        <w:top w:val="none" w:sz="0" w:space="0" w:color="auto"/>
                        <w:left w:val="none" w:sz="0" w:space="0" w:color="auto"/>
                        <w:bottom w:val="none" w:sz="0" w:space="0" w:color="auto"/>
                        <w:right w:val="none" w:sz="0" w:space="0" w:color="auto"/>
                      </w:divBdr>
                    </w:div>
                    <w:div w:id="1860268133">
                      <w:marLeft w:val="0"/>
                      <w:marRight w:val="0"/>
                      <w:marTop w:val="0"/>
                      <w:marBottom w:val="0"/>
                      <w:divBdr>
                        <w:top w:val="none" w:sz="0" w:space="0" w:color="auto"/>
                        <w:left w:val="none" w:sz="0" w:space="0" w:color="auto"/>
                        <w:bottom w:val="none" w:sz="0" w:space="0" w:color="auto"/>
                        <w:right w:val="none" w:sz="0" w:space="0" w:color="auto"/>
                      </w:divBdr>
                    </w:div>
                    <w:div w:id="1930388828">
                      <w:marLeft w:val="0"/>
                      <w:marRight w:val="0"/>
                      <w:marTop w:val="0"/>
                      <w:marBottom w:val="0"/>
                      <w:divBdr>
                        <w:top w:val="none" w:sz="0" w:space="0" w:color="auto"/>
                        <w:left w:val="none" w:sz="0" w:space="0" w:color="auto"/>
                        <w:bottom w:val="none" w:sz="0" w:space="0" w:color="auto"/>
                        <w:right w:val="none" w:sz="0" w:space="0" w:color="auto"/>
                      </w:divBdr>
                    </w:div>
                    <w:div w:id="2041858389">
                      <w:marLeft w:val="0"/>
                      <w:marRight w:val="0"/>
                      <w:marTop w:val="0"/>
                      <w:marBottom w:val="0"/>
                      <w:divBdr>
                        <w:top w:val="none" w:sz="0" w:space="0" w:color="auto"/>
                        <w:left w:val="none" w:sz="0" w:space="0" w:color="auto"/>
                        <w:bottom w:val="none" w:sz="0" w:space="0" w:color="auto"/>
                        <w:right w:val="none" w:sz="0" w:space="0" w:color="auto"/>
                      </w:divBdr>
                      <w:divsChild>
                        <w:div w:id="48843098">
                          <w:marLeft w:val="0"/>
                          <w:marRight w:val="0"/>
                          <w:marTop w:val="0"/>
                          <w:marBottom w:val="0"/>
                          <w:divBdr>
                            <w:top w:val="none" w:sz="0" w:space="0" w:color="auto"/>
                            <w:left w:val="none" w:sz="0" w:space="0" w:color="auto"/>
                            <w:bottom w:val="none" w:sz="0" w:space="0" w:color="auto"/>
                            <w:right w:val="none" w:sz="0" w:space="0" w:color="auto"/>
                          </w:divBdr>
                        </w:div>
                        <w:div w:id="226258478">
                          <w:marLeft w:val="0"/>
                          <w:marRight w:val="0"/>
                          <w:marTop w:val="0"/>
                          <w:marBottom w:val="0"/>
                          <w:divBdr>
                            <w:top w:val="none" w:sz="0" w:space="0" w:color="auto"/>
                            <w:left w:val="none" w:sz="0" w:space="0" w:color="auto"/>
                            <w:bottom w:val="none" w:sz="0" w:space="0" w:color="auto"/>
                            <w:right w:val="none" w:sz="0" w:space="0" w:color="auto"/>
                          </w:divBdr>
                        </w:div>
                        <w:div w:id="777797276">
                          <w:marLeft w:val="0"/>
                          <w:marRight w:val="0"/>
                          <w:marTop w:val="0"/>
                          <w:marBottom w:val="0"/>
                          <w:divBdr>
                            <w:top w:val="none" w:sz="0" w:space="0" w:color="auto"/>
                            <w:left w:val="none" w:sz="0" w:space="0" w:color="auto"/>
                            <w:bottom w:val="none" w:sz="0" w:space="0" w:color="auto"/>
                            <w:right w:val="none" w:sz="0" w:space="0" w:color="auto"/>
                          </w:divBdr>
                        </w:div>
                        <w:div w:id="7884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033071">
      <w:bodyDiv w:val="1"/>
      <w:marLeft w:val="0"/>
      <w:marRight w:val="0"/>
      <w:marTop w:val="0"/>
      <w:marBottom w:val="0"/>
      <w:divBdr>
        <w:top w:val="none" w:sz="0" w:space="0" w:color="auto"/>
        <w:left w:val="none" w:sz="0" w:space="0" w:color="auto"/>
        <w:bottom w:val="none" w:sz="0" w:space="0" w:color="auto"/>
        <w:right w:val="none" w:sz="0" w:space="0" w:color="auto"/>
      </w:divBdr>
    </w:div>
    <w:div w:id="1711345400">
      <w:bodyDiv w:val="1"/>
      <w:marLeft w:val="0"/>
      <w:marRight w:val="0"/>
      <w:marTop w:val="0"/>
      <w:marBottom w:val="0"/>
      <w:divBdr>
        <w:top w:val="none" w:sz="0" w:space="0" w:color="auto"/>
        <w:left w:val="none" w:sz="0" w:space="0" w:color="auto"/>
        <w:bottom w:val="none" w:sz="0" w:space="0" w:color="auto"/>
        <w:right w:val="none" w:sz="0" w:space="0" w:color="auto"/>
      </w:divBdr>
    </w:div>
    <w:div w:id="1841850366">
      <w:bodyDiv w:val="1"/>
      <w:marLeft w:val="0"/>
      <w:marRight w:val="0"/>
      <w:marTop w:val="0"/>
      <w:marBottom w:val="0"/>
      <w:divBdr>
        <w:top w:val="none" w:sz="0" w:space="0" w:color="auto"/>
        <w:left w:val="none" w:sz="0" w:space="0" w:color="auto"/>
        <w:bottom w:val="none" w:sz="0" w:space="0" w:color="auto"/>
        <w:right w:val="none" w:sz="0" w:space="0" w:color="auto"/>
      </w:divBdr>
    </w:div>
    <w:div w:id="2000116687">
      <w:bodyDiv w:val="1"/>
      <w:marLeft w:val="0"/>
      <w:marRight w:val="0"/>
      <w:marTop w:val="0"/>
      <w:marBottom w:val="0"/>
      <w:divBdr>
        <w:top w:val="none" w:sz="0" w:space="0" w:color="auto"/>
        <w:left w:val="none" w:sz="0" w:space="0" w:color="auto"/>
        <w:bottom w:val="none" w:sz="0" w:space="0" w:color="auto"/>
        <w:right w:val="none" w:sz="0" w:space="0" w:color="auto"/>
      </w:divBdr>
    </w:div>
    <w:div w:id="21429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justice.gov.il"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85E3D-11EE-4DE4-8B28-FD9F7DE881F0}"/>
</file>

<file path=customXml/itemProps2.xml><?xml version="1.0" encoding="utf-8"?>
<ds:datastoreItem xmlns:ds="http://schemas.openxmlformats.org/officeDocument/2006/customXml" ds:itemID="{21469CFE-D04A-4A45-8E87-97B1E727E9F5}"/>
</file>

<file path=customXml/itemProps3.xml><?xml version="1.0" encoding="utf-8"?>
<ds:datastoreItem xmlns:ds="http://schemas.openxmlformats.org/officeDocument/2006/customXml" ds:itemID="{334C493B-83D4-449A-9E15-CFFBAD149469}"/>
</file>

<file path=docProps/app.xml><?xml version="1.0" encoding="utf-8"?>
<Properties xmlns="http://schemas.openxmlformats.org/officeDocument/2006/extended-properties" xmlns:vt="http://schemas.openxmlformats.org/officeDocument/2006/docPropsVTypes">
  <Template>Normal</Template>
  <TotalTime>14</TotalTime>
  <Pages>4</Pages>
  <Words>1098</Words>
  <Characters>6263</Characters>
  <Application>Microsoft Office Word</Application>
  <DocSecurity>0</DocSecurity>
  <Lines>52</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‏כ"ג תמוז תש"ס</vt:lpstr>
      <vt:lpstr>‏כ"ג תמוז תש"ס</vt:lpstr>
    </vt:vector>
  </TitlesOfParts>
  <Company>משרד המשפטים</Company>
  <LinksUpToDate>false</LinksUpToDate>
  <CharactersWithSpaces>7347</CharactersWithSpaces>
  <SharedDoc>false</SharedDoc>
  <HLinks>
    <vt:vector size="6" baseType="variant">
      <vt:variant>
        <vt:i4>6946840</vt:i4>
      </vt:variant>
      <vt:variant>
        <vt:i4>14</vt:i4>
      </vt:variant>
      <vt:variant>
        <vt:i4>0</vt:i4>
      </vt:variant>
      <vt:variant>
        <vt:i4>5</vt:i4>
      </vt:variant>
      <vt:variant>
        <vt:lpwstr>mailto:International@justice.gov.il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‏כ"ג תמוז תש"ס</dc:title>
  <dc:subject/>
  <dc:creator>IBM-Admin</dc:creator>
  <cp:keywords/>
  <cp:lastModifiedBy>Legal-Assistant - Israeli Mission to the UN - Geneva</cp:lastModifiedBy>
  <cp:revision>3</cp:revision>
  <cp:lastPrinted>2022-04-27T16:43:00Z</cp:lastPrinted>
  <dcterms:created xsi:type="dcterms:W3CDTF">2022-05-02T10:10:00Z</dcterms:created>
  <dcterms:modified xsi:type="dcterms:W3CDTF">2022-05-02T10:24:00Z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