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59" w:rsidRPr="001C48F8" w:rsidRDefault="008C4259" w:rsidP="00C94C10">
      <w:pPr>
        <w:jc w:val="center"/>
        <w:rPr>
          <w:rFonts w:ascii="Times New Roman" w:hAnsi="Times New Roman" w:cs="Times New Roman"/>
          <w:b/>
          <w:bCs/>
          <w:sz w:val="20"/>
          <w:szCs w:val="20"/>
          <w:lang w:val="en-GB"/>
        </w:rPr>
      </w:pPr>
      <w:r w:rsidRPr="001C48F8">
        <w:rPr>
          <w:rFonts w:ascii="Times New Roman" w:hAnsi="Times New Roman" w:cs="Times New Roman"/>
          <w:b/>
          <w:bCs/>
          <w:sz w:val="20"/>
          <w:szCs w:val="20"/>
        </w:rPr>
        <w:t>Mandate of the Independent Expert on the enjoyment of all human rights by older persons</w:t>
      </w:r>
    </w:p>
    <w:p w:rsidR="001C48F8" w:rsidRDefault="001C48F8" w:rsidP="0019280A">
      <w:pPr>
        <w:jc w:val="center"/>
        <w:rPr>
          <w:rFonts w:ascii="Times New Roman" w:hAnsi="Times New Roman" w:cs="Times New Roman"/>
          <w:b/>
          <w:bCs/>
          <w:sz w:val="28"/>
          <w:szCs w:val="28"/>
          <w:lang w:val="en-GB"/>
        </w:rPr>
      </w:pPr>
    </w:p>
    <w:p w:rsidR="0019280A" w:rsidRPr="008020D3" w:rsidRDefault="0019280A" w:rsidP="0019280A">
      <w:pPr>
        <w:jc w:val="center"/>
        <w:rPr>
          <w:rFonts w:ascii="Times New Roman" w:hAnsi="Times New Roman" w:cs="Times New Roman"/>
          <w:b/>
          <w:bCs/>
          <w:sz w:val="28"/>
          <w:szCs w:val="28"/>
          <w:lang w:val="en-GB"/>
        </w:rPr>
      </w:pPr>
      <w:r w:rsidRPr="008020D3">
        <w:rPr>
          <w:rFonts w:ascii="Times New Roman" w:hAnsi="Times New Roman" w:cs="Times New Roman"/>
          <w:b/>
          <w:bCs/>
          <w:sz w:val="28"/>
          <w:szCs w:val="28"/>
          <w:lang w:val="en-GB"/>
        </w:rPr>
        <w:t>Call for contributions: The right to adequate housing of older persons</w:t>
      </w:r>
    </w:p>
    <w:p w:rsidR="0019280A" w:rsidRPr="0019280A" w:rsidRDefault="0019280A" w:rsidP="0019280A">
      <w:pPr>
        <w:jc w:val="both"/>
        <w:rPr>
          <w:rFonts w:ascii="Times New Roman" w:eastAsia="Times New Roman" w:hAnsi="Times New Roman" w:cs="Times New Roman"/>
          <w:lang w:val="en-GB"/>
        </w:rPr>
      </w:pPr>
    </w:p>
    <w:p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To inform her report, the Independent Expert wishes to receive written contributions from relevant stakeholders, including national and local governments, national and international non-governmental organizations, national human rights institutions, international and regional inter-governmental organizations, United Nations agencies and entities, activists, </w:t>
      </w:r>
      <w:r w:rsidR="00AE4A41">
        <w:rPr>
          <w:rFonts w:ascii="Times New Roman" w:hAnsi="Times New Roman" w:cs="Times New Roman"/>
          <w:lang w:val="en-GB"/>
        </w:rPr>
        <w:t xml:space="preserve">and </w:t>
      </w:r>
      <w:r w:rsidRPr="0019280A">
        <w:rPr>
          <w:rFonts w:ascii="Times New Roman" w:hAnsi="Times New Roman" w:cs="Times New Roman"/>
          <w:lang w:val="en-GB"/>
        </w:rPr>
        <w:t xml:space="preserve">academics. </w:t>
      </w:r>
    </w:p>
    <w:p w:rsidR="0019280A" w:rsidRPr="0019280A" w:rsidRDefault="0019280A" w:rsidP="0019280A">
      <w:pPr>
        <w:jc w:val="both"/>
        <w:rPr>
          <w:rFonts w:ascii="Times New Roman" w:hAnsi="Times New Roman" w:cs="Times New Roman"/>
          <w:lang w:val="en-GB"/>
        </w:rPr>
      </w:pPr>
      <w:r w:rsidRPr="0019280A">
        <w:rPr>
          <w:rFonts w:ascii="Times New Roman" w:hAnsi="Times New Roman" w:cs="Times New Roman"/>
          <w:lang w:val="en-GB"/>
        </w:rPr>
        <w:t xml:space="preserve">She strongly encourages sharing concrete examples of good practices where available. </w:t>
      </w:r>
    </w:p>
    <w:p w:rsidR="0019280A" w:rsidRPr="0019280A" w:rsidRDefault="0019280A" w:rsidP="0019280A">
      <w:pPr>
        <w:jc w:val="both"/>
        <w:rPr>
          <w:rFonts w:ascii="Times New Roman" w:eastAsia="Times New Roman" w:hAnsi="Times New Roman" w:cs="Times New Roman"/>
          <w:lang w:val="en-GB"/>
        </w:rPr>
      </w:pPr>
      <w:r w:rsidRPr="0019280A">
        <w:rPr>
          <w:rFonts w:ascii="Times New Roman" w:hAnsi="Times New Roman" w:cs="Times New Roman"/>
          <w:lang w:val="en-GB"/>
        </w:rPr>
        <w:t>She invites all interested stakeholders to share their views and provide information on</w:t>
      </w:r>
      <w:r w:rsidR="006704A4">
        <w:rPr>
          <w:rFonts w:ascii="Times New Roman" w:hAnsi="Times New Roman" w:cs="Times New Roman"/>
          <w:lang w:val="en-GB"/>
        </w:rPr>
        <w:t xml:space="preserve"> any or </w:t>
      </w:r>
      <w:r w:rsidR="007A34F0">
        <w:rPr>
          <w:rFonts w:ascii="Times New Roman" w:hAnsi="Times New Roman" w:cs="Times New Roman"/>
          <w:lang w:val="en-GB"/>
        </w:rPr>
        <w:t>all</w:t>
      </w:r>
      <w:r w:rsidRPr="0019280A">
        <w:rPr>
          <w:rFonts w:ascii="Times New Roman" w:hAnsi="Times New Roman" w:cs="Times New Roman"/>
          <w:lang w:val="en-GB"/>
        </w:rPr>
        <w:t xml:space="preserve"> the following issues:</w:t>
      </w:r>
    </w:p>
    <w:p w:rsidR="00775C4C" w:rsidRPr="0065510A" w:rsidRDefault="0019280A" w:rsidP="0019280A">
      <w:pPr>
        <w:pStyle w:val="Listenabsatz"/>
        <w:numPr>
          <w:ilvl w:val="0"/>
          <w:numId w:val="1"/>
        </w:numPr>
        <w:jc w:val="both"/>
        <w:rPr>
          <w:rFonts w:ascii="Times New Roman" w:hAnsi="Times New Roman" w:cs="Times New Roman"/>
          <w:b/>
          <w:sz w:val="22"/>
          <w:szCs w:val="22"/>
          <w:lang w:val="en-GB"/>
        </w:rPr>
      </w:pPr>
      <w:r w:rsidRPr="0065510A">
        <w:rPr>
          <w:rFonts w:ascii="Times New Roman" w:hAnsi="Times New Roman" w:cs="Times New Roman"/>
          <w:b/>
          <w:sz w:val="22"/>
          <w:szCs w:val="22"/>
          <w:lang w:val="en-GB"/>
        </w:rPr>
        <w:t xml:space="preserve">What are the </w:t>
      </w:r>
      <w:r w:rsidRPr="0065510A">
        <w:rPr>
          <w:rFonts w:ascii="Times New Roman" w:hAnsi="Times New Roman" w:cs="Times New Roman"/>
          <w:b/>
          <w:bCs/>
          <w:sz w:val="22"/>
          <w:szCs w:val="22"/>
          <w:lang w:val="en-GB"/>
        </w:rPr>
        <w:t>local and national legal, policy and institutional frameworks</w:t>
      </w:r>
      <w:r w:rsidRPr="0065510A">
        <w:rPr>
          <w:rFonts w:ascii="Times New Roman" w:hAnsi="Times New Roman" w:cs="Times New Roman"/>
          <w:b/>
          <w:sz w:val="22"/>
          <w:szCs w:val="22"/>
          <w:lang w:val="en-GB"/>
        </w:rPr>
        <w:t xml:space="preserve"> protecting and promoting the right to adequate housing of older persons? Please identify both existing or planned legal frameworks such as constitutional provisions, laws, regulations, or decrees.</w:t>
      </w:r>
    </w:p>
    <w:p w:rsidR="00775C4C" w:rsidRDefault="00775C4C" w:rsidP="00775C4C">
      <w:pPr>
        <w:pStyle w:val="Listenabsatz"/>
        <w:jc w:val="both"/>
        <w:rPr>
          <w:rFonts w:ascii="Times New Roman" w:hAnsi="Times New Roman" w:cs="Times New Roman"/>
          <w:sz w:val="22"/>
          <w:szCs w:val="22"/>
          <w:lang w:val="en-GB"/>
        </w:rPr>
      </w:pPr>
    </w:p>
    <w:p w:rsidR="00FC0F67" w:rsidRPr="00FC0F67" w:rsidRDefault="00775C4C" w:rsidP="00775C4C">
      <w:pPr>
        <w:pStyle w:val="Listenabsatz"/>
        <w:jc w:val="both"/>
        <w:rPr>
          <w:rFonts w:ascii="Times New Roman" w:hAnsi="Times New Roman" w:cs="Times New Roman"/>
          <w:sz w:val="22"/>
          <w:szCs w:val="22"/>
          <w:lang w:val="en-GB"/>
        </w:rPr>
      </w:pPr>
      <w:r>
        <w:rPr>
          <w:rFonts w:ascii="Times New Roman" w:hAnsi="Times New Roman" w:cs="Times New Roman"/>
          <w:sz w:val="22"/>
          <w:szCs w:val="22"/>
          <w:lang w:val="en-GB"/>
        </w:rPr>
        <w:t>Contribution by the Federal Anti-</w:t>
      </w:r>
      <w:proofErr w:type="spellStart"/>
      <w:r>
        <w:rPr>
          <w:rFonts w:ascii="Times New Roman" w:hAnsi="Times New Roman" w:cs="Times New Roman"/>
          <w:sz w:val="22"/>
          <w:szCs w:val="22"/>
          <w:lang w:val="en-GB"/>
        </w:rPr>
        <w:t>Discirmination</w:t>
      </w:r>
      <w:proofErr w:type="spellEnd"/>
      <w:r>
        <w:rPr>
          <w:rFonts w:ascii="Times New Roman" w:hAnsi="Times New Roman" w:cs="Times New Roman"/>
          <w:sz w:val="22"/>
          <w:szCs w:val="22"/>
          <w:lang w:val="en-GB"/>
        </w:rPr>
        <w:t xml:space="preserve"> Agency</w:t>
      </w:r>
      <w:r w:rsidR="0019280A" w:rsidRPr="0019280A">
        <w:rPr>
          <w:rFonts w:ascii="Times New Roman" w:hAnsi="Times New Roman" w:cs="Times New Roman"/>
          <w:sz w:val="22"/>
          <w:szCs w:val="22"/>
          <w:lang w:val="en-GB"/>
        </w:rPr>
        <w:t xml:space="preserve"> </w:t>
      </w:r>
    </w:p>
    <w:p w:rsidR="00FC0F67" w:rsidRPr="0019280A" w:rsidRDefault="00FC0F67" w:rsidP="00FC0F67">
      <w:pPr>
        <w:pStyle w:val="Listenabsatz"/>
        <w:jc w:val="both"/>
        <w:rPr>
          <w:rFonts w:ascii="Times New Roman" w:hAnsi="Times New Roman" w:cs="Times New Roman"/>
          <w:sz w:val="22"/>
          <w:szCs w:val="22"/>
          <w:lang w:val="en-GB"/>
        </w:rPr>
      </w:pPr>
      <w:r w:rsidRPr="00FC0F67">
        <w:rPr>
          <w:rFonts w:ascii="Times New Roman" w:hAnsi="Times New Roman" w:cs="Times New Roman"/>
          <w:sz w:val="22"/>
          <w:szCs w:val="22"/>
          <w:lang w:val="en-GB"/>
        </w:rPr>
        <w:t>The General Equal Treatment Act (</w:t>
      </w:r>
      <w:proofErr w:type="spellStart"/>
      <w:r w:rsidRPr="00FC0F67">
        <w:rPr>
          <w:rFonts w:ascii="Times New Roman" w:hAnsi="Times New Roman" w:cs="Times New Roman"/>
          <w:sz w:val="22"/>
          <w:szCs w:val="22"/>
          <w:lang w:val="en-GB"/>
        </w:rPr>
        <w:t>Allgemeines</w:t>
      </w:r>
      <w:proofErr w:type="spellEnd"/>
      <w:r w:rsidRPr="00FC0F67">
        <w:rPr>
          <w:rFonts w:ascii="Times New Roman" w:hAnsi="Times New Roman" w:cs="Times New Roman"/>
          <w:sz w:val="22"/>
          <w:szCs w:val="22"/>
          <w:lang w:val="en-GB"/>
        </w:rPr>
        <w:t xml:space="preserve"> </w:t>
      </w:r>
      <w:proofErr w:type="spellStart"/>
      <w:r w:rsidRPr="00FC0F67">
        <w:rPr>
          <w:rFonts w:ascii="Times New Roman" w:hAnsi="Times New Roman" w:cs="Times New Roman"/>
          <w:sz w:val="22"/>
          <w:szCs w:val="22"/>
          <w:lang w:val="en-GB"/>
        </w:rPr>
        <w:t>Gleichbehandlungsgesetz</w:t>
      </w:r>
      <w:proofErr w:type="spellEnd"/>
      <w:r w:rsidRPr="00FC0F67">
        <w:rPr>
          <w:rFonts w:ascii="Times New Roman" w:hAnsi="Times New Roman" w:cs="Times New Roman"/>
          <w:sz w:val="22"/>
          <w:szCs w:val="22"/>
          <w:lang w:val="en-GB"/>
        </w:rPr>
        <w:t xml:space="preserve"> - AGG) prohibits discrimination in the access to housing, inter alia on grounds of age (section 19 (1) no. 1 of the AGG). Nor may anyone be disadvantaged when terminating or during an existing tenancy. However, there are exceptions from the prohibition of discrimination. As a rule, the AGG only affords protection from discrimination on grounds of gender, religion, age, disability or sexual orientation if the lessor has more than 50 housing units for rent. In addition, the AGG provides for an exemption from the prohibition of discrimination if the tenancy establishes a special relationship of closeness or trust (section 19 (5) sentence 3 of the AGG). In the context of obligations under civil law, moreover, an objective ground suffices to justify differences of treatment based on age (section 20 (1) of the AGG).</w:t>
      </w:r>
    </w:p>
    <w:p w:rsidR="0019280A" w:rsidRPr="0019280A" w:rsidRDefault="0019280A" w:rsidP="0019280A">
      <w:pPr>
        <w:pStyle w:val="Listenabsatz"/>
        <w:jc w:val="both"/>
        <w:rPr>
          <w:rFonts w:ascii="Times New Roman" w:hAnsi="Times New Roman" w:cs="Times New Roman"/>
          <w:sz w:val="22"/>
          <w:szCs w:val="22"/>
          <w:lang w:val="en-GB"/>
        </w:rPr>
      </w:pPr>
    </w:p>
    <w:p w:rsidR="0019280A" w:rsidRPr="0065510A" w:rsidRDefault="0019280A" w:rsidP="0019280A">
      <w:pPr>
        <w:pStyle w:val="Listenabsatz"/>
        <w:numPr>
          <w:ilvl w:val="0"/>
          <w:numId w:val="1"/>
        </w:numPr>
        <w:jc w:val="both"/>
        <w:rPr>
          <w:rFonts w:ascii="Times New Roman" w:hAnsi="Times New Roman" w:cs="Times New Roman"/>
          <w:b/>
          <w:sz w:val="22"/>
          <w:szCs w:val="22"/>
          <w:lang w:val="en-GB"/>
        </w:rPr>
      </w:pPr>
      <w:r w:rsidRPr="0065510A">
        <w:rPr>
          <w:rFonts w:ascii="Times New Roman" w:eastAsia="Times New Roman" w:hAnsi="Times New Roman" w:cs="Times New Roman"/>
          <w:b/>
          <w:sz w:val="22"/>
          <w:szCs w:val="22"/>
          <w:lang w:val="en-GB"/>
        </w:rPr>
        <w:t xml:space="preserve">What are the </w:t>
      </w:r>
      <w:r w:rsidRPr="0065510A">
        <w:rPr>
          <w:rFonts w:ascii="Times New Roman" w:eastAsia="Times New Roman" w:hAnsi="Times New Roman" w:cs="Times New Roman"/>
          <w:b/>
          <w:bCs/>
          <w:sz w:val="22"/>
          <w:szCs w:val="22"/>
          <w:lang w:val="en-GB"/>
        </w:rPr>
        <w:t xml:space="preserve">existing local and national </w:t>
      </w:r>
      <w:r w:rsidRPr="0065510A">
        <w:rPr>
          <w:rFonts w:ascii="Times New Roman" w:hAnsi="Times New Roman" w:cs="Times New Roman"/>
          <w:b/>
          <w:bCs/>
          <w:sz w:val="22"/>
          <w:szCs w:val="22"/>
          <w:lang w:val="en-GB"/>
        </w:rPr>
        <w:t xml:space="preserve">action plans, development </w:t>
      </w:r>
      <w:r w:rsidR="008020D3" w:rsidRPr="0065510A">
        <w:rPr>
          <w:rFonts w:ascii="Times New Roman" w:hAnsi="Times New Roman" w:cs="Times New Roman"/>
          <w:b/>
          <w:bCs/>
          <w:sz w:val="22"/>
          <w:szCs w:val="22"/>
          <w:lang w:val="en-GB"/>
        </w:rPr>
        <w:t>plans</w:t>
      </w:r>
      <w:r w:rsidRPr="0065510A">
        <w:rPr>
          <w:rFonts w:ascii="Times New Roman" w:hAnsi="Times New Roman" w:cs="Times New Roman"/>
          <w:b/>
          <w:bCs/>
          <w:sz w:val="22"/>
          <w:szCs w:val="22"/>
          <w:lang w:val="en-GB"/>
        </w:rPr>
        <w:t xml:space="preserve"> and support </w:t>
      </w:r>
      <w:bookmarkStart w:id="0" w:name="_Hlk94024496"/>
      <w:r w:rsidRPr="0065510A">
        <w:rPr>
          <w:rFonts w:ascii="Times New Roman" w:hAnsi="Times New Roman" w:cs="Times New Roman"/>
          <w:b/>
          <w:bCs/>
          <w:sz w:val="22"/>
          <w:szCs w:val="22"/>
          <w:lang w:val="en-GB"/>
        </w:rPr>
        <w:t>programmes</w:t>
      </w:r>
      <w:r w:rsidRPr="0065510A">
        <w:rPr>
          <w:rFonts w:ascii="Times New Roman" w:hAnsi="Times New Roman" w:cs="Times New Roman"/>
          <w:b/>
          <w:sz w:val="22"/>
          <w:szCs w:val="22"/>
          <w:lang w:val="en-GB"/>
        </w:rPr>
        <w:t xml:space="preserve"> </w:t>
      </w:r>
      <w:bookmarkEnd w:id="0"/>
      <w:r w:rsidRPr="0065510A">
        <w:rPr>
          <w:rFonts w:ascii="Times New Roman" w:hAnsi="Times New Roman" w:cs="Times New Roman"/>
          <w:b/>
          <w:sz w:val="22"/>
          <w:szCs w:val="22"/>
          <w:lang w:val="en-GB"/>
        </w:rPr>
        <w:t>for advancing the right to adequate housing for older persons? If available, please specify the budget allocated for their implementations.</w:t>
      </w:r>
    </w:p>
    <w:p w:rsidR="00D96594" w:rsidRPr="00D96594" w:rsidRDefault="00D96594" w:rsidP="00D96594">
      <w:pPr>
        <w:pStyle w:val="Listenabsatz"/>
        <w:rPr>
          <w:rFonts w:ascii="Times New Roman" w:hAnsi="Times New Roman" w:cs="Times New Roman"/>
          <w:sz w:val="22"/>
          <w:szCs w:val="22"/>
          <w:lang w:val="en-GB"/>
        </w:rPr>
      </w:pPr>
    </w:p>
    <w:p w:rsidR="00D96594" w:rsidRPr="005B434F" w:rsidRDefault="00D96594" w:rsidP="00D96594">
      <w:pPr>
        <w:pStyle w:val="Listenabsatz"/>
        <w:jc w:val="both"/>
        <w:rPr>
          <w:rFonts w:ascii="Times New Roman" w:hAnsi="Times New Roman" w:cs="Times New Roman"/>
          <w:lang w:val="en-US"/>
        </w:rPr>
      </w:pPr>
      <w:r w:rsidRPr="005B434F">
        <w:rPr>
          <w:rFonts w:ascii="Times New Roman" w:hAnsi="Times New Roman" w:cs="Times New Roman"/>
          <w:lang w:val="en-US"/>
        </w:rPr>
        <w:t xml:space="preserve">In Germany there is a support </w:t>
      </w:r>
      <w:proofErr w:type="spellStart"/>
      <w:r w:rsidRPr="005B434F">
        <w:rPr>
          <w:rFonts w:ascii="Times New Roman" w:hAnsi="Times New Roman" w:cs="Times New Roman"/>
          <w:lang w:val="en-US"/>
        </w:rPr>
        <w:t>programm</w:t>
      </w:r>
      <w:proofErr w:type="spellEnd"/>
      <w:r w:rsidRPr="005B434F">
        <w:rPr>
          <w:rFonts w:ascii="Times New Roman" w:hAnsi="Times New Roman" w:cs="Times New Roman"/>
          <w:lang w:val="en-US"/>
        </w:rPr>
        <w:t xml:space="preserve"> for advancing the right to adequate housing for older people „Age-</w:t>
      </w:r>
      <w:proofErr w:type="spellStart"/>
      <w:r w:rsidRPr="005B434F">
        <w:rPr>
          <w:rFonts w:ascii="Times New Roman" w:hAnsi="Times New Roman" w:cs="Times New Roman"/>
          <w:lang w:val="en-US"/>
        </w:rPr>
        <w:t>approriate</w:t>
      </w:r>
      <w:proofErr w:type="spellEnd"/>
      <w:r w:rsidRPr="005B434F">
        <w:rPr>
          <w:rFonts w:ascii="Times New Roman" w:hAnsi="Times New Roman" w:cs="Times New Roman"/>
          <w:lang w:val="en-US"/>
        </w:rPr>
        <w:t xml:space="preserve"> </w:t>
      </w:r>
      <w:proofErr w:type="gramStart"/>
      <w:r w:rsidRPr="005B434F">
        <w:rPr>
          <w:rFonts w:ascii="Times New Roman" w:hAnsi="Times New Roman" w:cs="Times New Roman"/>
          <w:lang w:val="en-US"/>
        </w:rPr>
        <w:t>remodeling“ (</w:t>
      </w:r>
      <w:proofErr w:type="gramEnd"/>
      <w:r w:rsidRPr="005B434F">
        <w:rPr>
          <w:rFonts w:ascii="Times New Roman" w:hAnsi="Times New Roman" w:cs="Times New Roman"/>
          <w:lang w:val="en-US"/>
        </w:rPr>
        <w:t>„</w:t>
      </w:r>
      <w:proofErr w:type="spellStart"/>
      <w:r w:rsidRPr="005B434F">
        <w:rPr>
          <w:rFonts w:ascii="Times New Roman" w:hAnsi="Times New Roman" w:cs="Times New Roman"/>
          <w:lang w:val="en-US"/>
        </w:rPr>
        <w:t>Altersgerecht</w:t>
      </w:r>
      <w:proofErr w:type="spellEnd"/>
      <w:r w:rsidRPr="005B434F">
        <w:rPr>
          <w:rFonts w:ascii="Times New Roman" w:hAnsi="Times New Roman" w:cs="Times New Roman"/>
          <w:lang w:val="en-US"/>
        </w:rPr>
        <w:t xml:space="preserve"> </w:t>
      </w:r>
      <w:proofErr w:type="spellStart"/>
      <w:r w:rsidRPr="005B434F">
        <w:rPr>
          <w:rFonts w:ascii="Times New Roman" w:hAnsi="Times New Roman" w:cs="Times New Roman"/>
          <w:lang w:val="en-US"/>
        </w:rPr>
        <w:t>Umbauen</w:t>
      </w:r>
      <w:proofErr w:type="spellEnd"/>
      <w:r w:rsidRPr="005B434F">
        <w:rPr>
          <w:rFonts w:ascii="Times New Roman" w:hAnsi="Times New Roman" w:cs="Times New Roman"/>
          <w:lang w:val="en-US"/>
        </w:rPr>
        <w:t xml:space="preserve">“). The support is for everyone who is remodeling a home to reduce barriers or purchasing a newly converted home. The </w:t>
      </w:r>
      <w:proofErr w:type="spellStart"/>
      <w:r w:rsidRPr="005B434F">
        <w:rPr>
          <w:rFonts w:ascii="Times New Roman" w:hAnsi="Times New Roman" w:cs="Times New Roman"/>
          <w:lang w:val="en-US"/>
        </w:rPr>
        <w:t>programm</w:t>
      </w:r>
      <w:proofErr w:type="spellEnd"/>
      <w:r w:rsidRPr="005B434F">
        <w:rPr>
          <w:rFonts w:ascii="Times New Roman" w:hAnsi="Times New Roman" w:cs="Times New Roman"/>
          <w:lang w:val="en-US"/>
        </w:rPr>
        <w:t xml:space="preserve"> is for senior citizens, but it also benefits persons with limited mobility and families with children. Financing examples are remodeling to reduce barriers, such as walk-in bath</w:t>
      </w:r>
      <w:r w:rsidRPr="005B434F">
        <w:rPr>
          <w:rFonts w:ascii="Times New Roman" w:hAnsi="Times New Roman" w:cs="Times New Roman"/>
          <w:lang w:val="en-US"/>
        </w:rPr>
        <w:softHyphen/>
        <w:t>tubs and handles, lift facilities, stair lifts, the creation of adequate clear space, for example for wheel</w:t>
      </w:r>
      <w:r w:rsidRPr="005B434F">
        <w:rPr>
          <w:rFonts w:ascii="Times New Roman" w:hAnsi="Times New Roman" w:cs="Times New Roman"/>
          <w:lang w:val="en-US"/>
        </w:rPr>
        <w:softHyphen/>
        <w:t>chair users.</w:t>
      </w:r>
    </w:p>
    <w:p w:rsidR="00D96594" w:rsidRPr="005B434F" w:rsidRDefault="00D96594" w:rsidP="00D96594">
      <w:pPr>
        <w:pStyle w:val="Listenabsatz"/>
        <w:jc w:val="both"/>
        <w:rPr>
          <w:rFonts w:ascii="Times New Roman" w:hAnsi="Times New Roman" w:cs="Times New Roman"/>
          <w:lang w:val="en-US"/>
        </w:rPr>
      </w:pPr>
    </w:p>
    <w:p w:rsidR="00D96594" w:rsidRPr="005D30DB" w:rsidRDefault="00D96594" w:rsidP="00D96594">
      <w:pPr>
        <w:pStyle w:val="Listenabsatz"/>
        <w:jc w:val="both"/>
        <w:rPr>
          <w:rFonts w:ascii="Times New Roman" w:hAnsi="Times New Roman" w:cs="Times New Roman"/>
          <w:lang w:val="en-US"/>
        </w:rPr>
      </w:pPr>
      <w:bookmarkStart w:id="1" w:name="_GoBack"/>
    </w:p>
    <w:bookmarkEnd w:id="1"/>
    <w:p w:rsidR="005B434F" w:rsidRDefault="005B434F" w:rsidP="00D96594">
      <w:pPr>
        <w:pStyle w:val="Listenabsatz"/>
        <w:jc w:val="both"/>
        <w:rPr>
          <w:rFonts w:ascii="Times New Roman" w:hAnsi="Times New Roman" w:cs="Times New Roman"/>
          <w:lang w:val="en-US"/>
        </w:rPr>
      </w:pPr>
      <w:r w:rsidRPr="005B434F">
        <w:rPr>
          <w:rFonts w:ascii="Times New Roman" w:hAnsi="Times New Roman" w:cs="Times New Roman"/>
          <w:lang w:val="en-US"/>
        </w:rPr>
        <w:t xml:space="preserve">The </w:t>
      </w:r>
      <w:r>
        <w:rPr>
          <w:rFonts w:ascii="Times New Roman" w:hAnsi="Times New Roman" w:cs="Times New Roman"/>
          <w:lang w:val="en-US"/>
        </w:rPr>
        <w:t>Federal Ministry for Family Affairs, Senior Citizens, Women and Youth (</w:t>
      </w:r>
      <w:r w:rsidRPr="003032C9">
        <w:rPr>
          <w:rFonts w:ascii="Times New Roman" w:hAnsi="Times New Roman" w:cs="Times New Roman"/>
          <w:i/>
          <w:lang w:val="en-US"/>
        </w:rPr>
        <w:t>BMFSFJ</w:t>
      </w:r>
      <w:r>
        <w:rPr>
          <w:rFonts w:ascii="Times New Roman" w:hAnsi="Times New Roman" w:cs="Times New Roman"/>
          <w:lang w:val="en-US"/>
        </w:rPr>
        <w:t xml:space="preserve">) is conducting a </w:t>
      </w:r>
      <w:r w:rsidRPr="003032C9">
        <w:rPr>
          <w:rFonts w:ascii="Times New Roman" w:hAnsi="Times New Roman" w:cs="Times New Roman"/>
          <w:b/>
          <w:lang w:val="en-US"/>
        </w:rPr>
        <w:t>model pro</w:t>
      </w:r>
      <w:r w:rsidR="00401FDE" w:rsidRPr="003032C9">
        <w:rPr>
          <w:rFonts w:ascii="Times New Roman" w:hAnsi="Times New Roman" w:cs="Times New Roman"/>
          <w:b/>
          <w:lang w:val="en-US"/>
        </w:rPr>
        <w:t>gram</w:t>
      </w:r>
      <w:r w:rsidR="00401FDE">
        <w:rPr>
          <w:rFonts w:ascii="Times New Roman" w:hAnsi="Times New Roman" w:cs="Times New Roman"/>
          <w:lang w:val="en-US"/>
        </w:rPr>
        <w:t xml:space="preserve"> </w:t>
      </w:r>
      <w:r w:rsidR="00401FDE" w:rsidRPr="003032C9">
        <w:rPr>
          <w:rFonts w:ascii="Times New Roman" w:hAnsi="Times New Roman" w:cs="Times New Roman"/>
          <w:b/>
          <w:lang w:val="en-US"/>
        </w:rPr>
        <w:t>“</w:t>
      </w:r>
      <w:r w:rsidRPr="003032C9">
        <w:rPr>
          <w:rFonts w:ascii="Times New Roman" w:hAnsi="Times New Roman" w:cs="Times New Roman"/>
          <w:b/>
          <w:lang w:val="en-US"/>
        </w:rPr>
        <w:t>Living as usual”</w:t>
      </w:r>
      <w:r>
        <w:rPr>
          <w:rFonts w:ascii="Times New Roman" w:hAnsi="Times New Roman" w:cs="Times New Roman"/>
          <w:lang w:val="en-US"/>
        </w:rPr>
        <w:t xml:space="preserve"> </w:t>
      </w:r>
      <w:r w:rsidR="003A55C4">
        <w:rPr>
          <w:rFonts w:ascii="Times New Roman" w:hAnsi="Times New Roman" w:cs="Times New Roman"/>
          <w:lang w:val="en-US"/>
        </w:rPr>
        <w:t>(</w:t>
      </w:r>
      <w:r w:rsidR="003A55C4" w:rsidRPr="003032C9">
        <w:rPr>
          <w:rFonts w:ascii="Times New Roman" w:hAnsi="Times New Roman" w:cs="Times New Roman"/>
          <w:b/>
          <w:lang w:val="en-US"/>
        </w:rPr>
        <w:t xml:space="preserve">"Leben </w:t>
      </w:r>
      <w:proofErr w:type="spellStart"/>
      <w:r w:rsidR="003A55C4" w:rsidRPr="003032C9">
        <w:rPr>
          <w:rFonts w:ascii="Times New Roman" w:hAnsi="Times New Roman" w:cs="Times New Roman"/>
          <w:b/>
          <w:lang w:val="en-US"/>
        </w:rPr>
        <w:t>wie</w:t>
      </w:r>
      <w:proofErr w:type="spellEnd"/>
      <w:r w:rsidR="003A55C4" w:rsidRPr="003032C9">
        <w:rPr>
          <w:rFonts w:ascii="Times New Roman" w:hAnsi="Times New Roman" w:cs="Times New Roman"/>
          <w:b/>
          <w:lang w:val="en-US"/>
        </w:rPr>
        <w:t xml:space="preserve"> </w:t>
      </w:r>
      <w:proofErr w:type="spellStart"/>
      <w:r w:rsidR="003A55C4" w:rsidRPr="003032C9">
        <w:rPr>
          <w:rFonts w:ascii="Times New Roman" w:hAnsi="Times New Roman" w:cs="Times New Roman"/>
          <w:b/>
          <w:lang w:val="en-US"/>
        </w:rPr>
        <w:t>gewohnt</w:t>
      </w:r>
      <w:proofErr w:type="spellEnd"/>
      <w:r w:rsidR="003A55C4" w:rsidRPr="003032C9">
        <w:rPr>
          <w:rFonts w:ascii="Times New Roman" w:hAnsi="Times New Roman" w:cs="Times New Roman"/>
          <w:b/>
          <w:lang w:val="en-US"/>
        </w:rPr>
        <w:t>"</w:t>
      </w:r>
      <w:r w:rsidR="003A55C4" w:rsidRPr="003032C9">
        <w:rPr>
          <w:rFonts w:ascii="Times New Roman" w:hAnsi="Times New Roman" w:cs="Times New Roman"/>
          <w:lang w:val="en-US"/>
        </w:rPr>
        <w:t xml:space="preserve">) </w:t>
      </w:r>
      <w:r>
        <w:rPr>
          <w:rFonts w:ascii="Times New Roman" w:hAnsi="Times New Roman" w:cs="Times New Roman"/>
          <w:lang w:val="en-US"/>
        </w:rPr>
        <w:t>which</w:t>
      </w:r>
      <w:r w:rsidR="003A55C4">
        <w:rPr>
          <w:rFonts w:ascii="Times New Roman" w:hAnsi="Times New Roman" w:cs="Times New Roman"/>
          <w:lang w:val="en-US"/>
        </w:rPr>
        <w:t xml:space="preserve">, in </w:t>
      </w:r>
      <w:r w:rsidR="003A55C4">
        <w:rPr>
          <w:rFonts w:ascii="Times New Roman" w:hAnsi="Times New Roman" w:cs="Times New Roman"/>
          <w:lang w:val="en-US"/>
        </w:rPr>
        <w:lastRenderedPageBreak/>
        <w:t>practical projects serving as ex</w:t>
      </w:r>
      <w:r w:rsidR="003032C9">
        <w:rPr>
          <w:rFonts w:ascii="Times New Roman" w:hAnsi="Times New Roman" w:cs="Times New Roman"/>
          <w:lang w:val="en-US"/>
        </w:rPr>
        <w:t>a</w:t>
      </w:r>
      <w:r w:rsidR="003A55C4">
        <w:rPr>
          <w:rFonts w:ascii="Times New Roman" w:hAnsi="Times New Roman" w:cs="Times New Roman"/>
          <w:lang w:val="en-US"/>
        </w:rPr>
        <w:t>mples,</w:t>
      </w:r>
      <w:r>
        <w:rPr>
          <w:rFonts w:ascii="Times New Roman" w:hAnsi="Times New Roman" w:cs="Times New Roman"/>
          <w:lang w:val="en-US"/>
        </w:rPr>
        <w:t xml:space="preserve"> aims at demonstrating</w:t>
      </w:r>
      <w:r w:rsidR="003A55C4">
        <w:rPr>
          <w:rFonts w:ascii="Times New Roman" w:hAnsi="Times New Roman" w:cs="Times New Roman"/>
          <w:lang w:val="en-US"/>
        </w:rPr>
        <w:t xml:space="preserve">, </w:t>
      </w:r>
      <w:r>
        <w:rPr>
          <w:rFonts w:ascii="Times New Roman" w:hAnsi="Times New Roman" w:cs="Times New Roman"/>
          <w:lang w:val="en-US"/>
        </w:rPr>
        <w:t xml:space="preserve">how a self-determined life in old age and a continued stay at home </w:t>
      </w:r>
      <w:r w:rsidR="0006179C">
        <w:rPr>
          <w:rFonts w:ascii="Times New Roman" w:hAnsi="Times New Roman" w:cs="Times New Roman"/>
          <w:lang w:val="en-US"/>
        </w:rPr>
        <w:t>and/or</w:t>
      </w:r>
      <w:r>
        <w:rPr>
          <w:rFonts w:ascii="Times New Roman" w:hAnsi="Times New Roman" w:cs="Times New Roman"/>
          <w:lang w:val="en-US"/>
        </w:rPr>
        <w:t xml:space="preserve"> </w:t>
      </w:r>
      <w:r w:rsidR="0006179C">
        <w:rPr>
          <w:rFonts w:ascii="Times New Roman" w:hAnsi="Times New Roman" w:cs="Times New Roman"/>
          <w:lang w:val="en-US"/>
        </w:rPr>
        <w:t xml:space="preserve">in </w:t>
      </w:r>
      <w:r>
        <w:rPr>
          <w:rFonts w:ascii="Times New Roman" w:hAnsi="Times New Roman" w:cs="Times New Roman"/>
          <w:lang w:val="en-US"/>
        </w:rPr>
        <w:t xml:space="preserve">the familiar </w:t>
      </w:r>
      <w:r w:rsidR="0006179C">
        <w:rPr>
          <w:rFonts w:ascii="Times New Roman" w:hAnsi="Times New Roman" w:cs="Times New Roman"/>
          <w:lang w:val="en-US"/>
        </w:rPr>
        <w:t>surroundings</w:t>
      </w:r>
      <w:r w:rsidR="0097132F">
        <w:rPr>
          <w:rFonts w:ascii="Times New Roman" w:hAnsi="Times New Roman" w:cs="Times New Roman"/>
          <w:lang w:val="en-US"/>
        </w:rPr>
        <w:t>/a familiar setting</w:t>
      </w:r>
      <w:r>
        <w:rPr>
          <w:rFonts w:ascii="Times New Roman" w:hAnsi="Times New Roman" w:cs="Times New Roman"/>
          <w:lang w:val="en-US"/>
        </w:rPr>
        <w:t xml:space="preserve"> can be </w:t>
      </w:r>
      <w:r w:rsidR="0006179C">
        <w:rPr>
          <w:rFonts w:ascii="Times New Roman" w:hAnsi="Times New Roman" w:cs="Times New Roman"/>
          <w:lang w:val="en-US"/>
        </w:rPr>
        <w:t>achiev</w:t>
      </w:r>
      <w:r>
        <w:rPr>
          <w:rFonts w:ascii="Times New Roman" w:hAnsi="Times New Roman" w:cs="Times New Roman"/>
          <w:lang w:val="en-US"/>
        </w:rPr>
        <w:t>ed. T</w:t>
      </w:r>
      <w:r w:rsidR="0006179C">
        <w:rPr>
          <w:rFonts w:ascii="Times New Roman" w:hAnsi="Times New Roman" w:cs="Times New Roman"/>
          <w:lang w:val="en-US"/>
        </w:rPr>
        <w:t>o this end</w:t>
      </w:r>
      <w:r>
        <w:rPr>
          <w:rFonts w:ascii="Times New Roman" w:hAnsi="Times New Roman" w:cs="Times New Roman"/>
          <w:lang w:val="en-US"/>
        </w:rPr>
        <w:t>, building and investment project</w:t>
      </w:r>
      <w:r w:rsidR="0006179C">
        <w:rPr>
          <w:rFonts w:ascii="Times New Roman" w:hAnsi="Times New Roman" w:cs="Times New Roman"/>
          <w:lang w:val="en-US"/>
        </w:rPr>
        <w:t>s are funded</w:t>
      </w:r>
      <w:r>
        <w:rPr>
          <w:rFonts w:ascii="Times New Roman" w:hAnsi="Times New Roman" w:cs="Times New Roman"/>
          <w:lang w:val="en-US"/>
        </w:rPr>
        <w:t xml:space="preserve"> in rural and </w:t>
      </w:r>
      <w:r w:rsidR="003C5FFF">
        <w:rPr>
          <w:rFonts w:ascii="Times New Roman" w:hAnsi="Times New Roman" w:cs="Times New Roman"/>
          <w:lang w:val="en-US"/>
        </w:rPr>
        <w:t>urban</w:t>
      </w:r>
      <w:r>
        <w:rPr>
          <w:rFonts w:ascii="Times New Roman" w:hAnsi="Times New Roman" w:cs="Times New Roman"/>
          <w:lang w:val="en-US"/>
        </w:rPr>
        <w:t xml:space="preserve"> areas. </w:t>
      </w:r>
      <w:r w:rsidR="003C5FFF">
        <w:rPr>
          <w:rFonts w:ascii="Times New Roman" w:hAnsi="Times New Roman" w:cs="Times New Roman"/>
          <w:lang w:val="en-US"/>
        </w:rPr>
        <w:t xml:space="preserve">Besides </w:t>
      </w:r>
      <w:r>
        <w:rPr>
          <w:rFonts w:ascii="Times New Roman" w:hAnsi="Times New Roman" w:cs="Times New Roman"/>
          <w:lang w:val="en-US"/>
        </w:rPr>
        <w:t>strengthening inclusive and communal forms of living as well as mobility and participation</w:t>
      </w:r>
      <w:r w:rsidR="00BF4294">
        <w:rPr>
          <w:rFonts w:ascii="Times New Roman" w:hAnsi="Times New Roman" w:cs="Times New Roman"/>
          <w:lang w:val="en-US"/>
        </w:rPr>
        <w:t>,</w:t>
      </w:r>
      <w:r w:rsidR="00E95F26">
        <w:rPr>
          <w:rFonts w:ascii="Times New Roman" w:hAnsi="Times New Roman" w:cs="Times New Roman"/>
          <w:lang w:val="en-US"/>
        </w:rPr>
        <w:t xml:space="preserve"> t</w:t>
      </w:r>
      <w:r>
        <w:rPr>
          <w:rFonts w:ascii="Times New Roman" w:hAnsi="Times New Roman" w:cs="Times New Roman"/>
          <w:lang w:val="en-US"/>
        </w:rPr>
        <w:t>he project also aim</w:t>
      </w:r>
      <w:r w:rsidR="00E95F26">
        <w:rPr>
          <w:rFonts w:ascii="Times New Roman" w:hAnsi="Times New Roman" w:cs="Times New Roman"/>
          <w:lang w:val="en-US"/>
        </w:rPr>
        <w:t>s</w:t>
      </w:r>
      <w:r>
        <w:rPr>
          <w:rFonts w:ascii="Times New Roman" w:hAnsi="Times New Roman" w:cs="Times New Roman"/>
          <w:lang w:val="en-US"/>
        </w:rPr>
        <w:t xml:space="preserve"> at promoting digital and techn</w:t>
      </w:r>
      <w:r w:rsidR="003C5FFF">
        <w:rPr>
          <w:rFonts w:ascii="Times New Roman" w:hAnsi="Times New Roman" w:cs="Times New Roman"/>
          <w:lang w:val="en-US"/>
        </w:rPr>
        <w:t>ology-assisted</w:t>
      </w:r>
      <w:r>
        <w:rPr>
          <w:rFonts w:ascii="Times New Roman" w:hAnsi="Times New Roman" w:cs="Times New Roman"/>
          <w:lang w:val="en-US"/>
        </w:rPr>
        <w:t xml:space="preserve"> </w:t>
      </w:r>
      <w:r w:rsidR="003C5FFF">
        <w:rPr>
          <w:rFonts w:ascii="Times New Roman" w:hAnsi="Times New Roman" w:cs="Times New Roman"/>
          <w:lang w:val="en-US"/>
        </w:rPr>
        <w:t>(</w:t>
      </w:r>
      <w:r>
        <w:rPr>
          <w:rFonts w:ascii="Times New Roman" w:hAnsi="Times New Roman" w:cs="Times New Roman"/>
          <w:lang w:val="en-US"/>
        </w:rPr>
        <w:t>enhanced</w:t>
      </w:r>
      <w:r w:rsidR="003C5FFF">
        <w:rPr>
          <w:rFonts w:ascii="Times New Roman" w:hAnsi="Times New Roman" w:cs="Times New Roman"/>
          <w:lang w:val="en-US"/>
        </w:rPr>
        <w:t>)</w:t>
      </w:r>
      <w:r>
        <w:rPr>
          <w:rFonts w:ascii="Times New Roman" w:hAnsi="Times New Roman" w:cs="Times New Roman"/>
          <w:lang w:val="en-US"/>
        </w:rPr>
        <w:t xml:space="preserve"> forms of living. Another goal is to </w:t>
      </w:r>
      <w:r w:rsidR="00D95D08">
        <w:rPr>
          <w:rFonts w:ascii="Times New Roman" w:hAnsi="Times New Roman" w:cs="Times New Roman"/>
          <w:lang w:val="en-US"/>
        </w:rPr>
        <w:t>provide</w:t>
      </w:r>
      <w:r>
        <w:rPr>
          <w:rFonts w:ascii="Times New Roman" w:hAnsi="Times New Roman" w:cs="Times New Roman"/>
          <w:lang w:val="en-US"/>
        </w:rPr>
        <w:t xml:space="preserve"> alternatives to institutional care, which</w:t>
      </w:r>
      <w:r w:rsidR="00E95F26">
        <w:rPr>
          <w:rFonts w:ascii="Times New Roman" w:hAnsi="Times New Roman" w:cs="Times New Roman"/>
          <w:lang w:val="en-US"/>
        </w:rPr>
        <w:t>,</w:t>
      </w:r>
      <w:r>
        <w:rPr>
          <w:rFonts w:ascii="Times New Roman" w:hAnsi="Times New Roman" w:cs="Times New Roman"/>
          <w:lang w:val="en-US"/>
        </w:rPr>
        <w:t xml:space="preserve"> in general</w:t>
      </w:r>
      <w:r w:rsidR="00E95F26">
        <w:rPr>
          <w:rFonts w:ascii="Times New Roman" w:hAnsi="Times New Roman" w:cs="Times New Roman"/>
          <w:lang w:val="en-US"/>
        </w:rPr>
        <w:t>,</w:t>
      </w:r>
      <w:r>
        <w:rPr>
          <w:rFonts w:ascii="Times New Roman" w:hAnsi="Times New Roman" w:cs="Times New Roman"/>
          <w:lang w:val="en-US"/>
        </w:rPr>
        <w:t xml:space="preserve"> is more </w:t>
      </w:r>
      <w:r w:rsidR="00D95D08">
        <w:rPr>
          <w:rFonts w:ascii="Times New Roman" w:hAnsi="Times New Roman" w:cs="Times New Roman"/>
          <w:lang w:val="en-US"/>
        </w:rPr>
        <w:t>cost</w:t>
      </w:r>
      <w:r w:rsidR="003032C9">
        <w:rPr>
          <w:rFonts w:ascii="Times New Roman" w:hAnsi="Times New Roman" w:cs="Times New Roman"/>
          <w:lang w:val="en-US"/>
        </w:rPr>
        <w:t xml:space="preserve"> intensive</w:t>
      </w:r>
      <w:r>
        <w:rPr>
          <w:rFonts w:ascii="Times New Roman" w:hAnsi="Times New Roman" w:cs="Times New Roman"/>
          <w:lang w:val="en-US"/>
        </w:rPr>
        <w:t xml:space="preserve">, as well as </w:t>
      </w:r>
      <w:r w:rsidR="00E95F26">
        <w:rPr>
          <w:rFonts w:ascii="Times New Roman" w:hAnsi="Times New Roman" w:cs="Times New Roman"/>
          <w:lang w:val="en-US"/>
        </w:rPr>
        <w:t xml:space="preserve">to </w:t>
      </w:r>
      <w:r>
        <w:rPr>
          <w:rFonts w:ascii="Times New Roman" w:hAnsi="Times New Roman" w:cs="Times New Roman"/>
          <w:lang w:val="en-US"/>
        </w:rPr>
        <w:t xml:space="preserve">avoid </w:t>
      </w:r>
      <w:r w:rsidR="00D95D08">
        <w:rPr>
          <w:rFonts w:ascii="Times New Roman" w:hAnsi="Times New Roman" w:cs="Times New Roman"/>
          <w:lang w:val="en-US"/>
        </w:rPr>
        <w:t xml:space="preserve">unnecessary and </w:t>
      </w:r>
      <w:r>
        <w:rPr>
          <w:rFonts w:ascii="Times New Roman" w:hAnsi="Times New Roman" w:cs="Times New Roman"/>
          <w:lang w:val="en-US"/>
        </w:rPr>
        <w:t>unwanted relocations to institutions.</w:t>
      </w:r>
    </w:p>
    <w:p w:rsidR="005B434F" w:rsidRPr="005B434F" w:rsidRDefault="005B434F" w:rsidP="00D96594">
      <w:pPr>
        <w:pStyle w:val="Listenabsatz"/>
        <w:jc w:val="both"/>
        <w:rPr>
          <w:rFonts w:ascii="Times New Roman" w:hAnsi="Times New Roman" w:cs="Times New Roman"/>
          <w:lang w:val="en-US"/>
        </w:rPr>
      </w:pPr>
      <w:r>
        <w:rPr>
          <w:rFonts w:ascii="Times New Roman" w:hAnsi="Times New Roman" w:cs="Times New Roman"/>
          <w:lang w:val="en-US"/>
        </w:rPr>
        <w:t>Already in the past</w:t>
      </w:r>
      <w:r w:rsidR="004E2852">
        <w:rPr>
          <w:rFonts w:ascii="Times New Roman" w:hAnsi="Times New Roman" w:cs="Times New Roman"/>
          <w:lang w:val="en-US"/>
        </w:rPr>
        <w:t>,</w:t>
      </w:r>
      <w:r>
        <w:rPr>
          <w:rFonts w:ascii="Times New Roman" w:hAnsi="Times New Roman" w:cs="Times New Roman"/>
          <w:lang w:val="en-US"/>
        </w:rPr>
        <w:t xml:space="preserve"> </w:t>
      </w:r>
      <w:r w:rsidR="004E2852">
        <w:rPr>
          <w:rFonts w:ascii="Times New Roman" w:hAnsi="Times New Roman" w:cs="Times New Roman"/>
          <w:lang w:val="en-US"/>
        </w:rPr>
        <w:t xml:space="preserve">the </w:t>
      </w:r>
      <w:r w:rsidRPr="003032C9">
        <w:rPr>
          <w:rFonts w:ascii="Times New Roman" w:hAnsi="Times New Roman" w:cs="Times New Roman"/>
          <w:i/>
          <w:lang w:val="en-US"/>
        </w:rPr>
        <w:t>BMFSFJ</w:t>
      </w:r>
      <w:r>
        <w:rPr>
          <w:rFonts w:ascii="Times New Roman" w:hAnsi="Times New Roman" w:cs="Times New Roman"/>
          <w:lang w:val="en-US"/>
        </w:rPr>
        <w:t xml:space="preserve"> financed various model programs and projects </w:t>
      </w:r>
      <w:r w:rsidR="00E660D1">
        <w:rPr>
          <w:rFonts w:ascii="Times New Roman" w:hAnsi="Times New Roman" w:cs="Times New Roman"/>
          <w:lang w:val="en-US"/>
        </w:rPr>
        <w:t>on</w:t>
      </w:r>
      <w:r>
        <w:rPr>
          <w:rFonts w:ascii="Times New Roman" w:hAnsi="Times New Roman" w:cs="Times New Roman"/>
          <w:lang w:val="en-US"/>
        </w:rPr>
        <w:t xml:space="preserve"> communal living.</w:t>
      </w:r>
    </w:p>
    <w:p w:rsidR="00D96594" w:rsidRPr="005B434F" w:rsidRDefault="00D96594" w:rsidP="00D96594">
      <w:pPr>
        <w:pStyle w:val="Listenabsatz"/>
        <w:jc w:val="both"/>
        <w:rPr>
          <w:rFonts w:ascii="Times New Roman" w:hAnsi="Times New Roman" w:cs="Times New Roman"/>
          <w:sz w:val="22"/>
          <w:szCs w:val="22"/>
          <w:lang w:val="en-US"/>
        </w:rPr>
      </w:pPr>
    </w:p>
    <w:p w:rsidR="00AE4A41" w:rsidRPr="005B434F" w:rsidRDefault="00AE4A41" w:rsidP="00EA0AFD">
      <w:pPr>
        <w:pStyle w:val="Listenabsatz"/>
        <w:rPr>
          <w:rFonts w:ascii="Times New Roman" w:hAnsi="Times New Roman" w:cs="Times New Roman"/>
          <w:sz w:val="22"/>
          <w:szCs w:val="22"/>
          <w:lang w:val="en-US"/>
        </w:rPr>
      </w:pPr>
    </w:p>
    <w:p w:rsidR="0019280A" w:rsidRPr="0019280A" w:rsidRDefault="0019280A" w:rsidP="0019280A">
      <w:pPr>
        <w:spacing w:after="0"/>
        <w:jc w:val="both"/>
        <w:rPr>
          <w:rFonts w:ascii="Times New Roman" w:hAnsi="Times New Roman" w:cs="Times New Roman"/>
          <w:lang w:val="en-GB"/>
        </w:rPr>
      </w:pPr>
    </w:p>
    <w:p w:rsidR="0019280A" w:rsidRPr="0065510A" w:rsidRDefault="0019280A" w:rsidP="0065510A">
      <w:pPr>
        <w:pStyle w:val="Listenabsatz"/>
        <w:numPr>
          <w:ilvl w:val="0"/>
          <w:numId w:val="4"/>
        </w:numPr>
        <w:jc w:val="both"/>
        <w:rPr>
          <w:rFonts w:ascii="Times New Roman" w:hAnsi="Times New Roman" w:cs="Times New Roman"/>
          <w:b/>
          <w:lang w:val="en-GB"/>
        </w:rPr>
      </w:pPr>
      <w:r w:rsidRPr="0065510A">
        <w:rPr>
          <w:rFonts w:ascii="Times New Roman" w:hAnsi="Times New Roman" w:cs="Times New Roman"/>
          <w:b/>
          <w:lang w:val="en-GB"/>
        </w:rPr>
        <w:t xml:space="preserve">What </w:t>
      </w:r>
      <w:r w:rsidRPr="0065510A">
        <w:rPr>
          <w:rFonts w:ascii="Times New Roman" w:hAnsi="Times New Roman" w:cs="Times New Roman"/>
          <w:b/>
          <w:bCs/>
          <w:lang w:val="en-GB"/>
        </w:rPr>
        <w:t>challenges, barriers and forms of discrimination</w:t>
      </w:r>
      <w:r w:rsidRPr="0065510A">
        <w:rPr>
          <w:rFonts w:ascii="Times New Roman" w:hAnsi="Times New Roman" w:cs="Times New Roman"/>
          <w:b/>
          <w:lang w:val="en-GB"/>
        </w:rPr>
        <w:t xml:space="preserve"> are faced by older persons in fulfilling their right to adequate housing? Please also include any existing legislation, policy or practice.</w:t>
      </w:r>
      <w:r w:rsidR="00AE4A41" w:rsidRPr="0065510A">
        <w:rPr>
          <w:rFonts w:ascii="Times New Roman" w:hAnsi="Times New Roman" w:cs="Times New Roman"/>
          <w:b/>
          <w:lang w:val="en-GB"/>
        </w:rPr>
        <w:t xml:space="preserve"> Please also state how it impact older persons’ enjoyment of other human rights.</w:t>
      </w:r>
    </w:p>
    <w:p w:rsidR="00775C4C" w:rsidRPr="00775C4C" w:rsidRDefault="00775C4C" w:rsidP="00775C4C">
      <w:pPr>
        <w:pStyle w:val="Listenabsatz"/>
        <w:rPr>
          <w:rFonts w:ascii="Times New Roman" w:hAnsi="Times New Roman" w:cs="Times New Roman"/>
          <w:sz w:val="22"/>
          <w:szCs w:val="22"/>
          <w:lang w:val="en-GB"/>
        </w:rPr>
      </w:pPr>
    </w:p>
    <w:p w:rsidR="00775C4C" w:rsidRDefault="00775C4C" w:rsidP="00775C4C">
      <w:pPr>
        <w:pStyle w:val="Listenabsatz"/>
        <w:jc w:val="both"/>
        <w:rPr>
          <w:rFonts w:ascii="Times New Roman" w:hAnsi="Times New Roman" w:cs="Times New Roman"/>
          <w:sz w:val="22"/>
          <w:szCs w:val="22"/>
          <w:lang w:val="en-GB"/>
        </w:rPr>
      </w:pPr>
      <w:r>
        <w:rPr>
          <w:rFonts w:ascii="Times New Roman" w:hAnsi="Times New Roman" w:cs="Times New Roman"/>
          <w:sz w:val="22"/>
          <w:szCs w:val="22"/>
          <w:lang w:val="en-GB"/>
        </w:rPr>
        <w:t>Contribution by the Federal Anti-Discrimination Agency</w:t>
      </w:r>
    </w:p>
    <w:p w:rsidR="00775C4C" w:rsidRDefault="00775C4C" w:rsidP="00775C4C">
      <w:pPr>
        <w:pStyle w:val="Listenabsatz"/>
        <w:jc w:val="both"/>
        <w:rPr>
          <w:rFonts w:ascii="Times New Roman" w:hAnsi="Times New Roman" w:cs="Times New Roman"/>
          <w:sz w:val="22"/>
          <w:szCs w:val="22"/>
          <w:lang w:val="en-GB"/>
        </w:rPr>
      </w:pPr>
    </w:p>
    <w:p w:rsidR="00775C4C" w:rsidRDefault="00775C4C" w:rsidP="00775C4C">
      <w:pPr>
        <w:pStyle w:val="NurText"/>
        <w:spacing w:after="120"/>
        <w:ind w:left="709"/>
      </w:pPr>
      <w:r>
        <w:t>In a 2019 population-representative survey carried out on behalf of the Federal Anti-Discrimination Agency, eight percent of interviewees looking for housing at any time in the previous ten years reported experiencing discrimination on account of their age. The youngest and oldest cohorts surveyed were most likely to report being affected by this. Specifically, 16 percent of interviewees aged between 16 and 34, and 11 percent of those aged 60 or over reported such experiences.</w:t>
      </w:r>
      <w:r>
        <w:rPr>
          <w:rStyle w:val="Funotenzeichen"/>
        </w:rPr>
        <w:footnoteReference w:id="1"/>
      </w:r>
    </w:p>
    <w:p w:rsidR="00775C4C" w:rsidRDefault="00775C4C" w:rsidP="00775C4C">
      <w:pPr>
        <w:pStyle w:val="NurText"/>
        <w:spacing w:after="120"/>
        <w:ind w:left="709"/>
      </w:pPr>
      <w:r>
        <w:t xml:space="preserve">Time and again, consultation </w:t>
      </w:r>
      <w:proofErr w:type="gramStart"/>
      <w:r>
        <w:t>is</w:t>
      </w:r>
      <w:proofErr w:type="gramEnd"/>
      <w:r>
        <w:t xml:space="preserve"> sought from the Federal Anti-Discrimination Agency by people who have been turned away by the lessor when looking for housing on grounds of their age. Older people seeking advice tend to report, for instance, being turned away because only “young families” were welcome. Conversely, younger clients report that lessors only accept persons above a certain age or that housing ads are explicitly addressed to pensioners or senior citizens. Such cases regularly illustrate the issues addressed in section 19 (5) of the </w:t>
      </w:r>
      <w:proofErr w:type="gramStart"/>
      <w:r>
        <w:t>AGG .</w:t>
      </w:r>
      <w:proofErr w:type="gramEnd"/>
      <w:r>
        <w:t xml:space="preserve"> If the lessor does not let out more than 50 apartments, the AGG’s protection against discrimination on grounds of age does not apply. </w:t>
      </w:r>
      <w:r>
        <w:rPr>
          <w:rStyle w:val="Funotenzeichen"/>
        </w:rPr>
        <w:footnoteReference w:id="2"/>
      </w:r>
    </w:p>
    <w:p w:rsidR="00775C4C" w:rsidRDefault="00775C4C" w:rsidP="00775C4C">
      <w:pPr>
        <w:pStyle w:val="NurText"/>
        <w:spacing w:after="120"/>
        <w:ind w:left="709"/>
      </w:pPr>
      <w:r>
        <w:t xml:space="preserve">When people with a disability turn to the Federal Anti-Discrimination Agency on account of discrimination on the housing market, it most often concerns a lack of accessibility. Firstly, some lessors do not allow their lessees to remove barriers (such as by fitting door openers or home modifications), although there is a legal requirement to accommodate disabilities (section 554 of the Civil Code - BGB). Secondly, it is seen as discriminatory that too little </w:t>
      </w:r>
      <w:r>
        <w:lastRenderedPageBreak/>
        <w:t xml:space="preserve">accessible housing in general is available. </w:t>
      </w:r>
      <w:r>
        <w:rPr>
          <w:rStyle w:val="Funotenzeichen"/>
        </w:rPr>
        <w:footnoteReference w:id="3"/>
      </w:r>
      <w:r>
        <w:t xml:space="preserve"> These cases are relevant here because the proportion of persons of disabilities and impairments rises with age. </w:t>
      </w:r>
      <w:r>
        <w:rPr>
          <w:rStyle w:val="Funotenzeichen"/>
        </w:rPr>
        <w:footnoteReference w:id="4"/>
      </w:r>
    </w:p>
    <w:p w:rsidR="00775C4C" w:rsidRDefault="00775C4C" w:rsidP="00775C4C">
      <w:pPr>
        <w:pStyle w:val="NurText"/>
        <w:spacing w:after="120"/>
        <w:ind w:left="709"/>
      </w:pPr>
      <w:r>
        <w:t xml:space="preserve">More examples of challenges that confront older persons in the area of housing can be found in a discussion paper on “Fighting Discrimination on the Ground of Age” by </w:t>
      </w:r>
      <w:proofErr w:type="spellStart"/>
      <w:r>
        <w:t>Equinet</w:t>
      </w:r>
      <w:proofErr w:type="spellEnd"/>
      <w:r>
        <w:t xml:space="preserve">, the European Network of Equality Bodies. </w:t>
      </w:r>
      <w:r>
        <w:rPr>
          <w:rStyle w:val="Funotenzeichen"/>
        </w:rPr>
        <w:footnoteReference w:id="5"/>
      </w:r>
    </w:p>
    <w:p w:rsidR="00775C4C" w:rsidRDefault="00775C4C" w:rsidP="00775C4C">
      <w:pPr>
        <w:pStyle w:val="NurText"/>
        <w:numPr>
          <w:ilvl w:val="0"/>
          <w:numId w:val="3"/>
        </w:numPr>
        <w:spacing w:after="120"/>
        <w:rPr>
          <w:b/>
        </w:rPr>
      </w:pPr>
      <w:r>
        <w:rPr>
          <w:b/>
        </w:rPr>
        <w:t>How do other factors (i.e., gender, sex, race, ethnicity, indigenous identity, disability, sexual orientation, gender identity, religion, social status, place of origin and immigration status) intersect and impact the enjoyment of older persons’ right to adequate housing?</w:t>
      </w:r>
    </w:p>
    <w:p w:rsidR="00775C4C" w:rsidRPr="00775C4C" w:rsidRDefault="00775C4C" w:rsidP="00775C4C">
      <w:pPr>
        <w:pStyle w:val="NurText"/>
        <w:spacing w:after="120"/>
        <w:ind w:left="720"/>
      </w:pPr>
      <w:r w:rsidRPr="00775C4C">
        <w:t>Contribution by the Federal Anti-Discrimination Agency</w:t>
      </w:r>
    </w:p>
    <w:p w:rsidR="00775C4C" w:rsidRDefault="00775C4C" w:rsidP="00775C4C">
      <w:pPr>
        <w:pStyle w:val="NurText"/>
        <w:spacing w:after="120"/>
        <w:ind w:left="709"/>
      </w:pPr>
      <w:r>
        <w:t>The results of a population-representative survey conducted on behalf of the Federal Anti-Discrimination Agency suggest that women (relative to men) and persons with disabilities (relative to persons without impairments) are significantly more likely to report ageism.</w:t>
      </w:r>
      <w:r>
        <w:rPr>
          <w:rStyle w:val="Funotenzeichen"/>
        </w:rPr>
        <w:footnoteReference w:id="6"/>
      </w:r>
      <w:r>
        <w:t xml:space="preserve"> While the result does not refer to the housing market, but to discrimination experiences in general, it is highly likely that, in this area too, disadvantages would be exacerbated or less easily compensated due to various factors (e.g. a low income).</w:t>
      </w:r>
    </w:p>
    <w:p w:rsidR="00775C4C" w:rsidRPr="003F5E34" w:rsidRDefault="00775C4C" w:rsidP="00775C4C">
      <w:pPr>
        <w:pStyle w:val="NurText"/>
        <w:spacing w:after="120"/>
        <w:ind w:left="709"/>
      </w:pPr>
      <w:r>
        <w:t xml:space="preserve">What is more, older persons are much more likely to have a disability and are more at risk of poverty (this particularly applies to older women). </w:t>
      </w:r>
      <w:r>
        <w:rPr>
          <w:rStyle w:val="Funotenzeichen"/>
        </w:rPr>
        <w:footnoteReference w:id="7"/>
      </w:r>
    </w:p>
    <w:p w:rsidR="0019280A" w:rsidRPr="0019280A" w:rsidRDefault="0019280A" w:rsidP="0019280A">
      <w:pPr>
        <w:pStyle w:val="Listenabsatz"/>
        <w:jc w:val="both"/>
        <w:rPr>
          <w:rFonts w:ascii="Times New Roman" w:hAnsi="Times New Roman" w:cs="Times New Roman"/>
          <w:sz w:val="22"/>
          <w:szCs w:val="22"/>
          <w:lang w:val="en-GB"/>
        </w:rPr>
      </w:pPr>
    </w:p>
    <w:p w:rsidR="0019280A" w:rsidRPr="0019280A" w:rsidRDefault="0019280A" w:rsidP="0065510A">
      <w:pPr>
        <w:pStyle w:val="Listenabsatz"/>
        <w:jc w:val="both"/>
        <w:rPr>
          <w:rFonts w:ascii="Times New Roman" w:hAnsi="Times New Roman" w:cs="Times New Roman"/>
          <w:sz w:val="22"/>
          <w:szCs w:val="22"/>
          <w:lang w:val="en-GB"/>
        </w:rPr>
      </w:pPr>
      <w:r w:rsidRPr="0019280A">
        <w:rPr>
          <w:rFonts w:ascii="Times New Roman" w:hAnsi="Times New Roman" w:cs="Times New Roman"/>
          <w:sz w:val="22"/>
          <w:szCs w:val="22"/>
          <w:lang w:val="en-GB"/>
        </w:rPr>
        <w:t xml:space="preserve"> </w:t>
      </w:r>
    </w:p>
    <w:p w:rsidR="0019280A" w:rsidRPr="0019280A" w:rsidRDefault="0019280A" w:rsidP="00617F01">
      <w:pPr>
        <w:pStyle w:val="Listenabsatz"/>
        <w:jc w:val="both"/>
        <w:rPr>
          <w:rFonts w:ascii="Times New Roman" w:hAnsi="Times New Roman" w:cs="Times New Roman"/>
          <w:sz w:val="22"/>
          <w:szCs w:val="22"/>
          <w:lang w:val="en-GB"/>
        </w:rPr>
      </w:pPr>
    </w:p>
    <w:p w:rsidR="0019280A" w:rsidRPr="0065510A" w:rsidRDefault="0019280A" w:rsidP="00775C4C">
      <w:pPr>
        <w:pStyle w:val="Listenabsatz"/>
        <w:numPr>
          <w:ilvl w:val="0"/>
          <w:numId w:val="3"/>
        </w:numPr>
        <w:jc w:val="both"/>
        <w:rPr>
          <w:rFonts w:ascii="Times New Roman" w:hAnsi="Times New Roman" w:cs="Times New Roman"/>
          <w:b/>
          <w:sz w:val="22"/>
          <w:szCs w:val="22"/>
          <w:lang w:val="en-GB"/>
        </w:rPr>
      </w:pPr>
      <w:r w:rsidRPr="0065510A">
        <w:rPr>
          <w:rFonts w:ascii="Times New Roman" w:hAnsi="Times New Roman" w:cs="Times New Roman"/>
          <w:b/>
          <w:sz w:val="22"/>
          <w:szCs w:val="22"/>
          <w:lang w:val="en-GB"/>
        </w:rPr>
        <w:t xml:space="preserve">What impact has had </w:t>
      </w:r>
      <w:r w:rsidRPr="0065510A">
        <w:rPr>
          <w:rFonts w:ascii="Times New Roman" w:hAnsi="Times New Roman" w:cs="Times New Roman"/>
          <w:b/>
          <w:bCs/>
          <w:sz w:val="22"/>
          <w:szCs w:val="22"/>
          <w:lang w:val="en-GB"/>
        </w:rPr>
        <w:t>the COVID-19 pandemic</w:t>
      </w:r>
      <w:r w:rsidRPr="0065510A">
        <w:rPr>
          <w:rFonts w:ascii="Times New Roman" w:hAnsi="Times New Roman" w:cs="Times New Roman"/>
          <w:b/>
          <w:sz w:val="22"/>
          <w:szCs w:val="22"/>
          <w:lang w:val="en-GB"/>
        </w:rPr>
        <w:t xml:space="preserve"> on older persons’ right to adequate housing in your country</w:t>
      </w:r>
      <w:r w:rsidR="00FF3978" w:rsidRPr="0065510A">
        <w:rPr>
          <w:rFonts w:ascii="Times New Roman" w:hAnsi="Times New Roman" w:cs="Times New Roman"/>
          <w:b/>
          <w:sz w:val="22"/>
          <w:szCs w:val="22"/>
          <w:lang w:val="en-GB"/>
        </w:rPr>
        <w:t xml:space="preserve"> </w:t>
      </w:r>
      <w:r w:rsidR="00FF3978" w:rsidRPr="0065510A">
        <w:rPr>
          <w:rFonts w:ascii="Times New Roman" w:hAnsi="Times New Roman" w:cs="Times New Roman"/>
          <w:b/>
          <w:sz w:val="22"/>
          <w:szCs w:val="22"/>
          <w:lang w:val="en-US"/>
        </w:rPr>
        <w:t>(e.g., has the pandemic caused any policy shift away from institutions and more emphasis on community supports)</w:t>
      </w:r>
      <w:r w:rsidRPr="0065510A">
        <w:rPr>
          <w:rFonts w:ascii="Times New Roman" w:hAnsi="Times New Roman" w:cs="Times New Roman"/>
          <w:b/>
          <w:sz w:val="22"/>
          <w:szCs w:val="22"/>
          <w:lang w:val="en-GB"/>
        </w:rPr>
        <w:t>? What measures have been taken to minimize its impact?</w:t>
      </w:r>
    </w:p>
    <w:p w:rsidR="00795B1E" w:rsidRDefault="00A9224F" w:rsidP="00795B1E">
      <w:pPr>
        <w:pStyle w:val="Listenabsatz"/>
        <w:jc w:val="both"/>
        <w:rPr>
          <w:rFonts w:ascii="Times New Roman" w:hAnsi="Times New Roman" w:cs="Times New Roman"/>
          <w:lang w:val="de-DE"/>
        </w:rPr>
      </w:pPr>
      <w:r w:rsidRPr="005B434F">
        <w:rPr>
          <w:rFonts w:ascii="Times New Roman" w:hAnsi="Times New Roman" w:cs="Times New Roman"/>
          <w:lang w:val="de-DE"/>
        </w:rPr>
        <w:t>.</w:t>
      </w:r>
      <w:r w:rsidR="00795B1E" w:rsidRPr="005B434F">
        <w:rPr>
          <w:rFonts w:ascii="Times New Roman" w:hAnsi="Times New Roman" w:cs="Times New Roman"/>
          <w:lang w:val="de-DE"/>
        </w:rPr>
        <w:t xml:space="preserve">  </w:t>
      </w:r>
    </w:p>
    <w:p w:rsidR="004E2852" w:rsidRDefault="004E2852" w:rsidP="00795B1E">
      <w:pPr>
        <w:pStyle w:val="Listenabsatz"/>
        <w:jc w:val="both"/>
        <w:rPr>
          <w:rFonts w:ascii="Times New Roman" w:hAnsi="Times New Roman" w:cs="Times New Roman"/>
          <w:lang w:val="de-DE"/>
        </w:rPr>
      </w:pPr>
    </w:p>
    <w:p w:rsidR="004E2852" w:rsidRPr="003032C9" w:rsidRDefault="004E2852" w:rsidP="00795B1E">
      <w:pPr>
        <w:pStyle w:val="Listenabsatz"/>
        <w:jc w:val="both"/>
        <w:rPr>
          <w:rFonts w:ascii="Times New Roman" w:hAnsi="Times New Roman" w:cs="Times New Roman"/>
          <w:lang w:val="en-US"/>
        </w:rPr>
      </w:pPr>
      <w:r w:rsidRPr="003032C9">
        <w:rPr>
          <w:rFonts w:ascii="Times New Roman" w:hAnsi="Times New Roman" w:cs="Times New Roman"/>
          <w:lang w:val="en-US"/>
        </w:rPr>
        <w:t xml:space="preserve">The </w:t>
      </w:r>
      <w:proofErr w:type="spellStart"/>
      <w:r w:rsidRPr="003032C9">
        <w:rPr>
          <w:rFonts w:ascii="Times New Roman" w:hAnsi="Times New Roman" w:cs="Times New Roman"/>
          <w:lang w:val="en-US"/>
        </w:rPr>
        <w:t>Covid</w:t>
      </w:r>
      <w:proofErr w:type="spellEnd"/>
      <w:r w:rsidRPr="003032C9">
        <w:rPr>
          <w:rFonts w:ascii="Times New Roman" w:hAnsi="Times New Roman" w:cs="Times New Roman"/>
          <w:lang w:val="en-US"/>
        </w:rPr>
        <w:t xml:space="preserve"> 19-pandemic has underlined the importance of housing </w:t>
      </w:r>
      <w:r w:rsidR="00B1556A" w:rsidRPr="003032C9">
        <w:rPr>
          <w:rFonts w:ascii="Times New Roman" w:hAnsi="Times New Roman" w:cs="Times New Roman"/>
          <w:lang w:val="en-US"/>
        </w:rPr>
        <w:t xml:space="preserve">once gain. In </w:t>
      </w:r>
      <w:proofErr w:type="gramStart"/>
      <w:r w:rsidR="00B1556A" w:rsidRPr="003032C9">
        <w:rPr>
          <w:rFonts w:ascii="Times New Roman" w:hAnsi="Times New Roman" w:cs="Times New Roman"/>
          <w:lang w:val="en-US"/>
        </w:rPr>
        <w:t>general</w:t>
      </w:r>
      <w:proofErr w:type="gramEnd"/>
      <w:r w:rsidR="00B1556A" w:rsidRPr="003032C9">
        <w:rPr>
          <w:rFonts w:ascii="Times New Roman" w:hAnsi="Times New Roman" w:cs="Times New Roman"/>
          <w:lang w:val="en-US"/>
        </w:rPr>
        <w:t xml:space="preserve"> and in particular under these conditions it is important that especially older persons are in a position to </w:t>
      </w:r>
      <w:proofErr w:type="spellStart"/>
      <w:r w:rsidR="00B1556A" w:rsidRPr="003032C9">
        <w:rPr>
          <w:rFonts w:ascii="Times New Roman" w:hAnsi="Times New Roman" w:cs="Times New Roman"/>
          <w:lang w:val="en-US"/>
        </w:rPr>
        <w:t>coninue</w:t>
      </w:r>
      <w:proofErr w:type="spellEnd"/>
      <w:r w:rsidR="00B1556A" w:rsidRPr="003032C9">
        <w:rPr>
          <w:rFonts w:ascii="Times New Roman" w:hAnsi="Times New Roman" w:cs="Times New Roman"/>
          <w:lang w:val="en-US"/>
        </w:rPr>
        <w:t xml:space="preserve"> </w:t>
      </w:r>
      <w:r w:rsidR="00FB497D" w:rsidRPr="003032C9">
        <w:rPr>
          <w:rFonts w:ascii="Times New Roman" w:hAnsi="Times New Roman" w:cs="Times New Roman"/>
          <w:lang w:val="en-US"/>
        </w:rPr>
        <w:t>living an independent</w:t>
      </w:r>
      <w:r w:rsidR="00B1556A" w:rsidRPr="003032C9">
        <w:rPr>
          <w:rFonts w:ascii="Times New Roman" w:hAnsi="Times New Roman" w:cs="Times New Roman"/>
          <w:lang w:val="en-US"/>
        </w:rPr>
        <w:t xml:space="preserve"> life but at the same time keep in contact with other people and participate in</w:t>
      </w:r>
      <w:r w:rsidR="00F45D4B" w:rsidRPr="003032C9">
        <w:rPr>
          <w:rFonts w:ascii="Times New Roman" w:hAnsi="Times New Roman" w:cs="Times New Roman"/>
          <w:lang w:val="en-US"/>
        </w:rPr>
        <w:t xml:space="preserve"> society</w:t>
      </w:r>
      <w:r w:rsidR="00B1556A" w:rsidRPr="003032C9">
        <w:rPr>
          <w:rFonts w:ascii="Times New Roman" w:hAnsi="Times New Roman" w:cs="Times New Roman"/>
          <w:lang w:val="en-US"/>
        </w:rPr>
        <w:t>.</w:t>
      </w:r>
    </w:p>
    <w:p w:rsidR="0019280A" w:rsidRPr="003032C9" w:rsidRDefault="0019280A" w:rsidP="00617F01">
      <w:pPr>
        <w:pStyle w:val="Listenabsatz"/>
        <w:jc w:val="both"/>
        <w:rPr>
          <w:rFonts w:ascii="Times New Roman" w:hAnsi="Times New Roman" w:cs="Times New Roman"/>
          <w:sz w:val="22"/>
          <w:szCs w:val="22"/>
          <w:lang w:val="en-US"/>
        </w:rPr>
      </w:pPr>
    </w:p>
    <w:p w:rsidR="0019280A" w:rsidRPr="00D96594" w:rsidRDefault="0019280A" w:rsidP="00775C4C">
      <w:pPr>
        <w:pStyle w:val="Listenabsatz"/>
        <w:numPr>
          <w:ilvl w:val="0"/>
          <w:numId w:val="3"/>
        </w:numPr>
        <w:jc w:val="both"/>
        <w:rPr>
          <w:rFonts w:ascii="Times New Roman" w:hAnsi="Times New Roman" w:cs="Times New Roman"/>
          <w:sz w:val="22"/>
          <w:szCs w:val="22"/>
          <w:lang w:val="en-US"/>
        </w:rPr>
      </w:pPr>
      <w:r w:rsidRPr="0019280A">
        <w:rPr>
          <w:rFonts w:ascii="Times New Roman" w:hAnsi="Times New Roman" w:cs="Times New Roman"/>
          <w:sz w:val="22"/>
          <w:szCs w:val="22"/>
          <w:lang w:val="en-GB"/>
        </w:rPr>
        <w:t xml:space="preserve">What </w:t>
      </w:r>
      <w:r w:rsidRPr="008020D3">
        <w:rPr>
          <w:rFonts w:ascii="Times New Roman" w:hAnsi="Times New Roman" w:cs="Times New Roman"/>
          <w:b/>
          <w:bCs/>
          <w:sz w:val="22"/>
          <w:szCs w:val="22"/>
          <w:lang w:val="en-GB"/>
        </w:rPr>
        <w:t>alternative housing strategies for older persons</w:t>
      </w:r>
      <w:r w:rsidRPr="0019280A">
        <w:rPr>
          <w:rFonts w:ascii="Times New Roman" w:hAnsi="Times New Roman" w:cs="Times New Roman"/>
          <w:sz w:val="22"/>
          <w:szCs w:val="22"/>
          <w:lang w:val="en-GB"/>
        </w:rPr>
        <w:t>, other than care homes and state institutions, exist in your country</w:t>
      </w:r>
      <w:r w:rsidRPr="00EA0AFD">
        <w:rPr>
          <w:rFonts w:ascii="Times New Roman" w:hAnsi="Times New Roman" w:cs="Times New Roman"/>
          <w:sz w:val="22"/>
          <w:szCs w:val="22"/>
          <w:lang w:val="en-GB"/>
        </w:rPr>
        <w:t>?</w:t>
      </w:r>
      <w:r w:rsidR="00A355C5" w:rsidRPr="00EA0AFD">
        <w:rPr>
          <w:rFonts w:ascii="Times New Roman" w:hAnsi="Times New Roman" w:cs="Times New Roman"/>
          <w:sz w:val="22"/>
          <w:szCs w:val="22"/>
          <w:lang w:val="en-GB"/>
        </w:rPr>
        <w:t xml:space="preserve"> </w:t>
      </w:r>
      <w:r w:rsidR="00A355C5" w:rsidRPr="00EA0AFD">
        <w:rPr>
          <w:rFonts w:ascii="Times New Roman" w:hAnsi="Times New Roman" w:cs="Times New Roman"/>
          <w:sz w:val="22"/>
          <w:szCs w:val="22"/>
          <w:lang w:val="en-US"/>
        </w:rPr>
        <w:t>What policies/</w:t>
      </w:r>
      <w:proofErr w:type="spellStart"/>
      <w:r w:rsidR="00A355C5" w:rsidRPr="00EA0AFD">
        <w:rPr>
          <w:rFonts w:ascii="Times New Roman" w:hAnsi="Times New Roman" w:cs="Times New Roman"/>
          <w:sz w:val="22"/>
          <w:szCs w:val="22"/>
          <w:lang w:val="en-US"/>
        </w:rPr>
        <w:t>programmes</w:t>
      </w:r>
      <w:proofErr w:type="spellEnd"/>
      <w:r w:rsidR="00A355C5" w:rsidRPr="00EA0AFD">
        <w:rPr>
          <w:rFonts w:ascii="Times New Roman" w:hAnsi="Times New Roman" w:cs="Times New Roman"/>
          <w:sz w:val="22"/>
          <w:szCs w:val="22"/>
          <w:lang w:val="en-US"/>
        </w:rPr>
        <w:t xml:space="preserve"> are in place to enable older persons</w:t>
      </w:r>
      <w:r w:rsidR="005C29FC">
        <w:rPr>
          <w:rFonts w:ascii="Times New Roman" w:hAnsi="Times New Roman" w:cs="Times New Roman"/>
          <w:sz w:val="22"/>
          <w:szCs w:val="22"/>
          <w:lang w:val="en-US"/>
        </w:rPr>
        <w:t xml:space="preserve"> to</w:t>
      </w:r>
      <w:r w:rsidR="00A355C5" w:rsidRPr="00EA0AFD">
        <w:rPr>
          <w:rFonts w:ascii="Times New Roman" w:hAnsi="Times New Roman" w:cs="Times New Roman"/>
          <w:sz w:val="22"/>
          <w:szCs w:val="22"/>
          <w:lang w:val="en-US"/>
        </w:rPr>
        <w:t xml:space="preserve"> </w:t>
      </w:r>
      <w:r w:rsidR="0042200F">
        <w:rPr>
          <w:rFonts w:ascii="Times New Roman" w:hAnsi="Times New Roman" w:cs="Times New Roman"/>
          <w:sz w:val="22"/>
          <w:szCs w:val="22"/>
          <w:lang w:val="en-US"/>
        </w:rPr>
        <w:t xml:space="preserve">live independently </w:t>
      </w:r>
      <w:r w:rsidR="007A34F0">
        <w:rPr>
          <w:rFonts w:ascii="Times New Roman" w:hAnsi="Times New Roman" w:cs="Times New Roman"/>
          <w:sz w:val="22"/>
          <w:szCs w:val="22"/>
          <w:lang w:val="en-US"/>
        </w:rPr>
        <w:t xml:space="preserve">in </w:t>
      </w:r>
      <w:r w:rsidR="0042200F">
        <w:rPr>
          <w:rFonts w:ascii="Times New Roman" w:hAnsi="Times New Roman" w:cs="Times New Roman"/>
          <w:sz w:val="22"/>
          <w:szCs w:val="22"/>
          <w:lang w:val="en-US"/>
        </w:rPr>
        <w:t>their communities</w:t>
      </w:r>
      <w:r w:rsidR="00A355C5" w:rsidRPr="00EA0AFD">
        <w:rPr>
          <w:rFonts w:ascii="Times New Roman" w:hAnsi="Times New Roman" w:cs="Times New Roman"/>
          <w:sz w:val="22"/>
          <w:szCs w:val="22"/>
          <w:lang w:val="en-US"/>
        </w:rPr>
        <w:t xml:space="preserve"> as they age</w:t>
      </w:r>
      <w:r w:rsidR="00A355C5" w:rsidRPr="00C35A2E">
        <w:rPr>
          <w:rFonts w:ascii="Times New Roman" w:hAnsi="Times New Roman" w:cs="Times New Roman"/>
          <w:sz w:val="22"/>
          <w:szCs w:val="22"/>
          <w:lang w:val="en-US"/>
        </w:rPr>
        <w:t>?</w:t>
      </w:r>
      <w:r w:rsidRPr="00C35A2E">
        <w:rPr>
          <w:rFonts w:ascii="Times New Roman" w:hAnsi="Times New Roman" w:cs="Times New Roman"/>
          <w:sz w:val="22"/>
          <w:szCs w:val="22"/>
          <w:lang w:val="en-GB"/>
        </w:rPr>
        <w:t xml:space="preserve"> Please provide detailed information. </w:t>
      </w:r>
    </w:p>
    <w:p w:rsidR="00D96594" w:rsidRPr="00D96594" w:rsidRDefault="00D96594" w:rsidP="00D96594">
      <w:pPr>
        <w:pStyle w:val="Listenabsatz"/>
        <w:rPr>
          <w:rFonts w:ascii="Times New Roman" w:hAnsi="Times New Roman" w:cs="Times New Roman"/>
          <w:sz w:val="22"/>
          <w:szCs w:val="22"/>
          <w:lang w:val="en-US"/>
        </w:rPr>
      </w:pPr>
    </w:p>
    <w:p w:rsidR="00416196" w:rsidRDefault="0065510A" w:rsidP="00D96594">
      <w:pPr>
        <w:pStyle w:val="Listenabsatz"/>
        <w:jc w:val="both"/>
        <w:rPr>
          <w:rFonts w:ascii="Times New Roman" w:hAnsi="Times New Roman" w:cs="Times New Roman"/>
          <w:lang w:val="en-US"/>
        </w:rPr>
      </w:pPr>
      <w:r>
        <w:rPr>
          <w:rFonts w:ascii="Times New Roman" w:hAnsi="Times New Roman" w:cs="Times New Roman"/>
          <w:lang w:val="en-US"/>
        </w:rPr>
        <w:t xml:space="preserve"> </w:t>
      </w:r>
      <w:r w:rsidR="00F45D4B">
        <w:rPr>
          <w:rFonts w:ascii="Times New Roman" w:hAnsi="Times New Roman" w:cs="Times New Roman"/>
          <w:lang w:val="en-US"/>
        </w:rPr>
        <w:t>“</w:t>
      </w:r>
      <w:r w:rsidR="00416196" w:rsidRPr="00416196">
        <w:rPr>
          <w:rFonts w:ascii="Times New Roman" w:hAnsi="Times New Roman" w:cs="Times New Roman"/>
          <w:lang w:val="en-US"/>
        </w:rPr>
        <w:t xml:space="preserve">Living as </w:t>
      </w:r>
      <w:r w:rsidR="00557084" w:rsidRPr="00416196">
        <w:rPr>
          <w:rFonts w:ascii="Times New Roman" w:hAnsi="Times New Roman" w:cs="Times New Roman"/>
          <w:lang w:val="en-US"/>
        </w:rPr>
        <w:t>usual</w:t>
      </w:r>
      <w:r w:rsidR="00F45D4B">
        <w:rPr>
          <w:rFonts w:ascii="Times New Roman" w:hAnsi="Times New Roman" w:cs="Times New Roman"/>
          <w:lang w:val="en-US"/>
        </w:rPr>
        <w:t xml:space="preserve">” </w:t>
      </w:r>
      <w:r w:rsidR="00416196" w:rsidRPr="00416196">
        <w:rPr>
          <w:rFonts w:ascii="Times New Roman" w:hAnsi="Times New Roman" w:cs="Times New Roman"/>
          <w:lang w:val="en-US"/>
        </w:rPr>
        <w:t>– this i</w:t>
      </w:r>
      <w:r w:rsidR="00416196">
        <w:rPr>
          <w:rFonts w:ascii="Times New Roman" w:hAnsi="Times New Roman" w:cs="Times New Roman"/>
          <w:lang w:val="en-US"/>
        </w:rPr>
        <w:t>s what everyone wants, even</w:t>
      </w:r>
      <w:r w:rsidR="00FB497D">
        <w:rPr>
          <w:rFonts w:ascii="Times New Roman" w:hAnsi="Times New Roman" w:cs="Times New Roman"/>
          <w:lang w:val="en-US"/>
        </w:rPr>
        <w:t xml:space="preserve"> </w:t>
      </w:r>
      <w:r w:rsidR="00F45D4B">
        <w:rPr>
          <w:rFonts w:ascii="Times New Roman" w:hAnsi="Times New Roman" w:cs="Times New Roman"/>
          <w:lang w:val="en-US"/>
        </w:rPr>
        <w:t>though</w:t>
      </w:r>
      <w:r w:rsidR="00416196">
        <w:rPr>
          <w:rFonts w:ascii="Times New Roman" w:hAnsi="Times New Roman" w:cs="Times New Roman"/>
          <w:lang w:val="en-US"/>
        </w:rPr>
        <w:t xml:space="preserve"> personal circumstances for a li</w:t>
      </w:r>
      <w:r w:rsidR="00FB497D">
        <w:rPr>
          <w:rFonts w:ascii="Times New Roman" w:hAnsi="Times New Roman" w:cs="Times New Roman"/>
          <w:lang w:val="en-US"/>
        </w:rPr>
        <w:t>fe</w:t>
      </w:r>
      <w:r w:rsidR="00416196">
        <w:rPr>
          <w:rFonts w:ascii="Times New Roman" w:hAnsi="Times New Roman" w:cs="Times New Roman"/>
          <w:lang w:val="en-US"/>
        </w:rPr>
        <w:t xml:space="preserve"> </w:t>
      </w:r>
      <w:r w:rsidR="00FB497D">
        <w:rPr>
          <w:rFonts w:ascii="Times New Roman" w:hAnsi="Times New Roman" w:cs="Times New Roman"/>
          <w:lang w:val="en-US"/>
        </w:rPr>
        <w:t>in one’s own four walls</w:t>
      </w:r>
      <w:r w:rsidR="00416196">
        <w:rPr>
          <w:rFonts w:ascii="Times New Roman" w:hAnsi="Times New Roman" w:cs="Times New Roman"/>
          <w:lang w:val="en-US"/>
        </w:rPr>
        <w:t xml:space="preserve"> </w:t>
      </w:r>
      <w:r w:rsidR="00F45D4B">
        <w:rPr>
          <w:rFonts w:ascii="Times New Roman" w:hAnsi="Times New Roman" w:cs="Times New Roman"/>
          <w:lang w:val="en-US"/>
        </w:rPr>
        <w:t xml:space="preserve">have </w:t>
      </w:r>
      <w:r w:rsidR="00416196">
        <w:rPr>
          <w:rFonts w:ascii="Times New Roman" w:hAnsi="Times New Roman" w:cs="Times New Roman"/>
          <w:lang w:val="en-US"/>
        </w:rPr>
        <w:t>change</w:t>
      </w:r>
      <w:r w:rsidR="00F45D4B">
        <w:rPr>
          <w:rFonts w:ascii="Times New Roman" w:hAnsi="Times New Roman" w:cs="Times New Roman"/>
          <w:lang w:val="en-US"/>
        </w:rPr>
        <w:t>d</w:t>
      </w:r>
      <w:r w:rsidR="00416196">
        <w:rPr>
          <w:rFonts w:ascii="Times New Roman" w:hAnsi="Times New Roman" w:cs="Times New Roman"/>
          <w:lang w:val="en-US"/>
        </w:rPr>
        <w:t xml:space="preserve"> due to </w:t>
      </w:r>
      <w:r w:rsidR="00FB497D">
        <w:rPr>
          <w:rFonts w:ascii="Times New Roman" w:hAnsi="Times New Roman" w:cs="Times New Roman"/>
          <w:lang w:val="en-US"/>
        </w:rPr>
        <w:t xml:space="preserve">old </w:t>
      </w:r>
      <w:r w:rsidR="00416196">
        <w:rPr>
          <w:rFonts w:ascii="Times New Roman" w:hAnsi="Times New Roman" w:cs="Times New Roman"/>
          <w:lang w:val="en-US"/>
        </w:rPr>
        <w:t>age and illness</w:t>
      </w:r>
      <w:r w:rsidR="00FB497D">
        <w:rPr>
          <w:rFonts w:ascii="Times New Roman" w:hAnsi="Times New Roman" w:cs="Times New Roman"/>
          <w:lang w:val="en-US"/>
        </w:rPr>
        <w:t>-</w:t>
      </w:r>
      <w:r w:rsidR="00416196">
        <w:rPr>
          <w:rFonts w:ascii="Times New Roman" w:hAnsi="Times New Roman" w:cs="Times New Roman"/>
          <w:lang w:val="en-US"/>
        </w:rPr>
        <w:t xml:space="preserve">related </w:t>
      </w:r>
      <w:r w:rsidR="00FB497D">
        <w:rPr>
          <w:rFonts w:ascii="Times New Roman" w:hAnsi="Times New Roman" w:cs="Times New Roman"/>
          <w:lang w:val="en-US"/>
        </w:rPr>
        <w:lastRenderedPageBreak/>
        <w:t>restrictions</w:t>
      </w:r>
      <w:r w:rsidR="00416196">
        <w:rPr>
          <w:rFonts w:ascii="Times New Roman" w:hAnsi="Times New Roman" w:cs="Times New Roman"/>
          <w:lang w:val="en-US"/>
        </w:rPr>
        <w:t xml:space="preserve">. As already pointed out in question 2, </w:t>
      </w:r>
      <w:r w:rsidR="00C810F2">
        <w:rPr>
          <w:rFonts w:ascii="Times New Roman" w:hAnsi="Times New Roman" w:cs="Times New Roman"/>
          <w:lang w:val="en-US"/>
        </w:rPr>
        <w:t xml:space="preserve">the </w:t>
      </w:r>
      <w:r w:rsidR="003032C9" w:rsidRPr="003032C9">
        <w:rPr>
          <w:rFonts w:ascii="Times New Roman" w:hAnsi="Times New Roman" w:cs="Times New Roman"/>
          <w:i/>
          <w:lang w:val="en-US"/>
        </w:rPr>
        <w:t>BMFSFJ</w:t>
      </w:r>
      <w:r w:rsidR="003032C9">
        <w:rPr>
          <w:rFonts w:ascii="Times New Roman" w:hAnsi="Times New Roman" w:cs="Times New Roman"/>
          <w:lang w:val="en-US"/>
        </w:rPr>
        <w:t xml:space="preserve"> funds</w:t>
      </w:r>
      <w:r w:rsidR="00C810F2">
        <w:rPr>
          <w:rFonts w:ascii="Times New Roman" w:hAnsi="Times New Roman" w:cs="Times New Roman"/>
          <w:lang w:val="en-US"/>
        </w:rPr>
        <w:t>,</w:t>
      </w:r>
      <w:r w:rsidR="00416196">
        <w:rPr>
          <w:rFonts w:ascii="Times New Roman" w:hAnsi="Times New Roman" w:cs="Times New Roman"/>
          <w:lang w:val="en-US"/>
        </w:rPr>
        <w:t xml:space="preserve"> </w:t>
      </w:r>
      <w:r w:rsidR="00416196" w:rsidRPr="003032C9">
        <w:rPr>
          <w:rFonts w:ascii="Times New Roman" w:hAnsi="Times New Roman" w:cs="Times New Roman"/>
          <w:i/>
          <w:lang w:val="en-US"/>
        </w:rPr>
        <w:t>i</w:t>
      </w:r>
      <w:r w:rsidR="00557084" w:rsidRPr="003032C9">
        <w:rPr>
          <w:rFonts w:ascii="Times New Roman" w:hAnsi="Times New Roman" w:cs="Times New Roman"/>
          <w:i/>
          <w:lang w:val="en-US"/>
        </w:rPr>
        <w:t>nter alia</w:t>
      </w:r>
      <w:r w:rsidR="00C810F2">
        <w:rPr>
          <w:rFonts w:ascii="Times New Roman" w:hAnsi="Times New Roman" w:cs="Times New Roman"/>
          <w:lang w:val="en-US"/>
        </w:rPr>
        <w:t>,</w:t>
      </w:r>
      <w:r w:rsidR="00416196">
        <w:rPr>
          <w:rFonts w:ascii="Times New Roman" w:hAnsi="Times New Roman" w:cs="Times New Roman"/>
          <w:lang w:val="en-US"/>
        </w:rPr>
        <w:t xml:space="preserve"> new approaches and technologies foster</w:t>
      </w:r>
      <w:r w:rsidR="00081AF8">
        <w:rPr>
          <w:rFonts w:ascii="Times New Roman" w:hAnsi="Times New Roman" w:cs="Times New Roman"/>
          <w:lang w:val="en-US"/>
        </w:rPr>
        <w:t>ing</w:t>
      </w:r>
      <w:r w:rsidR="00416196">
        <w:rPr>
          <w:rFonts w:ascii="Times New Roman" w:hAnsi="Times New Roman" w:cs="Times New Roman"/>
          <w:lang w:val="en-US"/>
        </w:rPr>
        <w:t xml:space="preserve"> a self-determined and independent life and living.</w:t>
      </w:r>
    </w:p>
    <w:p w:rsidR="00557084" w:rsidRDefault="00557084" w:rsidP="00D96594">
      <w:pPr>
        <w:pStyle w:val="Listenabsatz"/>
        <w:jc w:val="both"/>
        <w:rPr>
          <w:rFonts w:ascii="Times New Roman" w:hAnsi="Times New Roman" w:cs="Times New Roman"/>
          <w:lang w:val="en-US"/>
        </w:rPr>
      </w:pPr>
      <w:r>
        <w:rPr>
          <w:rFonts w:ascii="Times New Roman" w:hAnsi="Times New Roman" w:cs="Times New Roman"/>
          <w:lang w:val="en-US"/>
        </w:rPr>
        <w:t xml:space="preserve">Many interested persons have questions in this context. Therefore, </w:t>
      </w:r>
      <w:r w:rsidR="0038222D">
        <w:rPr>
          <w:rFonts w:ascii="Times New Roman" w:hAnsi="Times New Roman" w:cs="Times New Roman"/>
          <w:lang w:val="en-US"/>
        </w:rPr>
        <w:t xml:space="preserve">the </w:t>
      </w:r>
      <w:r w:rsidRPr="003032C9">
        <w:rPr>
          <w:rFonts w:ascii="Times New Roman" w:hAnsi="Times New Roman" w:cs="Times New Roman"/>
          <w:i/>
          <w:lang w:val="en-US"/>
        </w:rPr>
        <w:t>BMFSFJ</w:t>
      </w:r>
      <w:r>
        <w:rPr>
          <w:rFonts w:ascii="Times New Roman" w:hAnsi="Times New Roman" w:cs="Times New Roman"/>
          <w:lang w:val="en-US"/>
        </w:rPr>
        <w:t xml:space="preserve"> established a counselling service </w:t>
      </w:r>
      <w:r w:rsidR="00F45D4B">
        <w:rPr>
          <w:rFonts w:ascii="Times New Roman" w:hAnsi="Times New Roman" w:cs="Times New Roman"/>
          <w:lang w:val="en-US"/>
        </w:rPr>
        <w:t xml:space="preserve">titled </w:t>
      </w:r>
      <w:r>
        <w:rPr>
          <w:rFonts w:ascii="Times New Roman" w:hAnsi="Times New Roman" w:cs="Times New Roman"/>
          <w:lang w:val="en-US"/>
        </w:rPr>
        <w:t>“</w:t>
      </w:r>
      <w:r w:rsidRPr="003032C9">
        <w:rPr>
          <w:rFonts w:ascii="Times New Roman" w:hAnsi="Times New Roman" w:cs="Times New Roman"/>
          <w:b/>
          <w:lang w:val="en-US"/>
        </w:rPr>
        <w:t>knowledge, information, network</w:t>
      </w:r>
      <w:r w:rsidR="00F45D4B">
        <w:rPr>
          <w:rFonts w:ascii="Times New Roman" w:hAnsi="Times New Roman" w:cs="Times New Roman"/>
          <w:b/>
          <w:lang w:val="en-US"/>
        </w:rPr>
        <w:t>s</w:t>
      </w:r>
      <w:r w:rsidRPr="003032C9">
        <w:rPr>
          <w:rFonts w:ascii="Times New Roman" w:hAnsi="Times New Roman" w:cs="Times New Roman"/>
          <w:b/>
          <w:lang w:val="en-US"/>
        </w:rPr>
        <w:t xml:space="preserve"> – WIN</w:t>
      </w:r>
      <w:r>
        <w:rPr>
          <w:rFonts w:ascii="Times New Roman" w:hAnsi="Times New Roman" w:cs="Times New Roman"/>
          <w:lang w:val="en-US"/>
        </w:rPr>
        <w:t xml:space="preserve"> (</w:t>
      </w:r>
      <w:proofErr w:type="spellStart"/>
      <w:r w:rsidRPr="003032C9">
        <w:rPr>
          <w:rFonts w:ascii="Times New Roman" w:hAnsi="Times New Roman" w:cs="Times New Roman"/>
          <w:b/>
          <w:i/>
          <w:lang w:val="en-US"/>
        </w:rPr>
        <w:t>Wissen</w:t>
      </w:r>
      <w:proofErr w:type="spellEnd"/>
      <w:r w:rsidRPr="003032C9">
        <w:rPr>
          <w:rFonts w:ascii="Times New Roman" w:hAnsi="Times New Roman" w:cs="Times New Roman"/>
          <w:b/>
          <w:i/>
          <w:lang w:val="en-US"/>
        </w:rPr>
        <w:t xml:space="preserve">, </w:t>
      </w:r>
      <w:proofErr w:type="spellStart"/>
      <w:r w:rsidRPr="003032C9">
        <w:rPr>
          <w:rFonts w:ascii="Times New Roman" w:hAnsi="Times New Roman" w:cs="Times New Roman"/>
          <w:b/>
          <w:i/>
          <w:lang w:val="en-US"/>
        </w:rPr>
        <w:t>Informationen</w:t>
      </w:r>
      <w:proofErr w:type="spellEnd"/>
      <w:r w:rsidRPr="003032C9">
        <w:rPr>
          <w:rFonts w:ascii="Times New Roman" w:hAnsi="Times New Roman" w:cs="Times New Roman"/>
          <w:b/>
          <w:i/>
          <w:lang w:val="en-US"/>
        </w:rPr>
        <w:t xml:space="preserve">, </w:t>
      </w:r>
      <w:proofErr w:type="spellStart"/>
      <w:r w:rsidRPr="003032C9">
        <w:rPr>
          <w:rFonts w:ascii="Times New Roman" w:hAnsi="Times New Roman" w:cs="Times New Roman"/>
          <w:b/>
          <w:i/>
          <w:lang w:val="en-US"/>
        </w:rPr>
        <w:t>Netzwerke</w:t>
      </w:r>
      <w:proofErr w:type="spellEnd"/>
      <w:r>
        <w:rPr>
          <w:rFonts w:ascii="Times New Roman" w:hAnsi="Times New Roman" w:cs="Times New Roman"/>
          <w:lang w:val="en-US"/>
        </w:rPr>
        <w:t xml:space="preserve">) </w:t>
      </w:r>
      <w:r w:rsidR="00F45D4B">
        <w:rPr>
          <w:rFonts w:ascii="Times New Roman" w:hAnsi="Times New Roman" w:cs="Times New Roman"/>
          <w:lang w:val="en-US"/>
        </w:rPr>
        <w:t>in favor of</w:t>
      </w:r>
      <w:r>
        <w:rPr>
          <w:rFonts w:ascii="Times New Roman" w:hAnsi="Times New Roman" w:cs="Times New Roman"/>
          <w:lang w:val="en-US"/>
        </w:rPr>
        <w:t xml:space="preserve"> communal li</w:t>
      </w:r>
      <w:r w:rsidR="00F45D4B">
        <w:rPr>
          <w:rFonts w:ascii="Times New Roman" w:hAnsi="Times New Roman" w:cs="Times New Roman"/>
          <w:lang w:val="en-US"/>
        </w:rPr>
        <w:t>ving</w:t>
      </w:r>
      <w:r>
        <w:rPr>
          <w:rFonts w:ascii="Times New Roman" w:hAnsi="Times New Roman" w:cs="Times New Roman"/>
          <w:lang w:val="en-US"/>
        </w:rPr>
        <w:t xml:space="preserve">”. WIN is a nationwide coordination </w:t>
      </w:r>
      <w:r w:rsidR="0038222D">
        <w:rPr>
          <w:rFonts w:ascii="Times New Roman" w:hAnsi="Times New Roman" w:cs="Times New Roman"/>
          <w:lang w:val="en-US"/>
        </w:rPr>
        <w:t>service</w:t>
      </w:r>
      <w:r w:rsidR="003032C9">
        <w:rPr>
          <w:rFonts w:ascii="Times New Roman" w:hAnsi="Times New Roman" w:cs="Times New Roman"/>
          <w:lang w:val="en-US"/>
        </w:rPr>
        <w:t xml:space="preserve"> </w:t>
      </w:r>
      <w:r>
        <w:rPr>
          <w:rFonts w:ascii="Times New Roman" w:hAnsi="Times New Roman" w:cs="Times New Roman"/>
          <w:lang w:val="en-US"/>
        </w:rPr>
        <w:t>and information platform for forms of communal living. Target groups are interested persons looking for information, civil society initiatives,</w:t>
      </w:r>
      <w:r w:rsidR="0038222D">
        <w:rPr>
          <w:rFonts w:ascii="Times New Roman" w:hAnsi="Times New Roman" w:cs="Times New Roman"/>
          <w:lang w:val="en-US"/>
        </w:rPr>
        <w:t xml:space="preserve"> municipalities</w:t>
      </w:r>
      <w:r>
        <w:rPr>
          <w:rFonts w:ascii="Times New Roman" w:hAnsi="Times New Roman" w:cs="Times New Roman"/>
          <w:lang w:val="en-US"/>
        </w:rPr>
        <w:t>, organi</w:t>
      </w:r>
      <w:r w:rsidR="003032C9">
        <w:rPr>
          <w:rFonts w:ascii="Times New Roman" w:hAnsi="Times New Roman" w:cs="Times New Roman"/>
          <w:lang w:val="en-US"/>
        </w:rPr>
        <w:t>z</w:t>
      </w:r>
      <w:r>
        <w:rPr>
          <w:rFonts w:ascii="Times New Roman" w:hAnsi="Times New Roman" w:cs="Times New Roman"/>
          <w:lang w:val="en-US"/>
        </w:rPr>
        <w:t xml:space="preserve">ations executing projects </w:t>
      </w:r>
      <w:r w:rsidR="00F45D4B">
        <w:rPr>
          <w:rFonts w:ascii="Times New Roman" w:hAnsi="Times New Roman" w:cs="Times New Roman"/>
          <w:lang w:val="en-US"/>
        </w:rPr>
        <w:t>in</w:t>
      </w:r>
      <w:r>
        <w:rPr>
          <w:rFonts w:ascii="Times New Roman" w:hAnsi="Times New Roman" w:cs="Times New Roman"/>
          <w:lang w:val="en-US"/>
        </w:rPr>
        <w:t xml:space="preserve"> </w:t>
      </w:r>
      <w:r w:rsidR="0038222D">
        <w:rPr>
          <w:rFonts w:ascii="Times New Roman" w:hAnsi="Times New Roman" w:cs="Times New Roman"/>
          <w:lang w:val="en-US"/>
        </w:rPr>
        <w:t xml:space="preserve">the </w:t>
      </w:r>
      <w:r>
        <w:rPr>
          <w:rFonts w:ascii="Times New Roman" w:hAnsi="Times New Roman" w:cs="Times New Roman"/>
          <w:lang w:val="en-US"/>
        </w:rPr>
        <w:t xml:space="preserve">housing </w:t>
      </w:r>
      <w:r w:rsidR="0038222D">
        <w:rPr>
          <w:rFonts w:ascii="Times New Roman" w:hAnsi="Times New Roman" w:cs="Times New Roman"/>
          <w:lang w:val="en-US"/>
        </w:rPr>
        <w:t xml:space="preserve">sector </w:t>
      </w:r>
      <w:r>
        <w:rPr>
          <w:rFonts w:ascii="Times New Roman" w:hAnsi="Times New Roman" w:cs="Times New Roman"/>
          <w:lang w:val="en-US"/>
        </w:rPr>
        <w:t xml:space="preserve">and </w:t>
      </w:r>
      <w:r w:rsidR="0038222D">
        <w:rPr>
          <w:rFonts w:ascii="Times New Roman" w:hAnsi="Times New Roman" w:cs="Times New Roman"/>
          <w:lang w:val="en-US"/>
        </w:rPr>
        <w:t xml:space="preserve">the </w:t>
      </w:r>
      <w:r>
        <w:rPr>
          <w:rFonts w:ascii="Times New Roman" w:hAnsi="Times New Roman" w:cs="Times New Roman"/>
          <w:lang w:val="en-US"/>
        </w:rPr>
        <w:t xml:space="preserve">social economy, wishing to </w:t>
      </w:r>
      <w:r w:rsidR="0038222D">
        <w:rPr>
          <w:rFonts w:ascii="Times New Roman" w:hAnsi="Times New Roman" w:cs="Times New Roman"/>
          <w:lang w:val="en-US"/>
        </w:rPr>
        <w:t>implement</w:t>
      </w:r>
      <w:r>
        <w:rPr>
          <w:rFonts w:ascii="Times New Roman" w:hAnsi="Times New Roman" w:cs="Times New Roman"/>
          <w:lang w:val="en-US"/>
        </w:rPr>
        <w:t xml:space="preserve"> projects of communal living.</w:t>
      </w:r>
      <w:r w:rsidR="00AB0339">
        <w:rPr>
          <w:rFonts w:ascii="Times New Roman" w:hAnsi="Times New Roman" w:cs="Times New Roman"/>
          <w:lang w:val="en-US"/>
        </w:rPr>
        <w:t xml:space="preserve"> This </w:t>
      </w:r>
      <w:r w:rsidR="0038222D">
        <w:rPr>
          <w:rFonts w:ascii="Times New Roman" w:hAnsi="Times New Roman" w:cs="Times New Roman"/>
          <w:lang w:val="en-US"/>
        </w:rPr>
        <w:t xml:space="preserve">also </w:t>
      </w:r>
      <w:r w:rsidR="00AB0339">
        <w:rPr>
          <w:rFonts w:ascii="Times New Roman" w:hAnsi="Times New Roman" w:cs="Times New Roman"/>
          <w:lang w:val="en-US"/>
        </w:rPr>
        <w:t xml:space="preserve">includes communal living in combination with, e.g. </w:t>
      </w:r>
      <w:r w:rsidR="00AB0339" w:rsidRPr="000F7159">
        <w:rPr>
          <w:rFonts w:ascii="Times New Roman" w:hAnsi="Times New Roman" w:cs="Times New Roman"/>
          <w:lang w:val="en-US"/>
        </w:rPr>
        <w:t>shared housing accompanied by outpatient care, meeting spaces in the living quarters</w:t>
      </w:r>
      <w:r w:rsidR="00AB0339">
        <w:rPr>
          <w:rFonts w:ascii="Times New Roman" w:hAnsi="Times New Roman" w:cs="Times New Roman"/>
          <w:lang w:val="en-US"/>
        </w:rPr>
        <w:t xml:space="preserve"> and low</w:t>
      </w:r>
      <w:r w:rsidR="0038222D">
        <w:rPr>
          <w:rFonts w:ascii="Times New Roman" w:hAnsi="Times New Roman" w:cs="Times New Roman"/>
          <w:lang w:val="en-US"/>
        </w:rPr>
        <w:t>-</w:t>
      </w:r>
      <w:r w:rsidR="00AB0339">
        <w:rPr>
          <w:rFonts w:ascii="Times New Roman" w:hAnsi="Times New Roman" w:cs="Times New Roman"/>
          <w:lang w:val="en-US"/>
        </w:rPr>
        <w:t xml:space="preserve">threshold support services. </w:t>
      </w:r>
      <w:r w:rsidR="00037EC6">
        <w:rPr>
          <w:rFonts w:ascii="Times New Roman" w:hAnsi="Times New Roman" w:cs="Times New Roman"/>
          <w:lang w:val="en-US"/>
        </w:rPr>
        <w:t>The key objective</w:t>
      </w:r>
      <w:r w:rsidR="00AB0339">
        <w:rPr>
          <w:rFonts w:ascii="Times New Roman" w:hAnsi="Times New Roman" w:cs="Times New Roman"/>
          <w:lang w:val="en-US"/>
        </w:rPr>
        <w:t xml:space="preserve"> is to support the creation of projects of communal living </w:t>
      </w:r>
      <w:r w:rsidR="00037EC6">
        <w:rPr>
          <w:rFonts w:ascii="Times New Roman" w:hAnsi="Times New Roman" w:cs="Times New Roman"/>
          <w:lang w:val="en-US"/>
        </w:rPr>
        <w:t>by</w:t>
      </w:r>
      <w:r w:rsidR="00AB0339">
        <w:rPr>
          <w:rFonts w:ascii="Times New Roman" w:hAnsi="Times New Roman" w:cs="Times New Roman"/>
          <w:lang w:val="en-US"/>
        </w:rPr>
        <w:t xml:space="preserve"> spreading knowledge, information (e.g. </w:t>
      </w:r>
      <w:r w:rsidR="00037EC6">
        <w:rPr>
          <w:rFonts w:ascii="Times New Roman" w:hAnsi="Times New Roman" w:cs="Times New Roman"/>
          <w:lang w:val="en-US"/>
        </w:rPr>
        <w:t xml:space="preserve">on </w:t>
      </w:r>
      <w:r w:rsidR="00AB0339">
        <w:rPr>
          <w:rFonts w:ascii="Times New Roman" w:hAnsi="Times New Roman" w:cs="Times New Roman"/>
          <w:lang w:val="en-US"/>
        </w:rPr>
        <w:t xml:space="preserve">existing possibilities for </w:t>
      </w:r>
      <w:r w:rsidR="003D75B6">
        <w:rPr>
          <w:rFonts w:ascii="Times New Roman" w:hAnsi="Times New Roman" w:cs="Times New Roman"/>
          <w:lang w:val="en-US"/>
        </w:rPr>
        <w:t>funding opportunities</w:t>
      </w:r>
      <w:r w:rsidR="00AB0339">
        <w:rPr>
          <w:rFonts w:ascii="Times New Roman" w:hAnsi="Times New Roman" w:cs="Times New Roman"/>
          <w:lang w:val="en-US"/>
        </w:rPr>
        <w:t>) and networks.</w:t>
      </w:r>
    </w:p>
    <w:p w:rsidR="0065510A" w:rsidRPr="00416196" w:rsidRDefault="0065510A" w:rsidP="00D96594">
      <w:pPr>
        <w:pStyle w:val="Listenabsatz"/>
        <w:jc w:val="both"/>
        <w:rPr>
          <w:rFonts w:ascii="Times New Roman" w:hAnsi="Times New Roman" w:cs="Times New Roman"/>
          <w:lang w:val="en-US"/>
        </w:rPr>
      </w:pPr>
    </w:p>
    <w:p w:rsidR="0065510A" w:rsidRDefault="0065510A" w:rsidP="0065510A">
      <w:pPr>
        <w:pStyle w:val="NurText"/>
        <w:numPr>
          <w:ilvl w:val="0"/>
          <w:numId w:val="5"/>
        </w:numPr>
        <w:spacing w:after="120"/>
        <w:rPr>
          <w:b/>
        </w:rPr>
      </w:pPr>
      <w:r>
        <w:rPr>
          <w:b/>
        </w:rPr>
        <w:t>How does the State fulfil its obligations to ensure older persons’ access justice, and to obtain remedies and reparations, when their right to adequate housing have been violated?</w:t>
      </w:r>
    </w:p>
    <w:p w:rsidR="0065510A" w:rsidRPr="0065510A" w:rsidRDefault="0065510A" w:rsidP="0065510A">
      <w:pPr>
        <w:pStyle w:val="NurText"/>
        <w:spacing w:after="120"/>
        <w:ind w:left="720"/>
      </w:pPr>
      <w:r>
        <w:t>Contribution by the Federal Anti-Discrimination Agency</w:t>
      </w:r>
    </w:p>
    <w:p w:rsidR="0065510A" w:rsidRDefault="0065510A" w:rsidP="0065510A">
      <w:pPr>
        <w:pStyle w:val="NurText"/>
        <w:spacing w:after="120"/>
        <w:ind w:left="709"/>
      </w:pPr>
      <w:r>
        <w:t>Persons affected by discrimination on the housing market can turn to the Federal Anti-Discrimination Agency. The Agency provides information about claims under the AGG and approaches to securing protection from discrimination on the strength of statutory provisions.</w:t>
      </w:r>
    </w:p>
    <w:p w:rsidR="0065510A" w:rsidRDefault="0065510A" w:rsidP="0065510A">
      <w:pPr>
        <w:pStyle w:val="NurText"/>
        <w:spacing w:after="120"/>
        <w:ind w:left="709"/>
      </w:pPr>
      <w:r>
        <w:t>As with other obligations under civil law, housing-related breaches of the discrimination ban can entail claims for compensation and damages (section 21 (2) of the AGG). The claims must be asserted in writing within a period of two months (section 21 (5) of the AGG). However, having suffered discrimination does not amount to a claim to enforce the conclusion of a rental contract.</w:t>
      </w:r>
    </w:p>
    <w:p w:rsidR="0065510A" w:rsidRPr="00736C8E" w:rsidRDefault="0065510A" w:rsidP="0065510A">
      <w:pPr>
        <w:pStyle w:val="NurText"/>
        <w:spacing w:after="120"/>
        <w:ind w:left="567"/>
      </w:pPr>
      <w:r>
        <w:t>A compilation of good practice examples against discrimination in allocating, letting out and managing housing is currently being prepared on behalf of the Federal Anti-Discrimination Agency. It is designed to include measures that cater to older persons. Its publication is scheduled for the second half of 2022.</w:t>
      </w:r>
    </w:p>
    <w:p w:rsidR="0065510A" w:rsidRDefault="0065510A" w:rsidP="0065510A">
      <w:pPr>
        <w:pStyle w:val="Listenabsatz"/>
        <w:jc w:val="both"/>
        <w:rPr>
          <w:rFonts w:ascii="Times New Roman" w:hAnsi="Times New Roman" w:cs="Times New Roman"/>
          <w:sz w:val="22"/>
          <w:szCs w:val="22"/>
          <w:lang w:val="en-GB"/>
        </w:rPr>
      </w:pPr>
    </w:p>
    <w:p w:rsidR="00D96594" w:rsidRPr="0065510A" w:rsidRDefault="00D96594" w:rsidP="00D96594">
      <w:pPr>
        <w:pStyle w:val="Listenabsatz"/>
        <w:jc w:val="both"/>
        <w:rPr>
          <w:rFonts w:ascii="Times New Roman" w:hAnsi="Times New Roman" w:cs="Times New Roman"/>
          <w:sz w:val="22"/>
          <w:szCs w:val="22"/>
          <w:lang w:val="en-GB"/>
        </w:rPr>
      </w:pPr>
    </w:p>
    <w:p w:rsidR="0019280A" w:rsidRPr="00416196" w:rsidRDefault="0019280A" w:rsidP="00617F01">
      <w:pPr>
        <w:pStyle w:val="Listenabsatz"/>
        <w:jc w:val="both"/>
        <w:rPr>
          <w:rFonts w:ascii="Times New Roman" w:hAnsi="Times New Roman" w:cs="Times New Roman"/>
          <w:sz w:val="22"/>
          <w:szCs w:val="22"/>
          <w:lang w:val="en-US"/>
        </w:rPr>
      </w:pPr>
    </w:p>
    <w:sectPr w:rsidR="0019280A" w:rsidRPr="00416196" w:rsidSect="001C48F8">
      <w:headerReference w:type="first" r:id="rId10"/>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B30" w:rsidRDefault="00A74B30" w:rsidP="00327004">
      <w:pPr>
        <w:spacing w:after="0" w:line="240" w:lineRule="auto"/>
      </w:pPr>
      <w:r>
        <w:separator/>
      </w:r>
    </w:p>
  </w:endnote>
  <w:endnote w:type="continuationSeparator" w:id="0">
    <w:p w:rsidR="00A74B30" w:rsidRDefault="00A74B30" w:rsidP="0032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B30" w:rsidRDefault="00A74B30" w:rsidP="00327004">
      <w:pPr>
        <w:spacing w:after="0" w:line="240" w:lineRule="auto"/>
      </w:pPr>
      <w:r>
        <w:separator/>
      </w:r>
    </w:p>
  </w:footnote>
  <w:footnote w:type="continuationSeparator" w:id="0">
    <w:p w:rsidR="00A74B30" w:rsidRDefault="00A74B30" w:rsidP="00327004">
      <w:pPr>
        <w:spacing w:after="0" w:line="240" w:lineRule="auto"/>
      </w:pPr>
      <w:r>
        <w:continuationSeparator/>
      </w:r>
    </w:p>
  </w:footnote>
  <w:footnote w:id="1">
    <w:p w:rsidR="00775C4C" w:rsidRPr="005D30DB" w:rsidRDefault="00775C4C" w:rsidP="00775C4C">
      <w:pPr>
        <w:pStyle w:val="Funotentext"/>
        <w:spacing w:after="0" w:line="240" w:lineRule="auto"/>
      </w:pPr>
      <w:r>
        <w:rPr>
          <w:rStyle w:val="Funotenzeichen"/>
        </w:rPr>
        <w:footnoteRef/>
      </w:r>
      <w:r w:rsidRPr="00842814">
        <w:rPr>
          <w:lang w:val="de-DE"/>
        </w:rPr>
        <w:t>Federal Anti-</w:t>
      </w:r>
      <w:proofErr w:type="spellStart"/>
      <w:r w:rsidRPr="00842814">
        <w:rPr>
          <w:lang w:val="de-DE"/>
        </w:rPr>
        <w:t>Discrimination</w:t>
      </w:r>
      <w:proofErr w:type="spellEnd"/>
      <w:r w:rsidRPr="00842814">
        <w:rPr>
          <w:lang w:val="de-DE"/>
        </w:rPr>
        <w:t xml:space="preserve"> Agency (</w:t>
      </w:r>
      <w:r w:rsidRPr="00842814">
        <w:rPr>
          <w:i/>
          <w:iCs/>
          <w:lang w:val="de-DE"/>
        </w:rPr>
        <w:t>Antidiskriminierungsstelle des Bundes</w:t>
      </w:r>
      <w:r w:rsidRPr="00842814">
        <w:rPr>
          <w:lang w:val="de-DE"/>
        </w:rPr>
        <w:t xml:space="preserve">) 2020: </w:t>
      </w:r>
      <w:r w:rsidRPr="00842814">
        <w:rPr>
          <w:i/>
          <w:iCs/>
          <w:lang w:val="de-DE"/>
        </w:rPr>
        <w:t>Rassistische Diskriminierung auf dem Wohnungsmarkt.</w:t>
      </w:r>
      <w:r w:rsidRPr="00842814">
        <w:rPr>
          <w:lang w:val="de-DE"/>
        </w:rPr>
        <w:t xml:space="preserve"> </w:t>
      </w:r>
      <w:r w:rsidRPr="00842814">
        <w:rPr>
          <w:i/>
          <w:iCs/>
          <w:lang w:val="de-DE"/>
        </w:rPr>
        <w:t>Ergebnisse einer repräsentativen Umfrage</w:t>
      </w:r>
      <w:r w:rsidRPr="00842814">
        <w:rPr>
          <w:lang w:val="de-DE"/>
        </w:rPr>
        <w:t xml:space="preserve">, p. 8. </w:t>
      </w:r>
      <w:hyperlink r:id="rId1" w:history="1">
        <w:r w:rsidRPr="005D30DB">
          <w:rPr>
            <w:rStyle w:val="Hyperlink"/>
          </w:rPr>
          <w:t>https://www.antidiskriminierungsstelle.de/SharedDocs/downloads/DE/publikationen/Umfragen/umfrage_rass_diskr_auf_dem_wohnungsmarkt.pdf?__blob=publicationFile&amp;v=4</w:t>
        </w:r>
      </w:hyperlink>
      <w:r w:rsidRPr="005D30DB">
        <w:t xml:space="preserve"> </w:t>
      </w:r>
    </w:p>
  </w:footnote>
  <w:footnote w:id="2">
    <w:p w:rsidR="00775C4C" w:rsidRDefault="00775C4C" w:rsidP="00775C4C">
      <w:pPr>
        <w:pStyle w:val="Funotentext"/>
        <w:spacing w:after="0" w:line="240" w:lineRule="auto"/>
      </w:pPr>
      <w:r>
        <w:rPr>
          <w:rStyle w:val="Funotenzeichen"/>
        </w:rPr>
        <w:footnoteRef/>
      </w:r>
      <w:r w:rsidRPr="00842814">
        <w:rPr>
          <w:lang w:val="de-DE"/>
        </w:rPr>
        <w:t>Federal Anti-</w:t>
      </w:r>
      <w:proofErr w:type="spellStart"/>
      <w:r w:rsidRPr="00842814">
        <w:rPr>
          <w:lang w:val="de-DE"/>
        </w:rPr>
        <w:t>Discrimination</w:t>
      </w:r>
      <w:proofErr w:type="spellEnd"/>
      <w:r w:rsidRPr="00842814">
        <w:rPr>
          <w:lang w:val="de-DE"/>
        </w:rPr>
        <w:t xml:space="preserve"> Agency (</w:t>
      </w:r>
      <w:r w:rsidRPr="00842814">
        <w:rPr>
          <w:i/>
          <w:iCs/>
          <w:lang w:val="de-DE"/>
        </w:rPr>
        <w:t>Antidiskriminierungsstelle des Bundes</w:t>
      </w:r>
      <w:r w:rsidRPr="00842814">
        <w:rPr>
          <w:lang w:val="de-DE"/>
        </w:rPr>
        <w:t xml:space="preserve">) 2021: </w:t>
      </w:r>
      <w:r w:rsidRPr="00842814">
        <w:rPr>
          <w:i/>
          <w:iCs/>
          <w:lang w:val="de-DE"/>
        </w:rPr>
        <w:t>Diskriminierung in Deutschland – Erfahrungen, Risiken und Fallkonstellationen.</w:t>
      </w:r>
      <w:r w:rsidRPr="00842814">
        <w:rPr>
          <w:lang w:val="de-DE"/>
        </w:rPr>
        <w:t xml:space="preserve"> </w:t>
      </w:r>
      <w:r w:rsidRPr="00842814">
        <w:rPr>
          <w:i/>
          <w:iCs/>
          <w:lang w:val="de-DE"/>
        </w:rPr>
        <w:t>Vierter Gemeinsamer Bericht der Antidiskriminierungsstelle des Bundes und der in ihrem Zuständigkeitsbereich betroffenen Beauftragten der Bundesregierung und des Deutschen Bundestages,</w:t>
      </w:r>
      <w:r w:rsidRPr="00842814">
        <w:rPr>
          <w:lang w:val="de-DE"/>
        </w:rPr>
        <w:t xml:space="preserve"> p. 131. </w:t>
      </w:r>
      <w:r>
        <w:t xml:space="preserve">(Fourth Joint Report from the Federal Anti-Discrimination Agency and the relevant Commissioners of the Federal Government and the Bundestag)  </w:t>
      </w:r>
      <w:hyperlink r:id="rId2" w:history="1">
        <w:r>
          <w:rPr>
            <w:rStyle w:val="Hyperlink"/>
          </w:rPr>
          <w:t>https://www.antidiskriminierungsstelle.de/SharedDocs/downloads/DE/publikationen/BT_Bericht/gemeinsamer_bericht_vierter_2021.pdf?__blob=publicationFile&amp;v=8</w:t>
        </w:r>
      </w:hyperlink>
      <w:r>
        <w:t xml:space="preserve"> </w:t>
      </w:r>
    </w:p>
  </w:footnote>
  <w:footnote w:id="3">
    <w:p w:rsidR="00775C4C" w:rsidRDefault="00775C4C" w:rsidP="00775C4C">
      <w:pPr>
        <w:pStyle w:val="Funotentext"/>
        <w:spacing w:after="0" w:line="240" w:lineRule="auto"/>
      </w:pPr>
      <w:r>
        <w:rPr>
          <w:rStyle w:val="Funotenzeichen"/>
        </w:rPr>
        <w:footnoteRef/>
      </w:r>
      <w:r>
        <w:t xml:space="preserve"> ibid., p. 135</w:t>
      </w:r>
    </w:p>
  </w:footnote>
  <w:footnote w:id="4">
    <w:p w:rsidR="00775C4C" w:rsidRPr="002B157B" w:rsidRDefault="00775C4C" w:rsidP="00775C4C">
      <w:pPr>
        <w:pStyle w:val="Funotentext"/>
        <w:spacing w:after="0" w:line="240" w:lineRule="auto"/>
      </w:pPr>
      <w:r>
        <w:rPr>
          <w:rStyle w:val="Funotenzeichen"/>
        </w:rPr>
        <w:footnoteRef/>
      </w:r>
      <w:r>
        <w:t xml:space="preserve"> </w:t>
      </w:r>
      <w:proofErr w:type="gramStart"/>
      <w:r>
        <w:t>Cf..</w:t>
      </w:r>
      <w:proofErr w:type="gramEnd"/>
      <w:r>
        <w:t xml:space="preserve"> </w:t>
      </w:r>
      <w:hyperlink r:id="rId3" w:history="1">
        <w:r>
          <w:rPr>
            <w:rStyle w:val="Hyperlink"/>
          </w:rPr>
          <w:t>https://www.destatis.de/DE/Presse/Pressemitteilungen/2020/06/PD20_230_227.html#:~:text=Behinderungen%20treten%20vor%20allem%20bei,und%20Jugendliche%20unter%2018%20Jahren</w:t>
        </w:r>
      </w:hyperlink>
      <w:r>
        <w:t xml:space="preserve">. </w:t>
      </w:r>
    </w:p>
  </w:footnote>
  <w:footnote w:id="5">
    <w:p w:rsidR="00775C4C" w:rsidRPr="00752605" w:rsidRDefault="00775C4C" w:rsidP="00775C4C">
      <w:pPr>
        <w:pStyle w:val="Funotentext"/>
        <w:spacing w:after="0" w:line="240" w:lineRule="auto"/>
      </w:pPr>
      <w:r>
        <w:rPr>
          <w:rStyle w:val="Funotenzeichen"/>
        </w:rPr>
        <w:footnoteRef/>
      </w:r>
      <w:r>
        <w:t xml:space="preserve"> </w:t>
      </w:r>
      <w:proofErr w:type="spellStart"/>
      <w:r>
        <w:t>Equinet</w:t>
      </w:r>
      <w:proofErr w:type="spellEnd"/>
      <w:r>
        <w:t xml:space="preserve"> (2018): Fighting Discrimination on the Ground of Age. Discussion Paper, S. 37 ff. </w:t>
      </w:r>
      <w:hyperlink r:id="rId4" w:history="1">
        <w:r>
          <w:rPr>
            <w:rStyle w:val="Hyperlink"/>
          </w:rPr>
          <w:t>https://equineteurope.org/publications/fighting-discrimination-on-the-ground-of-age/</w:t>
        </w:r>
      </w:hyperlink>
      <w:r>
        <w:t xml:space="preserve"> </w:t>
      </w:r>
    </w:p>
  </w:footnote>
  <w:footnote w:id="6">
    <w:p w:rsidR="00775C4C" w:rsidRPr="005D30DB" w:rsidRDefault="00775C4C" w:rsidP="00775C4C">
      <w:pPr>
        <w:pStyle w:val="Funotentext"/>
        <w:spacing w:after="0" w:line="240" w:lineRule="auto"/>
      </w:pPr>
      <w:r>
        <w:rPr>
          <w:rStyle w:val="Funotenzeichen"/>
        </w:rPr>
        <w:footnoteRef/>
      </w:r>
      <w:r w:rsidRPr="00842814">
        <w:rPr>
          <w:lang w:val="de-DE"/>
        </w:rPr>
        <w:t xml:space="preserve"> Cf. </w:t>
      </w:r>
      <w:r w:rsidRPr="00842814">
        <w:rPr>
          <w:i/>
          <w:iCs/>
          <w:lang w:val="de-DE"/>
        </w:rPr>
        <w:t>Beigang et al. (2017): Diskriminierungserfahrungen in Deutschland. Ergebnisse einer Repräsentativ- und einer Betroffenenbefragung</w:t>
      </w:r>
      <w:r w:rsidRPr="00842814">
        <w:rPr>
          <w:lang w:val="de-DE"/>
        </w:rPr>
        <w:t xml:space="preserve">, p. 112. </w:t>
      </w:r>
      <w:hyperlink r:id="rId5" w:history="1">
        <w:r w:rsidRPr="005D30DB">
          <w:rPr>
            <w:rStyle w:val="Hyperlink"/>
          </w:rPr>
          <w:t>https://www.antidiskriminierungsstelle.de/SharedDocs/downloads/DE/publikationen/Expertisen/expertise_diskriminierungserfahrungen_in_deutschland.pdf?__blob=publicationFile&amp;v=6</w:t>
        </w:r>
      </w:hyperlink>
      <w:r w:rsidRPr="005D30DB">
        <w:t xml:space="preserve"> </w:t>
      </w:r>
    </w:p>
  </w:footnote>
  <w:footnote w:id="7">
    <w:p w:rsidR="00775C4C" w:rsidRDefault="00775C4C" w:rsidP="00775C4C">
      <w:pPr>
        <w:pStyle w:val="Funotentext"/>
        <w:spacing w:after="0" w:line="240" w:lineRule="auto"/>
      </w:pPr>
      <w:r>
        <w:rPr>
          <w:rStyle w:val="Funotenzeichen"/>
        </w:rPr>
        <w:footnoteRef/>
      </w:r>
      <w:r>
        <w:t xml:space="preserve"> Cf. </w:t>
      </w:r>
      <w:hyperlink r:id="rId6" w:history="1">
        <w:r>
          <w:rPr>
            <w:rStyle w:val="Hyperlink"/>
          </w:rPr>
          <w:t>https://www.destatis.de/DE/Themen/Querschnitt/Demografischer-Wandel/Aeltere-Menschen/armutsgefaehrdung.html#:~:text=Mit%20zunehmendem%20Alter%20wird%20der,Quote%2011%2C7%20%25%20betrug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F8" w:rsidRPr="00925A9D" w:rsidRDefault="001C48F8" w:rsidP="001C48F8">
    <w:pPr>
      <w:pStyle w:val="Kopfzeile"/>
      <w:jc w:val="center"/>
      <w:rPr>
        <w:sz w:val="14"/>
        <w:szCs w:val="14"/>
        <w:lang w:val="en-GB"/>
      </w:rPr>
    </w:pPr>
    <w:r>
      <w:rPr>
        <w:noProof/>
        <w:sz w:val="14"/>
        <w:szCs w:val="14"/>
        <w:lang w:val="en-GB"/>
      </w:rPr>
      <w:drawing>
        <wp:inline distT="0" distB="0" distL="0" distR="0" wp14:anchorId="2B1DF4BA" wp14:editId="3742467B">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1C48F8" w:rsidRPr="009640AB" w:rsidRDefault="001C48F8" w:rsidP="001C48F8">
    <w:pPr>
      <w:pStyle w:val="Kopfzeile"/>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PALAIS DES NATIONS • 1211 GENEVA 10, SWITZERLAND</w:t>
    </w:r>
  </w:p>
  <w:p w:rsidR="001C48F8" w:rsidRPr="009640AB" w:rsidRDefault="001C48F8" w:rsidP="001C48F8">
    <w:pPr>
      <w:pStyle w:val="Kopfzeile"/>
      <w:tabs>
        <w:tab w:val="right" w:pos="3686"/>
        <w:tab w:val="left" w:pos="5812"/>
      </w:tabs>
      <w:jc w:val="center"/>
      <w:rPr>
        <w:rFonts w:ascii="Times New Roman" w:hAnsi="Times New Roman" w:cs="Times New Roman"/>
        <w:sz w:val="14"/>
        <w:szCs w:val="14"/>
        <w:lang w:val="fr-CH"/>
      </w:rPr>
    </w:pPr>
    <w:r w:rsidRPr="009640AB">
      <w:rPr>
        <w:rFonts w:ascii="Times New Roman" w:hAnsi="Times New Roman" w:cs="Times New Roman"/>
        <w:sz w:val="14"/>
        <w:szCs w:val="14"/>
        <w:lang w:val="fr-CH"/>
      </w:rPr>
      <w:t xml:space="preserve">www.ohchr.org • </w:t>
    </w:r>
    <w:proofErr w:type="gramStart"/>
    <w:r w:rsidRPr="009640AB">
      <w:rPr>
        <w:rFonts w:ascii="Times New Roman" w:hAnsi="Times New Roman" w:cs="Times New Roman"/>
        <w:sz w:val="14"/>
        <w:szCs w:val="14"/>
        <w:lang w:val="fr-CH"/>
      </w:rPr>
      <w:t>TEL:</w:t>
    </w:r>
    <w:proofErr w:type="gramEnd"/>
    <w:r w:rsidRPr="009640AB">
      <w:rPr>
        <w:rFonts w:ascii="Times New Roman" w:hAnsi="Times New Roman" w:cs="Times New Roman"/>
        <w:sz w:val="14"/>
        <w:szCs w:val="14"/>
        <w:lang w:val="fr-CH"/>
      </w:rPr>
      <w:t xml:space="preserve">  +41 22 917 9000 • FAX:  +41 22 917 9008 • E-MAIL:  registry@ohchr.org</w:t>
    </w:r>
  </w:p>
  <w:p w:rsidR="001C48F8" w:rsidRDefault="001C48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60B66"/>
    <w:multiLevelType w:val="hybridMultilevel"/>
    <w:tmpl w:val="CCB4D56C"/>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F97E68"/>
    <w:multiLevelType w:val="hybridMultilevel"/>
    <w:tmpl w:val="6ACEBEB6"/>
    <w:lvl w:ilvl="0" w:tplc="0407000F">
      <w:start w:val="9"/>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2A35D5"/>
    <w:multiLevelType w:val="hybridMultilevel"/>
    <w:tmpl w:val="78DAA3D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94E17"/>
    <w:multiLevelType w:val="hybridMultilevel"/>
    <w:tmpl w:val="395CF7DE"/>
    <w:lvl w:ilvl="0" w:tplc="B6985F32">
      <w:start w:val="1"/>
      <w:numFmt w:val="decimal"/>
      <w:lvlText w:val="%1."/>
      <w:lvlJc w:val="left"/>
      <w:pPr>
        <w:ind w:left="720" w:hanging="360"/>
      </w:pPr>
    </w:lvl>
    <w:lvl w:ilvl="1" w:tplc="782EE8E8">
      <w:start w:val="1"/>
      <w:numFmt w:val="lowerLetter"/>
      <w:lvlText w:val="%2."/>
      <w:lvlJc w:val="left"/>
      <w:pPr>
        <w:ind w:left="1440" w:hanging="360"/>
      </w:pPr>
    </w:lvl>
    <w:lvl w:ilvl="2" w:tplc="C6C64A3E">
      <w:start w:val="1"/>
      <w:numFmt w:val="lowerRoman"/>
      <w:lvlText w:val="%3."/>
      <w:lvlJc w:val="right"/>
      <w:pPr>
        <w:ind w:left="2160" w:hanging="180"/>
      </w:pPr>
    </w:lvl>
    <w:lvl w:ilvl="3" w:tplc="8AAA426E">
      <w:start w:val="1"/>
      <w:numFmt w:val="decimal"/>
      <w:lvlText w:val="%4."/>
      <w:lvlJc w:val="left"/>
      <w:pPr>
        <w:ind w:left="2880" w:hanging="360"/>
      </w:pPr>
    </w:lvl>
    <w:lvl w:ilvl="4" w:tplc="D0D87E3C">
      <w:start w:val="1"/>
      <w:numFmt w:val="lowerLetter"/>
      <w:lvlText w:val="%5."/>
      <w:lvlJc w:val="left"/>
      <w:pPr>
        <w:ind w:left="3600" w:hanging="360"/>
      </w:pPr>
    </w:lvl>
    <w:lvl w:ilvl="5" w:tplc="6BCE317A">
      <w:start w:val="1"/>
      <w:numFmt w:val="lowerRoman"/>
      <w:lvlText w:val="%6."/>
      <w:lvlJc w:val="right"/>
      <w:pPr>
        <w:ind w:left="4320" w:hanging="180"/>
      </w:pPr>
    </w:lvl>
    <w:lvl w:ilvl="6" w:tplc="8BFE24E6">
      <w:start w:val="1"/>
      <w:numFmt w:val="decimal"/>
      <w:lvlText w:val="%7."/>
      <w:lvlJc w:val="left"/>
      <w:pPr>
        <w:ind w:left="5040" w:hanging="360"/>
      </w:pPr>
    </w:lvl>
    <w:lvl w:ilvl="7" w:tplc="E710FC06">
      <w:start w:val="1"/>
      <w:numFmt w:val="lowerLetter"/>
      <w:lvlText w:val="%8."/>
      <w:lvlJc w:val="left"/>
      <w:pPr>
        <w:ind w:left="5760" w:hanging="360"/>
      </w:pPr>
    </w:lvl>
    <w:lvl w:ilvl="8" w:tplc="F7E48784">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0A"/>
    <w:rsid w:val="00037EC6"/>
    <w:rsid w:val="0006179C"/>
    <w:rsid w:val="00081AF8"/>
    <w:rsid w:val="000C4949"/>
    <w:rsid w:val="000D4683"/>
    <w:rsid w:val="000F7159"/>
    <w:rsid w:val="0019280A"/>
    <w:rsid w:val="001C48F8"/>
    <w:rsid w:val="001D3EE3"/>
    <w:rsid w:val="00237936"/>
    <w:rsid w:val="002817E5"/>
    <w:rsid w:val="002974AF"/>
    <w:rsid w:val="003032C9"/>
    <w:rsid w:val="00327004"/>
    <w:rsid w:val="00346727"/>
    <w:rsid w:val="0038222D"/>
    <w:rsid w:val="003A14DA"/>
    <w:rsid w:val="003A55C4"/>
    <w:rsid w:val="003B25C6"/>
    <w:rsid w:val="003C5FFF"/>
    <w:rsid w:val="003D75B6"/>
    <w:rsid w:val="003E1F0B"/>
    <w:rsid w:val="00401FDE"/>
    <w:rsid w:val="00416196"/>
    <w:rsid w:val="0042200F"/>
    <w:rsid w:val="004E2852"/>
    <w:rsid w:val="00522C95"/>
    <w:rsid w:val="00534B89"/>
    <w:rsid w:val="00557084"/>
    <w:rsid w:val="005B434F"/>
    <w:rsid w:val="005C29FC"/>
    <w:rsid w:val="005D30DB"/>
    <w:rsid w:val="00617F01"/>
    <w:rsid w:val="00643B5F"/>
    <w:rsid w:val="006440A3"/>
    <w:rsid w:val="0065510A"/>
    <w:rsid w:val="00665436"/>
    <w:rsid w:val="006704A4"/>
    <w:rsid w:val="00696EC8"/>
    <w:rsid w:val="006A49D3"/>
    <w:rsid w:val="00775C4C"/>
    <w:rsid w:val="00795B1E"/>
    <w:rsid w:val="007A34F0"/>
    <w:rsid w:val="007B5788"/>
    <w:rsid w:val="008020D3"/>
    <w:rsid w:val="008C06B9"/>
    <w:rsid w:val="008C4259"/>
    <w:rsid w:val="008C53E5"/>
    <w:rsid w:val="008C6CD2"/>
    <w:rsid w:val="008F2FDC"/>
    <w:rsid w:val="00930AF1"/>
    <w:rsid w:val="00946636"/>
    <w:rsid w:val="00950597"/>
    <w:rsid w:val="009640AB"/>
    <w:rsid w:val="0097132F"/>
    <w:rsid w:val="00A338DC"/>
    <w:rsid w:val="00A355C5"/>
    <w:rsid w:val="00A60F80"/>
    <w:rsid w:val="00A74B30"/>
    <w:rsid w:val="00A811A3"/>
    <w:rsid w:val="00A9224F"/>
    <w:rsid w:val="00AB0339"/>
    <w:rsid w:val="00AC43D8"/>
    <w:rsid w:val="00AE4A41"/>
    <w:rsid w:val="00B04BA4"/>
    <w:rsid w:val="00B1035D"/>
    <w:rsid w:val="00B1556A"/>
    <w:rsid w:val="00BF4294"/>
    <w:rsid w:val="00C35A2E"/>
    <w:rsid w:val="00C650F7"/>
    <w:rsid w:val="00C810F2"/>
    <w:rsid w:val="00C941D2"/>
    <w:rsid w:val="00C94C10"/>
    <w:rsid w:val="00D01BDB"/>
    <w:rsid w:val="00D253E1"/>
    <w:rsid w:val="00D65B0B"/>
    <w:rsid w:val="00D95D08"/>
    <w:rsid w:val="00D96594"/>
    <w:rsid w:val="00DA593D"/>
    <w:rsid w:val="00E660D1"/>
    <w:rsid w:val="00E95F26"/>
    <w:rsid w:val="00EA0AFD"/>
    <w:rsid w:val="00EC46D4"/>
    <w:rsid w:val="00F24FBC"/>
    <w:rsid w:val="00F30000"/>
    <w:rsid w:val="00F45D4B"/>
    <w:rsid w:val="00FB497D"/>
    <w:rsid w:val="00FC0F67"/>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21DA2-C406-483D-8AFF-B2F02DA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80A"/>
    <w:rPr>
      <w:rFonts w:ascii="Calibri" w:eastAsia="Calibri" w:hAnsi="Calibri" w:cs="Calibri"/>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80A"/>
    <w:pPr>
      <w:spacing w:after="0" w:line="240" w:lineRule="auto"/>
      <w:ind w:left="720"/>
      <w:contextualSpacing/>
    </w:pPr>
    <w:rPr>
      <w:sz w:val="24"/>
      <w:szCs w:val="24"/>
      <w:lang w:val="fr-FR"/>
    </w:rPr>
  </w:style>
  <w:style w:type="character" w:styleId="Kommentarzeichen">
    <w:name w:val="annotation reference"/>
    <w:basedOn w:val="Absatz-Standardschriftart"/>
    <w:uiPriority w:val="99"/>
    <w:semiHidden/>
    <w:unhideWhenUsed/>
    <w:rsid w:val="0019280A"/>
    <w:rPr>
      <w:sz w:val="16"/>
      <w:szCs w:val="16"/>
    </w:rPr>
  </w:style>
  <w:style w:type="paragraph" w:styleId="Kommentartext">
    <w:name w:val="annotation text"/>
    <w:basedOn w:val="Standard"/>
    <w:link w:val="KommentartextZchn"/>
    <w:uiPriority w:val="99"/>
    <w:semiHidden/>
    <w:unhideWhenUsed/>
    <w:rsid w:val="001928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80A"/>
    <w:rPr>
      <w:rFonts w:ascii="Calibri" w:eastAsia="Calibri" w:hAnsi="Calibri" w:cs="Calibri"/>
      <w:sz w:val="20"/>
      <w:szCs w:val="20"/>
      <w:lang w:val="en-US" w:eastAsia="en-GB"/>
    </w:rPr>
  </w:style>
  <w:style w:type="paragraph" w:styleId="Kommentarthema">
    <w:name w:val="annotation subject"/>
    <w:basedOn w:val="Kommentartext"/>
    <w:next w:val="Kommentartext"/>
    <w:link w:val="KommentarthemaZchn"/>
    <w:uiPriority w:val="99"/>
    <w:semiHidden/>
    <w:unhideWhenUsed/>
    <w:rsid w:val="0019280A"/>
    <w:rPr>
      <w:b/>
      <w:bCs/>
    </w:rPr>
  </w:style>
  <w:style w:type="character" w:customStyle="1" w:styleId="KommentarthemaZchn">
    <w:name w:val="Kommentarthema Zchn"/>
    <w:basedOn w:val="KommentartextZchn"/>
    <w:link w:val="Kommentarthema"/>
    <w:uiPriority w:val="99"/>
    <w:semiHidden/>
    <w:rsid w:val="0019280A"/>
    <w:rPr>
      <w:rFonts w:ascii="Calibri" w:eastAsia="Calibri" w:hAnsi="Calibri" w:cs="Calibri"/>
      <w:b/>
      <w:bCs/>
      <w:sz w:val="20"/>
      <w:szCs w:val="20"/>
      <w:lang w:val="en-US" w:eastAsia="en-GB"/>
    </w:rPr>
  </w:style>
  <w:style w:type="paragraph" w:styleId="berarbeitung">
    <w:name w:val="Revision"/>
    <w:hidden/>
    <w:uiPriority w:val="99"/>
    <w:semiHidden/>
    <w:rsid w:val="003A14DA"/>
    <w:pPr>
      <w:spacing w:after="0" w:line="240" w:lineRule="auto"/>
    </w:pPr>
    <w:rPr>
      <w:rFonts w:ascii="Calibri" w:eastAsia="Calibri" w:hAnsi="Calibri" w:cs="Calibri"/>
      <w:lang w:val="en-US" w:eastAsia="en-GB"/>
    </w:rPr>
  </w:style>
  <w:style w:type="character" w:styleId="Hyperlink">
    <w:name w:val="Hyperlink"/>
    <w:basedOn w:val="Absatz-Standardschriftart"/>
    <w:uiPriority w:val="99"/>
    <w:unhideWhenUsed/>
    <w:rsid w:val="002817E5"/>
    <w:rPr>
      <w:color w:val="0563C1" w:themeColor="hyperlink"/>
      <w:u w:val="single"/>
    </w:rPr>
  </w:style>
  <w:style w:type="character" w:styleId="NichtaufgelsteErwhnung">
    <w:name w:val="Unresolved Mention"/>
    <w:basedOn w:val="Absatz-Standardschriftart"/>
    <w:uiPriority w:val="99"/>
    <w:semiHidden/>
    <w:unhideWhenUsed/>
    <w:rsid w:val="002817E5"/>
    <w:rPr>
      <w:color w:val="605E5C"/>
      <w:shd w:val="clear" w:color="auto" w:fill="E1DFDD"/>
    </w:rPr>
  </w:style>
  <w:style w:type="paragraph" w:styleId="Kopfzeile">
    <w:name w:val="header"/>
    <w:basedOn w:val="Standard"/>
    <w:link w:val="KopfzeileZchn"/>
    <w:uiPriority w:val="99"/>
    <w:unhideWhenUsed/>
    <w:rsid w:val="0032700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27004"/>
    <w:rPr>
      <w:rFonts w:ascii="Calibri" w:eastAsia="Calibri" w:hAnsi="Calibri" w:cs="Calibri"/>
      <w:lang w:val="en-US" w:eastAsia="en-GB"/>
    </w:rPr>
  </w:style>
  <w:style w:type="paragraph" w:styleId="Fuzeile">
    <w:name w:val="footer"/>
    <w:basedOn w:val="Standard"/>
    <w:link w:val="FuzeileZchn"/>
    <w:uiPriority w:val="99"/>
    <w:unhideWhenUsed/>
    <w:rsid w:val="0032700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27004"/>
    <w:rPr>
      <w:rFonts w:ascii="Calibri" w:eastAsia="Calibri" w:hAnsi="Calibri" w:cs="Calibri"/>
      <w:lang w:val="en-US" w:eastAsia="en-GB"/>
    </w:rPr>
  </w:style>
  <w:style w:type="paragraph" w:styleId="Sprechblasentext">
    <w:name w:val="Balloon Text"/>
    <w:basedOn w:val="Standard"/>
    <w:link w:val="SprechblasentextZchn"/>
    <w:uiPriority w:val="99"/>
    <w:semiHidden/>
    <w:unhideWhenUsed/>
    <w:rsid w:val="003467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6727"/>
    <w:rPr>
      <w:rFonts w:ascii="Segoe UI" w:eastAsia="Calibri" w:hAnsi="Segoe UI" w:cs="Segoe UI"/>
      <w:sz w:val="18"/>
      <w:szCs w:val="18"/>
      <w:lang w:val="en-US" w:eastAsia="en-GB"/>
    </w:rPr>
  </w:style>
  <w:style w:type="paragraph" w:styleId="NurText">
    <w:name w:val="Plain Text"/>
    <w:basedOn w:val="Standard"/>
    <w:link w:val="NurTextZchn"/>
    <w:uiPriority w:val="99"/>
    <w:unhideWhenUsed/>
    <w:rsid w:val="00775C4C"/>
    <w:pPr>
      <w:spacing w:after="0" w:line="240" w:lineRule="auto"/>
    </w:pPr>
    <w:rPr>
      <w:rFonts w:cs="Times New Roman"/>
      <w:szCs w:val="21"/>
      <w:lang w:val="en-GB" w:eastAsia="en-US"/>
    </w:rPr>
  </w:style>
  <w:style w:type="character" w:customStyle="1" w:styleId="NurTextZchn">
    <w:name w:val="Nur Text Zchn"/>
    <w:basedOn w:val="Absatz-Standardschriftart"/>
    <w:link w:val="NurText"/>
    <w:uiPriority w:val="99"/>
    <w:rsid w:val="00775C4C"/>
    <w:rPr>
      <w:rFonts w:ascii="Calibri" w:eastAsia="Calibri" w:hAnsi="Calibri" w:cs="Times New Roman"/>
      <w:szCs w:val="21"/>
    </w:rPr>
  </w:style>
  <w:style w:type="paragraph" w:styleId="Funotentext">
    <w:name w:val="footnote text"/>
    <w:basedOn w:val="Standard"/>
    <w:link w:val="FunotentextZchn"/>
    <w:uiPriority w:val="99"/>
    <w:semiHidden/>
    <w:unhideWhenUsed/>
    <w:rsid w:val="00775C4C"/>
    <w:pPr>
      <w:suppressAutoHyphens/>
      <w:spacing w:after="200" w:line="276" w:lineRule="auto"/>
    </w:pPr>
    <w:rPr>
      <w:rFonts w:cs="Times New Roman"/>
      <w:sz w:val="20"/>
      <w:szCs w:val="20"/>
      <w:lang w:val="en-GB" w:eastAsia="ar-SA"/>
    </w:rPr>
  </w:style>
  <w:style w:type="character" w:customStyle="1" w:styleId="FunotentextZchn">
    <w:name w:val="Fußnotentext Zchn"/>
    <w:basedOn w:val="Absatz-Standardschriftart"/>
    <w:link w:val="Funotentext"/>
    <w:uiPriority w:val="99"/>
    <w:semiHidden/>
    <w:rsid w:val="00775C4C"/>
    <w:rPr>
      <w:rFonts w:ascii="Calibri" w:eastAsia="Calibri" w:hAnsi="Calibri" w:cs="Times New Roman"/>
      <w:sz w:val="20"/>
      <w:szCs w:val="20"/>
      <w:lang w:eastAsia="ar-SA"/>
    </w:rPr>
  </w:style>
  <w:style w:type="character" w:styleId="Funotenzeichen">
    <w:name w:val="footnote reference"/>
    <w:uiPriority w:val="99"/>
    <w:semiHidden/>
    <w:unhideWhenUsed/>
    <w:rsid w:val="00775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estatis.de/DE/Presse/Pressemitteilungen/2020/06/PD20_230_227.html%23:~:text=Behinderungen%20treten%20vor%20allem%20bei,und%20Jugendliche%20unter%2018%20Jahren" TargetMode="External"/><Relationship Id="rId2" Type="http://schemas.openxmlformats.org/officeDocument/2006/relationships/hyperlink" Target="https://www.antidiskriminierungsstelle.de/SharedDocs/downloads/DE/publikationen/BT_Bericht/gemeinsamer_bericht_vierter_2021.pdf?__blob=publicationFile&amp;v=8" TargetMode="External"/><Relationship Id="rId1" Type="http://schemas.openxmlformats.org/officeDocument/2006/relationships/hyperlink" Target="https://www.antidiskriminierungsstelle.de/SharedDocs/downloads/DE/publikationen/Umfragen/umfrage_rass_diskr_auf_dem_wohnungsmarkt.pdf?__blob=publicationFile&amp;v=4" TargetMode="External"/><Relationship Id="rId6" Type="http://schemas.openxmlformats.org/officeDocument/2006/relationships/hyperlink" Target="https://www.destatis.de/DE/Themen/Querschnitt/Demografischer-Wandel/Aeltere-Menschen/armutsgefaehrdung.html%23:~:text=Mit%20zunehmendem%20Alter%20wird%20der,Quote%2011,7%20%25%20betrug" TargetMode="External"/><Relationship Id="rId5" Type="http://schemas.openxmlformats.org/officeDocument/2006/relationships/hyperlink" Target="https://www.antidiskriminierungsstelle.de/SharedDocs/downloads/DE/publikationen/Expertisen/expertise_diskriminierungserfahrungen_in_deutschland.pdf?__blob=publicationFile&amp;v=6" TargetMode="External"/><Relationship Id="rId4" Type="http://schemas.openxmlformats.org/officeDocument/2006/relationships/hyperlink" Target="https://equineteurope.org/publications/fighting-discrimination-on-the-ground-of-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AA129-8514-4E3D-8AAC-3A2252F06F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98FC39-9C87-4837-A4C9-7907368FDB32}"/>
</file>

<file path=customXml/itemProps3.xml><?xml version="1.0" encoding="utf-8"?>
<ds:datastoreItem xmlns:ds="http://schemas.openxmlformats.org/officeDocument/2006/customXml" ds:itemID="{D6305C67-9E6F-446D-8CCF-0C506353E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Zündorf-Hinte, Nicole</cp:lastModifiedBy>
  <cp:revision>7</cp:revision>
  <cp:lastPrinted>2022-03-23T08:56:00Z</cp:lastPrinted>
  <dcterms:created xsi:type="dcterms:W3CDTF">2022-03-25T06:00:00Z</dcterms:created>
  <dcterms:modified xsi:type="dcterms:W3CDTF">2022-03-25T11:02:00Z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