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E7" w:rsidRPr="009F758F" w:rsidRDefault="008052E7" w:rsidP="002030AB">
      <w:pPr>
        <w:widowControl w:val="0"/>
        <w:spacing w:line="360" w:lineRule="auto"/>
        <w:jc w:val="center"/>
        <w:rPr>
          <w:rFonts w:ascii="Times New Roman" w:hAnsi="Times New Roman"/>
          <w:b/>
          <w:sz w:val="24"/>
          <w:szCs w:val="24"/>
        </w:rPr>
      </w:pPr>
      <w:r w:rsidRPr="009F758F">
        <w:rPr>
          <w:rFonts w:ascii="Times New Roman" w:hAnsi="Times New Roman"/>
          <w:b/>
          <w:sz w:val="24"/>
          <w:szCs w:val="24"/>
        </w:rPr>
        <w:t>Answers to the questionnaire</w:t>
      </w:r>
    </w:p>
    <w:p w:rsidR="002030AB" w:rsidRPr="009F758F" w:rsidRDefault="002030AB" w:rsidP="002030AB">
      <w:pPr>
        <w:widowControl w:val="0"/>
        <w:spacing w:line="360" w:lineRule="auto"/>
        <w:jc w:val="center"/>
        <w:rPr>
          <w:rFonts w:ascii="Times New Roman" w:hAnsi="Times New Roman"/>
          <w:b/>
          <w:sz w:val="24"/>
          <w:szCs w:val="24"/>
        </w:rPr>
      </w:pPr>
    </w:p>
    <w:p w:rsidR="008052E7" w:rsidRPr="009F758F" w:rsidRDefault="008052E7" w:rsidP="00F759E5">
      <w:pPr>
        <w:widowControl w:val="0"/>
        <w:tabs>
          <w:tab w:val="left" w:pos="1701"/>
        </w:tabs>
        <w:spacing w:line="360" w:lineRule="auto"/>
        <w:jc w:val="both"/>
        <w:rPr>
          <w:rFonts w:ascii="Times New Roman" w:hAnsi="Times New Roman"/>
          <w:sz w:val="24"/>
          <w:szCs w:val="24"/>
        </w:rPr>
      </w:pPr>
      <w:r w:rsidRPr="009F758F">
        <w:rPr>
          <w:rFonts w:ascii="Times New Roman" w:hAnsi="Times New Roman"/>
          <w:b/>
          <w:sz w:val="24"/>
          <w:szCs w:val="24"/>
        </w:rPr>
        <w:t>Questions 1, 2.</w:t>
      </w:r>
      <w:r w:rsidR="00F759E5" w:rsidRPr="009F758F">
        <w:rPr>
          <w:rFonts w:ascii="Times New Roman" w:hAnsi="Times New Roman"/>
          <w:sz w:val="24"/>
          <w:szCs w:val="24"/>
        </w:rPr>
        <w:tab/>
      </w:r>
      <w:r w:rsidRPr="009F758F">
        <w:rPr>
          <w:rFonts w:ascii="Times New Roman" w:hAnsi="Times New Roman"/>
          <w:sz w:val="24"/>
          <w:szCs w:val="24"/>
        </w:rPr>
        <w:t>A social housing programme for persons from socially disadvantaged and special groups, having housing needs is implemented by the Ministry of Labour and Social Affairs of the Republic of Armenia. The List and the Procedure for record-registering persons (families) from socially disadvantaged and special groups, holding the right to get housing, and for providing them with accommodation are approved by Decision of the Government of the Republic of Armenia No 1069-N of 10 September 2015 (hereinafter referred to as "the Decision").</w:t>
      </w:r>
    </w:p>
    <w:p w:rsidR="008052E7" w:rsidRPr="009F758F" w:rsidRDefault="008052E7" w:rsidP="002030AB">
      <w:pPr>
        <w:widowControl w:val="0"/>
        <w:spacing w:line="360" w:lineRule="auto"/>
        <w:jc w:val="both"/>
        <w:rPr>
          <w:rFonts w:ascii="Times New Roman" w:hAnsi="Times New Roman"/>
          <w:sz w:val="24"/>
          <w:szCs w:val="24"/>
        </w:rPr>
      </w:pPr>
      <w:r w:rsidRPr="009F758F">
        <w:rPr>
          <w:rFonts w:ascii="Times New Roman" w:hAnsi="Times New Roman"/>
          <w:sz w:val="24"/>
          <w:szCs w:val="24"/>
        </w:rPr>
        <w:t xml:space="preserve">Paragraph "a" of sub-point 3 of point 1 of Annex 1 to the Decision prescribes that persons (families) record-registered in the system of assessment of insecurity of families not having housing belonging thereto under ownership right, having self-service abilities and living in temporary housing or other public premises, possessing insecurity points higher than </w:t>
      </w:r>
      <w:r w:rsidRPr="009F758F">
        <w:rPr>
          <w:rFonts w:ascii="Times New Roman" w:hAnsi="Times New Roman"/>
          <w:sz w:val="24"/>
          <w:szCs w:val="24"/>
          <w:cs/>
        </w:rPr>
        <w:t>“</w:t>
      </w:r>
      <w:r w:rsidRPr="009F758F">
        <w:rPr>
          <w:rFonts w:ascii="Times New Roman" w:hAnsi="Times New Roman"/>
          <w:sz w:val="24"/>
          <w:szCs w:val="24"/>
        </w:rPr>
        <w:t>zero</w:t>
      </w:r>
      <w:r w:rsidRPr="009F758F">
        <w:rPr>
          <w:rFonts w:ascii="Times New Roman" w:hAnsi="Times New Roman"/>
          <w:sz w:val="24"/>
          <w:szCs w:val="24"/>
          <w:cs/>
        </w:rPr>
        <w:t xml:space="preserve">” </w:t>
      </w:r>
      <w:r w:rsidRPr="009F758F">
        <w:rPr>
          <w:rFonts w:ascii="Times New Roman" w:hAnsi="Times New Roman"/>
          <w:sz w:val="24"/>
          <w:szCs w:val="24"/>
        </w:rPr>
        <w:t xml:space="preserve">and record-registered as "single non-working pensioners" as prescribed by sub-points 7 and 8 of point 14 of Annex No 3 to Decision of the Government of the Republic of Armenia No 145-N of 30 January 2014 shall be classified as socially disadvantaged and special groups holding the right to get housing, including in case the person (persons) does work. </w:t>
      </w:r>
    </w:p>
    <w:p w:rsidR="008052E7" w:rsidRPr="009F758F" w:rsidRDefault="008052E7" w:rsidP="002030AB">
      <w:pPr>
        <w:widowControl w:val="0"/>
        <w:spacing w:line="360" w:lineRule="auto"/>
        <w:jc w:val="both"/>
        <w:rPr>
          <w:rFonts w:ascii="Times New Roman" w:hAnsi="Times New Roman"/>
          <w:sz w:val="24"/>
          <w:szCs w:val="24"/>
        </w:rPr>
      </w:pPr>
      <w:r w:rsidRPr="009F758F">
        <w:rPr>
          <w:rFonts w:ascii="Times New Roman" w:hAnsi="Times New Roman"/>
          <w:sz w:val="24"/>
          <w:szCs w:val="24"/>
        </w:rPr>
        <w:t xml:space="preserve">Based on the requirement of paragraph </w:t>
      </w:r>
      <w:r w:rsidR="00E4658F" w:rsidRPr="009F758F">
        <w:rPr>
          <w:rFonts w:ascii="Times New Roman" w:hAnsi="Times New Roman"/>
          <w:sz w:val="24"/>
          <w:szCs w:val="24"/>
        </w:rPr>
        <w:t xml:space="preserve">4 </w:t>
      </w:r>
      <w:r w:rsidRPr="009F758F">
        <w:rPr>
          <w:rFonts w:ascii="Times New Roman" w:hAnsi="Times New Roman"/>
          <w:sz w:val="24"/>
          <w:szCs w:val="24"/>
        </w:rPr>
        <w:t xml:space="preserve">of sub-point 4.6 of point 4 of the Programme of the Government of the Republic of Armenia, the Ministry of Labour and Social Affairs of the Republic of Armenia envisages submitting, prior to the first ten-day period of December 2023, the draft Decision of the Government of the Republic of Armenia </w:t>
      </w:r>
      <w:r w:rsidRPr="009F758F">
        <w:rPr>
          <w:rFonts w:ascii="Times New Roman" w:hAnsi="Times New Roman"/>
          <w:sz w:val="24"/>
          <w:szCs w:val="24"/>
          <w:cs/>
        </w:rPr>
        <w:t>“</w:t>
      </w:r>
      <w:r w:rsidRPr="009F758F">
        <w:rPr>
          <w:rFonts w:ascii="Times New Roman" w:hAnsi="Times New Roman"/>
          <w:sz w:val="24"/>
          <w:szCs w:val="24"/>
        </w:rPr>
        <w:t>On approving the Unified Social Strategy for housing and the 5-year Action Plan</w:t>
      </w:r>
      <w:r w:rsidRPr="009F758F">
        <w:rPr>
          <w:rFonts w:ascii="Times New Roman" w:hAnsi="Times New Roman"/>
          <w:sz w:val="24"/>
          <w:szCs w:val="24"/>
          <w:cs/>
        </w:rPr>
        <w:t xml:space="preserve">” </w:t>
      </w:r>
      <w:r w:rsidRPr="009F758F">
        <w:rPr>
          <w:rFonts w:ascii="Times New Roman" w:hAnsi="Times New Roman"/>
          <w:sz w:val="24"/>
          <w:szCs w:val="24"/>
        </w:rPr>
        <w:t>to the Office of the Prime Minister of the Republic of Armenia.</w:t>
      </w:r>
    </w:p>
    <w:p w:rsidR="00196D5C" w:rsidRPr="009F758F" w:rsidRDefault="00196D5C" w:rsidP="002030AB">
      <w:pPr>
        <w:widowControl w:val="0"/>
        <w:spacing w:line="360" w:lineRule="auto"/>
        <w:jc w:val="both"/>
        <w:rPr>
          <w:rFonts w:ascii="Times New Roman" w:hAnsi="Times New Roman"/>
          <w:sz w:val="24"/>
          <w:szCs w:val="24"/>
        </w:rPr>
      </w:pPr>
    </w:p>
    <w:p w:rsidR="008052E7" w:rsidRPr="009F758F" w:rsidRDefault="008052E7" w:rsidP="00196D5C">
      <w:pPr>
        <w:widowControl w:val="0"/>
        <w:spacing w:line="360" w:lineRule="auto"/>
        <w:jc w:val="both"/>
        <w:rPr>
          <w:rFonts w:ascii="Times New Roman" w:hAnsi="Times New Roman"/>
          <w:sz w:val="24"/>
          <w:szCs w:val="24"/>
        </w:rPr>
      </w:pPr>
      <w:r w:rsidRPr="009F758F">
        <w:rPr>
          <w:rFonts w:ascii="Times New Roman" w:hAnsi="Times New Roman"/>
          <w:sz w:val="24"/>
          <w:szCs w:val="24"/>
        </w:rPr>
        <w:t xml:space="preserve">It is envisaged to </w:t>
      </w:r>
      <w:r w:rsidR="000E04A4" w:rsidRPr="009F758F">
        <w:rPr>
          <w:rFonts w:ascii="Times New Roman" w:hAnsi="Times New Roman"/>
          <w:sz w:val="24"/>
          <w:szCs w:val="24"/>
        </w:rPr>
        <w:t xml:space="preserve">elaborate </w:t>
      </w:r>
      <w:r w:rsidRPr="009F758F">
        <w:rPr>
          <w:rFonts w:ascii="Times New Roman" w:hAnsi="Times New Roman"/>
          <w:sz w:val="24"/>
          <w:szCs w:val="24"/>
        </w:rPr>
        <w:t xml:space="preserve">a draft decision of the Government of the Republic of Armenia, whereby mechanisms for providing permanent or temporary shelters (alternative mechanisms for acquisition of an apartment </w:t>
      </w:r>
      <w:r w:rsidRPr="009F758F">
        <w:rPr>
          <w:rFonts w:ascii="Times New Roman" w:hAnsi="Times New Roman"/>
          <w:sz w:val="24"/>
          <w:szCs w:val="24"/>
          <w:cs/>
        </w:rPr>
        <w:t xml:space="preserve">– </w:t>
      </w:r>
      <w:r w:rsidRPr="009F758F">
        <w:rPr>
          <w:rFonts w:ascii="Times New Roman" w:hAnsi="Times New Roman"/>
          <w:sz w:val="24"/>
          <w:szCs w:val="24"/>
        </w:rPr>
        <w:t xml:space="preserve">granting certificates for purchase of an apartment, servicing of the mortgage from the funds of the State Budget, partial reimbursement of the amount of the </w:t>
      </w:r>
      <w:r w:rsidR="00532580" w:rsidRPr="009F758F">
        <w:rPr>
          <w:rFonts w:ascii="Times New Roman" w:hAnsi="Times New Roman"/>
          <w:sz w:val="24"/>
          <w:szCs w:val="24"/>
        </w:rPr>
        <w:t>rent</w:t>
      </w:r>
      <w:r w:rsidRPr="009F758F">
        <w:rPr>
          <w:rFonts w:ascii="Times New Roman" w:hAnsi="Times New Roman"/>
          <w:sz w:val="24"/>
          <w:szCs w:val="24"/>
        </w:rPr>
        <w:t>, etc.) will be prescribed for the low-income and needy families and other vulnerable groups, as well as the implementation of the unified policy will be ensured.</w:t>
      </w:r>
    </w:p>
    <w:p w:rsidR="008052E7" w:rsidRPr="009F758F" w:rsidRDefault="008052E7" w:rsidP="00624191">
      <w:pPr>
        <w:widowControl w:val="0"/>
        <w:spacing w:line="360" w:lineRule="auto"/>
        <w:jc w:val="both"/>
        <w:rPr>
          <w:rFonts w:ascii="Times New Roman" w:hAnsi="Times New Roman"/>
          <w:sz w:val="24"/>
          <w:szCs w:val="24"/>
        </w:rPr>
      </w:pPr>
      <w:r w:rsidRPr="009F758F">
        <w:rPr>
          <w:rFonts w:ascii="Times New Roman" w:hAnsi="Times New Roman"/>
          <w:sz w:val="24"/>
          <w:szCs w:val="24"/>
        </w:rPr>
        <w:lastRenderedPageBreak/>
        <w:t xml:space="preserve">The </w:t>
      </w:r>
      <w:r w:rsidRPr="009F758F">
        <w:rPr>
          <w:rFonts w:ascii="Times New Roman" w:hAnsi="Times New Roman"/>
          <w:sz w:val="24"/>
          <w:szCs w:val="24"/>
          <w:cs/>
        </w:rPr>
        <w:t>“</w:t>
      </w:r>
      <w:proofErr w:type="spellStart"/>
      <w:r w:rsidRPr="009F758F">
        <w:rPr>
          <w:rFonts w:ascii="Times New Roman" w:hAnsi="Times New Roman"/>
          <w:sz w:val="24"/>
          <w:szCs w:val="24"/>
        </w:rPr>
        <w:t>Center</w:t>
      </w:r>
      <w:proofErr w:type="spellEnd"/>
      <w:r w:rsidRPr="009F758F">
        <w:rPr>
          <w:rFonts w:ascii="Times New Roman" w:hAnsi="Times New Roman"/>
          <w:sz w:val="24"/>
          <w:szCs w:val="24"/>
        </w:rPr>
        <w:t xml:space="preserve"> of Home Social Service Provision for Single Elderly and Disabled Persons</w:t>
      </w:r>
      <w:r w:rsidRPr="009F758F">
        <w:rPr>
          <w:rFonts w:ascii="Times New Roman" w:hAnsi="Times New Roman"/>
          <w:sz w:val="24"/>
          <w:szCs w:val="24"/>
          <w:cs/>
        </w:rPr>
        <w:t xml:space="preserve">” </w:t>
      </w:r>
      <w:r w:rsidRPr="009F758F">
        <w:rPr>
          <w:rFonts w:ascii="Times New Roman" w:hAnsi="Times New Roman"/>
          <w:sz w:val="24"/>
          <w:szCs w:val="24"/>
        </w:rPr>
        <w:t xml:space="preserve">SNCO operates in the Republic of Armenia, under the subordination of which the shelter for persons of a specific category from special groups operates, where </w:t>
      </w:r>
      <w:r w:rsidR="009F758F">
        <w:rPr>
          <w:rFonts w:ascii="Times New Roman" w:hAnsi="Times New Roman"/>
          <w:sz w:val="24"/>
          <w:szCs w:val="24"/>
        </w:rPr>
        <w:t>older</w:t>
      </w:r>
      <w:r w:rsidRPr="009F758F">
        <w:rPr>
          <w:rFonts w:ascii="Times New Roman" w:hAnsi="Times New Roman"/>
          <w:sz w:val="24"/>
          <w:szCs w:val="24"/>
        </w:rPr>
        <w:t xml:space="preserve"> persons having work record of 40 and more years exercise their right to housing. </w:t>
      </w:r>
    </w:p>
    <w:p w:rsidR="008052E7" w:rsidRPr="009F758F" w:rsidRDefault="008052E7" w:rsidP="00624191">
      <w:pPr>
        <w:pStyle w:val="NormalWeb"/>
        <w:widowControl w:val="0"/>
        <w:spacing w:before="0" w:beforeAutospacing="0" w:after="160" w:afterAutospacing="0" w:line="360" w:lineRule="auto"/>
        <w:jc w:val="both"/>
      </w:pPr>
      <w:r w:rsidRPr="009F758F">
        <w:t xml:space="preserve">The mentioned legal amendment was made in 2019, and before that, apartments were provided to the veterans of the Great Patriotic War </w:t>
      </w:r>
      <w:r w:rsidRPr="009F758F">
        <w:rPr>
          <w:cs/>
        </w:rPr>
        <w:t xml:space="preserve">— </w:t>
      </w:r>
      <w:r w:rsidRPr="009F758F">
        <w:t>persons over the age of 65, having Honorary Title of the Republic of Armenia and (or) the former Armenian Soviet Social Republic in the fields of science, education, journalism, culture, arts, healthcare, economy, architecture, law, physical culture and sports. By the Deci</w:t>
      </w:r>
      <w:r w:rsidR="009F758F">
        <w:t>sion of 2019, older</w:t>
      </w:r>
      <w:r w:rsidRPr="009F758F">
        <w:t xml:space="preserve"> persons having work record of 40 and more years may also live in the mentioned shelter. The legal regulation of the above-mentioned is prescribed by Decision of the Government of the Republic of Armenia No 1069-N of 10 September 2015. At the same time, Article</w:t>
      </w:r>
      <w:r w:rsidR="00624191" w:rsidRPr="009F758F">
        <w:t> </w:t>
      </w:r>
      <w:r w:rsidRPr="009F758F">
        <w:t>48 of the Constitution of the Republic of Armenia states that the following shall, among other things, be among the issues of the State:</w:t>
      </w:r>
    </w:p>
    <w:p w:rsidR="008052E7" w:rsidRPr="009F758F" w:rsidRDefault="008052E7" w:rsidP="00624191">
      <w:pPr>
        <w:pStyle w:val="ListParagraph"/>
        <w:widowControl w:val="0"/>
        <w:numPr>
          <w:ilvl w:val="0"/>
          <w:numId w:val="6"/>
        </w:numPr>
        <w:tabs>
          <w:tab w:val="left" w:pos="567"/>
        </w:tabs>
        <w:autoSpaceDE w:val="0"/>
        <w:autoSpaceDN w:val="0"/>
        <w:spacing w:line="360" w:lineRule="auto"/>
        <w:ind w:left="567" w:right="111" w:hanging="578"/>
        <w:contextualSpacing w:val="0"/>
        <w:jc w:val="both"/>
        <w:rPr>
          <w:rFonts w:ascii="Times New Roman" w:hAnsi="Times New Roman"/>
          <w:sz w:val="24"/>
          <w:szCs w:val="24"/>
        </w:rPr>
      </w:pPr>
      <w:r w:rsidRPr="009F758F">
        <w:rPr>
          <w:rFonts w:ascii="Times New Roman" w:hAnsi="Times New Roman"/>
          <w:sz w:val="24"/>
          <w:szCs w:val="24"/>
        </w:rPr>
        <w:t>foster housing construction and contribute to the improvement of housing conditions of each citizen;</w:t>
      </w:r>
    </w:p>
    <w:p w:rsidR="008052E7" w:rsidRPr="009F758F" w:rsidRDefault="008052E7" w:rsidP="00624191">
      <w:pPr>
        <w:pStyle w:val="ListParagraph"/>
        <w:widowControl w:val="0"/>
        <w:numPr>
          <w:ilvl w:val="0"/>
          <w:numId w:val="6"/>
        </w:numPr>
        <w:tabs>
          <w:tab w:val="left" w:pos="567"/>
        </w:tabs>
        <w:autoSpaceDE w:val="0"/>
        <w:autoSpaceDN w:val="0"/>
        <w:spacing w:line="360" w:lineRule="auto"/>
        <w:ind w:left="567" w:right="111" w:hanging="578"/>
        <w:contextualSpacing w:val="0"/>
        <w:jc w:val="both"/>
        <w:rPr>
          <w:rFonts w:ascii="Times New Roman" w:hAnsi="Times New Roman"/>
          <w:sz w:val="24"/>
          <w:szCs w:val="24"/>
        </w:rPr>
      </w:pPr>
      <w:r w:rsidRPr="009F758F">
        <w:rPr>
          <w:rFonts w:ascii="Times New Roman" w:hAnsi="Times New Roman"/>
          <w:sz w:val="24"/>
          <w:szCs w:val="24"/>
        </w:rPr>
        <w:t xml:space="preserve">ensure decent </w:t>
      </w:r>
      <w:r w:rsidR="009F758F">
        <w:rPr>
          <w:rFonts w:ascii="Times New Roman" w:hAnsi="Times New Roman"/>
          <w:sz w:val="24"/>
          <w:szCs w:val="24"/>
        </w:rPr>
        <w:t>living standards for the older persons</w:t>
      </w:r>
      <w:r w:rsidRPr="009F758F">
        <w:rPr>
          <w:rFonts w:ascii="Times New Roman" w:hAnsi="Times New Roman"/>
          <w:sz w:val="24"/>
          <w:szCs w:val="24"/>
        </w:rPr>
        <w:t>.</w:t>
      </w:r>
    </w:p>
    <w:p w:rsidR="00624191" w:rsidRPr="009F758F" w:rsidRDefault="00624191" w:rsidP="00624191">
      <w:pPr>
        <w:widowControl w:val="0"/>
        <w:spacing w:line="360" w:lineRule="auto"/>
        <w:ind w:firstLine="567"/>
        <w:jc w:val="both"/>
        <w:rPr>
          <w:rFonts w:ascii="Times New Roman" w:hAnsi="Times New Roman"/>
          <w:sz w:val="24"/>
          <w:szCs w:val="24"/>
        </w:rPr>
      </w:pPr>
    </w:p>
    <w:p w:rsidR="008052E7" w:rsidRPr="009F758F" w:rsidRDefault="008052E7" w:rsidP="00F759E5">
      <w:pPr>
        <w:widowControl w:val="0"/>
        <w:spacing w:line="346" w:lineRule="auto"/>
        <w:jc w:val="both"/>
        <w:rPr>
          <w:rFonts w:ascii="Times New Roman" w:hAnsi="Times New Roman"/>
          <w:sz w:val="24"/>
          <w:szCs w:val="24"/>
        </w:rPr>
      </w:pPr>
      <w:r w:rsidRPr="009F758F">
        <w:rPr>
          <w:rFonts w:ascii="Times New Roman" w:hAnsi="Times New Roman"/>
          <w:sz w:val="24"/>
          <w:szCs w:val="24"/>
        </w:rPr>
        <w:t>According to Article 8 of the Law of the Republic of Armenia "On social assistance", one of the main types of social services provided to citizens shall be the provision of accommodation, which may be implemented in different ways: providing state housing assistance to persons belonging to certain social groups, providing housing in social houses, providing temporary shelters to persons having no specific place of residence or in other forms of social assistance not prohibited by law.</w:t>
      </w:r>
    </w:p>
    <w:p w:rsidR="008052E7" w:rsidRPr="009F758F" w:rsidRDefault="008052E7" w:rsidP="00F759E5">
      <w:pPr>
        <w:widowControl w:val="0"/>
        <w:tabs>
          <w:tab w:val="left" w:pos="1701"/>
        </w:tabs>
        <w:spacing w:line="346" w:lineRule="auto"/>
        <w:jc w:val="both"/>
        <w:rPr>
          <w:rFonts w:ascii="Times New Roman" w:hAnsi="Times New Roman"/>
          <w:sz w:val="24"/>
          <w:szCs w:val="24"/>
        </w:rPr>
      </w:pPr>
      <w:r w:rsidRPr="009F758F">
        <w:rPr>
          <w:rFonts w:ascii="Times New Roman" w:hAnsi="Times New Roman"/>
          <w:b/>
          <w:sz w:val="24"/>
          <w:szCs w:val="24"/>
        </w:rPr>
        <w:t>Question 3</w:t>
      </w:r>
      <w:r w:rsidRPr="009F758F">
        <w:rPr>
          <w:rFonts w:ascii="Times New Roman" w:hAnsi="Times New Roman"/>
          <w:sz w:val="24"/>
          <w:szCs w:val="24"/>
        </w:rPr>
        <w:t>.</w:t>
      </w:r>
      <w:r w:rsidR="009944B7" w:rsidRPr="009F758F">
        <w:rPr>
          <w:rFonts w:ascii="Times New Roman" w:hAnsi="Times New Roman"/>
          <w:sz w:val="24"/>
          <w:szCs w:val="24"/>
        </w:rPr>
        <w:tab/>
      </w:r>
      <w:r w:rsidRPr="009F758F">
        <w:rPr>
          <w:rFonts w:ascii="Times New Roman" w:hAnsi="Times New Roman"/>
          <w:sz w:val="24"/>
          <w:szCs w:val="24"/>
        </w:rPr>
        <w:t xml:space="preserve">The </w:t>
      </w:r>
      <w:r w:rsidR="009F758F">
        <w:rPr>
          <w:rFonts w:ascii="Times New Roman" w:hAnsi="Times New Roman"/>
          <w:sz w:val="24"/>
          <w:szCs w:val="24"/>
        </w:rPr>
        <w:t>older persons</w:t>
      </w:r>
      <w:r w:rsidRPr="009F758F">
        <w:rPr>
          <w:rFonts w:ascii="Times New Roman" w:hAnsi="Times New Roman"/>
          <w:sz w:val="24"/>
          <w:szCs w:val="24"/>
        </w:rPr>
        <w:t xml:space="preserve"> participate in the development of action plans, policies or legislation related to housing by presenting their opinions during the public discussion in the drafting stage of each legal act amended, which are collected on the e-draft electronic platform.</w:t>
      </w:r>
    </w:p>
    <w:p w:rsidR="008052E7" w:rsidRPr="009F758F" w:rsidRDefault="008052E7" w:rsidP="00F759E5">
      <w:pPr>
        <w:widowControl w:val="0"/>
        <w:tabs>
          <w:tab w:val="left" w:pos="1701"/>
        </w:tabs>
        <w:spacing w:line="346" w:lineRule="auto"/>
        <w:jc w:val="both"/>
        <w:rPr>
          <w:rFonts w:ascii="Times New Roman" w:hAnsi="Times New Roman"/>
          <w:sz w:val="24"/>
          <w:szCs w:val="24"/>
        </w:rPr>
      </w:pPr>
      <w:r w:rsidRPr="009F758F">
        <w:rPr>
          <w:rFonts w:ascii="Times New Roman" w:hAnsi="Times New Roman"/>
          <w:b/>
          <w:sz w:val="24"/>
          <w:szCs w:val="24"/>
        </w:rPr>
        <w:t>Question 5.</w:t>
      </w:r>
      <w:r w:rsidR="009944B7" w:rsidRPr="009F758F">
        <w:rPr>
          <w:rFonts w:ascii="Times New Roman" w:hAnsi="Times New Roman"/>
          <w:sz w:val="24"/>
          <w:szCs w:val="24"/>
        </w:rPr>
        <w:tab/>
      </w:r>
      <w:r w:rsidRPr="009F758F">
        <w:rPr>
          <w:rFonts w:ascii="Times New Roman" w:hAnsi="Times New Roman"/>
          <w:sz w:val="24"/>
          <w:szCs w:val="24"/>
        </w:rPr>
        <w:t xml:space="preserve">According to the legislation of the Republic of Armenia, sex, race, ethnical belonging, identity, disability, sexual orientation, gender identity, religion, social status, place of origin and immigration status may not be a ground for discrimination in ensuring the right to housing for the </w:t>
      </w:r>
      <w:r w:rsidR="009F758F">
        <w:rPr>
          <w:rFonts w:ascii="Times New Roman" w:hAnsi="Times New Roman"/>
          <w:sz w:val="24"/>
          <w:szCs w:val="24"/>
        </w:rPr>
        <w:t>older persons</w:t>
      </w:r>
      <w:r w:rsidRPr="009F758F">
        <w:rPr>
          <w:rFonts w:ascii="Times New Roman" w:hAnsi="Times New Roman"/>
          <w:sz w:val="24"/>
          <w:szCs w:val="24"/>
        </w:rPr>
        <w:t>.</w:t>
      </w:r>
    </w:p>
    <w:p w:rsidR="008052E7" w:rsidRPr="009F758F" w:rsidRDefault="008052E7" w:rsidP="00F759E5">
      <w:pPr>
        <w:widowControl w:val="0"/>
        <w:tabs>
          <w:tab w:val="left" w:pos="1701"/>
        </w:tabs>
        <w:spacing w:line="346" w:lineRule="auto"/>
        <w:jc w:val="both"/>
        <w:rPr>
          <w:rFonts w:ascii="Times New Roman" w:hAnsi="Times New Roman"/>
          <w:sz w:val="24"/>
          <w:szCs w:val="24"/>
        </w:rPr>
      </w:pPr>
      <w:r w:rsidRPr="009F758F">
        <w:rPr>
          <w:rFonts w:ascii="Times New Roman" w:hAnsi="Times New Roman"/>
          <w:b/>
          <w:sz w:val="24"/>
          <w:szCs w:val="24"/>
        </w:rPr>
        <w:lastRenderedPageBreak/>
        <w:t>Question 6.</w:t>
      </w:r>
      <w:r w:rsidR="009944B7" w:rsidRPr="009F758F">
        <w:rPr>
          <w:rFonts w:ascii="Times New Roman" w:hAnsi="Times New Roman"/>
          <w:sz w:val="24"/>
          <w:szCs w:val="24"/>
        </w:rPr>
        <w:tab/>
      </w:r>
      <w:r w:rsidR="009F758F">
        <w:rPr>
          <w:rFonts w:ascii="Times New Roman" w:hAnsi="Times New Roman"/>
          <w:sz w:val="24"/>
          <w:szCs w:val="24"/>
        </w:rPr>
        <w:t>The COVID-19 pan</w:t>
      </w:r>
      <w:r w:rsidRPr="009F758F">
        <w:rPr>
          <w:rFonts w:ascii="Times New Roman" w:hAnsi="Times New Roman"/>
          <w:sz w:val="24"/>
          <w:szCs w:val="24"/>
        </w:rPr>
        <w:t>demic has not been an obstacle for the persons of a specific category from special groups to apply for housing.</w:t>
      </w:r>
    </w:p>
    <w:p w:rsidR="008052E7" w:rsidRPr="009F758F" w:rsidRDefault="008052E7" w:rsidP="00F759E5">
      <w:pPr>
        <w:widowControl w:val="0"/>
        <w:tabs>
          <w:tab w:val="left" w:pos="1701"/>
        </w:tabs>
        <w:spacing w:line="346" w:lineRule="auto"/>
        <w:jc w:val="both"/>
        <w:rPr>
          <w:rFonts w:ascii="Times New Roman" w:hAnsi="Times New Roman"/>
          <w:sz w:val="24"/>
          <w:szCs w:val="24"/>
        </w:rPr>
      </w:pPr>
      <w:r w:rsidRPr="009F758F">
        <w:rPr>
          <w:rFonts w:ascii="Times New Roman" w:hAnsi="Times New Roman"/>
          <w:b/>
          <w:sz w:val="24"/>
          <w:szCs w:val="24"/>
        </w:rPr>
        <w:t>Question 7.</w:t>
      </w:r>
      <w:r w:rsidR="0071436B">
        <w:rPr>
          <w:rFonts w:ascii="Times New Roman" w:hAnsi="Times New Roman"/>
          <w:sz w:val="24"/>
          <w:szCs w:val="24"/>
        </w:rPr>
        <w:tab/>
      </w:r>
      <w:r w:rsidRPr="009F758F">
        <w:rPr>
          <w:rFonts w:ascii="Times New Roman" w:hAnsi="Times New Roman"/>
          <w:sz w:val="24"/>
          <w:szCs w:val="24"/>
        </w:rPr>
        <w:t xml:space="preserve">Within the scope of the policy for de-institutionalisation of care facilities for the </w:t>
      </w:r>
      <w:r w:rsidR="009F758F">
        <w:rPr>
          <w:rFonts w:ascii="Times New Roman" w:hAnsi="Times New Roman"/>
          <w:sz w:val="24"/>
          <w:szCs w:val="24"/>
        </w:rPr>
        <w:t>older persons</w:t>
      </w:r>
      <w:r w:rsidRPr="009F758F">
        <w:rPr>
          <w:rFonts w:ascii="Times New Roman" w:hAnsi="Times New Roman"/>
          <w:sz w:val="24"/>
          <w:szCs w:val="24"/>
        </w:rPr>
        <w:t xml:space="preserve">, the programme of community small group houses is implemented, within the scope of which a small community house was bought in Armavir </w:t>
      </w:r>
      <w:proofErr w:type="spellStart"/>
      <w:r w:rsidRPr="009F758F">
        <w:rPr>
          <w:rFonts w:ascii="Times New Roman" w:hAnsi="Times New Roman"/>
          <w:sz w:val="24"/>
          <w:szCs w:val="24"/>
        </w:rPr>
        <w:t>Marz</w:t>
      </w:r>
      <w:proofErr w:type="spellEnd"/>
      <w:r w:rsidRPr="009F758F">
        <w:rPr>
          <w:rFonts w:ascii="Times New Roman" w:hAnsi="Times New Roman"/>
          <w:sz w:val="24"/>
          <w:szCs w:val="24"/>
        </w:rPr>
        <w:t xml:space="preserve"> of the Republic of Armenia in 2019, where </w:t>
      </w:r>
      <w:r w:rsidR="000275C0" w:rsidRPr="009F758F">
        <w:rPr>
          <w:rFonts w:ascii="Times New Roman" w:hAnsi="Times New Roman"/>
          <w:sz w:val="24"/>
          <w:szCs w:val="24"/>
        </w:rPr>
        <w:t xml:space="preserve">renovation works </w:t>
      </w:r>
      <w:r w:rsidRPr="009F758F">
        <w:rPr>
          <w:rFonts w:ascii="Times New Roman" w:hAnsi="Times New Roman"/>
          <w:sz w:val="24"/>
          <w:szCs w:val="24"/>
        </w:rPr>
        <w:t xml:space="preserve">will be carried out and </w:t>
      </w:r>
      <w:r w:rsidR="009F758F">
        <w:rPr>
          <w:rFonts w:ascii="Times New Roman" w:hAnsi="Times New Roman"/>
          <w:sz w:val="24"/>
          <w:szCs w:val="24"/>
        </w:rPr>
        <w:t>older</w:t>
      </w:r>
      <w:r w:rsidRPr="009F758F">
        <w:rPr>
          <w:rFonts w:ascii="Times New Roman" w:hAnsi="Times New Roman"/>
          <w:sz w:val="24"/>
          <w:szCs w:val="24"/>
        </w:rPr>
        <w:t xml:space="preserve"> persons will reside in 2022.</w:t>
      </w:r>
    </w:p>
    <w:p w:rsidR="008052E7" w:rsidRPr="009F758F" w:rsidRDefault="008052E7" w:rsidP="00F759E5">
      <w:pPr>
        <w:widowControl w:val="0"/>
        <w:tabs>
          <w:tab w:val="left" w:pos="1560"/>
          <w:tab w:val="left" w:pos="1701"/>
        </w:tabs>
        <w:spacing w:line="346" w:lineRule="auto"/>
        <w:jc w:val="both"/>
        <w:rPr>
          <w:rFonts w:ascii="Times New Roman" w:hAnsi="Times New Roman"/>
          <w:sz w:val="24"/>
          <w:szCs w:val="24"/>
        </w:rPr>
      </w:pPr>
      <w:r w:rsidRPr="009F758F">
        <w:rPr>
          <w:rFonts w:ascii="Times New Roman" w:hAnsi="Times New Roman"/>
          <w:b/>
          <w:spacing w:val="-4"/>
          <w:sz w:val="24"/>
          <w:szCs w:val="24"/>
        </w:rPr>
        <w:t>Question 10.</w:t>
      </w:r>
      <w:r w:rsidR="009944B7" w:rsidRPr="009F758F">
        <w:rPr>
          <w:rFonts w:ascii="Times New Roman" w:hAnsi="Times New Roman"/>
          <w:b/>
          <w:spacing w:val="-4"/>
          <w:sz w:val="24"/>
          <w:szCs w:val="24"/>
        </w:rPr>
        <w:tab/>
      </w:r>
      <w:r w:rsidRPr="009F758F">
        <w:rPr>
          <w:rFonts w:ascii="Times New Roman" w:hAnsi="Times New Roman"/>
          <w:spacing w:val="-4"/>
          <w:sz w:val="24"/>
          <w:szCs w:val="24"/>
        </w:rPr>
        <w:t xml:space="preserve">For improving the care services provided to the </w:t>
      </w:r>
      <w:r w:rsidR="009F758F">
        <w:rPr>
          <w:rFonts w:ascii="Times New Roman" w:hAnsi="Times New Roman"/>
          <w:sz w:val="24"/>
          <w:szCs w:val="24"/>
        </w:rPr>
        <w:t>older persons</w:t>
      </w:r>
      <w:r w:rsidRPr="009F758F">
        <w:rPr>
          <w:rFonts w:ascii="Times New Roman" w:hAnsi="Times New Roman"/>
          <w:spacing w:val="-4"/>
          <w:sz w:val="24"/>
          <w:szCs w:val="24"/>
        </w:rPr>
        <w:t>, as well as introducing and developing community-based services for the period of 2021-2023, Decision of the Government of the Republic of Armenia 498-L of 8 April 2021 was adopted, which is aimed at creating and maintaining a favourable environment for the</w:t>
      </w:r>
      <w:r w:rsidRPr="009F758F">
        <w:rPr>
          <w:rFonts w:ascii="Times New Roman" w:hAnsi="Times New Roman"/>
          <w:sz w:val="24"/>
          <w:szCs w:val="24"/>
        </w:rPr>
        <w:t xml:space="preserve"> </w:t>
      </w:r>
      <w:r w:rsidR="009F758F">
        <w:rPr>
          <w:rFonts w:ascii="Times New Roman" w:hAnsi="Times New Roman"/>
          <w:sz w:val="24"/>
          <w:szCs w:val="24"/>
        </w:rPr>
        <w:t>older persons</w:t>
      </w:r>
      <w:r w:rsidRPr="009F758F">
        <w:rPr>
          <w:rFonts w:ascii="Times New Roman" w:hAnsi="Times New Roman"/>
          <w:sz w:val="24"/>
          <w:szCs w:val="24"/>
        </w:rPr>
        <w:t xml:space="preserve"> to live in </w:t>
      </w:r>
      <w:r w:rsidR="00E77705" w:rsidRPr="009F758F">
        <w:rPr>
          <w:rFonts w:ascii="Times New Roman" w:hAnsi="Times New Roman"/>
          <w:sz w:val="24"/>
          <w:szCs w:val="24"/>
        </w:rPr>
        <w:t xml:space="preserve">a </w:t>
      </w:r>
      <w:r w:rsidRPr="009F758F">
        <w:rPr>
          <w:rFonts w:ascii="Times New Roman" w:hAnsi="Times New Roman"/>
          <w:sz w:val="24"/>
          <w:szCs w:val="24"/>
        </w:rPr>
        <w:t xml:space="preserve">family and </w:t>
      </w:r>
      <w:r w:rsidR="00E77705" w:rsidRPr="009F758F">
        <w:rPr>
          <w:rFonts w:ascii="Times New Roman" w:hAnsi="Times New Roman"/>
          <w:sz w:val="24"/>
          <w:szCs w:val="24"/>
        </w:rPr>
        <w:t xml:space="preserve">in a </w:t>
      </w:r>
      <w:r w:rsidRPr="009F758F">
        <w:rPr>
          <w:rFonts w:ascii="Times New Roman" w:hAnsi="Times New Roman"/>
          <w:sz w:val="24"/>
          <w:szCs w:val="24"/>
        </w:rPr>
        <w:t>community,</w:t>
      </w:r>
      <w:r w:rsidR="000275C0" w:rsidRPr="009F758F">
        <w:rPr>
          <w:rFonts w:ascii="Times New Roman" w:hAnsi="Times New Roman"/>
          <w:sz w:val="24"/>
          <w:szCs w:val="24"/>
        </w:rPr>
        <w:t xml:space="preserve"> </w:t>
      </w:r>
      <w:r w:rsidRPr="009F758F">
        <w:rPr>
          <w:rFonts w:ascii="Times New Roman" w:hAnsi="Times New Roman"/>
          <w:sz w:val="24"/>
          <w:szCs w:val="24"/>
        </w:rPr>
        <w:t xml:space="preserve">contributing to active longevity. </w:t>
      </w:r>
    </w:p>
    <w:p w:rsidR="008052E7" w:rsidRPr="009F758F" w:rsidRDefault="008052E7" w:rsidP="00F759E5">
      <w:pPr>
        <w:widowControl w:val="0"/>
        <w:tabs>
          <w:tab w:val="left" w:pos="1701"/>
        </w:tabs>
        <w:spacing w:line="360" w:lineRule="auto"/>
        <w:jc w:val="both"/>
        <w:rPr>
          <w:rFonts w:ascii="Times New Roman" w:hAnsi="Times New Roman"/>
          <w:sz w:val="24"/>
          <w:szCs w:val="24"/>
        </w:rPr>
      </w:pPr>
      <w:r w:rsidRPr="009F758F">
        <w:rPr>
          <w:rFonts w:ascii="Times New Roman" w:hAnsi="Times New Roman"/>
          <w:b/>
          <w:sz w:val="24"/>
          <w:szCs w:val="24"/>
        </w:rPr>
        <w:t>Question 11.</w:t>
      </w:r>
      <w:r w:rsidR="00005AED" w:rsidRPr="009F758F">
        <w:rPr>
          <w:rFonts w:ascii="Times New Roman" w:hAnsi="Times New Roman"/>
          <w:sz w:val="24"/>
          <w:szCs w:val="24"/>
        </w:rPr>
        <w:tab/>
      </w:r>
      <w:r w:rsidRPr="009F758F">
        <w:rPr>
          <w:rFonts w:ascii="Times New Roman" w:hAnsi="Times New Roman"/>
          <w:sz w:val="24"/>
          <w:szCs w:val="24"/>
        </w:rPr>
        <w:t>In the Republic of Armenia, statistical data are collected by the Statistical Committee of the Republic of Armenia, therefore, the mentioned information may be presented more comprehensively by the mentioned body.</w:t>
      </w:r>
    </w:p>
    <w:p w:rsidR="008052E7" w:rsidRPr="009F758F" w:rsidRDefault="008052E7" w:rsidP="00005AED">
      <w:pPr>
        <w:widowControl w:val="0"/>
        <w:spacing w:line="360" w:lineRule="auto"/>
        <w:jc w:val="both"/>
        <w:rPr>
          <w:rFonts w:ascii="Times New Roman" w:hAnsi="Times New Roman"/>
          <w:bCs/>
          <w:sz w:val="24"/>
          <w:szCs w:val="24"/>
        </w:rPr>
      </w:pPr>
      <w:r w:rsidRPr="009F758F">
        <w:rPr>
          <w:rFonts w:ascii="Times New Roman" w:hAnsi="Times New Roman"/>
          <w:spacing w:val="-6"/>
          <w:sz w:val="24"/>
          <w:szCs w:val="24"/>
        </w:rPr>
        <w:t>As of 1 July 2021, the resident population of the Republic of Armenia comprises 2 964</w:t>
      </w:r>
      <w:r w:rsidRPr="009F758F">
        <w:rPr>
          <w:rFonts w:ascii="Times New Roman" w:hAnsi="Times New Roman"/>
          <w:sz w:val="24"/>
          <w:szCs w:val="24"/>
        </w:rPr>
        <w:t xml:space="preserve"> 000 people, of which 1 896 000 people live in the cities, 1 067 000 people </w:t>
      </w:r>
      <w:r w:rsidRPr="009F758F">
        <w:rPr>
          <w:rFonts w:ascii="Times New Roman" w:hAnsi="Times New Roman"/>
          <w:sz w:val="24"/>
          <w:szCs w:val="24"/>
          <w:cs/>
        </w:rPr>
        <w:t xml:space="preserve">— </w:t>
      </w:r>
      <w:r w:rsidRPr="009F758F">
        <w:rPr>
          <w:rFonts w:ascii="Times New Roman" w:hAnsi="Times New Roman"/>
          <w:sz w:val="24"/>
          <w:szCs w:val="24"/>
        </w:rPr>
        <w:t>in the villages.</w:t>
      </w:r>
    </w:p>
    <w:p w:rsidR="008052E7" w:rsidRPr="009F758F" w:rsidRDefault="008052E7" w:rsidP="00005AED">
      <w:pPr>
        <w:widowControl w:val="0"/>
        <w:spacing w:line="360" w:lineRule="auto"/>
        <w:jc w:val="both"/>
        <w:rPr>
          <w:rFonts w:ascii="Times New Roman" w:hAnsi="Times New Roman"/>
          <w:sz w:val="24"/>
          <w:szCs w:val="24"/>
        </w:rPr>
      </w:pPr>
      <w:r w:rsidRPr="009F758F">
        <w:rPr>
          <w:rFonts w:ascii="Times New Roman" w:hAnsi="Times New Roman"/>
          <w:sz w:val="24"/>
          <w:szCs w:val="24"/>
        </w:rPr>
        <w:t>The number of people over the age of 65 comprises 365 020 people or 12,3% of the total number.</w:t>
      </w:r>
    </w:p>
    <w:p w:rsidR="008052E7" w:rsidRPr="009F758F" w:rsidRDefault="008052E7" w:rsidP="00005AED">
      <w:pPr>
        <w:widowControl w:val="0"/>
        <w:numPr>
          <w:ilvl w:val="0"/>
          <w:numId w:val="2"/>
        </w:numPr>
        <w:tabs>
          <w:tab w:val="clear" w:pos="720"/>
          <w:tab w:val="num" w:pos="567"/>
        </w:tabs>
        <w:autoSpaceDE w:val="0"/>
        <w:autoSpaceDN w:val="0"/>
        <w:spacing w:line="360" w:lineRule="auto"/>
        <w:ind w:left="567" w:hanging="567"/>
        <w:jc w:val="both"/>
        <w:rPr>
          <w:rFonts w:ascii="Times New Roman" w:hAnsi="Times New Roman"/>
          <w:sz w:val="24"/>
          <w:szCs w:val="24"/>
        </w:rPr>
      </w:pPr>
      <w:r w:rsidRPr="009F758F">
        <w:rPr>
          <w:rFonts w:ascii="Times New Roman" w:hAnsi="Times New Roman"/>
          <w:sz w:val="24"/>
          <w:szCs w:val="24"/>
        </w:rPr>
        <w:t xml:space="preserve">The population of the working age (16-62 years old) comprised 63,5% of the number of the resident population of the Republic of Armenia, and the population under working age (0-15 years old) </w:t>
      </w:r>
      <w:r w:rsidRPr="009F758F">
        <w:rPr>
          <w:rFonts w:ascii="Times New Roman" w:hAnsi="Times New Roman"/>
          <w:sz w:val="24"/>
          <w:szCs w:val="24"/>
          <w:cs/>
        </w:rPr>
        <w:t xml:space="preserve">— </w:t>
      </w:r>
      <w:r w:rsidRPr="009F758F">
        <w:rPr>
          <w:rFonts w:ascii="Times New Roman" w:hAnsi="Times New Roman"/>
          <w:sz w:val="24"/>
          <w:szCs w:val="24"/>
        </w:rPr>
        <w:t>21,4%, and people over the working age (63 and more years old) comprised 15,1% of the population.</w:t>
      </w:r>
      <w:r w:rsidR="002030AB" w:rsidRPr="009F758F">
        <w:rPr>
          <w:rFonts w:ascii="Times New Roman" w:hAnsi="Times New Roman"/>
          <w:sz w:val="24"/>
          <w:szCs w:val="24"/>
        </w:rPr>
        <w:t xml:space="preserve"> </w:t>
      </w:r>
    </w:p>
    <w:p w:rsidR="008052E7" w:rsidRPr="009F758F" w:rsidRDefault="008052E7" w:rsidP="00005AED">
      <w:pPr>
        <w:widowControl w:val="0"/>
        <w:numPr>
          <w:ilvl w:val="0"/>
          <w:numId w:val="2"/>
        </w:numPr>
        <w:tabs>
          <w:tab w:val="clear" w:pos="720"/>
          <w:tab w:val="num" w:pos="567"/>
        </w:tabs>
        <w:autoSpaceDE w:val="0"/>
        <w:autoSpaceDN w:val="0"/>
        <w:spacing w:line="360" w:lineRule="auto"/>
        <w:ind w:left="567" w:hanging="567"/>
        <w:jc w:val="both"/>
        <w:rPr>
          <w:rFonts w:ascii="Times New Roman" w:hAnsi="Times New Roman"/>
          <w:sz w:val="24"/>
          <w:szCs w:val="24"/>
        </w:rPr>
      </w:pPr>
      <w:r w:rsidRPr="009F758F">
        <w:rPr>
          <w:rFonts w:ascii="Times New Roman" w:hAnsi="Times New Roman"/>
          <w:sz w:val="24"/>
          <w:szCs w:val="24"/>
        </w:rPr>
        <w:t xml:space="preserve">There were 575 people of the non-working age among 1000 people of the working age, of which 237 </w:t>
      </w:r>
      <w:r w:rsidRPr="009F758F">
        <w:rPr>
          <w:rFonts w:ascii="Times New Roman" w:hAnsi="Times New Roman"/>
          <w:sz w:val="24"/>
          <w:szCs w:val="24"/>
          <w:cs/>
        </w:rPr>
        <w:t xml:space="preserve">— </w:t>
      </w:r>
      <w:r w:rsidR="009F758F">
        <w:rPr>
          <w:rFonts w:ascii="Times New Roman" w:hAnsi="Times New Roman"/>
          <w:sz w:val="24"/>
          <w:szCs w:val="24"/>
        </w:rPr>
        <w:t>older persons</w:t>
      </w:r>
      <w:r w:rsidRPr="009F758F">
        <w:rPr>
          <w:rFonts w:ascii="Times New Roman" w:hAnsi="Times New Roman"/>
          <w:sz w:val="24"/>
          <w:szCs w:val="24"/>
        </w:rPr>
        <w:t xml:space="preserve">. </w:t>
      </w:r>
    </w:p>
    <w:p w:rsidR="008052E7" w:rsidRPr="009F758F" w:rsidRDefault="008052E7" w:rsidP="009F758F">
      <w:pPr>
        <w:widowControl w:val="0"/>
        <w:numPr>
          <w:ilvl w:val="0"/>
          <w:numId w:val="2"/>
        </w:numPr>
        <w:autoSpaceDE w:val="0"/>
        <w:autoSpaceDN w:val="0"/>
        <w:spacing w:line="360" w:lineRule="auto"/>
        <w:jc w:val="both"/>
        <w:rPr>
          <w:rFonts w:ascii="Times New Roman" w:hAnsi="Times New Roman"/>
          <w:sz w:val="24"/>
          <w:szCs w:val="24"/>
        </w:rPr>
      </w:pPr>
      <w:r w:rsidRPr="009F758F">
        <w:rPr>
          <w:rFonts w:ascii="Times New Roman" w:hAnsi="Times New Roman"/>
          <w:sz w:val="24"/>
          <w:szCs w:val="24"/>
        </w:rPr>
        <w:t xml:space="preserve">Women aged 65 and over comprise 60,6% of the total number of the </w:t>
      </w:r>
      <w:r w:rsidR="009F758F" w:rsidRPr="009F758F">
        <w:rPr>
          <w:rFonts w:ascii="Times New Roman" w:hAnsi="Times New Roman"/>
          <w:sz w:val="24"/>
          <w:szCs w:val="24"/>
        </w:rPr>
        <w:t>older persons</w:t>
      </w:r>
      <w:r w:rsidRPr="009F758F">
        <w:rPr>
          <w:rFonts w:ascii="Times New Roman" w:hAnsi="Times New Roman"/>
          <w:sz w:val="24"/>
          <w:szCs w:val="24"/>
        </w:rPr>
        <w:t xml:space="preserve">, or 221,100 people. </w:t>
      </w:r>
    </w:p>
    <w:p w:rsidR="008052E7" w:rsidRPr="009F758F" w:rsidRDefault="008052E7" w:rsidP="00005AED">
      <w:pPr>
        <w:widowControl w:val="0"/>
        <w:numPr>
          <w:ilvl w:val="0"/>
          <w:numId w:val="2"/>
        </w:numPr>
        <w:tabs>
          <w:tab w:val="clear" w:pos="720"/>
          <w:tab w:val="num" w:pos="567"/>
        </w:tabs>
        <w:autoSpaceDE w:val="0"/>
        <w:autoSpaceDN w:val="0"/>
        <w:spacing w:line="360" w:lineRule="auto"/>
        <w:ind w:left="567" w:hanging="567"/>
        <w:jc w:val="both"/>
        <w:rPr>
          <w:rFonts w:ascii="Times New Roman" w:hAnsi="Times New Roman"/>
          <w:sz w:val="24"/>
          <w:szCs w:val="24"/>
        </w:rPr>
      </w:pPr>
      <w:r w:rsidRPr="009F758F">
        <w:rPr>
          <w:rFonts w:ascii="Times New Roman" w:hAnsi="Times New Roman"/>
          <w:sz w:val="24"/>
          <w:szCs w:val="24"/>
        </w:rPr>
        <w:t xml:space="preserve">64% of the total number of the population of the Republic of Armenia live in the cities, and 34% </w:t>
      </w:r>
      <w:r w:rsidRPr="009F758F">
        <w:rPr>
          <w:rFonts w:ascii="Times New Roman" w:hAnsi="Times New Roman"/>
          <w:sz w:val="24"/>
          <w:szCs w:val="24"/>
          <w:cs/>
        </w:rPr>
        <w:t xml:space="preserve">— </w:t>
      </w:r>
      <w:r w:rsidRPr="009F758F">
        <w:rPr>
          <w:rFonts w:ascii="Times New Roman" w:hAnsi="Times New Roman"/>
          <w:sz w:val="24"/>
          <w:szCs w:val="24"/>
        </w:rPr>
        <w:t>in the rural settlements.</w:t>
      </w:r>
    </w:p>
    <w:p w:rsidR="008052E7" w:rsidRPr="009F758F" w:rsidRDefault="008052E7" w:rsidP="00005AED">
      <w:pPr>
        <w:widowControl w:val="0"/>
        <w:spacing w:line="360" w:lineRule="auto"/>
        <w:jc w:val="both"/>
        <w:rPr>
          <w:rFonts w:ascii="Times New Roman" w:hAnsi="Times New Roman"/>
          <w:sz w:val="24"/>
          <w:szCs w:val="24"/>
        </w:rPr>
      </w:pPr>
      <w:r w:rsidRPr="009F758F">
        <w:rPr>
          <w:rFonts w:ascii="Times New Roman" w:hAnsi="Times New Roman"/>
          <w:sz w:val="24"/>
          <w:szCs w:val="24"/>
        </w:rPr>
        <w:t>In 2020, the average life expectancy in the Republic of Armenia is 75,4 years (women</w:t>
      </w:r>
      <w:r w:rsidR="00A633FF" w:rsidRPr="009F758F">
        <w:rPr>
          <w:rFonts w:ascii="Times New Roman" w:hAnsi="Times New Roman"/>
          <w:sz w:val="24"/>
          <w:szCs w:val="24"/>
        </w:rPr>
        <w:t xml:space="preserve"> </w:t>
      </w:r>
      <w:r w:rsidRPr="009F758F">
        <w:rPr>
          <w:rFonts w:ascii="Times New Roman" w:hAnsi="Times New Roman"/>
          <w:sz w:val="24"/>
          <w:szCs w:val="24"/>
          <w:cs/>
        </w:rPr>
        <w:t xml:space="preserve">— </w:t>
      </w:r>
      <w:r w:rsidRPr="009F758F">
        <w:rPr>
          <w:rFonts w:ascii="Times New Roman" w:hAnsi="Times New Roman"/>
          <w:sz w:val="24"/>
          <w:szCs w:val="24"/>
        </w:rPr>
        <w:t xml:space="preserve">78,7, </w:t>
      </w:r>
      <w:r w:rsidRPr="009F758F">
        <w:rPr>
          <w:rFonts w:ascii="Times New Roman" w:hAnsi="Times New Roman"/>
          <w:sz w:val="24"/>
          <w:szCs w:val="24"/>
        </w:rPr>
        <w:lastRenderedPageBreak/>
        <w:t xml:space="preserve">men </w:t>
      </w:r>
      <w:r w:rsidRPr="009F758F">
        <w:rPr>
          <w:rFonts w:ascii="Times New Roman" w:hAnsi="Times New Roman"/>
          <w:sz w:val="24"/>
          <w:szCs w:val="24"/>
          <w:cs/>
        </w:rPr>
        <w:t xml:space="preserve">— </w:t>
      </w:r>
      <w:r w:rsidRPr="009F758F">
        <w:rPr>
          <w:rFonts w:ascii="Times New Roman" w:hAnsi="Times New Roman"/>
          <w:sz w:val="24"/>
          <w:szCs w:val="24"/>
        </w:rPr>
        <w:t xml:space="preserve">71,9), and the average life expectancy in the world </w:t>
      </w:r>
      <w:r w:rsidRPr="009F758F">
        <w:rPr>
          <w:rFonts w:ascii="Times New Roman" w:hAnsi="Times New Roman"/>
          <w:sz w:val="24"/>
          <w:szCs w:val="24"/>
          <w:cs/>
        </w:rPr>
        <w:t xml:space="preserve">— </w:t>
      </w:r>
      <w:r w:rsidRPr="009F758F">
        <w:rPr>
          <w:rFonts w:ascii="Times New Roman" w:hAnsi="Times New Roman"/>
          <w:sz w:val="24"/>
          <w:szCs w:val="24"/>
        </w:rPr>
        <w:t>72 years.</w:t>
      </w:r>
    </w:p>
    <w:p w:rsidR="008052E7" w:rsidRPr="009F758F" w:rsidRDefault="008052E7" w:rsidP="00A44384">
      <w:pPr>
        <w:widowControl w:val="0"/>
        <w:numPr>
          <w:ilvl w:val="0"/>
          <w:numId w:val="3"/>
        </w:numPr>
        <w:tabs>
          <w:tab w:val="clear" w:pos="720"/>
          <w:tab w:val="num" w:pos="567"/>
        </w:tabs>
        <w:autoSpaceDE w:val="0"/>
        <w:autoSpaceDN w:val="0"/>
        <w:spacing w:line="360" w:lineRule="auto"/>
        <w:ind w:left="567" w:hanging="567"/>
        <w:jc w:val="both"/>
        <w:rPr>
          <w:rFonts w:ascii="Times New Roman" w:hAnsi="Times New Roman"/>
          <w:sz w:val="24"/>
          <w:szCs w:val="24"/>
        </w:rPr>
      </w:pPr>
      <w:r w:rsidRPr="009F758F">
        <w:rPr>
          <w:rFonts w:ascii="Times New Roman" w:hAnsi="Times New Roman"/>
          <w:sz w:val="24"/>
          <w:szCs w:val="24"/>
        </w:rPr>
        <w:t xml:space="preserve">The number of </w:t>
      </w:r>
      <w:r w:rsidR="009F758F">
        <w:rPr>
          <w:rFonts w:ascii="Times New Roman" w:hAnsi="Times New Roman"/>
          <w:sz w:val="24"/>
          <w:szCs w:val="24"/>
        </w:rPr>
        <w:t>older persons</w:t>
      </w:r>
      <w:r w:rsidRPr="009F758F">
        <w:rPr>
          <w:rFonts w:ascii="Times New Roman" w:hAnsi="Times New Roman"/>
          <w:sz w:val="24"/>
          <w:szCs w:val="24"/>
        </w:rPr>
        <w:t xml:space="preserve"> with disabilities and receiving care services is only 4947, of which 2785 or 56,3% of those receiving care are the </w:t>
      </w:r>
      <w:r w:rsidR="009F758F">
        <w:rPr>
          <w:rFonts w:ascii="Times New Roman" w:hAnsi="Times New Roman"/>
          <w:sz w:val="24"/>
          <w:szCs w:val="24"/>
        </w:rPr>
        <w:t>older persons</w:t>
      </w:r>
      <w:r w:rsidRPr="009F758F">
        <w:rPr>
          <w:rFonts w:ascii="Times New Roman" w:hAnsi="Times New Roman"/>
          <w:sz w:val="24"/>
          <w:szCs w:val="24"/>
        </w:rPr>
        <w:t>.</w:t>
      </w:r>
    </w:p>
    <w:p w:rsidR="008052E7" w:rsidRPr="009F758F" w:rsidRDefault="009F758F" w:rsidP="009F758F">
      <w:pPr>
        <w:widowControl w:val="0"/>
        <w:numPr>
          <w:ilvl w:val="0"/>
          <w:numId w:val="3"/>
        </w:numPr>
        <w:autoSpaceDE w:val="0"/>
        <w:autoSpaceDN w:val="0"/>
        <w:spacing w:line="360" w:lineRule="auto"/>
        <w:jc w:val="both"/>
        <w:rPr>
          <w:rFonts w:ascii="Times New Roman" w:hAnsi="Times New Roman"/>
          <w:sz w:val="24"/>
          <w:szCs w:val="24"/>
        </w:rPr>
      </w:pPr>
      <w:r w:rsidRPr="009F758F">
        <w:rPr>
          <w:rFonts w:ascii="Times New Roman" w:hAnsi="Times New Roman"/>
          <w:sz w:val="24"/>
          <w:szCs w:val="24"/>
        </w:rPr>
        <w:t xml:space="preserve">older persons </w:t>
      </w:r>
      <w:r w:rsidR="008052E7" w:rsidRPr="009F758F">
        <w:rPr>
          <w:rFonts w:ascii="Times New Roman" w:hAnsi="Times New Roman"/>
          <w:sz w:val="24"/>
          <w:szCs w:val="24"/>
        </w:rPr>
        <w:t>receiving care services comprise 0,7</w:t>
      </w:r>
      <w:r>
        <w:rPr>
          <w:rFonts w:ascii="Times New Roman" w:hAnsi="Times New Roman"/>
          <w:sz w:val="24"/>
          <w:szCs w:val="24"/>
        </w:rPr>
        <w:t xml:space="preserve">% of the total number of </w:t>
      </w:r>
      <w:r w:rsidRPr="009F758F">
        <w:rPr>
          <w:rFonts w:ascii="Times New Roman" w:hAnsi="Times New Roman"/>
          <w:sz w:val="24"/>
          <w:szCs w:val="24"/>
        </w:rPr>
        <w:t xml:space="preserve">older persons </w:t>
      </w:r>
      <w:r>
        <w:rPr>
          <w:rFonts w:ascii="Times New Roman" w:hAnsi="Times New Roman"/>
          <w:sz w:val="24"/>
          <w:szCs w:val="24"/>
        </w:rPr>
        <w:t xml:space="preserve">and 29,1% of single </w:t>
      </w:r>
      <w:r w:rsidRPr="009F758F">
        <w:rPr>
          <w:rFonts w:ascii="Times New Roman" w:hAnsi="Times New Roman"/>
          <w:sz w:val="24"/>
          <w:szCs w:val="24"/>
        </w:rPr>
        <w:t>older persons</w:t>
      </w:r>
      <w:r w:rsidR="008052E7" w:rsidRPr="009F758F">
        <w:rPr>
          <w:rFonts w:ascii="Times New Roman" w:hAnsi="Times New Roman"/>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3798"/>
        <w:gridCol w:w="4642"/>
      </w:tblGrid>
      <w:tr w:rsidR="008052E7" w:rsidRPr="009F758F" w:rsidTr="00F759E5">
        <w:trPr>
          <w:jc w:val="center"/>
        </w:trPr>
        <w:tc>
          <w:tcPr>
            <w:tcW w:w="379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FFFFFF"/>
                <w:sz w:val="20"/>
                <w:szCs w:val="20"/>
              </w:rPr>
              <w:t xml:space="preserve">Name of the </w:t>
            </w:r>
            <w:proofErr w:type="spellStart"/>
            <w:r w:rsidRPr="009F758F">
              <w:rPr>
                <w:rFonts w:ascii="Times New Roman" w:hAnsi="Times New Roman"/>
                <w:color w:val="FFFFFF"/>
                <w:sz w:val="20"/>
                <w:szCs w:val="20"/>
              </w:rPr>
              <w:t>Marz</w:t>
            </w:r>
            <w:proofErr w:type="spellEnd"/>
          </w:p>
        </w:tc>
        <w:tc>
          <w:tcPr>
            <w:tcW w:w="464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FFFFFF"/>
                <w:sz w:val="20"/>
                <w:szCs w:val="20"/>
              </w:rPr>
              <w:t>Number of people receiving care services</w:t>
            </w:r>
          </w:p>
        </w:tc>
      </w:tr>
      <w:tr w:rsidR="008052E7" w:rsidRPr="009F758F" w:rsidTr="00F759E5">
        <w:trPr>
          <w:jc w:val="center"/>
        </w:trPr>
        <w:tc>
          <w:tcPr>
            <w:tcW w:w="379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textAlignment w:val="top"/>
              <w:rPr>
                <w:rFonts w:ascii="Times New Roman" w:hAnsi="Times New Roman"/>
                <w:sz w:val="20"/>
                <w:szCs w:val="20"/>
              </w:rPr>
            </w:pPr>
            <w:r w:rsidRPr="009F758F">
              <w:rPr>
                <w:rFonts w:ascii="Times New Roman" w:hAnsi="Times New Roman"/>
                <w:color w:val="000000"/>
                <w:sz w:val="20"/>
                <w:szCs w:val="20"/>
              </w:rPr>
              <w:t>city of Yerevan</w:t>
            </w:r>
            <w:r w:rsidR="002030AB" w:rsidRPr="009F758F">
              <w:rPr>
                <w:rFonts w:ascii="Times New Roman" w:hAnsi="Times New Roman"/>
                <w:color w:val="000000"/>
                <w:sz w:val="20"/>
                <w:szCs w:val="20"/>
              </w:rPr>
              <w:t xml:space="preserve"> </w:t>
            </w:r>
          </w:p>
        </w:tc>
        <w:tc>
          <w:tcPr>
            <w:tcW w:w="464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jc w:val="center"/>
              <w:textAlignment w:val="top"/>
              <w:rPr>
                <w:rFonts w:ascii="Times New Roman" w:hAnsi="Times New Roman"/>
                <w:sz w:val="20"/>
                <w:szCs w:val="20"/>
              </w:rPr>
            </w:pPr>
            <w:r w:rsidRPr="009F758F">
              <w:rPr>
                <w:rFonts w:ascii="Times New Roman" w:hAnsi="Times New Roman"/>
                <w:color w:val="000000"/>
                <w:sz w:val="20"/>
                <w:szCs w:val="20"/>
              </w:rPr>
              <w:t xml:space="preserve">2560 </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textAlignment w:val="top"/>
              <w:rPr>
                <w:rFonts w:ascii="Times New Roman" w:hAnsi="Times New Roman"/>
                <w:sz w:val="20"/>
                <w:szCs w:val="20"/>
              </w:rPr>
            </w:pPr>
            <w:r w:rsidRPr="009F758F">
              <w:rPr>
                <w:rFonts w:ascii="Times New Roman" w:hAnsi="Times New Roman"/>
                <w:color w:val="000000"/>
                <w:sz w:val="20"/>
                <w:szCs w:val="20"/>
              </w:rPr>
              <w:t xml:space="preserve">Aragatsotn </w:t>
            </w:r>
            <w:proofErr w:type="spellStart"/>
            <w:r w:rsidRPr="009F758F">
              <w:rPr>
                <w:rFonts w:ascii="Times New Roman" w:hAnsi="Times New Roman"/>
                <w:color w:val="000000"/>
                <w:sz w:val="20"/>
                <w:szCs w:val="20"/>
              </w:rPr>
              <w:t>Marz</w:t>
            </w:r>
            <w:proofErr w:type="spellEnd"/>
            <w:r w:rsidRPr="009F758F">
              <w:rPr>
                <w:rFonts w:ascii="Times New Roman" w:hAnsi="Times New Roman"/>
                <w:color w:val="000000"/>
                <w:sz w:val="20"/>
                <w:szCs w:val="20"/>
              </w:rPr>
              <w:t xml:space="preserve"> </w:t>
            </w:r>
          </w:p>
        </w:tc>
        <w:tc>
          <w:tcPr>
            <w:tcW w:w="464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jc w:val="center"/>
              <w:textAlignment w:val="top"/>
              <w:rPr>
                <w:rFonts w:ascii="Times New Roman" w:hAnsi="Times New Roman"/>
                <w:sz w:val="20"/>
                <w:szCs w:val="20"/>
              </w:rPr>
            </w:pPr>
            <w:r w:rsidRPr="009F758F">
              <w:rPr>
                <w:rFonts w:ascii="Times New Roman" w:hAnsi="Times New Roman"/>
                <w:color w:val="000000"/>
                <w:sz w:val="20"/>
                <w:szCs w:val="20"/>
              </w:rPr>
              <w:t xml:space="preserve">70 </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Ararat </w:t>
            </w:r>
            <w:proofErr w:type="spellStart"/>
            <w:r w:rsidRPr="009F758F">
              <w:rPr>
                <w:rFonts w:ascii="Times New Roman" w:hAnsi="Times New Roman"/>
                <w:color w:val="000000"/>
                <w:sz w:val="20"/>
                <w:szCs w:val="20"/>
              </w:rPr>
              <w:t>Marz</w:t>
            </w:r>
            <w:proofErr w:type="spellEnd"/>
            <w:r w:rsidR="002030AB" w:rsidRPr="009F758F">
              <w:rPr>
                <w:rFonts w:ascii="Times New Roman" w:hAnsi="Times New Roman"/>
                <w:color w:val="000000"/>
                <w:sz w:val="20"/>
                <w:szCs w:val="20"/>
              </w:rPr>
              <w:t xml:space="preserve"> </w:t>
            </w:r>
          </w:p>
        </w:tc>
        <w:tc>
          <w:tcPr>
            <w:tcW w:w="464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 xml:space="preserve">148 </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Shirak </w:t>
            </w:r>
            <w:proofErr w:type="spellStart"/>
            <w:r w:rsidRPr="009F758F">
              <w:rPr>
                <w:rFonts w:ascii="Times New Roman" w:hAnsi="Times New Roman"/>
                <w:color w:val="000000"/>
                <w:sz w:val="20"/>
                <w:szCs w:val="20"/>
              </w:rPr>
              <w:t>Marz</w:t>
            </w:r>
            <w:proofErr w:type="spellEnd"/>
            <w:r w:rsidRPr="009F758F">
              <w:rPr>
                <w:rFonts w:ascii="Times New Roman" w:hAnsi="Times New Roman"/>
                <w:color w:val="000000"/>
                <w:sz w:val="20"/>
                <w:szCs w:val="20"/>
              </w:rPr>
              <w:t xml:space="preserve"> </w:t>
            </w:r>
          </w:p>
        </w:tc>
        <w:tc>
          <w:tcPr>
            <w:tcW w:w="464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 xml:space="preserve">578 </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Syunik </w:t>
            </w:r>
            <w:proofErr w:type="spellStart"/>
            <w:r w:rsidRPr="009F758F">
              <w:rPr>
                <w:rFonts w:ascii="Times New Roman" w:hAnsi="Times New Roman"/>
                <w:color w:val="000000"/>
                <w:sz w:val="20"/>
                <w:szCs w:val="20"/>
              </w:rPr>
              <w:t>Marz</w:t>
            </w:r>
            <w:proofErr w:type="spellEnd"/>
          </w:p>
        </w:tc>
        <w:tc>
          <w:tcPr>
            <w:tcW w:w="464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221</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Kotayk </w:t>
            </w:r>
            <w:proofErr w:type="spellStart"/>
            <w:r w:rsidRPr="009F758F">
              <w:rPr>
                <w:rFonts w:ascii="Times New Roman" w:hAnsi="Times New Roman"/>
                <w:color w:val="000000"/>
                <w:sz w:val="20"/>
                <w:szCs w:val="20"/>
              </w:rPr>
              <w:t>Marz</w:t>
            </w:r>
            <w:proofErr w:type="spellEnd"/>
          </w:p>
        </w:tc>
        <w:tc>
          <w:tcPr>
            <w:tcW w:w="464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322</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Ararat </w:t>
            </w:r>
            <w:proofErr w:type="spellStart"/>
            <w:r w:rsidRPr="009F758F">
              <w:rPr>
                <w:rFonts w:ascii="Times New Roman" w:hAnsi="Times New Roman"/>
                <w:color w:val="000000"/>
                <w:sz w:val="20"/>
                <w:szCs w:val="20"/>
              </w:rPr>
              <w:t>Marz</w:t>
            </w:r>
            <w:proofErr w:type="spellEnd"/>
          </w:p>
        </w:tc>
        <w:tc>
          <w:tcPr>
            <w:tcW w:w="464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148</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Lori </w:t>
            </w:r>
            <w:proofErr w:type="spellStart"/>
            <w:r w:rsidRPr="009F758F">
              <w:rPr>
                <w:rFonts w:ascii="Times New Roman" w:hAnsi="Times New Roman"/>
                <w:color w:val="000000"/>
                <w:sz w:val="20"/>
                <w:szCs w:val="20"/>
              </w:rPr>
              <w:t>Marz</w:t>
            </w:r>
            <w:proofErr w:type="spellEnd"/>
          </w:p>
        </w:tc>
        <w:tc>
          <w:tcPr>
            <w:tcW w:w="464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399</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Gegharkunik </w:t>
            </w:r>
            <w:proofErr w:type="spellStart"/>
            <w:r w:rsidRPr="009F758F">
              <w:rPr>
                <w:rFonts w:ascii="Times New Roman" w:hAnsi="Times New Roman"/>
                <w:color w:val="000000"/>
                <w:sz w:val="20"/>
                <w:szCs w:val="20"/>
              </w:rPr>
              <w:t>Marz</w:t>
            </w:r>
            <w:proofErr w:type="spellEnd"/>
          </w:p>
        </w:tc>
        <w:tc>
          <w:tcPr>
            <w:tcW w:w="464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589</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 xml:space="preserve">Armavir </w:t>
            </w:r>
            <w:proofErr w:type="spellStart"/>
            <w:r w:rsidRPr="009F758F">
              <w:rPr>
                <w:rFonts w:ascii="Times New Roman" w:hAnsi="Times New Roman"/>
                <w:color w:val="000000"/>
                <w:sz w:val="20"/>
                <w:szCs w:val="20"/>
              </w:rPr>
              <w:t>Marz</w:t>
            </w:r>
            <w:proofErr w:type="spellEnd"/>
          </w:p>
        </w:tc>
        <w:tc>
          <w:tcPr>
            <w:tcW w:w="464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60</w:t>
            </w:r>
          </w:p>
        </w:tc>
      </w:tr>
      <w:tr w:rsidR="008052E7" w:rsidRPr="009F758F" w:rsidTr="00F759E5">
        <w:trPr>
          <w:jc w:val="center"/>
        </w:trPr>
        <w:tc>
          <w:tcPr>
            <w:tcW w:w="379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rPr>
                <w:rFonts w:ascii="Times New Roman" w:hAnsi="Times New Roman"/>
                <w:sz w:val="20"/>
                <w:szCs w:val="20"/>
              </w:rPr>
            </w:pPr>
            <w:r w:rsidRPr="009F758F">
              <w:rPr>
                <w:rFonts w:ascii="Times New Roman" w:hAnsi="Times New Roman"/>
                <w:color w:val="000000"/>
                <w:sz w:val="20"/>
                <w:szCs w:val="20"/>
              </w:rPr>
              <w:t>Total:</w:t>
            </w:r>
          </w:p>
        </w:tc>
        <w:tc>
          <w:tcPr>
            <w:tcW w:w="464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color w:val="000000"/>
                <w:sz w:val="20"/>
                <w:szCs w:val="20"/>
              </w:rPr>
              <w:t>4947</w:t>
            </w:r>
          </w:p>
        </w:tc>
      </w:tr>
    </w:tbl>
    <w:p w:rsidR="008052E7" w:rsidRPr="009F758F" w:rsidRDefault="008052E7" w:rsidP="002030AB">
      <w:pPr>
        <w:widowControl w:val="0"/>
        <w:spacing w:line="360" w:lineRule="auto"/>
        <w:rPr>
          <w:rFonts w:ascii="Times New Roman" w:hAnsi="Times New Roman"/>
          <w:sz w:val="24"/>
          <w:szCs w:val="24"/>
        </w:rPr>
      </w:pPr>
    </w:p>
    <w:p w:rsidR="008052E7" w:rsidRPr="009F758F" w:rsidRDefault="008052E7" w:rsidP="00A44384">
      <w:pPr>
        <w:widowControl w:val="0"/>
        <w:spacing w:line="360" w:lineRule="auto"/>
        <w:jc w:val="both"/>
        <w:rPr>
          <w:rFonts w:ascii="Times New Roman" w:hAnsi="Times New Roman"/>
          <w:bCs/>
          <w:sz w:val="24"/>
          <w:szCs w:val="24"/>
        </w:rPr>
      </w:pPr>
      <w:r w:rsidRPr="009F758F">
        <w:rPr>
          <w:rFonts w:ascii="Times New Roman" w:hAnsi="Times New Roman"/>
          <w:sz w:val="24"/>
          <w:szCs w:val="24"/>
        </w:rPr>
        <w:t>The below-mentioned data are taken from the data published by the National Statistical Committee of the Republic of Armenia in 2020, as well as from the "Electronic Record-registration of Pensioners" and "</w:t>
      </w:r>
      <w:r w:rsidR="00075784" w:rsidRPr="009F758F">
        <w:rPr>
          <w:rFonts w:ascii="Times New Roman" w:hAnsi="Times New Roman"/>
          <w:sz w:val="24"/>
          <w:szCs w:val="24"/>
        </w:rPr>
        <w:t xml:space="preserve">Financial </w:t>
      </w:r>
      <w:r w:rsidRPr="009F758F">
        <w:rPr>
          <w:rFonts w:ascii="Times New Roman" w:hAnsi="Times New Roman"/>
          <w:sz w:val="24"/>
          <w:szCs w:val="24"/>
        </w:rPr>
        <w:t>Allowance" information systems of the Ministry of Labour and Social Affairs of the Republic of Armenia.</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560"/>
        <w:gridCol w:w="1701"/>
        <w:gridCol w:w="1417"/>
        <w:gridCol w:w="1559"/>
        <w:gridCol w:w="1560"/>
      </w:tblGrid>
      <w:tr w:rsidR="00A44384" w:rsidRPr="009F758F" w:rsidTr="00F759E5">
        <w:trPr>
          <w:tblHeader/>
        </w:trPr>
        <w:tc>
          <w:tcPr>
            <w:tcW w:w="2127" w:type="dxa"/>
          </w:tcPr>
          <w:p w:rsidR="008052E7" w:rsidRPr="009F758F" w:rsidRDefault="008052E7" w:rsidP="00F759E5">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lastRenderedPageBreak/>
              <w:t>Name of the area</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Total number of the population</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Number of people aged 63+</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Including number of people aged 80+</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 xml:space="preserve">Number of single </w:t>
            </w:r>
            <w:r w:rsidR="009F758F" w:rsidRPr="009F758F">
              <w:rPr>
                <w:rFonts w:ascii="Times New Roman" w:hAnsi="Times New Roman"/>
                <w:sz w:val="20"/>
                <w:szCs w:val="20"/>
              </w:rPr>
              <w:t xml:space="preserve">older persons </w:t>
            </w:r>
            <w:r w:rsidRPr="009F758F">
              <w:rPr>
                <w:rFonts w:ascii="Times New Roman" w:hAnsi="Times New Roman"/>
                <w:sz w:val="20"/>
                <w:szCs w:val="20"/>
              </w:rPr>
              <w:t>*</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Number of persons aged 63+ in the total number of the population (%)</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 xml:space="preserve">Number of single </w:t>
            </w:r>
            <w:r w:rsidR="009F758F" w:rsidRPr="009F758F">
              <w:rPr>
                <w:rFonts w:ascii="Times New Roman" w:hAnsi="Times New Roman"/>
                <w:sz w:val="20"/>
                <w:szCs w:val="20"/>
              </w:rPr>
              <w:t>older persons</w:t>
            </w:r>
            <w:r w:rsidRPr="009F758F">
              <w:rPr>
                <w:rFonts w:ascii="Times New Roman" w:hAnsi="Times New Roman"/>
                <w:sz w:val="20"/>
                <w:szCs w:val="20"/>
              </w:rPr>
              <w:t xml:space="preserve"> in the total number of the </w:t>
            </w:r>
            <w:r w:rsidR="009F758F" w:rsidRPr="009F758F">
              <w:rPr>
                <w:rFonts w:ascii="Times New Roman" w:hAnsi="Times New Roman"/>
                <w:sz w:val="20"/>
                <w:szCs w:val="20"/>
              </w:rPr>
              <w:t>older persons</w:t>
            </w:r>
            <w:r w:rsidRPr="009F758F">
              <w:rPr>
                <w:rFonts w:ascii="Times New Roman" w:hAnsi="Times New Roman"/>
                <w:sz w:val="20"/>
                <w:szCs w:val="20"/>
              </w:rPr>
              <w:t xml:space="preserve"> (%)</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Republic of Armenia</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2 963.000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434 629</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91 101</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9560*</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14,7</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2,2</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city of Yerevan</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1 087.900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183 725</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38 756</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4026</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16,9</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2,2</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Ararat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256.800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32 040</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6504</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503</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12,5</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1,6</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Armavir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264.400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31 540</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6034</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457</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12,0</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1,4</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Aragatsotn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124.700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15 130</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3476</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318</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12,1</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2,1</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Gegharkunik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227.200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26 888</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5751</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401</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11,8</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1,5</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Lori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213.000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32 986</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7064</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1157</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15,5</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3,5</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Kotayk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251.200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31 514</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5382</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683</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12,5</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2,2</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Shirak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231.300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31 814</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5810</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1203</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13,7</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3,8</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Syunik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136.900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21 564</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4856</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355</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15,7</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1,6</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proofErr w:type="spellStart"/>
            <w:r w:rsidRPr="009F758F">
              <w:rPr>
                <w:rFonts w:ascii="Times New Roman" w:hAnsi="Times New Roman"/>
                <w:sz w:val="20"/>
                <w:szCs w:val="20"/>
              </w:rPr>
              <w:t>Vayots</w:t>
            </w:r>
            <w:proofErr w:type="spellEnd"/>
            <w:r w:rsidRPr="009F758F">
              <w:rPr>
                <w:rFonts w:ascii="Times New Roman" w:hAnsi="Times New Roman"/>
                <w:sz w:val="20"/>
                <w:szCs w:val="20"/>
              </w:rPr>
              <w:t xml:space="preserve"> </w:t>
            </w:r>
            <w:proofErr w:type="spellStart"/>
            <w:r w:rsidRPr="009F758F">
              <w:rPr>
                <w:rFonts w:ascii="Times New Roman" w:hAnsi="Times New Roman"/>
                <w:sz w:val="20"/>
                <w:szCs w:val="20"/>
              </w:rPr>
              <w:t>Dzor</w:t>
            </w:r>
            <w:proofErr w:type="spellEnd"/>
            <w:r w:rsidRPr="009F758F">
              <w:rPr>
                <w:rFonts w:ascii="Times New Roman" w:hAnsi="Times New Roman"/>
                <w:sz w:val="20"/>
                <w:szCs w:val="20"/>
              </w:rPr>
              <w:t xml:space="preserve">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48.500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 7274</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1957</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186</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15,0</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2,6</w:t>
            </w:r>
          </w:p>
        </w:tc>
      </w:tr>
      <w:tr w:rsidR="00A44384" w:rsidRPr="009F758F" w:rsidTr="00F759E5">
        <w:tc>
          <w:tcPr>
            <w:tcW w:w="2127"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 xml:space="preserve">Tavush </w:t>
            </w:r>
            <w:proofErr w:type="spellStart"/>
            <w:r w:rsidRPr="009F758F">
              <w:rPr>
                <w:rFonts w:ascii="Times New Roman" w:hAnsi="Times New Roman"/>
                <w:sz w:val="20"/>
                <w:szCs w:val="20"/>
              </w:rPr>
              <w:t>Marz</w:t>
            </w:r>
            <w:proofErr w:type="spellEnd"/>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121.100</w:t>
            </w:r>
          </w:p>
        </w:tc>
        <w:tc>
          <w:tcPr>
            <w:tcW w:w="1560" w:type="dxa"/>
          </w:tcPr>
          <w:p w:rsidR="008052E7" w:rsidRPr="009F758F" w:rsidRDefault="008052E7" w:rsidP="00A44384">
            <w:pPr>
              <w:widowControl w:val="0"/>
              <w:spacing w:after="120" w:line="240" w:lineRule="auto"/>
              <w:jc w:val="both"/>
              <w:rPr>
                <w:rFonts w:ascii="Times New Roman" w:hAnsi="Times New Roman"/>
                <w:sz w:val="20"/>
                <w:szCs w:val="20"/>
              </w:rPr>
            </w:pPr>
            <w:r w:rsidRPr="009F758F">
              <w:rPr>
                <w:rFonts w:ascii="Times New Roman" w:hAnsi="Times New Roman"/>
                <w:sz w:val="20"/>
                <w:szCs w:val="20"/>
              </w:rPr>
              <w:t>19 854</w:t>
            </w:r>
          </w:p>
        </w:tc>
        <w:tc>
          <w:tcPr>
            <w:tcW w:w="1701"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5511</w:t>
            </w:r>
          </w:p>
        </w:tc>
        <w:tc>
          <w:tcPr>
            <w:tcW w:w="1417"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271</w:t>
            </w:r>
          </w:p>
        </w:tc>
        <w:tc>
          <w:tcPr>
            <w:tcW w:w="1559"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16,4</w:t>
            </w:r>
          </w:p>
        </w:tc>
        <w:tc>
          <w:tcPr>
            <w:tcW w:w="1560" w:type="dxa"/>
          </w:tcPr>
          <w:p w:rsidR="008052E7" w:rsidRPr="009F758F" w:rsidRDefault="008052E7" w:rsidP="00A44384">
            <w:pPr>
              <w:widowControl w:val="0"/>
              <w:spacing w:after="120" w:line="240" w:lineRule="auto"/>
              <w:jc w:val="center"/>
              <w:rPr>
                <w:rFonts w:ascii="Times New Roman" w:hAnsi="Times New Roman"/>
                <w:sz w:val="20"/>
                <w:szCs w:val="20"/>
              </w:rPr>
            </w:pPr>
            <w:r w:rsidRPr="009F758F">
              <w:rPr>
                <w:rFonts w:ascii="Times New Roman" w:hAnsi="Times New Roman"/>
                <w:sz w:val="20"/>
                <w:szCs w:val="20"/>
              </w:rPr>
              <w:t>1,4</w:t>
            </w:r>
          </w:p>
        </w:tc>
      </w:tr>
    </w:tbl>
    <w:p w:rsidR="008052E7" w:rsidRPr="009F758F" w:rsidRDefault="008052E7" w:rsidP="002030AB">
      <w:pPr>
        <w:widowControl w:val="0"/>
        <w:spacing w:line="360" w:lineRule="auto"/>
        <w:jc w:val="both"/>
        <w:rPr>
          <w:rFonts w:ascii="Times New Roman" w:hAnsi="Times New Roman"/>
          <w:sz w:val="24"/>
          <w:szCs w:val="24"/>
        </w:rPr>
      </w:pPr>
    </w:p>
    <w:p w:rsidR="008052E7" w:rsidRPr="009F758F" w:rsidRDefault="008052E7" w:rsidP="002030AB">
      <w:pPr>
        <w:widowControl w:val="0"/>
        <w:spacing w:line="360" w:lineRule="auto"/>
        <w:jc w:val="both"/>
        <w:rPr>
          <w:rFonts w:ascii="Times New Roman" w:hAnsi="Times New Roman"/>
          <w:sz w:val="20"/>
          <w:szCs w:val="24"/>
        </w:rPr>
      </w:pPr>
      <w:r w:rsidRPr="009F758F">
        <w:rPr>
          <w:rFonts w:ascii="Times New Roman" w:hAnsi="Times New Roman"/>
          <w:sz w:val="24"/>
          <w:szCs w:val="24"/>
        </w:rPr>
        <w:t>*</w:t>
      </w:r>
      <w:r w:rsidRPr="009F758F">
        <w:rPr>
          <w:rFonts w:ascii="Times New Roman" w:hAnsi="Times New Roman"/>
          <w:sz w:val="20"/>
          <w:szCs w:val="24"/>
        </w:rPr>
        <w:t xml:space="preserve">Number of single </w:t>
      </w:r>
      <w:r w:rsidR="009F758F" w:rsidRPr="009F758F">
        <w:rPr>
          <w:rFonts w:ascii="Times New Roman" w:hAnsi="Times New Roman"/>
          <w:sz w:val="20"/>
          <w:szCs w:val="24"/>
        </w:rPr>
        <w:t>older persons</w:t>
      </w:r>
      <w:r w:rsidRPr="009F758F">
        <w:rPr>
          <w:rFonts w:ascii="Times New Roman" w:hAnsi="Times New Roman"/>
          <w:sz w:val="20"/>
          <w:szCs w:val="24"/>
        </w:rPr>
        <w:t xml:space="preserve"> is the number of the single </w:t>
      </w:r>
      <w:r w:rsidR="009F758F" w:rsidRPr="009F758F">
        <w:rPr>
          <w:rFonts w:ascii="Times New Roman" w:hAnsi="Times New Roman"/>
          <w:sz w:val="20"/>
          <w:szCs w:val="24"/>
        </w:rPr>
        <w:t xml:space="preserve">older </w:t>
      </w:r>
      <w:proofErr w:type="gramStart"/>
      <w:r w:rsidR="009F758F" w:rsidRPr="009F758F">
        <w:rPr>
          <w:rFonts w:ascii="Times New Roman" w:hAnsi="Times New Roman"/>
          <w:sz w:val="20"/>
          <w:szCs w:val="24"/>
        </w:rPr>
        <w:t>persons</w:t>
      </w:r>
      <w:proofErr w:type="gramEnd"/>
      <w:r w:rsidRPr="009F758F">
        <w:rPr>
          <w:rFonts w:ascii="Times New Roman" w:hAnsi="Times New Roman"/>
          <w:sz w:val="20"/>
          <w:szCs w:val="24"/>
        </w:rPr>
        <w:t xml:space="preserve"> record-registered in the "</w:t>
      </w:r>
      <w:r w:rsidR="00DD0F62" w:rsidRPr="009F758F">
        <w:rPr>
          <w:rFonts w:ascii="Times New Roman" w:hAnsi="Times New Roman"/>
          <w:sz w:val="20"/>
          <w:szCs w:val="24"/>
        </w:rPr>
        <w:t xml:space="preserve">Financial </w:t>
      </w:r>
      <w:r w:rsidRPr="009F758F">
        <w:rPr>
          <w:rFonts w:ascii="Times New Roman" w:hAnsi="Times New Roman"/>
          <w:sz w:val="20"/>
          <w:szCs w:val="24"/>
        </w:rPr>
        <w:t xml:space="preserve">Allowance" electronic family insecurity assessment system, and 5-10% inaccuracy is possible (not all single people are record-registered, but according to the research and observations of decades of the Ministry, 85-90% of the single </w:t>
      </w:r>
      <w:r w:rsidR="009F758F" w:rsidRPr="009F758F">
        <w:rPr>
          <w:rFonts w:ascii="Times New Roman" w:hAnsi="Times New Roman"/>
          <w:sz w:val="20"/>
          <w:szCs w:val="24"/>
        </w:rPr>
        <w:t>older persons</w:t>
      </w:r>
      <w:r w:rsidRPr="009F758F">
        <w:rPr>
          <w:rFonts w:ascii="Times New Roman" w:hAnsi="Times New Roman"/>
          <w:sz w:val="20"/>
          <w:szCs w:val="24"/>
        </w:rPr>
        <w:t xml:space="preserve"> are record-registered in the system).</w:t>
      </w:r>
    </w:p>
    <w:p w:rsidR="008052E7" w:rsidRPr="009F758F" w:rsidRDefault="008052E7" w:rsidP="002030AB">
      <w:pPr>
        <w:widowControl w:val="0"/>
        <w:spacing w:line="360" w:lineRule="auto"/>
        <w:jc w:val="both"/>
        <w:rPr>
          <w:rFonts w:ascii="Times New Roman" w:hAnsi="Times New Roman"/>
          <w:sz w:val="20"/>
          <w:szCs w:val="24"/>
        </w:rPr>
      </w:pPr>
      <w:r w:rsidRPr="009F758F">
        <w:rPr>
          <w:rFonts w:ascii="Times New Roman" w:hAnsi="Times New Roman"/>
          <w:sz w:val="20"/>
          <w:szCs w:val="24"/>
        </w:rPr>
        <w:t xml:space="preserve">*In this column, the term "single" refers to both the </w:t>
      </w:r>
      <w:r w:rsidR="009F758F" w:rsidRPr="009F758F">
        <w:rPr>
          <w:rFonts w:ascii="Times New Roman" w:hAnsi="Times New Roman"/>
          <w:sz w:val="20"/>
          <w:szCs w:val="24"/>
        </w:rPr>
        <w:t>older persons</w:t>
      </w:r>
      <w:r w:rsidRPr="009F758F">
        <w:rPr>
          <w:rFonts w:ascii="Times New Roman" w:hAnsi="Times New Roman"/>
          <w:sz w:val="20"/>
          <w:szCs w:val="24"/>
        </w:rPr>
        <w:t xml:space="preserve"> living alone and those having no heir (they are not separated).</w:t>
      </w:r>
    </w:p>
    <w:p w:rsidR="008052E7" w:rsidRDefault="008052E7" w:rsidP="00F759E5">
      <w:pPr>
        <w:widowControl w:val="0"/>
        <w:spacing w:line="360" w:lineRule="auto"/>
        <w:jc w:val="both"/>
        <w:rPr>
          <w:rFonts w:ascii="Times New Roman" w:hAnsi="Times New Roman"/>
          <w:i/>
          <w:sz w:val="20"/>
          <w:szCs w:val="24"/>
        </w:rPr>
      </w:pPr>
      <w:r w:rsidRPr="009F758F">
        <w:rPr>
          <w:rFonts w:ascii="Times New Roman" w:hAnsi="Times New Roman"/>
          <w:sz w:val="20"/>
          <w:szCs w:val="24"/>
        </w:rPr>
        <w:t>*</w:t>
      </w:r>
      <w:r w:rsidRPr="009F758F">
        <w:rPr>
          <w:rFonts w:ascii="Times New Roman" w:hAnsi="Times New Roman"/>
          <w:i/>
          <w:sz w:val="20"/>
          <w:szCs w:val="24"/>
        </w:rPr>
        <w:t xml:space="preserve"> For information, let us mention that the number of people over 63 in the Republic is 434 600, of which 261 100 are women and 173 500 are men, but since a person over 65 is considered </w:t>
      </w:r>
      <w:r w:rsidR="009F758F" w:rsidRPr="009F758F">
        <w:rPr>
          <w:rFonts w:ascii="Times New Roman" w:hAnsi="Times New Roman"/>
          <w:i/>
          <w:sz w:val="20"/>
          <w:szCs w:val="24"/>
        </w:rPr>
        <w:t>older persons</w:t>
      </w:r>
      <w:r w:rsidRPr="009F758F">
        <w:rPr>
          <w:rFonts w:ascii="Times New Roman" w:hAnsi="Times New Roman"/>
          <w:i/>
          <w:sz w:val="20"/>
          <w:szCs w:val="24"/>
        </w:rPr>
        <w:t xml:space="preserve"> by the legislation of the Republic of Armenia, we take as a basis the above-mentioned 65+ numbers.</w:t>
      </w:r>
    </w:p>
    <w:p w:rsidR="008415D4" w:rsidRDefault="008415D4" w:rsidP="00F759E5">
      <w:pPr>
        <w:widowControl w:val="0"/>
        <w:spacing w:line="360" w:lineRule="auto"/>
        <w:jc w:val="both"/>
        <w:rPr>
          <w:rFonts w:ascii="Times New Roman" w:hAnsi="Times New Roman"/>
          <w:i/>
          <w:sz w:val="20"/>
          <w:szCs w:val="24"/>
        </w:rPr>
      </w:pPr>
    </w:p>
    <w:p w:rsidR="008415D4" w:rsidRDefault="008415D4" w:rsidP="00F759E5">
      <w:pPr>
        <w:widowControl w:val="0"/>
        <w:spacing w:line="360" w:lineRule="auto"/>
        <w:jc w:val="both"/>
        <w:rPr>
          <w:rFonts w:ascii="Times New Roman" w:hAnsi="Times New Roman"/>
          <w:i/>
          <w:sz w:val="20"/>
          <w:szCs w:val="24"/>
        </w:rPr>
      </w:pPr>
    </w:p>
    <w:p w:rsidR="008415D4" w:rsidRDefault="008415D4" w:rsidP="00F759E5">
      <w:pPr>
        <w:widowControl w:val="0"/>
        <w:spacing w:line="360" w:lineRule="auto"/>
        <w:jc w:val="both"/>
        <w:rPr>
          <w:rFonts w:ascii="Times New Roman" w:hAnsi="Times New Roman"/>
          <w:i/>
          <w:sz w:val="20"/>
          <w:szCs w:val="24"/>
        </w:rPr>
      </w:pPr>
    </w:p>
    <w:p w:rsidR="008415D4" w:rsidRDefault="008415D4" w:rsidP="00F759E5">
      <w:pPr>
        <w:widowControl w:val="0"/>
        <w:spacing w:line="360" w:lineRule="auto"/>
        <w:jc w:val="both"/>
        <w:rPr>
          <w:rFonts w:ascii="Times New Roman" w:hAnsi="Times New Roman"/>
          <w:i/>
          <w:sz w:val="20"/>
          <w:szCs w:val="24"/>
        </w:rPr>
      </w:pPr>
    </w:p>
    <w:p w:rsidR="008415D4" w:rsidRDefault="008415D4" w:rsidP="00F759E5">
      <w:pPr>
        <w:widowControl w:val="0"/>
        <w:spacing w:line="360" w:lineRule="auto"/>
        <w:jc w:val="both"/>
        <w:rPr>
          <w:rFonts w:ascii="Times New Roman" w:hAnsi="Times New Roman"/>
          <w:i/>
          <w:sz w:val="20"/>
          <w:szCs w:val="24"/>
        </w:rPr>
      </w:pPr>
    </w:p>
    <w:p w:rsidR="008415D4" w:rsidRDefault="008415D4" w:rsidP="00F759E5">
      <w:pPr>
        <w:widowControl w:val="0"/>
        <w:spacing w:line="360" w:lineRule="auto"/>
        <w:jc w:val="both"/>
        <w:rPr>
          <w:rFonts w:ascii="Times New Roman" w:hAnsi="Times New Roman"/>
          <w:i/>
          <w:sz w:val="20"/>
          <w:szCs w:val="24"/>
        </w:rPr>
      </w:pPr>
    </w:p>
    <w:p w:rsidR="00B52C25" w:rsidRPr="008415D4" w:rsidRDefault="0071436B" w:rsidP="004F7BCD">
      <w:pPr>
        <w:widowControl w:val="0"/>
        <w:spacing w:line="360" w:lineRule="auto"/>
        <w:jc w:val="both"/>
        <w:rPr>
          <w:rFonts w:ascii="Times New Roman" w:hAnsi="Times New Roman"/>
          <w:sz w:val="24"/>
          <w:szCs w:val="24"/>
          <w:lang w:val="hy-AM"/>
        </w:rPr>
      </w:pPr>
      <w:r>
        <w:rPr>
          <w:rFonts w:ascii="Times New Roman" w:hAnsi="Times New Roman"/>
          <w:b/>
          <w:sz w:val="24"/>
          <w:szCs w:val="24"/>
        </w:rPr>
        <w:lastRenderedPageBreak/>
        <w:t>Question 12</w:t>
      </w:r>
      <w:r w:rsidRPr="009F758F">
        <w:rPr>
          <w:rFonts w:ascii="Times New Roman" w:hAnsi="Times New Roman"/>
          <w:b/>
          <w:sz w:val="24"/>
          <w:szCs w:val="24"/>
        </w:rPr>
        <w:t>.</w:t>
      </w:r>
      <w:r>
        <w:rPr>
          <w:rFonts w:ascii="Times New Roman" w:hAnsi="Times New Roman"/>
          <w:b/>
          <w:sz w:val="24"/>
          <w:szCs w:val="24"/>
          <w:lang w:val="hy-AM"/>
        </w:rPr>
        <w:t xml:space="preserve">  </w:t>
      </w:r>
      <w:r>
        <w:rPr>
          <w:rFonts w:ascii="Times New Roman" w:hAnsi="Times New Roman"/>
          <w:b/>
          <w:sz w:val="24"/>
          <w:szCs w:val="24"/>
          <w:lang w:val="hy-AM"/>
        </w:rPr>
        <w:tab/>
      </w:r>
      <w:r>
        <w:rPr>
          <w:rFonts w:ascii="Times New Roman" w:hAnsi="Times New Roman"/>
          <w:b/>
          <w:sz w:val="24"/>
          <w:szCs w:val="24"/>
          <w:lang w:val="hy-AM"/>
        </w:rPr>
        <w:tab/>
      </w:r>
      <w:r w:rsidR="00B52C25">
        <w:rPr>
          <w:rFonts w:ascii="Times New Roman" w:hAnsi="Times New Roman"/>
          <w:sz w:val="24"/>
          <w:szCs w:val="24"/>
          <w:lang w:val="en-US"/>
        </w:rPr>
        <w:t>The war unleashed by Azerbaijan against the people of Nagorno Karabakh in the autumn of 2020</w:t>
      </w:r>
      <w:r w:rsidR="008415D4" w:rsidRPr="008415D4">
        <w:rPr>
          <w:rFonts w:ascii="Times New Roman" w:hAnsi="Times New Roman"/>
          <w:sz w:val="24"/>
          <w:szCs w:val="24"/>
          <w:lang w:val="hy-AM"/>
        </w:rPr>
        <w:t xml:space="preserve"> caused a massive displacement from N</w:t>
      </w:r>
      <w:proofErr w:type="spellStart"/>
      <w:r>
        <w:rPr>
          <w:rFonts w:ascii="Times New Roman" w:hAnsi="Times New Roman"/>
          <w:sz w:val="24"/>
          <w:szCs w:val="24"/>
          <w:lang w:val="en-US"/>
        </w:rPr>
        <w:t>agorno</w:t>
      </w:r>
      <w:proofErr w:type="spellEnd"/>
      <w:r>
        <w:rPr>
          <w:rFonts w:ascii="Times New Roman" w:hAnsi="Times New Roman"/>
          <w:sz w:val="24"/>
          <w:szCs w:val="24"/>
          <w:lang w:val="en-US"/>
        </w:rPr>
        <w:t>-</w:t>
      </w:r>
      <w:r w:rsidR="008415D4" w:rsidRPr="008415D4">
        <w:rPr>
          <w:rFonts w:ascii="Times New Roman" w:hAnsi="Times New Roman"/>
          <w:sz w:val="24"/>
          <w:szCs w:val="24"/>
          <w:lang w:val="hy-AM"/>
        </w:rPr>
        <w:t>K</w:t>
      </w:r>
      <w:proofErr w:type="spellStart"/>
      <w:r>
        <w:rPr>
          <w:rFonts w:ascii="Times New Roman" w:hAnsi="Times New Roman"/>
          <w:sz w:val="24"/>
          <w:szCs w:val="24"/>
          <w:lang w:val="en-US"/>
        </w:rPr>
        <w:t>arabakh</w:t>
      </w:r>
      <w:proofErr w:type="spellEnd"/>
      <w:r w:rsidR="008415D4" w:rsidRPr="008415D4">
        <w:rPr>
          <w:rFonts w:ascii="Times New Roman" w:hAnsi="Times New Roman"/>
          <w:sz w:val="24"/>
          <w:szCs w:val="24"/>
          <w:lang w:val="hy-AM"/>
        </w:rPr>
        <w:t xml:space="preserve"> to Armenia, resu</w:t>
      </w:r>
      <w:r w:rsidR="00B52C25">
        <w:rPr>
          <w:rFonts w:ascii="Times New Roman" w:hAnsi="Times New Roman"/>
          <w:sz w:val="24"/>
          <w:szCs w:val="24"/>
          <w:lang w:val="hy-AM"/>
        </w:rPr>
        <w:t>lting in a humanitarian crisis</w:t>
      </w:r>
      <w:r w:rsidR="008415D4" w:rsidRPr="008415D4">
        <w:rPr>
          <w:rFonts w:ascii="Times New Roman" w:hAnsi="Times New Roman"/>
          <w:sz w:val="24"/>
          <w:szCs w:val="24"/>
          <w:lang w:val="hy-AM"/>
        </w:rPr>
        <w:t>.</w:t>
      </w:r>
    </w:p>
    <w:p w:rsidR="008415D4" w:rsidRPr="008415D4" w:rsidRDefault="008415D4" w:rsidP="008415D4">
      <w:pPr>
        <w:widowControl w:val="0"/>
        <w:spacing w:line="360" w:lineRule="auto"/>
        <w:jc w:val="both"/>
        <w:rPr>
          <w:rFonts w:ascii="Times New Roman" w:hAnsi="Times New Roman"/>
          <w:sz w:val="24"/>
          <w:szCs w:val="24"/>
          <w:lang w:val="hy-AM"/>
        </w:rPr>
      </w:pPr>
      <w:r w:rsidRPr="008415D4">
        <w:rPr>
          <w:rFonts w:ascii="Times New Roman" w:hAnsi="Times New Roman"/>
          <w:sz w:val="24"/>
          <w:szCs w:val="24"/>
          <w:lang w:val="hy-AM"/>
        </w:rPr>
        <w:t>Among the estimated 91,000 displ</w:t>
      </w:r>
      <w:r w:rsidR="008503C7">
        <w:rPr>
          <w:rFonts w:ascii="Times New Roman" w:hAnsi="Times New Roman"/>
          <w:sz w:val="24"/>
          <w:szCs w:val="24"/>
          <w:lang w:val="hy-AM"/>
        </w:rPr>
        <w:t>aced people, 88% were women</w:t>
      </w:r>
      <w:r w:rsidR="008503C7">
        <w:rPr>
          <w:rFonts w:ascii="Times New Roman" w:hAnsi="Times New Roman"/>
          <w:sz w:val="24"/>
          <w:szCs w:val="24"/>
          <w:lang w:val="en-US"/>
        </w:rPr>
        <w:t xml:space="preserve">, </w:t>
      </w:r>
      <w:r w:rsidRPr="008415D4">
        <w:rPr>
          <w:rFonts w:ascii="Times New Roman" w:hAnsi="Times New Roman"/>
          <w:sz w:val="24"/>
          <w:szCs w:val="24"/>
          <w:lang w:val="hy-AM"/>
        </w:rPr>
        <w:t>children</w:t>
      </w:r>
      <w:r w:rsidR="008503C7">
        <w:rPr>
          <w:rFonts w:ascii="Times New Roman" w:hAnsi="Times New Roman"/>
          <w:sz w:val="24"/>
          <w:szCs w:val="24"/>
          <w:lang w:val="en-US"/>
        </w:rPr>
        <w:t xml:space="preserve"> and older persons</w:t>
      </w:r>
      <w:r w:rsidRPr="008415D4">
        <w:rPr>
          <w:rFonts w:ascii="Times New Roman" w:hAnsi="Times New Roman"/>
          <w:sz w:val="24"/>
          <w:szCs w:val="24"/>
          <w:lang w:val="hy-AM"/>
        </w:rPr>
        <w:t xml:space="preserve"> who were housed in host communities and collective shelters. A significant number of the arrivals from Nagorno-Karabakh may not be able to return safely even now with the ceasefire in place, particularly residents of territories currently under control of Azerbaijan.</w:t>
      </w:r>
    </w:p>
    <w:p w:rsidR="00DB5791" w:rsidRDefault="008415D4" w:rsidP="008415D4">
      <w:pPr>
        <w:widowControl w:val="0"/>
        <w:spacing w:line="360" w:lineRule="auto"/>
        <w:jc w:val="both"/>
        <w:rPr>
          <w:rFonts w:ascii="Times New Roman" w:hAnsi="Times New Roman"/>
          <w:sz w:val="24"/>
          <w:szCs w:val="24"/>
          <w:lang w:val="en-US"/>
        </w:rPr>
      </w:pPr>
      <w:r w:rsidRPr="008415D4">
        <w:rPr>
          <w:rFonts w:ascii="Times New Roman" w:hAnsi="Times New Roman"/>
          <w:sz w:val="24"/>
          <w:szCs w:val="24"/>
          <w:lang w:val="hy-AM"/>
        </w:rPr>
        <w:t>38,000 of those arrived lost their homes and productive assets due to the large-scale military hostilities.</w:t>
      </w:r>
      <w:r w:rsidR="0071436B">
        <w:rPr>
          <w:rFonts w:ascii="Times New Roman" w:hAnsi="Times New Roman"/>
          <w:sz w:val="24"/>
          <w:szCs w:val="24"/>
          <w:lang w:val="en-US"/>
        </w:rPr>
        <w:t xml:space="preserve"> </w:t>
      </w:r>
    </w:p>
    <w:p w:rsidR="00DB5791" w:rsidRPr="00DB5791" w:rsidRDefault="00DB5791" w:rsidP="00DB5791">
      <w:pPr>
        <w:widowControl w:val="0"/>
        <w:spacing w:line="360" w:lineRule="auto"/>
        <w:jc w:val="both"/>
        <w:rPr>
          <w:rFonts w:ascii="Times New Roman" w:hAnsi="Times New Roman"/>
          <w:sz w:val="24"/>
          <w:szCs w:val="24"/>
          <w:lang w:val="en-US"/>
        </w:rPr>
      </w:pPr>
      <w:r>
        <w:rPr>
          <w:rFonts w:ascii="Times New Roman" w:hAnsi="Times New Roman"/>
          <w:sz w:val="24"/>
          <w:szCs w:val="24"/>
          <w:lang w:val="en-US"/>
        </w:rPr>
        <w:t xml:space="preserve">A </w:t>
      </w:r>
      <w:r w:rsidRPr="00DB5791">
        <w:rPr>
          <w:rFonts w:ascii="Times New Roman" w:hAnsi="Times New Roman"/>
          <w:sz w:val="24"/>
          <w:szCs w:val="24"/>
          <w:lang w:val="en-US"/>
        </w:rPr>
        <w:t xml:space="preserve">total number of 379 persons have been placed in 24-hour care centers under the subordination of Ministry of </w:t>
      </w:r>
      <w:proofErr w:type="spellStart"/>
      <w:r w:rsidRPr="00DB5791">
        <w:rPr>
          <w:rFonts w:ascii="Times New Roman" w:hAnsi="Times New Roman"/>
          <w:sz w:val="24"/>
          <w:szCs w:val="24"/>
          <w:lang w:val="en-US"/>
        </w:rPr>
        <w:t>Labour</w:t>
      </w:r>
      <w:proofErr w:type="spellEnd"/>
      <w:r w:rsidRPr="00DB5791">
        <w:rPr>
          <w:rFonts w:ascii="Times New Roman" w:hAnsi="Times New Roman"/>
          <w:sz w:val="24"/>
          <w:szCs w:val="24"/>
          <w:lang w:val="en-US"/>
        </w:rPr>
        <w:t xml:space="preserve"> and Social Affairs of the Republic of Armenia, 101 of them continue to receive care. Most of them are beneficiaries of the Stepanakert nursing home or residents of the occupied Shushi and </w:t>
      </w:r>
      <w:proofErr w:type="spellStart"/>
      <w:r w:rsidRPr="00DB5791">
        <w:rPr>
          <w:rFonts w:ascii="Times New Roman" w:hAnsi="Times New Roman"/>
          <w:sz w:val="24"/>
          <w:szCs w:val="24"/>
          <w:lang w:val="en-US"/>
        </w:rPr>
        <w:t>Hadr</w:t>
      </w:r>
      <w:r>
        <w:rPr>
          <w:rFonts w:ascii="Times New Roman" w:hAnsi="Times New Roman"/>
          <w:sz w:val="24"/>
          <w:szCs w:val="24"/>
          <w:lang w:val="en-US"/>
        </w:rPr>
        <w:t>ut</w:t>
      </w:r>
      <w:proofErr w:type="spellEnd"/>
      <w:r>
        <w:rPr>
          <w:rFonts w:ascii="Times New Roman" w:hAnsi="Times New Roman"/>
          <w:sz w:val="24"/>
          <w:szCs w:val="24"/>
          <w:lang w:val="en-US"/>
        </w:rPr>
        <w:t xml:space="preserve"> territories. In particular: </w:t>
      </w:r>
    </w:p>
    <w:p w:rsidR="00DB5791" w:rsidRPr="00DB5791" w:rsidRDefault="00DB5791" w:rsidP="00DB5791">
      <w:pPr>
        <w:widowControl w:val="0"/>
        <w:spacing w:line="360" w:lineRule="auto"/>
        <w:jc w:val="both"/>
        <w:rPr>
          <w:rFonts w:ascii="Times New Roman" w:hAnsi="Times New Roman"/>
          <w:sz w:val="24"/>
          <w:szCs w:val="24"/>
          <w:lang w:val="en-US"/>
        </w:rPr>
      </w:pPr>
      <w:r w:rsidRPr="00DB5791">
        <w:rPr>
          <w:rFonts w:ascii="Times New Roman" w:hAnsi="Times New Roman"/>
          <w:sz w:val="24"/>
          <w:szCs w:val="24"/>
          <w:lang w:val="en-US"/>
        </w:rPr>
        <w:t>•</w:t>
      </w:r>
      <w:r w:rsidRPr="00DB5791">
        <w:rPr>
          <w:rFonts w:ascii="Times New Roman" w:hAnsi="Times New Roman"/>
          <w:sz w:val="24"/>
          <w:szCs w:val="24"/>
          <w:lang w:val="en-US"/>
        </w:rPr>
        <w:tab/>
        <w:t>70 persons were housed in «Nork nursing home» SNCO, 41 continue to receive care,</w:t>
      </w:r>
    </w:p>
    <w:p w:rsidR="00DB5791" w:rsidRPr="00DB5791" w:rsidRDefault="00DB5791" w:rsidP="00DB5791">
      <w:pPr>
        <w:widowControl w:val="0"/>
        <w:spacing w:line="360" w:lineRule="auto"/>
        <w:jc w:val="both"/>
        <w:rPr>
          <w:rFonts w:ascii="Times New Roman" w:hAnsi="Times New Roman"/>
          <w:sz w:val="24"/>
          <w:szCs w:val="24"/>
          <w:lang w:val="en-US"/>
        </w:rPr>
      </w:pPr>
      <w:r w:rsidRPr="00DB5791">
        <w:rPr>
          <w:rFonts w:ascii="Times New Roman" w:hAnsi="Times New Roman"/>
          <w:sz w:val="24"/>
          <w:szCs w:val="24"/>
          <w:lang w:val="en-US"/>
        </w:rPr>
        <w:t>•</w:t>
      </w:r>
      <w:r w:rsidRPr="00DB5791">
        <w:rPr>
          <w:rFonts w:ascii="Times New Roman" w:hAnsi="Times New Roman"/>
          <w:sz w:val="24"/>
          <w:szCs w:val="24"/>
          <w:lang w:val="en-US"/>
        </w:rPr>
        <w:tab/>
        <w:t>192 persons were housed in «</w:t>
      </w:r>
      <w:proofErr w:type="spellStart"/>
      <w:r w:rsidRPr="00DB5791">
        <w:rPr>
          <w:rFonts w:ascii="Times New Roman" w:hAnsi="Times New Roman"/>
          <w:sz w:val="24"/>
          <w:szCs w:val="24"/>
          <w:lang w:val="en-US"/>
        </w:rPr>
        <w:t>Aghavnadzor</w:t>
      </w:r>
      <w:proofErr w:type="spellEnd"/>
      <w:r w:rsidRPr="00DB5791">
        <w:rPr>
          <w:rFonts w:ascii="Times New Roman" w:hAnsi="Times New Roman"/>
          <w:sz w:val="24"/>
          <w:szCs w:val="24"/>
          <w:lang w:val="en-US"/>
        </w:rPr>
        <w:t xml:space="preserve">» branch of «Nork nursing home» SNCO, 23 </w:t>
      </w:r>
      <w:r>
        <w:rPr>
          <w:rFonts w:ascii="Times New Roman" w:hAnsi="Times New Roman"/>
          <w:sz w:val="24"/>
          <w:szCs w:val="24"/>
          <w:lang w:val="en-US"/>
        </w:rPr>
        <w:t xml:space="preserve">persons </w:t>
      </w:r>
      <w:r w:rsidRPr="00DB5791">
        <w:rPr>
          <w:rFonts w:ascii="Times New Roman" w:hAnsi="Times New Roman"/>
          <w:sz w:val="24"/>
          <w:szCs w:val="24"/>
          <w:lang w:val="en-US"/>
        </w:rPr>
        <w:t>remained as of February 11, who were discharged and transferred to other institutions,</w:t>
      </w:r>
    </w:p>
    <w:p w:rsidR="00DB5791" w:rsidRPr="00DB5791" w:rsidRDefault="00DB5791" w:rsidP="00DB5791">
      <w:pPr>
        <w:widowControl w:val="0"/>
        <w:spacing w:line="360" w:lineRule="auto"/>
        <w:jc w:val="both"/>
        <w:rPr>
          <w:rFonts w:ascii="Times New Roman" w:hAnsi="Times New Roman"/>
          <w:sz w:val="24"/>
          <w:szCs w:val="24"/>
          <w:lang w:val="en-US"/>
        </w:rPr>
      </w:pPr>
      <w:r w:rsidRPr="00DB5791">
        <w:rPr>
          <w:rFonts w:ascii="Times New Roman" w:hAnsi="Times New Roman"/>
          <w:sz w:val="24"/>
          <w:szCs w:val="24"/>
          <w:lang w:val="en-US"/>
        </w:rPr>
        <w:t>•</w:t>
      </w:r>
      <w:r w:rsidRPr="00DB5791">
        <w:rPr>
          <w:rFonts w:ascii="Times New Roman" w:hAnsi="Times New Roman"/>
          <w:sz w:val="24"/>
          <w:szCs w:val="24"/>
          <w:lang w:val="en-US"/>
        </w:rPr>
        <w:tab/>
        <w:t>63 persons were housed in «Yerevan Nursing Home N1» SNCO, 43 continue to receive care,</w:t>
      </w:r>
    </w:p>
    <w:p w:rsidR="00DB5791" w:rsidRPr="00DB5791" w:rsidRDefault="00DB5791" w:rsidP="00DB5791">
      <w:pPr>
        <w:widowControl w:val="0"/>
        <w:spacing w:line="360" w:lineRule="auto"/>
        <w:jc w:val="both"/>
        <w:rPr>
          <w:rFonts w:ascii="Times New Roman" w:hAnsi="Times New Roman"/>
          <w:sz w:val="24"/>
          <w:szCs w:val="24"/>
          <w:lang w:val="en-US"/>
        </w:rPr>
      </w:pPr>
      <w:r w:rsidRPr="00DB5791">
        <w:rPr>
          <w:rFonts w:ascii="Times New Roman" w:hAnsi="Times New Roman"/>
          <w:sz w:val="24"/>
          <w:szCs w:val="24"/>
          <w:lang w:val="en-US"/>
        </w:rPr>
        <w:t>•</w:t>
      </w:r>
      <w:r w:rsidRPr="00DB5791">
        <w:rPr>
          <w:rFonts w:ascii="Times New Roman" w:hAnsi="Times New Roman"/>
          <w:sz w:val="24"/>
          <w:szCs w:val="24"/>
          <w:lang w:val="en-US"/>
        </w:rPr>
        <w:tab/>
        <w:t>13 people were housed in «</w:t>
      </w:r>
      <w:proofErr w:type="spellStart"/>
      <w:r w:rsidRPr="00DB5791">
        <w:rPr>
          <w:rFonts w:ascii="Times New Roman" w:hAnsi="Times New Roman"/>
          <w:sz w:val="24"/>
          <w:szCs w:val="24"/>
          <w:lang w:val="en-US"/>
        </w:rPr>
        <w:t>Dzorak</w:t>
      </w:r>
      <w:proofErr w:type="spellEnd"/>
      <w:r w:rsidRPr="00DB5791">
        <w:rPr>
          <w:rFonts w:ascii="Times New Roman" w:hAnsi="Times New Roman"/>
          <w:sz w:val="24"/>
          <w:szCs w:val="24"/>
          <w:lang w:val="en-US"/>
        </w:rPr>
        <w:t>» care center for people with mental disorders SNCO, 6 continue to receive care,</w:t>
      </w:r>
    </w:p>
    <w:p w:rsidR="00DB5791" w:rsidRPr="00DB5791" w:rsidRDefault="00DB5791" w:rsidP="00DB5791">
      <w:pPr>
        <w:widowControl w:val="0"/>
        <w:spacing w:line="360" w:lineRule="auto"/>
        <w:jc w:val="both"/>
        <w:rPr>
          <w:rFonts w:ascii="Times New Roman" w:hAnsi="Times New Roman"/>
          <w:sz w:val="24"/>
          <w:szCs w:val="24"/>
          <w:lang w:val="en-US"/>
        </w:rPr>
      </w:pPr>
      <w:r w:rsidRPr="00DB5791">
        <w:rPr>
          <w:rFonts w:ascii="Times New Roman" w:hAnsi="Times New Roman"/>
          <w:sz w:val="24"/>
          <w:szCs w:val="24"/>
          <w:lang w:val="en-US"/>
        </w:rPr>
        <w:t>•</w:t>
      </w:r>
      <w:r w:rsidRPr="00DB5791">
        <w:rPr>
          <w:rFonts w:ascii="Times New Roman" w:hAnsi="Times New Roman"/>
          <w:sz w:val="24"/>
          <w:szCs w:val="24"/>
          <w:lang w:val="en-US"/>
        </w:rPr>
        <w:tab/>
        <w:t>35 persons were housed in Armenian Red Cross society Gyumri 24-hour Care Center, 5 continue to receive care,</w:t>
      </w:r>
    </w:p>
    <w:p w:rsidR="00DB5791" w:rsidRPr="00DB5791" w:rsidRDefault="00DB5791" w:rsidP="00DB5791">
      <w:pPr>
        <w:widowControl w:val="0"/>
        <w:spacing w:line="360" w:lineRule="auto"/>
        <w:jc w:val="both"/>
        <w:rPr>
          <w:rFonts w:ascii="Times New Roman" w:hAnsi="Times New Roman"/>
          <w:sz w:val="24"/>
          <w:szCs w:val="24"/>
          <w:lang w:val="en-US"/>
        </w:rPr>
      </w:pPr>
      <w:r w:rsidRPr="00DB5791">
        <w:rPr>
          <w:rFonts w:ascii="Times New Roman" w:hAnsi="Times New Roman"/>
          <w:sz w:val="24"/>
          <w:szCs w:val="24"/>
          <w:lang w:val="en-US"/>
        </w:rPr>
        <w:t>•</w:t>
      </w:r>
      <w:r w:rsidRPr="00DB5791">
        <w:rPr>
          <w:rFonts w:ascii="Times New Roman" w:hAnsi="Times New Roman"/>
          <w:sz w:val="24"/>
          <w:szCs w:val="24"/>
          <w:lang w:val="en-US"/>
        </w:rPr>
        <w:tab/>
        <w:t xml:space="preserve">3 persons were transferred to «Neuropsychological nursing home of </w:t>
      </w:r>
      <w:proofErr w:type="spellStart"/>
      <w:r w:rsidRPr="00DB5791">
        <w:rPr>
          <w:rFonts w:ascii="Times New Roman" w:hAnsi="Times New Roman"/>
          <w:sz w:val="24"/>
          <w:szCs w:val="24"/>
          <w:lang w:val="en-US"/>
        </w:rPr>
        <w:t>Vardenis</w:t>
      </w:r>
      <w:proofErr w:type="spellEnd"/>
      <w:r w:rsidRPr="00DB5791">
        <w:rPr>
          <w:rFonts w:ascii="Times New Roman" w:hAnsi="Times New Roman"/>
          <w:sz w:val="24"/>
          <w:szCs w:val="24"/>
          <w:lang w:val="en-US"/>
        </w:rPr>
        <w:t>» SNCO,</w:t>
      </w:r>
    </w:p>
    <w:p w:rsidR="0071436B" w:rsidRPr="0071436B" w:rsidRDefault="00DB5791" w:rsidP="008415D4">
      <w:pPr>
        <w:widowControl w:val="0"/>
        <w:spacing w:line="360" w:lineRule="auto"/>
        <w:jc w:val="both"/>
        <w:rPr>
          <w:rFonts w:ascii="Times New Roman" w:hAnsi="Times New Roman"/>
          <w:sz w:val="24"/>
          <w:szCs w:val="24"/>
          <w:lang w:val="en-US"/>
        </w:rPr>
      </w:pPr>
      <w:r w:rsidRPr="00DB5791">
        <w:rPr>
          <w:rFonts w:ascii="Times New Roman" w:hAnsi="Times New Roman"/>
          <w:sz w:val="24"/>
          <w:szCs w:val="24"/>
          <w:lang w:val="en-US"/>
        </w:rPr>
        <w:t>•</w:t>
      </w:r>
      <w:r w:rsidRPr="00DB5791">
        <w:rPr>
          <w:rFonts w:ascii="Times New Roman" w:hAnsi="Times New Roman"/>
          <w:sz w:val="24"/>
          <w:szCs w:val="24"/>
          <w:lang w:val="en-US"/>
        </w:rPr>
        <w:tab/>
        <w:t xml:space="preserve">3 persons were housed in </w:t>
      </w:r>
      <w:proofErr w:type="spellStart"/>
      <w:r w:rsidRPr="00DB5791">
        <w:rPr>
          <w:rFonts w:ascii="Times New Roman" w:hAnsi="Times New Roman"/>
          <w:sz w:val="24"/>
          <w:szCs w:val="24"/>
          <w:lang w:val="en-US"/>
        </w:rPr>
        <w:t>Vanadzor</w:t>
      </w:r>
      <w:proofErr w:type="spellEnd"/>
      <w:r w:rsidRPr="00DB5791">
        <w:rPr>
          <w:rFonts w:ascii="Times New Roman" w:hAnsi="Times New Roman"/>
          <w:sz w:val="24"/>
          <w:szCs w:val="24"/>
          <w:lang w:val="en-US"/>
        </w:rPr>
        <w:t xml:space="preserve"> Old Age Home.</w:t>
      </w:r>
    </w:p>
    <w:p w:rsidR="008415D4" w:rsidRPr="00CF69F7" w:rsidRDefault="00CF69F7" w:rsidP="008415D4">
      <w:pPr>
        <w:widowControl w:val="0"/>
        <w:spacing w:line="360" w:lineRule="auto"/>
        <w:jc w:val="both"/>
        <w:rPr>
          <w:rFonts w:ascii="Times New Roman" w:hAnsi="Times New Roman"/>
          <w:sz w:val="24"/>
          <w:szCs w:val="24"/>
          <w:lang w:val="en-US"/>
        </w:rPr>
      </w:pPr>
      <w:r>
        <w:rPr>
          <w:rFonts w:ascii="Times New Roman" w:hAnsi="Times New Roman"/>
          <w:sz w:val="24"/>
          <w:szCs w:val="24"/>
          <w:lang w:val="en-US"/>
        </w:rPr>
        <w:t xml:space="preserve">Furthermore, it is necessary to draw the attention to the fact that </w:t>
      </w:r>
      <w:r w:rsidR="00E531A0">
        <w:rPr>
          <w:rFonts w:ascii="Times New Roman" w:hAnsi="Times New Roman"/>
          <w:sz w:val="24"/>
          <w:szCs w:val="24"/>
          <w:lang w:val="en-US"/>
        </w:rPr>
        <w:t>older</w:t>
      </w:r>
      <w:r>
        <w:rPr>
          <w:rFonts w:ascii="Times New Roman" w:hAnsi="Times New Roman"/>
          <w:sz w:val="24"/>
          <w:szCs w:val="24"/>
          <w:lang w:val="en-US"/>
        </w:rPr>
        <w:t xml:space="preserve"> persons from Nagorno-Karabakh were subjected to torture and murder. The list of abovementioned</w:t>
      </w:r>
      <w:r w:rsidR="00B52C25">
        <w:rPr>
          <w:rFonts w:ascii="Times New Roman" w:hAnsi="Times New Roman"/>
          <w:sz w:val="24"/>
          <w:szCs w:val="24"/>
          <w:lang w:val="en-US"/>
        </w:rPr>
        <w:t xml:space="preserve"> cases is</w:t>
      </w:r>
      <w:r>
        <w:rPr>
          <w:rFonts w:ascii="Times New Roman" w:hAnsi="Times New Roman"/>
          <w:sz w:val="24"/>
          <w:szCs w:val="24"/>
          <w:lang w:val="en-US"/>
        </w:rPr>
        <w:t xml:space="preserve"> attached</w:t>
      </w:r>
      <w:r w:rsidR="00620C62">
        <w:rPr>
          <w:rFonts w:ascii="Times New Roman" w:hAnsi="Times New Roman"/>
          <w:sz w:val="24"/>
          <w:szCs w:val="24"/>
          <w:lang w:val="en-US"/>
        </w:rPr>
        <w:t xml:space="preserve"> (Enclosure on </w:t>
      </w:r>
      <w:r w:rsidR="00620C62" w:rsidRPr="00620C62">
        <w:rPr>
          <w:rFonts w:ascii="Times New Roman" w:hAnsi="Times New Roman"/>
          <w:sz w:val="24"/>
          <w:szCs w:val="24"/>
          <w:lang w:val="en-US"/>
        </w:rPr>
        <w:t>Azerbaijan</w:t>
      </w:r>
      <w:r w:rsidR="00620C62">
        <w:rPr>
          <w:rFonts w:ascii="Times New Roman" w:hAnsi="Times New Roman"/>
          <w:sz w:val="24"/>
          <w:szCs w:val="24"/>
          <w:lang w:val="en-US"/>
        </w:rPr>
        <w:t>`</w:t>
      </w:r>
      <w:r w:rsidR="00620C62" w:rsidRPr="00620C62">
        <w:rPr>
          <w:rFonts w:ascii="Times New Roman" w:hAnsi="Times New Roman"/>
          <w:sz w:val="24"/>
          <w:szCs w:val="24"/>
          <w:lang w:val="en-US"/>
        </w:rPr>
        <w:t xml:space="preserve">s violations against Elderly </w:t>
      </w:r>
      <w:r w:rsidR="00620C62" w:rsidRPr="00620C62">
        <w:rPr>
          <w:rFonts w:ascii="Times New Roman" w:hAnsi="Times New Roman"/>
          <w:sz w:val="24"/>
          <w:szCs w:val="24"/>
          <w:lang w:val="en-US"/>
        </w:rPr>
        <w:t>Armenian</w:t>
      </w:r>
      <w:r w:rsidR="00620C62">
        <w:rPr>
          <w:rFonts w:ascii="Times New Roman" w:hAnsi="Times New Roman"/>
          <w:sz w:val="24"/>
          <w:szCs w:val="24"/>
          <w:lang w:val="en-US"/>
        </w:rPr>
        <w:t>s</w:t>
      </w:r>
      <w:bookmarkStart w:id="0" w:name="_GoBack"/>
      <w:bookmarkEnd w:id="0"/>
      <w:r w:rsidR="00620C62">
        <w:rPr>
          <w:rFonts w:ascii="Times New Roman" w:hAnsi="Times New Roman"/>
          <w:sz w:val="24"/>
          <w:szCs w:val="24"/>
          <w:lang w:val="en-US"/>
        </w:rPr>
        <w:t>)</w:t>
      </w:r>
      <w:r>
        <w:rPr>
          <w:rFonts w:ascii="Times New Roman" w:hAnsi="Times New Roman"/>
          <w:sz w:val="24"/>
          <w:szCs w:val="24"/>
          <w:lang w:val="en-US"/>
        </w:rPr>
        <w:t xml:space="preserve">. </w:t>
      </w:r>
    </w:p>
    <w:p w:rsidR="008415D4" w:rsidRPr="008415D4" w:rsidRDefault="008415D4" w:rsidP="008415D4">
      <w:pPr>
        <w:widowControl w:val="0"/>
        <w:spacing w:line="360" w:lineRule="auto"/>
        <w:jc w:val="both"/>
        <w:rPr>
          <w:rFonts w:ascii="Times New Roman" w:hAnsi="Times New Roman"/>
          <w:sz w:val="24"/>
          <w:szCs w:val="24"/>
        </w:rPr>
      </w:pPr>
    </w:p>
    <w:sectPr w:rsidR="008415D4" w:rsidRPr="008415D4" w:rsidSect="00B24A8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82" w:rsidRDefault="00133682" w:rsidP="00B24A89">
      <w:pPr>
        <w:spacing w:after="0" w:line="240" w:lineRule="auto"/>
      </w:pPr>
      <w:r>
        <w:separator/>
      </w:r>
    </w:p>
  </w:endnote>
  <w:endnote w:type="continuationSeparator" w:id="0">
    <w:p w:rsidR="00133682" w:rsidRDefault="00133682" w:rsidP="00B2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376"/>
      <w:docPartObj>
        <w:docPartGallery w:val="Page Numbers (Bottom of Page)"/>
        <w:docPartUnique/>
      </w:docPartObj>
    </w:sdtPr>
    <w:sdtEndPr>
      <w:rPr>
        <w:rFonts w:ascii="GHEA Grapalat" w:hAnsi="GHEA Grapalat"/>
      </w:rPr>
    </w:sdtEndPr>
    <w:sdtContent>
      <w:p w:rsidR="00B24A89" w:rsidRPr="00B24A89" w:rsidRDefault="00B24A89" w:rsidP="00B24A89">
        <w:pPr>
          <w:pStyle w:val="Footer"/>
          <w:jc w:val="center"/>
          <w:rPr>
            <w:rFonts w:ascii="GHEA Grapalat" w:hAnsi="GHEA Grapalat"/>
          </w:rPr>
        </w:pPr>
        <w:r w:rsidRPr="00B24A89">
          <w:rPr>
            <w:rFonts w:ascii="GHEA Grapalat" w:hAnsi="GHEA Grapalat"/>
          </w:rPr>
          <w:fldChar w:fldCharType="begin"/>
        </w:r>
        <w:r w:rsidRPr="00B24A89">
          <w:rPr>
            <w:rFonts w:ascii="GHEA Grapalat" w:hAnsi="GHEA Grapalat"/>
          </w:rPr>
          <w:instrText xml:space="preserve"> PAGE   \* MERGEFORMAT </w:instrText>
        </w:r>
        <w:r w:rsidRPr="00B24A89">
          <w:rPr>
            <w:rFonts w:ascii="GHEA Grapalat" w:hAnsi="GHEA Grapalat"/>
          </w:rPr>
          <w:fldChar w:fldCharType="separate"/>
        </w:r>
        <w:r w:rsidR="00620C62">
          <w:rPr>
            <w:rFonts w:ascii="GHEA Grapalat" w:hAnsi="GHEA Grapalat"/>
            <w:noProof/>
          </w:rPr>
          <w:t>7</w:t>
        </w:r>
        <w:r w:rsidRPr="00B24A89">
          <w:rPr>
            <w:rFonts w:ascii="GHEA Grapalat" w:hAnsi="GHEA Grapalat"/>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82" w:rsidRDefault="00133682" w:rsidP="00B24A89">
      <w:pPr>
        <w:spacing w:after="0" w:line="240" w:lineRule="auto"/>
      </w:pPr>
      <w:r>
        <w:separator/>
      </w:r>
    </w:p>
  </w:footnote>
  <w:footnote w:type="continuationSeparator" w:id="0">
    <w:p w:rsidR="00133682" w:rsidRDefault="00133682" w:rsidP="00B24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92F"/>
    <w:multiLevelType w:val="hybridMultilevel"/>
    <w:tmpl w:val="61D0DF02"/>
    <w:lvl w:ilvl="0" w:tplc="806E9512">
      <w:start w:val="1"/>
      <w:numFmt w:val="bullet"/>
      <w:lvlText w:val=""/>
      <w:lvlJc w:val="left"/>
      <w:pPr>
        <w:ind w:left="720" w:hanging="360"/>
      </w:pPr>
      <w:rPr>
        <w:rFonts w:ascii="Symbol" w:hAnsi="Symbol" w:hint="default"/>
      </w:rPr>
    </w:lvl>
    <w:lvl w:ilvl="1" w:tplc="538CBAA8" w:tentative="1">
      <w:start w:val="1"/>
      <w:numFmt w:val="bullet"/>
      <w:lvlText w:val="o"/>
      <w:lvlJc w:val="left"/>
      <w:pPr>
        <w:ind w:left="1440" w:hanging="360"/>
      </w:pPr>
      <w:rPr>
        <w:rFonts w:ascii="Courier New" w:hAnsi="Courier New" w:cs="Courier New" w:hint="default"/>
      </w:rPr>
    </w:lvl>
    <w:lvl w:ilvl="2" w:tplc="666E1B60" w:tentative="1">
      <w:start w:val="1"/>
      <w:numFmt w:val="bullet"/>
      <w:lvlText w:val=""/>
      <w:lvlJc w:val="left"/>
      <w:pPr>
        <w:ind w:left="2160" w:hanging="360"/>
      </w:pPr>
      <w:rPr>
        <w:rFonts w:ascii="Wingdings" w:hAnsi="Wingdings" w:hint="default"/>
      </w:rPr>
    </w:lvl>
    <w:lvl w:ilvl="3" w:tplc="AEE879F2" w:tentative="1">
      <w:start w:val="1"/>
      <w:numFmt w:val="bullet"/>
      <w:lvlText w:val=""/>
      <w:lvlJc w:val="left"/>
      <w:pPr>
        <w:ind w:left="2880" w:hanging="360"/>
      </w:pPr>
      <w:rPr>
        <w:rFonts w:ascii="Symbol" w:hAnsi="Symbol" w:hint="default"/>
      </w:rPr>
    </w:lvl>
    <w:lvl w:ilvl="4" w:tplc="C6F88A98" w:tentative="1">
      <w:start w:val="1"/>
      <w:numFmt w:val="bullet"/>
      <w:lvlText w:val="o"/>
      <w:lvlJc w:val="left"/>
      <w:pPr>
        <w:ind w:left="3600" w:hanging="360"/>
      </w:pPr>
      <w:rPr>
        <w:rFonts w:ascii="Courier New" w:hAnsi="Courier New" w:cs="Courier New" w:hint="default"/>
      </w:rPr>
    </w:lvl>
    <w:lvl w:ilvl="5" w:tplc="7F205794" w:tentative="1">
      <w:start w:val="1"/>
      <w:numFmt w:val="bullet"/>
      <w:lvlText w:val=""/>
      <w:lvlJc w:val="left"/>
      <w:pPr>
        <w:ind w:left="4320" w:hanging="360"/>
      </w:pPr>
      <w:rPr>
        <w:rFonts w:ascii="Wingdings" w:hAnsi="Wingdings" w:hint="default"/>
      </w:rPr>
    </w:lvl>
    <w:lvl w:ilvl="6" w:tplc="2C006942" w:tentative="1">
      <w:start w:val="1"/>
      <w:numFmt w:val="bullet"/>
      <w:lvlText w:val=""/>
      <w:lvlJc w:val="left"/>
      <w:pPr>
        <w:ind w:left="5040" w:hanging="360"/>
      </w:pPr>
      <w:rPr>
        <w:rFonts w:ascii="Symbol" w:hAnsi="Symbol" w:hint="default"/>
      </w:rPr>
    </w:lvl>
    <w:lvl w:ilvl="7" w:tplc="8F68F10A" w:tentative="1">
      <w:start w:val="1"/>
      <w:numFmt w:val="bullet"/>
      <w:lvlText w:val="o"/>
      <w:lvlJc w:val="left"/>
      <w:pPr>
        <w:ind w:left="5760" w:hanging="360"/>
      </w:pPr>
      <w:rPr>
        <w:rFonts w:ascii="Courier New" w:hAnsi="Courier New" w:cs="Courier New" w:hint="default"/>
      </w:rPr>
    </w:lvl>
    <w:lvl w:ilvl="8" w:tplc="A6827A54" w:tentative="1">
      <w:start w:val="1"/>
      <w:numFmt w:val="bullet"/>
      <w:lvlText w:val=""/>
      <w:lvlJc w:val="left"/>
      <w:pPr>
        <w:ind w:left="6480" w:hanging="360"/>
      </w:pPr>
      <w:rPr>
        <w:rFonts w:ascii="Wingdings" w:hAnsi="Wingdings" w:hint="default"/>
      </w:rPr>
    </w:lvl>
  </w:abstractNum>
  <w:abstractNum w:abstractNumId="1" w15:restartNumberingAfterBreak="0">
    <w:nsid w:val="2FC13A5D"/>
    <w:multiLevelType w:val="hybridMultilevel"/>
    <w:tmpl w:val="710C34E0"/>
    <w:lvl w:ilvl="0" w:tplc="A7AC08C2">
      <w:start w:val="1"/>
      <w:numFmt w:val="bullet"/>
      <w:lvlText w:val=""/>
      <w:lvlJc w:val="left"/>
      <w:pPr>
        <w:tabs>
          <w:tab w:val="num" w:pos="720"/>
        </w:tabs>
        <w:ind w:left="720" w:hanging="360"/>
      </w:pPr>
      <w:rPr>
        <w:rFonts w:ascii="Wingdings" w:hAnsi="Wingdings" w:hint="default"/>
      </w:rPr>
    </w:lvl>
    <w:lvl w:ilvl="1" w:tplc="441AF56E" w:tentative="1">
      <w:start w:val="1"/>
      <w:numFmt w:val="bullet"/>
      <w:lvlText w:val=""/>
      <w:lvlJc w:val="left"/>
      <w:pPr>
        <w:tabs>
          <w:tab w:val="num" w:pos="1440"/>
        </w:tabs>
        <w:ind w:left="1440" w:hanging="360"/>
      </w:pPr>
      <w:rPr>
        <w:rFonts w:ascii="Wingdings" w:hAnsi="Wingdings" w:hint="default"/>
      </w:rPr>
    </w:lvl>
    <w:lvl w:ilvl="2" w:tplc="1C6A8902" w:tentative="1">
      <w:start w:val="1"/>
      <w:numFmt w:val="bullet"/>
      <w:lvlText w:val=""/>
      <w:lvlJc w:val="left"/>
      <w:pPr>
        <w:tabs>
          <w:tab w:val="num" w:pos="2160"/>
        </w:tabs>
        <w:ind w:left="2160" w:hanging="360"/>
      </w:pPr>
      <w:rPr>
        <w:rFonts w:ascii="Wingdings" w:hAnsi="Wingdings" w:hint="default"/>
      </w:rPr>
    </w:lvl>
    <w:lvl w:ilvl="3" w:tplc="79EA80EE" w:tentative="1">
      <w:start w:val="1"/>
      <w:numFmt w:val="bullet"/>
      <w:lvlText w:val=""/>
      <w:lvlJc w:val="left"/>
      <w:pPr>
        <w:tabs>
          <w:tab w:val="num" w:pos="2880"/>
        </w:tabs>
        <w:ind w:left="2880" w:hanging="360"/>
      </w:pPr>
      <w:rPr>
        <w:rFonts w:ascii="Wingdings" w:hAnsi="Wingdings" w:hint="default"/>
      </w:rPr>
    </w:lvl>
    <w:lvl w:ilvl="4" w:tplc="A08474DA" w:tentative="1">
      <w:start w:val="1"/>
      <w:numFmt w:val="bullet"/>
      <w:lvlText w:val=""/>
      <w:lvlJc w:val="left"/>
      <w:pPr>
        <w:tabs>
          <w:tab w:val="num" w:pos="3600"/>
        </w:tabs>
        <w:ind w:left="3600" w:hanging="360"/>
      </w:pPr>
      <w:rPr>
        <w:rFonts w:ascii="Wingdings" w:hAnsi="Wingdings" w:hint="default"/>
      </w:rPr>
    </w:lvl>
    <w:lvl w:ilvl="5" w:tplc="2E8ADD84" w:tentative="1">
      <w:start w:val="1"/>
      <w:numFmt w:val="bullet"/>
      <w:lvlText w:val=""/>
      <w:lvlJc w:val="left"/>
      <w:pPr>
        <w:tabs>
          <w:tab w:val="num" w:pos="4320"/>
        </w:tabs>
        <w:ind w:left="4320" w:hanging="360"/>
      </w:pPr>
      <w:rPr>
        <w:rFonts w:ascii="Wingdings" w:hAnsi="Wingdings" w:hint="default"/>
      </w:rPr>
    </w:lvl>
    <w:lvl w:ilvl="6" w:tplc="A2BA3E9C" w:tentative="1">
      <w:start w:val="1"/>
      <w:numFmt w:val="bullet"/>
      <w:lvlText w:val=""/>
      <w:lvlJc w:val="left"/>
      <w:pPr>
        <w:tabs>
          <w:tab w:val="num" w:pos="5040"/>
        </w:tabs>
        <w:ind w:left="5040" w:hanging="360"/>
      </w:pPr>
      <w:rPr>
        <w:rFonts w:ascii="Wingdings" w:hAnsi="Wingdings" w:hint="default"/>
      </w:rPr>
    </w:lvl>
    <w:lvl w:ilvl="7" w:tplc="3A2892F8" w:tentative="1">
      <w:start w:val="1"/>
      <w:numFmt w:val="bullet"/>
      <w:lvlText w:val=""/>
      <w:lvlJc w:val="left"/>
      <w:pPr>
        <w:tabs>
          <w:tab w:val="num" w:pos="5760"/>
        </w:tabs>
        <w:ind w:left="5760" w:hanging="360"/>
      </w:pPr>
      <w:rPr>
        <w:rFonts w:ascii="Wingdings" w:hAnsi="Wingdings" w:hint="default"/>
      </w:rPr>
    </w:lvl>
    <w:lvl w:ilvl="8" w:tplc="E14495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F50E0"/>
    <w:multiLevelType w:val="hybridMultilevel"/>
    <w:tmpl w:val="CB1C960A"/>
    <w:lvl w:ilvl="0" w:tplc="0DB8C9D6">
      <w:start w:val="1"/>
      <w:numFmt w:val="bullet"/>
      <w:lvlText w:val=""/>
      <w:lvlJc w:val="left"/>
      <w:pPr>
        <w:tabs>
          <w:tab w:val="num" w:pos="720"/>
        </w:tabs>
        <w:ind w:left="720" w:hanging="360"/>
      </w:pPr>
      <w:rPr>
        <w:rFonts w:ascii="Wingdings" w:hAnsi="Wingdings" w:hint="default"/>
      </w:rPr>
    </w:lvl>
    <w:lvl w:ilvl="1" w:tplc="AC3C2B42" w:tentative="1">
      <w:start w:val="1"/>
      <w:numFmt w:val="bullet"/>
      <w:lvlText w:val=""/>
      <w:lvlJc w:val="left"/>
      <w:pPr>
        <w:tabs>
          <w:tab w:val="num" w:pos="1440"/>
        </w:tabs>
        <w:ind w:left="1440" w:hanging="360"/>
      </w:pPr>
      <w:rPr>
        <w:rFonts w:ascii="Wingdings" w:hAnsi="Wingdings" w:hint="default"/>
      </w:rPr>
    </w:lvl>
    <w:lvl w:ilvl="2" w:tplc="F736688A" w:tentative="1">
      <w:start w:val="1"/>
      <w:numFmt w:val="bullet"/>
      <w:lvlText w:val=""/>
      <w:lvlJc w:val="left"/>
      <w:pPr>
        <w:tabs>
          <w:tab w:val="num" w:pos="2160"/>
        </w:tabs>
        <w:ind w:left="2160" w:hanging="360"/>
      </w:pPr>
      <w:rPr>
        <w:rFonts w:ascii="Wingdings" w:hAnsi="Wingdings" w:hint="default"/>
      </w:rPr>
    </w:lvl>
    <w:lvl w:ilvl="3" w:tplc="E51E45F6" w:tentative="1">
      <w:start w:val="1"/>
      <w:numFmt w:val="bullet"/>
      <w:lvlText w:val=""/>
      <w:lvlJc w:val="left"/>
      <w:pPr>
        <w:tabs>
          <w:tab w:val="num" w:pos="2880"/>
        </w:tabs>
        <w:ind w:left="2880" w:hanging="360"/>
      </w:pPr>
      <w:rPr>
        <w:rFonts w:ascii="Wingdings" w:hAnsi="Wingdings" w:hint="default"/>
      </w:rPr>
    </w:lvl>
    <w:lvl w:ilvl="4" w:tplc="82FEF072" w:tentative="1">
      <w:start w:val="1"/>
      <w:numFmt w:val="bullet"/>
      <w:lvlText w:val=""/>
      <w:lvlJc w:val="left"/>
      <w:pPr>
        <w:tabs>
          <w:tab w:val="num" w:pos="3600"/>
        </w:tabs>
        <w:ind w:left="3600" w:hanging="360"/>
      </w:pPr>
      <w:rPr>
        <w:rFonts w:ascii="Wingdings" w:hAnsi="Wingdings" w:hint="default"/>
      </w:rPr>
    </w:lvl>
    <w:lvl w:ilvl="5" w:tplc="03A4F59A" w:tentative="1">
      <w:start w:val="1"/>
      <w:numFmt w:val="bullet"/>
      <w:lvlText w:val=""/>
      <w:lvlJc w:val="left"/>
      <w:pPr>
        <w:tabs>
          <w:tab w:val="num" w:pos="4320"/>
        </w:tabs>
        <w:ind w:left="4320" w:hanging="360"/>
      </w:pPr>
      <w:rPr>
        <w:rFonts w:ascii="Wingdings" w:hAnsi="Wingdings" w:hint="default"/>
      </w:rPr>
    </w:lvl>
    <w:lvl w:ilvl="6" w:tplc="C9A098F2" w:tentative="1">
      <w:start w:val="1"/>
      <w:numFmt w:val="bullet"/>
      <w:lvlText w:val=""/>
      <w:lvlJc w:val="left"/>
      <w:pPr>
        <w:tabs>
          <w:tab w:val="num" w:pos="5040"/>
        </w:tabs>
        <w:ind w:left="5040" w:hanging="360"/>
      </w:pPr>
      <w:rPr>
        <w:rFonts w:ascii="Wingdings" w:hAnsi="Wingdings" w:hint="default"/>
      </w:rPr>
    </w:lvl>
    <w:lvl w:ilvl="7" w:tplc="1292E150" w:tentative="1">
      <w:start w:val="1"/>
      <w:numFmt w:val="bullet"/>
      <w:lvlText w:val=""/>
      <w:lvlJc w:val="left"/>
      <w:pPr>
        <w:tabs>
          <w:tab w:val="num" w:pos="5760"/>
        </w:tabs>
        <w:ind w:left="5760" w:hanging="360"/>
      </w:pPr>
      <w:rPr>
        <w:rFonts w:ascii="Wingdings" w:hAnsi="Wingdings" w:hint="default"/>
      </w:rPr>
    </w:lvl>
    <w:lvl w:ilvl="8" w:tplc="4D9CD7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305BAB"/>
    <w:multiLevelType w:val="hybridMultilevel"/>
    <w:tmpl w:val="EDD0C808"/>
    <w:lvl w:ilvl="0" w:tplc="4086CC56">
      <w:start w:val="1"/>
      <w:numFmt w:val="bullet"/>
      <w:lvlText w:val=""/>
      <w:lvlJc w:val="left"/>
      <w:pPr>
        <w:ind w:left="1230" w:hanging="360"/>
      </w:pPr>
      <w:rPr>
        <w:rFonts w:ascii="Wingdings" w:hAnsi="Wingdings" w:hint="default"/>
      </w:rPr>
    </w:lvl>
    <w:lvl w:ilvl="1" w:tplc="A62435CC" w:tentative="1">
      <w:start w:val="1"/>
      <w:numFmt w:val="bullet"/>
      <w:lvlText w:val="o"/>
      <w:lvlJc w:val="left"/>
      <w:pPr>
        <w:ind w:left="1950" w:hanging="360"/>
      </w:pPr>
      <w:rPr>
        <w:rFonts w:ascii="Courier New" w:hAnsi="Courier New" w:cs="Courier New" w:hint="default"/>
      </w:rPr>
    </w:lvl>
    <w:lvl w:ilvl="2" w:tplc="2398E8BA" w:tentative="1">
      <w:start w:val="1"/>
      <w:numFmt w:val="bullet"/>
      <w:lvlText w:val=""/>
      <w:lvlJc w:val="left"/>
      <w:pPr>
        <w:ind w:left="2670" w:hanging="360"/>
      </w:pPr>
      <w:rPr>
        <w:rFonts w:ascii="Wingdings" w:hAnsi="Wingdings" w:hint="default"/>
      </w:rPr>
    </w:lvl>
    <w:lvl w:ilvl="3" w:tplc="ED54648C" w:tentative="1">
      <w:start w:val="1"/>
      <w:numFmt w:val="bullet"/>
      <w:lvlText w:val=""/>
      <w:lvlJc w:val="left"/>
      <w:pPr>
        <w:ind w:left="3390" w:hanging="360"/>
      </w:pPr>
      <w:rPr>
        <w:rFonts w:ascii="Symbol" w:hAnsi="Symbol" w:hint="default"/>
      </w:rPr>
    </w:lvl>
    <w:lvl w:ilvl="4" w:tplc="D4044D70" w:tentative="1">
      <w:start w:val="1"/>
      <w:numFmt w:val="bullet"/>
      <w:lvlText w:val="o"/>
      <w:lvlJc w:val="left"/>
      <w:pPr>
        <w:ind w:left="4110" w:hanging="360"/>
      </w:pPr>
      <w:rPr>
        <w:rFonts w:ascii="Courier New" w:hAnsi="Courier New" w:cs="Courier New" w:hint="default"/>
      </w:rPr>
    </w:lvl>
    <w:lvl w:ilvl="5" w:tplc="46603DFC" w:tentative="1">
      <w:start w:val="1"/>
      <w:numFmt w:val="bullet"/>
      <w:lvlText w:val=""/>
      <w:lvlJc w:val="left"/>
      <w:pPr>
        <w:ind w:left="4830" w:hanging="360"/>
      </w:pPr>
      <w:rPr>
        <w:rFonts w:ascii="Wingdings" w:hAnsi="Wingdings" w:hint="default"/>
      </w:rPr>
    </w:lvl>
    <w:lvl w:ilvl="6" w:tplc="62F85E86" w:tentative="1">
      <w:start w:val="1"/>
      <w:numFmt w:val="bullet"/>
      <w:lvlText w:val=""/>
      <w:lvlJc w:val="left"/>
      <w:pPr>
        <w:ind w:left="5550" w:hanging="360"/>
      </w:pPr>
      <w:rPr>
        <w:rFonts w:ascii="Symbol" w:hAnsi="Symbol" w:hint="default"/>
      </w:rPr>
    </w:lvl>
    <w:lvl w:ilvl="7" w:tplc="CFA2F2DC" w:tentative="1">
      <w:start w:val="1"/>
      <w:numFmt w:val="bullet"/>
      <w:lvlText w:val="o"/>
      <w:lvlJc w:val="left"/>
      <w:pPr>
        <w:ind w:left="6270" w:hanging="360"/>
      </w:pPr>
      <w:rPr>
        <w:rFonts w:ascii="Courier New" w:hAnsi="Courier New" w:cs="Courier New" w:hint="default"/>
      </w:rPr>
    </w:lvl>
    <w:lvl w:ilvl="8" w:tplc="8ED288C8" w:tentative="1">
      <w:start w:val="1"/>
      <w:numFmt w:val="bullet"/>
      <w:lvlText w:val=""/>
      <w:lvlJc w:val="left"/>
      <w:pPr>
        <w:ind w:left="6990" w:hanging="360"/>
      </w:pPr>
      <w:rPr>
        <w:rFonts w:ascii="Wingdings" w:hAnsi="Wingdings" w:hint="default"/>
      </w:rPr>
    </w:lvl>
  </w:abstractNum>
  <w:abstractNum w:abstractNumId="4" w15:restartNumberingAfterBreak="0">
    <w:nsid w:val="68991088"/>
    <w:multiLevelType w:val="hybridMultilevel"/>
    <w:tmpl w:val="4B94BFB8"/>
    <w:lvl w:ilvl="0" w:tplc="4C581D82">
      <w:start w:val="1"/>
      <w:numFmt w:val="decimal"/>
      <w:lvlText w:val="%1."/>
      <w:lvlJc w:val="left"/>
      <w:pPr>
        <w:ind w:left="435" w:hanging="435"/>
      </w:pPr>
      <w:rPr>
        <w:rFonts w:hint="default"/>
      </w:rPr>
    </w:lvl>
    <w:lvl w:ilvl="1" w:tplc="76204EBE" w:tentative="1">
      <w:start w:val="1"/>
      <w:numFmt w:val="lowerLetter"/>
      <w:lvlText w:val="%2."/>
      <w:lvlJc w:val="left"/>
      <w:pPr>
        <w:ind w:left="1199" w:hanging="360"/>
      </w:pPr>
    </w:lvl>
    <w:lvl w:ilvl="2" w:tplc="1FC637D2" w:tentative="1">
      <w:start w:val="1"/>
      <w:numFmt w:val="lowerRoman"/>
      <w:lvlText w:val="%3."/>
      <w:lvlJc w:val="right"/>
      <w:pPr>
        <w:ind w:left="1919" w:hanging="180"/>
      </w:pPr>
    </w:lvl>
    <w:lvl w:ilvl="3" w:tplc="D520AE4E" w:tentative="1">
      <w:start w:val="1"/>
      <w:numFmt w:val="decimal"/>
      <w:lvlText w:val="%4."/>
      <w:lvlJc w:val="left"/>
      <w:pPr>
        <w:ind w:left="2639" w:hanging="360"/>
      </w:pPr>
    </w:lvl>
    <w:lvl w:ilvl="4" w:tplc="7F766672" w:tentative="1">
      <w:start w:val="1"/>
      <w:numFmt w:val="lowerLetter"/>
      <w:lvlText w:val="%5."/>
      <w:lvlJc w:val="left"/>
      <w:pPr>
        <w:ind w:left="3359" w:hanging="360"/>
      </w:pPr>
    </w:lvl>
    <w:lvl w:ilvl="5" w:tplc="92D0A43E" w:tentative="1">
      <w:start w:val="1"/>
      <w:numFmt w:val="lowerRoman"/>
      <w:lvlText w:val="%6."/>
      <w:lvlJc w:val="right"/>
      <w:pPr>
        <w:ind w:left="4079" w:hanging="180"/>
      </w:pPr>
    </w:lvl>
    <w:lvl w:ilvl="6" w:tplc="58EE2898" w:tentative="1">
      <w:start w:val="1"/>
      <w:numFmt w:val="decimal"/>
      <w:lvlText w:val="%7."/>
      <w:lvlJc w:val="left"/>
      <w:pPr>
        <w:ind w:left="4799" w:hanging="360"/>
      </w:pPr>
    </w:lvl>
    <w:lvl w:ilvl="7" w:tplc="938AC3D2" w:tentative="1">
      <w:start w:val="1"/>
      <w:numFmt w:val="lowerLetter"/>
      <w:lvlText w:val="%8."/>
      <w:lvlJc w:val="left"/>
      <w:pPr>
        <w:ind w:left="5519" w:hanging="360"/>
      </w:pPr>
    </w:lvl>
    <w:lvl w:ilvl="8" w:tplc="D8E8C868" w:tentative="1">
      <w:start w:val="1"/>
      <w:numFmt w:val="lowerRoman"/>
      <w:lvlText w:val="%9."/>
      <w:lvlJc w:val="right"/>
      <w:pPr>
        <w:ind w:left="6239" w:hanging="180"/>
      </w:pPr>
    </w:lvl>
  </w:abstractNum>
  <w:abstractNum w:abstractNumId="5" w15:restartNumberingAfterBreak="0">
    <w:nsid w:val="7F675F5E"/>
    <w:multiLevelType w:val="hybridMultilevel"/>
    <w:tmpl w:val="EC4CB80A"/>
    <w:lvl w:ilvl="0" w:tplc="9D02EE8A">
      <w:start w:val="1"/>
      <w:numFmt w:val="bullet"/>
      <w:lvlText w:val=""/>
      <w:lvlJc w:val="left"/>
      <w:pPr>
        <w:ind w:left="720" w:hanging="360"/>
      </w:pPr>
      <w:rPr>
        <w:rFonts w:ascii="Wingdings" w:hAnsi="Wingdings" w:hint="default"/>
      </w:rPr>
    </w:lvl>
    <w:lvl w:ilvl="1" w:tplc="CC72D81C" w:tentative="1">
      <w:start w:val="1"/>
      <w:numFmt w:val="bullet"/>
      <w:lvlText w:val="o"/>
      <w:lvlJc w:val="left"/>
      <w:pPr>
        <w:ind w:left="1440" w:hanging="360"/>
      </w:pPr>
      <w:rPr>
        <w:rFonts w:ascii="Courier New" w:hAnsi="Courier New" w:cs="Courier New" w:hint="default"/>
      </w:rPr>
    </w:lvl>
    <w:lvl w:ilvl="2" w:tplc="4088F66A" w:tentative="1">
      <w:start w:val="1"/>
      <w:numFmt w:val="bullet"/>
      <w:lvlText w:val=""/>
      <w:lvlJc w:val="left"/>
      <w:pPr>
        <w:ind w:left="2160" w:hanging="360"/>
      </w:pPr>
      <w:rPr>
        <w:rFonts w:ascii="Wingdings" w:hAnsi="Wingdings" w:hint="default"/>
      </w:rPr>
    </w:lvl>
    <w:lvl w:ilvl="3" w:tplc="EDE29800" w:tentative="1">
      <w:start w:val="1"/>
      <w:numFmt w:val="bullet"/>
      <w:lvlText w:val=""/>
      <w:lvlJc w:val="left"/>
      <w:pPr>
        <w:ind w:left="2880" w:hanging="360"/>
      </w:pPr>
      <w:rPr>
        <w:rFonts w:ascii="Symbol" w:hAnsi="Symbol" w:hint="default"/>
      </w:rPr>
    </w:lvl>
    <w:lvl w:ilvl="4" w:tplc="E6306CE2" w:tentative="1">
      <w:start w:val="1"/>
      <w:numFmt w:val="bullet"/>
      <w:lvlText w:val="o"/>
      <w:lvlJc w:val="left"/>
      <w:pPr>
        <w:ind w:left="3600" w:hanging="360"/>
      </w:pPr>
      <w:rPr>
        <w:rFonts w:ascii="Courier New" w:hAnsi="Courier New" w:cs="Courier New" w:hint="default"/>
      </w:rPr>
    </w:lvl>
    <w:lvl w:ilvl="5" w:tplc="A8BCD90C" w:tentative="1">
      <w:start w:val="1"/>
      <w:numFmt w:val="bullet"/>
      <w:lvlText w:val=""/>
      <w:lvlJc w:val="left"/>
      <w:pPr>
        <w:ind w:left="4320" w:hanging="360"/>
      </w:pPr>
      <w:rPr>
        <w:rFonts w:ascii="Wingdings" w:hAnsi="Wingdings" w:hint="default"/>
      </w:rPr>
    </w:lvl>
    <w:lvl w:ilvl="6" w:tplc="2F485F40" w:tentative="1">
      <w:start w:val="1"/>
      <w:numFmt w:val="bullet"/>
      <w:lvlText w:val=""/>
      <w:lvlJc w:val="left"/>
      <w:pPr>
        <w:ind w:left="5040" w:hanging="360"/>
      </w:pPr>
      <w:rPr>
        <w:rFonts w:ascii="Symbol" w:hAnsi="Symbol" w:hint="default"/>
      </w:rPr>
    </w:lvl>
    <w:lvl w:ilvl="7" w:tplc="89249FC4" w:tentative="1">
      <w:start w:val="1"/>
      <w:numFmt w:val="bullet"/>
      <w:lvlText w:val="o"/>
      <w:lvlJc w:val="left"/>
      <w:pPr>
        <w:ind w:left="5760" w:hanging="360"/>
      </w:pPr>
      <w:rPr>
        <w:rFonts w:ascii="Courier New" w:hAnsi="Courier New" w:cs="Courier New" w:hint="default"/>
      </w:rPr>
    </w:lvl>
    <w:lvl w:ilvl="8" w:tplc="957A07D2"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E"/>
    <w:rsid w:val="00005AED"/>
    <w:rsid w:val="000275C0"/>
    <w:rsid w:val="00075784"/>
    <w:rsid w:val="00096278"/>
    <w:rsid w:val="000E04A4"/>
    <w:rsid w:val="00133682"/>
    <w:rsid w:val="00196D5C"/>
    <w:rsid w:val="001A26BE"/>
    <w:rsid w:val="001C5472"/>
    <w:rsid w:val="002030AB"/>
    <w:rsid w:val="00246BC8"/>
    <w:rsid w:val="00305063"/>
    <w:rsid w:val="00315A39"/>
    <w:rsid w:val="003A69FF"/>
    <w:rsid w:val="004B4158"/>
    <w:rsid w:val="004F7BCD"/>
    <w:rsid w:val="00532580"/>
    <w:rsid w:val="00620C62"/>
    <w:rsid w:val="00624191"/>
    <w:rsid w:val="006724AC"/>
    <w:rsid w:val="0071436B"/>
    <w:rsid w:val="00765B61"/>
    <w:rsid w:val="008052E7"/>
    <w:rsid w:val="008415D4"/>
    <w:rsid w:val="008503C7"/>
    <w:rsid w:val="0090558B"/>
    <w:rsid w:val="009944B7"/>
    <w:rsid w:val="009F758F"/>
    <w:rsid w:val="00A44384"/>
    <w:rsid w:val="00A633FF"/>
    <w:rsid w:val="00B24A89"/>
    <w:rsid w:val="00B52C25"/>
    <w:rsid w:val="00B96EC4"/>
    <w:rsid w:val="00C33DFA"/>
    <w:rsid w:val="00C63FCF"/>
    <w:rsid w:val="00CF69F7"/>
    <w:rsid w:val="00DB5791"/>
    <w:rsid w:val="00DD0F62"/>
    <w:rsid w:val="00E4658F"/>
    <w:rsid w:val="00E531A0"/>
    <w:rsid w:val="00E77705"/>
    <w:rsid w:val="00EB23D8"/>
    <w:rsid w:val="00F16460"/>
    <w:rsid w:val="00F73547"/>
    <w:rsid w:val="00F759E5"/>
    <w:rsid w:val="00F86878"/>
    <w:rsid w:val="00FE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4777"/>
  <w15:docId w15:val="{954F2C5E-777F-43E4-8A9D-1949BAB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78"/>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C1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4B7424"/>
    <w:pPr>
      <w:ind w:left="720"/>
      <w:contextualSpacing/>
    </w:pPr>
  </w:style>
  <w:style w:type="paragraph" w:styleId="BodyText">
    <w:name w:val="Body Text"/>
    <w:basedOn w:val="Normal"/>
    <w:link w:val="BodyTextChar"/>
    <w:uiPriority w:val="1"/>
    <w:qFormat/>
    <w:rsid w:val="00E842C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842CE"/>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06A25"/>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AF"/>
    <w:rPr>
      <w:rFonts w:ascii="Segoe UI" w:hAnsi="Segoe UI" w:cs="Segoe UI"/>
      <w:sz w:val="18"/>
      <w:szCs w:val="18"/>
      <w:lang w:val="en-GB" w:eastAsia="en-GB"/>
    </w:rPr>
  </w:style>
  <w:style w:type="paragraph" w:styleId="Header">
    <w:name w:val="header"/>
    <w:basedOn w:val="Normal"/>
    <w:link w:val="HeaderChar"/>
    <w:uiPriority w:val="99"/>
    <w:semiHidden/>
    <w:unhideWhenUsed/>
    <w:rsid w:val="00B24A8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B24A89"/>
    <w:rPr>
      <w:sz w:val="22"/>
      <w:szCs w:val="22"/>
      <w:lang w:val="en-GB" w:eastAsia="en-GB"/>
    </w:rPr>
  </w:style>
  <w:style w:type="paragraph" w:styleId="Footer">
    <w:name w:val="footer"/>
    <w:basedOn w:val="Normal"/>
    <w:link w:val="FooterChar"/>
    <w:uiPriority w:val="99"/>
    <w:unhideWhenUsed/>
    <w:rsid w:val="00B24A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B24A89"/>
    <w:rPr>
      <w:sz w:val="22"/>
      <w:szCs w:val="22"/>
      <w:lang w:val="en-GB" w:eastAsia="en-GB"/>
    </w:rPr>
  </w:style>
  <w:style w:type="paragraph" w:styleId="FootnoteText">
    <w:name w:val="footnote text"/>
    <w:basedOn w:val="Normal"/>
    <w:link w:val="FootnoteTextChar"/>
    <w:uiPriority w:val="99"/>
    <w:semiHidden/>
    <w:unhideWhenUsed/>
    <w:rsid w:val="008415D4"/>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8415D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41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40BE3-D769-4699-A01B-85E14D94289F}">
  <ds:schemaRefs>
    <ds:schemaRef ds:uri="http://schemas.openxmlformats.org/officeDocument/2006/bibliography"/>
  </ds:schemaRefs>
</ds:datastoreItem>
</file>

<file path=customXml/itemProps2.xml><?xml version="1.0" encoding="utf-8"?>
<ds:datastoreItem xmlns:ds="http://schemas.openxmlformats.org/officeDocument/2006/customXml" ds:itemID="{BB8F14FB-065D-41F7-BF7A-1EB67516026C}"/>
</file>

<file path=customXml/itemProps3.xml><?xml version="1.0" encoding="utf-8"?>
<ds:datastoreItem xmlns:ds="http://schemas.openxmlformats.org/officeDocument/2006/customXml" ds:itemID="{B8685AAA-8D15-4F22-9161-C309EC0D7AC9}"/>
</file>

<file path=customXml/itemProps4.xml><?xml version="1.0" encoding="utf-8"?>
<ds:datastoreItem xmlns:ds="http://schemas.openxmlformats.org/officeDocument/2006/customXml" ds:itemID="{F6D5813E-62DA-48EA-AF8B-034F90C4AD63}"/>
</file>

<file path=docProps/app.xml><?xml version="1.0" encoding="utf-8"?>
<Properties xmlns="http://schemas.openxmlformats.org/officeDocument/2006/extended-properties" xmlns:vt="http://schemas.openxmlformats.org/officeDocument/2006/docPropsVTypes">
  <Template>Normal</Template>
  <TotalTime>9</TotalTime>
  <Pages>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tehmine mkrtchyan</dc:creator>
  <cp:keywords>https://mul2-mfa.gov.am/tasks/387054/oneclick/The right to adequate housing of older persons.docx?token=375a6618ab5f1197b2a35dea3593d278</cp:keywords>
  <cp:lastModifiedBy>Armine Petrosyan</cp:lastModifiedBy>
  <cp:revision>6</cp:revision>
  <cp:lastPrinted>2022-03-31T07:06:00Z</cp:lastPrinted>
  <dcterms:created xsi:type="dcterms:W3CDTF">2022-04-01T13:34:00Z</dcterms:created>
  <dcterms:modified xsi:type="dcterms:W3CDTF">2022-04-04T14:05:00Z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