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6139" w14:textId="743EA9B6" w:rsidR="00905248" w:rsidRPr="00A93F26" w:rsidRDefault="00956C2E" w:rsidP="009D4182">
      <w:pPr>
        <w:pBdr>
          <w:top w:val="single" w:sz="4" w:space="1" w:color="auto"/>
          <w:bottom w:val="single" w:sz="4" w:space="1" w:color="auto"/>
        </w:pBdr>
        <w:spacing w:after="0" w:line="276" w:lineRule="auto"/>
        <w:jc w:val="both"/>
        <w:rPr>
          <w:rFonts w:asciiTheme="majorHAnsi" w:hAnsiTheme="majorHAnsi" w:cstheme="majorHAnsi"/>
          <w:b/>
        </w:rPr>
      </w:pPr>
      <w:r w:rsidRPr="00A93F26">
        <w:rPr>
          <w:rFonts w:asciiTheme="majorHAnsi" w:hAnsiTheme="majorHAnsi" w:cstheme="majorHAnsi"/>
          <w:b/>
        </w:rPr>
        <w:softHyphen/>
      </w:r>
      <w:r w:rsidRPr="00A93F26">
        <w:rPr>
          <w:rFonts w:asciiTheme="majorHAnsi" w:hAnsiTheme="majorHAnsi" w:cstheme="majorHAnsi"/>
          <w:b/>
        </w:rPr>
        <w:softHyphen/>
      </w:r>
    </w:p>
    <w:p w14:paraId="31E4B8ED" w14:textId="446436B3" w:rsidR="0068560A" w:rsidRPr="00A93F26" w:rsidRDefault="00C10FD2" w:rsidP="009D4182">
      <w:pPr>
        <w:pBdr>
          <w:top w:val="single" w:sz="4" w:space="1" w:color="auto"/>
          <w:bottom w:val="single" w:sz="4" w:space="1" w:color="auto"/>
        </w:pBdr>
        <w:spacing w:after="0" w:line="276" w:lineRule="auto"/>
        <w:jc w:val="center"/>
        <w:rPr>
          <w:rFonts w:asciiTheme="majorHAnsi" w:hAnsiTheme="majorHAnsi" w:cstheme="majorHAnsi"/>
          <w:b/>
        </w:rPr>
      </w:pPr>
      <w:r w:rsidRPr="00A93F26">
        <w:rPr>
          <w:rFonts w:asciiTheme="majorHAnsi" w:hAnsiTheme="majorHAnsi" w:cstheme="majorHAnsi"/>
          <w:b/>
        </w:rPr>
        <w:t xml:space="preserve">INPUTS OF THE COMMISSION ON </w:t>
      </w:r>
      <w:r w:rsidR="00213EA6" w:rsidRPr="00A93F26">
        <w:rPr>
          <w:rFonts w:asciiTheme="majorHAnsi" w:hAnsiTheme="majorHAnsi" w:cstheme="majorHAnsi"/>
          <w:b/>
        </w:rPr>
        <w:t xml:space="preserve">HUMAN RIGHTS OF THE PHILIPPINES </w:t>
      </w:r>
      <w:r w:rsidRPr="00A93F26">
        <w:rPr>
          <w:rFonts w:asciiTheme="majorHAnsi" w:hAnsiTheme="majorHAnsi" w:cstheme="majorHAnsi"/>
          <w:b/>
        </w:rPr>
        <w:t xml:space="preserve">TO THE </w:t>
      </w:r>
      <w:r w:rsidR="00DE6D24" w:rsidRPr="00A93F26">
        <w:rPr>
          <w:rFonts w:asciiTheme="majorHAnsi" w:hAnsiTheme="majorHAnsi" w:cstheme="majorHAnsi"/>
          <w:b/>
        </w:rPr>
        <w:t xml:space="preserve">INDEPENDENT EXPERT ON THE ENJOYMENT OF ALL HUMAN RIGHTS OF OLDER PERSONS </w:t>
      </w:r>
      <w:r w:rsidR="00B62EE5" w:rsidRPr="00A93F26">
        <w:rPr>
          <w:rFonts w:asciiTheme="majorHAnsi" w:hAnsiTheme="majorHAnsi" w:cstheme="majorHAnsi"/>
          <w:b/>
        </w:rPr>
        <w:t xml:space="preserve">THEMATIC REPORT ON </w:t>
      </w:r>
      <w:r w:rsidR="007E6D58" w:rsidRPr="00A93F26">
        <w:rPr>
          <w:rFonts w:asciiTheme="majorHAnsi" w:hAnsiTheme="majorHAnsi" w:cstheme="majorHAnsi"/>
          <w:b/>
        </w:rPr>
        <w:t xml:space="preserve">THE RIGHT TO ADEQUATE HOUSING OF OLDER PERSONS </w:t>
      </w:r>
      <w:r w:rsidR="00701B3D" w:rsidRPr="00A93F26">
        <w:rPr>
          <w:rFonts w:asciiTheme="majorHAnsi" w:hAnsiTheme="majorHAnsi" w:cstheme="majorHAnsi"/>
          <w:b/>
        </w:rPr>
        <w:t xml:space="preserve">FOR </w:t>
      </w:r>
      <w:r w:rsidR="00DE6D24" w:rsidRPr="00A93F26">
        <w:rPr>
          <w:rFonts w:asciiTheme="majorHAnsi" w:hAnsiTheme="majorHAnsi" w:cstheme="majorHAnsi"/>
          <w:b/>
        </w:rPr>
        <w:t>THE UNITED NATIONS GENERAL ASSEMBLY</w:t>
      </w:r>
    </w:p>
    <w:p w14:paraId="2E97212F" w14:textId="77777777" w:rsidR="007216C6" w:rsidRPr="00A93F26" w:rsidRDefault="007216C6" w:rsidP="005329E0">
      <w:pPr>
        <w:pBdr>
          <w:top w:val="single" w:sz="4" w:space="1" w:color="auto"/>
          <w:bottom w:val="single" w:sz="4" w:space="1" w:color="auto"/>
        </w:pBdr>
        <w:spacing w:after="0" w:line="276" w:lineRule="auto"/>
        <w:jc w:val="center"/>
        <w:rPr>
          <w:rFonts w:asciiTheme="majorHAnsi" w:hAnsiTheme="majorHAnsi" w:cstheme="majorHAnsi"/>
          <w:b/>
        </w:rPr>
      </w:pPr>
    </w:p>
    <w:p w14:paraId="76E0CDAE" w14:textId="322FF0CE" w:rsidR="007216C6" w:rsidRPr="00A93F26" w:rsidRDefault="00AB7CE9" w:rsidP="005329E0">
      <w:pPr>
        <w:pBdr>
          <w:top w:val="single" w:sz="4" w:space="1" w:color="auto"/>
          <w:bottom w:val="single" w:sz="4" w:space="1" w:color="auto"/>
        </w:pBdr>
        <w:spacing w:after="0" w:line="276" w:lineRule="auto"/>
        <w:jc w:val="center"/>
        <w:rPr>
          <w:rFonts w:asciiTheme="majorHAnsi" w:hAnsiTheme="majorHAnsi" w:cstheme="majorHAnsi"/>
          <w:b/>
        </w:rPr>
      </w:pPr>
      <w:r>
        <w:rPr>
          <w:rFonts w:asciiTheme="majorHAnsi" w:hAnsiTheme="majorHAnsi" w:cstheme="majorHAnsi"/>
          <w:b/>
        </w:rPr>
        <w:t>03 MAY</w:t>
      </w:r>
      <w:bookmarkStart w:id="0" w:name="_GoBack"/>
      <w:bookmarkEnd w:id="0"/>
      <w:r w:rsidR="007216C6" w:rsidRPr="00A93F26">
        <w:rPr>
          <w:rFonts w:asciiTheme="majorHAnsi" w:hAnsiTheme="majorHAnsi" w:cstheme="majorHAnsi"/>
          <w:b/>
        </w:rPr>
        <w:t xml:space="preserve"> 20</w:t>
      </w:r>
      <w:r w:rsidR="00710103" w:rsidRPr="00A93F26">
        <w:rPr>
          <w:rFonts w:asciiTheme="majorHAnsi" w:hAnsiTheme="majorHAnsi" w:cstheme="majorHAnsi"/>
          <w:b/>
        </w:rPr>
        <w:t>22</w:t>
      </w:r>
    </w:p>
    <w:p w14:paraId="293F8299" w14:textId="77777777" w:rsidR="008741CC" w:rsidRPr="00A93F26" w:rsidRDefault="008741CC" w:rsidP="005329E0">
      <w:pPr>
        <w:pBdr>
          <w:top w:val="single" w:sz="4" w:space="1" w:color="auto"/>
          <w:bottom w:val="single" w:sz="4" w:space="1" w:color="auto"/>
        </w:pBdr>
        <w:spacing w:after="0" w:line="276" w:lineRule="auto"/>
        <w:jc w:val="both"/>
        <w:rPr>
          <w:rFonts w:asciiTheme="majorHAnsi" w:hAnsiTheme="majorHAnsi" w:cstheme="majorHAnsi"/>
          <w:b/>
        </w:rPr>
      </w:pPr>
    </w:p>
    <w:p w14:paraId="04820120" w14:textId="77777777" w:rsidR="00C10FD2" w:rsidRPr="00A93F26" w:rsidRDefault="00C10FD2" w:rsidP="00D441CA">
      <w:pPr>
        <w:spacing w:after="0" w:line="276" w:lineRule="auto"/>
        <w:jc w:val="both"/>
        <w:rPr>
          <w:rFonts w:asciiTheme="majorHAnsi" w:hAnsiTheme="majorHAnsi" w:cstheme="majorHAnsi"/>
          <w:b/>
        </w:rPr>
      </w:pPr>
    </w:p>
    <w:p w14:paraId="0A71DE6D" w14:textId="77777777" w:rsidR="00213EA6" w:rsidRPr="00A93F26" w:rsidRDefault="00213EA6" w:rsidP="00D441CA">
      <w:pPr>
        <w:spacing w:after="0" w:line="276" w:lineRule="auto"/>
        <w:jc w:val="both"/>
        <w:rPr>
          <w:rFonts w:asciiTheme="majorHAnsi" w:hAnsiTheme="majorHAnsi" w:cstheme="majorHAnsi"/>
          <w:b/>
        </w:rPr>
      </w:pPr>
    </w:p>
    <w:p w14:paraId="4D6EBF1C" w14:textId="77777777" w:rsidR="00C10FD2" w:rsidRPr="00A93F26" w:rsidRDefault="00213EA6" w:rsidP="0012001E">
      <w:pPr>
        <w:spacing w:after="0" w:line="276" w:lineRule="auto"/>
        <w:jc w:val="center"/>
        <w:rPr>
          <w:rFonts w:asciiTheme="majorHAnsi" w:hAnsiTheme="majorHAnsi" w:cstheme="majorHAnsi"/>
          <w:b/>
        </w:rPr>
      </w:pPr>
      <w:r w:rsidRPr="00A93F26">
        <w:rPr>
          <w:rFonts w:asciiTheme="majorHAnsi" w:hAnsiTheme="majorHAnsi" w:cstheme="majorHAnsi"/>
          <w:b/>
        </w:rPr>
        <w:t>INTRODUCTION</w:t>
      </w:r>
    </w:p>
    <w:p w14:paraId="2CA661E6" w14:textId="77777777" w:rsidR="00213EA6" w:rsidRPr="00A93F26" w:rsidRDefault="00213EA6" w:rsidP="0012001E">
      <w:pPr>
        <w:spacing w:after="0" w:line="276" w:lineRule="auto"/>
        <w:jc w:val="both"/>
        <w:rPr>
          <w:rFonts w:asciiTheme="majorHAnsi" w:hAnsiTheme="majorHAnsi" w:cstheme="majorHAnsi"/>
        </w:rPr>
      </w:pPr>
    </w:p>
    <w:p w14:paraId="65E7248C" w14:textId="5A09AC57" w:rsidR="00DE6D24" w:rsidRPr="00A93F26" w:rsidRDefault="00B80153" w:rsidP="0039185B">
      <w:pPr>
        <w:spacing w:after="0" w:line="276" w:lineRule="auto"/>
        <w:jc w:val="both"/>
        <w:rPr>
          <w:rFonts w:asciiTheme="majorHAnsi" w:hAnsiTheme="majorHAnsi" w:cstheme="majorHAnsi"/>
          <w:bCs/>
        </w:rPr>
      </w:pPr>
      <w:r w:rsidRPr="00A93F26">
        <w:rPr>
          <w:rFonts w:asciiTheme="majorHAnsi" w:hAnsiTheme="majorHAnsi" w:cstheme="majorHAnsi"/>
        </w:rPr>
        <w:t>The Commission on Human Rights of the Philippines</w:t>
      </w:r>
      <w:r w:rsidR="002B6120" w:rsidRPr="00A93F26">
        <w:rPr>
          <w:rFonts w:asciiTheme="majorHAnsi" w:hAnsiTheme="majorHAnsi" w:cstheme="majorHAnsi"/>
        </w:rPr>
        <w:t xml:space="preserve"> (CHRP)</w:t>
      </w:r>
      <w:r w:rsidR="007216C6" w:rsidRPr="00A93F26">
        <w:rPr>
          <w:rStyle w:val="FootnoteReference"/>
          <w:rFonts w:asciiTheme="majorHAnsi" w:hAnsiTheme="majorHAnsi" w:cstheme="majorHAnsi"/>
        </w:rPr>
        <w:footnoteReference w:id="1"/>
      </w:r>
      <w:r w:rsidRPr="00A93F26">
        <w:rPr>
          <w:rFonts w:asciiTheme="majorHAnsi" w:hAnsiTheme="majorHAnsi" w:cstheme="majorHAnsi"/>
        </w:rPr>
        <w:t xml:space="preserve">, as the country’s national human rights institution, submits </w:t>
      </w:r>
      <w:r w:rsidR="00DE6D24" w:rsidRPr="00A93F26">
        <w:rPr>
          <w:rFonts w:asciiTheme="majorHAnsi" w:hAnsiTheme="majorHAnsi" w:cstheme="majorHAnsi"/>
        </w:rPr>
        <w:t>this written input</w:t>
      </w:r>
      <w:r w:rsidRPr="00A93F26">
        <w:rPr>
          <w:rFonts w:asciiTheme="majorHAnsi" w:hAnsiTheme="majorHAnsi" w:cstheme="majorHAnsi"/>
        </w:rPr>
        <w:t xml:space="preserve"> to the </w:t>
      </w:r>
      <w:r w:rsidR="00DE6D24" w:rsidRPr="00A93F26">
        <w:rPr>
          <w:rFonts w:asciiTheme="majorHAnsi" w:hAnsiTheme="majorHAnsi" w:cstheme="majorHAnsi"/>
        </w:rPr>
        <w:t>Independent Expert on the Enjoyment of all Human Rights of Older Persons relative to the</w:t>
      </w:r>
      <w:r w:rsidR="00DE6D24" w:rsidRPr="00A93F26">
        <w:rPr>
          <w:rFonts w:asciiTheme="majorHAnsi" w:hAnsiTheme="majorHAnsi" w:cstheme="majorHAnsi"/>
          <w:color w:val="222222"/>
          <w:shd w:val="clear" w:color="auto" w:fill="FFFFFF"/>
        </w:rPr>
        <w:t xml:space="preserve"> </w:t>
      </w:r>
      <w:r w:rsidR="00701B3D" w:rsidRPr="00A93F26">
        <w:rPr>
          <w:rFonts w:asciiTheme="majorHAnsi" w:hAnsiTheme="majorHAnsi" w:cstheme="majorHAnsi"/>
          <w:color w:val="222222"/>
          <w:shd w:val="clear" w:color="auto" w:fill="FFFFFF"/>
        </w:rPr>
        <w:t xml:space="preserve">forthcoming </w:t>
      </w:r>
      <w:r w:rsidR="00DE6D24" w:rsidRPr="00A93F26">
        <w:rPr>
          <w:rFonts w:asciiTheme="majorHAnsi" w:hAnsiTheme="majorHAnsi" w:cstheme="majorHAnsi"/>
          <w:color w:val="222222"/>
          <w:shd w:val="clear" w:color="auto" w:fill="FFFFFF"/>
        </w:rPr>
        <w:t xml:space="preserve">thematic report on the </w:t>
      </w:r>
      <w:r w:rsidR="00701B3D" w:rsidRPr="00A93F26">
        <w:rPr>
          <w:rFonts w:asciiTheme="majorHAnsi" w:hAnsiTheme="majorHAnsi" w:cstheme="majorHAnsi"/>
          <w:color w:val="222222"/>
          <w:shd w:val="clear" w:color="auto" w:fill="FFFFFF"/>
        </w:rPr>
        <w:t>r</w:t>
      </w:r>
      <w:r w:rsidR="00DE6D24" w:rsidRPr="00A93F26">
        <w:rPr>
          <w:rFonts w:asciiTheme="majorHAnsi" w:hAnsiTheme="majorHAnsi" w:cstheme="majorHAnsi"/>
          <w:color w:val="222222"/>
          <w:shd w:val="clear" w:color="auto" w:fill="FFFFFF"/>
        </w:rPr>
        <w:t xml:space="preserve">ight to </w:t>
      </w:r>
      <w:r w:rsidR="00701B3D" w:rsidRPr="00A93F26">
        <w:rPr>
          <w:rFonts w:asciiTheme="majorHAnsi" w:hAnsiTheme="majorHAnsi" w:cstheme="majorHAnsi"/>
          <w:color w:val="222222"/>
          <w:shd w:val="clear" w:color="auto" w:fill="FFFFFF"/>
        </w:rPr>
        <w:t>a</w:t>
      </w:r>
      <w:r w:rsidR="00DE6D24" w:rsidRPr="00A93F26">
        <w:rPr>
          <w:rFonts w:asciiTheme="majorHAnsi" w:hAnsiTheme="majorHAnsi" w:cstheme="majorHAnsi"/>
          <w:color w:val="222222"/>
          <w:shd w:val="clear" w:color="auto" w:fill="FFFFFF"/>
        </w:rPr>
        <w:t xml:space="preserve">dequate </w:t>
      </w:r>
      <w:r w:rsidR="00701B3D" w:rsidRPr="00A93F26">
        <w:rPr>
          <w:rFonts w:asciiTheme="majorHAnsi" w:hAnsiTheme="majorHAnsi" w:cstheme="majorHAnsi"/>
          <w:color w:val="222222"/>
          <w:shd w:val="clear" w:color="auto" w:fill="FFFFFF"/>
        </w:rPr>
        <w:t>h</w:t>
      </w:r>
      <w:r w:rsidR="00DE6D24" w:rsidRPr="00A93F26">
        <w:rPr>
          <w:rFonts w:asciiTheme="majorHAnsi" w:hAnsiTheme="majorHAnsi" w:cstheme="majorHAnsi"/>
          <w:color w:val="222222"/>
          <w:shd w:val="clear" w:color="auto" w:fill="FFFFFF"/>
        </w:rPr>
        <w:t xml:space="preserve">ousing of older persons </w:t>
      </w:r>
      <w:r w:rsidR="00701B3D" w:rsidRPr="00A93F26">
        <w:rPr>
          <w:rFonts w:asciiTheme="majorHAnsi" w:hAnsiTheme="majorHAnsi" w:cstheme="majorHAnsi"/>
          <w:color w:val="222222"/>
          <w:shd w:val="clear" w:color="auto" w:fill="FFFFFF"/>
        </w:rPr>
        <w:t xml:space="preserve">for </w:t>
      </w:r>
      <w:r w:rsidR="00DE6D24" w:rsidRPr="00A93F26">
        <w:rPr>
          <w:rFonts w:asciiTheme="majorHAnsi" w:hAnsiTheme="majorHAnsi" w:cstheme="majorHAnsi"/>
          <w:color w:val="222222"/>
          <w:shd w:val="clear" w:color="auto" w:fill="FFFFFF"/>
        </w:rPr>
        <w:t xml:space="preserve">the </w:t>
      </w:r>
      <w:r w:rsidR="00DE6D24" w:rsidRPr="00A93F26">
        <w:rPr>
          <w:rFonts w:asciiTheme="majorHAnsi" w:hAnsiTheme="majorHAnsi" w:cstheme="majorHAnsi"/>
          <w:bCs/>
        </w:rPr>
        <w:t>United Nations General Assembly (UNGA).</w:t>
      </w:r>
    </w:p>
    <w:p w14:paraId="3D7B88C4" w14:textId="77777777" w:rsidR="00C728AB" w:rsidRPr="00A93F26" w:rsidRDefault="00C728AB" w:rsidP="0039185B">
      <w:pPr>
        <w:spacing w:after="0" w:line="276" w:lineRule="auto"/>
        <w:jc w:val="both"/>
        <w:rPr>
          <w:rFonts w:asciiTheme="majorHAnsi" w:hAnsiTheme="majorHAnsi" w:cstheme="majorHAnsi"/>
        </w:rPr>
      </w:pPr>
    </w:p>
    <w:p w14:paraId="08B35F10" w14:textId="758361CE" w:rsidR="00F308E4" w:rsidRPr="00A93F26" w:rsidRDefault="00140E96" w:rsidP="00DE2734">
      <w:pPr>
        <w:spacing w:after="0" w:line="276" w:lineRule="auto"/>
        <w:jc w:val="both"/>
        <w:rPr>
          <w:rFonts w:asciiTheme="majorHAnsi" w:hAnsiTheme="majorHAnsi" w:cstheme="majorHAnsi"/>
        </w:rPr>
      </w:pPr>
      <w:r w:rsidRPr="00A93F26">
        <w:rPr>
          <w:rFonts w:asciiTheme="majorHAnsi" w:hAnsiTheme="majorHAnsi" w:cstheme="majorHAnsi"/>
        </w:rPr>
        <w:t xml:space="preserve">In this submission, the </w:t>
      </w:r>
      <w:r w:rsidR="009D4182" w:rsidRPr="00A93F26">
        <w:rPr>
          <w:rFonts w:asciiTheme="majorHAnsi" w:hAnsiTheme="majorHAnsi" w:cstheme="majorHAnsi"/>
        </w:rPr>
        <w:t xml:space="preserve">CHRP </w:t>
      </w:r>
      <w:r w:rsidR="00222A07" w:rsidRPr="00A93F26">
        <w:rPr>
          <w:rFonts w:asciiTheme="majorHAnsi" w:hAnsiTheme="majorHAnsi" w:cstheme="majorHAnsi"/>
        </w:rPr>
        <w:t xml:space="preserve">utilizes </w:t>
      </w:r>
      <w:r w:rsidR="00D475D7" w:rsidRPr="00A93F26">
        <w:rPr>
          <w:rFonts w:asciiTheme="majorHAnsi" w:hAnsiTheme="majorHAnsi" w:cstheme="majorHAnsi"/>
        </w:rPr>
        <w:t>its</w:t>
      </w:r>
      <w:r w:rsidR="00222A07" w:rsidRPr="00A93F26">
        <w:rPr>
          <w:rFonts w:asciiTheme="majorHAnsi" w:hAnsiTheme="majorHAnsi" w:cstheme="majorHAnsi"/>
        </w:rPr>
        <w:t xml:space="preserve"> </w:t>
      </w:r>
      <w:r w:rsidR="00F308E4" w:rsidRPr="00A93F26">
        <w:rPr>
          <w:rFonts w:asciiTheme="majorHAnsi" w:hAnsiTheme="majorHAnsi" w:cstheme="majorHAnsi"/>
        </w:rPr>
        <w:t xml:space="preserve">own documentation of independent monitoring activities which have undergone internal deliberations of the </w:t>
      </w:r>
      <w:r w:rsidR="009D4182" w:rsidRPr="00A93F26">
        <w:rPr>
          <w:rFonts w:asciiTheme="majorHAnsi" w:hAnsiTheme="majorHAnsi" w:cstheme="majorHAnsi"/>
        </w:rPr>
        <w:t xml:space="preserve">CHRP </w:t>
      </w:r>
      <w:r w:rsidR="00F308E4" w:rsidRPr="00A93F26">
        <w:rPr>
          <w:rFonts w:asciiTheme="majorHAnsi" w:hAnsiTheme="majorHAnsi" w:cstheme="majorHAnsi"/>
        </w:rPr>
        <w:t xml:space="preserve">Commission </w:t>
      </w:r>
      <w:proofErr w:type="spellStart"/>
      <w:r w:rsidR="00F308E4" w:rsidRPr="00A93F26">
        <w:rPr>
          <w:rFonts w:asciiTheme="majorHAnsi" w:hAnsiTheme="majorHAnsi" w:cstheme="majorHAnsi"/>
        </w:rPr>
        <w:t>en</w:t>
      </w:r>
      <w:proofErr w:type="spellEnd"/>
      <w:r w:rsidR="00F308E4" w:rsidRPr="00A93F26">
        <w:rPr>
          <w:rFonts w:asciiTheme="majorHAnsi" w:hAnsiTheme="majorHAnsi" w:cstheme="majorHAnsi"/>
        </w:rPr>
        <w:t xml:space="preserve"> Banc (</w:t>
      </w:r>
      <w:proofErr w:type="spellStart"/>
      <w:r w:rsidR="00F308E4" w:rsidRPr="00A93F26">
        <w:rPr>
          <w:rFonts w:asciiTheme="majorHAnsi" w:hAnsiTheme="majorHAnsi" w:cstheme="majorHAnsi"/>
        </w:rPr>
        <w:t>CeB</w:t>
      </w:r>
      <w:proofErr w:type="spellEnd"/>
      <w:r w:rsidR="00F308E4" w:rsidRPr="00A93F26">
        <w:rPr>
          <w:rFonts w:asciiTheme="majorHAnsi" w:hAnsiTheme="majorHAnsi" w:cstheme="majorHAnsi"/>
        </w:rPr>
        <w:t>)</w:t>
      </w:r>
      <w:r w:rsidR="00DE6D24" w:rsidRPr="00A93F26">
        <w:rPr>
          <w:rFonts w:asciiTheme="majorHAnsi" w:hAnsiTheme="majorHAnsi" w:cstheme="majorHAnsi"/>
        </w:rPr>
        <w:t>.</w:t>
      </w:r>
      <w:r w:rsidR="00F308E4" w:rsidRPr="00A93F26">
        <w:rPr>
          <w:rFonts w:asciiTheme="majorHAnsi" w:hAnsiTheme="majorHAnsi" w:cstheme="majorHAnsi"/>
        </w:rPr>
        <w:t xml:space="preserve"> In addition, it </w:t>
      </w:r>
      <w:r w:rsidRPr="00A93F26">
        <w:rPr>
          <w:rFonts w:asciiTheme="majorHAnsi" w:hAnsiTheme="majorHAnsi" w:cstheme="majorHAnsi"/>
        </w:rPr>
        <w:t xml:space="preserve">draws from </w:t>
      </w:r>
      <w:r w:rsidR="000716DD" w:rsidRPr="00A93F26">
        <w:rPr>
          <w:rFonts w:asciiTheme="majorHAnsi" w:hAnsiTheme="majorHAnsi" w:cstheme="majorHAnsi"/>
        </w:rPr>
        <w:t>national laws and policies, data</w:t>
      </w:r>
      <w:r w:rsidR="007A7F3D" w:rsidRPr="00A93F26">
        <w:rPr>
          <w:rFonts w:asciiTheme="majorHAnsi" w:hAnsiTheme="majorHAnsi" w:cstheme="majorHAnsi"/>
        </w:rPr>
        <w:t xml:space="preserve"> and </w:t>
      </w:r>
      <w:r w:rsidR="00DE6D24" w:rsidRPr="00A93F26">
        <w:rPr>
          <w:rFonts w:asciiTheme="majorHAnsi" w:hAnsiTheme="majorHAnsi" w:cstheme="majorHAnsi"/>
        </w:rPr>
        <w:t>inputs</w:t>
      </w:r>
      <w:r w:rsidR="000716DD" w:rsidRPr="00A93F26">
        <w:rPr>
          <w:rFonts w:asciiTheme="majorHAnsi" w:hAnsiTheme="majorHAnsi" w:cstheme="majorHAnsi"/>
        </w:rPr>
        <w:t xml:space="preserve"> from national government agencies</w:t>
      </w:r>
      <w:r w:rsidR="00E17B08" w:rsidRPr="00A93F26">
        <w:rPr>
          <w:rFonts w:asciiTheme="majorHAnsi" w:hAnsiTheme="majorHAnsi" w:cstheme="majorHAnsi"/>
        </w:rPr>
        <w:t xml:space="preserve"> with particular mandate on housing, related</w:t>
      </w:r>
      <w:r w:rsidR="000716DD" w:rsidRPr="00A93F26">
        <w:rPr>
          <w:rFonts w:asciiTheme="majorHAnsi" w:hAnsiTheme="majorHAnsi" w:cstheme="majorHAnsi"/>
        </w:rPr>
        <w:t xml:space="preserve"> </w:t>
      </w:r>
      <w:r w:rsidR="009C6576" w:rsidRPr="00A93F26">
        <w:rPr>
          <w:rFonts w:asciiTheme="majorHAnsi" w:hAnsiTheme="majorHAnsi" w:cstheme="majorHAnsi"/>
        </w:rPr>
        <w:t>researches and studies from non-government organizations</w:t>
      </w:r>
      <w:r w:rsidR="00E11C76" w:rsidRPr="00A93F26">
        <w:rPr>
          <w:rFonts w:asciiTheme="majorHAnsi" w:hAnsiTheme="majorHAnsi" w:cstheme="majorHAnsi"/>
        </w:rPr>
        <w:t>, media,</w:t>
      </w:r>
      <w:r w:rsidR="009D4182" w:rsidRPr="00A93F26">
        <w:rPr>
          <w:rFonts w:asciiTheme="majorHAnsi" w:hAnsiTheme="majorHAnsi" w:cstheme="majorHAnsi"/>
        </w:rPr>
        <w:t xml:space="preserve"> and</w:t>
      </w:r>
      <w:r w:rsidR="00E11C76" w:rsidRPr="00A93F26">
        <w:rPr>
          <w:rFonts w:asciiTheme="majorHAnsi" w:hAnsiTheme="majorHAnsi" w:cstheme="majorHAnsi"/>
        </w:rPr>
        <w:t xml:space="preserve"> </w:t>
      </w:r>
      <w:r w:rsidR="009C6576" w:rsidRPr="00A93F26">
        <w:rPr>
          <w:rFonts w:asciiTheme="majorHAnsi" w:hAnsiTheme="majorHAnsi" w:cstheme="majorHAnsi"/>
        </w:rPr>
        <w:t>educational institutions.</w:t>
      </w:r>
      <w:r w:rsidR="00F308E4" w:rsidRPr="00A93F26">
        <w:rPr>
          <w:rFonts w:asciiTheme="majorHAnsi" w:hAnsiTheme="majorHAnsi" w:cstheme="majorHAnsi"/>
        </w:rPr>
        <w:t xml:space="preserve"> </w:t>
      </w:r>
    </w:p>
    <w:p w14:paraId="205EF90C" w14:textId="77777777" w:rsidR="00DE6D24" w:rsidRPr="00A93F26" w:rsidRDefault="00DE6D24" w:rsidP="004D0C4C">
      <w:pPr>
        <w:spacing w:after="0" w:line="276" w:lineRule="auto"/>
        <w:jc w:val="both"/>
        <w:rPr>
          <w:rFonts w:asciiTheme="majorHAnsi" w:hAnsiTheme="majorHAnsi" w:cstheme="majorHAnsi"/>
        </w:rPr>
      </w:pPr>
    </w:p>
    <w:p w14:paraId="2D86A574" w14:textId="4C4C2062" w:rsidR="00B62EE5" w:rsidRPr="00A93F26" w:rsidRDefault="00B62EE5" w:rsidP="0039185B">
      <w:pPr>
        <w:pStyle w:val="ListParagraph"/>
        <w:numPr>
          <w:ilvl w:val="0"/>
          <w:numId w:val="25"/>
        </w:numPr>
        <w:spacing w:after="0" w:line="276" w:lineRule="auto"/>
        <w:ind w:left="360"/>
        <w:jc w:val="both"/>
        <w:rPr>
          <w:rFonts w:asciiTheme="majorHAnsi" w:hAnsiTheme="majorHAnsi" w:cstheme="majorHAnsi"/>
          <w:lang w:val="en-GB"/>
        </w:rPr>
      </w:pPr>
      <w:r w:rsidRPr="00A93F26">
        <w:rPr>
          <w:rFonts w:asciiTheme="majorHAnsi" w:hAnsiTheme="majorHAnsi" w:cstheme="majorHAnsi"/>
          <w:b/>
          <w:lang w:val="en-GB"/>
        </w:rPr>
        <w:t xml:space="preserve">What are the </w:t>
      </w:r>
      <w:r w:rsidRPr="00A93F26">
        <w:rPr>
          <w:rFonts w:asciiTheme="majorHAnsi" w:hAnsiTheme="majorHAnsi" w:cstheme="majorHAnsi"/>
          <w:b/>
          <w:bCs/>
          <w:lang w:val="en-GB"/>
        </w:rPr>
        <w:t>local and national legal, policy and institutional frameworks</w:t>
      </w:r>
      <w:r w:rsidRPr="00A93F26">
        <w:rPr>
          <w:rFonts w:asciiTheme="majorHAnsi" w:hAnsiTheme="majorHAnsi" w:cstheme="majorHAnsi"/>
          <w:b/>
          <w:lang w:val="en-GB"/>
        </w:rPr>
        <w:t xml:space="preserve"> protecting and promoting the right to adequate housing of older persons</w:t>
      </w:r>
      <w:r w:rsidR="00CB1330" w:rsidRPr="00A93F26">
        <w:rPr>
          <w:rStyle w:val="FootnoteReference"/>
          <w:rFonts w:asciiTheme="majorHAnsi" w:hAnsiTheme="majorHAnsi" w:cstheme="majorHAnsi"/>
          <w:b/>
          <w:lang w:val="en-GB"/>
        </w:rPr>
        <w:footnoteReference w:id="2"/>
      </w:r>
      <w:r w:rsidRPr="00A93F26">
        <w:rPr>
          <w:rFonts w:asciiTheme="majorHAnsi" w:hAnsiTheme="majorHAnsi" w:cstheme="majorHAnsi"/>
          <w:b/>
          <w:lang w:val="en-GB"/>
        </w:rPr>
        <w:t xml:space="preserve">? </w:t>
      </w:r>
      <w:r w:rsidRPr="00A93F26">
        <w:rPr>
          <w:rFonts w:asciiTheme="majorHAnsi" w:hAnsiTheme="majorHAnsi" w:cstheme="majorHAnsi"/>
          <w:b/>
          <w:bCs/>
          <w:lang w:val="en-GB"/>
        </w:rPr>
        <w:t>Please identify both existing or planned legal frameworks such as constitutional provisions, laws, regulations, or decrees.</w:t>
      </w:r>
      <w:r w:rsidRPr="00A93F26">
        <w:rPr>
          <w:rFonts w:asciiTheme="majorHAnsi" w:hAnsiTheme="majorHAnsi" w:cstheme="majorHAnsi"/>
          <w:lang w:val="en-GB"/>
        </w:rPr>
        <w:t xml:space="preserve"> </w:t>
      </w:r>
    </w:p>
    <w:p w14:paraId="0AECC8E3" w14:textId="77777777" w:rsidR="00974513" w:rsidRPr="00A93F26" w:rsidRDefault="00974513" w:rsidP="0039185B">
      <w:pPr>
        <w:spacing w:after="0" w:line="276" w:lineRule="auto"/>
        <w:jc w:val="both"/>
        <w:rPr>
          <w:rFonts w:asciiTheme="majorHAnsi" w:hAnsiTheme="majorHAnsi" w:cstheme="majorHAnsi"/>
          <w:lang w:val="en-GB"/>
        </w:rPr>
      </w:pPr>
    </w:p>
    <w:p w14:paraId="69722E64" w14:textId="395F5900" w:rsidR="0062258A" w:rsidRPr="00A93F26" w:rsidRDefault="00A81F0B" w:rsidP="0062258A">
      <w:pPr>
        <w:spacing w:after="0" w:line="276" w:lineRule="auto"/>
        <w:jc w:val="both"/>
        <w:rPr>
          <w:rFonts w:asciiTheme="majorHAnsi" w:hAnsiTheme="majorHAnsi" w:cstheme="majorHAnsi"/>
          <w:lang w:val="en-GB"/>
        </w:rPr>
      </w:pPr>
      <w:r w:rsidRPr="00A93F26">
        <w:rPr>
          <w:rFonts w:asciiTheme="majorHAnsi" w:hAnsiTheme="majorHAnsi" w:cstheme="majorHAnsi"/>
          <w:lang w:val="en-GB"/>
        </w:rPr>
        <w:t xml:space="preserve">The right </w:t>
      </w:r>
      <w:r w:rsidR="0012001E" w:rsidRPr="00A93F26">
        <w:rPr>
          <w:rFonts w:asciiTheme="majorHAnsi" w:hAnsiTheme="majorHAnsi" w:cstheme="majorHAnsi"/>
          <w:lang w:val="en-GB"/>
        </w:rPr>
        <w:t xml:space="preserve">to adequate housing </w:t>
      </w:r>
      <w:r w:rsidRPr="00A93F26">
        <w:rPr>
          <w:rFonts w:asciiTheme="majorHAnsi" w:hAnsiTheme="majorHAnsi" w:cstheme="majorHAnsi"/>
          <w:lang w:val="en-GB"/>
        </w:rPr>
        <w:t xml:space="preserve">of older persons </w:t>
      </w:r>
      <w:r w:rsidR="0012001E" w:rsidRPr="00A93F26">
        <w:rPr>
          <w:rFonts w:asciiTheme="majorHAnsi" w:hAnsiTheme="majorHAnsi" w:cstheme="majorHAnsi"/>
          <w:lang w:val="en-GB"/>
        </w:rPr>
        <w:t xml:space="preserve">is </w:t>
      </w:r>
      <w:r w:rsidRPr="00A93F26">
        <w:rPr>
          <w:rFonts w:asciiTheme="majorHAnsi" w:hAnsiTheme="majorHAnsi" w:cstheme="majorHAnsi"/>
          <w:lang w:val="en-GB"/>
        </w:rPr>
        <w:t>generally recognized and guaranteed in the 1987 Philippine Constitution</w:t>
      </w:r>
      <w:r w:rsidR="005329E0" w:rsidRPr="00A93F26">
        <w:rPr>
          <w:rStyle w:val="FootnoteReference"/>
          <w:rFonts w:asciiTheme="majorHAnsi" w:hAnsiTheme="majorHAnsi" w:cstheme="majorHAnsi"/>
          <w:lang w:val="en-GB"/>
        </w:rPr>
        <w:footnoteReference w:id="3"/>
      </w:r>
      <w:r w:rsidR="0012001E" w:rsidRPr="00A93F26">
        <w:rPr>
          <w:rFonts w:asciiTheme="majorHAnsi" w:hAnsiTheme="majorHAnsi" w:cstheme="majorHAnsi"/>
          <w:lang w:val="en-GB"/>
        </w:rPr>
        <w:t>.</w:t>
      </w:r>
      <w:r w:rsidR="00F539E8" w:rsidRPr="00A93F26">
        <w:rPr>
          <w:rFonts w:asciiTheme="majorHAnsi" w:hAnsiTheme="majorHAnsi" w:cstheme="majorHAnsi"/>
          <w:lang w:val="en-GB"/>
        </w:rPr>
        <w:t xml:space="preserve"> </w:t>
      </w:r>
      <w:r w:rsidR="004D0C4C" w:rsidRPr="00A93F26">
        <w:rPr>
          <w:rFonts w:asciiTheme="majorHAnsi" w:hAnsiTheme="majorHAnsi" w:cstheme="majorHAnsi"/>
          <w:lang w:val="en-GB"/>
        </w:rPr>
        <w:t>The Bill of Rights provides for the guarantees against unreasonable searches and seizures inside the home</w:t>
      </w:r>
      <w:r w:rsidR="004D0C4C" w:rsidRPr="00A93F26">
        <w:rPr>
          <w:rStyle w:val="FootnoteReference"/>
          <w:rFonts w:asciiTheme="majorHAnsi" w:hAnsiTheme="majorHAnsi" w:cstheme="majorHAnsi"/>
          <w:lang w:val="en-GB"/>
        </w:rPr>
        <w:footnoteReference w:id="4"/>
      </w:r>
      <w:r w:rsidR="004D0C4C" w:rsidRPr="00A93F26">
        <w:rPr>
          <w:rFonts w:asciiTheme="majorHAnsi" w:hAnsiTheme="majorHAnsi" w:cstheme="majorHAnsi"/>
          <w:lang w:val="en-GB"/>
        </w:rPr>
        <w:t xml:space="preserve"> and for liberty of abode</w:t>
      </w:r>
      <w:r w:rsidR="004D0C4C" w:rsidRPr="00A93F26">
        <w:rPr>
          <w:rStyle w:val="FootnoteReference"/>
          <w:rFonts w:asciiTheme="majorHAnsi" w:hAnsiTheme="majorHAnsi" w:cstheme="majorHAnsi"/>
          <w:lang w:val="en-GB"/>
        </w:rPr>
        <w:footnoteReference w:id="5"/>
      </w:r>
      <w:r w:rsidR="004D0C4C" w:rsidRPr="00A93F26">
        <w:rPr>
          <w:rFonts w:asciiTheme="majorHAnsi" w:hAnsiTheme="majorHAnsi" w:cstheme="majorHAnsi"/>
          <w:lang w:val="en-GB"/>
        </w:rPr>
        <w:t xml:space="preserve">. </w:t>
      </w:r>
      <w:r w:rsidR="00F539E8" w:rsidRPr="00A93F26">
        <w:rPr>
          <w:rFonts w:asciiTheme="majorHAnsi" w:hAnsiTheme="majorHAnsi" w:cstheme="majorHAnsi"/>
          <w:lang w:val="en-GB"/>
        </w:rPr>
        <w:t xml:space="preserve">Also, </w:t>
      </w:r>
      <w:r w:rsidR="0062258A" w:rsidRPr="00A93F26">
        <w:rPr>
          <w:rFonts w:asciiTheme="majorHAnsi" w:hAnsiTheme="majorHAnsi" w:cstheme="majorHAnsi"/>
          <w:lang w:val="en-GB"/>
        </w:rPr>
        <w:t>Article XIII, sections 9 and 10 of the Constitution provides:</w:t>
      </w:r>
    </w:p>
    <w:p w14:paraId="5C6A8E90" w14:textId="77777777" w:rsidR="0062258A" w:rsidRPr="00A93F26" w:rsidRDefault="0062258A" w:rsidP="0062258A">
      <w:pPr>
        <w:spacing w:after="0" w:line="276" w:lineRule="auto"/>
        <w:jc w:val="both"/>
        <w:rPr>
          <w:rFonts w:asciiTheme="majorHAnsi" w:hAnsiTheme="majorHAnsi" w:cstheme="majorHAnsi"/>
          <w:lang w:val="en-GB"/>
        </w:rPr>
      </w:pPr>
    </w:p>
    <w:p w14:paraId="7EEC1B27" w14:textId="2ACEE093" w:rsidR="0062258A" w:rsidRPr="00A93F26" w:rsidRDefault="00F539E8" w:rsidP="0062258A">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Section 9</w:t>
      </w:r>
      <w:r w:rsidR="0062258A" w:rsidRPr="00A93F26">
        <w:rPr>
          <w:rFonts w:asciiTheme="majorHAnsi" w:hAnsiTheme="majorHAnsi" w:cstheme="majorHAnsi"/>
          <w:i/>
          <w:iCs/>
          <w:lang w:val="en-GB"/>
        </w:rPr>
        <w:t xml:space="preserve">. The State shall, by law, and for the common good, undertake, in cooperation with the public sector, a continuing program of urban land reform and housing which will make available at affordable cost decent housing and basic </w:t>
      </w:r>
      <w:r w:rsidR="0062258A" w:rsidRPr="00A93F26">
        <w:rPr>
          <w:rFonts w:asciiTheme="majorHAnsi" w:hAnsiTheme="majorHAnsi" w:cstheme="majorHAnsi"/>
          <w:i/>
          <w:iCs/>
          <w:lang w:val="en-GB"/>
        </w:rPr>
        <w:lastRenderedPageBreak/>
        <w:t xml:space="preserve">services to underprivileged and homeless citizens in urban </w:t>
      </w:r>
      <w:proofErr w:type="spellStart"/>
      <w:r w:rsidR="0062258A" w:rsidRPr="00A93F26">
        <w:rPr>
          <w:rFonts w:asciiTheme="majorHAnsi" w:hAnsiTheme="majorHAnsi" w:cstheme="majorHAnsi"/>
          <w:i/>
          <w:iCs/>
          <w:lang w:val="en-GB"/>
        </w:rPr>
        <w:t>centers</w:t>
      </w:r>
      <w:proofErr w:type="spellEnd"/>
      <w:r w:rsidR="0062258A" w:rsidRPr="00A93F26">
        <w:rPr>
          <w:rFonts w:asciiTheme="majorHAnsi" w:hAnsiTheme="majorHAnsi" w:cstheme="majorHAnsi"/>
          <w:i/>
          <w:iCs/>
          <w:lang w:val="en-GB"/>
        </w:rPr>
        <w:t xml:space="preserve"> and resettlements areas. It shall also promote adequate employment opportunities to such citizens. In the implementation of such program the State shall respect the rights of small property owners.</w:t>
      </w:r>
    </w:p>
    <w:p w14:paraId="42DA9623" w14:textId="77777777" w:rsidR="0062258A" w:rsidRPr="00A93F26" w:rsidRDefault="0062258A" w:rsidP="0062258A">
      <w:pPr>
        <w:spacing w:after="0" w:line="276" w:lineRule="auto"/>
        <w:ind w:left="720" w:right="720"/>
        <w:jc w:val="both"/>
        <w:rPr>
          <w:rFonts w:asciiTheme="majorHAnsi" w:hAnsiTheme="majorHAnsi" w:cstheme="majorHAnsi"/>
          <w:i/>
          <w:iCs/>
          <w:lang w:val="en-GB"/>
        </w:rPr>
      </w:pPr>
    </w:p>
    <w:p w14:paraId="56BE9701" w14:textId="5D8A2EA8" w:rsidR="0062258A" w:rsidRPr="00A93F26" w:rsidRDefault="00F539E8" w:rsidP="0062258A">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Section 10</w:t>
      </w:r>
      <w:r w:rsidR="0062258A" w:rsidRPr="00A93F26">
        <w:rPr>
          <w:rFonts w:asciiTheme="majorHAnsi" w:hAnsiTheme="majorHAnsi" w:cstheme="majorHAnsi"/>
          <w:i/>
          <w:iCs/>
          <w:lang w:val="en-GB"/>
        </w:rPr>
        <w:t>. Urban or rural poor dwellers shall not be evicted nor their dwellings demolished, except in accordance with law and in a just and humane manner.</w:t>
      </w:r>
    </w:p>
    <w:p w14:paraId="68B3D67B" w14:textId="77777777" w:rsidR="0062258A" w:rsidRPr="00A93F26" w:rsidRDefault="0062258A" w:rsidP="0062258A">
      <w:pPr>
        <w:spacing w:after="0" w:line="276" w:lineRule="auto"/>
        <w:ind w:left="720" w:right="720"/>
        <w:jc w:val="both"/>
        <w:rPr>
          <w:rFonts w:asciiTheme="majorHAnsi" w:hAnsiTheme="majorHAnsi" w:cstheme="majorHAnsi"/>
          <w:i/>
          <w:iCs/>
          <w:lang w:val="en-GB"/>
        </w:rPr>
      </w:pPr>
    </w:p>
    <w:p w14:paraId="563813B5" w14:textId="6897F7AB" w:rsidR="0062258A" w:rsidRPr="00A93F26" w:rsidRDefault="0062258A" w:rsidP="0062258A">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No resettlement of urban or rural dwellers shall be undertaken without adequate consultation with them and the communities where they are to be relocated.</w:t>
      </w:r>
    </w:p>
    <w:p w14:paraId="0F060686" w14:textId="06FABBFF" w:rsidR="00BE2FF2" w:rsidRPr="00A93F26" w:rsidRDefault="00BE2FF2" w:rsidP="0062258A">
      <w:pPr>
        <w:spacing w:after="0" w:line="276" w:lineRule="auto"/>
        <w:jc w:val="both"/>
        <w:rPr>
          <w:rFonts w:asciiTheme="majorHAnsi" w:hAnsiTheme="majorHAnsi" w:cstheme="majorHAnsi"/>
          <w:lang w:val="en-GB"/>
        </w:rPr>
      </w:pPr>
    </w:p>
    <w:p w14:paraId="5C0AD2AB" w14:textId="47679016" w:rsidR="00BE2FF2" w:rsidRPr="00A93F26" w:rsidRDefault="00BE2FF2" w:rsidP="0062258A">
      <w:pPr>
        <w:spacing w:after="0" w:line="276" w:lineRule="auto"/>
        <w:jc w:val="both"/>
        <w:rPr>
          <w:rFonts w:asciiTheme="majorHAnsi" w:hAnsiTheme="majorHAnsi" w:cstheme="majorHAnsi"/>
          <w:lang w:val="en-GB"/>
        </w:rPr>
      </w:pPr>
      <w:r w:rsidRPr="00A93F26">
        <w:rPr>
          <w:rFonts w:asciiTheme="majorHAnsi" w:hAnsiTheme="majorHAnsi" w:cstheme="majorHAnsi"/>
          <w:lang w:val="en-GB"/>
        </w:rPr>
        <w:t>Republic Act No.</w:t>
      </w:r>
      <w:r w:rsidR="00DB698D">
        <w:rPr>
          <w:rFonts w:asciiTheme="majorHAnsi" w:hAnsiTheme="majorHAnsi" w:cstheme="majorHAnsi"/>
          <w:lang w:val="en-GB"/>
        </w:rPr>
        <w:t xml:space="preserve"> (RA)</w:t>
      </w:r>
      <w:r w:rsidRPr="00A93F26">
        <w:rPr>
          <w:rFonts w:asciiTheme="majorHAnsi" w:hAnsiTheme="majorHAnsi" w:cstheme="majorHAnsi"/>
          <w:lang w:val="en-GB"/>
        </w:rPr>
        <w:t xml:space="preserve"> 11201 or the “Department of Human Settlements and Urban Development</w:t>
      </w:r>
      <w:r w:rsidR="00AB75B9">
        <w:rPr>
          <w:rFonts w:asciiTheme="majorHAnsi" w:hAnsiTheme="majorHAnsi" w:cstheme="majorHAnsi"/>
          <w:lang w:val="en-GB"/>
        </w:rPr>
        <w:t xml:space="preserve"> (DHSUD)</w:t>
      </w:r>
      <w:r w:rsidRPr="00A93F26">
        <w:rPr>
          <w:rFonts w:asciiTheme="majorHAnsi" w:hAnsiTheme="majorHAnsi" w:cstheme="majorHAnsi"/>
          <w:lang w:val="en-GB"/>
        </w:rPr>
        <w:t xml:space="preserve"> Act”</w:t>
      </w:r>
      <w:r w:rsidRPr="00A93F26">
        <w:rPr>
          <w:rStyle w:val="FootnoteReference"/>
          <w:rFonts w:asciiTheme="majorHAnsi" w:hAnsiTheme="majorHAnsi" w:cstheme="majorHAnsi"/>
          <w:lang w:val="en-GB"/>
        </w:rPr>
        <w:footnoteReference w:id="6"/>
      </w:r>
      <w:r w:rsidRPr="00A93F26">
        <w:rPr>
          <w:rFonts w:asciiTheme="majorHAnsi" w:hAnsiTheme="majorHAnsi" w:cstheme="majorHAnsi"/>
          <w:lang w:val="en-GB"/>
        </w:rPr>
        <w:t xml:space="preserve"> reaffirms the State policy to “ensure that underprivileged and homeless citizens have access to an adequate, safe, secure, habitable, sustainable, resilient and affordable home”</w:t>
      </w:r>
      <w:r w:rsidRPr="00A93F26">
        <w:rPr>
          <w:rStyle w:val="FootnoteReference"/>
          <w:rFonts w:asciiTheme="majorHAnsi" w:hAnsiTheme="majorHAnsi" w:cstheme="majorHAnsi"/>
          <w:lang w:val="en-GB"/>
        </w:rPr>
        <w:footnoteReference w:id="7"/>
      </w:r>
      <w:r w:rsidRPr="00A93F26">
        <w:rPr>
          <w:rFonts w:asciiTheme="majorHAnsi" w:hAnsiTheme="majorHAnsi" w:cstheme="majorHAnsi"/>
          <w:lang w:val="en-GB"/>
        </w:rPr>
        <w:t>. The law</w:t>
      </w:r>
      <w:r w:rsidR="00590957" w:rsidRPr="00A93F26">
        <w:rPr>
          <w:rFonts w:asciiTheme="majorHAnsi" w:hAnsiTheme="majorHAnsi" w:cstheme="majorHAnsi"/>
          <w:lang w:val="en-GB"/>
        </w:rPr>
        <w:t xml:space="preserve"> and its Implementing Rules and Regulations</w:t>
      </w:r>
      <w:r w:rsidR="00AB75B9">
        <w:rPr>
          <w:rFonts w:asciiTheme="majorHAnsi" w:hAnsiTheme="majorHAnsi" w:cstheme="majorHAnsi"/>
          <w:lang w:val="en-GB"/>
        </w:rPr>
        <w:t xml:space="preserve"> (IRR)</w:t>
      </w:r>
      <w:r w:rsidR="001F6B83" w:rsidRPr="00A93F26">
        <w:rPr>
          <w:rStyle w:val="FootnoteReference"/>
          <w:rFonts w:asciiTheme="majorHAnsi" w:hAnsiTheme="majorHAnsi" w:cstheme="majorHAnsi"/>
          <w:lang w:val="en-GB"/>
        </w:rPr>
        <w:footnoteReference w:id="8"/>
      </w:r>
      <w:r w:rsidR="003169C5" w:rsidRPr="00A93F26">
        <w:rPr>
          <w:rFonts w:asciiTheme="majorHAnsi" w:hAnsiTheme="majorHAnsi" w:cstheme="majorHAnsi"/>
          <w:lang w:val="en-GB"/>
        </w:rPr>
        <w:t>, however, do not make explicit reference</w:t>
      </w:r>
      <w:r w:rsidR="00590957" w:rsidRPr="00A93F26">
        <w:rPr>
          <w:rFonts w:asciiTheme="majorHAnsi" w:hAnsiTheme="majorHAnsi" w:cstheme="majorHAnsi"/>
          <w:lang w:val="en-GB"/>
        </w:rPr>
        <w:t>s</w:t>
      </w:r>
      <w:r w:rsidR="003169C5" w:rsidRPr="00A93F26">
        <w:rPr>
          <w:rFonts w:asciiTheme="majorHAnsi" w:hAnsiTheme="majorHAnsi" w:cstheme="majorHAnsi"/>
          <w:lang w:val="en-GB"/>
        </w:rPr>
        <w:t xml:space="preserve"> to older persons.</w:t>
      </w:r>
    </w:p>
    <w:p w14:paraId="0A056307" w14:textId="77777777" w:rsidR="00BE2FF2" w:rsidRPr="00A93F26" w:rsidRDefault="00BE2FF2" w:rsidP="0062258A">
      <w:pPr>
        <w:spacing w:after="0" w:line="276" w:lineRule="auto"/>
        <w:jc w:val="both"/>
        <w:rPr>
          <w:rFonts w:asciiTheme="majorHAnsi" w:hAnsiTheme="majorHAnsi" w:cstheme="majorHAnsi"/>
          <w:lang w:val="en-GB"/>
        </w:rPr>
      </w:pPr>
    </w:p>
    <w:p w14:paraId="1D56EA16" w14:textId="77259B8A" w:rsidR="004167BF" w:rsidRPr="00A93F26" w:rsidRDefault="00592627" w:rsidP="0062258A">
      <w:pPr>
        <w:spacing w:after="0" w:line="276" w:lineRule="auto"/>
        <w:jc w:val="both"/>
        <w:rPr>
          <w:rFonts w:asciiTheme="majorHAnsi" w:hAnsiTheme="majorHAnsi" w:cstheme="majorHAnsi"/>
          <w:lang w:val="en-GB"/>
        </w:rPr>
      </w:pPr>
      <w:r w:rsidRPr="00A93F26">
        <w:rPr>
          <w:rFonts w:asciiTheme="majorHAnsi" w:hAnsiTheme="majorHAnsi" w:cstheme="majorHAnsi"/>
          <w:lang w:val="en-GB"/>
        </w:rPr>
        <w:t>R</w:t>
      </w:r>
      <w:r w:rsidR="00DB698D">
        <w:rPr>
          <w:rFonts w:asciiTheme="majorHAnsi" w:hAnsiTheme="majorHAnsi" w:cstheme="majorHAnsi"/>
          <w:lang w:val="en-GB"/>
        </w:rPr>
        <w:t>A</w:t>
      </w:r>
      <w:r w:rsidRPr="00A93F26">
        <w:rPr>
          <w:rFonts w:asciiTheme="majorHAnsi" w:hAnsiTheme="majorHAnsi" w:cstheme="majorHAnsi"/>
          <w:lang w:val="en-GB"/>
        </w:rPr>
        <w:t xml:space="preserve"> 9994 or the “Expanded Senior Citizens Act of 2010”</w:t>
      </w:r>
      <w:r w:rsidR="00B62C34" w:rsidRPr="00A93F26">
        <w:rPr>
          <w:rStyle w:val="FootnoteReference"/>
          <w:rFonts w:asciiTheme="majorHAnsi" w:hAnsiTheme="majorHAnsi" w:cstheme="majorHAnsi"/>
          <w:lang w:val="en-GB"/>
        </w:rPr>
        <w:footnoteReference w:id="9"/>
      </w:r>
      <w:r w:rsidRPr="00A93F26">
        <w:rPr>
          <w:rFonts w:asciiTheme="majorHAnsi" w:hAnsiTheme="majorHAnsi" w:cstheme="majorHAnsi"/>
          <w:lang w:val="en-GB"/>
        </w:rPr>
        <w:t xml:space="preserve">, which is the most comprehensive and older persons-specific law in the Philippines to date, </w:t>
      </w:r>
      <w:r w:rsidR="004167BF" w:rsidRPr="00A93F26">
        <w:rPr>
          <w:rFonts w:asciiTheme="majorHAnsi" w:hAnsiTheme="majorHAnsi" w:cstheme="majorHAnsi"/>
          <w:lang w:val="en-GB"/>
        </w:rPr>
        <w:t>serves the following objectives, as provided in section 2 thereof:</w:t>
      </w:r>
    </w:p>
    <w:p w14:paraId="1BD072DC" w14:textId="26D32A4E" w:rsidR="004167BF" w:rsidRPr="00A93F26" w:rsidRDefault="004167BF" w:rsidP="0062258A">
      <w:pPr>
        <w:spacing w:after="0" w:line="276" w:lineRule="auto"/>
        <w:jc w:val="both"/>
        <w:rPr>
          <w:rFonts w:asciiTheme="majorHAnsi" w:hAnsiTheme="majorHAnsi" w:cstheme="majorHAnsi"/>
          <w:lang w:val="en-GB"/>
        </w:rPr>
      </w:pPr>
    </w:p>
    <w:p w14:paraId="0762E69C" w14:textId="19E621CE" w:rsidR="004167BF" w:rsidRPr="00A93F26" w:rsidRDefault="004167BF" w:rsidP="0039185B">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(a) To recognize the rights of senior citizens to take their proper place in society and make it a concern of the family, community, and government;</w:t>
      </w:r>
    </w:p>
    <w:p w14:paraId="638423DF" w14:textId="5B8F78B1" w:rsidR="004167BF" w:rsidRPr="00A93F26" w:rsidRDefault="004167BF" w:rsidP="0039185B">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 xml:space="preserve">(b) </w:t>
      </w:r>
      <w:r w:rsidR="00B62C34" w:rsidRPr="00A93F26">
        <w:rPr>
          <w:rFonts w:asciiTheme="majorHAnsi" w:hAnsiTheme="majorHAnsi" w:cstheme="majorHAnsi"/>
          <w:i/>
          <w:iCs/>
          <w:lang w:val="en-GB"/>
        </w:rPr>
        <w:t>To give full support to the improvement of the total well-being of the elderly and their full participation in society, considering that senior citizens are integral part of Philippine society;</w:t>
      </w:r>
    </w:p>
    <w:p w14:paraId="2A160388" w14:textId="1B3D5DFD" w:rsidR="00B62C34" w:rsidRPr="00A93F26" w:rsidRDefault="00B62C34" w:rsidP="0039185B">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(c) To motivate and encourage the senior citizens to contribute to nation building;</w:t>
      </w:r>
    </w:p>
    <w:p w14:paraId="1C4B6231" w14:textId="55E304CF" w:rsidR="00B62C34" w:rsidRPr="00A93F26" w:rsidRDefault="00B62C34" w:rsidP="0039185B">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(d) To encourage their families and the communities they live with to reaffirm the valued Filipino tradition of caring for the senior citizens;</w:t>
      </w:r>
    </w:p>
    <w:p w14:paraId="013C58E3" w14:textId="787C187F" w:rsidR="00B62C34" w:rsidRPr="00A93F26" w:rsidRDefault="00B62C34" w:rsidP="0039185B">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w:t>
      </w:r>
    </w:p>
    <w:p w14:paraId="3C1AD844" w14:textId="6D3149B5" w:rsidR="00B62C34" w:rsidRPr="00A93F26" w:rsidRDefault="00B62C34" w:rsidP="0039185B">
      <w:pPr>
        <w:spacing w:after="0" w:line="276" w:lineRule="auto"/>
        <w:ind w:left="720" w:right="720"/>
        <w:jc w:val="both"/>
        <w:rPr>
          <w:rFonts w:asciiTheme="majorHAnsi" w:hAnsiTheme="majorHAnsi" w:cstheme="majorHAnsi"/>
          <w:i/>
          <w:iCs/>
          <w:lang w:val="en-GB"/>
        </w:rPr>
      </w:pPr>
      <w:r w:rsidRPr="00A93F26">
        <w:rPr>
          <w:rFonts w:asciiTheme="majorHAnsi" w:hAnsiTheme="majorHAnsi" w:cstheme="majorHAnsi"/>
          <w:i/>
          <w:iCs/>
          <w:lang w:val="en-GB"/>
        </w:rPr>
        <w:t>(f) To recognize the important role of the private sector in the improvement of the welfare of senior citizens and to actively seek their partnership.</w:t>
      </w:r>
    </w:p>
    <w:p w14:paraId="27AD603B" w14:textId="11C758C2" w:rsidR="004167BF" w:rsidRPr="00A93F26" w:rsidRDefault="004167BF" w:rsidP="00D441CA">
      <w:pPr>
        <w:spacing w:after="0" w:line="276" w:lineRule="auto"/>
        <w:jc w:val="both"/>
        <w:rPr>
          <w:rFonts w:asciiTheme="majorHAnsi" w:hAnsiTheme="majorHAnsi" w:cstheme="majorHAnsi"/>
          <w:lang w:val="en-GB"/>
        </w:rPr>
      </w:pPr>
    </w:p>
    <w:p w14:paraId="27A4CFB6" w14:textId="2F812858" w:rsidR="00B62C34" w:rsidRPr="00A93F26" w:rsidRDefault="00B93F52" w:rsidP="00D441CA">
      <w:pPr>
        <w:spacing w:after="0" w:line="276" w:lineRule="auto"/>
        <w:jc w:val="both"/>
        <w:rPr>
          <w:rFonts w:asciiTheme="majorHAnsi" w:hAnsiTheme="majorHAnsi" w:cstheme="majorHAnsi"/>
          <w:lang w:val="en-GB"/>
        </w:rPr>
      </w:pPr>
      <w:r w:rsidRPr="00A93F26">
        <w:rPr>
          <w:rFonts w:asciiTheme="majorHAnsi" w:hAnsiTheme="majorHAnsi" w:cstheme="majorHAnsi"/>
          <w:lang w:val="en-GB"/>
        </w:rPr>
        <w:t xml:space="preserve">In accordance with the law’s objectives, RA 9994 </w:t>
      </w:r>
      <w:r w:rsidR="00123ECB" w:rsidRPr="00A93F26">
        <w:rPr>
          <w:rFonts w:asciiTheme="majorHAnsi" w:hAnsiTheme="majorHAnsi" w:cstheme="majorHAnsi"/>
          <w:lang w:val="en-GB"/>
        </w:rPr>
        <w:t>provides for</w:t>
      </w:r>
      <w:r w:rsidRPr="00A93F26">
        <w:rPr>
          <w:rFonts w:asciiTheme="majorHAnsi" w:hAnsiTheme="majorHAnsi" w:cstheme="majorHAnsi"/>
          <w:lang w:val="en-GB"/>
        </w:rPr>
        <w:t xml:space="preserve"> </w:t>
      </w:r>
      <w:r w:rsidR="00630A62" w:rsidRPr="00A93F26">
        <w:rPr>
          <w:rFonts w:asciiTheme="majorHAnsi" w:hAnsiTheme="majorHAnsi" w:cstheme="majorHAnsi"/>
          <w:lang w:val="en-GB"/>
        </w:rPr>
        <w:t>government responsibilities as follows:</w:t>
      </w:r>
    </w:p>
    <w:p w14:paraId="0D2A4FF9" w14:textId="176ED439" w:rsidR="00630A62" w:rsidRPr="00A93F26" w:rsidRDefault="001D2C75" w:rsidP="00123ECB">
      <w:pPr>
        <w:pStyle w:val="ListParagraph"/>
        <w:numPr>
          <w:ilvl w:val="0"/>
          <w:numId w:val="26"/>
        </w:numPr>
        <w:spacing w:after="0" w:line="276" w:lineRule="auto"/>
        <w:jc w:val="both"/>
        <w:rPr>
          <w:rFonts w:asciiTheme="majorHAnsi" w:hAnsiTheme="majorHAnsi" w:cstheme="majorHAnsi"/>
          <w:lang w:val="en-GB"/>
        </w:rPr>
      </w:pPr>
      <w:r w:rsidRPr="00A93F26">
        <w:rPr>
          <w:rFonts w:asciiTheme="majorHAnsi" w:hAnsiTheme="majorHAnsi" w:cstheme="majorHAnsi"/>
          <w:lang w:val="en-GB"/>
        </w:rPr>
        <w:t>S</w:t>
      </w:r>
      <w:r w:rsidR="00123ECB" w:rsidRPr="00A93F26">
        <w:rPr>
          <w:rFonts w:asciiTheme="majorHAnsi" w:hAnsiTheme="majorHAnsi" w:cstheme="majorHAnsi"/>
          <w:lang w:val="en-GB"/>
        </w:rPr>
        <w:t>ection 5(e) provides: “The national government shall include in its national shelter program the special housing needs of senior citizens, such as establishment of housing units for the elderly.”</w:t>
      </w:r>
    </w:p>
    <w:p w14:paraId="36C2F9B9" w14:textId="14921637" w:rsidR="00123ECB" w:rsidRPr="00A93F26" w:rsidRDefault="001D2C75" w:rsidP="00123ECB">
      <w:pPr>
        <w:pStyle w:val="ListParagraph"/>
        <w:numPr>
          <w:ilvl w:val="0"/>
          <w:numId w:val="26"/>
        </w:numPr>
        <w:spacing w:after="0" w:line="276" w:lineRule="auto"/>
        <w:jc w:val="both"/>
        <w:rPr>
          <w:rFonts w:asciiTheme="majorHAnsi" w:hAnsiTheme="majorHAnsi" w:cstheme="majorHAnsi"/>
          <w:lang w:val="en-GB"/>
        </w:rPr>
      </w:pPr>
      <w:r w:rsidRPr="00A93F26">
        <w:rPr>
          <w:rFonts w:asciiTheme="majorHAnsi" w:hAnsiTheme="majorHAnsi" w:cstheme="majorHAnsi"/>
          <w:lang w:val="en-GB"/>
        </w:rPr>
        <w:t>S</w:t>
      </w:r>
      <w:r w:rsidR="00123ECB" w:rsidRPr="00A93F26">
        <w:rPr>
          <w:rFonts w:asciiTheme="majorHAnsi" w:hAnsiTheme="majorHAnsi" w:cstheme="majorHAnsi"/>
          <w:lang w:val="en-GB"/>
        </w:rPr>
        <w:t>ection 5(g) provides: “The government shall provide incentives to individuals or nongovernmental institution caring for or establishing homes, residential communities or retirement villages solely for senior citizens…”</w:t>
      </w:r>
    </w:p>
    <w:p w14:paraId="218C7F9A" w14:textId="06348EAC" w:rsidR="00123ECB" w:rsidRPr="00A93F26" w:rsidRDefault="001D2C75" w:rsidP="00123ECB">
      <w:pPr>
        <w:pStyle w:val="ListParagraph"/>
        <w:numPr>
          <w:ilvl w:val="0"/>
          <w:numId w:val="26"/>
        </w:numPr>
        <w:spacing w:after="0" w:line="276" w:lineRule="auto"/>
        <w:jc w:val="both"/>
        <w:rPr>
          <w:rFonts w:asciiTheme="majorHAnsi" w:hAnsiTheme="majorHAnsi" w:cstheme="majorHAnsi"/>
          <w:lang w:val="en-GB"/>
        </w:rPr>
      </w:pPr>
      <w:r w:rsidRPr="00A93F26">
        <w:rPr>
          <w:rFonts w:asciiTheme="majorHAnsi" w:hAnsiTheme="majorHAnsi" w:cstheme="majorHAnsi"/>
          <w:lang w:val="en-GB"/>
        </w:rPr>
        <w:t xml:space="preserve">Section 5(d) provides for discounts on utilities for “senior citizens </w:t>
      </w:r>
      <w:proofErr w:type="spellStart"/>
      <w:r w:rsidRPr="00A93F26">
        <w:rPr>
          <w:rFonts w:asciiTheme="majorHAnsi" w:hAnsiTheme="majorHAnsi" w:cstheme="majorHAnsi"/>
          <w:lang w:val="en-GB"/>
        </w:rPr>
        <w:t>center</w:t>
      </w:r>
      <w:proofErr w:type="spellEnd"/>
      <w:r w:rsidRPr="00A93F26">
        <w:rPr>
          <w:rFonts w:asciiTheme="majorHAnsi" w:hAnsiTheme="majorHAnsi" w:cstheme="majorHAnsi"/>
          <w:lang w:val="en-GB"/>
        </w:rPr>
        <w:t xml:space="preserve"> and residential care/group homes… organized and operated primarily for the purpose of promoting the well-being of abandoned, neglected, unattached, or homeless senior citizens…”</w:t>
      </w:r>
    </w:p>
    <w:p w14:paraId="4AC486C6" w14:textId="77777777" w:rsidR="00856D6F" w:rsidRPr="00A93F26" w:rsidRDefault="00856D6F" w:rsidP="00D441CA">
      <w:pPr>
        <w:spacing w:after="0" w:line="276" w:lineRule="auto"/>
        <w:jc w:val="both"/>
        <w:rPr>
          <w:rFonts w:asciiTheme="majorHAnsi" w:hAnsiTheme="majorHAnsi" w:cstheme="majorHAnsi"/>
          <w:lang w:val="en-GB"/>
        </w:rPr>
      </w:pPr>
    </w:p>
    <w:p w14:paraId="0A0B7182" w14:textId="2CAB9648" w:rsidR="00775C46" w:rsidRDefault="00F57B07" w:rsidP="00D441CA">
      <w:pPr>
        <w:spacing w:after="0" w:line="276" w:lineRule="auto"/>
        <w:jc w:val="both"/>
        <w:rPr>
          <w:rFonts w:asciiTheme="majorHAnsi" w:hAnsiTheme="majorHAnsi" w:cstheme="majorHAnsi"/>
          <w:lang w:val="en-GB"/>
        </w:rPr>
      </w:pPr>
      <w:r>
        <w:rPr>
          <w:rFonts w:asciiTheme="majorHAnsi" w:hAnsiTheme="majorHAnsi" w:cstheme="majorHAnsi"/>
          <w:lang w:val="en-GB"/>
        </w:rPr>
        <w:t>In 2002, Executive Order No. 105</w:t>
      </w:r>
      <w:r w:rsidR="00775C46">
        <w:rPr>
          <w:rStyle w:val="FootnoteReference"/>
          <w:rFonts w:asciiTheme="majorHAnsi" w:hAnsiTheme="majorHAnsi" w:cstheme="majorHAnsi"/>
          <w:lang w:val="en-GB"/>
        </w:rPr>
        <w:footnoteReference w:id="10"/>
      </w:r>
      <w:r>
        <w:rPr>
          <w:rFonts w:asciiTheme="majorHAnsi" w:hAnsiTheme="majorHAnsi" w:cstheme="majorHAnsi"/>
          <w:lang w:val="en-GB"/>
        </w:rPr>
        <w:t xml:space="preserve"> was adopted which approved and directed the implementation of a program for the provision of group home/foster home for neglected, abandoned, abused, detached and poor older persons and persons with disabilities.</w:t>
      </w:r>
    </w:p>
    <w:p w14:paraId="60A7FEFA" w14:textId="27ED995C" w:rsidR="00775C46" w:rsidRDefault="00775C46" w:rsidP="00D441CA">
      <w:pPr>
        <w:spacing w:after="0" w:line="276" w:lineRule="auto"/>
        <w:jc w:val="both"/>
        <w:rPr>
          <w:rFonts w:asciiTheme="majorHAnsi" w:hAnsiTheme="majorHAnsi" w:cstheme="majorHAnsi"/>
          <w:lang w:val="en-GB"/>
        </w:rPr>
      </w:pPr>
    </w:p>
    <w:p w14:paraId="61211E69" w14:textId="190E7C9F" w:rsidR="00775C46" w:rsidRPr="00A93F26" w:rsidRDefault="00775C46" w:rsidP="0049022D">
      <w:pPr>
        <w:spacing w:after="0" w:line="276" w:lineRule="auto"/>
        <w:jc w:val="both"/>
        <w:rPr>
          <w:rFonts w:asciiTheme="majorHAnsi" w:hAnsiTheme="majorHAnsi" w:cstheme="majorHAnsi"/>
          <w:lang w:val="en-GB"/>
        </w:rPr>
      </w:pPr>
      <w:r>
        <w:rPr>
          <w:rFonts w:asciiTheme="majorHAnsi" w:hAnsiTheme="majorHAnsi" w:cstheme="majorHAnsi"/>
          <w:lang w:val="en-GB"/>
        </w:rPr>
        <w:lastRenderedPageBreak/>
        <w:t>In 2010, the Department of Social Welfare and Development (DSWD) adopted Administrative Order No. 5 which provides for the general implementing guidelines of the DSWD long term care program for senior citizens. The policy integrates several programs and services such as (</w:t>
      </w:r>
      <w:r w:rsidRPr="00775C46">
        <w:rPr>
          <w:rFonts w:asciiTheme="majorHAnsi" w:hAnsiTheme="majorHAnsi" w:cstheme="majorHAnsi"/>
          <w:lang w:val="en-GB"/>
        </w:rPr>
        <w:t>a)</w:t>
      </w:r>
      <w:r>
        <w:rPr>
          <w:rFonts w:asciiTheme="majorHAnsi" w:hAnsiTheme="majorHAnsi" w:cstheme="majorHAnsi"/>
          <w:lang w:val="en-GB"/>
        </w:rPr>
        <w:t xml:space="preserve"> r</w:t>
      </w:r>
      <w:r w:rsidRPr="00775C46">
        <w:rPr>
          <w:rFonts w:asciiTheme="majorHAnsi" w:hAnsiTheme="majorHAnsi" w:cstheme="majorHAnsi"/>
          <w:lang w:val="en-GB"/>
        </w:rPr>
        <w:t xml:space="preserve">esidential care services </w:t>
      </w:r>
      <w:r>
        <w:rPr>
          <w:rFonts w:asciiTheme="majorHAnsi" w:hAnsiTheme="majorHAnsi" w:cstheme="majorHAnsi"/>
          <w:lang w:val="en-GB"/>
        </w:rPr>
        <w:t>for</w:t>
      </w:r>
      <w:r w:rsidRPr="00775C46">
        <w:rPr>
          <w:rFonts w:asciiTheme="majorHAnsi" w:hAnsiTheme="majorHAnsi" w:cstheme="majorHAnsi"/>
          <w:lang w:val="en-GB"/>
        </w:rPr>
        <w:t xml:space="preserve"> abandoned senior citizens</w:t>
      </w:r>
      <w:r>
        <w:rPr>
          <w:rFonts w:asciiTheme="majorHAnsi" w:hAnsiTheme="majorHAnsi" w:cstheme="majorHAnsi"/>
          <w:lang w:val="en-GB"/>
        </w:rPr>
        <w:t>,</w:t>
      </w:r>
      <w:r w:rsidRPr="00775C46">
        <w:rPr>
          <w:rFonts w:asciiTheme="majorHAnsi" w:hAnsiTheme="majorHAnsi" w:cstheme="majorHAnsi"/>
          <w:lang w:val="en-GB"/>
        </w:rPr>
        <w:t xml:space="preserve"> </w:t>
      </w:r>
      <w:r>
        <w:rPr>
          <w:rFonts w:asciiTheme="majorHAnsi" w:hAnsiTheme="majorHAnsi" w:cstheme="majorHAnsi"/>
          <w:lang w:val="en-GB"/>
        </w:rPr>
        <w:t>(</w:t>
      </w:r>
      <w:r w:rsidRPr="00775C46">
        <w:rPr>
          <w:rFonts w:asciiTheme="majorHAnsi" w:hAnsiTheme="majorHAnsi" w:cstheme="majorHAnsi"/>
          <w:lang w:val="en-GB"/>
        </w:rPr>
        <w:t xml:space="preserve">b) </w:t>
      </w:r>
      <w:r>
        <w:rPr>
          <w:rFonts w:asciiTheme="majorHAnsi" w:hAnsiTheme="majorHAnsi" w:cstheme="majorHAnsi"/>
          <w:lang w:val="en-GB"/>
        </w:rPr>
        <w:t>c</w:t>
      </w:r>
      <w:r w:rsidRPr="00775C46">
        <w:rPr>
          <w:rFonts w:asciiTheme="majorHAnsi" w:hAnsiTheme="majorHAnsi" w:cstheme="majorHAnsi"/>
          <w:lang w:val="en-GB"/>
        </w:rPr>
        <w:t>ommunity-based services for senior</w:t>
      </w:r>
      <w:r w:rsidR="00EB4929">
        <w:rPr>
          <w:rFonts w:asciiTheme="majorHAnsi" w:hAnsiTheme="majorHAnsi" w:cstheme="majorHAnsi"/>
          <w:lang w:val="en-GB"/>
        </w:rPr>
        <w:t xml:space="preserve"> </w:t>
      </w:r>
      <w:r w:rsidRPr="00775C46">
        <w:rPr>
          <w:rFonts w:asciiTheme="majorHAnsi" w:hAnsiTheme="majorHAnsi" w:cstheme="majorHAnsi"/>
          <w:lang w:val="en-GB"/>
        </w:rPr>
        <w:t>citizens and their families</w:t>
      </w:r>
      <w:r>
        <w:rPr>
          <w:rFonts w:asciiTheme="majorHAnsi" w:hAnsiTheme="majorHAnsi" w:cstheme="majorHAnsi"/>
          <w:lang w:val="en-GB"/>
        </w:rPr>
        <w:t>, (</w:t>
      </w:r>
      <w:r w:rsidRPr="00775C46">
        <w:rPr>
          <w:rFonts w:asciiTheme="majorHAnsi" w:hAnsiTheme="majorHAnsi" w:cstheme="majorHAnsi"/>
          <w:lang w:val="en-GB"/>
        </w:rPr>
        <w:t xml:space="preserve">c) </w:t>
      </w:r>
      <w:r>
        <w:rPr>
          <w:rFonts w:asciiTheme="majorHAnsi" w:hAnsiTheme="majorHAnsi" w:cstheme="majorHAnsi"/>
          <w:lang w:val="en-GB"/>
        </w:rPr>
        <w:t>h</w:t>
      </w:r>
      <w:r w:rsidRPr="00775C46">
        <w:rPr>
          <w:rFonts w:asciiTheme="majorHAnsi" w:hAnsiTheme="majorHAnsi" w:cstheme="majorHAnsi"/>
          <w:lang w:val="en-GB"/>
        </w:rPr>
        <w:t>ome care support service such as hospice care, foster home,</w:t>
      </w:r>
      <w:r w:rsidR="00EB4929">
        <w:rPr>
          <w:rFonts w:asciiTheme="majorHAnsi" w:hAnsiTheme="majorHAnsi" w:cstheme="majorHAnsi"/>
          <w:lang w:val="en-GB"/>
        </w:rPr>
        <w:t xml:space="preserve"> </w:t>
      </w:r>
      <w:r w:rsidRPr="00775C46">
        <w:rPr>
          <w:rFonts w:asciiTheme="majorHAnsi" w:hAnsiTheme="majorHAnsi" w:cstheme="majorHAnsi"/>
          <w:lang w:val="en-GB"/>
        </w:rPr>
        <w:t>family/kinship care</w:t>
      </w:r>
      <w:r>
        <w:rPr>
          <w:rFonts w:asciiTheme="majorHAnsi" w:hAnsiTheme="majorHAnsi" w:cstheme="majorHAnsi"/>
          <w:lang w:val="en-GB"/>
        </w:rPr>
        <w:t>,</w:t>
      </w:r>
      <w:r w:rsidRPr="00775C46">
        <w:rPr>
          <w:rFonts w:asciiTheme="majorHAnsi" w:hAnsiTheme="majorHAnsi" w:cstheme="majorHAnsi"/>
          <w:lang w:val="en-GB"/>
        </w:rPr>
        <w:t xml:space="preserve"> and caregiver support</w:t>
      </w:r>
      <w:r>
        <w:rPr>
          <w:rFonts w:asciiTheme="majorHAnsi" w:hAnsiTheme="majorHAnsi" w:cstheme="majorHAnsi"/>
          <w:lang w:val="en-GB"/>
        </w:rPr>
        <w:t>,</w:t>
      </w:r>
      <w:r w:rsidRPr="00775C46">
        <w:rPr>
          <w:rFonts w:asciiTheme="majorHAnsi" w:hAnsiTheme="majorHAnsi" w:cstheme="majorHAnsi"/>
          <w:lang w:val="en-GB"/>
        </w:rPr>
        <w:t xml:space="preserve"> and </w:t>
      </w:r>
      <w:r>
        <w:rPr>
          <w:rFonts w:asciiTheme="majorHAnsi" w:hAnsiTheme="majorHAnsi" w:cstheme="majorHAnsi"/>
          <w:lang w:val="en-GB"/>
        </w:rPr>
        <w:t>(</w:t>
      </w:r>
      <w:r w:rsidRPr="00775C46">
        <w:rPr>
          <w:rFonts w:asciiTheme="majorHAnsi" w:hAnsiTheme="majorHAnsi" w:cstheme="majorHAnsi"/>
          <w:lang w:val="en-GB"/>
        </w:rPr>
        <w:t xml:space="preserve">d) </w:t>
      </w:r>
      <w:r>
        <w:rPr>
          <w:rFonts w:asciiTheme="majorHAnsi" w:hAnsiTheme="majorHAnsi" w:cstheme="majorHAnsi"/>
          <w:lang w:val="en-GB"/>
        </w:rPr>
        <w:t>v</w:t>
      </w:r>
      <w:r w:rsidRPr="00775C46">
        <w:rPr>
          <w:rFonts w:asciiTheme="majorHAnsi" w:hAnsiTheme="majorHAnsi" w:cstheme="majorHAnsi"/>
          <w:lang w:val="en-GB"/>
        </w:rPr>
        <w:t>olunteer resource services for opportunities</w:t>
      </w:r>
      <w:r w:rsidR="00EB4929">
        <w:rPr>
          <w:rFonts w:asciiTheme="majorHAnsi" w:hAnsiTheme="majorHAnsi" w:cstheme="majorHAnsi"/>
          <w:lang w:val="en-GB"/>
        </w:rPr>
        <w:t xml:space="preserve"> </w:t>
      </w:r>
      <w:r w:rsidRPr="00775C46">
        <w:rPr>
          <w:rFonts w:asciiTheme="majorHAnsi" w:hAnsiTheme="majorHAnsi" w:cstheme="majorHAnsi"/>
          <w:lang w:val="en-GB"/>
        </w:rPr>
        <w:t>on</w:t>
      </w:r>
      <w:r w:rsidR="00EB4929">
        <w:rPr>
          <w:rFonts w:asciiTheme="majorHAnsi" w:hAnsiTheme="majorHAnsi" w:cstheme="majorHAnsi"/>
          <w:lang w:val="en-GB"/>
        </w:rPr>
        <w:t xml:space="preserve"> </w:t>
      </w:r>
      <w:r w:rsidRPr="00775C46">
        <w:rPr>
          <w:rFonts w:asciiTheme="majorHAnsi" w:hAnsiTheme="majorHAnsi" w:cstheme="majorHAnsi"/>
          <w:lang w:val="en-GB"/>
        </w:rPr>
        <w:t>volunteer community work and intergenerational linkages.</w:t>
      </w:r>
    </w:p>
    <w:p w14:paraId="717596D8" w14:textId="77777777" w:rsidR="00EA791A" w:rsidRPr="00A93F26" w:rsidRDefault="00EA791A" w:rsidP="00590957">
      <w:pPr>
        <w:spacing w:after="0" w:line="276" w:lineRule="auto"/>
        <w:jc w:val="both"/>
        <w:rPr>
          <w:rFonts w:asciiTheme="majorHAnsi" w:hAnsiTheme="majorHAnsi" w:cstheme="majorHAnsi"/>
          <w:lang w:val="en-GB"/>
        </w:rPr>
      </w:pPr>
    </w:p>
    <w:p w14:paraId="497F2D2B" w14:textId="09667A34" w:rsidR="007361E5" w:rsidRPr="00A93F26" w:rsidRDefault="00B62EE5" w:rsidP="001F7C74">
      <w:pPr>
        <w:pStyle w:val="ListParagraph"/>
        <w:numPr>
          <w:ilvl w:val="0"/>
          <w:numId w:val="25"/>
        </w:numPr>
        <w:spacing w:after="0" w:line="276" w:lineRule="auto"/>
        <w:ind w:left="360"/>
        <w:jc w:val="both"/>
        <w:rPr>
          <w:rFonts w:asciiTheme="majorHAnsi" w:hAnsiTheme="majorHAnsi" w:cstheme="majorHAnsi"/>
          <w:b/>
          <w:lang w:val="en-GB"/>
        </w:rPr>
      </w:pPr>
      <w:r w:rsidRPr="00A93F26">
        <w:rPr>
          <w:rFonts w:asciiTheme="majorHAnsi" w:eastAsia="Times New Roman" w:hAnsiTheme="majorHAnsi" w:cstheme="majorHAnsi"/>
          <w:b/>
          <w:lang w:val="en-GB"/>
        </w:rPr>
        <w:t xml:space="preserve">What are the </w:t>
      </w:r>
      <w:r w:rsidRPr="00A93F26">
        <w:rPr>
          <w:rFonts w:asciiTheme="majorHAnsi" w:eastAsia="Times New Roman" w:hAnsiTheme="majorHAnsi" w:cstheme="majorHAnsi"/>
          <w:b/>
          <w:bCs/>
          <w:lang w:val="en-GB"/>
        </w:rPr>
        <w:t xml:space="preserve">existing local and national </w:t>
      </w:r>
      <w:r w:rsidRPr="00A93F26">
        <w:rPr>
          <w:rFonts w:asciiTheme="majorHAnsi" w:hAnsiTheme="majorHAnsi" w:cstheme="majorHAnsi"/>
          <w:b/>
          <w:bCs/>
          <w:lang w:val="en-GB"/>
        </w:rPr>
        <w:t xml:space="preserve">action plans, development plans and support </w:t>
      </w:r>
      <w:bookmarkStart w:id="1" w:name="_Hlk94024496"/>
      <w:r w:rsidRPr="00A93F26">
        <w:rPr>
          <w:rFonts w:asciiTheme="majorHAnsi" w:hAnsiTheme="majorHAnsi" w:cstheme="majorHAnsi"/>
          <w:b/>
          <w:bCs/>
          <w:lang w:val="en-GB"/>
        </w:rPr>
        <w:t>programmes</w:t>
      </w:r>
      <w:r w:rsidRPr="00A93F26">
        <w:rPr>
          <w:rFonts w:asciiTheme="majorHAnsi" w:hAnsiTheme="majorHAnsi" w:cstheme="majorHAnsi"/>
          <w:b/>
          <w:lang w:val="en-GB"/>
        </w:rPr>
        <w:t xml:space="preserve"> </w:t>
      </w:r>
      <w:bookmarkEnd w:id="1"/>
      <w:r w:rsidRPr="00A93F26">
        <w:rPr>
          <w:rFonts w:asciiTheme="majorHAnsi" w:hAnsiTheme="majorHAnsi" w:cstheme="majorHAnsi"/>
          <w:b/>
          <w:lang w:val="en-GB"/>
        </w:rPr>
        <w:t>for advancing the right to adequate housing for older persons? If available, please specify the budget allocated for their implementations.</w:t>
      </w:r>
    </w:p>
    <w:p w14:paraId="4671AC62" w14:textId="77777777" w:rsidR="00367D7F" w:rsidRPr="00A93F26" w:rsidRDefault="00367D7F" w:rsidP="009D4182">
      <w:pPr>
        <w:spacing w:after="0" w:line="276" w:lineRule="auto"/>
        <w:jc w:val="both"/>
        <w:rPr>
          <w:rFonts w:asciiTheme="majorHAnsi" w:hAnsiTheme="majorHAnsi" w:cstheme="majorHAnsi"/>
          <w:b/>
          <w:lang w:val="en-GB"/>
        </w:rPr>
      </w:pPr>
    </w:p>
    <w:p w14:paraId="6657A96F" w14:textId="2679AC37" w:rsidR="00687677" w:rsidRPr="000F3195" w:rsidRDefault="000F3195" w:rsidP="00402B93">
      <w:pPr>
        <w:spacing w:after="0" w:line="276" w:lineRule="auto"/>
        <w:jc w:val="both"/>
        <w:rPr>
          <w:rFonts w:asciiTheme="majorHAnsi" w:hAnsiTheme="majorHAnsi" w:cstheme="majorHAnsi"/>
          <w:lang w:val="en-GB"/>
        </w:rPr>
      </w:pPr>
      <w:r>
        <w:rPr>
          <w:rFonts w:asciiTheme="majorHAnsi" w:hAnsiTheme="majorHAnsi" w:cstheme="majorHAnsi"/>
          <w:lang w:val="en-GB"/>
        </w:rPr>
        <w:t>T</w:t>
      </w:r>
      <w:r w:rsidR="00687677" w:rsidRPr="000F3195">
        <w:rPr>
          <w:rFonts w:asciiTheme="majorHAnsi" w:hAnsiTheme="majorHAnsi" w:cstheme="majorHAnsi"/>
          <w:lang w:val="en-GB"/>
        </w:rPr>
        <w:t xml:space="preserve">he </w:t>
      </w:r>
      <w:r w:rsidR="00527185" w:rsidRPr="000F3195">
        <w:rPr>
          <w:rFonts w:asciiTheme="majorHAnsi" w:hAnsiTheme="majorHAnsi" w:cstheme="majorHAnsi"/>
          <w:lang w:val="en-GB"/>
        </w:rPr>
        <w:t>u</w:t>
      </w:r>
      <w:r w:rsidR="00687677" w:rsidRPr="000F3195">
        <w:rPr>
          <w:rFonts w:asciiTheme="majorHAnsi" w:hAnsiTheme="majorHAnsi" w:cstheme="majorHAnsi"/>
          <w:lang w:val="en-GB"/>
        </w:rPr>
        <w:t>pdated Philippine Development Plan 2017-2022</w:t>
      </w:r>
      <w:r>
        <w:rPr>
          <w:rFonts w:asciiTheme="majorHAnsi" w:hAnsiTheme="majorHAnsi" w:cstheme="majorHAnsi"/>
          <w:lang w:val="en-GB"/>
        </w:rPr>
        <w:t xml:space="preserve"> (PDP)</w:t>
      </w:r>
      <w:r w:rsidR="00FA0339" w:rsidRPr="000F3195">
        <w:rPr>
          <w:rStyle w:val="FootnoteReference"/>
          <w:rFonts w:asciiTheme="majorHAnsi" w:hAnsiTheme="majorHAnsi" w:cstheme="majorHAnsi"/>
          <w:lang w:val="en-GB"/>
        </w:rPr>
        <w:footnoteReference w:id="11"/>
      </w:r>
      <w:r>
        <w:rPr>
          <w:rFonts w:asciiTheme="majorHAnsi" w:hAnsiTheme="majorHAnsi" w:cstheme="majorHAnsi"/>
          <w:lang w:val="en-GB"/>
        </w:rPr>
        <w:t>, Chapter 12 on</w:t>
      </w:r>
      <w:r w:rsidR="00687677" w:rsidRPr="000F3195">
        <w:rPr>
          <w:rFonts w:asciiTheme="majorHAnsi" w:hAnsiTheme="majorHAnsi" w:cstheme="majorHAnsi"/>
          <w:lang w:val="en-GB"/>
        </w:rPr>
        <w:t xml:space="preserve"> building safe, resilient and sustainable communities</w:t>
      </w:r>
      <w:r w:rsidR="00527185" w:rsidRPr="000F3195">
        <w:rPr>
          <w:rFonts w:asciiTheme="majorHAnsi" w:hAnsiTheme="majorHAnsi" w:cstheme="majorHAnsi"/>
          <w:lang w:val="en-GB"/>
        </w:rPr>
        <w:t xml:space="preserve"> </w:t>
      </w:r>
      <w:r w:rsidR="00DA2683" w:rsidRPr="000F3195">
        <w:rPr>
          <w:rFonts w:asciiTheme="majorHAnsi" w:hAnsiTheme="majorHAnsi" w:cstheme="majorHAnsi"/>
          <w:lang w:val="en-GB"/>
        </w:rPr>
        <w:t xml:space="preserve">emphasizes </w:t>
      </w:r>
      <w:r w:rsidR="00FC0042" w:rsidRPr="000F3195">
        <w:rPr>
          <w:rFonts w:asciiTheme="majorHAnsi" w:hAnsiTheme="majorHAnsi" w:cstheme="majorHAnsi"/>
          <w:lang w:val="en-GB"/>
        </w:rPr>
        <w:t xml:space="preserve">the importance of </w:t>
      </w:r>
      <w:r>
        <w:rPr>
          <w:rFonts w:asciiTheme="majorHAnsi" w:hAnsiTheme="majorHAnsi" w:cstheme="majorHAnsi"/>
          <w:lang w:val="en-GB"/>
        </w:rPr>
        <w:t>“</w:t>
      </w:r>
      <w:r w:rsidR="00DA2683" w:rsidRPr="000F3195">
        <w:rPr>
          <w:rFonts w:asciiTheme="majorHAnsi" w:hAnsiTheme="majorHAnsi" w:cstheme="majorHAnsi"/>
          <w:lang w:val="en-GB"/>
        </w:rPr>
        <w:t>safeguarding families and communities f</w:t>
      </w:r>
      <w:r w:rsidR="00FA0339" w:rsidRPr="000F3195">
        <w:rPr>
          <w:rFonts w:asciiTheme="majorHAnsi" w:hAnsiTheme="majorHAnsi" w:cstheme="majorHAnsi"/>
          <w:lang w:val="en-GB"/>
        </w:rPr>
        <w:t>r</w:t>
      </w:r>
      <w:r w:rsidR="00DA2683" w:rsidRPr="000F3195">
        <w:rPr>
          <w:rFonts w:asciiTheme="majorHAnsi" w:hAnsiTheme="majorHAnsi" w:cstheme="majorHAnsi"/>
          <w:lang w:val="en-GB"/>
        </w:rPr>
        <w:t xml:space="preserve">om environmental risks and negative impacts of urbanization, with particular attention to children, women, elderly, and </w:t>
      </w:r>
      <w:r w:rsidR="00FC0042" w:rsidRPr="000F3195">
        <w:rPr>
          <w:rFonts w:asciiTheme="majorHAnsi" w:hAnsiTheme="majorHAnsi" w:cstheme="majorHAnsi"/>
          <w:lang w:val="en-GB"/>
        </w:rPr>
        <w:t>persons with disabilities</w:t>
      </w:r>
      <w:r>
        <w:rPr>
          <w:rFonts w:asciiTheme="majorHAnsi" w:hAnsiTheme="majorHAnsi" w:cstheme="majorHAnsi"/>
          <w:lang w:val="en-GB"/>
        </w:rPr>
        <w:t>”</w:t>
      </w:r>
      <w:r w:rsidR="00DA2683" w:rsidRPr="000F3195">
        <w:rPr>
          <w:rFonts w:asciiTheme="majorHAnsi" w:hAnsiTheme="majorHAnsi" w:cstheme="majorHAnsi"/>
          <w:lang w:val="en-GB"/>
        </w:rPr>
        <w:t>.</w:t>
      </w:r>
      <w:r>
        <w:rPr>
          <w:rFonts w:asciiTheme="majorHAnsi" w:hAnsiTheme="majorHAnsi" w:cstheme="majorHAnsi"/>
          <w:lang w:val="en-GB"/>
        </w:rPr>
        <w:t xml:space="preserve"> In accordance with the </w:t>
      </w:r>
      <w:r w:rsidR="00E432C2">
        <w:rPr>
          <w:rFonts w:asciiTheme="majorHAnsi" w:hAnsiTheme="majorHAnsi" w:cstheme="majorHAnsi"/>
          <w:lang w:val="en-GB"/>
        </w:rPr>
        <w:t xml:space="preserve">PDP, </w:t>
      </w:r>
      <w:r w:rsidR="00E432C2" w:rsidRPr="000F3195">
        <w:rPr>
          <w:rFonts w:asciiTheme="majorHAnsi" w:hAnsiTheme="majorHAnsi" w:cstheme="majorHAnsi"/>
          <w:lang w:val="en-GB"/>
        </w:rPr>
        <w:t>the</w:t>
      </w:r>
      <w:r>
        <w:rPr>
          <w:rFonts w:asciiTheme="majorHAnsi" w:hAnsiTheme="majorHAnsi" w:cstheme="majorHAnsi"/>
          <w:lang w:val="en-GB"/>
        </w:rPr>
        <w:t xml:space="preserve"> government promises</w:t>
      </w:r>
      <w:r w:rsidR="00DA2683" w:rsidRPr="000F3195">
        <w:rPr>
          <w:rFonts w:asciiTheme="majorHAnsi" w:hAnsiTheme="majorHAnsi" w:cstheme="majorHAnsi"/>
          <w:lang w:val="en-GB"/>
        </w:rPr>
        <w:t xml:space="preserve"> to expand access to housing opportunities by a</w:t>
      </w:r>
      <w:r w:rsidR="001A1511" w:rsidRPr="000F3195">
        <w:rPr>
          <w:rFonts w:asciiTheme="majorHAnsi" w:hAnsiTheme="majorHAnsi" w:cstheme="majorHAnsi"/>
          <w:lang w:val="en-GB"/>
        </w:rPr>
        <w:t xml:space="preserve">ccelerating </w:t>
      </w:r>
      <w:r w:rsidR="00F45C05" w:rsidRPr="000F3195">
        <w:rPr>
          <w:rFonts w:asciiTheme="majorHAnsi" w:hAnsiTheme="majorHAnsi" w:cstheme="majorHAnsi"/>
          <w:lang w:val="en-GB"/>
        </w:rPr>
        <w:t xml:space="preserve">housing production, enhancing housing affordability, especially for low-income groups, and ensuring </w:t>
      </w:r>
      <w:proofErr w:type="spellStart"/>
      <w:r w:rsidR="00F45C05" w:rsidRPr="000F3195">
        <w:rPr>
          <w:rFonts w:asciiTheme="majorHAnsi" w:hAnsiTheme="majorHAnsi" w:cstheme="majorHAnsi"/>
          <w:lang w:val="en-GB"/>
        </w:rPr>
        <w:t>livability</w:t>
      </w:r>
      <w:proofErr w:type="spellEnd"/>
      <w:r w:rsidR="00F45C05" w:rsidRPr="000F3195">
        <w:rPr>
          <w:rFonts w:asciiTheme="majorHAnsi" w:hAnsiTheme="majorHAnsi" w:cstheme="majorHAnsi"/>
          <w:lang w:val="en-GB"/>
        </w:rPr>
        <w:t xml:space="preserve"> and sustainability of human settlements.</w:t>
      </w:r>
      <w:r w:rsidR="00402B93">
        <w:rPr>
          <w:rFonts w:asciiTheme="majorHAnsi" w:hAnsiTheme="majorHAnsi" w:cstheme="majorHAnsi"/>
          <w:lang w:val="en-GB"/>
        </w:rPr>
        <w:t xml:space="preserve"> The PDP recognizes older persons as among those who</w:t>
      </w:r>
      <w:r w:rsidR="00402B93" w:rsidRPr="00402B93">
        <w:rPr>
          <w:rFonts w:asciiTheme="majorHAnsi" w:hAnsiTheme="majorHAnsi" w:cstheme="majorHAnsi"/>
          <w:lang w:val="en-GB"/>
        </w:rPr>
        <w:t xml:space="preserve"> face additional risks due to</w:t>
      </w:r>
      <w:r w:rsidR="00402B93">
        <w:rPr>
          <w:rFonts w:asciiTheme="majorHAnsi" w:hAnsiTheme="majorHAnsi" w:cstheme="majorHAnsi"/>
          <w:lang w:val="en-GB"/>
        </w:rPr>
        <w:t xml:space="preserve"> </w:t>
      </w:r>
      <w:r w:rsidR="00402B93" w:rsidRPr="00402B93">
        <w:rPr>
          <w:rFonts w:asciiTheme="majorHAnsi" w:hAnsiTheme="majorHAnsi" w:cstheme="majorHAnsi"/>
          <w:lang w:val="en-GB"/>
        </w:rPr>
        <w:t>poverty</w:t>
      </w:r>
      <w:r w:rsidR="00402B93">
        <w:rPr>
          <w:rFonts w:asciiTheme="majorHAnsi" w:hAnsiTheme="majorHAnsi" w:cstheme="majorHAnsi"/>
          <w:lang w:val="en-GB"/>
        </w:rPr>
        <w:t>.</w:t>
      </w:r>
    </w:p>
    <w:p w14:paraId="508C60DE" w14:textId="77777777" w:rsidR="00527185" w:rsidRPr="000F3195" w:rsidRDefault="00527185" w:rsidP="005329E0">
      <w:pPr>
        <w:spacing w:after="0" w:line="276" w:lineRule="auto"/>
        <w:jc w:val="both"/>
        <w:rPr>
          <w:rFonts w:asciiTheme="majorHAnsi" w:hAnsiTheme="majorHAnsi" w:cstheme="majorHAnsi"/>
          <w:lang w:val="en-GB"/>
        </w:rPr>
      </w:pPr>
    </w:p>
    <w:p w14:paraId="006A3103" w14:textId="62C28B84" w:rsidR="00DB698D" w:rsidRDefault="00B02047" w:rsidP="005329E0">
      <w:pPr>
        <w:spacing w:after="0" w:line="276" w:lineRule="auto"/>
        <w:jc w:val="both"/>
        <w:rPr>
          <w:rFonts w:asciiTheme="majorHAnsi" w:hAnsiTheme="majorHAnsi" w:cstheme="majorHAnsi"/>
          <w:lang w:val="en-GB"/>
        </w:rPr>
      </w:pPr>
      <w:r w:rsidRPr="000F3195">
        <w:rPr>
          <w:rFonts w:asciiTheme="majorHAnsi" w:hAnsiTheme="majorHAnsi" w:cstheme="majorHAnsi"/>
          <w:lang w:val="en-GB"/>
        </w:rPr>
        <w:t xml:space="preserve">The National </w:t>
      </w:r>
      <w:r w:rsidR="00455A8A" w:rsidRPr="000F3195">
        <w:rPr>
          <w:rFonts w:asciiTheme="majorHAnsi" w:hAnsiTheme="majorHAnsi" w:cstheme="majorHAnsi"/>
          <w:lang w:val="en-GB"/>
        </w:rPr>
        <w:t>Urban Development and Housing Framework (NUDHF) 2017-2022</w:t>
      </w:r>
      <w:r w:rsidR="00455A8A" w:rsidRPr="000F3195">
        <w:rPr>
          <w:rStyle w:val="FootnoteReference"/>
          <w:rFonts w:asciiTheme="majorHAnsi" w:hAnsiTheme="majorHAnsi" w:cstheme="majorHAnsi"/>
          <w:lang w:val="en-GB"/>
        </w:rPr>
        <w:footnoteReference w:id="12"/>
      </w:r>
      <w:r w:rsidR="00455A8A" w:rsidRPr="000F3195">
        <w:rPr>
          <w:rFonts w:asciiTheme="majorHAnsi" w:hAnsiTheme="majorHAnsi" w:cstheme="majorHAnsi"/>
          <w:lang w:val="en-GB"/>
        </w:rPr>
        <w:t xml:space="preserve"> provides an overarching framework for urban development and housing</w:t>
      </w:r>
      <w:r w:rsidR="00B80E3A" w:rsidRPr="000F3195">
        <w:rPr>
          <w:rFonts w:asciiTheme="majorHAnsi" w:hAnsiTheme="majorHAnsi" w:cstheme="majorHAnsi"/>
          <w:lang w:val="en-GB"/>
        </w:rPr>
        <w:t>.</w:t>
      </w:r>
      <w:r w:rsidR="00442FE3" w:rsidRPr="000F3195">
        <w:rPr>
          <w:rFonts w:asciiTheme="majorHAnsi" w:hAnsiTheme="majorHAnsi" w:cstheme="majorHAnsi"/>
          <w:lang w:val="en-GB"/>
        </w:rPr>
        <w:t xml:space="preserve"> </w:t>
      </w:r>
      <w:r w:rsidR="00E854DC" w:rsidRPr="000F3195">
        <w:rPr>
          <w:rFonts w:asciiTheme="majorHAnsi" w:hAnsiTheme="majorHAnsi" w:cstheme="majorHAnsi"/>
          <w:lang w:val="en-GB"/>
        </w:rPr>
        <w:t>Its key framework principles</w:t>
      </w:r>
      <w:r w:rsidR="003924C9">
        <w:rPr>
          <w:rFonts w:asciiTheme="majorHAnsi" w:hAnsiTheme="majorHAnsi" w:cstheme="majorHAnsi"/>
          <w:lang w:val="en-GB"/>
        </w:rPr>
        <w:t xml:space="preserve"> make explicit references to older persons, among other groups, with respect to inclusive urbanization and the need for culturally-sensitive housing development that adhere to appropriate standards</w:t>
      </w:r>
      <w:r w:rsidR="007302E2" w:rsidRPr="000F3195">
        <w:rPr>
          <w:rFonts w:asciiTheme="majorHAnsi" w:hAnsiTheme="majorHAnsi" w:cstheme="majorHAnsi"/>
          <w:lang w:val="en-GB"/>
        </w:rPr>
        <w:t>.</w:t>
      </w:r>
    </w:p>
    <w:p w14:paraId="2BD5AAF2" w14:textId="77777777" w:rsidR="00DB698D" w:rsidRDefault="00DB698D" w:rsidP="005329E0">
      <w:pPr>
        <w:spacing w:after="0" w:line="276" w:lineRule="auto"/>
        <w:jc w:val="both"/>
        <w:rPr>
          <w:rFonts w:asciiTheme="majorHAnsi" w:hAnsiTheme="majorHAnsi" w:cstheme="majorHAnsi"/>
          <w:lang w:val="en-GB"/>
        </w:rPr>
      </w:pPr>
    </w:p>
    <w:p w14:paraId="27AFC73B" w14:textId="6388E9AF" w:rsidR="00687677" w:rsidRPr="000F3195" w:rsidRDefault="00DB698D" w:rsidP="005329E0">
      <w:pPr>
        <w:spacing w:after="0" w:line="276" w:lineRule="auto"/>
        <w:jc w:val="both"/>
        <w:rPr>
          <w:rFonts w:asciiTheme="majorHAnsi" w:hAnsiTheme="majorHAnsi" w:cstheme="majorHAnsi"/>
          <w:lang w:val="en-GB"/>
        </w:rPr>
      </w:pPr>
      <w:r>
        <w:rPr>
          <w:rFonts w:asciiTheme="majorHAnsi" w:hAnsiTheme="majorHAnsi" w:cstheme="majorHAnsi"/>
          <w:lang w:val="en-GB"/>
        </w:rPr>
        <w:t>T</w:t>
      </w:r>
      <w:r w:rsidR="00A0350E" w:rsidRPr="000F3195">
        <w:rPr>
          <w:rFonts w:asciiTheme="majorHAnsi" w:hAnsiTheme="majorHAnsi" w:cstheme="majorHAnsi"/>
          <w:lang w:val="en-GB"/>
        </w:rPr>
        <w:t xml:space="preserve">he 2040 National Housing </w:t>
      </w:r>
      <w:r w:rsidR="003E5B11" w:rsidRPr="000F3195">
        <w:rPr>
          <w:rFonts w:asciiTheme="majorHAnsi" w:hAnsiTheme="majorHAnsi" w:cstheme="majorHAnsi"/>
          <w:lang w:val="en-GB"/>
        </w:rPr>
        <w:t>and Urban Development Sector Plan</w:t>
      </w:r>
      <w:r w:rsidR="005C563B">
        <w:rPr>
          <w:rFonts w:asciiTheme="majorHAnsi" w:hAnsiTheme="majorHAnsi" w:cstheme="majorHAnsi"/>
          <w:lang w:val="en-GB"/>
        </w:rPr>
        <w:t xml:space="preserve"> </w:t>
      </w:r>
      <w:r w:rsidR="005C563B" w:rsidRPr="000F3195">
        <w:rPr>
          <w:rFonts w:asciiTheme="majorHAnsi" w:hAnsiTheme="majorHAnsi" w:cstheme="majorHAnsi"/>
          <w:lang w:val="en-GB"/>
        </w:rPr>
        <w:t>(NHUD</w:t>
      </w:r>
      <w:r w:rsidR="005C563B">
        <w:rPr>
          <w:rFonts w:asciiTheme="majorHAnsi" w:hAnsiTheme="majorHAnsi" w:cstheme="majorHAnsi"/>
          <w:lang w:val="en-GB"/>
        </w:rPr>
        <w:t>SP</w:t>
      </w:r>
      <w:r w:rsidR="005C563B" w:rsidRPr="000F3195">
        <w:rPr>
          <w:rFonts w:asciiTheme="majorHAnsi" w:hAnsiTheme="majorHAnsi" w:cstheme="majorHAnsi"/>
          <w:lang w:val="en-GB"/>
        </w:rPr>
        <w:t>)</w:t>
      </w:r>
      <w:r w:rsidR="00C700FA">
        <w:rPr>
          <w:rStyle w:val="FootnoteReference"/>
          <w:rFonts w:asciiTheme="majorHAnsi" w:hAnsiTheme="majorHAnsi" w:cstheme="majorHAnsi"/>
          <w:lang w:val="en-GB"/>
        </w:rPr>
        <w:footnoteReference w:id="13"/>
      </w:r>
      <w:r w:rsidR="004179E2">
        <w:rPr>
          <w:rFonts w:asciiTheme="majorHAnsi" w:hAnsiTheme="majorHAnsi" w:cstheme="majorHAnsi"/>
          <w:lang w:val="en-GB"/>
        </w:rPr>
        <w:t xml:space="preserve"> </w:t>
      </w:r>
      <w:r>
        <w:rPr>
          <w:rFonts w:asciiTheme="majorHAnsi" w:hAnsiTheme="majorHAnsi" w:cstheme="majorHAnsi"/>
          <w:lang w:val="en-GB"/>
        </w:rPr>
        <w:t>seeks to</w:t>
      </w:r>
      <w:r w:rsidRPr="000F3195">
        <w:rPr>
          <w:rFonts w:asciiTheme="majorHAnsi" w:hAnsiTheme="majorHAnsi" w:cstheme="majorHAnsi"/>
          <w:lang w:val="en-GB"/>
        </w:rPr>
        <w:t xml:space="preserve"> </w:t>
      </w:r>
      <w:r w:rsidR="003E5B11" w:rsidRPr="000F3195">
        <w:rPr>
          <w:rFonts w:asciiTheme="majorHAnsi" w:hAnsiTheme="majorHAnsi" w:cstheme="majorHAnsi"/>
          <w:lang w:val="en-GB"/>
        </w:rPr>
        <w:t>immediately address the provision of adequate and affordable housing for all Filipinos, as mandated by RA</w:t>
      </w:r>
      <w:r>
        <w:rPr>
          <w:rFonts w:asciiTheme="majorHAnsi" w:hAnsiTheme="majorHAnsi" w:cstheme="majorHAnsi"/>
          <w:lang w:val="en-GB"/>
        </w:rPr>
        <w:t xml:space="preserve"> </w:t>
      </w:r>
      <w:r w:rsidR="003E5B11" w:rsidRPr="000F3195">
        <w:rPr>
          <w:rFonts w:asciiTheme="majorHAnsi" w:hAnsiTheme="majorHAnsi" w:cstheme="majorHAnsi"/>
          <w:lang w:val="en-GB"/>
        </w:rPr>
        <w:t>11201</w:t>
      </w:r>
      <w:r w:rsidR="00204986" w:rsidRPr="000F3195">
        <w:rPr>
          <w:rFonts w:asciiTheme="majorHAnsi" w:hAnsiTheme="majorHAnsi" w:cstheme="majorHAnsi"/>
          <w:lang w:val="en-GB"/>
        </w:rPr>
        <w:t>.</w:t>
      </w:r>
    </w:p>
    <w:p w14:paraId="1FBC943A" w14:textId="77777777" w:rsidR="00442FE3" w:rsidRPr="000F3195" w:rsidRDefault="00442FE3" w:rsidP="005329E0">
      <w:pPr>
        <w:spacing w:after="0" w:line="276" w:lineRule="auto"/>
        <w:jc w:val="both"/>
        <w:rPr>
          <w:rFonts w:asciiTheme="majorHAnsi" w:hAnsiTheme="majorHAnsi" w:cstheme="majorHAnsi"/>
          <w:lang w:val="en-GB"/>
        </w:rPr>
      </w:pPr>
    </w:p>
    <w:p w14:paraId="67D5445D" w14:textId="2283CB26" w:rsidR="002658F8" w:rsidRPr="000F3195" w:rsidRDefault="002658F8" w:rsidP="005329E0">
      <w:pPr>
        <w:spacing w:after="0" w:line="276" w:lineRule="auto"/>
        <w:jc w:val="both"/>
        <w:rPr>
          <w:rFonts w:asciiTheme="majorHAnsi" w:hAnsiTheme="majorHAnsi" w:cstheme="majorHAnsi"/>
          <w:lang w:val="en-GB"/>
        </w:rPr>
      </w:pPr>
      <w:r w:rsidRPr="000F3195">
        <w:rPr>
          <w:rFonts w:asciiTheme="majorHAnsi" w:hAnsiTheme="majorHAnsi" w:cstheme="majorHAnsi"/>
          <w:lang w:val="en-GB"/>
        </w:rPr>
        <w:t>The Department of the Interior and Local Government (DILG) issued the Memorandum Circular No. 2019-81 “Implementation of Plans, Programs, and Activities for Senior Citizens by Local Government Units</w:t>
      </w:r>
      <w:r w:rsidR="00400006" w:rsidRPr="000F3195">
        <w:rPr>
          <w:rFonts w:asciiTheme="majorHAnsi" w:hAnsiTheme="majorHAnsi" w:cstheme="majorHAnsi"/>
          <w:lang w:val="en-GB"/>
        </w:rPr>
        <w:t>”</w:t>
      </w:r>
      <w:r w:rsidR="00400006" w:rsidRPr="000F3195">
        <w:rPr>
          <w:rStyle w:val="FootnoteReference"/>
          <w:rFonts w:asciiTheme="majorHAnsi" w:hAnsiTheme="majorHAnsi" w:cstheme="majorHAnsi"/>
          <w:lang w:val="en-GB"/>
        </w:rPr>
        <w:footnoteReference w:id="14"/>
      </w:r>
      <w:r w:rsidR="00244C81" w:rsidRPr="000F3195">
        <w:rPr>
          <w:rFonts w:asciiTheme="majorHAnsi" w:hAnsiTheme="majorHAnsi" w:cstheme="majorHAnsi"/>
          <w:lang w:val="en-GB"/>
        </w:rPr>
        <w:t xml:space="preserve"> to encourage local governments to formulate and intensify the implementation of programs and projects for older Filipinos. This aims to improve their living conditions to allow them to continue enjoying productive and comfortable lives within the society. </w:t>
      </w:r>
    </w:p>
    <w:p w14:paraId="35154626" w14:textId="77777777" w:rsidR="009753FA" w:rsidRPr="000F3195" w:rsidRDefault="009753FA" w:rsidP="005329E0">
      <w:pPr>
        <w:spacing w:after="0" w:line="276" w:lineRule="auto"/>
        <w:jc w:val="both"/>
        <w:rPr>
          <w:rFonts w:asciiTheme="majorHAnsi" w:hAnsiTheme="majorHAnsi" w:cstheme="majorHAnsi"/>
          <w:lang w:val="en-GB"/>
        </w:rPr>
      </w:pPr>
    </w:p>
    <w:p w14:paraId="2818C22F" w14:textId="6A5C7FAD" w:rsidR="003B2CD9" w:rsidRDefault="003B2CD9" w:rsidP="0049022D">
      <w:pPr>
        <w:spacing w:after="0" w:line="276" w:lineRule="auto"/>
        <w:jc w:val="both"/>
        <w:rPr>
          <w:rFonts w:asciiTheme="majorHAnsi" w:hAnsiTheme="majorHAnsi" w:cstheme="majorHAnsi"/>
          <w:lang w:val="en-GB"/>
        </w:rPr>
      </w:pPr>
      <w:r>
        <w:rPr>
          <w:rFonts w:asciiTheme="majorHAnsi" w:hAnsiTheme="majorHAnsi" w:cstheme="majorHAnsi"/>
          <w:lang w:val="en-GB"/>
        </w:rPr>
        <w:t>T</w:t>
      </w:r>
      <w:r w:rsidR="00061A1A" w:rsidRPr="000F3195">
        <w:rPr>
          <w:rFonts w:asciiTheme="majorHAnsi" w:hAnsiTheme="majorHAnsi" w:cstheme="majorHAnsi"/>
          <w:lang w:val="en-GB"/>
        </w:rPr>
        <w:t xml:space="preserve">he </w:t>
      </w:r>
      <w:r w:rsidR="00EB4929">
        <w:rPr>
          <w:rFonts w:asciiTheme="majorHAnsi" w:hAnsiTheme="majorHAnsi" w:cstheme="majorHAnsi"/>
          <w:lang w:val="en-GB"/>
        </w:rPr>
        <w:t>Government Service Insurance System</w:t>
      </w:r>
      <w:r w:rsidR="00547A3D">
        <w:rPr>
          <w:rFonts w:asciiTheme="majorHAnsi" w:hAnsiTheme="majorHAnsi" w:cstheme="majorHAnsi"/>
          <w:lang w:val="en-GB"/>
        </w:rPr>
        <w:t xml:space="preserve"> (GSIS)</w:t>
      </w:r>
      <w:r w:rsidR="00EB4929">
        <w:rPr>
          <w:rFonts w:asciiTheme="majorHAnsi" w:hAnsiTheme="majorHAnsi" w:cstheme="majorHAnsi"/>
          <w:lang w:val="en-GB"/>
        </w:rPr>
        <w:t xml:space="preserve"> implements programs which are available for all persons regardless of age. These include</w:t>
      </w:r>
      <w:r w:rsidR="00863006">
        <w:rPr>
          <w:rFonts w:asciiTheme="majorHAnsi" w:hAnsiTheme="majorHAnsi" w:cstheme="majorHAnsi"/>
          <w:lang w:val="en-GB"/>
        </w:rPr>
        <w:t xml:space="preserve"> housing loan programs, lease-with-option-to-buy program, and housing loan restructuring and condonation program.</w:t>
      </w:r>
    </w:p>
    <w:p w14:paraId="49FAE3D7" w14:textId="5FDFCF18" w:rsidR="00212F00" w:rsidRPr="0049022D" w:rsidRDefault="00FE7463" w:rsidP="0049022D">
      <w:pPr>
        <w:spacing w:after="0" w:line="276" w:lineRule="auto"/>
        <w:jc w:val="both"/>
        <w:rPr>
          <w:rFonts w:asciiTheme="majorHAnsi" w:hAnsiTheme="majorHAnsi" w:cstheme="majorHAnsi"/>
          <w:lang w:val="en-GB"/>
        </w:rPr>
      </w:pPr>
      <w:r w:rsidRPr="0049022D">
        <w:rPr>
          <w:rFonts w:asciiTheme="majorHAnsi" w:hAnsiTheme="majorHAnsi" w:cstheme="majorHAnsi"/>
          <w:lang w:val="en-GB"/>
        </w:rPr>
        <w:t xml:space="preserve"> </w:t>
      </w:r>
    </w:p>
    <w:p w14:paraId="1CFB59C6" w14:textId="4CC67444" w:rsidR="002D234D" w:rsidRPr="000A00F6" w:rsidRDefault="00B62EE5" w:rsidP="000A00F6">
      <w:pPr>
        <w:pStyle w:val="ListParagraph"/>
        <w:numPr>
          <w:ilvl w:val="0"/>
          <w:numId w:val="25"/>
        </w:numPr>
        <w:spacing w:after="0" w:line="276" w:lineRule="auto"/>
        <w:ind w:left="360"/>
        <w:jc w:val="both"/>
        <w:rPr>
          <w:rFonts w:asciiTheme="majorHAnsi" w:hAnsiTheme="majorHAnsi" w:cstheme="majorHAnsi"/>
          <w:b/>
          <w:lang w:val="en-GB"/>
        </w:rPr>
      </w:pPr>
      <w:r w:rsidRPr="000A00F6">
        <w:rPr>
          <w:rFonts w:asciiTheme="majorHAnsi" w:hAnsiTheme="majorHAnsi" w:cstheme="majorHAnsi"/>
          <w:b/>
          <w:lang w:val="en-GB"/>
        </w:rPr>
        <w:t xml:space="preserve">How are </w:t>
      </w:r>
      <w:r w:rsidRPr="000A00F6">
        <w:rPr>
          <w:rFonts w:asciiTheme="majorHAnsi" w:hAnsiTheme="majorHAnsi" w:cstheme="majorHAnsi"/>
          <w:b/>
          <w:bCs/>
          <w:lang w:val="en-GB"/>
        </w:rPr>
        <w:t>older persons involved and participating</w:t>
      </w:r>
      <w:r w:rsidRPr="000A00F6">
        <w:rPr>
          <w:rFonts w:asciiTheme="majorHAnsi" w:hAnsiTheme="majorHAnsi" w:cstheme="majorHAnsi"/>
          <w:b/>
          <w:lang w:val="en-GB"/>
        </w:rPr>
        <w:t xml:space="preserve"> in the development of action plans, policies or legislation related to housing?</w:t>
      </w:r>
    </w:p>
    <w:p w14:paraId="33B984B0" w14:textId="2DCF9EE6" w:rsidR="00DA78A1" w:rsidRPr="000F3195" w:rsidRDefault="00DA78A1" w:rsidP="005329E0">
      <w:pPr>
        <w:spacing w:after="0" w:line="276" w:lineRule="auto"/>
        <w:jc w:val="both"/>
        <w:rPr>
          <w:rFonts w:asciiTheme="majorHAnsi" w:hAnsiTheme="majorHAnsi" w:cstheme="majorHAnsi"/>
          <w:b/>
          <w:lang w:val="en-GB"/>
        </w:rPr>
      </w:pPr>
    </w:p>
    <w:p w14:paraId="110F9E98" w14:textId="217EB9EB" w:rsidR="00AB42FB" w:rsidRPr="000F3195" w:rsidRDefault="00AB42FB" w:rsidP="005329E0">
      <w:pPr>
        <w:spacing w:after="0" w:line="276" w:lineRule="auto"/>
        <w:jc w:val="both"/>
        <w:rPr>
          <w:rFonts w:asciiTheme="majorHAnsi" w:hAnsiTheme="majorHAnsi" w:cstheme="majorHAnsi"/>
          <w:bCs/>
          <w:lang w:val="en-GB"/>
        </w:rPr>
      </w:pPr>
      <w:r w:rsidRPr="000F3195">
        <w:rPr>
          <w:rFonts w:asciiTheme="majorHAnsi" w:hAnsiTheme="majorHAnsi" w:cstheme="majorHAnsi"/>
          <w:bCs/>
          <w:lang w:val="en-GB"/>
        </w:rPr>
        <w:t xml:space="preserve">RA 9994 </w:t>
      </w:r>
      <w:r w:rsidR="00DE2734" w:rsidRPr="000F3195">
        <w:rPr>
          <w:rFonts w:asciiTheme="majorHAnsi" w:hAnsiTheme="majorHAnsi" w:cstheme="majorHAnsi"/>
          <w:bCs/>
          <w:lang w:val="en-GB"/>
        </w:rPr>
        <w:t xml:space="preserve">mandated the establishment of an Office of the Senior Citizens Affairs (OSCA) in all cities and municipalities in the country. The OSCA, which is headed by a senior citizen, is </w:t>
      </w:r>
      <w:r w:rsidRPr="000F3195">
        <w:rPr>
          <w:rFonts w:asciiTheme="majorHAnsi" w:hAnsiTheme="majorHAnsi" w:cstheme="majorHAnsi"/>
          <w:bCs/>
          <w:lang w:val="en-GB"/>
        </w:rPr>
        <w:t xml:space="preserve">a mechanism for older persons’ </w:t>
      </w:r>
      <w:r w:rsidR="00DE2734" w:rsidRPr="000F3195">
        <w:rPr>
          <w:rFonts w:asciiTheme="majorHAnsi" w:hAnsiTheme="majorHAnsi" w:cstheme="majorHAnsi"/>
          <w:bCs/>
          <w:lang w:val="en-GB"/>
        </w:rPr>
        <w:t xml:space="preserve">direct </w:t>
      </w:r>
      <w:r w:rsidRPr="000F3195">
        <w:rPr>
          <w:rFonts w:asciiTheme="majorHAnsi" w:hAnsiTheme="majorHAnsi" w:cstheme="majorHAnsi"/>
          <w:bCs/>
          <w:lang w:val="en-GB"/>
        </w:rPr>
        <w:t xml:space="preserve">participation </w:t>
      </w:r>
      <w:r w:rsidR="00DE2734" w:rsidRPr="000F3195">
        <w:rPr>
          <w:rFonts w:asciiTheme="majorHAnsi" w:hAnsiTheme="majorHAnsi" w:cstheme="majorHAnsi"/>
          <w:bCs/>
          <w:lang w:val="en-GB"/>
        </w:rPr>
        <w:t>in the development and implementation of programs at the local level.</w:t>
      </w:r>
    </w:p>
    <w:p w14:paraId="15AF2CD0" w14:textId="39E79611" w:rsidR="00DE2734" w:rsidRPr="000F3195" w:rsidRDefault="00DE2734" w:rsidP="005329E0">
      <w:pPr>
        <w:spacing w:after="0" w:line="276" w:lineRule="auto"/>
        <w:jc w:val="both"/>
        <w:rPr>
          <w:rFonts w:asciiTheme="majorHAnsi" w:hAnsiTheme="majorHAnsi" w:cstheme="majorHAnsi"/>
          <w:bCs/>
          <w:lang w:val="en-GB"/>
        </w:rPr>
      </w:pPr>
    </w:p>
    <w:p w14:paraId="0200C6BE" w14:textId="19FB4E6D" w:rsidR="00DE2734" w:rsidRPr="000F3195" w:rsidRDefault="00DE2734" w:rsidP="00DE2734">
      <w:pPr>
        <w:spacing w:after="0" w:line="276" w:lineRule="auto"/>
        <w:jc w:val="both"/>
        <w:rPr>
          <w:rFonts w:asciiTheme="majorHAnsi" w:hAnsiTheme="majorHAnsi" w:cstheme="majorHAnsi"/>
          <w:lang w:val="en-GB"/>
        </w:rPr>
      </w:pPr>
      <w:r w:rsidRPr="000F3195">
        <w:rPr>
          <w:rFonts w:asciiTheme="majorHAnsi" w:hAnsiTheme="majorHAnsi" w:cstheme="majorHAnsi"/>
          <w:bCs/>
          <w:lang w:val="en-GB"/>
        </w:rPr>
        <w:lastRenderedPageBreak/>
        <w:t xml:space="preserve">At the national level, there is the National Commission of Senior Citizens (NCSC) created by </w:t>
      </w:r>
      <w:r w:rsidR="0049022D">
        <w:rPr>
          <w:rFonts w:asciiTheme="majorHAnsi" w:hAnsiTheme="majorHAnsi" w:cstheme="majorHAnsi"/>
          <w:lang w:val="en-GB"/>
        </w:rPr>
        <w:t>RA</w:t>
      </w:r>
      <w:r w:rsidRPr="000F3195">
        <w:rPr>
          <w:rFonts w:asciiTheme="majorHAnsi" w:hAnsiTheme="majorHAnsi" w:cstheme="majorHAnsi"/>
          <w:lang w:val="en-GB"/>
        </w:rPr>
        <w:t xml:space="preserve"> 11350</w:t>
      </w:r>
      <w:r w:rsidRPr="000F3195">
        <w:rPr>
          <w:rStyle w:val="FootnoteReference"/>
          <w:rFonts w:asciiTheme="majorHAnsi" w:hAnsiTheme="majorHAnsi" w:cstheme="majorHAnsi"/>
          <w:lang w:val="en-GB"/>
        </w:rPr>
        <w:footnoteReference w:id="15"/>
      </w:r>
      <w:r w:rsidRPr="000F3195">
        <w:rPr>
          <w:rFonts w:asciiTheme="majorHAnsi" w:hAnsiTheme="majorHAnsi" w:cstheme="majorHAnsi"/>
          <w:lang w:val="en-GB"/>
        </w:rPr>
        <w:t>. The NCSC is mandated to formulate policies for the promotion and protection of the rights and well-being of senior citizens. The law states that the NCSC shall be composed of members at least 60 years old.</w:t>
      </w:r>
    </w:p>
    <w:p w14:paraId="24C85647" w14:textId="77777777" w:rsidR="00863006" w:rsidRPr="0049022D" w:rsidRDefault="00863006" w:rsidP="0049022D">
      <w:pPr>
        <w:spacing w:after="0"/>
        <w:rPr>
          <w:rFonts w:asciiTheme="majorHAnsi" w:hAnsiTheme="majorHAnsi" w:cstheme="majorHAnsi"/>
          <w:b/>
          <w:lang w:val="en-GB"/>
        </w:rPr>
      </w:pPr>
    </w:p>
    <w:p w14:paraId="042F6BBE" w14:textId="642A5565" w:rsidR="00E94491" w:rsidRPr="000F3195" w:rsidRDefault="0049022D" w:rsidP="0049022D">
      <w:pPr>
        <w:spacing w:after="0"/>
        <w:jc w:val="both"/>
        <w:rPr>
          <w:lang w:val="en-GB"/>
        </w:rPr>
      </w:pPr>
      <w:r>
        <w:t>RA 8425 or the “Social Reform and Poverty Alleviation Act”</w:t>
      </w:r>
      <w:r>
        <w:rPr>
          <w:rStyle w:val="FootnoteReference"/>
        </w:rPr>
        <w:footnoteReference w:id="16"/>
      </w:r>
      <w:r>
        <w:t xml:space="preserve"> created the National Anti-Poverty Commission (NAPC) as the coordinating and advisory body for the implementation of the government’s Social Reform Agenda. Basic sectors, including senior citizens, are represented in the NAPC.</w:t>
      </w:r>
      <w:r w:rsidR="006B5891" w:rsidRPr="000F3195">
        <w:rPr>
          <w:rStyle w:val="FootnoteReference"/>
          <w:rFonts w:asciiTheme="majorHAnsi" w:hAnsiTheme="majorHAnsi" w:cstheme="majorHAnsi"/>
          <w:lang w:val="en-GB"/>
        </w:rPr>
        <w:footnoteReference w:id="17"/>
      </w:r>
    </w:p>
    <w:p w14:paraId="13F197DB" w14:textId="0F3BEE78" w:rsidR="00776FD0" w:rsidRPr="000F3195" w:rsidRDefault="00776FD0" w:rsidP="0049022D">
      <w:pPr>
        <w:spacing w:after="0" w:line="276" w:lineRule="auto"/>
        <w:jc w:val="both"/>
        <w:rPr>
          <w:rFonts w:asciiTheme="majorHAnsi" w:hAnsiTheme="majorHAnsi" w:cstheme="majorHAnsi"/>
          <w:b/>
          <w:lang w:val="en-GB"/>
        </w:rPr>
      </w:pPr>
    </w:p>
    <w:p w14:paraId="1867A6C6" w14:textId="70CF4622" w:rsidR="00B7798F" w:rsidRPr="000F3195" w:rsidRDefault="00633239" w:rsidP="00D441CA">
      <w:pPr>
        <w:spacing w:after="0" w:line="276" w:lineRule="auto"/>
        <w:jc w:val="both"/>
        <w:rPr>
          <w:rFonts w:asciiTheme="majorHAnsi" w:hAnsiTheme="majorHAnsi" w:cstheme="majorHAnsi"/>
        </w:rPr>
      </w:pPr>
      <w:r w:rsidRPr="000F3195">
        <w:rPr>
          <w:rFonts w:asciiTheme="majorHAnsi" w:hAnsiTheme="majorHAnsi" w:cstheme="majorHAnsi"/>
        </w:rPr>
        <w:t xml:space="preserve">The </w:t>
      </w:r>
      <w:r w:rsidR="00AB75B9">
        <w:rPr>
          <w:rFonts w:asciiTheme="majorHAnsi" w:hAnsiTheme="majorHAnsi" w:cstheme="majorHAnsi"/>
        </w:rPr>
        <w:t>DHSUD</w:t>
      </w:r>
      <w:r w:rsidRPr="000F3195">
        <w:rPr>
          <w:rFonts w:asciiTheme="majorHAnsi" w:hAnsiTheme="majorHAnsi" w:cstheme="majorHAnsi"/>
        </w:rPr>
        <w:t xml:space="preserve"> gives premium to "Community Development" which refers to the process of empowering communities, particularly housing development beneficiaries, through social preparation and participatory planning, development and implementation of programs, projects and activities that will enable the community to be self-reliant and attain a better quality of life. </w:t>
      </w:r>
      <w:r w:rsidR="00AB75B9">
        <w:rPr>
          <w:rFonts w:asciiTheme="majorHAnsi" w:hAnsiTheme="majorHAnsi" w:cstheme="majorHAnsi"/>
        </w:rPr>
        <w:t>The IRR of RA 11201 of the law provides that</w:t>
      </w:r>
      <w:r w:rsidRPr="000F3195">
        <w:rPr>
          <w:rFonts w:asciiTheme="majorHAnsi" w:hAnsiTheme="majorHAnsi" w:cstheme="majorHAnsi"/>
        </w:rPr>
        <w:t xml:space="preserve"> </w:t>
      </w:r>
      <w:r w:rsidR="00617944" w:rsidRPr="000F3195">
        <w:rPr>
          <w:rFonts w:asciiTheme="majorHAnsi" w:hAnsiTheme="majorHAnsi" w:cstheme="majorHAnsi"/>
        </w:rPr>
        <w:t>“</w:t>
      </w:r>
      <w:r w:rsidRPr="000F3195">
        <w:rPr>
          <w:rFonts w:asciiTheme="majorHAnsi" w:hAnsiTheme="majorHAnsi" w:cstheme="majorHAnsi"/>
        </w:rPr>
        <w:t>in formulating public housing policies and programs, they shall encourage participation of and partnership with and among LGUs and CSOs, NGOs, private groups and communities</w:t>
      </w:r>
      <w:r w:rsidR="00617944" w:rsidRPr="000F3195">
        <w:rPr>
          <w:rFonts w:asciiTheme="majorHAnsi" w:hAnsiTheme="majorHAnsi" w:cstheme="majorHAnsi"/>
        </w:rPr>
        <w:t>”</w:t>
      </w:r>
      <w:r w:rsidR="00617944" w:rsidRPr="000F3195">
        <w:rPr>
          <w:rStyle w:val="FootnoteReference"/>
          <w:rFonts w:asciiTheme="majorHAnsi" w:hAnsiTheme="majorHAnsi" w:cstheme="majorHAnsi"/>
        </w:rPr>
        <w:footnoteReference w:id="18"/>
      </w:r>
      <w:r w:rsidRPr="000F3195">
        <w:rPr>
          <w:rFonts w:asciiTheme="majorHAnsi" w:hAnsiTheme="majorHAnsi" w:cstheme="majorHAnsi"/>
        </w:rPr>
        <w:t>.</w:t>
      </w:r>
      <w:r w:rsidR="00B7798F" w:rsidRPr="000F3195">
        <w:rPr>
          <w:rFonts w:asciiTheme="majorHAnsi" w:hAnsiTheme="majorHAnsi" w:cstheme="majorHAnsi"/>
        </w:rPr>
        <w:t xml:space="preserve"> In addition, RA 11021 highlights the People’s Plan or People’s Proposal</w:t>
      </w:r>
      <w:r w:rsidR="00411CBC">
        <w:rPr>
          <w:rFonts w:asciiTheme="majorHAnsi" w:hAnsiTheme="majorHAnsi" w:cstheme="majorHAnsi"/>
        </w:rPr>
        <w:t xml:space="preserve"> which</w:t>
      </w:r>
      <w:r w:rsidR="00B7798F" w:rsidRPr="000F3195">
        <w:rPr>
          <w:rFonts w:asciiTheme="majorHAnsi" w:hAnsiTheme="majorHAnsi" w:cstheme="majorHAnsi"/>
        </w:rPr>
        <w:t xml:space="preserve"> is </w:t>
      </w:r>
      <w:r w:rsidR="00411CBC">
        <w:rPr>
          <w:rFonts w:asciiTheme="majorHAnsi" w:hAnsiTheme="majorHAnsi" w:cstheme="majorHAnsi"/>
        </w:rPr>
        <w:t>allows</w:t>
      </w:r>
      <w:r w:rsidR="00B7798F" w:rsidRPr="000F3195">
        <w:rPr>
          <w:rFonts w:asciiTheme="majorHAnsi" w:hAnsiTheme="majorHAnsi" w:cstheme="majorHAnsi"/>
        </w:rPr>
        <w:t xml:space="preserve"> affected individuals and families to meaningfully participate and design their own resettlement community. It provides for an alternative shelter planning approach by which the bottom-up approach is integrated.</w:t>
      </w:r>
    </w:p>
    <w:p w14:paraId="11DF754A" w14:textId="735E1E1D" w:rsidR="00547A3D" w:rsidRPr="000F3195" w:rsidRDefault="00547A3D" w:rsidP="009D4182">
      <w:pPr>
        <w:spacing w:after="0" w:line="276" w:lineRule="auto"/>
        <w:jc w:val="both"/>
        <w:rPr>
          <w:rFonts w:asciiTheme="majorHAnsi" w:hAnsiTheme="majorHAnsi" w:cstheme="majorHAnsi"/>
        </w:rPr>
      </w:pPr>
    </w:p>
    <w:p w14:paraId="2A35BFCF" w14:textId="7CB63D9C" w:rsidR="00B62EE5" w:rsidRPr="000A00F6" w:rsidRDefault="00B62EE5" w:rsidP="000A00F6">
      <w:pPr>
        <w:pStyle w:val="ListParagraph"/>
        <w:numPr>
          <w:ilvl w:val="0"/>
          <w:numId w:val="25"/>
        </w:numPr>
        <w:spacing w:after="0" w:line="276" w:lineRule="auto"/>
        <w:ind w:left="360"/>
        <w:jc w:val="both"/>
        <w:rPr>
          <w:rFonts w:asciiTheme="majorHAnsi" w:hAnsiTheme="majorHAnsi" w:cstheme="majorHAnsi"/>
          <w:b/>
          <w:lang w:val="en-GB"/>
        </w:rPr>
      </w:pPr>
      <w:r w:rsidRPr="000A00F6">
        <w:rPr>
          <w:rFonts w:asciiTheme="majorHAnsi" w:hAnsiTheme="majorHAnsi" w:cstheme="majorHAnsi"/>
          <w:b/>
          <w:lang w:val="en-GB"/>
        </w:rPr>
        <w:t xml:space="preserve">What </w:t>
      </w:r>
      <w:r w:rsidRPr="000A00F6">
        <w:rPr>
          <w:rFonts w:asciiTheme="majorHAnsi" w:hAnsiTheme="majorHAnsi" w:cstheme="majorHAnsi"/>
          <w:b/>
          <w:bCs/>
          <w:lang w:val="en-GB"/>
        </w:rPr>
        <w:t>challenges, barriers and forms of discrimination</w:t>
      </w:r>
      <w:r w:rsidRPr="000A00F6">
        <w:rPr>
          <w:rFonts w:asciiTheme="majorHAnsi" w:hAnsiTheme="majorHAnsi" w:cstheme="majorHAnsi"/>
          <w:b/>
          <w:lang w:val="en-GB"/>
        </w:rPr>
        <w:t xml:space="preserve"> are faced by older persons in fulfilling their right to adequate housing? Please also include any existing legislation, policy or practice. Please also state how it impact</w:t>
      </w:r>
      <w:r w:rsidR="00865F86">
        <w:rPr>
          <w:rFonts w:asciiTheme="majorHAnsi" w:hAnsiTheme="majorHAnsi" w:cstheme="majorHAnsi"/>
          <w:b/>
          <w:lang w:val="en-GB"/>
        </w:rPr>
        <w:t>s</w:t>
      </w:r>
      <w:r w:rsidRPr="000A00F6">
        <w:rPr>
          <w:rFonts w:asciiTheme="majorHAnsi" w:hAnsiTheme="majorHAnsi" w:cstheme="majorHAnsi"/>
          <w:b/>
          <w:lang w:val="en-GB"/>
        </w:rPr>
        <w:t xml:space="preserve"> older persons’ enjoyment of other human rights.</w:t>
      </w:r>
    </w:p>
    <w:p w14:paraId="79A4AB71" w14:textId="1B7BD048" w:rsidR="00CE44C3" w:rsidRDefault="00CE44C3" w:rsidP="005329E0">
      <w:pPr>
        <w:spacing w:after="0" w:line="276" w:lineRule="auto"/>
        <w:jc w:val="both"/>
        <w:rPr>
          <w:rFonts w:asciiTheme="majorHAnsi" w:hAnsiTheme="majorHAnsi" w:cstheme="majorHAnsi"/>
          <w:b/>
          <w:lang w:val="en-GB"/>
        </w:rPr>
      </w:pPr>
    </w:p>
    <w:p w14:paraId="67150123" w14:textId="3D583D3A" w:rsidR="004E2FC1" w:rsidRDefault="00865F86" w:rsidP="005329E0">
      <w:pPr>
        <w:spacing w:after="0" w:line="276" w:lineRule="auto"/>
        <w:jc w:val="both"/>
        <w:rPr>
          <w:rFonts w:asciiTheme="majorHAnsi" w:hAnsiTheme="majorHAnsi" w:cstheme="majorHAnsi"/>
          <w:bCs/>
          <w:lang w:val="en-GB"/>
        </w:rPr>
      </w:pPr>
      <w:r>
        <w:rPr>
          <w:rFonts w:asciiTheme="majorHAnsi" w:hAnsiTheme="majorHAnsi" w:cstheme="majorHAnsi"/>
          <w:bCs/>
          <w:lang w:val="en-GB"/>
        </w:rPr>
        <w:t xml:space="preserve">One of the main challenges faced by older Filipinos is poverty. </w:t>
      </w:r>
      <w:r w:rsidR="00CE44C3" w:rsidRPr="000F3195">
        <w:rPr>
          <w:rFonts w:asciiTheme="majorHAnsi" w:hAnsiTheme="majorHAnsi" w:cstheme="majorHAnsi"/>
          <w:lang w:val="en-GB"/>
        </w:rPr>
        <w:t xml:space="preserve">Latest poverty estimates </w:t>
      </w:r>
      <w:r w:rsidR="00772059" w:rsidRPr="000F3195">
        <w:rPr>
          <w:rFonts w:asciiTheme="majorHAnsi" w:hAnsiTheme="majorHAnsi" w:cstheme="majorHAnsi"/>
          <w:lang w:val="en-GB"/>
        </w:rPr>
        <w:t>place around 9.1</w:t>
      </w:r>
      <w:r w:rsidR="004E545C">
        <w:rPr>
          <w:rFonts w:asciiTheme="majorHAnsi" w:hAnsiTheme="majorHAnsi" w:cstheme="majorHAnsi"/>
          <w:lang w:val="en-GB"/>
        </w:rPr>
        <w:t xml:space="preserve">% </w:t>
      </w:r>
      <w:r w:rsidR="00772059" w:rsidRPr="000F3195">
        <w:rPr>
          <w:rFonts w:asciiTheme="majorHAnsi" w:hAnsiTheme="majorHAnsi" w:cstheme="majorHAnsi"/>
          <w:lang w:val="en-GB"/>
        </w:rPr>
        <w:t>of senior citizens as poor</w:t>
      </w:r>
      <w:r w:rsidR="003D2217" w:rsidRPr="000F3195">
        <w:rPr>
          <w:rFonts w:asciiTheme="majorHAnsi" w:hAnsiTheme="majorHAnsi" w:cstheme="majorHAnsi"/>
          <w:lang w:val="en-GB"/>
        </w:rPr>
        <w:t>.</w:t>
      </w:r>
      <w:r w:rsidR="00772059" w:rsidRPr="000F3195">
        <w:rPr>
          <w:rStyle w:val="FootnoteReference"/>
          <w:rFonts w:asciiTheme="majorHAnsi" w:hAnsiTheme="majorHAnsi" w:cstheme="majorHAnsi"/>
          <w:lang w:val="en-GB"/>
        </w:rPr>
        <w:footnoteReference w:id="19"/>
      </w:r>
      <w:r w:rsidR="003D2217" w:rsidRPr="000F3195">
        <w:rPr>
          <w:rFonts w:asciiTheme="majorHAnsi" w:hAnsiTheme="majorHAnsi" w:cstheme="majorHAnsi"/>
          <w:lang w:val="en-GB"/>
        </w:rPr>
        <w:t xml:space="preserve"> </w:t>
      </w:r>
      <w:r w:rsidR="005C4F01">
        <w:rPr>
          <w:rFonts w:asciiTheme="majorHAnsi" w:hAnsiTheme="majorHAnsi" w:cstheme="majorHAnsi"/>
          <w:bCs/>
          <w:lang w:val="en-GB"/>
        </w:rPr>
        <w:t>Pension is not a source of economic viability for most older persons as more than a third receive no pension at all.</w:t>
      </w:r>
      <w:r w:rsidR="005C4F01">
        <w:rPr>
          <w:rStyle w:val="FootnoteReference"/>
          <w:rFonts w:asciiTheme="majorHAnsi" w:hAnsiTheme="majorHAnsi" w:cstheme="majorHAnsi"/>
          <w:bCs/>
          <w:lang w:val="en-GB"/>
        </w:rPr>
        <w:footnoteReference w:id="20"/>
      </w:r>
      <w:r w:rsidR="004E2FC1">
        <w:rPr>
          <w:rFonts w:asciiTheme="majorHAnsi" w:hAnsiTheme="majorHAnsi" w:cstheme="majorHAnsi"/>
          <w:bCs/>
          <w:lang w:val="en-GB"/>
        </w:rPr>
        <w:t xml:space="preserve"> The </w:t>
      </w:r>
      <w:proofErr w:type="spellStart"/>
      <w:r w:rsidR="004E2FC1">
        <w:rPr>
          <w:rFonts w:asciiTheme="majorHAnsi" w:hAnsiTheme="majorHAnsi" w:cstheme="majorHAnsi"/>
          <w:bCs/>
          <w:lang w:val="en-GB"/>
        </w:rPr>
        <w:t>meager</w:t>
      </w:r>
      <w:proofErr w:type="spellEnd"/>
      <w:r w:rsidR="004E2FC1">
        <w:rPr>
          <w:rFonts w:asciiTheme="majorHAnsi" w:hAnsiTheme="majorHAnsi" w:cstheme="majorHAnsi"/>
          <w:bCs/>
          <w:lang w:val="en-GB"/>
        </w:rPr>
        <w:t xml:space="preserve"> social pension does not address the coverage gap of contributory pension.</w:t>
      </w:r>
    </w:p>
    <w:p w14:paraId="56001AE3" w14:textId="77777777" w:rsidR="004E2FC1" w:rsidRDefault="004E2FC1" w:rsidP="005329E0">
      <w:pPr>
        <w:spacing w:after="0" w:line="276" w:lineRule="auto"/>
        <w:jc w:val="both"/>
        <w:rPr>
          <w:rFonts w:asciiTheme="majorHAnsi" w:hAnsiTheme="majorHAnsi" w:cstheme="majorHAnsi"/>
          <w:bCs/>
          <w:lang w:val="en-GB"/>
        </w:rPr>
      </w:pPr>
    </w:p>
    <w:p w14:paraId="2AA06E09" w14:textId="2BD99A45" w:rsidR="005C4F01" w:rsidRDefault="005C4F01" w:rsidP="005329E0">
      <w:pPr>
        <w:spacing w:after="0" w:line="276" w:lineRule="auto"/>
        <w:jc w:val="both"/>
        <w:rPr>
          <w:rFonts w:asciiTheme="majorHAnsi" w:hAnsiTheme="majorHAnsi" w:cstheme="majorHAnsi"/>
          <w:bCs/>
          <w:lang w:val="en-GB"/>
        </w:rPr>
      </w:pPr>
      <w:r>
        <w:rPr>
          <w:rFonts w:asciiTheme="majorHAnsi" w:hAnsiTheme="majorHAnsi" w:cstheme="majorHAnsi"/>
          <w:bCs/>
          <w:lang w:val="en-GB"/>
        </w:rPr>
        <w:t>Out of necessity, a number of older persons continue to engage in informal work. Even among older persons aged 80 years and above, 7% continue to rely on earnings from work, mainly informal work, as a source of income.</w:t>
      </w:r>
      <w:r>
        <w:rPr>
          <w:rStyle w:val="FootnoteReference"/>
          <w:rFonts w:asciiTheme="majorHAnsi" w:hAnsiTheme="majorHAnsi" w:cstheme="majorHAnsi"/>
          <w:bCs/>
          <w:lang w:val="en-GB"/>
        </w:rPr>
        <w:footnoteReference w:id="21"/>
      </w:r>
    </w:p>
    <w:p w14:paraId="19186396" w14:textId="77777777" w:rsidR="004E2FC1" w:rsidRDefault="004E2FC1" w:rsidP="005329E0">
      <w:pPr>
        <w:spacing w:after="0" w:line="276" w:lineRule="auto"/>
        <w:jc w:val="both"/>
        <w:rPr>
          <w:rFonts w:asciiTheme="majorHAnsi" w:hAnsiTheme="majorHAnsi" w:cstheme="majorHAnsi"/>
          <w:lang w:val="en-GB"/>
        </w:rPr>
      </w:pPr>
    </w:p>
    <w:p w14:paraId="26756B17" w14:textId="2DDEB5D3" w:rsidR="004E2FC1" w:rsidRDefault="004E2FC1" w:rsidP="004E2FC1">
      <w:pPr>
        <w:spacing w:after="0" w:line="276" w:lineRule="auto"/>
        <w:jc w:val="both"/>
        <w:rPr>
          <w:rFonts w:asciiTheme="majorHAnsi" w:hAnsiTheme="majorHAnsi" w:cstheme="majorHAnsi"/>
          <w:lang w:val="en-GB"/>
        </w:rPr>
      </w:pPr>
      <w:r>
        <w:rPr>
          <w:rFonts w:asciiTheme="majorHAnsi" w:hAnsiTheme="majorHAnsi" w:cstheme="majorHAnsi"/>
          <w:lang w:val="en-GB"/>
        </w:rPr>
        <w:t>The Philippines prohibits age discrimination in employment settings under RA 10911 or the “Anti-Age Discrimination in Employment Act”</w:t>
      </w:r>
      <w:r>
        <w:rPr>
          <w:rStyle w:val="FootnoteReference"/>
          <w:rFonts w:asciiTheme="majorHAnsi" w:hAnsiTheme="majorHAnsi" w:cstheme="majorHAnsi"/>
          <w:lang w:val="en-GB"/>
        </w:rPr>
        <w:footnoteReference w:id="22"/>
      </w:r>
      <w:r>
        <w:rPr>
          <w:rFonts w:asciiTheme="majorHAnsi" w:hAnsiTheme="majorHAnsi" w:cstheme="majorHAnsi"/>
          <w:lang w:val="en-GB"/>
        </w:rPr>
        <w:t>. The implication of this law on older persons’ right to equal opportunity in employment, including on mandatory retirement policies based on old age, is yet to be seen.</w:t>
      </w:r>
    </w:p>
    <w:p w14:paraId="53F21C58" w14:textId="0A363AC2" w:rsidR="004E2FC1" w:rsidRDefault="004E2FC1" w:rsidP="004E2FC1">
      <w:pPr>
        <w:spacing w:after="0" w:line="276" w:lineRule="auto"/>
        <w:jc w:val="both"/>
        <w:rPr>
          <w:rFonts w:asciiTheme="majorHAnsi" w:hAnsiTheme="majorHAnsi" w:cstheme="majorHAnsi"/>
          <w:lang w:val="en-GB"/>
        </w:rPr>
      </w:pPr>
    </w:p>
    <w:p w14:paraId="69E5BF4F" w14:textId="77777777" w:rsidR="000A00F6" w:rsidRDefault="004E2FC1" w:rsidP="004E545C">
      <w:pPr>
        <w:spacing w:after="0" w:line="276" w:lineRule="auto"/>
        <w:jc w:val="both"/>
        <w:rPr>
          <w:rFonts w:asciiTheme="majorHAnsi" w:hAnsiTheme="majorHAnsi" w:cstheme="majorHAnsi"/>
          <w:lang w:val="en-GB"/>
        </w:rPr>
      </w:pPr>
      <w:r>
        <w:rPr>
          <w:rFonts w:asciiTheme="majorHAnsi" w:hAnsiTheme="majorHAnsi" w:cstheme="majorHAnsi"/>
          <w:lang w:val="en-GB"/>
        </w:rPr>
        <w:lastRenderedPageBreak/>
        <w:t>Because of their reduced, if not non-existent, financial capability, many older persons are unable to pay for increasing cost of rent. They also find it difficult to access GSIS housing loan programs despite being made available to them.</w:t>
      </w:r>
    </w:p>
    <w:p w14:paraId="7342788D" w14:textId="77777777" w:rsidR="000A00F6" w:rsidRDefault="000A00F6" w:rsidP="000A00F6">
      <w:pPr>
        <w:spacing w:after="0" w:line="276" w:lineRule="auto"/>
        <w:jc w:val="both"/>
        <w:rPr>
          <w:rFonts w:asciiTheme="majorHAnsi" w:hAnsiTheme="majorHAnsi" w:cstheme="majorHAnsi"/>
          <w:lang w:val="en-GB"/>
        </w:rPr>
      </w:pPr>
    </w:p>
    <w:p w14:paraId="0741644C" w14:textId="007FF84B" w:rsidR="004E545C" w:rsidRPr="000F3195" w:rsidRDefault="000A00F6" w:rsidP="000A00F6">
      <w:pPr>
        <w:spacing w:after="0" w:line="276" w:lineRule="auto"/>
        <w:jc w:val="both"/>
        <w:rPr>
          <w:rFonts w:cstheme="minorHAnsi"/>
          <w:lang w:val="en-GB"/>
        </w:rPr>
      </w:pPr>
      <w:r w:rsidRPr="000F3195">
        <w:rPr>
          <w:rFonts w:asciiTheme="majorHAnsi" w:hAnsiTheme="majorHAnsi" w:cstheme="majorHAnsi"/>
          <w:lang w:val="en-GB"/>
        </w:rPr>
        <w:t>Intergenerational family solidarity remains strong and co-residence with family members is still the most common living arrangement for many older Filipinos.</w:t>
      </w:r>
      <w:r w:rsidRPr="000F3195">
        <w:rPr>
          <w:rStyle w:val="FootnoteReference"/>
          <w:rFonts w:asciiTheme="majorHAnsi" w:hAnsiTheme="majorHAnsi" w:cstheme="majorHAnsi"/>
          <w:lang w:val="en-GB"/>
        </w:rPr>
        <w:footnoteReference w:id="23"/>
      </w:r>
      <w:r w:rsidRPr="000F3195">
        <w:rPr>
          <w:rFonts w:asciiTheme="majorHAnsi" w:hAnsiTheme="majorHAnsi" w:cstheme="majorHAnsi"/>
          <w:lang w:val="en-GB"/>
        </w:rPr>
        <w:t xml:space="preserve"> Long-term</w:t>
      </w:r>
      <w:r>
        <w:rPr>
          <w:rFonts w:asciiTheme="majorHAnsi" w:hAnsiTheme="majorHAnsi" w:cstheme="majorHAnsi"/>
          <w:lang w:val="en-GB"/>
        </w:rPr>
        <w:t xml:space="preserve"> care</w:t>
      </w:r>
      <w:r w:rsidRPr="000F3195">
        <w:rPr>
          <w:rFonts w:asciiTheme="majorHAnsi" w:hAnsiTheme="majorHAnsi" w:cstheme="majorHAnsi"/>
          <w:lang w:val="en-GB"/>
        </w:rPr>
        <w:t xml:space="preserve"> is mostly in the hands of the family and kin, making them highly dependent on their children.</w:t>
      </w:r>
      <w:r w:rsidRPr="000F3195">
        <w:rPr>
          <w:rStyle w:val="FootnoteReference"/>
          <w:rFonts w:asciiTheme="majorHAnsi" w:hAnsiTheme="majorHAnsi" w:cstheme="majorHAnsi"/>
          <w:lang w:val="en-GB"/>
        </w:rPr>
        <w:footnoteReference w:id="24"/>
      </w:r>
      <w:r>
        <w:rPr>
          <w:rFonts w:asciiTheme="majorHAnsi" w:hAnsiTheme="majorHAnsi" w:cstheme="majorHAnsi"/>
          <w:lang w:val="en-GB"/>
        </w:rPr>
        <w:t xml:space="preserve"> However, in </w:t>
      </w:r>
      <w:r w:rsidR="004E545C" w:rsidRPr="000F3195">
        <w:rPr>
          <w:rFonts w:cstheme="minorHAnsi"/>
        </w:rPr>
        <w:t xml:space="preserve">some instances, </w:t>
      </w:r>
      <w:r>
        <w:rPr>
          <w:rFonts w:cstheme="minorHAnsi"/>
        </w:rPr>
        <w:t xml:space="preserve">properties of </w:t>
      </w:r>
      <w:r w:rsidR="004E545C" w:rsidRPr="000F3195">
        <w:rPr>
          <w:rFonts w:cstheme="minorHAnsi"/>
        </w:rPr>
        <w:t>older persons</w:t>
      </w:r>
      <w:r>
        <w:rPr>
          <w:rFonts w:cstheme="minorHAnsi"/>
        </w:rPr>
        <w:t>, such as a house,</w:t>
      </w:r>
      <w:r w:rsidR="004E545C" w:rsidRPr="000F3195">
        <w:rPr>
          <w:rFonts w:cstheme="minorHAnsi"/>
        </w:rPr>
        <w:t xml:space="preserve"> </w:t>
      </w:r>
      <w:r>
        <w:rPr>
          <w:rFonts w:cstheme="minorHAnsi"/>
        </w:rPr>
        <w:t xml:space="preserve">are </w:t>
      </w:r>
      <w:r w:rsidR="004E545C" w:rsidRPr="000F3195">
        <w:rPr>
          <w:rFonts w:cstheme="minorHAnsi"/>
        </w:rPr>
        <w:t>grab</w:t>
      </w:r>
      <w:r>
        <w:rPr>
          <w:rFonts w:cstheme="minorHAnsi"/>
        </w:rPr>
        <w:t xml:space="preserve">bed from them where </w:t>
      </w:r>
      <w:r w:rsidR="004E545C" w:rsidRPr="000F3195">
        <w:rPr>
          <w:rFonts w:cstheme="minorHAnsi"/>
        </w:rPr>
        <w:t>in some cases the perpetrators are family members.</w:t>
      </w:r>
      <w:r w:rsidR="004E545C" w:rsidRPr="000F3195">
        <w:rPr>
          <w:rStyle w:val="FootnoteReference"/>
          <w:rFonts w:cstheme="minorHAnsi"/>
        </w:rPr>
        <w:footnoteReference w:id="25"/>
      </w:r>
    </w:p>
    <w:p w14:paraId="02B64E5A" w14:textId="77777777" w:rsidR="005C4F01" w:rsidRDefault="005C4F01" w:rsidP="005329E0">
      <w:pPr>
        <w:spacing w:after="0" w:line="276" w:lineRule="auto"/>
        <w:jc w:val="both"/>
        <w:rPr>
          <w:rFonts w:asciiTheme="majorHAnsi" w:hAnsiTheme="majorHAnsi" w:cstheme="majorHAnsi"/>
          <w:lang w:val="en-GB"/>
        </w:rPr>
      </w:pPr>
    </w:p>
    <w:p w14:paraId="3F110079" w14:textId="04E24E11" w:rsidR="007E333F" w:rsidRPr="000F3195" w:rsidRDefault="005C4F01" w:rsidP="00D441CA">
      <w:pPr>
        <w:spacing w:after="0" w:line="276" w:lineRule="auto"/>
        <w:jc w:val="both"/>
        <w:rPr>
          <w:rFonts w:asciiTheme="majorHAnsi" w:hAnsiTheme="majorHAnsi" w:cstheme="majorHAnsi"/>
          <w:lang w:val="en-GB"/>
        </w:rPr>
      </w:pPr>
      <w:r>
        <w:rPr>
          <w:rFonts w:asciiTheme="majorHAnsi" w:hAnsiTheme="majorHAnsi" w:cstheme="majorHAnsi"/>
          <w:lang w:val="en-GB"/>
        </w:rPr>
        <w:t>Older Filipinos</w:t>
      </w:r>
      <w:r w:rsidRPr="000F3195">
        <w:rPr>
          <w:rFonts w:asciiTheme="majorHAnsi" w:hAnsiTheme="majorHAnsi" w:cstheme="majorHAnsi"/>
          <w:lang w:val="en-GB"/>
        </w:rPr>
        <w:t xml:space="preserve"> </w:t>
      </w:r>
      <w:r w:rsidR="003D2217" w:rsidRPr="000F3195">
        <w:rPr>
          <w:rFonts w:asciiTheme="majorHAnsi" w:hAnsiTheme="majorHAnsi" w:cstheme="majorHAnsi"/>
          <w:lang w:val="en-GB"/>
        </w:rPr>
        <w:t>also have disparate access to health and food across income deciles. When comparing income deciles, those in the first spend more on food than health (89.3% of their total monthly expenditures vs. 2.3%), whereas those in the tenth have higher expenditures for health (26.0% on food and 7.3% on health).</w:t>
      </w:r>
      <w:r w:rsidR="003D2217" w:rsidRPr="000F3195">
        <w:rPr>
          <w:rStyle w:val="FootnoteReference"/>
          <w:rFonts w:asciiTheme="majorHAnsi" w:hAnsiTheme="majorHAnsi" w:cstheme="majorHAnsi"/>
          <w:lang w:val="en-GB"/>
        </w:rPr>
        <w:footnoteReference w:id="26"/>
      </w:r>
      <w:r w:rsidR="007E333F" w:rsidRPr="000F3195">
        <w:rPr>
          <w:rFonts w:asciiTheme="majorHAnsi" w:hAnsiTheme="majorHAnsi" w:cstheme="majorHAnsi"/>
          <w:lang w:val="en-GB"/>
        </w:rPr>
        <w:t xml:space="preserve"> </w:t>
      </w:r>
      <w:r w:rsidR="004542B1" w:rsidRPr="000F3195">
        <w:rPr>
          <w:rFonts w:asciiTheme="majorHAnsi" w:hAnsiTheme="majorHAnsi" w:cstheme="majorHAnsi"/>
          <w:lang w:val="en-GB"/>
        </w:rPr>
        <w:t>Expectedly, many older Filipinos are also in poor health due to functional health difficulty as measured in terms of self-care, functional disability, independent living disability, and bed disability.</w:t>
      </w:r>
      <w:r w:rsidR="004542B1" w:rsidRPr="000F3195">
        <w:rPr>
          <w:rStyle w:val="FootnoteReference"/>
          <w:rFonts w:asciiTheme="majorHAnsi" w:hAnsiTheme="majorHAnsi" w:cstheme="majorHAnsi"/>
          <w:lang w:val="en-GB"/>
        </w:rPr>
        <w:footnoteReference w:id="27"/>
      </w:r>
      <w:r w:rsidR="00AF7B1D" w:rsidRPr="000F3195">
        <w:rPr>
          <w:rFonts w:asciiTheme="majorHAnsi" w:hAnsiTheme="majorHAnsi" w:cstheme="majorHAnsi"/>
          <w:lang w:val="en-GB"/>
        </w:rPr>
        <w:t xml:space="preserve"> While older persons </w:t>
      </w:r>
      <w:r w:rsidR="00357094" w:rsidRPr="000F3195">
        <w:rPr>
          <w:rFonts w:asciiTheme="majorHAnsi" w:hAnsiTheme="majorHAnsi" w:cstheme="majorHAnsi"/>
          <w:lang w:val="en-GB"/>
        </w:rPr>
        <w:t>are covered by the national health insurance program, the benefits remain inadequate to cover the full cost of healthcare, especially outpatient care which make for high level of out-of-pocket expenses.</w:t>
      </w:r>
      <w:r w:rsidR="00357094" w:rsidRPr="000F3195">
        <w:rPr>
          <w:rStyle w:val="FootnoteReference"/>
          <w:rFonts w:asciiTheme="majorHAnsi" w:hAnsiTheme="majorHAnsi" w:cstheme="majorHAnsi"/>
          <w:lang w:val="en-GB"/>
        </w:rPr>
        <w:footnoteReference w:id="28"/>
      </w:r>
      <w:r w:rsidR="007E333F" w:rsidRPr="000F3195">
        <w:rPr>
          <w:rFonts w:asciiTheme="majorHAnsi" w:hAnsiTheme="majorHAnsi" w:cstheme="majorHAnsi"/>
          <w:lang w:val="en-GB"/>
        </w:rPr>
        <w:t xml:space="preserve"> </w:t>
      </w:r>
    </w:p>
    <w:p w14:paraId="524D880C" w14:textId="03690789" w:rsidR="002C3246" w:rsidRDefault="002C3246" w:rsidP="00D441CA">
      <w:pPr>
        <w:spacing w:after="0" w:line="276" w:lineRule="auto"/>
        <w:jc w:val="both"/>
        <w:rPr>
          <w:rFonts w:asciiTheme="majorHAnsi" w:hAnsiTheme="majorHAnsi" w:cstheme="majorHAnsi"/>
          <w:lang w:val="en-GB"/>
        </w:rPr>
      </w:pPr>
    </w:p>
    <w:p w14:paraId="7794EAAF" w14:textId="0EADBF36" w:rsidR="00954225" w:rsidRPr="000F3195" w:rsidRDefault="002C3246" w:rsidP="00954225">
      <w:pPr>
        <w:spacing w:after="0" w:line="276" w:lineRule="auto"/>
        <w:jc w:val="both"/>
        <w:rPr>
          <w:rFonts w:asciiTheme="majorHAnsi" w:hAnsiTheme="majorHAnsi" w:cstheme="majorHAnsi"/>
          <w:lang w:val="en-GB"/>
        </w:rPr>
      </w:pPr>
      <w:r>
        <w:rPr>
          <w:rFonts w:asciiTheme="majorHAnsi" w:hAnsiTheme="majorHAnsi" w:cstheme="majorHAnsi"/>
          <w:lang w:val="en-US"/>
        </w:rPr>
        <w:t>There are also age requirements in housing financing schemes. The Home Development Mutual Fund (HDMF)</w:t>
      </w:r>
      <w:r>
        <w:rPr>
          <w:rStyle w:val="FootnoteReference"/>
          <w:rFonts w:asciiTheme="majorHAnsi" w:hAnsiTheme="majorHAnsi" w:cstheme="majorHAnsi"/>
          <w:lang w:val="en-US"/>
        </w:rPr>
        <w:footnoteReference w:id="29"/>
      </w:r>
      <w:r>
        <w:rPr>
          <w:rFonts w:asciiTheme="majorHAnsi" w:hAnsiTheme="majorHAnsi" w:cstheme="majorHAnsi"/>
          <w:lang w:val="en-US"/>
        </w:rPr>
        <w:t xml:space="preserve"> </w:t>
      </w:r>
      <w:r w:rsidRPr="000F3195">
        <w:rPr>
          <w:rFonts w:asciiTheme="majorHAnsi" w:hAnsiTheme="majorHAnsi" w:cstheme="majorHAnsi"/>
        </w:rPr>
        <w:t>has an Affordable/ Socialized Housing Loan Program for the low-income sector, including</w:t>
      </w:r>
      <w:r>
        <w:rPr>
          <w:rFonts w:asciiTheme="majorHAnsi" w:hAnsiTheme="majorHAnsi" w:cstheme="majorHAnsi"/>
        </w:rPr>
        <w:t xml:space="preserve"> senior citizen. However, the HDMF program requires that t</w:t>
      </w:r>
      <w:r w:rsidRPr="000F3195">
        <w:rPr>
          <w:rFonts w:asciiTheme="majorHAnsi" w:hAnsiTheme="majorHAnsi" w:cstheme="majorHAnsi"/>
        </w:rPr>
        <w:t xml:space="preserve">he borrower must not be more than 65 years </w:t>
      </w:r>
      <w:r>
        <w:rPr>
          <w:rFonts w:asciiTheme="majorHAnsi" w:hAnsiTheme="majorHAnsi" w:cstheme="majorHAnsi"/>
        </w:rPr>
        <w:t>old</w:t>
      </w:r>
      <w:r w:rsidRPr="000F3195">
        <w:rPr>
          <w:rFonts w:asciiTheme="majorHAnsi" w:hAnsiTheme="majorHAnsi" w:cstheme="majorHAnsi"/>
        </w:rPr>
        <w:t xml:space="preserve"> at the date of application and not more than 70 years </w:t>
      </w:r>
      <w:r>
        <w:rPr>
          <w:rFonts w:asciiTheme="majorHAnsi" w:hAnsiTheme="majorHAnsi" w:cstheme="majorHAnsi"/>
        </w:rPr>
        <w:t>old</w:t>
      </w:r>
      <w:r w:rsidRPr="000F3195">
        <w:rPr>
          <w:rFonts w:asciiTheme="majorHAnsi" w:hAnsiTheme="majorHAnsi" w:cstheme="majorHAnsi"/>
        </w:rPr>
        <w:t xml:space="preserve"> at the maturity of the loan</w:t>
      </w:r>
      <w:r>
        <w:rPr>
          <w:rFonts w:asciiTheme="majorHAnsi" w:hAnsiTheme="majorHAnsi" w:cstheme="majorHAnsi"/>
        </w:rPr>
        <w:t xml:space="preserve">. </w:t>
      </w:r>
      <w:r w:rsidR="00954225" w:rsidRPr="000F3195">
        <w:rPr>
          <w:rFonts w:cstheme="minorHAnsi"/>
          <w:lang w:val="en-GB"/>
        </w:rPr>
        <w:t xml:space="preserve">The </w:t>
      </w:r>
      <w:r w:rsidR="00954225">
        <w:rPr>
          <w:rFonts w:cstheme="minorHAnsi"/>
          <w:lang w:val="en-GB"/>
        </w:rPr>
        <w:t>Philippine Guarantee Corporation</w:t>
      </w:r>
      <w:r w:rsidR="00954225">
        <w:rPr>
          <w:rStyle w:val="FootnoteReference"/>
          <w:rFonts w:cstheme="minorHAnsi"/>
          <w:lang w:val="en-GB"/>
        </w:rPr>
        <w:footnoteReference w:id="30"/>
      </w:r>
      <w:r w:rsidR="00954225" w:rsidRPr="000F3195">
        <w:rPr>
          <w:rFonts w:cstheme="minorHAnsi"/>
          <w:lang w:val="en-GB"/>
        </w:rPr>
        <w:t xml:space="preserve"> </w:t>
      </w:r>
      <w:r w:rsidR="00954225">
        <w:rPr>
          <w:rFonts w:cstheme="minorHAnsi"/>
          <w:lang w:val="en-GB"/>
        </w:rPr>
        <w:t>implements</w:t>
      </w:r>
      <w:r w:rsidR="00954225" w:rsidRPr="000F3195">
        <w:rPr>
          <w:rFonts w:cstheme="minorHAnsi"/>
          <w:lang w:val="en-GB"/>
        </w:rPr>
        <w:t xml:space="preserve"> </w:t>
      </w:r>
      <w:r w:rsidR="00954225">
        <w:rPr>
          <w:rFonts w:cstheme="minorHAnsi"/>
          <w:lang w:val="en-GB"/>
        </w:rPr>
        <w:t xml:space="preserve">a </w:t>
      </w:r>
      <w:r w:rsidR="00954225" w:rsidRPr="000F3195">
        <w:rPr>
          <w:rFonts w:cstheme="minorHAnsi"/>
          <w:lang w:val="en-GB"/>
        </w:rPr>
        <w:t>guarantee mechanism that enables their accredited banks/ financial institutions and real estate developers to grant loans with protection against</w:t>
      </w:r>
      <w:r w:rsidR="00954225" w:rsidRPr="000F3195">
        <w:rPr>
          <w:rFonts w:asciiTheme="majorHAnsi" w:hAnsiTheme="majorHAnsi" w:cstheme="majorHAnsi"/>
          <w:lang w:val="en-GB"/>
        </w:rPr>
        <w:t xml:space="preserve"> defaults. Housing loan applicants of legal age</w:t>
      </w:r>
      <w:r w:rsidR="00954225">
        <w:rPr>
          <w:rFonts w:asciiTheme="majorHAnsi" w:hAnsiTheme="majorHAnsi" w:cstheme="majorHAnsi"/>
          <w:lang w:val="en-GB"/>
        </w:rPr>
        <w:t>, however,</w:t>
      </w:r>
      <w:r w:rsidR="00954225" w:rsidRPr="000F3195">
        <w:rPr>
          <w:rFonts w:asciiTheme="majorHAnsi" w:hAnsiTheme="majorHAnsi" w:cstheme="majorHAnsi"/>
          <w:lang w:val="en-GB"/>
        </w:rPr>
        <w:t xml:space="preserve"> </w:t>
      </w:r>
      <w:r w:rsidR="00954225">
        <w:rPr>
          <w:rFonts w:asciiTheme="majorHAnsi" w:hAnsiTheme="majorHAnsi" w:cstheme="majorHAnsi"/>
          <w:lang w:val="en-GB"/>
        </w:rPr>
        <w:t>must</w:t>
      </w:r>
      <w:r w:rsidR="00954225" w:rsidRPr="000F3195">
        <w:rPr>
          <w:rFonts w:asciiTheme="majorHAnsi" w:hAnsiTheme="majorHAnsi" w:cstheme="majorHAnsi"/>
          <w:lang w:val="en-GB"/>
        </w:rPr>
        <w:t xml:space="preserve"> </w:t>
      </w:r>
      <w:r w:rsidR="00954225">
        <w:rPr>
          <w:rFonts w:asciiTheme="majorHAnsi" w:hAnsiTheme="majorHAnsi" w:cstheme="majorHAnsi"/>
          <w:lang w:val="en-GB"/>
        </w:rPr>
        <w:t xml:space="preserve">not </w:t>
      </w:r>
      <w:r w:rsidR="00954225" w:rsidRPr="000F3195">
        <w:rPr>
          <w:rFonts w:asciiTheme="majorHAnsi" w:hAnsiTheme="majorHAnsi" w:cstheme="majorHAnsi"/>
          <w:lang w:val="en-GB"/>
        </w:rPr>
        <w:t>exceed 65 years old upon loan maturity</w:t>
      </w:r>
      <w:r w:rsidR="00954225" w:rsidRPr="000F3195">
        <w:rPr>
          <w:rStyle w:val="FootnoteReference"/>
          <w:rFonts w:asciiTheme="majorHAnsi" w:hAnsiTheme="majorHAnsi" w:cstheme="majorHAnsi"/>
          <w:lang w:val="en-GB"/>
        </w:rPr>
        <w:footnoteReference w:id="31"/>
      </w:r>
      <w:r w:rsidR="00954225">
        <w:rPr>
          <w:rFonts w:asciiTheme="majorHAnsi" w:hAnsiTheme="majorHAnsi" w:cstheme="majorHAnsi"/>
          <w:lang w:val="en-GB"/>
        </w:rPr>
        <w:t>.</w:t>
      </w:r>
    </w:p>
    <w:p w14:paraId="6F52B7B5" w14:textId="26FC42D2" w:rsidR="002C3246" w:rsidRPr="000F3195" w:rsidRDefault="002C3246" w:rsidP="00D441CA">
      <w:pPr>
        <w:spacing w:after="0" w:line="276" w:lineRule="auto"/>
        <w:jc w:val="both"/>
        <w:rPr>
          <w:rFonts w:cstheme="minorHAnsi"/>
          <w:lang w:val="en-GB"/>
        </w:rPr>
      </w:pPr>
    </w:p>
    <w:p w14:paraId="5A3A356F" w14:textId="585411D4" w:rsidR="00547A3D" w:rsidRPr="000F3195" w:rsidRDefault="00547A3D" w:rsidP="009D4182">
      <w:pPr>
        <w:spacing w:after="0" w:line="276" w:lineRule="auto"/>
        <w:jc w:val="both"/>
        <w:rPr>
          <w:rFonts w:asciiTheme="majorHAnsi" w:hAnsiTheme="majorHAnsi" w:cstheme="majorHAnsi"/>
          <w:lang w:val="en-GB"/>
        </w:rPr>
      </w:pPr>
    </w:p>
    <w:p w14:paraId="4BCABF4B" w14:textId="2C3CD49F" w:rsidR="00B62EE5" w:rsidRPr="000A00F6" w:rsidRDefault="00B62EE5" w:rsidP="000A00F6">
      <w:pPr>
        <w:pStyle w:val="ListParagraph"/>
        <w:numPr>
          <w:ilvl w:val="0"/>
          <w:numId w:val="25"/>
        </w:numPr>
        <w:spacing w:after="0" w:line="276" w:lineRule="auto"/>
        <w:ind w:left="360"/>
        <w:jc w:val="both"/>
        <w:rPr>
          <w:rFonts w:asciiTheme="majorHAnsi" w:hAnsiTheme="majorHAnsi" w:cstheme="majorHAnsi"/>
          <w:b/>
          <w:lang w:val="en-GB"/>
        </w:rPr>
      </w:pPr>
      <w:r w:rsidRPr="000A00F6">
        <w:rPr>
          <w:rFonts w:asciiTheme="majorHAnsi" w:hAnsiTheme="majorHAnsi" w:cstheme="majorHAnsi"/>
          <w:b/>
          <w:lang w:val="en-GB"/>
        </w:rPr>
        <w:t xml:space="preserve">How do </w:t>
      </w:r>
      <w:r w:rsidRPr="000A00F6">
        <w:rPr>
          <w:rFonts w:asciiTheme="majorHAnsi" w:hAnsiTheme="majorHAnsi" w:cstheme="majorHAnsi"/>
          <w:b/>
          <w:bCs/>
          <w:lang w:val="en-GB"/>
        </w:rPr>
        <w:t>other factors</w:t>
      </w:r>
      <w:r w:rsidRPr="000A00F6">
        <w:rPr>
          <w:rFonts w:asciiTheme="majorHAnsi" w:hAnsiTheme="majorHAnsi" w:cstheme="majorHAnsi"/>
          <w:b/>
          <w:lang w:val="en-GB"/>
        </w:rPr>
        <w:t xml:space="preserve"> (i.e., gender, sex, race, ethnicity, indigenous identity, disability, sexual orientation, gender identity, religion, social status, place of origin and immigration status) intersect and impact the enjoyment of older persons’ right to adequate housing? </w:t>
      </w:r>
    </w:p>
    <w:p w14:paraId="6EDF4865" w14:textId="172CA575" w:rsidR="00500239" w:rsidRPr="000F3195" w:rsidRDefault="00500239" w:rsidP="005329E0">
      <w:pPr>
        <w:spacing w:after="0" w:line="276" w:lineRule="auto"/>
        <w:jc w:val="both"/>
        <w:rPr>
          <w:rFonts w:asciiTheme="majorHAnsi" w:hAnsiTheme="majorHAnsi" w:cstheme="majorHAnsi"/>
          <w:b/>
          <w:lang w:val="en-GB"/>
        </w:rPr>
      </w:pPr>
    </w:p>
    <w:p w14:paraId="027D843E" w14:textId="67B0E278" w:rsidR="00A54F1A" w:rsidRPr="000F3195" w:rsidRDefault="00E509E4" w:rsidP="005329E0">
      <w:pPr>
        <w:spacing w:after="0" w:line="276" w:lineRule="auto"/>
        <w:jc w:val="both"/>
        <w:rPr>
          <w:rFonts w:asciiTheme="majorHAnsi" w:hAnsiTheme="majorHAnsi" w:cstheme="majorHAnsi"/>
        </w:rPr>
      </w:pPr>
      <w:r>
        <w:rPr>
          <w:rFonts w:asciiTheme="majorHAnsi" w:hAnsiTheme="majorHAnsi" w:cstheme="majorHAnsi"/>
          <w:lang w:val="en-GB"/>
        </w:rPr>
        <w:t>In addition to economic status</w:t>
      </w:r>
      <w:r w:rsidR="00AC0ED6">
        <w:rPr>
          <w:rFonts w:asciiTheme="majorHAnsi" w:hAnsiTheme="majorHAnsi" w:cstheme="majorHAnsi"/>
          <w:lang w:val="en-GB"/>
        </w:rPr>
        <w:t xml:space="preserve"> (including financial capability)</w:t>
      </w:r>
      <w:r>
        <w:rPr>
          <w:rFonts w:asciiTheme="majorHAnsi" w:hAnsiTheme="majorHAnsi" w:cstheme="majorHAnsi"/>
          <w:lang w:val="en-GB"/>
        </w:rPr>
        <w:t xml:space="preserve">, as mentioned in no. 4, </w:t>
      </w:r>
      <w:r w:rsidR="00A54F1A" w:rsidRPr="000F3195">
        <w:rPr>
          <w:rFonts w:asciiTheme="majorHAnsi" w:hAnsiTheme="majorHAnsi" w:cstheme="majorHAnsi"/>
        </w:rPr>
        <w:t xml:space="preserve">gender, sex, </w:t>
      </w:r>
      <w:r w:rsidR="007D0B84">
        <w:rPr>
          <w:rFonts w:asciiTheme="majorHAnsi" w:hAnsiTheme="majorHAnsi" w:cstheme="majorHAnsi"/>
        </w:rPr>
        <w:t>religion,</w:t>
      </w:r>
      <w:r w:rsidR="00A54F1A" w:rsidRPr="000F3195">
        <w:rPr>
          <w:rFonts w:asciiTheme="majorHAnsi" w:hAnsiTheme="majorHAnsi" w:cstheme="majorHAnsi"/>
        </w:rPr>
        <w:t xml:space="preserve"> ethnicity</w:t>
      </w:r>
      <w:r w:rsidR="00F90D1E">
        <w:rPr>
          <w:rFonts w:asciiTheme="majorHAnsi" w:hAnsiTheme="majorHAnsi" w:cstheme="majorHAnsi"/>
        </w:rPr>
        <w:t>, etc.</w:t>
      </w:r>
      <w:r>
        <w:rPr>
          <w:rFonts w:asciiTheme="majorHAnsi" w:hAnsiTheme="majorHAnsi" w:cstheme="majorHAnsi"/>
        </w:rPr>
        <w:t xml:space="preserve"> </w:t>
      </w:r>
      <w:r w:rsidR="00A54F1A" w:rsidRPr="000F3195">
        <w:rPr>
          <w:rFonts w:asciiTheme="majorHAnsi" w:hAnsiTheme="majorHAnsi" w:cstheme="majorHAnsi"/>
        </w:rPr>
        <w:t xml:space="preserve">are other factors </w:t>
      </w:r>
      <w:r>
        <w:rPr>
          <w:rFonts w:asciiTheme="majorHAnsi" w:hAnsiTheme="majorHAnsi" w:cstheme="majorHAnsi"/>
        </w:rPr>
        <w:t xml:space="preserve">which </w:t>
      </w:r>
      <w:r w:rsidR="00A54F1A" w:rsidRPr="000F3195">
        <w:rPr>
          <w:rFonts w:asciiTheme="majorHAnsi" w:hAnsiTheme="majorHAnsi" w:cstheme="majorHAnsi"/>
        </w:rPr>
        <w:t>affect</w:t>
      </w:r>
      <w:r>
        <w:rPr>
          <w:rFonts w:asciiTheme="majorHAnsi" w:hAnsiTheme="majorHAnsi" w:cstheme="majorHAnsi"/>
        </w:rPr>
        <w:t xml:space="preserve"> the</w:t>
      </w:r>
      <w:r w:rsidR="00A54F1A" w:rsidRPr="000F3195">
        <w:rPr>
          <w:rFonts w:asciiTheme="majorHAnsi" w:hAnsiTheme="majorHAnsi" w:cstheme="majorHAnsi"/>
        </w:rPr>
        <w:t xml:space="preserve"> enjoyment of older persons</w:t>
      </w:r>
      <w:r>
        <w:rPr>
          <w:rFonts w:asciiTheme="majorHAnsi" w:hAnsiTheme="majorHAnsi" w:cstheme="majorHAnsi"/>
        </w:rPr>
        <w:t>’</w:t>
      </w:r>
      <w:r w:rsidR="00A54F1A" w:rsidRPr="000F3195">
        <w:rPr>
          <w:rFonts w:asciiTheme="majorHAnsi" w:hAnsiTheme="majorHAnsi" w:cstheme="majorHAnsi"/>
        </w:rPr>
        <w:t xml:space="preserve"> right to adequate housing. The following situation may have contributed</w:t>
      </w:r>
      <w:r w:rsidR="00901CA9" w:rsidRPr="000F3195">
        <w:rPr>
          <w:rStyle w:val="FootnoteReference"/>
          <w:rFonts w:asciiTheme="majorHAnsi" w:hAnsiTheme="majorHAnsi" w:cstheme="majorHAnsi"/>
        </w:rPr>
        <w:footnoteReference w:id="32"/>
      </w:r>
      <w:r w:rsidR="00A54F1A" w:rsidRPr="000F3195">
        <w:rPr>
          <w:rFonts w:asciiTheme="majorHAnsi" w:hAnsiTheme="majorHAnsi" w:cstheme="majorHAnsi"/>
        </w:rPr>
        <w:t>:</w:t>
      </w:r>
    </w:p>
    <w:p w14:paraId="588E457C" w14:textId="2AFA40D9" w:rsidR="00A54F1A" w:rsidRPr="000F3195" w:rsidRDefault="00A54F1A" w:rsidP="00D441CA">
      <w:pPr>
        <w:pStyle w:val="ListParagraph"/>
        <w:numPr>
          <w:ilvl w:val="0"/>
          <w:numId w:val="21"/>
        </w:numPr>
        <w:spacing w:after="0" w:line="276" w:lineRule="auto"/>
        <w:jc w:val="both"/>
        <w:rPr>
          <w:rFonts w:asciiTheme="majorHAnsi" w:hAnsiTheme="majorHAnsi" w:cstheme="majorHAnsi"/>
          <w:lang w:val="en-GB"/>
        </w:rPr>
      </w:pPr>
      <w:r w:rsidRPr="000F3195">
        <w:rPr>
          <w:rFonts w:asciiTheme="majorHAnsi" w:hAnsiTheme="majorHAnsi" w:cstheme="majorHAnsi"/>
        </w:rPr>
        <w:t>There are reports that older women have lower educational attainment thus have lesser chance of getting employed, as during the previous times women were more engaged in domestic and care duties</w:t>
      </w:r>
      <w:r w:rsidR="00D07FB8">
        <w:rPr>
          <w:rFonts w:asciiTheme="majorHAnsi" w:hAnsiTheme="majorHAnsi" w:cstheme="majorHAnsi"/>
        </w:rPr>
        <w:t>.</w:t>
      </w:r>
    </w:p>
    <w:p w14:paraId="4CFA3DF7" w14:textId="1C4F7000" w:rsidR="00A54F1A" w:rsidRPr="000F3195" w:rsidRDefault="00D07FB8" w:rsidP="00D441CA">
      <w:pPr>
        <w:pStyle w:val="ListParagraph"/>
        <w:numPr>
          <w:ilvl w:val="0"/>
          <w:numId w:val="21"/>
        </w:numPr>
        <w:spacing w:after="0" w:line="276" w:lineRule="auto"/>
        <w:jc w:val="both"/>
        <w:rPr>
          <w:rFonts w:asciiTheme="majorHAnsi" w:hAnsiTheme="majorHAnsi" w:cstheme="majorHAnsi"/>
          <w:lang w:val="en-GB"/>
        </w:rPr>
      </w:pPr>
      <w:r>
        <w:rPr>
          <w:rFonts w:asciiTheme="majorHAnsi" w:hAnsiTheme="majorHAnsi" w:cstheme="majorHAnsi"/>
        </w:rPr>
        <w:lastRenderedPageBreak/>
        <w:t>W</w:t>
      </w:r>
      <w:r w:rsidR="00A54F1A" w:rsidRPr="000F3195">
        <w:rPr>
          <w:rFonts w:asciiTheme="majorHAnsi" w:hAnsiTheme="majorHAnsi" w:cstheme="majorHAnsi"/>
        </w:rPr>
        <w:t>omen tend to work at home</w:t>
      </w:r>
      <w:r>
        <w:rPr>
          <w:rFonts w:asciiTheme="majorHAnsi" w:hAnsiTheme="majorHAnsi" w:cstheme="majorHAnsi"/>
        </w:rPr>
        <w:t xml:space="preserve"> doing unpaid care and domestic work. As a result, they had </w:t>
      </w:r>
      <w:r w:rsidR="00A54F1A" w:rsidRPr="000F3195">
        <w:rPr>
          <w:rFonts w:asciiTheme="majorHAnsi" w:hAnsiTheme="majorHAnsi" w:cstheme="majorHAnsi"/>
        </w:rPr>
        <w:t>no steady income</w:t>
      </w:r>
      <w:r>
        <w:rPr>
          <w:rFonts w:asciiTheme="majorHAnsi" w:hAnsiTheme="majorHAnsi" w:cstheme="majorHAnsi"/>
        </w:rPr>
        <w:t xml:space="preserve"> for savings and investment in properties. Later in life, older women tend to</w:t>
      </w:r>
      <w:r w:rsidR="00A54F1A" w:rsidRPr="000F3195">
        <w:rPr>
          <w:rFonts w:asciiTheme="majorHAnsi" w:hAnsiTheme="majorHAnsi" w:cstheme="majorHAnsi"/>
        </w:rPr>
        <w:t xml:space="preserve"> depend on children for financial support</w:t>
      </w:r>
      <w:r>
        <w:rPr>
          <w:rFonts w:asciiTheme="majorHAnsi" w:hAnsiTheme="majorHAnsi" w:cstheme="majorHAnsi"/>
        </w:rPr>
        <w:t>.</w:t>
      </w:r>
    </w:p>
    <w:p w14:paraId="2C68ADE9" w14:textId="4E464752" w:rsidR="00A54F1A" w:rsidRPr="00F90D1E" w:rsidRDefault="00A54F1A" w:rsidP="00D441CA">
      <w:pPr>
        <w:pStyle w:val="ListParagraph"/>
        <w:numPr>
          <w:ilvl w:val="0"/>
          <w:numId w:val="21"/>
        </w:numPr>
        <w:spacing w:after="0" w:line="276" w:lineRule="auto"/>
        <w:jc w:val="both"/>
        <w:rPr>
          <w:rFonts w:asciiTheme="majorHAnsi" w:hAnsiTheme="majorHAnsi" w:cstheme="majorHAnsi"/>
          <w:lang w:val="en-GB"/>
        </w:rPr>
      </w:pPr>
      <w:r w:rsidRPr="000F3195">
        <w:rPr>
          <w:rFonts w:asciiTheme="majorHAnsi" w:hAnsiTheme="majorHAnsi" w:cstheme="majorHAnsi"/>
        </w:rPr>
        <w:t xml:space="preserve">Discrimination and violence </w:t>
      </w:r>
      <w:r w:rsidR="00D07FB8">
        <w:rPr>
          <w:rFonts w:asciiTheme="majorHAnsi" w:hAnsiTheme="majorHAnsi" w:cstheme="majorHAnsi"/>
        </w:rPr>
        <w:t>against</w:t>
      </w:r>
      <w:r w:rsidRPr="000F3195">
        <w:rPr>
          <w:rFonts w:asciiTheme="majorHAnsi" w:hAnsiTheme="majorHAnsi" w:cstheme="majorHAnsi"/>
        </w:rPr>
        <w:t xml:space="preserve"> older women, gay</w:t>
      </w:r>
      <w:r w:rsidR="00D07FB8">
        <w:rPr>
          <w:rFonts w:asciiTheme="majorHAnsi" w:hAnsiTheme="majorHAnsi" w:cstheme="majorHAnsi"/>
        </w:rPr>
        <w:t>s</w:t>
      </w:r>
      <w:r w:rsidRPr="000F3195">
        <w:rPr>
          <w:rFonts w:asciiTheme="majorHAnsi" w:hAnsiTheme="majorHAnsi" w:cstheme="majorHAnsi"/>
        </w:rPr>
        <w:t>, lesbian</w:t>
      </w:r>
      <w:r w:rsidR="00D07FB8">
        <w:rPr>
          <w:rFonts w:asciiTheme="majorHAnsi" w:hAnsiTheme="majorHAnsi" w:cstheme="majorHAnsi"/>
        </w:rPr>
        <w:t>s,</w:t>
      </w:r>
      <w:r w:rsidRPr="000F3195">
        <w:rPr>
          <w:rFonts w:asciiTheme="majorHAnsi" w:hAnsiTheme="majorHAnsi" w:cstheme="majorHAnsi"/>
        </w:rPr>
        <w:t xml:space="preserve"> or </w:t>
      </w:r>
      <w:r w:rsidR="00D07FB8">
        <w:rPr>
          <w:rFonts w:asciiTheme="majorHAnsi" w:hAnsiTheme="majorHAnsi" w:cstheme="majorHAnsi"/>
        </w:rPr>
        <w:t xml:space="preserve">persons </w:t>
      </w:r>
      <w:r w:rsidRPr="000F3195">
        <w:rPr>
          <w:rFonts w:asciiTheme="majorHAnsi" w:hAnsiTheme="majorHAnsi" w:cstheme="majorHAnsi"/>
        </w:rPr>
        <w:t xml:space="preserve">with disabilities </w:t>
      </w:r>
      <w:r w:rsidR="00D07FB8">
        <w:rPr>
          <w:rFonts w:asciiTheme="majorHAnsi" w:hAnsiTheme="majorHAnsi" w:cstheme="majorHAnsi"/>
        </w:rPr>
        <w:t>result in them being</w:t>
      </w:r>
      <w:r w:rsidRPr="000F3195">
        <w:rPr>
          <w:rFonts w:asciiTheme="majorHAnsi" w:hAnsiTheme="majorHAnsi" w:cstheme="majorHAnsi"/>
        </w:rPr>
        <w:t xml:space="preserve"> forced to l</w:t>
      </w:r>
      <w:r w:rsidR="00D07FB8">
        <w:rPr>
          <w:rFonts w:asciiTheme="majorHAnsi" w:hAnsiTheme="majorHAnsi" w:cstheme="majorHAnsi"/>
        </w:rPr>
        <w:t>ea</w:t>
      </w:r>
      <w:r w:rsidRPr="000F3195">
        <w:rPr>
          <w:rFonts w:asciiTheme="majorHAnsi" w:hAnsiTheme="majorHAnsi" w:cstheme="majorHAnsi"/>
        </w:rPr>
        <w:t>ve their own homes</w:t>
      </w:r>
      <w:r w:rsidR="00D07FB8">
        <w:rPr>
          <w:rFonts w:asciiTheme="majorHAnsi" w:hAnsiTheme="majorHAnsi" w:cstheme="majorHAnsi"/>
        </w:rPr>
        <w:t xml:space="preserve">. In these situations, </w:t>
      </w:r>
      <w:r w:rsidRPr="000F3195">
        <w:rPr>
          <w:rFonts w:asciiTheme="majorHAnsi" w:hAnsiTheme="majorHAnsi" w:cstheme="majorHAnsi"/>
        </w:rPr>
        <w:t xml:space="preserve">perpetrators are </w:t>
      </w:r>
      <w:r w:rsidR="00D07FB8">
        <w:rPr>
          <w:rFonts w:asciiTheme="majorHAnsi" w:hAnsiTheme="majorHAnsi" w:cstheme="majorHAnsi"/>
        </w:rPr>
        <w:t xml:space="preserve">often </w:t>
      </w:r>
      <w:r w:rsidRPr="000F3195">
        <w:rPr>
          <w:rFonts w:asciiTheme="majorHAnsi" w:hAnsiTheme="majorHAnsi" w:cstheme="majorHAnsi"/>
        </w:rPr>
        <w:t>family members</w:t>
      </w:r>
      <w:r w:rsidR="00D07FB8">
        <w:rPr>
          <w:rFonts w:asciiTheme="majorHAnsi" w:hAnsiTheme="majorHAnsi" w:cstheme="majorHAnsi"/>
        </w:rPr>
        <w:t>.</w:t>
      </w:r>
    </w:p>
    <w:p w14:paraId="334D28A8" w14:textId="2789CEFF" w:rsidR="00D07FB8" w:rsidRPr="00F90D1E" w:rsidRDefault="00D07FB8" w:rsidP="00D441CA">
      <w:pPr>
        <w:pStyle w:val="ListParagraph"/>
        <w:numPr>
          <w:ilvl w:val="0"/>
          <w:numId w:val="21"/>
        </w:numPr>
        <w:spacing w:after="0" w:line="276" w:lineRule="auto"/>
        <w:jc w:val="both"/>
        <w:rPr>
          <w:rFonts w:asciiTheme="majorHAnsi" w:hAnsiTheme="majorHAnsi" w:cstheme="majorHAnsi"/>
          <w:lang w:val="en-GB"/>
        </w:rPr>
      </w:pPr>
      <w:r>
        <w:rPr>
          <w:rFonts w:asciiTheme="majorHAnsi" w:hAnsiTheme="majorHAnsi" w:cstheme="majorHAnsi"/>
        </w:rPr>
        <w:t xml:space="preserve">Older indigenous peoples are driven from their </w:t>
      </w:r>
      <w:r w:rsidR="007D0B84">
        <w:rPr>
          <w:rFonts w:asciiTheme="majorHAnsi" w:hAnsiTheme="majorHAnsi" w:cstheme="majorHAnsi"/>
        </w:rPr>
        <w:t>homes</w:t>
      </w:r>
      <w:r>
        <w:rPr>
          <w:rFonts w:asciiTheme="majorHAnsi" w:hAnsiTheme="majorHAnsi" w:cstheme="majorHAnsi"/>
        </w:rPr>
        <w:t xml:space="preserve"> due to development aggression and conflict </w:t>
      </w:r>
      <w:r w:rsidR="007D0B84">
        <w:rPr>
          <w:rFonts w:asciiTheme="majorHAnsi" w:hAnsiTheme="majorHAnsi" w:cstheme="majorHAnsi"/>
        </w:rPr>
        <w:t>between the government and separatist groups.</w:t>
      </w:r>
      <w:r w:rsidR="007D0B84">
        <w:rPr>
          <w:rStyle w:val="FootnoteReference"/>
          <w:rFonts w:asciiTheme="majorHAnsi" w:hAnsiTheme="majorHAnsi" w:cstheme="majorHAnsi"/>
        </w:rPr>
        <w:footnoteReference w:id="33"/>
      </w:r>
    </w:p>
    <w:p w14:paraId="0F6C7D2C" w14:textId="2F0D6896" w:rsidR="007D0B84" w:rsidRPr="000F3195" w:rsidRDefault="007D0B84" w:rsidP="00D441CA">
      <w:pPr>
        <w:pStyle w:val="ListParagraph"/>
        <w:numPr>
          <w:ilvl w:val="0"/>
          <w:numId w:val="21"/>
        </w:numPr>
        <w:spacing w:after="0" w:line="276" w:lineRule="auto"/>
        <w:jc w:val="both"/>
        <w:rPr>
          <w:rFonts w:asciiTheme="majorHAnsi" w:hAnsiTheme="majorHAnsi" w:cstheme="majorHAnsi"/>
          <w:lang w:val="en-GB"/>
        </w:rPr>
      </w:pPr>
      <w:r>
        <w:rPr>
          <w:rFonts w:asciiTheme="majorHAnsi" w:hAnsiTheme="majorHAnsi" w:cstheme="majorHAnsi"/>
          <w:lang w:val="en-GB"/>
        </w:rPr>
        <w:t>Older persons in the Philippines</w:t>
      </w:r>
      <w:r w:rsidR="00F90D1E">
        <w:rPr>
          <w:rFonts w:asciiTheme="majorHAnsi" w:hAnsiTheme="majorHAnsi" w:cstheme="majorHAnsi"/>
          <w:lang w:val="en-GB"/>
        </w:rPr>
        <w:t>, particularly those living in typhoon risk areas,</w:t>
      </w:r>
      <w:r>
        <w:rPr>
          <w:rFonts w:asciiTheme="majorHAnsi" w:hAnsiTheme="majorHAnsi" w:cstheme="majorHAnsi"/>
          <w:lang w:val="en-GB"/>
        </w:rPr>
        <w:t xml:space="preserve"> in general are vulnerable to internal displacement due to </w:t>
      </w:r>
      <w:r w:rsidR="00F90D1E">
        <w:rPr>
          <w:rFonts w:asciiTheme="majorHAnsi" w:hAnsiTheme="majorHAnsi" w:cstheme="majorHAnsi"/>
          <w:lang w:val="en-GB"/>
        </w:rPr>
        <w:t>stronger typhoons as a result of climate change.</w:t>
      </w:r>
    </w:p>
    <w:p w14:paraId="3696D6A0" w14:textId="77777777" w:rsidR="006601EE" w:rsidRPr="000F3195" w:rsidRDefault="006601EE" w:rsidP="0012001E">
      <w:pPr>
        <w:spacing w:after="0" w:line="276" w:lineRule="auto"/>
        <w:jc w:val="both"/>
        <w:rPr>
          <w:rFonts w:asciiTheme="majorHAnsi" w:hAnsiTheme="majorHAnsi" w:cstheme="majorHAnsi"/>
          <w:lang w:val="en-GB"/>
        </w:rPr>
      </w:pPr>
    </w:p>
    <w:p w14:paraId="396A6449" w14:textId="792AE2DC" w:rsidR="00B62EE5" w:rsidRPr="00AC0ED6" w:rsidRDefault="00B62EE5" w:rsidP="00F90D1E">
      <w:pPr>
        <w:pStyle w:val="ListParagraph"/>
        <w:numPr>
          <w:ilvl w:val="0"/>
          <w:numId w:val="25"/>
        </w:numPr>
        <w:spacing w:after="0" w:line="276" w:lineRule="auto"/>
        <w:ind w:left="360"/>
        <w:jc w:val="both"/>
        <w:rPr>
          <w:rFonts w:asciiTheme="majorHAnsi" w:hAnsiTheme="majorHAnsi" w:cstheme="majorHAnsi"/>
          <w:b/>
          <w:lang w:val="en-GB"/>
        </w:rPr>
      </w:pPr>
      <w:r w:rsidRPr="00AC0ED6">
        <w:rPr>
          <w:rFonts w:asciiTheme="majorHAnsi" w:hAnsiTheme="majorHAnsi" w:cstheme="majorHAnsi"/>
          <w:b/>
          <w:lang w:val="en-GB"/>
        </w:rPr>
        <w:t xml:space="preserve">What impact has had </w:t>
      </w:r>
      <w:r w:rsidRPr="00AC0ED6">
        <w:rPr>
          <w:rFonts w:asciiTheme="majorHAnsi" w:hAnsiTheme="majorHAnsi" w:cstheme="majorHAnsi"/>
          <w:b/>
          <w:bCs/>
          <w:lang w:val="en-GB"/>
        </w:rPr>
        <w:t>the COVID-19 pandemic</w:t>
      </w:r>
      <w:r w:rsidRPr="00AC0ED6">
        <w:rPr>
          <w:rFonts w:asciiTheme="majorHAnsi" w:hAnsiTheme="majorHAnsi" w:cstheme="majorHAnsi"/>
          <w:b/>
          <w:lang w:val="en-GB"/>
        </w:rPr>
        <w:t xml:space="preserve"> on older persons’ right to adequate housing in your country </w:t>
      </w:r>
      <w:r w:rsidRPr="00AC0ED6">
        <w:rPr>
          <w:rFonts w:asciiTheme="majorHAnsi" w:hAnsiTheme="majorHAnsi" w:cstheme="majorHAnsi"/>
          <w:b/>
          <w:lang w:val="en-US"/>
        </w:rPr>
        <w:t>(e.g., has the pandemic caused any policy shift away from institutions and more emphasis on community supports)</w:t>
      </w:r>
      <w:r w:rsidRPr="00AC0ED6">
        <w:rPr>
          <w:rFonts w:asciiTheme="majorHAnsi" w:hAnsiTheme="majorHAnsi" w:cstheme="majorHAnsi"/>
          <w:b/>
          <w:lang w:val="en-GB"/>
        </w:rPr>
        <w:t>? What measures have been taken to minimize its impact?</w:t>
      </w:r>
    </w:p>
    <w:p w14:paraId="09E8FFB3" w14:textId="3247145E" w:rsidR="00204E73" w:rsidRPr="000F3195" w:rsidRDefault="00204E73" w:rsidP="0012001E">
      <w:pPr>
        <w:spacing w:after="0" w:line="276" w:lineRule="auto"/>
        <w:jc w:val="both"/>
        <w:rPr>
          <w:rFonts w:asciiTheme="majorHAnsi" w:hAnsiTheme="majorHAnsi" w:cstheme="majorHAnsi"/>
          <w:lang w:val="en-GB"/>
        </w:rPr>
      </w:pPr>
    </w:p>
    <w:p w14:paraId="48BF76DE" w14:textId="6CA91BF7" w:rsidR="00FE2017" w:rsidRPr="000F3195" w:rsidRDefault="00AC0ED6" w:rsidP="0062258A">
      <w:pPr>
        <w:spacing w:after="0" w:line="276" w:lineRule="auto"/>
        <w:jc w:val="both"/>
        <w:rPr>
          <w:rFonts w:asciiTheme="majorHAnsi" w:hAnsiTheme="majorHAnsi" w:cstheme="majorHAnsi"/>
          <w:lang w:val="en-GB"/>
        </w:rPr>
      </w:pPr>
      <w:r>
        <w:rPr>
          <w:rFonts w:asciiTheme="majorHAnsi" w:hAnsiTheme="majorHAnsi" w:cstheme="majorHAnsi"/>
          <w:lang w:val="en-GB"/>
        </w:rPr>
        <w:t>The National Economic and Development Authority (NEDA)</w:t>
      </w:r>
      <w:r>
        <w:rPr>
          <w:rStyle w:val="FootnoteReference"/>
          <w:rFonts w:asciiTheme="majorHAnsi" w:hAnsiTheme="majorHAnsi" w:cstheme="majorHAnsi"/>
          <w:lang w:val="en-GB"/>
        </w:rPr>
        <w:footnoteReference w:id="34"/>
      </w:r>
      <w:r>
        <w:rPr>
          <w:rFonts w:asciiTheme="majorHAnsi" w:hAnsiTheme="majorHAnsi" w:cstheme="majorHAnsi"/>
          <w:lang w:val="en-GB"/>
        </w:rPr>
        <w:t>, citing</w:t>
      </w:r>
      <w:r w:rsidR="00B0195C" w:rsidRPr="000F3195">
        <w:rPr>
          <w:rFonts w:asciiTheme="majorHAnsi" w:hAnsiTheme="majorHAnsi" w:cstheme="majorHAnsi"/>
          <w:b/>
          <w:lang w:val="en-GB"/>
        </w:rPr>
        <w:t xml:space="preserve"> </w:t>
      </w:r>
      <w:r w:rsidR="00204E73" w:rsidRPr="000F3195">
        <w:rPr>
          <w:rFonts w:asciiTheme="majorHAnsi" w:hAnsiTheme="majorHAnsi" w:cstheme="majorHAnsi"/>
          <w:lang w:val="en-GB"/>
        </w:rPr>
        <w:t>POPCOM’s analysis of the 2010 Census of Population Housing</w:t>
      </w:r>
      <w:r w:rsidR="009452DE">
        <w:rPr>
          <w:rStyle w:val="FootnoteReference"/>
          <w:rFonts w:asciiTheme="majorHAnsi" w:hAnsiTheme="majorHAnsi" w:cstheme="majorHAnsi"/>
          <w:lang w:val="en-GB"/>
        </w:rPr>
        <w:footnoteReference w:id="35"/>
      </w:r>
      <w:r>
        <w:rPr>
          <w:rFonts w:asciiTheme="majorHAnsi" w:hAnsiTheme="majorHAnsi" w:cstheme="majorHAnsi"/>
          <w:lang w:val="en-GB"/>
        </w:rPr>
        <w:t>,</w:t>
      </w:r>
      <w:r w:rsidR="00204E73" w:rsidRPr="000F3195">
        <w:rPr>
          <w:rFonts w:asciiTheme="majorHAnsi" w:hAnsiTheme="majorHAnsi" w:cstheme="majorHAnsi"/>
          <w:lang w:val="en-GB"/>
        </w:rPr>
        <w:t xml:space="preserve"> highlight</w:t>
      </w:r>
      <w:r>
        <w:rPr>
          <w:rFonts w:asciiTheme="majorHAnsi" w:hAnsiTheme="majorHAnsi" w:cstheme="majorHAnsi"/>
          <w:lang w:val="en-GB"/>
        </w:rPr>
        <w:t>ed the</w:t>
      </w:r>
      <w:r w:rsidR="00204E73" w:rsidRPr="000F3195">
        <w:rPr>
          <w:rFonts w:asciiTheme="majorHAnsi" w:hAnsiTheme="majorHAnsi" w:cstheme="majorHAnsi"/>
          <w:lang w:val="en-GB"/>
        </w:rPr>
        <w:t xml:space="preserve"> inadequate living spaces for physical distancing, putting older Filipinos at greater risks of acquiring COVID-19.</w:t>
      </w:r>
      <w:r w:rsidR="00204E73" w:rsidRPr="000F3195">
        <w:rPr>
          <w:rStyle w:val="FootnoteReference"/>
          <w:rFonts w:asciiTheme="majorHAnsi" w:hAnsiTheme="majorHAnsi" w:cstheme="majorHAnsi"/>
          <w:lang w:val="en-GB"/>
        </w:rPr>
        <w:footnoteReference w:id="36"/>
      </w:r>
      <w:r w:rsidR="005E4133" w:rsidRPr="000F3195">
        <w:rPr>
          <w:rFonts w:asciiTheme="majorHAnsi" w:hAnsiTheme="majorHAnsi" w:cstheme="majorHAnsi"/>
          <w:lang w:val="en-GB"/>
        </w:rPr>
        <w:t xml:space="preserve"> </w:t>
      </w:r>
      <w:r>
        <w:rPr>
          <w:rFonts w:asciiTheme="majorHAnsi" w:hAnsiTheme="majorHAnsi" w:cstheme="majorHAnsi"/>
          <w:lang w:val="en-GB"/>
        </w:rPr>
        <w:t>A</w:t>
      </w:r>
      <w:r w:rsidR="005E4133" w:rsidRPr="000F3195">
        <w:rPr>
          <w:rFonts w:asciiTheme="majorHAnsi" w:hAnsiTheme="majorHAnsi" w:cstheme="majorHAnsi"/>
          <w:lang w:val="en-GB"/>
        </w:rPr>
        <w:t xml:space="preserve"> significant number of older Filipinos live on their own in cramped houses, leaving them isolated and with decreased mobility resulting from community quarantines. POPCOM’s analysis shows that communities are more vulnerable to COVID-19 in the following ways.</w:t>
      </w:r>
      <w:r w:rsidR="002F7FC9" w:rsidRPr="000F3195">
        <w:rPr>
          <w:rStyle w:val="FootnoteReference"/>
          <w:rFonts w:asciiTheme="majorHAnsi" w:hAnsiTheme="majorHAnsi" w:cstheme="majorHAnsi"/>
          <w:lang w:val="en-GB"/>
        </w:rPr>
        <w:footnoteReference w:id="37"/>
      </w:r>
      <w:r w:rsidR="002F7FC9" w:rsidRPr="000F3195">
        <w:rPr>
          <w:rFonts w:asciiTheme="majorHAnsi" w:hAnsiTheme="majorHAnsi" w:cstheme="majorHAnsi"/>
          <w:lang w:val="en-GB"/>
        </w:rPr>
        <w:t xml:space="preserve"> </w:t>
      </w:r>
      <w:r w:rsidR="00FE2017" w:rsidRPr="000F3195">
        <w:rPr>
          <w:rFonts w:asciiTheme="majorHAnsi" w:hAnsiTheme="majorHAnsi" w:cstheme="majorHAnsi"/>
          <w:lang w:val="en-GB"/>
        </w:rPr>
        <w:t>Moving forward, POPCOM shall monitor all 42,044 barangays nationwide on their vulnerabilities based on living spaces and the number of senior citizens living in COVID-19 susceptible conditions.</w:t>
      </w:r>
      <w:r w:rsidR="00FE2017" w:rsidRPr="000F3195">
        <w:rPr>
          <w:rStyle w:val="FootnoteReference"/>
          <w:rFonts w:asciiTheme="majorHAnsi" w:hAnsiTheme="majorHAnsi" w:cstheme="majorHAnsi"/>
          <w:lang w:val="en-GB"/>
        </w:rPr>
        <w:footnoteReference w:id="38"/>
      </w:r>
    </w:p>
    <w:p w14:paraId="598D0D20" w14:textId="77777777" w:rsidR="003E37A3" w:rsidRPr="00AC0ED6" w:rsidRDefault="003E37A3" w:rsidP="00AC0ED6">
      <w:pPr>
        <w:spacing w:after="0" w:line="276" w:lineRule="auto"/>
        <w:jc w:val="both"/>
        <w:rPr>
          <w:rFonts w:asciiTheme="majorHAnsi" w:hAnsiTheme="majorHAnsi" w:cstheme="majorHAnsi"/>
          <w:lang w:val="en-GB"/>
        </w:rPr>
      </w:pPr>
    </w:p>
    <w:p w14:paraId="41960C87" w14:textId="51E83B63" w:rsidR="00B62EE5" w:rsidRPr="000F3195" w:rsidRDefault="00CA37CA" w:rsidP="00941D92">
      <w:pPr>
        <w:spacing w:after="0" w:line="276" w:lineRule="auto"/>
        <w:jc w:val="both"/>
        <w:rPr>
          <w:rFonts w:asciiTheme="majorHAnsi" w:hAnsiTheme="majorHAnsi" w:cstheme="majorHAnsi"/>
        </w:rPr>
      </w:pPr>
      <w:r>
        <w:rPr>
          <w:rFonts w:asciiTheme="majorHAnsi" w:hAnsiTheme="majorHAnsi" w:cstheme="majorHAnsi"/>
          <w:lang w:val="en-GB"/>
        </w:rPr>
        <w:t xml:space="preserve">Government-owned and controlled corporations that offer financing services, such as the GSIS and the Philippine Guarantee Corporation, </w:t>
      </w:r>
      <w:r w:rsidR="003E37A3" w:rsidRPr="000F3195">
        <w:rPr>
          <w:rFonts w:asciiTheme="majorHAnsi" w:hAnsiTheme="majorHAnsi" w:cstheme="majorHAnsi"/>
          <w:lang w:val="en-GB"/>
        </w:rPr>
        <w:t>granted</w:t>
      </w:r>
      <w:r w:rsidR="009452DE">
        <w:rPr>
          <w:rFonts w:asciiTheme="majorHAnsi" w:hAnsiTheme="majorHAnsi" w:cstheme="majorHAnsi"/>
          <w:lang w:val="en-GB"/>
        </w:rPr>
        <w:t xml:space="preserve"> moratorium on the payment of amortization</w:t>
      </w:r>
      <w:r>
        <w:rPr>
          <w:rFonts w:asciiTheme="majorHAnsi" w:hAnsiTheme="majorHAnsi" w:cstheme="majorHAnsi"/>
          <w:lang w:val="en-GB"/>
        </w:rPr>
        <w:t xml:space="preserve"> and </w:t>
      </w:r>
      <w:r w:rsidR="00F76D0B">
        <w:rPr>
          <w:rFonts w:asciiTheme="majorHAnsi" w:hAnsiTheme="majorHAnsi" w:cstheme="majorHAnsi"/>
          <w:lang w:val="en-GB"/>
        </w:rPr>
        <w:t>extended guarantees to restructured loan of accredited financial institutions</w:t>
      </w:r>
      <w:r w:rsidR="009452DE">
        <w:rPr>
          <w:rFonts w:asciiTheme="majorHAnsi" w:hAnsiTheme="majorHAnsi" w:cstheme="majorHAnsi"/>
          <w:lang w:val="en-GB"/>
        </w:rPr>
        <w:t xml:space="preserve"> to assist</w:t>
      </w:r>
      <w:r w:rsidR="003E37A3" w:rsidRPr="000F3195">
        <w:rPr>
          <w:rFonts w:asciiTheme="majorHAnsi" w:hAnsiTheme="majorHAnsi" w:cstheme="majorHAnsi"/>
          <w:lang w:val="en-GB"/>
        </w:rPr>
        <w:t xml:space="preserve"> borrowers including pensioners, in managing the impact of the COVID-19 pandemic</w:t>
      </w:r>
      <w:r w:rsidR="00B0195C" w:rsidRPr="000F3195">
        <w:rPr>
          <w:rStyle w:val="FootnoteReference"/>
          <w:rFonts w:asciiTheme="majorHAnsi" w:hAnsiTheme="majorHAnsi" w:cstheme="majorHAnsi"/>
          <w:lang w:val="en-GB"/>
        </w:rPr>
        <w:footnoteReference w:id="39"/>
      </w:r>
      <w:r w:rsidR="004C5E5A" w:rsidRPr="000F3195">
        <w:rPr>
          <w:rFonts w:asciiTheme="majorHAnsi" w:hAnsiTheme="majorHAnsi" w:cstheme="majorHAnsi"/>
          <w:lang w:val="en-GB"/>
        </w:rPr>
        <w:t>.</w:t>
      </w:r>
    </w:p>
    <w:p w14:paraId="71776C0B" w14:textId="30FEEC83" w:rsidR="000B06E9" w:rsidRPr="000F3195" w:rsidRDefault="000B06E9" w:rsidP="00FA0339">
      <w:pPr>
        <w:spacing w:after="0" w:line="276" w:lineRule="auto"/>
        <w:jc w:val="both"/>
        <w:rPr>
          <w:rFonts w:asciiTheme="majorHAnsi" w:hAnsiTheme="majorHAnsi" w:cstheme="majorHAnsi"/>
        </w:rPr>
      </w:pPr>
    </w:p>
    <w:p w14:paraId="06EE7B64" w14:textId="45D21112" w:rsidR="00665DF3" w:rsidRPr="000F3195" w:rsidRDefault="00665DF3" w:rsidP="009D4182">
      <w:pPr>
        <w:spacing w:after="0" w:line="276" w:lineRule="auto"/>
        <w:jc w:val="both"/>
        <w:rPr>
          <w:rFonts w:asciiTheme="majorHAnsi" w:hAnsiTheme="majorHAnsi" w:cstheme="majorHAnsi"/>
          <w:lang w:val="en-GB"/>
        </w:rPr>
      </w:pPr>
      <w:r w:rsidRPr="000F3195">
        <w:rPr>
          <w:rFonts w:asciiTheme="majorHAnsi" w:hAnsiTheme="majorHAnsi" w:cstheme="majorHAnsi"/>
          <w:lang w:val="en-GB"/>
        </w:rPr>
        <w:t>The National Housing Authority (NHA)</w:t>
      </w:r>
      <w:r w:rsidRPr="000F3195">
        <w:rPr>
          <w:rStyle w:val="FootnoteReference"/>
          <w:rFonts w:asciiTheme="majorHAnsi" w:hAnsiTheme="majorHAnsi" w:cstheme="majorHAnsi"/>
          <w:lang w:val="en-GB"/>
        </w:rPr>
        <w:footnoteReference w:id="40"/>
      </w:r>
      <w:r w:rsidRPr="000F3195">
        <w:rPr>
          <w:rFonts w:asciiTheme="majorHAnsi" w:hAnsiTheme="majorHAnsi" w:cstheme="majorHAnsi"/>
          <w:lang w:val="en-GB"/>
        </w:rPr>
        <w:t xml:space="preserve"> initiated a Special Housing Program for the Senior Citizens in 2021</w:t>
      </w:r>
      <w:r w:rsidR="00F76D0B">
        <w:rPr>
          <w:rFonts w:asciiTheme="majorHAnsi" w:hAnsiTheme="majorHAnsi" w:cstheme="majorHAnsi"/>
          <w:lang w:val="en-GB"/>
        </w:rPr>
        <w:t>. The program</w:t>
      </w:r>
      <w:r w:rsidRPr="000F3195">
        <w:rPr>
          <w:rFonts w:asciiTheme="majorHAnsi" w:hAnsiTheme="majorHAnsi" w:cstheme="majorHAnsi"/>
          <w:lang w:val="en-GB"/>
        </w:rPr>
        <w:t xml:space="preserve"> </w:t>
      </w:r>
      <w:r w:rsidR="00F76D0B">
        <w:rPr>
          <w:rFonts w:asciiTheme="majorHAnsi" w:hAnsiTheme="majorHAnsi" w:cstheme="majorHAnsi"/>
          <w:lang w:val="en-GB"/>
        </w:rPr>
        <w:t>is</w:t>
      </w:r>
      <w:r w:rsidRPr="000F3195">
        <w:rPr>
          <w:rFonts w:asciiTheme="majorHAnsi" w:hAnsiTheme="majorHAnsi" w:cstheme="majorHAnsi"/>
          <w:lang w:val="en-GB"/>
        </w:rPr>
        <w:t xml:space="preserve"> open to all qualified Filipino citizens who are sixty (60) year</w:t>
      </w:r>
      <w:r w:rsidR="00F76D0B">
        <w:rPr>
          <w:rFonts w:asciiTheme="majorHAnsi" w:hAnsiTheme="majorHAnsi" w:cstheme="majorHAnsi"/>
          <w:lang w:val="en-GB"/>
        </w:rPr>
        <w:t>s</w:t>
      </w:r>
      <w:r w:rsidRPr="000F3195">
        <w:rPr>
          <w:rFonts w:asciiTheme="majorHAnsi" w:hAnsiTheme="majorHAnsi" w:cstheme="majorHAnsi"/>
          <w:lang w:val="en-GB"/>
        </w:rPr>
        <w:t xml:space="preserve"> old </w:t>
      </w:r>
      <w:r w:rsidR="00F76D0B">
        <w:rPr>
          <w:rFonts w:asciiTheme="majorHAnsi" w:hAnsiTheme="majorHAnsi" w:cstheme="majorHAnsi"/>
          <w:lang w:val="en-GB"/>
        </w:rPr>
        <w:t>and</w:t>
      </w:r>
      <w:r w:rsidRPr="000F3195">
        <w:rPr>
          <w:rFonts w:asciiTheme="majorHAnsi" w:hAnsiTheme="majorHAnsi" w:cstheme="majorHAnsi"/>
          <w:lang w:val="en-GB"/>
        </w:rPr>
        <w:t xml:space="preserve"> above. Under this program, the NHA shall allocate 1% of the total number of housing units in its </w:t>
      </w:r>
      <w:r w:rsidR="00F76D0B" w:rsidRPr="000F3195">
        <w:rPr>
          <w:rFonts w:asciiTheme="majorHAnsi" w:hAnsiTheme="majorHAnsi" w:cstheme="majorHAnsi"/>
          <w:lang w:val="en-GB"/>
        </w:rPr>
        <w:t>newly developed</w:t>
      </w:r>
      <w:r w:rsidRPr="000F3195">
        <w:rPr>
          <w:rFonts w:asciiTheme="majorHAnsi" w:hAnsiTheme="majorHAnsi" w:cstheme="majorHAnsi"/>
          <w:lang w:val="en-GB"/>
        </w:rPr>
        <w:t xml:space="preserve"> socialized or resettlement housing projects for </w:t>
      </w:r>
      <w:r w:rsidR="00F76D0B">
        <w:rPr>
          <w:rFonts w:asciiTheme="majorHAnsi" w:hAnsiTheme="majorHAnsi" w:cstheme="majorHAnsi"/>
          <w:lang w:val="en-GB"/>
        </w:rPr>
        <w:t>s</w:t>
      </w:r>
      <w:r w:rsidRPr="000F3195">
        <w:rPr>
          <w:rFonts w:asciiTheme="majorHAnsi" w:hAnsiTheme="majorHAnsi" w:cstheme="majorHAnsi"/>
          <w:lang w:val="en-GB"/>
        </w:rPr>
        <w:t xml:space="preserve">enior </w:t>
      </w:r>
      <w:r w:rsidR="00F76D0B">
        <w:rPr>
          <w:rFonts w:asciiTheme="majorHAnsi" w:hAnsiTheme="majorHAnsi" w:cstheme="majorHAnsi"/>
          <w:lang w:val="en-GB"/>
        </w:rPr>
        <w:t>c</w:t>
      </w:r>
      <w:r w:rsidRPr="000F3195">
        <w:rPr>
          <w:rFonts w:asciiTheme="majorHAnsi" w:hAnsiTheme="majorHAnsi" w:cstheme="majorHAnsi"/>
          <w:lang w:val="en-GB"/>
        </w:rPr>
        <w:t>itizen applicants</w:t>
      </w:r>
      <w:r w:rsidR="00F76D0B">
        <w:rPr>
          <w:rFonts w:asciiTheme="majorHAnsi" w:hAnsiTheme="majorHAnsi" w:cstheme="majorHAnsi"/>
          <w:lang w:val="en-GB"/>
        </w:rPr>
        <w:t xml:space="preserve"> subject to the following considerations:</w:t>
      </w:r>
    </w:p>
    <w:p w14:paraId="06004E19" w14:textId="4B36CFEA" w:rsidR="00665DF3" w:rsidRPr="000F3195" w:rsidRDefault="00665DF3" w:rsidP="009D4182">
      <w:pPr>
        <w:pStyle w:val="ListParagraph"/>
        <w:numPr>
          <w:ilvl w:val="0"/>
          <w:numId w:val="10"/>
        </w:numPr>
        <w:spacing w:after="0" w:line="276" w:lineRule="auto"/>
        <w:jc w:val="both"/>
        <w:rPr>
          <w:rFonts w:asciiTheme="majorHAnsi" w:hAnsiTheme="majorHAnsi" w:cstheme="majorHAnsi"/>
          <w:lang w:val="en-GB"/>
        </w:rPr>
      </w:pPr>
      <w:r w:rsidRPr="000F3195">
        <w:rPr>
          <w:rFonts w:asciiTheme="majorHAnsi" w:hAnsiTheme="majorHAnsi" w:cstheme="majorHAnsi"/>
          <w:lang w:val="en-GB"/>
        </w:rPr>
        <w:t xml:space="preserve">To preserve the special purpose of the allocated housing units for </w:t>
      </w:r>
      <w:r w:rsidR="00F76D0B">
        <w:rPr>
          <w:rFonts w:asciiTheme="majorHAnsi" w:hAnsiTheme="majorHAnsi" w:cstheme="majorHAnsi"/>
          <w:lang w:val="en-GB"/>
        </w:rPr>
        <w:t>s</w:t>
      </w:r>
      <w:r w:rsidRPr="000F3195">
        <w:rPr>
          <w:rFonts w:asciiTheme="majorHAnsi" w:hAnsiTheme="majorHAnsi" w:cstheme="majorHAnsi"/>
          <w:lang w:val="en-GB"/>
        </w:rPr>
        <w:t xml:space="preserve">enior </w:t>
      </w:r>
      <w:r w:rsidR="00F76D0B">
        <w:rPr>
          <w:rFonts w:asciiTheme="majorHAnsi" w:hAnsiTheme="majorHAnsi" w:cstheme="majorHAnsi"/>
          <w:lang w:val="en-GB"/>
        </w:rPr>
        <w:t>c</w:t>
      </w:r>
      <w:r w:rsidRPr="000F3195">
        <w:rPr>
          <w:rFonts w:asciiTheme="majorHAnsi" w:hAnsiTheme="majorHAnsi" w:cstheme="majorHAnsi"/>
          <w:lang w:val="en-GB"/>
        </w:rPr>
        <w:t>itizens, the NHA shall use a</w:t>
      </w:r>
      <w:r w:rsidR="00F76D0B">
        <w:rPr>
          <w:rFonts w:asciiTheme="majorHAnsi" w:hAnsiTheme="majorHAnsi" w:cstheme="majorHAnsi"/>
          <w:lang w:val="en-GB"/>
        </w:rPr>
        <w:t xml:space="preserve"> renewable 5-year</w:t>
      </w:r>
      <w:r w:rsidRPr="000F3195">
        <w:rPr>
          <w:rFonts w:asciiTheme="majorHAnsi" w:hAnsiTheme="majorHAnsi" w:cstheme="majorHAnsi"/>
          <w:lang w:val="en-GB"/>
        </w:rPr>
        <w:t xml:space="preserve"> lease contract to document the awarding of the unit, which shall not be transferable to any person, including the awardee’s legal heirs.</w:t>
      </w:r>
    </w:p>
    <w:p w14:paraId="54C0D359" w14:textId="0B995B89" w:rsidR="00665DF3" w:rsidRPr="000F3195" w:rsidRDefault="00665DF3" w:rsidP="009D4182">
      <w:pPr>
        <w:pStyle w:val="ListParagraph"/>
        <w:numPr>
          <w:ilvl w:val="0"/>
          <w:numId w:val="10"/>
        </w:numPr>
        <w:spacing w:after="0" w:line="276" w:lineRule="auto"/>
        <w:jc w:val="both"/>
        <w:rPr>
          <w:rFonts w:asciiTheme="majorHAnsi" w:hAnsiTheme="majorHAnsi" w:cstheme="majorHAnsi"/>
          <w:lang w:val="en-GB"/>
        </w:rPr>
      </w:pPr>
      <w:r w:rsidRPr="000F3195">
        <w:rPr>
          <w:rFonts w:asciiTheme="majorHAnsi" w:hAnsiTheme="majorHAnsi" w:cstheme="majorHAnsi"/>
          <w:lang w:val="en-GB"/>
        </w:rPr>
        <w:lastRenderedPageBreak/>
        <w:t xml:space="preserve">In consideration of the financial situation of </w:t>
      </w:r>
      <w:r w:rsidR="00F76D0B">
        <w:rPr>
          <w:rFonts w:asciiTheme="majorHAnsi" w:hAnsiTheme="majorHAnsi" w:cstheme="majorHAnsi"/>
          <w:lang w:val="en-GB"/>
        </w:rPr>
        <w:t>s</w:t>
      </w:r>
      <w:r w:rsidRPr="000F3195">
        <w:rPr>
          <w:rFonts w:asciiTheme="majorHAnsi" w:hAnsiTheme="majorHAnsi" w:cstheme="majorHAnsi"/>
          <w:lang w:val="en-GB"/>
        </w:rPr>
        <w:t xml:space="preserve">enior </w:t>
      </w:r>
      <w:r w:rsidR="00F76D0B">
        <w:rPr>
          <w:rFonts w:asciiTheme="majorHAnsi" w:hAnsiTheme="majorHAnsi" w:cstheme="majorHAnsi"/>
          <w:lang w:val="en-GB"/>
        </w:rPr>
        <w:t>c</w:t>
      </w:r>
      <w:r w:rsidRPr="000F3195">
        <w:rPr>
          <w:rFonts w:asciiTheme="majorHAnsi" w:hAnsiTheme="majorHAnsi" w:cstheme="majorHAnsi"/>
          <w:lang w:val="en-GB"/>
        </w:rPr>
        <w:t>itizens, the lease rate is reduced to 50%. There will be no price escalation if the lease contract is renewed</w:t>
      </w:r>
      <w:r w:rsidR="00C908F3">
        <w:rPr>
          <w:rFonts w:asciiTheme="majorHAnsi" w:hAnsiTheme="majorHAnsi" w:cstheme="majorHAnsi"/>
          <w:lang w:val="en-GB"/>
        </w:rPr>
        <w:t>.</w:t>
      </w:r>
    </w:p>
    <w:p w14:paraId="65F1074E" w14:textId="7B60B021" w:rsidR="004179E2" w:rsidRDefault="00665DF3" w:rsidP="009D4182">
      <w:pPr>
        <w:pStyle w:val="ListParagraph"/>
        <w:numPr>
          <w:ilvl w:val="0"/>
          <w:numId w:val="10"/>
        </w:numPr>
        <w:spacing w:after="0" w:line="276" w:lineRule="auto"/>
        <w:jc w:val="both"/>
        <w:rPr>
          <w:rFonts w:asciiTheme="majorHAnsi" w:hAnsiTheme="majorHAnsi" w:cstheme="majorHAnsi"/>
          <w:lang w:val="en-GB"/>
        </w:rPr>
      </w:pPr>
      <w:r w:rsidRPr="000F3195">
        <w:rPr>
          <w:rFonts w:asciiTheme="majorHAnsi" w:hAnsiTheme="majorHAnsi" w:cstheme="majorHAnsi"/>
          <w:lang w:val="en-GB"/>
        </w:rPr>
        <w:t xml:space="preserve">Senior </w:t>
      </w:r>
      <w:r w:rsidR="00C908F3">
        <w:rPr>
          <w:rFonts w:asciiTheme="majorHAnsi" w:hAnsiTheme="majorHAnsi" w:cstheme="majorHAnsi"/>
          <w:lang w:val="en-GB"/>
        </w:rPr>
        <w:t>c</w:t>
      </w:r>
      <w:r w:rsidRPr="000F3195">
        <w:rPr>
          <w:rFonts w:asciiTheme="majorHAnsi" w:hAnsiTheme="majorHAnsi" w:cstheme="majorHAnsi"/>
          <w:lang w:val="en-GB"/>
        </w:rPr>
        <w:t xml:space="preserve">itizen applicants should not be included in the NHA’s Census </w:t>
      </w:r>
      <w:proofErr w:type="spellStart"/>
      <w:r w:rsidRPr="000F3195">
        <w:rPr>
          <w:rFonts w:asciiTheme="majorHAnsi" w:hAnsiTheme="majorHAnsi" w:cstheme="majorHAnsi"/>
          <w:lang w:val="en-GB"/>
        </w:rPr>
        <w:t>Masterlist</w:t>
      </w:r>
      <w:proofErr w:type="spellEnd"/>
      <w:r w:rsidRPr="000F3195">
        <w:rPr>
          <w:rFonts w:asciiTheme="majorHAnsi" w:hAnsiTheme="majorHAnsi" w:cstheme="majorHAnsi"/>
          <w:lang w:val="en-GB"/>
        </w:rPr>
        <w:t xml:space="preserve"> of Household and List of Housing Beneficiaries, to allow more families with </w:t>
      </w:r>
      <w:r w:rsidR="00C908F3">
        <w:rPr>
          <w:rFonts w:asciiTheme="majorHAnsi" w:hAnsiTheme="majorHAnsi" w:cstheme="majorHAnsi"/>
          <w:lang w:val="en-GB"/>
        </w:rPr>
        <w:t>s</w:t>
      </w:r>
      <w:r w:rsidRPr="000F3195">
        <w:rPr>
          <w:rFonts w:asciiTheme="majorHAnsi" w:hAnsiTheme="majorHAnsi" w:cstheme="majorHAnsi"/>
          <w:lang w:val="en-GB"/>
        </w:rPr>
        <w:t xml:space="preserve">enior </w:t>
      </w:r>
      <w:r w:rsidR="00C908F3">
        <w:rPr>
          <w:rFonts w:asciiTheme="majorHAnsi" w:hAnsiTheme="majorHAnsi" w:cstheme="majorHAnsi"/>
          <w:lang w:val="en-GB"/>
        </w:rPr>
        <w:t>c</w:t>
      </w:r>
      <w:r w:rsidRPr="000F3195">
        <w:rPr>
          <w:rFonts w:asciiTheme="majorHAnsi" w:hAnsiTheme="majorHAnsi" w:cstheme="majorHAnsi"/>
          <w:lang w:val="en-GB"/>
        </w:rPr>
        <w:t>itizens to benefit from the program.</w:t>
      </w:r>
    </w:p>
    <w:p w14:paraId="4751D813" w14:textId="77777777" w:rsidR="00450EBD" w:rsidRPr="00450EBD" w:rsidRDefault="00450EBD" w:rsidP="00450EBD">
      <w:pPr>
        <w:pStyle w:val="ListParagraph"/>
        <w:spacing w:after="0" w:line="276" w:lineRule="auto"/>
        <w:jc w:val="both"/>
        <w:rPr>
          <w:rFonts w:asciiTheme="majorHAnsi" w:hAnsiTheme="majorHAnsi" w:cstheme="majorHAnsi"/>
          <w:lang w:val="en-GB"/>
        </w:rPr>
      </w:pPr>
    </w:p>
    <w:p w14:paraId="317BAC18" w14:textId="6512949E" w:rsidR="00547A3D" w:rsidRDefault="004179E2" w:rsidP="009D4182">
      <w:pPr>
        <w:spacing w:after="0" w:line="276" w:lineRule="auto"/>
        <w:jc w:val="both"/>
        <w:rPr>
          <w:rFonts w:asciiTheme="majorHAnsi" w:hAnsiTheme="majorHAnsi" w:cstheme="majorHAnsi"/>
          <w:lang w:val="en-GB"/>
        </w:rPr>
      </w:pPr>
      <w:r w:rsidRPr="004179E2">
        <w:rPr>
          <w:rFonts w:asciiTheme="majorHAnsi" w:hAnsiTheme="majorHAnsi" w:cstheme="majorHAnsi"/>
          <w:lang w:val="en-GB"/>
        </w:rPr>
        <w:t>The</w:t>
      </w:r>
      <w:r>
        <w:rPr>
          <w:rFonts w:asciiTheme="majorHAnsi" w:hAnsiTheme="majorHAnsi" w:cstheme="majorHAnsi"/>
          <w:lang w:val="en-GB"/>
        </w:rPr>
        <w:t xml:space="preserve"> Home Development Mutual Fund, otherwise known as the Pag-IBIG Fund</w:t>
      </w:r>
      <w:r>
        <w:rPr>
          <w:rStyle w:val="FootnoteReference"/>
          <w:rFonts w:asciiTheme="majorHAnsi" w:hAnsiTheme="majorHAnsi" w:cstheme="majorHAnsi"/>
          <w:lang w:val="en-GB"/>
        </w:rPr>
        <w:footnoteReference w:id="41"/>
      </w:r>
      <w:r w:rsidR="004C0DAE">
        <w:rPr>
          <w:rFonts w:asciiTheme="majorHAnsi" w:hAnsiTheme="majorHAnsi" w:cstheme="majorHAnsi"/>
          <w:lang w:val="en-GB"/>
        </w:rPr>
        <w:t xml:space="preserve"> </w:t>
      </w:r>
      <w:r w:rsidR="00E16BA1">
        <w:rPr>
          <w:rFonts w:asciiTheme="majorHAnsi" w:hAnsiTheme="majorHAnsi" w:cstheme="majorHAnsi"/>
          <w:lang w:val="en-GB"/>
        </w:rPr>
        <w:t>“to help mitigate the adverse effects of the Corona Virus Disease (COVID-19) pandemic to all its members, Pag-IBIG Fund implemented various programs such as:</w:t>
      </w:r>
    </w:p>
    <w:p w14:paraId="2D3F173C" w14:textId="36215C44" w:rsidR="00E16BA1" w:rsidRDefault="00C62A56" w:rsidP="00E16BA1">
      <w:pPr>
        <w:pStyle w:val="ListParagraph"/>
        <w:numPr>
          <w:ilvl w:val="0"/>
          <w:numId w:val="27"/>
        </w:numPr>
        <w:spacing w:after="0" w:line="276" w:lineRule="auto"/>
        <w:jc w:val="both"/>
        <w:rPr>
          <w:rFonts w:asciiTheme="majorHAnsi" w:hAnsiTheme="majorHAnsi" w:cstheme="majorHAnsi"/>
          <w:lang w:val="en-GB"/>
        </w:rPr>
      </w:pPr>
      <w:r>
        <w:rPr>
          <w:rFonts w:asciiTheme="majorHAnsi" w:hAnsiTheme="majorHAnsi" w:cstheme="majorHAnsi"/>
          <w:lang w:val="en-GB"/>
        </w:rPr>
        <w:t xml:space="preserve">In Republic Act No. 11494, or the </w:t>
      </w:r>
      <w:proofErr w:type="spellStart"/>
      <w:r>
        <w:rPr>
          <w:rFonts w:asciiTheme="majorHAnsi" w:hAnsiTheme="majorHAnsi" w:cstheme="majorHAnsi"/>
          <w:lang w:val="en-GB"/>
        </w:rPr>
        <w:t>Bayanihan</w:t>
      </w:r>
      <w:proofErr w:type="spellEnd"/>
      <w:r>
        <w:rPr>
          <w:rFonts w:asciiTheme="majorHAnsi" w:hAnsiTheme="majorHAnsi" w:cstheme="majorHAnsi"/>
          <w:lang w:val="en-GB"/>
        </w:rPr>
        <w:t xml:space="preserve"> to Heal as One Act, the Fund is mandated to implement programs on housing loans to fast-track the approval of all pending and new applications, and to accommodate and prioritize critically impacted home buyers, which include older persons who may want to shift from private to Pag-IBIG home financing. </w:t>
      </w:r>
      <w:r w:rsidR="00634C76">
        <w:rPr>
          <w:rFonts w:asciiTheme="majorHAnsi" w:hAnsiTheme="majorHAnsi" w:cstheme="majorHAnsi"/>
          <w:lang w:val="en-GB"/>
        </w:rPr>
        <w:t>Its</w:t>
      </w:r>
      <w:r w:rsidR="00082E81">
        <w:rPr>
          <w:rFonts w:asciiTheme="majorHAnsi" w:hAnsiTheme="majorHAnsi" w:cstheme="majorHAnsi"/>
          <w:lang w:val="en-GB"/>
        </w:rPr>
        <w:t xml:space="preserve"> addition to this, to help its members, including our elderly, in achieving their dream of owning a home amidst the COVID-19 pandemic, promotional interest rates and non-imposition of penalties were implemented by the Fund; and</w:t>
      </w:r>
    </w:p>
    <w:p w14:paraId="6028E5E4" w14:textId="10BA1BA3" w:rsidR="00082E81" w:rsidRPr="00E16BA1" w:rsidRDefault="00082E81" w:rsidP="00E16BA1">
      <w:pPr>
        <w:pStyle w:val="ListParagraph"/>
        <w:numPr>
          <w:ilvl w:val="0"/>
          <w:numId w:val="27"/>
        </w:numPr>
        <w:spacing w:after="0" w:line="276" w:lineRule="auto"/>
        <w:jc w:val="both"/>
        <w:rPr>
          <w:rFonts w:asciiTheme="majorHAnsi" w:hAnsiTheme="majorHAnsi" w:cstheme="majorHAnsi"/>
          <w:lang w:val="en-GB"/>
        </w:rPr>
      </w:pPr>
      <w:r>
        <w:rPr>
          <w:rFonts w:asciiTheme="majorHAnsi" w:hAnsiTheme="majorHAnsi" w:cstheme="majorHAnsi"/>
          <w:lang w:val="en-GB"/>
        </w:rPr>
        <w:t xml:space="preserve">To keep up with modern day technological and environmental challenges, the Fund introduced innovations in its services. Due to the stricter restrictions during the COVID-19 pandemic, which limited movement and transportation capacity mostly of our senior citizens and children, Pag-IBIG Funds has developed the Virtual Pag-IBIG platform. The members can now enjoy Pag-IBIG services in the comfort of their homes thru Virtual Pag-IBIG platform, protecting them from the risk of COVID-19. However, in case there are older persons who are technologically challenged, Pag-IBIG Fund employees in all </w:t>
      </w:r>
      <w:r w:rsidR="00960E24">
        <w:rPr>
          <w:rFonts w:asciiTheme="majorHAnsi" w:hAnsiTheme="majorHAnsi" w:cstheme="majorHAnsi"/>
          <w:lang w:val="en-GB"/>
        </w:rPr>
        <w:t>branches nationwide</w:t>
      </w:r>
      <w:r>
        <w:rPr>
          <w:rFonts w:asciiTheme="majorHAnsi" w:hAnsiTheme="majorHAnsi" w:cstheme="majorHAnsi"/>
          <w:lang w:val="en-GB"/>
        </w:rPr>
        <w:t xml:space="preserve"> are ready to assist them at all times. </w:t>
      </w:r>
    </w:p>
    <w:p w14:paraId="7A5383B7" w14:textId="77777777" w:rsidR="004179E2" w:rsidRPr="004179E2" w:rsidRDefault="004179E2" w:rsidP="009D4182">
      <w:pPr>
        <w:spacing w:after="0" w:line="276" w:lineRule="auto"/>
        <w:jc w:val="both"/>
        <w:rPr>
          <w:rFonts w:asciiTheme="majorHAnsi" w:hAnsiTheme="majorHAnsi" w:cstheme="majorHAnsi"/>
          <w:lang w:val="en-GB"/>
        </w:rPr>
      </w:pPr>
    </w:p>
    <w:p w14:paraId="346B5FE0" w14:textId="2D621E23" w:rsidR="00B62EE5" w:rsidRPr="00F90D1E" w:rsidRDefault="00B62EE5" w:rsidP="00F90D1E">
      <w:pPr>
        <w:pStyle w:val="ListParagraph"/>
        <w:numPr>
          <w:ilvl w:val="0"/>
          <w:numId w:val="25"/>
        </w:numPr>
        <w:spacing w:after="0" w:line="276" w:lineRule="auto"/>
        <w:ind w:left="360"/>
        <w:jc w:val="both"/>
        <w:rPr>
          <w:rFonts w:asciiTheme="majorHAnsi" w:hAnsiTheme="majorHAnsi" w:cstheme="majorHAnsi"/>
          <w:b/>
          <w:lang w:val="en-US"/>
        </w:rPr>
      </w:pPr>
      <w:r w:rsidRPr="00F90D1E">
        <w:rPr>
          <w:rFonts w:asciiTheme="majorHAnsi" w:hAnsiTheme="majorHAnsi" w:cstheme="majorHAnsi"/>
          <w:b/>
          <w:lang w:val="en-GB"/>
        </w:rPr>
        <w:t xml:space="preserve">What </w:t>
      </w:r>
      <w:r w:rsidRPr="00F90D1E">
        <w:rPr>
          <w:rFonts w:asciiTheme="majorHAnsi" w:hAnsiTheme="majorHAnsi" w:cstheme="majorHAnsi"/>
          <w:b/>
          <w:bCs/>
          <w:lang w:val="en-GB"/>
        </w:rPr>
        <w:t>alternative housing strategies for older persons</w:t>
      </w:r>
      <w:r w:rsidRPr="00F90D1E">
        <w:rPr>
          <w:rFonts w:asciiTheme="majorHAnsi" w:hAnsiTheme="majorHAnsi" w:cstheme="majorHAnsi"/>
          <w:b/>
          <w:lang w:val="en-GB"/>
        </w:rPr>
        <w:t xml:space="preserve">, other than care homes and state institutions, exist in your country? </w:t>
      </w:r>
      <w:r w:rsidRPr="00F90D1E">
        <w:rPr>
          <w:rFonts w:asciiTheme="majorHAnsi" w:hAnsiTheme="majorHAnsi" w:cstheme="majorHAnsi"/>
          <w:b/>
          <w:lang w:val="en-US"/>
        </w:rPr>
        <w:t>What policies/</w:t>
      </w:r>
      <w:proofErr w:type="spellStart"/>
      <w:r w:rsidRPr="00F90D1E">
        <w:rPr>
          <w:rFonts w:asciiTheme="majorHAnsi" w:hAnsiTheme="majorHAnsi" w:cstheme="majorHAnsi"/>
          <w:b/>
          <w:lang w:val="en-US"/>
        </w:rPr>
        <w:t>programmes</w:t>
      </w:r>
      <w:proofErr w:type="spellEnd"/>
      <w:r w:rsidRPr="00F90D1E">
        <w:rPr>
          <w:rFonts w:asciiTheme="majorHAnsi" w:hAnsiTheme="majorHAnsi" w:cstheme="majorHAnsi"/>
          <w:b/>
          <w:lang w:val="en-US"/>
        </w:rPr>
        <w:t xml:space="preserve"> are in place to enable older persons to live independently in their communities as they age?</w:t>
      </w:r>
      <w:r w:rsidRPr="00F90D1E">
        <w:rPr>
          <w:rFonts w:asciiTheme="majorHAnsi" w:hAnsiTheme="majorHAnsi" w:cstheme="majorHAnsi"/>
          <w:b/>
          <w:lang w:val="en-GB"/>
        </w:rPr>
        <w:t xml:space="preserve"> Please provide detailed information. </w:t>
      </w:r>
    </w:p>
    <w:p w14:paraId="100BEC10" w14:textId="0E5457CE" w:rsidR="00125361" w:rsidRDefault="00125361" w:rsidP="005329E0">
      <w:pPr>
        <w:spacing w:after="0" w:line="276" w:lineRule="auto"/>
        <w:jc w:val="both"/>
        <w:rPr>
          <w:rFonts w:asciiTheme="majorHAnsi" w:hAnsiTheme="majorHAnsi" w:cstheme="majorHAnsi"/>
          <w:lang w:val="en-US"/>
        </w:rPr>
      </w:pPr>
    </w:p>
    <w:p w14:paraId="013AFBDD" w14:textId="66201D7D" w:rsidR="00125361" w:rsidRPr="000F3195" w:rsidRDefault="00954225" w:rsidP="00941D92">
      <w:pPr>
        <w:spacing w:after="0" w:line="276" w:lineRule="auto"/>
        <w:jc w:val="both"/>
        <w:rPr>
          <w:rFonts w:asciiTheme="majorHAnsi" w:hAnsiTheme="majorHAnsi" w:cstheme="majorHAnsi"/>
          <w:lang w:val="en-US"/>
        </w:rPr>
      </w:pPr>
      <w:r>
        <w:rPr>
          <w:rFonts w:asciiTheme="majorHAnsi" w:hAnsiTheme="majorHAnsi" w:cstheme="majorHAnsi"/>
          <w:lang w:val="en-US"/>
        </w:rPr>
        <w:t>As mentioned in previous sections, government-owned and controlled corporations offer housing loan programs that are available to all, including older persons.</w:t>
      </w:r>
    </w:p>
    <w:p w14:paraId="25A1165C" w14:textId="2FE394DD" w:rsidR="00A9013C" w:rsidRPr="000F3195" w:rsidRDefault="00A9013C" w:rsidP="005329E0">
      <w:pPr>
        <w:spacing w:after="0" w:line="276" w:lineRule="auto"/>
        <w:jc w:val="both"/>
        <w:rPr>
          <w:rFonts w:asciiTheme="majorHAnsi" w:hAnsiTheme="majorHAnsi" w:cstheme="majorHAnsi"/>
          <w:lang w:val="en-US"/>
        </w:rPr>
      </w:pPr>
    </w:p>
    <w:p w14:paraId="3E0921E3" w14:textId="671B05D1" w:rsidR="00A9013C" w:rsidRPr="000F3195" w:rsidRDefault="00A9013C" w:rsidP="00D441CA">
      <w:pPr>
        <w:spacing w:after="0" w:line="276" w:lineRule="auto"/>
        <w:jc w:val="both"/>
        <w:rPr>
          <w:rFonts w:asciiTheme="majorHAnsi" w:hAnsiTheme="majorHAnsi" w:cstheme="majorHAnsi"/>
          <w:b/>
          <w:lang w:val="en-US"/>
        </w:rPr>
      </w:pPr>
      <w:r w:rsidRPr="000F3195">
        <w:rPr>
          <w:rFonts w:asciiTheme="majorHAnsi" w:hAnsiTheme="majorHAnsi" w:cstheme="majorHAnsi"/>
          <w:lang w:val="en-US"/>
        </w:rPr>
        <w:t xml:space="preserve">There </w:t>
      </w:r>
      <w:proofErr w:type="gramStart"/>
      <w:r w:rsidRPr="000F3195">
        <w:rPr>
          <w:rFonts w:asciiTheme="majorHAnsi" w:hAnsiTheme="majorHAnsi" w:cstheme="majorHAnsi"/>
          <w:lang w:val="en-US"/>
        </w:rPr>
        <w:t>is</w:t>
      </w:r>
      <w:proofErr w:type="gramEnd"/>
      <w:r w:rsidRPr="000F3195">
        <w:rPr>
          <w:rFonts w:asciiTheme="majorHAnsi" w:hAnsiTheme="majorHAnsi" w:cstheme="majorHAnsi"/>
          <w:lang w:val="en-US"/>
        </w:rPr>
        <w:t xml:space="preserve"> also the </w:t>
      </w:r>
      <w:r w:rsidR="00954225">
        <w:rPr>
          <w:rFonts w:asciiTheme="majorHAnsi" w:hAnsiTheme="majorHAnsi" w:cstheme="majorHAnsi"/>
          <w:lang w:val="en-US"/>
        </w:rPr>
        <w:t>a</w:t>
      </w:r>
      <w:r w:rsidR="00DC0943" w:rsidRPr="000F3195">
        <w:rPr>
          <w:rFonts w:asciiTheme="majorHAnsi" w:hAnsiTheme="majorHAnsi" w:cstheme="majorHAnsi"/>
          <w:lang w:val="en-US"/>
        </w:rPr>
        <w:t>lternative housing strategies for older Filipinos</w:t>
      </w:r>
      <w:r w:rsidRPr="000F3195">
        <w:rPr>
          <w:rStyle w:val="FootnoteReference"/>
          <w:rFonts w:asciiTheme="majorHAnsi" w:hAnsiTheme="majorHAnsi" w:cstheme="majorHAnsi"/>
          <w:lang w:val="en-US"/>
        </w:rPr>
        <w:footnoteReference w:id="42"/>
      </w:r>
      <w:r w:rsidRPr="000F3195">
        <w:rPr>
          <w:rFonts w:asciiTheme="majorHAnsi" w:hAnsiTheme="majorHAnsi" w:cstheme="majorHAnsi"/>
          <w:lang w:val="en-US"/>
        </w:rPr>
        <w:t>, as</w:t>
      </w:r>
      <w:r w:rsidR="00DC0943" w:rsidRPr="000F3195">
        <w:rPr>
          <w:rFonts w:asciiTheme="majorHAnsi" w:hAnsiTheme="majorHAnsi" w:cstheme="majorHAnsi"/>
          <w:lang w:val="en-US"/>
        </w:rPr>
        <w:t xml:space="preserve"> provided under</w:t>
      </w:r>
      <w:r w:rsidR="006C281C" w:rsidRPr="000F3195">
        <w:rPr>
          <w:rFonts w:asciiTheme="majorHAnsi" w:hAnsiTheme="majorHAnsi" w:cstheme="majorHAnsi"/>
          <w:lang w:val="en-US"/>
        </w:rPr>
        <w:t xml:space="preserve"> the</w:t>
      </w:r>
      <w:r w:rsidR="00DC0943" w:rsidRPr="000F3195">
        <w:rPr>
          <w:rFonts w:asciiTheme="majorHAnsi" w:hAnsiTheme="majorHAnsi" w:cstheme="majorHAnsi"/>
          <w:lang w:val="en-US"/>
        </w:rPr>
        <w:t xml:space="preserve"> DSWD</w:t>
      </w:r>
      <w:r w:rsidR="006C281C" w:rsidRPr="000F3195">
        <w:rPr>
          <w:rFonts w:asciiTheme="majorHAnsi" w:hAnsiTheme="majorHAnsi" w:cstheme="majorHAnsi"/>
          <w:lang w:val="en-US"/>
        </w:rPr>
        <w:t xml:space="preserve"> Long Term Care Program for Senior Citizens</w:t>
      </w:r>
      <w:r w:rsidR="006C281C" w:rsidRPr="000F3195">
        <w:rPr>
          <w:rStyle w:val="FootnoteReference"/>
          <w:rFonts w:asciiTheme="majorHAnsi" w:hAnsiTheme="majorHAnsi" w:cstheme="majorHAnsi"/>
          <w:lang w:val="en-US"/>
        </w:rPr>
        <w:footnoteReference w:id="43"/>
      </w:r>
      <w:r w:rsidR="00954225">
        <w:rPr>
          <w:rFonts w:asciiTheme="majorHAnsi" w:hAnsiTheme="majorHAnsi" w:cstheme="majorHAnsi"/>
          <w:lang w:val="en-US"/>
        </w:rPr>
        <w:t xml:space="preserve"> which include:</w:t>
      </w:r>
    </w:p>
    <w:p w14:paraId="0F699910" w14:textId="12BAFE0B" w:rsidR="002F17FC" w:rsidRPr="000F3195" w:rsidRDefault="00A9013C" w:rsidP="00D441CA">
      <w:pPr>
        <w:pStyle w:val="EndnoteText"/>
        <w:numPr>
          <w:ilvl w:val="0"/>
          <w:numId w:val="14"/>
        </w:numPr>
        <w:spacing w:line="276" w:lineRule="auto"/>
        <w:jc w:val="both"/>
        <w:rPr>
          <w:rFonts w:asciiTheme="majorHAnsi" w:hAnsiTheme="majorHAnsi" w:cstheme="majorHAnsi"/>
          <w:sz w:val="22"/>
          <w:szCs w:val="22"/>
          <w:lang w:val="en-US"/>
        </w:rPr>
      </w:pPr>
      <w:r w:rsidRPr="000F3195">
        <w:rPr>
          <w:rFonts w:asciiTheme="majorHAnsi" w:hAnsiTheme="majorHAnsi" w:cstheme="majorHAnsi"/>
          <w:sz w:val="22"/>
          <w:szCs w:val="22"/>
          <w:lang w:val="en-US"/>
        </w:rPr>
        <w:t>Residential Care Services</w:t>
      </w:r>
      <w:r w:rsidR="00954225">
        <w:rPr>
          <w:rFonts w:asciiTheme="majorHAnsi" w:hAnsiTheme="majorHAnsi" w:cstheme="majorHAnsi"/>
          <w:sz w:val="22"/>
          <w:szCs w:val="22"/>
          <w:lang w:val="en-US"/>
        </w:rPr>
        <w:t xml:space="preserve"> – </w:t>
      </w:r>
      <w:r w:rsidRPr="000F3195">
        <w:rPr>
          <w:rFonts w:asciiTheme="majorHAnsi" w:hAnsiTheme="majorHAnsi" w:cstheme="majorHAnsi"/>
          <w:sz w:val="22"/>
          <w:szCs w:val="22"/>
          <w:lang w:val="en-US"/>
        </w:rPr>
        <w:t xml:space="preserve">24-hour facility that provides long term or </w:t>
      </w:r>
      <w:r w:rsidRPr="000F3195">
        <w:rPr>
          <w:rFonts w:asciiTheme="majorHAnsi" w:hAnsiTheme="majorHAnsi" w:cstheme="majorHAnsi"/>
          <w:sz w:val="22"/>
          <w:szCs w:val="22"/>
        </w:rPr>
        <w:t>temporary multidisciplinary care to senior citizens who are abandoned by their families or with no significant other to provide the needed supervision and supportive care</w:t>
      </w:r>
      <w:r w:rsidR="002F17FC" w:rsidRPr="000F3195">
        <w:rPr>
          <w:rFonts w:asciiTheme="majorHAnsi" w:hAnsiTheme="majorHAnsi" w:cstheme="majorHAnsi"/>
          <w:sz w:val="22"/>
          <w:szCs w:val="22"/>
        </w:rPr>
        <w:t>;</w:t>
      </w:r>
    </w:p>
    <w:p w14:paraId="4D52DFD3" w14:textId="542ABEE8" w:rsidR="002F17FC" w:rsidRPr="000F3195" w:rsidRDefault="002F17FC" w:rsidP="00D441CA">
      <w:pPr>
        <w:pStyle w:val="EndnoteText"/>
        <w:numPr>
          <w:ilvl w:val="0"/>
          <w:numId w:val="14"/>
        </w:numPr>
        <w:spacing w:line="276" w:lineRule="auto"/>
        <w:jc w:val="both"/>
        <w:rPr>
          <w:rFonts w:asciiTheme="majorHAnsi" w:hAnsiTheme="majorHAnsi" w:cstheme="majorHAnsi"/>
          <w:sz w:val="22"/>
          <w:szCs w:val="22"/>
          <w:lang w:val="en-US"/>
        </w:rPr>
      </w:pPr>
      <w:r w:rsidRPr="000F3195">
        <w:rPr>
          <w:rFonts w:asciiTheme="majorHAnsi" w:hAnsiTheme="majorHAnsi" w:cstheme="majorHAnsi"/>
          <w:sz w:val="22"/>
          <w:szCs w:val="22"/>
          <w:lang w:val="en-US"/>
        </w:rPr>
        <w:t xml:space="preserve">Senior </w:t>
      </w:r>
      <w:r w:rsidRPr="000F3195">
        <w:rPr>
          <w:rFonts w:asciiTheme="majorHAnsi" w:hAnsiTheme="majorHAnsi" w:cstheme="majorHAnsi"/>
          <w:sz w:val="22"/>
          <w:szCs w:val="22"/>
        </w:rPr>
        <w:t>Citizen</w:t>
      </w:r>
      <w:r w:rsidR="00A9013C" w:rsidRPr="000F3195">
        <w:rPr>
          <w:rFonts w:asciiTheme="majorHAnsi" w:hAnsiTheme="majorHAnsi" w:cstheme="majorHAnsi"/>
          <w:sz w:val="22"/>
          <w:szCs w:val="22"/>
        </w:rPr>
        <w:t xml:space="preserve"> Center</w:t>
      </w:r>
      <w:r w:rsidR="00954225">
        <w:rPr>
          <w:rFonts w:asciiTheme="majorHAnsi" w:hAnsiTheme="majorHAnsi" w:cstheme="majorHAnsi"/>
          <w:sz w:val="22"/>
          <w:szCs w:val="22"/>
        </w:rPr>
        <w:t xml:space="preserve"> </w:t>
      </w:r>
      <w:proofErr w:type="gramStart"/>
      <w:r w:rsidR="00954225">
        <w:rPr>
          <w:rFonts w:asciiTheme="majorHAnsi" w:hAnsiTheme="majorHAnsi" w:cstheme="majorHAnsi"/>
          <w:sz w:val="22"/>
          <w:szCs w:val="22"/>
        </w:rPr>
        <w:t xml:space="preserve">–  </w:t>
      </w:r>
      <w:r w:rsidR="00A9013C" w:rsidRPr="000F3195">
        <w:rPr>
          <w:rFonts w:asciiTheme="majorHAnsi" w:hAnsiTheme="majorHAnsi" w:cstheme="majorHAnsi"/>
          <w:sz w:val="22"/>
          <w:szCs w:val="22"/>
        </w:rPr>
        <w:t>day</w:t>
      </w:r>
      <w:proofErr w:type="gramEnd"/>
      <w:r w:rsidR="00A9013C" w:rsidRPr="000F3195">
        <w:rPr>
          <w:rFonts w:asciiTheme="majorHAnsi" w:hAnsiTheme="majorHAnsi" w:cstheme="majorHAnsi"/>
          <w:sz w:val="22"/>
          <w:szCs w:val="22"/>
        </w:rPr>
        <w:t xml:space="preserve"> center facility with recreational, educational, health and socio-cultural programs designed for the full enjoyment and benefit of the senior citizens in the city or municipality. Also serves as a facility for the provision of community</w:t>
      </w:r>
      <w:r w:rsidR="00D1780E">
        <w:rPr>
          <w:rFonts w:asciiTheme="majorHAnsi" w:hAnsiTheme="majorHAnsi" w:cstheme="majorHAnsi"/>
          <w:sz w:val="22"/>
          <w:szCs w:val="22"/>
        </w:rPr>
        <w:t>-</w:t>
      </w:r>
      <w:r w:rsidR="00A9013C" w:rsidRPr="000F3195">
        <w:rPr>
          <w:rFonts w:asciiTheme="majorHAnsi" w:hAnsiTheme="majorHAnsi" w:cstheme="majorHAnsi"/>
          <w:sz w:val="22"/>
          <w:szCs w:val="22"/>
        </w:rPr>
        <w:t>based educational services such as learning network of senior citizen and sheltered workshops</w:t>
      </w:r>
      <w:r w:rsidRPr="000F3195">
        <w:rPr>
          <w:rFonts w:asciiTheme="majorHAnsi" w:hAnsiTheme="majorHAnsi" w:cstheme="majorHAnsi"/>
          <w:sz w:val="22"/>
          <w:szCs w:val="22"/>
        </w:rPr>
        <w:t>;</w:t>
      </w:r>
    </w:p>
    <w:p w14:paraId="65C36483" w14:textId="237EC825" w:rsidR="00D1780E" w:rsidRPr="000F3195" w:rsidRDefault="00A9013C" w:rsidP="0012001E">
      <w:pPr>
        <w:pStyle w:val="EndnoteText"/>
        <w:numPr>
          <w:ilvl w:val="0"/>
          <w:numId w:val="14"/>
        </w:numPr>
        <w:spacing w:line="276" w:lineRule="auto"/>
        <w:jc w:val="both"/>
        <w:rPr>
          <w:rFonts w:asciiTheme="majorHAnsi" w:hAnsiTheme="majorHAnsi" w:cstheme="majorHAnsi"/>
          <w:sz w:val="22"/>
          <w:szCs w:val="22"/>
          <w:lang w:val="en-US"/>
        </w:rPr>
      </w:pPr>
      <w:r w:rsidRPr="000F3195">
        <w:rPr>
          <w:rFonts w:asciiTheme="majorHAnsi" w:hAnsiTheme="majorHAnsi" w:cstheme="majorHAnsi"/>
          <w:sz w:val="22"/>
          <w:szCs w:val="22"/>
        </w:rPr>
        <w:t>Home Care Support</w:t>
      </w:r>
      <w:r w:rsidR="00D1780E">
        <w:rPr>
          <w:rFonts w:asciiTheme="majorHAnsi" w:hAnsiTheme="majorHAnsi" w:cstheme="majorHAnsi"/>
          <w:sz w:val="22"/>
          <w:szCs w:val="22"/>
        </w:rPr>
        <w:t xml:space="preserve"> –</w:t>
      </w:r>
      <w:r w:rsidRPr="000F3195">
        <w:rPr>
          <w:rFonts w:asciiTheme="majorHAnsi" w:hAnsiTheme="majorHAnsi" w:cstheme="majorHAnsi"/>
          <w:sz w:val="22"/>
          <w:szCs w:val="22"/>
        </w:rPr>
        <w:t xml:space="preserve"> </w:t>
      </w:r>
      <w:r w:rsidR="00D1780E">
        <w:rPr>
          <w:rFonts w:asciiTheme="majorHAnsi" w:hAnsiTheme="majorHAnsi" w:cstheme="majorHAnsi"/>
          <w:sz w:val="22"/>
          <w:szCs w:val="22"/>
        </w:rPr>
        <w:t>s</w:t>
      </w:r>
      <w:r w:rsidRPr="000F3195">
        <w:rPr>
          <w:rFonts w:asciiTheme="majorHAnsi" w:hAnsiTheme="majorHAnsi" w:cstheme="majorHAnsi"/>
          <w:sz w:val="22"/>
          <w:szCs w:val="22"/>
        </w:rPr>
        <w:t>ervices provided to senior citizens while in their homes such as assisting senior citizens in their daily living activities</w:t>
      </w:r>
      <w:r w:rsidR="00D1780E">
        <w:rPr>
          <w:rFonts w:asciiTheme="majorHAnsi" w:hAnsiTheme="majorHAnsi" w:cstheme="majorHAnsi"/>
          <w:sz w:val="22"/>
          <w:szCs w:val="22"/>
        </w:rPr>
        <w:t>,</w:t>
      </w:r>
      <w:r w:rsidRPr="000F3195">
        <w:rPr>
          <w:rFonts w:asciiTheme="majorHAnsi" w:hAnsiTheme="majorHAnsi" w:cstheme="majorHAnsi"/>
          <w:sz w:val="22"/>
          <w:szCs w:val="22"/>
        </w:rPr>
        <w:t xml:space="preserve"> training volunteers and family members on caregiving for senior citizens</w:t>
      </w:r>
      <w:r w:rsidR="00D1780E">
        <w:rPr>
          <w:rFonts w:asciiTheme="majorHAnsi" w:hAnsiTheme="majorHAnsi" w:cstheme="majorHAnsi"/>
          <w:sz w:val="22"/>
          <w:szCs w:val="22"/>
        </w:rPr>
        <w:t>,</w:t>
      </w:r>
      <w:r w:rsidRPr="000F3195">
        <w:rPr>
          <w:rFonts w:asciiTheme="majorHAnsi" w:hAnsiTheme="majorHAnsi" w:cstheme="majorHAnsi"/>
          <w:sz w:val="22"/>
          <w:szCs w:val="22"/>
        </w:rPr>
        <w:t xml:space="preserve"> provision of assistive devices for senior citizens</w:t>
      </w:r>
      <w:r w:rsidR="00D1780E">
        <w:rPr>
          <w:rFonts w:asciiTheme="majorHAnsi" w:hAnsiTheme="majorHAnsi" w:cstheme="majorHAnsi"/>
          <w:sz w:val="22"/>
          <w:szCs w:val="22"/>
        </w:rPr>
        <w:t>,</w:t>
      </w:r>
      <w:r w:rsidRPr="000F3195">
        <w:rPr>
          <w:rFonts w:asciiTheme="majorHAnsi" w:hAnsiTheme="majorHAnsi" w:cstheme="majorHAnsi"/>
          <w:sz w:val="22"/>
          <w:szCs w:val="22"/>
        </w:rPr>
        <w:t xml:space="preserve"> and community-based rehabilitative activities.</w:t>
      </w:r>
    </w:p>
    <w:p w14:paraId="2C47514D" w14:textId="18B2B6B1" w:rsidR="00D1780E" w:rsidRPr="00941D92" w:rsidRDefault="00A9013C" w:rsidP="00D1780E">
      <w:pPr>
        <w:pStyle w:val="EndnoteText"/>
        <w:numPr>
          <w:ilvl w:val="0"/>
          <w:numId w:val="14"/>
        </w:numPr>
        <w:spacing w:line="276" w:lineRule="auto"/>
        <w:jc w:val="both"/>
        <w:rPr>
          <w:rFonts w:asciiTheme="majorHAnsi" w:hAnsiTheme="majorHAnsi" w:cstheme="majorHAnsi"/>
          <w:sz w:val="22"/>
          <w:szCs w:val="22"/>
          <w:lang w:val="en-US"/>
        </w:rPr>
      </w:pPr>
      <w:r w:rsidRPr="00941D92">
        <w:rPr>
          <w:rFonts w:asciiTheme="majorHAnsi" w:hAnsiTheme="majorHAnsi" w:cstheme="majorHAnsi"/>
          <w:sz w:val="22"/>
          <w:szCs w:val="22"/>
        </w:rPr>
        <w:t>Foster Home</w:t>
      </w:r>
      <w:r w:rsidR="00D1780E">
        <w:rPr>
          <w:rFonts w:asciiTheme="majorHAnsi" w:hAnsiTheme="majorHAnsi" w:cstheme="majorHAnsi"/>
          <w:sz w:val="22"/>
          <w:szCs w:val="22"/>
        </w:rPr>
        <w:t xml:space="preserve"> –</w:t>
      </w:r>
      <w:r w:rsidRPr="00D1780E">
        <w:rPr>
          <w:rFonts w:asciiTheme="majorHAnsi" w:hAnsiTheme="majorHAnsi" w:cstheme="majorHAnsi"/>
          <w:sz w:val="22"/>
          <w:szCs w:val="22"/>
        </w:rPr>
        <w:t xml:space="preserve"> planned temporary alternative family care for older persons who are abandoned, neglected, unattached from the community or those in residential care </w:t>
      </w:r>
      <w:r w:rsidRPr="00D1780E">
        <w:rPr>
          <w:rFonts w:asciiTheme="majorHAnsi" w:hAnsiTheme="majorHAnsi" w:cstheme="majorHAnsi"/>
          <w:sz w:val="22"/>
          <w:szCs w:val="22"/>
        </w:rPr>
        <w:lastRenderedPageBreak/>
        <w:t xml:space="preserve">facilities but found eligible to benefit from the program; </w:t>
      </w:r>
      <w:r w:rsidR="00D1780E">
        <w:rPr>
          <w:rFonts w:asciiTheme="majorHAnsi" w:hAnsiTheme="majorHAnsi" w:cstheme="majorHAnsi"/>
          <w:sz w:val="22"/>
          <w:szCs w:val="22"/>
        </w:rPr>
        <w:t>p</w:t>
      </w:r>
      <w:r w:rsidRPr="00941D92">
        <w:rPr>
          <w:rFonts w:asciiTheme="majorHAnsi" w:hAnsiTheme="majorHAnsi" w:cstheme="majorHAnsi"/>
          <w:sz w:val="22"/>
          <w:szCs w:val="22"/>
        </w:rPr>
        <w:t>rovides subsidies and care giver training for foster families licensed by the DSWD</w:t>
      </w:r>
    </w:p>
    <w:p w14:paraId="7B9C7DFF" w14:textId="10DC692C" w:rsidR="000045E5" w:rsidRPr="00E16BA1" w:rsidRDefault="00A9013C" w:rsidP="00941D92">
      <w:pPr>
        <w:pStyle w:val="EndnoteText"/>
        <w:numPr>
          <w:ilvl w:val="0"/>
          <w:numId w:val="14"/>
        </w:numPr>
        <w:spacing w:line="276" w:lineRule="auto"/>
        <w:jc w:val="both"/>
        <w:rPr>
          <w:rFonts w:cstheme="minorHAnsi"/>
          <w:sz w:val="22"/>
          <w:szCs w:val="22"/>
          <w:lang w:val="en-US"/>
        </w:rPr>
      </w:pPr>
      <w:r w:rsidRPr="00E16BA1">
        <w:rPr>
          <w:rFonts w:cstheme="minorHAnsi"/>
          <w:sz w:val="22"/>
          <w:szCs w:val="22"/>
        </w:rPr>
        <w:t>Family/Kinship Care</w:t>
      </w:r>
      <w:r w:rsidR="00D1780E" w:rsidRPr="00E16BA1">
        <w:rPr>
          <w:rFonts w:cstheme="minorHAnsi"/>
          <w:sz w:val="22"/>
          <w:szCs w:val="22"/>
        </w:rPr>
        <w:t xml:space="preserve"> –</w:t>
      </w:r>
      <w:r w:rsidRPr="00E16BA1">
        <w:rPr>
          <w:rFonts w:cstheme="minorHAnsi"/>
          <w:sz w:val="22"/>
          <w:szCs w:val="22"/>
        </w:rPr>
        <w:t xml:space="preserve"> </w:t>
      </w:r>
      <w:r w:rsidR="00D1780E" w:rsidRPr="00E16BA1">
        <w:rPr>
          <w:rFonts w:cstheme="minorHAnsi"/>
          <w:sz w:val="22"/>
          <w:szCs w:val="22"/>
        </w:rPr>
        <w:t>a</w:t>
      </w:r>
      <w:r w:rsidRPr="00E16BA1">
        <w:rPr>
          <w:rFonts w:cstheme="minorHAnsi"/>
          <w:sz w:val="22"/>
          <w:szCs w:val="22"/>
        </w:rPr>
        <w:t xml:space="preserve"> form of foster care which involves the placement of a senior citizen under the care of his/her relatives and/or family members and </w:t>
      </w:r>
      <w:r w:rsidR="00D1780E" w:rsidRPr="00E16BA1">
        <w:rPr>
          <w:rFonts w:cstheme="minorHAnsi"/>
          <w:sz w:val="22"/>
          <w:szCs w:val="22"/>
        </w:rPr>
        <w:t>i</w:t>
      </w:r>
      <w:r w:rsidRPr="00E16BA1">
        <w:rPr>
          <w:rFonts w:cstheme="minorHAnsi"/>
          <w:sz w:val="22"/>
          <w:szCs w:val="22"/>
        </w:rPr>
        <w:t xml:space="preserve">ncludes providing caregiving training to the main family </w:t>
      </w:r>
      <w:proofErr w:type="spellStart"/>
      <w:r w:rsidRPr="00E16BA1">
        <w:rPr>
          <w:rFonts w:cstheme="minorHAnsi"/>
          <w:sz w:val="22"/>
          <w:szCs w:val="22"/>
        </w:rPr>
        <w:t>carer</w:t>
      </w:r>
      <w:proofErr w:type="spellEnd"/>
      <w:r w:rsidR="00D1780E" w:rsidRPr="00E16BA1">
        <w:rPr>
          <w:rFonts w:cstheme="minorHAnsi"/>
          <w:sz w:val="22"/>
          <w:szCs w:val="22"/>
        </w:rPr>
        <w:t>,</w:t>
      </w:r>
      <w:r w:rsidRPr="00E16BA1">
        <w:rPr>
          <w:rFonts w:cstheme="minorHAnsi"/>
          <w:sz w:val="22"/>
          <w:szCs w:val="22"/>
        </w:rPr>
        <w:t xml:space="preserve"> establishing </w:t>
      </w:r>
      <w:r w:rsidR="002F17FC" w:rsidRPr="00E16BA1">
        <w:rPr>
          <w:rFonts w:cstheme="minorHAnsi"/>
          <w:sz w:val="22"/>
          <w:szCs w:val="22"/>
        </w:rPr>
        <w:t>community-based</w:t>
      </w:r>
      <w:r w:rsidRPr="00E16BA1">
        <w:rPr>
          <w:rFonts w:cstheme="minorHAnsi"/>
          <w:sz w:val="22"/>
          <w:szCs w:val="22"/>
        </w:rPr>
        <w:t xml:space="preserve"> support system to prevent burn-out of the </w:t>
      </w:r>
      <w:proofErr w:type="spellStart"/>
      <w:r w:rsidRPr="00E16BA1">
        <w:rPr>
          <w:rFonts w:cstheme="minorHAnsi"/>
          <w:sz w:val="22"/>
          <w:szCs w:val="22"/>
        </w:rPr>
        <w:t>carer</w:t>
      </w:r>
      <w:proofErr w:type="spellEnd"/>
      <w:r w:rsidR="00D1780E" w:rsidRPr="00E16BA1">
        <w:rPr>
          <w:rFonts w:cstheme="minorHAnsi"/>
          <w:sz w:val="22"/>
          <w:szCs w:val="22"/>
        </w:rPr>
        <w:t>,</w:t>
      </w:r>
      <w:r w:rsidRPr="00E16BA1">
        <w:rPr>
          <w:rFonts w:cstheme="minorHAnsi"/>
          <w:sz w:val="22"/>
          <w:szCs w:val="22"/>
        </w:rPr>
        <w:t xml:space="preserve"> and preventing institutionalization of senior citizens.</w:t>
      </w:r>
    </w:p>
    <w:p w14:paraId="484341D4" w14:textId="77777777" w:rsidR="000045E5" w:rsidRPr="000F3195" w:rsidRDefault="000045E5" w:rsidP="001F6B83">
      <w:pPr>
        <w:pStyle w:val="EndnoteText"/>
        <w:spacing w:line="276" w:lineRule="auto"/>
        <w:jc w:val="both"/>
        <w:rPr>
          <w:rFonts w:asciiTheme="majorHAnsi" w:hAnsiTheme="majorHAnsi" w:cstheme="majorHAnsi"/>
          <w:sz w:val="22"/>
          <w:szCs w:val="22"/>
          <w:lang w:val="en-US"/>
        </w:rPr>
      </w:pPr>
    </w:p>
    <w:p w14:paraId="2AB52324" w14:textId="66C6EC88" w:rsidR="00B62EE5" w:rsidRPr="00F90D1E" w:rsidRDefault="00B62EE5" w:rsidP="00F90D1E">
      <w:pPr>
        <w:pStyle w:val="ListParagraph"/>
        <w:numPr>
          <w:ilvl w:val="0"/>
          <w:numId w:val="25"/>
        </w:numPr>
        <w:spacing w:after="0" w:line="276" w:lineRule="auto"/>
        <w:ind w:left="360"/>
        <w:jc w:val="both"/>
        <w:rPr>
          <w:rFonts w:asciiTheme="majorHAnsi" w:hAnsiTheme="majorHAnsi" w:cstheme="majorHAnsi"/>
          <w:b/>
          <w:lang w:val="en-GB"/>
        </w:rPr>
      </w:pPr>
      <w:r w:rsidRPr="00F90D1E">
        <w:rPr>
          <w:rFonts w:asciiTheme="majorHAnsi" w:hAnsiTheme="majorHAnsi" w:cstheme="majorHAnsi"/>
          <w:b/>
          <w:lang w:val="en-GB"/>
        </w:rPr>
        <w:t xml:space="preserve">What are the </w:t>
      </w:r>
      <w:r w:rsidRPr="00F90D1E">
        <w:rPr>
          <w:rFonts w:asciiTheme="majorHAnsi" w:hAnsiTheme="majorHAnsi" w:cstheme="majorHAnsi"/>
          <w:b/>
          <w:bCs/>
          <w:lang w:val="en-GB"/>
        </w:rPr>
        <w:t>new and sustainable housing strategies</w:t>
      </w:r>
      <w:r w:rsidRPr="00F90D1E">
        <w:rPr>
          <w:rFonts w:asciiTheme="majorHAnsi" w:hAnsiTheme="majorHAnsi" w:cstheme="majorHAnsi"/>
          <w:b/>
          <w:lang w:val="en-GB"/>
        </w:rPr>
        <w:t xml:space="preserve"> for older persons considering the current concerns of the impacts of climate change?</w:t>
      </w:r>
    </w:p>
    <w:p w14:paraId="4AFC6712" w14:textId="4BD6927E" w:rsidR="000B1416" w:rsidRPr="000F3195" w:rsidRDefault="000B1416" w:rsidP="00FA0339">
      <w:pPr>
        <w:spacing w:after="0" w:line="276" w:lineRule="auto"/>
        <w:jc w:val="both"/>
        <w:rPr>
          <w:rFonts w:asciiTheme="majorHAnsi" w:hAnsiTheme="majorHAnsi" w:cstheme="majorHAnsi"/>
          <w:lang w:val="en-GB"/>
        </w:rPr>
      </w:pPr>
    </w:p>
    <w:p w14:paraId="06ADCED3" w14:textId="708353BD" w:rsidR="000B1416" w:rsidRPr="000F3195" w:rsidRDefault="00051770" w:rsidP="00A93F26">
      <w:pPr>
        <w:spacing w:after="0" w:line="276" w:lineRule="auto"/>
        <w:jc w:val="both"/>
        <w:rPr>
          <w:rFonts w:asciiTheme="majorHAnsi" w:hAnsiTheme="majorHAnsi" w:cstheme="majorHAnsi"/>
          <w:lang w:val="en-GB"/>
        </w:rPr>
      </w:pPr>
      <w:r>
        <w:rPr>
          <w:rFonts w:asciiTheme="majorHAnsi" w:hAnsiTheme="majorHAnsi" w:cstheme="majorHAnsi"/>
          <w:lang w:val="en-GB"/>
        </w:rPr>
        <w:t xml:space="preserve">The </w:t>
      </w:r>
      <w:r w:rsidR="004133FB" w:rsidRPr="000F3195">
        <w:rPr>
          <w:rFonts w:asciiTheme="majorHAnsi" w:hAnsiTheme="majorHAnsi" w:cstheme="majorHAnsi"/>
          <w:lang w:val="en-GB"/>
        </w:rPr>
        <w:t>NUDHF</w:t>
      </w:r>
      <w:r w:rsidR="004E45BE" w:rsidRPr="000F3195">
        <w:rPr>
          <w:rStyle w:val="FootnoteReference"/>
          <w:rFonts w:asciiTheme="majorHAnsi" w:hAnsiTheme="majorHAnsi" w:cstheme="majorHAnsi"/>
          <w:lang w:val="en-GB"/>
        </w:rPr>
        <w:footnoteReference w:id="44"/>
      </w:r>
      <w:r>
        <w:rPr>
          <w:rFonts w:asciiTheme="majorHAnsi" w:hAnsiTheme="majorHAnsi" w:cstheme="majorHAnsi"/>
        </w:rPr>
        <w:t xml:space="preserve"> </w:t>
      </w:r>
      <w:proofErr w:type="spellStart"/>
      <w:r>
        <w:rPr>
          <w:rFonts w:asciiTheme="majorHAnsi" w:hAnsiTheme="majorHAnsi" w:cstheme="majorHAnsi"/>
          <w:lang w:val="en-GB"/>
        </w:rPr>
        <w:t>en</w:t>
      </w:r>
      <w:proofErr w:type="spellEnd"/>
      <w:r w:rsidR="000B1416" w:rsidRPr="000F3195">
        <w:rPr>
          <w:rFonts w:asciiTheme="majorHAnsi" w:hAnsiTheme="majorHAnsi" w:cstheme="majorHAnsi"/>
        </w:rPr>
        <w:t>vision</w:t>
      </w:r>
      <w:r>
        <w:rPr>
          <w:rFonts w:asciiTheme="majorHAnsi" w:hAnsiTheme="majorHAnsi" w:cstheme="majorHAnsi"/>
        </w:rPr>
        <w:t>s a</w:t>
      </w:r>
      <w:r w:rsidR="000B1416" w:rsidRPr="000F3195">
        <w:rPr>
          <w:rFonts w:asciiTheme="majorHAnsi" w:hAnsiTheme="majorHAnsi" w:cstheme="majorHAnsi"/>
        </w:rPr>
        <w:t xml:space="preserve"> </w:t>
      </w:r>
      <w:r>
        <w:rPr>
          <w:rFonts w:asciiTheme="majorHAnsi" w:hAnsiTheme="majorHAnsi" w:cstheme="majorHAnsi"/>
        </w:rPr>
        <w:t>“</w:t>
      </w:r>
      <w:r w:rsidR="000B1416" w:rsidRPr="000F3195">
        <w:rPr>
          <w:rFonts w:asciiTheme="majorHAnsi" w:hAnsiTheme="majorHAnsi" w:cstheme="majorHAnsi"/>
        </w:rPr>
        <w:t>Better, Greener, Smarter Cities in an Inclusive Philippines</w:t>
      </w:r>
      <w:r>
        <w:rPr>
          <w:rFonts w:asciiTheme="majorHAnsi" w:hAnsiTheme="majorHAnsi" w:cstheme="majorHAnsi"/>
        </w:rPr>
        <w:t>”.</w:t>
      </w:r>
      <w:r w:rsidR="000B1416" w:rsidRPr="000F3195">
        <w:rPr>
          <w:rFonts w:asciiTheme="majorHAnsi" w:hAnsiTheme="majorHAnsi" w:cstheme="majorHAnsi"/>
        </w:rPr>
        <w:t xml:space="preserve"> </w:t>
      </w:r>
      <w:r>
        <w:rPr>
          <w:rFonts w:asciiTheme="majorHAnsi" w:hAnsiTheme="majorHAnsi" w:cstheme="majorHAnsi"/>
        </w:rPr>
        <w:t>As such, c</w:t>
      </w:r>
      <w:r w:rsidR="000B1416" w:rsidRPr="000F3195">
        <w:rPr>
          <w:rFonts w:asciiTheme="majorHAnsi" w:hAnsiTheme="majorHAnsi" w:cstheme="majorHAnsi"/>
        </w:rPr>
        <w:t xml:space="preserve">limate change resilience </w:t>
      </w:r>
      <w:r>
        <w:rPr>
          <w:rFonts w:asciiTheme="majorHAnsi" w:hAnsiTheme="majorHAnsi" w:cstheme="majorHAnsi"/>
        </w:rPr>
        <w:t>is</w:t>
      </w:r>
      <w:r w:rsidR="000B1416" w:rsidRPr="000F3195">
        <w:rPr>
          <w:rFonts w:asciiTheme="majorHAnsi" w:hAnsiTheme="majorHAnsi" w:cstheme="majorHAnsi"/>
        </w:rPr>
        <w:t xml:space="preserve"> one of key principles</w:t>
      </w:r>
      <w:r>
        <w:rPr>
          <w:rFonts w:asciiTheme="majorHAnsi" w:hAnsiTheme="majorHAnsi" w:cstheme="majorHAnsi"/>
        </w:rPr>
        <w:t xml:space="preserve"> of the NUDHF</w:t>
      </w:r>
      <w:r w:rsidR="000B1416" w:rsidRPr="000F3195">
        <w:rPr>
          <w:rFonts w:asciiTheme="majorHAnsi" w:hAnsiTheme="majorHAnsi" w:cstheme="majorHAnsi"/>
        </w:rPr>
        <w:t xml:space="preserve">. Resilience is pushed forward to enhance the ability of </w:t>
      </w:r>
      <w:r>
        <w:rPr>
          <w:rFonts w:asciiTheme="majorHAnsi" w:hAnsiTheme="majorHAnsi" w:cstheme="majorHAnsi"/>
        </w:rPr>
        <w:t>the</w:t>
      </w:r>
      <w:r w:rsidRPr="000F3195">
        <w:rPr>
          <w:rFonts w:asciiTheme="majorHAnsi" w:hAnsiTheme="majorHAnsi" w:cstheme="majorHAnsi"/>
        </w:rPr>
        <w:t xml:space="preserve"> </w:t>
      </w:r>
      <w:r w:rsidR="000B1416" w:rsidRPr="000F3195">
        <w:rPr>
          <w:rFonts w:asciiTheme="majorHAnsi" w:hAnsiTheme="majorHAnsi" w:cstheme="majorHAnsi"/>
        </w:rPr>
        <w:t>locality and its citizens to withstand impacts and shocks, and to rebuild or re-organize when necessary. It is also seen as the foundation in planning and decision making for spaces and for addressing sectoral or cross sectoral challenges, including those of the older Filipinos.</w:t>
      </w:r>
    </w:p>
    <w:p w14:paraId="4A0E8047" w14:textId="77777777" w:rsidR="004E45BE" w:rsidRPr="000F3195" w:rsidRDefault="004E45BE" w:rsidP="000F3195">
      <w:pPr>
        <w:spacing w:after="0" w:line="276" w:lineRule="auto"/>
        <w:jc w:val="both"/>
        <w:rPr>
          <w:rFonts w:asciiTheme="majorHAnsi" w:hAnsiTheme="majorHAnsi" w:cstheme="majorHAnsi"/>
        </w:rPr>
      </w:pPr>
    </w:p>
    <w:p w14:paraId="7DF7123D" w14:textId="518F5E2D" w:rsidR="000B1416" w:rsidRPr="000F3195" w:rsidRDefault="000B1416" w:rsidP="000F3195">
      <w:pPr>
        <w:spacing w:after="0" w:line="276" w:lineRule="auto"/>
        <w:jc w:val="both"/>
        <w:rPr>
          <w:rFonts w:asciiTheme="majorHAnsi" w:hAnsiTheme="majorHAnsi" w:cstheme="majorHAnsi"/>
        </w:rPr>
      </w:pPr>
      <w:r w:rsidRPr="000F3195">
        <w:rPr>
          <w:rFonts w:asciiTheme="majorHAnsi" w:hAnsiTheme="majorHAnsi" w:cstheme="majorHAnsi"/>
        </w:rPr>
        <w:t>The present NUDHF’s principles are also made consistent with the Philippine New Urban Agenda. On housing and basic services, the State shall ensure scaling up low-income and pro-poor housing</w:t>
      </w:r>
      <w:r w:rsidR="00051770">
        <w:rPr>
          <w:rFonts w:asciiTheme="majorHAnsi" w:hAnsiTheme="majorHAnsi" w:cstheme="majorHAnsi"/>
        </w:rPr>
        <w:t>,</w:t>
      </w:r>
      <w:r w:rsidRPr="000F3195">
        <w:rPr>
          <w:rFonts w:asciiTheme="majorHAnsi" w:hAnsiTheme="majorHAnsi" w:cstheme="majorHAnsi"/>
        </w:rPr>
        <w:t xml:space="preserve"> affordable, reliable and resilient basic services</w:t>
      </w:r>
      <w:r w:rsidR="00051770">
        <w:rPr>
          <w:rFonts w:asciiTheme="majorHAnsi" w:hAnsiTheme="majorHAnsi" w:cstheme="majorHAnsi"/>
        </w:rPr>
        <w:t xml:space="preserve">, </w:t>
      </w:r>
      <w:r w:rsidRPr="000F3195">
        <w:rPr>
          <w:rFonts w:asciiTheme="majorHAnsi" w:hAnsiTheme="majorHAnsi" w:cstheme="majorHAnsi"/>
        </w:rPr>
        <w:t>and shifting to an inclusive, low-carbon urban transport system.</w:t>
      </w:r>
    </w:p>
    <w:p w14:paraId="79C82E51" w14:textId="0FA5E086" w:rsidR="009E19B1" w:rsidRPr="000F3195" w:rsidRDefault="009E19B1" w:rsidP="000F3195">
      <w:pPr>
        <w:spacing w:after="0" w:line="276" w:lineRule="auto"/>
        <w:jc w:val="both"/>
        <w:rPr>
          <w:rFonts w:asciiTheme="majorHAnsi" w:hAnsiTheme="majorHAnsi" w:cstheme="majorHAnsi"/>
          <w:lang w:val="en-GB"/>
        </w:rPr>
      </w:pPr>
    </w:p>
    <w:p w14:paraId="36283719" w14:textId="2A9F764B" w:rsidR="009E19B1" w:rsidRPr="000F3195" w:rsidRDefault="009E19B1" w:rsidP="000F3195">
      <w:pPr>
        <w:spacing w:after="0" w:line="276" w:lineRule="auto"/>
        <w:jc w:val="both"/>
        <w:rPr>
          <w:rFonts w:cstheme="minorHAnsi"/>
          <w:lang w:val="en-GB"/>
        </w:rPr>
      </w:pPr>
      <w:r w:rsidRPr="000F3195">
        <w:rPr>
          <w:rFonts w:cstheme="minorHAnsi"/>
        </w:rPr>
        <w:t>The Philippine government ensures the protection of every citizen in time of calamities and disaster</w:t>
      </w:r>
      <w:r w:rsidR="001115F1">
        <w:rPr>
          <w:rFonts w:cstheme="minorHAnsi"/>
        </w:rPr>
        <w:t>s</w:t>
      </w:r>
      <w:r w:rsidRPr="000F3195">
        <w:rPr>
          <w:rFonts w:cstheme="minorHAnsi"/>
        </w:rPr>
        <w:t xml:space="preserve">, </w:t>
      </w:r>
      <w:r w:rsidR="003A5408">
        <w:rPr>
          <w:rFonts w:cstheme="minorHAnsi"/>
        </w:rPr>
        <w:t>as provided under</w:t>
      </w:r>
      <w:r w:rsidR="003A5408" w:rsidRPr="000F3195">
        <w:rPr>
          <w:rFonts w:cstheme="minorHAnsi"/>
        </w:rPr>
        <w:t xml:space="preserve"> </w:t>
      </w:r>
      <w:r w:rsidR="00051770">
        <w:rPr>
          <w:rFonts w:cstheme="minorHAnsi"/>
        </w:rPr>
        <w:t xml:space="preserve">RA </w:t>
      </w:r>
      <w:r w:rsidRPr="000F3195">
        <w:rPr>
          <w:rFonts w:cstheme="minorHAnsi"/>
        </w:rPr>
        <w:t>10121</w:t>
      </w:r>
      <w:r w:rsidR="00051770">
        <w:rPr>
          <w:rFonts w:cstheme="minorHAnsi"/>
        </w:rPr>
        <w:t xml:space="preserve"> or the “Philippine Disaster Risk Reduction and Management Act of 2010”</w:t>
      </w:r>
      <w:r w:rsidR="00051770">
        <w:rPr>
          <w:rStyle w:val="FootnoteReference"/>
          <w:rFonts w:cstheme="minorHAnsi"/>
        </w:rPr>
        <w:footnoteReference w:id="45"/>
      </w:r>
      <w:r w:rsidRPr="000F3195">
        <w:rPr>
          <w:rFonts w:cstheme="minorHAnsi"/>
        </w:rPr>
        <w:t xml:space="preserve">. </w:t>
      </w:r>
      <w:r w:rsidR="003A5408">
        <w:rPr>
          <w:rFonts w:cstheme="minorHAnsi"/>
        </w:rPr>
        <w:t>T</w:t>
      </w:r>
      <w:r w:rsidRPr="000F3195">
        <w:rPr>
          <w:rFonts w:cstheme="minorHAnsi"/>
        </w:rPr>
        <w:t>he National Disaster Risk Reduction and Management Plan 2020-2030</w:t>
      </w:r>
      <w:r w:rsidR="001115F1">
        <w:rPr>
          <w:rStyle w:val="FootnoteReference"/>
          <w:rFonts w:cstheme="minorHAnsi"/>
        </w:rPr>
        <w:footnoteReference w:id="46"/>
      </w:r>
      <w:r w:rsidRPr="000F3195">
        <w:rPr>
          <w:rFonts w:cstheme="minorHAnsi"/>
        </w:rPr>
        <w:t xml:space="preserve"> </w:t>
      </w:r>
      <w:r w:rsidR="001115F1">
        <w:rPr>
          <w:rFonts w:cstheme="minorHAnsi"/>
        </w:rPr>
        <w:t>recognizes how older persons, among other groups, have different needs and often fare worse than others during a disaster event</w:t>
      </w:r>
      <w:r w:rsidR="00547245">
        <w:rPr>
          <w:rFonts w:cstheme="minorHAnsi"/>
        </w:rPr>
        <w:t xml:space="preserve"> and sees their inclusion in disaster risk reduction and management as crucial given their unique perspectives and capabilities</w:t>
      </w:r>
      <w:r w:rsidR="00547245">
        <w:rPr>
          <w:rStyle w:val="FootnoteReference"/>
          <w:rFonts w:cstheme="minorHAnsi"/>
        </w:rPr>
        <w:footnoteReference w:id="47"/>
      </w:r>
      <w:r w:rsidR="001115F1">
        <w:rPr>
          <w:rFonts w:cstheme="minorHAnsi"/>
        </w:rPr>
        <w:t>.</w:t>
      </w:r>
      <w:r w:rsidR="00547245">
        <w:rPr>
          <w:rFonts w:cstheme="minorHAnsi"/>
        </w:rPr>
        <w:t xml:space="preserve"> The establishment of older person-friendly transitional shelters during and after disasters as among the activities to provide basic necessities to the affected population by disasters</w:t>
      </w:r>
      <w:r w:rsidR="00547245">
        <w:rPr>
          <w:rStyle w:val="FootnoteReference"/>
          <w:rFonts w:cstheme="minorHAnsi"/>
        </w:rPr>
        <w:footnoteReference w:id="48"/>
      </w:r>
      <w:r w:rsidR="00547245">
        <w:rPr>
          <w:rFonts w:cstheme="minorHAnsi"/>
        </w:rPr>
        <w:t>.</w:t>
      </w:r>
    </w:p>
    <w:p w14:paraId="69A33B56" w14:textId="77777777" w:rsidR="009E19B1" w:rsidRPr="000F3195" w:rsidRDefault="009E19B1" w:rsidP="000F3195">
      <w:pPr>
        <w:spacing w:after="0" w:line="276" w:lineRule="auto"/>
        <w:jc w:val="both"/>
        <w:rPr>
          <w:rFonts w:asciiTheme="majorHAnsi" w:hAnsiTheme="majorHAnsi" w:cstheme="majorHAnsi"/>
          <w:lang w:val="en-GB"/>
        </w:rPr>
      </w:pPr>
    </w:p>
    <w:p w14:paraId="03176C73" w14:textId="4289D876" w:rsidR="00B62EE5" w:rsidRPr="00F90D1E" w:rsidRDefault="00B62EE5" w:rsidP="00F90D1E">
      <w:pPr>
        <w:pStyle w:val="ListParagraph"/>
        <w:numPr>
          <w:ilvl w:val="0"/>
          <w:numId w:val="25"/>
        </w:numPr>
        <w:spacing w:after="0" w:line="276" w:lineRule="auto"/>
        <w:ind w:left="360"/>
        <w:jc w:val="both"/>
        <w:rPr>
          <w:rFonts w:asciiTheme="majorHAnsi" w:hAnsiTheme="majorHAnsi" w:cstheme="majorHAnsi"/>
          <w:b/>
          <w:lang w:val="en-GB"/>
        </w:rPr>
      </w:pPr>
      <w:r w:rsidRPr="00F90D1E">
        <w:rPr>
          <w:rFonts w:asciiTheme="majorHAnsi" w:hAnsiTheme="majorHAnsi" w:cstheme="majorHAnsi"/>
          <w:b/>
          <w:lang w:val="en-GB"/>
        </w:rPr>
        <w:t xml:space="preserve">How does </w:t>
      </w:r>
      <w:r w:rsidRPr="00F90D1E">
        <w:rPr>
          <w:rFonts w:asciiTheme="majorHAnsi" w:hAnsiTheme="majorHAnsi" w:cstheme="majorHAnsi"/>
          <w:b/>
          <w:bCs/>
          <w:lang w:val="en-GB"/>
        </w:rPr>
        <w:t>the State fulfil its obligations</w:t>
      </w:r>
      <w:r w:rsidRPr="00F90D1E">
        <w:rPr>
          <w:rFonts w:asciiTheme="majorHAnsi" w:hAnsiTheme="majorHAnsi" w:cstheme="majorHAnsi"/>
          <w:b/>
          <w:lang w:val="en-GB"/>
        </w:rPr>
        <w:t xml:space="preserve"> to ensure older persons’ access justice, and to obtain remedies and reparations, when their right to adequate housing have been violated?</w:t>
      </w:r>
    </w:p>
    <w:p w14:paraId="427C583D" w14:textId="77777777" w:rsidR="00EF4841" w:rsidRPr="000F3195" w:rsidRDefault="00EF4841" w:rsidP="000F3195">
      <w:pPr>
        <w:spacing w:after="0" w:line="276" w:lineRule="auto"/>
        <w:jc w:val="both"/>
        <w:rPr>
          <w:rFonts w:asciiTheme="majorHAnsi" w:hAnsiTheme="majorHAnsi" w:cstheme="majorHAnsi"/>
          <w:lang w:val="en-GB"/>
        </w:rPr>
      </w:pPr>
    </w:p>
    <w:p w14:paraId="796420B7" w14:textId="276DEEDE" w:rsidR="00CD417B" w:rsidRPr="000F3195" w:rsidRDefault="00547245" w:rsidP="000F3195">
      <w:pPr>
        <w:spacing w:after="0" w:line="276" w:lineRule="auto"/>
        <w:jc w:val="both"/>
        <w:rPr>
          <w:rFonts w:cstheme="minorHAnsi"/>
        </w:rPr>
      </w:pPr>
      <w:r>
        <w:rPr>
          <w:rFonts w:cstheme="minorHAnsi"/>
        </w:rPr>
        <w:t xml:space="preserve">RA 7279 or </w:t>
      </w:r>
      <w:r w:rsidR="00CD417B" w:rsidRPr="000F3195">
        <w:rPr>
          <w:rFonts w:cstheme="minorHAnsi"/>
        </w:rPr>
        <w:t xml:space="preserve">the </w:t>
      </w:r>
      <w:r>
        <w:rPr>
          <w:rFonts w:cstheme="minorHAnsi"/>
        </w:rPr>
        <w:t>“</w:t>
      </w:r>
      <w:r w:rsidR="00CD417B" w:rsidRPr="000F3195">
        <w:rPr>
          <w:rFonts w:cstheme="minorHAnsi"/>
        </w:rPr>
        <w:t>Urban Development and Housing Act of 1992</w:t>
      </w:r>
      <w:r>
        <w:rPr>
          <w:rFonts w:cstheme="minorHAnsi"/>
        </w:rPr>
        <w:t>”</w:t>
      </w:r>
      <w:r w:rsidR="009413D0">
        <w:rPr>
          <w:rStyle w:val="FootnoteReference"/>
          <w:rFonts w:cstheme="minorHAnsi"/>
        </w:rPr>
        <w:footnoteReference w:id="49"/>
      </w:r>
      <w:r w:rsidR="00CD417B" w:rsidRPr="000F3195">
        <w:rPr>
          <w:rFonts w:cstheme="minorHAnsi"/>
        </w:rPr>
        <w:t xml:space="preserve"> was enacted </w:t>
      </w:r>
      <w:r>
        <w:rPr>
          <w:rFonts w:cstheme="minorHAnsi"/>
        </w:rPr>
        <w:t>to</w:t>
      </w:r>
      <w:r w:rsidR="00CD417B" w:rsidRPr="000F3195">
        <w:rPr>
          <w:rFonts w:cstheme="minorHAnsi"/>
        </w:rPr>
        <w:t xml:space="preserve"> </w:t>
      </w:r>
      <w:r w:rsidR="009413D0">
        <w:rPr>
          <w:rFonts w:cstheme="minorHAnsi"/>
        </w:rPr>
        <w:t>ensure</w:t>
      </w:r>
      <w:r w:rsidR="009413D0" w:rsidRPr="009413D0">
        <w:rPr>
          <w:rFonts w:asciiTheme="majorHAnsi" w:hAnsiTheme="majorHAnsi" w:cstheme="majorHAnsi"/>
          <w:i/>
          <w:iCs/>
          <w:lang w:val="en-GB"/>
        </w:rPr>
        <w:t xml:space="preserve"> </w:t>
      </w:r>
      <w:r w:rsidR="009413D0" w:rsidRPr="002F7FC9">
        <w:rPr>
          <w:rFonts w:asciiTheme="majorHAnsi" w:hAnsiTheme="majorHAnsi" w:cstheme="majorHAnsi"/>
          <w:lang w:val="en-GB"/>
        </w:rPr>
        <w:t>urban or rural poor dwellers shall not be evicted nor their dwellings demolished, except in accordance with law and in a just and humane manner</w:t>
      </w:r>
      <w:r w:rsidR="009413D0">
        <w:rPr>
          <w:rFonts w:asciiTheme="majorHAnsi" w:hAnsiTheme="majorHAnsi" w:cstheme="majorHAnsi"/>
          <w:lang w:val="en-GB"/>
        </w:rPr>
        <w:t>, as guaranteed by the 1987 Constitution.</w:t>
      </w:r>
      <w:r w:rsidR="002216B4">
        <w:rPr>
          <w:rFonts w:asciiTheme="majorHAnsi" w:hAnsiTheme="majorHAnsi" w:cstheme="majorHAnsi"/>
          <w:lang w:val="en-GB"/>
        </w:rPr>
        <w:t xml:space="preserve"> </w:t>
      </w:r>
      <w:r w:rsidR="002216B4" w:rsidRPr="000F3195">
        <w:rPr>
          <w:rFonts w:asciiTheme="majorHAnsi" w:hAnsiTheme="majorHAnsi" w:cstheme="majorHAnsi"/>
        </w:rPr>
        <w:t>There is a</w:t>
      </w:r>
      <w:r w:rsidR="002216B4">
        <w:rPr>
          <w:rFonts w:asciiTheme="majorHAnsi" w:hAnsiTheme="majorHAnsi" w:cstheme="majorHAnsi"/>
        </w:rPr>
        <w:t xml:space="preserve"> </w:t>
      </w:r>
      <w:r w:rsidR="002216B4" w:rsidRPr="000F3195">
        <w:rPr>
          <w:rFonts w:asciiTheme="majorHAnsi" w:hAnsiTheme="majorHAnsi" w:cstheme="majorHAnsi"/>
        </w:rPr>
        <w:t xml:space="preserve">bill pending in Congress on </w:t>
      </w:r>
      <w:r w:rsidR="002216B4">
        <w:rPr>
          <w:rFonts w:asciiTheme="majorHAnsi" w:hAnsiTheme="majorHAnsi" w:cstheme="majorHAnsi"/>
        </w:rPr>
        <w:t>the e</w:t>
      </w:r>
      <w:r w:rsidR="002216B4" w:rsidRPr="000F3195">
        <w:rPr>
          <w:rFonts w:asciiTheme="majorHAnsi" w:hAnsiTheme="majorHAnsi" w:cstheme="majorHAnsi"/>
        </w:rPr>
        <w:t>stablish</w:t>
      </w:r>
      <w:r w:rsidR="002216B4">
        <w:rPr>
          <w:rFonts w:asciiTheme="majorHAnsi" w:hAnsiTheme="majorHAnsi" w:cstheme="majorHAnsi"/>
        </w:rPr>
        <w:t>ment of</w:t>
      </w:r>
      <w:r w:rsidR="002216B4" w:rsidRPr="000F3195">
        <w:rPr>
          <w:rFonts w:asciiTheme="majorHAnsi" w:hAnsiTheme="majorHAnsi" w:cstheme="majorHAnsi"/>
        </w:rPr>
        <w:t xml:space="preserve"> a Code of Conduct for </w:t>
      </w:r>
      <w:r w:rsidR="002216B4">
        <w:rPr>
          <w:rFonts w:asciiTheme="majorHAnsi" w:hAnsiTheme="majorHAnsi" w:cstheme="majorHAnsi"/>
        </w:rPr>
        <w:t>e</w:t>
      </w:r>
      <w:r w:rsidR="002216B4" w:rsidRPr="000F3195">
        <w:rPr>
          <w:rFonts w:asciiTheme="majorHAnsi" w:hAnsiTheme="majorHAnsi" w:cstheme="majorHAnsi"/>
        </w:rPr>
        <w:t xml:space="preserve">viction of </w:t>
      </w:r>
      <w:r w:rsidR="002216B4">
        <w:rPr>
          <w:rFonts w:asciiTheme="majorHAnsi" w:hAnsiTheme="majorHAnsi" w:cstheme="majorHAnsi"/>
        </w:rPr>
        <w:t>u</w:t>
      </w:r>
      <w:r w:rsidR="002216B4" w:rsidRPr="000F3195">
        <w:rPr>
          <w:rFonts w:asciiTheme="majorHAnsi" w:hAnsiTheme="majorHAnsi" w:cstheme="majorHAnsi"/>
        </w:rPr>
        <w:t xml:space="preserve">nderprivileged and </w:t>
      </w:r>
      <w:r w:rsidR="002216B4">
        <w:rPr>
          <w:rFonts w:asciiTheme="majorHAnsi" w:hAnsiTheme="majorHAnsi" w:cstheme="majorHAnsi"/>
        </w:rPr>
        <w:t>h</w:t>
      </w:r>
      <w:r w:rsidR="002216B4" w:rsidRPr="000F3195">
        <w:rPr>
          <w:rFonts w:asciiTheme="majorHAnsi" w:hAnsiTheme="majorHAnsi" w:cstheme="majorHAnsi"/>
        </w:rPr>
        <w:t xml:space="preserve">omeless </w:t>
      </w:r>
      <w:r w:rsidR="002216B4">
        <w:rPr>
          <w:rFonts w:asciiTheme="majorHAnsi" w:hAnsiTheme="majorHAnsi" w:cstheme="majorHAnsi"/>
        </w:rPr>
        <w:t>c</w:t>
      </w:r>
      <w:r w:rsidR="002216B4" w:rsidRPr="000F3195">
        <w:rPr>
          <w:rFonts w:asciiTheme="majorHAnsi" w:hAnsiTheme="majorHAnsi" w:cstheme="majorHAnsi"/>
        </w:rPr>
        <w:t xml:space="preserve">itizens, </w:t>
      </w:r>
      <w:r w:rsidR="002216B4">
        <w:rPr>
          <w:rFonts w:asciiTheme="majorHAnsi" w:hAnsiTheme="majorHAnsi" w:cstheme="majorHAnsi"/>
        </w:rPr>
        <w:t>d</w:t>
      </w:r>
      <w:r w:rsidR="002216B4" w:rsidRPr="000F3195">
        <w:rPr>
          <w:rFonts w:asciiTheme="majorHAnsi" w:hAnsiTheme="majorHAnsi" w:cstheme="majorHAnsi"/>
        </w:rPr>
        <w:t xml:space="preserve">emolition of their </w:t>
      </w:r>
      <w:r w:rsidR="002216B4">
        <w:rPr>
          <w:rFonts w:asciiTheme="majorHAnsi" w:hAnsiTheme="majorHAnsi" w:cstheme="majorHAnsi"/>
        </w:rPr>
        <w:t>d</w:t>
      </w:r>
      <w:r w:rsidR="002216B4" w:rsidRPr="000F3195">
        <w:rPr>
          <w:rFonts w:asciiTheme="majorHAnsi" w:hAnsiTheme="majorHAnsi" w:cstheme="majorHAnsi"/>
        </w:rPr>
        <w:t xml:space="preserve">wellings, and their </w:t>
      </w:r>
      <w:r w:rsidR="002216B4">
        <w:rPr>
          <w:rFonts w:asciiTheme="majorHAnsi" w:hAnsiTheme="majorHAnsi" w:cstheme="majorHAnsi"/>
        </w:rPr>
        <w:t>r</w:t>
      </w:r>
      <w:r w:rsidR="002216B4" w:rsidRPr="000F3195">
        <w:rPr>
          <w:rFonts w:asciiTheme="majorHAnsi" w:hAnsiTheme="majorHAnsi" w:cstheme="majorHAnsi"/>
        </w:rPr>
        <w:t>esettlement.</w:t>
      </w:r>
    </w:p>
    <w:p w14:paraId="5EF8C592" w14:textId="08C04A4F" w:rsidR="003851BE" w:rsidRPr="000F3195" w:rsidRDefault="003851BE" w:rsidP="000F3195">
      <w:pPr>
        <w:spacing w:after="0" w:line="276" w:lineRule="auto"/>
        <w:jc w:val="both"/>
        <w:rPr>
          <w:rFonts w:cstheme="minorHAnsi"/>
        </w:rPr>
      </w:pPr>
    </w:p>
    <w:p w14:paraId="53EF6B20" w14:textId="13F1334D" w:rsidR="003851BE" w:rsidRPr="000F3195" w:rsidRDefault="009413D0" w:rsidP="000F3195">
      <w:pPr>
        <w:spacing w:after="0" w:line="276" w:lineRule="auto"/>
        <w:jc w:val="both"/>
        <w:rPr>
          <w:rFonts w:cstheme="minorHAnsi"/>
        </w:rPr>
      </w:pPr>
      <w:r>
        <w:rPr>
          <w:rFonts w:cstheme="minorHAnsi"/>
        </w:rPr>
        <w:t>The OSCAs established under RA 9994 are also mandated by law to</w:t>
      </w:r>
      <w:r w:rsidR="003851BE" w:rsidRPr="000F3195">
        <w:rPr>
          <w:rFonts w:cstheme="minorHAnsi"/>
        </w:rPr>
        <w:t xml:space="preserve"> “assist the senior citizens in filing complaints or charges against any individual, establishments, business entity, institution, or agency refusing to comply with the privileges under</w:t>
      </w:r>
      <w:r>
        <w:rPr>
          <w:rFonts w:cstheme="minorHAnsi"/>
        </w:rPr>
        <w:t>” the law with the proper judicial and non-judicial mechanisms</w:t>
      </w:r>
      <w:r w:rsidR="003851BE" w:rsidRPr="000F3195">
        <w:rPr>
          <w:rStyle w:val="FootnoteReference"/>
          <w:rFonts w:cstheme="minorHAnsi"/>
        </w:rPr>
        <w:footnoteReference w:id="50"/>
      </w:r>
      <w:r>
        <w:rPr>
          <w:rFonts w:cstheme="minorHAnsi"/>
        </w:rPr>
        <w:t>.</w:t>
      </w:r>
    </w:p>
    <w:p w14:paraId="17A21EC9" w14:textId="6B3789A6" w:rsidR="00752FCA" w:rsidRPr="000F3195" w:rsidRDefault="00752FCA" w:rsidP="000F3195">
      <w:pPr>
        <w:spacing w:after="0" w:line="276" w:lineRule="auto"/>
        <w:jc w:val="both"/>
        <w:rPr>
          <w:rFonts w:asciiTheme="majorHAnsi" w:hAnsiTheme="majorHAnsi" w:cstheme="majorHAnsi"/>
        </w:rPr>
      </w:pPr>
    </w:p>
    <w:p w14:paraId="74F095D1" w14:textId="1DD963AB" w:rsidR="00752FCA" w:rsidRPr="000F3195" w:rsidRDefault="002216B4" w:rsidP="000F3195">
      <w:pPr>
        <w:spacing w:after="0" w:line="276" w:lineRule="auto"/>
        <w:jc w:val="both"/>
        <w:rPr>
          <w:rFonts w:asciiTheme="majorHAnsi" w:hAnsiTheme="majorHAnsi" w:cstheme="majorHAnsi"/>
        </w:rPr>
      </w:pPr>
      <w:r>
        <w:rPr>
          <w:rFonts w:asciiTheme="majorHAnsi" w:hAnsiTheme="majorHAnsi" w:cstheme="majorHAnsi"/>
          <w:lang w:val="en-GB"/>
        </w:rPr>
        <w:lastRenderedPageBreak/>
        <w:t>I</w:t>
      </w:r>
      <w:r w:rsidR="00752FCA" w:rsidRPr="000F3195">
        <w:rPr>
          <w:rFonts w:asciiTheme="majorHAnsi" w:hAnsiTheme="majorHAnsi" w:cstheme="majorHAnsi"/>
          <w:lang w:val="en-GB"/>
        </w:rPr>
        <w:t>n</w:t>
      </w:r>
      <w:r w:rsidR="00752FCA" w:rsidRPr="000F3195">
        <w:rPr>
          <w:rFonts w:asciiTheme="majorHAnsi" w:hAnsiTheme="majorHAnsi" w:cstheme="majorHAnsi"/>
        </w:rPr>
        <w:t xml:space="preserve"> 2016, the DSWD launched the Reporting System and Prevention </w:t>
      </w:r>
      <w:r>
        <w:rPr>
          <w:rFonts w:asciiTheme="majorHAnsi" w:hAnsiTheme="majorHAnsi" w:cstheme="majorHAnsi"/>
        </w:rPr>
        <w:t>P</w:t>
      </w:r>
      <w:r w:rsidR="00752FCA" w:rsidRPr="000F3195">
        <w:rPr>
          <w:rFonts w:asciiTheme="majorHAnsi" w:hAnsiTheme="majorHAnsi" w:cstheme="majorHAnsi"/>
        </w:rPr>
        <w:t>rogram for Elderly Abuse Cases to serve as an end-to-end system to address elderly abuse in the community</w:t>
      </w:r>
      <w:r w:rsidR="00752FCA" w:rsidRPr="000F3195">
        <w:rPr>
          <w:rStyle w:val="FootnoteReference"/>
          <w:rFonts w:asciiTheme="majorHAnsi" w:hAnsiTheme="majorHAnsi" w:cstheme="majorHAnsi"/>
        </w:rPr>
        <w:footnoteReference w:id="51"/>
      </w:r>
      <w:r>
        <w:rPr>
          <w:rFonts w:asciiTheme="majorHAnsi" w:hAnsiTheme="majorHAnsi" w:cstheme="majorHAnsi"/>
        </w:rPr>
        <w:t xml:space="preserve"> which may be available for older persons who were abandoned by families or who were kicked out from their own homes.</w:t>
      </w:r>
    </w:p>
    <w:p w14:paraId="12197725" w14:textId="75FC8BF9" w:rsidR="00D8656F" w:rsidRPr="000F3195" w:rsidRDefault="00D8656F" w:rsidP="000F3195">
      <w:pPr>
        <w:spacing w:after="0" w:line="276" w:lineRule="auto"/>
        <w:jc w:val="both"/>
        <w:rPr>
          <w:rFonts w:asciiTheme="majorHAnsi" w:hAnsiTheme="majorHAnsi" w:cstheme="majorHAnsi"/>
          <w:lang w:val="en-GB"/>
        </w:rPr>
      </w:pPr>
    </w:p>
    <w:p w14:paraId="300C6241" w14:textId="37D1522A" w:rsidR="00B62EE5" w:rsidRPr="00F90D1E" w:rsidRDefault="00B62EE5" w:rsidP="00F90D1E">
      <w:pPr>
        <w:pStyle w:val="ListParagraph"/>
        <w:numPr>
          <w:ilvl w:val="0"/>
          <w:numId w:val="25"/>
        </w:numPr>
        <w:spacing w:after="0" w:line="276" w:lineRule="auto"/>
        <w:ind w:left="360"/>
        <w:jc w:val="both"/>
        <w:rPr>
          <w:rFonts w:cstheme="minorHAnsi"/>
          <w:b/>
          <w:lang w:val="en-GB"/>
        </w:rPr>
      </w:pPr>
      <w:r w:rsidRPr="00F90D1E">
        <w:rPr>
          <w:rFonts w:cstheme="minorHAnsi"/>
          <w:b/>
          <w:lang w:val="en-GB"/>
        </w:rPr>
        <w:t xml:space="preserve">What are the </w:t>
      </w:r>
      <w:r w:rsidRPr="00F90D1E">
        <w:rPr>
          <w:rFonts w:cstheme="minorHAnsi"/>
          <w:b/>
          <w:bCs/>
          <w:lang w:val="en-GB"/>
        </w:rPr>
        <w:t>lessons learned</w:t>
      </w:r>
      <w:r w:rsidRPr="00F90D1E">
        <w:rPr>
          <w:rFonts w:cstheme="minorHAnsi"/>
          <w:b/>
          <w:lang w:val="en-GB"/>
        </w:rPr>
        <w:t xml:space="preserve"> from advocacy, legal, and policy actions undertaken to combat ageism and to access of adequate and affordable housing by older persons?</w:t>
      </w:r>
    </w:p>
    <w:p w14:paraId="583EB33F" w14:textId="786F5FE2" w:rsidR="007A32FA" w:rsidRPr="000F3195" w:rsidRDefault="007A32FA" w:rsidP="000F3195">
      <w:pPr>
        <w:spacing w:after="0" w:line="276" w:lineRule="auto"/>
        <w:jc w:val="both"/>
        <w:rPr>
          <w:rFonts w:eastAsia="Times New Roman" w:cstheme="minorHAnsi"/>
          <w:b/>
          <w:lang w:val="en-GB"/>
        </w:rPr>
      </w:pPr>
    </w:p>
    <w:p w14:paraId="78C2A558" w14:textId="5429DAF5" w:rsidR="00136E84" w:rsidRPr="000F3195" w:rsidRDefault="00B064C9" w:rsidP="000F3195">
      <w:pPr>
        <w:spacing w:after="0" w:line="276" w:lineRule="auto"/>
        <w:jc w:val="both"/>
        <w:rPr>
          <w:rFonts w:eastAsia="Times New Roman" w:cstheme="minorHAnsi"/>
          <w:lang w:val="en-GB"/>
        </w:rPr>
      </w:pPr>
      <w:r w:rsidRPr="000F3195">
        <w:rPr>
          <w:rFonts w:cstheme="minorHAnsi"/>
        </w:rPr>
        <w:t xml:space="preserve">The NEDA </w:t>
      </w:r>
      <w:r w:rsidR="00D83A53">
        <w:rPr>
          <w:rFonts w:cstheme="minorHAnsi"/>
        </w:rPr>
        <w:t>stated that</w:t>
      </w:r>
      <w:r w:rsidRPr="000F3195">
        <w:rPr>
          <w:rFonts w:cstheme="minorHAnsi"/>
        </w:rPr>
        <w:t xml:space="preserve"> “t</w:t>
      </w:r>
      <w:r w:rsidR="00765913" w:rsidRPr="000F3195">
        <w:rPr>
          <w:rFonts w:cstheme="minorHAnsi"/>
        </w:rPr>
        <w:t>here is a need to streamline and harmonize overlapping policies to create a holistic view of issues concerning the elderly Filipinos. Health and economic well-being are critical concerns of the sector. However, the policy response is heavily concentrated on health such as provision of curative services and lessening the burden of healthcare cost.</w:t>
      </w:r>
      <w:r w:rsidR="00D83A53">
        <w:rPr>
          <w:rFonts w:cstheme="minorHAnsi"/>
        </w:rPr>
        <w:t>”</w:t>
      </w:r>
      <w:r w:rsidR="00316C4A" w:rsidRPr="000F3195">
        <w:rPr>
          <w:rStyle w:val="FootnoteReference"/>
          <w:rFonts w:cstheme="minorHAnsi"/>
        </w:rPr>
        <w:footnoteReference w:id="52"/>
      </w:r>
    </w:p>
    <w:p w14:paraId="7E2B0DE1" w14:textId="01BC515D" w:rsidR="0004412E" w:rsidRPr="000F3195" w:rsidRDefault="0004412E" w:rsidP="000F3195">
      <w:pPr>
        <w:spacing w:after="0" w:line="276" w:lineRule="auto"/>
        <w:jc w:val="both"/>
        <w:rPr>
          <w:rFonts w:eastAsia="Times New Roman" w:cstheme="minorHAnsi"/>
          <w:lang w:val="en-GB"/>
        </w:rPr>
      </w:pPr>
    </w:p>
    <w:p w14:paraId="16ED2FAF" w14:textId="36C999FB" w:rsidR="0004412E" w:rsidRPr="000F3195" w:rsidRDefault="00D83A53" w:rsidP="000F3195">
      <w:pPr>
        <w:spacing w:after="0" w:line="276" w:lineRule="auto"/>
        <w:jc w:val="both"/>
        <w:rPr>
          <w:rFonts w:eastAsia="Times New Roman" w:cstheme="minorHAnsi"/>
          <w:lang w:val="en-GB"/>
        </w:rPr>
      </w:pPr>
      <w:r>
        <w:rPr>
          <w:rFonts w:eastAsia="Times New Roman" w:cstheme="minorHAnsi"/>
          <w:lang w:val="en-GB"/>
        </w:rPr>
        <w:t>According to the GSIS</w:t>
      </w:r>
      <w:r w:rsidR="0004412E" w:rsidRPr="000F3195">
        <w:rPr>
          <w:rFonts w:eastAsia="Times New Roman" w:cstheme="minorHAnsi"/>
          <w:lang w:val="en-GB"/>
        </w:rPr>
        <w:t>, a number of senior citizen’s housing accounts were cancelled or foreclosed due to non-payment to prioritize schooling of their children</w:t>
      </w:r>
      <w:r>
        <w:rPr>
          <w:rFonts w:eastAsia="Times New Roman" w:cstheme="minorHAnsi"/>
          <w:lang w:val="en-GB"/>
        </w:rPr>
        <w:t xml:space="preserve"> or</w:t>
      </w:r>
      <w:r w:rsidR="0004412E" w:rsidRPr="000F3195">
        <w:rPr>
          <w:rFonts w:eastAsia="Times New Roman" w:cstheme="minorHAnsi"/>
          <w:lang w:val="en-GB"/>
        </w:rPr>
        <w:t xml:space="preserve"> medical expenses of the family. </w:t>
      </w:r>
    </w:p>
    <w:p w14:paraId="1D253B70" w14:textId="3865F50E" w:rsidR="000A512F" w:rsidRPr="000F3195" w:rsidRDefault="000A512F" w:rsidP="000F3195">
      <w:pPr>
        <w:spacing w:after="0" w:line="276" w:lineRule="auto"/>
        <w:jc w:val="both"/>
        <w:rPr>
          <w:rFonts w:eastAsia="Times New Roman" w:cstheme="minorHAnsi"/>
          <w:lang w:val="en-GB"/>
        </w:rPr>
      </w:pPr>
    </w:p>
    <w:p w14:paraId="11764C1A" w14:textId="7C144ACC" w:rsidR="00F269BC" w:rsidRPr="000F3195" w:rsidRDefault="00BB06D8" w:rsidP="000F3195">
      <w:pPr>
        <w:spacing w:after="0" w:line="276" w:lineRule="auto"/>
        <w:jc w:val="both"/>
        <w:rPr>
          <w:rFonts w:cstheme="minorHAnsi"/>
        </w:rPr>
      </w:pPr>
      <w:r>
        <w:rPr>
          <w:rFonts w:cstheme="minorHAnsi"/>
        </w:rPr>
        <w:t>The CHRP recommends the following</w:t>
      </w:r>
      <w:r w:rsidR="00F269BC" w:rsidRPr="000F3195">
        <w:rPr>
          <w:rFonts w:cstheme="minorHAnsi"/>
        </w:rPr>
        <w:t>:</w:t>
      </w:r>
    </w:p>
    <w:p w14:paraId="0AEDCBBD" w14:textId="31865FEF" w:rsidR="002E6128" w:rsidRPr="000F3195" w:rsidRDefault="00BB06D8" w:rsidP="000F3195">
      <w:pPr>
        <w:pStyle w:val="ListParagraph"/>
        <w:numPr>
          <w:ilvl w:val="0"/>
          <w:numId w:val="22"/>
        </w:numPr>
        <w:spacing w:after="0" w:line="276" w:lineRule="auto"/>
        <w:jc w:val="both"/>
        <w:rPr>
          <w:rFonts w:eastAsia="Times New Roman" w:cstheme="minorHAnsi"/>
          <w:lang w:val="en-GB"/>
        </w:rPr>
      </w:pPr>
      <w:r>
        <w:rPr>
          <w:rFonts w:cstheme="minorHAnsi"/>
        </w:rPr>
        <w:t>Adoption and implementation of m</w:t>
      </w:r>
      <w:r w:rsidR="00F269BC" w:rsidRPr="000F3195">
        <w:rPr>
          <w:rFonts w:cstheme="minorHAnsi"/>
        </w:rPr>
        <w:t xml:space="preserve">easures </w:t>
      </w:r>
      <w:r w:rsidR="002E6128" w:rsidRPr="000F3195">
        <w:rPr>
          <w:rFonts w:cstheme="minorHAnsi"/>
        </w:rPr>
        <w:t xml:space="preserve">to </w:t>
      </w:r>
      <w:r w:rsidR="000A512F" w:rsidRPr="000F3195">
        <w:rPr>
          <w:rFonts w:cstheme="minorHAnsi"/>
        </w:rPr>
        <w:t>include the provision of social housing designed for older age, sufficient universal social security to cover the cost of housing, paralegal support for housing issues, well considered and designed properties that ensure accessibility throughout the life course, and the support and creation of communities of social connectedness around where older people live</w:t>
      </w:r>
      <w:r w:rsidR="002E6128" w:rsidRPr="000F3195">
        <w:rPr>
          <w:rFonts w:cstheme="minorHAnsi"/>
        </w:rPr>
        <w:t>;</w:t>
      </w:r>
    </w:p>
    <w:p w14:paraId="281D4524" w14:textId="6C9A23E2" w:rsidR="002E6128" w:rsidRPr="000F3195" w:rsidRDefault="00BB06D8" w:rsidP="000F3195">
      <w:pPr>
        <w:pStyle w:val="ListParagraph"/>
        <w:numPr>
          <w:ilvl w:val="0"/>
          <w:numId w:val="22"/>
        </w:numPr>
        <w:spacing w:after="0" w:line="276" w:lineRule="auto"/>
        <w:jc w:val="both"/>
        <w:rPr>
          <w:rFonts w:eastAsia="Times New Roman" w:cstheme="minorHAnsi"/>
          <w:lang w:val="en-GB"/>
        </w:rPr>
      </w:pPr>
      <w:r>
        <w:rPr>
          <w:rFonts w:cstheme="minorHAnsi"/>
        </w:rPr>
        <w:t>Strengthen o</w:t>
      </w:r>
      <w:r w:rsidR="000A512F" w:rsidRPr="000F3195">
        <w:rPr>
          <w:rFonts w:cstheme="minorHAnsi"/>
        </w:rPr>
        <w:t xml:space="preserve">lder people's access to </w:t>
      </w:r>
      <w:r>
        <w:rPr>
          <w:rFonts w:cstheme="minorHAnsi"/>
        </w:rPr>
        <w:t>services provided under existing laws and policies</w:t>
      </w:r>
      <w:r w:rsidR="000A512F" w:rsidRPr="000F3195">
        <w:rPr>
          <w:rFonts w:cstheme="minorHAnsi"/>
        </w:rPr>
        <w:t>, especially for migrants and homeless older people</w:t>
      </w:r>
      <w:r>
        <w:rPr>
          <w:rFonts w:cstheme="minorHAnsi"/>
        </w:rPr>
        <w:t>;</w:t>
      </w:r>
    </w:p>
    <w:p w14:paraId="36C95768" w14:textId="1A496D31" w:rsidR="002E6128" w:rsidRPr="000F3195" w:rsidRDefault="00BB06D8" w:rsidP="000F3195">
      <w:pPr>
        <w:pStyle w:val="ListParagraph"/>
        <w:numPr>
          <w:ilvl w:val="0"/>
          <w:numId w:val="22"/>
        </w:numPr>
        <w:spacing w:after="0" w:line="276" w:lineRule="auto"/>
        <w:jc w:val="both"/>
        <w:rPr>
          <w:rFonts w:eastAsia="Times New Roman" w:cstheme="minorHAnsi"/>
          <w:lang w:val="en-GB"/>
        </w:rPr>
      </w:pPr>
      <w:r>
        <w:rPr>
          <w:rFonts w:cstheme="minorHAnsi"/>
        </w:rPr>
        <w:t>Recognize that o</w:t>
      </w:r>
      <w:r w:rsidR="000A512F" w:rsidRPr="000F3195">
        <w:rPr>
          <w:rFonts w:cstheme="minorHAnsi"/>
        </w:rPr>
        <w:t>lder age is not a homogen</w:t>
      </w:r>
      <w:r>
        <w:rPr>
          <w:rFonts w:cstheme="minorHAnsi"/>
        </w:rPr>
        <w:t>e</w:t>
      </w:r>
      <w:r w:rsidR="000A512F" w:rsidRPr="000F3195">
        <w:rPr>
          <w:rFonts w:cstheme="minorHAnsi"/>
        </w:rPr>
        <w:t>ous experience and the diversity of issues</w:t>
      </w:r>
      <w:r>
        <w:rPr>
          <w:rFonts w:cstheme="minorHAnsi"/>
        </w:rPr>
        <w:t>, including</w:t>
      </w:r>
      <w:r w:rsidR="000A512F" w:rsidRPr="000F3195">
        <w:rPr>
          <w:rFonts w:cstheme="minorHAnsi"/>
        </w:rPr>
        <w:t xml:space="preserve"> </w:t>
      </w:r>
      <w:r w:rsidRPr="000F3195">
        <w:rPr>
          <w:rFonts w:cstheme="minorHAnsi"/>
        </w:rPr>
        <w:t>poverty, inheritance rights, elder abuse, migration</w:t>
      </w:r>
      <w:r>
        <w:rPr>
          <w:rFonts w:cstheme="minorHAnsi"/>
        </w:rPr>
        <w:t>,</w:t>
      </w:r>
      <w:r w:rsidRPr="000F3195">
        <w:rPr>
          <w:rFonts w:cstheme="minorHAnsi"/>
        </w:rPr>
        <w:t xml:space="preserve"> and health issues</w:t>
      </w:r>
      <w:r>
        <w:rPr>
          <w:rFonts w:cstheme="minorHAnsi"/>
        </w:rPr>
        <w:t>,</w:t>
      </w:r>
      <w:r w:rsidRPr="000F3195">
        <w:rPr>
          <w:rFonts w:cstheme="minorHAnsi"/>
        </w:rPr>
        <w:t xml:space="preserve"> </w:t>
      </w:r>
      <w:r w:rsidR="000A512F" w:rsidRPr="000F3195">
        <w:rPr>
          <w:rFonts w:cstheme="minorHAnsi"/>
        </w:rPr>
        <w:t>require careful and holistic solutions</w:t>
      </w:r>
      <w:r w:rsidR="002E6128" w:rsidRPr="000F3195">
        <w:rPr>
          <w:rFonts w:cstheme="minorHAnsi"/>
        </w:rPr>
        <w:t>; and</w:t>
      </w:r>
    </w:p>
    <w:p w14:paraId="3A76EADC" w14:textId="18A7F7E1" w:rsidR="000A512F" w:rsidRPr="000F3195" w:rsidRDefault="00BB06D8" w:rsidP="000F3195">
      <w:pPr>
        <w:pStyle w:val="ListParagraph"/>
        <w:numPr>
          <w:ilvl w:val="0"/>
          <w:numId w:val="22"/>
        </w:numPr>
        <w:spacing w:after="0" w:line="276" w:lineRule="auto"/>
        <w:jc w:val="both"/>
        <w:rPr>
          <w:rFonts w:eastAsia="Times New Roman" w:cstheme="minorHAnsi"/>
          <w:lang w:val="en-GB"/>
        </w:rPr>
      </w:pPr>
      <w:r>
        <w:rPr>
          <w:rFonts w:cstheme="minorHAnsi"/>
        </w:rPr>
        <w:t>Inclusion of o</w:t>
      </w:r>
      <w:r w:rsidR="000A512F" w:rsidRPr="000F3195">
        <w:rPr>
          <w:rFonts w:cstheme="minorHAnsi"/>
        </w:rPr>
        <w:t xml:space="preserve">lder persons </w:t>
      </w:r>
      <w:r>
        <w:rPr>
          <w:rFonts w:cstheme="minorHAnsi"/>
        </w:rPr>
        <w:t xml:space="preserve">themselves in </w:t>
      </w:r>
      <w:r w:rsidR="000A512F" w:rsidRPr="000F3195">
        <w:rPr>
          <w:rFonts w:cstheme="minorHAnsi"/>
        </w:rPr>
        <w:t>policy and decision making, particularly in ensuring their safety and resilience in the context of disaster risk reduction and management.</w:t>
      </w:r>
    </w:p>
    <w:p w14:paraId="4699BA4A" w14:textId="38D32E9E" w:rsidR="00B62EE5" w:rsidRPr="000F3195" w:rsidRDefault="00B62EE5" w:rsidP="000F3195">
      <w:pPr>
        <w:spacing w:after="0" w:line="276" w:lineRule="auto"/>
        <w:jc w:val="both"/>
        <w:rPr>
          <w:rFonts w:cstheme="minorHAnsi"/>
          <w:lang w:val="en-GB"/>
        </w:rPr>
      </w:pPr>
    </w:p>
    <w:p w14:paraId="17292993" w14:textId="7EDD34BF" w:rsidR="00860C22" w:rsidRPr="00F90D1E" w:rsidRDefault="00860C22" w:rsidP="00F90D1E">
      <w:pPr>
        <w:pStyle w:val="ListParagraph"/>
        <w:numPr>
          <w:ilvl w:val="0"/>
          <w:numId w:val="25"/>
        </w:numPr>
        <w:spacing w:after="0" w:line="276" w:lineRule="auto"/>
        <w:ind w:left="360"/>
        <w:jc w:val="both"/>
        <w:rPr>
          <w:rFonts w:cstheme="minorHAnsi"/>
          <w:b/>
          <w:lang w:val="en-GB"/>
        </w:rPr>
      </w:pPr>
      <w:r w:rsidRPr="00F90D1E">
        <w:rPr>
          <w:rFonts w:cstheme="minorHAnsi"/>
          <w:b/>
          <w:lang w:val="en-GB"/>
        </w:rPr>
        <w:t xml:space="preserve">Does your country collect data on older persons’ living conditions in your country? If yes, please provide any available and disaggregated figures and statistics (e.g., number of older persons: in institutions, living alone, living with family, or living in urban and rural areas). Is data on older persons broken-down into groups of different ages over 65 years to plan and address each specific age group’s needs in terms of housing? </w:t>
      </w:r>
    </w:p>
    <w:p w14:paraId="739387A7" w14:textId="7DC80654" w:rsidR="00532728" w:rsidRPr="000F3195" w:rsidRDefault="00532728" w:rsidP="000F3195">
      <w:pPr>
        <w:spacing w:after="0" w:line="276" w:lineRule="auto"/>
        <w:jc w:val="both"/>
        <w:rPr>
          <w:rFonts w:cstheme="minorHAnsi"/>
          <w:b/>
          <w:lang w:val="en-GB"/>
        </w:rPr>
      </w:pPr>
    </w:p>
    <w:p w14:paraId="18537B34" w14:textId="06096DC7" w:rsidR="00BB06D8" w:rsidRDefault="00BB06D8" w:rsidP="000F3195">
      <w:pPr>
        <w:spacing w:after="0" w:line="276" w:lineRule="auto"/>
        <w:jc w:val="both"/>
        <w:rPr>
          <w:rFonts w:cstheme="minorHAnsi"/>
          <w:lang w:val="en-GB"/>
        </w:rPr>
      </w:pPr>
      <w:r>
        <w:rPr>
          <w:rFonts w:cstheme="minorHAnsi"/>
          <w:lang w:val="en-GB"/>
        </w:rPr>
        <w:t>T</w:t>
      </w:r>
      <w:r w:rsidR="008C49D2" w:rsidRPr="000F3195">
        <w:rPr>
          <w:rFonts w:cstheme="minorHAnsi"/>
          <w:lang w:val="en-GB"/>
        </w:rPr>
        <w:t>he Philippine Statistics Authority (PSA) provides official statistics</w:t>
      </w:r>
      <w:r>
        <w:rPr>
          <w:rFonts w:cstheme="minorHAnsi"/>
          <w:lang w:val="en-GB"/>
        </w:rPr>
        <w:t xml:space="preserve"> on the population including </w:t>
      </w:r>
      <w:r w:rsidR="00090ACD" w:rsidRPr="000F3195">
        <w:rPr>
          <w:rFonts w:cstheme="minorHAnsi"/>
          <w:lang w:val="en-GB"/>
        </w:rPr>
        <w:t>older persons.</w:t>
      </w:r>
      <w:r w:rsidR="00090ACD" w:rsidRPr="000F3195">
        <w:rPr>
          <w:rStyle w:val="FootnoteReference"/>
          <w:rFonts w:cstheme="minorHAnsi"/>
          <w:lang w:val="en-GB"/>
        </w:rPr>
        <w:footnoteReference w:id="53"/>
      </w:r>
    </w:p>
    <w:p w14:paraId="00303792" w14:textId="77777777" w:rsidR="00BB06D8" w:rsidRDefault="00BB06D8" w:rsidP="000F3195">
      <w:pPr>
        <w:spacing w:after="0" w:line="276" w:lineRule="auto"/>
        <w:jc w:val="both"/>
        <w:rPr>
          <w:rFonts w:cstheme="minorHAnsi"/>
          <w:lang w:val="en-GB"/>
        </w:rPr>
      </w:pPr>
    </w:p>
    <w:p w14:paraId="209F6B6C" w14:textId="490A1DDA" w:rsidR="008C49D2" w:rsidRPr="000F3195" w:rsidRDefault="004B2E15" w:rsidP="000F3195">
      <w:pPr>
        <w:spacing w:after="0" w:line="276" w:lineRule="auto"/>
        <w:jc w:val="both"/>
        <w:rPr>
          <w:rFonts w:asciiTheme="majorHAnsi" w:hAnsiTheme="majorHAnsi" w:cstheme="majorHAnsi"/>
          <w:lang w:val="en-GB"/>
        </w:rPr>
      </w:pPr>
      <w:r w:rsidRPr="000F3195">
        <w:rPr>
          <w:rFonts w:cstheme="minorHAnsi"/>
          <w:lang w:val="en-GB"/>
        </w:rPr>
        <w:t xml:space="preserve">The Longitudinal Study of Ageing and </w:t>
      </w:r>
      <w:r w:rsidR="00521193" w:rsidRPr="000F3195">
        <w:rPr>
          <w:rFonts w:cstheme="minorHAnsi"/>
          <w:lang w:val="en-GB"/>
        </w:rPr>
        <w:t>Health in the Philippines</w:t>
      </w:r>
      <w:r w:rsidR="00521193" w:rsidRPr="000F3195">
        <w:rPr>
          <w:rStyle w:val="FootnoteReference"/>
          <w:rFonts w:cstheme="minorHAnsi"/>
          <w:lang w:val="en-GB"/>
        </w:rPr>
        <w:footnoteReference w:id="54"/>
      </w:r>
      <w:r w:rsidR="00216E46" w:rsidRPr="000F3195">
        <w:rPr>
          <w:rFonts w:cstheme="minorHAnsi"/>
          <w:lang w:val="en-GB"/>
        </w:rPr>
        <w:t xml:space="preserve"> also provides relevant figures and statistics. Its 2018 dat</w:t>
      </w:r>
      <w:r w:rsidR="00BB06D8">
        <w:rPr>
          <w:rFonts w:cstheme="minorHAnsi"/>
          <w:lang w:val="en-GB"/>
        </w:rPr>
        <w:t>a</w:t>
      </w:r>
      <w:r w:rsidR="00216E46" w:rsidRPr="000F3195">
        <w:rPr>
          <w:rFonts w:cstheme="minorHAnsi"/>
          <w:lang w:val="en-GB"/>
        </w:rPr>
        <w:t xml:space="preserve"> provides comprehensive information on health, economic</w:t>
      </w:r>
      <w:r w:rsidR="00216E46" w:rsidRPr="000F3195">
        <w:rPr>
          <w:rFonts w:asciiTheme="majorHAnsi" w:hAnsiTheme="majorHAnsi" w:cstheme="majorHAnsi"/>
          <w:lang w:val="en-GB"/>
        </w:rPr>
        <w:t xml:space="preserve"> status, and overall well-being of a nationally representative sample of older Filipino</w:t>
      </w:r>
      <w:r w:rsidR="00B07391">
        <w:rPr>
          <w:rFonts w:asciiTheme="majorHAnsi" w:hAnsiTheme="majorHAnsi" w:cstheme="majorHAnsi"/>
          <w:lang w:val="en-GB"/>
        </w:rPr>
        <w:t>s</w:t>
      </w:r>
      <w:r w:rsidR="00216E46" w:rsidRPr="000F3195">
        <w:rPr>
          <w:rFonts w:asciiTheme="majorHAnsi" w:hAnsiTheme="majorHAnsi" w:cstheme="majorHAnsi"/>
          <w:lang w:val="en-GB"/>
        </w:rPr>
        <w:t>.</w:t>
      </w:r>
      <w:r w:rsidR="00216E46" w:rsidRPr="000F3195">
        <w:rPr>
          <w:rStyle w:val="FootnoteReference"/>
          <w:rFonts w:asciiTheme="majorHAnsi" w:hAnsiTheme="majorHAnsi" w:cstheme="majorHAnsi"/>
          <w:lang w:val="en-GB"/>
        </w:rPr>
        <w:footnoteReference w:id="55"/>
      </w:r>
    </w:p>
    <w:p w14:paraId="6085F1B8" w14:textId="0D970287" w:rsidR="003B2191" w:rsidRPr="000F3195" w:rsidRDefault="003B2191" w:rsidP="000F3195">
      <w:pPr>
        <w:spacing w:after="0" w:line="276" w:lineRule="auto"/>
        <w:jc w:val="both"/>
        <w:rPr>
          <w:rFonts w:asciiTheme="majorHAnsi" w:hAnsiTheme="majorHAnsi" w:cstheme="majorHAnsi"/>
          <w:lang w:val="en-GB"/>
        </w:rPr>
      </w:pPr>
    </w:p>
    <w:p w14:paraId="4180755B" w14:textId="50F9AC3B" w:rsidR="00D57156" w:rsidRPr="002F7FC9" w:rsidRDefault="003B2191" w:rsidP="002F7FC9">
      <w:pPr>
        <w:spacing w:after="0" w:line="276" w:lineRule="auto"/>
        <w:jc w:val="both"/>
        <w:rPr>
          <w:rFonts w:asciiTheme="majorHAnsi" w:hAnsiTheme="majorHAnsi" w:cstheme="majorHAnsi"/>
          <w:lang w:val="en-GB"/>
        </w:rPr>
      </w:pPr>
      <w:r w:rsidRPr="000F3195">
        <w:rPr>
          <w:rFonts w:cstheme="minorHAnsi"/>
        </w:rPr>
        <w:t xml:space="preserve">One of the functions of the Office for Senior Citizens Affairs (OSCA), is </w:t>
      </w:r>
      <w:r w:rsidR="00B07391">
        <w:rPr>
          <w:rFonts w:cstheme="minorHAnsi"/>
        </w:rPr>
        <w:t>to collect data including on the</w:t>
      </w:r>
      <w:r w:rsidRPr="000F3195">
        <w:rPr>
          <w:rFonts w:cstheme="minorHAnsi"/>
        </w:rPr>
        <w:t xml:space="preserve"> living conditions of senior citizen</w:t>
      </w:r>
      <w:r w:rsidR="00B07391">
        <w:rPr>
          <w:rFonts w:cstheme="minorHAnsi"/>
        </w:rPr>
        <w:t>s.</w:t>
      </w:r>
    </w:p>
    <w:p w14:paraId="51377C41" w14:textId="77777777" w:rsidR="00066706" w:rsidRPr="000F3195" w:rsidRDefault="00066706" w:rsidP="000F3195">
      <w:pPr>
        <w:spacing w:after="0" w:line="276" w:lineRule="auto"/>
        <w:jc w:val="both"/>
        <w:rPr>
          <w:rFonts w:asciiTheme="majorHAnsi" w:hAnsiTheme="majorHAnsi" w:cstheme="majorHAnsi"/>
          <w:b/>
          <w:lang w:val="en-GB"/>
        </w:rPr>
      </w:pPr>
    </w:p>
    <w:p w14:paraId="798ED9C1" w14:textId="6470FD0D" w:rsidR="00593119" w:rsidRPr="00F90D1E" w:rsidRDefault="00B62EE5" w:rsidP="00F90D1E">
      <w:pPr>
        <w:pStyle w:val="ListParagraph"/>
        <w:numPr>
          <w:ilvl w:val="0"/>
          <w:numId w:val="25"/>
        </w:numPr>
        <w:spacing w:after="0" w:line="276" w:lineRule="auto"/>
        <w:ind w:left="360"/>
        <w:jc w:val="both"/>
        <w:rPr>
          <w:rFonts w:asciiTheme="majorHAnsi" w:hAnsiTheme="majorHAnsi" w:cstheme="majorHAnsi"/>
          <w:b/>
          <w:lang w:val="en-GB"/>
        </w:rPr>
      </w:pPr>
      <w:r w:rsidRPr="00F90D1E">
        <w:rPr>
          <w:rFonts w:asciiTheme="majorHAnsi" w:hAnsiTheme="majorHAnsi" w:cstheme="majorHAnsi"/>
          <w:b/>
          <w:lang w:val="en-GB"/>
        </w:rPr>
        <w:lastRenderedPageBreak/>
        <w:t xml:space="preserve">Please outline </w:t>
      </w:r>
      <w:r w:rsidRPr="00F90D1E">
        <w:rPr>
          <w:rFonts w:asciiTheme="majorHAnsi" w:hAnsiTheme="majorHAnsi" w:cstheme="majorHAnsi"/>
          <w:b/>
          <w:bCs/>
          <w:lang w:val="en-GB"/>
        </w:rPr>
        <w:t>any other areas</w:t>
      </w:r>
      <w:r w:rsidRPr="00F90D1E">
        <w:rPr>
          <w:rFonts w:asciiTheme="majorHAnsi" w:hAnsiTheme="majorHAnsi" w:cstheme="majorHAnsi"/>
          <w:b/>
          <w:lang w:val="en-GB"/>
        </w:rPr>
        <w:t xml:space="preserve"> that you would like to bring to the attention of the Independent Expert in the context of the right to adequate housing of older persons. Please feel free to share any document, report, study, publication already available and that might be of interest to the mandate.</w:t>
      </w:r>
    </w:p>
    <w:p w14:paraId="33FE67DD" w14:textId="77777777" w:rsidR="005617B8" w:rsidRPr="000F3195" w:rsidRDefault="005617B8" w:rsidP="000F3195">
      <w:pPr>
        <w:spacing w:after="0" w:line="276" w:lineRule="auto"/>
        <w:jc w:val="both"/>
        <w:rPr>
          <w:rFonts w:cstheme="minorHAnsi"/>
          <w:lang w:val="en-GB"/>
        </w:rPr>
      </w:pPr>
    </w:p>
    <w:p w14:paraId="7468B8D0" w14:textId="5DA8C48C" w:rsidR="00593119" w:rsidRPr="000F3195" w:rsidRDefault="00593119" w:rsidP="000F3195">
      <w:pPr>
        <w:spacing w:after="0" w:line="276" w:lineRule="auto"/>
        <w:jc w:val="both"/>
        <w:rPr>
          <w:rFonts w:cstheme="minorHAnsi"/>
          <w:lang w:val="en-GB"/>
        </w:rPr>
      </w:pPr>
      <w:r w:rsidRPr="000F3195">
        <w:rPr>
          <w:rFonts w:cstheme="minorHAnsi"/>
          <w:lang w:val="en-GB"/>
        </w:rPr>
        <w:t>There is a demand-supply gap especially at the lower end of the housing market as poorer households fail to get access to decent and affordable housing.</w:t>
      </w:r>
      <w:r w:rsidRPr="000F3195">
        <w:rPr>
          <w:rStyle w:val="FootnoteReference"/>
          <w:rFonts w:cstheme="minorHAnsi"/>
          <w:lang w:val="en-GB"/>
        </w:rPr>
        <w:footnoteReference w:id="56"/>
      </w:r>
      <w:r w:rsidR="00C941BF" w:rsidRPr="000F3195">
        <w:rPr>
          <w:rFonts w:cstheme="minorHAnsi"/>
          <w:lang w:val="en-GB"/>
        </w:rPr>
        <w:t xml:space="preserve"> There is a need to review the housing subsidies provided by the Philippine government to ensure that the right of older Filipinos to adequate housing is met</w:t>
      </w:r>
      <w:r w:rsidR="005617B8" w:rsidRPr="000F3195">
        <w:rPr>
          <w:rFonts w:cstheme="minorHAnsi"/>
          <w:lang w:val="en-GB"/>
        </w:rPr>
        <w:t>.</w:t>
      </w:r>
      <w:r w:rsidR="005617B8" w:rsidRPr="000F3195">
        <w:rPr>
          <w:rStyle w:val="FootnoteReference"/>
          <w:rFonts w:cstheme="minorHAnsi"/>
          <w:lang w:val="en-GB"/>
        </w:rPr>
        <w:footnoteReference w:id="57"/>
      </w:r>
    </w:p>
    <w:p w14:paraId="33B0B69E" w14:textId="1D5AAC95" w:rsidR="00845D38" w:rsidRPr="000F3195" w:rsidRDefault="00845D38" w:rsidP="000F3195">
      <w:pPr>
        <w:spacing w:after="0" w:line="276" w:lineRule="auto"/>
        <w:jc w:val="both"/>
        <w:rPr>
          <w:rFonts w:cstheme="minorHAnsi"/>
          <w:lang w:val="en-GB"/>
        </w:rPr>
      </w:pPr>
    </w:p>
    <w:p w14:paraId="74340F1C" w14:textId="494C0B7F" w:rsidR="00845D38" w:rsidRPr="000F3195" w:rsidRDefault="00AB1A19" w:rsidP="000F3195">
      <w:pPr>
        <w:spacing w:after="0" w:line="276" w:lineRule="auto"/>
        <w:jc w:val="both"/>
        <w:rPr>
          <w:rFonts w:cstheme="minorHAnsi"/>
          <w:lang w:val="en-GB"/>
        </w:rPr>
      </w:pPr>
      <w:r>
        <w:rPr>
          <w:rFonts w:cstheme="minorHAnsi"/>
          <w:lang w:val="en-GB"/>
        </w:rPr>
        <w:t>There is a need t</w:t>
      </w:r>
      <w:r w:rsidR="00845D38" w:rsidRPr="000F3195">
        <w:rPr>
          <w:rFonts w:cstheme="minorHAnsi"/>
          <w:lang w:val="en-GB"/>
        </w:rPr>
        <w:t xml:space="preserve">o have more researches on the challenges around housing and homelessness </w:t>
      </w:r>
      <w:r>
        <w:rPr>
          <w:rFonts w:cstheme="minorHAnsi"/>
          <w:lang w:val="en-GB"/>
        </w:rPr>
        <w:t>among</w:t>
      </w:r>
      <w:r w:rsidR="00845D38" w:rsidRPr="000F3195">
        <w:rPr>
          <w:rFonts w:cstheme="minorHAnsi"/>
          <w:lang w:val="en-GB"/>
        </w:rPr>
        <w:t xml:space="preserve"> older persons</w:t>
      </w:r>
      <w:r>
        <w:rPr>
          <w:rFonts w:cstheme="minorHAnsi"/>
          <w:lang w:val="en-GB"/>
        </w:rPr>
        <w:t>. A</w:t>
      </w:r>
      <w:r w:rsidR="00845D38" w:rsidRPr="000F3195">
        <w:rPr>
          <w:rFonts w:cstheme="minorHAnsi"/>
          <w:lang w:val="en-GB"/>
        </w:rPr>
        <w:t xml:space="preserve"> wider body of knowledge is required to develop appropriate evidence-based policies and programs to address these issues</w:t>
      </w:r>
      <w:r w:rsidR="00871B67">
        <w:rPr>
          <w:rFonts w:cstheme="minorHAnsi"/>
          <w:lang w:val="en-GB"/>
        </w:rPr>
        <w:t>, including</w:t>
      </w:r>
      <w:r w:rsidR="00845D38" w:rsidRPr="000F3195">
        <w:rPr>
          <w:rFonts w:cstheme="minorHAnsi"/>
          <w:lang w:val="en-GB"/>
        </w:rPr>
        <w:t xml:space="preserve"> </w:t>
      </w:r>
      <w:r w:rsidR="00871B67">
        <w:rPr>
          <w:rFonts w:cstheme="minorHAnsi"/>
        </w:rPr>
        <w:t>p</w:t>
      </w:r>
      <w:r w:rsidR="00845D38" w:rsidRPr="000F3195">
        <w:rPr>
          <w:rFonts w:cstheme="minorHAnsi"/>
        </w:rPr>
        <w:t>olicy measures ensuring social housing support for older persons</w:t>
      </w:r>
      <w:r w:rsidR="00871B67">
        <w:rPr>
          <w:rFonts w:cstheme="minorHAnsi"/>
        </w:rPr>
        <w:t xml:space="preserve"> and ensuring housing is not </w:t>
      </w:r>
      <w:r w:rsidR="00845D38" w:rsidRPr="000F3195">
        <w:rPr>
          <w:rFonts w:cstheme="minorHAnsi"/>
        </w:rPr>
        <w:t>located in areas prone to natural disasters</w:t>
      </w:r>
      <w:r w:rsidR="00871B67">
        <w:rPr>
          <w:rFonts w:cstheme="minorHAnsi"/>
        </w:rPr>
        <w:t xml:space="preserve">, but rather </w:t>
      </w:r>
      <w:r w:rsidR="00845D38" w:rsidRPr="000F3195">
        <w:rPr>
          <w:rFonts w:cstheme="minorHAnsi"/>
        </w:rPr>
        <w:t>in a place where older people feel safe in the environment they live in.</w:t>
      </w:r>
    </w:p>
    <w:p w14:paraId="57F8FC4F" w14:textId="4713F718" w:rsidR="00845D38" w:rsidRDefault="00845D38" w:rsidP="000F3195">
      <w:pPr>
        <w:spacing w:after="0" w:line="276" w:lineRule="auto"/>
        <w:jc w:val="both"/>
        <w:rPr>
          <w:rFonts w:cstheme="minorHAnsi"/>
          <w:lang w:val="en-GB"/>
        </w:rPr>
      </w:pPr>
    </w:p>
    <w:p w14:paraId="5E32CFBC" w14:textId="73CC192A" w:rsidR="006A7630" w:rsidRDefault="00871B67" w:rsidP="000F3195">
      <w:pPr>
        <w:spacing w:after="0" w:line="276" w:lineRule="auto"/>
        <w:jc w:val="both"/>
        <w:rPr>
          <w:rFonts w:cstheme="minorHAnsi"/>
          <w:lang w:val="en-GB"/>
        </w:rPr>
      </w:pPr>
      <w:r>
        <w:rPr>
          <w:rFonts w:cstheme="minorHAnsi"/>
          <w:lang w:val="en-GB"/>
        </w:rPr>
        <w:t>There is also a need to clarify the responsibilities of the government considering the various ways in which older persons may enjoy their right to adequate housing – including in having the option to live wherever they choose to live or in receiving support in the home or in an institution.</w:t>
      </w:r>
    </w:p>
    <w:p w14:paraId="77EE585D" w14:textId="0DC0EE96" w:rsidR="005D7F75" w:rsidRDefault="005D7F75" w:rsidP="000F3195">
      <w:pPr>
        <w:spacing w:after="0" w:line="276" w:lineRule="auto"/>
        <w:jc w:val="both"/>
        <w:rPr>
          <w:rFonts w:asciiTheme="majorHAnsi" w:hAnsiTheme="majorHAnsi" w:cstheme="majorHAnsi"/>
        </w:rPr>
      </w:pPr>
    </w:p>
    <w:p w14:paraId="3D8D9B47" w14:textId="416ADEB9" w:rsidR="005D7F75" w:rsidRPr="000F3195" w:rsidRDefault="005D7F75" w:rsidP="000F3195">
      <w:pPr>
        <w:spacing w:after="0" w:line="276" w:lineRule="auto"/>
        <w:jc w:val="both"/>
        <w:rPr>
          <w:rFonts w:asciiTheme="majorHAnsi" w:hAnsiTheme="majorHAnsi" w:cstheme="majorHAnsi"/>
        </w:rPr>
      </w:pPr>
      <w:r>
        <w:rPr>
          <w:rFonts w:ascii="Arial" w:hAnsi="Arial" w:cs="Arial"/>
          <w:color w:val="222222"/>
          <w:shd w:val="clear" w:color="auto" w:fill="FFFFFF"/>
        </w:rPr>
        <w:t>Last</w:t>
      </w:r>
      <w:r w:rsidR="00F50A52">
        <w:rPr>
          <w:rFonts w:ascii="Arial" w:hAnsi="Arial" w:cs="Arial"/>
          <w:color w:val="222222"/>
          <w:shd w:val="clear" w:color="auto" w:fill="FFFFFF"/>
        </w:rPr>
        <w:t>ly</w:t>
      </w:r>
      <w:r>
        <w:rPr>
          <w:rFonts w:ascii="Arial" w:hAnsi="Arial" w:cs="Arial"/>
          <w:color w:val="222222"/>
          <w:shd w:val="clear" w:color="auto" w:fill="FFFFFF"/>
        </w:rPr>
        <w:t xml:space="preserve"> for the Independent Expert to recommend assessment on the impact of the laws created to protect the right to housing of OP.</w:t>
      </w:r>
    </w:p>
    <w:sectPr w:rsidR="005D7F75" w:rsidRPr="000F3195" w:rsidSect="00905248">
      <w:footerReference w:type="default" r:id="rId8"/>
      <w:headerReference w:type="first" r:id="rId9"/>
      <w:footerReference w:type="first" r:id="rId10"/>
      <w:endnotePr>
        <w:numFmt w:val="decimal"/>
      </w:endnotePr>
      <w:type w:val="continuous"/>
      <w:pgSz w:w="12240" w:h="18720"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9DA" w16cex:dateUtc="2022-04-25T13:16:00Z"/>
  <w16cex:commentExtensible w16cex:durableId="26113A05" w16cex:dateUtc="2022-04-25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A9BA" w14:textId="77777777" w:rsidR="005E4932" w:rsidRDefault="005E4932" w:rsidP="00C10FD2">
      <w:pPr>
        <w:spacing w:after="0" w:line="240" w:lineRule="auto"/>
      </w:pPr>
      <w:r>
        <w:separator/>
      </w:r>
    </w:p>
  </w:endnote>
  <w:endnote w:type="continuationSeparator" w:id="0">
    <w:p w14:paraId="62373ACC" w14:textId="77777777" w:rsidR="005E4932" w:rsidRDefault="005E4932" w:rsidP="00C1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0642503"/>
      <w:docPartObj>
        <w:docPartGallery w:val="Page Numbers (Bottom of Page)"/>
        <w:docPartUnique/>
      </w:docPartObj>
    </w:sdtPr>
    <w:sdtEndPr/>
    <w:sdtContent>
      <w:sdt>
        <w:sdtPr>
          <w:rPr>
            <w:sz w:val="16"/>
            <w:szCs w:val="16"/>
          </w:rPr>
          <w:id w:val="-1958323701"/>
          <w:docPartObj>
            <w:docPartGallery w:val="Page Numbers (Top of Page)"/>
            <w:docPartUnique/>
          </w:docPartObj>
        </w:sdtPr>
        <w:sdtEndPr/>
        <w:sdtContent>
          <w:p w14:paraId="506690B9" w14:textId="4ADE73EF" w:rsidR="006E18B6" w:rsidRPr="00905248" w:rsidRDefault="006E18B6" w:rsidP="00905248">
            <w:pPr>
              <w:pStyle w:val="Footer"/>
              <w:jc w:val="center"/>
              <w:rPr>
                <w:sz w:val="16"/>
                <w:szCs w:val="16"/>
              </w:rPr>
            </w:pPr>
            <w:r w:rsidRPr="00905248">
              <w:rPr>
                <w:sz w:val="16"/>
                <w:szCs w:val="16"/>
              </w:rPr>
              <w:t xml:space="preserve">Page </w:t>
            </w:r>
            <w:r w:rsidRPr="00905248">
              <w:rPr>
                <w:bCs/>
                <w:sz w:val="16"/>
                <w:szCs w:val="16"/>
              </w:rPr>
              <w:fldChar w:fldCharType="begin"/>
            </w:r>
            <w:r w:rsidRPr="00905248">
              <w:rPr>
                <w:bCs/>
                <w:sz w:val="16"/>
                <w:szCs w:val="16"/>
              </w:rPr>
              <w:instrText xml:space="preserve"> PAGE </w:instrText>
            </w:r>
            <w:r w:rsidRPr="00905248">
              <w:rPr>
                <w:bCs/>
                <w:sz w:val="16"/>
                <w:szCs w:val="16"/>
              </w:rPr>
              <w:fldChar w:fldCharType="separate"/>
            </w:r>
            <w:r>
              <w:rPr>
                <w:bCs/>
                <w:noProof/>
                <w:sz w:val="16"/>
                <w:szCs w:val="16"/>
              </w:rPr>
              <w:t>19</w:t>
            </w:r>
            <w:r w:rsidRPr="00905248">
              <w:rPr>
                <w:bCs/>
                <w:sz w:val="16"/>
                <w:szCs w:val="16"/>
              </w:rPr>
              <w:fldChar w:fldCharType="end"/>
            </w:r>
            <w:r w:rsidRPr="00905248">
              <w:rPr>
                <w:sz w:val="16"/>
                <w:szCs w:val="16"/>
              </w:rPr>
              <w:t xml:space="preserve"> of </w:t>
            </w:r>
            <w:r w:rsidRPr="00905248">
              <w:rPr>
                <w:bCs/>
                <w:sz w:val="16"/>
                <w:szCs w:val="16"/>
              </w:rPr>
              <w:fldChar w:fldCharType="begin"/>
            </w:r>
            <w:r w:rsidRPr="00905248">
              <w:rPr>
                <w:bCs/>
                <w:sz w:val="16"/>
                <w:szCs w:val="16"/>
              </w:rPr>
              <w:instrText xml:space="preserve"> NUMPAGES  </w:instrText>
            </w:r>
            <w:r w:rsidRPr="00905248">
              <w:rPr>
                <w:bCs/>
                <w:sz w:val="16"/>
                <w:szCs w:val="16"/>
              </w:rPr>
              <w:fldChar w:fldCharType="separate"/>
            </w:r>
            <w:r>
              <w:rPr>
                <w:bCs/>
                <w:noProof/>
                <w:sz w:val="16"/>
                <w:szCs w:val="16"/>
              </w:rPr>
              <w:t>19</w:t>
            </w:r>
            <w:r w:rsidRPr="00905248">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7C3C" w14:textId="77777777" w:rsidR="006E18B6" w:rsidRPr="002F02CD" w:rsidRDefault="006E18B6" w:rsidP="00140E96">
    <w:pPr>
      <w:pStyle w:val="Footer"/>
      <w:jc w:val="center"/>
      <w:rPr>
        <w:b/>
        <w:color w:val="E2BB26"/>
        <w:sz w:val="6"/>
      </w:rPr>
    </w:pPr>
    <w:r w:rsidRPr="002F02CD">
      <w:rPr>
        <w:b/>
        <w:noProof/>
        <w:color w:val="E2BB26"/>
        <w:sz w:val="14"/>
        <w:lang w:eastAsia="en-PH"/>
      </w:rPr>
      <mc:AlternateContent>
        <mc:Choice Requires="wps">
          <w:drawing>
            <wp:anchor distT="0" distB="0" distL="114300" distR="114300" simplePos="0" relativeHeight="251659264" behindDoc="0" locked="0" layoutInCell="1" allowOverlap="1" wp14:anchorId="565A1685" wp14:editId="591EC0C2">
              <wp:simplePos x="0" y="0"/>
              <wp:positionH relativeFrom="margin">
                <wp:align>center</wp:align>
              </wp:positionH>
              <wp:positionV relativeFrom="paragraph">
                <wp:posOffset>14605</wp:posOffset>
              </wp:positionV>
              <wp:extent cx="4615815"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4615815" cy="0"/>
                      </a:xfrm>
                      <a:prstGeom prst="line">
                        <a:avLst/>
                      </a:prstGeom>
                      <a:ln>
                        <a:solidFill>
                          <a:srgbClr val="A98A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102B0DE"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36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" strokecolor="#a98a17" strokeweight=".5pt">
              <v:stroke joinstyle="miter"/>
              <w10:wrap anchorx="margin"/>
            </v:line>
          </w:pict>
        </mc:Fallback>
      </mc:AlternateContent>
    </w:r>
  </w:p>
  <w:p w14:paraId="6A94ECED" w14:textId="77777777" w:rsidR="006E18B6" w:rsidRPr="002F02CD" w:rsidRDefault="006E18B6" w:rsidP="00140E96">
    <w:pPr>
      <w:pStyle w:val="Footer"/>
      <w:jc w:val="center"/>
      <w:rPr>
        <w:color w:val="E2BB26"/>
        <w:sz w:val="20"/>
      </w:rPr>
    </w:pPr>
    <w:r w:rsidRPr="002F02CD">
      <w:rPr>
        <w:color w:val="E2BB26"/>
        <w:sz w:val="20"/>
      </w:rPr>
      <w:t>Commonwealth Avenue, U.P. Complex, Diliman 1101 Quezon City</w:t>
    </w:r>
    <w:r>
      <w:rPr>
        <w:color w:val="E2BB26"/>
        <w:sz w:val="20"/>
      </w:rPr>
      <w:t>,</w:t>
    </w:r>
    <w:r w:rsidRPr="002F02CD">
      <w:rPr>
        <w:color w:val="E2BB26"/>
        <w:sz w:val="20"/>
      </w:rPr>
      <w:t xml:space="preserve"> Philippines</w:t>
    </w:r>
  </w:p>
  <w:p w14:paraId="6E5225D9" w14:textId="77777777" w:rsidR="006E18B6" w:rsidRPr="00140E96" w:rsidRDefault="006E18B6" w:rsidP="00140E96">
    <w:pPr>
      <w:pStyle w:val="Footer"/>
      <w:jc w:val="center"/>
      <w:rPr>
        <w:color w:val="E2BB26"/>
        <w:sz w:val="20"/>
      </w:rPr>
    </w:pPr>
    <w:r w:rsidRPr="002F02CD">
      <w:rPr>
        <w:color w:val="E2BB26"/>
        <w:sz w:val="20"/>
      </w:rPr>
      <w:t xml:space="preserve">Tel. Nos. (02) 294 8704 </w:t>
    </w:r>
    <w:r w:rsidRPr="002F02CD">
      <w:rPr>
        <w:color w:val="E2BB26"/>
        <w:sz w:val="20"/>
      </w:rPr>
      <w:sym w:font="Symbol" w:char="F0B7"/>
    </w:r>
    <w:r w:rsidRPr="002F02CD">
      <w:rPr>
        <w:color w:val="E2BB26"/>
        <w:sz w:val="20"/>
      </w:rPr>
      <w:t xml:space="preserve"> (02) 925 3886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6F27" w14:textId="77777777" w:rsidR="005E4932" w:rsidRDefault="005E4932" w:rsidP="00C10FD2">
      <w:pPr>
        <w:spacing w:after="0" w:line="240" w:lineRule="auto"/>
      </w:pPr>
      <w:r>
        <w:separator/>
      </w:r>
    </w:p>
  </w:footnote>
  <w:footnote w:type="continuationSeparator" w:id="0">
    <w:p w14:paraId="6A186AAF" w14:textId="77777777" w:rsidR="005E4932" w:rsidRDefault="005E4932" w:rsidP="00C10FD2">
      <w:pPr>
        <w:spacing w:after="0" w:line="240" w:lineRule="auto"/>
      </w:pPr>
      <w:r>
        <w:continuationSeparator/>
      </w:r>
    </w:p>
  </w:footnote>
  <w:footnote w:id="1">
    <w:p w14:paraId="0BD5C785" w14:textId="3436DB1C" w:rsidR="006E18B6" w:rsidRPr="00A93F26" w:rsidRDefault="006E18B6" w:rsidP="005C74D0">
      <w:pPr>
        <w:pStyle w:val="FootnoteText"/>
        <w:jc w:val="both"/>
        <w:rPr>
          <w:rFonts w:cstheme="minorHAnsi"/>
          <w:sz w:val="18"/>
          <w:szCs w:val="18"/>
        </w:rPr>
      </w:pPr>
      <w:r w:rsidRPr="00A93F26">
        <w:rPr>
          <w:rStyle w:val="FootnoteReference"/>
          <w:rFonts w:cstheme="minorHAnsi"/>
          <w:sz w:val="18"/>
          <w:szCs w:val="18"/>
        </w:rPr>
        <w:footnoteRef/>
      </w:r>
      <w:r w:rsidRPr="00A93F26">
        <w:rPr>
          <w:rFonts w:cstheme="minorHAnsi"/>
          <w:sz w:val="18"/>
          <w:szCs w:val="18"/>
        </w:rPr>
        <w:t xml:space="preserve">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is accredited “A” status by the Global Alliance of National Human Rights Institutions (GANHRI).  </w:t>
      </w:r>
    </w:p>
  </w:footnote>
  <w:footnote w:id="2">
    <w:p w14:paraId="56C9C9FD" w14:textId="2A247FDD" w:rsidR="006E18B6" w:rsidRPr="00A93F26" w:rsidRDefault="006E18B6" w:rsidP="00B86EE8">
      <w:pPr>
        <w:pStyle w:val="FootnoteText"/>
        <w:jc w:val="both"/>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w:t>
      </w:r>
      <w:r w:rsidRPr="00A93F26">
        <w:rPr>
          <w:rFonts w:cstheme="minorHAnsi"/>
          <w:sz w:val="18"/>
          <w:szCs w:val="18"/>
          <w:lang w:val="en-US"/>
        </w:rPr>
        <w:t xml:space="preserve">Older persons are interchangeably referred to as “senior citizens” and “elderly” in this submission. </w:t>
      </w:r>
    </w:p>
  </w:footnote>
  <w:footnote w:id="3">
    <w:p w14:paraId="545C7E75" w14:textId="3E07513D" w:rsidR="006E18B6" w:rsidRPr="00A93F26" w:rsidRDefault="006E18B6" w:rsidP="00B86EE8">
      <w:pPr>
        <w:pStyle w:val="FootnoteText"/>
        <w:jc w:val="both"/>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w:t>
      </w:r>
      <w:r w:rsidRPr="00A93F26">
        <w:rPr>
          <w:rFonts w:cstheme="minorHAnsi"/>
          <w:sz w:val="18"/>
          <w:szCs w:val="18"/>
          <w:lang w:val="en-US"/>
        </w:rPr>
        <w:t>Available online at https://www.officialgazette.gov.ph/constitutions/1987-constitution/</w:t>
      </w:r>
    </w:p>
  </w:footnote>
  <w:footnote w:id="4">
    <w:p w14:paraId="54368DF7" w14:textId="3C9AB2DF" w:rsidR="006E18B6" w:rsidRPr="00A93F26" w:rsidRDefault="006E18B6" w:rsidP="00B86EE8">
      <w:pPr>
        <w:pStyle w:val="FootnoteText"/>
        <w:jc w:val="both"/>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Phil. Const. art. III, s. 2, “The right of the people to be secure in their persons, houses, papers, and effects against unreasonable searches and seizures of whatever nature and for any purpose shall be inviolable…”</w:t>
      </w:r>
    </w:p>
  </w:footnote>
  <w:footnote w:id="5">
    <w:p w14:paraId="6F36926C" w14:textId="1E9C1898" w:rsidR="006E18B6" w:rsidRPr="00A93F26" w:rsidRDefault="006E18B6" w:rsidP="00B86EE8">
      <w:pPr>
        <w:pStyle w:val="FootnoteText"/>
        <w:jc w:val="both"/>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w:t>
      </w:r>
      <w:r w:rsidRPr="00A93F26">
        <w:rPr>
          <w:rFonts w:cstheme="minorHAnsi"/>
          <w:sz w:val="18"/>
          <w:szCs w:val="18"/>
          <w:lang w:val="en-US"/>
        </w:rPr>
        <w:t>Phil. Const. art. III, s. 6, “The liberty of abode and of changing the same within the limits prescribed by law shall not be impaired except upon lawful order of the court. Neither shall the right to travel be impaired except in the interest of national security, public safety, or public health, as may be provided by law.”</w:t>
      </w:r>
    </w:p>
  </w:footnote>
  <w:footnote w:id="6">
    <w:p w14:paraId="6811DEB7" w14:textId="0B89A384" w:rsidR="006E18B6" w:rsidRPr="00A93F26" w:rsidRDefault="006E18B6">
      <w:pPr>
        <w:pStyle w:val="FootnoteText"/>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w:t>
      </w:r>
      <w:r w:rsidRPr="00A93F26">
        <w:rPr>
          <w:rFonts w:cstheme="minorHAnsi"/>
          <w:sz w:val="18"/>
          <w:szCs w:val="18"/>
          <w:lang w:val="en-US"/>
        </w:rPr>
        <w:t>Available online at https://dhsud.gov.ph/wp-content/uploads/Laws_Issuances/01_Laws/RA_11201.pdf</w:t>
      </w:r>
    </w:p>
  </w:footnote>
  <w:footnote w:id="7">
    <w:p w14:paraId="119C973F" w14:textId="62E44561" w:rsidR="006E18B6" w:rsidRPr="008B4E4A" w:rsidRDefault="006E18B6" w:rsidP="008B4E4A">
      <w:pPr>
        <w:pStyle w:val="EndnoteText"/>
        <w:jc w:val="both"/>
        <w:rPr>
          <w:rFonts w:cstheme="minorHAnsi"/>
          <w:sz w:val="16"/>
          <w:szCs w:val="16"/>
        </w:rPr>
      </w:pPr>
      <w:r w:rsidRPr="00A93F26">
        <w:rPr>
          <w:rStyle w:val="FootnoteReference"/>
          <w:rFonts w:cstheme="minorHAnsi"/>
          <w:sz w:val="18"/>
          <w:szCs w:val="18"/>
        </w:rPr>
        <w:footnoteRef/>
      </w:r>
      <w:r w:rsidRPr="00A93F26">
        <w:rPr>
          <w:rFonts w:cstheme="minorHAnsi"/>
          <w:sz w:val="18"/>
          <w:szCs w:val="18"/>
        </w:rPr>
        <w:t xml:space="preserve"> </w:t>
      </w:r>
      <w:r w:rsidR="008B4E4A" w:rsidRPr="00AF445D">
        <w:rPr>
          <w:rFonts w:cstheme="minorHAnsi"/>
          <w:smallCaps/>
          <w:sz w:val="16"/>
          <w:szCs w:val="16"/>
        </w:rPr>
        <w:t>Phil. Const.</w:t>
      </w:r>
      <w:r w:rsidR="008B4E4A" w:rsidRPr="00AF445D">
        <w:rPr>
          <w:rFonts w:cstheme="minorHAnsi"/>
          <w:sz w:val="16"/>
          <w:szCs w:val="16"/>
        </w:rPr>
        <w:t xml:space="preserve"> art. XIII, </w:t>
      </w:r>
      <w:r w:rsidR="008B4E4A">
        <w:rPr>
          <w:rFonts w:cstheme="minorHAnsi"/>
          <w:sz w:val="16"/>
          <w:szCs w:val="16"/>
        </w:rPr>
        <w:t>§</w:t>
      </w:r>
      <w:r w:rsidR="008B4E4A" w:rsidRPr="00AF445D">
        <w:rPr>
          <w:rFonts w:cstheme="minorHAnsi"/>
          <w:sz w:val="16"/>
          <w:szCs w:val="16"/>
        </w:rPr>
        <w:t xml:space="preserve">. </w:t>
      </w:r>
      <w:r w:rsidR="008B4E4A">
        <w:rPr>
          <w:rFonts w:cstheme="minorHAnsi"/>
          <w:sz w:val="16"/>
          <w:szCs w:val="16"/>
        </w:rPr>
        <w:t>2.</w:t>
      </w:r>
    </w:p>
  </w:footnote>
  <w:footnote w:id="8">
    <w:p w14:paraId="59861EF3" w14:textId="3CD58F12" w:rsidR="006E18B6" w:rsidRPr="00A93F26" w:rsidRDefault="006E18B6">
      <w:pPr>
        <w:pStyle w:val="FootnoteText"/>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w:t>
      </w:r>
      <w:r w:rsidRPr="00A93F26">
        <w:rPr>
          <w:rFonts w:cstheme="minorHAnsi"/>
          <w:sz w:val="18"/>
          <w:szCs w:val="18"/>
          <w:lang w:val="en-US"/>
        </w:rPr>
        <w:t>Available online at https://dhsud.gov.ph/irr-ra-11201/</w:t>
      </w:r>
    </w:p>
  </w:footnote>
  <w:footnote w:id="9">
    <w:p w14:paraId="3ECB365D" w14:textId="14E53E70" w:rsidR="006E18B6" w:rsidRPr="00A93F26" w:rsidRDefault="006E18B6">
      <w:pPr>
        <w:pStyle w:val="FootnoteText"/>
        <w:rPr>
          <w:rFonts w:cstheme="minorHAnsi"/>
          <w:sz w:val="18"/>
          <w:szCs w:val="18"/>
          <w:lang w:val="en-US"/>
        </w:rPr>
      </w:pPr>
      <w:r w:rsidRPr="00A93F26">
        <w:rPr>
          <w:rStyle w:val="FootnoteReference"/>
          <w:rFonts w:cstheme="minorHAnsi"/>
          <w:sz w:val="18"/>
          <w:szCs w:val="18"/>
        </w:rPr>
        <w:footnoteRef/>
      </w:r>
      <w:r w:rsidRPr="00A93F26">
        <w:rPr>
          <w:rFonts w:cstheme="minorHAnsi"/>
          <w:sz w:val="18"/>
          <w:szCs w:val="18"/>
        </w:rPr>
        <w:t xml:space="preserve"> </w:t>
      </w:r>
      <w:r w:rsidRPr="00A93F26">
        <w:rPr>
          <w:rFonts w:cstheme="minorHAnsi"/>
          <w:sz w:val="18"/>
          <w:szCs w:val="18"/>
          <w:lang w:val="en-US"/>
        </w:rPr>
        <w:t>Available online at https://www.officialgazette.gov.ph/2010/02/15/republic-act-no-9994/</w:t>
      </w:r>
    </w:p>
  </w:footnote>
  <w:footnote w:id="10">
    <w:p w14:paraId="10FEA4C8" w14:textId="6561F0D0" w:rsidR="006E18B6" w:rsidRPr="0049022D" w:rsidRDefault="006E18B6">
      <w:pPr>
        <w:pStyle w:val="FootnoteText"/>
        <w:rPr>
          <w:sz w:val="18"/>
          <w:szCs w:val="18"/>
          <w:lang w:val="en-US"/>
        </w:rPr>
      </w:pPr>
      <w:r w:rsidRPr="0049022D">
        <w:rPr>
          <w:rStyle w:val="FootnoteReference"/>
          <w:sz w:val="18"/>
          <w:szCs w:val="18"/>
        </w:rPr>
        <w:footnoteRef/>
      </w:r>
      <w:r w:rsidRPr="0049022D">
        <w:rPr>
          <w:sz w:val="18"/>
          <w:szCs w:val="18"/>
        </w:rPr>
        <w:t xml:space="preserve"> </w:t>
      </w:r>
      <w:r w:rsidRPr="0049022D">
        <w:rPr>
          <w:sz w:val="18"/>
          <w:szCs w:val="18"/>
          <w:lang w:val="en-US"/>
        </w:rPr>
        <w:t>Available online at https://www.officialgazette.gov.ph/2002/05/16/executive-order-no-105-s-2002/</w:t>
      </w:r>
    </w:p>
  </w:footnote>
  <w:footnote w:id="11">
    <w:p w14:paraId="3358537F" w14:textId="43E7EC15" w:rsidR="006E18B6" w:rsidRPr="000F3195" w:rsidRDefault="006E18B6" w:rsidP="00866C64">
      <w:pPr>
        <w:pStyle w:val="FootnoteText"/>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lang w:val="en-US"/>
        </w:rPr>
        <w:t>Available online at https://pdp.neda.gov.ph/updated-pdp-2017-2022/</w:t>
      </w:r>
    </w:p>
  </w:footnote>
  <w:footnote w:id="12">
    <w:p w14:paraId="1D13A3DF" w14:textId="4D3BB6D1" w:rsidR="006E18B6" w:rsidRPr="000F3195" w:rsidRDefault="006E18B6" w:rsidP="00866C64">
      <w:pPr>
        <w:pStyle w:val="FootnoteText"/>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lang w:val="en-US"/>
        </w:rPr>
        <w:t xml:space="preserve">Retrieved from: </w:t>
      </w:r>
      <w:hyperlink r:id="rId1" w:history="1">
        <w:r w:rsidRPr="000F3195">
          <w:rPr>
            <w:rStyle w:val="Hyperlink"/>
            <w:rFonts w:cstheme="minorHAnsi"/>
            <w:sz w:val="18"/>
            <w:szCs w:val="18"/>
            <w:lang w:val="en-US"/>
          </w:rPr>
          <w:t>https://hlurb.gov.ph/wp-content/uploads/services/lgu/clup-guidebook/NUDHF%20Full%20Version%20-%20FINAL.pdf</w:t>
        </w:r>
      </w:hyperlink>
      <w:r w:rsidRPr="000F3195">
        <w:rPr>
          <w:rFonts w:cstheme="minorHAnsi"/>
          <w:sz w:val="18"/>
          <w:szCs w:val="18"/>
          <w:lang w:val="en-US"/>
        </w:rPr>
        <w:t xml:space="preserve">, 09 March 2022. (footnotes to be formatted).  </w:t>
      </w:r>
    </w:p>
  </w:footnote>
  <w:footnote w:id="13">
    <w:p w14:paraId="21DCCB12" w14:textId="2F0DEA72" w:rsidR="006E18B6" w:rsidRPr="00E432C2" w:rsidRDefault="006E18B6" w:rsidP="00866C64">
      <w:pPr>
        <w:pStyle w:val="FootnoteText"/>
        <w:rPr>
          <w:lang w:val="en-US"/>
        </w:rPr>
      </w:pPr>
      <w:r>
        <w:rPr>
          <w:rStyle w:val="FootnoteReference"/>
        </w:rPr>
        <w:footnoteRef/>
      </w:r>
      <w:r>
        <w:t xml:space="preserve">Available online at </w:t>
      </w:r>
      <w:hyperlink r:id="rId2" w:history="1">
        <w:r w:rsidRPr="007D7290">
          <w:rPr>
            <w:rStyle w:val="Hyperlink"/>
            <w:lang w:val="en-US"/>
          </w:rPr>
          <w:t>https://dhsud.gov.ph/wp-content/uploads/Publication/shelter/The_Shelter_Issue_June_2021.pdf</w:t>
        </w:r>
      </w:hyperlink>
      <w:r>
        <w:rPr>
          <w:lang w:val="en-US"/>
        </w:rPr>
        <w:t xml:space="preserve"> (last accessed April 26, 2022</w:t>
      </w:r>
    </w:p>
  </w:footnote>
  <w:footnote w:id="14">
    <w:p w14:paraId="3E57ED3E" w14:textId="682358AE" w:rsidR="006E18B6" w:rsidRPr="000F3195" w:rsidRDefault="006E18B6" w:rsidP="00866C64">
      <w:pPr>
        <w:pStyle w:val="FootnoteText"/>
        <w:rPr>
          <w:rFonts w:cstheme="minorHAnsi"/>
          <w:sz w:val="18"/>
          <w:szCs w:val="18"/>
          <w:lang w:val="en-US"/>
        </w:rPr>
      </w:pPr>
      <w:r w:rsidRPr="000F3195">
        <w:rPr>
          <w:rStyle w:val="FootnoteReference"/>
          <w:rFonts w:cstheme="minorHAnsi"/>
          <w:sz w:val="18"/>
          <w:szCs w:val="18"/>
        </w:rPr>
        <w:footnoteRef/>
      </w:r>
      <w:r w:rsidRPr="00866C64">
        <w:rPr>
          <w:rFonts w:cstheme="minorHAnsi"/>
          <w:sz w:val="18"/>
          <w:szCs w:val="18"/>
          <w:lang w:val="en-GB"/>
        </w:rPr>
        <w:t>Department of the Interior and Local Government</w:t>
      </w:r>
      <w:r w:rsidR="00866C64" w:rsidRPr="00866C64">
        <w:rPr>
          <w:rFonts w:cstheme="minorHAnsi"/>
          <w:sz w:val="18"/>
          <w:szCs w:val="18"/>
          <w:lang w:val="en-GB"/>
        </w:rPr>
        <w:t>,</w:t>
      </w:r>
      <w:r w:rsidRPr="00866C64">
        <w:rPr>
          <w:rFonts w:cstheme="minorHAnsi"/>
          <w:sz w:val="18"/>
          <w:szCs w:val="18"/>
          <w:lang w:val="en-GB"/>
        </w:rPr>
        <w:t xml:space="preserve"> </w:t>
      </w:r>
      <w:r w:rsidR="00866C64" w:rsidRPr="00866C64">
        <w:rPr>
          <w:rFonts w:cstheme="minorHAnsi"/>
          <w:sz w:val="18"/>
          <w:szCs w:val="18"/>
          <w:lang w:val="en-GB"/>
        </w:rPr>
        <w:t xml:space="preserve">Implementation of Plans, Programs and Activities for Senior Citizens by Local Government Units, </w:t>
      </w:r>
      <w:r w:rsidR="00866C64" w:rsidRPr="00866C64">
        <w:rPr>
          <w:rFonts w:cstheme="minorHAnsi"/>
          <w:sz w:val="16"/>
          <w:szCs w:val="16"/>
          <w:lang w:val="en-US"/>
        </w:rPr>
        <w:t>[Memorandum Circular No. 2019-81] (Series of 2019).</w:t>
      </w:r>
      <w:r w:rsidR="00866C64">
        <w:rPr>
          <w:rFonts w:cstheme="minorHAnsi"/>
          <w:sz w:val="16"/>
          <w:szCs w:val="16"/>
          <w:lang w:val="en-US"/>
        </w:rPr>
        <w:t xml:space="preserve"> </w:t>
      </w:r>
    </w:p>
  </w:footnote>
  <w:footnote w:id="15">
    <w:p w14:paraId="02FC98F1" w14:textId="154528FD" w:rsidR="006E18B6" w:rsidRPr="000F3195" w:rsidRDefault="006E18B6" w:rsidP="001059DD">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w:t>
      </w:r>
      <w:r w:rsidRPr="000F3195">
        <w:rPr>
          <w:rFonts w:cstheme="minorHAnsi"/>
          <w:sz w:val="18"/>
          <w:szCs w:val="18"/>
          <w:lang w:val="en-US"/>
        </w:rPr>
        <w:t>Available online at https://www.officialgazette.gov.ph/downloads/2019/07jul/20190725-RA-11350-RRD.pdf</w:t>
      </w:r>
    </w:p>
  </w:footnote>
  <w:footnote w:id="16">
    <w:p w14:paraId="0B469F82" w14:textId="4E1BA287" w:rsidR="006E18B6" w:rsidRPr="0049022D" w:rsidRDefault="006E18B6" w:rsidP="001059DD">
      <w:pPr>
        <w:pStyle w:val="FootnoteText"/>
        <w:jc w:val="both"/>
        <w:rPr>
          <w:sz w:val="18"/>
          <w:szCs w:val="18"/>
          <w:lang w:val="en-US"/>
        </w:rPr>
      </w:pPr>
      <w:r w:rsidRPr="0049022D">
        <w:rPr>
          <w:rStyle w:val="FootnoteReference"/>
          <w:sz w:val="18"/>
          <w:szCs w:val="18"/>
        </w:rPr>
        <w:footnoteRef/>
      </w:r>
      <w:r w:rsidRPr="0049022D">
        <w:rPr>
          <w:sz w:val="18"/>
          <w:szCs w:val="18"/>
        </w:rPr>
        <w:t xml:space="preserve"> </w:t>
      </w:r>
      <w:r w:rsidRPr="0049022D">
        <w:rPr>
          <w:sz w:val="18"/>
          <w:szCs w:val="18"/>
          <w:lang w:val="en-US"/>
        </w:rPr>
        <w:t>Available online at https://pcw.gov.ph/republic-act-8425-social-reform-and-poverty-alleviation-act/</w:t>
      </w:r>
    </w:p>
  </w:footnote>
  <w:footnote w:id="17">
    <w:p w14:paraId="019BEA3F" w14:textId="7FEB44A9" w:rsidR="006E18B6" w:rsidRPr="000F3195" w:rsidRDefault="006E18B6" w:rsidP="001059DD">
      <w:pPr>
        <w:pStyle w:val="FootnoteText"/>
        <w:jc w:val="both"/>
        <w:rPr>
          <w:rFonts w:cstheme="minorHAnsi"/>
          <w:sz w:val="18"/>
          <w:szCs w:val="18"/>
          <w:lang w:val="en-US"/>
        </w:rPr>
      </w:pPr>
      <w:r w:rsidRPr="000F3195">
        <w:rPr>
          <w:rStyle w:val="FootnoteReference"/>
          <w:rFonts w:cstheme="minorHAnsi"/>
          <w:sz w:val="18"/>
          <w:szCs w:val="18"/>
        </w:rPr>
        <w:footnoteRef/>
      </w:r>
      <w:r w:rsidRPr="00F9595E">
        <w:rPr>
          <w:rFonts w:cstheme="minorHAnsi"/>
          <w:sz w:val="18"/>
          <w:szCs w:val="18"/>
          <w:lang w:val="en-US"/>
        </w:rPr>
        <w:t xml:space="preserve">An Act Institutionalizing the Social Reform and Poverty Alleviation Program, </w:t>
      </w:r>
      <w:proofErr w:type="gramStart"/>
      <w:r w:rsidRPr="00F9595E">
        <w:rPr>
          <w:rFonts w:cstheme="minorHAnsi"/>
          <w:sz w:val="18"/>
          <w:szCs w:val="18"/>
          <w:lang w:val="en-US"/>
        </w:rPr>
        <w:t>Creating</w:t>
      </w:r>
      <w:proofErr w:type="gramEnd"/>
      <w:r w:rsidRPr="00F9595E">
        <w:rPr>
          <w:rFonts w:cstheme="minorHAnsi"/>
          <w:sz w:val="18"/>
          <w:szCs w:val="18"/>
          <w:lang w:val="en-US"/>
        </w:rPr>
        <w:t xml:space="preserve"> for the Purpose the National Anti-Poverty Commission, Defining its Powers and Functions, and for Other Purposes, </w:t>
      </w:r>
      <w:r w:rsidR="00F9595E" w:rsidRPr="003949B4">
        <w:rPr>
          <w:rFonts w:cstheme="minorHAnsi"/>
          <w:sz w:val="16"/>
          <w:szCs w:val="16"/>
        </w:rPr>
        <w:t>[</w:t>
      </w:r>
      <w:r w:rsidRPr="00F9595E">
        <w:rPr>
          <w:rFonts w:cstheme="minorHAnsi"/>
          <w:sz w:val="18"/>
          <w:szCs w:val="18"/>
          <w:lang w:val="en-US"/>
        </w:rPr>
        <w:t>Social Reform and Poverty Alleviation</w:t>
      </w:r>
      <w:r w:rsidR="00F9595E">
        <w:rPr>
          <w:rFonts w:cstheme="minorHAnsi"/>
          <w:sz w:val="18"/>
          <w:szCs w:val="18"/>
          <w:lang w:val="en-US"/>
        </w:rPr>
        <w:t xml:space="preserve"> Act</w:t>
      </w:r>
      <w:r w:rsidR="00F9595E" w:rsidRPr="003949B4">
        <w:rPr>
          <w:rFonts w:cstheme="minorHAnsi"/>
          <w:sz w:val="16"/>
          <w:szCs w:val="16"/>
        </w:rPr>
        <w:t>]</w:t>
      </w:r>
      <w:r w:rsidR="00F9595E" w:rsidRPr="003949B4">
        <w:rPr>
          <w:sz w:val="16"/>
          <w:szCs w:val="16"/>
        </w:rPr>
        <w:t>,</w:t>
      </w:r>
      <w:r w:rsidRPr="00F9595E">
        <w:rPr>
          <w:rFonts w:cstheme="minorHAnsi"/>
          <w:sz w:val="18"/>
          <w:szCs w:val="18"/>
          <w:lang w:val="en-US"/>
        </w:rPr>
        <w:t xml:space="preserve"> R</w:t>
      </w:r>
      <w:r w:rsidR="00F9595E">
        <w:rPr>
          <w:rFonts w:cstheme="minorHAnsi"/>
          <w:sz w:val="18"/>
          <w:szCs w:val="18"/>
          <w:lang w:val="en-US"/>
        </w:rPr>
        <w:t xml:space="preserve">epublic Act </w:t>
      </w:r>
      <w:r w:rsidRPr="00F9595E">
        <w:rPr>
          <w:rFonts w:cstheme="minorHAnsi"/>
          <w:sz w:val="18"/>
          <w:szCs w:val="18"/>
          <w:lang w:val="en-US"/>
        </w:rPr>
        <w:t>8425</w:t>
      </w:r>
      <w:r w:rsidR="00F9595E">
        <w:rPr>
          <w:rFonts w:cstheme="minorHAnsi"/>
          <w:sz w:val="18"/>
          <w:szCs w:val="18"/>
          <w:lang w:val="en-US"/>
        </w:rPr>
        <w:t xml:space="preserve">, </w:t>
      </w:r>
      <w:r w:rsidR="00F9595E" w:rsidRPr="003949B4">
        <w:rPr>
          <w:sz w:val="16"/>
          <w:szCs w:val="16"/>
        </w:rPr>
        <w:t>§</w:t>
      </w:r>
      <w:r w:rsidR="00F9595E">
        <w:rPr>
          <w:sz w:val="16"/>
          <w:szCs w:val="16"/>
        </w:rPr>
        <w:t>3 (1998).</w:t>
      </w:r>
    </w:p>
  </w:footnote>
  <w:footnote w:id="18">
    <w:p w14:paraId="3E436CCE" w14:textId="32CBB317" w:rsidR="006E18B6" w:rsidRPr="001059DD" w:rsidRDefault="006E18B6" w:rsidP="001059DD">
      <w:pPr>
        <w:pStyle w:val="FootnoteText"/>
        <w:tabs>
          <w:tab w:val="center" w:pos="4680"/>
        </w:tabs>
        <w:jc w:val="both"/>
        <w:rPr>
          <w:rFonts w:cstheme="minorHAnsi"/>
          <w:sz w:val="18"/>
          <w:szCs w:val="18"/>
          <w:lang w:val="en-US"/>
        </w:rPr>
      </w:pPr>
      <w:r w:rsidRPr="001059DD">
        <w:rPr>
          <w:rStyle w:val="FootnoteReference"/>
          <w:rFonts w:cstheme="minorHAnsi"/>
          <w:sz w:val="18"/>
          <w:szCs w:val="18"/>
        </w:rPr>
        <w:footnoteRef/>
      </w:r>
      <w:r w:rsidR="00AD2A7E" w:rsidRPr="001059DD">
        <w:rPr>
          <w:rFonts w:cstheme="minorHAnsi"/>
          <w:sz w:val="18"/>
          <w:szCs w:val="18"/>
        </w:rPr>
        <w:t>Housing and Urban Development C</w:t>
      </w:r>
      <w:r w:rsidR="001059DD" w:rsidRPr="001059DD">
        <w:rPr>
          <w:rFonts w:cstheme="minorHAnsi"/>
          <w:sz w:val="18"/>
          <w:szCs w:val="18"/>
        </w:rPr>
        <w:t xml:space="preserve">oordinating Council and Housing and Land Use Regulatory Board, Rules and Regulations of the Department of Human Settlements and Urban Development Act, Republic Act. No. 11201, </w:t>
      </w:r>
      <w:r w:rsidR="001059DD" w:rsidRPr="001059DD">
        <w:rPr>
          <w:sz w:val="16"/>
          <w:szCs w:val="16"/>
        </w:rPr>
        <w:t>§ 20.3</w:t>
      </w:r>
      <w:r w:rsidRPr="001059DD">
        <w:rPr>
          <w:rFonts w:cstheme="minorHAnsi"/>
          <w:sz w:val="18"/>
          <w:szCs w:val="18"/>
        </w:rPr>
        <w:t xml:space="preserve"> </w:t>
      </w:r>
      <w:r w:rsidR="001059DD" w:rsidRPr="001059DD">
        <w:rPr>
          <w:rFonts w:cstheme="minorHAnsi"/>
          <w:sz w:val="18"/>
          <w:szCs w:val="18"/>
        </w:rPr>
        <w:t>(2019).</w:t>
      </w:r>
    </w:p>
  </w:footnote>
  <w:footnote w:id="19">
    <w:p w14:paraId="799DBB58" w14:textId="5D0D5BD5" w:rsidR="006E18B6" w:rsidRPr="000F3195" w:rsidRDefault="006E18B6" w:rsidP="001059DD">
      <w:pPr>
        <w:pStyle w:val="FootnoteText"/>
        <w:jc w:val="both"/>
        <w:rPr>
          <w:rFonts w:cstheme="minorHAnsi"/>
          <w:b/>
          <w:sz w:val="18"/>
          <w:szCs w:val="18"/>
          <w:lang w:val="en-US"/>
        </w:rPr>
      </w:pPr>
      <w:r w:rsidRPr="000F3195">
        <w:rPr>
          <w:rStyle w:val="FootnoteReference"/>
          <w:rFonts w:cstheme="minorHAnsi"/>
          <w:sz w:val="18"/>
          <w:szCs w:val="18"/>
        </w:rPr>
        <w:footnoteRef/>
      </w:r>
      <w:r w:rsidRPr="000F3195">
        <w:rPr>
          <w:rFonts w:cstheme="minorHAnsi"/>
          <w:sz w:val="18"/>
          <w:szCs w:val="18"/>
        </w:rPr>
        <w:t xml:space="preserve"> PSA (June 3, 2020). Farmers, fisherfolks, individuals residing in rural areas and children posted the highest poverty incidences among the basic sectors in 2018. Retrieved from </w:t>
      </w:r>
      <w:proofErr w:type="gramStart"/>
      <w:r w:rsidRPr="000F3195">
        <w:rPr>
          <w:rFonts w:cstheme="minorHAnsi"/>
          <w:sz w:val="18"/>
          <w:szCs w:val="18"/>
        </w:rPr>
        <w:t>https://psa.gov.ph/poverty-pressreleases/nid/162541 ,</w:t>
      </w:r>
      <w:proofErr w:type="gramEnd"/>
      <w:r w:rsidRPr="000F3195">
        <w:rPr>
          <w:rFonts w:cstheme="minorHAnsi"/>
          <w:sz w:val="18"/>
          <w:szCs w:val="18"/>
        </w:rPr>
        <w:t xml:space="preserve"> 26 January 2022. </w:t>
      </w:r>
    </w:p>
  </w:footnote>
  <w:footnote w:id="20">
    <w:p w14:paraId="423F0E59" w14:textId="77777777" w:rsidR="006E18B6" w:rsidRPr="009E37F7" w:rsidRDefault="006E18B6" w:rsidP="001059DD">
      <w:pPr>
        <w:pStyle w:val="FootnoteText"/>
        <w:jc w:val="both"/>
        <w:rPr>
          <w:sz w:val="18"/>
          <w:szCs w:val="18"/>
          <w:lang w:val="en-US"/>
        </w:rPr>
      </w:pPr>
      <w:r w:rsidRPr="009E37F7">
        <w:rPr>
          <w:rStyle w:val="FootnoteReference"/>
          <w:sz w:val="18"/>
          <w:szCs w:val="18"/>
        </w:rPr>
        <w:footnoteRef/>
      </w:r>
      <w:r w:rsidRPr="009E37F7">
        <w:rPr>
          <w:sz w:val="18"/>
          <w:szCs w:val="18"/>
        </w:rPr>
        <w:t xml:space="preserve"> Coalition of Services of the Elderly, Inc., The Feasibility of a Universal Social Pension in the Philippines, Janu</w:t>
      </w:r>
      <w:r>
        <w:rPr>
          <w:sz w:val="18"/>
          <w:szCs w:val="18"/>
        </w:rPr>
        <w:t>a</w:t>
      </w:r>
      <w:r w:rsidRPr="009E37F7">
        <w:rPr>
          <w:sz w:val="18"/>
          <w:szCs w:val="18"/>
        </w:rPr>
        <w:t>ry 2017, available at</w:t>
      </w:r>
      <w:r>
        <w:rPr>
          <w:sz w:val="18"/>
          <w:szCs w:val="18"/>
        </w:rPr>
        <w:t xml:space="preserve"> </w:t>
      </w:r>
      <w:r w:rsidRPr="009E37F7">
        <w:rPr>
          <w:sz w:val="18"/>
          <w:szCs w:val="18"/>
        </w:rPr>
        <w:t>http://cose.org.ph/uploads/files/4a03ff6ec1f67086b191894558b8471b.pdf (last accessed Mar. 27, 2020).</w:t>
      </w:r>
    </w:p>
  </w:footnote>
  <w:footnote w:id="21">
    <w:p w14:paraId="0816408E" w14:textId="77777777" w:rsidR="006E18B6" w:rsidRPr="009E37F7" w:rsidRDefault="006E18B6" w:rsidP="001059DD">
      <w:pPr>
        <w:pStyle w:val="FootnoteText"/>
        <w:jc w:val="both"/>
        <w:rPr>
          <w:sz w:val="18"/>
          <w:szCs w:val="18"/>
          <w:lang w:val="en-US"/>
        </w:rPr>
      </w:pPr>
      <w:r w:rsidRPr="009E37F7">
        <w:rPr>
          <w:rStyle w:val="FootnoteReference"/>
          <w:sz w:val="18"/>
          <w:szCs w:val="18"/>
        </w:rPr>
        <w:footnoteRef/>
      </w:r>
      <w:r w:rsidRPr="009E37F7">
        <w:rPr>
          <w:sz w:val="18"/>
          <w:szCs w:val="18"/>
        </w:rPr>
        <w:t xml:space="preserve"> Christian Joy P. Cruz, Chapter 7: Economic Well-Being, Ageing and Health in the Philippines, at 108, available at https://www.eria.org/publications/ageing-and-health-in-the-philippines/ (last accessed Mar. 27, 2020).</w:t>
      </w:r>
    </w:p>
  </w:footnote>
  <w:footnote w:id="22">
    <w:p w14:paraId="019A05E2" w14:textId="77777777" w:rsidR="006E18B6" w:rsidRPr="009F17C7" w:rsidRDefault="006E18B6" w:rsidP="001059DD">
      <w:pPr>
        <w:pStyle w:val="FootnoteText"/>
        <w:jc w:val="both"/>
        <w:rPr>
          <w:sz w:val="18"/>
          <w:szCs w:val="18"/>
          <w:lang w:val="en-US"/>
        </w:rPr>
      </w:pPr>
      <w:r w:rsidRPr="009F17C7">
        <w:rPr>
          <w:rStyle w:val="FootnoteReference"/>
          <w:sz w:val="18"/>
          <w:szCs w:val="18"/>
        </w:rPr>
        <w:footnoteRef/>
      </w:r>
      <w:r w:rsidRPr="009F17C7">
        <w:rPr>
          <w:sz w:val="18"/>
          <w:szCs w:val="18"/>
        </w:rPr>
        <w:t xml:space="preserve"> </w:t>
      </w:r>
      <w:r w:rsidRPr="009F17C7">
        <w:rPr>
          <w:sz w:val="18"/>
          <w:szCs w:val="18"/>
          <w:lang w:val="en-US"/>
        </w:rPr>
        <w:t>Available online at https://www.officialgazette.gov.ph/downloads/2016/07jul/20160721-RA-10911-BSA.pdf</w:t>
      </w:r>
    </w:p>
  </w:footnote>
  <w:footnote w:id="23">
    <w:p w14:paraId="1EAD7951" w14:textId="77777777" w:rsidR="006E18B6" w:rsidRPr="000F3195" w:rsidRDefault="006E18B6" w:rsidP="00253393">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Ibid.</w:t>
      </w:r>
    </w:p>
  </w:footnote>
  <w:footnote w:id="24">
    <w:p w14:paraId="0013D4D2" w14:textId="38B17B92" w:rsidR="006E18B6" w:rsidRPr="007E6576" w:rsidRDefault="006E18B6" w:rsidP="00253393">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w:t>
      </w:r>
      <w:r w:rsidR="005F3A34" w:rsidRPr="00AF445D">
        <w:rPr>
          <w:rFonts w:cstheme="minorHAnsi"/>
          <w:smallCaps/>
          <w:sz w:val="16"/>
          <w:szCs w:val="16"/>
        </w:rPr>
        <w:t>Phil. Const.</w:t>
      </w:r>
      <w:r w:rsidR="005F3A34" w:rsidRPr="00AF445D">
        <w:rPr>
          <w:rFonts w:cstheme="minorHAnsi"/>
          <w:sz w:val="16"/>
          <w:szCs w:val="16"/>
        </w:rPr>
        <w:t xml:space="preserve"> art. X</w:t>
      </w:r>
      <w:r w:rsidR="00CA2A1D">
        <w:rPr>
          <w:rFonts w:cstheme="minorHAnsi"/>
          <w:sz w:val="16"/>
          <w:szCs w:val="16"/>
        </w:rPr>
        <w:t>V</w:t>
      </w:r>
      <w:r w:rsidR="005F3A34" w:rsidRPr="00AF445D">
        <w:rPr>
          <w:rFonts w:cstheme="minorHAnsi"/>
          <w:sz w:val="16"/>
          <w:szCs w:val="16"/>
        </w:rPr>
        <w:t xml:space="preserve">, </w:t>
      </w:r>
      <w:r w:rsidR="005F3A34">
        <w:rPr>
          <w:rFonts w:cstheme="minorHAnsi"/>
          <w:sz w:val="16"/>
          <w:szCs w:val="16"/>
        </w:rPr>
        <w:t>§</w:t>
      </w:r>
      <w:r w:rsidR="005F3A34" w:rsidRPr="00AF445D">
        <w:rPr>
          <w:rFonts w:cstheme="minorHAnsi"/>
          <w:sz w:val="16"/>
          <w:szCs w:val="16"/>
        </w:rPr>
        <w:t xml:space="preserve">. </w:t>
      </w:r>
      <w:r w:rsidR="00CA2A1D">
        <w:rPr>
          <w:rFonts w:cstheme="minorHAnsi"/>
          <w:sz w:val="16"/>
          <w:szCs w:val="16"/>
        </w:rPr>
        <w:t>4.</w:t>
      </w:r>
    </w:p>
  </w:footnote>
  <w:footnote w:id="25">
    <w:p w14:paraId="1CF86A90" w14:textId="322589E5" w:rsidR="006E18B6" w:rsidRPr="000F3195" w:rsidRDefault="006E18B6" w:rsidP="00253393">
      <w:pPr>
        <w:pStyle w:val="FootnoteText"/>
        <w:jc w:val="both"/>
        <w:rPr>
          <w:rFonts w:cstheme="minorHAnsi"/>
          <w:sz w:val="18"/>
          <w:szCs w:val="18"/>
          <w:lang w:val="en-US"/>
        </w:rPr>
      </w:pPr>
      <w:r w:rsidRPr="00143A5B">
        <w:rPr>
          <w:rStyle w:val="FootnoteReference"/>
          <w:rFonts w:cstheme="minorHAnsi"/>
          <w:sz w:val="18"/>
          <w:szCs w:val="18"/>
        </w:rPr>
        <w:footnoteRef/>
      </w:r>
      <w:r w:rsidRPr="00143A5B">
        <w:rPr>
          <w:rFonts w:cstheme="minorHAnsi"/>
          <w:sz w:val="18"/>
          <w:szCs w:val="18"/>
        </w:rPr>
        <w:t xml:space="preserve"> HelpAge paper</w:t>
      </w:r>
      <w:r w:rsidRPr="000F3195">
        <w:rPr>
          <w:rFonts w:cstheme="minorHAnsi"/>
          <w:sz w:val="18"/>
          <w:szCs w:val="18"/>
        </w:rPr>
        <w:t xml:space="preserve"> submission for the Expert Group Meeting on “Affordable housing and social protection systems for all to address homelessness”, 22-24 May 2019 (available at </w:t>
      </w:r>
      <w:hyperlink r:id="rId3" w:history="1">
        <w:r w:rsidRPr="000F3195">
          <w:rPr>
            <w:rStyle w:val="Hyperlink"/>
            <w:rFonts w:cstheme="minorHAnsi"/>
            <w:sz w:val="18"/>
            <w:szCs w:val="18"/>
          </w:rPr>
          <w:t>https://www.un.org/development/desa/dspd/wp-content/uploads/sites/22/2019/05/KIHUMBA-Roseline.pdf</w:t>
        </w:r>
      </w:hyperlink>
      <w:r w:rsidRPr="000F3195">
        <w:rPr>
          <w:rFonts w:cstheme="minorHAnsi"/>
          <w:sz w:val="18"/>
          <w:szCs w:val="18"/>
        </w:rPr>
        <w:t xml:space="preserve">, last accessed on 23 April 2022) </w:t>
      </w:r>
    </w:p>
  </w:footnote>
  <w:footnote w:id="26">
    <w:p w14:paraId="3317F384" w14:textId="41D8F529" w:rsidR="006E18B6" w:rsidRPr="000F3195" w:rsidRDefault="006E18B6" w:rsidP="00253393">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Albert, J.R.G., </w:t>
      </w:r>
      <w:proofErr w:type="spellStart"/>
      <w:r w:rsidRPr="000F3195">
        <w:rPr>
          <w:rFonts w:cstheme="minorHAnsi"/>
          <w:sz w:val="18"/>
          <w:szCs w:val="18"/>
        </w:rPr>
        <w:t>Monje</w:t>
      </w:r>
      <w:proofErr w:type="spellEnd"/>
      <w:r w:rsidRPr="000F3195">
        <w:rPr>
          <w:rFonts w:cstheme="minorHAnsi"/>
          <w:sz w:val="18"/>
          <w:szCs w:val="18"/>
        </w:rPr>
        <w:t xml:space="preserve">, J.D., and Muñoz, M.S. (2021). </w:t>
      </w:r>
      <w:proofErr w:type="spellStart"/>
      <w:r w:rsidRPr="000F3195">
        <w:rPr>
          <w:rFonts w:cstheme="minorHAnsi"/>
          <w:sz w:val="18"/>
          <w:szCs w:val="18"/>
        </w:rPr>
        <w:t>SocPen</w:t>
      </w:r>
      <w:proofErr w:type="spellEnd"/>
      <w:r w:rsidRPr="000F3195">
        <w:rPr>
          <w:rFonts w:cstheme="minorHAnsi"/>
          <w:sz w:val="18"/>
          <w:szCs w:val="18"/>
        </w:rPr>
        <w:t xml:space="preserve"> beyond Ten: A process evaluation of the DSWD Social Pension (</w:t>
      </w:r>
      <w:proofErr w:type="spellStart"/>
      <w:r w:rsidRPr="000F3195">
        <w:rPr>
          <w:rFonts w:cstheme="minorHAnsi"/>
          <w:sz w:val="18"/>
          <w:szCs w:val="18"/>
        </w:rPr>
        <w:t>SocPen</w:t>
      </w:r>
      <w:proofErr w:type="spellEnd"/>
      <w:r w:rsidRPr="000F3195">
        <w:rPr>
          <w:rFonts w:cstheme="minorHAnsi"/>
          <w:sz w:val="18"/>
          <w:szCs w:val="18"/>
        </w:rPr>
        <w:t xml:space="preserve">) program for indigent senior citizens amid the COVID-19 pandemic. PIDS Discussion Paper Series No. 2021-31. Available at: </w:t>
      </w:r>
      <w:hyperlink r:id="rId4" w:history="1">
        <w:r w:rsidRPr="000F3195">
          <w:rPr>
            <w:rStyle w:val="Hyperlink"/>
            <w:rFonts w:cstheme="minorHAnsi"/>
            <w:sz w:val="18"/>
            <w:szCs w:val="18"/>
          </w:rPr>
          <w:t>https://serp-p.pids.gov.ph/publication_detail?id=7578</w:t>
        </w:r>
      </w:hyperlink>
      <w:r w:rsidRPr="000F3195">
        <w:rPr>
          <w:rFonts w:cstheme="minorHAnsi"/>
          <w:sz w:val="18"/>
          <w:szCs w:val="18"/>
        </w:rPr>
        <w:t xml:space="preserve"> </w:t>
      </w:r>
    </w:p>
  </w:footnote>
  <w:footnote w:id="27">
    <w:p w14:paraId="7A6B2725" w14:textId="2A0B34E5" w:rsidR="006E18B6" w:rsidRPr="000F3195" w:rsidRDefault="006E18B6" w:rsidP="00253393">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Cruz, G.T., Cruz, C.J.P. and Saito, Y. (eds.) (2019). Ageing and Health in the Philippines. Jakarta: Economic Research Institute for ASEAN and East Asia. Available at: </w:t>
      </w:r>
      <w:hyperlink r:id="rId5" w:history="1">
        <w:r w:rsidRPr="000F3195">
          <w:rPr>
            <w:rStyle w:val="Hyperlink"/>
            <w:rFonts w:cstheme="minorHAnsi"/>
            <w:sz w:val="18"/>
            <w:szCs w:val="18"/>
          </w:rPr>
          <w:t>https://www.eria.org/uploads/media/Books/2019- Dec-ERIA-Ageing-And-Health-In-The-Philippines.pdf</w:t>
        </w:r>
      </w:hyperlink>
      <w:r w:rsidRPr="000F3195">
        <w:rPr>
          <w:rFonts w:cstheme="minorHAnsi"/>
          <w:sz w:val="18"/>
          <w:szCs w:val="18"/>
        </w:rPr>
        <w:t xml:space="preserve"> </w:t>
      </w:r>
    </w:p>
  </w:footnote>
  <w:footnote w:id="28">
    <w:p w14:paraId="21A88D0A" w14:textId="38E19CFD" w:rsidR="006E18B6" w:rsidRPr="00941D92" w:rsidRDefault="006E18B6" w:rsidP="00253393">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Cruz, Cruz and Saito (2019)</w:t>
      </w:r>
      <w:r w:rsidRPr="00941D92">
        <w:rPr>
          <w:rFonts w:cstheme="minorHAnsi"/>
          <w:b/>
          <w:sz w:val="18"/>
          <w:szCs w:val="18"/>
        </w:rPr>
        <w:t>)</w:t>
      </w:r>
    </w:p>
  </w:footnote>
  <w:footnote w:id="29">
    <w:p w14:paraId="6CD3788C" w14:textId="77777777" w:rsidR="006E18B6" w:rsidRPr="00941D92" w:rsidRDefault="006E18B6" w:rsidP="00253393">
      <w:pPr>
        <w:pStyle w:val="FootnoteText"/>
        <w:jc w:val="both"/>
        <w:rPr>
          <w:sz w:val="18"/>
          <w:szCs w:val="18"/>
          <w:lang w:val="en-US"/>
        </w:rPr>
      </w:pPr>
      <w:r w:rsidRPr="00941D92">
        <w:rPr>
          <w:rStyle w:val="FootnoteReference"/>
          <w:sz w:val="18"/>
          <w:szCs w:val="18"/>
        </w:rPr>
        <w:footnoteRef/>
      </w:r>
      <w:r w:rsidRPr="00941D92">
        <w:rPr>
          <w:sz w:val="18"/>
          <w:szCs w:val="18"/>
        </w:rPr>
        <w:t xml:space="preserve"> </w:t>
      </w:r>
      <w:r w:rsidRPr="00941D92">
        <w:rPr>
          <w:sz w:val="18"/>
          <w:szCs w:val="18"/>
          <w:lang w:val="en-US"/>
        </w:rPr>
        <w:t>HDMF is a government-owned and controlled corporation.</w:t>
      </w:r>
    </w:p>
  </w:footnote>
  <w:footnote w:id="30">
    <w:p w14:paraId="4F155C9A" w14:textId="460831D0" w:rsidR="006E18B6" w:rsidRPr="00941D92" w:rsidRDefault="006E18B6" w:rsidP="00253393">
      <w:pPr>
        <w:pStyle w:val="FootnoteText"/>
        <w:jc w:val="both"/>
        <w:rPr>
          <w:sz w:val="18"/>
          <w:szCs w:val="18"/>
          <w:lang w:val="en-US"/>
        </w:rPr>
      </w:pPr>
      <w:r w:rsidRPr="00941D92">
        <w:rPr>
          <w:rStyle w:val="FootnoteReference"/>
          <w:sz w:val="18"/>
          <w:szCs w:val="18"/>
        </w:rPr>
        <w:footnoteRef/>
      </w:r>
      <w:r w:rsidRPr="00941D92">
        <w:rPr>
          <w:sz w:val="18"/>
          <w:szCs w:val="18"/>
        </w:rPr>
        <w:t xml:space="preserve"> </w:t>
      </w:r>
      <w:r w:rsidRPr="00941D92">
        <w:rPr>
          <w:sz w:val="18"/>
          <w:szCs w:val="18"/>
          <w:lang w:val="en-US"/>
        </w:rPr>
        <w:t>The Philippine Guarantee Corporation is a government-owned and controlled corporation.</w:t>
      </w:r>
    </w:p>
  </w:footnote>
  <w:footnote w:id="31">
    <w:p w14:paraId="369C46E2" w14:textId="63B01C92" w:rsidR="006E18B6" w:rsidRPr="000F3195" w:rsidRDefault="006E18B6" w:rsidP="00253393">
      <w:pPr>
        <w:pStyle w:val="FootnoteText"/>
        <w:jc w:val="both"/>
        <w:rPr>
          <w:rFonts w:cstheme="minorHAnsi"/>
          <w:sz w:val="18"/>
          <w:szCs w:val="18"/>
          <w:lang w:val="en-US"/>
        </w:rPr>
      </w:pPr>
      <w:r w:rsidRPr="00941D92">
        <w:rPr>
          <w:rStyle w:val="FootnoteReference"/>
          <w:rFonts w:cstheme="minorHAnsi"/>
          <w:sz w:val="18"/>
          <w:szCs w:val="18"/>
        </w:rPr>
        <w:footnoteRef/>
      </w:r>
      <w:r w:rsidRPr="00941D92">
        <w:rPr>
          <w:rFonts w:cstheme="minorHAnsi"/>
          <w:sz w:val="18"/>
          <w:szCs w:val="18"/>
        </w:rPr>
        <w:t xml:space="preserve"> </w:t>
      </w:r>
      <w:r w:rsidRPr="00941D92">
        <w:rPr>
          <w:rFonts w:cstheme="minorHAnsi"/>
          <w:sz w:val="18"/>
          <w:szCs w:val="18"/>
          <w:lang w:val="en-US"/>
        </w:rPr>
        <w:t>Letter from President and C</w:t>
      </w:r>
      <w:r w:rsidR="00890F4A">
        <w:rPr>
          <w:rFonts w:cstheme="minorHAnsi"/>
          <w:sz w:val="18"/>
          <w:szCs w:val="18"/>
          <w:lang w:val="en-US"/>
        </w:rPr>
        <w:t>hief Executive Officer</w:t>
      </w:r>
      <w:r w:rsidRPr="00941D92">
        <w:rPr>
          <w:rFonts w:cstheme="minorHAnsi"/>
          <w:sz w:val="18"/>
          <w:szCs w:val="18"/>
          <w:lang w:val="en-US"/>
        </w:rPr>
        <w:t xml:space="preserve"> Alberto E. Pascual to Commissioner Karen (Mar. 07, 2022</w:t>
      </w:r>
      <w:r w:rsidRPr="000F3195">
        <w:rPr>
          <w:rFonts w:cstheme="minorHAnsi"/>
          <w:sz w:val="18"/>
          <w:szCs w:val="18"/>
          <w:lang w:val="en-US"/>
        </w:rPr>
        <w:t>) (on file with Author).</w:t>
      </w:r>
    </w:p>
  </w:footnote>
  <w:footnote w:id="32">
    <w:p w14:paraId="151D4563" w14:textId="601DA253" w:rsidR="006E18B6" w:rsidRPr="000F3195" w:rsidRDefault="006E18B6" w:rsidP="00253393">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w:t>
      </w:r>
      <w:r w:rsidRPr="00E432C2">
        <w:rPr>
          <w:rFonts w:cstheme="minorHAnsi"/>
          <w:sz w:val="18"/>
          <w:szCs w:val="18"/>
          <w:lang w:val="en-US"/>
        </w:rPr>
        <w:t xml:space="preserve">Memorandum from </w:t>
      </w:r>
      <w:r w:rsidR="00CA2A1D">
        <w:rPr>
          <w:rFonts w:cstheme="minorHAnsi"/>
          <w:sz w:val="18"/>
          <w:szCs w:val="18"/>
          <w:lang w:val="en-US"/>
        </w:rPr>
        <w:t xml:space="preserve">Director </w:t>
      </w:r>
      <w:proofErr w:type="spellStart"/>
      <w:r w:rsidR="00CA2A1D">
        <w:rPr>
          <w:rFonts w:cstheme="minorHAnsi"/>
          <w:sz w:val="18"/>
          <w:szCs w:val="18"/>
          <w:lang w:val="en-US"/>
        </w:rPr>
        <w:t>Renante</w:t>
      </w:r>
      <w:proofErr w:type="spellEnd"/>
      <w:r w:rsidR="00CA2A1D">
        <w:rPr>
          <w:rFonts w:cstheme="minorHAnsi"/>
          <w:sz w:val="18"/>
          <w:szCs w:val="18"/>
          <w:lang w:val="en-US"/>
        </w:rPr>
        <w:t xml:space="preserve"> A. </w:t>
      </w:r>
      <w:proofErr w:type="spellStart"/>
      <w:r w:rsidR="00CA2A1D">
        <w:rPr>
          <w:rFonts w:cstheme="minorHAnsi"/>
          <w:sz w:val="18"/>
          <w:szCs w:val="18"/>
          <w:lang w:val="en-US"/>
        </w:rPr>
        <w:t>Basas</w:t>
      </w:r>
      <w:proofErr w:type="spellEnd"/>
      <w:r w:rsidR="00CA2A1D">
        <w:rPr>
          <w:rFonts w:cstheme="minorHAnsi"/>
          <w:sz w:val="18"/>
          <w:szCs w:val="18"/>
          <w:lang w:val="en-US"/>
        </w:rPr>
        <w:t xml:space="preserve">, M.D. to Atty. Gemma </w:t>
      </w:r>
      <w:proofErr w:type="spellStart"/>
      <w:r w:rsidR="00CA2A1D">
        <w:rPr>
          <w:rFonts w:cstheme="minorHAnsi"/>
          <w:sz w:val="18"/>
          <w:szCs w:val="18"/>
          <w:lang w:val="en-US"/>
        </w:rPr>
        <w:t>Parojinog</w:t>
      </w:r>
      <w:proofErr w:type="spellEnd"/>
      <w:r w:rsidR="00CA2A1D">
        <w:rPr>
          <w:rFonts w:cstheme="minorHAnsi"/>
          <w:sz w:val="18"/>
          <w:szCs w:val="18"/>
          <w:lang w:val="en-US"/>
        </w:rPr>
        <w:t xml:space="preserve"> (</w:t>
      </w:r>
      <w:r w:rsidRPr="00E432C2">
        <w:rPr>
          <w:rFonts w:cstheme="minorHAnsi"/>
          <w:sz w:val="18"/>
          <w:szCs w:val="18"/>
          <w:lang w:val="en-US"/>
        </w:rPr>
        <w:t>Mar</w:t>
      </w:r>
      <w:r w:rsidR="00CA2A1D">
        <w:rPr>
          <w:rFonts w:cstheme="minorHAnsi"/>
          <w:sz w:val="18"/>
          <w:szCs w:val="18"/>
          <w:lang w:val="en-US"/>
        </w:rPr>
        <w:t>. 11,</w:t>
      </w:r>
      <w:r w:rsidRPr="00E432C2">
        <w:rPr>
          <w:rFonts w:cstheme="minorHAnsi"/>
          <w:sz w:val="18"/>
          <w:szCs w:val="18"/>
          <w:lang w:val="en-US"/>
        </w:rPr>
        <w:t xml:space="preserve"> 2022</w:t>
      </w:r>
      <w:r w:rsidR="00CA2A1D">
        <w:rPr>
          <w:rFonts w:cstheme="minorHAnsi"/>
          <w:sz w:val="18"/>
          <w:szCs w:val="18"/>
          <w:lang w:val="en-US"/>
        </w:rPr>
        <w:t>) (on file with Author).</w:t>
      </w:r>
      <w:r w:rsidRPr="000F3195">
        <w:rPr>
          <w:rFonts w:cstheme="minorHAnsi"/>
          <w:b/>
          <w:sz w:val="18"/>
          <w:szCs w:val="18"/>
          <w:lang w:val="en-US"/>
        </w:rPr>
        <w:t xml:space="preserve"> </w:t>
      </w:r>
    </w:p>
  </w:footnote>
  <w:footnote w:id="33">
    <w:p w14:paraId="611741A2" w14:textId="7E23245E" w:rsidR="006E18B6" w:rsidRPr="00941D92" w:rsidRDefault="006E18B6">
      <w:pPr>
        <w:pStyle w:val="FootnoteText"/>
        <w:rPr>
          <w:sz w:val="18"/>
          <w:szCs w:val="18"/>
          <w:lang w:val="en-US"/>
        </w:rPr>
      </w:pPr>
      <w:r w:rsidRPr="00F90D1E">
        <w:rPr>
          <w:rStyle w:val="FootnoteReference"/>
          <w:sz w:val="18"/>
          <w:szCs w:val="18"/>
        </w:rPr>
        <w:footnoteRef/>
      </w:r>
      <w:r w:rsidRPr="00F90D1E">
        <w:rPr>
          <w:sz w:val="18"/>
          <w:szCs w:val="18"/>
        </w:rPr>
        <w:t xml:space="preserve"> </w:t>
      </w:r>
      <w:r w:rsidRPr="00F90D1E">
        <w:rPr>
          <w:sz w:val="18"/>
          <w:szCs w:val="18"/>
          <w:lang w:val="en-US"/>
        </w:rPr>
        <w:t xml:space="preserve">Rina Chandran, ‘Driven from home, Philippine indigenous people long for their land,’ </w:t>
      </w:r>
      <w:r w:rsidRPr="00F90D1E">
        <w:rPr>
          <w:i/>
          <w:iCs/>
          <w:sz w:val="18"/>
          <w:szCs w:val="18"/>
          <w:lang w:val="en-US"/>
        </w:rPr>
        <w:t xml:space="preserve">Thomson Reuters, </w:t>
      </w:r>
      <w:r w:rsidRPr="00F90D1E">
        <w:rPr>
          <w:sz w:val="18"/>
          <w:szCs w:val="18"/>
          <w:lang w:val="en-US"/>
        </w:rPr>
        <w:t xml:space="preserve">available online at </w:t>
      </w:r>
      <w:hyperlink r:id="rId6" w:history="1">
        <w:r w:rsidRPr="00F90D1E">
          <w:rPr>
            <w:rStyle w:val="Hyperlink"/>
            <w:sz w:val="18"/>
            <w:szCs w:val="18"/>
            <w:lang w:val="en-US"/>
          </w:rPr>
          <w:t>https://www.reuters.com/article/us-philippines-landrights-crime-idUSKBN1HQ034</w:t>
        </w:r>
      </w:hyperlink>
      <w:r w:rsidRPr="00F90D1E">
        <w:rPr>
          <w:sz w:val="18"/>
          <w:szCs w:val="18"/>
          <w:lang w:val="en-US"/>
        </w:rPr>
        <w:t xml:space="preserve"> (accessed on 25 April </w:t>
      </w:r>
      <w:r w:rsidRPr="00941D92">
        <w:rPr>
          <w:sz w:val="18"/>
          <w:szCs w:val="18"/>
          <w:lang w:val="en-US"/>
        </w:rPr>
        <w:t>2022).</w:t>
      </w:r>
    </w:p>
  </w:footnote>
  <w:footnote w:id="34">
    <w:p w14:paraId="18433DEB" w14:textId="44BAF33C" w:rsidR="006E18B6" w:rsidRPr="00941D92" w:rsidRDefault="006E18B6">
      <w:pPr>
        <w:pStyle w:val="FootnoteText"/>
        <w:rPr>
          <w:sz w:val="18"/>
          <w:szCs w:val="18"/>
          <w:lang w:val="en-US"/>
        </w:rPr>
      </w:pPr>
      <w:r w:rsidRPr="00941D92">
        <w:rPr>
          <w:rStyle w:val="FootnoteReference"/>
          <w:sz w:val="18"/>
          <w:szCs w:val="18"/>
        </w:rPr>
        <w:footnoteRef/>
      </w:r>
      <w:r w:rsidRPr="00941D92">
        <w:rPr>
          <w:sz w:val="18"/>
          <w:szCs w:val="18"/>
        </w:rPr>
        <w:t xml:space="preserve"> </w:t>
      </w:r>
      <w:r w:rsidRPr="00941D92">
        <w:rPr>
          <w:sz w:val="18"/>
          <w:szCs w:val="18"/>
          <w:lang w:val="en-US"/>
        </w:rPr>
        <w:t>The NEDA is the Philippine Government's social and economic development planning and policy coordinating body.</w:t>
      </w:r>
    </w:p>
  </w:footnote>
  <w:footnote w:id="35">
    <w:p w14:paraId="6889EB5E" w14:textId="2A2C89EC" w:rsidR="006E18B6" w:rsidRPr="00941D92" w:rsidRDefault="006E18B6">
      <w:pPr>
        <w:pStyle w:val="FootnoteText"/>
        <w:rPr>
          <w:sz w:val="18"/>
          <w:szCs w:val="18"/>
          <w:lang w:val="en-US"/>
        </w:rPr>
      </w:pPr>
      <w:r w:rsidRPr="00941D92">
        <w:rPr>
          <w:rStyle w:val="FootnoteReference"/>
          <w:sz w:val="18"/>
          <w:szCs w:val="18"/>
        </w:rPr>
        <w:footnoteRef/>
      </w:r>
      <w:r w:rsidRPr="00941D92">
        <w:rPr>
          <w:sz w:val="18"/>
          <w:szCs w:val="18"/>
        </w:rPr>
        <w:t xml:space="preserve"> </w:t>
      </w:r>
      <w:r w:rsidRPr="00941D92">
        <w:rPr>
          <w:sz w:val="18"/>
          <w:szCs w:val="18"/>
          <w:lang w:val="en-US"/>
        </w:rPr>
        <w:t>Available online at https://popcom.gov.ph/bringing-the-covid-19-fight-to-where-it-lives/</w:t>
      </w:r>
    </w:p>
  </w:footnote>
  <w:footnote w:id="36">
    <w:p w14:paraId="771D4C7B" w14:textId="22888E2D" w:rsidR="006E18B6" w:rsidRPr="00941D92" w:rsidRDefault="006E18B6" w:rsidP="00532419">
      <w:pPr>
        <w:pStyle w:val="FootnoteText"/>
        <w:jc w:val="both"/>
        <w:rPr>
          <w:rFonts w:cstheme="minorHAnsi"/>
          <w:b/>
          <w:sz w:val="18"/>
          <w:szCs w:val="18"/>
          <w:lang w:val="en-US"/>
        </w:rPr>
      </w:pPr>
      <w:r w:rsidRPr="00941D92">
        <w:rPr>
          <w:rStyle w:val="FootnoteReference"/>
          <w:rFonts w:cstheme="minorHAnsi"/>
          <w:sz w:val="18"/>
          <w:szCs w:val="18"/>
        </w:rPr>
        <w:footnoteRef/>
      </w:r>
      <w:r w:rsidRPr="00941D92">
        <w:rPr>
          <w:rFonts w:cstheme="minorHAnsi"/>
          <w:sz w:val="18"/>
          <w:szCs w:val="18"/>
        </w:rPr>
        <w:t xml:space="preserve"> Accessible through: </w:t>
      </w:r>
      <w:hyperlink r:id="rId7" w:history="1">
        <w:r w:rsidRPr="00941D92">
          <w:rPr>
            <w:rStyle w:val="Hyperlink"/>
            <w:rFonts w:cstheme="minorHAnsi"/>
            <w:sz w:val="18"/>
            <w:szCs w:val="18"/>
          </w:rPr>
          <w:t>https://popcom.gov.ph/bringing-the-covid-19-fight-to-where-it-lives/</w:t>
        </w:r>
      </w:hyperlink>
      <w:r w:rsidRPr="00941D92">
        <w:rPr>
          <w:rFonts w:cstheme="minorHAnsi"/>
          <w:sz w:val="18"/>
          <w:szCs w:val="18"/>
        </w:rPr>
        <w:t xml:space="preserve"> </w:t>
      </w:r>
    </w:p>
  </w:footnote>
  <w:footnote w:id="37">
    <w:p w14:paraId="42AB17D5" w14:textId="15908557" w:rsidR="006E18B6" w:rsidRDefault="006E18B6" w:rsidP="0010387F">
      <w:pPr>
        <w:pStyle w:val="FootnoteText"/>
        <w:jc w:val="both"/>
      </w:pPr>
      <w:r>
        <w:rPr>
          <w:rStyle w:val="FootnoteReference"/>
        </w:rPr>
        <w:footnoteRef/>
      </w:r>
      <w:r>
        <w:t xml:space="preserve"> POPCOM’s analysis shows that communities are more vulnerable to COVID-19 in the following ways:</w:t>
      </w:r>
    </w:p>
    <w:p w14:paraId="64580D1C" w14:textId="1942FB9C" w:rsidR="006E18B6" w:rsidRDefault="006E18B6" w:rsidP="00F91FEB">
      <w:pPr>
        <w:pStyle w:val="FootnoteText"/>
        <w:numPr>
          <w:ilvl w:val="0"/>
          <w:numId w:val="7"/>
        </w:numPr>
        <w:jc w:val="both"/>
        <w:rPr>
          <w:lang w:val="en-US"/>
        </w:rPr>
      </w:pPr>
      <w:r>
        <w:rPr>
          <w:lang w:val="en-US"/>
        </w:rPr>
        <w:t>Large numbers of housing and population in a limited land area;</w:t>
      </w:r>
    </w:p>
    <w:p w14:paraId="39BB4E03" w14:textId="69EAC7FE" w:rsidR="006E18B6" w:rsidRDefault="006E18B6" w:rsidP="00F91FEB">
      <w:pPr>
        <w:pStyle w:val="FootnoteText"/>
        <w:numPr>
          <w:ilvl w:val="0"/>
          <w:numId w:val="7"/>
        </w:numPr>
        <w:jc w:val="both"/>
        <w:rPr>
          <w:lang w:val="en-US"/>
        </w:rPr>
      </w:pPr>
      <w:r>
        <w:rPr>
          <w:lang w:val="en-US"/>
        </w:rPr>
        <w:t>Large numbers of small houses under 20 square meters with a house size of four or more;</w:t>
      </w:r>
    </w:p>
    <w:p w14:paraId="6F075136" w14:textId="0A477DF0" w:rsidR="006E18B6" w:rsidRDefault="006E18B6" w:rsidP="00F91FEB">
      <w:pPr>
        <w:pStyle w:val="FootnoteText"/>
        <w:numPr>
          <w:ilvl w:val="0"/>
          <w:numId w:val="7"/>
        </w:numPr>
        <w:rPr>
          <w:lang w:val="en-US"/>
        </w:rPr>
      </w:pPr>
      <w:r>
        <w:rPr>
          <w:lang w:val="en-US"/>
        </w:rPr>
        <w:t>Senior citizens living in small houses; and</w:t>
      </w:r>
    </w:p>
    <w:p w14:paraId="60746DA2" w14:textId="3E939B1A" w:rsidR="006E18B6" w:rsidRPr="00833269" w:rsidRDefault="006E18B6" w:rsidP="00833269">
      <w:pPr>
        <w:pStyle w:val="FootnoteText"/>
        <w:numPr>
          <w:ilvl w:val="0"/>
          <w:numId w:val="7"/>
        </w:numPr>
        <w:rPr>
          <w:lang w:val="en-US"/>
        </w:rPr>
      </w:pPr>
      <w:r>
        <w:rPr>
          <w:lang w:val="en-US"/>
        </w:rPr>
        <w:t xml:space="preserve">Senior living alone in small housing. </w:t>
      </w:r>
      <w:r w:rsidRPr="00E87977">
        <w:rPr>
          <w:b/>
          <w:i/>
          <w:lang w:val="en-US"/>
        </w:rPr>
        <w:t>-</w:t>
      </w:r>
      <w:r>
        <w:rPr>
          <w:lang w:val="en-US"/>
        </w:rPr>
        <w:t xml:space="preserve"> </w:t>
      </w:r>
      <w:r>
        <w:t xml:space="preserve">Accessible through: </w:t>
      </w:r>
      <w:hyperlink r:id="rId8" w:history="1">
        <w:r w:rsidRPr="00D4786C">
          <w:rPr>
            <w:rStyle w:val="Hyperlink"/>
          </w:rPr>
          <w:t>https://popcom.gov.ph/bringing-the-covid-19-fight-to-where-it-lives/</w:t>
        </w:r>
      </w:hyperlink>
      <w:r>
        <w:t>)</w:t>
      </w:r>
    </w:p>
  </w:footnote>
  <w:footnote w:id="38">
    <w:p w14:paraId="4D7D687C" w14:textId="25705694" w:rsidR="006E18B6" w:rsidRPr="00941D92" w:rsidRDefault="006E18B6" w:rsidP="00532419">
      <w:pPr>
        <w:pStyle w:val="FootnoteText"/>
        <w:jc w:val="both"/>
        <w:rPr>
          <w:rFonts w:cstheme="minorHAnsi"/>
          <w:sz w:val="18"/>
          <w:szCs w:val="18"/>
          <w:lang w:val="en-US"/>
        </w:rPr>
      </w:pPr>
      <w:r w:rsidRPr="00941D92">
        <w:rPr>
          <w:rStyle w:val="FootnoteReference"/>
          <w:rFonts w:cstheme="minorHAnsi"/>
          <w:sz w:val="18"/>
          <w:szCs w:val="18"/>
        </w:rPr>
        <w:footnoteRef/>
      </w:r>
      <w:r w:rsidRPr="00941D92">
        <w:rPr>
          <w:rFonts w:cstheme="minorHAnsi"/>
          <w:sz w:val="18"/>
          <w:szCs w:val="18"/>
        </w:rPr>
        <w:t xml:space="preserve"> </w:t>
      </w:r>
      <w:r w:rsidRPr="00941D92">
        <w:rPr>
          <w:rFonts w:cstheme="minorHAnsi"/>
          <w:sz w:val="18"/>
          <w:szCs w:val="18"/>
          <w:lang w:val="en-US"/>
        </w:rPr>
        <w:t>Ibid.</w:t>
      </w:r>
    </w:p>
  </w:footnote>
  <w:footnote w:id="39">
    <w:p w14:paraId="26DA3C3F" w14:textId="3B4598C0" w:rsidR="006E18B6" w:rsidRPr="000F3195" w:rsidRDefault="006E18B6" w:rsidP="00532419">
      <w:pPr>
        <w:pStyle w:val="FootnoteText"/>
        <w:jc w:val="both"/>
        <w:rPr>
          <w:rFonts w:cstheme="minorHAnsi"/>
          <w:sz w:val="18"/>
          <w:szCs w:val="18"/>
          <w:lang w:val="en-US"/>
        </w:rPr>
      </w:pPr>
      <w:r w:rsidRPr="00F90D1E">
        <w:rPr>
          <w:rStyle w:val="FootnoteReference"/>
          <w:rFonts w:cstheme="minorHAnsi"/>
          <w:sz w:val="18"/>
          <w:szCs w:val="18"/>
        </w:rPr>
        <w:footnoteRef/>
      </w:r>
      <w:r w:rsidRPr="00F90D1E">
        <w:rPr>
          <w:rFonts w:cstheme="minorHAnsi"/>
          <w:sz w:val="18"/>
          <w:szCs w:val="18"/>
          <w:lang w:val="en-US"/>
        </w:rPr>
        <w:t>Letter from Executive Vice</w:t>
      </w:r>
      <w:r w:rsidRPr="000F3195">
        <w:rPr>
          <w:rFonts w:cstheme="minorHAnsi"/>
          <w:sz w:val="18"/>
          <w:szCs w:val="18"/>
          <w:lang w:val="en-US"/>
        </w:rPr>
        <w:t xml:space="preserve"> President, Manuel Luis C. Antonio to Commissioner Karen (Mar. 25, 2022) (on file with Author). </w:t>
      </w:r>
    </w:p>
  </w:footnote>
  <w:footnote w:id="40">
    <w:p w14:paraId="776AFB97" w14:textId="4D5DE7C0" w:rsidR="006E18B6" w:rsidRPr="000F3195" w:rsidRDefault="006E18B6" w:rsidP="00941D92">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lang w:val="en-US"/>
        </w:rPr>
        <w:t xml:space="preserve">Letter from Officer-In-Charge/ Assistant General Manager, Engineer Victor C. </w:t>
      </w:r>
      <w:proofErr w:type="spellStart"/>
      <w:r w:rsidRPr="000F3195">
        <w:rPr>
          <w:rFonts w:cstheme="minorHAnsi"/>
          <w:sz w:val="18"/>
          <w:szCs w:val="18"/>
          <w:lang w:val="en-US"/>
        </w:rPr>
        <w:t>Balba</w:t>
      </w:r>
      <w:proofErr w:type="spellEnd"/>
      <w:r w:rsidRPr="000F3195">
        <w:rPr>
          <w:rFonts w:cstheme="minorHAnsi"/>
          <w:sz w:val="18"/>
          <w:szCs w:val="18"/>
          <w:lang w:val="en-US"/>
        </w:rPr>
        <w:t xml:space="preserve"> to Commissioner Karen (Mar. 12, 2022) (on file with Author).</w:t>
      </w:r>
    </w:p>
  </w:footnote>
  <w:footnote w:id="41">
    <w:p w14:paraId="518E4504" w14:textId="45320EC3" w:rsidR="006E18B6" w:rsidRPr="004179E2" w:rsidRDefault="006E18B6">
      <w:pPr>
        <w:pStyle w:val="FootnoteText"/>
        <w:rPr>
          <w:lang w:val="en-US"/>
        </w:rPr>
      </w:pPr>
      <w:r>
        <w:rPr>
          <w:rStyle w:val="FootnoteReference"/>
        </w:rPr>
        <w:footnoteRef/>
      </w:r>
      <w:r>
        <w:t xml:space="preserve"> </w:t>
      </w:r>
      <w:r w:rsidRPr="00E16BA1">
        <w:rPr>
          <w:rFonts w:asciiTheme="majorHAnsi" w:hAnsiTheme="majorHAnsi" w:cstheme="majorHAnsi"/>
          <w:sz w:val="18"/>
          <w:szCs w:val="18"/>
          <w:lang w:val="en-US"/>
        </w:rPr>
        <w:t>Letter from</w:t>
      </w:r>
      <w:r>
        <w:rPr>
          <w:rFonts w:asciiTheme="majorHAnsi" w:hAnsiTheme="majorHAnsi" w:cstheme="majorHAnsi"/>
          <w:sz w:val="18"/>
          <w:szCs w:val="18"/>
          <w:lang w:val="en-US"/>
        </w:rPr>
        <w:t xml:space="preserve"> Chief Executive Officer</w:t>
      </w:r>
      <w:r w:rsidRPr="00E16BA1">
        <w:rPr>
          <w:rFonts w:asciiTheme="majorHAnsi" w:hAnsiTheme="majorHAnsi" w:cstheme="majorHAnsi"/>
          <w:sz w:val="18"/>
          <w:szCs w:val="18"/>
          <w:lang w:val="en-US"/>
        </w:rPr>
        <w:t xml:space="preserve"> </w:t>
      </w:r>
      <w:proofErr w:type="spellStart"/>
      <w:r w:rsidRPr="00E16BA1">
        <w:rPr>
          <w:rFonts w:asciiTheme="majorHAnsi" w:hAnsiTheme="majorHAnsi" w:cstheme="majorHAnsi"/>
          <w:sz w:val="18"/>
          <w:szCs w:val="18"/>
          <w:lang w:val="en-US"/>
        </w:rPr>
        <w:t>Acmad</w:t>
      </w:r>
      <w:proofErr w:type="spellEnd"/>
      <w:r w:rsidRPr="00E16BA1">
        <w:rPr>
          <w:rFonts w:asciiTheme="majorHAnsi" w:hAnsiTheme="majorHAnsi" w:cstheme="majorHAnsi"/>
          <w:sz w:val="18"/>
          <w:szCs w:val="18"/>
          <w:lang w:val="en-US"/>
        </w:rPr>
        <w:t xml:space="preserve"> </w:t>
      </w:r>
      <w:proofErr w:type="spellStart"/>
      <w:r w:rsidRPr="00E16BA1">
        <w:rPr>
          <w:rFonts w:asciiTheme="majorHAnsi" w:hAnsiTheme="majorHAnsi" w:cstheme="majorHAnsi"/>
          <w:sz w:val="18"/>
          <w:szCs w:val="18"/>
          <w:lang w:val="en-US"/>
        </w:rPr>
        <w:t>Rizaldy</w:t>
      </w:r>
      <w:proofErr w:type="spellEnd"/>
      <w:r w:rsidRPr="00E16BA1">
        <w:rPr>
          <w:rFonts w:asciiTheme="majorHAnsi" w:hAnsiTheme="majorHAnsi" w:cstheme="majorHAnsi"/>
          <w:sz w:val="18"/>
          <w:szCs w:val="18"/>
          <w:lang w:val="en-US"/>
        </w:rPr>
        <w:t xml:space="preserve"> P. Moti to Commissioner Karen Gomez-</w:t>
      </w:r>
      <w:proofErr w:type="spellStart"/>
      <w:r w:rsidRPr="00E16BA1">
        <w:rPr>
          <w:rFonts w:asciiTheme="majorHAnsi" w:hAnsiTheme="majorHAnsi" w:cstheme="majorHAnsi"/>
          <w:sz w:val="18"/>
          <w:szCs w:val="18"/>
          <w:lang w:val="en-US"/>
        </w:rPr>
        <w:t>Dumpit</w:t>
      </w:r>
      <w:proofErr w:type="spellEnd"/>
      <w:r w:rsidRPr="00E16BA1">
        <w:rPr>
          <w:rFonts w:asciiTheme="majorHAnsi" w:hAnsiTheme="majorHAnsi" w:cstheme="majorHAnsi"/>
          <w:sz w:val="18"/>
          <w:szCs w:val="18"/>
          <w:lang w:val="en-US"/>
        </w:rPr>
        <w:t xml:space="preserve"> (Mar. 15, 2022) (on file with author)</w:t>
      </w:r>
    </w:p>
  </w:footnote>
  <w:footnote w:id="42">
    <w:p w14:paraId="4B71A2A9" w14:textId="5C7751A3" w:rsidR="006E18B6" w:rsidRPr="000F3195" w:rsidRDefault="006E18B6">
      <w:pPr>
        <w:pStyle w:val="FootnoteText"/>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lang w:val="en-US"/>
        </w:rPr>
        <w:t xml:space="preserve">Letter from Undersecretary </w:t>
      </w:r>
      <w:r w:rsidRPr="000F3195">
        <w:rPr>
          <w:rFonts w:cstheme="minorHAnsi"/>
          <w:sz w:val="18"/>
          <w:szCs w:val="18"/>
          <w:lang w:val="en-GB"/>
        </w:rPr>
        <w:t xml:space="preserve">Rosemarie G. </w:t>
      </w:r>
      <w:proofErr w:type="spellStart"/>
      <w:r w:rsidRPr="000F3195">
        <w:rPr>
          <w:rFonts w:cstheme="minorHAnsi"/>
          <w:sz w:val="18"/>
          <w:szCs w:val="18"/>
          <w:lang w:val="en-GB"/>
        </w:rPr>
        <w:t>Edillon</w:t>
      </w:r>
      <w:proofErr w:type="spellEnd"/>
      <w:r w:rsidRPr="000F3195">
        <w:rPr>
          <w:rFonts w:cstheme="minorHAnsi"/>
          <w:sz w:val="18"/>
          <w:szCs w:val="18"/>
          <w:lang w:val="en-US"/>
        </w:rPr>
        <w:t xml:space="preserve"> to Commissioner Karen Gomez-</w:t>
      </w:r>
      <w:proofErr w:type="spellStart"/>
      <w:r w:rsidRPr="000F3195">
        <w:rPr>
          <w:rFonts w:cstheme="minorHAnsi"/>
          <w:sz w:val="18"/>
          <w:szCs w:val="18"/>
          <w:lang w:val="en-US"/>
        </w:rPr>
        <w:t>Dumpit</w:t>
      </w:r>
      <w:proofErr w:type="spellEnd"/>
      <w:r w:rsidRPr="000F3195">
        <w:rPr>
          <w:rFonts w:cstheme="minorHAnsi"/>
          <w:sz w:val="18"/>
          <w:szCs w:val="18"/>
          <w:lang w:val="en-US"/>
        </w:rPr>
        <w:t xml:space="preserve"> (Mar. 17, 2022) (on file with Author).</w:t>
      </w:r>
    </w:p>
  </w:footnote>
  <w:footnote w:id="43">
    <w:p w14:paraId="11DB96B4" w14:textId="73D84DC0" w:rsidR="006E18B6" w:rsidRPr="000F3195" w:rsidRDefault="006E18B6" w:rsidP="006C281C">
      <w:pPr>
        <w:pStyle w:val="FootnoteText"/>
        <w:jc w:val="both"/>
        <w:rPr>
          <w:rFonts w:cstheme="minorHAnsi"/>
          <w:sz w:val="18"/>
          <w:szCs w:val="18"/>
          <w:lang w:val="en-US"/>
        </w:rPr>
      </w:pPr>
      <w:r w:rsidRPr="000F3195">
        <w:rPr>
          <w:rStyle w:val="FootnoteReference"/>
          <w:rFonts w:cstheme="minorHAnsi"/>
          <w:sz w:val="18"/>
          <w:szCs w:val="18"/>
        </w:rPr>
        <w:footnoteRef/>
      </w:r>
      <w:r w:rsidR="00D55366">
        <w:rPr>
          <w:rFonts w:cstheme="minorHAnsi"/>
          <w:sz w:val="18"/>
          <w:szCs w:val="18"/>
          <w:lang w:val="en-US"/>
        </w:rPr>
        <w:t xml:space="preserve">Department of Social Welfare and Development, </w:t>
      </w:r>
      <w:r w:rsidR="00D55366" w:rsidRPr="000F3195">
        <w:rPr>
          <w:rFonts w:cstheme="minorHAnsi"/>
          <w:sz w:val="18"/>
          <w:szCs w:val="18"/>
          <w:lang w:val="en-US"/>
        </w:rPr>
        <w:t xml:space="preserve">Long Term Care Program for Senior Citizens “LTCSC” </w:t>
      </w:r>
      <w:r w:rsidR="00D55366">
        <w:rPr>
          <w:rFonts w:cstheme="minorHAnsi"/>
          <w:sz w:val="18"/>
          <w:szCs w:val="18"/>
          <w:lang w:val="en-US"/>
        </w:rPr>
        <w:t>(</w:t>
      </w:r>
      <w:r w:rsidR="00D55366" w:rsidRPr="000F3195">
        <w:rPr>
          <w:rFonts w:cstheme="minorHAnsi"/>
          <w:sz w:val="18"/>
          <w:szCs w:val="18"/>
          <w:lang w:val="en-US"/>
        </w:rPr>
        <w:t>General Implementing Guidelines</w:t>
      </w:r>
      <w:r w:rsidR="00D55366">
        <w:rPr>
          <w:rFonts w:cstheme="minorHAnsi"/>
          <w:sz w:val="18"/>
          <w:szCs w:val="18"/>
          <w:lang w:val="en-US"/>
        </w:rPr>
        <w:t>,</w:t>
      </w:r>
      <w:r w:rsidR="00D55366" w:rsidRPr="000F3195">
        <w:rPr>
          <w:rFonts w:cstheme="minorHAnsi"/>
          <w:sz w:val="18"/>
          <w:szCs w:val="18"/>
          <w:lang w:val="en-US"/>
        </w:rPr>
        <w:t xml:space="preserve"> </w:t>
      </w:r>
      <w:r w:rsidRPr="000F3195">
        <w:rPr>
          <w:rFonts w:cstheme="minorHAnsi"/>
          <w:sz w:val="18"/>
          <w:szCs w:val="18"/>
          <w:lang w:val="en-US"/>
        </w:rPr>
        <w:t>Administrative Order No. 5, series of 2019</w:t>
      </w:r>
      <w:r w:rsidR="00D55366">
        <w:rPr>
          <w:rFonts w:cstheme="minorHAnsi"/>
          <w:sz w:val="18"/>
          <w:szCs w:val="18"/>
          <w:lang w:val="en-US"/>
        </w:rPr>
        <w:t>, (</w:t>
      </w:r>
      <w:r w:rsidRPr="000F3195">
        <w:rPr>
          <w:rFonts w:cstheme="minorHAnsi"/>
          <w:sz w:val="18"/>
          <w:szCs w:val="18"/>
        </w:rPr>
        <w:t>AO No. 5, s. of 2010</w:t>
      </w:r>
      <w:r w:rsidR="00D55366">
        <w:rPr>
          <w:rFonts w:cstheme="minorHAnsi"/>
          <w:sz w:val="18"/>
          <w:szCs w:val="18"/>
        </w:rPr>
        <w:t xml:space="preserve">, </w:t>
      </w:r>
      <w:r w:rsidRPr="000F3195">
        <w:rPr>
          <w:rFonts w:cstheme="minorHAnsi"/>
          <w:sz w:val="18"/>
          <w:szCs w:val="18"/>
        </w:rPr>
        <w:t>Section IV</w:t>
      </w:r>
      <w:r w:rsidRPr="000F3195">
        <w:rPr>
          <w:rFonts w:cstheme="minorHAnsi"/>
          <w:b/>
          <w:sz w:val="18"/>
          <w:szCs w:val="18"/>
        </w:rPr>
        <w:t>)</w:t>
      </w:r>
      <w:r w:rsidR="00D55366">
        <w:rPr>
          <w:rFonts w:cstheme="minorHAnsi"/>
          <w:b/>
          <w:sz w:val="18"/>
          <w:szCs w:val="18"/>
        </w:rPr>
        <w:t>.</w:t>
      </w:r>
    </w:p>
  </w:footnote>
  <w:footnote w:id="44">
    <w:p w14:paraId="47F5EED8" w14:textId="43239A1B" w:rsidR="006E18B6" w:rsidRPr="000F3195" w:rsidRDefault="006E18B6" w:rsidP="00C86481">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 </w:t>
      </w:r>
      <w:r w:rsidRPr="000F3195">
        <w:rPr>
          <w:rFonts w:cstheme="minorHAnsi"/>
          <w:sz w:val="18"/>
          <w:szCs w:val="18"/>
          <w:lang w:val="en-US"/>
        </w:rPr>
        <w:t xml:space="preserve">Letter from Undersecretary </w:t>
      </w:r>
      <w:r w:rsidRPr="000F3195">
        <w:rPr>
          <w:rFonts w:cstheme="minorHAnsi"/>
          <w:sz w:val="18"/>
          <w:szCs w:val="18"/>
          <w:lang w:val="en-GB"/>
        </w:rPr>
        <w:t xml:space="preserve">Rosemarie G. </w:t>
      </w:r>
      <w:proofErr w:type="spellStart"/>
      <w:r w:rsidRPr="000F3195">
        <w:rPr>
          <w:rFonts w:cstheme="minorHAnsi"/>
          <w:sz w:val="18"/>
          <w:szCs w:val="18"/>
          <w:lang w:val="en-GB"/>
        </w:rPr>
        <w:t>Edillon</w:t>
      </w:r>
      <w:proofErr w:type="spellEnd"/>
      <w:r w:rsidRPr="000F3195">
        <w:rPr>
          <w:rFonts w:cstheme="minorHAnsi"/>
          <w:sz w:val="18"/>
          <w:szCs w:val="18"/>
          <w:lang w:val="en-US"/>
        </w:rPr>
        <w:t xml:space="preserve"> to Commissioner Karen Gomez-</w:t>
      </w:r>
      <w:proofErr w:type="spellStart"/>
      <w:r w:rsidRPr="000F3195">
        <w:rPr>
          <w:rFonts w:cstheme="minorHAnsi"/>
          <w:sz w:val="18"/>
          <w:szCs w:val="18"/>
          <w:lang w:val="en-US"/>
        </w:rPr>
        <w:t>Dumpit</w:t>
      </w:r>
      <w:proofErr w:type="spellEnd"/>
      <w:r w:rsidRPr="000F3195">
        <w:rPr>
          <w:rFonts w:cstheme="minorHAnsi"/>
          <w:sz w:val="18"/>
          <w:szCs w:val="18"/>
          <w:lang w:val="en-US"/>
        </w:rPr>
        <w:t xml:space="preserve"> (Mar. 17, 2022) (on file with Author).</w:t>
      </w:r>
    </w:p>
  </w:footnote>
  <w:footnote w:id="45">
    <w:p w14:paraId="369E0852" w14:textId="111F914C" w:rsidR="006E18B6" w:rsidRPr="002F7FC9" w:rsidRDefault="006E18B6" w:rsidP="00C86481">
      <w:pPr>
        <w:pStyle w:val="FootnoteText"/>
        <w:jc w:val="both"/>
        <w:rPr>
          <w:sz w:val="18"/>
          <w:szCs w:val="18"/>
          <w:lang w:val="en-US"/>
        </w:rPr>
      </w:pPr>
      <w:r w:rsidRPr="002F7FC9">
        <w:rPr>
          <w:rStyle w:val="FootnoteReference"/>
          <w:sz w:val="18"/>
          <w:szCs w:val="18"/>
        </w:rPr>
        <w:footnoteRef/>
      </w:r>
      <w:r w:rsidRPr="002F7FC9">
        <w:rPr>
          <w:sz w:val="18"/>
          <w:szCs w:val="18"/>
        </w:rPr>
        <w:t xml:space="preserve"> </w:t>
      </w:r>
      <w:r w:rsidRPr="002F7FC9">
        <w:rPr>
          <w:sz w:val="18"/>
          <w:szCs w:val="18"/>
          <w:lang w:val="en-US"/>
        </w:rPr>
        <w:t>Available online at https://www.officialgazette.gov.ph/2010/05/27/republic-act-no-10121/</w:t>
      </w:r>
    </w:p>
  </w:footnote>
  <w:footnote w:id="46">
    <w:p w14:paraId="459314AC" w14:textId="52600972" w:rsidR="006E18B6" w:rsidRPr="002F7FC9" w:rsidRDefault="006E18B6" w:rsidP="00C86481">
      <w:pPr>
        <w:pStyle w:val="FootnoteText"/>
        <w:jc w:val="both"/>
        <w:rPr>
          <w:sz w:val="18"/>
          <w:szCs w:val="18"/>
          <w:lang w:val="en-US"/>
        </w:rPr>
      </w:pPr>
      <w:r w:rsidRPr="002F7FC9">
        <w:rPr>
          <w:rStyle w:val="FootnoteReference"/>
          <w:sz w:val="18"/>
          <w:szCs w:val="18"/>
        </w:rPr>
        <w:footnoteRef/>
      </w:r>
      <w:r w:rsidRPr="002F7FC9">
        <w:rPr>
          <w:sz w:val="18"/>
          <w:szCs w:val="18"/>
        </w:rPr>
        <w:t xml:space="preserve"> </w:t>
      </w:r>
      <w:r w:rsidRPr="002F7FC9">
        <w:rPr>
          <w:sz w:val="18"/>
          <w:szCs w:val="18"/>
          <w:lang w:val="en-US"/>
        </w:rPr>
        <w:t>Available online at https://ndrrmc.gov.ph/attachments/article/4147/NDRRMP-Pre-Publication-Copy-v2.pdf</w:t>
      </w:r>
    </w:p>
  </w:footnote>
  <w:footnote w:id="47">
    <w:p w14:paraId="5589CEB6" w14:textId="77777777" w:rsidR="006E18B6" w:rsidRPr="002F7FC9" w:rsidRDefault="006E18B6" w:rsidP="00C86481">
      <w:pPr>
        <w:pStyle w:val="FootnoteText"/>
        <w:jc w:val="both"/>
        <w:rPr>
          <w:sz w:val="18"/>
          <w:szCs w:val="18"/>
          <w:lang w:val="en-US"/>
        </w:rPr>
      </w:pPr>
      <w:r>
        <w:rPr>
          <w:rStyle w:val="FootnoteReference"/>
        </w:rPr>
        <w:footnoteRef/>
      </w:r>
      <w:r>
        <w:t xml:space="preserve"> </w:t>
      </w:r>
      <w:r w:rsidRPr="002F7FC9">
        <w:rPr>
          <w:sz w:val="18"/>
          <w:szCs w:val="18"/>
        </w:rPr>
        <w:t>National Disaster Risk Reduction and Management Plan 2020-2030, p. 46</w:t>
      </w:r>
    </w:p>
  </w:footnote>
  <w:footnote w:id="48">
    <w:p w14:paraId="27F8D107" w14:textId="79BE2082" w:rsidR="006E18B6" w:rsidRPr="002F7FC9" w:rsidRDefault="006E18B6" w:rsidP="00C86481">
      <w:pPr>
        <w:pStyle w:val="FootnoteText"/>
        <w:jc w:val="both"/>
        <w:rPr>
          <w:sz w:val="18"/>
          <w:szCs w:val="18"/>
          <w:lang w:val="en-US"/>
        </w:rPr>
      </w:pPr>
      <w:r w:rsidRPr="002F7FC9">
        <w:rPr>
          <w:rStyle w:val="FootnoteReference"/>
          <w:sz w:val="18"/>
          <w:szCs w:val="18"/>
        </w:rPr>
        <w:footnoteRef/>
      </w:r>
      <w:r w:rsidRPr="002F7FC9">
        <w:rPr>
          <w:sz w:val="18"/>
          <w:szCs w:val="18"/>
        </w:rPr>
        <w:t xml:space="preserve"> </w:t>
      </w:r>
      <w:r w:rsidRPr="002F7FC9">
        <w:rPr>
          <w:sz w:val="18"/>
          <w:szCs w:val="18"/>
          <w:lang w:val="en-US"/>
        </w:rPr>
        <w:t>National Disaster Risk Reduction and Management Plan 2020-2030, p. 94</w:t>
      </w:r>
    </w:p>
  </w:footnote>
  <w:footnote w:id="49">
    <w:p w14:paraId="31DB885B" w14:textId="325055A6" w:rsidR="006E18B6" w:rsidRPr="002F7FC9" w:rsidRDefault="006E18B6" w:rsidP="00C86481">
      <w:pPr>
        <w:pStyle w:val="FootnoteText"/>
        <w:jc w:val="both"/>
        <w:rPr>
          <w:sz w:val="18"/>
          <w:szCs w:val="18"/>
          <w:lang w:val="en-US"/>
        </w:rPr>
      </w:pPr>
      <w:r w:rsidRPr="002F7FC9">
        <w:rPr>
          <w:rStyle w:val="FootnoteReference"/>
          <w:sz w:val="18"/>
          <w:szCs w:val="18"/>
        </w:rPr>
        <w:footnoteRef/>
      </w:r>
      <w:r w:rsidRPr="002F7FC9">
        <w:rPr>
          <w:sz w:val="18"/>
          <w:szCs w:val="18"/>
        </w:rPr>
        <w:t xml:space="preserve"> </w:t>
      </w:r>
      <w:r w:rsidRPr="002F7FC9">
        <w:rPr>
          <w:sz w:val="18"/>
          <w:szCs w:val="18"/>
          <w:lang w:val="en-US"/>
        </w:rPr>
        <w:t>Available online at https://www.officialgazette.gov.ph/1992/03/24/republic-act-no-7279/</w:t>
      </w:r>
    </w:p>
  </w:footnote>
  <w:footnote w:id="50">
    <w:p w14:paraId="29C460A6" w14:textId="2B4F25B0" w:rsidR="006E18B6" w:rsidRPr="002F7FC9" w:rsidRDefault="006E18B6" w:rsidP="00C86481">
      <w:pPr>
        <w:pStyle w:val="FootnoteText"/>
        <w:jc w:val="both"/>
        <w:rPr>
          <w:rFonts w:cstheme="minorHAnsi"/>
          <w:sz w:val="18"/>
          <w:szCs w:val="18"/>
          <w:lang w:val="en-US"/>
        </w:rPr>
      </w:pPr>
      <w:r w:rsidRPr="002F7FC9">
        <w:rPr>
          <w:rStyle w:val="FootnoteReference"/>
          <w:rFonts w:cstheme="minorHAnsi"/>
          <w:sz w:val="18"/>
          <w:szCs w:val="18"/>
        </w:rPr>
        <w:footnoteRef/>
      </w:r>
      <w:r w:rsidR="00C86481" w:rsidRPr="003949B4">
        <w:rPr>
          <w:sz w:val="16"/>
          <w:szCs w:val="16"/>
        </w:rPr>
        <w:t xml:space="preserve">An Act Granting Additional Benefits and Privileges to Senior Citizens, Further Amending Republic Act No. 7432, As Amended, Otherwise Known as “An Act to Maximize the Contribution of Senior Citizens to Nation Building, Grant Benefits and Special Privileges and for Other Purposes, </w:t>
      </w:r>
      <w:r w:rsidR="00C86481" w:rsidRPr="003949B4">
        <w:rPr>
          <w:rFonts w:cstheme="minorHAnsi"/>
          <w:sz w:val="16"/>
          <w:szCs w:val="16"/>
        </w:rPr>
        <w:t>[</w:t>
      </w:r>
      <w:r w:rsidR="00C86481" w:rsidRPr="003949B4">
        <w:rPr>
          <w:sz w:val="16"/>
          <w:szCs w:val="16"/>
        </w:rPr>
        <w:t>Expanded Senior Citizens Act of 2010</w:t>
      </w:r>
      <w:r w:rsidR="00C86481" w:rsidRPr="003949B4">
        <w:rPr>
          <w:rFonts w:cstheme="minorHAnsi"/>
          <w:sz w:val="16"/>
          <w:szCs w:val="16"/>
        </w:rPr>
        <w:t>]</w:t>
      </w:r>
      <w:r w:rsidR="00C86481" w:rsidRPr="003949B4">
        <w:rPr>
          <w:sz w:val="16"/>
          <w:szCs w:val="16"/>
        </w:rPr>
        <w:t xml:space="preserve">, Republic Act No. 9994, § </w:t>
      </w:r>
      <w:r w:rsidR="00C86481">
        <w:rPr>
          <w:sz w:val="16"/>
          <w:szCs w:val="16"/>
        </w:rPr>
        <w:t>1</w:t>
      </w:r>
      <w:r w:rsidR="00C86481" w:rsidRPr="003949B4">
        <w:rPr>
          <w:sz w:val="16"/>
          <w:szCs w:val="16"/>
        </w:rPr>
        <w:t xml:space="preserve"> (2010).</w:t>
      </w:r>
    </w:p>
  </w:footnote>
  <w:footnote w:id="51">
    <w:p w14:paraId="245257F2" w14:textId="0C269769" w:rsidR="006E18B6" w:rsidRPr="000F3195" w:rsidRDefault="006E18B6" w:rsidP="00752FCA">
      <w:pPr>
        <w:pStyle w:val="FootnoteText"/>
        <w:jc w:val="both"/>
        <w:rPr>
          <w:rFonts w:cstheme="minorHAnsi"/>
          <w:sz w:val="18"/>
          <w:szCs w:val="18"/>
          <w:lang w:val="en-US"/>
        </w:rPr>
      </w:pPr>
      <w:r w:rsidRPr="002F7FC9">
        <w:rPr>
          <w:rStyle w:val="FootnoteReference"/>
          <w:rFonts w:cstheme="minorHAnsi"/>
          <w:sz w:val="18"/>
          <w:szCs w:val="18"/>
        </w:rPr>
        <w:footnoteRef/>
      </w:r>
      <w:r w:rsidRPr="002F7FC9">
        <w:rPr>
          <w:rFonts w:cstheme="minorHAnsi"/>
          <w:sz w:val="18"/>
          <w:szCs w:val="18"/>
        </w:rPr>
        <w:t>Philippine response to the 8th UN OEWGA (2017). Retrieved on</w:t>
      </w:r>
      <w:r w:rsidRPr="000F3195">
        <w:rPr>
          <w:rFonts w:cstheme="minorHAnsi"/>
          <w:sz w:val="18"/>
          <w:szCs w:val="18"/>
        </w:rPr>
        <w:t xml:space="preserve"> 1 February 2022 from, </w:t>
      </w:r>
      <w:hyperlink r:id="rId9" w:history="1">
        <w:r w:rsidRPr="000F3195">
          <w:rPr>
            <w:rStyle w:val="Hyperlink"/>
            <w:rFonts w:cstheme="minorHAnsi"/>
            <w:sz w:val="18"/>
            <w:szCs w:val="18"/>
          </w:rPr>
          <w:t>https://social.un.org/ageing-working-group/documents/eighth/Inputs%20Member%20States/Philippines.pdf</w:t>
        </w:r>
      </w:hyperlink>
      <w:r w:rsidRPr="000F3195">
        <w:rPr>
          <w:rFonts w:cstheme="minorHAnsi"/>
          <w:sz w:val="18"/>
          <w:szCs w:val="18"/>
        </w:rPr>
        <w:t xml:space="preserve"> </w:t>
      </w:r>
    </w:p>
  </w:footnote>
  <w:footnote w:id="52">
    <w:p w14:paraId="1E405E04" w14:textId="3F8B5197" w:rsidR="006E18B6" w:rsidRPr="000F3195" w:rsidRDefault="006E18B6" w:rsidP="00B064C9">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Cruz, Cruz and Saito (2019) </w:t>
      </w:r>
    </w:p>
  </w:footnote>
  <w:footnote w:id="53">
    <w:p w14:paraId="4E109E1C" w14:textId="677EFE8B" w:rsidR="006E18B6" w:rsidRPr="000F3195" w:rsidRDefault="006E18B6" w:rsidP="00B064C9">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 xml:space="preserve">Refer to PSA’s Catalog of Publications and CD Products here: https://psa.gov.ph/products-andservices/publications </w:t>
      </w:r>
    </w:p>
  </w:footnote>
  <w:footnote w:id="54">
    <w:p w14:paraId="1DC3D032" w14:textId="7FE070D2" w:rsidR="006E18B6" w:rsidRPr="000F3195" w:rsidRDefault="006E18B6" w:rsidP="00B064C9">
      <w:pPr>
        <w:pStyle w:val="FootnoteText"/>
        <w:jc w:val="both"/>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rPr>
        <w:t>Cruz, Cruz and Saito (2019)</w:t>
      </w:r>
      <w:r w:rsidRPr="000F3195">
        <w:rPr>
          <w:rFonts w:cstheme="minorHAnsi"/>
          <w:b/>
          <w:sz w:val="18"/>
          <w:szCs w:val="18"/>
        </w:rPr>
        <w:t>)</w:t>
      </w:r>
    </w:p>
  </w:footnote>
  <w:footnote w:id="55">
    <w:p w14:paraId="6A2F0121" w14:textId="3C335037" w:rsidR="006E18B6" w:rsidRPr="000F3195" w:rsidRDefault="006E18B6" w:rsidP="00B064C9">
      <w:pPr>
        <w:pStyle w:val="FootnoteText"/>
        <w:jc w:val="both"/>
        <w:rPr>
          <w:rFonts w:cstheme="minorHAnsi"/>
          <w:b/>
          <w:sz w:val="18"/>
          <w:szCs w:val="18"/>
          <w:lang w:val="en-US"/>
        </w:rPr>
      </w:pPr>
      <w:r w:rsidRPr="000F3195">
        <w:rPr>
          <w:rStyle w:val="FootnoteReference"/>
          <w:rFonts w:cstheme="minorHAnsi"/>
          <w:sz w:val="18"/>
          <w:szCs w:val="18"/>
        </w:rPr>
        <w:footnoteRef/>
      </w:r>
      <w:r w:rsidRPr="000F3195">
        <w:rPr>
          <w:rFonts w:cstheme="minorHAnsi"/>
          <w:sz w:val="18"/>
          <w:szCs w:val="18"/>
        </w:rPr>
        <w:t xml:space="preserve">Refer to </w:t>
      </w:r>
      <w:hyperlink r:id="rId10" w:history="1">
        <w:r w:rsidRPr="000F3195">
          <w:rPr>
            <w:rStyle w:val="Hyperlink"/>
            <w:rFonts w:cstheme="minorHAnsi"/>
            <w:sz w:val="18"/>
            <w:szCs w:val="18"/>
          </w:rPr>
          <w:t>https://www.eria.org/publications/ageing-and-health-in-the-philippines/</w:t>
        </w:r>
      </w:hyperlink>
      <w:r w:rsidRPr="000F3195">
        <w:rPr>
          <w:rFonts w:cstheme="minorHAnsi"/>
          <w:sz w:val="18"/>
          <w:szCs w:val="18"/>
        </w:rPr>
        <w:t xml:space="preserve"> </w:t>
      </w:r>
    </w:p>
  </w:footnote>
  <w:footnote w:id="56">
    <w:p w14:paraId="669C7A15" w14:textId="17990F2C" w:rsidR="006E18B6" w:rsidRPr="000F3195" w:rsidRDefault="006E18B6" w:rsidP="00B064C9">
      <w:pPr>
        <w:pStyle w:val="FootnoteText"/>
        <w:jc w:val="both"/>
        <w:rPr>
          <w:rFonts w:cstheme="minorHAnsi"/>
          <w:sz w:val="18"/>
          <w:szCs w:val="18"/>
          <w:lang w:val="en-US"/>
        </w:rPr>
      </w:pPr>
      <w:r w:rsidRPr="000F3195">
        <w:rPr>
          <w:rStyle w:val="FootnoteReference"/>
          <w:rFonts w:cstheme="minorHAnsi"/>
          <w:sz w:val="18"/>
          <w:szCs w:val="18"/>
        </w:rPr>
        <w:footnoteRef/>
      </w:r>
      <w:proofErr w:type="spellStart"/>
      <w:r w:rsidRPr="000F3195">
        <w:rPr>
          <w:rFonts w:cstheme="minorHAnsi"/>
          <w:sz w:val="18"/>
          <w:szCs w:val="18"/>
        </w:rPr>
        <w:t>Llanto</w:t>
      </w:r>
      <w:proofErr w:type="spellEnd"/>
      <w:r w:rsidRPr="000F3195">
        <w:rPr>
          <w:rFonts w:cstheme="minorHAnsi"/>
          <w:sz w:val="18"/>
          <w:szCs w:val="18"/>
        </w:rPr>
        <w:t xml:space="preserve">, G.M., </w:t>
      </w:r>
      <w:proofErr w:type="spellStart"/>
      <w:r w:rsidRPr="000F3195">
        <w:rPr>
          <w:rFonts w:cstheme="minorHAnsi"/>
          <w:sz w:val="18"/>
          <w:szCs w:val="18"/>
        </w:rPr>
        <w:t>Orbeta</w:t>
      </w:r>
      <w:proofErr w:type="spellEnd"/>
      <w:r w:rsidRPr="000F3195">
        <w:rPr>
          <w:rFonts w:cstheme="minorHAnsi"/>
          <w:sz w:val="18"/>
          <w:szCs w:val="18"/>
        </w:rPr>
        <w:t xml:space="preserve">, Jr. A.C., Sanchez, M.C., and Tang, M.G. (1998). A Study of Housing Subsidies in the Philippines. Makati: Philippine Institute for Development Studies. Available at: </w:t>
      </w:r>
      <w:hyperlink r:id="rId11" w:history="1">
        <w:r w:rsidRPr="000F3195">
          <w:rPr>
            <w:rStyle w:val="Hyperlink"/>
            <w:rFonts w:cstheme="minorHAnsi"/>
            <w:sz w:val="18"/>
            <w:szCs w:val="18"/>
          </w:rPr>
          <w:t>https://dirp3.pids.gov.ph/ris/pdf/pidsdps9842.pdf</w:t>
        </w:r>
      </w:hyperlink>
      <w:r w:rsidRPr="000F3195">
        <w:rPr>
          <w:rFonts w:cstheme="minorHAnsi"/>
          <w:sz w:val="18"/>
          <w:szCs w:val="18"/>
        </w:rPr>
        <w:t xml:space="preserve"> </w:t>
      </w:r>
    </w:p>
  </w:footnote>
  <w:footnote w:id="57">
    <w:p w14:paraId="26629579" w14:textId="59C1608E" w:rsidR="006E18B6" w:rsidRPr="000F3195" w:rsidRDefault="006E18B6">
      <w:pPr>
        <w:pStyle w:val="FootnoteText"/>
        <w:rPr>
          <w:rFonts w:cstheme="minorHAnsi"/>
          <w:sz w:val="18"/>
          <w:szCs w:val="18"/>
          <w:lang w:val="en-US"/>
        </w:rPr>
      </w:pPr>
      <w:r w:rsidRPr="000F3195">
        <w:rPr>
          <w:rStyle w:val="FootnoteReference"/>
          <w:rFonts w:cstheme="minorHAnsi"/>
          <w:sz w:val="18"/>
          <w:szCs w:val="18"/>
        </w:rPr>
        <w:footnoteRef/>
      </w:r>
      <w:r w:rsidRPr="000F3195">
        <w:rPr>
          <w:rFonts w:cstheme="minorHAnsi"/>
          <w:sz w:val="18"/>
          <w:szCs w:val="18"/>
          <w:lang w:val="en-US"/>
        </w:rPr>
        <w:t xml:space="preserve">Letter from Undersecretary </w:t>
      </w:r>
      <w:r w:rsidRPr="000F3195">
        <w:rPr>
          <w:rFonts w:cstheme="minorHAnsi"/>
          <w:sz w:val="18"/>
          <w:szCs w:val="18"/>
          <w:lang w:val="en-GB"/>
        </w:rPr>
        <w:t xml:space="preserve">Rosemarie G. </w:t>
      </w:r>
      <w:proofErr w:type="spellStart"/>
      <w:r w:rsidRPr="000F3195">
        <w:rPr>
          <w:rFonts w:cstheme="minorHAnsi"/>
          <w:sz w:val="18"/>
          <w:szCs w:val="18"/>
          <w:lang w:val="en-GB"/>
        </w:rPr>
        <w:t>Edillon</w:t>
      </w:r>
      <w:proofErr w:type="spellEnd"/>
      <w:r w:rsidRPr="000F3195">
        <w:rPr>
          <w:rFonts w:cstheme="minorHAnsi"/>
          <w:sz w:val="18"/>
          <w:szCs w:val="18"/>
          <w:lang w:val="en-US"/>
        </w:rPr>
        <w:t xml:space="preserve"> to Commissioner Karen Gomez-</w:t>
      </w:r>
      <w:proofErr w:type="spellStart"/>
      <w:r w:rsidRPr="000F3195">
        <w:rPr>
          <w:rFonts w:cstheme="minorHAnsi"/>
          <w:sz w:val="18"/>
          <w:szCs w:val="18"/>
          <w:lang w:val="en-US"/>
        </w:rPr>
        <w:t>Dumpit</w:t>
      </w:r>
      <w:proofErr w:type="spellEnd"/>
      <w:r w:rsidRPr="000F3195">
        <w:rPr>
          <w:rFonts w:cstheme="minorHAnsi"/>
          <w:sz w:val="18"/>
          <w:szCs w:val="18"/>
          <w:lang w:val="en-US"/>
        </w:rPr>
        <w:t xml:space="preserve"> (Mar. 17, 2022) (on file with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1E58" w14:textId="77777777" w:rsidR="006E18B6" w:rsidRDefault="006E18B6" w:rsidP="00C10FD2">
    <w:pPr>
      <w:pStyle w:val="Header"/>
      <w:jc w:val="center"/>
    </w:pPr>
    <w:r>
      <w:rPr>
        <w:rFonts w:cstheme="minorHAnsi"/>
        <w:b/>
        <w:noProof/>
        <w:lang w:eastAsia="en-PH"/>
      </w:rPr>
      <w:drawing>
        <wp:inline distT="0" distB="0" distL="0" distR="0" wp14:anchorId="4F43ED66" wp14:editId="0B58FC4A">
          <wp:extent cx="3333750" cy="178583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 - Full Signatures - Center Lockup - Full Color - English.jpg"/>
                  <pic:cNvPicPr/>
                </pic:nvPicPr>
                <pic:blipFill>
                  <a:blip r:embed="rId1">
                    <a:extLst>
                      <a:ext uri="{28A0092B-C50C-407E-A947-70E740481C1C}">
                        <a14:useLocalDpi xmlns:a14="http://schemas.microsoft.com/office/drawing/2010/main" val="0"/>
                      </a:ext>
                    </a:extLst>
                  </a:blip>
                  <a:stretch>
                    <a:fillRect/>
                  </a:stretch>
                </pic:blipFill>
                <pic:spPr>
                  <a:xfrm>
                    <a:off x="0" y="0"/>
                    <a:ext cx="3363245" cy="1801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C05"/>
    <w:multiLevelType w:val="hybridMultilevel"/>
    <w:tmpl w:val="38407F38"/>
    <w:lvl w:ilvl="0" w:tplc="12B27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2B70"/>
    <w:multiLevelType w:val="hybridMultilevel"/>
    <w:tmpl w:val="435449B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4EBC"/>
    <w:multiLevelType w:val="hybridMultilevel"/>
    <w:tmpl w:val="F912E042"/>
    <w:lvl w:ilvl="0" w:tplc="0809000F">
      <w:start w:val="1"/>
      <w:numFmt w:val="decimal"/>
      <w:lvlText w:val="%1."/>
      <w:lvlJc w:val="left"/>
      <w:pPr>
        <w:ind w:left="720" w:hanging="360"/>
      </w:pPr>
    </w:lvl>
    <w:lvl w:ilvl="1" w:tplc="DB1E91D2">
      <w:start w:val="1"/>
      <w:numFmt w:val="lowerLetter"/>
      <w:lvlText w:val="%2."/>
      <w:lvlJc w:val="left"/>
      <w:pPr>
        <w:ind w:left="1440" w:hanging="360"/>
      </w:pPr>
      <w:rPr>
        <w:rFonts w:asciiTheme="majorHAnsi" w:eastAsiaTheme="minorHAnsi" w:hAnsiTheme="majorHAnsi" w:cstheme="maj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22980"/>
    <w:multiLevelType w:val="hybridMultilevel"/>
    <w:tmpl w:val="325AF4CE"/>
    <w:lvl w:ilvl="0" w:tplc="409E48E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1012"/>
    <w:multiLevelType w:val="hybridMultilevel"/>
    <w:tmpl w:val="D1EA8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28BE"/>
    <w:multiLevelType w:val="hybridMultilevel"/>
    <w:tmpl w:val="8F10C0C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132D8"/>
    <w:multiLevelType w:val="hybridMultilevel"/>
    <w:tmpl w:val="ADDC6B9C"/>
    <w:lvl w:ilvl="0" w:tplc="7708FD7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62076"/>
    <w:multiLevelType w:val="hybridMultilevel"/>
    <w:tmpl w:val="FC4A6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00DD"/>
    <w:multiLevelType w:val="hybridMultilevel"/>
    <w:tmpl w:val="8B8AD268"/>
    <w:lvl w:ilvl="0" w:tplc="8358659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31F6B"/>
    <w:multiLevelType w:val="hybridMultilevel"/>
    <w:tmpl w:val="3C748226"/>
    <w:lvl w:ilvl="0" w:tplc="52388DF0">
      <w:start w:val="1"/>
      <w:numFmt w:val="lowerLetter"/>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C2DA7"/>
    <w:multiLevelType w:val="hybridMultilevel"/>
    <w:tmpl w:val="2DD223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B19C5"/>
    <w:multiLevelType w:val="hybridMultilevel"/>
    <w:tmpl w:val="57140564"/>
    <w:lvl w:ilvl="0" w:tplc="0AEA34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67A15"/>
    <w:multiLevelType w:val="hybridMultilevel"/>
    <w:tmpl w:val="DEF6356A"/>
    <w:lvl w:ilvl="0" w:tplc="E0CA4D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3889"/>
    <w:multiLevelType w:val="hybridMultilevel"/>
    <w:tmpl w:val="2EE21D5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37358"/>
    <w:multiLevelType w:val="hybridMultilevel"/>
    <w:tmpl w:val="8CBCB1D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3537E"/>
    <w:multiLevelType w:val="hybridMultilevel"/>
    <w:tmpl w:val="D5DA8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C485E"/>
    <w:multiLevelType w:val="hybridMultilevel"/>
    <w:tmpl w:val="46FE0D5E"/>
    <w:lvl w:ilvl="0" w:tplc="C61A4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272AA0"/>
    <w:multiLevelType w:val="hybridMultilevel"/>
    <w:tmpl w:val="F49CB25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B12AE"/>
    <w:multiLevelType w:val="hybridMultilevel"/>
    <w:tmpl w:val="14F2078E"/>
    <w:lvl w:ilvl="0" w:tplc="A18848C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74FCE"/>
    <w:multiLevelType w:val="hybridMultilevel"/>
    <w:tmpl w:val="6FD4A97A"/>
    <w:lvl w:ilvl="0" w:tplc="E0D8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C25BE"/>
    <w:multiLevelType w:val="hybridMultilevel"/>
    <w:tmpl w:val="428447C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941202E"/>
    <w:multiLevelType w:val="hybridMultilevel"/>
    <w:tmpl w:val="9462DE3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E400E"/>
    <w:multiLevelType w:val="hybridMultilevel"/>
    <w:tmpl w:val="F9A855A4"/>
    <w:lvl w:ilvl="0" w:tplc="9D729E1A">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837847"/>
    <w:multiLevelType w:val="hybridMultilevel"/>
    <w:tmpl w:val="27900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F66B5"/>
    <w:multiLevelType w:val="hybridMultilevel"/>
    <w:tmpl w:val="E0248AB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80110"/>
    <w:multiLevelType w:val="hybridMultilevel"/>
    <w:tmpl w:val="C7D6F31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14AFD"/>
    <w:multiLevelType w:val="hybridMultilevel"/>
    <w:tmpl w:val="07FA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0"/>
  </w:num>
  <w:num w:numId="4">
    <w:abstractNumId w:val="19"/>
  </w:num>
  <w:num w:numId="5">
    <w:abstractNumId w:val="16"/>
  </w:num>
  <w:num w:numId="6">
    <w:abstractNumId w:val="9"/>
  </w:num>
  <w:num w:numId="7">
    <w:abstractNumId w:val="12"/>
  </w:num>
  <w:num w:numId="8">
    <w:abstractNumId w:val="6"/>
  </w:num>
  <w:num w:numId="9">
    <w:abstractNumId w:val="4"/>
  </w:num>
  <w:num w:numId="10">
    <w:abstractNumId w:val="7"/>
  </w:num>
  <w:num w:numId="11">
    <w:abstractNumId w:val="23"/>
  </w:num>
  <w:num w:numId="12">
    <w:abstractNumId w:val="25"/>
  </w:num>
  <w:num w:numId="13">
    <w:abstractNumId w:val="11"/>
  </w:num>
  <w:num w:numId="14">
    <w:abstractNumId w:val="8"/>
  </w:num>
  <w:num w:numId="15">
    <w:abstractNumId w:val="22"/>
  </w:num>
  <w:num w:numId="16">
    <w:abstractNumId w:val="5"/>
  </w:num>
  <w:num w:numId="17">
    <w:abstractNumId w:val="3"/>
  </w:num>
  <w:num w:numId="18">
    <w:abstractNumId w:val="24"/>
  </w:num>
  <w:num w:numId="19">
    <w:abstractNumId w:val="21"/>
  </w:num>
  <w:num w:numId="20">
    <w:abstractNumId w:val="14"/>
  </w:num>
  <w:num w:numId="21">
    <w:abstractNumId w:val="10"/>
  </w:num>
  <w:num w:numId="22">
    <w:abstractNumId w:val="13"/>
  </w:num>
  <w:num w:numId="23">
    <w:abstractNumId w:val="17"/>
  </w:num>
  <w:num w:numId="24">
    <w:abstractNumId w:val="1"/>
  </w:num>
  <w:num w:numId="25">
    <w:abstractNumId w:val="0"/>
  </w:num>
  <w:num w:numId="26">
    <w:abstractNumId w:val="18"/>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D2"/>
    <w:rsid w:val="000045E5"/>
    <w:rsid w:val="00004942"/>
    <w:rsid w:val="00006C70"/>
    <w:rsid w:val="00013E5D"/>
    <w:rsid w:val="00014806"/>
    <w:rsid w:val="00014C61"/>
    <w:rsid w:val="00017E63"/>
    <w:rsid w:val="00017E88"/>
    <w:rsid w:val="00023795"/>
    <w:rsid w:val="000243DE"/>
    <w:rsid w:val="0002441E"/>
    <w:rsid w:val="000270BD"/>
    <w:rsid w:val="0002753D"/>
    <w:rsid w:val="00032A11"/>
    <w:rsid w:val="00036564"/>
    <w:rsid w:val="000419B7"/>
    <w:rsid w:val="00041E04"/>
    <w:rsid w:val="0004412E"/>
    <w:rsid w:val="000446D6"/>
    <w:rsid w:val="00044ECB"/>
    <w:rsid w:val="000509C4"/>
    <w:rsid w:val="00051633"/>
    <w:rsid w:val="00051770"/>
    <w:rsid w:val="0005264D"/>
    <w:rsid w:val="00055448"/>
    <w:rsid w:val="000556FC"/>
    <w:rsid w:val="00055C51"/>
    <w:rsid w:val="00061A1A"/>
    <w:rsid w:val="00066706"/>
    <w:rsid w:val="000708EB"/>
    <w:rsid w:val="000716DD"/>
    <w:rsid w:val="00080FEB"/>
    <w:rsid w:val="000822DC"/>
    <w:rsid w:val="00082E81"/>
    <w:rsid w:val="00083018"/>
    <w:rsid w:val="00084DA5"/>
    <w:rsid w:val="00086827"/>
    <w:rsid w:val="00090ACD"/>
    <w:rsid w:val="00091647"/>
    <w:rsid w:val="00092422"/>
    <w:rsid w:val="000940AB"/>
    <w:rsid w:val="000967CE"/>
    <w:rsid w:val="000A00F6"/>
    <w:rsid w:val="000A107D"/>
    <w:rsid w:val="000A512F"/>
    <w:rsid w:val="000B06E9"/>
    <w:rsid w:val="000B10BC"/>
    <w:rsid w:val="000B1416"/>
    <w:rsid w:val="000B46AA"/>
    <w:rsid w:val="000B65AC"/>
    <w:rsid w:val="000C2941"/>
    <w:rsid w:val="000C6170"/>
    <w:rsid w:val="000C70DF"/>
    <w:rsid w:val="000D28D7"/>
    <w:rsid w:val="000D2A05"/>
    <w:rsid w:val="000D2CD8"/>
    <w:rsid w:val="000D3D32"/>
    <w:rsid w:val="000D3F15"/>
    <w:rsid w:val="000D60E9"/>
    <w:rsid w:val="000E1C57"/>
    <w:rsid w:val="000E2C9E"/>
    <w:rsid w:val="000E75FD"/>
    <w:rsid w:val="000F157F"/>
    <w:rsid w:val="000F1904"/>
    <w:rsid w:val="000F3195"/>
    <w:rsid w:val="000F53CA"/>
    <w:rsid w:val="00101E90"/>
    <w:rsid w:val="0010387F"/>
    <w:rsid w:val="001059DD"/>
    <w:rsid w:val="00107769"/>
    <w:rsid w:val="001115F1"/>
    <w:rsid w:val="00116354"/>
    <w:rsid w:val="001170B6"/>
    <w:rsid w:val="0012001E"/>
    <w:rsid w:val="00120A55"/>
    <w:rsid w:val="00123ECB"/>
    <w:rsid w:val="00124E5A"/>
    <w:rsid w:val="00125361"/>
    <w:rsid w:val="001341DE"/>
    <w:rsid w:val="00134E8E"/>
    <w:rsid w:val="00136E84"/>
    <w:rsid w:val="00140130"/>
    <w:rsid w:val="00140E96"/>
    <w:rsid w:val="001434C0"/>
    <w:rsid w:val="0014387E"/>
    <w:rsid w:val="00143F33"/>
    <w:rsid w:val="001472E9"/>
    <w:rsid w:val="00151098"/>
    <w:rsid w:val="00153D25"/>
    <w:rsid w:val="0015744E"/>
    <w:rsid w:val="00157A27"/>
    <w:rsid w:val="00161AA2"/>
    <w:rsid w:val="0016287B"/>
    <w:rsid w:val="00162883"/>
    <w:rsid w:val="00162C39"/>
    <w:rsid w:val="00165ABB"/>
    <w:rsid w:val="0017043E"/>
    <w:rsid w:val="00170651"/>
    <w:rsid w:val="001721D1"/>
    <w:rsid w:val="001752DD"/>
    <w:rsid w:val="00175FF9"/>
    <w:rsid w:val="001764EE"/>
    <w:rsid w:val="00180B9C"/>
    <w:rsid w:val="00183598"/>
    <w:rsid w:val="001840B2"/>
    <w:rsid w:val="00185AD2"/>
    <w:rsid w:val="0018647E"/>
    <w:rsid w:val="001879E3"/>
    <w:rsid w:val="0019602F"/>
    <w:rsid w:val="00196846"/>
    <w:rsid w:val="00197A99"/>
    <w:rsid w:val="001A1511"/>
    <w:rsid w:val="001A4B15"/>
    <w:rsid w:val="001A4B77"/>
    <w:rsid w:val="001A6227"/>
    <w:rsid w:val="001B1AAB"/>
    <w:rsid w:val="001B3102"/>
    <w:rsid w:val="001B6E89"/>
    <w:rsid w:val="001C08A6"/>
    <w:rsid w:val="001C306B"/>
    <w:rsid w:val="001C47E2"/>
    <w:rsid w:val="001C610B"/>
    <w:rsid w:val="001D0B0D"/>
    <w:rsid w:val="001D2C75"/>
    <w:rsid w:val="001D637A"/>
    <w:rsid w:val="001D67B6"/>
    <w:rsid w:val="001D689F"/>
    <w:rsid w:val="001D68AF"/>
    <w:rsid w:val="001D7FC0"/>
    <w:rsid w:val="001E52D2"/>
    <w:rsid w:val="001E6FCE"/>
    <w:rsid w:val="001F07AC"/>
    <w:rsid w:val="001F21CE"/>
    <w:rsid w:val="001F39A2"/>
    <w:rsid w:val="001F6B83"/>
    <w:rsid w:val="001F7C74"/>
    <w:rsid w:val="002038EC"/>
    <w:rsid w:val="0020469A"/>
    <w:rsid w:val="00204986"/>
    <w:rsid w:val="00204E73"/>
    <w:rsid w:val="002062A6"/>
    <w:rsid w:val="00206A84"/>
    <w:rsid w:val="00212675"/>
    <w:rsid w:val="00212F00"/>
    <w:rsid w:val="002134AE"/>
    <w:rsid w:val="00213EA6"/>
    <w:rsid w:val="002152F4"/>
    <w:rsid w:val="00215660"/>
    <w:rsid w:val="00215CC9"/>
    <w:rsid w:val="00216933"/>
    <w:rsid w:val="00216E46"/>
    <w:rsid w:val="002216B4"/>
    <w:rsid w:val="00221DE8"/>
    <w:rsid w:val="00222A07"/>
    <w:rsid w:val="0022342A"/>
    <w:rsid w:val="00225185"/>
    <w:rsid w:val="00225C18"/>
    <w:rsid w:val="00227574"/>
    <w:rsid w:val="0023019C"/>
    <w:rsid w:val="002317BD"/>
    <w:rsid w:val="00231A95"/>
    <w:rsid w:val="002404E2"/>
    <w:rsid w:val="00240C0A"/>
    <w:rsid w:val="00242AB1"/>
    <w:rsid w:val="00244C81"/>
    <w:rsid w:val="00245A31"/>
    <w:rsid w:val="00245D6D"/>
    <w:rsid w:val="00246493"/>
    <w:rsid w:val="00246EA8"/>
    <w:rsid w:val="00247077"/>
    <w:rsid w:val="002477A7"/>
    <w:rsid w:val="00253393"/>
    <w:rsid w:val="002542B2"/>
    <w:rsid w:val="00256B1E"/>
    <w:rsid w:val="0025738B"/>
    <w:rsid w:val="002607B3"/>
    <w:rsid w:val="00260F70"/>
    <w:rsid w:val="002658F8"/>
    <w:rsid w:val="00265C2B"/>
    <w:rsid w:val="0027217E"/>
    <w:rsid w:val="00281E36"/>
    <w:rsid w:val="00284157"/>
    <w:rsid w:val="00286D9F"/>
    <w:rsid w:val="002927D5"/>
    <w:rsid w:val="002944BE"/>
    <w:rsid w:val="002952BF"/>
    <w:rsid w:val="00296551"/>
    <w:rsid w:val="00297E00"/>
    <w:rsid w:val="002A1FB0"/>
    <w:rsid w:val="002A205F"/>
    <w:rsid w:val="002A7E16"/>
    <w:rsid w:val="002B4572"/>
    <w:rsid w:val="002B6120"/>
    <w:rsid w:val="002C01CD"/>
    <w:rsid w:val="002C054B"/>
    <w:rsid w:val="002C1D17"/>
    <w:rsid w:val="002C3246"/>
    <w:rsid w:val="002C5156"/>
    <w:rsid w:val="002C53D5"/>
    <w:rsid w:val="002C5D4F"/>
    <w:rsid w:val="002C731B"/>
    <w:rsid w:val="002D234D"/>
    <w:rsid w:val="002D28AB"/>
    <w:rsid w:val="002D322D"/>
    <w:rsid w:val="002D57D9"/>
    <w:rsid w:val="002D7677"/>
    <w:rsid w:val="002E12E4"/>
    <w:rsid w:val="002E4514"/>
    <w:rsid w:val="002E4CD0"/>
    <w:rsid w:val="002E5864"/>
    <w:rsid w:val="002E6128"/>
    <w:rsid w:val="002F17FC"/>
    <w:rsid w:val="002F22F3"/>
    <w:rsid w:val="002F7FC9"/>
    <w:rsid w:val="003001C4"/>
    <w:rsid w:val="00301851"/>
    <w:rsid w:val="00302B77"/>
    <w:rsid w:val="003035CD"/>
    <w:rsid w:val="00310891"/>
    <w:rsid w:val="003149D6"/>
    <w:rsid w:val="003162DC"/>
    <w:rsid w:val="003169C5"/>
    <w:rsid w:val="00316C4A"/>
    <w:rsid w:val="0031754A"/>
    <w:rsid w:val="00317CA6"/>
    <w:rsid w:val="003228B1"/>
    <w:rsid w:val="00330F2E"/>
    <w:rsid w:val="00331BDA"/>
    <w:rsid w:val="00331E78"/>
    <w:rsid w:val="00342DBA"/>
    <w:rsid w:val="003503CA"/>
    <w:rsid w:val="0035090F"/>
    <w:rsid w:val="00352B21"/>
    <w:rsid w:val="00354308"/>
    <w:rsid w:val="00356011"/>
    <w:rsid w:val="003569CD"/>
    <w:rsid w:val="00357094"/>
    <w:rsid w:val="00357765"/>
    <w:rsid w:val="00363157"/>
    <w:rsid w:val="003645AF"/>
    <w:rsid w:val="00365CE6"/>
    <w:rsid w:val="0036702C"/>
    <w:rsid w:val="003672C7"/>
    <w:rsid w:val="003678A4"/>
    <w:rsid w:val="00367D7F"/>
    <w:rsid w:val="00370CC5"/>
    <w:rsid w:val="00371761"/>
    <w:rsid w:val="00373608"/>
    <w:rsid w:val="0037602C"/>
    <w:rsid w:val="00380518"/>
    <w:rsid w:val="003836A1"/>
    <w:rsid w:val="00383851"/>
    <w:rsid w:val="00384B48"/>
    <w:rsid w:val="003851BE"/>
    <w:rsid w:val="0039185B"/>
    <w:rsid w:val="0039196B"/>
    <w:rsid w:val="003924C9"/>
    <w:rsid w:val="003949B4"/>
    <w:rsid w:val="003979A8"/>
    <w:rsid w:val="003979EF"/>
    <w:rsid w:val="003A4C82"/>
    <w:rsid w:val="003A52FB"/>
    <w:rsid w:val="003A5408"/>
    <w:rsid w:val="003B2191"/>
    <w:rsid w:val="003B2CD9"/>
    <w:rsid w:val="003B439A"/>
    <w:rsid w:val="003B765B"/>
    <w:rsid w:val="003C6F1C"/>
    <w:rsid w:val="003D04E5"/>
    <w:rsid w:val="003D0836"/>
    <w:rsid w:val="003D19FD"/>
    <w:rsid w:val="003D2217"/>
    <w:rsid w:val="003D5BDE"/>
    <w:rsid w:val="003D62A4"/>
    <w:rsid w:val="003D690D"/>
    <w:rsid w:val="003E37A3"/>
    <w:rsid w:val="003E3E8A"/>
    <w:rsid w:val="003E5B11"/>
    <w:rsid w:val="003F307B"/>
    <w:rsid w:val="003F4D57"/>
    <w:rsid w:val="003F60B7"/>
    <w:rsid w:val="003F6255"/>
    <w:rsid w:val="003F74DB"/>
    <w:rsid w:val="003F7820"/>
    <w:rsid w:val="00400006"/>
    <w:rsid w:val="00400E9A"/>
    <w:rsid w:val="004017DB"/>
    <w:rsid w:val="00402088"/>
    <w:rsid w:val="0040208B"/>
    <w:rsid w:val="00402B93"/>
    <w:rsid w:val="004073DD"/>
    <w:rsid w:val="00411548"/>
    <w:rsid w:val="00411CBC"/>
    <w:rsid w:val="00411E97"/>
    <w:rsid w:val="004133FB"/>
    <w:rsid w:val="004167BF"/>
    <w:rsid w:val="00416AD1"/>
    <w:rsid w:val="004179E2"/>
    <w:rsid w:val="00426B15"/>
    <w:rsid w:val="00436A70"/>
    <w:rsid w:val="00442FE3"/>
    <w:rsid w:val="00446FF0"/>
    <w:rsid w:val="00447ACD"/>
    <w:rsid w:val="00450EBD"/>
    <w:rsid w:val="0045147F"/>
    <w:rsid w:val="0045232F"/>
    <w:rsid w:val="004523D0"/>
    <w:rsid w:val="004542B1"/>
    <w:rsid w:val="00455A8A"/>
    <w:rsid w:val="00457567"/>
    <w:rsid w:val="00461786"/>
    <w:rsid w:val="00461CE0"/>
    <w:rsid w:val="004650E9"/>
    <w:rsid w:val="00467567"/>
    <w:rsid w:val="00467DEB"/>
    <w:rsid w:val="0047003A"/>
    <w:rsid w:val="004700B6"/>
    <w:rsid w:val="004709C6"/>
    <w:rsid w:val="00471B39"/>
    <w:rsid w:val="00472647"/>
    <w:rsid w:val="00472D17"/>
    <w:rsid w:val="004766CC"/>
    <w:rsid w:val="00480AB0"/>
    <w:rsid w:val="00480CBA"/>
    <w:rsid w:val="0048245D"/>
    <w:rsid w:val="00484995"/>
    <w:rsid w:val="004854A7"/>
    <w:rsid w:val="00487A0D"/>
    <w:rsid w:val="0049022D"/>
    <w:rsid w:val="00490E7F"/>
    <w:rsid w:val="0049205A"/>
    <w:rsid w:val="00494377"/>
    <w:rsid w:val="00495F55"/>
    <w:rsid w:val="0049680D"/>
    <w:rsid w:val="00496D13"/>
    <w:rsid w:val="004A103B"/>
    <w:rsid w:val="004A13ED"/>
    <w:rsid w:val="004A1838"/>
    <w:rsid w:val="004A1B47"/>
    <w:rsid w:val="004A6B5A"/>
    <w:rsid w:val="004A6F11"/>
    <w:rsid w:val="004B2E15"/>
    <w:rsid w:val="004B2F22"/>
    <w:rsid w:val="004B3292"/>
    <w:rsid w:val="004B5B08"/>
    <w:rsid w:val="004B5BBD"/>
    <w:rsid w:val="004B5BFE"/>
    <w:rsid w:val="004B658E"/>
    <w:rsid w:val="004B7A6D"/>
    <w:rsid w:val="004C0DAE"/>
    <w:rsid w:val="004C1B2A"/>
    <w:rsid w:val="004C40F5"/>
    <w:rsid w:val="004C5E5A"/>
    <w:rsid w:val="004C6A5D"/>
    <w:rsid w:val="004C73E6"/>
    <w:rsid w:val="004C7B17"/>
    <w:rsid w:val="004D0C4C"/>
    <w:rsid w:val="004D0F9B"/>
    <w:rsid w:val="004D1394"/>
    <w:rsid w:val="004D521B"/>
    <w:rsid w:val="004D660D"/>
    <w:rsid w:val="004E2703"/>
    <w:rsid w:val="004E2FC1"/>
    <w:rsid w:val="004E45BE"/>
    <w:rsid w:val="004E545C"/>
    <w:rsid w:val="004F05BA"/>
    <w:rsid w:val="004F1629"/>
    <w:rsid w:val="004F38A2"/>
    <w:rsid w:val="004F430D"/>
    <w:rsid w:val="004F4771"/>
    <w:rsid w:val="004F48A6"/>
    <w:rsid w:val="004F7BC1"/>
    <w:rsid w:val="00500239"/>
    <w:rsid w:val="00501087"/>
    <w:rsid w:val="005049A4"/>
    <w:rsid w:val="005066E2"/>
    <w:rsid w:val="00506B93"/>
    <w:rsid w:val="00506EC2"/>
    <w:rsid w:val="0052029B"/>
    <w:rsid w:val="00520C59"/>
    <w:rsid w:val="00521193"/>
    <w:rsid w:val="005224D7"/>
    <w:rsid w:val="00527185"/>
    <w:rsid w:val="00527B5D"/>
    <w:rsid w:val="00532419"/>
    <w:rsid w:val="00532728"/>
    <w:rsid w:val="005329E0"/>
    <w:rsid w:val="0053327B"/>
    <w:rsid w:val="005335EF"/>
    <w:rsid w:val="00536331"/>
    <w:rsid w:val="00547245"/>
    <w:rsid w:val="00547A3D"/>
    <w:rsid w:val="00547DE5"/>
    <w:rsid w:val="00550D66"/>
    <w:rsid w:val="00555EEC"/>
    <w:rsid w:val="00556705"/>
    <w:rsid w:val="005617B8"/>
    <w:rsid w:val="005638BF"/>
    <w:rsid w:val="0056499B"/>
    <w:rsid w:val="00565463"/>
    <w:rsid w:val="00571434"/>
    <w:rsid w:val="00575B60"/>
    <w:rsid w:val="005778CE"/>
    <w:rsid w:val="005779B5"/>
    <w:rsid w:val="0058058E"/>
    <w:rsid w:val="005820A7"/>
    <w:rsid w:val="005840EB"/>
    <w:rsid w:val="00586341"/>
    <w:rsid w:val="00590957"/>
    <w:rsid w:val="0059239A"/>
    <w:rsid w:val="00592627"/>
    <w:rsid w:val="00593119"/>
    <w:rsid w:val="0059663E"/>
    <w:rsid w:val="005A03AC"/>
    <w:rsid w:val="005A675E"/>
    <w:rsid w:val="005B1EBC"/>
    <w:rsid w:val="005C4F01"/>
    <w:rsid w:val="005C563B"/>
    <w:rsid w:val="005C6B99"/>
    <w:rsid w:val="005C74D0"/>
    <w:rsid w:val="005D017F"/>
    <w:rsid w:val="005D0861"/>
    <w:rsid w:val="005D2A3E"/>
    <w:rsid w:val="005D6461"/>
    <w:rsid w:val="005D7F75"/>
    <w:rsid w:val="005E4133"/>
    <w:rsid w:val="005E43AF"/>
    <w:rsid w:val="005E45AF"/>
    <w:rsid w:val="005E4932"/>
    <w:rsid w:val="005E6DA8"/>
    <w:rsid w:val="005F0C46"/>
    <w:rsid w:val="005F206E"/>
    <w:rsid w:val="005F392F"/>
    <w:rsid w:val="005F3A34"/>
    <w:rsid w:val="005F4C36"/>
    <w:rsid w:val="006004D8"/>
    <w:rsid w:val="00604F2B"/>
    <w:rsid w:val="00610E79"/>
    <w:rsid w:val="006145A9"/>
    <w:rsid w:val="00614D8E"/>
    <w:rsid w:val="00615A1F"/>
    <w:rsid w:val="006169F2"/>
    <w:rsid w:val="00617944"/>
    <w:rsid w:val="00617EFA"/>
    <w:rsid w:val="00621BA8"/>
    <w:rsid w:val="0062258A"/>
    <w:rsid w:val="00623096"/>
    <w:rsid w:val="006269F2"/>
    <w:rsid w:val="00630A62"/>
    <w:rsid w:val="00633239"/>
    <w:rsid w:val="006344A9"/>
    <w:rsid w:val="00634C76"/>
    <w:rsid w:val="0063675E"/>
    <w:rsid w:val="0064057C"/>
    <w:rsid w:val="00642E5C"/>
    <w:rsid w:val="00644857"/>
    <w:rsid w:val="006530A6"/>
    <w:rsid w:val="00654B52"/>
    <w:rsid w:val="00654BDC"/>
    <w:rsid w:val="006601EE"/>
    <w:rsid w:val="0066249F"/>
    <w:rsid w:val="00663101"/>
    <w:rsid w:val="00665DF3"/>
    <w:rsid w:val="006668C5"/>
    <w:rsid w:val="0066746B"/>
    <w:rsid w:val="00671A21"/>
    <w:rsid w:val="006720FE"/>
    <w:rsid w:val="006769A6"/>
    <w:rsid w:val="00680734"/>
    <w:rsid w:val="00681FA8"/>
    <w:rsid w:val="0068300B"/>
    <w:rsid w:val="0068560A"/>
    <w:rsid w:val="00687318"/>
    <w:rsid w:val="00687677"/>
    <w:rsid w:val="00690E92"/>
    <w:rsid w:val="00692D32"/>
    <w:rsid w:val="006950C3"/>
    <w:rsid w:val="0069512F"/>
    <w:rsid w:val="00696BA6"/>
    <w:rsid w:val="006A3960"/>
    <w:rsid w:val="006A39EE"/>
    <w:rsid w:val="006A7630"/>
    <w:rsid w:val="006A7BB6"/>
    <w:rsid w:val="006A7BE9"/>
    <w:rsid w:val="006B2128"/>
    <w:rsid w:val="006B3514"/>
    <w:rsid w:val="006B5891"/>
    <w:rsid w:val="006B642D"/>
    <w:rsid w:val="006C281C"/>
    <w:rsid w:val="006C5E41"/>
    <w:rsid w:val="006D1EC5"/>
    <w:rsid w:val="006D5F2D"/>
    <w:rsid w:val="006E0A05"/>
    <w:rsid w:val="006E1107"/>
    <w:rsid w:val="006E18B6"/>
    <w:rsid w:val="006E3554"/>
    <w:rsid w:val="006F0B07"/>
    <w:rsid w:val="006F2487"/>
    <w:rsid w:val="006F65D8"/>
    <w:rsid w:val="007001BB"/>
    <w:rsid w:val="00700EBE"/>
    <w:rsid w:val="00701940"/>
    <w:rsid w:val="00701B3D"/>
    <w:rsid w:val="00710103"/>
    <w:rsid w:val="00716E24"/>
    <w:rsid w:val="00717F19"/>
    <w:rsid w:val="0072120C"/>
    <w:rsid w:val="007216C6"/>
    <w:rsid w:val="00721A02"/>
    <w:rsid w:val="00722724"/>
    <w:rsid w:val="007302E2"/>
    <w:rsid w:val="00731F82"/>
    <w:rsid w:val="00732A91"/>
    <w:rsid w:val="00732D76"/>
    <w:rsid w:val="00734376"/>
    <w:rsid w:val="007345C8"/>
    <w:rsid w:val="00735C99"/>
    <w:rsid w:val="007361E5"/>
    <w:rsid w:val="00736BAF"/>
    <w:rsid w:val="007424EC"/>
    <w:rsid w:val="00745791"/>
    <w:rsid w:val="00745BA8"/>
    <w:rsid w:val="007501A9"/>
    <w:rsid w:val="00751AA4"/>
    <w:rsid w:val="00752FCA"/>
    <w:rsid w:val="00753C46"/>
    <w:rsid w:val="0075780B"/>
    <w:rsid w:val="00764610"/>
    <w:rsid w:val="00765913"/>
    <w:rsid w:val="00771713"/>
    <w:rsid w:val="00772059"/>
    <w:rsid w:val="00775C46"/>
    <w:rsid w:val="00775D01"/>
    <w:rsid w:val="00776FD0"/>
    <w:rsid w:val="00777557"/>
    <w:rsid w:val="0077780E"/>
    <w:rsid w:val="00777AF4"/>
    <w:rsid w:val="0078125C"/>
    <w:rsid w:val="00783633"/>
    <w:rsid w:val="00784ACB"/>
    <w:rsid w:val="0078648D"/>
    <w:rsid w:val="007864E1"/>
    <w:rsid w:val="0078686C"/>
    <w:rsid w:val="00791E8B"/>
    <w:rsid w:val="007A0044"/>
    <w:rsid w:val="007A21D6"/>
    <w:rsid w:val="007A32FA"/>
    <w:rsid w:val="007A384B"/>
    <w:rsid w:val="007A7F3D"/>
    <w:rsid w:val="007B078F"/>
    <w:rsid w:val="007B3B87"/>
    <w:rsid w:val="007B74DF"/>
    <w:rsid w:val="007C4F93"/>
    <w:rsid w:val="007C52D9"/>
    <w:rsid w:val="007C74F9"/>
    <w:rsid w:val="007C7AF2"/>
    <w:rsid w:val="007D0B84"/>
    <w:rsid w:val="007D45DC"/>
    <w:rsid w:val="007D51B1"/>
    <w:rsid w:val="007D536F"/>
    <w:rsid w:val="007E333F"/>
    <w:rsid w:val="007E391A"/>
    <w:rsid w:val="007E6D58"/>
    <w:rsid w:val="007F1CF8"/>
    <w:rsid w:val="007F6B9D"/>
    <w:rsid w:val="008003ED"/>
    <w:rsid w:val="008018FF"/>
    <w:rsid w:val="00802A4A"/>
    <w:rsid w:val="00804536"/>
    <w:rsid w:val="0081747F"/>
    <w:rsid w:val="00817649"/>
    <w:rsid w:val="00820530"/>
    <w:rsid w:val="00833269"/>
    <w:rsid w:val="00837D3A"/>
    <w:rsid w:val="00841612"/>
    <w:rsid w:val="00842236"/>
    <w:rsid w:val="00842EC9"/>
    <w:rsid w:val="00843464"/>
    <w:rsid w:val="00845D38"/>
    <w:rsid w:val="0084634A"/>
    <w:rsid w:val="00850733"/>
    <w:rsid w:val="008518F8"/>
    <w:rsid w:val="00851F0D"/>
    <w:rsid w:val="008539AB"/>
    <w:rsid w:val="00854A51"/>
    <w:rsid w:val="00854C46"/>
    <w:rsid w:val="00856D6F"/>
    <w:rsid w:val="008600BF"/>
    <w:rsid w:val="00860C22"/>
    <w:rsid w:val="00861027"/>
    <w:rsid w:val="00861F89"/>
    <w:rsid w:val="008621E3"/>
    <w:rsid w:val="00863006"/>
    <w:rsid w:val="00865F86"/>
    <w:rsid w:val="00866C64"/>
    <w:rsid w:val="00871435"/>
    <w:rsid w:val="00871B67"/>
    <w:rsid w:val="00873483"/>
    <w:rsid w:val="0087358B"/>
    <w:rsid w:val="008741CC"/>
    <w:rsid w:val="00880417"/>
    <w:rsid w:val="0088089B"/>
    <w:rsid w:val="00882773"/>
    <w:rsid w:val="00882D10"/>
    <w:rsid w:val="00890F4A"/>
    <w:rsid w:val="00891F4F"/>
    <w:rsid w:val="00893F08"/>
    <w:rsid w:val="00896DD2"/>
    <w:rsid w:val="008A01E7"/>
    <w:rsid w:val="008A22D0"/>
    <w:rsid w:val="008A4217"/>
    <w:rsid w:val="008A6013"/>
    <w:rsid w:val="008A70BA"/>
    <w:rsid w:val="008A7958"/>
    <w:rsid w:val="008B31AD"/>
    <w:rsid w:val="008B3A49"/>
    <w:rsid w:val="008B4E4A"/>
    <w:rsid w:val="008C1190"/>
    <w:rsid w:val="008C49D2"/>
    <w:rsid w:val="008C7F24"/>
    <w:rsid w:val="008D0A36"/>
    <w:rsid w:val="008E1B0A"/>
    <w:rsid w:val="008E4D13"/>
    <w:rsid w:val="008E61CE"/>
    <w:rsid w:val="008E6A17"/>
    <w:rsid w:val="008E6C65"/>
    <w:rsid w:val="008E77C0"/>
    <w:rsid w:val="008F049A"/>
    <w:rsid w:val="008F158D"/>
    <w:rsid w:val="008F2EB8"/>
    <w:rsid w:val="008F5743"/>
    <w:rsid w:val="008F69E6"/>
    <w:rsid w:val="008F6DDE"/>
    <w:rsid w:val="00900D31"/>
    <w:rsid w:val="00901CA9"/>
    <w:rsid w:val="009047EC"/>
    <w:rsid w:val="00904F46"/>
    <w:rsid w:val="00905248"/>
    <w:rsid w:val="00911B56"/>
    <w:rsid w:val="0091260C"/>
    <w:rsid w:val="00920616"/>
    <w:rsid w:val="00920F7E"/>
    <w:rsid w:val="00923111"/>
    <w:rsid w:val="00923366"/>
    <w:rsid w:val="009328A9"/>
    <w:rsid w:val="00934715"/>
    <w:rsid w:val="00934E65"/>
    <w:rsid w:val="00936D01"/>
    <w:rsid w:val="009412C0"/>
    <w:rsid w:val="009413D0"/>
    <w:rsid w:val="00941D92"/>
    <w:rsid w:val="00944465"/>
    <w:rsid w:val="009452DE"/>
    <w:rsid w:val="009476EE"/>
    <w:rsid w:val="00950E90"/>
    <w:rsid w:val="009523CE"/>
    <w:rsid w:val="0095270A"/>
    <w:rsid w:val="009533A2"/>
    <w:rsid w:val="00953C08"/>
    <w:rsid w:val="00954225"/>
    <w:rsid w:val="00956C2E"/>
    <w:rsid w:val="00960E00"/>
    <w:rsid w:val="00960E24"/>
    <w:rsid w:val="009614AB"/>
    <w:rsid w:val="0096172B"/>
    <w:rsid w:val="009637C0"/>
    <w:rsid w:val="00966D4B"/>
    <w:rsid w:val="00974513"/>
    <w:rsid w:val="009753FA"/>
    <w:rsid w:val="00976C70"/>
    <w:rsid w:val="00977353"/>
    <w:rsid w:val="00981F09"/>
    <w:rsid w:val="0098705A"/>
    <w:rsid w:val="009901F9"/>
    <w:rsid w:val="00990A37"/>
    <w:rsid w:val="009915F0"/>
    <w:rsid w:val="00993451"/>
    <w:rsid w:val="00995689"/>
    <w:rsid w:val="00995C45"/>
    <w:rsid w:val="009A0A91"/>
    <w:rsid w:val="009A27CB"/>
    <w:rsid w:val="009A66B7"/>
    <w:rsid w:val="009A79DE"/>
    <w:rsid w:val="009B000E"/>
    <w:rsid w:val="009B0E10"/>
    <w:rsid w:val="009B19CF"/>
    <w:rsid w:val="009B788C"/>
    <w:rsid w:val="009C0313"/>
    <w:rsid w:val="009C1A74"/>
    <w:rsid w:val="009C2028"/>
    <w:rsid w:val="009C41B9"/>
    <w:rsid w:val="009C6314"/>
    <w:rsid w:val="009C6576"/>
    <w:rsid w:val="009D0341"/>
    <w:rsid w:val="009D4182"/>
    <w:rsid w:val="009E151A"/>
    <w:rsid w:val="009E19B1"/>
    <w:rsid w:val="009E7442"/>
    <w:rsid w:val="009F2517"/>
    <w:rsid w:val="00A02517"/>
    <w:rsid w:val="00A0350E"/>
    <w:rsid w:val="00A0352C"/>
    <w:rsid w:val="00A047A0"/>
    <w:rsid w:val="00A05965"/>
    <w:rsid w:val="00A07AF9"/>
    <w:rsid w:val="00A11735"/>
    <w:rsid w:val="00A148BE"/>
    <w:rsid w:val="00A150CE"/>
    <w:rsid w:val="00A16339"/>
    <w:rsid w:val="00A20713"/>
    <w:rsid w:val="00A23AE2"/>
    <w:rsid w:val="00A26DA3"/>
    <w:rsid w:val="00A270EF"/>
    <w:rsid w:val="00A30FD0"/>
    <w:rsid w:val="00A34E8A"/>
    <w:rsid w:val="00A35A74"/>
    <w:rsid w:val="00A36402"/>
    <w:rsid w:val="00A3784F"/>
    <w:rsid w:val="00A4223F"/>
    <w:rsid w:val="00A43E47"/>
    <w:rsid w:val="00A43F1C"/>
    <w:rsid w:val="00A46B27"/>
    <w:rsid w:val="00A50700"/>
    <w:rsid w:val="00A52612"/>
    <w:rsid w:val="00A542B8"/>
    <w:rsid w:val="00A54F1A"/>
    <w:rsid w:val="00A601ED"/>
    <w:rsid w:val="00A656B8"/>
    <w:rsid w:val="00A66EE7"/>
    <w:rsid w:val="00A7521C"/>
    <w:rsid w:val="00A75CA9"/>
    <w:rsid w:val="00A76D04"/>
    <w:rsid w:val="00A81F0B"/>
    <w:rsid w:val="00A821BA"/>
    <w:rsid w:val="00A85488"/>
    <w:rsid w:val="00A85E0A"/>
    <w:rsid w:val="00A9013C"/>
    <w:rsid w:val="00A90773"/>
    <w:rsid w:val="00A9202F"/>
    <w:rsid w:val="00A93E67"/>
    <w:rsid w:val="00A93F26"/>
    <w:rsid w:val="00A96926"/>
    <w:rsid w:val="00AA123E"/>
    <w:rsid w:val="00AA53A8"/>
    <w:rsid w:val="00AB0568"/>
    <w:rsid w:val="00AB1A19"/>
    <w:rsid w:val="00AB42FB"/>
    <w:rsid w:val="00AB4477"/>
    <w:rsid w:val="00AB75B9"/>
    <w:rsid w:val="00AB7CE9"/>
    <w:rsid w:val="00AC0ED6"/>
    <w:rsid w:val="00AC3F8A"/>
    <w:rsid w:val="00AC6293"/>
    <w:rsid w:val="00AC7D80"/>
    <w:rsid w:val="00AC7D99"/>
    <w:rsid w:val="00AD2A7E"/>
    <w:rsid w:val="00AD30DF"/>
    <w:rsid w:val="00AD6047"/>
    <w:rsid w:val="00AD68F8"/>
    <w:rsid w:val="00AF09D3"/>
    <w:rsid w:val="00AF0E25"/>
    <w:rsid w:val="00AF33F2"/>
    <w:rsid w:val="00AF4024"/>
    <w:rsid w:val="00AF445D"/>
    <w:rsid w:val="00AF519A"/>
    <w:rsid w:val="00AF52E0"/>
    <w:rsid w:val="00AF603A"/>
    <w:rsid w:val="00AF69DC"/>
    <w:rsid w:val="00AF7B1D"/>
    <w:rsid w:val="00B0162B"/>
    <w:rsid w:val="00B0195C"/>
    <w:rsid w:val="00B02047"/>
    <w:rsid w:val="00B02BA2"/>
    <w:rsid w:val="00B03C67"/>
    <w:rsid w:val="00B05507"/>
    <w:rsid w:val="00B064C9"/>
    <w:rsid w:val="00B07391"/>
    <w:rsid w:val="00B07829"/>
    <w:rsid w:val="00B108FA"/>
    <w:rsid w:val="00B1374C"/>
    <w:rsid w:val="00B16DA1"/>
    <w:rsid w:val="00B24E0D"/>
    <w:rsid w:val="00B31D4E"/>
    <w:rsid w:val="00B33489"/>
    <w:rsid w:val="00B35C36"/>
    <w:rsid w:val="00B37953"/>
    <w:rsid w:val="00B406FD"/>
    <w:rsid w:val="00B44E0C"/>
    <w:rsid w:val="00B46C7F"/>
    <w:rsid w:val="00B50F64"/>
    <w:rsid w:val="00B54A91"/>
    <w:rsid w:val="00B54E59"/>
    <w:rsid w:val="00B607D8"/>
    <w:rsid w:val="00B62C34"/>
    <w:rsid w:val="00B62EE5"/>
    <w:rsid w:val="00B63E98"/>
    <w:rsid w:val="00B64B7A"/>
    <w:rsid w:val="00B65629"/>
    <w:rsid w:val="00B6629A"/>
    <w:rsid w:val="00B66A57"/>
    <w:rsid w:val="00B722C2"/>
    <w:rsid w:val="00B72332"/>
    <w:rsid w:val="00B72609"/>
    <w:rsid w:val="00B72D82"/>
    <w:rsid w:val="00B7798F"/>
    <w:rsid w:val="00B80153"/>
    <w:rsid w:val="00B80281"/>
    <w:rsid w:val="00B80E3A"/>
    <w:rsid w:val="00B848D2"/>
    <w:rsid w:val="00B8627F"/>
    <w:rsid w:val="00B86EE8"/>
    <w:rsid w:val="00B878E2"/>
    <w:rsid w:val="00B93F52"/>
    <w:rsid w:val="00B94E3E"/>
    <w:rsid w:val="00B95B56"/>
    <w:rsid w:val="00B973B8"/>
    <w:rsid w:val="00B9755D"/>
    <w:rsid w:val="00BA00DA"/>
    <w:rsid w:val="00BA17E5"/>
    <w:rsid w:val="00BA4F1F"/>
    <w:rsid w:val="00BA64F9"/>
    <w:rsid w:val="00BB06D8"/>
    <w:rsid w:val="00BB4ADD"/>
    <w:rsid w:val="00BB4F86"/>
    <w:rsid w:val="00BB6B85"/>
    <w:rsid w:val="00BC2BB3"/>
    <w:rsid w:val="00BD251F"/>
    <w:rsid w:val="00BE2FF2"/>
    <w:rsid w:val="00BE3323"/>
    <w:rsid w:val="00BE40FB"/>
    <w:rsid w:val="00BE4E01"/>
    <w:rsid w:val="00BE5432"/>
    <w:rsid w:val="00BE6A05"/>
    <w:rsid w:val="00BF0E78"/>
    <w:rsid w:val="00BF2656"/>
    <w:rsid w:val="00BF29A9"/>
    <w:rsid w:val="00BF5CDA"/>
    <w:rsid w:val="00C03544"/>
    <w:rsid w:val="00C06C6A"/>
    <w:rsid w:val="00C10945"/>
    <w:rsid w:val="00C10FD2"/>
    <w:rsid w:val="00C2071D"/>
    <w:rsid w:val="00C20BC5"/>
    <w:rsid w:val="00C25479"/>
    <w:rsid w:val="00C256BC"/>
    <w:rsid w:val="00C337D9"/>
    <w:rsid w:val="00C358BE"/>
    <w:rsid w:val="00C3694F"/>
    <w:rsid w:val="00C40B5C"/>
    <w:rsid w:val="00C42300"/>
    <w:rsid w:val="00C430C3"/>
    <w:rsid w:val="00C4344D"/>
    <w:rsid w:val="00C439B2"/>
    <w:rsid w:val="00C47557"/>
    <w:rsid w:val="00C54D7C"/>
    <w:rsid w:val="00C55AE5"/>
    <w:rsid w:val="00C573D6"/>
    <w:rsid w:val="00C60580"/>
    <w:rsid w:val="00C610F9"/>
    <w:rsid w:val="00C61BEB"/>
    <w:rsid w:val="00C62A56"/>
    <w:rsid w:val="00C63D95"/>
    <w:rsid w:val="00C700FA"/>
    <w:rsid w:val="00C70725"/>
    <w:rsid w:val="00C7196C"/>
    <w:rsid w:val="00C728AB"/>
    <w:rsid w:val="00C749F8"/>
    <w:rsid w:val="00C74EBD"/>
    <w:rsid w:val="00C75B6A"/>
    <w:rsid w:val="00C77F9E"/>
    <w:rsid w:val="00C82486"/>
    <w:rsid w:val="00C86481"/>
    <w:rsid w:val="00C908F3"/>
    <w:rsid w:val="00C90D18"/>
    <w:rsid w:val="00C93A77"/>
    <w:rsid w:val="00C941BF"/>
    <w:rsid w:val="00C947D9"/>
    <w:rsid w:val="00CA2741"/>
    <w:rsid w:val="00CA298E"/>
    <w:rsid w:val="00CA2A1D"/>
    <w:rsid w:val="00CA2EA3"/>
    <w:rsid w:val="00CA365E"/>
    <w:rsid w:val="00CA3757"/>
    <w:rsid w:val="00CA37CA"/>
    <w:rsid w:val="00CA79E1"/>
    <w:rsid w:val="00CB1330"/>
    <w:rsid w:val="00CB3208"/>
    <w:rsid w:val="00CB5F0B"/>
    <w:rsid w:val="00CB7BFC"/>
    <w:rsid w:val="00CC2616"/>
    <w:rsid w:val="00CC3BC0"/>
    <w:rsid w:val="00CC6C43"/>
    <w:rsid w:val="00CC7635"/>
    <w:rsid w:val="00CC7FA4"/>
    <w:rsid w:val="00CD1FF0"/>
    <w:rsid w:val="00CD417B"/>
    <w:rsid w:val="00CE02D2"/>
    <w:rsid w:val="00CE3BE5"/>
    <w:rsid w:val="00CE44C3"/>
    <w:rsid w:val="00CE5F2B"/>
    <w:rsid w:val="00CF0FD5"/>
    <w:rsid w:val="00CF32F9"/>
    <w:rsid w:val="00CF41FB"/>
    <w:rsid w:val="00CF5A27"/>
    <w:rsid w:val="00CF5F07"/>
    <w:rsid w:val="00CF6F5E"/>
    <w:rsid w:val="00D06D01"/>
    <w:rsid w:val="00D07012"/>
    <w:rsid w:val="00D070C9"/>
    <w:rsid w:val="00D077A6"/>
    <w:rsid w:val="00D07FB8"/>
    <w:rsid w:val="00D1780E"/>
    <w:rsid w:val="00D23516"/>
    <w:rsid w:val="00D24B40"/>
    <w:rsid w:val="00D30DB9"/>
    <w:rsid w:val="00D31C40"/>
    <w:rsid w:val="00D32502"/>
    <w:rsid w:val="00D33320"/>
    <w:rsid w:val="00D34042"/>
    <w:rsid w:val="00D3539A"/>
    <w:rsid w:val="00D41DE3"/>
    <w:rsid w:val="00D425EC"/>
    <w:rsid w:val="00D441CA"/>
    <w:rsid w:val="00D4582C"/>
    <w:rsid w:val="00D475D7"/>
    <w:rsid w:val="00D47AFA"/>
    <w:rsid w:val="00D52233"/>
    <w:rsid w:val="00D55366"/>
    <w:rsid w:val="00D55475"/>
    <w:rsid w:val="00D5669C"/>
    <w:rsid w:val="00D57156"/>
    <w:rsid w:val="00D60281"/>
    <w:rsid w:val="00D64214"/>
    <w:rsid w:val="00D6649D"/>
    <w:rsid w:val="00D71BA1"/>
    <w:rsid w:val="00D7759A"/>
    <w:rsid w:val="00D80F3F"/>
    <w:rsid w:val="00D81258"/>
    <w:rsid w:val="00D82C34"/>
    <w:rsid w:val="00D83A53"/>
    <w:rsid w:val="00D8656F"/>
    <w:rsid w:val="00D86F16"/>
    <w:rsid w:val="00D906D1"/>
    <w:rsid w:val="00D946A0"/>
    <w:rsid w:val="00D959CF"/>
    <w:rsid w:val="00D96C3C"/>
    <w:rsid w:val="00DA0D1D"/>
    <w:rsid w:val="00DA2683"/>
    <w:rsid w:val="00DA4421"/>
    <w:rsid w:val="00DA449F"/>
    <w:rsid w:val="00DA78A1"/>
    <w:rsid w:val="00DB0842"/>
    <w:rsid w:val="00DB329D"/>
    <w:rsid w:val="00DB698D"/>
    <w:rsid w:val="00DB6F8B"/>
    <w:rsid w:val="00DC0943"/>
    <w:rsid w:val="00DC0DDF"/>
    <w:rsid w:val="00DC10E5"/>
    <w:rsid w:val="00DC1BF0"/>
    <w:rsid w:val="00DC4B15"/>
    <w:rsid w:val="00DC62E5"/>
    <w:rsid w:val="00DC768F"/>
    <w:rsid w:val="00DD288E"/>
    <w:rsid w:val="00DD3973"/>
    <w:rsid w:val="00DD5466"/>
    <w:rsid w:val="00DD5A2E"/>
    <w:rsid w:val="00DD5D9B"/>
    <w:rsid w:val="00DD7E92"/>
    <w:rsid w:val="00DE2734"/>
    <w:rsid w:val="00DE3BA7"/>
    <w:rsid w:val="00DE4B28"/>
    <w:rsid w:val="00DE6D24"/>
    <w:rsid w:val="00DF1F10"/>
    <w:rsid w:val="00DF3EDF"/>
    <w:rsid w:val="00DF6907"/>
    <w:rsid w:val="00E021FA"/>
    <w:rsid w:val="00E04627"/>
    <w:rsid w:val="00E04AA1"/>
    <w:rsid w:val="00E11075"/>
    <w:rsid w:val="00E11C76"/>
    <w:rsid w:val="00E13823"/>
    <w:rsid w:val="00E16BA1"/>
    <w:rsid w:val="00E170B0"/>
    <w:rsid w:val="00E17B08"/>
    <w:rsid w:val="00E2010F"/>
    <w:rsid w:val="00E2115D"/>
    <w:rsid w:val="00E234F8"/>
    <w:rsid w:val="00E23D0B"/>
    <w:rsid w:val="00E24A1B"/>
    <w:rsid w:val="00E26A93"/>
    <w:rsid w:val="00E322DE"/>
    <w:rsid w:val="00E327AB"/>
    <w:rsid w:val="00E41B2A"/>
    <w:rsid w:val="00E432C2"/>
    <w:rsid w:val="00E4696A"/>
    <w:rsid w:val="00E509E4"/>
    <w:rsid w:val="00E512C1"/>
    <w:rsid w:val="00E522E6"/>
    <w:rsid w:val="00E5502B"/>
    <w:rsid w:val="00E55983"/>
    <w:rsid w:val="00E60256"/>
    <w:rsid w:val="00E6032C"/>
    <w:rsid w:val="00E637DD"/>
    <w:rsid w:val="00E63945"/>
    <w:rsid w:val="00E652F6"/>
    <w:rsid w:val="00E6586B"/>
    <w:rsid w:val="00E67490"/>
    <w:rsid w:val="00E7674F"/>
    <w:rsid w:val="00E83A1C"/>
    <w:rsid w:val="00E854DC"/>
    <w:rsid w:val="00E87977"/>
    <w:rsid w:val="00E87CCB"/>
    <w:rsid w:val="00E906E4"/>
    <w:rsid w:val="00E94491"/>
    <w:rsid w:val="00E9450E"/>
    <w:rsid w:val="00E965B1"/>
    <w:rsid w:val="00E96B08"/>
    <w:rsid w:val="00EA2B74"/>
    <w:rsid w:val="00EA7829"/>
    <w:rsid w:val="00EA791A"/>
    <w:rsid w:val="00EB37D4"/>
    <w:rsid w:val="00EB4929"/>
    <w:rsid w:val="00EC121A"/>
    <w:rsid w:val="00EC192D"/>
    <w:rsid w:val="00EC60D9"/>
    <w:rsid w:val="00ED2C28"/>
    <w:rsid w:val="00ED61C2"/>
    <w:rsid w:val="00EE0260"/>
    <w:rsid w:val="00EE16F0"/>
    <w:rsid w:val="00EE3C4B"/>
    <w:rsid w:val="00EF2E90"/>
    <w:rsid w:val="00EF4841"/>
    <w:rsid w:val="00EF56D5"/>
    <w:rsid w:val="00F00444"/>
    <w:rsid w:val="00F04367"/>
    <w:rsid w:val="00F07D52"/>
    <w:rsid w:val="00F118BF"/>
    <w:rsid w:val="00F143E8"/>
    <w:rsid w:val="00F167AD"/>
    <w:rsid w:val="00F216B8"/>
    <w:rsid w:val="00F22375"/>
    <w:rsid w:val="00F269BC"/>
    <w:rsid w:val="00F27261"/>
    <w:rsid w:val="00F30353"/>
    <w:rsid w:val="00F308E4"/>
    <w:rsid w:val="00F337AE"/>
    <w:rsid w:val="00F36FCC"/>
    <w:rsid w:val="00F37718"/>
    <w:rsid w:val="00F40142"/>
    <w:rsid w:val="00F41A8B"/>
    <w:rsid w:val="00F4423A"/>
    <w:rsid w:val="00F45C05"/>
    <w:rsid w:val="00F50861"/>
    <w:rsid w:val="00F50A52"/>
    <w:rsid w:val="00F52D92"/>
    <w:rsid w:val="00F539E8"/>
    <w:rsid w:val="00F57AF7"/>
    <w:rsid w:val="00F57B07"/>
    <w:rsid w:val="00F57BDD"/>
    <w:rsid w:val="00F6101B"/>
    <w:rsid w:val="00F63B91"/>
    <w:rsid w:val="00F645EE"/>
    <w:rsid w:val="00F6657E"/>
    <w:rsid w:val="00F67970"/>
    <w:rsid w:val="00F73DDD"/>
    <w:rsid w:val="00F750CE"/>
    <w:rsid w:val="00F76D0B"/>
    <w:rsid w:val="00F83946"/>
    <w:rsid w:val="00F852E7"/>
    <w:rsid w:val="00F861B4"/>
    <w:rsid w:val="00F8753C"/>
    <w:rsid w:val="00F90D1E"/>
    <w:rsid w:val="00F919DF"/>
    <w:rsid w:val="00F91FEB"/>
    <w:rsid w:val="00F92305"/>
    <w:rsid w:val="00F94ABE"/>
    <w:rsid w:val="00F9595E"/>
    <w:rsid w:val="00FA0339"/>
    <w:rsid w:val="00FA0C2E"/>
    <w:rsid w:val="00FA1291"/>
    <w:rsid w:val="00FA1CEC"/>
    <w:rsid w:val="00FA39A7"/>
    <w:rsid w:val="00FA51B3"/>
    <w:rsid w:val="00FB3B59"/>
    <w:rsid w:val="00FB4040"/>
    <w:rsid w:val="00FB4435"/>
    <w:rsid w:val="00FB45E6"/>
    <w:rsid w:val="00FB5BAA"/>
    <w:rsid w:val="00FB6A94"/>
    <w:rsid w:val="00FC0042"/>
    <w:rsid w:val="00FD1230"/>
    <w:rsid w:val="00FD2957"/>
    <w:rsid w:val="00FD50A8"/>
    <w:rsid w:val="00FD7EF4"/>
    <w:rsid w:val="00FE087D"/>
    <w:rsid w:val="00FE08D7"/>
    <w:rsid w:val="00FE2017"/>
    <w:rsid w:val="00FE5CB0"/>
    <w:rsid w:val="00FE6372"/>
    <w:rsid w:val="00FE7463"/>
    <w:rsid w:val="00FF0BD0"/>
    <w:rsid w:val="00FF23B1"/>
    <w:rsid w:val="00FF5127"/>
    <w:rsid w:val="00FF658A"/>
    <w:rsid w:val="00FF6BF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F1A"/>
  <w15:chartTrackingRefBased/>
  <w15:docId w15:val="{03E691C1-7137-4CB9-8BC0-74E18E37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D2"/>
    <w:pPr>
      <w:ind w:left="720"/>
      <w:contextualSpacing/>
    </w:pPr>
  </w:style>
  <w:style w:type="paragraph" w:styleId="FootnoteText">
    <w:name w:val="footnote text"/>
    <w:basedOn w:val="Normal"/>
    <w:link w:val="FootnoteTextChar"/>
    <w:uiPriority w:val="99"/>
    <w:unhideWhenUsed/>
    <w:rsid w:val="00C10FD2"/>
    <w:pPr>
      <w:pBdr>
        <w:top w:val="nil"/>
        <w:left w:val="nil"/>
        <w:bottom w:val="nil"/>
        <w:right w:val="nil"/>
        <w:between w:val="nil"/>
        <w:bar w:val="nil"/>
      </w:pBdr>
      <w:spacing w:after="0" w:line="240" w:lineRule="auto"/>
    </w:pPr>
    <w:rPr>
      <w:sz w:val="20"/>
      <w:szCs w:val="20"/>
    </w:rPr>
  </w:style>
  <w:style w:type="character" w:customStyle="1" w:styleId="FootnoteTextChar">
    <w:name w:val="Footnote Text Char"/>
    <w:basedOn w:val="DefaultParagraphFont"/>
    <w:link w:val="FootnoteText"/>
    <w:uiPriority w:val="99"/>
    <w:rsid w:val="00C10FD2"/>
    <w:rPr>
      <w:sz w:val="20"/>
      <w:szCs w:val="20"/>
    </w:rPr>
  </w:style>
  <w:style w:type="character" w:styleId="FootnoteReference">
    <w:name w:val="footnote reference"/>
    <w:basedOn w:val="DefaultParagraphFont"/>
    <w:uiPriority w:val="99"/>
    <w:unhideWhenUsed/>
    <w:rsid w:val="00C10FD2"/>
    <w:rPr>
      <w:vertAlign w:val="superscript"/>
    </w:rPr>
  </w:style>
  <w:style w:type="paragraph" w:styleId="EndnoteText">
    <w:name w:val="endnote text"/>
    <w:basedOn w:val="Normal"/>
    <w:link w:val="EndnoteTextChar"/>
    <w:uiPriority w:val="99"/>
    <w:unhideWhenUsed/>
    <w:rsid w:val="00C10FD2"/>
    <w:pPr>
      <w:pBdr>
        <w:top w:val="nil"/>
        <w:left w:val="nil"/>
        <w:bottom w:val="nil"/>
        <w:right w:val="nil"/>
        <w:between w:val="nil"/>
        <w:bar w:val="nil"/>
      </w:pBdr>
      <w:spacing w:after="0" w:line="240" w:lineRule="auto"/>
    </w:pPr>
    <w:rPr>
      <w:sz w:val="20"/>
      <w:szCs w:val="20"/>
    </w:rPr>
  </w:style>
  <w:style w:type="character" w:customStyle="1" w:styleId="EndnoteTextChar">
    <w:name w:val="Endnote Text Char"/>
    <w:basedOn w:val="DefaultParagraphFont"/>
    <w:link w:val="EndnoteText"/>
    <w:uiPriority w:val="99"/>
    <w:rsid w:val="00C10FD2"/>
    <w:rPr>
      <w:sz w:val="20"/>
      <w:szCs w:val="20"/>
    </w:rPr>
  </w:style>
  <w:style w:type="character" w:styleId="EndnoteReference">
    <w:name w:val="endnote reference"/>
    <w:basedOn w:val="DefaultParagraphFont"/>
    <w:uiPriority w:val="99"/>
    <w:semiHidden/>
    <w:unhideWhenUsed/>
    <w:rsid w:val="00C10FD2"/>
    <w:rPr>
      <w:vertAlign w:val="superscript"/>
    </w:rPr>
  </w:style>
  <w:style w:type="character" w:styleId="Emphasis">
    <w:name w:val="Emphasis"/>
    <w:basedOn w:val="DefaultParagraphFont"/>
    <w:uiPriority w:val="20"/>
    <w:qFormat/>
    <w:rsid w:val="00C10FD2"/>
    <w:rPr>
      <w:i/>
      <w:iCs/>
    </w:rPr>
  </w:style>
  <w:style w:type="paragraph" w:styleId="Header">
    <w:name w:val="header"/>
    <w:basedOn w:val="Normal"/>
    <w:link w:val="HeaderChar"/>
    <w:uiPriority w:val="99"/>
    <w:unhideWhenUsed/>
    <w:rsid w:val="00C1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D2"/>
  </w:style>
  <w:style w:type="paragraph" w:styleId="Footer">
    <w:name w:val="footer"/>
    <w:basedOn w:val="Normal"/>
    <w:link w:val="FooterChar"/>
    <w:uiPriority w:val="99"/>
    <w:unhideWhenUsed/>
    <w:rsid w:val="00C1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D2"/>
  </w:style>
  <w:style w:type="paragraph" w:customStyle="1" w:styleId="Style1Body">
    <w:name w:val="Style1 Body"/>
    <w:basedOn w:val="Normal"/>
    <w:link w:val="Style1BodyChar"/>
    <w:qFormat/>
    <w:rsid w:val="00F07D52"/>
    <w:pPr>
      <w:spacing w:after="200" w:line="276" w:lineRule="auto"/>
      <w:jc w:val="both"/>
    </w:pPr>
    <w:rPr>
      <w:rFonts w:eastAsia="Calibri" w:cs="Times New Roman"/>
      <w:sz w:val="24"/>
      <w:szCs w:val="24"/>
      <w:lang w:val="en-US"/>
    </w:rPr>
  </w:style>
  <w:style w:type="character" w:customStyle="1" w:styleId="Style1BodyChar">
    <w:name w:val="Style1 Body Char"/>
    <w:basedOn w:val="DefaultParagraphFont"/>
    <w:link w:val="Style1Body"/>
    <w:rsid w:val="00F07D52"/>
    <w:rPr>
      <w:rFonts w:eastAsia="Calibri" w:cs="Times New Roman"/>
      <w:sz w:val="24"/>
      <w:szCs w:val="24"/>
      <w:lang w:val="en-US"/>
    </w:rPr>
  </w:style>
  <w:style w:type="paragraph" w:styleId="NormalWeb">
    <w:name w:val="Normal (Web)"/>
    <w:basedOn w:val="Normal"/>
    <w:uiPriority w:val="99"/>
    <w:unhideWhenUsed/>
    <w:rsid w:val="002038E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E9450E"/>
    <w:rPr>
      <w:color w:val="0563C1" w:themeColor="hyperlink"/>
      <w:u w:val="single"/>
    </w:rPr>
  </w:style>
  <w:style w:type="character" w:styleId="FollowedHyperlink">
    <w:name w:val="FollowedHyperlink"/>
    <w:basedOn w:val="DefaultParagraphFont"/>
    <w:uiPriority w:val="99"/>
    <w:semiHidden/>
    <w:unhideWhenUsed/>
    <w:rsid w:val="002E4514"/>
    <w:rPr>
      <w:color w:val="954F72" w:themeColor="followedHyperlink"/>
      <w:u w:val="single"/>
    </w:rPr>
  </w:style>
  <w:style w:type="table" w:styleId="TableGrid">
    <w:name w:val="Table Grid"/>
    <w:basedOn w:val="TableNormal"/>
    <w:uiPriority w:val="39"/>
    <w:rsid w:val="00CF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3C08"/>
    <w:pPr>
      <w:spacing w:after="0" w:line="240" w:lineRule="auto"/>
    </w:pPr>
    <w:rPr>
      <w:rFonts w:eastAsiaTheme="minorEastAsia"/>
      <w:lang w:val="en-US" w:eastAsia="ja-JP"/>
    </w:rPr>
  </w:style>
  <w:style w:type="character" w:customStyle="1" w:styleId="NoSpacingChar">
    <w:name w:val="No Spacing Char"/>
    <w:link w:val="NoSpacing"/>
    <w:uiPriority w:val="1"/>
    <w:rsid w:val="00C77F9E"/>
    <w:rPr>
      <w:rFonts w:eastAsiaTheme="minorEastAsia"/>
      <w:lang w:val="en-US" w:eastAsia="ja-JP"/>
    </w:rPr>
  </w:style>
  <w:style w:type="paragraph" w:customStyle="1" w:styleId="Style1body0">
    <w:name w:val="Style1 body"/>
    <w:basedOn w:val="Normal"/>
    <w:link w:val="Style1bodyChar0"/>
    <w:qFormat/>
    <w:rsid w:val="00C77F9E"/>
    <w:pPr>
      <w:autoSpaceDE w:val="0"/>
      <w:autoSpaceDN w:val="0"/>
      <w:adjustRightInd w:val="0"/>
      <w:spacing w:after="0" w:line="240" w:lineRule="auto"/>
      <w:ind w:firstLine="720"/>
      <w:jc w:val="both"/>
    </w:pPr>
    <w:rPr>
      <w:rFonts w:ascii="Georgia" w:eastAsia="Calibri" w:hAnsi="Georgia" w:cs="Cambria"/>
      <w:color w:val="000000"/>
      <w:sz w:val="24"/>
      <w:szCs w:val="24"/>
      <w:lang w:val="en-US"/>
    </w:rPr>
  </w:style>
  <w:style w:type="character" w:customStyle="1" w:styleId="Style1bodyChar0">
    <w:name w:val="Style1 body Char"/>
    <w:basedOn w:val="DefaultParagraphFont"/>
    <w:link w:val="Style1body0"/>
    <w:rsid w:val="00C77F9E"/>
    <w:rPr>
      <w:rFonts w:ascii="Georgia" w:eastAsia="Calibri" w:hAnsi="Georgia" w:cs="Cambria"/>
      <w:color w:val="000000"/>
      <w:sz w:val="24"/>
      <w:szCs w:val="24"/>
      <w:lang w:val="en-US"/>
    </w:rPr>
  </w:style>
  <w:style w:type="character" w:styleId="CommentReference">
    <w:name w:val="annotation reference"/>
    <w:basedOn w:val="DefaultParagraphFont"/>
    <w:uiPriority w:val="99"/>
    <w:semiHidden/>
    <w:unhideWhenUsed/>
    <w:rsid w:val="002B6120"/>
    <w:rPr>
      <w:sz w:val="16"/>
      <w:szCs w:val="16"/>
    </w:rPr>
  </w:style>
  <w:style w:type="paragraph" w:styleId="CommentText">
    <w:name w:val="annotation text"/>
    <w:basedOn w:val="Normal"/>
    <w:link w:val="CommentTextChar"/>
    <w:uiPriority w:val="99"/>
    <w:semiHidden/>
    <w:unhideWhenUsed/>
    <w:rsid w:val="002B6120"/>
    <w:pPr>
      <w:spacing w:line="240" w:lineRule="auto"/>
    </w:pPr>
    <w:rPr>
      <w:sz w:val="20"/>
      <w:szCs w:val="20"/>
    </w:rPr>
  </w:style>
  <w:style w:type="character" w:customStyle="1" w:styleId="CommentTextChar">
    <w:name w:val="Comment Text Char"/>
    <w:basedOn w:val="DefaultParagraphFont"/>
    <w:link w:val="CommentText"/>
    <w:uiPriority w:val="99"/>
    <w:semiHidden/>
    <w:rsid w:val="002B6120"/>
    <w:rPr>
      <w:sz w:val="20"/>
      <w:szCs w:val="20"/>
    </w:rPr>
  </w:style>
  <w:style w:type="paragraph" w:styleId="CommentSubject">
    <w:name w:val="annotation subject"/>
    <w:basedOn w:val="CommentText"/>
    <w:next w:val="CommentText"/>
    <w:link w:val="CommentSubjectChar"/>
    <w:uiPriority w:val="99"/>
    <w:semiHidden/>
    <w:unhideWhenUsed/>
    <w:rsid w:val="002B6120"/>
    <w:rPr>
      <w:b/>
      <w:bCs/>
    </w:rPr>
  </w:style>
  <w:style w:type="character" w:customStyle="1" w:styleId="CommentSubjectChar">
    <w:name w:val="Comment Subject Char"/>
    <w:basedOn w:val="CommentTextChar"/>
    <w:link w:val="CommentSubject"/>
    <w:uiPriority w:val="99"/>
    <w:semiHidden/>
    <w:rsid w:val="002B6120"/>
    <w:rPr>
      <w:b/>
      <w:bCs/>
      <w:sz w:val="20"/>
      <w:szCs w:val="20"/>
    </w:rPr>
  </w:style>
  <w:style w:type="paragraph" w:styleId="BalloonText">
    <w:name w:val="Balloon Text"/>
    <w:basedOn w:val="Normal"/>
    <w:link w:val="BalloonTextChar"/>
    <w:uiPriority w:val="99"/>
    <w:semiHidden/>
    <w:unhideWhenUsed/>
    <w:rsid w:val="002B6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20"/>
    <w:rPr>
      <w:rFonts w:ascii="Segoe UI" w:hAnsi="Segoe UI" w:cs="Segoe UI"/>
      <w:sz w:val="18"/>
      <w:szCs w:val="18"/>
    </w:rPr>
  </w:style>
  <w:style w:type="paragraph" w:styleId="Revision">
    <w:name w:val="Revision"/>
    <w:hidden/>
    <w:uiPriority w:val="99"/>
    <w:semiHidden/>
    <w:rsid w:val="005C74D0"/>
    <w:pPr>
      <w:spacing w:after="0" w:line="240" w:lineRule="auto"/>
    </w:pPr>
  </w:style>
  <w:style w:type="character" w:styleId="UnresolvedMention">
    <w:name w:val="Unresolved Mention"/>
    <w:basedOn w:val="DefaultParagraphFont"/>
    <w:uiPriority w:val="99"/>
    <w:semiHidden/>
    <w:unhideWhenUsed/>
    <w:rsid w:val="00801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039">
      <w:bodyDiv w:val="1"/>
      <w:marLeft w:val="0"/>
      <w:marRight w:val="0"/>
      <w:marTop w:val="0"/>
      <w:marBottom w:val="0"/>
      <w:divBdr>
        <w:top w:val="none" w:sz="0" w:space="0" w:color="auto"/>
        <w:left w:val="none" w:sz="0" w:space="0" w:color="auto"/>
        <w:bottom w:val="none" w:sz="0" w:space="0" w:color="auto"/>
        <w:right w:val="none" w:sz="0" w:space="0" w:color="auto"/>
      </w:divBdr>
    </w:div>
    <w:div w:id="18970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opcom.gov.ph/bringing-the-covid-19-fight-to-where-it-lives/" TargetMode="External"/><Relationship Id="rId3" Type="http://schemas.openxmlformats.org/officeDocument/2006/relationships/hyperlink" Target="https://www.un.org/development/desa/dspd/wp-content/uploads/sites/22/2019/05/KIHUMBA-Roseline.pdf" TargetMode="External"/><Relationship Id="rId7" Type="http://schemas.openxmlformats.org/officeDocument/2006/relationships/hyperlink" Target="https://popcom.gov.ph/bringing-the-covid-19-fight-to-where-it-lives/" TargetMode="External"/><Relationship Id="rId2" Type="http://schemas.openxmlformats.org/officeDocument/2006/relationships/hyperlink" Target="https://dhsud.gov.ph/wp-content/uploads/Publication/shelter/The_Shelter_Issue_June_2021.pdf" TargetMode="External"/><Relationship Id="rId1" Type="http://schemas.openxmlformats.org/officeDocument/2006/relationships/hyperlink" Target="https://hlurb.gov.ph/wp-content/uploads/services/lgu/clup-guidebook/NUDHF%20Full%20Version%20-%20FINAL.pdf" TargetMode="External"/><Relationship Id="rId6" Type="http://schemas.openxmlformats.org/officeDocument/2006/relationships/hyperlink" Target="https://www.reuters.com/article/us-philippines-landrights-crime-idUSKBN1HQ034" TargetMode="External"/><Relationship Id="rId11" Type="http://schemas.openxmlformats.org/officeDocument/2006/relationships/hyperlink" Target="https://dirp3.pids.gov.ph/ris/pdf/pidsdps9842.pdf" TargetMode="External"/><Relationship Id="rId5" Type="http://schemas.openxmlformats.org/officeDocument/2006/relationships/hyperlink" Target="https://www.eria.org/uploads/media/Books/2019-%20Dec-ERIA-Ageing-And-Health-In-The-Philippines.pdf" TargetMode="External"/><Relationship Id="rId10" Type="http://schemas.openxmlformats.org/officeDocument/2006/relationships/hyperlink" Target="https://www.eria.org/publications/ageing-and-health-in-the-philippines/" TargetMode="External"/><Relationship Id="rId4" Type="http://schemas.openxmlformats.org/officeDocument/2006/relationships/hyperlink" Target="https://serp-p.pids.gov.ph/publication_detail?id=7578" TargetMode="External"/><Relationship Id="rId9" Type="http://schemas.openxmlformats.org/officeDocument/2006/relationships/hyperlink" Target="https://social.un.org/ageing-working-group/documents/eighth/Inputs%20Member%20States/Philipp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C9C47-81E0-40F4-A24C-229A069CADF3}">
  <ds:schemaRefs>
    <ds:schemaRef ds:uri="http://schemas.openxmlformats.org/officeDocument/2006/bibliography"/>
  </ds:schemaRefs>
</ds:datastoreItem>
</file>

<file path=customXml/itemProps2.xml><?xml version="1.0" encoding="utf-8"?>
<ds:datastoreItem xmlns:ds="http://schemas.openxmlformats.org/officeDocument/2006/customXml" ds:itemID="{7F931110-9432-439F-B091-A1469F5E9030}"/>
</file>

<file path=customXml/itemProps3.xml><?xml version="1.0" encoding="utf-8"?>
<ds:datastoreItem xmlns:ds="http://schemas.openxmlformats.org/officeDocument/2006/customXml" ds:itemID="{6E69964E-2B97-4D30-B04C-507A1AD58835}"/>
</file>

<file path=customXml/itemProps4.xml><?xml version="1.0" encoding="utf-8"?>
<ds:datastoreItem xmlns:ds="http://schemas.openxmlformats.org/officeDocument/2006/customXml" ds:itemID="{1A0FF04E-878E-4EA6-94BD-8EED0460275A}"/>
</file>

<file path=docProps/app.xml><?xml version="1.0" encoding="utf-8"?>
<Properties xmlns="http://schemas.openxmlformats.org/officeDocument/2006/extended-properties" xmlns:vt="http://schemas.openxmlformats.org/officeDocument/2006/docPropsVTypes">
  <Template>Normal</Template>
  <TotalTime>176</TotalTime>
  <Pages>10</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dc:creator>
  <cp:keywords/>
  <dc:description/>
  <cp:lastModifiedBy>CHR62</cp:lastModifiedBy>
  <cp:revision>80</cp:revision>
  <cp:lastPrinted>2022-04-20T04:43:00Z</cp:lastPrinted>
  <dcterms:created xsi:type="dcterms:W3CDTF">2022-04-26T11:08:00Z</dcterms:created>
  <dcterms:modified xsi:type="dcterms:W3CDTF">2022-04-29T11:09:00Z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