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BF335" w14:textId="3C4477CD" w:rsidR="006138EB" w:rsidRDefault="00E83F21" w:rsidP="00E83F21">
      <w:pPr>
        <w:snapToGrid w:val="0"/>
        <w:spacing w:after="100" w:afterAutospacing="1"/>
        <w:contextualSpacing/>
        <w:jc w:val="center"/>
        <w:outlineLvl w:val="2"/>
        <w:rPr>
          <w:rFonts w:ascii="Gilroy" w:eastAsia="Times New Roman" w:hAnsi="Gilroy" w:cs="Times New Roman"/>
          <w:b/>
          <w:bCs/>
          <w:sz w:val="27"/>
          <w:szCs w:val="27"/>
          <w:lang w:eastAsia="en-GB"/>
        </w:rPr>
      </w:pPr>
      <w:r>
        <w:rPr>
          <w:noProof/>
        </w:rPr>
        <w:drawing>
          <wp:inline distT="0" distB="0" distL="0" distR="0" wp14:anchorId="29B4C871" wp14:editId="177A7025">
            <wp:extent cx="2844800" cy="802671"/>
            <wp:effectExtent l="0" t="0" r="0" b="0"/>
            <wp:docPr id="1637278301" name="Picture 1637278301" descr="A 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637278301" name="Picture 1637278301" descr="A blue text on a black backgroun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3093" cy="819119"/>
                    </a:xfrm>
                    <a:prstGeom prst="rect">
                      <a:avLst/>
                    </a:prstGeom>
                    <a:ln w="12700" cap="flat">
                      <a:noFill/>
                      <a:miter lim="400000"/>
                    </a:ln>
                    <a:effectLst/>
                  </pic:spPr>
                </pic:pic>
              </a:graphicData>
            </a:graphic>
          </wp:inline>
        </w:drawing>
      </w:r>
    </w:p>
    <w:p w14:paraId="44B704EB" w14:textId="77777777" w:rsidR="00E83F21" w:rsidRDefault="00E83F21" w:rsidP="00070D32">
      <w:pPr>
        <w:snapToGrid w:val="0"/>
        <w:spacing w:before="100" w:beforeAutospacing="1" w:after="100" w:afterAutospacing="1"/>
        <w:contextualSpacing/>
        <w:jc w:val="both"/>
        <w:outlineLvl w:val="2"/>
        <w:rPr>
          <w:rFonts w:ascii="Gilroy" w:eastAsia="Times New Roman" w:hAnsi="Gilroy" w:cs="Times New Roman"/>
          <w:b/>
          <w:bCs/>
          <w:sz w:val="27"/>
          <w:szCs w:val="27"/>
          <w:lang w:eastAsia="en-GB"/>
        </w:rPr>
      </w:pPr>
    </w:p>
    <w:p w14:paraId="34D5745C" w14:textId="0263345E" w:rsidR="00FF4BF9" w:rsidRDefault="00FF4BF9" w:rsidP="00070D32">
      <w:pPr>
        <w:snapToGrid w:val="0"/>
        <w:spacing w:before="100" w:beforeAutospacing="1" w:after="100" w:afterAutospacing="1"/>
        <w:contextualSpacing/>
        <w:jc w:val="both"/>
        <w:outlineLvl w:val="2"/>
        <w:rPr>
          <w:rFonts w:ascii="Gilroy" w:eastAsia="Times New Roman" w:hAnsi="Gilroy" w:cs="Times New Roman"/>
          <w:b/>
          <w:bCs/>
          <w:sz w:val="27"/>
          <w:szCs w:val="27"/>
          <w:lang w:eastAsia="en-GB"/>
        </w:rPr>
      </w:pPr>
      <w:r w:rsidRPr="00070D32">
        <w:rPr>
          <w:rFonts w:ascii="Gilroy" w:eastAsia="Times New Roman" w:hAnsi="Gilroy" w:cs="Times New Roman"/>
          <w:b/>
          <w:bCs/>
          <w:sz w:val="27"/>
          <w:szCs w:val="27"/>
          <w:lang w:eastAsia="en-GB"/>
        </w:rPr>
        <w:t>Privacy International</w:t>
      </w:r>
      <w:r w:rsidR="00E56C55" w:rsidRPr="00070D32">
        <w:rPr>
          <w:rFonts w:ascii="Gilroy" w:eastAsia="Times New Roman" w:hAnsi="Gilroy" w:cs="Times New Roman"/>
          <w:b/>
          <w:bCs/>
          <w:sz w:val="27"/>
          <w:szCs w:val="27"/>
          <w:lang w:eastAsia="en-GB"/>
        </w:rPr>
        <w:t xml:space="preserve">’s response to the call for input to a report on the </w:t>
      </w:r>
      <w:r w:rsidR="005E4C83">
        <w:rPr>
          <w:rFonts w:ascii="Gilroy" w:eastAsia="Times New Roman" w:hAnsi="Gilroy" w:cs="Times New Roman"/>
          <w:b/>
          <w:bCs/>
          <w:sz w:val="27"/>
          <w:szCs w:val="27"/>
          <w:lang w:eastAsia="en-GB"/>
        </w:rPr>
        <w:t xml:space="preserve">centrality of care and support from a human rights perspective </w:t>
      </w:r>
      <w:r w:rsidR="00E56C55" w:rsidRPr="00070D32">
        <w:rPr>
          <w:rFonts w:ascii="Gilroy" w:eastAsia="Times New Roman" w:hAnsi="Gilroy" w:cs="Times New Roman"/>
          <w:b/>
          <w:bCs/>
          <w:sz w:val="27"/>
          <w:szCs w:val="27"/>
          <w:lang w:eastAsia="en-GB"/>
        </w:rPr>
        <w:t xml:space="preserve">by </w:t>
      </w:r>
      <w:r w:rsidR="005E4C83">
        <w:rPr>
          <w:rFonts w:ascii="Gilroy" w:eastAsia="Times New Roman" w:hAnsi="Gilroy" w:cs="Times New Roman"/>
          <w:b/>
          <w:bCs/>
          <w:sz w:val="27"/>
          <w:szCs w:val="27"/>
          <w:lang w:eastAsia="en-GB"/>
        </w:rPr>
        <w:t>the Office of the High Commissioner for Human Rights pursuant to Human Rights Council resolution 54/6</w:t>
      </w:r>
    </w:p>
    <w:p w14:paraId="456C6B74" w14:textId="77777777" w:rsidR="00122384" w:rsidRPr="00070D32" w:rsidRDefault="00122384" w:rsidP="00070D32">
      <w:pPr>
        <w:snapToGrid w:val="0"/>
        <w:spacing w:before="100" w:beforeAutospacing="1" w:after="100" w:afterAutospacing="1"/>
        <w:contextualSpacing/>
        <w:jc w:val="both"/>
        <w:outlineLvl w:val="2"/>
        <w:rPr>
          <w:rFonts w:ascii="Gilroy" w:eastAsia="Times New Roman" w:hAnsi="Gilroy" w:cs="Times New Roman"/>
          <w:b/>
          <w:bCs/>
          <w:sz w:val="27"/>
          <w:szCs w:val="27"/>
          <w:lang w:eastAsia="en-GB"/>
        </w:rPr>
      </w:pPr>
    </w:p>
    <w:p w14:paraId="6DCEE154" w14:textId="5528A89E" w:rsidR="00E56C55" w:rsidRPr="00251869" w:rsidRDefault="005E4C83" w:rsidP="00070D32">
      <w:pPr>
        <w:snapToGrid w:val="0"/>
        <w:spacing w:before="100" w:beforeAutospacing="1" w:after="100" w:afterAutospacing="1"/>
        <w:contextualSpacing/>
        <w:jc w:val="right"/>
        <w:outlineLvl w:val="2"/>
        <w:rPr>
          <w:rFonts w:ascii="Gilroy" w:eastAsia="Times New Roman" w:hAnsi="Gilroy" w:cs="Times New Roman"/>
          <w:b/>
          <w:bCs/>
          <w:sz w:val="25"/>
          <w:lang w:eastAsia="en-GB"/>
        </w:rPr>
      </w:pPr>
      <w:r>
        <w:rPr>
          <w:rFonts w:ascii="Gilroy" w:eastAsia="Times New Roman" w:hAnsi="Gilroy" w:cs="Times New Roman"/>
          <w:b/>
          <w:bCs/>
          <w:sz w:val="25"/>
          <w:lang w:eastAsia="en-GB"/>
        </w:rPr>
        <w:t>April</w:t>
      </w:r>
      <w:r w:rsidR="00E56C55" w:rsidRPr="00251869">
        <w:rPr>
          <w:rFonts w:ascii="Gilroy" w:eastAsia="Times New Roman" w:hAnsi="Gilroy" w:cs="Times New Roman"/>
          <w:b/>
          <w:bCs/>
          <w:sz w:val="25"/>
          <w:lang w:eastAsia="en-GB"/>
        </w:rPr>
        <w:t xml:space="preserve"> 202</w:t>
      </w:r>
      <w:r>
        <w:rPr>
          <w:rFonts w:ascii="Gilroy" w:eastAsia="Times New Roman" w:hAnsi="Gilroy" w:cs="Times New Roman"/>
          <w:b/>
          <w:bCs/>
          <w:sz w:val="25"/>
          <w:lang w:eastAsia="en-GB"/>
        </w:rPr>
        <w:t>4</w:t>
      </w:r>
    </w:p>
    <w:p w14:paraId="1856257C" w14:textId="77777777" w:rsidR="00070D32" w:rsidRPr="00070D32" w:rsidRDefault="00070D32" w:rsidP="00070D32">
      <w:pPr>
        <w:snapToGrid w:val="0"/>
        <w:spacing w:before="100" w:beforeAutospacing="1" w:after="100" w:afterAutospacing="1"/>
        <w:contextualSpacing/>
        <w:jc w:val="right"/>
        <w:outlineLvl w:val="2"/>
        <w:rPr>
          <w:rFonts w:ascii="Gilroy" w:eastAsia="Times New Roman" w:hAnsi="Gilroy" w:cs="Times New Roman"/>
          <w:b/>
          <w:bCs/>
          <w:sz w:val="27"/>
          <w:szCs w:val="27"/>
          <w:lang w:eastAsia="en-GB"/>
        </w:rPr>
      </w:pPr>
    </w:p>
    <w:p w14:paraId="001B7E13" w14:textId="3BF27D35" w:rsidR="00891948" w:rsidRPr="00E06887" w:rsidRDefault="00332703" w:rsidP="00E06887">
      <w:pPr>
        <w:pStyle w:val="ListParagraph"/>
        <w:numPr>
          <w:ilvl w:val="0"/>
          <w:numId w:val="35"/>
        </w:numPr>
        <w:snapToGrid w:val="0"/>
        <w:spacing w:before="100" w:beforeAutospacing="1" w:after="100" w:afterAutospacing="1"/>
        <w:jc w:val="both"/>
        <w:outlineLvl w:val="2"/>
        <w:rPr>
          <w:rFonts w:ascii="Gilroy" w:eastAsia="Times New Roman" w:hAnsi="Gilroy" w:cs="Times New Roman"/>
          <w:b/>
          <w:bCs/>
          <w:sz w:val="27"/>
          <w:szCs w:val="27"/>
          <w:lang w:eastAsia="en-GB"/>
        </w:rPr>
      </w:pPr>
      <w:r w:rsidRPr="00E06887">
        <w:rPr>
          <w:rFonts w:ascii="Gilroy" w:eastAsia="Times New Roman" w:hAnsi="Gilroy" w:cs="Times New Roman"/>
          <w:b/>
          <w:bCs/>
          <w:sz w:val="27"/>
          <w:szCs w:val="27"/>
          <w:lang w:eastAsia="en-GB"/>
        </w:rPr>
        <w:t>Introduction</w:t>
      </w:r>
    </w:p>
    <w:p w14:paraId="3F5033A9" w14:textId="77777777" w:rsidR="00070D32" w:rsidRDefault="00070D32" w:rsidP="00070D32">
      <w:pPr>
        <w:snapToGrid w:val="0"/>
        <w:spacing w:before="100" w:beforeAutospacing="1" w:after="100" w:afterAutospacing="1"/>
        <w:contextualSpacing/>
        <w:jc w:val="both"/>
        <w:rPr>
          <w:rFonts w:ascii="Gilroy" w:eastAsia="Times New Roman" w:hAnsi="Gilroy" w:cs="Times New Roman"/>
          <w:lang w:eastAsia="en-GB"/>
        </w:rPr>
      </w:pPr>
    </w:p>
    <w:p w14:paraId="7CF985FC" w14:textId="434DEA9C" w:rsidR="004031E0" w:rsidRPr="005E4C83" w:rsidRDefault="00332703" w:rsidP="005E4C83">
      <w:pPr>
        <w:pStyle w:val="Heading2"/>
        <w:jc w:val="both"/>
        <w:rPr>
          <w:rFonts w:ascii="Gilroy" w:hAnsi="Gilroy"/>
          <w:color w:val="000000" w:themeColor="text1"/>
          <w:sz w:val="24"/>
          <w:szCs w:val="24"/>
        </w:rPr>
      </w:pPr>
      <w:r w:rsidRPr="005E4C83">
        <w:rPr>
          <w:rFonts w:ascii="Gilroy" w:eastAsia="Times New Roman" w:hAnsi="Gilroy" w:cs="Times New Roman"/>
          <w:color w:val="000000" w:themeColor="text1"/>
          <w:sz w:val="24"/>
          <w:szCs w:val="24"/>
          <w:lang w:eastAsia="en-GB"/>
        </w:rPr>
        <w:t>Privacy International (PI)</w:t>
      </w:r>
      <w:r w:rsidR="00F05B06" w:rsidRPr="005E4C83">
        <w:rPr>
          <w:rStyle w:val="FootnoteReference"/>
          <w:rFonts w:ascii="Gilroy" w:eastAsia="Times New Roman" w:hAnsi="Gilroy" w:cs="Times New Roman"/>
          <w:color w:val="000000" w:themeColor="text1"/>
          <w:sz w:val="24"/>
          <w:szCs w:val="24"/>
          <w:lang w:eastAsia="en-GB"/>
        </w:rPr>
        <w:footnoteReference w:id="1"/>
      </w:r>
      <w:r w:rsidRPr="005E4C83">
        <w:rPr>
          <w:rFonts w:ascii="Gilroy" w:eastAsia="Times New Roman" w:hAnsi="Gilroy" w:cs="Times New Roman"/>
          <w:color w:val="000000" w:themeColor="text1"/>
          <w:sz w:val="24"/>
          <w:szCs w:val="24"/>
          <w:lang w:eastAsia="en-GB"/>
        </w:rPr>
        <w:t xml:space="preserve"> welcomes the opportunity to provide input to </w:t>
      </w:r>
      <w:r w:rsidR="005E4C83">
        <w:rPr>
          <w:rFonts w:ascii="Gilroy" w:eastAsia="Times New Roman" w:hAnsi="Gilroy" w:cs="Times New Roman"/>
          <w:color w:val="000000" w:themeColor="text1"/>
          <w:sz w:val="24"/>
          <w:szCs w:val="24"/>
          <w:lang w:eastAsia="en-GB"/>
        </w:rPr>
        <w:t xml:space="preserve">inform the expert workshop and </w:t>
      </w:r>
      <w:r w:rsidRPr="005E4C83">
        <w:rPr>
          <w:rFonts w:ascii="Gilroy" w:eastAsia="Times New Roman" w:hAnsi="Gilroy" w:cs="Times New Roman"/>
          <w:color w:val="000000" w:themeColor="text1"/>
          <w:sz w:val="24"/>
          <w:szCs w:val="24"/>
          <w:lang w:eastAsia="en-GB"/>
        </w:rPr>
        <w:t xml:space="preserve">the report of the </w:t>
      </w:r>
      <w:r w:rsidR="005E4C83">
        <w:rPr>
          <w:rFonts w:ascii="Gilroy" w:eastAsia="Times New Roman" w:hAnsi="Gilroy" w:cs="Times New Roman"/>
          <w:color w:val="000000" w:themeColor="text1"/>
          <w:sz w:val="24"/>
          <w:szCs w:val="24"/>
          <w:lang w:eastAsia="en-GB"/>
        </w:rPr>
        <w:t>Office of the High Commissioner for Human Rights (OHCHR) to the Human Rights Council,</w:t>
      </w:r>
      <w:r w:rsidR="005E4C83" w:rsidRPr="005E4C83">
        <w:rPr>
          <w:rFonts w:ascii="Gilroy" w:eastAsia="Times New Roman" w:hAnsi="Gilroy" w:cs="Times New Roman"/>
          <w:color w:val="000000" w:themeColor="text1"/>
          <w:sz w:val="24"/>
          <w:szCs w:val="24"/>
          <w:lang w:eastAsia="en-GB"/>
        </w:rPr>
        <w:t xml:space="preserve"> pursuant to resolution 54/6</w:t>
      </w:r>
      <w:r w:rsidR="00891948" w:rsidRPr="005E4C83">
        <w:rPr>
          <w:rFonts w:ascii="Gilroy" w:eastAsia="Times New Roman" w:hAnsi="Gilroy" w:cs="Times New Roman"/>
          <w:color w:val="000000" w:themeColor="text1"/>
          <w:sz w:val="24"/>
          <w:szCs w:val="24"/>
          <w:lang w:eastAsia="en-GB"/>
        </w:rPr>
        <w:t xml:space="preserve">. </w:t>
      </w:r>
      <w:r w:rsidRPr="005E4C83">
        <w:rPr>
          <w:rFonts w:ascii="Gilroy" w:eastAsia="Times New Roman" w:hAnsi="Gilroy" w:cs="Times New Roman"/>
          <w:color w:val="000000" w:themeColor="text1"/>
          <w:sz w:val="24"/>
          <w:szCs w:val="24"/>
          <w:lang w:eastAsia="en-GB"/>
        </w:rPr>
        <w:t xml:space="preserve">We believe that this forthcoming report </w:t>
      </w:r>
      <w:r w:rsidR="00891948" w:rsidRPr="005E4C83">
        <w:rPr>
          <w:rFonts w:ascii="Gilroy" w:eastAsia="Times New Roman" w:hAnsi="Gilroy" w:cs="Times New Roman"/>
          <w:color w:val="000000" w:themeColor="text1"/>
          <w:sz w:val="24"/>
          <w:szCs w:val="24"/>
          <w:lang w:eastAsia="en-GB"/>
        </w:rPr>
        <w:t xml:space="preserve">on </w:t>
      </w:r>
      <w:r w:rsidR="005E4C83" w:rsidRPr="005E4C83">
        <w:rPr>
          <w:rFonts w:ascii="Gilroy" w:hAnsi="Gilroy"/>
          <w:color w:val="000000" w:themeColor="text1"/>
          <w:sz w:val="24"/>
          <w:szCs w:val="24"/>
        </w:rPr>
        <w:t>the centrality of care and support from a human rights perspectiv</w:t>
      </w:r>
      <w:r w:rsidR="005E4C83" w:rsidRPr="005E4C83">
        <w:rPr>
          <w:rFonts w:ascii="Gilroy" w:hAnsi="Gilroy"/>
          <w:color w:val="000000" w:themeColor="text1"/>
          <w:sz w:val="24"/>
          <w:szCs w:val="24"/>
        </w:rPr>
        <w:t xml:space="preserve">e </w:t>
      </w:r>
      <w:r w:rsidRPr="005E4C83">
        <w:rPr>
          <w:rFonts w:ascii="Gilroy" w:eastAsia="Times New Roman" w:hAnsi="Gilroy" w:cs="Times New Roman"/>
          <w:color w:val="000000" w:themeColor="text1"/>
          <w:sz w:val="24"/>
          <w:szCs w:val="24"/>
          <w:lang w:eastAsia="en-GB"/>
        </w:rPr>
        <w:t xml:space="preserve">could assess the extent </w:t>
      </w:r>
      <w:r w:rsidR="00935F03" w:rsidRPr="005E4C83">
        <w:rPr>
          <w:rFonts w:ascii="Gilroy" w:eastAsia="Times New Roman" w:hAnsi="Gilroy" w:cs="Times New Roman"/>
          <w:color w:val="000000" w:themeColor="text1"/>
          <w:sz w:val="24"/>
          <w:szCs w:val="24"/>
          <w:lang w:eastAsia="en-GB"/>
        </w:rPr>
        <w:t xml:space="preserve">to which </w:t>
      </w:r>
      <w:r w:rsidRPr="005E4C83">
        <w:rPr>
          <w:rFonts w:ascii="Gilroy" w:eastAsia="Times New Roman" w:hAnsi="Gilroy" w:cs="Times New Roman"/>
          <w:color w:val="000000" w:themeColor="text1"/>
          <w:sz w:val="24"/>
          <w:szCs w:val="24"/>
          <w:lang w:eastAsia="en-GB"/>
        </w:rPr>
        <w:t xml:space="preserve">states, companies, and other actors have implemented the recommendations contained in previous </w:t>
      </w:r>
      <w:r w:rsidR="00891948" w:rsidRPr="005E4C83">
        <w:rPr>
          <w:rFonts w:ascii="Gilroy" w:eastAsia="Times New Roman" w:hAnsi="Gilroy" w:cs="Times New Roman"/>
          <w:color w:val="000000" w:themeColor="text1"/>
          <w:sz w:val="24"/>
          <w:szCs w:val="24"/>
          <w:lang w:eastAsia="en-GB"/>
        </w:rPr>
        <w:t>O</w:t>
      </w:r>
      <w:r w:rsidRPr="005E4C83">
        <w:rPr>
          <w:rFonts w:ascii="Gilroy" w:eastAsia="Times New Roman" w:hAnsi="Gilroy" w:cs="Times New Roman"/>
          <w:color w:val="000000" w:themeColor="text1"/>
          <w:sz w:val="24"/>
          <w:szCs w:val="24"/>
          <w:lang w:eastAsia="en-GB"/>
        </w:rPr>
        <w:t xml:space="preserve">HCHR reports on the </w:t>
      </w:r>
      <w:r w:rsidR="00891948" w:rsidRPr="005E4C83">
        <w:rPr>
          <w:rFonts w:ascii="Gilroy" w:eastAsia="Times New Roman" w:hAnsi="Gilroy" w:cs="Times New Roman"/>
          <w:color w:val="000000" w:themeColor="text1"/>
          <w:sz w:val="24"/>
          <w:szCs w:val="24"/>
          <w:lang w:eastAsia="en-GB"/>
        </w:rPr>
        <w:t>rights of persons with disabilities</w:t>
      </w:r>
      <w:r w:rsidR="005E4C83" w:rsidRPr="005E4C83">
        <w:rPr>
          <w:rFonts w:ascii="Gilroy" w:eastAsia="Times New Roman" w:hAnsi="Gilroy" w:cs="Times New Roman"/>
          <w:color w:val="000000" w:themeColor="text1"/>
          <w:sz w:val="24"/>
          <w:szCs w:val="24"/>
          <w:lang w:eastAsia="en-GB"/>
        </w:rPr>
        <w:t xml:space="preserve"> in </w:t>
      </w:r>
      <w:r w:rsidR="005E4C83">
        <w:rPr>
          <w:rFonts w:ascii="Gilroy" w:eastAsia="Times New Roman" w:hAnsi="Gilroy" w:cs="Times New Roman"/>
          <w:color w:val="000000" w:themeColor="text1"/>
          <w:sz w:val="24"/>
          <w:szCs w:val="24"/>
          <w:lang w:eastAsia="en-GB"/>
        </w:rPr>
        <w:t>particular</w:t>
      </w:r>
      <w:r w:rsidRPr="005E4C83">
        <w:rPr>
          <w:rFonts w:ascii="Gilroy" w:eastAsia="Times New Roman" w:hAnsi="Gilroy" w:cs="Times New Roman"/>
          <w:color w:val="000000" w:themeColor="text1"/>
          <w:sz w:val="24"/>
          <w:szCs w:val="24"/>
          <w:lang w:eastAsia="en-GB"/>
        </w:rPr>
        <w:t xml:space="preserve">, as well as recommendations and findings of other relevant UN human rights experts and bodies. </w:t>
      </w:r>
    </w:p>
    <w:p w14:paraId="609680B3" w14:textId="55F66479" w:rsidR="00FF0A2C" w:rsidRPr="00070D32" w:rsidRDefault="00CF0545" w:rsidP="00070D32">
      <w:pPr>
        <w:snapToGrid w:val="0"/>
        <w:spacing w:before="100" w:beforeAutospacing="1" w:after="100" w:afterAutospacing="1"/>
        <w:contextualSpacing/>
        <w:jc w:val="both"/>
        <w:rPr>
          <w:rFonts w:ascii="Gilroy" w:eastAsia="Times New Roman" w:hAnsi="Gilroy" w:cs="Times New Roman"/>
          <w:lang w:eastAsia="en-GB"/>
        </w:rPr>
      </w:pPr>
      <w:r w:rsidRPr="00070D32">
        <w:rPr>
          <w:rFonts w:ascii="Gilroy" w:eastAsia="Times New Roman" w:hAnsi="Gilroy" w:cs="Times New Roman"/>
          <w:lang w:eastAsia="en-GB"/>
        </w:rPr>
        <w:t xml:space="preserve">In this submission, we aim to outline developments from around the world as they relate to key areas of concern that are being explored by the mandate for its report. </w:t>
      </w:r>
      <w:r w:rsidR="00332703" w:rsidRPr="00070D32">
        <w:rPr>
          <w:rFonts w:ascii="Gilroy" w:eastAsia="Times New Roman" w:hAnsi="Gilroy" w:cs="Times New Roman"/>
          <w:lang w:eastAsia="en-GB"/>
        </w:rPr>
        <w:t>The following sections provide PI's information and analysis of some of the topics listed in the call for submission</w:t>
      </w:r>
      <w:r w:rsidR="005C14A1">
        <w:rPr>
          <w:rFonts w:ascii="Gilroy" w:eastAsia="Times New Roman" w:hAnsi="Gilroy" w:cs="Times New Roman"/>
          <w:lang w:eastAsia="en-GB"/>
        </w:rPr>
        <w:t>,</w:t>
      </w:r>
      <w:r w:rsidR="005C14A1" w:rsidRPr="005C14A1">
        <w:rPr>
          <w:rStyle w:val="FootnoteReference"/>
          <w:rFonts w:ascii="Gilroy" w:eastAsia="Times New Roman" w:hAnsi="Gilroy" w:cs="Times New Roman"/>
          <w:lang w:eastAsia="en-GB"/>
        </w:rPr>
        <w:t xml:space="preserve"> </w:t>
      </w:r>
      <w:r w:rsidR="005C14A1" w:rsidRPr="00070D32">
        <w:rPr>
          <w:rStyle w:val="FootnoteReference"/>
          <w:rFonts w:ascii="Gilroy" w:eastAsia="Times New Roman" w:hAnsi="Gilroy" w:cs="Times New Roman"/>
          <w:lang w:eastAsia="en-GB"/>
        </w:rPr>
        <w:footnoteReference w:id="2"/>
      </w:r>
      <w:r w:rsidR="005C14A1">
        <w:rPr>
          <w:rFonts w:ascii="Gilroy" w:eastAsia="Times New Roman" w:hAnsi="Gilroy" w:cs="Times New Roman"/>
          <w:lang w:eastAsia="en-GB"/>
        </w:rPr>
        <w:t xml:space="preserve"> and in particular t</w:t>
      </w:r>
      <w:r w:rsidR="005C14A1" w:rsidRPr="00070D32">
        <w:rPr>
          <w:rFonts w:ascii="Gilroy" w:eastAsia="Times New Roman" w:hAnsi="Gilroy" w:cs="Times New Roman"/>
          <w:lang w:eastAsia="en-GB"/>
        </w:rPr>
        <w:t>his submission builds on PI’s and our global partners’ research and reporting around the use of data and technology in the design, delivery and management of social protection programmes.</w:t>
      </w:r>
    </w:p>
    <w:p w14:paraId="078B1042" w14:textId="77777777" w:rsidR="00070D32" w:rsidRDefault="00070D32" w:rsidP="00070D32">
      <w:pPr>
        <w:snapToGrid w:val="0"/>
        <w:spacing w:before="100" w:beforeAutospacing="1" w:after="100" w:afterAutospacing="1"/>
        <w:contextualSpacing/>
        <w:jc w:val="both"/>
        <w:rPr>
          <w:rFonts w:ascii="Gilroy" w:eastAsia="Times New Roman" w:hAnsi="Gilroy" w:cs="Times New Roman"/>
          <w:b/>
          <w:bCs/>
          <w:sz w:val="27"/>
          <w:szCs w:val="27"/>
          <w:lang w:eastAsia="en-GB"/>
        </w:rPr>
      </w:pPr>
    </w:p>
    <w:p w14:paraId="6706400F" w14:textId="26B35ABB" w:rsidR="004170BC" w:rsidRPr="00E06887" w:rsidRDefault="00122384" w:rsidP="00E06887">
      <w:pPr>
        <w:pStyle w:val="ListParagraph"/>
        <w:numPr>
          <w:ilvl w:val="0"/>
          <w:numId w:val="35"/>
        </w:numPr>
        <w:snapToGrid w:val="0"/>
        <w:spacing w:before="100" w:beforeAutospacing="1" w:after="100" w:afterAutospacing="1"/>
        <w:jc w:val="both"/>
        <w:rPr>
          <w:rFonts w:ascii="Gilroy" w:eastAsia="Times New Roman" w:hAnsi="Gilroy" w:cs="Times New Roman"/>
          <w:b/>
          <w:bCs/>
          <w:sz w:val="27"/>
          <w:szCs w:val="27"/>
          <w:lang w:eastAsia="en-GB"/>
        </w:rPr>
      </w:pPr>
      <w:r w:rsidRPr="00E06887">
        <w:rPr>
          <w:rFonts w:ascii="Gilroy" w:eastAsia="Times New Roman" w:hAnsi="Gilroy" w:cs="Times New Roman"/>
          <w:b/>
          <w:bCs/>
          <w:sz w:val="27"/>
          <w:szCs w:val="27"/>
          <w:lang w:eastAsia="en-GB"/>
        </w:rPr>
        <w:t>Recommendations</w:t>
      </w:r>
    </w:p>
    <w:p w14:paraId="3486547C" w14:textId="3C29B924" w:rsidR="00EF1B04" w:rsidRPr="00EF1B04" w:rsidRDefault="00EF1B04" w:rsidP="00EF1B04">
      <w:pPr>
        <w:pStyle w:val="Default"/>
        <w:spacing w:after="20" w:line="276" w:lineRule="auto"/>
        <w:jc w:val="both"/>
        <w:rPr>
          <w:rFonts w:ascii="Gilroy" w:hAnsi="Gilroy"/>
          <w:sz w:val="24"/>
          <w:szCs w:val="24"/>
        </w:rPr>
      </w:pPr>
      <w:r w:rsidRPr="00EF1B04">
        <w:rPr>
          <w:rFonts w:ascii="Gilroy" w:hAnsi="Gilroy"/>
          <w:sz w:val="24"/>
          <w:szCs w:val="24"/>
        </w:rPr>
        <w:lastRenderedPageBreak/>
        <w:t xml:space="preserve">We recommend that the upcoming Report of </w:t>
      </w:r>
      <w:r>
        <w:rPr>
          <w:rFonts w:ascii="Gilroy" w:hAnsi="Gilroy"/>
          <w:sz w:val="24"/>
          <w:szCs w:val="24"/>
        </w:rPr>
        <w:t>OHCHR</w:t>
      </w:r>
      <w:r w:rsidRPr="00EF1B04">
        <w:rPr>
          <w:rFonts w:ascii="Gilroy" w:hAnsi="Gilroy"/>
          <w:sz w:val="24"/>
          <w:szCs w:val="24"/>
        </w:rPr>
        <w:t xml:space="preserve"> on </w:t>
      </w:r>
      <w:r w:rsidR="00D036AA">
        <w:rPr>
          <w:rFonts w:ascii="Gilroy" w:hAnsi="Gilroy"/>
          <w:sz w:val="24"/>
          <w:szCs w:val="24"/>
        </w:rPr>
        <w:t>care and support systems</w:t>
      </w:r>
      <w:r w:rsidRPr="00EF1B04">
        <w:rPr>
          <w:rFonts w:ascii="Gilroy" w:hAnsi="Gilroy"/>
          <w:sz w:val="24"/>
          <w:szCs w:val="24"/>
        </w:rPr>
        <w:t xml:space="preserve">: </w:t>
      </w:r>
    </w:p>
    <w:p w14:paraId="15886580" w14:textId="2D5E898A" w:rsidR="004170BC" w:rsidRPr="00EF1B04" w:rsidRDefault="00EF1B04" w:rsidP="00EF1B04">
      <w:pPr>
        <w:pStyle w:val="ListParagraph"/>
        <w:numPr>
          <w:ilvl w:val="0"/>
          <w:numId w:val="25"/>
        </w:numPr>
        <w:snapToGrid w:val="0"/>
        <w:spacing w:before="100" w:beforeAutospacing="1" w:after="100" w:afterAutospacing="1"/>
        <w:jc w:val="both"/>
        <w:rPr>
          <w:rFonts w:ascii="Gilroy" w:eastAsia="Times New Roman" w:hAnsi="Gilroy" w:cs="Times New Roman"/>
          <w:lang w:eastAsia="en-GB"/>
        </w:rPr>
      </w:pPr>
      <w:r>
        <w:rPr>
          <w:rFonts w:ascii="Gilroy" w:eastAsia="Times New Roman" w:hAnsi="Gilroy" w:cs="Times New Roman"/>
          <w:lang w:eastAsia="en-GB"/>
        </w:rPr>
        <w:t>Examine</w:t>
      </w:r>
      <w:r w:rsidR="00DA74C3">
        <w:rPr>
          <w:rFonts w:ascii="Gilroy" w:eastAsia="Times New Roman" w:hAnsi="Gilroy" w:cs="Times New Roman"/>
          <w:lang w:eastAsia="en-GB"/>
        </w:rPr>
        <w:t>s</w:t>
      </w:r>
      <w:r w:rsidR="004170BC" w:rsidRPr="00EF1B04">
        <w:rPr>
          <w:rFonts w:ascii="Gilroy" w:eastAsia="Times New Roman" w:hAnsi="Gilroy" w:cs="Times New Roman"/>
          <w:lang w:eastAsia="en-GB"/>
        </w:rPr>
        <w:t xml:space="preserve"> the</w:t>
      </w:r>
      <w:r>
        <w:rPr>
          <w:rFonts w:ascii="Gilroy" w:eastAsia="Times New Roman" w:hAnsi="Gilroy" w:cs="Times New Roman"/>
          <w:lang w:eastAsia="en-GB"/>
        </w:rPr>
        <w:t xml:space="preserve"> </w:t>
      </w:r>
      <w:r w:rsidR="004170BC" w:rsidRPr="00EF1B04">
        <w:rPr>
          <w:rFonts w:ascii="Gilroy" w:eastAsia="Times New Roman" w:hAnsi="Gilroy" w:cs="Times New Roman"/>
          <w:lang w:eastAsia="en-GB"/>
        </w:rPr>
        <w:t xml:space="preserve">impact </w:t>
      </w:r>
      <w:r>
        <w:rPr>
          <w:rFonts w:ascii="Gilroy" w:eastAsia="Times New Roman" w:hAnsi="Gilroy" w:cs="Times New Roman"/>
          <w:lang w:eastAsia="en-GB"/>
        </w:rPr>
        <w:t>that growing</w:t>
      </w:r>
      <w:r w:rsidR="004170BC" w:rsidRPr="00EF1B04">
        <w:rPr>
          <w:rFonts w:ascii="Gilroy" w:eastAsia="Times New Roman" w:hAnsi="Gilroy" w:cs="Times New Roman"/>
          <w:lang w:eastAsia="en-GB"/>
        </w:rPr>
        <w:t xml:space="preserve"> digitisation</w:t>
      </w:r>
      <w:r>
        <w:rPr>
          <w:rFonts w:ascii="Gilroy" w:eastAsia="Times New Roman" w:hAnsi="Gilroy" w:cs="Times New Roman"/>
          <w:lang w:eastAsia="en-GB"/>
        </w:rPr>
        <w:t xml:space="preserve"> and the use of new and emerging technologies across sectors has upon the rights of persons with disabilities</w:t>
      </w:r>
      <w:r w:rsidR="004170BC" w:rsidRPr="00EF1B04">
        <w:rPr>
          <w:rFonts w:ascii="Gilroy" w:eastAsia="Times New Roman" w:hAnsi="Gilroy" w:cs="Times New Roman"/>
          <w:lang w:eastAsia="en-GB"/>
        </w:rPr>
        <w:t>;</w:t>
      </w:r>
    </w:p>
    <w:p w14:paraId="3CF3B6A7" w14:textId="6100C442" w:rsidR="00EF1B04" w:rsidRDefault="00EF1B04" w:rsidP="00EF1B04">
      <w:pPr>
        <w:pStyle w:val="ListParagraph"/>
        <w:numPr>
          <w:ilvl w:val="0"/>
          <w:numId w:val="25"/>
        </w:numPr>
        <w:snapToGrid w:val="0"/>
        <w:spacing w:before="100" w:beforeAutospacing="1" w:after="100" w:afterAutospacing="1"/>
        <w:jc w:val="both"/>
        <w:rPr>
          <w:rFonts w:ascii="Gilroy" w:eastAsia="Times New Roman" w:hAnsi="Gilroy" w:cs="Times New Roman"/>
          <w:lang w:eastAsia="en-GB"/>
        </w:rPr>
      </w:pPr>
      <w:r>
        <w:rPr>
          <w:rFonts w:ascii="Gilroy" w:eastAsia="Times New Roman" w:hAnsi="Gilroy" w:cs="Times New Roman"/>
          <w:lang w:eastAsia="en-GB"/>
        </w:rPr>
        <w:t>Urge</w:t>
      </w:r>
      <w:r w:rsidR="00DA74C3">
        <w:rPr>
          <w:rFonts w:ascii="Gilroy" w:eastAsia="Times New Roman" w:hAnsi="Gilroy" w:cs="Times New Roman"/>
          <w:lang w:eastAsia="en-GB"/>
        </w:rPr>
        <w:t>s</w:t>
      </w:r>
      <w:r>
        <w:rPr>
          <w:rFonts w:ascii="Gilroy" w:eastAsia="Times New Roman" w:hAnsi="Gilroy" w:cs="Times New Roman"/>
          <w:lang w:eastAsia="en-GB"/>
        </w:rPr>
        <w:t xml:space="preserve"> states </w:t>
      </w:r>
      <w:r w:rsidR="00DA74C3">
        <w:rPr>
          <w:rFonts w:ascii="Gilroy" w:eastAsia="Times New Roman" w:hAnsi="Gilroy" w:cs="Times New Roman"/>
          <w:lang w:eastAsia="en-GB"/>
        </w:rPr>
        <w:t xml:space="preserve">to ensure that the deployment of digital technologies is in accordance with the rights of persons with disabilities, including their right to privacy and </w:t>
      </w:r>
      <w:r>
        <w:rPr>
          <w:rFonts w:ascii="Gilroy" w:eastAsia="Times New Roman" w:hAnsi="Gilroy" w:cs="Times New Roman"/>
          <w:lang w:eastAsia="en-GB"/>
        </w:rPr>
        <w:t>to regulate for the safe deployment of digital technologies</w:t>
      </w:r>
      <w:r w:rsidR="004F1C0A">
        <w:rPr>
          <w:rFonts w:ascii="Gilroy" w:eastAsia="Times New Roman" w:hAnsi="Gilroy" w:cs="Times New Roman"/>
          <w:lang w:eastAsia="en-GB"/>
        </w:rPr>
        <w:t xml:space="preserve"> </w:t>
      </w:r>
      <w:r w:rsidR="007827FE">
        <w:rPr>
          <w:rFonts w:ascii="Gilroy" w:eastAsia="Times New Roman" w:hAnsi="Gilroy" w:cs="Times New Roman"/>
          <w:lang w:eastAsia="en-GB"/>
        </w:rPr>
        <w:t xml:space="preserve">in accordance with principles of legality, necessity and proportionality, </w:t>
      </w:r>
      <w:r w:rsidR="0091584B">
        <w:rPr>
          <w:rFonts w:ascii="Gilroy" w:eastAsia="Times New Roman" w:hAnsi="Gilroy" w:cs="Times New Roman"/>
          <w:lang w:eastAsia="en-GB"/>
        </w:rPr>
        <w:t xml:space="preserve">ensuring among others </w:t>
      </w:r>
      <w:r>
        <w:rPr>
          <w:rFonts w:ascii="Gilroy" w:eastAsia="Times New Roman" w:hAnsi="Gilroy" w:cs="Times New Roman"/>
          <w:lang w:eastAsia="en-GB"/>
        </w:rPr>
        <w:t xml:space="preserve">specific safeguards to uphold data protection principles and preserve the rights of persons with disabilities; </w:t>
      </w:r>
    </w:p>
    <w:p w14:paraId="21F0B51F" w14:textId="3BD7CD40" w:rsidR="00EF1B04" w:rsidRDefault="00EF1B04" w:rsidP="00EF1B04">
      <w:pPr>
        <w:pStyle w:val="ListParagraph"/>
        <w:numPr>
          <w:ilvl w:val="0"/>
          <w:numId w:val="25"/>
        </w:numPr>
        <w:snapToGrid w:val="0"/>
        <w:spacing w:before="100" w:beforeAutospacing="1" w:after="100" w:afterAutospacing="1"/>
        <w:jc w:val="both"/>
        <w:rPr>
          <w:rFonts w:ascii="Gilroy" w:eastAsia="Times New Roman" w:hAnsi="Gilroy" w:cs="Times New Roman"/>
          <w:lang w:eastAsia="en-GB"/>
        </w:rPr>
      </w:pPr>
      <w:r>
        <w:rPr>
          <w:rFonts w:ascii="Gilroy" w:eastAsia="Times New Roman" w:hAnsi="Gilroy" w:cs="Times New Roman"/>
          <w:lang w:eastAsia="en-GB"/>
        </w:rPr>
        <w:t>Recognise</w:t>
      </w:r>
      <w:r w:rsidR="00DA74C3">
        <w:rPr>
          <w:rFonts w:ascii="Gilroy" w:eastAsia="Times New Roman" w:hAnsi="Gilroy" w:cs="Times New Roman"/>
          <w:lang w:eastAsia="en-GB"/>
        </w:rPr>
        <w:t>s</w:t>
      </w:r>
      <w:r>
        <w:rPr>
          <w:rFonts w:ascii="Gilroy" w:eastAsia="Times New Roman" w:hAnsi="Gilroy" w:cs="Times New Roman"/>
          <w:lang w:eastAsia="en-GB"/>
        </w:rPr>
        <w:t xml:space="preserve"> the risks that the use of automated decision</w:t>
      </w:r>
      <w:r w:rsidR="0091584B">
        <w:rPr>
          <w:rFonts w:ascii="Gilroy" w:eastAsia="Times New Roman" w:hAnsi="Gilroy" w:cs="Times New Roman"/>
          <w:lang w:eastAsia="en-GB"/>
        </w:rPr>
        <w:t>-</w:t>
      </w:r>
      <w:r>
        <w:rPr>
          <w:rFonts w:ascii="Gilroy" w:eastAsia="Times New Roman" w:hAnsi="Gilroy" w:cs="Times New Roman"/>
          <w:lang w:eastAsia="en-GB"/>
        </w:rPr>
        <w:t>making pose</w:t>
      </w:r>
      <w:r w:rsidR="007827FE">
        <w:rPr>
          <w:rFonts w:ascii="Gilroy" w:eastAsia="Times New Roman" w:hAnsi="Gilroy" w:cs="Times New Roman"/>
          <w:lang w:eastAsia="en-GB"/>
        </w:rPr>
        <w:t>s</w:t>
      </w:r>
      <w:r>
        <w:rPr>
          <w:rFonts w:ascii="Gilroy" w:eastAsia="Times New Roman" w:hAnsi="Gilroy" w:cs="Times New Roman"/>
          <w:lang w:eastAsia="en-GB"/>
        </w:rPr>
        <w:t xml:space="preserve"> to persons with disabilities and urge</w:t>
      </w:r>
      <w:r w:rsidR="00A272D8">
        <w:rPr>
          <w:rFonts w:ascii="Gilroy" w:eastAsia="Times New Roman" w:hAnsi="Gilroy" w:cs="Times New Roman"/>
          <w:lang w:eastAsia="en-GB"/>
        </w:rPr>
        <w:t>s</w:t>
      </w:r>
      <w:r>
        <w:rPr>
          <w:rFonts w:ascii="Gilroy" w:eastAsia="Times New Roman" w:hAnsi="Gilroy" w:cs="Times New Roman"/>
          <w:lang w:eastAsia="en-GB"/>
        </w:rPr>
        <w:t xml:space="preserve"> states to refrain from </w:t>
      </w:r>
      <w:r w:rsidR="00C9286C">
        <w:rPr>
          <w:rFonts w:ascii="Gilroy" w:eastAsia="Times New Roman" w:hAnsi="Gilroy" w:cs="Times New Roman"/>
          <w:lang w:eastAsia="en-GB"/>
        </w:rPr>
        <w:t xml:space="preserve">relying on </w:t>
      </w:r>
      <w:r>
        <w:rPr>
          <w:rFonts w:ascii="Gilroy" w:eastAsia="Times New Roman" w:hAnsi="Gilroy" w:cs="Times New Roman"/>
          <w:lang w:eastAsia="en-GB"/>
        </w:rPr>
        <w:t>automated decision</w:t>
      </w:r>
      <w:r w:rsidR="0091584B">
        <w:rPr>
          <w:rFonts w:ascii="Gilroy" w:eastAsia="Times New Roman" w:hAnsi="Gilroy" w:cs="Times New Roman"/>
          <w:lang w:eastAsia="en-GB"/>
        </w:rPr>
        <w:t>-</w:t>
      </w:r>
      <w:r>
        <w:rPr>
          <w:rFonts w:ascii="Gilroy" w:eastAsia="Times New Roman" w:hAnsi="Gilroy" w:cs="Times New Roman"/>
          <w:lang w:eastAsia="en-GB"/>
        </w:rPr>
        <w:t>making</w:t>
      </w:r>
      <w:r w:rsidR="00C9286C">
        <w:rPr>
          <w:rFonts w:ascii="Gilroy" w:eastAsia="Times New Roman" w:hAnsi="Gilroy" w:cs="Times New Roman"/>
          <w:lang w:eastAsia="en-GB"/>
        </w:rPr>
        <w:t xml:space="preserve"> in the social protection context</w:t>
      </w:r>
      <w:r w:rsidR="00E35330">
        <w:rPr>
          <w:rFonts w:ascii="Gilroy" w:eastAsia="Times New Roman" w:hAnsi="Gilroy" w:cs="Times New Roman"/>
          <w:lang w:eastAsia="en-GB"/>
        </w:rPr>
        <w:t xml:space="preserve"> due to </w:t>
      </w:r>
      <w:r w:rsidR="00D851CB">
        <w:rPr>
          <w:rFonts w:ascii="Gilroy" w:eastAsia="Times New Roman" w:hAnsi="Gilroy" w:cs="Times New Roman"/>
          <w:lang w:eastAsia="en-GB"/>
        </w:rPr>
        <w:t xml:space="preserve">the </w:t>
      </w:r>
      <w:r w:rsidR="00E35330">
        <w:rPr>
          <w:rFonts w:ascii="Gilroy" w:eastAsia="Times New Roman" w:hAnsi="Gilroy" w:cs="Times New Roman"/>
          <w:lang w:eastAsia="en-GB"/>
        </w:rPr>
        <w:t>dangers that the use of such technology poses</w:t>
      </w:r>
      <w:r w:rsidR="00E5070D">
        <w:rPr>
          <w:rFonts w:ascii="Gilroy" w:eastAsia="Times New Roman" w:hAnsi="Gilroy" w:cs="Times New Roman"/>
          <w:lang w:eastAsia="en-GB"/>
        </w:rPr>
        <w:t xml:space="preserve"> including</w:t>
      </w:r>
      <w:r w:rsidR="00DE7020">
        <w:rPr>
          <w:rFonts w:ascii="Gilroy" w:eastAsia="Times New Roman" w:hAnsi="Gilroy" w:cs="Times New Roman"/>
          <w:lang w:eastAsia="en-GB"/>
        </w:rPr>
        <w:t xml:space="preserve"> in</w:t>
      </w:r>
      <w:r w:rsidR="004F1C0A">
        <w:rPr>
          <w:rFonts w:ascii="Gilroy" w:eastAsia="Times New Roman" w:hAnsi="Gilroy" w:cs="Times New Roman"/>
          <w:lang w:eastAsia="en-GB"/>
        </w:rPr>
        <w:t xml:space="preserve">, but not exclusive to, </w:t>
      </w:r>
      <w:r w:rsidR="00E5070D">
        <w:rPr>
          <w:rFonts w:ascii="Gilroy" w:eastAsia="Times New Roman" w:hAnsi="Gilroy" w:cs="Times New Roman"/>
          <w:lang w:eastAsia="en-GB"/>
        </w:rPr>
        <w:t xml:space="preserve">social protection </w:t>
      </w:r>
      <w:r w:rsidR="00DE7020">
        <w:rPr>
          <w:rFonts w:ascii="Gilroy" w:eastAsia="Times New Roman" w:hAnsi="Gilroy" w:cs="Times New Roman"/>
          <w:lang w:eastAsia="en-GB"/>
        </w:rPr>
        <w:t>contexts</w:t>
      </w:r>
      <w:r>
        <w:rPr>
          <w:rFonts w:ascii="Gilroy" w:eastAsia="Times New Roman" w:hAnsi="Gilroy" w:cs="Times New Roman"/>
          <w:lang w:eastAsia="en-GB"/>
        </w:rPr>
        <w:t>;</w:t>
      </w:r>
    </w:p>
    <w:p w14:paraId="276CF11E" w14:textId="10D5662F" w:rsidR="004170BC" w:rsidRDefault="00E35330" w:rsidP="00EF1B04">
      <w:pPr>
        <w:pStyle w:val="ListParagraph"/>
        <w:numPr>
          <w:ilvl w:val="0"/>
          <w:numId w:val="25"/>
        </w:numPr>
        <w:snapToGrid w:val="0"/>
        <w:spacing w:before="100" w:beforeAutospacing="1" w:after="100" w:afterAutospacing="1"/>
        <w:jc w:val="both"/>
        <w:rPr>
          <w:rFonts w:ascii="Gilroy" w:eastAsia="Times New Roman" w:hAnsi="Gilroy" w:cs="Times New Roman"/>
          <w:lang w:eastAsia="en-GB"/>
        </w:rPr>
      </w:pPr>
      <w:r>
        <w:rPr>
          <w:rFonts w:ascii="Gilroy" w:eastAsia="Times New Roman" w:hAnsi="Gilroy" w:cs="Times New Roman"/>
          <w:lang w:eastAsia="en-GB"/>
        </w:rPr>
        <w:t>Recommend</w:t>
      </w:r>
      <w:r w:rsidR="00DA74C3">
        <w:rPr>
          <w:rFonts w:ascii="Gilroy" w:eastAsia="Times New Roman" w:hAnsi="Gilroy" w:cs="Times New Roman"/>
          <w:lang w:eastAsia="en-GB"/>
        </w:rPr>
        <w:t>s</w:t>
      </w:r>
      <w:r>
        <w:rPr>
          <w:rFonts w:ascii="Gilroy" w:eastAsia="Times New Roman" w:hAnsi="Gilroy" w:cs="Times New Roman"/>
          <w:lang w:eastAsia="en-GB"/>
        </w:rPr>
        <w:t xml:space="preserve"> that states ensure that the use of digital technologies in s</w:t>
      </w:r>
      <w:r w:rsidR="004170BC" w:rsidRPr="00EF1B04">
        <w:rPr>
          <w:rFonts w:ascii="Gilroy" w:eastAsia="Times New Roman" w:hAnsi="Gilroy" w:cs="Times New Roman"/>
          <w:lang w:eastAsia="en-GB"/>
        </w:rPr>
        <w:t>ocial protection programmes</w:t>
      </w:r>
      <w:r>
        <w:rPr>
          <w:rFonts w:ascii="Gilroy" w:eastAsia="Times New Roman" w:hAnsi="Gilroy" w:cs="Times New Roman"/>
          <w:lang w:eastAsia="en-GB"/>
        </w:rPr>
        <w:t xml:space="preserve">, including digital welfare systems, does not result in </w:t>
      </w:r>
      <w:r w:rsidR="00A272D8">
        <w:rPr>
          <w:rFonts w:ascii="Gilroy" w:eastAsia="Times New Roman" w:hAnsi="Gilroy" w:cs="Times New Roman"/>
          <w:lang w:eastAsia="en-GB"/>
        </w:rPr>
        <w:t>exclusionary or discriminatory impacts on persons with disabilities</w:t>
      </w:r>
      <w:r>
        <w:rPr>
          <w:rFonts w:ascii="Gilroy" w:eastAsia="Times New Roman" w:hAnsi="Gilroy" w:cs="Times New Roman"/>
          <w:lang w:eastAsia="en-GB"/>
        </w:rPr>
        <w:t>;</w:t>
      </w:r>
    </w:p>
    <w:p w14:paraId="5BE9B0CC" w14:textId="52E57ED0" w:rsidR="00DA74C3" w:rsidRDefault="004F1C0A" w:rsidP="00847669">
      <w:pPr>
        <w:pStyle w:val="ListParagraph"/>
        <w:numPr>
          <w:ilvl w:val="0"/>
          <w:numId w:val="25"/>
        </w:numPr>
        <w:snapToGrid w:val="0"/>
        <w:spacing w:before="100" w:beforeAutospacing="1" w:after="100" w:afterAutospacing="1"/>
        <w:jc w:val="both"/>
        <w:rPr>
          <w:rFonts w:ascii="Gilroy" w:eastAsia="Times New Roman" w:hAnsi="Gilroy" w:cs="Times New Roman"/>
          <w:lang w:eastAsia="en-GB"/>
        </w:rPr>
      </w:pPr>
      <w:r>
        <w:rPr>
          <w:rFonts w:ascii="Gilroy" w:eastAsia="Times New Roman" w:hAnsi="Gilroy" w:cs="Times New Roman"/>
          <w:lang w:eastAsia="en-GB"/>
        </w:rPr>
        <w:t>Urge</w:t>
      </w:r>
      <w:r w:rsidR="00DA74C3">
        <w:rPr>
          <w:rFonts w:ascii="Gilroy" w:eastAsia="Times New Roman" w:hAnsi="Gilroy" w:cs="Times New Roman"/>
          <w:lang w:eastAsia="en-GB"/>
        </w:rPr>
        <w:t>s</w:t>
      </w:r>
      <w:r>
        <w:rPr>
          <w:rFonts w:ascii="Gilroy" w:eastAsia="Times New Roman" w:hAnsi="Gilroy" w:cs="Times New Roman"/>
          <w:lang w:eastAsia="en-GB"/>
        </w:rPr>
        <w:t xml:space="preserve"> </w:t>
      </w:r>
      <w:r w:rsidR="00DA74C3">
        <w:rPr>
          <w:rFonts w:ascii="Gilroy" w:eastAsia="Times New Roman" w:hAnsi="Gilroy" w:cs="Times New Roman"/>
          <w:lang w:eastAsia="en-GB"/>
        </w:rPr>
        <w:t xml:space="preserve">states to systematically </w:t>
      </w:r>
      <w:proofErr w:type="gramStart"/>
      <w:r w:rsidR="00DA74C3">
        <w:rPr>
          <w:rFonts w:ascii="Gilroy" w:eastAsia="Times New Roman" w:hAnsi="Gilroy" w:cs="Times New Roman"/>
          <w:lang w:eastAsia="en-GB"/>
        </w:rPr>
        <w:t xml:space="preserve">conduct </w:t>
      </w:r>
      <w:r>
        <w:rPr>
          <w:rFonts w:ascii="Gilroy" w:eastAsia="Times New Roman" w:hAnsi="Gilroy" w:cs="Times New Roman"/>
          <w:lang w:eastAsia="en-GB"/>
        </w:rPr>
        <w:t xml:space="preserve"> human</w:t>
      </w:r>
      <w:proofErr w:type="gramEnd"/>
      <w:r>
        <w:rPr>
          <w:rFonts w:ascii="Gilroy" w:eastAsia="Times New Roman" w:hAnsi="Gilroy" w:cs="Times New Roman"/>
          <w:lang w:eastAsia="en-GB"/>
        </w:rPr>
        <w:t xml:space="preserve"> rights due diligence, </w:t>
      </w:r>
      <w:r w:rsidR="00DA74C3">
        <w:rPr>
          <w:rFonts w:ascii="Gilroy" w:eastAsia="Times New Roman" w:hAnsi="Gilroy" w:cs="Times New Roman"/>
          <w:lang w:eastAsia="en-GB"/>
        </w:rPr>
        <w:t xml:space="preserve">including regular comprehensive human rights and data protection impact assessments, </w:t>
      </w:r>
      <w:r>
        <w:rPr>
          <w:rFonts w:ascii="Gilroy" w:eastAsia="Times New Roman" w:hAnsi="Gilroy" w:cs="Times New Roman"/>
          <w:lang w:eastAsia="en-GB"/>
        </w:rPr>
        <w:t>that takes the rights of persons of disabilities</w:t>
      </w:r>
      <w:r w:rsidR="00847669">
        <w:rPr>
          <w:rFonts w:ascii="Gilroy" w:eastAsia="Times New Roman" w:hAnsi="Gilroy" w:cs="Times New Roman"/>
          <w:lang w:eastAsia="en-GB"/>
        </w:rPr>
        <w:t xml:space="preserve"> into account</w:t>
      </w:r>
      <w:r w:rsidR="00DA74C3">
        <w:rPr>
          <w:rFonts w:ascii="Gilroy" w:eastAsia="Times New Roman" w:hAnsi="Gilroy" w:cs="Times New Roman"/>
          <w:lang w:eastAsia="en-GB"/>
        </w:rPr>
        <w:t>, including</w:t>
      </w:r>
      <w:r>
        <w:rPr>
          <w:rFonts w:ascii="Gilroy" w:eastAsia="Times New Roman" w:hAnsi="Gilroy" w:cs="Times New Roman"/>
          <w:lang w:eastAsia="en-GB"/>
        </w:rPr>
        <w:t xml:space="preserve"> before the </w:t>
      </w:r>
      <w:r w:rsidR="007827FE">
        <w:rPr>
          <w:rFonts w:ascii="Gilroy" w:eastAsia="Times New Roman" w:hAnsi="Gilroy" w:cs="Times New Roman"/>
          <w:lang w:eastAsia="en-GB"/>
        </w:rPr>
        <w:t>establishment</w:t>
      </w:r>
      <w:r>
        <w:rPr>
          <w:rFonts w:ascii="Gilroy" w:eastAsia="Times New Roman" w:hAnsi="Gilroy" w:cs="Times New Roman"/>
          <w:lang w:eastAsia="en-GB"/>
        </w:rPr>
        <w:t xml:space="preserve"> of social protection programme</w:t>
      </w:r>
      <w:r w:rsidR="009A05BE">
        <w:rPr>
          <w:rFonts w:ascii="Gilroy" w:eastAsia="Times New Roman" w:hAnsi="Gilroy" w:cs="Times New Roman"/>
          <w:lang w:eastAsia="en-GB"/>
        </w:rPr>
        <w:t>s</w:t>
      </w:r>
      <w:r w:rsidR="007827FE">
        <w:rPr>
          <w:rFonts w:ascii="Gilroy" w:eastAsia="Times New Roman" w:hAnsi="Gilroy" w:cs="Times New Roman"/>
          <w:lang w:eastAsia="en-GB"/>
        </w:rPr>
        <w:t xml:space="preserve"> or public private partnerships related to assistive technologies</w:t>
      </w:r>
      <w:r w:rsidR="009A05BE">
        <w:rPr>
          <w:rFonts w:ascii="Gilroy" w:eastAsia="Times New Roman" w:hAnsi="Gilroy" w:cs="Times New Roman"/>
          <w:lang w:eastAsia="en-GB"/>
        </w:rPr>
        <w:t>;</w:t>
      </w:r>
    </w:p>
    <w:p w14:paraId="7DF9BF36" w14:textId="23E9F93C" w:rsidR="00E35330" w:rsidRPr="00A272D8" w:rsidRDefault="00DA74C3" w:rsidP="00DA74C3">
      <w:pPr>
        <w:pStyle w:val="ListParagraph"/>
        <w:numPr>
          <w:ilvl w:val="0"/>
          <w:numId w:val="25"/>
        </w:numPr>
        <w:snapToGrid w:val="0"/>
        <w:spacing w:before="100" w:beforeAutospacing="1" w:after="100" w:afterAutospacing="1"/>
        <w:jc w:val="both"/>
        <w:rPr>
          <w:rFonts w:ascii="Gilroy" w:eastAsia="Times New Roman" w:hAnsi="Gilroy" w:cs="Times New Roman"/>
          <w:lang w:eastAsia="en-GB"/>
        </w:rPr>
      </w:pPr>
      <w:r>
        <w:rPr>
          <w:rFonts w:ascii="Gilroy" w:eastAsia="Times New Roman" w:hAnsi="Gilroy" w:cs="Times New Roman"/>
          <w:lang w:eastAsia="en-GB"/>
        </w:rPr>
        <w:t>Recommends that g</w:t>
      </w:r>
      <w:r w:rsidR="004F1C0A" w:rsidRPr="00A272D8">
        <w:rPr>
          <w:rFonts w:ascii="Gilroy" w:eastAsia="Times New Roman" w:hAnsi="Gilroy" w:cs="Times New Roman"/>
          <w:lang w:eastAsia="en-GB"/>
        </w:rPr>
        <w:t>lobal</w:t>
      </w:r>
      <w:r w:rsidR="00E35330" w:rsidRPr="00A272D8">
        <w:rPr>
          <w:rFonts w:ascii="Gilroy" w:eastAsia="Times New Roman" w:hAnsi="Gilroy" w:cs="Times New Roman"/>
          <w:lang w:eastAsia="en-GB"/>
        </w:rPr>
        <w:t xml:space="preserve"> funders of social protection programmes</w:t>
      </w:r>
      <w:r w:rsidR="004F1C0A" w:rsidRPr="00A272D8">
        <w:rPr>
          <w:rFonts w:ascii="Gilroy" w:eastAsia="Times New Roman" w:hAnsi="Gilroy" w:cs="Times New Roman"/>
          <w:lang w:eastAsia="en-GB"/>
        </w:rPr>
        <w:t xml:space="preserve"> must </w:t>
      </w:r>
      <w:r>
        <w:rPr>
          <w:rFonts w:ascii="Gilroy" w:eastAsia="Times New Roman" w:hAnsi="Gilroy" w:cs="Times New Roman"/>
          <w:lang w:eastAsia="en-GB"/>
        </w:rPr>
        <w:t xml:space="preserve">conduct human rights </w:t>
      </w:r>
      <w:r w:rsidR="00E35330" w:rsidRPr="00A272D8">
        <w:rPr>
          <w:rFonts w:ascii="Gilroy" w:eastAsia="Times New Roman" w:hAnsi="Gilroy" w:cs="Times New Roman"/>
          <w:lang w:eastAsia="en-GB"/>
        </w:rPr>
        <w:t>due diligence as a pre-condition to the approval of funding;</w:t>
      </w:r>
    </w:p>
    <w:p w14:paraId="2BF8A8F9" w14:textId="445C77C1" w:rsidR="00C616D0" w:rsidRDefault="00C616D0" w:rsidP="00EF1B04">
      <w:pPr>
        <w:pStyle w:val="ListParagraph"/>
        <w:numPr>
          <w:ilvl w:val="0"/>
          <w:numId w:val="25"/>
        </w:numPr>
        <w:snapToGrid w:val="0"/>
        <w:spacing w:before="100" w:beforeAutospacing="1" w:after="100" w:afterAutospacing="1"/>
        <w:jc w:val="both"/>
        <w:rPr>
          <w:rFonts w:ascii="Gilroy" w:eastAsia="Times New Roman" w:hAnsi="Gilroy" w:cs="Times New Roman"/>
          <w:lang w:eastAsia="en-GB"/>
        </w:rPr>
      </w:pPr>
      <w:r>
        <w:rPr>
          <w:rFonts w:ascii="Gilroy" w:eastAsia="Times New Roman" w:hAnsi="Gilroy" w:cs="Times New Roman"/>
          <w:lang w:eastAsia="en-GB"/>
        </w:rPr>
        <w:t>Urge</w:t>
      </w:r>
      <w:r w:rsidR="00DA74C3">
        <w:rPr>
          <w:rFonts w:ascii="Gilroy" w:eastAsia="Times New Roman" w:hAnsi="Gilroy" w:cs="Times New Roman"/>
          <w:lang w:eastAsia="en-GB"/>
        </w:rPr>
        <w:t>s</w:t>
      </w:r>
      <w:r>
        <w:rPr>
          <w:rFonts w:ascii="Gilroy" w:eastAsia="Times New Roman" w:hAnsi="Gilroy" w:cs="Times New Roman"/>
          <w:lang w:eastAsia="en-GB"/>
        </w:rPr>
        <w:t xml:space="preserve"> states to adopt and enforce </w:t>
      </w:r>
      <w:r w:rsidR="00DA74C3">
        <w:rPr>
          <w:rFonts w:ascii="Gilroy" w:eastAsia="Times New Roman" w:hAnsi="Gilroy" w:cs="Times New Roman"/>
          <w:lang w:eastAsia="en-GB"/>
        </w:rPr>
        <w:t xml:space="preserve">national </w:t>
      </w:r>
      <w:r>
        <w:rPr>
          <w:rFonts w:ascii="Gilroy" w:eastAsia="Times New Roman" w:hAnsi="Gilroy" w:cs="Times New Roman"/>
          <w:lang w:eastAsia="en-GB"/>
        </w:rPr>
        <w:t xml:space="preserve">data protection </w:t>
      </w:r>
      <w:r w:rsidR="00C9286C">
        <w:rPr>
          <w:rFonts w:ascii="Gilroy" w:eastAsia="Times New Roman" w:hAnsi="Gilroy" w:cs="Times New Roman"/>
          <w:lang w:eastAsia="en-GB"/>
        </w:rPr>
        <w:t xml:space="preserve">laws </w:t>
      </w:r>
      <w:r>
        <w:rPr>
          <w:rFonts w:ascii="Gilroy" w:eastAsia="Times New Roman" w:hAnsi="Gilroy" w:cs="Times New Roman"/>
          <w:lang w:eastAsia="en-GB"/>
        </w:rPr>
        <w:t>and regulatory frameworks in order to regulate and limit data processing activities</w:t>
      </w:r>
      <w:r w:rsidR="00F704AD">
        <w:rPr>
          <w:rFonts w:ascii="Gilroy" w:eastAsia="Times New Roman" w:hAnsi="Gilroy" w:cs="Times New Roman"/>
          <w:lang w:eastAsia="en-GB"/>
        </w:rPr>
        <w:t xml:space="preserve">, including </w:t>
      </w:r>
      <w:r w:rsidR="00DA74C3">
        <w:rPr>
          <w:rFonts w:ascii="Gilroy" w:eastAsia="Times New Roman" w:hAnsi="Gilroy" w:cs="Times New Roman"/>
          <w:lang w:eastAsia="en-GB"/>
        </w:rPr>
        <w:t>by enhanced</w:t>
      </w:r>
      <w:r w:rsidR="00F704AD">
        <w:rPr>
          <w:rFonts w:ascii="Gilroy" w:eastAsia="Times New Roman" w:hAnsi="Gilroy" w:cs="Times New Roman"/>
          <w:lang w:eastAsia="en-GB"/>
        </w:rPr>
        <w:t xml:space="preserve"> safeguards for </w:t>
      </w:r>
      <w:r w:rsidR="00DA74C3">
        <w:rPr>
          <w:rFonts w:ascii="Gilroy" w:eastAsia="Times New Roman" w:hAnsi="Gilroy" w:cs="Times New Roman"/>
          <w:lang w:eastAsia="en-GB"/>
        </w:rPr>
        <w:t xml:space="preserve">sensitive data, such as </w:t>
      </w:r>
      <w:r w:rsidR="00F704AD">
        <w:rPr>
          <w:rFonts w:ascii="Gilroy" w:eastAsia="Times New Roman" w:hAnsi="Gilroy" w:cs="Times New Roman"/>
          <w:lang w:eastAsia="en-GB"/>
        </w:rPr>
        <w:t>health data</w:t>
      </w:r>
      <w:r>
        <w:rPr>
          <w:rFonts w:ascii="Gilroy" w:eastAsia="Times New Roman" w:hAnsi="Gilroy" w:cs="Times New Roman"/>
          <w:lang w:eastAsia="en-GB"/>
        </w:rPr>
        <w:t>;</w:t>
      </w:r>
    </w:p>
    <w:p w14:paraId="3B9BFAC7" w14:textId="25AA453F" w:rsidR="00C616D0" w:rsidRPr="003726DD" w:rsidRDefault="0035318D" w:rsidP="003726DD">
      <w:pPr>
        <w:pStyle w:val="ListParagraph"/>
        <w:numPr>
          <w:ilvl w:val="0"/>
          <w:numId w:val="25"/>
        </w:numPr>
        <w:snapToGrid w:val="0"/>
        <w:spacing w:before="100" w:beforeAutospacing="1" w:after="100" w:afterAutospacing="1"/>
        <w:jc w:val="both"/>
        <w:rPr>
          <w:rFonts w:ascii="Gilroy" w:eastAsia="Times New Roman" w:hAnsi="Gilroy" w:cs="Times New Roman"/>
          <w:lang w:eastAsia="en-GB"/>
        </w:rPr>
      </w:pPr>
      <w:r w:rsidRPr="005E3821">
        <w:rPr>
          <w:rFonts w:ascii="Gilroy" w:hAnsi="Gilroy"/>
        </w:rPr>
        <w:t xml:space="preserve">Recalls the responsibility of all business enterprises to respect human rights, and states’ duty to protect human rights even </w:t>
      </w:r>
      <w:r>
        <w:rPr>
          <w:rFonts w:ascii="Gilroy" w:eastAsia="Times New Roman" w:hAnsi="Gilroy" w:cs="Times New Roman"/>
          <w:lang w:eastAsia="en-GB"/>
        </w:rPr>
        <w:t>collaborating with private companies in order to facilitate the provision of assistive technologies, products or services to persons with disabilities;</w:t>
      </w:r>
      <w:r w:rsidR="003726DD">
        <w:rPr>
          <w:rFonts w:ascii="Gilroy" w:eastAsia="Times New Roman" w:hAnsi="Gilroy" w:cs="Times New Roman"/>
          <w:lang w:eastAsia="en-GB"/>
        </w:rPr>
        <w:t xml:space="preserve"> </w:t>
      </w:r>
      <w:r w:rsidR="0091584B" w:rsidRPr="003726DD">
        <w:rPr>
          <w:rFonts w:ascii="Gilroy" w:eastAsia="Times New Roman" w:hAnsi="Gilroy" w:cs="Times New Roman"/>
          <w:lang w:eastAsia="en-GB"/>
        </w:rPr>
        <w:t>and</w:t>
      </w:r>
    </w:p>
    <w:p w14:paraId="4DF4501B" w14:textId="61787BF2" w:rsidR="0042110A" w:rsidRDefault="0042110A" w:rsidP="0042110A">
      <w:pPr>
        <w:pStyle w:val="ListParagraph"/>
        <w:numPr>
          <w:ilvl w:val="0"/>
          <w:numId w:val="25"/>
        </w:numPr>
        <w:snapToGrid w:val="0"/>
        <w:spacing w:before="100" w:beforeAutospacing="1" w:after="100" w:afterAutospacing="1"/>
        <w:rPr>
          <w:rFonts w:ascii="Gilroy" w:eastAsia="Times New Roman" w:hAnsi="Gilroy" w:cs="Times New Roman"/>
          <w:lang w:eastAsia="en-GB"/>
        </w:rPr>
      </w:pPr>
      <w:r w:rsidRPr="0042110A">
        <w:rPr>
          <w:rFonts w:ascii="Gilroy" w:eastAsia="Times New Roman" w:hAnsi="Gilroy" w:cs="Times New Roman"/>
          <w:lang w:eastAsia="en-GB"/>
        </w:rPr>
        <w:t>Require that a</w:t>
      </w:r>
      <w:r w:rsidR="00D851CB">
        <w:rPr>
          <w:rFonts w:ascii="Gilroy" w:eastAsia="Times New Roman" w:hAnsi="Gilroy" w:cs="Times New Roman"/>
          <w:lang w:eastAsia="en-GB"/>
        </w:rPr>
        <w:t>ll</w:t>
      </w:r>
      <w:r w:rsidRPr="0042110A">
        <w:rPr>
          <w:rFonts w:ascii="Gilroy" w:eastAsia="Times New Roman" w:hAnsi="Gilroy" w:cs="Times New Roman"/>
          <w:lang w:eastAsia="en-GB"/>
        </w:rPr>
        <w:t xml:space="preserve"> public private partnership collaboration</w:t>
      </w:r>
      <w:r w:rsidR="00D851CB">
        <w:rPr>
          <w:rFonts w:ascii="Gilroy" w:eastAsia="Times New Roman" w:hAnsi="Gilroy" w:cs="Times New Roman"/>
          <w:lang w:eastAsia="en-GB"/>
        </w:rPr>
        <w:t>s</w:t>
      </w:r>
      <w:r w:rsidRPr="0042110A">
        <w:rPr>
          <w:rFonts w:ascii="Gilroy" w:eastAsia="Times New Roman" w:hAnsi="Gilroy" w:cs="Times New Roman"/>
          <w:lang w:eastAsia="en-GB"/>
        </w:rPr>
        <w:t xml:space="preserve"> </w:t>
      </w:r>
      <w:r w:rsidR="00D851CB">
        <w:rPr>
          <w:rFonts w:ascii="Gilroy" w:eastAsia="Times New Roman" w:hAnsi="Gilroy" w:cs="Times New Roman"/>
          <w:lang w:eastAsia="en-GB"/>
        </w:rPr>
        <w:t>are</w:t>
      </w:r>
      <w:r w:rsidRPr="0042110A">
        <w:rPr>
          <w:rFonts w:ascii="Gilroy" w:eastAsia="Times New Roman" w:hAnsi="Gilroy" w:cs="Times New Roman"/>
          <w:lang w:eastAsia="en-GB"/>
        </w:rPr>
        <w:t xml:space="preserve"> carried out in accordance with international human rights standards, including the United Nations Guiding Principles on Business and Human Rights</w:t>
      </w:r>
      <w:r>
        <w:rPr>
          <w:rFonts w:ascii="Gilroy" w:eastAsia="Times New Roman" w:hAnsi="Gilroy" w:cs="Times New Roman"/>
          <w:lang w:eastAsia="en-GB"/>
        </w:rPr>
        <w:t>.</w:t>
      </w:r>
    </w:p>
    <w:p w14:paraId="6084B744" w14:textId="77777777" w:rsidR="00E06887" w:rsidRPr="00E06887" w:rsidRDefault="00E06887" w:rsidP="00E06887">
      <w:pPr>
        <w:snapToGrid w:val="0"/>
        <w:spacing w:before="100" w:beforeAutospacing="1" w:after="100" w:afterAutospacing="1"/>
        <w:rPr>
          <w:rFonts w:ascii="Gilroy" w:eastAsia="Times New Roman" w:hAnsi="Gilroy" w:cs="Times New Roman"/>
          <w:lang w:eastAsia="en-GB"/>
        </w:rPr>
      </w:pPr>
    </w:p>
    <w:p w14:paraId="221281FF" w14:textId="78288063" w:rsidR="00457747" w:rsidRPr="00E06887" w:rsidRDefault="00D51EA7" w:rsidP="00E06887">
      <w:pPr>
        <w:pStyle w:val="ListParagraph"/>
        <w:numPr>
          <w:ilvl w:val="0"/>
          <w:numId w:val="35"/>
        </w:numPr>
        <w:snapToGrid w:val="0"/>
        <w:spacing w:before="100" w:beforeAutospacing="1" w:after="100" w:afterAutospacing="1"/>
        <w:jc w:val="both"/>
        <w:rPr>
          <w:rFonts w:ascii="Gilroy" w:eastAsia="Times New Roman" w:hAnsi="Gilroy" w:cs="Times New Roman"/>
          <w:b/>
          <w:bCs/>
          <w:sz w:val="27"/>
          <w:szCs w:val="27"/>
          <w:lang w:eastAsia="en-GB"/>
        </w:rPr>
      </w:pPr>
      <w:r w:rsidRPr="00E06887">
        <w:rPr>
          <w:rFonts w:ascii="Gilroy" w:eastAsia="Times New Roman" w:hAnsi="Gilroy" w:cs="Times New Roman"/>
          <w:b/>
          <w:bCs/>
          <w:sz w:val="27"/>
          <w:szCs w:val="27"/>
          <w:lang w:eastAsia="en-GB"/>
        </w:rPr>
        <w:t>The impact of digitisation and use of new technologies on persons living with disabilities</w:t>
      </w:r>
    </w:p>
    <w:p w14:paraId="76CC1FFC" w14:textId="09CA3F13" w:rsidR="00605BF4" w:rsidRDefault="00605BF4" w:rsidP="00605BF4">
      <w:pPr>
        <w:snapToGrid w:val="0"/>
        <w:spacing w:before="100" w:beforeAutospacing="1" w:after="100" w:afterAutospacing="1"/>
        <w:contextualSpacing/>
        <w:jc w:val="both"/>
        <w:rPr>
          <w:rFonts w:ascii="Gilroy" w:eastAsia="Times New Roman" w:hAnsi="Gilroy" w:cs="Times New Roman"/>
          <w:lang w:eastAsia="en-GB"/>
        </w:rPr>
      </w:pPr>
    </w:p>
    <w:p w14:paraId="50552929" w14:textId="3F9C6BA4" w:rsidR="00605BF4" w:rsidRDefault="00605BF4" w:rsidP="00605BF4">
      <w:pPr>
        <w:snapToGrid w:val="0"/>
        <w:spacing w:before="100" w:beforeAutospacing="1" w:after="100" w:afterAutospacing="1"/>
        <w:jc w:val="both"/>
        <w:rPr>
          <w:rFonts w:ascii="Gilroy" w:eastAsia="Times New Roman" w:hAnsi="Gilroy" w:cs="Times New Roman"/>
          <w:lang w:eastAsia="en-GB"/>
        </w:rPr>
      </w:pPr>
      <w:r>
        <w:rPr>
          <w:rFonts w:ascii="Gilroy" w:eastAsia="Times New Roman" w:hAnsi="Gilroy" w:cs="Times New Roman"/>
          <w:lang w:eastAsia="en-GB"/>
        </w:rPr>
        <w:t>The</w:t>
      </w:r>
      <w:r w:rsidR="00457747">
        <w:rPr>
          <w:rFonts w:ascii="Gilroy" w:eastAsia="Times New Roman" w:hAnsi="Gilroy" w:cs="Times New Roman"/>
          <w:lang w:eastAsia="en-GB"/>
        </w:rPr>
        <w:t xml:space="preserve"> growth of worldwide digitisation</w:t>
      </w:r>
      <w:r w:rsidR="009A61C9">
        <w:rPr>
          <w:rFonts w:ascii="Gilroy" w:eastAsia="Times New Roman" w:hAnsi="Gilroy" w:cs="Times New Roman"/>
          <w:lang w:eastAsia="en-GB"/>
        </w:rPr>
        <w:t xml:space="preserve"> of our societies</w:t>
      </w:r>
      <w:r w:rsidR="00457747">
        <w:rPr>
          <w:rFonts w:ascii="Gilroy" w:eastAsia="Times New Roman" w:hAnsi="Gilroy" w:cs="Times New Roman"/>
          <w:lang w:eastAsia="en-GB"/>
        </w:rPr>
        <w:t>, alongside rapid proliferation of new technologies</w:t>
      </w:r>
      <w:r w:rsidR="009A61C9">
        <w:rPr>
          <w:rFonts w:ascii="Gilroy" w:eastAsia="Times New Roman" w:hAnsi="Gilroy" w:cs="Times New Roman"/>
          <w:lang w:eastAsia="en-GB"/>
        </w:rPr>
        <w:t xml:space="preserve"> such as </w:t>
      </w:r>
      <w:r w:rsidR="00297C5D">
        <w:rPr>
          <w:rFonts w:ascii="Gilroy" w:eastAsia="Times New Roman" w:hAnsi="Gilroy" w:cs="Times New Roman"/>
          <w:lang w:eastAsia="en-GB"/>
        </w:rPr>
        <w:t>i</w:t>
      </w:r>
      <w:r w:rsidR="00457747">
        <w:rPr>
          <w:rFonts w:ascii="Gilroy" w:eastAsia="Times New Roman" w:hAnsi="Gilroy" w:cs="Times New Roman"/>
          <w:lang w:eastAsia="en-GB"/>
        </w:rPr>
        <w:t xml:space="preserve">nformation and </w:t>
      </w:r>
      <w:r w:rsidR="00297C5D">
        <w:rPr>
          <w:rFonts w:ascii="Gilroy" w:eastAsia="Times New Roman" w:hAnsi="Gilroy" w:cs="Times New Roman"/>
          <w:lang w:eastAsia="en-GB"/>
        </w:rPr>
        <w:t>c</w:t>
      </w:r>
      <w:r w:rsidR="00457747">
        <w:rPr>
          <w:rFonts w:ascii="Gilroy" w:eastAsia="Times New Roman" w:hAnsi="Gilroy" w:cs="Times New Roman"/>
          <w:lang w:eastAsia="en-GB"/>
        </w:rPr>
        <w:t xml:space="preserve">ommunication </w:t>
      </w:r>
      <w:r w:rsidR="00297C5D">
        <w:rPr>
          <w:rFonts w:ascii="Gilroy" w:eastAsia="Times New Roman" w:hAnsi="Gilroy" w:cs="Times New Roman"/>
          <w:lang w:eastAsia="en-GB"/>
        </w:rPr>
        <w:t>t</w:t>
      </w:r>
      <w:r w:rsidR="00457747">
        <w:rPr>
          <w:rFonts w:ascii="Gilroy" w:eastAsia="Times New Roman" w:hAnsi="Gilroy" w:cs="Times New Roman"/>
          <w:lang w:eastAsia="en-GB"/>
        </w:rPr>
        <w:t>echnologies (ICT), has a</w:t>
      </w:r>
      <w:r>
        <w:rPr>
          <w:rFonts w:ascii="Gilroy" w:eastAsia="Times New Roman" w:hAnsi="Gilroy" w:cs="Times New Roman"/>
          <w:lang w:eastAsia="en-GB"/>
        </w:rPr>
        <w:t xml:space="preserve"> unique and often exacerbated impact upon </w:t>
      </w:r>
      <w:r w:rsidR="00457747">
        <w:rPr>
          <w:rFonts w:ascii="Gilroy" w:eastAsia="Times New Roman" w:hAnsi="Gilroy" w:cs="Times New Roman"/>
          <w:lang w:eastAsia="en-GB"/>
        </w:rPr>
        <w:t xml:space="preserve">the rights </w:t>
      </w:r>
      <w:r>
        <w:rPr>
          <w:rFonts w:ascii="Gilroy" w:eastAsia="Times New Roman" w:hAnsi="Gilroy" w:cs="Times New Roman"/>
          <w:lang w:eastAsia="en-GB"/>
        </w:rPr>
        <w:t>persons with disabilities</w:t>
      </w:r>
      <w:r w:rsidR="00457747">
        <w:rPr>
          <w:rFonts w:ascii="Gilroy" w:eastAsia="Times New Roman" w:hAnsi="Gilroy" w:cs="Times New Roman"/>
          <w:lang w:eastAsia="en-GB"/>
        </w:rPr>
        <w:t>.</w:t>
      </w:r>
      <w:r w:rsidR="00E34B32">
        <w:rPr>
          <w:rFonts w:ascii="Gilroy" w:eastAsia="Times New Roman" w:hAnsi="Gilroy" w:cs="Times New Roman"/>
          <w:lang w:eastAsia="en-GB"/>
        </w:rPr>
        <w:t xml:space="preserve"> </w:t>
      </w:r>
      <w:r w:rsidR="00457747">
        <w:rPr>
          <w:rFonts w:ascii="Gilroy" w:eastAsia="Times New Roman" w:hAnsi="Gilroy" w:cs="Times New Roman"/>
          <w:lang w:eastAsia="en-GB"/>
        </w:rPr>
        <w:t xml:space="preserve">These impacts </w:t>
      </w:r>
      <w:r>
        <w:rPr>
          <w:rFonts w:ascii="Gilroy" w:eastAsia="Times New Roman" w:hAnsi="Gilroy" w:cs="Times New Roman"/>
          <w:lang w:eastAsia="en-GB"/>
        </w:rPr>
        <w:t>present an array of threats</w:t>
      </w:r>
      <w:r w:rsidR="00457747">
        <w:rPr>
          <w:rFonts w:ascii="Gilroy" w:eastAsia="Times New Roman" w:hAnsi="Gilroy" w:cs="Times New Roman"/>
          <w:lang w:eastAsia="en-GB"/>
        </w:rPr>
        <w:t xml:space="preserve"> </w:t>
      </w:r>
      <w:r w:rsidR="00297C5D">
        <w:rPr>
          <w:rFonts w:ascii="Gilroy" w:eastAsia="Times New Roman" w:hAnsi="Gilroy" w:cs="Times New Roman"/>
          <w:lang w:eastAsia="en-GB"/>
        </w:rPr>
        <w:t xml:space="preserve">to </w:t>
      </w:r>
      <w:r w:rsidR="00457747">
        <w:rPr>
          <w:rFonts w:ascii="Gilroy" w:eastAsia="Times New Roman" w:hAnsi="Gilroy" w:cs="Times New Roman"/>
          <w:lang w:eastAsia="en-GB"/>
        </w:rPr>
        <w:t xml:space="preserve">persons with disabilities’ </w:t>
      </w:r>
      <w:r w:rsidR="00457747">
        <w:rPr>
          <w:rFonts w:ascii="Gilroy" w:eastAsia="Times New Roman" w:hAnsi="Gilroy" w:cs="Times New Roman"/>
          <w:lang w:eastAsia="en-GB"/>
        </w:rPr>
        <w:lastRenderedPageBreak/>
        <w:t>enjoyment of their fundamental rights</w:t>
      </w:r>
      <w:r>
        <w:rPr>
          <w:rFonts w:ascii="Gilroy" w:eastAsia="Times New Roman" w:hAnsi="Gilroy" w:cs="Times New Roman"/>
          <w:lang w:eastAsia="en-GB"/>
        </w:rPr>
        <w:t xml:space="preserve">, with particular regard to the right to privacy, as enshrined in Article 12 of the Universal Declaration on Human rights and Article 17 of the International Covenant on Civil and Political Rights, both of which apply to all without discrimination. </w:t>
      </w:r>
      <w:r w:rsidR="00457747">
        <w:rPr>
          <w:rFonts w:ascii="Gilroy" w:eastAsia="Times New Roman" w:hAnsi="Gilroy" w:cs="Times New Roman"/>
          <w:lang w:eastAsia="en-GB"/>
        </w:rPr>
        <w:t>Equally</w:t>
      </w:r>
      <w:r>
        <w:rPr>
          <w:rFonts w:ascii="Gilroy" w:eastAsia="Times New Roman" w:hAnsi="Gilroy" w:cs="Times New Roman"/>
          <w:lang w:eastAsia="en-GB"/>
        </w:rPr>
        <w:t xml:space="preserve">, the </w:t>
      </w:r>
      <w:r w:rsidR="009A61C9">
        <w:rPr>
          <w:rFonts w:ascii="Gilroy" w:eastAsia="Times New Roman" w:hAnsi="Gilroy" w:cs="Times New Roman"/>
          <w:lang w:eastAsia="en-GB"/>
        </w:rPr>
        <w:t xml:space="preserve">UN </w:t>
      </w:r>
      <w:r>
        <w:rPr>
          <w:rFonts w:ascii="Gilroy" w:eastAsia="Times New Roman" w:hAnsi="Gilroy" w:cs="Times New Roman"/>
          <w:lang w:eastAsia="en-GB"/>
        </w:rPr>
        <w:t xml:space="preserve">Convention on the Rights of Persons with Disabilities (CRPD) </w:t>
      </w:r>
      <w:r w:rsidR="00457747">
        <w:rPr>
          <w:rFonts w:ascii="Gilroy" w:eastAsia="Times New Roman" w:hAnsi="Gilroy" w:cs="Times New Roman"/>
          <w:lang w:eastAsia="en-GB"/>
        </w:rPr>
        <w:t xml:space="preserve">provides explicitly for the right to privacy of persons with disabilities </w:t>
      </w:r>
      <w:r w:rsidR="00A37069">
        <w:rPr>
          <w:rFonts w:ascii="Gilroy" w:eastAsia="Times New Roman" w:hAnsi="Gilroy" w:cs="Times New Roman"/>
          <w:lang w:eastAsia="en-GB"/>
        </w:rPr>
        <w:t>under</w:t>
      </w:r>
      <w:r w:rsidR="00457747">
        <w:rPr>
          <w:rFonts w:ascii="Gilroy" w:eastAsia="Times New Roman" w:hAnsi="Gilroy" w:cs="Times New Roman"/>
          <w:lang w:eastAsia="en-GB"/>
        </w:rPr>
        <w:t xml:space="preserve"> Article 22, and</w:t>
      </w:r>
      <w:r w:rsidR="00A37069">
        <w:rPr>
          <w:rFonts w:ascii="Gilroy" w:eastAsia="Times New Roman" w:hAnsi="Gilroy" w:cs="Times New Roman"/>
          <w:lang w:eastAsia="en-GB"/>
        </w:rPr>
        <w:t xml:space="preserve"> under</w:t>
      </w:r>
      <w:r w:rsidR="00457747">
        <w:rPr>
          <w:rFonts w:ascii="Gilroy" w:eastAsia="Times New Roman" w:hAnsi="Gilroy" w:cs="Times New Roman"/>
          <w:lang w:eastAsia="en-GB"/>
        </w:rPr>
        <w:t xml:space="preserve"> Article 9 of the Optional Protocol.</w:t>
      </w:r>
      <w:r w:rsidR="00224CB3">
        <w:rPr>
          <w:rStyle w:val="FootnoteReference"/>
          <w:rFonts w:ascii="Gilroy" w:eastAsia="Times New Roman" w:hAnsi="Gilroy" w:cs="Times New Roman"/>
          <w:lang w:eastAsia="en-GB"/>
        </w:rPr>
        <w:footnoteReference w:id="3"/>
      </w:r>
      <w:r w:rsidR="00457747">
        <w:rPr>
          <w:rFonts w:ascii="Gilroy" w:eastAsia="Times New Roman" w:hAnsi="Gilroy" w:cs="Times New Roman"/>
          <w:lang w:eastAsia="en-GB"/>
        </w:rPr>
        <w:t xml:space="preserve"> </w:t>
      </w:r>
    </w:p>
    <w:p w14:paraId="33E26184" w14:textId="1947537F" w:rsidR="0044420A" w:rsidRDefault="00457747" w:rsidP="00605BF4">
      <w:pPr>
        <w:snapToGrid w:val="0"/>
        <w:spacing w:before="100" w:beforeAutospacing="1" w:after="100" w:afterAutospacing="1"/>
        <w:jc w:val="both"/>
        <w:rPr>
          <w:rFonts w:ascii="Gilroy" w:eastAsia="Times New Roman" w:hAnsi="Gilroy" w:cs="Times New Roman"/>
          <w:lang w:eastAsia="en-GB"/>
        </w:rPr>
      </w:pPr>
      <w:r>
        <w:rPr>
          <w:rFonts w:ascii="Gilroy" w:eastAsia="Times New Roman" w:hAnsi="Gilroy" w:cs="Times New Roman"/>
          <w:lang w:eastAsia="en-GB"/>
        </w:rPr>
        <w:t>The significan</w:t>
      </w:r>
      <w:r w:rsidR="00A37069">
        <w:rPr>
          <w:rFonts w:ascii="Gilroy" w:eastAsia="Times New Roman" w:hAnsi="Gilroy" w:cs="Times New Roman"/>
          <w:lang w:eastAsia="en-GB"/>
        </w:rPr>
        <w:t>ce</w:t>
      </w:r>
      <w:r>
        <w:rPr>
          <w:rFonts w:ascii="Gilroy" w:eastAsia="Times New Roman" w:hAnsi="Gilroy" w:cs="Times New Roman"/>
          <w:lang w:eastAsia="en-GB"/>
        </w:rPr>
        <w:t xml:space="preserve"> of the context of </w:t>
      </w:r>
      <w:r w:rsidR="0044420A">
        <w:rPr>
          <w:rFonts w:ascii="Gilroy" w:eastAsia="Times New Roman" w:hAnsi="Gilroy" w:cs="Times New Roman"/>
          <w:lang w:eastAsia="en-GB"/>
        </w:rPr>
        <w:t>increasing digitisation</w:t>
      </w:r>
      <w:r>
        <w:rPr>
          <w:rFonts w:ascii="Gilroy" w:eastAsia="Times New Roman" w:hAnsi="Gilroy" w:cs="Times New Roman"/>
          <w:lang w:eastAsia="en-GB"/>
        </w:rPr>
        <w:t xml:space="preserve"> was recognised by the UN Department of Social and Economic Affairs</w:t>
      </w:r>
      <w:r w:rsidR="0044420A">
        <w:rPr>
          <w:rFonts w:ascii="Gilroy" w:eastAsia="Times New Roman" w:hAnsi="Gilroy" w:cs="Times New Roman"/>
          <w:lang w:eastAsia="en-GB"/>
        </w:rPr>
        <w:t xml:space="preserve">, which stated </w:t>
      </w:r>
      <w:r>
        <w:rPr>
          <w:rFonts w:ascii="Gilroy" w:eastAsia="Times New Roman" w:hAnsi="Gilroy" w:cs="Times New Roman"/>
          <w:lang w:eastAsia="en-GB"/>
        </w:rPr>
        <w:t>that “</w:t>
      </w:r>
      <w:r w:rsidRPr="00224CB3">
        <w:rPr>
          <w:rFonts w:ascii="Gilroy" w:eastAsia="Times New Roman" w:hAnsi="Gilroy" w:cs="Times New Roman"/>
          <w:i/>
          <w:iCs/>
          <w:lang w:eastAsia="en-GB"/>
        </w:rPr>
        <w:t>Information and communication technologies and infrastructures are rapidly growing in importance in the provision of information and services to the population</w:t>
      </w:r>
      <w:r>
        <w:rPr>
          <w:rFonts w:ascii="Gilroy" w:eastAsia="Times New Roman" w:hAnsi="Gilroy" w:cs="Times New Roman"/>
          <w:lang w:eastAsia="en-GB"/>
        </w:rPr>
        <w:t xml:space="preserve">” in its </w:t>
      </w:r>
      <w:r w:rsidRPr="006138EB">
        <w:rPr>
          <w:rFonts w:ascii="Gilroy" w:eastAsia="Times New Roman" w:hAnsi="Gilroy" w:cs="Times New Roman"/>
          <w:lang w:eastAsia="en-GB"/>
        </w:rPr>
        <w:t>proposed supplement to the Standard Rules on the Equalization of Opportunities for Persons with Disabilities</w:t>
      </w:r>
      <w:r w:rsidR="004746D1">
        <w:rPr>
          <w:rFonts w:ascii="Gilroy" w:eastAsia="Times New Roman" w:hAnsi="Gilroy" w:cs="Times New Roman"/>
          <w:lang w:eastAsia="en-GB"/>
        </w:rPr>
        <w:t>,</w:t>
      </w:r>
      <w:r w:rsidR="00A37069">
        <w:rPr>
          <w:rFonts w:ascii="Gilroy" w:eastAsia="Times New Roman" w:hAnsi="Gilroy" w:cs="Times New Roman"/>
          <w:lang w:eastAsia="en-GB"/>
        </w:rPr>
        <w:t xml:space="preserve"> and this significance was further</w:t>
      </w:r>
      <w:r>
        <w:rPr>
          <w:rFonts w:ascii="Gilroy" w:eastAsia="Times New Roman" w:hAnsi="Gilroy" w:cs="Times New Roman"/>
          <w:lang w:eastAsia="en-GB"/>
        </w:rPr>
        <w:t xml:space="preserve"> </w:t>
      </w:r>
      <w:r w:rsidR="0044420A">
        <w:rPr>
          <w:rFonts w:ascii="Gilroy" w:eastAsia="Times New Roman" w:hAnsi="Gilroy" w:cs="Times New Roman"/>
          <w:lang w:eastAsia="en-GB"/>
        </w:rPr>
        <w:t>acknowledged</w:t>
      </w:r>
      <w:r>
        <w:rPr>
          <w:rFonts w:ascii="Gilroy" w:eastAsia="Times New Roman" w:hAnsi="Gilroy" w:cs="Times New Roman"/>
          <w:lang w:eastAsia="en-GB"/>
        </w:rPr>
        <w:t xml:space="preserve"> during the 16</w:t>
      </w:r>
      <w:r w:rsidRPr="006138EB">
        <w:rPr>
          <w:rFonts w:ascii="Gilroy" w:eastAsia="Times New Roman" w:hAnsi="Gilroy" w:cs="Times New Roman"/>
          <w:vertAlign w:val="superscript"/>
          <w:lang w:eastAsia="en-GB"/>
        </w:rPr>
        <w:t>th</w:t>
      </w:r>
      <w:r>
        <w:rPr>
          <w:rFonts w:ascii="Gilroy" w:eastAsia="Times New Roman" w:hAnsi="Gilroy" w:cs="Times New Roman"/>
          <w:lang w:eastAsia="en-GB"/>
        </w:rPr>
        <w:t xml:space="preserve"> Conference of State Parties to the Convention on the Rights of Persons with Disabilities.</w:t>
      </w:r>
      <w:r>
        <w:rPr>
          <w:rStyle w:val="FootnoteReference"/>
          <w:rFonts w:ascii="Gilroy" w:eastAsia="Times New Roman" w:hAnsi="Gilroy" w:cs="Times New Roman"/>
          <w:lang w:eastAsia="en-GB"/>
        </w:rPr>
        <w:footnoteReference w:id="4"/>
      </w:r>
      <w:r>
        <w:rPr>
          <w:rFonts w:ascii="Gilroy" w:eastAsia="Times New Roman" w:hAnsi="Gilroy" w:cs="Times New Roman"/>
          <w:lang w:eastAsia="en-GB"/>
        </w:rPr>
        <w:t xml:space="preserve"> The Department</w:t>
      </w:r>
      <w:r w:rsidR="00A37069">
        <w:rPr>
          <w:rFonts w:ascii="Gilroy" w:eastAsia="Times New Roman" w:hAnsi="Gilroy" w:cs="Times New Roman"/>
          <w:lang w:eastAsia="en-GB"/>
        </w:rPr>
        <w:t xml:space="preserve"> also</w:t>
      </w:r>
      <w:r>
        <w:rPr>
          <w:rFonts w:ascii="Gilroy" w:eastAsia="Times New Roman" w:hAnsi="Gilroy" w:cs="Times New Roman"/>
          <w:lang w:eastAsia="en-GB"/>
        </w:rPr>
        <w:t xml:space="preserve"> underscored the need to ensure these technologies are made accessible to persons with disabilities.</w:t>
      </w:r>
      <w:r>
        <w:rPr>
          <w:rStyle w:val="FootnoteReference"/>
          <w:rFonts w:ascii="Gilroy" w:eastAsia="Times New Roman" w:hAnsi="Gilroy" w:cs="Times New Roman"/>
          <w:lang w:eastAsia="en-GB"/>
        </w:rPr>
        <w:footnoteReference w:id="5"/>
      </w:r>
      <w:r>
        <w:rPr>
          <w:rFonts w:ascii="Gilroy" w:eastAsia="Times New Roman" w:hAnsi="Gilroy" w:cs="Times New Roman"/>
          <w:lang w:eastAsia="en-GB"/>
        </w:rPr>
        <w:t xml:space="preserve"> </w:t>
      </w:r>
    </w:p>
    <w:p w14:paraId="39138E99" w14:textId="3EFD2CB4" w:rsidR="00457747" w:rsidRDefault="00457747" w:rsidP="00605BF4">
      <w:pPr>
        <w:snapToGrid w:val="0"/>
        <w:spacing w:before="100" w:beforeAutospacing="1" w:after="100" w:afterAutospacing="1"/>
        <w:jc w:val="both"/>
        <w:rPr>
          <w:rFonts w:ascii="Gilroy" w:eastAsia="Times New Roman" w:hAnsi="Gilroy" w:cs="Times New Roman"/>
          <w:lang w:eastAsia="en-GB"/>
        </w:rPr>
      </w:pPr>
      <w:r>
        <w:rPr>
          <w:rFonts w:ascii="Gilroy" w:eastAsia="Times New Roman" w:hAnsi="Gilroy" w:cs="Times New Roman"/>
          <w:lang w:eastAsia="en-GB"/>
        </w:rPr>
        <w:t>As this submission will unpack, the use of such technologies</w:t>
      </w:r>
      <w:r w:rsidR="00A37069">
        <w:rPr>
          <w:rFonts w:ascii="Gilroy" w:eastAsia="Times New Roman" w:hAnsi="Gilroy" w:cs="Times New Roman"/>
          <w:lang w:eastAsia="en-GB"/>
        </w:rPr>
        <w:t>,</w:t>
      </w:r>
      <w:r>
        <w:rPr>
          <w:rFonts w:ascii="Gilroy" w:eastAsia="Times New Roman" w:hAnsi="Gilroy" w:cs="Times New Roman"/>
          <w:lang w:eastAsia="en-GB"/>
        </w:rPr>
        <w:t xml:space="preserve"> or indeed</w:t>
      </w:r>
      <w:r w:rsidR="00A37069">
        <w:rPr>
          <w:rFonts w:ascii="Gilroy" w:eastAsia="Times New Roman" w:hAnsi="Gilroy" w:cs="Times New Roman"/>
          <w:lang w:eastAsia="en-GB"/>
        </w:rPr>
        <w:t xml:space="preserve">, </w:t>
      </w:r>
      <w:r>
        <w:rPr>
          <w:rFonts w:ascii="Gilroy" w:eastAsia="Times New Roman" w:hAnsi="Gilroy" w:cs="Times New Roman"/>
          <w:lang w:eastAsia="en-GB"/>
        </w:rPr>
        <w:t xml:space="preserve">participation in </w:t>
      </w:r>
      <w:r w:rsidR="00E5070D">
        <w:rPr>
          <w:rFonts w:ascii="Gilroy" w:eastAsia="Times New Roman" w:hAnsi="Gilroy" w:cs="Times New Roman"/>
          <w:lang w:eastAsia="en-GB"/>
        </w:rPr>
        <w:t xml:space="preserve">increasingly </w:t>
      </w:r>
      <w:r>
        <w:rPr>
          <w:rFonts w:ascii="Gilroy" w:eastAsia="Times New Roman" w:hAnsi="Gilroy" w:cs="Times New Roman"/>
          <w:lang w:eastAsia="en-GB"/>
        </w:rPr>
        <w:t>digital societ</w:t>
      </w:r>
      <w:r w:rsidR="00A37069">
        <w:rPr>
          <w:rFonts w:ascii="Gilroy" w:eastAsia="Times New Roman" w:hAnsi="Gilroy" w:cs="Times New Roman"/>
          <w:lang w:eastAsia="en-GB"/>
        </w:rPr>
        <w:t>ies,</w:t>
      </w:r>
      <w:r>
        <w:rPr>
          <w:rFonts w:ascii="Gilroy" w:eastAsia="Times New Roman" w:hAnsi="Gilroy" w:cs="Times New Roman"/>
          <w:lang w:eastAsia="en-GB"/>
        </w:rPr>
        <w:t xml:space="preserve"> must never </w:t>
      </w:r>
      <w:r w:rsidR="00A37069">
        <w:rPr>
          <w:rFonts w:ascii="Gilroy" w:eastAsia="Times New Roman" w:hAnsi="Gilroy" w:cs="Times New Roman"/>
          <w:lang w:eastAsia="en-GB"/>
        </w:rPr>
        <w:t>come</w:t>
      </w:r>
      <w:r>
        <w:rPr>
          <w:rFonts w:ascii="Gilroy" w:eastAsia="Times New Roman" w:hAnsi="Gilroy" w:cs="Times New Roman"/>
          <w:lang w:eastAsia="en-GB"/>
        </w:rPr>
        <w:t xml:space="preserve"> at the expense of persons with disabilities’ fundamental human rights.</w:t>
      </w:r>
    </w:p>
    <w:p w14:paraId="24F3F81D" w14:textId="497410C3" w:rsidR="00224CB3" w:rsidRPr="00E06887" w:rsidRDefault="00224CB3" w:rsidP="00122384">
      <w:pPr>
        <w:pStyle w:val="ListParagraph"/>
        <w:numPr>
          <w:ilvl w:val="0"/>
          <w:numId w:val="35"/>
        </w:numPr>
        <w:snapToGrid w:val="0"/>
        <w:spacing w:before="100" w:beforeAutospacing="1" w:after="100" w:afterAutospacing="1"/>
        <w:jc w:val="both"/>
        <w:rPr>
          <w:rFonts w:ascii="Gilroy" w:eastAsia="Times New Roman" w:hAnsi="Gilroy" w:cs="Times New Roman"/>
          <w:b/>
          <w:bCs/>
          <w:sz w:val="27"/>
          <w:szCs w:val="28"/>
          <w:lang w:eastAsia="en-GB"/>
        </w:rPr>
      </w:pPr>
      <w:r w:rsidRPr="00E06887">
        <w:rPr>
          <w:rFonts w:ascii="Gilroy" w:eastAsia="Times New Roman" w:hAnsi="Gilroy" w:cs="Times New Roman"/>
          <w:b/>
          <w:bCs/>
          <w:sz w:val="27"/>
          <w:szCs w:val="28"/>
          <w:lang w:eastAsia="en-GB"/>
        </w:rPr>
        <w:t>Key concerns</w:t>
      </w:r>
    </w:p>
    <w:p w14:paraId="3E9856FA" w14:textId="00F1DA7A" w:rsidR="00122384" w:rsidRPr="00122384" w:rsidRDefault="00D51EA7" w:rsidP="00122384">
      <w:pPr>
        <w:snapToGrid w:val="0"/>
        <w:spacing w:before="100" w:beforeAutospacing="1" w:after="100" w:afterAutospacing="1"/>
        <w:jc w:val="both"/>
        <w:rPr>
          <w:rFonts w:ascii="Gilroy" w:eastAsia="Times New Roman" w:hAnsi="Gilroy" w:cs="Times New Roman"/>
          <w:lang w:eastAsia="en-GB"/>
        </w:rPr>
      </w:pPr>
      <w:r>
        <w:rPr>
          <w:rFonts w:ascii="Gilroy" w:eastAsia="Times New Roman" w:hAnsi="Gilroy" w:cs="Times New Roman"/>
          <w:lang w:eastAsia="en-GB"/>
        </w:rPr>
        <w:t xml:space="preserve">Whilst it is clear that the use of new technologies as part of a wider digital transformation is having an impact on the rights of persons with disabilities, </w:t>
      </w:r>
      <w:r w:rsidR="00A37069">
        <w:rPr>
          <w:rFonts w:ascii="Gilroy" w:eastAsia="Times New Roman" w:hAnsi="Gilroy" w:cs="Times New Roman"/>
          <w:lang w:eastAsia="en-GB"/>
        </w:rPr>
        <w:t>the submission will address the following three main areas of focus:</w:t>
      </w:r>
      <w:r w:rsidR="009D459B">
        <w:rPr>
          <w:rFonts w:ascii="Gilroy" w:eastAsia="Times New Roman" w:hAnsi="Gilroy" w:cs="Times New Roman"/>
          <w:lang w:eastAsia="en-GB"/>
        </w:rPr>
        <w:t xml:space="preserve"> </w:t>
      </w:r>
      <w:r w:rsidR="004170BC">
        <w:rPr>
          <w:rFonts w:ascii="Gilroy" w:eastAsia="Times New Roman" w:hAnsi="Gilroy" w:cs="Times New Roman"/>
          <w:lang w:eastAsia="en-GB"/>
        </w:rPr>
        <w:t>(</w:t>
      </w:r>
      <w:proofErr w:type="spellStart"/>
      <w:r w:rsidR="004170BC">
        <w:rPr>
          <w:rFonts w:ascii="Gilroy" w:eastAsia="Times New Roman" w:hAnsi="Gilroy" w:cs="Times New Roman"/>
          <w:lang w:eastAsia="en-GB"/>
        </w:rPr>
        <w:t>i</w:t>
      </w:r>
      <w:proofErr w:type="spellEnd"/>
      <w:r w:rsidR="004170BC">
        <w:rPr>
          <w:rFonts w:ascii="Gilroy" w:eastAsia="Times New Roman" w:hAnsi="Gilroy" w:cs="Times New Roman"/>
          <w:lang w:eastAsia="en-GB"/>
        </w:rPr>
        <w:t>) automated decision</w:t>
      </w:r>
      <w:r w:rsidR="00297C5D">
        <w:rPr>
          <w:rFonts w:ascii="Gilroy" w:eastAsia="Times New Roman" w:hAnsi="Gilroy" w:cs="Times New Roman"/>
          <w:lang w:eastAsia="en-GB"/>
        </w:rPr>
        <w:t>-</w:t>
      </w:r>
      <w:r w:rsidR="004170BC">
        <w:rPr>
          <w:rFonts w:ascii="Gilroy" w:eastAsia="Times New Roman" w:hAnsi="Gilroy" w:cs="Times New Roman"/>
          <w:lang w:eastAsia="en-GB"/>
        </w:rPr>
        <w:t>making</w:t>
      </w:r>
      <w:r>
        <w:rPr>
          <w:rFonts w:ascii="Gilroy" w:eastAsia="Times New Roman" w:hAnsi="Gilroy" w:cs="Times New Roman"/>
          <w:lang w:eastAsia="en-GB"/>
        </w:rPr>
        <w:t xml:space="preserve">, </w:t>
      </w:r>
      <w:r w:rsidR="004170BC">
        <w:rPr>
          <w:rFonts w:ascii="Gilroy" w:eastAsia="Times New Roman" w:hAnsi="Gilroy" w:cs="Times New Roman"/>
          <w:lang w:eastAsia="en-GB"/>
        </w:rPr>
        <w:t>(ii)</w:t>
      </w:r>
      <w:r w:rsidR="004170BC" w:rsidRPr="006138EB">
        <w:rPr>
          <w:rFonts w:ascii="Gilroy" w:eastAsia="Times New Roman" w:hAnsi="Gilroy" w:cs="Times New Roman"/>
          <w:lang w:eastAsia="en-GB"/>
        </w:rPr>
        <w:t xml:space="preserve"> </w:t>
      </w:r>
      <w:r w:rsidR="004170BC">
        <w:rPr>
          <w:rFonts w:ascii="Gilroy" w:eastAsia="Times New Roman" w:hAnsi="Gilroy" w:cs="Times New Roman"/>
          <w:lang w:eastAsia="en-GB"/>
        </w:rPr>
        <w:t>the digitisation of social protection programmes, (iii) p</w:t>
      </w:r>
      <w:r w:rsidR="004170BC" w:rsidRPr="00FD7577">
        <w:rPr>
          <w:rFonts w:ascii="Gilroy" w:eastAsia="Times New Roman" w:hAnsi="Gilroy" w:cs="Times New Roman"/>
          <w:lang w:eastAsia="en-GB"/>
        </w:rPr>
        <w:t>rocessing personal data of people with disabilities</w:t>
      </w:r>
      <w:r w:rsidR="004170BC">
        <w:rPr>
          <w:rFonts w:ascii="Gilroy" w:eastAsia="Times New Roman" w:hAnsi="Gilroy" w:cs="Times New Roman"/>
          <w:lang w:eastAsia="en-GB"/>
        </w:rPr>
        <w:t xml:space="preserve"> </w:t>
      </w:r>
      <w:r>
        <w:rPr>
          <w:rFonts w:ascii="Gilroy" w:eastAsia="Times New Roman" w:hAnsi="Gilroy" w:cs="Times New Roman"/>
          <w:lang w:eastAsia="en-GB"/>
        </w:rPr>
        <w:t>and (i</w:t>
      </w:r>
      <w:r w:rsidR="004170BC">
        <w:rPr>
          <w:rFonts w:ascii="Gilroy" w:eastAsia="Times New Roman" w:hAnsi="Gilroy" w:cs="Times New Roman"/>
          <w:lang w:eastAsia="en-GB"/>
        </w:rPr>
        <w:t>v</w:t>
      </w:r>
      <w:r>
        <w:rPr>
          <w:rFonts w:ascii="Gilroy" w:eastAsia="Times New Roman" w:hAnsi="Gilroy" w:cs="Times New Roman"/>
          <w:lang w:eastAsia="en-GB"/>
        </w:rPr>
        <w:t>) assistive technologies</w:t>
      </w:r>
      <w:r w:rsidR="00F45279">
        <w:rPr>
          <w:rFonts w:ascii="Gilroy" w:eastAsia="Times New Roman" w:hAnsi="Gilroy" w:cs="Times New Roman"/>
          <w:lang w:eastAsia="en-GB"/>
        </w:rPr>
        <w:t xml:space="preserve">. </w:t>
      </w:r>
      <w:r w:rsidR="00122384" w:rsidRPr="00122384">
        <w:rPr>
          <w:rFonts w:ascii="Gilroy" w:eastAsia="Times New Roman" w:hAnsi="Gilroy" w:cs="Times New Roman"/>
          <w:b/>
          <w:bCs/>
          <w:sz w:val="27"/>
          <w:szCs w:val="28"/>
          <w:lang w:eastAsia="en-GB"/>
        </w:rPr>
        <w:t xml:space="preserve"> </w:t>
      </w:r>
    </w:p>
    <w:p w14:paraId="7AFD9F61" w14:textId="41105EA4" w:rsidR="00122384" w:rsidRPr="00224CB3" w:rsidRDefault="00122384" w:rsidP="00224CB3">
      <w:pPr>
        <w:pStyle w:val="ListParagraph"/>
        <w:numPr>
          <w:ilvl w:val="0"/>
          <w:numId w:val="27"/>
        </w:numPr>
        <w:snapToGrid w:val="0"/>
        <w:spacing w:before="100" w:beforeAutospacing="1" w:after="100" w:afterAutospacing="1"/>
        <w:jc w:val="both"/>
        <w:rPr>
          <w:rFonts w:ascii="Gilroy" w:eastAsia="Times New Roman" w:hAnsi="Gilroy" w:cs="Times New Roman"/>
          <w:b/>
          <w:bCs/>
          <w:sz w:val="27"/>
          <w:szCs w:val="28"/>
          <w:lang w:eastAsia="en-GB"/>
        </w:rPr>
      </w:pPr>
      <w:r w:rsidRPr="00224CB3">
        <w:rPr>
          <w:rFonts w:ascii="Gilroy" w:eastAsia="Times New Roman" w:hAnsi="Gilroy" w:cs="Times New Roman"/>
          <w:b/>
          <w:bCs/>
          <w:sz w:val="27"/>
          <w:szCs w:val="28"/>
          <w:lang w:eastAsia="en-GB"/>
        </w:rPr>
        <w:t>Automated Decision</w:t>
      </w:r>
      <w:r w:rsidR="00297C5D" w:rsidRPr="00224CB3">
        <w:rPr>
          <w:rFonts w:ascii="Gilroy" w:eastAsia="Times New Roman" w:hAnsi="Gilroy" w:cs="Times New Roman"/>
          <w:b/>
          <w:bCs/>
          <w:sz w:val="27"/>
          <w:szCs w:val="28"/>
          <w:lang w:eastAsia="en-GB"/>
        </w:rPr>
        <w:t>-</w:t>
      </w:r>
      <w:r w:rsidRPr="00224CB3">
        <w:rPr>
          <w:rFonts w:ascii="Gilroy" w:eastAsia="Times New Roman" w:hAnsi="Gilroy" w:cs="Times New Roman"/>
          <w:b/>
          <w:bCs/>
          <w:sz w:val="27"/>
          <w:szCs w:val="28"/>
          <w:lang w:eastAsia="en-GB"/>
        </w:rPr>
        <w:t>Making</w:t>
      </w:r>
    </w:p>
    <w:p w14:paraId="6ED84DF0" w14:textId="77777777" w:rsidR="00122384" w:rsidRDefault="00122384" w:rsidP="00122384">
      <w:pPr>
        <w:snapToGrid w:val="0"/>
        <w:spacing w:beforeAutospacing="1" w:afterAutospacing="1"/>
        <w:contextualSpacing/>
        <w:jc w:val="both"/>
        <w:rPr>
          <w:rFonts w:ascii="Gilroy" w:eastAsia="Times New Roman" w:hAnsi="Gilroy" w:cs="Times New Roman"/>
          <w:lang w:eastAsia="en-GB"/>
        </w:rPr>
      </w:pPr>
    </w:p>
    <w:p w14:paraId="673F4B14" w14:textId="599ADEB9" w:rsidR="00B91A76" w:rsidRDefault="00B91A76" w:rsidP="00B91A76">
      <w:pPr>
        <w:snapToGrid w:val="0"/>
        <w:spacing w:beforeAutospacing="1" w:afterAutospacing="1"/>
        <w:contextualSpacing/>
        <w:jc w:val="both"/>
        <w:rPr>
          <w:rFonts w:ascii="Gilroy" w:eastAsia="Times New Roman" w:hAnsi="Gilroy" w:cs="Times New Roman"/>
          <w:lang w:eastAsia="en-GB"/>
        </w:rPr>
      </w:pPr>
      <w:r>
        <w:rPr>
          <w:rFonts w:ascii="Gilroy" w:eastAsia="Times New Roman" w:hAnsi="Gilroy" w:cs="Times New Roman"/>
          <w:lang w:eastAsia="en-GB"/>
        </w:rPr>
        <w:t xml:space="preserve">Of all global technological developments and proliferations, a </w:t>
      </w:r>
      <w:r w:rsidR="004746D1">
        <w:rPr>
          <w:rFonts w:ascii="Gilroy" w:eastAsia="Times New Roman" w:hAnsi="Gilroy" w:cs="Times New Roman"/>
          <w:lang w:eastAsia="en-GB"/>
        </w:rPr>
        <w:t>growing</w:t>
      </w:r>
      <w:r>
        <w:rPr>
          <w:rFonts w:ascii="Gilroy" w:eastAsia="Times New Roman" w:hAnsi="Gilroy" w:cs="Times New Roman"/>
          <w:lang w:eastAsia="en-GB"/>
        </w:rPr>
        <w:t xml:space="preserve"> area of concern is the use of Artificial Intelligence (AI), with particular regard to </w:t>
      </w:r>
      <w:r w:rsidR="004170BC">
        <w:rPr>
          <w:rFonts w:ascii="Gilroy" w:eastAsia="Times New Roman" w:hAnsi="Gilroy" w:cs="Times New Roman"/>
          <w:lang w:eastAsia="en-GB"/>
        </w:rPr>
        <w:t>a</w:t>
      </w:r>
      <w:r>
        <w:rPr>
          <w:rFonts w:ascii="Gilroy" w:eastAsia="Times New Roman" w:hAnsi="Gilroy" w:cs="Times New Roman"/>
          <w:lang w:eastAsia="en-GB"/>
        </w:rPr>
        <w:t xml:space="preserve">utomated </w:t>
      </w:r>
      <w:r w:rsidR="004170BC">
        <w:rPr>
          <w:rFonts w:ascii="Gilroy" w:eastAsia="Times New Roman" w:hAnsi="Gilroy" w:cs="Times New Roman"/>
          <w:lang w:eastAsia="en-GB"/>
        </w:rPr>
        <w:t>d</w:t>
      </w:r>
      <w:r>
        <w:rPr>
          <w:rFonts w:ascii="Gilroy" w:eastAsia="Times New Roman" w:hAnsi="Gilroy" w:cs="Times New Roman"/>
          <w:lang w:eastAsia="en-GB"/>
        </w:rPr>
        <w:t>ecision</w:t>
      </w:r>
      <w:r w:rsidR="00297C5D">
        <w:rPr>
          <w:rFonts w:ascii="Gilroy" w:eastAsia="Times New Roman" w:hAnsi="Gilroy" w:cs="Times New Roman"/>
          <w:lang w:eastAsia="en-GB"/>
        </w:rPr>
        <w:t>-</w:t>
      </w:r>
      <w:r w:rsidR="004170BC">
        <w:rPr>
          <w:rFonts w:ascii="Gilroy" w:eastAsia="Times New Roman" w:hAnsi="Gilroy" w:cs="Times New Roman"/>
          <w:lang w:eastAsia="en-GB"/>
        </w:rPr>
        <w:t>m</w:t>
      </w:r>
      <w:r>
        <w:rPr>
          <w:rFonts w:ascii="Gilroy" w:eastAsia="Times New Roman" w:hAnsi="Gilroy" w:cs="Times New Roman"/>
          <w:lang w:eastAsia="en-GB"/>
        </w:rPr>
        <w:t>aking (ADM) across public and private sectors.</w:t>
      </w:r>
      <w:r w:rsidR="00B01D9C">
        <w:rPr>
          <w:rStyle w:val="FootnoteReference"/>
          <w:rFonts w:ascii="Gilroy" w:eastAsia="Times New Roman" w:hAnsi="Gilroy" w:cs="Times New Roman"/>
          <w:lang w:eastAsia="en-GB"/>
        </w:rPr>
        <w:footnoteReference w:id="6"/>
      </w:r>
      <w:r>
        <w:rPr>
          <w:rFonts w:ascii="Gilroy" w:eastAsia="Times New Roman" w:hAnsi="Gilroy" w:cs="Times New Roman"/>
          <w:lang w:eastAsia="en-GB"/>
        </w:rPr>
        <w:t xml:space="preserve"> This was reflected by </w:t>
      </w:r>
      <w:r w:rsidR="004746D1">
        <w:rPr>
          <w:rFonts w:ascii="Gilroy" w:eastAsia="Times New Roman" w:hAnsi="Gilroy" w:cs="Times New Roman"/>
          <w:lang w:eastAsia="en-GB"/>
        </w:rPr>
        <w:t xml:space="preserve">the </w:t>
      </w:r>
      <w:r>
        <w:rPr>
          <w:rFonts w:ascii="Gilroy" w:eastAsia="Times New Roman" w:hAnsi="Gilroy" w:cs="Times New Roman"/>
          <w:lang w:eastAsia="en-GB"/>
        </w:rPr>
        <w:t xml:space="preserve">decision of the mandate of the UN Special Rapporteur on the rights of persons </w:t>
      </w:r>
      <w:r>
        <w:rPr>
          <w:rFonts w:ascii="Gilroy" w:eastAsia="Times New Roman" w:hAnsi="Gilroy" w:cs="Times New Roman"/>
          <w:lang w:eastAsia="en-GB"/>
        </w:rPr>
        <w:lastRenderedPageBreak/>
        <w:t>with disabilities to dedicate their 202</w:t>
      </w:r>
      <w:r w:rsidR="00E72FD6">
        <w:rPr>
          <w:rFonts w:ascii="Gilroy" w:eastAsia="Times New Roman" w:hAnsi="Gilroy" w:cs="Times New Roman"/>
          <w:lang w:eastAsia="en-GB"/>
        </w:rPr>
        <w:t>1</w:t>
      </w:r>
      <w:r>
        <w:rPr>
          <w:rFonts w:ascii="Gilroy" w:eastAsia="Times New Roman" w:hAnsi="Gilroy" w:cs="Times New Roman"/>
          <w:lang w:eastAsia="en-GB"/>
        </w:rPr>
        <w:t xml:space="preserve"> thematic report to the question of AI.</w:t>
      </w:r>
      <w:r>
        <w:rPr>
          <w:rStyle w:val="FootnoteReference"/>
          <w:rFonts w:ascii="Gilroy" w:eastAsia="Times New Roman" w:hAnsi="Gilroy" w:cs="Times New Roman"/>
          <w:lang w:eastAsia="en-GB"/>
        </w:rPr>
        <w:footnoteReference w:id="7"/>
      </w:r>
      <w:r>
        <w:rPr>
          <w:rFonts w:ascii="Gilroy" w:eastAsia="Times New Roman" w:hAnsi="Gilroy" w:cs="Times New Roman"/>
          <w:lang w:eastAsia="en-GB"/>
        </w:rPr>
        <w:t xml:space="preserve"> </w:t>
      </w:r>
      <w:r w:rsidR="00224CB3">
        <w:rPr>
          <w:rFonts w:ascii="Gilroy" w:eastAsia="Times New Roman" w:hAnsi="Gilroy" w:cs="Times New Roman"/>
          <w:lang w:eastAsia="en-GB"/>
        </w:rPr>
        <w:t>While the use of AI is</w:t>
      </w:r>
      <w:r>
        <w:rPr>
          <w:rFonts w:ascii="Gilroy" w:eastAsia="Times New Roman" w:hAnsi="Gilroy" w:cs="Times New Roman"/>
          <w:lang w:eastAsia="en-GB"/>
        </w:rPr>
        <w:t xml:space="preserve"> </w:t>
      </w:r>
      <w:r w:rsidR="00224CB3">
        <w:rPr>
          <w:rFonts w:ascii="Gilroy" w:eastAsia="Times New Roman" w:hAnsi="Gilroy" w:cs="Times New Roman"/>
          <w:lang w:eastAsia="en-GB"/>
        </w:rPr>
        <w:t>wide</w:t>
      </w:r>
      <w:r>
        <w:rPr>
          <w:rFonts w:ascii="Gilroy" w:eastAsia="Times New Roman" w:hAnsi="Gilroy" w:cs="Times New Roman"/>
          <w:lang w:eastAsia="en-GB"/>
        </w:rPr>
        <w:t>-</w:t>
      </w:r>
      <w:r w:rsidR="00224CB3">
        <w:rPr>
          <w:rFonts w:ascii="Gilroy" w:eastAsia="Times New Roman" w:hAnsi="Gilroy" w:cs="Times New Roman"/>
          <w:lang w:eastAsia="en-GB"/>
        </w:rPr>
        <w:t xml:space="preserve">ranging in its applications and impacts, this section will focus on </w:t>
      </w:r>
      <w:r>
        <w:rPr>
          <w:rFonts w:ascii="Gilroy" w:eastAsia="Times New Roman" w:hAnsi="Gilroy" w:cs="Times New Roman"/>
          <w:lang w:eastAsia="en-GB"/>
        </w:rPr>
        <w:t>social protection (e.g., welfare systems).</w:t>
      </w:r>
    </w:p>
    <w:p w14:paraId="219139C7" w14:textId="77777777" w:rsidR="00381ED5" w:rsidRDefault="00381ED5" w:rsidP="00122384">
      <w:pPr>
        <w:snapToGrid w:val="0"/>
        <w:spacing w:beforeAutospacing="1" w:afterAutospacing="1"/>
        <w:contextualSpacing/>
        <w:jc w:val="both"/>
        <w:rPr>
          <w:rFonts w:ascii="Gilroy" w:eastAsia="Times New Roman" w:hAnsi="Gilroy" w:cs="Times New Roman"/>
          <w:lang w:eastAsia="en-GB"/>
        </w:rPr>
      </w:pPr>
    </w:p>
    <w:p w14:paraId="7B32DA35" w14:textId="79D18064" w:rsidR="00122384" w:rsidRDefault="00074A80" w:rsidP="00122384">
      <w:pPr>
        <w:snapToGrid w:val="0"/>
        <w:spacing w:beforeAutospacing="1" w:afterAutospacing="1"/>
        <w:contextualSpacing/>
        <w:jc w:val="both"/>
        <w:rPr>
          <w:rFonts w:ascii="Gilroy" w:eastAsia="Times New Roman" w:hAnsi="Gilroy" w:cs="Times New Roman"/>
          <w:lang w:eastAsia="en-GB"/>
        </w:rPr>
      </w:pPr>
      <w:r>
        <w:rPr>
          <w:rFonts w:ascii="Gilroy" w:eastAsia="Times New Roman" w:hAnsi="Gilroy" w:cs="Times New Roman"/>
          <w:lang w:eastAsia="en-GB"/>
        </w:rPr>
        <w:t>Indeed, the</w:t>
      </w:r>
      <w:r w:rsidR="00122384" w:rsidRPr="00070D32">
        <w:rPr>
          <w:rFonts w:ascii="Gilroy" w:eastAsia="Times New Roman" w:hAnsi="Gilroy" w:cs="Times New Roman"/>
          <w:lang w:eastAsia="en-GB"/>
        </w:rPr>
        <w:t xml:space="preserve"> digitalisation of welfare and other public systems invariably involves a growing reliance upon ADM technologies, which are often used to determine eligibility of welfare recipients</w:t>
      </w:r>
      <w:r>
        <w:rPr>
          <w:rFonts w:ascii="Gilroy" w:eastAsia="Times New Roman" w:hAnsi="Gilroy" w:cs="Times New Roman"/>
          <w:lang w:eastAsia="en-GB"/>
        </w:rPr>
        <w:t xml:space="preserve"> and thus have a highly significant impact upon the lives of persons with disabilities</w:t>
      </w:r>
      <w:r w:rsidR="00122384" w:rsidRPr="00070D32">
        <w:rPr>
          <w:rFonts w:ascii="Gilroy" w:eastAsia="Times New Roman" w:hAnsi="Gilroy" w:cs="Times New Roman"/>
          <w:lang w:eastAsia="en-GB"/>
        </w:rPr>
        <w:t>. ADM includes both semi-ADM, an algorithmic decision-making system where a human is involved in the decision-making process, and full ADM, where the decision is taken solely by the algorithmic decision-making system.</w:t>
      </w:r>
      <w:r w:rsidR="00122384" w:rsidRPr="00070D32">
        <w:rPr>
          <w:rStyle w:val="FootnoteReference"/>
          <w:rFonts w:ascii="Gilroy" w:eastAsia="Times New Roman" w:hAnsi="Gilroy" w:cs="Times New Roman"/>
          <w:lang w:eastAsia="en-GB"/>
        </w:rPr>
        <w:footnoteReference w:id="8"/>
      </w:r>
      <w:r w:rsidR="00122384" w:rsidRPr="00070D32">
        <w:rPr>
          <w:rFonts w:ascii="Gilroy" w:eastAsia="Times New Roman" w:hAnsi="Gilroy" w:cs="Times New Roman"/>
          <w:lang w:eastAsia="en-GB"/>
        </w:rPr>
        <w:t xml:space="preserve"> Whilst this section will focus on the use of semi-ADM, references to ADM encompass both definitions unless otherwise specified.</w:t>
      </w:r>
    </w:p>
    <w:p w14:paraId="68EA245A" w14:textId="77777777" w:rsidR="00122384" w:rsidRPr="00070D32" w:rsidRDefault="00122384" w:rsidP="00122384">
      <w:pPr>
        <w:snapToGrid w:val="0"/>
        <w:spacing w:beforeAutospacing="1" w:afterAutospacing="1"/>
        <w:contextualSpacing/>
        <w:jc w:val="both"/>
        <w:rPr>
          <w:rFonts w:ascii="Gilroy" w:eastAsia="Times New Roman" w:hAnsi="Gilroy" w:cs="Times New Roman"/>
          <w:lang w:eastAsia="en-GB"/>
        </w:rPr>
      </w:pPr>
    </w:p>
    <w:p w14:paraId="42C26AFA" w14:textId="75BF7363" w:rsidR="004746D1" w:rsidRDefault="00122384" w:rsidP="00122384">
      <w:pPr>
        <w:snapToGrid w:val="0"/>
        <w:spacing w:beforeAutospacing="1" w:afterAutospacing="1"/>
        <w:contextualSpacing/>
        <w:jc w:val="both"/>
        <w:rPr>
          <w:rFonts w:ascii="Gilroy" w:eastAsia="Times New Roman" w:hAnsi="Gilroy" w:cs="Times New Roman"/>
          <w:lang w:eastAsia="en-GB"/>
        </w:rPr>
      </w:pPr>
      <w:r w:rsidRPr="00070D32">
        <w:rPr>
          <w:rFonts w:ascii="Gilroy" w:eastAsia="Times New Roman" w:hAnsi="Gilroy" w:cs="Times New Roman"/>
          <w:lang w:eastAsia="en-GB"/>
        </w:rPr>
        <w:t xml:space="preserve">Whilst the </w:t>
      </w:r>
      <w:r w:rsidR="00297C5D">
        <w:rPr>
          <w:rFonts w:ascii="Gilroy" w:eastAsia="Times New Roman" w:hAnsi="Gilroy" w:cs="Times New Roman"/>
          <w:lang w:eastAsia="en-GB"/>
        </w:rPr>
        <w:t xml:space="preserve">European Union’s </w:t>
      </w:r>
      <w:r w:rsidRPr="00070D32">
        <w:rPr>
          <w:rFonts w:ascii="Gilroy" w:eastAsia="Times New Roman" w:hAnsi="Gilroy" w:cs="Times New Roman"/>
          <w:lang w:eastAsia="en-GB"/>
        </w:rPr>
        <w:t>General Data Protection Regulation (GDPR)</w:t>
      </w:r>
      <w:r>
        <w:rPr>
          <w:rFonts w:ascii="Gilroy" w:eastAsia="Times New Roman" w:hAnsi="Gilroy" w:cs="Times New Roman"/>
          <w:lang w:eastAsia="en-GB"/>
        </w:rPr>
        <w:t xml:space="preserve"> (Article 22, Recital 71)</w:t>
      </w:r>
      <w:r w:rsidR="00E7002D">
        <w:rPr>
          <w:rFonts w:ascii="Gilroy" w:eastAsia="Times New Roman" w:hAnsi="Gilroy" w:cs="Times New Roman"/>
          <w:lang w:eastAsia="en-GB"/>
        </w:rPr>
        <w:t xml:space="preserve"> provides</w:t>
      </w:r>
      <w:r w:rsidR="00224CB3">
        <w:rPr>
          <w:rFonts w:ascii="Gilroy" w:eastAsia="Times New Roman" w:hAnsi="Gilroy" w:cs="Times New Roman"/>
          <w:lang w:eastAsia="en-GB"/>
        </w:rPr>
        <w:t>,</w:t>
      </w:r>
      <w:r w:rsidR="00224CB3">
        <w:rPr>
          <w:rStyle w:val="FootnoteReference"/>
          <w:rFonts w:ascii="Gilroy" w:eastAsia="Times New Roman" w:hAnsi="Gilroy" w:cs="Times New Roman"/>
          <w:lang w:eastAsia="en-GB"/>
        </w:rPr>
        <w:footnoteReference w:id="9"/>
      </w:r>
      <w:r w:rsidR="00224CB3">
        <w:rPr>
          <w:rFonts w:ascii="Gilroy" w:eastAsia="Times New Roman" w:hAnsi="Gilroy" w:cs="Times New Roman"/>
          <w:lang w:eastAsia="en-GB"/>
        </w:rPr>
        <w:t xml:space="preserve"> in relation to full ADM,</w:t>
      </w:r>
      <w:r w:rsidR="00E7002D">
        <w:rPr>
          <w:rFonts w:ascii="Gilroy" w:eastAsia="Times New Roman" w:hAnsi="Gilroy" w:cs="Times New Roman"/>
          <w:lang w:eastAsia="en-GB"/>
        </w:rPr>
        <w:t xml:space="preserve"> for the right of individuals “</w:t>
      </w:r>
      <w:r w:rsidR="00E7002D" w:rsidRPr="00224CB3">
        <w:rPr>
          <w:rFonts w:ascii="Gilroy" w:eastAsia="Times New Roman" w:hAnsi="Gilroy" w:cs="Times New Roman"/>
          <w:i/>
          <w:iCs/>
          <w:lang w:eastAsia="en-GB"/>
        </w:rPr>
        <w:t>not to be subject to a decision based solely on automated processing, including profiling, which produces legal effects concerning him or her or similarly significantly affects him or her</w:t>
      </w:r>
      <w:r w:rsidR="00E7002D">
        <w:rPr>
          <w:rFonts w:ascii="Gilroy" w:eastAsia="Times New Roman" w:hAnsi="Gilroy" w:cs="Times New Roman"/>
          <w:lang w:eastAsia="en-GB"/>
        </w:rPr>
        <w:t>”</w:t>
      </w:r>
      <w:r w:rsidRPr="00070D32">
        <w:rPr>
          <w:rFonts w:ascii="Gilroy" w:eastAsia="Times New Roman" w:hAnsi="Gilroy" w:cs="Times New Roman"/>
          <w:lang w:eastAsia="en-GB"/>
        </w:rPr>
        <w:t>,</w:t>
      </w:r>
      <w:r>
        <w:rPr>
          <w:rStyle w:val="FootnoteReference"/>
          <w:rFonts w:ascii="Gilroy" w:eastAsia="Times New Roman" w:hAnsi="Gilroy" w:cs="Times New Roman"/>
          <w:lang w:eastAsia="en-GB"/>
        </w:rPr>
        <w:footnoteReference w:id="10"/>
      </w:r>
      <w:r w:rsidRPr="00070D32">
        <w:rPr>
          <w:rFonts w:ascii="Gilroy" w:eastAsia="Times New Roman" w:hAnsi="Gilroy" w:cs="Times New Roman"/>
          <w:lang w:eastAsia="en-GB"/>
        </w:rPr>
        <w:t xml:space="preserve"> no </w:t>
      </w:r>
      <w:r w:rsidR="00E7002D">
        <w:rPr>
          <w:rFonts w:ascii="Gilroy" w:eastAsia="Times New Roman" w:hAnsi="Gilroy" w:cs="Times New Roman"/>
          <w:lang w:eastAsia="en-GB"/>
        </w:rPr>
        <w:t>restrictions</w:t>
      </w:r>
      <w:r w:rsidR="00E7002D" w:rsidRPr="00070D32">
        <w:rPr>
          <w:rFonts w:ascii="Gilroy" w:eastAsia="Times New Roman" w:hAnsi="Gilroy" w:cs="Times New Roman"/>
          <w:lang w:eastAsia="en-GB"/>
        </w:rPr>
        <w:t xml:space="preserve"> </w:t>
      </w:r>
      <w:r w:rsidRPr="00070D32">
        <w:rPr>
          <w:rFonts w:ascii="Gilroy" w:eastAsia="Times New Roman" w:hAnsi="Gilroy" w:cs="Times New Roman"/>
          <w:lang w:eastAsia="en-GB"/>
        </w:rPr>
        <w:t xml:space="preserve">exist for semi-ADM, making it </w:t>
      </w:r>
      <w:r w:rsidR="00B91A76">
        <w:rPr>
          <w:rFonts w:ascii="Gilroy" w:eastAsia="Times New Roman" w:hAnsi="Gilroy" w:cs="Times New Roman"/>
          <w:lang w:eastAsia="en-GB"/>
        </w:rPr>
        <w:t>crucial</w:t>
      </w:r>
      <w:r w:rsidRPr="00070D32">
        <w:rPr>
          <w:rFonts w:ascii="Gilroy" w:eastAsia="Times New Roman" w:hAnsi="Gilroy" w:cs="Times New Roman"/>
          <w:lang w:eastAsia="en-GB"/>
        </w:rPr>
        <w:t xml:space="preserve"> that the human review element that acts as the distinguishing characteristic between full and semi-ADM </w:t>
      </w:r>
      <w:r w:rsidR="00586E3A">
        <w:rPr>
          <w:rFonts w:ascii="Gilroy" w:eastAsia="Times New Roman" w:hAnsi="Gilroy" w:cs="Times New Roman"/>
          <w:lang w:eastAsia="en-GB"/>
        </w:rPr>
        <w:t>be</w:t>
      </w:r>
      <w:r w:rsidR="00586E3A" w:rsidRPr="00070D32">
        <w:rPr>
          <w:rFonts w:ascii="Gilroy" w:eastAsia="Times New Roman" w:hAnsi="Gilroy" w:cs="Times New Roman"/>
          <w:lang w:eastAsia="en-GB"/>
        </w:rPr>
        <w:t xml:space="preserve"> </w:t>
      </w:r>
      <w:r w:rsidRPr="00070D32">
        <w:rPr>
          <w:rFonts w:ascii="Gilroy" w:eastAsia="Times New Roman" w:hAnsi="Gilroy" w:cs="Times New Roman"/>
          <w:lang w:eastAsia="en-GB"/>
        </w:rPr>
        <w:t>meaningful</w:t>
      </w:r>
      <w:r w:rsidR="004746D1">
        <w:rPr>
          <w:rFonts w:ascii="Gilroy" w:eastAsia="Times New Roman" w:hAnsi="Gilroy" w:cs="Times New Roman"/>
          <w:lang w:eastAsia="en-GB"/>
        </w:rPr>
        <w:t>,</w:t>
      </w:r>
      <w:r w:rsidRPr="00070D32">
        <w:rPr>
          <w:rFonts w:ascii="Gilroy" w:eastAsia="Times New Roman" w:hAnsi="Gilroy" w:cs="Times New Roman"/>
          <w:lang w:eastAsia="en-GB"/>
        </w:rPr>
        <w:t xml:space="preserve"> in order to avoid the augmented risks posed by full ADM. </w:t>
      </w:r>
      <w:r>
        <w:rPr>
          <w:rFonts w:ascii="Gilroy" w:eastAsia="Times New Roman" w:hAnsi="Gilroy" w:cs="Times New Roman"/>
          <w:lang w:eastAsia="en-GB"/>
        </w:rPr>
        <w:t xml:space="preserve"> </w:t>
      </w:r>
    </w:p>
    <w:p w14:paraId="051A415E" w14:textId="77777777" w:rsidR="004746D1" w:rsidRDefault="004746D1" w:rsidP="00122384">
      <w:pPr>
        <w:snapToGrid w:val="0"/>
        <w:spacing w:beforeAutospacing="1" w:afterAutospacing="1"/>
        <w:contextualSpacing/>
        <w:jc w:val="both"/>
        <w:rPr>
          <w:rFonts w:ascii="Gilroy" w:eastAsia="Times New Roman" w:hAnsi="Gilroy" w:cs="Times New Roman"/>
          <w:lang w:eastAsia="en-GB"/>
        </w:rPr>
      </w:pPr>
    </w:p>
    <w:p w14:paraId="79818FB2" w14:textId="7C5F4921" w:rsidR="00122384" w:rsidRDefault="00122384" w:rsidP="00122384">
      <w:pPr>
        <w:snapToGrid w:val="0"/>
        <w:spacing w:beforeAutospacing="1" w:afterAutospacing="1"/>
        <w:contextualSpacing/>
        <w:jc w:val="both"/>
        <w:rPr>
          <w:rFonts w:ascii="Gilroy" w:eastAsia="Times New Roman" w:hAnsi="Gilroy" w:cs="Times New Roman"/>
          <w:lang w:eastAsia="en-GB"/>
        </w:rPr>
      </w:pPr>
      <w:r w:rsidRPr="00070D32">
        <w:rPr>
          <w:rFonts w:ascii="Gilroy" w:eastAsia="Times New Roman" w:hAnsi="Gilroy" w:cs="Times New Roman"/>
          <w:lang w:eastAsia="en-GB"/>
        </w:rPr>
        <w:t>For example, Amnesty International found that Dutch tax authorities “</w:t>
      </w:r>
      <w:r w:rsidRPr="002958AC">
        <w:rPr>
          <w:rFonts w:ascii="Gilroy" w:eastAsia="Times New Roman" w:hAnsi="Gilroy" w:cs="Times New Roman"/>
          <w:i/>
          <w:iCs/>
          <w:lang w:eastAsia="en-GB"/>
        </w:rPr>
        <w:t>automatically approved</w:t>
      </w:r>
      <w:r w:rsidRPr="00070D32">
        <w:rPr>
          <w:rFonts w:ascii="Gilroy" w:eastAsia="Times New Roman" w:hAnsi="Gilroy" w:cs="Times New Roman"/>
          <w:lang w:eastAsia="en-GB"/>
        </w:rPr>
        <w:t>” risk scores given to childcare benefit applications by an algorithmic system, rather than actually assessing the decision</w:t>
      </w:r>
      <w:r w:rsidR="00224CB3">
        <w:rPr>
          <w:rFonts w:ascii="Gilroy" w:eastAsia="Times New Roman" w:hAnsi="Gilroy" w:cs="Times New Roman"/>
          <w:lang w:eastAsia="en-GB"/>
        </w:rPr>
        <w:t>s</w:t>
      </w:r>
      <w:r w:rsidRPr="00070D32">
        <w:rPr>
          <w:rFonts w:ascii="Gilroy" w:eastAsia="Times New Roman" w:hAnsi="Gilroy" w:cs="Times New Roman"/>
          <w:lang w:eastAsia="en-GB"/>
        </w:rPr>
        <w:t xml:space="preserve"> </w:t>
      </w:r>
      <w:r w:rsidR="00224CB3">
        <w:rPr>
          <w:rFonts w:ascii="Gilroy" w:eastAsia="Times New Roman" w:hAnsi="Gilroy" w:cs="Times New Roman"/>
          <w:lang w:eastAsia="en-GB"/>
        </w:rPr>
        <w:t>taken</w:t>
      </w:r>
      <w:r w:rsidR="00224CB3" w:rsidRPr="00070D32">
        <w:rPr>
          <w:rFonts w:ascii="Gilroy" w:eastAsia="Times New Roman" w:hAnsi="Gilroy" w:cs="Times New Roman"/>
          <w:lang w:eastAsia="en-GB"/>
        </w:rPr>
        <w:t xml:space="preserve"> </w:t>
      </w:r>
      <w:r w:rsidRPr="00070D32">
        <w:rPr>
          <w:rFonts w:ascii="Gilroy" w:eastAsia="Times New Roman" w:hAnsi="Gilroy" w:cs="Times New Roman"/>
          <w:lang w:eastAsia="en-GB"/>
        </w:rPr>
        <w:t>by the ADM system.</w:t>
      </w:r>
      <w:r w:rsidRPr="00070D32">
        <w:rPr>
          <w:rStyle w:val="FootnoteReference"/>
          <w:rFonts w:ascii="Gilroy" w:eastAsia="Times New Roman" w:hAnsi="Gilroy" w:cs="Times New Roman"/>
          <w:lang w:eastAsia="en-GB"/>
        </w:rPr>
        <w:footnoteReference w:id="11"/>
      </w:r>
      <w:r w:rsidRPr="00070D32">
        <w:rPr>
          <w:rFonts w:ascii="Gilroy" w:eastAsia="Times New Roman" w:hAnsi="Gilroy" w:cs="Times New Roman"/>
          <w:lang w:eastAsia="en-GB"/>
        </w:rPr>
        <w:t xml:space="preserve"> Equally, in 2016 the Wisconsin Supreme Court recognised the importance of meaningful human review when it comes to the use of semi-ADM systems when it sanctioned the COMPAS risk assessment system, which made racially discriminatory decisions. COMPAS gave automated risk scores in the criminal justice system in order to predict the likelihood of an individual committing a future crime</w:t>
      </w:r>
      <w:r w:rsidR="00224CB3">
        <w:rPr>
          <w:rFonts w:ascii="Gilroy" w:eastAsia="Times New Roman" w:hAnsi="Gilroy" w:cs="Times New Roman"/>
          <w:lang w:eastAsia="en-GB"/>
        </w:rPr>
        <w:t>, which was used to inform sentencing decisions by judges.</w:t>
      </w:r>
      <w:r w:rsidRPr="00070D32">
        <w:rPr>
          <w:rFonts w:ascii="Gilroy" w:eastAsia="Times New Roman" w:hAnsi="Gilroy" w:cs="Times New Roman"/>
          <w:lang w:eastAsia="en-GB"/>
        </w:rPr>
        <w:t xml:space="preserve"> </w:t>
      </w:r>
      <w:r w:rsidR="00224CB3">
        <w:rPr>
          <w:rFonts w:ascii="Gilroy" w:eastAsia="Times New Roman" w:hAnsi="Gilroy" w:cs="Times New Roman"/>
          <w:lang w:eastAsia="en-GB"/>
        </w:rPr>
        <w:t>T</w:t>
      </w:r>
      <w:r w:rsidRPr="00070D32">
        <w:rPr>
          <w:rFonts w:ascii="Gilroy" w:eastAsia="Times New Roman" w:hAnsi="Gilroy" w:cs="Times New Roman"/>
          <w:lang w:eastAsia="en-GB"/>
        </w:rPr>
        <w:t>he</w:t>
      </w:r>
      <w:r w:rsidR="00224CB3">
        <w:rPr>
          <w:rFonts w:ascii="Gilroy" w:eastAsia="Times New Roman" w:hAnsi="Gilroy" w:cs="Times New Roman"/>
          <w:lang w:eastAsia="en-GB"/>
        </w:rPr>
        <w:t xml:space="preserve"> Court highlighted the</w:t>
      </w:r>
      <w:r w:rsidRPr="00070D32">
        <w:rPr>
          <w:rFonts w:ascii="Gilroy" w:eastAsia="Times New Roman" w:hAnsi="Gilroy" w:cs="Times New Roman"/>
          <w:lang w:eastAsia="en-GB"/>
        </w:rPr>
        <w:t xml:space="preserve"> </w:t>
      </w:r>
      <w:r w:rsidR="00224CB3">
        <w:rPr>
          <w:rFonts w:ascii="Gilroy" w:eastAsia="Times New Roman" w:hAnsi="Gilroy" w:cs="Times New Roman"/>
          <w:lang w:eastAsia="en-GB"/>
        </w:rPr>
        <w:t>insufficiency and limitations of the COMPAS tool as the sole basis for a sentencing decision, and the need for judges</w:t>
      </w:r>
      <w:r w:rsidRPr="00070D32">
        <w:rPr>
          <w:rFonts w:ascii="Gilroy" w:eastAsia="Times New Roman" w:hAnsi="Gilroy" w:cs="Times New Roman"/>
          <w:lang w:eastAsia="en-GB"/>
        </w:rPr>
        <w:t xml:space="preserve"> </w:t>
      </w:r>
      <w:r w:rsidR="00224CB3">
        <w:rPr>
          <w:rFonts w:ascii="Gilroy" w:eastAsia="Times New Roman" w:hAnsi="Gilroy" w:cs="Times New Roman"/>
          <w:lang w:eastAsia="en-GB"/>
        </w:rPr>
        <w:t>to take into account a series of other factors</w:t>
      </w:r>
      <w:r w:rsidRPr="00070D32">
        <w:rPr>
          <w:rFonts w:ascii="Gilroy" w:eastAsia="Times New Roman" w:hAnsi="Gilroy" w:cs="Times New Roman"/>
          <w:lang w:eastAsia="en-GB"/>
        </w:rPr>
        <w:t>.</w:t>
      </w:r>
      <w:r w:rsidRPr="00070D32">
        <w:rPr>
          <w:rStyle w:val="FootnoteReference"/>
          <w:rFonts w:ascii="Gilroy" w:eastAsia="Times New Roman" w:hAnsi="Gilroy" w:cs="Times New Roman"/>
          <w:lang w:eastAsia="en-GB"/>
        </w:rPr>
        <w:footnoteReference w:id="12"/>
      </w:r>
    </w:p>
    <w:p w14:paraId="54172118" w14:textId="77777777" w:rsidR="00246BBF" w:rsidRPr="00070D32" w:rsidRDefault="00246BBF" w:rsidP="00122384">
      <w:pPr>
        <w:snapToGrid w:val="0"/>
        <w:spacing w:beforeAutospacing="1" w:afterAutospacing="1"/>
        <w:contextualSpacing/>
        <w:jc w:val="both"/>
        <w:rPr>
          <w:rFonts w:ascii="Gilroy" w:eastAsia="Times New Roman" w:hAnsi="Gilroy" w:cs="Times New Roman"/>
          <w:lang w:eastAsia="en-GB"/>
        </w:rPr>
      </w:pPr>
    </w:p>
    <w:p w14:paraId="19BC8136" w14:textId="58B31638" w:rsidR="00122384" w:rsidRPr="00BC073F" w:rsidRDefault="00122384" w:rsidP="00DE7020">
      <w:pPr>
        <w:pStyle w:val="ListParagraph"/>
        <w:numPr>
          <w:ilvl w:val="0"/>
          <w:numId w:val="30"/>
        </w:numPr>
        <w:snapToGrid w:val="0"/>
        <w:spacing w:before="100" w:beforeAutospacing="1" w:after="100" w:afterAutospacing="1"/>
        <w:jc w:val="both"/>
        <w:outlineLvl w:val="3"/>
        <w:rPr>
          <w:rFonts w:ascii="Gilroy" w:eastAsia="Times New Roman" w:hAnsi="Gilroy" w:cs="Times New Roman"/>
          <w:b/>
          <w:bCs/>
          <w:lang w:eastAsia="en-GB"/>
        </w:rPr>
      </w:pPr>
      <w:r w:rsidRPr="00BC073F">
        <w:rPr>
          <w:rFonts w:ascii="Gilroy" w:eastAsia="Times New Roman" w:hAnsi="Gilroy" w:cs="Times New Roman"/>
          <w:b/>
          <w:bCs/>
          <w:lang w:eastAsia="en-GB"/>
        </w:rPr>
        <w:t xml:space="preserve">The dangers of </w:t>
      </w:r>
      <w:r w:rsidR="004170BC" w:rsidRPr="00BC073F">
        <w:rPr>
          <w:rFonts w:ascii="Gilroy" w:eastAsia="Times New Roman" w:hAnsi="Gilroy" w:cs="Times New Roman"/>
          <w:b/>
          <w:bCs/>
          <w:lang w:eastAsia="en-GB"/>
        </w:rPr>
        <w:t>a</w:t>
      </w:r>
      <w:r w:rsidR="00B91A76" w:rsidRPr="00BC073F">
        <w:rPr>
          <w:rFonts w:ascii="Gilroy" w:eastAsia="Times New Roman" w:hAnsi="Gilroy" w:cs="Times New Roman"/>
          <w:b/>
          <w:bCs/>
          <w:lang w:eastAsia="en-GB"/>
        </w:rPr>
        <w:t xml:space="preserve">utomated </w:t>
      </w:r>
      <w:r w:rsidR="004170BC" w:rsidRPr="00BC073F">
        <w:rPr>
          <w:rFonts w:ascii="Gilroy" w:eastAsia="Times New Roman" w:hAnsi="Gilroy" w:cs="Times New Roman"/>
          <w:b/>
          <w:bCs/>
          <w:lang w:eastAsia="en-GB"/>
        </w:rPr>
        <w:t>d</w:t>
      </w:r>
      <w:r w:rsidR="00B91A76" w:rsidRPr="00BC073F">
        <w:rPr>
          <w:rFonts w:ascii="Gilroy" w:eastAsia="Times New Roman" w:hAnsi="Gilroy" w:cs="Times New Roman"/>
          <w:b/>
          <w:bCs/>
          <w:lang w:eastAsia="en-GB"/>
        </w:rPr>
        <w:t>ecision</w:t>
      </w:r>
      <w:r w:rsidR="00297C5D" w:rsidRPr="00BC073F">
        <w:rPr>
          <w:rFonts w:ascii="Gilroy" w:eastAsia="Times New Roman" w:hAnsi="Gilroy" w:cs="Times New Roman"/>
          <w:b/>
          <w:bCs/>
          <w:lang w:eastAsia="en-GB"/>
        </w:rPr>
        <w:t>-</w:t>
      </w:r>
      <w:r w:rsidR="004170BC" w:rsidRPr="00BC073F">
        <w:rPr>
          <w:rFonts w:ascii="Gilroy" w:eastAsia="Times New Roman" w:hAnsi="Gilroy" w:cs="Times New Roman"/>
          <w:b/>
          <w:bCs/>
          <w:lang w:eastAsia="en-GB"/>
        </w:rPr>
        <w:t>m</w:t>
      </w:r>
      <w:r w:rsidR="00B91A76" w:rsidRPr="00BC073F">
        <w:rPr>
          <w:rFonts w:ascii="Gilroy" w:eastAsia="Times New Roman" w:hAnsi="Gilroy" w:cs="Times New Roman"/>
          <w:b/>
          <w:bCs/>
          <w:lang w:eastAsia="en-GB"/>
        </w:rPr>
        <w:t>aking</w:t>
      </w:r>
    </w:p>
    <w:p w14:paraId="6FB5BCEC" w14:textId="77777777" w:rsidR="00122384" w:rsidRDefault="00122384" w:rsidP="00122384">
      <w:pPr>
        <w:snapToGrid w:val="0"/>
        <w:spacing w:before="100" w:beforeAutospacing="1" w:after="100" w:afterAutospacing="1"/>
        <w:contextualSpacing/>
        <w:jc w:val="both"/>
        <w:rPr>
          <w:rFonts w:ascii="Gilroy" w:eastAsia="Times New Roman" w:hAnsi="Gilroy" w:cs="Times New Roman"/>
          <w:lang w:eastAsia="en-GB"/>
        </w:rPr>
      </w:pPr>
    </w:p>
    <w:p w14:paraId="2A1D8E71" w14:textId="3068BA06" w:rsidR="00122384" w:rsidRDefault="00224CB3" w:rsidP="00122384">
      <w:pPr>
        <w:snapToGrid w:val="0"/>
        <w:spacing w:before="100" w:beforeAutospacing="1" w:after="100" w:afterAutospacing="1"/>
        <w:contextualSpacing/>
        <w:jc w:val="both"/>
        <w:rPr>
          <w:rFonts w:ascii="Gilroy" w:eastAsia="Times New Roman" w:hAnsi="Gilroy" w:cs="Times New Roman"/>
          <w:lang w:eastAsia="en-GB"/>
        </w:rPr>
      </w:pPr>
      <w:r>
        <w:rPr>
          <w:rFonts w:ascii="Gilroy" w:eastAsia="Times New Roman" w:hAnsi="Gilroy" w:cs="Times New Roman"/>
          <w:lang w:eastAsia="en-GB"/>
        </w:rPr>
        <w:lastRenderedPageBreak/>
        <w:t xml:space="preserve">The risks of unreliability and bias attaching to </w:t>
      </w:r>
      <w:r w:rsidR="00122384" w:rsidRPr="00070D32">
        <w:rPr>
          <w:rFonts w:ascii="Gilroy" w:eastAsia="Times New Roman" w:hAnsi="Gilroy" w:cs="Times New Roman"/>
          <w:lang w:eastAsia="en-GB"/>
        </w:rPr>
        <w:t xml:space="preserve">ADM technologies powered by </w:t>
      </w:r>
      <w:r w:rsidR="00925647">
        <w:rPr>
          <w:rFonts w:ascii="Gilroy" w:eastAsia="Times New Roman" w:hAnsi="Gilroy" w:cs="Times New Roman"/>
          <w:lang w:eastAsia="en-GB"/>
        </w:rPr>
        <w:t>AI</w:t>
      </w:r>
      <w:r w:rsidR="00122384" w:rsidRPr="00070D32">
        <w:rPr>
          <w:rFonts w:ascii="Gilroy" w:eastAsia="Times New Roman" w:hAnsi="Gilroy" w:cs="Times New Roman"/>
          <w:lang w:eastAsia="en-GB"/>
        </w:rPr>
        <w:t xml:space="preserve"> have been well documented. This is further complicated by the opacity of ADM systems which</w:t>
      </w:r>
      <w:r>
        <w:rPr>
          <w:rFonts w:ascii="Gilroy" w:eastAsia="Times New Roman" w:hAnsi="Gilroy" w:cs="Times New Roman"/>
          <w:lang w:eastAsia="en-GB"/>
        </w:rPr>
        <w:t xml:space="preserve"> often operate as a </w:t>
      </w:r>
      <w:r w:rsidR="00122384" w:rsidRPr="00070D32">
        <w:rPr>
          <w:rFonts w:ascii="Gilroy" w:eastAsia="Times New Roman" w:hAnsi="Gilroy" w:cs="Times New Roman"/>
          <w:lang w:eastAsia="en-GB"/>
        </w:rPr>
        <w:t>“black box” and pose serious transparency problems, since they are extremely difficult to challenge. This in turn leads to a lack of redress and accountability mechanisms to understand how data has been used, or why a given decision has been made.</w:t>
      </w:r>
    </w:p>
    <w:p w14:paraId="4AEE3D52" w14:textId="77777777" w:rsidR="00122384" w:rsidRPr="00070D32" w:rsidRDefault="00122384" w:rsidP="00122384">
      <w:pPr>
        <w:snapToGrid w:val="0"/>
        <w:spacing w:before="100" w:beforeAutospacing="1" w:after="100" w:afterAutospacing="1"/>
        <w:contextualSpacing/>
        <w:jc w:val="both"/>
        <w:rPr>
          <w:rFonts w:ascii="Gilroy" w:eastAsia="Times New Roman" w:hAnsi="Gilroy" w:cs="Times New Roman"/>
          <w:lang w:eastAsia="en-GB"/>
        </w:rPr>
      </w:pPr>
    </w:p>
    <w:p w14:paraId="30B35C70" w14:textId="378489D0" w:rsidR="00122384" w:rsidRDefault="00122384" w:rsidP="00122384">
      <w:pPr>
        <w:snapToGrid w:val="0"/>
        <w:spacing w:before="100" w:beforeAutospacing="1" w:after="100" w:afterAutospacing="1"/>
        <w:contextualSpacing/>
        <w:jc w:val="both"/>
        <w:rPr>
          <w:rFonts w:ascii="Gilroy" w:eastAsia="Times New Roman" w:hAnsi="Gilroy" w:cs="Times New Roman"/>
          <w:lang w:eastAsia="en-GB"/>
        </w:rPr>
      </w:pPr>
      <w:r>
        <w:rPr>
          <w:rFonts w:ascii="Gilroy" w:eastAsia="Times New Roman" w:hAnsi="Gilroy" w:cs="Times New Roman"/>
          <w:lang w:eastAsia="en-GB"/>
        </w:rPr>
        <w:t>There is a recognised right not to be subjected to full ADM</w:t>
      </w:r>
      <w:r w:rsidR="00224CB3">
        <w:rPr>
          <w:rFonts w:ascii="Gilroy" w:eastAsia="Times New Roman" w:hAnsi="Gilroy" w:cs="Times New Roman"/>
          <w:lang w:eastAsia="en-GB"/>
        </w:rPr>
        <w:t>. According to the European GDPR</w:t>
      </w:r>
      <w:r w:rsidR="00A272D8">
        <w:rPr>
          <w:rFonts w:ascii="Gilroy" w:eastAsia="Times New Roman" w:hAnsi="Gilroy" w:cs="Times New Roman"/>
          <w:lang w:eastAsia="en-GB"/>
        </w:rPr>
        <w:t xml:space="preserve"> (“EU GDPR”)</w:t>
      </w:r>
      <w:r w:rsidR="00224CB3">
        <w:rPr>
          <w:rFonts w:ascii="Gilroy" w:eastAsia="Times New Roman" w:hAnsi="Gilroy" w:cs="Times New Roman"/>
          <w:lang w:eastAsia="en-GB"/>
        </w:rPr>
        <w:t xml:space="preserve">, </w:t>
      </w:r>
      <w:r>
        <w:rPr>
          <w:rFonts w:ascii="Gilroy" w:eastAsia="Times New Roman" w:hAnsi="Gilroy" w:cs="Times New Roman"/>
          <w:lang w:eastAsia="en-GB"/>
        </w:rPr>
        <w:t xml:space="preserve">the use of such </w:t>
      </w:r>
      <w:r w:rsidR="00224CB3">
        <w:rPr>
          <w:rFonts w:ascii="Gilroy" w:eastAsia="Times New Roman" w:hAnsi="Gilroy" w:cs="Times New Roman"/>
          <w:lang w:eastAsia="en-GB"/>
        </w:rPr>
        <w:t xml:space="preserve">technology </w:t>
      </w:r>
      <w:r>
        <w:rPr>
          <w:rFonts w:ascii="Gilroy" w:eastAsia="Times New Roman" w:hAnsi="Gilroy" w:cs="Times New Roman"/>
          <w:lang w:eastAsia="en-GB"/>
        </w:rPr>
        <w:t>requires data processors to have additional safeguards in place and that individuals should be able to opt out of ADM processes.</w:t>
      </w:r>
      <w:r>
        <w:rPr>
          <w:rStyle w:val="FootnoteReference"/>
          <w:rFonts w:ascii="Gilroy" w:eastAsia="Times New Roman" w:hAnsi="Gilroy" w:cs="Times New Roman"/>
          <w:lang w:eastAsia="en-GB"/>
        </w:rPr>
        <w:footnoteReference w:id="13"/>
      </w:r>
      <w:r>
        <w:rPr>
          <w:rFonts w:ascii="Gilroy" w:eastAsia="Times New Roman" w:hAnsi="Gilroy" w:cs="Times New Roman"/>
          <w:lang w:eastAsia="en-GB"/>
        </w:rPr>
        <w:t xml:space="preserve"> Further, when it comes to ADM, individuals have a right to be informed of </w:t>
      </w:r>
      <w:r w:rsidRPr="00E53753">
        <w:rPr>
          <w:rFonts w:ascii="Gilroy" w:eastAsia="Times New Roman" w:hAnsi="Gilroy" w:cs="Times New Roman"/>
          <w:lang w:eastAsia="en-GB"/>
        </w:rPr>
        <w:t xml:space="preserve">the existence of </w:t>
      </w:r>
      <w:r>
        <w:rPr>
          <w:rFonts w:ascii="Gilroy" w:eastAsia="Times New Roman" w:hAnsi="Gilroy" w:cs="Times New Roman"/>
          <w:lang w:eastAsia="en-GB"/>
        </w:rPr>
        <w:t>ADM</w:t>
      </w:r>
      <w:r w:rsidRPr="00E53753">
        <w:rPr>
          <w:rFonts w:ascii="Gilroy" w:eastAsia="Times New Roman" w:hAnsi="Gilroy" w:cs="Times New Roman"/>
          <w:lang w:eastAsia="en-GB"/>
        </w:rPr>
        <w:t xml:space="preserve"> and at the very least</w:t>
      </w:r>
      <w:r>
        <w:rPr>
          <w:rFonts w:ascii="Gilroy" w:eastAsia="Times New Roman" w:hAnsi="Gilroy" w:cs="Times New Roman"/>
          <w:lang w:eastAsia="en-GB"/>
        </w:rPr>
        <w:t xml:space="preserve"> </w:t>
      </w:r>
      <w:r w:rsidRPr="00E53753">
        <w:rPr>
          <w:rFonts w:ascii="Gilroy" w:eastAsia="Times New Roman" w:hAnsi="Gilroy" w:cs="Times New Roman"/>
          <w:lang w:eastAsia="en-GB"/>
        </w:rPr>
        <w:t>meaningful information about the logic involved, the significance and</w:t>
      </w:r>
      <w:r>
        <w:rPr>
          <w:rFonts w:ascii="Gilroy" w:eastAsia="Times New Roman" w:hAnsi="Gilroy" w:cs="Times New Roman"/>
          <w:lang w:eastAsia="en-GB"/>
        </w:rPr>
        <w:t xml:space="preserve"> </w:t>
      </w:r>
      <w:r w:rsidRPr="00E53753">
        <w:rPr>
          <w:rFonts w:ascii="Gilroy" w:eastAsia="Times New Roman" w:hAnsi="Gilroy" w:cs="Times New Roman"/>
          <w:lang w:eastAsia="en-GB"/>
        </w:rPr>
        <w:t>the envisaged consequence of such processing for the data subject</w:t>
      </w:r>
      <w:r>
        <w:rPr>
          <w:rFonts w:ascii="Gilroy" w:eastAsia="Times New Roman" w:hAnsi="Gilroy" w:cs="Times New Roman"/>
          <w:lang w:eastAsia="en-GB"/>
        </w:rPr>
        <w:t>.</w:t>
      </w:r>
      <w:r>
        <w:rPr>
          <w:rStyle w:val="FootnoteReference"/>
          <w:rFonts w:ascii="Gilroy" w:eastAsia="Times New Roman" w:hAnsi="Gilroy" w:cs="Times New Roman"/>
          <w:lang w:eastAsia="en-GB"/>
        </w:rPr>
        <w:footnoteReference w:id="14"/>
      </w:r>
      <w:r>
        <w:rPr>
          <w:rFonts w:ascii="Gilroy" w:eastAsia="Times New Roman" w:hAnsi="Gilroy" w:cs="Times New Roman"/>
          <w:lang w:eastAsia="en-GB"/>
        </w:rPr>
        <w:t xml:space="preserve"> </w:t>
      </w:r>
    </w:p>
    <w:p w14:paraId="6BEE12DF" w14:textId="77777777" w:rsidR="00122384" w:rsidRDefault="00122384" w:rsidP="00122384">
      <w:pPr>
        <w:snapToGrid w:val="0"/>
        <w:spacing w:before="100" w:beforeAutospacing="1" w:after="100" w:afterAutospacing="1"/>
        <w:contextualSpacing/>
        <w:jc w:val="both"/>
        <w:rPr>
          <w:rFonts w:ascii="Gilroy" w:eastAsia="Times New Roman" w:hAnsi="Gilroy" w:cs="Times New Roman"/>
          <w:lang w:eastAsia="en-GB"/>
        </w:rPr>
      </w:pPr>
    </w:p>
    <w:p w14:paraId="2756DB37" w14:textId="250677A6" w:rsidR="00122384" w:rsidRDefault="00122384" w:rsidP="00122384">
      <w:pPr>
        <w:snapToGrid w:val="0"/>
        <w:spacing w:before="100" w:beforeAutospacing="1" w:after="100" w:afterAutospacing="1"/>
        <w:contextualSpacing/>
        <w:jc w:val="both"/>
        <w:rPr>
          <w:rFonts w:ascii="Gilroy" w:eastAsia="Times New Roman" w:hAnsi="Gilroy" w:cs="Times New Roman"/>
          <w:lang w:eastAsia="en-GB"/>
        </w:rPr>
      </w:pPr>
      <w:r w:rsidRPr="00070D32">
        <w:rPr>
          <w:rFonts w:ascii="Gilroy" w:eastAsia="Times New Roman" w:hAnsi="Gilroy" w:cs="Times New Roman"/>
          <w:lang w:eastAsia="en-GB"/>
        </w:rPr>
        <w:t xml:space="preserve">In 2023, the EU Parliament </w:t>
      </w:r>
      <w:r w:rsidR="00E7002D">
        <w:rPr>
          <w:rFonts w:ascii="Gilroy" w:eastAsia="Times New Roman" w:hAnsi="Gilroy" w:cs="Times New Roman"/>
          <w:lang w:eastAsia="en-GB"/>
        </w:rPr>
        <w:t>expressed their</w:t>
      </w:r>
      <w:r w:rsidR="00E7002D" w:rsidRPr="00070D32">
        <w:rPr>
          <w:rFonts w:ascii="Gilroy" w:eastAsia="Times New Roman" w:hAnsi="Gilroy" w:cs="Times New Roman"/>
          <w:lang w:eastAsia="en-GB"/>
        </w:rPr>
        <w:t xml:space="preserve"> </w:t>
      </w:r>
      <w:r w:rsidRPr="00070D32">
        <w:rPr>
          <w:rFonts w:ascii="Gilroy" w:eastAsia="Times New Roman" w:hAnsi="Gilroy" w:cs="Times New Roman"/>
          <w:lang w:eastAsia="en-GB"/>
        </w:rPr>
        <w:t>concerns over the dangers of ADM when they voted on the Artificial Intelligence Act to prohibit AI systems that pose an “</w:t>
      </w:r>
      <w:r w:rsidRPr="002958AC">
        <w:rPr>
          <w:rFonts w:ascii="Gilroy" w:eastAsia="Times New Roman" w:hAnsi="Gilroy" w:cs="Times New Roman"/>
          <w:i/>
          <w:iCs/>
          <w:lang w:eastAsia="en-GB"/>
        </w:rPr>
        <w:t>unacceptable level of risk to people’s safety</w:t>
      </w:r>
      <w:r w:rsidRPr="00070D32">
        <w:rPr>
          <w:rFonts w:ascii="Gilroy" w:eastAsia="Times New Roman" w:hAnsi="Gilroy" w:cs="Times New Roman"/>
          <w:lang w:eastAsia="en-GB"/>
        </w:rPr>
        <w:t>”</w:t>
      </w:r>
      <w:r w:rsidR="00224CB3">
        <w:rPr>
          <w:rFonts w:ascii="Gilroy" w:eastAsia="Times New Roman" w:hAnsi="Gilroy" w:cs="Times New Roman"/>
          <w:lang w:eastAsia="en-GB"/>
        </w:rPr>
        <w:t>,</w:t>
      </w:r>
      <w:r w:rsidRPr="00070D32">
        <w:rPr>
          <w:rFonts w:ascii="Gilroy" w:eastAsia="Times New Roman" w:hAnsi="Gilroy" w:cs="Times New Roman"/>
          <w:lang w:eastAsia="en-GB"/>
        </w:rPr>
        <w:t xml:space="preserve"> </w:t>
      </w:r>
      <w:r w:rsidR="00224CB3">
        <w:rPr>
          <w:rFonts w:ascii="Gilroy" w:eastAsia="Times New Roman" w:hAnsi="Gilroy" w:cs="Times New Roman"/>
          <w:lang w:eastAsia="en-GB"/>
        </w:rPr>
        <w:t>such as</w:t>
      </w:r>
      <w:r w:rsidRPr="00070D32">
        <w:rPr>
          <w:rFonts w:ascii="Gilroy" w:eastAsia="Times New Roman" w:hAnsi="Gilroy" w:cs="Times New Roman"/>
          <w:lang w:eastAsia="en-GB"/>
        </w:rPr>
        <w:t xml:space="preserve"> “</w:t>
      </w:r>
      <w:r w:rsidRPr="002958AC">
        <w:rPr>
          <w:rFonts w:ascii="Gilroy" w:eastAsia="Times New Roman" w:hAnsi="Gilroy" w:cs="Times New Roman"/>
          <w:i/>
          <w:iCs/>
          <w:lang w:eastAsia="en-GB"/>
        </w:rPr>
        <w:t>biometric categorisation systems using sensitive characteristics (e.g. gender, race, ethnicity, citizenship status, religion, political orientation)</w:t>
      </w:r>
      <w:r w:rsidRPr="00070D32">
        <w:rPr>
          <w:rFonts w:ascii="Gilroy" w:eastAsia="Times New Roman" w:hAnsi="Gilroy" w:cs="Times New Roman"/>
          <w:lang w:eastAsia="en-GB"/>
        </w:rPr>
        <w:t>”.</w:t>
      </w:r>
      <w:r w:rsidRPr="00070D32">
        <w:rPr>
          <w:rStyle w:val="FootnoteReference"/>
          <w:rFonts w:ascii="Gilroy" w:eastAsia="Times New Roman" w:hAnsi="Gilroy" w:cs="Times New Roman"/>
          <w:lang w:eastAsia="en-GB"/>
        </w:rPr>
        <w:footnoteReference w:id="15"/>
      </w:r>
      <w:r w:rsidRPr="00070D32">
        <w:rPr>
          <w:rFonts w:ascii="Gilroy" w:eastAsia="Times New Roman" w:hAnsi="Gilroy" w:cs="Times New Roman"/>
          <w:lang w:eastAsia="en-GB"/>
        </w:rPr>
        <w:t xml:space="preserve"> When it comes to persons with disabilities, the use of biometric information about their disability and health in ADM systems would fall under the sensitive characteristics that the </w:t>
      </w:r>
      <w:r w:rsidR="00224CB3">
        <w:rPr>
          <w:rFonts w:ascii="Gilroy" w:eastAsia="Times New Roman" w:hAnsi="Gilroy" w:cs="Times New Roman"/>
          <w:lang w:eastAsia="en-GB"/>
        </w:rPr>
        <w:t>EU GDPR</w:t>
      </w:r>
      <w:r w:rsidR="00224CB3" w:rsidRPr="00070D32">
        <w:rPr>
          <w:rFonts w:ascii="Gilroy" w:eastAsia="Times New Roman" w:hAnsi="Gilroy" w:cs="Times New Roman"/>
          <w:lang w:eastAsia="en-GB"/>
        </w:rPr>
        <w:t xml:space="preserve"> </w:t>
      </w:r>
      <w:r w:rsidRPr="00070D32">
        <w:rPr>
          <w:rFonts w:ascii="Gilroy" w:eastAsia="Times New Roman" w:hAnsi="Gilroy" w:cs="Times New Roman"/>
          <w:lang w:eastAsia="en-GB"/>
        </w:rPr>
        <w:t xml:space="preserve">provides for. UN mandates have also repeatedly warned of the dangers of ADM, including </w:t>
      </w:r>
      <w:r w:rsidR="00246BBF">
        <w:rPr>
          <w:rFonts w:ascii="Gilroy" w:eastAsia="Times New Roman" w:hAnsi="Gilroy" w:cs="Times New Roman"/>
          <w:lang w:eastAsia="en-GB"/>
        </w:rPr>
        <w:t xml:space="preserve">the </w:t>
      </w:r>
      <w:r w:rsidRPr="00070D32">
        <w:rPr>
          <w:rFonts w:ascii="Gilroy" w:eastAsia="Times New Roman" w:hAnsi="Gilroy" w:cs="Times New Roman"/>
          <w:lang w:eastAsia="en-GB"/>
        </w:rPr>
        <w:t>UN Special Rapporteur on the right to health who acknowledged the discriminatory impacts that such technologies can have, as they “</w:t>
      </w:r>
      <w:r w:rsidRPr="00246BBF">
        <w:rPr>
          <w:rFonts w:ascii="Gilroy" w:eastAsia="Times New Roman" w:hAnsi="Gilroy" w:cs="Times New Roman"/>
          <w:i/>
          <w:iCs/>
          <w:lang w:eastAsia="en-GB"/>
        </w:rPr>
        <w:t>can perpetuate […] ableism</w:t>
      </w:r>
      <w:r w:rsidRPr="00070D32">
        <w:rPr>
          <w:rFonts w:ascii="Gilroy" w:eastAsia="Times New Roman" w:hAnsi="Gilroy" w:cs="Times New Roman"/>
          <w:lang w:eastAsia="en-GB"/>
        </w:rPr>
        <w:t>” since “</w:t>
      </w:r>
      <w:r w:rsidRPr="00246BBF">
        <w:rPr>
          <w:rFonts w:ascii="Gilroy" w:eastAsia="Times New Roman" w:hAnsi="Gilroy" w:cs="Times New Roman"/>
          <w:i/>
          <w:iCs/>
          <w:lang w:eastAsia="en-GB"/>
        </w:rPr>
        <w:t>data sets that reflect human biases, predictions based on biased data sets and automated decision-making may inadvertently result in discriminatory outcomes</w:t>
      </w:r>
      <w:r w:rsidRPr="00070D32">
        <w:rPr>
          <w:rFonts w:ascii="Gilroy" w:eastAsia="Times New Roman" w:hAnsi="Gilroy" w:cs="Times New Roman"/>
          <w:lang w:eastAsia="en-GB"/>
        </w:rPr>
        <w:t xml:space="preserve">” and </w:t>
      </w:r>
      <w:r w:rsidR="00E72FD6">
        <w:rPr>
          <w:rFonts w:ascii="Gilroy" w:eastAsia="Times New Roman" w:hAnsi="Gilroy" w:cs="Times New Roman"/>
          <w:lang w:eastAsia="en-GB"/>
        </w:rPr>
        <w:t>went</w:t>
      </w:r>
      <w:r w:rsidR="00E72FD6" w:rsidRPr="00070D32">
        <w:rPr>
          <w:rFonts w:ascii="Gilroy" w:eastAsia="Times New Roman" w:hAnsi="Gilroy" w:cs="Times New Roman"/>
          <w:lang w:eastAsia="en-GB"/>
        </w:rPr>
        <w:t xml:space="preserve"> </w:t>
      </w:r>
      <w:r w:rsidRPr="00070D32">
        <w:rPr>
          <w:rFonts w:ascii="Gilroy" w:eastAsia="Times New Roman" w:hAnsi="Gilroy" w:cs="Times New Roman"/>
          <w:lang w:eastAsia="en-GB"/>
        </w:rPr>
        <w:t>on to state that this may lead to the “</w:t>
      </w:r>
      <w:r w:rsidRPr="002958AC">
        <w:rPr>
          <w:rFonts w:ascii="Gilroy" w:eastAsia="Times New Roman" w:hAnsi="Gilroy" w:cs="Times New Roman"/>
          <w:i/>
          <w:iCs/>
          <w:lang w:eastAsia="en-GB"/>
        </w:rPr>
        <w:t>data invisibility</w:t>
      </w:r>
      <w:r w:rsidRPr="00070D32">
        <w:rPr>
          <w:rFonts w:ascii="Gilroy" w:eastAsia="Times New Roman" w:hAnsi="Gilroy" w:cs="Times New Roman"/>
          <w:lang w:eastAsia="en-GB"/>
        </w:rPr>
        <w:t>” of groups including persons with disabilities.</w:t>
      </w:r>
      <w:r w:rsidRPr="00070D32">
        <w:rPr>
          <w:rStyle w:val="FootnoteReference"/>
          <w:rFonts w:ascii="Gilroy" w:eastAsia="Times New Roman" w:hAnsi="Gilroy" w:cs="Times New Roman"/>
          <w:lang w:eastAsia="en-GB"/>
        </w:rPr>
        <w:footnoteReference w:id="16"/>
      </w:r>
      <w:r w:rsidRPr="00070D32">
        <w:rPr>
          <w:rFonts w:ascii="Gilroy" w:eastAsia="Times New Roman" w:hAnsi="Gilroy" w:cs="Times New Roman"/>
          <w:lang w:eastAsia="en-GB"/>
        </w:rPr>
        <w:t xml:space="preserve"> </w:t>
      </w:r>
    </w:p>
    <w:p w14:paraId="4A249D87" w14:textId="77777777" w:rsidR="00122384" w:rsidRPr="00070D32" w:rsidRDefault="00122384" w:rsidP="00122384">
      <w:pPr>
        <w:snapToGrid w:val="0"/>
        <w:spacing w:before="100" w:beforeAutospacing="1" w:after="100" w:afterAutospacing="1"/>
        <w:contextualSpacing/>
        <w:jc w:val="both"/>
        <w:rPr>
          <w:rFonts w:ascii="Gilroy" w:eastAsia="Times New Roman" w:hAnsi="Gilroy" w:cs="Times New Roman"/>
          <w:lang w:eastAsia="en-GB"/>
        </w:rPr>
      </w:pPr>
    </w:p>
    <w:p w14:paraId="14437574" w14:textId="2D5FC628" w:rsidR="00122384" w:rsidRDefault="00122384" w:rsidP="00070D32">
      <w:pPr>
        <w:snapToGrid w:val="0"/>
        <w:spacing w:before="100" w:beforeAutospacing="1" w:after="100" w:afterAutospacing="1"/>
        <w:contextualSpacing/>
        <w:jc w:val="both"/>
        <w:rPr>
          <w:rFonts w:ascii="Gilroy" w:eastAsia="Times New Roman" w:hAnsi="Gilroy" w:cs="Times New Roman"/>
          <w:lang w:eastAsia="en-GB"/>
        </w:rPr>
      </w:pPr>
      <w:r w:rsidRPr="00070D32">
        <w:rPr>
          <w:rFonts w:ascii="Gilroy" w:eastAsia="Times New Roman" w:hAnsi="Gilroy" w:cs="Times New Roman"/>
          <w:lang w:eastAsia="en-GB"/>
        </w:rPr>
        <w:t xml:space="preserve">Moreover, the 2021 thematic report on </w:t>
      </w:r>
      <w:r w:rsidR="00925647">
        <w:rPr>
          <w:rFonts w:ascii="Gilroy" w:eastAsia="Times New Roman" w:hAnsi="Gilroy" w:cs="Times New Roman"/>
          <w:lang w:eastAsia="en-GB"/>
        </w:rPr>
        <w:t>AI</w:t>
      </w:r>
      <w:r w:rsidRPr="00070D32">
        <w:rPr>
          <w:rFonts w:ascii="Gilroy" w:eastAsia="Times New Roman" w:hAnsi="Gilroy" w:cs="Times New Roman"/>
          <w:lang w:eastAsia="en-GB"/>
        </w:rPr>
        <w:t xml:space="preserve"> by the UN Special Rapporteur on the rights of persons with disabilities discusses the “</w:t>
      </w:r>
      <w:r w:rsidRPr="002958AC">
        <w:rPr>
          <w:rFonts w:ascii="Gilroy" w:eastAsia="Times New Roman" w:hAnsi="Gilroy" w:cs="Times New Roman"/>
          <w:i/>
          <w:iCs/>
          <w:lang w:eastAsia="en-GB"/>
        </w:rPr>
        <w:t>well-known discriminatory impacts</w:t>
      </w:r>
      <w:r w:rsidRPr="00070D32">
        <w:rPr>
          <w:rFonts w:ascii="Gilroy" w:eastAsia="Times New Roman" w:hAnsi="Gilroy" w:cs="Times New Roman"/>
          <w:lang w:eastAsia="en-GB"/>
        </w:rPr>
        <w:t xml:space="preserve">” of </w:t>
      </w:r>
      <w:r w:rsidR="00925647">
        <w:rPr>
          <w:rFonts w:ascii="Gilroy" w:eastAsia="Times New Roman" w:hAnsi="Gilroy" w:cs="Times New Roman"/>
          <w:lang w:eastAsia="en-GB"/>
        </w:rPr>
        <w:t>AI-</w:t>
      </w:r>
      <w:r w:rsidRPr="00070D32">
        <w:rPr>
          <w:rFonts w:ascii="Gilroy" w:eastAsia="Times New Roman" w:hAnsi="Gilroy" w:cs="Times New Roman"/>
          <w:lang w:eastAsia="en-GB"/>
        </w:rPr>
        <w:t>powered ADM, stating that: “</w:t>
      </w:r>
      <w:r w:rsidRPr="00246BBF">
        <w:rPr>
          <w:rFonts w:ascii="Gilroy" w:eastAsia="Times New Roman" w:hAnsi="Gilroy" w:cs="Times New Roman"/>
          <w:i/>
          <w:iCs/>
          <w:lang w:eastAsia="en-GB"/>
        </w:rPr>
        <w:t>the risks associated with machine learning can be much more acute because of the so-called “black box” or transparency problem […] it is nearly impossible to determine, retrospectively, whether discrimination has occurred. That lack of transparency is a real barrier to the right to equal treatment of persons with disabilities</w:t>
      </w:r>
      <w:r w:rsidRPr="00070D32">
        <w:rPr>
          <w:rFonts w:ascii="Gilroy" w:eastAsia="Times New Roman" w:hAnsi="Gilroy" w:cs="Times New Roman"/>
          <w:lang w:eastAsia="en-GB"/>
        </w:rPr>
        <w:t>” and therefore termed it “</w:t>
      </w:r>
      <w:r w:rsidRPr="00246BBF">
        <w:rPr>
          <w:rFonts w:ascii="Gilroy" w:eastAsia="Times New Roman" w:hAnsi="Gilroy" w:cs="Times New Roman"/>
          <w:i/>
          <w:iCs/>
          <w:lang w:eastAsia="en-GB"/>
        </w:rPr>
        <w:t>exceptionally difficult</w:t>
      </w:r>
      <w:r w:rsidRPr="00070D32">
        <w:rPr>
          <w:rFonts w:ascii="Gilroy" w:eastAsia="Times New Roman" w:hAnsi="Gilroy" w:cs="Times New Roman"/>
          <w:lang w:eastAsia="en-GB"/>
        </w:rPr>
        <w:t xml:space="preserve">” to </w:t>
      </w:r>
      <w:r w:rsidRPr="00070D32">
        <w:rPr>
          <w:rFonts w:ascii="Gilroy" w:eastAsia="Times New Roman" w:hAnsi="Gilroy" w:cs="Times New Roman"/>
          <w:lang w:eastAsia="en-GB"/>
        </w:rPr>
        <w:lastRenderedPageBreak/>
        <w:t>challenge ADM practises.</w:t>
      </w:r>
      <w:r w:rsidRPr="00070D32">
        <w:rPr>
          <w:rStyle w:val="FootnoteReference"/>
          <w:rFonts w:ascii="Gilroy" w:eastAsia="Times New Roman" w:hAnsi="Gilroy" w:cs="Times New Roman"/>
          <w:lang w:eastAsia="en-GB"/>
        </w:rPr>
        <w:footnoteReference w:id="17"/>
      </w:r>
      <w:r w:rsidRPr="00070D32">
        <w:rPr>
          <w:rFonts w:ascii="Gilroy" w:eastAsia="Times New Roman" w:hAnsi="Gilroy" w:cs="Times New Roman"/>
          <w:lang w:eastAsia="en-GB"/>
        </w:rPr>
        <w:t xml:space="preserve"> The Special Rapporteur also explicitly recognised the pervasive and negative impact that ADM systems can have upon the lives of persons with disabilities, including in the context of welfare systems, stating that: “</w:t>
      </w:r>
      <w:r w:rsidRPr="00246BBF">
        <w:rPr>
          <w:rFonts w:ascii="Gilroy" w:eastAsia="Times New Roman" w:hAnsi="Gilroy" w:cs="Times New Roman"/>
          <w:i/>
          <w:iCs/>
          <w:lang w:eastAsia="en-GB"/>
        </w:rPr>
        <w:t>Biased data sets and discriminatory algorithms can restrict persons with disabilities from employment or benefits making them even more vulnerable to poverty and marginalization, and in ways that are more systematic and harder to detect</w:t>
      </w:r>
      <w:r w:rsidRPr="00070D32">
        <w:rPr>
          <w:rFonts w:ascii="Gilroy" w:eastAsia="Times New Roman" w:hAnsi="Gilroy" w:cs="Times New Roman"/>
          <w:lang w:eastAsia="en-GB"/>
        </w:rPr>
        <w:t>”.</w:t>
      </w:r>
      <w:r w:rsidRPr="00070D32">
        <w:rPr>
          <w:rStyle w:val="FootnoteReference"/>
          <w:rFonts w:ascii="Gilroy" w:eastAsia="Times New Roman" w:hAnsi="Gilroy" w:cs="Times New Roman"/>
          <w:lang w:eastAsia="en-GB"/>
        </w:rPr>
        <w:footnoteReference w:id="18"/>
      </w:r>
      <w:r w:rsidR="00E72FD6">
        <w:rPr>
          <w:rFonts w:ascii="Gilroy" w:eastAsia="Times New Roman" w:hAnsi="Gilroy" w:cs="Times New Roman"/>
          <w:lang w:eastAsia="en-GB"/>
        </w:rPr>
        <w:t xml:space="preserve"> </w:t>
      </w:r>
    </w:p>
    <w:p w14:paraId="093FC3A2" w14:textId="77777777" w:rsidR="00E72FD6" w:rsidRDefault="00E72FD6" w:rsidP="00070D32">
      <w:pPr>
        <w:snapToGrid w:val="0"/>
        <w:spacing w:before="100" w:beforeAutospacing="1" w:after="100" w:afterAutospacing="1"/>
        <w:contextualSpacing/>
        <w:jc w:val="both"/>
        <w:rPr>
          <w:rFonts w:ascii="Gilroy" w:eastAsia="Times New Roman" w:hAnsi="Gilroy" w:cs="Times New Roman"/>
          <w:lang w:eastAsia="en-GB"/>
        </w:rPr>
      </w:pPr>
    </w:p>
    <w:p w14:paraId="42E805EA" w14:textId="77777777" w:rsidR="00E72FD6" w:rsidRPr="00E72FD6" w:rsidRDefault="00E72FD6" w:rsidP="00070D32">
      <w:pPr>
        <w:snapToGrid w:val="0"/>
        <w:spacing w:before="100" w:beforeAutospacing="1" w:after="100" w:afterAutospacing="1"/>
        <w:contextualSpacing/>
        <w:jc w:val="both"/>
        <w:rPr>
          <w:rFonts w:ascii="Gilroy" w:eastAsia="Times New Roman" w:hAnsi="Gilroy" w:cs="Times New Roman"/>
          <w:lang w:eastAsia="en-GB"/>
        </w:rPr>
      </w:pPr>
    </w:p>
    <w:p w14:paraId="75D7F8ED" w14:textId="434E3E0D" w:rsidR="365A1417" w:rsidRPr="00BC073F" w:rsidRDefault="00246BBF" w:rsidP="00BC073F">
      <w:pPr>
        <w:pStyle w:val="ListParagraph"/>
        <w:numPr>
          <w:ilvl w:val="0"/>
          <w:numId w:val="27"/>
        </w:numPr>
        <w:snapToGrid w:val="0"/>
        <w:spacing w:before="100" w:beforeAutospacing="1" w:after="100" w:afterAutospacing="1"/>
        <w:jc w:val="both"/>
        <w:rPr>
          <w:rFonts w:ascii="Gilroy" w:eastAsia="Times New Roman" w:hAnsi="Gilroy" w:cs="Times New Roman"/>
          <w:b/>
          <w:bCs/>
          <w:sz w:val="27"/>
          <w:szCs w:val="27"/>
          <w:lang w:eastAsia="en-GB"/>
        </w:rPr>
      </w:pPr>
      <w:r>
        <w:rPr>
          <w:rFonts w:ascii="Gilroy" w:eastAsia="Times New Roman" w:hAnsi="Gilroy" w:cs="Times New Roman"/>
          <w:b/>
          <w:bCs/>
          <w:sz w:val="27"/>
          <w:szCs w:val="27"/>
          <w:lang w:eastAsia="en-GB"/>
        </w:rPr>
        <w:t>The digitisation of</w:t>
      </w:r>
      <w:r w:rsidR="00332703" w:rsidRPr="00BC073F">
        <w:rPr>
          <w:rFonts w:ascii="Gilroy" w:eastAsia="Times New Roman" w:hAnsi="Gilroy" w:cs="Times New Roman"/>
          <w:b/>
          <w:bCs/>
          <w:sz w:val="27"/>
          <w:szCs w:val="27"/>
          <w:lang w:eastAsia="en-GB"/>
        </w:rPr>
        <w:t xml:space="preserve"> </w:t>
      </w:r>
      <w:r>
        <w:rPr>
          <w:rFonts w:ascii="Gilroy" w:eastAsia="Times New Roman" w:hAnsi="Gilroy" w:cs="Times New Roman"/>
          <w:b/>
          <w:bCs/>
          <w:sz w:val="27"/>
          <w:szCs w:val="27"/>
          <w:lang w:eastAsia="en-GB"/>
        </w:rPr>
        <w:t>s</w:t>
      </w:r>
      <w:r w:rsidR="003A3843" w:rsidRPr="00BC073F">
        <w:rPr>
          <w:rFonts w:ascii="Gilroy" w:eastAsia="Times New Roman" w:hAnsi="Gilroy" w:cs="Times New Roman"/>
          <w:b/>
          <w:bCs/>
          <w:sz w:val="27"/>
          <w:szCs w:val="27"/>
          <w:lang w:eastAsia="en-GB"/>
        </w:rPr>
        <w:t>ocial protection</w:t>
      </w:r>
      <w:r>
        <w:rPr>
          <w:rFonts w:ascii="Gilroy" w:eastAsia="Times New Roman" w:hAnsi="Gilroy" w:cs="Times New Roman"/>
          <w:b/>
          <w:bCs/>
          <w:sz w:val="27"/>
          <w:szCs w:val="27"/>
          <w:lang w:eastAsia="en-GB"/>
        </w:rPr>
        <w:t xml:space="preserve"> and impacts on the</w:t>
      </w:r>
      <w:r w:rsidR="003A3843" w:rsidRPr="00BC073F">
        <w:rPr>
          <w:rFonts w:ascii="Gilroy" w:eastAsia="Times New Roman" w:hAnsi="Gilroy" w:cs="Times New Roman"/>
          <w:b/>
          <w:bCs/>
          <w:sz w:val="27"/>
          <w:szCs w:val="27"/>
          <w:lang w:eastAsia="en-GB"/>
        </w:rPr>
        <w:t xml:space="preserve"> privacy </w:t>
      </w:r>
      <w:r>
        <w:rPr>
          <w:rFonts w:ascii="Gilroy" w:eastAsia="Times New Roman" w:hAnsi="Gilroy" w:cs="Times New Roman"/>
          <w:b/>
          <w:bCs/>
          <w:sz w:val="27"/>
          <w:szCs w:val="27"/>
          <w:lang w:eastAsia="en-GB"/>
        </w:rPr>
        <w:t>of</w:t>
      </w:r>
      <w:r w:rsidRPr="00BC073F">
        <w:rPr>
          <w:rFonts w:ascii="Gilroy" w:eastAsia="Times New Roman" w:hAnsi="Gilroy" w:cs="Times New Roman"/>
          <w:b/>
          <w:bCs/>
          <w:sz w:val="27"/>
          <w:szCs w:val="27"/>
          <w:lang w:eastAsia="en-GB"/>
        </w:rPr>
        <w:t xml:space="preserve"> </w:t>
      </w:r>
      <w:r w:rsidR="00FF0A2C" w:rsidRPr="00BC073F">
        <w:rPr>
          <w:rFonts w:ascii="Gilroy" w:eastAsia="Times New Roman" w:hAnsi="Gilroy" w:cs="Times New Roman"/>
          <w:b/>
          <w:bCs/>
          <w:sz w:val="27"/>
          <w:szCs w:val="27"/>
          <w:lang w:eastAsia="en-GB"/>
        </w:rPr>
        <w:t>persons living with disabilities</w:t>
      </w:r>
    </w:p>
    <w:p w14:paraId="2B5232DB" w14:textId="77777777" w:rsidR="00070D32" w:rsidRDefault="00070D32" w:rsidP="00070D32">
      <w:pPr>
        <w:snapToGrid w:val="0"/>
        <w:spacing w:beforeAutospacing="1" w:after="100" w:afterAutospacing="1"/>
        <w:contextualSpacing/>
        <w:jc w:val="both"/>
        <w:rPr>
          <w:rFonts w:ascii="Gilroy" w:eastAsia="Times New Roman" w:hAnsi="Gilroy" w:cs="Times New Roman"/>
          <w:lang w:eastAsia="en-GB"/>
        </w:rPr>
      </w:pPr>
    </w:p>
    <w:p w14:paraId="7B7EF302" w14:textId="28747824" w:rsidR="365A1417" w:rsidRDefault="00FF0A2C" w:rsidP="00070D32">
      <w:pPr>
        <w:snapToGrid w:val="0"/>
        <w:spacing w:beforeAutospacing="1" w:after="100" w:afterAutospacing="1"/>
        <w:contextualSpacing/>
        <w:jc w:val="both"/>
        <w:rPr>
          <w:rFonts w:ascii="Gilroy" w:eastAsia="Times New Roman" w:hAnsi="Gilroy" w:cs="Times New Roman"/>
          <w:lang w:eastAsia="en-GB"/>
        </w:rPr>
      </w:pPr>
      <w:r w:rsidRPr="00070D32">
        <w:rPr>
          <w:rFonts w:ascii="Gilroy" w:eastAsia="Times New Roman" w:hAnsi="Gilroy" w:cs="Times New Roman"/>
          <w:lang w:eastAsia="en-GB"/>
        </w:rPr>
        <w:t>The</w:t>
      </w:r>
      <w:r w:rsidR="00F26306" w:rsidRPr="00070D32">
        <w:rPr>
          <w:rFonts w:ascii="Gilroy" w:eastAsia="Times New Roman" w:hAnsi="Gilroy" w:cs="Times New Roman"/>
          <w:lang w:eastAsia="en-GB"/>
        </w:rPr>
        <w:t xml:space="preserve"> pernicious</w:t>
      </w:r>
      <w:r w:rsidR="00401413" w:rsidRPr="00070D32">
        <w:rPr>
          <w:rFonts w:ascii="Gilroy" w:eastAsia="Times New Roman" w:hAnsi="Gilroy" w:cs="Times New Roman"/>
          <w:lang w:eastAsia="en-GB"/>
        </w:rPr>
        <w:t xml:space="preserve"> threat </w:t>
      </w:r>
      <w:r w:rsidR="00B30CDA" w:rsidRPr="00070D32">
        <w:rPr>
          <w:rFonts w:ascii="Gilroy" w:eastAsia="Times New Roman" w:hAnsi="Gilroy" w:cs="Times New Roman"/>
          <w:lang w:eastAsia="en-GB"/>
        </w:rPr>
        <w:t xml:space="preserve">that </w:t>
      </w:r>
      <w:r w:rsidR="00F26306" w:rsidRPr="00070D32">
        <w:rPr>
          <w:rFonts w:ascii="Gilroy" w:eastAsia="Times New Roman" w:hAnsi="Gilroy" w:cs="Times New Roman"/>
          <w:lang w:eastAsia="en-GB"/>
        </w:rPr>
        <w:t xml:space="preserve">the </w:t>
      </w:r>
      <w:r w:rsidR="00401413" w:rsidRPr="00070D32">
        <w:rPr>
          <w:rFonts w:ascii="Gilroy" w:eastAsia="Times New Roman" w:hAnsi="Gilroy" w:cs="Times New Roman"/>
          <w:lang w:eastAsia="en-GB"/>
        </w:rPr>
        <w:t>digit</w:t>
      </w:r>
      <w:r w:rsidR="003479C5" w:rsidRPr="00070D32">
        <w:rPr>
          <w:rFonts w:ascii="Gilroy" w:eastAsia="Times New Roman" w:hAnsi="Gilroy" w:cs="Times New Roman"/>
          <w:lang w:eastAsia="en-GB"/>
        </w:rPr>
        <w:t>isa</w:t>
      </w:r>
      <w:r w:rsidR="00401413" w:rsidRPr="00070D32">
        <w:rPr>
          <w:rFonts w:ascii="Gilroy" w:eastAsia="Times New Roman" w:hAnsi="Gilroy" w:cs="Times New Roman"/>
          <w:lang w:eastAsia="en-GB"/>
        </w:rPr>
        <w:t>tion of global welfare systems</w:t>
      </w:r>
      <w:r w:rsidR="00B30CDA" w:rsidRPr="00070D32">
        <w:rPr>
          <w:rFonts w:ascii="Gilroy" w:eastAsia="Times New Roman" w:hAnsi="Gilroy" w:cs="Times New Roman"/>
          <w:lang w:eastAsia="en-GB"/>
        </w:rPr>
        <w:t xml:space="preserve"> poses to human rights</w:t>
      </w:r>
      <w:r w:rsidRPr="00070D32">
        <w:rPr>
          <w:rFonts w:ascii="Gilroy" w:eastAsia="Times New Roman" w:hAnsi="Gilroy" w:cs="Times New Roman"/>
          <w:lang w:eastAsia="en-GB"/>
        </w:rPr>
        <w:t xml:space="preserve"> has been well-documented</w:t>
      </w:r>
      <w:r w:rsidR="00401413" w:rsidRPr="00070D32">
        <w:rPr>
          <w:rFonts w:ascii="Gilroy" w:eastAsia="Times New Roman" w:hAnsi="Gilroy" w:cs="Times New Roman"/>
          <w:lang w:eastAsia="en-GB"/>
        </w:rPr>
        <w:t>.</w:t>
      </w:r>
      <w:r w:rsidRPr="00070D32">
        <w:rPr>
          <w:rStyle w:val="FootnoteReference"/>
          <w:rFonts w:ascii="Gilroy" w:eastAsia="Times New Roman" w:hAnsi="Gilroy" w:cs="Times New Roman"/>
          <w:lang w:eastAsia="en-GB"/>
        </w:rPr>
        <w:footnoteReference w:id="19"/>
      </w:r>
      <w:r w:rsidR="00B16584" w:rsidRPr="00070D32">
        <w:rPr>
          <w:rFonts w:ascii="Gilroy" w:eastAsia="Times New Roman" w:hAnsi="Gilroy" w:cs="Times New Roman"/>
          <w:lang w:eastAsia="en-GB"/>
        </w:rPr>
        <w:t xml:space="preserve"> </w:t>
      </w:r>
      <w:r w:rsidR="009D30C6" w:rsidRPr="00070D32">
        <w:rPr>
          <w:rFonts w:ascii="Gilroy" w:eastAsia="Times New Roman" w:hAnsi="Gilroy" w:cs="Times New Roman"/>
          <w:lang w:eastAsia="en-GB"/>
        </w:rPr>
        <w:t>The wake of the Covid-19 crisis saw a</w:t>
      </w:r>
      <w:r w:rsidR="00363DFC" w:rsidRPr="00070D32">
        <w:rPr>
          <w:rFonts w:ascii="Gilroy" w:eastAsia="Times New Roman" w:hAnsi="Gilroy" w:cs="Times New Roman"/>
          <w:lang w:eastAsia="en-GB"/>
        </w:rPr>
        <w:t xml:space="preserve"> further </w:t>
      </w:r>
      <w:r w:rsidR="009D30C6" w:rsidRPr="00070D32">
        <w:rPr>
          <w:rFonts w:ascii="Gilroy" w:eastAsia="Times New Roman" w:hAnsi="Gilroy" w:cs="Times New Roman"/>
          <w:lang w:eastAsia="en-GB"/>
        </w:rPr>
        <w:t xml:space="preserve">proliferation of </w:t>
      </w:r>
      <w:r w:rsidR="00363DFC" w:rsidRPr="00070D32">
        <w:rPr>
          <w:rFonts w:ascii="Gilroy" w:eastAsia="Times New Roman" w:hAnsi="Gilroy" w:cs="Times New Roman"/>
          <w:lang w:eastAsia="en-GB"/>
        </w:rPr>
        <w:t>digit</w:t>
      </w:r>
      <w:r w:rsidR="00B30CDA" w:rsidRPr="00070D32">
        <w:rPr>
          <w:rFonts w:ascii="Gilroy" w:eastAsia="Times New Roman" w:hAnsi="Gilroy" w:cs="Times New Roman"/>
          <w:lang w:eastAsia="en-GB"/>
        </w:rPr>
        <w:t>al welfare</w:t>
      </w:r>
      <w:r w:rsidR="00B16584" w:rsidRPr="00070D32">
        <w:rPr>
          <w:rFonts w:ascii="Gilroy" w:eastAsia="Times New Roman" w:hAnsi="Gilroy" w:cs="Times New Roman"/>
          <w:lang w:eastAsia="en-GB"/>
        </w:rPr>
        <w:t xml:space="preserve"> systems</w:t>
      </w:r>
      <w:r w:rsidR="00363DFC" w:rsidRPr="00070D32">
        <w:rPr>
          <w:rFonts w:ascii="Gilroy" w:eastAsia="Times New Roman" w:hAnsi="Gilroy" w:cs="Times New Roman"/>
          <w:lang w:eastAsia="en-GB"/>
        </w:rPr>
        <w:t xml:space="preserve"> </w:t>
      </w:r>
      <w:r w:rsidR="009D30C6" w:rsidRPr="00070D32">
        <w:rPr>
          <w:rFonts w:ascii="Gilroy" w:eastAsia="Times New Roman" w:hAnsi="Gilroy" w:cs="Times New Roman"/>
          <w:lang w:eastAsia="en-GB"/>
        </w:rPr>
        <w:t>which</w:t>
      </w:r>
      <w:r w:rsidR="00B16584" w:rsidRPr="00070D32">
        <w:rPr>
          <w:rFonts w:ascii="Gilroy" w:eastAsia="Times New Roman" w:hAnsi="Gilroy" w:cs="Times New Roman"/>
          <w:lang w:eastAsia="en-GB"/>
        </w:rPr>
        <w:t xml:space="preserve"> were rapidly developed and rolled out </w:t>
      </w:r>
      <w:r w:rsidR="00424C39" w:rsidRPr="00070D32">
        <w:rPr>
          <w:rFonts w:ascii="Gilroy" w:eastAsia="Times New Roman" w:hAnsi="Gilroy" w:cs="Times New Roman"/>
          <w:lang w:eastAsia="en-GB"/>
        </w:rPr>
        <w:t>as emergency</w:t>
      </w:r>
      <w:r w:rsidR="00B16584" w:rsidRPr="00070D32">
        <w:rPr>
          <w:rFonts w:ascii="Gilroy" w:eastAsia="Times New Roman" w:hAnsi="Gilroy" w:cs="Times New Roman"/>
          <w:lang w:eastAsia="en-GB"/>
        </w:rPr>
        <w:t xml:space="preserve"> response</w:t>
      </w:r>
      <w:r w:rsidR="00424C39" w:rsidRPr="00070D32">
        <w:rPr>
          <w:rFonts w:ascii="Gilroy" w:eastAsia="Times New Roman" w:hAnsi="Gilroy" w:cs="Times New Roman"/>
          <w:lang w:eastAsia="en-GB"/>
        </w:rPr>
        <w:t>s</w:t>
      </w:r>
      <w:r w:rsidR="00363DFC" w:rsidRPr="00070D32">
        <w:rPr>
          <w:rFonts w:ascii="Gilroy" w:eastAsia="Times New Roman" w:hAnsi="Gilroy" w:cs="Times New Roman"/>
          <w:lang w:eastAsia="en-GB"/>
        </w:rPr>
        <w:t xml:space="preserve"> across the globe</w:t>
      </w:r>
      <w:r w:rsidR="00830470" w:rsidRPr="00070D32">
        <w:rPr>
          <w:rFonts w:ascii="Gilroy" w:eastAsia="Times New Roman" w:hAnsi="Gilroy" w:cs="Times New Roman"/>
          <w:lang w:eastAsia="en-GB"/>
        </w:rPr>
        <w:t xml:space="preserve">, </w:t>
      </w:r>
      <w:r w:rsidR="00F26306" w:rsidRPr="00070D32">
        <w:rPr>
          <w:rFonts w:ascii="Gilroy" w:eastAsia="Times New Roman" w:hAnsi="Gilroy" w:cs="Times New Roman"/>
          <w:lang w:eastAsia="en-GB"/>
        </w:rPr>
        <w:t>with</w:t>
      </w:r>
      <w:r w:rsidR="00830470" w:rsidRPr="00070D32">
        <w:rPr>
          <w:rFonts w:ascii="Gilroy" w:eastAsia="Times New Roman" w:hAnsi="Gilroy" w:cs="Times New Roman"/>
          <w:lang w:eastAsia="en-GB"/>
        </w:rPr>
        <w:t xml:space="preserve"> governments increasingly relying on automated and opaque eligibility processes and forsaking privacy considerations and inclusion.</w:t>
      </w:r>
      <w:r w:rsidR="00830470" w:rsidRPr="00070D32">
        <w:rPr>
          <w:rStyle w:val="FootnoteReference"/>
          <w:rFonts w:ascii="Gilroy" w:eastAsia="Times New Roman" w:hAnsi="Gilroy" w:cs="Times New Roman"/>
          <w:lang w:eastAsia="en-GB"/>
        </w:rPr>
        <w:footnoteReference w:id="20"/>
      </w:r>
      <w:r w:rsidR="00830470" w:rsidRPr="00070D32">
        <w:rPr>
          <w:rFonts w:ascii="Gilroy" w:eastAsia="Times New Roman" w:hAnsi="Gilroy" w:cs="Times New Roman"/>
          <w:lang w:eastAsia="en-GB"/>
        </w:rPr>
        <w:t xml:space="preserve"> </w:t>
      </w:r>
      <w:r w:rsidR="0068176E" w:rsidRPr="00070D32">
        <w:rPr>
          <w:rFonts w:ascii="Gilroy" w:eastAsia="Times New Roman" w:hAnsi="Gilroy" w:cs="Times New Roman"/>
          <w:lang w:eastAsia="en-GB"/>
        </w:rPr>
        <w:t xml:space="preserve">Such systems, which are either </w:t>
      </w:r>
      <w:r w:rsidRPr="00070D32">
        <w:rPr>
          <w:rFonts w:ascii="Gilroy" w:eastAsia="Times New Roman" w:hAnsi="Gilroy" w:cs="Times New Roman"/>
          <w:lang w:eastAsia="en-GB"/>
        </w:rPr>
        <w:t>already in place</w:t>
      </w:r>
      <w:r w:rsidR="0068176E" w:rsidRPr="00070D32">
        <w:rPr>
          <w:rFonts w:ascii="Gilroy" w:eastAsia="Times New Roman" w:hAnsi="Gilroy" w:cs="Times New Roman"/>
          <w:lang w:eastAsia="en-GB"/>
        </w:rPr>
        <w:t xml:space="preserve"> or </w:t>
      </w:r>
      <w:r w:rsidR="00246BBF">
        <w:rPr>
          <w:rFonts w:ascii="Gilroy" w:eastAsia="Times New Roman" w:hAnsi="Gilroy" w:cs="Times New Roman"/>
          <w:lang w:eastAsia="en-GB"/>
        </w:rPr>
        <w:t>i</w:t>
      </w:r>
      <w:r w:rsidR="0068176E" w:rsidRPr="00070D32">
        <w:rPr>
          <w:rFonts w:ascii="Gilroy" w:eastAsia="Times New Roman" w:hAnsi="Gilroy" w:cs="Times New Roman"/>
          <w:lang w:eastAsia="en-GB"/>
        </w:rPr>
        <w:t>n emergenc</w:t>
      </w:r>
      <w:r w:rsidR="003479C5" w:rsidRPr="00070D32">
        <w:rPr>
          <w:rFonts w:ascii="Gilroy" w:eastAsia="Times New Roman" w:hAnsi="Gilroy" w:cs="Times New Roman"/>
          <w:lang w:eastAsia="en-GB"/>
        </w:rPr>
        <w:t>e</w:t>
      </w:r>
      <w:r w:rsidR="0068176E" w:rsidRPr="00070D32">
        <w:rPr>
          <w:rFonts w:ascii="Gilroy" w:eastAsia="Times New Roman" w:hAnsi="Gilroy" w:cs="Times New Roman"/>
          <w:lang w:eastAsia="en-GB"/>
        </w:rPr>
        <w:t xml:space="preserve"> in many countries around the world, present unique threats to </w:t>
      </w:r>
      <w:r w:rsidR="00B30CDA" w:rsidRPr="00070D32">
        <w:rPr>
          <w:rFonts w:ascii="Gilroy" w:eastAsia="Times New Roman" w:hAnsi="Gilroy" w:cs="Times New Roman"/>
          <w:lang w:eastAsia="en-GB"/>
        </w:rPr>
        <w:t xml:space="preserve">the </w:t>
      </w:r>
      <w:r w:rsidR="0068176E" w:rsidRPr="00070D32">
        <w:rPr>
          <w:rFonts w:ascii="Gilroy" w:eastAsia="Times New Roman" w:hAnsi="Gilroy" w:cs="Times New Roman"/>
          <w:lang w:eastAsia="en-GB"/>
        </w:rPr>
        <w:t>rights of persons with</w:t>
      </w:r>
      <w:r w:rsidR="00B30CDA" w:rsidRPr="00070D32">
        <w:rPr>
          <w:rFonts w:ascii="Gilroy" w:eastAsia="Times New Roman" w:hAnsi="Gilroy" w:cs="Times New Roman"/>
          <w:lang w:eastAsia="en-GB"/>
        </w:rPr>
        <w:t xml:space="preserve"> disabilities</w:t>
      </w:r>
      <w:r w:rsidR="0068176E" w:rsidRPr="00070D32">
        <w:rPr>
          <w:rFonts w:ascii="Gilroy" w:eastAsia="Times New Roman" w:hAnsi="Gilroy" w:cs="Times New Roman"/>
          <w:lang w:eastAsia="en-GB"/>
        </w:rPr>
        <w:t>.</w:t>
      </w:r>
    </w:p>
    <w:p w14:paraId="0894722A" w14:textId="77777777" w:rsidR="00070D32" w:rsidRPr="00070D32" w:rsidRDefault="00070D32" w:rsidP="00070D32">
      <w:pPr>
        <w:snapToGrid w:val="0"/>
        <w:spacing w:beforeAutospacing="1" w:after="100" w:afterAutospacing="1"/>
        <w:contextualSpacing/>
        <w:jc w:val="both"/>
        <w:rPr>
          <w:rFonts w:ascii="Gilroy" w:eastAsia="Times New Roman" w:hAnsi="Gilroy" w:cs="Times New Roman"/>
          <w:lang w:eastAsia="en-GB"/>
        </w:rPr>
      </w:pPr>
    </w:p>
    <w:p w14:paraId="30F47B6D" w14:textId="253AB92A" w:rsidR="00070D32" w:rsidRPr="00070D32" w:rsidRDefault="00424C39" w:rsidP="00070D32">
      <w:pPr>
        <w:snapToGrid w:val="0"/>
        <w:spacing w:beforeAutospacing="1" w:after="100" w:afterAutospacing="1"/>
        <w:contextualSpacing/>
        <w:jc w:val="both"/>
        <w:rPr>
          <w:rFonts w:ascii="Gilroy" w:eastAsia="Times New Roman" w:hAnsi="Gilroy" w:cs="Times New Roman"/>
          <w:lang w:eastAsia="en-GB"/>
        </w:rPr>
      </w:pPr>
      <w:r w:rsidRPr="00070D32">
        <w:rPr>
          <w:rFonts w:ascii="Gilroy" w:eastAsia="Times New Roman" w:hAnsi="Gilroy" w:cs="Times New Roman"/>
          <w:lang w:eastAsia="en-GB"/>
        </w:rPr>
        <w:t xml:space="preserve">Indeed, </w:t>
      </w:r>
      <w:r w:rsidR="00BE2FDB" w:rsidRPr="00070D32">
        <w:rPr>
          <w:rFonts w:ascii="Gilroy" w:eastAsia="Times New Roman" w:hAnsi="Gilroy" w:cs="Times New Roman"/>
          <w:lang w:eastAsia="en-GB"/>
        </w:rPr>
        <w:t xml:space="preserve">in his 2019 report, the UN Special Rapporteur on extreme poverty and human rights </w:t>
      </w:r>
      <w:r w:rsidR="00AA62DF" w:rsidRPr="00070D32">
        <w:rPr>
          <w:rFonts w:ascii="Gilroy" w:eastAsia="Times New Roman" w:hAnsi="Gilroy" w:cs="Times New Roman"/>
          <w:lang w:eastAsia="en-GB"/>
        </w:rPr>
        <w:t xml:space="preserve">recognised the impact </w:t>
      </w:r>
      <w:r w:rsidR="006859F4" w:rsidRPr="00070D32">
        <w:rPr>
          <w:rFonts w:ascii="Gilroy" w:eastAsia="Times New Roman" w:hAnsi="Gilroy" w:cs="Times New Roman"/>
          <w:lang w:eastAsia="en-GB"/>
        </w:rPr>
        <w:t xml:space="preserve">that </w:t>
      </w:r>
      <w:r w:rsidR="00AA62DF" w:rsidRPr="00070D32">
        <w:rPr>
          <w:rFonts w:ascii="Gilroy" w:eastAsia="Times New Roman" w:hAnsi="Gilroy" w:cs="Times New Roman"/>
          <w:lang w:eastAsia="en-GB"/>
        </w:rPr>
        <w:t xml:space="preserve">digital welfare has on persons with disabilities </w:t>
      </w:r>
      <w:r w:rsidR="00707429" w:rsidRPr="00070D32">
        <w:rPr>
          <w:rFonts w:ascii="Gilroy" w:eastAsia="Times New Roman" w:hAnsi="Gilroy" w:cs="Times New Roman"/>
          <w:lang w:eastAsia="en-GB"/>
        </w:rPr>
        <w:t>specifically</w:t>
      </w:r>
      <w:r w:rsidR="00214CD7" w:rsidRPr="00070D32">
        <w:rPr>
          <w:rFonts w:ascii="Gilroy" w:eastAsia="Times New Roman" w:hAnsi="Gilroy" w:cs="Times New Roman"/>
          <w:lang w:eastAsia="en-GB"/>
        </w:rPr>
        <w:t xml:space="preserve">, remarking that, </w:t>
      </w:r>
      <w:r w:rsidR="00CE0D99" w:rsidRPr="00070D32">
        <w:rPr>
          <w:rFonts w:ascii="Gilroy" w:eastAsia="Times New Roman" w:hAnsi="Gilroy" w:cs="Times New Roman"/>
          <w:lang w:eastAsia="en-GB"/>
        </w:rPr>
        <w:t>“</w:t>
      </w:r>
      <w:r w:rsidR="00CE0D99" w:rsidRPr="00246BBF">
        <w:rPr>
          <w:rFonts w:ascii="Gilroy" w:eastAsia="Times New Roman" w:hAnsi="Gilroy" w:cs="Times New Roman"/>
          <w:i/>
          <w:iCs/>
          <w:lang w:eastAsia="en-GB"/>
        </w:rPr>
        <w:t>the digital welfare state often seems to involve various forms of rigidity and the robotic application of the rules</w:t>
      </w:r>
      <w:r w:rsidR="00CE0D99" w:rsidRPr="00070D32">
        <w:rPr>
          <w:rFonts w:ascii="Gilroy" w:eastAsia="Times New Roman" w:hAnsi="Gilroy" w:cs="Times New Roman"/>
          <w:lang w:eastAsia="en-GB"/>
        </w:rPr>
        <w:t>”</w:t>
      </w:r>
      <w:r w:rsidR="00214CD7" w:rsidRPr="00070D32">
        <w:rPr>
          <w:rFonts w:ascii="Gilroy" w:eastAsia="Times New Roman" w:hAnsi="Gilroy" w:cs="Times New Roman"/>
          <w:lang w:eastAsia="en-GB"/>
        </w:rPr>
        <w:t>,</w:t>
      </w:r>
      <w:r w:rsidR="00CE0D99" w:rsidRPr="00070D32">
        <w:rPr>
          <w:rFonts w:ascii="Gilroy" w:eastAsia="Times New Roman" w:hAnsi="Gilroy" w:cs="Times New Roman"/>
          <w:lang w:eastAsia="en-GB"/>
        </w:rPr>
        <w:t xml:space="preserve"> and </w:t>
      </w:r>
      <w:r w:rsidR="00214CD7" w:rsidRPr="00070D32">
        <w:rPr>
          <w:rFonts w:ascii="Gilroy" w:eastAsia="Times New Roman" w:hAnsi="Gilroy" w:cs="Times New Roman"/>
          <w:lang w:eastAsia="en-GB"/>
        </w:rPr>
        <w:t>going</w:t>
      </w:r>
      <w:r w:rsidR="00CE0D99" w:rsidRPr="00070D32">
        <w:rPr>
          <w:rFonts w:ascii="Gilroy" w:eastAsia="Times New Roman" w:hAnsi="Gilroy" w:cs="Times New Roman"/>
          <w:lang w:eastAsia="en-GB"/>
        </w:rPr>
        <w:t xml:space="preserve"> on to note that extenuating circumstances that may result from a disability “</w:t>
      </w:r>
      <w:r w:rsidR="00CE0D99" w:rsidRPr="00246BBF">
        <w:rPr>
          <w:rFonts w:ascii="Gilroy" w:eastAsia="Times New Roman" w:hAnsi="Gilroy" w:cs="Times New Roman"/>
          <w:i/>
          <w:iCs/>
          <w:lang w:eastAsia="en-GB"/>
        </w:rPr>
        <w:t>are often not taken into account in a predominantly digital context</w:t>
      </w:r>
      <w:r w:rsidR="00CE0D99" w:rsidRPr="00070D32">
        <w:rPr>
          <w:rFonts w:ascii="Gilroy" w:eastAsia="Times New Roman" w:hAnsi="Gilroy" w:cs="Times New Roman"/>
          <w:lang w:eastAsia="en-GB"/>
        </w:rPr>
        <w:t>”</w:t>
      </w:r>
      <w:r w:rsidR="00197707" w:rsidRPr="00070D32">
        <w:rPr>
          <w:rFonts w:ascii="Gilroy" w:eastAsia="Times New Roman" w:hAnsi="Gilroy" w:cs="Times New Roman"/>
          <w:lang w:eastAsia="en-GB"/>
        </w:rPr>
        <w:t xml:space="preserve"> </w:t>
      </w:r>
      <w:r w:rsidR="00707429" w:rsidRPr="00070D32">
        <w:rPr>
          <w:rFonts w:ascii="Gilroy" w:eastAsia="Times New Roman" w:hAnsi="Gilroy" w:cs="Times New Roman"/>
          <w:lang w:eastAsia="en-GB"/>
        </w:rPr>
        <w:t>by</w:t>
      </w:r>
      <w:r w:rsidR="00197707" w:rsidRPr="00070D32">
        <w:rPr>
          <w:rFonts w:ascii="Gilroy" w:eastAsia="Times New Roman" w:hAnsi="Gilroy" w:cs="Times New Roman"/>
          <w:lang w:eastAsia="en-GB"/>
        </w:rPr>
        <w:t xml:space="preserve"> these systems</w:t>
      </w:r>
      <w:r w:rsidR="00CE0D99" w:rsidRPr="00070D32">
        <w:rPr>
          <w:rFonts w:ascii="Gilroy" w:eastAsia="Times New Roman" w:hAnsi="Gilroy" w:cs="Times New Roman"/>
          <w:lang w:eastAsia="en-GB"/>
        </w:rPr>
        <w:t>.</w:t>
      </w:r>
      <w:r w:rsidR="00CE0D99" w:rsidRPr="00070D32">
        <w:rPr>
          <w:rStyle w:val="FootnoteReference"/>
          <w:rFonts w:ascii="Gilroy" w:eastAsia="Times New Roman" w:hAnsi="Gilroy" w:cs="Times New Roman"/>
          <w:lang w:eastAsia="en-GB"/>
        </w:rPr>
        <w:footnoteReference w:id="21"/>
      </w:r>
      <w:r w:rsidR="00AA62DF" w:rsidRPr="00070D32">
        <w:rPr>
          <w:rFonts w:ascii="Gilroy" w:eastAsia="Times New Roman" w:hAnsi="Gilroy" w:cs="Times New Roman"/>
          <w:lang w:eastAsia="en-GB"/>
        </w:rPr>
        <w:t xml:space="preserve"> </w:t>
      </w:r>
      <w:r w:rsidR="003D7880" w:rsidRPr="00070D32">
        <w:rPr>
          <w:rFonts w:ascii="Gilroy" w:eastAsia="Times New Roman" w:hAnsi="Gilroy" w:cs="Times New Roman"/>
          <w:lang w:eastAsia="en-GB"/>
        </w:rPr>
        <w:t>The importance of adopting a rights-based approach</w:t>
      </w:r>
      <w:r w:rsidR="00246BBF">
        <w:rPr>
          <w:rFonts w:ascii="Gilroy" w:eastAsia="Times New Roman" w:hAnsi="Gilroy" w:cs="Times New Roman"/>
          <w:lang w:eastAsia="en-GB"/>
        </w:rPr>
        <w:t xml:space="preserve"> </w:t>
      </w:r>
      <w:r w:rsidR="003D7880" w:rsidRPr="00070D32">
        <w:rPr>
          <w:rFonts w:ascii="Gilroy" w:eastAsia="Times New Roman" w:hAnsi="Gilroy" w:cs="Times New Roman"/>
          <w:lang w:eastAsia="en-GB"/>
        </w:rPr>
        <w:t>was explicitly addressed by</w:t>
      </w:r>
      <w:r w:rsidR="00CF02C9" w:rsidRPr="00070D32">
        <w:rPr>
          <w:rFonts w:ascii="Gilroy" w:eastAsia="Times New Roman" w:hAnsi="Gilroy" w:cs="Times New Roman"/>
          <w:lang w:eastAsia="en-GB"/>
        </w:rPr>
        <w:t xml:space="preserve"> the UN Special Rapporteur on </w:t>
      </w:r>
      <w:r w:rsidR="00AF1818" w:rsidRPr="00070D32">
        <w:rPr>
          <w:rFonts w:ascii="Gilroy" w:eastAsia="Times New Roman" w:hAnsi="Gilroy" w:cs="Times New Roman"/>
          <w:lang w:eastAsia="en-GB"/>
        </w:rPr>
        <w:t xml:space="preserve">the rights of persons with disabilities </w:t>
      </w:r>
      <w:r w:rsidR="006B255C" w:rsidRPr="00070D32">
        <w:rPr>
          <w:rFonts w:ascii="Gilroy" w:eastAsia="Times New Roman" w:hAnsi="Gilroy" w:cs="Times New Roman"/>
          <w:lang w:eastAsia="en-GB"/>
        </w:rPr>
        <w:t>in 2017, where she stated:</w:t>
      </w:r>
      <w:r w:rsidR="003D7880" w:rsidRPr="00070D32">
        <w:rPr>
          <w:rFonts w:ascii="Gilroy" w:eastAsia="Times New Roman" w:hAnsi="Gilroy" w:cs="Times New Roman"/>
          <w:lang w:eastAsia="en-GB"/>
        </w:rPr>
        <w:t xml:space="preserve"> </w:t>
      </w:r>
      <w:r w:rsidR="00AF1818" w:rsidRPr="00246BBF">
        <w:rPr>
          <w:rFonts w:ascii="Gilroy" w:eastAsia="Times New Roman" w:hAnsi="Gilroy" w:cs="Times New Roman"/>
          <w:i/>
          <w:iCs/>
          <w:lang w:eastAsia="en-GB"/>
        </w:rPr>
        <w:t>“[a]</w:t>
      </w:r>
      <w:proofErr w:type="spellStart"/>
      <w:r w:rsidR="00AF1818" w:rsidRPr="00246BBF">
        <w:rPr>
          <w:rFonts w:ascii="Gilroy" w:eastAsia="Times New Roman" w:hAnsi="Gilroy" w:cs="Times New Roman"/>
          <w:i/>
          <w:iCs/>
          <w:lang w:eastAsia="en-GB"/>
        </w:rPr>
        <w:t>ll</w:t>
      </w:r>
      <w:proofErr w:type="spellEnd"/>
      <w:r w:rsidR="00AF1818" w:rsidRPr="00246BBF">
        <w:rPr>
          <w:rFonts w:ascii="Gilroy" w:eastAsia="Times New Roman" w:hAnsi="Gilroy" w:cs="Times New Roman"/>
          <w:i/>
          <w:iCs/>
          <w:lang w:eastAsia="en-GB"/>
        </w:rPr>
        <w:t xml:space="preserve"> support services and arrangement</w:t>
      </w:r>
      <w:r w:rsidR="00C32813" w:rsidRPr="00246BBF">
        <w:rPr>
          <w:rFonts w:ascii="Gilroy" w:eastAsia="Times New Roman" w:hAnsi="Gilroy" w:cs="Times New Roman"/>
          <w:i/>
          <w:iCs/>
          <w:lang w:eastAsia="en-GB"/>
        </w:rPr>
        <w:t>s</w:t>
      </w:r>
      <w:r w:rsidR="00AF1818" w:rsidRPr="00246BBF">
        <w:rPr>
          <w:rFonts w:ascii="Gilroy" w:eastAsia="Times New Roman" w:hAnsi="Gilroy" w:cs="Times New Roman"/>
          <w:i/>
          <w:iCs/>
          <w:lang w:eastAsia="en-GB"/>
        </w:rPr>
        <w:t xml:space="preserve"> must be […] designed to respect the privacy of those concern</w:t>
      </w:r>
      <w:r w:rsidR="00E01D51" w:rsidRPr="00246BBF">
        <w:rPr>
          <w:rFonts w:ascii="Gilroy" w:eastAsia="Times New Roman" w:hAnsi="Gilroy" w:cs="Times New Roman"/>
          <w:i/>
          <w:iCs/>
          <w:lang w:eastAsia="en-GB"/>
        </w:rPr>
        <w:t>ed</w:t>
      </w:r>
      <w:r w:rsidR="00E01D51" w:rsidRPr="00070D32">
        <w:rPr>
          <w:rFonts w:ascii="Gilroy" w:eastAsia="Times New Roman" w:hAnsi="Gilroy" w:cs="Times New Roman"/>
          <w:lang w:eastAsia="en-GB"/>
        </w:rPr>
        <w:t>”.</w:t>
      </w:r>
      <w:r w:rsidR="00E01D51" w:rsidRPr="00070D32">
        <w:rPr>
          <w:rStyle w:val="FootnoteReference"/>
          <w:rFonts w:ascii="Gilroy" w:eastAsia="Times New Roman" w:hAnsi="Gilroy" w:cs="Times New Roman"/>
          <w:lang w:eastAsia="en-GB"/>
        </w:rPr>
        <w:footnoteReference w:id="22"/>
      </w:r>
      <w:r w:rsidR="004C05B8" w:rsidRPr="00070D32">
        <w:rPr>
          <w:rFonts w:ascii="Gilroy" w:eastAsia="Times New Roman" w:hAnsi="Gilroy" w:cs="Times New Roman"/>
          <w:lang w:eastAsia="en-GB"/>
        </w:rPr>
        <w:t xml:space="preserve"> Equally, </w:t>
      </w:r>
      <w:r w:rsidR="0012585C" w:rsidRPr="00070D32">
        <w:rPr>
          <w:rFonts w:ascii="Gilroy" w:eastAsia="Times New Roman" w:hAnsi="Gilroy" w:cs="Times New Roman"/>
          <w:lang w:eastAsia="en-GB"/>
        </w:rPr>
        <w:t xml:space="preserve">in 2023 the </w:t>
      </w:r>
      <w:r w:rsidR="00401413" w:rsidRPr="00070D32">
        <w:rPr>
          <w:rFonts w:ascii="Gilroy" w:eastAsia="Times New Roman" w:hAnsi="Gilroy" w:cs="Times New Roman"/>
          <w:lang w:eastAsia="en-GB"/>
        </w:rPr>
        <w:t xml:space="preserve">mandate </w:t>
      </w:r>
      <w:r w:rsidR="004A57D3" w:rsidRPr="00070D32">
        <w:rPr>
          <w:rFonts w:ascii="Gilroy" w:eastAsia="Times New Roman" w:hAnsi="Gilroy" w:cs="Times New Roman"/>
          <w:lang w:eastAsia="en-GB"/>
        </w:rPr>
        <w:t xml:space="preserve">once again </w:t>
      </w:r>
      <w:r w:rsidR="004A57D3" w:rsidRPr="00070D32">
        <w:rPr>
          <w:rFonts w:ascii="Gilroy" w:eastAsia="Times New Roman" w:hAnsi="Gilroy" w:cs="Times New Roman"/>
          <w:lang w:eastAsia="en-GB"/>
        </w:rPr>
        <w:lastRenderedPageBreak/>
        <w:t xml:space="preserve">warned that although </w:t>
      </w:r>
      <w:r w:rsidR="00FB6155" w:rsidRPr="00070D32">
        <w:rPr>
          <w:rFonts w:ascii="Gilroy" w:eastAsia="Times New Roman" w:hAnsi="Gilroy" w:cs="Times New Roman"/>
          <w:lang w:eastAsia="en-GB"/>
        </w:rPr>
        <w:t xml:space="preserve">advances in technology present </w:t>
      </w:r>
      <w:r w:rsidR="004A57D3" w:rsidRPr="00070D32">
        <w:rPr>
          <w:rFonts w:ascii="Gilroy" w:eastAsia="Times New Roman" w:hAnsi="Gilroy" w:cs="Times New Roman"/>
          <w:lang w:eastAsia="en-GB"/>
        </w:rPr>
        <w:t xml:space="preserve">opportunities </w:t>
      </w:r>
      <w:r w:rsidR="00FB6155" w:rsidRPr="00070D32">
        <w:rPr>
          <w:rFonts w:ascii="Gilroy" w:eastAsia="Times New Roman" w:hAnsi="Gilroy" w:cs="Times New Roman"/>
          <w:lang w:eastAsia="en-GB"/>
        </w:rPr>
        <w:t xml:space="preserve">for realising the rights of persons with disabilities, </w:t>
      </w:r>
      <w:r w:rsidR="004A57D3" w:rsidRPr="00070D32">
        <w:rPr>
          <w:rFonts w:ascii="Gilroy" w:eastAsia="Times New Roman" w:hAnsi="Gilroy" w:cs="Times New Roman"/>
          <w:lang w:eastAsia="en-GB"/>
        </w:rPr>
        <w:t>there are serious</w:t>
      </w:r>
      <w:r w:rsidR="00FB6155" w:rsidRPr="00070D32">
        <w:rPr>
          <w:rFonts w:ascii="Gilroy" w:eastAsia="Times New Roman" w:hAnsi="Gilroy" w:cs="Times New Roman"/>
          <w:lang w:eastAsia="en-GB"/>
        </w:rPr>
        <w:t xml:space="preserve"> </w:t>
      </w:r>
      <w:r w:rsidR="006D7BEC" w:rsidRPr="00070D32">
        <w:rPr>
          <w:rFonts w:ascii="Gilroy" w:eastAsia="Times New Roman" w:hAnsi="Gilroy" w:cs="Times New Roman"/>
          <w:lang w:eastAsia="en-GB"/>
        </w:rPr>
        <w:t>risks that accompany them.</w:t>
      </w:r>
      <w:r w:rsidR="006D7BEC" w:rsidRPr="00070D32">
        <w:rPr>
          <w:rStyle w:val="FootnoteReference"/>
          <w:rFonts w:ascii="Gilroy" w:eastAsia="Times New Roman" w:hAnsi="Gilroy" w:cs="Times New Roman"/>
          <w:lang w:eastAsia="en-GB"/>
        </w:rPr>
        <w:footnoteReference w:id="23"/>
      </w:r>
      <w:r w:rsidR="006D7BEC" w:rsidRPr="00070D32">
        <w:rPr>
          <w:rFonts w:ascii="Gilroy" w:eastAsia="Times New Roman" w:hAnsi="Gilroy" w:cs="Times New Roman"/>
          <w:lang w:eastAsia="en-GB"/>
        </w:rPr>
        <w:t xml:space="preserve"> </w:t>
      </w:r>
    </w:p>
    <w:p w14:paraId="12C25723" w14:textId="77777777" w:rsidR="00122384" w:rsidRDefault="00122384" w:rsidP="0005693E">
      <w:pPr>
        <w:snapToGrid w:val="0"/>
        <w:spacing w:before="100" w:beforeAutospacing="1" w:after="100" w:afterAutospacing="1"/>
        <w:contextualSpacing/>
        <w:jc w:val="both"/>
        <w:outlineLvl w:val="3"/>
        <w:rPr>
          <w:rFonts w:ascii="Gilroy" w:eastAsia="Times New Roman" w:hAnsi="Gilroy" w:cs="Times New Roman"/>
          <w:lang w:eastAsia="en-GB"/>
        </w:rPr>
      </w:pPr>
    </w:p>
    <w:p w14:paraId="36F6877A" w14:textId="6E5311C6" w:rsidR="0005693E" w:rsidRPr="00BC073F" w:rsidRDefault="0005693E" w:rsidP="00DE7020">
      <w:pPr>
        <w:pStyle w:val="ListParagraph"/>
        <w:numPr>
          <w:ilvl w:val="0"/>
          <w:numId w:val="31"/>
        </w:numPr>
        <w:snapToGrid w:val="0"/>
        <w:spacing w:before="100" w:beforeAutospacing="1" w:after="100" w:afterAutospacing="1"/>
        <w:jc w:val="both"/>
        <w:outlineLvl w:val="3"/>
        <w:rPr>
          <w:rFonts w:ascii="Gilroy" w:eastAsia="Times New Roman" w:hAnsi="Gilroy" w:cs="Times New Roman"/>
          <w:b/>
          <w:bCs/>
          <w:lang w:eastAsia="en-GB"/>
        </w:rPr>
      </w:pPr>
      <w:r w:rsidRPr="00BC073F">
        <w:rPr>
          <w:rFonts w:ascii="Gilroy" w:eastAsia="Times New Roman" w:hAnsi="Gilroy" w:cs="Times New Roman"/>
          <w:b/>
          <w:bCs/>
          <w:lang w:eastAsia="en-GB"/>
        </w:rPr>
        <w:t xml:space="preserve">The impact of </w:t>
      </w:r>
      <w:r w:rsidR="004170BC" w:rsidRPr="00BC073F">
        <w:rPr>
          <w:rFonts w:ascii="Gilroy" w:eastAsia="Times New Roman" w:hAnsi="Gilroy" w:cs="Times New Roman"/>
          <w:b/>
          <w:bCs/>
          <w:lang w:eastAsia="en-GB"/>
        </w:rPr>
        <w:t>a</w:t>
      </w:r>
      <w:r w:rsidR="005864AE" w:rsidRPr="00BC073F">
        <w:rPr>
          <w:rFonts w:ascii="Gilroy" w:eastAsia="Times New Roman" w:hAnsi="Gilroy" w:cs="Times New Roman"/>
          <w:b/>
          <w:bCs/>
          <w:lang w:eastAsia="en-GB"/>
        </w:rPr>
        <w:t xml:space="preserve">utomated </w:t>
      </w:r>
      <w:r w:rsidR="004170BC" w:rsidRPr="00BC073F">
        <w:rPr>
          <w:rFonts w:ascii="Gilroy" w:eastAsia="Times New Roman" w:hAnsi="Gilroy" w:cs="Times New Roman"/>
          <w:b/>
          <w:bCs/>
          <w:lang w:eastAsia="en-GB"/>
        </w:rPr>
        <w:t>d</w:t>
      </w:r>
      <w:r w:rsidR="005864AE" w:rsidRPr="00BC073F">
        <w:rPr>
          <w:rFonts w:ascii="Gilroy" w:eastAsia="Times New Roman" w:hAnsi="Gilroy" w:cs="Times New Roman"/>
          <w:b/>
          <w:bCs/>
          <w:lang w:eastAsia="en-GB"/>
        </w:rPr>
        <w:t>ecision</w:t>
      </w:r>
      <w:r w:rsidR="00E7002D" w:rsidRPr="00BC073F">
        <w:rPr>
          <w:rFonts w:ascii="Gilroy" w:eastAsia="Times New Roman" w:hAnsi="Gilroy" w:cs="Times New Roman"/>
          <w:b/>
          <w:bCs/>
          <w:lang w:eastAsia="en-GB"/>
        </w:rPr>
        <w:t>-</w:t>
      </w:r>
      <w:r w:rsidR="004170BC" w:rsidRPr="00BC073F">
        <w:rPr>
          <w:rFonts w:ascii="Gilroy" w:eastAsia="Times New Roman" w:hAnsi="Gilroy" w:cs="Times New Roman"/>
          <w:b/>
          <w:bCs/>
          <w:lang w:eastAsia="en-GB"/>
        </w:rPr>
        <w:t>m</w:t>
      </w:r>
      <w:r w:rsidR="005864AE" w:rsidRPr="00BC073F">
        <w:rPr>
          <w:rFonts w:ascii="Gilroy" w:eastAsia="Times New Roman" w:hAnsi="Gilroy" w:cs="Times New Roman"/>
          <w:b/>
          <w:bCs/>
          <w:lang w:eastAsia="en-GB"/>
        </w:rPr>
        <w:t xml:space="preserve">aking </w:t>
      </w:r>
      <w:r w:rsidRPr="00BC073F">
        <w:rPr>
          <w:rFonts w:ascii="Gilroy" w:eastAsia="Times New Roman" w:hAnsi="Gilroy" w:cs="Times New Roman"/>
          <w:b/>
          <w:bCs/>
          <w:lang w:eastAsia="en-GB"/>
        </w:rPr>
        <w:t xml:space="preserve">on human rights in digital welfare systems </w:t>
      </w:r>
    </w:p>
    <w:p w14:paraId="2AB826DE" w14:textId="77777777" w:rsidR="0005693E" w:rsidRPr="00070D32" w:rsidRDefault="0005693E" w:rsidP="0005693E">
      <w:pPr>
        <w:snapToGrid w:val="0"/>
        <w:spacing w:before="100" w:beforeAutospacing="1" w:after="100" w:afterAutospacing="1"/>
        <w:contextualSpacing/>
        <w:jc w:val="both"/>
        <w:outlineLvl w:val="3"/>
        <w:rPr>
          <w:rFonts w:ascii="Gilroy" w:eastAsia="Times New Roman" w:hAnsi="Gilroy" w:cs="Times New Roman"/>
          <w:b/>
          <w:bCs/>
          <w:lang w:eastAsia="en-GB"/>
        </w:rPr>
      </w:pPr>
    </w:p>
    <w:p w14:paraId="75B7DA6D" w14:textId="3CB74302" w:rsidR="0005693E" w:rsidRDefault="0005693E" w:rsidP="0005693E">
      <w:pPr>
        <w:snapToGrid w:val="0"/>
        <w:spacing w:before="100" w:beforeAutospacing="1" w:after="100" w:afterAutospacing="1"/>
        <w:contextualSpacing/>
        <w:jc w:val="both"/>
        <w:rPr>
          <w:rFonts w:ascii="Gilroy" w:eastAsia="Times New Roman" w:hAnsi="Gilroy" w:cs="Times New Roman"/>
          <w:lang w:eastAsia="en-GB"/>
        </w:rPr>
      </w:pPr>
      <w:r w:rsidRPr="00070D32">
        <w:rPr>
          <w:rFonts w:ascii="Gilroy" w:eastAsia="Times New Roman" w:hAnsi="Gilroy" w:cs="Times New Roman"/>
          <w:lang w:eastAsia="en-GB"/>
        </w:rPr>
        <w:t xml:space="preserve">The serious risks </w:t>
      </w:r>
      <w:r w:rsidR="005864AE">
        <w:rPr>
          <w:rFonts w:ascii="Gilroy" w:eastAsia="Times New Roman" w:hAnsi="Gilroy" w:cs="Times New Roman"/>
          <w:lang w:eastAsia="en-GB"/>
        </w:rPr>
        <w:t xml:space="preserve">posed </w:t>
      </w:r>
      <w:r w:rsidRPr="00070D32">
        <w:rPr>
          <w:rFonts w:ascii="Gilroy" w:eastAsia="Times New Roman" w:hAnsi="Gilroy" w:cs="Times New Roman"/>
          <w:lang w:eastAsia="en-GB"/>
        </w:rPr>
        <w:t xml:space="preserve">to fundamental rights which accompany ADM in the context of social protection are </w:t>
      </w:r>
      <w:r w:rsidR="005864AE">
        <w:rPr>
          <w:rFonts w:ascii="Gilroy" w:eastAsia="Times New Roman" w:hAnsi="Gilroy" w:cs="Times New Roman"/>
          <w:lang w:eastAsia="en-GB"/>
        </w:rPr>
        <w:t>widely recognised</w:t>
      </w:r>
      <w:r w:rsidRPr="00070D32">
        <w:rPr>
          <w:rFonts w:ascii="Gilroy" w:eastAsia="Times New Roman" w:hAnsi="Gilroy" w:cs="Times New Roman"/>
          <w:lang w:eastAsia="en-GB"/>
        </w:rPr>
        <w:t>.</w:t>
      </w:r>
      <w:r w:rsidRPr="00070D32">
        <w:rPr>
          <w:rStyle w:val="FootnoteReference"/>
          <w:rFonts w:ascii="Gilroy" w:eastAsia="Times New Roman" w:hAnsi="Gilroy" w:cs="Times New Roman"/>
          <w:lang w:eastAsia="en-GB"/>
        </w:rPr>
        <w:footnoteReference w:id="24"/>
      </w:r>
      <w:r w:rsidRPr="00070D32">
        <w:rPr>
          <w:rFonts w:ascii="Gilroy" w:eastAsia="Times New Roman" w:hAnsi="Gilroy" w:cs="Times New Roman"/>
          <w:lang w:eastAsia="en-GB"/>
        </w:rPr>
        <w:t xml:space="preserve"> Current and emerging AI</w:t>
      </w:r>
      <w:r w:rsidR="00246BBF">
        <w:rPr>
          <w:rFonts w:ascii="Gilroy" w:eastAsia="Times New Roman" w:hAnsi="Gilroy" w:cs="Times New Roman"/>
          <w:lang w:eastAsia="en-GB"/>
        </w:rPr>
        <w:t>-</w:t>
      </w:r>
      <w:r w:rsidRPr="00070D32">
        <w:rPr>
          <w:rFonts w:ascii="Gilroy" w:eastAsia="Times New Roman" w:hAnsi="Gilroy" w:cs="Times New Roman"/>
          <w:lang w:eastAsia="en-GB"/>
        </w:rPr>
        <w:t xml:space="preserve">supported </w:t>
      </w:r>
      <w:r w:rsidR="005864AE">
        <w:rPr>
          <w:rFonts w:ascii="Gilroy" w:eastAsia="Times New Roman" w:hAnsi="Gilroy" w:cs="Times New Roman"/>
          <w:lang w:eastAsia="en-GB"/>
        </w:rPr>
        <w:t xml:space="preserve">ADM </w:t>
      </w:r>
      <w:r w:rsidRPr="00070D32">
        <w:rPr>
          <w:rFonts w:ascii="Gilroy" w:eastAsia="Times New Roman" w:hAnsi="Gilroy" w:cs="Times New Roman"/>
          <w:lang w:eastAsia="en-GB"/>
        </w:rPr>
        <w:t xml:space="preserve">processes to access social welfare are designed and managed in a way that comes at the cost of everyone’s privacy, dignity and autonomy. </w:t>
      </w:r>
    </w:p>
    <w:p w14:paraId="29438840" w14:textId="77777777" w:rsidR="0005693E" w:rsidRDefault="0005693E" w:rsidP="0005693E">
      <w:pPr>
        <w:snapToGrid w:val="0"/>
        <w:spacing w:before="100" w:beforeAutospacing="1" w:after="100" w:afterAutospacing="1"/>
        <w:contextualSpacing/>
        <w:jc w:val="both"/>
        <w:rPr>
          <w:rFonts w:ascii="Gilroy" w:eastAsia="Times New Roman" w:hAnsi="Gilroy" w:cs="Times New Roman"/>
          <w:lang w:eastAsia="en-GB"/>
        </w:rPr>
      </w:pPr>
    </w:p>
    <w:p w14:paraId="1ECED472" w14:textId="51264E1D" w:rsidR="0005693E" w:rsidRDefault="0005693E" w:rsidP="0005693E">
      <w:pPr>
        <w:snapToGrid w:val="0"/>
        <w:spacing w:before="100" w:beforeAutospacing="1" w:after="100" w:afterAutospacing="1"/>
        <w:contextualSpacing/>
        <w:jc w:val="both"/>
        <w:rPr>
          <w:rFonts w:ascii="Gilroy" w:eastAsia="Times New Roman" w:hAnsi="Gilroy" w:cs="Times New Roman"/>
          <w:lang w:eastAsia="en-GB"/>
        </w:rPr>
      </w:pPr>
      <w:r w:rsidRPr="00070D32">
        <w:rPr>
          <w:rFonts w:ascii="Gilroy" w:eastAsia="Times New Roman" w:hAnsi="Gilroy" w:cs="Times New Roman"/>
          <w:lang w:eastAsia="en-GB"/>
        </w:rPr>
        <w:t xml:space="preserve">From the stage of eligibility and registration to access benefits, recipients need to turn over vast amounts of personal (and often sensitive) data – </w:t>
      </w:r>
      <w:r w:rsidR="00246BBF">
        <w:rPr>
          <w:rFonts w:ascii="Gilroy" w:eastAsia="Times New Roman" w:hAnsi="Gilroy" w:cs="Times New Roman"/>
          <w:lang w:eastAsia="en-GB"/>
        </w:rPr>
        <w:t xml:space="preserve">including </w:t>
      </w:r>
      <w:r w:rsidRPr="00070D32">
        <w:rPr>
          <w:rFonts w:ascii="Gilroy" w:eastAsia="Times New Roman" w:hAnsi="Gilroy" w:cs="Times New Roman"/>
          <w:lang w:eastAsia="en-GB"/>
        </w:rPr>
        <w:t xml:space="preserve">about their employment, health conditions, </w:t>
      </w:r>
      <w:r w:rsidR="00246BBF">
        <w:rPr>
          <w:rFonts w:ascii="Gilroy" w:eastAsia="Times New Roman" w:hAnsi="Gilroy" w:cs="Times New Roman"/>
          <w:lang w:eastAsia="en-GB"/>
        </w:rPr>
        <w:t>and</w:t>
      </w:r>
      <w:r w:rsidR="00246BBF" w:rsidRPr="00070D32">
        <w:rPr>
          <w:rFonts w:ascii="Gilroy" w:eastAsia="Times New Roman" w:hAnsi="Gilroy" w:cs="Times New Roman"/>
          <w:lang w:eastAsia="en-GB"/>
        </w:rPr>
        <w:t xml:space="preserve"> </w:t>
      </w:r>
      <w:r w:rsidRPr="00070D32">
        <w:rPr>
          <w:rFonts w:ascii="Gilroy" w:eastAsia="Times New Roman" w:hAnsi="Gilroy" w:cs="Times New Roman"/>
          <w:lang w:eastAsia="en-GB"/>
        </w:rPr>
        <w:t>relationship status – which is processed by AI applications to make (or support the making of) decisions related to access to social welfare benefits.</w:t>
      </w:r>
      <w:r w:rsidRPr="00070D32">
        <w:rPr>
          <w:rStyle w:val="FootnoteReference"/>
          <w:rFonts w:ascii="Gilroy" w:eastAsia="Times New Roman" w:hAnsi="Gilroy" w:cs="Times New Roman"/>
          <w:lang w:eastAsia="en-GB"/>
        </w:rPr>
        <w:footnoteReference w:id="25"/>
      </w:r>
      <w:r w:rsidRPr="00070D32">
        <w:rPr>
          <w:rFonts w:ascii="Gilroy" w:eastAsia="Times New Roman" w:hAnsi="Gilroy" w:cs="Times New Roman"/>
          <w:lang w:eastAsia="en-GB"/>
        </w:rPr>
        <w:t xml:space="preserve"> </w:t>
      </w:r>
    </w:p>
    <w:p w14:paraId="7FB8E10B" w14:textId="77777777" w:rsidR="0005693E" w:rsidRDefault="0005693E" w:rsidP="0005693E">
      <w:pPr>
        <w:snapToGrid w:val="0"/>
        <w:spacing w:before="100" w:beforeAutospacing="1" w:after="100" w:afterAutospacing="1"/>
        <w:contextualSpacing/>
        <w:jc w:val="both"/>
        <w:rPr>
          <w:rFonts w:ascii="Gilroy" w:eastAsia="Times New Roman" w:hAnsi="Gilroy" w:cs="Times New Roman"/>
          <w:lang w:eastAsia="en-GB"/>
        </w:rPr>
      </w:pPr>
    </w:p>
    <w:p w14:paraId="729E55B5" w14:textId="77777777" w:rsidR="0005693E" w:rsidRPr="00070D32" w:rsidRDefault="0005693E" w:rsidP="0005693E">
      <w:pPr>
        <w:snapToGrid w:val="0"/>
        <w:spacing w:before="100" w:beforeAutospacing="1" w:after="100" w:afterAutospacing="1"/>
        <w:contextualSpacing/>
        <w:jc w:val="both"/>
        <w:rPr>
          <w:rFonts w:ascii="Gilroy" w:eastAsia="Times New Roman" w:hAnsi="Gilroy" w:cs="Times New Roman"/>
          <w:lang w:eastAsia="en-GB"/>
        </w:rPr>
      </w:pPr>
      <w:r w:rsidRPr="00070D32">
        <w:rPr>
          <w:rFonts w:ascii="Gilroy" w:eastAsia="Times New Roman" w:hAnsi="Gilroy" w:cs="Times New Roman"/>
          <w:lang w:eastAsia="en-GB"/>
        </w:rPr>
        <w:t>Concerns about the negative impact of the use of AI applications in the welfare context have already been expressed by UN human rights experts</w:t>
      </w:r>
      <w:r w:rsidRPr="00070D32">
        <w:rPr>
          <w:rStyle w:val="FootnoteReference"/>
          <w:rFonts w:ascii="Gilroy" w:eastAsia="Times New Roman" w:hAnsi="Gilroy" w:cs="Times New Roman"/>
          <w:lang w:eastAsia="en-GB"/>
        </w:rPr>
        <w:footnoteReference w:id="26"/>
      </w:r>
      <w:r w:rsidRPr="00070D32">
        <w:rPr>
          <w:rFonts w:ascii="Gilroy" w:eastAsia="Times New Roman" w:hAnsi="Gilroy" w:cs="Times New Roman"/>
          <w:lang w:eastAsia="en-GB"/>
        </w:rPr>
        <w:t xml:space="preserve"> and national courts are beginning to rule against these systems on the grounds that they fail to comply with human rights law.</w:t>
      </w:r>
      <w:r w:rsidRPr="00070D32">
        <w:rPr>
          <w:rStyle w:val="FootnoteReference"/>
          <w:rFonts w:ascii="Gilroy" w:eastAsia="Times New Roman" w:hAnsi="Gilroy" w:cs="Times New Roman"/>
          <w:lang w:eastAsia="en-GB"/>
        </w:rPr>
        <w:footnoteReference w:id="27"/>
      </w:r>
      <w:r w:rsidRPr="00070D32">
        <w:rPr>
          <w:rFonts w:ascii="Gilroy" w:eastAsia="Times New Roman" w:hAnsi="Gilroy" w:cs="Times New Roman"/>
          <w:lang w:eastAsia="en-GB"/>
        </w:rPr>
        <w:t xml:space="preserve"> Some of these concerns include but are not limited to:</w:t>
      </w:r>
    </w:p>
    <w:p w14:paraId="3F4B048E" w14:textId="551DAF2E" w:rsidR="0005693E" w:rsidRPr="00070D32" w:rsidRDefault="0005693E" w:rsidP="0005693E">
      <w:pPr>
        <w:pStyle w:val="ListParagraph"/>
        <w:numPr>
          <w:ilvl w:val="0"/>
          <w:numId w:val="16"/>
        </w:numPr>
        <w:snapToGrid w:val="0"/>
        <w:spacing w:before="100" w:beforeAutospacing="1" w:after="100" w:afterAutospacing="1"/>
        <w:jc w:val="both"/>
        <w:rPr>
          <w:rFonts w:ascii="Gilroy" w:eastAsia="Times New Roman" w:hAnsi="Gilroy" w:cs="Times New Roman"/>
          <w:lang w:eastAsia="en-GB"/>
        </w:rPr>
      </w:pPr>
      <w:r w:rsidRPr="00070D32">
        <w:rPr>
          <w:rFonts w:ascii="Gilroy" w:eastAsia="Times New Roman" w:hAnsi="Gilroy" w:cs="Times New Roman"/>
          <w:b/>
          <w:bCs/>
          <w:lang w:eastAsia="en-GB"/>
        </w:rPr>
        <w:t xml:space="preserve">Discrimination: </w:t>
      </w:r>
      <w:r w:rsidRPr="00070D32">
        <w:rPr>
          <w:rFonts w:ascii="Gilroy" w:eastAsia="Times New Roman" w:hAnsi="Gilroy" w:cs="Times New Roman"/>
          <w:lang w:eastAsia="en-GB"/>
        </w:rPr>
        <w:t>There have been various examples of discrimination</w:t>
      </w:r>
      <w:r w:rsidRPr="00070D32">
        <w:rPr>
          <w:rFonts w:ascii="Gilroy" w:eastAsia="Times New Roman" w:hAnsi="Gilroy" w:cs="Times New Roman"/>
          <w:b/>
          <w:bCs/>
          <w:lang w:eastAsia="en-GB"/>
        </w:rPr>
        <w:t xml:space="preserve"> </w:t>
      </w:r>
      <w:r w:rsidRPr="00070D32">
        <w:rPr>
          <w:rFonts w:ascii="Gilroy" w:eastAsia="Times New Roman" w:hAnsi="Gilroy" w:cs="Times New Roman"/>
          <w:lang w:eastAsia="en-GB"/>
        </w:rPr>
        <w:t xml:space="preserve">based on nationality and racial </w:t>
      </w:r>
      <w:r w:rsidR="00586E3A" w:rsidRPr="00070D32">
        <w:rPr>
          <w:rFonts w:ascii="Gilroy" w:eastAsia="Times New Roman" w:hAnsi="Gilroy" w:cs="Times New Roman"/>
          <w:lang w:eastAsia="en-GB"/>
        </w:rPr>
        <w:t>profiling,</w:t>
      </w:r>
      <w:r w:rsidR="00246BBF">
        <w:rPr>
          <w:rFonts w:ascii="Gilroy" w:eastAsia="Times New Roman" w:hAnsi="Gilroy" w:cs="Times New Roman"/>
          <w:lang w:eastAsia="en-GB"/>
        </w:rPr>
        <w:t xml:space="preserve"> including in the </w:t>
      </w:r>
      <w:r w:rsidRPr="00070D32">
        <w:rPr>
          <w:rFonts w:ascii="Gilroy" w:eastAsia="Times New Roman" w:hAnsi="Gilroy" w:cs="Times New Roman"/>
          <w:lang w:eastAsia="en-GB"/>
        </w:rPr>
        <w:t>AD</w:t>
      </w:r>
      <w:r w:rsidR="005864AE">
        <w:rPr>
          <w:rFonts w:ascii="Gilroy" w:eastAsia="Times New Roman" w:hAnsi="Gilroy" w:cs="Times New Roman"/>
          <w:lang w:eastAsia="en-GB"/>
        </w:rPr>
        <w:t>M</w:t>
      </w:r>
      <w:r w:rsidRPr="00070D32">
        <w:rPr>
          <w:rFonts w:ascii="Gilroy" w:eastAsia="Times New Roman" w:hAnsi="Gilroy" w:cs="Times New Roman"/>
          <w:lang w:eastAsia="en-GB"/>
        </w:rPr>
        <w:t xml:space="preserve"> fraud-detection system adopted by Dutch tax authorities</w:t>
      </w:r>
      <w:r w:rsidRPr="00070D32">
        <w:rPr>
          <w:rFonts w:ascii="Gilroy" w:hAnsi="Gilroy"/>
          <w:vertAlign w:val="superscript"/>
          <w:lang w:eastAsia="en-GB"/>
        </w:rPr>
        <w:footnoteReference w:id="28"/>
      </w:r>
      <w:r w:rsidR="00246BBF">
        <w:rPr>
          <w:rFonts w:ascii="Gilroy" w:eastAsia="Times New Roman" w:hAnsi="Gilroy" w:cs="Times New Roman"/>
          <w:lang w:eastAsia="en-GB"/>
        </w:rPr>
        <w:t xml:space="preserve"> </w:t>
      </w:r>
      <w:proofErr w:type="gramStart"/>
      <w:r w:rsidR="00246BBF">
        <w:rPr>
          <w:rFonts w:ascii="Gilroy" w:eastAsia="Times New Roman" w:hAnsi="Gilroy" w:cs="Times New Roman"/>
          <w:lang w:eastAsia="en-GB"/>
        </w:rPr>
        <w:t xml:space="preserve">and </w:t>
      </w:r>
      <w:r w:rsidRPr="00070D32">
        <w:rPr>
          <w:rFonts w:ascii="Gilroy" w:eastAsia="Times New Roman" w:hAnsi="Gilroy" w:cs="Times New Roman"/>
          <w:lang w:eastAsia="en-GB"/>
        </w:rPr>
        <w:t xml:space="preserve"> the</w:t>
      </w:r>
      <w:proofErr w:type="gramEnd"/>
      <w:r w:rsidRPr="00070D32">
        <w:rPr>
          <w:rFonts w:ascii="Gilroy" w:eastAsia="Times New Roman" w:hAnsi="Gilroy" w:cs="Times New Roman"/>
          <w:lang w:eastAsia="en-GB"/>
        </w:rPr>
        <w:t xml:space="preserve"> workings of the City of Rotterdam’s welfare fraud algorithm</w:t>
      </w:r>
      <w:r w:rsidR="00246BBF">
        <w:rPr>
          <w:rFonts w:ascii="Gilroy" w:eastAsia="Times New Roman" w:hAnsi="Gilroy" w:cs="Times New Roman"/>
          <w:lang w:eastAsia="en-GB"/>
        </w:rPr>
        <w:t>.</w:t>
      </w:r>
      <w:r w:rsidRPr="00070D32">
        <w:rPr>
          <w:rFonts w:ascii="Gilroy" w:eastAsia="Times New Roman" w:hAnsi="Gilroy" w:cs="Times New Roman"/>
          <w:vertAlign w:val="superscript"/>
          <w:lang w:eastAsia="en-GB"/>
        </w:rPr>
        <w:footnoteReference w:id="29"/>
      </w:r>
      <w:r w:rsidRPr="00070D32">
        <w:rPr>
          <w:rFonts w:ascii="Gilroy" w:eastAsia="Times New Roman" w:hAnsi="Gilroy" w:cs="Times New Roman"/>
          <w:lang w:eastAsia="en-GB"/>
        </w:rPr>
        <w:t xml:space="preserve"> These example</w:t>
      </w:r>
      <w:r w:rsidR="005864AE">
        <w:rPr>
          <w:rFonts w:ascii="Gilroy" w:eastAsia="Times New Roman" w:hAnsi="Gilroy" w:cs="Times New Roman"/>
          <w:lang w:eastAsia="en-GB"/>
        </w:rPr>
        <w:t>s</w:t>
      </w:r>
      <w:r w:rsidRPr="00070D32">
        <w:rPr>
          <w:rFonts w:ascii="Gilroy" w:eastAsia="Times New Roman" w:hAnsi="Gilroy" w:cs="Times New Roman"/>
          <w:lang w:eastAsia="en-GB"/>
        </w:rPr>
        <w:t xml:space="preserve"> provide evidence that the use of protected characteristics and sensitive personal data about </w:t>
      </w:r>
      <w:r w:rsidRPr="00070D32">
        <w:rPr>
          <w:rFonts w:ascii="Gilroy" w:eastAsia="Times New Roman" w:hAnsi="Gilroy" w:cs="Times New Roman"/>
          <w:lang w:eastAsia="en-GB"/>
        </w:rPr>
        <w:lastRenderedPageBreak/>
        <w:t>a person by an algorithm can lead to conclusions that are biased and discriminatory.</w:t>
      </w:r>
    </w:p>
    <w:p w14:paraId="3BFA828B" w14:textId="46793BE7" w:rsidR="0005693E" w:rsidRPr="00FD7577" w:rsidRDefault="0005693E" w:rsidP="0005693E">
      <w:pPr>
        <w:pStyle w:val="ListParagraph"/>
        <w:numPr>
          <w:ilvl w:val="0"/>
          <w:numId w:val="16"/>
        </w:numPr>
        <w:snapToGrid w:val="0"/>
        <w:spacing w:before="100" w:beforeAutospacing="1" w:after="100" w:afterAutospacing="1"/>
        <w:jc w:val="both"/>
        <w:rPr>
          <w:rFonts w:ascii="Gilroy" w:eastAsia="Times New Roman" w:hAnsi="Gilroy" w:cs="Times New Roman"/>
          <w:lang w:eastAsia="en-GB"/>
        </w:rPr>
      </w:pPr>
      <w:r w:rsidRPr="00FD7577">
        <w:rPr>
          <w:rFonts w:ascii="Gilroy" w:eastAsia="Times New Roman" w:hAnsi="Gilroy" w:cs="Times New Roman"/>
          <w:b/>
          <w:bCs/>
          <w:lang w:eastAsia="en-GB"/>
        </w:rPr>
        <w:t>Lack of transparency:</w:t>
      </w:r>
      <w:r w:rsidRPr="00070D32">
        <w:rPr>
          <w:rFonts w:ascii="Gilroy" w:eastAsia="Times New Roman" w:hAnsi="Gilroy" w:cs="Times New Roman"/>
          <w:lang w:eastAsia="en-GB"/>
        </w:rPr>
        <w:t xml:space="preserve"> As noted above, the opacity of ADM systems is of concern and in a </w:t>
      </w:r>
      <w:r w:rsidR="00246BBF" w:rsidRPr="00070D32">
        <w:rPr>
          <w:rFonts w:ascii="Gilroy" w:eastAsia="Times New Roman" w:hAnsi="Gilroy" w:cs="Times New Roman"/>
          <w:lang w:eastAsia="en-GB"/>
        </w:rPr>
        <w:t xml:space="preserve">welfare </w:t>
      </w:r>
      <w:r w:rsidRPr="00070D32">
        <w:rPr>
          <w:rFonts w:ascii="Gilroy" w:eastAsia="Times New Roman" w:hAnsi="Gilroy" w:cs="Times New Roman"/>
          <w:lang w:eastAsia="en-GB"/>
        </w:rPr>
        <w:t xml:space="preserve">context </w:t>
      </w:r>
      <w:r w:rsidR="00246BBF">
        <w:rPr>
          <w:rFonts w:ascii="Gilroy" w:eastAsia="Times New Roman" w:hAnsi="Gilroy" w:cs="Times New Roman"/>
          <w:lang w:eastAsia="en-GB"/>
        </w:rPr>
        <w:t>it</w:t>
      </w:r>
      <w:r w:rsidR="00246BBF" w:rsidRPr="00070D32">
        <w:rPr>
          <w:rFonts w:ascii="Gilroy" w:eastAsia="Times New Roman" w:hAnsi="Gilroy" w:cs="Times New Roman"/>
          <w:lang w:eastAsia="en-GB"/>
        </w:rPr>
        <w:t xml:space="preserve"> </w:t>
      </w:r>
      <w:r w:rsidRPr="00070D32">
        <w:rPr>
          <w:rFonts w:ascii="Gilroy" w:eastAsia="Times New Roman" w:hAnsi="Gilroy" w:cs="Times New Roman"/>
          <w:lang w:eastAsia="en-GB"/>
        </w:rPr>
        <w:t xml:space="preserve">means that it is impossible to </w:t>
      </w:r>
      <w:r w:rsidR="00246BBF">
        <w:rPr>
          <w:rFonts w:ascii="Gilroy" w:eastAsia="Times New Roman" w:hAnsi="Gilroy" w:cs="Times New Roman"/>
          <w:lang w:eastAsia="en-GB"/>
        </w:rPr>
        <w:t>ascertain</w:t>
      </w:r>
      <w:r w:rsidR="00246BBF" w:rsidRPr="00070D32">
        <w:rPr>
          <w:rFonts w:ascii="Gilroy" w:eastAsia="Times New Roman" w:hAnsi="Gilroy" w:cs="Times New Roman"/>
          <w:lang w:eastAsia="en-GB"/>
        </w:rPr>
        <w:t xml:space="preserve"> </w:t>
      </w:r>
      <w:r w:rsidRPr="00070D32">
        <w:rPr>
          <w:rFonts w:ascii="Gilroy" w:eastAsia="Times New Roman" w:hAnsi="Gilroy" w:cs="Times New Roman"/>
          <w:lang w:eastAsia="en-GB"/>
        </w:rPr>
        <w:t>how individuals’ eligibility or lack of eligibility is being decided. This is what we saw play out with the roll</w:t>
      </w:r>
      <w:r w:rsidR="00246BBF">
        <w:rPr>
          <w:rFonts w:ascii="Gilroy" w:eastAsia="Times New Roman" w:hAnsi="Gilroy" w:cs="Times New Roman"/>
          <w:lang w:eastAsia="en-GB"/>
        </w:rPr>
        <w:t>-out</w:t>
      </w:r>
      <w:r w:rsidRPr="00070D32">
        <w:rPr>
          <w:rFonts w:ascii="Gilroy" w:eastAsia="Times New Roman" w:hAnsi="Gilroy" w:cs="Times New Roman"/>
          <w:lang w:eastAsia="en-GB"/>
        </w:rPr>
        <w:t xml:space="preserve"> of Colombia’s Solidarity Income (“</w:t>
      </w:r>
      <w:proofErr w:type="spellStart"/>
      <w:r w:rsidRPr="00070D32">
        <w:rPr>
          <w:rFonts w:ascii="Gilroy" w:eastAsia="Times New Roman" w:hAnsi="Gilroy" w:cs="Times New Roman"/>
          <w:lang w:eastAsia="en-GB"/>
        </w:rPr>
        <w:t>Ingreso</w:t>
      </w:r>
      <w:proofErr w:type="spellEnd"/>
      <w:r w:rsidRPr="00070D32">
        <w:rPr>
          <w:rFonts w:ascii="Gilroy" w:eastAsia="Times New Roman" w:hAnsi="Gilroy" w:cs="Times New Roman"/>
          <w:lang w:eastAsia="en-GB"/>
        </w:rPr>
        <w:t xml:space="preserve"> </w:t>
      </w:r>
      <w:proofErr w:type="spellStart"/>
      <w:r w:rsidRPr="00070D32">
        <w:rPr>
          <w:rFonts w:ascii="Gilroy" w:eastAsia="Times New Roman" w:hAnsi="Gilroy" w:cs="Times New Roman"/>
          <w:lang w:eastAsia="en-GB"/>
        </w:rPr>
        <w:t>Solidario</w:t>
      </w:r>
      <w:proofErr w:type="spellEnd"/>
      <w:r w:rsidRPr="00070D32">
        <w:rPr>
          <w:rFonts w:ascii="Gilroy" w:eastAsia="Times New Roman" w:hAnsi="Gilroy" w:cs="Times New Roman"/>
          <w:lang w:eastAsia="en-GB"/>
        </w:rPr>
        <w:t>”) during the Covid-19 pandemic</w:t>
      </w:r>
      <w:r w:rsidR="00246BBF">
        <w:rPr>
          <w:rFonts w:ascii="Gilroy" w:eastAsia="Times New Roman" w:hAnsi="Gilroy" w:cs="Times New Roman"/>
          <w:lang w:eastAsia="en-GB"/>
        </w:rPr>
        <w:t>, where selected beneficiaries were notified of their entitlement by way of SMS messages based on prior information held by the Colombian government and in the absence of publicly available eligibility criteria or guidelines</w:t>
      </w:r>
      <w:r w:rsidRPr="00070D32">
        <w:rPr>
          <w:rFonts w:ascii="Gilroy" w:eastAsia="Times New Roman" w:hAnsi="Gilroy" w:cs="Times New Roman"/>
          <w:lang w:eastAsia="en-GB"/>
        </w:rPr>
        <w:t>.</w:t>
      </w:r>
      <w:r w:rsidR="00246BBF">
        <w:rPr>
          <w:rStyle w:val="FootnoteReference"/>
          <w:rFonts w:ascii="Gilroy" w:eastAsia="Times New Roman" w:hAnsi="Gilroy" w:cs="Times New Roman"/>
          <w:lang w:eastAsia="en-GB"/>
        </w:rPr>
        <w:footnoteReference w:id="30"/>
      </w:r>
      <w:r w:rsidRPr="00070D32">
        <w:rPr>
          <w:rFonts w:ascii="Gilroy" w:eastAsia="Times New Roman" w:hAnsi="Gilroy" w:cs="Times New Roman"/>
          <w:lang w:eastAsia="en-GB"/>
        </w:rPr>
        <w:t xml:space="preserve"> Similarly Nigeria’s COVID-19 Cash Transfer Project</w:t>
      </w:r>
      <w:r w:rsidRPr="00070D32">
        <w:rPr>
          <w:rFonts w:ascii="Gilroy" w:eastAsia="Times New Roman" w:hAnsi="Gilroy" w:cs="Times New Roman"/>
          <w:vertAlign w:val="superscript"/>
          <w:lang w:eastAsia="en-GB"/>
        </w:rPr>
        <w:footnoteReference w:id="31"/>
      </w:r>
      <w:r w:rsidRPr="00070D32">
        <w:rPr>
          <w:rFonts w:ascii="Gilroy" w:eastAsia="Times New Roman" w:hAnsi="Gilroy" w:cs="Times New Roman"/>
          <w:lang w:eastAsia="en-GB"/>
        </w:rPr>
        <w:t xml:space="preserve"> and Angola’s KWENDA Covid-19 digital social protection programmes</w:t>
      </w:r>
      <w:r w:rsidRPr="00070D32">
        <w:rPr>
          <w:rStyle w:val="FootnoteReference"/>
          <w:rFonts w:ascii="Gilroy" w:eastAsia="Times New Roman" w:hAnsi="Gilroy" w:cs="Times New Roman"/>
          <w:lang w:eastAsia="en-GB"/>
        </w:rPr>
        <w:footnoteReference w:id="32"/>
      </w:r>
      <w:r w:rsidRPr="00070D32">
        <w:rPr>
          <w:rFonts w:ascii="Gilroy" w:eastAsia="Times New Roman" w:hAnsi="Gilroy" w:cs="Times New Roman"/>
          <w:lang w:eastAsia="en-GB"/>
        </w:rPr>
        <w:t xml:space="preserve"> were not made public. </w:t>
      </w:r>
    </w:p>
    <w:p w14:paraId="146EE8DD" w14:textId="7454EADB" w:rsidR="0005693E" w:rsidRPr="00007E67" w:rsidRDefault="0005693E" w:rsidP="0005693E">
      <w:pPr>
        <w:snapToGrid w:val="0"/>
        <w:spacing w:before="100" w:beforeAutospacing="1" w:after="100" w:afterAutospacing="1"/>
        <w:jc w:val="both"/>
        <w:rPr>
          <w:rFonts w:ascii="Gilroy" w:eastAsia="Times New Roman" w:hAnsi="Gilroy" w:cs="Times New Roman"/>
          <w:b/>
          <w:lang w:eastAsia="en-GB"/>
        </w:rPr>
      </w:pPr>
      <w:r>
        <w:rPr>
          <w:rFonts w:ascii="Gilroy" w:eastAsia="Times New Roman" w:hAnsi="Gilroy" w:cs="Times New Roman"/>
          <w:lang w:eastAsia="en-GB"/>
        </w:rPr>
        <w:t xml:space="preserve">These concerns were addressed in detail in the </w:t>
      </w:r>
      <w:r w:rsidR="00586E3A">
        <w:rPr>
          <w:rFonts w:ascii="Gilroy" w:eastAsia="Times New Roman" w:hAnsi="Gilroy" w:cs="Times New Roman"/>
          <w:lang w:eastAsia="en-GB"/>
        </w:rPr>
        <w:t xml:space="preserve">OHCHR </w:t>
      </w:r>
      <w:r>
        <w:rPr>
          <w:rFonts w:ascii="Gilroy" w:eastAsia="Times New Roman" w:hAnsi="Gilroy" w:cs="Times New Roman"/>
          <w:lang w:eastAsia="en-GB"/>
        </w:rPr>
        <w:t>report</w:t>
      </w:r>
      <w:r w:rsidR="00586E3A">
        <w:rPr>
          <w:rFonts w:ascii="Gilroy" w:eastAsia="Times New Roman" w:hAnsi="Gilroy" w:cs="Times New Roman"/>
          <w:lang w:eastAsia="en-GB"/>
        </w:rPr>
        <w:t xml:space="preserve"> </w:t>
      </w:r>
      <w:r>
        <w:rPr>
          <w:rFonts w:ascii="Gilroy" w:eastAsia="Times New Roman" w:hAnsi="Gilroy" w:cs="Times New Roman"/>
          <w:lang w:eastAsia="en-GB"/>
        </w:rPr>
        <w:t xml:space="preserve">on AI, </w:t>
      </w:r>
      <w:r w:rsidR="005864AE">
        <w:rPr>
          <w:rFonts w:ascii="Gilroy" w:eastAsia="Times New Roman" w:hAnsi="Gilroy" w:cs="Times New Roman"/>
          <w:lang w:eastAsia="en-GB"/>
        </w:rPr>
        <w:t xml:space="preserve">which </w:t>
      </w:r>
      <w:r>
        <w:rPr>
          <w:rFonts w:ascii="Gilroy" w:eastAsia="Times New Roman" w:hAnsi="Gilroy" w:cs="Times New Roman"/>
          <w:lang w:eastAsia="en-GB"/>
        </w:rPr>
        <w:t xml:space="preserve">outlined recommendations for governments and companies to adopt urgently </w:t>
      </w:r>
      <w:r w:rsidR="00246BBF" w:rsidRPr="00007E67">
        <w:rPr>
          <w:rFonts w:ascii="Gilroy" w:eastAsia="Times New Roman" w:hAnsi="Gilroy" w:cs="Times New Roman"/>
          <w:bCs/>
          <w:lang w:eastAsia="en-GB"/>
        </w:rPr>
        <w:t xml:space="preserve">underscoring </w:t>
      </w:r>
      <w:r>
        <w:rPr>
          <w:rFonts w:ascii="Gilroy" w:eastAsia="Times New Roman" w:hAnsi="Gilroy" w:cs="Times New Roman"/>
          <w:lang w:eastAsia="en-GB"/>
        </w:rPr>
        <w:t>“</w:t>
      </w:r>
      <w:r w:rsidRPr="002958AC">
        <w:rPr>
          <w:rFonts w:ascii="Gilroy" w:eastAsia="Times New Roman" w:hAnsi="Gilroy" w:cs="Times New Roman"/>
          <w:bCs/>
          <w:i/>
          <w:iCs/>
          <w:lang w:eastAsia="en-GB"/>
        </w:rPr>
        <w:t>that only a comprehensive human rights-based approach can ensure sustainable solutions to the benefit of all</w:t>
      </w:r>
      <w:r>
        <w:rPr>
          <w:rFonts w:ascii="Gilroy" w:eastAsia="Times New Roman" w:hAnsi="Gilroy" w:cs="Times New Roman"/>
          <w:bCs/>
          <w:lang w:eastAsia="en-GB"/>
        </w:rPr>
        <w:t>”</w:t>
      </w:r>
      <w:r w:rsidRPr="00007E67">
        <w:rPr>
          <w:rFonts w:ascii="Gilroy" w:eastAsia="Times New Roman" w:hAnsi="Gilroy" w:cs="Times New Roman"/>
          <w:bCs/>
          <w:lang w:eastAsia="en-GB"/>
        </w:rPr>
        <w:t>.</w:t>
      </w:r>
      <w:r>
        <w:rPr>
          <w:rStyle w:val="FootnoteReference"/>
          <w:rFonts w:ascii="Gilroy" w:eastAsia="Times New Roman" w:hAnsi="Gilroy" w:cs="Times New Roman"/>
          <w:lang w:eastAsia="en-GB"/>
        </w:rPr>
        <w:footnoteReference w:id="33"/>
      </w:r>
      <w:r>
        <w:rPr>
          <w:rFonts w:ascii="Gilroy" w:eastAsia="Times New Roman" w:hAnsi="Gilroy" w:cs="Times New Roman"/>
          <w:bCs/>
          <w:lang w:eastAsia="en-GB"/>
        </w:rPr>
        <w:t xml:space="preserve"> The report also highlighted that particular attention should be paid to the </w:t>
      </w:r>
      <w:r w:rsidRPr="008F5ADB">
        <w:rPr>
          <w:rFonts w:ascii="Gilroy" w:eastAsia="Times New Roman" w:hAnsi="Gilroy" w:cs="Times New Roman"/>
          <w:bCs/>
          <w:lang w:eastAsia="en-GB"/>
        </w:rPr>
        <w:t>disproportionate impacts</w:t>
      </w:r>
      <w:r>
        <w:rPr>
          <w:rFonts w:ascii="Gilroy" w:eastAsia="Times New Roman" w:hAnsi="Gilroy" w:cs="Times New Roman"/>
          <w:bCs/>
          <w:lang w:eastAsia="en-GB"/>
        </w:rPr>
        <w:t xml:space="preserve"> of the use of AI on persons with disabilities.</w:t>
      </w:r>
      <w:r>
        <w:rPr>
          <w:rStyle w:val="FootnoteReference"/>
          <w:rFonts w:ascii="Gilroy" w:eastAsia="Times New Roman" w:hAnsi="Gilroy" w:cs="Times New Roman"/>
          <w:bCs/>
          <w:lang w:eastAsia="en-GB"/>
        </w:rPr>
        <w:footnoteReference w:id="34"/>
      </w:r>
    </w:p>
    <w:p w14:paraId="7DE81C01" w14:textId="07F8EB84" w:rsidR="0005693E" w:rsidRPr="00BC073F" w:rsidRDefault="0005693E" w:rsidP="00DE7020">
      <w:pPr>
        <w:pStyle w:val="ListParagraph"/>
        <w:numPr>
          <w:ilvl w:val="0"/>
          <w:numId w:val="31"/>
        </w:numPr>
        <w:snapToGrid w:val="0"/>
        <w:spacing w:beforeAutospacing="1" w:afterAutospacing="1"/>
        <w:jc w:val="both"/>
        <w:rPr>
          <w:rFonts w:ascii="Gilroy" w:eastAsia="Times New Roman" w:hAnsi="Gilroy" w:cs="Times New Roman"/>
          <w:b/>
          <w:bCs/>
          <w:lang w:eastAsia="en-GB"/>
        </w:rPr>
      </w:pPr>
      <w:r w:rsidRPr="00BC073F">
        <w:rPr>
          <w:rFonts w:ascii="Gilroy" w:eastAsia="Times New Roman" w:hAnsi="Gilroy" w:cs="Times New Roman"/>
          <w:b/>
          <w:bCs/>
          <w:lang w:eastAsia="en-GB"/>
        </w:rPr>
        <w:t>Welfare systems’ ADM impact upon persons with disabilities</w:t>
      </w:r>
    </w:p>
    <w:p w14:paraId="4C875BA2" w14:textId="77777777" w:rsidR="0005693E" w:rsidRPr="00070D32" w:rsidRDefault="0005693E" w:rsidP="0005693E">
      <w:pPr>
        <w:snapToGrid w:val="0"/>
        <w:spacing w:beforeAutospacing="1" w:afterAutospacing="1"/>
        <w:contextualSpacing/>
        <w:jc w:val="both"/>
        <w:rPr>
          <w:rFonts w:ascii="Gilroy" w:eastAsia="Times New Roman" w:hAnsi="Gilroy" w:cs="Times New Roman"/>
          <w:b/>
          <w:bCs/>
          <w:lang w:eastAsia="en-GB"/>
        </w:rPr>
      </w:pPr>
    </w:p>
    <w:p w14:paraId="7FD326B2" w14:textId="47C8ED8C" w:rsidR="0005693E" w:rsidRDefault="0005693E" w:rsidP="0005693E">
      <w:pPr>
        <w:snapToGrid w:val="0"/>
        <w:spacing w:before="100" w:beforeAutospacing="1" w:after="100" w:afterAutospacing="1"/>
        <w:contextualSpacing/>
        <w:jc w:val="both"/>
        <w:rPr>
          <w:rFonts w:ascii="Gilroy" w:eastAsia="Times New Roman" w:hAnsi="Gilroy" w:cs="Times New Roman"/>
          <w:lang w:eastAsia="en-GB"/>
        </w:rPr>
      </w:pPr>
      <w:r w:rsidRPr="00070D32">
        <w:rPr>
          <w:rFonts w:ascii="Gilroy" w:eastAsia="Times New Roman" w:hAnsi="Gilroy" w:cs="Times New Roman"/>
          <w:lang w:eastAsia="en-GB"/>
        </w:rPr>
        <w:t>The use of ADM in digital welfare systems poses a unique threat to the rights of persons with disabilities, including</w:t>
      </w:r>
      <w:r w:rsidR="00925647">
        <w:rPr>
          <w:rFonts w:ascii="Gilroy" w:eastAsia="Times New Roman" w:hAnsi="Gilroy" w:cs="Times New Roman"/>
          <w:lang w:eastAsia="en-GB"/>
        </w:rPr>
        <w:t xml:space="preserve"> </w:t>
      </w:r>
      <w:r w:rsidRPr="00070D32">
        <w:rPr>
          <w:rFonts w:ascii="Gilroy" w:eastAsia="Times New Roman" w:hAnsi="Gilroy" w:cs="Times New Roman"/>
          <w:lang w:eastAsia="en-GB"/>
        </w:rPr>
        <w:t>the</w:t>
      </w:r>
      <w:r w:rsidR="00925647">
        <w:rPr>
          <w:rFonts w:ascii="Gilroy" w:eastAsia="Times New Roman" w:hAnsi="Gilroy" w:cs="Times New Roman"/>
          <w:lang w:eastAsia="en-GB"/>
        </w:rPr>
        <w:t>ir</w:t>
      </w:r>
      <w:r w:rsidRPr="00070D32">
        <w:rPr>
          <w:rFonts w:ascii="Gilroy" w:eastAsia="Times New Roman" w:hAnsi="Gilroy" w:cs="Times New Roman"/>
          <w:lang w:eastAsia="en-GB"/>
        </w:rPr>
        <w:t xml:space="preserve"> right to privacy. There is a risk that the use of ADM in such a context fails to comply with core data protection principles including purpose limitation, transparency, accuracy and accountability. Below we </w:t>
      </w:r>
      <w:r w:rsidR="00925647">
        <w:rPr>
          <w:rFonts w:ascii="Gilroy" w:eastAsia="Times New Roman" w:hAnsi="Gilroy" w:cs="Times New Roman"/>
          <w:lang w:eastAsia="en-GB"/>
        </w:rPr>
        <w:t>outline</w:t>
      </w:r>
      <w:r w:rsidR="00925647" w:rsidRPr="00070D32">
        <w:rPr>
          <w:rFonts w:ascii="Gilroy" w:eastAsia="Times New Roman" w:hAnsi="Gilroy" w:cs="Times New Roman"/>
          <w:lang w:eastAsia="en-GB"/>
        </w:rPr>
        <w:t xml:space="preserve"> </w:t>
      </w:r>
      <w:r w:rsidRPr="00070D32">
        <w:rPr>
          <w:rFonts w:ascii="Gilroy" w:eastAsia="Times New Roman" w:hAnsi="Gilroy" w:cs="Times New Roman"/>
          <w:lang w:eastAsia="en-GB"/>
        </w:rPr>
        <w:t xml:space="preserve">some </w:t>
      </w:r>
      <w:r w:rsidR="00925647">
        <w:rPr>
          <w:rFonts w:ascii="Gilroy" w:eastAsia="Times New Roman" w:hAnsi="Gilroy" w:cs="Times New Roman"/>
          <w:lang w:eastAsia="en-GB"/>
        </w:rPr>
        <w:t>examples</w:t>
      </w:r>
      <w:r w:rsidRPr="00070D32">
        <w:rPr>
          <w:rFonts w:ascii="Gilroy" w:eastAsia="Times New Roman" w:hAnsi="Gilroy" w:cs="Times New Roman"/>
          <w:lang w:eastAsia="en-GB"/>
        </w:rPr>
        <w:t>.</w:t>
      </w:r>
    </w:p>
    <w:p w14:paraId="62807A7D" w14:textId="77777777" w:rsidR="0005693E" w:rsidRPr="00FD7577" w:rsidRDefault="0005693E" w:rsidP="0005693E">
      <w:pPr>
        <w:snapToGrid w:val="0"/>
        <w:spacing w:before="100" w:beforeAutospacing="1" w:after="100" w:afterAutospacing="1"/>
        <w:contextualSpacing/>
        <w:jc w:val="both"/>
        <w:rPr>
          <w:rFonts w:ascii="Gilroy" w:eastAsia="Times New Roman" w:hAnsi="Gilroy" w:cs="Times New Roman"/>
          <w:lang w:eastAsia="en-GB"/>
        </w:rPr>
      </w:pPr>
    </w:p>
    <w:p w14:paraId="75E808F7" w14:textId="77777777" w:rsidR="0005693E" w:rsidRPr="00070D32" w:rsidRDefault="0005693E" w:rsidP="0005693E">
      <w:pPr>
        <w:snapToGrid w:val="0"/>
        <w:spacing w:before="100" w:beforeAutospacing="1" w:after="100" w:afterAutospacing="1"/>
        <w:contextualSpacing/>
        <w:jc w:val="both"/>
        <w:rPr>
          <w:rFonts w:ascii="Gilroy" w:eastAsia="Times New Roman" w:hAnsi="Gilroy" w:cs="Times New Roman"/>
          <w:i/>
          <w:iCs/>
          <w:u w:val="single"/>
          <w:lang w:eastAsia="en-GB"/>
        </w:rPr>
      </w:pPr>
      <w:r w:rsidRPr="00070D32">
        <w:rPr>
          <w:rFonts w:ascii="Gilroy" w:eastAsia="Times New Roman" w:hAnsi="Gilroy" w:cs="Times New Roman"/>
          <w:i/>
          <w:iCs/>
          <w:u w:val="single"/>
          <w:lang w:eastAsia="en-GB"/>
        </w:rPr>
        <w:t>The Allegheny Family Screening Tool</w:t>
      </w:r>
    </w:p>
    <w:p w14:paraId="61ACD9B9" w14:textId="77777777" w:rsidR="0005693E" w:rsidRDefault="0005693E" w:rsidP="0005693E">
      <w:pPr>
        <w:snapToGrid w:val="0"/>
        <w:spacing w:before="100" w:beforeAutospacing="1" w:after="100" w:afterAutospacing="1"/>
        <w:contextualSpacing/>
        <w:jc w:val="both"/>
        <w:rPr>
          <w:rFonts w:ascii="Gilroy" w:eastAsia="Times New Roman" w:hAnsi="Gilroy" w:cs="Times New Roman"/>
          <w:lang w:eastAsia="en-GB"/>
        </w:rPr>
      </w:pPr>
    </w:p>
    <w:p w14:paraId="3F2980EC" w14:textId="517C630B" w:rsidR="0005693E" w:rsidRPr="00070D32" w:rsidRDefault="0005693E" w:rsidP="0005693E">
      <w:pPr>
        <w:snapToGrid w:val="0"/>
        <w:spacing w:before="100" w:beforeAutospacing="1" w:after="100" w:afterAutospacing="1"/>
        <w:contextualSpacing/>
        <w:jc w:val="both"/>
        <w:rPr>
          <w:rFonts w:ascii="Gilroy" w:eastAsia="Times New Roman" w:hAnsi="Gilroy" w:cs="Times New Roman"/>
          <w:lang w:eastAsia="en-GB"/>
        </w:rPr>
      </w:pPr>
      <w:r w:rsidRPr="00070D32">
        <w:rPr>
          <w:rFonts w:ascii="Gilroy" w:eastAsia="Times New Roman" w:hAnsi="Gilroy" w:cs="Times New Roman"/>
          <w:lang w:eastAsia="en-GB"/>
        </w:rPr>
        <w:t>One case in point which illustrates the dangers that ADM use in welfare systems can pose to the rights of persons with disabilities specifically</w:t>
      </w:r>
      <w:r w:rsidR="00586E3A">
        <w:rPr>
          <w:rFonts w:ascii="Gilroy" w:eastAsia="Times New Roman" w:hAnsi="Gilroy" w:cs="Times New Roman"/>
          <w:lang w:eastAsia="en-GB"/>
        </w:rPr>
        <w:t>,</w:t>
      </w:r>
      <w:r w:rsidRPr="00070D32">
        <w:rPr>
          <w:rFonts w:ascii="Gilroy" w:eastAsia="Times New Roman" w:hAnsi="Gilroy" w:cs="Times New Roman"/>
          <w:lang w:eastAsia="en-GB"/>
        </w:rPr>
        <w:t xml:space="preserve"> took place in Allegheny County, Pittsburgh, USA. In March 2023, </w:t>
      </w:r>
      <w:r w:rsidR="00246BBF">
        <w:rPr>
          <w:rFonts w:ascii="Gilroy" w:eastAsia="Times New Roman" w:hAnsi="Gilroy" w:cs="Times New Roman"/>
          <w:lang w:eastAsia="en-GB"/>
        </w:rPr>
        <w:t>it was reported than</w:t>
      </w:r>
      <w:r w:rsidRPr="00070D32">
        <w:rPr>
          <w:rFonts w:ascii="Gilroy" w:eastAsia="Times New Roman" w:hAnsi="Gilroy" w:cs="Times New Roman"/>
          <w:lang w:eastAsia="en-GB"/>
        </w:rPr>
        <w:t xml:space="preserve"> opaque ADM-driven child welfare services tool, "the Allegheny Family Screening Tool"</w:t>
      </w:r>
      <w:r w:rsidR="00586E3A">
        <w:rPr>
          <w:rFonts w:ascii="Gilroy" w:eastAsia="Times New Roman" w:hAnsi="Gilroy" w:cs="Times New Roman"/>
          <w:lang w:eastAsia="en-GB"/>
        </w:rPr>
        <w:t>,</w:t>
      </w:r>
      <w:r w:rsidRPr="00070D32">
        <w:rPr>
          <w:rFonts w:ascii="Gilroy" w:eastAsia="Times New Roman" w:hAnsi="Gilroy" w:cs="Times New Roman"/>
          <w:lang w:eastAsia="en-GB"/>
        </w:rPr>
        <w:t xml:space="preserve"> used by the Allegheny County Department of Human Services to predict risk</w:t>
      </w:r>
      <w:r w:rsidR="00246BBF">
        <w:rPr>
          <w:rFonts w:ascii="Gilroy" w:eastAsia="Times New Roman" w:hAnsi="Gilroy" w:cs="Times New Roman"/>
          <w:lang w:eastAsia="en-GB"/>
        </w:rPr>
        <w:t>s</w:t>
      </w:r>
      <w:r w:rsidRPr="00070D32">
        <w:rPr>
          <w:rFonts w:ascii="Gilroy" w:eastAsia="Times New Roman" w:hAnsi="Gilroy" w:cs="Times New Roman"/>
          <w:lang w:eastAsia="en-GB"/>
        </w:rPr>
        <w:t xml:space="preserve"> of harm</w:t>
      </w:r>
      <w:r w:rsidR="00246BBF">
        <w:rPr>
          <w:rFonts w:ascii="Gilroy" w:eastAsia="Times New Roman" w:hAnsi="Gilroy" w:cs="Times New Roman"/>
          <w:lang w:eastAsia="en-GB"/>
        </w:rPr>
        <w:t xml:space="preserve"> to children</w:t>
      </w:r>
      <w:r w:rsidRPr="00070D32">
        <w:rPr>
          <w:rFonts w:ascii="Gilroy" w:eastAsia="Times New Roman" w:hAnsi="Gilroy" w:cs="Times New Roman"/>
          <w:lang w:eastAsia="en-GB"/>
        </w:rPr>
        <w:t>, discriminated against persons with disabilities, leading in one case to child services taking two disabled parents' baby daughter into foster care as they were flagged as a risk to their child.</w:t>
      </w:r>
      <w:r w:rsidRPr="00070D32">
        <w:rPr>
          <w:rStyle w:val="FootnoteReference"/>
          <w:rFonts w:ascii="Gilroy" w:eastAsia="Times New Roman" w:hAnsi="Gilroy" w:cs="Times New Roman"/>
          <w:lang w:eastAsia="en-GB"/>
        </w:rPr>
        <w:footnoteReference w:id="35"/>
      </w:r>
    </w:p>
    <w:p w14:paraId="3643BB19" w14:textId="77777777" w:rsidR="0005693E" w:rsidRDefault="0005693E" w:rsidP="0005693E">
      <w:pPr>
        <w:snapToGrid w:val="0"/>
        <w:spacing w:before="100" w:beforeAutospacing="1" w:after="100" w:afterAutospacing="1"/>
        <w:contextualSpacing/>
        <w:jc w:val="both"/>
        <w:rPr>
          <w:rFonts w:ascii="Gilroy" w:eastAsia="Times New Roman" w:hAnsi="Gilroy" w:cs="Times New Roman"/>
          <w:lang w:eastAsia="en-GB"/>
        </w:rPr>
      </w:pPr>
    </w:p>
    <w:p w14:paraId="5F6D6DFF" w14:textId="6A3B6D2C" w:rsidR="0005693E" w:rsidRPr="00070D32" w:rsidRDefault="0005693E" w:rsidP="0005693E">
      <w:pPr>
        <w:snapToGrid w:val="0"/>
        <w:spacing w:before="100" w:beforeAutospacing="1" w:after="100" w:afterAutospacing="1"/>
        <w:contextualSpacing/>
        <w:jc w:val="both"/>
        <w:rPr>
          <w:rFonts w:ascii="Gilroy" w:eastAsia="Times New Roman" w:hAnsi="Gilroy" w:cs="Times New Roman"/>
          <w:lang w:eastAsia="en-GB"/>
        </w:rPr>
      </w:pPr>
      <w:r w:rsidRPr="00070D32">
        <w:rPr>
          <w:rFonts w:ascii="Gilroy" w:eastAsia="Times New Roman" w:hAnsi="Gilroy" w:cs="Times New Roman"/>
          <w:lang w:eastAsia="en-GB"/>
        </w:rPr>
        <w:t>The algorithmic ADM tool "</w:t>
      </w:r>
      <w:r w:rsidRPr="00BC073F">
        <w:rPr>
          <w:rFonts w:ascii="Gilroy" w:eastAsia="Times New Roman" w:hAnsi="Gilroy" w:cs="Times New Roman"/>
          <w:i/>
          <w:iCs/>
          <w:lang w:eastAsia="en-GB"/>
        </w:rPr>
        <w:t>tracked whether parents were ever on public benefits</w:t>
      </w:r>
      <w:r w:rsidRPr="00070D32">
        <w:rPr>
          <w:rFonts w:ascii="Gilroy" w:eastAsia="Times New Roman" w:hAnsi="Gilroy" w:cs="Times New Roman"/>
          <w:lang w:eastAsia="en-GB"/>
        </w:rPr>
        <w:t xml:space="preserve">", which it </w:t>
      </w:r>
      <w:r w:rsidR="00246BBF">
        <w:rPr>
          <w:rFonts w:ascii="Gilroy" w:eastAsia="Times New Roman" w:hAnsi="Gilroy" w:cs="Times New Roman"/>
          <w:lang w:eastAsia="en-GB"/>
        </w:rPr>
        <w:t>used as proxy data to ascertain whether</w:t>
      </w:r>
      <w:r w:rsidRPr="00070D32">
        <w:rPr>
          <w:rFonts w:ascii="Gilroy" w:eastAsia="Times New Roman" w:hAnsi="Gilroy" w:cs="Times New Roman"/>
          <w:lang w:eastAsia="en-GB"/>
        </w:rPr>
        <w:t xml:space="preserve"> "</w:t>
      </w:r>
      <w:r w:rsidRPr="00BC073F">
        <w:rPr>
          <w:rFonts w:ascii="Gilroy" w:eastAsia="Times New Roman" w:hAnsi="Gilroy" w:cs="Times New Roman"/>
          <w:i/>
          <w:iCs/>
          <w:lang w:eastAsia="en-GB"/>
        </w:rPr>
        <w:t>parents or other children in the household have disabilities, by noting whether any family members received Supplemental Security Income, a federal benefit for people with disabilities</w:t>
      </w:r>
      <w:r w:rsidR="00251869">
        <w:rPr>
          <w:rFonts w:ascii="Gilroy" w:eastAsia="Times New Roman" w:hAnsi="Gilroy" w:cs="Times New Roman"/>
          <w:lang w:eastAsia="en-GB"/>
        </w:rPr>
        <w:t>.</w:t>
      </w:r>
      <w:r w:rsidRPr="00070D32">
        <w:rPr>
          <w:rFonts w:ascii="Gilroy" w:eastAsia="Times New Roman" w:hAnsi="Gilroy" w:cs="Times New Roman"/>
          <w:lang w:eastAsia="en-GB"/>
        </w:rPr>
        <w:t>".</w:t>
      </w:r>
      <w:r w:rsidR="00251869">
        <w:rPr>
          <w:rStyle w:val="FootnoteReference"/>
          <w:rFonts w:ascii="Gilroy" w:eastAsia="Times New Roman" w:hAnsi="Gilroy" w:cs="Times New Roman"/>
          <w:lang w:eastAsia="en-GB"/>
        </w:rPr>
        <w:footnoteReference w:id="36"/>
      </w:r>
      <w:r w:rsidRPr="00070D32">
        <w:rPr>
          <w:rFonts w:ascii="Gilroy" w:eastAsia="Times New Roman" w:hAnsi="Gilroy" w:cs="Times New Roman"/>
          <w:lang w:eastAsia="en-GB"/>
        </w:rPr>
        <w:t xml:space="preserve"> The data fields underpinning the ADM algorithm calculating risk included disability status and there was no way for disabled parents to appeal or challenge the "risk score" given to them. The U.S. Justice Department</w:t>
      </w:r>
      <w:r w:rsidR="00E76859">
        <w:rPr>
          <w:rFonts w:ascii="Gilroy" w:eastAsia="Times New Roman" w:hAnsi="Gilroy" w:cs="Times New Roman"/>
          <w:lang w:eastAsia="en-GB"/>
        </w:rPr>
        <w:t xml:space="preserve"> has</w:t>
      </w:r>
      <w:r w:rsidRPr="00070D32">
        <w:rPr>
          <w:rFonts w:ascii="Gilroy" w:eastAsia="Times New Roman" w:hAnsi="Gilroy" w:cs="Times New Roman"/>
          <w:lang w:eastAsia="en-GB"/>
        </w:rPr>
        <w:t xml:space="preserve"> launched an investigation into the county's child welfare system to determine whether it discriminates against people with disabilities.</w:t>
      </w:r>
      <w:r w:rsidRPr="00070D32">
        <w:rPr>
          <w:rStyle w:val="FootnoteReference"/>
          <w:rFonts w:ascii="Gilroy" w:eastAsia="Times New Roman" w:hAnsi="Gilroy" w:cs="Times New Roman"/>
          <w:lang w:eastAsia="en-GB"/>
        </w:rPr>
        <w:footnoteReference w:id="37"/>
      </w:r>
    </w:p>
    <w:p w14:paraId="0421A728" w14:textId="77777777" w:rsidR="0005693E" w:rsidRDefault="0005693E" w:rsidP="0005693E">
      <w:pPr>
        <w:snapToGrid w:val="0"/>
        <w:spacing w:before="100" w:beforeAutospacing="1" w:after="100" w:afterAutospacing="1"/>
        <w:contextualSpacing/>
        <w:jc w:val="both"/>
        <w:rPr>
          <w:rFonts w:ascii="Gilroy" w:eastAsia="Times New Roman" w:hAnsi="Gilroy" w:cs="Times New Roman"/>
          <w:i/>
          <w:iCs/>
          <w:u w:val="single"/>
          <w:lang w:eastAsia="en-GB"/>
        </w:rPr>
      </w:pPr>
    </w:p>
    <w:p w14:paraId="1A166301" w14:textId="77777777" w:rsidR="0005693E" w:rsidRPr="00070D32" w:rsidRDefault="0005693E" w:rsidP="0005693E">
      <w:pPr>
        <w:snapToGrid w:val="0"/>
        <w:spacing w:before="100" w:beforeAutospacing="1" w:after="100" w:afterAutospacing="1"/>
        <w:contextualSpacing/>
        <w:jc w:val="both"/>
        <w:rPr>
          <w:rFonts w:ascii="Gilroy" w:eastAsia="Times New Roman" w:hAnsi="Gilroy" w:cs="Times New Roman"/>
          <w:i/>
          <w:iCs/>
          <w:u w:val="single"/>
          <w:lang w:eastAsia="en-GB"/>
        </w:rPr>
      </w:pPr>
      <w:r w:rsidRPr="00070D32">
        <w:rPr>
          <w:rFonts w:ascii="Gilroy" w:eastAsia="Times New Roman" w:hAnsi="Gilroy" w:cs="Times New Roman"/>
          <w:i/>
          <w:iCs/>
          <w:u w:val="single"/>
          <w:lang w:eastAsia="en-GB"/>
        </w:rPr>
        <w:t>The UK Department of Work and Pensions</w:t>
      </w:r>
    </w:p>
    <w:p w14:paraId="67E0DD0D" w14:textId="77777777" w:rsidR="0005693E" w:rsidRDefault="0005693E" w:rsidP="0005693E">
      <w:pPr>
        <w:snapToGrid w:val="0"/>
        <w:spacing w:before="100" w:beforeAutospacing="1" w:after="100" w:afterAutospacing="1"/>
        <w:contextualSpacing/>
        <w:jc w:val="both"/>
        <w:rPr>
          <w:rFonts w:ascii="Gilroy" w:eastAsia="Times New Roman" w:hAnsi="Gilroy" w:cs="Times New Roman"/>
          <w:lang w:eastAsia="en-GB"/>
        </w:rPr>
      </w:pPr>
    </w:p>
    <w:p w14:paraId="388D24B3" w14:textId="6E45C574" w:rsidR="0005693E" w:rsidRDefault="0005693E" w:rsidP="0005693E">
      <w:pPr>
        <w:snapToGrid w:val="0"/>
        <w:spacing w:before="100" w:beforeAutospacing="1" w:after="100" w:afterAutospacing="1"/>
        <w:contextualSpacing/>
        <w:jc w:val="both"/>
        <w:rPr>
          <w:rFonts w:ascii="Gilroy" w:eastAsia="Times New Roman" w:hAnsi="Gilroy" w:cs="Times New Roman"/>
          <w:lang w:eastAsia="en-GB"/>
        </w:rPr>
      </w:pPr>
      <w:r w:rsidRPr="00070D32">
        <w:rPr>
          <w:rFonts w:ascii="Gilroy" w:eastAsia="Times New Roman" w:hAnsi="Gilroy" w:cs="Times New Roman"/>
          <w:lang w:eastAsia="en-GB"/>
        </w:rPr>
        <w:t>PI’s research</w:t>
      </w:r>
      <w:r w:rsidRPr="00070D32">
        <w:rPr>
          <w:rStyle w:val="FootnoteReference"/>
          <w:rFonts w:ascii="Gilroy" w:eastAsia="Times New Roman" w:hAnsi="Gilroy" w:cs="Times New Roman"/>
          <w:lang w:eastAsia="en-GB"/>
        </w:rPr>
        <w:footnoteReference w:id="38"/>
      </w:r>
      <w:r w:rsidRPr="00070D32">
        <w:rPr>
          <w:rFonts w:ascii="Gilroy" w:eastAsia="Times New Roman" w:hAnsi="Gilroy" w:cs="Times New Roman"/>
          <w:lang w:eastAsia="en-GB"/>
        </w:rPr>
        <w:t xml:space="preserve"> revealed that the UK’s Department of Work and Pensions (DWP) makes </w:t>
      </w:r>
      <w:r w:rsidR="00246BBF">
        <w:rPr>
          <w:rFonts w:ascii="Gilroy" w:eastAsia="Times New Roman" w:hAnsi="Gilroy" w:cs="Times New Roman"/>
          <w:lang w:eastAsia="en-GB"/>
        </w:rPr>
        <w:t xml:space="preserve">it an explicit objective to </w:t>
      </w:r>
      <w:r w:rsidRPr="00070D32">
        <w:rPr>
          <w:rFonts w:ascii="Gilroy" w:eastAsia="Times New Roman" w:hAnsi="Gilroy" w:cs="Times New Roman"/>
          <w:lang w:eastAsia="en-GB"/>
        </w:rPr>
        <w:t>assess whether someone who is claiming disability benefits is</w:t>
      </w:r>
      <w:r w:rsidR="00521C44">
        <w:rPr>
          <w:rFonts w:ascii="Gilroy" w:eastAsia="Times New Roman" w:hAnsi="Gilroy" w:cs="Times New Roman"/>
          <w:lang w:eastAsia="en-GB"/>
        </w:rPr>
        <w:t>,</w:t>
      </w:r>
      <w:r w:rsidRPr="00070D32">
        <w:rPr>
          <w:rFonts w:ascii="Gilroy" w:eastAsia="Times New Roman" w:hAnsi="Gilroy" w:cs="Times New Roman"/>
          <w:lang w:eastAsia="en-GB"/>
        </w:rPr>
        <w:t xml:space="preserve"> in fact</w:t>
      </w:r>
      <w:r w:rsidR="00521C44">
        <w:rPr>
          <w:rFonts w:ascii="Gilroy" w:eastAsia="Times New Roman" w:hAnsi="Gilroy" w:cs="Times New Roman"/>
          <w:lang w:eastAsia="en-GB"/>
        </w:rPr>
        <w:t>,</w:t>
      </w:r>
      <w:r w:rsidRPr="00070D32">
        <w:rPr>
          <w:rFonts w:ascii="Gilroy" w:eastAsia="Times New Roman" w:hAnsi="Gilroy" w:cs="Times New Roman"/>
          <w:lang w:eastAsia="en-GB"/>
        </w:rPr>
        <w:t xml:space="preserve"> disabled, stating: “</w:t>
      </w:r>
      <w:r w:rsidRPr="00246BBF">
        <w:rPr>
          <w:rFonts w:ascii="Gilroy" w:eastAsia="Times New Roman" w:hAnsi="Gilroy" w:cs="Times New Roman"/>
          <w:i/>
          <w:iCs/>
          <w:lang w:eastAsia="en-GB"/>
        </w:rPr>
        <w:t>The most important aspect of an investigation into disability benefits is understanding exactly what the customer has declared they can and cannot do, and gathering evidence which either proves or disproves their statement</w:t>
      </w:r>
      <w:r w:rsidRPr="00070D32">
        <w:rPr>
          <w:rFonts w:ascii="Gilroy" w:eastAsia="Times New Roman" w:hAnsi="Gilroy" w:cs="Times New Roman"/>
          <w:lang w:eastAsia="en-GB"/>
        </w:rPr>
        <w:t>”.</w:t>
      </w:r>
      <w:r w:rsidRPr="00070D32">
        <w:rPr>
          <w:rStyle w:val="FootnoteReference"/>
          <w:rFonts w:ascii="Gilroy" w:eastAsia="Times New Roman" w:hAnsi="Gilroy" w:cs="Times New Roman"/>
          <w:lang w:eastAsia="en-GB"/>
        </w:rPr>
        <w:footnoteReference w:id="39"/>
      </w:r>
      <w:r w:rsidRPr="00070D32">
        <w:rPr>
          <w:rFonts w:ascii="Gilroy" w:eastAsia="Times New Roman" w:hAnsi="Gilroy" w:cs="Times New Roman"/>
          <w:lang w:eastAsia="en-GB"/>
        </w:rPr>
        <w:t xml:space="preserve"> The guidelines encourage the use of surveillance to this end, commenting that: “</w:t>
      </w:r>
      <w:r w:rsidRPr="00246BBF">
        <w:rPr>
          <w:rFonts w:ascii="Gilroy" w:eastAsia="Times New Roman" w:hAnsi="Gilroy" w:cs="Times New Roman"/>
          <w:i/>
          <w:iCs/>
          <w:lang w:eastAsia="en-GB"/>
        </w:rPr>
        <w:t>Surveillance should be used to obtain evidence of a person’s physical capability and in some cases their mental capability too</w:t>
      </w:r>
      <w:r w:rsidRPr="00070D32">
        <w:rPr>
          <w:rFonts w:ascii="Gilroy" w:eastAsia="Times New Roman" w:hAnsi="Gilroy" w:cs="Times New Roman"/>
          <w:lang w:eastAsia="en-GB"/>
        </w:rPr>
        <w:t>”, and specifically provides for “</w:t>
      </w:r>
      <w:r w:rsidRPr="00246BBF">
        <w:rPr>
          <w:rFonts w:ascii="Gilroy" w:eastAsia="Times New Roman" w:hAnsi="Gilroy" w:cs="Times New Roman"/>
          <w:i/>
          <w:iCs/>
          <w:lang w:eastAsia="en-GB"/>
        </w:rPr>
        <w:t>Surveillance teams” and “Surveillance Officer[s]”</w:t>
      </w:r>
      <w:r w:rsidRPr="00070D32">
        <w:rPr>
          <w:rFonts w:ascii="Gilroy" w:eastAsia="Times New Roman" w:hAnsi="Gilroy" w:cs="Times New Roman"/>
          <w:lang w:eastAsia="en-GB"/>
        </w:rPr>
        <w:t xml:space="preserve"> who may carry out</w:t>
      </w:r>
      <w:r>
        <w:rPr>
          <w:rFonts w:ascii="Gilroy" w:eastAsia="Times New Roman" w:hAnsi="Gilroy" w:cs="Times New Roman"/>
          <w:lang w:eastAsia="en-GB"/>
        </w:rPr>
        <w:t xml:space="preserve"> </w:t>
      </w:r>
      <w:r w:rsidRPr="00070D32">
        <w:rPr>
          <w:rFonts w:ascii="Gilroy" w:eastAsia="Times New Roman" w:hAnsi="Gilroy" w:cs="Times New Roman"/>
          <w:lang w:eastAsia="en-GB"/>
        </w:rPr>
        <w:t>such work.</w:t>
      </w:r>
      <w:r w:rsidRPr="00070D32">
        <w:rPr>
          <w:rStyle w:val="FootnoteReference"/>
          <w:rFonts w:ascii="Gilroy" w:eastAsia="Times New Roman" w:hAnsi="Gilroy" w:cs="Times New Roman"/>
          <w:lang w:eastAsia="en-GB"/>
        </w:rPr>
        <w:footnoteReference w:id="40"/>
      </w:r>
      <w:r w:rsidRPr="00070D32">
        <w:rPr>
          <w:rFonts w:ascii="Gilroy" w:eastAsia="Times New Roman" w:hAnsi="Gilroy" w:cs="Times New Roman"/>
          <w:lang w:eastAsia="en-GB"/>
        </w:rPr>
        <w:t xml:space="preserve"> </w:t>
      </w:r>
    </w:p>
    <w:p w14:paraId="19C5ACDD" w14:textId="77777777" w:rsidR="0005693E" w:rsidRPr="00070D32" w:rsidRDefault="0005693E" w:rsidP="0005693E">
      <w:pPr>
        <w:snapToGrid w:val="0"/>
        <w:spacing w:before="100" w:beforeAutospacing="1" w:after="100" w:afterAutospacing="1"/>
        <w:contextualSpacing/>
        <w:jc w:val="both"/>
        <w:rPr>
          <w:rFonts w:ascii="Gilroy" w:eastAsia="Times New Roman" w:hAnsi="Gilroy" w:cs="Times New Roman"/>
          <w:lang w:eastAsia="en-GB"/>
        </w:rPr>
      </w:pPr>
    </w:p>
    <w:p w14:paraId="4F8558DA" w14:textId="36314493" w:rsidR="0005693E" w:rsidRDefault="0005693E" w:rsidP="0005693E">
      <w:pPr>
        <w:snapToGrid w:val="0"/>
        <w:spacing w:before="100" w:beforeAutospacing="1" w:after="100" w:afterAutospacing="1"/>
        <w:contextualSpacing/>
        <w:jc w:val="both"/>
        <w:rPr>
          <w:rFonts w:ascii="Gilroy" w:eastAsia="Times New Roman" w:hAnsi="Gilroy" w:cs="Times New Roman"/>
          <w:lang w:eastAsia="en-GB"/>
        </w:rPr>
      </w:pPr>
      <w:r w:rsidRPr="00070D32">
        <w:rPr>
          <w:rFonts w:ascii="Gilroy" w:eastAsia="Times New Roman" w:hAnsi="Gilroy" w:cs="Times New Roman"/>
          <w:lang w:eastAsia="en-GB"/>
        </w:rPr>
        <w:t>Compounding the threat that such policies pose to the rights of persons with disabilities are the propensity of computer algorithms to discriminate against them. Indeed, the DWP is facing legal action</w:t>
      </w:r>
      <w:r w:rsidR="00246BBF">
        <w:rPr>
          <w:rFonts w:ascii="Gilroy" w:eastAsia="Times New Roman" w:hAnsi="Gilroy" w:cs="Times New Roman"/>
          <w:lang w:eastAsia="en-GB"/>
        </w:rPr>
        <w:t xml:space="preserve"> by a disability rights group</w:t>
      </w:r>
      <w:r w:rsidRPr="00070D32">
        <w:rPr>
          <w:rFonts w:ascii="Gilroy" w:eastAsia="Times New Roman" w:hAnsi="Gilroy" w:cs="Times New Roman"/>
          <w:lang w:eastAsia="en-GB"/>
        </w:rPr>
        <w:t xml:space="preserve"> regarding the algorithm used to </w:t>
      </w:r>
      <w:r w:rsidR="00246BBF">
        <w:rPr>
          <w:rFonts w:ascii="Gilroy" w:eastAsia="Times New Roman" w:hAnsi="Gilroy" w:cs="Times New Roman"/>
          <w:lang w:eastAsia="en-GB"/>
        </w:rPr>
        <w:t>flag particular individuals as ‘fraud risks’</w:t>
      </w:r>
      <w:r w:rsidRPr="00070D32">
        <w:rPr>
          <w:rFonts w:ascii="Gilroy" w:eastAsia="Times New Roman" w:hAnsi="Gilroy" w:cs="Times New Roman"/>
          <w:lang w:eastAsia="en-GB"/>
        </w:rPr>
        <w:t>, on the basis that it is unfair and discriminatory.</w:t>
      </w:r>
      <w:r w:rsidRPr="00070D32">
        <w:rPr>
          <w:rStyle w:val="FootnoteReference"/>
          <w:rFonts w:ascii="Gilroy" w:eastAsia="Times New Roman" w:hAnsi="Gilroy" w:cs="Times New Roman"/>
          <w:lang w:eastAsia="en-GB"/>
        </w:rPr>
        <w:footnoteReference w:id="41"/>
      </w:r>
      <w:r w:rsidRPr="00070D32">
        <w:rPr>
          <w:rFonts w:ascii="Gilroy" w:eastAsia="Times New Roman" w:hAnsi="Gilroy" w:cs="Times New Roman"/>
          <w:lang w:eastAsia="en-GB"/>
        </w:rPr>
        <w:t xml:space="preserve"> By profiling individuals who interact with caseworkers and the DWP on the basis of unknown data points, the DWP is creating derived, inferred, and predicted profiles which may be inaccurate or systematically biased. This type of profiling can lead to individuals being misidentified, misclassified, or misjudged.</w:t>
      </w:r>
      <w:r w:rsidRPr="00070D32">
        <w:rPr>
          <w:rStyle w:val="FootnoteReference"/>
          <w:rFonts w:ascii="Gilroy" w:eastAsia="Times New Roman" w:hAnsi="Gilroy" w:cs="Times New Roman"/>
          <w:lang w:eastAsia="en-GB"/>
        </w:rPr>
        <w:footnoteReference w:id="42"/>
      </w:r>
      <w:r w:rsidRPr="00070D32">
        <w:rPr>
          <w:rFonts w:ascii="Gilroy" w:eastAsia="Times New Roman" w:hAnsi="Gilroy" w:cs="Times New Roman"/>
          <w:lang w:eastAsia="en-GB"/>
        </w:rPr>
        <w:t xml:space="preserve"> Without a concrete understanding of how specific data points are being used by the DWP to assess whether welfare claims are legitimate or not, the </w:t>
      </w:r>
      <w:r w:rsidRPr="00070D32">
        <w:rPr>
          <w:rFonts w:ascii="Gilroy" w:eastAsia="Times New Roman" w:hAnsi="Gilroy" w:cs="Times New Roman"/>
          <w:lang w:eastAsia="en-GB"/>
        </w:rPr>
        <w:lastRenderedPageBreak/>
        <w:t>systems being developed will continue to pose a serious risk to the social welfare system as a whole</w:t>
      </w:r>
      <w:r w:rsidR="00521C44">
        <w:rPr>
          <w:rFonts w:ascii="Gilroy" w:eastAsia="Times New Roman" w:hAnsi="Gilroy" w:cs="Times New Roman"/>
          <w:lang w:eastAsia="en-GB"/>
        </w:rPr>
        <w:t xml:space="preserve"> and persons with disabilities’ human rights</w:t>
      </w:r>
      <w:r w:rsidRPr="00070D32">
        <w:rPr>
          <w:rFonts w:ascii="Gilroy" w:eastAsia="Times New Roman" w:hAnsi="Gilroy" w:cs="Times New Roman"/>
          <w:lang w:eastAsia="en-GB"/>
        </w:rPr>
        <w:t xml:space="preserve">. </w:t>
      </w:r>
    </w:p>
    <w:p w14:paraId="49AE705F" w14:textId="77777777" w:rsidR="0005693E" w:rsidRPr="00070D32" w:rsidRDefault="0005693E" w:rsidP="0005693E">
      <w:pPr>
        <w:snapToGrid w:val="0"/>
        <w:spacing w:before="100" w:beforeAutospacing="1" w:after="100" w:afterAutospacing="1"/>
        <w:contextualSpacing/>
        <w:jc w:val="both"/>
        <w:rPr>
          <w:rFonts w:ascii="Gilroy" w:eastAsia="Times New Roman" w:hAnsi="Gilroy" w:cs="Times New Roman"/>
          <w:lang w:eastAsia="en-GB"/>
        </w:rPr>
      </w:pPr>
    </w:p>
    <w:p w14:paraId="4419C9CC" w14:textId="77777777" w:rsidR="0005693E" w:rsidRPr="00070D32" w:rsidRDefault="0005693E" w:rsidP="0005693E">
      <w:pPr>
        <w:snapToGrid w:val="0"/>
        <w:spacing w:beforeAutospacing="1" w:afterAutospacing="1"/>
        <w:contextualSpacing/>
        <w:jc w:val="both"/>
        <w:rPr>
          <w:rFonts w:ascii="Gilroy" w:eastAsia="Times New Roman" w:hAnsi="Gilroy" w:cs="Times New Roman"/>
          <w:i/>
          <w:iCs/>
          <w:u w:val="single"/>
          <w:lang w:eastAsia="en-GB"/>
        </w:rPr>
      </w:pPr>
      <w:r w:rsidRPr="00070D32">
        <w:rPr>
          <w:rFonts w:ascii="Gilroy" w:eastAsia="Times New Roman" w:hAnsi="Gilroy" w:cs="Times New Roman"/>
          <w:i/>
          <w:iCs/>
          <w:u w:val="single"/>
          <w:lang w:eastAsia="en-GB"/>
        </w:rPr>
        <w:t>Serbia’s Social Card Law</w:t>
      </w:r>
    </w:p>
    <w:p w14:paraId="2C5F766B" w14:textId="77777777" w:rsidR="0005693E" w:rsidRDefault="0005693E" w:rsidP="0005693E">
      <w:pPr>
        <w:snapToGrid w:val="0"/>
        <w:spacing w:beforeAutospacing="1" w:afterAutospacing="1"/>
        <w:contextualSpacing/>
        <w:jc w:val="both"/>
        <w:rPr>
          <w:rFonts w:ascii="Gilroy" w:eastAsia="Times New Roman" w:hAnsi="Gilroy" w:cs="Times New Roman"/>
          <w:lang w:eastAsia="en-GB"/>
        </w:rPr>
      </w:pPr>
    </w:p>
    <w:p w14:paraId="1EA943BB" w14:textId="76474EB6" w:rsidR="00070D32" w:rsidRPr="00070D32" w:rsidRDefault="0005693E" w:rsidP="00070D32">
      <w:pPr>
        <w:snapToGrid w:val="0"/>
        <w:spacing w:beforeAutospacing="1" w:afterAutospacing="1"/>
        <w:contextualSpacing/>
        <w:jc w:val="both"/>
        <w:rPr>
          <w:rFonts w:ascii="Gilroy" w:eastAsia="Times New Roman" w:hAnsi="Gilroy" w:cs="Times New Roman"/>
          <w:lang w:eastAsia="en-GB"/>
        </w:rPr>
      </w:pPr>
      <w:r w:rsidRPr="00070D32">
        <w:rPr>
          <w:rFonts w:ascii="Gilroy" w:eastAsia="Times New Roman" w:hAnsi="Gilroy" w:cs="Times New Roman"/>
          <w:lang w:eastAsia="en-GB"/>
        </w:rPr>
        <w:t>Similarly, the Serbian government employ an ADM system for their Social Card system, underpinned by a Social Card Law introduced in March 2022. The law’s introduction led to a joint legal complaint being filed by NGOs who called for the law’s roll-out to be halted and a full assessment of whether the legislation complies with the country’s obligations under human rights law, due to it being an “</w:t>
      </w:r>
      <w:r w:rsidRPr="00A272D8">
        <w:rPr>
          <w:rFonts w:ascii="Gilroy" w:eastAsia="Times New Roman" w:hAnsi="Gilroy" w:cs="Times New Roman"/>
          <w:i/>
          <w:iCs/>
          <w:lang w:eastAsia="en-GB"/>
        </w:rPr>
        <w:t>intrusive surveillance system that could harm the most marginalized members of society</w:t>
      </w:r>
      <w:r w:rsidRPr="00070D32">
        <w:rPr>
          <w:rFonts w:ascii="Gilroy" w:eastAsia="Times New Roman" w:hAnsi="Gilroy" w:cs="Times New Roman"/>
          <w:lang w:eastAsia="en-GB"/>
        </w:rPr>
        <w:t>”,</w:t>
      </w:r>
      <w:r w:rsidRPr="00070D32">
        <w:rPr>
          <w:rStyle w:val="FootnoteReference"/>
          <w:rFonts w:ascii="Gilroy" w:eastAsia="Times New Roman" w:hAnsi="Gilroy" w:cs="Times New Roman"/>
          <w:lang w:eastAsia="en-GB"/>
        </w:rPr>
        <w:footnoteReference w:id="43"/>
      </w:r>
      <w:r w:rsidRPr="00070D32">
        <w:rPr>
          <w:rFonts w:ascii="Gilroy" w:eastAsia="Times New Roman" w:hAnsi="Gilroy" w:cs="Times New Roman"/>
          <w:lang w:eastAsia="en-GB"/>
        </w:rPr>
        <w:t xml:space="preserve"> including persons with disabilities who represent a notable portion of individuals in receipt of social support, as the </w:t>
      </w:r>
      <w:r w:rsidR="00521C44">
        <w:rPr>
          <w:rFonts w:ascii="Gilroy" w:eastAsia="Times New Roman" w:hAnsi="Gilroy" w:cs="Times New Roman"/>
          <w:lang w:eastAsia="en-GB"/>
        </w:rPr>
        <w:t xml:space="preserve">ADM </w:t>
      </w:r>
      <w:r w:rsidRPr="00070D32">
        <w:rPr>
          <w:rFonts w:ascii="Gilroy" w:eastAsia="Times New Roman" w:hAnsi="Gilroy" w:cs="Times New Roman"/>
          <w:lang w:eastAsia="en-GB"/>
        </w:rPr>
        <w:t>system assesses their eligibility for receiving state benefits under the Social Card system.</w:t>
      </w:r>
      <w:r>
        <w:rPr>
          <w:rStyle w:val="FootnoteReference"/>
          <w:rFonts w:ascii="Gilroy" w:eastAsia="Times New Roman" w:hAnsi="Gilroy" w:cs="Times New Roman"/>
          <w:lang w:eastAsia="en-GB"/>
        </w:rPr>
        <w:footnoteReference w:id="44"/>
      </w:r>
    </w:p>
    <w:p w14:paraId="5DA62E2D" w14:textId="53CCF141" w:rsidR="007E7D9E" w:rsidRPr="00EF1B04" w:rsidRDefault="000A59F0" w:rsidP="00BC073F">
      <w:pPr>
        <w:pStyle w:val="Heading3"/>
        <w:numPr>
          <w:ilvl w:val="0"/>
          <w:numId w:val="31"/>
        </w:numPr>
        <w:snapToGrid w:val="0"/>
        <w:contextualSpacing/>
        <w:rPr>
          <w:rFonts w:ascii="Gilroy" w:hAnsi="Gilroy"/>
          <w:sz w:val="24"/>
          <w:szCs w:val="24"/>
        </w:rPr>
      </w:pPr>
      <w:r w:rsidRPr="00EF1B04">
        <w:rPr>
          <w:rFonts w:ascii="Gilroy" w:hAnsi="Gilroy"/>
          <w:sz w:val="24"/>
          <w:szCs w:val="24"/>
        </w:rPr>
        <w:t xml:space="preserve">The responsibility of global institutions as funders and implementers </w:t>
      </w:r>
    </w:p>
    <w:p w14:paraId="24BE9244" w14:textId="5E2769E8" w:rsidR="004031E0" w:rsidRPr="00070D32" w:rsidRDefault="00246BBF" w:rsidP="00070D32">
      <w:pPr>
        <w:snapToGrid w:val="0"/>
        <w:contextualSpacing/>
        <w:jc w:val="both"/>
        <w:rPr>
          <w:rFonts w:ascii="Gilroy" w:eastAsia="Times New Roman" w:hAnsi="Gilroy" w:cs="Times New Roman"/>
          <w:lang w:eastAsia="en-GB"/>
        </w:rPr>
      </w:pPr>
      <w:r>
        <w:rPr>
          <w:rFonts w:ascii="Gilroy" w:eastAsia="Times New Roman" w:hAnsi="Gilroy" w:cs="Times New Roman"/>
          <w:lang w:eastAsia="en-GB"/>
        </w:rPr>
        <w:t>G</w:t>
      </w:r>
      <w:r w:rsidR="00417A5C" w:rsidRPr="00070D32">
        <w:rPr>
          <w:rFonts w:ascii="Gilroy" w:eastAsia="Times New Roman" w:hAnsi="Gilroy" w:cs="Times New Roman"/>
          <w:lang w:eastAsia="en-GB"/>
        </w:rPr>
        <w:t xml:space="preserve">lobal institutions play a key role in the funding, </w:t>
      </w:r>
      <w:r w:rsidR="00070D32" w:rsidRPr="00070D32">
        <w:rPr>
          <w:rFonts w:ascii="Gilroy" w:eastAsia="Times New Roman" w:hAnsi="Gilroy" w:cs="Times New Roman"/>
          <w:lang w:eastAsia="en-GB"/>
        </w:rPr>
        <w:t>design,</w:t>
      </w:r>
      <w:r w:rsidR="00417A5C" w:rsidRPr="00070D32">
        <w:rPr>
          <w:rFonts w:ascii="Gilroy" w:eastAsia="Times New Roman" w:hAnsi="Gilroy" w:cs="Times New Roman"/>
          <w:lang w:eastAsia="en-GB"/>
        </w:rPr>
        <w:t xml:space="preserve"> and implementation of </w:t>
      </w:r>
      <w:r>
        <w:rPr>
          <w:rFonts w:ascii="Gilroy" w:eastAsia="Times New Roman" w:hAnsi="Gilroy" w:cs="Times New Roman"/>
          <w:lang w:eastAsia="en-GB"/>
        </w:rPr>
        <w:t>social protection</w:t>
      </w:r>
      <w:r w:rsidRPr="00070D32">
        <w:rPr>
          <w:rFonts w:ascii="Gilroy" w:eastAsia="Times New Roman" w:hAnsi="Gilroy" w:cs="Times New Roman"/>
          <w:lang w:eastAsia="en-GB"/>
        </w:rPr>
        <w:t xml:space="preserve"> </w:t>
      </w:r>
      <w:r w:rsidR="00417A5C" w:rsidRPr="00070D32">
        <w:rPr>
          <w:rFonts w:ascii="Gilroy" w:eastAsia="Times New Roman" w:hAnsi="Gilroy" w:cs="Times New Roman"/>
          <w:lang w:eastAsia="en-GB"/>
        </w:rPr>
        <w:t xml:space="preserve">programmes. </w:t>
      </w:r>
      <w:r>
        <w:rPr>
          <w:rFonts w:ascii="Gilroy" w:eastAsia="Times New Roman" w:hAnsi="Gilroy" w:cs="Times New Roman"/>
          <w:lang w:eastAsia="en-GB"/>
        </w:rPr>
        <w:t xml:space="preserve">In some cases, </w:t>
      </w:r>
      <w:r w:rsidR="004031E0" w:rsidRPr="004031E0">
        <w:rPr>
          <w:rFonts w:ascii="Gilroy" w:eastAsia="Times New Roman" w:hAnsi="Gilroy" w:cs="Times New Roman"/>
          <w:lang w:eastAsia="en-GB"/>
        </w:rPr>
        <w:t xml:space="preserve">it is not clear whether </w:t>
      </w:r>
      <w:r w:rsidR="004031E0">
        <w:rPr>
          <w:rFonts w:ascii="Gilroy" w:eastAsia="Times New Roman" w:hAnsi="Gilroy" w:cs="Times New Roman"/>
          <w:lang w:eastAsia="en-GB"/>
        </w:rPr>
        <w:t xml:space="preserve">global institutions </w:t>
      </w:r>
      <w:r w:rsidR="004031E0" w:rsidRPr="004031E0">
        <w:rPr>
          <w:rFonts w:ascii="Gilroy" w:eastAsia="Times New Roman" w:hAnsi="Gilroy" w:cs="Times New Roman"/>
          <w:lang w:eastAsia="en-GB"/>
        </w:rPr>
        <w:t>systematically account for the risks associated with data-intensive and tech-reliant social safety-net programmes</w:t>
      </w:r>
      <w:r w:rsidR="004031E0">
        <w:rPr>
          <w:rFonts w:ascii="Gilroy" w:eastAsia="Times New Roman" w:hAnsi="Gilroy" w:cs="Times New Roman"/>
          <w:lang w:eastAsia="en-GB"/>
        </w:rPr>
        <w:t xml:space="preserve"> as we recently documented with regard</w:t>
      </w:r>
      <w:r w:rsidR="00586E3A">
        <w:rPr>
          <w:rFonts w:ascii="Gilroy" w:eastAsia="Times New Roman" w:hAnsi="Gilroy" w:cs="Times New Roman"/>
          <w:lang w:eastAsia="en-GB"/>
        </w:rPr>
        <w:t>s</w:t>
      </w:r>
      <w:r w:rsidR="004031E0">
        <w:rPr>
          <w:rFonts w:ascii="Gilroy" w:eastAsia="Times New Roman" w:hAnsi="Gilroy" w:cs="Times New Roman"/>
          <w:lang w:eastAsia="en-GB"/>
        </w:rPr>
        <w:t xml:space="preserve"> to eight</w:t>
      </w:r>
      <w:r w:rsidR="004031E0" w:rsidRPr="004031E0">
        <w:rPr>
          <w:rFonts w:ascii="Gilroy" w:eastAsia="Times New Roman" w:hAnsi="Gilroy" w:cs="Times New Roman"/>
          <w:lang w:eastAsia="en-GB"/>
        </w:rPr>
        <w:t xml:space="preserve"> Covid-19 Response project</w:t>
      </w:r>
      <w:r w:rsidR="00043CE7">
        <w:rPr>
          <w:rFonts w:ascii="Gilroy" w:eastAsia="Times New Roman" w:hAnsi="Gilroy" w:cs="Times New Roman"/>
          <w:lang w:eastAsia="en-GB"/>
        </w:rPr>
        <w:t>s</w:t>
      </w:r>
      <w:r>
        <w:rPr>
          <w:rFonts w:ascii="Gilroy" w:eastAsia="Times New Roman" w:hAnsi="Gilroy" w:cs="Times New Roman"/>
          <w:lang w:eastAsia="en-GB"/>
        </w:rPr>
        <w:t xml:space="preserve"> funded by the World Bank</w:t>
      </w:r>
      <w:r w:rsidR="00043CE7">
        <w:rPr>
          <w:rFonts w:ascii="Gilroy" w:eastAsia="Times New Roman" w:hAnsi="Gilroy" w:cs="Times New Roman"/>
          <w:lang w:eastAsia="en-GB"/>
        </w:rPr>
        <w:t xml:space="preserve"> in Nigeria, Haiti, Mozambique, Sierra Leone, Angola, Morocco, Jordan and Lebanon.</w:t>
      </w:r>
      <w:r w:rsidR="004031E0">
        <w:rPr>
          <w:rStyle w:val="FootnoteReference"/>
          <w:rFonts w:ascii="Gilroy" w:eastAsia="Times New Roman" w:hAnsi="Gilroy" w:cs="Times New Roman"/>
          <w:lang w:eastAsia="en-GB"/>
        </w:rPr>
        <w:footnoteReference w:id="45"/>
      </w:r>
      <w:r w:rsidR="00043CE7">
        <w:rPr>
          <w:rFonts w:ascii="Gilroy" w:eastAsia="Times New Roman" w:hAnsi="Gilroy" w:cs="Times New Roman"/>
          <w:lang w:eastAsia="en-GB"/>
        </w:rPr>
        <w:t xml:space="preserve"> </w:t>
      </w:r>
    </w:p>
    <w:p w14:paraId="00E2286D" w14:textId="77777777" w:rsidR="00417A5C" w:rsidRPr="00070D32" w:rsidRDefault="00417A5C" w:rsidP="00070D32">
      <w:pPr>
        <w:snapToGrid w:val="0"/>
        <w:contextualSpacing/>
        <w:jc w:val="both"/>
        <w:rPr>
          <w:rFonts w:ascii="Gilroy" w:eastAsia="Times New Roman" w:hAnsi="Gilroy" w:cs="Times New Roman"/>
          <w:lang w:eastAsia="en-GB"/>
        </w:rPr>
      </w:pPr>
    </w:p>
    <w:p w14:paraId="49B4FDE7" w14:textId="56CBCFD6" w:rsidR="004031E0" w:rsidRDefault="00246BBF" w:rsidP="00070D32">
      <w:pPr>
        <w:snapToGrid w:val="0"/>
        <w:contextualSpacing/>
        <w:rPr>
          <w:rFonts w:ascii="Gilroy" w:eastAsia="Times New Roman" w:hAnsi="Gilroy" w:cs="Times New Roman"/>
          <w:lang w:eastAsia="en-GB"/>
        </w:rPr>
      </w:pPr>
      <w:r>
        <w:rPr>
          <w:rFonts w:ascii="Gilroy" w:eastAsia="Times New Roman" w:hAnsi="Gilroy" w:cs="Times New Roman"/>
          <w:lang w:eastAsia="en-GB"/>
        </w:rPr>
        <w:t>Given the risks identified in relation to ADM systems and people with disabilities</w:t>
      </w:r>
      <w:r w:rsidR="00417A5C" w:rsidRPr="00070D32">
        <w:rPr>
          <w:rFonts w:ascii="Gilroy" w:eastAsia="Times New Roman" w:hAnsi="Gilroy" w:cs="Times New Roman"/>
          <w:lang w:eastAsia="en-GB"/>
        </w:rPr>
        <w:t xml:space="preserve">, it is essential that </w:t>
      </w:r>
      <w:r>
        <w:rPr>
          <w:rFonts w:ascii="Gilroy" w:eastAsia="Times New Roman" w:hAnsi="Gilroy" w:cs="Times New Roman"/>
          <w:lang w:eastAsia="en-GB"/>
        </w:rPr>
        <w:t>funders and implementers</w:t>
      </w:r>
      <w:r w:rsidRPr="00070D32">
        <w:rPr>
          <w:rFonts w:ascii="Gilroy" w:eastAsia="Times New Roman" w:hAnsi="Gilroy" w:cs="Times New Roman"/>
          <w:lang w:eastAsia="en-GB"/>
        </w:rPr>
        <w:t xml:space="preserve"> </w:t>
      </w:r>
      <w:r w:rsidR="00417A5C" w:rsidRPr="00070D32">
        <w:rPr>
          <w:rFonts w:ascii="Gilroy" w:eastAsia="Times New Roman" w:hAnsi="Gilroy" w:cs="Times New Roman"/>
          <w:lang w:eastAsia="en-GB"/>
        </w:rPr>
        <w:t>exercise due diligence</w:t>
      </w:r>
      <w:r>
        <w:rPr>
          <w:rFonts w:ascii="Gilroy" w:eastAsia="Times New Roman" w:hAnsi="Gilroy" w:cs="Times New Roman"/>
          <w:lang w:eastAsia="en-GB"/>
        </w:rPr>
        <w:t xml:space="preserve"> to ensure that they are not building or entrenching systems with discriminatory features</w:t>
      </w:r>
      <w:r w:rsidR="00070D32">
        <w:rPr>
          <w:rFonts w:ascii="Gilroy" w:eastAsia="Times New Roman" w:hAnsi="Gilroy" w:cs="Times New Roman"/>
          <w:lang w:eastAsia="en-GB"/>
        </w:rPr>
        <w:t>.</w:t>
      </w:r>
      <w:r w:rsidR="000A59F0">
        <w:rPr>
          <w:rFonts w:ascii="Gilroy" w:eastAsia="Times New Roman" w:hAnsi="Gilroy" w:cs="Times New Roman"/>
          <w:lang w:eastAsia="en-GB"/>
        </w:rPr>
        <w:t xml:space="preserve"> </w:t>
      </w:r>
    </w:p>
    <w:p w14:paraId="23E00CB3" w14:textId="77777777" w:rsidR="004031E0" w:rsidRDefault="004031E0" w:rsidP="00070D32">
      <w:pPr>
        <w:snapToGrid w:val="0"/>
        <w:contextualSpacing/>
        <w:rPr>
          <w:rFonts w:ascii="Gilroy" w:eastAsia="Times New Roman" w:hAnsi="Gilroy" w:cs="Times New Roman"/>
          <w:lang w:eastAsia="en-GB"/>
        </w:rPr>
      </w:pPr>
    </w:p>
    <w:p w14:paraId="06283D1D" w14:textId="712C5999" w:rsidR="00070D32" w:rsidRPr="00070D32" w:rsidRDefault="00070D32" w:rsidP="00070D32">
      <w:pPr>
        <w:snapToGrid w:val="0"/>
        <w:contextualSpacing/>
        <w:rPr>
          <w:rFonts w:ascii="Gilroy" w:eastAsia="Times New Roman" w:hAnsi="Gilroy" w:cs="Times New Roman"/>
          <w:lang w:eastAsia="en-GB"/>
        </w:rPr>
      </w:pPr>
      <w:r>
        <w:rPr>
          <w:rFonts w:ascii="Gilroy" w:eastAsia="Times New Roman" w:hAnsi="Gilroy" w:cs="Times New Roman"/>
          <w:lang w:eastAsia="en-GB"/>
        </w:rPr>
        <w:t xml:space="preserve">In instances where </w:t>
      </w:r>
      <w:r w:rsidR="00A7473A">
        <w:rPr>
          <w:rFonts w:ascii="Gilroy" w:eastAsia="Times New Roman" w:hAnsi="Gilroy" w:cs="Times New Roman"/>
          <w:lang w:eastAsia="en-GB"/>
        </w:rPr>
        <w:t xml:space="preserve">global institutions </w:t>
      </w:r>
      <w:r>
        <w:rPr>
          <w:rFonts w:ascii="Gilroy" w:eastAsia="Times New Roman" w:hAnsi="Gilroy" w:cs="Times New Roman"/>
          <w:lang w:eastAsia="en-GB"/>
        </w:rPr>
        <w:t xml:space="preserve">are the funder, </w:t>
      </w:r>
      <w:r w:rsidR="00A7473A">
        <w:rPr>
          <w:rFonts w:ascii="Gilroy" w:eastAsia="Times New Roman" w:hAnsi="Gilroy" w:cs="Times New Roman"/>
          <w:lang w:eastAsia="en-GB"/>
        </w:rPr>
        <w:t>they</w:t>
      </w:r>
      <w:r>
        <w:rPr>
          <w:rFonts w:ascii="Gilroy" w:eastAsia="Times New Roman" w:hAnsi="Gilroy" w:cs="Times New Roman"/>
          <w:lang w:eastAsia="en-GB"/>
        </w:rPr>
        <w:t xml:space="preserve"> should be r</w:t>
      </w:r>
      <w:r w:rsidRPr="00070D32">
        <w:rPr>
          <w:rFonts w:ascii="Gilroy" w:hAnsi="Gilroy"/>
        </w:rPr>
        <w:t>equir</w:t>
      </w:r>
      <w:r>
        <w:rPr>
          <w:rFonts w:ascii="Gilroy" w:hAnsi="Gilroy"/>
        </w:rPr>
        <w:t>ing</w:t>
      </w:r>
      <w:r w:rsidRPr="00070D32">
        <w:rPr>
          <w:rFonts w:ascii="Gilroy" w:hAnsi="Gilroy"/>
        </w:rPr>
        <w:t xml:space="preserve"> as part of conditions of funding that the relevant legal frameworks be in place before </w:t>
      </w:r>
      <w:r>
        <w:rPr>
          <w:rFonts w:ascii="Gilroy" w:hAnsi="Gilroy"/>
        </w:rPr>
        <w:t>a digital welfare programme</w:t>
      </w:r>
      <w:r w:rsidRPr="00070D32">
        <w:rPr>
          <w:rFonts w:ascii="Gilroy" w:hAnsi="Gilroy"/>
        </w:rPr>
        <w:t xml:space="preserve"> is rolled out, and to make the existence and effective enforcement of these safeguards a pre-condition for approving funding.</w:t>
      </w:r>
    </w:p>
    <w:p w14:paraId="174C66A8" w14:textId="7E365078" w:rsidR="002D4E94" w:rsidRDefault="005C2DF6" w:rsidP="002D4E94">
      <w:pPr>
        <w:snapToGrid w:val="0"/>
        <w:spacing w:before="100" w:beforeAutospacing="1" w:after="100" w:afterAutospacing="1"/>
        <w:contextualSpacing/>
        <w:jc w:val="both"/>
        <w:outlineLvl w:val="2"/>
        <w:rPr>
          <w:rFonts w:ascii="Gilroy" w:eastAsia="Times New Roman" w:hAnsi="Gilroy" w:cs="Times New Roman"/>
          <w:b/>
          <w:bCs/>
          <w:sz w:val="27"/>
          <w:szCs w:val="27"/>
          <w:lang w:eastAsia="en-GB"/>
        </w:rPr>
      </w:pPr>
      <w:r w:rsidRPr="00070D32">
        <w:rPr>
          <w:rFonts w:ascii="Gilroy" w:hAnsi="Gilroy"/>
        </w:rPr>
        <w:br/>
      </w:r>
      <w:r w:rsidR="00246BBF">
        <w:rPr>
          <w:rFonts w:ascii="Gilroy" w:eastAsia="Times New Roman" w:hAnsi="Gilroy" w:cs="Times New Roman"/>
          <w:b/>
          <w:bCs/>
          <w:sz w:val="27"/>
          <w:szCs w:val="27"/>
          <w:lang w:eastAsia="en-GB"/>
        </w:rPr>
        <w:t xml:space="preserve">(iii) </w:t>
      </w:r>
      <w:r w:rsidR="002D4E94">
        <w:rPr>
          <w:rFonts w:ascii="Gilroy" w:eastAsia="Times New Roman" w:hAnsi="Gilroy" w:cs="Times New Roman"/>
          <w:b/>
          <w:bCs/>
          <w:sz w:val="27"/>
          <w:szCs w:val="27"/>
          <w:lang w:eastAsia="en-GB"/>
        </w:rPr>
        <w:t>Effectively regulating the processing of data</w:t>
      </w:r>
      <w:r w:rsidR="002D4E94" w:rsidRPr="00070D32">
        <w:rPr>
          <w:rFonts w:ascii="Gilroy" w:eastAsia="Times New Roman" w:hAnsi="Gilroy" w:cs="Times New Roman"/>
          <w:b/>
          <w:bCs/>
          <w:sz w:val="27"/>
          <w:szCs w:val="27"/>
          <w:lang w:eastAsia="en-GB"/>
        </w:rPr>
        <w:t xml:space="preserve"> of </w:t>
      </w:r>
      <w:r w:rsidR="002D4E94">
        <w:rPr>
          <w:rFonts w:ascii="Gilroy" w:eastAsia="Times New Roman" w:hAnsi="Gilroy" w:cs="Times New Roman"/>
          <w:b/>
          <w:bCs/>
          <w:sz w:val="27"/>
          <w:szCs w:val="27"/>
          <w:lang w:eastAsia="en-GB"/>
        </w:rPr>
        <w:t>persons</w:t>
      </w:r>
      <w:r w:rsidR="002D4E94" w:rsidRPr="00070D32">
        <w:rPr>
          <w:rFonts w:ascii="Gilroy" w:eastAsia="Times New Roman" w:hAnsi="Gilroy" w:cs="Times New Roman"/>
          <w:b/>
          <w:bCs/>
          <w:sz w:val="27"/>
          <w:szCs w:val="27"/>
          <w:lang w:eastAsia="en-GB"/>
        </w:rPr>
        <w:t xml:space="preserve"> with disabilities </w:t>
      </w:r>
    </w:p>
    <w:p w14:paraId="380D2681" w14:textId="77777777" w:rsidR="00246BBF" w:rsidRDefault="00246BBF" w:rsidP="002D4E94">
      <w:pPr>
        <w:snapToGrid w:val="0"/>
        <w:spacing w:before="100" w:beforeAutospacing="1" w:after="100" w:afterAutospacing="1"/>
        <w:contextualSpacing/>
        <w:jc w:val="both"/>
        <w:rPr>
          <w:rFonts w:ascii="Gilroy" w:eastAsia="Times New Roman" w:hAnsi="Gilroy" w:cs="Times New Roman"/>
          <w:lang w:eastAsia="en-GB"/>
        </w:rPr>
      </w:pPr>
    </w:p>
    <w:p w14:paraId="717F4B82" w14:textId="02845AEE" w:rsidR="00246BBF" w:rsidRDefault="00246BBF" w:rsidP="002D4E94">
      <w:pPr>
        <w:snapToGrid w:val="0"/>
        <w:spacing w:before="100" w:beforeAutospacing="1" w:after="100" w:afterAutospacing="1"/>
        <w:contextualSpacing/>
        <w:jc w:val="both"/>
        <w:rPr>
          <w:rFonts w:ascii="Gilroy" w:eastAsia="Times New Roman" w:hAnsi="Gilroy" w:cs="Times New Roman"/>
          <w:lang w:eastAsia="en-GB"/>
        </w:rPr>
      </w:pPr>
      <w:r>
        <w:rPr>
          <w:rFonts w:ascii="Gilroy" w:eastAsia="Times New Roman" w:hAnsi="Gilroy" w:cs="Times New Roman"/>
          <w:lang w:eastAsia="en-GB"/>
        </w:rPr>
        <w:t>T</w:t>
      </w:r>
      <w:r w:rsidRPr="00070D32">
        <w:rPr>
          <w:rFonts w:ascii="Gilroy" w:eastAsia="Times New Roman" w:hAnsi="Gilroy" w:cs="Times New Roman"/>
          <w:lang w:eastAsia="en-GB"/>
        </w:rPr>
        <w:t xml:space="preserve">he need for </w:t>
      </w:r>
      <w:r>
        <w:rPr>
          <w:rFonts w:ascii="Gilroy" w:eastAsia="Times New Roman" w:hAnsi="Gilroy" w:cs="Times New Roman"/>
          <w:lang w:eastAsia="en-GB"/>
        </w:rPr>
        <w:t xml:space="preserve">limiting data collection and ensuring </w:t>
      </w:r>
      <w:r w:rsidRPr="00070D32">
        <w:rPr>
          <w:rFonts w:ascii="Gilroy" w:eastAsia="Times New Roman" w:hAnsi="Gilroy" w:cs="Times New Roman"/>
          <w:lang w:eastAsia="en-GB"/>
        </w:rPr>
        <w:t>transparency in data processing</w:t>
      </w:r>
      <w:r>
        <w:rPr>
          <w:rFonts w:ascii="Gilroy" w:eastAsia="Times New Roman" w:hAnsi="Gilroy" w:cs="Times New Roman"/>
          <w:lang w:eastAsia="en-GB"/>
        </w:rPr>
        <w:t>, is of particular importance to ensure that persons with disabilities do not face discrimination and rights violations when accessing public services, using products and benefiting from social protection.</w:t>
      </w:r>
    </w:p>
    <w:p w14:paraId="026B5145" w14:textId="77777777" w:rsidR="002D4E94" w:rsidRDefault="002D4E94" w:rsidP="002D4E94">
      <w:pPr>
        <w:snapToGrid w:val="0"/>
        <w:spacing w:before="100" w:beforeAutospacing="1" w:after="100" w:afterAutospacing="1"/>
        <w:contextualSpacing/>
        <w:jc w:val="both"/>
        <w:rPr>
          <w:rFonts w:ascii="Gilroy" w:eastAsia="Times New Roman" w:hAnsi="Gilroy" w:cs="Times New Roman"/>
          <w:lang w:eastAsia="en-GB"/>
        </w:rPr>
      </w:pPr>
    </w:p>
    <w:p w14:paraId="6A1984BA" w14:textId="64E3F5E6" w:rsidR="002D4E94" w:rsidRDefault="002D4E94" w:rsidP="002D4E94">
      <w:pPr>
        <w:snapToGrid w:val="0"/>
        <w:spacing w:before="100" w:beforeAutospacing="1" w:after="100" w:afterAutospacing="1"/>
        <w:contextualSpacing/>
        <w:jc w:val="both"/>
        <w:rPr>
          <w:rFonts w:ascii="Gilroy" w:eastAsia="Times New Roman" w:hAnsi="Gilroy" w:cs="Times New Roman"/>
          <w:lang w:eastAsia="en-GB"/>
        </w:rPr>
      </w:pPr>
      <w:r>
        <w:rPr>
          <w:rFonts w:ascii="Gilroy" w:eastAsia="Times New Roman" w:hAnsi="Gilroy" w:cs="Times New Roman"/>
          <w:lang w:eastAsia="en-GB"/>
        </w:rPr>
        <w:lastRenderedPageBreak/>
        <w:t xml:space="preserve">The importance of </w:t>
      </w:r>
      <w:r w:rsidR="00246BBF">
        <w:rPr>
          <w:rFonts w:ascii="Gilroy" w:eastAsia="Times New Roman" w:hAnsi="Gilroy" w:cs="Times New Roman"/>
          <w:lang w:eastAsia="en-GB"/>
        </w:rPr>
        <w:t>observing</w:t>
      </w:r>
      <w:r>
        <w:rPr>
          <w:rFonts w:ascii="Gilroy" w:eastAsia="Times New Roman" w:hAnsi="Gilroy" w:cs="Times New Roman"/>
          <w:lang w:eastAsia="en-GB"/>
        </w:rPr>
        <w:t xml:space="preserve"> data protection</w:t>
      </w:r>
      <w:r w:rsidR="00A96482">
        <w:rPr>
          <w:rFonts w:ascii="Gilroy" w:eastAsia="Times New Roman" w:hAnsi="Gilroy" w:cs="Times New Roman"/>
          <w:lang w:eastAsia="en-GB"/>
        </w:rPr>
        <w:t xml:space="preserve"> principles</w:t>
      </w:r>
      <w:r>
        <w:rPr>
          <w:rFonts w:ascii="Gilroy" w:eastAsia="Times New Roman" w:hAnsi="Gilroy" w:cs="Times New Roman"/>
          <w:lang w:eastAsia="en-GB"/>
        </w:rPr>
        <w:t xml:space="preserve"> </w:t>
      </w:r>
      <w:r w:rsidR="00A96482">
        <w:rPr>
          <w:rFonts w:ascii="Gilroy" w:eastAsia="Times New Roman" w:hAnsi="Gilroy" w:cs="Times New Roman"/>
          <w:lang w:eastAsia="en-GB"/>
        </w:rPr>
        <w:t xml:space="preserve">in order to uphold the right to privacy </w:t>
      </w:r>
      <w:r>
        <w:rPr>
          <w:rFonts w:ascii="Gilroy" w:eastAsia="Times New Roman" w:hAnsi="Gilroy" w:cs="Times New Roman"/>
          <w:lang w:eastAsia="en-GB"/>
        </w:rPr>
        <w:t xml:space="preserve">is supported by Article 31 of the CRPD on statistics and data collection, which obliges </w:t>
      </w:r>
      <w:r w:rsidR="00F307AA">
        <w:rPr>
          <w:rFonts w:ascii="Gilroy" w:eastAsia="Times New Roman" w:hAnsi="Gilroy" w:cs="Times New Roman"/>
          <w:lang w:eastAsia="en-GB"/>
        </w:rPr>
        <w:t>member-</w:t>
      </w:r>
      <w:r>
        <w:rPr>
          <w:rFonts w:ascii="Gilroy" w:eastAsia="Times New Roman" w:hAnsi="Gilroy" w:cs="Times New Roman"/>
          <w:lang w:eastAsia="en-GB"/>
        </w:rPr>
        <w:t>state</w:t>
      </w:r>
      <w:r w:rsidR="00F307AA">
        <w:rPr>
          <w:rFonts w:ascii="Gilroy" w:eastAsia="Times New Roman" w:hAnsi="Gilroy" w:cs="Times New Roman"/>
          <w:lang w:eastAsia="en-GB"/>
        </w:rPr>
        <w:t>s</w:t>
      </w:r>
      <w:r>
        <w:rPr>
          <w:rFonts w:ascii="Gilroy" w:eastAsia="Times New Roman" w:hAnsi="Gilroy" w:cs="Times New Roman"/>
          <w:lang w:eastAsia="en-GB"/>
        </w:rPr>
        <w:t xml:space="preserve"> to “</w:t>
      </w:r>
      <w:r w:rsidRPr="00FD7577">
        <w:rPr>
          <w:rFonts w:ascii="Gilroy" w:eastAsia="Times New Roman" w:hAnsi="Gilroy" w:cs="Times New Roman"/>
          <w:i/>
          <w:iCs/>
          <w:lang w:eastAsia="en-GB"/>
        </w:rPr>
        <w:t>Comply with legally established safeguards, including legislation on data protection, to ensure confidentiality and respect for the privacy of persons with disabilities</w:t>
      </w:r>
      <w:r>
        <w:rPr>
          <w:rFonts w:ascii="Gilroy" w:eastAsia="Times New Roman" w:hAnsi="Gilroy" w:cs="Times New Roman"/>
          <w:lang w:eastAsia="en-GB"/>
        </w:rPr>
        <w:t>” and further to “</w:t>
      </w:r>
      <w:r w:rsidRPr="00FD7577">
        <w:rPr>
          <w:rFonts w:ascii="Gilroy" w:eastAsia="Times New Roman" w:hAnsi="Gilroy" w:cs="Times New Roman"/>
          <w:i/>
          <w:iCs/>
          <w:lang w:eastAsia="en-GB"/>
        </w:rPr>
        <w:t>Comply with internationally accepted norms to protect human rights and fundamental freedoms and ethical principles in the collection and use of statistics</w:t>
      </w:r>
      <w:r>
        <w:rPr>
          <w:rFonts w:ascii="Gilroy" w:eastAsia="Times New Roman" w:hAnsi="Gilroy" w:cs="Times New Roman"/>
          <w:lang w:eastAsia="en-GB"/>
        </w:rPr>
        <w:t xml:space="preserve">”. Equally, the UN Committee on Rights of Persons with Disabilities has recognised the importance of said data protection principles in its recommendations to states, including to Estonia in April 2021 where it called upon the </w:t>
      </w:r>
      <w:r w:rsidR="00F307AA">
        <w:rPr>
          <w:rFonts w:ascii="Gilroy" w:eastAsia="Times New Roman" w:hAnsi="Gilroy" w:cs="Times New Roman"/>
          <w:lang w:eastAsia="en-GB"/>
        </w:rPr>
        <w:t xml:space="preserve">state </w:t>
      </w:r>
      <w:r>
        <w:rPr>
          <w:rFonts w:ascii="Gilroy" w:eastAsia="Times New Roman" w:hAnsi="Gilroy" w:cs="Times New Roman"/>
          <w:lang w:eastAsia="en-GB"/>
        </w:rPr>
        <w:t>to “</w:t>
      </w:r>
      <w:r w:rsidRPr="00FD7577">
        <w:rPr>
          <w:rFonts w:ascii="Gilroy" w:eastAsia="Times New Roman" w:hAnsi="Gilroy" w:cs="Times New Roman"/>
          <w:i/>
          <w:iCs/>
          <w:lang w:eastAsia="en-GB"/>
        </w:rPr>
        <w:t>Develop a system and procedures for collecting data on persons with disabilities […] [which] should ensure confidentiality and respect the privacy of persons with disabilities</w:t>
      </w:r>
      <w:r>
        <w:rPr>
          <w:rFonts w:ascii="Gilroy" w:eastAsia="Times New Roman" w:hAnsi="Gilroy" w:cs="Times New Roman"/>
          <w:lang w:eastAsia="en-GB"/>
        </w:rPr>
        <w:t>”.</w:t>
      </w:r>
      <w:r>
        <w:rPr>
          <w:rStyle w:val="FootnoteReference"/>
          <w:rFonts w:ascii="Gilroy" w:eastAsia="Times New Roman" w:hAnsi="Gilroy" w:cs="Times New Roman"/>
          <w:lang w:eastAsia="en-GB"/>
        </w:rPr>
        <w:footnoteReference w:id="46"/>
      </w:r>
      <w:r>
        <w:rPr>
          <w:rFonts w:ascii="Gilroy" w:eastAsia="Times New Roman" w:hAnsi="Gilroy" w:cs="Times New Roman"/>
          <w:lang w:eastAsia="en-GB"/>
        </w:rPr>
        <w:t xml:space="preserve"> </w:t>
      </w:r>
    </w:p>
    <w:p w14:paraId="7005CA68" w14:textId="77777777" w:rsidR="002D4E94" w:rsidRDefault="002D4E94" w:rsidP="002D4E94">
      <w:pPr>
        <w:snapToGrid w:val="0"/>
        <w:spacing w:before="100" w:beforeAutospacing="1" w:after="100" w:afterAutospacing="1"/>
        <w:contextualSpacing/>
        <w:jc w:val="both"/>
        <w:rPr>
          <w:rFonts w:ascii="Gilroy" w:eastAsia="Times New Roman" w:hAnsi="Gilroy" w:cs="Times New Roman"/>
          <w:lang w:eastAsia="en-GB"/>
        </w:rPr>
      </w:pPr>
    </w:p>
    <w:p w14:paraId="0E918056" w14:textId="77777777" w:rsidR="00CD48F0" w:rsidRDefault="002D4E94" w:rsidP="002D4E94">
      <w:pPr>
        <w:snapToGrid w:val="0"/>
        <w:spacing w:before="100" w:beforeAutospacing="1" w:after="100" w:afterAutospacing="1"/>
        <w:contextualSpacing/>
        <w:jc w:val="both"/>
        <w:rPr>
          <w:rFonts w:ascii="Gilroy" w:eastAsia="Times New Roman" w:hAnsi="Gilroy" w:cs="Times New Roman"/>
          <w:lang w:eastAsia="en-GB"/>
        </w:rPr>
      </w:pPr>
      <w:r>
        <w:rPr>
          <w:rFonts w:ascii="Gilroy" w:eastAsia="Times New Roman" w:hAnsi="Gilroy" w:cs="Times New Roman"/>
          <w:lang w:eastAsia="en-GB"/>
        </w:rPr>
        <w:t xml:space="preserve">These internationally accepted norms and principles when it comes to data protection of persons with disabilities should be robustly </w:t>
      </w:r>
      <w:r w:rsidR="00246BBF">
        <w:rPr>
          <w:rFonts w:ascii="Gilroy" w:eastAsia="Times New Roman" w:hAnsi="Gilroy" w:cs="Times New Roman"/>
          <w:lang w:eastAsia="en-GB"/>
        </w:rPr>
        <w:t xml:space="preserve">incorporated </w:t>
      </w:r>
      <w:r>
        <w:rPr>
          <w:rFonts w:ascii="Gilroy" w:eastAsia="Times New Roman" w:hAnsi="Gilroy" w:cs="Times New Roman"/>
          <w:lang w:eastAsia="en-GB"/>
        </w:rPr>
        <w:t>by states in their national legislations, including national data protection legislation</w:t>
      </w:r>
      <w:r w:rsidR="00605BF4">
        <w:rPr>
          <w:rFonts w:ascii="Gilroy" w:eastAsia="Times New Roman" w:hAnsi="Gilroy" w:cs="Times New Roman"/>
          <w:lang w:eastAsia="en-GB"/>
        </w:rPr>
        <w:t>.</w:t>
      </w:r>
      <w:r w:rsidR="00D66B64">
        <w:rPr>
          <w:rFonts w:ascii="Gilroy" w:eastAsia="Times New Roman" w:hAnsi="Gilroy" w:cs="Times New Roman"/>
          <w:lang w:eastAsia="en-GB"/>
        </w:rPr>
        <w:t xml:space="preserve"> Should states fail to do so, they risk exposing some of their most vulnerable citizens to rights violations, particularly the right to privacy. </w:t>
      </w:r>
    </w:p>
    <w:p w14:paraId="65DFF0F2" w14:textId="77777777" w:rsidR="00CD48F0" w:rsidRDefault="00CD48F0" w:rsidP="002D4E94">
      <w:pPr>
        <w:snapToGrid w:val="0"/>
        <w:spacing w:before="100" w:beforeAutospacing="1" w:after="100" w:afterAutospacing="1"/>
        <w:contextualSpacing/>
        <w:jc w:val="both"/>
        <w:rPr>
          <w:rFonts w:ascii="Gilroy" w:eastAsia="Times New Roman" w:hAnsi="Gilroy" w:cs="Times New Roman"/>
          <w:lang w:eastAsia="en-GB"/>
        </w:rPr>
      </w:pPr>
    </w:p>
    <w:p w14:paraId="2932EBC6" w14:textId="7587A9EE" w:rsidR="002D4E94" w:rsidRDefault="00D66B64" w:rsidP="002D4E94">
      <w:pPr>
        <w:snapToGrid w:val="0"/>
        <w:spacing w:before="100" w:beforeAutospacing="1" w:after="100" w:afterAutospacing="1"/>
        <w:contextualSpacing/>
        <w:jc w:val="both"/>
        <w:rPr>
          <w:rFonts w:ascii="Gilroy" w:eastAsia="Times New Roman" w:hAnsi="Gilroy" w:cs="Times New Roman"/>
          <w:lang w:eastAsia="en-GB"/>
        </w:rPr>
      </w:pPr>
      <w:r>
        <w:rPr>
          <w:rFonts w:ascii="Gilroy" w:eastAsia="Times New Roman" w:hAnsi="Gilroy" w:cs="Times New Roman"/>
          <w:lang w:eastAsia="en-GB"/>
        </w:rPr>
        <w:t>For example, in 2022 PI relayed findings on</w:t>
      </w:r>
      <w:r w:rsidRPr="00D66B64">
        <w:rPr>
          <w:rFonts w:ascii="Gilroy" w:eastAsia="Times New Roman" w:hAnsi="Gilroy" w:cs="Times New Roman"/>
          <w:lang w:eastAsia="en-GB"/>
        </w:rPr>
        <w:t xml:space="preserve"> emergency social protection </w:t>
      </w:r>
      <w:r>
        <w:rPr>
          <w:rFonts w:ascii="Gilroy" w:eastAsia="Times New Roman" w:hAnsi="Gilroy" w:cs="Times New Roman"/>
          <w:lang w:eastAsia="en-GB"/>
        </w:rPr>
        <w:t>in Mozambique, which</w:t>
      </w:r>
      <w:r w:rsidRPr="00D66B64">
        <w:rPr>
          <w:rFonts w:ascii="Gilroy" w:eastAsia="Times New Roman" w:hAnsi="Gilroy" w:cs="Times New Roman"/>
          <w:lang w:eastAsia="en-GB"/>
        </w:rPr>
        <w:t xml:space="preserve"> found that </w:t>
      </w:r>
      <w:r>
        <w:rPr>
          <w:rFonts w:ascii="Gilroy" w:eastAsia="Times New Roman" w:hAnsi="Gilroy" w:cs="Times New Roman"/>
          <w:lang w:eastAsia="en-GB"/>
        </w:rPr>
        <w:t xml:space="preserve">as well as lack of transparency in the cash-transfer programme itself, </w:t>
      </w:r>
      <w:r w:rsidRPr="00D66B64">
        <w:rPr>
          <w:rFonts w:ascii="Gilroy" w:eastAsia="Times New Roman" w:hAnsi="Gilroy" w:cs="Times New Roman"/>
          <w:lang w:eastAsia="en-GB"/>
        </w:rPr>
        <w:t xml:space="preserve">throughout </w:t>
      </w:r>
      <w:r>
        <w:rPr>
          <w:rFonts w:ascii="Gilroy" w:eastAsia="Times New Roman" w:hAnsi="Gilroy" w:cs="Times New Roman"/>
          <w:lang w:eastAsia="en-GB"/>
        </w:rPr>
        <w:t>its</w:t>
      </w:r>
      <w:r w:rsidRPr="00D66B64">
        <w:rPr>
          <w:rFonts w:ascii="Gilroy" w:eastAsia="Times New Roman" w:hAnsi="Gilroy" w:cs="Times New Roman"/>
          <w:lang w:eastAsia="en-GB"/>
        </w:rPr>
        <w:t xml:space="preserve"> roll-out there were reports of </w:t>
      </w:r>
      <w:r>
        <w:rPr>
          <w:rFonts w:ascii="Gilroy" w:eastAsia="Times New Roman" w:hAnsi="Gilroy" w:cs="Times New Roman"/>
          <w:lang w:eastAsia="en-GB"/>
        </w:rPr>
        <w:t>benefit claimants being subjected to intimidation, threats and harassment</w:t>
      </w:r>
      <w:r w:rsidRPr="00D66B64">
        <w:rPr>
          <w:rFonts w:ascii="Gilroy" w:eastAsia="Times New Roman" w:hAnsi="Gilroy" w:cs="Times New Roman"/>
          <w:lang w:eastAsia="en-GB"/>
        </w:rPr>
        <w:t xml:space="preserve"> over the phone by individuals demanding </w:t>
      </w:r>
      <w:r>
        <w:rPr>
          <w:rFonts w:ascii="Gilroy" w:eastAsia="Times New Roman" w:hAnsi="Gilroy" w:cs="Times New Roman"/>
          <w:lang w:eastAsia="en-GB"/>
        </w:rPr>
        <w:t xml:space="preserve">they </w:t>
      </w:r>
      <w:r w:rsidRPr="00D66B64">
        <w:rPr>
          <w:rFonts w:ascii="Gilroy" w:eastAsia="Times New Roman" w:hAnsi="Gilroy" w:cs="Times New Roman"/>
          <w:lang w:eastAsia="en-GB"/>
        </w:rPr>
        <w:t>hand over the phone</w:t>
      </w:r>
      <w:r>
        <w:rPr>
          <w:rFonts w:ascii="Gilroy" w:eastAsia="Times New Roman" w:hAnsi="Gilroy" w:cs="Times New Roman"/>
          <w:lang w:eastAsia="en-GB"/>
        </w:rPr>
        <w:t>(</w:t>
      </w:r>
      <w:r w:rsidRPr="00D66B64">
        <w:rPr>
          <w:rFonts w:ascii="Gilroy" w:eastAsia="Times New Roman" w:hAnsi="Gilroy" w:cs="Times New Roman"/>
          <w:lang w:eastAsia="en-GB"/>
        </w:rPr>
        <w:t>s</w:t>
      </w:r>
      <w:r>
        <w:rPr>
          <w:rFonts w:ascii="Gilroy" w:eastAsia="Times New Roman" w:hAnsi="Gilroy" w:cs="Times New Roman"/>
          <w:lang w:eastAsia="en-GB"/>
        </w:rPr>
        <w:t>)</w:t>
      </w:r>
      <w:r w:rsidRPr="00D66B64">
        <w:rPr>
          <w:rFonts w:ascii="Gilroy" w:eastAsia="Times New Roman" w:hAnsi="Gilroy" w:cs="Times New Roman"/>
          <w:lang w:eastAsia="en-GB"/>
        </w:rPr>
        <w:t xml:space="preserve"> to which the benefit </w:t>
      </w:r>
      <w:r>
        <w:rPr>
          <w:rFonts w:ascii="Gilroy" w:eastAsia="Times New Roman" w:hAnsi="Gilroy" w:cs="Times New Roman"/>
          <w:lang w:eastAsia="en-GB"/>
        </w:rPr>
        <w:t>was</w:t>
      </w:r>
      <w:r w:rsidRPr="00D66B64">
        <w:rPr>
          <w:rFonts w:ascii="Gilroy" w:eastAsia="Times New Roman" w:hAnsi="Gilroy" w:cs="Times New Roman"/>
          <w:lang w:eastAsia="en-GB"/>
        </w:rPr>
        <w:t xml:space="preserve"> linked. </w:t>
      </w:r>
      <w:r>
        <w:rPr>
          <w:rFonts w:ascii="Gilroy" w:eastAsia="Times New Roman" w:hAnsi="Gilroy" w:cs="Times New Roman"/>
          <w:lang w:eastAsia="en-GB"/>
        </w:rPr>
        <w:t>It remains unclear how beneficiaries’ phone numbers got into the hands of these individuals.</w:t>
      </w:r>
      <w:r>
        <w:rPr>
          <w:rStyle w:val="FootnoteReference"/>
          <w:rFonts w:ascii="Gilroy" w:eastAsia="Times New Roman" w:hAnsi="Gilroy" w:cs="Times New Roman"/>
          <w:lang w:eastAsia="en-GB"/>
        </w:rPr>
        <w:footnoteReference w:id="47"/>
      </w:r>
    </w:p>
    <w:p w14:paraId="218BC54D" w14:textId="77777777" w:rsidR="002D4E94" w:rsidRDefault="002D4E94" w:rsidP="002D4E94">
      <w:pPr>
        <w:snapToGrid w:val="0"/>
        <w:spacing w:before="100" w:beforeAutospacing="1" w:after="100" w:afterAutospacing="1"/>
        <w:contextualSpacing/>
        <w:jc w:val="both"/>
        <w:rPr>
          <w:rFonts w:ascii="Gilroy" w:eastAsia="Times New Roman" w:hAnsi="Gilroy" w:cs="Times New Roman"/>
          <w:lang w:eastAsia="en-GB"/>
        </w:rPr>
      </w:pPr>
    </w:p>
    <w:p w14:paraId="0A1CE18F" w14:textId="77777777" w:rsidR="002D4E94" w:rsidRDefault="002D4E94" w:rsidP="002D4E94">
      <w:pPr>
        <w:snapToGrid w:val="0"/>
        <w:spacing w:before="100" w:beforeAutospacing="1" w:after="100" w:afterAutospacing="1"/>
        <w:contextualSpacing/>
        <w:jc w:val="both"/>
        <w:rPr>
          <w:rFonts w:ascii="Gilroy" w:eastAsia="Times New Roman" w:hAnsi="Gilroy" w:cs="Times New Roman"/>
          <w:lang w:eastAsia="en-GB"/>
        </w:rPr>
      </w:pPr>
      <w:r>
        <w:rPr>
          <w:rFonts w:ascii="Gilroy" w:eastAsia="Times New Roman" w:hAnsi="Gilroy" w:cs="Times New Roman"/>
          <w:lang w:eastAsia="en-GB"/>
        </w:rPr>
        <w:t xml:space="preserve">Below we outline key issues that have emerged in the context of data processing of data of personal with disabilities that require further attention to ensure that their rights and data are protected. </w:t>
      </w:r>
    </w:p>
    <w:p w14:paraId="1105E279" w14:textId="77777777" w:rsidR="002D4E94" w:rsidRDefault="002D4E94" w:rsidP="002D4E94">
      <w:pPr>
        <w:snapToGrid w:val="0"/>
        <w:spacing w:before="100" w:beforeAutospacing="1" w:after="100" w:afterAutospacing="1"/>
        <w:contextualSpacing/>
        <w:jc w:val="both"/>
        <w:rPr>
          <w:rFonts w:ascii="Gilroy" w:eastAsia="Times New Roman" w:hAnsi="Gilroy" w:cs="Times New Roman"/>
          <w:lang w:eastAsia="en-GB"/>
        </w:rPr>
      </w:pPr>
    </w:p>
    <w:p w14:paraId="5FD3FF8D" w14:textId="041F6659" w:rsidR="002D4E94" w:rsidRPr="00BC073F" w:rsidRDefault="002D4E94" w:rsidP="00BC073F">
      <w:pPr>
        <w:pStyle w:val="ListParagraph"/>
        <w:numPr>
          <w:ilvl w:val="0"/>
          <w:numId w:val="33"/>
        </w:numPr>
        <w:snapToGrid w:val="0"/>
        <w:spacing w:before="100" w:beforeAutospacing="1" w:after="100" w:afterAutospacing="1"/>
        <w:jc w:val="both"/>
        <w:outlineLvl w:val="3"/>
        <w:rPr>
          <w:rFonts w:ascii="Gilroy" w:eastAsia="Times New Roman" w:hAnsi="Gilroy" w:cs="Times New Roman"/>
          <w:b/>
          <w:bCs/>
          <w:lang w:eastAsia="en-GB"/>
        </w:rPr>
      </w:pPr>
      <w:r w:rsidRPr="00246BBF">
        <w:rPr>
          <w:rFonts w:ascii="Gilroy" w:eastAsia="Times New Roman" w:hAnsi="Gilroy" w:cs="Times New Roman"/>
          <w:b/>
          <w:bCs/>
          <w:lang w:eastAsia="en-GB"/>
        </w:rPr>
        <w:t xml:space="preserve">Processing of sensitive personal data and need for </w:t>
      </w:r>
      <w:r w:rsidR="00F307AA" w:rsidRPr="00246BBF">
        <w:rPr>
          <w:rFonts w:ascii="Gilroy" w:eastAsia="Times New Roman" w:hAnsi="Gilroy" w:cs="Times New Roman"/>
          <w:b/>
          <w:bCs/>
          <w:lang w:eastAsia="en-GB"/>
        </w:rPr>
        <w:t xml:space="preserve">enhanced </w:t>
      </w:r>
      <w:r w:rsidRPr="00246BBF">
        <w:rPr>
          <w:rFonts w:ascii="Gilroy" w:eastAsia="Times New Roman" w:hAnsi="Gilroy" w:cs="Times New Roman"/>
          <w:b/>
          <w:bCs/>
          <w:lang w:eastAsia="en-GB"/>
        </w:rPr>
        <w:t>safeguards</w:t>
      </w:r>
    </w:p>
    <w:p w14:paraId="62FFA6AD" w14:textId="575E0F66" w:rsidR="002D4E94" w:rsidRDefault="00246BBF" w:rsidP="002D4E94">
      <w:pPr>
        <w:snapToGrid w:val="0"/>
        <w:spacing w:before="100" w:beforeAutospacing="1" w:after="100" w:afterAutospacing="1"/>
        <w:contextualSpacing/>
        <w:jc w:val="both"/>
        <w:rPr>
          <w:rFonts w:ascii="Gilroy" w:eastAsia="Times New Roman" w:hAnsi="Gilroy" w:cs="Times New Roman"/>
          <w:lang w:eastAsia="en-GB"/>
        </w:rPr>
      </w:pPr>
      <w:r>
        <w:rPr>
          <w:rFonts w:ascii="Gilroy" w:eastAsia="Times New Roman" w:hAnsi="Gilroy" w:cs="Times New Roman"/>
          <w:lang w:eastAsia="en-GB"/>
        </w:rPr>
        <w:t xml:space="preserve">International data protection frameworks categorise data revealing health conditions </w:t>
      </w:r>
      <w:r w:rsidR="002D4E94">
        <w:rPr>
          <w:rFonts w:ascii="Gilroy" w:eastAsia="Times New Roman" w:hAnsi="Gilroy" w:cs="Times New Roman"/>
          <w:lang w:eastAsia="en-GB"/>
        </w:rPr>
        <w:t>as sensitive personal data.</w:t>
      </w:r>
      <w:r>
        <w:rPr>
          <w:rStyle w:val="FootnoteReference"/>
          <w:rFonts w:ascii="Gilroy" w:eastAsia="Times New Roman" w:hAnsi="Gilroy" w:cs="Times New Roman"/>
          <w:lang w:eastAsia="en-GB"/>
        </w:rPr>
        <w:footnoteReference w:id="48"/>
      </w:r>
      <w:r>
        <w:rPr>
          <w:rFonts w:ascii="Gilroy" w:eastAsia="Times New Roman" w:hAnsi="Gilroy" w:cs="Times New Roman"/>
          <w:lang w:eastAsia="en-GB"/>
        </w:rPr>
        <w:t xml:space="preserve"> Insofar as information related to a person’s disability may be considered health data, this information is subjected to higher privacy safeguards.</w:t>
      </w:r>
    </w:p>
    <w:p w14:paraId="04AA2E9E" w14:textId="77777777" w:rsidR="002D4E94" w:rsidRDefault="002D4E94" w:rsidP="002D4E94">
      <w:pPr>
        <w:snapToGrid w:val="0"/>
        <w:spacing w:before="100" w:beforeAutospacing="1" w:after="100" w:afterAutospacing="1"/>
        <w:contextualSpacing/>
        <w:jc w:val="both"/>
        <w:rPr>
          <w:rFonts w:ascii="Gilroy" w:eastAsia="Times New Roman" w:hAnsi="Gilroy" w:cs="Times New Roman"/>
          <w:lang w:eastAsia="en-GB"/>
        </w:rPr>
      </w:pPr>
    </w:p>
    <w:p w14:paraId="0FCB08DE" w14:textId="02D4FE73" w:rsidR="002D4E94" w:rsidRDefault="00A96482" w:rsidP="002D4E94">
      <w:pPr>
        <w:snapToGrid w:val="0"/>
        <w:spacing w:before="100" w:beforeAutospacing="1" w:after="100" w:afterAutospacing="1"/>
        <w:contextualSpacing/>
        <w:jc w:val="both"/>
        <w:rPr>
          <w:rFonts w:ascii="Gilroy" w:eastAsia="Times New Roman" w:hAnsi="Gilroy" w:cs="Times New Roman"/>
          <w:lang w:eastAsia="en-GB"/>
        </w:rPr>
      </w:pPr>
      <w:r>
        <w:rPr>
          <w:rFonts w:ascii="Gilroy" w:eastAsia="Times New Roman" w:hAnsi="Gilroy" w:cs="Times New Roman"/>
          <w:lang w:eastAsia="en-GB"/>
        </w:rPr>
        <w:t>This</w:t>
      </w:r>
      <w:r w:rsidR="002D4E94">
        <w:rPr>
          <w:rFonts w:ascii="Gilroy" w:eastAsia="Times New Roman" w:hAnsi="Gilroy" w:cs="Times New Roman"/>
          <w:lang w:eastAsia="en-GB"/>
        </w:rPr>
        <w:t xml:space="preserve"> is a core principle of data protection</w:t>
      </w:r>
      <w:r>
        <w:rPr>
          <w:rFonts w:ascii="Gilroy" w:eastAsia="Times New Roman" w:hAnsi="Gilroy" w:cs="Times New Roman"/>
          <w:lang w:eastAsia="en-GB"/>
        </w:rPr>
        <w:t xml:space="preserve">, </w:t>
      </w:r>
      <w:r w:rsidR="002D4E94">
        <w:rPr>
          <w:rFonts w:ascii="Gilroy" w:eastAsia="Times New Roman" w:hAnsi="Gilroy" w:cs="Times New Roman"/>
          <w:lang w:eastAsia="en-GB"/>
        </w:rPr>
        <w:t xml:space="preserve">recognised </w:t>
      </w:r>
      <w:r w:rsidR="00246BBF">
        <w:rPr>
          <w:rFonts w:ascii="Gilroy" w:eastAsia="Times New Roman" w:hAnsi="Gilroy" w:cs="Times New Roman"/>
          <w:lang w:eastAsia="en-GB"/>
        </w:rPr>
        <w:t>in</w:t>
      </w:r>
      <w:r w:rsidR="002D4E94" w:rsidRPr="00070D32">
        <w:rPr>
          <w:rFonts w:ascii="Gilroy" w:eastAsia="Times New Roman" w:hAnsi="Gilroy" w:cs="Times New Roman"/>
          <w:lang w:eastAsia="en-GB"/>
        </w:rPr>
        <w:t xml:space="preserve"> Art</w:t>
      </w:r>
      <w:r w:rsidR="002D4E94">
        <w:rPr>
          <w:rFonts w:ascii="Gilroy" w:eastAsia="Times New Roman" w:hAnsi="Gilroy" w:cs="Times New Roman"/>
          <w:lang w:eastAsia="en-GB"/>
        </w:rPr>
        <w:t>icle</w:t>
      </w:r>
      <w:r w:rsidR="002D4E94" w:rsidRPr="00070D32">
        <w:rPr>
          <w:rFonts w:ascii="Gilroy" w:eastAsia="Times New Roman" w:hAnsi="Gilroy" w:cs="Times New Roman"/>
          <w:lang w:eastAsia="en-GB"/>
        </w:rPr>
        <w:t xml:space="preserve"> 6 of Convention 108</w:t>
      </w:r>
      <w:r w:rsidR="002D4E94">
        <w:rPr>
          <w:rFonts w:ascii="Gilroy" w:eastAsia="Times New Roman" w:hAnsi="Gilroy" w:cs="Times New Roman"/>
          <w:lang w:eastAsia="en-GB"/>
        </w:rPr>
        <w:t xml:space="preserve">, which stipulates that such data “may not be processed automatically </w:t>
      </w:r>
      <w:r w:rsidR="002D4E94" w:rsidRPr="00832193">
        <w:rPr>
          <w:rFonts w:ascii="Gilroy" w:eastAsia="Times New Roman" w:hAnsi="Gilroy" w:cs="Times New Roman"/>
          <w:lang w:eastAsia="en-GB"/>
        </w:rPr>
        <w:t>unless</w:t>
      </w:r>
      <w:r w:rsidR="002D4E94">
        <w:rPr>
          <w:rFonts w:ascii="Gilroy" w:eastAsia="Times New Roman" w:hAnsi="Gilroy" w:cs="Times New Roman"/>
          <w:lang w:eastAsia="en-GB"/>
        </w:rPr>
        <w:t xml:space="preserve"> </w:t>
      </w:r>
      <w:r w:rsidR="002D4E94" w:rsidRPr="00832193">
        <w:rPr>
          <w:rFonts w:ascii="Gilroy" w:eastAsia="Times New Roman" w:hAnsi="Gilroy" w:cs="Times New Roman"/>
          <w:lang w:eastAsia="en-GB"/>
        </w:rPr>
        <w:lastRenderedPageBreak/>
        <w:t>domestic law provides appropriate safeguards</w:t>
      </w:r>
      <w:r w:rsidR="002D4E94">
        <w:rPr>
          <w:rFonts w:ascii="Gilroy" w:eastAsia="Times New Roman" w:hAnsi="Gilroy" w:cs="Times New Roman"/>
          <w:lang w:eastAsia="en-GB"/>
        </w:rPr>
        <w:t>”</w:t>
      </w:r>
      <w:r w:rsidR="002D4E94">
        <w:rPr>
          <w:rStyle w:val="FootnoteReference"/>
          <w:rFonts w:ascii="Gilroy" w:eastAsia="Times New Roman" w:hAnsi="Gilroy" w:cs="Times New Roman"/>
          <w:lang w:eastAsia="en-GB"/>
        </w:rPr>
        <w:footnoteReference w:id="49"/>
      </w:r>
      <w:r w:rsidR="00246BBF">
        <w:rPr>
          <w:rStyle w:val="CommentReference"/>
        </w:rPr>
        <w:t xml:space="preserve">.  </w:t>
      </w:r>
      <w:r w:rsidR="00246BBF">
        <w:rPr>
          <w:rFonts w:ascii="Gilroy" w:eastAsia="Times New Roman" w:hAnsi="Gilroy" w:cs="Times New Roman"/>
          <w:lang w:eastAsia="en-GB"/>
        </w:rPr>
        <w:t>N</w:t>
      </w:r>
      <w:r w:rsidR="002D4E94">
        <w:rPr>
          <w:rFonts w:ascii="Gilroy" w:eastAsia="Times New Roman" w:hAnsi="Gilroy" w:cs="Times New Roman"/>
          <w:lang w:eastAsia="en-GB"/>
        </w:rPr>
        <w:t>ational data protection laws adopted the world</w:t>
      </w:r>
      <w:r>
        <w:rPr>
          <w:rFonts w:ascii="Gilroy" w:eastAsia="Times New Roman" w:hAnsi="Gilroy" w:cs="Times New Roman"/>
          <w:lang w:eastAsia="en-GB"/>
        </w:rPr>
        <w:t xml:space="preserve"> over</w:t>
      </w:r>
      <w:r w:rsidR="00246BBF">
        <w:rPr>
          <w:rFonts w:ascii="Gilroy" w:eastAsia="Times New Roman" w:hAnsi="Gilroy" w:cs="Times New Roman"/>
          <w:lang w:eastAsia="en-GB"/>
        </w:rPr>
        <w:t xml:space="preserve"> similarly impose additional safeguards as a pre-condition to the processing of health data</w:t>
      </w:r>
      <w:r w:rsidR="002D4E94">
        <w:rPr>
          <w:rFonts w:ascii="Gilroy" w:eastAsia="Times New Roman" w:hAnsi="Gilroy" w:cs="Times New Roman"/>
          <w:lang w:eastAsia="en-GB"/>
        </w:rPr>
        <w:t xml:space="preserve">. </w:t>
      </w:r>
    </w:p>
    <w:p w14:paraId="7B1FD93A" w14:textId="77777777" w:rsidR="002D4E94" w:rsidRPr="00C913BB" w:rsidRDefault="002D4E94" w:rsidP="002D4E94">
      <w:pPr>
        <w:snapToGrid w:val="0"/>
        <w:spacing w:before="100" w:beforeAutospacing="1" w:after="100" w:afterAutospacing="1"/>
        <w:contextualSpacing/>
        <w:jc w:val="both"/>
        <w:rPr>
          <w:rFonts w:ascii="Gilroy" w:eastAsia="Times New Roman" w:hAnsi="Gilroy" w:cs="Times New Roman"/>
          <w:lang w:eastAsia="en-GB"/>
        </w:rPr>
      </w:pPr>
    </w:p>
    <w:p w14:paraId="0FDD8933" w14:textId="0D876AB2" w:rsidR="002D4E94" w:rsidRPr="00070D32" w:rsidRDefault="00246BBF" w:rsidP="002D4E94">
      <w:pPr>
        <w:snapToGrid w:val="0"/>
        <w:spacing w:before="100" w:beforeAutospacing="1" w:after="100" w:afterAutospacing="1"/>
        <w:contextualSpacing/>
        <w:jc w:val="both"/>
        <w:rPr>
          <w:rFonts w:ascii="Gilroy" w:eastAsia="Times New Roman" w:hAnsi="Gilroy" w:cs="Times New Roman"/>
          <w:lang w:eastAsia="en-GB"/>
        </w:rPr>
      </w:pPr>
      <w:r>
        <w:rPr>
          <w:rFonts w:ascii="Gilroy" w:eastAsia="Times New Roman" w:hAnsi="Gilroy" w:cs="Times New Roman"/>
          <w:lang w:eastAsia="en-GB"/>
        </w:rPr>
        <w:t xml:space="preserve">Generally, the processing </w:t>
      </w:r>
      <w:r w:rsidR="002D4E94">
        <w:rPr>
          <w:rFonts w:ascii="Gilroy" w:eastAsia="Times New Roman" w:hAnsi="Gilroy" w:cs="Times New Roman"/>
          <w:lang w:eastAsia="en-GB"/>
        </w:rPr>
        <w:t xml:space="preserve">of data from persons with disabilities </w:t>
      </w:r>
      <w:r w:rsidR="00F307AA">
        <w:rPr>
          <w:rFonts w:ascii="Gilroy" w:eastAsia="Times New Roman" w:hAnsi="Gilroy" w:cs="Times New Roman"/>
          <w:lang w:eastAsia="en-GB"/>
        </w:rPr>
        <w:t xml:space="preserve">should </w:t>
      </w:r>
      <w:r>
        <w:rPr>
          <w:rFonts w:ascii="Gilroy" w:eastAsia="Times New Roman" w:hAnsi="Gilroy" w:cs="Times New Roman"/>
          <w:lang w:eastAsia="en-GB"/>
        </w:rPr>
        <w:t xml:space="preserve">occur only </w:t>
      </w:r>
      <w:proofErr w:type="gramStart"/>
      <w:r>
        <w:rPr>
          <w:rFonts w:ascii="Gilroy" w:eastAsia="Times New Roman" w:hAnsi="Gilroy" w:cs="Times New Roman"/>
          <w:lang w:eastAsia="en-GB"/>
        </w:rPr>
        <w:t>where</w:t>
      </w:r>
      <w:r w:rsidR="002D4E94">
        <w:rPr>
          <w:rFonts w:ascii="Gilroy" w:eastAsia="Times New Roman" w:hAnsi="Gilroy" w:cs="Times New Roman"/>
          <w:lang w:eastAsia="en-GB"/>
        </w:rPr>
        <w:t xml:space="preserve"> </w:t>
      </w:r>
      <w:r w:rsidR="00F307AA">
        <w:rPr>
          <w:rFonts w:ascii="Gilroy" w:eastAsia="Times New Roman" w:hAnsi="Gilroy" w:cs="Times New Roman"/>
          <w:lang w:eastAsia="en-GB"/>
        </w:rPr>
        <w:t xml:space="preserve"> necessary</w:t>
      </w:r>
      <w:proofErr w:type="gramEnd"/>
      <w:r w:rsidR="00F307AA">
        <w:rPr>
          <w:rFonts w:ascii="Gilroy" w:eastAsia="Times New Roman" w:hAnsi="Gilroy" w:cs="Times New Roman"/>
          <w:lang w:eastAsia="en-GB"/>
        </w:rPr>
        <w:t xml:space="preserve"> to achieve the purpose for which they have been collected</w:t>
      </w:r>
      <w:r>
        <w:rPr>
          <w:rFonts w:ascii="Gilroy" w:eastAsia="Times New Roman" w:hAnsi="Gilroy" w:cs="Times New Roman"/>
          <w:lang w:eastAsia="en-GB"/>
        </w:rPr>
        <w:t xml:space="preserve">. Where this data concerns their </w:t>
      </w:r>
      <w:proofErr w:type="gramStart"/>
      <w:r>
        <w:rPr>
          <w:rFonts w:ascii="Gilroy" w:eastAsia="Times New Roman" w:hAnsi="Gilroy" w:cs="Times New Roman"/>
          <w:lang w:eastAsia="en-GB"/>
        </w:rPr>
        <w:t>disability</w:t>
      </w:r>
      <w:proofErr w:type="gramEnd"/>
      <w:r>
        <w:rPr>
          <w:rFonts w:ascii="Gilroy" w:eastAsia="Times New Roman" w:hAnsi="Gilroy" w:cs="Times New Roman"/>
          <w:lang w:eastAsia="en-GB"/>
        </w:rPr>
        <w:t xml:space="preserve"> it must be</w:t>
      </w:r>
      <w:r w:rsidR="002D4E94">
        <w:rPr>
          <w:rFonts w:ascii="Gilroy" w:eastAsia="Times New Roman" w:hAnsi="Gilroy" w:cs="Times New Roman"/>
          <w:lang w:eastAsia="en-GB"/>
        </w:rPr>
        <w:t xml:space="preserve"> </w:t>
      </w:r>
      <w:r>
        <w:rPr>
          <w:rFonts w:ascii="Gilroy" w:eastAsia="Times New Roman" w:hAnsi="Gilroy" w:cs="Times New Roman"/>
          <w:lang w:eastAsia="en-GB"/>
        </w:rPr>
        <w:t>subject to</w:t>
      </w:r>
      <w:r w:rsidR="002D4E94">
        <w:rPr>
          <w:rFonts w:ascii="Gilroy" w:eastAsia="Times New Roman" w:hAnsi="Gilroy" w:cs="Times New Roman"/>
          <w:lang w:eastAsia="en-GB"/>
        </w:rPr>
        <w:t xml:space="preserve"> </w:t>
      </w:r>
      <w:r w:rsidR="00F307AA">
        <w:rPr>
          <w:rFonts w:ascii="Gilroy" w:eastAsia="Times New Roman" w:hAnsi="Gilroy" w:cs="Times New Roman"/>
          <w:lang w:eastAsia="en-GB"/>
        </w:rPr>
        <w:t>enhanced</w:t>
      </w:r>
      <w:r w:rsidR="002D4E94">
        <w:rPr>
          <w:rFonts w:ascii="Gilroy" w:eastAsia="Times New Roman" w:hAnsi="Gilroy" w:cs="Times New Roman"/>
          <w:lang w:eastAsia="en-GB"/>
        </w:rPr>
        <w:t xml:space="preserve"> safeguards to regulate the collection and processing of such data due to its sensitive nature. </w:t>
      </w:r>
    </w:p>
    <w:p w14:paraId="40E5180F" w14:textId="77777777" w:rsidR="002D4E94" w:rsidRPr="00070D32" w:rsidRDefault="002D4E94" w:rsidP="002D4E94">
      <w:pPr>
        <w:snapToGrid w:val="0"/>
        <w:spacing w:before="100" w:beforeAutospacing="1" w:after="100" w:afterAutospacing="1"/>
        <w:contextualSpacing/>
        <w:jc w:val="both"/>
        <w:rPr>
          <w:rFonts w:ascii="Gilroy" w:eastAsia="Times New Roman" w:hAnsi="Gilroy" w:cs="Times New Roman"/>
          <w:lang w:eastAsia="en-GB"/>
        </w:rPr>
      </w:pPr>
    </w:p>
    <w:p w14:paraId="2FD8C992" w14:textId="7D96635F" w:rsidR="002D4E94" w:rsidRPr="00BC073F" w:rsidRDefault="002D4E94" w:rsidP="00DE7020">
      <w:pPr>
        <w:pStyle w:val="ListParagraph"/>
        <w:numPr>
          <w:ilvl w:val="0"/>
          <w:numId w:val="33"/>
        </w:numPr>
        <w:snapToGrid w:val="0"/>
        <w:spacing w:before="100" w:beforeAutospacing="1" w:after="100" w:afterAutospacing="1"/>
        <w:jc w:val="both"/>
        <w:outlineLvl w:val="3"/>
        <w:rPr>
          <w:rFonts w:ascii="Gilroy" w:eastAsia="Times New Roman" w:hAnsi="Gilroy" w:cs="Times New Roman"/>
          <w:b/>
          <w:bCs/>
          <w:lang w:eastAsia="en-GB"/>
        </w:rPr>
      </w:pPr>
      <w:r w:rsidRPr="00BC073F">
        <w:rPr>
          <w:rFonts w:ascii="Gilroy" w:eastAsia="Times New Roman" w:hAnsi="Gilroy" w:cs="Times New Roman"/>
          <w:b/>
          <w:bCs/>
          <w:lang w:eastAsia="en-GB"/>
        </w:rPr>
        <w:t>Data minimisation</w:t>
      </w:r>
    </w:p>
    <w:p w14:paraId="2AB9C2E0" w14:textId="77777777" w:rsidR="002D4E94" w:rsidRDefault="002D4E94" w:rsidP="002D4E94">
      <w:pPr>
        <w:snapToGrid w:val="0"/>
        <w:spacing w:before="100" w:beforeAutospacing="1" w:after="100" w:afterAutospacing="1"/>
        <w:contextualSpacing/>
        <w:jc w:val="both"/>
        <w:outlineLvl w:val="3"/>
        <w:rPr>
          <w:rFonts w:ascii="Gilroy" w:eastAsia="Times New Roman" w:hAnsi="Gilroy" w:cs="Times New Roman"/>
          <w:b/>
          <w:bCs/>
          <w:lang w:eastAsia="en-GB"/>
        </w:rPr>
      </w:pPr>
    </w:p>
    <w:p w14:paraId="3375E73D" w14:textId="29280424" w:rsidR="002D4E94" w:rsidRPr="007C45FC" w:rsidRDefault="00246BBF" w:rsidP="002D4E94">
      <w:pPr>
        <w:snapToGrid w:val="0"/>
        <w:spacing w:before="100" w:beforeAutospacing="1" w:after="100" w:afterAutospacing="1"/>
        <w:contextualSpacing/>
        <w:jc w:val="both"/>
        <w:outlineLvl w:val="3"/>
        <w:rPr>
          <w:rFonts w:ascii="Gilroy" w:eastAsia="Times New Roman" w:hAnsi="Gilroy" w:cs="Times New Roman"/>
          <w:lang w:eastAsia="en-GB"/>
        </w:rPr>
      </w:pPr>
      <w:r>
        <w:rPr>
          <w:rFonts w:ascii="Gilroy" w:eastAsia="Times New Roman" w:hAnsi="Gilroy" w:cs="Times New Roman"/>
          <w:lang w:eastAsia="en-GB"/>
        </w:rPr>
        <w:t>The d</w:t>
      </w:r>
      <w:r w:rsidR="002D4E94">
        <w:rPr>
          <w:rFonts w:ascii="Gilroy" w:eastAsia="Times New Roman" w:hAnsi="Gilroy" w:cs="Times New Roman"/>
          <w:lang w:eastAsia="en-GB"/>
        </w:rPr>
        <w:t>ata minimisation</w:t>
      </w:r>
      <w:r w:rsidR="00C604C7">
        <w:rPr>
          <w:rFonts w:ascii="Gilroy" w:eastAsia="Times New Roman" w:hAnsi="Gilroy" w:cs="Times New Roman"/>
          <w:lang w:eastAsia="en-GB"/>
        </w:rPr>
        <w:t xml:space="preserve"> principle</w:t>
      </w:r>
      <w:r w:rsidR="002D4E94">
        <w:rPr>
          <w:rFonts w:ascii="Gilroy" w:eastAsia="Times New Roman" w:hAnsi="Gilroy" w:cs="Times New Roman"/>
          <w:lang w:eastAsia="en-GB"/>
        </w:rPr>
        <w:t xml:space="preserve"> requires</w:t>
      </w:r>
      <w:r w:rsidR="00A96482">
        <w:rPr>
          <w:rFonts w:ascii="Gilroy" w:eastAsia="Times New Roman" w:hAnsi="Gilroy" w:cs="Times New Roman"/>
          <w:lang w:eastAsia="en-GB"/>
        </w:rPr>
        <w:t xml:space="preserve"> that</w:t>
      </w:r>
      <w:r w:rsidR="002D4E94">
        <w:rPr>
          <w:rFonts w:ascii="Gilroy" w:eastAsia="Times New Roman" w:hAnsi="Gilroy" w:cs="Times New Roman"/>
          <w:lang w:eastAsia="en-GB"/>
        </w:rPr>
        <w:t xml:space="preserve"> any entity, public or private, must only process</w:t>
      </w:r>
      <w:r w:rsidR="002D4E94" w:rsidRPr="007C45FC">
        <w:rPr>
          <w:rFonts w:ascii="Gilroy" w:eastAsia="Times New Roman" w:hAnsi="Gilroy" w:cs="Times New Roman"/>
          <w:lang w:eastAsia="en-GB"/>
        </w:rPr>
        <w:t xml:space="preserve"> the</w:t>
      </w:r>
      <w:r w:rsidR="002D4E94">
        <w:rPr>
          <w:rFonts w:ascii="Gilroy" w:eastAsia="Times New Roman" w:hAnsi="Gilroy" w:cs="Times New Roman"/>
          <w:lang w:eastAsia="en-GB"/>
        </w:rPr>
        <w:t xml:space="preserve"> </w:t>
      </w:r>
      <w:r w:rsidR="002D4E94" w:rsidRPr="007C45FC">
        <w:rPr>
          <w:rFonts w:ascii="Gilroy" w:eastAsia="Times New Roman" w:hAnsi="Gilroy" w:cs="Times New Roman"/>
          <w:lang w:eastAsia="en-GB"/>
        </w:rPr>
        <w:t xml:space="preserve">minimum amount of data necessary </w:t>
      </w:r>
      <w:r w:rsidR="002D4E94">
        <w:rPr>
          <w:rFonts w:ascii="Gilroy" w:eastAsia="Times New Roman" w:hAnsi="Gilroy" w:cs="Times New Roman"/>
          <w:lang w:eastAsia="en-GB"/>
        </w:rPr>
        <w:t xml:space="preserve">is </w:t>
      </w:r>
      <w:r w:rsidR="002D4E94" w:rsidRPr="007C45FC">
        <w:rPr>
          <w:rFonts w:ascii="Gilroy" w:eastAsia="Times New Roman" w:hAnsi="Gilroy" w:cs="Times New Roman"/>
          <w:lang w:eastAsia="en-GB"/>
        </w:rPr>
        <w:t xml:space="preserve">to achieve the </w:t>
      </w:r>
      <w:r w:rsidR="002D4E94">
        <w:rPr>
          <w:rFonts w:ascii="Gilroy" w:eastAsia="Times New Roman" w:hAnsi="Gilroy" w:cs="Times New Roman"/>
          <w:lang w:eastAsia="en-GB"/>
        </w:rPr>
        <w:t xml:space="preserve">specific and legitimate </w:t>
      </w:r>
      <w:r w:rsidR="002D4E94" w:rsidRPr="007C45FC">
        <w:rPr>
          <w:rFonts w:ascii="Gilroy" w:eastAsia="Times New Roman" w:hAnsi="Gilroy" w:cs="Times New Roman"/>
          <w:lang w:eastAsia="en-GB"/>
        </w:rPr>
        <w:t>purpose</w:t>
      </w:r>
      <w:r w:rsidR="002D4E94">
        <w:rPr>
          <w:rFonts w:ascii="Gilroy" w:eastAsia="Times New Roman" w:hAnsi="Gilroy" w:cs="Times New Roman"/>
          <w:lang w:eastAsia="en-GB"/>
        </w:rPr>
        <w:t xml:space="preserve"> of collection.</w:t>
      </w:r>
      <w:r>
        <w:rPr>
          <w:rStyle w:val="FootnoteReference"/>
          <w:rFonts w:ascii="Gilroy" w:eastAsia="Times New Roman" w:hAnsi="Gilroy" w:cs="Times New Roman"/>
          <w:lang w:eastAsia="en-GB"/>
        </w:rPr>
        <w:footnoteReference w:id="50"/>
      </w:r>
      <w:r w:rsidR="002D4E94">
        <w:rPr>
          <w:rFonts w:ascii="Gilroy" w:eastAsia="Times New Roman" w:hAnsi="Gilroy" w:cs="Times New Roman"/>
          <w:lang w:eastAsia="en-GB"/>
        </w:rPr>
        <w:t xml:space="preserve"> </w:t>
      </w:r>
    </w:p>
    <w:p w14:paraId="4BEF2326" w14:textId="77777777" w:rsidR="002D4E94" w:rsidRDefault="002D4E94" w:rsidP="002D4E94">
      <w:pPr>
        <w:snapToGrid w:val="0"/>
        <w:spacing w:before="100" w:beforeAutospacing="1" w:after="100" w:afterAutospacing="1"/>
        <w:contextualSpacing/>
        <w:jc w:val="both"/>
        <w:outlineLvl w:val="3"/>
        <w:rPr>
          <w:rFonts w:ascii="Gilroy" w:eastAsia="Times New Roman" w:hAnsi="Gilroy" w:cs="Times New Roman"/>
          <w:lang w:eastAsia="en-GB"/>
        </w:rPr>
      </w:pPr>
    </w:p>
    <w:p w14:paraId="30244891" w14:textId="4427078A" w:rsidR="002D4E94" w:rsidRDefault="00E604DC" w:rsidP="002D4E94">
      <w:pPr>
        <w:snapToGrid w:val="0"/>
        <w:spacing w:before="100" w:beforeAutospacing="1" w:after="100" w:afterAutospacing="1"/>
        <w:contextualSpacing/>
        <w:jc w:val="both"/>
        <w:outlineLvl w:val="3"/>
        <w:rPr>
          <w:rFonts w:ascii="Gilroy" w:eastAsia="Times New Roman" w:hAnsi="Gilroy" w:cs="Times New Roman"/>
          <w:lang w:eastAsia="en-GB"/>
        </w:rPr>
      </w:pPr>
      <w:r>
        <w:rPr>
          <w:rFonts w:ascii="Gilroy" w:eastAsia="Times New Roman" w:hAnsi="Gilroy" w:cs="Times New Roman"/>
          <w:lang w:eastAsia="en-GB"/>
        </w:rPr>
        <w:t xml:space="preserve">There have been </w:t>
      </w:r>
      <w:r w:rsidR="002D4E94">
        <w:rPr>
          <w:rFonts w:ascii="Gilroy" w:eastAsia="Times New Roman" w:hAnsi="Gilroy" w:cs="Times New Roman"/>
          <w:lang w:eastAsia="en-GB"/>
        </w:rPr>
        <w:t>well-documented concerns that our devices, systems, and infrastructure process vast and excessive amounts of personal data,</w:t>
      </w:r>
      <w:r w:rsidR="002D4E94">
        <w:rPr>
          <w:rStyle w:val="FootnoteReference"/>
          <w:rFonts w:ascii="Gilroy" w:eastAsia="Times New Roman" w:hAnsi="Gilroy" w:cs="Times New Roman"/>
          <w:lang w:eastAsia="en-GB"/>
        </w:rPr>
        <w:footnoteReference w:id="51"/>
      </w:r>
      <w:r w:rsidR="002D4E94">
        <w:rPr>
          <w:rFonts w:ascii="Gilroy" w:eastAsia="Times New Roman" w:hAnsi="Gilroy" w:cs="Times New Roman"/>
          <w:lang w:eastAsia="en-GB"/>
        </w:rPr>
        <w:t xml:space="preserve"> often without a clear purpose and without robust application of safeguards including for example the protection of security and integrity of devices and data.</w:t>
      </w:r>
      <w:r w:rsidR="002D4E94">
        <w:rPr>
          <w:rStyle w:val="FootnoteReference"/>
          <w:rFonts w:ascii="Gilroy" w:eastAsia="Times New Roman" w:hAnsi="Gilroy" w:cs="Times New Roman"/>
          <w:lang w:eastAsia="en-GB"/>
        </w:rPr>
        <w:footnoteReference w:id="52"/>
      </w:r>
      <w:r w:rsidR="002D4E94">
        <w:rPr>
          <w:rFonts w:ascii="Gilroy" w:eastAsia="Times New Roman" w:hAnsi="Gilroy" w:cs="Times New Roman"/>
          <w:lang w:eastAsia="en-GB"/>
        </w:rPr>
        <w:t xml:space="preserve"> These concerns have led to disability groups calling for better privacy protections for persons living with disabilities given not only the increasing amount and diversity of data being processed, but also how data, that may not be disability data specifically can reveal and identify persons living with disabilities.</w:t>
      </w:r>
      <w:r w:rsidR="002D4E94">
        <w:rPr>
          <w:rStyle w:val="FootnoteReference"/>
          <w:rFonts w:ascii="Gilroy" w:eastAsia="Times New Roman" w:hAnsi="Gilroy" w:cs="Times New Roman"/>
          <w:lang w:eastAsia="en-GB"/>
        </w:rPr>
        <w:footnoteReference w:id="53"/>
      </w:r>
    </w:p>
    <w:p w14:paraId="3276D541" w14:textId="77777777" w:rsidR="00E604DC" w:rsidRPr="00070D32" w:rsidRDefault="00E604DC" w:rsidP="002D4E94">
      <w:pPr>
        <w:snapToGrid w:val="0"/>
        <w:spacing w:before="100" w:beforeAutospacing="1" w:after="100" w:afterAutospacing="1"/>
        <w:contextualSpacing/>
        <w:jc w:val="both"/>
        <w:outlineLvl w:val="3"/>
        <w:rPr>
          <w:rFonts w:ascii="Gilroy" w:eastAsia="Times New Roman" w:hAnsi="Gilroy" w:cs="Times New Roman"/>
          <w:b/>
          <w:bCs/>
          <w:lang w:eastAsia="en-GB"/>
        </w:rPr>
      </w:pPr>
    </w:p>
    <w:p w14:paraId="4034AA83" w14:textId="77777777" w:rsidR="00E604DC" w:rsidRDefault="00E604DC" w:rsidP="00E604DC">
      <w:pPr>
        <w:snapToGrid w:val="0"/>
        <w:spacing w:before="100" w:beforeAutospacing="1" w:after="100" w:afterAutospacing="1"/>
        <w:contextualSpacing/>
        <w:jc w:val="both"/>
        <w:outlineLvl w:val="3"/>
        <w:rPr>
          <w:rFonts w:ascii="Gilroy" w:eastAsia="Times New Roman" w:hAnsi="Gilroy" w:cs="Times New Roman"/>
          <w:lang w:eastAsia="en-GB"/>
        </w:rPr>
      </w:pPr>
      <w:r>
        <w:rPr>
          <w:rFonts w:ascii="Gilroy" w:eastAsia="Times New Roman" w:hAnsi="Gilroy" w:cs="Times New Roman"/>
          <w:lang w:eastAsia="en-GB"/>
        </w:rPr>
        <w:t>Minimising the data collected from persons with disabilities is key to ensuring that their right to privacy is upheld and minimising the risks to people and their rights by reducing the attack surface to which they may be subject.</w:t>
      </w:r>
      <w:r>
        <w:rPr>
          <w:rStyle w:val="FootnoteReference"/>
          <w:rFonts w:ascii="Gilroy" w:eastAsia="Times New Roman" w:hAnsi="Gilroy" w:cs="Times New Roman"/>
          <w:lang w:eastAsia="en-GB"/>
        </w:rPr>
        <w:footnoteReference w:id="54"/>
      </w:r>
      <w:r>
        <w:rPr>
          <w:rFonts w:ascii="Gilroy" w:eastAsia="Times New Roman" w:hAnsi="Gilroy" w:cs="Times New Roman"/>
          <w:lang w:eastAsia="en-GB"/>
        </w:rPr>
        <w:t xml:space="preserve"> </w:t>
      </w:r>
    </w:p>
    <w:p w14:paraId="7B00A908" w14:textId="77777777" w:rsidR="002D4E94" w:rsidRPr="00070D32" w:rsidRDefault="002D4E94" w:rsidP="002D4E94">
      <w:pPr>
        <w:snapToGrid w:val="0"/>
        <w:spacing w:before="100" w:beforeAutospacing="1" w:after="100" w:afterAutospacing="1"/>
        <w:contextualSpacing/>
        <w:jc w:val="both"/>
        <w:outlineLvl w:val="3"/>
        <w:rPr>
          <w:rFonts w:ascii="Gilroy" w:eastAsia="Times New Roman" w:hAnsi="Gilroy" w:cs="Times New Roman"/>
          <w:b/>
          <w:bCs/>
          <w:lang w:eastAsia="en-GB"/>
        </w:rPr>
      </w:pPr>
    </w:p>
    <w:p w14:paraId="6361873F" w14:textId="4CB16ADA" w:rsidR="002D4E94" w:rsidRPr="00246BBF" w:rsidRDefault="002D4E94" w:rsidP="00246BBF">
      <w:pPr>
        <w:pStyle w:val="ListParagraph"/>
        <w:numPr>
          <w:ilvl w:val="0"/>
          <w:numId w:val="33"/>
        </w:numPr>
        <w:snapToGrid w:val="0"/>
        <w:spacing w:before="100" w:beforeAutospacing="1" w:after="100" w:afterAutospacing="1"/>
        <w:jc w:val="both"/>
        <w:outlineLvl w:val="3"/>
        <w:rPr>
          <w:rFonts w:ascii="Gilroy" w:eastAsia="Times New Roman" w:hAnsi="Gilroy" w:cs="Times New Roman"/>
          <w:b/>
          <w:bCs/>
          <w:lang w:eastAsia="en-GB"/>
        </w:rPr>
      </w:pPr>
      <w:r w:rsidRPr="00246BBF">
        <w:rPr>
          <w:rFonts w:ascii="Gilroy" w:eastAsia="Times New Roman" w:hAnsi="Gilroy" w:cs="Times New Roman"/>
          <w:b/>
          <w:bCs/>
          <w:lang w:eastAsia="en-GB"/>
        </w:rPr>
        <w:t>Purpose limitation</w:t>
      </w:r>
    </w:p>
    <w:p w14:paraId="2F8E78F2" w14:textId="77777777" w:rsidR="002D4E94" w:rsidRDefault="002D4E94" w:rsidP="002D4E94">
      <w:pPr>
        <w:snapToGrid w:val="0"/>
        <w:spacing w:before="100" w:beforeAutospacing="1" w:after="100" w:afterAutospacing="1"/>
        <w:contextualSpacing/>
        <w:jc w:val="both"/>
        <w:outlineLvl w:val="3"/>
        <w:rPr>
          <w:rFonts w:ascii="Gilroy" w:eastAsia="Times New Roman" w:hAnsi="Gilroy" w:cs="Times New Roman"/>
          <w:b/>
          <w:bCs/>
          <w:lang w:eastAsia="en-GB"/>
        </w:rPr>
      </w:pPr>
    </w:p>
    <w:p w14:paraId="07C29576" w14:textId="40BB1141" w:rsidR="002D4E94" w:rsidRDefault="002D4E94" w:rsidP="002D4E94">
      <w:pPr>
        <w:snapToGrid w:val="0"/>
        <w:spacing w:before="100" w:beforeAutospacing="1" w:after="100" w:afterAutospacing="1"/>
        <w:contextualSpacing/>
        <w:jc w:val="both"/>
        <w:rPr>
          <w:rFonts w:ascii="Gilroy" w:eastAsia="Times New Roman" w:hAnsi="Gilroy" w:cs="Times New Roman"/>
          <w:lang w:eastAsia="en-GB"/>
        </w:rPr>
      </w:pPr>
      <w:r>
        <w:rPr>
          <w:rFonts w:ascii="Gilroy" w:eastAsia="Times New Roman" w:hAnsi="Gilroy" w:cs="Times New Roman"/>
          <w:lang w:eastAsia="en-GB"/>
        </w:rPr>
        <w:t xml:space="preserve">Any data processing </w:t>
      </w:r>
      <w:r w:rsidR="00E604DC">
        <w:rPr>
          <w:rFonts w:ascii="Gilroy" w:eastAsia="Times New Roman" w:hAnsi="Gilroy" w:cs="Times New Roman"/>
          <w:lang w:eastAsia="en-GB"/>
        </w:rPr>
        <w:t>should occur</w:t>
      </w:r>
      <w:r w:rsidRPr="007C45FC">
        <w:rPr>
          <w:rFonts w:ascii="Gilroy" w:eastAsia="Times New Roman" w:hAnsi="Gilroy" w:cs="Times New Roman"/>
          <w:lang w:eastAsia="en-GB"/>
        </w:rPr>
        <w:t xml:space="preserve"> for a determined, specific, and legitimate</w:t>
      </w:r>
      <w:r>
        <w:rPr>
          <w:rFonts w:ascii="Gilroy" w:eastAsia="Times New Roman" w:hAnsi="Gilroy" w:cs="Times New Roman"/>
          <w:lang w:eastAsia="en-GB"/>
        </w:rPr>
        <w:t xml:space="preserve"> </w:t>
      </w:r>
      <w:r w:rsidRPr="007C45FC">
        <w:rPr>
          <w:rFonts w:ascii="Gilroy" w:eastAsia="Times New Roman" w:hAnsi="Gilroy" w:cs="Times New Roman"/>
          <w:lang w:eastAsia="en-GB"/>
        </w:rPr>
        <w:t>purpose. Any further processing must not be incompatible with the purposes</w:t>
      </w:r>
      <w:r>
        <w:rPr>
          <w:rFonts w:ascii="Gilroy" w:eastAsia="Times New Roman" w:hAnsi="Gilroy" w:cs="Times New Roman"/>
          <w:lang w:eastAsia="en-GB"/>
        </w:rPr>
        <w:t xml:space="preserve"> </w:t>
      </w:r>
      <w:r w:rsidRPr="007C45FC">
        <w:rPr>
          <w:rFonts w:ascii="Gilroy" w:eastAsia="Times New Roman" w:hAnsi="Gilroy" w:cs="Times New Roman"/>
          <w:lang w:eastAsia="en-GB"/>
        </w:rPr>
        <w:t xml:space="preserve">specified at the outset (i.e. the point of collection). </w:t>
      </w:r>
      <w:r>
        <w:rPr>
          <w:rFonts w:ascii="Gilroy" w:eastAsia="Times New Roman" w:hAnsi="Gilroy" w:cs="Times New Roman"/>
          <w:lang w:eastAsia="en-GB"/>
        </w:rPr>
        <w:t xml:space="preserve">Indiscriminate data collection </w:t>
      </w:r>
      <w:r>
        <w:rPr>
          <w:rFonts w:ascii="Gilroy" w:eastAsia="Times New Roman" w:hAnsi="Gilroy" w:cs="Times New Roman"/>
          <w:lang w:eastAsia="en-GB"/>
        </w:rPr>
        <w:lastRenderedPageBreak/>
        <w:t>must not occur, but data collected must be for a specific and clearly defined purpose.</w:t>
      </w:r>
      <w:r w:rsidR="00246BBF">
        <w:rPr>
          <w:rStyle w:val="FootnoteReference"/>
          <w:rFonts w:ascii="Gilroy" w:eastAsia="Times New Roman" w:hAnsi="Gilroy" w:cs="Times New Roman"/>
          <w:lang w:eastAsia="en-GB"/>
        </w:rPr>
        <w:footnoteReference w:id="55"/>
      </w:r>
      <w:r>
        <w:rPr>
          <w:rFonts w:ascii="Gilroy" w:eastAsia="Times New Roman" w:hAnsi="Gilroy" w:cs="Times New Roman"/>
          <w:lang w:eastAsia="en-GB"/>
        </w:rPr>
        <w:t xml:space="preserve"> </w:t>
      </w:r>
    </w:p>
    <w:p w14:paraId="4EEC9686" w14:textId="77777777" w:rsidR="002D4E94" w:rsidRDefault="002D4E94" w:rsidP="002D4E94">
      <w:pPr>
        <w:snapToGrid w:val="0"/>
        <w:spacing w:before="100" w:beforeAutospacing="1" w:after="100" w:afterAutospacing="1"/>
        <w:contextualSpacing/>
        <w:jc w:val="both"/>
        <w:rPr>
          <w:rFonts w:ascii="Gilroy" w:eastAsia="Times New Roman" w:hAnsi="Gilroy" w:cs="Times New Roman"/>
          <w:lang w:eastAsia="en-GB"/>
        </w:rPr>
      </w:pPr>
    </w:p>
    <w:p w14:paraId="65577788" w14:textId="4E25C77A" w:rsidR="002D4E94" w:rsidRDefault="002D4E94" w:rsidP="002D4E94">
      <w:pPr>
        <w:snapToGrid w:val="0"/>
        <w:spacing w:before="100" w:beforeAutospacing="1" w:after="100" w:afterAutospacing="1"/>
        <w:contextualSpacing/>
        <w:jc w:val="both"/>
        <w:rPr>
          <w:rFonts w:ascii="Gilroy" w:eastAsia="Times New Roman" w:hAnsi="Gilroy" w:cs="Times New Roman"/>
          <w:lang w:eastAsia="en-GB"/>
        </w:rPr>
      </w:pPr>
      <w:r>
        <w:rPr>
          <w:rFonts w:ascii="Gilroy" w:eastAsia="Times New Roman" w:hAnsi="Gilroy" w:cs="Times New Roman"/>
          <w:lang w:eastAsia="en-GB"/>
        </w:rPr>
        <w:t xml:space="preserve">We are concerned by the practices we have observed of </w:t>
      </w:r>
      <w:r w:rsidR="00125E52">
        <w:rPr>
          <w:rFonts w:ascii="Gilroy" w:eastAsia="Times New Roman" w:hAnsi="Gilroy" w:cs="Times New Roman"/>
          <w:lang w:eastAsia="en-GB"/>
        </w:rPr>
        <w:t>s</w:t>
      </w:r>
      <w:r>
        <w:rPr>
          <w:rFonts w:ascii="Gilroy" w:eastAsia="Times New Roman" w:hAnsi="Gilroy" w:cs="Times New Roman"/>
          <w:lang w:eastAsia="en-GB"/>
        </w:rPr>
        <w:t xml:space="preserve">tates’ indiscriminate or widespread collection of data to assess eligibility of social support claimants and subject them to surveillance or fraud detection, as outlined in examples contained within section </w:t>
      </w:r>
      <w:r w:rsidR="00586E3A" w:rsidRPr="0044545E">
        <w:rPr>
          <w:rFonts w:ascii="Gilroy" w:eastAsia="Times New Roman" w:hAnsi="Gilroy" w:cs="Times New Roman"/>
          <w:lang w:eastAsia="en-GB"/>
        </w:rPr>
        <w:t>4.ii.b.</w:t>
      </w:r>
      <w:r>
        <w:rPr>
          <w:rFonts w:ascii="Gilroy" w:eastAsia="Times New Roman" w:hAnsi="Gilroy" w:cs="Times New Roman"/>
          <w:lang w:eastAsia="en-GB"/>
        </w:rPr>
        <w:t xml:space="preserve"> of this submission, and which poses a particular threat to the right to privacy of persons with disabilities, </w:t>
      </w:r>
      <w:r w:rsidR="00A96482">
        <w:rPr>
          <w:rFonts w:ascii="Gilroy" w:eastAsia="Times New Roman" w:hAnsi="Gilroy" w:cs="Times New Roman"/>
          <w:lang w:eastAsia="en-GB"/>
        </w:rPr>
        <w:t>as well as other rights such as their right to non-discrimination</w:t>
      </w:r>
      <w:r>
        <w:rPr>
          <w:rFonts w:ascii="Gilroy" w:eastAsia="Times New Roman" w:hAnsi="Gilroy" w:cs="Times New Roman"/>
          <w:lang w:eastAsia="en-GB"/>
        </w:rPr>
        <w:t xml:space="preserve">. </w:t>
      </w:r>
    </w:p>
    <w:p w14:paraId="679188FA" w14:textId="77777777" w:rsidR="002D4E94" w:rsidRPr="007C45FC" w:rsidRDefault="002D4E94" w:rsidP="002D4E94">
      <w:pPr>
        <w:snapToGrid w:val="0"/>
        <w:spacing w:before="100" w:beforeAutospacing="1" w:after="100" w:afterAutospacing="1"/>
        <w:contextualSpacing/>
        <w:jc w:val="both"/>
        <w:rPr>
          <w:rFonts w:ascii="Gilroy" w:eastAsia="Times New Roman" w:hAnsi="Gilroy" w:cs="Times New Roman"/>
          <w:lang w:eastAsia="en-GB"/>
        </w:rPr>
      </w:pPr>
    </w:p>
    <w:p w14:paraId="5540C03A" w14:textId="5D25673F" w:rsidR="002D4E94" w:rsidRPr="00246BBF" w:rsidRDefault="002958AC" w:rsidP="00246BBF">
      <w:pPr>
        <w:pStyle w:val="ListParagraph"/>
        <w:numPr>
          <w:ilvl w:val="0"/>
          <w:numId w:val="33"/>
        </w:numPr>
        <w:snapToGrid w:val="0"/>
        <w:spacing w:before="100" w:beforeAutospacing="1" w:after="100" w:afterAutospacing="1"/>
        <w:jc w:val="both"/>
        <w:outlineLvl w:val="3"/>
        <w:rPr>
          <w:rFonts w:ascii="Gilroy" w:eastAsia="Times New Roman" w:hAnsi="Gilroy" w:cs="Times New Roman"/>
          <w:b/>
          <w:bCs/>
          <w:lang w:eastAsia="en-GB"/>
        </w:rPr>
      </w:pPr>
      <w:r>
        <w:rPr>
          <w:rFonts w:ascii="Gilroy" w:eastAsia="Times New Roman" w:hAnsi="Gilroy" w:cs="Times New Roman"/>
          <w:b/>
          <w:bCs/>
          <w:lang w:eastAsia="en-GB"/>
        </w:rPr>
        <w:t>Legal basis</w:t>
      </w:r>
    </w:p>
    <w:p w14:paraId="301B5001" w14:textId="35BEDFF6" w:rsidR="002D4E94" w:rsidRPr="00070D32" w:rsidRDefault="002D4E94" w:rsidP="002D4E94">
      <w:pPr>
        <w:snapToGrid w:val="0"/>
        <w:spacing w:before="100" w:beforeAutospacing="1" w:after="100" w:afterAutospacing="1"/>
        <w:contextualSpacing/>
        <w:jc w:val="both"/>
        <w:outlineLvl w:val="3"/>
        <w:rPr>
          <w:rFonts w:ascii="Gilroy" w:eastAsia="Times New Roman" w:hAnsi="Gilroy" w:cs="Times New Roman"/>
          <w:b/>
          <w:bCs/>
          <w:lang w:eastAsia="en-GB"/>
        </w:rPr>
      </w:pPr>
    </w:p>
    <w:p w14:paraId="3A82AADF" w14:textId="51B75996" w:rsidR="002958AC" w:rsidRDefault="00B84F0E" w:rsidP="002958AC">
      <w:pPr>
        <w:snapToGrid w:val="0"/>
        <w:spacing w:before="100" w:beforeAutospacing="1" w:after="100" w:afterAutospacing="1"/>
        <w:contextualSpacing/>
        <w:jc w:val="both"/>
        <w:rPr>
          <w:rFonts w:ascii="Gilroy" w:eastAsia="Times New Roman" w:hAnsi="Gilroy" w:cs="Times New Roman"/>
          <w:lang w:eastAsia="en-GB"/>
        </w:rPr>
      </w:pPr>
      <w:r>
        <w:rPr>
          <w:rFonts w:ascii="Gilroy" w:eastAsia="Times New Roman" w:hAnsi="Gilroy" w:cs="Times New Roman"/>
          <w:lang w:eastAsia="en-GB"/>
        </w:rPr>
        <w:t xml:space="preserve">Any processing of data of persons with disabilities should rely on an appropriate legal basis provided by law. </w:t>
      </w:r>
      <w:r w:rsidR="002958AC">
        <w:rPr>
          <w:rFonts w:ascii="Gilroy" w:eastAsia="Times New Roman" w:hAnsi="Gilroy" w:cs="Times New Roman"/>
          <w:lang w:eastAsia="en-GB"/>
        </w:rPr>
        <w:t xml:space="preserve">There are multiple legal bases that can apply, independently or simultaneously, to the processing of health data of people with disabilities. </w:t>
      </w:r>
    </w:p>
    <w:p w14:paraId="5BC54FEF" w14:textId="77777777" w:rsidR="002958AC" w:rsidRDefault="002958AC" w:rsidP="002D4E94">
      <w:pPr>
        <w:snapToGrid w:val="0"/>
        <w:spacing w:before="100" w:beforeAutospacing="1" w:after="100" w:afterAutospacing="1"/>
        <w:contextualSpacing/>
        <w:jc w:val="both"/>
        <w:rPr>
          <w:rFonts w:ascii="Gilroy" w:eastAsia="Times New Roman" w:hAnsi="Gilroy" w:cs="Times New Roman"/>
          <w:lang w:eastAsia="en-GB"/>
        </w:rPr>
      </w:pPr>
    </w:p>
    <w:p w14:paraId="61CE7CF2" w14:textId="695FE461" w:rsidR="00B84F0E" w:rsidRDefault="00B84F0E" w:rsidP="00B84F0E">
      <w:pPr>
        <w:snapToGrid w:val="0"/>
        <w:spacing w:before="100" w:beforeAutospacing="1" w:after="100" w:afterAutospacing="1"/>
        <w:contextualSpacing/>
        <w:jc w:val="both"/>
        <w:rPr>
          <w:rFonts w:ascii="Gilroy" w:eastAsia="Times New Roman" w:hAnsi="Gilroy" w:cs="Times New Roman"/>
          <w:lang w:eastAsia="en-GB"/>
        </w:rPr>
      </w:pPr>
      <w:r>
        <w:rPr>
          <w:rFonts w:ascii="Gilroy" w:eastAsia="Times New Roman" w:hAnsi="Gilroy" w:cs="Times New Roman"/>
          <w:lang w:eastAsia="en-GB"/>
        </w:rPr>
        <w:t>The CRPD requires states to collect appropriate information, including disaggregated statistical and research data, to enable them to give effect to the Convention.</w:t>
      </w:r>
      <w:r>
        <w:rPr>
          <w:rStyle w:val="FootnoteReference"/>
          <w:rFonts w:ascii="Gilroy" w:eastAsia="Times New Roman" w:hAnsi="Gilroy" w:cs="Times New Roman"/>
          <w:lang w:eastAsia="en-GB"/>
        </w:rPr>
        <w:footnoteReference w:id="56"/>
      </w:r>
      <w:r>
        <w:rPr>
          <w:rFonts w:ascii="Gilroy" w:eastAsia="Times New Roman" w:hAnsi="Gilroy" w:cs="Times New Roman"/>
          <w:lang w:eastAsia="en-GB"/>
        </w:rPr>
        <w:t xml:space="preserve"> This in itself constitutes a legal basis for processing as it entails a state’s own compliance with its legal obligations. </w:t>
      </w:r>
    </w:p>
    <w:p w14:paraId="0826C3E8" w14:textId="77777777" w:rsidR="00B84F0E" w:rsidRDefault="00B84F0E" w:rsidP="00B84F0E">
      <w:pPr>
        <w:snapToGrid w:val="0"/>
        <w:spacing w:before="100" w:beforeAutospacing="1" w:after="100" w:afterAutospacing="1"/>
        <w:contextualSpacing/>
        <w:jc w:val="both"/>
        <w:rPr>
          <w:rFonts w:ascii="Gilroy" w:eastAsia="Times New Roman" w:hAnsi="Gilroy" w:cs="Times New Roman"/>
          <w:lang w:eastAsia="en-GB"/>
        </w:rPr>
      </w:pPr>
    </w:p>
    <w:p w14:paraId="5FE41582" w14:textId="38CA9BD6" w:rsidR="002958AC" w:rsidRDefault="00B84F0E" w:rsidP="002D4E94">
      <w:pPr>
        <w:snapToGrid w:val="0"/>
        <w:spacing w:before="100" w:beforeAutospacing="1" w:after="100" w:afterAutospacing="1"/>
        <w:contextualSpacing/>
        <w:jc w:val="both"/>
        <w:rPr>
          <w:rFonts w:ascii="Gilroy" w:eastAsia="Times New Roman" w:hAnsi="Gilroy" w:cs="Times New Roman"/>
          <w:lang w:eastAsia="en-GB"/>
        </w:rPr>
      </w:pPr>
      <w:r>
        <w:rPr>
          <w:rFonts w:ascii="Gilroy" w:eastAsia="Times New Roman" w:hAnsi="Gilroy" w:cs="Times New Roman"/>
          <w:lang w:eastAsia="en-GB"/>
        </w:rPr>
        <w:t>Additionally, C</w:t>
      </w:r>
      <w:r w:rsidR="002958AC">
        <w:rPr>
          <w:rFonts w:ascii="Gilroy" w:eastAsia="Times New Roman" w:hAnsi="Gilroy" w:cs="Times New Roman"/>
          <w:lang w:eastAsia="en-GB"/>
        </w:rPr>
        <w:t>onvention 108 accepts as valid legal bases the free, specific and informed consent of data subjects, or any other legitimate basis laid down by law.</w:t>
      </w:r>
      <w:r w:rsidR="002958AC">
        <w:rPr>
          <w:rStyle w:val="FootnoteReference"/>
          <w:rFonts w:ascii="Gilroy" w:eastAsia="Times New Roman" w:hAnsi="Gilroy" w:cs="Times New Roman"/>
          <w:lang w:eastAsia="en-GB"/>
        </w:rPr>
        <w:footnoteReference w:id="57"/>
      </w:r>
      <w:r w:rsidR="002958AC">
        <w:rPr>
          <w:rFonts w:ascii="Gilroy" w:eastAsia="Times New Roman" w:hAnsi="Gilroy" w:cs="Times New Roman"/>
          <w:lang w:eastAsia="en-GB"/>
        </w:rPr>
        <w:t xml:space="preserve"> In its explanatory report, the Convention contemplates several other purposes as a lawful basis for processing, ranging from the fulfilment of contractual or legal obligations to the protection of a person’s vital interests.</w:t>
      </w:r>
      <w:r w:rsidR="002958AC">
        <w:rPr>
          <w:rStyle w:val="FootnoteReference"/>
          <w:rFonts w:ascii="Gilroy" w:eastAsia="Times New Roman" w:hAnsi="Gilroy" w:cs="Times New Roman"/>
          <w:lang w:eastAsia="en-GB"/>
        </w:rPr>
        <w:footnoteReference w:id="58"/>
      </w:r>
      <w:r w:rsidR="002958AC">
        <w:rPr>
          <w:rFonts w:ascii="Gilroy" w:eastAsia="Times New Roman" w:hAnsi="Gilroy" w:cs="Times New Roman"/>
          <w:lang w:eastAsia="en-GB"/>
        </w:rPr>
        <w:t xml:space="preserve"> </w:t>
      </w:r>
      <w:r w:rsidR="00C9286C">
        <w:rPr>
          <w:rFonts w:ascii="Gilroy" w:eastAsia="Times New Roman" w:hAnsi="Gilroy" w:cs="Times New Roman"/>
          <w:lang w:eastAsia="en-GB"/>
        </w:rPr>
        <w:t>As stated above, the processing of</w:t>
      </w:r>
      <w:r w:rsidR="002958AC">
        <w:rPr>
          <w:rFonts w:ascii="Gilroy" w:eastAsia="Times New Roman" w:hAnsi="Gilroy" w:cs="Times New Roman"/>
          <w:lang w:eastAsia="en-GB"/>
        </w:rPr>
        <w:t xml:space="preserve"> sensitive data, such as health data, </w:t>
      </w:r>
      <w:r w:rsidR="00C9286C">
        <w:rPr>
          <w:rFonts w:ascii="Gilroy" w:eastAsia="Times New Roman" w:hAnsi="Gilroy" w:cs="Times New Roman"/>
          <w:lang w:eastAsia="en-GB"/>
        </w:rPr>
        <w:t>requires additional safeguards</w:t>
      </w:r>
      <w:r w:rsidR="002958AC">
        <w:rPr>
          <w:rFonts w:ascii="Gilroy" w:eastAsia="Times New Roman" w:hAnsi="Gilroy" w:cs="Times New Roman"/>
          <w:lang w:eastAsia="en-GB"/>
        </w:rPr>
        <w:t xml:space="preserve">. Some of the </w:t>
      </w:r>
      <w:r w:rsidR="00C9286C">
        <w:rPr>
          <w:rFonts w:ascii="Gilroy" w:eastAsia="Times New Roman" w:hAnsi="Gilroy" w:cs="Times New Roman"/>
          <w:lang w:eastAsia="en-GB"/>
        </w:rPr>
        <w:t>additional requirements</w:t>
      </w:r>
      <w:r w:rsidR="002958AC">
        <w:rPr>
          <w:rFonts w:ascii="Gilroy" w:eastAsia="Times New Roman" w:hAnsi="Gilroy" w:cs="Times New Roman"/>
          <w:lang w:eastAsia="en-GB"/>
        </w:rPr>
        <w:t xml:space="preserve"> set by legal frameworks in this context </w:t>
      </w:r>
      <w:r w:rsidR="00C9286C">
        <w:rPr>
          <w:rFonts w:ascii="Gilroy" w:eastAsia="Times New Roman" w:hAnsi="Gilroy" w:cs="Times New Roman"/>
          <w:lang w:eastAsia="en-GB"/>
        </w:rPr>
        <w:t xml:space="preserve">as a pre-requisite to processing </w:t>
      </w:r>
      <w:r w:rsidR="002958AC">
        <w:rPr>
          <w:rFonts w:ascii="Gilroy" w:eastAsia="Times New Roman" w:hAnsi="Gilroy" w:cs="Times New Roman"/>
          <w:lang w:eastAsia="en-GB"/>
        </w:rPr>
        <w:t>include,</w:t>
      </w:r>
      <w:r w:rsidR="002958AC">
        <w:rPr>
          <w:rStyle w:val="FootnoteReference"/>
          <w:rFonts w:ascii="Gilroy" w:eastAsia="Times New Roman" w:hAnsi="Gilroy" w:cs="Times New Roman"/>
          <w:lang w:eastAsia="en-GB"/>
        </w:rPr>
        <w:footnoteReference w:id="59"/>
      </w:r>
      <w:r w:rsidR="002958AC">
        <w:rPr>
          <w:rFonts w:ascii="Gilroy" w:eastAsia="Times New Roman" w:hAnsi="Gilroy" w:cs="Times New Roman"/>
          <w:lang w:eastAsia="en-GB"/>
        </w:rPr>
        <w:t xml:space="preserve"> among others, explicit consent, </w:t>
      </w:r>
      <w:r w:rsidR="00C9286C">
        <w:rPr>
          <w:rFonts w:ascii="Gilroy" w:eastAsia="Times New Roman" w:hAnsi="Gilroy" w:cs="Times New Roman"/>
          <w:lang w:eastAsia="en-GB"/>
        </w:rPr>
        <w:t>or necessity</w:t>
      </w:r>
      <w:r w:rsidR="002958AC">
        <w:rPr>
          <w:rFonts w:ascii="Gilroy" w:eastAsia="Times New Roman" w:hAnsi="Gilroy" w:cs="Times New Roman"/>
          <w:lang w:eastAsia="en-GB"/>
        </w:rPr>
        <w:t xml:space="preserve"> in the field of employment or social security, where a substantial public interest is concerned, or in a health or social care environment.</w:t>
      </w:r>
      <w:r w:rsidR="002958AC">
        <w:rPr>
          <w:rStyle w:val="FootnoteReference"/>
          <w:rFonts w:ascii="Gilroy" w:eastAsia="Times New Roman" w:hAnsi="Gilroy" w:cs="Times New Roman"/>
          <w:lang w:eastAsia="en-GB"/>
        </w:rPr>
        <w:footnoteReference w:id="60"/>
      </w:r>
    </w:p>
    <w:p w14:paraId="382F0CFF" w14:textId="77777777" w:rsidR="002958AC" w:rsidRDefault="002958AC" w:rsidP="002D4E94">
      <w:pPr>
        <w:snapToGrid w:val="0"/>
        <w:spacing w:before="100" w:beforeAutospacing="1" w:after="100" w:afterAutospacing="1"/>
        <w:contextualSpacing/>
        <w:jc w:val="both"/>
        <w:rPr>
          <w:rFonts w:ascii="Gilroy" w:eastAsia="Times New Roman" w:hAnsi="Gilroy" w:cs="Times New Roman"/>
          <w:lang w:eastAsia="en-GB"/>
        </w:rPr>
      </w:pPr>
    </w:p>
    <w:p w14:paraId="3EE0A7D7" w14:textId="2796C518" w:rsidR="002958AC" w:rsidRDefault="00B84F0E" w:rsidP="002D4E94">
      <w:pPr>
        <w:snapToGrid w:val="0"/>
        <w:spacing w:before="100" w:beforeAutospacing="1" w:after="100" w:afterAutospacing="1"/>
        <w:contextualSpacing/>
        <w:jc w:val="both"/>
        <w:rPr>
          <w:rFonts w:ascii="Gilroy" w:eastAsia="Times New Roman" w:hAnsi="Gilroy" w:cs="Times New Roman"/>
          <w:lang w:eastAsia="en-GB"/>
        </w:rPr>
      </w:pPr>
      <w:r>
        <w:rPr>
          <w:rFonts w:ascii="Gilroy" w:eastAsia="Times New Roman" w:hAnsi="Gilroy" w:cs="Times New Roman"/>
          <w:lang w:eastAsia="en-GB"/>
        </w:rPr>
        <w:t>L</w:t>
      </w:r>
      <w:r w:rsidR="002958AC">
        <w:rPr>
          <w:rFonts w:ascii="Gilroy" w:eastAsia="Times New Roman" w:hAnsi="Gilroy" w:cs="Times New Roman"/>
          <w:lang w:eastAsia="en-GB"/>
        </w:rPr>
        <w:t>egal frameworks require for that legal basis to be communicated to data subjects prior to or at the time of processing, alongside the categories of data processed, the recipients of such data, and the means for them to exercise their rights.</w:t>
      </w:r>
      <w:r w:rsidR="002958AC">
        <w:rPr>
          <w:rStyle w:val="FootnoteReference"/>
          <w:rFonts w:ascii="Gilroy" w:eastAsia="Times New Roman" w:hAnsi="Gilroy" w:cs="Times New Roman"/>
          <w:lang w:eastAsia="en-GB"/>
        </w:rPr>
        <w:footnoteReference w:id="61"/>
      </w:r>
      <w:r w:rsidR="002958AC">
        <w:rPr>
          <w:rFonts w:ascii="Gilroy" w:eastAsia="Times New Roman" w:hAnsi="Gilroy" w:cs="Times New Roman"/>
          <w:lang w:eastAsia="en-GB"/>
        </w:rPr>
        <w:t xml:space="preserve">  </w:t>
      </w:r>
    </w:p>
    <w:p w14:paraId="003192B5" w14:textId="78D6CA52" w:rsidR="002958AC" w:rsidRDefault="002958AC" w:rsidP="002D4E94">
      <w:pPr>
        <w:snapToGrid w:val="0"/>
        <w:spacing w:before="100" w:beforeAutospacing="1" w:after="100" w:afterAutospacing="1"/>
        <w:contextualSpacing/>
        <w:jc w:val="both"/>
        <w:rPr>
          <w:rFonts w:ascii="Gilroy" w:eastAsia="Times New Roman" w:hAnsi="Gilroy" w:cs="Times New Roman"/>
          <w:lang w:eastAsia="en-GB"/>
        </w:rPr>
      </w:pPr>
    </w:p>
    <w:p w14:paraId="5EBF986E" w14:textId="05923FB6" w:rsidR="002958AC" w:rsidRDefault="002958AC" w:rsidP="002D4E94">
      <w:pPr>
        <w:snapToGrid w:val="0"/>
        <w:spacing w:before="100" w:beforeAutospacing="1" w:after="100" w:afterAutospacing="1"/>
        <w:contextualSpacing/>
        <w:jc w:val="both"/>
        <w:rPr>
          <w:rFonts w:ascii="Gilroy" w:eastAsia="Times New Roman" w:hAnsi="Gilroy" w:cs="Times New Roman"/>
          <w:lang w:eastAsia="en-GB"/>
        </w:rPr>
      </w:pPr>
      <w:r>
        <w:rPr>
          <w:rFonts w:ascii="Gilroy" w:eastAsia="Times New Roman" w:hAnsi="Gilroy" w:cs="Times New Roman"/>
          <w:lang w:eastAsia="en-GB"/>
        </w:rPr>
        <w:t xml:space="preserve">Clearly stating the legal bases for the processing of any personal data is crucial for </w:t>
      </w:r>
      <w:r w:rsidR="00C9286C">
        <w:rPr>
          <w:rFonts w:ascii="Gilroy" w:eastAsia="Times New Roman" w:hAnsi="Gilroy" w:cs="Times New Roman"/>
          <w:lang w:eastAsia="en-GB"/>
        </w:rPr>
        <w:t>a data subject</w:t>
      </w:r>
      <w:r>
        <w:rPr>
          <w:rFonts w:ascii="Gilroy" w:eastAsia="Times New Roman" w:hAnsi="Gilroy" w:cs="Times New Roman"/>
          <w:lang w:eastAsia="en-GB"/>
        </w:rPr>
        <w:t xml:space="preserve"> to be able to exercise their rights. Where the basis purports to be free and informed consent, it is key that the dignity, autonomy and needs of persons with disabilities are respected.</w:t>
      </w:r>
      <w:r>
        <w:rPr>
          <w:rStyle w:val="FootnoteReference"/>
          <w:rFonts w:ascii="Gilroy" w:eastAsia="Times New Roman" w:hAnsi="Gilroy" w:cs="Times New Roman"/>
          <w:lang w:eastAsia="en-GB"/>
        </w:rPr>
        <w:footnoteReference w:id="62"/>
      </w:r>
    </w:p>
    <w:p w14:paraId="00574D60" w14:textId="77777777" w:rsidR="00B64D78" w:rsidRDefault="00B64D78" w:rsidP="006138EB">
      <w:pPr>
        <w:snapToGrid w:val="0"/>
        <w:spacing w:beforeAutospacing="1" w:afterAutospacing="1"/>
        <w:contextualSpacing/>
        <w:jc w:val="both"/>
        <w:rPr>
          <w:rFonts w:ascii="Gilroy" w:eastAsia="Times New Roman" w:hAnsi="Gilroy" w:cs="Times New Roman"/>
          <w:highlight w:val="yellow"/>
          <w:lang w:eastAsia="en-GB"/>
        </w:rPr>
      </w:pPr>
    </w:p>
    <w:p w14:paraId="59105828" w14:textId="77777777" w:rsidR="00C714E0" w:rsidRDefault="00C714E0" w:rsidP="006138EB">
      <w:pPr>
        <w:snapToGrid w:val="0"/>
        <w:spacing w:beforeAutospacing="1" w:afterAutospacing="1"/>
        <w:contextualSpacing/>
        <w:jc w:val="both"/>
        <w:rPr>
          <w:rFonts w:ascii="Gilroy" w:eastAsia="Times New Roman" w:hAnsi="Gilroy" w:cs="Times New Roman"/>
          <w:highlight w:val="yellow"/>
          <w:lang w:eastAsia="en-GB"/>
        </w:rPr>
      </w:pPr>
    </w:p>
    <w:p w14:paraId="6385E18B" w14:textId="77777777" w:rsidR="00C714E0" w:rsidRDefault="00C714E0" w:rsidP="006138EB">
      <w:pPr>
        <w:snapToGrid w:val="0"/>
        <w:spacing w:beforeAutospacing="1" w:afterAutospacing="1"/>
        <w:contextualSpacing/>
        <w:jc w:val="both"/>
        <w:rPr>
          <w:rFonts w:ascii="Gilroy" w:eastAsia="Times New Roman" w:hAnsi="Gilroy" w:cs="Times New Roman"/>
          <w:highlight w:val="yellow"/>
          <w:lang w:eastAsia="en-GB"/>
        </w:rPr>
      </w:pPr>
    </w:p>
    <w:p w14:paraId="54E2602F" w14:textId="77777777" w:rsidR="00C714E0" w:rsidRDefault="00C714E0" w:rsidP="006138EB">
      <w:pPr>
        <w:snapToGrid w:val="0"/>
        <w:spacing w:beforeAutospacing="1" w:afterAutospacing="1"/>
        <w:contextualSpacing/>
        <w:jc w:val="both"/>
        <w:rPr>
          <w:rFonts w:ascii="Gilroy" w:eastAsia="Times New Roman" w:hAnsi="Gilroy" w:cs="Times New Roman"/>
          <w:highlight w:val="yellow"/>
          <w:lang w:eastAsia="en-GB"/>
        </w:rPr>
      </w:pPr>
    </w:p>
    <w:p w14:paraId="4BFBD563" w14:textId="77777777" w:rsidR="00C714E0" w:rsidRDefault="00C714E0" w:rsidP="006138EB">
      <w:pPr>
        <w:snapToGrid w:val="0"/>
        <w:spacing w:beforeAutospacing="1" w:afterAutospacing="1"/>
        <w:contextualSpacing/>
        <w:jc w:val="both"/>
        <w:rPr>
          <w:rFonts w:ascii="Gilroy" w:eastAsia="Times New Roman" w:hAnsi="Gilroy" w:cs="Times New Roman"/>
          <w:highlight w:val="yellow"/>
          <w:lang w:eastAsia="en-GB"/>
        </w:rPr>
      </w:pPr>
    </w:p>
    <w:p w14:paraId="0FB10634" w14:textId="77777777" w:rsidR="00C714E0" w:rsidRDefault="00C714E0" w:rsidP="006138EB">
      <w:pPr>
        <w:snapToGrid w:val="0"/>
        <w:spacing w:beforeAutospacing="1" w:afterAutospacing="1"/>
        <w:contextualSpacing/>
        <w:jc w:val="both"/>
        <w:rPr>
          <w:rFonts w:ascii="Gilroy" w:eastAsia="Times New Roman" w:hAnsi="Gilroy" w:cs="Times New Roman"/>
          <w:highlight w:val="yellow"/>
          <w:lang w:eastAsia="en-GB"/>
        </w:rPr>
      </w:pPr>
    </w:p>
    <w:p w14:paraId="7808B6B3" w14:textId="77777777" w:rsidR="00C714E0" w:rsidRPr="00070D32" w:rsidRDefault="00C714E0" w:rsidP="006138EB">
      <w:pPr>
        <w:snapToGrid w:val="0"/>
        <w:spacing w:beforeAutospacing="1" w:afterAutospacing="1"/>
        <w:contextualSpacing/>
        <w:jc w:val="both"/>
        <w:rPr>
          <w:rFonts w:ascii="Gilroy" w:eastAsia="Times New Roman" w:hAnsi="Gilroy" w:cs="Times New Roman"/>
          <w:highlight w:val="yellow"/>
          <w:lang w:eastAsia="en-GB"/>
        </w:rPr>
      </w:pPr>
    </w:p>
    <w:p w14:paraId="15B26C58" w14:textId="77777777" w:rsidR="00122384" w:rsidRDefault="00122384" w:rsidP="00122384">
      <w:pPr>
        <w:rPr>
          <w:rFonts w:ascii="Gilroy" w:eastAsia="Times New Roman" w:hAnsi="Gilroy" w:cs="Times New Roman"/>
          <w:b/>
          <w:bCs/>
          <w:sz w:val="27"/>
          <w:szCs w:val="27"/>
          <w:lang w:eastAsia="en-GB"/>
        </w:rPr>
      </w:pPr>
    </w:p>
    <w:p w14:paraId="635F84DE" w14:textId="2FDADF05" w:rsidR="00B64D78" w:rsidRPr="00070D32" w:rsidRDefault="00B64D78" w:rsidP="001571C6">
      <w:pPr>
        <w:pStyle w:val="ListParagraph"/>
        <w:numPr>
          <w:ilvl w:val="0"/>
          <w:numId w:val="37"/>
        </w:numPr>
        <w:rPr>
          <w:lang w:eastAsia="en-GB"/>
        </w:rPr>
      </w:pPr>
      <w:r w:rsidRPr="001571C6">
        <w:rPr>
          <w:rFonts w:ascii="Gilroy" w:eastAsia="Times New Roman" w:hAnsi="Gilroy" w:cs="Times New Roman"/>
          <w:b/>
          <w:bCs/>
          <w:sz w:val="27"/>
          <w:szCs w:val="27"/>
          <w:lang w:eastAsia="en-GB"/>
        </w:rPr>
        <w:t>Upholding the right to privacy when accessing assistive technologies</w:t>
      </w:r>
    </w:p>
    <w:p w14:paraId="5C453A5F" w14:textId="73433C18" w:rsidR="00B64D78" w:rsidRPr="00070D32" w:rsidRDefault="00B64D78" w:rsidP="00B64D78">
      <w:pPr>
        <w:snapToGrid w:val="0"/>
        <w:spacing w:before="100" w:beforeAutospacing="1" w:after="100" w:afterAutospacing="1"/>
        <w:contextualSpacing/>
        <w:jc w:val="both"/>
        <w:outlineLvl w:val="2"/>
        <w:rPr>
          <w:rFonts w:ascii="Gilroy" w:eastAsia="Times New Roman" w:hAnsi="Gilroy" w:cs="Times New Roman"/>
          <w:lang w:eastAsia="en-GB"/>
        </w:rPr>
      </w:pPr>
      <w:r w:rsidRPr="00070D32">
        <w:rPr>
          <w:rFonts w:ascii="Gilroy" w:eastAsia="Times New Roman" w:hAnsi="Gilroy" w:cs="Times New Roman"/>
          <w:lang w:eastAsia="en-GB"/>
        </w:rPr>
        <w:t>The right to privacy of persons with disabilities is of particular importance when it comes to accessing Assistive Technologies (ATs)</w:t>
      </w:r>
      <w:r w:rsidR="004170BC">
        <w:rPr>
          <w:rFonts w:ascii="Gilroy" w:eastAsia="Times New Roman" w:hAnsi="Gilroy" w:cs="Times New Roman"/>
          <w:lang w:eastAsia="en-GB"/>
        </w:rPr>
        <w:t>,</w:t>
      </w:r>
      <w:r w:rsidRPr="00070D32">
        <w:rPr>
          <w:rFonts w:ascii="Gilroy" w:eastAsia="Times New Roman" w:hAnsi="Gilroy" w:cs="Times New Roman"/>
          <w:lang w:eastAsia="en-GB"/>
        </w:rPr>
        <w:t xml:space="preserve"> including assistive products and services, and medical assistive devices. </w:t>
      </w:r>
      <w:r>
        <w:rPr>
          <w:rFonts w:ascii="Gilroy" w:eastAsia="Times New Roman" w:hAnsi="Gilroy" w:cs="Times New Roman"/>
          <w:lang w:eastAsia="en-GB"/>
        </w:rPr>
        <w:t>This is not an exhaustive list but b</w:t>
      </w:r>
      <w:r w:rsidRPr="00070D32">
        <w:rPr>
          <w:rFonts w:ascii="Gilroy" w:eastAsia="Times New Roman" w:hAnsi="Gilroy" w:cs="Times New Roman"/>
          <w:lang w:eastAsia="en-GB"/>
        </w:rPr>
        <w:t>elow we outline a few areas of concern</w:t>
      </w:r>
      <w:r w:rsidR="004170BC">
        <w:rPr>
          <w:rFonts w:ascii="Gilroy" w:eastAsia="Times New Roman" w:hAnsi="Gilroy" w:cs="Times New Roman"/>
          <w:lang w:eastAsia="en-GB"/>
        </w:rPr>
        <w:t xml:space="preserve"> that</w:t>
      </w:r>
      <w:r>
        <w:rPr>
          <w:rFonts w:ascii="Gilroy" w:eastAsia="Times New Roman" w:hAnsi="Gilroy" w:cs="Times New Roman"/>
          <w:lang w:eastAsia="en-GB"/>
        </w:rPr>
        <w:t xml:space="preserve"> PI and others have observed</w:t>
      </w:r>
      <w:r w:rsidRPr="00070D32">
        <w:rPr>
          <w:rFonts w:ascii="Gilroy" w:eastAsia="Times New Roman" w:hAnsi="Gilroy" w:cs="Times New Roman"/>
          <w:lang w:eastAsia="en-GB"/>
        </w:rPr>
        <w:t>.</w:t>
      </w:r>
    </w:p>
    <w:p w14:paraId="66DD2DBE" w14:textId="0D1188E3" w:rsidR="00B64D78" w:rsidRPr="001571C6" w:rsidRDefault="00B64D78" w:rsidP="001571C6">
      <w:pPr>
        <w:pStyle w:val="ListParagraph"/>
        <w:numPr>
          <w:ilvl w:val="1"/>
          <w:numId w:val="35"/>
        </w:numPr>
        <w:snapToGrid w:val="0"/>
        <w:spacing w:before="100" w:beforeAutospacing="1" w:after="100" w:afterAutospacing="1"/>
        <w:jc w:val="both"/>
        <w:outlineLvl w:val="2"/>
        <w:rPr>
          <w:rFonts w:ascii="Gilroy" w:eastAsia="Times New Roman" w:hAnsi="Gilroy" w:cs="Times New Roman"/>
          <w:b/>
          <w:bCs/>
          <w:lang w:eastAsia="en-GB"/>
        </w:rPr>
      </w:pPr>
      <w:r w:rsidRPr="001571C6">
        <w:rPr>
          <w:rFonts w:ascii="Gilroy" w:eastAsia="Times New Roman" w:hAnsi="Gilroy" w:cs="Times New Roman"/>
          <w:b/>
          <w:bCs/>
          <w:lang w:eastAsia="en-GB"/>
        </w:rPr>
        <w:t>The involvement of the private sector and private-public partnerships</w:t>
      </w:r>
    </w:p>
    <w:p w14:paraId="58BC592A" w14:textId="26151C61" w:rsidR="00DE7020" w:rsidRDefault="00B64D78" w:rsidP="006138EB">
      <w:pPr>
        <w:snapToGrid w:val="0"/>
        <w:spacing w:before="100" w:beforeAutospacing="1" w:after="100" w:afterAutospacing="1"/>
        <w:contextualSpacing/>
        <w:jc w:val="both"/>
        <w:outlineLvl w:val="2"/>
        <w:rPr>
          <w:rFonts w:ascii="Gilroy" w:eastAsia="Times New Roman" w:hAnsi="Gilroy" w:cs="Times New Roman"/>
          <w:lang w:eastAsia="en-GB"/>
        </w:rPr>
      </w:pPr>
      <w:r w:rsidRPr="00070D32">
        <w:rPr>
          <w:rFonts w:ascii="Gilroy" w:eastAsia="Times New Roman" w:hAnsi="Gilroy" w:cs="Times New Roman"/>
          <w:lang w:eastAsia="en-GB"/>
        </w:rPr>
        <w:t xml:space="preserve">When contracting private entities to facilitate access to ATs to </w:t>
      </w:r>
      <w:r w:rsidR="004170BC">
        <w:rPr>
          <w:rFonts w:ascii="Gilroy" w:eastAsia="Times New Roman" w:hAnsi="Gilroy" w:cs="Times New Roman"/>
          <w:lang w:eastAsia="en-GB"/>
        </w:rPr>
        <w:t>persons</w:t>
      </w:r>
      <w:r w:rsidR="004170BC" w:rsidRPr="00070D32">
        <w:rPr>
          <w:rFonts w:ascii="Gilroy" w:eastAsia="Times New Roman" w:hAnsi="Gilroy" w:cs="Times New Roman"/>
          <w:lang w:eastAsia="en-GB"/>
        </w:rPr>
        <w:t xml:space="preserve"> </w:t>
      </w:r>
      <w:r w:rsidRPr="00070D32">
        <w:rPr>
          <w:rFonts w:ascii="Gilroy" w:eastAsia="Times New Roman" w:hAnsi="Gilroy" w:cs="Times New Roman"/>
          <w:lang w:eastAsia="en-GB"/>
        </w:rPr>
        <w:t xml:space="preserve">with disabilities, </w:t>
      </w:r>
      <w:r w:rsidR="00125E52">
        <w:rPr>
          <w:rFonts w:ascii="Gilroy" w:eastAsia="Times New Roman" w:hAnsi="Gilroy" w:cs="Times New Roman"/>
          <w:lang w:eastAsia="en-GB"/>
        </w:rPr>
        <w:t>s</w:t>
      </w:r>
      <w:r w:rsidRPr="00070D32">
        <w:rPr>
          <w:rFonts w:ascii="Gilroy" w:eastAsia="Times New Roman" w:hAnsi="Gilroy" w:cs="Times New Roman"/>
          <w:lang w:eastAsia="en-GB"/>
        </w:rPr>
        <w:t xml:space="preserve">tates </w:t>
      </w:r>
      <w:r w:rsidR="002958AC">
        <w:rPr>
          <w:rFonts w:ascii="Gilroy" w:eastAsia="Times New Roman" w:hAnsi="Gilroy" w:cs="Times New Roman"/>
          <w:lang w:eastAsia="en-GB"/>
        </w:rPr>
        <w:t xml:space="preserve">must </w:t>
      </w:r>
      <w:r w:rsidRPr="00070D32">
        <w:rPr>
          <w:rFonts w:ascii="Gilroy" w:eastAsia="Times New Roman" w:hAnsi="Gilroy" w:cs="Times New Roman"/>
          <w:lang w:eastAsia="en-GB"/>
        </w:rPr>
        <w:t>comply with their obligation to protect against abuses by non-state actors and responsibilities of the private sector, including the technology industry,</w:t>
      </w:r>
      <w:r w:rsidRPr="00070D32">
        <w:rPr>
          <w:rStyle w:val="FootnoteReference"/>
          <w:rFonts w:ascii="Gilroy" w:eastAsia="Times New Roman" w:hAnsi="Gilroy" w:cs="Times New Roman"/>
          <w:lang w:eastAsia="en-GB"/>
        </w:rPr>
        <w:footnoteReference w:id="63"/>
      </w:r>
      <w:r w:rsidRPr="00070D32">
        <w:rPr>
          <w:rFonts w:ascii="Gilroy" w:eastAsia="Times New Roman" w:hAnsi="Gilroy" w:cs="Times New Roman"/>
          <w:lang w:eastAsia="en-GB"/>
        </w:rPr>
        <w:t xml:space="preserve"> under </w:t>
      </w:r>
      <w:r w:rsidR="00125E52">
        <w:rPr>
          <w:rFonts w:ascii="Gilroy" w:eastAsia="Times New Roman" w:hAnsi="Gilroy" w:cs="Times New Roman"/>
          <w:lang w:eastAsia="en-GB"/>
        </w:rPr>
        <w:t>UN</w:t>
      </w:r>
      <w:r w:rsidRPr="00070D32">
        <w:rPr>
          <w:rFonts w:ascii="Gilroy" w:eastAsia="Times New Roman" w:hAnsi="Gilroy" w:cs="Times New Roman"/>
          <w:lang w:eastAsia="en-GB"/>
        </w:rPr>
        <w:t xml:space="preserve"> Guiding Principles on Business and Human Rights.</w:t>
      </w:r>
      <w:r w:rsidRPr="00070D32">
        <w:rPr>
          <w:rStyle w:val="FootnoteReference"/>
          <w:rFonts w:ascii="Gilroy" w:eastAsia="Times New Roman" w:hAnsi="Gilroy" w:cs="Times New Roman"/>
          <w:lang w:eastAsia="en-GB"/>
        </w:rPr>
        <w:footnoteReference w:id="64"/>
      </w:r>
      <w:r w:rsidRPr="00070D32">
        <w:rPr>
          <w:rFonts w:ascii="Gilroy" w:eastAsia="Times New Roman" w:hAnsi="Gilroy" w:cs="Times New Roman"/>
          <w:lang w:eastAsia="en-GB"/>
        </w:rPr>
        <w:t xml:space="preserve"> The privatisation of public responsibilities can be deeply problematic if deployed without the safeguards required to ensure human rights are protected. </w:t>
      </w:r>
    </w:p>
    <w:p w14:paraId="250329D4" w14:textId="77777777" w:rsidR="00DE7020" w:rsidRDefault="00DE7020" w:rsidP="006138EB">
      <w:pPr>
        <w:snapToGrid w:val="0"/>
        <w:spacing w:before="100" w:beforeAutospacing="1" w:after="100" w:afterAutospacing="1"/>
        <w:contextualSpacing/>
        <w:jc w:val="both"/>
        <w:outlineLvl w:val="2"/>
        <w:rPr>
          <w:rFonts w:ascii="Gilroy" w:eastAsia="Times New Roman" w:hAnsi="Gilroy" w:cs="Times New Roman"/>
          <w:lang w:eastAsia="en-GB"/>
        </w:rPr>
      </w:pPr>
    </w:p>
    <w:p w14:paraId="40AED5D7" w14:textId="18C74A24" w:rsidR="004170BC" w:rsidRDefault="00314E8D" w:rsidP="006138EB">
      <w:pPr>
        <w:snapToGrid w:val="0"/>
        <w:spacing w:before="100" w:beforeAutospacing="1" w:after="100" w:afterAutospacing="1"/>
        <w:contextualSpacing/>
        <w:jc w:val="both"/>
        <w:outlineLvl w:val="2"/>
        <w:rPr>
          <w:rFonts w:ascii="Gilroy" w:eastAsia="Times New Roman" w:hAnsi="Gilroy" w:cs="Times New Roman"/>
          <w:lang w:eastAsia="en-GB"/>
        </w:rPr>
      </w:pPr>
      <w:r>
        <w:rPr>
          <w:rFonts w:ascii="Gilroy" w:eastAsia="Times New Roman" w:hAnsi="Gilroy" w:cs="Times New Roman"/>
          <w:lang w:eastAsia="en-GB"/>
        </w:rPr>
        <w:t xml:space="preserve">For this reason, </w:t>
      </w:r>
      <w:r w:rsidR="00925647">
        <w:rPr>
          <w:rFonts w:ascii="Gilroy" w:eastAsia="Times New Roman" w:hAnsi="Gilroy" w:cs="Times New Roman"/>
          <w:lang w:eastAsia="en-GB"/>
        </w:rPr>
        <w:t>PI has developed a set of</w:t>
      </w:r>
      <w:r>
        <w:rPr>
          <w:rFonts w:ascii="Gilroy" w:eastAsia="Times New Roman" w:hAnsi="Gilroy" w:cs="Times New Roman"/>
          <w:lang w:eastAsia="en-GB"/>
        </w:rPr>
        <w:t xml:space="preserve"> recommended</w:t>
      </w:r>
      <w:r w:rsidR="00925647">
        <w:rPr>
          <w:rFonts w:ascii="Gilroy" w:eastAsia="Times New Roman" w:hAnsi="Gilroy" w:cs="Times New Roman"/>
          <w:lang w:eastAsia="en-GB"/>
        </w:rPr>
        <w:t xml:space="preserve"> safeguards which should be </w:t>
      </w:r>
      <w:r>
        <w:rPr>
          <w:rFonts w:ascii="Gilroy" w:eastAsia="Times New Roman" w:hAnsi="Gilroy" w:cs="Times New Roman"/>
          <w:lang w:eastAsia="en-GB"/>
        </w:rPr>
        <w:t>adopted when engaging in public</w:t>
      </w:r>
      <w:r w:rsidR="002958AC">
        <w:rPr>
          <w:rFonts w:ascii="Gilroy" w:eastAsia="Times New Roman" w:hAnsi="Gilroy" w:cs="Times New Roman"/>
          <w:lang w:eastAsia="en-GB"/>
        </w:rPr>
        <w:t>-</w:t>
      </w:r>
      <w:r>
        <w:rPr>
          <w:rFonts w:ascii="Gilroy" w:eastAsia="Times New Roman" w:hAnsi="Gilroy" w:cs="Times New Roman"/>
          <w:lang w:eastAsia="en-GB"/>
        </w:rPr>
        <w:t>private partnerships related to surveillance technologies and data processing, which encourage centring transparency, proper procurement, legality, accountability, oversight and redress in these partnerships</w:t>
      </w:r>
      <w:r w:rsidR="002958AC">
        <w:rPr>
          <w:rFonts w:ascii="Gilroy" w:eastAsia="Times New Roman" w:hAnsi="Gilroy" w:cs="Times New Roman"/>
          <w:lang w:eastAsia="en-GB"/>
        </w:rPr>
        <w:t>. W</w:t>
      </w:r>
      <w:r w:rsidR="00125E52">
        <w:rPr>
          <w:rFonts w:ascii="Gilroy" w:eastAsia="Times New Roman" w:hAnsi="Gilroy" w:cs="Times New Roman"/>
          <w:lang w:eastAsia="en-GB"/>
        </w:rPr>
        <w:t>e urge the Office to integrate</w:t>
      </w:r>
      <w:r w:rsidR="002958AC">
        <w:rPr>
          <w:rFonts w:ascii="Gilroy" w:eastAsia="Times New Roman" w:hAnsi="Gilroy" w:cs="Times New Roman"/>
          <w:lang w:eastAsia="en-GB"/>
        </w:rPr>
        <w:t xml:space="preserve"> these safeguards</w:t>
      </w:r>
      <w:r w:rsidR="00125E52">
        <w:rPr>
          <w:rFonts w:ascii="Gilroy" w:eastAsia="Times New Roman" w:hAnsi="Gilroy" w:cs="Times New Roman"/>
          <w:lang w:eastAsia="en-GB"/>
        </w:rPr>
        <w:t xml:space="preserve"> to the recommendations towards states and companies in its upcoming report</w:t>
      </w:r>
      <w:r>
        <w:rPr>
          <w:rFonts w:ascii="Gilroy" w:eastAsia="Times New Roman" w:hAnsi="Gilroy" w:cs="Times New Roman"/>
          <w:lang w:eastAsia="en-GB"/>
        </w:rPr>
        <w:t>.</w:t>
      </w:r>
      <w:r>
        <w:rPr>
          <w:rStyle w:val="FootnoteReference"/>
          <w:rFonts w:ascii="Gilroy" w:eastAsia="Times New Roman" w:hAnsi="Gilroy" w:cs="Times New Roman"/>
          <w:lang w:eastAsia="en-GB"/>
        </w:rPr>
        <w:footnoteReference w:id="65"/>
      </w:r>
    </w:p>
    <w:p w14:paraId="6BD935C9" w14:textId="77777777" w:rsidR="004170BC" w:rsidRDefault="004170BC" w:rsidP="006138EB">
      <w:pPr>
        <w:snapToGrid w:val="0"/>
        <w:spacing w:before="100" w:beforeAutospacing="1" w:after="100" w:afterAutospacing="1"/>
        <w:contextualSpacing/>
        <w:jc w:val="both"/>
        <w:outlineLvl w:val="2"/>
        <w:rPr>
          <w:rFonts w:ascii="Gilroy" w:eastAsia="Times New Roman" w:hAnsi="Gilroy" w:cs="Times New Roman"/>
          <w:lang w:eastAsia="en-GB"/>
        </w:rPr>
      </w:pPr>
    </w:p>
    <w:p w14:paraId="07A9E3F6" w14:textId="0CF59EF2" w:rsidR="00B64D78" w:rsidRDefault="00314E8D" w:rsidP="006138EB">
      <w:pPr>
        <w:snapToGrid w:val="0"/>
        <w:spacing w:before="100" w:beforeAutospacing="1" w:after="100" w:afterAutospacing="1"/>
        <w:contextualSpacing/>
        <w:jc w:val="both"/>
        <w:outlineLvl w:val="2"/>
      </w:pPr>
      <w:r>
        <w:rPr>
          <w:rFonts w:ascii="Gilroy" w:eastAsia="Times New Roman" w:hAnsi="Gilroy" w:cs="Times New Roman"/>
          <w:lang w:eastAsia="en-GB"/>
        </w:rPr>
        <w:t>It is true that new</w:t>
      </w:r>
      <w:r w:rsidRPr="00070D32">
        <w:rPr>
          <w:rFonts w:ascii="Gilroy" w:eastAsia="Times New Roman" w:hAnsi="Gilroy" w:cs="Times New Roman"/>
          <w:lang w:eastAsia="en-GB"/>
        </w:rPr>
        <w:t xml:space="preserve"> </w:t>
      </w:r>
      <w:r w:rsidR="00B64D78" w:rsidRPr="00070D32">
        <w:rPr>
          <w:rFonts w:ascii="Gilroy" w:eastAsia="Times New Roman" w:hAnsi="Gilroy" w:cs="Times New Roman"/>
          <w:lang w:eastAsia="en-GB"/>
        </w:rPr>
        <w:t xml:space="preserve">technologies, including </w:t>
      </w:r>
      <w:r w:rsidR="004170BC">
        <w:rPr>
          <w:rFonts w:ascii="Gilroy" w:eastAsia="Times New Roman" w:hAnsi="Gilroy" w:cs="Times New Roman"/>
          <w:lang w:eastAsia="en-GB"/>
        </w:rPr>
        <w:t>AI</w:t>
      </w:r>
      <w:r w:rsidR="00B64D78" w:rsidRPr="00070D32">
        <w:rPr>
          <w:rFonts w:ascii="Gilroy" w:eastAsia="Times New Roman" w:hAnsi="Gilroy" w:cs="Times New Roman"/>
          <w:lang w:eastAsia="en-GB"/>
        </w:rPr>
        <w:t>, can assist in the personalisation of services and may have enormously beneficial potential for many persons with disabilities,</w:t>
      </w:r>
      <w:r w:rsidR="00B64D78">
        <w:rPr>
          <w:rFonts w:ascii="Gilroy" w:eastAsia="Times New Roman" w:hAnsi="Gilroy" w:cs="Times New Roman"/>
          <w:lang w:eastAsia="en-GB"/>
        </w:rPr>
        <w:t xml:space="preserve"> as recognised by the World Health Organisation in 2023 </w:t>
      </w:r>
      <w:r w:rsidR="004170BC">
        <w:rPr>
          <w:rFonts w:ascii="Gilroy" w:eastAsia="Times New Roman" w:hAnsi="Gilroy" w:cs="Times New Roman"/>
          <w:lang w:eastAsia="en-GB"/>
        </w:rPr>
        <w:t>who</w:t>
      </w:r>
      <w:r w:rsidR="00B64D78">
        <w:rPr>
          <w:rFonts w:ascii="Gilroy" w:eastAsia="Times New Roman" w:hAnsi="Gilroy" w:cs="Times New Roman"/>
          <w:lang w:eastAsia="en-GB"/>
        </w:rPr>
        <w:t xml:space="preserve"> stated: “</w:t>
      </w:r>
      <w:r w:rsidR="00B64D78" w:rsidRPr="004F1C0A">
        <w:rPr>
          <w:rFonts w:ascii="Gilroy" w:eastAsia="Times New Roman" w:hAnsi="Gilroy" w:cs="Times New Roman"/>
          <w:i/>
          <w:iCs/>
          <w:lang w:eastAsia="en-GB"/>
        </w:rPr>
        <w:t>Without assistive technology, people are often excluded, isolated, and locked into poverty, thereby increasing the impact of disease and disability on a person, their family, and society</w:t>
      </w:r>
      <w:r w:rsidR="00B64D78">
        <w:rPr>
          <w:rFonts w:ascii="Gilroy" w:eastAsia="Times New Roman" w:hAnsi="Gilroy" w:cs="Times New Roman"/>
          <w:lang w:eastAsia="en-GB"/>
        </w:rPr>
        <w:t>”.</w:t>
      </w:r>
      <w:r w:rsidR="00B64D78">
        <w:rPr>
          <w:rStyle w:val="FootnoteReference"/>
          <w:rFonts w:ascii="Gilroy" w:eastAsia="Times New Roman" w:hAnsi="Gilroy" w:cs="Times New Roman"/>
          <w:lang w:eastAsia="en-GB"/>
        </w:rPr>
        <w:footnoteReference w:id="66"/>
      </w:r>
      <w:r w:rsidR="00B64D78" w:rsidRPr="00070D32">
        <w:rPr>
          <w:rFonts w:ascii="Gilroy" w:eastAsia="Times New Roman" w:hAnsi="Gilroy" w:cs="Times New Roman"/>
          <w:lang w:eastAsia="en-GB"/>
        </w:rPr>
        <w:t xml:space="preserve"> </w:t>
      </w:r>
      <w:r w:rsidR="00B64D78">
        <w:rPr>
          <w:rFonts w:ascii="Gilroy" w:eastAsia="Times New Roman" w:hAnsi="Gilroy" w:cs="Times New Roman"/>
          <w:lang w:eastAsia="en-GB"/>
        </w:rPr>
        <w:t xml:space="preserve">That being said, </w:t>
      </w:r>
      <w:r w:rsidR="00B64D78" w:rsidRPr="00070D32">
        <w:rPr>
          <w:rFonts w:ascii="Gilroy" w:eastAsia="Times New Roman" w:hAnsi="Gilroy" w:cs="Times New Roman"/>
          <w:lang w:eastAsia="en-GB"/>
        </w:rPr>
        <w:t>it is critical ensure that such technolog</w:t>
      </w:r>
      <w:r w:rsidR="00125E52">
        <w:rPr>
          <w:rFonts w:ascii="Gilroy" w:eastAsia="Times New Roman" w:hAnsi="Gilroy" w:cs="Times New Roman"/>
          <w:lang w:eastAsia="en-GB"/>
        </w:rPr>
        <w:t>ies</w:t>
      </w:r>
      <w:r w:rsidR="00B64D78" w:rsidRPr="00070D32">
        <w:rPr>
          <w:rFonts w:ascii="Gilroy" w:eastAsia="Times New Roman" w:hAnsi="Gilroy" w:cs="Times New Roman"/>
          <w:lang w:eastAsia="en-GB"/>
        </w:rPr>
        <w:t xml:space="preserve"> do not </w:t>
      </w:r>
      <w:r w:rsidR="00B64D78">
        <w:rPr>
          <w:rFonts w:ascii="Gilroy" w:eastAsia="Times New Roman" w:hAnsi="Gilroy" w:cs="Times New Roman"/>
          <w:lang w:eastAsia="en-GB"/>
        </w:rPr>
        <w:t>come at the expense of</w:t>
      </w:r>
      <w:r w:rsidR="00B64D78" w:rsidRPr="00070D32">
        <w:rPr>
          <w:rFonts w:ascii="Gilroy" w:eastAsia="Times New Roman" w:hAnsi="Gilroy" w:cs="Times New Roman"/>
          <w:lang w:eastAsia="en-GB"/>
        </w:rPr>
        <w:t xml:space="preserve"> the human touch and </w:t>
      </w:r>
      <w:r w:rsidR="00125E52">
        <w:rPr>
          <w:rFonts w:ascii="Gilroy" w:eastAsia="Times New Roman" w:hAnsi="Gilroy" w:cs="Times New Roman"/>
          <w:lang w:eastAsia="en-GB"/>
        </w:rPr>
        <w:t>their</w:t>
      </w:r>
      <w:r w:rsidR="00B64D78" w:rsidRPr="00070D32">
        <w:rPr>
          <w:rFonts w:ascii="Gilroy" w:eastAsia="Times New Roman" w:hAnsi="Gilroy" w:cs="Times New Roman"/>
          <w:lang w:eastAsia="en-GB"/>
        </w:rPr>
        <w:t xml:space="preserve"> use does not infringe upon fundamental rights, including the right to privacy.</w:t>
      </w:r>
      <w:r w:rsidR="00B64D78">
        <w:rPr>
          <w:rFonts w:ascii="Gilroy" w:eastAsia="Times New Roman" w:hAnsi="Gilroy" w:cs="Times New Roman"/>
          <w:lang w:eastAsia="en-GB"/>
        </w:rPr>
        <w:t xml:space="preserve"> The risk that data collected by </w:t>
      </w:r>
      <w:r w:rsidR="00B64D78">
        <w:rPr>
          <w:rFonts w:ascii="Gilroy" w:eastAsia="Times New Roman" w:hAnsi="Gilroy" w:cs="Times New Roman"/>
          <w:lang w:eastAsia="en-GB"/>
        </w:rPr>
        <w:lastRenderedPageBreak/>
        <w:t>the private sector from persons with disabilities via their use of ATs may be exploited, or abuse</w:t>
      </w:r>
      <w:r w:rsidR="004170BC">
        <w:rPr>
          <w:rFonts w:ascii="Gilroy" w:eastAsia="Times New Roman" w:hAnsi="Gilroy" w:cs="Times New Roman"/>
          <w:lang w:eastAsia="en-GB"/>
        </w:rPr>
        <w:t>d</w:t>
      </w:r>
      <w:r w:rsidR="00B64D78">
        <w:rPr>
          <w:rFonts w:ascii="Gilroy" w:eastAsia="Times New Roman" w:hAnsi="Gilroy" w:cs="Times New Roman"/>
          <w:lang w:eastAsia="en-GB"/>
        </w:rPr>
        <w:t xml:space="preserve">, has been brought to PI’s attention informally by Organisations of Persons with Disabilities (OPDs). The OPDs in question expressed concern at the intrusive level of seemingly irrelevant personal information that persons with disabilities are required to input into a given AT </w:t>
      </w:r>
      <w:r w:rsidR="004170BC">
        <w:rPr>
          <w:rFonts w:ascii="Gilroy" w:eastAsia="Times New Roman" w:hAnsi="Gilroy" w:cs="Times New Roman"/>
          <w:lang w:eastAsia="en-GB"/>
        </w:rPr>
        <w:t xml:space="preserve">as a pre-condition </w:t>
      </w:r>
      <w:r w:rsidR="00B64D78">
        <w:rPr>
          <w:rFonts w:ascii="Gilroy" w:eastAsia="Times New Roman" w:hAnsi="Gilroy" w:cs="Times New Roman"/>
          <w:lang w:eastAsia="en-GB"/>
        </w:rPr>
        <w:t xml:space="preserve">in order to </w:t>
      </w:r>
      <w:r w:rsidR="004170BC">
        <w:rPr>
          <w:rFonts w:ascii="Gilroy" w:eastAsia="Times New Roman" w:hAnsi="Gilroy" w:cs="Times New Roman"/>
          <w:lang w:eastAsia="en-GB"/>
        </w:rPr>
        <w:t xml:space="preserve">access and </w:t>
      </w:r>
      <w:r w:rsidR="00B64D78">
        <w:rPr>
          <w:rFonts w:ascii="Gilroy" w:eastAsia="Times New Roman" w:hAnsi="Gilroy" w:cs="Times New Roman"/>
          <w:lang w:eastAsia="en-GB"/>
        </w:rPr>
        <w:t xml:space="preserve">use </w:t>
      </w:r>
      <w:r w:rsidR="004170BC">
        <w:rPr>
          <w:rFonts w:ascii="Gilroy" w:eastAsia="Times New Roman" w:hAnsi="Gilroy" w:cs="Times New Roman"/>
          <w:lang w:eastAsia="en-GB"/>
        </w:rPr>
        <w:t>said AT product or service</w:t>
      </w:r>
      <w:r w:rsidR="00B64D78">
        <w:rPr>
          <w:rFonts w:ascii="Gilroy" w:eastAsia="Times New Roman" w:hAnsi="Gilroy" w:cs="Times New Roman"/>
          <w:lang w:eastAsia="en-GB"/>
        </w:rPr>
        <w:t>.</w:t>
      </w:r>
      <w:r w:rsidR="00B64D78">
        <w:rPr>
          <w:rStyle w:val="FootnoteReference"/>
          <w:rFonts w:ascii="Gilroy" w:eastAsia="Times New Roman" w:hAnsi="Gilroy" w:cs="Times New Roman"/>
          <w:lang w:eastAsia="en-GB"/>
        </w:rPr>
        <w:footnoteReference w:id="67"/>
      </w:r>
      <w:r w:rsidR="00B64D78" w:rsidRPr="009104B7">
        <w:rPr>
          <w:rFonts w:ascii="Gilroy" w:eastAsia="Times New Roman" w:hAnsi="Gilroy" w:cs="Times New Roman"/>
          <w:lang w:eastAsia="en-GB"/>
        </w:rPr>
        <w:t xml:space="preserve"> </w:t>
      </w:r>
    </w:p>
    <w:p w14:paraId="1B9B08BF" w14:textId="1B3E67F7" w:rsidR="00B64D78" w:rsidRPr="001571C6" w:rsidRDefault="00B64D78" w:rsidP="001571C6">
      <w:pPr>
        <w:pStyle w:val="Normal1"/>
        <w:numPr>
          <w:ilvl w:val="1"/>
          <w:numId w:val="35"/>
        </w:numPr>
        <w:snapToGrid w:val="0"/>
        <w:contextualSpacing/>
        <w:jc w:val="both"/>
        <w:rPr>
          <w:rFonts w:ascii="Gilroy" w:hAnsi="Gilroy"/>
          <w:b/>
          <w:bCs/>
        </w:rPr>
      </w:pPr>
      <w:r w:rsidRPr="001571C6">
        <w:rPr>
          <w:rFonts w:ascii="Gilroy" w:hAnsi="Gilroy"/>
          <w:b/>
          <w:bCs/>
        </w:rPr>
        <w:t xml:space="preserve">Safety of </w:t>
      </w:r>
      <w:r w:rsidR="00925647" w:rsidRPr="001571C6">
        <w:rPr>
          <w:rFonts w:ascii="Gilroy" w:hAnsi="Gilroy"/>
          <w:b/>
          <w:bCs/>
        </w:rPr>
        <w:t xml:space="preserve">assistive </w:t>
      </w:r>
      <w:r w:rsidRPr="001571C6">
        <w:rPr>
          <w:rFonts w:ascii="Gilroy" w:hAnsi="Gilroy"/>
          <w:b/>
          <w:bCs/>
        </w:rPr>
        <w:t>products and devices</w:t>
      </w:r>
    </w:p>
    <w:p w14:paraId="25AB3997" w14:textId="77777777" w:rsidR="00B64D78" w:rsidRDefault="00B64D78" w:rsidP="00B64D78">
      <w:pPr>
        <w:pStyle w:val="Normal1"/>
        <w:snapToGrid w:val="0"/>
        <w:contextualSpacing/>
        <w:jc w:val="both"/>
        <w:rPr>
          <w:rFonts w:ascii="Gilroy" w:hAnsi="Gilroy"/>
        </w:rPr>
      </w:pPr>
    </w:p>
    <w:p w14:paraId="34CD2428" w14:textId="4FACCBED" w:rsidR="00B64D78" w:rsidRDefault="00B64D78" w:rsidP="00B64D78">
      <w:pPr>
        <w:pStyle w:val="Normal1"/>
        <w:snapToGrid w:val="0"/>
        <w:contextualSpacing/>
        <w:jc w:val="both"/>
        <w:rPr>
          <w:rFonts w:ascii="Gilroy" w:hAnsi="Gilroy"/>
        </w:rPr>
      </w:pPr>
      <w:r w:rsidRPr="00070D32">
        <w:rPr>
          <w:rFonts w:ascii="Gilroy" w:hAnsi="Gilroy"/>
        </w:rPr>
        <w:t>The importance of protecting the right to privacy in the context of AT use is reflected in the EU Accessibility Act (Directive 2019/882) which stipulates that products must “protect the user’s privacy when he or she uses the accessibility features” and that products or services incorporating accessibility features “shall provide at least one mode of operation that maintains privacy when using those features that are provided for accessibility”.</w:t>
      </w:r>
      <w:r w:rsidRPr="00070D32">
        <w:rPr>
          <w:rStyle w:val="FootnoteReference"/>
          <w:rFonts w:ascii="Gilroy" w:hAnsi="Gilroy"/>
        </w:rPr>
        <w:footnoteReference w:id="68"/>
      </w:r>
      <w:r w:rsidRPr="00070D32">
        <w:rPr>
          <w:rFonts w:ascii="Gilroy" w:hAnsi="Gilroy"/>
        </w:rPr>
        <w:t xml:space="preserve"> </w:t>
      </w:r>
    </w:p>
    <w:p w14:paraId="3CF0E541" w14:textId="77777777" w:rsidR="00B64D78" w:rsidRPr="00070D32" w:rsidRDefault="00B64D78" w:rsidP="00B64D78">
      <w:pPr>
        <w:pStyle w:val="Normal1"/>
        <w:snapToGrid w:val="0"/>
        <w:contextualSpacing/>
        <w:jc w:val="both"/>
        <w:rPr>
          <w:rFonts w:ascii="Gilroy" w:hAnsi="Gilroy"/>
        </w:rPr>
      </w:pPr>
    </w:p>
    <w:p w14:paraId="0097B679" w14:textId="766CCB15" w:rsidR="00B64D78" w:rsidRPr="00070D32" w:rsidRDefault="004170BC" w:rsidP="00B64D78">
      <w:pPr>
        <w:pStyle w:val="Normal1"/>
        <w:snapToGrid w:val="0"/>
        <w:contextualSpacing/>
        <w:jc w:val="both"/>
        <w:rPr>
          <w:rFonts w:ascii="Gilroy" w:hAnsi="Gilroy"/>
        </w:rPr>
      </w:pPr>
      <w:r>
        <w:rPr>
          <w:rFonts w:ascii="Gilroy" w:hAnsi="Gilroy"/>
        </w:rPr>
        <w:t>Furthermore, t</w:t>
      </w:r>
      <w:r w:rsidRPr="00070D32">
        <w:rPr>
          <w:rFonts w:ascii="Gilroy" w:hAnsi="Gilroy"/>
        </w:rPr>
        <w:t xml:space="preserve">he </w:t>
      </w:r>
      <w:r w:rsidR="00B64D78" w:rsidRPr="00070D32">
        <w:rPr>
          <w:rFonts w:ascii="Gilroy" w:hAnsi="Gilroy"/>
        </w:rPr>
        <w:t xml:space="preserve">EU Parliamentary Research Service have argued for a privacy-by-design approach when it comes to ATs for persons with disabilities due to the risk they pose to the right to privacy, stating in their 2018 publication </w:t>
      </w:r>
      <w:r w:rsidR="00727512">
        <w:rPr>
          <w:rFonts w:ascii="Gilroy" w:hAnsi="Gilroy"/>
        </w:rPr>
        <w:t>“</w:t>
      </w:r>
      <w:r w:rsidR="00B64D78" w:rsidRPr="004F1C0A">
        <w:rPr>
          <w:rFonts w:ascii="Gilroy" w:hAnsi="Gilroy"/>
        </w:rPr>
        <w:t>Assistive technologies for people with disabilities</w:t>
      </w:r>
      <w:r w:rsidR="00727512">
        <w:rPr>
          <w:rFonts w:ascii="Gilroy" w:hAnsi="Gilroy"/>
          <w:i/>
          <w:iCs/>
        </w:rPr>
        <w:t>”</w:t>
      </w:r>
      <w:r w:rsidR="00B64D78" w:rsidRPr="00070D32">
        <w:rPr>
          <w:rFonts w:ascii="Gilroy" w:hAnsi="Gilroy"/>
        </w:rPr>
        <w:t xml:space="preserve"> that, “</w:t>
      </w:r>
      <w:r w:rsidR="00B64D78" w:rsidRPr="004F1C0A">
        <w:rPr>
          <w:rFonts w:ascii="Gilroy" w:hAnsi="Gilroy"/>
          <w:i/>
          <w:iCs/>
        </w:rPr>
        <w:t>the European Data Protection Supervisor might have to adopt a series of initiatives in order to address the relevant privacy risks</w:t>
      </w:r>
      <w:r w:rsidR="00B64D78" w:rsidRPr="00070D32">
        <w:rPr>
          <w:rFonts w:ascii="Gilroy" w:hAnsi="Gilroy"/>
        </w:rPr>
        <w:t>”.</w:t>
      </w:r>
      <w:r>
        <w:rPr>
          <w:rStyle w:val="FootnoteReference"/>
          <w:rFonts w:ascii="Gilroy" w:hAnsi="Gilroy"/>
        </w:rPr>
        <w:footnoteReference w:id="69"/>
      </w:r>
      <w:r w:rsidR="00B64D78" w:rsidRPr="00070D32">
        <w:rPr>
          <w:rFonts w:ascii="Gilroy" w:hAnsi="Gilroy"/>
        </w:rPr>
        <w:t xml:space="preserve"> The publication further identifies that ATs pose a unique threat to the right to privacy of persons with disabilities due to these technologies’ “access to traditionally protected spaces and sensitive personal information” and their “capacity to extract, collect and share sensitive information independently”. It further states that the use of ATs could result</w:t>
      </w:r>
      <w:r w:rsidR="002958AC">
        <w:rPr>
          <w:rFonts w:ascii="Gilroy" w:hAnsi="Gilroy"/>
        </w:rPr>
        <w:t xml:space="preserve"> in</w:t>
      </w:r>
      <w:r w:rsidR="00B64D78" w:rsidRPr="00070D32">
        <w:rPr>
          <w:rFonts w:ascii="Gilroy" w:hAnsi="Gilroy"/>
        </w:rPr>
        <w:t xml:space="preserve"> “unwanted supervision” that might take place without the person being aware.</w:t>
      </w:r>
      <w:r>
        <w:rPr>
          <w:rStyle w:val="FootnoteReference"/>
          <w:rFonts w:ascii="Gilroy" w:hAnsi="Gilroy"/>
        </w:rPr>
        <w:footnoteReference w:id="70"/>
      </w:r>
      <w:r w:rsidR="00B64D78" w:rsidRPr="00070D32">
        <w:rPr>
          <w:rFonts w:ascii="Gilroy" w:hAnsi="Gilroy"/>
        </w:rPr>
        <w:t xml:space="preserve"> </w:t>
      </w:r>
    </w:p>
    <w:p w14:paraId="573FFAD9" w14:textId="77777777" w:rsidR="00B64D78" w:rsidRDefault="00B64D78" w:rsidP="00B64D78">
      <w:pPr>
        <w:pStyle w:val="Normal1"/>
        <w:snapToGrid w:val="0"/>
        <w:contextualSpacing/>
        <w:jc w:val="both"/>
        <w:rPr>
          <w:rFonts w:ascii="Gilroy" w:hAnsi="Gilroy"/>
        </w:rPr>
      </w:pPr>
    </w:p>
    <w:p w14:paraId="06D93F93" w14:textId="1F9C3822" w:rsidR="00BD0C5B" w:rsidRPr="006138EB" w:rsidRDefault="00B64D78" w:rsidP="004F1C0A">
      <w:pPr>
        <w:pStyle w:val="Normal1"/>
        <w:snapToGrid w:val="0"/>
        <w:contextualSpacing/>
        <w:jc w:val="both"/>
      </w:pPr>
      <w:r w:rsidRPr="00070D32">
        <w:rPr>
          <w:rFonts w:ascii="Gilroy" w:hAnsi="Gilroy"/>
        </w:rPr>
        <w:t>In light of these risks, the EU Parliamentary Research Service stresses that user privacy must be taken into account to ensure patient safety, and that users must be informed and given agency over how their information is processed and stored by ATs, stating that they should be provided with, “</w:t>
      </w:r>
      <w:r w:rsidRPr="004F1C0A">
        <w:rPr>
          <w:rFonts w:ascii="Gilroy" w:hAnsi="Gilroy"/>
          <w:i/>
          <w:iCs/>
        </w:rPr>
        <w:t>options to prevent data archiving, delete historical data, and amend incorrect or misinterpreted data over the lifespan of the robot […]</w:t>
      </w:r>
      <w:r w:rsidRPr="00070D32">
        <w:rPr>
          <w:rFonts w:ascii="Gilroy" w:hAnsi="Gilroy"/>
        </w:rPr>
        <w:t>”. In addition, their report stresses “</w:t>
      </w:r>
      <w:r w:rsidRPr="004F1C0A">
        <w:rPr>
          <w:rFonts w:ascii="Gilroy" w:hAnsi="Gilroy"/>
          <w:i/>
          <w:iCs/>
        </w:rPr>
        <w:t>the process by which robots and artificial intelligence collect, use and process personal data must be transparent and comprehensible. Users should be able to understand fully the extent of monitoring, including how data are gathered and processed, by whom, for what purpose, for how long and where they are stored, and with whom they are or can be shared</w:t>
      </w:r>
      <w:r w:rsidRPr="00070D32">
        <w:rPr>
          <w:rFonts w:ascii="Gilroy" w:hAnsi="Gilroy"/>
        </w:rPr>
        <w:t>”.</w:t>
      </w:r>
      <w:r w:rsidRPr="00070D32">
        <w:rPr>
          <w:rStyle w:val="FootnoteReference"/>
          <w:rFonts w:ascii="Gilroy" w:hAnsi="Gilroy"/>
        </w:rPr>
        <w:footnoteReference w:id="71"/>
      </w:r>
    </w:p>
    <w:sectPr w:rsidR="00BD0C5B" w:rsidRPr="006138EB" w:rsidSect="00A662E6">
      <w:headerReference w:type="default" r:id="rId9"/>
      <w:footerReference w:type="even" r:id="rId10"/>
      <w:footerReference w:type="defaul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0E017" w14:textId="77777777" w:rsidR="00A662E6" w:rsidRDefault="00A662E6" w:rsidP="00891948">
      <w:r>
        <w:separator/>
      </w:r>
    </w:p>
  </w:endnote>
  <w:endnote w:type="continuationSeparator" w:id="0">
    <w:p w14:paraId="12A85485" w14:textId="77777777" w:rsidR="00A662E6" w:rsidRDefault="00A662E6" w:rsidP="0089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roy">
    <w:panose1 w:val="00000500000000000000"/>
    <w:charset w:val="4D"/>
    <w:family w:val="auto"/>
    <w:notTrueType/>
    <w:pitch w:val="variable"/>
    <w:sig w:usb0="00000207" w:usb1="00000000"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ilroy Light">
    <w:altName w:val="Calibri"/>
    <w:panose1 w:val="020B0604020202020204"/>
    <w:charset w:val="4D"/>
    <w:family w:val="auto"/>
    <w:notTrueType/>
    <w:pitch w:val="variable"/>
    <w:sig w:usb0="00000207" w:usb1="00000000" w:usb2="00000000" w:usb3="00000000" w:csb0="00000097"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EB79" w14:textId="56A4B785" w:rsidR="00CA3EAD" w:rsidRDefault="00CA3EAD" w:rsidP="00A272D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806A84" w14:textId="77777777" w:rsidR="00CA3EAD" w:rsidRDefault="00CA3EAD" w:rsidP="00CA3E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4904702"/>
      <w:docPartObj>
        <w:docPartGallery w:val="Page Numbers (Bottom of Page)"/>
        <w:docPartUnique/>
      </w:docPartObj>
    </w:sdtPr>
    <w:sdtEndPr>
      <w:rPr>
        <w:rStyle w:val="PageNumber"/>
        <w:rFonts w:ascii="Gilroy" w:hAnsi="Gilroy"/>
      </w:rPr>
    </w:sdtEndPr>
    <w:sdtContent>
      <w:p w14:paraId="75A414B5" w14:textId="3CE36589" w:rsidR="00A272D8" w:rsidRDefault="00A272D8" w:rsidP="00D471D9">
        <w:pPr>
          <w:pStyle w:val="Footer"/>
          <w:framePr w:wrap="none" w:vAnchor="text" w:hAnchor="margin" w:xAlign="center" w:y="1"/>
          <w:rPr>
            <w:rStyle w:val="PageNumber"/>
          </w:rPr>
        </w:pPr>
        <w:r w:rsidRPr="00A272D8">
          <w:rPr>
            <w:rStyle w:val="PageNumber"/>
            <w:rFonts w:ascii="Gilroy" w:hAnsi="Gilroy"/>
          </w:rPr>
          <w:fldChar w:fldCharType="begin"/>
        </w:r>
        <w:r w:rsidRPr="00A272D8">
          <w:rPr>
            <w:rStyle w:val="PageNumber"/>
            <w:rFonts w:ascii="Gilroy" w:hAnsi="Gilroy"/>
          </w:rPr>
          <w:instrText xml:space="preserve"> PAGE </w:instrText>
        </w:r>
        <w:r w:rsidRPr="00A272D8">
          <w:rPr>
            <w:rStyle w:val="PageNumber"/>
            <w:rFonts w:ascii="Gilroy" w:hAnsi="Gilroy"/>
          </w:rPr>
          <w:fldChar w:fldCharType="separate"/>
        </w:r>
        <w:r w:rsidRPr="00A272D8">
          <w:rPr>
            <w:rStyle w:val="PageNumber"/>
            <w:rFonts w:ascii="Gilroy" w:hAnsi="Gilroy"/>
            <w:noProof/>
          </w:rPr>
          <w:t>1</w:t>
        </w:r>
        <w:r w:rsidRPr="00A272D8">
          <w:rPr>
            <w:rStyle w:val="PageNumber"/>
            <w:rFonts w:ascii="Gilroy" w:hAnsi="Gilroy"/>
          </w:rPr>
          <w:fldChar w:fldCharType="end"/>
        </w:r>
      </w:p>
    </w:sdtContent>
  </w:sdt>
  <w:p w14:paraId="69214108" w14:textId="77777777" w:rsidR="00CA3EAD" w:rsidRPr="00A272D8" w:rsidRDefault="00CA3EAD" w:rsidP="00A272D8">
    <w:pPr>
      <w:pStyle w:val="Footer"/>
      <w:tabs>
        <w:tab w:val="clear" w:pos="4513"/>
        <w:tab w:val="clear" w:pos="9026"/>
        <w:tab w:val="right" w:pos="4536"/>
      </w:tabs>
      <w:ind w:right="4348"/>
      <w:rPr>
        <w:rFonts w:ascii="Gilroy" w:hAnsi="Gilroy"/>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5184515"/>
      <w:docPartObj>
        <w:docPartGallery w:val="Page Numbers (Bottom of Page)"/>
        <w:docPartUnique/>
      </w:docPartObj>
    </w:sdtPr>
    <w:sdtContent>
      <w:p w14:paraId="48A8D1B7" w14:textId="750CE109" w:rsidR="00A272D8" w:rsidRDefault="00A272D8" w:rsidP="00D471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1E6215" w14:textId="77777777" w:rsidR="00297C5D" w:rsidRDefault="00297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586DB" w14:textId="77777777" w:rsidR="00A662E6" w:rsidRDefault="00A662E6" w:rsidP="00891948">
      <w:r>
        <w:separator/>
      </w:r>
    </w:p>
  </w:footnote>
  <w:footnote w:type="continuationSeparator" w:id="0">
    <w:p w14:paraId="3F9A2205" w14:textId="77777777" w:rsidR="00A662E6" w:rsidRDefault="00A662E6" w:rsidP="00891948">
      <w:r>
        <w:continuationSeparator/>
      </w:r>
    </w:p>
  </w:footnote>
  <w:footnote w:id="1">
    <w:p w14:paraId="258AFBDF" w14:textId="58EB89CC" w:rsidR="00F05B06" w:rsidRPr="00A272D8" w:rsidRDefault="00F05B06">
      <w:pPr>
        <w:pStyle w:val="FootnoteText"/>
        <w:rPr>
          <w:rFonts w:ascii="Gilroy" w:hAnsi="Gilroy"/>
        </w:rPr>
      </w:pPr>
      <w:r w:rsidRPr="00A272D8">
        <w:rPr>
          <w:rStyle w:val="FootnoteReference"/>
          <w:rFonts w:ascii="Gilroy" w:hAnsi="Gilroy"/>
        </w:rPr>
        <w:footnoteRef/>
      </w:r>
      <w:r w:rsidRPr="00A272D8">
        <w:rPr>
          <w:rFonts w:ascii="Gilroy" w:hAnsi="Gilroy"/>
        </w:rPr>
        <w:t xml:space="preserve"> </w:t>
      </w:r>
      <w:r w:rsidRPr="00A272D8">
        <w:rPr>
          <w:rFonts w:ascii="Gilroy" w:eastAsia="Times New Roman" w:hAnsi="Gilroy" w:cs="Arial"/>
          <w:sz w:val="18"/>
          <w:szCs w:val="18"/>
          <w:lang w:eastAsia="en-GB"/>
        </w:rPr>
        <w:t>Privacy International (PI) is a London-based non-profit, non-governmental organization (Charity Number: 1147471) that researches and advocates globally against government and corporate abuses of data and technology. It exposes harm and abuses, mobilises allies globally, campaigns with the public for solutions, and pressures companies and governments to change.</w:t>
      </w:r>
      <w:r w:rsidRPr="00A272D8">
        <w:rPr>
          <w:rStyle w:val="FootnoteReference"/>
          <w:rFonts w:ascii="Gilroy" w:eastAsia="Times New Roman" w:hAnsi="Gilroy" w:cs="Arial"/>
          <w:sz w:val="18"/>
          <w:szCs w:val="18"/>
          <w:lang w:eastAsia="en-GB"/>
        </w:rPr>
        <w:footnoteRef/>
      </w:r>
      <w:r w:rsidRPr="00A272D8">
        <w:rPr>
          <w:rFonts w:ascii="Gilroy" w:eastAsia="Times New Roman" w:hAnsi="Gilroy" w:cs="Arial"/>
          <w:sz w:val="18"/>
          <w:szCs w:val="18"/>
          <w:lang w:eastAsia="en-GB"/>
        </w:rPr>
        <w:t xml:space="preserve"> PI challenges overreaching state and corporate surveillance so that people everywhere can have greater security and freedom through greater personal privacy. Within its range of activities, PI investigates how peoples’ personal data is generated and exploited, and how it can be protected through legal and technological frameworks. </w:t>
      </w:r>
      <w:r w:rsidRPr="00A272D8">
        <w:rPr>
          <w:rFonts w:ascii="Gilroy" w:eastAsia="Times New Roman" w:hAnsi="Gilroy"/>
          <w:sz w:val="18"/>
          <w:szCs w:val="18"/>
          <w:lang w:eastAsia="en-GB"/>
        </w:rPr>
        <w:t>It has advised and reported to international organisations like the Council of Europe, the European Parliament, the Organisation for Economic Cooperation and Development and the UN Refugee Agency.</w:t>
      </w:r>
    </w:p>
  </w:footnote>
  <w:footnote w:id="2">
    <w:p w14:paraId="12CDBF2D" w14:textId="36AF5EFA" w:rsidR="005C14A1" w:rsidRPr="00A272D8" w:rsidRDefault="005C14A1" w:rsidP="005C14A1">
      <w:pPr>
        <w:pStyle w:val="FootnoteText"/>
        <w:rPr>
          <w:rFonts w:ascii="Gilroy" w:hAnsi="Gilroy"/>
        </w:rPr>
      </w:pPr>
      <w:r w:rsidRPr="00A272D8">
        <w:rPr>
          <w:rStyle w:val="FootnoteReference"/>
          <w:rFonts w:ascii="Gilroy" w:hAnsi="Gilroy"/>
        </w:rPr>
        <w:footnoteRef/>
      </w:r>
      <w:r w:rsidRPr="00A272D8">
        <w:rPr>
          <w:rFonts w:ascii="Gilroy" w:hAnsi="Gilroy"/>
        </w:rPr>
        <w:t xml:space="preserve"> </w:t>
      </w:r>
      <w:r w:rsidRPr="00A272D8">
        <w:rPr>
          <w:rFonts w:ascii="Gilroy" w:hAnsi="Gilroy"/>
          <w:sz w:val="18"/>
          <w:szCs w:val="18"/>
        </w:rPr>
        <w:t>United Nations Office of the High Commissioner for Human Rights (OHCHR)</w:t>
      </w:r>
      <w:r w:rsidR="0063435F" w:rsidRPr="00A272D8">
        <w:rPr>
          <w:rFonts w:ascii="Gilroy" w:hAnsi="Gilroy"/>
          <w:sz w:val="18"/>
          <w:szCs w:val="18"/>
        </w:rPr>
        <w:t xml:space="preserve">, </w:t>
      </w:r>
      <w:r w:rsidRPr="00A272D8">
        <w:rPr>
          <w:rFonts w:ascii="Gilroy" w:hAnsi="Gilroy"/>
          <w:sz w:val="18"/>
          <w:szCs w:val="18"/>
        </w:rPr>
        <w:t>“Subject: Human Rights Council resolution 49/12”</w:t>
      </w:r>
      <w:r w:rsidR="0063435F" w:rsidRPr="00A272D8">
        <w:rPr>
          <w:rFonts w:ascii="Gilroy" w:hAnsi="Gilroy"/>
          <w:sz w:val="18"/>
          <w:szCs w:val="18"/>
        </w:rPr>
        <w:t xml:space="preserve"> (2023) </w:t>
      </w:r>
      <w:hyperlink r:id="rId1" w:history="1">
        <w:r w:rsidRPr="00A272D8">
          <w:rPr>
            <w:rStyle w:val="Hyperlink"/>
            <w:rFonts w:ascii="Gilroy" w:hAnsi="Gilroy"/>
            <w:sz w:val="18"/>
            <w:szCs w:val="18"/>
          </w:rPr>
          <w:t>https://www.ohchr.org/sites/default/files/documents/issues/disability/cfi-hrc-49-12-disability/Note-Verbale-Res-49-12-States-EN.pdf</w:t>
        </w:r>
      </w:hyperlink>
    </w:p>
  </w:footnote>
  <w:footnote w:id="3">
    <w:p w14:paraId="25A68A87" w14:textId="5ACB52C1" w:rsidR="00224CB3" w:rsidRPr="003726DD" w:rsidRDefault="00224CB3">
      <w:pPr>
        <w:pStyle w:val="FootnoteText"/>
        <w:rPr>
          <w:rFonts w:ascii="Gilroy" w:hAnsi="Gilroy"/>
          <w:sz w:val="18"/>
          <w:szCs w:val="18"/>
        </w:rPr>
      </w:pPr>
      <w:r w:rsidRPr="003726DD">
        <w:rPr>
          <w:rStyle w:val="FootnoteReference"/>
          <w:rFonts w:ascii="Gilroy" w:hAnsi="Gilroy"/>
          <w:sz w:val="18"/>
          <w:szCs w:val="18"/>
        </w:rPr>
        <w:footnoteRef/>
      </w:r>
      <w:r w:rsidRPr="003726DD">
        <w:rPr>
          <w:rFonts w:ascii="Gilroy" w:hAnsi="Gilroy"/>
          <w:sz w:val="18"/>
          <w:szCs w:val="18"/>
        </w:rPr>
        <w:t xml:space="preserve"> UN Convention on the Rights of Persons with Disabilities (CRPD), Article 22; Optional Protocol to the UN CRPD, Article 9.</w:t>
      </w:r>
    </w:p>
  </w:footnote>
  <w:footnote w:id="4">
    <w:p w14:paraId="1A9DAEEB" w14:textId="469CF28E" w:rsidR="00457747" w:rsidRPr="00A272D8" w:rsidRDefault="00457747">
      <w:pPr>
        <w:pStyle w:val="FootnoteText"/>
        <w:rPr>
          <w:rFonts w:ascii="Gilroy" w:hAnsi="Gilroy"/>
          <w:b/>
          <w:bCs/>
          <w:sz w:val="18"/>
          <w:szCs w:val="18"/>
        </w:rPr>
      </w:pPr>
      <w:r w:rsidRPr="00A272D8">
        <w:rPr>
          <w:rStyle w:val="FootnoteReference"/>
          <w:rFonts w:ascii="Gilroy" w:hAnsi="Gilroy"/>
        </w:rPr>
        <w:footnoteRef/>
      </w:r>
      <w:r w:rsidRPr="00A272D8">
        <w:rPr>
          <w:rFonts w:ascii="Gilroy" w:hAnsi="Gilroy"/>
        </w:rPr>
        <w:t xml:space="preserve"> </w:t>
      </w:r>
      <w:r w:rsidR="00F05B06" w:rsidRPr="00A272D8">
        <w:rPr>
          <w:rFonts w:ascii="Gilroy" w:hAnsi="Gilroy"/>
          <w:sz w:val="18"/>
          <w:szCs w:val="18"/>
        </w:rPr>
        <w:t>United Nations Department of Economic and Social Affairs</w:t>
      </w:r>
      <w:r w:rsidR="0063435F" w:rsidRPr="00A272D8">
        <w:rPr>
          <w:rFonts w:ascii="Gilroy" w:hAnsi="Gilroy"/>
          <w:sz w:val="18"/>
          <w:szCs w:val="18"/>
        </w:rPr>
        <w:t xml:space="preserve">, </w:t>
      </w:r>
      <w:r w:rsidR="00F05B06" w:rsidRPr="00A272D8">
        <w:rPr>
          <w:rFonts w:ascii="Gilroy" w:hAnsi="Gilroy"/>
          <w:sz w:val="18"/>
          <w:szCs w:val="18"/>
        </w:rPr>
        <w:t>“Reaching the most vulnerable: proposed supplement to the Standard Rules on the Equalization of Opportunities for Persons with Disabilities [Annex E/CN.5/2004/4]”</w:t>
      </w:r>
      <w:r w:rsidR="0063435F" w:rsidRPr="00A272D8">
        <w:rPr>
          <w:rFonts w:ascii="Gilroy" w:hAnsi="Gilroy"/>
          <w:sz w:val="18"/>
          <w:szCs w:val="18"/>
        </w:rPr>
        <w:t xml:space="preserve"> (2004)  </w:t>
      </w:r>
      <w:hyperlink r:id="rId2" w:anchor="f" w:history="1">
        <w:r w:rsidR="0063435F" w:rsidRPr="00A272D8">
          <w:rPr>
            <w:rStyle w:val="Hyperlink"/>
            <w:rFonts w:ascii="Gilroy" w:hAnsi="Gilroy"/>
            <w:sz w:val="18"/>
            <w:szCs w:val="18"/>
          </w:rPr>
          <w:t>https://www.un.org/development/desa/disabilities/resources/reaching-the-most-vulnerable-proposed-supplement-to-the-standard-rules-on-the-equalization-of-opportunities-for-persons-with-disabilities-annex-ecn-520044.html#f</w:t>
        </w:r>
      </w:hyperlink>
    </w:p>
    <w:p w14:paraId="3E977E9E" w14:textId="306E5A0B" w:rsidR="00457747" w:rsidRPr="00A272D8" w:rsidRDefault="00F05B06">
      <w:pPr>
        <w:pStyle w:val="FootnoteText"/>
        <w:rPr>
          <w:rFonts w:ascii="Gilroy" w:hAnsi="Gilroy"/>
          <w:sz w:val="18"/>
          <w:szCs w:val="18"/>
        </w:rPr>
      </w:pPr>
      <w:r w:rsidRPr="00A272D8">
        <w:rPr>
          <w:rFonts w:ascii="Gilroy" w:hAnsi="Gilroy"/>
          <w:sz w:val="18"/>
          <w:szCs w:val="18"/>
        </w:rPr>
        <w:t>See also: United Nations, Conference of State Parties to the Convention of the Rights of Persons with Disabilities (COSP 16)</w:t>
      </w:r>
      <w:r w:rsidR="0063435F" w:rsidRPr="00A272D8">
        <w:rPr>
          <w:rFonts w:ascii="Gilroy" w:hAnsi="Gilroy"/>
          <w:sz w:val="18"/>
          <w:szCs w:val="18"/>
        </w:rPr>
        <w:t xml:space="preserve"> (2023) </w:t>
      </w:r>
      <w:hyperlink r:id="rId3" w:history="1">
        <w:r w:rsidR="0063435F" w:rsidRPr="00A272D8">
          <w:rPr>
            <w:rStyle w:val="Hyperlink"/>
            <w:rFonts w:ascii="Gilroy" w:hAnsi="Gilroy"/>
            <w:sz w:val="18"/>
            <w:szCs w:val="18"/>
          </w:rPr>
          <w:t>https://indico.un.org/event/1004737/</w:t>
        </w:r>
      </w:hyperlink>
      <w:r w:rsidR="0063435F" w:rsidRPr="00A272D8">
        <w:rPr>
          <w:rFonts w:ascii="Gilroy" w:hAnsi="Gilroy"/>
          <w:sz w:val="18"/>
          <w:szCs w:val="18"/>
        </w:rPr>
        <w:t xml:space="preserve"> </w:t>
      </w:r>
    </w:p>
  </w:footnote>
  <w:footnote w:id="5">
    <w:p w14:paraId="49608C47" w14:textId="1C0504FF" w:rsidR="00457747" w:rsidRPr="00A272D8" w:rsidRDefault="00457747">
      <w:pPr>
        <w:pStyle w:val="FootnoteText"/>
        <w:rPr>
          <w:rFonts w:ascii="Gilroy" w:hAnsi="Gilroy"/>
          <w:sz w:val="18"/>
          <w:szCs w:val="18"/>
        </w:rPr>
      </w:pPr>
      <w:r w:rsidRPr="00A272D8">
        <w:rPr>
          <w:rStyle w:val="FootnoteReference"/>
          <w:rFonts w:ascii="Gilroy" w:hAnsi="Gilroy"/>
          <w:sz w:val="18"/>
          <w:szCs w:val="18"/>
        </w:rPr>
        <w:footnoteRef/>
      </w:r>
      <w:r w:rsidRPr="00A272D8">
        <w:rPr>
          <w:rFonts w:ascii="Gilroy" w:hAnsi="Gilroy"/>
          <w:sz w:val="18"/>
          <w:szCs w:val="18"/>
        </w:rPr>
        <w:t xml:space="preserve"> </w:t>
      </w:r>
      <w:r w:rsidR="00F05B06" w:rsidRPr="00A272D8">
        <w:rPr>
          <w:rFonts w:ascii="Gilroy" w:hAnsi="Gilroy"/>
          <w:sz w:val="18"/>
          <w:szCs w:val="18"/>
        </w:rPr>
        <w:t>United Nations Department of Economic and Social Affairs</w:t>
      </w:r>
      <w:r w:rsidR="00210557" w:rsidRPr="00A272D8">
        <w:rPr>
          <w:rFonts w:ascii="Gilroy" w:hAnsi="Gilroy"/>
          <w:sz w:val="18"/>
          <w:szCs w:val="18"/>
        </w:rPr>
        <w:t xml:space="preserve"> </w:t>
      </w:r>
      <w:r w:rsidR="00F05B06" w:rsidRPr="00A272D8">
        <w:rPr>
          <w:rFonts w:ascii="Gilroy" w:hAnsi="Gilroy"/>
          <w:sz w:val="18"/>
          <w:szCs w:val="18"/>
        </w:rPr>
        <w:t>“Reaching the most vulnerable: proposed supplement to the Standard Rules on the Equalization of Opportunities for Persons with Disabilities [Annex E/CN.5/2004/4]”</w:t>
      </w:r>
      <w:r w:rsidR="0063435F" w:rsidRPr="00A272D8">
        <w:rPr>
          <w:rFonts w:ascii="Gilroy" w:hAnsi="Gilroy"/>
          <w:sz w:val="18"/>
          <w:szCs w:val="18"/>
        </w:rPr>
        <w:t xml:space="preserve"> (2004)  </w:t>
      </w:r>
      <w:hyperlink r:id="rId4" w:anchor="f" w:history="1">
        <w:r w:rsidR="0063435F" w:rsidRPr="00A272D8">
          <w:rPr>
            <w:rStyle w:val="Hyperlink"/>
            <w:rFonts w:ascii="Gilroy" w:hAnsi="Gilroy"/>
            <w:sz w:val="18"/>
            <w:szCs w:val="18"/>
          </w:rPr>
          <w:t>https://www.un.org/development/desa/disabilities/resources/reaching-the-most-vulnerable-proposed-supplement-to-the-standard-rules-on-the-equalization-of-opportunities-for-persons-with-disabilities-annex-ecn-520044.html#f</w:t>
        </w:r>
      </w:hyperlink>
    </w:p>
  </w:footnote>
  <w:footnote w:id="6">
    <w:p w14:paraId="01B587DA" w14:textId="45AA63EC" w:rsidR="00B01D9C" w:rsidRPr="00A272D8" w:rsidRDefault="00B01D9C">
      <w:pPr>
        <w:pStyle w:val="FootnoteText"/>
        <w:rPr>
          <w:rFonts w:ascii="Gilroy" w:hAnsi="Gilroy"/>
        </w:rPr>
      </w:pPr>
      <w:r w:rsidRPr="00A272D8">
        <w:rPr>
          <w:rStyle w:val="FootnoteReference"/>
          <w:rFonts w:ascii="Gilroy" w:hAnsi="Gilroy"/>
        </w:rPr>
        <w:footnoteRef/>
      </w:r>
      <w:r w:rsidRPr="00A272D8">
        <w:rPr>
          <w:rFonts w:ascii="Gilroy" w:hAnsi="Gilroy"/>
        </w:rPr>
        <w:t xml:space="preserve"> </w:t>
      </w:r>
      <w:r w:rsidR="00E34B32" w:rsidRPr="00A272D8">
        <w:rPr>
          <w:rFonts w:ascii="Gilroy" w:hAnsi="Gilroy"/>
          <w:sz w:val="18"/>
          <w:szCs w:val="18"/>
        </w:rPr>
        <w:t>A/HRC/48/31</w:t>
      </w:r>
    </w:p>
  </w:footnote>
  <w:footnote w:id="7">
    <w:p w14:paraId="02301B8E" w14:textId="65BE63C6" w:rsidR="00B91A76" w:rsidRPr="00A272D8" w:rsidRDefault="00B91A76" w:rsidP="00E34B32">
      <w:pPr>
        <w:pStyle w:val="Heading2"/>
        <w:rPr>
          <w:rFonts w:ascii="Gilroy" w:hAnsi="Gilroy"/>
        </w:rPr>
      </w:pPr>
      <w:r w:rsidRPr="00A272D8">
        <w:rPr>
          <w:rStyle w:val="FootnoteReference"/>
          <w:rFonts w:ascii="Gilroy" w:hAnsi="Gilroy"/>
          <w:sz w:val="18"/>
          <w:szCs w:val="18"/>
        </w:rPr>
        <w:footnoteRef/>
      </w:r>
      <w:r w:rsidRPr="00A272D8">
        <w:rPr>
          <w:rFonts w:ascii="Gilroy" w:hAnsi="Gilroy"/>
          <w:sz w:val="18"/>
          <w:szCs w:val="18"/>
        </w:rPr>
        <w:t xml:space="preserve"> </w:t>
      </w:r>
      <w:r w:rsidR="0085569A" w:rsidRPr="00A272D8">
        <w:rPr>
          <w:rFonts w:ascii="Gilroy" w:hAnsi="Gilroy" w:cstheme="minorHAnsi"/>
          <w:color w:val="000000" w:themeColor="text1"/>
          <w:sz w:val="18"/>
          <w:szCs w:val="18"/>
        </w:rPr>
        <w:t>UN Special Rapporteur on the rights of persons with disabilities</w:t>
      </w:r>
      <w:r w:rsidR="00210557" w:rsidRPr="00A272D8">
        <w:rPr>
          <w:rFonts w:ascii="Gilroy" w:hAnsi="Gilroy" w:cstheme="minorHAnsi"/>
          <w:color w:val="000000" w:themeColor="text1"/>
          <w:sz w:val="18"/>
          <w:szCs w:val="18"/>
        </w:rPr>
        <w:t xml:space="preserve"> </w:t>
      </w:r>
      <w:r w:rsidR="0085569A" w:rsidRPr="00A272D8">
        <w:rPr>
          <w:rFonts w:ascii="Gilroy" w:hAnsi="Gilroy" w:cstheme="minorHAnsi"/>
          <w:color w:val="000000" w:themeColor="text1"/>
          <w:sz w:val="18"/>
          <w:szCs w:val="18"/>
        </w:rPr>
        <w:t>“A/HRC/49/52: Artificial intelligence and the rights of persons with disabilities - Report of the Special Rapporteur on the rights of persons with disabilities</w:t>
      </w:r>
      <w:r w:rsidR="0063435F" w:rsidRPr="00A272D8">
        <w:rPr>
          <w:rFonts w:ascii="Gilroy" w:hAnsi="Gilroy" w:cstheme="minorHAnsi"/>
          <w:color w:val="000000" w:themeColor="text1"/>
          <w:sz w:val="18"/>
          <w:szCs w:val="18"/>
        </w:rPr>
        <w:t xml:space="preserve">” (December 2021) </w:t>
      </w:r>
      <w:hyperlink r:id="rId5" w:history="1">
        <w:r w:rsidR="0063435F" w:rsidRPr="00A272D8">
          <w:rPr>
            <w:rStyle w:val="Hyperlink"/>
            <w:rFonts w:ascii="Gilroy" w:hAnsi="Gilroy" w:cstheme="minorHAnsi"/>
            <w:sz w:val="18"/>
            <w:szCs w:val="18"/>
          </w:rPr>
          <w:t>https://www.undocs.org/Home/Mobile?FinalSymbol=A%2FHRC%2F49%2F52&amp;Language=E&amp;DeviceType=Desktop&amp;LangRequested=False</w:t>
        </w:r>
      </w:hyperlink>
      <w:r w:rsidR="0063435F" w:rsidRPr="00A272D8">
        <w:rPr>
          <w:rFonts w:ascii="Gilroy" w:hAnsi="Gilroy" w:cstheme="minorHAnsi"/>
          <w:color w:val="000000" w:themeColor="text1"/>
          <w:sz w:val="18"/>
          <w:szCs w:val="18"/>
        </w:rPr>
        <w:t xml:space="preserve"> </w:t>
      </w:r>
    </w:p>
  </w:footnote>
  <w:footnote w:id="8">
    <w:p w14:paraId="42574751" w14:textId="4309D7B8" w:rsidR="00122384" w:rsidRPr="00A272D8" w:rsidRDefault="00122384" w:rsidP="00122384">
      <w:pPr>
        <w:pStyle w:val="FootnoteText"/>
        <w:rPr>
          <w:rFonts w:ascii="Gilroy" w:hAnsi="Gilroy"/>
          <w:b/>
          <w:bCs/>
          <w:sz w:val="18"/>
          <w:szCs w:val="18"/>
        </w:rPr>
      </w:pPr>
      <w:r w:rsidRPr="00A272D8">
        <w:rPr>
          <w:rStyle w:val="FootnoteReference"/>
          <w:rFonts w:ascii="Gilroy" w:hAnsi="Gilroy"/>
          <w:sz w:val="18"/>
          <w:szCs w:val="18"/>
        </w:rPr>
        <w:footnoteRef/>
      </w:r>
      <w:r w:rsidRPr="00A272D8">
        <w:rPr>
          <w:rFonts w:ascii="Gilroy" w:hAnsi="Gilroy"/>
          <w:sz w:val="18"/>
          <w:szCs w:val="18"/>
        </w:rPr>
        <w:t xml:space="preserve"> </w:t>
      </w:r>
      <w:r w:rsidR="00210557" w:rsidRPr="00A272D8">
        <w:rPr>
          <w:rFonts w:ascii="Gilroy" w:hAnsi="Gilroy"/>
          <w:sz w:val="18"/>
          <w:szCs w:val="18"/>
        </w:rPr>
        <w:t>Amnesty International</w:t>
      </w:r>
      <w:r w:rsidR="0063435F" w:rsidRPr="00A272D8">
        <w:rPr>
          <w:rFonts w:ascii="Gilroy" w:hAnsi="Gilroy"/>
          <w:sz w:val="18"/>
          <w:szCs w:val="18"/>
        </w:rPr>
        <w:t xml:space="preserve">, </w:t>
      </w:r>
      <w:r w:rsidR="00210557" w:rsidRPr="00A272D8">
        <w:rPr>
          <w:rFonts w:ascii="Gilroy" w:hAnsi="Gilroy"/>
          <w:sz w:val="18"/>
          <w:szCs w:val="18"/>
        </w:rPr>
        <w:t>“Glossary” in “Xenophobic machines: Discrimination through unregulated use of algorithms in the Dutch childcare benefits scandal</w:t>
      </w:r>
      <w:r w:rsidR="0063435F" w:rsidRPr="00A272D8">
        <w:rPr>
          <w:rFonts w:ascii="Gilroy" w:hAnsi="Gilroy"/>
          <w:sz w:val="18"/>
          <w:szCs w:val="18"/>
        </w:rPr>
        <w:t xml:space="preserve">” (2021) </w:t>
      </w:r>
      <w:hyperlink r:id="rId6" w:history="1">
        <w:r w:rsidR="00210557" w:rsidRPr="00A272D8">
          <w:rPr>
            <w:rStyle w:val="Hyperlink"/>
            <w:rFonts w:ascii="Gilroy" w:hAnsi="Gilroy"/>
            <w:sz w:val="18"/>
            <w:szCs w:val="18"/>
          </w:rPr>
          <w:t>https://www.amnesty.org/en/documents/eur35/4686/2021/en/</w:t>
        </w:r>
      </w:hyperlink>
    </w:p>
  </w:footnote>
  <w:footnote w:id="9">
    <w:p w14:paraId="52CC38CE" w14:textId="6C72EC78" w:rsidR="00224CB3" w:rsidRPr="00A272D8" w:rsidRDefault="00224CB3">
      <w:pPr>
        <w:pStyle w:val="FootnoteText"/>
        <w:rPr>
          <w:rFonts w:ascii="Gilroy" w:hAnsi="Gilroy"/>
        </w:rPr>
      </w:pPr>
      <w:r w:rsidRPr="00A272D8">
        <w:rPr>
          <w:rStyle w:val="FootnoteReference"/>
          <w:rFonts w:ascii="Gilroy" w:hAnsi="Gilroy"/>
          <w:sz w:val="18"/>
          <w:szCs w:val="18"/>
        </w:rPr>
        <w:footnoteRef/>
      </w:r>
      <w:r w:rsidRPr="00A272D8">
        <w:rPr>
          <w:rFonts w:ascii="Gilroy" w:hAnsi="Gilroy"/>
          <w:sz w:val="18"/>
          <w:szCs w:val="18"/>
        </w:rPr>
        <w:t xml:space="preserve"> General Data Protection Regulation (‘GDPR’), Article 22 and Recital 71.</w:t>
      </w:r>
    </w:p>
  </w:footnote>
  <w:footnote w:id="10">
    <w:p w14:paraId="2957B4A3" w14:textId="4FF46A7F" w:rsidR="00122384" w:rsidRPr="00A272D8" w:rsidRDefault="00122384" w:rsidP="00122384">
      <w:pPr>
        <w:pStyle w:val="FootnoteText"/>
        <w:rPr>
          <w:rFonts w:ascii="Gilroy" w:hAnsi="Gilroy"/>
          <w:sz w:val="18"/>
          <w:szCs w:val="18"/>
        </w:rPr>
      </w:pPr>
      <w:r w:rsidRPr="00A272D8">
        <w:rPr>
          <w:rStyle w:val="FootnoteReference"/>
          <w:rFonts w:ascii="Gilroy" w:hAnsi="Gilroy"/>
          <w:sz w:val="18"/>
          <w:szCs w:val="18"/>
        </w:rPr>
        <w:footnoteRef/>
      </w:r>
      <w:r w:rsidR="00210557" w:rsidRPr="00A272D8">
        <w:rPr>
          <w:rFonts w:ascii="Gilroy" w:hAnsi="Gilroy"/>
          <w:sz w:val="18"/>
          <w:szCs w:val="18"/>
        </w:rPr>
        <w:t xml:space="preserve"> GDPR, Recital 71 “Profiling”,</w:t>
      </w:r>
      <w:r w:rsidR="0044545E">
        <w:rPr>
          <w:rFonts w:ascii="Gilroy" w:hAnsi="Gilroy"/>
          <w:sz w:val="18"/>
          <w:szCs w:val="18"/>
        </w:rPr>
        <w:t xml:space="preserve"> </w:t>
      </w:r>
      <w:hyperlink r:id="rId7" w:history="1">
        <w:r w:rsidR="0044545E" w:rsidRPr="00D471D9">
          <w:rPr>
            <w:rStyle w:val="Hyperlink"/>
            <w:rFonts w:ascii="Gilroy" w:hAnsi="Gilroy"/>
            <w:sz w:val="18"/>
            <w:szCs w:val="18"/>
          </w:rPr>
          <w:t>https://eur-lex.europa.eu/eli/reg/2016/679/oj/</w:t>
        </w:r>
      </w:hyperlink>
      <w:r w:rsidR="0044545E">
        <w:rPr>
          <w:rFonts w:ascii="Gilroy" w:hAnsi="Gilroy"/>
          <w:sz w:val="18"/>
          <w:szCs w:val="18"/>
        </w:rPr>
        <w:t xml:space="preserve"> </w:t>
      </w:r>
    </w:p>
  </w:footnote>
  <w:footnote w:id="11">
    <w:p w14:paraId="24B98C43" w14:textId="3F9FAB04" w:rsidR="00122384" w:rsidRPr="00A272D8" w:rsidRDefault="00122384" w:rsidP="00122384">
      <w:pPr>
        <w:pStyle w:val="FootnoteText"/>
        <w:rPr>
          <w:rFonts w:ascii="Gilroy" w:hAnsi="Gilroy"/>
          <w:sz w:val="18"/>
          <w:szCs w:val="18"/>
        </w:rPr>
      </w:pPr>
      <w:r w:rsidRPr="00A272D8">
        <w:rPr>
          <w:rStyle w:val="FootnoteReference"/>
          <w:rFonts w:ascii="Gilroy" w:hAnsi="Gilroy"/>
          <w:sz w:val="18"/>
          <w:szCs w:val="18"/>
        </w:rPr>
        <w:footnoteRef/>
      </w:r>
      <w:r w:rsidRPr="00A272D8">
        <w:rPr>
          <w:rFonts w:ascii="Gilroy" w:hAnsi="Gilroy"/>
          <w:sz w:val="18"/>
          <w:szCs w:val="18"/>
        </w:rPr>
        <w:t xml:space="preserve"> </w:t>
      </w:r>
      <w:r w:rsidR="00210557" w:rsidRPr="00A272D8">
        <w:rPr>
          <w:rFonts w:ascii="Gilroy" w:hAnsi="Gilroy"/>
          <w:sz w:val="18"/>
          <w:szCs w:val="18"/>
        </w:rPr>
        <w:t>Amnesty International</w:t>
      </w:r>
      <w:r w:rsidR="0063435F" w:rsidRPr="00A272D8">
        <w:rPr>
          <w:rFonts w:ascii="Gilroy" w:hAnsi="Gilroy"/>
          <w:sz w:val="18"/>
          <w:szCs w:val="18"/>
        </w:rPr>
        <w:t xml:space="preserve">, </w:t>
      </w:r>
      <w:r w:rsidR="00210557" w:rsidRPr="00A272D8">
        <w:rPr>
          <w:rFonts w:ascii="Gilroy" w:hAnsi="Gilroy"/>
          <w:sz w:val="18"/>
          <w:szCs w:val="18"/>
        </w:rPr>
        <w:t>“Xenophobic machines: Discrimination through unregulated use of algorithms in the Dutch childcare benefits scandal”, p. 15</w:t>
      </w:r>
      <w:r w:rsidR="0063435F" w:rsidRPr="00A272D8">
        <w:rPr>
          <w:rFonts w:ascii="Gilroy" w:hAnsi="Gilroy"/>
          <w:sz w:val="18"/>
          <w:szCs w:val="18"/>
        </w:rPr>
        <w:t xml:space="preserve"> (2021)</w:t>
      </w:r>
      <w:r w:rsidR="00210557" w:rsidRPr="00A272D8">
        <w:rPr>
          <w:rFonts w:ascii="Gilroy" w:hAnsi="Gilroy"/>
          <w:sz w:val="18"/>
          <w:szCs w:val="18"/>
        </w:rPr>
        <w:t xml:space="preserve"> </w:t>
      </w:r>
      <w:hyperlink r:id="rId8" w:history="1">
        <w:r w:rsidR="0063435F" w:rsidRPr="00A272D8">
          <w:rPr>
            <w:rStyle w:val="Hyperlink"/>
            <w:rFonts w:ascii="Gilroy" w:hAnsi="Gilroy"/>
            <w:sz w:val="18"/>
            <w:szCs w:val="18"/>
          </w:rPr>
          <w:t>https://www.amnesty.org/en/documents/eur35/4686/2021/en/</w:t>
        </w:r>
      </w:hyperlink>
    </w:p>
  </w:footnote>
  <w:footnote w:id="12">
    <w:p w14:paraId="7D469EE8" w14:textId="052FE803" w:rsidR="00122384" w:rsidRPr="00A272D8" w:rsidRDefault="00122384" w:rsidP="00122384">
      <w:pPr>
        <w:pStyle w:val="FootnoteText"/>
        <w:rPr>
          <w:rFonts w:ascii="Gilroy" w:hAnsi="Gilroy"/>
          <w:b/>
          <w:bCs/>
          <w:sz w:val="18"/>
          <w:szCs w:val="18"/>
        </w:rPr>
      </w:pPr>
      <w:r w:rsidRPr="00A272D8">
        <w:rPr>
          <w:rStyle w:val="FootnoteReference"/>
          <w:rFonts w:ascii="Gilroy" w:hAnsi="Gilroy"/>
          <w:sz w:val="18"/>
          <w:szCs w:val="18"/>
        </w:rPr>
        <w:footnoteRef/>
      </w:r>
      <w:r w:rsidRPr="00A272D8">
        <w:rPr>
          <w:rFonts w:ascii="Gilroy" w:hAnsi="Gilroy"/>
          <w:sz w:val="18"/>
          <w:szCs w:val="18"/>
        </w:rPr>
        <w:t xml:space="preserve"> </w:t>
      </w:r>
      <w:r w:rsidR="00224CB3" w:rsidRPr="00A272D8">
        <w:rPr>
          <w:rFonts w:ascii="Gilroy" w:hAnsi="Gilroy"/>
          <w:i/>
          <w:iCs/>
          <w:sz w:val="18"/>
          <w:szCs w:val="18"/>
        </w:rPr>
        <w:t>Loomis v. Wisconsin</w:t>
      </w:r>
      <w:r w:rsidR="00224CB3" w:rsidRPr="00A272D8">
        <w:rPr>
          <w:rFonts w:ascii="Gilroy" w:hAnsi="Gilroy"/>
          <w:sz w:val="18"/>
          <w:szCs w:val="18"/>
        </w:rPr>
        <w:t>, 881 N.W.2d 749 (2016).</w:t>
      </w:r>
    </w:p>
  </w:footnote>
  <w:footnote w:id="13">
    <w:p w14:paraId="5D2D909C" w14:textId="282024A6" w:rsidR="00925647" w:rsidRPr="00A272D8" w:rsidRDefault="00122384" w:rsidP="00122384">
      <w:pPr>
        <w:pStyle w:val="FootnoteText"/>
        <w:rPr>
          <w:rFonts w:ascii="Gilroy" w:hAnsi="Gilroy"/>
          <w:sz w:val="18"/>
          <w:szCs w:val="18"/>
        </w:rPr>
      </w:pPr>
      <w:r w:rsidRPr="00A272D8">
        <w:rPr>
          <w:rStyle w:val="FootnoteReference"/>
          <w:rFonts w:ascii="Gilroy" w:hAnsi="Gilroy"/>
        </w:rPr>
        <w:footnoteRef/>
      </w:r>
      <w:r w:rsidRPr="00A272D8">
        <w:rPr>
          <w:rFonts w:ascii="Gilroy" w:hAnsi="Gilroy"/>
        </w:rPr>
        <w:t xml:space="preserve"> </w:t>
      </w:r>
      <w:r w:rsidR="00925647" w:rsidRPr="00A272D8">
        <w:rPr>
          <w:rFonts w:ascii="Gilroy" w:eastAsia="Times New Roman" w:hAnsi="Gilroy" w:cs="Times New Roman"/>
          <w:sz w:val="18"/>
          <w:szCs w:val="18"/>
          <w:lang w:eastAsia="en-GB"/>
        </w:rPr>
        <w:t xml:space="preserve">For example, </w:t>
      </w:r>
      <w:r w:rsidR="00A272D8">
        <w:rPr>
          <w:rFonts w:ascii="Gilroy" w:eastAsia="Times New Roman" w:hAnsi="Gilroy" w:cs="Times New Roman"/>
          <w:sz w:val="18"/>
          <w:szCs w:val="18"/>
          <w:lang w:eastAsia="en-GB"/>
        </w:rPr>
        <w:t xml:space="preserve">EU </w:t>
      </w:r>
      <w:r w:rsidR="00925647" w:rsidRPr="00A272D8">
        <w:rPr>
          <w:rFonts w:ascii="Gilroy" w:eastAsia="Times New Roman" w:hAnsi="Gilroy" w:cs="Times New Roman"/>
          <w:sz w:val="18"/>
          <w:szCs w:val="18"/>
          <w:lang w:eastAsia="en-GB"/>
        </w:rPr>
        <w:t>GDPR Article 22 provides rights in relation to solely automated decisions which have legal or other significant effects, stating: “</w:t>
      </w:r>
      <w:r w:rsidR="00925647" w:rsidRPr="00A272D8">
        <w:rPr>
          <w:rFonts w:ascii="Gilroy" w:hAnsi="Gilroy"/>
          <w:sz w:val="18"/>
          <w:szCs w:val="18"/>
        </w:rPr>
        <w:t>The data subject shall have the right not to be subject to a decision based solely on automated processing, including profiling […]</w:t>
      </w:r>
      <w:r w:rsidR="00925647" w:rsidRPr="00A272D8">
        <w:rPr>
          <w:rFonts w:ascii="Gilroy" w:eastAsia="Times New Roman" w:hAnsi="Gilroy" w:cs="Times New Roman"/>
          <w:sz w:val="18"/>
          <w:szCs w:val="18"/>
          <w:lang w:eastAsia="en-GB"/>
        </w:rPr>
        <w:t>”.</w:t>
      </w:r>
    </w:p>
    <w:p w14:paraId="194B2FCE" w14:textId="39EA783B" w:rsidR="00122384" w:rsidRPr="00A272D8" w:rsidRDefault="00925647" w:rsidP="00122384">
      <w:pPr>
        <w:pStyle w:val="FootnoteText"/>
        <w:rPr>
          <w:rFonts w:ascii="Gilroy" w:hAnsi="Gilroy" w:cstheme="minorHAnsi"/>
          <w:sz w:val="18"/>
          <w:szCs w:val="18"/>
        </w:rPr>
      </w:pPr>
      <w:r w:rsidRPr="00A272D8">
        <w:rPr>
          <w:rFonts w:ascii="Gilroy" w:hAnsi="Gilroy"/>
          <w:sz w:val="18"/>
          <w:szCs w:val="18"/>
        </w:rPr>
        <w:t>See</w:t>
      </w:r>
      <w:r w:rsidR="00E7002D" w:rsidRPr="00A272D8">
        <w:rPr>
          <w:rFonts w:ascii="Gilroy" w:hAnsi="Gilroy"/>
          <w:sz w:val="18"/>
          <w:szCs w:val="18"/>
        </w:rPr>
        <w:t xml:space="preserve"> also</w:t>
      </w:r>
      <w:r w:rsidRPr="00A272D8">
        <w:rPr>
          <w:rFonts w:ascii="Gilroy" w:hAnsi="Gilroy"/>
          <w:sz w:val="18"/>
          <w:szCs w:val="18"/>
        </w:rPr>
        <w:t xml:space="preserve">: </w:t>
      </w:r>
      <w:r w:rsidR="00122384" w:rsidRPr="00A272D8">
        <w:rPr>
          <w:rFonts w:ascii="Gilroy" w:hAnsi="Gilroy" w:cstheme="minorHAnsi"/>
          <w:sz w:val="18"/>
          <w:szCs w:val="18"/>
        </w:rPr>
        <w:t>Convention 108</w:t>
      </w:r>
      <w:r w:rsidR="0044545E">
        <w:rPr>
          <w:rFonts w:ascii="Gilroy" w:hAnsi="Gilroy" w:cstheme="minorHAnsi"/>
          <w:sz w:val="18"/>
          <w:szCs w:val="18"/>
        </w:rPr>
        <w:t xml:space="preserve">+, </w:t>
      </w:r>
      <w:hyperlink r:id="rId9" w:history="1">
        <w:r w:rsidR="0044545E" w:rsidRPr="00D471D9">
          <w:rPr>
            <w:rStyle w:val="Hyperlink"/>
            <w:rFonts w:ascii="Gilroy" w:hAnsi="Gilroy" w:cstheme="minorHAnsi"/>
            <w:sz w:val="18"/>
            <w:szCs w:val="18"/>
          </w:rPr>
          <w:t>https://rm.coe.int/convention-108-convention-for-the-protection-of-individuals-with-regar/16808b36f1</w:t>
        </w:r>
      </w:hyperlink>
      <w:r w:rsidR="0044545E">
        <w:rPr>
          <w:rFonts w:ascii="Gilroy" w:hAnsi="Gilroy" w:cstheme="minorHAnsi"/>
          <w:sz w:val="18"/>
          <w:szCs w:val="18"/>
        </w:rPr>
        <w:t xml:space="preserve"> </w:t>
      </w:r>
    </w:p>
  </w:footnote>
  <w:footnote w:id="14">
    <w:p w14:paraId="7475BF89" w14:textId="7D42CAF5" w:rsidR="00122384" w:rsidRPr="00A272D8" w:rsidRDefault="00122384" w:rsidP="00122384">
      <w:pPr>
        <w:pStyle w:val="FootnoteText"/>
        <w:rPr>
          <w:rFonts w:ascii="Gilroy" w:hAnsi="Gilroy" w:cstheme="minorHAnsi"/>
          <w:sz w:val="18"/>
          <w:szCs w:val="18"/>
        </w:rPr>
      </w:pPr>
      <w:r w:rsidRPr="00A272D8">
        <w:rPr>
          <w:rStyle w:val="FootnoteReference"/>
          <w:rFonts w:ascii="Gilroy" w:hAnsi="Gilroy" w:cstheme="minorHAnsi"/>
          <w:sz w:val="18"/>
          <w:szCs w:val="18"/>
        </w:rPr>
        <w:footnoteRef/>
      </w:r>
      <w:r w:rsidRPr="00A272D8">
        <w:rPr>
          <w:rFonts w:ascii="Gilroy" w:hAnsi="Gilroy" w:cstheme="minorHAnsi"/>
          <w:sz w:val="18"/>
          <w:szCs w:val="18"/>
        </w:rPr>
        <w:t xml:space="preserve"> </w:t>
      </w:r>
      <w:r w:rsidR="00224CB3" w:rsidRPr="00A272D8">
        <w:rPr>
          <w:rFonts w:ascii="Gilroy" w:hAnsi="Gilroy" w:cstheme="minorHAnsi"/>
          <w:sz w:val="18"/>
          <w:szCs w:val="18"/>
        </w:rPr>
        <w:t>Privacy International “The Keys to Data Protection”</w:t>
      </w:r>
      <w:r w:rsidR="0063435F" w:rsidRPr="00A272D8">
        <w:rPr>
          <w:rFonts w:ascii="Gilroy" w:hAnsi="Gilroy" w:cstheme="minorHAnsi"/>
          <w:sz w:val="18"/>
          <w:szCs w:val="18"/>
        </w:rPr>
        <w:t xml:space="preserve"> (August 2018)</w:t>
      </w:r>
      <w:r w:rsidR="00224CB3" w:rsidRPr="00A272D8">
        <w:rPr>
          <w:rFonts w:ascii="Gilroy" w:hAnsi="Gilroy" w:cstheme="minorHAnsi"/>
          <w:sz w:val="18"/>
          <w:szCs w:val="18"/>
        </w:rPr>
        <w:t xml:space="preserve"> </w:t>
      </w:r>
      <w:hyperlink r:id="rId10" w:history="1">
        <w:r w:rsidRPr="00A272D8">
          <w:rPr>
            <w:rStyle w:val="Hyperlink"/>
            <w:rFonts w:ascii="Gilroy" w:hAnsi="Gilroy" w:cstheme="minorHAnsi"/>
            <w:sz w:val="18"/>
            <w:szCs w:val="18"/>
          </w:rPr>
          <w:t>https://privacyinternational.org/sites/default/files/2018-09/Data%20Protection%20COMPLETE.pdf</w:t>
        </w:r>
      </w:hyperlink>
      <w:r w:rsidRPr="00A272D8">
        <w:rPr>
          <w:rFonts w:ascii="Gilroy" w:hAnsi="Gilroy" w:cstheme="minorHAnsi"/>
          <w:sz w:val="18"/>
          <w:szCs w:val="18"/>
        </w:rPr>
        <w:t xml:space="preserve"> </w:t>
      </w:r>
    </w:p>
  </w:footnote>
  <w:footnote w:id="15">
    <w:p w14:paraId="6441D278" w14:textId="5B0346AD" w:rsidR="00122384" w:rsidRPr="00A272D8" w:rsidRDefault="00122384" w:rsidP="00122384">
      <w:pPr>
        <w:pStyle w:val="FootnoteText"/>
        <w:rPr>
          <w:rFonts w:ascii="Gilroy" w:hAnsi="Gilroy" w:cstheme="minorHAnsi"/>
          <w:sz w:val="18"/>
          <w:szCs w:val="18"/>
        </w:rPr>
      </w:pPr>
      <w:r w:rsidRPr="00A272D8">
        <w:rPr>
          <w:rStyle w:val="FootnoteReference"/>
          <w:rFonts w:ascii="Gilroy" w:hAnsi="Gilroy" w:cstheme="minorHAnsi"/>
          <w:sz w:val="18"/>
          <w:szCs w:val="18"/>
        </w:rPr>
        <w:footnoteRef/>
      </w:r>
      <w:r w:rsidRPr="00A272D8">
        <w:rPr>
          <w:rFonts w:ascii="Gilroy" w:hAnsi="Gilroy" w:cstheme="minorHAnsi"/>
          <w:sz w:val="18"/>
          <w:szCs w:val="18"/>
        </w:rPr>
        <w:t xml:space="preserve"> </w:t>
      </w:r>
      <w:r w:rsidR="00224CB3" w:rsidRPr="00A272D8">
        <w:rPr>
          <w:rFonts w:ascii="Gilroy" w:hAnsi="Gilroy" w:cstheme="minorHAnsi"/>
          <w:sz w:val="18"/>
          <w:szCs w:val="18"/>
        </w:rPr>
        <w:t>European Parliament,</w:t>
      </w:r>
      <w:r w:rsidR="0063435F" w:rsidRPr="00A272D8">
        <w:rPr>
          <w:rFonts w:ascii="Gilroy" w:hAnsi="Gilroy" w:cstheme="minorHAnsi"/>
          <w:sz w:val="18"/>
          <w:szCs w:val="18"/>
        </w:rPr>
        <w:t xml:space="preserve"> </w:t>
      </w:r>
      <w:r w:rsidR="00224CB3" w:rsidRPr="00A272D8">
        <w:rPr>
          <w:rFonts w:ascii="Gilroy" w:hAnsi="Gilroy" w:cstheme="minorHAnsi"/>
          <w:sz w:val="18"/>
          <w:szCs w:val="18"/>
        </w:rPr>
        <w:t>“MEPs ready to negotiate first-ever rules for safe and transparent AI”</w:t>
      </w:r>
      <w:r w:rsidR="0063435F" w:rsidRPr="00A272D8">
        <w:rPr>
          <w:rFonts w:ascii="Gilroy" w:hAnsi="Gilroy" w:cstheme="minorHAnsi"/>
          <w:sz w:val="18"/>
          <w:szCs w:val="18"/>
        </w:rPr>
        <w:t xml:space="preserve"> (June 2023)</w:t>
      </w:r>
      <w:r w:rsidR="00210557" w:rsidRPr="00A272D8">
        <w:rPr>
          <w:rFonts w:ascii="Gilroy" w:hAnsi="Gilroy" w:cstheme="minorHAnsi"/>
          <w:sz w:val="18"/>
          <w:szCs w:val="18"/>
        </w:rPr>
        <w:t xml:space="preserve"> </w:t>
      </w:r>
      <w:hyperlink r:id="rId11" w:history="1">
        <w:r w:rsidR="0063435F" w:rsidRPr="00A272D8">
          <w:rPr>
            <w:rStyle w:val="Hyperlink"/>
            <w:rFonts w:ascii="Gilroy" w:hAnsi="Gilroy" w:cstheme="minorHAnsi"/>
            <w:sz w:val="18"/>
            <w:szCs w:val="18"/>
          </w:rPr>
          <w:t>https://www.europarl.europa.eu/news/en/press-room/20230609IPR96212/meps-ready-to-negotiate-first-ever-rules-for-safe-and-transparent-ai</w:t>
        </w:r>
      </w:hyperlink>
    </w:p>
  </w:footnote>
  <w:footnote w:id="16">
    <w:p w14:paraId="12243835" w14:textId="23FD1248" w:rsidR="000E0E05" w:rsidRPr="00A272D8" w:rsidRDefault="00122384" w:rsidP="000E0E05">
      <w:pPr>
        <w:pStyle w:val="FootnoteText"/>
        <w:rPr>
          <w:rFonts w:ascii="Gilroy" w:hAnsi="Gilroy" w:cstheme="minorHAnsi"/>
          <w:sz w:val="18"/>
          <w:szCs w:val="18"/>
        </w:rPr>
      </w:pPr>
      <w:r w:rsidRPr="00A272D8">
        <w:rPr>
          <w:rStyle w:val="FootnoteReference"/>
          <w:rFonts w:ascii="Gilroy" w:hAnsi="Gilroy" w:cstheme="minorHAnsi"/>
          <w:sz w:val="18"/>
          <w:szCs w:val="18"/>
        </w:rPr>
        <w:footnoteRef/>
      </w:r>
      <w:r w:rsidR="000E0E05" w:rsidRPr="00A272D8">
        <w:rPr>
          <w:rFonts w:ascii="Gilroy" w:hAnsi="Gilroy" w:cstheme="minorHAnsi"/>
          <w:sz w:val="18"/>
          <w:szCs w:val="18"/>
        </w:rPr>
        <w:t xml:space="preserve"> UN Special Rapporteur on the right of everyone to the enjoyment of the highest attainable standard of physical and mental health “Digital innovation, technologies and the right to health”,</w:t>
      </w:r>
      <w:r w:rsidRPr="00A272D8">
        <w:rPr>
          <w:rFonts w:ascii="Gilroy" w:hAnsi="Gilroy" w:cstheme="minorHAnsi"/>
          <w:sz w:val="18"/>
          <w:szCs w:val="18"/>
        </w:rPr>
        <w:t xml:space="preserve"> </w:t>
      </w:r>
      <w:proofErr w:type="spellStart"/>
      <w:r w:rsidR="000E0E05" w:rsidRPr="00A272D8">
        <w:rPr>
          <w:rFonts w:ascii="Gilroy" w:hAnsi="Gilroy" w:cstheme="minorHAnsi"/>
          <w:sz w:val="18"/>
          <w:szCs w:val="18"/>
        </w:rPr>
        <w:t>p</w:t>
      </w:r>
      <w:r w:rsidRPr="00A272D8">
        <w:rPr>
          <w:rFonts w:ascii="Gilroy" w:hAnsi="Gilroy" w:cstheme="minorHAnsi"/>
          <w:sz w:val="18"/>
          <w:szCs w:val="18"/>
        </w:rPr>
        <w:t>ara</w:t>
      </w:r>
      <w:r w:rsidR="000E0E05" w:rsidRPr="00A272D8">
        <w:rPr>
          <w:rFonts w:ascii="Gilroy" w:hAnsi="Gilroy" w:cstheme="minorHAnsi"/>
          <w:sz w:val="18"/>
          <w:szCs w:val="18"/>
        </w:rPr>
        <w:t>.s</w:t>
      </w:r>
      <w:proofErr w:type="spellEnd"/>
      <w:r w:rsidR="000E0E05" w:rsidRPr="00A272D8">
        <w:rPr>
          <w:rFonts w:ascii="Gilroy" w:hAnsi="Gilroy" w:cstheme="minorHAnsi"/>
          <w:sz w:val="18"/>
          <w:szCs w:val="18"/>
        </w:rPr>
        <w:t>.</w:t>
      </w:r>
      <w:r w:rsidRPr="00A272D8">
        <w:rPr>
          <w:rFonts w:ascii="Gilroy" w:hAnsi="Gilroy" w:cstheme="minorHAnsi"/>
          <w:sz w:val="18"/>
          <w:szCs w:val="18"/>
        </w:rPr>
        <w:t xml:space="preserve"> 11, 82</w:t>
      </w:r>
      <w:r w:rsidR="000E0E05" w:rsidRPr="00A272D8">
        <w:rPr>
          <w:rFonts w:ascii="Gilroy" w:hAnsi="Gilroy" w:cstheme="minorHAnsi"/>
          <w:sz w:val="18"/>
          <w:szCs w:val="18"/>
        </w:rPr>
        <w:t xml:space="preserve">, </w:t>
      </w:r>
      <w:r w:rsidR="0063435F" w:rsidRPr="00A272D8">
        <w:rPr>
          <w:rFonts w:ascii="Gilroy" w:hAnsi="Gilroy" w:cstheme="minorHAnsi"/>
          <w:sz w:val="18"/>
          <w:szCs w:val="18"/>
        </w:rPr>
        <w:t xml:space="preserve">(2023) </w:t>
      </w:r>
      <w:hyperlink r:id="rId12" w:history="1">
        <w:r w:rsidR="00543079" w:rsidRPr="00A272D8">
          <w:rPr>
            <w:rStyle w:val="Hyperlink"/>
            <w:rFonts w:ascii="Gilroy" w:eastAsia="Times New Roman" w:hAnsi="Gilroy" w:cstheme="minorHAnsi"/>
            <w:sz w:val="18"/>
            <w:szCs w:val="18"/>
            <w:lang w:eastAsia="en-GB"/>
          </w:rPr>
          <w:t>https://www.undocs.org/Home/Mobile?FinalSymbol=A%2FHRC%2F53%2F65&amp;Language=E&amp;DeviceType=Desktop&amp;LangRequested=False</w:t>
        </w:r>
      </w:hyperlink>
      <w:r w:rsidR="00543079" w:rsidRPr="00A272D8">
        <w:rPr>
          <w:rFonts w:ascii="Gilroy" w:eastAsia="Times New Roman" w:hAnsi="Gilroy" w:cstheme="minorHAnsi"/>
          <w:sz w:val="18"/>
          <w:szCs w:val="18"/>
          <w:lang w:eastAsia="en-GB"/>
        </w:rPr>
        <w:t xml:space="preserve"> </w:t>
      </w:r>
    </w:p>
  </w:footnote>
  <w:footnote w:id="17">
    <w:p w14:paraId="08E59D22" w14:textId="46E9DD69" w:rsidR="00122384" w:rsidRPr="00A272D8" w:rsidRDefault="00122384" w:rsidP="00122384">
      <w:pPr>
        <w:pStyle w:val="FootnoteText"/>
        <w:rPr>
          <w:rFonts w:ascii="Gilroy" w:hAnsi="Gilroy" w:cstheme="minorHAnsi"/>
          <w:sz w:val="18"/>
          <w:szCs w:val="18"/>
        </w:rPr>
      </w:pPr>
      <w:r w:rsidRPr="00A272D8">
        <w:rPr>
          <w:rStyle w:val="FootnoteReference"/>
          <w:rFonts w:ascii="Gilroy" w:hAnsi="Gilroy" w:cstheme="minorHAnsi"/>
          <w:sz w:val="18"/>
          <w:szCs w:val="18"/>
        </w:rPr>
        <w:footnoteRef/>
      </w:r>
      <w:r w:rsidRPr="00A272D8">
        <w:rPr>
          <w:rFonts w:ascii="Gilroy" w:hAnsi="Gilroy" w:cstheme="minorHAnsi"/>
          <w:sz w:val="18"/>
          <w:szCs w:val="18"/>
        </w:rPr>
        <w:t xml:space="preserve"> </w:t>
      </w:r>
      <w:r w:rsidR="000E0E05" w:rsidRPr="00A272D8">
        <w:rPr>
          <w:rFonts w:ascii="Gilroy" w:hAnsi="Gilroy" w:cstheme="minorHAnsi"/>
          <w:sz w:val="18"/>
          <w:szCs w:val="18"/>
        </w:rPr>
        <w:t>UN Special Rapporteur on the rights of persons with disabilities</w:t>
      </w:r>
      <w:r w:rsidR="000771FF" w:rsidRPr="00A272D8">
        <w:rPr>
          <w:rFonts w:ascii="Gilroy" w:hAnsi="Gilroy" w:cstheme="minorHAnsi"/>
          <w:sz w:val="18"/>
          <w:szCs w:val="18"/>
        </w:rPr>
        <w:t>,</w:t>
      </w:r>
      <w:r w:rsidR="000E0E05" w:rsidRPr="00A272D8">
        <w:rPr>
          <w:rFonts w:ascii="Gilroy" w:hAnsi="Gilroy" w:cstheme="minorHAnsi"/>
          <w:sz w:val="18"/>
          <w:szCs w:val="18"/>
        </w:rPr>
        <w:t xml:space="preserve"> “Rights of persons with disabilities”</w:t>
      </w:r>
      <w:r w:rsidR="000771FF" w:rsidRPr="00A272D8">
        <w:rPr>
          <w:rFonts w:ascii="Gilroy" w:hAnsi="Gilroy" w:cstheme="minorHAnsi"/>
          <w:sz w:val="18"/>
          <w:szCs w:val="18"/>
        </w:rPr>
        <w:t xml:space="preserve"> (2021)</w:t>
      </w:r>
      <w:r w:rsidR="000E0E05" w:rsidRPr="00A272D8">
        <w:rPr>
          <w:rFonts w:ascii="Gilroy" w:hAnsi="Gilroy" w:cstheme="minorHAnsi"/>
          <w:sz w:val="18"/>
          <w:szCs w:val="18"/>
        </w:rPr>
        <w:t xml:space="preserve"> </w:t>
      </w:r>
      <w:hyperlink r:id="rId13" w:history="1">
        <w:r w:rsidR="00543079" w:rsidRPr="00A272D8">
          <w:rPr>
            <w:rStyle w:val="Hyperlink"/>
            <w:rFonts w:ascii="Gilroy" w:hAnsi="Gilroy" w:cstheme="minorHAnsi"/>
            <w:sz w:val="18"/>
            <w:szCs w:val="18"/>
          </w:rPr>
          <w:t>https://www.undocs.org/Home/Mobile?FinalSymbol=A%2FHRC%2F49%2F52&amp;Language=E&amp;DeviceType=Desktop&amp;LangRequested=False</w:t>
        </w:r>
      </w:hyperlink>
      <w:r w:rsidR="00543079" w:rsidRPr="00A272D8">
        <w:rPr>
          <w:rFonts w:ascii="Gilroy" w:hAnsi="Gilroy" w:cstheme="minorHAnsi"/>
          <w:sz w:val="18"/>
          <w:szCs w:val="18"/>
        </w:rPr>
        <w:t xml:space="preserve"> </w:t>
      </w:r>
    </w:p>
  </w:footnote>
  <w:footnote w:id="18">
    <w:p w14:paraId="6BC9E828" w14:textId="247808E4" w:rsidR="00122384" w:rsidRPr="00A272D8" w:rsidRDefault="00122384" w:rsidP="00122384">
      <w:pPr>
        <w:pStyle w:val="FootnoteText"/>
        <w:rPr>
          <w:rFonts w:ascii="Gilroy" w:hAnsi="Gilroy" w:cstheme="minorHAnsi"/>
          <w:sz w:val="18"/>
          <w:szCs w:val="18"/>
        </w:rPr>
      </w:pPr>
      <w:r w:rsidRPr="00A272D8">
        <w:rPr>
          <w:rStyle w:val="FootnoteReference"/>
          <w:rFonts w:ascii="Gilroy" w:hAnsi="Gilroy" w:cstheme="minorHAnsi"/>
          <w:sz w:val="18"/>
          <w:szCs w:val="18"/>
        </w:rPr>
        <w:footnoteRef/>
      </w:r>
      <w:r w:rsidR="000E0E05" w:rsidRPr="00A272D8">
        <w:rPr>
          <w:rFonts w:ascii="Gilroy" w:hAnsi="Gilroy" w:cstheme="minorHAnsi"/>
          <w:sz w:val="18"/>
          <w:szCs w:val="18"/>
        </w:rPr>
        <w:t xml:space="preserve"> UN Special Rapporteur on the rights of persons with disabilities</w:t>
      </w:r>
      <w:r w:rsidR="000771FF" w:rsidRPr="00A272D8">
        <w:rPr>
          <w:rFonts w:ascii="Gilroy" w:hAnsi="Gilroy" w:cstheme="minorHAnsi"/>
          <w:sz w:val="18"/>
          <w:szCs w:val="18"/>
        </w:rPr>
        <w:t xml:space="preserve">, </w:t>
      </w:r>
      <w:r w:rsidR="000E0E05" w:rsidRPr="00A272D8">
        <w:rPr>
          <w:rFonts w:ascii="Gilroy" w:hAnsi="Gilroy" w:cstheme="minorHAnsi"/>
          <w:sz w:val="18"/>
          <w:szCs w:val="18"/>
        </w:rPr>
        <w:t>“Artificial intelligence and the rights of persons with disabilities”</w:t>
      </w:r>
      <w:r w:rsidR="000771FF" w:rsidRPr="00A272D8">
        <w:rPr>
          <w:rFonts w:ascii="Gilroy" w:hAnsi="Gilroy" w:cstheme="minorHAnsi"/>
          <w:sz w:val="18"/>
          <w:szCs w:val="18"/>
        </w:rPr>
        <w:t xml:space="preserve"> (2021) </w:t>
      </w:r>
      <w:hyperlink r:id="rId14" w:history="1">
        <w:r w:rsidR="000771FF" w:rsidRPr="00A272D8">
          <w:rPr>
            <w:rStyle w:val="Hyperlink"/>
            <w:rFonts w:ascii="Gilroy" w:hAnsi="Gilroy" w:cstheme="minorHAnsi"/>
            <w:sz w:val="18"/>
            <w:szCs w:val="18"/>
          </w:rPr>
          <w:t>https://srdisability.org/thematic-reports/artificial-intelligence-and-the-rights-of-persons-with-disabilities/</w:t>
        </w:r>
      </w:hyperlink>
    </w:p>
  </w:footnote>
  <w:footnote w:id="19">
    <w:p w14:paraId="4E7F2F5F" w14:textId="11A19D2F" w:rsidR="00830FA1" w:rsidRPr="00A272D8" w:rsidRDefault="00FF0A2C">
      <w:pPr>
        <w:pStyle w:val="FootnoteText"/>
        <w:rPr>
          <w:rFonts w:ascii="Gilroy" w:hAnsi="Gilroy"/>
          <w:sz w:val="18"/>
          <w:szCs w:val="18"/>
        </w:rPr>
      </w:pPr>
      <w:r w:rsidRPr="00A272D8">
        <w:rPr>
          <w:rStyle w:val="FootnoteReference"/>
          <w:rFonts w:ascii="Gilroy" w:hAnsi="Gilroy"/>
          <w:sz w:val="18"/>
          <w:szCs w:val="18"/>
        </w:rPr>
        <w:footnoteRef/>
      </w:r>
      <w:r w:rsidRPr="00A272D8">
        <w:rPr>
          <w:rFonts w:ascii="Gilroy" w:hAnsi="Gilroy"/>
          <w:sz w:val="18"/>
          <w:szCs w:val="18"/>
        </w:rPr>
        <w:t xml:space="preserve"> </w:t>
      </w:r>
      <w:r w:rsidR="000E0E05" w:rsidRPr="00A272D8">
        <w:rPr>
          <w:rFonts w:ascii="Gilroy" w:hAnsi="Gilroy"/>
          <w:sz w:val="18"/>
          <w:szCs w:val="18"/>
        </w:rPr>
        <w:t>Privacy International</w:t>
      </w:r>
      <w:r w:rsidR="000771FF" w:rsidRPr="00A272D8">
        <w:rPr>
          <w:rFonts w:ascii="Gilroy" w:hAnsi="Gilroy"/>
          <w:sz w:val="18"/>
          <w:szCs w:val="18"/>
        </w:rPr>
        <w:t xml:space="preserve">, </w:t>
      </w:r>
      <w:r w:rsidR="000E0E05" w:rsidRPr="00A272D8">
        <w:rPr>
          <w:rFonts w:ascii="Gilroy" w:hAnsi="Gilroy"/>
          <w:sz w:val="18"/>
          <w:szCs w:val="18"/>
        </w:rPr>
        <w:t>“</w:t>
      </w:r>
      <w:r w:rsidR="00830FA1" w:rsidRPr="00A272D8">
        <w:rPr>
          <w:rFonts w:ascii="Gilroy" w:hAnsi="Gilroy"/>
          <w:sz w:val="18"/>
          <w:szCs w:val="18"/>
        </w:rPr>
        <w:t>When Big Brother Pays Your Benefits</w:t>
      </w:r>
      <w:r w:rsidR="000E0E05" w:rsidRPr="00A272D8">
        <w:rPr>
          <w:rFonts w:ascii="Gilroy" w:hAnsi="Gilroy"/>
          <w:sz w:val="18"/>
          <w:szCs w:val="18"/>
        </w:rPr>
        <w:t>”</w:t>
      </w:r>
      <w:r w:rsidR="000771FF" w:rsidRPr="00A272D8">
        <w:rPr>
          <w:rFonts w:ascii="Gilroy" w:hAnsi="Gilroy"/>
          <w:sz w:val="18"/>
          <w:szCs w:val="18"/>
        </w:rPr>
        <w:t xml:space="preserve"> </w:t>
      </w:r>
      <w:r w:rsidRPr="00A272D8">
        <w:rPr>
          <w:rFonts w:ascii="Gilroy" w:hAnsi="Gilroy"/>
          <w:sz w:val="18"/>
          <w:szCs w:val="18"/>
        </w:rPr>
        <w:t>https://privacyinternational.org/taxonomy/term/675</w:t>
      </w:r>
      <w:r w:rsidR="000771FF" w:rsidRPr="00A272D8">
        <w:rPr>
          <w:rFonts w:ascii="Gilroy" w:hAnsi="Gilroy"/>
          <w:sz w:val="18"/>
          <w:szCs w:val="18"/>
        </w:rPr>
        <w:t xml:space="preserve"> </w:t>
      </w:r>
    </w:p>
    <w:p w14:paraId="1D2C3BA0" w14:textId="2DD450ED" w:rsidR="00830FA1" w:rsidRPr="00A272D8" w:rsidRDefault="00830FA1">
      <w:pPr>
        <w:pStyle w:val="FootnoteText"/>
        <w:rPr>
          <w:rFonts w:ascii="Gilroy" w:hAnsi="Gilroy"/>
          <w:sz w:val="18"/>
          <w:szCs w:val="18"/>
        </w:rPr>
      </w:pPr>
      <w:r w:rsidRPr="00A272D8">
        <w:rPr>
          <w:rFonts w:ascii="Gilroy" w:hAnsi="Gilroy"/>
          <w:sz w:val="18"/>
          <w:szCs w:val="18"/>
        </w:rPr>
        <w:t>See also: Centre for Human Rights and Global Justice</w:t>
      </w:r>
      <w:r w:rsidR="000771FF" w:rsidRPr="00A272D8">
        <w:rPr>
          <w:rFonts w:ascii="Gilroy" w:hAnsi="Gilroy"/>
          <w:sz w:val="18"/>
          <w:szCs w:val="18"/>
        </w:rPr>
        <w:t xml:space="preserve">, </w:t>
      </w:r>
      <w:r w:rsidRPr="00A272D8">
        <w:rPr>
          <w:rFonts w:ascii="Gilroy" w:hAnsi="Gilroy"/>
          <w:sz w:val="18"/>
          <w:szCs w:val="18"/>
        </w:rPr>
        <w:t>“Digital Welfare State and Human Rights Project</w:t>
      </w:r>
      <w:r w:rsidR="000771FF" w:rsidRPr="00A272D8">
        <w:rPr>
          <w:rFonts w:ascii="Gilroy" w:hAnsi="Gilroy"/>
          <w:sz w:val="18"/>
          <w:szCs w:val="18"/>
        </w:rPr>
        <w:t xml:space="preserve">” </w:t>
      </w:r>
      <w:r w:rsidRPr="00A272D8">
        <w:rPr>
          <w:rFonts w:ascii="Gilroy" w:hAnsi="Gilroy"/>
          <w:sz w:val="18"/>
          <w:szCs w:val="18"/>
        </w:rPr>
        <w:t xml:space="preserve"> </w:t>
      </w:r>
      <w:hyperlink r:id="rId15" w:history="1">
        <w:r w:rsidR="000771FF" w:rsidRPr="00A272D8">
          <w:rPr>
            <w:rStyle w:val="Hyperlink"/>
            <w:rFonts w:ascii="Gilroy" w:hAnsi="Gilroy"/>
            <w:sz w:val="18"/>
            <w:szCs w:val="18"/>
          </w:rPr>
          <w:t>https://chrgj.org/focus-areas/technology/digital-welfare-state-and-human-rights-project/</w:t>
        </w:r>
      </w:hyperlink>
    </w:p>
    <w:p w14:paraId="4F350E72" w14:textId="1DAF2294" w:rsidR="00FF0A2C" w:rsidRPr="00A272D8" w:rsidRDefault="00830FA1">
      <w:pPr>
        <w:pStyle w:val="FootnoteText"/>
        <w:rPr>
          <w:rFonts w:ascii="Gilroy" w:hAnsi="Gilroy"/>
          <w:b/>
          <w:bCs/>
          <w:sz w:val="18"/>
          <w:szCs w:val="18"/>
        </w:rPr>
      </w:pPr>
      <w:r w:rsidRPr="00A272D8">
        <w:rPr>
          <w:rFonts w:ascii="Gilroy" w:hAnsi="Gilroy"/>
          <w:sz w:val="18"/>
          <w:szCs w:val="18"/>
        </w:rPr>
        <w:t>See also: Human Rights Watch</w:t>
      </w:r>
      <w:r w:rsidR="000771FF" w:rsidRPr="00A272D8">
        <w:rPr>
          <w:rFonts w:ascii="Gilroy" w:hAnsi="Gilroy"/>
          <w:sz w:val="18"/>
          <w:szCs w:val="18"/>
        </w:rPr>
        <w:t xml:space="preserve">, </w:t>
      </w:r>
      <w:r w:rsidRPr="00A272D8">
        <w:rPr>
          <w:rFonts w:ascii="Gilroy" w:hAnsi="Gilroy"/>
          <w:sz w:val="18"/>
          <w:szCs w:val="18"/>
        </w:rPr>
        <w:t>“The disastrous roll-out of the UK's digital welfare system is harming those most in need”</w:t>
      </w:r>
      <w:r w:rsidR="000771FF" w:rsidRPr="00A272D8">
        <w:rPr>
          <w:rFonts w:ascii="Gilroy" w:hAnsi="Gilroy"/>
          <w:sz w:val="18"/>
          <w:szCs w:val="18"/>
        </w:rPr>
        <w:t xml:space="preserve"> (2019) </w:t>
      </w:r>
      <w:r w:rsidRPr="00A272D8">
        <w:rPr>
          <w:rFonts w:ascii="Gilroy" w:hAnsi="Gilroy"/>
          <w:sz w:val="18"/>
          <w:szCs w:val="18"/>
        </w:rPr>
        <w:t xml:space="preserve"> </w:t>
      </w:r>
      <w:hyperlink r:id="rId16" w:history="1">
        <w:r w:rsidR="000771FF" w:rsidRPr="00A272D8">
          <w:rPr>
            <w:rStyle w:val="Hyperlink"/>
            <w:rFonts w:ascii="Gilroy" w:hAnsi="Gilroy"/>
            <w:sz w:val="18"/>
            <w:szCs w:val="18"/>
          </w:rPr>
          <w:t>https://www.hrw.org/news/2019/06/10/disastrous-roll-out-uks-digital-welfare-system-harming-those-most-need</w:t>
        </w:r>
      </w:hyperlink>
      <w:r w:rsidR="00FF0A2C" w:rsidRPr="00A272D8">
        <w:rPr>
          <w:rFonts w:ascii="Gilroy" w:hAnsi="Gilroy"/>
          <w:sz w:val="18"/>
          <w:szCs w:val="18"/>
        </w:rPr>
        <w:t xml:space="preserve"> </w:t>
      </w:r>
    </w:p>
  </w:footnote>
  <w:footnote w:id="20">
    <w:p w14:paraId="44EB6F60" w14:textId="6EF2E3A7" w:rsidR="00830470" w:rsidRPr="00A272D8" w:rsidRDefault="00830470" w:rsidP="00830470">
      <w:pPr>
        <w:pStyle w:val="FootnoteText"/>
        <w:rPr>
          <w:rFonts w:ascii="Gilroy" w:hAnsi="Gilroy"/>
          <w:b/>
          <w:bCs/>
          <w:sz w:val="18"/>
          <w:szCs w:val="18"/>
        </w:rPr>
      </w:pPr>
      <w:r w:rsidRPr="00A272D8">
        <w:rPr>
          <w:rStyle w:val="FootnoteReference"/>
          <w:rFonts w:ascii="Gilroy" w:hAnsi="Gilroy"/>
          <w:sz w:val="18"/>
          <w:szCs w:val="18"/>
        </w:rPr>
        <w:footnoteRef/>
      </w:r>
      <w:r w:rsidR="00830FA1" w:rsidRPr="00A272D8">
        <w:rPr>
          <w:rFonts w:ascii="Gilroy" w:hAnsi="Gilroy"/>
          <w:sz w:val="18"/>
          <w:szCs w:val="18"/>
        </w:rPr>
        <w:t xml:space="preserve"> Privacy International</w:t>
      </w:r>
      <w:r w:rsidR="000771FF" w:rsidRPr="00A272D8">
        <w:rPr>
          <w:rFonts w:ascii="Gilroy" w:hAnsi="Gilroy"/>
          <w:sz w:val="18"/>
          <w:szCs w:val="18"/>
        </w:rPr>
        <w:t>,</w:t>
      </w:r>
      <w:r w:rsidR="00830FA1" w:rsidRPr="00A272D8">
        <w:rPr>
          <w:rFonts w:ascii="Gilroy" w:hAnsi="Gilroy"/>
          <w:sz w:val="18"/>
          <w:szCs w:val="18"/>
        </w:rPr>
        <w:t xml:space="preserve"> “Emergency Social Protection responses to Covid-19 around the world</w:t>
      </w:r>
      <w:r w:rsidR="000771FF" w:rsidRPr="00A272D8">
        <w:rPr>
          <w:rFonts w:ascii="Gilroy" w:hAnsi="Gilroy"/>
          <w:sz w:val="18"/>
          <w:szCs w:val="18"/>
        </w:rPr>
        <w:t>”</w:t>
      </w:r>
      <w:r w:rsidR="00830FA1" w:rsidRPr="00A272D8">
        <w:rPr>
          <w:rFonts w:ascii="Gilroy" w:hAnsi="Gilroy"/>
          <w:sz w:val="18"/>
          <w:szCs w:val="18"/>
        </w:rPr>
        <w:t xml:space="preserve"> </w:t>
      </w:r>
      <w:r w:rsidRPr="00A272D8">
        <w:rPr>
          <w:rFonts w:ascii="Gilroy" w:hAnsi="Gilroy"/>
          <w:sz w:val="18"/>
          <w:szCs w:val="18"/>
        </w:rPr>
        <w:t xml:space="preserve"> </w:t>
      </w:r>
      <w:hyperlink r:id="rId17" w:history="1">
        <w:r w:rsidR="000771FF" w:rsidRPr="00A272D8">
          <w:rPr>
            <w:rStyle w:val="Hyperlink"/>
            <w:rFonts w:ascii="Gilroy" w:hAnsi="Gilroy"/>
            <w:sz w:val="18"/>
            <w:szCs w:val="18"/>
          </w:rPr>
          <w:t>https://privacyinternational.org/long-read/4882/emergency-social-protection-responses-covid-19-around-world</w:t>
        </w:r>
      </w:hyperlink>
    </w:p>
  </w:footnote>
  <w:footnote w:id="21">
    <w:p w14:paraId="5F6C3091" w14:textId="08D24D5D" w:rsidR="00CE0D99" w:rsidRPr="00A272D8" w:rsidRDefault="00CE0D99">
      <w:pPr>
        <w:pStyle w:val="FootnoteText"/>
        <w:rPr>
          <w:rFonts w:ascii="Gilroy" w:hAnsi="Gilroy"/>
          <w:sz w:val="18"/>
          <w:szCs w:val="18"/>
        </w:rPr>
      </w:pPr>
      <w:r w:rsidRPr="00A272D8">
        <w:rPr>
          <w:rStyle w:val="FootnoteReference"/>
          <w:rFonts w:ascii="Gilroy" w:hAnsi="Gilroy"/>
          <w:sz w:val="18"/>
          <w:szCs w:val="18"/>
        </w:rPr>
        <w:footnoteRef/>
      </w:r>
      <w:r w:rsidRPr="00A272D8">
        <w:rPr>
          <w:rFonts w:ascii="Gilroy" w:hAnsi="Gilroy"/>
          <w:sz w:val="18"/>
          <w:szCs w:val="18"/>
        </w:rPr>
        <w:t xml:space="preserve"> </w:t>
      </w:r>
      <w:r w:rsidR="00246BBF" w:rsidRPr="00A272D8">
        <w:rPr>
          <w:rFonts w:ascii="Gilroy" w:hAnsi="Gilroy"/>
          <w:sz w:val="18"/>
          <w:szCs w:val="18"/>
        </w:rPr>
        <w:t>UN Special Rapporteur on extreme poverty and human rights, “Extreme poverty and human rights”</w:t>
      </w:r>
      <w:r w:rsidR="000771FF" w:rsidRPr="00A272D8">
        <w:rPr>
          <w:rFonts w:ascii="Gilroy" w:hAnsi="Gilroy"/>
          <w:sz w:val="18"/>
          <w:szCs w:val="18"/>
        </w:rPr>
        <w:t xml:space="preserve"> (2019)</w:t>
      </w:r>
      <w:r w:rsidR="00246BBF" w:rsidRPr="00A272D8">
        <w:rPr>
          <w:rFonts w:ascii="Gilroy" w:hAnsi="Gilroy"/>
          <w:sz w:val="18"/>
          <w:szCs w:val="18"/>
        </w:rPr>
        <w:t xml:space="preserve"> </w:t>
      </w:r>
      <w:hyperlink r:id="rId18" w:history="1">
        <w:r w:rsidR="000771FF" w:rsidRPr="00A272D8">
          <w:rPr>
            <w:rStyle w:val="Hyperlink"/>
            <w:rFonts w:ascii="Gilroy" w:hAnsi="Gilroy"/>
            <w:sz w:val="18"/>
            <w:szCs w:val="18"/>
          </w:rPr>
          <w:t>https://documents-dds-ny.un.org/doc/UNDOC/GEN/N19/312/13/PDF/N1931213.pdf?OpenElement</w:t>
        </w:r>
      </w:hyperlink>
    </w:p>
  </w:footnote>
  <w:footnote w:id="22">
    <w:p w14:paraId="1BE6AC36" w14:textId="68F1344D" w:rsidR="00E01D51" w:rsidRPr="00A272D8" w:rsidRDefault="00E01D51" w:rsidP="00243009">
      <w:pPr>
        <w:pStyle w:val="FootnoteText"/>
        <w:rPr>
          <w:rFonts w:ascii="Gilroy" w:hAnsi="Gilroy"/>
          <w:sz w:val="18"/>
          <w:szCs w:val="18"/>
        </w:rPr>
      </w:pPr>
      <w:r w:rsidRPr="00A272D8">
        <w:rPr>
          <w:rStyle w:val="FootnoteReference"/>
          <w:rFonts w:ascii="Gilroy" w:hAnsi="Gilroy"/>
          <w:sz w:val="18"/>
          <w:szCs w:val="18"/>
        </w:rPr>
        <w:footnoteRef/>
      </w:r>
      <w:r w:rsidRPr="00A272D8">
        <w:rPr>
          <w:rFonts w:ascii="Gilroy" w:hAnsi="Gilroy"/>
          <w:sz w:val="18"/>
          <w:szCs w:val="18"/>
        </w:rPr>
        <w:t xml:space="preserve"> </w:t>
      </w:r>
      <w:r w:rsidR="00243009" w:rsidRPr="00A272D8">
        <w:rPr>
          <w:rFonts w:ascii="Gilroy" w:hAnsi="Gilroy"/>
          <w:sz w:val="18"/>
          <w:szCs w:val="18"/>
        </w:rPr>
        <w:t>UN Special Rapporteur on the rights of persons with disabilities</w:t>
      </w:r>
      <w:r w:rsidR="000771FF" w:rsidRPr="00A272D8">
        <w:rPr>
          <w:rFonts w:ascii="Gilroy" w:hAnsi="Gilroy"/>
          <w:sz w:val="18"/>
          <w:szCs w:val="18"/>
        </w:rPr>
        <w:t xml:space="preserve">, </w:t>
      </w:r>
      <w:r w:rsidR="00243009" w:rsidRPr="00A272D8">
        <w:rPr>
          <w:rFonts w:ascii="Gilroy" w:hAnsi="Gilroy"/>
          <w:sz w:val="18"/>
          <w:szCs w:val="18"/>
        </w:rPr>
        <w:t xml:space="preserve">“Report of the Special Rapporteur on the rights of persons with disabilities”, </w:t>
      </w:r>
      <w:r w:rsidRPr="00A272D8">
        <w:rPr>
          <w:rFonts w:ascii="Gilroy" w:hAnsi="Gilroy"/>
          <w:sz w:val="18"/>
          <w:szCs w:val="18"/>
        </w:rPr>
        <w:t>p. 13</w:t>
      </w:r>
      <w:r w:rsidR="00243009" w:rsidRPr="00A272D8">
        <w:rPr>
          <w:rFonts w:ascii="Gilroy" w:hAnsi="Gilroy"/>
          <w:sz w:val="18"/>
          <w:szCs w:val="18"/>
        </w:rPr>
        <w:t xml:space="preserve">, </w:t>
      </w:r>
      <w:r w:rsidR="000771FF" w:rsidRPr="00A272D8">
        <w:rPr>
          <w:rFonts w:ascii="Gilroy" w:hAnsi="Gilroy"/>
          <w:sz w:val="18"/>
          <w:szCs w:val="18"/>
        </w:rPr>
        <w:t xml:space="preserve">(2016) </w:t>
      </w:r>
      <w:hyperlink r:id="rId19" w:history="1">
        <w:r w:rsidR="000771FF" w:rsidRPr="00A272D8">
          <w:rPr>
            <w:rStyle w:val="Hyperlink"/>
            <w:rFonts w:ascii="Gilroy" w:hAnsi="Gilroy"/>
            <w:sz w:val="18"/>
            <w:szCs w:val="18"/>
          </w:rPr>
          <w:t>https://documents-dds-ny.un.org/doc/UNDOC/GEN/G16/436/64/PDF/G1643664.pdf?OpenElement</w:t>
        </w:r>
      </w:hyperlink>
    </w:p>
  </w:footnote>
  <w:footnote w:id="23">
    <w:p w14:paraId="4389E496" w14:textId="24C909F0" w:rsidR="006D7BEC" w:rsidRPr="00A272D8" w:rsidRDefault="006D7BEC" w:rsidP="00243009">
      <w:pPr>
        <w:pStyle w:val="FootnoteText"/>
        <w:rPr>
          <w:rFonts w:ascii="Gilroy" w:hAnsi="Gilroy"/>
        </w:rPr>
      </w:pPr>
      <w:r w:rsidRPr="00A272D8">
        <w:rPr>
          <w:rStyle w:val="FootnoteReference"/>
          <w:rFonts w:ascii="Gilroy" w:hAnsi="Gilroy"/>
          <w:sz w:val="18"/>
          <w:szCs w:val="18"/>
        </w:rPr>
        <w:footnoteRef/>
      </w:r>
      <w:r w:rsidRPr="00A272D8">
        <w:rPr>
          <w:rFonts w:ascii="Gilroy" w:hAnsi="Gilroy"/>
          <w:sz w:val="18"/>
          <w:szCs w:val="18"/>
        </w:rPr>
        <w:t xml:space="preserve"> </w:t>
      </w:r>
      <w:r w:rsidR="00243009" w:rsidRPr="00A272D8">
        <w:rPr>
          <w:rFonts w:ascii="Gilroy" w:hAnsi="Gilroy"/>
          <w:sz w:val="18"/>
          <w:szCs w:val="18"/>
        </w:rPr>
        <w:t>UN Special Rapporteur on the rights of persons with disabilities</w:t>
      </w:r>
      <w:r w:rsidR="000771FF" w:rsidRPr="00A272D8">
        <w:rPr>
          <w:rFonts w:ascii="Gilroy" w:hAnsi="Gilroy"/>
          <w:sz w:val="18"/>
          <w:szCs w:val="18"/>
        </w:rPr>
        <w:t>,</w:t>
      </w:r>
      <w:r w:rsidR="00243009" w:rsidRPr="00A272D8">
        <w:rPr>
          <w:rFonts w:ascii="Gilroy" w:hAnsi="Gilroy"/>
          <w:sz w:val="18"/>
          <w:szCs w:val="18"/>
        </w:rPr>
        <w:t xml:space="preserve"> “Transformation of services for persons with disabilities”, p. 15.</w:t>
      </w:r>
      <w:r w:rsidR="000771FF" w:rsidRPr="00A272D8">
        <w:rPr>
          <w:rFonts w:ascii="Gilroy" w:hAnsi="Gilroy"/>
          <w:sz w:val="18"/>
          <w:szCs w:val="18"/>
        </w:rPr>
        <w:t xml:space="preserve"> (2022)</w:t>
      </w:r>
      <w:r w:rsidR="00243009" w:rsidRPr="00A272D8">
        <w:rPr>
          <w:rFonts w:ascii="Gilroy" w:hAnsi="Gilroy"/>
          <w:sz w:val="18"/>
          <w:szCs w:val="18"/>
        </w:rPr>
        <w:t xml:space="preserve"> </w:t>
      </w:r>
      <w:hyperlink r:id="rId20" w:history="1">
        <w:r w:rsidR="000771FF" w:rsidRPr="00A272D8">
          <w:rPr>
            <w:rStyle w:val="Hyperlink"/>
            <w:rFonts w:ascii="Gilroy" w:hAnsi="Gilroy"/>
            <w:sz w:val="18"/>
            <w:szCs w:val="18"/>
          </w:rPr>
          <w:t>https://documents-dds-ny.un.org/doc/UNDOC/GEN/G22/613/79/PDF/G2261379.pdf?OpenElement</w:t>
        </w:r>
      </w:hyperlink>
    </w:p>
  </w:footnote>
  <w:footnote w:id="24">
    <w:p w14:paraId="78144B40" w14:textId="35A4465F" w:rsidR="0005693E" w:rsidRPr="00A272D8" w:rsidRDefault="0005693E" w:rsidP="0005693E">
      <w:pPr>
        <w:pStyle w:val="FootnoteText"/>
        <w:rPr>
          <w:rFonts w:ascii="Gilroy" w:eastAsia="Times New Roman" w:hAnsi="Gilroy" w:cstheme="minorHAnsi"/>
          <w:sz w:val="18"/>
          <w:szCs w:val="18"/>
          <w:lang w:eastAsia="en-GB"/>
        </w:rPr>
      </w:pPr>
      <w:r w:rsidRPr="00A272D8">
        <w:rPr>
          <w:rStyle w:val="FootnoteReference"/>
          <w:rFonts w:ascii="Gilroy" w:hAnsi="Gilroy" w:cstheme="minorHAnsi"/>
          <w:sz w:val="18"/>
          <w:szCs w:val="18"/>
        </w:rPr>
        <w:footnoteRef/>
      </w:r>
      <w:r w:rsidRPr="00A272D8">
        <w:rPr>
          <w:rFonts w:ascii="Gilroy" w:hAnsi="Gilroy" w:cstheme="minorHAnsi"/>
          <w:sz w:val="18"/>
          <w:szCs w:val="18"/>
        </w:rPr>
        <w:t xml:space="preserve"> </w:t>
      </w:r>
      <w:r w:rsidRPr="00A272D8">
        <w:rPr>
          <w:rFonts w:ascii="Gilroy" w:eastAsia="Times New Roman" w:hAnsi="Gilroy" w:cstheme="minorHAnsi"/>
          <w:sz w:val="18"/>
          <w:szCs w:val="18"/>
          <w:lang w:eastAsia="en-GB"/>
        </w:rPr>
        <w:t>In 2019, the UN Special Rapporteur on extreme poverty and human rights dedicated the mandate’s thematic report to outlining the risks of the digital welfare state</w:t>
      </w:r>
      <w:r w:rsidR="00243009" w:rsidRPr="00A272D8">
        <w:rPr>
          <w:rFonts w:ascii="Gilroy" w:eastAsia="Times New Roman" w:hAnsi="Gilroy" w:cstheme="minorHAnsi"/>
          <w:sz w:val="18"/>
          <w:szCs w:val="18"/>
          <w:lang w:eastAsia="en-GB"/>
        </w:rPr>
        <w:t>. See:</w:t>
      </w:r>
    </w:p>
    <w:p w14:paraId="01565C92" w14:textId="3769C8D9" w:rsidR="0005693E" w:rsidRPr="00A272D8" w:rsidRDefault="00243009" w:rsidP="0005693E">
      <w:pPr>
        <w:pStyle w:val="FootnoteText"/>
        <w:rPr>
          <w:rFonts w:ascii="Gilroy" w:hAnsi="Gilroy" w:cstheme="minorHAnsi"/>
          <w:sz w:val="18"/>
          <w:szCs w:val="18"/>
        </w:rPr>
      </w:pPr>
      <w:r w:rsidRPr="00A272D8">
        <w:rPr>
          <w:rFonts w:ascii="Gilroy" w:hAnsi="Gilroy" w:cstheme="minorHAnsi"/>
          <w:sz w:val="18"/>
          <w:szCs w:val="18"/>
        </w:rPr>
        <w:t>UN Special Rapporteur on extreme poverty and human rights</w:t>
      </w:r>
      <w:r w:rsidR="000771FF" w:rsidRPr="00A272D8">
        <w:rPr>
          <w:rFonts w:ascii="Gilroy" w:hAnsi="Gilroy" w:cstheme="minorHAnsi"/>
          <w:sz w:val="18"/>
          <w:szCs w:val="18"/>
        </w:rPr>
        <w:t xml:space="preserve">, </w:t>
      </w:r>
      <w:r w:rsidRPr="00A272D8">
        <w:rPr>
          <w:rFonts w:ascii="Gilroy" w:hAnsi="Gilroy" w:cstheme="minorHAnsi"/>
          <w:sz w:val="18"/>
          <w:szCs w:val="18"/>
        </w:rPr>
        <w:t>“Extreme poverty and human rights</w:t>
      </w:r>
      <w:r w:rsidR="000771FF" w:rsidRPr="00A272D8">
        <w:rPr>
          <w:rFonts w:ascii="Gilroy" w:hAnsi="Gilroy" w:cstheme="minorHAnsi"/>
          <w:sz w:val="18"/>
          <w:szCs w:val="18"/>
        </w:rPr>
        <w:t xml:space="preserve">” (2019) </w:t>
      </w:r>
      <w:r w:rsidRPr="00A272D8">
        <w:rPr>
          <w:rFonts w:ascii="Gilroy" w:hAnsi="Gilroy" w:cstheme="minorHAnsi"/>
          <w:sz w:val="18"/>
          <w:szCs w:val="18"/>
        </w:rPr>
        <w:t xml:space="preserve"> </w:t>
      </w:r>
      <w:hyperlink r:id="rId21" w:history="1">
        <w:r w:rsidR="000771FF" w:rsidRPr="00A272D8">
          <w:rPr>
            <w:rStyle w:val="Hyperlink"/>
            <w:rFonts w:ascii="Gilroy" w:hAnsi="Gilroy" w:cstheme="minorHAnsi"/>
            <w:sz w:val="18"/>
            <w:szCs w:val="18"/>
          </w:rPr>
          <w:t>https://documents-dds-ny.un.org/doc/UNDOC/GEN/N19/312/13/PDF/N1931213.pdf?OpenElement</w:t>
        </w:r>
      </w:hyperlink>
      <w:r w:rsidR="0005693E" w:rsidRPr="00A272D8">
        <w:rPr>
          <w:rFonts w:ascii="Gilroy" w:hAnsi="Gilroy" w:cstheme="minorHAnsi"/>
          <w:sz w:val="18"/>
          <w:szCs w:val="18"/>
        </w:rPr>
        <w:t xml:space="preserve"> </w:t>
      </w:r>
    </w:p>
  </w:footnote>
  <w:footnote w:id="25">
    <w:p w14:paraId="6929F1E7" w14:textId="706C227C" w:rsidR="0005693E" w:rsidRPr="00A272D8" w:rsidRDefault="0005693E" w:rsidP="0005693E">
      <w:pPr>
        <w:pStyle w:val="FootnoteText"/>
        <w:rPr>
          <w:rFonts w:ascii="Gilroy" w:hAnsi="Gilroy" w:cstheme="minorHAnsi"/>
          <w:sz w:val="18"/>
          <w:szCs w:val="18"/>
        </w:rPr>
      </w:pPr>
      <w:r w:rsidRPr="00A272D8">
        <w:rPr>
          <w:rStyle w:val="FootnoteReference"/>
          <w:rFonts w:ascii="Gilroy" w:hAnsi="Gilroy" w:cstheme="minorHAnsi"/>
          <w:sz w:val="18"/>
          <w:szCs w:val="18"/>
        </w:rPr>
        <w:footnoteRef/>
      </w:r>
      <w:r w:rsidRPr="00A272D8">
        <w:rPr>
          <w:rFonts w:ascii="Gilroy" w:hAnsi="Gilroy" w:cstheme="minorHAnsi"/>
          <w:sz w:val="18"/>
          <w:szCs w:val="18"/>
        </w:rPr>
        <w:t xml:space="preserve"> </w:t>
      </w:r>
      <w:r w:rsidR="00243009" w:rsidRPr="00A272D8">
        <w:rPr>
          <w:rFonts w:ascii="Gilroy" w:hAnsi="Gilroy" w:cstheme="minorHAnsi"/>
          <w:sz w:val="18"/>
          <w:szCs w:val="18"/>
        </w:rPr>
        <w:t>Privacy International</w:t>
      </w:r>
      <w:r w:rsidR="000771FF" w:rsidRPr="00A272D8">
        <w:rPr>
          <w:rFonts w:ascii="Gilroy" w:hAnsi="Gilroy" w:cstheme="minorHAnsi"/>
          <w:sz w:val="18"/>
          <w:szCs w:val="18"/>
        </w:rPr>
        <w:t>,</w:t>
      </w:r>
      <w:r w:rsidRPr="00A272D8">
        <w:rPr>
          <w:rFonts w:ascii="Gilroy" w:hAnsi="Gilroy" w:cstheme="minorHAnsi"/>
          <w:sz w:val="18"/>
          <w:szCs w:val="18"/>
        </w:rPr>
        <w:t xml:space="preserve"> “When Big Brother Pays Your Benefits</w:t>
      </w:r>
      <w:r w:rsidR="000771FF" w:rsidRPr="00A272D8">
        <w:rPr>
          <w:rFonts w:ascii="Gilroy" w:hAnsi="Gilroy" w:cstheme="minorHAnsi"/>
          <w:sz w:val="18"/>
          <w:szCs w:val="18"/>
        </w:rPr>
        <w:t>”</w:t>
      </w:r>
      <w:r w:rsidR="00243009" w:rsidRPr="00A272D8">
        <w:rPr>
          <w:rFonts w:ascii="Gilroy" w:hAnsi="Gilroy" w:cstheme="minorHAnsi"/>
          <w:sz w:val="18"/>
          <w:szCs w:val="18"/>
        </w:rPr>
        <w:t xml:space="preserve"> </w:t>
      </w:r>
      <w:hyperlink r:id="rId22" w:history="1">
        <w:r w:rsidR="000771FF" w:rsidRPr="00A272D8">
          <w:rPr>
            <w:rStyle w:val="Hyperlink"/>
            <w:rFonts w:ascii="Gilroy" w:hAnsi="Gilroy" w:cstheme="minorHAnsi"/>
            <w:sz w:val="18"/>
            <w:szCs w:val="18"/>
          </w:rPr>
          <w:t>https://privacyinternational.org/taxonomy/term/675</w:t>
        </w:r>
      </w:hyperlink>
    </w:p>
  </w:footnote>
  <w:footnote w:id="26">
    <w:p w14:paraId="6109CB4C" w14:textId="62E32587" w:rsidR="0005693E" w:rsidRPr="00A272D8" w:rsidRDefault="0005693E" w:rsidP="00243009">
      <w:pPr>
        <w:pStyle w:val="FootnoteText"/>
        <w:rPr>
          <w:rFonts w:ascii="Gilroy" w:hAnsi="Gilroy" w:cstheme="minorHAnsi"/>
          <w:sz w:val="18"/>
          <w:szCs w:val="18"/>
        </w:rPr>
      </w:pPr>
      <w:r w:rsidRPr="00A272D8">
        <w:rPr>
          <w:rStyle w:val="FootnoteReference"/>
          <w:rFonts w:ascii="Gilroy" w:hAnsi="Gilroy" w:cstheme="minorHAnsi"/>
          <w:sz w:val="18"/>
          <w:szCs w:val="18"/>
        </w:rPr>
        <w:footnoteRef/>
      </w:r>
      <w:r w:rsidRPr="00A272D8">
        <w:rPr>
          <w:rFonts w:ascii="Gilroy" w:hAnsi="Gilroy" w:cstheme="minorHAnsi"/>
          <w:sz w:val="18"/>
          <w:szCs w:val="18"/>
        </w:rPr>
        <w:t xml:space="preserve"> </w:t>
      </w:r>
      <w:r w:rsidR="00243009" w:rsidRPr="00A272D8">
        <w:rPr>
          <w:rFonts w:ascii="Gilroy" w:hAnsi="Gilroy" w:cstheme="minorHAnsi"/>
          <w:sz w:val="18"/>
          <w:szCs w:val="18"/>
        </w:rPr>
        <w:t>UN</w:t>
      </w:r>
      <w:r w:rsidRPr="00A272D8">
        <w:rPr>
          <w:rFonts w:ascii="Gilroy" w:hAnsi="Gilroy" w:cstheme="minorHAnsi"/>
          <w:sz w:val="18"/>
          <w:szCs w:val="18"/>
        </w:rPr>
        <w:t xml:space="preserve"> Special </w:t>
      </w:r>
      <w:r w:rsidR="00243009" w:rsidRPr="00A272D8">
        <w:rPr>
          <w:rFonts w:ascii="Gilroy" w:hAnsi="Gilroy" w:cstheme="minorHAnsi"/>
          <w:sz w:val="18"/>
          <w:szCs w:val="18"/>
        </w:rPr>
        <w:t>R</w:t>
      </w:r>
      <w:r w:rsidRPr="00A272D8">
        <w:rPr>
          <w:rFonts w:ascii="Gilroy" w:hAnsi="Gilroy" w:cstheme="minorHAnsi"/>
          <w:sz w:val="18"/>
          <w:szCs w:val="18"/>
        </w:rPr>
        <w:t>apporteur on extreme poverty and human rights</w:t>
      </w:r>
      <w:r w:rsidR="000771FF" w:rsidRPr="00A272D8">
        <w:rPr>
          <w:rFonts w:ascii="Gilroy" w:hAnsi="Gilroy" w:cstheme="minorHAnsi"/>
          <w:sz w:val="18"/>
          <w:szCs w:val="18"/>
        </w:rPr>
        <w:t>,</w:t>
      </w:r>
      <w:r w:rsidR="00243009" w:rsidRPr="00A272D8">
        <w:rPr>
          <w:rFonts w:ascii="Gilroy" w:hAnsi="Gilroy" w:cstheme="minorHAnsi"/>
          <w:sz w:val="18"/>
          <w:szCs w:val="18"/>
        </w:rPr>
        <w:t xml:space="preserve"> “</w:t>
      </w:r>
      <w:r w:rsidR="00243009" w:rsidRPr="00A272D8">
        <w:rPr>
          <w:rFonts w:ascii="Gilroy" w:hAnsi="Gilroy"/>
          <w:sz w:val="18"/>
          <w:szCs w:val="18"/>
        </w:rPr>
        <w:t>Report of the Special rapporteur on extreme poverty and human rights”</w:t>
      </w:r>
      <w:r w:rsidR="000771FF" w:rsidRPr="00A272D8">
        <w:rPr>
          <w:rFonts w:ascii="Gilroy" w:hAnsi="Gilroy" w:cstheme="minorHAnsi"/>
          <w:sz w:val="18"/>
          <w:szCs w:val="18"/>
        </w:rPr>
        <w:t xml:space="preserve"> (2019) </w:t>
      </w:r>
      <w:hyperlink r:id="rId23" w:history="1">
        <w:r w:rsidR="00243009" w:rsidRPr="00A272D8">
          <w:rPr>
            <w:rStyle w:val="Hyperlink"/>
            <w:rFonts w:ascii="Gilroy" w:hAnsi="Gilroy" w:cstheme="minorHAnsi"/>
            <w:sz w:val="18"/>
            <w:szCs w:val="18"/>
          </w:rPr>
          <w:t>https://www.google.com/url?sa=t&amp;rct=j&amp;q=&amp;esrc=s&amp;source=web&amp;cd=&amp;ved=2ahUKEwiSmbDi0beAAxVIP-wKHZ8DB1gQFnoECB8QAQ&amp;url=https%3A%2F%2Fwww.ohchr.org%2FDocuments%2FIssues%2FPoverty%2FA_74_48037_AdvanceUneditedVersion.docx&amp;usg=AOvVaw1jRH0rb0geojazfZCC8f3V&amp;opi=89978449</w:t>
        </w:r>
      </w:hyperlink>
    </w:p>
  </w:footnote>
  <w:footnote w:id="27">
    <w:p w14:paraId="4FC912DA" w14:textId="77777777" w:rsidR="0005693E" w:rsidRPr="00A272D8" w:rsidRDefault="0005693E" w:rsidP="0005693E">
      <w:pPr>
        <w:pStyle w:val="FootnoteText"/>
        <w:rPr>
          <w:rFonts w:ascii="Gilroy" w:hAnsi="Gilroy" w:cstheme="minorHAnsi"/>
          <w:sz w:val="18"/>
          <w:szCs w:val="18"/>
        </w:rPr>
      </w:pPr>
      <w:r w:rsidRPr="00A272D8">
        <w:rPr>
          <w:rStyle w:val="FootnoteReference"/>
          <w:rFonts w:ascii="Gilroy" w:hAnsi="Gilroy" w:cstheme="minorHAnsi"/>
          <w:sz w:val="18"/>
          <w:szCs w:val="18"/>
        </w:rPr>
        <w:footnoteRef/>
      </w:r>
      <w:r w:rsidRPr="00A272D8">
        <w:rPr>
          <w:rFonts w:ascii="Gilroy" w:hAnsi="Gilroy" w:cstheme="minorHAnsi"/>
          <w:sz w:val="18"/>
          <w:szCs w:val="18"/>
        </w:rPr>
        <w:t xml:space="preserve"> In a landmark ruling, a Dutch has now concluded that the use of </w:t>
      </w:r>
      <w:proofErr w:type="spellStart"/>
      <w:r w:rsidRPr="00A272D8">
        <w:rPr>
          <w:rFonts w:ascii="Gilroy" w:hAnsi="Gilroy" w:cstheme="minorHAnsi"/>
          <w:sz w:val="18"/>
          <w:szCs w:val="18"/>
        </w:rPr>
        <w:t>SyRI</w:t>
      </w:r>
      <w:proofErr w:type="spellEnd"/>
      <w:r w:rsidRPr="00A272D8">
        <w:rPr>
          <w:rFonts w:ascii="Gilroy" w:hAnsi="Gilroy" w:cstheme="minorHAnsi"/>
          <w:sz w:val="18"/>
          <w:szCs w:val="18"/>
        </w:rPr>
        <w:t xml:space="preserve"> is unlawful as it violates the right to</w:t>
      </w:r>
    </w:p>
    <w:p w14:paraId="6FE512C7" w14:textId="77777777" w:rsidR="0005693E" w:rsidRPr="00A272D8" w:rsidRDefault="0005693E" w:rsidP="0005693E">
      <w:pPr>
        <w:pStyle w:val="FootnoteText"/>
        <w:rPr>
          <w:rFonts w:ascii="Gilroy" w:hAnsi="Gilroy" w:cstheme="minorHAnsi"/>
          <w:sz w:val="18"/>
          <w:szCs w:val="18"/>
        </w:rPr>
      </w:pPr>
      <w:r w:rsidRPr="00A272D8">
        <w:rPr>
          <w:rFonts w:ascii="Gilroy" w:hAnsi="Gilroy" w:cstheme="minorHAnsi"/>
          <w:sz w:val="18"/>
          <w:szCs w:val="18"/>
        </w:rPr>
        <w:t>privacy. The court found that the Dutch government had failed to strike a balance between the right to</w:t>
      </w:r>
    </w:p>
    <w:p w14:paraId="420E577A" w14:textId="77777777" w:rsidR="0005693E" w:rsidRPr="00A272D8" w:rsidRDefault="0005693E" w:rsidP="0005693E">
      <w:pPr>
        <w:pStyle w:val="FootnoteText"/>
        <w:rPr>
          <w:rFonts w:ascii="Gilroy" w:hAnsi="Gilroy" w:cstheme="minorHAnsi"/>
          <w:sz w:val="18"/>
          <w:szCs w:val="18"/>
        </w:rPr>
      </w:pPr>
      <w:r w:rsidRPr="00A272D8">
        <w:rPr>
          <w:rFonts w:ascii="Gilroy" w:hAnsi="Gilroy" w:cstheme="minorHAnsi"/>
          <w:sz w:val="18"/>
          <w:szCs w:val="18"/>
        </w:rPr>
        <w:t xml:space="preserve">privacy and the public interest in detecting welfare fraud, and that the use of </w:t>
      </w:r>
      <w:proofErr w:type="spellStart"/>
      <w:r w:rsidRPr="00A272D8">
        <w:rPr>
          <w:rFonts w:ascii="Gilroy" w:hAnsi="Gilroy" w:cstheme="minorHAnsi"/>
          <w:sz w:val="18"/>
          <w:szCs w:val="18"/>
        </w:rPr>
        <w:t>SyRI</w:t>
      </w:r>
      <w:proofErr w:type="spellEnd"/>
      <w:r w:rsidRPr="00A272D8">
        <w:rPr>
          <w:rFonts w:ascii="Gilroy" w:hAnsi="Gilroy" w:cstheme="minorHAnsi"/>
          <w:sz w:val="18"/>
          <w:szCs w:val="18"/>
        </w:rPr>
        <w:t xml:space="preserve"> was disproportionate to</w:t>
      </w:r>
    </w:p>
    <w:p w14:paraId="15695C36" w14:textId="77777777" w:rsidR="00F96D60" w:rsidRPr="00A272D8" w:rsidRDefault="0005693E" w:rsidP="0005693E">
      <w:pPr>
        <w:pStyle w:val="FootnoteText"/>
        <w:rPr>
          <w:rFonts w:ascii="Gilroy" w:hAnsi="Gilroy" w:cstheme="minorHAnsi"/>
          <w:sz w:val="18"/>
          <w:szCs w:val="18"/>
        </w:rPr>
      </w:pPr>
      <w:r w:rsidRPr="00A272D8">
        <w:rPr>
          <w:rFonts w:ascii="Gilroy" w:hAnsi="Gilroy" w:cstheme="minorHAnsi"/>
          <w:sz w:val="18"/>
          <w:szCs w:val="18"/>
        </w:rPr>
        <w:t xml:space="preserve">the aim it sought to achieve. </w:t>
      </w:r>
    </w:p>
    <w:p w14:paraId="3B3EAE79" w14:textId="232CE92B" w:rsidR="0005693E" w:rsidRPr="00A272D8" w:rsidRDefault="0005693E" w:rsidP="0005693E">
      <w:pPr>
        <w:pStyle w:val="FootnoteText"/>
        <w:rPr>
          <w:rFonts w:ascii="Gilroy" w:hAnsi="Gilroy" w:cstheme="minorHAnsi"/>
          <w:sz w:val="18"/>
          <w:szCs w:val="18"/>
        </w:rPr>
      </w:pPr>
      <w:r w:rsidRPr="00A272D8">
        <w:rPr>
          <w:rFonts w:ascii="Gilroy" w:hAnsi="Gilroy" w:cstheme="minorHAnsi"/>
          <w:sz w:val="18"/>
          <w:szCs w:val="18"/>
        </w:rPr>
        <w:t>See</w:t>
      </w:r>
      <w:r w:rsidR="000771FF" w:rsidRPr="00A272D8">
        <w:rPr>
          <w:rFonts w:ascii="Gilroy" w:hAnsi="Gilroy" w:cstheme="minorHAnsi"/>
          <w:sz w:val="18"/>
          <w:szCs w:val="18"/>
        </w:rPr>
        <w:t>:</w:t>
      </w:r>
      <w:r w:rsidRPr="00A272D8">
        <w:rPr>
          <w:rFonts w:ascii="Gilroy" w:hAnsi="Gilroy" w:cstheme="minorHAnsi"/>
          <w:sz w:val="18"/>
          <w:szCs w:val="18"/>
        </w:rPr>
        <w:t xml:space="preserve"> </w:t>
      </w:r>
      <w:r w:rsidR="00F96D60" w:rsidRPr="00A272D8">
        <w:rPr>
          <w:rFonts w:ascii="Gilroy" w:hAnsi="Gilroy" w:cstheme="minorHAnsi"/>
          <w:sz w:val="18"/>
          <w:szCs w:val="18"/>
        </w:rPr>
        <w:t>Privacy International</w:t>
      </w:r>
      <w:r w:rsidR="000771FF" w:rsidRPr="00A272D8">
        <w:rPr>
          <w:rFonts w:ascii="Gilroy" w:hAnsi="Gilroy" w:cstheme="minorHAnsi"/>
          <w:sz w:val="18"/>
          <w:szCs w:val="18"/>
        </w:rPr>
        <w:t>,</w:t>
      </w:r>
      <w:r w:rsidRPr="00A272D8">
        <w:rPr>
          <w:rFonts w:ascii="Gilroy" w:hAnsi="Gilroy" w:cstheme="minorHAnsi"/>
          <w:sz w:val="18"/>
          <w:szCs w:val="18"/>
        </w:rPr>
        <w:t xml:space="preserve"> “The </w:t>
      </w:r>
      <w:proofErr w:type="spellStart"/>
      <w:r w:rsidRPr="00A272D8">
        <w:rPr>
          <w:rFonts w:ascii="Gilroy" w:hAnsi="Gilroy" w:cstheme="minorHAnsi"/>
          <w:sz w:val="18"/>
          <w:szCs w:val="18"/>
        </w:rPr>
        <w:t>SyRI</w:t>
      </w:r>
      <w:proofErr w:type="spellEnd"/>
      <w:r w:rsidRPr="00A272D8">
        <w:rPr>
          <w:rFonts w:ascii="Gilroy" w:hAnsi="Gilroy" w:cstheme="minorHAnsi"/>
          <w:sz w:val="18"/>
          <w:szCs w:val="18"/>
        </w:rPr>
        <w:t xml:space="preserve"> case: a landmark ruling for benefits claimants around the</w:t>
      </w:r>
    </w:p>
    <w:p w14:paraId="2C6C447F" w14:textId="4E233882" w:rsidR="0005693E" w:rsidRPr="00A272D8" w:rsidRDefault="0005693E" w:rsidP="0005693E">
      <w:pPr>
        <w:pStyle w:val="FootnoteText"/>
        <w:rPr>
          <w:rFonts w:ascii="Gilroy" w:hAnsi="Gilroy" w:cstheme="minorHAnsi"/>
          <w:sz w:val="18"/>
          <w:szCs w:val="18"/>
        </w:rPr>
      </w:pPr>
      <w:r w:rsidRPr="00A272D8">
        <w:rPr>
          <w:rFonts w:ascii="Gilroy" w:hAnsi="Gilroy" w:cstheme="minorHAnsi"/>
          <w:sz w:val="18"/>
          <w:szCs w:val="18"/>
        </w:rPr>
        <w:t>world”</w:t>
      </w:r>
      <w:r w:rsidR="000771FF" w:rsidRPr="00A272D8">
        <w:rPr>
          <w:rFonts w:ascii="Gilroy" w:hAnsi="Gilroy" w:cstheme="minorHAnsi"/>
          <w:sz w:val="18"/>
          <w:szCs w:val="18"/>
        </w:rPr>
        <w:t xml:space="preserve"> (2020)</w:t>
      </w:r>
      <w:r w:rsidR="00F96D60" w:rsidRPr="00A272D8">
        <w:rPr>
          <w:rFonts w:ascii="Gilroy" w:hAnsi="Gilroy" w:cstheme="minorHAnsi"/>
          <w:sz w:val="18"/>
          <w:szCs w:val="18"/>
        </w:rPr>
        <w:t xml:space="preserve"> </w:t>
      </w:r>
      <w:hyperlink r:id="rId24" w:history="1">
        <w:r w:rsidR="000771FF" w:rsidRPr="00A272D8">
          <w:rPr>
            <w:rStyle w:val="Hyperlink"/>
            <w:rFonts w:ascii="Gilroy" w:hAnsi="Gilroy" w:cstheme="minorHAnsi"/>
            <w:sz w:val="18"/>
            <w:szCs w:val="18"/>
          </w:rPr>
          <w:t>https://privacyinternational.org/news-analysis/3363/syri-case-landmark-ruling-benefits-claimants-around-world</w:t>
        </w:r>
      </w:hyperlink>
      <w:r w:rsidR="000771FF" w:rsidRPr="00A272D8">
        <w:rPr>
          <w:rFonts w:ascii="Gilroy" w:hAnsi="Gilroy" w:cstheme="minorHAnsi"/>
          <w:sz w:val="18"/>
          <w:szCs w:val="18"/>
        </w:rPr>
        <w:t xml:space="preserve"> </w:t>
      </w:r>
    </w:p>
  </w:footnote>
  <w:footnote w:id="28">
    <w:p w14:paraId="508C8DBC" w14:textId="3231428C" w:rsidR="0005693E" w:rsidRPr="00A272D8" w:rsidRDefault="0005693E" w:rsidP="0005693E">
      <w:pPr>
        <w:pStyle w:val="FootnoteText"/>
        <w:rPr>
          <w:rFonts w:ascii="Gilroy" w:hAnsi="Gilroy" w:cstheme="minorHAnsi"/>
          <w:b/>
          <w:bCs/>
          <w:sz w:val="18"/>
          <w:szCs w:val="18"/>
        </w:rPr>
      </w:pPr>
      <w:r w:rsidRPr="00A272D8">
        <w:rPr>
          <w:rStyle w:val="FootnoteReference"/>
          <w:rFonts w:ascii="Gilroy" w:hAnsi="Gilroy" w:cstheme="minorHAnsi"/>
          <w:sz w:val="18"/>
          <w:szCs w:val="18"/>
        </w:rPr>
        <w:footnoteRef/>
      </w:r>
      <w:r w:rsidRPr="00A272D8">
        <w:rPr>
          <w:rFonts w:ascii="Gilroy" w:hAnsi="Gilroy" w:cstheme="minorHAnsi"/>
          <w:sz w:val="18"/>
          <w:szCs w:val="18"/>
        </w:rPr>
        <w:t xml:space="preserve"> </w:t>
      </w:r>
      <w:r w:rsidR="00F96D60" w:rsidRPr="00A272D8">
        <w:rPr>
          <w:rFonts w:ascii="Gilroy" w:hAnsi="Gilroy" w:cstheme="minorHAnsi"/>
          <w:sz w:val="18"/>
          <w:szCs w:val="18"/>
        </w:rPr>
        <w:t>Amnesty International</w:t>
      </w:r>
      <w:r w:rsidR="000771FF" w:rsidRPr="00A272D8">
        <w:rPr>
          <w:rFonts w:ascii="Gilroy" w:hAnsi="Gilroy" w:cstheme="minorHAnsi"/>
          <w:sz w:val="18"/>
          <w:szCs w:val="18"/>
        </w:rPr>
        <w:t xml:space="preserve">, </w:t>
      </w:r>
      <w:r w:rsidR="00F96D60" w:rsidRPr="00A272D8">
        <w:rPr>
          <w:rFonts w:ascii="Gilroy" w:hAnsi="Gilroy" w:cstheme="minorHAnsi"/>
          <w:sz w:val="18"/>
          <w:szCs w:val="18"/>
        </w:rPr>
        <w:t>“Xenophobic machines: Discrimination through unregulated use of algorithms in the Dutch childcare benefits scandal”</w:t>
      </w:r>
      <w:r w:rsidR="000771FF" w:rsidRPr="00A272D8">
        <w:rPr>
          <w:rFonts w:ascii="Gilroy" w:hAnsi="Gilroy" w:cstheme="minorHAnsi"/>
          <w:sz w:val="18"/>
          <w:szCs w:val="18"/>
        </w:rPr>
        <w:t xml:space="preserve"> (2021)</w:t>
      </w:r>
      <w:r w:rsidR="00F96D60" w:rsidRPr="00A272D8">
        <w:rPr>
          <w:rFonts w:ascii="Gilroy" w:hAnsi="Gilroy" w:cstheme="minorHAnsi"/>
          <w:sz w:val="18"/>
          <w:szCs w:val="18"/>
        </w:rPr>
        <w:t xml:space="preserve"> </w:t>
      </w:r>
      <w:hyperlink r:id="rId25" w:history="1">
        <w:r w:rsidR="000771FF" w:rsidRPr="00A272D8">
          <w:rPr>
            <w:rStyle w:val="Hyperlink"/>
            <w:rFonts w:ascii="Gilroy" w:hAnsi="Gilroy" w:cstheme="minorHAnsi"/>
            <w:sz w:val="18"/>
            <w:szCs w:val="18"/>
          </w:rPr>
          <w:t>https://www.amnesty.org/en/documents/eur35/4686/2021/en/</w:t>
        </w:r>
      </w:hyperlink>
      <w:r w:rsidR="000771FF" w:rsidRPr="00A272D8">
        <w:rPr>
          <w:rFonts w:ascii="Gilroy" w:hAnsi="Gilroy" w:cstheme="minorHAnsi"/>
          <w:sz w:val="18"/>
          <w:szCs w:val="18"/>
        </w:rPr>
        <w:t xml:space="preserve"> </w:t>
      </w:r>
    </w:p>
  </w:footnote>
  <w:footnote w:id="29">
    <w:p w14:paraId="3B2637B8" w14:textId="763C3D4D" w:rsidR="0005693E" w:rsidRPr="00A272D8" w:rsidRDefault="0005693E" w:rsidP="0005693E">
      <w:pPr>
        <w:pStyle w:val="FootnoteText"/>
        <w:rPr>
          <w:rFonts w:ascii="Gilroy" w:hAnsi="Gilroy" w:cstheme="minorHAnsi"/>
          <w:sz w:val="18"/>
          <w:szCs w:val="18"/>
        </w:rPr>
      </w:pPr>
      <w:r w:rsidRPr="00A272D8">
        <w:rPr>
          <w:rStyle w:val="FootnoteReference"/>
          <w:rFonts w:ascii="Gilroy" w:hAnsi="Gilroy" w:cstheme="minorHAnsi"/>
          <w:sz w:val="18"/>
          <w:szCs w:val="18"/>
        </w:rPr>
        <w:footnoteRef/>
      </w:r>
      <w:r w:rsidRPr="00A272D8">
        <w:rPr>
          <w:rFonts w:ascii="Gilroy" w:hAnsi="Gilroy" w:cstheme="minorHAnsi"/>
          <w:sz w:val="18"/>
          <w:szCs w:val="18"/>
        </w:rPr>
        <w:t xml:space="preserve"> Eva </w:t>
      </w:r>
      <w:proofErr w:type="spellStart"/>
      <w:r w:rsidRPr="00A272D8">
        <w:rPr>
          <w:rFonts w:ascii="Gilroy" w:hAnsi="Gilroy" w:cstheme="minorHAnsi"/>
          <w:sz w:val="18"/>
          <w:szCs w:val="18"/>
        </w:rPr>
        <w:t>Constantaras</w:t>
      </w:r>
      <w:proofErr w:type="spellEnd"/>
      <w:r w:rsidRPr="00A272D8">
        <w:rPr>
          <w:rFonts w:ascii="Gilroy" w:hAnsi="Gilroy" w:cstheme="minorHAnsi"/>
          <w:sz w:val="18"/>
          <w:szCs w:val="18"/>
        </w:rPr>
        <w:t>, Gabriel Geiger, Justin-Casimir Braun, et. al.</w:t>
      </w:r>
      <w:r w:rsidR="000771FF" w:rsidRPr="00A272D8">
        <w:rPr>
          <w:rFonts w:ascii="Gilroy" w:hAnsi="Gilroy" w:cstheme="minorHAnsi"/>
          <w:sz w:val="18"/>
          <w:szCs w:val="18"/>
        </w:rPr>
        <w:t>,</w:t>
      </w:r>
      <w:r w:rsidR="00F96D60" w:rsidRPr="00A272D8">
        <w:rPr>
          <w:rFonts w:ascii="Gilroy" w:hAnsi="Gilroy" w:cstheme="minorHAnsi"/>
          <w:sz w:val="18"/>
          <w:szCs w:val="18"/>
        </w:rPr>
        <w:t xml:space="preserve"> </w:t>
      </w:r>
      <w:r w:rsidRPr="00A272D8">
        <w:rPr>
          <w:rFonts w:ascii="Gilroy" w:hAnsi="Gilroy" w:cstheme="minorHAnsi"/>
          <w:sz w:val="18"/>
          <w:szCs w:val="18"/>
        </w:rPr>
        <w:t>“Inside the Suspicion Machine”</w:t>
      </w:r>
      <w:r w:rsidR="000771FF" w:rsidRPr="00A272D8">
        <w:rPr>
          <w:rFonts w:ascii="Gilroy" w:hAnsi="Gilroy" w:cstheme="minorHAnsi"/>
          <w:sz w:val="18"/>
          <w:szCs w:val="18"/>
        </w:rPr>
        <w:t xml:space="preserve"> (2023) </w:t>
      </w:r>
      <w:hyperlink r:id="rId26" w:history="1">
        <w:r w:rsidR="000771FF" w:rsidRPr="00A272D8">
          <w:rPr>
            <w:rStyle w:val="Hyperlink"/>
            <w:rFonts w:ascii="Gilroy" w:hAnsi="Gilroy" w:cstheme="minorHAnsi"/>
            <w:sz w:val="18"/>
            <w:szCs w:val="18"/>
          </w:rPr>
          <w:t>https://www.wired.com/story/welfare-state-algorithms/</w:t>
        </w:r>
      </w:hyperlink>
    </w:p>
  </w:footnote>
  <w:footnote w:id="30">
    <w:p w14:paraId="0882ECDD" w14:textId="6A62F93E" w:rsidR="00246BBF" w:rsidRPr="00A272D8" w:rsidRDefault="00246BBF">
      <w:pPr>
        <w:pStyle w:val="FootnoteText"/>
        <w:rPr>
          <w:rFonts w:ascii="Gilroy" w:hAnsi="Gilroy"/>
          <w:sz w:val="18"/>
          <w:szCs w:val="18"/>
        </w:rPr>
      </w:pPr>
      <w:r w:rsidRPr="00A272D8">
        <w:rPr>
          <w:rStyle w:val="FootnoteReference"/>
          <w:rFonts w:ascii="Gilroy" w:hAnsi="Gilroy"/>
          <w:sz w:val="18"/>
          <w:szCs w:val="18"/>
        </w:rPr>
        <w:footnoteRef/>
      </w:r>
      <w:r w:rsidRPr="00A272D8">
        <w:rPr>
          <w:rFonts w:ascii="Gilroy" w:hAnsi="Gilroy"/>
          <w:sz w:val="18"/>
          <w:szCs w:val="18"/>
        </w:rPr>
        <w:t xml:space="preserve"> Privacy International, </w:t>
      </w:r>
      <w:r w:rsidR="000771FF" w:rsidRPr="00A272D8">
        <w:rPr>
          <w:rFonts w:ascii="Gilroy" w:hAnsi="Gilroy"/>
          <w:sz w:val="18"/>
          <w:szCs w:val="18"/>
        </w:rPr>
        <w:t>“</w:t>
      </w:r>
      <w:r w:rsidRPr="00A272D8">
        <w:rPr>
          <w:rFonts w:ascii="Gilroy" w:hAnsi="Gilroy"/>
          <w:sz w:val="18"/>
          <w:szCs w:val="18"/>
        </w:rPr>
        <w:t>The Case of the Solidarity Income in Colombia: the experimentation with data on social policy during the pandemic</w:t>
      </w:r>
      <w:r w:rsidR="000771FF" w:rsidRPr="00A272D8">
        <w:rPr>
          <w:rFonts w:ascii="Gilroy" w:hAnsi="Gilroy"/>
          <w:sz w:val="18"/>
          <w:szCs w:val="18"/>
        </w:rPr>
        <w:t>” (</w:t>
      </w:r>
      <w:r w:rsidRPr="00A272D8">
        <w:rPr>
          <w:rFonts w:ascii="Gilroy" w:hAnsi="Gilroy"/>
          <w:sz w:val="18"/>
          <w:szCs w:val="18"/>
        </w:rPr>
        <w:t>March 2021</w:t>
      </w:r>
      <w:r w:rsidR="000771FF" w:rsidRPr="00A272D8">
        <w:rPr>
          <w:rFonts w:ascii="Gilroy" w:hAnsi="Gilroy"/>
          <w:sz w:val="18"/>
          <w:szCs w:val="18"/>
        </w:rPr>
        <w:t>)</w:t>
      </w:r>
      <w:r w:rsidRPr="00A272D8">
        <w:rPr>
          <w:rFonts w:ascii="Gilroy" w:hAnsi="Gilroy"/>
          <w:sz w:val="18"/>
          <w:szCs w:val="18"/>
        </w:rPr>
        <w:t xml:space="preserve"> </w:t>
      </w:r>
      <w:hyperlink r:id="rId27" w:history="1">
        <w:r w:rsidR="000771FF" w:rsidRPr="00A272D8">
          <w:rPr>
            <w:rStyle w:val="Hyperlink"/>
            <w:rFonts w:ascii="Gilroy" w:hAnsi="Gilroy"/>
            <w:sz w:val="18"/>
            <w:szCs w:val="18"/>
          </w:rPr>
          <w:t>https://privacyinternational.org/long-read/4473/case-solidarity-income-colombia-experimentation-data-social-policy-during-pandemic</w:t>
        </w:r>
      </w:hyperlink>
      <w:r w:rsidR="000771FF" w:rsidRPr="00A272D8">
        <w:rPr>
          <w:rFonts w:ascii="Gilroy" w:hAnsi="Gilroy"/>
          <w:sz w:val="18"/>
          <w:szCs w:val="18"/>
        </w:rPr>
        <w:t xml:space="preserve"> </w:t>
      </w:r>
    </w:p>
  </w:footnote>
  <w:footnote w:id="31">
    <w:p w14:paraId="285B032E" w14:textId="527810B4" w:rsidR="0005693E" w:rsidRPr="00A272D8" w:rsidRDefault="0005693E" w:rsidP="0005693E">
      <w:pPr>
        <w:pStyle w:val="FootnoteText"/>
        <w:rPr>
          <w:rFonts w:ascii="Gilroy" w:hAnsi="Gilroy"/>
          <w:b/>
          <w:bCs/>
          <w:sz w:val="18"/>
          <w:szCs w:val="18"/>
        </w:rPr>
      </w:pPr>
      <w:r w:rsidRPr="00A272D8">
        <w:rPr>
          <w:rStyle w:val="FootnoteReference"/>
          <w:rFonts w:ascii="Gilroy" w:hAnsi="Gilroy" w:cstheme="minorHAnsi"/>
          <w:sz w:val="18"/>
          <w:szCs w:val="18"/>
        </w:rPr>
        <w:footnoteRef/>
      </w:r>
      <w:r w:rsidR="00705201" w:rsidRPr="00A272D8">
        <w:rPr>
          <w:rFonts w:ascii="Gilroy" w:hAnsi="Gilroy" w:cstheme="minorHAnsi"/>
          <w:sz w:val="18"/>
          <w:szCs w:val="18"/>
        </w:rPr>
        <w:t xml:space="preserve"> </w:t>
      </w:r>
      <w:r w:rsidR="00705201" w:rsidRPr="00A272D8">
        <w:rPr>
          <w:rFonts w:ascii="Gilroy" w:hAnsi="Gilroy"/>
          <w:sz w:val="18"/>
          <w:szCs w:val="18"/>
        </w:rPr>
        <w:t>Privacy International “Emergency Social Protection responses to Covid-19 around the world”</w:t>
      </w:r>
      <w:r w:rsidR="000771FF" w:rsidRPr="00A272D8">
        <w:rPr>
          <w:rFonts w:ascii="Gilroy" w:hAnsi="Gilroy"/>
          <w:sz w:val="18"/>
          <w:szCs w:val="18"/>
        </w:rPr>
        <w:t xml:space="preserve"> </w:t>
      </w:r>
      <w:hyperlink r:id="rId28" w:history="1">
        <w:r w:rsidR="000771FF" w:rsidRPr="00A272D8">
          <w:rPr>
            <w:rStyle w:val="Hyperlink"/>
            <w:rFonts w:ascii="Gilroy" w:hAnsi="Gilroy"/>
            <w:sz w:val="18"/>
            <w:szCs w:val="18"/>
          </w:rPr>
          <w:t>https://privacyinternational.org/long-read/4882/emergency-social-protection-responses-covid-19-around-world</w:t>
        </w:r>
      </w:hyperlink>
    </w:p>
  </w:footnote>
  <w:footnote w:id="32">
    <w:p w14:paraId="4695CB36" w14:textId="30534F0D" w:rsidR="0005693E" w:rsidRPr="00A272D8" w:rsidRDefault="0005693E" w:rsidP="0005693E">
      <w:pPr>
        <w:pStyle w:val="FootnoteText"/>
        <w:rPr>
          <w:rFonts w:ascii="Gilroy" w:hAnsi="Gilroy" w:cstheme="minorHAnsi"/>
          <w:sz w:val="18"/>
          <w:szCs w:val="18"/>
        </w:rPr>
      </w:pPr>
      <w:r w:rsidRPr="00A272D8">
        <w:rPr>
          <w:rStyle w:val="FootnoteReference"/>
          <w:rFonts w:ascii="Gilroy" w:hAnsi="Gilroy" w:cstheme="minorHAnsi"/>
          <w:sz w:val="18"/>
          <w:szCs w:val="18"/>
        </w:rPr>
        <w:footnoteRef/>
      </w:r>
      <w:r w:rsidRPr="00A272D8">
        <w:rPr>
          <w:rFonts w:ascii="Gilroy" w:hAnsi="Gilroy" w:cstheme="minorHAnsi"/>
          <w:color w:val="000000" w:themeColor="text1"/>
          <w:sz w:val="18"/>
          <w:szCs w:val="18"/>
        </w:rPr>
        <w:t xml:space="preserve"> </w:t>
      </w:r>
      <w:hyperlink r:id="rId29" w:history="1">
        <w:r w:rsidR="00705201" w:rsidRPr="00A272D8">
          <w:rPr>
            <w:rStyle w:val="Hyperlink"/>
            <w:rFonts w:ascii="Gilroy" w:hAnsi="Gilroy" w:cstheme="minorHAnsi"/>
            <w:color w:val="000000" w:themeColor="text1"/>
            <w:sz w:val="18"/>
            <w:szCs w:val="18"/>
            <w:u w:val="none"/>
          </w:rPr>
          <w:t>Ibid.</w:t>
        </w:r>
      </w:hyperlink>
      <w:r w:rsidRPr="00A272D8">
        <w:rPr>
          <w:rFonts w:ascii="Gilroy" w:hAnsi="Gilroy" w:cstheme="minorHAnsi"/>
          <w:sz w:val="18"/>
          <w:szCs w:val="18"/>
        </w:rPr>
        <w:t xml:space="preserve"> </w:t>
      </w:r>
    </w:p>
  </w:footnote>
  <w:footnote w:id="33">
    <w:p w14:paraId="7BA1A5BD" w14:textId="5CA1C758" w:rsidR="0005693E" w:rsidRPr="00A272D8" w:rsidRDefault="0005693E" w:rsidP="0005693E">
      <w:pPr>
        <w:pStyle w:val="FootnoteText"/>
        <w:rPr>
          <w:rFonts w:ascii="Gilroy" w:hAnsi="Gilroy" w:cstheme="minorHAnsi"/>
          <w:sz w:val="18"/>
          <w:szCs w:val="18"/>
        </w:rPr>
      </w:pPr>
      <w:r w:rsidRPr="00A272D8">
        <w:rPr>
          <w:rStyle w:val="FootnoteReference"/>
          <w:rFonts w:ascii="Gilroy" w:hAnsi="Gilroy" w:cstheme="minorHAnsi"/>
          <w:sz w:val="18"/>
          <w:szCs w:val="18"/>
        </w:rPr>
        <w:footnoteRef/>
      </w:r>
      <w:r w:rsidRPr="00A272D8">
        <w:rPr>
          <w:rFonts w:ascii="Gilroy" w:hAnsi="Gilroy" w:cstheme="minorHAnsi"/>
          <w:sz w:val="18"/>
          <w:szCs w:val="18"/>
        </w:rPr>
        <w:t xml:space="preserve"> </w:t>
      </w:r>
      <w:r w:rsidR="00705201" w:rsidRPr="00A272D8">
        <w:rPr>
          <w:rFonts w:ascii="Gilroy" w:hAnsi="Gilroy" w:cstheme="minorHAnsi"/>
          <w:sz w:val="18"/>
          <w:szCs w:val="18"/>
        </w:rPr>
        <w:t>United Nations High Commissioner for Human Rights, “</w:t>
      </w:r>
      <w:r w:rsidRPr="00A272D8">
        <w:rPr>
          <w:rFonts w:ascii="Gilroy" w:hAnsi="Gilroy" w:cstheme="minorHAnsi"/>
          <w:sz w:val="18"/>
          <w:szCs w:val="18"/>
        </w:rPr>
        <w:t>The right to privacy in the digital age</w:t>
      </w:r>
      <w:r w:rsidR="00705201" w:rsidRPr="00A272D8">
        <w:rPr>
          <w:rFonts w:ascii="Gilroy" w:hAnsi="Gilroy" w:cstheme="minorHAnsi"/>
          <w:sz w:val="18"/>
          <w:szCs w:val="18"/>
        </w:rPr>
        <w:t>”</w:t>
      </w:r>
      <w:r w:rsidR="000771FF" w:rsidRPr="00A272D8">
        <w:rPr>
          <w:rFonts w:ascii="Gilroy" w:hAnsi="Gilroy" w:cstheme="minorHAnsi"/>
          <w:sz w:val="18"/>
          <w:szCs w:val="18"/>
        </w:rPr>
        <w:t xml:space="preserve"> (2021)</w:t>
      </w:r>
      <w:r w:rsidR="00705201" w:rsidRPr="00A272D8">
        <w:rPr>
          <w:rFonts w:ascii="Gilroy" w:hAnsi="Gilroy"/>
          <w:sz w:val="18"/>
          <w:szCs w:val="18"/>
        </w:rPr>
        <w:t xml:space="preserve"> </w:t>
      </w:r>
      <w:hyperlink r:id="rId30" w:history="1">
        <w:r w:rsidR="00705201" w:rsidRPr="00A272D8">
          <w:rPr>
            <w:rStyle w:val="Hyperlink"/>
            <w:rFonts w:ascii="Gilroy" w:hAnsi="Gilroy" w:cstheme="minorHAnsi"/>
            <w:sz w:val="18"/>
            <w:szCs w:val="18"/>
          </w:rPr>
          <w:t>https://daccess-ods.un.org/tmp/4240980.44633865.html</w:t>
        </w:r>
      </w:hyperlink>
    </w:p>
  </w:footnote>
  <w:footnote w:id="34">
    <w:p w14:paraId="03603CAC" w14:textId="79438C98" w:rsidR="0005693E" w:rsidRPr="00A272D8" w:rsidRDefault="0005693E" w:rsidP="0005693E">
      <w:pPr>
        <w:pStyle w:val="FootnoteText"/>
        <w:rPr>
          <w:rFonts w:ascii="Gilroy" w:hAnsi="Gilroy" w:cstheme="minorHAnsi"/>
          <w:sz w:val="18"/>
          <w:szCs w:val="18"/>
        </w:rPr>
      </w:pPr>
      <w:r w:rsidRPr="00A272D8">
        <w:rPr>
          <w:rStyle w:val="FootnoteReference"/>
          <w:rFonts w:ascii="Gilroy" w:hAnsi="Gilroy" w:cstheme="minorHAnsi"/>
          <w:sz w:val="18"/>
          <w:szCs w:val="18"/>
        </w:rPr>
        <w:footnoteRef/>
      </w:r>
      <w:r w:rsidRPr="00A272D8">
        <w:rPr>
          <w:rFonts w:ascii="Gilroy" w:hAnsi="Gilroy" w:cstheme="minorHAnsi"/>
          <w:sz w:val="18"/>
          <w:szCs w:val="18"/>
        </w:rPr>
        <w:t xml:space="preserve"> Ibid, </w:t>
      </w:r>
      <w:r w:rsidR="0050686C" w:rsidRPr="00A272D8">
        <w:rPr>
          <w:rFonts w:ascii="Gilroy" w:hAnsi="Gilroy" w:cstheme="minorHAnsi"/>
          <w:sz w:val="18"/>
          <w:szCs w:val="18"/>
        </w:rPr>
        <w:t>p</w:t>
      </w:r>
      <w:r w:rsidRPr="00A272D8">
        <w:rPr>
          <w:rFonts w:ascii="Gilroy" w:hAnsi="Gilroy" w:cstheme="minorHAnsi"/>
          <w:sz w:val="18"/>
          <w:szCs w:val="18"/>
        </w:rPr>
        <w:t>ara 49</w:t>
      </w:r>
      <w:r w:rsidR="0050686C" w:rsidRPr="00A272D8">
        <w:rPr>
          <w:rFonts w:ascii="Gilroy" w:hAnsi="Gilroy" w:cstheme="minorHAnsi"/>
          <w:sz w:val="18"/>
          <w:szCs w:val="18"/>
        </w:rPr>
        <w:t>.</w:t>
      </w:r>
    </w:p>
  </w:footnote>
  <w:footnote w:id="35">
    <w:p w14:paraId="270228C3" w14:textId="762C90A3" w:rsidR="0005693E" w:rsidRPr="00A272D8" w:rsidRDefault="0005693E" w:rsidP="0005693E">
      <w:pPr>
        <w:pStyle w:val="FootnoteText"/>
        <w:rPr>
          <w:rFonts w:ascii="Gilroy" w:hAnsi="Gilroy" w:cstheme="minorHAnsi"/>
          <w:b/>
          <w:bCs/>
          <w:sz w:val="18"/>
          <w:szCs w:val="18"/>
        </w:rPr>
      </w:pPr>
      <w:r w:rsidRPr="00A272D8">
        <w:rPr>
          <w:rStyle w:val="FootnoteReference"/>
          <w:rFonts w:ascii="Gilroy" w:hAnsi="Gilroy"/>
        </w:rPr>
        <w:footnoteRef/>
      </w:r>
      <w:r w:rsidRPr="00A272D8">
        <w:rPr>
          <w:rFonts w:ascii="Gilroy" w:hAnsi="Gilroy"/>
        </w:rPr>
        <w:t xml:space="preserve"> </w:t>
      </w:r>
      <w:r w:rsidR="0050686C" w:rsidRPr="00A272D8">
        <w:rPr>
          <w:rFonts w:ascii="Gilroy" w:hAnsi="Gilroy" w:cstheme="minorHAnsi"/>
          <w:sz w:val="18"/>
          <w:szCs w:val="18"/>
        </w:rPr>
        <w:t xml:space="preserve">Sally Ho and </w:t>
      </w:r>
      <w:proofErr w:type="spellStart"/>
      <w:r w:rsidR="0050686C" w:rsidRPr="00A272D8">
        <w:rPr>
          <w:rFonts w:ascii="Gilroy" w:hAnsi="Gilroy" w:cstheme="minorHAnsi"/>
          <w:sz w:val="18"/>
          <w:szCs w:val="18"/>
        </w:rPr>
        <w:t>Garance</w:t>
      </w:r>
      <w:proofErr w:type="spellEnd"/>
      <w:r w:rsidR="0050686C" w:rsidRPr="00A272D8">
        <w:rPr>
          <w:rFonts w:ascii="Gilroy" w:hAnsi="Gilroy" w:cstheme="minorHAnsi"/>
          <w:sz w:val="18"/>
          <w:szCs w:val="18"/>
        </w:rPr>
        <w:t xml:space="preserve"> Burke “</w:t>
      </w:r>
      <w:r w:rsidR="00251869" w:rsidRPr="00A272D8">
        <w:rPr>
          <w:rFonts w:ascii="Gilroy" w:hAnsi="Gilroy" w:cstheme="minorHAnsi"/>
          <w:sz w:val="18"/>
          <w:szCs w:val="18"/>
        </w:rPr>
        <w:t>Here’s how an AI tool may flag parents with disabilities</w:t>
      </w:r>
      <w:r w:rsidR="0050686C" w:rsidRPr="00A272D8">
        <w:rPr>
          <w:rFonts w:ascii="Gilroy" w:hAnsi="Gilroy" w:cstheme="minorHAnsi"/>
          <w:sz w:val="18"/>
          <w:szCs w:val="18"/>
        </w:rPr>
        <w:t>” in AP News,</w:t>
      </w:r>
      <w:r w:rsidR="000771FF" w:rsidRPr="00A272D8">
        <w:rPr>
          <w:rFonts w:ascii="Gilroy" w:hAnsi="Gilroy" w:cstheme="minorHAnsi"/>
          <w:sz w:val="18"/>
          <w:szCs w:val="18"/>
        </w:rPr>
        <w:t xml:space="preserve"> (2023)</w:t>
      </w:r>
      <w:r w:rsidR="0050686C" w:rsidRPr="00A272D8">
        <w:rPr>
          <w:rFonts w:ascii="Gilroy" w:hAnsi="Gilroy" w:cstheme="minorHAnsi"/>
          <w:sz w:val="18"/>
          <w:szCs w:val="18"/>
        </w:rPr>
        <w:t xml:space="preserve"> </w:t>
      </w:r>
      <w:hyperlink r:id="rId31" w:history="1">
        <w:r w:rsidR="000771FF" w:rsidRPr="00A272D8">
          <w:rPr>
            <w:rStyle w:val="Hyperlink"/>
            <w:rFonts w:ascii="Gilroy" w:eastAsia="Times New Roman" w:hAnsi="Gilroy" w:cstheme="minorHAnsi"/>
            <w:sz w:val="18"/>
            <w:szCs w:val="18"/>
            <w:lang w:eastAsia="en-GB"/>
          </w:rPr>
          <w:t>https://apnews.com/article/child-protective-services-algorithms-artificial-intelligence-disability-02469a9ad3ed3e9a31ddae68838bc76e</w:t>
        </w:r>
      </w:hyperlink>
      <w:r w:rsidR="000771FF" w:rsidRPr="00A272D8">
        <w:rPr>
          <w:rFonts w:ascii="Gilroy" w:eastAsia="Times New Roman" w:hAnsi="Gilroy" w:cstheme="minorHAnsi"/>
          <w:sz w:val="18"/>
          <w:szCs w:val="18"/>
          <w:lang w:eastAsia="en-GB"/>
        </w:rPr>
        <w:t xml:space="preserve"> </w:t>
      </w:r>
    </w:p>
  </w:footnote>
  <w:footnote w:id="36">
    <w:p w14:paraId="13D50F42" w14:textId="017B724E" w:rsidR="00251869" w:rsidRPr="00A272D8" w:rsidRDefault="00251869">
      <w:pPr>
        <w:pStyle w:val="FootnoteText"/>
        <w:rPr>
          <w:rFonts w:ascii="Gilroy" w:hAnsi="Gilroy"/>
        </w:rPr>
      </w:pPr>
      <w:r w:rsidRPr="00A272D8">
        <w:rPr>
          <w:rStyle w:val="FootnoteReference"/>
          <w:rFonts w:ascii="Gilroy" w:hAnsi="Gilroy"/>
        </w:rPr>
        <w:footnoteRef/>
      </w:r>
      <w:r w:rsidRPr="00A272D8">
        <w:rPr>
          <w:rFonts w:ascii="Gilroy" w:hAnsi="Gilroy"/>
        </w:rPr>
        <w:t xml:space="preserve"> </w:t>
      </w:r>
      <w:r w:rsidR="0044545E">
        <w:rPr>
          <w:rFonts w:ascii="Gilroy" w:hAnsi="Gilroy"/>
          <w:sz w:val="18"/>
          <w:szCs w:val="18"/>
        </w:rPr>
        <w:t>I</w:t>
      </w:r>
      <w:r w:rsidRPr="0044545E">
        <w:rPr>
          <w:rFonts w:ascii="Gilroy" w:hAnsi="Gilroy"/>
          <w:sz w:val="18"/>
          <w:szCs w:val="18"/>
        </w:rPr>
        <w:t>bid</w:t>
      </w:r>
      <w:r w:rsidRPr="00A272D8">
        <w:rPr>
          <w:rFonts w:ascii="Gilroy" w:hAnsi="Gilroy"/>
          <w:sz w:val="18"/>
          <w:szCs w:val="18"/>
        </w:rPr>
        <w:t>.</w:t>
      </w:r>
    </w:p>
  </w:footnote>
  <w:footnote w:id="37">
    <w:p w14:paraId="18E28D58" w14:textId="7B1141DF" w:rsidR="0005693E" w:rsidRPr="00A272D8" w:rsidRDefault="0005693E" w:rsidP="0005693E">
      <w:pPr>
        <w:pStyle w:val="FootnoteText"/>
        <w:rPr>
          <w:rFonts w:ascii="Gilroy" w:hAnsi="Gilroy" w:cstheme="minorHAnsi"/>
          <w:sz w:val="18"/>
          <w:szCs w:val="18"/>
        </w:rPr>
      </w:pPr>
      <w:r w:rsidRPr="00A272D8">
        <w:rPr>
          <w:rStyle w:val="FootnoteReference"/>
          <w:rFonts w:ascii="Gilroy" w:hAnsi="Gilroy" w:cstheme="minorHAnsi"/>
          <w:sz w:val="18"/>
          <w:szCs w:val="18"/>
        </w:rPr>
        <w:footnoteRef/>
      </w:r>
      <w:r w:rsidR="0050686C" w:rsidRPr="00A272D8">
        <w:rPr>
          <w:rFonts w:ascii="Gilroy" w:hAnsi="Gilroy" w:cstheme="minorHAnsi"/>
          <w:sz w:val="18"/>
          <w:szCs w:val="18"/>
        </w:rPr>
        <w:t xml:space="preserve"> Sally Ho and </w:t>
      </w:r>
      <w:proofErr w:type="spellStart"/>
      <w:r w:rsidR="0050686C" w:rsidRPr="00A272D8">
        <w:rPr>
          <w:rFonts w:ascii="Gilroy" w:hAnsi="Gilroy" w:cstheme="minorHAnsi"/>
          <w:sz w:val="18"/>
          <w:szCs w:val="18"/>
        </w:rPr>
        <w:t>Garance</w:t>
      </w:r>
      <w:proofErr w:type="spellEnd"/>
      <w:r w:rsidR="0050686C" w:rsidRPr="00A272D8">
        <w:rPr>
          <w:rFonts w:ascii="Gilroy" w:hAnsi="Gilroy" w:cstheme="minorHAnsi"/>
          <w:sz w:val="18"/>
          <w:szCs w:val="18"/>
        </w:rPr>
        <w:t xml:space="preserve"> Burke</w:t>
      </w:r>
      <w:r w:rsidR="000771FF" w:rsidRPr="00A272D8">
        <w:rPr>
          <w:rFonts w:ascii="Gilroy" w:hAnsi="Gilroy" w:cstheme="minorHAnsi"/>
          <w:sz w:val="18"/>
          <w:szCs w:val="18"/>
        </w:rPr>
        <w:t xml:space="preserve">, </w:t>
      </w:r>
      <w:r w:rsidR="0050686C" w:rsidRPr="00A272D8">
        <w:rPr>
          <w:rFonts w:ascii="Gilroy" w:hAnsi="Gilroy" w:cstheme="minorHAnsi"/>
          <w:sz w:val="18"/>
          <w:szCs w:val="18"/>
        </w:rPr>
        <w:t>“Child welfare algorithm faces Justice Department scrutiny”</w:t>
      </w:r>
      <w:r w:rsidR="000771FF" w:rsidRPr="00A272D8">
        <w:rPr>
          <w:rFonts w:ascii="Gilroy" w:hAnsi="Gilroy" w:cstheme="minorHAnsi"/>
          <w:sz w:val="18"/>
          <w:szCs w:val="18"/>
        </w:rPr>
        <w:t xml:space="preserve"> (2023) </w:t>
      </w:r>
      <w:hyperlink r:id="rId32" w:history="1">
        <w:r w:rsidR="000771FF" w:rsidRPr="00A272D8">
          <w:rPr>
            <w:rStyle w:val="Hyperlink"/>
            <w:rFonts w:ascii="Gilroy" w:hAnsi="Gilroy" w:cstheme="minorHAnsi"/>
            <w:sz w:val="18"/>
            <w:szCs w:val="18"/>
          </w:rPr>
          <w:t>https://apnews.com/article/justice-scrutinizes-pittsburgh-child-welfare-ai-tool-4f61f45bfc3245fd2556e886c2da988b</w:t>
        </w:r>
      </w:hyperlink>
    </w:p>
  </w:footnote>
  <w:footnote w:id="38">
    <w:p w14:paraId="46552DE7" w14:textId="3B882388" w:rsidR="0005693E" w:rsidRPr="00A272D8" w:rsidRDefault="0005693E" w:rsidP="0005693E">
      <w:pPr>
        <w:pStyle w:val="FootnoteText"/>
        <w:rPr>
          <w:rFonts w:ascii="Gilroy" w:hAnsi="Gilroy" w:cstheme="minorHAnsi"/>
          <w:sz w:val="18"/>
          <w:szCs w:val="18"/>
        </w:rPr>
      </w:pPr>
      <w:r w:rsidRPr="00A272D8">
        <w:rPr>
          <w:rStyle w:val="FootnoteReference"/>
          <w:rFonts w:ascii="Gilroy" w:hAnsi="Gilroy" w:cstheme="minorHAnsi"/>
          <w:sz w:val="18"/>
          <w:szCs w:val="18"/>
        </w:rPr>
        <w:footnoteRef/>
      </w:r>
      <w:r w:rsidR="000D162C" w:rsidRPr="00A272D8">
        <w:rPr>
          <w:rFonts w:ascii="Gilroy" w:hAnsi="Gilroy" w:cstheme="minorHAnsi"/>
          <w:sz w:val="18"/>
          <w:szCs w:val="18"/>
        </w:rPr>
        <w:t xml:space="preserve"> Privacy International</w:t>
      </w:r>
      <w:r w:rsidR="000771FF" w:rsidRPr="00A272D8">
        <w:rPr>
          <w:rFonts w:ascii="Gilroy" w:hAnsi="Gilroy" w:cstheme="minorHAnsi"/>
          <w:sz w:val="18"/>
          <w:szCs w:val="18"/>
        </w:rPr>
        <w:t>,</w:t>
      </w:r>
      <w:r w:rsidR="000D162C" w:rsidRPr="00A272D8">
        <w:rPr>
          <w:rFonts w:ascii="Gilroy" w:hAnsi="Gilroy" w:cstheme="minorHAnsi"/>
          <w:sz w:val="18"/>
          <w:szCs w:val="18"/>
        </w:rPr>
        <w:t xml:space="preserve"> “Shedding light on the DWP Part 1”</w:t>
      </w:r>
      <w:r w:rsidR="000771FF" w:rsidRPr="00A272D8">
        <w:rPr>
          <w:rFonts w:ascii="Gilroy" w:hAnsi="Gilroy" w:cstheme="minorHAnsi"/>
          <w:sz w:val="18"/>
          <w:szCs w:val="18"/>
        </w:rPr>
        <w:t xml:space="preserve"> </w:t>
      </w:r>
      <w:hyperlink r:id="rId33" w:history="1">
        <w:r w:rsidR="000D162C" w:rsidRPr="00A272D8">
          <w:rPr>
            <w:rStyle w:val="Hyperlink"/>
            <w:rFonts w:ascii="Gilroy" w:eastAsia="Times New Roman" w:hAnsi="Gilroy" w:cstheme="minorHAnsi"/>
            <w:sz w:val="18"/>
            <w:szCs w:val="18"/>
            <w:lang w:eastAsia="en-GB"/>
          </w:rPr>
          <w:t>https://privacyinternational.org/long-read/4395/shedding-light-dwp-part-1-we-read-uk-welfare-agencys-995-page-guide-conducting</w:t>
        </w:r>
      </w:hyperlink>
    </w:p>
  </w:footnote>
  <w:footnote w:id="39">
    <w:p w14:paraId="4CCED4F4" w14:textId="42FB9834" w:rsidR="0005693E" w:rsidRPr="00A272D8" w:rsidRDefault="0005693E" w:rsidP="0005693E">
      <w:pPr>
        <w:pStyle w:val="FootnoteText"/>
        <w:rPr>
          <w:rFonts w:ascii="Gilroy" w:hAnsi="Gilroy" w:cstheme="minorHAnsi"/>
          <w:sz w:val="18"/>
          <w:szCs w:val="18"/>
        </w:rPr>
      </w:pPr>
      <w:r w:rsidRPr="00A272D8">
        <w:rPr>
          <w:rStyle w:val="FootnoteReference"/>
          <w:rFonts w:ascii="Gilroy" w:hAnsi="Gilroy" w:cstheme="minorHAnsi"/>
          <w:sz w:val="18"/>
          <w:szCs w:val="18"/>
        </w:rPr>
        <w:footnoteRef/>
      </w:r>
      <w:r w:rsidR="000D162C" w:rsidRPr="00A272D8">
        <w:rPr>
          <w:rFonts w:ascii="Gilroy" w:hAnsi="Gilroy" w:cstheme="minorHAnsi"/>
          <w:sz w:val="18"/>
          <w:szCs w:val="18"/>
        </w:rPr>
        <w:t xml:space="preserve"> UK Department for Work and Pensions</w:t>
      </w:r>
      <w:r w:rsidR="000771FF" w:rsidRPr="00A272D8">
        <w:rPr>
          <w:rFonts w:ascii="Gilroy" w:hAnsi="Gilroy" w:cstheme="minorHAnsi"/>
          <w:sz w:val="18"/>
          <w:szCs w:val="18"/>
        </w:rPr>
        <w:t>,</w:t>
      </w:r>
      <w:r w:rsidRPr="00A272D8">
        <w:rPr>
          <w:rFonts w:ascii="Gilroy" w:hAnsi="Gilroy" w:cstheme="minorHAnsi"/>
          <w:sz w:val="18"/>
          <w:szCs w:val="18"/>
        </w:rPr>
        <w:t xml:space="preserve"> </w:t>
      </w:r>
      <w:r w:rsidR="000D162C" w:rsidRPr="00A272D8">
        <w:rPr>
          <w:rFonts w:ascii="Gilroy" w:hAnsi="Gilroy" w:cstheme="minorHAnsi"/>
          <w:sz w:val="18"/>
          <w:szCs w:val="18"/>
        </w:rPr>
        <w:t xml:space="preserve">“Fraud investigations: staff </w:t>
      </w:r>
      <w:proofErr w:type="gramStart"/>
      <w:r w:rsidR="000D162C" w:rsidRPr="00A272D8">
        <w:rPr>
          <w:rFonts w:ascii="Gilroy" w:hAnsi="Gilroy" w:cstheme="minorHAnsi"/>
          <w:sz w:val="18"/>
          <w:szCs w:val="18"/>
        </w:rPr>
        <w:t>guide ”</w:t>
      </w:r>
      <w:proofErr w:type="gramEnd"/>
      <w:r w:rsidR="000D162C" w:rsidRPr="00A272D8">
        <w:rPr>
          <w:rFonts w:ascii="Gilroy" w:hAnsi="Gilroy" w:cstheme="minorHAnsi"/>
          <w:sz w:val="18"/>
          <w:szCs w:val="18"/>
        </w:rPr>
        <w:t>, pp. 275-6</w:t>
      </w:r>
      <w:r w:rsidR="000771FF" w:rsidRPr="00A272D8">
        <w:rPr>
          <w:rFonts w:ascii="Gilroy" w:hAnsi="Gilroy" w:cstheme="minorHAnsi"/>
          <w:sz w:val="18"/>
          <w:szCs w:val="18"/>
        </w:rPr>
        <w:t xml:space="preserve"> (2012)</w:t>
      </w:r>
      <w:r w:rsidR="000D162C" w:rsidRPr="00A272D8">
        <w:rPr>
          <w:rFonts w:ascii="Gilroy" w:hAnsi="Gilroy" w:cstheme="minorHAnsi"/>
          <w:sz w:val="18"/>
          <w:szCs w:val="18"/>
        </w:rPr>
        <w:t xml:space="preserve"> </w:t>
      </w:r>
      <w:r w:rsidRPr="00A272D8">
        <w:rPr>
          <w:rFonts w:ascii="Gilroy" w:hAnsi="Gilroy" w:cstheme="minorHAnsi"/>
          <w:sz w:val="18"/>
          <w:szCs w:val="18"/>
        </w:rPr>
        <w:t xml:space="preserve"> </w:t>
      </w:r>
      <w:hyperlink r:id="rId34" w:history="1">
        <w:r w:rsidR="000771FF" w:rsidRPr="00A272D8">
          <w:rPr>
            <w:rStyle w:val="Hyperlink"/>
            <w:rFonts w:ascii="Gilroy" w:eastAsia="Times New Roman" w:hAnsi="Gilroy" w:cstheme="minorHAnsi"/>
            <w:sz w:val="18"/>
            <w:szCs w:val="18"/>
            <w:lang w:eastAsia="en-GB"/>
          </w:rPr>
          <w:t>https://www.gov.uk/government/publications/fraud-investigations-staff-guide</w:t>
        </w:r>
      </w:hyperlink>
    </w:p>
  </w:footnote>
  <w:footnote w:id="40">
    <w:p w14:paraId="35CC6CE8" w14:textId="77777777" w:rsidR="0005693E" w:rsidRPr="00A272D8" w:rsidRDefault="0005693E" w:rsidP="007827FE">
      <w:pPr>
        <w:pStyle w:val="FootnoteText"/>
        <w:rPr>
          <w:rFonts w:ascii="Gilroy" w:hAnsi="Gilroy" w:cstheme="minorHAnsi"/>
          <w:sz w:val="18"/>
          <w:szCs w:val="18"/>
        </w:rPr>
      </w:pPr>
      <w:r w:rsidRPr="00A272D8">
        <w:rPr>
          <w:rStyle w:val="FootnoteReference"/>
          <w:rFonts w:ascii="Gilroy" w:hAnsi="Gilroy" w:cstheme="minorHAnsi"/>
          <w:sz w:val="18"/>
          <w:szCs w:val="18"/>
        </w:rPr>
        <w:footnoteRef/>
      </w:r>
      <w:r w:rsidRPr="00A272D8">
        <w:rPr>
          <w:rFonts w:ascii="Gilroy" w:hAnsi="Gilroy" w:cstheme="minorHAnsi"/>
          <w:sz w:val="18"/>
          <w:szCs w:val="18"/>
        </w:rPr>
        <w:t xml:space="preserve"> Ibid.</w:t>
      </w:r>
    </w:p>
  </w:footnote>
  <w:footnote w:id="41">
    <w:p w14:paraId="7E7AD911" w14:textId="5834B3B5" w:rsidR="0005693E" w:rsidRPr="00A272D8" w:rsidRDefault="0005693E" w:rsidP="007827FE">
      <w:pPr>
        <w:pStyle w:val="Heading1"/>
        <w:spacing w:before="0"/>
        <w:rPr>
          <w:rFonts w:ascii="Gilroy" w:hAnsi="Gilroy" w:cstheme="minorHAnsi"/>
          <w:color w:val="000000" w:themeColor="text1"/>
          <w:sz w:val="18"/>
          <w:szCs w:val="18"/>
        </w:rPr>
      </w:pPr>
      <w:r w:rsidRPr="00A272D8">
        <w:rPr>
          <w:rStyle w:val="FootnoteReference"/>
          <w:rFonts w:ascii="Gilroy" w:hAnsi="Gilroy" w:cstheme="minorHAnsi"/>
          <w:color w:val="000000" w:themeColor="text1"/>
          <w:sz w:val="18"/>
          <w:szCs w:val="18"/>
        </w:rPr>
        <w:footnoteRef/>
      </w:r>
      <w:r w:rsidR="000D162C" w:rsidRPr="00A272D8">
        <w:rPr>
          <w:rFonts w:ascii="Gilroy" w:hAnsi="Gilroy" w:cstheme="minorHAnsi"/>
          <w:color w:val="000000" w:themeColor="text1"/>
          <w:sz w:val="18"/>
          <w:szCs w:val="18"/>
        </w:rPr>
        <w:t xml:space="preserve"> GMCPD</w:t>
      </w:r>
      <w:r w:rsidR="000771FF" w:rsidRPr="00A272D8">
        <w:rPr>
          <w:rFonts w:ascii="Gilroy" w:hAnsi="Gilroy" w:cstheme="minorHAnsi"/>
          <w:color w:val="000000" w:themeColor="text1"/>
          <w:sz w:val="18"/>
          <w:szCs w:val="18"/>
        </w:rPr>
        <w:t xml:space="preserve">, </w:t>
      </w:r>
      <w:r w:rsidR="000D162C" w:rsidRPr="00A272D8">
        <w:rPr>
          <w:rFonts w:ascii="Gilroy" w:hAnsi="Gilroy" w:cstheme="minorHAnsi"/>
          <w:color w:val="000000" w:themeColor="text1"/>
          <w:sz w:val="18"/>
          <w:szCs w:val="18"/>
        </w:rPr>
        <w:t>“GMCDP &amp; Foxglove Legal Challenge to the Department for Work and Pensions DWP Fraud Algorithm</w:t>
      </w:r>
      <w:r w:rsidR="000771FF" w:rsidRPr="00A272D8">
        <w:rPr>
          <w:rFonts w:ascii="Gilroy" w:hAnsi="Gilroy" w:cstheme="minorHAnsi"/>
          <w:color w:val="000000" w:themeColor="text1"/>
          <w:sz w:val="18"/>
          <w:szCs w:val="18"/>
        </w:rPr>
        <w:t>”</w:t>
      </w:r>
      <w:r w:rsidR="000D162C" w:rsidRPr="00A272D8">
        <w:rPr>
          <w:rFonts w:ascii="Gilroy" w:hAnsi="Gilroy" w:cstheme="minorHAnsi"/>
          <w:color w:val="000000" w:themeColor="text1"/>
          <w:sz w:val="18"/>
          <w:szCs w:val="18"/>
        </w:rPr>
        <w:t xml:space="preserve"> </w:t>
      </w:r>
      <w:hyperlink r:id="rId35" w:history="1">
        <w:r w:rsidR="000771FF" w:rsidRPr="00A272D8">
          <w:rPr>
            <w:rStyle w:val="Hyperlink"/>
            <w:rFonts w:ascii="Gilroy" w:hAnsi="Gilroy" w:cstheme="minorHAnsi"/>
            <w:sz w:val="18"/>
            <w:szCs w:val="18"/>
          </w:rPr>
          <w:t>https://gmcdp.com/gmcdp-foxglove-legal-challenge-department-work-and-pensions-dwp-fraud-algorithm</w:t>
        </w:r>
      </w:hyperlink>
    </w:p>
    <w:p w14:paraId="49E66ABE" w14:textId="5628773E" w:rsidR="0005693E" w:rsidRPr="00A272D8" w:rsidRDefault="000D162C" w:rsidP="0005693E">
      <w:pPr>
        <w:pStyle w:val="FootnoteText"/>
        <w:rPr>
          <w:rFonts w:ascii="Gilroy" w:hAnsi="Gilroy" w:cstheme="minorHAnsi"/>
          <w:sz w:val="18"/>
          <w:szCs w:val="18"/>
        </w:rPr>
      </w:pPr>
      <w:r w:rsidRPr="00A272D8">
        <w:rPr>
          <w:rFonts w:ascii="Gilroy" w:hAnsi="Gilroy" w:cstheme="minorHAnsi"/>
          <w:sz w:val="18"/>
          <w:szCs w:val="18"/>
        </w:rPr>
        <w:t>See</w:t>
      </w:r>
      <w:r w:rsidR="000771FF" w:rsidRPr="00A272D8">
        <w:rPr>
          <w:rFonts w:ascii="Gilroy" w:hAnsi="Gilroy" w:cstheme="minorHAnsi"/>
          <w:sz w:val="18"/>
          <w:szCs w:val="18"/>
        </w:rPr>
        <w:t xml:space="preserve"> also</w:t>
      </w:r>
      <w:r w:rsidRPr="00A272D8">
        <w:rPr>
          <w:rFonts w:ascii="Gilroy" w:hAnsi="Gilroy" w:cstheme="minorHAnsi"/>
          <w:sz w:val="18"/>
          <w:szCs w:val="18"/>
        </w:rPr>
        <w:t>: Greater Manchester Law Centre</w:t>
      </w:r>
      <w:r w:rsidR="000771FF" w:rsidRPr="00A272D8">
        <w:rPr>
          <w:rFonts w:ascii="Gilroy" w:hAnsi="Gilroy" w:cstheme="minorHAnsi"/>
          <w:sz w:val="18"/>
          <w:szCs w:val="18"/>
        </w:rPr>
        <w:t xml:space="preserve">, </w:t>
      </w:r>
      <w:r w:rsidRPr="00A272D8">
        <w:rPr>
          <w:rFonts w:ascii="Gilroy" w:hAnsi="Gilroy" w:cstheme="minorHAnsi"/>
          <w:sz w:val="18"/>
          <w:szCs w:val="18"/>
        </w:rPr>
        <w:t>“Algorithmic injustice: an interview with Rick Burgess from GMCDP</w:t>
      </w:r>
      <w:r w:rsidR="000771FF" w:rsidRPr="00A272D8">
        <w:rPr>
          <w:rFonts w:ascii="Gilroy" w:hAnsi="Gilroy" w:cstheme="minorHAnsi"/>
          <w:sz w:val="18"/>
          <w:szCs w:val="18"/>
        </w:rPr>
        <w:t>” (2022)</w:t>
      </w:r>
      <w:r w:rsidRPr="00A272D8">
        <w:rPr>
          <w:rFonts w:ascii="Gilroy" w:hAnsi="Gilroy" w:cstheme="minorHAnsi"/>
          <w:sz w:val="18"/>
          <w:szCs w:val="18"/>
        </w:rPr>
        <w:t xml:space="preserve"> </w:t>
      </w:r>
      <w:hyperlink r:id="rId36" w:history="1">
        <w:r w:rsidR="000771FF" w:rsidRPr="00A272D8">
          <w:rPr>
            <w:rStyle w:val="Hyperlink"/>
            <w:rFonts w:ascii="Gilroy" w:hAnsi="Gilroy" w:cstheme="minorHAnsi"/>
            <w:sz w:val="18"/>
            <w:szCs w:val="18"/>
          </w:rPr>
          <w:t>https://www.gmlaw.org.uk/2022/03/31/algorithmic-injustice-an-interview-with-rick-burgess-from-gmcdp/</w:t>
        </w:r>
      </w:hyperlink>
      <w:r w:rsidRPr="00A272D8">
        <w:rPr>
          <w:rFonts w:ascii="Gilroy" w:hAnsi="Gilroy" w:cstheme="minorHAnsi"/>
          <w:color w:val="000000" w:themeColor="text1"/>
          <w:sz w:val="18"/>
          <w:szCs w:val="18"/>
        </w:rPr>
        <w:t xml:space="preserve"> </w:t>
      </w:r>
    </w:p>
  </w:footnote>
  <w:footnote w:id="42">
    <w:p w14:paraId="2799E7BF" w14:textId="26AE4E7A" w:rsidR="0005693E" w:rsidRPr="00A272D8" w:rsidRDefault="0005693E" w:rsidP="0005693E">
      <w:pPr>
        <w:pStyle w:val="FootnoteText"/>
        <w:rPr>
          <w:rFonts w:ascii="Gilroy" w:hAnsi="Gilroy" w:cstheme="minorHAnsi"/>
          <w:sz w:val="18"/>
          <w:szCs w:val="18"/>
        </w:rPr>
      </w:pPr>
      <w:r w:rsidRPr="00A272D8">
        <w:rPr>
          <w:rStyle w:val="FootnoteReference"/>
          <w:rFonts w:ascii="Gilroy" w:hAnsi="Gilroy" w:cstheme="minorHAnsi"/>
          <w:sz w:val="18"/>
          <w:szCs w:val="18"/>
        </w:rPr>
        <w:footnoteRef/>
      </w:r>
      <w:r w:rsidRPr="00A272D8">
        <w:rPr>
          <w:rFonts w:ascii="Gilroy" w:hAnsi="Gilroy" w:cstheme="minorHAnsi"/>
          <w:sz w:val="18"/>
          <w:szCs w:val="18"/>
        </w:rPr>
        <w:t xml:space="preserve"> Privacy International</w:t>
      </w:r>
      <w:r w:rsidR="000771FF" w:rsidRPr="00A272D8">
        <w:rPr>
          <w:rFonts w:ascii="Gilroy" w:hAnsi="Gilroy" w:cstheme="minorHAnsi"/>
          <w:sz w:val="18"/>
          <w:szCs w:val="18"/>
        </w:rPr>
        <w:t xml:space="preserve">, </w:t>
      </w:r>
      <w:r w:rsidRPr="00A272D8">
        <w:rPr>
          <w:rFonts w:ascii="Gilroy" w:hAnsi="Gilroy" w:cstheme="minorHAnsi"/>
          <w:sz w:val="18"/>
          <w:szCs w:val="18"/>
        </w:rPr>
        <w:t>“Data is Power: Profiling and Automated Decision-Making in GDPR</w:t>
      </w:r>
      <w:r w:rsidR="000771FF" w:rsidRPr="00A272D8">
        <w:rPr>
          <w:rFonts w:ascii="Gilroy" w:hAnsi="Gilroy" w:cstheme="minorHAnsi"/>
          <w:sz w:val="18"/>
          <w:szCs w:val="18"/>
        </w:rPr>
        <w:t>” (2017)</w:t>
      </w:r>
      <w:r w:rsidRPr="00A272D8">
        <w:rPr>
          <w:rFonts w:ascii="Gilroy" w:hAnsi="Gilroy" w:cstheme="minorHAnsi"/>
          <w:sz w:val="18"/>
          <w:szCs w:val="18"/>
        </w:rPr>
        <w:t xml:space="preserve"> </w:t>
      </w:r>
      <w:hyperlink r:id="rId37" w:history="1">
        <w:r w:rsidR="000771FF" w:rsidRPr="00A272D8">
          <w:rPr>
            <w:rStyle w:val="Hyperlink"/>
            <w:rFonts w:ascii="Gilroy" w:hAnsi="Gilroy" w:cstheme="minorHAnsi"/>
            <w:sz w:val="18"/>
            <w:szCs w:val="18"/>
          </w:rPr>
          <w:t>https://privacyinternational.org/sites/default/files/2018-04/Data%20Is%20Power-Profiling%20and%20Automated%20Decision-Making%20in%20GDPR.pdf</w:t>
        </w:r>
      </w:hyperlink>
    </w:p>
  </w:footnote>
  <w:footnote w:id="43">
    <w:p w14:paraId="565C535E" w14:textId="62D73AD0" w:rsidR="0005693E" w:rsidRPr="00A272D8" w:rsidRDefault="0005693E" w:rsidP="0005693E">
      <w:pPr>
        <w:pStyle w:val="FootnoteText"/>
        <w:rPr>
          <w:rFonts w:ascii="Gilroy" w:hAnsi="Gilroy" w:cstheme="minorHAnsi"/>
          <w:sz w:val="18"/>
          <w:szCs w:val="18"/>
        </w:rPr>
      </w:pPr>
      <w:r w:rsidRPr="00A272D8">
        <w:rPr>
          <w:rStyle w:val="FootnoteReference"/>
          <w:rFonts w:ascii="Gilroy" w:hAnsi="Gilroy" w:cstheme="minorHAnsi"/>
          <w:sz w:val="18"/>
          <w:szCs w:val="18"/>
        </w:rPr>
        <w:footnoteRef/>
      </w:r>
      <w:r w:rsidRPr="00A272D8">
        <w:rPr>
          <w:rFonts w:ascii="Gilroy" w:hAnsi="Gilroy" w:cstheme="minorHAnsi"/>
          <w:sz w:val="18"/>
          <w:szCs w:val="18"/>
        </w:rPr>
        <w:t xml:space="preserve"> </w:t>
      </w:r>
      <w:r w:rsidR="000D162C" w:rsidRPr="00A272D8">
        <w:rPr>
          <w:rFonts w:ascii="Gilroy" w:hAnsi="Gilroy" w:cstheme="minorHAnsi"/>
          <w:sz w:val="18"/>
          <w:szCs w:val="18"/>
        </w:rPr>
        <w:t>Amnesty International</w:t>
      </w:r>
      <w:r w:rsidR="000771FF" w:rsidRPr="00A272D8">
        <w:rPr>
          <w:rFonts w:ascii="Gilroy" w:hAnsi="Gilroy" w:cstheme="minorHAnsi"/>
          <w:sz w:val="18"/>
          <w:szCs w:val="18"/>
        </w:rPr>
        <w:t>,</w:t>
      </w:r>
      <w:r w:rsidR="000D162C" w:rsidRPr="00A272D8">
        <w:rPr>
          <w:rFonts w:ascii="Gilroy" w:hAnsi="Gilroy" w:cstheme="minorHAnsi"/>
          <w:sz w:val="18"/>
          <w:szCs w:val="18"/>
        </w:rPr>
        <w:t xml:space="preserve"> “Serbia: Social Card law could harm marginalized members of society – legal opinion”</w:t>
      </w:r>
      <w:r w:rsidR="000771FF" w:rsidRPr="00A272D8">
        <w:rPr>
          <w:rFonts w:ascii="Gilroy" w:hAnsi="Gilroy" w:cstheme="minorHAnsi"/>
          <w:sz w:val="18"/>
          <w:szCs w:val="18"/>
        </w:rPr>
        <w:t xml:space="preserve"> (2022)</w:t>
      </w:r>
      <w:r w:rsidR="000771FF" w:rsidRPr="00A272D8">
        <w:rPr>
          <w:rFonts w:ascii="Gilroy" w:hAnsi="Gilroy"/>
        </w:rPr>
        <w:t xml:space="preserve"> </w:t>
      </w:r>
      <w:hyperlink r:id="rId38" w:history="1">
        <w:r w:rsidR="000D162C" w:rsidRPr="00A272D8">
          <w:rPr>
            <w:rStyle w:val="Hyperlink"/>
            <w:rFonts w:ascii="Gilroy" w:hAnsi="Gilroy" w:cstheme="minorHAnsi"/>
            <w:sz w:val="18"/>
            <w:szCs w:val="18"/>
          </w:rPr>
          <w:t>https://www.amnesty.org/en/latest/news/2022/11/serbia-social-card-law-could-harm-marginalized-members-of-society-legal-opinion/</w:t>
        </w:r>
      </w:hyperlink>
    </w:p>
  </w:footnote>
  <w:footnote w:id="44">
    <w:p w14:paraId="3964FBF0" w14:textId="4F2DC202" w:rsidR="0005693E" w:rsidRPr="00A272D8" w:rsidRDefault="0005693E">
      <w:pPr>
        <w:pStyle w:val="FootnoteText"/>
        <w:rPr>
          <w:rFonts w:ascii="Gilroy" w:hAnsi="Gilroy"/>
        </w:rPr>
      </w:pPr>
      <w:r w:rsidRPr="00A272D8">
        <w:rPr>
          <w:rStyle w:val="FootnoteReference"/>
          <w:rFonts w:ascii="Gilroy" w:hAnsi="Gilroy" w:cstheme="minorHAnsi"/>
          <w:sz w:val="18"/>
          <w:szCs w:val="18"/>
        </w:rPr>
        <w:footnoteRef/>
      </w:r>
      <w:r w:rsidRPr="00A272D8">
        <w:rPr>
          <w:rFonts w:ascii="Gilroy" w:hAnsi="Gilroy" w:cstheme="minorHAnsi"/>
          <w:sz w:val="18"/>
          <w:szCs w:val="18"/>
        </w:rPr>
        <w:t xml:space="preserve"> </w:t>
      </w:r>
      <w:r w:rsidR="000D162C" w:rsidRPr="00A272D8">
        <w:rPr>
          <w:rFonts w:ascii="Gilroy" w:hAnsi="Gilroy" w:cstheme="minorHAnsi"/>
          <w:sz w:val="18"/>
          <w:szCs w:val="18"/>
        </w:rPr>
        <w:t>Privacy International</w:t>
      </w:r>
      <w:r w:rsidR="000771FF" w:rsidRPr="00A272D8">
        <w:rPr>
          <w:rFonts w:ascii="Gilroy" w:hAnsi="Gilroy" w:cstheme="minorHAnsi"/>
          <w:sz w:val="18"/>
          <w:szCs w:val="18"/>
        </w:rPr>
        <w:t xml:space="preserve">, </w:t>
      </w:r>
      <w:r w:rsidR="000D162C" w:rsidRPr="00A272D8">
        <w:rPr>
          <w:rFonts w:ascii="Gilroy" w:hAnsi="Gilroy" w:cstheme="minorHAnsi"/>
          <w:sz w:val="18"/>
          <w:szCs w:val="18"/>
        </w:rPr>
        <w:t>“The Keys to Data Protection</w:t>
      </w:r>
      <w:r w:rsidR="000771FF" w:rsidRPr="00A272D8">
        <w:rPr>
          <w:rFonts w:ascii="Gilroy" w:hAnsi="Gilroy" w:cstheme="minorHAnsi"/>
          <w:sz w:val="18"/>
          <w:szCs w:val="18"/>
        </w:rPr>
        <w:t xml:space="preserve">” (August 2018) </w:t>
      </w:r>
      <w:hyperlink r:id="rId39" w:history="1">
        <w:r w:rsidR="000771FF" w:rsidRPr="00A272D8">
          <w:rPr>
            <w:rStyle w:val="Hyperlink"/>
            <w:rFonts w:ascii="Gilroy" w:hAnsi="Gilroy" w:cstheme="minorHAnsi"/>
            <w:sz w:val="18"/>
            <w:szCs w:val="18"/>
          </w:rPr>
          <w:t>https://www.europarl.europa.eu/news/en/press-room/20230609IPR96212/meps-ready-to-negotiate-first-ever-rules-for-safe-and-transparent-ai</w:t>
        </w:r>
      </w:hyperlink>
    </w:p>
  </w:footnote>
  <w:footnote w:id="45">
    <w:p w14:paraId="1716D49A" w14:textId="5CADB280" w:rsidR="004031E0" w:rsidRPr="00A272D8" w:rsidRDefault="004031E0" w:rsidP="000D162C">
      <w:pPr>
        <w:pStyle w:val="Heading1"/>
        <w:spacing w:before="0"/>
        <w:rPr>
          <w:rFonts w:ascii="Gilroy" w:hAnsi="Gilroy" w:cstheme="minorHAnsi"/>
          <w:color w:val="000000" w:themeColor="text1"/>
          <w:sz w:val="18"/>
          <w:szCs w:val="18"/>
        </w:rPr>
      </w:pPr>
      <w:r w:rsidRPr="00A272D8">
        <w:rPr>
          <w:rStyle w:val="FootnoteReference"/>
          <w:rFonts w:ascii="Gilroy" w:hAnsi="Gilroy" w:cstheme="minorHAnsi"/>
          <w:color w:val="000000" w:themeColor="text1"/>
          <w:sz w:val="18"/>
          <w:szCs w:val="18"/>
        </w:rPr>
        <w:footnoteRef/>
      </w:r>
      <w:r w:rsidR="000D162C" w:rsidRPr="00A272D8">
        <w:rPr>
          <w:rFonts w:ascii="Gilroy" w:hAnsi="Gilroy" w:cstheme="minorHAnsi"/>
          <w:color w:val="000000" w:themeColor="text1"/>
          <w:sz w:val="18"/>
          <w:szCs w:val="18"/>
        </w:rPr>
        <w:t xml:space="preserve"> Privacy International</w:t>
      </w:r>
      <w:r w:rsidR="000771FF" w:rsidRPr="00A272D8">
        <w:rPr>
          <w:rFonts w:ascii="Gilroy" w:hAnsi="Gilroy" w:cstheme="minorHAnsi"/>
          <w:color w:val="000000" w:themeColor="text1"/>
          <w:sz w:val="18"/>
          <w:szCs w:val="18"/>
        </w:rPr>
        <w:t>,</w:t>
      </w:r>
      <w:r w:rsidR="000D162C" w:rsidRPr="00A272D8">
        <w:rPr>
          <w:rFonts w:ascii="Gilroy" w:hAnsi="Gilroy" w:cstheme="minorHAnsi"/>
          <w:color w:val="000000" w:themeColor="text1"/>
          <w:sz w:val="18"/>
          <w:szCs w:val="18"/>
        </w:rPr>
        <w:t xml:space="preserve"> “</w:t>
      </w:r>
      <w:r w:rsidR="000D162C" w:rsidRPr="00A272D8">
        <w:rPr>
          <w:rStyle w:val="field"/>
          <w:rFonts w:ascii="Gilroy" w:hAnsi="Gilroy" w:cstheme="minorHAnsi"/>
          <w:color w:val="000000" w:themeColor="text1"/>
          <w:sz w:val="18"/>
          <w:szCs w:val="18"/>
        </w:rPr>
        <w:t>The World Bank &amp; social protection during crises: a privacy trade-off</w:t>
      </w:r>
      <w:r w:rsidR="000771FF" w:rsidRPr="00A272D8">
        <w:rPr>
          <w:rStyle w:val="field"/>
          <w:rFonts w:ascii="Gilroy" w:hAnsi="Gilroy" w:cstheme="minorHAnsi"/>
          <w:color w:val="000000" w:themeColor="text1"/>
          <w:sz w:val="18"/>
          <w:szCs w:val="18"/>
        </w:rPr>
        <w:t>?” (2022)</w:t>
      </w:r>
      <w:r w:rsidRPr="00A272D8">
        <w:rPr>
          <w:rFonts w:ascii="Gilroy" w:hAnsi="Gilroy" w:cstheme="minorHAnsi"/>
          <w:color w:val="000000" w:themeColor="text1"/>
          <w:sz w:val="18"/>
          <w:szCs w:val="18"/>
        </w:rPr>
        <w:t xml:space="preserve"> </w:t>
      </w:r>
      <w:hyperlink r:id="rId40" w:history="1">
        <w:r w:rsidR="000771FF" w:rsidRPr="00A272D8">
          <w:rPr>
            <w:rStyle w:val="Hyperlink"/>
            <w:rFonts w:ascii="Gilroy" w:hAnsi="Gilroy" w:cstheme="minorHAnsi"/>
            <w:sz w:val="18"/>
            <w:szCs w:val="18"/>
          </w:rPr>
          <w:t>https://privacyinternational.org/long-read/4944/world-bank-social-protection-during-crises-privacy-trade</w:t>
        </w:r>
      </w:hyperlink>
    </w:p>
  </w:footnote>
  <w:footnote w:id="46">
    <w:p w14:paraId="234D190E" w14:textId="20AB5D4E" w:rsidR="002D4E94" w:rsidRPr="00A272D8" w:rsidRDefault="002D4E94" w:rsidP="002D4E94">
      <w:pPr>
        <w:pStyle w:val="FootnoteText"/>
        <w:rPr>
          <w:rFonts w:ascii="Gilroy" w:hAnsi="Gilroy"/>
        </w:rPr>
      </w:pPr>
      <w:r w:rsidRPr="00A272D8">
        <w:rPr>
          <w:rStyle w:val="FootnoteReference"/>
          <w:rFonts w:ascii="Gilroy" w:hAnsi="Gilroy"/>
          <w:sz w:val="18"/>
          <w:szCs w:val="18"/>
        </w:rPr>
        <w:footnoteRef/>
      </w:r>
      <w:r w:rsidRPr="00A272D8">
        <w:rPr>
          <w:rFonts w:ascii="Gilroy" w:hAnsi="Gilroy"/>
          <w:sz w:val="18"/>
          <w:szCs w:val="18"/>
        </w:rPr>
        <w:t xml:space="preserve"> </w:t>
      </w:r>
      <w:r w:rsidR="00F07BD8" w:rsidRPr="00A272D8">
        <w:rPr>
          <w:rFonts w:ascii="Gilroy" w:hAnsi="Gilroy"/>
          <w:sz w:val="18"/>
          <w:szCs w:val="18"/>
        </w:rPr>
        <w:t>Committee on the Rights of Persons with Disabilities, “Concluding observations on the initial report of Estonia”</w:t>
      </w:r>
      <w:r w:rsidR="000771FF" w:rsidRPr="00A272D8">
        <w:rPr>
          <w:rFonts w:ascii="Gilroy" w:hAnsi="Gilroy"/>
          <w:sz w:val="18"/>
          <w:szCs w:val="18"/>
        </w:rPr>
        <w:t xml:space="preserve"> (2021) </w:t>
      </w:r>
      <w:hyperlink r:id="rId41" w:history="1">
        <w:r w:rsidR="000771FF" w:rsidRPr="00A272D8">
          <w:rPr>
            <w:rStyle w:val="Hyperlink"/>
            <w:rFonts w:ascii="Gilroy" w:hAnsi="Gilroy"/>
            <w:sz w:val="18"/>
            <w:szCs w:val="18"/>
          </w:rPr>
          <w:t>https://docstore.ohchr.org/SelfServices/FilesHandler.ashx?enc=6QkG1d%2FPPRiCAqhKb7yhslxq2MulDp%2FqMKQ6SGOn0%2FMA1LSpvgYM3DCkpjGjvUUy2myJFM%2BOsTgWsCuGm4B2qohcBwHoCCrB5BpbRCKf6tkvX63EJgdwjV2NmUEVRnVD</w:t>
        </w:r>
      </w:hyperlink>
    </w:p>
  </w:footnote>
  <w:footnote w:id="47">
    <w:p w14:paraId="4C0AB141" w14:textId="6B025983" w:rsidR="00D66B64" w:rsidRPr="00A272D8" w:rsidRDefault="00D66B64">
      <w:pPr>
        <w:pStyle w:val="FootnoteText"/>
        <w:rPr>
          <w:rFonts w:ascii="Gilroy" w:hAnsi="Gilroy"/>
          <w:b/>
          <w:bCs/>
          <w:sz w:val="18"/>
          <w:szCs w:val="18"/>
        </w:rPr>
      </w:pPr>
      <w:r w:rsidRPr="00A272D8">
        <w:rPr>
          <w:rStyle w:val="FootnoteReference"/>
          <w:rFonts w:ascii="Gilroy" w:hAnsi="Gilroy"/>
        </w:rPr>
        <w:footnoteRef/>
      </w:r>
      <w:r w:rsidRPr="00A272D8">
        <w:rPr>
          <w:rFonts w:ascii="Gilroy" w:hAnsi="Gilroy"/>
        </w:rPr>
        <w:t xml:space="preserve"> </w:t>
      </w:r>
      <w:r w:rsidRPr="00A272D8">
        <w:rPr>
          <w:rFonts w:ascii="Gilroy" w:hAnsi="Gilroy"/>
          <w:sz w:val="18"/>
          <w:szCs w:val="18"/>
        </w:rPr>
        <w:t>Privacy International</w:t>
      </w:r>
      <w:r w:rsidR="000771FF" w:rsidRPr="00A272D8">
        <w:rPr>
          <w:rFonts w:ascii="Gilroy" w:hAnsi="Gilroy"/>
          <w:sz w:val="18"/>
          <w:szCs w:val="18"/>
        </w:rPr>
        <w:t xml:space="preserve">, </w:t>
      </w:r>
      <w:r w:rsidRPr="00A272D8">
        <w:rPr>
          <w:rFonts w:ascii="Gilroy" w:hAnsi="Gilroy"/>
          <w:sz w:val="18"/>
          <w:szCs w:val="18"/>
        </w:rPr>
        <w:t>“The World Bank &amp; social protection during crises: a privacy trade-off?”</w:t>
      </w:r>
      <w:r w:rsidR="000771FF" w:rsidRPr="00A272D8">
        <w:rPr>
          <w:rFonts w:ascii="Gilroy" w:hAnsi="Gilroy"/>
          <w:sz w:val="18"/>
          <w:szCs w:val="18"/>
        </w:rPr>
        <w:t xml:space="preserve"> (August 2022) </w:t>
      </w:r>
      <w:r w:rsidRPr="00A272D8">
        <w:rPr>
          <w:rFonts w:ascii="Gilroy" w:hAnsi="Gilroy"/>
          <w:sz w:val="18"/>
          <w:szCs w:val="18"/>
        </w:rPr>
        <w:t>https://privacyinternational.org/long-read/4944/world-bank-social-protection-during-crises-privacy-trade</w:t>
      </w:r>
    </w:p>
  </w:footnote>
  <w:footnote w:id="48">
    <w:p w14:paraId="214743DF" w14:textId="507A25C1" w:rsidR="00246BBF" w:rsidRPr="00A272D8" w:rsidRDefault="00246BBF">
      <w:pPr>
        <w:pStyle w:val="FootnoteText"/>
        <w:rPr>
          <w:rFonts w:ascii="Gilroy" w:hAnsi="Gilroy"/>
          <w:sz w:val="18"/>
          <w:szCs w:val="18"/>
        </w:rPr>
      </w:pPr>
      <w:r w:rsidRPr="00A272D8">
        <w:rPr>
          <w:rStyle w:val="FootnoteReference"/>
          <w:rFonts w:ascii="Gilroy" w:hAnsi="Gilroy"/>
          <w:sz w:val="18"/>
          <w:szCs w:val="18"/>
        </w:rPr>
        <w:footnoteRef/>
      </w:r>
      <w:r w:rsidRPr="00A272D8">
        <w:rPr>
          <w:rFonts w:ascii="Gilroy" w:hAnsi="Gilroy"/>
          <w:sz w:val="18"/>
          <w:szCs w:val="18"/>
        </w:rPr>
        <w:t xml:space="preserve"> Convention 108</w:t>
      </w:r>
      <w:r w:rsidR="0044545E">
        <w:rPr>
          <w:rFonts w:ascii="Gilroy" w:hAnsi="Gilroy"/>
          <w:sz w:val="18"/>
          <w:szCs w:val="18"/>
        </w:rPr>
        <w:t>+</w:t>
      </w:r>
      <w:r w:rsidRPr="00A272D8">
        <w:rPr>
          <w:rFonts w:ascii="Gilroy" w:hAnsi="Gilroy"/>
          <w:sz w:val="18"/>
          <w:szCs w:val="18"/>
        </w:rPr>
        <w:t xml:space="preserve">, Article 6. </w:t>
      </w:r>
    </w:p>
  </w:footnote>
  <w:footnote w:id="49">
    <w:p w14:paraId="6C801AB5" w14:textId="79074D34" w:rsidR="002D4E94" w:rsidRPr="00A272D8" w:rsidRDefault="002D4E94" w:rsidP="002D4E94">
      <w:pPr>
        <w:pStyle w:val="FootnoteText"/>
        <w:rPr>
          <w:rFonts w:ascii="Gilroy" w:hAnsi="Gilroy" w:cstheme="minorHAnsi"/>
          <w:sz w:val="18"/>
          <w:szCs w:val="18"/>
        </w:rPr>
      </w:pPr>
      <w:r w:rsidRPr="00A272D8">
        <w:rPr>
          <w:rStyle w:val="FootnoteReference"/>
          <w:rFonts w:ascii="Gilroy" w:hAnsi="Gilroy"/>
          <w:sz w:val="18"/>
          <w:szCs w:val="18"/>
        </w:rPr>
        <w:footnoteRef/>
      </w:r>
      <w:r w:rsidR="00F07BD8" w:rsidRPr="00A272D8">
        <w:rPr>
          <w:rFonts w:ascii="Gilroy" w:hAnsi="Gilroy"/>
          <w:sz w:val="18"/>
          <w:szCs w:val="18"/>
        </w:rPr>
        <w:t xml:space="preserve"> </w:t>
      </w:r>
      <w:r w:rsidR="00F07BD8" w:rsidRPr="00A272D8">
        <w:rPr>
          <w:rFonts w:ascii="Gilroy" w:hAnsi="Gilroy" w:cstheme="minorHAnsi"/>
          <w:sz w:val="18"/>
          <w:szCs w:val="18"/>
        </w:rPr>
        <w:t>Convention 108</w:t>
      </w:r>
      <w:r w:rsidR="0044545E">
        <w:rPr>
          <w:rFonts w:ascii="Gilroy" w:hAnsi="Gilroy" w:cstheme="minorHAnsi"/>
          <w:sz w:val="18"/>
          <w:szCs w:val="18"/>
        </w:rPr>
        <w:t>+</w:t>
      </w:r>
      <w:r w:rsidR="000771FF" w:rsidRPr="00A272D8">
        <w:rPr>
          <w:rFonts w:ascii="Gilroy" w:hAnsi="Gilroy" w:cstheme="minorHAnsi"/>
          <w:sz w:val="18"/>
          <w:szCs w:val="18"/>
        </w:rPr>
        <w:t>.</w:t>
      </w:r>
    </w:p>
  </w:footnote>
  <w:footnote w:id="50">
    <w:p w14:paraId="281F6C14" w14:textId="19458F9E" w:rsidR="00246BBF" w:rsidRPr="00A272D8" w:rsidRDefault="00246BBF">
      <w:pPr>
        <w:pStyle w:val="FootnoteText"/>
        <w:rPr>
          <w:rFonts w:ascii="Gilroy" w:hAnsi="Gilroy"/>
          <w:sz w:val="18"/>
          <w:szCs w:val="18"/>
        </w:rPr>
      </w:pPr>
      <w:r w:rsidRPr="00A272D8">
        <w:rPr>
          <w:rStyle w:val="FootnoteReference"/>
          <w:rFonts w:ascii="Gilroy" w:hAnsi="Gilroy"/>
          <w:sz w:val="18"/>
          <w:szCs w:val="18"/>
        </w:rPr>
        <w:footnoteRef/>
      </w:r>
      <w:r w:rsidRPr="00A272D8">
        <w:rPr>
          <w:rFonts w:ascii="Gilroy" w:hAnsi="Gilroy"/>
          <w:sz w:val="18"/>
          <w:szCs w:val="18"/>
        </w:rPr>
        <w:t xml:space="preserve"> </w:t>
      </w:r>
      <w:r w:rsidRPr="00A272D8">
        <w:rPr>
          <w:rFonts w:ascii="Gilroy" w:eastAsia="Times New Roman" w:hAnsi="Gilroy" w:cs="Times New Roman"/>
          <w:sz w:val="18"/>
          <w:szCs w:val="18"/>
          <w:lang w:eastAsia="en-GB"/>
        </w:rPr>
        <w:t>Council of Europe Convention 108, Article 5(4)(c</w:t>
      </w:r>
      <w:proofErr w:type="gramStart"/>
      <w:r w:rsidRPr="00A272D8">
        <w:rPr>
          <w:rFonts w:ascii="Gilroy" w:eastAsia="Times New Roman" w:hAnsi="Gilroy" w:cs="Times New Roman"/>
          <w:sz w:val="18"/>
          <w:szCs w:val="18"/>
          <w:lang w:eastAsia="en-GB"/>
        </w:rPr>
        <w:t>);  EU</w:t>
      </w:r>
      <w:proofErr w:type="gramEnd"/>
      <w:r w:rsidRPr="00A272D8">
        <w:rPr>
          <w:rFonts w:ascii="Gilroy" w:eastAsia="Times New Roman" w:hAnsi="Gilroy" w:cs="Times New Roman"/>
          <w:sz w:val="18"/>
          <w:szCs w:val="18"/>
          <w:lang w:eastAsia="en-GB"/>
        </w:rPr>
        <w:t xml:space="preserve"> GDPR, Article 5(1)(c).</w:t>
      </w:r>
    </w:p>
  </w:footnote>
  <w:footnote w:id="51">
    <w:p w14:paraId="66D4A5EB" w14:textId="2A676A65" w:rsidR="00FB0736" w:rsidRPr="00A272D8" w:rsidRDefault="002D4E94" w:rsidP="002D4E94">
      <w:pPr>
        <w:pStyle w:val="FootnoteText"/>
        <w:rPr>
          <w:rFonts w:ascii="Gilroy" w:hAnsi="Gilroy" w:cstheme="minorHAnsi"/>
          <w:sz w:val="18"/>
          <w:szCs w:val="18"/>
        </w:rPr>
      </w:pPr>
      <w:r w:rsidRPr="00A272D8">
        <w:rPr>
          <w:rStyle w:val="FootnoteReference"/>
          <w:rFonts w:ascii="Gilroy" w:hAnsi="Gilroy" w:cstheme="minorHAnsi"/>
          <w:sz w:val="18"/>
          <w:szCs w:val="18"/>
        </w:rPr>
        <w:footnoteRef/>
      </w:r>
      <w:r w:rsidRPr="00A272D8">
        <w:rPr>
          <w:rFonts w:ascii="Gilroy" w:hAnsi="Gilroy" w:cstheme="minorHAnsi"/>
          <w:sz w:val="18"/>
          <w:szCs w:val="18"/>
        </w:rPr>
        <w:t xml:space="preserve"> </w:t>
      </w:r>
      <w:r w:rsidR="00FB0736" w:rsidRPr="00A272D8">
        <w:rPr>
          <w:rFonts w:ascii="Gilroy" w:hAnsi="Gilroy" w:cstheme="minorHAnsi"/>
          <w:sz w:val="18"/>
          <w:szCs w:val="18"/>
        </w:rPr>
        <w:t xml:space="preserve">European Commission, </w:t>
      </w:r>
      <w:r w:rsidRPr="00A272D8">
        <w:rPr>
          <w:rFonts w:ascii="Gilroy" w:hAnsi="Gilroy" w:cstheme="minorHAnsi"/>
          <w:sz w:val="18"/>
          <w:szCs w:val="18"/>
        </w:rPr>
        <w:t>Art</w:t>
      </w:r>
      <w:r w:rsidR="00FB0736" w:rsidRPr="00A272D8">
        <w:rPr>
          <w:rFonts w:ascii="Gilroy" w:hAnsi="Gilroy" w:cstheme="minorHAnsi"/>
          <w:sz w:val="18"/>
          <w:szCs w:val="18"/>
        </w:rPr>
        <w:t>icle</w:t>
      </w:r>
      <w:r w:rsidRPr="00A272D8">
        <w:rPr>
          <w:rFonts w:ascii="Gilroy" w:hAnsi="Gilroy" w:cstheme="minorHAnsi"/>
          <w:sz w:val="18"/>
          <w:szCs w:val="18"/>
        </w:rPr>
        <w:t xml:space="preserve"> 29 Working Party, ‘Opinion 02/2013 on Apps on Smart Devices’ (n 101</w:t>
      </w:r>
      <w:r w:rsidR="000771FF" w:rsidRPr="00A272D8">
        <w:rPr>
          <w:rFonts w:ascii="Gilroy" w:hAnsi="Gilroy" w:cstheme="minorHAnsi"/>
          <w:sz w:val="18"/>
          <w:szCs w:val="18"/>
        </w:rPr>
        <w:t xml:space="preserve">) (2013) </w:t>
      </w:r>
      <w:r w:rsidR="00FB0736" w:rsidRPr="00A272D8">
        <w:rPr>
          <w:rFonts w:ascii="Gilroy" w:hAnsi="Gilroy" w:cstheme="minorHAnsi"/>
          <w:sz w:val="18"/>
          <w:szCs w:val="18"/>
        </w:rPr>
        <w:t>https://ec.europa.eu/justice/article-29/documentation/opinion-recommendation/files/2013/wp202_en.pdf</w:t>
      </w:r>
      <w:r w:rsidR="000771FF" w:rsidRPr="00A272D8">
        <w:rPr>
          <w:rFonts w:ascii="Gilroy" w:hAnsi="Gilroy" w:cstheme="minorHAnsi"/>
          <w:sz w:val="18"/>
          <w:szCs w:val="18"/>
        </w:rPr>
        <w:t>;</w:t>
      </w:r>
    </w:p>
    <w:p w14:paraId="120C3078" w14:textId="1FCC89F7" w:rsidR="002D4E94" w:rsidRPr="00A272D8" w:rsidRDefault="000771FF" w:rsidP="002D4E94">
      <w:pPr>
        <w:pStyle w:val="FootnoteText"/>
        <w:rPr>
          <w:rFonts w:ascii="Gilroy" w:hAnsi="Gilroy" w:cstheme="minorHAnsi"/>
          <w:sz w:val="18"/>
          <w:szCs w:val="18"/>
        </w:rPr>
      </w:pPr>
      <w:r w:rsidRPr="00A272D8">
        <w:rPr>
          <w:rFonts w:ascii="Gilroy" w:hAnsi="Gilroy" w:cstheme="minorHAnsi"/>
          <w:sz w:val="18"/>
          <w:szCs w:val="18"/>
        </w:rPr>
        <w:t xml:space="preserve">See also: </w:t>
      </w:r>
      <w:r w:rsidR="00FB0736" w:rsidRPr="00A272D8">
        <w:rPr>
          <w:rFonts w:ascii="Gilroy" w:hAnsi="Gilroy" w:cstheme="minorHAnsi"/>
          <w:sz w:val="18"/>
          <w:szCs w:val="18"/>
        </w:rPr>
        <w:t>Privacy International</w:t>
      </w:r>
      <w:r w:rsidRPr="00A272D8">
        <w:rPr>
          <w:rFonts w:ascii="Gilroy" w:hAnsi="Gilroy" w:cstheme="minorHAnsi"/>
          <w:sz w:val="18"/>
          <w:szCs w:val="18"/>
        </w:rPr>
        <w:t xml:space="preserve">, </w:t>
      </w:r>
      <w:r w:rsidR="00FB0736" w:rsidRPr="00A272D8">
        <w:rPr>
          <w:rFonts w:ascii="Gilroy" w:hAnsi="Gilroy" w:cstheme="minorHAnsi"/>
          <w:sz w:val="18"/>
          <w:szCs w:val="18"/>
        </w:rPr>
        <w:t>“Internet of Things</w:t>
      </w:r>
      <w:r w:rsidRPr="00A272D8">
        <w:rPr>
          <w:rFonts w:ascii="Gilroy" w:hAnsi="Gilroy" w:cstheme="minorHAnsi"/>
          <w:sz w:val="18"/>
          <w:szCs w:val="18"/>
        </w:rPr>
        <w:t xml:space="preserve">” </w:t>
      </w:r>
      <w:r w:rsidR="002D4E94" w:rsidRPr="00A272D8">
        <w:rPr>
          <w:rFonts w:ascii="Gilroy" w:hAnsi="Gilroy" w:cstheme="minorHAnsi"/>
          <w:sz w:val="18"/>
          <w:szCs w:val="18"/>
        </w:rPr>
        <w:t>https://privacyinternational.org/learn/internet-things</w:t>
      </w:r>
    </w:p>
  </w:footnote>
  <w:footnote w:id="52">
    <w:p w14:paraId="78AC1CBE" w14:textId="76BBE6C2" w:rsidR="002D4E94" w:rsidRPr="00A272D8" w:rsidRDefault="002D4E94" w:rsidP="002D4E94">
      <w:pPr>
        <w:pStyle w:val="FootnoteText"/>
        <w:rPr>
          <w:rFonts w:ascii="Gilroy" w:hAnsi="Gilroy" w:cstheme="minorHAnsi"/>
          <w:sz w:val="18"/>
          <w:szCs w:val="18"/>
        </w:rPr>
      </w:pPr>
      <w:r w:rsidRPr="00A272D8">
        <w:rPr>
          <w:rStyle w:val="FootnoteReference"/>
          <w:rFonts w:ascii="Gilroy" w:hAnsi="Gilroy" w:cstheme="minorHAnsi"/>
          <w:sz w:val="18"/>
          <w:szCs w:val="18"/>
        </w:rPr>
        <w:footnoteRef/>
      </w:r>
      <w:r w:rsidRPr="00A272D8">
        <w:rPr>
          <w:rFonts w:ascii="Gilroy" w:hAnsi="Gilroy" w:cstheme="minorHAnsi"/>
          <w:sz w:val="18"/>
          <w:szCs w:val="18"/>
        </w:rPr>
        <w:t xml:space="preserve"> </w:t>
      </w:r>
      <w:r w:rsidR="00FB0736" w:rsidRPr="00A272D8">
        <w:rPr>
          <w:rFonts w:ascii="Gilroy" w:hAnsi="Gilroy" w:cstheme="minorHAnsi"/>
          <w:sz w:val="18"/>
          <w:szCs w:val="18"/>
        </w:rPr>
        <w:t>Privacy International</w:t>
      </w:r>
      <w:r w:rsidR="000771FF" w:rsidRPr="00A272D8">
        <w:rPr>
          <w:rFonts w:ascii="Gilroy" w:hAnsi="Gilroy" w:cstheme="minorHAnsi"/>
          <w:sz w:val="18"/>
          <w:szCs w:val="18"/>
        </w:rPr>
        <w:t xml:space="preserve">, </w:t>
      </w:r>
      <w:r w:rsidR="00FB0736" w:rsidRPr="00A272D8">
        <w:rPr>
          <w:rFonts w:ascii="Gilroy" w:hAnsi="Gilroy" w:cstheme="minorHAnsi"/>
          <w:sz w:val="18"/>
          <w:szCs w:val="18"/>
        </w:rPr>
        <w:t>“Best Before Date for our devices”</w:t>
      </w:r>
      <w:r w:rsidR="000771FF" w:rsidRPr="00A272D8">
        <w:rPr>
          <w:rFonts w:ascii="Gilroy" w:hAnsi="Gilroy" w:cstheme="minorHAnsi"/>
          <w:sz w:val="18"/>
          <w:szCs w:val="18"/>
        </w:rPr>
        <w:t xml:space="preserve"> </w:t>
      </w:r>
      <w:hyperlink r:id="rId42" w:history="1">
        <w:r w:rsidR="00FB0736" w:rsidRPr="00A272D8">
          <w:rPr>
            <w:rStyle w:val="Hyperlink"/>
            <w:rFonts w:ascii="Gilroy" w:hAnsi="Gilroy" w:cstheme="minorHAnsi"/>
            <w:sz w:val="18"/>
            <w:szCs w:val="18"/>
          </w:rPr>
          <w:t>https://privacyinternational.org/campaigns/best-before-date-our-devices-campaign</w:t>
        </w:r>
      </w:hyperlink>
    </w:p>
  </w:footnote>
  <w:footnote w:id="53">
    <w:p w14:paraId="7DD7AB37" w14:textId="79D8F53D" w:rsidR="002D4E94" w:rsidRPr="00A272D8" w:rsidRDefault="002D4E94" w:rsidP="002D4E94">
      <w:pPr>
        <w:pStyle w:val="FootnoteText"/>
        <w:rPr>
          <w:rFonts w:ascii="Gilroy" w:hAnsi="Gilroy" w:cstheme="minorHAnsi"/>
          <w:sz w:val="18"/>
          <w:szCs w:val="18"/>
        </w:rPr>
      </w:pPr>
      <w:r w:rsidRPr="00A272D8">
        <w:rPr>
          <w:rStyle w:val="FootnoteReference"/>
          <w:rFonts w:ascii="Gilroy" w:hAnsi="Gilroy" w:cstheme="minorHAnsi"/>
          <w:sz w:val="18"/>
          <w:szCs w:val="18"/>
        </w:rPr>
        <w:footnoteRef/>
      </w:r>
      <w:r w:rsidR="00FB0736" w:rsidRPr="00A272D8">
        <w:rPr>
          <w:rFonts w:ascii="Gilroy" w:hAnsi="Gilroy" w:cstheme="minorHAnsi"/>
          <w:sz w:val="18"/>
          <w:szCs w:val="18"/>
        </w:rPr>
        <w:t xml:space="preserve"> Centre for Democracy and Technology et. al</w:t>
      </w:r>
      <w:r w:rsidR="000771FF" w:rsidRPr="00A272D8">
        <w:rPr>
          <w:rFonts w:ascii="Gilroy" w:hAnsi="Gilroy" w:cstheme="minorHAnsi"/>
          <w:sz w:val="18"/>
          <w:szCs w:val="18"/>
        </w:rPr>
        <w:t>,</w:t>
      </w:r>
      <w:r w:rsidR="00FB0736" w:rsidRPr="00A272D8">
        <w:rPr>
          <w:rFonts w:ascii="Gilroy" w:hAnsi="Gilroy" w:cstheme="minorHAnsi"/>
          <w:sz w:val="18"/>
          <w:szCs w:val="18"/>
        </w:rPr>
        <w:t xml:space="preserve"> Letter to </w:t>
      </w:r>
      <w:proofErr w:type="spellStart"/>
      <w:r w:rsidR="00FB0736" w:rsidRPr="00A272D8">
        <w:rPr>
          <w:rFonts w:ascii="Gilroy" w:hAnsi="Gilroy" w:cstheme="minorHAnsi"/>
          <w:sz w:val="18"/>
          <w:szCs w:val="18"/>
        </w:rPr>
        <w:t>Nansi</w:t>
      </w:r>
      <w:proofErr w:type="spellEnd"/>
      <w:r w:rsidR="00FB0736" w:rsidRPr="00A272D8">
        <w:rPr>
          <w:rFonts w:ascii="Gilroy" w:hAnsi="Gilroy" w:cstheme="minorHAnsi"/>
          <w:sz w:val="18"/>
          <w:szCs w:val="18"/>
        </w:rPr>
        <w:t xml:space="preserve"> Pelosi</w:t>
      </w:r>
      <w:r w:rsidR="000771FF" w:rsidRPr="00A272D8">
        <w:rPr>
          <w:rFonts w:ascii="Gilroy" w:hAnsi="Gilroy" w:cstheme="minorHAnsi"/>
          <w:sz w:val="18"/>
          <w:szCs w:val="18"/>
        </w:rPr>
        <w:t xml:space="preserve">  (2022) </w:t>
      </w:r>
      <w:hyperlink r:id="rId43" w:history="1">
        <w:r w:rsidR="000771FF" w:rsidRPr="00A272D8">
          <w:rPr>
            <w:rStyle w:val="Hyperlink"/>
            <w:rFonts w:ascii="Gilroy" w:hAnsi="Gilroy" w:cstheme="minorHAnsi"/>
            <w:sz w:val="18"/>
            <w:szCs w:val="18"/>
          </w:rPr>
          <w:t>https://cdt.org/wp-content/uploads/2022/08/2022-08-25-ADPPA-Disability-Rights-Groups-Letter-to-Pelosi.pdf</w:t>
        </w:r>
      </w:hyperlink>
    </w:p>
  </w:footnote>
  <w:footnote w:id="54">
    <w:p w14:paraId="3F7E4AEB" w14:textId="70B83412" w:rsidR="00E604DC" w:rsidRPr="00A272D8" w:rsidRDefault="00E604DC" w:rsidP="00E604DC">
      <w:pPr>
        <w:pStyle w:val="FootnoteText"/>
        <w:rPr>
          <w:rFonts w:ascii="Gilroy" w:hAnsi="Gilroy" w:cstheme="minorHAnsi"/>
          <w:sz w:val="18"/>
          <w:szCs w:val="18"/>
        </w:rPr>
      </w:pPr>
      <w:r w:rsidRPr="00A272D8">
        <w:rPr>
          <w:rStyle w:val="FootnoteReference"/>
          <w:rFonts w:ascii="Gilroy" w:hAnsi="Gilroy" w:cstheme="minorHAnsi"/>
          <w:sz w:val="18"/>
          <w:szCs w:val="18"/>
        </w:rPr>
        <w:footnoteRef/>
      </w:r>
      <w:r w:rsidRPr="00A272D8">
        <w:rPr>
          <w:rFonts w:ascii="Gilroy" w:hAnsi="Gilroy" w:cstheme="minorHAnsi"/>
          <w:sz w:val="18"/>
          <w:szCs w:val="18"/>
        </w:rPr>
        <w:t xml:space="preserve"> Stanislaw </w:t>
      </w:r>
      <w:proofErr w:type="spellStart"/>
      <w:proofErr w:type="gramStart"/>
      <w:r w:rsidRPr="00A272D8">
        <w:rPr>
          <w:rFonts w:ascii="Gilroy" w:hAnsi="Gilroy" w:cstheme="minorHAnsi"/>
          <w:sz w:val="18"/>
          <w:szCs w:val="18"/>
        </w:rPr>
        <w:t>Piasecki</w:t>
      </w:r>
      <w:proofErr w:type="spellEnd"/>
      <w:r w:rsidRPr="00A272D8">
        <w:rPr>
          <w:rFonts w:ascii="Gilroy" w:hAnsi="Gilroy" w:cstheme="minorHAnsi"/>
          <w:sz w:val="18"/>
          <w:szCs w:val="18"/>
        </w:rPr>
        <w:t xml:space="preserve"> </w:t>
      </w:r>
      <w:r w:rsidRPr="00A272D8">
        <w:rPr>
          <w:rStyle w:val="al-author-delim"/>
          <w:rFonts w:ascii="Gilroy" w:hAnsi="Gilroy" w:cstheme="minorHAnsi"/>
          <w:sz w:val="18"/>
          <w:szCs w:val="18"/>
        </w:rPr>
        <w:t>,</w:t>
      </w:r>
      <w:proofErr w:type="gramEnd"/>
      <w:r w:rsidRPr="00A272D8">
        <w:rPr>
          <w:rStyle w:val="al-author-delim"/>
          <w:rFonts w:ascii="Gilroy" w:hAnsi="Gilroy" w:cstheme="minorHAnsi"/>
          <w:sz w:val="18"/>
          <w:szCs w:val="18"/>
        </w:rPr>
        <w:t xml:space="preserve"> </w:t>
      </w:r>
      <w:proofErr w:type="spellStart"/>
      <w:r w:rsidRPr="00A272D8">
        <w:rPr>
          <w:rFonts w:ascii="Gilroy" w:hAnsi="Gilroy" w:cstheme="minorHAnsi"/>
          <w:sz w:val="18"/>
          <w:szCs w:val="18"/>
        </w:rPr>
        <w:t>Jiahong</w:t>
      </w:r>
      <w:proofErr w:type="spellEnd"/>
      <w:r w:rsidRPr="00A272D8">
        <w:rPr>
          <w:rFonts w:ascii="Gilroy" w:hAnsi="Gilroy" w:cstheme="minorHAnsi"/>
          <w:sz w:val="18"/>
          <w:szCs w:val="18"/>
        </w:rPr>
        <w:t xml:space="preserve"> Chen “Complying with the GDPR when vulnerable people use smart devices”, </w:t>
      </w:r>
      <w:r w:rsidRPr="00A272D8">
        <w:rPr>
          <w:rStyle w:val="Emphasis"/>
          <w:rFonts w:ascii="Gilroy" w:hAnsi="Gilroy" w:cstheme="minorHAnsi"/>
          <w:sz w:val="18"/>
          <w:szCs w:val="18"/>
        </w:rPr>
        <w:t>International Data Privacy Law</w:t>
      </w:r>
      <w:r w:rsidRPr="00A272D8">
        <w:rPr>
          <w:rFonts w:ascii="Gilroy" w:hAnsi="Gilroy" w:cstheme="minorHAnsi"/>
          <w:sz w:val="18"/>
          <w:szCs w:val="18"/>
        </w:rPr>
        <w:t xml:space="preserve">, Volume 12, Issue 2, Pages 113–131, </w:t>
      </w:r>
      <w:r w:rsidR="008D2A29" w:rsidRPr="00A272D8">
        <w:rPr>
          <w:rFonts w:ascii="Gilroy" w:hAnsi="Gilroy" w:cstheme="minorHAnsi"/>
          <w:sz w:val="18"/>
          <w:szCs w:val="18"/>
        </w:rPr>
        <w:t xml:space="preserve"> (May 2022) </w:t>
      </w:r>
      <w:hyperlink r:id="rId44" w:history="1">
        <w:r w:rsidR="008D2A29" w:rsidRPr="00A272D8">
          <w:rPr>
            <w:rStyle w:val="Hyperlink"/>
            <w:rFonts w:ascii="Gilroy" w:hAnsi="Gilroy" w:cstheme="minorHAnsi"/>
            <w:sz w:val="18"/>
            <w:szCs w:val="18"/>
          </w:rPr>
          <w:t>https://doi.org/10.1093/idpl/ipac001</w:t>
        </w:r>
      </w:hyperlink>
    </w:p>
  </w:footnote>
  <w:footnote w:id="55">
    <w:p w14:paraId="2348E107" w14:textId="7909E337" w:rsidR="00246BBF" w:rsidRPr="00A272D8" w:rsidRDefault="00246BBF">
      <w:pPr>
        <w:pStyle w:val="FootnoteText"/>
        <w:rPr>
          <w:rFonts w:ascii="Gilroy" w:hAnsi="Gilroy"/>
          <w:sz w:val="18"/>
          <w:szCs w:val="18"/>
          <w:lang w:val="fr-CH"/>
        </w:rPr>
      </w:pPr>
      <w:r w:rsidRPr="00A272D8">
        <w:rPr>
          <w:rStyle w:val="FootnoteReference"/>
          <w:rFonts w:ascii="Gilroy" w:hAnsi="Gilroy"/>
          <w:sz w:val="18"/>
          <w:szCs w:val="18"/>
        </w:rPr>
        <w:footnoteRef/>
      </w:r>
      <w:r w:rsidRPr="00A272D8">
        <w:rPr>
          <w:rFonts w:ascii="Gilroy" w:hAnsi="Gilroy"/>
          <w:sz w:val="18"/>
          <w:szCs w:val="18"/>
          <w:lang w:val="fr-CH"/>
        </w:rPr>
        <w:t xml:space="preserve"> </w:t>
      </w:r>
      <w:r w:rsidRPr="00A272D8">
        <w:rPr>
          <w:rFonts w:ascii="Gilroy" w:eastAsia="Times New Roman" w:hAnsi="Gilroy" w:cs="Times New Roman"/>
          <w:sz w:val="18"/>
          <w:szCs w:val="18"/>
          <w:lang w:val="fr-CH" w:eastAsia="en-GB"/>
        </w:rPr>
        <w:t>Convention 108, Article 5(4)(b</w:t>
      </w:r>
      <w:proofErr w:type="gramStart"/>
      <w:r w:rsidRPr="00A272D8">
        <w:rPr>
          <w:rFonts w:ascii="Gilroy" w:eastAsia="Times New Roman" w:hAnsi="Gilroy" w:cs="Times New Roman"/>
          <w:sz w:val="18"/>
          <w:szCs w:val="18"/>
          <w:lang w:val="fr-CH" w:eastAsia="en-GB"/>
        </w:rPr>
        <w:t>);</w:t>
      </w:r>
      <w:proofErr w:type="gramEnd"/>
      <w:r w:rsidRPr="00A272D8">
        <w:rPr>
          <w:rFonts w:ascii="Gilroy" w:eastAsia="Times New Roman" w:hAnsi="Gilroy" w:cs="Times New Roman"/>
          <w:sz w:val="18"/>
          <w:szCs w:val="18"/>
          <w:lang w:val="fr-CH" w:eastAsia="en-GB"/>
        </w:rPr>
        <w:t xml:space="preserve"> </w:t>
      </w:r>
      <w:r w:rsidR="002958AC" w:rsidRPr="00A272D8">
        <w:rPr>
          <w:rFonts w:ascii="Gilroy" w:eastAsia="Times New Roman" w:hAnsi="Gilroy" w:cs="Times New Roman"/>
          <w:sz w:val="18"/>
          <w:szCs w:val="18"/>
          <w:lang w:val="fr-CH" w:eastAsia="en-GB"/>
        </w:rPr>
        <w:t xml:space="preserve">EU </w:t>
      </w:r>
      <w:r w:rsidRPr="00A272D8">
        <w:rPr>
          <w:rFonts w:ascii="Gilroy" w:eastAsia="Times New Roman" w:hAnsi="Gilroy" w:cs="Times New Roman"/>
          <w:sz w:val="18"/>
          <w:szCs w:val="18"/>
          <w:lang w:val="fr-CH" w:eastAsia="en-GB"/>
        </w:rPr>
        <w:t>GDPR, Article 5(1)(b).</w:t>
      </w:r>
    </w:p>
  </w:footnote>
  <w:footnote w:id="56">
    <w:p w14:paraId="499C4182" w14:textId="77777777" w:rsidR="00B84F0E" w:rsidRPr="00A272D8" w:rsidRDefault="00B84F0E" w:rsidP="00B84F0E">
      <w:pPr>
        <w:pStyle w:val="FootnoteText"/>
        <w:rPr>
          <w:rFonts w:ascii="Gilroy" w:hAnsi="Gilroy"/>
          <w:sz w:val="18"/>
          <w:szCs w:val="18"/>
          <w:lang w:val="fr-CH"/>
        </w:rPr>
      </w:pPr>
      <w:r w:rsidRPr="00A272D8">
        <w:rPr>
          <w:rStyle w:val="FootnoteReference"/>
          <w:rFonts w:ascii="Gilroy" w:hAnsi="Gilroy"/>
          <w:sz w:val="18"/>
          <w:szCs w:val="18"/>
        </w:rPr>
        <w:footnoteRef/>
      </w:r>
      <w:r w:rsidRPr="00A272D8">
        <w:rPr>
          <w:rFonts w:ascii="Gilroy" w:hAnsi="Gilroy"/>
          <w:sz w:val="18"/>
          <w:szCs w:val="18"/>
          <w:lang w:val="fr-CH"/>
        </w:rPr>
        <w:t xml:space="preserve"> </w:t>
      </w:r>
      <w:r w:rsidRPr="00A272D8">
        <w:rPr>
          <w:rFonts w:ascii="Gilroy" w:hAnsi="Gilroy"/>
          <w:sz w:val="18"/>
          <w:szCs w:val="18"/>
        </w:rPr>
        <w:t>CRPD, Article 31.</w:t>
      </w:r>
    </w:p>
  </w:footnote>
  <w:footnote w:id="57">
    <w:p w14:paraId="48C7A337" w14:textId="6C7CEC13" w:rsidR="002958AC" w:rsidRPr="00A272D8" w:rsidRDefault="002958AC">
      <w:pPr>
        <w:pStyle w:val="FootnoteText"/>
        <w:rPr>
          <w:rFonts w:ascii="Gilroy" w:hAnsi="Gilroy"/>
          <w:sz w:val="18"/>
          <w:szCs w:val="18"/>
          <w:lang w:val="fr-CH"/>
        </w:rPr>
      </w:pPr>
      <w:r w:rsidRPr="00A272D8">
        <w:rPr>
          <w:rStyle w:val="FootnoteReference"/>
          <w:rFonts w:ascii="Gilroy" w:hAnsi="Gilroy"/>
          <w:sz w:val="18"/>
          <w:szCs w:val="18"/>
        </w:rPr>
        <w:footnoteRef/>
      </w:r>
      <w:r w:rsidRPr="00A272D8">
        <w:rPr>
          <w:rFonts w:ascii="Gilroy" w:hAnsi="Gilroy"/>
          <w:sz w:val="18"/>
          <w:szCs w:val="18"/>
          <w:lang w:val="fr-CH"/>
        </w:rPr>
        <w:t xml:space="preserve"> Convention 108</w:t>
      </w:r>
      <w:r w:rsidR="0044545E">
        <w:rPr>
          <w:rFonts w:ascii="Gilroy" w:hAnsi="Gilroy"/>
          <w:sz w:val="18"/>
          <w:szCs w:val="18"/>
          <w:lang w:val="fr-CH"/>
        </w:rPr>
        <w:t>+</w:t>
      </w:r>
      <w:r w:rsidRPr="00A272D8">
        <w:rPr>
          <w:rFonts w:ascii="Gilroy" w:hAnsi="Gilroy"/>
          <w:sz w:val="18"/>
          <w:szCs w:val="18"/>
          <w:lang w:val="fr-CH"/>
        </w:rPr>
        <w:t>, Article 5(2).</w:t>
      </w:r>
    </w:p>
  </w:footnote>
  <w:footnote w:id="58">
    <w:p w14:paraId="0FF8BE0F" w14:textId="0F79963B" w:rsidR="002958AC" w:rsidRPr="00A272D8" w:rsidRDefault="002958AC">
      <w:pPr>
        <w:pStyle w:val="FootnoteText"/>
        <w:rPr>
          <w:rFonts w:ascii="Gilroy" w:hAnsi="Gilroy"/>
          <w:sz w:val="18"/>
          <w:szCs w:val="18"/>
          <w:lang w:val="fr-CH"/>
        </w:rPr>
      </w:pPr>
      <w:r w:rsidRPr="00A272D8">
        <w:rPr>
          <w:rStyle w:val="FootnoteReference"/>
          <w:rFonts w:ascii="Gilroy" w:hAnsi="Gilroy"/>
          <w:sz w:val="18"/>
          <w:szCs w:val="18"/>
        </w:rPr>
        <w:footnoteRef/>
      </w:r>
      <w:r w:rsidRPr="00A272D8">
        <w:rPr>
          <w:rFonts w:ascii="Gilroy" w:hAnsi="Gilroy"/>
          <w:sz w:val="18"/>
          <w:szCs w:val="18"/>
          <w:lang w:val="fr-CH"/>
        </w:rPr>
        <w:t xml:space="preserve"> </w:t>
      </w:r>
      <w:r w:rsidRPr="00A272D8">
        <w:rPr>
          <w:rFonts w:ascii="Gilroy" w:hAnsi="Gilroy"/>
          <w:sz w:val="18"/>
          <w:szCs w:val="18"/>
        </w:rPr>
        <w:t>Convention 108</w:t>
      </w:r>
      <w:r w:rsidR="0044545E">
        <w:rPr>
          <w:rFonts w:ascii="Gilroy" w:hAnsi="Gilroy"/>
          <w:sz w:val="18"/>
          <w:szCs w:val="18"/>
        </w:rPr>
        <w:t>+</w:t>
      </w:r>
      <w:r w:rsidRPr="00A272D8">
        <w:rPr>
          <w:rFonts w:ascii="Gilroy" w:hAnsi="Gilroy"/>
          <w:sz w:val="18"/>
          <w:szCs w:val="18"/>
        </w:rPr>
        <w:t xml:space="preserve">, Explanatory </w:t>
      </w:r>
      <w:r w:rsidRPr="00A272D8">
        <w:rPr>
          <w:rFonts w:ascii="Gilroy" w:hAnsi="Gilroy"/>
          <w:sz w:val="18"/>
          <w:szCs w:val="18"/>
          <w:lang w:val="fr-CH"/>
        </w:rPr>
        <w:t>Report</w:t>
      </w:r>
      <w:r w:rsidRPr="00A272D8">
        <w:rPr>
          <w:rFonts w:ascii="Gilroy" w:hAnsi="Gilroy"/>
          <w:sz w:val="18"/>
          <w:szCs w:val="18"/>
        </w:rPr>
        <w:t xml:space="preserve">, </w:t>
      </w:r>
      <w:r w:rsidRPr="00A272D8">
        <w:rPr>
          <w:rFonts w:ascii="Gilroy" w:hAnsi="Gilroy"/>
          <w:sz w:val="18"/>
          <w:szCs w:val="18"/>
          <w:lang w:val="fr-CH"/>
        </w:rPr>
        <w:t xml:space="preserve">para. 46. </w:t>
      </w:r>
      <w:r w:rsidRPr="00A272D8">
        <w:rPr>
          <w:rFonts w:ascii="Gilroy" w:hAnsi="Gilroy"/>
          <w:sz w:val="18"/>
          <w:szCs w:val="18"/>
        </w:rPr>
        <w:t xml:space="preserve">See also </w:t>
      </w:r>
      <w:r w:rsidRPr="00A272D8">
        <w:rPr>
          <w:rFonts w:ascii="Gilroy" w:hAnsi="Gilroy"/>
          <w:sz w:val="18"/>
          <w:szCs w:val="18"/>
          <w:lang w:val="fr-CH"/>
        </w:rPr>
        <w:t>EU GDPR, Article 6.</w:t>
      </w:r>
    </w:p>
  </w:footnote>
  <w:footnote w:id="59">
    <w:p w14:paraId="2EB4681D" w14:textId="3CD5E9E3" w:rsidR="002958AC" w:rsidRPr="00A272D8" w:rsidRDefault="002958AC">
      <w:pPr>
        <w:pStyle w:val="FootnoteText"/>
        <w:rPr>
          <w:rFonts w:ascii="Gilroy" w:hAnsi="Gilroy"/>
          <w:sz w:val="18"/>
          <w:szCs w:val="18"/>
          <w:lang w:val="fr-CH"/>
        </w:rPr>
      </w:pPr>
      <w:r w:rsidRPr="00A272D8">
        <w:rPr>
          <w:rStyle w:val="FootnoteReference"/>
          <w:rFonts w:ascii="Gilroy" w:hAnsi="Gilroy"/>
          <w:sz w:val="18"/>
          <w:szCs w:val="18"/>
        </w:rPr>
        <w:footnoteRef/>
      </w:r>
      <w:r w:rsidRPr="00A272D8">
        <w:rPr>
          <w:rFonts w:ascii="Gilroy" w:hAnsi="Gilroy"/>
          <w:sz w:val="18"/>
          <w:szCs w:val="18"/>
          <w:lang w:val="fr-CH"/>
        </w:rPr>
        <w:t xml:space="preserve"> </w:t>
      </w:r>
      <w:r w:rsidR="00A272D8" w:rsidRPr="00A272D8">
        <w:rPr>
          <w:rFonts w:ascii="Gilroy" w:hAnsi="Gilroy"/>
          <w:sz w:val="18"/>
          <w:szCs w:val="18"/>
          <w:lang w:val="fr-CH"/>
        </w:rPr>
        <w:t>GDPR</w:t>
      </w:r>
      <w:r w:rsidRPr="00A272D8">
        <w:rPr>
          <w:rFonts w:ascii="Gilroy" w:hAnsi="Gilroy"/>
          <w:sz w:val="18"/>
          <w:szCs w:val="18"/>
          <w:lang w:val="fr-CH"/>
        </w:rPr>
        <w:t>, Article 9.</w:t>
      </w:r>
    </w:p>
  </w:footnote>
  <w:footnote w:id="60">
    <w:p w14:paraId="10A353EA" w14:textId="494A22A1" w:rsidR="002958AC" w:rsidRPr="00A272D8" w:rsidRDefault="002958AC">
      <w:pPr>
        <w:pStyle w:val="FootnoteText"/>
        <w:rPr>
          <w:rFonts w:ascii="Gilroy" w:hAnsi="Gilroy"/>
          <w:sz w:val="18"/>
          <w:szCs w:val="18"/>
          <w:lang w:val="fr-CH"/>
        </w:rPr>
      </w:pPr>
      <w:r w:rsidRPr="00A272D8">
        <w:rPr>
          <w:rStyle w:val="FootnoteReference"/>
          <w:rFonts w:ascii="Gilroy" w:hAnsi="Gilroy"/>
          <w:sz w:val="18"/>
          <w:szCs w:val="18"/>
        </w:rPr>
        <w:footnoteRef/>
      </w:r>
      <w:r w:rsidRPr="00A272D8">
        <w:rPr>
          <w:rFonts w:ascii="Gilroy" w:hAnsi="Gilroy"/>
          <w:sz w:val="18"/>
          <w:szCs w:val="18"/>
          <w:lang w:val="fr-CH"/>
        </w:rPr>
        <w:t xml:space="preserve"> Ibid.</w:t>
      </w:r>
    </w:p>
  </w:footnote>
  <w:footnote w:id="61">
    <w:p w14:paraId="645E7F2C" w14:textId="46851CB1" w:rsidR="002958AC" w:rsidRPr="00A272D8" w:rsidRDefault="002958AC">
      <w:pPr>
        <w:pStyle w:val="FootnoteText"/>
        <w:rPr>
          <w:rFonts w:ascii="Gilroy" w:hAnsi="Gilroy"/>
          <w:lang w:val="fr-CH"/>
        </w:rPr>
      </w:pPr>
      <w:r w:rsidRPr="00A272D8">
        <w:rPr>
          <w:rStyle w:val="FootnoteReference"/>
          <w:rFonts w:ascii="Gilroy" w:hAnsi="Gilroy"/>
          <w:sz w:val="18"/>
          <w:szCs w:val="18"/>
        </w:rPr>
        <w:footnoteRef/>
      </w:r>
      <w:r w:rsidRPr="00A272D8">
        <w:rPr>
          <w:rFonts w:ascii="Gilroy" w:hAnsi="Gilroy"/>
          <w:sz w:val="18"/>
          <w:szCs w:val="18"/>
          <w:lang w:val="fr-CH"/>
        </w:rPr>
        <w:t xml:space="preserve"> Convention 108</w:t>
      </w:r>
      <w:r w:rsidR="0044545E">
        <w:rPr>
          <w:rFonts w:ascii="Gilroy" w:hAnsi="Gilroy"/>
          <w:sz w:val="18"/>
          <w:szCs w:val="18"/>
          <w:lang w:val="fr-CH"/>
        </w:rPr>
        <w:t>+</w:t>
      </w:r>
      <w:r w:rsidRPr="00A272D8">
        <w:rPr>
          <w:rFonts w:ascii="Gilroy" w:hAnsi="Gilroy"/>
          <w:sz w:val="18"/>
          <w:szCs w:val="18"/>
          <w:lang w:val="fr-CH"/>
        </w:rPr>
        <w:t>, Article 8.</w:t>
      </w:r>
    </w:p>
  </w:footnote>
  <w:footnote w:id="62">
    <w:p w14:paraId="32A88CA9" w14:textId="58D3540B" w:rsidR="002958AC" w:rsidRPr="00A272D8" w:rsidRDefault="002958AC">
      <w:pPr>
        <w:pStyle w:val="FootnoteText"/>
        <w:rPr>
          <w:rFonts w:ascii="Gilroy" w:hAnsi="Gilroy"/>
          <w:sz w:val="18"/>
          <w:szCs w:val="18"/>
          <w:lang w:val="fr-CH"/>
        </w:rPr>
      </w:pPr>
      <w:r w:rsidRPr="00A272D8">
        <w:rPr>
          <w:rStyle w:val="FootnoteReference"/>
          <w:rFonts w:ascii="Gilroy" w:hAnsi="Gilroy"/>
          <w:sz w:val="18"/>
          <w:szCs w:val="18"/>
        </w:rPr>
        <w:footnoteRef/>
      </w:r>
      <w:r w:rsidRPr="00A272D8">
        <w:rPr>
          <w:rFonts w:ascii="Gilroy" w:hAnsi="Gilroy"/>
          <w:sz w:val="18"/>
          <w:szCs w:val="18"/>
          <w:lang w:val="fr-CH"/>
        </w:rPr>
        <w:t xml:space="preserve"> CRPD, Article 25(d).</w:t>
      </w:r>
    </w:p>
  </w:footnote>
  <w:footnote w:id="63">
    <w:p w14:paraId="30CDB68B" w14:textId="06EC163B" w:rsidR="00B64D78" w:rsidRPr="00A272D8" w:rsidRDefault="00B64D78" w:rsidP="00B64D78">
      <w:pPr>
        <w:pStyle w:val="FootnoteText"/>
        <w:rPr>
          <w:rFonts w:ascii="Gilroy" w:hAnsi="Gilroy"/>
          <w:sz w:val="18"/>
          <w:szCs w:val="18"/>
        </w:rPr>
      </w:pPr>
      <w:r w:rsidRPr="00A272D8">
        <w:rPr>
          <w:rStyle w:val="FootnoteReference"/>
          <w:rFonts w:ascii="Gilroy" w:hAnsi="Gilroy"/>
          <w:sz w:val="18"/>
          <w:szCs w:val="18"/>
        </w:rPr>
        <w:footnoteRef/>
      </w:r>
      <w:r w:rsidRPr="00A272D8">
        <w:rPr>
          <w:rFonts w:ascii="Gilroy" w:hAnsi="Gilroy"/>
          <w:sz w:val="18"/>
          <w:szCs w:val="18"/>
        </w:rPr>
        <w:t xml:space="preserve"> Application of the UN Guiding Principles to the technology industry was reaffirmed by the UN High Commissioner for Human Rights in the </w:t>
      </w:r>
      <w:r w:rsidR="008D2A29" w:rsidRPr="00A272D8">
        <w:rPr>
          <w:rFonts w:ascii="Gilroy" w:hAnsi="Gilroy"/>
          <w:sz w:val="18"/>
          <w:szCs w:val="18"/>
        </w:rPr>
        <w:t xml:space="preserve">OHCHR’s </w:t>
      </w:r>
      <w:r w:rsidRPr="00A272D8">
        <w:rPr>
          <w:rFonts w:ascii="Gilroy" w:hAnsi="Gilroy"/>
          <w:sz w:val="18"/>
          <w:szCs w:val="18"/>
        </w:rPr>
        <w:t>B-Tech Foundational Paper on The UN Guiding Principles in the Age of Technology,</w:t>
      </w:r>
      <w:r w:rsidR="008D2A29" w:rsidRPr="00A272D8">
        <w:rPr>
          <w:rFonts w:ascii="Gilroy" w:hAnsi="Gilroy"/>
          <w:sz w:val="18"/>
          <w:szCs w:val="18"/>
        </w:rPr>
        <w:t xml:space="preserve"> </w:t>
      </w:r>
      <w:hyperlink r:id="rId45" w:history="1">
        <w:r w:rsidR="008D2A29" w:rsidRPr="00A272D8">
          <w:rPr>
            <w:rStyle w:val="Hyperlink"/>
            <w:rFonts w:ascii="Gilroy" w:hAnsi="Gilroy"/>
            <w:sz w:val="18"/>
            <w:szCs w:val="18"/>
          </w:rPr>
          <w:t>https://www.ohchr.org/Documents/Issues/Business/B-Tech/introduction-ungp-age-technology.pdf</w:t>
        </w:r>
      </w:hyperlink>
    </w:p>
  </w:footnote>
  <w:footnote w:id="64">
    <w:p w14:paraId="6E2BF205" w14:textId="3ADA9BF0" w:rsidR="00B64D78" w:rsidRPr="00A272D8" w:rsidRDefault="00B64D78" w:rsidP="00B64D78">
      <w:pPr>
        <w:pStyle w:val="FootnoteText"/>
        <w:rPr>
          <w:rFonts w:ascii="Gilroy" w:hAnsi="Gilroy"/>
        </w:rPr>
      </w:pPr>
      <w:r w:rsidRPr="00A272D8">
        <w:rPr>
          <w:rStyle w:val="FootnoteReference"/>
          <w:rFonts w:ascii="Gilroy" w:hAnsi="Gilroy"/>
          <w:sz w:val="18"/>
          <w:szCs w:val="18"/>
        </w:rPr>
        <w:footnoteRef/>
      </w:r>
      <w:r w:rsidRPr="00A272D8">
        <w:rPr>
          <w:rFonts w:ascii="Gilroy" w:hAnsi="Gilroy"/>
          <w:sz w:val="18"/>
          <w:szCs w:val="18"/>
        </w:rPr>
        <w:t xml:space="preserve"> UN Human Rights Council Resolution</w:t>
      </w:r>
      <w:r w:rsidR="008D2A29" w:rsidRPr="00A272D8">
        <w:rPr>
          <w:rFonts w:ascii="Gilroy" w:hAnsi="Gilroy"/>
          <w:sz w:val="18"/>
          <w:szCs w:val="18"/>
        </w:rPr>
        <w:t>,</w:t>
      </w:r>
      <w:r w:rsidRPr="00A272D8">
        <w:rPr>
          <w:rFonts w:ascii="Gilroy" w:hAnsi="Gilroy"/>
          <w:sz w:val="18"/>
          <w:szCs w:val="18"/>
        </w:rPr>
        <w:t xml:space="preserve"> </w:t>
      </w:r>
      <w:r w:rsidR="0045417E" w:rsidRPr="00A272D8">
        <w:rPr>
          <w:rFonts w:ascii="Gilroy" w:hAnsi="Gilroy"/>
          <w:sz w:val="18"/>
          <w:szCs w:val="18"/>
        </w:rPr>
        <w:t>“</w:t>
      </w:r>
      <w:r w:rsidRPr="00A272D8">
        <w:rPr>
          <w:rFonts w:ascii="Gilroy" w:hAnsi="Gilroy"/>
          <w:sz w:val="18"/>
          <w:szCs w:val="18"/>
        </w:rPr>
        <w:t>Human Rights and transnational corporations and other business</w:t>
      </w:r>
      <w:r w:rsidR="0045417E" w:rsidRPr="00A272D8">
        <w:rPr>
          <w:rFonts w:ascii="Gilroy" w:hAnsi="Gilroy"/>
          <w:sz w:val="18"/>
          <w:szCs w:val="18"/>
        </w:rPr>
        <w:t xml:space="preserve"> enterprises</w:t>
      </w:r>
      <w:r w:rsidR="008D2A29" w:rsidRPr="00A272D8">
        <w:rPr>
          <w:rFonts w:ascii="Gilroy" w:hAnsi="Gilroy"/>
          <w:sz w:val="18"/>
          <w:szCs w:val="18"/>
        </w:rPr>
        <w:t xml:space="preserve">” (2011) </w:t>
      </w:r>
      <w:hyperlink r:id="rId46" w:history="1">
        <w:r w:rsidR="008D2A29" w:rsidRPr="00A272D8">
          <w:rPr>
            <w:rStyle w:val="Hyperlink"/>
            <w:rFonts w:ascii="Gilroy" w:hAnsi="Gilroy"/>
            <w:sz w:val="18"/>
            <w:szCs w:val="18"/>
          </w:rPr>
          <w:t>https://undocs.org/en/A/HRC/RES/17/4</w:t>
        </w:r>
      </w:hyperlink>
    </w:p>
  </w:footnote>
  <w:footnote w:id="65">
    <w:p w14:paraId="4195B2C7" w14:textId="71C9B82A" w:rsidR="00314E8D" w:rsidRPr="00A272D8" w:rsidRDefault="00314E8D">
      <w:pPr>
        <w:pStyle w:val="FootnoteText"/>
        <w:rPr>
          <w:rFonts w:ascii="Gilroy" w:hAnsi="Gilroy"/>
          <w:sz w:val="18"/>
          <w:szCs w:val="18"/>
        </w:rPr>
      </w:pPr>
      <w:r w:rsidRPr="00A272D8">
        <w:rPr>
          <w:rStyle w:val="FootnoteReference"/>
          <w:rFonts w:ascii="Gilroy" w:hAnsi="Gilroy"/>
          <w:sz w:val="18"/>
          <w:szCs w:val="18"/>
        </w:rPr>
        <w:footnoteRef/>
      </w:r>
      <w:r w:rsidRPr="00A272D8">
        <w:rPr>
          <w:rFonts w:ascii="Gilroy" w:hAnsi="Gilroy"/>
          <w:sz w:val="18"/>
          <w:szCs w:val="18"/>
        </w:rPr>
        <w:t xml:space="preserve"> Privacy International</w:t>
      </w:r>
      <w:r w:rsidR="008D2A29" w:rsidRPr="00A272D8">
        <w:rPr>
          <w:rFonts w:ascii="Gilroy" w:hAnsi="Gilroy"/>
          <w:sz w:val="18"/>
          <w:szCs w:val="18"/>
        </w:rPr>
        <w:t xml:space="preserve">, </w:t>
      </w:r>
      <w:r w:rsidRPr="00A272D8">
        <w:rPr>
          <w:rFonts w:ascii="Gilroy" w:hAnsi="Gilroy"/>
          <w:sz w:val="18"/>
          <w:szCs w:val="18"/>
        </w:rPr>
        <w:t>“Safeguards for Public-Private Surveillance Partnerships</w:t>
      </w:r>
      <w:r w:rsidR="008D2A29" w:rsidRPr="00A272D8">
        <w:rPr>
          <w:rFonts w:ascii="Gilroy" w:hAnsi="Gilroy"/>
          <w:sz w:val="18"/>
          <w:szCs w:val="18"/>
        </w:rPr>
        <w:t>” (2021</w:t>
      </w:r>
      <w:proofErr w:type="gramStart"/>
      <w:r w:rsidR="008D2A29" w:rsidRPr="00A272D8">
        <w:rPr>
          <w:rFonts w:ascii="Gilroy" w:hAnsi="Gilroy"/>
          <w:sz w:val="18"/>
          <w:szCs w:val="18"/>
        </w:rPr>
        <w:t xml:space="preserve">) </w:t>
      </w:r>
      <w:r w:rsidRPr="00A272D8">
        <w:rPr>
          <w:rFonts w:ascii="Gilroy" w:hAnsi="Gilroy"/>
          <w:sz w:val="18"/>
          <w:szCs w:val="18"/>
        </w:rPr>
        <w:t xml:space="preserve"> https://privacyinternational.org/sites/default/files/2021-12/PI</w:t>
      </w:r>
      <w:proofErr w:type="gramEnd"/>
      <w:r w:rsidRPr="00A272D8">
        <w:rPr>
          <w:rFonts w:ascii="Gilroy" w:hAnsi="Gilroy"/>
          <w:sz w:val="18"/>
          <w:szCs w:val="18"/>
        </w:rPr>
        <w:t xml:space="preserve"> PPP Safeguards [FINAL DRAFT 07.12.21].pdf</w:t>
      </w:r>
      <w:r w:rsidR="008D2A29" w:rsidRPr="00A272D8">
        <w:rPr>
          <w:rFonts w:ascii="Gilroy" w:hAnsi="Gilroy"/>
          <w:sz w:val="18"/>
          <w:szCs w:val="18"/>
        </w:rPr>
        <w:t xml:space="preserve"> </w:t>
      </w:r>
    </w:p>
  </w:footnote>
  <w:footnote w:id="66">
    <w:p w14:paraId="26F09664" w14:textId="4D6E6B4E" w:rsidR="00B64D78" w:rsidRPr="00A272D8" w:rsidRDefault="00B64D78" w:rsidP="00B64D78">
      <w:pPr>
        <w:pStyle w:val="FootnoteText"/>
        <w:rPr>
          <w:rFonts w:ascii="Gilroy" w:hAnsi="Gilroy"/>
          <w:b/>
          <w:bCs/>
          <w:sz w:val="18"/>
          <w:szCs w:val="18"/>
        </w:rPr>
      </w:pPr>
      <w:r w:rsidRPr="00A272D8">
        <w:rPr>
          <w:rStyle w:val="FootnoteReference"/>
          <w:rFonts w:ascii="Gilroy" w:hAnsi="Gilroy"/>
          <w:sz w:val="18"/>
          <w:szCs w:val="18"/>
        </w:rPr>
        <w:footnoteRef/>
      </w:r>
      <w:r w:rsidR="0045417E" w:rsidRPr="00A272D8">
        <w:rPr>
          <w:rFonts w:ascii="Gilroy" w:hAnsi="Gilroy"/>
          <w:sz w:val="18"/>
          <w:szCs w:val="18"/>
        </w:rPr>
        <w:t xml:space="preserve"> World Health Organization</w:t>
      </w:r>
      <w:r w:rsidR="008D2A29" w:rsidRPr="00A272D8">
        <w:rPr>
          <w:rFonts w:ascii="Gilroy" w:hAnsi="Gilroy"/>
          <w:sz w:val="18"/>
          <w:szCs w:val="18"/>
        </w:rPr>
        <w:t>,</w:t>
      </w:r>
      <w:r w:rsidR="0045417E" w:rsidRPr="00A272D8">
        <w:rPr>
          <w:rFonts w:ascii="Gilroy" w:hAnsi="Gilroy"/>
          <w:sz w:val="18"/>
          <w:szCs w:val="18"/>
        </w:rPr>
        <w:t xml:space="preserve"> “Assistive technology</w:t>
      </w:r>
      <w:r w:rsidR="008D2A29" w:rsidRPr="00A272D8">
        <w:rPr>
          <w:rFonts w:ascii="Gilroy" w:hAnsi="Gilroy"/>
          <w:sz w:val="18"/>
          <w:szCs w:val="18"/>
        </w:rPr>
        <w:t xml:space="preserve">” (2023) </w:t>
      </w:r>
      <w:hyperlink r:id="rId47" w:history="1">
        <w:r w:rsidR="0045417E" w:rsidRPr="00A272D8">
          <w:rPr>
            <w:rStyle w:val="Hyperlink"/>
            <w:rFonts w:ascii="Gilroy" w:hAnsi="Gilroy"/>
            <w:sz w:val="18"/>
            <w:szCs w:val="18"/>
          </w:rPr>
          <w:t>https://www.who.int/news-room/fact-sheets/detail/assistive-technology</w:t>
        </w:r>
      </w:hyperlink>
    </w:p>
  </w:footnote>
  <w:footnote w:id="67">
    <w:p w14:paraId="2FE83750" w14:textId="77777777" w:rsidR="0045417E" w:rsidRPr="00A272D8" w:rsidRDefault="00B64D78" w:rsidP="00B64D78">
      <w:pPr>
        <w:pStyle w:val="FootnoteText"/>
        <w:rPr>
          <w:rFonts w:ascii="Gilroy" w:hAnsi="Gilroy"/>
          <w:sz w:val="18"/>
          <w:szCs w:val="18"/>
        </w:rPr>
      </w:pPr>
      <w:r w:rsidRPr="00A272D8">
        <w:rPr>
          <w:rStyle w:val="FootnoteReference"/>
          <w:rFonts w:ascii="Gilroy" w:hAnsi="Gilroy"/>
          <w:sz w:val="18"/>
          <w:szCs w:val="18"/>
        </w:rPr>
        <w:footnoteRef/>
      </w:r>
      <w:r w:rsidRPr="00A272D8">
        <w:rPr>
          <w:rFonts w:ascii="Gilroy" w:hAnsi="Gilroy"/>
          <w:sz w:val="18"/>
          <w:szCs w:val="18"/>
        </w:rPr>
        <w:t xml:space="preserve"> PI’s informal conversations with representatives of Organisations of Persons with Disabilities, European Accessibility Summit </w:t>
      </w:r>
      <w:r w:rsidR="0045417E" w:rsidRPr="00A272D8">
        <w:rPr>
          <w:rFonts w:ascii="Gilroy" w:hAnsi="Gilroy"/>
          <w:sz w:val="18"/>
          <w:szCs w:val="18"/>
        </w:rPr>
        <w:t>2023.</w:t>
      </w:r>
    </w:p>
    <w:p w14:paraId="76C63572" w14:textId="3EFF3B87" w:rsidR="00B64D78" w:rsidRPr="00A272D8" w:rsidRDefault="0045417E" w:rsidP="00B64D78">
      <w:pPr>
        <w:pStyle w:val="FootnoteText"/>
        <w:rPr>
          <w:rFonts w:ascii="Gilroy" w:hAnsi="Gilroy"/>
          <w:sz w:val="18"/>
          <w:szCs w:val="18"/>
        </w:rPr>
      </w:pPr>
      <w:r w:rsidRPr="00A272D8">
        <w:rPr>
          <w:rFonts w:ascii="Gilroy" w:hAnsi="Gilroy"/>
          <w:sz w:val="18"/>
          <w:szCs w:val="18"/>
        </w:rPr>
        <w:t>See</w:t>
      </w:r>
      <w:r w:rsidR="008D2A29" w:rsidRPr="00A272D8">
        <w:rPr>
          <w:rFonts w:ascii="Gilroy" w:hAnsi="Gilroy"/>
          <w:sz w:val="18"/>
          <w:szCs w:val="18"/>
        </w:rPr>
        <w:t xml:space="preserve"> also</w:t>
      </w:r>
      <w:r w:rsidRPr="00A272D8">
        <w:rPr>
          <w:rFonts w:ascii="Gilroy" w:hAnsi="Gilroy"/>
          <w:sz w:val="18"/>
          <w:szCs w:val="18"/>
        </w:rPr>
        <w:t>: European Disability Forum</w:t>
      </w:r>
      <w:r w:rsidR="008D2A29" w:rsidRPr="00A272D8">
        <w:rPr>
          <w:rFonts w:ascii="Gilroy" w:hAnsi="Gilroy"/>
          <w:sz w:val="18"/>
          <w:szCs w:val="18"/>
        </w:rPr>
        <w:t>,</w:t>
      </w:r>
      <w:r w:rsidRPr="00A272D8">
        <w:rPr>
          <w:rFonts w:ascii="Gilroy" w:hAnsi="Gilroy"/>
          <w:sz w:val="18"/>
          <w:szCs w:val="18"/>
        </w:rPr>
        <w:t xml:space="preserve"> “European Accessibility Summit 2023</w:t>
      </w:r>
      <w:r w:rsidR="008D2A29" w:rsidRPr="00A272D8">
        <w:rPr>
          <w:rFonts w:ascii="Gilroy" w:hAnsi="Gilroy"/>
          <w:sz w:val="18"/>
          <w:szCs w:val="18"/>
        </w:rPr>
        <w:t xml:space="preserve">” (2023) </w:t>
      </w:r>
      <w:hyperlink r:id="rId48" w:history="1">
        <w:r w:rsidRPr="00A272D8">
          <w:rPr>
            <w:rStyle w:val="Hyperlink"/>
            <w:rFonts w:ascii="Gilroy" w:hAnsi="Gilroy"/>
            <w:sz w:val="18"/>
            <w:szCs w:val="18"/>
          </w:rPr>
          <w:t>https://www.edf-feph.org/events-slug/european-accessibility-summit-2023/</w:t>
        </w:r>
      </w:hyperlink>
    </w:p>
  </w:footnote>
  <w:footnote w:id="68">
    <w:p w14:paraId="09FFCA78" w14:textId="0E6BEC66" w:rsidR="00B64D78" w:rsidRPr="00A272D8" w:rsidRDefault="00B64D78" w:rsidP="00B64D78">
      <w:pPr>
        <w:pStyle w:val="FootnoteText"/>
        <w:rPr>
          <w:rFonts w:ascii="Gilroy" w:hAnsi="Gilroy"/>
          <w:sz w:val="18"/>
          <w:szCs w:val="18"/>
        </w:rPr>
      </w:pPr>
      <w:r w:rsidRPr="00A272D8">
        <w:rPr>
          <w:rStyle w:val="FootnoteReference"/>
          <w:rFonts w:ascii="Gilroy" w:hAnsi="Gilroy"/>
          <w:sz w:val="18"/>
          <w:szCs w:val="18"/>
        </w:rPr>
        <w:footnoteRef/>
      </w:r>
      <w:r w:rsidRPr="00A272D8">
        <w:rPr>
          <w:rFonts w:ascii="Gilroy" w:hAnsi="Gilroy"/>
          <w:sz w:val="18"/>
          <w:szCs w:val="18"/>
        </w:rPr>
        <w:t xml:space="preserve"> </w:t>
      </w:r>
      <w:r w:rsidR="0045417E" w:rsidRPr="00A272D8">
        <w:rPr>
          <w:rFonts w:ascii="Gilroy" w:hAnsi="Gilroy"/>
          <w:sz w:val="18"/>
          <w:szCs w:val="18"/>
        </w:rPr>
        <w:t>European Parliament</w:t>
      </w:r>
      <w:r w:rsidR="008D2A29" w:rsidRPr="00A272D8">
        <w:rPr>
          <w:rFonts w:ascii="Gilroy" w:hAnsi="Gilroy"/>
          <w:sz w:val="18"/>
          <w:szCs w:val="18"/>
        </w:rPr>
        <w:t xml:space="preserve">, </w:t>
      </w:r>
      <w:r w:rsidR="0045417E" w:rsidRPr="00A272D8">
        <w:rPr>
          <w:rFonts w:ascii="Gilroy" w:hAnsi="Gilroy"/>
          <w:sz w:val="18"/>
          <w:szCs w:val="18"/>
        </w:rPr>
        <w:t xml:space="preserve">“Directive (EU) 2019/882 of the European Parliament and of the Council of 17 April 2019 on the accessibility requirements for products and services (Text with EEA relevance)”, </w:t>
      </w:r>
      <w:r w:rsidRPr="00A272D8">
        <w:rPr>
          <w:rFonts w:ascii="Gilroy" w:hAnsi="Gilroy"/>
          <w:sz w:val="18"/>
          <w:szCs w:val="18"/>
        </w:rPr>
        <w:t>Annex 1, 2(k)</w:t>
      </w:r>
      <w:r w:rsidR="0045417E" w:rsidRPr="00A272D8">
        <w:rPr>
          <w:rFonts w:ascii="Gilroy" w:hAnsi="Gilroy"/>
          <w:sz w:val="18"/>
          <w:szCs w:val="18"/>
        </w:rPr>
        <w:t xml:space="preserve">, </w:t>
      </w:r>
      <w:r w:rsidR="008D2A29" w:rsidRPr="00A272D8">
        <w:rPr>
          <w:rFonts w:ascii="Gilroy" w:hAnsi="Gilroy"/>
          <w:sz w:val="18"/>
          <w:szCs w:val="18"/>
        </w:rPr>
        <w:t xml:space="preserve">(2019) </w:t>
      </w:r>
      <w:hyperlink r:id="rId49" w:history="1">
        <w:r w:rsidR="0045417E" w:rsidRPr="00A272D8">
          <w:rPr>
            <w:rStyle w:val="Hyperlink"/>
            <w:rFonts w:ascii="Gilroy" w:hAnsi="Gilroy"/>
            <w:sz w:val="18"/>
            <w:szCs w:val="18"/>
          </w:rPr>
          <w:t>https://eur-lex.europa.eu/legal-content/EN/TXT/?uri=CELEX%3A32019L0882</w:t>
        </w:r>
      </w:hyperlink>
    </w:p>
  </w:footnote>
  <w:footnote w:id="69">
    <w:p w14:paraId="0010095B" w14:textId="03144FDD" w:rsidR="004170BC" w:rsidRPr="00A272D8" w:rsidRDefault="004170BC">
      <w:pPr>
        <w:pStyle w:val="FootnoteText"/>
        <w:rPr>
          <w:rFonts w:ascii="Gilroy" w:hAnsi="Gilroy"/>
          <w:sz w:val="18"/>
          <w:szCs w:val="18"/>
        </w:rPr>
      </w:pPr>
      <w:r w:rsidRPr="00A272D8">
        <w:rPr>
          <w:rStyle w:val="FootnoteReference"/>
          <w:rFonts w:ascii="Gilroy" w:hAnsi="Gilroy"/>
          <w:sz w:val="18"/>
          <w:szCs w:val="18"/>
        </w:rPr>
        <w:footnoteRef/>
      </w:r>
      <w:r w:rsidRPr="00A272D8">
        <w:rPr>
          <w:rFonts w:ascii="Gilroy" w:hAnsi="Gilroy"/>
          <w:sz w:val="18"/>
          <w:szCs w:val="18"/>
        </w:rPr>
        <w:t xml:space="preserve"> European Parliamentary Research Service</w:t>
      </w:r>
      <w:r w:rsidR="008D2A29" w:rsidRPr="00A272D8">
        <w:rPr>
          <w:rFonts w:ascii="Gilroy" w:hAnsi="Gilroy"/>
          <w:sz w:val="18"/>
          <w:szCs w:val="18"/>
        </w:rPr>
        <w:t xml:space="preserve">, </w:t>
      </w:r>
      <w:r w:rsidRPr="00A272D8">
        <w:rPr>
          <w:rFonts w:ascii="Gilroy" w:hAnsi="Gilroy"/>
          <w:sz w:val="18"/>
          <w:szCs w:val="18"/>
        </w:rPr>
        <w:t>“Assistive Technologies for people with disabilities | Part IV: Legal and socio-ethical perspective”, p. 17</w:t>
      </w:r>
      <w:r w:rsidR="008D2A29" w:rsidRPr="00A272D8">
        <w:rPr>
          <w:rFonts w:ascii="Gilroy" w:hAnsi="Gilroy"/>
          <w:sz w:val="18"/>
          <w:szCs w:val="18"/>
        </w:rPr>
        <w:t xml:space="preserve"> (2018) </w:t>
      </w:r>
      <w:r w:rsidRPr="00A272D8">
        <w:rPr>
          <w:rFonts w:ascii="Gilroy" w:hAnsi="Gilroy"/>
          <w:sz w:val="18"/>
          <w:szCs w:val="18"/>
        </w:rPr>
        <w:t xml:space="preserve"> </w:t>
      </w:r>
      <w:hyperlink r:id="rId50" w:history="1">
        <w:r w:rsidR="008D2A29" w:rsidRPr="00A272D8">
          <w:rPr>
            <w:rStyle w:val="Hyperlink"/>
            <w:rFonts w:ascii="Gilroy" w:hAnsi="Gilroy"/>
            <w:sz w:val="18"/>
            <w:szCs w:val="18"/>
          </w:rPr>
          <w:t>https://www.europarl.europa.eu/RegData/etudes/IDAN/2018/603218/EPRS_IDA(2018)603218(ANN4)_EN.pdf</w:t>
        </w:r>
      </w:hyperlink>
    </w:p>
  </w:footnote>
  <w:footnote w:id="70">
    <w:p w14:paraId="138B9831" w14:textId="5AA3FE33" w:rsidR="004170BC" w:rsidRPr="00A272D8" w:rsidRDefault="004170BC">
      <w:pPr>
        <w:pStyle w:val="FootnoteText"/>
        <w:rPr>
          <w:rFonts w:ascii="Gilroy" w:hAnsi="Gilroy"/>
          <w:sz w:val="18"/>
          <w:szCs w:val="18"/>
        </w:rPr>
      </w:pPr>
      <w:r w:rsidRPr="00A272D8">
        <w:rPr>
          <w:rStyle w:val="FootnoteReference"/>
          <w:rFonts w:ascii="Gilroy" w:hAnsi="Gilroy"/>
          <w:sz w:val="18"/>
          <w:szCs w:val="18"/>
        </w:rPr>
        <w:footnoteRef/>
      </w:r>
      <w:r w:rsidRPr="00A272D8">
        <w:rPr>
          <w:rFonts w:ascii="Gilroy" w:hAnsi="Gilroy"/>
          <w:sz w:val="18"/>
          <w:szCs w:val="18"/>
        </w:rPr>
        <w:t xml:space="preserve"> Ibid.</w:t>
      </w:r>
    </w:p>
  </w:footnote>
  <w:footnote w:id="71">
    <w:p w14:paraId="3507054F" w14:textId="65E5C0E9" w:rsidR="00B64D78" w:rsidRPr="00A272D8" w:rsidRDefault="00B64D78" w:rsidP="0045417E">
      <w:pPr>
        <w:pStyle w:val="FootnoteText"/>
        <w:rPr>
          <w:rFonts w:ascii="Gilroy" w:hAnsi="Gilroy"/>
        </w:rPr>
      </w:pPr>
      <w:r w:rsidRPr="00A272D8">
        <w:rPr>
          <w:rStyle w:val="FootnoteReference"/>
          <w:rFonts w:ascii="Gilroy" w:hAnsi="Gilroy"/>
          <w:sz w:val="18"/>
          <w:szCs w:val="18"/>
        </w:rPr>
        <w:footnoteRef/>
      </w:r>
      <w:r w:rsidRPr="00A272D8">
        <w:rPr>
          <w:rFonts w:ascii="Gilroy" w:hAnsi="Gilroy"/>
          <w:sz w:val="18"/>
          <w:szCs w:val="18"/>
        </w:rPr>
        <w:t xml:space="preserve"> </w:t>
      </w:r>
      <w:r w:rsidR="004170BC" w:rsidRPr="00A272D8">
        <w:rPr>
          <w:rFonts w:ascii="Gilroy" w:hAnsi="Gilroy"/>
          <w:sz w:val="18"/>
          <w:szCs w:val="18"/>
        </w:rPr>
        <w:t>Ibid.</w:t>
      </w:r>
      <w:r w:rsidRPr="00A272D8">
        <w:rPr>
          <w:rFonts w:ascii="Gilroy" w:hAnsi="Gilroy"/>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8C47" w14:textId="4975A8A5" w:rsidR="365A1417" w:rsidRDefault="365A1417" w:rsidP="006138E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7E77"/>
    <w:multiLevelType w:val="hybridMultilevel"/>
    <w:tmpl w:val="7A9E7422"/>
    <w:lvl w:ilvl="0" w:tplc="545E2638">
      <w:start w:val="4"/>
      <w:numFmt w:val="bullet"/>
      <w:lvlText w:val="-"/>
      <w:lvlJc w:val="left"/>
      <w:pPr>
        <w:ind w:left="720" w:hanging="360"/>
      </w:pPr>
      <w:rPr>
        <w:rFonts w:ascii="Gilroy" w:eastAsia="Times New Roman" w:hAnsi="Gilroy"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905BC"/>
    <w:multiLevelType w:val="multilevel"/>
    <w:tmpl w:val="4282D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D7216"/>
    <w:multiLevelType w:val="multilevel"/>
    <w:tmpl w:val="22023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A1E87"/>
    <w:multiLevelType w:val="multilevel"/>
    <w:tmpl w:val="7294F828"/>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8F4B0A"/>
    <w:multiLevelType w:val="multilevel"/>
    <w:tmpl w:val="1F8A3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2C3AF2"/>
    <w:multiLevelType w:val="hybridMultilevel"/>
    <w:tmpl w:val="02CED9D0"/>
    <w:lvl w:ilvl="0" w:tplc="E708AB52">
      <w:start w:val="1"/>
      <w:numFmt w:val="bullet"/>
      <w:lvlText w:val="-"/>
      <w:lvlJc w:val="left"/>
      <w:pPr>
        <w:ind w:left="720" w:hanging="360"/>
      </w:pPr>
      <w:rPr>
        <w:rFonts w:ascii="Gilroy" w:eastAsia="Times New Roman" w:hAnsi="Gilroy"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C20F4"/>
    <w:multiLevelType w:val="multilevel"/>
    <w:tmpl w:val="C2D87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533198"/>
    <w:multiLevelType w:val="hybridMultilevel"/>
    <w:tmpl w:val="89A86BAE"/>
    <w:lvl w:ilvl="0" w:tplc="029463F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35731B"/>
    <w:multiLevelType w:val="multilevel"/>
    <w:tmpl w:val="6B3EA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1734A7"/>
    <w:multiLevelType w:val="multilevel"/>
    <w:tmpl w:val="49385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823C55"/>
    <w:multiLevelType w:val="hybridMultilevel"/>
    <w:tmpl w:val="B13CDD7C"/>
    <w:lvl w:ilvl="0" w:tplc="55F2BBE4">
      <w:start w:val="4"/>
      <w:numFmt w:val="lowerRoman"/>
      <w:lvlText w:val="(%1)"/>
      <w:lvlJc w:val="left"/>
      <w:pPr>
        <w:ind w:left="1080" w:hanging="720"/>
      </w:pPr>
      <w:rPr>
        <w:rFonts w:ascii="Gilroy" w:eastAsia="Times New Roman" w:hAnsi="Gilroy" w:cs="Times New Roman" w:hint="default"/>
        <w:b/>
        <w:sz w:val="2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F801EF"/>
    <w:multiLevelType w:val="multilevel"/>
    <w:tmpl w:val="CA90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FB77B3"/>
    <w:multiLevelType w:val="hybridMultilevel"/>
    <w:tmpl w:val="38824AD6"/>
    <w:lvl w:ilvl="0" w:tplc="B96E246A">
      <w:start w:val="4"/>
      <w:numFmt w:val="bullet"/>
      <w:lvlText w:val="-"/>
      <w:lvlJc w:val="left"/>
      <w:pPr>
        <w:ind w:left="720" w:hanging="360"/>
      </w:pPr>
      <w:rPr>
        <w:rFonts w:ascii="Gilroy" w:eastAsia="Times New Roman" w:hAnsi="Gilroy"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D63A7"/>
    <w:multiLevelType w:val="hybridMultilevel"/>
    <w:tmpl w:val="989AC4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0EE8E9"/>
    <w:multiLevelType w:val="hybridMultilevel"/>
    <w:tmpl w:val="FFFFFFFF"/>
    <w:lvl w:ilvl="0" w:tplc="B0064A92">
      <w:start w:val="1"/>
      <w:numFmt w:val="decimal"/>
      <w:lvlText w:val="%1."/>
      <w:lvlJc w:val="left"/>
      <w:pPr>
        <w:ind w:left="720" w:hanging="360"/>
      </w:pPr>
    </w:lvl>
    <w:lvl w:ilvl="1" w:tplc="26920064">
      <w:start w:val="1"/>
      <w:numFmt w:val="lowerLetter"/>
      <w:lvlText w:val="%2."/>
      <w:lvlJc w:val="left"/>
      <w:pPr>
        <w:ind w:left="1440" w:hanging="360"/>
      </w:pPr>
    </w:lvl>
    <w:lvl w:ilvl="2" w:tplc="5F76C444">
      <w:start w:val="1"/>
      <w:numFmt w:val="lowerRoman"/>
      <w:lvlText w:val="%3."/>
      <w:lvlJc w:val="right"/>
      <w:pPr>
        <w:ind w:left="2160" w:hanging="180"/>
      </w:pPr>
    </w:lvl>
    <w:lvl w:ilvl="3" w:tplc="DFCEA490">
      <w:start w:val="1"/>
      <w:numFmt w:val="decimal"/>
      <w:lvlText w:val="%4."/>
      <w:lvlJc w:val="left"/>
      <w:pPr>
        <w:ind w:left="2880" w:hanging="360"/>
      </w:pPr>
    </w:lvl>
    <w:lvl w:ilvl="4" w:tplc="BB24D5D4">
      <w:start w:val="1"/>
      <w:numFmt w:val="lowerLetter"/>
      <w:lvlText w:val="%5."/>
      <w:lvlJc w:val="left"/>
      <w:pPr>
        <w:ind w:left="3600" w:hanging="360"/>
      </w:pPr>
    </w:lvl>
    <w:lvl w:ilvl="5" w:tplc="D4C2A980">
      <w:start w:val="1"/>
      <w:numFmt w:val="lowerRoman"/>
      <w:lvlText w:val="%6."/>
      <w:lvlJc w:val="right"/>
      <w:pPr>
        <w:ind w:left="4320" w:hanging="180"/>
      </w:pPr>
    </w:lvl>
    <w:lvl w:ilvl="6" w:tplc="12B88AEC">
      <w:start w:val="1"/>
      <w:numFmt w:val="decimal"/>
      <w:lvlText w:val="%7."/>
      <w:lvlJc w:val="left"/>
      <w:pPr>
        <w:ind w:left="5040" w:hanging="360"/>
      </w:pPr>
    </w:lvl>
    <w:lvl w:ilvl="7" w:tplc="0D2CA522">
      <w:start w:val="1"/>
      <w:numFmt w:val="lowerLetter"/>
      <w:lvlText w:val="%8."/>
      <w:lvlJc w:val="left"/>
      <w:pPr>
        <w:ind w:left="5760" w:hanging="360"/>
      </w:pPr>
    </w:lvl>
    <w:lvl w:ilvl="8" w:tplc="98765154">
      <w:start w:val="1"/>
      <w:numFmt w:val="lowerRoman"/>
      <w:lvlText w:val="%9."/>
      <w:lvlJc w:val="right"/>
      <w:pPr>
        <w:ind w:left="6480" w:hanging="180"/>
      </w:pPr>
    </w:lvl>
  </w:abstractNum>
  <w:abstractNum w:abstractNumId="15" w15:restartNumberingAfterBreak="0">
    <w:nsid w:val="41A067F3"/>
    <w:multiLevelType w:val="hybridMultilevel"/>
    <w:tmpl w:val="FB86E46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E477DF"/>
    <w:multiLevelType w:val="multilevel"/>
    <w:tmpl w:val="FF18F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735D8E"/>
    <w:multiLevelType w:val="multilevel"/>
    <w:tmpl w:val="E94826B8"/>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8B162D"/>
    <w:multiLevelType w:val="multilevel"/>
    <w:tmpl w:val="A0E60F30"/>
    <w:lvl w:ilvl="0">
      <w:start w:val="6"/>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66A2635"/>
    <w:multiLevelType w:val="multilevel"/>
    <w:tmpl w:val="5588D714"/>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7CF2516"/>
    <w:multiLevelType w:val="multilevel"/>
    <w:tmpl w:val="E9723B18"/>
    <w:lvl w:ilvl="0">
      <w:start w:val="7"/>
      <w:numFmt w:val="decimal"/>
      <w:lvlText w:val="%1."/>
      <w:lvlJc w:val="left"/>
      <w:pPr>
        <w:ind w:left="720" w:hanging="360"/>
      </w:pPr>
      <w:rPr>
        <w:rFonts w:ascii="Gilroy" w:eastAsia="Times New Roman" w:hAnsi="Gilroy" w:cs="Times New Roman" w:hint="default"/>
        <w:b/>
        <w:sz w:val="27"/>
      </w:rPr>
    </w:lvl>
    <w:lvl w:ilvl="1">
      <w:start w:val="1"/>
      <w:numFmt w:val="decimal"/>
      <w:isLgl/>
      <w:lvlText w:val="%1.%2."/>
      <w:lvlJc w:val="left"/>
      <w:pPr>
        <w:ind w:left="1080" w:hanging="72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C691646"/>
    <w:multiLevelType w:val="hybridMultilevel"/>
    <w:tmpl w:val="127C73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322EC9"/>
    <w:multiLevelType w:val="hybridMultilevel"/>
    <w:tmpl w:val="CFD26A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F13192"/>
    <w:multiLevelType w:val="hybridMultilevel"/>
    <w:tmpl w:val="48C06FC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1D0FC2"/>
    <w:multiLevelType w:val="hybridMultilevel"/>
    <w:tmpl w:val="94E48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C9389B"/>
    <w:multiLevelType w:val="hybridMultilevel"/>
    <w:tmpl w:val="04B25D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247F3D"/>
    <w:multiLevelType w:val="hybridMultilevel"/>
    <w:tmpl w:val="C574831E"/>
    <w:lvl w:ilvl="0" w:tplc="DF6230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30780C"/>
    <w:multiLevelType w:val="hybridMultilevel"/>
    <w:tmpl w:val="26249DBA"/>
    <w:lvl w:ilvl="0" w:tplc="855487CA">
      <w:start w:val="1"/>
      <w:numFmt w:val="decimal"/>
      <w:lvlText w:val="%1."/>
      <w:lvlJc w:val="left"/>
      <w:pPr>
        <w:ind w:left="720" w:hanging="360"/>
      </w:pPr>
      <w:rPr>
        <w:rFonts w:ascii="Gilroy" w:hAnsi="Gilroy" w:hint="default"/>
        <w:b/>
        <w:bCs/>
        <w:sz w:val="27"/>
        <w:szCs w:val="27"/>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7E12D0"/>
    <w:multiLevelType w:val="multilevel"/>
    <w:tmpl w:val="F4422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C91E80"/>
    <w:multiLevelType w:val="hybridMultilevel"/>
    <w:tmpl w:val="8D521D6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952097"/>
    <w:multiLevelType w:val="hybridMultilevel"/>
    <w:tmpl w:val="04989FC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C9E3E63"/>
    <w:multiLevelType w:val="hybridMultilevel"/>
    <w:tmpl w:val="4F90BD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7C0DBA"/>
    <w:multiLevelType w:val="hybridMultilevel"/>
    <w:tmpl w:val="93800BBA"/>
    <w:lvl w:ilvl="0" w:tplc="99D87F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505FF5"/>
    <w:multiLevelType w:val="multilevel"/>
    <w:tmpl w:val="1B0A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070B8"/>
    <w:multiLevelType w:val="multilevel"/>
    <w:tmpl w:val="E9723B18"/>
    <w:lvl w:ilvl="0">
      <w:start w:val="7"/>
      <w:numFmt w:val="decimal"/>
      <w:lvlText w:val="%1."/>
      <w:lvlJc w:val="left"/>
      <w:pPr>
        <w:ind w:left="720" w:hanging="360"/>
      </w:pPr>
      <w:rPr>
        <w:rFonts w:ascii="Gilroy" w:eastAsia="Times New Roman" w:hAnsi="Gilroy" w:cs="Times New Roman" w:hint="default"/>
        <w:b/>
        <w:sz w:val="27"/>
      </w:rPr>
    </w:lvl>
    <w:lvl w:ilvl="1">
      <w:start w:val="1"/>
      <w:numFmt w:val="decimal"/>
      <w:isLgl/>
      <w:lvlText w:val="%1.%2."/>
      <w:lvlJc w:val="left"/>
      <w:pPr>
        <w:ind w:left="1080" w:hanging="72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AF25B2D"/>
    <w:multiLevelType w:val="hybridMultilevel"/>
    <w:tmpl w:val="B1E2DD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2D0905"/>
    <w:multiLevelType w:val="hybridMultilevel"/>
    <w:tmpl w:val="9E7C7DBE"/>
    <w:lvl w:ilvl="0" w:tplc="15BAE6BE">
      <w:start w:val="1"/>
      <w:numFmt w:val="bullet"/>
      <w:lvlText w:val="-"/>
      <w:lvlJc w:val="left"/>
      <w:pPr>
        <w:ind w:left="720" w:hanging="360"/>
      </w:pPr>
      <w:rPr>
        <w:rFonts w:ascii="Gilroy" w:eastAsia="Times New Roman" w:hAnsi="Gilroy"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0484374">
    <w:abstractNumId w:val="14"/>
  </w:num>
  <w:num w:numId="2" w16cid:durableId="184948606">
    <w:abstractNumId w:val="6"/>
  </w:num>
  <w:num w:numId="3" w16cid:durableId="1918981596">
    <w:abstractNumId w:val="11"/>
  </w:num>
  <w:num w:numId="4" w16cid:durableId="732390419">
    <w:abstractNumId w:val="9"/>
  </w:num>
  <w:num w:numId="5" w16cid:durableId="144008312">
    <w:abstractNumId w:val="4"/>
  </w:num>
  <w:num w:numId="6" w16cid:durableId="396175456">
    <w:abstractNumId w:val="28"/>
  </w:num>
  <w:num w:numId="7" w16cid:durableId="425805814">
    <w:abstractNumId w:val="2"/>
  </w:num>
  <w:num w:numId="8" w16cid:durableId="1611162163">
    <w:abstractNumId w:val="8"/>
  </w:num>
  <w:num w:numId="9" w16cid:durableId="222061363">
    <w:abstractNumId w:val="33"/>
  </w:num>
  <w:num w:numId="10" w16cid:durableId="1572082040">
    <w:abstractNumId w:val="16"/>
  </w:num>
  <w:num w:numId="11" w16cid:durableId="1265530583">
    <w:abstractNumId w:val="1"/>
  </w:num>
  <w:num w:numId="12" w16cid:durableId="1518694718">
    <w:abstractNumId w:val="3"/>
  </w:num>
  <w:num w:numId="13" w16cid:durableId="1950699380">
    <w:abstractNumId w:val="24"/>
  </w:num>
  <w:num w:numId="14" w16cid:durableId="2109962672">
    <w:abstractNumId w:val="23"/>
  </w:num>
  <w:num w:numId="15" w16cid:durableId="1053622889">
    <w:abstractNumId w:val="0"/>
  </w:num>
  <w:num w:numId="16" w16cid:durableId="149057208">
    <w:abstractNumId w:val="12"/>
  </w:num>
  <w:num w:numId="17" w16cid:durableId="1068571105">
    <w:abstractNumId w:val="30"/>
  </w:num>
  <w:num w:numId="18" w16cid:durableId="1544750293">
    <w:abstractNumId w:val="36"/>
  </w:num>
  <w:num w:numId="19" w16cid:durableId="1221096702">
    <w:abstractNumId w:val="5"/>
  </w:num>
  <w:num w:numId="20" w16cid:durableId="2005013231">
    <w:abstractNumId w:val="19"/>
  </w:num>
  <w:num w:numId="21" w16cid:durableId="2084526144">
    <w:abstractNumId w:val="17"/>
  </w:num>
  <w:num w:numId="22" w16cid:durableId="1271815073">
    <w:abstractNumId w:val="18"/>
  </w:num>
  <w:num w:numId="23" w16cid:durableId="1537767441">
    <w:abstractNumId w:val="34"/>
  </w:num>
  <w:num w:numId="24" w16cid:durableId="870150580">
    <w:abstractNumId w:val="20"/>
  </w:num>
  <w:num w:numId="25" w16cid:durableId="666325482">
    <w:abstractNumId w:val="13"/>
  </w:num>
  <w:num w:numId="26" w16cid:durableId="58481156">
    <w:abstractNumId w:val="29"/>
  </w:num>
  <w:num w:numId="27" w16cid:durableId="84885307">
    <w:abstractNumId w:val="26"/>
  </w:num>
  <w:num w:numId="28" w16cid:durableId="213084774">
    <w:abstractNumId w:val="21"/>
  </w:num>
  <w:num w:numId="29" w16cid:durableId="1881817178">
    <w:abstractNumId w:val="15"/>
  </w:num>
  <w:num w:numId="30" w16cid:durableId="2086369436">
    <w:abstractNumId w:val="35"/>
  </w:num>
  <w:num w:numId="31" w16cid:durableId="1657874850">
    <w:abstractNumId w:val="31"/>
  </w:num>
  <w:num w:numId="32" w16cid:durableId="99878454">
    <w:abstractNumId w:val="22"/>
  </w:num>
  <w:num w:numId="33" w16cid:durableId="1713769305">
    <w:abstractNumId w:val="25"/>
  </w:num>
  <w:num w:numId="34" w16cid:durableId="201211793">
    <w:abstractNumId w:val="32"/>
  </w:num>
  <w:num w:numId="35" w16cid:durableId="1086534539">
    <w:abstractNumId w:val="27"/>
  </w:num>
  <w:num w:numId="36" w16cid:durableId="688871903">
    <w:abstractNumId w:val="7"/>
  </w:num>
  <w:num w:numId="37" w16cid:durableId="1538083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03"/>
    <w:rsid w:val="000005F2"/>
    <w:rsid w:val="00007E67"/>
    <w:rsid w:val="00011B9C"/>
    <w:rsid w:val="00015471"/>
    <w:rsid w:val="00015E67"/>
    <w:rsid w:val="000300AB"/>
    <w:rsid w:val="0003061C"/>
    <w:rsid w:val="00032D09"/>
    <w:rsid w:val="0003720C"/>
    <w:rsid w:val="00042A48"/>
    <w:rsid w:val="00043CE7"/>
    <w:rsid w:val="000542AE"/>
    <w:rsid w:val="0005693E"/>
    <w:rsid w:val="00057CEF"/>
    <w:rsid w:val="00064379"/>
    <w:rsid w:val="00070D32"/>
    <w:rsid w:val="00074A80"/>
    <w:rsid w:val="000771FF"/>
    <w:rsid w:val="00084852"/>
    <w:rsid w:val="00091A79"/>
    <w:rsid w:val="00093534"/>
    <w:rsid w:val="000A2680"/>
    <w:rsid w:val="000A59F0"/>
    <w:rsid w:val="000A62FC"/>
    <w:rsid w:val="000C176F"/>
    <w:rsid w:val="000C6FAF"/>
    <w:rsid w:val="000D162C"/>
    <w:rsid w:val="000D53BE"/>
    <w:rsid w:val="000E0E05"/>
    <w:rsid w:val="000F094B"/>
    <w:rsid w:val="000F163B"/>
    <w:rsid w:val="000F7475"/>
    <w:rsid w:val="00103A50"/>
    <w:rsid w:val="00105232"/>
    <w:rsid w:val="00112A0C"/>
    <w:rsid w:val="00122384"/>
    <w:rsid w:val="001243B7"/>
    <w:rsid w:val="0012585C"/>
    <w:rsid w:val="00125E52"/>
    <w:rsid w:val="001301BD"/>
    <w:rsid w:val="00143C9E"/>
    <w:rsid w:val="00146E13"/>
    <w:rsid w:val="00155D45"/>
    <w:rsid w:val="001571C6"/>
    <w:rsid w:val="0017116A"/>
    <w:rsid w:val="00180543"/>
    <w:rsid w:val="00194F2F"/>
    <w:rsid w:val="00197707"/>
    <w:rsid w:val="001A1108"/>
    <w:rsid w:val="001C5473"/>
    <w:rsid w:val="001C5FE3"/>
    <w:rsid w:val="001D7D23"/>
    <w:rsid w:val="001E678C"/>
    <w:rsid w:val="001F2651"/>
    <w:rsid w:val="001F45A0"/>
    <w:rsid w:val="001F5B39"/>
    <w:rsid w:val="001F7CC6"/>
    <w:rsid w:val="002046D0"/>
    <w:rsid w:val="00207DCA"/>
    <w:rsid w:val="00210557"/>
    <w:rsid w:val="00212F27"/>
    <w:rsid w:val="00213670"/>
    <w:rsid w:val="00214CD7"/>
    <w:rsid w:val="0022275A"/>
    <w:rsid w:val="00224CB3"/>
    <w:rsid w:val="00230058"/>
    <w:rsid w:val="00243009"/>
    <w:rsid w:val="00246BBF"/>
    <w:rsid w:val="00246D3F"/>
    <w:rsid w:val="00251869"/>
    <w:rsid w:val="00257A0F"/>
    <w:rsid w:val="00261A0E"/>
    <w:rsid w:val="00264763"/>
    <w:rsid w:val="00267C65"/>
    <w:rsid w:val="00275577"/>
    <w:rsid w:val="00280887"/>
    <w:rsid w:val="00280F37"/>
    <w:rsid w:val="00281C1D"/>
    <w:rsid w:val="002926E7"/>
    <w:rsid w:val="00294B18"/>
    <w:rsid w:val="002958AC"/>
    <w:rsid w:val="00297C5D"/>
    <w:rsid w:val="002A1232"/>
    <w:rsid w:val="002A6096"/>
    <w:rsid w:val="002B1417"/>
    <w:rsid w:val="002B2842"/>
    <w:rsid w:val="002B5A0B"/>
    <w:rsid w:val="002C094C"/>
    <w:rsid w:val="002C0AD4"/>
    <w:rsid w:val="002D0757"/>
    <w:rsid w:val="002D4E94"/>
    <w:rsid w:val="002D6BDA"/>
    <w:rsid w:val="002E027C"/>
    <w:rsid w:val="002E5143"/>
    <w:rsid w:val="002F0D0A"/>
    <w:rsid w:val="002F1577"/>
    <w:rsid w:val="002F3537"/>
    <w:rsid w:val="002F4C8F"/>
    <w:rsid w:val="002F701F"/>
    <w:rsid w:val="003037D7"/>
    <w:rsid w:val="003053F0"/>
    <w:rsid w:val="00310506"/>
    <w:rsid w:val="00314E8D"/>
    <w:rsid w:val="00320B66"/>
    <w:rsid w:val="00325148"/>
    <w:rsid w:val="00331B56"/>
    <w:rsid w:val="00332703"/>
    <w:rsid w:val="00334E0B"/>
    <w:rsid w:val="003360C9"/>
    <w:rsid w:val="003479C5"/>
    <w:rsid w:val="0035318D"/>
    <w:rsid w:val="00357460"/>
    <w:rsid w:val="00363DFC"/>
    <w:rsid w:val="003671BB"/>
    <w:rsid w:val="00371EEF"/>
    <w:rsid w:val="003726DD"/>
    <w:rsid w:val="00374737"/>
    <w:rsid w:val="00375038"/>
    <w:rsid w:val="00381ED5"/>
    <w:rsid w:val="00382DDD"/>
    <w:rsid w:val="00383849"/>
    <w:rsid w:val="00384F62"/>
    <w:rsid w:val="003877F8"/>
    <w:rsid w:val="003A3843"/>
    <w:rsid w:val="003B3371"/>
    <w:rsid w:val="003B61E3"/>
    <w:rsid w:val="003B6E16"/>
    <w:rsid w:val="003C70AF"/>
    <w:rsid w:val="003C73F9"/>
    <w:rsid w:val="003D30BB"/>
    <w:rsid w:val="003D3ADB"/>
    <w:rsid w:val="003D403C"/>
    <w:rsid w:val="003D7880"/>
    <w:rsid w:val="003F041B"/>
    <w:rsid w:val="003F1248"/>
    <w:rsid w:val="003F187D"/>
    <w:rsid w:val="003F5623"/>
    <w:rsid w:val="00401413"/>
    <w:rsid w:val="004031E0"/>
    <w:rsid w:val="004170BC"/>
    <w:rsid w:val="004172C8"/>
    <w:rsid w:val="00417A5C"/>
    <w:rsid w:val="0042110A"/>
    <w:rsid w:val="004234C1"/>
    <w:rsid w:val="00424C39"/>
    <w:rsid w:val="00431EA1"/>
    <w:rsid w:val="0044420A"/>
    <w:rsid w:val="0044545E"/>
    <w:rsid w:val="00446701"/>
    <w:rsid w:val="00452656"/>
    <w:rsid w:val="0045417E"/>
    <w:rsid w:val="00457747"/>
    <w:rsid w:val="00465029"/>
    <w:rsid w:val="00473205"/>
    <w:rsid w:val="0047449A"/>
    <w:rsid w:val="004746D1"/>
    <w:rsid w:val="00475840"/>
    <w:rsid w:val="00475D41"/>
    <w:rsid w:val="00480074"/>
    <w:rsid w:val="00481AD5"/>
    <w:rsid w:val="00492607"/>
    <w:rsid w:val="00495245"/>
    <w:rsid w:val="00495377"/>
    <w:rsid w:val="0049613C"/>
    <w:rsid w:val="00497F89"/>
    <w:rsid w:val="004A57D3"/>
    <w:rsid w:val="004B045F"/>
    <w:rsid w:val="004B3231"/>
    <w:rsid w:val="004B5C60"/>
    <w:rsid w:val="004B6225"/>
    <w:rsid w:val="004C05B8"/>
    <w:rsid w:val="004D420F"/>
    <w:rsid w:val="004E016E"/>
    <w:rsid w:val="004E1D50"/>
    <w:rsid w:val="004E31F7"/>
    <w:rsid w:val="004E3BE4"/>
    <w:rsid w:val="004F1C0A"/>
    <w:rsid w:val="004F26AA"/>
    <w:rsid w:val="004F2E70"/>
    <w:rsid w:val="004F5893"/>
    <w:rsid w:val="004F61F6"/>
    <w:rsid w:val="0050686C"/>
    <w:rsid w:val="00521C44"/>
    <w:rsid w:val="0052445C"/>
    <w:rsid w:val="00535934"/>
    <w:rsid w:val="0054014A"/>
    <w:rsid w:val="00540D55"/>
    <w:rsid w:val="00543079"/>
    <w:rsid w:val="0055238D"/>
    <w:rsid w:val="00571463"/>
    <w:rsid w:val="00572012"/>
    <w:rsid w:val="00583C9F"/>
    <w:rsid w:val="00584A61"/>
    <w:rsid w:val="005851AE"/>
    <w:rsid w:val="005864AE"/>
    <w:rsid w:val="00586E3A"/>
    <w:rsid w:val="00592896"/>
    <w:rsid w:val="005A583B"/>
    <w:rsid w:val="005B2726"/>
    <w:rsid w:val="005B7EC6"/>
    <w:rsid w:val="005C14A1"/>
    <w:rsid w:val="005C2DF6"/>
    <w:rsid w:val="005E280B"/>
    <w:rsid w:val="005E4C83"/>
    <w:rsid w:val="005E6113"/>
    <w:rsid w:val="005E66A0"/>
    <w:rsid w:val="005F5D16"/>
    <w:rsid w:val="005F7B18"/>
    <w:rsid w:val="00605BF4"/>
    <w:rsid w:val="0060620B"/>
    <w:rsid w:val="00611BE7"/>
    <w:rsid w:val="006138EB"/>
    <w:rsid w:val="006209A4"/>
    <w:rsid w:val="006214DD"/>
    <w:rsid w:val="00626E81"/>
    <w:rsid w:val="00631DC4"/>
    <w:rsid w:val="0063435F"/>
    <w:rsid w:val="00636BF3"/>
    <w:rsid w:val="006450D6"/>
    <w:rsid w:val="00646E67"/>
    <w:rsid w:val="00650619"/>
    <w:rsid w:val="00651FCF"/>
    <w:rsid w:val="006543BB"/>
    <w:rsid w:val="00654BAD"/>
    <w:rsid w:val="006661AB"/>
    <w:rsid w:val="00666689"/>
    <w:rsid w:val="0067211B"/>
    <w:rsid w:val="00680059"/>
    <w:rsid w:val="0068176E"/>
    <w:rsid w:val="006859F4"/>
    <w:rsid w:val="00695127"/>
    <w:rsid w:val="006A3050"/>
    <w:rsid w:val="006A55E3"/>
    <w:rsid w:val="006B255C"/>
    <w:rsid w:val="006C5BFB"/>
    <w:rsid w:val="006C5D19"/>
    <w:rsid w:val="006D0094"/>
    <w:rsid w:val="006D19C9"/>
    <w:rsid w:val="006D7BEC"/>
    <w:rsid w:val="006E1E73"/>
    <w:rsid w:val="006E34AD"/>
    <w:rsid w:val="006F1510"/>
    <w:rsid w:val="006F42A8"/>
    <w:rsid w:val="00705201"/>
    <w:rsid w:val="00707301"/>
    <w:rsid w:val="00707429"/>
    <w:rsid w:val="00711B2B"/>
    <w:rsid w:val="00712383"/>
    <w:rsid w:val="007154F6"/>
    <w:rsid w:val="0072424A"/>
    <w:rsid w:val="00725384"/>
    <w:rsid w:val="00727512"/>
    <w:rsid w:val="007312E2"/>
    <w:rsid w:val="00734E16"/>
    <w:rsid w:val="00737F92"/>
    <w:rsid w:val="007420A3"/>
    <w:rsid w:val="0074224E"/>
    <w:rsid w:val="00744DCC"/>
    <w:rsid w:val="007476EA"/>
    <w:rsid w:val="007506D9"/>
    <w:rsid w:val="0075761F"/>
    <w:rsid w:val="00761660"/>
    <w:rsid w:val="00763AD3"/>
    <w:rsid w:val="007827FE"/>
    <w:rsid w:val="00783999"/>
    <w:rsid w:val="00784EA3"/>
    <w:rsid w:val="00796CAB"/>
    <w:rsid w:val="007A07C9"/>
    <w:rsid w:val="007A5F57"/>
    <w:rsid w:val="007B5237"/>
    <w:rsid w:val="007B647C"/>
    <w:rsid w:val="007C45FC"/>
    <w:rsid w:val="007D2766"/>
    <w:rsid w:val="007D5FD6"/>
    <w:rsid w:val="007E1881"/>
    <w:rsid w:val="007E2E74"/>
    <w:rsid w:val="007E32D7"/>
    <w:rsid w:val="007E7D9E"/>
    <w:rsid w:val="007F6F69"/>
    <w:rsid w:val="007F7F6A"/>
    <w:rsid w:val="00801153"/>
    <w:rsid w:val="00806050"/>
    <w:rsid w:val="0081307A"/>
    <w:rsid w:val="00814859"/>
    <w:rsid w:val="00815B44"/>
    <w:rsid w:val="00817ED8"/>
    <w:rsid w:val="00821700"/>
    <w:rsid w:val="008240E2"/>
    <w:rsid w:val="00825B4A"/>
    <w:rsid w:val="00827A39"/>
    <w:rsid w:val="00830470"/>
    <w:rsid w:val="00830FA1"/>
    <w:rsid w:val="00832193"/>
    <w:rsid w:val="00843A2A"/>
    <w:rsid w:val="00847669"/>
    <w:rsid w:val="00851814"/>
    <w:rsid w:val="00852294"/>
    <w:rsid w:val="00852939"/>
    <w:rsid w:val="00853F42"/>
    <w:rsid w:val="0085569A"/>
    <w:rsid w:val="00861276"/>
    <w:rsid w:val="008654F5"/>
    <w:rsid w:val="008712E8"/>
    <w:rsid w:val="00871F10"/>
    <w:rsid w:val="00881A14"/>
    <w:rsid w:val="0088221E"/>
    <w:rsid w:val="008826C0"/>
    <w:rsid w:val="008901CD"/>
    <w:rsid w:val="00891948"/>
    <w:rsid w:val="00892B8E"/>
    <w:rsid w:val="008935E4"/>
    <w:rsid w:val="008960F7"/>
    <w:rsid w:val="00896D62"/>
    <w:rsid w:val="008A1043"/>
    <w:rsid w:val="008B6431"/>
    <w:rsid w:val="008B675B"/>
    <w:rsid w:val="008C7AAC"/>
    <w:rsid w:val="008D0C42"/>
    <w:rsid w:val="008D0FB8"/>
    <w:rsid w:val="008D2A29"/>
    <w:rsid w:val="008E557C"/>
    <w:rsid w:val="008F4037"/>
    <w:rsid w:val="008F5ADB"/>
    <w:rsid w:val="009104B7"/>
    <w:rsid w:val="0091584B"/>
    <w:rsid w:val="00924783"/>
    <w:rsid w:val="00925647"/>
    <w:rsid w:val="00926A43"/>
    <w:rsid w:val="00935391"/>
    <w:rsid w:val="00935F03"/>
    <w:rsid w:val="009428BC"/>
    <w:rsid w:val="009430C8"/>
    <w:rsid w:val="00946670"/>
    <w:rsid w:val="00952F1D"/>
    <w:rsid w:val="00954609"/>
    <w:rsid w:val="00974D17"/>
    <w:rsid w:val="00976558"/>
    <w:rsid w:val="00976FE9"/>
    <w:rsid w:val="009A05BE"/>
    <w:rsid w:val="009A61C9"/>
    <w:rsid w:val="009A7FD0"/>
    <w:rsid w:val="009C20AE"/>
    <w:rsid w:val="009D30C6"/>
    <w:rsid w:val="009D459B"/>
    <w:rsid w:val="009D6D63"/>
    <w:rsid w:val="009E2FF7"/>
    <w:rsid w:val="009E704A"/>
    <w:rsid w:val="009F56AC"/>
    <w:rsid w:val="00A00A60"/>
    <w:rsid w:val="00A05083"/>
    <w:rsid w:val="00A13468"/>
    <w:rsid w:val="00A170D1"/>
    <w:rsid w:val="00A272D8"/>
    <w:rsid w:val="00A31D27"/>
    <w:rsid w:val="00A35E1E"/>
    <w:rsid w:val="00A37069"/>
    <w:rsid w:val="00A52F2B"/>
    <w:rsid w:val="00A62DDB"/>
    <w:rsid w:val="00A662E6"/>
    <w:rsid w:val="00A701FE"/>
    <w:rsid w:val="00A714A8"/>
    <w:rsid w:val="00A7473A"/>
    <w:rsid w:val="00A81E0D"/>
    <w:rsid w:val="00A96482"/>
    <w:rsid w:val="00AA1D80"/>
    <w:rsid w:val="00AA3BA6"/>
    <w:rsid w:val="00AA512B"/>
    <w:rsid w:val="00AA62DF"/>
    <w:rsid w:val="00AA677B"/>
    <w:rsid w:val="00AB034D"/>
    <w:rsid w:val="00AB0E93"/>
    <w:rsid w:val="00AB695C"/>
    <w:rsid w:val="00AC2561"/>
    <w:rsid w:val="00AD6931"/>
    <w:rsid w:val="00AF1818"/>
    <w:rsid w:val="00B01D9C"/>
    <w:rsid w:val="00B03074"/>
    <w:rsid w:val="00B16584"/>
    <w:rsid w:val="00B27AAA"/>
    <w:rsid w:val="00B30CDA"/>
    <w:rsid w:val="00B31D84"/>
    <w:rsid w:val="00B32948"/>
    <w:rsid w:val="00B36864"/>
    <w:rsid w:val="00B46FF7"/>
    <w:rsid w:val="00B5111D"/>
    <w:rsid w:val="00B5488A"/>
    <w:rsid w:val="00B62289"/>
    <w:rsid w:val="00B63CC9"/>
    <w:rsid w:val="00B64D78"/>
    <w:rsid w:val="00B7209B"/>
    <w:rsid w:val="00B84F0E"/>
    <w:rsid w:val="00B906CE"/>
    <w:rsid w:val="00B91A76"/>
    <w:rsid w:val="00B9644F"/>
    <w:rsid w:val="00B964EB"/>
    <w:rsid w:val="00BA42AC"/>
    <w:rsid w:val="00BA5FA3"/>
    <w:rsid w:val="00BA65BB"/>
    <w:rsid w:val="00BB2F5C"/>
    <w:rsid w:val="00BB73EE"/>
    <w:rsid w:val="00BC073F"/>
    <w:rsid w:val="00BC2503"/>
    <w:rsid w:val="00BD0C5B"/>
    <w:rsid w:val="00BD2DC8"/>
    <w:rsid w:val="00BE2417"/>
    <w:rsid w:val="00BE2FDB"/>
    <w:rsid w:val="00BF4C44"/>
    <w:rsid w:val="00C11608"/>
    <w:rsid w:val="00C209F4"/>
    <w:rsid w:val="00C230D8"/>
    <w:rsid w:val="00C2397A"/>
    <w:rsid w:val="00C25409"/>
    <w:rsid w:val="00C30925"/>
    <w:rsid w:val="00C32813"/>
    <w:rsid w:val="00C40B17"/>
    <w:rsid w:val="00C41ABE"/>
    <w:rsid w:val="00C604C7"/>
    <w:rsid w:val="00C616D0"/>
    <w:rsid w:val="00C62C1D"/>
    <w:rsid w:val="00C64D01"/>
    <w:rsid w:val="00C714E0"/>
    <w:rsid w:val="00C7623A"/>
    <w:rsid w:val="00C83A6C"/>
    <w:rsid w:val="00C913BB"/>
    <w:rsid w:val="00C9286C"/>
    <w:rsid w:val="00CA1CD2"/>
    <w:rsid w:val="00CA3EAD"/>
    <w:rsid w:val="00CB32F3"/>
    <w:rsid w:val="00CC21CD"/>
    <w:rsid w:val="00CC2B6D"/>
    <w:rsid w:val="00CD48F0"/>
    <w:rsid w:val="00CD7157"/>
    <w:rsid w:val="00CE0D99"/>
    <w:rsid w:val="00CE7484"/>
    <w:rsid w:val="00CF02C9"/>
    <w:rsid w:val="00CF0545"/>
    <w:rsid w:val="00CF09E2"/>
    <w:rsid w:val="00CF193E"/>
    <w:rsid w:val="00CF402D"/>
    <w:rsid w:val="00CF76EA"/>
    <w:rsid w:val="00D00C34"/>
    <w:rsid w:val="00D01D2B"/>
    <w:rsid w:val="00D036AA"/>
    <w:rsid w:val="00D05A0C"/>
    <w:rsid w:val="00D11C77"/>
    <w:rsid w:val="00D217B2"/>
    <w:rsid w:val="00D21D35"/>
    <w:rsid w:val="00D24F32"/>
    <w:rsid w:val="00D37B41"/>
    <w:rsid w:val="00D40DEE"/>
    <w:rsid w:val="00D4144F"/>
    <w:rsid w:val="00D51EA7"/>
    <w:rsid w:val="00D62D14"/>
    <w:rsid w:val="00D66B64"/>
    <w:rsid w:val="00D715D4"/>
    <w:rsid w:val="00D77EF6"/>
    <w:rsid w:val="00D851CB"/>
    <w:rsid w:val="00D916E1"/>
    <w:rsid w:val="00D942BA"/>
    <w:rsid w:val="00D95BE2"/>
    <w:rsid w:val="00DA74C3"/>
    <w:rsid w:val="00DE0A0F"/>
    <w:rsid w:val="00DE7020"/>
    <w:rsid w:val="00DF4313"/>
    <w:rsid w:val="00DF58C0"/>
    <w:rsid w:val="00E01D51"/>
    <w:rsid w:val="00E02A25"/>
    <w:rsid w:val="00E06887"/>
    <w:rsid w:val="00E34B32"/>
    <w:rsid w:val="00E35330"/>
    <w:rsid w:val="00E5070D"/>
    <w:rsid w:val="00E53753"/>
    <w:rsid w:val="00E555DB"/>
    <w:rsid w:val="00E56C55"/>
    <w:rsid w:val="00E604DC"/>
    <w:rsid w:val="00E7002D"/>
    <w:rsid w:val="00E727E2"/>
    <w:rsid w:val="00E72FD6"/>
    <w:rsid w:val="00E76859"/>
    <w:rsid w:val="00E83F21"/>
    <w:rsid w:val="00E85444"/>
    <w:rsid w:val="00E94B6A"/>
    <w:rsid w:val="00E9576F"/>
    <w:rsid w:val="00EB1598"/>
    <w:rsid w:val="00EB27B2"/>
    <w:rsid w:val="00EB2ED0"/>
    <w:rsid w:val="00EB3D5D"/>
    <w:rsid w:val="00EC6C19"/>
    <w:rsid w:val="00ED0F48"/>
    <w:rsid w:val="00EE002E"/>
    <w:rsid w:val="00EF1B04"/>
    <w:rsid w:val="00F0238D"/>
    <w:rsid w:val="00F03A61"/>
    <w:rsid w:val="00F05B06"/>
    <w:rsid w:val="00F07BD8"/>
    <w:rsid w:val="00F1002C"/>
    <w:rsid w:val="00F21DFF"/>
    <w:rsid w:val="00F240EE"/>
    <w:rsid w:val="00F25823"/>
    <w:rsid w:val="00F26306"/>
    <w:rsid w:val="00F307AA"/>
    <w:rsid w:val="00F33CFC"/>
    <w:rsid w:val="00F45279"/>
    <w:rsid w:val="00F57FA9"/>
    <w:rsid w:val="00F704AD"/>
    <w:rsid w:val="00F711A6"/>
    <w:rsid w:val="00F76274"/>
    <w:rsid w:val="00F90E6F"/>
    <w:rsid w:val="00F96D60"/>
    <w:rsid w:val="00FA5CB6"/>
    <w:rsid w:val="00FB0736"/>
    <w:rsid w:val="00FB6155"/>
    <w:rsid w:val="00FC0510"/>
    <w:rsid w:val="00FC10EE"/>
    <w:rsid w:val="00FC49D1"/>
    <w:rsid w:val="00FD3B5C"/>
    <w:rsid w:val="00FE1284"/>
    <w:rsid w:val="00FE30D9"/>
    <w:rsid w:val="00FE72A0"/>
    <w:rsid w:val="00FF0A2C"/>
    <w:rsid w:val="00FF4BF9"/>
    <w:rsid w:val="0618D928"/>
    <w:rsid w:val="09A0C07C"/>
    <w:rsid w:val="0F40AFFC"/>
    <w:rsid w:val="12263859"/>
    <w:rsid w:val="1283AD9D"/>
    <w:rsid w:val="13F31879"/>
    <w:rsid w:val="15EE144A"/>
    <w:rsid w:val="1A796710"/>
    <w:rsid w:val="22E2827C"/>
    <w:rsid w:val="24F1F927"/>
    <w:rsid w:val="26906E52"/>
    <w:rsid w:val="26C1550B"/>
    <w:rsid w:val="26D8A1C0"/>
    <w:rsid w:val="2FB516DF"/>
    <w:rsid w:val="337593FD"/>
    <w:rsid w:val="365A1417"/>
    <w:rsid w:val="37B90C2E"/>
    <w:rsid w:val="3B97DEBD"/>
    <w:rsid w:val="3F0082FC"/>
    <w:rsid w:val="53D8CF1C"/>
    <w:rsid w:val="53F85B9C"/>
    <w:rsid w:val="59B86183"/>
    <w:rsid w:val="631AEC01"/>
    <w:rsid w:val="653ABAE7"/>
    <w:rsid w:val="6D1DDF38"/>
    <w:rsid w:val="6FE51FCA"/>
    <w:rsid w:val="71DFE653"/>
    <w:rsid w:val="72D7903C"/>
    <w:rsid w:val="743828F3"/>
    <w:rsid w:val="749897B4"/>
    <w:rsid w:val="76A352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B974129"/>
  <w15:chartTrackingRefBased/>
  <w15:docId w15:val="{C6629FD1-277F-45AB-8A34-851EED1A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55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77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32703"/>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332703"/>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2703"/>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332703"/>
    <w:rPr>
      <w:rFonts w:ascii="Times New Roman" w:eastAsia="Times New Roman" w:hAnsi="Times New Roman" w:cs="Times New Roman"/>
      <w:b/>
      <w:bCs/>
      <w:lang w:eastAsia="en-GB"/>
    </w:rPr>
  </w:style>
  <w:style w:type="paragraph" w:customStyle="1" w:styleId="part">
    <w:name w:val="part"/>
    <w:basedOn w:val="Normal"/>
    <w:rsid w:val="00332703"/>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332703"/>
    <w:rPr>
      <w:color w:val="0000FF"/>
      <w:u w:val="single"/>
    </w:rPr>
  </w:style>
  <w:style w:type="paragraph" w:styleId="NormalWeb">
    <w:name w:val="Normal (Web)"/>
    <w:basedOn w:val="Normal"/>
    <w:uiPriority w:val="99"/>
    <w:semiHidden/>
    <w:unhideWhenUsed/>
    <w:rsid w:val="00332703"/>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332703"/>
    <w:rPr>
      <w:i/>
      <w:iCs/>
    </w:rPr>
  </w:style>
  <w:style w:type="paragraph" w:styleId="FootnoteText">
    <w:name w:val="footnote text"/>
    <w:basedOn w:val="Normal"/>
    <w:link w:val="FootnoteTextChar"/>
    <w:uiPriority w:val="99"/>
    <w:unhideWhenUsed/>
    <w:rsid w:val="00891948"/>
    <w:rPr>
      <w:sz w:val="20"/>
      <w:szCs w:val="20"/>
    </w:rPr>
  </w:style>
  <w:style w:type="character" w:customStyle="1" w:styleId="FootnoteTextChar">
    <w:name w:val="Footnote Text Char"/>
    <w:basedOn w:val="DefaultParagraphFont"/>
    <w:link w:val="FootnoteText"/>
    <w:uiPriority w:val="99"/>
    <w:rsid w:val="00891948"/>
    <w:rPr>
      <w:sz w:val="20"/>
      <w:szCs w:val="20"/>
    </w:rPr>
  </w:style>
  <w:style w:type="character" w:styleId="FootnoteReference">
    <w:name w:val="footnote reference"/>
    <w:basedOn w:val="DefaultParagraphFont"/>
    <w:uiPriority w:val="99"/>
    <w:unhideWhenUsed/>
    <w:rsid w:val="00891948"/>
    <w:rPr>
      <w:vertAlign w:val="superscript"/>
    </w:rPr>
  </w:style>
  <w:style w:type="character" w:styleId="UnresolvedMention">
    <w:name w:val="Unresolved Mention"/>
    <w:basedOn w:val="DefaultParagraphFont"/>
    <w:uiPriority w:val="99"/>
    <w:semiHidden/>
    <w:unhideWhenUsed/>
    <w:rsid w:val="00891948"/>
    <w:rPr>
      <w:color w:val="605E5C"/>
      <w:shd w:val="clear" w:color="auto" w:fill="E1DFDD"/>
    </w:rPr>
  </w:style>
  <w:style w:type="paragraph" w:styleId="Header">
    <w:name w:val="header"/>
    <w:basedOn w:val="Normal"/>
    <w:link w:val="HeaderChar"/>
    <w:uiPriority w:val="99"/>
    <w:unhideWhenUsed/>
    <w:rsid w:val="006D7BEC"/>
    <w:pPr>
      <w:tabs>
        <w:tab w:val="center" w:pos="4513"/>
        <w:tab w:val="right" w:pos="9026"/>
      </w:tabs>
    </w:pPr>
  </w:style>
  <w:style w:type="character" w:customStyle="1" w:styleId="HeaderChar">
    <w:name w:val="Header Char"/>
    <w:basedOn w:val="DefaultParagraphFont"/>
    <w:link w:val="Header"/>
    <w:uiPriority w:val="99"/>
    <w:rsid w:val="006D7BEC"/>
  </w:style>
  <w:style w:type="paragraph" w:styleId="Footer">
    <w:name w:val="footer"/>
    <w:basedOn w:val="Normal"/>
    <w:link w:val="FooterChar"/>
    <w:uiPriority w:val="99"/>
    <w:unhideWhenUsed/>
    <w:rsid w:val="006D7BEC"/>
    <w:pPr>
      <w:tabs>
        <w:tab w:val="center" w:pos="4513"/>
        <w:tab w:val="right" w:pos="9026"/>
      </w:tabs>
    </w:pPr>
  </w:style>
  <w:style w:type="character" w:customStyle="1" w:styleId="FooterChar">
    <w:name w:val="Footer Char"/>
    <w:basedOn w:val="DefaultParagraphFont"/>
    <w:link w:val="Footer"/>
    <w:uiPriority w:val="99"/>
    <w:rsid w:val="006D7BEC"/>
  </w:style>
  <w:style w:type="paragraph" w:styleId="ListParagraph">
    <w:name w:val="List Paragraph"/>
    <w:basedOn w:val="Normal"/>
    <w:uiPriority w:val="34"/>
    <w:qFormat/>
    <w:rsid w:val="002D6BDA"/>
    <w:pPr>
      <w:ind w:left="720"/>
      <w:contextualSpacing/>
    </w:pPr>
  </w:style>
  <w:style w:type="character" w:styleId="FollowedHyperlink">
    <w:name w:val="FollowedHyperlink"/>
    <w:basedOn w:val="DefaultParagraphFont"/>
    <w:uiPriority w:val="99"/>
    <w:semiHidden/>
    <w:unhideWhenUsed/>
    <w:rsid w:val="006214DD"/>
    <w:rPr>
      <w:color w:val="954F72" w:themeColor="followedHyperlink"/>
      <w:u w:val="single"/>
    </w:rPr>
  </w:style>
  <w:style w:type="paragraph" w:customStyle="1" w:styleId="ti-grseq-1">
    <w:name w:val="ti-grseq-1"/>
    <w:basedOn w:val="Normal"/>
    <w:rsid w:val="004B045F"/>
    <w:pPr>
      <w:spacing w:before="100" w:beforeAutospacing="1" w:after="100" w:afterAutospacing="1"/>
    </w:pPr>
    <w:rPr>
      <w:rFonts w:ascii="Times New Roman" w:eastAsia="Times New Roman" w:hAnsi="Times New Roman" w:cs="Times New Roman"/>
      <w:lang w:eastAsia="en-GB"/>
    </w:rPr>
  </w:style>
  <w:style w:type="paragraph" w:customStyle="1" w:styleId="Normal1">
    <w:name w:val="Normal1"/>
    <w:basedOn w:val="Normal"/>
    <w:rsid w:val="004B045F"/>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CA3EAD"/>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FF0A2C"/>
  </w:style>
  <w:style w:type="character" w:styleId="CommentReference">
    <w:name w:val="annotation reference"/>
    <w:basedOn w:val="DefaultParagraphFont"/>
    <w:uiPriority w:val="99"/>
    <w:semiHidden/>
    <w:unhideWhenUsed/>
    <w:rsid w:val="003F041B"/>
    <w:rPr>
      <w:sz w:val="16"/>
      <w:szCs w:val="16"/>
    </w:rPr>
  </w:style>
  <w:style w:type="paragraph" w:styleId="CommentText">
    <w:name w:val="annotation text"/>
    <w:basedOn w:val="Normal"/>
    <w:link w:val="CommentTextChar"/>
    <w:uiPriority w:val="99"/>
    <w:semiHidden/>
    <w:unhideWhenUsed/>
    <w:rsid w:val="003F041B"/>
    <w:rPr>
      <w:sz w:val="20"/>
      <w:szCs w:val="20"/>
    </w:rPr>
  </w:style>
  <w:style w:type="character" w:customStyle="1" w:styleId="CommentTextChar">
    <w:name w:val="Comment Text Char"/>
    <w:basedOn w:val="DefaultParagraphFont"/>
    <w:link w:val="CommentText"/>
    <w:uiPriority w:val="99"/>
    <w:semiHidden/>
    <w:rsid w:val="003F041B"/>
    <w:rPr>
      <w:sz w:val="20"/>
      <w:szCs w:val="20"/>
    </w:rPr>
  </w:style>
  <w:style w:type="paragraph" w:styleId="CommentSubject">
    <w:name w:val="annotation subject"/>
    <w:basedOn w:val="CommentText"/>
    <w:next w:val="CommentText"/>
    <w:link w:val="CommentSubjectChar"/>
    <w:uiPriority w:val="99"/>
    <w:semiHidden/>
    <w:unhideWhenUsed/>
    <w:rsid w:val="003F041B"/>
    <w:rPr>
      <w:b/>
      <w:bCs/>
    </w:rPr>
  </w:style>
  <w:style w:type="character" w:customStyle="1" w:styleId="CommentSubjectChar">
    <w:name w:val="Comment Subject Char"/>
    <w:basedOn w:val="CommentTextChar"/>
    <w:link w:val="CommentSubject"/>
    <w:uiPriority w:val="99"/>
    <w:semiHidden/>
    <w:rsid w:val="003F041B"/>
    <w:rPr>
      <w:b/>
      <w:bCs/>
      <w:sz w:val="20"/>
      <w:szCs w:val="20"/>
    </w:rPr>
  </w:style>
  <w:style w:type="character" w:customStyle="1" w:styleId="Heading2Char">
    <w:name w:val="Heading 2 Char"/>
    <w:basedOn w:val="DefaultParagraphFont"/>
    <w:link w:val="Heading2"/>
    <w:uiPriority w:val="9"/>
    <w:rsid w:val="00457747"/>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10557"/>
    <w:rPr>
      <w:rFonts w:asciiTheme="majorHAnsi" w:eastAsiaTheme="majorEastAsia" w:hAnsiTheme="majorHAnsi" w:cstheme="majorBidi"/>
      <w:color w:val="2F5496" w:themeColor="accent1" w:themeShade="BF"/>
      <w:sz w:val="32"/>
      <w:szCs w:val="32"/>
    </w:rPr>
  </w:style>
  <w:style w:type="character" w:customStyle="1" w:styleId="field">
    <w:name w:val="field"/>
    <w:basedOn w:val="DefaultParagraphFont"/>
    <w:rsid w:val="000D162C"/>
  </w:style>
  <w:style w:type="character" w:customStyle="1" w:styleId="al-author-delim">
    <w:name w:val="al-author-delim"/>
    <w:basedOn w:val="DefaultParagraphFont"/>
    <w:rsid w:val="00F07BD8"/>
  </w:style>
  <w:style w:type="paragraph" w:customStyle="1" w:styleId="Default">
    <w:name w:val="Default"/>
    <w:rsid w:val="00EF1B04"/>
    <w:pPr>
      <w:pBdr>
        <w:top w:val="nil"/>
        <w:left w:val="nil"/>
        <w:bottom w:val="nil"/>
        <w:right w:val="nil"/>
        <w:between w:val="nil"/>
        <w:bar w:val="nil"/>
      </w:pBdr>
      <w:spacing w:before="20"/>
    </w:pPr>
    <w:rPr>
      <w:rFonts w:ascii="Gilroy Light" w:eastAsia="Gilroy Light" w:hAnsi="Gilroy Light" w:cs="Gilroy Light"/>
      <w:color w:val="000000"/>
      <w:sz w:val="22"/>
      <w:szCs w:val="22"/>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455">
      <w:bodyDiv w:val="1"/>
      <w:marLeft w:val="0"/>
      <w:marRight w:val="0"/>
      <w:marTop w:val="0"/>
      <w:marBottom w:val="0"/>
      <w:divBdr>
        <w:top w:val="none" w:sz="0" w:space="0" w:color="auto"/>
        <w:left w:val="none" w:sz="0" w:space="0" w:color="auto"/>
        <w:bottom w:val="none" w:sz="0" w:space="0" w:color="auto"/>
        <w:right w:val="none" w:sz="0" w:space="0" w:color="auto"/>
      </w:divBdr>
    </w:div>
    <w:div w:id="48848098">
      <w:bodyDiv w:val="1"/>
      <w:marLeft w:val="0"/>
      <w:marRight w:val="0"/>
      <w:marTop w:val="0"/>
      <w:marBottom w:val="0"/>
      <w:divBdr>
        <w:top w:val="none" w:sz="0" w:space="0" w:color="auto"/>
        <w:left w:val="none" w:sz="0" w:space="0" w:color="auto"/>
        <w:bottom w:val="none" w:sz="0" w:space="0" w:color="auto"/>
        <w:right w:val="none" w:sz="0" w:space="0" w:color="auto"/>
      </w:divBdr>
    </w:div>
    <w:div w:id="89401386">
      <w:bodyDiv w:val="1"/>
      <w:marLeft w:val="0"/>
      <w:marRight w:val="0"/>
      <w:marTop w:val="0"/>
      <w:marBottom w:val="0"/>
      <w:divBdr>
        <w:top w:val="none" w:sz="0" w:space="0" w:color="auto"/>
        <w:left w:val="none" w:sz="0" w:space="0" w:color="auto"/>
        <w:bottom w:val="none" w:sz="0" w:space="0" w:color="auto"/>
        <w:right w:val="none" w:sz="0" w:space="0" w:color="auto"/>
      </w:divBdr>
    </w:div>
    <w:div w:id="143545144">
      <w:bodyDiv w:val="1"/>
      <w:marLeft w:val="0"/>
      <w:marRight w:val="0"/>
      <w:marTop w:val="0"/>
      <w:marBottom w:val="0"/>
      <w:divBdr>
        <w:top w:val="none" w:sz="0" w:space="0" w:color="auto"/>
        <w:left w:val="none" w:sz="0" w:space="0" w:color="auto"/>
        <w:bottom w:val="none" w:sz="0" w:space="0" w:color="auto"/>
        <w:right w:val="none" w:sz="0" w:space="0" w:color="auto"/>
      </w:divBdr>
    </w:div>
    <w:div w:id="143815399">
      <w:bodyDiv w:val="1"/>
      <w:marLeft w:val="0"/>
      <w:marRight w:val="0"/>
      <w:marTop w:val="0"/>
      <w:marBottom w:val="0"/>
      <w:divBdr>
        <w:top w:val="none" w:sz="0" w:space="0" w:color="auto"/>
        <w:left w:val="none" w:sz="0" w:space="0" w:color="auto"/>
        <w:bottom w:val="none" w:sz="0" w:space="0" w:color="auto"/>
        <w:right w:val="none" w:sz="0" w:space="0" w:color="auto"/>
      </w:divBdr>
    </w:div>
    <w:div w:id="155649909">
      <w:bodyDiv w:val="1"/>
      <w:marLeft w:val="0"/>
      <w:marRight w:val="0"/>
      <w:marTop w:val="0"/>
      <w:marBottom w:val="0"/>
      <w:divBdr>
        <w:top w:val="none" w:sz="0" w:space="0" w:color="auto"/>
        <w:left w:val="none" w:sz="0" w:space="0" w:color="auto"/>
        <w:bottom w:val="none" w:sz="0" w:space="0" w:color="auto"/>
        <w:right w:val="none" w:sz="0" w:space="0" w:color="auto"/>
      </w:divBdr>
    </w:div>
    <w:div w:id="162090547">
      <w:bodyDiv w:val="1"/>
      <w:marLeft w:val="0"/>
      <w:marRight w:val="0"/>
      <w:marTop w:val="0"/>
      <w:marBottom w:val="0"/>
      <w:divBdr>
        <w:top w:val="none" w:sz="0" w:space="0" w:color="auto"/>
        <w:left w:val="none" w:sz="0" w:space="0" w:color="auto"/>
        <w:bottom w:val="none" w:sz="0" w:space="0" w:color="auto"/>
        <w:right w:val="none" w:sz="0" w:space="0" w:color="auto"/>
      </w:divBdr>
    </w:div>
    <w:div w:id="263809066">
      <w:bodyDiv w:val="1"/>
      <w:marLeft w:val="0"/>
      <w:marRight w:val="0"/>
      <w:marTop w:val="0"/>
      <w:marBottom w:val="0"/>
      <w:divBdr>
        <w:top w:val="none" w:sz="0" w:space="0" w:color="auto"/>
        <w:left w:val="none" w:sz="0" w:space="0" w:color="auto"/>
        <w:bottom w:val="none" w:sz="0" w:space="0" w:color="auto"/>
        <w:right w:val="none" w:sz="0" w:space="0" w:color="auto"/>
      </w:divBdr>
    </w:div>
    <w:div w:id="278949796">
      <w:bodyDiv w:val="1"/>
      <w:marLeft w:val="0"/>
      <w:marRight w:val="0"/>
      <w:marTop w:val="0"/>
      <w:marBottom w:val="0"/>
      <w:divBdr>
        <w:top w:val="none" w:sz="0" w:space="0" w:color="auto"/>
        <w:left w:val="none" w:sz="0" w:space="0" w:color="auto"/>
        <w:bottom w:val="none" w:sz="0" w:space="0" w:color="auto"/>
        <w:right w:val="none" w:sz="0" w:space="0" w:color="auto"/>
      </w:divBdr>
    </w:div>
    <w:div w:id="327371330">
      <w:bodyDiv w:val="1"/>
      <w:marLeft w:val="0"/>
      <w:marRight w:val="0"/>
      <w:marTop w:val="0"/>
      <w:marBottom w:val="0"/>
      <w:divBdr>
        <w:top w:val="none" w:sz="0" w:space="0" w:color="auto"/>
        <w:left w:val="none" w:sz="0" w:space="0" w:color="auto"/>
        <w:bottom w:val="none" w:sz="0" w:space="0" w:color="auto"/>
        <w:right w:val="none" w:sz="0" w:space="0" w:color="auto"/>
      </w:divBdr>
    </w:div>
    <w:div w:id="364716255">
      <w:bodyDiv w:val="1"/>
      <w:marLeft w:val="0"/>
      <w:marRight w:val="0"/>
      <w:marTop w:val="0"/>
      <w:marBottom w:val="0"/>
      <w:divBdr>
        <w:top w:val="none" w:sz="0" w:space="0" w:color="auto"/>
        <w:left w:val="none" w:sz="0" w:space="0" w:color="auto"/>
        <w:bottom w:val="none" w:sz="0" w:space="0" w:color="auto"/>
        <w:right w:val="none" w:sz="0" w:space="0" w:color="auto"/>
      </w:divBdr>
    </w:div>
    <w:div w:id="415831221">
      <w:bodyDiv w:val="1"/>
      <w:marLeft w:val="0"/>
      <w:marRight w:val="0"/>
      <w:marTop w:val="0"/>
      <w:marBottom w:val="0"/>
      <w:divBdr>
        <w:top w:val="none" w:sz="0" w:space="0" w:color="auto"/>
        <w:left w:val="none" w:sz="0" w:space="0" w:color="auto"/>
        <w:bottom w:val="none" w:sz="0" w:space="0" w:color="auto"/>
        <w:right w:val="none" w:sz="0" w:space="0" w:color="auto"/>
      </w:divBdr>
    </w:div>
    <w:div w:id="434593431">
      <w:bodyDiv w:val="1"/>
      <w:marLeft w:val="0"/>
      <w:marRight w:val="0"/>
      <w:marTop w:val="0"/>
      <w:marBottom w:val="0"/>
      <w:divBdr>
        <w:top w:val="none" w:sz="0" w:space="0" w:color="auto"/>
        <w:left w:val="none" w:sz="0" w:space="0" w:color="auto"/>
        <w:bottom w:val="none" w:sz="0" w:space="0" w:color="auto"/>
        <w:right w:val="none" w:sz="0" w:space="0" w:color="auto"/>
      </w:divBdr>
    </w:div>
    <w:div w:id="504973620">
      <w:bodyDiv w:val="1"/>
      <w:marLeft w:val="0"/>
      <w:marRight w:val="0"/>
      <w:marTop w:val="0"/>
      <w:marBottom w:val="0"/>
      <w:divBdr>
        <w:top w:val="none" w:sz="0" w:space="0" w:color="auto"/>
        <w:left w:val="none" w:sz="0" w:space="0" w:color="auto"/>
        <w:bottom w:val="none" w:sz="0" w:space="0" w:color="auto"/>
        <w:right w:val="none" w:sz="0" w:space="0" w:color="auto"/>
      </w:divBdr>
    </w:div>
    <w:div w:id="550112442">
      <w:bodyDiv w:val="1"/>
      <w:marLeft w:val="0"/>
      <w:marRight w:val="0"/>
      <w:marTop w:val="0"/>
      <w:marBottom w:val="0"/>
      <w:divBdr>
        <w:top w:val="none" w:sz="0" w:space="0" w:color="auto"/>
        <w:left w:val="none" w:sz="0" w:space="0" w:color="auto"/>
        <w:bottom w:val="none" w:sz="0" w:space="0" w:color="auto"/>
        <w:right w:val="none" w:sz="0" w:space="0" w:color="auto"/>
      </w:divBdr>
    </w:div>
    <w:div w:id="568922961">
      <w:bodyDiv w:val="1"/>
      <w:marLeft w:val="0"/>
      <w:marRight w:val="0"/>
      <w:marTop w:val="0"/>
      <w:marBottom w:val="0"/>
      <w:divBdr>
        <w:top w:val="none" w:sz="0" w:space="0" w:color="auto"/>
        <w:left w:val="none" w:sz="0" w:space="0" w:color="auto"/>
        <w:bottom w:val="none" w:sz="0" w:space="0" w:color="auto"/>
        <w:right w:val="none" w:sz="0" w:space="0" w:color="auto"/>
      </w:divBdr>
    </w:div>
    <w:div w:id="626666018">
      <w:bodyDiv w:val="1"/>
      <w:marLeft w:val="0"/>
      <w:marRight w:val="0"/>
      <w:marTop w:val="0"/>
      <w:marBottom w:val="0"/>
      <w:divBdr>
        <w:top w:val="none" w:sz="0" w:space="0" w:color="auto"/>
        <w:left w:val="none" w:sz="0" w:space="0" w:color="auto"/>
        <w:bottom w:val="none" w:sz="0" w:space="0" w:color="auto"/>
        <w:right w:val="none" w:sz="0" w:space="0" w:color="auto"/>
      </w:divBdr>
    </w:div>
    <w:div w:id="640311908">
      <w:bodyDiv w:val="1"/>
      <w:marLeft w:val="0"/>
      <w:marRight w:val="0"/>
      <w:marTop w:val="0"/>
      <w:marBottom w:val="0"/>
      <w:divBdr>
        <w:top w:val="none" w:sz="0" w:space="0" w:color="auto"/>
        <w:left w:val="none" w:sz="0" w:space="0" w:color="auto"/>
        <w:bottom w:val="none" w:sz="0" w:space="0" w:color="auto"/>
        <w:right w:val="none" w:sz="0" w:space="0" w:color="auto"/>
      </w:divBdr>
    </w:div>
    <w:div w:id="660238432">
      <w:bodyDiv w:val="1"/>
      <w:marLeft w:val="0"/>
      <w:marRight w:val="0"/>
      <w:marTop w:val="0"/>
      <w:marBottom w:val="0"/>
      <w:divBdr>
        <w:top w:val="none" w:sz="0" w:space="0" w:color="auto"/>
        <w:left w:val="none" w:sz="0" w:space="0" w:color="auto"/>
        <w:bottom w:val="none" w:sz="0" w:space="0" w:color="auto"/>
        <w:right w:val="none" w:sz="0" w:space="0" w:color="auto"/>
      </w:divBdr>
    </w:div>
    <w:div w:id="695500562">
      <w:bodyDiv w:val="1"/>
      <w:marLeft w:val="0"/>
      <w:marRight w:val="0"/>
      <w:marTop w:val="0"/>
      <w:marBottom w:val="0"/>
      <w:divBdr>
        <w:top w:val="none" w:sz="0" w:space="0" w:color="auto"/>
        <w:left w:val="none" w:sz="0" w:space="0" w:color="auto"/>
        <w:bottom w:val="none" w:sz="0" w:space="0" w:color="auto"/>
        <w:right w:val="none" w:sz="0" w:space="0" w:color="auto"/>
      </w:divBdr>
    </w:div>
    <w:div w:id="734472556">
      <w:bodyDiv w:val="1"/>
      <w:marLeft w:val="0"/>
      <w:marRight w:val="0"/>
      <w:marTop w:val="0"/>
      <w:marBottom w:val="0"/>
      <w:divBdr>
        <w:top w:val="none" w:sz="0" w:space="0" w:color="auto"/>
        <w:left w:val="none" w:sz="0" w:space="0" w:color="auto"/>
        <w:bottom w:val="none" w:sz="0" w:space="0" w:color="auto"/>
        <w:right w:val="none" w:sz="0" w:space="0" w:color="auto"/>
      </w:divBdr>
    </w:div>
    <w:div w:id="769741901">
      <w:bodyDiv w:val="1"/>
      <w:marLeft w:val="0"/>
      <w:marRight w:val="0"/>
      <w:marTop w:val="0"/>
      <w:marBottom w:val="0"/>
      <w:divBdr>
        <w:top w:val="none" w:sz="0" w:space="0" w:color="auto"/>
        <w:left w:val="none" w:sz="0" w:space="0" w:color="auto"/>
        <w:bottom w:val="none" w:sz="0" w:space="0" w:color="auto"/>
        <w:right w:val="none" w:sz="0" w:space="0" w:color="auto"/>
      </w:divBdr>
    </w:div>
    <w:div w:id="788888878">
      <w:bodyDiv w:val="1"/>
      <w:marLeft w:val="0"/>
      <w:marRight w:val="0"/>
      <w:marTop w:val="0"/>
      <w:marBottom w:val="0"/>
      <w:divBdr>
        <w:top w:val="none" w:sz="0" w:space="0" w:color="auto"/>
        <w:left w:val="none" w:sz="0" w:space="0" w:color="auto"/>
        <w:bottom w:val="none" w:sz="0" w:space="0" w:color="auto"/>
        <w:right w:val="none" w:sz="0" w:space="0" w:color="auto"/>
      </w:divBdr>
    </w:div>
    <w:div w:id="796722465">
      <w:bodyDiv w:val="1"/>
      <w:marLeft w:val="0"/>
      <w:marRight w:val="0"/>
      <w:marTop w:val="0"/>
      <w:marBottom w:val="0"/>
      <w:divBdr>
        <w:top w:val="none" w:sz="0" w:space="0" w:color="auto"/>
        <w:left w:val="none" w:sz="0" w:space="0" w:color="auto"/>
        <w:bottom w:val="none" w:sz="0" w:space="0" w:color="auto"/>
        <w:right w:val="none" w:sz="0" w:space="0" w:color="auto"/>
      </w:divBdr>
    </w:div>
    <w:div w:id="828404853">
      <w:bodyDiv w:val="1"/>
      <w:marLeft w:val="0"/>
      <w:marRight w:val="0"/>
      <w:marTop w:val="0"/>
      <w:marBottom w:val="0"/>
      <w:divBdr>
        <w:top w:val="none" w:sz="0" w:space="0" w:color="auto"/>
        <w:left w:val="none" w:sz="0" w:space="0" w:color="auto"/>
        <w:bottom w:val="none" w:sz="0" w:space="0" w:color="auto"/>
        <w:right w:val="none" w:sz="0" w:space="0" w:color="auto"/>
      </w:divBdr>
    </w:div>
    <w:div w:id="889997007">
      <w:bodyDiv w:val="1"/>
      <w:marLeft w:val="0"/>
      <w:marRight w:val="0"/>
      <w:marTop w:val="0"/>
      <w:marBottom w:val="0"/>
      <w:divBdr>
        <w:top w:val="none" w:sz="0" w:space="0" w:color="auto"/>
        <w:left w:val="none" w:sz="0" w:space="0" w:color="auto"/>
        <w:bottom w:val="none" w:sz="0" w:space="0" w:color="auto"/>
        <w:right w:val="none" w:sz="0" w:space="0" w:color="auto"/>
      </w:divBdr>
    </w:div>
    <w:div w:id="891691329">
      <w:bodyDiv w:val="1"/>
      <w:marLeft w:val="0"/>
      <w:marRight w:val="0"/>
      <w:marTop w:val="0"/>
      <w:marBottom w:val="0"/>
      <w:divBdr>
        <w:top w:val="none" w:sz="0" w:space="0" w:color="auto"/>
        <w:left w:val="none" w:sz="0" w:space="0" w:color="auto"/>
        <w:bottom w:val="none" w:sz="0" w:space="0" w:color="auto"/>
        <w:right w:val="none" w:sz="0" w:space="0" w:color="auto"/>
      </w:divBdr>
    </w:div>
    <w:div w:id="907037784">
      <w:bodyDiv w:val="1"/>
      <w:marLeft w:val="0"/>
      <w:marRight w:val="0"/>
      <w:marTop w:val="0"/>
      <w:marBottom w:val="0"/>
      <w:divBdr>
        <w:top w:val="none" w:sz="0" w:space="0" w:color="auto"/>
        <w:left w:val="none" w:sz="0" w:space="0" w:color="auto"/>
        <w:bottom w:val="none" w:sz="0" w:space="0" w:color="auto"/>
        <w:right w:val="none" w:sz="0" w:space="0" w:color="auto"/>
      </w:divBdr>
    </w:div>
    <w:div w:id="913587496">
      <w:bodyDiv w:val="1"/>
      <w:marLeft w:val="0"/>
      <w:marRight w:val="0"/>
      <w:marTop w:val="0"/>
      <w:marBottom w:val="0"/>
      <w:divBdr>
        <w:top w:val="none" w:sz="0" w:space="0" w:color="auto"/>
        <w:left w:val="none" w:sz="0" w:space="0" w:color="auto"/>
        <w:bottom w:val="none" w:sz="0" w:space="0" w:color="auto"/>
        <w:right w:val="none" w:sz="0" w:space="0" w:color="auto"/>
      </w:divBdr>
    </w:div>
    <w:div w:id="982927404">
      <w:bodyDiv w:val="1"/>
      <w:marLeft w:val="0"/>
      <w:marRight w:val="0"/>
      <w:marTop w:val="0"/>
      <w:marBottom w:val="0"/>
      <w:divBdr>
        <w:top w:val="none" w:sz="0" w:space="0" w:color="auto"/>
        <w:left w:val="none" w:sz="0" w:space="0" w:color="auto"/>
        <w:bottom w:val="none" w:sz="0" w:space="0" w:color="auto"/>
        <w:right w:val="none" w:sz="0" w:space="0" w:color="auto"/>
      </w:divBdr>
    </w:div>
    <w:div w:id="1027292269">
      <w:bodyDiv w:val="1"/>
      <w:marLeft w:val="0"/>
      <w:marRight w:val="0"/>
      <w:marTop w:val="0"/>
      <w:marBottom w:val="0"/>
      <w:divBdr>
        <w:top w:val="none" w:sz="0" w:space="0" w:color="auto"/>
        <w:left w:val="none" w:sz="0" w:space="0" w:color="auto"/>
        <w:bottom w:val="none" w:sz="0" w:space="0" w:color="auto"/>
        <w:right w:val="none" w:sz="0" w:space="0" w:color="auto"/>
      </w:divBdr>
    </w:div>
    <w:div w:id="1048921062">
      <w:bodyDiv w:val="1"/>
      <w:marLeft w:val="0"/>
      <w:marRight w:val="0"/>
      <w:marTop w:val="0"/>
      <w:marBottom w:val="0"/>
      <w:divBdr>
        <w:top w:val="none" w:sz="0" w:space="0" w:color="auto"/>
        <w:left w:val="none" w:sz="0" w:space="0" w:color="auto"/>
        <w:bottom w:val="none" w:sz="0" w:space="0" w:color="auto"/>
        <w:right w:val="none" w:sz="0" w:space="0" w:color="auto"/>
      </w:divBdr>
    </w:div>
    <w:div w:id="1058094706">
      <w:bodyDiv w:val="1"/>
      <w:marLeft w:val="0"/>
      <w:marRight w:val="0"/>
      <w:marTop w:val="0"/>
      <w:marBottom w:val="0"/>
      <w:divBdr>
        <w:top w:val="none" w:sz="0" w:space="0" w:color="auto"/>
        <w:left w:val="none" w:sz="0" w:space="0" w:color="auto"/>
        <w:bottom w:val="none" w:sz="0" w:space="0" w:color="auto"/>
        <w:right w:val="none" w:sz="0" w:space="0" w:color="auto"/>
      </w:divBdr>
    </w:div>
    <w:div w:id="1105073979">
      <w:bodyDiv w:val="1"/>
      <w:marLeft w:val="0"/>
      <w:marRight w:val="0"/>
      <w:marTop w:val="0"/>
      <w:marBottom w:val="0"/>
      <w:divBdr>
        <w:top w:val="none" w:sz="0" w:space="0" w:color="auto"/>
        <w:left w:val="none" w:sz="0" w:space="0" w:color="auto"/>
        <w:bottom w:val="none" w:sz="0" w:space="0" w:color="auto"/>
        <w:right w:val="none" w:sz="0" w:space="0" w:color="auto"/>
      </w:divBdr>
    </w:div>
    <w:div w:id="1210847576">
      <w:bodyDiv w:val="1"/>
      <w:marLeft w:val="0"/>
      <w:marRight w:val="0"/>
      <w:marTop w:val="0"/>
      <w:marBottom w:val="0"/>
      <w:divBdr>
        <w:top w:val="none" w:sz="0" w:space="0" w:color="auto"/>
        <w:left w:val="none" w:sz="0" w:space="0" w:color="auto"/>
        <w:bottom w:val="none" w:sz="0" w:space="0" w:color="auto"/>
        <w:right w:val="none" w:sz="0" w:space="0" w:color="auto"/>
      </w:divBdr>
    </w:div>
    <w:div w:id="1272588255">
      <w:bodyDiv w:val="1"/>
      <w:marLeft w:val="0"/>
      <w:marRight w:val="0"/>
      <w:marTop w:val="0"/>
      <w:marBottom w:val="0"/>
      <w:divBdr>
        <w:top w:val="none" w:sz="0" w:space="0" w:color="auto"/>
        <w:left w:val="none" w:sz="0" w:space="0" w:color="auto"/>
        <w:bottom w:val="none" w:sz="0" w:space="0" w:color="auto"/>
        <w:right w:val="none" w:sz="0" w:space="0" w:color="auto"/>
      </w:divBdr>
    </w:div>
    <w:div w:id="1292587626">
      <w:bodyDiv w:val="1"/>
      <w:marLeft w:val="0"/>
      <w:marRight w:val="0"/>
      <w:marTop w:val="0"/>
      <w:marBottom w:val="0"/>
      <w:divBdr>
        <w:top w:val="none" w:sz="0" w:space="0" w:color="auto"/>
        <w:left w:val="none" w:sz="0" w:space="0" w:color="auto"/>
        <w:bottom w:val="none" w:sz="0" w:space="0" w:color="auto"/>
        <w:right w:val="none" w:sz="0" w:space="0" w:color="auto"/>
      </w:divBdr>
    </w:div>
    <w:div w:id="1299409620">
      <w:bodyDiv w:val="1"/>
      <w:marLeft w:val="0"/>
      <w:marRight w:val="0"/>
      <w:marTop w:val="0"/>
      <w:marBottom w:val="0"/>
      <w:divBdr>
        <w:top w:val="none" w:sz="0" w:space="0" w:color="auto"/>
        <w:left w:val="none" w:sz="0" w:space="0" w:color="auto"/>
        <w:bottom w:val="none" w:sz="0" w:space="0" w:color="auto"/>
        <w:right w:val="none" w:sz="0" w:space="0" w:color="auto"/>
      </w:divBdr>
    </w:div>
    <w:div w:id="1315648006">
      <w:bodyDiv w:val="1"/>
      <w:marLeft w:val="0"/>
      <w:marRight w:val="0"/>
      <w:marTop w:val="0"/>
      <w:marBottom w:val="0"/>
      <w:divBdr>
        <w:top w:val="none" w:sz="0" w:space="0" w:color="auto"/>
        <w:left w:val="none" w:sz="0" w:space="0" w:color="auto"/>
        <w:bottom w:val="none" w:sz="0" w:space="0" w:color="auto"/>
        <w:right w:val="none" w:sz="0" w:space="0" w:color="auto"/>
      </w:divBdr>
    </w:div>
    <w:div w:id="1318193985">
      <w:bodyDiv w:val="1"/>
      <w:marLeft w:val="0"/>
      <w:marRight w:val="0"/>
      <w:marTop w:val="0"/>
      <w:marBottom w:val="0"/>
      <w:divBdr>
        <w:top w:val="none" w:sz="0" w:space="0" w:color="auto"/>
        <w:left w:val="none" w:sz="0" w:space="0" w:color="auto"/>
        <w:bottom w:val="none" w:sz="0" w:space="0" w:color="auto"/>
        <w:right w:val="none" w:sz="0" w:space="0" w:color="auto"/>
      </w:divBdr>
    </w:div>
    <w:div w:id="1417674979">
      <w:bodyDiv w:val="1"/>
      <w:marLeft w:val="0"/>
      <w:marRight w:val="0"/>
      <w:marTop w:val="0"/>
      <w:marBottom w:val="0"/>
      <w:divBdr>
        <w:top w:val="none" w:sz="0" w:space="0" w:color="auto"/>
        <w:left w:val="none" w:sz="0" w:space="0" w:color="auto"/>
        <w:bottom w:val="none" w:sz="0" w:space="0" w:color="auto"/>
        <w:right w:val="none" w:sz="0" w:space="0" w:color="auto"/>
      </w:divBdr>
    </w:div>
    <w:div w:id="1423643653">
      <w:bodyDiv w:val="1"/>
      <w:marLeft w:val="0"/>
      <w:marRight w:val="0"/>
      <w:marTop w:val="0"/>
      <w:marBottom w:val="0"/>
      <w:divBdr>
        <w:top w:val="none" w:sz="0" w:space="0" w:color="auto"/>
        <w:left w:val="none" w:sz="0" w:space="0" w:color="auto"/>
        <w:bottom w:val="none" w:sz="0" w:space="0" w:color="auto"/>
        <w:right w:val="none" w:sz="0" w:space="0" w:color="auto"/>
      </w:divBdr>
    </w:div>
    <w:div w:id="1427845523">
      <w:bodyDiv w:val="1"/>
      <w:marLeft w:val="0"/>
      <w:marRight w:val="0"/>
      <w:marTop w:val="0"/>
      <w:marBottom w:val="0"/>
      <w:divBdr>
        <w:top w:val="none" w:sz="0" w:space="0" w:color="auto"/>
        <w:left w:val="none" w:sz="0" w:space="0" w:color="auto"/>
        <w:bottom w:val="none" w:sz="0" w:space="0" w:color="auto"/>
        <w:right w:val="none" w:sz="0" w:space="0" w:color="auto"/>
      </w:divBdr>
    </w:div>
    <w:div w:id="1511220057">
      <w:bodyDiv w:val="1"/>
      <w:marLeft w:val="0"/>
      <w:marRight w:val="0"/>
      <w:marTop w:val="0"/>
      <w:marBottom w:val="0"/>
      <w:divBdr>
        <w:top w:val="none" w:sz="0" w:space="0" w:color="auto"/>
        <w:left w:val="none" w:sz="0" w:space="0" w:color="auto"/>
        <w:bottom w:val="none" w:sz="0" w:space="0" w:color="auto"/>
        <w:right w:val="none" w:sz="0" w:space="0" w:color="auto"/>
      </w:divBdr>
    </w:div>
    <w:div w:id="1686321760">
      <w:bodyDiv w:val="1"/>
      <w:marLeft w:val="0"/>
      <w:marRight w:val="0"/>
      <w:marTop w:val="0"/>
      <w:marBottom w:val="0"/>
      <w:divBdr>
        <w:top w:val="none" w:sz="0" w:space="0" w:color="auto"/>
        <w:left w:val="none" w:sz="0" w:space="0" w:color="auto"/>
        <w:bottom w:val="none" w:sz="0" w:space="0" w:color="auto"/>
        <w:right w:val="none" w:sz="0" w:space="0" w:color="auto"/>
      </w:divBdr>
      <w:divsChild>
        <w:div w:id="289896876">
          <w:blockQuote w:val="1"/>
          <w:marLeft w:val="720"/>
          <w:marRight w:val="720"/>
          <w:marTop w:val="100"/>
          <w:marBottom w:val="100"/>
          <w:divBdr>
            <w:top w:val="none" w:sz="0" w:space="0" w:color="auto"/>
            <w:left w:val="none" w:sz="0" w:space="0" w:color="auto"/>
            <w:bottom w:val="none" w:sz="0" w:space="0" w:color="auto"/>
            <w:right w:val="none" w:sz="0" w:space="0" w:color="auto"/>
          </w:divBdr>
        </w:div>
        <w:div w:id="375129355">
          <w:blockQuote w:val="1"/>
          <w:marLeft w:val="720"/>
          <w:marRight w:val="720"/>
          <w:marTop w:val="100"/>
          <w:marBottom w:val="100"/>
          <w:divBdr>
            <w:top w:val="none" w:sz="0" w:space="0" w:color="auto"/>
            <w:left w:val="none" w:sz="0" w:space="0" w:color="auto"/>
            <w:bottom w:val="none" w:sz="0" w:space="0" w:color="auto"/>
            <w:right w:val="none" w:sz="0" w:space="0" w:color="auto"/>
          </w:divBdr>
        </w:div>
        <w:div w:id="429934014">
          <w:blockQuote w:val="1"/>
          <w:marLeft w:val="720"/>
          <w:marRight w:val="720"/>
          <w:marTop w:val="100"/>
          <w:marBottom w:val="100"/>
          <w:divBdr>
            <w:top w:val="none" w:sz="0" w:space="0" w:color="auto"/>
            <w:left w:val="none" w:sz="0" w:space="0" w:color="auto"/>
            <w:bottom w:val="none" w:sz="0" w:space="0" w:color="auto"/>
            <w:right w:val="none" w:sz="0" w:space="0" w:color="auto"/>
          </w:divBdr>
        </w:div>
        <w:div w:id="548541161">
          <w:blockQuote w:val="1"/>
          <w:marLeft w:val="720"/>
          <w:marRight w:val="720"/>
          <w:marTop w:val="100"/>
          <w:marBottom w:val="100"/>
          <w:divBdr>
            <w:top w:val="none" w:sz="0" w:space="0" w:color="auto"/>
            <w:left w:val="none" w:sz="0" w:space="0" w:color="auto"/>
            <w:bottom w:val="none" w:sz="0" w:space="0" w:color="auto"/>
            <w:right w:val="none" w:sz="0" w:space="0" w:color="auto"/>
          </w:divBdr>
        </w:div>
        <w:div w:id="956526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450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291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729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905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80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259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498856">
      <w:bodyDiv w:val="1"/>
      <w:marLeft w:val="0"/>
      <w:marRight w:val="0"/>
      <w:marTop w:val="0"/>
      <w:marBottom w:val="0"/>
      <w:divBdr>
        <w:top w:val="none" w:sz="0" w:space="0" w:color="auto"/>
        <w:left w:val="none" w:sz="0" w:space="0" w:color="auto"/>
        <w:bottom w:val="none" w:sz="0" w:space="0" w:color="auto"/>
        <w:right w:val="none" w:sz="0" w:space="0" w:color="auto"/>
      </w:divBdr>
    </w:div>
    <w:div w:id="1732271359">
      <w:bodyDiv w:val="1"/>
      <w:marLeft w:val="0"/>
      <w:marRight w:val="0"/>
      <w:marTop w:val="0"/>
      <w:marBottom w:val="0"/>
      <w:divBdr>
        <w:top w:val="none" w:sz="0" w:space="0" w:color="auto"/>
        <w:left w:val="none" w:sz="0" w:space="0" w:color="auto"/>
        <w:bottom w:val="none" w:sz="0" w:space="0" w:color="auto"/>
        <w:right w:val="none" w:sz="0" w:space="0" w:color="auto"/>
      </w:divBdr>
    </w:div>
    <w:div w:id="1758475816">
      <w:bodyDiv w:val="1"/>
      <w:marLeft w:val="0"/>
      <w:marRight w:val="0"/>
      <w:marTop w:val="0"/>
      <w:marBottom w:val="0"/>
      <w:divBdr>
        <w:top w:val="none" w:sz="0" w:space="0" w:color="auto"/>
        <w:left w:val="none" w:sz="0" w:space="0" w:color="auto"/>
        <w:bottom w:val="none" w:sz="0" w:space="0" w:color="auto"/>
        <w:right w:val="none" w:sz="0" w:space="0" w:color="auto"/>
      </w:divBdr>
    </w:div>
    <w:div w:id="1814978403">
      <w:bodyDiv w:val="1"/>
      <w:marLeft w:val="0"/>
      <w:marRight w:val="0"/>
      <w:marTop w:val="0"/>
      <w:marBottom w:val="0"/>
      <w:divBdr>
        <w:top w:val="none" w:sz="0" w:space="0" w:color="auto"/>
        <w:left w:val="none" w:sz="0" w:space="0" w:color="auto"/>
        <w:bottom w:val="none" w:sz="0" w:space="0" w:color="auto"/>
        <w:right w:val="none" w:sz="0" w:space="0" w:color="auto"/>
      </w:divBdr>
    </w:div>
    <w:div w:id="1971520924">
      <w:bodyDiv w:val="1"/>
      <w:marLeft w:val="0"/>
      <w:marRight w:val="0"/>
      <w:marTop w:val="0"/>
      <w:marBottom w:val="0"/>
      <w:divBdr>
        <w:top w:val="none" w:sz="0" w:space="0" w:color="auto"/>
        <w:left w:val="none" w:sz="0" w:space="0" w:color="auto"/>
        <w:bottom w:val="none" w:sz="0" w:space="0" w:color="auto"/>
        <w:right w:val="none" w:sz="0" w:space="0" w:color="auto"/>
      </w:divBdr>
    </w:div>
    <w:div w:id="1994723603">
      <w:bodyDiv w:val="1"/>
      <w:marLeft w:val="0"/>
      <w:marRight w:val="0"/>
      <w:marTop w:val="0"/>
      <w:marBottom w:val="0"/>
      <w:divBdr>
        <w:top w:val="none" w:sz="0" w:space="0" w:color="auto"/>
        <w:left w:val="none" w:sz="0" w:space="0" w:color="auto"/>
        <w:bottom w:val="none" w:sz="0" w:space="0" w:color="auto"/>
        <w:right w:val="none" w:sz="0" w:space="0" w:color="auto"/>
      </w:divBdr>
    </w:div>
    <w:div w:id="2020085856">
      <w:bodyDiv w:val="1"/>
      <w:marLeft w:val="0"/>
      <w:marRight w:val="0"/>
      <w:marTop w:val="0"/>
      <w:marBottom w:val="0"/>
      <w:divBdr>
        <w:top w:val="none" w:sz="0" w:space="0" w:color="auto"/>
        <w:left w:val="none" w:sz="0" w:space="0" w:color="auto"/>
        <w:bottom w:val="none" w:sz="0" w:space="0" w:color="auto"/>
        <w:right w:val="none" w:sz="0" w:space="0" w:color="auto"/>
      </w:divBdr>
    </w:div>
    <w:div w:id="2057468191">
      <w:bodyDiv w:val="1"/>
      <w:marLeft w:val="0"/>
      <w:marRight w:val="0"/>
      <w:marTop w:val="0"/>
      <w:marBottom w:val="0"/>
      <w:divBdr>
        <w:top w:val="none" w:sz="0" w:space="0" w:color="auto"/>
        <w:left w:val="none" w:sz="0" w:space="0" w:color="auto"/>
        <w:bottom w:val="none" w:sz="0" w:space="0" w:color="auto"/>
        <w:right w:val="none" w:sz="0" w:space="0" w:color="auto"/>
      </w:divBdr>
    </w:div>
    <w:div w:id="2058892843">
      <w:bodyDiv w:val="1"/>
      <w:marLeft w:val="0"/>
      <w:marRight w:val="0"/>
      <w:marTop w:val="0"/>
      <w:marBottom w:val="0"/>
      <w:divBdr>
        <w:top w:val="none" w:sz="0" w:space="0" w:color="auto"/>
        <w:left w:val="none" w:sz="0" w:space="0" w:color="auto"/>
        <w:bottom w:val="none" w:sz="0" w:space="0" w:color="auto"/>
        <w:right w:val="none" w:sz="0" w:space="0" w:color="auto"/>
      </w:divBdr>
    </w:div>
    <w:div w:id="2135365388">
      <w:bodyDiv w:val="1"/>
      <w:marLeft w:val="0"/>
      <w:marRight w:val="0"/>
      <w:marTop w:val="0"/>
      <w:marBottom w:val="0"/>
      <w:divBdr>
        <w:top w:val="none" w:sz="0" w:space="0" w:color="auto"/>
        <w:left w:val="none" w:sz="0" w:space="0" w:color="auto"/>
        <w:bottom w:val="none" w:sz="0" w:space="0" w:color="auto"/>
        <w:right w:val="none" w:sz="0" w:space="0" w:color="auto"/>
      </w:divBdr>
    </w:div>
    <w:div w:id="214056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undocs.org/Home/Mobile?FinalSymbol=A%2FHRC%2F49%2F52&amp;Language=E&amp;DeviceType=Desktop&amp;LangRequested=False" TargetMode="External"/><Relationship Id="rId18" Type="http://schemas.openxmlformats.org/officeDocument/2006/relationships/hyperlink" Target="https://documents-dds-ny.un.org/doc/UNDOC/GEN/N19/312/13/PDF/N1931213.pdf?OpenElement" TargetMode="External"/><Relationship Id="rId26" Type="http://schemas.openxmlformats.org/officeDocument/2006/relationships/hyperlink" Target="https://www.wired.com/story/welfare-state-algorithms/" TargetMode="External"/><Relationship Id="rId39" Type="http://schemas.openxmlformats.org/officeDocument/2006/relationships/hyperlink" Target="https://www.europarl.europa.eu/news/en/press-room/20230609IPR96212/meps-ready-to-negotiate-first-ever-rules-for-safe-and-transparent-ai" TargetMode="External"/><Relationship Id="rId21" Type="http://schemas.openxmlformats.org/officeDocument/2006/relationships/hyperlink" Target="https://documents-dds-ny.un.org/doc/UNDOC/GEN/N19/312/13/PDF/N1931213.pdf?OpenElement" TargetMode="External"/><Relationship Id="rId34" Type="http://schemas.openxmlformats.org/officeDocument/2006/relationships/hyperlink" Target="https://www.gov.uk/government/publications/fraud-investigations-staff-guide" TargetMode="External"/><Relationship Id="rId42" Type="http://schemas.openxmlformats.org/officeDocument/2006/relationships/hyperlink" Target="https://privacyinternational.org/campaigns/best-before-date-our-devices-campaign" TargetMode="External"/><Relationship Id="rId47" Type="http://schemas.openxmlformats.org/officeDocument/2006/relationships/hyperlink" Target="https://www.who.int/news-room/fact-sheets/detail/assistive-technology" TargetMode="External"/><Relationship Id="rId50" Type="http://schemas.openxmlformats.org/officeDocument/2006/relationships/hyperlink" Target="https://www.europarl.europa.eu/RegData/etudes/IDAN/2018/603218/EPRS_IDA(2018)603218(ANN4)_EN.pdf" TargetMode="External"/><Relationship Id="rId7" Type="http://schemas.openxmlformats.org/officeDocument/2006/relationships/hyperlink" Target="https://eur-lex.europa.eu/eli/reg/2016/679/oj/" TargetMode="External"/><Relationship Id="rId2" Type="http://schemas.openxmlformats.org/officeDocument/2006/relationships/hyperlink" Target="https://www.un.org/development/desa/disabilities/resources/reaching-the-most-vulnerable-proposed-supplement-to-the-standard-rules-on-the-equalization-of-opportunities-for-persons-with-disabilities-annex-ecn-520044.html" TargetMode="External"/><Relationship Id="rId16" Type="http://schemas.openxmlformats.org/officeDocument/2006/relationships/hyperlink" Target="https://www.hrw.org/news/2019/06/10/disastrous-roll-out-uks-digital-welfare-system-harming-those-most-need" TargetMode="External"/><Relationship Id="rId29" Type="http://schemas.openxmlformats.org/officeDocument/2006/relationships/hyperlink" Target="https://privacyinternational.org/long-read/4882/emergency-social-protection-responses-covid-19-around-world" TargetMode="External"/><Relationship Id="rId11" Type="http://schemas.openxmlformats.org/officeDocument/2006/relationships/hyperlink" Target="https://www.europarl.europa.eu/news/en/press-room/20230609IPR96212/meps-ready-to-negotiate-first-ever-rules-for-safe-and-transparent-ai" TargetMode="External"/><Relationship Id="rId24" Type="http://schemas.openxmlformats.org/officeDocument/2006/relationships/hyperlink" Target="https://privacyinternational.org/news-analysis/3363/syri-case-landmark-ruling-benefits-claimants-around-world" TargetMode="External"/><Relationship Id="rId32" Type="http://schemas.openxmlformats.org/officeDocument/2006/relationships/hyperlink" Target="https://apnews.com/article/justice-scrutinizes-pittsburgh-child-welfare-ai-tool-4f61f45bfc3245fd2556e886c2da988b" TargetMode="External"/><Relationship Id="rId37" Type="http://schemas.openxmlformats.org/officeDocument/2006/relationships/hyperlink" Target="https://privacyinternational.org/sites/default/files/2018-04/Data%20Is%20Power-Profiling%20and%20Automated%20Decision-Making%20in%20GDPR.pdf" TargetMode="External"/><Relationship Id="rId40" Type="http://schemas.openxmlformats.org/officeDocument/2006/relationships/hyperlink" Target="https://privacyinternational.org/long-read/4944/world-bank-social-protection-during-crises-privacy-trade" TargetMode="External"/><Relationship Id="rId45" Type="http://schemas.openxmlformats.org/officeDocument/2006/relationships/hyperlink" Target="https://www.ohchr.org/Documents/Issues/Business/B-Tech/introduction-ungp-age-technology.pdf" TargetMode="External"/><Relationship Id="rId5" Type="http://schemas.openxmlformats.org/officeDocument/2006/relationships/hyperlink" Target="https://www.undocs.org/Home/Mobile?FinalSymbol=A%2FHRC%2F49%2F52&amp;Language=E&amp;DeviceType=Desktop&amp;LangRequested=False" TargetMode="External"/><Relationship Id="rId15" Type="http://schemas.openxmlformats.org/officeDocument/2006/relationships/hyperlink" Target="https://chrgj.org/focus-areas/technology/digital-welfare-state-and-human-rights-project/" TargetMode="External"/><Relationship Id="rId23" Type="http://schemas.openxmlformats.org/officeDocument/2006/relationships/hyperlink" Target="https://www.google.com/url?sa=t&amp;rct=j&amp;q=&amp;esrc=s&amp;source=web&amp;cd=&amp;ved=2ahUKEwiSmbDi0beAAxVIP-wKHZ8DB1gQFnoECB8QAQ&amp;url=https%3A%2F%2Fwww.ohchr.org%2FDocuments%2FIssues%2FPoverty%2FA_74_48037_AdvanceUneditedVersion.docx&amp;usg=AOvVaw1jRH0rb0geojazfZCC8f3V&amp;opi=89978449" TargetMode="External"/><Relationship Id="rId28" Type="http://schemas.openxmlformats.org/officeDocument/2006/relationships/hyperlink" Target="https://privacyinternational.org/long-read/4882/emergency-social-protection-responses-covid-19-around-world" TargetMode="External"/><Relationship Id="rId36" Type="http://schemas.openxmlformats.org/officeDocument/2006/relationships/hyperlink" Target="https://www.gmlaw.org.uk/2022/03/31/algorithmic-injustice-an-interview-with-rick-burgess-from-gmcdp/" TargetMode="External"/><Relationship Id="rId49" Type="http://schemas.openxmlformats.org/officeDocument/2006/relationships/hyperlink" Target="https://eur-lex.europa.eu/legal-content/EN/TXT/?uri=CELEX%3A32019L0882" TargetMode="External"/><Relationship Id="rId10" Type="http://schemas.openxmlformats.org/officeDocument/2006/relationships/hyperlink" Target="https://privacyinternational.org/sites/default/files/2018-09/Data%20Protection%20COMPLETE.pdf" TargetMode="External"/><Relationship Id="rId19" Type="http://schemas.openxmlformats.org/officeDocument/2006/relationships/hyperlink" Target="https://documents-dds-ny.un.org/doc/UNDOC/GEN/G16/436/64/PDF/G1643664.pdf?OpenElement" TargetMode="External"/><Relationship Id="rId31" Type="http://schemas.openxmlformats.org/officeDocument/2006/relationships/hyperlink" Target="https://apnews.com/article/child-protective-services-algorithms-artificial-intelligence-disability-02469a9ad3ed3e9a31ddae68838bc76e" TargetMode="External"/><Relationship Id="rId44" Type="http://schemas.openxmlformats.org/officeDocument/2006/relationships/hyperlink" Target="https://doi.org/10.1093/idpl/ipac001" TargetMode="External"/><Relationship Id="rId4" Type="http://schemas.openxmlformats.org/officeDocument/2006/relationships/hyperlink" Target="https://www.un.org/development/desa/disabilities/resources/reaching-the-most-vulnerable-proposed-supplement-to-the-standard-rules-on-the-equalization-of-opportunities-for-persons-with-disabilities-annex-ecn-520044.html" TargetMode="External"/><Relationship Id="rId9" Type="http://schemas.openxmlformats.org/officeDocument/2006/relationships/hyperlink" Target="https://rm.coe.int/convention-108-convention-for-the-protection-of-individuals-with-regar/16808b36f1" TargetMode="External"/><Relationship Id="rId14" Type="http://schemas.openxmlformats.org/officeDocument/2006/relationships/hyperlink" Target="https://srdisability.org/thematic-reports/artificial-intelligence-and-the-rights-of-persons-with-disabilities/" TargetMode="External"/><Relationship Id="rId22" Type="http://schemas.openxmlformats.org/officeDocument/2006/relationships/hyperlink" Target="https://privacyinternational.org/taxonomy/term/675" TargetMode="External"/><Relationship Id="rId27" Type="http://schemas.openxmlformats.org/officeDocument/2006/relationships/hyperlink" Target="https://privacyinternational.org/long-read/4473/case-solidarity-income-colombia-experimentation-data-social-policy-during-pandemic" TargetMode="External"/><Relationship Id="rId30" Type="http://schemas.openxmlformats.org/officeDocument/2006/relationships/hyperlink" Target="https://daccess-ods.un.org/tmp/4240980.44633865.html" TargetMode="External"/><Relationship Id="rId35" Type="http://schemas.openxmlformats.org/officeDocument/2006/relationships/hyperlink" Target="https://gmcdp.com/gmcdp-foxglove-legal-challenge-department-work-and-pensions-dwp-fraud-algorithm" TargetMode="External"/><Relationship Id="rId43" Type="http://schemas.openxmlformats.org/officeDocument/2006/relationships/hyperlink" Target="https://cdt.org/wp-content/uploads/2022/08/2022-08-25-ADPPA-Disability-Rights-Groups-Letter-to-Pelosi.pdf" TargetMode="External"/><Relationship Id="rId48" Type="http://schemas.openxmlformats.org/officeDocument/2006/relationships/hyperlink" Target="https://www.edf-feph.org/events-slug/european-accessibility-summit-2023/" TargetMode="External"/><Relationship Id="rId8" Type="http://schemas.openxmlformats.org/officeDocument/2006/relationships/hyperlink" Target="https://www.amnesty.org/en/documents/eur35/4686/2021/en/" TargetMode="External"/><Relationship Id="rId3" Type="http://schemas.openxmlformats.org/officeDocument/2006/relationships/hyperlink" Target="https://indico.un.org/event/1004737/" TargetMode="External"/><Relationship Id="rId12" Type="http://schemas.openxmlformats.org/officeDocument/2006/relationships/hyperlink" Target="https://www.undocs.org/Home/Mobile?FinalSymbol=A%2FHRC%2F53%2F65&amp;Language=E&amp;DeviceType=Desktop&amp;LangRequested=False" TargetMode="External"/><Relationship Id="rId17" Type="http://schemas.openxmlformats.org/officeDocument/2006/relationships/hyperlink" Target="https://privacyinternational.org/long-read/4882/emergency-social-protection-responses-covid-19-around-world" TargetMode="External"/><Relationship Id="rId25" Type="http://schemas.openxmlformats.org/officeDocument/2006/relationships/hyperlink" Target="https://www.amnesty.org/en/documents/eur35/4686/2021/en/" TargetMode="External"/><Relationship Id="rId33" Type="http://schemas.openxmlformats.org/officeDocument/2006/relationships/hyperlink" Target="https://privacyinternational.org/long-read/4395/shedding-light-dwp-part-1-we-read-uk-welfare-agencys-995-page-guide-conducting" TargetMode="External"/><Relationship Id="rId38" Type="http://schemas.openxmlformats.org/officeDocument/2006/relationships/hyperlink" Target="https://www.amnesty.org/en/latest/news/2022/11/serbia-social-card-law-could-harm-marginalized-members-of-society-legal-opinion/" TargetMode="External"/><Relationship Id="rId46" Type="http://schemas.openxmlformats.org/officeDocument/2006/relationships/hyperlink" Target="https://undocs.org/en/A/HRC/RES/17/4" TargetMode="External"/><Relationship Id="rId20" Type="http://schemas.openxmlformats.org/officeDocument/2006/relationships/hyperlink" Target="https://documents-dds-ny.un.org/doc/UNDOC/GEN/G22/613/79/PDF/G2261379.pdf?OpenElement" TargetMode="External"/><Relationship Id="rId41" Type="http://schemas.openxmlformats.org/officeDocument/2006/relationships/hyperlink" Target="https://docstore.ohchr.org/SelfServices/FilesHandler.ashx?enc=6QkG1d%2FPPRiCAqhKb7yhslxq2MulDp%2FqMKQ6SGOn0%2FMA1LSpvgYM3DCkpjGjvUUy2myJFM%2BOsTgWsCuGm4B2qohcBwHoCCrB5BpbRCKf6tkvX63EJgdwjV2NmUEVRnVD" TargetMode="External"/><Relationship Id="rId1" Type="http://schemas.openxmlformats.org/officeDocument/2006/relationships/hyperlink" Target="https://www.ohchr.org/sites/default/files/documents/issues/disability/cfi-hrc-49-12-disability/Note-Verbale-Res-49-12-States-EN.pdf" TargetMode="External"/><Relationship Id="rId6" Type="http://schemas.openxmlformats.org/officeDocument/2006/relationships/hyperlink" Target="https://www.amnesty.org/en/documents/eur35/4686/202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Privacy International</Contributor>
  </documentManagement>
</p:properties>
</file>

<file path=customXml/itemProps1.xml><?xml version="1.0" encoding="utf-8"?>
<ds:datastoreItem xmlns:ds="http://schemas.openxmlformats.org/officeDocument/2006/customXml" ds:itemID="{13526435-3652-9C48-AF15-85C8258BFBD5}">
  <ds:schemaRefs>
    <ds:schemaRef ds:uri="http://schemas.openxmlformats.org/officeDocument/2006/bibliography"/>
  </ds:schemaRefs>
</ds:datastoreItem>
</file>

<file path=customXml/itemProps2.xml><?xml version="1.0" encoding="utf-8"?>
<ds:datastoreItem xmlns:ds="http://schemas.openxmlformats.org/officeDocument/2006/customXml" ds:itemID="{90329CAB-B5F7-46FC-BDA1-D0C0D05C519A}"/>
</file>

<file path=customXml/itemProps3.xml><?xml version="1.0" encoding="utf-8"?>
<ds:datastoreItem xmlns:ds="http://schemas.openxmlformats.org/officeDocument/2006/customXml" ds:itemID="{42C53C7C-E23D-4210-9396-7749D331721F}"/>
</file>

<file path=customXml/itemProps4.xml><?xml version="1.0" encoding="utf-8"?>
<ds:datastoreItem xmlns:ds="http://schemas.openxmlformats.org/officeDocument/2006/customXml" ds:itemID="{DE2261D3-77C3-4888-983C-FDB95C404F26}"/>
</file>

<file path=docProps/app.xml><?xml version="1.0" encoding="utf-8"?>
<Properties xmlns="http://schemas.openxmlformats.org/officeDocument/2006/extended-properties" xmlns:vt="http://schemas.openxmlformats.org/officeDocument/2006/docPropsVTypes">
  <Template>Normal.dotm</Template>
  <TotalTime>1</TotalTime>
  <Pages>15</Pages>
  <Words>4999</Words>
  <Characters>28499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Thum</dc:creator>
  <cp:keywords/>
  <dc:description/>
  <cp:lastModifiedBy>Josie Thum</cp:lastModifiedBy>
  <cp:revision>3</cp:revision>
  <dcterms:created xsi:type="dcterms:W3CDTF">2024-04-26T12:02:00Z</dcterms:created>
  <dcterms:modified xsi:type="dcterms:W3CDTF">2024-04-26T12:07:00Z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