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7CB7A" w14:textId="3E280061" w:rsidR="00C11C08" w:rsidRPr="00E4198A" w:rsidRDefault="2BC561D5" w:rsidP="00583E68">
      <w:pPr>
        <w:jc w:val="center"/>
      </w:pPr>
      <w:r>
        <w:rPr>
          <w:noProof/>
        </w:rPr>
        <w:drawing>
          <wp:inline distT="0" distB="0" distL="0" distR="0" wp14:anchorId="11099168" wp14:editId="69C6AFB9">
            <wp:extent cx="1219200" cy="1219200"/>
            <wp:effectExtent l="0" t="0" r="0" b="0"/>
            <wp:docPr id="476468014" name="Picture 47646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3DBB1C58" w14:textId="4E594D0B" w:rsidR="182E228C" w:rsidRDefault="182E228C" w:rsidP="182E228C">
      <w:pPr>
        <w:jc w:val="center"/>
        <w:rPr>
          <w:b/>
          <w:bCs/>
        </w:rPr>
      </w:pPr>
    </w:p>
    <w:p w14:paraId="2F72A98D" w14:textId="77777777" w:rsidR="00475F66" w:rsidRDefault="00475F66" w:rsidP="182E228C">
      <w:pPr>
        <w:jc w:val="center"/>
        <w:rPr>
          <w:b/>
          <w:bCs/>
        </w:rPr>
      </w:pPr>
    </w:p>
    <w:p w14:paraId="07B65B88" w14:textId="17619FC1" w:rsidR="000343F5" w:rsidRDefault="00D22BC5" w:rsidP="00A500E7">
      <w:pPr>
        <w:pStyle w:val="Title"/>
        <w:spacing w:line="264" w:lineRule="auto"/>
      </w:pPr>
      <w:r w:rsidRPr="182E228C">
        <w:t>Human Rights Watch</w:t>
      </w:r>
      <w:r w:rsidR="009C22BA">
        <w:t>’s</w:t>
      </w:r>
      <w:r w:rsidRPr="182E228C">
        <w:t xml:space="preserve"> </w:t>
      </w:r>
      <w:r w:rsidR="00C11C08" w:rsidRPr="182E228C">
        <w:t xml:space="preserve">Submission to </w:t>
      </w:r>
      <w:r w:rsidR="001C3516" w:rsidRPr="182E228C">
        <w:t xml:space="preserve">the </w:t>
      </w:r>
      <w:r w:rsidR="00A34A24">
        <w:t xml:space="preserve">Office of the High </w:t>
      </w:r>
      <w:r w:rsidR="002E6DB5">
        <w:t>Commissioner</w:t>
      </w:r>
      <w:r w:rsidR="00A34A24">
        <w:t xml:space="preserve"> for Human Rights</w:t>
      </w:r>
      <w:r w:rsidR="0046782C">
        <w:t xml:space="preserve"> (OHCHR)</w:t>
      </w:r>
      <w:r w:rsidR="00EE0113">
        <w:t xml:space="preserve"> on Care and Support</w:t>
      </w:r>
    </w:p>
    <w:p w14:paraId="07E1A5B4" w14:textId="6BC4FA92" w:rsidR="182E228C" w:rsidRDefault="182E228C" w:rsidP="182E228C">
      <w:pPr>
        <w:jc w:val="center"/>
        <w:rPr>
          <w:b/>
          <w:bCs/>
        </w:rPr>
      </w:pPr>
    </w:p>
    <w:p w14:paraId="09073881" w14:textId="7CFBC8FA" w:rsidR="00E52E81" w:rsidRPr="003E1434" w:rsidRDefault="00A34A24" w:rsidP="088B9406">
      <w:pPr>
        <w:jc w:val="center"/>
        <w:rPr>
          <w:b/>
          <w:bCs/>
        </w:rPr>
      </w:pPr>
      <w:r w:rsidRPr="003E1434">
        <w:rPr>
          <w:b/>
          <w:bCs/>
        </w:rPr>
        <w:t>April 13, 2024</w:t>
      </w:r>
    </w:p>
    <w:p w14:paraId="6DE145D5" w14:textId="77777777" w:rsidR="000E6226" w:rsidRPr="00D016D8" w:rsidRDefault="000E6226" w:rsidP="000E6226">
      <w:pPr>
        <w:rPr>
          <w:b/>
          <w:bCs/>
          <w:szCs w:val="22"/>
        </w:rPr>
      </w:pPr>
    </w:p>
    <w:p w14:paraId="0358CD9E" w14:textId="77777777" w:rsidR="000E6226" w:rsidRDefault="000E6226" w:rsidP="000E6226">
      <w:pPr>
        <w:rPr>
          <w:b/>
          <w:bCs/>
          <w:szCs w:val="22"/>
        </w:rPr>
      </w:pPr>
    </w:p>
    <w:p w14:paraId="225F5A4B" w14:textId="20202052" w:rsidR="000E6226" w:rsidRDefault="000E6226" w:rsidP="000E6226">
      <w:r>
        <w:t xml:space="preserve">Human Rights Watch welcomes the opportunity to provide information to </w:t>
      </w:r>
      <w:r w:rsidR="00894D20">
        <w:t>OHCHR</w:t>
      </w:r>
      <w:r>
        <w:t xml:space="preserve"> </w:t>
      </w:r>
      <w:r w:rsidR="00177412">
        <w:t xml:space="preserve">to inform </w:t>
      </w:r>
      <w:r w:rsidR="001B2B9A">
        <w:t xml:space="preserve">its </w:t>
      </w:r>
      <w:r w:rsidR="00177412">
        <w:t>e</w:t>
      </w:r>
      <w:r>
        <w:t xml:space="preserve">xpert </w:t>
      </w:r>
      <w:r w:rsidR="00513E62">
        <w:t>w</w:t>
      </w:r>
      <w:r>
        <w:t xml:space="preserve">orkshop on the </w:t>
      </w:r>
      <w:r w:rsidR="00030937">
        <w:t>centrality</w:t>
      </w:r>
      <w:r>
        <w:t xml:space="preserve"> of care and support from a human rights perspective</w:t>
      </w:r>
      <w:r w:rsidR="00513E62">
        <w:t xml:space="preserve"> and </w:t>
      </w:r>
      <w:r w:rsidR="001B2B9A">
        <w:t>the High Commissioner’s</w:t>
      </w:r>
      <w:r w:rsidR="00784F80">
        <w:t xml:space="preserve"> </w:t>
      </w:r>
      <w:r w:rsidR="00865943">
        <w:t>sub</w:t>
      </w:r>
      <w:r w:rsidR="006E0F6F">
        <w:t xml:space="preserve">sequent </w:t>
      </w:r>
      <w:r w:rsidR="00784F80">
        <w:t>report</w:t>
      </w:r>
      <w:r>
        <w:t>. Below, we</w:t>
      </w:r>
      <w:r w:rsidR="00030937">
        <w:t xml:space="preserve"> </w:t>
      </w:r>
      <w:r>
        <w:t>present information on</w:t>
      </w:r>
      <w:r w:rsidR="0046782C">
        <w:t xml:space="preserve"> (1)</w:t>
      </w:r>
      <w:r>
        <w:t xml:space="preserve"> </w:t>
      </w:r>
      <w:r w:rsidR="003937DF">
        <w:t xml:space="preserve">older persons’ access to </w:t>
      </w:r>
      <w:r w:rsidR="00AE5FF2">
        <w:t xml:space="preserve">community- and home-based </w:t>
      </w:r>
      <w:r w:rsidR="003937DF">
        <w:t>care and support</w:t>
      </w:r>
      <w:r w:rsidR="00AE5FF2">
        <w:t xml:space="preserve"> services in</w:t>
      </w:r>
      <w:r w:rsidR="00B9041D">
        <w:t xml:space="preserve"> South Africa,</w:t>
      </w:r>
      <w:r w:rsidR="00086431">
        <w:t xml:space="preserve"> </w:t>
      </w:r>
      <w:r>
        <w:t xml:space="preserve">and </w:t>
      </w:r>
      <w:r w:rsidR="009275C1">
        <w:t xml:space="preserve">(2) </w:t>
      </w:r>
      <w:r>
        <w:t xml:space="preserve">care and support policies for </w:t>
      </w:r>
      <w:r w:rsidR="00F219B1" w:rsidRPr="004A4316">
        <w:t>persons</w:t>
      </w:r>
      <w:r>
        <w:t xml:space="preserve"> with disabilities</w:t>
      </w:r>
      <w:r w:rsidR="00FA4CC9">
        <w:t xml:space="preserve"> in Mexico</w:t>
      </w:r>
      <w:r w:rsidR="00900236">
        <w:t>.</w:t>
      </w:r>
      <w:r w:rsidR="006349A2">
        <w:rPr>
          <w:rStyle w:val="FootnoteReference"/>
        </w:rPr>
        <w:footnoteReference w:id="2"/>
      </w:r>
    </w:p>
    <w:p w14:paraId="6EDE442B" w14:textId="77777777" w:rsidR="000B78FA" w:rsidRDefault="000B78FA" w:rsidP="000E6226"/>
    <w:p w14:paraId="34A8A22D" w14:textId="1732DFAA" w:rsidR="000B78FA" w:rsidRDefault="00A637A5" w:rsidP="000E6226">
      <w:r>
        <w:t>As the OHCHR has pointed out</w:t>
      </w:r>
      <w:r w:rsidR="000B78FA">
        <w:t xml:space="preserve">, </w:t>
      </w:r>
      <w:r>
        <w:t>with the exception of phrases such as health</w:t>
      </w:r>
      <w:r w:rsidR="00A653A8">
        <w:t xml:space="preserve"> </w:t>
      </w:r>
      <w:r>
        <w:t xml:space="preserve">care or respite care, </w:t>
      </w:r>
      <w:r w:rsidR="000B78FA">
        <w:t>the term “care,” as used regarding persons with disabilities, refers to children</w:t>
      </w:r>
      <w:r>
        <w:t>, whereas when it comes to adults with disabilities the correct term should be “support</w:t>
      </w:r>
      <w:r w:rsidR="00A653A8">
        <w:t>.</w:t>
      </w:r>
      <w:r>
        <w:t>”</w:t>
      </w:r>
      <w:r w:rsidR="00EF2EEA">
        <w:rPr>
          <w:rStyle w:val="FootnoteReference"/>
        </w:rPr>
        <w:footnoteReference w:id="3"/>
      </w:r>
      <w:r w:rsidR="000B78FA">
        <w:t xml:space="preserve"> </w:t>
      </w:r>
      <w:r>
        <w:t xml:space="preserve">Organizations of persons with disabilities and human rights organizations, </w:t>
      </w:r>
      <w:r>
        <w:lastRenderedPageBreak/>
        <w:t>including Human Rights Watch</w:t>
      </w:r>
      <w:r w:rsidR="00A653A8">
        <w:t>,</w:t>
      </w:r>
      <w:r>
        <w:t xml:space="preserve"> have made clear that support</w:t>
      </w:r>
      <w:r w:rsidR="000B78FA">
        <w:t xml:space="preserve"> can take various forms.</w:t>
      </w:r>
      <w:r w:rsidR="000B78FA" w:rsidRPr="00380199">
        <w:rPr>
          <w:vertAlign w:val="superscript"/>
        </w:rPr>
        <w:footnoteReference w:id="4"/>
      </w:r>
      <w:r w:rsidR="00CB1E6D">
        <w:t xml:space="preserve"> </w:t>
      </w:r>
      <w:r w:rsidR="00BD1FCC">
        <w:t xml:space="preserve">Below </w:t>
      </w:r>
      <w:r w:rsidR="004E36D3">
        <w:t>w</w:t>
      </w:r>
      <w:r w:rsidR="00CB1E6D">
        <w:t xml:space="preserve">e refer to “care and support” </w:t>
      </w:r>
      <w:r w:rsidR="00AD150E">
        <w:t>in South Africa</w:t>
      </w:r>
      <w:r w:rsidR="004E36D3">
        <w:t xml:space="preserve"> in line with terminology</w:t>
      </w:r>
      <w:r w:rsidR="00DD6280">
        <w:t xml:space="preserve"> used</w:t>
      </w:r>
      <w:r w:rsidR="004E36D3">
        <w:t xml:space="preserve"> in the Older Persons Act</w:t>
      </w:r>
      <w:r w:rsidR="0027778D">
        <w:t xml:space="preserve">, and to “care” </w:t>
      </w:r>
      <w:r w:rsidR="002F7443">
        <w:t>in</w:t>
      </w:r>
      <w:r w:rsidR="004B380E">
        <w:t xml:space="preserve"> Mexico</w:t>
      </w:r>
      <w:r w:rsidR="002F7443">
        <w:t xml:space="preserve"> because it</w:t>
      </w:r>
      <w:r w:rsidR="004B380E">
        <w:t>s legislation only refers to “care,” not “support</w:t>
      </w:r>
      <w:r w:rsidR="002F7443">
        <w:t>.</w:t>
      </w:r>
      <w:r w:rsidR="004B380E">
        <w:t>”</w:t>
      </w:r>
      <w:r w:rsidR="004E36D3">
        <w:t xml:space="preserve"> </w:t>
      </w:r>
      <w:r w:rsidR="00722912">
        <w:t xml:space="preserve"> </w:t>
      </w:r>
    </w:p>
    <w:p w14:paraId="7B7B75F8" w14:textId="77777777" w:rsidR="00A409A1" w:rsidRDefault="00A409A1" w:rsidP="000E6226"/>
    <w:p w14:paraId="52F45352" w14:textId="77777777" w:rsidR="00A409A1" w:rsidRDefault="00A409A1" w:rsidP="000E6226"/>
    <w:p w14:paraId="08E133F9" w14:textId="77777777" w:rsidR="00E15141" w:rsidRDefault="00E15141" w:rsidP="000E6226"/>
    <w:p w14:paraId="4FED05F0" w14:textId="79B542A9" w:rsidR="00E15141" w:rsidRPr="009943FB" w:rsidRDefault="00EB5D82" w:rsidP="00A500E7">
      <w:pPr>
        <w:pStyle w:val="Heading1"/>
        <w:spacing w:after="0" w:line="264" w:lineRule="auto"/>
      </w:pPr>
      <w:r w:rsidRPr="009943FB">
        <w:t xml:space="preserve">I. </w:t>
      </w:r>
      <w:r w:rsidR="00D72D34">
        <w:t xml:space="preserve">Older Persons in </w:t>
      </w:r>
      <w:r w:rsidRPr="009943FB">
        <w:t>South Africa</w:t>
      </w:r>
    </w:p>
    <w:p w14:paraId="473DC189" w14:textId="029654C7" w:rsidR="006D7ECF" w:rsidRDefault="006D7ECF" w:rsidP="3B0F67EF"/>
    <w:p w14:paraId="661222E7" w14:textId="7C13F03E" w:rsidR="00415B83" w:rsidRDefault="00415B83" w:rsidP="00A500E7">
      <w:pPr>
        <w:pStyle w:val="Heading2"/>
        <w:spacing w:before="0" w:after="0" w:line="264" w:lineRule="auto"/>
      </w:pPr>
      <w:r>
        <w:rPr>
          <w:szCs w:val="22"/>
        </w:rPr>
        <w:t xml:space="preserve">Question </w:t>
      </w:r>
      <w:r w:rsidRPr="004D00AB">
        <w:rPr>
          <w:szCs w:val="22"/>
        </w:rPr>
        <w:t>1.</w:t>
      </w:r>
      <w:r>
        <w:t xml:space="preserve"> </w:t>
      </w:r>
      <w:r w:rsidR="00351D9C">
        <w:t>Older Person</w:t>
      </w:r>
      <w:r w:rsidR="007D1435">
        <w:t>s’ Right to</w:t>
      </w:r>
      <w:r w:rsidR="00246825" w:rsidRPr="008F39F6">
        <w:t xml:space="preserve"> Live Independently and Within the Community</w:t>
      </w:r>
    </w:p>
    <w:p w14:paraId="66D5C309" w14:textId="769911EE" w:rsidR="008F39F6" w:rsidRDefault="008F39F6" w:rsidP="00A500E7">
      <w:pPr>
        <w:pStyle w:val="Heading3"/>
        <w:spacing w:before="0" w:after="0" w:line="264" w:lineRule="auto"/>
      </w:pPr>
      <w:r w:rsidRPr="008F39F6">
        <w:t>International and Regional Human Rights Law</w:t>
      </w:r>
    </w:p>
    <w:p w14:paraId="40FE4020" w14:textId="6964774A" w:rsidR="000F5674" w:rsidRPr="004A4316" w:rsidRDefault="000F5674" w:rsidP="000F5674">
      <w:r w:rsidRPr="004A4316">
        <w:t xml:space="preserve">International human rights </w:t>
      </w:r>
      <w:r w:rsidR="00A637A5">
        <w:t>standards</w:t>
      </w:r>
      <w:r w:rsidR="00A637A5" w:rsidRPr="004A4316">
        <w:t xml:space="preserve"> </w:t>
      </w:r>
      <w:r w:rsidRPr="004A4316">
        <w:t xml:space="preserve">guarantee all older persons the right to live independently within the community, but this right is fragmented across different international human rights </w:t>
      </w:r>
      <w:r w:rsidR="00A637A5" w:rsidRPr="004A4316">
        <w:t>s</w:t>
      </w:r>
      <w:r w:rsidR="00A637A5">
        <w:t>ources</w:t>
      </w:r>
      <w:r w:rsidRPr="004A4316">
        <w:t xml:space="preserve">. These </w:t>
      </w:r>
      <w:r w:rsidR="00A637A5" w:rsidRPr="004A4316">
        <w:t>s</w:t>
      </w:r>
      <w:r w:rsidR="00A637A5">
        <w:t>ource</w:t>
      </w:r>
      <w:r w:rsidR="00A637A5" w:rsidRPr="004A4316">
        <w:t xml:space="preserve">s </w:t>
      </w:r>
      <w:r w:rsidRPr="004A4316">
        <w:t>include</w:t>
      </w:r>
      <w:r w:rsidRPr="004A4316" w:rsidDel="00A637A5">
        <w:t xml:space="preserve"> </w:t>
      </w:r>
      <w:r w:rsidR="00A637A5">
        <w:t>the</w:t>
      </w:r>
      <w:r w:rsidR="00A637A5" w:rsidRPr="004A4316">
        <w:t xml:space="preserve"> </w:t>
      </w:r>
      <w:r w:rsidRPr="004A4316">
        <w:t>rights to an adequate standard of living and to adequate housing under the International Covenant on Economic, Social and Cultural Rights (ICESCR), which South Africa ratified in 2015</w:t>
      </w:r>
      <w:r w:rsidRPr="004A4316">
        <w:rPr>
          <w:szCs w:val="22"/>
        </w:rPr>
        <w:t>,</w:t>
      </w:r>
      <w:r w:rsidRPr="004A4316">
        <w:rPr>
          <w:rStyle w:val="FootnoteReference"/>
        </w:rPr>
        <w:t xml:space="preserve"> </w:t>
      </w:r>
      <w:r w:rsidRPr="004A4316">
        <w:rPr>
          <w:rStyle w:val="FootnoteReference"/>
        </w:rPr>
        <w:footnoteReference w:id="5"/>
      </w:r>
      <w:r w:rsidRPr="004A4316">
        <w:t xml:space="preserve"> and the right of older persons with disabilities to live independently in the community under the Convention on the Rights of Persons with Disabilities (CRPD)</w:t>
      </w:r>
      <w:r w:rsidRPr="004A4316">
        <w:rPr>
          <w:szCs w:val="22"/>
        </w:rPr>
        <w:t xml:space="preserve">, </w:t>
      </w:r>
      <w:r w:rsidRPr="004A4316">
        <w:t>which South Africa ratified in 2017.</w:t>
      </w:r>
      <w:r w:rsidRPr="004A4316">
        <w:rPr>
          <w:rStyle w:val="FootnoteReference"/>
        </w:rPr>
        <w:footnoteReference w:id="6"/>
      </w:r>
    </w:p>
    <w:p w14:paraId="74EEE0F7" w14:textId="77777777" w:rsidR="000F5674" w:rsidRPr="004A4316" w:rsidRDefault="000F5674" w:rsidP="000F5674"/>
    <w:p w14:paraId="0B396B21" w14:textId="77777777" w:rsidR="000F5674" w:rsidRDefault="000F5674" w:rsidP="000F5674">
      <w:r w:rsidRPr="004A4316">
        <w:t xml:space="preserve">The African Charter on Human and Peoples’ Rights, which South Africa ratified in 1996, provides that older persons have the right to “special measures of protection in keeping </w:t>
      </w:r>
      <w:r w:rsidRPr="004A4316">
        <w:lastRenderedPageBreak/>
        <w:t>with their physical or moral needs.”</w:t>
      </w:r>
      <w:r w:rsidRPr="004A4316">
        <w:rPr>
          <w:rStyle w:val="FootnoteReference"/>
        </w:rPr>
        <w:footnoteReference w:id="7"/>
      </w:r>
      <w:r w:rsidRPr="004A4316">
        <w:t xml:space="preserve"> Similarly, the Protocol to the African Charter on Human and Peoples’ Rights on the Rights of Women in Africa (the Maputo Protocol), which South Africa ratified in 2004, guarantees “special protection” to older women, including in relation to their “physical, economic and social needs.”</w:t>
      </w:r>
      <w:r w:rsidRPr="000E55FB">
        <w:rPr>
          <w:rStyle w:val="FootnoteReference"/>
        </w:rPr>
        <w:footnoteReference w:id="8"/>
      </w:r>
    </w:p>
    <w:p w14:paraId="3B08EAE9" w14:textId="37046667" w:rsidR="008F39F6" w:rsidRDefault="008F39F6" w:rsidP="007352E2"/>
    <w:p w14:paraId="4C87E00F" w14:textId="70928EBE" w:rsidR="00924F53" w:rsidRPr="00924F53" w:rsidRDefault="007352E2" w:rsidP="00A500E7">
      <w:pPr>
        <w:pStyle w:val="Heading3"/>
        <w:spacing w:before="0" w:after="0" w:line="264" w:lineRule="auto"/>
      </w:pPr>
      <w:r>
        <w:t xml:space="preserve">Older Persons’ Right to Care and Support </w:t>
      </w:r>
      <w:r w:rsidR="008D05D8">
        <w:t>U</w:t>
      </w:r>
      <w:r>
        <w:t xml:space="preserve">nder </w:t>
      </w:r>
      <w:r w:rsidR="00924F53">
        <w:t>South Africa</w:t>
      </w:r>
      <w:r>
        <w:t>n</w:t>
      </w:r>
      <w:r w:rsidR="008F39F6">
        <w:t xml:space="preserve"> Law</w:t>
      </w:r>
    </w:p>
    <w:p w14:paraId="3D509AED" w14:textId="492B5D63" w:rsidR="00BF588A" w:rsidRDefault="00351D9C" w:rsidP="00B45823">
      <w:pPr>
        <w:tabs>
          <w:tab w:val="left" w:pos="7513"/>
        </w:tabs>
      </w:pPr>
      <w:r w:rsidRPr="004A4316">
        <w:t>Partly</w:t>
      </w:r>
      <w:r w:rsidR="00B45823">
        <w:t xml:space="preserve"> to address </w:t>
      </w:r>
      <w:r w:rsidR="003D30CE">
        <w:t>apartheid’s legacy of racial inequalities in access to care and support</w:t>
      </w:r>
      <w:r w:rsidR="00B45823">
        <w:t>, the post-apartheid government adopted the</w:t>
      </w:r>
      <w:r w:rsidR="00B45823" w:rsidRPr="004465E9">
        <w:t xml:space="preserve"> </w:t>
      </w:r>
      <w:r w:rsidR="00B45823">
        <w:t xml:space="preserve">2004 </w:t>
      </w:r>
      <w:r w:rsidR="00B45823" w:rsidRPr="004465E9">
        <w:t>Social Assistance Act</w:t>
      </w:r>
      <w:r w:rsidR="00B45823">
        <w:t>, which provides for the</w:t>
      </w:r>
      <w:r w:rsidR="00B45823" w:rsidRPr="004465E9">
        <w:t xml:space="preserve"> Older Persons Grant</w:t>
      </w:r>
      <w:r w:rsidR="00B45823">
        <w:t xml:space="preserve">, a </w:t>
      </w:r>
      <w:r w:rsidR="0000159C">
        <w:t xml:space="preserve">means-tested </w:t>
      </w:r>
      <w:r w:rsidR="00B45823">
        <w:t>non-contributory social security entitlement for people aged 60 and over, and the Grant-in-Aid</w:t>
      </w:r>
      <w:r w:rsidR="00A9318D">
        <w:t>,</w:t>
      </w:r>
      <w:r w:rsidR="00B45823">
        <w:t xml:space="preserve"> for those requiring full-time care and support at home. </w:t>
      </w:r>
      <w:r w:rsidR="00E4200C">
        <w:t>Denied</w:t>
      </w:r>
      <w:r w:rsidR="00E4200C" w:rsidRPr="00DC51DE">
        <w:t xml:space="preserve"> access </w:t>
      </w:r>
      <w:r w:rsidR="00E4200C">
        <w:t xml:space="preserve">to </w:t>
      </w:r>
      <w:r w:rsidR="00E4200C" w:rsidRPr="00DC51DE">
        <w:t>a decent education or decent</w:t>
      </w:r>
      <w:r w:rsidR="00E4200C">
        <w:t xml:space="preserve"> work for at least half their lives under apartheid and therefore unable to save for older age, 87 percent of black African, 81 percent of </w:t>
      </w:r>
      <w:proofErr w:type="spellStart"/>
      <w:r w:rsidR="00E4200C">
        <w:t>coloured</w:t>
      </w:r>
      <w:proofErr w:type="spellEnd"/>
      <w:r w:rsidR="00E4200C">
        <w:t xml:space="preserve">, and 58 percent of Indian/Asian older persons received means-tested social security entitlements in 2020, compared to only 30 percent of </w:t>
      </w:r>
      <w:proofErr w:type="gramStart"/>
      <w:r w:rsidR="00E4200C">
        <w:t>white older</w:t>
      </w:r>
      <w:proofErr w:type="gramEnd"/>
      <w:r w:rsidR="00E4200C">
        <w:t xml:space="preserve"> persons.</w:t>
      </w:r>
      <w:r w:rsidR="00E4200C">
        <w:rPr>
          <w:rStyle w:val="FootnoteReference"/>
        </w:rPr>
        <w:footnoteReference w:id="9"/>
      </w:r>
      <w:r w:rsidR="00E4200C">
        <w:t xml:space="preserve"> </w:t>
      </w:r>
    </w:p>
    <w:p w14:paraId="6DADB0A4" w14:textId="77777777" w:rsidR="00C254EC" w:rsidRDefault="00C254EC" w:rsidP="00B45823">
      <w:pPr>
        <w:tabs>
          <w:tab w:val="left" w:pos="7513"/>
        </w:tabs>
      </w:pPr>
    </w:p>
    <w:p w14:paraId="7A41D906" w14:textId="4217087E" w:rsidR="007B0B56" w:rsidRDefault="00B45823" w:rsidP="00B45823">
      <w:pPr>
        <w:tabs>
          <w:tab w:val="left" w:pos="7513"/>
        </w:tabs>
      </w:pPr>
      <w:r>
        <w:t xml:space="preserve">The post-apartheid government also adopted the 2006 Older Persons Act, which </w:t>
      </w:r>
      <w:r w:rsidR="002234DE" w:rsidRPr="00097424">
        <w:t xml:space="preserve">enshrines the right of </w:t>
      </w:r>
      <w:r w:rsidR="002234DE">
        <w:t xml:space="preserve">all </w:t>
      </w:r>
      <w:r w:rsidR="002234DE" w:rsidRPr="00097424">
        <w:t xml:space="preserve">older </w:t>
      </w:r>
      <w:r w:rsidR="003E041F">
        <w:t>persons</w:t>
      </w:r>
      <w:r w:rsidR="003E041F" w:rsidRPr="00097424">
        <w:t xml:space="preserve"> </w:t>
      </w:r>
      <w:r w:rsidR="002234DE" w:rsidRPr="00097424">
        <w:t xml:space="preserve">to </w:t>
      </w:r>
      <w:r w:rsidR="002234DE">
        <w:t>“</w:t>
      </w:r>
      <w:r w:rsidR="002234DE" w:rsidRPr="00097424">
        <w:t>live in an environment catering for his or her changing capacities</w:t>
      </w:r>
      <w:r w:rsidR="002234DE">
        <w:t>”</w:t>
      </w:r>
      <w:r w:rsidR="002234DE">
        <w:rPr>
          <w:rStyle w:val="FootnoteReference"/>
        </w:rPr>
        <w:footnoteReference w:id="10"/>
      </w:r>
      <w:r w:rsidR="002234DE" w:rsidRPr="00097424">
        <w:t xml:space="preserve"> </w:t>
      </w:r>
      <w:r w:rsidR="003B79F2">
        <w:t xml:space="preserve">and </w:t>
      </w:r>
      <w:r w:rsidR="003B79F2" w:rsidRPr="003B79F2">
        <w:t>to “benefit from family and community care and protection in accordance with society’s system of cultural values.”</w:t>
      </w:r>
      <w:r w:rsidR="003B79F2">
        <w:rPr>
          <w:rStyle w:val="FootnoteReference"/>
        </w:rPr>
        <w:footnoteReference w:id="11"/>
      </w:r>
      <w:r w:rsidR="006931D9">
        <w:t xml:space="preserve"> </w:t>
      </w:r>
      <w:r w:rsidR="006931D9" w:rsidRPr="004A4316">
        <w:t>It</w:t>
      </w:r>
      <w:r w:rsidR="006931D9">
        <w:t xml:space="preserve"> also</w:t>
      </w:r>
      <w:r w:rsidR="002234DE" w:rsidRPr="00097424">
        <w:t xml:space="preserve"> aims to </w:t>
      </w:r>
      <w:r w:rsidR="002234DE">
        <w:t>“</w:t>
      </w:r>
      <w:r w:rsidR="002234DE" w:rsidRPr="00097424">
        <w:t>shift the emphasis from institutional care to community-based care</w:t>
      </w:r>
      <w:r w:rsidR="002234DE">
        <w:t>”</w:t>
      </w:r>
      <w:r w:rsidR="002234DE">
        <w:rPr>
          <w:rStyle w:val="FootnoteReference"/>
        </w:rPr>
        <w:footnoteReference w:id="12"/>
      </w:r>
      <w:r w:rsidR="00415155">
        <w:t xml:space="preserve"> </w:t>
      </w:r>
      <w:r w:rsidR="007B0B56" w:rsidRPr="00EB7FA6">
        <w:t xml:space="preserve">to </w:t>
      </w:r>
      <w:r w:rsidR="00CC3369" w:rsidRPr="004A4316">
        <w:t xml:space="preserve">help </w:t>
      </w:r>
      <w:r w:rsidR="007B0B56">
        <w:t>address</w:t>
      </w:r>
      <w:r w:rsidR="007B0B56" w:rsidRPr="00EB7FA6">
        <w:t xml:space="preserve"> apartheid</w:t>
      </w:r>
      <w:r w:rsidR="00C363A4">
        <w:t>’s</w:t>
      </w:r>
      <w:r w:rsidR="007B0B56">
        <w:t xml:space="preserve"> legacy</w:t>
      </w:r>
      <w:r w:rsidR="00C363A4">
        <w:t xml:space="preserve"> </w:t>
      </w:r>
      <w:r w:rsidR="00C363A4" w:rsidRPr="004A4316">
        <w:t>of</w:t>
      </w:r>
      <w:r w:rsidR="007B0B56" w:rsidRPr="004A4316">
        <w:t xml:space="preserve"> emphasi</w:t>
      </w:r>
      <w:r w:rsidR="00C363A4" w:rsidRPr="004A4316">
        <w:t>zing</w:t>
      </w:r>
      <w:r w:rsidR="007B0B56" w:rsidRPr="00EB7FA6">
        <w:t xml:space="preserve"> residential </w:t>
      </w:r>
      <w:r w:rsidR="007B0B56">
        <w:t>facilities</w:t>
      </w:r>
      <w:r w:rsidR="00C363A4">
        <w:t xml:space="preserve"> (institutions)</w:t>
      </w:r>
      <w:r w:rsidR="007B0B56">
        <w:t xml:space="preserve"> </w:t>
      </w:r>
      <w:r w:rsidR="00543FD1" w:rsidRPr="004A4316">
        <w:t>as</w:t>
      </w:r>
      <w:r w:rsidR="007B0B56">
        <w:t xml:space="preserve"> provide</w:t>
      </w:r>
      <w:r w:rsidR="00543FD1">
        <w:t>rs of</w:t>
      </w:r>
      <w:r w:rsidR="007B0B56">
        <w:t xml:space="preserve"> care and support for older </w:t>
      </w:r>
      <w:r w:rsidR="003E041F" w:rsidRPr="004A4316">
        <w:t>persons</w:t>
      </w:r>
      <w:r w:rsidR="007B0B56">
        <w:t xml:space="preserve">. </w:t>
      </w:r>
    </w:p>
    <w:p w14:paraId="4FD5A1E2" w14:textId="4B2FAFD8" w:rsidR="00000131" w:rsidRDefault="00000131" w:rsidP="00415155"/>
    <w:p w14:paraId="35C014FA" w14:textId="672449B8" w:rsidR="006C2109" w:rsidRDefault="009256FF" w:rsidP="006C2109">
      <w:r>
        <w:t xml:space="preserve">The </w:t>
      </w:r>
      <w:r w:rsidR="006C2109">
        <w:t xml:space="preserve">Older Persons Act </w:t>
      </w:r>
      <w:r>
        <w:t>provides for</w:t>
      </w:r>
      <w:r w:rsidR="006C2109">
        <w:t xml:space="preserve"> a range of community</w:t>
      </w:r>
      <w:r w:rsidR="006C2109" w:rsidDel="003F19D9">
        <w:t>-</w:t>
      </w:r>
      <w:r w:rsidR="006C2109">
        <w:t>based care and support services</w:t>
      </w:r>
      <w:r w:rsidR="006C2109" w:rsidRPr="009453D4">
        <w:t xml:space="preserve"> </w:t>
      </w:r>
      <w:r w:rsidR="006C2109">
        <w:t xml:space="preserve">for </w:t>
      </w:r>
      <w:r w:rsidR="0000159C">
        <w:t>Older Persons Grant</w:t>
      </w:r>
      <w:r w:rsidR="008F1749" w:rsidRPr="004A4316">
        <w:t xml:space="preserve"> recipients</w:t>
      </w:r>
      <w:r w:rsidR="003F19D9" w:rsidRPr="004A4316">
        <w:t>,</w:t>
      </w:r>
      <w:r w:rsidR="006C2109">
        <w:t xml:space="preserve"> </w:t>
      </w:r>
      <w:r w:rsidR="003F19D9">
        <w:t xml:space="preserve">including </w:t>
      </w:r>
      <w:r w:rsidR="006C2109">
        <w:t xml:space="preserve">economic empowerment, recreational, and intergenerational activities; informational, educational, and </w:t>
      </w:r>
      <w:r w:rsidR="006C2109" w:rsidRPr="004A4316">
        <w:t>counseling</w:t>
      </w:r>
      <w:r w:rsidR="006C2109">
        <w:t xml:space="preserve"> services, including on “Alzheimer’s, dementia and basic emergency care</w:t>
      </w:r>
      <w:r w:rsidR="006C2109" w:rsidRPr="004A4316">
        <w:t>”</w:t>
      </w:r>
      <w:r w:rsidR="00CE30E7" w:rsidRPr="004A4316">
        <w:t>;</w:t>
      </w:r>
      <w:r w:rsidR="006C2109">
        <w:t xml:space="preserve"> </w:t>
      </w:r>
      <w:r w:rsidR="006C2109" w:rsidRPr="00861A20">
        <w:t>spiritual, cultural, medical, civic</w:t>
      </w:r>
      <w:r w:rsidR="006C2109">
        <w:t>,</w:t>
      </w:r>
      <w:r w:rsidR="006C2109" w:rsidRPr="00861A20">
        <w:t xml:space="preserve"> and social services</w:t>
      </w:r>
      <w:r w:rsidR="006C2109">
        <w:t>; nutritious meals; skills-building for livelihoods; professional care and rehabilitation to ensure independent living; and integrated community care.</w:t>
      </w:r>
      <w:r w:rsidR="006C2109">
        <w:rPr>
          <w:rStyle w:val="FootnoteReference"/>
        </w:rPr>
        <w:footnoteReference w:id="13"/>
      </w:r>
      <w:r w:rsidR="006C2109" w:rsidRPr="0086387A">
        <w:t xml:space="preserve"> </w:t>
      </w:r>
    </w:p>
    <w:p w14:paraId="3EC9CFD0" w14:textId="77777777" w:rsidR="00EE4BA6" w:rsidRDefault="00EE4BA6" w:rsidP="006C2109"/>
    <w:p w14:paraId="360C8DFE" w14:textId="7541AC80" w:rsidR="004E565F" w:rsidRDefault="004A283D" w:rsidP="006C2109">
      <w:r>
        <w:t>T</w:t>
      </w:r>
      <w:r w:rsidR="006C2109">
        <w:t xml:space="preserve">he </w:t>
      </w:r>
      <w:r w:rsidR="00A61125" w:rsidRPr="004A4316">
        <w:t>a</w:t>
      </w:r>
      <w:r w:rsidR="006C2109" w:rsidRPr="004A4316">
        <w:t>ct</w:t>
      </w:r>
      <w:r w:rsidR="006C2109">
        <w:t xml:space="preserve"> also provides for home-based care and support </w:t>
      </w:r>
      <w:r w:rsidR="008726DF">
        <w:t xml:space="preserve">for </w:t>
      </w:r>
      <w:r w:rsidR="004B3E99">
        <w:t xml:space="preserve">Older Persons </w:t>
      </w:r>
      <w:r w:rsidR="004B3E99" w:rsidRPr="004A4316">
        <w:t>G</w:t>
      </w:r>
      <w:r w:rsidR="008726DF" w:rsidRPr="004A4316">
        <w:t>rant</w:t>
      </w:r>
      <w:r w:rsidR="008726DF">
        <w:t xml:space="preserve"> recipients identified as “frail</w:t>
      </w:r>
      <w:r w:rsidR="00CD232A" w:rsidRPr="004A4316">
        <w:t>,</w:t>
      </w:r>
      <w:r w:rsidR="008726DF" w:rsidRPr="004A4316">
        <w:t>”</w:t>
      </w:r>
      <w:r w:rsidR="00A0791E" w:rsidRPr="004A4316">
        <w:t xml:space="preserve"> </w:t>
      </w:r>
      <w:r w:rsidR="00CD232A" w:rsidRPr="004A4316">
        <w:t>meaning they</w:t>
      </w:r>
      <w:r w:rsidR="00A0791E">
        <w:t xml:space="preserve"> require 24-hour support.</w:t>
      </w:r>
      <w:r w:rsidR="008726DF">
        <w:rPr>
          <w:rStyle w:val="FootnoteReference"/>
        </w:rPr>
        <w:footnoteReference w:id="14"/>
      </w:r>
      <w:r w:rsidR="008726DF">
        <w:t xml:space="preserve"> </w:t>
      </w:r>
      <w:r w:rsidR="002A3165">
        <w:t>This</w:t>
      </w:r>
      <w:r w:rsidR="00323289">
        <w:t xml:space="preserve"> care and</w:t>
      </w:r>
      <w:r w:rsidR="002A3165">
        <w:t xml:space="preserve"> support</w:t>
      </w:r>
      <w:r w:rsidR="008726DF">
        <w:t xml:space="preserve"> is</w:t>
      </w:r>
      <w:r w:rsidR="006C2109">
        <w:t xml:space="preserve"> “a comprehensive range of integrated services,” professional or lay, that include hygiene and physical care; rehabilitation programs to support mobility; respite care; informational, educational, and </w:t>
      </w:r>
      <w:r w:rsidR="006C2109" w:rsidRPr="004A4316">
        <w:t>counseling</w:t>
      </w:r>
      <w:r w:rsidR="006C2109">
        <w:t xml:space="preserve"> services on aging to family and community members; and free health care.</w:t>
      </w:r>
      <w:r w:rsidR="006C2109">
        <w:rPr>
          <w:rStyle w:val="FootnoteReference"/>
        </w:rPr>
        <w:footnoteReference w:id="15"/>
      </w:r>
      <w:r w:rsidR="006C2109">
        <w:t xml:space="preserve"> </w:t>
      </w:r>
    </w:p>
    <w:p w14:paraId="52B5889C" w14:textId="77777777" w:rsidR="00A83F13" w:rsidRPr="00E4198A" w:rsidRDefault="00A83F13" w:rsidP="00F86973">
      <w:pPr>
        <w:rPr>
          <w:rFonts w:cstheme="minorHAnsi"/>
          <w:szCs w:val="22"/>
        </w:rPr>
      </w:pPr>
    </w:p>
    <w:p w14:paraId="40D94BCC" w14:textId="55717C0D" w:rsidR="00B7154D" w:rsidRDefault="00256A93" w:rsidP="00A500E7">
      <w:pPr>
        <w:pStyle w:val="Heading2"/>
        <w:spacing w:before="0" w:after="0" w:line="264" w:lineRule="auto"/>
        <w:rPr>
          <w:rStyle w:val="Strong"/>
          <w:rFonts w:ascii="Roboto" w:hAnsi="Roboto"/>
        </w:rPr>
      </w:pPr>
      <w:r w:rsidRPr="00256A93">
        <w:t xml:space="preserve">Question </w:t>
      </w:r>
      <w:r w:rsidR="004D00AB" w:rsidRPr="00256A93">
        <w:t xml:space="preserve">2. </w:t>
      </w:r>
      <w:r w:rsidRPr="00256A93">
        <w:t>Concrete </w:t>
      </w:r>
      <w:r w:rsidR="003E3C84">
        <w:t>P</w:t>
      </w:r>
      <w:r w:rsidRPr="00000131">
        <w:t xml:space="preserve">olicy or </w:t>
      </w:r>
      <w:r w:rsidR="003E3C84">
        <w:t>P</w:t>
      </w:r>
      <w:r w:rsidRPr="00000131">
        <w:t>rogrammatic </w:t>
      </w:r>
      <w:r w:rsidR="003E3C84">
        <w:t>M</w:t>
      </w:r>
      <w:r w:rsidRPr="00000131">
        <w:t>easures</w:t>
      </w:r>
      <w:r w:rsidRPr="00256A93">
        <w:t xml:space="preserve"> </w:t>
      </w:r>
      <w:r w:rsidR="0054343F">
        <w:t>in South Africa</w:t>
      </w:r>
    </w:p>
    <w:p w14:paraId="61EA395D" w14:textId="1C793BB4" w:rsidR="00804942" w:rsidRDefault="003A5D6E" w:rsidP="0006295F">
      <w:r>
        <w:t xml:space="preserve">South Africa </w:t>
      </w:r>
      <w:r w:rsidR="00C658EF">
        <w:t xml:space="preserve">created measures </w:t>
      </w:r>
      <w:r w:rsidR="00851585">
        <w:t>to ensure the rights of older persons</w:t>
      </w:r>
      <w:r w:rsidR="00E367D3" w:rsidRPr="004A4316">
        <w:t>, including</w:t>
      </w:r>
      <w:r w:rsidR="006D00DF">
        <w:t xml:space="preserve"> the </w:t>
      </w:r>
      <w:r w:rsidR="006D00DF" w:rsidRPr="004465E9">
        <w:t>Social Assistance Act</w:t>
      </w:r>
      <w:r w:rsidR="006D00DF">
        <w:t>, which provides for the</w:t>
      </w:r>
      <w:r w:rsidR="006D00DF" w:rsidRPr="004465E9">
        <w:t xml:space="preserve"> Older Persons Grant</w:t>
      </w:r>
      <w:r w:rsidR="006D00DF">
        <w:t>; the Grant-in-Aid; and the Older Persons Act</w:t>
      </w:r>
      <w:r w:rsidR="00804942">
        <w:t>.</w:t>
      </w:r>
    </w:p>
    <w:p w14:paraId="2A037B66" w14:textId="77777777" w:rsidR="00915C12" w:rsidRDefault="00915C12" w:rsidP="0006295F"/>
    <w:p w14:paraId="7D3444EC" w14:textId="3CCCC600" w:rsidR="000D2537" w:rsidRDefault="00915C12" w:rsidP="000D2537">
      <w:r>
        <w:t>P</w:t>
      </w:r>
      <w:r w:rsidRPr="00EB5186">
        <w:t xml:space="preserve">rovincial Departments of Social Development are responsible for </w:t>
      </w:r>
      <w:r w:rsidR="00E367D3" w:rsidRPr="004A4316">
        <w:t>delivering</w:t>
      </w:r>
      <w:r w:rsidRPr="00EB5186">
        <w:t xml:space="preserve"> </w:t>
      </w:r>
      <w:r>
        <w:t xml:space="preserve">community- and home-based care and support </w:t>
      </w:r>
      <w:r w:rsidRPr="00EB5186">
        <w:t xml:space="preserve">services under the Older Persons Act in their province. </w:t>
      </w:r>
      <w:r w:rsidR="000D2537">
        <w:t xml:space="preserve">Provincial governments set the budget and priorities for social development, including for older </w:t>
      </w:r>
      <w:r w:rsidR="00256B4D">
        <w:t>persons</w:t>
      </w:r>
      <w:r w:rsidR="00E66FC2" w:rsidRPr="004A4316">
        <w:t>, and their</w:t>
      </w:r>
      <w:r w:rsidR="000D2537">
        <w:t xml:space="preserve"> treasuries allocate the budget for </w:t>
      </w:r>
      <w:r w:rsidR="000D2537" w:rsidRPr="004A4316">
        <w:t>the</w:t>
      </w:r>
      <w:r w:rsidR="00E66FC2" w:rsidRPr="004A4316">
        <w:t>ir</w:t>
      </w:r>
      <w:r w:rsidR="000D2537">
        <w:t xml:space="preserve"> Department of Social Development.</w:t>
      </w:r>
      <w:r w:rsidR="000D2537">
        <w:rPr>
          <w:rStyle w:val="FootnoteReference"/>
        </w:rPr>
        <w:footnoteReference w:id="16"/>
      </w:r>
      <w:r w:rsidR="00135E2A">
        <w:t xml:space="preserve"> </w:t>
      </w:r>
      <w:r w:rsidR="000D2537">
        <w:t xml:space="preserve">Provincial departments use part of this budget to subsidize non-profit organizations to fulfill the government’s duties under the Older Persons Act. </w:t>
      </w:r>
    </w:p>
    <w:p w14:paraId="14E9AB82" w14:textId="77777777" w:rsidR="00915C12" w:rsidRDefault="00915C12" w:rsidP="00915C12"/>
    <w:p w14:paraId="7BD4B914" w14:textId="3BCFB343" w:rsidR="00915C12" w:rsidRDefault="003D650B" w:rsidP="0006295F">
      <w:r>
        <w:lastRenderedPageBreak/>
        <w:t>N</w:t>
      </w:r>
      <w:r w:rsidR="00135E2A" w:rsidRPr="00EB5186">
        <w:t xml:space="preserve">ational regulations on implementing the Older Persons Act specify </w:t>
      </w:r>
      <w:r w:rsidR="000A1286">
        <w:t xml:space="preserve">three </w:t>
      </w:r>
      <w:r w:rsidR="002E7EE7">
        <w:t xml:space="preserve">tiers </w:t>
      </w:r>
      <w:r w:rsidR="00135E2A" w:rsidRPr="00EB5186">
        <w:t>of service centers</w:t>
      </w:r>
      <w:r>
        <w:t xml:space="preserve">, </w:t>
      </w:r>
      <w:r w:rsidR="00C66632">
        <w:t xml:space="preserve">delivering </w:t>
      </w:r>
      <w:r w:rsidR="002E7EE7">
        <w:t xml:space="preserve">from </w:t>
      </w:r>
      <w:r w:rsidR="00762A3E" w:rsidRPr="004A4316">
        <w:t xml:space="preserve">a </w:t>
      </w:r>
      <w:r w:rsidR="00C66632">
        <w:t xml:space="preserve">basic to </w:t>
      </w:r>
      <w:r w:rsidR="000A1286">
        <w:t>a more comprehensive range of services</w:t>
      </w:r>
      <w:r w:rsidR="00135E2A" w:rsidRPr="00EB5186">
        <w:t>.</w:t>
      </w:r>
      <w:r w:rsidR="00135E2A" w:rsidRPr="00EB5186">
        <w:rPr>
          <w:rStyle w:val="FootnoteReference"/>
        </w:rPr>
        <w:footnoteReference w:id="17"/>
      </w:r>
    </w:p>
    <w:p w14:paraId="7FB870B6" w14:textId="77777777" w:rsidR="00804942" w:rsidRDefault="00804942" w:rsidP="0006295F"/>
    <w:p w14:paraId="6EE3E34C" w14:textId="117DE08E" w:rsidR="00EE7872" w:rsidRDefault="00EE7872" w:rsidP="00A500E7">
      <w:pPr>
        <w:pStyle w:val="Heading2"/>
        <w:spacing w:before="0" w:after="0" w:line="264" w:lineRule="auto"/>
      </w:pPr>
      <w:r>
        <w:t xml:space="preserve">Question 3. </w:t>
      </w:r>
      <w:r w:rsidR="00D72D34">
        <w:t xml:space="preserve">Main </w:t>
      </w:r>
      <w:r>
        <w:t>Challenges</w:t>
      </w:r>
      <w:r w:rsidR="00D72D34">
        <w:t xml:space="preserve"> in South Africa</w:t>
      </w:r>
    </w:p>
    <w:p w14:paraId="22E352AF" w14:textId="4950E3B5" w:rsidR="005D2380" w:rsidRDefault="00EE7872" w:rsidP="0006295F">
      <w:r>
        <w:t xml:space="preserve">Despite existing measures, </w:t>
      </w:r>
      <w:r w:rsidR="005F3400" w:rsidRPr="004A4316">
        <w:t>n</w:t>
      </w:r>
      <w:r w:rsidR="000607CA" w:rsidRPr="004A4316">
        <w:t>early</w:t>
      </w:r>
      <w:r w:rsidR="0006295F">
        <w:t xml:space="preserve"> 30 years after the end of apartheid</w:t>
      </w:r>
      <w:r w:rsidR="001C32CC">
        <w:t xml:space="preserve">, </w:t>
      </w:r>
      <w:r w:rsidR="00CB6FDB">
        <w:t xml:space="preserve">hundreds </w:t>
      </w:r>
      <w:r w:rsidR="0006295F">
        <w:t xml:space="preserve">of thousands of older </w:t>
      </w:r>
      <w:r w:rsidR="00534979">
        <w:t>persons</w:t>
      </w:r>
      <w:r w:rsidR="0006295F">
        <w:t xml:space="preserve"> </w:t>
      </w:r>
      <w:r w:rsidR="00762A3E" w:rsidRPr="004A4316">
        <w:t xml:space="preserve">still cannot </w:t>
      </w:r>
      <w:r w:rsidR="0006295F">
        <w:t>access the care and support services they are entitled to.</w:t>
      </w:r>
      <w:r w:rsidR="00E46DC1">
        <w:rPr>
          <w:rStyle w:val="FootnoteReference"/>
        </w:rPr>
        <w:footnoteReference w:id="18"/>
      </w:r>
      <w:r w:rsidR="0006295F">
        <w:t xml:space="preserve"> </w:t>
      </w:r>
    </w:p>
    <w:p w14:paraId="1CCC4780" w14:textId="77777777" w:rsidR="005D2380" w:rsidRDefault="005D2380" w:rsidP="0006295F"/>
    <w:p w14:paraId="17F9830B" w14:textId="3F3C79E2" w:rsidR="009E6F83" w:rsidRDefault="005D2380" w:rsidP="0006295F">
      <w:r>
        <w:t xml:space="preserve">Human Rights Watch identified six </w:t>
      </w:r>
      <w:r w:rsidRPr="004A4316">
        <w:t>key</w:t>
      </w:r>
      <w:r w:rsidR="0007777E" w:rsidRPr="00C76C3B">
        <w:t xml:space="preserve"> factors</w:t>
      </w:r>
      <w:r w:rsidR="0007777E">
        <w:t xml:space="preserve"> </w:t>
      </w:r>
      <w:r w:rsidR="0007777E" w:rsidRPr="004A4316">
        <w:t>contribut</w:t>
      </w:r>
      <w:r w:rsidRPr="004A4316">
        <w:t>ing</w:t>
      </w:r>
      <w:r w:rsidR="0007777E">
        <w:t xml:space="preserve"> to the unavailability of services</w:t>
      </w:r>
      <w:r w:rsidR="000272ED">
        <w:t xml:space="preserve">, despite </w:t>
      </w:r>
      <w:r w:rsidR="0034594F" w:rsidRPr="004A4316">
        <w:t>existing</w:t>
      </w:r>
      <w:r w:rsidR="000272ED">
        <w:t xml:space="preserve"> policy and programmatic measures</w:t>
      </w:r>
      <w:r w:rsidR="009E6F83">
        <w:t>:</w:t>
      </w:r>
    </w:p>
    <w:p w14:paraId="55A309B5" w14:textId="77777777" w:rsidR="009E6F83" w:rsidRDefault="009E6F83" w:rsidP="0006295F"/>
    <w:p w14:paraId="32ADC3FB" w14:textId="690423DA" w:rsidR="00E123E0" w:rsidRPr="004D00AB" w:rsidRDefault="00CE7D0C" w:rsidP="00A500E7">
      <w:pPr>
        <w:pStyle w:val="Heading3"/>
        <w:spacing w:before="0" w:after="0" w:line="264" w:lineRule="auto"/>
      </w:pPr>
      <w:r w:rsidRPr="004D00AB">
        <w:t xml:space="preserve">1. </w:t>
      </w:r>
      <w:r w:rsidR="00E123E0" w:rsidRPr="004D00AB">
        <w:t xml:space="preserve">Government </w:t>
      </w:r>
      <w:r w:rsidR="00A24577" w:rsidRPr="004D00AB">
        <w:t>T</w:t>
      </w:r>
      <w:r w:rsidR="00E123E0" w:rsidRPr="004D00AB">
        <w:t xml:space="preserve">argets </w:t>
      </w:r>
      <w:r w:rsidR="00A24577" w:rsidRPr="004D00AB">
        <w:t>N</w:t>
      </w:r>
      <w:r w:rsidR="00E123E0" w:rsidRPr="004D00AB">
        <w:t xml:space="preserve">ot </w:t>
      </w:r>
      <w:r w:rsidR="00A24577" w:rsidRPr="004D00AB">
        <w:t>B</w:t>
      </w:r>
      <w:r w:rsidR="00E123E0" w:rsidRPr="004D00AB">
        <w:t>ase</w:t>
      </w:r>
      <w:r w:rsidR="00C027D8" w:rsidRPr="004D00AB">
        <w:t>d</w:t>
      </w:r>
      <w:r w:rsidR="00E123E0" w:rsidRPr="004D00AB">
        <w:t xml:space="preserve"> on </w:t>
      </w:r>
      <w:r w:rsidR="00A24577" w:rsidRPr="004D00AB">
        <w:t>S</w:t>
      </w:r>
      <w:r w:rsidR="00E123E0" w:rsidRPr="004D00AB">
        <w:t xml:space="preserve">cale of </w:t>
      </w:r>
      <w:r w:rsidR="00A24577" w:rsidRPr="004D00AB">
        <w:t>N</w:t>
      </w:r>
      <w:r w:rsidR="00E123E0" w:rsidRPr="004D00AB">
        <w:t>eed</w:t>
      </w:r>
    </w:p>
    <w:p w14:paraId="3BE556B5" w14:textId="7FC8FAAB" w:rsidR="00CE7D0C" w:rsidRDefault="00CE7D0C" w:rsidP="00CE7D0C">
      <w:r>
        <w:t xml:space="preserve">The </w:t>
      </w:r>
      <w:r w:rsidR="0034594F" w:rsidRPr="004A4316">
        <w:t xml:space="preserve">national </w:t>
      </w:r>
      <w:r>
        <w:t xml:space="preserve">Department of Social Development, </w:t>
      </w:r>
      <w:r w:rsidR="000272ED">
        <w:t xml:space="preserve">which </w:t>
      </w:r>
      <w:r>
        <w:t xml:space="preserve">is responsible for care and support services for older </w:t>
      </w:r>
      <w:r w:rsidR="00534979">
        <w:t>persons</w:t>
      </w:r>
      <w:r>
        <w:t xml:space="preserve">, </w:t>
      </w:r>
      <w:r w:rsidR="00F95CA2">
        <w:t xml:space="preserve">does not have data on how many require services. </w:t>
      </w:r>
      <w:r w:rsidR="001526AD">
        <w:t xml:space="preserve">Concerningly, </w:t>
      </w:r>
      <w:r w:rsidR="001526AD" w:rsidRPr="004A4316">
        <w:t>i</w:t>
      </w:r>
      <w:r w:rsidR="00F95CA2" w:rsidRPr="004A4316">
        <w:t>t</w:t>
      </w:r>
      <w:r w:rsidR="00F95CA2">
        <w:t xml:space="preserve"> sets </w:t>
      </w:r>
      <w:r>
        <w:t xml:space="preserve">targets based on what it can afford, rather than on what older </w:t>
      </w:r>
      <w:r w:rsidR="00534979">
        <w:t>persons</w:t>
      </w:r>
      <w:r>
        <w:t xml:space="preserve"> need. </w:t>
      </w:r>
      <w:r w:rsidR="00D90075">
        <w:t xml:space="preserve">Despite </w:t>
      </w:r>
      <w:r>
        <w:t xml:space="preserve">half of older </w:t>
      </w:r>
      <w:r w:rsidR="00534979">
        <w:t>persons</w:t>
      </w:r>
      <w:r>
        <w:t xml:space="preserve"> hav</w:t>
      </w:r>
      <w:r w:rsidR="00D90075">
        <w:t>ing</w:t>
      </w:r>
      <w:r>
        <w:t xml:space="preserve"> disabilities</w:t>
      </w:r>
      <w:r w:rsidR="00C60BF7">
        <w:rPr>
          <w:rStyle w:val="FootnoteReference"/>
        </w:rPr>
        <w:footnoteReference w:id="19"/>
      </w:r>
      <w:r>
        <w:t xml:space="preserve"> and more than half hav</w:t>
      </w:r>
      <w:r w:rsidR="00D90075">
        <w:t>ing</w:t>
      </w:r>
      <w:r>
        <w:t xml:space="preserve"> chronic illnesses,</w:t>
      </w:r>
      <w:r w:rsidR="00E57D85">
        <w:rPr>
          <w:rStyle w:val="FootnoteReference"/>
        </w:rPr>
        <w:footnoteReference w:id="20"/>
      </w:r>
      <w:r>
        <w:t xml:space="preserve"> </w:t>
      </w:r>
      <w:r w:rsidR="00D90075">
        <w:t>i</w:t>
      </w:r>
      <w:r>
        <w:t xml:space="preserve">n 2021, </w:t>
      </w:r>
      <w:r w:rsidR="00605B79">
        <w:t xml:space="preserve">only </w:t>
      </w:r>
      <w:r w:rsidR="001526AD" w:rsidRPr="004A4316">
        <w:t xml:space="preserve">3 </w:t>
      </w:r>
      <w:r w:rsidR="003B4BD7" w:rsidRPr="004A4316">
        <w:t>percent</w:t>
      </w:r>
      <w:r w:rsidR="001F270B">
        <w:t xml:space="preserve"> </w:t>
      </w:r>
      <w:r>
        <w:t>of the then</w:t>
      </w:r>
      <w:r w:rsidR="00605B79">
        <w:t>-</w:t>
      </w:r>
      <w:r w:rsidR="003009C9">
        <w:t>3.7</w:t>
      </w:r>
      <w:r>
        <w:t xml:space="preserve"> million Older Persons Grant </w:t>
      </w:r>
      <w:r w:rsidR="00605B79">
        <w:t xml:space="preserve">recipients </w:t>
      </w:r>
      <w:r>
        <w:t>had access to care and support services.</w:t>
      </w:r>
      <w:r w:rsidR="001F270B">
        <w:rPr>
          <w:rStyle w:val="FootnoteReference"/>
        </w:rPr>
        <w:footnoteReference w:id="21"/>
      </w:r>
      <w:r w:rsidR="00C47EC5">
        <w:t xml:space="preserve"> </w:t>
      </w:r>
    </w:p>
    <w:p w14:paraId="73E46B9C" w14:textId="77777777" w:rsidR="000B61B2" w:rsidRDefault="000B61B2" w:rsidP="0006295F"/>
    <w:p w14:paraId="53302F3A" w14:textId="7D2BF9E2" w:rsidR="000B61B2" w:rsidRPr="004D00AB" w:rsidRDefault="005F50A5" w:rsidP="00A500E7">
      <w:pPr>
        <w:pStyle w:val="Heading3"/>
        <w:spacing w:before="0" w:after="0" w:line="264" w:lineRule="auto"/>
      </w:pPr>
      <w:r w:rsidDel="001C5700">
        <w:t>2</w:t>
      </w:r>
      <w:r w:rsidR="004D00AB" w:rsidDel="001C5700">
        <w:t>.</w:t>
      </w:r>
      <w:r w:rsidR="000B61B2" w:rsidRPr="004D00AB">
        <w:t xml:space="preserve"> </w:t>
      </w:r>
      <w:r w:rsidR="00A24577" w:rsidRPr="004D00AB">
        <w:t>Disparities in Provincial Plans to Increase Access to Services</w:t>
      </w:r>
    </w:p>
    <w:p w14:paraId="63095744" w14:textId="6C16F437" w:rsidR="00A24D12" w:rsidRPr="004A4316" w:rsidRDefault="00A24577" w:rsidP="00A500E7">
      <w:r>
        <w:t>While s</w:t>
      </w:r>
      <w:r w:rsidR="008E193F">
        <w:t xml:space="preserve">ome provincial governments have acknowledged the need to increase older </w:t>
      </w:r>
      <w:r w:rsidR="00534979">
        <w:t>persons</w:t>
      </w:r>
      <w:r w:rsidR="008E193F">
        <w:t>’ access to services</w:t>
      </w:r>
      <w:r>
        <w:t xml:space="preserve">, </w:t>
      </w:r>
      <w:r w:rsidR="008E193F">
        <w:t>provincial plans are inconsistent</w:t>
      </w:r>
      <w:r w:rsidR="00212947">
        <w:t xml:space="preserve">; </w:t>
      </w:r>
      <w:r w:rsidR="00F71F21">
        <w:t xml:space="preserve">some </w:t>
      </w:r>
      <w:r w:rsidR="00675AA9">
        <w:t xml:space="preserve">have even </w:t>
      </w:r>
      <w:r w:rsidR="00045650" w:rsidRPr="004A4316">
        <w:t>decrease</w:t>
      </w:r>
      <w:r w:rsidR="00675AA9" w:rsidRPr="004A4316">
        <w:t>d</w:t>
      </w:r>
      <w:r w:rsidR="00045650" w:rsidRPr="004A4316">
        <w:t xml:space="preserve"> </w:t>
      </w:r>
      <w:r w:rsidR="00675AA9">
        <w:t xml:space="preserve">relevant </w:t>
      </w:r>
      <w:r w:rsidR="00045650">
        <w:t xml:space="preserve">budgets. </w:t>
      </w:r>
      <w:r w:rsidR="00265EDA" w:rsidRPr="004A4316">
        <w:t>T</w:t>
      </w:r>
      <w:r w:rsidR="00B15008" w:rsidRPr="004A4316">
        <w:t>hose</w:t>
      </w:r>
      <w:r w:rsidR="00B15008">
        <w:t xml:space="preserve"> with </w:t>
      </w:r>
      <w:r w:rsidR="00F71F21">
        <w:t xml:space="preserve">planned increases would only cover a small proportion of </w:t>
      </w:r>
      <w:r w:rsidR="00B15008">
        <w:t xml:space="preserve">older persons </w:t>
      </w:r>
      <w:r w:rsidR="00F71F21" w:rsidDel="00E603E0">
        <w:t xml:space="preserve">believed to be </w:t>
      </w:r>
      <w:r w:rsidR="00F71F21">
        <w:t xml:space="preserve">entitled to services. </w:t>
      </w:r>
    </w:p>
    <w:p w14:paraId="0D0DD129" w14:textId="77777777" w:rsidR="00A24D12" w:rsidRPr="004A4316" w:rsidRDefault="00A24D12" w:rsidP="00A500E7"/>
    <w:p w14:paraId="70FB4352" w14:textId="07194B92" w:rsidR="00602F84" w:rsidRDefault="00592FEB" w:rsidP="0006295F">
      <w:r>
        <w:lastRenderedPageBreak/>
        <w:t xml:space="preserve">For example, </w:t>
      </w:r>
      <w:r w:rsidR="00675364">
        <w:t xml:space="preserve">between 2020 and 2023, the Western Cape’s budget for these services decreased by </w:t>
      </w:r>
      <w:r w:rsidR="00656025" w:rsidRPr="004A4316">
        <w:t xml:space="preserve">8 </w:t>
      </w:r>
      <w:r w:rsidR="00F033AC" w:rsidRPr="004A4316">
        <w:t>percent</w:t>
      </w:r>
      <w:r w:rsidR="00767600">
        <w:rPr>
          <w:rStyle w:val="FootnoteReference"/>
        </w:rPr>
        <w:footnoteReference w:id="22"/>
      </w:r>
      <w:r w:rsidR="00675364">
        <w:t xml:space="preserve"> and Gauteng</w:t>
      </w:r>
      <w:r w:rsidR="00EE11DA">
        <w:t>’s</w:t>
      </w:r>
      <w:r w:rsidR="00656025">
        <w:t xml:space="preserve"> decreased</w:t>
      </w:r>
      <w:r w:rsidR="00675364">
        <w:t xml:space="preserve"> by </w:t>
      </w:r>
      <w:r w:rsidR="00656025">
        <w:t xml:space="preserve">7 </w:t>
      </w:r>
      <w:r w:rsidR="00F033AC" w:rsidRPr="004A4316">
        <w:t>percent</w:t>
      </w:r>
      <w:r w:rsidR="00675364">
        <w:t>.</w:t>
      </w:r>
      <w:r w:rsidR="00DD672C">
        <w:rPr>
          <w:rStyle w:val="FootnoteReference"/>
        </w:rPr>
        <w:footnoteReference w:id="23"/>
      </w:r>
      <w:r w:rsidR="00675364">
        <w:t xml:space="preserve"> In contrast, the Eastern Cape’s budget rose by </w:t>
      </w:r>
      <w:r w:rsidR="00264237">
        <w:t xml:space="preserve">16 </w:t>
      </w:r>
      <w:r w:rsidR="00264237" w:rsidRPr="004A4316">
        <w:t>percent</w:t>
      </w:r>
      <w:r w:rsidR="00A24D12" w:rsidRPr="004A4316">
        <w:t>,</w:t>
      </w:r>
      <w:r w:rsidR="00143EE0">
        <w:rPr>
          <w:rStyle w:val="FootnoteReference"/>
        </w:rPr>
        <w:footnoteReference w:id="24"/>
      </w:r>
      <w:r w:rsidR="00675364">
        <w:t xml:space="preserve"> but over those </w:t>
      </w:r>
      <w:r w:rsidR="00DB555A" w:rsidRPr="004A4316">
        <w:t>three</w:t>
      </w:r>
      <w:r w:rsidR="00675364">
        <w:t xml:space="preserve"> years, only 392 additional older </w:t>
      </w:r>
      <w:r w:rsidR="00534979">
        <w:t>persons</w:t>
      </w:r>
      <w:r w:rsidR="00675364">
        <w:t xml:space="preserve"> </w:t>
      </w:r>
      <w:r w:rsidR="00C2273E">
        <w:t xml:space="preserve">received </w:t>
      </w:r>
      <w:r w:rsidR="00675364">
        <w:t>services.</w:t>
      </w:r>
      <w:r w:rsidR="00B138F8">
        <w:rPr>
          <w:rStyle w:val="FootnoteReference"/>
        </w:rPr>
        <w:footnoteReference w:id="25"/>
      </w:r>
    </w:p>
    <w:p w14:paraId="65E30E6F" w14:textId="77777777" w:rsidR="00602F84" w:rsidRDefault="00602F84" w:rsidP="0006295F"/>
    <w:p w14:paraId="3A61C6A5" w14:textId="6A80553F" w:rsidR="000B61B2" w:rsidRPr="004D00AB" w:rsidRDefault="000B61B2" w:rsidP="00A500E7">
      <w:pPr>
        <w:pStyle w:val="Heading3"/>
        <w:spacing w:before="0" w:after="0" w:line="264" w:lineRule="auto"/>
      </w:pPr>
      <w:r w:rsidRPr="004D00AB">
        <w:t xml:space="preserve">3. </w:t>
      </w:r>
      <w:r w:rsidR="001D3EA3" w:rsidRPr="004D00AB">
        <w:t>Insufficient Funding to Non-Profit Organizations that Deliver Basic Services</w:t>
      </w:r>
    </w:p>
    <w:p w14:paraId="7B343CDF" w14:textId="0AE210FB" w:rsidR="00463D2A" w:rsidRDefault="009976A6" w:rsidP="00463D2A">
      <w:r w:rsidRPr="00334091">
        <w:t>The government contract</w:t>
      </w:r>
      <w:r w:rsidRPr="00334091" w:rsidDel="00623908">
        <w:t>s</w:t>
      </w:r>
      <w:r w:rsidRPr="00334091">
        <w:t xml:space="preserve"> with</w:t>
      </w:r>
      <w:r w:rsidR="000F5A96">
        <w:t>, and pay</w:t>
      </w:r>
      <w:r w:rsidR="000F5A96" w:rsidDel="00623908">
        <w:t>s</w:t>
      </w:r>
      <w:r w:rsidR="000F5A96">
        <w:t xml:space="preserve"> a subsidy to,</w:t>
      </w:r>
      <w:r w:rsidRPr="00334091">
        <w:t xml:space="preserve"> non-profit </w:t>
      </w:r>
      <w:r w:rsidR="002D42E8">
        <w:t>organizations</w:t>
      </w:r>
      <w:r w:rsidR="002D42E8" w:rsidRPr="00334091">
        <w:t xml:space="preserve"> </w:t>
      </w:r>
      <w:r w:rsidRPr="00334091">
        <w:t xml:space="preserve">to provide </w:t>
      </w:r>
      <w:r w:rsidR="00A0477A">
        <w:t xml:space="preserve">basic </w:t>
      </w:r>
      <w:r w:rsidRPr="00334091">
        <w:t>services under the Older Persons Act</w:t>
      </w:r>
      <w:r w:rsidR="008E6311">
        <w:t xml:space="preserve">, </w:t>
      </w:r>
      <w:r w:rsidR="00A0477A">
        <w:t xml:space="preserve">as </w:t>
      </w:r>
      <w:r w:rsidR="008E6311">
        <w:t>described in the response to Question 1</w:t>
      </w:r>
      <w:r w:rsidRPr="00334091">
        <w:t>.</w:t>
      </w:r>
      <w:r w:rsidR="00D27D4C">
        <w:t xml:space="preserve"> Service center managers in Eastern Cape</w:t>
      </w:r>
      <w:r w:rsidR="00042C57">
        <w:t>, Western Cape</w:t>
      </w:r>
      <w:r w:rsidR="00E51D3F">
        <w:t>,</w:t>
      </w:r>
      <w:r w:rsidR="00042C57">
        <w:t xml:space="preserve"> and Gauteng</w:t>
      </w:r>
      <w:r w:rsidR="00D27D4C">
        <w:t xml:space="preserve"> </w:t>
      </w:r>
      <w:r w:rsidR="00665701" w:rsidRPr="004A4316">
        <w:t xml:space="preserve">provinces said </w:t>
      </w:r>
      <w:r w:rsidR="00D27D4C">
        <w:t xml:space="preserve">this subsidy </w:t>
      </w:r>
      <w:r w:rsidR="003F3C81">
        <w:t xml:space="preserve">only </w:t>
      </w:r>
      <w:r w:rsidR="00D27D4C">
        <w:t xml:space="preserve">covered </w:t>
      </w:r>
      <w:r w:rsidR="00A317EA">
        <w:t>between</w:t>
      </w:r>
      <w:r w:rsidR="00D27D4C">
        <w:t xml:space="preserve"> 40 </w:t>
      </w:r>
      <w:r w:rsidR="00A317EA">
        <w:t>and</w:t>
      </w:r>
      <w:r w:rsidR="00D27D4C">
        <w:t xml:space="preserve"> </w:t>
      </w:r>
      <w:r w:rsidR="00A317EA">
        <w:t>7</w:t>
      </w:r>
      <w:r w:rsidR="00D27D4C">
        <w:t xml:space="preserve">0 percent of their </w:t>
      </w:r>
      <w:r w:rsidR="00D27D4C" w:rsidRPr="00061BD8">
        <w:t>costs</w:t>
      </w:r>
      <w:r w:rsidR="00463D2A" w:rsidRPr="004C4E1C">
        <w:t>.</w:t>
      </w:r>
      <w:r w:rsidR="008B29CF">
        <w:rPr>
          <w:rStyle w:val="FootnoteReference"/>
        </w:rPr>
        <w:footnoteReference w:id="26"/>
      </w:r>
      <w:r w:rsidR="00463D2A">
        <w:t xml:space="preserve"> </w:t>
      </w:r>
    </w:p>
    <w:p w14:paraId="26844DB5" w14:textId="77777777" w:rsidR="009976A6" w:rsidRDefault="009976A6" w:rsidP="0006295F"/>
    <w:p w14:paraId="603AF049" w14:textId="69604AD6" w:rsidR="00E25A16" w:rsidRPr="004D00AB" w:rsidRDefault="00160AC1" w:rsidP="00A500E7">
      <w:pPr>
        <w:pStyle w:val="Heading3"/>
        <w:spacing w:before="0" w:after="0" w:line="264" w:lineRule="auto"/>
      </w:pPr>
      <w:r w:rsidRPr="004D00AB">
        <w:t xml:space="preserve">4. </w:t>
      </w:r>
      <w:r w:rsidR="00C90486" w:rsidRPr="004D00AB">
        <w:t xml:space="preserve">Overly Prescriptive Rules on Non-Profit </w:t>
      </w:r>
      <w:r w:rsidR="00485D32">
        <w:t xml:space="preserve">Organizations’ </w:t>
      </w:r>
      <w:r w:rsidR="00C90486" w:rsidRPr="004D00AB">
        <w:t>Service Provision</w:t>
      </w:r>
    </w:p>
    <w:p w14:paraId="6A9606DB" w14:textId="16120D08" w:rsidR="00602F84" w:rsidRDefault="00010605" w:rsidP="0006295F">
      <w:r>
        <w:rPr>
          <w:szCs w:val="22"/>
        </w:rPr>
        <w:t xml:space="preserve">The government’s </w:t>
      </w:r>
      <w:r w:rsidRPr="004A4316">
        <w:rPr>
          <w:szCs w:val="22"/>
        </w:rPr>
        <w:t>o</w:t>
      </w:r>
      <w:r w:rsidR="00E25A16" w:rsidRPr="004A4316">
        <w:rPr>
          <w:szCs w:val="22"/>
        </w:rPr>
        <w:t>verly</w:t>
      </w:r>
      <w:r w:rsidR="00E25A16" w:rsidRPr="007051CB">
        <w:rPr>
          <w:szCs w:val="22"/>
        </w:rPr>
        <w:t xml:space="preserve"> prescriptive requirements regarding </w:t>
      </w:r>
      <w:r w:rsidR="007863E1">
        <w:rPr>
          <w:szCs w:val="22"/>
        </w:rPr>
        <w:t>how the subsidy is spent</w:t>
      </w:r>
      <w:r w:rsidR="00E25A16" w:rsidRPr="007051CB">
        <w:rPr>
          <w:szCs w:val="22"/>
        </w:rPr>
        <w:t xml:space="preserve"> further limit</w:t>
      </w:r>
      <w:r>
        <w:rPr>
          <w:szCs w:val="22"/>
        </w:rPr>
        <w:t>s</w:t>
      </w:r>
      <w:r w:rsidR="00E25A16" w:rsidRPr="007051CB">
        <w:rPr>
          <w:szCs w:val="22"/>
        </w:rPr>
        <w:t xml:space="preserve"> the types of community-based care and support</w:t>
      </w:r>
      <w:r w:rsidR="00E25A16" w:rsidRPr="004A4316">
        <w:rPr>
          <w:szCs w:val="22"/>
        </w:rPr>
        <w:t xml:space="preserve"> </w:t>
      </w:r>
      <w:r w:rsidR="00E25A16" w:rsidRPr="007051CB">
        <w:rPr>
          <w:szCs w:val="22"/>
        </w:rPr>
        <w:t xml:space="preserve">that </w:t>
      </w:r>
      <w:r w:rsidR="00E07677" w:rsidRPr="004A4316">
        <w:rPr>
          <w:szCs w:val="22"/>
        </w:rPr>
        <w:t>non</w:t>
      </w:r>
      <w:r w:rsidR="00E07677">
        <w:rPr>
          <w:szCs w:val="22"/>
        </w:rPr>
        <w:t>-profits</w:t>
      </w:r>
      <w:r w:rsidR="00E25A16" w:rsidRPr="007051CB">
        <w:rPr>
          <w:szCs w:val="22"/>
        </w:rPr>
        <w:t xml:space="preserve"> can provide. </w:t>
      </w:r>
      <w:r w:rsidR="00152EF5">
        <w:rPr>
          <w:szCs w:val="22"/>
        </w:rPr>
        <w:t xml:space="preserve">For example, </w:t>
      </w:r>
      <w:r w:rsidR="00152EF5" w:rsidRPr="004A4316">
        <w:rPr>
          <w:szCs w:val="22"/>
        </w:rPr>
        <w:t>t</w:t>
      </w:r>
      <w:r w:rsidR="00E25A16" w:rsidRPr="004A4316">
        <w:rPr>
          <w:szCs w:val="22"/>
        </w:rPr>
        <w:t>he</w:t>
      </w:r>
      <w:r w:rsidR="00E25A16" w:rsidRPr="007051CB">
        <w:rPr>
          <w:szCs w:val="22"/>
        </w:rPr>
        <w:t xml:space="preserve"> Eastern Cape Department of Social Development</w:t>
      </w:r>
      <w:r w:rsidR="00152EF5">
        <w:rPr>
          <w:szCs w:val="22"/>
        </w:rPr>
        <w:t xml:space="preserve"> </w:t>
      </w:r>
      <w:r w:rsidR="00E25A16" w:rsidRPr="007051CB">
        <w:rPr>
          <w:szCs w:val="22"/>
        </w:rPr>
        <w:t>prescribe</w:t>
      </w:r>
      <w:r w:rsidR="001F1264">
        <w:rPr>
          <w:szCs w:val="22"/>
        </w:rPr>
        <w:t>d</w:t>
      </w:r>
      <w:r w:rsidR="00E25A16" w:rsidRPr="007051CB">
        <w:rPr>
          <w:szCs w:val="22"/>
        </w:rPr>
        <w:t xml:space="preserve"> how the R250 </w:t>
      </w:r>
      <w:r w:rsidR="007C4F99">
        <w:rPr>
          <w:szCs w:val="22"/>
        </w:rPr>
        <w:t>(US</w:t>
      </w:r>
      <w:r w:rsidR="000E793F">
        <w:rPr>
          <w:szCs w:val="22"/>
        </w:rPr>
        <w:t xml:space="preserve">$13) </w:t>
      </w:r>
      <w:r w:rsidR="00E47E78">
        <w:rPr>
          <w:szCs w:val="22"/>
        </w:rPr>
        <w:t xml:space="preserve">per person per </w:t>
      </w:r>
      <w:r w:rsidR="000E793F">
        <w:rPr>
          <w:szCs w:val="22"/>
        </w:rPr>
        <w:t>month</w:t>
      </w:r>
      <w:r w:rsidR="00E47E78">
        <w:rPr>
          <w:szCs w:val="22"/>
        </w:rPr>
        <w:t xml:space="preserve"> </w:t>
      </w:r>
      <w:r w:rsidR="000E793F">
        <w:rPr>
          <w:szCs w:val="22"/>
        </w:rPr>
        <w:t xml:space="preserve">subsidy </w:t>
      </w:r>
      <w:r w:rsidR="00E25A16" w:rsidRPr="00916BDB">
        <w:rPr>
          <w:szCs w:val="22"/>
        </w:rPr>
        <w:t xml:space="preserve">should be spent for FY23: 42 </w:t>
      </w:r>
      <w:r w:rsidR="00E25A16" w:rsidRPr="007051CB">
        <w:rPr>
          <w:szCs w:val="22"/>
        </w:rPr>
        <w:t xml:space="preserve">percent on food, </w:t>
      </w:r>
      <w:r w:rsidR="004304F5" w:rsidRPr="007051CB">
        <w:rPr>
          <w:szCs w:val="22"/>
        </w:rPr>
        <w:t>40 on administration</w:t>
      </w:r>
      <w:r w:rsidR="004304F5">
        <w:rPr>
          <w:szCs w:val="22"/>
        </w:rPr>
        <w:t xml:space="preserve">, </w:t>
      </w:r>
      <w:r w:rsidR="00E25A16" w:rsidRPr="007051CB">
        <w:rPr>
          <w:szCs w:val="22"/>
        </w:rPr>
        <w:t>13 on sports equipment and clothing, and</w:t>
      </w:r>
      <w:r w:rsidR="004304F5">
        <w:rPr>
          <w:szCs w:val="22"/>
        </w:rPr>
        <w:t xml:space="preserve"> </w:t>
      </w:r>
      <w:r w:rsidR="004304F5" w:rsidRPr="007051CB">
        <w:rPr>
          <w:szCs w:val="22"/>
        </w:rPr>
        <w:t>5 on personal health care</w:t>
      </w:r>
      <w:r w:rsidR="00E25A16" w:rsidRPr="007051CB">
        <w:rPr>
          <w:szCs w:val="22"/>
        </w:rPr>
        <w:t>.</w:t>
      </w:r>
      <w:r w:rsidR="00B0749B" w:rsidRPr="00E07677">
        <w:rPr>
          <w:rStyle w:val="FootnoteReference"/>
          <w:szCs w:val="22"/>
        </w:rPr>
        <w:footnoteReference w:id="27"/>
      </w:r>
      <w:r w:rsidR="00B0749B" w:rsidRPr="00E07677">
        <w:rPr>
          <w:rFonts w:ascii="MetaPro-Medi" w:hAnsi="MetaPro-Medi"/>
          <w:szCs w:val="22"/>
        </w:rPr>
        <w:t xml:space="preserve"> </w:t>
      </w:r>
      <w:r w:rsidR="009A1934" w:rsidRPr="009A1934">
        <w:rPr>
          <w:szCs w:val="22"/>
        </w:rPr>
        <w:t>These allocations do not reflect the range of services envisaged under the Older Persons Act,</w:t>
      </w:r>
      <w:r w:rsidR="00957A9F">
        <w:rPr>
          <w:rStyle w:val="FootnoteReference"/>
        </w:rPr>
        <w:footnoteReference w:id="28"/>
      </w:r>
      <w:r w:rsidR="00957A9F">
        <w:rPr>
          <w:szCs w:val="22"/>
        </w:rPr>
        <w:t xml:space="preserve"> </w:t>
      </w:r>
      <w:r w:rsidR="00B0749B">
        <w:rPr>
          <w:szCs w:val="22"/>
        </w:rPr>
        <w:t>t</w:t>
      </w:r>
      <w:r w:rsidR="00957A9F">
        <w:rPr>
          <w:szCs w:val="22"/>
        </w:rPr>
        <w:t>he actual requirements of those being served by centers</w:t>
      </w:r>
      <w:r w:rsidR="00B0749B">
        <w:rPr>
          <w:szCs w:val="22"/>
        </w:rPr>
        <w:t xml:space="preserve">, </w:t>
      </w:r>
      <w:r w:rsidR="00B0749B" w:rsidRPr="004A4316">
        <w:rPr>
          <w:szCs w:val="22"/>
        </w:rPr>
        <w:t>or</w:t>
      </w:r>
      <w:r w:rsidR="00B0749B">
        <w:rPr>
          <w:szCs w:val="22"/>
        </w:rPr>
        <w:t xml:space="preserve"> staff salaries.</w:t>
      </w:r>
    </w:p>
    <w:p w14:paraId="172B6029" w14:textId="77777777" w:rsidR="00D34F46" w:rsidRDefault="00D34F46" w:rsidP="0006295F"/>
    <w:p w14:paraId="697D5CFC" w14:textId="77777777" w:rsidR="006F12BC" w:rsidRDefault="006F12BC" w:rsidP="0006295F"/>
    <w:p w14:paraId="05EEF814" w14:textId="77777777" w:rsidR="006F12BC" w:rsidRDefault="006F12BC" w:rsidP="0006295F"/>
    <w:p w14:paraId="0320675A" w14:textId="77A5ED8B" w:rsidR="00160AC1" w:rsidRPr="004D00AB" w:rsidRDefault="00160AC1" w:rsidP="00A500E7">
      <w:pPr>
        <w:pStyle w:val="Heading3"/>
        <w:spacing w:before="0" w:after="0" w:line="264" w:lineRule="auto"/>
      </w:pPr>
      <w:r w:rsidRPr="004D00AB">
        <w:lastRenderedPageBreak/>
        <w:t>5. Over-</w:t>
      </w:r>
      <w:r w:rsidR="00294AB4" w:rsidRPr="004A4316">
        <w:t>R</w:t>
      </w:r>
      <w:r w:rsidR="00A70209" w:rsidRPr="004A4316">
        <w:t>eliance</w:t>
      </w:r>
      <w:r w:rsidRPr="004D00AB">
        <w:t xml:space="preserve"> on </w:t>
      </w:r>
      <w:r w:rsidR="00294AB4" w:rsidRPr="004A4316">
        <w:t>F</w:t>
      </w:r>
      <w:r w:rsidRPr="004A4316">
        <w:t xml:space="preserve">amily </w:t>
      </w:r>
      <w:r w:rsidR="00C9171C">
        <w:t>Members</w:t>
      </w:r>
    </w:p>
    <w:p w14:paraId="420E4272" w14:textId="518F78B2" w:rsidR="000F1DB9" w:rsidRPr="004A4316" w:rsidRDefault="00BE69A0" w:rsidP="00A500E7">
      <w:r>
        <w:t>In the absence of community-based services,</w:t>
      </w:r>
      <w:r w:rsidR="00D62693">
        <w:t xml:space="preserve"> the Older Persons Act</w:t>
      </w:r>
      <w:r w:rsidR="00E32967">
        <w:t xml:space="preserve"> effectively shifts the </w:t>
      </w:r>
      <w:r w:rsidR="007C00C0">
        <w:t>responsibility</w:t>
      </w:r>
      <w:r w:rsidR="00E32967">
        <w:t xml:space="preserve"> to family </w:t>
      </w:r>
      <w:r w:rsidR="00704C32">
        <w:t>members</w:t>
      </w:r>
      <w:r w:rsidR="00E32967">
        <w:t>. However,</w:t>
      </w:r>
      <w:r w:rsidR="006142B4" w:rsidDel="00E32967">
        <w:t xml:space="preserve"> </w:t>
      </w:r>
      <w:r w:rsidR="00E32967">
        <w:t xml:space="preserve">an </w:t>
      </w:r>
      <w:r w:rsidR="006142B4">
        <w:t xml:space="preserve">over-reliance on </w:t>
      </w:r>
      <w:r w:rsidR="006142B4" w:rsidRPr="00D20471">
        <w:t xml:space="preserve">family </w:t>
      </w:r>
      <w:r w:rsidR="58FB5F38" w:rsidRPr="00D20471">
        <w:t>support</w:t>
      </w:r>
      <w:r w:rsidR="006142B4" w:rsidRPr="00D20471">
        <w:t xml:space="preserve"> excludes</w:t>
      </w:r>
      <w:r w:rsidR="006142B4">
        <w:t xml:space="preserve"> older </w:t>
      </w:r>
      <w:r w:rsidR="00534979">
        <w:t>persons</w:t>
      </w:r>
      <w:r w:rsidR="006142B4">
        <w:t xml:space="preserve"> </w:t>
      </w:r>
      <w:r w:rsidR="00E3534C" w:rsidRPr="004A4316">
        <w:t>without families</w:t>
      </w:r>
      <w:r w:rsidR="006142B4">
        <w:t xml:space="preserve"> or who</w:t>
      </w:r>
      <w:r w:rsidR="00DA7115">
        <w:t xml:space="preserve">se </w:t>
      </w:r>
      <w:r w:rsidR="00982DD0" w:rsidRPr="004A4316">
        <w:t>relatives</w:t>
      </w:r>
      <w:r w:rsidR="006142B4" w:rsidRPr="004A4316">
        <w:t xml:space="preserve"> </w:t>
      </w:r>
      <w:r w:rsidR="006142B4">
        <w:t xml:space="preserve">are unable, or choose not, to </w:t>
      </w:r>
      <w:r w:rsidR="002A7F32" w:rsidRPr="004A4316">
        <w:t>provide support at home</w:t>
      </w:r>
      <w:r w:rsidR="006142B4" w:rsidRPr="004A4316">
        <w:t xml:space="preserve">. </w:t>
      </w:r>
    </w:p>
    <w:p w14:paraId="284275CB" w14:textId="77777777" w:rsidR="000F1DB9" w:rsidRPr="004A4316" w:rsidRDefault="000F1DB9" w:rsidP="00A500E7"/>
    <w:p w14:paraId="53E9B9D4" w14:textId="0430F777" w:rsidR="00487998" w:rsidRDefault="000F1DB9" w:rsidP="00487998">
      <w:r w:rsidRPr="00E360E0">
        <w:t>The lack of care and support services for older persons also affects f</w:t>
      </w:r>
      <w:r w:rsidR="00487998" w:rsidRPr="00E360E0">
        <w:t xml:space="preserve">amily </w:t>
      </w:r>
      <w:r w:rsidR="32F9A7E4" w:rsidRPr="00E360E0">
        <w:t>members</w:t>
      </w:r>
      <w:r w:rsidR="00487998" w:rsidRPr="00E360E0">
        <w:t>, often younger women.</w:t>
      </w:r>
      <w:r w:rsidR="00487998" w:rsidRPr="00E360E0">
        <w:rPr>
          <w:rStyle w:val="FootnoteReference"/>
        </w:rPr>
        <w:footnoteReference w:id="29"/>
      </w:r>
      <w:r w:rsidR="00487998" w:rsidRPr="00E360E0">
        <w:t xml:space="preserve"> </w:t>
      </w:r>
      <w:r w:rsidR="009A1806" w:rsidRPr="00E360E0">
        <w:t xml:space="preserve">When an older person requires support, </w:t>
      </w:r>
      <w:r w:rsidR="00532DB4" w:rsidRPr="00E360E0">
        <w:t xml:space="preserve">family </w:t>
      </w:r>
      <w:r w:rsidR="4398DEB9" w:rsidRPr="00E360E0">
        <w:t>members</w:t>
      </w:r>
      <w:r w:rsidR="00532DB4" w:rsidRPr="00E360E0">
        <w:t xml:space="preserve"> </w:t>
      </w:r>
      <w:r w:rsidR="00487998" w:rsidRPr="00E360E0">
        <w:t xml:space="preserve">may have to take responsibility for other </w:t>
      </w:r>
      <w:r w:rsidR="00982DD0" w:rsidRPr="00E360E0">
        <w:t>relatives</w:t>
      </w:r>
      <w:r w:rsidR="00487998" w:rsidRPr="00E360E0">
        <w:t xml:space="preserve"> the older person can no longer support</w:t>
      </w:r>
      <w:r w:rsidR="00F84A91">
        <w:t>.</w:t>
      </w:r>
    </w:p>
    <w:p w14:paraId="72FA5405" w14:textId="77777777" w:rsidR="00303978" w:rsidRDefault="00303978" w:rsidP="00487998"/>
    <w:p w14:paraId="4B9A8303" w14:textId="13E40642" w:rsidR="00160AC1" w:rsidRDefault="00C975AB" w:rsidP="0006295F">
      <w:r>
        <w:t>I</w:t>
      </w:r>
      <w:r w:rsidR="002520D1">
        <w:t xml:space="preserve">n March 2022, the Minister for Social Development said 3,000 more </w:t>
      </w:r>
      <w:r w:rsidR="002520D1" w:rsidRPr="008D506C">
        <w:t>social workers were needed</w:t>
      </w:r>
      <w:r w:rsidR="002520D1">
        <w:t xml:space="preserve"> to implement the </w:t>
      </w:r>
      <w:r>
        <w:t xml:space="preserve">Older Persons </w:t>
      </w:r>
      <w:r w:rsidR="002520D1">
        <w:t>Act.</w:t>
      </w:r>
      <w:r w:rsidR="002520D1">
        <w:rPr>
          <w:rStyle w:val="FootnoteReference"/>
        </w:rPr>
        <w:footnoteReference w:id="30"/>
      </w:r>
      <w:r w:rsidR="002520D1">
        <w:t xml:space="preserve"> </w:t>
      </w:r>
      <w:r w:rsidR="00720B75">
        <w:t xml:space="preserve">According to </w:t>
      </w:r>
      <w:r w:rsidR="0027447D" w:rsidRPr="004A4316">
        <w:t>her</w:t>
      </w:r>
      <w:r w:rsidR="00720B75" w:rsidRPr="004A4316">
        <w:t>, t</w:t>
      </w:r>
      <w:r w:rsidR="002520D1" w:rsidRPr="004A4316">
        <w:t xml:space="preserve">he </w:t>
      </w:r>
      <w:r w:rsidR="002520D1">
        <w:t>lack of social workers is due to budget constraints.</w:t>
      </w:r>
      <w:r w:rsidR="002520D1">
        <w:rPr>
          <w:rStyle w:val="FootnoteReference"/>
        </w:rPr>
        <w:footnoteReference w:id="31"/>
      </w:r>
      <w:r w:rsidR="002520D1">
        <w:t xml:space="preserve"> </w:t>
      </w:r>
    </w:p>
    <w:p w14:paraId="04FFEEB0" w14:textId="77777777" w:rsidR="00602F84" w:rsidRDefault="00602F84" w:rsidP="0006295F"/>
    <w:p w14:paraId="12806837" w14:textId="34B33704" w:rsidR="00160AC1" w:rsidRPr="004D00AB" w:rsidRDefault="00160AC1" w:rsidP="00A500E7">
      <w:pPr>
        <w:pStyle w:val="Heading3"/>
        <w:spacing w:before="0" w:after="0" w:line="264" w:lineRule="auto"/>
      </w:pPr>
      <w:r w:rsidRPr="004D00AB">
        <w:t>6. Inadequate Grant-in-Aid</w:t>
      </w:r>
    </w:p>
    <w:p w14:paraId="0245CF8A" w14:textId="02D1CAD6" w:rsidR="00D57917" w:rsidRPr="004A4316" w:rsidRDefault="00B5247E" w:rsidP="00A500E7">
      <w:r>
        <w:t>T</w:t>
      </w:r>
      <w:r w:rsidR="00243CA1" w:rsidRPr="00BF7584">
        <w:t xml:space="preserve">hose eligible for the Older Persons Grant and who require support with their day-to-day activities are </w:t>
      </w:r>
      <w:r w:rsidR="0049063C" w:rsidRPr="004A4316">
        <w:t xml:space="preserve">also </w:t>
      </w:r>
      <w:r w:rsidR="00243CA1" w:rsidRPr="00BF7584">
        <w:t>eligible for the Grant-in-Aid, a</w:t>
      </w:r>
      <w:r w:rsidR="00243CA1">
        <w:t xml:space="preserve"> monthly social grant to pay someone for full-time support at home.</w:t>
      </w:r>
      <w:r w:rsidR="00243CA1">
        <w:rPr>
          <w:rStyle w:val="FootnoteReference"/>
        </w:rPr>
        <w:footnoteReference w:id="32"/>
      </w:r>
      <w:r w:rsidR="003468B2">
        <w:t xml:space="preserve"> </w:t>
      </w:r>
      <w:r w:rsidR="0049063C" w:rsidRPr="004A4316">
        <w:t>Unfortunately, f</w:t>
      </w:r>
      <w:r w:rsidR="007D75F6" w:rsidRPr="004A4316">
        <w:t>ew</w:t>
      </w:r>
      <w:r w:rsidR="007D75F6">
        <w:t xml:space="preserve"> older persons </w:t>
      </w:r>
      <w:r w:rsidR="00EE619D" w:rsidRPr="004A4316">
        <w:t>interviewed by</w:t>
      </w:r>
      <w:r w:rsidR="007D75F6" w:rsidRPr="004A4316">
        <w:t xml:space="preserve"> </w:t>
      </w:r>
      <w:r w:rsidR="007D75F6">
        <w:t xml:space="preserve">Human Rights </w:t>
      </w:r>
      <w:r w:rsidR="007D75F6" w:rsidRPr="004A4316">
        <w:t>Watch</w:t>
      </w:r>
      <w:r w:rsidR="007D75F6">
        <w:t xml:space="preserve"> were aware of it. </w:t>
      </w:r>
    </w:p>
    <w:p w14:paraId="64C44BBC" w14:textId="77777777" w:rsidR="00D57917" w:rsidRPr="004A4316" w:rsidRDefault="00D57917" w:rsidP="00A500E7"/>
    <w:p w14:paraId="20A3763C" w14:textId="6EE4C4A0" w:rsidR="00E04FEF" w:rsidRDefault="00D57917" w:rsidP="0006295F">
      <w:r w:rsidRPr="004A4316">
        <w:t>And it is a paltry amount: i</w:t>
      </w:r>
      <w:r w:rsidR="00F7568C" w:rsidRPr="004A4316">
        <w:t>n</w:t>
      </w:r>
      <w:r w:rsidR="004F0EAB">
        <w:t xml:space="preserve"> April 2023</w:t>
      </w:r>
      <w:r w:rsidR="00720B75">
        <w:t>,</w:t>
      </w:r>
      <w:r w:rsidR="004F0EAB">
        <w:t xml:space="preserve"> </w:t>
      </w:r>
      <w:r w:rsidR="00F7568C">
        <w:t xml:space="preserve">the grant was R500 </w:t>
      </w:r>
      <w:r w:rsidR="00F7568C" w:rsidRPr="004A4316">
        <w:t>($</w:t>
      </w:r>
      <w:r w:rsidR="00F7568C">
        <w:t>27).</w:t>
      </w:r>
      <w:r w:rsidR="00F7568C">
        <w:rPr>
          <w:rStyle w:val="FootnoteReference"/>
        </w:rPr>
        <w:footnoteReference w:id="33"/>
      </w:r>
      <w:r w:rsidR="562C8E3B" w:rsidRPr="660C046C">
        <w:rPr>
          <w:rStyle w:val="FootnoteReference"/>
        </w:rPr>
        <w:t xml:space="preserve"> </w:t>
      </w:r>
      <w:r w:rsidR="2D0264D1">
        <w:t>B</w:t>
      </w:r>
      <w:r w:rsidR="00F7568C" w:rsidRPr="004A4316">
        <w:t xml:space="preserve">ased on the 2023 national minimum wage of R25.42 per hour </w:t>
      </w:r>
      <w:r w:rsidR="00F7568C">
        <w:t xml:space="preserve">($1.32), </w:t>
      </w:r>
      <w:r w:rsidR="00A97DE8">
        <w:t>R500 provides only 20 hours, less than one day of full-time care and support per month.</w:t>
      </w:r>
      <w:r w:rsidR="00A97DE8">
        <w:rPr>
          <w:rStyle w:val="FootnoteReference"/>
        </w:rPr>
        <w:footnoteReference w:id="34"/>
      </w:r>
      <w:r w:rsidR="00A97DE8">
        <w:t xml:space="preserve"> </w:t>
      </w:r>
      <w:r w:rsidR="00F7568C" w:rsidRPr="004A4316">
        <w:t xml:space="preserve">Privately provided home-based care and </w:t>
      </w:r>
      <w:r w:rsidR="00F7568C" w:rsidRPr="004A4316">
        <w:lastRenderedPageBreak/>
        <w:t xml:space="preserve">support services </w:t>
      </w:r>
      <w:r w:rsidR="00011A17" w:rsidRPr="00F34978">
        <w:t>exist</w:t>
      </w:r>
      <w:r w:rsidR="00F7568C" w:rsidRPr="004A4316">
        <w:t xml:space="preserve">, but </w:t>
      </w:r>
      <w:r w:rsidR="00011A17">
        <w:t>are</w:t>
      </w:r>
      <w:r w:rsidR="00F7568C">
        <w:t xml:space="preserve"> not affordable for all, exacerbating</w:t>
      </w:r>
      <w:r w:rsidR="00F7568C" w:rsidRPr="00F34978">
        <w:t xml:space="preserve"> already existing inequalities</w:t>
      </w:r>
      <w:r w:rsidR="00C427C1">
        <w:t>.</w:t>
      </w:r>
      <w:r w:rsidRPr="660C046C">
        <w:rPr>
          <w:rStyle w:val="FootnoteReference"/>
        </w:rPr>
        <w:footnoteReference w:id="35"/>
      </w:r>
    </w:p>
    <w:p w14:paraId="65C18256" w14:textId="77777777" w:rsidR="00900C65" w:rsidRDefault="00900C65" w:rsidP="00900C65"/>
    <w:p w14:paraId="07A19EE3" w14:textId="0A25AD8F" w:rsidR="000F75BC" w:rsidRPr="00FA5486" w:rsidRDefault="00A26D17" w:rsidP="00A500E7">
      <w:pPr>
        <w:pStyle w:val="Heading2"/>
        <w:spacing w:before="0" w:after="0" w:line="264" w:lineRule="auto"/>
      </w:pPr>
      <w:r>
        <w:t xml:space="preserve">Global </w:t>
      </w:r>
      <w:r w:rsidR="00016327" w:rsidRPr="00FA5486">
        <w:t>Recommendations</w:t>
      </w:r>
      <w:r w:rsidR="00E303EB">
        <w:t xml:space="preserve"> Regarding Older Persons’ Right to Live Independently and Within the Community</w:t>
      </w:r>
    </w:p>
    <w:p w14:paraId="2D2A3D79" w14:textId="77777777" w:rsidR="00AD5B6C" w:rsidRPr="004A4316" w:rsidRDefault="00AD5B6C" w:rsidP="00A500E7">
      <w:pPr>
        <w:rPr>
          <w:szCs w:val="22"/>
        </w:rPr>
      </w:pPr>
    </w:p>
    <w:p w14:paraId="0FBDF5A5" w14:textId="0774F6BC" w:rsidR="009C6369" w:rsidRPr="004A4316" w:rsidRDefault="00260070" w:rsidP="009C6369">
      <w:pPr>
        <w:rPr>
          <w:szCs w:val="22"/>
        </w:rPr>
      </w:pPr>
      <w:r w:rsidRPr="004A4316">
        <w:rPr>
          <w:szCs w:val="22"/>
        </w:rPr>
        <w:t xml:space="preserve">Human Rights Watch requests OHCHR to recommend that </w:t>
      </w:r>
      <w:r w:rsidR="009C6369" w:rsidRPr="004A4316">
        <w:rPr>
          <w:szCs w:val="22"/>
        </w:rPr>
        <w:t>states</w:t>
      </w:r>
      <w:r w:rsidR="00E53C63" w:rsidRPr="004A4316">
        <w:rPr>
          <w:szCs w:val="22"/>
        </w:rPr>
        <w:t>:</w:t>
      </w:r>
    </w:p>
    <w:p w14:paraId="09CCF66A" w14:textId="77777777" w:rsidR="00496E8A" w:rsidRPr="004A4316" w:rsidRDefault="00496E8A" w:rsidP="009C6369">
      <w:pPr>
        <w:rPr>
          <w:szCs w:val="22"/>
        </w:rPr>
      </w:pPr>
    </w:p>
    <w:p w14:paraId="75CBB12E" w14:textId="18308F26" w:rsidR="00DC781D" w:rsidRPr="004A4316" w:rsidRDefault="00DC781D" w:rsidP="00A500E7">
      <w:pPr>
        <w:pStyle w:val="ListParagraph"/>
        <w:numPr>
          <w:ilvl w:val="0"/>
          <w:numId w:val="29"/>
        </w:numPr>
        <w:spacing w:line="264" w:lineRule="auto"/>
        <w:rPr>
          <w:rFonts w:ascii="MetaPro-Norm" w:hAnsi="MetaPro-Norm"/>
        </w:rPr>
      </w:pPr>
      <w:r w:rsidRPr="004A4316">
        <w:rPr>
          <w:rFonts w:ascii="MetaPro-Norm" w:hAnsi="MetaPro-Norm"/>
        </w:rPr>
        <w:t>Guarantee</w:t>
      </w:r>
      <w:r w:rsidR="003234E3" w:rsidRPr="004A4316">
        <w:rPr>
          <w:rFonts w:ascii="MetaPro-Norm" w:hAnsi="MetaPro-Norm"/>
        </w:rPr>
        <w:t xml:space="preserve"> in law</w:t>
      </w:r>
      <w:r w:rsidRPr="004A4316">
        <w:rPr>
          <w:rFonts w:ascii="MetaPro-Norm" w:hAnsi="MetaPro-Norm"/>
        </w:rPr>
        <w:t xml:space="preserve"> older persons’ right to</w:t>
      </w:r>
      <w:r w:rsidR="003234E3" w:rsidRPr="004A4316">
        <w:rPr>
          <w:rFonts w:ascii="MetaPro-Norm" w:hAnsi="MetaPro-Norm"/>
        </w:rPr>
        <w:t xml:space="preserve"> </w:t>
      </w:r>
      <w:r w:rsidRPr="004A4316">
        <w:rPr>
          <w:rFonts w:ascii="MetaPro-Norm" w:hAnsi="MetaPro-Norm"/>
        </w:rPr>
        <w:t>community- and home-based support services</w:t>
      </w:r>
      <w:r w:rsidR="003234E3" w:rsidRPr="004A4316">
        <w:rPr>
          <w:rFonts w:ascii="MetaPro-Norm" w:hAnsi="MetaPro-Norm"/>
        </w:rPr>
        <w:t xml:space="preserve">. </w:t>
      </w:r>
    </w:p>
    <w:p w14:paraId="0D122175" w14:textId="77777777" w:rsidR="00DC781D" w:rsidRPr="004A4316" w:rsidRDefault="00DC781D" w:rsidP="00A500E7">
      <w:pPr>
        <w:pStyle w:val="ListParagraph"/>
        <w:spacing w:line="264" w:lineRule="auto"/>
        <w:rPr>
          <w:rFonts w:ascii="MetaPro-Norm" w:eastAsia="SimSun" w:hAnsi="MetaPro-Norm" w:cs="Times New Roman"/>
          <w:lang w:eastAsia="zh-CN"/>
        </w:rPr>
      </w:pPr>
    </w:p>
    <w:p w14:paraId="04FA0212" w14:textId="3A1B4E03" w:rsidR="002F0104" w:rsidRPr="004A4316" w:rsidRDefault="00A26A41" w:rsidP="00A500E7">
      <w:pPr>
        <w:pStyle w:val="ListParagraph"/>
        <w:numPr>
          <w:ilvl w:val="0"/>
          <w:numId w:val="29"/>
        </w:numPr>
        <w:spacing w:line="264" w:lineRule="auto"/>
        <w:rPr>
          <w:rFonts w:ascii="MetaPro-Norm" w:hAnsi="MetaPro-Norm"/>
        </w:rPr>
      </w:pPr>
      <w:r w:rsidRPr="004A4316">
        <w:rPr>
          <w:rFonts w:ascii="MetaPro-Norm" w:hAnsi="MetaPro-Norm"/>
        </w:rPr>
        <w:t>Establish</w:t>
      </w:r>
      <w:r w:rsidR="002F0104" w:rsidRPr="004A4316">
        <w:rPr>
          <w:rFonts w:ascii="MetaPro-Norm" w:hAnsi="MetaPro-Norm"/>
        </w:rPr>
        <w:t xml:space="preserve"> </w:t>
      </w:r>
      <w:r w:rsidR="00B143AB" w:rsidRPr="004A4316">
        <w:rPr>
          <w:rFonts w:ascii="MetaPro-Norm" w:hAnsi="MetaPro-Norm"/>
        </w:rPr>
        <w:t xml:space="preserve">a </w:t>
      </w:r>
      <w:r w:rsidRPr="004A4316">
        <w:rPr>
          <w:rFonts w:ascii="MetaPro-Norm" w:hAnsi="MetaPro-Norm"/>
        </w:rPr>
        <w:t>system</w:t>
      </w:r>
      <w:r w:rsidR="002F0104" w:rsidRPr="004A4316">
        <w:rPr>
          <w:rFonts w:ascii="MetaPro-Norm" w:hAnsi="MetaPro-Norm"/>
        </w:rPr>
        <w:t xml:space="preserve"> to determine the number of older persons who require community-</w:t>
      </w:r>
      <w:r w:rsidR="00334FB4" w:rsidRPr="004A4316">
        <w:rPr>
          <w:rFonts w:ascii="MetaPro-Norm" w:hAnsi="MetaPro-Norm"/>
        </w:rPr>
        <w:t xml:space="preserve"> and home-</w:t>
      </w:r>
      <w:r w:rsidR="002F0104" w:rsidRPr="004A4316">
        <w:rPr>
          <w:rFonts w:ascii="MetaPro-Norm" w:hAnsi="MetaPro-Norm"/>
        </w:rPr>
        <w:t>based support services.</w:t>
      </w:r>
    </w:p>
    <w:p w14:paraId="0F515D2F" w14:textId="77777777" w:rsidR="00451A71" w:rsidRPr="004A4316" w:rsidRDefault="00451A71" w:rsidP="00A500E7">
      <w:pPr>
        <w:pStyle w:val="ListParagraph"/>
        <w:spacing w:line="264" w:lineRule="auto"/>
        <w:rPr>
          <w:rFonts w:ascii="MetaPro-Norm" w:eastAsia="SimSun" w:hAnsi="MetaPro-Norm" w:cs="Times New Roman"/>
          <w:lang w:eastAsia="zh-CN"/>
        </w:rPr>
      </w:pPr>
    </w:p>
    <w:p w14:paraId="06905E07" w14:textId="233C8A18" w:rsidR="00451A71" w:rsidRPr="004A4316" w:rsidRDefault="00D81BF5" w:rsidP="00A500E7">
      <w:pPr>
        <w:pStyle w:val="ListParagraph"/>
        <w:numPr>
          <w:ilvl w:val="0"/>
          <w:numId w:val="29"/>
        </w:numPr>
        <w:spacing w:line="264" w:lineRule="auto"/>
        <w:rPr>
          <w:rFonts w:ascii="MetaPro-Norm" w:hAnsi="MetaPro-Norm"/>
        </w:rPr>
      </w:pPr>
      <w:r w:rsidRPr="004A4316">
        <w:rPr>
          <w:rFonts w:ascii="MetaPro-Norm" w:hAnsi="MetaPro-Norm"/>
        </w:rPr>
        <w:t xml:space="preserve">Allocate sufficient funds to the delivery of community- </w:t>
      </w:r>
      <w:r w:rsidRPr="000B1FEC">
        <w:rPr>
          <w:rFonts w:ascii="MetaPro-Norm" w:hAnsi="MetaPro-Norm"/>
        </w:rPr>
        <w:t>and home-based support</w:t>
      </w:r>
      <w:r w:rsidRPr="004A4316">
        <w:rPr>
          <w:rFonts w:ascii="MetaPro-Norm" w:hAnsi="MetaPro-Norm"/>
        </w:rPr>
        <w:t xml:space="preserve"> services</w:t>
      </w:r>
      <w:bookmarkStart w:id="0" w:name="_Hlk161217988"/>
      <w:r w:rsidRPr="004A4316">
        <w:rPr>
          <w:rFonts w:ascii="MetaPro-Norm" w:hAnsi="MetaPro-Norm"/>
        </w:rPr>
        <w:t>.</w:t>
      </w:r>
    </w:p>
    <w:bookmarkEnd w:id="0"/>
    <w:p w14:paraId="259C92B3" w14:textId="77777777" w:rsidR="00451A71" w:rsidRPr="004A4316" w:rsidRDefault="00451A71" w:rsidP="00991AF7">
      <w:pPr>
        <w:rPr>
          <w:szCs w:val="22"/>
        </w:rPr>
      </w:pPr>
    </w:p>
    <w:p w14:paraId="04760502" w14:textId="3A639732" w:rsidR="00451A71" w:rsidRPr="004A4316" w:rsidRDefault="00BD67BA" w:rsidP="00A500E7">
      <w:pPr>
        <w:pStyle w:val="ListParagraph"/>
        <w:numPr>
          <w:ilvl w:val="0"/>
          <w:numId w:val="29"/>
        </w:numPr>
        <w:spacing w:line="264" w:lineRule="auto"/>
        <w:rPr>
          <w:rFonts w:ascii="MetaPro-Norm" w:hAnsi="MetaPro-Norm"/>
        </w:rPr>
      </w:pPr>
      <w:r w:rsidRPr="004A4316">
        <w:rPr>
          <w:rFonts w:ascii="MetaPro-Norm" w:hAnsi="MetaPro-Norm"/>
        </w:rPr>
        <w:t>Ensure sufficient social workers</w:t>
      </w:r>
      <w:r w:rsidR="00FA547A" w:rsidRPr="004A4316">
        <w:rPr>
          <w:rFonts w:ascii="MetaPro-Norm" w:hAnsi="MetaPro-Norm"/>
        </w:rPr>
        <w:t xml:space="preserve">, </w:t>
      </w:r>
      <w:r w:rsidR="000B1FEC">
        <w:rPr>
          <w:rFonts w:ascii="MetaPro-Norm" w:hAnsi="MetaPro-Norm"/>
        </w:rPr>
        <w:t>support providers</w:t>
      </w:r>
      <w:r w:rsidR="000B7969" w:rsidRPr="004A4316">
        <w:rPr>
          <w:rFonts w:ascii="MetaPro-Norm" w:hAnsi="MetaPro-Norm"/>
        </w:rPr>
        <w:t>,</w:t>
      </w:r>
      <w:r w:rsidR="00FA547A" w:rsidRPr="004A4316">
        <w:rPr>
          <w:rFonts w:ascii="MetaPro-Norm" w:hAnsi="MetaPro-Norm"/>
        </w:rPr>
        <w:t xml:space="preserve"> and</w:t>
      </w:r>
      <w:r w:rsidRPr="004A4316">
        <w:rPr>
          <w:rFonts w:ascii="MetaPro-Norm" w:hAnsi="MetaPro-Norm"/>
        </w:rPr>
        <w:t xml:space="preserve"> other</w:t>
      </w:r>
      <w:r w:rsidR="00FA547A" w:rsidRPr="004A4316">
        <w:rPr>
          <w:rFonts w:ascii="MetaPro-Norm" w:hAnsi="MetaPro-Norm"/>
        </w:rPr>
        <w:t xml:space="preserve"> necessary personnel are </w:t>
      </w:r>
      <w:r w:rsidR="009F0603" w:rsidRPr="004A4316">
        <w:rPr>
          <w:rFonts w:ascii="MetaPro-Norm" w:hAnsi="MetaPro-Norm"/>
        </w:rPr>
        <w:t>adequately</w:t>
      </w:r>
      <w:r w:rsidR="004D1184" w:rsidRPr="004A4316" w:rsidDel="004D1184">
        <w:rPr>
          <w:rFonts w:ascii="MetaPro-Norm" w:hAnsi="MetaPro-Norm"/>
        </w:rPr>
        <w:t xml:space="preserve"> </w:t>
      </w:r>
      <w:r w:rsidR="00FA547A" w:rsidRPr="004A4316">
        <w:rPr>
          <w:rFonts w:ascii="MetaPro-Norm" w:hAnsi="MetaPro-Norm"/>
        </w:rPr>
        <w:t xml:space="preserve">trained and employed </w:t>
      </w:r>
      <w:r w:rsidR="008F152C" w:rsidRPr="004A4316">
        <w:rPr>
          <w:rFonts w:ascii="MetaPro-Norm" w:hAnsi="MetaPro-Norm"/>
        </w:rPr>
        <w:t xml:space="preserve">to deliver </w:t>
      </w:r>
      <w:r w:rsidR="0046065C" w:rsidRPr="004A4316">
        <w:rPr>
          <w:rFonts w:ascii="MetaPro-Norm" w:hAnsi="MetaPro-Norm"/>
        </w:rPr>
        <w:t xml:space="preserve">quality and appropriate community- and home-based support services to older persons who require them. </w:t>
      </w:r>
    </w:p>
    <w:p w14:paraId="3EAAE0B6" w14:textId="77777777" w:rsidR="00451A71" w:rsidRPr="004A4316" w:rsidRDefault="00451A71" w:rsidP="00A500E7">
      <w:pPr>
        <w:pStyle w:val="ListParagraph"/>
        <w:spacing w:line="264" w:lineRule="auto"/>
        <w:rPr>
          <w:rFonts w:ascii="MetaPro-Norm" w:hAnsi="MetaPro-Norm"/>
        </w:rPr>
      </w:pPr>
    </w:p>
    <w:p w14:paraId="3D24CFB5" w14:textId="296EB2C8" w:rsidR="00451A71" w:rsidRPr="004A4316" w:rsidRDefault="0046065C" w:rsidP="00A500E7">
      <w:pPr>
        <w:pStyle w:val="ListParagraph"/>
        <w:numPr>
          <w:ilvl w:val="0"/>
          <w:numId w:val="29"/>
        </w:numPr>
        <w:spacing w:line="264" w:lineRule="auto"/>
        <w:rPr>
          <w:rFonts w:ascii="MetaPro-Norm" w:hAnsi="MetaPro-Norm"/>
        </w:rPr>
      </w:pPr>
      <w:r w:rsidRPr="004A4316">
        <w:rPr>
          <w:rFonts w:ascii="MetaPro-Norm" w:hAnsi="MetaPro-Norm"/>
        </w:rPr>
        <w:t>R</w:t>
      </w:r>
      <w:r w:rsidR="00611720" w:rsidRPr="004A4316">
        <w:rPr>
          <w:rFonts w:ascii="MetaPro-Norm" w:hAnsi="MetaPro-Norm"/>
        </w:rPr>
        <w:t xml:space="preserve">eview and assess whether </w:t>
      </w:r>
      <w:r w:rsidRPr="004A4316">
        <w:rPr>
          <w:rFonts w:ascii="MetaPro-Norm" w:hAnsi="MetaPro-Norm"/>
        </w:rPr>
        <w:t xml:space="preserve">social security entitlements are </w:t>
      </w:r>
      <w:r w:rsidR="00611720" w:rsidRPr="004A4316">
        <w:rPr>
          <w:rFonts w:ascii="MetaPro-Norm" w:hAnsi="MetaPro-Norm"/>
        </w:rPr>
        <w:t xml:space="preserve">sufficient to guarantee older </w:t>
      </w:r>
      <w:r w:rsidR="00534979" w:rsidRPr="004A4316">
        <w:rPr>
          <w:rFonts w:ascii="MetaPro-Norm" w:hAnsi="MetaPro-Norm"/>
        </w:rPr>
        <w:t>persons</w:t>
      </w:r>
      <w:r w:rsidR="00611720" w:rsidRPr="004A4316">
        <w:rPr>
          <w:rFonts w:ascii="MetaPro-Norm" w:hAnsi="MetaPro-Norm"/>
        </w:rPr>
        <w:t xml:space="preserve"> the resources necessary to access adequate support</w:t>
      </w:r>
      <w:r w:rsidR="0086715F" w:rsidRPr="004A4316">
        <w:rPr>
          <w:rFonts w:ascii="MetaPro-Norm" w:hAnsi="MetaPro-Norm"/>
        </w:rPr>
        <w:t xml:space="preserve"> to live independently and within the community</w:t>
      </w:r>
      <w:r w:rsidR="001D12F2" w:rsidRPr="004A4316">
        <w:rPr>
          <w:rFonts w:ascii="MetaPro-Norm" w:hAnsi="MetaPro-Norm"/>
        </w:rPr>
        <w:t xml:space="preserve"> and increase the </w:t>
      </w:r>
      <w:r w:rsidR="005B7D7C" w:rsidRPr="004A4316">
        <w:rPr>
          <w:rFonts w:ascii="MetaPro-Norm" w:hAnsi="MetaPro-Norm"/>
        </w:rPr>
        <w:t xml:space="preserve">amounts </w:t>
      </w:r>
      <w:r w:rsidR="001D12F2" w:rsidRPr="004A4316">
        <w:rPr>
          <w:rFonts w:ascii="MetaPro-Norm" w:hAnsi="MetaPro-Norm"/>
        </w:rPr>
        <w:t xml:space="preserve">as expeditiously as possible to cover the full costs of </w:t>
      </w:r>
      <w:r w:rsidR="00073C5B" w:rsidRPr="004A4316">
        <w:rPr>
          <w:rFonts w:ascii="MetaPro-Norm" w:hAnsi="MetaPro-Norm"/>
        </w:rPr>
        <w:t>such</w:t>
      </w:r>
      <w:r w:rsidR="001D12F2" w:rsidRPr="004A4316">
        <w:rPr>
          <w:rFonts w:ascii="MetaPro-Norm" w:hAnsi="MetaPro-Norm"/>
        </w:rPr>
        <w:t xml:space="preserve"> care and support</w:t>
      </w:r>
      <w:r w:rsidR="00073C5B" w:rsidRPr="004A4316">
        <w:rPr>
          <w:rFonts w:ascii="MetaPro-Norm" w:hAnsi="MetaPro-Norm"/>
        </w:rPr>
        <w:t>.</w:t>
      </w:r>
    </w:p>
    <w:p w14:paraId="4841331D" w14:textId="77777777" w:rsidR="00451A71" w:rsidRPr="004A4316" w:rsidRDefault="00451A71" w:rsidP="00A500E7">
      <w:pPr>
        <w:pStyle w:val="ListParagraph"/>
        <w:spacing w:line="264" w:lineRule="auto"/>
        <w:rPr>
          <w:rFonts w:ascii="MetaPro-Norm" w:eastAsia="SimSun" w:hAnsi="MetaPro-Norm" w:cs="Times New Roman"/>
          <w:lang w:eastAsia="zh-CN"/>
        </w:rPr>
      </w:pPr>
    </w:p>
    <w:p w14:paraId="2231E10F" w14:textId="66544F10" w:rsidR="00016327" w:rsidRPr="004A4316" w:rsidRDefault="00611720" w:rsidP="00A500E7">
      <w:pPr>
        <w:pStyle w:val="ListParagraph"/>
        <w:numPr>
          <w:ilvl w:val="0"/>
          <w:numId w:val="29"/>
        </w:numPr>
        <w:spacing w:line="264" w:lineRule="auto"/>
        <w:rPr>
          <w:rFonts w:ascii="MetaPro-Norm" w:hAnsi="MetaPro-Norm"/>
        </w:rPr>
      </w:pPr>
      <w:r w:rsidRPr="004A4316">
        <w:rPr>
          <w:rFonts w:ascii="MetaPro-Norm" w:hAnsi="MetaPro-Norm"/>
        </w:rPr>
        <w:t xml:space="preserve">Provide accurate information to older </w:t>
      </w:r>
      <w:r w:rsidR="00534979" w:rsidRPr="004A4316">
        <w:rPr>
          <w:rFonts w:ascii="MetaPro-Norm" w:hAnsi="MetaPro-Norm"/>
        </w:rPr>
        <w:t>persons</w:t>
      </w:r>
      <w:r w:rsidRPr="004A4316">
        <w:rPr>
          <w:rFonts w:ascii="MetaPro-Norm" w:hAnsi="MetaPro-Norm"/>
        </w:rPr>
        <w:t xml:space="preserve"> and </w:t>
      </w:r>
      <w:r w:rsidR="0079049D">
        <w:rPr>
          <w:rFonts w:ascii="MetaPro-Norm" w:hAnsi="MetaPro-Norm"/>
        </w:rPr>
        <w:t>support providers</w:t>
      </w:r>
      <w:r w:rsidRPr="004A4316">
        <w:rPr>
          <w:rFonts w:ascii="MetaPro-Norm" w:hAnsi="MetaPro-Norm"/>
        </w:rPr>
        <w:t xml:space="preserve"> about </w:t>
      </w:r>
      <w:r w:rsidR="00073C5B" w:rsidRPr="004A4316">
        <w:rPr>
          <w:rFonts w:ascii="MetaPro-Norm" w:hAnsi="MetaPro-Norm"/>
        </w:rPr>
        <w:t xml:space="preserve">available </w:t>
      </w:r>
      <w:r w:rsidR="003C590A" w:rsidRPr="004A4316">
        <w:rPr>
          <w:rFonts w:ascii="MetaPro-Norm" w:hAnsi="MetaPro-Norm"/>
        </w:rPr>
        <w:t>community- and home-based support serv</w:t>
      </w:r>
      <w:r w:rsidR="00DC781D" w:rsidRPr="004A4316">
        <w:rPr>
          <w:rFonts w:ascii="MetaPro-Norm" w:hAnsi="MetaPro-Norm"/>
        </w:rPr>
        <w:t>ice</w:t>
      </w:r>
      <w:r w:rsidR="003C590A" w:rsidRPr="004A4316">
        <w:rPr>
          <w:rFonts w:ascii="MetaPro-Norm" w:hAnsi="MetaPro-Norm"/>
        </w:rPr>
        <w:t xml:space="preserve">s and </w:t>
      </w:r>
      <w:r w:rsidR="00073C5B" w:rsidRPr="004A4316">
        <w:rPr>
          <w:rFonts w:ascii="MetaPro-Norm" w:hAnsi="MetaPro-Norm"/>
        </w:rPr>
        <w:t>social security entitlements</w:t>
      </w:r>
      <w:r w:rsidR="003C590A" w:rsidRPr="004A4316">
        <w:rPr>
          <w:rFonts w:ascii="MetaPro-Norm" w:hAnsi="MetaPro-Norm"/>
        </w:rPr>
        <w:t>.</w:t>
      </w:r>
    </w:p>
    <w:p w14:paraId="45FC9833" w14:textId="77777777" w:rsidR="00DB28A0" w:rsidRDefault="00DB28A0" w:rsidP="008204FC"/>
    <w:p w14:paraId="57C0FDD5" w14:textId="7DAF429B" w:rsidR="008204FC" w:rsidRPr="008204FC" w:rsidRDefault="008204FC" w:rsidP="00880044">
      <w:r>
        <w:lastRenderedPageBreak/>
        <w:t>To ensure older persons’ right to live independently and within the community</w:t>
      </w:r>
      <w:r w:rsidR="007C5943">
        <w:t xml:space="preserve"> </w:t>
      </w:r>
      <w:r w:rsidR="00E309F8">
        <w:t xml:space="preserve">is </w:t>
      </w:r>
      <w:r w:rsidR="00620B8A">
        <w:t>an independent right</w:t>
      </w:r>
      <w:r w:rsidR="00E309F8">
        <w:t>,</w:t>
      </w:r>
      <w:r>
        <w:t xml:space="preserve"> </w:t>
      </w:r>
      <w:r w:rsidR="00E309F8">
        <w:t>Human Rights Watch requests OHCHR to recommend that</w:t>
      </w:r>
      <w:r w:rsidR="007E25BB">
        <w:t xml:space="preserve"> </w:t>
      </w:r>
      <w:r w:rsidR="00C53503" w:rsidRPr="004A4316">
        <w:t xml:space="preserve">UN </w:t>
      </w:r>
      <w:r w:rsidR="003D5A35" w:rsidRPr="004A4316">
        <w:t>m</w:t>
      </w:r>
      <w:r w:rsidR="00051182" w:rsidRPr="004A4316">
        <w:t xml:space="preserve">ember </w:t>
      </w:r>
      <w:r w:rsidR="003D5A35" w:rsidRPr="004A4316">
        <w:t>s</w:t>
      </w:r>
      <w:r w:rsidR="00051182" w:rsidRPr="004A4316">
        <w:t>tates</w:t>
      </w:r>
      <w:r w:rsidR="00051182">
        <w:t xml:space="preserve"> </w:t>
      </w:r>
      <w:r w:rsidR="00D57E42">
        <w:t xml:space="preserve">establish a working group </w:t>
      </w:r>
      <w:r w:rsidR="00D57E42" w:rsidRPr="004A4316">
        <w:t>to</w:t>
      </w:r>
      <w:r w:rsidR="007E25BB" w:rsidRPr="004A4316">
        <w:t>:</w:t>
      </w:r>
    </w:p>
    <w:p w14:paraId="480D6AB7" w14:textId="16C7E9D4" w:rsidR="0095428C" w:rsidRPr="004A4316" w:rsidRDefault="00335103" w:rsidP="00A500E7">
      <w:pPr>
        <w:pStyle w:val="ListParagraph"/>
        <w:numPr>
          <w:ilvl w:val="0"/>
          <w:numId w:val="29"/>
        </w:numPr>
        <w:spacing w:line="264" w:lineRule="auto"/>
        <w:rPr>
          <w:rFonts w:ascii="MetaPro-Norm" w:hAnsi="MetaPro-Norm"/>
        </w:rPr>
      </w:pPr>
      <w:r w:rsidRPr="004A4316">
        <w:rPr>
          <w:rFonts w:ascii="MetaPro-Norm" w:hAnsi="MetaPro-Norm"/>
        </w:rPr>
        <w:t xml:space="preserve">Draft </w:t>
      </w:r>
      <w:r w:rsidR="00DB28A0" w:rsidRPr="004A4316">
        <w:rPr>
          <w:rFonts w:ascii="MetaPro-Norm" w:hAnsi="MetaPro-Norm"/>
        </w:rPr>
        <w:t>a new UN convention on the right</w:t>
      </w:r>
      <w:r w:rsidR="003D5A35" w:rsidRPr="004A4316">
        <w:rPr>
          <w:rFonts w:ascii="MetaPro-Norm" w:hAnsi="MetaPro-Norm"/>
        </w:rPr>
        <w:t>s</w:t>
      </w:r>
      <w:r w:rsidR="00DB28A0" w:rsidRPr="004A4316">
        <w:rPr>
          <w:rFonts w:ascii="MetaPro-Norm" w:hAnsi="MetaPro-Norm"/>
        </w:rPr>
        <w:t xml:space="preserve"> of older persons</w:t>
      </w:r>
      <w:r w:rsidR="002209E1" w:rsidRPr="004A4316">
        <w:rPr>
          <w:rFonts w:ascii="MetaPro-Norm" w:hAnsi="MetaPro-Norm"/>
        </w:rPr>
        <w:t xml:space="preserve"> that</w:t>
      </w:r>
      <w:r w:rsidR="006C18AF" w:rsidRPr="004A4316">
        <w:rPr>
          <w:rFonts w:ascii="MetaPro-Norm" w:hAnsi="MetaPro-Norm"/>
        </w:rPr>
        <w:t>:</w:t>
      </w:r>
    </w:p>
    <w:p w14:paraId="3944F2C2" w14:textId="7FEBC4A5" w:rsidR="00142796" w:rsidRPr="004A4316" w:rsidRDefault="006C18AF" w:rsidP="00A500E7">
      <w:pPr>
        <w:pStyle w:val="ListParagraph"/>
        <w:numPr>
          <w:ilvl w:val="1"/>
          <w:numId w:val="29"/>
        </w:numPr>
        <w:spacing w:line="264" w:lineRule="auto"/>
        <w:rPr>
          <w:rFonts w:ascii="MetaPro-Norm" w:hAnsi="MetaPro-Norm"/>
        </w:rPr>
      </w:pPr>
      <w:r w:rsidRPr="004A4316">
        <w:rPr>
          <w:rFonts w:ascii="MetaPro-Norm" w:hAnsi="MetaPro-Norm"/>
        </w:rPr>
        <w:t>Consolidates fragmented international human rights standards into one provision on the right to live independently and within the community</w:t>
      </w:r>
      <w:r w:rsidR="00DB28A0" w:rsidRPr="004A4316">
        <w:rPr>
          <w:rFonts w:ascii="MetaPro-Norm" w:hAnsi="MetaPro-Norm"/>
        </w:rPr>
        <w:t xml:space="preserve">. </w:t>
      </w:r>
    </w:p>
    <w:p w14:paraId="55839DAE" w14:textId="2046EE3E" w:rsidR="003D5A35" w:rsidRPr="004A4316" w:rsidRDefault="00142796" w:rsidP="00A500E7">
      <w:pPr>
        <w:pStyle w:val="ListParagraph"/>
        <w:numPr>
          <w:ilvl w:val="1"/>
          <w:numId w:val="29"/>
        </w:numPr>
        <w:spacing w:line="264" w:lineRule="auto"/>
        <w:rPr>
          <w:rFonts w:ascii="MetaPro-Norm" w:hAnsi="MetaPro-Norm"/>
        </w:rPr>
      </w:pPr>
      <w:r w:rsidRPr="004A4316">
        <w:rPr>
          <w:rFonts w:ascii="MetaPro-Norm" w:hAnsi="MetaPro-Norm"/>
        </w:rPr>
        <w:t>P</w:t>
      </w:r>
      <w:r w:rsidR="00DB28A0" w:rsidRPr="004A4316">
        <w:rPr>
          <w:rFonts w:ascii="MetaPro-Norm" w:hAnsi="MetaPro-Norm"/>
        </w:rPr>
        <w:t>rovide</w:t>
      </w:r>
      <w:r w:rsidRPr="004A4316">
        <w:rPr>
          <w:rFonts w:ascii="MetaPro-Norm" w:hAnsi="MetaPro-Norm"/>
        </w:rPr>
        <w:t>s</w:t>
      </w:r>
      <w:r w:rsidR="00DB28A0" w:rsidRPr="004A4316">
        <w:rPr>
          <w:rFonts w:ascii="MetaPro-Norm" w:hAnsi="MetaPro-Norm"/>
        </w:rPr>
        <w:t xml:space="preserve"> clear and specific guidance </w:t>
      </w:r>
      <w:r w:rsidRPr="004A4316">
        <w:rPr>
          <w:rFonts w:ascii="MetaPro-Norm" w:hAnsi="MetaPro-Norm"/>
        </w:rPr>
        <w:t xml:space="preserve">about </w:t>
      </w:r>
      <w:r w:rsidR="003D5A35" w:rsidRPr="004A4316">
        <w:rPr>
          <w:rFonts w:ascii="MetaPro-Norm" w:hAnsi="MetaPro-Norm"/>
        </w:rPr>
        <w:t xml:space="preserve">states’ </w:t>
      </w:r>
      <w:r w:rsidR="00DB28A0" w:rsidRPr="004A4316">
        <w:rPr>
          <w:rFonts w:ascii="MetaPro-Norm" w:hAnsi="MetaPro-Norm"/>
        </w:rPr>
        <w:t>obligations toward older persons and older persons</w:t>
      </w:r>
      <w:r w:rsidR="003D5A35" w:rsidRPr="004A4316">
        <w:rPr>
          <w:rFonts w:ascii="MetaPro-Norm" w:hAnsi="MetaPro-Norm"/>
        </w:rPr>
        <w:t xml:space="preserve">’ </w:t>
      </w:r>
      <w:r w:rsidR="00DB28A0" w:rsidRPr="004A4316">
        <w:rPr>
          <w:rFonts w:ascii="MetaPro-Norm" w:hAnsi="MetaPro-Norm"/>
        </w:rPr>
        <w:t xml:space="preserve">rights. </w:t>
      </w:r>
    </w:p>
    <w:p w14:paraId="4F032057" w14:textId="7C9E071B" w:rsidR="00DB28A0" w:rsidRPr="004A4316" w:rsidRDefault="008B1AB2" w:rsidP="00A500E7">
      <w:pPr>
        <w:pStyle w:val="ListParagraph"/>
        <w:numPr>
          <w:ilvl w:val="1"/>
          <w:numId w:val="29"/>
        </w:numPr>
        <w:spacing w:line="264" w:lineRule="auto"/>
        <w:rPr>
          <w:rFonts w:ascii="MetaPro-Norm" w:hAnsi="MetaPro-Norm"/>
        </w:rPr>
      </w:pPr>
      <w:r w:rsidRPr="004A4316">
        <w:rPr>
          <w:rFonts w:ascii="MetaPro-Norm" w:hAnsi="MetaPro-Norm"/>
        </w:rPr>
        <w:t xml:space="preserve">Establish a committee </w:t>
      </w:r>
      <w:r w:rsidR="00880044" w:rsidRPr="004A4316">
        <w:rPr>
          <w:rFonts w:ascii="MetaPro-Norm" w:hAnsi="MetaPro-Norm"/>
        </w:rPr>
        <w:t>to undertake</w:t>
      </w:r>
      <w:r w:rsidR="00DB28A0" w:rsidRPr="004A4316">
        <w:rPr>
          <w:rFonts w:ascii="MetaPro-Norm" w:hAnsi="MetaPro-Norm"/>
        </w:rPr>
        <w:t xml:space="preserve"> systematic</w:t>
      </w:r>
      <w:r w:rsidR="00880044" w:rsidRPr="004A4316">
        <w:rPr>
          <w:rFonts w:ascii="MetaPro-Norm" w:hAnsi="MetaPro-Norm"/>
        </w:rPr>
        <w:t xml:space="preserve"> monitoring and</w:t>
      </w:r>
      <w:r w:rsidR="00DB28A0" w:rsidRPr="004A4316">
        <w:rPr>
          <w:rFonts w:ascii="MetaPro-Norm" w:hAnsi="MetaPro-Norm"/>
        </w:rPr>
        <w:t xml:space="preserve"> reporting on this right</w:t>
      </w:r>
      <w:r w:rsidR="008B490B" w:rsidRPr="004A4316">
        <w:rPr>
          <w:rFonts w:ascii="MetaPro-Norm" w:hAnsi="MetaPro-Norm"/>
        </w:rPr>
        <w:t xml:space="preserve"> and others </w:t>
      </w:r>
      <w:r w:rsidR="00DB28A0" w:rsidRPr="004A4316">
        <w:rPr>
          <w:rFonts w:ascii="MetaPro-Norm" w:hAnsi="MetaPro-Norm"/>
        </w:rPr>
        <w:t xml:space="preserve">under </w:t>
      </w:r>
      <w:r w:rsidR="008B490B" w:rsidRPr="004A4316">
        <w:rPr>
          <w:rFonts w:ascii="MetaPro-Norm" w:hAnsi="MetaPro-Norm"/>
        </w:rPr>
        <w:t xml:space="preserve">the new </w:t>
      </w:r>
      <w:r w:rsidR="00DB28A0" w:rsidRPr="004A4316">
        <w:rPr>
          <w:rFonts w:ascii="MetaPro-Norm" w:hAnsi="MetaPro-Norm"/>
        </w:rPr>
        <w:t>treaty.</w:t>
      </w:r>
    </w:p>
    <w:p w14:paraId="1CD8F26B" w14:textId="77777777" w:rsidR="003D5A35" w:rsidRPr="004A4316" w:rsidRDefault="003D5A35" w:rsidP="00A500E7">
      <w:pPr>
        <w:pStyle w:val="ListParagraph"/>
        <w:spacing w:line="264" w:lineRule="auto"/>
        <w:ind w:left="1440"/>
        <w:rPr>
          <w:rFonts w:ascii="MetaPro-Norm" w:hAnsi="MetaPro-Norm"/>
        </w:rPr>
      </w:pPr>
    </w:p>
    <w:p w14:paraId="291B16A3" w14:textId="77777777" w:rsidR="000441DC" w:rsidRDefault="000441DC" w:rsidP="00861EEC"/>
    <w:p w14:paraId="6BEFE136" w14:textId="004A8790" w:rsidR="00AD74A2" w:rsidRDefault="00AD74A2" w:rsidP="00A500E7">
      <w:pPr>
        <w:pStyle w:val="Heading1"/>
        <w:spacing w:after="0" w:line="264" w:lineRule="auto"/>
      </w:pPr>
      <w:r>
        <w:t xml:space="preserve">II. </w:t>
      </w:r>
      <w:r w:rsidR="00E35EA1">
        <w:t>Persons</w:t>
      </w:r>
      <w:r w:rsidR="00D72D34">
        <w:t xml:space="preserve"> with Disabilities in </w:t>
      </w:r>
      <w:r>
        <w:t>Mexico</w:t>
      </w:r>
    </w:p>
    <w:p w14:paraId="1438CA60" w14:textId="77777777" w:rsidR="00AD74A2" w:rsidRDefault="00AD74A2" w:rsidP="000609D1">
      <w:pPr>
        <w:rPr>
          <w:b/>
          <w:bCs/>
          <w:szCs w:val="22"/>
        </w:rPr>
      </w:pPr>
    </w:p>
    <w:p w14:paraId="5B4F0C62" w14:textId="0DA027FD" w:rsidR="00B45A43" w:rsidRPr="004A4316" w:rsidRDefault="00731480" w:rsidP="00A17DF1">
      <w:pPr>
        <w:pStyle w:val="Heading2"/>
        <w:spacing w:before="0" w:after="0" w:line="264" w:lineRule="auto"/>
      </w:pPr>
      <w:r>
        <w:t xml:space="preserve">Question 1. </w:t>
      </w:r>
      <w:r w:rsidR="00E35EA1">
        <w:t>Persons</w:t>
      </w:r>
      <w:r>
        <w:t xml:space="preserve"> with Disabilities’ Right to Independent Living and Inclusion</w:t>
      </w:r>
    </w:p>
    <w:p w14:paraId="7577EA46" w14:textId="7F525ED6" w:rsidR="0034728F" w:rsidRPr="0034728F" w:rsidRDefault="0034728F" w:rsidP="00A500E7">
      <w:pPr>
        <w:pStyle w:val="Heading3"/>
        <w:spacing w:before="0" w:after="0" w:line="264" w:lineRule="auto"/>
      </w:pPr>
      <w:r>
        <w:t>International Law</w:t>
      </w:r>
    </w:p>
    <w:p w14:paraId="39829C21" w14:textId="77777777" w:rsidR="00BF4FFF" w:rsidRDefault="34016DA7" w:rsidP="00800B5E">
      <w:pPr>
        <w:rPr>
          <w:rFonts w:eastAsia="MetaPro-Norm" w:cs="MetaPro-Norm"/>
          <w:szCs w:val="22"/>
        </w:rPr>
      </w:pPr>
      <w:r w:rsidRPr="548F55C8">
        <w:rPr>
          <w:rFonts w:eastAsia="MetaPro-Norm" w:cs="MetaPro-Norm"/>
        </w:rPr>
        <w:t>Support and care systems, comprising disability</w:t>
      </w:r>
      <w:r w:rsidR="0054343F" w:rsidRPr="548F55C8">
        <w:rPr>
          <w:rFonts w:eastAsia="MetaPro-Norm" w:cs="MetaPro-Norm"/>
        </w:rPr>
        <w:t>-</w:t>
      </w:r>
      <w:r w:rsidRPr="548F55C8">
        <w:rPr>
          <w:rFonts w:eastAsia="MetaPro-Norm" w:cs="MetaPro-Norm"/>
        </w:rPr>
        <w:t xml:space="preserve">inclusive policies and services, are essential for </w:t>
      </w:r>
      <w:r w:rsidR="00B45A43" w:rsidRPr="7E0982BC">
        <w:rPr>
          <w:rFonts w:eastAsia="MetaPro-Norm" w:cs="MetaPro-Norm"/>
        </w:rPr>
        <w:t>persons</w:t>
      </w:r>
      <w:r w:rsidR="0054343F" w:rsidRPr="548F55C8">
        <w:rPr>
          <w:rFonts w:eastAsia="MetaPro-Norm" w:cs="MetaPro-Norm"/>
        </w:rPr>
        <w:t xml:space="preserve"> </w:t>
      </w:r>
      <w:r w:rsidRPr="548F55C8">
        <w:rPr>
          <w:rFonts w:eastAsia="MetaPro-Norm" w:cs="MetaPro-Norm"/>
        </w:rPr>
        <w:t xml:space="preserve">with disabilities to </w:t>
      </w:r>
      <w:proofErr w:type="gramStart"/>
      <w:r w:rsidRPr="548F55C8">
        <w:rPr>
          <w:rFonts w:eastAsia="MetaPro-Norm" w:cs="MetaPro-Norm"/>
        </w:rPr>
        <w:t xml:space="preserve">fully and effectively participate in </w:t>
      </w:r>
      <w:r w:rsidR="3383010C" w:rsidRPr="548F55C8">
        <w:rPr>
          <w:rFonts w:eastAsia="MetaPro-Norm" w:cs="MetaPro-Norm"/>
        </w:rPr>
        <w:t>society</w:t>
      </w:r>
      <w:proofErr w:type="gramEnd"/>
      <w:r w:rsidR="3383010C" w:rsidRPr="548F55C8">
        <w:rPr>
          <w:rFonts w:eastAsia="MetaPro-Norm" w:cs="MetaPro-Norm"/>
        </w:rPr>
        <w:t>, with</w:t>
      </w:r>
      <w:r w:rsidR="0007157F" w:rsidRPr="548F55C8">
        <w:rPr>
          <w:rFonts w:eastAsia="MetaPro-Norm" w:cs="MetaPro-Norm"/>
        </w:rPr>
        <w:t xml:space="preserve"> </w:t>
      </w:r>
      <w:r w:rsidRPr="548F55C8">
        <w:rPr>
          <w:rFonts w:eastAsia="MetaPro-Norm" w:cs="MetaPro-Norm"/>
        </w:rPr>
        <w:t xml:space="preserve">choices equal to others, and to live independently in the community, </w:t>
      </w:r>
      <w:r w:rsidR="00402421" w:rsidRPr="548F55C8">
        <w:rPr>
          <w:rFonts w:eastAsia="MetaPro-Norm" w:cs="MetaPro-Norm"/>
        </w:rPr>
        <w:t>per</w:t>
      </w:r>
      <w:r w:rsidRPr="548F55C8">
        <w:rPr>
          <w:rFonts w:eastAsia="MetaPro-Norm" w:cs="MetaPro-Norm"/>
        </w:rPr>
        <w:t xml:space="preserve"> the </w:t>
      </w:r>
      <w:r w:rsidR="005517B9" w:rsidRPr="7E0982BC">
        <w:rPr>
          <w:rFonts w:eastAsia="MetaPro-Norm" w:cs="MetaPro-Norm"/>
        </w:rPr>
        <w:t>C</w:t>
      </w:r>
      <w:r w:rsidR="00AA6EE1">
        <w:rPr>
          <w:rFonts w:eastAsia="MetaPro-Norm" w:cs="MetaPro-Norm"/>
        </w:rPr>
        <w:t>onvention on the Rights of Persons with Disabilities</w:t>
      </w:r>
      <w:r w:rsidRPr="548F55C8">
        <w:rPr>
          <w:rFonts w:eastAsia="MetaPro-Norm" w:cs="MetaPro-Norm"/>
        </w:rPr>
        <w:t>.</w:t>
      </w:r>
      <w:r w:rsidR="35C0CE03" w:rsidRPr="548F55C8">
        <w:rPr>
          <w:rFonts w:eastAsia="MetaPro-Norm" w:cs="MetaPro-Norm"/>
        </w:rPr>
        <w:t xml:space="preserve"> </w:t>
      </w:r>
    </w:p>
    <w:p w14:paraId="078546D1" w14:textId="77777777" w:rsidR="00BF4FFF" w:rsidRDefault="00BF4FFF" w:rsidP="00800B5E">
      <w:pPr>
        <w:rPr>
          <w:rFonts w:eastAsia="MetaPro-Norm" w:cs="MetaPro-Norm"/>
          <w:szCs w:val="22"/>
        </w:rPr>
      </w:pPr>
    </w:p>
    <w:p w14:paraId="586F246E" w14:textId="3B9A875C" w:rsidR="00212BDE" w:rsidRPr="00BF4FFF" w:rsidRDefault="00463A16" w:rsidP="00800B5E">
      <w:pPr>
        <w:rPr>
          <w:rFonts w:eastAsia="MetaPro-Norm" w:cs="MetaPro-Norm"/>
          <w:szCs w:val="22"/>
        </w:rPr>
      </w:pPr>
      <w:r>
        <w:t>As noted above the OHCHR has pointed out, with the exception of phrases such as health</w:t>
      </w:r>
      <w:r w:rsidR="00A653A8">
        <w:t xml:space="preserve"> </w:t>
      </w:r>
      <w:r>
        <w:t xml:space="preserve">care or respite care, </w:t>
      </w:r>
      <w:r w:rsidR="00800B5E">
        <w:t xml:space="preserve">the term “care,” </w:t>
      </w:r>
      <w:r w:rsidR="006A65A2">
        <w:t xml:space="preserve">as </w:t>
      </w:r>
      <w:r w:rsidR="00800B5E">
        <w:t xml:space="preserve">used </w:t>
      </w:r>
      <w:r w:rsidR="006A65A2">
        <w:t>regarding</w:t>
      </w:r>
      <w:r w:rsidR="00800B5E">
        <w:t xml:space="preserve"> </w:t>
      </w:r>
      <w:r w:rsidR="00E35EA1">
        <w:t>persons</w:t>
      </w:r>
      <w:r w:rsidR="00800B5E">
        <w:t xml:space="preserve"> with disabilities,</w:t>
      </w:r>
      <w:r w:rsidR="00F11D7C">
        <w:t xml:space="preserve"> refers</w:t>
      </w:r>
      <w:r w:rsidR="00800B5E">
        <w:t xml:space="preserve"> to children</w:t>
      </w:r>
      <w:r w:rsidR="00F11D7C">
        <w:t>.</w:t>
      </w:r>
      <w:r>
        <w:t xml:space="preserve"> </w:t>
      </w:r>
      <w:r w:rsidR="009E5744">
        <w:t>W</w:t>
      </w:r>
      <w:r>
        <w:t>hen it comes to adults with disabilities the correct term should be “support</w:t>
      </w:r>
      <w:r w:rsidR="00F11D7C">
        <w:t>.</w:t>
      </w:r>
      <w:r>
        <w:t>”</w:t>
      </w:r>
      <w:r>
        <w:rPr>
          <w:rStyle w:val="FootnoteReference"/>
        </w:rPr>
        <w:footnoteReference w:id="36"/>
      </w:r>
      <w:r>
        <w:t xml:space="preserve">  Organizations of persons with disabilities and human rights organizations, including Human Rights Watch</w:t>
      </w:r>
      <w:r w:rsidR="00F11D7C">
        <w:t>,</w:t>
      </w:r>
      <w:r>
        <w:t xml:space="preserve"> have made clear that support can take various forms.</w:t>
      </w:r>
      <w:r w:rsidR="00800B5E" w:rsidRPr="00BF4FFF">
        <w:rPr>
          <w:rStyle w:val="FootnoteReference"/>
        </w:rPr>
        <w:footnoteReference w:id="37"/>
      </w:r>
      <w:r w:rsidR="00800B5E" w:rsidRPr="00BF4FFF">
        <w:rPr>
          <w:rStyle w:val="FootnoteReference"/>
        </w:rPr>
        <w:t xml:space="preserve"> </w:t>
      </w:r>
      <w:r w:rsidR="00800B5E">
        <w:t xml:space="preserve">For example, </w:t>
      </w:r>
      <w:r w:rsidR="00800B5E">
        <w:lastRenderedPageBreak/>
        <w:t>support can be provided by other people, animals, or through other types of technical assistance</w:t>
      </w:r>
      <w:r w:rsidR="006A65A2">
        <w:t xml:space="preserve">. </w:t>
      </w:r>
      <w:r w:rsidR="004969B3">
        <w:t>Regardless of form</w:t>
      </w:r>
      <w:r w:rsidR="00800B5E">
        <w:t xml:space="preserve">, </w:t>
      </w:r>
      <w:r w:rsidR="00105365">
        <w:t>support</w:t>
      </w:r>
      <w:r w:rsidR="004969B3">
        <w:t xml:space="preserve"> </w:t>
      </w:r>
      <w:r w:rsidR="009E5744">
        <w:t xml:space="preserve">needs to </w:t>
      </w:r>
      <w:r w:rsidR="00800B5E">
        <w:t xml:space="preserve">respect the general principles </w:t>
      </w:r>
      <w:r w:rsidR="00105365">
        <w:t>of</w:t>
      </w:r>
      <w:r w:rsidR="00800B5E">
        <w:t xml:space="preserve"> international human rights law on disability</w:t>
      </w:r>
      <w:r w:rsidR="00FE1B90">
        <w:t xml:space="preserve"> rights</w:t>
      </w:r>
      <w:r w:rsidR="004969B3">
        <w:t>: that is</w:t>
      </w:r>
      <w:r w:rsidR="00800B5E">
        <w:t xml:space="preserve">, </w:t>
      </w:r>
      <w:r w:rsidR="00E02EC7">
        <w:t>it</w:t>
      </w:r>
      <w:r w:rsidR="00800B5E">
        <w:t xml:space="preserve"> </w:t>
      </w:r>
      <w:r w:rsidR="0051198B">
        <w:t xml:space="preserve">should respect the inherent individual autonomy and </w:t>
      </w:r>
      <w:r w:rsidR="009E5744">
        <w:t>dignity</w:t>
      </w:r>
      <w:r w:rsidR="0051198B">
        <w:t xml:space="preserve"> </w:t>
      </w:r>
      <w:r w:rsidR="00800B5E">
        <w:t xml:space="preserve">of </w:t>
      </w:r>
      <w:r w:rsidR="00E35EA1">
        <w:t>persons</w:t>
      </w:r>
      <w:r w:rsidR="00800B5E">
        <w:t xml:space="preserve"> with disabilities.</w:t>
      </w:r>
      <w:r w:rsidR="00BC788D">
        <w:rPr>
          <w:rStyle w:val="FootnoteReference"/>
        </w:rPr>
        <w:footnoteReference w:id="38"/>
      </w:r>
    </w:p>
    <w:p w14:paraId="091943EF" w14:textId="77777777" w:rsidR="00212BDE" w:rsidRPr="004A4316" w:rsidRDefault="00212BDE" w:rsidP="00800B5E"/>
    <w:p w14:paraId="3E5200F3" w14:textId="2D5A2F1B" w:rsidR="00800B5E" w:rsidRPr="004A4316" w:rsidRDefault="006F01D2" w:rsidP="00800B5E">
      <w:r>
        <w:t xml:space="preserve">Human Rights Watch uses </w:t>
      </w:r>
      <w:r w:rsidR="00212BDE">
        <w:t>“</w:t>
      </w:r>
      <w:r>
        <w:t>a</w:t>
      </w:r>
      <w:r w:rsidR="00212BDE">
        <w:t>utonomy”</w:t>
      </w:r>
      <w:r>
        <w:t xml:space="preserve"> in this context</w:t>
      </w:r>
      <w:r w:rsidR="00212BDE">
        <w:t xml:space="preserve"> </w:t>
      </w:r>
      <w:r>
        <w:t xml:space="preserve">to </w:t>
      </w:r>
      <w:r w:rsidR="00212BDE">
        <w:t xml:space="preserve">refer to the right </w:t>
      </w:r>
      <w:r w:rsidR="00FE1B90">
        <w:t xml:space="preserve">of </w:t>
      </w:r>
      <w:r w:rsidR="00212BDE">
        <w:t>every person to control their environment and make decisions about it.</w:t>
      </w:r>
      <w:r w:rsidR="00DC03AC">
        <w:rPr>
          <w:rStyle w:val="FootnoteReference"/>
        </w:rPr>
        <w:footnoteReference w:id="39"/>
      </w:r>
      <w:r w:rsidR="00212BDE">
        <w:t xml:space="preserve"> </w:t>
      </w:r>
      <w:r>
        <w:t>As such, Human Rights Watch would stress that autonomy in the context of disability rights is</w:t>
      </w:r>
      <w:r w:rsidR="00BA6F7B">
        <w:t xml:space="preserve"> not </w:t>
      </w:r>
      <w:r>
        <w:t xml:space="preserve">primarily </w:t>
      </w:r>
      <w:r w:rsidR="00BA6F7B">
        <w:t xml:space="preserve">a functional concept and </w:t>
      </w:r>
      <w:r w:rsidR="00800B5E">
        <w:t xml:space="preserve">should not be characterized </w:t>
      </w:r>
      <w:r w:rsidR="00F51D76">
        <w:t xml:space="preserve">mainly </w:t>
      </w:r>
      <w:r w:rsidR="00800B5E">
        <w:t>as a person</w:t>
      </w:r>
      <w:r w:rsidR="00FE1B90">
        <w:t>’s</w:t>
      </w:r>
      <w:r w:rsidR="00800B5E">
        <w:t xml:space="preserve"> </w:t>
      </w:r>
      <w:r w:rsidR="1D86E77D">
        <w:t xml:space="preserve">ability </w:t>
      </w:r>
      <w:r w:rsidR="00800B5E">
        <w:t xml:space="preserve">to perform activities by themselves, such as bathing, transporting, or making choices. </w:t>
      </w:r>
    </w:p>
    <w:p w14:paraId="650945CC" w14:textId="77777777" w:rsidR="007035A6" w:rsidRPr="004A4316" w:rsidRDefault="007035A6" w:rsidP="00800B5E"/>
    <w:p w14:paraId="5748EA4B" w14:textId="3A4A97DB" w:rsidR="007035A6" w:rsidRPr="00EB55CA" w:rsidRDefault="007035A6" w:rsidP="00800B5E">
      <w:r>
        <w:t xml:space="preserve">Because Mexico’s legislation only refers to “care,” not “support,” the following </w:t>
      </w:r>
      <w:r w:rsidR="00537AC7">
        <w:t xml:space="preserve">discussion </w:t>
      </w:r>
      <w:r>
        <w:t xml:space="preserve">will use “care” even in reference to adults with disabilities. </w:t>
      </w:r>
      <w:r w:rsidR="003B0068">
        <w:t>However,</w:t>
      </w:r>
      <w:r>
        <w:t xml:space="preserve"> Mexico’s </w:t>
      </w:r>
      <w:r w:rsidR="003B0068">
        <w:t>use</w:t>
      </w:r>
      <w:r>
        <w:t xml:space="preserve"> of “care” instead of “support” for adults with disabilities </w:t>
      </w:r>
      <w:r w:rsidR="6640FB16">
        <w:t>raises significant concerns</w:t>
      </w:r>
      <w:r>
        <w:t xml:space="preserve">. </w:t>
      </w:r>
    </w:p>
    <w:p w14:paraId="3E7812BE" w14:textId="77777777" w:rsidR="00800B5E" w:rsidRDefault="00800B5E" w:rsidP="799F7BF9">
      <w:pPr>
        <w:rPr>
          <w:rFonts w:eastAsia="MetaPro-Norm" w:cs="MetaPro-Norm"/>
          <w:szCs w:val="22"/>
        </w:rPr>
      </w:pPr>
    </w:p>
    <w:p w14:paraId="7CB4CBFE" w14:textId="67841E60" w:rsidR="0034728F" w:rsidRDefault="000A52FA" w:rsidP="00A500E7">
      <w:pPr>
        <w:pStyle w:val="Heading3"/>
        <w:spacing w:before="0" w:after="0" w:line="264" w:lineRule="auto"/>
      </w:pPr>
      <w:r>
        <w:t xml:space="preserve">Right to Care Under </w:t>
      </w:r>
      <w:r w:rsidR="0034728F">
        <w:t>Mexican Law</w:t>
      </w:r>
    </w:p>
    <w:p w14:paraId="01EA1D59" w14:textId="3F4D5428" w:rsidR="004C20EF" w:rsidRDefault="00921C97" w:rsidP="0034728F">
      <w:r>
        <w:t>T</w:t>
      </w:r>
      <w:r w:rsidRPr="00EB55CA">
        <w:t>he right to care began to be recognized</w:t>
      </w:r>
      <w:r>
        <w:t xml:space="preserve"> in </w:t>
      </w:r>
      <w:r w:rsidRPr="004A4316">
        <w:t>Mexico</w:t>
      </w:r>
      <w:r w:rsidRPr="00EB55CA">
        <w:t xml:space="preserve"> </w:t>
      </w:r>
      <w:r>
        <w:t>with</w:t>
      </w:r>
      <w:r w:rsidR="000A52FA" w:rsidRPr="00EB55CA">
        <w:t xml:space="preserve"> the creation of the Political Constitution of Mexico City</w:t>
      </w:r>
      <w:r w:rsidR="00FD0600" w:rsidRPr="004A4316">
        <w:t xml:space="preserve"> in 2017</w:t>
      </w:r>
      <w:r w:rsidR="000A52FA" w:rsidRPr="004A4316">
        <w:t>.</w:t>
      </w:r>
      <w:r w:rsidR="000A52FA" w:rsidRPr="00EB55CA">
        <w:t xml:space="preserve"> </w:t>
      </w:r>
      <w:r w:rsidR="000A52FA">
        <w:t>T</w:t>
      </w:r>
      <w:r w:rsidR="000A52FA" w:rsidRPr="00EB55CA">
        <w:t>here has been significant momentum from the federal Congress to legislate on the right to care</w:t>
      </w:r>
      <w:r w:rsidR="000A52FA">
        <w:t>; however</w:t>
      </w:r>
      <w:r w:rsidR="000A52FA" w:rsidRPr="00EB55CA">
        <w:t xml:space="preserve">, for </w:t>
      </w:r>
      <w:r w:rsidR="00123435">
        <w:t>budgetary</w:t>
      </w:r>
      <w:r w:rsidR="00123435" w:rsidRPr="00EB55CA">
        <w:t xml:space="preserve"> </w:t>
      </w:r>
      <w:r w:rsidR="000A52FA" w:rsidRPr="00EB55CA">
        <w:t>reasons</w:t>
      </w:r>
      <w:r w:rsidR="000A52FA">
        <w:t xml:space="preserve">, the legislation </w:t>
      </w:r>
      <w:r w:rsidR="00E85B23" w:rsidRPr="004A4316">
        <w:t>could</w:t>
      </w:r>
      <w:r w:rsidR="000A52FA">
        <w:t xml:space="preserve"> </w:t>
      </w:r>
      <w:r w:rsidR="000A52FA" w:rsidRPr="00EB55CA">
        <w:t>not be fully approved</w:t>
      </w:r>
      <w:r w:rsidR="000A52FA" w:rsidRPr="004A4316">
        <w:t>.</w:t>
      </w:r>
      <w:r w:rsidR="00377109">
        <w:rPr>
          <w:rStyle w:val="FootnoteReference"/>
        </w:rPr>
        <w:footnoteReference w:id="40"/>
      </w:r>
      <w:r w:rsidR="000A52FA" w:rsidRPr="00EB55CA">
        <w:t xml:space="preserve"> There is also a bill in the Mexican Senate to create a National Care System.</w:t>
      </w:r>
      <w:r w:rsidR="000A52FA">
        <w:rPr>
          <w:rStyle w:val="FootnoteReference"/>
        </w:rPr>
        <w:footnoteReference w:id="41"/>
      </w:r>
      <w:r w:rsidR="000A52FA" w:rsidRPr="00EB55CA">
        <w:t xml:space="preserve"> </w:t>
      </w:r>
      <w:r w:rsidR="000A52FA">
        <w:t>S</w:t>
      </w:r>
      <w:r w:rsidR="000A52FA" w:rsidRPr="00EB55CA">
        <w:t xml:space="preserve">ome states have moved </w:t>
      </w:r>
      <w:r w:rsidR="00E85B23" w:rsidRPr="004A4316">
        <w:t>toward recognizing care</w:t>
      </w:r>
      <w:r w:rsidR="000A52FA">
        <w:t>;</w:t>
      </w:r>
      <w:r w:rsidR="000A52FA" w:rsidRPr="00EB55CA">
        <w:t xml:space="preserve"> for example, the </w:t>
      </w:r>
      <w:r w:rsidR="00696D66">
        <w:t>s</w:t>
      </w:r>
      <w:r w:rsidR="000A52FA" w:rsidRPr="00EB55CA">
        <w:t xml:space="preserve">tate of Jalisco </w:t>
      </w:r>
      <w:r w:rsidR="000A52FA">
        <w:t>passed</w:t>
      </w:r>
      <w:r w:rsidR="000A52FA" w:rsidRPr="00EB55CA">
        <w:t xml:space="preserve"> legislation on </w:t>
      </w:r>
      <w:r w:rsidR="000A52FA">
        <w:t>care</w:t>
      </w:r>
      <w:r w:rsidR="000A52FA" w:rsidRPr="00EB55CA">
        <w:t xml:space="preserve"> in 2024.</w:t>
      </w:r>
      <w:r w:rsidR="000A52FA">
        <w:rPr>
          <w:rStyle w:val="FootnoteReference"/>
        </w:rPr>
        <w:footnoteReference w:id="42"/>
      </w:r>
    </w:p>
    <w:p w14:paraId="256F985F" w14:textId="77777777" w:rsidR="00707F2D" w:rsidRDefault="00707F2D" w:rsidP="00A500E7">
      <w:pPr>
        <w:pStyle w:val="Heading2"/>
        <w:spacing w:before="0" w:after="0" w:line="264" w:lineRule="auto"/>
      </w:pPr>
    </w:p>
    <w:p w14:paraId="5C8F30F5" w14:textId="77E84A19" w:rsidR="00731480" w:rsidRDefault="00731480" w:rsidP="00A500E7">
      <w:pPr>
        <w:pStyle w:val="Heading2"/>
        <w:spacing w:before="0" w:after="0" w:line="264" w:lineRule="auto"/>
        <w:rPr>
          <w:rFonts w:eastAsia="MetaPro-Norm" w:cs="MetaPro-Norm"/>
          <w:szCs w:val="22"/>
        </w:rPr>
      </w:pPr>
      <w:r w:rsidRPr="00256A93">
        <w:t>Question 2. Concrete </w:t>
      </w:r>
      <w:r>
        <w:t>P</w:t>
      </w:r>
      <w:r w:rsidRPr="00000131">
        <w:t xml:space="preserve">olicy or </w:t>
      </w:r>
      <w:r>
        <w:t>P</w:t>
      </w:r>
      <w:r w:rsidRPr="00000131">
        <w:t>rogrammatic </w:t>
      </w:r>
      <w:r>
        <w:t>M</w:t>
      </w:r>
      <w:r w:rsidRPr="00000131">
        <w:t>easures</w:t>
      </w:r>
    </w:p>
    <w:p w14:paraId="4FC573F4" w14:textId="6810595F" w:rsidR="00D72D34" w:rsidRDefault="00C853FA" w:rsidP="00C853FA">
      <w:r w:rsidRPr="00EB55CA">
        <w:t xml:space="preserve">In Mexico, there are no national </w:t>
      </w:r>
      <w:r w:rsidR="00402421">
        <w:t xml:space="preserve">or specific state-level </w:t>
      </w:r>
      <w:r w:rsidRPr="00EB55CA">
        <w:t>policies guarantee</w:t>
      </w:r>
      <w:r w:rsidR="00D601EB">
        <w:t>ing</w:t>
      </w:r>
      <w:r w:rsidRPr="00EB55CA">
        <w:t xml:space="preserve"> the right to independent living for </w:t>
      </w:r>
      <w:r w:rsidR="00E35EA1">
        <w:t>persons</w:t>
      </w:r>
      <w:r w:rsidRPr="00EB55CA">
        <w:t xml:space="preserve"> with disabilities.</w:t>
      </w:r>
      <w:r w:rsidR="00100F05">
        <w:rPr>
          <w:rStyle w:val="FootnoteReference"/>
        </w:rPr>
        <w:footnoteReference w:id="43"/>
      </w:r>
      <w:r w:rsidRPr="00EB55CA">
        <w:t xml:space="preserve"> </w:t>
      </w:r>
    </w:p>
    <w:p w14:paraId="156645A4" w14:textId="77777777" w:rsidR="00D72D34" w:rsidRDefault="00D72D34" w:rsidP="00C853FA"/>
    <w:p w14:paraId="49032937" w14:textId="699D152D" w:rsidR="00C853FA" w:rsidRDefault="00C853FA" w:rsidP="00C853FA">
      <w:r w:rsidRPr="00EB55CA">
        <w:t xml:space="preserve">The only </w:t>
      </w:r>
      <w:r w:rsidR="00402421">
        <w:t xml:space="preserve">relevant </w:t>
      </w:r>
      <w:r w:rsidRPr="00EB55CA">
        <w:t xml:space="preserve">policy is the disability pension </w:t>
      </w:r>
      <w:r w:rsidR="444EE84D" w:rsidRPr="00EB55CA">
        <w:t xml:space="preserve">administered </w:t>
      </w:r>
      <w:r w:rsidRPr="00EB55CA">
        <w:t xml:space="preserve">by the Ministry of Welfare, </w:t>
      </w:r>
      <w:r w:rsidR="530AA840" w:rsidRPr="00EB55CA">
        <w:t>occasionally</w:t>
      </w:r>
      <w:r w:rsidRPr="00EB55CA">
        <w:t xml:space="preserve"> in </w:t>
      </w:r>
      <w:r w:rsidR="6D485058" w:rsidRPr="00EB55CA">
        <w:t>collaboration</w:t>
      </w:r>
      <w:r w:rsidRPr="00EB55CA">
        <w:t xml:space="preserve"> with counterpart </w:t>
      </w:r>
      <w:r w:rsidR="00F66481">
        <w:t>authorities</w:t>
      </w:r>
      <w:r w:rsidR="00D601EB">
        <w:t xml:space="preserve"> at the state level</w:t>
      </w:r>
      <w:r w:rsidRPr="00EB55CA">
        <w:t>.</w:t>
      </w:r>
      <w:r>
        <w:rPr>
          <w:rStyle w:val="FootnoteReference"/>
        </w:rPr>
        <w:footnoteReference w:id="44"/>
      </w:r>
      <w:r w:rsidRPr="00EB55CA">
        <w:t xml:space="preserve"> The disability pension provided by the federal government in coordination with the </w:t>
      </w:r>
      <w:r w:rsidR="005E5030">
        <w:t>states</w:t>
      </w:r>
      <w:r w:rsidRPr="00EB55CA">
        <w:t xml:space="preserve"> amounts to 1</w:t>
      </w:r>
      <w:r w:rsidR="00547B82">
        <w:t>,</w:t>
      </w:r>
      <w:r w:rsidRPr="00EB55CA">
        <w:t xml:space="preserve">550 </w:t>
      </w:r>
      <w:r w:rsidR="00AB6C0A">
        <w:t xml:space="preserve">pesos </w:t>
      </w:r>
      <w:r w:rsidRPr="00EB55CA">
        <w:t xml:space="preserve">(equivalent to </w:t>
      </w:r>
      <w:r w:rsidR="005C780D">
        <w:t>US</w:t>
      </w:r>
      <w:r w:rsidRPr="00EB55CA">
        <w:t>$92)</w:t>
      </w:r>
      <w:r w:rsidR="00AB6C0A">
        <w:t xml:space="preserve"> per month</w:t>
      </w:r>
      <w:r w:rsidR="00706742">
        <w:t>.</w:t>
      </w:r>
      <w:r w:rsidRPr="004A4316">
        <w:rPr>
          <w:rStyle w:val="FootnoteReference"/>
        </w:rPr>
        <w:footnoteReference w:id="45"/>
      </w:r>
      <w:r w:rsidR="00DA259D" w:rsidRPr="004A4316">
        <w:t xml:space="preserve"> </w:t>
      </w:r>
      <w:r w:rsidR="00A944A5">
        <w:t xml:space="preserve">This is less </w:t>
      </w:r>
      <w:r w:rsidR="00C637AA">
        <w:t xml:space="preserve">than the average </w:t>
      </w:r>
      <w:r w:rsidR="00F73170">
        <w:t>living wage</w:t>
      </w:r>
      <w:r w:rsidR="00B03B96">
        <w:t xml:space="preserve"> </w:t>
      </w:r>
      <w:r w:rsidR="000D62B3">
        <w:t xml:space="preserve">per </w:t>
      </w:r>
      <w:r w:rsidR="00B15CB5">
        <w:t>person</w:t>
      </w:r>
      <w:r w:rsidR="001A489A">
        <w:t xml:space="preserve"> in Mexico which amounts </w:t>
      </w:r>
      <w:r w:rsidR="001A489A" w:rsidRPr="00E243A4">
        <w:t xml:space="preserve">to </w:t>
      </w:r>
      <w:r w:rsidR="001F4EBF" w:rsidRPr="00FB3CB4">
        <w:t>26</w:t>
      </w:r>
      <w:r w:rsidR="00FB3CB4">
        <w:t>,</w:t>
      </w:r>
      <w:r w:rsidR="001F4EBF" w:rsidRPr="00FB3CB4">
        <w:t>058</w:t>
      </w:r>
      <w:r w:rsidR="00FB3CB4">
        <w:t xml:space="preserve"> pesos</w:t>
      </w:r>
      <w:r w:rsidR="005B1DC8" w:rsidRPr="00FB3CB4">
        <w:t xml:space="preserve"> </w:t>
      </w:r>
      <w:r w:rsidR="00FC648C" w:rsidRPr="00FB3CB4">
        <w:t>(</w:t>
      </w:r>
      <w:r w:rsidR="00AB263D" w:rsidRPr="00FB3CB4">
        <w:t xml:space="preserve">US </w:t>
      </w:r>
      <w:r w:rsidR="00A36790" w:rsidRPr="00FB3CB4">
        <w:t>$</w:t>
      </w:r>
      <w:r w:rsidR="00FC648C" w:rsidRPr="00FB3CB4">
        <w:t>1583</w:t>
      </w:r>
      <w:r w:rsidR="00691D7E" w:rsidRPr="00FB3CB4">
        <w:t>)</w:t>
      </w:r>
      <w:r w:rsidR="00FB3CB4">
        <w:t xml:space="preserve"> per month</w:t>
      </w:r>
      <w:r w:rsidR="00A36790" w:rsidRPr="00FB3CB4">
        <w:t>.</w:t>
      </w:r>
      <w:r w:rsidR="00B26682" w:rsidRPr="00FB3CB4">
        <w:rPr>
          <w:rStyle w:val="FootnoteReference"/>
        </w:rPr>
        <w:footnoteReference w:id="46"/>
      </w:r>
      <w:r w:rsidR="00E243A4">
        <w:rPr>
          <w:b/>
          <w:bCs/>
        </w:rPr>
        <w:t xml:space="preserve"> </w:t>
      </w:r>
      <w:r w:rsidR="00DA259D" w:rsidRPr="00E243A4">
        <w:t xml:space="preserve">The </w:t>
      </w:r>
      <w:r w:rsidR="00706742">
        <w:t xml:space="preserve">average </w:t>
      </w:r>
      <w:r w:rsidR="1FCECB3C">
        <w:t xml:space="preserve">monthly salary </w:t>
      </w:r>
      <w:r w:rsidR="00706742">
        <w:t>of</w:t>
      </w:r>
      <w:r w:rsidR="485E5758">
        <w:t xml:space="preserve"> employed</w:t>
      </w:r>
      <w:r w:rsidR="00706742">
        <w:t xml:space="preserve"> individuals in Mexico in 2023 was 5,750 pesos (</w:t>
      </w:r>
      <w:r w:rsidR="00E91D8B">
        <w:t>US</w:t>
      </w:r>
      <w:r w:rsidR="00706742">
        <w:t>$338)</w:t>
      </w:r>
      <w:r w:rsidR="73115EB9">
        <w:t>.</w:t>
      </w:r>
      <w:r w:rsidR="00706742" w:rsidRPr="004A4316">
        <w:rPr>
          <w:rStyle w:val="FootnoteReference"/>
        </w:rPr>
        <w:footnoteReference w:id="47"/>
      </w:r>
      <w:r w:rsidR="00706742">
        <w:t xml:space="preserve"> </w:t>
      </w:r>
    </w:p>
    <w:p w14:paraId="05542999" w14:textId="77777777" w:rsidR="00FC5B07" w:rsidRDefault="00FC5B07" w:rsidP="00C853FA"/>
    <w:p w14:paraId="195100CB" w14:textId="672AAF44" w:rsidR="00C853FA" w:rsidRDefault="007A2D5E" w:rsidP="00C853FA">
      <w:r>
        <w:t>This</w:t>
      </w:r>
      <w:r w:rsidR="00C853FA">
        <w:t xml:space="preserve"> amount </w:t>
      </w:r>
      <w:r>
        <w:t xml:space="preserve">is </w:t>
      </w:r>
      <w:r w:rsidR="00C637AA">
        <w:t xml:space="preserve">thus </w:t>
      </w:r>
      <w:r w:rsidR="00C853FA">
        <w:t xml:space="preserve">insufficient to cover even the basic cost of living for adults with disabilities, particularly those with more intensive support needs </w:t>
      </w:r>
      <w:r w:rsidR="00842CA4">
        <w:t>or those</w:t>
      </w:r>
      <w:r w:rsidR="00C853FA">
        <w:t xml:space="preserve"> residing in areas </w:t>
      </w:r>
      <w:r w:rsidR="000B4171">
        <w:t>with higher</w:t>
      </w:r>
      <w:r w:rsidR="00C853FA">
        <w:t xml:space="preserve"> cost</w:t>
      </w:r>
      <w:r w:rsidR="000B4171">
        <w:t>s</w:t>
      </w:r>
      <w:r w:rsidR="00C853FA">
        <w:t xml:space="preserve"> of living, such as Mexico City, Guadalajara, and Monterrey. </w:t>
      </w:r>
    </w:p>
    <w:p w14:paraId="29623D92" w14:textId="015F3673" w:rsidR="00FC5B07" w:rsidRDefault="00FC5B07" w:rsidP="00C853FA"/>
    <w:p w14:paraId="59924A81" w14:textId="48DCCB49" w:rsidR="00706742" w:rsidRPr="004A4316" w:rsidRDefault="00706742" w:rsidP="00A500E7">
      <w:r>
        <w:t>The disability pension only covers 1,485,451</w:t>
      </w:r>
      <w:r w:rsidRPr="004A4316">
        <w:rPr>
          <w:rStyle w:val="FootnoteReference"/>
        </w:rPr>
        <w:footnoteReference w:id="48"/>
      </w:r>
      <w:r>
        <w:t xml:space="preserve"> of the 20,838,108 persons with disabilities in Mexico.</w:t>
      </w:r>
      <w:r w:rsidRPr="004A4316">
        <w:rPr>
          <w:rStyle w:val="FootnoteReference"/>
        </w:rPr>
        <w:footnoteReference w:id="49"/>
      </w:r>
      <w:r w:rsidR="008C1929">
        <w:t xml:space="preserve"> </w:t>
      </w:r>
      <w:r w:rsidR="006D41C8" w:rsidRPr="006D41C8">
        <w:t>The Mexican government is progressively increasing the number of people benefiting from the disability pension, but progress has been slow.</w:t>
      </w:r>
      <w:r w:rsidR="00842537" w:rsidRPr="00842537">
        <w:t xml:space="preserve"> So far, there is no clear </w:t>
      </w:r>
      <w:r w:rsidR="00D829F2">
        <w:t>bench</w:t>
      </w:r>
      <w:r w:rsidR="00C34ED7">
        <w:t>mark</w:t>
      </w:r>
      <w:r w:rsidR="00842537" w:rsidRPr="00842537">
        <w:t xml:space="preserve"> regarding when all people with disabilities living in the country will be covered.</w:t>
      </w:r>
    </w:p>
    <w:p w14:paraId="530D695E" w14:textId="77777777" w:rsidR="00505FA4" w:rsidRPr="004A4316" w:rsidRDefault="00505FA4" w:rsidP="00A500E7"/>
    <w:p w14:paraId="1B73E034" w14:textId="797704AE" w:rsidR="00D72D34" w:rsidRPr="00EB55CA" w:rsidRDefault="00D72D34" w:rsidP="00A500E7">
      <w:pPr>
        <w:pStyle w:val="Heading2"/>
        <w:spacing w:before="0" w:after="0" w:line="264" w:lineRule="auto"/>
      </w:pPr>
      <w:r>
        <w:t>Question 3. Main Challenges</w:t>
      </w:r>
    </w:p>
    <w:p w14:paraId="25EAAC33" w14:textId="13B9852A" w:rsidR="00425EFA" w:rsidRDefault="00F61562" w:rsidP="00A500E7">
      <w:pPr>
        <w:pStyle w:val="Heading3"/>
        <w:spacing w:before="0" w:after="0" w:line="264" w:lineRule="auto"/>
      </w:pPr>
      <w:r>
        <w:t xml:space="preserve">Challenges in </w:t>
      </w:r>
      <w:r w:rsidR="2DA5F05B">
        <w:t xml:space="preserve">Access to Essential Services Necessary for Independent Living </w:t>
      </w:r>
      <w:r>
        <w:t xml:space="preserve"> </w:t>
      </w:r>
    </w:p>
    <w:p w14:paraId="53982F1B" w14:textId="5984F1BC" w:rsidR="00C853FA" w:rsidRDefault="00C853FA" w:rsidP="00C853FA">
      <w:r>
        <w:t>Limitations in employment opportunities, affordable and accessible housing</w:t>
      </w:r>
      <w:r w:rsidR="00C637AA" w:rsidRPr="004A4316">
        <w:t>,</w:t>
      </w:r>
      <w:r w:rsidR="00CC4BE6">
        <w:rPr>
          <w:rStyle w:val="FootnoteReference"/>
        </w:rPr>
        <w:footnoteReference w:id="50"/>
      </w:r>
      <w:r>
        <w:t xml:space="preserve"> accessible transportation</w:t>
      </w:r>
      <w:r w:rsidR="00C637AA" w:rsidRPr="004A4316">
        <w:t>,</w:t>
      </w:r>
      <w:r w:rsidR="009C66CE">
        <w:rPr>
          <w:rStyle w:val="FootnoteReference"/>
        </w:rPr>
        <w:footnoteReference w:id="51"/>
      </w:r>
      <w:r>
        <w:t xml:space="preserve"> and </w:t>
      </w:r>
      <w:r w:rsidR="59A675DA">
        <w:t xml:space="preserve">access to </w:t>
      </w:r>
      <w:r>
        <w:t xml:space="preserve">services such as personal assistants </w:t>
      </w:r>
      <w:r w:rsidR="3B321C4C">
        <w:t xml:space="preserve">significantly hinder </w:t>
      </w:r>
      <w:r>
        <w:lastRenderedPageBreak/>
        <w:t xml:space="preserve">the </w:t>
      </w:r>
      <w:r w:rsidR="321A4F22">
        <w:t xml:space="preserve">ability </w:t>
      </w:r>
      <w:r>
        <w:t xml:space="preserve">of </w:t>
      </w:r>
      <w:r w:rsidR="005D70DB" w:rsidRPr="004A4316">
        <w:t>persons</w:t>
      </w:r>
      <w:r>
        <w:t xml:space="preserve"> with disabilities</w:t>
      </w:r>
      <w:r w:rsidR="35D3CFD9">
        <w:t xml:space="preserve"> to live </w:t>
      </w:r>
      <w:r>
        <w:t>independently.</w:t>
      </w:r>
      <w:r w:rsidR="00F805BE">
        <w:rPr>
          <w:rStyle w:val="FootnoteReference"/>
        </w:rPr>
        <w:footnoteReference w:id="52"/>
      </w:r>
      <w:r>
        <w:t xml:space="preserve"> </w:t>
      </w:r>
      <w:r w:rsidR="005D70DB">
        <w:t>F</w:t>
      </w:r>
      <w:r w:rsidRPr="004A4316">
        <w:t>ew</w:t>
      </w:r>
      <w:r>
        <w:t xml:space="preserve"> state and national programs </w:t>
      </w:r>
      <w:r w:rsidRPr="004A4316">
        <w:t>provid</w:t>
      </w:r>
      <w:r w:rsidR="005D70DB">
        <w:t>e</w:t>
      </w:r>
      <w:r>
        <w:t xml:space="preserve"> these key services, </w:t>
      </w:r>
      <w:r w:rsidRPr="004A4316">
        <w:t>develop</w:t>
      </w:r>
      <w:r>
        <w:t xml:space="preserve"> necessary services, or </w:t>
      </w:r>
      <w:r w:rsidRPr="004A4316">
        <w:t>tak</w:t>
      </w:r>
      <w:r w:rsidR="005D70DB">
        <w:t>e</w:t>
      </w:r>
      <w:r>
        <w:t xml:space="preserve"> measures to ensure existing services are accessible.</w:t>
      </w:r>
      <w:r w:rsidR="00E51995">
        <w:t xml:space="preserve"> </w:t>
      </w:r>
      <w:r w:rsidR="005D70DB" w:rsidRPr="004A4316">
        <w:t>Persons</w:t>
      </w:r>
      <w:r w:rsidR="00E51995">
        <w:t xml:space="preserve"> with disabilities also face high levels of marginalization.</w:t>
      </w:r>
    </w:p>
    <w:p w14:paraId="101737D9" w14:textId="77777777" w:rsidR="00615D23" w:rsidRPr="00EB55CA" w:rsidRDefault="00615D23" w:rsidP="00C853FA"/>
    <w:p w14:paraId="298C6A63" w14:textId="0F0EAE69" w:rsidR="00F61562" w:rsidRPr="004A4316" w:rsidRDefault="00F61562" w:rsidP="00A500E7">
      <w:pPr>
        <w:pStyle w:val="Heading3"/>
        <w:spacing w:before="0" w:after="0" w:line="264" w:lineRule="auto"/>
      </w:pPr>
      <w:r w:rsidRPr="004A4316">
        <w:t>Private Sphere Violence and Abuse</w:t>
      </w:r>
    </w:p>
    <w:p w14:paraId="105403F7" w14:textId="22CFA413" w:rsidR="00C853FA" w:rsidRDefault="00C11866">
      <w:r>
        <w:t xml:space="preserve">These challenges, coupled with the insufficiency of the disability </w:t>
      </w:r>
      <w:r w:rsidR="00454ADB">
        <w:t xml:space="preserve">pension, </w:t>
      </w:r>
      <w:r w:rsidR="00C853FA" w:rsidRPr="00EB55CA">
        <w:t xml:space="preserve">result in </w:t>
      </w:r>
      <w:r w:rsidR="005D70DB" w:rsidRPr="004A4316">
        <w:t>persons</w:t>
      </w:r>
      <w:r w:rsidR="00121EDA">
        <w:t xml:space="preserve"> with disabilities</w:t>
      </w:r>
      <w:r w:rsidR="00121EDA" w:rsidRPr="00EB55CA">
        <w:t xml:space="preserve"> </w:t>
      </w:r>
      <w:r w:rsidR="00C853FA" w:rsidRPr="00EB55CA">
        <w:t>becoming highly dependent on their families for economic and other support. In fact, the legislation in some Mexican states like Oaxaca</w:t>
      </w:r>
      <w:r w:rsidR="005C0B3A">
        <w:t>, Jalisco</w:t>
      </w:r>
      <w:r w:rsidR="005D70DB">
        <w:t>,</w:t>
      </w:r>
      <w:r w:rsidR="00C853FA" w:rsidRPr="00EB55CA">
        <w:t xml:space="preserve"> and </w:t>
      </w:r>
      <w:r w:rsidR="005C0B3A">
        <w:t>Nuevo León</w:t>
      </w:r>
      <w:r w:rsidR="00C853FA" w:rsidRPr="00EB55CA">
        <w:t xml:space="preserve"> considers it a crime </w:t>
      </w:r>
      <w:r w:rsidR="0031568D">
        <w:t xml:space="preserve">for anyone </w:t>
      </w:r>
      <w:r w:rsidR="00C853FA" w:rsidRPr="00EB55CA">
        <w:t>to stop supporting their relatives with disabilities.</w:t>
      </w:r>
      <w:r w:rsidR="006F05E8">
        <w:rPr>
          <w:rStyle w:val="FootnoteReference"/>
        </w:rPr>
        <w:footnoteReference w:id="53"/>
      </w:r>
      <w:r w:rsidR="00C853FA" w:rsidRPr="00EB55CA">
        <w:t xml:space="preserve"> </w:t>
      </w:r>
      <w:r w:rsidR="00AA5515" w:rsidRPr="00AA5515">
        <w:t>Such policies deepen the dependency of people with disabilities on their relatives.</w:t>
      </w:r>
      <w:r w:rsidR="003359E6">
        <w:t>. Furthermore</w:t>
      </w:r>
      <w:r w:rsidR="00C853FA" w:rsidRPr="00EB55CA">
        <w:t xml:space="preserve">, their dependence on </w:t>
      </w:r>
      <w:r w:rsidR="00982DD0">
        <w:t>relatives</w:t>
      </w:r>
      <w:r w:rsidR="00C853FA" w:rsidRPr="00EB55CA">
        <w:t xml:space="preserve"> can </w:t>
      </w:r>
      <w:r w:rsidR="003359E6">
        <w:t>render them at risk of</w:t>
      </w:r>
      <w:r w:rsidR="00C853FA" w:rsidRPr="00EB55CA">
        <w:t xml:space="preserve"> </w:t>
      </w:r>
      <w:r w:rsidR="003359E6">
        <w:t>domestic</w:t>
      </w:r>
      <w:r w:rsidR="00FC212D">
        <w:t xml:space="preserve"> </w:t>
      </w:r>
      <w:r w:rsidR="00C853FA" w:rsidRPr="00EB55CA">
        <w:t>violence and abuse.</w:t>
      </w:r>
    </w:p>
    <w:p w14:paraId="072437C6" w14:textId="6C026975" w:rsidR="00FC5B07" w:rsidRDefault="00FC5B07" w:rsidP="00C853FA"/>
    <w:p w14:paraId="316B6E3C" w14:textId="741B5EC5" w:rsidR="008706D1" w:rsidRPr="00EA2959" w:rsidRDefault="008706D1" w:rsidP="00A500E7">
      <w:pPr>
        <w:pStyle w:val="Heading3"/>
        <w:spacing w:before="0" w:after="0" w:line="264" w:lineRule="auto"/>
      </w:pPr>
      <w:r w:rsidRPr="00EA2959">
        <w:t xml:space="preserve">Problematic </w:t>
      </w:r>
      <w:r w:rsidR="00425EFA" w:rsidRPr="00EA2959">
        <w:t>Discourse and Terminology in Legislation</w:t>
      </w:r>
    </w:p>
    <w:p w14:paraId="6CE81576" w14:textId="1F475332" w:rsidR="00C853FA" w:rsidRPr="00EA2959" w:rsidRDefault="00C853FA" w:rsidP="00C853FA">
      <w:r w:rsidRPr="00EA2959">
        <w:t>In Mexico</w:t>
      </w:r>
      <w:r w:rsidR="47A5869F" w:rsidRPr="00EA2959">
        <w:t xml:space="preserve">, </w:t>
      </w:r>
      <w:r w:rsidR="00944F3A" w:rsidRPr="00EA2959">
        <w:t xml:space="preserve">the persisting </w:t>
      </w:r>
      <w:r w:rsidRPr="00EA2959">
        <w:t xml:space="preserve">discourse </w:t>
      </w:r>
      <w:r w:rsidR="2CB71E2B" w:rsidRPr="00EA2959">
        <w:t>situat</w:t>
      </w:r>
      <w:r w:rsidR="00C81469" w:rsidRPr="00EA2959">
        <w:t>ing</w:t>
      </w:r>
      <w:r w:rsidR="2CB71E2B" w:rsidRPr="00EA2959">
        <w:t xml:space="preserve"> </w:t>
      </w:r>
      <w:r w:rsidR="00C81469" w:rsidRPr="00EA2959">
        <w:t>persons</w:t>
      </w:r>
      <w:r w:rsidRPr="00EA2959">
        <w:t xml:space="preserve"> with disabilities within the medical model of disability</w:t>
      </w:r>
      <w:r w:rsidR="00944F3A" w:rsidRPr="00EA2959">
        <w:t xml:space="preserve"> </w:t>
      </w:r>
      <w:r w:rsidR="004B3672" w:rsidRPr="00EA2959">
        <w:t>hinders the</w:t>
      </w:r>
      <w:r w:rsidR="00660AC8" w:rsidRPr="00EA2959">
        <w:t xml:space="preserve"> creati</w:t>
      </w:r>
      <w:r w:rsidR="004B3672" w:rsidRPr="00EA2959">
        <w:t>o</w:t>
      </w:r>
      <w:r w:rsidR="00660AC8" w:rsidRPr="00EA2959">
        <w:t>n</w:t>
      </w:r>
      <w:r w:rsidR="004B3672" w:rsidRPr="00EA2959">
        <w:t xml:space="preserve"> of</w:t>
      </w:r>
      <w:r w:rsidR="00660AC8" w:rsidRPr="00EA2959">
        <w:t xml:space="preserve"> disability-inclusive care </w:t>
      </w:r>
      <w:r w:rsidR="00B776EE" w:rsidRPr="00EA2959">
        <w:t xml:space="preserve">and support </w:t>
      </w:r>
      <w:r w:rsidR="00660AC8" w:rsidRPr="00EA2959">
        <w:t>systems</w:t>
      </w:r>
      <w:r w:rsidRPr="00EA2959">
        <w:t xml:space="preserve">. Any care and support policy </w:t>
      </w:r>
      <w:r w:rsidR="00402984" w:rsidRPr="00EA2959">
        <w:t xml:space="preserve">should </w:t>
      </w:r>
      <w:r w:rsidRPr="00EA2959">
        <w:t xml:space="preserve">be consistent with the </w:t>
      </w:r>
      <w:r w:rsidR="004B3672" w:rsidRPr="00EA2959">
        <w:t xml:space="preserve">CRPD’s </w:t>
      </w:r>
      <w:r w:rsidRPr="00EA2959">
        <w:t xml:space="preserve">general principles, notably </w:t>
      </w:r>
      <w:r w:rsidR="00402984" w:rsidRPr="00EA2959">
        <w:t xml:space="preserve">respect for the inherent autonomy </w:t>
      </w:r>
      <w:r w:rsidR="009E5744" w:rsidRPr="00BA261E">
        <w:t xml:space="preserve">and dignity </w:t>
      </w:r>
      <w:r w:rsidR="00402984" w:rsidRPr="00EA2959">
        <w:t>of</w:t>
      </w:r>
      <w:r w:rsidRPr="00EA2959">
        <w:t xml:space="preserve"> </w:t>
      </w:r>
      <w:r w:rsidR="00C81469" w:rsidRPr="00EA2959">
        <w:t>persons</w:t>
      </w:r>
      <w:r w:rsidRPr="00EA2959">
        <w:t xml:space="preserve"> with disabilities </w:t>
      </w:r>
      <w:r w:rsidR="00402984" w:rsidRPr="00EA2959">
        <w:t>a</w:t>
      </w:r>
      <w:r w:rsidRPr="00EA2959">
        <w:t xml:space="preserve">nd </w:t>
      </w:r>
      <w:r w:rsidR="00402984" w:rsidRPr="00EA2959">
        <w:t xml:space="preserve">their freedom </w:t>
      </w:r>
      <w:r w:rsidRPr="00EA2959">
        <w:t xml:space="preserve">to make their own decisions. </w:t>
      </w:r>
      <w:r w:rsidR="00835A2A" w:rsidRPr="00EA2959">
        <w:t>However, b</w:t>
      </w:r>
      <w:r w:rsidRPr="00EA2959">
        <w:t xml:space="preserve">oth </w:t>
      </w:r>
      <w:r w:rsidR="002430B3" w:rsidRPr="00EA2959">
        <w:t xml:space="preserve">the pending </w:t>
      </w:r>
      <w:r w:rsidRPr="00EA2959">
        <w:t xml:space="preserve">federal legislation and </w:t>
      </w:r>
      <w:r w:rsidR="00835A2A" w:rsidRPr="00EA2959">
        <w:t xml:space="preserve">the one </w:t>
      </w:r>
      <w:r w:rsidRPr="00EA2959">
        <w:t xml:space="preserve">passed </w:t>
      </w:r>
      <w:r w:rsidR="00F17577" w:rsidRPr="00EA2959">
        <w:t xml:space="preserve">by </w:t>
      </w:r>
      <w:r w:rsidRPr="00EA2959">
        <w:t xml:space="preserve">Jalisco </w:t>
      </w:r>
      <w:r w:rsidR="00A01876" w:rsidRPr="00EA2959">
        <w:t xml:space="preserve">fail to recognize this autonomy by </w:t>
      </w:r>
      <w:r w:rsidRPr="00EA2959">
        <w:t>refer</w:t>
      </w:r>
      <w:r w:rsidR="00A01876" w:rsidRPr="00EA2959">
        <w:t>ring</w:t>
      </w:r>
      <w:r w:rsidRPr="00EA2959">
        <w:t xml:space="preserve"> to </w:t>
      </w:r>
      <w:r w:rsidR="004B3672" w:rsidRPr="00EA2959">
        <w:t>persons</w:t>
      </w:r>
      <w:r w:rsidRPr="00EA2959">
        <w:t xml:space="preserve"> with disabilities as </w:t>
      </w:r>
      <w:r w:rsidR="002430B3" w:rsidRPr="00EA2959">
        <w:t>“</w:t>
      </w:r>
      <w:r w:rsidRPr="00EA2959">
        <w:t>dependent persons,</w:t>
      </w:r>
      <w:r w:rsidR="002430B3" w:rsidRPr="00EA2959">
        <w:t>”</w:t>
      </w:r>
      <w:r w:rsidRPr="00EA2959">
        <w:t xml:space="preserve"> </w:t>
      </w:r>
      <w:r w:rsidR="007F4864" w:rsidRPr="00EA2959">
        <w:t>or</w:t>
      </w:r>
      <w:r w:rsidRPr="00EA2959">
        <w:t xml:space="preserve"> persons who cannot perform certain activities by themselves and, in that sense, need to rely on </w:t>
      </w:r>
      <w:r w:rsidR="007F4864" w:rsidRPr="00EA2959">
        <w:t>others</w:t>
      </w:r>
      <w:r w:rsidRPr="00EA2959">
        <w:t xml:space="preserve"> to perform such activities.</w:t>
      </w:r>
    </w:p>
    <w:p w14:paraId="3C1FD4E6" w14:textId="357E0ACA" w:rsidR="799F7BF9" w:rsidRPr="00EA2959" w:rsidRDefault="799F7BF9" w:rsidP="799F7BF9"/>
    <w:p w14:paraId="13C5657D" w14:textId="7572112F" w:rsidR="00F17577" w:rsidRPr="00EA2959" w:rsidRDefault="00F17577" w:rsidP="00C853FA">
      <w:r w:rsidRPr="00EA2959">
        <w:t xml:space="preserve">Similarly, </w:t>
      </w:r>
      <w:r w:rsidR="00693A60" w:rsidRPr="00EA2959">
        <w:t xml:space="preserve">according to </w:t>
      </w:r>
      <w:r w:rsidR="00C853FA" w:rsidRPr="00EA2959">
        <w:t xml:space="preserve">both the </w:t>
      </w:r>
      <w:r w:rsidRPr="00EA2959">
        <w:t xml:space="preserve">pending federal legislation </w:t>
      </w:r>
      <w:r w:rsidR="00C853FA" w:rsidRPr="00EA2959">
        <w:t xml:space="preserve">and </w:t>
      </w:r>
      <w:r w:rsidRPr="00EA2959">
        <w:t xml:space="preserve">the one passed by </w:t>
      </w:r>
      <w:r w:rsidR="00C853FA" w:rsidRPr="00EA2959">
        <w:t xml:space="preserve">Jalisco, </w:t>
      </w:r>
      <w:r w:rsidRPr="00EA2959">
        <w:t>“</w:t>
      </w:r>
      <w:r w:rsidR="00C853FA" w:rsidRPr="00EA2959">
        <w:t>dependence</w:t>
      </w:r>
      <w:r w:rsidRPr="00EA2959">
        <w:t>”</w:t>
      </w:r>
      <w:r w:rsidR="00C853FA" w:rsidRPr="00EA2959">
        <w:t xml:space="preserve"> is</w:t>
      </w:r>
      <w:r w:rsidRPr="00EA2959">
        <w:t>:</w:t>
      </w:r>
      <w:r w:rsidR="00C853FA" w:rsidRPr="00EA2959">
        <w:t xml:space="preserve"> </w:t>
      </w:r>
    </w:p>
    <w:p w14:paraId="74A83D43" w14:textId="77777777" w:rsidR="00F17577" w:rsidRPr="00EA2959" w:rsidRDefault="00F17577" w:rsidP="00C853FA"/>
    <w:p w14:paraId="044AFDEF" w14:textId="4545A3E5" w:rsidR="00C853FA" w:rsidRPr="00EA2959" w:rsidRDefault="00C853FA" w:rsidP="00F17577">
      <w:pPr>
        <w:ind w:left="720" w:right="720"/>
      </w:pPr>
      <w:r w:rsidRPr="00EA2959">
        <w:lastRenderedPageBreak/>
        <w:t>the state, whether permanent or transitory, in which persons find themselves due to degenerative processes associated with age, illness, or disability, and linked to the lack or loss of physical, mental, emotional, intellectual, sensory, or mixed functionality, requiring the attention or supervision of others or significant assistance to perform activities of daily living, or in the case of persons with intellectual disabilities or mental illness, (sic) other supports for the development of their personal autonomy.</w:t>
      </w:r>
    </w:p>
    <w:p w14:paraId="51D510A1" w14:textId="3BB7965E" w:rsidR="004A47A2" w:rsidRPr="00EA2959" w:rsidRDefault="004A47A2" w:rsidP="00C853FA"/>
    <w:p w14:paraId="4BFC6415" w14:textId="6DCFA3AC" w:rsidR="00C853FA" w:rsidRPr="00EA2959" w:rsidRDefault="00C853FA" w:rsidP="00C853FA">
      <w:r w:rsidRPr="00EA2959">
        <w:t>This language is not unique to Mexican legislation</w:t>
      </w:r>
      <w:r w:rsidR="4AAE75F5" w:rsidRPr="00EA2959">
        <w:t xml:space="preserve">; </w:t>
      </w:r>
      <w:r w:rsidRPr="00EA2959">
        <w:t>the Women</w:t>
      </w:r>
      <w:r w:rsidR="006325BD" w:rsidRPr="00EA2959">
        <w:t>’</w:t>
      </w:r>
      <w:r w:rsidRPr="00EA2959">
        <w:t>s Commission of the Organization of American States</w:t>
      </w:r>
      <w:r w:rsidR="00693A60" w:rsidRPr="00EA2959">
        <w:t xml:space="preserve"> is also recommending it at the Latin American level</w:t>
      </w:r>
      <w:r w:rsidRPr="00EA2959">
        <w:t>.</w:t>
      </w:r>
      <w:r w:rsidRPr="00EA2959">
        <w:rPr>
          <w:rStyle w:val="FootnoteReference"/>
        </w:rPr>
        <w:footnoteReference w:id="54"/>
      </w:r>
      <w:r w:rsidRPr="00EA2959">
        <w:t xml:space="preserve"> </w:t>
      </w:r>
      <w:r w:rsidR="006325BD" w:rsidRPr="00EA2959">
        <w:t>In addition, t</w:t>
      </w:r>
      <w:r w:rsidRPr="00EA2959">
        <w:t xml:space="preserve">here are precedents in the region, such as </w:t>
      </w:r>
      <w:r w:rsidR="006325BD" w:rsidRPr="00EA2959">
        <w:t xml:space="preserve">in </w:t>
      </w:r>
      <w:r w:rsidRPr="00EA2959">
        <w:t xml:space="preserve">Uruguay, </w:t>
      </w:r>
      <w:r w:rsidR="006325BD" w:rsidRPr="00EA2959">
        <w:t>whose 2015</w:t>
      </w:r>
      <w:r w:rsidRPr="00EA2959">
        <w:t xml:space="preserve"> legislation on care uses </w:t>
      </w:r>
      <w:r w:rsidR="00316B4D" w:rsidRPr="00EA2959">
        <w:t xml:space="preserve">“dependency” </w:t>
      </w:r>
      <w:r w:rsidRPr="00EA2959">
        <w:t xml:space="preserve">terminology and </w:t>
      </w:r>
      <w:r w:rsidR="00316B4D" w:rsidRPr="00EA2959">
        <w:t xml:space="preserve">which </w:t>
      </w:r>
      <w:r w:rsidRPr="00EA2959">
        <w:t xml:space="preserve">organizes its </w:t>
      </w:r>
      <w:r w:rsidR="00316B4D" w:rsidRPr="00EA2959">
        <w:t xml:space="preserve">care </w:t>
      </w:r>
      <w:r w:rsidRPr="00EA2959">
        <w:t>system based on assessments of a person</w:t>
      </w:r>
      <w:r w:rsidR="006325BD" w:rsidRPr="00EA2959">
        <w:t>’</w:t>
      </w:r>
      <w:r w:rsidRPr="00EA2959">
        <w:t>s functionality</w:t>
      </w:r>
      <w:r w:rsidR="00636781" w:rsidRPr="00EA2959">
        <w:t xml:space="preserve"> instead</w:t>
      </w:r>
      <w:r w:rsidRPr="00EA2959">
        <w:t xml:space="preserve"> of social barriers and </w:t>
      </w:r>
      <w:r w:rsidR="00636781" w:rsidRPr="00EA2959">
        <w:t>the person’s</w:t>
      </w:r>
      <w:r w:rsidRPr="00EA2959">
        <w:t xml:space="preserve"> support requirements.</w:t>
      </w:r>
      <w:r w:rsidRPr="00EA2959">
        <w:rPr>
          <w:rStyle w:val="FootnoteReference"/>
        </w:rPr>
        <w:footnoteReference w:id="55"/>
      </w:r>
    </w:p>
    <w:p w14:paraId="6F92721E" w14:textId="77777777" w:rsidR="004A47A2" w:rsidRPr="00EA2959" w:rsidRDefault="004A47A2" w:rsidP="00C853FA"/>
    <w:p w14:paraId="71BDE902" w14:textId="4002C51F" w:rsidR="00CE7856" w:rsidRPr="00EA2959" w:rsidRDefault="00CE7856" w:rsidP="00A500E7">
      <w:pPr>
        <w:pStyle w:val="Heading3"/>
        <w:spacing w:before="0" w:after="0" w:line="264" w:lineRule="auto"/>
      </w:pPr>
      <w:r w:rsidRPr="00EA2959">
        <w:t xml:space="preserve">Insufficient Opportunities for Participation of </w:t>
      </w:r>
      <w:r w:rsidR="00E35EA1" w:rsidRPr="00EA2959">
        <w:t>Persons</w:t>
      </w:r>
      <w:r w:rsidRPr="00EA2959">
        <w:t xml:space="preserve"> with Disabilities</w:t>
      </w:r>
    </w:p>
    <w:p w14:paraId="379B1C11" w14:textId="00856A17" w:rsidR="00764A83" w:rsidRPr="00EA2959" w:rsidRDefault="00C853FA" w:rsidP="00764A83">
      <w:r w:rsidRPr="00EA2959">
        <w:t xml:space="preserve">In Mexico, there are very limited spaces for meaningful participation by organizations of </w:t>
      </w:r>
      <w:r w:rsidR="007F1DB2" w:rsidRPr="00EA2959">
        <w:t>persons</w:t>
      </w:r>
      <w:r w:rsidRPr="00EA2959">
        <w:t xml:space="preserve"> with disabilities. </w:t>
      </w:r>
      <w:r w:rsidR="00764A83" w:rsidRPr="00EA2959">
        <w:t>So far, the policies for establishing a care</w:t>
      </w:r>
      <w:r w:rsidR="009624BE" w:rsidRPr="00EA2959">
        <w:t xml:space="preserve"> and support</w:t>
      </w:r>
      <w:r w:rsidR="00764A83" w:rsidRPr="00EA2959">
        <w:t xml:space="preserve"> system in Mexico have not adequately solicited input </w:t>
      </w:r>
      <w:r w:rsidR="007F1DB2" w:rsidRPr="00EA2959">
        <w:t>from</w:t>
      </w:r>
      <w:r w:rsidR="00764A83" w:rsidRPr="00EA2959">
        <w:t xml:space="preserve"> organizations representing </w:t>
      </w:r>
      <w:r w:rsidR="007F1DB2" w:rsidRPr="00EA2959">
        <w:t>persons</w:t>
      </w:r>
      <w:r w:rsidR="00764A83" w:rsidRPr="00EA2959">
        <w:t xml:space="preserve"> with disabilities, who have largely remained on the sidelines of these processes. </w:t>
      </w:r>
      <w:r w:rsidR="00B04197" w:rsidRPr="00EA2959">
        <w:t xml:space="preserve">This is despite </w:t>
      </w:r>
      <w:r w:rsidR="0015549B" w:rsidRPr="00EA2959">
        <w:t>the CRPD obligations on states to conduct such consultations</w:t>
      </w:r>
      <w:r w:rsidR="0015549B" w:rsidRPr="00EA2959">
        <w:rPr>
          <w:rStyle w:val="FootnoteReference"/>
        </w:rPr>
        <w:footnoteReference w:id="56"/>
      </w:r>
      <w:r w:rsidR="0015549B" w:rsidRPr="00EA2959">
        <w:t xml:space="preserve"> as well as</w:t>
      </w:r>
      <w:r w:rsidR="00764A83" w:rsidRPr="00EA2959">
        <w:t xml:space="preserve"> robust </w:t>
      </w:r>
      <w:r w:rsidR="00E63552" w:rsidRPr="00EA2959">
        <w:t>case law</w:t>
      </w:r>
      <w:r w:rsidR="00764A83" w:rsidRPr="00EA2959">
        <w:t xml:space="preserve"> from the Mexican Supreme Court regarding the necessity of consulting organizations representing </w:t>
      </w:r>
      <w:r w:rsidR="007F1DB2" w:rsidRPr="00EA2959">
        <w:t>persons</w:t>
      </w:r>
      <w:r w:rsidR="00764A83" w:rsidRPr="00EA2959">
        <w:t xml:space="preserve"> with disabilities as part of legislative due process.</w:t>
      </w:r>
      <w:r w:rsidR="0018476E" w:rsidRPr="00EA2959">
        <w:rPr>
          <w:rStyle w:val="FootnoteReference"/>
        </w:rPr>
        <w:footnoteReference w:id="57"/>
      </w:r>
      <w:r w:rsidR="00764A83" w:rsidRPr="00EA2959">
        <w:t xml:space="preserve"> </w:t>
      </w:r>
      <w:r w:rsidR="009E5744" w:rsidRPr="00F66885">
        <w:t>Moreover</w:t>
      </w:r>
      <w:r w:rsidR="00764A83" w:rsidRPr="00EA2959">
        <w:t>, considering the potential impact of care and support system</w:t>
      </w:r>
      <w:r w:rsidR="0F8AA45A" w:rsidRPr="00EA2959">
        <w:t>s</w:t>
      </w:r>
      <w:r w:rsidR="00764A83" w:rsidRPr="00EA2959">
        <w:t xml:space="preserve"> for independent living, </w:t>
      </w:r>
      <w:r w:rsidR="006F01D2" w:rsidRPr="006A0590">
        <w:t xml:space="preserve">Mexico should look to build on models in other countries </w:t>
      </w:r>
      <w:r w:rsidR="009E5744" w:rsidRPr="006A0590">
        <w:t xml:space="preserve">where </w:t>
      </w:r>
      <w:r w:rsidR="009E5744" w:rsidRPr="00EA2959">
        <w:t xml:space="preserve">organizations representing persons with disabilities </w:t>
      </w:r>
      <w:r w:rsidR="006F01D2" w:rsidRPr="00F66885">
        <w:t>are also</w:t>
      </w:r>
      <w:r w:rsidR="00764A83" w:rsidRPr="00EA2959">
        <w:t xml:space="preserve"> directly involved in the management and </w:t>
      </w:r>
      <w:r w:rsidR="00764A83" w:rsidRPr="00EA2959">
        <w:lastRenderedPageBreak/>
        <w:t>oversight</w:t>
      </w:r>
      <w:r w:rsidR="009E5744" w:rsidRPr="00F66885">
        <w:t xml:space="preserve"> of centers for independent living</w:t>
      </w:r>
      <w:r w:rsidR="009C6F8A" w:rsidRPr="00EA2959">
        <w:t>, including</w:t>
      </w:r>
      <w:r w:rsidR="00764A83" w:rsidRPr="00EA2959">
        <w:t xml:space="preserve"> through direct management of support services.</w:t>
      </w:r>
      <w:r w:rsidRPr="00505FA4">
        <w:rPr>
          <w:rStyle w:val="FootnoteReference"/>
        </w:rPr>
        <w:footnoteReference w:id="58"/>
      </w:r>
    </w:p>
    <w:p w14:paraId="24731FBF" w14:textId="53CB47BD" w:rsidR="00C853FA" w:rsidRPr="00EA2959" w:rsidRDefault="00C853FA" w:rsidP="00C853FA"/>
    <w:p w14:paraId="123C0B41" w14:textId="08A2E589" w:rsidR="00C853FA" w:rsidRPr="00EA2959" w:rsidRDefault="00A26D17" w:rsidP="00A500E7">
      <w:pPr>
        <w:pStyle w:val="Heading2"/>
        <w:spacing w:before="0" w:after="0" w:line="264" w:lineRule="auto"/>
      </w:pPr>
      <w:r w:rsidRPr="00EA2959">
        <w:t xml:space="preserve">Global </w:t>
      </w:r>
      <w:r w:rsidR="00C853FA" w:rsidRPr="00EA2959">
        <w:t>Recommendations</w:t>
      </w:r>
      <w:r w:rsidR="009A3271" w:rsidRPr="00EA2959">
        <w:t xml:space="preserve"> Regarding the Right to Care and Support for </w:t>
      </w:r>
      <w:r w:rsidR="00E35EA1" w:rsidRPr="00EA2959">
        <w:t>Persons</w:t>
      </w:r>
      <w:r w:rsidR="009A3271" w:rsidRPr="00EA2959">
        <w:t xml:space="preserve"> with Disabilities</w:t>
      </w:r>
    </w:p>
    <w:p w14:paraId="7ECAD5C6" w14:textId="77777777" w:rsidR="003B0068" w:rsidRPr="00EA2959" w:rsidRDefault="003B0068" w:rsidP="00A500E7">
      <w:pPr>
        <w:rPr>
          <w:szCs w:val="22"/>
        </w:rPr>
      </w:pPr>
    </w:p>
    <w:p w14:paraId="485C4CCB" w14:textId="6AFD906D" w:rsidR="00C73B1E" w:rsidRPr="00EA2959" w:rsidRDefault="00C73B1E" w:rsidP="00145FE6">
      <w:pPr>
        <w:rPr>
          <w:szCs w:val="22"/>
        </w:rPr>
      </w:pPr>
      <w:r w:rsidRPr="00EA2959">
        <w:rPr>
          <w:szCs w:val="22"/>
        </w:rPr>
        <w:t>Human Rights Watch requests OHCHR</w:t>
      </w:r>
      <w:r w:rsidR="006E44B6" w:rsidRPr="00EA2959">
        <w:rPr>
          <w:szCs w:val="22"/>
        </w:rPr>
        <w:t xml:space="preserve"> to</w:t>
      </w:r>
      <w:r w:rsidR="00145FE6" w:rsidRPr="00EA2959">
        <w:rPr>
          <w:szCs w:val="22"/>
        </w:rPr>
        <w:t>:</w:t>
      </w:r>
    </w:p>
    <w:p w14:paraId="1F379B3A" w14:textId="77777777" w:rsidR="003B0068" w:rsidRPr="00EA2959" w:rsidRDefault="003B0068" w:rsidP="00A500E7">
      <w:pPr>
        <w:rPr>
          <w:szCs w:val="22"/>
        </w:rPr>
      </w:pPr>
    </w:p>
    <w:p w14:paraId="24886BAC" w14:textId="312FE607" w:rsidR="00C853FA" w:rsidRPr="00EA2959" w:rsidRDefault="00C853FA" w:rsidP="00A500E7">
      <w:pPr>
        <w:numPr>
          <w:ilvl w:val="0"/>
          <w:numId w:val="24"/>
        </w:numPr>
        <w:rPr>
          <w:szCs w:val="22"/>
        </w:rPr>
      </w:pPr>
      <w:r w:rsidRPr="00EA2959">
        <w:rPr>
          <w:szCs w:val="22"/>
        </w:rPr>
        <w:t xml:space="preserve">Urge </w:t>
      </w:r>
      <w:r w:rsidR="00145FE6" w:rsidRPr="00EA2959">
        <w:rPr>
          <w:szCs w:val="22"/>
        </w:rPr>
        <w:t xml:space="preserve">States </w:t>
      </w:r>
      <w:r w:rsidR="001E60CB" w:rsidRPr="00EA2959">
        <w:rPr>
          <w:szCs w:val="22"/>
        </w:rPr>
        <w:t>Parties</w:t>
      </w:r>
      <w:r w:rsidR="00145FE6" w:rsidRPr="00EA2959">
        <w:rPr>
          <w:szCs w:val="22"/>
        </w:rPr>
        <w:t xml:space="preserve"> </w:t>
      </w:r>
      <w:r w:rsidR="003F7D6F" w:rsidRPr="00EA2959">
        <w:rPr>
          <w:szCs w:val="22"/>
        </w:rPr>
        <w:t xml:space="preserve">to </w:t>
      </w:r>
      <w:r w:rsidRPr="00EA2959">
        <w:rPr>
          <w:szCs w:val="22"/>
        </w:rPr>
        <w:t xml:space="preserve">the Convention on the Rights of Persons with Disabilities </w:t>
      </w:r>
      <w:r w:rsidR="00973173" w:rsidRPr="00EA2959">
        <w:rPr>
          <w:szCs w:val="22"/>
        </w:rPr>
        <w:t>(CRPD)</w:t>
      </w:r>
      <w:r w:rsidRPr="00EA2959">
        <w:rPr>
          <w:szCs w:val="22"/>
        </w:rPr>
        <w:t xml:space="preserve"> to include support for independent living for </w:t>
      </w:r>
      <w:r w:rsidR="006E44B6" w:rsidRPr="00EA2959">
        <w:rPr>
          <w:szCs w:val="22"/>
        </w:rPr>
        <w:t>persons</w:t>
      </w:r>
      <w:r w:rsidRPr="00EA2959">
        <w:rPr>
          <w:szCs w:val="22"/>
        </w:rPr>
        <w:t xml:space="preserve"> with disabilities </w:t>
      </w:r>
      <w:r w:rsidR="006E44B6" w:rsidRPr="00EA2959">
        <w:rPr>
          <w:szCs w:val="22"/>
        </w:rPr>
        <w:t xml:space="preserve">and older persons </w:t>
      </w:r>
      <w:r w:rsidRPr="00EA2959">
        <w:rPr>
          <w:szCs w:val="22"/>
        </w:rPr>
        <w:t>as well as robust systems for their inclusion in the community.</w:t>
      </w:r>
    </w:p>
    <w:p w14:paraId="3C6FCCB2" w14:textId="77777777" w:rsidR="00A500E7" w:rsidRPr="00EA2959" w:rsidRDefault="00A500E7" w:rsidP="00A500E7">
      <w:pPr>
        <w:ind w:left="720"/>
        <w:rPr>
          <w:szCs w:val="22"/>
        </w:rPr>
      </w:pPr>
    </w:p>
    <w:p w14:paraId="566B49EF" w14:textId="572B7CC0" w:rsidR="0088221C" w:rsidRPr="00EA2959" w:rsidRDefault="00C853FA" w:rsidP="00A500E7">
      <w:pPr>
        <w:numPr>
          <w:ilvl w:val="0"/>
          <w:numId w:val="24"/>
        </w:numPr>
      </w:pPr>
      <w:r w:rsidRPr="00EA2959">
        <w:t xml:space="preserve">Emphasize that all public policies to establish the right to care and support for independent living must </w:t>
      </w:r>
      <w:r w:rsidRPr="00EA2959" w:rsidDel="00D60924">
        <w:t xml:space="preserve">respect </w:t>
      </w:r>
      <w:r w:rsidR="00C47B09" w:rsidRPr="00EA2959">
        <w:t xml:space="preserve">the autonomy </w:t>
      </w:r>
      <w:r w:rsidRPr="00EA2959" w:rsidDel="00D60924">
        <w:t xml:space="preserve">of </w:t>
      </w:r>
      <w:r w:rsidR="00555CBB" w:rsidRPr="00EA2959">
        <w:t>persons</w:t>
      </w:r>
      <w:r w:rsidRPr="00EA2959">
        <w:t xml:space="preserve"> with disabilities and older persons</w:t>
      </w:r>
      <w:r w:rsidR="00AA4583" w:rsidRPr="00EA2959">
        <w:t xml:space="preserve">, including by using the correct terminology in </w:t>
      </w:r>
      <w:r w:rsidR="006F01D2" w:rsidRPr="00EA2959">
        <w:t>lin</w:t>
      </w:r>
      <w:r w:rsidR="00AA4583" w:rsidRPr="00EA2959">
        <w:t>e with international human rights</w:t>
      </w:r>
      <w:r w:rsidR="006F01D2" w:rsidRPr="00EA2959">
        <w:t xml:space="preserve"> norms</w:t>
      </w:r>
      <w:r w:rsidR="00750536" w:rsidRPr="00EA2959">
        <w:t xml:space="preserve">, </w:t>
      </w:r>
      <w:r w:rsidR="00991DE2" w:rsidRPr="00EA2959">
        <w:t>treating “autonomy” as a normative concept</w:t>
      </w:r>
      <w:r w:rsidR="00617520" w:rsidRPr="00EA2959">
        <w:t xml:space="preserve"> </w:t>
      </w:r>
      <w:r w:rsidR="006F01D2" w:rsidRPr="00D915F8">
        <w:t>rather than primarily</w:t>
      </w:r>
      <w:r w:rsidR="00617520" w:rsidRPr="00EA2959">
        <w:t xml:space="preserve"> a functional one</w:t>
      </w:r>
      <w:r w:rsidR="00AA4583" w:rsidRPr="00EA2959">
        <w:t>,</w:t>
      </w:r>
      <w:r w:rsidRPr="00EA2959">
        <w:t xml:space="preserve"> and </w:t>
      </w:r>
      <w:r w:rsidR="006F01D2" w:rsidRPr="00EA2959">
        <w:t xml:space="preserve">should </w:t>
      </w:r>
      <w:r w:rsidRPr="00EA2959">
        <w:t xml:space="preserve">implement a model that allows </w:t>
      </w:r>
      <w:r w:rsidR="00C47B09" w:rsidRPr="00EA2959">
        <w:t>those individuals</w:t>
      </w:r>
      <w:r w:rsidRPr="00EA2959">
        <w:t xml:space="preserve"> </w:t>
      </w:r>
      <w:r w:rsidR="00750536" w:rsidRPr="00EA2959">
        <w:t xml:space="preserve">input and oversight </w:t>
      </w:r>
      <w:r w:rsidRPr="00EA2959">
        <w:t xml:space="preserve">over </w:t>
      </w:r>
      <w:r w:rsidR="00C47B09" w:rsidRPr="00EA2959">
        <w:t xml:space="preserve">the care and </w:t>
      </w:r>
      <w:r w:rsidRPr="00EA2959">
        <w:t>support</w:t>
      </w:r>
      <w:r w:rsidR="00C47B09" w:rsidRPr="00EA2959">
        <w:t xml:space="preserve"> they receive</w:t>
      </w:r>
      <w:r w:rsidRPr="00EA2959">
        <w:t xml:space="preserve">. </w:t>
      </w:r>
    </w:p>
    <w:p w14:paraId="327F78F6" w14:textId="77777777" w:rsidR="00A500E7" w:rsidRPr="00EA2959" w:rsidRDefault="00A500E7" w:rsidP="00A500E7">
      <w:pPr>
        <w:ind w:left="720"/>
        <w:rPr>
          <w:szCs w:val="22"/>
        </w:rPr>
      </w:pPr>
    </w:p>
    <w:p w14:paraId="4E566107" w14:textId="51A14060" w:rsidR="00067AF7" w:rsidRPr="00EA2959" w:rsidRDefault="00E946C8" w:rsidP="00A500E7">
      <w:pPr>
        <w:numPr>
          <w:ilvl w:val="0"/>
          <w:numId w:val="24"/>
        </w:numPr>
      </w:pPr>
      <w:r w:rsidRPr="00EA2959">
        <w:t xml:space="preserve">Emphasize that children with disabilities must be properly consulted regarding care </w:t>
      </w:r>
      <w:r w:rsidR="00696320" w:rsidRPr="00EA2959">
        <w:t xml:space="preserve">and support </w:t>
      </w:r>
      <w:r w:rsidRPr="00EA2959">
        <w:t>policies that may impact them</w:t>
      </w:r>
      <w:r w:rsidR="77A8F623" w:rsidRPr="00EA2959">
        <w:t>, in ac</w:t>
      </w:r>
      <w:r w:rsidR="3DFF3E91" w:rsidRPr="00EA2959">
        <w:t>cordance with the child’s age and maturity.</w:t>
      </w:r>
    </w:p>
    <w:p w14:paraId="70C6073F" w14:textId="77777777" w:rsidR="00A500E7" w:rsidRPr="00EA2959" w:rsidRDefault="00A500E7" w:rsidP="00A500E7">
      <w:pPr>
        <w:ind w:left="720"/>
        <w:rPr>
          <w:szCs w:val="22"/>
        </w:rPr>
      </w:pPr>
    </w:p>
    <w:p w14:paraId="030FC74D" w14:textId="33F85144" w:rsidR="00973173" w:rsidRPr="00EA2959" w:rsidRDefault="0088221C" w:rsidP="00A500E7">
      <w:pPr>
        <w:pStyle w:val="ListParagraph"/>
        <w:numPr>
          <w:ilvl w:val="0"/>
          <w:numId w:val="24"/>
        </w:numPr>
        <w:spacing w:line="264" w:lineRule="auto"/>
        <w:rPr>
          <w:rFonts w:ascii="MetaPro-Norm" w:hAnsi="MetaPro-Norm"/>
        </w:rPr>
      </w:pPr>
      <w:r w:rsidRPr="00EA2959">
        <w:rPr>
          <w:rFonts w:ascii="MetaPro-Norm" w:hAnsi="MetaPro-Norm"/>
        </w:rPr>
        <w:t xml:space="preserve">Recommend the creation of </w:t>
      </w:r>
      <w:r w:rsidR="00696320" w:rsidRPr="00EA2959">
        <w:rPr>
          <w:rFonts w:ascii="MetaPro-Norm" w:hAnsi="MetaPro-Norm"/>
        </w:rPr>
        <w:t xml:space="preserve">a </w:t>
      </w:r>
      <w:r w:rsidRPr="00EA2959">
        <w:rPr>
          <w:rFonts w:ascii="MetaPro-Norm" w:hAnsi="MetaPro-Norm"/>
        </w:rPr>
        <w:t xml:space="preserve">care and support system for independent living and community inclusion in which organizations of </w:t>
      </w:r>
      <w:r w:rsidR="00696320" w:rsidRPr="00EA2959">
        <w:rPr>
          <w:rFonts w:ascii="MetaPro-Norm" w:hAnsi="MetaPro-Norm"/>
        </w:rPr>
        <w:t>persons</w:t>
      </w:r>
      <w:r w:rsidRPr="00EA2959">
        <w:rPr>
          <w:rFonts w:ascii="MetaPro-Norm" w:hAnsi="MetaPro-Norm"/>
        </w:rPr>
        <w:t xml:space="preserve"> with disabilities can participate significantly in </w:t>
      </w:r>
      <w:r w:rsidR="00593B43" w:rsidRPr="00EA2959">
        <w:rPr>
          <w:rFonts w:ascii="MetaPro-Norm" w:hAnsi="MetaPro-Norm"/>
        </w:rPr>
        <w:t>its</w:t>
      </w:r>
      <w:r w:rsidRPr="00EA2959">
        <w:rPr>
          <w:rFonts w:ascii="MetaPro-Norm" w:hAnsi="MetaPro-Norm"/>
        </w:rPr>
        <w:t xml:space="preserve"> design, management, and supervision. </w:t>
      </w:r>
    </w:p>
    <w:p w14:paraId="0F5D9231" w14:textId="77777777" w:rsidR="00973173" w:rsidRPr="00973173" w:rsidRDefault="00973173" w:rsidP="00973173">
      <w:pPr>
        <w:pStyle w:val="ListParagraph"/>
        <w:rPr>
          <w:rFonts w:ascii="MetaPro-Norm" w:hAnsi="MetaPro-Norm"/>
        </w:rPr>
      </w:pPr>
    </w:p>
    <w:p w14:paraId="1EF5F4C1" w14:textId="60CD193B" w:rsidR="0088221C" w:rsidRPr="004A4316" w:rsidRDefault="0088221C" w:rsidP="00A500E7">
      <w:pPr>
        <w:pStyle w:val="ListParagraph"/>
        <w:numPr>
          <w:ilvl w:val="0"/>
          <w:numId w:val="24"/>
        </w:numPr>
        <w:spacing w:line="264" w:lineRule="auto"/>
        <w:rPr>
          <w:rFonts w:ascii="MetaPro-Norm" w:hAnsi="MetaPro-Norm"/>
        </w:rPr>
      </w:pPr>
      <w:r w:rsidRPr="13BE14EB">
        <w:rPr>
          <w:rFonts w:ascii="MetaPro-Norm" w:hAnsi="MetaPro-Norm"/>
        </w:rPr>
        <w:t xml:space="preserve">Urge States Parties to the CRPD to ensure their laws honor </w:t>
      </w:r>
      <w:r w:rsidR="008A4A18">
        <w:rPr>
          <w:rFonts w:ascii="MetaPro-Norm" w:hAnsi="MetaPro-Norm"/>
        </w:rPr>
        <w:t xml:space="preserve">children's </w:t>
      </w:r>
      <w:r w:rsidRPr="13BE14EB">
        <w:rPr>
          <w:rFonts w:ascii="MetaPro-Norm" w:hAnsi="MetaPro-Norm"/>
        </w:rPr>
        <w:t xml:space="preserve">progressive autonomy by establishing </w:t>
      </w:r>
      <w:r w:rsidR="002F221F" w:rsidRPr="13BE14EB">
        <w:rPr>
          <w:rFonts w:ascii="MetaPro-Norm" w:hAnsi="MetaPro-Norm"/>
        </w:rPr>
        <w:t xml:space="preserve">procedures to properly gather </w:t>
      </w:r>
      <w:r w:rsidR="00222E12" w:rsidRPr="13BE14EB">
        <w:rPr>
          <w:rFonts w:ascii="MetaPro-Norm" w:hAnsi="MetaPro-Norm"/>
        </w:rPr>
        <w:t xml:space="preserve">and share </w:t>
      </w:r>
      <w:r w:rsidR="002F221F" w:rsidRPr="13BE14EB">
        <w:rPr>
          <w:rFonts w:ascii="MetaPro-Norm" w:hAnsi="MetaPro-Norm"/>
        </w:rPr>
        <w:t>the opinions of children with disabilities in accessible formats.</w:t>
      </w:r>
      <w:r w:rsidRPr="13BE14EB">
        <w:rPr>
          <w:rFonts w:ascii="MetaPro-Norm" w:hAnsi="MetaPro-Norm"/>
        </w:rPr>
        <w:t xml:space="preserve"> </w:t>
      </w:r>
    </w:p>
    <w:p w14:paraId="10F56786" w14:textId="23CA1EAF" w:rsidR="008852CA" w:rsidRPr="004A4316" w:rsidRDefault="008852CA" w:rsidP="00B312AD">
      <w:pPr>
        <w:rPr>
          <w:szCs w:val="22"/>
        </w:rPr>
      </w:pPr>
    </w:p>
    <w:sectPr w:rsidR="008852CA" w:rsidRPr="004A4316" w:rsidSect="002F1EDC">
      <w:footerReference w:type="even" r:id="rId12"/>
      <w:footerReference w:type="default" r:id="rId13"/>
      <w:headerReference w:type="first" r:id="rId14"/>
      <w:footerReference w:type="first" r:id="rId15"/>
      <w:endnotePr>
        <w:numFmt w:val="decimal"/>
      </w:endnotePr>
      <w:pgSz w:w="12240" w:h="15840" w:code="1"/>
      <w:pgMar w:top="1440" w:right="1800" w:bottom="1800" w:left="180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3F56" w14:textId="77777777" w:rsidR="002F1EDC" w:rsidRDefault="002F1EDC">
      <w:r>
        <w:separator/>
      </w:r>
    </w:p>
  </w:endnote>
  <w:endnote w:type="continuationSeparator" w:id="0">
    <w:p w14:paraId="77A9F622" w14:textId="77777777" w:rsidR="002F1EDC" w:rsidRDefault="002F1EDC">
      <w:r>
        <w:continuationSeparator/>
      </w:r>
    </w:p>
  </w:endnote>
  <w:endnote w:type="continuationNotice" w:id="1">
    <w:p w14:paraId="197495FD" w14:textId="77777777" w:rsidR="002F1EDC" w:rsidRDefault="002F1E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etaPro-Norm">
    <w:panose1 w:val="020B0504030101020102"/>
    <w:charset w:val="00"/>
    <w:family w:val="swiss"/>
    <w:notTrueType/>
    <w:pitch w:val="variable"/>
    <w:sig w:usb0="A00002FF" w:usb1="4000207B" w:usb2="00000000" w:usb3="00000000" w:csb0="0000009F" w:csb1="00000000"/>
  </w:font>
  <w:font w:name="MetaPro-Bold">
    <w:panose1 w:val="020B0804030101020102"/>
    <w:charset w:val="00"/>
    <w:family w:val="swiss"/>
    <w:notTrueType/>
    <w:pitch w:val="variable"/>
    <w:sig w:usb0="A00002FF" w:usb1="4000207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riaArabic-Bold">
    <w:panose1 w:val="02000000000000000000"/>
    <w:charset w:val="00"/>
    <w:family w:val="modern"/>
    <w:notTrueType/>
    <w:pitch w:val="variable"/>
    <w:sig w:usb0="A00020AF" w:usb1="D000A05A" w:usb2="00000008" w:usb3="00000000" w:csb0="00000151" w:csb1="00000000"/>
  </w:font>
  <w:font w:name="MetaPro-CondMedi">
    <w:panose1 w:val="020B0606030101020102"/>
    <w:charset w:val="00"/>
    <w:family w:val="swiss"/>
    <w:notTrueType/>
    <w:pitch w:val="variable"/>
    <w:sig w:usb0="A00002FF" w:usb1="4000207B" w:usb2="00000000" w:usb3="00000000" w:csb0="0000009F" w:csb1="00000000"/>
  </w:font>
  <w:font w:name="MetaPro-CondBookIta">
    <w:panose1 w:val="020B0606030101020102"/>
    <w:charset w:val="00"/>
    <w:family w:val="swiss"/>
    <w:notTrueType/>
    <w:pitch w:val="variable"/>
    <w:sig w:usb0="A00002FF" w:usb1="4000207B" w:usb2="00000000" w:usb3="00000000" w:csb0="0000009F" w:csb1="00000000"/>
  </w:font>
  <w:font w:name="MetaPro-Medi">
    <w:panose1 w:val="020B0604030101020102"/>
    <w:charset w:val="00"/>
    <w:family w:val="swiss"/>
    <w:notTrueType/>
    <w:pitch w:val="variable"/>
    <w:sig w:usb0="A00002F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etaPro-CondBold">
    <w:panose1 w:val="020B0806030101020102"/>
    <w:charset w:val="00"/>
    <w:family w:val="swiss"/>
    <w:notTrueType/>
    <w:pitch w:val="variable"/>
    <w:sig w:usb0="A00002FF" w:usb1="4000207B" w:usb2="00000000" w:usb3="00000000" w:csb0="0000009F" w:csb1="00000000"/>
  </w:font>
  <w:font w:name="SeriaArabic-Black">
    <w:panose1 w:val="02000000000000000000"/>
    <w:charset w:val="00"/>
    <w:family w:val="modern"/>
    <w:notTrueType/>
    <w:pitch w:val="variable"/>
    <w:sig w:usb0="A00020AF" w:usb1="D000A05A" w:usb2="00000008" w:usb3="00000000" w:csb0="00000151" w:csb1="00000000"/>
  </w:font>
  <w:font w:name="Arial">
    <w:panose1 w:val="020B0604020202020204"/>
    <w:charset w:val="00"/>
    <w:family w:val="swiss"/>
    <w:pitch w:val="variable"/>
    <w:sig w:usb0="E0002EFF" w:usb1="C000785B" w:usb2="00000009" w:usb3="00000000" w:csb0="000001FF" w:csb1="00000000"/>
  </w:font>
  <w:font w:name="MetaBold-Roman">
    <w:panose1 w:val="020B0802030000020004"/>
    <w:charset w:val="00"/>
    <w:family w:val="swiss"/>
    <w:pitch w:val="variable"/>
    <w:sig w:usb0="80000027" w:usb1="00000000" w:usb2="00000000" w:usb3="00000000" w:csb0="00000001" w:csb1="00000000"/>
  </w:font>
  <w:font w:name="SeriaArabic">
    <w:panose1 w:val="02000500000000020003"/>
    <w:charset w:val="00"/>
    <w:family w:val="modern"/>
    <w:notTrueType/>
    <w:pitch w:val="variable"/>
    <w:sig w:usb0="A00020AF" w:usb1="D000A05A" w:usb2="00000008" w:usb3="00000000" w:csb0="0000015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ystem-ui">
    <w:altName w:val="Cambria"/>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64C2" w14:textId="06DE7686" w:rsidR="005E04DC" w:rsidRDefault="005E04DC">
    <w:pPr>
      <w:pStyle w:val="Footer"/>
      <w:jc w:val="right"/>
    </w:pPr>
  </w:p>
  <w:p w14:paraId="2FDFCDD1" w14:textId="77777777" w:rsidR="00460035" w:rsidRDefault="00460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842650"/>
      <w:docPartObj>
        <w:docPartGallery w:val="Page Numbers (Bottom of Page)"/>
        <w:docPartUnique/>
      </w:docPartObj>
    </w:sdtPr>
    <w:sdtEndPr>
      <w:rPr>
        <w:noProof/>
      </w:rPr>
    </w:sdtEndPr>
    <w:sdtContent>
      <w:p w14:paraId="1C285773" w14:textId="319A58F1" w:rsidR="006152D9" w:rsidRDefault="006152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96A0A" w14:textId="77777777" w:rsidR="00E33884" w:rsidRDefault="00E33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C239" w14:textId="1F038555" w:rsidR="00E33884" w:rsidRDefault="00E33884">
    <w:pPr>
      <w:pStyle w:val="Footer"/>
      <w:jc w:val="right"/>
    </w:pPr>
    <w:r>
      <w:fldChar w:fldCharType="begin"/>
    </w:r>
    <w:r>
      <w:instrText xml:space="preserve"> PAGE   \* MERGEFORMAT </w:instrText>
    </w:r>
    <w:r>
      <w:fldChar w:fldCharType="separate"/>
    </w:r>
    <w:r>
      <w:rPr>
        <w:noProof/>
      </w:rPr>
      <w:t>2</w:t>
    </w:r>
    <w:r>
      <w:rPr>
        <w:noProof/>
      </w:rPr>
      <w:fldChar w:fldCharType="end"/>
    </w:r>
  </w:p>
  <w:p w14:paraId="61368EB8" w14:textId="77777777" w:rsidR="0094324D" w:rsidRDefault="0094324D" w:rsidP="007373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1C96" w14:textId="77777777" w:rsidR="002F1EDC" w:rsidRDefault="002F1EDC">
      <w:r>
        <w:separator/>
      </w:r>
    </w:p>
  </w:footnote>
  <w:footnote w:type="continuationSeparator" w:id="0">
    <w:p w14:paraId="775BE3F6" w14:textId="77777777" w:rsidR="002F1EDC" w:rsidRDefault="002F1EDC">
      <w:r>
        <w:continuationSeparator/>
      </w:r>
    </w:p>
  </w:footnote>
  <w:footnote w:type="continuationNotice" w:id="1">
    <w:p w14:paraId="4A12C184" w14:textId="77777777" w:rsidR="002F1EDC" w:rsidRDefault="002F1EDC">
      <w:pPr>
        <w:spacing w:line="240" w:lineRule="auto"/>
      </w:pPr>
    </w:p>
  </w:footnote>
  <w:footnote w:id="2">
    <w:p w14:paraId="09F6A905" w14:textId="0C08E99A" w:rsidR="006349A2" w:rsidRPr="0021621A" w:rsidRDefault="006349A2">
      <w:pPr>
        <w:pStyle w:val="FootnoteText"/>
        <w:rPr>
          <w:szCs w:val="16"/>
        </w:rPr>
      </w:pPr>
      <w:r w:rsidRPr="0021621A">
        <w:rPr>
          <w:rStyle w:val="FootnoteReference"/>
          <w:rFonts w:ascii="MetaPro-Norm" w:hAnsi="MetaPro-Norm"/>
          <w:sz w:val="16"/>
          <w:szCs w:val="16"/>
        </w:rPr>
        <w:footnoteRef/>
      </w:r>
      <w:r w:rsidRPr="0021621A">
        <w:rPr>
          <w:szCs w:val="16"/>
        </w:rPr>
        <w:t xml:space="preserve"> This submission is based on Human Rights Watch’s research and interviews, including with more than 60 older persons, in Eastern Cape, Gauteng and Western Cape provinces between September 2022 and May 2023. Human Rights Watch, </w:t>
      </w:r>
      <w:r w:rsidRPr="0029498B">
        <w:rPr>
          <w:i/>
          <w:iCs/>
          <w:szCs w:val="16"/>
        </w:rPr>
        <w:t>“This Government is Failing Me Too:” South Africa Compounds Legacy of Apartheid for Older Persons</w:t>
      </w:r>
      <w:r w:rsidRPr="0021621A">
        <w:rPr>
          <w:szCs w:val="16"/>
        </w:rPr>
        <w:t xml:space="preserve"> (New York: Human Rights Watch, 2023), </w:t>
      </w:r>
      <w:r w:rsidRPr="009848A1">
        <w:rPr>
          <w:szCs w:val="16"/>
        </w:rPr>
        <w:t>https://www.hrw.org/report/2023/06/27/government-failing-me-too/south-africa-compounds-legacy-apartheid-older-persons</w:t>
      </w:r>
      <w:r w:rsidRPr="0021621A">
        <w:rPr>
          <w:szCs w:val="16"/>
        </w:rPr>
        <w:t xml:space="preserve">. </w:t>
      </w:r>
      <w:r w:rsidR="009848A1">
        <w:rPr>
          <w:szCs w:val="16"/>
        </w:rPr>
        <w:t>The submission</w:t>
      </w:r>
      <w:r w:rsidRPr="0021621A">
        <w:rPr>
          <w:szCs w:val="16"/>
        </w:rPr>
        <w:t xml:space="preserve"> is also based on research </w:t>
      </w:r>
      <w:r w:rsidR="00FC3E37">
        <w:rPr>
          <w:szCs w:val="16"/>
        </w:rPr>
        <w:t>conducted</w:t>
      </w:r>
      <w:r w:rsidRPr="0021621A">
        <w:rPr>
          <w:szCs w:val="16"/>
        </w:rPr>
        <w:t xml:space="preserve"> in four states of Mexico analyzing the impact </w:t>
      </w:r>
      <w:r w:rsidR="00FC3E37">
        <w:rPr>
          <w:szCs w:val="16"/>
        </w:rPr>
        <w:t>of the</w:t>
      </w:r>
      <w:r w:rsidRPr="0021621A">
        <w:rPr>
          <w:szCs w:val="16"/>
        </w:rPr>
        <w:t xml:space="preserve"> lack of policies to ensure the right to independent living for </w:t>
      </w:r>
      <w:r w:rsidR="00E35EA1" w:rsidRPr="0021621A">
        <w:rPr>
          <w:szCs w:val="16"/>
        </w:rPr>
        <w:t>persons</w:t>
      </w:r>
      <w:r w:rsidRPr="0021621A">
        <w:rPr>
          <w:szCs w:val="16"/>
        </w:rPr>
        <w:t xml:space="preserve"> with disabilities in four states in Mexico,</w:t>
      </w:r>
      <w:r w:rsidR="00FC3E37">
        <w:rPr>
          <w:szCs w:val="16"/>
        </w:rPr>
        <w:t xml:space="preserve"> which involved</w:t>
      </w:r>
      <w:r w:rsidRPr="0021621A">
        <w:rPr>
          <w:szCs w:val="16"/>
        </w:rPr>
        <w:t xml:space="preserve"> interview</w:t>
      </w:r>
      <w:r w:rsidR="00FC3E37">
        <w:rPr>
          <w:szCs w:val="16"/>
        </w:rPr>
        <w:t>s with</w:t>
      </w:r>
      <w:r w:rsidRPr="0021621A">
        <w:rPr>
          <w:szCs w:val="16"/>
        </w:rPr>
        <w:t xml:space="preserve"> 140 people, including 24 women and 14 men with disabilities, who were victims of violence, some of whom were of </w:t>
      </w:r>
      <w:r w:rsidR="00FC3E37">
        <w:rPr>
          <w:szCs w:val="16"/>
        </w:rPr>
        <w:t>I</w:t>
      </w:r>
      <w:r w:rsidRPr="0021621A">
        <w:rPr>
          <w:szCs w:val="16"/>
        </w:rPr>
        <w:t>ndigenous origin.</w:t>
      </w:r>
      <w:r w:rsidR="00882545">
        <w:rPr>
          <w:szCs w:val="16"/>
        </w:rPr>
        <w:t xml:space="preserve"> </w:t>
      </w:r>
      <w:r w:rsidR="00882545" w:rsidRPr="008F4AEE">
        <w:rPr>
          <w:i/>
          <w:iCs/>
          <w:szCs w:val="16"/>
        </w:rPr>
        <w:t>“Better to Make Yourself Invisible:” Family Violence Against People with Disabilities in Mexico</w:t>
      </w:r>
      <w:r w:rsidR="008F4AEE">
        <w:rPr>
          <w:szCs w:val="16"/>
        </w:rPr>
        <w:t xml:space="preserve"> (New York: Human Rights Watch, 2020),</w:t>
      </w:r>
      <w:r w:rsidRPr="0021621A">
        <w:rPr>
          <w:szCs w:val="16"/>
        </w:rPr>
        <w:t> </w:t>
      </w:r>
      <w:r w:rsidR="00882545" w:rsidRPr="008F4AEE">
        <w:rPr>
          <w:szCs w:val="16"/>
        </w:rPr>
        <w:t>https://www.hrw.org/report/2020/06/04/better-make-yourself-invisible/family-violence-against-people-disabilities-mexico</w:t>
      </w:r>
      <w:r w:rsidRPr="0021621A">
        <w:rPr>
          <w:szCs w:val="16"/>
        </w:rPr>
        <w:t>.</w:t>
      </w:r>
    </w:p>
  </w:footnote>
  <w:footnote w:id="3">
    <w:p w14:paraId="43A59E5C" w14:textId="51716EB9" w:rsidR="00EF2EEA" w:rsidRPr="004C7F01" w:rsidRDefault="00EF2EEA">
      <w:pPr>
        <w:pStyle w:val="FootnoteText"/>
        <w:rPr>
          <w:lang w:val="es-ES"/>
        </w:rPr>
      </w:pPr>
      <w:r>
        <w:rPr>
          <w:rStyle w:val="FootnoteReference"/>
        </w:rPr>
        <w:footnoteRef/>
      </w:r>
      <w:r>
        <w:t xml:space="preserve"> </w:t>
      </w:r>
      <w:r w:rsidDel="00A637A5">
        <w:rPr>
          <w:lang w:val="en-GB"/>
        </w:rPr>
        <w:t xml:space="preserve">Human Rights Council, Report of the </w:t>
      </w:r>
      <w:r w:rsidR="00090DDB" w:rsidDel="00A637A5">
        <w:rPr>
          <w:lang w:val="en-GB"/>
        </w:rPr>
        <w:t>United Nations Commissioner for Human Rights</w:t>
      </w:r>
      <w:r w:rsidR="00562B5A" w:rsidDel="00A637A5">
        <w:rPr>
          <w:lang w:val="en-GB"/>
        </w:rPr>
        <w:t>, “</w:t>
      </w:r>
      <w:r w:rsidR="00090DDB" w:rsidDel="00A637A5">
        <w:t>Good practices of support systems enabling community inclusion of persons with disabilities</w:t>
      </w:r>
      <w:r w:rsidR="00562B5A" w:rsidDel="00A637A5">
        <w:t xml:space="preserve">,” </w:t>
      </w:r>
      <w:r w:rsidR="00C859E1" w:rsidDel="00A637A5">
        <w:t xml:space="preserve">A/HRC/55/34, December 26, 2023, </w:t>
      </w:r>
      <w:r w:rsidR="00AA0211" w:rsidRPr="00767DF3" w:rsidDel="00A637A5">
        <w:t>https://www.ohchr.org/en/documents/thematic-reports/ahrc5534-good-practices-support-systems-enabling-community-inclusion#:~:text=The%20report%2C%20which%20expands%20on,live%20independently%20in%20their%20communities(accessed</w:t>
      </w:r>
      <w:r w:rsidR="00AA0211" w:rsidDel="00A637A5">
        <w:t xml:space="preserve"> March 25, 2024), para. </w:t>
      </w:r>
      <w:r w:rsidR="00767DF3" w:rsidRPr="004C7F01" w:rsidDel="00A637A5">
        <w:rPr>
          <w:lang w:val="es-ES"/>
        </w:rPr>
        <w:t>8.</w:t>
      </w:r>
    </w:p>
  </w:footnote>
  <w:footnote w:id="4">
    <w:p w14:paraId="0EB25966" w14:textId="27A66391" w:rsidR="000B78FA" w:rsidRPr="0021621A" w:rsidRDefault="000B78FA" w:rsidP="000B78FA">
      <w:pPr>
        <w:rPr>
          <w:sz w:val="16"/>
          <w:szCs w:val="16"/>
          <w:lang w:val="es-419"/>
        </w:rPr>
      </w:pPr>
      <w:r w:rsidRPr="0021621A">
        <w:rPr>
          <w:sz w:val="16"/>
          <w:szCs w:val="16"/>
        </w:rPr>
        <w:footnoteRef/>
      </w:r>
      <w:r w:rsidRPr="0021621A">
        <w:rPr>
          <w:sz w:val="16"/>
          <w:szCs w:val="16"/>
          <w:lang w:val="es-419"/>
        </w:rPr>
        <w:t xml:space="preserve"> Alberto Vásquez Encalada</w:t>
      </w:r>
      <w:r w:rsidR="00A92F1C">
        <w:rPr>
          <w:sz w:val="16"/>
          <w:szCs w:val="16"/>
          <w:lang w:val="es-419"/>
        </w:rPr>
        <w:t xml:space="preserve"> et al.</w:t>
      </w:r>
      <w:r w:rsidRPr="0021621A">
        <w:rPr>
          <w:sz w:val="16"/>
          <w:szCs w:val="16"/>
          <w:lang w:val="es-419"/>
        </w:rPr>
        <w:t xml:space="preserve">, </w:t>
      </w:r>
      <w:r w:rsidR="00851888">
        <w:rPr>
          <w:sz w:val="16"/>
          <w:szCs w:val="16"/>
          <w:lang w:val="es-419"/>
        </w:rPr>
        <w:t>“</w:t>
      </w:r>
      <w:r w:rsidRPr="0021621A">
        <w:rPr>
          <w:sz w:val="16"/>
          <w:szCs w:val="16"/>
          <w:lang w:val="es-419"/>
        </w:rPr>
        <w:t>Autonomía: un desafío regional</w:t>
      </w:r>
      <w:r w:rsidR="00851888">
        <w:rPr>
          <w:sz w:val="16"/>
          <w:szCs w:val="16"/>
          <w:lang w:val="es-419"/>
        </w:rPr>
        <w:t xml:space="preserve"> -</w:t>
      </w:r>
      <w:r w:rsidRPr="0021621A">
        <w:rPr>
          <w:sz w:val="16"/>
          <w:szCs w:val="16"/>
          <w:lang w:val="es-419"/>
        </w:rPr>
        <w:t xml:space="preserve"> Construyendo sistemas de apoyo para la vida de las personas con discapacidad en América Latina y el Caribe</w:t>
      </w:r>
      <w:r w:rsidR="00851888">
        <w:rPr>
          <w:sz w:val="16"/>
          <w:szCs w:val="16"/>
          <w:lang w:val="es-419"/>
        </w:rPr>
        <w:t>,”</w:t>
      </w:r>
      <w:r w:rsidR="00A92F1C">
        <w:rPr>
          <w:sz w:val="16"/>
          <w:szCs w:val="16"/>
          <w:lang w:val="es-419"/>
        </w:rPr>
        <w:t xml:space="preserve"> 2023,</w:t>
      </w:r>
      <w:r w:rsidRPr="0021621A">
        <w:rPr>
          <w:sz w:val="16"/>
          <w:szCs w:val="16"/>
          <w:lang w:val="es-419"/>
        </w:rPr>
        <w:t xml:space="preserve"> http://scioteca.caf.com/bitstream/handle/123456789/2048/19%20May%20Construyendo%20sistemas%20de%20apoyos%20y%20cuidados%20CAF-20230614.pdf?sequence=6&amp;isAllowed=y</w:t>
      </w:r>
      <w:r w:rsidR="00A92F1C">
        <w:rPr>
          <w:sz w:val="16"/>
          <w:szCs w:val="16"/>
          <w:lang w:val="es-419"/>
        </w:rPr>
        <w:t>.</w:t>
      </w:r>
    </w:p>
  </w:footnote>
  <w:footnote w:id="5">
    <w:p w14:paraId="3E612172" w14:textId="7C4F98BC" w:rsidR="000F5674" w:rsidRPr="0021621A" w:rsidRDefault="000F5674" w:rsidP="000F5674">
      <w:pPr>
        <w:pStyle w:val="FootnoteText"/>
        <w:spacing w:after="0"/>
        <w:rPr>
          <w:szCs w:val="16"/>
        </w:rPr>
      </w:pPr>
      <w:r w:rsidRPr="0021621A">
        <w:rPr>
          <w:rStyle w:val="FootnoteReference"/>
          <w:rFonts w:ascii="MetaPro-Norm" w:hAnsi="MetaPro-Norm"/>
          <w:sz w:val="16"/>
          <w:szCs w:val="16"/>
        </w:rPr>
        <w:footnoteRef/>
      </w:r>
      <w:r w:rsidRPr="0021621A">
        <w:rPr>
          <w:szCs w:val="16"/>
        </w:rPr>
        <w:t xml:space="preserve"> </w:t>
      </w:r>
      <w:r w:rsidR="001D76DA">
        <w:t>International Covenant on Economic, Social and Cultural Rights (ICESCR), adopted December 16, 1966, G.A. Res. 2200A (XXI), 21 U.N. GAOR Supp. (No. 16) at 49, U.N. Doc. A/6316 (1966), 993 U.N.T.S. 3, entered into force January 3, 1976,</w:t>
      </w:r>
      <w:r w:rsidR="00EF49B4">
        <w:t xml:space="preserve"> </w:t>
      </w:r>
      <w:r w:rsidR="00D62EC6">
        <w:rPr>
          <w:szCs w:val="16"/>
        </w:rPr>
        <w:t xml:space="preserve">ratified by South Africa on </w:t>
      </w:r>
      <w:r w:rsidR="00CC260B">
        <w:rPr>
          <w:szCs w:val="16"/>
        </w:rPr>
        <w:t>January 12, 2015,</w:t>
      </w:r>
      <w:r w:rsidRPr="0021621A">
        <w:rPr>
          <w:szCs w:val="16"/>
        </w:rPr>
        <w:t xml:space="preserve"> art. 11</w:t>
      </w:r>
      <w:r w:rsidR="00F926C6">
        <w:rPr>
          <w:szCs w:val="16"/>
        </w:rPr>
        <w:t xml:space="preserve">. </w:t>
      </w:r>
      <w:r w:rsidRPr="0021621A">
        <w:rPr>
          <w:szCs w:val="16"/>
        </w:rPr>
        <w:t>See also Universal Declaration of Human Rights (UDHR), adopted December 10, 1948, G.A. Res. 217A(III), UN Doc. A/810 at 71 (1948), ratified by South Africa January 12, 2015</w:t>
      </w:r>
      <w:r w:rsidR="00EF49B4">
        <w:rPr>
          <w:szCs w:val="16"/>
        </w:rPr>
        <w:t xml:space="preserve">, </w:t>
      </w:r>
      <w:r w:rsidR="00EF49B4" w:rsidRPr="0021621A">
        <w:rPr>
          <w:szCs w:val="16"/>
        </w:rPr>
        <w:t>Preamble and art. 25</w:t>
      </w:r>
      <w:r w:rsidR="00EF49B4">
        <w:rPr>
          <w:szCs w:val="16"/>
        </w:rPr>
        <w:t>.</w:t>
      </w:r>
    </w:p>
  </w:footnote>
  <w:footnote w:id="6">
    <w:p w14:paraId="2F4CEBA8" w14:textId="77777777" w:rsidR="000F5674" w:rsidRPr="0021621A" w:rsidRDefault="000F5674" w:rsidP="000F5674">
      <w:pPr>
        <w:pStyle w:val="FootnoteText"/>
        <w:rPr>
          <w:szCs w:val="16"/>
        </w:rPr>
      </w:pPr>
      <w:r w:rsidRPr="0021621A">
        <w:rPr>
          <w:rStyle w:val="FootnoteReference"/>
          <w:rFonts w:ascii="MetaPro-Norm" w:hAnsi="MetaPro-Norm"/>
          <w:sz w:val="16"/>
          <w:szCs w:val="16"/>
        </w:rPr>
        <w:footnoteRef/>
      </w:r>
      <w:r w:rsidRPr="0021621A">
        <w:rPr>
          <w:szCs w:val="16"/>
        </w:rPr>
        <w:t xml:space="preserve"> Convention on the Rights of Persons with Disabilities (CRPD), adopted December 13, 2006, G.A. Res. 61/106, Annex I, UN GAOR, 61st Sess., Supp. (No. 49) at 65, UN Doc. A/61/49 (2006), entered into force May 3, 2008, art. 19, ratified by South Africa November 30, 2017.</w:t>
      </w:r>
    </w:p>
  </w:footnote>
  <w:footnote w:id="7">
    <w:p w14:paraId="34F94C52" w14:textId="77777777" w:rsidR="000F5674" w:rsidRPr="0021621A" w:rsidRDefault="000F5674" w:rsidP="000F5674">
      <w:pPr>
        <w:pStyle w:val="FootnoteText"/>
        <w:rPr>
          <w:szCs w:val="16"/>
        </w:rPr>
      </w:pPr>
      <w:r w:rsidRPr="0021621A">
        <w:rPr>
          <w:rStyle w:val="FootnoteReference"/>
          <w:rFonts w:ascii="MetaPro-Norm" w:hAnsi="MetaPro-Norm"/>
          <w:sz w:val="16"/>
          <w:szCs w:val="16"/>
        </w:rPr>
        <w:footnoteRef/>
      </w:r>
      <w:r w:rsidRPr="0021621A">
        <w:rPr>
          <w:szCs w:val="16"/>
        </w:rPr>
        <w:t xml:space="preserve"> African [Banjul] Charter on Human and Peoples’ Rights, adopted June 27, 1981, OAU Doc. CAB/LEG/67/3 rev. 5, 21 I.L.M. 58 (1982), entered into force October 21, 1986, ratified by South Africa July 9, 1996, art. 18. </w:t>
      </w:r>
    </w:p>
  </w:footnote>
  <w:footnote w:id="8">
    <w:p w14:paraId="5AF1B9C8" w14:textId="77777777" w:rsidR="000F5674" w:rsidRPr="0021621A" w:rsidRDefault="000F5674" w:rsidP="000F5674">
      <w:pPr>
        <w:pStyle w:val="FootnoteText"/>
        <w:rPr>
          <w:szCs w:val="16"/>
        </w:rPr>
      </w:pPr>
      <w:r w:rsidRPr="0021621A">
        <w:rPr>
          <w:rStyle w:val="FootnoteReference"/>
          <w:rFonts w:ascii="MetaPro-Norm" w:hAnsi="MetaPro-Norm"/>
          <w:sz w:val="16"/>
          <w:szCs w:val="16"/>
        </w:rPr>
        <w:footnoteRef/>
      </w:r>
      <w:r w:rsidRPr="0021621A">
        <w:rPr>
          <w:szCs w:val="16"/>
        </w:rPr>
        <w:t xml:space="preserve"> Protocol to the African Charter on Human and Peoples' Rights on the Rights of Women in Africa, adopted by the 2nd Ordinary Session of the Assembly of the Union, Maputo, CAB/LEG/66.6 (Sept. 13, 2000); reprinted in 1 Afr. Hum. </w:t>
      </w:r>
      <w:proofErr w:type="spellStart"/>
      <w:r w:rsidRPr="0021621A">
        <w:rPr>
          <w:szCs w:val="16"/>
        </w:rPr>
        <w:t>Rts</w:t>
      </w:r>
      <w:proofErr w:type="spellEnd"/>
      <w:r w:rsidRPr="0021621A">
        <w:rPr>
          <w:szCs w:val="16"/>
        </w:rPr>
        <w:t>. L.J. 40, entered into force Nov. 25, 2005, ratified by South Africa December 17, 2004, art. 22.</w:t>
      </w:r>
    </w:p>
  </w:footnote>
  <w:footnote w:id="9">
    <w:p w14:paraId="0A5A13E4" w14:textId="3554A976" w:rsidR="00E4200C" w:rsidRPr="0021621A" w:rsidRDefault="00E4200C" w:rsidP="00E4200C">
      <w:pPr>
        <w:pStyle w:val="FootnoteText"/>
        <w:rPr>
          <w:szCs w:val="16"/>
        </w:rPr>
      </w:pPr>
      <w:r w:rsidRPr="0021621A">
        <w:rPr>
          <w:rStyle w:val="FootnoteReference"/>
          <w:rFonts w:ascii="MetaPro-Norm" w:hAnsi="MetaPro-Norm"/>
          <w:sz w:val="16"/>
          <w:szCs w:val="16"/>
        </w:rPr>
        <w:footnoteRef/>
      </w:r>
      <w:r w:rsidRPr="0021621A">
        <w:rPr>
          <w:szCs w:val="16"/>
        </w:rPr>
        <w:t xml:space="preserve"> </w:t>
      </w:r>
      <w:r w:rsidR="00C254EC" w:rsidRPr="0021621A">
        <w:rPr>
          <w:szCs w:val="16"/>
        </w:rPr>
        <w:t xml:space="preserve">We refer to the main racial groups recognized by the South African government, which we write as: black African, </w:t>
      </w:r>
      <w:proofErr w:type="spellStart"/>
      <w:r w:rsidR="00C254EC" w:rsidRPr="0021621A">
        <w:rPr>
          <w:szCs w:val="16"/>
        </w:rPr>
        <w:t>coloured</w:t>
      </w:r>
      <w:proofErr w:type="spellEnd"/>
      <w:r w:rsidR="00C254EC" w:rsidRPr="0021621A">
        <w:rPr>
          <w:szCs w:val="16"/>
        </w:rPr>
        <w:t xml:space="preserve"> (a term that refers to Indigenous people and people deemed to be of mixed race in South Africa), Indian/Asian, and white. These main racial categories were the foundation of all apartheid laws and determined who had access and who did not. The categories were hierarchical, with black African at the bottom. They are still used by the South African government</w:t>
      </w:r>
      <w:r w:rsidR="002B6EB1" w:rsidRPr="0021621A">
        <w:rPr>
          <w:szCs w:val="16"/>
        </w:rPr>
        <w:t>.</w:t>
      </w:r>
      <w:r w:rsidR="00C254EC" w:rsidRPr="0021621A">
        <w:rPr>
          <w:szCs w:val="16"/>
        </w:rPr>
        <w:t xml:space="preserve"> </w:t>
      </w:r>
      <w:r w:rsidRPr="0021621A">
        <w:rPr>
          <w:szCs w:val="16"/>
        </w:rPr>
        <w:t>Statistics South Africa, “</w:t>
      </w:r>
      <w:proofErr w:type="spellStart"/>
      <w:r w:rsidRPr="0021621A">
        <w:rPr>
          <w:szCs w:val="16"/>
        </w:rPr>
        <w:t>Marginalised</w:t>
      </w:r>
      <w:proofErr w:type="spellEnd"/>
      <w:r w:rsidRPr="0021621A">
        <w:rPr>
          <w:szCs w:val="16"/>
        </w:rPr>
        <w:t xml:space="preserve"> Groups Indicator Report, 2020,” http://www.statssa.gov.za/publications/03-19-05/03-19-052020.pdf, Table 4.3.3, p. 70.</w:t>
      </w:r>
    </w:p>
  </w:footnote>
  <w:footnote w:id="10">
    <w:p w14:paraId="4E4476A3" w14:textId="45432758" w:rsidR="002234DE" w:rsidRPr="0021621A" w:rsidRDefault="002234DE" w:rsidP="002234DE">
      <w:pPr>
        <w:pStyle w:val="FootnoteText"/>
        <w:rPr>
          <w:szCs w:val="16"/>
        </w:rPr>
      </w:pPr>
      <w:r w:rsidRPr="0021621A">
        <w:rPr>
          <w:rStyle w:val="FootnoteReference"/>
          <w:rFonts w:ascii="MetaPro-Norm" w:hAnsi="MetaPro-Norm"/>
          <w:sz w:val="16"/>
          <w:szCs w:val="16"/>
        </w:rPr>
        <w:footnoteRef/>
      </w:r>
      <w:r w:rsidRPr="0021621A">
        <w:rPr>
          <w:szCs w:val="16"/>
        </w:rPr>
        <w:t xml:space="preserve"> Older Persons Act, </w:t>
      </w:r>
      <w:r w:rsidR="00E27906">
        <w:rPr>
          <w:szCs w:val="16"/>
        </w:rPr>
        <w:t>2006</w:t>
      </w:r>
      <w:r w:rsidR="00EE6090">
        <w:rPr>
          <w:szCs w:val="16"/>
        </w:rPr>
        <w:t>, Act No. 13, 2006,</w:t>
      </w:r>
      <w:r w:rsidR="00B03922">
        <w:rPr>
          <w:szCs w:val="16"/>
        </w:rPr>
        <w:t xml:space="preserve"> </w:t>
      </w:r>
      <w:r w:rsidR="00B03922" w:rsidRPr="00B03922">
        <w:rPr>
          <w:szCs w:val="16"/>
        </w:rPr>
        <w:t>https://www.gov.za/sites/default/files/gcis_document/201409/a13-062.pdf</w:t>
      </w:r>
      <w:r w:rsidRPr="0021621A">
        <w:rPr>
          <w:szCs w:val="16"/>
        </w:rPr>
        <w:t>, Section 7 (e).</w:t>
      </w:r>
    </w:p>
  </w:footnote>
  <w:footnote w:id="11">
    <w:p w14:paraId="2BD47F2F" w14:textId="34F35DD4" w:rsidR="003B79F2" w:rsidRPr="0021621A" w:rsidRDefault="003B79F2">
      <w:pPr>
        <w:pStyle w:val="FootnoteText"/>
        <w:rPr>
          <w:szCs w:val="16"/>
        </w:rPr>
      </w:pPr>
      <w:r w:rsidRPr="0021621A">
        <w:rPr>
          <w:rStyle w:val="FootnoteReference"/>
          <w:rFonts w:ascii="MetaPro-Norm" w:hAnsi="MetaPro-Norm"/>
          <w:sz w:val="16"/>
          <w:szCs w:val="16"/>
        </w:rPr>
        <w:footnoteRef/>
      </w:r>
      <w:r w:rsidRPr="0021621A">
        <w:rPr>
          <w:szCs w:val="16"/>
        </w:rPr>
        <w:t xml:space="preserve"> Older Persons Act, </w:t>
      </w:r>
      <w:r w:rsidR="006931D9" w:rsidRPr="0021621A">
        <w:rPr>
          <w:szCs w:val="16"/>
        </w:rPr>
        <w:t>Section 10 (c)</w:t>
      </w:r>
      <w:r w:rsidRPr="0021621A">
        <w:rPr>
          <w:szCs w:val="16"/>
        </w:rPr>
        <w:t>.</w:t>
      </w:r>
    </w:p>
  </w:footnote>
  <w:footnote w:id="12">
    <w:p w14:paraId="33882940" w14:textId="77777777" w:rsidR="002234DE" w:rsidRPr="0021621A" w:rsidRDefault="002234DE" w:rsidP="002234DE">
      <w:pPr>
        <w:pStyle w:val="FootnoteText"/>
        <w:rPr>
          <w:szCs w:val="16"/>
        </w:rPr>
      </w:pPr>
      <w:r w:rsidRPr="0021621A">
        <w:rPr>
          <w:rStyle w:val="FootnoteReference"/>
          <w:rFonts w:ascii="MetaPro-Norm" w:hAnsi="MetaPro-Norm"/>
          <w:sz w:val="16"/>
          <w:szCs w:val="16"/>
        </w:rPr>
        <w:footnoteRef/>
      </w:r>
      <w:r w:rsidRPr="0021621A">
        <w:rPr>
          <w:szCs w:val="16"/>
        </w:rPr>
        <w:t xml:space="preserve"> Ibid., Section 2 (c). </w:t>
      </w:r>
    </w:p>
  </w:footnote>
  <w:footnote w:id="13">
    <w:p w14:paraId="63766257" w14:textId="77777777" w:rsidR="006C2109" w:rsidRPr="0021621A" w:rsidRDefault="006C2109" w:rsidP="006C2109">
      <w:pPr>
        <w:pStyle w:val="FootnoteText"/>
        <w:rPr>
          <w:szCs w:val="16"/>
        </w:rPr>
      </w:pPr>
      <w:r w:rsidRPr="0021621A">
        <w:rPr>
          <w:rStyle w:val="FootnoteReference"/>
          <w:rFonts w:ascii="MetaPro-Norm" w:hAnsi="MetaPro-Norm"/>
          <w:sz w:val="16"/>
          <w:szCs w:val="16"/>
        </w:rPr>
        <w:footnoteRef/>
      </w:r>
      <w:r w:rsidRPr="0021621A">
        <w:rPr>
          <w:szCs w:val="16"/>
        </w:rPr>
        <w:t xml:space="preserve"> Older Persons Act, Section 11 (2).</w:t>
      </w:r>
    </w:p>
  </w:footnote>
  <w:footnote w:id="14">
    <w:p w14:paraId="6137266D" w14:textId="77777777" w:rsidR="008726DF" w:rsidRPr="0021621A" w:rsidRDefault="008726DF" w:rsidP="008726DF">
      <w:pPr>
        <w:pStyle w:val="FootnoteText"/>
        <w:rPr>
          <w:szCs w:val="16"/>
        </w:rPr>
      </w:pPr>
      <w:r w:rsidRPr="0021621A">
        <w:rPr>
          <w:rStyle w:val="FootnoteReference"/>
          <w:rFonts w:ascii="MetaPro-Norm" w:hAnsi="MetaPro-Norm"/>
          <w:sz w:val="16"/>
          <w:szCs w:val="16"/>
        </w:rPr>
        <w:footnoteRef/>
      </w:r>
      <w:r w:rsidRPr="0021621A">
        <w:rPr>
          <w:szCs w:val="16"/>
        </w:rPr>
        <w:t xml:space="preserve"> A “frail older person” is defined in the Older Persons Act as “an older person in need of 24-hour care due to a</w:t>
      </w:r>
    </w:p>
    <w:p w14:paraId="1BCA1FAE" w14:textId="77777777" w:rsidR="008726DF" w:rsidRPr="0021621A" w:rsidRDefault="008726DF" w:rsidP="008726DF">
      <w:pPr>
        <w:pStyle w:val="FootnoteText"/>
        <w:rPr>
          <w:szCs w:val="16"/>
        </w:rPr>
      </w:pPr>
      <w:r w:rsidRPr="0021621A">
        <w:rPr>
          <w:szCs w:val="16"/>
        </w:rPr>
        <w:t xml:space="preserve">physical or mental condition which renders him or her incapable of caring for himself or herself.” Older Persons Act, Section 1. </w:t>
      </w:r>
    </w:p>
  </w:footnote>
  <w:footnote w:id="15">
    <w:p w14:paraId="16AA6ADC" w14:textId="77777777" w:rsidR="006C2109" w:rsidRPr="0021621A" w:rsidRDefault="006C2109" w:rsidP="006C2109">
      <w:pPr>
        <w:pStyle w:val="FootnoteText"/>
        <w:rPr>
          <w:szCs w:val="16"/>
        </w:rPr>
      </w:pPr>
      <w:r w:rsidRPr="0021621A">
        <w:rPr>
          <w:rStyle w:val="FootnoteReference"/>
          <w:rFonts w:ascii="MetaPro-Norm" w:hAnsi="MetaPro-Norm"/>
          <w:sz w:val="16"/>
          <w:szCs w:val="16"/>
        </w:rPr>
        <w:footnoteRef/>
      </w:r>
      <w:r w:rsidRPr="0021621A">
        <w:rPr>
          <w:szCs w:val="16"/>
        </w:rPr>
        <w:t xml:space="preserve"> Older Persons Act, Section 11 (3).</w:t>
      </w:r>
    </w:p>
  </w:footnote>
  <w:footnote w:id="16">
    <w:p w14:paraId="594512D6" w14:textId="77777777" w:rsidR="000D2537" w:rsidRPr="0021621A" w:rsidRDefault="000D2537" w:rsidP="000D2537">
      <w:pPr>
        <w:pStyle w:val="FootnoteText"/>
        <w:rPr>
          <w:szCs w:val="16"/>
        </w:rPr>
      </w:pPr>
      <w:r w:rsidRPr="0021621A">
        <w:rPr>
          <w:rStyle w:val="FootnoteReference"/>
          <w:rFonts w:ascii="MetaPro-Norm" w:hAnsi="MetaPro-Norm"/>
          <w:sz w:val="16"/>
          <w:szCs w:val="16"/>
        </w:rPr>
        <w:footnoteRef/>
      </w:r>
      <w:r w:rsidRPr="0021621A">
        <w:rPr>
          <w:szCs w:val="16"/>
        </w:rPr>
        <w:t xml:space="preserve"> National Treasury, “1988 Medium Term Policy Statement,” undated, http://www.treasury.gov.za/documents/mtbps/1998/5.pdf (accessed November 10, 2022), p. 58.</w:t>
      </w:r>
    </w:p>
  </w:footnote>
  <w:footnote w:id="17">
    <w:p w14:paraId="6F639306" w14:textId="77777777" w:rsidR="00135E2A" w:rsidRPr="0021621A" w:rsidRDefault="00135E2A" w:rsidP="00135E2A">
      <w:pPr>
        <w:pStyle w:val="FootnoteText"/>
        <w:rPr>
          <w:szCs w:val="16"/>
        </w:rPr>
      </w:pPr>
      <w:r w:rsidRPr="0021621A">
        <w:rPr>
          <w:rStyle w:val="FootnoteReference"/>
          <w:rFonts w:ascii="MetaPro-Norm" w:hAnsi="MetaPro-Norm"/>
          <w:sz w:val="16"/>
          <w:szCs w:val="16"/>
        </w:rPr>
        <w:footnoteRef/>
      </w:r>
      <w:r w:rsidRPr="0021621A">
        <w:rPr>
          <w:szCs w:val="16"/>
        </w:rPr>
        <w:t xml:space="preserve"> Southern African Legal Information Institute, “Regulations Regarding Older Persons,” April 1, 2010, http://www.saflii.org/za/legis/consol_reg/rrop352/ (accessed November 25, 2022).</w:t>
      </w:r>
    </w:p>
  </w:footnote>
  <w:footnote w:id="18">
    <w:p w14:paraId="7E6966FD" w14:textId="6A0A0F91" w:rsidR="00E46DC1" w:rsidRPr="0021621A" w:rsidRDefault="00E46DC1" w:rsidP="00E9365D">
      <w:pPr>
        <w:pStyle w:val="FootnoteText"/>
        <w:rPr>
          <w:szCs w:val="16"/>
        </w:rPr>
      </w:pPr>
      <w:r w:rsidRPr="0021621A">
        <w:rPr>
          <w:rStyle w:val="FootnoteReference"/>
          <w:rFonts w:ascii="MetaPro-Norm" w:hAnsi="MetaPro-Norm"/>
          <w:sz w:val="16"/>
          <w:szCs w:val="16"/>
        </w:rPr>
        <w:footnoteRef/>
      </w:r>
      <w:r w:rsidRPr="0021621A">
        <w:rPr>
          <w:szCs w:val="16"/>
        </w:rPr>
        <w:t xml:space="preserve"> Human Rights Watch, </w:t>
      </w:r>
      <w:r w:rsidR="00E9365D" w:rsidRPr="0021621A">
        <w:rPr>
          <w:i/>
          <w:iCs/>
          <w:szCs w:val="16"/>
        </w:rPr>
        <w:t xml:space="preserve">“This Government is Failing Me Too:” South Africa Compounds Legacy of Apartheid for Older </w:t>
      </w:r>
      <w:r w:rsidR="00534979" w:rsidRPr="0021621A">
        <w:rPr>
          <w:i/>
          <w:iCs/>
          <w:szCs w:val="16"/>
        </w:rPr>
        <w:t>Persons</w:t>
      </w:r>
      <w:r w:rsidR="00A96F1C" w:rsidRPr="0021621A">
        <w:rPr>
          <w:szCs w:val="16"/>
        </w:rPr>
        <w:t xml:space="preserve"> (New York: Human Rights Watch, 2023), </w:t>
      </w:r>
      <w:r w:rsidR="008F74C3" w:rsidRPr="0021621A">
        <w:rPr>
          <w:szCs w:val="16"/>
        </w:rPr>
        <w:t>https://www.hrw.org/report/2023/06/27/government-failing-me-too/south-africa-compounds-legacy-apartheid-older-</w:t>
      </w:r>
      <w:r w:rsidR="00534979" w:rsidRPr="0021621A">
        <w:rPr>
          <w:szCs w:val="16"/>
        </w:rPr>
        <w:t>persons</w:t>
      </w:r>
      <w:r w:rsidR="00A96F1C" w:rsidRPr="0021621A">
        <w:rPr>
          <w:szCs w:val="16"/>
        </w:rPr>
        <w:t>.</w:t>
      </w:r>
    </w:p>
  </w:footnote>
  <w:footnote w:id="19">
    <w:p w14:paraId="7A75D512" w14:textId="3FBA2FE7" w:rsidR="00C60BF7" w:rsidRPr="005145A9" w:rsidRDefault="00C60BF7">
      <w:pPr>
        <w:pStyle w:val="FootnoteText"/>
        <w:rPr>
          <w:szCs w:val="16"/>
        </w:rPr>
      </w:pPr>
      <w:r w:rsidRPr="005145A9">
        <w:rPr>
          <w:rStyle w:val="FootnoteReference"/>
          <w:rFonts w:ascii="MetaPro-Norm" w:hAnsi="MetaPro-Norm"/>
          <w:sz w:val="16"/>
          <w:szCs w:val="16"/>
        </w:rPr>
        <w:footnoteRef/>
      </w:r>
      <w:r w:rsidRPr="005145A9">
        <w:rPr>
          <w:szCs w:val="16"/>
        </w:rPr>
        <w:t xml:space="preserve"> Statistics South Africa, “</w:t>
      </w:r>
      <w:proofErr w:type="spellStart"/>
      <w:r w:rsidRPr="005145A9">
        <w:rPr>
          <w:szCs w:val="16"/>
        </w:rPr>
        <w:t>Marginalised</w:t>
      </w:r>
      <w:proofErr w:type="spellEnd"/>
      <w:r w:rsidRPr="005145A9">
        <w:rPr>
          <w:szCs w:val="16"/>
        </w:rPr>
        <w:t xml:space="preserve"> Groups Indicator Report, 2020,” http://www.statssa.gov.za/publications/03-19-05/03-19-052020.pdf, Table 5.1.4, p. 85.</w:t>
      </w:r>
    </w:p>
  </w:footnote>
  <w:footnote w:id="20">
    <w:p w14:paraId="6A777AF3" w14:textId="03BA5BF7" w:rsidR="00E57D85" w:rsidRPr="005145A9" w:rsidRDefault="00E57D85">
      <w:pPr>
        <w:pStyle w:val="FootnoteText"/>
        <w:rPr>
          <w:szCs w:val="16"/>
        </w:rPr>
      </w:pPr>
      <w:r w:rsidRPr="005145A9">
        <w:rPr>
          <w:rStyle w:val="FootnoteReference"/>
          <w:rFonts w:ascii="MetaPro-Norm" w:hAnsi="MetaPro-Norm"/>
          <w:sz w:val="16"/>
          <w:szCs w:val="16"/>
        </w:rPr>
        <w:footnoteRef/>
      </w:r>
      <w:r w:rsidRPr="005145A9">
        <w:rPr>
          <w:szCs w:val="16"/>
        </w:rPr>
        <w:t xml:space="preserve"> Ibid., Table 4.4.5, p. 76.</w:t>
      </w:r>
    </w:p>
  </w:footnote>
  <w:footnote w:id="21">
    <w:p w14:paraId="30BE0833" w14:textId="25FE9737" w:rsidR="001F270B" w:rsidRPr="0021621A" w:rsidRDefault="001F270B">
      <w:pPr>
        <w:pStyle w:val="FootnoteText"/>
        <w:rPr>
          <w:szCs w:val="16"/>
        </w:rPr>
      </w:pPr>
      <w:r w:rsidRPr="005145A9">
        <w:rPr>
          <w:rStyle w:val="FootnoteReference"/>
          <w:rFonts w:ascii="MetaPro-Norm" w:hAnsi="MetaPro-Norm"/>
          <w:sz w:val="16"/>
          <w:szCs w:val="16"/>
        </w:rPr>
        <w:footnoteRef/>
      </w:r>
      <w:r w:rsidRPr="005145A9">
        <w:rPr>
          <w:szCs w:val="16"/>
        </w:rPr>
        <w:t xml:space="preserve"> Department of Social Development, “Older Persons Services in South Africa,” Presentation to the COPSAN Meeting, </w:t>
      </w:r>
      <w:r w:rsidR="008D182B">
        <w:t xml:space="preserve">March 25, 2021, </w:t>
      </w:r>
      <w:r w:rsidRPr="005145A9">
        <w:rPr>
          <w:szCs w:val="16"/>
        </w:rPr>
        <w:t>Slide 10</w:t>
      </w:r>
      <w:r w:rsidR="00794653" w:rsidRPr="005145A9">
        <w:rPr>
          <w:szCs w:val="16"/>
        </w:rPr>
        <w:t xml:space="preserve">; </w:t>
      </w:r>
      <w:r w:rsidR="003009C9" w:rsidRPr="005145A9">
        <w:rPr>
          <w:szCs w:val="16"/>
        </w:rPr>
        <w:t>National Treasury, “2022 Estimates of National Expenditure,” http://www.treasury.gov.za/documents/national%20budget/2022/ene/FullENE.pdf, p. 340.</w:t>
      </w:r>
    </w:p>
  </w:footnote>
  <w:footnote w:id="22">
    <w:p w14:paraId="252054A9" w14:textId="18BF47F8" w:rsidR="00767600" w:rsidRPr="0021621A" w:rsidRDefault="00767600">
      <w:pPr>
        <w:pStyle w:val="FootnoteText"/>
        <w:rPr>
          <w:szCs w:val="16"/>
        </w:rPr>
      </w:pPr>
      <w:r w:rsidRPr="0021621A">
        <w:rPr>
          <w:rStyle w:val="FootnoteReference"/>
          <w:rFonts w:ascii="MetaPro-Norm" w:hAnsi="MetaPro-Norm"/>
          <w:sz w:val="16"/>
          <w:szCs w:val="16"/>
        </w:rPr>
        <w:footnoteRef/>
      </w:r>
      <w:r w:rsidRPr="0021621A">
        <w:rPr>
          <w:szCs w:val="16"/>
        </w:rPr>
        <w:t xml:space="preserve"> Western Cape Provincial Treasury, “Western Cape Province Estimates of Provincial Revenue and Expenditure 2023/24,” March 14, 2023, https://www.westerncape.gov.za/provincial-treasury/files/atoms/files/Western%20Cape%20Estimates%20of%20Provincial%20Revenue%20and%20Expenditure%202023.pdf (accessed April 19, 2023), Table 9.2, p. 311.</w:t>
      </w:r>
    </w:p>
  </w:footnote>
  <w:footnote w:id="23">
    <w:p w14:paraId="34DF3967" w14:textId="2FB8BF49" w:rsidR="00DD672C" w:rsidRPr="0021621A" w:rsidRDefault="00DD672C">
      <w:pPr>
        <w:pStyle w:val="FootnoteText"/>
        <w:rPr>
          <w:szCs w:val="16"/>
        </w:rPr>
      </w:pPr>
      <w:r w:rsidRPr="0021621A">
        <w:rPr>
          <w:rStyle w:val="FootnoteReference"/>
          <w:rFonts w:ascii="MetaPro-Norm" w:hAnsi="MetaPro-Norm"/>
          <w:sz w:val="16"/>
          <w:szCs w:val="16"/>
        </w:rPr>
        <w:footnoteRef/>
      </w:r>
      <w:r w:rsidRPr="0021621A">
        <w:rPr>
          <w:szCs w:val="16"/>
        </w:rPr>
        <w:t xml:space="preserve"> Gauteng Provincial Government, “Gauteng Province Estimates of Provincial Revenue and Expenditure 2023,” March 9, 2023, https://www.gauteng.gov.za/Departments/DepartmentPublicationDetails/%7Bef48525d-21b5-41d8-ae91-4a4778a9acef%7D?departmentId=CPM-001013 (accessed April 19, 2023), Table 6.8, p. 239.</w:t>
      </w:r>
    </w:p>
  </w:footnote>
  <w:footnote w:id="24">
    <w:p w14:paraId="1B862275" w14:textId="61F8764D" w:rsidR="00143EE0" w:rsidRPr="0021621A" w:rsidRDefault="00143EE0">
      <w:pPr>
        <w:pStyle w:val="FootnoteText"/>
        <w:rPr>
          <w:szCs w:val="16"/>
        </w:rPr>
      </w:pPr>
      <w:r w:rsidRPr="0021621A">
        <w:rPr>
          <w:rStyle w:val="FootnoteReference"/>
          <w:rFonts w:ascii="MetaPro-Norm" w:hAnsi="MetaPro-Norm"/>
          <w:sz w:val="16"/>
          <w:szCs w:val="16"/>
        </w:rPr>
        <w:footnoteRef/>
      </w:r>
      <w:r w:rsidRPr="0021621A">
        <w:rPr>
          <w:szCs w:val="16"/>
        </w:rPr>
        <w:t xml:space="preserve"> Eastern Cape Provincial Treasury, “Estimates of Provincial Revenue and Expenditure 2023/24,” undated, https://www.ectreasury.gov.za/modules/content/files/Documents/Annual%20Reports/Eastern%20Cape%20Provincial%20Department%20Annual%20Reports/2023/Treasury%20Estimates%202023.pdf (accessed April 19, 2023), Table 13, p. 236.</w:t>
      </w:r>
    </w:p>
  </w:footnote>
  <w:footnote w:id="25">
    <w:p w14:paraId="47CE08DD" w14:textId="79A6698A" w:rsidR="00B138F8" w:rsidRPr="0021621A" w:rsidRDefault="00B138F8">
      <w:pPr>
        <w:pStyle w:val="FootnoteText"/>
        <w:rPr>
          <w:szCs w:val="16"/>
        </w:rPr>
      </w:pPr>
      <w:r w:rsidRPr="0021621A">
        <w:rPr>
          <w:rStyle w:val="FootnoteReference"/>
          <w:rFonts w:ascii="MetaPro-Norm" w:hAnsi="MetaPro-Norm"/>
          <w:sz w:val="16"/>
          <w:szCs w:val="16"/>
        </w:rPr>
        <w:footnoteRef/>
      </w:r>
      <w:r w:rsidRPr="0021621A">
        <w:rPr>
          <w:szCs w:val="16"/>
        </w:rPr>
        <w:t xml:space="preserve"> </w:t>
      </w:r>
      <w:r w:rsidR="00481916" w:rsidRPr="0021621A">
        <w:rPr>
          <w:szCs w:val="16"/>
        </w:rPr>
        <w:t>Ibid., Table 15, p. 237.</w:t>
      </w:r>
    </w:p>
  </w:footnote>
  <w:footnote w:id="26">
    <w:p w14:paraId="47331635" w14:textId="7C97D6F8" w:rsidR="008B29CF" w:rsidRPr="0021621A" w:rsidRDefault="008B29CF">
      <w:pPr>
        <w:pStyle w:val="FootnoteText"/>
        <w:rPr>
          <w:szCs w:val="16"/>
        </w:rPr>
      </w:pPr>
      <w:r w:rsidRPr="0021621A">
        <w:rPr>
          <w:rStyle w:val="FootnoteReference"/>
          <w:rFonts w:ascii="MetaPro-Norm" w:hAnsi="MetaPro-Norm"/>
          <w:sz w:val="16"/>
          <w:szCs w:val="16"/>
        </w:rPr>
        <w:footnoteRef/>
      </w:r>
      <w:r w:rsidRPr="0021621A">
        <w:rPr>
          <w:szCs w:val="16"/>
        </w:rPr>
        <w:t xml:space="preserve"> Human Rights Watch, </w:t>
      </w:r>
      <w:r w:rsidRPr="0021621A">
        <w:rPr>
          <w:i/>
          <w:iCs/>
          <w:szCs w:val="16"/>
        </w:rPr>
        <w:t xml:space="preserve">“This Government is Failing Me Too:” South Africa Compounds Legacy of Apartheid for Older </w:t>
      </w:r>
      <w:r w:rsidR="00534979" w:rsidRPr="0021621A">
        <w:rPr>
          <w:i/>
          <w:iCs/>
          <w:szCs w:val="16"/>
        </w:rPr>
        <w:t>Persons</w:t>
      </w:r>
      <w:r w:rsidR="00547C6E" w:rsidRPr="0021621A">
        <w:rPr>
          <w:szCs w:val="16"/>
        </w:rPr>
        <w:t xml:space="preserve">, pp. </w:t>
      </w:r>
      <w:r w:rsidR="000C35B2" w:rsidRPr="0021621A">
        <w:rPr>
          <w:szCs w:val="16"/>
        </w:rPr>
        <w:t xml:space="preserve">35 </w:t>
      </w:r>
      <w:r w:rsidR="00C2599B" w:rsidRPr="0021621A">
        <w:rPr>
          <w:szCs w:val="16"/>
        </w:rPr>
        <w:t>–</w:t>
      </w:r>
      <w:r w:rsidR="000C35B2" w:rsidRPr="0021621A">
        <w:rPr>
          <w:szCs w:val="16"/>
        </w:rPr>
        <w:t xml:space="preserve"> </w:t>
      </w:r>
      <w:r w:rsidR="00C2599B" w:rsidRPr="0021621A">
        <w:rPr>
          <w:szCs w:val="16"/>
        </w:rPr>
        <w:t xml:space="preserve">37. </w:t>
      </w:r>
    </w:p>
  </w:footnote>
  <w:footnote w:id="27">
    <w:p w14:paraId="22D3D4F5" w14:textId="77777777" w:rsidR="00B0749B" w:rsidRPr="0021621A" w:rsidRDefault="00B0749B" w:rsidP="00B0749B">
      <w:pPr>
        <w:pStyle w:val="FootnoteText"/>
        <w:rPr>
          <w:szCs w:val="16"/>
        </w:rPr>
      </w:pPr>
      <w:r w:rsidRPr="0021621A">
        <w:rPr>
          <w:rStyle w:val="FootnoteReference"/>
          <w:rFonts w:ascii="MetaPro-Norm" w:hAnsi="MetaPro-Norm"/>
          <w:sz w:val="16"/>
          <w:szCs w:val="16"/>
        </w:rPr>
        <w:footnoteRef/>
      </w:r>
      <w:r w:rsidRPr="0021621A">
        <w:rPr>
          <w:szCs w:val="16"/>
        </w:rPr>
        <w:t xml:space="preserve"> Letter from M. </w:t>
      </w:r>
      <w:proofErr w:type="spellStart"/>
      <w:r w:rsidRPr="0021621A">
        <w:rPr>
          <w:szCs w:val="16"/>
        </w:rPr>
        <w:t>Machemba</w:t>
      </w:r>
      <w:proofErr w:type="spellEnd"/>
      <w:r w:rsidRPr="0021621A">
        <w:rPr>
          <w:szCs w:val="16"/>
        </w:rPr>
        <w:t xml:space="preserve">, Head of Department, Eastern Cape Department of Social Development, to Chairperson of the </w:t>
      </w:r>
      <w:proofErr w:type="spellStart"/>
      <w:r w:rsidRPr="0021621A">
        <w:rPr>
          <w:szCs w:val="16"/>
        </w:rPr>
        <w:t>Dimbaza</w:t>
      </w:r>
      <w:proofErr w:type="spellEnd"/>
      <w:r w:rsidRPr="0021621A">
        <w:rPr>
          <w:szCs w:val="16"/>
        </w:rPr>
        <w:t xml:space="preserve"> Society for the Aged, May 4, 2022.</w:t>
      </w:r>
    </w:p>
  </w:footnote>
  <w:footnote w:id="28">
    <w:p w14:paraId="7331EF11" w14:textId="70C0ECE7" w:rsidR="00957A9F" w:rsidRPr="0021621A" w:rsidRDefault="00957A9F">
      <w:pPr>
        <w:pStyle w:val="FootnoteText"/>
        <w:rPr>
          <w:szCs w:val="16"/>
        </w:rPr>
      </w:pPr>
      <w:r w:rsidRPr="0021621A">
        <w:rPr>
          <w:rStyle w:val="FootnoteReference"/>
          <w:rFonts w:ascii="MetaPro-Norm" w:hAnsi="MetaPro-Norm"/>
          <w:sz w:val="16"/>
          <w:szCs w:val="16"/>
        </w:rPr>
        <w:footnoteRef/>
      </w:r>
      <w:r w:rsidRPr="0021621A">
        <w:rPr>
          <w:szCs w:val="16"/>
        </w:rPr>
        <w:t xml:space="preserve"> Older Persons Act, Section 11 (2) (g), (j).</w:t>
      </w:r>
    </w:p>
  </w:footnote>
  <w:footnote w:id="29">
    <w:p w14:paraId="0FF44C7D" w14:textId="77777777" w:rsidR="00487998" w:rsidRPr="0021621A" w:rsidRDefault="00487998" w:rsidP="00487998">
      <w:pPr>
        <w:pStyle w:val="FootnoteText"/>
        <w:rPr>
          <w:szCs w:val="16"/>
        </w:rPr>
      </w:pPr>
      <w:r w:rsidRPr="0021621A">
        <w:rPr>
          <w:rStyle w:val="FootnoteReference"/>
          <w:rFonts w:ascii="MetaPro-Norm" w:hAnsi="MetaPro-Norm"/>
          <w:sz w:val="16"/>
          <w:szCs w:val="16"/>
        </w:rPr>
        <w:footnoteRef/>
      </w:r>
      <w:r w:rsidRPr="0021621A">
        <w:rPr>
          <w:szCs w:val="16"/>
        </w:rPr>
        <w:t xml:space="preserve"> Elena Moore, “Family care for older persons in South Africa: heterogeneity of the carer’s experience,” </w:t>
      </w:r>
      <w:r w:rsidRPr="0021621A">
        <w:rPr>
          <w:i/>
          <w:iCs/>
          <w:szCs w:val="16"/>
        </w:rPr>
        <w:t>International Journal of Care and Caring</w:t>
      </w:r>
      <w:r w:rsidRPr="0021621A">
        <w:rPr>
          <w:szCs w:val="16"/>
        </w:rPr>
        <w:t xml:space="preserve"> 7 (2), 2023, </w:t>
      </w:r>
      <w:hyperlink r:id="rId1" w:history="1">
        <w:r w:rsidRPr="0021621A">
          <w:rPr>
            <w:rStyle w:val="Hyperlink"/>
            <w:color w:val="auto"/>
            <w:szCs w:val="16"/>
            <w:u w:val="none"/>
          </w:rPr>
          <w:t>https://doi.org/10.1332/239788221X16740630896657</w:t>
        </w:r>
      </w:hyperlink>
      <w:r w:rsidRPr="0021621A">
        <w:rPr>
          <w:szCs w:val="16"/>
        </w:rPr>
        <w:t xml:space="preserve"> (accessed May 28, 2023), p. 281.</w:t>
      </w:r>
    </w:p>
  </w:footnote>
  <w:footnote w:id="30">
    <w:p w14:paraId="0596F1F1" w14:textId="77777777" w:rsidR="002520D1" w:rsidRPr="0021621A" w:rsidRDefault="002520D1" w:rsidP="002520D1">
      <w:pPr>
        <w:pStyle w:val="FootnoteText"/>
        <w:rPr>
          <w:szCs w:val="16"/>
        </w:rPr>
      </w:pPr>
      <w:r w:rsidRPr="0021621A">
        <w:rPr>
          <w:rStyle w:val="FootnoteReference"/>
          <w:rFonts w:ascii="MetaPro-Norm" w:hAnsi="MetaPro-Norm"/>
          <w:sz w:val="16"/>
          <w:szCs w:val="16"/>
        </w:rPr>
        <w:footnoteRef/>
      </w:r>
      <w:r w:rsidRPr="0021621A">
        <w:rPr>
          <w:szCs w:val="16"/>
        </w:rPr>
        <w:t xml:space="preserve"> Democratic Alliance, “South Africa faces shocking shortage of thousands of social workers,” March 31, 2022, https://www.da.org.za/2022/03/south-africa-faces-shocking-shortage-of-thousands-of-social-workers (accessed November 17, 2022).</w:t>
      </w:r>
    </w:p>
  </w:footnote>
  <w:footnote w:id="31">
    <w:p w14:paraId="0ACC6DB1" w14:textId="77777777" w:rsidR="002520D1" w:rsidRPr="0021621A" w:rsidRDefault="002520D1" w:rsidP="002520D1">
      <w:pPr>
        <w:pStyle w:val="FootnoteText"/>
        <w:rPr>
          <w:szCs w:val="16"/>
        </w:rPr>
      </w:pPr>
      <w:r w:rsidRPr="0021621A">
        <w:rPr>
          <w:rStyle w:val="FootnoteReference"/>
          <w:rFonts w:ascii="MetaPro-Norm" w:hAnsi="MetaPro-Norm"/>
          <w:sz w:val="16"/>
          <w:szCs w:val="16"/>
        </w:rPr>
        <w:footnoteRef/>
      </w:r>
      <w:r w:rsidRPr="0021621A">
        <w:rPr>
          <w:szCs w:val="16"/>
        </w:rPr>
        <w:t xml:space="preserve"> Parliamentary Monitoring Group, “Question NW2319 to the Minister of Social Development,” August 16, 2022, https://pmg.org.za/committee-question/19718/ (accessed May 16, 2023). </w:t>
      </w:r>
    </w:p>
  </w:footnote>
  <w:footnote w:id="32">
    <w:p w14:paraId="4DDA44B4" w14:textId="53455BD6" w:rsidR="00243CA1" w:rsidRPr="0021621A" w:rsidRDefault="00243CA1" w:rsidP="00243CA1">
      <w:pPr>
        <w:pStyle w:val="FootnoteText"/>
        <w:tabs>
          <w:tab w:val="left" w:pos="750"/>
        </w:tabs>
        <w:rPr>
          <w:szCs w:val="16"/>
        </w:rPr>
      </w:pPr>
      <w:r w:rsidRPr="0021621A">
        <w:rPr>
          <w:rStyle w:val="FootnoteReference"/>
          <w:rFonts w:ascii="MetaPro-Norm" w:hAnsi="MetaPro-Norm"/>
          <w:sz w:val="16"/>
          <w:szCs w:val="16"/>
        </w:rPr>
        <w:footnoteRef/>
      </w:r>
      <w:r w:rsidRPr="0021621A">
        <w:rPr>
          <w:szCs w:val="16"/>
        </w:rPr>
        <w:t xml:space="preserve"> South Africa Government, “Grant in aid,” </w:t>
      </w:r>
      <w:r w:rsidR="007931D0">
        <w:rPr>
          <w:szCs w:val="16"/>
        </w:rPr>
        <w:t xml:space="preserve">undated, </w:t>
      </w:r>
      <w:r w:rsidRPr="0021621A">
        <w:rPr>
          <w:szCs w:val="16"/>
        </w:rPr>
        <w:t>https://www.gov.za/services/social-benefits/grant-aid.</w:t>
      </w:r>
    </w:p>
  </w:footnote>
  <w:footnote w:id="33">
    <w:p w14:paraId="318152AD" w14:textId="1D91C24A" w:rsidR="00F7568C" w:rsidRPr="0021621A" w:rsidRDefault="00F7568C" w:rsidP="00F7568C">
      <w:pPr>
        <w:pStyle w:val="FootnoteText"/>
        <w:rPr>
          <w:szCs w:val="16"/>
        </w:rPr>
      </w:pPr>
      <w:r w:rsidRPr="0021621A">
        <w:rPr>
          <w:rStyle w:val="FootnoteReference"/>
          <w:rFonts w:ascii="MetaPro-Norm" w:hAnsi="MetaPro-Norm"/>
          <w:sz w:val="16"/>
          <w:szCs w:val="16"/>
        </w:rPr>
        <w:footnoteRef/>
      </w:r>
      <w:r w:rsidRPr="0021621A">
        <w:rPr>
          <w:szCs w:val="16"/>
        </w:rPr>
        <w:t xml:space="preserve"> South African Social Security Agency, “SASSA Grant Increases for 2023 &amp; 2024,” </w:t>
      </w:r>
      <w:r w:rsidR="00621A72">
        <w:rPr>
          <w:szCs w:val="16"/>
        </w:rPr>
        <w:t xml:space="preserve">September 15, 2023, </w:t>
      </w:r>
      <w:r w:rsidRPr="0021621A">
        <w:rPr>
          <w:szCs w:val="16"/>
        </w:rPr>
        <w:t>https://www.sassagrants.co.za/sassa-grant-increases-for-2023/.</w:t>
      </w:r>
    </w:p>
  </w:footnote>
  <w:footnote w:id="34">
    <w:p w14:paraId="59582017" w14:textId="77777777" w:rsidR="00A97DE8" w:rsidRDefault="00A97DE8" w:rsidP="00A97DE8">
      <w:pPr>
        <w:pStyle w:val="FootnoteText"/>
      </w:pPr>
      <w:r w:rsidRPr="00A97DE8">
        <w:rPr>
          <w:rStyle w:val="FootnoteReference"/>
          <w:rFonts w:ascii="MetaPro-Norm" w:hAnsi="MetaPro-Norm"/>
          <w:sz w:val="16"/>
          <w:szCs w:val="16"/>
        </w:rPr>
        <w:footnoteRef/>
      </w:r>
      <w:r>
        <w:t xml:space="preserve"> Department of Employment and </w:t>
      </w:r>
      <w:proofErr w:type="spellStart"/>
      <w:r>
        <w:t>Labour</w:t>
      </w:r>
      <w:proofErr w:type="spellEnd"/>
      <w:r>
        <w:t xml:space="preserve">, “National Minimum Wage Act No. 9 of 2018,” </w:t>
      </w:r>
      <w:r w:rsidRPr="00EE6B52">
        <w:rPr>
          <w:i/>
          <w:iCs/>
        </w:rPr>
        <w:t>Government Gazette</w:t>
      </w:r>
      <w:r>
        <w:t xml:space="preserve">, February 21, 2023, </w:t>
      </w:r>
      <w:r w:rsidRPr="00451EA1">
        <w:t xml:space="preserve">https://www.gov.za/sites/default/files/gcis_document/202302/48094gon3069.pdf </w:t>
      </w:r>
      <w:r>
        <w:t xml:space="preserve">(accessed May 18, 2023). </w:t>
      </w:r>
    </w:p>
  </w:footnote>
  <w:footnote w:id="35">
    <w:p w14:paraId="65D82A7E" w14:textId="405F4DCF" w:rsidR="00AD2D50" w:rsidRPr="0021621A" w:rsidRDefault="00AD2D50" w:rsidP="00AD2D50">
      <w:pPr>
        <w:pStyle w:val="FootnoteText"/>
        <w:rPr>
          <w:szCs w:val="16"/>
        </w:rPr>
      </w:pPr>
      <w:r w:rsidRPr="0021621A">
        <w:rPr>
          <w:rStyle w:val="FootnoteReference"/>
          <w:rFonts w:ascii="MetaPro-Norm" w:hAnsi="MetaPro-Norm"/>
          <w:sz w:val="16"/>
          <w:szCs w:val="16"/>
        </w:rPr>
        <w:footnoteRef/>
      </w:r>
      <w:r w:rsidRPr="0021621A">
        <w:rPr>
          <w:szCs w:val="16"/>
        </w:rPr>
        <w:t xml:space="preserve"> See for example, SA Nanny, “Elderly Care,” undated, https://www.sananny.co.za/elderly-care/ (accessed March 29, 2023); CareChamp, “Our Competitive Rates,” undated, https://www.carechamp.co.za/our-competitive-rates (accessed March 29, 2023).</w:t>
      </w:r>
    </w:p>
  </w:footnote>
  <w:footnote w:id="36">
    <w:p w14:paraId="7E0B5A5C" w14:textId="77777777" w:rsidR="00463A16" w:rsidRPr="004C7F01" w:rsidRDefault="00463A16" w:rsidP="00463A16">
      <w:pPr>
        <w:pStyle w:val="FootnoteText"/>
        <w:rPr>
          <w:lang w:val="es-ES"/>
        </w:rPr>
      </w:pPr>
      <w:r>
        <w:rPr>
          <w:rStyle w:val="FootnoteReference"/>
        </w:rPr>
        <w:footnoteRef/>
      </w:r>
      <w:r>
        <w:t xml:space="preserve"> </w:t>
      </w:r>
      <w:r w:rsidDel="00A637A5">
        <w:rPr>
          <w:lang w:val="en-GB"/>
        </w:rPr>
        <w:t>Human Rights Council, Report of the United Nations Commissioner for Human Rights, “</w:t>
      </w:r>
      <w:r w:rsidDel="00A637A5">
        <w:t xml:space="preserve">Good practices of support systems enabling community inclusion of persons with disabilities,” A/HRC/55/34, December 26, 2023, </w:t>
      </w:r>
      <w:r w:rsidRPr="00767DF3" w:rsidDel="00A637A5">
        <w:t>https://www.ohchr.org/en/documents/thematic-reports/ahrc5534-good-practices-support-systems-enabling-community-inclusion#:~:text=The%20report%2C%20which%20expands%20on,live%20independently%20in%20their%20communities(accessed</w:t>
      </w:r>
      <w:r w:rsidDel="00A637A5">
        <w:t xml:space="preserve"> March 25, 2024), para. </w:t>
      </w:r>
      <w:r w:rsidRPr="004C7F01" w:rsidDel="00A637A5">
        <w:rPr>
          <w:lang w:val="es-ES"/>
        </w:rPr>
        <w:t>8.</w:t>
      </w:r>
    </w:p>
  </w:footnote>
  <w:footnote w:id="37">
    <w:p w14:paraId="6CD27281" w14:textId="5FB0B542" w:rsidR="7E0982BC" w:rsidRPr="0021621A" w:rsidRDefault="7E0982BC">
      <w:pPr>
        <w:rPr>
          <w:sz w:val="16"/>
          <w:szCs w:val="16"/>
          <w:lang w:val="es-419"/>
        </w:rPr>
      </w:pPr>
      <w:r w:rsidRPr="0021621A">
        <w:rPr>
          <w:sz w:val="16"/>
          <w:szCs w:val="16"/>
        </w:rPr>
        <w:footnoteRef/>
      </w:r>
      <w:r w:rsidRPr="0021621A">
        <w:rPr>
          <w:sz w:val="16"/>
          <w:szCs w:val="16"/>
          <w:lang w:val="es-419"/>
        </w:rPr>
        <w:t xml:space="preserve"> Alberto Vásquez Encalada, </w:t>
      </w:r>
      <w:r w:rsidR="00B56C77">
        <w:rPr>
          <w:sz w:val="16"/>
          <w:szCs w:val="16"/>
          <w:lang w:val="es-419"/>
        </w:rPr>
        <w:t>“</w:t>
      </w:r>
      <w:r w:rsidRPr="0021621A">
        <w:rPr>
          <w:sz w:val="16"/>
          <w:szCs w:val="16"/>
          <w:lang w:val="es-419"/>
        </w:rPr>
        <w:t>Autonomía: un desafío regional</w:t>
      </w:r>
      <w:r w:rsidR="00B56C77">
        <w:rPr>
          <w:sz w:val="16"/>
          <w:szCs w:val="16"/>
          <w:lang w:val="es-419"/>
        </w:rPr>
        <w:t xml:space="preserve"> -</w:t>
      </w:r>
      <w:r w:rsidRPr="0021621A">
        <w:rPr>
          <w:sz w:val="16"/>
          <w:szCs w:val="16"/>
          <w:lang w:val="es-419"/>
        </w:rPr>
        <w:t xml:space="preserve"> Construyendo sistemas de apoyo para la vida de las personas con discapacidad en América Latina y el Caribe.</w:t>
      </w:r>
      <w:r w:rsidR="00B56C77">
        <w:rPr>
          <w:sz w:val="16"/>
          <w:szCs w:val="16"/>
          <w:lang w:val="es-419"/>
        </w:rPr>
        <w:t>”</w:t>
      </w:r>
    </w:p>
  </w:footnote>
  <w:footnote w:id="38">
    <w:p w14:paraId="67A12886" w14:textId="6D115F1E" w:rsidR="00BC788D" w:rsidRPr="003C0AEB" w:rsidRDefault="00BC788D">
      <w:pPr>
        <w:pStyle w:val="FootnoteText"/>
      </w:pPr>
      <w:r>
        <w:rPr>
          <w:rStyle w:val="FootnoteReference"/>
        </w:rPr>
        <w:footnoteRef/>
      </w:r>
      <w:r w:rsidRPr="003C0AEB">
        <w:t xml:space="preserve"> </w:t>
      </w:r>
      <w:r w:rsidR="003C0AEB" w:rsidRPr="00D915F8">
        <w:t>Convention on the Rights o</w:t>
      </w:r>
      <w:r w:rsidR="003C0AEB">
        <w:t xml:space="preserve">f Persons </w:t>
      </w:r>
      <w:r w:rsidR="0043761E">
        <w:t>with Disabilities</w:t>
      </w:r>
      <w:r w:rsidR="00D2414D">
        <w:t>, article 3.</w:t>
      </w:r>
    </w:p>
  </w:footnote>
  <w:footnote w:id="39">
    <w:p w14:paraId="77CDDBA6" w14:textId="4EFE40AB" w:rsidR="00DC03AC" w:rsidRPr="00B71023" w:rsidRDefault="00DC03AC">
      <w:pPr>
        <w:pStyle w:val="FootnoteText"/>
      </w:pPr>
      <w:r>
        <w:rPr>
          <w:rStyle w:val="FootnoteReference"/>
        </w:rPr>
        <w:footnoteRef/>
      </w:r>
      <w:r w:rsidRPr="00B71023">
        <w:t xml:space="preserve"> </w:t>
      </w:r>
      <w:r w:rsidR="00A821CE" w:rsidRPr="00D915F8">
        <w:t xml:space="preserve">Committee </w:t>
      </w:r>
      <w:r w:rsidR="00B71023" w:rsidRPr="00D915F8">
        <w:t>on the Rights o</w:t>
      </w:r>
      <w:r w:rsidR="00B71023">
        <w:t>f Persons with Disabilities</w:t>
      </w:r>
      <w:r w:rsidR="00431DFA">
        <w:t xml:space="preserve"> General Comment 1 (</w:t>
      </w:r>
      <w:r w:rsidR="00B1226F">
        <w:t>on legal capacity</w:t>
      </w:r>
      <w:r w:rsidR="003E1089">
        <w:t>)</w:t>
      </w:r>
      <w:r w:rsidR="009D0A16">
        <w:t xml:space="preserve">, </w:t>
      </w:r>
      <w:r w:rsidR="00CC683B">
        <w:t xml:space="preserve">para </w:t>
      </w:r>
      <w:r w:rsidR="00695842">
        <w:t>18</w:t>
      </w:r>
      <w:r w:rsidR="002E79ED">
        <w:t>.</w:t>
      </w:r>
      <w:r w:rsidR="003E1089">
        <w:t xml:space="preserve"> </w:t>
      </w:r>
    </w:p>
  </w:footnote>
  <w:footnote w:id="40">
    <w:p w14:paraId="014AF456" w14:textId="43AE7C94" w:rsidR="00377109" w:rsidRPr="00F768A4" w:rsidRDefault="00377109">
      <w:pPr>
        <w:pStyle w:val="FootnoteText"/>
        <w:rPr>
          <w:lang w:val="es-419"/>
        </w:rPr>
      </w:pPr>
      <w:r w:rsidRPr="00F768A4">
        <w:rPr>
          <w:rStyle w:val="FootnoteReference"/>
        </w:rPr>
        <w:footnoteRef/>
      </w:r>
      <w:r w:rsidRPr="00F768A4">
        <w:rPr>
          <w:lang w:val="es-419"/>
        </w:rPr>
        <w:t xml:space="preserve"> </w:t>
      </w:r>
      <w:r w:rsidR="0051340A" w:rsidRPr="00F768A4">
        <w:rPr>
          <w:lang w:val="es-419"/>
        </w:rPr>
        <w:t>La ruta para intentar descongelar la reforma que crea el sistema nacional de cuid</w:t>
      </w:r>
      <w:r w:rsidR="004452BC" w:rsidRPr="00F768A4">
        <w:rPr>
          <w:lang w:val="es-419"/>
        </w:rPr>
        <w:t xml:space="preserve">ados. El Economista, </w:t>
      </w:r>
      <w:proofErr w:type="spellStart"/>
      <w:r w:rsidR="001836A0" w:rsidRPr="00F768A4">
        <w:rPr>
          <w:lang w:val="es-419"/>
        </w:rPr>
        <w:t>October</w:t>
      </w:r>
      <w:proofErr w:type="spellEnd"/>
      <w:r w:rsidR="001836A0" w:rsidRPr="00F768A4">
        <w:rPr>
          <w:lang w:val="es-419"/>
        </w:rPr>
        <w:t xml:space="preserve"> 18, 2022. </w:t>
      </w:r>
      <w:r w:rsidR="008A1555" w:rsidRPr="00F768A4">
        <w:rPr>
          <w:lang w:val="es-419"/>
        </w:rPr>
        <w:t xml:space="preserve">https://www.eleconomista.com.mx/capitalhumano/La-ruta-para-intentar-descongelar-la-reforma-que-crea-el-sistema-nacional-de-cuidados-20221017-0083.html </w:t>
      </w:r>
    </w:p>
  </w:footnote>
  <w:footnote w:id="41">
    <w:p w14:paraId="0310BEDE" w14:textId="3609C754" w:rsidR="000A52FA" w:rsidRPr="004C7F01" w:rsidRDefault="000A52FA" w:rsidP="000A52FA">
      <w:pPr>
        <w:pStyle w:val="FootnoteText"/>
        <w:rPr>
          <w:szCs w:val="16"/>
          <w:lang w:val="es-ES"/>
        </w:rPr>
      </w:pPr>
      <w:r w:rsidRPr="0021621A">
        <w:rPr>
          <w:rStyle w:val="FootnoteReference"/>
          <w:rFonts w:ascii="MetaPro-Norm" w:hAnsi="MetaPro-Norm"/>
          <w:sz w:val="16"/>
          <w:szCs w:val="16"/>
        </w:rPr>
        <w:footnoteRef/>
      </w:r>
      <w:r w:rsidRPr="0021621A">
        <w:rPr>
          <w:szCs w:val="16"/>
          <w:lang w:val="es-419"/>
        </w:rPr>
        <w:t xml:space="preserve"> </w:t>
      </w:r>
      <w:r w:rsidR="00B9574D">
        <w:rPr>
          <w:szCs w:val="16"/>
          <w:lang w:val="es-419"/>
        </w:rPr>
        <w:t>Gaceta del Senado, “</w:t>
      </w:r>
      <w:r w:rsidRPr="0021621A">
        <w:rPr>
          <w:szCs w:val="16"/>
          <w:lang w:val="es-419"/>
        </w:rPr>
        <w:t>Iniciativa de ley que crea El Sistema Nacional de Cuidados</w:t>
      </w:r>
      <w:r w:rsidR="00B9574D">
        <w:rPr>
          <w:szCs w:val="16"/>
          <w:lang w:val="es-419"/>
        </w:rPr>
        <w:t xml:space="preserve">,” </w:t>
      </w:r>
      <w:proofErr w:type="spellStart"/>
      <w:r w:rsidR="00B9574D">
        <w:rPr>
          <w:szCs w:val="16"/>
          <w:lang w:val="es-419"/>
        </w:rPr>
        <w:t>November</w:t>
      </w:r>
      <w:proofErr w:type="spellEnd"/>
      <w:r w:rsidR="00B9574D">
        <w:rPr>
          <w:szCs w:val="16"/>
          <w:lang w:val="es-419"/>
        </w:rPr>
        <w:t xml:space="preserve"> 30, 2021, </w:t>
      </w:r>
      <w:r w:rsidRPr="004C7F01">
        <w:rPr>
          <w:szCs w:val="16"/>
          <w:lang w:val="es-ES"/>
        </w:rPr>
        <w:t xml:space="preserve">https://www.senado.gob.mx/65/gaceta_del_senado/documento/121550 </w:t>
      </w:r>
      <w:r w:rsidR="00B9574D" w:rsidRPr="004C7F01">
        <w:rPr>
          <w:szCs w:val="16"/>
          <w:lang w:val="es-ES"/>
        </w:rPr>
        <w:t>(</w:t>
      </w:r>
      <w:proofErr w:type="spellStart"/>
      <w:r w:rsidR="00B9574D" w:rsidRPr="004C7F01">
        <w:rPr>
          <w:szCs w:val="16"/>
          <w:lang w:val="es-ES"/>
        </w:rPr>
        <w:t>a</w:t>
      </w:r>
      <w:r w:rsidRPr="004C7F01">
        <w:rPr>
          <w:szCs w:val="16"/>
          <w:lang w:val="es-ES"/>
        </w:rPr>
        <w:t>ccessed</w:t>
      </w:r>
      <w:proofErr w:type="spellEnd"/>
      <w:r w:rsidRPr="004C7F01">
        <w:rPr>
          <w:szCs w:val="16"/>
          <w:lang w:val="es-ES"/>
        </w:rPr>
        <w:t xml:space="preserve"> March 12, 2024</w:t>
      </w:r>
      <w:r w:rsidR="00B9574D" w:rsidRPr="004C7F01">
        <w:rPr>
          <w:szCs w:val="16"/>
          <w:lang w:val="es-ES"/>
        </w:rPr>
        <w:t>).</w:t>
      </w:r>
    </w:p>
  </w:footnote>
  <w:footnote w:id="42">
    <w:p w14:paraId="3476F49C" w14:textId="3D6FF422" w:rsidR="000A52FA" w:rsidRPr="004C7F01" w:rsidRDefault="000A52FA" w:rsidP="000A52FA">
      <w:pPr>
        <w:pStyle w:val="FootnoteText"/>
        <w:rPr>
          <w:szCs w:val="16"/>
          <w:lang w:val="es-ES"/>
        </w:rPr>
      </w:pPr>
      <w:r w:rsidRPr="0021621A">
        <w:rPr>
          <w:rStyle w:val="FootnoteReference"/>
          <w:rFonts w:ascii="MetaPro-Norm" w:hAnsi="MetaPro-Norm"/>
          <w:sz w:val="16"/>
          <w:szCs w:val="16"/>
        </w:rPr>
        <w:footnoteRef/>
      </w:r>
      <w:r w:rsidRPr="004C7F01">
        <w:rPr>
          <w:szCs w:val="16"/>
          <w:lang w:val="es-ES"/>
        </w:rPr>
        <w:t xml:space="preserve"> </w:t>
      </w:r>
      <w:r w:rsidR="003E1963" w:rsidRPr="004C7F01">
        <w:rPr>
          <w:szCs w:val="16"/>
          <w:lang w:val="es-ES"/>
        </w:rPr>
        <w:t xml:space="preserve">El Estado De Jalisco – </w:t>
      </w:r>
      <w:proofErr w:type="spellStart"/>
      <w:r w:rsidR="003E1963" w:rsidRPr="004C7F01">
        <w:rPr>
          <w:szCs w:val="16"/>
          <w:lang w:val="es-ES"/>
        </w:rPr>
        <w:t>Periodico</w:t>
      </w:r>
      <w:proofErr w:type="spellEnd"/>
      <w:r w:rsidR="003E1963" w:rsidRPr="004C7F01">
        <w:rPr>
          <w:szCs w:val="16"/>
          <w:lang w:val="es-ES"/>
        </w:rPr>
        <w:t xml:space="preserve"> Oficial, “</w:t>
      </w:r>
      <w:r w:rsidR="001C0C17" w:rsidRPr="004C7F01">
        <w:rPr>
          <w:szCs w:val="16"/>
          <w:lang w:val="es-ES"/>
        </w:rPr>
        <w:t xml:space="preserve">Ley Del </w:t>
      </w:r>
      <w:proofErr w:type="spellStart"/>
      <w:r w:rsidR="001C0C17" w:rsidRPr="004C7F01">
        <w:rPr>
          <w:szCs w:val="16"/>
          <w:lang w:val="es-ES"/>
        </w:rPr>
        <w:t>Sys</w:t>
      </w:r>
      <w:r w:rsidR="002927D2" w:rsidRPr="004C7F01">
        <w:rPr>
          <w:szCs w:val="16"/>
          <w:lang w:val="es-ES"/>
        </w:rPr>
        <w:t>tema</w:t>
      </w:r>
      <w:proofErr w:type="spellEnd"/>
      <w:r w:rsidR="002927D2" w:rsidRPr="004C7F01">
        <w:rPr>
          <w:szCs w:val="16"/>
          <w:lang w:val="es-ES"/>
        </w:rPr>
        <w:t xml:space="preserve"> </w:t>
      </w:r>
      <w:proofErr w:type="spellStart"/>
      <w:r w:rsidR="002927D2" w:rsidRPr="004C7F01">
        <w:rPr>
          <w:szCs w:val="16"/>
          <w:lang w:val="es-ES"/>
        </w:rPr>
        <w:t>Inegral</w:t>
      </w:r>
      <w:proofErr w:type="spellEnd"/>
      <w:r w:rsidR="002927D2" w:rsidRPr="004C7F01">
        <w:rPr>
          <w:szCs w:val="16"/>
          <w:lang w:val="es-ES"/>
        </w:rPr>
        <w:t xml:space="preserve"> De Cuidados Para El Estado De Jalisco,</w:t>
      </w:r>
      <w:r w:rsidR="003E1963" w:rsidRPr="004C7F01">
        <w:rPr>
          <w:szCs w:val="16"/>
          <w:lang w:val="es-ES"/>
        </w:rPr>
        <w:t>”</w:t>
      </w:r>
      <w:r w:rsidR="00D423AA" w:rsidRPr="004C7F01">
        <w:rPr>
          <w:szCs w:val="16"/>
          <w:lang w:val="es-ES"/>
        </w:rPr>
        <w:t xml:space="preserve"> </w:t>
      </w:r>
      <w:proofErr w:type="spellStart"/>
      <w:r w:rsidR="00D423AA" w:rsidRPr="004C7F01">
        <w:rPr>
          <w:szCs w:val="16"/>
          <w:lang w:val="es-ES"/>
        </w:rPr>
        <w:t>February</w:t>
      </w:r>
      <w:proofErr w:type="spellEnd"/>
      <w:r w:rsidR="00D423AA" w:rsidRPr="004C7F01">
        <w:rPr>
          <w:szCs w:val="16"/>
          <w:lang w:val="es-ES"/>
        </w:rPr>
        <w:t xml:space="preserve"> 24, 2024,</w:t>
      </w:r>
      <w:r w:rsidR="003E1963" w:rsidRPr="004C7F01">
        <w:rPr>
          <w:szCs w:val="16"/>
          <w:lang w:val="es-ES"/>
        </w:rPr>
        <w:t xml:space="preserve"> https://apiperiodico.jalisco.gob.mx/api/newspaper/getAsset?q=newspaper/21918/1708726570-2024-02-24-VII.pdf</w:t>
      </w:r>
      <w:r w:rsidR="00D423AA" w:rsidRPr="004C7F01">
        <w:rPr>
          <w:szCs w:val="16"/>
          <w:lang w:val="es-ES"/>
        </w:rPr>
        <w:t>.</w:t>
      </w:r>
      <w:r w:rsidRPr="004C7F01">
        <w:rPr>
          <w:szCs w:val="16"/>
          <w:lang w:val="es-ES"/>
        </w:rPr>
        <w:t xml:space="preserve"> </w:t>
      </w:r>
    </w:p>
  </w:footnote>
  <w:footnote w:id="43">
    <w:p w14:paraId="56417C5C" w14:textId="7DE778D7" w:rsidR="00100F05" w:rsidRPr="00100F05" w:rsidRDefault="00100F05">
      <w:pPr>
        <w:pStyle w:val="FootnoteText"/>
      </w:pPr>
      <w:r>
        <w:rPr>
          <w:rStyle w:val="FootnoteReference"/>
        </w:rPr>
        <w:footnoteRef/>
      </w:r>
      <w:r>
        <w:t xml:space="preserve"> </w:t>
      </w:r>
      <w:r w:rsidR="00BA0937">
        <w:t>Convention on the Rights of Persons with Disabilities</w:t>
      </w:r>
      <w:r w:rsidR="008D55C3">
        <w:t>, article 19.</w:t>
      </w:r>
    </w:p>
  </w:footnote>
  <w:footnote w:id="44">
    <w:p w14:paraId="081F6FB5" w14:textId="34CEDD15" w:rsidR="00C853FA" w:rsidRPr="0021621A" w:rsidRDefault="00C853FA" w:rsidP="00C853FA">
      <w:pPr>
        <w:pStyle w:val="FootnoteText"/>
        <w:rPr>
          <w:szCs w:val="16"/>
        </w:rPr>
      </w:pPr>
      <w:r w:rsidRPr="0021621A">
        <w:rPr>
          <w:rStyle w:val="FootnoteReference"/>
          <w:rFonts w:ascii="MetaPro-Norm" w:hAnsi="MetaPro-Norm"/>
          <w:sz w:val="16"/>
          <w:szCs w:val="16"/>
        </w:rPr>
        <w:footnoteRef/>
      </w:r>
      <w:r w:rsidRPr="0021621A">
        <w:rPr>
          <w:szCs w:val="16"/>
        </w:rPr>
        <w:t xml:space="preserve"> Human Rights Watch, </w:t>
      </w:r>
      <w:r w:rsidR="00D423AA" w:rsidRPr="00D423AA">
        <w:rPr>
          <w:i/>
          <w:iCs/>
          <w:szCs w:val="16"/>
        </w:rPr>
        <w:t>“</w:t>
      </w:r>
      <w:r w:rsidRPr="00D423AA">
        <w:rPr>
          <w:i/>
          <w:szCs w:val="16"/>
        </w:rPr>
        <w:t>Better to Make Yourself Invisible</w:t>
      </w:r>
      <w:r w:rsidR="00D423AA" w:rsidRPr="00D423AA">
        <w:rPr>
          <w:i/>
          <w:iCs/>
          <w:szCs w:val="16"/>
        </w:rPr>
        <w:t>:”</w:t>
      </w:r>
      <w:r w:rsidRPr="00D423AA">
        <w:rPr>
          <w:i/>
          <w:szCs w:val="16"/>
        </w:rPr>
        <w:t xml:space="preserve"> Family Violence against People with Disabilities in Mexico</w:t>
      </w:r>
      <w:r w:rsidRPr="0021621A">
        <w:rPr>
          <w:szCs w:val="16"/>
        </w:rPr>
        <w:t xml:space="preserve">. </w:t>
      </w:r>
    </w:p>
  </w:footnote>
  <w:footnote w:id="45">
    <w:p w14:paraId="390D32D1" w14:textId="18566C5B" w:rsidR="00C853FA" w:rsidRPr="0021621A" w:rsidRDefault="00C853FA" w:rsidP="00C853FA">
      <w:pPr>
        <w:pStyle w:val="FootnoteText"/>
        <w:rPr>
          <w:szCs w:val="16"/>
          <w:lang w:val="es-419"/>
        </w:rPr>
      </w:pPr>
      <w:r w:rsidRPr="0021621A">
        <w:rPr>
          <w:rStyle w:val="FootnoteReference"/>
          <w:rFonts w:ascii="MetaPro-Norm" w:hAnsi="MetaPro-Norm"/>
          <w:sz w:val="16"/>
          <w:szCs w:val="16"/>
        </w:rPr>
        <w:footnoteRef/>
      </w:r>
      <w:r w:rsidRPr="00320843">
        <w:rPr>
          <w:szCs w:val="16"/>
          <w:lang w:val="es-ES"/>
        </w:rPr>
        <w:t xml:space="preserve"> </w:t>
      </w:r>
      <w:proofErr w:type="spellStart"/>
      <w:r w:rsidRPr="00320843">
        <w:rPr>
          <w:szCs w:val="16"/>
          <w:lang w:val="es-ES"/>
        </w:rPr>
        <w:t>Government</w:t>
      </w:r>
      <w:proofErr w:type="spellEnd"/>
      <w:r w:rsidRPr="00320843">
        <w:rPr>
          <w:szCs w:val="16"/>
          <w:lang w:val="es-ES"/>
        </w:rPr>
        <w:t xml:space="preserve"> of </w:t>
      </w:r>
      <w:proofErr w:type="spellStart"/>
      <w:r w:rsidRPr="00320843">
        <w:rPr>
          <w:szCs w:val="16"/>
          <w:lang w:val="es-ES"/>
        </w:rPr>
        <w:t>Mexico</w:t>
      </w:r>
      <w:proofErr w:type="spellEnd"/>
      <w:r w:rsidRPr="00320843">
        <w:rPr>
          <w:szCs w:val="16"/>
          <w:lang w:val="es-ES"/>
        </w:rPr>
        <w:t xml:space="preserve">, </w:t>
      </w:r>
      <w:r w:rsidR="008811EB" w:rsidRPr="00320843">
        <w:rPr>
          <w:szCs w:val="16"/>
          <w:lang w:val="es-ES"/>
        </w:rPr>
        <w:t>“Comunicado 002.- Del 3 al 26 de enero se dispersa la pensión para adultos mayores; aumenta a seis mil pesos bimestrales; y para personas con discapacidad, tres mil 100 pesos</w:t>
      </w:r>
      <w:r w:rsidR="00F263B6" w:rsidRPr="00320843">
        <w:rPr>
          <w:szCs w:val="16"/>
          <w:lang w:val="es-ES"/>
        </w:rPr>
        <w:t>,</w:t>
      </w:r>
      <w:r w:rsidR="008811EB" w:rsidRPr="00320843">
        <w:rPr>
          <w:szCs w:val="16"/>
          <w:lang w:val="es-ES"/>
        </w:rPr>
        <w:t>”</w:t>
      </w:r>
      <w:r w:rsidR="00F263B6" w:rsidRPr="00320843">
        <w:rPr>
          <w:szCs w:val="16"/>
          <w:lang w:val="es-ES"/>
        </w:rPr>
        <w:t xml:space="preserve"> </w:t>
      </w:r>
      <w:proofErr w:type="spellStart"/>
      <w:r w:rsidRPr="00320843">
        <w:rPr>
          <w:szCs w:val="16"/>
          <w:lang w:val="es-ES"/>
        </w:rPr>
        <w:t>January</w:t>
      </w:r>
      <w:proofErr w:type="spellEnd"/>
      <w:r w:rsidRPr="00320843">
        <w:rPr>
          <w:szCs w:val="16"/>
          <w:lang w:val="es-ES"/>
        </w:rPr>
        <w:t xml:space="preserve"> 2, 2024</w:t>
      </w:r>
      <w:r w:rsidR="00530D46" w:rsidRPr="00320843">
        <w:rPr>
          <w:szCs w:val="16"/>
          <w:lang w:val="es-ES"/>
        </w:rPr>
        <w:t>, https://www.gob.mx/bienestar/prensa/2024-inicia-con-aumentos-a-pensiones-de-bienestar-anuncia-ariadna-montiel?idiom=es.</w:t>
      </w:r>
    </w:p>
  </w:footnote>
  <w:footnote w:id="46">
    <w:p w14:paraId="79CB35AD" w14:textId="18E56E9B" w:rsidR="00B26682" w:rsidRPr="00320843" w:rsidRDefault="00B26682">
      <w:pPr>
        <w:pStyle w:val="FootnoteText"/>
        <w:rPr>
          <w:lang w:val="es-419"/>
        </w:rPr>
      </w:pPr>
      <w:r>
        <w:rPr>
          <w:rStyle w:val="FootnoteReference"/>
        </w:rPr>
        <w:footnoteRef/>
      </w:r>
      <w:r w:rsidRPr="00320843">
        <w:rPr>
          <w:lang w:val="es-419"/>
        </w:rPr>
        <w:t xml:space="preserve"> </w:t>
      </w:r>
      <w:proofErr w:type="spellStart"/>
      <w:r w:rsidR="00CE754F">
        <w:rPr>
          <w:lang w:val="es-419"/>
        </w:rPr>
        <w:t>Expatisan</w:t>
      </w:r>
      <w:proofErr w:type="spellEnd"/>
      <w:r w:rsidR="00CE754F">
        <w:rPr>
          <w:lang w:val="es-419"/>
        </w:rPr>
        <w:t xml:space="preserve">, </w:t>
      </w:r>
      <w:r w:rsidR="005B716E">
        <w:rPr>
          <w:lang w:val="es-419"/>
        </w:rPr>
        <w:t>“</w:t>
      </w:r>
      <w:r w:rsidR="005B716E" w:rsidRPr="005B716E">
        <w:rPr>
          <w:lang w:val="es-419"/>
        </w:rPr>
        <w:t>Costo de vida en México</w:t>
      </w:r>
      <w:r w:rsidR="005B716E">
        <w:rPr>
          <w:lang w:val="es-419"/>
        </w:rPr>
        <w:t>,”</w:t>
      </w:r>
      <w:r w:rsidR="003E70A8">
        <w:rPr>
          <w:lang w:val="es-419"/>
        </w:rPr>
        <w:t xml:space="preserve"> </w:t>
      </w:r>
      <w:proofErr w:type="spellStart"/>
      <w:r w:rsidR="003E70A8">
        <w:rPr>
          <w:lang w:val="es-419"/>
        </w:rPr>
        <w:t>undated</w:t>
      </w:r>
      <w:proofErr w:type="spellEnd"/>
      <w:r w:rsidR="003E70A8">
        <w:rPr>
          <w:lang w:val="es-419"/>
        </w:rPr>
        <w:t xml:space="preserve">, </w:t>
      </w:r>
      <w:r w:rsidR="003E70A8" w:rsidRPr="003E70A8">
        <w:rPr>
          <w:lang w:val="es-419"/>
        </w:rPr>
        <w:t>https://www.expatistan.com/es/costo-de-vida/pais/mexico</w:t>
      </w:r>
      <w:r w:rsidR="003E70A8">
        <w:rPr>
          <w:lang w:val="es-419"/>
        </w:rPr>
        <w:t xml:space="preserve"> (</w:t>
      </w:r>
      <w:proofErr w:type="spellStart"/>
      <w:r w:rsidR="003E70A8">
        <w:rPr>
          <w:lang w:val="es-419"/>
        </w:rPr>
        <w:t>accessed</w:t>
      </w:r>
      <w:proofErr w:type="spellEnd"/>
      <w:r w:rsidR="003E70A8">
        <w:rPr>
          <w:lang w:val="es-419"/>
        </w:rPr>
        <w:t xml:space="preserve"> April 12, 2024).</w:t>
      </w:r>
    </w:p>
  </w:footnote>
  <w:footnote w:id="47">
    <w:p w14:paraId="377EE1C2" w14:textId="66240143" w:rsidR="00706742" w:rsidRPr="004C7F01" w:rsidRDefault="00706742" w:rsidP="00706742">
      <w:pPr>
        <w:pStyle w:val="FootnoteText"/>
        <w:rPr>
          <w:szCs w:val="16"/>
        </w:rPr>
      </w:pPr>
      <w:r w:rsidRPr="0021621A">
        <w:rPr>
          <w:rStyle w:val="FootnoteReference"/>
          <w:rFonts w:ascii="MetaPro-Norm" w:hAnsi="MetaPro-Norm"/>
          <w:sz w:val="16"/>
          <w:szCs w:val="16"/>
        </w:rPr>
        <w:footnoteRef/>
      </w:r>
      <w:r w:rsidRPr="004C7F01">
        <w:rPr>
          <w:szCs w:val="16"/>
        </w:rPr>
        <w:t xml:space="preserve"> </w:t>
      </w:r>
      <w:r w:rsidR="00192C32" w:rsidRPr="004C7F01">
        <w:rPr>
          <w:szCs w:val="16"/>
        </w:rPr>
        <w:t xml:space="preserve">Government of Mexico, </w:t>
      </w:r>
      <w:r w:rsidR="009E01A8" w:rsidRPr="004C7F01">
        <w:rPr>
          <w:szCs w:val="16"/>
        </w:rPr>
        <w:t>“</w:t>
      </w:r>
      <w:r w:rsidR="008F504E" w:rsidRPr="004C7F01">
        <w:rPr>
          <w:szCs w:val="16"/>
        </w:rPr>
        <w:t>About</w:t>
      </w:r>
      <w:r w:rsidR="009E01A8" w:rsidRPr="004C7F01">
        <w:rPr>
          <w:szCs w:val="16"/>
        </w:rPr>
        <w:t xml:space="preserve"> Mexico,” </w:t>
      </w:r>
      <w:r w:rsidR="0030610C" w:rsidRPr="004C7F01">
        <w:rPr>
          <w:szCs w:val="16"/>
        </w:rPr>
        <w:t>undated,</w:t>
      </w:r>
      <w:r w:rsidRPr="004C7F01">
        <w:rPr>
          <w:szCs w:val="16"/>
        </w:rPr>
        <w:t xml:space="preserve"> https://www.economia.gob.mx/datamexico/es/profile/geo/mexico?totalAndInformalJob=genderOption#:~:text=En%20el%20cuarto%20trimestre%20de,mensual%20de%20%245.75k%20MX.</w:t>
      </w:r>
    </w:p>
  </w:footnote>
  <w:footnote w:id="48">
    <w:p w14:paraId="5C41180B" w14:textId="0E0BE66C" w:rsidR="00706742" w:rsidRPr="0021621A" w:rsidRDefault="00706742" w:rsidP="00706742">
      <w:pPr>
        <w:pStyle w:val="FootnoteText"/>
        <w:rPr>
          <w:szCs w:val="16"/>
          <w:lang w:val="es-419"/>
        </w:rPr>
      </w:pPr>
      <w:r w:rsidRPr="0021621A">
        <w:rPr>
          <w:rStyle w:val="FootnoteReference"/>
          <w:rFonts w:ascii="MetaPro-Norm" w:hAnsi="MetaPro-Norm"/>
          <w:sz w:val="16"/>
          <w:szCs w:val="16"/>
        </w:rPr>
        <w:footnoteRef/>
      </w:r>
      <w:r w:rsidRPr="0021621A">
        <w:rPr>
          <w:szCs w:val="16"/>
          <w:lang w:val="es-419"/>
        </w:rPr>
        <w:t xml:space="preserve"> </w:t>
      </w:r>
      <w:proofErr w:type="spellStart"/>
      <w:r w:rsidR="00A25115" w:rsidRPr="006D6E71">
        <w:rPr>
          <w:szCs w:val="16"/>
          <w:lang w:val="es-ES"/>
        </w:rPr>
        <w:t>Government</w:t>
      </w:r>
      <w:proofErr w:type="spellEnd"/>
      <w:r w:rsidR="00A25115" w:rsidRPr="006D6E71">
        <w:rPr>
          <w:szCs w:val="16"/>
          <w:lang w:val="es-ES"/>
        </w:rPr>
        <w:t xml:space="preserve"> of </w:t>
      </w:r>
      <w:proofErr w:type="spellStart"/>
      <w:r w:rsidR="00A25115" w:rsidRPr="006D6E71">
        <w:rPr>
          <w:szCs w:val="16"/>
          <w:lang w:val="es-ES"/>
        </w:rPr>
        <w:t>Mexico</w:t>
      </w:r>
      <w:proofErr w:type="spellEnd"/>
      <w:r w:rsidR="00A25115" w:rsidRPr="006D6E71">
        <w:rPr>
          <w:szCs w:val="16"/>
          <w:lang w:val="es-ES"/>
        </w:rPr>
        <w:t>, “Comunicado 002.- Del 3 al 26 de enero se dispersa la pensión para adultos mayores; aumenta a seis mil pesos bimestrales; y para personas con discapacidad, tres mil 100 pesos.”</w:t>
      </w:r>
    </w:p>
  </w:footnote>
  <w:footnote w:id="49">
    <w:p w14:paraId="48444E63" w14:textId="7339ED2C" w:rsidR="00706742" w:rsidRPr="004C7F01" w:rsidRDefault="00706742" w:rsidP="00706742">
      <w:pPr>
        <w:pStyle w:val="FootnoteText"/>
        <w:rPr>
          <w:szCs w:val="16"/>
          <w:lang w:val="es-ES"/>
        </w:rPr>
      </w:pPr>
      <w:r w:rsidRPr="0021621A">
        <w:rPr>
          <w:rStyle w:val="FootnoteReference"/>
          <w:rFonts w:ascii="MetaPro-Norm" w:hAnsi="MetaPro-Norm"/>
          <w:sz w:val="16"/>
          <w:szCs w:val="16"/>
        </w:rPr>
        <w:footnoteRef/>
      </w:r>
      <w:r w:rsidRPr="004C7F01">
        <w:rPr>
          <w:szCs w:val="16"/>
          <w:lang w:val="es-ES"/>
        </w:rPr>
        <w:t xml:space="preserve"> </w:t>
      </w:r>
      <w:r w:rsidR="00987602" w:rsidRPr="004C7F01">
        <w:rPr>
          <w:szCs w:val="16"/>
          <w:lang w:val="es-ES"/>
        </w:rPr>
        <w:t xml:space="preserve">Yo </w:t>
      </w:r>
      <w:proofErr w:type="spellStart"/>
      <w:r w:rsidR="00987602" w:rsidRPr="004C7F01">
        <w:rPr>
          <w:szCs w:val="16"/>
          <w:lang w:val="es-ES"/>
        </w:rPr>
        <w:t>Tambien</w:t>
      </w:r>
      <w:proofErr w:type="spellEnd"/>
      <w:r w:rsidR="00987602" w:rsidRPr="004C7F01">
        <w:rPr>
          <w:szCs w:val="16"/>
          <w:lang w:val="es-ES"/>
        </w:rPr>
        <w:t xml:space="preserve">, </w:t>
      </w:r>
      <w:r w:rsidR="000C2A27" w:rsidRPr="004C7F01">
        <w:rPr>
          <w:szCs w:val="16"/>
          <w:lang w:val="es-ES"/>
        </w:rPr>
        <w:t>“</w:t>
      </w:r>
      <w:r w:rsidR="008B00C5" w:rsidRPr="004C7F01">
        <w:rPr>
          <w:szCs w:val="16"/>
          <w:lang w:val="es-ES"/>
        </w:rPr>
        <w:t>Cifra histórica: casi 14 millones de mexicanos reportan tener una limitación,</w:t>
      </w:r>
      <w:r w:rsidR="000C2A27" w:rsidRPr="004C7F01">
        <w:rPr>
          <w:szCs w:val="16"/>
          <w:lang w:val="es-ES"/>
        </w:rPr>
        <w:t>”</w:t>
      </w:r>
      <w:r w:rsidR="008B00C5" w:rsidRPr="004C7F01">
        <w:rPr>
          <w:szCs w:val="16"/>
          <w:lang w:val="es-ES"/>
        </w:rPr>
        <w:t xml:space="preserve"> </w:t>
      </w:r>
      <w:proofErr w:type="spellStart"/>
      <w:r w:rsidR="008B00C5" w:rsidRPr="004C7F01">
        <w:rPr>
          <w:szCs w:val="16"/>
          <w:lang w:val="es-ES"/>
        </w:rPr>
        <w:t>January</w:t>
      </w:r>
      <w:proofErr w:type="spellEnd"/>
      <w:r w:rsidR="008B00C5" w:rsidRPr="004C7F01">
        <w:rPr>
          <w:szCs w:val="16"/>
          <w:lang w:val="es-ES"/>
        </w:rPr>
        <w:t xml:space="preserve"> 25, 2021,</w:t>
      </w:r>
      <w:r w:rsidRPr="004C7F01">
        <w:rPr>
          <w:szCs w:val="16"/>
          <w:lang w:val="es-ES"/>
        </w:rPr>
        <w:t xml:space="preserve"> https://www.yotambien.mx/actualidad/cifra-historica-casi-14-millones-de-mexicanos-reportan-tener-una-limitacion</w:t>
      </w:r>
      <w:r w:rsidR="008B00C5" w:rsidRPr="004C7F01">
        <w:rPr>
          <w:szCs w:val="16"/>
          <w:lang w:val="es-ES"/>
        </w:rPr>
        <w:t>.</w:t>
      </w:r>
    </w:p>
  </w:footnote>
  <w:footnote w:id="50">
    <w:p w14:paraId="549B7EC6" w14:textId="1B729972" w:rsidR="00CC4BE6" w:rsidRPr="0021621A" w:rsidRDefault="00CC4BE6" w:rsidP="00CC4BE6">
      <w:pPr>
        <w:pStyle w:val="FootnoteText"/>
        <w:rPr>
          <w:szCs w:val="16"/>
        </w:rPr>
      </w:pPr>
      <w:r w:rsidRPr="0021621A">
        <w:rPr>
          <w:rStyle w:val="FootnoteReference"/>
          <w:rFonts w:ascii="MetaPro-Norm" w:hAnsi="MetaPro-Norm"/>
          <w:sz w:val="16"/>
          <w:szCs w:val="16"/>
        </w:rPr>
        <w:footnoteRef/>
      </w:r>
      <w:r w:rsidRPr="0021621A">
        <w:rPr>
          <w:szCs w:val="16"/>
        </w:rPr>
        <w:t xml:space="preserve"> </w:t>
      </w:r>
      <w:r w:rsidR="009A00A5">
        <w:rPr>
          <w:szCs w:val="16"/>
        </w:rPr>
        <w:t xml:space="preserve">Sally Lindsay, “Accessible Independent Housing for People with Disabilities: A Scoping Review of Promising Practices, Policies, and Interventions,” </w:t>
      </w:r>
      <w:proofErr w:type="spellStart"/>
      <w:r w:rsidR="009A00A5">
        <w:rPr>
          <w:i/>
          <w:iCs/>
          <w:szCs w:val="16"/>
        </w:rPr>
        <w:t>PLoS</w:t>
      </w:r>
      <w:proofErr w:type="spellEnd"/>
      <w:r w:rsidR="009A00A5">
        <w:rPr>
          <w:i/>
          <w:iCs/>
          <w:szCs w:val="16"/>
        </w:rPr>
        <w:t xml:space="preserve"> One</w:t>
      </w:r>
      <w:r w:rsidR="002B7E31">
        <w:rPr>
          <w:szCs w:val="16"/>
        </w:rPr>
        <w:t xml:space="preserve"> 19(1)</w:t>
      </w:r>
      <w:r w:rsidR="0089551F">
        <w:rPr>
          <w:szCs w:val="16"/>
        </w:rPr>
        <w:t xml:space="preserve"> (2024)</w:t>
      </w:r>
      <w:r w:rsidR="008D1935">
        <w:rPr>
          <w:szCs w:val="16"/>
        </w:rPr>
        <w:t>,</w:t>
      </w:r>
      <w:r w:rsidR="00346860">
        <w:rPr>
          <w:szCs w:val="16"/>
        </w:rPr>
        <w:t xml:space="preserve"> </w:t>
      </w:r>
      <w:proofErr w:type="spellStart"/>
      <w:r w:rsidR="00892105">
        <w:rPr>
          <w:szCs w:val="16"/>
        </w:rPr>
        <w:t>doi</w:t>
      </w:r>
      <w:proofErr w:type="spellEnd"/>
      <w:r w:rsidR="00892105">
        <w:rPr>
          <w:szCs w:val="16"/>
        </w:rPr>
        <w:t xml:space="preserve">: </w:t>
      </w:r>
      <w:r w:rsidR="00892105" w:rsidRPr="00892105">
        <w:rPr>
          <w:szCs w:val="16"/>
        </w:rPr>
        <w:t>10.1371/journal.pone.0291228</w:t>
      </w:r>
      <w:r w:rsidR="00892105">
        <w:rPr>
          <w:szCs w:val="16"/>
        </w:rPr>
        <w:t>.</w:t>
      </w:r>
    </w:p>
  </w:footnote>
  <w:footnote w:id="51">
    <w:p w14:paraId="5E354B40" w14:textId="13EB8288" w:rsidR="009C66CE" w:rsidRPr="0021621A" w:rsidRDefault="009C66CE">
      <w:pPr>
        <w:pStyle w:val="FootnoteText"/>
        <w:rPr>
          <w:szCs w:val="16"/>
        </w:rPr>
      </w:pPr>
      <w:r w:rsidRPr="0021621A">
        <w:rPr>
          <w:rStyle w:val="FootnoteReference"/>
          <w:rFonts w:ascii="MetaPro-Norm" w:hAnsi="MetaPro-Norm"/>
          <w:sz w:val="16"/>
          <w:szCs w:val="16"/>
        </w:rPr>
        <w:footnoteRef/>
      </w:r>
      <w:r w:rsidRPr="0021621A">
        <w:rPr>
          <w:szCs w:val="16"/>
        </w:rPr>
        <w:t xml:space="preserve"> </w:t>
      </w:r>
      <w:r w:rsidR="0018374F">
        <w:rPr>
          <w:szCs w:val="16"/>
        </w:rPr>
        <w:t xml:space="preserve">F G Bowe, “Transportation: A Key to Independent Living,” </w:t>
      </w:r>
      <w:r w:rsidR="0018374F">
        <w:rPr>
          <w:i/>
          <w:iCs/>
          <w:szCs w:val="16"/>
        </w:rPr>
        <w:t xml:space="preserve">Arch Phys Med </w:t>
      </w:r>
      <w:proofErr w:type="spellStart"/>
      <w:r w:rsidR="0018374F">
        <w:rPr>
          <w:i/>
          <w:iCs/>
          <w:szCs w:val="16"/>
        </w:rPr>
        <w:t>Rehabil</w:t>
      </w:r>
      <w:proofErr w:type="spellEnd"/>
      <w:r w:rsidR="0018374F">
        <w:rPr>
          <w:i/>
          <w:iCs/>
          <w:szCs w:val="16"/>
        </w:rPr>
        <w:t>.</w:t>
      </w:r>
      <w:r w:rsidR="0083473E">
        <w:rPr>
          <w:szCs w:val="16"/>
        </w:rPr>
        <w:t xml:space="preserve"> </w:t>
      </w:r>
      <w:r w:rsidR="00334ED7">
        <w:rPr>
          <w:szCs w:val="16"/>
        </w:rPr>
        <w:t xml:space="preserve">60(10) </w:t>
      </w:r>
      <w:r w:rsidR="0083473E">
        <w:rPr>
          <w:szCs w:val="16"/>
        </w:rPr>
        <w:t>(1979)</w:t>
      </w:r>
      <w:r w:rsidR="00334ED7">
        <w:rPr>
          <w:szCs w:val="16"/>
        </w:rPr>
        <w:t>:483-486,</w:t>
      </w:r>
      <w:r w:rsidRPr="0021621A">
        <w:rPr>
          <w:szCs w:val="16"/>
        </w:rPr>
        <w:t xml:space="preserve"> https://pubmed.ncbi.nlm.nih.gov/496601/</w:t>
      </w:r>
      <w:r w:rsidR="00334ED7">
        <w:rPr>
          <w:szCs w:val="16"/>
        </w:rPr>
        <w:t>.</w:t>
      </w:r>
    </w:p>
  </w:footnote>
  <w:footnote w:id="52">
    <w:p w14:paraId="7024B879" w14:textId="58FAA07D" w:rsidR="00F805BE" w:rsidRPr="0021621A" w:rsidRDefault="00F805BE">
      <w:pPr>
        <w:pStyle w:val="FootnoteText"/>
        <w:rPr>
          <w:szCs w:val="16"/>
        </w:rPr>
      </w:pPr>
      <w:r w:rsidRPr="0021621A">
        <w:rPr>
          <w:rStyle w:val="FootnoteReference"/>
          <w:rFonts w:ascii="MetaPro-Norm" w:hAnsi="MetaPro-Norm"/>
          <w:sz w:val="16"/>
          <w:szCs w:val="16"/>
        </w:rPr>
        <w:footnoteRef/>
      </w:r>
      <w:r w:rsidRPr="0021621A">
        <w:rPr>
          <w:szCs w:val="16"/>
        </w:rPr>
        <w:t xml:space="preserve"> </w:t>
      </w:r>
      <w:r w:rsidR="00334ED7">
        <w:rPr>
          <w:szCs w:val="16"/>
        </w:rPr>
        <w:t xml:space="preserve">Kamil </w:t>
      </w:r>
      <w:proofErr w:type="spellStart"/>
      <w:r w:rsidR="00334ED7">
        <w:rPr>
          <w:szCs w:val="16"/>
        </w:rPr>
        <w:t>Goungor</w:t>
      </w:r>
      <w:proofErr w:type="spellEnd"/>
      <w:r w:rsidR="00334ED7">
        <w:rPr>
          <w:szCs w:val="16"/>
        </w:rPr>
        <w:t xml:space="preserve"> et al., </w:t>
      </w:r>
      <w:r w:rsidR="00C517E2">
        <w:rPr>
          <w:szCs w:val="16"/>
        </w:rPr>
        <w:t>“Myth Buster: Personal Assistance</w:t>
      </w:r>
      <w:r w:rsidR="005251C8">
        <w:rPr>
          <w:szCs w:val="16"/>
        </w:rPr>
        <w:t>,</w:t>
      </w:r>
      <w:r w:rsidR="00C517E2">
        <w:rPr>
          <w:szCs w:val="16"/>
        </w:rPr>
        <w:t>”</w:t>
      </w:r>
      <w:r w:rsidR="005251C8">
        <w:rPr>
          <w:szCs w:val="16"/>
        </w:rPr>
        <w:t xml:space="preserve"> December 2022,</w:t>
      </w:r>
      <w:r w:rsidRPr="0021621A">
        <w:rPr>
          <w:szCs w:val="16"/>
        </w:rPr>
        <w:t xml:space="preserve"> https://enil.eu/wp-content/uploads/2023/06/Myths-Buster_Personal-assistance_web_low-res-1.pdf</w:t>
      </w:r>
      <w:r w:rsidR="005251C8">
        <w:rPr>
          <w:szCs w:val="16"/>
        </w:rPr>
        <w:t>.</w:t>
      </w:r>
    </w:p>
  </w:footnote>
  <w:footnote w:id="53">
    <w:p w14:paraId="433CF8C5" w14:textId="40BD4B6A" w:rsidR="006F05E8" w:rsidRPr="0021621A" w:rsidRDefault="006F05E8" w:rsidP="33CB1232">
      <w:pPr>
        <w:pStyle w:val="FootnoteText"/>
        <w:rPr>
          <w:rFonts w:ascii="system-ui" w:eastAsia="system-ui" w:hAnsi="system-ui" w:cs="system-ui"/>
          <w:color w:val="0D0D0D" w:themeColor="text1" w:themeTint="F2"/>
          <w:sz w:val="24"/>
          <w:szCs w:val="24"/>
          <w:lang w:val="es-ES"/>
        </w:rPr>
      </w:pPr>
      <w:r w:rsidRPr="33CB1232">
        <w:rPr>
          <w:rStyle w:val="FootnoteReference"/>
          <w:rFonts w:ascii="MetaPro-Norm" w:hAnsi="MetaPro-Norm"/>
          <w:sz w:val="16"/>
          <w:szCs w:val="16"/>
          <w:lang w:val="es-ES"/>
        </w:rPr>
        <w:footnoteRef/>
      </w:r>
      <w:r w:rsidR="33CB1232" w:rsidRPr="33CB1232">
        <w:rPr>
          <w:lang w:val="es-ES"/>
        </w:rPr>
        <w:t xml:space="preserve"> Código Penal Para El Estado Libre Y Soberano De Oaxaca, </w:t>
      </w:r>
      <w:r w:rsidR="33CB1232" w:rsidRPr="33CB1232">
        <w:rPr>
          <w:i/>
          <w:iCs/>
          <w:lang w:val="es-ES"/>
        </w:rPr>
        <w:t>Periódico Oficial del Estado de Oaxaca</w:t>
      </w:r>
      <w:r w:rsidR="33CB1232" w:rsidRPr="33CB1232">
        <w:rPr>
          <w:lang w:val="es-ES"/>
        </w:rPr>
        <w:t>, 1980, https://www.oaxaca.gob.mx/semovi/wp-content/uploads/sites/34/2024/01/CODIGO-PENAL-PARA-EL-ESTADO-LIBRE-Y-SOBERANO-DE-OAXACA.docx (</w:t>
      </w:r>
      <w:proofErr w:type="spellStart"/>
      <w:r w:rsidR="33CB1232" w:rsidRPr="33CB1232">
        <w:rPr>
          <w:lang w:val="es-ES"/>
        </w:rPr>
        <w:t>accessed</w:t>
      </w:r>
      <w:proofErr w:type="spellEnd"/>
      <w:r w:rsidR="33CB1232" w:rsidRPr="33CB1232">
        <w:rPr>
          <w:lang w:val="es-ES"/>
        </w:rPr>
        <w:t xml:space="preserve"> April 3, 2024), art. 404; Código Penal Para El Estado Libre Y Soberano De Jalisco, 1980, https://transparencia.info.jalisco.gob.mx/sites/default/files/C%C3%B3digo Penal para el Estado Libre y Soberano de Jalisco (1).</w:t>
      </w:r>
      <w:proofErr w:type="spellStart"/>
      <w:r w:rsidR="33CB1232" w:rsidRPr="33CB1232">
        <w:rPr>
          <w:lang w:val="es-ES"/>
        </w:rPr>
        <w:t>pdf</w:t>
      </w:r>
      <w:proofErr w:type="spellEnd"/>
      <w:r w:rsidR="33CB1232" w:rsidRPr="33CB1232">
        <w:rPr>
          <w:lang w:val="es-ES"/>
        </w:rPr>
        <w:t xml:space="preserve">, art. 176; </w:t>
      </w:r>
      <w:r w:rsidR="00756223" w:rsidRPr="33CB1232">
        <w:rPr>
          <w:lang w:val="es-ES"/>
        </w:rPr>
        <w:t xml:space="preserve">Código Penal Para El Estado Libre Y Soberano </w:t>
      </w:r>
      <w:r w:rsidR="00756223">
        <w:rPr>
          <w:lang w:val="es-ES"/>
        </w:rPr>
        <w:t xml:space="preserve">De Nuevo </w:t>
      </w:r>
      <w:r w:rsidR="00756223" w:rsidRPr="00756223">
        <w:rPr>
          <w:lang w:val="es-ES"/>
        </w:rPr>
        <w:t>León</w:t>
      </w:r>
      <w:r w:rsidR="00756223">
        <w:rPr>
          <w:lang w:val="es-ES"/>
        </w:rPr>
        <w:t xml:space="preserve">, </w:t>
      </w:r>
      <w:r w:rsidR="00583FC4">
        <w:rPr>
          <w:lang w:val="es-ES"/>
        </w:rPr>
        <w:t xml:space="preserve">1990, </w:t>
      </w:r>
      <w:r w:rsidR="008F0AF1" w:rsidRPr="00583FC4">
        <w:rPr>
          <w:lang w:val="es-ES"/>
        </w:rPr>
        <w:t>https://www.hcnl.gob.mx/trabajo_legislativo/leyes/codigos/codigo_penal_para_el_estado_de_nuevo_leon/</w:t>
      </w:r>
      <w:r w:rsidR="008F0AF1">
        <w:rPr>
          <w:lang w:val="es-ES"/>
        </w:rPr>
        <w:t xml:space="preserve"> (</w:t>
      </w:r>
      <w:proofErr w:type="spellStart"/>
      <w:r w:rsidR="008F0AF1">
        <w:rPr>
          <w:lang w:val="es-ES"/>
        </w:rPr>
        <w:t>accessed</w:t>
      </w:r>
      <w:proofErr w:type="spellEnd"/>
      <w:r w:rsidR="008F0AF1">
        <w:rPr>
          <w:lang w:val="es-ES"/>
        </w:rPr>
        <w:t xml:space="preserve"> April 4, 2024), </w:t>
      </w:r>
      <w:r w:rsidR="33CB1232" w:rsidRPr="00756223">
        <w:rPr>
          <w:lang w:val="es-ES"/>
        </w:rPr>
        <w:t>art. 287.</w:t>
      </w:r>
    </w:p>
  </w:footnote>
  <w:footnote w:id="54">
    <w:p w14:paraId="2A02B4D2" w14:textId="441ADC19" w:rsidR="00C853FA" w:rsidRPr="004C7F01" w:rsidRDefault="00C853FA" w:rsidP="00C853FA">
      <w:pPr>
        <w:pStyle w:val="FootnoteText"/>
        <w:rPr>
          <w:szCs w:val="16"/>
          <w:lang w:val="es-ES"/>
        </w:rPr>
      </w:pPr>
      <w:r w:rsidRPr="0021621A">
        <w:rPr>
          <w:rStyle w:val="FootnoteReference"/>
          <w:rFonts w:ascii="MetaPro-Norm" w:hAnsi="MetaPro-Norm"/>
          <w:sz w:val="16"/>
          <w:szCs w:val="16"/>
        </w:rPr>
        <w:footnoteRef/>
      </w:r>
      <w:r w:rsidRPr="004C7F01">
        <w:rPr>
          <w:szCs w:val="16"/>
          <w:lang w:val="es-ES"/>
        </w:rPr>
        <w:t xml:space="preserve"> </w:t>
      </w:r>
      <w:r w:rsidR="005E5F8E" w:rsidRPr="004C7F01">
        <w:rPr>
          <w:lang w:val="es-ES"/>
        </w:rPr>
        <w:t>Comisión Interamericana de Mujeres (CIM),</w:t>
      </w:r>
      <w:r w:rsidR="00010F89" w:rsidRPr="004C7F01">
        <w:rPr>
          <w:lang w:val="es-ES"/>
        </w:rPr>
        <w:t xml:space="preserve"> “</w:t>
      </w:r>
      <w:r w:rsidRPr="004C7F01">
        <w:rPr>
          <w:szCs w:val="16"/>
          <w:lang w:val="es-ES"/>
        </w:rPr>
        <w:t>Ley Modelo Interamericana de Cuidados</w:t>
      </w:r>
      <w:r w:rsidR="00010F89" w:rsidRPr="004C7F01">
        <w:rPr>
          <w:szCs w:val="16"/>
          <w:lang w:val="es-ES"/>
        </w:rPr>
        <w:t xml:space="preserve">,” 2022, </w:t>
      </w:r>
      <w:r w:rsidRPr="004C7F01">
        <w:rPr>
          <w:szCs w:val="16"/>
          <w:lang w:val="es-ES"/>
        </w:rPr>
        <w:t>https://www.oas.org/es/cim/docs/LeyModeloCuidados-ES.pdf</w:t>
      </w:r>
      <w:r w:rsidR="00955BBA" w:rsidRPr="004C7F01">
        <w:rPr>
          <w:szCs w:val="16"/>
          <w:lang w:val="es-ES"/>
        </w:rPr>
        <w:t>.</w:t>
      </w:r>
    </w:p>
  </w:footnote>
  <w:footnote w:id="55">
    <w:p w14:paraId="44DF97DB" w14:textId="47B53798" w:rsidR="00C853FA" w:rsidRPr="0021621A" w:rsidRDefault="00C853FA" w:rsidP="00C853FA">
      <w:pPr>
        <w:pStyle w:val="FootnoteText"/>
        <w:rPr>
          <w:szCs w:val="16"/>
          <w:lang w:val="es-419"/>
        </w:rPr>
      </w:pPr>
      <w:r w:rsidRPr="0021621A">
        <w:rPr>
          <w:rStyle w:val="FootnoteReference"/>
          <w:rFonts w:ascii="MetaPro-Norm" w:hAnsi="MetaPro-Norm"/>
          <w:sz w:val="16"/>
          <w:szCs w:val="16"/>
        </w:rPr>
        <w:footnoteRef/>
      </w:r>
      <w:r w:rsidRPr="0021621A">
        <w:rPr>
          <w:szCs w:val="16"/>
          <w:lang w:val="es-419"/>
        </w:rPr>
        <w:t xml:space="preserve"> </w:t>
      </w:r>
      <w:r w:rsidR="003C054D" w:rsidRPr="003C054D">
        <w:rPr>
          <w:szCs w:val="16"/>
          <w:lang w:val="es-419"/>
        </w:rPr>
        <w:t>El Registro Nacional de Leyes y Decretos</w:t>
      </w:r>
      <w:r w:rsidR="003C054D">
        <w:rPr>
          <w:szCs w:val="16"/>
          <w:lang w:val="es-419"/>
        </w:rPr>
        <w:t>,</w:t>
      </w:r>
      <w:r w:rsidR="003C054D" w:rsidRPr="003C054D">
        <w:rPr>
          <w:szCs w:val="16"/>
          <w:lang w:val="es-419"/>
        </w:rPr>
        <w:t xml:space="preserve"> </w:t>
      </w:r>
      <w:r w:rsidR="003C054D">
        <w:rPr>
          <w:szCs w:val="16"/>
          <w:lang w:val="es-419"/>
        </w:rPr>
        <w:t>“</w:t>
      </w:r>
      <w:r w:rsidR="00F137F6" w:rsidRPr="00F137F6">
        <w:rPr>
          <w:szCs w:val="16"/>
          <w:lang w:val="es-419"/>
        </w:rPr>
        <w:t>C</w:t>
      </w:r>
      <w:r w:rsidR="003C054D">
        <w:rPr>
          <w:szCs w:val="16"/>
          <w:lang w:val="es-419"/>
        </w:rPr>
        <w:t>reacion</w:t>
      </w:r>
      <w:r w:rsidR="00F137F6" w:rsidRPr="00F137F6">
        <w:rPr>
          <w:szCs w:val="16"/>
          <w:lang w:val="es-419"/>
        </w:rPr>
        <w:t xml:space="preserve"> D</w:t>
      </w:r>
      <w:r w:rsidR="003C054D">
        <w:rPr>
          <w:szCs w:val="16"/>
          <w:lang w:val="es-419"/>
        </w:rPr>
        <w:t>el</w:t>
      </w:r>
      <w:r w:rsidR="00F137F6" w:rsidRPr="00F137F6">
        <w:rPr>
          <w:szCs w:val="16"/>
          <w:lang w:val="es-419"/>
        </w:rPr>
        <w:t xml:space="preserve"> S</w:t>
      </w:r>
      <w:r w:rsidR="003C054D">
        <w:rPr>
          <w:szCs w:val="16"/>
          <w:lang w:val="es-419"/>
        </w:rPr>
        <w:t>istema</w:t>
      </w:r>
      <w:r w:rsidR="00F137F6" w:rsidRPr="00F137F6">
        <w:rPr>
          <w:szCs w:val="16"/>
          <w:lang w:val="es-419"/>
        </w:rPr>
        <w:t xml:space="preserve"> N</w:t>
      </w:r>
      <w:r w:rsidR="003C054D">
        <w:rPr>
          <w:szCs w:val="16"/>
          <w:lang w:val="es-419"/>
        </w:rPr>
        <w:t>acional</w:t>
      </w:r>
      <w:r w:rsidR="00F137F6" w:rsidRPr="00F137F6">
        <w:rPr>
          <w:szCs w:val="16"/>
          <w:lang w:val="es-419"/>
        </w:rPr>
        <w:t xml:space="preserve"> I</w:t>
      </w:r>
      <w:r w:rsidR="003C054D">
        <w:rPr>
          <w:szCs w:val="16"/>
          <w:lang w:val="es-419"/>
        </w:rPr>
        <w:t>ntegrado</w:t>
      </w:r>
      <w:r w:rsidR="00F137F6" w:rsidRPr="00F137F6">
        <w:rPr>
          <w:szCs w:val="16"/>
          <w:lang w:val="es-419"/>
        </w:rPr>
        <w:t xml:space="preserve"> D</w:t>
      </w:r>
      <w:r w:rsidR="003C054D">
        <w:rPr>
          <w:szCs w:val="16"/>
          <w:lang w:val="es-419"/>
        </w:rPr>
        <w:t>e</w:t>
      </w:r>
      <w:r w:rsidR="00F137F6" w:rsidRPr="00F137F6">
        <w:rPr>
          <w:szCs w:val="16"/>
          <w:lang w:val="es-419"/>
        </w:rPr>
        <w:t xml:space="preserve"> C</w:t>
      </w:r>
      <w:r w:rsidR="003C054D">
        <w:rPr>
          <w:szCs w:val="16"/>
          <w:lang w:val="es-419"/>
        </w:rPr>
        <w:t>uidados</w:t>
      </w:r>
      <w:r w:rsidR="00F137F6" w:rsidRPr="00F137F6">
        <w:rPr>
          <w:szCs w:val="16"/>
          <w:lang w:val="es-419"/>
        </w:rPr>
        <w:t xml:space="preserve"> (SNIC)</w:t>
      </w:r>
      <w:r w:rsidR="003C054D">
        <w:rPr>
          <w:szCs w:val="16"/>
          <w:lang w:val="es-419"/>
        </w:rPr>
        <w:t>”</w:t>
      </w:r>
      <w:r w:rsidR="00F137F6">
        <w:rPr>
          <w:szCs w:val="16"/>
          <w:lang w:val="es-419"/>
        </w:rPr>
        <w:t>,</w:t>
      </w:r>
      <w:r w:rsidR="003C054D">
        <w:rPr>
          <w:szCs w:val="16"/>
          <w:lang w:val="es-419"/>
        </w:rPr>
        <w:t xml:space="preserve"> </w:t>
      </w:r>
      <w:r w:rsidR="003C054D" w:rsidRPr="003C054D">
        <w:rPr>
          <w:szCs w:val="16"/>
          <w:lang w:val="es-419"/>
        </w:rPr>
        <w:t>Ley N° 19353</w:t>
      </w:r>
      <w:r w:rsidR="003C054D">
        <w:rPr>
          <w:szCs w:val="16"/>
          <w:lang w:val="es-419"/>
        </w:rPr>
        <w:t>,</w:t>
      </w:r>
      <w:r w:rsidR="00F137F6">
        <w:rPr>
          <w:szCs w:val="16"/>
          <w:lang w:val="es-419"/>
        </w:rPr>
        <w:t xml:space="preserve"> </w:t>
      </w:r>
      <w:r w:rsidR="006A74D6">
        <w:rPr>
          <w:szCs w:val="16"/>
          <w:lang w:val="es-419"/>
        </w:rPr>
        <w:t xml:space="preserve">December </w:t>
      </w:r>
      <w:r w:rsidR="00A95909">
        <w:rPr>
          <w:szCs w:val="16"/>
          <w:lang w:val="es-419"/>
        </w:rPr>
        <w:t>8, 2015,</w:t>
      </w:r>
      <w:r w:rsidRPr="0021621A">
        <w:rPr>
          <w:szCs w:val="16"/>
          <w:lang w:val="es-419"/>
        </w:rPr>
        <w:t xml:space="preserve"> </w:t>
      </w:r>
      <w:r w:rsidR="00010F89" w:rsidRPr="00A95909">
        <w:rPr>
          <w:szCs w:val="16"/>
          <w:lang w:val="es-419"/>
        </w:rPr>
        <w:t>https://www.impo.com.uy/bases/leyes/19353-2015</w:t>
      </w:r>
      <w:r w:rsidR="00A95909">
        <w:rPr>
          <w:szCs w:val="16"/>
          <w:lang w:val="es-419"/>
        </w:rPr>
        <w:t>.</w:t>
      </w:r>
    </w:p>
  </w:footnote>
  <w:footnote w:id="56">
    <w:p w14:paraId="2EAE4539" w14:textId="687BDDAB" w:rsidR="0015549B" w:rsidRPr="00E351E8" w:rsidRDefault="0015549B">
      <w:pPr>
        <w:pStyle w:val="FootnoteText"/>
        <w:rPr>
          <w:szCs w:val="16"/>
          <w:lang w:val="es-419"/>
        </w:rPr>
      </w:pPr>
      <w:r w:rsidRPr="0021621A">
        <w:rPr>
          <w:rStyle w:val="FootnoteReference"/>
          <w:rFonts w:ascii="MetaPro-Norm" w:hAnsi="MetaPro-Norm"/>
          <w:sz w:val="16"/>
          <w:szCs w:val="16"/>
        </w:rPr>
        <w:footnoteRef/>
      </w:r>
      <w:r w:rsidRPr="00E351E8">
        <w:rPr>
          <w:szCs w:val="16"/>
          <w:lang w:val="es-419"/>
        </w:rPr>
        <w:t xml:space="preserve"> CRPD, </w:t>
      </w:r>
      <w:proofErr w:type="spellStart"/>
      <w:r w:rsidRPr="00E351E8">
        <w:rPr>
          <w:szCs w:val="16"/>
          <w:lang w:val="es-419"/>
        </w:rPr>
        <w:t>article</w:t>
      </w:r>
      <w:proofErr w:type="spellEnd"/>
      <w:r w:rsidRPr="00E351E8">
        <w:rPr>
          <w:szCs w:val="16"/>
          <w:lang w:val="es-419"/>
        </w:rPr>
        <w:t xml:space="preserve"> 4(3)</w:t>
      </w:r>
      <w:r w:rsidR="000F5A99" w:rsidRPr="00E351E8">
        <w:rPr>
          <w:szCs w:val="16"/>
          <w:lang w:val="es-419"/>
        </w:rPr>
        <w:t>.</w:t>
      </w:r>
    </w:p>
  </w:footnote>
  <w:footnote w:id="57">
    <w:p w14:paraId="10EB2528" w14:textId="2F25AF97" w:rsidR="0018476E" w:rsidRPr="00E351E8" w:rsidRDefault="0018476E">
      <w:pPr>
        <w:pStyle w:val="FootnoteText"/>
        <w:rPr>
          <w:szCs w:val="16"/>
          <w:lang w:val="es-419"/>
        </w:rPr>
      </w:pPr>
      <w:r w:rsidRPr="0021621A">
        <w:rPr>
          <w:rStyle w:val="FootnoteReference"/>
          <w:rFonts w:ascii="MetaPro-Norm" w:hAnsi="MetaPro-Norm"/>
          <w:sz w:val="16"/>
          <w:szCs w:val="16"/>
        </w:rPr>
        <w:footnoteRef/>
      </w:r>
      <w:r w:rsidRPr="00E351E8">
        <w:rPr>
          <w:szCs w:val="16"/>
          <w:lang w:val="es-419"/>
        </w:rPr>
        <w:t xml:space="preserve"> </w:t>
      </w:r>
      <w:r w:rsidR="00BE483A" w:rsidRPr="00E351E8">
        <w:rPr>
          <w:szCs w:val="16"/>
          <w:lang w:val="es-419"/>
        </w:rPr>
        <w:t xml:space="preserve">Suprema Corte de Justicia de la </w:t>
      </w:r>
      <w:proofErr w:type="spellStart"/>
      <w:r w:rsidR="00BE483A" w:rsidRPr="00E351E8">
        <w:rPr>
          <w:szCs w:val="16"/>
          <w:lang w:val="es-419"/>
        </w:rPr>
        <w:t>Nacion</w:t>
      </w:r>
      <w:proofErr w:type="spellEnd"/>
      <w:r w:rsidR="00886B75" w:rsidRPr="00E351E8">
        <w:rPr>
          <w:szCs w:val="16"/>
          <w:lang w:val="es-419"/>
        </w:rPr>
        <w:t xml:space="preserve">, </w:t>
      </w:r>
      <w:r w:rsidR="00886B75" w:rsidRPr="004C7F01">
        <w:rPr>
          <w:szCs w:val="16"/>
          <w:lang w:val="es-ES"/>
        </w:rPr>
        <w:t>“</w:t>
      </w:r>
      <w:proofErr w:type="spellStart"/>
      <w:r w:rsidR="00886B75" w:rsidRPr="004C7F01">
        <w:rPr>
          <w:szCs w:val="16"/>
          <w:lang w:val="es-ES"/>
        </w:rPr>
        <w:t>Sistencias</w:t>
      </w:r>
      <w:proofErr w:type="spellEnd"/>
      <w:r w:rsidR="00886B75" w:rsidRPr="004C7F01">
        <w:rPr>
          <w:szCs w:val="16"/>
          <w:lang w:val="es-ES"/>
        </w:rPr>
        <w:t xml:space="preserve"> relevantes en materia de Derechos Humanos,” </w:t>
      </w:r>
      <w:proofErr w:type="spellStart"/>
      <w:r w:rsidR="00886B75" w:rsidRPr="004C7F01">
        <w:rPr>
          <w:szCs w:val="16"/>
          <w:lang w:val="es-ES"/>
        </w:rPr>
        <w:t>undated</w:t>
      </w:r>
      <w:proofErr w:type="spellEnd"/>
      <w:r w:rsidRPr="004C7F01">
        <w:rPr>
          <w:szCs w:val="16"/>
          <w:lang w:val="es-ES"/>
        </w:rPr>
        <w:t xml:space="preserve"> </w:t>
      </w:r>
      <w:r w:rsidRPr="00E351E8">
        <w:rPr>
          <w:szCs w:val="16"/>
          <w:lang w:val="es-419"/>
        </w:rPr>
        <w:t>https://www.scjn.gob.mx/derechos-humanos/buscadores-juridicos/sentencias-relevantes-en-materia-de-derechos-humanos/1300</w:t>
      </w:r>
      <w:r w:rsidR="00886B75" w:rsidRPr="00E351E8">
        <w:rPr>
          <w:szCs w:val="16"/>
          <w:lang w:val="es-419"/>
        </w:rPr>
        <w:t>.</w:t>
      </w:r>
    </w:p>
  </w:footnote>
  <w:footnote w:id="58">
    <w:p w14:paraId="443F087D" w14:textId="4DDFA558" w:rsidR="069E9703" w:rsidRDefault="069E9703" w:rsidP="069E9703">
      <w:pPr>
        <w:rPr>
          <w:rFonts w:eastAsia="MetaPro-Norm" w:cs="MetaPro-Norm"/>
          <w:szCs w:val="22"/>
        </w:rPr>
      </w:pPr>
      <w:r w:rsidRPr="00A26CB5">
        <w:rPr>
          <w:rStyle w:val="FootnoteReference"/>
          <w:rFonts w:ascii="MetaPro-Norm" w:hAnsi="MetaPro-Norm"/>
          <w:sz w:val="16"/>
          <w:szCs w:val="16"/>
        </w:rPr>
        <w:footnoteRef/>
      </w:r>
      <w:r w:rsidRPr="00A26CB5">
        <w:rPr>
          <w:rStyle w:val="FootnoteReference"/>
          <w:rFonts w:ascii="MetaPro-Norm" w:hAnsi="MetaPro-Norm"/>
          <w:sz w:val="16"/>
          <w:szCs w:val="16"/>
        </w:rPr>
        <w:t xml:space="preserve"> </w:t>
      </w:r>
      <w:r w:rsidRPr="0005238A">
        <w:rPr>
          <w:sz w:val="16"/>
          <w:szCs w:val="20"/>
        </w:rPr>
        <w:t xml:space="preserve">For example, the US and the UK have this kind of model. For the US, see Administration for Community Living, ‘Annual Report on </w:t>
      </w:r>
      <w:proofErr w:type="spellStart"/>
      <w:r w:rsidRPr="0005238A">
        <w:rPr>
          <w:sz w:val="16"/>
          <w:szCs w:val="20"/>
        </w:rPr>
        <w:t>Centres</w:t>
      </w:r>
      <w:proofErr w:type="spellEnd"/>
      <w:r w:rsidRPr="0005238A">
        <w:rPr>
          <w:sz w:val="16"/>
          <w:szCs w:val="20"/>
        </w:rPr>
        <w:t xml:space="preserve"> for Independent </w:t>
      </w:r>
      <w:proofErr w:type="gramStart"/>
      <w:r w:rsidRPr="0005238A">
        <w:rPr>
          <w:sz w:val="16"/>
          <w:szCs w:val="20"/>
        </w:rPr>
        <w:t xml:space="preserve">Living‘ </w:t>
      </w:r>
      <w:proofErr w:type="spellStart"/>
      <w:r w:rsidRPr="0005238A">
        <w:rPr>
          <w:sz w:val="16"/>
          <w:szCs w:val="20"/>
        </w:rPr>
        <w:t>AnnualReportCILsFinal</w:t>
      </w:r>
      <w:proofErr w:type="spellEnd"/>
      <w:proofErr w:type="gramEnd"/>
      <w:r w:rsidRPr="0005238A">
        <w:rPr>
          <w:sz w:val="16"/>
          <w:szCs w:val="20"/>
        </w:rPr>
        <w:t xml:space="preserve"> 2018.pdf (acl.gov). For the UK, see Focus on Disability</w:t>
      </w:r>
      <w:r w:rsidR="00F62301" w:rsidRPr="0005238A">
        <w:rPr>
          <w:sz w:val="16"/>
          <w:szCs w:val="20"/>
        </w:rPr>
        <w:t xml:space="preserve">, </w:t>
      </w:r>
      <w:r w:rsidR="009E2F82" w:rsidRPr="0005238A">
        <w:rPr>
          <w:sz w:val="16"/>
          <w:szCs w:val="20"/>
        </w:rPr>
        <w:t>https://focusondisability.co.uk/independent-living-centres/.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3D3C" w14:textId="7C44ACA2" w:rsidR="0094324D" w:rsidRDefault="0094324D" w:rsidP="007373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8430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C68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1C51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695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AC6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5A1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874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7C3F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E9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8AB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43691"/>
    <w:multiLevelType w:val="hybridMultilevel"/>
    <w:tmpl w:val="01A0C7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497F1F"/>
    <w:multiLevelType w:val="hybridMultilevel"/>
    <w:tmpl w:val="4768B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F4365A"/>
    <w:multiLevelType w:val="hybridMultilevel"/>
    <w:tmpl w:val="5358E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810DB"/>
    <w:multiLevelType w:val="hybridMultilevel"/>
    <w:tmpl w:val="9AFE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AA5636"/>
    <w:multiLevelType w:val="hybridMultilevel"/>
    <w:tmpl w:val="4EB288AE"/>
    <w:lvl w:ilvl="0" w:tplc="178CC41A">
      <w:start w:val="1"/>
      <w:numFmt w:val="bullet"/>
      <w:lvlText w:val=""/>
      <w:lvlJc w:val="left"/>
      <w:pPr>
        <w:ind w:left="1020" w:hanging="360"/>
      </w:pPr>
      <w:rPr>
        <w:rFonts w:ascii="Symbol" w:hAnsi="Symbol"/>
      </w:rPr>
    </w:lvl>
    <w:lvl w:ilvl="1" w:tplc="D3E45548">
      <w:start w:val="1"/>
      <w:numFmt w:val="bullet"/>
      <w:lvlText w:val=""/>
      <w:lvlJc w:val="left"/>
      <w:pPr>
        <w:ind w:left="1020" w:hanging="360"/>
      </w:pPr>
      <w:rPr>
        <w:rFonts w:ascii="Symbol" w:hAnsi="Symbol"/>
      </w:rPr>
    </w:lvl>
    <w:lvl w:ilvl="2" w:tplc="2EE6A996">
      <w:start w:val="1"/>
      <w:numFmt w:val="bullet"/>
      <w:lvlText w:val=""/>
      <w:lvlJc w:val="left"/>
      <w:pPr>
        <w:ind w:left="1020" w:hanging="360"/>
      </w:pPr>
      <w:rPr>
        <w:rFonts w:ascii="Symbol" w:hAnsi="Symbol"/>
      </w:rPr>
    </w:lvl>
    <w:lvl w:ilvl="3" w:tplc="7D06C0E4">
      <w:start w:val="1"/>
      <w:numFmt w:val="bullet"/>
      <w:lvlText w:val=""/>
      <w:lvlJc w:val="left"/>
      <w:pPr>
        <w:ind w:left="1020" w:hanging="360"/>
      </w:pPr>
      <w:rPr>
        <w:rFonts w:ascii="Symbol" w:hAnsi="Symbol"/>
      </w:rPr>
    </w:lvl>
    <w:lvl w:ilvl="4" w:tplc="5FD4A2D4">
      <w:start w:val="1"/>
      <w:numFmt w:val="bullet"/>
      <w:lvlText w:val=""/>
      <w:lvlJc w:val="left"/>
      <w:pPr>
        <w:ind w:left="1020" w:hanging="360"/>
      </w:pPr>
      <w:rPr>
        <w:rFonts w:ascii="Symbol" w:hAnsi="Symbol"/>
      </w:rPr>
    </w:lvl>
    <w:lvl w:ilvl="5" w:tplc="4BEC1510">
      <w:start w:val="1"/>
      <w:numFmt w:val="bullet"/>
      <w:lvlText w:val=""/>
      <w:lvlJc w:val="left"/>
      <w:pPr>
        <w:ind w:left="1020" w:hanging="360"/>
      </w:pPr>
      <w:rPr>
        <w:rFonts w:ascii="Symbol" w:hAnsi="Symbol"/>
      </w:rPr>
    </w:lvl>
    <w:lvl w:ilvl="6" w:tplc="5C8A8ADA">
      <w:start w:val="1"/>
      <w:numFmt w:val="bullet"/>
      <w:lvlText w:val=""/>
      <w:lvlJc w:val="left"/>
      <w:pPr>
        <w:ind w:left="1020" w:hanging="360"/>
      </w:pPr>
      <w:rPr>
        <w:rFonts w:ascii="Symbol" w:hAnsi="Symbol"/>
      </w:rPr>
    </w:lvl>
    <w:lvl w:ilvl="7" w:tplc="3A289BDA">
      <w:start w:val="1"/>
      <w:numFmt w:val="bullet"/>
      <w:lvlText w:val=""/>
      <w:lvlJc w:val="left"/>
      <w:pPr>
        <w:ind w:left="1020" w:hanging="360"/>
      </w:pPr>
      <w:rPr>
        <w:rFonts w:ascii="Symbol" w:hAnsi="Symbol"/>
      </w:rPr>
    </w:lvl>
    <w:lvl w:ilvl="8" w:tplc="6A582388">
      <w:start w:val="1"/>
      <w:numFmt w:val="bullet"/>
      <w:lvlText w:val=""/>
      <w:lvlJc w:val="left"/>
      <w:pPr>
        <w:ind w:left="1020" w:hanging="360"/>
      </w:pPr>
      <w:rPr>
        <w:rFonts w:ascii="Symbol" w:hAnsi="Symbol"/>
      </w:rPr>
    </w:lvl>
  </w:abstractNum>
  <w:abstractNum w:abstractNumId="15" w15:restartNumberingAfterBreak="0">
    <w:nsid w:val="21FA3EDF"/>
    <w:multiLevelType w:val="hybridMultilevel"/>
    <w:tmpl w:val="69067230"/>
    <w:lvl w:ilvl="0" w:tplc="114E1904">
      <w:start w:val="1"/>
      <w:numFmt w:val="bullet"/>
      <w:lvlText w:val=""/>
      <w:lvlJc w:val="left"/>
      <w:pPr>
        <w:ind w:left="1020" w:hanging="360"/>
      </w:pPr>
      <w:rPr>
        <w:rFonts w:ascii="Symbol" w:hAnsi="Symbol"/>
      </w:rPr>
    </w:lvl>
    <w:lvl w:ilvl="1" w:tplc="177664F2">
      <w:start w:val="1"/>
      <w:numFmt w:val="bullet"/>
      <w:lvlText w:val=""/>
      <w:lvlJc w:val="left"/>
      <w:pPr>
        <w:ind w:left="1020" w:hanging="360"/>
      </w:pPr>
      <w:rPr>
        <w:rFonts w:ascii="Symbol" w:hAnsi="Symbol"/>
      </w:rPr>
    </w:lvl>
    <w:lvl w:ilvl="2" w:tplc="0360CEC8">
      <w:start w:val="1"/>
      <w:numFmt w:val="bullet"/>
      <w:lvlText w:val=""/>
      <w:lvlJc w:val="left"/>
      <w:pPr>
        <w:ind w:left="1020" w:hanging="360"/>
      </w:pPr>
      <w:rPr>
        <w:rFonts w:ascii="Symbol" w:hAnsi="Symbol"/>
      </w:rPr>
    </w:lvl>
    <w:lvl w:ilvl="3" w:tplc="812CFEAA">
      <w:start w:val="1"/>
      <w:numFmt w:val="bullet"/>
      <w:lvlText w:val=""/>
      <w:lvlJc w:val="left"/>
      <w:pPr>
        <w:ind w:left="1020" w:hanging="360"/>
      </w:pPr>
      <w:rPr>
        <w:rFonts w:ascii="Symbol" w:hAnsi="Symbol"/>
      </w:rPr>
    </w:lvl>
    <w:lvl w:ilvl="4" w:tplc="5D340A72">
      <w:start w:val="1"/>
      <w:numFmt w:val="bullet"/>
      <w:lvlText w:val=""/>
      <w:lvlJc w:val="left"/>
      <w:pPr>
        <w:ind w:left="1020" w:hanging="360"/>
      </w:pPr>
      <w:rPr>
        <w:rFonts w:ascii="Symbol" w:hAnsi="Symbol"/>
      </w:rPr>
    </w:lvl>
    <w:lvl w:ilvl="5" w:tplc="1964540C">
      <w:start w:val="1"/>
      <w:numFmt w:val="bullet"/>
      <w:lvlText w:val=""/>
      <w:lvlJc w:val="left"/>
      <w:pPr>
        <w:ind w:left="1020" w:hanging="360"/>
      </w:pPr>
      <w:rPr>
        <w:rFonts w:ascii="Symbol" w:hAnsi="Symbol"/>
      </w:rPr>
    </w:lvl>
    <w:lvl w:ilvl="6" w:tplc="C11616E4">
      <w:start w:val="1"/>
      <w:numFmt w:val="bullet"/>
      <w:lvlText w:val=""/>
      <w:lvlJc w:val="left"/>
      <w:pPr>
        <w:ind w:left="1020" w:hanging="360"/>
      </w:pPr>
      <w:rPr>
        <w:rFonts w:ascii="Symbol" w:hAnsi="Symbol"/>
      </w:rPr>
    </w:lvl>
    <w:lvl w:ilvl="7" w:tplc="7F76524A">
      <w:start w:val="1"/>
      <w:numFmt w:val="bullet"/>
      <w:lvlText w:val=""/>
      <w:lvlJc w:val="left"/>
      <w:pPr>
        <w:ind w:left="1020" w:hanging="360"/>
      </w:pPr>
      <w:rPr>
        <w:rFonts w:ascii="Symbol" w:hAnsi="Symbol"/>
      </w:rPr>
    </w:lvl>
    <w:lvl w:ilvl="8" w:tplc="65584D48">
      <w:start w:val="1"/>
      <w:numFmt w:val="bullet"/>
      <w:lvlText w:val=""/>
      <w:lvlJc w:val="left"/>
      <w:pPr>
        <w:ind w:left="1020" w:hanging="360"/>
      </w:pPr>
      <w:rPr>
        <w:rFonts w:ascii="Symbol" w:hAnsi="Symbol"/>
      </w:rPr>
    </w:lvl>
  </w:abstractNum>
  <w:abstractNum w:abstractNumId="16" w15:restartNumberingAfterBreak="0">
    <w:nsid w:val="23C8600D"/>
    <w:multiLevelType w:val="hybridMultilevel"/>
    <w:tmpl w:val="2D8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520D4"/>
    <w:multiLevelType w:val="hybridMultilevel"/>
    <w:tmpl w:val="31749FD6"/>
    <w:lvl w:ilvl="0" w:tplc="7AF2FC0C">
      <w:start w:val="1"/>
      <w:numFmt w:val="bullet"/>
      <w:lvlText w:val=""/>
      <w:lvlJc w:val="left"/>
      <w:pPr>
        <w:ind w:left="1020" w:hanging="360"/>
      </w:pPr>
      <w:rPr>
        <w:rFonts w:ascii="Symbol" w:hAnsi="Symbol"/>
      </w:rPr>
    </w:lvl>
    <w:lvl w:ilvl="1" w:tplc="F6104F4C">
      <w:start w:val="1"/>
      <w:numFmt w:val="bullet"/>
      <w:lvlText w:val=""/>
      <w:lvlJc w:val="left"/>
      <w:pPr>
        <w:ind w:left="1020" w:hanging="360"/>
      </w:pPr>
      <w:rPr>
        <w:rFonts w:ascii="Symbol" w:hAnsi="Symbol"/>
      </w:rPr>
    </w:lvl>
    <w:lvl w:ilvl="2" w:tplc="A468BED0">
      <w:start w:val="1"/>
      <w:numFmt w:val="bullet"/>
      <w:lvlText w:val=""/>
      <w:lvlJc w:val="left"/>
      <w:pPr>
        <w:ind w:left="1020" w:hanging="360"/>
      </w:pPr>
      <w:rPr>
        <w:rFonts w:ascii="Symbol" w:hAnsi="Symbol"/>
      </w:rPr>
    </w:lvl>
    <w:lvl w:ilvl="3" w:tplc="E88840EC">
      <w:start w:val="1"/>
      <w:numFmt w:val="bullet"/>
      <w:lvlText w:val=""/>
      <w:lvlJc w:val="left"/>
      <w:pPr>
        <w:ind w:left="1020" w:hanging="360"/>
      </w:pPr>
      <w:rPr>
        <w:rFonts w:ascii="Symbol" w:hAnsi="Symbol"/>
      </w:rPr>
    </w:lvl>
    <w:lvl w:ilvl="4" w:tplc="F0E2AF82">
      <w:start w:val="1"/>
      <w:numFmt w:val="bullet"/>
      <w:lvlText w:val=""/>
      <w:lvlJc w:val="left"/>
      <w:pPr>
        <w:ind w:left="1020" w:hanging="360"/>
      </w:pPr>
      <w:rPr>
        <w:rFonts w:ascii="Symbol" w:hAnsi="Symbol"/>
      </w:rPr>
    </w:lvl>
    <w:lvl w:ilvl="5" w:tplc="8D14BF64">
      <w:start w:val="1"/>
      <w:numFmt w:val="bullet"/>
      <w:lvlText w:val=""/>
      <w:lvlJc w:val="left"/>
      <w:pPr>
        <w:ind w:left="1020" w:hanging="360"/>
      </w:pPr>
      <w:rPr>
        <w:rFonts w:ascii="Symbol" w:hAnsi="Symbol"/>
      </w:rPr>
    </w:lvl>
    <w:lvl w:ilvl="6" w:tplc="D478841E">
      <w:start w:val="1"/>
      <w:numFmt w:val="bullet"/>
      <w:lvlText w:val=""/>
      <w:lvlJc w:val="left"/>
      <w:pPr>
        <w:ind w:left="1020" w:hanging="360"/>
      </w:pPr>
      <w:rPr>
        <w:rFonts w:ascii="Symbol" w:hAnsi="Symbol"/>
      </w:rPr>
    </w:lvl>
    <w:lvl w:ilvl="7" w:tplc="F8F8D040">
      <w:start w:val="1"/>
      <w:numFmt w:val="bullet"/>
      <w:lvlText w:val=""/>
      <w:lvlJc w:val="left"/>
      <w:pPr>
        <w:ind w:left="1020" w:hanging="360"/>
      </w:pPr>
      <w:rPr>
        <w:rFonts w:ascii="Symbol" w:hAnsi="Symbol"/>
      </w:rPr>
    </w:lvl>
    <w:lvl w:ilvl="8" w:tplc="C472DD90">
      <w:start w:val="1"/>
      <w:numFmt w:val="bullet"/>
      <w:lvlText w:val=""/>
      <w:lvlJc w:val="left"/>
      <w:pPr>
        <w:ind w:left="1020" w:hanging="360"/>
      </w:pPr>
      <w:rPr>
        <w:rFonts w:ascii="Symbol" w:hAnsi="Symbol"/>
      </w:rPr>
    </w:lvl>
  </w:abstractNum>
  <w:abstractNum w:abstractNumId="18" w15:restartNumberingAfterBreak="0">
    <w:nsid w:val="2B06347D"/>
    <w:multiLevelType w:val="hybridMultilevel"/>
    <w:tmpl w:val="DAB63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822EF0"/>
    <w:multiLevelType w:val="hybridMultilevel"/>
    <w:tmpl w:val="AA783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03E90"/>
    <w:multiLevelType w:val="hybridMultilevel"/>
    <w:tmpl w:val="F0881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307F4D"/>
    <w:multiLevelType w:val="hybridMultilevel"/>
    <w:tmpl w:val="1276A48C"/>
    <w:lvl w:ilvl="0" w:tplc="FDEE5F92">
      <w:start w:val="1"/>
      <w:numFmt w:val="bullet"/>
      <w:lvlText w:val=""/>
      <w:lvlJc w:val="left"/>
      <w:pPr>
        <w:ind w:left="1020" w:hanging="360"/>
      </w:pPr>
      <w:rPr>
        <w:rFonts w:ascii="Symbol" w:hAnsi="Symbol"/>
      </w:rPr>
    </w:lvl>
    <w:lvl w:ilvl="1" w:tplc="B93E1B74">
      <w:start w:val="1"/>
      <w:numFmt w:val="bullet"/>
      <w:lvlText w:val=""/>
      <w:lvlJc w:val="left"/>
      <w:pPr>
        <w:ind w:left="1020" w:hanging="360"/>
      </w:pPr>
      <w:rPr>
        <w:rFonts w:ascii="Symbol" w:hAnsi="Symbol"/>
      </w:rPr>
    </w:lvl>
    <w:lvl w:ilvl="2" w:tplc="AB1E144A">
      <w:start w:val="1"/>
      <w:numFmt w:val="bullet"/>
      <w:lvlText w:val=""/>
      <w:lvlJc w:val="left"/>
      <w:pPr>
        <w:ind w:left="1020" w:hanging="360"/>
      </w:pPr>
      <w:rPr>
        <w:rFonts w:ascii="Symbol" w:hAnsi="Symbol"/>
      </w:rPr>
    </w:lvl>
    <w:lvl w:ilvl="3" w:tplc="A1CEE9B0">
      <w:start w:val="1"/>
      <w:numFmt w:val="bullet"/>
      <w:lvlText w:val=""/>
      <w:lvlJc w:val="left"/>
      <w:pPr>
        <w:ind w:left="1020" w:hanging="360"/>
      </w:pPr>
      <w:rPr>
        <w:rFonts w:ascii="Symbol" w:hAnsi="Symbol"/>
      </w:rPr>
    </w:lvl>
    <w:lvl w:ilvl="4" w:tplc="C6BA4DC8">
      <w:start w:val="1"/>
      <w:numFmt w:val="bullet"/>
      <w:lvlText w:val=""/>
      <w:lvlJc w:val="left"/>
      <w:pPr>
        <w:ind w:left="1020" w:hanging="360"/>
      </w:pPr>
      <w:rPr>
        <w:rFonts w:ascii="Symbol" w:hAnsi="Symbol"/>
      </w:rPr>
    </w:lvl>
    <w:lvl w:ilvl="5" w:tplc="7FF45054">
      <w:start w:val="1"/>
      <w:numFmt w:val="bullet"/>
      <w:lvlText w:val=""/>
      <w:lvlJc w:val="left"/>
      <w:pPr>
        <w:ind w:left="1020" w:hanging="360"/>
      </w:pPr>
      <w:rPr>
        <w:rFonts w:ascii="Symbol" w:hAnsi="Symbol"/>
      </w:rPr>
    </w:lvl>
    <w:lvl w:ilvl="6" w:tplc="0FF0D336">
      <w:start w:val="1"/>
      <w:numFmt w:val="bullet"/>
      <w:lvlText w:val=""/>
      <w:lvlJc w:val="left"/>
      <w:pPr>
        <w:ind w:left="1020" w:hanging="360"/>
      </w:pPr>
      <w:rPr>
        <w:rFonts w:ascii="Symbol" w:hAnsi="Symbol"/>
      </w:rPr>
    </w:lvl>
    <w:lvl w:ilvl="7" w:tplc="56D8EECC">
      <w:start w:val="1"/>
      <w:numFmt w:val="bullet"/>
      <w:lvlText w:val=""/>
      <w:lvlJc w:val="left"/>
      <w:pPr>
        <w:ind w:left="1020" w:hanging="360"/>
      </w:pPr>
      <w:rPr>
        <w:rFonts w:ascii="Symbol" w:hAnsi="Symbol"/>
      </w:rPr>
    </w:lvl>
    <w:lvl w:ilvl="8" w:tplc="92B84178">
      <w:start w:val="1"/>
      <w:numFmt w:val="bullet"/>
      <w:lvlText w:val=""/>
      <w:lvlJc w:val="left"/>
      <w:pPr>
        <w:ind w:left="1020" w:hanging="360"/>
      </w:pPr>
      <w:rPr>
        <w:rFonts w:ascii="Symbol" w:hAnsi="Symbol"/>
      </w:rPr>
    </w:lvl>
  </w:abstractNum>
  <w:abstractNum w:abstractNumId="22" w15:restartNumberingAfterBreak="0">
    <w:nsid w:val="56F24309"/>
    <w:multiLevelType w:val="hybridMultilevel"/>
    <w:tmpl w:val="9E3C10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054C69"/>
    <w:multiLevelType w:val="hybridMultilevel"/>
    <w:tmpl w:val="1D84B8EA"/>
    <w:lvl w:ilvl="0" w:tplc="74E4E548">
      <w:start w:val="1"/>
      <w:numFmt w:val="bullet"/>
      <w:lvlText w:val=""/>
      <w:lvlJc w:val="left"/>
      <w:pPr>
        <w:ind w:left="1020" w:hanging="360"/>
      </w:pPr>
      <w:rPr>
        <w:rFonts w:ascii="Symbol" w:hAnsi="Symbol"/>
      </w:rPr>
    </w:lvl>
    <w:lvl w:ilvl="1" w:tplc="7F427924">
      <w:start w:val="1"/>
      <w:numFmt w:val="bullet"/>
      <w:lvlText w:val=""/>
      <w:lvlJc w:val="left"/>
      <w:pPr>
        <w:ind w:left="1020" w:hanging="360"/>
      </w:pPr>
      <w:rPr>
        <w:rFonts w:ascii="Symbol" w:hAnsi="Symbol"/>
      </w:rPr>
    </w:lvl>
    <w:lvl w:ilvl="2" w:tplc="C3F063EA">
      <w:start w:val="1"/>
      <w:numFmt w:val="bullet"/>
      <w:lvlText w:val=""/>
      <w:lvlJc w:val="left"/>
      <w:pPr>
        <w:ind w:left="1020" w:hanging="360"/>
      </w:pPr>
      <w:rPr>
        <w:rFonts w:ascii="Symbol" w:hAnsi="Symbol"/>
      </w:rPr>
    </w:lvl>
    <w:lvl w:ilvl="3" w:tplc="6D7E1988">
      <w:start w:val="1"/>
      <w:numFmt w:val="bullet"/>
      <w:lvlText w:val=""/>
      <w:lvlJc w:val="left"/>
      <w:pPr>
        <w:ind w:left="1020" w:hanging="360"/>
      </w:pPr>
      <w:rPr>
        <w:rFonts w:ascii="Symbol" w:hAnsi="Symbol"/>
      </w:rPr>
    </w:lvl>
    <w:lvl w:ilvl="4" w:tplc="E3E20C62">
      <w:start w:val="1"/>
      <w:numFmt w:val="bullet"/>
      <w:lvlText w:val=""/>
      <w:lvlJc w:val="left"/>
      <w:pPr>
        <w:ind w:left="1020" w:hanging="360"/>
      </w:pPr>
      <w:rPr>
        <w:rFonts w:ascii="Symbol" w:hAnsi="Symbol"/>
      </w:rPr>
    </w:lvl>
    <w:lvl w:ilvl="5" w:tplc="5320468A">
      <w:start w:val="1"/>
      <w:numFmt w:val="bullet"/>
      <w:lvlText w:val=""/>
      <w:lvlJc w:val="left"/>
      <w:pPr>
        <w:ind w:left="1020" w:hanging="360"/>
      </w:pPr>
      <w:rPr>
        <w:rFonts w:ascii="Symbol" w:hAnsi="Symbol"/>
      </w:rPr>
    </w:lvl>
    <w:lvl w:ilvl="6" w:tplc="9CD899A8">
      <w:start w:val="1"/>
      <w:numFmt w:val="bullet"/>
      <w:lvlText w:val=""/>
      <w:lvlJc w:val="left"/>
      <w:pPr>
        <w:ind w:left="1020" w:hanging="360"/>
      </w:pPr>
      <w:rPr>
        <w:rFonts w:ascii="Symbol" w:hAnsi="Symbol"/>
      </w:rPr>
    </w:lvl>
    <w:lvl w:ilvl="7" w:tplc="4CCA425C">
      <w:start w:val="1"/>
      <w:numFmt w:val="bullet"/>
      <w:lvlText w:val=""/>
      <w:lvlJc w:val="left"/>
      <w:pPr>
        <w:ind w:left="1020" w:hanging="360"/>
      </w:pPr>
      <w:rPr>
        <w:rFonts w:ascii="Symbol" w:hAnsi="Symbol"/>
      </w:rPr>
    </w:lvl>
    <w:lvl w:ilvl="8" w:tplc="0DB436DC">
      <w:start w:val="1"/>
      <w:numFmt w:val="bullet"/>
      <w:lvlText w:val=""/>
      <w:lvlJc w:val="left"/>
      <w:pPr>
        <w:ind w:left="1020" w:hanging="360"/>
      </w:pPr>
      <w:rPr>
        <w:rFonts w:ascii="Symbol" w:hAnsi="Symbol"/>
      </w:rPr>
    </w:lvl>
  </w:abstractNum>
  <w:abstractNum w:abstractNumId="24" w15:restartNumberingAfterBreak="0">
    <w:nsid w:val="5A4D00CB"/>
    <w:multiLevelType w:val="hybridMultilevel"/>
    <w:tmpl w:val="370C3608"/>
    <w:lvl w:ilvl="0" w:tplc="2A3A6730">
      <w:start w:val="1"/>
      <w:numFmt w:val="bullet"/>
      <w:lvlText w:val=""/>
      <w:lvlJc w:val="left"/>
      <w:pPr>
        <w:ind w:left="1020" w:hanging="360"/>
      </w:pPr>
      <w:rPr>
        <w:rFonts w:ascii="Symbol" w:hAnsi="Symbol"/>
      </w:rPr>
    </w:lvl>
    <w:lvl w:ilvl="1" w:tplc="0B921B40">
      <w:start w:val="1"/>
      <w:numFmt w:val="bullet"/>
      <w:lvlText w:val=""/>
      <w:lvlJc w:val="left"/>
      <w:pPr>
        <w:ind w:left="1020" w:hanging="360"/>
      </w:pPr>
      <w:rPr>
        <w:rFonts w:ascii="Symbol" w:hAnsi="Symbol"/>
      </w:rPr>
    </w:lvl>
    <w:lvl w:ilvl="2" w:tplc="B2F2833A">
      <w:start w:val="1"/>
      <w:numFmt w:val="bullet"/>
      <w:lvlText w:val=""/>
      <w:lvlJc w:val="left"/>
      <w:pPr>
        <w:ind w:left="1020" w:hanging="360"/>
      </w:pPr>
      <w:rPr>
        <w:rFonts w:ascii="Symbol" w:hAnsi="Symbol"/>
      </w:rPr>
    </w:lvl>
    <w:lvl w:ilvl="3" w:tplc="B442C178">
      <w:start w:val="1"/>
      <w:numFmt w:val="bullet"/>
      <w:lvlText w:val=""/>
      <w:lvlJc w:val="left"/>
      <w:pPr>
        <w:ind w:left="1020" w:hanging="360"/>
      </w:pPr>
      <w:rPr>
        <w:rFonts w:ascii="Symbol" w:hAnsi="Symbol"/>
      </w:rPr>
    </w:lvl>
    <w:lvl w:ilvl="4" w:tplc="CDC0C6DC">
      <w:start w:val="1"/>
      <w:numFmt w:val="bullet"/>
      <w:lvlText w:val=""/>
      <w:lvlJc w:val="left"/>
      <w:pPr>
        <w:ind w:left="1020" w:hanging="360"/>
      </w:pPr>
      <w:rPr>
        <w:rFonts w:ascii="Symbol" w:hAnsi="Symbol"/>
      </w:rPr>
    </w:lvl>
    <w:lvl w:ilvl="5" w:tplc="7E4E030E">
      <w:start w:val="1"/>
      <w:numFmt w:val="bullet"/>
      <w:lvlText w:val=""/>
      <w:lvlJc w:val="left"/>
      <w:pPr>
        <w:ind w:left="1020" w:hanging="360"/>
      </w:pPr>
      <w:rPr>
        <w:rFonts w:ascii="Symbol" w:hAnsi="Symbol"/>
      </w:rPr>
    </w:lvl>
    <w:lvl w:ilvl="6" w:tplc="A11E9F7A">
      <w:start w:val="1"/>
      <w:numFmt w:val="bullet"/>
      <w:lvlText w:val=""/>
      <w:lvlJc w:val="left"/>
      <w:pPr>
        <w:ind w:left="1020" w:hanging="360"/>
      </w:pPr>
      <w:rPr>
        <w:rFonts w:ascii="Symbol" w:hAnsi="Symbol"/>
      </w:rPr>
    </w:lvl>
    <w:lvl w:ilvl="7" w:tplc="820C7C3E">
      <w:start w:val="1"/>
      <w:numFmt w:val="bullet"/>
      <w:lvlText w:val=""/>
      <w:lvlJc w:val="left"/>
      <w:pPr>
        <w:ind w:left="1020" w:hanging="360"/>
      </w:pPr>
      <w:rPr>
        <w:rFonts w:ascii="Symbol" w:hAnsi="Symbol"/>
      </w:rPr>
    </w:lvl>
    <w:lvl w:ilvl="8" w:tplc="EC1C9C42">
      <w:start w:val="1"/>
      <w:numFmt w:val="bullet"/>
      <w:lvlText w:val=""/>
      <w:lvlJc w:val="left"/>
      <w:pPr>
        <w:ind w:left="1020" w:hanging="360"/>
      </w:pPr>
      <w:rPr>
        <w:rFonts w:ascii="Symbol" w:hAnsi="Symbol"/>
      </w:rPr>
    </w:lvl>
  </w:abstractNum>
  <w:abstractNum w:abstractNumId="25" w15:restartNumberingAfterBreak="0">
    <w:nsid w:val="5F4D5542"/>
    <w:multiLevelType w:val="hybridMultilevel"/>
    <w:tmpl w:val="65D66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54BA6"/>
    <w:multiLevelType w:val="hybridMultilevel"/>
    <w:tmpl w:val="D7405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95870"/>
    <w:multiLevelType w:val="hybridMultilevel"/>
    <w:tmpl w:val="1AD2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C333E"/>
    <w:multiLevelType w:val="multilevel"/>
    <w:tmpl w:val="1A521C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CE5508"/>
    <w:multiLevelType w:val="hybridMultilevel"/>
    <w:tmpl w:val="D2F4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966CE"/>
    <w:multiLevelType w:val="hybridMultilevel"/>
    <w:tmpl w:val="1FAA384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07809F8"/>
    <w:multiLevelType w:val="hybridMultilevel"/>
    <w:tmpl w:val="464AE7C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7222456B"/>
    <w:multiLevelType w:val="hybridMultilevel"/>
    <w:tmpl w:val="CDDAB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577F7"/>
    <w:multiLevelType w:val="multilevel"/>
    <w:tmpl w:val="3A123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81300"/>
    <w:multiLevelType w:val="hybridMultilevel"/>
    <w:tmpl w:val="3CB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421558">
    <w:abstractNumId w:val="9"/>
  </w:num>
  <w:num w:numId="2" w16cid:durableId="190608424">
    <w:abstractNumId w:val="7"/>
  </w:num>
  <w:num w:numId="3" w16cid:durableId="594749969">
    <w:abstractNumId w:val="6"/>
  </w:num>
  <w:num w:numId="4" w16cid:durableId="890580810">
    <w:abstractNumId w:val="8"/>
  </w:num>
  <w:num w:numId="5" w16cid:durableId="513230862">
    <w:abstractNumId w:val="3"/>
  </w:num>
  <w:num w:numId="6" w16cid:durableId="1753430954">
    <w:abstractNumId w:val="2"/>
  </w:num>
  <w:num w:numId="7" w16cid:durableId="686755777">
    <w:abstractNumId w:val="1"/>
  </w:num>
  <w:num w:numId="8" w16cid:durableId="778186992">
    <w:abstractNumId w:val="0"/>
  </w:num>
  <w:num w:numId="9" w16cid:durableId="1974866875">
    <w:abstractNumId w:val="5"/>
  </w:num>
  <w:num w:numId="10" w16cid:durableId="1764304086">
    <w:abstractNumId w:val="4"/>
  </w:num>
  <w:num w:numId="11" w16cid:durableId="2075396420">
    <w:abstractNumId w:val="11"/>
  </w:num>
  <w:num w:numId="12" w16cid:durableId="945623085">
    <w:abstractNumId w:val="13"/>
  </w:num>
  <w:num w:numId="13" w16cid:durableId="1779638949">
    <w:abstractNumId w:val="16"/>
  </w:num>
  <w:num w:numId="14" w16cid:durableId="1034160906">
    <w:abstractNumId w:val="34"/>
  </w:num>
  <w:num w:numId="15" w16cid:durableId="2129203867">
    <w:abstractNumId w:val="18"/>
  </w:num>
  <w:num w:numId="16" w16cid:durableId="1765301020">
    <w:abstractNumId w:val="10"/>
  </w:num>
  <w:num w:numId="17" w16cid:durableId="357969589">
    <w:abstractNumId w:val="31"/>
  </w:num>
  <w:num w:numId="18" w16cid:durableId="26873121">
    <w:abstractNumId w:val="27"/>
  </w:num>
  <w:num w:numId="19" w16cid:durableId="1050230247">
    <w:abstractNumId w:val="30"/>
  </w:num>
  <w:num w:numId="20" w16cid:durableId="2017532997">
    <w:abstractNumId w:val="25"/>
  </w:num>
  <w:num w:numId="21" w16cid:durableId="661350257">
    <w:abstractNumId w:val="12"/>
  </w:num>
  <w:num w:numId="22" w16cid:durableId="2116553921">
    <w:abstractNumId w:val="29"/>
  </w:num>
  <w:num w:numId="23" w16cid:durableId="266157108">
    <w:abstractNumId w:val="33"/>
  </w:num>
  <w:num w:numId="24" w16cid:durableId="1766149483">
    <w:abstractNumId w:val="28"/>
  </w:num>
  <w:num w:numId="25" w16cid:durableId="349726218">
    <w:abstractNumId w:val="26"/>
  </w:num>
  <w:num w:numId="26" w16cid:durableId="632255878">
    <w:abstractNumId w:val="20"/>
  </w:num>
  <w:num w:numId="27" w16cid:durableId="596792120">
    <w:abstractNumId w:val="19"/>
  </w:num>
  <w:num w:numId="28" w16cid:durableId="2071152132">
    <w:abstractNumId w:val="22"/>
  </w:num>
  <w:num w:numId="29" w16cid:durableId="1220432797">
    <w:abstractNumId w:val="32"/>
  </w:num>
  <w:num w:numId="30" w16cid:durableId="1224871942">
    <w:abstractNumId w:val="14"/>
  </w:num>
  <w:num w:numId="31" w16cid:durableId="113599463">
    <w:abstractNumId w:val="23"/>
  </w:num>
  <w:num w:numId="32" w16cid:durableId="1997805674">
    <w:abstractNumId w:val="21"/>
  </w:num>
  <w:num w:numId="33" w16cid:durableId="287904664">
    <w:abstractNumId w:val="15"/>
  </w:num>
  <w:num w:numId="34" w16cid:durableId="1297372981">
    <w:abstractNumId w:val="17"/>
  </w:num>
  <w:num w:numId="35" w16cid:durableId="189151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B4D0128-7C5A-496E-8547-399906D0B293}"/>
    <w:docVar w:name="dgnword-eventsink" w:val="2323587717552"/>
  </w:docVars>
  <w:rsids>
    <w:rsidRoot w:val="0022700E"/>
    <w:rsid w:val="00000131"/>
    <w:rsid w:val="0000159C"/>
    <w:rsid w:val="00001DB4"/>
    <w:rsid w:val="00002275"/>
    <w:rsid w:val="000038F9"/>
    <w:rsid w:val="000040F8"/>
    <w:rsid w:val="00005B1D"/>
    <w:rsid w:val="000076FF"/>
    <w:rsid w:val="00007CE4"/>
    <w:rsid w:val="00010605"/>
    <w:rsid w:val="00010F89"/>
    <w:rsid w:val="00011A17"/>
    <w:rsid w:val="00011EA5"/>
    <w:rsid w:val="00012FAE"/>
    <w:rsid w:val="00013AAD"/>
    <w:rsid w:val="00013CDA"/>
    <w:rsid w:val="0001526B"/>
    <w:rsid w:val="00015A4A"/>
    <w:rsid w:val="00016327"/>
    <w:rsid w:val="000211B0"/>
    <w:rsid w:val="00021D4F"/>
    <w:rsid w:val="000223A9"/>
    <w:rsid w:val="0002419C"/>
    <w:rsid w:val="000264BD"/>
    <w:rsid w:val="0002686A"/>
    <w:rsid w:val="00026978"/>
    <w:rsid w:val="0002716D"/>
    <w:rsid w:val="000272ED"/>
    <w:rsid w:val="00030937"/>
    <w:rsid w:val="00030938"/>
    <w:rsid w:val="00033DF9"/>
    <w:rsid w:val="000343F5"/>
    <w:rsid w:val="00034AFE"/>
    <w:rsid w:val="000354F6"/>
    <w:rsid w:val="00035E68"/>
    <w:rsid w:val="00035E96"/>
    <w:rsid w:val="00036C73"/>
    <w:rsid w:val="00036D86"/>
    <w:rsid w:val="000410DF"/>
    <w:rsid w:val="00042C57"/>
    <w:rsid w:val="00042C6F"/>
    <w:rsid w:val="000441DC"/>
    <w:rsid w:val="000447FF"/>
    <w:rsid w:val="00044CEA"/>
    <w:rsid w:val="00045650"/>
    <w:rsid w:val="00046B0F"/>
    <w:rsid w:val="00047D36"/>
    <w:rsid w:val="0005008D"/>
    <w:rsid w:val="0005084F"/>
    <w:rsid w:val="00051182"/>
    <w:rsid w:val="000513B4"/>
    <w:rsid w:val="0005162E"/>
    <w:rsid w:val="00051F86"/>
    <w:rsid w:val="0005238A"/>
    <w:rsid w:val="000531B0"/>
    <w:rsid w:val="00054B53"/>
    <w:rsid w:val="000567A1"/>
    <w:rsid w:val="000607CA"/>
    <w:rsid w:val="000609D1"/>
    <w:rsid w:val="00060D06"/>
    <w:rsid w:val="00061BE9"/>
    <w:rsid w:val="000623AB"/>
    <w:rsid w:val="0006295F"/>
    <w:rsid w:val="00063739"/>
    <w:rsid w:val="0006401A"/>
    <w:rsid w:val="000652F1"/>
    <w:rsid w:val="00065FCA"/>
    <w:rsid w:val="00067200"/>
    <w:rsid w:val="00067AF7"/>
    <w:rsid w:val="00067C24"/>
    <w:rsid w:val="00070690"/>
    <w:rsid w:val="0007157F"/>
    <w:rsid w:val="000721E9"/>
    <w:rsid w:val="00073831"/>
    <w:rsid w:val="000738A5"/>
    <w:rsid w:val="00073989"/>
    <w:rsid w:val="00073C5B"/>
    <w:rsid w:val="000744A7"/>
    <w:rsid w:val="00074A01"/>
    <w:rsid w:val="0007777E"/>
    <w:rsid w:val="00080E8B"/>
    <w:rsid w:val="000816A1"/>
    <w:rsid w:val="00084F11"/>
    <w:rsid w:val="00086431"/>
    <w:rsid w:val="00086835"/>
    <w:rsid w:val="0008754B"/>
    <w:rsid w:val="00090DDB"/>
    <w:rsid w:val="00091153"/>
    <w:rsid w:val="00091357"/>
    <w:rsid w:val="00091B83"/>
    <w:rsid w:val="000941C2"/>
    <w:rsid w:val="00094839"/>
    <w:rsid w:val="00094A3C"/>
    <w:rsid w:val="00095244"/>
    <w:rsid w:val="0009635B"/>
    <w:rsid w:val="00097144"/>
    <w:rsid w:val="000A1286"/>
    <w:rsid w:val="000A24DF"/>
    <w:rsid w:val="000A255A"/>
    <w:rsid w:val="000A3608"/>
    <w:rsid w:val="000A418F"/>
    <w:rsid w:val="000A49E4"/>
    <w:rsid w:val="000A52FA"/>
    <w:rsid w:val="000A67C8"/>
    <w:rsid w:val="000B013F"/>
    <w:rsid w:val="000B04F3"/>
    <w:rsid w:val="000B0EE1"/>
    <w:rsid w:val="000B15AE"/>
    <w:rsid w:val="000B1FEC"/>
    <w:rsid w:val="000B20D1"/>
    <w:rsid w:val="000B2C00"/>
    <w:rsid w:val="000B35FE"/>
    <w:rsid w:val="000B3DBE"/>
    <w:rsid w:val="000B4171"/>
    <w:rsid w:val="000B42A1"/>
    <w:rsid w:val="000B50B5"/>
    <w:rsid w:val="000B55AF"/>
    <w:rsid w:val="000B5B56"/>
    <w:rsid w:val="000B61B2"/>
    <w:rsid w:val="000B78FA"/>
    <w:rsid w:val="000B7969"/>
    <w:rsid w:val="000B7D73"/>
    <w:rsid w:val="000C1170"/>
    <w:rsid w:val="000C21D3"/>
    <w:rsid w:val="000C2433"/>
    <w:rsid w:val="000C2A27"/>
    <w:rsid w:val="000C3212"/>
    <w:rsid w:val="000C34D9"/>
    <w:rsid w:val="000C35B2"/>
    <w:rsid w:val="000C5E97"/>
    <w:rsid w:val="000C6282"/>
    <w:rsid w:val="000C754B"/>
    <w:rsid w:val="000C7AC3"/>
    <w:rsid w:val="000D0500"/>
    <w:rsid w:val="000D0C0D"/>
    <w:rsid w:val="000D2537"/>
    <w:rsid w:val="000D2F79"/>
    <w:rsid w:val="000D332F"/>
    <w:rsid w:val="000D4D34"/>
    <w:rsid w:val="000D4DD9"/>
    <w:rsid w:val="000D4FF1"/>
    <w:rsid w:val="000D62B3"/>
    <w:rsid w:val="000D63AD"/>
    <w:rsid w:val="000D7C42"/>
    <w:rsid w:val="000E0572"/>
    <w:rsid w:val="000E312E"/>
    <w:rsid w:val="000E4199"/>
    <w:rsid w:val="000E4D7C"/>
    <w:rsid w:val="000E55FB"/>
    <w:rsid w:val="000E60B6"/>
    <w:rsid w:val="000E6226"/>
    <w:rsid w:val="000E6FFE"/>
    <w:rsid w:val="000E729F"/>
    <w:rsid w:val="000E793F"/>
    <w:rsid w:val="000F108C"/>
    <w:rsid w:val="000F1DB9"/>
    <w:rsid w:val="000F3EBC"/>
    <w:rsid w:val="000F5674"/>
    <w:rsid w:val="000F5A96"/>
    <w:rsid w:val="000F5A99"/>
    <w:rsid w:val="000F754D"/>
    <w:rsid w:val="000F75BC"/>
    <w:rsid w:val="000F787C"/>
    <w:rsid w:val="000F7A0B"/>
    <w:rsid w:val="00100F05"/>
    <w:rsid w:val="00100F3F"/>
    <w:rsid w:val="00105365"/>
    <w:rsid w:val="00106449"/>
    <w:rsid w:val="00107B57"/>
    <w:rsid w:val="00110797"/>
    <w:rsid w:val="00111150"/>
    <w:rsid w:val="00111438"/>
    <w:rsid w:val="00113649"/>
    <w:rsid w:val="0011559A"/>
    <w:rsid w:val="0011575E"/>
    <w:rsid w:val="00116DFC"/>
    <w:rsid w:val="0011738E"/>
    <w:rsid w:val="00121148"/>
    <w:rsid w:val="00121877"/>
    <w:rsid w:val="00121EDA"/>
    <w:rsid w:val="00123435"/>
    <w:rsid w:val="00123D16"/>
    <w:rsid w:val="00124AAC"/>
    <w:rsid w:val="00125A1D"/>
    <w:rsid w:val="00127354"/>
    <w:rsid w:val="00131BB7"/>
    <w:rsid w:val="00131D95"/>
    <w:rsid w:val="00135E2A"/>
    <w:rsid w:val="001366D1"/>
    <w:rsid w:val="00137CE7"/>
    <w:rsid w:val="001417DA"/>
    <w:rsid w:val="00141BA7"/>
    <w:rsid w:val="00142388"/>
    <w:rsid w:val="00142796"/>
    <w:rsid w:val="00142AD8"/>
    <w:rsid w:val="00143E8B"/>
    <w:rsid w:val="00143EE0"/>
    <w:rsid w:val="0014563D"/>
    <w:rsid w:val="00145914"/>
    <w:rsid w:val="00145FE6"/>
    <w:rsid w:val="001469FA"/>
    <w:rsid w:val="0014796A"/>
    <w:rsid w:val="00147CD4"/>
    <w:rsid w:val="00147DA1"/>
    <w:rsid w:val="00150160"/>
    <w:rsid w:val="001526AD"/>
    <w:rsid w:val="00152EF5"/>
    <w:rsid w:val="00152F19"/>
    <w:rsid w:val="00152F37"/>
    <w:rsid w:val="001553CD"/>
    <w:rsid w:val="0015549B"/>
    <w:rsid w:val="00156834"/>
    <w:rsid w:val="0015787D"/>
    <w:rsid w:val="00160AC1"/>
    <w:rsid w:val="0016111B"/>
    <w:rsid w:val="001627FB"/>
    <w:rsid w:val="00162862"/>
    <w:rsid w:val="00164B21"/>
    <w:rsid w:val="00164DE2"/>
    <w:rsid w:val="00165B2C"/>
    <w:rsid w:val="00166455"/>
    <w:rsid w:val="001711C5"/>
    <w:rsid w:val="001728B0"/>
    <w:rsid w:val="001736BF"/>
    <w:rsid w:val="001740E5"/>
    <w:rsid w:val="001745A0"/>
    <w:rsid w:val="00174BFC"/>
    <w:rsid w:val="00174F82"/>
    <w:rsid w:val="001758E4"/>
    <w:rsid w:val="00177412"/>
    <w:rsid w:val="00177672"/>
    <w:rsid w:val="001812AE"/>
    <w:rsid w:val="001836A0"/>
    <w:rsid w:val="0018374F"/>
    <w:rsid w:val="0018476E"/>
    <w:rsid w:val="001866A3"/>
    <w:rsid w:val="00190F0C"/>
    <w:rsid w:val="00192444"/>
    <w:rsid w:val="0019299E"/>
    <w:rsid w:val="00192C32"/>
    <w:rsid w:val="00193CC6"/>
    <w:rsid w:val="001940A6"/>
    <w:rsid w:val="0019436E"/>
    <w:rsid w:val="00195EC5"/>
    <w:rsid w:val="001975B0"/>
    <w:rsid w:val="001A1CD3"/>
    <w:rsid w:val="001A1E06"/>
    <w:rsid w:val="001A2494"/>
    <w:rsid w:val="001A3A0A"/>
    <w:rsid w:val="001A4672"/>
    <w:rsid w:val="001A489A"/>
    <w:rsid w:val="001A620D"/>
    <w:rsid w:val="001A692E"/>
    <w:rsid w:val="001A7E05"/>
    <w:rsid w:val="001B0F53"/>
    <w:rsid w:val="001B2924"/>
    <w:rsid w:val="001B2B9A"/>
    <w:rsid w:val="001B3D14"/>
    <w:rsid w:val="001B6425"/>
    <w:rsid w:val="001B7FCD"/>
    <w:rsid w:val="001C0683"/>
    <w:rsid w:val="001C094D"/>
    <w:rsid w:val="001C0C17"/>
    <w:rsid w:val="001C32CC"/>
    <w:rsid w:val="001C3516"/>
    <w:rsid w:val="001C5700"/>
    <w:rsid w:val="001D057C"/>
    <w:rsid w:val="001D11A6"/>
    <w:rsid w:val="001D12F2"/>
    <w:rsid w:val="001D2C32"/>
    <w:rsid w:val="001D3C74"/>
    <w:rsid w:val="001D3EA3"/>
    <w:rsid w:val="001D76DA"/>
    <w:rsid w:val="001E03E1"/>
    <w:rsid w:val="001E0DCA"/>
    <w:rsid w:val="001E3691"/>
    <w:rsid w:val="001E52CF"/>
    <w:rsid w:val="001E60CB"/>
    <w:rsid w:val="001E79B9"/>
    <w:rsid w:val="001E79EB"/>
    <w:rsid w:val="001F1264"/>
    <w:rsid w:val="001F270B"/>
    <w:rsid w:val="001F277D"/>
    <w:rsid w:val="001F4D14"/>
    <w:rsid w:val="001F4EBF"/>
    <w:rsid w:val="001F623E"/>
    <w:rsid w:val="001F6E1B"/>
    <w:rsid w:val="0020015A"/>
    <w:rsid w:val="00202797"/>
    <w:rsid w:val="0020431A"/>
    <w:rsid w:val="00205AD7"/>
    <w:rsid w:val="00205E53"/>
    <w:rsid w:val="0020795C"/>
    <w:rsid w:val="002100E2"/>
    <w:rsid w:val="00211FA2"/>
    <w:rsid w:val="00212947"/>
    <w:rsid w:val="00212BDE"/>
    <w:rsid w:val="00214E1E"/>
    <w:rsid w:val="00215C01"/>
    <w:rsid w:val="0021621A"/>
    <w:rsid w:val="00216A43"/>
    <w:rsid w:val="00216C24"/>
    <w:rsid w:val="002176A5"/>
    <w:rsid w:val="002209E1"/>
    <w:rsid w:val="0022110D"/>
    <w:rsid w:val="00222E12"/>
    <w:rsid w:val="002234DE"/>
    <w:rsid w:val="00223F2E"/>
    <w:rsid w:val="002241DF"/>
    <w:rsid w:val="0022700E"/>
    <w:rsid w:val="00231670"/>
    <w:rsid w:val="00232680"/>
    <w:rsid w:val="002347A9"/>
    <w:rsid w:val="0023607E"/>
    <w:rsid w:val="00236C8F"/>
    <w:rsid w:val="00237A10"/>
    <w:rsid w:val="00241FCE"/>
    <w:rsid w:val="00242CB6"/>
    <w:rsid w:val="002430B3"/>
    <w:rsid w:val="00243CA1"/>
    <w:rsid w:val="00243F03"/>
    <w:rsid w:val="00244170"/>
    <w:rsid w:val="0024532B"/>
    <w:rsid w:val="00246662"/>
    <w:rsid w:val="00246825"/>
    <w:rsid w:val="00247B28"/>
    <w:rsid w:val="00247DCF"/>
    <w:rsid w:val="00247F05"/>
    <w:rsid w:val="00250A2C"/>
    <w:rsid w:val="002520D1"/>
    <w:rsid w:val="0025279D"/>
    <w:rsid w:val="00253311"/>
    <w:rsid w:val="00254D19"/>
    <w:rsid w:val="00255FE1"/>
    <w:rsid w:val="0025624D"/>
    <w:rsid w:val="00256A93"/>
    <w:rsid w:val="00256B4D"/>
    <w:rsid w:val="002576E3"/>
    <w:rsid w:val="00260070"/>
    <w:rsid w:val="00260627"/>
    <w:rsid w:val="00260B07"/>
    <w:rsid w:val="0026179D"/>
    <w:rsid w:val="002636F9"/>
    <w:rsid w:val="00264237"/>
    <w:rsid w:val="00264867"/>
    <w:rsid w:val="00265EDA"/>
    <w:rsid w:val="00266633"/>
    <w:rsid w:val="002707F7"/>
    <w:rsid w:val="00270E45"/>
    <w:rsid w:val="00270FAA"/>
    <w:rsid w:val="002723B8"/>
    <w:rsid w:val="0027261A"/>
    <w:rsid w:val="00272E90"/>
    <w:rsid w:val="00273479"/>
    <w:rsid w:val="0027447D"/>
    <w:rsid w:val="00274C94"/>
    <w:rsid w:val="00275059"/>
    <w:rsid w:val="0027778D"/>
    <w:rsid w:val="00280983"/>
    <w:rsid w:val="00280C2E"/>
    <w:rsid w:val="002822D8"/>
    <w:rsid w:val="002826E8"/>
    <w:rsid w:val="00282D7C"/>
    <w:rsid w:val="002856DF"/>
    <w:rsid w:val="002865B2"/>
    <w:rsid w:val="0028669F"/>
    <w:rsid w:val="002879BD"/>
    <w:rsid w:val="002927D2"/>
    <w:rsid w:val="0029498B"/>
    <w:rsid w:val="00294AB4"/>
    <w:rsid w:val="00295B32"/>
    <w:rsid w:val="00297B4A"/>
    <w:rsid w:val="002A1C2F"/>
    <w:rsid w:val="002A3165"/>
    <w:rsid w:val="002A4815"/>
    <w:rsid w:val="002A5583"/>
    <w:rsid w:val="002A661B"/>
    <w:rsid w:val="002A6DF0"/>
    <w:rsid w:val="002A7210"/>
    <w:rsid w:val="002A7390"/>
    <w:rsid w:val="002A74C5"/>
    <w:rsid w:val="002A756A"/>
    <w:rsid w:val="002A7F32"/>
    <w:rsid w:val="002B0A07"/>
    <w:rsid w:val="002B0E90"/>
    <w:rsid w:val="002B1B26"/>
    <w:rsid w:val="002B1C23"/>
    <w:rsid w:val="002B2003"/>
    <w:rsid w:val="002B2384"/>
    <w:rsid w:val="002B32CA"/>
    <w:rsid w:val="002B67C8"/>
    <w:rsid w:val="002B6EB1"/>
    <w:rsid w:val="002B7E31"/>
    <w:rsid w:val="002C1A06"/>
    <w:rsid w:val="002C21E1"/>
    <w:rsid w:val="002C2A7B"/>
    <w:rsid w:val="002C3A7B"/>
    <w:rsid w:val="002C5F70"/>
    <w:rsid w:val="002C7FC3"/>
    <w:rsid w:val="002D10D7"/>
    <w:rsid w:val="002D2572"/>
    <w:rsid w:val="002D42E8"/>
    <w:rsid w:val="002D7207"/>
    <w:rsid w:val="002E01A7"/>
    <w:rsid w:val="002E1C01"/>
    <w:rsid w:val="002E52E0"/>
    <w:rsid w:val="002E56C9"/>
    <w:rsid w:val="002E6071"/>
    <w:rsid w:val="002E6B38"/>
    <w:rsid w:val="002E6DB5"/>
    <w:rsid w:val="002E79ED"/>
    <w:rsid w:val="002E7EE7"/>
    <w:rsid w:val="002F0104"/>
    <w:rsid w:val="002F11EC"/>
    <w:rsid w:val="002F1C27"/>
    <w:rsid w:val="002F1EDC"/>
    <w:rsid w:val="002F221F"/>
    <w:rsid w:val="002F3C57"/>
    <w:rsid w:val="002F46A0"/>
    <w:rsid w:val="002F4C34"/>
    <w:rsid w:val="002F53B1"/>
    <w:rsid w:val="002F6D54"/>
    <w:rsid w:val="002F7443"/>
    <w:rsid w:val="003009C9"/>
    <w:rsid w:val="00301ECF"/>
    <w:rsid w:val="00301F8C"/>
    <w:rsid w:val="003023D9"/>
    <w:rsid w:val="003028EF"/>
    <w:rsid w:val="00302D3E"/>
    <w:rsid w:val="00303627"/>
    <w:rsid w:val="00303978"/>
    <w:rsid w:val="003043AB"/>
    <w:rsid w:val="00304EBF"/>
    <w:rsid w:val="003051FB"/>
    <w:rsid w:val="0030572E"/>
    <w:rsid w:val="0030610C"/>
    <w:rsid w:val="00307146"/>
    <w:rsid w:val="00311095"/>
    <w:rsid w:val="00311814"/>
    <w:rsid w:val="003118AC"/>
    <w:rsid w:val="0031323D"/>
    <w:rsid w:val="00315048"/>
    <w:rsid w:val="0031568D"/>
    <w:rsid w:val="00316474"/>
    <w:rsid w:val="00316905"/>
    <w:rsid w:val="00316B4D"/>
    <w:rsid w:val="00317256"/>
    <w:rsid w:val="0031754D"/>
    <w:rsid w:val="00317DD5"/>
    <w:rsid w:val="00320843"/>
    <w:rsid w:val="00322EEF"/>
    <w:rsid w:val="00322FB2"/>
    <w:rsid w:val="00323289"/>
    <w:rsid w:val="0032345A"/>
    <w:rsid w:val="003234E3"/>
    <w:rsid w:val="00323CE2"/>
    <w:rsid w:val="00330CBA"/>
    <w:rsid w:val="0033212B"/>
    <w:rsid w:val="00332C28"/>
    <w:rsid w:val="00333038"/>
    <w:rsid w:val="00334A89"/>
    <w:rsid w:val="00334D1E"/>
    <w:rsid w:val="00334ED7"/>
    <w:rsid w:val="00334FB4"/>
    <w:rsid w:val="00335103"/>
    <w:rsid w:val="003359E6"/>
    <w:rsid w:val="00335DCE"/>
    <w:rsid w:val="00337322"/>
    <w:rsid w:val="0034193C"/>
    <w:rsid w:val="00341C96"/>
    <w:rsid w:val="00342434"/>
    <w:rsid w:val="0034311C"/>
    <w:rsid w:val="00343E12"/>
    <w:rsid w:val="00344241"/>
    <w:rsid w:val="003442A2"/>
    <w:rsid w:val="00344715"/>
    <w:rsid w:val="00345243"/>
    <w:rsid w:val="0034594F"/>
    <w:rsid w:val="00346860"/>
    <w:rsid w:val="003468B2"/>
    <w:rsid w:val="00346E91"/>
    <w:rsid w:val="00347181"/>
    <w:rsid w:val="0034728F"/>
    <w:rsid w:val="003517AD"/>
    <w:rsid w:val="00351D9C"/>
    <w:rsid w:val="00352218"/>
    <w:rsid w:val="00356090"/>
    <w:rsid w:val="00357611"/>
    <w:rsid w:val="003616B4"/>
    <w:rsid w:val="00362794"/>
    <w:rsid w:val="00363AD4"/>
    <w:rsid w:val="00366676"/>
    <w:rsid w:val="0036691F"/>
    <w:rsid w:val="0036724C"/>
    <w:rsid w:val="00371430"/>
    <w:rsid w:val="00371839"/>
    <w:rsid w:val="00371C98"/>
    <w:rsid w:val="00372795"/>
    <w:rsid w:val="003732BF"/>
    <w:rsid w:val="0037483B"/>
    <w:rsid w:val="00375B6B"/>
    <w:rsid w:val="0037613C"/>
    <w:rsid w:val="00377109"/>
    <w:rsid w:val="00380199"/>
    <w:rsid w:val="00382F6F"/>
    <w:rsid w:val="00384DFD"/>
    <w:rsid w:val="00386A24"/>
    <w:rsid w:val="00387686"/>
    <w:rsid w:val="003903DD"/>
    <w:rsid w:val="003905CA"/>
    <w:rsid w:val="003909CD"/>
    <w:rsid w:val="00390DAC"/>
    <w:rsid w:val="00392076"/>
    <w:rsid w:val="003937DF"/>
    <w:rsid w:val="00396242"/>
    <w:rsid w:val="00396D47"/>
    <w:rsid w:val="003A0701"/>
    <w:rsid w:val="003A079B"/>
    <w:rsid w:val="003A1D82"/>
    <w:rsid w:val="003A2010"/>
    <w:rsid w:val="003A262C"/>
    <w:rsid w:val="003A2B56"/>
    <w:rsid w:val="003A3781"/>
    <w:rsid w:val="003A3FA1"/>
    <w:rsid w:val="003A40E0"/>
    <w:rsid w:val="003A5CE4"/>
    <w:rsid w:val="003A5D6E"/>
    <w:rsid w:val="003A5E2E"/>
    <w:rsid w:val="003A656A"/>
    <w:rsid w:val="003A6693"/>
    <w:rsid w:val="003A70BC"/>
    <w:rsid w:val="003A77EB"/>
    <w:rsid w:val="003B0068"/>
    <w:rsid w:val="003B04B0"/>
    <w:rsid w:val="003B1197"/>
    <w:rsid w:val="003B19E1"/>
    <w:rsid w:val="003B22EC"/>
    <w:rsid w:val="003B2800"/>
    <w:rsid w:val="003B2BE5"/>
    <w:rsid w:val="003B32EB"/>
    <w:rsid w:val="003B467E"/>
    <w:rsid w:val="003B4BD7"/>
    <w:rsid w:val="003B60FE"/>
    <w:rsid w:val="003B728D"/>
    <w:rsid w:val="003B79F2"/>
    <w:rsid w:val="003C0172"/>
    <w:rsid w:val="003C0430"/>
    <w:rsid w:val="003C054D"/>
    <w:rsid w:val="003C0830"/>
    <w:rsid w:val="003C08BF"/>
    <w:rsid w:val="003C0AEB"/>
    <w:rsid w:val="003C13B8"/>
    <w:rsid w:val="003C1F32"/>
    <w:rsid w:val="003C2A11"/>
    <w:rsid w:val="003C4674"/>
    <w:rsid w:val="003C590A"/>
    <w:rsid w:val="003C6572"/>
    <w:rsid w:val="003C74D0"/>
    <w:rsid w:val="003D24E1"/>
    <w:rsid w:val="003D2F20"/>
    <w:rsid w:val="003D30CE"/>
    <w:rsid w:val="003D3A35"/>
    <w:rsid w:val="003D4F0A"/>
    <w:rsid w:val="003D5A35"/>
    <w:rsid w:val="003D650B"/>
    <w:rsid w:val="003D69EA"/>
    <w:rsid w:val="003E041F"/>
    <w:rsid w:val="003E05D3"/>
    <w:rsid w:val="003E1089"/>
    <w:rsid w:val="003E1090"/>
    <w:rsid w:val="003E1434"/>
    <w:rsid w:val="003E1963"/>
    <w:rsid w:val="003E1C9E"/>
    <w:rsid w:val="003E1E9A"/>
    <w:rsid w:val="003E2118"/>
    <w:rsid w:val="003E25B5"/>
    <w:rsid w:val="003E3210"/>
    <w:rsid w:val="003E3C84"/>
    <w:rsid w:val="003E46D8"/>
    <w:rsid w:val="003E4C0D"/>
    <w:rsid w:val="003E70A8"/>
    <w:rsid w:val="003F031A"/>
    <w:rsid w:val="003F0376"/>
    <w:rsid w:val="003F19D9"/>
    <w:rsid w:val="003F2481"/>
    <w:rsid w:val="003F2C6A"/>
    <w:rsid w:val="003F3C81"/>
    <w:rsid w:val="003F4A31"/>
    <w:rsid w:val="003F73FD"/>
    <w:rsid w:val="003F789E"/>
    <w:rsid w:val="003F7D6F"/>
    <w:rsid w:val="00402421"/>
    <w:rsid w:val="00402984"/>
    <w:rsid w:val="004034F8"/>
    <w:rsid w:val="00403B3B"/>
    <w:rsid w:val="004044B9"/>
    <w:rsid w:val="00404664"/>
    <w:rsid w:val="00405D9F"/>
    <w:rsid w:val="00406BAA"/>
    <w:rsid w:val="00411693"/>
    <w:rsid w:val="00412502"/>
    <w:rsid w:val="004129FB"/>
    <w:rsid w:val="00415155"/>
    <w:rsid w:val="00415B83"/>
    <w:rsid w:val="004174A6"/>
    <w:rsid w:val="00420017"/>
    <w:rsid w:val="00420FD5"/>
    <w:rsid w:val="004215D0"/>
    <w:rsid w:val="004229C2"/>
    <w:rsid w:val="00422E03"/>
    <w:rsid w:val="0042367F"/>
    <w:rsid w:val="00425EFA"/>
    <w:rsid w:val="00426A68"/>
    <w:rsid w:val="00426D50"/>
    <w:rsid w:val="00427286"/>
    <w:rsid w:val="004304F5"/>
    <w:rsid w:val="00430ABC"/>
    <w:rsid w:val="00430BC9"/>
    <w:rsid w:val="00430EA5"/>
    <w:rsid w:val="00431DFA"/>
    <w:rsid w:val="004339D0"/>
    <w:rsid w:val="0043529D"/>
    <w:rsid w:val="0043761E"/>
    <w:rsid w:val="004411F2"/>
    <w:rsid w:val="00441F4E"/>
    <w:rsid w:val="00442B03"/>
    <w:rsid w:val="00443336"/>
    <w:rsid w:val="00443CFD"/>
    <w:rsid w:val="004452BC"/>
    <w:rsid w:val="00450144"/>
    <w:rsid w:val="00451917"/>
    <w:rsid w:val="00451A71"/>
    <w:rsid w:val="00454680"/>
    <w:rsid w:val="00454ADB"/>
    <w:rsid w:val="00454C24"/>
    <w:rsid w:val="004564F7"/>
    <w:rsid w:val="00460035"/>
    <w:rsid w:val="004604C7"/>
    <w:rsid w:val="0046065C"/>
    <w:rsid w:val="00460FB0"/>
    <w:rsid w:val="00461E40"/>
    <w:rsid w:val="00461F6C"/>
    <w:rsid w:val="004620C7"/>
    <w:rsid w:val="00463A16"/>
    <w:rsid w:val="00463D2A"/>
    <w:rsid w:val="00463E75"/>
    <w:rsid w:val="004650AD"/>
    <w:rsid w:val="00465BFA"/>
    <w:rsid w:val="004674AA"/>
    <w:rsid w:val="004675F1"/>
    <w:rsid w:val="0046782C"/>
    <w:rsid w:val="00467FAE"/>
    <w:rsid w:val="00470248"/>
    <w:rsid w:val="004716CD"/>
    <w:rsid w:val="004719B1"/>
    <w:rsid w:val="00472C77"/>
    <w:rsid w:val="00473F45"/>
    <w:rsid w:val="00474BE4"/>
    <w:rsid w:val="004753C9"/>
    <w:rsid w:val="00475D50"/>
    <w:rsid w:val="00475F66"/>
    <w:rsid w:val="00476902"/>
    <w:rsid w:val="004802FC"/>
    <w:rsid w:val="004807FD"/>
    <w:rsid w:val="00481916"/>
    <w:rsid w:val="00482A53"/>
    <w:rsid w:val="00483EFF"/>
    <w:rsid w:val="004845B0"/>
    <w:rsid w:val="004845C9"/>
    <w:rsid w:val="00484F35"/>
    <w:rsid w:val="00485D32"/>
    <w:rsid w:val="00487998"/>
    <w:rsid w:val="0049063C"/>
    <w:rsid w:val="00491C65"/>
    <w:rsid w:val="0049211B"/>
    <w:rsid w:val="00492271"/>
    <w:rsid w:val="004932D7"/>
    <w:rsid w:val="0049493C"/>
    <w:rsid w:val="00495058"/>
    <w:rsid w:val="004969B3"/>
    <w:rsid w:val="00496E8A"/>
    <w:rsid w:val="00497858"/>
    <w:rsid w:val="00497879"/>
    <w:rsid w:val="00497EFA"/>
    <w:rsid w:val="004A08E7"/>
    <w:rsid w:val="004A0F6C"/>
    <w:rsid w:val="004A1200"/>
    <w:rsid w:val="004A1D01"/>
    <w:rsid w:val="004A283D"/>
    <w:rsid w:val="004A3AD1"/>
    <w:rsid w:val="004A3F57"/>
    <w:rsid w:val="004A4316"/>
    <w:rsid w:val="004A47A2"/>
    <w:rsid w:val="004A5BF3"/>
    <w:rsid w:val="004A5DE6"/>
    <w:rsid w:val="004A5F77"/>
    <w:rsid w:val="004A7645"/>
    <w:rsid w:val="004A7673"/>
    <w:rsid w:val="004B1999"/>
    <w:rsid w:val="004B3205"/>
    <w:rsid w:val="004B3672"/>
    <w:rsid w:val="004B380E"/>
    <w:rsid w:val="004B3E99"/>
    <w:rsid w:val="004C0AED"/>
    <w:rsid w:val="004C12BB"/>
    <w:rsid w:val="004C20EF"/>
    <w:rsid w:val="004C2659"/>
    <w:rsid w:val="004C38F8"/>
    <w:rsid w:val="004C4CAD"/>
    <w:rsid w:val="004C6D31"/>
    <w:rsid w:val="004C75AC"/>
    <w:rsid w:val="004C77CE"/>
    <w:rsid w:val="004C7F01"/>
    <w:rsid w:val="004D00AB"/>
    <w:rsid w:val="004D1184"/>
    <w:rsid w:val="004D30FB"/>
    <w:rsid w:val="004D3DB4"/>
    <w:rsid w:val="004D4329"/>
    <w:rsid w:val="004D47BE"/>
    <w:rsid w:val="004D4F78"/>
    <w:rsid w:val="004D5EFA"/>
    <w:rsid w:val="004D67A5"/>
    <w:rsid w:val="004D699A"/>
    <w:rsid w:val="004D7393"/>
    <w:rsid w:val="004E08AA"/>
    <w:rsid w:val="004E26A5"/>
    <w:rsid w:val="004E324E"/>
    <w:rsid w:val="004E36D3"/>
    <w:rsid w:val="004E525C"/>
    <w:rsid w:val="004E5603"/>
    <w:rsid w:val="004E565F"/>
    <w:rsid w:val="004E64C3"/>
    <w:rsid w:val="004E7638"/>
    <w:rsid w:val="004E7E95"/>
    <w:rsid w:val="004F0EAB"/>
    <w:rsid w:val="004F38A9"/>
    <w:rsid w:val="004F47BC"/>
    <w:rsid w:val="004F6D8E"/>
    <w:rsid w:val="004F755F"/>
    <w:rsid w:val="00500706"/>
    <w:rsid w:val="00500EEA"/>
    <w:rsid w:val="005032EF"/>
    <w:rsid w:val="00503BA2"/>
    <w:rsid w:val="00504AEE"/>
    <w:rsid w:val="00504FAB"/>
    <w:rsid w:val="005052AF"/>
    <w:rsid w:val="0050586A"/>
    <w:rsid w:val="00505FA4"/>
    <w:rsid w:val="00506EAA"/>
    <w:rsid w:val="00510C2B"/>
    <w:rsid w:val="0051198B"/>
    <w:rsid w:val="0051340A"/>
    <w:rsid w:val="00513E62"/>
    <w:rsid w:val="00513FC9"/>
    <w:rsid w:val="005145A9"/>
    <w:rsid w:val="00517289"/>
    <w:rsid w:val="0051761E"/>
    <w:rsid w:val="005216DA"/>
    <w:rsid w:val="00521B91"/>
    <w:rsid w:val="00521E18"/>
    <w:rsid w:val="00522DF2"/>
    <w:rsid w:val="005251C8"/>
    <w:rsid w:val="00525922"/>
    <w:rsid w:val="00525A0D"/>
    <w:rsid w:val="00525A28"/>
    <w:rsid w:val="005265BE"/>
    <w:rsid w:val="00526A78"/>
    <w:rsid w:val="0053035C"/>
    <w:rsid w:val="00530D46"/>
    <w:rsid w:val="00531C2E"/>
    <w:rsid w:val="00532DB4"/>
    <w:rsid w:val="0053305C"/>
    <w:rsid w:val="00534979"/>
    <w:rsid w:val="00534A78"/>
    <w:rsid w:val="00535718"/>
    <w:rsid w:val="00535BE8"/>
    <w:rsid w:val="00535C24"/>
    <w:rsid w:val="005370AC"/>
    <w:rsid w:val="00537AC7"/>
    <w:rsid w:val="005403C2"/>
    <w:rsid w:val="00540D54"/>
    <w:rsid w:val="005410DE"/>
    <w:rsid w:val="00541465"/>
    <w:rsid w:val="00541A88"/>
    <w:rsid w:val="005430AF"/>
    <w:rsid w:val="0054343F"/>
    <w:rsid w:val="00543FD1"/>
    <w:rsid w:val="00544686"/>
    <w:rsid w:val="0054517E"/>
    <w:rsid w:val="00547B82"/>
    <w:rsid w:val="00547C6E"/>
    <w:rsid w:val="00550346"/>
    <w:rsid w:val="00550A2A"/>
    <w:rsid w:val="005517B9"/>
    <w:rsid w:val="00553AEE"/>
    <w:rsid w:val="005556F4"/>
    <w:rsid w:val="00555CBB"/>
    <w:rsid w:val="00556216"/>
    <w:rsid w:val="00557198"/>
    <w:rsid w:val="005601B7"/>
    <w:rsid w:val="00560509"/>
    <w:rsid w:val="0056187D"/>
    <w:rsid w:val="00562573"/>
    <w:rsid w:val="00562B5A"/>
    <w:rsid w:val="00564431"/>
    <w:rsid w:val="005650CD"/>
    <w:rsid w:val="005705C3"/>
    <w:rsid w:val="00571B44"/>
    <w:rsid w:val="00575F9D"/>
    <w:rsid w:val="005772E2"/>
    <w:rsid w:val="005775E6"/>
    <w:rsid w:val="005808D2"/>
    <w:rsid w:val="00582AB8"/>
    <w:rsid w:val="00583362"/>
    <w:rsid w:val="00583A89"/>
    <w:rsid w:val="00583E68"/>
    <w:rsid w:val="00583FC4"/>
    <w:rsid w:val="00584555"/>
    <w:rsid w:val="00584EED"/>
    <w:rsid w:val="00587EEF"/>
    <w:rsid w:val="00592FEB"/>
    <w:rsid w:val="00593B43"/>
    <w:rsid w:val="00593DE7"/>
    <w:rsid w:val="00594585"/>
    <w:rsid w:val="0059474F"/>
    <w:rsid w:val="00596A5C"/>
    <w:rsid w:val="00597474"/>
    <w:rsid w:val="005A21E0"/>
    <w:rsid w:val="005A24DE"/>
    <w:rsid w:val="005A34CA"/>
    <w:rsid w:val="005A4218"/>
    <w:rsid w:val="005A5B4C"/>
    <w:rsid w:val="005A661D"/>
    <w:rsid w:val="005B1DC8"/>
    <w:rsid w:val="005B563F"/>
    <w:rsid w:val="005B67EF"/>
    <w:rsid w:val="005B716E"/>
    <w:rsid w:val="005B7D7C"/>
    <w:rsid w:val="005C0392"/>
    <w:rsid w:val="005C0B3A"/>
    <w:rsid w:val="005C2809"/>
    <w:rsid w:val="005C2D17"/>
    <w:rsid w:val="005C3EE5"/>
    <w:rsid w:val="005C41DA"/>
    <w:rsid w:val="005C48A9"/>
    <w:rsid w:val="005C52E0"/>
    <w:rsid w:val="005C5B6F"/>
    <w:rsid w:val="005C780D"/>
    <w:rsid w:val="005D0688"/>
    <w:rsid w:val="005D16AB"/>
    <w:rsid w:val="005D18ED"/>
    <w:rsid w:val="005D18FC"/>
    <w:rsid w:val="005D2380"/>
    <w:rsid w:val="005D5219"/>
    <w:rsid w:val="005D70DB"/>
    <w:rsid w:val="005D72E5"/>
    <w:rsid w:val="005E04DC"/>
    <w:rsid w:val="005E1246"/>
    <w:rsid w:val="005E2BB0"/>
    <w:rsid w:val="005E2DE0"/>
    <w:rsid w:val="005E3BBC"/>
    <w:rsid w:val="005E4586"/>
    <w:rsid w:val="005E5030"/>
    <w:rsid w:val="005E5F8E"/>
    <w:rsid w:val="005E7444"/>
    <w:rsid w:val="005F0103"/>
    <w:rsid w:val="005F0165"/>
    <w:rsid w:val="005F1F92"/>
    <w:rsid w:val="005F3400"/>
    <w:rsid w:val="005F50A5"/>
    <w:rsid w:val="005F60A6"/>
    <w:rsid w:val="005F6EEC"/>
    <w:rsid w:val="005F74A8"/>
    <w:rsid w:val="00600168"/>
    <w:rsid w:val="0060234B"/>
    <w:rsid w:val="00602F84"/>
    <w:rsid w:val="006035A9"/>
    <w:rsid w:val="0060382B"/>
    <w:rsid w:val="006058A4"/>
    <w:rsid w:val="00605B79"/>
    <w:rsid w:val="006104DB"/>
    <w:rsid w:val="00610602"/>
    <w:rsid w:val="00611720"/>
    <w:rsid w:val="00613607"/>
    <w:rsid w:val="00613BB2"/>
    <w:rsid w:val="006142B4"/>
    <w:rsid w:val="0061518C"/>
    <w:rsid w:val="006152D9"/>
    <w:rsid w:val="00615D23"/>
    <w:rsid w:val="00616C81"/>
    <w:rsid w:val="00617520"/>
    <w:rsid w:val="00620B8A"/>
    <w:rsid w:val="00620B92"/>
    <w:rsid w:val="00621A72"/>
    <w:rsid w:val="00622C80"/>
    <w:rsid w:val="00623771"/>
    <w:rsid w:val="00623908"/>
    <w:rsid w:val="006242A8"/>
    <w:rsid w:val="00625BC5"/>
    <w:rsid w:val="00625C4E"/>
    <w:rsid w:val="006267A6"/>
    <w:rsid w:val="0063095E"/>
    <w:rsid w:val="00631EED"/>
    <w:rsid w:val="006325BD"/>
    <w:rsid w:val="006327C6"/>
    <w:rsid w:val="00633AC1"/>
    <w:rsid w:val="0063424F"/>
    <w:rsid w:val="00634808"/>
    <w:rsid w:val="00634835"/>
    <w:rsid w:val="006349A2"/>
    <w:rsid w:val="00634A01"/>
    <w:rsid w:val="00634DF6"/>
    <w:rsid w:val="006363CF"/>
    <w:rsid w:val="00636781"/>
    <w:rsid w:val="00641585"/>
    <w:rsid w:val="006426AD"/>
    <w:rsid w:val="006428B8"/>
    <w:rsid w:val="00646728"/>
    <w:rsid w:val="006517E1"/>
    <w:rsid w:val="00651FC2"/>
    <w:rsid w:val="00652279"/>
    <w:rsid w:val="00652BB7"/>
    <w:rsid w:val="00654A72"/>
    <w:rsid w:val="006557BF"/>
    <w:rsid w:val="00656025"/>
    <w:rsid w:val="006563DF"/>
    <w:rsid w:val="0065719A"/>
    <w:rsid w:val="0065741A"/>
    <w:rsid w:val="0066086D"/>
    <w:rsid w:val="00660AC8"/>
    <w:rsid w:val="00661024"/>
    <w:rsid w:val="006645F9"/>
    <w:rsid w:val="00665701"/>
    <w:rsid w:val="00666976"/>
    <w:rsid w:val="00667ADD"/>
    <w:rsid w:val="006707DA"/>
    <w:rsid w:val="00671624"/>
    <w:rsid w:val="00672329"/>
    <w:rsid w:val="00672BF1"/>
    <w:rsid w:val="00674838"/>
    <w:rsid w:val="0067503B"/>
    <w:rsid w:val="00675364"/>
    <w:rsid w:val="00675851"/>
    <w:rsid w:val="00675AA9"/>
    <w:rsid w:val="00676607"/>
    <w:rsid w:val="006770E1"/>
    <w:rsid w:val="00677775"/>
    <w:rsid w:val="00677E5C"/>
    <w:rsid w:val="00680AD9"/>
    <w:rsid w:val="006818BC"/>
    <w:rsid w:val="00681D2D"/>
    <w:rsid w:val="00683EFC"/>
    <w:rsid w:val="00685154"/>
    <w:rsid w:val="0068579D"/>
    <w:rsid w:val="006858F8"/>
    <w:rsid w:val="00685E18"/>
    <w:rsid w:val="00686137"/>
    <w:rsid w:val="0068628E"/>
    <w:rsid w:val="00686292"/>
    <w:rsid w:val="00686AF1"/>
    <w:rsid w:val="006874C0"/>
    <w:rsid w:val="00687CB6"/>
    <w:rsid w:val="006912C7"/>
    <w:rsid w:val="00691D7E"/>
    <w:rsid w:val="00691DC6"/>
    <w:rsid w:val="006928CC"/>
    <w:rsid w:val="006931D9"/>
    <w:rsid w:val="00693A60"/>
    <w:rsid w:val="00693E81"/>
    <w:rsid w:val="00693F04"/>
    <w:rsid w:val="00694059"/>
    <w:rsid w:val="006948FF"/>
    <w:rsid w:val="00695842"/>
    <w:rsid w:val="0069596A"/>
    <w:rsid w:val="00696320"/>
    <w:rsid w:val="00696D66"/>
    <w:rsid w:val="006A0590"/>
    <w:rsid w:val="006A23DA"/>
    <w:rsid w:val="006A332B"/>
    <w:rsid w:val="006A4D70"/>
    <w:rsid w:val="006A620C"/>
    <w:rsid w:val="006A65A2"/>
    <w:rsid w:val="006A74D6"/>
    <w:rsid w:val="006B3F50"/>
    <w:rsid w:val="006B59DD"/>
    <w:rsid w:val="006B68C1"/>
    <w:rsid w:val="006B7B9D"/>
    <w:rsid w:val="006C18AF"/>
    <w:rsid w:val="006C2109"/>
    <w:rsid w:val="006C2EB3"/>
    <w:rsid w:val="006C2FA9"/>
    <w:rsid w:val="006C34F1"/>
    <w:rsid w:val="006C3E8B"/>
    <w:rsid w:val="006C4601"/>
    <w:rsid w:val="006C4744"/>
    <w:rsid w:val="006C7EF3"/>
    <w:rsid w:val="006C7F87"/>
    <w:rsid w:val="006D00DF"/>
    <w:rsid w:val="006D0900"/>
    <w:rsid w:val="006D15DB"/>
    <w:rsid w:val="006D1800"/>
    <w:rsid w:val="006D41C8"/>
    <w:rsid w:val="006D5175"/>
    <w:rsid w:val="006D6587"/>
    <w:rsid w:val="006D6E71"/>
    <w:rsid w:val="006D7ECF"/>
    <w:rsid w:val="006E0F6F"/>
    <w:rsid w:val="006E1076"/>
    <w:rsid w:val="006E1446"/>
    <w:rsid w:val="006E15F3"/>
    <w:rsid w:val="006E2533"/>
    <w:rsid w:val="006E353A"/>
    <w:rsid w:val="006E41C7"/>
    <w:rsid w:val="006E4301"/>
    <w:rsid w:val="006E44B6"/>
    <w:rsid w:val="006E4825"/>
    <w:rsid w:val="006E52EC"/>
    <w:rsid w:val="006F01D2"/>
    <w:rsid w:val="006F05E8"/>
    <w:rsid w:val="006F12BC"/>
    <w:rsid w:val="006F1737"/>
    <w:rsid w:val="006F1C50"/>
    <w:rsid w:val="006F31D5"/>
    <w:rsid w:val="007014EB"/>
    <w:rsid w:val="0070192E"/>
    <w:rsid w:val="0070236C"/>
    <w:rsid w:val="007035A6"/>
    <w:rsid w:val="00703A35"/>
    <w:rsid w:val="0070463A"/>
    <w:rsid w:val="00704C32"/>
    <w:rsid w:val="00706742"/>
    <w:rsid w:val="00707F2D"/>
    <w:rsid w:val="00710D76"/>
    <w:rsid w:val="00711130"/>
    <w:rsid w:val="00711CE5"/>
    <w:rsid w:val="00711FFC"/>
    <w:rsid w:val="007146F1"/>
    <w:rsid w:val="00715C3C"/>
    <w:rsid w:val="00716406"/>
    <w:rsid w:val="00720831"/>
    <w:rsid w:val="00720B75"/>
    <w:rsid w:val="00720F7D"/>
    <w:rsid w:val="00722582"/>
    <w:rsid w:val="00722912"/>
    <w:rsid w:val="00723419"/>
    <w:rsid w:val="0072390B"/>
    <w:rsid w:val="00723BBB"/>
    <w:rsid w:val="00724278"/>
    <w:rsid w:val="007301F2"/>
    <w:rsid w:val="00731480"/>
    <w:rsid w:val="00731C52"/>
    <w:rsid w:val="00731CC5"/>
    <w:rsid w:val="007352E2"/>
    <w:rsid w:val="007355BF"/>
    <w:rsid w:val="00735CA2"/>
    <w:rsid w:val="00736023"/>
    <w:rsid w:val="00737310"/>
    <w:rsid w:val="007407CA"/>
    <w:rsid w:val="00741BFA"/>
    <w:rsid w:val="00741E62"/>
    <w:rsid w:val="007431AF"/>
    <w:rsid w:val="00743DA7"/>
    <w:rsid w:val="00743F02"/>
    <w:rsid w:val="0074588F"/>
    <w:rsid w:val="00746098"/>
    <w:rsid w:val="00746450"/>
    <w:rsid w:val="00746864"/>
    <w:rsid w:val="00750536"/>
    <w:rsid w:val="00750D82"/>
    <w:rsid w:val="00751E74"/>
    <w:rsid w:val="00752329"/>
    <w:rsid w:val="00752651"/>
    <w:rsid w:val="00752A15"/>
    <w:rsid w:val="00752AE9"/>
    <w:rsid w:val="00756223"/>
    <w:rsid w:val="00756CB5"/>
    <w:rsid w:val="00761C65"/>
    <w:rsid w:val="00761FE0"/>
    <w:rsid w:val="00762947"/>
    <w:rsid w:val="00762A3E"/>
    <w:rsid w:val="007631BC"/>
    <w:rsid w:val="00764A83"/>
    <w:rsid w:val="007652E3"/>
    <w:rsid w:val="00767600"/>
    <w:rsid w:val="00767DF3"/>
    <w:rsid w:val="00770AF3"/>
    <w:rsid w:val="007720FB"/>
    <w:rsid w:val="0077250B"/>
    <w:rsid w:val="00772B39"/>
    <w:rsid w:val="00772D57"/>
    <w:rsid w:val="00775C4E"/>
    <w:rsid w:val="00776A42"/>
    <w:rsid w:val="00777246"/>
    <w:rsid w:val="00777AA4"/>
    <w:rsid w:val="00780379"/>
    <w:rsid w:val="00781C63"/>
    <w:rsid w:val="00783823"/>
    <w:rsid w:val="00784F80"/>
    <w:rsid w:val="007852FD"/>
    <w:rsid w:val="0078559F"/>
    <w:rsid w:val="007863E1"/>
    <w:rsid w:val="0079049D"/>
    <w:rsid w:val="007931D0"/>
    <w:rsid w:val="00794653"/>
    <w:rsid w:val="00794A5B"/>
    <w:rsid w:val="00795A48"/>
    <w:rsid w:val="00795EF0"/>
    <w:rsid w:val="00796230"/>
    <w:rsid w:val="00796D6A"/>
    <w:rsid w:val="00797A7F"/>
    <w:rsid w:val="00797E7B"/>
    <w:rsid w:val="007A0138"/>
    <w:rsid w:val="007A0C37"/>
    <w:rsid w:val="007A1C2D"/>
    <w:rsid w:val="007A2D5E"/>
    <w:rsid w:val="007A309D"/>
    <w:rsid w:val="007A63A6"/>
    <w:rsid w:val="007A6B60"/>
    <w:rsid w:val="007B0B56"/>
    <w:rsid w:val="007B1888"/>
    <w:rsid w:val="007B1E9A"/>
    <w:rsid w:val="007B3F1A"/>
    <w:rsid w:val="007B6944"/>
    <w:rsid w:val="007B7454"/>
    <w:rsid w:val="007C00C0"/>
    <w:rsid w:val="007C1C4E"/>
    <w:rsid w:val="007C4E6B"/>
    <w:rsid w:val="007C4F99"/>
    <w:rsid w:val="007C5222"/>
    <w:rsid w:val="007C5943"/>
    <w:rsid w:val="007C6F37"/>
    <w:rsid w:val="007C7986"/>
    <w:rsid w:val="007D0D32"/>
    <w:rsid w:val="007D1435"/>
    <w:rsid w:val="007D3EE8"/>
    <w:rsid w:val="007D7236"/>
    <w:rsid w:val="007D75F6"/>
    <w:rsid w:val="007E094A"/>
    <w:rsid w:val="007E0A29"/>
    <w:rsid w:val="007E1182"/>
    <w:rsid w:val="007E25BB"/>
    <w:rsid w:val="007E26C3"/>
    <w:rsid w:val="007E3345"/>
    <w:rsid w:val="007E5079"/>
    <w:rsid w:val="007E5779"/>
    <w:rsid w:val="007E5F24"/>
    <w:rsid w:val="007E6447"/>
    <w:rsid w:val="007E7AB1"/>
    <w:rsid w:val="007E7E0F"/>
    <w:rsid w:val="007F0D07"/>
    <w:rsid w:val="007F1DB2"/>
    <w:rsid w:val="007F3132"/>
    <w:rsid w:val="007F3B5B"/>
    <w:rsid w:val="007F4864"/>
    <w:rsid w:val="007F6AC6"/>
    <w:rsid w:val="007F6E33"/>
    <w:rsid w:val="0080071F"/>
    <w:rsid w:val="00800B5E"/>
    <w:rsid w:val="00800FCF"/>
    <w:rsid w:val="00803335"/>
    <w:rsid w:val="00803960"/>
    <w:rsid w:val="00803E09"/>
    <w:rsid w:val="0080482B"/>
    <w:rsid w:val="00804942"/>
    <w:rsid w:val="00807DF7"/>
    <w:rsid w:val="008117E7"/>
    <w:rsid w:val="00812B60"/>
    <w:rsid w:val="00813BC0"/>
    <w:rsid w:val="008140C5"/>
    <w:rsid w:val="00814F37"/>
    <w:rsid w:val="008169C6"/>
    <w:rsid w:val="008204FC"/>
    <w:rsid w:val="00820B36"/>
    <w:rsid w:val="00820E28"/>
    <w:rsid w:val="00821D1A"/>
    <w:rsid w:val="008231A5"/>
    <w:rsid w:val="008234A1"/>
    <w:rsid w:val="00823602"/>
    <w:rsid w:val="0082716D"/>
    <w:rsid w:val="00827E8D"/>
    <w:rsid w:val="00830404"/>
    <w:rsid w:val="00830972"/>
    <w:rsid w:val="00830F29"/>
    <w:rsid w:val="008313DD"/>
    <w:rsid w:val="00832CC8"/>
    <w:rsid w:val="0083473E"/>
    <w:rsid w:val="00835A2A"/>
    <w:rsid w:val="00836395"/>
    <w:rsid w:val="008372A5"/>
    <w:rsid w:val="00840F08"/>
    <w:rsid w:val="008416AA"/>
    <w:rsid w:val="00842537"/>
    <w:rsid w:val="0084272A"/>
    <w:rsid w:val="00842CA4"/>
    <w:rsid w:val="0084348F"/>
    <w:rsid w:val="008442FC"/>
    <w:rsid w:val="00845590"/>
    <w:rsid w:val="008473E2"/>
    <w:rsid w:val="00847B06"/>
    <w:rsid w:val="00851121"/>
    <w:rsid w:val="00851585"/>
    <w:rsid w:val="00851817"/>
    <w:rsid w:val="00851888"/>
    <w:rsid w:val="00851AC0"/>
    <w:rsid w:val="00856C85"/>
    <w:rsid w:val="00856CE3"/>
    <w:rsid w:val="0085728B"/>
    <w:rsid w:val="00860497"/>
    <w:rsid w:val="008604DC"/>
    <w:rsid w:val="00860ACD"/>
    <w:rsid w:val="0086121F"/>
    <w:rsid w:val="00861EEC"/>
    <w:rsid w:val="008628F4"/>
    <w:rsid w:val="00863594"/>
    <w:rsid w:val="008637E9"/>
    <w:rsid w:val="00865943"/>
    <w:rsid w:val="0086715F"/>
    <w:rsid w:val="008706D1"/>
    <w:rsid w:val="00871223"/>
    <w:rsid w:val="008726DF"/>
    <w:rsid w:val="00876B80"/>
    <w:rsid w:val="00876E38"/>
    <w:rsid w:val="00877155"/>
    <w:rsid w:val="00880044"/>
    <w:rsid w:val="008808BC"/>
    <w:rsid w:val="008811EB"/>
    <w:rsid w:val="00881E6A"/>
    <w:rsid w:val="00881F8B"/>
    <w:rsid w:val="0088221C"/>
    <w:rsid w:val="00882545"/>
    <w:rsid w:val="00883F00"/>
    <w:rsid w:val="008852CA"/>
    <w:rsid w:val="00885BBB"/>
    <w:rsid w:val="00885D17"/>
    <w:rsid w:val="008862E9"/>
    <w:rsid w:val="008863AF"/>
    <w:rsid w:val="00886A86"/>
    <w:rsid w:val="00886B75"/>
    <w:rsid w:val="008907F0"/>
    <w:rsid w:val="00891675"/>
    <w:rsid w:val="008916A2"/>
    <w:rsid w:val="0089202D"/>
    <w:rsid w:val="00892105"/>
    <w:rsid w:val="00892B3E"/>
    <w:rsid w:val="00894D20"/>
    <w:rsid w:val="0089513B"/>
    <w:rsid w:val="0089551F"/>
    <w:rsid w:val="00895E3F"/>
    <w:rsid w:val="008A0882"/>
    <w:rsid w:val="008A0997"/>
    <w:rsid w:val="008A0C64"/>
    <w:rsid w:val="008A1555"/>
    <w:rsid w:val="008A1F1E"/>
    <w:rsid w:val="008A35BC"/>
    <w:rsid w:val="008A4A18"/>
    <w:rsid w:val="008A60CA"/>
    <w:rsid w:val="008A664D"/>
    <w:rsid w:val="008A6A14"/>
    <w:rsid w:val="008B00C5"/>
    <w:rsid w:val="008B1AB2"/>
    <w:rsid w:val="008B2720"/>
    <w:rsid w:val="008B29CF"/>
    <w:rsid w:val="008B490B"/>
    <w:rsid w:val="008B55FB"/>
    <w:rsid w:val="008B640F"/>
    <w:rsid w:val="008B78FE"/>
    <w:rsid w:val="008C000B"/>
    <w:rsid w:val="008C1929"/>
    <w:rsid w:val="008C1AD3"/>
    <w:rsid w:val="008C2337"/>
    <w:rsid w:val="008D05D8"/>
    <w:rsid w:val="008D1042"/>
    <w:rsid w:val="008D182B"/>
    <w:rsid w:val="008D1935"/>
    <w:rsid w:val="008D241C"/>
    <w:rsid w:val="008D2F46"/>
    <w:rsid w:val="008D5277"/>
    <w:rsid w:val="008D55C3"/>
    <w:rsid w:val="008D6188"/>
    <w:rsid w:val="008D6B9B"/>
    <w:rsid w:val="008E16FD"/>
    <w:rsid w:val="008E193F"/>
    <w:rsid w:val="008E33C2"/>
    <w:rsid w:val="008E34DA"/>
    <w:rsid w:val="008E4F1D"/>
    <w:rsid w:val="008E53CD"/>
    <w:rsid w:val="008E602E"/>
    <w:rsid w:val="008E6311"/>
    <w:rsid w:val="008F0AF1"/>
    <w:rsid w:val="008F0D5B"/>
    <w:rsid w:val="008F101C"/>
    <w:rsid w:val="008F152C"/>
    <w:rsid w:val="008F1749"/>
    <w:rsid w:val="008F39F6"/>
    <w:rsid w:val="008F4047"/>
    <w:rsid w:val="008F4A31"/>
    <w:rsid w:val="008F4AEE"/>
    <w:rsid w:val="008F4FE6"/>
    <w:rsid w:val="008F504E"/>
    <w:rsid w:val="008F6253"/>
    <w:rsid w:val="008F62D7"/>
    <w:rsid w:val="008F74C3"/>
    <w:rsid w:val="009000AE"/>
    <w:rsid w:val="00900236"/>
    <w:rsid w:val="00900C43"/>
    <w:rsid w:val="00900C65"/>
    <w:rsid w:val="009031E0"/>
    <w:rsid w:val="00903C70"/>
    <w:rsid w:val="00903F45"/>
    <w:rsid w:val="00905325"/>
    <w:rsid w:val="00906368"/>
    <w:rsid w:val="00912184"/>
    <w:rsid w:val="00913059"/>
    <w:rsid w:val="009156CB"/>
    <w:rsid w:val="00915815"/>
    <w:rsid w:val="00915C12"/>
    <w:rsid w:val="00916D55"/>
    <w:rsid w:val="00917F52"/>
    <w:rsid w:val="009210BF"/>
    <w:rsid w:val="009216AB"/>
    <w:rsid w:val="00921C97"/>
    <w:rsid w:val="00922FA2"/>
    <w:rsid w:val="00924F53"/>
    <w:rsid w:val="009256FF"/>
    <w:rsid w:val="00926891"/>
    <w:rsid w:val="009275C1"/>
    <w:rsid w:val="0092797B"/>
    <w:rsid w:val="00927EF1"/>
    <w:rsid w:val="009324FF"/>
    <w:rsid w:val="00933E6A"/>
    <w:rsid w:val="00935505"/>
    <w:rsid w:val="00935B9A"/>
    <w:rsid w:val="0094324D"/>
    <w:rsid w:val="0094375C"/>
    <w:rsid w:val="00943CCC"/>
    <w:rsid w:val="00944F3A"/>
    <w:rsid w:val="00946801"/>
    <w:rsid w:val="00950878"/>
    <w:rsid w:val="009518DA"/>
    <w:rsid w:val="00952C53"/>
    <w:rsid w:val="00953FB3"/>
    <w:rsid w:val="0095428C"/>
    <w:rsid w:val="00955020"/>
    <w:rsid w:val="009550BE"/>
    <w:rsid w:val="00955BBA"/>
    <w:rsid w:val="00957412"/>
    <w:rsid w:val="00957A9F"/>
    <w:rsid w:val="0096075B"/>
    <w:rsid w:val="00960C2A"/>
    <w:rsid w:val="00960F5B"/>
    <w:rsid w:val="009616B2"/>
    <w:rsid w:val="009624BE"/>
    <w:rsid w:val="009625CF"/>
    <w:rsid w:val="00962FCC"/>
    <w:rsid w:val="009650CC"/>
    <w:rsid w:val="00965709"/>
    <w:rsid w:val="00965848"/>
    <w:rsid w:val="009665B4"/>
    <w:rsid w:val="009670BB"/>
    <w:rsid w:val="0097179C"/>
    <w:rsid w:val="00973173"/>
    <w:rsid w:val="00973DC9"/>
    <w:rsid w:val="009740AC"/>
    <w:rsid w:val="00974211"/>
    <w:rsid w:val="00974CDC"/>
    <w:rsid w:val="00975F2D"/>
    <w:rsid w:val="009775F6"/>
    <w:rsid w:val="00977E8B"/>
    <w:rsid w:val="00980752"/>
    <w:rsid w:val="00982DD0"/>
    <w:rsid w:val="009848A1"/>
    <w:rsid w:val="00985FEE"/>
    <w:rsid w:val="00986195"/>
    <w:rsid w:val="00987018"/>
    <w:rsid w:val="00987602"/>
    <w:rsid w:val="00990739"/>
    <w:rsid w:val="00991125"/>
    <w:rsid w:val="0099167B"/>
    <w:rsid w:val="00991AF7"/>
    <w:rsid w:val="00991DE2"/>
    <w:rsid w:val="00993559"/>
    <w:rsid w:val="00993F0B"/>
    <w:rsid w:val="00993F2A"/>
    <w:rsid w:val="0099404F"/>
    <w:rsid w:val="009943FB"/>
    <w:rsid w:val="009952A4"/>
    <w:rsid w:val="00995331"/>
    <w:rsid w:val="009954B9"/>
    <w:rsid w:val="009957D8"/>
    <w:rsid w:val="009958D7"/>
    <w:rsid w:val="00995D3D"/>
    <w:rsid w:val="00995E38"/>
    <w:rsid w:val="009976A6"/>
    <w:rsid w:val="009A00A5"/>
    <w:rsid w:val="009A1806"/>
    <w:rsid w:val="009A1934"/>
    <w:rsid w:val="009A3271"/>
    <w:rsid w:val="009A3A15"/>
    <w:rsid w:val="009A5BAF"/>
    <w:rsid w:val="009A6D0E"/>
    <w:rsid w:val="009B1371"/>
    <w:rsid w:val="009B249C"/>
    <w:rsid w:val="009B24B7"/>
    <w:rsid w:val="009B388C"/>
    <w:rsid w:val="009B6BB6"/>
    <w:rsid w:val="009B7778"/>
    <w:rsid w:val="009C0DF8"/>
    <w:rsid w:val="009C22BA"/>
    <w:rsid w:val="009C28E1"/>
    <w:rsid w:val="009C3060"/>
    <w:rsid w:val="009C33CD"/>
    <w:rsid w:val="009C44B1"/>
    <w:rsid w:val="009C5266"/>
    <w:rsid w:val="009C592F"/>
    <w:rsid w:val="009C61F8"/>
    <w:rsid w:val="009C6369"/>
    <w:rsid w:val="009C66CE"/>
    <w:rsid w:val="009C6F8A"/>
    <w:rsid w:val="009D0A16"/>
    <w:rsid w:val="009D0B32"/>
    <w:rsid w:val="009D0D06"/>
    <w:rsid w:val="009D45D6"/>
    <w:rsid w:val="009E01A8"/>
    <w:rsid w:val="009E03FB"/>
    <w:rsid w:val="009E0DC5"/>
    <w:rsid w:val="009E0E0A"/>
    <w:rsid w:val="009E11F2"/>
    <w:rsid w:val="009E2F82"/>
    <w:rsid w:val="009E543B"/>
    <w:rsid w:val="009E54E2"/>
    <w:rsid w:val="009E5744"/>
    <w:rsid w:val="009E63EA"/>
    <w:rsid w:val="009E67B4"/>
    <w:rsid w:val="009E6F83"/>
    <w:rsid w:val="009E7B44"/>
    <w:rsid w:val="009F0603"/>
    <w:rsid w:val="009F06C2"/>
    <w:rsid w:val="009F0DCB"/>
    <w:rsid w:val="009F0F4C"/>
    <w:rsid w:val="009F1308"/>
    <w:rsid w:val="009F2031"/>
    <w:rsid w:val="009F214A"/>
    <w:rsid w:val="009F2724"/>
    <w:rsid w:val="009F6944"/>
    <w:rsid w:val="00A000F6"/>
    <w:rsid w:val="00A00CA3"/>
    <w:rsid w:val="00A01876"/>
    <w:rsid w:val="00A03CEC"/>
    <w:rsid w:val="00A04485"/>
    <w:rsid w:val="00A0477A"/>
    <w:rsid w:val="00A0482A"/>
    <w:rsid w:val="00A04FA0"/>
    <w:rsid w:val="00A062E1"/>
    <w:rsid w:val="00A07381"/>
    <w:rsid w:val="00A075F4"/>
    <w:rsid w:val="00A0791E"/>
    <w:rsid w:val="00A07E8D"/>
    <w:rsid w:val="00A10537"/>
    <w:rsid w:val="00A11099"/>
    <w:rsid w:val="00A11720"/>
    <w:rsid w:val="00A12499"/>
    <w:rsid w:val="00A14595"/>
    <w:rsid w:val="00A14FBF"/>
    <w:rsid w:val="00A165A5"/>
    <w:rsid w:val="00A16D00"/>
    <w:rsid w:val="00A179E1"/>
    <w:rsid w:val="00A17DF1"/>
    <w:rsid w:val="00A20272"/>
    <w:rsid w:val="00A224DB"/>
    <w:rsid w:val="00A24577"/>
    <w:rsid w:val="00A24D12"/>
    <w:rsid w:val="00A25115"/>
    <w:rsid w:val="00A25491"/>
    <w:rsid w:val="00A2672B"/>
    <w:rsid w:val="00A26A41"/>
    <w:rsid w:val="00A26CB5"/>
    <w:rsid w:val="00A26D17"/>
    <w:rsid w:val="00A27BB4"/>
    <w:rsid w:val="00A3155E"/>
    <w:rsid w:val="00A317EA"/>
    <w:rsid w:val="00A327A3"/>
    <w:rsid w:val="00A32CF9"/>
    <w:rsid w:val="00A3383A"/>
    <w:rsid w:val="00A34665"/>
    <w:rsid w:val="00A34A24"/>
    <w:rsid w:val="00A3572A"/>
    <w:rsid w:val="00A35DF8"/>
    <w:rsid w:val="00A3673C"/>
    <w:rsid w:val="00A36790"/>
    <w:rsid w:val="00A37BCA"/>
    <w:rsid w:val="00A409A1"/>
    <w:rsid w:val="00A44685"/>
    <w:rsid w:val="00A44AFB"/>
    <w:rsid w:val="00A47F67"/>
    <w:rsid w:val="00A500E7"/>
    <w:rsid w:val="00A5233D"/>
    <w:rsid w:val="00A54485"/>
    <w:rsid w:val="00A550BD"/>
    <w:rsid w:val="00A55F10"/>
    <w:rsid w:val="00A560A3"/>
    <w:rsid w:val="00A563FA"/>
    <w:rsid w:val="00A6014C"/>
    <w:rsid w:val="00A60730"/>
    <w:rsid w:val="00A61125"/>
    <w:rsid w:val="00A629FE"/>
    <w:rsid w:val="00A637A5"/>
    <w:rsid w:val="00A653A8"/>
    <w:rsid w:val="00A67814"/>
    <w:rsid w:val="00A67DB5"/>
    <w:rsid w:val="00A67F40"/>
    <w:rsid w:val="00A700EB"/>
    <w:rsid w:val="00A70209"/>
    <w:rsid w:val="00A70352"/>
    <w:rsid w:val="00A71A95"/>
    <w:rsid w:val="00A7350F"/>
    <w:rsid w:val="00A73C84"/>
    <w:rsid w:val="00A74DED"/>
    <w:rsid w:val="00A76F0A"/>
    <w:rsid w:val="00A77FC6"/>
    <w:rsid w:val="00A80AB0"/>
    <w:rsid w:val="00A81B2C"/>
    <w:rsid w:val="00A821CE"/>
    <w:rsid w:val="00A824D3"/>
    <w:rsid w:val="00A83F13"/>
    <w:rsid w:val="00A840D9"/>
    <w:rsid w:val="00A8448C"/>
    <w:rsid w:val="00A84F86"/>
    <w:rsid w:val="00A865EF"/>
    <w:rsid w:val="00A86CD9"/>
    <w:rsid w:val="00A9247C"/>
    <w:rsid w:val="00A92F1C"/>
    <w:rsid w:val="00A9318D"/>
    <w:rsid w:val="00A93B0F"/>
    <w:rsid w:val="00A944A5"/>
    <w:rsid w:val="00A95909"/>
    <w:rsid w:val="00A96F1C"/>
    <w:rsid w:val="00A97857"/>
    <w:rsid w:val="00A97DE8"/>
    <w:rsid w:val="00AA0211"/>
    <w:rsid w:val="00AA11A4"/>
    <w:rsid w:val="00AA259B"/>
    <w:rsid w:val="00AA4583"/>
    <w:rsid w:val="00AA5185"/>
    <w:rsid w:val="00AA5515"/>
    <w:rsid w:val="00AA6EE1"/>
    <w:rsid w:val="00AB0B0C"/>
    <w:rsid w:val="00AB0C2E"/>
    <w:rsid w:val="00AB263D"/>
    <w:rsid w:val="00AB2D63"/>
    <w:rsid w:val="00AB521D"/>
    <w:rsid w:val="00AB55B8"/>
    <w:rsid w:val="00AB5B71"/>
    <w:rsid w:val="00AB68B1"/>
    <w:rsid w:val="00AB6C0A"/>
    <w:rsid w:val="00AC01C7"/>
    <w:rsid w:val="00AC0E68"/>
    <w:rsid w:val="00AC1209"/>
    <w:rsid w:val="00AC2520"/>
    <w:rsid w:val="00AC3A73"/>
    <w:rsid w:val="00AC447D"/>
    <w:rsid w:val="00AC49DB"/>
    <w:rsid w:val="00AD150E"/>
    <w:rsid w:val="00AD2D50"/>
    <w:rsid w:val="00AD37F9"/>
    <w:rsid w:val="00AD416F"/>
    <w:rsid w:val="00AD5B54"/>
    <w:rsid w:val="00AD5B6C"/>
    <w:rsid w:val="00AD5ED2"/>
    <w:rsid w:val="00AD74A2"/>
    <w:rsid w:val="00AD7CC1"/>
    <w:rsid w:val="00AE165F"/>
    <w:rsid w:val="00AE21ED"/>
    <w:rsid w:val="00AE433E"/>
    <w:rsid w:val="00AE4578"/>
    <w:rsid w:val="00AE564F"/>
    <w:rsid w:val="00AE5EC3"/>
    <w:rsid w:val="00AE5FF2"/>
    <w:rsid w:val="00AF060B"/>
    <w:rsid w:val="00AF1F79"/>
    <w:rsid w:val="00AF261A"/>
    <w:rsid w:val="00AF3678"/>
    <w:rsid w:val="00AF3AFD"/>
    <w:rsid w:val="00AF3BE1"/>
    <w:rsid w:val="00AF4040"/>
    <w:rsid w:val="00AF47EF"/>
    <w:rsid w:val="00AF6133"/>
    <w:rsid w:val="00AF6237"/>
    <w:rsid w:val="00AF7F0E"/>
    <w:rsid w:val="00B00267"/>
    <w:rsid w:val="00B01440"/>
    <w:rsid w:val="00B017F1"/>
    <w:rsid w:val="00B03922"/>
    <w:rsid w:val="00B03B96"/>
    <w:rsid w:val="00B0401E"/>
    <w:rsid w:val="00B04197"/>
    <w:rsid w:val="00B04313"/>
    <w:rsid w:val="00B05AFB"/>
    <w:rsid w:val="00B05BC8"/>
    <w:rsid w:val="00B06B47"/>
    <w:rsid w:val="00B073B8"/>
    <w:rsid w:val="00B0749B"/>
    <w:rsid w:val="00B10AE0"/>
    <w:rsid w:val="00B11B10"/>
    <w:rsid w:val="00B11D75"/>
    <w:rsid w:val="00B1226F"/>
    <w:rsid w:val="00B1287D"/>
    <w:rsid w:val="00B12EAA"/>
    <w:rsid w:val="00B138F8"/>
    <w:rsid w:val="00B143AB"/>
    <w:rsid w:val="00B1453A"/>
    <w:rsid w:val="00B14746"/>
    <w:rsid w:val="00B15008"/>
    <w:rsid w:val="00B159E6"/>
    <w:rsid w:val="00B15CB5"/>
    <w:rsid w:val="00B16058"/>
    <w:rsid w:val="00B16E9A"/>
    <w:rsid w:val="00B17EE9"/>
    <w:rsid w:val="00B2087F"/>
    <w:rsid w:val="00B24E0D"/>
    <w:rsid w:val="00B24E76"/>
    <w:rsid w:val="00B25D84"/>
    <w:rsid w:val="00B26682"/>
    <w:rsid w:val="00B30EC6"/>
    <w:rsid w:val="00B312AD"/>
    <w:rsid w:val="00B31515"/>
    <w:rsid w:val="00B339D0"/>
    <w:rsid w:val="00B343C5"/>
    <w:rsid w:val="00B34F14"/>
    <w:rsid w:val="00B35964"/>
    <w:rsid w:val="00B400B5"/>
    <w:rsid w:val="00B401DE"/>
    <w:rsid w:val="00B41423"/>
    <w:rsid w:val="00B419B7"/>
    <w:rsid w:val="00B41F24"/>
    <w:rsid w:val="00B438E2"/>
    <w:rsid w:val="00B441AD"/>
    <w:rsid w:val="00B4509C"/>
    <w:rsid w:val="00B45823"/>
    <w:rsid w:val="00B45A43"/>
    <w:rsid w:val="00B47368"/>
    <w:rsid w:val="00B478B1"/>
    <w:rsid w:val="00B50AA2"/>
    <w:rsid w:val="00B51233"/>
    <w:rsid w:val="00B51D2D"/>
    <w:rsid w:val="00B52414"/>
    <w:rsid w:val="00B5247E"/>
    <w:rsid w:val="00B524E6"/>
    <w:rsid w:val="00B526DD"/>
    <w:rsid w:val="00B52C3F"/>
    <w:rsid w:val="00B555A8"/>
    <w:rsid w:val="00B56C77"/>
    <w:rsid w:val="00B56D62"/>
    <w:rsid w:val="00B579AA"/>
    <w:rsid w:val="00B6043A"/>
    <w:rsid w:val="00B609A4"/>
    <w:rsid w:val="00B60EC2"/>
    <w:rsid w:val="00B61D38"/>
    <w:rsid w:val="00B62810"/>
    <w:rsid w:val="00B633D5"/>
    <w:rsid w:val="00B64104"/>
    <w:rsid w:val="00B64859"/>
    <w:rsid w:val="00B64C65"/>
    <w:rsid w:val="00B6505E"/>
    <w:rsid w:val="00B65EDB"/>
    <w:rsid w:val="00B67AA8"/>
    <w:rsid w:val="00B703C9"/>
    <w:rsid w:val="00B71023"/>
    <w:rsid w:val="00B7154D"/>
    <w:rsid w:val="00B7178B"/>
    <w:rsid w:val="00B722CC"/>
    <w:rsid w:val="00B72AC1"/>
    <w:rsid w:val="00B733C2"/>
    <w:rsid w:val="00B776EE"/>
    <w:rsid w:val="00B77EC6"/>
    <w:rsid w:val="00B806AF"/>
    <w:rsid w:val="00B8502F"/>
    <w:rsid w:val="00B85E4F"/>
    <w:rsid w:val="00B86DBF"/>
    <w:rsid w:val="00B9041D"/>
    <w:rsid w:val="00B91420"/>
    <w:rsid w:val="00B9293C"/>
    <w:rsid w:val="00B92BBB"/>
    <w:rsid w:val="00B92E63"/>
    <w:rsid w:val="00B93F6D"/>
    <w:rsid w:val="00B94976"/>
    <w:rsid w:val="00B9507E"/>
    <w:rsid w:val="00B9574D"/>
    <w:rsid w:val="00B97A68"/>
    <w:rsid w:val="00BA06A7"/>
    <w:rsid w:val="00BA0937"/>
    <w:rsid w:val="00BA0D53"/>
    <w:rsid w:val="00BA243C"/>
    <w:rsid w:val="00BA261E"/>
    <w:rsid w:val="00BA4538"/>
    <w:rsid w:val="00BA4976"/>
    <w:rsid w:val="00BA6379"/>
    <w:rsid w:val="00BA6C80"/>
    <w:rsid w:val="00BA6F7B"/>
    <w:rsid w:val="00BA7E57"/>
    <w:rsid w:val="00BB0F5C"/>
    <w:rsid w:val="00BB2124"/>
    <w:rsid w:val="00BB4D04"/>
    <w:rsid w:val="00BB645C"/>
    <w:rsid w:val="00BC060F"/>
    <w:rsid w:val="00BC1ADE"/>
    <w:rsid w:val="00BC2886"/>
    <w:rsid w:val="00BC306F"/>
    <w:rsid w:val="00BC378B"/>
    <w:rsid w:val="00BC4DD1"/>
    <w:rsid w:val="00BC5145"/>
    <w:rsid w:val="00BC538C"/>
    <w:rsid w:val="00BC5DA8"/>
    <w:rsid w:val="00BC788D"/>
    <w:rsid w:val="00BD1132"/>
    <w:rsid w:val="00BD1D3A"/>
    <w:rsid w:val="00BD1EB3"/>
    <w:rsid w:val="00BD1FCC"/>
    <w:rsid w:val="00BD3362"/>
    <w:rsid w:val="00BD5699"/>
    <w:rsid w:val="00BD67BA"/>
    <w:rsid w:val="00BD737C"/>
    <w:rsid w:val="00BE044C"/>
    <w:rsid w:val="00BE0731"/>
    <w:rsid w:val="00BE07BC"/>
    <w:rsid w:val="00BE19C1"/>
    <w:rsid w:val="00BE239A"/>
    <w:rsid w:val="00BE4388"/>
    <w:rsid w:val="00BE483A"/>
    <w:rsid w:val="00BE5693"/>
    <w:rsid w:val="00BE5EED"/>
    <w:rsid w:val="00BE6180"/>
    <w:rsid w:val="00BE67A2"/>
    <w:rsid w:val="00BE69A0"/>
    <w:rsid w:val="00BE7589"/>
    <w:rsid w:val="00BF0273"/>
    <w:rsid w:val="00BF3333"/>
    <w:rsid w:val="00BF449B"/>
    <w:rsid w:val="00BF4619"/>
    <w:rsid w:val="00BF4FD0"/>
    <w:rsid w:val="00BF4FFF"/>
    <w:rsid w:val="00BF52C7"/>
    <w:rsid w:val="00BF588A"/>
    <w:rsid w:val="00BF5AAB"/>
    <w:rsid w:val="00BF66DE"/>
    <w:rsid w:val="00C00571"/>
    <w:rsid w:val="00C014ED"/>
    <w:rsid w:val="00C027D8"/>
    <w:rsid w:val="00C058CE"/>
    <w:rsid w:val="00C11195"/>
    <w:rsid w:val="00C11866"/>
    <w:rsid w:val="00C11C08"/>
    <w:rsid w:val="00C15FBD"/>
    <w:rsid w:val="00C217B7"/>
    <w:rsid w:val="00C221E8"/>
    <w:rsid w:val="00C2273E"/>
    <w:rsid w:val="00C2317C"/>
    <w:rsid w:val="00C234B7"/>
    <w:rsid w:val="00C23A37"/>
    <w:rsid w:val="00C24EE3"/>
    <w:rsid w:val="00C254EC"/>
    <w:rsid w:val="00C2599B"/>
    <w:rsid w:val="00C269B5"/>
    <w:rsid w:val="00C31F9D"/>
    <w:rsid w:val="00C32BF1"/>
    <w:rsid w:val="00C3436F"/>
    <w:rsid w:val="00C345BE"/>
    <w:rsid w:val="00C345FF"/>
    <w:rsid w:val="00C34ED7"/>
    <w:rsid w:val="00C35C82"/>
    <w:rsid w:val="00C363A4"/>
    <w:rsid w:val="00C36E1D"/>
    <w:rsid w:val="00C37D83"/>
    <w:rsid w:val="00C402A4"/>
    <w:rsid w:val="00C4075E"/>
    <w:rsid w:val="00C427C1"/>
    <w:rsid w:val="00C43320"/>
    <w:rsid w:val="00C43F7B"/>
    <w:rsid w:val="00C44DBB"/>
    <w:rsid w:val="00C455CF"/>
    <w:rsid w:val="00C45FA8"/>
    <w:rsid w:val="00C46996"/>
    <w:rsid w:val="00C4718E"/>
    <w:rsid w:val="00C47A9A"/>
    <w:rsid w:val="00C47B09"/>
    <w:rsid w:val="00C47BA4"/>
    <w:rsid w:val="00C47EC5"/>
    <w:rsid w:val="00C51709"/>
    <w:rsid w:val="00C517E2"/>
    <w:rsid w:val="00C53503"/>
    <w:rsid w:val="00C5391C"/>
    <w:rsid w:val="00C544FD"/>
    <w:rsid w:val="00C550AF"/>
    <w:rsid w:val="00C56919"/>
    <w:rsid w:val="00C56CDE"/>
    <w:rsid w:val="00C56E14"/>
    <w:rsid w:val="00C5774A"/>
    <w:rsid w:val="00C60BF7"/>
    <w:rsid w:val="00C611F5"/>
    <w:rsid w:val="00C62355"/>
    <w:rsid w:val="00C624B2"/>
    <w:rsid w:val="00C637AA"/>
    <w:rsid w:val="00C658EF"/>
    <w:rsid w:val="00C66632"/>
    <w:rsid w:val="00C66CED"/>
    <w:rsid w:val="00C67BC1"/>
    <w:rsid w:val="00C7120E"/>
    <w:rsid w:val="00C7344C"/>
    <w:rsid w:val="00C73AA3"/>
    <w:rsid w:val="00C73B1E"/>
    <w:rsid w:val="00C745A8"/>
    <w:rsid w:val="00C74ECD"/>
    <w:rsid w:val="00C7545F"/>
    <w:rsid w:val="00C81469"/>
    <w:rsid w:val="00C81F01"/>
    <w:rsid w:val="00C824D0"/>
    <w:rsid w:val="00C8342E"/>
    <w:rsid w:val="00C84713"/>
    <w:rsid w:val="00C853FA"/>
    <w:rsid w:val="00C859E1"/>
    <w:rsid w:val="00C8741F"/>
    <w:rsid w:val="00C90486"/>
    <w:rsid w:val="00C9171C"/>
    <w:rsid w:val="00C9189E"/>
    <w:rsid w:val="00C921B5"/>
    <w:rsid w:val="00C9430C"/>
    <w:rsid w:val="00C94442"/>
    <w:rsid w:val="00C94CC0"/>
    <w:rsid w:val="00C95290"/>
    <w:rsid w:val="00C9567A"/>
    <w:rsid w:val="00C9670E"/>
    <w:rsid w:val="00C973D0"/>
    <w:rsid w:val="00C975AB"/>
    <w:rsid w:val="00CA10F0"/>
    <w:rsid w:val="00CA2028"/>
    <w:rsid w:val="00CA276F"/>
    <w:rsid w:val="00CA3051"/>
    <w:rsid w:val="00CA3E21"/>
    <w:rsid w:val="00CA47B0"/>
    <w:rsid w:val="00CA7DEE"/>
    <w:rsid w:val="00CB0A24"/>
    <w:rsid w:val="00CB1995"/>
    <w:rsid w:val="00CB1E6D"/>
    <w:rsid w:val="00CB6FDB"/>
    <w:rsid w:val="00CB7B2A"/>
    <w:rsid w:val="00CC00DD"/>
    <w:rsid w:val="00CC04F1"/>
    <w:rsid w:val="00CC083F"/>
    <w:rsid w:val="00CC260B"/>
    <w:rsid w:val="00CC3369"/>
    <w:rsid w:val="00CC3D90"/>
    <w:rsid w:val="00CC4404"/>
    <w:rsid w:val="00CC4BE6"/>
    <w:rsid w:val="00CC50BD"/>
    <w:rsid w:val="00CC683B"/>
    <w:rsid w:val="00CC71C2"/>
    <w:rsid w:val="00CC7A28"/>
    <w:rsid w:val="00CD06F0"/>
    <w:rsid w:val="00CD232A"/>
    <w:rsid w:val="00CD5DEF"/>
    <w:rsid w:val="00CD6F51"/>
    <w:rsid w:val="00CD6F73"/>
    <w:rsid w:val="00CE30E7"/>
    <w:rsid w:val="00CE3C89"/>
    <w:rsid w:val="00CE3D0C"/>
    <w:rsid w:val="00CE43B3"/>
    <w:rsid w:val="00CE53B0"/>
    <w:rsid w:val="00CE5A68"/>
    <w:rsid w:val="00CE6534"/>
    <w:rsid w:val="00CE754F"/>
    <w:rsid w:val="00CE7856"/>
    <w:rsid w:val="00CE7D0C"/>
    <w:rsid w:val="00CF0E43"/>
    <w:rsid w:val="00CF3100"/>
    <w:rsid w:val="00CF55E3"/>
    <w:rsid w:val="00CF6409"/>
    <w:rsid w:val="00CF7EE8"/>
    <w:rsid w:val="00D016D8"/>
    <w:rsid w:val="00D04285"/>
    <w:rsid w:val="00D055C2"/>
    <w:rsid w:val="00D10B76"/>
    <w:rsid w:val="00D11D24"/>
    <w:rsid w:val="00D12B46"/>
    <w:rsid w:val="00D1346B"/>
    <w:rsid w:val="00D17BD7"/>
    <w:rsid w:val="00D20471"/>
    <w:rsid w:val="00D22BC5"/>
    <w:rsid w:val="00D23E79"/>
    <w:rsid w:val="00D2414D"/>
    <w:rsid w:val="00D24A13"/>
    <w:rsid w:val="00D25C9F"/>
    <w:rsid w:val="00D2733D"/>
    <w:rsid w:val="00D27D4C"/>
    <w:rsid w:val="00D30BD8"/>
    <w:rsid w:val="00D322C0"/>
    <w:rsid w:val="00D32965"/>
    <w:rsid w:val="00D32CA2"/>
    <w:rsid w:val="00D33EB6"/>
    <w:rsid w:val="00D343DC"/>
    <w:rsid w:val="00D34F46"/>
    <w:rsid w:val="00D423AA"/>
    <w:rsid w:val="00D42C90"/>
    <w:rsid w:val="00D43256"/>
    <w:rsid w:val="00D43485"/>
    <w:rsid w:val="00D437A8"/>
    <w:rsid w:val="00D43E47"/>
    <w:rsid w:val="00D4487B"/>
    <w:rsid w:val="00D460FE"/>
    <w:rsid w:val="00D46F88"/>
    <w:rsid w:val="00D47655"/>
    <w:rsid w:val="00D47F86"/>
    <w:rsid w:val="00D50E22"/>
    <w:rsid w:val="00D52203"/>
    <w:rsid w:val="00D52329"/>
    <w:rsid w:val="00D54270"/>
    <w:rsid w:val="00D550DB"/>
    <w:rsid w:val="00D57917"/>
    <w:rsid w:val="00D57E42"/>
    <w:rsid w:val="00D601EB"/>
    <w:rsid w:val="00D6023F"/>
    <w:rsid w:val="00D607B7"/>
    <w:rsid w:val="00D60924"/>
    <w:rsid w:val="00D60B26"/>
    <w:rsid w:val="00D61AE9"/>
    <w:rsid w:val="00D6259D"/>
    <w:rsid w:val="00D62693"/>
    <w:rsid w:val="00D62EC6"/>
    <w:rsid w:val="00D6351E"/>
    <w:rsid w:val="00D63FDE"/>
    <w:rsid w:val="00D64603"/>
    <w:rsid w:val="00D67004"/>
    <w:rsid w:val="00D67494"/>
    <w:rsid w:val="00D70F73"/>
    <w:rsid w:val="00D72D34"/>
    <w:rsid w:val="00D74E62"/>
    <w:rsid w:val="00D77567"/>
    <w:rsid w:val="00D8006F"/>
    <w:rsid w:val="00D8095E"/>
    <w:rsid w:val="00D81BF5"/>
    <w:rsid w:val="00D81C0D"/>
    <w:rsid w:val="00D824EC"/>
    <w:rsid w:val="00D829F2"/>
    <w:rsid w:val="00D830D9"/>
    <w:rsid w:val="00D83AC5"/>
    <w:rsid w:val="00D83EF6"/>
    <w:rsid w:val="00D841CF"/>
    <w:rsid w:val="00D8426C"/>
    <w:rsid w:val="00D870D4"/>
    <w:rsid w:val="00D90075"/>
    <w:rsid w:val="00D90D2E"/>
    <w:rsid w:val="00D915F8"/>
    <w:rsid w:val="00D93ED8"/>
    <w:rsid w:val="00D94B92"/>
    <w:rsid w:val="00D94EFB"/>
    <w:rsid w:val="00D94FE4"/>
    <w:rsid w:val="00D96156"/>
    <w:rsid w:val="00D970AA"/>
    <w:rsid w:val="00D9734D"/>
    <w:rsid w:val="00DA10B7"/>
    <w:rsid w:val="00DA24E7"/>
    <w:rsid w:val="00DA24F5"/>
    <w:rsid w:val="00DA259D"/>
    <w:rsid w:val="00DA61D1"/>
    <w:rsid w:val="00DA7115"/>
    <w:rsid w:val="00DB0F64"/>
    <w:rsid w:val="00DB1360"/>
    <w:rsid w:val="00DB260E"/>
    <w:rsid w:val="00DB28A0"/>
    <w:rsid w:val="00DB3053"/>
    <w:rsid w:val="00DB4346"/>
    <w:rsid w:val="00DB555A"/>
    <w:rsid w:val="00DB6CC3"/>
    <w:rsid w:val="00DB7687"/>
    <w:rsid w:val="00DC03AC"/>
    <w:rsid w:val="00DC0A59"/>
    <w:rsid w:val="00DC25A0"/>
    <w:rsid w:val="00DC52C5"/>
    <w:rsid w:val="00DC59D0"/>
    <w:rsid w:val="00DC6454"/>
    <w:rsid w:val="00DC645D"/>
    <w:rsid w:val="00DC781D"/>
    <w:rsid w:val="00DC7E5B"/>
    <w:rsid w:val="00DD143E"/>
    <w:rsid w:val="00DD145E"/>
    <w:rsid w:val="00DD3B5F"/>
    <w:rsid w:val="00DD6280"/>
    <w:rsid w:val="00DD672C"/>
    <w:rsid w:val="00DE147C"/>
    <w:rsid w:val="00DE2693"/>
    <w:rsid w:val="00DE2A8E"/>
    <w:rsid w:val="00DE309B"/>
    <w:rsid w:val="00DE39D2"/>
    <w:rsid w:val="00DE43F6"/>
    <w:rsid w:val="00DE4624"/>
    <w:rsid w:val="00DE5F50"/>
    <w:rsid w:val="00DE64B3"/>
    <w:rsid w:val="00DF0560"/>
    <w:rsid w:val="00DF0995"/>
    <w:rsid w:val="00DF13B3"/>
    <w:rsid w:val="00DF26EC"/>
    <w:rsid w:val="00DF2A7A"/>
    <w:rsid w:val="00DF4545"/>
    <w:rsid w:val="00DF5535"/>
    <w:rsid w:val="00DF738A"/>
    <w:rsid w:val="00DF73E1"/>
    <w:rsid w:val="00E012B9"/>
    <w:rsid w:val="00E027D7"/>
    <w:rsid w:val="00E02EC7"/>
    <w:rsid w:val="00E048BC"/>
    <w:rsid w:val="00E04FEF"/>
    <w:rsid w:val="00E068FF"/>
    <w:rsid w:val="00E06B62"/>
    <w:rsid w:val="00E07549"/>
    <w:rsid w:val="00E075C1"/>
    <w:rsid w:val="00E07677"/>
    <w:rsid w:val="00E077DA"/>
    <w:rsid w:val="00E07E06"/>
    <w:rsid w:val="00E11D25"/>
    <w:rsid w:val="00E123E0"/>
    <w:rsid w:val="00E138D7"/>
    <w:rsid w:val="00E14228"/>
    <w:rsid w:val="00E14437"/>
    <w:rsid w:val="00E15141"/>
    <w:rsid w:val="00E168A3"/>
    <w:rsid w:val="00E16B2C"/>
    <w:rsid w:val="00E20AE8"/>
    <w:rsid w:val="00E215F1"/>
    <w:rsid w:val="00E21B90"/>
    <w:rsid w:val="00E2322A"/>
    <w:rsid w:val="00E243A4"/>
    <w:rsid w:val="00E24A6D"/>
    <w:rsid w:val="00E252C5"/>
    <w:rsid w:val="00E25549"/>
    <w:rsid w:val="00E257EA"/>
    <w:rsid w:val="00E25A16"/>
    <w:rsid w:val="00E25FD8"/>
    <w:rsid w:val="00E278D3"/>
    <w:rsid w:val="00E27906"/>
    <w:rsid w:val="00E303EB"/>
    <w:rsid w:val="00E309F8"/>
    <w:rsid w:val="00E30FB1"/>
    <w:rsid w:val="00E31138"/>
    <w:rsid w:val="00E3170A"/>
    <w:rsid w:val="00E32967"/>
    <w:rsid w:val="00E33884"/>
    <w:rsid w:val="00E339CC"/>
    <w:rsid w:val="00E346E1"/>
    <w:rsid w:val="00E351E8"/>
    <w:rsid w:val="00E3534C"/>
    <w:rsid w:val="00E35EA1"/>
    <w:rsid w:val="00E360E0"/>
    <w:rsid w:val="00E367D3"/>
    <w:rsid w:val="00E36F37"/>
    <w:rsid w:val="00E36F4E"/>
    <w:rsid w:val="00E37E0F"/>
    <w:rsid w:val="00E4198A"/>
    <w:rsid w:val="00E41FEB"/>
    <w:rsid w:val="00E4200C"/>
    <w:rsid w:val="00E42703"/>
    <w:rsid w:val="00E43ACB"/>
    <w:rsid w:val="00E43B98"/>
    <w:rsid w:val="00E45405"/>
    <w:rsid w:val="00E46DC1"/>
    <w:rsid w:val="00E46E1C"/>
    <w:rsid w:val="00E47E78"/>
    <w:rsid w:val="00E51995"/>
    <w:rsid w:val="00E51D3F"/>
    <w:rsid w:val="00E527C0"/>
    <w:rsid w:val="00E52AFA"/>
    <w:rsid w:val="00E52E81"/>
    <w:rsid w:val="00E52F68"/>
    <w:rsid w:val="00E538D0"/>
    <w:rsid w:val="00E53C63"/>
    <w:rsid w:val="00E5419F"/>
    <w:rsid w:val="00E5650C"/>
    <w:rsid w:val="00E56BAC"/>
    <w:rsid w:val="00E57D85"/>
    <w:rsid w:val="00E603E0"/>
    <w:rsid w:val="00E6264A"/>
    <w:rsid w:val="00E63552"/>
    <w:rsid w:val="00E636E7"/>
    <w:rsid w:val="00E66FC2"/>
    <w:rsid w:val="00E67768"/>
    <w:rsid w:val="00E7067A"/>
    <w:rsid w:val="00E7085B"/>
    <w:rsid w:val="00E70FAB"/>
    <w:rsid w:val="00E72496"/>
    <w:rsid w:val="00E73D6F"/>
    <w:rsid w:val="00E75256"/>
    <w:rsid w:val="00E75C46"/>
    <w:rsid w:val="00E77659"/>
    <w:rsid w:val="00E77C77"/>
    <w:rsid w:val="00E803CA"/>
    <w:rsid w:val="00E8181C"/>
    <w:rsid w:val="00E818F8"/>
    <w:rsid w:val="00E844EF"/>
    <w:rsid w:val="00E84B82"/>
    <w:rsid w:val="00E85298"/>
    <w:rsid w:val="00E85B23"/>
    <w:rsid w:val="00E87126"/>
    <w:rsid w:val="00E87AF2"/>
    <w:rsid w:val="00E915DE"/>
    <w:rsid w:val="00E91D8B"/>
    <w:rsid w:val="00E9279C"/>
    <w:rsid w:val="00E9365D"/>
    <w:rsid w:val="00E93791"/>
    <w:rsid w:val="00E942A2"/>
    <w:rsid w:val="00E946C8"/>
    <w:rsid w:val="00E951D5"/>
    <w:rsid w:val="00E95917"/>
    <w:rsid w:val="00E95EED"/>
    <w:rsid w:val="00E968EC"/>
    <w:rsid w:val="00EA1D05"/>
    <w:rsid w:val="00EA22C6"/>
    <w:rsid w:val="00EA24B5"/>
    <w:rsid w:val="00EA2959"/>
    <w:rsid w:val="00EA48BA"/>
    <w:rsid w:val="00EA70E6"/>
    <w:rsid w:val="00EB06A8"/>
    <w:rsid w:val="00EB0A13"/>
    <w:rsid w:val="00EB259A"/>
    <w:rsid w:val="00EB3E3D"/>
    <w:rsid w:val="00EB3EBC"/>
    <w:rsid w:val="00EB5438"/>
    <w:rsid w:val="00EB5544"/>
    <w:rsid w:val="00EB5D82"/>
    <w:rsid w:val="00EB621C"/>
    <w:rsid w:val="00EB6615"/>
    <w:rsid w:val="00EB6D36"/>
    <w:rsid w:val="00EC1614"/>
    <w:rsid w:val="00EC18A6"/>
    <w:rsid w:val="00EC22B4"/>
    <w:rsid w:val="00EC2D26"/>
    <w:rsid w:val="00EC2D6F"/>
    <w:rsid w:val="00EC3D8E"/>
    <w:rsid w:val="00EC40EC"/>
    <w:rsid w:val="00ED1598"/>
    <w:rsid w:val="00ED17F8"/>
    <w:rsid w:val="00ED2806"/>
    <w:rsid w:val="00ED5C77"/>
    <w:rsid w:val="00ED7267"/>
    <w:rsid w:val="00EE0113"/>
    <w:rsid w:val="00EE11DA"/>
    <w:rsid w:val="00EE1418"/>
    <w:rsid w:val="00EE2CDD"/>
    <w:rsid w:val="00EE4BA6"/>
    <w:rsid w:val="00EE6090"/>
    <w:rsid w:val="00EE619D"/>
    <w:rsid w:val="00EE7872"/>
    <w:rsid w:val="00EF07CB"/>
    <w:rsid w:val="00EF1E50"/>
    <w:rsid w:val="00EF2BC1"/>
    <w:rsid w:val="00EF2EEA"/>
    <w:rsid w:val="00EF4804"/>
    <w:rsid w:val="00EF49B4"/>
    <w:rsid w:val="00EF4E3B"/>
    <w:rsid w:val="00EF63F8"/>
    <w:rsid w:val="00EF66DA"/>
    <w:rsid w:val="00EF7CA6"/>
    <w:rsid w:val="00F00FFA"/>
    <w:rsid w:val="00F01780"/>
    <w:rsid w:val="00F033AC"/>
    <w:rsid w:val="00F03A5A"/>
    <w:rsid w:val="00F04388"/>
    <w:rsid w:val="00F06611"/>
    <w:rsid w:val="00F06862"/>
    <w:rsid w:val="00F07ED3"/>
    <w:rsid w:val="00F11132"/>
    <w:rsid w:val="00F11D7C"/>
    <w:rsid w:val="00F137F6"/>
    <w:rsid w:val="00F1580D"/>
    <w:rsid w:val="00F17577"/>
    <w:rsid w:val="00F2073F"/>
    <w:rsid w:val="00F207C3"/>
    <w:rsid w:val="00F219B1"/>
    <w:rsid w:val="00F21B7C"/>
    <w:rsid w:val="00F23162"/>
    <w:rsid w:val="00F263B6"/>
    <w:rsid w:val="00F3056C"/>
    <w:rsid w:val="00F34F07"/>
    <w:rsid w:val="00F35862"/>
    <w:rsid w:val="00F40C82"/>
    <w:rsid w:val="00F4339F"/>
    <w:rsid w:val="00F436C7"/>
    <w:rsid w:val="00F43968"/>
    <w:rsid w:val="00F45FF4"/>
    <w:rsid w:val="00F471D6"/>
    <w:rsid w:val="00F50774"/>
    <w:rsid w:val="00F51D76"/>
    <w:rsid w:val="00F51EC6"/>
    <w:rsid w:val="00F52394"/>
    <w:rsid w:val="00F542F2"/>
    <w:rsid w:val="00F54837"/>
    <w:rsid w:val="00F56792"/>
    <w:rsid w:val="00F56A66"/>
    <w:rsid w:val="00F61562"/>
    <w:rsid w:val="00F62301"/>
    <w:rsid w:val="00F62B68"/>
    <w:rsid w:val="00F65B79"/>
    <w:rsid w:val="00F662E4"/>
    <w:rsid w:val="00F663F1"/>
    <w:rsid w:val="00F66481"/>
    <w:rsid w:val="00F66885"/>
    <w:rsid w:val="00F71F21"/>
    <w:rsid w:val="00F71FE0"/>
    <w:rsid w:val="00F73170"/>
    <w:rsid w:val="00F739FF"/>
    <w:rsid w:val="00F742A2"/>
    <w:rsid w:val="00F743CA"/>
    <w:rsid w:val="00F74E26"/>
    <w:rsid w:val="00F7568C"/>
    <w:rsid w:val="00F768A4"/>
    <w:rsid w:val="00F773D3"/>
    <w:rsid w:val="00F77A23"/>
    <w:rsid w:val="00F77D4E"/>
    <w:rsid w:val="00F805BE"/>
    <w:rsid w:val="00F8090C"/>
    <w:rsid w:val="00F81969"/>
    <w:rsid w:val="00F830DD"/>
    <w:rsid w:val="00F84A91"/>
    <w:rsid w:val="00F85499"/>
    <w:rsid w:val="00F86830"/>
    <w:rsid w:val="00F86973"/>
    <w:rsid w:val="00F86D8F"/>
    <w:rsid w:val="00F903CC"/>
    <w:rsid w:val="00F90AAD"/>
    <w:rsid w:val="00F926C6"/>
    <w:rsid w:val="00F939C2"/>
    <w:rsid w:val="00F95516"/>
    <w:rsid w:val="00F95C10"/>
    <w:rsid w:val="00F95CA2"/>
    <w:rsid w:val="00F967FB"/>
    <w:rsid w:val="00F9719B"/>
    <w:rsid w:val="00FA0C3A"/>
    <w:rsid w:val="00FA0D1F"/>
    <w:rsid w:val="00FA0EE7"/>
    <w:rsid w:val="00FA152B"/>
    <w:rsid w:val="00FA187C"/>
    <w:rsid w:val="00FA355A"/>
    <w:rsid w:val="00FA3736"/>
    <w:rsid w:val="00FA44E6"/>
    <w:rsid w:val="00FA4CC9"/>
    <w:rsid w:val="00FA547A"/>
    <w:rsid w:val="00FA5486"/>
    <w:rsid w:val="00FA653F"/>
    <w:rsid w:val="00FA6944"/>
    <w:rsid w:val="00FA7DE4"/>
    <w:rsid w:val="00FA7EF9"/>
    <w:rsid w:val="00FB104F"/>
    <w:rsid w:val="00FB2856"/>
    <w:rsid w:val="00FB3CB4"/>
    <w:rsid w:val="00FB51B5"/>
    <w:rsid w:val="00FC050F"/>
    <w:rsid w:val="00FC163D"/>
    <w:rsid w:val="00FC212D"/>
    <w:rsid w:val="00FC2C13"/>
    <w:rsid w:val="00FC38B7"/>
    <w:rsid w:val="00FC3E37"/>
    <w:rsid w:val="00FC4681"/>
    <w:rsid w:val="00FC4D26"/>
    <w:rsid w:val="00FC4D28"/>
    <w:rsid w:val="00FC4EC7"/>
    <w:rsid w:val="00FC5B07"/>
    <w:rsid w:val="00FC648C"/>
    <w:rsid w:val="00FC6662"/>
    <w:rsid w:val="00FC6E5A"/>
    <w:rsid w:val="00FC713F"/>
    <w:rsid w:val="00FD055C"/>
    <w:rsid w:val="00FD0600"/>
    <w:rsid w:val="00FD1CB9"/>
    <w:rsid w:val="00FD33CD"/>
    <w:rsid w:val="00FD3EF6"/>
    <w:rsid w:val="00FD6A99"/>
    <w:rsid w:val="00FD7466"/>
    <w:rsid w:val="00FD7A0F"/>
    <w:rsid w:val="00FE0411"/>
    <w:rsid w:val="00FE1B90"/>
    <w:rsid w:val="00FE22C5"/>
    <w:rsid w:val="00FE4006"/>
    <w:rsid w:val="00FE409E"/>
    <w:rsid w:val="00FE5E7A"/>
    <w:rsid w:val="00FE5F92"/>
    <w:rsid w:val="00FE7EE2"/>
    <w:rsid w:val="00FF233D"/>
    <w:rsid w:val="00FF3BBF"/>
    <w:rsid w:val="00FF5117"/>
    <w:rsid w:val="013A5B07"/>
    <w:rsid w:val="022CF8EC"/>
    <w:rsid w:val="03A9A4C5"/>
    <w:rsid w:val="0498AC95"/>
    <w:rsid w:val="04BC0197"/>
    <w:rsid w:val="04CAE73D"/>
    <w:rsid w:val="055E0F11"/>
    <w:rsid w:val="057DA292"/>
    <w:rsid w:val="05A67576"/>
    <w:rsid w:val="05FE71B9"/>
    <w:rsid w:val="05FEC76C"/>
    <w:rsid w:val="0688EB7D"/>
    <w:rsid w:val="069E9703"/>
    <w:rsid w:val="07705E98"/>
    <w:rsid w:val="07C50E5C"/>
    <w:rsid w:val="088B9406"/>
    <w:rsid w:val="089DB511"/>
    <w:rsid w:val="08A996F0"/>
    <w:rsid w:val="092AA05E"/>
    <w:rsid w:val="0A6CEBDE"/>
    <w:rsid w:val="0C58E565"/>
    <w:rsid w:val="0CFD7C73"/>
    <w:rsid w:val="0F2F033F"/>
    <w:rsid w:val="0F3C2561"/>
    <w:rsid w:val="0F8728DD"/>
    <w:rsid w:val="0F8AA45A"/>
    <w:rsid w:val="0F8BF6B3"/>
    <w:rsid w:val="10AF39DB"/>
    <w:rsid w:val="10CAD3A0"/>
    <w:rsid w:val="11C33A3D"/>
    <w:rsid w:val="12322721"/>
    <w:rsid w:val="128D02FA"/>
    <w:rsid w:val="135DDFDE"/>
    <w:rsid w:val="13BE14EB"/>
    <w:rsid w:val="13CD2797"/>
    <w:rsid w:val="14308CEE"/>
    <w:rsid w:val="15BCA1BC"/>
    <w:rsid w:val="182E228C"/>
    <w:rsid w:val="1896A114"/>
    <w:rsid w:val="18BA4BC0"/>
    <w:rsid w:val="18DDC679"/>
    <w:rsid w:val="18FC0A12"/>
    <w:rsid w:val="19DE9D8F"/>
    <w:rsid w:val="1A3CF3C4"/>
    <w:rsid w:val="1ADFC473"/>
    <w:rsid w:val="1D264A38"/>
    <w:rsid w:val="1D657AC3"/>
    <w:rsid w:val="1D86E77D"/>
    <w:rsid w:val="1EC21A99"/>
    <w:rsid w:val="1F5D3377"/>
    <w:rsid w:val="1F6287E3"/>
    <w:rsid w:val="1FA87AF1"/>
    <w:rsid w:val="1FCECB3C"/>
    <w:rsid w:val="1FDD15CC"/>
    <w:rsid w:val="1FE88E1E"/>
    <w:rsid w:val="2043F6CA"/>
    <w:rsid w:val="2151ADED"/>
    <w:rsid w:val="21F9BB5B"/>
    <w:rsid w:val="2222DBBC"/>
    <w:rsid w:val="233B3DF3"/>
    <w:rsid w:val="239EA34A"/>
    <w:rsid w:val="246455EB"/>
    <w:rsid w:val="24B0541E"/>
    <w:rsid w:val="251539DE"/>
    <w:rsid w:val="257FA66B"/>
    <w:rsid w:val="261F355B"/>
    <w:rsid w:val="2762AD4D"/>
    <w:rsid w:val="297F08BD"/>
    <w:rsid w:val="29E8C4DC"/>
    <w:rsid w:val="2A769ED9"/>
    <w:rsid w:val="2AFC5971"/>
    <w:rsid w:val="2BB87436"/>
    <w:rsid w:val="2BC561D5"/>
    <w:rsid w:val="2CB71E2B"/>
    <w:rsid w:val="2CE2AAE2"/>
    <w:rsid w:val="2D0264D1"/>
    <w:rsid w:val="2DA5F05B"/>
    <w:rsid w:val="2DC25F35"/>
    <w:rsid w:val="2DD5E32C"/>
    <w:rsid w:val="30F3027F"/>
    <w:rsid w:val="321A4F22"/>
    <w:rsid w:val="32C578BD"/>
    <w:rsid w:val="32F9A7E4"/>
    <w:rsid w:val="332550DF"/>
    <w:rsid w:val="3383010C"/>
    <w:rsid w:val="33CB1232"/>
    <w:rsid w:val="34016DA7"/>
    <w:rsid w:val="34307DF8"/>
    <w:rsid w:val="3451B9DD"/>
    <w:rsid w:val="34864A1C"/>
    <w:rsid w:val="35C0CE03"/>
    <w:rsid w:val="35D3CFD9"/>
    <w:rsid w:val="35E93A9C"/>
    <w:rsid w:val="3635CDC5"/>
    <w:rsid w:val="366A35CF"/>
    <w:rsid w:val="370CB32E"/>
    <w:rsid w:val="37CF7317"/>
    <w:rsid w:val="37F5FFC5"/>
    <w:rsid w:val="3834545B"/>
    <w:rsid w:val="39F31C7E"/>
    <w:rsid w:val="3A74B672"/>
    <w:rsid w:val="3A9E1C65"/>
    <w:rsid w:val="3B0F67EF"/>
    <w:rsid w:val="3B321C4C"/>
    <w:rsid w:val="3BE94E93"/>
    <w:rsid w:val="3C7A7944"/>
    <w:rsid w:val="3DFF3E91"/>
    <w:rsid w:val="3E8D72D0"/>
    <w:rsid w:val="4017FE9F"/>
    <w:rsid w:val="4148C4C0"/>
    <w:rsid w:val="41D69EBD"/>
    <w:rsid w:val="4398DEB9"/>
    <w:rsid w:val="444EE84D"/>
    <w:rsid w:val="44EDF02F"/>
    <w:rsid w:val="45DF245E"/>
    <w:rsid w:val="47516FE9"/>
    <w:rsid w:val="47A5869F"/>
    <w:rsid w:val="48397169"/>
    <w:rsid w:val="485E5758"/>
    <w:rsid w:val="496304E8"/>
    <w:rsid w:val="4A080F9B"/>
    <w:rsid w:val="4AAE75F5"/>
    <w:rsid w:val="4B40B9C0"/>
    <w:rsid w:val="4B907DDC"/>
    <w:rsid w:val="4C2E9823"/>
    <w:rsid w:val="4F4A4FF2"/>
    <w:rsid w:val="4F94543F"/>
    <w:rsid w:val="518B9FE0"/>
    <w:rsid w:val="52CBF501"/>
    <w:rsid w:val="530AA840"/>
    <w:rsid w:val="53EE490D"/>
    <w:rsid w:val="548F55C8"/>
    <w:rsid w:val="562C8E3B"/>
    <w:rsid w:val="5676B4C7"/>
    <w:rsid w:val="56CEB5D2"/>
    <w:rsid w:val="573612E6"/>
    <w:rsid w:val="57A56A67"/>
    <w:rsid w:val="58128528"/>
    <w:rsid w:val="586A7F3F"/>
    <w:rsid w:val="58FB5F38"/>
    <w:rsid w:val="5996AC40"/>
    <w:rsid w:val="59A675DA"/>
    <w:rsid w:val="59ADA638"/>
    <w:rsid w:val="5A26C3F1"/>
    <w:rsid w:val="5A9E2705"/>
    <w:rsid w:val="5B1BE60D"/>
    <w:rsid w:val="5BBD996F"/>
    <w:rsid w:val="5D354C36"/>
    <w:rsid w:val="5D7C35C7"/>
    <w:rsid w:val="5FA5E025"/>
    <w:rsid w:val="60E24EC2"/>
    <w:rsid w:val="60FA155E"/>
    <w:rsid w:val="6176E603"/>
    <w:rsid w:val="61FF2A8B"/>
    <w:rsid w:val="62113505"/>
    <w:rsid w:val="626EBF63"/>
    <w:rsid w:val="6296CA0D"/>
    <w:rsid w:val="62EA0651"/>
    <w:rsid w:val="631786F5"/>
    <w:rsid w:val="63C86818"/>
    <w:rsid w:val="64103E96"/>
    <w:rsid w:val="64B97E74"/>
    <w:rsid w:val="65568727"/>
    <w:rsid w:val="660C046C"/>
    <w:rsid w:val="6640FB16"/>
    <w:rsid w:val="66F25D8B"/>
    <w:rsid w:val="67843164"/>
    <w:rsid w:val="67F78CAA"/>
    <w:rsid w:val="68330AD4"/>
    <w:rsid w:val="6854CAA8"/>
    <w:rsid w:val="69BB161D"/>
    <w:rsid w:val="6AE6F2DB"/>
    <w:rsid w:val="6C80FCD4"/>
    <w:rsid w:val="6CDA214E"/>
    <w:rsid w:val="6D485058"/>
    <w:rsid w:val="6DCD96ED"/>
    <w:rsid w:val="6E6F61FD"/>
    <w:rsid w:val="6E90EA11"/>
    <w:rsid w:val="6EF7D213"/>
    <w:rsid w:val="6F3A39A0"/>
    <w:rsid w:val="702CBA72"/>
    <w:rsid w:val="7074E54E"/>
    <w:rsid w:val="7155502D"/>
    <w:rsid w:val="72709841"/>
    <w:rsid w:val="72A2F637"/>
    <w:rsid w:val="73115EB9"/>
    <w:rsid w:val="73F92146"/>
    <w:rsid w:val="7777EA94"/>
    <w:rsid w:val="77A8F623"/>
    <w:rsid w:val="77B1EEDE"/>
    <w:rsid w:val="791858B5"/>
    <w:rsid w:val="794F39F6"/>
    <w:rsid w:val="799F7BF9"/>
    <w:rsid w:val="79BEBAA2"/>
    <w:rsid w:val="7A05144A"/>
    <w:rsid w:val="7AC5E50A"/>
    <w:rsid w:val="7B642232"/>
    <w:rsid w:val="7CB6870B"/>
    <w:rsid w:val="7D431C08"/>
    <w:rsid w:val="7DAF279B"/>
    <w:rsid w:val="7DB91A9B"/>
    <w:rsid w:val="7DEE8B58"/>
    <w:rsid w:val="7E0982BC"/>
    <w:rsid w:val="7E5BE595"/>
    <w:rsid w:val="7FA5531D"/>
    <w:rsid w:val="7FEB6F01"/>
    <w:rsid w:val="7FFF38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A3A13"/>
  <w15:chartTrackingRefBased/>
  <w15:docId w15:val="{DDCEADE7-4575-4ABB-B061-537ED6FE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A21E0"/>
    <w:pPr>
      <w:spacing w:line="264" w:lineRule="auto"/>
    </w:pPr>
    <w:rPr>
      <w:rFonts w:ascii="MetaPro-Norm" w:hAnsi="MetaPro-Norm"/>
      <w:sz w:val="22"/>
      <w:szCs w:val="24"/>
      <w:lang w:eastAsia="zh-CN" w:bidi="ar-SA"/>
    </w:rPr>
  </w:style>
  <w:style w:type="paragraph" w:styleId="Heading1">
    <w:name w:val="heading 1"/>
    <w:basedOn w:val="Normal"/>
    <w:next w:val="Normal"/>
    <w:qFormat/>
    <w:rsid w:val="003D4F0A"/>
    <w:pPr>
      <w:spacing w:after="60" w:line="240" w:lineRule="auto"/>
      <w:jc w:val="center"/>
      <w:outlineLvl w:val="0"/>
    </w:pPr>
    <w:rPr>
      <w:rFonts w:ascii="MetaPro-Bold" w:eastAsia="Arial Unicode MS" w:hAnsi="MetaPro-Bold" w:cs="SeriaArabic-Bold"/>
      <w:bCs/>
      <w:sz w:val="34"/>
      <w:szCs w:val="36"/>
    </w:rPr>
  </w:style>
  <w:style w:type="paragraph" w:styleId="Heading2">
    <w:name w:val="heading 2"/>
    <w:basedOn w:val="Normal"/>
    <w:next w:val="Normal"/>
    <w:qFormat/>
    <w:rsid w:val="004B1999"/>
    <w:pPr>
      <w:spacing w:before="60" w:after="60" w:line="240" w:lineRule="auto"/>
      <w:outlineLvl w:val="1"/>
    </w:pPr>
    <w:rPr>
      <w:rFonts w:ascii="MetaPro-CondMedi" w:hAnsi="MetaPro-CondMedi" w:cs="SeriaArabic-Bold"/>
      <w:bCs/>
      <w:sz w:val="30"/>
      <w:szCs w:val="32"/>
    </w:rPr>
  </w:style>
  <w:style w:type="paragraph" w:styleId="Heading3">
    <w:name w:val="heading 3"/>
    <w:basedOn w:val="Normal"/>
    <w:next w:val="Normal"/>
    <w:qFormat/>
    <w:rsid w:val="004B1999"/>
    <w:pPr>
      <w:spacing w:before="60" w:after="60" w:line="240" w:lineRule="auto"/>
      <w:outlineLvl w:val="2"/>
    </w:pPr>
    <w:rPr>
      <w:rFonts w:ascii="MetaPro-CondBookIta" w:hAnsi="MetaPro-CondBookIta" w:cs="SeriaArabic-Bold"/>
      <w:bCs/>
      <w:iCs/>
      <w:sz w:val="26"/>
      <w:szCs w:val="28"/>
    </w:rPr>
  </w:style>
  <w:style w:type="paragraph" w:styleId="Heading4">
    <w:name w:val="heading 4"/>
    <w:basedOn w:val="Normal"/>
    <w:next w:val="Normal"/>
    <w:qFormat/>
    <w:rsid w:val="004B1999"/>
    <w:pPr>
      <w:spacing w:before="60" w:after="60" w:line="240" w:lineRule="auto"/>
      <w:outlineLvl w:val="3"/>
    </w:pPr>
    <w:rPr>
      <w:rFonts w:ascii="MetaPro-Medi" w:hAnsi="MetaPro-Me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uiPriority w:val="1"/>
    <w:qFormat/>
    <w:rsid w:val="00506EAA"/>
    <w:pPr>
      <w:spacing w:before="20" w:after="20"/>
      <w:ind w:left="720" w:right="720"/>
    </w:pPr>
  </w:style>
  <w:style w:type="paragraph" w:customStyle="1" w:styleId="Caption1">
    <w:name w:val="Caption1"/>
    <w:basedOn w:val="Normal"/>
    <w:rsid w:val="0020431A"/>
    <w:pPr>
      <w:spacing w:line="240" w:lineRule="auto"/>
    </w:pPr>
    <w:rPr>
      <w:rFonts w:ascii="MetaPro-Medi" w:hAnsi="MetaPro-Medi"/>
      <w:bCs/>
      <w:color w:val="595959"/>
      <w:sz w:val="18"/>
      <w:szCs w:val="20"/>
    </w:rPr>
  </w:style>
  <w:style w:type="paragraph" w:styleId="NormalWeb">
    <w:name w:val="Normal (Web)"/>
    <w:basedOn w:val="Normal"/>
    <w:uiPriority w:val="99"/>
    <w:unhideWhenUsed/>
    <w:rsid w:val="002E6B38"/>
    <w:pPr>
      <w:spacing w:before="100" w:beforeAutospacing="1" w:after="100" w:afterAutospacing="1" w:line="240" w:lineRule="auto"/>
    </w:pPr>
    <w:rPr>
      <w:rFonts w:ascii="Times New Roman" w:eastAsia="Times New Roman" w:hAnsi="Times New Roman"/>
      <w:sz w:val="24"/>
      <w:lang w:eastAsia="en-US"/>
    </w:rPr>
  </w:style>
  <w:style w:type="character" w:styleId="Hyperlink">
    <w:name w:val="Hyperlink"/>
    <w:uiPriority w:val="99"/>
    <w:qFormat/>
    <w:rsid w:val="00EA1D05"/>
    <w:rPr>
      <w:color w:val="0000FF"/>
      <w:u w:val="single"/>
    </w:rPr>
  </w:style>
  <w:style w:type="paragraph" w:styleId="BalloonText">
    <w:name w:val="Balloon Text"/>
    <w:basedOn w:val="Normal"/>
    <w:link w:val="BalloonTextChar"/>
    <w:rsid w:val="00D322C0"/>
    <w:pPr>
      <w:spacing w:line="240" w:lineRule="auto"/>
    </w:pPr>
    <w:rPr>
      <w:rFonts w:ascii="Tahoma" w:hAnsi="Tahoma" w:cs="Tahoma"/>
      <w:sz w:val="16"/>
      <w:szCs w:val="16"/>
    </w:rPr>
  </w:style>
  <w:style w:type="paragraph" w:styleId="Title">
    <w:name w:val="Title"/>
    <w:basedOn w:val="Normal"/>
    <w:qFormat/>
    <w:rsid w:val="004B1999"/>
    <w:pPr>
      <w:spacing w:line="240" w:lineRule="auto"/>
      <w:jc w:val="center"/>
    </w:pPr>
    <w:rPr>
      <w:rFonts w:ascii="MetaPro-CondBold" w:hAnsi="MetaPro-CondBold" w:cs="SeriaArabic-Black"/>
      <w:bCs/>
      <w:sz w:val="36"/>
      <w:szCs w:val="48"/>
    </w:rPr>
  </w:style>
  <w:style w:type="paragraph" w:styleId="Subtitle">
    <w:name w:val="Subtitle"/>
    <w:basedOn w:val="Normal"/>
    <w:qFormat/>
    <w:rsid w:val="004B1999"/>
    <w:pPr>
      <w:spacing w:line="240" w:lineRule="auto"/>
      <w:jc w:val="center"/>
    </w:pPr>
    <w:rPr>
      <w:rFonts w:ascii="MetaPro-CondMedi" w:hAnsi="MetaPro-CondMedi" w:cs="SeriaArabic-Bold"/>
      <w:bCs/>
      <w:sz w:val="30"/>
      <w:szCs w:val="36"/>
    </w:rPr>
  </w:style>
  <w:style w:type="paragraph" w:styleId="Header">
    <w:name w:val="header"/>
    <w:basedOn w:val="Normal"/>
    <w:rsid w:val="0020431A"/>
    <w:rPr>
      <w:rFonts w:ascii="MetaPro-Bold" w:hAnsi="MetaPro-Bold" w:cs="SeriaArabic-Bold"/>
      <w:bCs/>
      <w:smallCaps/>
      <w:sz w:val="20"/>
    </w:rPr>
  </w:style>
  <w:style w:type="paragraph" w:styleId="Footer">
    <w:name w:val="footer"/>
    <w:basedOn w:val="Normal"/>
    <w:link w:val="FooterChar"/>
    <w:uiPriority w:val="99"/>
    <w:rsid w:val="0020431A"/>
    <w:rPr>
      <w:rFonts w:ascii="MetaPro-Bold" w:hAnsi="MetaPro-Bold" w:cs="SeriaArabic-Bold"/>
      <w:bCs/>
      <w:smallCaps/>
      <w:sz w:val="20"/>
      <w:szCs w:val="20"/>
    </w:rPr>
  </w:style>
  <w:style w:type="character" w:styleId="PageNumber">
    <w:name w:val="page number"/>
    <w:rsid w:val="00A224DB"/>
    <w:rPr>
      <w:rFonts w:ascii="MetaPro-Bold" w:hAnsi="MetaPro-Bold" w:cs="Arial"/>
      <w:smallCaps/>
      <w:dstrike w:val="0"/>
      <w:color w:val="auto"/>
      <w:sz w:val="20"/>
      <w:szCs w:val="16"/>
      <w:u w:val="none"/>
      <w:effect w:val="none"/>
      <w:vertAlign w:val="baseline"/>
    </w:rPr>
  </w:style>
  <w:style w:type="paragraph" w:styleId="FootnoteText">
    <w:name w:val="footnote text"/>
    <w:aliases w:val="5_G,Footnote Text Char Char Char Char Char,Footnote Text Char Char Char Char,Footnote reference,FA Fu,Footnote Text Char Char Char,Footnote Text Cha,FA Fußnotentext,FA Fuﬂnotentext,Footnote Text Char Char,FA Fu?notente,Ca,FA Fu?notentext"/>
    <w:basedOn w:val="Normal"/>
    <w:link w:val="FootnoteTextChar"/>
    <w:qFormat/>
    <w:rsid w:val="003D4F0A"/>
    <w:pPr>
      <w:spacing w:after="40" w:line="220" w:lineRule="exact"/>
    </w:pPr>
    <w:rPr>
      <w:sz w:val="16"/>
      <w:szCs w:val="20"/>
    </w:rPr>
  </w:style>
  <w:style w:type="character" w:styleId="FootnoteReference">
    <w:name w:val="footnote reference"/>
    <w:aliases w:val="4_G,Texto de nota al pie,Appel note de bas de page,Footnotes refss,Footnote number,referencia nota al pie,BVI fnr,f,16 Point,Superscript 6 Point,Texto nota al pie,Footnote Reference Char3,Footnote Reference Char1 Char,Footnote symbol"/>
    <w:link w:val="BVIfnrCarCarCarCar1"/>
    <w:qFormat/>
    <w:rsid w:val="00BA7E57"/>
    <w:rPr>
      <w:rFonts w:ascii="MetaPro-Medi" w:eastAsia="Arial Unicode MS" w:hAnsi="MetaPro-Medi" w:cs="Arial"/>
      <w:color w:val="auto"/>
      <w:sz w:val="22"/>
      <w:szCs w:val="20"/>
      <w:u w:val="none"/>
      <w:vertAlign w:val="superscript"/>
    </w:rPr>
  </w:style>
  <w:style w:type="paragraph" w:styleId="TOC1">
    <w:name w:val="toc 1"/>
    <w:basedOn w:val="Normal"/>
    <w:next w:val="Normal"/>
    <w:autoRedefine/>
    <w:uiPriority w:val="39"/>
    <w:rsid w:val="005A21E0"/>
    <w:pPr>
      <w:spacing w:before="220"/>
    </w:pPr>
    <w:rPr>
      <w:rFonts w:ascii="MetaBold-Roman" w:hAnsi="MetaBold-Roman" w:cs="SeriaArabic-Bold"/>
      <w:bCs/>
    </w:rPr>
  </w:style>
  <w:style w:type="paragraph" w:styleId="TOC2">
    <w:name w:val="toc 2"/>
    <w:basedOn w:val="Normal"/>
    <w:next w:val="Normal"/>
    <w:autoRedefine/>
    <w:uiPriority w:val="39"/>
    <w:rsid w:val="005A21E0"/>
    <w:pPr>
      <w:ind w:left="360"/>
    </w:pPr>
    <w:rPr>
      <w:rFonts w:cs="SeriaArabic"/>
      <w:sz w:val="20"/>
      <w:szCs w:val="20"/>
    </w:rPr>
  </w:style>
  <w:style w:type="paragraph" w:styleId="TOC3">
    <w:name w:val="toc 3"/>
    <w:basedOn w:val="Normal"/>
    <w:next w:val="Normal"/>
    <w:autoRedefine/>
    <w:rsid w:val="005A21E0"/>
    <w:pPr>
      <w:ind w:left="720"/>
    </w:pPr>
    <w:rPr>
      <w:rFonts w:cs="SeriaArabic"/>
      <w:sz w:val="20"/>
      <w:szCs w:val="20"/>
    </w:rPr>
  </w:style>
  <w:style w:type="paragraph" w:styleId="TOC4">
    <w:name w:val="toc 4"/>
    <w:basedOn w:val="Normal"/>
    <w:next w:val="Normal"/>
    <w:autoRedefine/>
    <w:semiHidden/>
    <w:rsid w:val="00952C53"/>
    <w:pPr>
      <w:spacing w:line="300" w:lineRule="auto"/>
      <w:ind w:left="1080"/>
    </w:pPr>
  </w:style>
  <w:style w:type="character" w:customStyle="1" w:styleId="BalloonTextChar">
    <w:name w:val="Balloon Text Char"/>
    <w:link w:val="BalloonText"/>
    <w:rsid w:val="00D322C0"/>
    <w:rPr>
      <w:rFonts w:ascii="Tahoma" w:hAnsi="Tahoma" w:cs="Tahoma"/>
      <w:sz w:val="16"/>
      <w:szCs w:val="16"/>
      <w:lang w:eastAsia="zh-CN"/>
    </w:rPr>
  </w:style>
  <w:style w:type="table" w:styleId="TableGrid">
    <w:name w:val="Table Grid"/>
    <w:basedOn w:val="TableNormal"/>
    <w:rsid w:val="0089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E0A29"/>
    <w:pPr>
      <w:keepNext/>
      <w:keepLines/>
      <w:spacing w:before="240" w:after="0" w:line="259" w:lineRule="auto"/>
      <w:jc w:val="left"/>
      <w:outlineLvl w:val="9"/>
    </w:pPr>
    <w:rPr>
      <w:rFonts w:asciiTheme="majorHAnsi" w:eastAsiaTheme="majorEastAsia" w:hAnsiTheme="majorHAnsi" w:cstheme="majorBidi"/>
      <w:bCs w:val="0"/>
      <w:color w:val="2E74B5" w:themeColor="accent1" w:themeShade="BF"/>
      <w:sz w:val="32"/>
      <w:szCs w:val="32"/>
      <w:lang w:eastAsia="en-US"/>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ﬂnotentext Char"/>
    <w:basedOn w:val="DefaultParagraphFont"/>
    <w:link w:val="FootnoteText"/>
    <w:rsid w:val="00F86973"/>
    <w:rPr>
      <w:rFonts w:ascii="MetaPro-Norm" w:hAnsi="MetaPro-Norm"/>
      <w:sz w:val="16"/>
      <w:lang w:eastAsia="zh-CN" w:bidi="ar-SA"/>
    </w:rPr>
  </w:style>
  <w:style w:type="paragraph" w:styleId="NoSpacing">
    <w:name w:val="No Spacing"/>
    <w:uiPriority w:val="1"/>
    <w:qFormat/>
    <w:rsid w:val="00F86973"/>
    <w:rPr>
      <w:rFonts w:asciiTheme="minorHAnsi" w:eastAsiaTheme="minorHAnsi" w:hAnsiTheme="minorHAnsi" w:cstheme="minorBidi"/>
      <w:sz w:val="22"/>
      <w:szCs w:val="22"/>
      <w:lang w:bidi="ar-SA"/>
    </w:rPr>
  </w:style>
  <w:style w:type="paragraph" w:styleId="EndnoteText">
    <w:name w:val="endnote text"/>
    <w:basedOn w:val="Normal"/>
    <w:link w:val="EndnoteTextChar"/>
    <w:rsid w:val="00F34F07"/>
    <w:pPr>
      <w:spacing w:line="240" w:lineRule="auto"/>
    </w:pPr>
    <w:rPr>
      <w:sz w:val="20"/>
      <w:szCs w:val="20"/>
    </w:rPr>
  </w:style>
  <w:style w:type="character" w:customStyle="1" w:styleId="EndnoteTextChar">
    <w:name w:val="Endnote Text Char"/>
    <w:basedOn w:val="DefaultParagraphFont"/>
    <w:link w:val="EndnoteText"/>
    <w:rsid w:val="00F34F07"/>
    <w:rPr>
      <w:rFonts w:ascii="MetaPro-Norm" w:hAnsi="MetaPro-Norm"/>
      <w:lang w:eastAsia="zh-CN" w:bidi="ar-SA"/>
    </w:rPr>
  </w:style>
  <w:style w:type="character" w:styleId="EndnoteReference">
    <w:name w:val="endnote reference"/>
    <w:basedOn w:val="DefaultParagraphFont"/>
    <w:rsid w:val="00F34F07"/>
    <w:rPr>
      <w:vertAlign w:val="superscript"/>
    </w:rPr>
  </w:style>
  <w:style w:type="paragraph" w:styleId="Revision">
    <w:name w:val="Revision"/>
    <w:hidden/>
    <w:uiPriority w:val="99"/>
    <w:semiHidden/>
    <w:rsid w:val="00B722CC"/>
    <w:rPr>
      <w:rFonts w:ascii="MetaPro-Norm" w:hAnsi="MetaPro-Norm"/>
      <w:sz w:val="22"/>
      <w:szCs w:val="24"/>
      <w:lang w:eastAsia="zh-CN" w:bidi="ar-SA"/>
    </w:rPr>
  </w:style>
  <w:style w:type="character" w:styleId="CommentReference">
    <w:name w:val="annotation reference"/>
    <w:basedOn w:val="DefaultParagraphFont"/>
    <w:uiPriority w:val="99"/>
    <w:rsid w:val="00B722CC"/>
    <w:rPr>
      <w:sz w:val="16"/>
      <w:szCs w:val="16"/>
    </w:rPr>
  </w:style>
  <w:style w:type="paragraph" w:styleId="CommentText">
    <w:name w:val="annotation text"/>
    <w:basedOn w:val="Normal"/>
    <w:link w:val="CommentTextChar"/>
    <w:uiPriority w:val="99"/>
    <w:rsid w:val="00B722CC"/>
    <w:pPr>
      <w:spacing w:line="240" w:lineRule="auto"/>
    </w:pPr>
    <w:rPr>
      <w:sz w:val="20"/>
      <w:szCs w:val="20"/>
    </w:rPr>
  </w:style>
  <w:style w:type="character" w:customStyle="1" w:styleId="CommentTextChar">
    <w:name w:val="Comment Text Char"/>
    <w:basedOn w:val="DefaultParagraphFont"/>
    <w:link w:val="CommentText"/>
    <w:uiPriority w:val="99"/>
    <w:rsid w:val="00B722CC"/>
    <w:rPr>
      <w:rFonts w:ascii="MetaPro-Norm" w:hAnsi="MetaPro-Norm"/>
      <w:lang w:eastAsia="zh-CN" w:bidi="ar-SA"/>
    </w:rPr>
  </w:style>
  <w:style w:type="paragraph" w:styleId="CommentSubject">
    <w:name w:val="annotation subject"/>
    <w:basedOn w:val="CommentText"/>
    <w:next w:val="CommentText"/>
    <w:link w:val="CommentSubjectChar"/>
    <w:rsid w:val="00B722CC"/>
    <w:rPr>
      <w:b/>
      <w:bCs/>
    </w:rPr>
  </w:style>
  <w:style w:type="character" w:customStyle="1" w:styleId="CommentSubjectChar">
    <w:name w:val="Comment Subject Char"/>
    <w:basedOn w:val="CommentTextChar"/>
    <w:link w:val="CommentSubject"/>
    <w:rsid w:val="00B722CC"/>
    <w:rPr>
      <w:rFonts w:ascii="MetaPro-Norm" w:hAnsi="MetaPro-Norm"/>
      <w:b/>
      <w:bCs/>
      <w:lang w:eastAsia="zh-CN" w:bidi="ar-SA"/>
    </w:rPr>
  </w:style>
  <w:style w:type="character" w:styleId="FollowedHyperlink">
    <w:name w:val="FollowedHyperlink"/>
    <w:basedOn w:val="DefaultParagraphFont"/>
    <w:rsid w:val="007D7236"/>
    <w:rPr>
      <w:color w:val="954F72" w:themeColor="followedHyperlink"/>
      <w:u w:val="single"/>
    </w:rPr>
  </w:style>
  <w:style w:type="character" w:styleId="UnresolvedMention">
    <w:name w:val="Unresolved Mention"/>
    <w:basedOn w:val="DefaultParagraphFont"/>
    <w:rsid w:val="00FB2856"/>
    <w:rPr>
      <w:color w:val="605E5C"/>
      <w:shd w:val="clear" w:color="auto" w:fill="E1DFDD"/>
    </w:rPr>
  </w:style>
  <w:style w:type="character" w:customStyle="1" w:styleId="FooterChar">
    <w:name w:val="Footer Char"/>
    <w:basedOn w:val="DefaultParagraphFont"/>
    <w:link w:val="Footer"/>
    <w:uiPriority w:val="99"/>
    <w:rsid w:val="00955020"/>
    <w:rPr>
      <w:rFonts w:ascii="MetaPro-Bold" w:hAnsi="MetaPro-Bold" w:cs="SeriaArabic-Bold"/>
      <w:bCs/>
      <w:smallCaps/>
      <w:lang w:eastAsia="zh-CN" w:bidi="ar-SA"/>
    </w:rPr>
  </w:style>
  <w:style w:type="character" w:styleId="Emphasis">
    <w:name w:val="Emphasis"/>
    <w:basedOn w:val="DefaultParagraphFont"/>
    <w:uiPriority w:val="20"/>
    <w:qFormat/>
    <w:rsid w:val="009B24B7"/>
    <w:rPr>
      <w:i/>
      <w:iCs/>
    </w:rPr>
  </w:style>
  <w:style w:type="paragraph" w:styleId="ListParagraph">
    <w:name w:val="List Paragraph"/>
    <w:basedOn w:val="Normal"/>
    <w:uiPriority w:val="34"/>
    <w:qFormat/>
    <w:rsid w:val="00FA0D1F"/>
    <w:pPr>
      <w:spacing w:line="240" w:lineRule="auto"/>
      <w:ind w:left="720"/>
      <w:contextualSpacing/>
    </w:pPr>
    <w:rPr>
      <w:rFonts w:asciiTheme="minorHAnsi" w:eastAsiaTheme="minorHAnsi" w:hAnsiTheme="minorHAnsi" w:cstheme="minorBidi"/>
      <w:szCs w:val="22"/>
      <w:lang w:eastAsia="en-US"/>
    </w:rPr>
  </w:style>
  <w:style w:type="paragraph" w:customStyle="1" w:styleId="BVIfnrCarCarCarCar1">
    <w:name w:val="BVI fnr Car Car Car Car1"/>
    <w:basedOn w:val="Normal"/>
    <w:link w:val="FootnoteReference"/>
    <w:rsid w:val="00FA0D1F"/>
    <w:pPr>
      <w:spacing w:before="120" w:after="160" w:line="240" w:lineRule="exact"/>
      <w:jc w:val="both"/>
    </w:pPr>
    <w:rPr>
      <w:rFonts w:ascii="MetaPro-Medi" w:eastAsia="Arial Unicode MS" w:hAnsi="MetaPro-Medi" w:cs="Arial"/>
      <w:szCs w:val="20"/>
      <w:shd w:val="clear" w:color="auto" w:fill="FFFFFF"/>
      <w:vertAlign w:val="superscript"/>
      <w:lang w:eastAsia="en-US" w:bidi="he-IL"/>
    </w:rPr>
  </w:style>
  <w:style w:type="paragraph" w:customStyle="1" w:styleId="pf0">
    <w:name w:val="pf0"/>
    <w:basedOn w:val="Normal"/>
    <w:rsid w:val="00E25A16"/>
    <w:pPr>
      <w:spacing w:before="100" w:beforeAutospacing="1" w:after="100" w:afterAutospacing="1" w:line="240" w:lineRule="auto"/>
    </w:pPr>
    <w:rPr>
      <w:rFonts w:ascii="Times New Roman" w:eastAsia="Times New Roman" w:hAnsi="Times New Roman"/>
      <w:sz w:val="24"/>
      <w:lang w:eastAsia="en-US"/>
    </w:rPr>
  </w:style>
  <w:style w:type="character" w:customStyle="1" w:styleId="apple-converted-space">
    <w:name w:val="apple-converted-space"/>
    <w:basedOn w:val="DefaultParagraphFont"/>
    <w:rsid w:val="00AA259B"/>
  </w:style>
  <w:style w:type="character" w:styleId="Strong">
    <w:name w:val="Strong"/>
    <w:basedOn w:val="DefaultParagraphFont"/>
    <w:uiPriority w:val="22"/>
    <w:qFormat/>
    <w:rsid w:val="00AA259B"/>
    <w:rPr>
      <w:b/>
      <w:bCs/>
    </w:rPr>
  </w:style>
  <w:style w:type="character" w:styleId="Mention">
    <w:name w:val="Mention"/>
    <w:basedOn w:val="DefaultParagraphFont"/>
    <w:uiPriority w:val="99"/>
    <w:unhideWhenUsed/>
    <w:rsid w:val="000040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870">
      <w:bodyDiv w:val="1"/>
      <w:marLeft w:val="0"/>
      <w:marRight w:val="0"/>
      <w:marTop w:val="0"/>
      <w:marBottom w:val="0"/>
      <w:divBdr>
        <w:top w:val="none" w:sz="0" w:space="0" w:color="auto"/>
        <w:left w:val="none" w:sz="0" w:space="0" w:color="auto"/>
        <w:bottom w:val="none" w:sz="0" w:space="0" w:color="auto"/>
        <w:right w:val="none" w:sz="0" w:space="0" w:color="auto"/>
      </w:divBdr>
      <w:divsChild>
        <w:div w:id="310138825">
          <w:marLeft w:val="0"/>
          <w:marRight w:val="0"/>
          <w:marTop w:val="0"/>
          <w:marBottom w:val="0"/>
          <w:divBdr>
            <w:top w:val="single" w:sz="2" w:space="0" w:color="E3E3E3"/>
            <w:left w:val="single" w:sz="2" w:space="0" w:color="E3E3E3"/>
            <w:bottom w:val="single" w:sz="2" w:space="0" w:color="E3E3E3"/>
            <w:right w:val="single" w:sz="2" w:space="0" w:color="E3E3E3"/>
          </w:divBdr>
          <w:divsChild>
            <w:div w:id="1674137462">
              <w:marLeft w:val="0"/>
              <w:marRight w:val="0"/>
              <w:marTop w:val="0"/>
              <w:marBottom w:val="0"/>
              <w:divBdr>
                <w:top w:val="single" w:sz="2" w:space="0" w:color="E3E3E3"/>
                <w:left w:val="single" w:sz="2" w:space="0" w:color="E3E3E3"/>
                <w:bottom w:val="single" w:sz="2" w:space="0" w:color="E3E3E3"/>
                <w:right w:val="single" w:sz="2" w:space="0" w:color="E3E3E3"/>
              </w:divBdr>
              <w:divsChild>
                <w:div w:id="1460340529">
                  <w:marLeft w:val="0"/>
                  <w:marRight w:val="0"/>
                  <w:marTop w:val="0"/>
                  <w:marBottom w:val="0"/>
                  <w:divBdr>
                    <w:top w:val="single" w:sz="2" w:space="0" w:color="E3E3E3"/>
                    <w:left w:val="single" w:sz="2" w:space="0" w:color="E3E3E3"/>
                    <w:bottom w:val="single" w:sz="2" w:space="0" w:color="E3E3E3"/>
                    <w:right w:val="single" w:sz="2" w:space="0" w:color="E3E3E3"/>
                  </w:divBdr>
                  <w:divsChild>
                    <w:div w:id="1535583190">
                      <w:marLeft w:val="0"/>
                      <w:marRight w:val="0"/>
                      <w:marTop w:val="0"/>
                      <w:marBottom w:val="0"/>
                      <w:divBdr>
                        <w:top w:val="single" w:sz="2" w:space="0" w:color="E3E3E3"/>
                        <w:left w:val="single" w:sz="2" w:space="0" w:color="E3E3E3"/>
                        <w:bottom w:val="single" w:sz="2" w:space="0" w:color="E3E3E3"/>
                        <w:right w:val="single" w:sz="2" w:space="0" w:color="E3E3E3"/>
                      </w:divBdr>
                      <w:divsChild>
                        <w:div w:id="1986741051">
                          <w:marLeft w:val="0"/>
                          <w:marRight w:val="0"/>
                          <w:marTop w:val="0"/>
                          <w:marBottom w:val="0"/>
                          <w:divBdr>
                            <w:top w:val="single" w:sz="2" w:space="0" w:color="E3E3E3"/>
                            <w:left w:val="single" w:sz="2" w:space="0" w:color="E3E3E3"/>
                            <w:bottom w:val="single" w:sz="2" w:space="0" w:color="E3E3E3"/>
                            <w:right w:val="single" w:sz="2" w:space="0" w:color="E3E3E3"/>
                          </w:divBdr>
                          <w:divsChild>
                            <w:div w:id="1429736412">
                              <w:marLeft w:val="0"/>
                              <w:marRight w:val="0"/>
                              <w:marTop w:val="100"/>
                              <w:marBottom w:val="100"/>
                              <w:divBdr>
                                <w:top w:val="single" w:sz="2" w:space="0" w:color="E3E3E3"/>
                                <w:left w:val="single" w:sz="2" w:space="0" w:color="E3E3E3"/>
                                <w:bottom w:val="single" w:sz="2" w:space="0" w:color="E3E3E3"/>
                                <w:right w:val="single" w:sz="2" w:space="0" w:color="E3E3E3"/>
                              </w:divBdr>
                              <w:divsChild>
                                <w:div w:id="330836680">
                                  <w:marLeft w:val="0"/>
                                  <w:marRight w:val="0"/>
                                  <w:marTop w:val="0"/>
                                  <w:marBottom w:val="0"/>
                                  <w:divBdr>
                                    <w:top w:val="single" w:sz="2" w:space="0" w:color="E3E3E3"/>
                                    <w:left w:val="single" w:sz="2" w:space="0" w:color="E3E3E3"/>
                                    <w:bottom w:val="single" w:sz="2" w:space="0" w:color="E3E3E3"/>
                                    <w:right w:val="single" w:sz="2" w:space="0" w:color="E3E3E3"/>
                                  </w:divBdr>
                                  <w:divsChild>
                                    <w:div w:id="1370958398">
                                      <w:marLeft w:val="0"/>
                                      <w:marRight w:val="0"/>
                                      <w:marTop w:val="0"/>
                                      <w:marBottom w:val="0"/>
                                      <w:divBdr>
                                        <w:top w:val="single" w:sz="2" w:space="0" w:color="E3E3E3"/>
                                        <w:left w:val="single" w:sz="2" w:space="0" w:color="E3E3E3"/>
                                        <w:bottom w:val="single" w:sz="2" w:space="0" w:color="E3E3E3"/>
                                        <w:right w:val="single" w:sz="2" w:space="0" w:color="E3E3E3"/>
                                      </w:divBdr>
                                      <w:divsChild>
                                        <w:div w:id="74324285">
                                          <w:marLeft w:val="0"/>
                                          <w:marRight w:val="0"/>
                                          <w:marTop w:val="0"/>
                                          <w:marBottom w:val="0"/>
                                          <w:divBdr>
                                            <w:top w:val="single" w:sz="2" w:space="0" w:color="E3E3E3"/>
                                            <w:left w:val="single" w:sz="2" w:space="0" w:color="E3E3E3"/>
                                            <w:bottom w:val="single" w:sz="2" w:space="0" w:color="E3E3E3"/>
                                            <w:right w:val="single" w:sz="2" w:space="0" w:color="E3E3E3"/>
                                          </w:divBdr>
                                          <w:divsChild>
                                            <w:div w:id="647435866">
                                              <w:marLeft w:val="0"/>
                                              <w:marRight w:val="0"/>
                                              <w:marTop w:val="0"/>
                                              <w:marBottom w:val="0"/>
                                              <w:divBdr>
                                                <w:top w:val="single" w:sz="2" w:space="0" w:color="E3E3E3"/>
                                                <w:left w:val="single" w:sz="2" w:space="0" w:color="E3E3E3"/>
                                                <w:bottom w:val="single" w:sz="2" w:space="0" w:color="E3E3E3"/>
                                                <w:right w:val="single" w:sz="2" w:space="0" w:color="E3E3E3"/>
                                              </w:divBdr>
                                              <w:divsChild>
                                                <w:div w:id="1797092578">
                                                  <w:marLeft w:val="0"/>
                                                  <w:marRight w:val="0"/>
                                                  <w:marTop w:val="0"/>
                                                  <w:marBottom w:val="0"/>
                                                  <w:divBdr>
                                                    <w:top w:val="single" w:sz="2" w:space="0" w:color="E3E3E3"/>
                                                    <w:left w:val="single" w:sz="2" w:space="0" w:color="E3E3E3"/>
                                                    <w:bottom w:val="single" w:sz="2" w:space="0" w:color="E3E3E3"/>
                                                    <w:right w:val="single" w:sz="2" w:space="0" w:color="E3E3E3"/>
                                                  </w:divBdr>
                                                  <w:divsChild>
                                                    <w:div w:id="1958413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3142056">
          <w:marLeft w:val="0"/>
          <w:marRight w:val="0"/>
          <w:marTop w:val="0"/>
          <w:marBottom w:val="0"/>
          <w:divBdr>
            <w:top w:val="none" w:sz="0" w:space="0" w:color="auto"/>
            <w:left w:val="none" w:sz="0" w:space="0" w:color="auto"/>
            <w:bottom w:val="none" w:sz="0" w:space="0" w:color="auto"/>
            <w:right w:val="none" w:sz="0" w:space="0" w:color="auto"/>
          </w:divBdr>
        </w:div>
      </w:divsChild>
    </w:div>
    <w:div w:id="168835009">
      <w:bodyDiv w:val="1"/>
      <w:marLeft w:val="0"/>
      <w:marRight w:val="0"/>
      <w:marTop w:val="0"/>
      <w:marBottom w:val="0"/>
      <w:divBdr>
        <w:top w:val="none" w:sz="0" w:space="0" w:color="auto"/>
        <w:left w:val="none" w:sz="0" w:space="0" w:color="auto"/>
        <w:bottom w:val="none" w:sz="0" w:space="0" w:color="auto"/>
        <w:right w:val="none" w:sz="0" w:space="0" w:color="auto"/>
      </w:divBdr>
    </w:div>
    <w:div w:id="190186825">
      <w:bodyDiv w:val="1"/>
      <w:marLeft w:val="0"/>
      <w:marRight w:val="0"/>
      <w:marTop w:val="0"/>
      <w:marBottom w:val="0"/>
      <w:divBdr>
        <w:top w:val="none" w:sz="0" w:space="0" w:color="auto"/>
        <w:left w:val="none" w:sz="0" w:space="0" w:color="auto"/>
        <w:bottom w:val="none" w:sz="0" w:space="0" w:color="auto"/>
        <w:right w:val="none" w:sz="0" w:space="0" w:color="auto"/>
      </w:divBdr>
    </w:div>
    <w:div w:id="247007191">
      <w:bodyDiv w:val="1"/>
      <w:marLeft w:val="0"/>
      <w:marRight w:val="0"/>
      <w:marTop w:val="0"/>
      <w:marBottom w:val="0"/>
      <w:divBdr>
        <w:top w:val="none" w:sz="0" w:space="0" w:color="auto"/>
        <w:left w:val="none" w:sz="0" w:space="0" w:color="auto"/>
        <w:bottom w:val="none" w:sz="0" w:space="0" w:color="auto"/>
        <w:right w:val="none" w:sz="0" w:space="0" w:color="auto"/>
      </w:divBdr>
    </w:div>
    <w:div w:id="317156296">
      <w:bodyDiv w:val="1"/>
      <w:marLeft w:val="0"/>
      <w:marRight w:val="0"/>
      <w:marTop w:val="0"/>
      <w:marBottom w:val="0"/>
      <w:divBdr>
        <w:top w:val="none" w:sz="0" w:space="0" w:color="auto"/>
        <w:left w:val="none" w:sz="0" w:space="0" w:color="auto"/>
        <w:bottom w:val="none" w:sz="0" w:space="0" w:color="auto"/>
        <w:right w:val="none" w:sz="0" w:space="0" w:color="auto"/>
      </w:divBdr>
    </w:div>
    <w:div w:id="386339078">
      <w:bodyDiv w:val="1"/>
      <w:marLeft w:val="0"/>
      <w:marRight w:val="0"/>
      <w:marTop w:val="0"/>
      <w:marBottom w:val="0"/>
      <w:divBdr>
        <w:top w:val="none" w:sz="0" w:space="0" w:color="auto"/>
        <w:left w:val="none" w:sz="0" w:space="0" w:color="auto"/>
        <w:bottom w:val="none" w:sz="0" w:space="0" w:color="auto"/>
        <w:right w:val="none" w:sz="0" w:space="0" w:color="auto"/>
      </w:divBdr>
    </w:div>
    <w:div w:id="417747882">
      <w:bodyDiv w:val="1"/>
      <w:marLeft w:val="0"/>
      <w:marRight w:val="0"/>
      <w:marTop w:val="0"/>
      <w:marBottom w:val="0"/>
      <w:divBdr>
        <w:top w:val="none" w:sz="0" w:space="0" w:color="auto"/>
        <w:left w:val="none" w:sz="0" w:space="0" w:color="auto"/>
        <w:bottom w:val="none" w:sz="0" w:space="0" w:color="auto"/>
        <w:right w:val="none" w:sz="0" w:space="0" w:color="auto"/>
      </w:divBdr>
    </w:div>
    <w:div w:id="465587556">
      <w:bodyDiv w:val="1"/>
      <w:marLeft w:val="0"/>
      <w:marRight w:val="0"/>
      <w:marTop w:val="0"/>
      <w:marBottom w:val="0"/>
      <w:divBdr>
        <w:top w:val="none" w:sz="0" w:space="0" w:color="auto"/>
        <w:left w:val="none" w:sz="0" w:space="0" w:color="auto"/>
        <w:bottom w:val="none" w:sz="0" w:space="0" w:color="auto"/>
        <w:right w:val="none" w:sz="0" w:space="0" w:color="auto"/>
      </w:divBdr>
    </w:div>
    <w:div w:id="538588819">
      <w:bodyDiv w:val="1"/>
      <w:marLeft w:val="0"/>
      <w:marRight w:val="0"/>
      <w:marTop w:val="0"/>
      <w:marBottom w:val="0"/>
      <w:divBdr>
        <w:top w:val="none" w:sz="0" w:space="0" w:color="auto"/>
        <w:left w:val="none" w:sz="0" w:space="0" w:color="auto"/>
        <w:bottom w:val="none" w:sz="0" w:space="0" w:color="auto"/>
        <w:right w:val="none" w:sz="0" w:space="0" w:color="auto"/>
      </w:divBdr>
    </w:div>
    <w:div w:id="573663100">
      <w:bodyDiv w:val="1"/>
      <w:marLeft w:val="0"/>
      <w:marRight w:val="0"/>
      <w:marTop w:val="0"/>
      <w:marBottom w:val="0"/>
      <w:divBdr>
        <w:top w:val="none" w:sz="0" w:space="0" w:color="auto"/>
        <w:left w:val="none" w:sz="0" w:space="0" w:color="auto"/>
        <w:bottom w:val="none" w:sz="0" w:space="0" w:color="auto"/>
        <w:right w:val="none" w:sz="0" w:space="0" w:color="auto"/>
      </w:divBdr>
    </w:div>
    <w:div w:id="671372654">
      <w:bodyDiv w:val="1"/>
      <w:marLeft w:val="0"/>
      <w:marRight w:val="0"/>
      <w:marTop w:val="0"/>
      <w:marBottom w:val="0"/>
      <w:divBdr>
        <w:top w:val="none" w:sz="0" w:space="0" w:color="auto"/>
        <w:left w:val="none" w:sz="0" w:space="0" w:color="auto"/>
        <w:bottom w:val="none" w:sz="0" w:space="0" w:color="auto"/>
        <w:right w:val="none" w:sz="0" w:space="0" w:color="auto"/>
      </w:divBdr>
    </w:div>
    <w:div w:id="676732544">
      <w:bodyDiv w:val="1"/>
      <w:marLeft w:val="0"/>
      <w:marRight w:val="0"/>
      <w:marTop w:val="0"/>
      <w:marBottom w:val="0"/>
      <w:divBdr>
        <w:top w:val="none" w:sz="0" w:space="0" w:color="auto"/>
        <w:left w:val="none" w:sz="0" w:space="0" w:color="auto"/>
        <w:bottom w:val="none" w:sz="0" w:space="0" w:color="auto"/>
        <w:right w:val="none" w:sz="0" w:space="0" w:color="auto"/>
      </w:divBdr>
    </w:div>
    <w:div w:id="678195896">
      <w:bodyDiv w:val="1"/>
      <w:marLeft w:val="0"/>
      <w:marRight w:val="0"/>
      <w:marTop w:val="0"/>
      <w:marBottom w:val="0"/>
      <w:divBdr>
        <w:top w:val="none" w:sz="0" w:space="0" w:color="auto"/>
        <w:left w:val="none" w:sz="0" w:space="0" w:color="auto"/>
        <w:bottom w:val="none" w:sz="0" w:space="0" w:color="auto"/>
        <w:right w:val="none" w:sz="0" w:space="0" w:color="auto"/>
      </w:divBdr>
    </w:div>
    <w:div w:id="687757151">
      <w:bodyDiv w:val="1"/>
      <w:marLeft w:val="0"/>
      <w:marRight w:val="0"/>
      <w:marTop w:val="0"/>
      <w:marBottom w:val="0"/>
      <w:divBdr>
        <w:top w:val="none" w:sz="0" w:space="0" w:color="auto"/>
        <w:left w:val="none" w:sz="0" w:space="0" w:color="auto"/>
        <w:bottom w:val="none" w:sz="0" w:space="0" w:color="auto"/>
        <w:right w:val="none" w:sz="0" w:space="0" w:color="auto"/>
      </w:divBdr>
    </w:div>
    <w:div w:id="733043617">
      <w:bodyDiv w:val="1"/>
      <w:marLeft w:val="0"/>
      <w:marRight w:val="0"/>
      <w:marTop w:val="0"/>
      <w:marBottom w:val="0"/>
      <w:divBdr>
        <w:top w:val="none" w:sz="0" w:space="0" w:color="auto"/>
        <w:left w:val="none" w:sz="0" w:space="0" w:color="auto"/>
        <w:bottom w:val="none" w:sz="0" w:space="0" w:color="auto"/>
        <w:right w:val="none" w:sz="0" w:space="0" w:color="auto"/>
      </w:divBdr>
    </w:div>
    <w:div w:id="866064801">
      <w:bodyDiv w:val="1"/>
      <w:marLeft w:val="0"/>
      <w:marRight w:val="0"/>
      <w:marTop w:val="0"/>
      <w:marBottom w:val="0"/>
      <w:divBdr>
        <w:top w:val="none" w:sz="0" w:space="0" w:color="auto"/>
        <w:left w:val="none" w:sz="0" w:space="0" w:color="auto"/>
        <w:bottom w:val="none" w:sz="0" w:space="0" w:color="auto"/>
        <w:right w:val="none" w:sz="0" w:space="0" w:color="auto"/>
      </w:divBdr>
    </w:div>
    <w:div w:id="918636964">
      <w:bodyDiv w:val="1"/>
      <w:marLeft w:val="0"/>
      <w:marRight w:val="0"/>
      <w:marTop w:val="0"/>
      <w:marBottom w:val="0"/>
      <w:divBdr>
        <w:top w:val="none" w:sz="0" w:space="0" w:color="auto"/>
        <w:left w:val="none" w:sz="0" w:space="0" w:color="auto"/>
        <w:bottom w:val="none" w:sz="0" w:space="0" w:color="auto"/>
        <w:right w:val="none" w:sz="0" w:space="0" w:color="auto"/>
      </w:divBdr>
    </w:div>
    <w:div w:id="949239433">
      <w:bodyDiv w:val="1"/>
      <w:marLeft w:val="0"/>
      <w:marRight w:val="0"/>
      <w:marTop w:val="0"/>
      <w:marBottom w:val="0"/>
      <w:divBdr>
        <w:top w:val="none" w:sz="0" w:space="0" w:color="auto"/>
        <w:left w:val="none" w:sz="0" w:space="0" w:color="auto"/>
        <w:bottom w:val="none" w:sz="0" w:space="0" w:color="auto"/>
        <w:right w:val="none" w:sz="0" w:space="0" w:color="auto"/>
      </w:divBdr>
    </w:div>
    <w:div w:id="953753704">
      <w:bodyDiv w:val="1"/>
      <w:marLeft w:val="0"/>
      <w:marRight w:val="0"/>
      <w:marTop w:val="0"/>
      <w:marBottom w:val="0"/>
      <w:divBdr>
        <w:top w:val="none" w:sz="0" w:space="0" w:color="auto"/>
        <w:left w:val="none" w:sz="0" w:space="0" w:color="auto"/>
        <w:bottom w:val="none" w:sz="0" w:space="0" w:color="auto"/>
        <w:right w:val="none" w:sz="0" w:space="0" w:color="auto"/>
      </w:divBdr>
    </w:div>
    <w:div w:id="1019965064">
      <w:bodyDiv w:val="1"/>
      <w:marLeft w:val="0"/>
      <w:marRight w:val="0"/>
      <w:marTop w:val="0"/>
      <w:marBottom w:val="0"/>
      <w:divBdr>
        <w:top w:val="none" w:sz="0" w:space="0" w:color="auto"/>
        <w:left w:val="none" w:sz="0" w:space="0" w:color="auto"/>
        <w:bottom w:val="none" w:sz="0" w:space="0" w:color="auto"/>
        <w:right w:val="none" w:sz="0" w:space="0" w:color="auto"/>
      </w:divBdr>
    </w:div>
    <w:div w:id="1055393347">
      <w:bodyDiv w:val="1"/>
      <w:marLeft w:val="0"/>
      <w:marRight w:val="0"/>
      <w:marTop w:val="0"/>
      <w:marBottom w:val="0"/>
      <w:divBdr>
        <w:top w:val="none" w:sz="0" w:space="0" w:color="auto"/>
        <w:left w:val="none" w:sz="0" w:space="0" w:color="auto"/>
        <w:bottom w:val="none" w:sz="0" w:space="0" w:color="auto"/>
        <w:right w:val="none" w:sz="0" w:space="0" w:color="auto"/>
      </w:divBdr>
    </w:div>
    <w:div w:id="1158884730">
      <w:bodyDiv w:val="1"/>
      <w:marLeft w:val="0"/>
      <w:marRight w:val="0"/>
      <w:marTop w:val="0"/>
      <w:marBottom w:val="0"/>
      <w:divBdr>
        <w:top w:val="none" w:sz="0" w:space="0" w:color="auto"/>
        <w:left w:val="none" w:sz="0" w:space="0" w:color="auto"/>
        <w:bottom w:val="none" w:sz="0" w:space="0" w:color="auto"/>
        <w:right w:val="none" w:sz="0" w:space="0" w:color="auto"/>
      </w:divBdr>
    </w:div>
    <w:div w:id="1226768600">
      <w:bodyDiv w:val="1"/>
      <w:marLeft w:val="0"/>
      <w:marRight w:val="0"/>
      <w:marTop w:val="0"/>
      <w:marBottom w:val="0"/>
      <w:divBdr>
        <w:top w:val="none" w:sz="0" w:space="0" w:color="auto"/>
        <w:left w:val="none" w:sz="0" w:space="0" w:color="auto"/>
        <w:bottom w:val="none" w:sz="0" w:space="0" w:color="auto"/>
        <w:right w:val="none" w:sz="0" w:space="0" w:color="auto"/>
      </w:divBdr>
    </w:div>
    <w:div w:id="1302493504">
      <w:bodyDiv w:val="1"/>
      <w:marLeft w:val="0"/>
      <w:marRight w:val="0"/>
      <w:marTop w:val="0"/>
      <w:marBottom w:val="0"/>
      <w:divBdr>
        <w:top w:val="none" w:sz="0" w:space="0" w:color="auto"/>
        <w:left w:val="none" w:sz="0" w:space="0" w:color="auto"/>
        <w:bottom w:val="none" w:sz="0" w:space="0" w:color="auto"/>
        <w:right w:val="none" w:sz="0" w:space="0" w:color="auto"/>
      </w:divBdr>
    </w:div>
    <w:div w:id="1369065946">
      <w:bodyDiv w:val="1"/>
      <w:marLeft w:val="0"/>
      <w:marRight w:val="0"/>
      <w:marTop w:val="0"/>
      <w:marBottom w:val="0"/>
      <w:divBdr>
        <w:top w:val="none" w:sz="0" w:space="0" w:color="auto"/>
        <w:left w:val="none" w:sz="0" w:space="0" w:color="auto"/>
        <w:bottom w:val="none" w:sz="0" w:space="0" w:color="auto"/>
        <w:right w:val="none" w:sz="0" w:space="0" w:color="auto"/>
      </w:divBdr>
    </w:div>
    <w:div w:id="1373843335">
      <w:bodyDiv w:val="1"/>
      <w:marLeft w:val="0"/>
      <w:marRight w:val="0"/>
      <w:marTop w:val="0"/>
      <w:marBottom w:val="0"/>
      <w:divBdr>
        <w:top w:val="none" w:sz="0" w:space="0" w:color="auto"/>
        <w:left w:val="none" w:sz="0" w:space="0" w:color="auto"/>
        <w:bottom w:val="none" w:sz="0" w:space="0" w:color="auto"/>
        <w:right w:val="none" w:sz="0" w:space="0" w:color="auto"/>
      </w:divBdr>
    </w:div>
    <w:div w:id="1547177221">
      <w:bodyDiv w:val="1"/>
      <w:marLeft w:val="0"/>
      <w:marRight w:val="0"/>
      <w:marTop w:val="0"/>
      <w:marBottom w:val="0"/>
      <w:divBdr>
        <w:top w:val="none" w:sz="0" w:space="0" w:color="auto"/>
        <w:left w:val="none" w:sz="0" w:space="0" w:color="auto"/>
        <w:bottom w:val="none" w:sz="0" w:space="0" w:color="auto"/>
        <w:right w:val="none" w:sz="0" w:space="0" w:color="auto"/>
      </w:divBdr>
    </w:div>
    <w:div w:id="1548949842">
      <w:bodyDiv w:val="1"/>
      <w:marLeft w:val="0"/>
      <w:marRight w:val="0"/>
      <w:marTop w:val="0"/>
      <w:marBottom w:val="0"/>
      <w:divBdr>
        <w:top w:val="none" w:sz="0" w:space="0" w:color="auto"/>
        <w:left w:val="none" w:sz="0" w:space="0" w:color="auto"/>
        <w:bottom w:val="none" w:sz="0" w:space="0" w:color="auto"/>
        <w:right w:val="none" w:sz="0" w:space="0" w:color="auto"/>
      </w:divBdr>
    </w:div>
    <w:div w:id="1549341210">
      <w:bodyDiv w:val="1"/>
      <w:marLeft w:val="0"/>
      <w:marRight w:val="0"/>
      <w:marTop w:val="0"/>
      <w:marBottom w:val="0"/>
      <w:divBdr>
        <w:top w:val="none" w:sz="0" w:space="0" w:color="auto"/>
        <w:left w:val="none" w:sz="0" w:space="0" w:color="auto"/>
        <w:bottom w:val="none" w:sz="0" w:space="0" w:color="auto"/>
        <w:right w:val="none" w:sz="0" w:space="0" w:color="auto"/>
      </w:divBdr>
    </w:div>
    <w:div w:id="1577014017">
      <w:bodyDiv w:val="1"/>
      <w:marLeft w:val="0"/>
      <w:marRight w:val="0"/>
      <w:marTop w:val="0"/>
      <w:marBottom w:val="0"/>
      <w:divBdr>
        <w:top w:val="none" w:sz="0" w:space="0" w:color="auto"/>
        <w:left w:val="none" w:sz="0" w:space="0" w:color="auto"/>
        <w:bottom w:val="none" w:sz="0" w:space="0" w:color="auto"/>
        <w:right w:val="none" w:sz="0" w:space="0" w:color="auto"/>
      </w:divBdr>
    </w:div>
    <w:div w:id="1702511682">
      <w:bodyDiv w:val="1"/>
      <w:marLeft w:val="0"/>
      <w:marRight w:val="0"/>
      <w:marTop w:val="0"/>
      <w:marBottom w:val="0"/>
      <w:divBdr>
        <w:top w:val="none" w:sz="0" w:space="0" w:color="auto"/>
        <w:left w:val="none" w:sz="0" w:space="0" w:color="auto"/>
        <w:bottom w:val="none" w:sz="0" w:space="0" w:color="auto"/>
        <w:right w:val="none" w:sz="0" w:space="0" w:color="auto"/>
      </w:divBdr>
    </w:div>
    <w:div w:id="1753624171">
      <w:bodyDiv w:val="1"/>
      <w:marLeft w:val="0"/>
      <w:marRight w:val="0"/>
      <w:marTop w:val="0"/>
      <w:marBottom w:val="0"/>
      <w:divBdr>
        <w:top w:val="none" w:sz="0" w:space="0" w:color="auto"/>
        <w:left w:val="none" w:sz="0" w:space="0" w:color="auto"/>
        <w:bottom w:val="none" w:sz="0" w:space="0" w:color="auto"/>
        <w:right w:val="none" w:sz="0" w:space="0" w:color="auto"/>
      </w:divBdr>
    </w:div>
    <w:div w:id="1780568399">
      <w:bodyDiv w:val="1"/>
      <w:marLeft w:val="0"/>
      <w:marRight w:val="0"/>
      <w:marTop w:val="0"/>
      <w:marBottom w:val="0"/>
      <w:divBdr>
        <w:top w:val="none" w:sz="0" w:space="0" w:color="auto"/>
        <w:left w:val="none" w:sz="0" w:space="0" w:color="auto"/>
        <w:bottom w:val="none" w:sz="0" w:space="0" w:color="auto"/>
        <w:right w:val="none" w:sz="0" w:space="0" w:color="auto"/>
      </w:divBdr>
    </w:div>
    <w:div w:id="1919360723">
      <w:bodyDiv w:val="1"/>
      <w:marLeft w:val="0"/>
      <w:marRight w:val="0"/>
      <w:marTop w:val="0"/>
      <w:marBottom w:val="0"/>
      <w:divBdr>
        <w:top w:val="none" w:sz="0" w:space="0" w:color="auto"/>
        <w:left w:val="none" w:sz="0" w:space="0" w:color="auto"/>
        <w:bottom w:val="none" w:sz="0" w:space="0" w:color="auto"/>
        <w:right w:val="none" w:sz="0" w:space="0" w:color="auto"/>
      </w:divBdr>
    </w:div>
    <w:div w:id="197093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332/239788221X16740630896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Human Rights Watch</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E8F90-F42F-4FC4-8662-65817ED1057A}"/>
</file>

<file path=customXml/itemProps2.xml><?xml version="1.0" encoding="utf-8"?>
<ds:datastoreItem xmlns:ds="http://schemas.openxmlformats.org/officeDocument/2006/customXml" ds:itemID="{76285ADC-5B16-4768-AD79-BFF790C0CE19}">
  <ds:schemaRefs>
    <ds:schemaRef ds:uri="http://schemas.openxmlformats.org/officeDocument/2006/bibliography"/>
  </ds:schemaRefs>
</ds:datastoreItem>
</file>

<file path=customXml/itemProps3.xml><?xml version="1.0" encoding="utf-8"?>
<ds:datastoreItem xmlns:ds="http://schemas.openxmlformats.org/officeDocument/2006/customXml" ds:itemID="{3C6E8611-2D79-431D-A4E0-B88B96028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BC816-3D4B-4CC9-A2A1-713415B1C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Human Rights Watch</Company>
  <LinksUpToDate>false</LinksUpToDate>
  <CharactersWithSpaces>20940</CharactersWithSpaces>
  <SharedDoc>false</SharedDoc>
  <HLinks>
    <vt:vector size="12" baseType="variant">
      <vt:variant>
        <vt:i4>7012471</vt:i4>
      </vt:variant>
      <vt:variant>
        <vt:i4>3</vt:i4>
      </vt:variant>
      <vt:variant>
        <vt:i4>0</vt:i4>
      </vt:variant>
      <vt:variant>
        <vt:i4>5</vt:i4>
      </vt:variant>
      <vt:variant>
        <vt:lpwstr>https://www.eleconomista.com.mx/capitalhumano/La-ruta-para-intentar-descongelar-la-reforma-que-crea-el-sistema-nacional-de-cuidados-20221017-0083.html</vt:lpwstr>
      </vt:variant>
      <vt:variant>
        <vt:lpwstr/>
      </vt:variant>
      <vt:variant>
        <vt:i4>5898325</vt:i4>
      </vt:variant>
      <vt:variant>
        <vt:i4>0</vt:i4>
      </vt:variant>
      <vt:variant>
        <vt:i4>0</vt:i4>
      </vt:variant>
      <vt:variant>
        <vt:i4>5</vt:i4>
      </vt:variant>
      <vt:variant>
        <vt:lpwstr>https://doi.org/10.1332/239788221X16740630896657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Haas</dc:creator>
  <cp:keywords/>
  <cp:lastModifiedBy>Bridget Sleap</cp:lastModifiedBy>
  <cp:revision>3</cp:revision>
  <cp:lastPrinted>2023-11-27T08:41:00Z</cp:lastPrinted>
  <dcterms:created xsi:type="dcterms:W3CDTF">2024-04-12T11:22:00Z</dcterms:created>
  <dcterms:modified xsi:type="dcterms:W3CDTF">2024-04-12T11:29:00Z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