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B7AF2" w14:textId="77777777" w:rsidR="002A301E" w:rsidRPr="002A301E" w:rsidRDefault="002A301E" w:rsidP="002A301E">
      <w:pPr>
        <w:jc w:val="right"/>
        <w:rPr>
          <w:rFonts w:ascii="Artifex CF" w:hAnsi="Artifex CF" w:cs="Times New Roman"/>
          <w:b/>
          <w:bCs/>
        </w:rPr>
      </w:pPr>
      <w:r w:rsidRPr="002A301E">
        <w:rPr>
          <w:rFonts w:ascii="Artifex CF" w:hAnsi="Artifex CF" w:cs="Times New Roman"/>
          <w:b/>
          <w:bCs/>
        </w:rPr>
        <w:t>VPEM-DDHH</w:t>
      </w:r>
      <w:r w:rsidRPr="002A301E">
        <w:rPr>
          <w:rFonts w:ascii="Artifex CF" w:hAnsi="Artifex CF" w:cs="Times New Roman"/>
          <w:b/>
          <w:bCs/>
        </w:rPr>
        <w:tab/>
      </w:r>
      <w:r w:rsidRPr="002A301E">
        <w:rPr>
          <w:rFonts w:ascii="Artifex CF" w:hAnsi="Artifex CF" w:cs="Times New Roman"/>
          <w:b/>
          <w:bCs/>
        </w:rPr>
        <w:tab/>
      </w:r>
      <w:r w:rsidRPr="002A301E">
        <w:rPr>
          <w:rFonts w:ascii="Artifex CF" w:hAnsi="Artifex CF" w:cs="Times New Roman"/>
          <w:b/>
          <w:bCs/>
        </w:rPr>
        <w:tab/>
      </w:r>
      <w:r w:rsidRPr="002A301E">
        <w:rPr>
          <w:rFonts w:ascii="Artifex CF" w:hAnsi="Artifex CF" w:cs="Times New Roman"/>
          <w:b/>
          <w:bCs/>
        </w:rPr>
        <w:tab/>
      </w:r>
      <w:r w:rsidRPr="002A301E">
        <w:rPr>
          <w:rFonts w:ascii="Artifex CF" w:hAnsi="Artifex CF" w:cs="Times New Roman"/>
          <w:b/>
          <w:bCs/>
        </w:rPr>
        <w:tab/>
      </w:r>
      <w:r w:rsidRPr="002A301E">
        <w:rPr>
          <w:rFonts w:ascii="Artifex CF" w:hAnsi="Artifex CF" w:cs="Times New Roman"/>
          <w:b/>
          <w:bCs/>
        </w:rPr>
        <w:tab/>
        <w:t xml:space="preserve">         Santo Domingo, R.D.</w:t>
      </w:r>
    </w:p>
    <w:p w14:paraId="2AA87C58" w14:textId="3324FFCD" w:rsidR="002A301E" w:rsidRPr="002A301E" w:rsidRDefault="002A301E" w:rsidP="002A301E">
      <w:pPr>
        <w:jc w:val="right"/>
        <w:rPr>
          <w:rFonts w:ascii="Artifex CF" w:hAnsi="Artifex CF" w:cs="Times New Roman"/>
          <w:b/>
          <w:bCs/>
        </w:rPr>
      </w:pPr>
      <w:r w:rsidRPr="002A301E">
        <w:rPr>
          <w:rFonts w:ascii="Artifex CF" w:hAnsi="Artifex CF" w:cs="Times New Roman"/>
          <w:b/>
          <w:bCs/>
        </w:rPr>
        <w:t xml:space="preserve">                                                                                                                                       </w:t>
      </w:r>
      <w:r w:rsidR="00031BBC">
        <w:rPr>
          <w:rFonts w:ascii="Artifex CF" w:hAnsi="Artifex CF" w:cs="Times New Roman"/>
          <w:b/>
          <w:bCs/>
        </w:rPr>
        <w:t>01</w:t>
      </w:r>
      <w:r w:rsidRPr="002A301E">
        <w:rPr>
          <w:rFonts w:ascii="Artifex CF" w:hAnsi="Artifex CF" w:cs="Times New Roman"/>
          <w:b/>
          <w:bCs/>
        </w:rPr>
        <w:t xml:space="preserve"> de </w:t>
      </w:r>
      <w:r w:rsidR="00031BBC">
        <w:rPr>
          <w:rFonts w:ascii="Artifex CF" w:hAnsi="Artifex CF" w:cs="Times New Roman"/>
          <w:b/>
          <w:bCs/>
        </w:rPr>
        <w:t>mayo</w:t>
      </w:r>
      <w:r w:rsidRPr="002A301E">
        <w:rPr>
          <w:rFonts w:ascii="Artifex CF" w:hAnsi="Artifex CF" w:cs="Times New Roman"/>
          <w:b/>
          <w:bCs/>
        </w:rPr>
        <w:t xml:space="preserve"> de 2024</w:t>
      </w:r>
      <w:r w:rsidR="00B87CC2">
        <w:rPr>
          <w:rFonts w:ascii="Artifex CF" w:hAnsi="Artifex CF" w:cs="Times New Roman"/>
          <w:b/>
          <w:bCs/>
        </w:rPr>
        <w:t>.</w:t>
      </w:r>
    </w:p>
    <w:p w14:paraId="1CB6FB10" w14:textId="77777777" w:rsidR="002A301E" w:rsidRPr="002A301E" w:rsidRDefault="002A301E" w:rsidP="002A301E">
      <w:pPr>
        <w:jc w:val="both"/>
        <w:rPr>
          <w:rFonts w:ascii="Artifex CF" w:hAnsi="Artifex CF" w:cs="Times New Roman"/>
          <w:b/>
          <w:bCs/>
        </w:rPr>
      </w:pPr>
    </w:p>
    <w:p w14:paraId="2411EC71" w14:textId="6FF23CA0" w:rsidR="002A301E" w:rsidRDefault="002A301E" w:rsidP="002A301E">
      <w:pPr>
        <w:jc w:val="both"/>
        <w:rPr>
          <w:rFonts w:ascii="Artifex CF" w:hAnsi="Artifex CF" w:cs="Times New Roman"/>
          <w:b/>
          <w:bCs/>
        </w:rPr>
      </w:pPr>
      <w:r w:rsidRPr="002A301E">
        <w:rPr>
          <w:rFonts w:ascii="Artifex CF" w:hAnsi="Artifex CF" w:cs="Times New Roman"/>
          <w:b/>
          <w:bCs/>
        </w:rPr>
        <w:t xml:space="preserve">Asunto: Contribuciones del Estado dominicano para </w:t>
      </w:r>
      <w:r>
        <w:rPr>
          <w:rFonts w:ascii="Artifex CF" w:hAnsi="Artifex CF" w:cs="Times New Roman"/>
          <w:b/>
          <w:bCs/>
        </w:rPr>
        <w:t>e</w:t>
      </w:r>
      <w:r w:rsidRPr="002A301E">
        <w:rPr>
          <w:rFonts w:ascii="Artifex CF" w:hAnsi="Artifex CF" w:cs="Times New Roman"/>
          <w:b/>
          <w:bCs/>
        </w:rPr>
        <w:t>l relator especial sobre las minoras: los mecanismos institucionales de los Estados que permiten que fluyan los derechos de las minorías.</w:t>
      </w:r>
    </w:p>
    <w:p w14:paraId="14EDD470" w14:textId="45F29141" w:rsidR="002A301E" w:rsidRPr="002A301E" w:rsidRDefault="002A301E" w:rsidP="002A301E">
      <w:pPr>
        <w:jc w:val="both"/>
        <w:rPr>
          <w:rFonts w:ascii="Artifex CF" w:hAnsi="Artifex CF" w:cs="Times New Roman"/>
        </w:rPr>
      </w:pPr>
      <w:r w:rsidRPr="009C2AAC">
        <w:rPr>
          <w:rFonts w:ascii="Artifex CF" w:hAnsi="Artifex CF" w:cs="Times New Roman"/>
          <w:b/>
          <w:bCs/>
        </w:rPr>
        <w:t xml:space="preserve">Referencia: </w:t>
      </w:r>
      <w:r w:rsidRPr="009C2AAC">
        <w:rPr>
          <w:rFonts w:ascii="Artifex CF" w:hAnsi="Artifex CF" w:cs="Times New Roman"/>
        </w:rPr>
        <w:t>Comunicación MPRD-ONU-GI-0</w:t>
      </w:r>
      <w:r w:rsidR="009C2AAC" w:rsidRPr="009C2AAC">
        <w:rPr>
          <w:rFonts w:ascii="Artifex CF" w:hAnsi="Artifex CF" w:cs="Times New Roman"/>
        </w:rPr>
        <w:t>375</w:t>
      </w:r>
      <w:r w:rsidRPr="009C2AAC">
        <w:rPr>
          <w:rFonts w:ascii="Artifex CF" w:hAnsi="Artifex CF" w:cs="Times New Roman"/>
        </w:rPr>
        <w:t xml:space="preserve">-2024, del </w:t>
      </w:r>
      <w:r w:rsidR="009C2AAC" w:rsidRPr="009C2AAC">
        <w:rPr>
          <w:rFonts w:ascii="Artifex CF" w:hAnsi="Artifex CF" w:cs="Times New Roman"/>
        </w:rPr>
        <w:t>25</w:t>
      </w:r>
      <w:r w:rsidRPr="009C2AAC">
        <w:rPr>
          <w:rFonts w:ascii="Artifex CF" w:hAnsi="Artifex CF" w:cs="Times New Roman"/>
        </w:rPr>
        <w:t xml:space="preserve"> de </w:t>
      </w:r>
      <w:r w:rsidR="009C2AAC" w:rsidRPr="009C2AAC">
        <w:rPr>
          <w:rFonts w:ascii="Artifex CF" w:hAnsi="Artifex CF" w:cs="Times New Roman"/>
        </w:rPr>
        <w:t>marzo</w:t>
      </w:r>
      <w:r w:rsidRPr="009C2AAC">
        <w:rPr>
          <w:rFonts w:ascii="Artifex CF" w:hAnsi="Artifex CF" w:cs="Times New Roman"/>
        </w:rPr>
        <w:t xml:space="preserve"> de 2024.</w:t>
      </w:r>
    </w:p>
    <w:p w14:paraId="7424FC92" w14:textId="77777777" w:rsidR="005D7C58" w:rsidRPr="00E8255B" w:rsidRDefault="005D7C58" w:rsidP="002A301E">
      <w:pPr>
        <w:rPr>
          <w:rFonts w:ascii="Artifex CF" w:hAnsi="Artifex CF" w:cs="Times New Roman"/>
          <w:b/>
          <w:bCs/>
        </w:rPr>
      </w:pPr>
    </w:p>
    <w:p w14:paraId="13776EF1" w14:textId="742E1A34" w:rsidR="0073076A" w:rsidRDefault="00625077" w:rsidP="00E8255B">
      <w:pPr>
        <w:pStyle w:val="Prrafodelista"/>
        <w:numPr>
          <w:ilvl w:val="0"/>
          <w:numId w:val="2"/>
        </w:numPr>
        <w:jc w:val="both"/>
        <w:rPr>
          <w:rFonts w:ascii="Artifex CF" w:hAnsi="Artifex CF" w:cs="Times New Roman"/>
          <w:b/>
          <w:bCs/>
        </w:rPr>
      </w:pPr>
      <w:r w:rsidRPr="00EE054D">
        <w:rPr>
          <w:rFonts w:ascii="Artifex CF" w:hAnsi="Artifex CF" w:cs="Times New Roman"/>
          <w:b/>
          <w:bCs/>
        </w:rPr>
        <w:t>¿</w:t>
      </w:r>
      <w:r w:rsidR="009526C2" w:rsidRPr="00EE054D">
        <w:rPr>
          <w:rFonts w:ascii="Artifex CF" w:hAnsi="Artifex CF" w:cs="Times New Roman"/>
          <w:b/>
          <w:bCs/>
        </w:rPr>
        <w:t>Considera</w:t>
      </w:r>
      <w:r w:rsidRPr="00EE054D">
        <w:rPr>
          <w:rFonts w:ascii="Artifex CF" w:hAnsi="Artifex CF" w:cs="Times New Roman"/>
          <w:b/>
          <w:bCs/>
        </w:rPr>
        <w:t xml:space="preserve"> que en su país se tienen debidamente </w:t>
      </w:r>
      <w:r w:rsidR="00922EB8" w:rsidRPr="00EE054D">
        <w:rPr>
          <w:rFonts w:ascii="Artifex CF" w:hAnsi="Artifex CF" w:cs="Times New Roman"/>
          <w:b/>
          <w:bCs/>
        </w:rPr>
        <w:t>en cuenta los intereses de las</w:t>
      </w:r>
      <w:r w:rsidR="00E9012D" w:rsidRPr="00EE054D">
        <w:rPr>
          <w:rFonts w:ascii="Artifex CF" w:hAnsi="Artifex CF" w:cs="Times New Roman"/>
          <w:b/>
          <w:bCs/>
        </w:rPr>
        <w:t xml:space="preserve"> personas pertenecientes a grupos</w:t>
      </w:r>
      <w:r w:rsidR="00922EB8" w:rsidRPr="00EE054D">
        <w:rPr>
          <w:rFonts w:ascii="Artifex CF" w:hAnsi="Artifex CF" w:cs="Times New Roman"/>
          <w:b/>
          <w:bCs/>
        </w:rPr>
        <w:t xml:space="preserve"> </w:t>
      </w:r>
      <w:r w:rsidR="00E9012D" w:rsidRPr="00EE054D">
        <w:rPr>
          <w:rFonts w:ascii="Artifex CF" w:hAnsi="Artifex CF" w:cs="Times New Roman"/>
          <w:b/>
          <w:bCs/>
        </w:rPr>
        <w:t>minoritarios? Si la respuesta es afirmativa, ¿Cómo?</w:t>
      </w:r>
      <w:r w:rsidR="009526C2" w:rsidRPr="00EE054D">
        <w:rPr>
          <w:rFonts w:ascii="Artifex CF" w:hAnsi="Artifex CF" w:cs="Times New Roman"/>
          <w:b/>
          <w:bCs/>
        </w:rPr>
        <w:t xml:space="preserve"> En caso negativo, ¿Por qué?</w:t>
      </w:r>
    </w:p>
    <w:p w14:paraId="2E515DF5" w14:textId="1D6016FE" w:rsidR="003E5A88" w:rsidRDefault="00094BCE" w:rsidP="00E11B60">
      <w:pPr>
        <w:jc w:val="both"/>
        <w:rPr>
          <w:rFonts w:ascii="Artifex CF" w:hAnsi="Artifex CF"/>
        </w:rPr>
      </w:pPr>
      <w:r>
        <w:rPr>
          <w:rFonts w:ascii="Artifex CF" w:hAnsi="Artifex CF"/>
        </w:rPr>
        <w:t xml:space="preserve">La </w:t>
      </w:r>
      <w:r w:rsidR="00703203" w:rsidRPr="00703203">
        <w:rPr>
          <w:rFonts w:ascii="Artifex CF" w:hAnsi="Artifex CF"/>
        </w:rPr>
        <w:t xml:space="preserve">República Dominicana desde sus orígenes se ha caracterizado por ser un país mestizo, debido a la pluralidad biológica y cultural, que se expresa en </w:t>
      </w:r>
      <w:r w:rsidR="00E5517C">
        <w:rPr>
          <w:rFonts w:ascii="Artifex CF" w:hAnsi="Artifex CF"/>
        </w:rPr>
        <w:t>la</w:t>
      </w:r>
      <w:r w:rsidR="00703203" w:rsidRPr="00703203">
        <w:rPr>
          <w:rFonts w:ascii="Artifex CF" w:hAnsi="Artifex CF"/>
        </w:rPr>
        <w:t xml:space="preserve"> cultura y sociedad</w:t>
      </w:r>
      <w:r w:rsidR="00F23DC9">
        <w:rPr>
          <w:rFonts w:ascii="Artifex CF" w:hAnsi="Artifex CF"/>
        </w:rPr>
        <w:t xml:space="preserve">, </w:t>
      </w:r>
      <w:r w:rsidR="00A66343">
        <w:rPr>
          <w:rFonts w:ascii="Artifex CF" w:hAnsi="Artifex CF"/>
        </w:rPr>
        <w:t>esta riqueza cultural se manifiesta en distintas áreas de la vida social, como l</w:t>
      </w:r>
      <w:r w:rsidR="00BF1CFC">
        <w:rPr>
          <w:rFonts w:ascii="Artifex CF" w:hAnsi="Artifex CF"/>
        </w:rPr>
        <w:t>a religión</w:t>
      </w:r>
      <w:r w:rsidR="003E5A88">
        <w:rPr>
          <w:rFonts w:ascii="Artifex CF" w:hAnsi="Artifex CF"/>
        </w:rPr>
        <w:t>.</w:t>
      </w:r>
      <w:r w:rsidR="00A543A7">
        <w:rPr>
          <w:rFonts w:ascii="Artifex CF" w:hAnsi="Artifex CF"/>
        </w:rPr>
        <w:t xml:space="preserve"> </w:t>
      </w:r>
      <w:r w:rsidR="005E70E9">
        <w:rPr>
          <w:rFonts w:ascii="Artifex CF" w:hAnsi="Artifex CF"/>
        </w:rPr>
        <w:t>Étnicamente</w:t>
      </w:r>
      <w:r w:rsidR="003E5A88">
        <w:rPr>
          <w:rFonts w:ascii="Artifex CF" w:hAnsi="Artifex CF"/>
        </w:rPr>
        <w:t xml:space="preserve">, </w:t>
      </w:r>
      <w:r w:rsidR="002E4DC6">
        <w:rPr>
          <w:rFonts w:ascii="Artifex CF" w:hAnsi="Artifex CF"/>
        </w:rPr>
        <w:t>República</w:t>
      </w:r>
      <w:r w:rsidR="003E5A88">
        <w:rPr>
          <w:rFonts w:ascii="Artifex CF" w:hAnsi="Artifex CF"/>
        </w:rPr>
        <w:t xml:space="preserve"> Dominicana posee una amalgama </w:t>
      </w:r>
      <w:r w:rsidR="0055418B">
        <w:rPr>
          <w:rFonts w:ascii="Artifex CF" w:hAnsi="Artifex CF"/>
        </w:rPr>
        <w:t>biológica</w:t>
      </w:r>
      <w:r w:rsidR="00DF6334">
        <w:rPr>
          <w:rFonts w:ascii="Artifex CF" w:hAnsi="Artifex CF"/>
        </w:rPr>
        <w:t xml:space="preserve"> compuesta por tres grupos principales: </w:t>
      </w:r>
      <w:r w:rsidR="005E70E9">
        <w:rPr>
          <w:rFonts w:ascii="Artifex CF" w:hAnsi="Artifex CF"/>
        </w:rPr>
        <w:t>Tainos</w:t>
      </w:r>
      <w:r w:rsidR="00DF6334">
        <w:rPr>
          <w:rFonts w:ascii="Artifex CF" w:hAnsi="Artifex CF"/>
        </w:rPr>
        <w:t xml:space="preserve"> (</w:t>
      </w:r>
      <w:r w:rsidR="005E70E9">
        <w:rPr>
          <w:rFonts w:ascii="Artifex CF" w:hAnsi="Artifex CF"/>
        </w:rPr>
        <w:t>Indígenas</w:t>
      </w:r>
      <w:r w:rsidR="00DF6334">
        <w:rPr>
          <w:rFonts w:ascii="Artifex CF" w:hAnsi="Artifex CF"/>
        </w:rPr>
        <w:t xml:space="preserve">), </w:t>
      </w:r>
      <w:r w:rsidR="005E70E9">
        <w:rPr>
          <w:rFonts w:ascii="Artifex CF" w:hAnsi="Artifex CF"/>
        </w:rPr>
        <w:t>E</w:t>
      </w:r>
      <w:r w:rsidR="00DF6334">
        <w:rPr>
          <w:rFonts w:ascii="Artifex CF" w:hAnsi="Artifex CF"/>
        </w:rPr>
        <w:t>spañola</w:t>
      </w:r>
      <w:r w:rsidR="000A3961">
        <w:rPr>
          <w:rFonts w:ascii="Artifex CF" w:hAnsi="Artifex CF"/>
        </w:rPr>
        <w:t xml:space="preserve"> (</w:t>
      </w:r>
      <w:r w:rsidR="005E70E9">
        <w:rPr>
          <w:rFonts w:ascii="Artifex CF" w:hAnsi="Artifex CF"/>
        </w:rPr>
        <w:t>E</w:t>
      </w:r>
      <w:r w:rsidR="000A3961">
        <w:rPr>
          <w:rFonts w:ascii="Artifex CF" w:hAnsi="Artifex CF"/>
        </w:rPr>
        <w:t xml:space="preserve">uropea) y </w:t>
      </w:r>
      <w:r w:rsidR="005E70E9">
        <w:rPr>
          <w:rFonts w:ascii="Artifex CF" w:hAnsi="Artifex CF"/>
        </w:rPr>
        <w:t>A</w:t>
      </w:r>
      <w:r w:rsidR="000A3961">
        <w:rPr>
          <w:rFonts w:ascii="Artifex CF" w:hAnsi="Artifex CF"/>
        </w:rPr>
        <w:t>fricana en general</w:t>
      </w:r>
      <w:r w:rsidR="00F554B9">
        <w:rPr>
          <w:rFonts w:ascii="Artifex CF" w:hAnsi="Artifex CF"/>
        </w:rPr>
        <w:t xml:space="preserve">. La incorporación de estas tres </w:t>
      </w:r>
      <w:r w:rsidR="004632C1">
        <w:rPr>
          <w:rFonts w:ascii="Artifex CF" w:hAnsi="Artifex CF"/>
        </w:rPr>
        <w:t xml:space="preserve">en la isla </w:t>
      </w:r>
      <w:r w:rsidR="00F554B9">
        <w:rPr>
          <w:rFonts w:ascii="Artifex CF" w:hAnsi="Artifex CF"/>
        </w:rPr>
        <w:t>se dio de manera</w:t>
      </w:r>
      <w:r w:rsidR="00DC5120">
        <w:rPr>
          <w:rFonts w:ascii="Artifex CF" w:hAnsi="Artifex CF"/>
        </w:rPr>
        <w:t xml:space="preserve"> general, por lo cual, </w:t>
      </w:r>
      <w:r w:rsidR="000A3961">
        <w:rPr>
          <w:rFonts w:ascii="Artifex CF" w:hAnsi="Artifex CF"/>
        </w:rPr>
        <w:t xml:space="preserve">esas composiciones definen lo que es hoy </w:t>
      </w:r>
      <w:r w:rsidR="005E70E9">
        <w:rPr>
          <w:rFonts w:ascii="Artifex CF" w:hAnsi="Artifex CF"/>
        </w:rPr>
        <w:t xml:space="preserve">la raza dominicana </w:t>
      </w:r>
      <w:r w:rsidR="009C0AD0">
        <w:rPr>
          <w:rStyle w:val="Refdenotaalpie"/>
          <w:rFonts w:ascii="Artifex CF" w:hAnsi="Artifex CF"/>
        </w:rPr>
        <w:footnoteReference w:id="1"/>
      </w:r>
    </w:p>
    <w:p w14:paraId="667A33D4" w14:textId="77777777" w:rsidR="00A50337" w:rsidRPr="00A50337" w:rsidRDefault="00A50337" w:rsidP="00A50337">
      <w:pPr>
        <w:jc w:val="both"/>
        <w:rPr>
          <w:rFonts w:ascii="Artifex CF" w:hAnsi="Artifex CF"/>
        </w:rPr>
      </w:pPr>
      <w:r w:rsidRPr="00A50337">
        <w:rPr>
          <w:rFonts w:ascii="Artifex CF" w:hAnsi="Artifex CF"/>
        </w:rPr>
        <w:t>En ese sentido y de acuerdo con el estudio realizado por Academia Dominicana de la Historia, la National Geographic Society y la Universidad de Pennsylvania, con la colaboración de la Universidad Iberoamericana (UNIBE), investigación que forma parte del Proyecto Genographic que se realiza en 140 países del mundo y que fue publicado en el periódico “El Diario Libre”, en el 2016, la población dominicana posee un 39% de ADN de ancestros europeos, un 49% africano y un 4% precolombino, es decir taínos, lo que confirma su complicada ascendencia genética e implica que el mulato predomina entre los dominicanos.</w:t>
      </w:r>
    </w:p>
    <w:p w14:paraId="3C241466" w14:textId="79234579" w:rsidR="009C0AD0" w:rsidRDefault="00A50337" w:rsidP="00A50337">
      <w:pPr>
        <w:jc w:val="both"/>
        <w:rPr>
          <w:rFonts w:ascii="Artifex CF" w:hAnsi="Artifex CF"/>
        </w:rPr>
      </w:pPr>
      <w:r w:rsidRPr="00A50337">
        <w:rPr>
          <w:rFonts w:ascii="Artifex CF" w:hAnsi="Artifex CF"/>
        </w:rPr>
        <w:t>“La investigación se hizo con muestras de saliva de la mucosa oral que se tomaron a 1,000 dominicanos en 25 puntos muestrales, tanto rurales como urbanos del país, y en cada uno 40 voluntarios aceptaron que se les tomaran sus muestras de ADN”, dice una comunicación de prensa de la Academia Dominicana de la Historia. Afirma que el único estudio previo en el país sobre diversidad genética fue realizado por José de Jesús Álvarez Perelló, con muestras de sangre a 520 militares en 1950.</w:t>
      </w:r>
    </w:p>
    <w:p w14:paraId="6933472F" w14:textId="77777777" w:rsidR="0055418B" w:rsidRDefault="0055418B" w:rsidP="00E11B60">
      <w:pPr>
        <w:jc w:val="both"/>
        <w:rPr>
          <w:rFonts w:ascii="Artifex CF" w:hAnsi="Artifex CF"/>
        </w:rPr>
      </w:pPr>
    </w:p>
    <w:p w14:paraId="3C3AA4AE" w14:textId="77777777" w:rsidR="0040570B" w:rsidRDefault="0040570B" w:rsidP="00E11B60">
      <w:pPr>
        <w:jc w:val="both"/>
        <w:rPr>
          <w:rFonts w:ascii="Artifex CF" w:hAnsi="Artifex CF"/>
        </w:rPr>
      </w:pPr>
    </w:p>
    <w:p w14:paraId="27295639" w14:textId="63DF9862" w:rsidR="00C95AB3" w:rsidRDefault="00B14BE8" w:rsidP="005C721D">
      <w:pPr>
        <w:jc w:val="both"/>
        <w:rPr>
          <w:rFonts w:ascii="Artifex CF" w:hAnsi="Artifex CF"/>
        </w:rPr>
      </w:pPr>
      <w:r>
        <w:rPr>
          <w:rFonts w:ascii="Artifex CF" w:hAnsi="Artifex CF"/>
        </w:rPr>
        <w:t>En el ámbito religioso, d</w:t>
      </w:r>
      <w:r w:rsidR="008F6F85">
        <w:rPr>
          <w:rFonts w:ascii="Artifex CF" w:hAnsi="Artifex CF"/>
        </w:rPr>
        <w:t>esde el siglo XX</w:t>
      </w:r>
      <w:r>
        <w:rPr>
          <w:rFonts w:ascii="Artifex CF" w:hAnsi="Artifex CF"/>
        </w:rPr>
        <w:t xml:space="preserve"> la </w:t>
      </w:r>
      <w:r w:rsidR="008F6F85">
        <w:rPr>
          <w:rFonts w:ascii="Artifex CF" w:hAnsi="Artifex CF"/>
        </w:rPr>
        <w:t>Rep</w:t>
      </w:r>
      <w:r w:rsidR="00260D3C">
        <w:rPr>
          <w:rFonts w:ascii="Artifex CF" w:hAnsi="Artifex CF"/>
        </w:rPr>
        <w:t>ú</w:t>
      </w:r>
      <w:r w:rsidR="008F6F85">
        <w:rPr>
          <w:rFonts w:ascii="Artifex CF" w:hAnsi="Artifex CF"/>
        </w:rPr>
        <w:t xml:space="preserve">blica Dominicana </w:t>
      </w:r>
      <w:r w:rsidR="0036593A">
        <w:rPr>
          <w:rFonts w:ascii="Artifex CF" w:hAnsi="Artifex CF"/>
        </w:rPr>
        <w:t>ha vivido el desarrollo de</w:t>
      </w:r>
      <w:r w:rsidR="008F6F85">
        <w:rPr>
          <w:rFonts w:ascii="Artifex CF" w:hAnsi="Artifex CF"/>
        </w:rPr>
        <w:t xml:space="preserve"> una diversidad religiosa</w:t>
      </w:r>
      <w:r w:rsidR="00B96001">
        <w:rPr>
          <w:rFonts w:ascii="Artifex CF" w:hAnsi="Artifex CF"/>
        </w:rPr>
        <w:t>;</w:t>
      </w:r>
      <w:r w:rsidR="008F6F85">
        <w:rPr>
          <w:rFonts w:ascii="Artifex CF" w:hAnsi="Artifex CF"/>
        </w:rPr>
        <w:t xml:space="preserve"> desde el catolicismo</w:t>
      </w:r>
      <w:r w:rsidR="00B96001">
        <w:rPr>
          <w:rFonts w:ascii="Artifex CF" w:hAnsi="Artifex CF"/>
        </w:rPr>
        <w:t>,</w:t>
      </w:r>
      <w:r w:rsidR="008F6F85">
        <w:rPr>
          <w:rFonts w:ascii="Artifex CF" w:hAnsi="Artifex CF"/>
        </w:rPr>
        <w:t xml:space="preserve"> introducido por los </w:t>
      </w:r>
      <w:r w:rsidR="002832B6">
        <w:rPr>
          <w:rFonts w:ascii="Artifex CF" w:hAnsi="Artifex CF"/>
        </w:rPr>
        <w:t>españoles, hasta</w:t>
      </w:r>
      <w:r w:rsidR="00B96001">
        <w:rPr>
          <w:rFonts w:ascii="Artifex CF" w:hAnsi="Artifex CF"/>
        </w:rPr>
        <w:t xml:space="preserve"> </w:t>
      </w:r>
      <w:r w:rsidR="008F6F85">
        <w:rPr>
          <w:rFonts w:ascii="Artifex CF" w:hAnsi="Artifex CF"/>
        </w:rPr>
        <w:t>la</w:t>
      </w:r>
      <w:r w:rsidR="00260D3C">
        <w:rPr>
          <w:rFonts w:ascii="Artifex CF" w:hAnsi="Artifex CF"/>
        </w:rPr>
        <w:t xml:space="preserve"> religiosidad popular</w:t>
      </w:r>
      <w:r w:rsidR="002832B6">
        <w:rPr>
          <w:rFonts w:ascii="Artifex CF" w:hAnsi="Artifex CF"/>
        </w:rPr>
        <w:t>,</w:t>
      </w:r>
      <w:r w:rsidR="00260D3C">
        <w:rPr>
          <w:rFonts w:ascii="Artifex CF" w:hAnsi="Artifex CF"/>
        </w:rPr>
        <w:t xml:space="preserve"> introducida por los africanos</w:t>
      </w:r>
      <w:r w:rsidR="002832B6">
        <w:rPr>
          <w:rFonts w:ascii="Artifex CF" w:hAnsi="Artifex CF"/>
        </w:rPr>
        <w:t xml:space="preserve"> y religiones orientales como el budismo o bahai’smo. </w:t>
      </w:r>
      <w:r w:rsidR="00260D3C">
        <w:rPr>
          <w:rFonts w:ascii="Artifex CF" w:hAnsi="Artifex CF"/>
        </w:rPr>
        <w:t xml:space="preserve"> </w:t>
      </w:r>
      <w:r w:rsidR="0040570B">
        <w:rPr>
          <w:rFonts w:ascii="Artifex CF" w:hAnsi="Artifex CF"/>
        </w:rPr>
        <w:t>República</w:t>
      </w:r>
      <w:r w:rsidR="005337CF">
        <w:rPr>
          <w:rFonts w:ascii="Artifex CF" w:hAnsi="Artifex CF"/>
        </w:rPr>
        <w:t xml:space="preserve"> Dominicana no es un Estado laico</w:t>
      </w:r>
      <w:r w:rsidR="0004790A">
        <w:rPr>
          <w:rFonts w:ascii="Artifex CF" w:hAnsi="Artifex CF"/>
        </w:rPr>
        <w:t xml:space="preserve"> o aconfesional, </w:t>
      </w:r>
      <w:r w:rsidR="005C721D">
        <w:rPr>
          <w:rFonts w:ascii="Artifex CF" w:hAnsi="Artifex CF"/>
        </w:rPr>
        <w:t>así queda demostrado con e</w:t>
      </w:r>
      <w:r w:rsidR="005C721D" w:rsidRPr="005C721D">
        <w:rPr>
          <w:rFonts w:ascii="Artifex CF" w:hAnsi="Artifex CF"/>
        </w:rPr>
        <w:t>l Concordato suscrito entre la Santa Sede y la República</w:t>
      </w:r>
      <w:r w:rsidR="005C721D">
        <w:rPr>
          <w:rFonts w:ascii="Artifex CF" w:hAnsi="Artifex CF"/>
        </w:rPr>
        <w:t xml:space="preserve"> </w:t>
      </w:r>
      <w:r w:rsidR="005C721D" w:rsidRPr="005C721D">
        <w:rPr>
          <w:rFonts w:ascii="Artifex CF" w:hAnsi="Artifex CF"/>
        </w:rPr>
        <w:t>Dominicana el 16 de junio de 1954, así como en la Resolución núm. 3874</w:t>
      </w:r>
      <w:r w:rsidR="005C721D">
        <w:rPr>
          <w:rFonts w:ascii="Artifex CF" w:hAnsi="Artifex CF"/>
        </w:rPr>
        <w:t xml:space="preserve"> </w:t>
      </w:r>
      <w:r w:rsidR="005C721D" w:rsidRPr="005C721D">
        <w:rPr>
          <w:rFonts w:ascii="Artifex CF" w:hAnsi="Artifex CF"/>
        </w:rPr>
        <w:t>del Congreso Nacional de fecha 21 de julio 1954 que aprueba el referido</w:t>
      </w:r>
      <w:r w:rsidR="005C721D">
        <w:rPr>
          <w:rFonts w:ascii="Artifex CF" w:hAnsi="Artifex CF"/>
        </w:rPr>
        <w:t xml:space="preserve"> </w:t>
      </w:r>
      <w:r w:rsidR="005C721D" w:rsidRPr="005C721D">
        <w:rPr>
          <w:rFonts w:ascii="Artifex CF" w:hAnsi="Artifex CF"/>
        </w:rPr>
        <w:t>documento y su protocolo final.</w:t>
      </w:r>
      <w:r w:rsidR="005C721D">
        <w:rPr>
          <w:rFonts w:ascii="Artifex CF" w:hAnsi="Artifex CF"/>
        </w:rPr>
        <w:t xml:space="preserve"> A través de estos documentos, se establece que la </w:t>
      </w:r>
      <w:r w:rsidR="0040570B">
        <w:rPr>
          <w:rFonts w:ascii="Artifex CF" w:hAnsi="Artifex CF"/>
        </w:rPr>
        <w:t>R</w:t>
      </w:r>
      <w:r w:rsidR="005C721D">
        <w:rPr>
          <w:rFonts w:ascii="Artifex CF" w:hAnsi="Artifex CF"/>
        </w:rPr>
        <w:t xml:space="preserve">eligión </w:t>
      </w:r>
      <w:r w:rsidR="0040570B">
        <w:rPr>
          <w:rFonts w:ascii="Artifex CF" w:hAnsi="Artifex CF"/>
        </w:rPr>
        <w:t>C</w:t>
      </w:r>
      <w:r w:rsidR="005C721D">
        <w:rPr>
          <w:rFonts w:ascii="Artifex CF" w:hAnsi="Artifex CF"/>
        </w:rPr>
        <w:t xml:space="preserve">atólica, </w:t>
      </w:r>
      <w:r w:rsidR="0040570B">
        <w:rPr>
          <w:rFonts w:ascii="Artifex CF" w:hAnsi="Artifex CF"/>
        </w:rPr>
        <w:t>A</w:t>
      </w:r>
      <w:r w:rsidR="005C721D">
        <w:rPr>
          <w:rFonts w:ascii="Artifex CF" w:hAnsi="Artifex CF"/>
        </w:rPr>
        <w:t xml:space="preserve">postólica y </w:t>
      </w:r>
      <w:r w:rsidR="0040570B">
        <w:rPr>
          <w:rFonts w:ascii="Artifex CF" w:hAnsi="Artifex CF"/>
        </w:rPr>
        <w:t>R</w:t>
      </w:r>
      <w:r w:rsidR="005C721D">
        <w:rPr>
          <w:rFonts w:ascii="Artifex CF" w:hAnsi="Artifex CF"/>
        </w:rPr>
        <w:t xml:space="preserve">omana </w:t>
      </w:r>
      <w:r w:rsidR="0040570B">
        <w:rPr>
          <w:rFonts w:ascii="Artifex CF" w:hAnsi="Artifex CF"/>
        </w:rPr>
        <w:t xml:space="preserve">es la religión oficial. </w:t>
      </w:r>
    </w:p>
    <w:p w14:paraId="5FA04BD3" w14:textId="73D66AE8" w:rsidR="005347BA" w:rsidRDefault="0040570B" w:rsidP="0040570B">
      <w:pPr>
        <w:jc w:val="both"/>
        <w:rPr>
          <w:rFonts w:ascii="Artifex CF" w:hAnsi="Artifex CF"/>
        </w:rPr>
      </w:pPr>
      <w:r>
        <w:rPr>
          <w:rFonts w:ascii="Artifex CF" w:hAnsi="Artifex CF"/>
        </w:rPr>
        <w:t xml:space="preserve">No obstante, </w:t>
      </w:r>
      <w:r w:rsidR="004C0161">
        <w:rPr>
          <w:rFonts w:ascii="Artifex CF" w:hAnsi="Artifex CF"/>
        </w:rPr>
        <w:t xml:space="preserve">la existencia de un tratado entre la Santa Sede y la </w:t>
      </w:r>
      <w:r w:rsidR="002E4DC6">
        <w:rPr>
          <w:rFonts w:ascii="Artifex CF" w:hAnsi="Artifex CF"/>
        </w:rPr>
        <w:t>República</w:t>
      </w:r>
      <w:r w:rsidR="004C0161">
        <w:rPr>
          <w:rFonts w:ascii="Artifex CF" w:hAnsi="Artifex CF"/>
        </w:rPr>
        <w:t xml:space="preserve"> Dominicana no limita</w:t>
      </w:r>
      <w:r w:rsidR="00380A9C">
        <w:rPr>
          <w:rFonts w:ascii="Artifex CF" w:hAnsi="Artifex CF"/>
        </w:rPr>
        <w:t xml:space="preserve">, por coacción, </w:t>
      </w:r>
      <w:r w:rsidR="004C0161">
        <w:rPr>
          <w:rFonts w:ascii="Artifex CF" w:hAnsi="Artifex CF"/>
        </w:rPr>
        <w:t xml:space="preserve">a </w:t>
      </w:r>
      <w:r w:rsidR="00380A9C">
        <w:rPr>
          <w:rFonts w:ascii="Artifex CF" w:hAnsi="Artifex CF"/>
        </w:rPr>
        <w:t>ninguna</w:t>
      </w:r>
      <w:r w:rsidR="004C0161">
        <w:rPr>
          <w:rFonts w:ascii="Artifex CF" w:hAnsi="Artifex CF"/>
        </w:rPr>
        <w:t xml:space="preserve"> </w:t>
      </w:r>
      <w:r w:rsidR="00380A9C">
        <w:rPr>
          <w:rFonts w:ascii="Artifex CF" w:hAnsi="Artifex CF"/>
        </w:rPr>
        <w:t>persona</w:t>
      </w:r>
      <w:r w:rsidR="0067045B">
        <w:rPr>
          <w:rFonts w:ascii="Artifex CF" w:hAnsi="Artifex CF"/>
        </w:rPr>
        <w:t xml:space="preserve"> a tener la libertad de profesar otro tipo de religión</w:t>
      </w:r>
      <w:r w:rsidR="00380A9C">
        <w:rPr>
          <w:rFonts w:ascii="Artifex CF" w:hAnsi="Artifex CF"/>
        </w:rPr>
        <w:t xml:space="preserve">.  Así queda bien establecido en </w:t>
      </w:r>
      <w:r>
        <w:rPr>
          <w:rFonts w:ascii="Artifex CF" w:hAnsi="Artifex CF"/>
        </w:rPr>
        <w:t xml:space="preserve">el </w:t>
      </w:r>
      <w:r w:rsidR="00380A9C">
        <w:rPr>
          <w:rFonts w:ascii="Artifex CF" w:hAnsi="Artifex CF"/>
        </w:rPr>
        <w:t>artículo</w:t>
      </w:r>
      <w:r>
        <w:rPr>
          <w:rFonts w:ascii="Artifex CF" w:hAnsi="Artifex CF"/>
        </w:rPr>
        <w:t xml:space="preserve"> 45</w:t>
      </w:r>
      <w:r w:rsidR="00380A9C">
        <w:rPr>
          <w:rFonts w:ascii="Artifex CF" w:hAnsi="Artifex CF"/>
        </w:rPr>
        <w:t xml:space="preserve"> de la Constitución, el cual</w:t>
      </w:r>
      <w:r>
        <w:rPr>
          <w:rFonts w:ascii="Artifex CF" w:hAnsi="Artifex CF"/>
        </w:rPr>
        <w:t xml:space="preserve"> aborda la</w:t>
      </w:r>
      <w:r w:rsidRPr="00EA3EFE">
        <w:rPr>
          <w:rFonts w:ascii="Artifex CF" w:hAnsi="Artifex CF"/>
        </w:rPr>
        <w:t xml:space="preserve"> Libertad de conciencia y de cultos</w:t>
      </w:r>
      <w:r>
        <w:rPr>
          <w:rFonts w:ascii="Artifex CF" w:hAnsi="Artifex CF"/>
        </w:rPr>
        <w:t>: “</w:t>
      </w:r>
      <w:r w:rsidRPr="00EA3EFE">
        <w:rPr>
          <w:rFonts w:ascii="Artifex CF" w:hAnsi="Artifex CF"/>
        </w:rPr>
        <w:t>El Estado garantiza la</w:t>
      </w:r>
      <w:r>
        <w:rPr>
          <w:rFonts w:ascii="Artifex CF" w:hAnsi="Artifex CF"/>
        </w:rPr>
        <w:t xml:space="preserve"> </w:t>
      </w:r>
      <w:r w:rsidRPr="00EA3EFE">
        <w:rPr>
          <w:rFonts w:ascii="Artifex CF" w:hAnsi="Artifex CF"/>
        </w:rPr>
        <w:t>libertad de conciencia y de cultos, con sujeción al orden público y respeto</w:t>
      </w:r>
      <w:r>
        <w:rPr>
          <w:rFonts w:ascii="Artifex CF" w:hAnsi="Artifex CF"/>
        </w:rPr>
        <w:t xml:space="preserve"> </w:t>
      </w:r>
      <w:r w:rsidRPr="00EA3EFE">
        <w:rPr>
          <w:rFonts w:ascii="Artifex CF" w:hAnsi="Artifex CF"/>
        </w:rPr>
        <w:t>a las buenas costumbres</w:t>
      </w:r>
      <w:r>
        <w:rPr>
          <w:rFonts w:ascii="Artifex CF" w:hAnsi="Artifex CF"/>
        </w:rPr>
        <w:t xml:space="preserve">”. </w:t>
      </w:r>
    </w:p>
    <w:p w14:paraId="4C95216B" w14:textId="33FB99EC" w:rsidR="0040570B" w:rsidRDefault="0040570B" w:rsidP="0040570B">
      <w:pPr>
        <w:jc w:val="both"/>
        <w:rPr>
          <w:rFonts w:ascii="Artifex CF" w:hAnsi="Artifex CF"/>
        </w:rPr>
      </w:pPr>
      <w:r>
        <w:rPr>
          <w:rFonts w:ascii="Artifex CF" w:hAnsi="Artifex CF"/>
        </w:rPr>
        <w:t>La libertad de culto es uno de los pilares de la democracia dominicana. Este derecho no se prohíbe, salvo lo dispuesto por el mismo artículo</w:t>
      </w:r>
      <w:r w:rsidRPr="00E12E2C">
        <w:rPr>
          <w:rFonts w:ascii="Artifex CF" w:hAnsi="Artifex CF"/>
          <w:i/>
          <w:iCs/>
        </w:rPr>
        <w:t>: “con sujeción al orden público y respeto a las buenas costumbres”</w:t>
      </w:r>
      <w:r>
        <w:rPr>
          <w:rFonts w:ascii="Artifex CF" w:hAnsi="Artifex CF"/>
        </w:rPr>
        <w:t xml:space="preserve">. </w:t>
      </w:r>
      <w:r w:rsidR="00EE5F27">
        <w:rPr>
          <w:rFonts w:ascii="Artifex CF" w:hAnsi="Artifex CF"/>
        </w:rPr>
        <w:t xml:space="preserve"> </w:t>
      </w:r>
      <w:r w:rsidR="00CE4B95">
        <w:rPr>
          <w:rFonts w:ascii="Artifex CF" w:hAnsi="Artifex CF"/>
        </w:rPr>
        <w:t xml:space="preserve">El establecer un derecho a la libertad de culto busca, en un sentido amplio, </w:t>
      </w:r>
      <w:r w:rsidR="00A50B35">
        <w:rPr>
          <w:rFonts w:ascii="Artifex CF" w:hAnsi="Artifex CF"/>
        </w:rPr>
        <w:t xml:space="preserve">proteger la libre decisión de cada ciudadano a practicar </w:t>
      </w:r>
      <w:r w:rsidR="00E7044D">
        <w:rPr>
          <w:rFonts w:ascii="Artifex CF" w:hAnsi="Artifex CF"/>
        </w:rPr>
        <w:t xml:space="preserve">la religión que vaya de acorde a sus valores y principios, garantizando que no haya ningún tipo de injerencia en la vida personal del individuo. </w:t>
      </w:r>
      <w:r w:rsidR="00CE4B95">
        <w:rPr>
          <w:rFonts w:ascii="Artifex CF" w:hAnsi="Artifex CF"/>
        </w:rPr>
        <w:t xml:space="preserve"> </w:t>
      </w:r>
      <w:r>
        <w:rPr>
          <w:rFonts w:ascii="Artifex CF" w:hAnsi="Artifex CF"/>
        </w:rPr>
        <w:t>Por lo tanto, el Estado no trata de regular el tipo de religión que puedan llevar sus ciudadanos, sino como lo hacen, asegurándose que en el ejercicio de la f</w:t>
      </w:r>
      <w:r>
        <w:rPr>
          <w:rFonts w:ascii="Artifex CF" w:eastAsia="Segoe UI Symbol" w:hAnsi="Artifex CF"/>
        </w:rPr>
        <w:t>é</w:t>
      </w:r>
      <w:r>
        <w:rPr>
          <w:rFonts w:ascii="Artifex CF" w:hAnsi="Artifex CF"/>
        </w:rPr>
        <w:t xml:space="preserve"> no se violenten las leyes ni se altere el orden público establecido</w:t>
      </w:r>
      <w:r w:rsidR="00615243">
        <w:rPr>
          <w:rFonts w:ascii="Artifex CF" w:hAnsi="Artifex CF"/>
        </w:rPr>
        <w:t xml:space="preserve">, siendo así el Estado Dominicano confesional tolerante. </w:t>
      </w:r>
      <w:r>
        <w:rPr>
          <w:rFonts w:ascii="Artifex CF" w:hAnsi="Artifex CF"/>
        </w:rPr>
        <w:t xml:space="preserve"> </w:t>
      </w:r>
      <w:r w:rsidR="00D07C1D">
        <w:rPr>
          <w:rStyle w:val="Refdenotaalpie"/>
          <w:rFonts w:ascii="Artifex CF" w:hAnsi="Artifex CF"/>
        </w:rPr>
        <w:footnoteReference w:id="2"/>
      </w:r>
    </w:p>
    <w:p w14:paraId="08A6F22A" w14:textId="22A50C81" w:rsidR="009D1D36" w:rsidRDefault="008306C1" w:rsidP="00955BB0">
      <w:pPr>
        <w:jc w:val="both"/>
        <w:rPr>
          <w:rFonts w:ascii="Artifex CF" w:hAnsi="Artifex CF"/>
        </w:rPr>
      </w:pPr>
      <w:r>
        <w:rPr>
          <w:rFonts w:ascii="Artifex CF" w:hAnsi="Artifex CF"/>
        </w:rPr>
        <w:t>En lo que concierne al idioma, s</w:t>
      </w:r>
      <w:r w:rsidR="007C330A">
        <w:rPr>
          <w:rFonts w:ascii="Artifex CF" w:hAnsi="Artifex CF"/>
        </w:rPr>
        <w:t>egún el</w:t>
      </w:r>
      <w:r w:rsidR="007C330A" w:rsidRPr="007C330A">
        <w:rPr>
          <w:rFonts w:ascii="Artifex CF" w:hAnsi="Artifex CF"/>
        </w:rPr>
        <w:t xml:space="preserve"> </w:t>
      </w:r>
      <w:r w:rsidR="007C330A">
        <w:rPr>
          <w:rFonts w:ascii="Artifex CF" w:hAnsi="Artifex CF"/>
        </w:rPr>
        <w:t>a</w:t>
      </w:r>
      <w:r w:rsidR="007C330A" w:rsidRPr="007C330A">
        <w:rPr>
          <w:rFonts w:ascii="Artifex CF" w:hAnsi="Artifex CF"/>
        </w:rPr>
        <w:t>rtículo 29</w:t>
      </w:r>
      <w:r w:rsidR="007C330A">
        <w:rPr>
          <w:rFonts w:ascii="Artifex CF" w:hAnsi="Artifex CF"/>
        </w:rPr>
        <w:t xml:space="preserve"> de la Constitución, el</w:t>
      </w:r>
      <w:r w:rsidR="007C330A" w:rsidRPr="007C330A">
        <w:rPr>
          <w:rFonts w:ascii="Artifex CF" w:hAnsi="Artifex CF"/>
        </w:rPr>
        <w:t xml:space="preserve"> </w:t>
      </w:r>
      <w:r w:rsidR="007C330A">
        <w:rPr>
          <w:rFonts w:ascii="Artifex CF" w:hAnsi="Artifex CF"/>
        </w:rPr>
        <w:t>i</w:t>
      </w:r>
      <w:r w:rsidR="007C330A" w:rsidRPr="007C330A">
        <w:rPr>
          <w:rFonts w:ascii="Artifex CF" w:hAnsi="Artifex CF"/>
        </w:rPr>
        <w:t>dioma oficial</w:t>
      </w:r>
      <w:r w:rsidR="007C330A">
        <w:rPr>
          <w:rFonts w:ascii="Artifex CF" w:hAnsi="Artifex CF"/>
        </w:rPr>
        <w:t xml:space="preserve"> </w:t>
      </w:r>
      <w:r w:rsidR="007C330A" w:rsidRPr="007C330A">
        <w:rPr>
          <w:rFonts w:ascii="Artifex CF" w:hAnsi="Artifex CF"/>
        </w:rPr>
        <w:t>de la República Dominicana es el español</w:t>
      </w:r>
      <w:r w:rsidR="00106838">
        <w:rPr>
          <w:rFonts w:ascii="Artifex CF" w:hAnsi="Artifex CF"/>
        </w:rPr>
        <w:t>. La razón para establecer el i</w:t>
      </w:r>
      <w:r w:rsidR="007C330A">
        <w:rPr>
          <w:rFonts w:ascii="Artifex CF" w:hAnsi="Artifex CF"/>
        </w:rPr>
        <w:t>dioma</w:t>
      </w:r>
      <w:r w:rsidR="00106838">
        <w:rPr>
          <w:rFonts w:ascii="Artifex CF" w:hAnsi="Artifex CF"/>
        </w:rPr>
        <w:t xml:space="preserve"> español como idioma oficial va de la mano con el concepto de </w:t>
      </w:r>
      <w:r w:rsidR="00106838" w:rsidRPr="005B1333">
        <w:rPr>
          <w:rFonts w:ascii="Artifex CF" w:hAnsi="Artifex CF"/>
        </w:rPr>
        <w:t xml:space="preserve">nación: </w:t>
      </w:r>
      <w:r w:rsidR="002E4DC6">
        <w:rPr>
          <w:rFonts w:ascii="Artifex CF" w:hAnsi="Artifex CF"/>
        </w:rPr>
        <w:t>República</w:t>
      </w:r>
      <w:r w:rsidR="00E65A02" w:rsidRPr="005B1333">
        <w:rPr>
          <w:rFonts w:ascii="Artifex CF" w:hAnsi="Artifex CF"/>
        </w:rPr>
        <w:t xml:space="preserve"> Dominicana, al conformarse como una </w:t>
      </w:r>
      <w:r w:rsidR="004D3339" w:rsidRPr="005B1333">
        <w:rPr>
          <w:rFonts w:ascii="Artifex CF" w:hAnsi="Artifex CF"/>
        </w:rPr>
        <w:t>nación, posee una homogeneidad en su</w:t>
      </w:r>
      <w:r w:rsidR="00106838" w:rsidRPr="005B1333">
        <w:rPr>
          <w:rFonts w:ascii="Artifex CF" w:hAnsi="Artifex CF"/>
        </w:rPr>
        <w:t xml:space="preserve"> cultura, religión e idioma.</w:t>
      </w:r>
      <w:r w:rsidR="00CB7938" w:rsidRPr="005B1333">
        <w:rPr>
          <w:rFonts w:ascii="Artifex CF" w:hAnsi="Artifex CF"/>
        </w:rPr>
        <w:t xml:space="preserve"> Adicionalmente, </w:t>
      </w:r>
      <w:r w:rsidR="0087576D" w:rsidRPr="005B1333">
        <w:rPr>
          <w:rFonts w:ascii="Artifex CF" w:hAnsi="Artifex CF"/>
        </w:rPr>
        <w:t xml:space="preserve">no se habla español por estar establecido como idioma oficial, se habla español porque así lo ha sido histórica y culturalmente, a través de ese idioma </w:t>
      </w:r>
      <w:r w:rsidR="002E4DC6">
        <w:rPr>
          <w:rFonts w:ascii="Artifex CF" w:hAnsi="Artifex CF"/>
        </w:rPr>
        <w:t>República</w:t>
      </w:r>
      <w:r w:rsidR="0087576D" w:rsidRPr="005B1333">
        <w:rPr>
          <w:rFonts w:ascii="Artifex CF" w:hAnsi="Artifex CF"/>
        </w:rPr>
        <w:t xml:space="preserve"> Dominicana se ha formado con una unidad nacional. </w:t>
      </w:r>
      <w:r w:rsidR="009D7D5C" w:rsidRPr="005B1333">
        <w:rPr>
          <w:rFonts w:ascii="Artifex CF" w:hAnsi="Artifex CF"/>
        </w:rPr>
        <w:t xml:space="preserve"> </w:t>
      </w:r>
    </w:p>
    <w:p w14:paraId="77B4A148" w14:textId="3CD669D5" w:rsidR="00D50B03" w:rsidRDefault="009D7D5C" w:rsidP="00955BB0">
      <w:pPr>
        <w:jc w:val="both"/>
        <w:rPr>
          <w:rFonts w:ascii="Artifex CF" w:hAnsi="Artifex CF"/>
        </w:rPr>
      </w:pPr>
      <w:r w:rsidRPr="005B1333">
        <w:rPr>
          <w:rFonts w:ascii="Artifex CF" w:hAnsi="Artifex CF"/>
        </w:rPr>
        <w:t>Por tanto, e</w:t>
      </w:r>
      <w:r w:rsidR="00D17FB3" w:rsidRPr="005B1333">
        <w:rPr>
          <w:rFonts w:ascii="Artifex CF" w:hAnsi="Artifex CF"/>
        </w:rPr>
        <w:t>n el territorio nacional n</w:t>
      </w:r>
      <w:r w:rsidR="00D50B03" w:rsidRPr="005B1333">
        <w:rPr>
          <w:rFonts w:ascii="Artifex CF" w:hAnsi="Artifex CF"/>
        </w:rPr>
        <w:t xml:space="preserve">o existen otros idiomas, dialectos o lenguas minoritarias que pudiesen imponerse </w:t>
      </w:r>
      <w:r w:rsidR="00D17FB3" w:rsidRPr="005B1333">
        <w:rPr>
          <w:rFonts w:ascii="Artifex CF" w:hAnsi="Artifex CF"/>
        </w:rPr>
        <w:t xml:space="preserve">para crear </w:t>
      </w:r>
      <w:r w:rsidR="00D50B03" w:rsidRPr="005B1333">
        <w:rPr>
          <w:rFonts w:ascii="Artifex CF" w:hAnsi="Artifex CF"/>
        </w:rPr>
        <w:t xml:space="preserve">la necesidad de establecer otro idioma oficial. </w:t>
      </w:r>
      <w:r w:rsidR="00955BB0" w:rsidRPr="005B1333">
        <w:rPr>
          <w:rFonts w:ascii="Artifex CF" w:hAnsi="Artifex CF"/>
        </w:rPr>
        <w:t xml:space="preserve">Reconocer un idioma como lengua oficial no obliga a sus ciudadanos a </w:t>
      </w:r>
      <w:r w:rsidR="00955BB0" w:rsidRPr="005B1333">
        <w:rPr>
          <w:rFonts w:ascii="Artifex CF" w:hAnsi="Artifex CF"/>
        </w:rPr>
        <w:lastRenderedPageBreak/>
        <w:t>aprenderlo. No existe un catálogo de sanciones por no hablarlo, tampoco se discrimina a aquellas personas que no lo sepan</w:t>
      </w:r>
      <w:r w:rsidR="003063FC" w:rsidRPr="005B1333">
        <w:rPr>
          <w:rFonts w:ascii="Artifex CF" w:hAnsi="Artifex CF"/>
        </w:rPr>
        <w:t>.</w:t>
      </w:r>
      <w:r w:rsidR="00955BB0" w:rsidRPr="005B1333">
        <w:rPr>
          <w:rFonts w:ascii="Artifex CF" w:hAnsi="Artifex CF"/>
        </w:rPr>
        <w:t xml:space="preserve"> </w:t>
      </w:r>
      <w:r w:rsidR="00955BB0" w:rsidRPr="005B1333">
        <w:rPr>
          <w:rStyle w:val="Refdenotaalpie"/>
          <w:rFonts w:ascii="Artifex CF" w:hAnsi="Artifex CF"/>
        </w:rPr>
        <w:footnoteReference w:id="3"/>
      </w:r>
      <w:r w:rsidR="003063FC">
        <w:rPr>
          <w:rFonts w:ascii="Artifex CF" w:hAnsi="Artifex CF"/>
        </w:rPr>
        <w:t xml:space="preserve"> </w:t>
      </w:r>
    </w:p>
    <w:p w14:paraId="3AE0DF86" w14:textId="68516B85" w:rsidR="003063FC" w:rsidRDefault="004B3DCA" w:rsidP="004B3DCA">
      <w:pPr>
        <w:jc w:val="both"/>
        <w:rPr>
          <w:rFonts w:ascii="Artifex CF" w:hAnsi="Artifex CF"/>
        </w:rPr>
      </w:pPr>
      <w:r w:rsidRPr="004B3DCA">
        <w:rPr>
          <w:rFonts w:ascii="Artifex CF" w:hAnsi="Artifex CF"/>
        </w:rPr>
        <w:t>En virtud de la Ley núm. 5136, de fecha 18 de julio de 1912, toda</w:t>
      </w:r>
      <w:r>
        <w:rPr>
          <w:rFonts w:ascii="Artifex CF" w:hAnsi="Artifex CF"/>
        </w:rPr>
        <w:t xml:space="preserve"> </w:t>
      </w:r>
      <w:r w:rsidRPr="004B3DCA">
        <w:rPr>
          <w:rFonts w:ascii="Artifex CF" w:hAnsi="Artifex CF"/>
        </w:rPr>
        <w:t>solicitud, exposición o reclamo ante cualquiera de los poderes del Estado</w:t>
      </w:r>
      <w:r w:rsidR="006612D1">
        <w:rPr>
          <w:rFonts w:ascii="Artifex CF" w:hAnsi="Artifex CF"/>
        </w:rPr>
        <w:t xml:space="preserve"> </w:t>
      </w:r>
      <w:r w:rsidRPr="004B3DCA">
        <w:rPr>
          <w:rFonts w:ascii="Artifex CF" w:hAnsi="Artifex CF"/>
        </w:rPr>
        <w:t>o sus dependencias será expuesto por escrito u oralmente, según proceda,</w:t>
      </w:r>
      <w:r w:rsidR="006612D1">
        <w:rPr>
          <w:rFonts w:ascii="Artifex CF" w:hAnsi="Artifex CF"/>
        </w:rPr>
        <w:t xml:space="preserve"> </w:t>
      </w:r>
      <w:r w:rsidRPr="004B3DCA">
        <w:rPr>
          <w:rFonts w:ascii="Artifex CF" w:hAnsi="Artifex CF"/>
        </w:rPr>
        <w:t>en idioma castellano, pena de no ser tomada en consideración. En los</w:t>
      </w:r>
      <w:r w:rsidR="006612D1">
        <w:rPr>
          <w:rFonts w:ascii="Artifex CF" w:hAnsi="Artifex CF"/>
        </w:rPr>
        <w:t xml:space="preserve"> </w:t>
      </w:r>
      <w:r w:rsidRPr="004B3DCA">
        <w:rPr>
          <w:rFonts w:ascii="Artifex CF" w:hAnsi="Artifex CF"/>
        </w:rPr>
        <w:t>casos en que tenga que oírse por funcionarios públicos alguna persona que</w:t>
      </w:r>
      <w:r w:rsidR="006612D1">
        <w:rPr>
          <w:rFonts w:ascii="Artifex CF" w:hAnsi="Artifex CF"/>
        </w:rPr>
        <w:t xml:space="preserve"> </w:t>
      </w:r>
      <w:r w:rsidRPr="004B3DCA">
        <w:rPr>
          <w:rFonts w:ascii="Artifex CF" w:hAnsi="Artifex CF"/>
        </w:rPr>
        <w:t>no hable castellano, se le hará asistir del correspondiente intérprete oficial.</w:t>
      </w:r>
      <w:r w:rsidR="006612D1">
        <w:rPr>
          <w:rFonts w:ascii="Artifex CF" w:hAnsi="Artifex CF"/>
        </w:rPr>
        <w:t xml:space="preserve"> </w:t>
      </w:r>
      <w:r w:rsidRPr="004B3DCA">
        <w:rPr>
          <w:rFonts w:ascii="Artifex CF" w:hAnsi="Artifex CF"/>
        </w:rPr>
        <w:t>Asimismo, se harán traducir por los intérpretes correspondientes los documentos escritos en otras lenguas</w:t>
      </w:r>
      <w:r w:rsidR="006612D1">
        <w:rPr>
          <w:rFonts w:ascii="Artifex CF" w:hAnsi="Artifex CF"/>
        </w:rPr>
        <w:t xml:space="preserve"> </w:t>
      </w:r>
      <w:r w:rsidR="00277CC2">
        <w:rPr>
          <w:rStyle w:val="Refdenotaalpie"/>
          <w:rFonts w:ascii="Artifex CF" w:hAnsi="Artifex CF"/>
        </w:rPr>
        <w:footnoteReference w:id="4"/>
      </w:r>
    </w:p>
    <w:p w14:paraId="151D1F79" w14:textId="3A7B597D" w:rsidR="00E11B60" w:rsidRPr="00703203" w:rsidRDefault="00BD1143" w:rsidP="00E11B60">
      <w:pPr>
        <w:jc w:val="both"/>
        <w:rPr>
          <w:rFonts w:ascii="Artifex CF" w:hAnsi="Artifex CF"/>
        </w:rPr>
      </w:pPr>
      <w:r>
        <w:rPr>
          <w:rFonts w:ascii="Artifex CF" w:hAnsi="Artifex CF"/>
        </w:rPr>
        <w:t>P</w:t>
      </w:r>
      <w:r w:rsidR="00E11B60">
        <w:rPr>
          <w:rFonts w:ascii="Artifex CF" w:hAnsi="Artifex CF"/>
        </w:rPr>
        <w:t>or t</w:t>
      </w:r>
      <w:r w:rsidR="00B611F7">
        <w:rPr>
          <w:rFonts w:ascii="Artifex CF" w:hAnsi="Artifex CF"/>
        </w:rPr>
        <w:t>odo lo expuesto</w:t>
      </w:r>
      <w:r w:rsidR="00E11B60">
        <w:rPr>
          <w:rFonts w:ascii="Artifex CF" w:hAnsi="Artifex CF"/>
        </w:rPr>
        <w:t>,</w:t>
      </w:r>
      <w:r w:rsidR="00E11B60" w:rsidRPr="00E11B60">
        <w:rPr>
          <w:rFonts w:ascii="Artifex CF" w:hAnsi="Artifex CF"/>
        </w:rPr>
        <w:t xml:space="preserve"> </w:t>
      </w:r>
      <w:r w:rsidR="00E11B60" w:rsidRPr="00703203">
        <w:rPr>
          <w:rFonts w:ascii="Artifex CF" w:hAnsi="Artifex CF"/>
        </w:rPr>
        <w:t xml:space="preserve">en la actualidad no contamos con índices y registros estadísticos nacionales vinculados a la existencia, realización y visión de </w:t>
      </w:r>
      <w:r w:rsidR="00E11B60" w:rsidRPr="00D4752B">
        <w:rPr>
          <w:rFonts w:ascii="Artifex CF" w:hAnsi="Artifex CF"/>
        </w:rPr>
        <w:t xml:space="preserve">minorías raciales, étnicas, religiosas o lingüísticas como en otros países de Latinoamérica, existiendo </w:t>
      </w:r>
      <w:r w:rsidR="008A154E">
        <w:rPr>
          <w:rFonts w:ascii="Artifex CF" w:hAnsi="Artifex CF"/>
        </w:rPr>
        <w:t xml:space="preserve">solo </w:t>
      </w:r>
      <w:r w:rsidR="00E11B60" w:rsidRPr="00703203">
        <w:rPr>
          <w:rFonts w:ascii="Artifex CF" w:hAnsi="Artifex CF"/>
        </w:rPr>
        <w:t>expresiones de casos aislados</w:t>
      </w:r>
      <w:r w:rsidR="00E11B60">
        <w:rPr>
          <w:rFonts w:ascii="Artifex CF" w:hAnsi="Artifex CF"/>
        </w:rPr>
        <w:t>.</w:t>
      </w:r>
      <w:r w:rsidR="00750903">
        <w:rPr>
          <w:rFonts w:ascii="Artifex CF" w:hAnsi="Artifex CF"/>
        </w:rPr>
        <w:t xml:space="preserve"> </w:t>
      </w:r>
      <w:r w:rsidR="00750903">
        <w:rPr>
          <w:rStyle w:val="Refdenotaalpie"/>
          <w:rFonts w:ascii="Artifex CF" w:hAnsi="Artifex CF"/>
        </w:rPr>
        <w:footnoteReference w:id="5"/>
      </w:r>
    </w:p>
    <w:p w14:paraId="2A7024DC" w14:textId="77777777" w:rsidR="00766B22" w:rsidRPr="008A154E" w:rsidRDefault="00766B22" w:rsidP="008A154E">
      <w:pPr>
        <w:jc w:val="both"/>
        <w:rPr>
          <w:rFonts w:ascii="Artifex CF" w:hAnsi="Artifex CF" w:cs="Times New Roman"/>
          <w:b/>
          <w:bCs/>
        </w:rPr>
      </w:pPr>
    </w:p>
    <w:p w14:paraId="7DECD57C" w14:textId="1C653C41" w:rsidR="009526C2" w:rsidRDefault="009526C2" w:rsidP="009526C2">
      <w:pPr>
        <w:pStyle w:val="Prrafodelista"/>
        <w:numPr>
          <w:ilvl w:val="0"/>
          <w:numId w:val="2"/>
        </w:numPr>
        <w:jc w:val="both"/>
        <w:rPr>
          <w:rFonts w:ascii="Artifex CF" w:hAnsi="Artifex CF" w:cs="Times New Roman"/>
          <w:b/>
          <w:bCs/>
        </w:rPr>
      </w:pPr>
      <w:r w:rsidRPr="00EE054D">
        <w:rPr>
          <w:rFonts w:ascii="Artifex CF" w:hAnsi="Artifex CF" w:cs="Times New Roman"/>
          <w:b/>
          <w:bCs/>
        </w:rPr>
        <w:t xml:space="preserve">¿Existen disposiciones </w:t>
      </w:r>
      <w:r w:rsidR="006734D6" w:rsidRPr="00EE054D">
        <w:rPr>
          <w:rFonts w:ascii="Artifex CF" w:hAnsi="Artifex CF" w:cs="Times New Roman"/>
          <w:b/>
          <w:bCs/>
        </w:rPr>
        <w:t>institucionales</w:t>
      </w:r>
      <w:r w:rsidRPr="00EE054D">
        <w:rPr>
          <w:rFonts w:ascii="Artifex CF" w:hAnsi="Artifex CF" w:cs="Times New Roman"/>
          <w:b/>
          <w:bCs/>
        </w:rPr>
        <w:t xml:space="preserve"> que garanticen (o faciliten)</w:t>
      </w:r>
      <w:r w:rsidR="00E33A18" w:rsidRPr="00EE054D">
        <w:rPr>
          <w:rFonts w:ascii="Artifex CF" w:hAnsi="Artifex CF" w:cs="Times New Roman"/>
          <w:b/>
          <w:bCs/>
        </w:rPr>
        <w:t xml:space="preserve"> la representación política efectiva de las personas pertenecientes a minorías?</w:t>
      </w:r>
      <w:r w:rsidR="00F760E9" w:rsidRPr="00EE054D">
        <w:rPr>
          <w:rFonts w:ascii="Artifex CF" w:hAnsi="Artifex CF" w:cs="Times New Roman"/>
          <w:b/>
          <w:bCs/>
        </w:rPr>
        <w:t xml:space="preserve"> Por ejemplo, una segunda cámara en el Parlamento, la estructura federal del Estado, una “institución de minorías”</w:t>
      </w:r>
      <w:r w:rsidR="006734D6" w:rsidRPr="00EE054D">
        <w:rPr>
          <w:rFonts w:ascii="Artifex CF" w:hAnsi="Artifex CF" w:cs="Times New Roman"/>
          <w:b/>
          <w:bCs/>
        </w:rPr>
        <w:t xml:space="preserve"> especifica (como un Consejo de Minorías o un Defensor del Pueblo especifico) o mecanismos electorales (cuotas, listas separadas para las minorías)</w:t>
      </w:r>
    </w:p>
    <w:p w14:paraId="795D7E12" w14:textId="6EF33881" w:rsidR="00B10654" w:rsidRPr="00D64577" w:rsidRDefault="00CD5189" w:rsidP="008041AB">
      <w:pPr>
        <w:jc w:val="both"/>
        <w:rPr>
          <w:rFonts w:ascii="Artifex CF" w:hAnsi="Artifex CF" w:cs="Times New Roman"/>
        </w:rPr>
      </w:pPr>
      <w:r w:rsidRPr="00D64577">
        <w:rPr>
          <w:rFonts w:ascii="Artifex CF" w:hAnsi="Artifex CF" w:cs="Times New Roman"/>
        </w:rPr>
        <w:t>República</w:t>
      </w:r>
      <w:r w:rsidR="00B10654" w:rsidRPr="00D64577">
        <w:rPr>
          <w:rFonts w:ascii="Artifex CF" w:hAnsi="Artifex CF" w:cs="Times New Roman"/>
        </w:rPr>
        <w:t xml:space="preserve"> Dominicana no cuenta con</w:t>
      </w:r>
      <w:r w:rsidR="002C2A0F" w:rsidRPr="00D64577">
        <w:rPr>
          <w:rFonts w:ascii="Artifex CF" w:hAnsi="Artifex CF" w:cs="Times New Roman"/>
        </w:rPr>
        <w:t xml:space="preserve"> ninguna de las categorías </w:t>
      </w:r>
      <w:r w:rsidRPr="00D64577">
        <w:rPr>
          <w:rFonts w:ascii="Artifex CF" w:hAnsi="Artifex CF" w:cs="Times New Roman"/>
        </w:rPr>
        <w:t>de minorías</w:t>
      </w:r>
      <w:r w:rsidR="002C2A0F" w:rsidRPr="00D64577">
        <w:rPr>
          <w:rFonts w:ascii="Artifex CF" w:hAnsi="Artifex CF" w:cs="Times New Roman"/>
        </w:rPr>
        <w:t xml:space="preserve"> actualmente reconocidas por las Naciones Unidas:  étnicas o nacionales, religiosas o lingüísticas. </w:t>
      </w:r>
      <w:r w:rsidRPr="00D64577">
        <w:rPr>
          <w:rFonts w:ascii="Artifex CF" w:hAnsi="Artifex CF" w:cs="Times New Roman"/>
        </w:rPr>
        <w:t xml:space="preserve">No obstante, si se encuentran presentes poblaciones vulnerables, las </w:t>
      </w:r>
      <w:r w:rsidR="00C965E3" w:rsidRPr="00D64577">
        <w:rPr>
          <w:rFonts w:ascii="Artifex CF" w:hAnsi="Artifex CF" w:cs="Times New Roman"/>
        </w:rPr>
        <w:t>cuales</w:t>
      </w:r>
      <w:r w:rsidR="00C965E3" w:rsidRPr="00D4752B">
        <w:rPr>
          <w:rFonts w:ascii="Artifex CF" w:hAnsi="Artifex CF" w:cs="Times New Roman"/>
        </w:rPr>
        <w:t>,</w:t>
      </w:r>
      <w:r w:rsidRPr="00D4752B">
        <w:rPr>
          <w:rFonts w:ascii="Artifex CF" w:hAnsi="Artifex CF" w:cs="Times New Roman"/>
        </w:rPr>
        <w:t xml:space="preserve"> </w:t>
      </w:r>
      <w:r w:rsidR="00971F39" w:rsidRPr="00D4752B">
        <w:rPr>
          <w:rFonts w:ascii="Artifex CF" w:hAnsi="Artifex CF" w:cs="Times New Roman"/>
        </w:rPr>
        <w:t xml:space="preserve">bajo el principio de no discriminación, </w:t>
      </w:r>
      <w:r w:rsidR="00974ED8" w:rsidRPr="00D4752B">
        <w:rPr>
          <w:rFonts w:ascii="Artifex CF" w:hAnsi="Artifex CF" w:cs="Times New Roman"/>
        </w:rPr>
        <w:t>consagrado</w:t>
      </w:r>
      <w:r w:rsidR="00971F39" w:rsidRPr="00D4752B">
        <w:rPr>
          <w:rFonts w:ascii="Artifex CF" w:hAnsi="Artifex CF" w:cs="Times New Roman"/>
        </w:rPr>
        <w:t xml:space="preserve"> </w:t>
      </w:r>
      <w:r w:rsidR="00971F39" w:rsidRPr="00D64577">
        <w:rPr>
          <w:rFonts w:ascii="Artifex CF" w:hAnsi="Artifex CF" w:cs="Times New Roman"/>
        </w:rPr>
        <w:t xml:space="preserve">en nuestra carta magna pueden </w:t>
      </w:r>
      <w:r w:rsidR="00974ED8" w:rsidRPr="00D64577">
        <w:rPr>
          <w:rFonts w:ascii="Artifex CF" w:hAnsi="Artifex CF" w:cs="Times New Roman"/>
        </w:rPr>
        <w:t xml:space="preserve">convivir civil y políticamente </w:t>
      </w:r>
      <w:r w:rsidR="00D64577" w:rsidRPr="00D64577">
        <w:rPr>
          <w:rFonts w:ascii="Artifex CF" w:hAnsi="Artifex CF" w:cs="Times New Roman"/>
        </w:rPr>
        <w:t>de acuerdo con el</w:t>
      </w:r>
      <w:r w:rsidR="00974ED8" w:rsidRPr="00D64577">
        <w:rPr>
          <w:rFonts w:ascii="Artifex CF" w:hAnsi="Artifex CF" w:cs="Times New Roman"/>
        </w:rPr>
        <w:t xml:space="preserve"> orden público. </w:t>
      </w:r>
    </w:p>
    <w:p w14:paraId="0211DE39" w14:textId="2A3F772C" w:rsidR="001E3DA4" w:rsidRPr="00A0627D" w:rsidRDefault="00974ED8" w:rsidP="008041AB">
      <w:pPr>
        <w:jc w:val="both"/>
        <w:rPr>
          <w:rFonts w:ascii="Artifex CF" w:hAnsi="Artifex CF" w:cs="Times New Roman"/>
        </w:rPr>
      </w:pPr>
      <w:r w:rsidRPr="00A0627D">
        <w:rPr>
          <w:rFonts w:ascii="Artifex CF" w:hAnsi="Artifex CF" w:cs="Times New Roman"/>
        </w:rPr>
        <w:t>En consonancia con lo anteriormente expuesto, dejamos constancia de que e</w:t>
      </w:r>
      <w:r w:rsidR="006B1CF6" w:rsidRPr="00A0627D">
        <w:rPr>
          <w:rFonts w:ascii="Artifex CF" w:hAnsi="Artifex CF" w:cs="Times New Roman"/>
        </w:rPr>
        <w:t>xisten</w:t>
      </w:r>
      <w:r w:rsidR="00ED1E8A" w:rsidRPr="00A0627D">
        <w:rPr>
          <w:rFonts w:ascii="Artifex CF" w:hAnsi="Artifex CF" w:cs="Times New Roman"/>
        </w:rPr>
        <w:t xml:space="preserve"> distintas políticas públicas destinadas </w:t>
      </w:r>
      <w:r w:rsidR="006B1CF6" w:rsidRPr="00A0627D">
        <w:rPr>
          <w:rFonts w:ascii="Artifex CF" w:hAnsi="Artifex CF" w:cs="Times New Roman"/>
        </w:rPr>
        <w:t xml:space="preserve">a </w:t>
      </w:r>
      <w:r w:rsidR="00ED1E8A" w:rsidRPr="00A0627D">
        <w:rPr>
          <w:rFonts w:ascii="Artifex CF" w:hAnsi="Artifex CF" w:cs="Times New Roman"/>
        </w:rPr>
        <w:t>crear un ambiente más equitativo</w:t>
      </w:r>
      <w:r w:rsidR="00C965E3" w:rsidRPr="00A0627D">
        <w:rPr>
          <w:rFonts w:ascii="Artifex CF" w:hAnsi="Artifex CF" w:cs="Times New Roman"/>
        </w:rPr>
        <w:t xml:space="preserve">, las cuales </w:t>
      </w:r>
      <w:r w:rsidR="00ED1E8A" w:rsidRPr="00A0627D">
        <w:rPr>
          <w:rFonts w:ascii="Artifex CF" w:hAnsi="Artifex CF" w:cs="Times New Roman"/>
        </w:rPr>
        <w:t>se encuentran</w:t>
      </w:r>
      <w:r w:rsidR="00920F30" w:rsidRPr="00A0627D">
        <w:rPr>
          <w:rFonts w:ascii="Artifex CF" w:hAnsi="Artifex CF" w:cs="Times New Roman"/>
        </w:rPr>
        <w:t xml:space="preserve"> en</w:t>
      </w:r>
      <w:r w:rsidR="00C81FF0" w:rsidRPr="00A0627D">
        <w:rPr>
          <w:rFonts w:ascii="Artifex CF" w:hAnsi="Artifex CF" w:cs="Times New Roman"/>
        </w:rPr>
        <w:t xml:space="preserve"> la</w:t>
      </w:r>
      <w:r w:rsidR="00920F30" w:rsidRPr="00A0627D">
        <w:rPr>
          <w:rFonts w:ascii="Artifex CF" w:hAnsi="Artifex CF" w:cs="Times New Roman"/>
        </w:rPr>
        <w:t xml:space="preserve"> </w:t>
      </w:r>
      <w:r w:rsidR="00C81FF0" w:rsidRPr="00A0627D">
        <w:rPr>
          <w:rFonts w:ascii="Artifex CF" w:hAnsi="Artifex CF" w:cs="Times New Roman"/>
        </w:rPr>
        <w:t>legislación de forma</w:t>
      </w:r>
      <w:r w:rsidR="00920F30" w:rsidRPr="00A0627D">
        <w:rPr>
          <w:rFonts w:ascii="Artifex CF" w:hAnsi="Artifex CF" w:cs="Times New Roman"/>
        </w:rPr>
        <w:t xml:space="preserve"> individual cada una,</w:t>
      </w:r>
      <w:r w:rsidR="00B311F9" w:rsidRPr="00A0627D">
        <w:rPr>
          <w:rFonts w:ascii="Artifex CF" w:hAnsi="Artifex CF" w:cs="Times New Roman"/>
        </w:rPr>
        <w:t xml:space="preserve"> a </w:t>
      </w:r>
      <w:r w:rsidR="00C81FF0" w:rsidRPr="00A0627D">
        <w:rPr>
          <w:rFonts w:ascii="Artifex CF" w:hAnsi="Artifex CF" w:cs="Times New Roman"/>
        </w:rPr>
        <w:t>citar</w:t>
      </w:r>
      <w:r w:rsidR="00B311F9" w:rsidRPr="00A0627D">
        <w:rPr>
          <w:rFonts w:ascii="Artifex CF" w:hAnsi="Artifex CF" w:cs="Times New Roman"/>
        </w:rPr>
        <w:t xml:space="preserve">: </w:t>
      </w:r>
    </w:p>
    <w:p w14:paraId="6AE799BC" w14:textId="46C6B18E" w:rsidR="001E3DA4" w:rsidRPr="00A0627D" w:rsidRDefault="00D76B10" w:rsidP="001E3DA4">
      <w:pPr>
        <w:pStyle w:val="Prrafodelista"/>
        <w:numPr>
          <w:ilvl w:val="0"/>
          <w:numId w:val="4"/>
        </w:numPr>
        <w:jc w:val="both"/>
        <w:rPr>
          <w:rFonts w:ascii="Artifex CF" w:hAnsi="Artifex CF" w:cs="Times New Roman"/>
        </w:rPr>
      </w:pPr>
      <w:r w:rsidRPr="00A0627D">
        <w:rPr>
          <w:rFonts w:ascii="Artifex CF" w:hAnsi="Artifex CF" w:cs="Times New Roman"/>
        </w:rPr>
        <w:t>Ley 55-93</w:t>
      </w:r>
      <w:r w:rsidR="007113AD" w:rsidRPr="00A0627D">
        <w:rPr>
          <w:rFonts w:ascii="Artifex CF" w:hAnsi="Artifex CF" w:cs="Times New Roman"/>
        </w:rPr>
        <w:t xml:space="preserve">: </w:t>
      </w:r>
      <w:r w:rsidR="00535DA0" w:rsidRPr="00A0627D">
        <w:rPr>
          <w:rFonts w:ascii="Artifex CF" w:hAnsi="Artifex CF" w:cs="Times New Roman"/>
        </w:rPr>
        <w:t>S</w:t>
      </w:r>
      <w:r w:rsidRPr="00A0627D">
        <w:rPr>
          <w:rFonts w:ascii="Artifex CF" w:hAnsi="Artifex CF" w:cs="Times New Roman"/>
        </w:rPr>
        <w:t>obre el Síndrome de Inmunodeficiencia Adquirida (SIDA),</w:t>
      </w:r>
    </w:p>
    <w:p w14:paraId="708B3F43" w14:textId="70240B64" w:rsidR="0000163D" w:rsidRPr="00A0627D" w:rsidRDefault="001F6042" w:rsidP="001E3DA4">
      <w:pPr>
        <w:pStyle w:val="Prrafodelista"/>
        <w:numPr>
          <w:ilvl w:val="0"/>
          <w:numId w:val="4"/>
        </w:numPr>
        <w:jc w:val="both"/>
        <w:rPr>
          <w:rFonts w:ascii="Artifex CF" w:hAnsi="Artifex CF" w:cs="Times New Roman"/>
        </w:rPr>
      </w:pPr>
      <w:r w:rsidRPr="00A0627D">
        <w:rPr>
          <w:rFonts w:ascii="Artifex CF" w:hAnsi="Artifex CF" w:cs="Times New Roman"/>
        </w:rPr>
        <w:t>Ley 5-13</w:t>
      </w:r>
      <w:r w:rsidR="007113AD" w:rsidRPr="00A0627D">
        <w:rPr>
          <w:rFonts w:ascii="Artifex CF" w:hAnsi="Artifex CF" w:cs="Times New Roman"/>
        </w:rPr>
        <w:t>: S</w:t>
      </w:r>
      <w:r w:rsidR="001E3DA4" w:rsidRPr="00A0627D">
        <w:rPr>
          <w:rFonts w:ascii="Artifex CF" w:hAnsi="Artifex CF" w:cs="Times New Roman"/>
        </w:rPr>
        <w:t>obre igualdad de derechos de las personas con discapacidad,</w:t>
      </w:r>
    </w:p>
    <w:p w14:paraId="12614A87" w14:textId="00AB19B3" w:rsidR="00051B7A" w:rsidRPr="00A0627D" w:rsidRDefault="00051B7A" w:rsidP="00051B7A">
      <w:pPr>
        <w:pStyle w:val="Prrafodelista"/>
        <w:numPr>
          <w:ilvl w:val="0"/>
          <w:numId w:val="4"/>
        </w:numPr>
        <w:rPr>
          <w:rFonts w:ascii="Artifex CF" w:hAnsi="Artifex CF" w:cs="Times New Roman"/>
        </w:rPr>
      </w:pPr>
      <w:r w:rsidRPr="00A0627D">
        <w:rPr>
          <w:rFonts w:ascii="Artifex CF" w:hAnsi="Artifex CF" w:cs="Times New Roman"/>
        </w:rPr>
        <w:t>Ley 14-94</w:t>
      </w:r>
      <w:r w:rsidR="007113AD" w:rsidRPr="00A0627D">
        <w:rPr>
          <w:rFonts w:ascii="Artifex CF" w:hAnsi="Artifex CF" w:cs="Times New Roman"/>
        </w:rPr>
        <w:t xml:space="preserve">: </w:t>
      </w:r>
      <w:r w:rsidRPr="00A0627D">
        <w:rPr>
          <w:rFonts w:ascii="Artifex CF" w:hAnsi="Artifex CF" w:cs="Times New Roman"/>
        </w:rPr>
        <w:t xml:space="preserve">Reglamento </w:t>
      </w:r>
      <w:r w:rsidR="008A1727" w:rsidRPr="00A0627D">
        <w:rPr>
          <w:rFonts w:ascii="Artifex CF" w:hAnsi="Artifex CF" w:cs="Times New Roman"/>
        </w:rPr>
        <w:t>a</w:t>
      </w:r>
      <w:r w:rsidRPr="00A0627D">
        <w:rPr>
          <w:rFonts w:ascii="Artifex CF" w:hAnsi="Artifex CF" w:cs="Times New Roman"/>
        </w:rPr>
        <w:t>plicación Código para la Protección de Niños, Niñas y Adolescentes</w:t>
      </w:r>
      <w:r w:rsidR="008A1727" w:rsidRPr="00A0627D">
        <w:rPr>
          <w:rFonts w:ascii="Artifex CF" w:hAnsi="Artifex CF" w:cs="Times New Roman"/>
        </w:rPr>
        <w:t>,</w:t>
      </w:r>
    </w:p>
    <w:p w14:paraId="4675C432" w14:textId="6FCB1DC9" w:rsidR="00ED5BF3" w:rsidRPr="00A0627D" w:rsidRDefault="00ED5BF3" w:rsidP="00ED5BF3">
      <w:pPr>
        <w:pStyle w:val="Prrafodelista"/>
        <w:numPr>
          <w:ilvl w:val="0"/>
          <w:numId w:val="4"/>
        </w:numPr>
        <w:rPr>
          <w:rFonts w:ascii="Artifex CF" w:hAnsi="Artifex CF" w:cs="Times New Roman"/>
        </w:rPr>
      </w:pPr>
      <w:r w:rsidRPr="00A0627D">
        <w:rPr>
          <w:rFonts w:ascii="Artifex CF" w:hAnsi="Artifex CF" w:cs="Times New Roman"/>
        </w:rPr>
        <w:lastRenderedPageBreak/>
        <w:t>Ley 12-06</w:t>
      </w:r>
      <w:r w:rsidR="007113AD" w:rsidRPr="00A0627D">
        <w:rPr>
          <w:rFonts w:ascii="Artifex CF" w:hAnsi="Artifex CF" w:cs="Times New Roman"/>
        </w:rPr>
        <w:t xml:space="preserve">: </w:t>
      </w:r>
      <w:r w:rsidRPr="00A0627D">
        <w:rPr>
          <w:rFonts w:ascii="Artifex CF" w:hAnsi="Artifex CF" w:cs="Times New Roman"/>
        </w:rPr>
        <w:t>Sobre Salud Mental,</w:t>
      </w:r>
    </w:p>
    <w:p w14:paraId="1C5A658B" w14:textId="2C3E300F" w:rsidR="00AC5790" w:rsidRPr="00A0627D" w:rsidRDefault="00AC5790" w:rsidP="00AC5790">
      <w:pPr>
        <w:pStyle w:val="Prrafodelista"/>
        <w:numPr>
          <w:ilvl w:val="0"/>
          <w:numId w:val="4"/>
        </w:numPr>
        <w:rPr>
          <w:rFonts w:ascii="Artifex CF" w:hAnsi="Artifex CF" w:cs="Times New Roman"/>
        </w:rPr>
      </w:pPr>
      <w:r w:rsidRPr="00A0627D">
        <w:rPr>
          <w:rFonts w:ascii="Artifex CF" w:hAnsi="Artifex CF" w:cs="Times New Roman"/>
        </w:rPr>
        <w:t>Ley 137-03</w:t>
      </w:r>
      <w:r w:rsidR="007113AD" w:rsidRPr="00A0627D">
        <w:rPr>
          <w:rFonts w:ascii="Artifex CF" w:hAnsi="Artifex CF" w:cs="Times New Roman"/>
        </w:rPr>
        <w:t>: S</w:t>
      </w:r>
      <w:r w:rsidRPr="00A0627D">
        <w:rPr>
          <w:rFonts w:ascii="Artifex CF" w:hAnsi="Artifex CF" w:cs="Times New Roman"/>
        </w:rPr>
        <w:t>obre Tráfico Ilícito de Migrantes y Trata de Personas</w:t>
      </w:r>
      <w:r w:rsidR="006511E9" w:rsidRPr="00A0627D">
        <w:rPr>
          <w:rFonts w:ascii="Artifex CF" w:hAnsi="Artifex CF" w:cs="Times New Roman"/>
        </w:rPr>
        <w:t>,</w:t>
      </w:r>
    </w:p>
    <w:p w14:paraId="27832798" w14:textId="283E6494" w:rsidR="001E3DA4" w:rsidRPr="00A0627D" w:rsidRDefault="00E91ADE" w:rsidP="001E3DA4">
      <w:pPr>
        <w:pStyle w:val="Prrafodelista"/>
        <w:numPr>
          <w:ilvl w:val="0"/>
          <w:numId w:val="4"/>
        </w:numPr>
        <w:jc w:val="both"/>
        <w:rPr>
          <w:rFonts w:ascii="Artifex CF" w:hAnsi="Artifex CF" w:cs="Times New Roman"/>
        </w:rPr>
      </w:pPr>
      <w:r w:rsidRPr="00A0627D">
        <w:rPr>
          <w:rFonts w:ascii="Artifex CF" w:hAnsi="Artifex CF" w:cs="Times New Roman"/>
        </w:rPr>
        <w:t>Ley 88-03</w:t>
      </w:r>
      <w:r w:rsidR="007113AD" w:rsidRPr="00A0627D">
        <w:rPr>
          <w:rFonts w:ascii="Artifex CF" w:hAnsi="Artifex CF" w:cs="Times New Roman"/>
        </w:rPr>
        <w:t>: Q</w:t>
      </w:r>
      <w:r w:rsidRPr="00A0627D">
        <w:rPr>
          <w:rFonts w:ascii="Artifex CF" w:hAnsi="Artifex CF" w:cs="Times New Roman"/>
        </w:rPr>
        <w:t xml:space="preserve">ue instituye las </w:t>
      </w:r>
      <w:r w:rsidR="00EB7B8C" w:rsidRPr="00A0627D">
        <w:rPr>
          <w:rFonts w:ascii="Artifex CF" w:hAnsi="Artifex CF" w:cs="Times New Roman"/>
        </w:rPr>
        <w:t>ca</w:t>
      </w:r>
      <w:r w:rsidRPr="00A0627D">
        <w:rPr>
          <w:rFonts w:ascii="Artifex CF" w:hAnsi="Artifex CF" w:cs="Times New Roman"/>
        </w:rPr>
        <w:t xml:space="preserve">sas </w:t>
      </w:r>
      <w:r w:rsidR="00EB7B8C" w:rsidRPr="00A0627D">
        <w:rPr>
          <w:rFonts w:ascii="Artifex CF" w:hAnsi="Artifex CF" w:cs="Times New Roman"/>
        </w:rPr>
        <w:t>d</w:t>
      </w:r>
      <w:r w:rsidRPr="00A0627D">
        <w:rPr>
          <w:rFonts w:ascii="Artifex CF" w:hAnsi="Artifex CF" w:cs="Times New Roman"/>
        </w:rPr>
        <w:t xml:space="preserve">e </w:t>
      </w:r>
      <w:r w:rsidR="00EB7B8C" w:rsidRPr="00A0627D">
        <w:rPr>
          <w:rFonts w:ascii="Artifex CF" w:hAnsi="Artifex CF" w:cs="Times New Roman"/>
        </w:rPr>
        <w:t>a</w:t>
      </w:r>
      <w:r w:rsidRPr="00A0627D">
        <w:rPr>
          <w:rFonts w:ascii="Artifex CF" w:hAnsi="Artifex CF" w:cs="Times New Roman"/>
        </w:rPr>
        <w:t xml:space="preserve">cogidas </w:t>
      </w:r>
      <w:r w:rsidR="00EB7B8C" w:rsidRPr="00A0627D">
        <w:rPr>
          <w:rFonts w:ascii="Artifex CF" w:hAnsi="Artifex CF" w:cs="Times New Roman"/>
        </w:rPr>
        <w:t>o</w:t>
      </w:r>
      <w:r w:rsidRPr="00A0627D">
        <w:rPr>
          <w:rFonts w:ascii="Artifex CF" w:hAnsi="Artifex CF" w:cs="Times New Roman"/>
        </w:rPr>
        <w:t xml:space="preserve"> </w:t>
      </w:r>
      <w:r w:rsidR="00EB7B8C" w:rsidRPr="00A0627D">
        <w:rPr>
          <w:rFonts w:ascii="Artifex CF" w:hAnsi="Artifex CF" w:cs="Times New Roman"/>
        </w:rPr>
        <w:t>r</w:t>
      </w:r>
      <w:r w:rsidRPr="00A0627D">
        <w:rPr>
          <w:rFonts w:ascii="Artifex CF" w:hAnsi="Artifex CF" w:cs="Times New Roman"/>
        </w:rPr>
        <w:t>efugios</w:t>
      </w:r>
      <w:r w:rsidR="00EB7B8C" w:rsidRPr="00A0627D">
        <w:rPr>
          <w:rFonts w:ascii="Artifex CF" w:hAnsi="Artifex CF" w:cs="Times New Roman"/>
        </w:rPr>
        <w:t xml:space="preserve"> e</w:t>
      </w:r>
      <w:r w:rsidRPr="00A0627D">
        <w:rPr>
          <w:rFonts w:ascii="Artifex CF" w:hAnsi="Artifex CF" w:cs="Times New Roman"/>
        </w:rPr>
        <w:t xml:space="preserve">n </w:t>
      </w:r>
      <w:r w:rsidR="00EB7B8C" w:rsidRPr="00A0627D">
        <w:rPr>
          <w:rFonts w:ascii="Artifex CF" w:hAnsi="Artifex CF" w:cs="Times New Roman"/>
        </w:rPr>
        <w:t>t</w:t>
      </w:r>
      <w:r w:rsidRPr="00A0627D">
        <w:rPr>
          <w:rFonts w:ascii="Artifex CF" w:hAnsi="Artifex CF" w:cs="Times New Roman"/>
        </w:rPr>
        <w:t xml:space="preserve">odo </w:t>
      </w:r>
      <w:r w:rsidR="00EB7B8C" w:rsidRPr="00A0627D">
        <w:rPr>
          <w:rFonts w:ascii="Artifex CF" w:hAnsi="Artifex CF" w:cs="Times New Roman"/>
        </w:rPr>
        <w:t>e</w:t>
      </w:r>
      <w:r w:rsidRPr="00A0627D">
        <w:rPr>
          <w:rFonts w:ascii="Artifex CF" w:hAnsi="Artifex CF" w:cs="Times New Roman"/>
        </w:rPr>
        <w:t xml:space="preserve">l </w:t>
      </w:r>
      <w:r w:rsidR="00EB7B8C" w:rsidRPr="00A0627D">
        <w:rPr>
          <w:rFonts w:ascii="Artifex CF" w:hAnsi="Artifex CF" w:cs="Times New Roman"/>
        </w:rPr>
        <w:t>t</w:t>
      </w:r>
      <w:r w:rsidRPr="00A0627D">
        <w:rPr>
          <w:rFonts w:ascii="Artifex CF" w:hAnsi="Artifex CF" w:cs="Times New Roman"/>
        </w:rPr>
        <w:t xml:space="preserve">erritorio </w:t>
      </w:r>
      <w:r w:rsidR="00EB7B8C" w:rsidRPr="00A0627D">
        <w:rPr>
          <w:rFonts w:ascii="Artifex CF" w:hAnsi="Artifex CF" w:cs="Times New Roman"/>
        </w:rPr>
        <w:t>n</w:t>
      </w:r>
      <w:r w:rsidRPr="00A0627D">
        <w:rPr>
          <w:rFonts w:ascii="Artifex CF" w:hAnsi="Artifex CF" w:cs="Times New Roman"/>
        </w:rPr>
        <w:t xml:space="preserve">acional </w:t>
      </w:r>
      <w:r w:rsidR="00EB7B8C" w:rsidRPr="00A0627D">
        <w:rPr>
          <w:rFonts w:ascii="Artifex CF" w:hAnsi="Artifex CF" w:cs="Times New Roman"/>
        </w:rPr>
        <w:t>p</w:t>
      </w:r>
      <w:r w:rsidRPr="00A0627D">
        <w:rPr>
          <w:rFonts w:ascii="Artifex CF" w:hAnsi="Artifex CF" w:cs="Times New Roman"/>
        </w:rPr>
        <w:t xml:space="preserve">ara </w:t>
      </w:r>
      <w:r w:rsidR="00EB7B8C" w:rsidRPr="00A0627D">
        <w:rPr>
          <w:rFonts w:ascii="Artifex CF" w:hAnsi="Artifex CF" w:cs="Times New Roman"/>
        </w:rPr>
        <w:t>a</w:t>
      </w:r>
      <w:r w:rsidRPr="00A0627D">
        <w:rPr>
          <w:rFonts w:ascii="Artifex CF" w:hAnsi="Artifex CF" w:cs="Times New Roman"/>
        </w:rPr>
        <w:t xml:space="preserve">lbergar </w:t>
      </w:r>
      <w:r w:rsidR="00EB7B8C" w:rsidRPr="00A0627D">
        <w:rPr>
          <w:rFonts w:ascii="Artifex CF" w:hAnsi="Artifex CF" w:cs="Times New Roman"/>
        </w:rPr>
        <w:t>m</w:t>
      </w:r>
      <w:r w:rsidRPr="00A0627D">
        <w:rPr>
          <w:rFonts w:ascii="Artifex CF" w:hAnsi="Artifex CF" w:cs="Times New Roman"/>
        </w:rPr>
        <w:t>ujeres</w:t>
      </w:r>
      <w:r w:rsidR="00165E99" w:rsidRPr="00A0627D">
        <w:rPr>
          <w:rFonts w:ascii="Artifex CF" w:hAnsi="Artifex CF" w:cs="Times New Roman"/>
        </w:rPr>
        <w:t xml:space="preserve"> </w:t>
      </w:r>
      <w:r w:rsidR="004F75FB" w:rsidRPr="00A0627D">
        <w:rPr>
          <w:rFonts w:ascii="Artifex CF" w:hAnsi="Artifex CF" w:cs="Times New Roman"/>
        </w:rPr>
        <w:t>víctimas</w:t>
      </w:r>
      <w:r w:rsidR="00165E99" w:rsidRPr="00A0627D">
        <w:rPr>
          <w:rFonts w:ascii="Artifex CF" w:hAnsi="Artifex CF" w:cs="Times New Roman"/>
        </w:rPr>
        <w:t xml:space="preserve"> de violencia. </w:t>
      </w:r>
    </w:p>
    <w:p w14:paraId="70E243A4" w14:textId="35612032" w:rsidR="00766B22" w:rsidRPr="00A0627D" w:rsidRDefault="00975D25" w:rsidP="008041AB">
      <w:pPr>
        <w:jc w:val="both"/>
        <w:rPr>
          <w:rFonts w:ascii="Artifex CF" w:hAnsi="Artifex CF" w:cs="Times New Roman"/>
        </w:rPr>
      </w:pPr>
      <w:r w:rsidRPr="00A0627D">
        <w:rPr>
          <w:rFonts w:ascii="Artifex CF" w:hAnsi="Artifex CF" w:cs="Times New Roman"/>
        </w:rPr>
        <w:t xml:space="preserve">En adición, </w:t>
      </w:r>
      <w:r w:rsidR="001A4F8C" w:rsidRPr="00A0627D">
        <w:rPr>
          <w:rFonts w:ascii="Artifex CF" w:hAnsi="Artifex CF" w:cs="Times New Roman"/>
        </w:rPr>
        <w:t xml:space="preserve"> también </w:t>
      </w:r>
      <w:r w:rsidRPr="00A0627D">
        <w:rPr>
          <w:rFonts w:ascii="Artifex CF" w:hAnsi="Artifex CF" w:cs="Times New Roman"/>
        </w:rPr>
        <w:t>nos encontramos con la</w:t>
      </w:r>
      <w:r w:rsidR="001F23F5" w:rsidRPr="00A0627D">
        <w:rPr>
          <w:rFonts w:ascii="Artifex CF" w:hAnsi="Artifex CF" w:cs="Times New Roman"/>
        </w:rPr>
        <w:t xml:space="preserve"> Ley Orgánica del Régimen Electoral en su </w:t>
      </w:r>
      <w:r w:rsidR="001C4193" w:rsidRPr="00A0627D">
        <w:rPr>
          <w:rFonts w:ascii="Artifex CF" w:hAnsi="Artifex CF" w:cs="Times New Roman"/>
        </w:rPr>
        <w:t>artículo</w:t>
      </w:r>
      <w:r w:rsidR="008041AB" w:rsidRPr="00A0627D">
        <w:rPr>
          <w:rFonts w:ascii="Artifex CF" w:hAnsi="Artifex CF" w:cs="Times New Roman"/>
        </w:rPr>
        <w:t xml:space="preserve"> 136</w:t>
      </w:r>
      <w:r w:rsidR="00FD4070" w:rsidRPr="00A0627D">
        <w:rPr>
          <w:rFonts w:ascii="Artifex CF" w:hAnsi="Artifex CF" w:cs="Times New Roman"/>
        </w:rPr>
        <w:t>, la cual</w:t>
      </w:r>
      <w:r w:rsidR="001C4193" w:rsidRPr="00A0627D">
        <w:rPr>
          <w:rFonts w:ascii="Artifex CF" w:hAnsi="Artifex CF" w:cs="Times New Roman"/>
        </w:rPr>
        <w:t xml:space="preserve"> habla sobre la e</w:t>
      </w:r>
      <w:r w:rsidR="008041AB" w:rsidRPr="00A0627D">
        <w:rPr>
          <w:rFonts w:ascii="Artifex CF" w:hAnsi="Artifex CF" w:cs="Times New Roman"/>
        </w:rPr>
        <w:t>quidad de género</w:t>
      </w:r>
      <w:r w:rsidR="001C4193" w:rsidRPr="00A0627D">
        <w:rPr>
          <w:rFonts w:ascii="Artifex CF" w:hAnsi="Artifex CF" w:cs="Times New Roman"/>
        </w:rPr>
        <w:t xml:space="preserve"> en las candidaturas de voto popular, diciendo así: </w:t>
      </w:r>
      <w:r w:rsidR="001C4193" w:rsidRPr="00A0627D">
        <w:rPr>
          <w:rFonts w:ascii="Artifex CF" w:hAnsi="Artifex CF" w:cs="Times New Roman"/>
          <w:i/>
          <w:iCs/>
        </w:rPr>
        <w:t>“</w:t>
      </w:r>
      <w:r w:rsidR="008041AB" w:rsidRPr="00A0627D">
        <w:rPr>
          <w:rFonts w:ascii="Artifex CF" w:hAnsi="Artifex CF" w:cs="Times New Roman"/>
          <w:i/>
          <w:iCs/>
        </w:rPr>
        <w:t xml:space="preserve">Las nominaciones y propuestas de candidaturas a la Cámara de Diputados, a las Regidurías y vocales se regirán por el principio de equidad de género, por lo que éstas deberán estar integradas </w:t>
      </w:r>
      <w:r w:rsidR="00963593" w:rsidRPr="00A0627D">
        <w:rPr>
          <w:rFonts w:ascii="Artifex CF" w:hAnsi="Artifex CF" w:cs="Times New Roman"/>
          <w:i/>
          <w:iCs/>
        </w:rPr>
        <w:t>de acuerdo con</w:t>
      </w:r>
      <w:r w:rsidR="008041AB" w:rsidRPr="00A0627D">
        <w:rPr>
          <w:rFonts w:ascii="Artifex CF" w:hAnsi="Artifex CF" w:cs="Times New Roman"/>
          <w:i/>
          <w:iCs/>
        </w:rPr>
        <w:t xml:space="preserve"> lo establecido en la Ley de Partidos, por no menos de un 40% ni más de un 60% de hombres y mujeres de la propuesta</w:t>
      </w:r>
      <w:r w:rsidR="00261BCF" w:rsidRPr="00A0627D">
        <w:rPr>
          <w:rFonts w:ascii="Artifex CF" w:hAnsi="Artifex CF" w:cs="Times New Roman"/>
          <w:i/>
          <w:iCs/>
        </w:rPr>
        <w:t xml:space="preserve"> </w:t>
      </w:r>
      <w:r w:rsidR="008041AB" w:rsidRPr="00A0627D">
        <w:rPr>
          <w:rFonts w:ascii="Artifex CF" w:hAnsi="Artifex CF" w:cs="Times New Roman"/>
          <w:i/>
          <w:iCs/>
        </w:rPr>
        <w:t>nacional</w:t>
      </w:r>
      <w:r w:rsidR="001C4193" w:rsidRPr="00A0627D">
        <w:rPr>
          <w:rFonts w:ascii="Artifex CF" w:hAnsi="Artifex CF" w:cs="Times New Roman"/>
          <w:i/>
          <w:iCs/>
        </w:rPr>
        <w:t>”</w:t>
      </w:r>
      <w:r w:rsidR="001C4193" w:rsidRPr="00A0627D">
        <w:rPr>
          <w:rFonts w:ascii="Artifex CF" w:hAnsi="Artifex CF" w:cs="Times New Roman"/>
        </w:rPr>
        <w:t xml:space="preserve"> </w:t>
      </w:r>
      <w:r w:rsidR="00215B07" w:rsidRPr="00A0627D">
        <w:rPr>
          <w:rStyle w:val="Refdenotaalpie"/>
          <w:rFonts w:ascii="Artifex CF" w:hAnsi="Artifex CF" w:cs="Times New Roman"/>
        </w:rPr>
        <w:footnoteReference w:id="6"/>
      </w:r>
    </w:p>
    <w:p w14:paraId="7173CFC2" w14:textId="04C1D1D7" w:rsidR="004356D2" w:rsidRPr="00A0627D" w:rsidRDefault="004356D2" w:rsidP="008041AB">
      <w:pPr>
        <w:jc w:val="both"/>
        <w:rPr>
          <w:rFonts w:ascii="Artifex CF" w:hAnsi="Artifex CF" w:cs="Times New Roman"/>
        </w:rPr>
      </w:pPr>
      <w:r w:rsidRPr="00A0627D">
        <w:rPr>
          <w:rFonts w:ascii="Artifex CF" w:hAnsi="Artifex CF" w:cs="Times New Roman"/>
        </w:rPr>
        <w:t xml:space="preserve">De igual manera, la ley sobre </w:t>
      </w:r>
      <w:r w:rsidR="00B35CC9" w:rsidRPr="00A0627D">
        <w:rPr>
          <w:rFonts w:ascii="Artifex CF" w:hAnsi="Artifex CF" w:cs="Times New Roman"/>
        </w:rPr>
        <w:t xml:space="preserve">partidos, agrupaciones y movimientos </w:t>
      </w:r>
      <w:r w:rsidR="0029111B" w:rsidRPr="00A0627D">
        <w:rPr>
          <w:rFonts w:ascii="Artifex CF" w:hAnsi="Artifex CF" w:cs="Times New Roman"/>
        </w:rPr>
        <w:t>políticos</w:t>
      </w:r>
      <w:r w:rsidR="00B35CC9" w:rsidRPr="00A0627D">
        <w:rPr>
          <w:rFonts w:ascii="Artifex CF" w:hAnsi="Artifex CF" w:cs="Times New Roman"/>
        </w:rPr>
        <w:t xml:space="preserve"> establece en su </w:t>
      </w:r>
      <w:r w:rsidR="007C388E" w:rsidRPr="00A0627D">
        <w:rPr>
          <w:rFonts w:ascii="Artifex CF" w:hAnsi="Artifex CF" w:cs="Times New Roman"/>
        </w:rPr>
        <w:t>artículo</w:t>
      </w:r>
      <w:r w:rsidR="00B35CC9" w:rsidRPr="00A0627D">
        <w:rPr>
          <w:rFonts w:ascii="Artifex CF" w:hAnsi="Artifex CF" w:cs="Times New Roman"/>
        </w:rPr>
        <w:t xml:space="preserve"> 54 la cuota del 10% para personas jóvenes</w:t>
      </w:r>
      <w:r w:rsidR="0029111B" w:rsidRPr="00A0627D">
        <w:rPr>
          <w:rFonts w:ascii="Artifex CF" w:hAnsi="Artifex CF" w:cs="Times New Roman"/>
        </w:rPr>
        <w:t xml:space="preserve"> en las propuestas nacionales de candidaturas. </w:t>
      </w:r>
      <w:r w:rsidR="004F6033" w:rsidRPr="00A0627D">
        <w:rPr>
          <w:rStyle w:val="Refdenotaalpie"/>
          <w:rFonts w:ascii="Artifex CF" w:hAnsi="Artifex CF" w:cs="Times New Roman"/>
        </w:rPr>
        <w:footnoteReference w:id="7"/>
      </w:r>
    </w:p>
    <w:p w14:paraId="67790F05" w14:textId="17430BA7" w:rsidR="00DC79EE" w:rsidRPr="00A0627D" w:rsidRDefault="00496063" w:rsidP="008041AB">
      <w:pPr>
        <w:jc w:val="both"/>
        <w:rPr>
          <w:rFonts w:ascii="Artifex CF" w:hAnsi="Artifex CF" w:cs="Times New Roman"/>
        </w:rPr>
      </w:pPr>
      <w:r w:rsidRPr="00A0627D">
        <w:rPr>
          <w:rFonts w:ascii="Artifex CF" w:hAnsi="Artifex CF" w:cs="Times New Roman"/>
        </w:rPr>
        <w:t>P</w:t>
      </w:r>
      <w:r w:rsidR="00B40D9F" w:rsidRPr="00A0627D">
        <w:rPr>
          <w:rFonts w:ascii="Artifex CF" w:hAnsi="Artifex CF" w:cs="Times New Roman"/>
        </w:rPr>
        <w:t>ara ser presidenta/presidente de</w:t>
      </w:r>
      <w:r w:rsidR="00D46053">
        <w:rPr>
          <w:rFonts w:ascii="Artifex CF" w:hAnsi="Artifex CF" w:cs="Times New Roman"/>
        </w:rPr>
        <w:t xml:space="preserve"> </w:t>
      </w:r>
      <w:r w:rsidR="00B40D9F" w:rsidRPr="00A0627D">
        <w:rPr>
          <w:rFonts w:ascii="Artifex CF" w:hAnsi="Artifex CF" w:cs="Times New Roman"/>
        </w:rPr>
        <w:t xml:space="preserve">la </w:t>
      </w:r>
      <w:r w:rsidR="00F968FC" w:rsidRPr="00A0627D">
        <w:rPr>
          <w:rFonts w:ascii="Artifex CF" w:hAnsi="Artifex CF" w:cs="Times New Roman"/>
        </w:rPr>
        <w:t>República</w:t>
      </w:r>
      <w:r w:rsidR="00B40D9F" w:rsidRPr="00A0627D">
        <w:rPr>
          <w:rFonts w:ascii="Artifex CF" w:hAnsi="Artifex CF" w:cs="Times New Roman"/>
        </w:rPr>
        <w:t>,</w:t>
      </w:r>
      <w:r w:rsidR="00F968FC" w:rsidRPr="00A0627D">
        <w:rPr>
          <w:rFonts w:ascii="Artifex CF" w:hAnsi="Artifex CF" w:cs="Times New Roman"/>
        </w:rPr>
        <w:t xml:space="preserve"> se puede postular</w:t>
      </w:r>
      <w:r w:rsidR="00B40D9F" w:rsidRPr="00A0627D">
        <w:rPr>
          <w:rFonts w:ascii="Artifex CF" w:hAnsi="Artifex CF" w:cs="Times New Roman"/>
        </w:rPr>
        <w:t xml:space="preserve"> cualquier ciudadano</w:t>
      </w:r>
      <w:r w:rsidR="00F968FC" w:rsidRPr="00A0627D">
        <w:rPr>
          <w:rFonts w:ascii="Artifex CF" w:hAnsi="Artifex CF" w:cs="Times New Roman"/>
        </w:rPr>
        <w:t xml:space="preserve"> dominicano/a de nacimiento u origen,</w:t>
      </w:r>
      <w:r w:rsidR="00B40D9F" w:rsidRPr="00A0627D">
        <w:rPr>
          <w:rFonts w:ascii="Artifex CF" w:hAnsi="Artifex CF" w:cs="Times New Roman"/>
        </w:rPr>
        <w:t xml:space="preserve"> en el ejercicio de sus derechos civiles y políticos</w:t>
      </w:r>
      <w:r w:rsidR="00F968FC" w:rsidRPr="00A0627D">
        <w:rPr>
          <w:rFonts w:ascii="Artifex CF" w:hAnsi="Artifex CF" w:cs="Times New Roman"/>
        </w:rPr>
        <w:t xml:space="preserve"> y </w:t>
      </w:r>
      <w:r w:rsidR="00B40D9F" w:rsidRPr="00A0627D">
        <w:rPr>
          <w:rFonts w:ascii="Artifex CF" w:hAnsi="Artifex CF" w:cs="Times New Roman"/>
        </w:rPr>
        <w:t>con 3</w:t>
      </w:r>
      <w:r w:rsidR="00963593" w:rsidRPr="00A0627D">
        <w:rPr>
          <w:rFonts w:ascii="Artifex CF" w:hAnsi="Artifex CF" w:cs="Times New Roman"/>
        </w:rPr>
        <w:t xml:space="preserve">0 </w:t>
      </w:r>
      <w:r w:rsidR="00E10479" w:rsidRPr="00A0627D">
        <w:rPr>
          <w:rFonts w:ascii="Artifex CF" w:hAnsi="Artifex CF" w:cs="Times New Roman"/>
        </w:rPr>
        <w:t>años</w:t>
      </w:r>
      <w:r w:rsidR="00B40D9F" w:rsidRPr="00A0627D">
        <w:rPr>
          <w:rFonts w:ascii="Artifex CF" w:hAnsi="Artifex CF" w:cs="Times New Roman"/>
        </w:rPr>
        <w:t xml:space="preserve"> cumplidos</w:t>
      </w:r>
      <w:r w:rsidRPr="00A0627D">
        <w:rPr>
          <w:rFonts w:ascii="Artifex CF" w:hAnsi="Artifex CF" w:cs="Times New Roman"/>
        </w:rPr>
        <w:t xml:space="preserve">. Por lo antes expuesto, no hay en ninguna de estas leyes ningún factor diferenciador que </w:t>
      </w:r>
      <w:r w:rsidR="003E5E0A" w:rsidRPr="00A0627D">
        <w:rPr>
          <w:rFonts w:ascii="Artifex CF" w:hAnsi="Artifex CF" w:cs="Times New Roman"/>
        </w:rPr>
        <w:t xml:space="preserve">evite a cualquier ciudadano </w:t>
      </w:r>
      <w:r w:rsidR="00CF4264" w:rsidRPr="00A0627D">
        <w:rPr>
          <w:rFonts w:ascii="Artifex CF" w:hAnsi="Artifex CF" w:cs="Times New Roman"/>
        </w:rPr>
        <w:t xml:space="preserve">capacitado, para </w:t>
      </w:r>
      <w:r w:rsidR="005A68FF" w:rsidRPr="00A0627D">
        <w:rPr>
          <w:rFonts w:ascii="Artifex CF" w:hAnsi="Artifex CF" w:cs="Times New Roman"/>
        </w:rPr>
        <w:t xml:space="preserve">ocupar un puesto </w:t>
      </w:r>
      <w:r w:rsidR="004B30C8" w:rsidRPr="00A0627D">
        <w:rPr>
          <w:rFonts w:ascii="Artifex CF" w:hAnsi="Artifex CF" w:cs="Times New Roman"/>
        </w:rPr>
        <w:t>político, incluyendo la presidencia del país</w:t>
      </w:r>
      <w:r w:rsidR="00186774" w:rsidRPr="00A0627D">
        <w:rPr>
          <w:rStyle w:val="Refdenotaalpie"/>
          <w:rFonts w:ascii="Artifex CF" w:hAnsi="Artifex CF" w:cs="Times New Roman"/>
        </w:rPr>
        <w:footnoteReference w:id="8"/>
      </w:r>
      <w:r w:rsidR="004B30C8" w:rsidRPr="00A0627D">
        <w:rPr>
          <w:rFonts w:ascii="Artifex CF" w:hAnsi="Artifex CF" w:cs="Times New Roman"/>
        </w:rPr>
        <w:t xml:space="preserve">. </w:t>
      </w:r>
    </w:p>
    <w:p w14:paraId="4F14525E" w14:textId="1E9F5C1E" w:rsidR="00161062" w:rsidRPr="00A0627D" w:rsidRDefault="00161062" w:rsidP="008041AB">
      <w:pPr>
        <w:jc w:val="both"/>
        <w:rPr>
          <w:rFonts w:ascii="Artifex CF" w:hAnsi="Artifex CF" w:cs="Times New Roman"/>
        </w:rPr>
      </w:pPr>
      <w:r w:rsidRPr="00A0627D">
        <w:rPr>
          <w:rFonts w:ascii="Artifex CF" w:hAnsi="Artifex CF" w:cs="Times New Roman"/>
        </w:rPr>
        <w:t>A est</w:t>
      </w:r>
      <w:r w:rsidR="00FA5243" w:rsidRPr="00A0627D">
        <w:rPr>
          <w:rFonts w:ascii="Artifex CF" w:hAnsi="Artifex CF" w:cs="Times New Roman"/>
        </w:rPr>
        <w:t>o</w:t>
      </w:r>
      <w:r w:rsidRPr="00A0627D">
        <w:rPr>
          <w:rFonts w:ascii="Artifex CF" w:hAnsi="Artifex CF" w:cs="Times New Roman"/>
        </w:rPr>
        <w:t xml:space="preserve"> se le </w:t>
      </w:r>
      <w:r w:rsidR="00FA5243" w:rsidRPr="00A0627D">
        <w:rPr>
          <w:rFonts w:ascii="Artifex CF" w:hAnsi="Artifex CF" w:cs="Times New Roman"/>
        </w:rPr>
        <w:t>suma</w:t>
      </w:r>
      <w:r w:rsidRPr="00A0627D">
        <w:rPr>
          <w:rFonts w:ascii="Artifex CF" w:hAnsi="Artifex CF" w:cs="Times New Roman"/>
        </w:rPr>
        <w:t xml:space="preserve"> la sentencia </w:t>
      </w:r>
      <w:r w:rsidR="003B1700" w:rsidRPr="00A0627D">
        <w:rPr>
          <w:rFonts w:ascii="Artifex CF" w:hAnsi="Artifex CF" w:cs="Times New Roman"/>
        </w:rPr>
        <w:t xml:space="preserve">del Tribunal Constitucional Dominicano, TC/0104/20. </w:t>
      </w:r>
      <w:r w:rsidR="00FC0744" w:rsidRPr="00A0627D">
        <w:rPr>
          <w:rFonts w:ascii="Artifex CF" w:hAnsi="Artifex CF" w:cs="Times New Roman"/>
        </w:rPr>
        <w:t xml:space="preserve">Esta sentencia establece que </w:t>
      </w:r>
      <w:r w:rsidR="004F0E7B" w:rsidRPr="00A0627D">
        <w:rPr>
          <w:rFonts w:ascii="Artifex CF" w:hAnsi="Artifex CF" w:cs="Times New Roman"/>
        </w:rPr>
        <w:t xml:space="preserve">la cuota de proporción </w:t>
      </w:r>
      <w:r w:rsidR="001D151F" w:rsidRPr="00A0627D">
        <w:rPr>
          <w:rFonts w:ascii="Artifex CF" w:hAnsi="Artifex CF" w:cs="Times New Roman"/>
        </w:rPr>
        <w:t>40/60</w:t>
      </w:r>
      <w:r w:rsidR="001E7A4C" w:rsidRPr="00A0627D">
        <w:rPr>
          <w:rFonts w:ascii="Artifex CF" w:hAnsi="Artifex CF" w:cs="Times New Roman"/>
        </w:rPr>
        <w:t xml:space="preserve">% de hombres y mujeres </w:t>
      </w:r>
      <w:r w:rsidR="0090284D" w:rsidRPr="00A0627D">
        <w:rPr>
          <w:rFonts w:ascii="Artifex CF" w:hAnsi="Artifex CF" w:cs="Times New Roman"/>
        </w:rPr>
        <w:t xml:space="preserve">para las candidaturas de </w:t>
      </w:r>
      <w:r w:rsidR="00D66F54" w:rsidRPr="00A0627D">
        <w:rPr>
          <w:rFonts w:ascii="Artifex CF" w:hAnsi="Artifex CF" w:cs="Times New Roman"/>
        </w:rPr>
        <w:t xml:space="preserve">vocales, </w:t>
      </w:r>
      <w:r w:rsidR="0090284D" w:rsidRPr="00A0627D">
        <w:rPr>
          <w:rFonts w:ascii="Artifex CF" w:hAnsi="Artifex CF" w:cs="Times New Roman"/>
        </w:rPr>
        <w:t>regidores</w:t>
      </w:r>
      <w:r w:rsidR="00D66F54" w:rsidRPr="00A0627D">
        <w:rPr>
          <w:rFonts w:ascii="Artifex CF" w:hAnsi="Artifex CF" w:cs="Times New Roman"/>
        </w:rPr>
        <w:t xml:space="preserve"> y</w:t>
      </w:r>
      <w:r w:rsidR="0090284D" w:rsidRPr="00A0627D">
        <w:rPr>
          <w:rFonts w:ascii="Artifex CF" w:hAnsi="Artifex CF" w:cs="Times New Roman"/>
        </w:rPr>
        <w:t xml:space="preserve"> diputados </w:t>
      </w:r>
      <w:r w:rsidR="00F71A65" w:rsidRPr="00A0627D">
        <w:rPr>
          <w:rFonts w:ascii="Artifex CF" w:hAnsi="Artifex CF" w:cs="Times New Roman"/>
        </w:rPr>
        <w:t xml:space="preserve">debe aplicarse por demarcación y no a nivel nacional. La finalidad de </w:t>
      </w:r>
      <w:r w:rsidR="009B0409" w:rsidRPr="00A0627D">
        <w:rPr>
          <w:rFonts w:ascii="Artifex CF" w:hAnsi="Artifex CF" w:cs="Times New Roman"/>
        </w:rPr>
        <w:t>la</w:t>
      </w:r>
      <w:r w:rsidR="00F71A65" w:rsidRPr="00A0627D">
        <w:rPr>
          <w:rFonts w:ascii="Artifex CF" w:hAnsi="Artifex CF" w:cs="Times New Roman"/>
        </w:rPr>
        <w:t xml:space="preserve"> sentencia es </w:t>
      </w:r>
      <w:r w:rsidR="007C388E" w:rsidRPr="00A0627D">
        <w:rPr>
          <w:rFonts w:ascii="Artifex CF" w:hAnsi="Artifex CF" w:cs="Times New Roman"/>
        </w:rPr>
        <w:t>garantizar que en cada demarcación este la cuota de género</w:t>
      </w:r>
      <w:r w:rsidR="008D057E" w:rsidRPr="00A0627D">
        <w:rPr>
          <w:rFonts w:ascii="Artifex CF" w:hAnsi="Artifex CF" w:cs="Times New Roman"/>
        </w:rPr>
        <w:t xml:space="preserve"> y así evitar </w:t>
      </w:r>
      <w:r w:rsidR="005928C3" w:rsidRPr="00A0627D">
        <w:rPr>
          <w:rFonts w:ascii="Artifex CF" w:hAnsi="Artifex CF" w:cs="Times New Roman"/>
        </w:rPr>
        <w:t xml:space="preserve">que los partidos políticos concentren la cuota de mujeres en una sola demarcación. </w:t>
      </w:r>
      <w:r w:rsidR="005E5B89" w:rsidRPr="00A0627D">
        <w:rPr>
          <w:rStyle w:val="Refdenotaalpie"/>
          <w:rFonts w:ascii="Artifex CF" w:hAnsi="Artifex CF" w:cs="Times New Roman"/>
        </w:rPr>
        <w:footnoteReference w:id="9"/>
      </w:r>
    </w:p>
    <w:p w14:paraId="0E2B62D5" w14:textId="5A934073" w:rsidR="007A15E4" w:rsidRPr="001F23F5" w:rsidRDefault="00A94166" w:rsidP="008041AB">
      <w:pPr>
        <w:jc w:val="both"/>
        <w:rPr>
          <w:rFonts w:ascii="Artifex CF" w:hAnsi="Artifex CF" w:cs="Times New Roman"/>
        </w:rPr>
      </w:pPr>
      <w:r w:rsidRPr="00A0627D">
        <w:rPr>
          <w:rFonts w:ascii="Artifex CF" w:hAnsi="Artifex CF" w:cs="Times New Roman"/>
        </w:rPr>
        <w:t>En ese sentido, los instrumentos nacionales que implican desarrollo económico, social y cultural, y que han sido promovidos por el Estado dominicano, representan derechos para todas las poblaciones</w:t>
      </w:r>
      <w:r w:rsidR="00D4752B">
        <w:rPr>
          <w:rFonts w:ascii="Artifex CF" w:hAnsi="Artifex CF" w:cs="Times New Roman"/>
        </w:rPr>
        <w:t xml:space="preserve">. </w:t>
      </w:r>
      <w:r w:rsidRPr="00A0627D">
        <w:rPr>
          <w:rFonts w:ascii="Artifex CF" w:hAnsi="Artifex CF" w:cs="Times New Roman"/>
        </w:rPr>
        <w:t>Si el Estado adopta medidas para superar la pobreza, lo hace para todas las personas.</w:t>
      </w:r>
    </w:p>
    <w:p w14:paraId="3D9DFC3B" w14:textId="77777777" w:rsidR="00766B22" w:rsidRPr="00EE054D" w:rsidRDefault="00766B22" w:rsidP="00766B22">
      <w:pPr>
        <w:pStyle w:val="Prrafodelista"/>
        <w:jc w:val="both"/>
        <w:rPr>
          <w:rFonts w:ascii="Artifex CF" w:hAnsi="Artifex CF" w:cs="Times New Roman"/>
          <w:b/>
          <w:bCs/>
        </w:rPr>
      </w:pPr>
    </w:p>
    <w:p w14:paraId="54A32164" w14:textId="5174083A" w:rsidR="006734D6" w:rsidRPr="00EE054D" w:rsidRDefault="00DB683E" w:rsidP="009526C2">
      <w:pPr>
        <w:pStyle w:val="Prrafodelista"/>
        <w:numPr>
          <w:ilvl w:val="0"/>
          <w:numId w:val="2"/>
        </w:numPr>
        <w:jc w:val="both"/>
        <w:rPr>
          <w:rFonts w:ascii="Artifex CF" w:hAnsi="Artifex CF" w:cs="Times New Roman"/>
          <w:b/>
          <w:bCs/>
        </w:rPr>
      </w:pPr>
      <w:r w:rsidRPr="00EE054D">
        <w:rPr>
          <w:rFonts w:ascii="Artifex CF" w:hAnsi="Artifex CF" w:cs="Times New Roman"/>
          <w:b/>
          <w:bCs/>
        </w:rPr>
        <w:lastRenderedPageBreak/>
        <w:t>¿Existen cuestiones relativas a las minorías que no estén sujeta a las decisiones de las autoridades estatales</w:t>
      </w:r>
      <w:r w:rsidR="0001629D" w:rsidRPr="00EE054D">
        <w:rPr>
          <w:rFonts w:ascii="Artifex CF" w:hAnsi="Artifex CF" w:cs="Times New Roman"/>
          <w:b/>
          <w:bCs/>
        </w:rPr>
        <w:t xml:space="preserve"> (incluido el Parlamento)? Por ejemplo, garantía constitucional; acuerdo político/tradicional; competencia sobre cuestiones de minorías a nivel regional, cuando las personas pertenecientes</w:t>
      </w:r>
      <w:r w:rsidR="00F56BB3" w:rsidRPr="00EE054D">
        <w:rPr>
          <w:rFonts w:ascii="Artifex CF" w:hAnsi="Artifex CF" w:cs="Times New Roman"/>
          <w:b/>
          <w:bCs/>
        </w:rPr>
        <w:t xml:space="preserve"> a una minoría representan la mayoría </w:t>
      </w:r>
      <w:r w:rsidR="00516043" w:rsidRPr="00EE054D">
        <w:rPr>
          <w:rFonts w:ascii="Artifex CF" w:hAnsi="Artifex CF" w:cs="Times New Roman"/>
          <w:b/>
          <w:bCs/>
        </w:rPr>
        <w:t>de la población)</w:t>
      </w:r>
    </w:p>
    <w:p w14:paraId="0E0D2227" w14:textId="77777777" w:rsidR="00AF2B1D" w:rsidRDefault="00AF2B1D" w:rsidP="00AF2B1D">
      <w:pPr>
        <w:pStyle w:val="Prrafodelista"/>
        <w:jc w:val="both"/>
        <w:rPr>
          <w:rFonts w:ascii="Artifex CF" w:hAnsi="Artifex CF" w:cs="Times New Roman"/>
          <w:b/>
          <w:bCs/>
        </w:rPr>
      </w:pPr>
    </w:p>
    <w:p w14:paraId="0B67AF70" w14:textId="5F3CEB23" w:rsidR="00076111" w:rsidRPr="00E01D7F" w:rsidRDefault="00E01D7F" w:rsidP="00AF2B1D">
      <w:pPr>
        <w:pStyle w:val="Prrafodelista"/>
        <w:jc w:val="both"/>
        <w:rPr>
          <w:rFonts w:ascii="Artifex CF" w:hAnsi="Artifex CF" w:cs="Times New Roman"/>
        </w:rPr>
      </w:pPr>
      <w:r>
        <w:rPr>
          <w:rFonts w:ascii="Artifex CF" w:hAnsi="Artifex CF" w:cs="Times New Roman"/>
        </w:rPr>
        <w:t xml:space="preserve">No existen. </w:t>
      </w:r>
    </w:p>
    <w:p w14:paraId="65CCBB70" w14:textId="77777777" w:rsidR="00076111" w:rsidRPr="00EE054D" w:rsidRDefault="00076111" w:rsidP="00AF2B1D">
      <w:pPr>
        <w:pStyle w:val="Prrafodelista"/>
        <w:jc w:val="both"/>
        <w:rPr>
          <w:rFonts w:ascii="Artifex CF" w:hAnsi="Artifex CF" w:cs="Times New Roman"/>
          <w:b/>
          <w:bCs/>
        </w:rPr>
      </w:pPr>
    </w:p>
    <w:p w14:paraId="3B83DAAD" w14:textId="3A126935" w:rsidR="00516043" w:rsidRPr="00EE054D" w:rsidRDefault="00B97429" w:rsidP="009526C2">
      <w:pPr>
        <w:pStyle w:val="Prrafodelista"/>
        <w:numPr>
          <w:ilvl w:val="0"/>
          <w:numId w:val="2"/>
        </w:numPr>
        <w:jc w:val="both"/>
        <w:rPr>
          <w:rFonts w:ascii="Artifex CF" w:hAnsi="Artifex CF" w:cs="Times New Roman"/>
          <w:b/>
          <w:bCs/>
        </w:rPr>
      </w:pPr>
      <w:r w:rsidRPr="00EE054D">
        <w:rPr>
          <w:rFonts w:ascii="Artifex CF" w:hAnsi="Artifex CF" w:cs="Times New Roman"/>
          <w:b/>
          <w:bCs/>
        </w:rPr>
        <w:t>¿Existen disposiciones institucionale</w:t>
      </w:r>
      <w:r w:rsidR="00AF2B1D" w:rsidRPr="00EE054D">
        <w:rPr>
          <w:rFonts w:ascii="Artifex CF" w:hAnsi="Artifex CF" w:cs="Times New Roman"/>
          <w:b/>
          <w:bCs/>
        </w:rPr>
        <w:t xml:space="preserve">s </w:t>
      </w:r>
      <w:r w:rsidRPr="00EE054D">
        <w:rPr>
          <w:rFonts w:ascii="Artifex CF" w:hAnsi="Artifex CF" w:cs="Times New Roman"/>
          <w:b/>
          <w:bCs/>
        </w:rPr>
        <w:t>o</w:t>
      </w:r>
      <w:r w:rsidR="00AF2B1D" w:rsidRPr="00EE054D">
        <w:rPr>
          <w:rFonts w:ascii="Artifex CF" w:hAnsi="Artifex CF" w:cs="Times New Roman"/>
          <w:b/>
          <w:bCs/>
        </w:rPr>
        <w:t xml:space="preserve"> prácticas</w:t>
      </w:r>
      <w:r w:rsidRPr="00EE054D">
        <w:rPr>
          <w:rFonts w:ascii="Artifex CF" w:hAnsi="Artifex CF" w:cs="Times New Roman"/>
          <w:b/>
          <w:bCs/>
        </w:rPr>
        <w:t xml:space="preserve"> políticas que excluyan a las personas pertenecientes a minorías de la participación efectiva en las decisiones a nivel nacional y, en su caso, regional?</w:t>
      </w:r>
      <w:r w:rsidR="00AF2B1D" w:rsidRPr="00EE054D">
        <w:rPr>
          <w:rFonts w:ascii="Artifex CF" w:hAnsi="Artifex CF" w:cs="Times New Roman"/>
          <w:b/>
          <w:bCs/>
        </w:rPr>
        <w:t xml:space="preserve"> – que conciernen a la minoría a la que pertenecen?</w:t>
      </w:r>
    </w:p>
    <w:p w14:paraId="16DB6C6A" w14:textId="77777777" w:rsidR="00321537" w:rsidRPr="00EE054D" w:rsidRDefault="00321537" w:rsidP="00321537">
      <w:pPr>
        <w:pStyle w:val="Prrafodelista"/>
        <w:rPr>
          <w:rFonts w:ascii="Artifex CF" w:hAnsi="Artifex CF" w:cs="Times New Roman"/>
          <w:b/>
          <w:bCs/>
        </w:rPr>
      </w:pPr>
    </w:p>
    <w:p w14:paraId="6123009D" w14:textId="43EE3298" w:rsidR="00321537" w:rsidRPr="00805635" w:rsidRDefault="00805635" w:rsidP="00321537">
      <w:pPr>
        <w:pStyle w:val="Prrafodelista"/>
        <w:jc w:val="both"/>
        <w:rPr>
          <w:rFonts w:ascii="Artifex CF" w:hAnsi="Artifex CF" w:cs="Times New Roman"/>
        </w:rPr>
      </w:pPr>
      <w:r>
        <w:rPr>
          <w:rFonts w:ascii="Artifex CF" w:hAnsi="Artifex CF" w:cs="Times New Roman"/>
        </w:rPr>
        <w:t>No existen.</w:t>
      </w:r>
    </w:p>
    <w:p w14:paraId="76E6755F" w14:textId="77777777" w:rsidR="00076111" w:rsidRDefault="00076111" w:rsidP="00321537">
      <w:pPr>
        <w:pStyle w:val="Prrafodelista"/>
        <w:jc w:val="both"/>
        <w:rPr>
          <w:rFonts w:ascii="Artifex CF" w:hAnsi="Artifex CF" w:cs="Times New Roman"/>
          <w:b/>
          <w:bCs/>
        </w:rPr>
      </w:pPr>
    </w:p>
    <w:p w14:paraId="48287429" w14:textId="77777777" w:rsidR="00076111" w:rsidRPr="00EE054D" w:rsidRDefault="00076111" w:rsidP="00321537">
      <w:pPr>
        <w:pStyle w:val="Prrafodelista"/>
        <w:jc w:val="both"/>
        <w:rPr>
          <w:rFonts w:ascii="Artifex CF" w:hAnsi="Artifex CF" w:cs="Times New Roman"/>
          <w:b/>
          <w:bCs/>
        </w:rPr>
      </w:pPr>
    </w:p>
    <w:p w14:paraId="77636F50" w14:textId="3A7DF7FC" w:rsidR="00AF2B1D" w:rsidRPr="00EE054D" w:rsidRDefault="00BC6E53" w:rsidP="009526C2">
      <w:pPr>
        <w:pStyle w:val="Prrafodelista"/>
        <w:numPr>
          <w:ilvl w:val="0"/>
          <w:numId w:val="2"/>
        </w:numPr>
        <w:jc w:val="both"/>
        <w:rPr>
          <w:rFonts w:ascii="Artifex CF" w:hAnsi="Artifex CF" w:cs="Times New Roman"/>
          <w:b/>
          <w:bCs/>
        </w:rPr>
      </w:pPr>
      <w:r w:rsidRPr="00EE054D">
        <w:rPr>
          <w:rFonts w:ascii="Artifex CF" w:hAnsi="Artifex CF" w:cs="Times New Roman"/>
          <w:b/>
          <w:bCs/>
        </w:rPr>
        <w:t xml:space="preserve">¿Existen obstáculos jurídicos, administrativos o de otro tipo que impidan a las personas pertenecientes a minorías participar de forma efectiva en la vida cultural, </w:t>
      </w:r>
      <w:r w:rsidR="00321537" w:rsidRPr="00EE054D">
        <w:rPr>
          <w:rFonts w:ascii="Artifex CF" w:hAnsi="Artifex CF" w:cs="Times New Roman"/>
          <w:b/>
          <w:bCs/>
        </w:rPr>
        <w:t>religiosa, social, económica o p</w:t>
      </w:r>
      <w:r w:rsidR="008F41D4" w:rsidRPr="00EE054D">
        <w:rPr>
          <w:rFonts w:ascii="Artifex CF" w:hAnsi="Artifex CF" w:cs="Times New Roman"/>
          <w:b/>
          <w:bCs/>
        </w:rPr>
        <w:t>ú</w:t>
      </w:r>
      <w:r w:rsidR="00321537" w:rsidRPr="00EE054D">
        <w:rPr>
          <w:rFonts w:ascii="Artifex CF" w:hAnsi="Artifex CF" w:cs="Times New Roman"/>
          <w:b/>
          <w:bCs/>
        </w:rPr>
        <w:t>blica?</w:t>
      </w:r>
    </w:p>
    <w:p w14:paraId="1B9C996E" w14:textId="4B0BD647" w:rsidR="00BC677F" w:rsidRPr="00BC677F" w:rsidRDefault="00A0627D" w:rsidP="00BC677F">
      <w:pPr>
        <w:jc w:val="both"/>
        <w:rPr>
          <w:rFonts w:ascii="Artifex CF" w:hAnsi="Artifex CF"/>
        </w:rPr>
      </w:pPr>
      <w:r>
        <w:rPr>
          <w:rFonts w:ascii="Artifex CF" w:hAnsi="Artifex CF"/>
        </w:rPr>
        <w:t>República Dominicana e</w:t>
      </w:r>
      <w:r w:rsidR="00BC677F" w:rsidRPr="00BC677F">
        <w:rPr>
          <w:rFonts w:ascii="Artifex CF" w:hAnsi="Artifex CF"/>
        </w:rPr>
        <w:t>s un Estado social y democrático de derecho, fundado en el respeto de la dignidad humana, los derechos fundamentales, el trabajo, la soberanía popular y la separación e independencia de los poderes públicos. Asimismo, es un Estado social, constitucional y democrático de derecho, en el entendido de que existe protección de los derechos sociales, hay una supremacía constitucional, contiene la sujeción de los órganos públicos a la Constitución y las demás leyes, hay una separación de poderes y existe el reconocimiento y protección de los derechos fundamentales.</w:t>
      </w:r>
    </w:p>
    <w:p w14:paraId="45C25B50" w14:textId="0BB27E8A" w:rsidR="00BE3E21" w:rsidRDefault="00BE3E21" w:rsidP="00E612E4">
      <w:pPr>
        <w:jc w:val="both"/>
        <w:rPr>
          <w:rFonts w:ascii="Artifex CF" w:hAnsi="Artifex CF"/>
        </w:rPr>
      </w:pPr>
      <w:r>
        <w:rPr>
          <w:rFonts w:ascii="Artifex CF" w:hAnsi="Artifex CF"/>
        </w:rPr>
        <w:t>En nuestra Carta Magna dentro de la sección I</w:t>
      </w:r>
      <w:r w:rsidR="00313DF1">
        <w:rPr>
          <w:rFonts w:ascii="Artifex CF" w:hAnsi="Artifex CF"/>
        </w:rPr>
        <w:t>,</w:t>
      </w:r>
      <w:r>
        <w:rPr>
          <w:rFonts w:ascii="Artifex CF" w:hAnsi="Artifex CF"/>
        </w:rPr>
        <w:t xml:space="preserve"> II</w:t>
      </w:r>
      <w:r w:rsidR="00D72440">
        <w:rPr>
          <w:rFonts w:ascii="Artifex CF" w:hAnsi="Artifex CF"/>
        </w:rPr>
        <w:t xml:space="preserve">, </w:t>
      </w:r>
      <w:r w:rsidR="00313DF1">
        <w:rPr>
          <w:rFonts w:ascii="Artifex CF" w:hAnsi="Artifex CF"/>
        </w:rPr>
        <w:t>III</w:t>
      </w:r>
      <w:r w:rsidR="00D72440">
        <w:rPr>
          <w:rFonts w:ascii="Artifex CF" w:hAnsi="Artifex CF"/>
        </w:rPr>
        <w:t xml:space="preserve"> y IV</w:t>
      </w:r>
      <w:r>
        <w:rPr>
          <w:rFonts w:ascii="Artifex CF" w:hAnsi="Artifex CF"/>
        </w:rPr>
        <w:t xml:space="preserve"> se encuentran los </w:t>
      </w:r>
      <w:r w:rsidR="002E21D3" w:rsidRPr="002E21D3">
        <w:rPr>
          <w:rFonts w:ascii="Artifex CF" w:hAnsi="Artifex CF"/>
        </w:rPr>
        <w:t xml:space="preserve">Derechos Civiles </w:t>
      </w:r>
      <w:r w:rsidR="002E21D3">
        <w:rPr>
          <w:rFonts w:ascii="Artifex CF" w:hAnsi="Artifex CF"/>
        </w:rPr>
        <w:t>y</w:t>
      </w:r>
      <w:r w:rsidR="002E21D3" w:rsidRPr="002E21D3">
        <w:rPr>
          <w:rFonts w:ascii="Artifex CF" w:hAnsi="Artifex CF"/>
        </w:rPr>
        <w:t xml:space="preserve"> Políticos</w:t>
      </w:r>
      <w:r w:rsidR="00313DF1">
        <w:rPr>
          <w:rFonts w:ascii="Artifex CF" w:hAnsi="Artifex CF"/>
        </w:rPr>
        <w:t>;</w:t>
      </w:r>
      <w:r w:rsidR="002E21D3">
        <w:rPr>
          <w:rFonts w:ascii="Artifex CF" w:hAnsi="Artifex CF"/>
        </w:rPr>
        <w:t xml:space="preserve"> </w:t>
      </w:r>
      <w:r w:rsidR="002E21D3" w:rsidRPr="002E21D3">
        <w:rPr>
          <w:rFonts w:ascii="Artifex CF" w:hAnsi="Artifex CF"/>
        </w:rPr>
        <w:t xml:space="preserve">Derechos Económicos </w:t>
      </w:r>
      <w:r w:rsidR="002E21D3">
        <w:rPr>
          <w:rFonts w:ascii="Artifex CF" w:hAnsi="Artifex CF"/>
        </w:rPr>
        <w:t>y</w:t>
      </w:r>
      <w:r w:rsidR="002E21D3" w:rsidRPr="002E21D3">
        <w:rPr>
          <w:rFonts w:ascii="Artifex CF" w:hAnsi="Artifex CF"/>
        </w:rPr>
        <w:t xml:space="preserve"> Sociales</w:t>
      </w:r>
      <w:r w:rsidR="002E21D3">
        <w:rPr>
          <w:rFonts w:ascii="Artifex CF" w:hAnsi="Artifex CF"/>
        </w:rPr>
        <w:t>,</w:t>
      </w:r>
      <w:r w:rsidR="00D55224">
        <w:rPr>
          <w:rFonts w:ascii="Artifex CF" w:hAnsi="Artifex CF"/>
        </w:rPr>
        <w:t xml:space="preserve"> </w:t>
      </w:r>
      <w:r w:rsidR="00313DF1">
        <w:rPr>
          <w:rFonts w:ascii="Artifex CF" w:hAnsi="Artifex CF"/>
        </w:rPr>
        <w:t>Derechos Culturales</w:t>
      </w:r>
      <w:r w:rsidR="00500E2A">
        <w:rPr>
          <w:rFonts w:ascii="Artifex CF" w:hAnsi="Artifex CF"/>
        </w:rPr>
        <w:t xml:space="preserve"> y Deportivos</w:t>
      </w:r>
      <w:r w:rsidR="007F033D">
        <w:rPr>
          <w:rFonts w:ascii="Artifex CF" w:hAnsi="Artifex CF"/>
        </w:rPr>
        <w:t>,</w:t>
      </w:r>
      <w:r w:rsidR="00D72440">
        <w:rPr>
          <w:rFonts w:ascii="Artifex CF" w:hAnsi="Artifex CF"/>
        </w:rPr>
        <w:t xml:space="preserve"> y Derechos Colectivos y del Medioambiente,</w:t>
      </w:r>
      <w:r w:rsidR="002E21D3">
        <w:rPr>
          <w:rFonts w:ascii="Artifex CF" w:hAnsi="Artifex CF"/>
        </w:rPr>
        <w:t xml:space="preserve"> respectivamente. </w:t>
      </w:r>
      <w:r w:rsidR="00AA7D01">
        <w:rPr>
          <w:rFonts w:ascii="Artifex CF" w:hAnsi="Artifex CF"/>
        </w:rPr>
        <w:t>Estas</w:t>
      </w:r>
      <w:r w:rsidR="009572AA">
        <w:rPr>
          <w:rFonts w:ascii="Artifex CF" w:hAnsi="Artifex CF"/>
        </w:rPr>
        <w:t xml:space="preserve"> secciones incluyen los derechos que </w:t>
      </w:r>
      <w:r w:rsidR="005C5D48">
        <w:rPr>
          <w:rFonts w:ascii="Artifex CF" w:hAnsi="Artifex CF"/>
        </w:rPr>
        <w:t>posee</w:t>
      </w:r>
      <w:r w:rsidR="009572AA">
        <w:rPr>
          <w:rFonts w:ascii="Artifex CF" w:hAnsi="Artifex CF"/>
        </w:rPr>
        <w:t xml:space="preserve"> cada persona para ser parte de la vida religiosa, cultural, económica y p</w:t>
      </w:r>
      <w:r w:rsidR="00301D04">
        <w:rPr>
          <w:rFonts w:ascii="Artifex CF" w:hAnsi="Artifex CF"/>
        </w:rPr>
        <w:t>ú</w:t>
      </w:r>
      <w:r w:rsidR="009572AA">
        <w:rPr>
          <w:rFonts w:ascii="Artifex CF" w:hAnsi="Artifex CF"/>
        </w:rPr>
        <w:t xml:space="preserve">blica. </w:t>
      </w:r>
      <w:r w:rsidR="00C45961">
        <w:rPr>
          <w:rFonts w:ascii="Artifex CF" w:hAnsi="Artifex CF"/>
        </w:rPr>
        <w:t xml:space="preserve">Por lo cual, no existe ningún obstáculo jurídico para que </w:t>
      </w:r>
      <w:r w:rsidR="00B642A0">
        <w:rPr>
          <w:rFonts w:ascii="Artifex CF" w:hAnsi="Artifex CF"/>
        </w:rPr>
        <w:t>cualquier ciudadano dominicano sea parte de esto, recalcando nuevamente que</w:t>
      </w:r>
      <w:r w:rsidR="00652192">
        <w:rPr>
          <w:rFonts w:ascii="Artifex CF" w:hAnsi="Artifex CF"/>
        </w:rPr>
        <w:t>,</w:t>
      </w:r>
      <w:r w:rsidR="00B642A0">
        <w:rPr>
          <w:rFonts w:ascii="Artifex CF" w:hAnsi="Artifex CF"/>
        </w:rPr>
        <w:t xml:space="preserve"> en República Dominicana no existen minorías </w:t>
      </w:r>
      <w:r w:rsidR="003E51A2" w:rsidRPr="003E51A2">
        <w:rPr>
          <w:rFonts w:ascii="Artifex CF" w:hAnsi="Artifex CF"/>
        </w:rPr>
        <w:t>raciales, étnicas, religiosas o lingüísticas</w:t>
      </w:r>
      <w:r w:rsidR="003E51A2">
        <w:rPr>
          <w:rFonts w:ascii="Artifex CF" w:hAnsi="Artifex CF"/>
        </w:rPr>
        <w:t>.</w:t>
      </w:r>
    </w:p>
    <w:p w14:paraId="6C5E94BF" w14:textId="49F08C59" w:rsidR="00E612E4" w:rsidRPr="00EE054D" w:rsidRDefault="00C43BC1" w:rsidP="00E612E4">
      <w:pPr>
        <w:jc w:val="both"/>
        <w:rPr>
          <w:rFonts w:ascii="Artifex CF" w:hAnsi="Artifex CF"/>
        </w:rPr>
      </w:pPr>
      <w:r>
        <w:rPr>
          <w:rFonts w:ascii="Artifex CF" w:hAnsi="Artifex CF"/>
        </w:rPr>
        <w:t>Con relación al</w:t>
      </w:r>
      <w:r w:rsidR="00F779F3">
        <w:rPr>
          <w:rFonts w:ascii="Artifex CF" w:hAnsi="Artifex CF"/>
        </w:rPr>
        <w:t xml:space="preserve"> </w:t>
      </w:r>
      <w:r w:rsidR="00AF007D">
        <w:rPr>
          <w:rFonts w:ascii="Artifex CF" w:hAnsi="Artifex CF"/>
        </w:rPr>
        <w:t xml:space="preserve">texto </w:t>
      </w:r>
      <w:r w:rsidR="00F779F3">
        <w:rPr>
          <w:rFonts w:ascii="Artifex CF" w:hAnsi="Artifex CF"/>
        </w:rPr>
        <w:t xml:space="preserve">anterior, es precio </w:t>
      </w:r>
      <w:r w:rsidR="00AF007D">
        <w:rPr>
          <w:rFonts w:ascii="Artifex CF" w:hAnsi="Artifex CF"/>
        </w:rPr>
        <w:t>destacar</w:t>
      </w:r>
      <w:r w:rsidR="00F779F3">
        <w:rPr>
          <w:rFonts w:ascii="Artifex CF" w:hAnsi="Artifex CF"/>
        </w:rPr>
        <w:t xml:space="preserve"> </w:t>
      </w:r>
      <w:r w:rsidR="00981929">
        <w:rPr>
          <w:rFonts w:ascii="Artifex CF" w:hAnsi="Artifex CF"/>
        </w:rPr>
        <w:t>que e</w:t>
      </w:r>
      <w:r w:rsidR="0076263F" w:rsidRPr="00EE054D">
        <w:rPr>
          <w:rFonts w:ascii="Artifex CF" w:hAnsi="Artifex CF"/>
        </w:rPr>
        <w:t xml:space="preserve">l artículo 64 de la Carta Magna, incorpora los derechos culturales estableciendo que: toda persona tiene derecho a participar y actuar con libertad y sin censura en la vida cultural de la Nación, al pleno </w:t>
      </w:r>
      <w:r w:rsidR="0076263F" w:rsidRPr="00EE054D">
        <w:rPr>
          <w:rFonts w:ascii="Artifex CF" w:hAnsi="Artifex CF"/>
        </w:rPr>
        <w:lastRenderedPageBreak/>
        <w:t xml:space="preserve">acceso y disfrute de los bienes y servicios culturales, de los avances científicos y de la producción artística y literaria. </w:t>
      </w:r>
    </w:p>
    <w:p w14:paraId="5B629BDB" w14:textId="6663BDB7" w:rsidR="0076263F" w:rsidRDefault="0076263F" w:rsidP="001F59B8">
      <w:pPr>
        <w:jc w:val="both"/>
        <w:rPr>
          <w:rFonts w:ascii="Artifex CF" w:hAnsi="Artifex CF"/>
        </w:rPr>
      </w:pPr>
      <w:r w:rsidRPr="001F59B8">
        <w:rPr>
          <w:rFonts w:ascii="Artifex CF" w:hAnsi="Artifex CF"/>
        </w:rPr>
        <w:t>Es importante señalar además que los derechos plasmados en la Constitución (2015), vinculan a todas las personas y órganos con potestades públicas, implicando una obligación de cumplimiento (</w:t>
      </w:r>
      <w:r w:rsidR="00BA3986">
        <w:rPr>
          <w:rFonts w:ascii="Artifex CF" w:hAnsi="Artifex CF"/>
        </w:rPr>
        <w:t>a</w:t>
      </w:r>
      <w:r w:rsidR="00BA3986" w:rsidRPr="001F59B8">
        <w:rPr>
          <w:rFonts w:ascii="Artifex CF" w:hAnsi="Artifex CF"/>
        </w:rPr>
        <w:t>rt</w:t>
      </w:r>
      <w:r w:rsidR="00BA3986">
        <w:rPr>
          <w:rFonts w:ascii="Artifex CF" w:hAnsi="Artifex CF"/>
        </w:rPr>
        <w:t>ículo</w:t>
      </w:r>
      <w:r w:rsidRPr="001F59B8">
        <w:rPr>
          <w:rFonts w:ascii="Artifex CF" w:hAnsi="Artifex CF"/>
        </w:rPr>
        <w:t xml:space="preserve"> 6), y aquellos que contravengan lo estipulado en esta, son nulos de pleno derecho, por lo que las políticas del Estado se dirigen a toda la población de manera igualitaria, sin mediar en su disfrute ningún tipo de discriminación.</w:t>
      </w:r>
    </w:p>
    <w:p w14:paraId="2DAEF908" w14:textId="15840842" w:rsidR="00A215F3" w:rsidRPr="001F59B8" w:rsidRDefault="00BA3986" w:rsidP="001F59B8">
      <w:pPr>
        <w:jc w:val="both"/>
        <w:rPr>
          <w:rFonts w:ascii="Artifex CF" w:hAnsi="Artifex CF"/>
        </w:rPr>
      </w:pPr>
      <w:r>
        <w:rPr>
          <w:rFonts w:ascii="Artifex CF" w:hAnsi="Artifex CF"/>
        </w:rPr>
        <w:t>De igual modo, lo expresa el a</w:t>
      </w:r>
      <w:r w:rsidRPr="00BA3986">
        <w:rPr>
          <w:rFonts w:ascii="Artifex CF" w:hAnsi="Artifex CF"/>
        </w:rPr>
        <w:t>rtículo 8</w:t>
      </w:r>
      <w:r>
        <w:rPr>
          <w:rFonts w:ascii="Artifex CF" w:hAnsi="Artifex CF"/>
        </w:rPr>
        <w:t xml:space="preserve">, dejando saber que es función esencial </w:t>
      </w:r>
      <w:r w:rsidRPr="00BA3986">
        <w:rPr>
          <w:rFonts w:ascii="Artifex CF" w:hAnsi="Artifex CF"/>
        </w:rPr>
        <w:t>del Estado, la protección efectiva de los derechos de la persona, el respeto de su dignidad y la obtención de los medios que le permitan perfeccionarse de forma igualitaria, equitativa y progresiva, dentro de un marco de libertad individual y de justicia social, compatibles con el orden público, el bienestar general y los derechos de todos y todas.</w:t>
      </w:r>
    </w:p>
    <w:p w14:paraId="7BBC3D0A" w14:textId="5A4E15C2" w:rsidR="00155700" w:rsidRPr="00EE054D" w:rsidRDefault="00155700" w:rsidP="0058573B">
      <w:pPr>
        <w:pStyle w:val="Prrafodelista"/>
        <w:jc w:val="both"/>
        <w:rPr>
          <w:rFonts w:ascii="Artifex CF" w:hAnsi="Artifex CF" w:cs="Times New Roman"/>
        </w:rPr>
      </w:pPr>
    </w:p>
    <w:p w14:paraId="357115E9" w14:textId="77777777" w:rsidR="00155700" w:rsidRPr="00EE054D" w:rsidRDefault="00155700" w:rsidP="0058573B">
      <w:pPr>
        <w:pStyle w:val="Prrafodelista"/>
        <w:jc w:val="both"/>
        <w:rPr>
          <w:rFonts w:ascii="Artifex CF" w:hAnsi="Artifex CF" w:cs="Times New Roman"/>
          <w:b/>
          <w:bCs/>
        </w:rPr>
      </w:pPr>
    </w:p>
    <w:p w14:paraId="2EBF2296" w14:textId="30BDC4CF" w:rsidR="00321537" w:rsidRPr="00EE054D" w:rsidRDefault="00321537" w:rsidP="009526C2">
      <w:pPr>
        <w:pStyle w:val="Prrafodelista"/>
        <w:numPr>
          <w:ilvl w:val="0"/>
          <w:numId w:val="2"/>
        </w:numPr>
        <w:jc w:val="both"/>
        <w:rPr>
          <w:rFonts w:ascii="Artifex CF" w:hAnsi="Artifex CF" w:cs="Times New Roman"/>
          <w:b/>
          <w:bCs/>
        </w:rPr>
      </w:pPr>
      <w:r w:rsidRPr="00EE054D">
        <w:rPr>
          <w:rFonts w:ascii="Artifex CF" w:hAnsi="Artifex CF" w:cs="Times New Roman"/>
          <w:b/>
          <w:bCs/>
        </w:rPr>
        <w:t>¿Cuáles son los beneficios y/o retos</w:t>
      </w:r>
      <w:r w:rsidR="0058573B" w:rsidRPr="00EE054D">
        <w:rPr>
          <w:rFonts w:ascii="Artifex CF" w:hAnsi="Artifex CF" w:cs="Times New Roman"/>
          <w:b/>
          <w:bCs/>
        </w:rPr>
        <w:t xml:space="preserve"> de reconocer y conceder autonomía sectorial (por ejemplo, a sectores como la educación) o territorial a las minorías?</w:t>
      </w:r>
    </w:p>
    <w:p w14:paraId="66B5400A" w14:textId="4EC32523" w:rsidR="00025792" w:rsidRDefault="00A977F8" w:rsidP="00025792">
      <w:pPr>
        <w:jc w:val="both"/>
        <w:rPr>
          <w:rFonts w:ascii="Artifex CF" w:hAnsi="Artifex CF" w:cs="Times New Roman"/>
        </w:rPr>
      </w:pPr>
      <w:r>
        <w:rPr>
          <w:rFonts w:ascii="Artifex CF" w:hAnsi="Artifex CF" w:cs="Times New Roman"/>
        </w:rPr>
        <w:t>No aplica.</w:t>
      </w:r>
    </w:p>
    <w:p w14:paraId="07320FD3" w14:textId="77777777" w:rsidR="005F77A7" w:rsidRDefault="005F77A7" w:rsidP="00025792">
      <w:pPr>
        <w:jc w:val="both"/>
        <w:rPr>
          <w:rFonts w:ascii="Artifex CF" w:hAnsi="Artifex CF" w:cs="Times New Roman"/>
        </w:rPr>
      </w:pPr>
    </w:p>
    <w:p w14:paraId="17F38FBC" w14:textId="47BB5269" w:rsidR="00375569" w:rsidRDefault="00375569" w:rsidP="00025792">
      <w:pPr>
        <w:jc w:val="both"/>
        <w:rPr>
          <w:rFonts w:ascii="Artifex CF" w:hAnsi="Artifex CF" w:cs="Times New Roman"/>
        </w:rPr>
      </w:pPr>
    </w:p>
    <w:p w14:paraId="2A19190C" w14:textId="77777777" w:rsidR="00031BBC" w:rsidRDefault="00031BBC" w:rsidP="00025792">
      <w:pPr>
        <w:jc w:val="both"/>
        <w:rPr>
          <w:rFonts w:ascii="Artifex CF" w:hAnsi="Artifex CF" w:cs="Times New Roman"/>
        </w:rPr>
      </w:pPr>
    </w:p>
    <w:p w14:paraId="569C3790" w14:textId="77777777" w:rsidR="00031BBC" w:rsidRDefault="00031BBC" w:rsidP="00025792">
      <w:pPr>
        <w:jc w:val="both"/>
        <w:rPr>
          <w:rFonts w:ascii="Artifex CF" w:hAnsi="Artifex CF" w:cs="Times New Roman"/>
        </w:rPr>
      </w:pPr>
    </w:p>
    <w:p w14:paraId="728F3ECD" w14:textId="77777777" w:rsidR="00031BBC" w:rsidRDefault="00031BBC" w:rsidP="00025792">
      <w:pPr>
        <w:jc w:val="both"/>
        <w:rPr>
          <w:rFonts w:ascii="Artifex CF" w:hAnsi="Artifex CF" w:cs="Times New Roman"/>
        </w:rPr>
      </w:pPr>
    </w:p>
    <w:p w14:paraId="6AAD9A94" w14:textId="77777777" w:rsidR="00031BBC" w:rsidRDefault="00031BBC" w:rsidP="00025792">
      <w:pPr>
        <w:jc w:val="both"/>
        <w:rPr>
          <w:rFonts w:ascii="Artifex CF" w:hAnsi="Artifex CF" w:cs="Times New Roman"/>
        </w:rPr>
      </w:pPr>
    </w:p>
    <w:p w14:paraId="7F65A444" w14:textId="77777777" w:rsidR="00031BBC" w:rsidRDefault="00031BBC" w:rsidP="00025792">
      <w:pPr>
        <w:jc w:val="both"/>
        <w:rPr>
          <w:rFonts w:ascii="Artifex CF" w:hAnsi="Artifex CF" w:cs="Times New Roman"/>
        </w:rPr>
      </w:pPr>
    </w:p>
    <w:p w14:paraId="516CC0B7" w14:textId="77777777" w:rsidR="00031BBC" w:rsidRDefault="00031BBC" w:rsidP="00025792">
      <w:pPr>
        <w:jc w:val="both"/>
        <w:rPr>
          <w:rFonts w:ascii="Artifex CF" w:hAnsi="Artifex CF" w:cs="Times New Roman"/>
        </w:rPr>
      </w:pPr>
    </w:p>
    <w:p w14:paraId="6DC52C7D" w14:textId="77777777" w:rsidR="00031BBC" w:rsidRDefault="00031BBC" w:rsidP="00025792">
      <w:pPr>
        <w:jc w:val="both"/>
        <w:rPr>
          <w:rFonts w:ascii="Artifex CF" w:hAnsi="Artifex CF" w:cs="Times New Roman"/>
        </w:rPr>
      </w:pPr>
    </w:p>
    <w:p w14:paraId="65BA0786" w14:textId="77777777" w:rsidR="00634219" w:rsidRDefault="00634219" w:rsidP="00025792">
      <w:pPr>
        <w:jc w:val="both"/>
        <w:rPr>
          <w:rFonts w:ascii="Artifex CF" w:hAnsi="Artifex CF" w:cs="Times New Roman"/>
        </w:rPr>
      </w:pPr>
    </w:p>
    <w:p w14:paraId="404B98B2" w14:textId="2D45FBEA" w:rsidR="00031BBC" w:rsidRPr="001B4ED3" w:rsidRDefault="00031BBC" w:rsidP="00025792">
      <w:pPr>
        <w:jc w:val="both"/>
        <w:rPr>
          <w:rFonts w:ascii="Artifex CF" w:hAnsi="Artifex CF" w:cs="Times New Roman"/>
        </w:rPr>
      </w:pPr>
      <w:r>
        <w:rPr>
          <w:rFonts w:ascii="Artifex CF" w:hAnsi="Artifex CF" w:cs="Times New Roman"/>
        </w:rPr>
        <w:t>RSV/NP/SPF/am.</w:t>
      </w:r>
    </w:p>
    <w:sectPr w:rsidR="00031BBC" w:rsidRPr="001B4ED3">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AF97F7" w14:textId="77777777" w:rsidR="00145361" w:rsidRDefault="00145361" w:rsidP="00215B07">
      <w:pPr>
        <w:spacing w:after="0" w:line="240" w:lineRule="auto"/>
      </w:pPr>
      <w:r>
        <w:separator/>
      </w:r>
    </w:p>
  </w:endnote>
  <w:endnote w:type="continuationSeparator" w:id="0">
    <w:p w14:paraId="43720A32" w14:textId="77777777" w:rsidR="00145361" w:rsidRDefault="00145361" w:rsidP="00215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tifex CF">
    <w:panose1 w:val="00000500000000000000"/>
    <w:charset w:val="00"/>
    <w:family w:val="modern"/>
    <w:notTrueType/>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tifex CF Book">
    <w:altName w:val="Calibri"/>
    <w:panose1 w:val="00000600000000000000"/>
    <w:charset w:val="00"/>
    <w:family w:val="modern"/>
    <w:notTrueType/>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D2C1D3" w14:textId="77777777" w:rsidR="00145361" w:rsidRDefault="00145361" w:rsidP="00215B07">
      <w:pPr>
        <w:spacing w:after="0" w:line="240" w:lineRule="auto"/>
      </w:pPr>
      <w:r>
        <w:separator/>
      </w:r>
    </w:p>
  </w:footnote>
  <w:footnote w:type="continuationSeparator" w:id="0">
    <w:p w14:paraId="5988C0D8" w14:textId="77777777" w:rsidR="00145361" w:rsidRDefault="00145361" w:rsidP="00215B07">
      <w:pPr>
        <w:spacing w:after="0" w:line="240" w:lineRule="auto"/>
      </w:pPr>
      <w:r>
        <w:continuationSeparator/>
      </w:r>
    </w:p>
  </w:footnote>
  <w:footnote w:id="1">
    <w:p w14:paraId="3FBE7DDD" w14:textId="3D69D536" w:rsidR="009C0AD0" w:rsidRPr="009C0AD0" w:rsidRDefault="009C0AD0">
      <w:pPr>
        <w:pStyle w:val="Textonotapie"/>
        <w:rPr>
          <w:rFonts w:ascii="Artifex CF" w:hAnsi="Artifex CF"/>
          <w:sz w:val="16"/>
          <w:szCs w:val="16"/>
        </w:rPr>
      </w:pPr>
      <w:r w:rsidRPr="009C0AD0">
        <w:rPr>
          <w:rStyle w:val="Refdenotaalpie"/>
          <w:rFonts w:ascii="Artifex CF" w:hAnsi="Artifex CF"/>
          <w:sz w:val="16"/>
          <w:szCs w:val="16"/>
        </w:rPr>
        <w:footnoteRef/>
      </w:r>
      <w:r w:rsidRPr="009C0AD0">
        <w:rPr>
          <w:rFonts w:ascii="Artifex CF" w:hAnsi="Artifex CF"/>
          <w:sz w:val="16"/>
          <w:szCs w:val="16"/>
        </w:rPr>
        <w:t xml:space="preserve"> Africanía en República Dominicana: </w:t>
      </w:r>
      <w:hyperlink r:id="rId1" w:history="1">
        <w:r w:rsidRPr="009C0AD0">
          <w:rPr>
            <w:rStyle w:val="Hipervnculo"/>
            <w:rFonts w:ascii="Artifex CF" w:hAnsi="Artifex CF"/>
            <w:sz w:val="16"/>
            <w:szCs w:val="16"/>
          </w:rPr>
          <w:t>https://repositorio.unam.mx/contenidos/africania-en-</w:t>
        </w:r>
        <w:r w:rsidR="002E4DC6">
          <w:rPr>
            <w:rStyle w:val="Hipervnculo"/>
            <w:rFonts w:ascii="Artifex CF" w:hAnsi="Artifex CF"/>
            <w:sz w:val="16"/>
            <w:szCs w:val="16"/>
          </w:rPr>
          <w:t>República</w:t>
        </w:r>
        <w:r w:rsidRPr="009C0AD0">
          <w:rPr>
            <w:rStyle w:val="Hipervnculo"/>
            <w:rFonts w:ascii="Artifex CF" w:hAnsi="Artifex CF"/>
            <w:sz w:val="16"/>
            <w:szCs w:val="16"/>
          </w:rPr>
          <w:t>-dominicana-94096?c=aeX3p3&amp;d=false&amp;q=*:*&amp;i=2&amp;v=1&amp;t=search_1&amp;as=0</w:t>
        </w:r>
      </w:hyperlink>
    </w:p>
    <w:p w14:paraId="2AB3B75D" w14:textId="27FF9397" w:rsidR="009C0AD0" w:rsidRDefault="009C0AD0">
      <w:pPr>
        <w:pStyle w:val="Textonotapie"/>
      </w:pPr>
      <w:r w:rsidRPr="009C0AD0">
        <w:rPr>
          <w:rFonts w:ascii="Artifex CF" w:hAnsi="Artifex CF"/>
          <w:sz w:val="16"/>
          <w:szCs w:val="16"/>
        </w:rPr>
        <w:t>.</w:t>
      </w:r>
    </w:p>
  </w:footnote>
  <w:footnote w:id="2">
    <w:p w14:paraId="4178FD6B" w14:textId="7A2360FF" w:rsidR="00D07C1D" w:rsidRDefault="00D07C1D">
      <w:pPr>
        <w:pStyle w:val="Textonotapie"/>
      </w:pPr>
      <w:r>
        <w:rPr>
          <w:rStyle w:val="Refdenotaalpie"/>
        </w:rPr>
        <w:footnoteRef/>
      </w:r>
      <w:r>
        <w:t xml:space="preserve"> </w:t>
      </w:r>
      <w:r w:rsidRPr="00D07C1D">
        <w:rPr>
          <w:rFonts w:ascii="Artifex CF" w:hAnsi="Artifex CF"/>
          <w:sz w:val="16"/>
          <w:szCs w:val="16"/>
        </w:rPr>
        <w:t xml:space="preserve">Poder Judicial: </w:t>
      </w:r>
      <w:hyperlink r:id="rId2" w:history="1">
        <w:r w:rsidRPr="00D07C1D">
          <w:rPr>
            <w:rStyle w:val="Hipervnculo"/>
            <w:rFonts w:ascii="Artifex CF" w:hAnsi="Artifex CF"/>
            <w:sz w:val="16"/>
            <w:szCs w:val="16"/>
          </w:rPr>
          <w:t>https://observatoriojusticiaygenero.poderjudicial.gob.do/documentos/PDF/publicaciones/Lib_ENJ_Constitucion_Comentada_1_WEB.pdf</w:t>
        </w:r>
      </w:hyperlink>
    </w:p>
  </w:footnote>
  <w:footnote w:id="3">
    <w:p w14:paraId="304BCE0C" w14:textId="3B90CAF3" w:rsidR="00680089" w:rsidRPr="00634219" w:rsidRDefault="00955BB0">
      <w:pPr>
        <w:pStyle w:val="Textonotapie"/>
        <w:rPr>
          <w:rFonts w:ascii="Artifex CF" w:hAnsi="Artifex CF"/>
          <w:sz w:val="16"/>
          <w:szCs w:val="16"/>
        </w:rPr>
      </w:pPr>
      <w:r w:rsidRPr="00680089">
        <w:rPr>
          <w:rStyle w:val="Refdenotaalpie"/>
          <w:rFonts w:ascii="Artifex CF" w:hAnsi="Artifex CF"/>
          <w:sz w:val="16"/>
          <w:szCs w:val="16"/>
        </w:rPr>
        <w:footnoteRef/>
      </w:r>
      <w:r w:rsidRPr="00680089">
        <w:rPr>
          <w:rFonts w:ascii="Artifex CF" w:hAnsi="Artifex CF"/>
          <w:sz w:val="16"/>
          <w:szCs w:val="16"/>
        </w:rPr>
        <w:t xml:space="preserve"> </w:t>
      </w:r>
      <w:r w:rsidR="00680089" w:rsidRPr="00680089">
        <w:rPr>
          <w:rFonts w:ascii="Artifex CF" w:hAnsi="Artifex CF"/>
          <w:sz w:val="16"/>
          <w:szCs w:val="16"/>
        </w:rPr>
        <w:t xml:space="preserve">Poder Judicial: </w:t>
      </w:r>
      <w:hyperlink r:id="rId3" w:history="1">
        <w:r w:rsidR="00680089" w:rsidRPr="00680089">
          <w:rPr>
            <w:rStyle w:val="Hipervnculo"/>
            <w:rFonts w:ascii="Artifex CF" w:hAnsi="Artifex CF"/>
            <w:sz w:val="16"/>
            <w:szCs w:val="16"/>
          </w:rPr>
          <w:t>https://observatoriojusticiaygenero.poderjudicial.gob.do/documentos/PDF/publicaciones/Lib_ENJ_Constitucion_Comentada_1_WEB.pdf</w:t>
        </w:r>
      </w:hyperlink>
    </w:p>
  </w:footnote>
  <w:footnote w:id="4">
    <w:p w14:paraId="200F8179" w14:textId="4A619717" w:rsidR="00277CC2" w:rsidRPr="00277CC2" w:rsidRDefault="00277CC2">
      <w:pPr>
        <w:pStyle w:val="Textonotapie"/>
        <w:rPr>
          <w:rFonts w:ascii="Artifex CF" w:hAnsi="Artifex CF"/>
          <w:sz w:val="18"/>
          <w:szCs w:val="18"/>
        </w:rPr>
      </w:pPr>
      <w:r w:rsidRPr="00277CC2">
        <w:rPr>
          <w:rStyle w:val="Refdenotaalpie"/>
          <w:rFonts w:ascii="Artifex CF" w:hAnsi="Artifex CF"/>
          <w:sz w:val="18"/>
          <w:szCs w:val="18"/>
        </w:rPr>
        <w:footnoteRef/>
      </w:r>
      <w:r w:rsidRPr="00277CC2">
        <w:rPr>
          <w:rFonts w:ascii="Artifex CF" w:hAnsi="Artifex CF"/>
          <w:sz w:val="18"/>
          <w:szCs w:val="18"/>
        </w:rPr>
        <w:t xml:space="preserve"> Ley 5136: </w:t>
      </w:r>
      <w:hyperlink r:id="rId4" w:history="1">
        <w:r w:rsidRPr="00277CC2">
          <w:rPr>
            <w:rStyle w:val="Hipervnculo"/>
            <w:rFonts w:ascii="Artifex CF" w:hAnsi="Artifex CF"/>
            <w:sz w:val="18"/>
            <w:szCs w:val="18"/>
          </w:rPr>
          <w:t>https://mecona.org/wp-content/uploads/2021/02/Castellano-idioma-oficial-ley-5136.pdf</w:t>
        </w:r>
      </w:hyperlink>
    </w:p>
  </w:footnote>
  <w:footnote w:id="5">
    <w:p w14:paraId="111ADEFC" w14:textId="2CE82F0C" w:rsidR="00750903" w:rsidRPr="00277CC2" w:rsidRDefault="00750903">
      <w:pPr>
        <w:pStyle w:val="Textonotapie"/>
        <w:rPr>
          <w:rFonts w:ascii="Artifex CF Book" w:hAnsi="Artifex CF Book"/>
          <w:sz w:val="16"/>
          <w:szCs w:val="16"/>
        </w:rPr>
      </w:pPr>
      <w:r w:rsidRPr="00277CC2">
        <w:rPr>
          <w:rStyle w:val="Refdenotaalpie"/>
          <w:rFonts w:ascii="Artifex CF" w:hAnsi="Artifex CF"/>
          <w:sz w:val="18"/>
          <w:szCs w:val="18"/>
        </w:rPr>
        <w:footnoteRef/>
      </w:r>
      <w:r w:rsidRPr="00277CC2">
        <w:rPr>
          <w:rFonts w:ascii="Artifex CF" w:hAnsi="Artifex CF"/>
          <w:sz w:val="18"/>
          <w:szCs w:val="18"/>
        </w:rPr>
        <w:t xml:space="preserve"> MIREX</w:t>
      </w:r>
      <w:r w:rsidRPr="00277CC2">
        <w:rPr>
          <w:rFonts w:ascii="Artifex CF Book" w:hAnsi="Artifex CF Book"/>
          <w:sz w:val="16"/>
          <w:szCs w:val="16"/>
        </w:rPr>
        <w:t xml:space="preserve">: </w:t>
      </w:r>
      <w:hyperlink r:id="rId5" w:history="1">
        <w:r w:rsidRPr="00277CC2">
          <w:rPr>
            <w:rStyle w:val="Hipervnculo"/>
            <w:rFonts w:ascii="Artifex CF Book" w:hAnsi="Artifex CF Book"/>
            <w:sz w:val="16"/>
            <w:szCs w:val="16"/>
          </w:rPr>
          <w:t>https://mirex.gob.do/religion/</w:t>
        </w:r>
      </w:hyperlink>
    </w:p>
    <w:p w14:paraId="12F9DB4E" w14:textId="77777777" w:rsidR="00750903" w:rsidRPr="00277CC2" w:rsidRDefault="00750903">
      <w:pPr>
        <w:pStyle w:val="Textonotapie"/>
      </w:pPr>
    </w:p>
  </w:footnote>
  <w:footnote w:id="6">
    <w:p w14:paraId="6DBCB788" w14:textId="7414459B" w:rsidR="00215B07" w:rsidRPr="003F1290" w:rsidRDefault="00215B07">
      <w:pPr>
        <w:pStyle w:val="Textonotapie"/>
        <w:rPr>
          <w:rFonts w:ascii="Artifex CF" w:hAnsi="Artifex CF"/>
          <w:sz w:val="16"/>
          <w:szCs w:val="16"/>
        </w:rPr>
      </w:pPr>
      <w:r w:rsidRPr="003F1290">
        <w:rPr>
          <w:rStyle w:val="Refdenotaalpie"/>
          <w:rFonts w:ascii="Artifex CF" w:hAnsi="Artifex CF"/>
          <w:sz w:val="16"/>
          <w:szCs w:val="16"/>
        </w:rPr>
        <w:footnoteRef/>
      </w:r>
      <w:r w:rsidRPr="003F1290">
        <w:rPr>
          <w:rFonts w:ascii="Artifex CF" w:hAnsi="Artifex CF"/>
          <w:sz w:val="16"/>
          <w:szCs w:val="16"/>
        </w:rPr>
        <w:t xml:space="preserve"> Observatorio de justicia y g</w:t>
      </w:r>
      <w:r w:rsidR="00BC5F0F" w:rsidRPr="003F1290">
        <w:rPr>
          <w:rFonts w:ascii="Artifex CF" w:hAnsi="Artifex CF"/>
          <w:sz w:val="16"/>
          <w:szCs w:val="16"/>
        </w:rPr>
        <w:t>é</w:t>
      </w:r>
      <w:r w:rsidRPr="003F1290">
        <w:rPr>
          <w:rFonts w:ascii="Artifex CF" w:hAnsi="Artifex CF"/>
          <w:sz w:val="16"/>
          <w:szCs w:val="16"/>
        </w:rPr>
        <w:t xml:space="preserve">nero del Poder Judicial: </w:t>
      </w:r>
      <w:hyperlink r:id="rId6" w:history="1">
        <w:r w:rsidRPr="003F1290">
          <w:rPr>
            <w:rStyle w:val="Hipervnculo"/>
            <w:rFonts w:ascii="Artifex CF" w:hAnsi="Artifex CF"/>
            <w:sz w:val="16"/>
            <w:szCs w:val="16"/>
          </w:rPr>
          <w:t>https://observatoriojusticiaygenero.poderjudicial.gob.do/documentos/PDF/normativas/NOR_ley_15_19_Organica_de_Regimen_Electoral.pdf</w:t>
        </w:r>
      </w:hyperlink>
    </w:p>
  </w:footnote>
  <w:footnote w:id="7">
    <w:p w14:paraId="0D7C0954" w14:textId="2A49262F" w:rsidR="004F6033" w:rsidRDefault="004F6033">
      <w:pPr>
        <w:pStyle w:val="Textonotapie"/>
      </w:pPr>
      <w:r w:rsidRPr="003F1290">
        <w:rPr>
          <w:rStyle w:val="Refdenotaalpie"/>
          <w:rFonts w:ascii="Artifex CF" w:hAnsi="Artifex CF"/>
          <w:sz w:val="16"/>
          <w:szCs w:val="16"/>
        </w:rPr>
        <w:footnoteRef/>
      </w:r>
      <w:r w:rsidRPr="003F1290">
        <w:rPr>
          <w:rFonts w:ascii="Artifex CF" w:hAnsi="Artifex CF"/>
          <w:sz w:val="16"/>
          <w:szCs w:val="16"/>
        </w:rPr>
        <w:t xml:space="preserve"> Ley sobre partidos, agrupaciones y movimientos políticos: </w:t>
      </w:r>
      <w:hyperlink r:id="rId7" w:history="1">
        <w:r w:rsidRPr="003F1290">
          <w:rPr>
            <w:rStyle w:val="Hipervnculo"/>
            <w:rFonts w:ascii="Artifex CF" w:hAnsi="Artifex CF"/>
            <w:sz w:val="16"/>
            <w:szCs w:val="16"/>
          </w:rPr>
          <w:t>file:///C:/Users/amanon/Downloads/Ley-33-18-sobre-Partidos-Agrupaciones-y-Movimientos-Politicos.pdf</w:t>
        </w:r>
      </w:hyperlink>
    </w:p>
  </w:footnote>
  <w:footnote w:id="8">
    <w:p w14:paraId="61D8A3C6" w14:textId="757F1689" w:rsidR="00186774" w:rsidRPr="00CD6730" w:rsidRDefault="00186774">
      <w:pPr>
        <w:pStyle w:val="Textonotapie"/>
        <w:rPr>
          <w:rFonts w:ascii="Artifex CF" w:hAnsi="Artifex CF"/>
          <w:sz w:val="16"/>
          <w:szCs w:val="16"/>
        </w:rPr>
      </w:pPr>
      <w:r>
        <w:rPr>
          <w:rStyle w:val="Refdenotaalpie"/>
        </w:rPr>
        <w:footnoteRef/>
      </w:r>
      <w:r>
        <w:t xml:space="preserve"> </w:t>
      </w:r>
      <w:r w:rsidRPr="00186774">
        <w:rPr>
          <w:rFonts w:ascii="Artifex CF" w:hAnsi="Artifex CF"/>
          <w:sz w:val="16"/>
          <w:szCs w:val="16"/>
        </w:rPr>
        <w:t>Constitución dominicana:</w:t>
      </w:r>
      <w:r w:rsidRPr="00186774">
        <w:rPr>
          <w:sz w:val="16"/>
          <w:szCs w:val="16"/>
        </w:rPr>
        <w:t xml:space="preserve"> </w:t>
      </w:r>
      <w:hyperlink r:id="rId8" w:history="1">
        <w:r w:rsidRPr="00186774">
          <w:rPr>
            <w:rStyle w:val="Hipervnculo"/>
            <w:rFonts w:ascii="Artifex CF" w:hAnsi="Artifex CF"/>
            <w:sz w:val="16"/>
            <w:szCs w:val="16"/>
          </w:rPr>
          <w:t>https://</w:t>
        </w:r>
        <w:r w:rsidR="002E4DC6">
          <w:rPr>
            <w:rStyle w:val="Hipervnculo"/>
            <w:rFonts w:ascii="Artifex CF" w:hAnsi="Artifex CF"/>
            <w:sz w:val="16"/>
            <w:szCs w:val="16"/>
          </w:rPr>
          <w:t>República</w:t>
        </w:r>
        <w:r w:rsidRPr="00186774">
          <w:rPr>
            <w:rStyle w:val="Hipervnculo"/>
            <w:rFonts w:ascii="Artifex CF" w:hAnsi="Artifex CF"/>
            <w:sz w:val="16"/>
            <w:szCs w:val="16"/>
          </w:rPr>
          <w:t>-dominicana.justia.com/nacionales/constitucion-de-la-</w:t>
        </w:r>
        <w:r w:rsidR="002E4DC6">
          <w:rPr>
            <w:rStyle w:val="Hipervnculo"/>
            <w:rFonts w:ascii="Artifex CF" w:hAnsi="Artifex CF"/>
            <w:sz w:val="16"/>
            <w:szCs w:val="16"/>
          </w:rPr>
          <w:t>República</w:t>
        </w:r>
        <w:r w:rsidRPr="00186774">
          <w:rPr>
            <w:rStyle w:val="Hipervnculo"/>
            <w:rFonts w:ascii="Artifex CF" w:hAnsi="Artifex CF"/>
            <w:sz w:val="16"/>
            <w:szCs w:val="16"/>
          </w:rPr>
          <w:t>-dominicana/</w:t>
        </w:r>
      </w:hyperlink>
    </w:p>
  </w:footnote>
  <w:footnote w:id="9">
    <w:p w14:paraId="64E69E92" w14:textId="3E7346BF" w:rsidR="005E5B89" w:rsidRPr="00CD6730" w:rsidRDefault="005E5B89">
      <w:pPr>
        <w:pStyle w:val="Textonotapie"/>
        <w:rPr>
          <w:rFonts w:ascii="Artifex CF" w:hAnsi="Artifex CF"/>
          <w:sz w:val="16"/>
          <w:szCs w:val="16"/>
        </w:rPr>
      </w:pPr>
      <w:r w:rsidRPr="00CD6730">
        <w:rPr>
          <w:rStyle w:val="Refdenotaalpie"/>
          <w:rFonts w:ascii="Artifex CF" w:hAnsi="Artifex CF"/>
          <w:sz w:val="16"/>
          <w:szCs w:val="16"/>
        </w:rPr>
        <w:footnoteRef/>
      </w:r>
      <w:r w:rsidRPr="00CD6730">
        <w:rPr>
          <w:rFonts w:ascii="Artifex CF" w:hAnsi="Artifex CF"/>
          <w:sz w:val="16"/>
          <w:szCs w:val="16"/>
        </w:rPr>
        <w:t xml:space="preserve"> </w:t>
      </w:r>
      <w:r w:rsidR="00CD6730" w:rsidRPr="00CD6730">
        <w:rPr>
          <w:rFonts w:ascii="Artifex CF" w:hAnsi="Artifex CF"/>
          <w:sz w:val="16"/>
          <w:szCs w:val="16"/>
        </w:rPr>
        <w:t xml:space="preserve">Tribunal Constitucional: </w:t>
      </w:r>
      <w:hyperlink r:id="rId9" w:history="1">
        <w:r w:rsidR="00CD6730" w:rsidRPr="00CD6730">
          <w:rPr>
            <w:rStyle w:val="Hipervnculo"/>
            <w:rFonts w:ascii="Artifex CF" w:hAnsi="Artifex CF"/>
            <w:sz w:val="16"/>
            <w:szCs w:val="16"/>
          </w:rPr>
          <w:t>https://www.tribunalconstitucional.gob.do/consultas/secretar%C3%ADa/sentencias/tc010420/</w:t>
        </w:r>
      </w:hyperlink>
    </w:p>
    <w:p w14:paraId="4CE5E724" w14:textId="77777777" w:rsidR="00CD6730" w:rsidRDefault="00CD6730">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44069" w14:textId="36BBB34B" w:rsidR="00AA7BCC" w:rsidRPr="00AA7BCC" w:rsidRDefault="008A12F6">
    <w:pPr>
      <w:pStyle w:val="Encabezado"/>
      <w:rPr>
        <w:lang w:val="en-US"/>
      </w:rPr>
    </w:pPr>
    <w:r>
      <w:rPr>
        <w:noProof/>
      </w:rPr>
      <w:drawing>
        <wp:anchor distT="0" distB="0" distL="114300" distR="114300" simplePos="0" relativeHeight="251659264" behindDoc="0" locked="0" layoutInCell="1" allowOverlap="1" wp14:anchorId="59DA049C" wp14:editId="0BA7416A">
          <wp:simplePos x="0" y="0"/>
          <wp:positionH relativeFrom="column">
            <wp:posOffset>-838200</wp:posOffset>
          </wp:positionH>
          <wp:positionV relativeFrom="paragraph">
            <wp:posOffset>-143510</wp:posOffset>
          </wp:positionV>
          <wp:extent cx="7041515" cy="1560830"/>
          <wp:effectExtent l="0" t="0" r="6985" b="1270"/>
          <wp:wrapThrough wrapText="bothSides">
            <wp:wrapPolygon edited="0">
              <wp:start x="0" y="0"/>
              <wp:lineTo x="0" y="21354"/>
              <wp:lineTo x="21563" y="21354"/>
              <wp:lineTo x="21563" y="0"/>
              <wp:lineTo x="0" y="0"/>
            </wp:wrapPolygon>
          </wp:wrapThrough>
          <wp:docPr id="1071564997" name="Imagen 2" descr="Imagen que contiene 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564997" name="Imagen 2" descr="Imagen que contiene Patrón de fond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1515" cy="156083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9B17D9"/>
    <w:multiLevelType w:val="hybridMultilevel"/>
    <w:tmpl w:val="FFB21F08"/>
    <w:lvl w:ilvl="0" w:tplc="5D8C2BA6">
      <w:start w:val="1"/>
      <w:numFmt w:val="decimal"/>
      <w:lvlText w:val="%1."/>
      <w:lvlJc w:val="left"/>
      <w:pPr>
        <w:ind w:left="720" w:hanging="360"/>
      </w:pPr>
      <w:rPr>
        <w:rFonts w:ascii="Artifex CF" w:hAnsi="Artifex CF" w:cstheme="minorBidi" w:hint="default"/>
      </w:rPr>
    </w:lvl>
    <w:lvl w:ilvl="1" w:tplc="C4A8FF3E">
      <w:start w:val="1"/>
      <w:numFmt w:val="decimal"/>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CA71612"/>
    <w:multiLevelType w:val="hybridMultilevel"/>
    <w:tmpl w:val="820ECD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03C6CF3"/>
    <w:multiLevelType w:val="hybridMultilevel"/>
    <w:tmpl w:val="3BE6684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B6D7DF7"/>
    <w:multiLevelType w:val="hybridMultilevel"/>
    <w:tmpl w:val="8FF2DE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180465080">
    <w:abstractNumId w:val="2"/>
  </w:num>
  <w:num w:numId="2" w16cid:durableId="1683625502">
    <w:abstractNumId w:val="1"/>
  </w:num>
  <w:num w:numId="3" w16cid:durableId="1964459483">
    <w:abstractNumId w:val="0"/>
  </w:num>
  <w:num w:numId="4" w16cid:durableId="5725481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CB3"/>
    <w:rsid w:val="0000163D"/>
    <w:rsid w:val="0001629D"/>
    <w:rsid w:val="00023419"/>
    <w:rsid w:val="00025792"/>
    <w:rsid w:val="00030364"/>
    <w:rsid w:val="00031BBC"/>
    <w:rsid w:val="000376A5"/>
    <w:rsid w:val="0004232F"/>
    <w:rsid w:val="0004790A"/>
    <w:rsid w:val="00051B7A"/>
    <w:rsid w:val="0007495C"/>
    <w:rsid w:val="00076111"/>
    <w:rsid w:val="00081A8A"/>
    <w:rsid w:val="00094BCE"/>
    <w:rsid w:val="000A1FE9"/>
    <w:rsid w:val="000A3961"/>
    <w:rsid w:val="000A70CF"/>
    <w:rsid w:val="000D6BFC"/>
    <w:rsid w:val="000E2CFE"/>
    <w:rsid w:val="000E2DA1"/>
    <w:rsid w:val="00106838"/>
    <w:rsid w:val="00145361"/>
    <w:rsid w:val="00151547"/>
    <w:rsid w:val="001521A3"/>
    <w:rsid w:val="00155700"/>
    <w:rsid w:val="0016022E"/>
    <w:rsid w:val="00161062"/>
    <w:rsid w:val="00165E99"/>
    <w:rsid w:val="00186774"/>
    <w:rsid w:val="00193E07"/>
    <w:rsid w:val="001A4F8C"/>
    <w:rsid w:val="001B3DC8"/>
    <w:rsid w:val="001B4ED3"/>
    <w:rsid w:val="001C4193"/>
    <w:rsid w:val="001D151F"/>
    <w:rsid w:val="001E3DA4"/>
    <w:rsid w:val="001E7A4C"/>
    <w:rsid w:val="001F23F5"/>
    <w:rsid w:val="001F59B8"/>
    <w:rsid w:val="001F6042"/>
    <w:rsid w:val="001F651B"/>
    <w:rsid w:val="00215B07"/>
    <w:rsid w:val="00260D3C"/>
    <w:rsid w:val="00261BCF"/>
    <w:rsid w:val="00277CC2"/>
    <w:rsid w:val="002832B6"/>
    <w:rsid w:val="0029111B"/>
    <w:rsid w:val="002A301E"/>
    <w:rsid w:val="002C2A0F"/>
    <w:rsid w:val="002E17B9"/>
    <w:rsid w:val="002E21D3"/>
    <w:rsid w:val="002E4DC6"/>
    <w:rsid w:val="002F1AC4"/>
    <w:rsid w:val="00301D04"/>
    <w:rsid w:val="00301F74"/>
    <w:rsid w:val="003063FC"/>
    <w:rsid w:val="00313DF1"/>
    <w:rsid w:val="00321537"/>
    <w:rsid w:val="00344F2E"/>
    <w:rsid w:val="00360746"/>
    <w:rsid w:val="0036228B"/>
    <w:rsid w:val="0036593A"/>
    <w:rsid w:val="00375569"/>
    <w:rsid w:val="00380A9C"/>
    <w:rsid w:val="003B1700"/>
    <w:rsid w:val="003D6591"/>
    <w:rsid w:val="003E51A2"/>
    <w:rsid w:val="003E5A88"/>
    <w:rsid w:val="003E5E0A"/>
    <w:rsid w:val="003F1290"/>
    <w:rsid w:val="0040570B"/>
    <w:rsid w:val="00421DD8"/>
    <w:rsid w:val="004356D2"/>
    <w:rsid w:val="00441F52"/>
    <w:rsid w:val="0044406C"/>
    <w:rsid w:val="004448F6"/>
    <w:rsid w:val="004514BD"/>
    <w:rsid w:val="004632C1"/>
    <w:rsid w:val="00471115"/>
    <w:rsid w:val="00485C74"/>
    <w:rsid w:val="00492C39"/>
    <w:rsid w:val="00496063"/>
    <w:rsid w:val="004B30C8"/>
    <w:rsid w:val="004B3DCA"/>
    <w:rsid w:val="004C0161"/>
    <w:rsid w:val="004D3339"/>
    <w:rsid w:val="004F0E7B"/>
    <w:rsid w:val="004F6033"/>
    <w:rsid w:val="004F75FB"/>
    <w:rsid w:val="00500E2A"/>
    <w:rsid w:val="00516043"/>
    <w:rsid w:val="005337CF"/>
    <w:rsid w:val="005347BA"/>
    <w:rsid w:val="00535DA0"/>
    <w:rsid w:val="00541042"/>
    <w:rsid w:val="005535E3"/>
    <w:rsid w:val="00554092"/>
    <w:rsid w:val="0055418B"/>
    <w:rsid w:val="00567614"/>
    <w:rsid w:val="0058573B"/>
    <w:rsid w:val="005928C3"/>
    <w:rsid w:val="005A68FF"/>
    <w:rsid w:val="005B1333"/>
    <w:rsid w:val="005C5D48"/>
    <w:rsid w:val="005C721D"/>
    <w:rsid w:val="005D7C58"/>
    <w:rsid w:val="005E5B89"/>
    <w:rsid w:val="005E70E9"/>
    <w:rsid w:val="005F77A7"/>
    <w:rsid w:val="00615243"/>
    <w:rsid w:val="00625077"/>
    <w:rsid w:val="00634219"/>
    <w:rsid w:val="0064176A"/>
    <w:rsid w:val="006511E9"/>
    <w:rsid w:val="00652192"/>
    <w:rsid w:val="0065471B"/>
    <w:rsid w:val="00657A57"/>
    <w:rsid w:val="006612D1"/>
    <w:rsid w:val="0067045B"/>
    <w:rsid w:val="006734D6"/>
    <w:rsid w:val="00676A4B"/>
    <w:rsid w:val="00680089"/>
    <w:rsid w:val="00683CAA"/>
    <w:rsid w:val="006B1CF6"/>
    <w:rsid w:val="006B5E67"/>
    <w:rsid w:val="006C209C"/>
    <w:rsid w:val="006D4668"/>
    <w:rsid w:val="00703203"/>
    <w:rsid w:val="007113AD"/>
    <w:rsid w:val="00713733"/>
    <w:rsid w:val="0073076A"/>
    <w:rsid w:val="00750903"/>
    <w:rsid w:val="0076263F"/>
    <w:rsid w:val="00766B22"/>
    <w:rsid w:val="007A15E4"/>
    <w:rsid w:val="007B21AB"/>
    <w:rsid w:val="007C330A"/>
    <w:rsid w:val="007C388E"/>
    <w:rsid w:val="007F033D"/>
    <w:rsid w:val="008041AB"/>
    <w:rsid w:val="00805635"/>
    <w:rsid w:val="008306C1"/>
    <w:rsid w:val="0087576D"/>
    <w:rsid w:val="00891222"/>
    <w:rsid w:val="008A12F6"/>
    <w:rsid w:val="008A154E"/>
    <w:rsid w:val="008A1727"/>
    <w:rsid w:val="008B3E29"/>
    <w:rsid w:val="008D057E"/>
    <w:rsid w:val="008D223D"/>
    <w:rsid w:val="008F29CA"/>
    <w:rsid w:val="008F41D4"/>
    <w:rsid w:val="008F48A2"/>
    <w:rsid w:val="008F6F85"/>
    <w:rsid w:val="0090284D"/>
    <w:rsid w:val="009051C4"/>
    <w:rsid w:val="009157A0"/>
    <w:rsid w:val="00920F30"/>
    <w:rsid w:val="00922EB8"/>
    <w:rsid w:val="009451E6"/>
    <w:rsid w:val="0094569D"/>
    <w:rsid w:val="009526C2"/>
    <w:rsid w:val="00955BB0"/>
    <w:rsid w:val="009572AA"/>
    <w:rsid w:val="009622AA"/>
    <w:rsid w:val="00963593"/>
    <w:rsid w:val="00970745"/>
    <w:rsid w:val="00971F39"/>
    <w:rsid w:val="00974ED8"/>
    <w:rsid w:val="00975D25"/>
    <w:rsid w:val="00976080"/>
    <w:rsid w:val="00981929"/>
    <w:rsid w:val="009B0362"/>
    <w:rsid w:val="009B0409"/>
    <w:rsid w:val="009C0AD0"/>
    <w:rsid w:val="009C2AAC"/>
    <w:rsid w:val="009D1925"/>
    <w:rsid w:val="009D1D36"/>
    <w:rsid w:val="009D7D5C"/>
    <w:rsid w:val="00A0627D"/>
    <w:rsid w:val="00A215F3"/>
    <w:rsid w:val="00A50337"/>
    <w:rsid w:val="00A50B35"/>
    <w:rsid w:val="00A50B60"/>
    <w:rsid w:val="00A543A7"/>
    <w:rsid w:val="00A63321"/>
    <w:rsid w:val="00A66343"/>
    <w:rsid w:val="00A75AB4"/>
    <w:rsid w:val="00A75E15"/>
    <w:rsid w:val="00A76459"/>
    <w:rsid w:val="00A94166"/>
    <w:rsid w:val="00A977F8"/>
    <w:rsid w:val="00AA7BCC"/>
    <w:rsid w:val="00AA7D01"/>
    <w:rsid w:val="00AC5790"/>
    <w:rsid w:val="00AC72EF"/>
    <w:rsid w:val="00AD184E"/>
    <w:rsid w:val="00AF007D"/>
    <w:rsid w:val="00AF2B1D"/>
    <w:rsid w:val="00B0100F"/>
    <w:rsid w:val="00B10654"/>
    <w:rsid w:val="00B14BE8"/>
    <w:rsid w:val="00B311F9"/>
    <w:rsid w:val="00B35CC9"/>
    <w:rsid w:val="00B40D9F"/>
    <w:rsid w:val="00B611F7"/>
    <w:rsid w:val="00B61E85"/>
    <w:rsid w:val="00B642A0"/>
    <w:rsid w:val="00B81922"/>
    <w:rsid w:val="00B840EB"/>
    <w:rsid w:val="00B87CC2"/>
    <w:rsid w:val="00B94543"/>
    <w:rsid w:val="00B96001"/>
    <w:rsid w:val="00B97429"/>
    <w:rsid w:val="00BA3986"/>
    <w:rsid w:val="00BC5F0F"/>
    <w:rsid w:val="00BC677F"/>
    <w:rsid w:val="00BC6E53"/>
    <w:rsid w:val="00BD1143"/>
    <w:rsid w:val="00BE3E21"/>
    <w:rsid w:val="00BF1CFC"/>
    <w:rsid w:val="00C01E52"/>
    <w:rsid w:val="00C24287"/>
    <w:rsid w:val="00C43BC1"/>
    <w:rsid w:val="00C4461B"/>
    <w:rsid w:val="00C45961"/>
    <w:rsid w:val="00C70CB3"/>
    <w:rsid w:val="00C81FF0"/>
    <w:rsid w:val="00C86167"/>
    <w:rsid w:val="00C95AB3"/>
    <w:rsid w:val="00C965E3"/>
    <w:rsid w:val="00CA4950"/>
    <w:rsid w:val="00CB6E53"/>
    <w:rsid w:val="00CB7938"/>
    <w:rsid w:val="00CC07CD"/>
    <w:rsid w:val="00CD5189"/>
    <w:rsid w:val="00CD6730"/>
    <w:rsid w:val="00CE350A"/>
    <w:rsid w:val="00CE4B95"/>
    <w:rsid w:val="00CF4264"/>
    <w:rsid w:val="00CF6DDB"/>
    <w:rsid w:val="00D07C1D"/>
    <w:rsid w:val="00D17FB3"/>
    <w:rsid w:val="00D46053"/>
    <w:rsid w:val="00D4752B"/>
    <w:rsid w:val="00D50104"/>
    <w:rsid w:val="00D50B03"/>
    <w:rsid w:val="00D55224"/>
    <w:rsid w:val="00D64577"/>
    <w:rsid w:val="00D66F54"/>
    <w:rsid w:val="00D72440"/>
    <w:rsid w:val="00D74C11"/>
    <w:rsid w:val="00D76B10"/>
    <w:rsid w:val="00D81E5C"/>
    <w:rsid w:val="00DA16C9"/>
    <w:rsid w:val="00DB683E"/>
    <w:rsid w:val="00DC3353"/>
    <w:rsid w:val="00DC5120"/>
    <w:rsid w:val="00DC6349"/>
    <w:rsid w:val="00DC79EE"/>
    <w:rsid w:val="00DF6334"/>
    <w:rsid w:val="00E01D7F"/>
    <w:rsid w:val="00E10479"/>
    <w:rsid w:val="00E11B60"/>
    <w:rsid w:val="00E12E2C"/>
    <w:rsid w:val="00E26BB7"/>
    <w:rsid w:val="00E33A18"/>
    <w:rsid w:val="00E5517C"/>
    <w:rsid w:val="00E612E4"/>
    <w:rsid w:val="00E65A02"/>
    <w:rsid w:val="00E7044D"/>
    <w:rsid w:val="00E8255B"/>
    <w:rsid w:val="00E8473F"/>
    <w:rsid w:val="00E9012D"/>
    <w:rsid w:val="00E91ADE"/>
    <w:rsid w:val="00EA3EFE"/>
    <w:rsid w:val="00EB0431"/>
    <w:rsid w:val="00EB6098"/>
    <w:rsid w:val="00EB7B8C"/>
    <w:rsid w:val="00EC1604"/>
    <w:rsid w:val="00ED1E8A"/>
    <w:rsid w:val="00ED5BF3"/>
    <w:rsid w:val="00EE054D"/>
    <w:rsid w:val="00EE2B8C"/>
    <w:rsid w:val="00EE5F27"/>
    <w:rsid w:val="00F043D1"/>
    <w:rsid w:val="00F23DC9"/>
    <w:rsid w:val="00F43D2B"/>
    <w:rsid w:val="00F54208"/>
    <w:rsid w:val="00F554B9"/>
    <w:rsid w:val="00F56BB3"/>
    <w:rsid w:val="00F70E31"/>
    <w:rsid w:val="00F71A65"/>
    <w:rsid w:val="00F760E9"/>
    <w:rsid w:val="00F779F3"/>
    <w:rsid w:val="00F77CC8"/>
    <w:rsid w:val="00F8755C"/>
    <w:rsid w:val="00F968FC"/>
    <w:rsid w:val="00FA5243"/>
    <w:rsid w:val="00FC0744"/>
    <w:rsid w:val="00FD40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F4D08"/>
  <w15:chartTrackingRefBased/>
  <w15:docId w15:val="{05A66E3C-A4C5-4A55-B5D6-5A42F58D9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70CB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unhideWhenUsed/>
    <w:qFormat/>
    <w:rsid w:val="00C70CB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C70CB3"/>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C70CB3"/>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C70CB3"/>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C70CB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70CB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70CB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70CB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70CB3"/>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rsid w:val="00C70CB3"/>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C70CB3"/>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C70CB3"/>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C70CB3"/>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C70CB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70CB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70CB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70CB3"/>
    <w:rPr>
      <w:rFonts w:eastAsiaTheme="majorEastAsia" w:cstheme="majorBidi"/>
      <w:color w:val="272727" w:themeColor="text1" w:themeTint="D8"/>
    </w:rPr>
  </w:style>
  <w:style w:type="paragraph" w:styleId="Ttulo">
    <w:name w:val="Title"/>
    <w:basedOn w:val="Normal"/>
    <w:next w:val="Normal"/>
    <w:link w:val="TtuloCar"/>
    <w:uiPriority w:val="10"/>
    <w:qFormat/>
    <w:rsid w:val="00C70C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70CB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70CB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70CB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70CB3"/>
    <w:pPr>
      <w:spacing w:before="160"/>
      <w:jc w:val="center"/>
    </w:pPr>
    <w:rPr>
      <w:i/>
      <w:iCs/>
      <w:color w:val="404040" w:themeColor="text1" w:themeTint="BF"/>
    </w:rPr>
  </w:style>
  <w:style w:type="character" w:customStyle="1" w:styleId="CitaCar">
    <w:name w:val="Cita Car"/>
    <w:basedOn w:val="Fuentedeprrafopredeter"/>
    <w:link w:val="Cita"/>
    <w:uiPriority w:val="29"/>
    <w:rsid w:val="00C70CB3"/>
    <w:rPr>
      <w:i/>
      <w:iCs/>
      <w:color w:val="404040" w:themeColor="text1" w:themeTint="BF"/>
    </w:rPr>
  </w:style>
  <w:style w:type="paragraph" w:styleId="Prrafodelista">
    <w:name w:val="List Paragraph"/>
    <w:basedOn w:val="Normal"/>
    <w:uiPriority w:val="34"/>
    <w:qFormat/>
    <w:rsid w:val="00C70CB3"/>
    <w:pPr>
      <w:ind w:left="720"/>
      <w:contextualSpacing/>
    </w:pPr>
  </w:style>
  <w:style w:type="character" w:styleId="nfasisintenso">
    <w:name w:val="Intense Emphasis"/>
    <w:basedOn w:val="Fuentedeprrafopredeter"/>
    <w:uiPriority w:val="21"/>
    <w:qFormat/>
    <w:rsid w:val="00C70CB3"/>
    <w:rPr>
      <w:i/>
      <w:iCs/>
      <w:color w:val="2F5496" w:themeColor="accent1" w:themeShade="BF"/>
    </w:rPr>
  </w:style>
  <w:style w:type="paragraph" w:styleId="Citadestacada">
    <w:name w:val="Intense Quote"/>
    <w:basedOn w:val="Normal"/>
    <w:next w:val="Normal"/>
    <w:link w:val="CitadestacadaCar"/>
    <w:uiPriority w:val="30"/>
    <w:qFormat/>
    <w:rsid w:val="00C70C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C70CB3"/>
    <w:rPr>
      <w:i/>
      <w:iCs/>
      <w:color w:val="2F5496" w:themeColor="accent1" w:themeShade="BF"/>
    </w:rPr>
  </w:style>
  <w:style w:type="character" w:styleId="Referenciaintensa">
    <w:name w:val="Intense Reference"/>
    <w:basedOn w:val="Fuentedeprrafopredeter"/>
    <w:uiPriority w:val="32"/>
    <w:qFormat/>
    <w:rsid w:val="00C70CB3"/>
    <w:rPr>
      <w:b/>
      <w:bCs/>
      <w:smallCaps/>
      <w:color w:val="2F5496" w:themeColor="accent1" w:themeShade="BF"/>
      <w:spacing w:val="5"/>
    </w:rPr>
  </w:style>
  <w:style w:type="paragraph" w:styleId="NormalWeb">
    <w:name w:val="Normal (Web)"/>
    <w:basedOn w:val="Normal"/>
    <w:uiPriority w:val="99"/>
    <w:semiHidden/>
    <w:unhideWhenUsed/>
    <w:rsid w:val="00025792"/>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paragraph" w:styleId="Textonotapie">
    <w:name w:val="footnote text"/>
    <w:basedOn w:val="Normal"/>
    <w:link w:val="TextonotapieCar"/>
    <w:uiPriority w:val="99"/>
    <w:semiHidden/>
    <w:unhideWhenUsed/>
    <w:rsid w:val="00215B0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15B07"/>
    <w:rPr>
      <w:sz w:val="20"/>
      <w:szCs w:val="20"/>
    </w:rPr>
  </w:style>
  <w:style w:type="character" w:styleId="Refdenotaalpie">
    <w:name w:val="footnote reference"/>
    <w:basedOn w:val="Fuentedeprrafopredeter"/>
    <w:uiPriority w:val="99"/>
    <w:semiHidden/>
    <w:unhideWhenUsed/>
    <w:rsid w:val="00215B07"/>
    <w:rPr>
      <w:vertAlign w:val="superscript"/>
    </w:rPr>
  </w:style>
  <w:style w:type="character" w:styleId="Hipervnculo">
    <w:name w:val="Hyperlink"/>
    <w:basedOn w:val="Fuentedeprrafopredeter"/>
    <w:uiPriority w:val="99"/>
    <w:unhideWhenUsed/>
    <w:rsid w:val="00215B07"/>
    <w:rPr>
      <w:color w:val="0563C1" w:themeColor="hyperlink"/>
      <w:u w:val="single"/>
    </w:rPr>
  </w:style>
  <w:style w:type="character" w:styleId="Mencinsinresolver">
    <w:name w:val="Unresolved Mention"/>
    <w:basedOn w:val="Fuentedeprrafopredeter"/>
    <w:uiPriority w:val="99"/>
    <w:semiHidden/>
    <w:unhideWhenUsed/>
    <w:rsid w:val="00215B07"/>
    <w:rPr>
      <w:color w:val="605E5C"/>
      <w:shd w:val="clear" w:color="auto" w:fill="E1DFDD"/>
    </w:rPr>
  </w:style>
  <w:style w:type="paragraph" w:styleId="Encabezado">
    <w:name w:val="header"/>
    <w:basedOn w:val="Normal"/>
    <w:link w:val="EncabezadoCar"/>
    <w:uiPriority w:val="99"/>
    <w:unhideWhenUsed/>
    <w:rsid w:val="00AA7BC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A7BCC"/>
  </w:style>
  <w:style w:type="paragraph" w:styleId="Piedepgina">
    <w:name w:val="footer"/>
    <w:basedOn w:val="Normal"/>
    <w:link w:val="PiedepginaCar"/>
    <w:uiPriority w:val="99"/>
    <w:unhideWhenUsed/>
    <w:rsid w:val="00AA7BC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A7B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490504">
      <w:bodyDiv w:val="1"/>
      <w:marLeft w:val="0"/>
      <w:marRight w:val="0"/>
      <w:marTop w:val="0"/>
      <w:marBottom w:val="0"/>
      <w:divBdr>
        <w:top w:val="none" w:sz="0" w:space="0" w:color="auto"/>
        <w:left w:val="none" w:sz="0" w:space="0" w:color="auto"/>
        <w:bottom w:val="none" w:sz="0" w:space="0" w:color="auto"/>
        <w:right w:val="none" w:sz="0" w:space="0" w:color="auto"/>
      </w:divBdr>
    </w:div>
    <w:div w:id="121972111">
      <w:bodyDiv w:val="1"/>
      <w:marLeft w:val="0"/>
      <w:marRight w:val="0"/>
      <w:marTop w:val="0"/>
      <w:marBottom w:val="0"/>
      <w:divBdr>
        <w:top w:val="none" w:sz="0" w:space="0" w:color="auto"/>
        <w:left w:val="none" w:sz="0" w:space="0" w:color="auto"/>
        <w:bottom w:val="none" w:sz="0" w:space="0" w:color="auto"/>
        <w:right w:val="none" w:sz="0" w:space="0" w:color="auto"/>
      </w:divBdr>
    </w:div>
    <w:div w:id="307364852">
      <w:bodyDiv w:val="1"/>
      <w:marLeft w:val="0"/>
      <w:marRight w:val="0"/>
      <w:marTop w:val="0"/>
      <w:marBottom w:val="0"/>
      <w:divBdr>
        <w:top w:val="none" w:sz="0" w:space="0" w:color="auto"/>
        <w:left w:val="none" w:sz="0" w:space="0" w:color="auto"/>
        <w:bottom w:val="none" w:sz="0" w:space="0" w:color="auto"/>
        <w:right w:val="none" w:sz="0" w:space="0" w:color="auto"/>
      </w:divBdr>
    </w:div>
    <w:div w:id="1379431416">
      <w:bodyDiv w:val="1"/>
      <w:marLeft w:val="0"/>
      <w:marRight w:val="0"/>
      <w:marTop w:val="0"/>
      <w:marBottom w:val="0"/>
      <w:divBdr>
        <w:top w:val="none" w:sz="0" w:space="0" w:color="auto"/>
        <w:left w:val="none" w:sz="0" w:space="0" w:color="auto"/>
        <w:bottom w:val="none" w:sz="0" w:space="0" w:color="auto"/>
        <w:right w:val="none" w:sz="0" w:space="0" w:color="auto"/>
      </w:divBdr>
    </w:div>
    <w:div w:id="1626884284">
      <w:bodyDiv w:val="1"/>
      <w:marLeft w:val="0"/>
      <w:marRight w:val="0"/>
      <w:marTop w:val="0"/>
      <w:marBottom w:val="0"/>
      <w:divBdr>
        <w:top w:val="none" w:sz="0" w:space="0" w:color="auto"/>
        <w:left w:val="none" w:sz="0" w:space="0" w:color="auto"/>
        <w:bottom w:val="none" w:sz="0" w:space="0" w:color="auto"/>
        <w:right w:val="none" w:sz="0" w:space="0" w:color="auto"/>
      </w:divBdr>
    </w:div>
    <w:div w:id="1915815505">
      <w:bodyDiv w:val="1"/>
      <w:marLeft w:val="0"/>
      <w:marRight w:val="0"/>
      <w:marTop w:val="0"/>
      <w:marBottom w:val="0"/>
      <w:divBdr>
        <w:top w:val="none" w:sz="0" w:space="0" w:color="auto"/>
        <w:left w:val="none" w:sz="0" w:space="0" w:color="auto"/>
        <w:bottom w:val="none" w:sz="0" w:space="0" w:color="auto"/>
        <w:right w:val="none" w:sz="0" w:space="0" w:color="auto"/>
      </w:divBdr>
    </w:div>
    <w:div w:id="195594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republica-dominicana.justia.com/nacionales/constitucion-de-la-republica-dominicana/" TargetMode="External"/><Relationship Id="rId3" Type="http://schemas.openxmlformats.org/officeDocument/2006/relationships/hyperlink" Target="https://observatoriojusticiaygenero.poderjudicial.gob.do/documentos/PDF/publicaciones/Lib_ENJ_Constitucion_Comentada_1_WEB.pdf" TargetMode="External"/><Relationship Id="rId7" Type="http://schemas.openxmlformats.org/officeDocument/2006/relationships/hyperlink" Target="file:///C:/Users/amanon/Downloads/Ley-33-18-sobre-Partidos-Agrupaciones-y-Movimientos-Politicos.pdf" TargetMode="External"/><Relationship Id="rId2" Type="http://schemas.openxmlformats.org/officeDocument/2006/relationships/hyperlink" Target="https://observatoriojusticiaygenero.poderjudicial.gob.do/documentos/PDF/publicaciones/Lib_ENJ_Constitucion_Comentada_1_WEB.pdf" TargetMode="External"/><Relationship Id="rId1" Type="http://schemas.openxmlformats.org/officeDocument/2006/relationships/hyperlink" Target="https://repositorio.unam.mx/contenidos/africania-en-republica-dominicana-94096?c=aeX3p3&amp;d=false&amp;q=*:*&amp;i=2&amp;v=1&amp;t=search_1&amp;as=0" TargetMode="External"/><Relationship Id="rId6" Type="http://schemas.openxmlformats.org/officeDocument/2006/relationships/hyperlink" Target="https://observatoriojusticiaygenero.poderjudicial.gob.do/documentos/PDF/normativas/NOR_ley_15_19_Organica_de_Regimen_Electoral.pdf" TargetMode="External"/><Relationship Id="rId5" Type="http://schemas.openxmlformats.org/officeDocument/2006/relationships/hyperlink" Target="https://mirex.gob.do/religion/" TargetMode="External"/><Relationship Id="rId4" Type="http://schemas.openxmlformats.org/officeDocument/2006/relationships/hyperlink" Target="https://mecona.org/wp-content/uploads/2021/02/Castellano-idioma-oficial-ley-5136.pdf" TargetMode="External"/><Relationship Id="rId9" Type="http://schemas.openxmlformats.org/officeDocument/2006/relationships/hyperlink" Target="https://www.tribunalconstitucional.gob.do/consultas/secretar%C3%ADa/sentencias/tc0104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d42e65b2-cf21-49c1-b27d-d23f90380c0e">
      <Terms xmlns="http://schemas.microsoft.com/office/infopath/2007/PartnerControls"/>
    </lcf76f155ced4ddcb4097134ff3c332f>
    <Category xmlns="d42e65b2-cf21-49c1-b27d-d23f90380c0e">States</Category>
    <Filename xmlns="d42e65b2-cf21-49c1-b27d-d23f90380c0e" xsi:nil="true"/>
    <Doctype xmlns="d42e65b2-cf21-49c1-b27d-d23f90380c0e">input</Doctype>
    <Contributor xmlns="d42e65b2-cf21-49c1-b27d-d23f90380c0e">Permanent Mission of the Dominican Republic in  Geneva</Contributor>
  </documentManagement>
</p:properties>
</file>

<file path=customXml/itemProps1.xml><?xml version="1.0" encoding="utf-8"?>
<ds:datastoreItem xmlns:ds="http://schemas.openxmlformats.org/officeDocument/2006/customXml" ds:itemID="{E9512963-90B5-48F7-80F0-F645D4D684FB}">
  <ds:schemaRefs>
    <ds:schemaRef ds:uri="http://schemas.openxmlformats.org/officeDocument/2006/bibliography"/>
  </ds:schemaRefs>
</ds:datastoreItem>
</file>

<file path=customXml/itemProps2.xml><?xml version="1.0" encoding="utf-8"?>
<ds:datastoreItem xmlns:ds="http://schemas.openxmlformats.org/officeDocument/2006/customXml" ds:itemID="{366D681C-11AC-488B-B827-45AB3CFCC9C1}"/>
</file>

<file path=customXml/itemProps3.xml><?xml version="1.0" encoding="utf-8"?>
<ds:datastoreItem xmlns:ds="http://schemas.openxmlformats.org/officeDocument/2006/customXml" ds:itemID="{F03DAF31-73B7-4447-93F9-43480D9BEEB7}"/>
</file>

<file path=customXml/itemProps4.xml><?xml version="1.0" encoding="utf-8"?>
<ds:datastoreItem xmlns:ds="http://schemas.openxmlformats.org/officeDocument/2006/customXml" ds:itemID="{59C28154-74F0-4524-8074-955F6788D036}"/>
</file>

<file path=docProps/app.xml><?xml version="1.0" encoding="utf-8"?>
<Properties xmlns="http://schemas.openxmlformats.org/officeDocument/2006/extended-properties" xmlns:vt="http://schemas.openxmlformats.org/officeDocument/2006/docPropsVTypes">
  <Template>Normal</Template>
  <TotalTime>0</TotalTime>
  <Pages>6</Pages>
  <Words>1980</Words>
  <Characters>10890</Characters>
  <Application>Microsoft Office Word</Application>
  <DocSecurity>0</DocSecurity>
  <Lines>90</Lines>
  <Paragraphs>25</Paragraphs>
  <ScaleCrop>false</ScaleCrop>
  <Company/>
  <LinksUpToDate>false</LinksUpToDate>
  <CharactersWithSpaces>12845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Esther Mañon Mora</dc:creator>
  <cp:keywords/>
  <dc:description/>
  <cp:lastModifiedBy>Ana Esther Mañon Mora</cp:lastModifiedBy>
  <cp:revision>2</cp:revision>
  <cp:lastPrinted>2024-05-01T16:29:00Z</cp:lastPrinted>
  <dcterms:created xsi:type="dcterms:W3CDTF">2024-05-02T19:16:00Z</dcterms:created>
  <dcterms:modified xsi:type="dcterms:W3CDTF">2024-05-02T19:16:00Z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