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74" w:rsidRPr="00204C94" w:rsidRDefault="00435C74" w:rsidP="00781FFF">
      <w:pPr>
        <w:spacing w:after="60" w:line="247" w:lineRule="auto"/>
        <w:jc w:val="center"/>
        <w:rPr>
          <w:rFonts w:cstheme="minorHAnsi"/>
          <w:b/>
          <w:sz w:val="26"/>
          <w:szCs w:val="26"/>
          <w:u w:val="single"/>
        </w:rPr>
      </w:pPr>
      <w:r w:rsidRPr="00204C94">
        <w:rPr>
          <w:rFonts w:cstheme="minorHAnsi"/>
          <w:b/>
          <w:sz w:val="26"/>
          <w:szCs w:val="26"/>
          <w:u w:val="single"/>
        </w:rPr>
        <w:t>SUBMISSION</w:t>
      </w:r>
    </w:p>
    <w:p w:rsidR="00435C74" w:rsidRPr="00781FFF" w:rsidRDefault="00435C74" w:rsidP="00781FFF">
      <w:pPr>
        <w:spacing w:after="60" w:line="247" w:lineRule="auto"/>
        <w:jc w:val="center"/>
        <w:rPr>
          <w:rFonts w:cstheme="minorHAnsi"/>
          <w:b/>
          <w:sz w:val="24"/>
          <w:szCs w:val="24"/>
        </w:rPr>
      </w:pPr>
      <w:proofErr w:type="gramStart"/>
      <w:r w:rsidRPr="00781FFF">
        <w:rPr>
          <w:rFonts w:cstheme="minorHAnsi"/>
          <w:b/>
          <w:sz w:val="24"/>
          <w:szCs w:val="24"/>
        </w:rPr>
        <w:t>towards</w:t>
      </w:r>
      <w:proofErr w:type="gramEnd"/>
      <w:r w:rsidRPr="00781FFF">
        <w:rPr>
          <w:rFonts w:cstheme="minorHAnsi"/>
          <w:b/>
          <w:sz w:val="24"/>
          <w:szCs w:val="24"/>
        </w:rPr>
        <w:t xml:space="preserve"> the Call for written submissions aiming to inform the preparation of the 2024</w:t>
      </w:r>
    </w:p>
    <w:p w:rsidR="00435C74" w:rsidRPr="00781FFF" w:rsidRDefault="00435C74" w:rsidP="00781FFF">
      <w:pPr>
        <w:spacing w:after="60" w:line="247" w:lineRule="auto"/>
        <w:jc w:val="center"/>
        <w:rPr>
          <w:rFonts w:cstheme="minorHAnsi"/>
          <w:b/>
          <w:sz w:val="24"/>
          <w:szCs w:val="24"/>
        </w:rPr>
      </w:pPr>
      <w:r w:rsidRPr="00781FFF">
        <w:rPr>
          <w:rFonts w:cstheme="minorHAnsi"/>
          <w:b/>
          <w:sz w:val="24"/>
          <w:szCs w:val="24"/>
        </w:rPr>
        <w:t xml:space="preserve">Report of the Special </w:t>
      </w:r>
      <w:proofErr w:type="spellStart"/>
      <w:r w:rsidRPr="00781FFF">
        <w:rPr>
          <w:rFonts w:cstheme="minorHAnsi"/>
          <w:b/>
          <w:sz w:val="24"/>
          <w:szCs w:val="24"/>
        </w:rPr>
        <w:t>Rapporteur</w:t>
      </w:r>
      <w:proofErr w:type="spellEnd"/>
      <w:r w:rsidRPr="00781FFF">
        <w:rPr>
          <w:rFonts w:cstheme="minorHAnsi"/>
          <w:b/>
          <w:sz w:val="24"/>
          <w:szCs w:val="24"/>
        </w:rPr>
        <w:t xml:space="preserve"> on Minority Issues to the UN General Assembly</w:t>
      </w:r>
    </w:p>
    <w:p w:rsidR="00435C74" w:rsidRPr="00781FFF" w:rsidRDefault="00435C74" w:rsidP="00781FFF">
      <w:pPr>
        <w:spacing w:after="60" w:line="247" w:lineRule="auto"/>
        <w:jc w:val="center"/>
        <w:rPr>
          <w:rFonts w:cstheme="minorHAnsi"/>
          <w:sz w:val="24"/>
          <w:szCs w:val="24"/>
          <w:u w:val="single"/>
        </w:rPr>
      </w:pPr>
    </w:p>
    <w:p w:rsidR="00D71B0B" w:rsidRPr="00781FFF" w:rsidRDefault="00D71B0B" w:rsidP="00781FFF">
      <w:pPr>
        <w:spacing w:after="60" w:line="247" w:lineRule="auto"/>
        <w:jc w:val="center"/>
        <w:rPr>
          <w:rFonts w:cstheme="minorHAnsi"/>
          <w:sz w:val="24"/>
          <w:szCs w:val="24"/>
        </w:rPr>
      </w:pPr>
      <w:r w:rsidRPr="00781FFF">
        <w:rPr>
          <w:rFonts w:cstheme="minorHAnsi"/>
          <w:sz w:val="24"/>
          <w:szCs w:val="24"/>
          <w:u w:val="single"/>
        </w:rPr>
        <w:t>About the Authors of the Submission</w:t>
      </w:r>
      <w:r w:rsidRPr="00781FFF">
        <w:rPr>
          <w:rFonts w:cstheme="minorHAnsi"/>
          <w:sz w:val="24"/>
          <w:szCs w:val="24"/>
        </w:rPr>
        <w:t>:</w:t>
      </w:r>
    </w:p>
    <w:p w:rsidR="00C659D8" w:rsidRDefault="009B1306">
      <w:pPr>
        <w:spacing w:after="60" w:line="247" w:lineRule="auto"/>
        <w:jc w:val="both"/>
        <w:rPr>
          <w:rFonts w:cstheme="minorHAnsi"/>
          <w:sz w:val="24"/>
          <w:szCs w:val="24"/>
        </w:rPr>
      </w:pPr>
      <w:r w:rsidRPr="00781FFF">
        <w:rPr>
          <w:rFonts w:cstheme="minorHAnsi"/>
          <w:b/>
          <w:sz w:val="24"/>
          <w:szCs w:val="24"/>
        </w:rPr>
        <w:t>Slava (</w:t>
      </w:r>
      <w:proofErr w:type="spellStart"/>
      <w:r w:rsidRPr="00781FFF">
        <w:rPr>
          <w:rFonts w:cstheme="minorHAnsi"/>
          <w:b/>
          <w:sz w:val="24"/>
          <w:szCs w:val="24"/>
        </w:rPr>
        <w:t>Veaceslav</w:t>
      </w:r>
      <w:proofErr w:type="spellEnd"/>
      <w:r w:rsidRPr="00781FFF">
        <w:rPr>
          <w:rFonts w:cstheme="minorHAnsi"/>
          <w:b/>
          <w:sz w:val="24"/>
          <w:szCs w:val="24"/>
        </w:rPr>
        <w:t>) Balan</w:t>
      </w:r>
      <w:r w:rsidRPr="00781FFF">
        <w:rPr>
          <w:rFonts w:cstheme="minorHAnsi"/>
          <w:sz w:val="24"/>
          <w:szCs w:val="24"/>
        </w:rPr>
        <w:t xml:space="preserve"> is an international human and minority rights lawyer, originally from Moldova, now settled in Canada. Mr. Balan is currently a Part-Time Professor and PhD candidate at the University of Ottawa</w:t>
      </w:r>
      <w:r w:rsidR="00781FFF">
        <w:rPr>
          <w:rFonts w:cstheme="minorHAnsi"/>
          <w:sz w:val="24"/>
          <w:szCs w:val="24"/>
        </w:rPr>
        <w:t>,</w:t>
      </w:r>
      <w:r w:rsidRPr="00781FFF">
        <w:rPr>
          <w:rFonts w:cstheme="minorHAnsi"/>
          <w:sz w:val="24"/>
          <w:szCs w:val="24"/>
        </w:rPr>
        <w:t xml:space="preserve"> </w:t>
      </w:r>
      <w:r w:rsidR="00732342">
        <w:rPr>
          <w:rFonts w:cstheme="minorHAnsi"/>
          <w:sz w:val="24"/>
          <w:szCs w:val="24"/>
        </w:rPr>
        <w:t>as well as</w:t>
      </w:r>
      <w:r w:rsidRPr="00781FFF">
        <w:rPr>
          <w:rFonts w:cstheme="minorHAnsi"/>
          <w:sz w:val="24"/>
          <w:szCs w:val="24"/>
        </w:rPr>
        <w:t xml:space="preserve"> the Executive Director of the International C</w:t>
      </w:r>
      <w:r w:rsidR="00732342">
        <w:rPr>
          <w:rFonts w:cstheme="minorHAnsi"/>
          <w:sz w:val="24"/>
          <w:szCs w:val="24"/>
        </w:rPr>
        <w:t xml:space="preserve">ommission of Jurists – Canada. </w:t>
      </w:r>
    </w:p>
    <w:p w:rsidR="00B51496" w:rsidRDefault="004E348D">
      <w:pPr>
        <w:spacing w:after="60" w:line="247" w:lineRule="auto"/>
        <w:jc w:val="both"/>
        <w:rPr>
          <w:rFonts w:cstheme="minorHAnsi"/>
          <w:sz w:val="24"/>
          <w:szCs w:val="24"/>
        </w:rPr>
      </w:pPr>
      <w:proofErr w:type="spellStart"/>
      <w:r w:rsidRPr="004E348D">
        <w:rPr>
          <w:rFonts w:cstheme="minorHAnsi"/>
          <w:b/>
          <w:bCs/>
          <w:sz w:val="24"/>
          <w:szCs w:val="24"/>
        </w:rPr>
        <w:t>Evghenii</w:t>
      </w:r>
      <w:proofErr w:type="spellEnd"/>
      <w:r w:rsidRPr="004E348D">
        <w:rPr>
          <w:rFonts w:cstheme="minorHAnsi"/>
          <w:b/>
          <w:bCs/>
          <w:sz w:val="24"/>
          <w:szCs w:val="24"/>
        </w:rPr>
        <w:t xml:space="preserve"> </w:t>
      </w:r>
      <w:proofErr w:type="spellStart"/>
      <w:r w:rsidRPr="004E348D">
        <w:rPr>
          <w:rFonts w:cstheme="minorHAnsi"/>
          <w:b/>
          <w:bCs/>
          <w:sz w:val="24"/>
          <w:szCs w:val="24"/>
        </w:rPr>
        <w:t>Alexandrovici</w:t>
      </w:r>
      <w:proofErr w:type="spellEnd"/>
      <w:r w:rsidRPr="004E348D">
        <w:rPr>
          <w:rFonts w:cstheme="minorHAnsi"/>
          <w:b/>
          <w:bCs/>
          <w:sz w:val="24"/>
          <w:szCs w:val="24"/>
        </w:rPr>
        <w:t xml:space="preserve"> </w:t>
      </w:r>
      <w:proofErr w:type="spellStart"/>
      <w:r w:rsidRPr="004E348D">
        <w:rPr>
          <w:rFonts w:cstheme="minorHAnsi"/>
          <w:b/>
          <w:bCs/>
          <w:sz w:val="24"/>
          <w:szCs w:val="24"/>
        </w:rPr>
        <w:t>Goloșceapov</w:t>
      </w:r>
      <w:proofErr w:type="spellEnd"/>
      <w:r w:rsidR="00B71D89" w:rsidRPr="00B71D89">
        <w:rPr>
          <w:rFonts w:cstheme="minorHAnsi"/>
          <w:sz w:val="24"/>
          <w:szCs w:val="24"/>
        </w:rPr>
        <w:t xml:space="preserve"> is an international human and minority rights lawyer from the Republic of Moldova, belonging to ethnic and linguistic minorities. Mr</w:t>
      </w:r>
      <w:r w:rsidR="00C659D8">
        <w:rPr>
          <w:rFonts w:cstheme="minorHAnsi"/>
          <w:sz w:val="24"/>
          <w:szCs w:val="24"/>
        </w:rPr>
        <w:t>.</w:t>
      </w:r>
      <w:r w:rsidR="00B71D89" w:rsidRPr="00B71D89">
        <w:rPr>
          <w:rFonts w:cstheme="minorHAnsi"/>
          <w:sz w:val="24"/>
          <w:szCs w:val="24"/>
        </w:rPr>
        <w:t xml:space="preserve"> </w:t>
      </w:r>
      <w:proofErr w:type="spellStart"/>
      <w:r w:rsidR="00B71D89" w:rsidRPr="00B71D89">
        <w:rPr>
          <w:rFonts w:cstheme="minorHAnsi"/>
          <w:sz w:val="24"/>
          <w:szCs w:val="24"/>
        </w:rPr>
        <w:t>Goloșceapov</w:t>
      </w:r>
      <w:proofErr w:type="spellEnd"/>
      <w:r w:rsidR="00B71D89" w:rsidRPr="00B71D89">
        <w:rPr>
          <w:rFonts w:cstheme="minorHAnsi"/>
          <w:sz w:val="24"/>
          <w:szCs w:val="24"/>
        </w:rPr>
        <w:t xml:space="preserve"> holds an LL.M. degree in International Human Rights Law from the University </w:t>
      </w:r>
      <w:proofErr w:type="gramStart"/>
      <w:r w:rsidR="00B71D89" w:rsidRPr="00B71D89">
        <w:rPr>
          <w:rFonts w:cstheme="minorHAnsi"/>
          <w:sz w:val="24"/>
          <w:szCs w:val="24"/>
        </w:rPr>
        <w:t>of</w:t>
      </w:r>
      <w:proofErr w:type="gramEnd"/>
      <w:r w:rsidR="00B71D89" w:rsidRPr="00B71D89">
        <w:rPr>
          <w:rFonts w:cstheme="minorHAnsi"/>
          <w:sz w:val="24"/>
          <w:szCs w:val="24"/>
        </w:rPr>
        <w:t xml:space="preserve"> Essex, UK. In 2018-2024, he was a member of the Equality Council, the national equality body of the Republic of Moldova.</w:t>
      </w:r>
    </w:p>
    <w:p w:rsidR="00B51496" w:rsidRPr="00781FFF" w:rsidRDefault="00B51496" w:rsidP="00781FFF">
      <w:pPr>
        <w:spacing w:after="60" w:line="247" w:lineRule="auto"/>
        <w:rPr>
          <w:rFonts w:cstheme="minorHAnsi"/>
          <w:sz w:val="24"/>
          <w:szCs w:val="24"/>
        </w:rPr>
      </w:pPr>
    </w:p>
    <w:p w:rsidR="00C06F5E" w:rsidRPr="00781FFF" w:rsidRDefault="00C06F5E" w:rsidP="00781FFF">
      <w:pPr>
        <w:spacing w:after="60" w:line="247" w:lineRule="auto"/>
        <w:jc w:val="center"/>
        <w:rPr>
          <w:rFonts w:cstheme="minorHAnsi"/>
          <w:sz w:val="24"/>
          <w:szCs w:val="24"/>
          <w:u w:val="single"/>
        </w:rPr>
      </w:pPr>
      <w:r w:rsidRPr="00781FFF">
        <w:rPr>
          <w:rFonts w:cstheme="minorHAnsi"/>
          <w:sz w:val="24"/>
          <w:szCs w:val="24"/>
          <w:u w:val="single"/>
        </w:rPr>
        <w:t>Conceptual Considerations</w:t>
      </w:r>
    </w:p>
    <w:p w:rsidR="00806CFE" w:rsidRPr="00781FFF" w:rsidRDefault="00DF768B" w:rsidP="00781FFF">
      <w:pPr>
        <w:spacing w:after="60" w:line="247" w:lineRule="auto"/>
        <w:jc w:val="both"/>
        <w:rPr>
          <w:rFonts w:cstheme="minorHAnsi"/>
          <w:sz w:val="24"/>
          <w:szCs w:val="24"/>
        </w:rPr>
      </w:pPr>
      <w:r w:rsidRPr="00781FFF">
        <w:rPr>
          <w:rFonts w:cstheme="minorHAnsi"/>
          <w:sz w:val="24"/>
          <w:szCs w:val="24"/>
        </w:rPr>
        <w:t>R</w:t>
      </w:r>
      <w:r w:rsidR="00C06F5E" w:rsidRPr="00781FFF">
        <w:rPr>
          <w:rFonts w:cstheme="minorHAnsi"/>
          <w:sz w:val="24"/>
          <w:szCs w:val="24"/>
        </w:rPr>
        <w:t xml:space="preserve">egular, free and fair elections, functioning </w:t>
      </w:r>
      <w:proofErr w:type="spellStart"/>
      <w:r w:rsidR="00C06F5E" w:rsidRPr="00781FFF">
        <w:rPr>
          <w:rFonts w:cstheme="minorHAnsi"/>
          <w:sz w:val="24"/>
          <w:szCs w:val="24"/>
        </w:rPr>
        <w:t>parliamentarism</w:t>
      </w:r>
      <w:proofErr w:type="spellEnd"/>
      <w:r w:rsidR="00C06F5E" w:rsidRPr="00781FFF">
        <w:rPr>
          <w:rFonts w:cstheme="minorHAnsi"/>
          <w:sz w:val="24"/>
          <w:szCs w:val="24"/>
        </w:rPr>
        <w:t xml:space="preserve"> </w:t>
      </w:r>
      <w:r w:rsidRPr="00781FFF">
        <w:rPr>
          <w:rFonts w:cstheme="minorHAnsi"/>
          <w:sz w:val="24"/>
          <w:szCs w:val="24"/>
        </w:rPr>
        <w:t>and rule of law (often seen as the substance of democracy)</w:t>
      </w:r>
      <w:r w:rsidR="00C06F5E" w:rsidRPr="00781FFF">
        <w:rPr>
          <w:rFonts w:cstheme="minorHAnsi"/>
          <w:sz w:val="24"/>
          <w:szCs w:val="24"/>
        </w:rPr>
        <w:t xml:space="preserve"> on their own cannot guarantee human rights and, in particular, minority rights. The main reason for this is that all these democratic institutions function on the basis of majority decision-making. </w:t>
      </w:r>
      <w:r w:rsidRPr="00781FFF">
        <w:rPr>
          <w:rFonts w:cstheme="minorHAnsi"/>
          <w:sz w:val="24"/>
          <w:szCs w:val="24"/>
        </w:rPr>
        <w:t>I</w:t>
      </w:r>
      <w:r w:rsidR="00C06F5E" w:rsidRPr="00781FFF">
        <w:rPr>
          <w:rFonts w:cstheme="minorHAnsi"/>
          <w:sz w:val="24"/>
          <w:szCs w:val="24"/>
        </w:rPr>
        <w:t>n most</w:t>
      </w:r>
      <w:r w:rsidRPr="00781FFF">
        <w:rPr>
          <w:rFonts w:cstheme="minorHAnsi"/>
          <w:sz w:val="24"/>
          <w:szCs w:val="24"/>
        </w:rPr>
        <w:t xml:space="preserve"> modern democracies</w:t>
      </w:r>
      <w:r w:rsidR="00C06F5E" w:rsidRPr="00781FFF">
        <w:rPr>
          <w:rFonts w:cstheme="minorHAnsi"/>
          <w:sz w:val="24"/>
          <w:szCs w:val="24"/>
        </w:rPr>
        <w:t xml:space="preserve"> the central power is held and controlled by the ethnic, linguistic and religious majorities of the respective countries. </w:t>
      </w:r>
      <w:r w:rsidRPr="00781FFF">
        <w:rPr>
          <w:rFonts w:cstheme="minorHAnsi"/>
          <w:sz w:val="24"/>
          <w:szCs w:val="24"/>
        </w:rPr>
        <w:t>These majorities</w:t>
      </w:r>
      <w:r w:rsidR="00C659D8">
        <w:rPr>
          <w:rFonts w:cstheme="minorHAnsi"/>
          <w:sz w:val="24"/>
          <w:szCs w:val="24"/>
        </w:rPr>
        <w:t xml:space="preserve"> often</w:t>
      </w:r>
      <w:r w:rsidRPr="00781FFF">
        <w:rPr>
          <w:rFonts w:cstheme="minorHAnsi"/>
          <w:sz w:val="24"/>
          <w:szCs w:val="24"/>
        </w:rPr>
        <w:t xml:space="preserve"> adopt decisions which reflect </w:t>
      </w:r>
      <w:r w:rsidR="00EC36C3" w:rsidRPr="00781FFF">
        <w:rPr>
          <w:rFonts w:cstheme="minorHAnsi"/>
          <w:sz w:val="24"/>
          <w:szCs w:val="24"/>
        </w:rPr>
        <w:t xml:space="preserve">only </w:t>
      </w:r>
      <w:r w:rsidRPr="00781FFF">
        <w:rPr>
          <w:rFonts w:cstheme="minorHAnsi"/>
          <w:sz w:val="24"/>
          <w:szCs w:val="24"/>
        </w:rPr>
        <w:t xml:space="preserve">the political will </w:t>
      </w:r>
      <w:r w:rsidR="00C659D8">
        <w:rPr>
          <w:rFonts w:cstheme="minorHAnsi"/>
          <w:sz w:val="24"/>
          <w:szCs w:val="24"/>
        </w:rPr>
        <w:t xml:space="preserve">and interests </w:t>
      </w:r>
      <w:r w:rsidRPr="00781FFF">
        <w:rPr>
          <w:rFonts w:cstheme="minorHAnsi"/>
          <w:sz w:val="24"/>
          <w:szCs w:val="24"/>
        </w:rPr>
        <w:t>of these majorities</w:t>
      </w:r>
      <w:r w:rsidR="00C659D8">
        <w:rPr>
          <w:rFonts w:cstheme="minorHAnsi"/>
          <w:sz w:val="24"/>
          <w:szCs w:val="24"/>
        </w:rPr>
        <w:t>, while</w:t>
      </w:r>
      <w:r w:rsidRPr="00781FFF">
        <w:rPr>
          <w:rFonts w:cstheme="minorHAnsi"/>
          <w:sz w:val="24"/>
          <w:szCs w:val="24"/>
        </w:rPr>
        <w:t xml:space="preserve"> the minorities </w:t>
      </w:r>
      <w:r w:rsidR="00C659D8">
        <w:rPr>
          <w:rFonts w:cstheme="minorHAnsi"/>
          <w:sz w:val="24"/>
          <w:szCs w:val="24"/>
        </w:rPr>
        <w:t>cannot</w:t>
      </w:r>
      <w:r w:rsidR="00076F65">
        <w:rPr>
          <w:rFonts w:cstheme="minorHAnsi"/>
          <w:sz w:val="24"/>
          <w:szCs w:val="24"/>
        </w:rPr>
        <w:t xml:space="preserve"> </w:t>
      </w:r>
      <w:r w:rsidRPr="00781FFF">
        <w:rPr>
          <w:rFonts w:cstheme="minorHAnsi"/>
          <w:sz w:val="24"/>
          <w:szCs w:val="24"/>
        </w:rPr>
        <w:t>outvote them</w:t>
      </w:r>
      <w:r w:rsidR="00C659D8">
        <w:rPr>
          <w:rFonts w:cstheme="minorHAnsi"/>
          <w:sz w:val="24"/>
          <w:szCs w:val="24"/>
        </w:rPr>
        <w:t xml:space="preserve"> due to numerical considerations</w:t>
      </w:r>
      <w:r w:rsidRPr="00781FFF">
        <w:rPr>
          <w:rFonts w:cstheme="minorHAnsi"/>
          <w:sz w:val="24"/>
          <w:szCs w:val="24"/>
        </w:rPr>
        <w:t>.</w:t>
      </w:r>
    </w:p>
    <w:p w:rsidR="00FE7282" w:rsidRPr="00781FFF" w:rsidRDefault="00806CFE" w:rsidP="00781FFF">
      <w:pPr>
        <w:spacing w:after="60" w:line="247" w:lineRule="auto"/>
        <w:jc w:val="both"/>
        <w:rPr>
          <w:rFonts w:cstheme="minorHAnsi"/>
          <w:sz w:val="24"/>
          <w:szCs w:val="24"/>
        </w:rPr>
      </w:pPr>
      <w:r w:rsidRPr="00F908FF">
        <w:rPr>
          <w:rFonts w:cstheme="minorHAnsi"/>
          <w:sz w:val="24"/>
          <w:szCs w:val="24"/>
        </w:rPr>
        <w:t xml:space="preserve">There are multiple examples from </w:t>
      </w:r>
      <w:r w:rsidR="00076F65">
        <w:rPr>
          <w:rFonts w:cstheme="minorHAnsi"/>
          <w:sz w:val="24"/>
          <w:szCs w:val="24"/>
        </w:rPr>
        <w:t xml:space="preserve">the Republic of </w:t>
      </w:r>
      <w:r w:rsidRPr="00F908FF">
        <w:rPr>
          <w:rFonts w:cstheme="minorHAnsi"/>
          <w:sz w:val="24"/>
          <w:szCs w:val="24"/>
        </w:rPr>
        <w:t>Moldova that prove this thesis</w:t>
      </w:r>
      <w:r w:rsidR="00B73F2D">
        <w:rPr>
          <w:rFonts w:cstheme="minorHAnsi"/>
          <w:sz w:val="24"/>
          <w:szCs w:val="24"/>
        </w:rPr>
        <w:t xml:space="preserve"> (please see the full submission for details)</w:t>
      </w:r>
      <w:r w:rsidRPr="00F908FF">
        <w:rPr>
          <w:rFonts w:cstheme="minorHAnsi"/>
          <w:sz w:val="24"/>
          <w:szCs w:val="24"/>
        </w:rPr>
        <w:t>.</w:t>
      </w:r>
      <w:r w:rsidR="00B73F2D">
        <w:rPr>
          <w:rFonts w:cstheme="minorHAnsi"/>
          <w:sz w:val="24"/>
          <w:szCs w:val="24"/>
        </w:rPr>
        <w:t xml:space="preserve"> </w:t>
      </w:r>
      <w:r w:rsidR="00EC36C3" w:rsidRPr="00781FFF">
        <w:rPr>
          <w:rFonts w:cstheme="minorHAnsi"/>
          <w:sz w:val="24"/>
          <w:szCs w:val="24"/>
        </w:rPr>
        <w:t xml:space="preserve">Therefore, the answer to </w:t>
      </w:r>
      <w:r w:rsidR="00EC36C3" w:rsidRPr="00732342">
        <w:rPr>
          <w:rFonts w:cstheme="minorHAnsi"/>
          <w:sz w:val="24"/>
          <w:szCs w:val="24"/>
        </w:rPr>
        <w:t xml:space="preserve">question </w:t>
      </w:r>
      <w:r w:rsidR="006040CE" w:rsidRPr="00732342">
        <w:rPr>
          <w:rFonts w:cstheme="minorHAnsi"/>
          <w:sz w:val="24"/>
          <w:szCs w:val="24"/>
        </w:rPr>
        <w:t>4</w:t>
      </w:r>
      <w:r w:rsidR="006040CE" w:rsidRPr="00781FFF">
        <w:rPr>
          <w:rFonts w:cstheme="minorHAnsi"/>
          <w:sz w:val="24"/>
          <w:szCs w:val="24"/>
        </w:rPr>
        <w:t xml:space="preserve"> from the Call for Submissions is this: In the context of Moldova, the majority-based decision making during elections, in the Parliament, in local councils and many other public authority bodies is the main institutional arrangement and political practice that </w:t>
      </w:r>
      <w:r w:rsidR="006040CE" w:rsidRPr="00781FFF">
        <w:rPr>
          <w:rFonts w:cstheme="minorHAnsi"/>
          <w:i/>
          <w:sz w:val="24"/>
          <w:szCs w:val="24"/>
        </w:rPr>
        <w:t>de jure</w:t>
      </w:r>
      <w:r w:rsidR="006040CE" w:rsidRPr="00781FFF">
        <w:rPr>
          <w:rFonts w:cstheme="minorHAnsi"/>
          <w:sz w:val="24"/>
          <w:szCs w:val="24"/>
        </w:rPr>
        <w:t xml:space="preserve"> and </w:t>
      </w:r>
      <w:r w:rsidR="006040CE" w:rsidRPr="00781FFF">
        <w:rPr>
          <w:rFonts w:cstheme="minorHAnsi"/>
          <w:i/>
          <w:sz w:val="24"/>
          <w:szCs w:val="24"/>
        </w:rPr>
        <w:t>de facto</w:t>
      </w:r>
      <w:r w:rsidR="006040CE" w:rsidRPr="00781FFF">
        <w:rPr>
          <w:rFonts w:cstheme="minorHAnsi"/>
          <w:sz w:val="24"/>
          <w:szCs w:val="24"/>
        </w:rPr>
        <w:t xml:space="preserve"> marginalizes persons belonging to minorities in terms of effective participation in decisions at the national and local levels.</w:t>
      </w:r>
      <w:r w:rsidR="00FE7282" w:rsidRPr="00781FFF">
        <w:rPr>
          <w:rFonts w:cstheme="minorHAnsi"/>
          <w:sz w:val="24"/>
          <w:szCs w:val="24"/>
        </w:rPr>
        <w:t xml:space="preserve"> </w:t>
      </w:r>
      <w:r w:rsidR="00F908FF">
        <w:rPr>
          <w:rFonts w:cstheme="minorHAnsi"/>
          <w:sz w:val="24"/>
          <w:szCs w:val="24"/>
        </w:rPr>
        <w:t>It is to mention, that the representation of minorities in the Moldovan central authorities is low, and the absolute majority of the decision-taking members of the Moldovan central authorities have no knowledge of the international human and minority rights standards</w:t>
      </w:r>
      <w:r w:rsidR="003B04C0">
        <w:rPr>
          <w:rFonts w:cstheme="minorHAnsi"/>
          <w:sz w:val="24"/>
          <w:szCs w:val="24"/>
        </w:rPr>
        <w:t>, they also have a vague understanding of minority needs</w:t>
      </w:r>
      <w:r w:rsidR="00F908FF">
        <w:rPr>
          <w:rFonts w:cstheme="minorHAnsi"/>
          <w:sz w:val="24"/>
          <w:szCs w:val="24"/>
        </w:rPr>
        <w:t xml:space="preserve">.  </w:t>
      </w:r>
    </w:p>
    <w:p w:rsidR="00806CFE" w:rsidRPr="00781FFF" w:rsidRDefault="00C06F5E" w:rsidP="00781FFF">
      <w:pPr>
        <w:spacing w:after="60" w:line="247" w:lineRule="auto"/>
        <w:jc w:val="both"/>
        <w:rPr>
          <w:rFonts w:cstheme="minorHAnsi"/>
          <w:sz w:val="24"/>
          <w:szCs w:val="24"/>
        </w:rPr>
      </w:pPr>
      <w:r w:rsidRPr="00781FFF">
        <w:rPr>
          <w:rFonts w:cstheme="minorHAnsi"/>
          <w:sz w:val="24"/>
          <w:szCs w:val="24"/>
        </w:rPr>
        <w:t>Thus, to make minority rights work</w:t>
      </w:r>
      <w:r w:rsidR="00806CFE" w:rsidRPr="00781FFF">
        <w:rPr>
          <w:rFonts w:cstheme="minorHAnsi"/>
          <w:sz w:val="24"/>
          <w:szCs w:val="24"/>
        </w:rPr>
        <w:t>, special institutional arrangements</w:t>
      </w:r>
      <w:r w:rsidRPr="00781FFF">
        <w:rPr>
          <w:rFonts w:cstheme="minorHAnsi"/>
          <w:sz w:val="24"/>
          <w:szCs w:val="24"/>
        </w:rPr>
        <w:t xml:space="preserve"> and mechanisms have to be established to </w:t>
      </w:r>
      <w:r w:rsidR="00944BF3" w:rsidRPr="00781FFF">
        <w:rPr>
          <w:rFonts w:cstheme="minorHAnsi"/>
          <w:sz w:val="24"/>
          <w:szCs w:val="24"/>
        </w:rPr>
        <w:t>uphold minority rights, including in cases of decisions adopted by the political majority.</w:t>
      </w:r>
      <w:r w:rsidR="00806CFE" w:rsidRPr="00781FFF">
        <w:rPr>
          <w:rFonts w:cstheme="minorHAnsi"/>
          <w:sz w:val="24"/>
          <w:szCs w:val="24"/>
        </w:rPr>
        <w:t xml:space="preserve"> </w:t>
      </w:r>
      <w:r w:rsidR="00DF768B" w:rsidRPr="00781FFF">
        <w:rPr>
          <w:rFonts w:cstheme="minorHAnsi"/>
          <w:sz w:val="24"/>
          <w:szCs w:val="24"/>
        </w:rPr>
        <w:t xml:space="preserve">Ideally, the independent courts system and the independent national human rights institutions (human rights commissions, </w:t>
      </w:r>
      <w:proofErr w:type="spellStart"/>
      <w:r w:rsidR="00DF768B" w:rsidRPr="00781FFF">
        <w:rPr>
          <w:rFonts w:cstheme="minorHAnsi"/>
          <w:sz w:val="24"/>
          <w:szCs w:val="24"/>
        </w:rPr>
        <w:t>ombuds</w:t>
      </w:r>
      <w:proofErr w:type="spellEnd"/>
      <w:r w:rsidR="00DF768B" w:rsidRPr="00781FFF">
        <w:rPr>
          <w:rFonts w:cstheme="minorHAnsi"/>
          <w:sz w:val="24"/>
          <w:szCs w:val="24"/>
        </w:rPr>
        <w:t xml:space="preserve"> institutions, etc) should temper </w:t>
      </w:r>
      <w:r w:rsidR="00806CFE" w:rsidRPr="00781FFF">
        <w:rPr>
          <w:rFonts w:cstheme="minorHAnsi"/>
          <w:sz w:val="24"/>
          <w:szCs w:val="24"/>
        </w:rPr>
        <w:t>minority-</w:t>
      </w:r>
      <w:r w:rsidR="00DF768B" w:rsidRPr="00781FFF">
        <w:rPr>
          <w:rFonts w:cstheme="minorHAnsi"/>
          <w:sz w:val="24"/>
          <w:szCs w:val="24"/>
        </w:rPr>
        <w:t xml:space="preserve">abusive political decisions. But this can only work if these institutions themselves are minority sensitive and responsive. This could be achieved through a good training </w:t>
      </w:r>
      <w:r w:rsidR="00806CFE" w:rsidRPr="00781FFF">
        <w:rPr>
          <w:rFonts w:cstheme="minorHAnsi"/>
          <w:b/>
          <w:sz w:val="24"/>
          <w:szCs w:val="24"/>
        </w:rPr>
        <w:t>system</w:t>
      </w:r>
      <w:r w:rsidR="00806CFE" w:rsidRPr="00781FFF">
        <w:rPr>
          <w:rFonts w:cstheme="minorHAnsi"/>
          <w:sz w:val="24"/>
          <w:szCs w:val="24"/>
        </w:rPr>
        <w:t xml:space="preserve"> </w:t>
      </w:r>
      <w:r w:rsidR="00DF768B" w:rsidRPr="00781FFF">
        <w:rPr>
          <w:rFonts w:cstheme="minorHAnsi"/>
          <w:sz w:val="24"/>
          <w:szCs w:val="24"/>
        </w:rPr>
        <w:t xml:space="preserve">on minority issues and </w:t>
      </w:r>
      <w:r w:rsidR="00806CFE" w:rsidRPr="00781FFF">
        <w:rPr>
          <w:rFonts w:cstheme="minorHAnsi"/>
          <w:sz w:val="24"/>
          <w:szCs w:val="24"/>
        </w:rPr>
        <w:t xml:space="preserve">through </w:t>
      </w:r>
      <w:r w:rsidR="00EC36C3" w:rsidRPr="00781FFF">
        <w:rPr>
          <w:rFonts w:cstheme="minorHAnsi"/>
          <w:sz w:val="24"/>
          <w:szCs w:val="24"/>
        </w:rPr>
        <w:t xml:space="preserve">effective </w:t>
      </w:r>
      <w:r w:rsidR="00DF768B" w:rsidRPr="00781FFF">
        <w:rPr>
          <w:rFonts w:cstheme="minorHAnsi"/>
          <w:sz w:val="24"/>
          <w:szCs w:val="24"/>
        </w:rPr>
        <w:t xml:space="preserve">adoption of </w:t>
      </w:r>
      <w:r w:rsidR="00EC36C3" w:rsidRPr="00781FFF">
        <w:rPr>
          <w:rFonts w:cstheme="minorHAnsi"/>
          <w:sz w:val="24"/>
          <w:szCs w:val="24"/>
        </w:rPr>
        <w:t>minority-inclusive views by the non-minority member</w:t>
      </w:r>
      <w:r w:rsidR="00806CFE" w:rsidRPr="00781FFF">
        <w:rPr>
          <w:rFonts w:cstheme="minorHAnsi"/>
          <w:sz w:val="24"/>
          <w:szCs w:val="24"/>
        </w:rPr>
        <w:t xml:space="preserve">s </w:t>
      </w:r>
      <w:r w:rsidR="00806CFE" w:rsidRPr="00781FFF">
        <w:rPr>
          <w:rFonts w:cstheme="minorHAnsi"/>
          <w:sz w:val="24"/>
          <w:szCs w:val="24"/>
        </w:rPr>
        <w:lastRenderedPageBreak/>
        <w:t xml:space="preserve">of the judiciary and NHRIs. </w:t>
      </w:r>
      <w:r w:rsidR="00E55474">
        <w:rPr>
          <w:rFonts w:cstheme="minorHAnsi"/>
          <w:sz w:val="24"/>
          <w:szCs w:val="24"/>
        </w:rPr>
        <w:t>It</w:t>
      </w:r>
      <w:r w:rsidR="00EC36C3" w:rsidRPr="00781FFF">
        <w:rPr>
          <w:rFonts w:cstheme="minorHAnsi"/>
          <w:sz w:val="24"/>
          <w:szCs w:val="24"/>
        </w:rPr>
        <w:t xml:space="preserve"> could be </w:t>
      </w:r>
      <w:r w:rsidR="00E55474">
        <w:rPr>
          <w:rFonts w:cstheme="minorHAnsi"/>
          <w:sz w:val="24"/>
          <w:szCs w:val="24"/>
        </w:rPr>
        <w:t xml:space="preserve">also </w:t>
      </w:r>
      <w:r w:rsidR="00DF768B" w:rsidRPr="00781FFF">
        <w:rPr>
          <w:rFonts w:cstheme="minorHAnsi"/>
          <w:sz w:val="24"/>
          <w:szCs w:val="24"/>
        </w:rPr>
        <w:t xml:space="preserve">achieved through </w:t>
      </w:r>
      <w:r w:rsidR="00DF768B" w:rsidRPr="00781FFF">
        <w:rPr>
          <w:rFonts w:cstheme="minorHAnsi"/>
          <w:sz w:val="24"/>
          <w:szCs w:val="24"/>
          <w:u w:val="single"/>
        </w:rPr>
        <w:t xml:space="preserve">sufficient inclusion of </w:t>
      </w:r>
      <w:r w:rsidR="003B04C0">
        <w:rPr>
          <w:rFonts w:cstheme="minorHAnsi"/>
          <w:sz w:val="24"/>
          <w:szCs w:val="24"/>
          <w:u w:val="single"/>
        </w:rPr>
        <w:t xml:space="preserve">trained </w:t>
      </w:r>
      <w:r w:rsidR="00DF768B" w:rsidRPr="00781FFF">
        <w:rPr>
          <w:rFonts w:cstheme="minorHAnsi"/>
          <w:sz w:val="24"/>
          <w:szCs w:val="24"/>
          <w:u w:val="single"/>
        </w:rPr>
        <w:t xml:space="preserve">minority members into the composition </w:t>
      </w:r>
      <w:r w:rsidR="00EC36C3" w:rsidRPr="00781FFF">
        <w:rPr>
          <w:rFonts w:cstheme="minorHAnsi"/>
          <w:sz w:val="24"/>
          <w:szCs w:val="24"/>
          <w:u w:val="single"/>
        </w:rPr>
        <w:t>of these institutions</w:t>
      </w:r>
      <w:r w:rsidR="00EC36C3" w:rsidRPr="00781FFF">
        <w:rPr>
          <w:rFonts w:cstheme="minorHAnsi"/>
          <w:sz w:val="24"/>
          <w:szCs w:val="24"/>
        </w:rPr>
        <w:t>.</w:t>
      </w:r>
      <w:r w:rsidR="00781FFF" w:rsidRPr="00781FFF">
        <w:rPr>
          <w:rFonts w:cstheme="minorHAnsi"/>
          <w:sz w:val="24"/>
          <w:szCs w:val="24"/>
        </w:rPr>
        <w:t xml:space="preserve"> </w:t>
      </w:r>
      <w:r w:rsidR="00806CFE" w:rsidRPr="00781FFF">
        <w:rPr>
          <w:rFonts w:cstheme="minorHAnsi"/>
          <w:sz w:val="24"/>
          <w:szCs w:val="24"/>
        </w:rPr>
        <w:t>The Republic of Moldova can provide examples of both, successful and unsuccessful institutional arrangements and mechanisms in this regard.</w:t>
      </w:r>
    </w:p>
    <w:p w:rsidR="00806CFE" w:rsidRPr="00781FFF" w:rsidRDefault="00806CFE" w:rsidP="00781FFF">
      <w:pPr>
        <w:spacing w:after="60" w:line="247" w:lineRule="auto"/>
        <w:jc w:val="both"/>
        <w:rPr>
          <w:rFonts w:cstheme="minorHAnsi"/>
          <w:sz w:val="24"/>
          <w:szCs w:val="24"/>
        </w:rPr>
      </w:pPr>
    </w:p>
    <w:p w:rsidR="00AC034B" w:rsidRPr="00781FFF" w:rsidRDefault="00AC034B" w:rsidP="00781FFF">
      <w:pPr>
        <w:spacing w:after="60" w:line="247" w:lineRule="auto"/>
        <w:jc w:val="center"/>
        <w:rPr>
          <w:rFonts w:cstheme="minorHAnsi"/>
          <w:sz w:val="24"/>
          <w:szCs w:val="24"/>
          <w:u w:val="single"/>
        </w:rPr>
      </w:pPr>
      <w:r w:rsidRPr="00781FFF">
        <w:rPr>
          <w:rFonts w:cstheme="minorHAnsi"/>
          <w:sz w:val="24"/>
          <w:szCs w:val="24"/>
          <w:u w:val="single"/>
        </w:rPr>
        <w:t>Agency for Interethnic Relations</w:t>
      </w:r>
    </w:p>
    <w:p w:rsidR="00FA32C7" w:rsidRPr="00781FFF" w:rsidRDefault="00435C74" w:rsidP="00781FFF">
      <w:pPr>
        <w:spacing w:after="60" w:line="247" w:lineRule="auto"/>
        <w:jc w:val="both"/>
        <w:rPr>
          <w:rFonts w:cstheme="minorHAnsi"/>
          <w:sz w:val="24"/>
          <w:szCs w:val="24"/>
        </w:rPr>
      </w:pPr>
      <w:r w:rsidRPr="00781FFF">
        <w:rPr>
          <w:rFonts w:cstheme="minorHAnsi"/>
          <w:sz w:val="24"/>
          <w:szCs w:val="24"/>
        </w:rPr>
        <w:t>Agency for</w:t>
      </w:r>
      <w:r w:rsidR="00AC034B" w:rsidRPr="00781FFF">
        <w:rPr>
          <w:rFonts w:cstheme="minorHAnsi"/>
          <w:sz w:val="24"/>
          <w:szCs w:val="24"/>
        </w:rPr>
        <w:t xml:space="preserve"> Interethnic Relations (ARI) is the central governmental body in charge of </w:t>
      </w:r>
      <w:r w:rsidR="003B04C0">
        <w:rPr>
          <w:rFonts w:cstheme="minorHAnsi"/>
          <w:sz w:val="24"/>
          <w:szCs w:val="24"/>
        </w:rPr>
        <w:t xml:space="preserve">implementation of </w:t>
      </w:r>
      <w:r w:rsidR="00AC034B" w:rsidRPr="00781FFF">
        <w:rPr>
          <w:rFonts w:cstheme="minorHAnsi"/>
          <w:sz w:val="24"/>
          <w:szCs w:val="24"/>
        </w:rPr>
        <w:t xml:space="preserve">public policies in the field of interethnic relations and functioning </w:t>
      </w:r>
      <w:r w:rsidR="003B04C0">
        <w:rPr>
          <w:rFonts w:cstheme="minorHAnsi"/>
          <w:sz w:val="24"/>
          <w:szCs w:val="24"/>
        </w:rPr>
        <w:t xml:space="preserve">of </w:t>
      </w:r>
      <w:r w:rsidR="00AC034B" w:rsidRPr="00781FFF">
        <w:rPr>
          <w:rFonts w:cstheme="minorHAnsi"/>
          <w:sz w:val="24"/>
          <w:szCs w:val="24"/>
        </w:rPr>
        <w:t>languages in Moldova.</w:t>
      </w:r>
      <w:r w:rsidR="00AC034B" w:rsidRPr="00781FFF">
        <w:rPr>
          <w:rStyle w:val="FootnoteReference"/>
          <w:rFonts w:cstheme="minorHAnsi"/>
          <w:sz w:val="24"/>
          <w:szCs w:val="24"/>
        </w:rPr>
        <w:footnoteReference w:id="1"/>
      </w:r>
      <w:r w:rsidR="00AC034B" w:rsidRPr="00781FFF">
        <w:rPr>
          <w:rFonts w:cstheme="minorHAnsi"/>
          <w:sz w:val="24"/>
          <w:szCs w:val="24"/>
        </w:rPr>
        <w:t xml:space="preserve"> </w:t>
      </w:r>
      <w:r w:rsidR="00E55474">
        <w:rPr>
          <w:rFonts w:cstheme="minorHAnsi"/>
          <w:sz w:val="24"/>
          <w:szCs w:val="24"/>
        </w:rPr>
        <w:t>This body</w:t>
      </w:r>
      <w:r w:rsidR="00E55474" w:rsidRPr="00781FFF">
        <w:rPr>
          <w:rFonts w:cstheme="minorHAnsi"/>
          <w:sz w:val="24"/>
          <w:szCs w:val="24"/>
        </w:rPr>
        <w:t xml:space="preserve"> </w:t>
      </w:r>
      <w:r w:rsidR="00AC034B" w:rsidRPr="00781FFF">
        <w:rPr>
          <w:rFonts w:cstheme="minorHAnsi"/>
          <w:sz w:val="24"/>
          <w:szCs w:val="24"/>
        </w:rPr>
        <w:t xml:space="preserve">was first established in 1991 and over the past years underwent a number of reforms. In essence, ARI functions on the basis of </w:t>
      </w:r>
      <w:r w:rsidR="00AD36CA" w:rsidRPr="00781FFF">
        <w:rPr>
          <w:rFonts w:cstheme="minorHAnsi"/>
          <w:sz w:val="24"/>
          <w:szCs w:val="24"/>
        </w:rPr>
        <w:t>understanding that minority and language issues are “a field” of public affairs, which should be managed as any other such field, like education, healthcare, internal affairs, etc. At the same time, the ARI was endowed with very limited powers and resources to carry out its mandate. As the result, ARI ended up deal</w:t>
      </w:r>
      <w:r w:rsidR="00E55474">
        <w:rPr>
          <w:rFonts w:cstheme="minorHAnsi"/>
          <w:sz w:val="24"/>
          <w:szCs w:val="24"/>
        </w:rPr>
        <w:t>ing</w:t>
      </w:r>
      <w:r w:rsidR="00AD36CA" w:rsidRPr="00781FFF">
        <w:rPr>
          <w:rFonts w:cstheme="minorHAnsi"/>
          <w:sz w:val="24"/>
          <w:szCs w:val="24"/>
        </w:rPr>
        <w:t xml:space="preserve"> mainly with organization and coordination of ethno-folkloric ev</w:t>
      </w:r>
      <w:r w:rsidR="00FB4CDB" w:rsidRPr="00781FFF">
        <w:rPr>
          <w:rFonts w:cstheme="minorHAnsi"/>
          <w:sz w:val="24"/>
          <w:szCs w:val="24"/>
        </w:rPr>
        <w:t>ents, such as the annual Ethno-C</w:t>
      </w:r>
      <w:r w:rsidR="00AD36CA" w:rsidRPr="00781FFF">
        <w:rPr>
          <w:rFonts w:cstheme="minorHAnsi"/>
          <w:sz w:val="24"/>
          <w:szCs w:val="24"/>
        </w:rPr>
        <w:t>ultural Festival, Holocaust commemoration events, Roma day events, etc. ARI does not work</w:t>
      </w:r>
      <w:r w:rsidR="00FB4CDB" w:rsidRPr="00781FFF">
        <w:rPr>
          <w:rFonts w:cstheme="minorHAnsi"/>
          <w:sz w:val="24"/>
          <w:szCs w:val="24"/>
        </w:rPr>
        <w:t xml:space="preserve"> and does not have powers to work</w:t>
      </w:r>
      <w:r w:rsidR="00AD36CA" w:rsidRPr="00781FFF">
        <w:rPr>
          <w:rFonts w:cstheme="minorHAnsi"/>
          <w:sz w:val="24"/>
          <w:szCs w:val="24"/>
        </w:rPr>
        <w:t xml:space="preserve"> in such important (for minorities) domains as education, healthcare, employment, social protection, etc. Overall, ARI </w:t>
      </w:r>
      <w:r w:rsidR="00437DB3" w:rsidRPr="00781FFF">
        <w:rPr>
          <w:rFonts w:cstheme="minorHAnsi"/>
          <w:sz w:val="24"/>
          <w:szCs w:val="24"/>
        </w:rPr>
        <w:t xml:space="preserve">proved to be an institution with </w:t>
      </w:r>
      <w:r w:rsidR="00A428F7">
        <w:rPr>
          <w:rFonts w:cstheme="minorHAnsi"/>
          <w:sz w:val="24"/>
          <w:szCs w:val="24"/>
        </w:rPr>
        <w:t>limited</w:t>
      </w:r>
      <w:r w:rsidR="00A428F7" w:rsidRPr="00781FFF">
        <w:rPr>
          <w:rFonts w:cstheme="minorHAnsi"/>
          <w:sz w:val="24"/>
          <w:szCs w:val="24"/>
        </w:rPr>
        <w:t xml:space="preserve"> </w:t>
      </w:r>
      <w:r w:rsidR="00FB4CDB" w:rsidRPr="00781FFF">
        <w:rPr>
          <w:rFonts w:cstheme="minorHAnsi"/>
          <w:sz w:val="24"/>
          <w:szCs w:val="24"/>
        </w:rPr>
        <w:t>impact</w:t>
      </w:r>
      <w:r w:rsidR="00437DB3" w:rsidRPr="00781FFF">
        <w:rPr>
          <w:rFonts w:cstheme="minorHAnsi"/>
          <w:sz w:val="24"/>
          <w:szCs w:val="24"/>
        </w:rPr>
        <w:t xml:space="preserve"> on upholding</w:t>
      </w:r>
      <w:r w:rsidR="00B73F2D">
        <w:rPr>
          <w:rFonts w:cstheme="minorHAnsi"/>
          <w:sz w:val="24"/>
          <w:szCs w:val="24"/>
        </w:rPr>
        <w:t xml:space="preserve"> of minority rights in Moldova.</w:t>
      </w:r>
    </w:p>
    <w:p w:rsidR="00FB4CDB" w:rsidRPr="00781FFF" w:rsidRDefault="00FB4CDB" w:rsidP="00781FFF">
      <w:pPr>
        <w:spacing w:after="60" w:line="247" w:lineRule="auto"/>
        <w:jc w:val="center"/>
        <w:rPr>
          <w:rFonts w:cstheme="minorHAnsi"/>
          <w:sz w:val="24"/>
          <w:szCs w:val="24"/>
        </w:rPr>
      </w:pPr>
    </w:p>
    <w:p w:rsidR="00FB4CDB" w:rsidRPr="00781FFF" w:rsidRDefault="00FB4CDB" w:rsidP="00781FFF">
      <w:pPr>
        <w:spacing w:after="60" w:line="247" w:lineRule="auto"/>
        <w:jc w:val="center"/>
        <w:rPr>
          <w:rFonts w:cstheme="minorHAnsi"/>
          <w:sz w:val="24"/>
          <w:szCs w:val="24"/>
          <w:u w:val="single"/>
        </w:rPr>
      </w:pPr>
      <w:r w:rsidRPr="00781FFF">
        <w:rPr>
          <w:rFonts w:cstheme="minorHAnsi"/>
          <w:sz w:val="24"/>
          <w:szCs w:val="24"/>
          <w:u w:val="single"/>
        </w:rPr>
        <w:t xml:space="preserve">Standing </w:t>
      </w:r>
      <w:r w:rsidR="004C5452" w:rsidRPr="00781FFF">
        <w:rPr>
          <w:rFonts w:cstheme="minorHAnsi"/>
          <w:sz w:val="24"/>
          <w:szCs w:val="24"/>
          <w:u w:val="single"/>
        </w:rPr>
        <w:t xml:space="preserve">Commission </w:t>
      </w:r>
      <w:r w:rsidRPr="00781FFF">
        <w:rPr>
          <w:rFonts w:cstheme="minorHAnsi"/>
          <w:sz w:val="24"/>
          <w:szCs w:val="24"/>
          <w:u w:val="single"/>
        </w:rPr>
        <w:t>of the Parliament on Human Rights and Inter-Ethnic Relations</w:t>
      </w:r>
    </w:p>
    <w:p w:rsidR="00FB4CDB" w:rsidRPr="00781FFF" w:rsidRDefault="00FB4CDB" w:rsidP="00781FFF">
      <w:pPr>
        <w:spacing w:after="60" w:line="247" w:lineRule="auto"/>
        <w:jc w:val="both"/>
        <w:rPr>
          <w:rFonts w:cstheme="minorHAnsi"/>
          <w:sz w:val="24"/>
          <w:szCs w:val="24"/>
        </w:rPr>
      </w:pPr>
      <w:r w:rsidRPr="00781FFF">
        <w:rPr>
          <w:rFonts w:cstheme="minorHAnsi"/>
          <w:sz w:val="24"/>
          <w:szCs w:val="24"/>
        </w:rPr>
        <w:t xml:space="preserve">Another key structure in charge of legislating and oversight over the minority rights in Moldova is the Standing </w:t>
      </w:r>
      <w:r w:rsidR="004C5452" w:rsidRPr="00781FFF">
        <w:rPr>
          <w:rFonts w:cstheme="minorHAnsi"/>
          <w:sz w:val="24"/>
          <w:szCs w:val="24"/>
        </w:rPr>
        <w:t xml:space="preserve">Commission </w:t>
      </w:r>
      <w:r w:rsidRPr="00781FFF">
        <w:rPr>
          <w:rFonts w:cstheme="minorHAnsi"/>
          <w:sz w:val="24"/>
          <w:szCs w:val="24"/>
        </w:rPr>
        <w:t>of the Parliament on Human Rights and Inter-Ethnic Relations.</w:t>
      </w:r>
      <w:r w:rsidRPr="00781FFF">
        <w:rPr>
          <w:rStyle w:val="FootnoteReference"/>
          <w:rFonts w:cstheme="minorHAnsi"/>
          <w:sz w:val="24"/>
          <w:szCs w:val="24"/>
        </w:rPr>
        <w:footnoteReference w:id="2"/>
      </w:r>
      <w:r w:rsidRPr="00781FFF">
        <w:rPr>
          <w:rFonts w:cstheme="minorHAnsi"/>
          <w:sz w:val="24"/>
          <w:szCs w:val="24"/>
        </w:rPr>
        <w:t xml:space="preserve"> On paper this Commission has a vast mandate, inclusive of:</w:t>
      </w:r>
    </w:p>
    <w:p w:rsidR="00FB4CDB" w:rsidRPr="00781FFF" w:rsidRDefault="00FB4CDB" w:rsidP="00781FFF">
      <w:pPr>
        <w:pStyle w:val="ListParagraph"/>
        <w:numPr>
          <w:ilvl w:val="0"/>
          <w:numId w:val="2"/>
        </w:numPr>
        <w:spacing w:after="60" w:line="247" w:lineRule="auto"/>
        <w:jc w:val="both"/>
        <w:rPr>
          <w:rFonts w:cstheme="minorHAnsi"/>
          <w:sz w:val="24"/>
          <w:szCs w:val="24"/>
        </w:rPr>
      </w:pPr>
      <w:r w:rsidRPr="00781FFF">
        <w:rPr>
          <w:rFonts w:cstheme="minorHAnsi"/>
          <w:sz w:val="24"/>
          <w:szCs w:val="24"/>
        </w:rPr>
        <w:t>Human rights;</w:t>
      </w:r>
    </w:p>
    <w:p w:rsidR="00FB4CDB" w:rsidRPr="00781FFF" w:rsidRDefault="00FB4CDB" w:rsidP="00781FFF">
      <w:pPr>
        <w:pStyle w:val="ListParagraph"/>
        <w:numPr>
          <w:ilvl w:val="0"/>
          <w:numId w:val="2"/>
        </w:numPr>
        <w:spacing w:after="60" w:line="247" w:lineRule="auto"/>
        <w:jc w:val="both"/>
        <w:rPr>
          <w:rFonts w:cstheme="minorHAnsi"/>
          <w:sz w:val="24"/>
          <w:szCs w:val="24"/>
        </w:rPr>
      </w:pPr>
      <w:r w:rsidRPr="00781FFF">
        <w:rPr>
          <w:rFonts w:cstheme="minorHAnsi"/>
          <w:sz w:val="24"/>
          <w:szCs w:val="24"/>
        </w:rPr>
        <w:t>The problems of national minorities;</w:t>
      </w:r>
    </w:p>
    <w:p w:rsidR="00FB4CDB" w:rsidRPr="00781FFF" w:rsidRDefault="00FB4CDB" w:rsidP="00781FFF">
      <w:pPr>
        <w:pStyle w:val="ListParagraph"/>
        <w:numPr>
          <w:ilvl w:val="0"/>
          <w:numId w:val="2"/>
        </w:numPr>
        <w:spacing w:after="60" w:line="247" w:lineRule="auto"/>
        <w:jc w:val="both"/>
        <w:rPr>
          <w:rFonts w:cstheme="minorHAnsi"/>
          <w:sz w:val="24"/>
          <w:szCs w:val="24"/>
        </w:rPr>
      </w:pPr>
      <w:r w:rsidRPr="00781FFF">
        <w:rPr>
          <w:rFonts w:cstheme="minorHAnsi"/>
          <w:sz w:val="24"/>
          <w:szCs w:val="24"/>
        </w:rPr>
        <w:t>The problems of religious cults;</w:t>
      </w:r>
    </w:p>
    <w:p w:rsidR="00FB4CDB" w:rsidRPr="00781FFF" w:rsidRDefault="00FB4CDB" w:rsidP="00781FFF">
      <w:pPr>
        <w:pStyle w:val="ListParagraph"/>
        <w:numPr>
          <w:ilvl w:val="0"/>
          <w:numId w:val="2"/>
        </w:numPr>
        <w:spacing w:after="60" w:line="247" w:lineRule="auto"/>
        <w:jc w:val="both"/>
        <w:rPr>
          <w:rFonts w:cstheme="minorHAnsi"/>
          <w:sz w:val="24"/>
          <w:szCs w:val="24"/>
        </w:rPr>
      </w:pPr>
      <w:r w:rsidRPr="00781FFF">
        <w:rPr>
          <w:rFonts w:cstheme="minorHAnsi"/>
          <w:sz w:val="24"/>
          <w:szCs w:val="24"/>
        </w:rPr>
        <w:t>Monitoring the implementation of the legal framework in the field of non-discrimination, economic, social and cultural rights of the person;</w:t>
      </w:r>
    </w:p>
    <w:p w:rsidR="00FB4CDB" w:rsidRPr="00781FFF" w:rsidRDefault="00FB4CDB" w:rsidP="00781FFF">
      <w:pPr>
        <w:pStyle w:val="ListParagraph"/>
        <w:numPr>
          <w:ilvl w:val="0"/>
          <w:numId w:val="2"/>
        </w:numPr>
        <w:spacing w:after="60" w:line="247" w:lineRule="auto"/>
        <w:jc w:val="both"/>
        <w:rPr>
          <w:rFonts w:cstheme="minorHAnsi"/>
          <w:sz w:val="24"/>
          <w:szCs w:val="24"/>
        </w:rPr>
      </w:pPr>
      <w:r w:rsidRPr="00781FFF">
        <w:rPr>
          <w:rFonts w:cstheme="minorHAnsi"/>
          <w:sz w:val="24"/>
          <w:szCs w:val="24"/>
        </w:rPr>
        <w:t xml:space="preserve">Promoting policies and strategies in the field of human rights, as well as monitoring </w:t>
      </w:r>
      <w:r w:rsidR="00740870" w:rsidRPr="00781FFF">
        <w:rPr>
          <w:rFonts w:cstheme="minorHAnsi"/>
          <w:sz w:val="24"/>
          <w:szCs w:val="24"/>
        </w:rPr>
        <w:t xml:space="preserve">of </w:t>
      </w:r>
      <w:r w:rsidRPr="00781FFF">
        <w:rPr>
          <w:rFonts w:cstheme="minorHAnsi"/>
          <w:sz w:val="24"/>
          <w:szCs w:val="24"/>
        </w:rPr>
        <w:t>their implementation;</w:t>
      </w:r>
    </w:p>
    <w:p w:rsidR="00AC034B" w:rsidRPr="00781FFF" w:rsidRDefault="00FB4CDB" w:rsidP="00781FFF">
      <w:pPr>
        <w:pStyle w:val="ListParagraph"/>
        <w:numPr>
          <w:ilvl w:val="0"/>
          <w:numId w:val="2"/>
        </w:numPr>
        <w:spacing w:after="60" w:line="247" w:lineRule="auto"/>
        <w:jc w:val="both"/>
        <w:rPr>
          <w:rFonts w:cstheme="minorHAnsi"/>
          <w:sz w:val="24"/>
          <w:szCs w:val="24"/>
        </w:rPr>
      </w:pPr>
      <w:r w:rsidRPr="00781FFF">
        <w:rPr>
          <w:rFonts w:cstheme="minorHAnsi"/>
          <w:sz w:val="24"/>
          <w:szCs w:val="24"/>
        </w:rPr>
        <w:t xml:space="preserve">Examining the petitions assigned </w:t>
      </w:r>
      <w:r w:rsidR="008762CF">
        <w:rPr>
          <w:rFonts w:cstheme="minorHAnsi"/>
          <w:sz w:val="24"/>
          <w:szCs w:val="24"/>
        </w:rPr>
        <w:t>according to the</w:t>
      </w:r>
      <w:r w:rsidRPr="00781FFF">
        <w:rPr>
          <w:rFonts w:cstheme="minorHAnsi"/>
          <w:sz w:val="24"/>
          <w:szCs w:val="24"/>
        </w:rPr>
        <w:t xml:space="preserve"> field of activity and resolving them according to the provisions of the legislation in force.</w:t>
      </w:r>
      <w:r w:rsidR="00740870" w:rsidRPr="00781FFF">
        <w:rPr>
          <w:rStyle w:val="FootnoteReference"/>
          <w:rFonts w:cstheme="minorHAnsi"/>
          <w:sz w:val="24"/>
          <w:szCs w:val="24"/>
        </w:rPr>
        <w:footnoteReference w:id="3"/>
      </w:r>
      <w:r w:rsidRPr="00781FFF">
        <w:rPr>
          <w:rFonts w:cstheme="minorHAnsi"/>
          <w:sz w:val="24"/>
          <w:szCs w:val="24"/>
        </w:rPr>
        <w:t xml:space="preserve"> </w:t>
      </w:r>
    </w:p>
    <w:p w:rsidR="00FB4CDB" w:rsidRPr="00781FFF" w:rsidRDefault="004D5E57" w:rsidP="00781FFF">
      <w:pPr>
        <w:spacing w:after="60" w:line="247" w:lineRule="auto"/>
        <w:jc w:val="both"/>
        <w:rPr>
          <w:rFonts w:cstheme="minorHAnsi"/>
          <w:sz w:val="24"/>
          <w:szCs w:val="24"/>
        </w:rPr>
      </w:pPr>
      <w:r w:rsidRPr="00781FFF">
        <w:rPr>
          <w:rFonts w:cstheme="minorHAnsi"/>
          <w:sz w:val="24"/>
          <w:szCs w:val="24"/>
        </w:rPr>
        <w:t xml:space="preserve">Despite this broad mandate and significant Parliamentary powers, this Standing </w:t>
      </w:r>
      <w:r w:rsidR="004C5452" w:rsidRPr="00781FFF">
        <w:rPr>
          <w:rFonts w:cstheme="minorHAnsi"/>
          <w:sz w:val="24"/>
          <w:szCs w:val="24"/>
        </w:rPr>
        <w:t xml:space="preserve">Commission </w:t>
      </w:r>
      <w:r w:rsidRPr="00781FFF">
        <w:rPr>
          <w:rFonts w:cstheme="minorHAnsi"/>
          <w:sz w:val="24"/>
          <w:szCs w:val="24"/>
        </w:rPr>
        <w:t xml:space="preserve">did not play a notable role in the upholding of minority rights (or representation of minorities) in Moldova. Parliamentary activity in Moldova is highly politicized, meaning that laws and other </w:t>
      </w:r>
      <w:r w:rsidRPr="00781FFF">
        <w:rPr>
          <w:rFonts w:cstheme="minorHAnsi"/>
          <w:sz w:val="24"/>
          <w:szCs w:val="24"/>
        </w:rPr>
        <w:lastRenderedPageBreak/>
        <w:t xml:space="preserve">acts are processed in the Parliament mostly based on the political authorship of such acts. The initiatives and acts proposed by the ruling party and its government are </w:t>
      </w:r>
      <w:r w:rsidR="000060D6">
        <w:rPr>
          <w:rFonts w:cstheme="minorHAnsi"/>
          <w:sz w:val="24"/>
          <w:szCs w:val="24"/>
        </w:rPr>
        <w:t xml:space="preserve">usually </w:t>
      </w:r>
      <w:r w:rsidRPr="00781FFF">
        <w:rPr>
          <w:rFonts w:cstheme="minorHAnsi"/>
          <w:sz w:val="24"/>
          <w:szCs w:val="24"/>
        </w:rPr>
        <w:t xml:space="preserve">promoted and voted for quickly and easily, while the initiatives and acts proposed by the opposition are mostly blocked or rejected. Historically, during the allotment of </w:t>
      </w:r>
      <w:r w:rsidR="004C5452" w:rsidRPr="00781FFF">
        <w:rPr>
          <w:rFonts w:cstheme="minorHAnsi"/>
          <w:sz w:val="24"/>
          <w:szCs w:val="24"/>
        </w:rPr>
        <w:t>the chairmanship</w:t>
      </w:r>
      <w:r w:rsidR="000060D6">
        <w:rPr>
          <w:rFonts w:cstheme="minorHAnsi"/>
          <w:sz w:val="24"/>
          <w:szCs w:val="24"/>
        </w:rPr>
        <w:t>s</w:t>
      </w:r>
      <w:r w:rsidR="004C5452" w:rsidRPr="00781FFF">
        <w:rPr>
          <w:rFonts w:cstheme="minorHAnsi"/>
          <w:sz w:val="24"/>
          <w:szCs w:val="24"/>
        </w:rPr>
        <w:t xml:space="preserve"> over the Parliamentary committees at the beginning of every new legislature, the Standing Commission of the Parliament on Human Rights and Inter-Ethnic Relations is usually allotted to the opposition, because </w:t>
      </w:r>
      <w:r w:rsidR="000060D6">
        <w:rPr>
          <w:rFonts w:cstheme="minorHAnsi"/>
          <w:sz w:val="24"/>
          <w:szCs w:val="24"/>
        </w:rPr>
        <w:t>this Commission</w:t>
      </w:r>
      <w:r w:rsidR="000060D6" w:rsidRPr="00781FFF">
        <w:rPr>
          <w:rFonts w:cstheme="minorHAnsi"/>
          <w:sz w:val="24"/>
          <w:szCs w:val="24"/>
        </w:rPr>
        <w:t xml:space="preserve"> </w:t>
      </w:r>
      <w:r w:rsidR="004C5452" w:rsidRPr="00781FFF">
        <w:rPr>
          <w:rFonts w:cstheme="minorHAnsi"/>
          <w:sz w:val="24"/>
          <w:szCs w:val="24"/>
        </w:rPr>
        <w:t xml:space="preserve">is deemed to be one of the most weak and unimportant </w:t>
      </w:r>
      <w:r w:rsidR="000060D6">
        <w:rPr>
          <w:rFonts w:cstheme="minorHAnsi"/>
          <w:sz w:val="24"/>
          <w:szCs w:val="24"/>
        </w:rPr>
        <w:t>Parliamentary</w:t>
      </w:r>
      <w:r w:rsidR="000060D6" w:rsidRPr="00781FFF">
        <w:rPr>
          <w:rFonts w:cstheme="minorHAnsi"/>
          <w:sz w:val="24"/>
          <w:szCs w:val="24"/>
        </w:rPr>
        <w:t xml:space="preserve"> </w:t>
      </w:r>
      <w:r w:rsidR="004C5452" w:rsidRPr="00781FFF">
        <w:rPr>
          <w:rFonts w:cstheme="minorHAnsi"/>
          <w:sz w:val="24"/>
          <w:szCs w:val="24"/>
        </w:rPr>
        <w:t xml:space="preserve">committees. This practice, on the one hand, is indicative of the importance given to human and minority rights by the Parliament of Moldova and </w:t>
      </w:r>
      <w:r w:rsidR="000060D6">
        <w:rPr>
          <w:rFonts w:cstheme="minorHAnsi"/>
          <w:sz w:val="24"/>
          <w:szCs w:val="24"/>
        </w:rPr>
        <w:t xml:space="preserve">by </w:t>
      </w:r>
      <w:r w:rsidR="004C5452" w:rsidRPr="00781FFF">
        <w:rPr>
          <w:rFonts w:cstheme="minorHAnsi"/>
          <w:sz w:val="24"/>
          <w:szCs w:val="24"/>
        </w:rPr>
        <w:t xml:space="preserve">political parties acceding to the power. On the other hand, this practice explains why this Standing Commission was unable to play a significant </w:t>
      </w:r>
      <w:r w:rsidR="00A428F7">
        <w:rPr>
          <w:rFonts w:cstheme="minorHAnsi"/>
          <w:sz w:val="24"/>
          <w:szCs w:val="24"/>
        </w:rPr>
        <w:t xml:space="preserve">minority related </w:t>
      </w:r>
      <w:r w:rsidR="004C5452" w:rsidRPr="00781FFF">
        <w:rPr>
          <w:rFonts w:cstheme="minorHAnsi"/>
          <w:sz w:val="24"/>
          <w:szCs w:val="24"/>
        </w:rPr>
        <w:t xml:space="preserve">role in Moldova.  </w:t>
      </w:r>
    </w:p>
    <w:p w:rsidR="004D5E57" w:rsidRPr="00781FFF" w:rsidRDefault="004D5E57" w:rsidP="00781FFF">
      <w:pPr>
        <w:spacing w:after="60" w:line="247" w:lineRule="auto"/>
        <w:jc w:val="center"/>
        <w:rPr>
          <w:rFonts w:cstheme="minorHAnsi"/>
          <w:sz w:val="24"/>
          <w:szCs w:val="24"/>
        </w:rPr>
      </w:pPr>
    </w:p>
    <w:p w:rsidR="00AC034B" w:rsidRPr="00781FFF" w:rsidRDefault="00FB4CDB" w:rsidP="00781FFF">
      <w:pPr>
        <w:spacing w:after="60" w:line="247" w:lineRule="auto"/>
        <w:jc w:val="center"/>
        <w:rPr>
          <w:rFonts w:cstheme="minorHAnsi"/>
          <w:sz w:val="24"/>
          <w:szCs w:val="24"/>
          <w:u w:val="single"/>
        </w:rPr>
      </w:pPr>
      <w:r w:rsidRPr="00781FFF">
        <w:rPr>
          <w:rFonts w:cstheme="minorHAnsi"/>
          <w:sz w:val="24"/>
          <w:szCs w:val="24"/>
          <w:u w:val="single"/>
        </w:rPr>
        <w:t xml:space="preserve">Specialized Strategies and Plans </w:t>
      </w:r>
    </w:p>
    <w:p w:rsidR="00612545" w:rsidRPr="00781FFF" w:rsidRDefault="004C5452" w:rsidP="00612545">
      <w:pPr>
        <w:spacing w:after="60" w:line="247" w:lineRule="auto"/>
        <w:jc w:val="both"/>
        <w:rPr>
          <w:rFonts w:cstheme="minorHAnsi"/>
          <w:sz w:val="24"/>
          <w:szCs w:val="24"/>
        </w:rPr>
      </w:pPr>
      <w:r w:rsidRPr="00781FFF">
        <w:rPr>
          <w:rFonts w:cstheme="minorHAnsi"/>
          <w:sz w:val="24"/>
          <w:szCs w:val="24"/>
        </w:rPr>
        <w:t xml:space="preserve">Another institutional mechanism used by Moldova to advance minority rights are specialized strategies and </w:t>
      </w:r>
      <w:r w:rsidR="005B6E4E" w:rsidRPr="00781FFF">
        <w:rPr>
          <w:rFonts w:cstheme="minorHAnsi"/>
          <w:sz w:val="24"/>
          <w:szCs w:val="24"/>
        </w:rPr>
        <w:t xml:space="preserve">programs (in the past – </w:t>
      </w:r>
      <w:r w:rsidRPr="00781FFF">
        <w:rPr>
          <w:rFonts w:cstheme="minorHAnsi"/>
          <w:sz w:val="24"/>
          <w:szCs w:val="24"/>
        </w:rPr>
        <w:t>p</w:t>
      </w:r>
      <w:r w:rsidR="005B6E4E" w:rsidRPr="00781FFF">
        <w:rPr>
          <w:rFonts w:cstheme="minorHAnsi"/>
          <w:sz w:val="24"/>
          <w:szCs w:val="24"/>
        </w:rPr>
        <w:t xml:space="preserve">lans): 2017-2027 Strategy on Consolidation of Interethnic Relations in the Republic of Moldova, programs on implementation of the mentioned Strategy (the current one is for the period 2023-2025) and programs on the support of the Roma population (the the current one is for the period 2022-2025). </w:t>
      </w:r>
      <w:r w:rsidR="00612545" w:rsidRPr="00781FFF">
        <w:rPr>
          <w:rFonts w:cstheme="minorHAnsi"/>
          <w:sz w:val="24"/>
          <w:szCs w:val="24"/>
        </w:rPr>
        <w:t xml:space="preserve">All these documents share one common feature: they remain mostly unimplemented, because they are not backed by funding and strong institutional arrangements. Suffice to say that the main authority in charge of the implementation of all these specialized documents is the Agency of Interethnic Relations, which, as described above, lacks the mandate, powers and capacities to work substantially on </w:t>
      </w:r>
      <w:r w:rsidR="00612545">
        <w:rPr>
          <w:rFonts w:cstheme="minorHAnsi"/>
          <w:sz w:val="24"/>
          <w:szCs w:val="24"/>
          <w:lang w:val="ro-RO"/>
        </w:rPr>
        <w:t xml:space="preserve">the </w:t>
      </w:r>
      <w:r w:rsidR="00612545" w:rsidRPr="00781FFF">
        <w:rPr>
          <w:rFonts w:cstheme="minorHAnsi"/>
          <w:sz w:val="24"/>
          <w:szCs w:val="24"/>
        </w:rPr>
        <w:t xml:space="preserve">implementation of minority rights. </w:t>
      </w:r>
    </w:p>
    <w:p w:rsidR="004C5452" w:rsidRPr="00781FFF" w:rsidRDefault="005B6E4E" w:rsidP="00781FFF">
      <w:pPr>
        <w:spacing w:after="60" w:line="247" w:lineRule="auto"/>
        <w:jc w:val="both"/>
        <w:rPr>
          <w:rFonts w:cstheme="minorHAnsi"/>
          <w:sz w:val="24"/>
          <w:szCs w:val="24"/>
        </w:rPr>
      </w:pPr>
      <w:r w:rsidRPr="00781FFF">
        <w:rPr>
          <w:rFonts w:cstheme="minorHAnsi"/>
          <w:sz w:val="24"/>
          <w:szCs w:val="24"/>
        </w:rPr>
        <w:t>The 2018-2022 National Human Rights Action Plan had a chapter dedicated to the rights of the minorities</w:t>
      </w:r>
      <w:r w:rsidR="000060D6">
        <w:rPr>
          <w:rFonts w:cstheme="minorHAnsi"/>
          <w:sz w:val="24"/>
          <w:szCs w:val="24"/>
        </w:rPr>
        <w:t>.</w:t>
      </w:r>
      <w:r w:rsidRPr="00781FFF">
        <w:rPr>
          <w:rStyle w:val="FootnoteReference"/>
          <w:rFonts w:cstheme="minorHAnsi"/>
          <w:sz w:val="24"/>
          <w:szCs w:val="24"/>
        </w:rPr>
        <w:footnoteReference w:id="4"/>
      </w:r>
      <w:r w:rsidR="00BE2304">
        <w:rPr>
          <w:rFonts w:cstheme="minorHAnsi"/>
          <w:sz w:val="24"/>
          <w:szCs w:val="24"/>
        </w:rPr>
        <w:t xml:space="preserve"> </w:t>
      </w:r>
      <w:r w:rsidR="000060D6">
        <w:rPr>
          <w:rFonts w:cstheme="minorHAnsi"/>
          <w:sz w:val="24"/>
          <w:szCs w:val="24"/>
        </w:rPr>
        <w:t>Only</w:t>
      </w:r>
      <w:r w:rsidR="000060D6" w:rsidRPr="00BE2304">
        <w:rPr>
          <w:rFonts w:cstheme="minorHAnsi"/>
          <w:sz w:val="24"/>
          <w:szCs w:val="24"/>
        </w:rPr>
        <w:t xml:space="preserve"> 13%</w:t>
      </w:r>
      <w:r w:rsidR="000060D6">
        <w:rPr>
          <w:rFonts w:cstheme="minorHAnsi"/>
          <w:sz w:val="24"/>
          <w:szCs w:val="24"/>
        </w:rPr>
        <w:t xml:space="preserve"> of the minority-related targets</w:t>
      </w:r>
      <w:r w:rsidR="000060D6" w:rsidRPr="00D80B90">
        <w:rPr>
          <w:rFonts w:cstheme="minorHAnsi"/>
          <w:sz w:val="24"/>
          <w:szCs w:val="24"/>
        </w:rPr>
        <w:t xml:space="preserve"> </w:t>
      </w:r>
      <w:r w:rsidR="000060D6">
        <w:rPr>
          <w:rFonts w:cstheme="minorHAnsi"/>
          <w:sz w:val="24"/>
          <w:szCs w:val="24"/>
        </w:rPr>
        <w:t xml:space="preserve">from this Plan were </w:t>
      </w:r>
      <w:r w:rsidR="00D80B90" w:rsidRPr="00D80B90">
        <w:rPr>
          <w:rFonts w:cstheme="minorHAnsi"/>
          <w:sz w:val="24"/>
          <w:szCs w:val="24"/>
        </w:rPr>
        <w:t>fully or partially met</w:t>
      </w:r>
      <w:r w:rsidR="00D80B90">
        <w:rPr>
          <w:rFonts w:cstheme="minorHAnsi"/>
          <w:sz w:val="24"/>
          <w:szCs w:val="24"/>
        </w:rPr>
        <w:t xml:space="preserve"> by 2022</w:t>
      </w:r>
      <w:r w:rsidR="000060D6">
        <w:rPr>
          <w:rFonts w:cstheme="minorHAnsi"/>
          <w:sz w:val="24"/>
          <w:szCs w:val="24"/>
        </w:rPr>
        <w:t xml:space="preserve"> (the final year of the document’s cycle)</w:t>
      </w:r>
      <w:r w:rsidR="00BE2304" w:rsidRPr="00BE2304">
        <w:rPr>
          <w:rFonts w:cstheme="minorHAnsi"/>
          <w:sz w:val="24"/>
          <w:szCs w:val="24"/>
        </w:rPr>
        <w:t>.</w:t>
      </w:r>
      <w:r w:rsidR="00BE2304">
        <w:rPr>
          <w:rStyle w:val="FootnoteReference"/>
          <w:rFonts w:cstheme="minorHAnsi"/>
          <w:sz w:val="24"/>
          <w:szCs w:val="24"/>
        </w:rPr>
        <w:footnoteReference w:id="5"/>
      </w:r>
      <w:r w:rsidRPr="00781FFF">
        <w:rPr>
          <w:rFonts w:cstheme="minorHAnsi"/>
          <w:sz w:val="24"/>
          <w:szCs w:val="24"/>
        </w:rPr>
        <w:t xml:space="preserve"> The new National Human Rights Program </w:t>
      </w:r>
      <w:r w:rsidR="000D04B7">
        <w:rPr>
          <w:rFonts w:cstheme="minorHAnsi"/>
          <w:sz w:val="24"/>
          <w:szCs w:val="24"/>
        </w:rPr>
        <w:t>for 2024-2027 treats minorities in terms of cultural</w:t>
      </w:r>
      <w:r w:rsidR="000060D6">
        <w:rPr>
          <w:rFonts w:cstheme="minorHAnsi"/>
          <w:sz w:val="24"/>
          <w:szCs w:val="24"/>
        </w:rPr>
        <w:t>-folkloric</w:t>
      </w:r>
      <w:r w:rsidR="000D04B7">
        <w:rPr>
          <w:rFonts w:cstheme="minorHAnsi"/>
          <w:sz w:val="24"/>
          <w:szCs w:val="24"/>
        </w:rPr>
        <w:t xml:space="preserve"> aspects and minority issues were </w:t>
      </w:r>
      <w:r w:rsidR="004E348D" w:rsidRPr="004E348D">
        <w:rPr>
          <w:rFonts w:cstheme="minorHAnsi"/>
          <w:i/>
          <w:iCs/>
          <w:sz w:val="24"/>
          <w:szCs w:val="24"/>
        </w:rPr>
        <w:t>de facto</w:t>
      </w:r>
      <w:r w:rsidR="00612545">
        <w:rPr>
          <w:rFonts w:cstheme="minorHAnsi"/>
          <w:sz w:val="24"/>
          <w:szCs w:val="24"/>
        </w:rPr>
        <w:t xml:space="preserve"> ignored </w:t>
      </w:r>
      <w:r w:rsidR="00D80B90">
        <w:rPr>
          <w:rFonts w:cstheme="minorHAnsi"/>
          <w:sz w:val="24"/>
          <w:szCs w:val="24"/>
        </w:rPr>
        <w:t xml:space="preserve">by the Government </w:t>
      </w:r>
      <w:r w:rsidR="00612545">
        <w:rPr>
          <w:rFonts w:cstheme="minorHAnsi"/>
          <w:sz w:val="24"/>
          <w:szCs w:val="24"/>
        </w:rPr>
        <w:t xml:space="preserve">in the rest of the Program </w:t>
      </w:r>
      <w:r w:rsidR="000060D6">
        <w:rPr>
          <w:rFonts w:cstheme="minorHAnsi"/>
          <w:sz w:val="24"/>
          <w:szCs w:val="24"/>
        </w:rPr>
        <w:t>de</w:t>
      </w:r>
      <w:r w:rsidR="00612545">
        <w:rPr>
          <w:rFonts w:cstheme="minorHAnsi"/>
          <w:sz w:val="24"/>
          <w:szCs w:val="24"/>
        </w:rPr>
        <w:t xml:space="preserve">spite multiple recommendations of UN and </w:t>
      </w:r>
      <w:proofErr w:type="spellStart"/>
      <w:r w:rsidR="00612545">
        <w:rPr>
          <w:rFonts w:cstheme="minorHAnsi"/>
          <w:sz w:val="24"/>
          <w:szCs w:val="24"/>
        </w:rPr>
        <w:t>CoE</w:t>
      </w:r>
      <w:proofErr w:type="spellEnd"/>
      <w:r w:rsidR="00612545">
        <w:rPr>
          <w:rFonts w:cstheme="minorHAnsi"/>
          <w:sz w:val="24"/>
          <w:szCs w:val="24"/>
        </w:rPr>
        <w:t xml:space="preserve"> human rights mechanisms, as well as proposals of the Equality Council and minority NGOs</w:t>
      </w:r>
      <w:r w:rsidRPr="00781FFF">
        <w:rPr>
          <w:rFonts w:cstheme="minorHAnsi"/>
          <w:sz w:val="24"/>
          <w:szCs w:val="24"/>
        </w:rPr>
        <w:t>.</w:t>
      </w:r>
      <w:r w:rsidR="004C5452" w:rsidRPr="00781FFF">
        <w:rPr>
          <w:rStyle w:val="FootnoteReference"/>
          <w:rFonts w:cstheme="minorHAnsi"/>
          <w:sz w:val="24"/>
          <w:szCs w:val="24"/>
        </w:rPr>
        <w:footnoteReference w:id="6"/>
      </w:r>
      <w:r w:rsidR="00612545">
        <w:rPr>
          <w:rFonts w:cstheme="minorHAnsi"/>
          <w:sz w:val="24"/>
          <w:szCs w:val="24"/>
        </w:rPr>
        <w:t xml:space="preserve"> </w:t>
      </w:r>
    </w:p>
    <w:p w:rsidR="004C5452" w:rsidRPr="00781FFF" w:rsidRDefault="004C5452" w:rsidP="00781FFF">
      <w:pPr>
        <w:spacing w:after="60" w:line="247" w:lineRule="auto"/>
        <w:jc w:val="center"/>
        <w:rPr>
          <w:rFonts w:cstheme="minorHAnsi"/>
          <w:sz w:val="24"/>
          <w:szCs w:val="24"/>
        </w:rPr>
      </w:pPr>
    </w:p>
    <w:p w:rsidR="007E7842" w:rsidRPr="00781FFF" w:rsidRDefault="007E7842" w:rsidP="00781FFF">
      <w:pPr>
        <w:spacing w:after="60" w:line="247" w:lineRule="auto"/>
        <w:jc w:val="center"/>
        <w:rPr>
          <w:rFonts w:cstheme="minorHAnsi"/>
          <w:sz w:val="24"/>
          <w:szCs w:val="24"/>
          <w:u w:val="single"/>
        </w:rPr>
      </w:pPr>
      <w:r w:rsidRPr="00781FFF">
        <w:rPr>
          <w:rFonts w:cstheme="minorHAnsi"/>
          <w:sz w:val="24"/>
          <w:szCs w:val="24"/>
          <w:u w:val="single"/>
        </w:rPr>
        <w:t xml:space="preserve">The National Human Rights Council and the National Human Rights Secretariat </w:t>
      </w:r>
    </w:p>
    <w:p w:rsidR="00973742" w:rsidRPr="00781FFF" w:rsidRDefault="007E7842" w:rsidP="00781FFF">
      <w:pPr>
        <w:spacing w:after="60" w:line="247" w:lineRule="auto"/>
        <w:jc w:val="both"/>
        <w:rPr>
          <w:rFonts w:cstheme="minorHAnsi"/>
          <w:sz w:val="24"/>
          <w:szCs w:val="24"/>
        </w:rPr>
      </w:pPr>
      <w:r w:rsidRPr="00781FFF">
        <w:rPr>
          <w:rFonts w:cstheme="minorHAnsi"/>
          <w:sz w:val="24"/>
          <w:szCs w:val="24"/>
        </w:rPr>
        <w:t>In 2018-2019 a new institutional mechanism for implementation coordination and monitoring of human rights has been introduced in Moldova. Most notably, this innovative mechanism included the newly established National Human Rights Council and the National Human Rights Secretariat. The National Human Rights Council</w:t>
      </w:r>
      <w:r w:rsidR="00973742" w:rsidRPr="00781FFF">
        <w:rPr>
          <w:rFonts w:cstheme="minorHAnsi"/>
          <w:sz w:val="24"/>
          <w:szCs w:val="24"/>
        </w:rPr>
        <w:t xml:space="preserve"> is made of</w:t>
      </w:r>
      <w:r w:rsidRPr="00781FFF">
        <w:rPr>
          <w:rFonts w:cstheme="minorHAnsi"/>
          <w:sz w:val="24"/>
          <w:szCs w:val="24"/>
        </w:rPr>
        <w:t xml:space="preserve"> heads and representatives of all key </w:t>
      </w:r>
      <w:r w:rsidRPr="00781FFF">
        <w:rPr>
          <w:rFonts w:cstheme="minorHAnsi"/>
          <w:sz w:val="24"/>
          <w:szCs w:val="24"/>
        </w:rPr>
        <w:lastRenderedPageBreak/>
        <w:t xml:space="preserve">Moldovan public authorities meeting periodically to report and decide on the implementation of human rights. </w:t>
      </w:r>
      <w:r w:rsidR="00973742" w:rsidRPr="00781FFF">
        <w:rPr>
          <w:rFonts w:cstheme="minorHAnsi"/>
          <w:sz w:val="24"/>
          <w:szCs w:val="24"/>
        </w:rPr>
        <w:t xml:space="preserve">The National Human Rights Secretariat (now renamed into the Direction on Human Rights and Cooperation with Civil Society) is a new permanent division in charge of coordinating implementation and monitoring progress in the field of human rights on a day-to-day basis. </w:t>
      </w:r>
      <w:r w:rsidRPr="00781FFF">
        <w:rPr>
          <w:rFonts w:cstheme="minorHAnsi"/>
          <w:sz w:val="24"/>
          <w:szCs w:val="24"/>
        </w:rPr>
        <w:t>The overarching idea</w:t>
      </w:r>
      <w:r w:rsidR="00973742" w:rsidRPr="00781FFF">
        <w:rPr>
          <w:rFonts w:cstheme="minorHAnsi"/>
          <w:sz w:val="24"/>
          <w:szCs w:val="24"/>
        </w:rPr>
        <w:t xml:space="preserve"> of these two new institutional structures was to mainstream human rights into the everyday management of public affairs.</w:t>
      </w:r>
    </w:p>
    <w:p w:rsidR="007E7842" w:rsidRPr="00781FFF" w:rsidRDefault="00973742" w:rsidP="00781FFF">
      <w:pPr>
        <w:spacing w:after="60" w:line="247" w:lineRule="auto"/>
        <w:jc w:val="both"/>
        <w:rPr>
          <w:rFonts w:cstheme="minorHAnsi"/>
          <w:sz w:val="24"/>
          <w:szCs w:val="24"/>
        </w:rPr>
      </w:pPr>
      <w:r w:rsidRPr="00781FFF">
        <w:rPr>
          <w:rFonts w:cstheme="minorHAnsi"/>
          <w:sz w:val="24"/>
          <w:szCs w:val="24"/>
        </w:rPr>
        <w:t>Unfortunately, despite calls from the UN and civil society, these two structure</w:t>
      </w:r>
      <w:r w:rsidR="00D80B90">
        <w:rPr>
          <w:rFonts w:cstheme="minorHAnsi"/>
          <w:sz w:val="24"/>
          <w:szCs w:val="24"/>
        </w:rPr>
        <w:t>s</w:t>
      </w:r>
      <w:r w:rsidRPr="00781FFF">
        <w:rPr>
          <w:rFonts w:cstheme="minorHAnsi"/>
          <w:sz w:val="24"/>
          <w:szCs w:val="24"/>
        </w:rPr>
        <w:t xml:space="preserve"> were not appropriately staffed and positioned administratively. In particular, there is no one in these two structures made explicitly in charge of minority rights, and, as a result, minority rights remained mostly under the radar in their activities. Although with no tangible effect on minority rights</w:t>
      </w:r>
      <w:r w:rsidR="0084061D" w:rsidRPr="0084061D">
        <w:rPr>
          <w:rFonts w:cstheme="minorHAnsi"/>
          <w:sz w:val="24"/>
          <w:szCs w:val="24"/>
        </w:rPr>
        <w:t xml:space="preserve"> </w:t>
      </w:r>
      <w:r w:rsidR="0084061D" w:rsidRPr="00781FFF">
        <w:rPr>
          <w:rFonts w:cstheme="minorHAnsi"/>
          <w:sz w:val="24"/>
          <w:szCs w:val="24"/>
        </w:rPr>
        <w:t>so far</w:t>
      </w:r>
      <w:r w:rsidRPr="00781FFF">
        <w:rPr>
          <w:rFonts w:cstheme="minorHAnsi"/>
          <w:sz w:val="24"/>
          <w:szCs w:val="24"/>
        </w:rPr>
        <w:t>, this institutional arrangement is not a failure. If it is strengthened in terms of mandate and power, and in terms of inclusion of officer(s) specifically in charge of minority rights</w:t>
      </w:r>
      <w:r w:rsidR="00966514" w:rsidRPr="00781FFF">
        <w:rPr>
          <w:rFonts w:cstheme="minorHAnsi"/>
          <w:sz w:val="24"/>
          <w:szCs w:val="24"/>
        </w:rPr>
        <w:t>, this institutional arrangement can prove its success.</w:t>
      </w:r>
    </w:p>
    <w:p w:rsidR="00FB4CDB" w:rsidRPr="00781FFF" w:rsidRDefault="00FB4CDB" w:rsidP="00781FFF">
      <w:pPr>
        <w:spacing w:after="60" w:line="247" w:lineRule="auto"/>
        <w:jc w:val="center"/>
        <w:rPr>
          <w:rFonts w:cstheme="minorHAnsi"/>
          <w:sz w:val="24"/>
          <w:szCs w:val="24"/>
        </w:rPr>
      </w:pPr>
    </w:p>
    <w:p w:rsidR="00EC36C3" w:rsidRPr="00F908FF" w:rsidRDefault="00EC36C3" w:rsidP="00781FFF">
      <w:pPr>
        <w:spacing w:after="60" w:line="247" w:lineRule="auto"/>
        <w:jc w:val="center"/>
        <w:rPr>
          <w:rFonts w:cstheme="minorHAnsi"/>
          <w:sz w:val="24"/>
          <w:szCs w:val="24"/>
          <w:u w:val="single"/>
        </w:rPr>
      </w:pPr>
      <w:r w:rsidRPr="00F908FF">
        <w:rPr>
          <w:rFonts w:cstheme="minorHAnsi"/>
          <w:sz w:val="24"/>
          <w:szCs w:val="24"/>
          <w:u w:val="single"/>
        </w:rPr>
        <w:t>Community Mediators</w:t>
      </w:r>
    </w:p>
    <w:p w:rsidR="00FE7282" w:rsidRPr="00781FFF" w:rsidRDefault="006040CE" w:rsidP="00781FFF">
      <w:pPr>
        <w:spacing w:after="60" w:line="247" w:lineRule="auto"/>
        <w:jc w:val="both"/>
        <w:rPr>
          <w:rFonts w:cstheme="minorHAnsi"/>
          <w:sz w:val="24"/>
          <w:szCs w:val="24"/>
        </w:rPr>
      </w:pPr>
      <w:r w:rsidRPr="00F908FF">
        <w:rPr>
          <w:rFonts w:cstheme="minorHAnsi"/>
          <w:sz w:val="24"/>
          <w:szCs w:val="24"/>
        </w:rPr>
        <w:t>Roma people are one of the most marginalized and di</w:t>
      </w:r>
      <w:r w:rsidR="00F908FF" w:rsidRPr="00F908FF">
        <w:rPr>
          <w:rFonts w:cstheme="minorHAnsi"/>
          <w:sz w:val="24"/>
          <w:szCs w:val="24"/>
        </w:rPr>
        <w:t xml:space="preserve">scriminated groups in Moldova in such fields as education, employment, healthcare, social protection, housing and many others. </w:t>
      </w:r>
      <w:r w:rsidRPr="00F908FF">
        <w:rPr>
          <w:rFonts w:cstheme="minorHAnsi"/>
          <w:sz w:val="24"/>
          <w:szCs w:val="24"/>
        </w:rPr>
        <w:t xml:space="preserve">Inspired by a </w:t>
      </w:r>
      <w:r w:rsidR="00D71B0B" w:rsidRPr="00F908FF">
        <w:rPr>
          <w:rFonts w:cstheme="minorHAnsi"/>
          <w:sz w:val="24"/>
          <w:szCs w:val="24"/>
        </w:rPr>
        <w:t xml:space="preserve">similar practice in Romania, </w:t>
      </w:r>
      <w:r w:rsidR="00F908FF" w:rsidRPr="00F908FF">
        <w:rPr>
          <w:rFonts w:cstheme="minorHAnsi"/>
          <w:sz w:val="24"/>
          <w:szCs w:val="24"/>
        </w:rPr>
        <w:t xml:space="preserve">the </w:t>
      </w:r>
      <w:r w:rsidR="00D71B0B" w:rsidRPr="00F908FF">
        <w:rPr>
          <w:rFonts w:cstheme="minorHAnsi"/>
          <w:sz w:val="24"/>
          <w:szCs w:val="24"/>
        </w:rPr>
        <w:t>first Roma community mediators were piloted in Moldova around early 2010s. Roma community mediators were subsequently institutionalized by the Governm</w:t>
      </w:r>
      <w:r w:rsidR="00F908FF">
        <w:rPr>
          <w:rFonts w:cstheme="minorHAnsi"/>
          <w:sz w:val="24"/>
          <w:szCs w:val="24"/>
        </w:rPr>
        <w:t>ent of Moldova in 2013.</w:t>
      </w:r>
      <w:r w:rsidR="000060D6">
        <w:rPr>
          <w:rFonts w:cstheme="minorHAnsi"/>
          <w:sz w:val="24"/>
          <w:szCs w:val="24"/>
        </w:rPr>
        <w:t xml:space="preserve"> In present, </w:t>
      </w:r>
      <w:r w:rsidR="00D71B0B" w:rsidRPr="00781FFF">
        <w:rPr>
          <w:rFonts w:cstheme="minorHAnsi"/>
          <w:sz w:val="24"/>
          <w:szCs w:val="24"/>
        </w:rPr>
        <w:t xml:space="preserve">Roma community mediators function in the Republic of Moldova as part of the local mayor’s offices in circa 50 local communities. This functioning of Roma community mediators as part of the </w:t>
      </w:r>
      <w:r w:rsidR="00FE7282" w:rsidRPr="00781FFF">
        <w:rPr>
          <w:rFonts w:cstheme="minorHAnsi"/>
          <w:sz w:val="24"/>
          <w:szCs w:val="24"/>
        </w:rPr>
        <w:t xml:space="preserve">local executive teams contributed significantly to </w:t>
      </w:r>
      <w:r w:rsidR="005D6190">
        <w:rPr>
          <w:rFonts w:cstheme="minorHAnsi"/>
          <w:sz w:val="24"/>
          <w:szCs w:val="24"/>
        </w:rPr>
        <w:t xml:space="preserve">the </w:t>
      </w:r>
      <w:r w:rsidR="00FE7282" w:rsidRPr="00781FFF">
        <w:rPr>
          <w:rFonts w:cstheme="minorHAnsi"/>
          <w:sz w:val="24"/>
          <w:szCs w:val="24"/>
        </w:rPr>
        <w:t>inclusion of the Roma voices into the local decision making.</w:t>
      </w:r>
      <w:r w:rsidR="007F6110" w:rsidRPr="00781FFF">
        <w:rPr>
          <w:rFonts w:cstheme="minorHAnsi"/>
          <w:sz w:val="24"/>
          <w:szCs w:val="24"/>
        </w:rPr>
        <w:t xml:space="preserve"> This could be considered a positive practice.</w:t>
      </w:r>
    </w:p>
    <w:p w:rsidR="00AC034B" w:rsidRPr="00781FFF" w:rsidRDefault="007F6110" w:rsidP="00781FFF">
      <w:pPr>
        <w:spacing w:after="60" w:line="247" w:lineRule="auto"/>
        <w:jc w:val="both"/>
        <w:rPr>
          <w:rFonts w:cstheme="minorHAnsi"/>
          <w:sz w:val="24"/>
          <w:szCs w:val="24"/>
        </w:rPr>
      </w:pPr>
      <w:r w:rsidRPr="00781FFF">
        <w:rPr>
          <w:rFonts w:cstheme="minorHAnsi"/>
          <w:sz w:val="24"/>
          <w:szCs w:val="24"/>
        </w:rPr>
        <w:t>Building on the successful example of Roma community mediators, in 2022-2023 the Moldovan NGO “Human Rights Embassy” proposed and piloted the function o</w:t>
      </w:r>
      <w:r w:rsidR="00B73F2D">
        <w:rPr>
          <w:rFonts w:cstheme="minorHAnsi"/>
          <w:sz w:val="24"/>
          <w:szCs w:val="24"/>
        </w:rPr>
        <w:t>f Ukrainian community mediators</w:t>
      </w:r>
      <w:r w:rsidRPr="00781FFF">
        <w:rPr>
          <w:rFonts w:cstheme="minorHAnsi"/>
          <w:sz w:val="24"/>
          <w:szCs w:val="24"/>
        </w:rPr>
        <w:t xml:space="preserve"> as the mechanism for short-term assistance and long-term integration</w:t>
      </w:r>
      <w:r w:rsidR="00B73F2D">
        <w:rPr>
          <w:rFonts w:cstheme="minorHAnsi"/>
          <w:sz w:val="24"/>
          <w:szCs w:val="24"/>
        </w:rPr>
        <w:t xml:space="preserve"> of Ukrainian refugees in Moldova</w:t>
      </w:r>
      <w:r w:rsidRPr="00781FFF">
        <w:rPr>
          <w:rFonts w:cstheme="minorHAnsi"/>
          <w:sz w:val="24"/>
          <w:szCs w:val="24"/>
        </w:rPr>
        <w:t>.</w:t>
      </w:r>
      <w:r w:rsidR="00B73F2D">
        <w:rPr>
          <w:rFonts w:cstheme="minorHAnsi"/>
          <w:sz w:val="24"/>
          <w:szCs w:val="24"/>
        </w:rPr>
        <w:t xml:space="preserve"> Ukrainian community mediators are not yet institutionalized formally. </w:t>
      </w:r>
      <w:r w:rsidRPr="00781FFF">
        <w:rPr>
          <w:rFonts w:cstheme="minorHAnsi"/>
          <w:sz w:val="24"/>
          <w:szCs w:val="24"/>
        </w:rPr>
        <w:t xml:space="preserve">  </w:t>
      </w:r>
    </w:p>
    <w:p w:rsidR="00AC034B" w:rsidRPr="00781FFF" w:rsidRDefault="00AC034B" w:rsidP="00781FFF">
      <w:pPr>
        <w:spacing w:after="60" w:line="247" w:lineRule="auto"/>
        <w:jc w:val="both"/>
        <w:rPr>
          <w:rFonts w:cstheme="minorHAnsi"/>
          <w:sz w:val="24"/>
          <w:szCs w:val="24"/>
        </w:rPr>
      </w:pPr>
    </w:p>
    <w:p w:rsidR="007F6110" w:rsidRPr="00781FFF" w:rsidRDefault="00AC034B" w:rsidP="00781FFF">
      <w:pPr>
        <w:spacing w:after="60" w:line="247" w:lineRule="auto"/>
        <w:jc w:val="center"/>
        <w:rPr>
          <w:rFonts w:cstheme="minorHAnsi"/>
          <w:sz w:val="24"/>
          <w:szCs w:val="24"/>
          <w:u w:val="single"/>
        </w:rPr>
      </w:pPr>
      <w:r w:rsidRPr="00781FFF">
        <w:rPr>
          <w:rFonts w:cstheme="minorHAnsi"/>
          <w:sz w:val="24"/>
          <w:szCs w:val="24"/>
          <w:u w:val="single"/>
        </w:rPr>
        <w:t>Minorities Expert Group by the National Human Rights Institutions</w:t>
      </w:r>
    </w:p>
    <w:p w:rsidR="000727DE" w:rsidRPr="00781FFF" w:rsidRDefault="00966514" w:rsidP="00781FFF">
      <w:pPr>
        <w:spacing w:after="60" w:line="247" w:lineRule="auto"/>
        <w:jc w:val="both"/>
        <w:rPr>
          <w:rFonts w:cstheme="minorHAnsi"/>
          <w:sz w:val="24"/>
          <w:szCs w:val="24"/>
        </w:rPr>
      </w:pPr>
      <w:r w:rsidRPr="00781FFF">
        <w:rPr>
          <w:rFonts w:cstheme="minorHAnsi"/>
          <w:sz w:val="24"/>
          <w:szCs w:val="24"/>
        </w:rPr>
        <w:t xml:space="preserve">As described above, </w:t>
      </w:r>
      <w:r w:rsidR="00FF0628">
        <w:rPr>
          <w:rFonts w:cstheme="minorHAnsi"/>
          <w:sz w:val="24"/>
          <w:szCs w:val="24"/>
        </w:rPr>
        <w:t xml:space="preserve">historically </w:t>
      </w:r>
      <w:r w:rsidRPr="00781FFF">
        <w:rPr>
          <w:rFonts w:cstheme="minorHAnsi"/>
          <w:sz w:val="24"/>
          <w:szCs w:val="24"/>
        </w:rPr>
        <w:t xml:space="preserve">Moldova did not have an effective mechanism </w:t>
      </w:r>
      <w:r w:rsidR="0084061D">
        <w:rPr>
          <w:rFonts w:cstheme="minorHAnsi"/>
          <w:sz w:val="24"/>
          <w:szCs w:val="24"/>
        </w:rPr>
        <w:t>for</w:t>
      </w:r>
      <w:r w:rsidRPr="00781FFF">
        <w:rPr>
          <w:rFonts w:cstheme="minorHAnsi"/>
          <w:sz w:val="24"/>
          <w:szCs w:val="24"/>
        </w:rPr>
        <w:t xml:space="preserve"> inclusion of minority perspectives into public decision-making, including concerning minorities themselves. In 2023</w:t>
      </w:r>
      <w:r w:rsidR="00FA32C7" w:rsidRPr="00781FFF">
        <w:rPr>
          <w:rFonts w:cstheme="minorHAnsi"/>
          <w:sz w:val="24"/>
          <w:szCs w:val="24"/>
        </w:rPr>
        <w:t>,</w:t>
      </w:r>
      <w:r w:rsidRPr="00781FFF">
        <w:rPr>
          <w:rFonts w:cstheme="minorHAnsi"/>
          <w:sz w:val="24"/>
          <w:szCs w:val="24"/>
        </w:rPr>
        <w:t xml:space="preserve"> the Moldovan </w:t>
      </w:r>
      <w:r w:rsidR="00FA32C7" w:rsidRPr="00781FFF">
        <w:rPr>
          <w:rFonts w:cstheme="minorHAnsi"/>
          <w:sz w:val="24"/>
          <w:szCs w:val="24"/>
        </w:rPr>
        <w:t xml:space="preserve">Equality Council and </w:t>
      </w:r>
      <w:r w:rsidR="00AD5FF2" w:rsidRPr="00781FFF">
        <w:rPr>
          <w:rFonts w:cstheme="minorHAnsi"/>
          <w:sz w:val="24"/>
          <w:szCs w:val="24"/>
        </w:rPr>
        <w:t xml:space="preserve">the </w:t>
      </w:r>
      <w:proofErr w:type="spellStart"/>
      <w:r w:rsidR="00FA32C7" w:rsidRPr="00781FFF">
        <w:rPr>
          <w:rFonts w:cstheme="minorHAnsi"/>
          <w:sz w:val="24"/>
          <w:szCs w:val="24"/>
        </w:rPr>
        <w:t>Ombuds</w:t>
      </w:r>
      <w:proofErr w:type="spellEnd"/>
      <w:r w:rsidR="00FA32C7" w:rsidRPr="00781FFF">
        <w:rPr>
          <w:rFonts w:cstheme="minorHAnsi"/>
          <w:sz w:val="24"/>
          <w:szCs w:val="24"/>
        </w:rPr>
        <w:t xml:space="preserve"> Office (two NHRIs)</w:t>
      </w:r>
      <w:r w:rsidRPr="00781FFF">
        <w:rPr>
          <w:rFonts w:cstheme="minorHAnsi"/>
          <w:sz w:val="24"/>
          <w:szCs w:val="24"/>
        </w:rPr>
        <w:t>, with the support of OSCE Mission to Moldova, established a new and innovative mechanism for the inclusion of minority perspectives – the Minorities Expert Group by the National Human Rights Institutions.</w:t>
      </w:r>
      <w:r w:rsidR="00FA32C7" w:rsidRPr="00781FFF">
        <w:rPr>
          <w:rFonts w:cstheme="minorHAnsi"/>
          <w:sz w:val="24"/>
          <w:szCs w:val="24"/>
        </w:rPr>
        <w:t xml:space="preserve"> This Expert Group composed of minority community members and minority rights experts meets regularly and advises the two NHRIs on matters of public interest affecting minorities. Since its establishment in the end of 2023, the Expert Group met four times and </w:t>
      </w:r>
      <w:r w:rsidR="001A2A53">
        <w:rPr>
          <w:rFonts w:cstheme="minorHAnsi"/>
          <w:sz w:val="24"/>
          <w:szCs w:val="24"/>
        </w:rPr>
        <w:t xml:space="preserve">its individual members </w:t>
      </w:r>
      <w:r w:rsidR="00FA32C7" w:rsidRPr="00781FFF">
        <w:rPr>
          <w:rFonts w:cstheme="minorHAnsi"/>
          <w:sz w:val="24"/>
          <w:szCs w:val="24"/>
        </w:rPr>
        <w:t xml:space="preserve">had, </w:t>
      </w:r>
      <w:r w:rsidR="00FA32C7" w:rsidRPr="00781FFF">
        <w:rPr>
          <w:rFonts w:cstheme="minorHAnsi"/>
          <w:i/>
          <w:sz w:val="24"/>
          <w:szCs w:val="24"/>
        </w:rPr>
        <w:t>inter alia</w:t>
      </w:r>
      <w:r w:rsidR="00FA32C7" w:rsidRPr="00781FFF">
        <w:rPr>
          <w:rFonts w:cstheme="minorHAnsi"/>
          <w:sz w:val="24"/>
          <w:szCs w:val="24"/>
        </w:rPr>
        <w:t xml:space="preserve">, an impact on a set of retrogressive legislative amendments concerning access to projects of normative acts in minority languages. Following the repeated </w:t>
      </w:r>
      <w:r w:rsidR="00AD5FF2" w:rsidRPr="00781FFF">
        <w:rPr>
          <w:rFonts w:cstheme="minorHAnsi"/>
          <w:sz w:val="24"/>
          <w:szCs w:val="24"/>
        </w:rPr>
        <w:t>public calls made by the members of this</w:t>
      </w:r>
      <w:r w:rsidR="00FA32C7" w:rsidRPr="00781FFF">
        <w:rPr>
          <w:rFonts w:cstheme="minorHAnsi"/>
          <w:sz w:val="24"/>
          <w:szCs w:val="24"/>
        </w:rPr>
        <w:t xml:space="preserve"> Group, </w:t>
      </w:r>
      <w:r w:rsidR="00AD5FF2" w:rsidRPr="00781FFF">
        <w:rPr>
          <w:rFonts w:cstheme="minorHAnsi"/>
          <w:sz w:val="24"/>
          <w:szCs w:val="24"/>
        </w:rPr>
        <w:t xml:space="preserve">the retrogressive amendments were revoked. Although </w:t>
      </w:r>
      <w:r w:rsidR="00AD5FF2" w:rsidRPr="00781FFF">
        <w:rPr>
          <w:rFonts w:cstheme="minorHAnsi"/>
          <w:sz w:val="24"/>
          <w:szCs w:val="24"/>
        </w:rPr>
        <w:lastRenderedPageBreak/>
        <w:t xml:space="preserve">this is a brand new and still “young” structure, the Minorities Expert Group by the National Human Rights Institutions has a good chance to become a strong channel for inclusion of minority perspectives into the public decision-making </w:t>
      </w:r>
      <w:r w:rsidR="00FF0628">
        <w:rPr>
          <w:rFonts w:cstheme="minorHAnsi"/>
          <w:sz w:val="24"/>
          <w:szCs w:val="24"/>
        </w:rPr>
        <w:t>(</w:t>
      </w:r>
      <w:r w:rsidR="00AD5FF2" w:rsidRPr="00781FFF">
        <w:rPr>
          <w:rFonts w:cstheme="minorHAnsi"/>
          <w:sz w:val="24"/>
          <w:szCs w:val="24"/>
        </w:rPr>
        <w:t xml:space="preserve">so much needed in Moldova). This potential success, though, requires strong buy-in and engagement of the two NHRIs – the Equality Council and the </w:t>
      </w:r>
      <w:proofErr w:type="spellStart"/>
      <w:r w:rsidR="00AD5FF2" w:rsidRPr="00781FFF">
        <w:rPr>
          <w:rFonts w:cstheme="minorHAnsi"/>
          <w:sz w:val="24"/>
          <w:szCs w:val="24"/>
        </w:rPr>
        <w:t>Ombuds</w:t>
      </w:r>
      <w:proofErr w:type="spellEnd"/>
      <w:r w:rsidR="00AD5FF2" w:rsidRPr="00781FFF">
        <w:rPr>
          <w:rFonts w:cstheme="minorHAnsi"/>
          <w:sz w:val="24"/>
          <w:szCs w:val="24"/>
        </w:rPr>
        <w:t xml:space="preserve"> Office – as well as </w:t>
      </w:r>
      <w:r w:rsidR="0084061D">
        <w:rPr>
          <w:rFonts w:cstheme="minorHAnsi"/>
          <w:sz w:val="24"/>
          <w:szCs w:val="24"/>
        </w:rPr>
        <w:t xml:space="preserve">a </w:t>
      </w:r>
      <w:r w:rsidR="00AD5FF2" w:rsidRPr="00781FFF">
        <w:rPr>
          <w:rFonts w:cstheme="minorHAnsi"/>
          <w:sz w:val="24"/>
          <w:szCs w:val="24"/>
        </w:rPr>
        <w:t xml:space="preserve">strong support from the UN and other international development partners (this support is now very weak). </w:t>
      </w:r>
    </w:p>
    <w:p w:rsidR="000727DE" w:rsidRPr="00781FFF" w:rsidRDefault="000727DE" w:rsidP="00781FFF">
      <w:pPr>
        <w:spacing w:after="60" w:line="247" w:lineRule="auto"/>
        <w:jc w:val="both"/>
        <w:rPr>
          <w:rFonts w:cstheme="minorHAnsi"/>
          <w:sz w:val="24"/>
          <w:szCs w:val="24"/>
        </w:rPr>
      </w:pPr>
    </w:p>
    <w:p w:rsidR="000727DE" w:rsidRPr="00781FFF" w:rsidRDefault="000727DE" w:rsidP="00781FFF">
      <w:pPr>
        <w:spacing w:after="60" w:line="247" w:lineRule="auto"/>
        <w:jc w:val="center"/>
        <w:rPr>
          <w:rFonts w:cstheme="minorHAnsi"/>
          <w:sz w:val="24"/>
          <w:szCs w:val="24"/>
          <w:u w:val="single"/>
        </w:rPr>
      </w:pPr>
      <w:r w:rsidRPr="00781FFF">
        <w:rPr>
          <w:rFonts w:cstheme="minorHAnsi"/>
          <w:sz w:val="24"/>
          <w:szCs w:val="24"/>
          <w:u w:val="single"/>
        </w:rPr>
        <w:t>Minority Diversity in the Key Human and Minority Rights Institutions</w:t>
      </w:r>
    </w:p>
    <w:p w:rsidR="00C900D1" w:rsidRPr="00781FFF" w:rsidRDefault="000727DE" w:rsidP="00781FFF">
      <w:pPr>
        <w:spacing w:after="60" w:line="247" w:lineRule="auto"/>
        <w:jc w:val="both"/>
        <w:rPr>
          <w:rFonts w:cstheme="minorHAnsi"/>
          <w:sz w:val="24"/>
          <w:szCs w:val="24"/>
        </w:rPr>
      </w:pPr>
      <w:r w:rsidRPr="00781FFF">
        <w:rPr>
          <w:rFonts w:cstheme="minorHAnsi"/>
          <w:sz w:val="24"/>
          <w:szCs w:val="24"/>
        </w:rPr>
        <w:t>Appointment of minority members into the key positions in public institutions plays a major role in ensuring attention to inclusion of minority perspectives into the public decision-making. The Equality Council of Moldova</w:t>
      </w:r>
      <w:r w:rsidR="004E348D" w:rsidRPr="004E348D">
        <w:rPr>
          <w:rFonts w:cstheme="minorHAnsi"/>
          <w:sz w:val="24"/>
          <w:szCs w:val="24"/>
        </w:rPr>
        <w:t xml:space="preserve"> (</w:t>
      </w:r>
      <w:r w:rsidR="001A2A53">
        <w:rPr>
          <w:rFonts w:cstheme="minorHAnsi"/>
          <w:sz w:val="24"/>
          <w:szCs w:val="24"/>
        </w:rPr>
        <w:t>the national equality body</w:t>
      </w:r>
      <w:r w:rsidR="004E348D" w:rsidRPr="004E348D">
        <w:rPr>
          <w:rFonts w:cstheme="minorHAnsi"/>
          <w:sz w:val="24"/>
          <w:szCs w:val="24"/>
        </w:rPr>
        <w:t>)</w:t>
      </w:r>
      <w:r w:rsidRPr="00781FFF">
        <w:rPr>
          <w:rFonts w:cstheme="minorHAnsi"/>
          <w:sz w:val="24"/>
          <w:szCs w:val="24"/>
        </w:rPr>
        <w:t xml:space="preserve"> is</w:t>
      </w:r>
      <w:r w:rsidR="00C900D1" w:rsidRPr="00781FFF">
        <w:rPr>
          <w:rFonts w:cstheme="minorHAnsi"/>
          <w:sz w:val="24"/>
          <w:szCs w:val="24"/>
        </w:rPr>
        <w:t>,</w:t>
      </w:r>
      <w:r w:rsidRPr="00781FFF">
        <w:rPr>
          <w:rFonts w:cstheme="minorHAnsi"/>
          <w:sz w:val="24"/>
          <w:szCs w:val="24"/>
        </w:rPr>
        <w:t xml:space="preserve"> probably</w:t>
      </w:r>
      <w:r w:rsidR="00C900D1" w:rsidRPr="00781FFF">
        <w:rPr>
          <w:rFonts w:cstheme="minorHAnsi"/>
          <w:sz w:val="24"/>
          <w:szCs w:val="24"/>
        </w:rPr>
        <w:t>, the most minority-</w:t>
      </w:r>
      <w:r w:rsidRPr="00781FFF">
        <w:rPr>
          <w:rFonts w:cstheme="minorHAnsi"/>
          <w:sz w:val="24"/>
          <w:szCs w:val="24"/>
        </w:rPr>
        <w:t>inclusive</w:t>
      </w:r>
      <w:r w:rsidR="00C900D1" w:rsidRPr="00781FFF">
        <w:rPr>
          <w:rFonts w:cstheme="minorHAnsi"/>
          <w:sz w:val="24"/>
          <w:szCs w:val="24"/>
        </w:rPr>
        <w:t xml:space="preserve"> central public authority in Moldova. Among its five members from the previous composition (</w:t>
      </w:r>
      <w:r w:rsidR="00295D7B">
        <w:rPr>
          <w:rFonts w:cstheme="minorHAnsi"/>
          <w:sz w:val="24"/>
          <w:szCs w:val="24"/>
        </w:rPr>
        <w:t xml:space="preserve">July 2018 - </w:t>
      </w:r>
      <w:r w:rsidR="00C900D1" w:rsidRPr="00781FFF">
        <w:rPr>
          <w:rFonts w:cstheme="minorHAnsi"/>
          <w:sz w:val="24"/>
          <w:szCs w:val="24"/>
        </w:rPr>
        <w:t>March 2024) three members, including the Council’s Chair, were members of Moldova’s minority communities (and renowned non-discrimination figures)</w:t>
      </w:r>
      <w:r w:rsidR="00295D7B">
        <w:rPr>
          <w:rFonts w:cstheme="minorHAnsi"/>
          <w:sz w:val="24"/>
          <w:szCs w:val="24"/>
        </w:rPr>
        <w:t xml:space="preserve"> </w:t>
      </w:r>
      <w:r w:rsidR="004E348D" w:rsidRPr="00822714">
        <w:rPr>
          <w:rFonts w:cstheme="minorHAnsi"/>
          <w:sz w:val="24"/>
          <w:szCs w:val="24"/>
        </w:rPr>
        <w:t>due to the legal provision requiring “representation of ethnic and minority groups”</w:t>
      </w:r>
      <w:r w:rsidR="004E348D" w:rsidRPr="00822714">
        <w:rPr>
          <w:rStyle w:val="FootnoteReference"/>
          <w:rFonts w:cstheme="minorHAnsi"/>
          <w:sz w:val="24"/>
          <w:szCs w:val="24"/>
        </w:rPr>
        <w:footnoteReference w:id="7"/>
      </w:r>
      <w:r w:rsidR="004E348D" w:rsidRPr="00822714">
        <w:rPr>
          <w:rFonts w:cstheme="minorHAnsi"/>
          <w:sz w:val="24"/>
          <w:szCs w:val="24"/>
        </w:rPr>
        <w:t xml:space="preserve"> among the Council members</w:t>
      </w:r>
      <w:r w:rsidR="00C900D1" w:rsidRPr="00781FFF">
        <w:rPr>
          <w:rFonts w:cstheme="minorHAnsi"/>
          <w:sz w:val="24"/>
          <w:szCs w:val="24"/>
        </w:rPr>
        <w:t xml:space="preserve">. A Deputy of the Moldovan </w:t>
      </w:r>
      <w:proofErr w:type="spellStart"/>
      <w:r w:rsidR="00C900D1" w:rsidRPr="00781FFF">
        <w:rPr>
          <w:rFonts w:cstheme="minorHAnsi"/>
          <w:sz w:val="24"/>
          <w:szCs w:val="24"/>
        </w:rPr>
        <w:t>Ombuds</w:t>
      </w:r>
      <w:proofErr w:type="spellEnd"/>
      <w:r w:rsidR="00C900D1" w:rsidRPr="00781FFF">
        <w:rPr>
          <w:rFonts w:cstheme="minorHAnsi"/>
          <w:sz w:val="24"/>
          <w:szCs w:val="24"/>
        </w:rPr>
        <w:t xml:space="preserve"> Office</w:t>
      </w:r>
      <w:r w:rsidR="008762CF">
        <w:rPr>
          <w:rFonts w:cstheme="minorHAnsi"/>
          <w:sz w:val="24"/>
          <w:szCs w:val="24"/>
        </w:rPr>
        <w:t xml:space="preserve"> </w:t>
      </w:r>
      <w:r w:rsidR="008762CF" w:rsidRPr="00781FFF">
        <w:rPr>
          <w:rFonts w:cstheme="minorHAnsi"/>
          <w:sz w:val="24"/>
          <w:szCs w:val="24"/>
        </w:rPr>
        <w:t>(the former Chair of the Equality Council)</w:t>
      </w:r>
      <w:r w:rsidR="00C900D1" w:rsidRPr="00781FFF">
        <w:rPr>
          <w:rFonts w:cstheme="minorHAnsi"/>
          <w:sz w:val="24"/>
          <w:szCs w:val="24"/>
        </w:rPr>
        <w:t xml:space="preserve"> is also a member of a minority community. </w:t>
      </w:r>
      <w:r w:rsidR="00FF0628">
        <w:rPr>
          <w:rFonts w:cstheme="minorHAnsi"/>
          <w:sz w:val="24"/>
          <w:szCs w:val="24"/>
        </w:rPr>
        <w:t>N</w:t>
      </w:r>
      <w:r w:rsidR="00C900D1" w:rsidRPr="00781FFF">
        <w:rPr>
          <w:rFonts w:cstheme="minorHAnsi"/>
          <w:sz w:val="24"/>
          <w:szCs w:val="24"/>
        </w:rPr>
        <w:t>amely these two institutions pioneered the establishment of a minority advisory body – the Minorities Expert Groups described above – to advise them on minority perspectives in their activities.</w:t>
      </w:r>
    </w:p>
    <w:p w:rsidR="00B73F2D" w:rsidRPr="00781FFF" w:rsidRDefault="00C900D1" w:rsidP="00B73F2D">
      <w:pPr>
        <w:spacing w:after="60" w:line="247" w:lineRule="auto"/>
        <w:jc w:val="both"/>
        <w:rPr>
          <w:rFonts w:cstheme="minorHAnsi"/>
          <w:sz w:val="24"/>
          <w:szCs w:val="24"/>
        </w:rPr>
      </w:pPr>
      <w:r w:rsidRPr="00781FFF">
        <w:rPr>
          <w:rFonts w:cstheme="minorHAnsi"/>
          <w:sz w:val="24"/>
          <w:szCs w:val="24"/>
        </w:rPr>
        <w:t xml:space="preserve">A contrasting example in this sense is the Moldovan Constitutional Court. This important rights-protecting institution is not minority-inclusive and, in fact, is minority-blind. No surprise that this institution </w:t>
      </w:r>
      <w:r w:rsidR="00FF0628">
        <w:rPr>
          <w:rFonts w:cstheme="minorHAnsi"/>
          <w:sz w:val="24"/>
          <w:szCs w:val="24"/>
        </w:rPr>
        <w:t xml:space="preserve">regularly </w:t>
      </w:r>
      <w:r w:rsidRPr="00781FFF">
        <w:rPr>
          <w:rFonts w:cstheme="minorHAnsi"/>
          <w:sz w:val="24"/>
          <w:szCs w:val="24"/>
        </w:rPr>
        <w:t>adopt</w:t>
      </w:r>
      <w:r w:rsidR="00FF0628">
        <w:rPr>
          <w:rFonts w:cstheme="minorHAnsi"/>
          <w:sz w:val="24"/>
          <w:szCs w:val="24"/>
        </w:rPr>
        <w:t>ed</w:t>
      </w:r>
      <w:r w:rsidRPr="00781FFF">
        <w:rPr>
          <w:rFonts w:cstheme="minorHAnsi"/>
          <w:sz w:val="24"/>
          <w:szCs w:val="24"/>
        </w:rPr>
        <w:t xml:space="preserve"> </w:t>
      </w:r>
      <w:r w:rsidR="0084061D">
        <w:rPr>
          <w:rFonts w:cstheme="minorHAnsi"/>
          <w:sz w:val="24"/>
          <w:szCs w:val="24"/>
        </w:rPr>
        <w:t>questionable</w:t>
      </w:r>
      <w:r w:rsidR="0084061D" w:rsidRPr="00781FFF">
        <w:rPr>
          <w:rFonts w:cstheme="minorHAnsi"/>
          <w:sz w:val="24"/>
          <w:szCs w:val="24"/>
        </w:rPr>
        <w:t xml:space="preserve"> </w:t>
      </w:r>
      <w:r w:rsidR="00DF34A2" w:rsidRPr="00781FFF">
        <w:rPr>
          <w:rFonts w:cstheme="minorHAnsi"/>
          <w:sz w:val="24"/>
          <w:szCs w:val="24"/>
        </w:rPr>
        <w:t>decis</w:t>
      </w:r>
      <w:r w:rsidR="00B73F2D">
        <w:rPr>
          <w:rFonts w:cstheme="minorHAnsi"/>
          <w:sz w:val="24"/>
          <w:szCs w:val="24"/>
        </w:rPr>
        <w:t>ions concerning minority rights (f</w:t>
      </w:r>
      <w:r w:rsidR="00DF34A2" w:rsidRPr="00781FFF">
        <w:rPr>
          <w:rFonts w:cstheme="minorHAnsi"/>
          <w:sz w:val="24"/>
          <w:szCs w:val="24"/>
        </w:rPr>
        <w:t>or example, in its Ruling No.</w:t>
      </w:r>
      <w:r w:rsidR="001A2A53">
        <w:rPr>
          <w:rFonts w:cstheme="minorHAnsi"/>
          <w:sz w:val="24"/>
          <w:szCs w:val="24"/>
        </w:rPr>
        <w:t xml:space="preserve"> </w:t>
      </w:r>
      <w:r w:rsidR="00DF34A2" w:rsidRPr="00781FFF">
        <w:rPr>
          <w:rFonts w:cstheme="minorHAnsi"/>
          <w:sz w:val="24"/>
          <w:szCs w:val="24"/>
        </w:rPr>
        <w:t>4 from 21 January 2021</w:t>
      </w:r>
      <w:r w:rsidR="00B73F2D">
        <w:rPr>
          <w:rFonts w:cstheme="minorHAnsi"/>
          <w:sz w:val="24"/>
          <w:szCs w:val="24"/>
        </w:rPr>
        <w:t xml:space="preserve"> – more details in the full submission).</w:t>
      </w:r>
      <w:r w:rsidR="004A3273" w:rsidRPr="00781FFF">
        <w:rPr>
          <w:rStyle w:val="FootnoteReference"/>
          <w:rFonts w:cstheme="minorHAnsi"/>
          <w:sz w:val="24"/>
          <w:szCs w:val="24"/>
        </w:rPr>
        <w:footnoteReference w:id="8"/>
      </w:r>
      <w:r w:rsidR="004A3273" w:rsidRPr="00781FFF">
        <w:rPr>
          <w:rFonts w:cstheme="minorHAnsi"/>
          <w:sz w:val="24"/>
          <w:szCs w:val="24"/>
        </w:rPr>
        <w:t xml:space="preserve">  </w:t>
      </w:r>
    </w:p>
    <w:p w:rsidR="00435C74" w:rsidRPr="00781FFF" w:rsidRDefault="00435C74" w:rsidP="00781FFF">
      <w:pPr>
        <w:spacing w:after="60" w:line="247" w:lineRule="auto"/>
        <w:jc w:val="both"/>
        <w:rPr>
          <w:rFonts w:cstheme="minorHAnsi"/>
          <w:sz w:val="24"/>
          <w:szCs w:val="24"/>
        </w:rPr>
      </w:pPr>
    </w:p>
    <w:p w:rsidR="00435C74" w:rsidRPr="00781FFF" w:rsidRDefault="00435C74" w:rsidP="00781FFF">
      <w:pPr>
        <w:spacing w:after="60" w:line="247" w:lineRule="auto"/>
        <w:jc w:val="center"/>
        <w:rPr>
          <w:rFonts w:cstheme="minorHAnsi"/>
          <w:sz w:val="24"/>
          <w:szCs w:val="24"/>
          <w:u w:val="single"/>
        </w:rPr>
      </w:pPr>
      <w:r w:rsidRPr="00781FFF">
        <w:rPr>
          <w:rFonts w:cstheme="minorHAnsi"/>
          <w:sz w:val="24"/>
          <w:szCs w:val="24"/>
          <w:u w:val="single"/>
        </w:rPr>
        <w:t xml:space="preserve">Regional Autonomy as a Means of Effective Minority Protection </w:t>
      </w:r>
    </w:p>
    <w:p w:rsidR="003C7B0E" w:rsidRPr="00781FFF" w:rsidRDefault="00435C74" w:rsidP="00781FFF">
      <w:pPr>
        <w:spacing w:after="60" w:line="247" w:lineRule="auto"/>
        <w:jc w:val="both"/>
        <w:rPr>
          <w:rFonts w:cstheme="minorHAnsi"/>
          <w:sz w:val="24"/>
          <w:szCs w:val="24"/>
        </w:rPr>
      </w:pPr>
      <w:r w:rsidRPr="00781FFF">
        <w:rPr>
          <w:rFonts w:cstheme="minorHAnsi"/>
          <w:sz w:val="24"/>
          <w:szCs w:val="24"/>
        </w:rPr>
        <w:t xml:space="preserve">The Republic of Moldova has several minority regions, including </w:t>
      </w:r>
      <w:r w:rsidR="003C7B0E" w:rsidRPr="00781FFF">
        <w:rPr>
          <w:rFonts w:cstheme="minorHAnsi"/>
          <w:sz w:val="24"/>
          <w:szCs w:val="24"/>
        </w:rPr>
        <w:t xml:space="preserve">a region predominantly populated by </w:t>
      </w:r>
      <w:proofErr w:type="spellStart"/>
      <w:r w:rsidR="003C7B0E" w:rsidRPr="00781FFF">
        <w:rPr>
          <w:rFonts w:cstheme="minorHAnsi"/>
          <w:sz w:val="24"/>
          <w:szCs w:val="24"/>
        </w:rPr>
        <w:t>Gagauzians</w:t>
      </w:r>
      <w:proofErr w:type="spellEnd"/>
      <w:r w:rsidR="004409F9" w:rsidRPr="00781FFF">
        <w:rPr>
          <w:rFonts w:cstheme="minorHAnsi"/>
          <w:sz w:val="24"/>
          <w:szCs w:val="24"/>
        </w:rPr>
        <w:t xml:space="preserve"> (</w:t>
      </w:r>
      <w:proofErr w:type="spellStart"/>
      <w:r w:rsidR="004409F9" w:rsidRPr="00781FFF">
        <w:rPr>
          <w:rFonts w:cstheme="minorHAnsi"/>
          <w:sz w:val="24"/>
          <w:szCs w:val="24"/>
        </w:rPr>
        <w:t>Gagauzia</w:t>
      </w:r>
      <w:proofErr w:type="spellEnd"/>
      <w:r w:rsidR="004409F9" w:rsidRPr="00781FFF">
        <w:rPr>
          <w:rFonts w:cstheme="minorHAnsi"/>
          <w:sz w:val="24"/>
          <w:szCs w:val="24"/>
        </w:rPr>
        <w:t>)</w:t>
      </w:r>
      <w:r w:rsidR="003C7B0E" w:rsidRPr="00781FFF">
        <w:rPr>
          <w:rFonts w:cstheme="minorHAnsi"/>
          <w:sz w:val="24"/>
          <w:szCs w:val="24"/>
        </w:rPr>
        <w:t>, an area predominantly populated by Bulgarians</w:t>
      </w:r>
      <w:r w:rsidR="004409F9" w:rsidRPr="00781FFF">
        <w:rPr>
          <w:rFonts w:cstheme="minorHAnsi"/>
          <w:sz w:val="24"/>
          <w:szCs w:val="24"/>
        </w:rPr>
        <w:t xml:space="preserve"> (</w:t>
      </w:r>
      <w:proofErr w:type="spellStart"/>
      <w:r w:rsidR="004409F9" w:rsidRPr="00781FFF">
        <w:rPr>
          <w:rFonts w:cstheme="minorHAnsi"/>
          <w:sz w:val="24"/>
          <w:szCs w:val="24"/>
        </w:rPr>
        <w:t>Taraclia</w:t>
      </w:r>
      <w:proofErr w:type="spellEnd"/>
      <w:r w:rsidR="004409F9" w:rsidRPr="00781FFF">
        <w:rPr>
          <w:rFonts w:cstheme="minorHAnsi"/>
          <w:sz w:val="24"/>
          <w:szCs w:val="24"/>
        </w:rPr>
        <w:t>) and communities populated predominantly by ethnic</w:t>
      </w:r>
      <w:r w:rsidR="003C7B0E" w:rsidRPr="00781FFF">
        <w:rPr>
          <w:rFonts w:cstheme="minorHAnsi"/>
          <w:sz w:val="24"/>
          <w:szCs w:val="24"/>
        </w:rPr>
        <w:t xml:space="preserve"> Ukrainians and Roma people. In 1994 central Moldovan authorities managed to negotiate an arrangement with the </w:t>
      </w:r>
      <w:proofErr w:type="spellStart"/>
      <w:r w:rsidR="003C7B0E" w:rsidRPr="00781FFF">
        <w:rPr>
          <w:rFonts w:cstheme="minorHAnsi"/>
          <w:sz w:val="24"/>
          <w:szCs w:val="24"/>
        </w:rPr>
        <w:t>Gagauzian</w:t>
      </w:r>
      <w:proofErr w:type="spellEnd"/>
      <w:r w:rsidR="003C7B0E" w:rsidRPr="00781FFF">
        <w:rPr>
          <w:rFonts w:cstheme="minorHAnsi"/>
          <w:sz w:val="24"/>
          <w:szCs w:val="24"/>
        </w:rPr>
        <w:t xml:space="preserve"> leaders providing the </w:t>
      </w:r>
      <w:proofErr w:type="spellStart"/>
      <w:r w:rsidR="003C7B0E" w:rsidRPr="00781FFF">
        <w:rPr>
          <w:rFonts w:cstheme="minorHAnsi"/>
          <w:sz w:val="24"/>
          <w:szCs w:val="24"/>
        </w:rPr>
        <w:t>Gagauzian</w:t>
      </w:r>
      <w:proofErr w:type="spellEnd"/>
      <w:r w:rsidR="003C7B0E" w:rsidRPr="00781FFF">
        <w:rPr>
          <w:rFonts w:cstheme="minorHAnsi"/>
          <w:sz w:val="24"/>
          <w:szCs w:val="24"/>
        </w:rPr>
        <w:t xml:space="preserve"> minority with autonomy on the territories predominantly populated by them. The Bulgarian minority residing just “next door” to </w:t>
      </w:r>
      <w:proofErr w:type="spellStart"/>
      <w:r w:rsidR="003C7B0E" w:rsidRPr="00781FFF">
        <w:rPr>
          <w:rFonts w:cstheme="minorHAnsi"/>
          <w:sz w:val="24"/>
          <w:szCs w:val="24"/>
        </w:rPr>
        <w:t>Gagauzians</w:t>
      </w:r>
      <w:proofErr w:type="spellEnd"/>
      <w:r w:rsidR="003C7B0E" w:rsidRPr="00781FFF">
        <w:rPr>
          <w:rFonts w:cstheme="minorHAnsi"/>
          <w:sz w:val="24"/>
          <w:szCs w:val="24"/>
        </w:rPr>
        <w:t xml:space="preserve"> did not obtain such </w:t>
      </w:r>
      <w:proofErr w:type="gramStart"/>
      <w:r w:rsidR="003C7B0E" w:rsidRPr="00781FFF">
        <w:rPr>
          <w:rFonts w:cstheme="minorHAnsi"/>
          <w:sz w:val="24"/>
          <w:szCs w:val="24"/>
        </w:rPr>
        <w:t>an autonomy</w:t>
      </w:r>
      <w:proofErr w:type="gramEnd"/>
      <w:r w:rsidR="003C7B0E" w:rsidRPr="00781FFF">
        <w:rPr>
          <w:rFonts w:cstheme="minorHAnsi"/>
          <w:sz w:val="24"/>
          <w:szCs w:val="24"/>
        </w:rPr>
        <w:t>.</w:t>
      </w:r>
    </w:p>
    <w:p w:rsidR="00CC7245" w:rsidRPr="00781FFF" w:rsidRDefault="003C7B0E" w:rsidP="00781FFF">
      <w:pPr>
        <w:spacing w:after="60" w:line="247" w:lineRule="auto"/>
        <w:jc w:val="both"/>
        <w:rPr>
          <w:rFonts w:cstheme="minorHAnsi"/>
          <w:sz w:val="24"/>
          <w:szCs w:val="24"/>
        </w:rPr>
      </w:pPr>
      <w:r w:rsidRPr="00781FFF">
        <w:rPr>
          <w:rFonts w:cstheme="minorHAnsi"/>
          <w:sz w:val="24"/>
          <w:szCs w:val="24"/>
        </w:rPr>
        <w:t xml:space="preserve">The comparative data one these two minority communities – </w:t>
      </w:r>
      <w:proofErr w:type="spellStart"/>
      <w:r w:rsidRPr="00781FFF">
        <w:rPr>
          <w:rFonts w:cstheme="minorHAnsi"/>
          <w:sz w:val="24"/>
          <w:szCs w:val="24"/>
        </w:rPr>
        <w:t>Gagauzians</w:t>
      </w:r>
      <w:proofErr w:type="spellEnd"/>
      <w:r w:rsidRPr="00781FFF">
        <w:rPr>
          <w:rFonts w:cstheme="minorHAnsi"/>
          <w:sz w:val="24"/>
          <w:szCs w:val="24"/>
        </w:rPr>
        <w:t xml:space="preserve"> and Bulgarians – and areas predominantly populated by them, clearly demonstrate evident benefits of the autonomous status. </w:t>
      </w:r>
      <w:r w:rsidR="004409F9" w:rsidRPr="00781FFF">
        <w:rPr>
          <w:rFonts w:cstheme="minorHAnsi"/>
          <w:sz w:val="24"/>
          <w:szCs w:val="24"/>
        </w:rPr>
        <w:t xml:space="preserve">According to </w:t>
      </w:r>
      <w:r w:rsidR="00CC7245" w:rsidRPr="00781FFF">
        <w:rPr>
          <w:rFonts w:cstheme="minorHAnsi"/>
          <w:sz w:val="24"/>
          <w:szCs w:val="24"/>
        </w:rPr>
        <w:t xml:space="preserve">the </w:t>
      </w:r>
      <w:r w:rsidR="004409F9" w:rsidRPr="00781FFF">
        <w:rPr>
          <w:rFonts w:cstheme="minorHAnsi"/>
          <w:sz w:val="24"/>
          <w:szCs w:val="24"/>
        </w:rPr>
        <w:t>statistical data</w:t>
      </w:r>
      <w:r w:rsidR="00CC7245" w:rsidRPr="00781FFF">
        <w:rPr>
          <w:rFonts w:cstheme="minorHAnsi"/>
          <w:sz w:val="24"/>
          <w:szCs w:val="24"/>
        </w:rPr>
        <w:t xml:space="preserve"> (the Yearly Statistical Reports of the National Statistical Bureau of Moldova)</w:t>
      </w:r>
      <w:r w:rsidR="004409F9" w:rsidRPr="00781FFF">
        <w:rPr>
          <w:rFonts w:cstheme="minorHAnsi"/>
          <w:sz w:val="24"/>
          <w:szCs w:val="24"/>
        </w:rPr>
        <w:t xml:space="preserve">, </w:t>
      </w:r>
      <w:r w:rsidR="0027653F" w:rsidRPr="00781FFF">
        <w:rPr>
          <w:rFonts w:cstheme="minorHAnsi"/>
          <w:sz w:val="24"/>
          <w:szCs w:val="24"/>
        </w:rPr>
        <w:t xml:space="preserve">the “Bulgarian” </w:t>
      </w:r>
      <w:proofErr w:type="spellStart"/>
      <w:r w:rsidR="004409F9" w:rsidRPr="00781FFF">
        <w:rPr>
          <w:rFonts w:cstheme="minorHAnsi"/>
          <w:sz w:val="24"/>
          <w:szCs w:val="24"/>
        </w:rPr>
        <w:t>Taraclia</w:t>
      </w:r>
      <w:proofErr w:type="spellEnd"/>
      <w:r w:rsidR="004409F9" w:rsidRPr="00781FFF">
        <w:rPr>
          <w:rFonts w:cstheme="minorHAnsi"/>
          <w:sz w:val="24"/>
          <w:szCs w:val="24"/>
        </w:rPr>
        <w:t xml:space="preserve"> </w:t>
      </w:r>
      <w:r w:rsidR="0027653F" w:rsidRPr="00781FFF">
        <w:rPr>
          <w:rFonts w:cstheme="minorHAnsi"/>
          <w:sz w:val="24"/>
          <w:szCs w:val="24"/>
        </w:rPr>
        <w:t xml:space="preserve">district </w:t>
      </w:r>
      <w:r w:rsidR="00CC7245" w:rsidRPr="00781FFF">
        <w:rPr>
          <w:rFonts w:cstheme="minorHAnsi"/>
          <w:sz w:val="24"/>
          <w:szCs w:val="24"/>
        </w:rPr>
        <w:t>has</w:t>
      </w:r>
      <w:r w:rsidR="004409F9" w:rsidRPr="00781FFF">
        <w:rPr>
          <w:rFonts w:cstheme="minorHAnsi"/>
          <w:sz w:val="24"/>
          <w:szCs w:val="24"/>
        </w:rPr>
        <w:t xml:space="preserve"> one of the worst </w:t>
      </w:r>
      <w:r w:rsidR="0027653F" w:rsidRPr="00781FFF">
        <w:rPr>
          <w:rFonts w:cstheme="minorHAnsi"/>
          <w:sz w:val="24"/>
          <w:szCs w:val="24"/>
        </w:rPr>
        <w:t xml:space="preserve">demographic </w:t>
      </w:r>
      <w:r w:rsidR="004409F9" w:rsidRPr="00781FFF">
        <w:rPr>
          <w:rFonts w:cstheme="minorHAnsi"/>
          <w:sz w:val="24"/>
          <w:szCs w:val="24"/>
        </w:rPr>
        <w:t xml:space="preserve">indicators in </w:t>
      </w:r>
      <w:r w:rsidR="00CC7245" w:rsidRPr="00781FFF">
        <w:rPr>
          <w:rFonts w:cstheme="minorHAnsi"/>
          <w:sz w:val="24"/>
          <w:szCs w:val="24"/>
        </w:rPr>
        <w:t xml:space="preserve">the entire </w:t>
      </w:r>
      <w:r w:rsidR="004409F9" w:rsidRPr="00781FFF">
        <w:rPr>
          <w:rFonts w:cstheme="minorHAnsi"/>
          <w:sz w:val="24"/>
          <w:szCs w:val="24"/>
        </w:rPr>
        <w:t>Moldova</w:t>
      </w:r>
      <w:r w:rsidR="00CC7245" w:rsidRPr="00781FFF">
        <w:rPr>
          <w:rFonts w:cstheme="minorHAnsi"/>
          <w:sz w:val="24"/>
          <w:szCs w:val="24"/>
        </w:rPr>
        <w:t xml:space="preserve">, times worse than in neighboring </w:t>
      </w:r>
      <w:proofErr w:type="spellStart"/>
      <w:r w:rsidR="00CC7245" w:rsidRPr="00781FFF">
        <w:rPr>
          <w:rFonts w:cstheme="minorHAnsi"/>
          <w:sz w:val="24"/>
          <w:szCs w:val="24"/>
        </w:rPr>
        <w:t>Gagauzia</w:t>
      </w:r>
      <w:proofErr w:type="spellEnd"/>
      <w:r w:rsidR="00CC7245" w:rsidRPr="00781FFF">
        <w:rPr>
          <w:rFonts w:cstheme="minorHAnsi"/>
          <w:sz w:val="24"/>
          <w:szCs w:val="24"/>
        </w:rPr>
        <w:t>. For example, according to the latest Yearly Statistical Report (2023)</w:t>
      </w:r>
      <w:r w:rsidR="00C4217C" w:rsidRPr="00781FFF">
        <w:rPr>
          <w:rFonts w:cstheme="minorHAnsi"/>
          <w:sz w:val="24"/>
          <w:szCs w:val="24"/>
        </w:rPr>
        <w:t>, page 54</w:t>
      </w:r>
      <w:r w:rsidR="00CC7245" w:rsidRPr="00781FFF">
        <w:rPr>
          <w:rFonts w:cstheme="minorHAnsi"/>
          <w:sz w:val="24"/>
          <w:szCs w:val="24"/>
        </w:rPr>
        <w:t>:</w:t>
      </w:r>
    </w:p>
    <w:p w:rsidR="00CC7245" w:rsidRPr="00781FFF" w:rsidRDefault="00CC7245" w:rsidP="00781FFF">
      <w:pPr>
        <w:pStyle w:val="ListParagraph"/>
        <w:numPr>
          <w:ilvl w:val="0"/>
          <w:numId w:val="5"/>
        </w:numPr>
        <w:spacing w:after="60" w:line="247" w:lineRule="auto"/>
        <w:jc w:val="both"/>
        <w:rPr>
          <w:rFonts w:cstheme="minorHAnsi"/>
          <w:sz w:val="24"/>
          <w:szCs w:val="24"/>
        </w:rPr>
      </w:pPr>
      <w:r w:rsidRPr="00781FFF">
        <w:rPr>
          <w:rFonts w:cstheme="minorHAnsi"/>
          <w:sz w:val="24"/>
          <w:szCs w:val="24"/>
        </w:rPr>
        <w:lastRenderedPageBreak/>
        <w:t xml:space="preserve">The average annual birth rate in the whole of Moldova was 10.6 births </w:t>
      </w:r>
      <w:r w:rsidR="00C4217C" w:rsidRPr="00781FFF">
        <w:rPr>
          <w:rFonts w:cstheme="minorHAnsi"/>
          <w:sz w:val="24"/>
          <w:szCs w:val="24"/>
        </w:rPr>
        <w:t>per 1</w:t>
      </w:r>
      <w:r w:rsidRPr="00781FFF">
        <w:rPr>
          <w:rFonts w:cstheme="minorHAnsi"/>
          <w:sz w:val="24"/>
          <w:szCs w:val="24"/>
        </w:rPr>
        <w:t xml:space="preserve">,000 population, in </w:t>
      </w:r>
      <w:proofErr w:type="spellStart"/>
      <w:r w:rsidRPr="00781FFF">
        <w:rPr>
          <w:rFonts w:cstheme="minorHAnsi"/>
          <w:sz w:val="24"/>
          <w:szCs w:val="24"/>
        </w:rPr>
        <w:t>Gagauzia</w:t>
      </w:r>
      <w:proofErr w:type="spellEnd"/>
      <w:r w:rsidRPr="00781FFF">
        <w:rPr>
          <w:rFonts w:cstheme="minorHAnsi"/>
          <w:sz w:val="24"/>
          <w:szCs w:val="24"/>
        </w:rPr>
        <w:t xml:space="preserve"> it was 10.1 and in the “Bulgarian” </w:t>
      </w:r>
      <w:proofErr w:type="spellStart"/>
      <w:r w:rsidRPr="00781FFF">
        <w:rPr>
          <w:rFonts w:cstheme="minorHAnsi"/>
          <w:sz w:val="24"/>
          <w:szCs w:val="24"/>
        </w:rPr>
        <w:t>Taraclia</w:t>
      </w:r>
      <w:proofErr w:type="spellEnd"/>
      <w:r w:rsidRPr="00781FFF">
        <w:rPr>
          <w:rFonts w:cstheme="minorHAnsi"/>
          <w:sz w:val="24"/>
          <w:szCs w:val="24"/>
        </w:rPr>
        <w:t xml:space="preserve"> district it was 8.5 (15-20% worse than the Moldova’s and </w:t>
      </w:r>
      <w:proofErr w:type="spellStart"/>
      <w:r w:rsidRPr="00781FFF">
        <w:rPr>
          <w:rFonts w:cstheme="minorHAnsi"/>
          <w:sz w:val="24"/>
          <w:szCs w:val="24"/>
        </w:rPr>
        <w:t>Gagauzia’s</w:t>
      </w:r>
      <w:proofErr w:type="spellEnd"/>
      <w:r w:rsidRPr="00781FFF">
        <w:rPr>
          <w:rFonts w:cstheme="minorHAnsi"/>
          <w:sz w:val="24"/>
          <w:szCs w:val="24"/>
        </w:rPr>
        <w:t xml:space="preserve"> average);</w:t>
      </w:r>
    </w:p>
    <w:p w:rsidR="00CC7245" w:rsidRPr="00781FFF" w:rsidRDefault="00CC7245" w:rsidP="00781FFF">
      <w:pPr>
        <w:pStyle w:val="ListParagraph"/>
        <w:numPr>
          <w:ilvl w:val="0"/>
          <w:numId w:val="5"/>
        </w:numPr>
        <w:spacing w:after="60" w:line="247" w:lineRule="auto"/>
        <w:jc w:val="both"/>
        <w:rPr>
          <w:rFonts w:cstheme="minorHAnsi"/>
          <w:sz w:val="24"/>
          <w:szCs w:val="24"/>
        </w:rPr>
      </w:pPr>
      <w:r w:rsidRPr="00781FFF">
        <w:rPr>
          <w:rFonts w:cstheme="minorHAnsi"/>
          <w:sz w:val="24"/>
          <w:szCs w:val="24"/>
        </w:rPr>
        <w:t xml:space="preserve">The average annual mortality rate in the whole of Moldova was 14.2 deaths </w:t>
      </w:r>
      <w:r w:rsidR="00C4217C" w:rsidRPr="00781FFF">
        <w:rPr>
          <w:rFonts w:cstheme="minorHAnsi"/>
          <w:sz w:val="24"/>
          <w:szCs w:val="24"/>
        </w:rPr>
        <w:t>per 1</w:t>
      </w:r>
      <w:r w:rsidRPr="00781FFF">
        <w:rPr>
          <w:rFonts w:cstheme="minorHAnsi"/>
          <w:sz w:val="24"/>
          <w:szCs w:val="24"/>
        </w:rPr>
        <w:t xml:space="preserve">,000 population, in </w:t>
      </w:r>
      <w:proofErr w:type="spellStart"/>
      <w:r w:rsidRPr="00781FFF">
        <w:rPr>
          <w:rFonts w:cstheme="minorHAnsi"/>
          <w:sz w:val="24"/>
          <w:szCs w:val="24"/>
        </w:rPr>
        <w:t>Gagauzia</w:t>
      </w:r>
      <w:proofErr w:type="spellEnd"/>
      <w:r w:rsidRPr="00781FFF">
        <w:rPr>
          <w:rFonts w:cstheme="minorHAnsi"/>
          <w:sz w:val="24"/>
          <w:szCs w:val="24"/>
        </w:rPr>
        <w:t xml:space="preserve"> it was 12.7 and in </w:t>
      </w:r>
      <w:proofErr w:type="spellStart"/>
      <w:r w:rsidRPr="00781FFF">
        <w:rPr>
          <w:rFonts w:cstheme="minorHAnsi"/>
          <w:sz w:val="24"/>
          <w:szCs w:val="24"/>
        </w:rPr>
        <w:t>Taraclia</w:t>
      </w:r>
      <w:proofErr w:type="spellEnd"/>
      <w:r w:rsidRPr="00781FFF">
        <w:rPr>
          <w:rFonts w:cstheme="minorHAnsi"/>
          <w:sz w:val="24"/>
          <w:szCs w:val="24"/>
        </w:rPr>
        <w:t xml:space="preserve"> district it was 14.4 (almost 15% worse than in neighboring </w:t>
      </w:r>
      <w:proofErr w:type="spellStart"/>
      <w:r w:rsidRPr="00781FFF">
        <w:rPr>
          <w:rFonts w:cstheme="minorHAnsi"/>
          <w:sz w:val="24"/>
          <w:szCs w:val="24"/>
        </w:rPr>
        <w:t>Gagauzia</w:t>
      </w:r>
      <w:proofErr w:type="spellEnd"/>
      <w:r w:rsidRPr="00781FFF">
        <w:rPr>
          <w:rFonts w:cstheme="minorHAnsi"/>
          <w:sz w:val="24"/>
          <w:szCs w:val="24"/>
        </w:rPr>
        <w:t>);</w:t>
      </w:r>
    </w:p>
    <w:p w:rsidR="00C4217C" w:rsidRPr="00781FFF" w:rsidRDefault="00CC7245" w:rsidP="00781FFF">
      <w:pPr>
        <w:pStyle w:val="ListParagraph"/>
        <w:numPr>
          <w:ilvl w:val="0"/>
          <w:numId w:val="5"/>
        </w:numPr>
        <w:spacing w:after="60" w:line="247" w:lineRule="auto"/>
        <w:jc w:val="both"/>
        <w:rPr>
          <w:rFonts w:cstheme="minorHAnsi"/>
          <w:sz w:val="24"/>
          <w:szCs w:val="24"/>
        </w:rPr>
      </w:pPr>
      <w:r w:rsidRPr="00781FFF">
        <w:rPr>
          <w:rFonts w:cstheme="minorHAnsi"/>
          <w:sz w:val="24"/>
          <w:szCs w:val="24"/>
        </w:rPr>
        <w:t>The natural growth/decline balance for the whole of Moldova was (-3.6)</w:t>
      </w:r>
      <w:r w:rsidR="00C4217C" w:rsidRPr="00781FFF">
        <w:rPr>
          <w:rFonts w:cstheme="minorHAnsi"/>
          <w:sz w:val="24"/>
          <w:szCs w:val="24"/>
        </w:rPr>
        <w:t xml:space="preserve"> per 1,000 population, in </w:t>
      </w:r>
      <w:proofErr w:type="spellStart"/>
      <w:r w:rsidR="00C4217C" w:rsidRPr="00781FFF">
        <w:rPr>
          <w:rFonts w:cstheme="minorHAnsi"/>
          <w:sz w:val="24"/>
          <w:szCs w:val="24"/>
        </w:rPr>
        <w:t>Gagauzia</w:t>
      </w:r>
      <w:proofErr w:type="spellEnd"/>
      <w:r w:rsidR="00C4217C" w:rsidRPr="00781FFF">
        <w:rPr>
          <w:rFonts w:cstheme="minorHAnsi"/>
          <w:sz w:val="24"/>
          <w:szCs w:val="24"/>
        </w:rPr>
        <w:t xml:space="preserve"> it was (-2.7) per 1,000 population and in </w:t>
      </w:r>
      <w:proofErr w:type="spellStart"/>
      <w:r w:rsidR="00C4217C" w:rsidRPr="00781FFF">
        <w:rPr>
          <w:rFonts w:cstheme="minorHAnsi"/>
          <w:sz w:val="24"/>
          <w:szCs w:val="24"/>
        </w:rPr>
        <w:t>Taraclia</w:t>
      </w:r>
      <w:proofErr w:type="spellEnd"/>
      <w:r w:rsidR="00C4217C" w:rsidRPr="00781FFF">
        <w:rPr>
          <w:rFonts w:cstheme="minorHAnsi"/>
          <w:sz w:val="24"/>
          <w:szCs w:val="24"/>
        </w:rPr>
        <w:t xml:space="preserve"> it was (-5.9) per 1,000 population (i.e. more than twice worse than in neighboring </w:t>
      </w:r>
      <w:proofErr w:type="spellStart"/>
      <w:r w:rsidR="00C4217C" w:rsidRPr="00781FFF">
        <w:rPr>
          <w:rFonts w:cstheme="minorHAnsi"/>
          <w:sz w:val="24"/>
          <w:szCs w:val="24"/>
        </w:rPr>
        <w:t>Gagauzia</w:t>
      </w:r>
      <w:proofErr w:type="spellEnd"/>
      <w:r w:rsidR="00C4217C" w:rsidRPr="00781FFF">
        <w:rPr>
          <w:rFonts w:cstheme="minorHAnsi"/>
          <w:sz w:val="24"/>
          <w:szCs w:val="24"/>
        </w:rPr>
        <w:t>);</w:t>
      </w:r>
    </w:p>
    <w:p w:rsidR="00CC7245" w:rsidRPr="00781FFF" w:rsidRDefault="00F82515" w:rsidP="00781FFF">
      <w:pPr>
        <w:pStyle w:val="ListParagraph"/>
        <w:numPr>
          <w:ilvl w:val="0"/>
          <w:numId w:val="5"/>
        </w:numPr>
        <w:spacing w:after="60" w:line="247" w:lineRule="auto"/>
        <w:jc w:val="both"/>
        <w:rPr>
          <w:rFonts w:cstheme="minorHAnsi"/>
          <w:sz w:val="24"/>
          <w:szCs w:val="24"/>
        </w:rPr>
      </w:pPr>
      <w:r w:rsidRPr="00781FFF">
        <w:rPr>
          <w:rFonts w:cstheme="minorHAnsi"/>
          <w:sz w:val="24"/>
          <w:szCs w:val="24"/>
        </w:rPr>
        <w:t xml:space="preserve">All other important data, such as the official employment and unemployment rates, the proportion of students making it to the postsecondary educational institutions, the rate of doctors and other medical staff per 100,000 population show that indicators for </w:t>
      </w:r>
      <w:proofErr w:type="spellStart"/>
      <w:r w:rsidRPr="00781FFF">
        <w:rPr>
          <w:rFonts w:cstheme="minorHAnsi"/>
          <w:sz w:val="24"/>
          <w:szCs w:val="24"/>
        </w:rPr>
        <w:t>Taraclia</w:t>
      </w:r>
      <w:proofErr w:type="spellEnd"/>
      <w:r w:rsidRPr="00781FFF">
        <w:rPr>
          <w:rFonts w:cstheme="minorHAnsi"/>
          <w:sz w:val="24"/>
          <w:szCs w:val="24"/>
        </w:rPr>
        <w:t xml:space="preserve"> are significantly worse than in neighboring </w:t>
      </w:r>
      <w:proofErr w:type="spellStart"/>
      <w:r w:rsidRPr="00781FFF">
        <w:rPr>
          <w:rFonts w:cstheme="minorHAnsi"/>
          <w:sz w:val="24"/>
          <w:szCs w:val="24"/>
        </w:rPr>
        <w:t>Gagauzia</w:t>
      </w:r>
      <w:proofErr w:type="spellEnd"/>
      <w:r w:rsidRPr="00781FFF">
        <w:rPr>
          <w:rFonts w:cstheme="minorHAnsi"/>
          <w:sz w:val="24"/>
          <w:szCs w:val="24"/>
        </w:rPr>
        <w:t xml:space="preserve"> and Moldova’s average.   </w:t>
      </w:r>
      <w:r w:rsidR="00C4217C" w:rsidRPr="00781FFF">
        <w:rPr>
          <w:rFonts w:cstheme="minorHAnsi"/>
          <w:sz w:val="24"/>
          <w:szCs w:val="24"/>
        </w:rPr>
        <w:t xml:space="preserve">       </w:t>
      </w:r>
      <w:r w:rsidR="00CC7245" w:rsidRPr="00781FFF">
        <w:rPr>
          <w:rFonts w:cstheme="minorHAnsi"/>
          <w:sz w:val="24"/>
          <w:szCs w:val="24"/>
        </w:rPr>
        <w:t xml:space="preserve">      </w:t>
      </w:r>
      <w:r w:rsidR="004409F9" w:rsidRPr="00781FFF">
        <w:rPr>
          <w:rFonts w:cstheme="minorHAnsi"/>
          <w:sz w:val="24"/>
          <w:szCs w:val="24"/>
        </w:rPr>
        <w:t xml:space="preserve"> </w:t>
      </w:r>
    </w:p>
    <w:p w:rsidR="003522DD" w:rsidRPr="00781FFF" w:rsidRDefault="00F82515" w:rsidP="00781FFF">
      <w:pPr>
        <w:spacing w:after="60" w:line="247" w:lineRule="auto"/>
        <w:jc w:val="both"/>
        <w:rPr>
          <w:rFonts w:cstheme="minorHAnsi"/>
          <w:sz w:val="24"/>
          <w:szCs w:val="24"/>
        </w:rPr>
      </w:pPr>
      <w:r w:rsidRPr="00781FFF">
        <w:rPr>
          <w:rFonts w:cstheme="minorHAnsi"/>
          <w:sz w:val="24"/>
          <w:szCs w:val="24"/>
        </w:rPr>
        <w:t xml:space="preserve">The data from the previous editions of the Yearly Statistical Reports demonstrate that the worse indicators of </w:t>
      </w:r>
      <w:proofErr w:type="spellStart"/>
      <w:r w:rsidRPr="00781FFF">
        <w:rPr>
          <w:rFonts w:cstheme="minorHAnsi"/>
          <w:sz w:val="24"/>
          <w:szCs w:val="24"/>
        </w:rPr>
        <w:t>Taraclia</w:t>
      </w:r>
      <w:proofErr w:type="spellEnd"/>
      <w:r w:rsidRPr="00781FFF">
        <w:rPr>
          <w:rFonts w:cstheme="minorHAnsi"/>
          <w:sz w:val="24"/>
          <w:szCs w:val="24"/>
        </w:rPr>
        <w:t xml:space="preserve"> are a persistent pattern throughout years and decades.</w:t>
      </w:r>
    </w:p>
    <w:p w:rsidR="003522DD" w:rsidRPr="00781FFF" w:rsidRDefault="003522DD" w:rsidP="00781FFF">
      <w:pPr>
        <w:spacing w:after="60" w:line="247" w:lineRule="auto"/>
        <w:jc w:val="both"/>
        <w:rPr>
          <w:rFonts w:cstheme="minorHAnsi"/>
          <w:sz w:val="24"/>
          <w:szCs w:val="24"/>
        </w:rPr>
      </w:pPr>
      <w:r w:rsidRPr="00781FFF">
        <w:rPr>
          <w:rFonts w:cstheme="minorHAnsi"/>
          <w:sz w:val="24"/>
          <w:szCs w:val="24"/>
        </w:rPr>
        <w:t xml:space="preserve">Referring to the ethnic and linguistic characteristics of </w:t>
      </w:r>
      <w:proofErr w:type="spellStart"/>
      <w:r w:rsidR="0070124A">
        <w:rPr>
          <w:rFonts w:cstheme="minorHAnsi"/>
          <w:sz w:val="24"/>
          <w:szCs w:val="24"/>
        </w:rPr>
        <w:t>Gagauzians</w:t>
      </w:r>
      <w:proofErr w:type="spellEnd"/>
      <w:r w:rsidR="0070124A">
        <w:rPr>
          <w:rFonts w:cstheme="minorHAnsi"/>
          <w:sz w:val="24"/>
          <w:szCs w:val="24"/>
        </w:rPr>
        <w:t xml:space="preserve"> and Bulgarians </w:t>
      </w:r>
      <w:r w:rsidRPr="00781FFF">
        <w:rPr>
          <w:rFonts w:cstheme="minorHAnsi"/>
          <w:sz w:val="24"/>
          <w:szCs w:val="24"/>
        </w:rPr>
        <w:t xml:space="preserve">in the Republic of Moldova, the comparison </w:t>
      </w:r>
      <w:r w:rsidR="00732342">
        <w:rPr>
          <w:rFonts w:cstheme="minorHAnsi"/>
          <w:sz w:val="24"/>
          <w:szCs w:val="24"/>
        </w:rPr>
        <w:t xml:space="preserve">of </w:t>
      </w:r>
      <w:r w:rsidRPr="00781FFF">
        <w:rPr>
          <w:rFonts w:cstheme="minorHAnsi"/>
          <w:sz w:val="24"/>
          <w:szCs w:val="24"/>
        </w:rPr>
        <w:t>data from the 2014 and 2004 population censuses (the latest ava</w:t>
      </w:r>
      <w:r w:rsidR="00732342">
        <w:rPr>
          <w:rFonts w:cstheme="minorHAnsi"/>
          <w:sz w:val="24"/>
          <w:szCs w:val="24"/>
        </w:rPr>
        <w:t xml:space="preserve">ilable at the moment) shows some progress for </w:t>
      </w:r>
      <w:proofErr w:type="spellStart"/>
      <w:r w:rsidR="00732342">
        <w:rPr>
          <w:rFonts w:cstheme="minorHAnsi"/>
          <w:sz w:val="24"/>
          <w:szCs w:val="24"/>
        </w:rPr>
        <w:t>Gagauzians</w:t>
      </w:r>
      <w:proofErr w:type="spellEnd"/>
      <w:r w:rsidR="00732342">
        <w:rPr>
          <w:rFonts w:cstheme="minorHAnsi"/>
          <w:sz w:val="24"/>
          <w:szCs w:val="24"/>
        </w:rPr>
        <w:t xml:space="preserve"> and decline for Bulgarians</w:t>
      </w:r>
      <w:r w:rsidRPr="00781FFF">
        <w:rPr>
          <w:rFonts w:cstheme="minorHAnsi"/>
          <w:sz w:val="24"/>
          <w:szCs w:val="24"/>
        </w:rPr>
        <w:t>:</w:t>
      </w:r>
    </w:p>
    <w:p w:rsidR="003522DD" w:rsidRPr="00781FFF" w:rsidRDefault="003522DD" w:rsidP="00781FFF">
      <w:pPr>
        <w:pStyle w:val="ListParagraph"/>
        <w:numPr>
          <w:ilvl w:val="0"/>
          <w:numId w:val="6"/>
        </w:numPr>
        <w:spacing w:after="60" w:line="247" w:lineRule="auto"/>
        <w:jc w:val="both"/>
        <w:rPr>
          <w:rFonts w:cstheme="minorHAnsi"/>
          <w:sz w:val="24"/>
          <w:szCs w:val="24"/>
        </w:rPr>
      </w:pPr>
      <w:r w:rsidRPr="00781FFF">
        <w:rPr>
          <w:rFonts w:cstheme="minorHAnsi"/>
          <w:sz w:val="24"/>
          <w:szCs w:val="24"/>
        </w:rPr>
        <w:t xml:space="preserve">The share of ethnic </w:t>
      </w:r>
      <w:proofErr w:type="spellStart"/>
      <w:r w:rsidRPr="00781FFF">
        <w:rPr>
          <w:rFonts w:cstheme="minorHAnsi"/>
          <w:sz w:val="24"/>
          <w:szCs w:val="24"/>
        </w:rPr>
        <w:t>Gagauzians</w:t>
      </w:r>
      <w:proofErr w:type="spellEnd"/>
      <w:r w:rsidRPr="00781FFF">
        <w:rPr>
          <w:rFonts w:cstheme="minorHAnsi"/>
          <w:sz w:val="24"/>
          <w:szCs w:val="24"/>
        </w:rPr>
        <w:t xml:space="preserve"> in Moldova </w:t>
      </w:r>
      <w:r w:rsidRPr="00781FFF">
        <w:rPr>
          <w:rFonts w:cstheme="minorHAnsi"/>
          <w:b/>
          <w:sz w:val="24"/>
          <w:szCs w:val="24"/>
          <w:u w:val="single"/>
        </w:rPr>
        <w:t>grew</w:t>
      </w:r>
      <w:r w:rsidRPr="00781FFF">
        <w:rPr>
          <w:rFonts w:cstheme="minorHAnsi"/>
          <w:sz w:val="24"/>
          <w:szCs w:val="24"/>
        </w:rPr>
        <w:t xml:space="preserve"> from 4.38% in 2004 to 4.57% in 2014 of the Moldova’s population who declared their ethnicity, i.e. a relative growth of 4,5% (the share for 2014 to 2004);</w:t>
      </w:r>
    </w:p>
    <w:p w:rsidR="003522DD" w:rsidRPr="00781FFF" w:rsidRDefault="003522DD" w:rsidP="00781FFF">
      <w:pPr>
        <w:pStyle w:val="ListParagraph"/>
        <w:numPr>
          <w:ilvl w:val="0"/>
          <w:numId w:val="6"/>
        </w:numPr>
        <w:spacing w:after="60" w:line="247" w:lineRule="auto"/>
        <w:jc w:val="both"/>
        <w:rPr>
          <w:rFonts w:cstheme="minorHAnsi"/>
          <w:sz w:val="24"/>
          <w:szCs w:val="24"/>
        </w:rPr>
      </w:pPr>
      <w:r w:rsidRPr="00781FFF">
        <w:rPr>
          <w:rFonts w:cstheme="minorHAnsi"/>
          <w:sz w:val="24"/>
          <w:szCs w:val="24"/>
        </w:rPr>
        <w:t xml:space="preserve">The share of ethnic Bulgarians in Moldova </w:t>
      </w:r>
      <w:r w:rsidRPr="00781FFF">
        <w:rPr>
          <w:rFonts w:cstheme="minorHAnsi"/>
          <w:b/>
          <w:sz w:val="24"/>
          <w:szCs w:val="24"/>
          <w:u w:val="single"/>
        </w:rPr>
        <w:t>declined</w:t>
      </w:r>
      <w:r w:rsidRPr="00781FFF">
        <w:rPr>
          <w:rFonts w:cstheme="minorHAnsi"/>
          <w:sz w:val="24"/>
          <w:szCs w:val="24"/>
        </w:rPr>
        <w:t xml:space="preserve"> from 1.95% in 2004 to 1.88% in 2014 of the Moldova’s population who declared their ethnicity, i.e. a relative decline of 3,5% (the share for 2014 to 2004);</w:t>
      </w:r>
    </w:p>
    <w:p w:rsidR="003522DD" w:rsidRPr="00781FFF" w:rsidRDefault="003522DD" w:rsidP="00781FFF">
      <w:pPr>
        <w:pStyle w:val="ListParagraph"/>
        <w:numPr>
          <w:ilvl w:val="0"/>
          <w:numId w:val="6"/>
        </w:numPr>
        <w:spacing w:after="60" w:line="247" w:lineRule="auto"/>
        <w:jc w:val="both"/>
        <w:rPr>
          <w:rFonts w:cstheme="minorHAnsi"/>
          <w:sz w:val="24"/>
          <w:szCs w:val="24"/>
        </w:rPr>
      </w:pPr>
      <w:r w:rsidRPr="00781FFF">
        <w:rPr>
          <w:rFonts w:cstheme="minorHAnsi"/>
          <w:sz w:val="24"/>
          <w:szCs w:val="24"/>
        </w:rPr>
        <w:t>The share of persons who declar</w:t>
      </w:r>
      <w:r w:rsidR="00255FFF" w:rsidRPr="00781FFF">
        <w:rPr>
          <w:rFonts w:cstheme="minorHAnsi"/>
          <w:sz w:val="24"/>
          <w:szCs w:val="24"/>
        </w:rPr>
        <w:t xml:space="preserve">ed </w:t>
      </w:r>
      <w:proofErr w:type="spellStart"/>
      <w:r w:rsidR="00255FFF" w:rsidRPr="00781FFF">
        <w:rPr>
          <w:rFonts w:cstheme="minorHAnsi"/>
          <w:sz w:val="24"/>
          <w:szCs w:val="24"/>
        </w:rPr>
        <w:t>Gagauzian</w:t>
      </w:r>
      <w:proofErr w:type="spellEnd"/>
      <w:r w:rsidRPr="00781FFF">
        <w:rPr>
          <w:rFonts w:cstheme="minorHAnsi"/>
          <w:sz w:val="24"/>
          <w:szCs w:val="24"/>
        </w:rPr>
        <w:t xml:space="preserve"> as </w:t>
      </w:r>
      <w:r w:rsidR="00255FFF" w:rsidRPr="00781FFF">
        <w:rPr>
          <w:rFonts w:cstheme="minorHAnsi"/>
          <w:sz w:val="24"/>
          <w:szCs w:val="24"/>
        </w:rPr>
        <w:t xml:space="preserve">their </w:t>
      </w:r>
      <w:r w:rsidRPr="00781FFF">
        <w:rPr>
          <w:rFonts w:cstheme="minorHAnsi"/>
          <w:sz w:val="24"/>
          <w:szCs w:val="24"/>
        </w:rPr>
        <w:t>native</w:t>
      </w:r>
      <w:r w:rsidR="00255FFF" w:rsidRPr="00781FFF">
        <w:rPr>
          <w:rFonts w:cstheme="minorHAnsi"/>
          <w:sz w:val="24"/>
          <w:szCs w:val="24"/>
        </w:rPr>
        <w:t xml:space="preserve"> language</w:t>
      </w:r>
      <w:r w:rsidRPr="00781FFF">
        <w:rPr>
          <w:rFonts w:cstheme="minorHAnsi"/>
          <w:sz w:val="24"/>
          <w:szCs w:val="24"/>
        </w:rPr>
        <w:t xml:space="preserve"> </w:t>
      </w:r>
      <w:r w:rsidRPr="00781FFF">
        <w:rPr>
          <w:rFonts w:cstheme="minorHAnsi"/>
          <w:b/>
          <w:sz w:val="24"/>
          <w:szCs w:val="24"/>
          <w:u w:val="single"/>
        </w:rPr>
        <w:t>grew</w:t>
      </w:r>
      <w:r w:rsidRPr="00781FFF">
        <w:rPr>
          <w:rFonts w:cstheme="minorHAnsi"/>
          <w:sz w:val="24"/>
          <w:szCs w:val="24"/>
        </w:rPr>
        <w:t xml:space="preserve"> from 4.09% in 2004 to 4.21% in 2014 of the Moldova’s population who declared their native language, i.e. a relative growth of circa 3% (the share for 2014 to 2004);</w:t>
      </w:r>
    </w:p>
    <w:p w:rsidR="003522DD" w:rsidRPr="00781FFF" w:rsidRDefault="003522DD" w:rsidP="00781FFF">
      <w:pPr>
        <w:pStyle w:val="ListParagraph"/>
        <w:numPr>
          <w:ilvl w:val="0"/>
          <w:numId w:val="6"/>
        </w:numPr>
        <w:spacing w:after="60" w:line="247" w:lineRule="auto"/>
        <w:jc w:val="both"/>
        <w:rPr>
          <w:rFonts w:cstheme="minorHAnsi"/>
          <w:sz w:val="24"/>
          <w:szCs w:val="24"/>
        </w:rPr>
      </w:pPr>
      <w:r w:rsidRPr="00781FFF">
        <w:rPr>
          <w:rFonts w:cstheme="minorHAnsi"/>
          <w:sz w:val="24"/>
          <w:szCs w:val="24"/>
        </w:rPr>
        <w:t xml:space="preserve">The share of </w:t>
      </w:r>
      <w:r w:rsidR="00255FFF" w:rsidRPr="00781FFF">
        <w:rPr>
          <w:rFonts w:cstheme="minorHAnsi"/>
          <w:sz w:val="24"/>
          <w:szCs w:val="24"/>
        </w:rPr>
        <w:t>persons who declared Bulgarian as their native</w:t>
      </w:r>
      <w:r w:rsidRPr="00781FFF">
        <w:rPr>
          <w:rFonts w:cstheme="minorHAnsi"/>
          <w:sz w:val="24"/>
          <w:szCs w:val="24"/>
        </w:rPr>
        <w:t xml:space="preserve"> </w:t>
      </w:r>
      <w:r w:rsidR="00255FFF" w:rsidRPr="00781FFF">
        <w:rPr>
          <w:rFonts w:cstheme="minorHAnsi"/>
          <w:sz w:val="24"/>
          <w:szCs w:val="24"/>
        </w:rPr>
        <w:t xml:space="preserve">language </w:t>
      </w:r>
      <w:r w:rsidRPr="00781FFF">
        <w:rPr>
          <w:rFonts w:cstheme="minorHAnsi"/>
          <w:b/>
          <w:sz w:val="24"/>
          <w:szCs w:val="24"/>
          <w:u w:val="single"/>
        </w:rPr>
        <w:t>declined</w:t>
      </w:r>
      <w:r w:rsidRPr="00781FFF">
        <w:rPr>
          <w:rFonts w:cstheme="minorHAnsi"/>
          <w:sz w:val="24"/>
          <w:szCs w:val="24"/>
        </w:rPr>
        <w:t xml:space="preserve"> from </w:t>
      </w:r>
      <w:r w:rsidR="00255FFF" w:rsidRPr="00781FFF">
        <w:rPr>
          <w:rFonts w:cstheme="minorHAnsi"/>
          <w:sz w:val="24"/>
          <w:szCs w:val="24"/>
        </w:rPr>
        <w:t>1.62</w:t>
      </w:r>
      <w:r w:rsidRPr="00781FFF">
        <w:rPr>
          <w:rFonts w:cstheme="minorHAnsi"/>
          <w:sz w:val="24"/>
          <w:szCs w:val="24"/>
        </w:rPr>
        <w:t xml:space="preserve">% in 2004 to </w:t>
      </w:r>
      <w:r w:rsidR="00255FFF" w:rsidRPr="00781FFF">
        <w:rPr>
          <w:rFonts w:cstheme="minorHAnsi"/>
          <w:sz w:val="24"/>
          <w:szCs w:val="24"/>
        </w:rPr>
        <w:t>1.53</w:t>
      </w:r>
      <w:r w:rsidRPr="00781FFF">
        <w:rPr>
          <w:rFonts w:cstheme="minorHAnsi"/>
          <w:sz w:val="24"/>
          <w:szCs w:val="24"/>
        </w:rPr>
        <w:t xml:space="preserve">% in 2014 of the Moldova’s population who declared their </w:t>
      </w:r>
      <w:r w:rsidR="00255FFF" w:rsidRPr="00781FFF">
        <w:rPr>
          <w:rFonts w:cstheme="minorHAnsi"/>
          <w:sz w:val="24"/>
          <w:szCs w:val="24"/>
        </w:rPr>
        <w:t>native language</w:t>
      </w:r>
      <w:r w:rsidRPr="00781FFF">
        <w:rPr>
          <w:rFonts w:cstheme="minorHAnsi"/>
          <w:sz w:val="24"/>
          <w:szCs w:val="24"/>
        </w:rPr>
        <w:t xml:space="preserve">, i.e. a relative decline of </w:t>
      </w:r>
      <w:r w:rsidR="00255FFF" w:rsidRPr="00781FFF">
        <w:rPr>
          <w:rFonts w:cstheme="minorHAnsi"/>
          <w:sz w:val="24"/>
          <w:szCs w:val="24"/>
        </w:rPr>
        <w:t xml:space="preserve">circa </w:t>
      </w:r>
      <w:r w:rsidRPr="00781FFF">
        <w:rPr>
          <w:rFonts w:cstheme="minorHAnsi"/>
          <w:sz w:val="24"/>
          <w:szCs w:val="24"/>
        </w:rPr>
        <w:t xml:space="preserve">5% (the </w:t>
      </w:r>
      <w:r w:rsidR="00255FFF" w:rsidRPr="00781FFF">
        <w:rPr>
          <w:rFonts w:cstheme="minorHAnsi"/>
          <w:sz w:val="24"/>
          <w:szCs w:val="24"/>
        </w:rPr>
        <w:t>share for 2014 to 2004).</w:t>
      </w:r>
    </w:p>
    <w:p w:rsidR="00781FFF" w:rsidRPr="00781FFF" w:rsidRDefault="00255FFF" w:rsidP="00781FFF">
      <w:pPr>
        <w:spacing w:after="60" w:line="247" w:lineRule="auto"/>
        <w:jc w:val="both"/>
        <w:rPr>
          <w:rFonts w:cstheme="minorHAnsi"/>
          <w:sz w:val="24"/>
          <w:szCs w:val="24"/>
        </w:rPr>
      </w:pPr>
      <w:r w:rsidRPr="00781FFF">
        <w:rPr>
          <w:rFonts w:cstheme="minorHAnsi"/>
          <w:sz w:val="24"/>
          <w:szCs w:val="24"/>
        </w:rPr>
        <w:t xml:space="preserve">We anticipate that the 2024 census </w:t>
      </w:r>
      <w:r w:rsidR="00781FFF" w:rsidRPr="00781FFF">
        <w:rPr>
          <w:rFonts w:cstheme="minorHAnsi"/>
          <w:sz w:val="24"/>
          <w:szCs w:val="24"/>
        </w:rPr>
        <w:t>data unfolding in Moldova</w:t>
      </w:r>
      <w:r w:rsidRPr="00781FFF">
        <w:rPr>
          <w:rFonts w:cstheme="minorHAnsi"/>
          <w:sz w:val="24"/>
          <w:szCs w:val="24"/>
        </w:rPr>
        <w:t xml:space="preserve"> now will show a similar trend.</w:t>
      </w:r>
    </w:p>
    <w:p w:rsidR="00CC7245" w:rsidRPr="00781FFF" w:rsidRDefault="00F82515" w:rsidP="00781FFF">
      <w:pPr>
        <w:spacing w:after="60" w:line="247" w:lineRule="auto"/>
        <w:jc w:val="both"/>
        <w:rPr>
          <w:rFonts w:cstheme="minorHAnsi"/>
          <w:sz w:val="24"/>
          <w:szCs w:val="24"/>
        </w:rPr>
      </w:pPr>
      <w:r w:rsidRPr="00781FFF">
        <w:rPr>
          <w:rFonts w:cstheme="minorHAnsi"/>
          <w:sz w:val="24"/>
          <w:szCs w:val="24"/>
        </w:rPr>
        <w:t xml:space="preserve">  </w:t>
      </w:r>
    </w:p>
    <w:p w:rsidR="00D71B0B" w:rsidRPr="00781FFF" w:rsidRDefault="004A3273" w:rsidP="00781FFF">
      <w:pPr>
        <w:spacing w:after="60" w:line="247" w:lineRule="auto"/>
        <w:jc w:val="center"/>
        <w:rPr>
          <w:rFonts w:cstheme="minorHAnsi"/>
          <w:sz w:val="24"/>
          <w:szCs w:val="24"/>
          <w:u w:val="single"/>
        </w:rPr>
      </w:pPr>
      <w:r w:rsidRPr="00781FFF">
        <w:rPr>
          <w:rFonts w:cstheme="minorHAnsi"/>
          <w:sz w:val="24"/>
          <w:szCs w:val="24"/>
          <w:u w:val="single"/>
        </w:rPr>
        <w:t>CONCLUSION</w:t>
      </w:r>
    </w:p>
    <w:p w:rsidR="00255FFF" w:rsidRPr="00781FFF" w:rsidRDefault="00D46F29" w:rsidP="00781FFF">
      <w:pPr>
        <w:spacing w:after="60" w:line="247" w:lineRule="auto"/>
        <w:jc w:val="both"/>
        <w:rPr>
          <w:rFonts w:cstheme="minorHAnsi"/>
          <w:sz w:val="24"/>
          <w:szCs w:val="24"/>
        </w:rPr>
      </w:pPr>
      <w:r w:rsidRPr="00781FFF">
        <w:rPr>
          <w:rFonts w:cstheme="minorHAnsi"/>
          <w:sz w:val="24"/>
          <w:szCs w:val="24"/>
        </w:rPr>
        <w:t>As described in the section concerning existing institutional arrangements, t</w:t>
      </w:r>
      <w:r w:rsidR="004A3273" w:rsidRPr="00781FFF">
        <w:rPr>
          <w:rFonts w:cstheme="minorHAnsi"/>
          <w:sz w:val="24"/>
          <w:szCs w:val="24"/>
        </w:rPr>
        <w:t>he overall approach adopted by the Moldovan authorities is dealing with ethnic and linguistic minority issues</w:t>
      </w:r>
      <w:r w:rsidRPr="00781FFF">
        <w:rPr>
          <w:rFonts w:cstheme="minorHAnsi"/>
          <w:sz w:val="24"/>
          <w:szCs w:val="24"/>
        </w:rPr>
        <w:t xml:space="preserve"> as a separate (and marginal) “field” of public affairs, rather than as an important dimension of all mainstream areas, such as education, healthcare, social protection, internal protection, justice, etc. This approach alienates the </w:t>
      </w:r>
      <w:r w:rsidR="00255FFF" w:rsidRPr="00781FFF">
        <w:rPr>
          <w:rFonts w:cstheme="minorHAnsi"/>
          <w:sz w:val="24"/>
          <w:szCs w:val="24"/>
        </w:rPr>
        <w:t>minority</w:t>
      </w:r>
      <w:r w:rsidRPr="00781FFF">
        <w:rPr>
          <w:rFonts w:cstheme="minorHAnsi"/>
          <w:sz w:val="24"/>
          <w:szCs w:val="24"/>
        </w:rPr>
        <w:t xml:space="preserve"> issues and the minorities</w:t>
      </w:r>
      <w:r w:rsidR="00255FFF" w:rsidRPr="00781FFF">
        <w:rPr>
          <w:rFonts w:cstheme="minorHAnsi"/>
          <w:sz w:val="24"/>
          <w:szCs w:val="24"/>
        </w:rPr>
        <w:t xml:space="preserve"> themselves</w:t>
      </w:r>
      <w:r w:rsidRPr="00781FFF">
        <w:rPr>
          <w:rFonts w:cstheme="minorHAnsi"/>
          <w:sz w:val="24"/>
          <w:szCs w:val="24"/>
        </w:rPr>
        <w:t xml:space="preserve">. </w:t>
      </w:r>
      <w:r w:rsidR="00255FFF" w:rsidRPr="00781FFF">
        <w:rPr>
          <w:rFonts w:cstheme="minorHAnsi"/>
          <w:sz w:val="24"/>
          <w:szCs w:val="24"/>
        </w:rPr>
        <w:t>An opposite approach – active mainstreaming of minority dimension into all public affairs and accommodation of minority diversities – has not been implemented so far. At the same time, t</w:t>
      </w:r>
      <w:r w:rsidRPr="00781FFF">
        <w:rPr>
          <w:rFonts w:cstheme="minorHAnsi"/>
          <w:sz w:val="24"/>
          <w:szCs w:val="24"/>
        </w:rPr>
        <w:t xml:space="preserve">he described positive developments show that active inclusion of minorities into the </w:t>
      </w:r>
      <w:r w:rsidRPr="00781FFF">
        <w:rPr>
          <w:rFonts w:cstheme="minorHAnsi"/>
          <w:sz w:val="24"/>
          <w:szCs w:val="24"/>
        </w:rPr>
        <w:lastRenderedPageBreak/>
        <w:t>composition of decision-making bodies or through establishment of minority advisory bodies genuinely connected to the decision-making process yields positive results.</w:t>
      </w:r>
    </w:p>
    <w:p w:rsidR="004A3273" w:rsidRPr="00781FFF" w:rsidRDefault="00255FFF" w:rsidP="00781FFF">
      <w:pPr>
        <w:spacing w:after="60" w:line="247" w:lineRule="auto"/>
        <w:jc w:val="both"/>
        <w:rPr>
          <w:rFonts w:cstheme="minorHAnsi"/>
          <w:sz w:val="24"/>
          <w:szCs w:val="24"/>
        </w:rPr>
      </w:pPr>
      <w:r w:rsidRPr="00781FFF">
        <w:rPr>
          <w:rFonts w:cstheme="minorHAnsi"/>
          <w:sz w:val="24"/>
          <w:szCs w:val="24"/>
        </w:rPr>
        <w:t xml:space="preserve">The statistical and census data from Moldova clearly demonstrate that provision of substantial territorial and administrative autonomy (like the one of </w:t>
      </w:r>
      <w:proofErr w:type="spellStart"/>
      <w:r w:rsidRPr="00781FFF">
        <w:rPr>
          <w:rFonts w:cstheme="minorHAnsi"/>
          <w:sz w:val="24"/>
          <w:szCs w:val="24"/>
        </w:rPr>
        <w:t>Gagauzia</w:t>
      </w:r>
      <w:proofErr w:type="spellEnd"/>
      <w:r w:rsidRPr="00781FFF">
        <w:rPr>
          <w:rFonts w:cstheme="minorHAnsi"/>
          <w:sz w:val="24"/>
          <w:szCs w:val="24"/>
        </w:rPr>
        <w:t xml:space="preserve">) results in significantly better outcomes than the non-provision of the autonomy </w:t>
      </w:r>
      <w:r w:rsidR="009B1306" w:rsidRPr="00781FFF">
        <w:rPr>
          <w:rFonts w:cstheme="minorHAnsi"/>
          <w:sz w:val="24"/>
          <w:szCs w:val="24"/>
        </w:rPr>
        <w:t>(as i</w:t>
      </w:r>
      <w:r w:rsidR="00847F97">
        <w:rPr>
          <w:rFonts w:cstheme="minorHAnsi"/>
          <w:sz w:val="24"/>
          <w:szCs w:val="24"/>
        </w:rPr>
        <w:t>n</w:t>
      </w:r>
      <w:r w:rsidRPr="00781FFF">
        <w:rPr>
          <w:rFonts w:cstheme="minorHAnsi"/>
          <w:sz w:val="24"/>
          <w:szCs w:val="24"/>
        </w:rPr>
        <w:t xml:space="preserve"> the case of </w:t>
      </w:r>
      <w:r w:rsidR="00781FFF" w:rsidRPr="00781FFF">
        <w:rPr>
          <w:rFonts w:cstheme="minorHAnsi"/>
          <w:sz w:val="24"/>
          <w:szCs w:val="24"/>
        </w:rPr>
        <w:t xml:space="preserve">ethnic </w:t>
      </w:r>
      <w:r w:rsidR="009B1306" w:rsidRPr="00781FFF">
        <w:rPr>
          <w:rFonts w:cstheme="minorHAnsi"/>
          <w:sz w:val="24"/>
          <w:szCs w:val="24"/>
        </w:rPr>
        <w:t xml:space="preserve">Bulgarians in </w:t>
      </w:r>
      <w:r w:rsidR="00847F97">
        <w:rPr>
          <w:rFonts w:cstheme="minorHAnsi"/>
          <w:sz w:val="24"/>
          <w:szCs w:val="24"/>
        </w:rPr>
        <w:t xml:space="preserve">the south of </w:t>
      </w:r>
      <w:r w:rsidR="009B1306" w:rsidRPr="00781FFF">
        <w:rPr>
          <w:rFonts w:cstheme="minorHAnsi"/>
          <w:sz w:val="24"/>
          <w:szCs w:val="24"/>
        </w:rPr>
        <w:t>Moldova)</w:t>
      </w:r>
      <w:r w:rsidRPr="00781FFF">
        <w:rPr>
          <w:rFonts w:cstheme="minorHAnsi"/>
          <w:sz w:val="24"/>
          <w:szCs w:val="24"/>
        </w:rPr>
        <w:t>.</w:t>
      </w:r>
      <w:r w:rsidR="009B1306" w:rsidRPr="00781FFF">
        <w:rPr>
          <w:rFonts w:cstheme="minorHAnsi"/>
          <w:sz w:val="24"/>
          <w:szCs w:val="24"/>
        </w:rPr>
        <w:t xml:space="preserve"> The data show the decline of Bulgarians in Moldova, both in terms of their numbers and of the Bulgarian language</w:t>
      </w:r>
      <w:r w:rsidR="00847F97">
        <w:rPr>
          <w:rFonts w:cstheme="minorHAnsi"/>
          <w:sz w:val="24"/>
          <w:szCs w:val="24"/>
        </w:rPr>
        <w:t xml:space="preserve"> speakers</w:t>
      </w:r>
      <w:r w:rsidR="009B1306" w:rsidRPr="00781FFF">
        <w:rPr>
          <w:rFonts w:cstheme="minorHAnsi"/>
          <w:sz w:val="24"/>
          <w:szCs w:val="24"/>
        </w:rPr>
        <w:t xml:space="preserve">. In contrast the situation of </w:t>
      </w:r>
      <w:proofErr w:type="spellStart"/>
      <w:r w:rsidR="009B1306" w:rsidRPr="00781FFF">
        <w:rPr>
          <w:rFonts w:cstheme="minorHAnsi"/>
          <w:sz w:val="24"/>
          <w:szCs w:val="24"/>
        </w:rPr>
        <w:t>Gagauzians</w:t>
      </w:r>
      <w:proofErr w:type="spellEnd"/>
      <w:r w:rsidR="009B1306" w:rsidRPr="00781FFF">
        <w:rPr>
          <w:rFonts w:cstheme="minorHAnsi"/>
          <w:sz w:val="24"/>
          <w:szCs w:val="24"/>
        </w:rPr>
        <w:t xml:space="preserve"> in Moldova in terms of their numbers and </w:t>
      </w:r>
      <w:proofErr w:type="spellStart"/>
      <w:r w:rsidR="009B1306" w:rsidRPr="00781FFF">
        <w:rPr>
          <w:rFonts w:cstheme="minorHAnsi"/>
          <w:sz w:val="24"/>
          <w:szCs w:val="24"/>
        </w:rPr>
        <w:t>Gagauzian</w:t>
      </w:r>
      <w:proofErr w:type="spellEnd"/>
      <w:r w:rsidR="009B1306" w:rsidRPr="00781FFF">
        <w:rPr>
          <w:rFonts w:cstheme="minorHAnsi"/>
          <w:sz w:val="24"/>
          <w:szCs w:val="24"/>
        </w:rPr>
        <w:t xml:space="preserve"> language is significantly better (in our view, mostly due to the autonomous status of </w:t>
      </w:r>
      <w:proofErr w:type="spellStart"/>
      <w:r w:rsidR="009B1306" w:rsidRPr="00781FFF">
        <w:rPr>
          <w:rFonts w:cstheme="minorHAnsi"/>
          <w:sz w:val="24"/>
          <w:szCs w:val="24"/>
        </w:rPr>
        <w:t>Gagauzia</w:t>
      </w:r>
      <w:proofErr w:type="spellEnd"/>
      <w:r w:rsidR="009B1306" w:rsidRPr="00781FFF">
        <w:rPr>
          <w:rFonts w:cstheme="minorHAnsi"/>
          <w:sz w:val="24"/>
          <w:szCs w:val="24"/>
        </w:rPr>
        <w:t xml:space="preserve">). The socio-economic indicators for the </w:t>
      </w:r>
      <w:r w:rsidR="00847F97">
        <w:rPr>
          <w:rFonts w:cstheme="minorHAnsi"/>
          <w:sz w:val="24"/>
          <w:szCs w:val="24"/>
        </w:rPr>
        <w:t>“</w:t>
      </w:r>
      <w:r w:rsidR="009B1306" w:rsidRPr="00781FFF">
        <w:rPr>
          <w:rFonts w:cstheme="minorHAnsi"/>
          <w:sz w:val="24"/>
          <w:szCs w:val="24"/>
        </w:rPr>
        <w:t>Bulgarian</w:t>
      </w:r>
      <w:r w:rsidR="00847F97">
        <w:rPr>
          <w:rFonts w:cstheme="minorHAnsi"/>
          <w:sz w:val="24"/>
          <w:szCs w:val="24"/>
        </w:rPr>
        <w:t>”</w:t>
      </w:r>
      <w:r w:rsidR="009B1306" w:rsidRPr="00781FFF">
        <w:rPr>
          <w:rFonts w:cstheme="minorHAnsi"/>
          <w:sz w:val="24"/>
          <w:szCs w:val="24"/>
        </w:rPr>
        <w:t xml:space="preserve"> </w:t>
      </w:r>
      <w:proofErr w:type="spellStart"/>
      <w:r w:rsidR="009B1306" w:rsidRPr="00781FFF">
        <w:rPr>
          <w:rFonts w:cstheme="minorHAnsi"/>
          <w:sz w:val="24"/>
          <w:szCs w:val="24"/>
        </w:rPr>
        <w:t>Taraclia</w:t>
      </w:r>
      <w:proofErr w:type="spellEnd"/>
      <w:r w:rsidR="009B1306" w:rsidRPr="00781FFF">
        <w:rPr>
          <w:rFonts w:cstheme="minorHAnsi"/>
          <w:sz w:val="24"/>
          <w:szCs w:val="24"/>
        </w:rPr>
        <w:t xml:space="preserve"> district (birth and death rates, employment and unemployment rates, educational rates, healthcare related rates, etc</w:t>
      </w:r>
      <w:r w:rsidR="0070124A">
        <w:rPr>
          <w:rFonts w:cstheme="minorHAnsi"/>
          <w:sz w:val="24"/>
          <w:szCs w:val="24"/>
        </w:rPr>
        <w:t>.</w:t>
      </w:r>
      <w:r w:rsidR="009B1306" w:rsidRPr="00781FFF">
        <w:rPr>
          <w:rFonts w:cstheme="minorHAnsi"/>
          <w:sz w:val="24"/>
          <w:szCs w:val="24"/>
        </w:rPr>
        <w:t xml:space="preserve">) are also significantly worse than those of </w:t>
      </w:r>
      <w:proofErr w:type="spellStart"/>
      <w:r w:rsidR="009B1306" w:rsidRPr="00781FFF">
        <w:rPr>
          <w:rFonts w:cstheme="minorHAnsi"/>
          <w:sz w:val="24"/>
          <w:szCs w:val="24"/>
        </w:rPr>
        <w:t>Gagauzia</w:t>
      </w:r>
      <w:proofErr w:type="spellEnd"/>
      <w:r w:rsidR="009B1306" w:rsidRPr="00781FFF">
        <w:rPr>
          <w:rFonts w:cstheme="minorHAnsi"/>
          <w:sz w:val="24"/>
          <w:szCs w:val="24"/>
        </w:rPr>
        <w:t xml:space="preserve">. To conclude, in case of Moldova provision of strong territorial and administrative autonomy </w:t>
      </w:r>
      <w:r w:rsidR="00847F97">
        <w:rPr>
          <w:rFonts w:cstheme="minorHAnsi"/>
          <w:sz w:val="24"/>
          <w:szCs w:val="24"/>
        </w:rPr>
        <w:t>results into</w:t>
      </w:r>
      <w:r w:rsidR="00847F97" w:rsidRPr="00781FFF">
        <w:rPr>
          <w:rFonts w:cstheme="minorHAnsi"/>
          <w:sz w:val="24"/>
          <w:szCs w:val="24"/>
        </w:rPr>
        <w:t xml:space="preserve"> </w:t>
      </w:r>
      <w:r w:rsidR="009B1306" w:rsidRPr="00781FFF">
        <w:rPr>
          <w:rFonts w:cstheme="minorHAnsi"/>
          <w:sz w:val="24"/>
          <w:szCs w:val="24"/>
        </w:rPr>
        <w:t xml:space="preserve">significantly better outcomes for the minority communities. </w:t>
      </w:r>
    </w:p>
    <w:p w:rsidR="004A3273" w:rsidRPr="00781FFF" w:rsidRDefault="004A3273" w:rsidP="00781FFF">
      <w:pPr>
        <w:spacing w:after="60" w:line="247" w:lineRule="auto"/>
        <w:jc w:val="both"/>
        <w:rPr>
          <w:rFonts w:cstheme="minorHAnsi"/>
          <w:sz w:val="24"/>
          <w:szCs w:val="24"/>
        </w:rPr>
      </w:pPr>
    </w:p>
    <w:sectPr w:rsidR="004A3273" w:rsidRPr="00781FFF" w:rsidSect="00911862">
      <w:footerReference w:type="default" r:id="rId8"/>
      <w:pgSz w:w="12240" w:h="15840"/>
      <w:pgMar w:top="1440" w:right="1440" w:bottom="1440" w:left="1440" w:header="720" w:footer="724"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7EC791" w15:done="0"/>
  <w15:commentEx w15:paraId="43B6E25B" w15:done="0"/>
  <w15:commentEx w15:paraId="120D845A" w15:done="0"/>
  <w15:commentEx w15:paraId="743729A9" w15:done="0"/>
  <w15:commentEx w15:paraId="07B47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D5C179" w16cex:dateUtc="2024-05-09T18:28:00Z"/>
  <w16cex:commentExtensible w16cex:durableId="10B7303F" w16cex:dateUtc="2024-05-09T18:39:00Z"/>
  <w16cex:commentExtensible w16cex:durableId="3C1C80C4" w16cex:dateUtc="2024-05-09T18:56:00Z"/>
  <w16cex:commentExtensible w16cex:durableId="75555529" w16cex:dateUtc="2024-05-09T19:26:00Z"/>
  <w16cex:commentExtensible w16cex:durableId="392DF33F" w16cex:dateUtc="2024-05-09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7EC791" w16cid:durableId="1FD5C179"/>
  <w16cid:commentId w16cid:paraId="43B6E25B" w16cid:durableId="10B7303F"/>
  <w16cid:commentId w16cid:paraId="120D845A" w16cid:durableId="3C1C80C4"/>
  <w16cid:commentId w16cid:paraId="743729A9" w16cid:durableId="75555529"/>
  <w16cid:commentId w16cid:paraId="07B47D7B" w16cid:durableId="392DF33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6A4" w:rsidRDefault="00AB36A4" w:rsidP="00AC034B">
      <w:pPr>
        <w:spacing w:after="0" w:line="240" w:lineRule="auto"/>
      </w:pPr>
      <w:r>
        <w:separator/>
      </w:r>
    </w:p>
  </w:endnote>
  <w:endnote w:type="continuationSeparator" w:id="0">
    <w:p w:rsidR="00AB36A4" w:rsidRDefault="00AB36A4" w:rsidP="00AC0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192194"/>
      <w:docPartObj>
        <w:docPartGallery w:val="Page Numbers (Bottom of Page)"/>
        <w:docPartUnique/>
      </w:docPartObj>
    </w:sdtPr>
    <w:sdtContent>
      <w:p w:rsidR="00B51496" w:rsidRDefault="00B51496">
        <w:pPr>
          <w:pStyle w:val="Footer"/>
          <w:jc w:val="right"/>
        </w:pPr>
        <w:r>
          <w:t xml:space="preserve">Page | </w:t>
        </w:r>
        <w:fldSimple w:instr=" PAGE   \* MERGEFORMAT ">
          <w:r w:rsidR="008762CF">
            <w:rPr>
              <w:noProof/>
            </w:rPr>
            <w:t>7</w:t>
          </w:r>
        </w:fldSimple>
        <w:r>
          <w:t xml:space="preserve"> </w:t>
        </w:r>
      </w:p>
    </w:sdtContent>
  </w:sdt>
  <w:p w:rsidR="00B51496" w:rsidRDefault="00B51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6A4" w:rsidRDefault="00AB36A4" w:rsidP="00AC034B">
      <w:pPr>
        <w:spacing w:after="0" w:line="240" w:lineRule="auto"/>
      </w:pPr>
      <w:r>
        <w:separator/>
      </w:r>
    </w:p>
  </w:footnote>
  <w:footnote w:type="continuationSeparator" w:id="0">
    <w:p w:rsidR="00AB36A4" w:rsidRDefault="00AB36A4" w:rsidP="00AC034B">
      <w:pPr>
        <w:spacing w:after="0" w:line="240" w:lineRule="auto"/>
      </w:pPr>
      <w:r>
        <w:continuationSeparator/>
      </w:r>
    </w:p>
  </w:footnote>
  <w:footnote w:id="1">
    <w:p w:rsidR="00B51496" w:rsidRDefault="00B51496">
      <w:pPr>
        <w:pStyle w:val="FootnoteText"/>
      </w:pPr>
      <w:r>
        <w:rPr>
          <w:rStyle w:val="FootnoteReference"/>
        </w:rPr>
        <w:footnoteRef/>
      </w:r>
      <w:r>
        <w:t xml:space="preserve"> </w:t>
      </w:r>
      <w:r w:rsidR="00204C94">
        <w:t xml:space="preserve">Agency of Interethnic Relations, </w:t>
      </w:r>
      <w:r w:rsidR="00204C94" w:rsidRPr="00204C94">
        <w:rPr>
          <w:i/>
        </w:rPr>
        <w:t>About the Agency of Interethnic Relations</w:t>
      </w:r>
      <w:r w:rsidR="00204C94">
        <w:t xml:space="preserve"> section of the Agency’s website, </w:t>
      </w:r>
      <w:hyperlink r:id="rId1" w:history="1">
        <w:r w:rsidR="00204C94" w:rsidRPr="005036B5">
          <w:rPr>
            <w:rStyle w:val="Hyperlink"/>
          </w:rPr>
          <w:t>https://www.bri.gov.md/ro/content/despre-agen%C8%9Bia-rela%C8%9Bii-interetnice</w:t>
        </w:r>
      </w:hyperlink>
      <w:r w:rsidR="00204C94">
        <w:t xml:space="preserve"> </w:t>
      </w:r>
      <w:r>
        <w:t xml:space="preserve"> </w:t>
      </w:r>
    </w:p>
  </w:footnote>
  <w:footnote w:id="2">
    <w:p w:rsidR="00B51496" w:rsidRDefault="00B51496">
      <w:pPr>
        <w:pStyle w:val="FootnoteText"/>
      </w:pPr>
      <w:r>
        <w:rPr>
          <w:rStyle w:val="FootnoteReference"/>
        </w:rPr>
        <w:footnoteRef/>
      </w:r>
      <w:r w:rsidR="00204C94">
        <w:t xml:space="preserve"> Parliament of Moldova, Standing Commission of the Parliament on Human Rights and Inter-Ethnic Relations </w:t>
      </w:r>
      <w:hyperlink r:id="rId2" w:history="1">
        <w:r w:rsidR="00204C94" w:rsidRPr="005036B5">
          <w:rPr>
            <w:rStyle w:val="Hyperlink"/>
          </w:rPr>
          <w:t>https://www.parlament.md/StructuraParlamentului/SecretariateleComisiilorpermanente/tabid/84/CommissionId/42/language/en-US/Default.aspx</w:t>
        </w:r>
      </w:hyperlink>
      <w:r w:rsidR="00204C94">
        <w:t xml:space="preserve"> </w:t>
      </w:r>
    </w:p>
  </w:footnote>
  <w:footnote w:id="3">
    <w:p w:rsidR="00B51496" w:rsidRDefault="00B51496">
      <w:pPr>
        <w:pStyle w:val="FootnoteText"/>
      </w:pPr>
      <w:r>
        <w:rPr>
          <w:rStyle w:val="FootnoteReference"/>
        </w:rPr>
        <w:footnoteRef/>
      </w:r>
      <w:r>
        <w:t xml:space="preserve"> Ibid.</w:t>
      </w:r>
    </w:p>
  </w:footnote>
  <w:footnote w:id="4">
    <w:p w:rsidR="00B51496" w:rsidRDefault="00B51496">
      <w:pPr>
        <w:pStyle w:val="FootnoteText"/>
      </w:pPr>
      <w:r>
        <w:rPr>
          <w:rStyle w:val="FootnoteReference"/>
        </w:rPr>
        <w:footnoteRef/>
      </w:r>
      <w:r w:rsidR="00204C94">
        <w:t xml:space="preserve"> </w:t>
      </w:r>
      <w:r w:rsidR="00DC213E">
        <w:t xml:space="preserve">Parliament of Moldova, </w:t>
      </w:r>
      <w:r w:rsidR="00DC213E" w:rsidRPr="00DC213E">
        <w:rPr>
          <w:i/>
        </w:rPr>
        <w:t>National Human Rights Action Plan for 2018-2022</w:t>
      </w:r>
      <w:r w:rsidR="00DC213E">
        <w:t xml:space="preserve">, </w:t>
      </w:r>
      <w:r>
        <w:t xml:space="preserve"> </w:t>
      </w:r>
      <w:hyperlink r:id="rId3" w:history="1">
        <w:r w:rsidRPr="0044482C">
          <w:rPr>
            <w:rStyle w:val="Hyperlink"/>
          </w:rPr>
          <w:t>http://lex.justice.md/index.php?action=view&amp;view=doc&amp;lang=1&amp;id=376768</w:t>
        </w:r>
      </w:hyperlink>
      <w:r>
        <w:t xml:space="preserve"> </w:t>
      </w:r>
    </w:p>
  </w:footnote>
  <w:footnote w:id="5">
    <w:p w:rsidR="00B51496" w:rsidRPr="00BE2304" w:rsidRDefault="00B51496">
      <w:pPr>
        <w:pStyle w:val="FootnoteText"/>
      </w:pPr>
      <w:r>
        <w:rPr>
          <w:rStyle w:val="FootnoteReference"/>
        </w:rPr>
        <w:footnoteRef/>
      </w:r>
      <w:r>
        <w:t xml:space="preserve"> </w:t>
      </w:r>
      <w:r w:rsidRPr="00BE2304">
        <w:t>National Human Rights Action Plan 2018-2022</w:t>
      </w:r>
      <w:r w:rsidRPr="004E348D">
        <w:t xml:space="preserve"> </w:t>
      </w:r>
      <w:r w:rsidRPr="00BE2304">
        <w:t>Evaluation Report</w:t>
      </w:r>
      <w:r w:rsidRPr="004E348D">
        <w:t xml:space="preserve"> (2023)</w:t>
      </w:r>
      <w:r>
        <w:t>, p. 70</w:t>
      </w:r>
      <w:r w:rsidRPr="004E348D">
        <w:t xml:space="preserve">: </w:t>
      </w:r>
      <w:hyperlink r:id="rId4" w:history="1">
        <w:r w:rsidRPr="00C86A85">
          <w:rPr>
            <w:rStyle w:val="Hyperlink"/>
          </w:rPr>
          <w:t>https://cancelaria.gov.md/sites/default/files/raport_de_evaluare_pnado_2018-2022.pdf</w:t>
        </w:r>
      </w:hyperlink>
      <w:r w:rsidRPr="004E348D">
        <w:t xml:space="preserve"> </w:t>
      </w:r>
    </w:p>
  </w:footnote>
  <w:footnote w:id="6">
    <w:p w:rsidR="00B51496" w:rsidRDefault="00B51496">
      <w:pPr>
        <w:pStyle w:val="FootnoteText"/>
      </w:pPr>
      <w:r>
        <w:rPr>
          <w:rStyle w:val="FootnoteReference"/>
        </w:rPr>
        <w:footnoteRef/>
      </w:r>
      <w:r>
        <w:t xml:space="preserve"> Communication by a member of the Equality Council at the meeting of the Expert Group in January 2024</w:t>
      </w:r>
    </w:p>
  </w:footnote>
  <w:footnote w:id="7">
    <w:p w:rsidR="00B51496" w:rsidRPr="00295D7B" w:rsidRDefault="00B51496">
      <w:pPr>
        <w:pStyle w:val="FootnoteText"/>
      </w:pPr>
      <w:r>
        <w:rPr>
          <w:rStyle w:val="FootnoteReference"/>
        </w:rPr>
        <w:footnoteRef/>
      </w:r>
      <w:r>
        <w:t xml:space="preserve"> Art. 11, part (6), letter c) of the Law on Ensuring Equality No. 121/2012: </w:t>
      </w:r>
      <w:hyperlink r:id="rId5" w:history="1">
        <w:r w:rsidRPr="00C86A85">
          <w:rPr>
            <w:rStyle w:val="Hyperlink"/>
          </w:rPr>
          <w:t>https://www.legis.md/cautare/getResults?doc_id=141518&amp;lang=ro</w:t>
        </w:r>
      </w:hyperlink>
      <w:r>
        <w:t xml:space="preserve"> </w:t>
      </w:r>
    </w:p>
  </w:footnote>
  <w:footnote w:id="8">
    <w:p w:rsidR="00B51496" w:rsidRDefault="00B51496" w:rsidP="004A3273">
      <w:pPr>
        <w:pStyle w:val="FootnoteText"/>
      </w:pPr>
      <w:r>
        <w:rPr>
          <w:rStyle w:val="FootnoteReference"/>
        </w:rPr>
        <w:footnoteRef/>
      </w:r>
      <w:r>
        <w:t xml:space="preserve"> </w:t>
      </w:r>
      <w:proofErr w:type="gramStart"/>
      <w:r>
        <w:t>Para.</w:t>
      </w:r>
      <w:proofErr w:type="gramEnd"/>
      <w:r>
        <w:t xml:space="preserve"> 40 of the Ruling: </w:t>
      </w:r>
      <w:hyperlink r:id="rId6" w:history="1">
        <w:r w:rsidRPr="00C86A85">
          <w:rPr>
            <w:rStyle w:val="Hyperlink"/>
          </w:rPr>
          <w:t>https://constcourt.md/ccdocview.php?l=ro&amp;tip=hotariri&amp;docid=757</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56F"/>
    <w:multiLevelType w:val="hybridMultilevel"/>
    <w:tmpl w:val="CEDC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82D6B"/>
    <w:multiLevelType w:val="hybridMultilevel"/>
    <w:tmpl w:val="37CE66C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nsid w:val="34AB3F03"/>
    <w:multiLevelType w:val="hybridMultilevel"/>
    <w:tmpl w:val="1CC2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AE30DC"/>
    <w:multiLevelType w:val="hybridMultilevel"/>
    <w:tmpl w:val="37F07F76"/>
    <w:lvl w:ilvl="0" w:tplc="00FE73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AB31A7"/>
    <w:multiLevelType w:val="hybridMultilevel"/>
    <w:tmpl w:val="05F8457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nsid w:val="61490342"/>
    <w:multiLevelType w:val="hybridMultilevel"/>
    <w:tmpl w:val="4FE4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ghenii Alexandrovici Goloșceapov">
    <w15:presenceInfo w15:providerId="AD" w15:userId="S::e.golosceapov@initiativapozitiva.md::a9c05580-56d7-435e-a656-86fda8e1a3e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BB70F5"/>
    <w:rsid w:val="000050D6"/>
    <w:rsid w:val="000060D6"/>
    <w:rsid w:val="000727DE"/>
    <w:rsid w:val="00076F65"/>
    <w:rsid w:val="000D04B7"/>
    <w:rsid w:val="00175B7E"/>
    <w:rsid w:val="001A2A53"/>
    <w:rsid w:val="002017F6"/>
    <w:rsid w:val="00204C94"/>
    <w:rsid w:val="00255FFF"/>
    <w:rsid w:val="00272C2C"/>
    <w:rsid w:val="0027653F"/>
    <w:rsid w:val="002774DB"/>
    <w:rsid w:val="002814AC"/>
    <w:rsid w:val="00287950"/>
    <w:rsid w:val="00295D7B"/>
    <w:rsid w:val="002B7E25"/>
    <w:rsid w:val="002C377E"/>
    <w:rsid w:val="00301356"/>
    <w:rsid w:val="003522DD"/>
    <w:rsid w:val="0038696C"/>
    <w:rsid w:val="003B04C0"/>
    <w:rsid w:val="003C7B0E"/>
    <w:rsid w:val="00435C74"/>
    <w:rsid w:val="00437DB3"/>
    <w:rsid w:val="004409F9"/>
    <w:rsid w:val="0046568A"/>
    <w:rsid w:val="004A3273"/>
    <w:rsid w:val="004A5744"/>
    <w:rsid w:val="004C5452"/>
    <w:rsid w:val="004C7619"/>
    <w:rsid w:val="004D5E57"/>
    <w:rsid w:val="004E348D"/>
    <w:rsid w:val="005B6E4E"/>
    <w:rsid w:val="005D080D"/>
    <w:rsid w:val="005D6190"/>
    <w:rsid w:val="006040CE"/>
    <w:rsid w:val="00611A23"/>
    <w:rsid w:val="00612545"/>
    <w:rsid w:val="0065721A"/>
    <w:rsid w:val="0069169A"/>
    <w:rsid w:val="006B73AC"/>
    <w:rsid w:val="0070124A"/>
    <w:rsid w:val="00732342"/>
    <w:rsid w:val="00740870"/>
    <w:rsid w:val="007503D2"/>
    <w:rsid w:val="00781FFF"/>
    <w:rsid w:val="007D2DF6"/>
    <w:rsid w:val="007E7842"/>
    <w:rsid w:val="007F6110"/>
    <w:rsid w:val="00806CFE"/>
    <w:rsid w:val="00822714"/>
    <w:rsid w:val="0084061D"/>
    <w:rsid w:val="00847F97"/>
    <w:rsid w:val="008762CF"/>
    <w:rsid w:val="00900570"/>
    <w:rsid w:val="00911862"/>
    <w:rsid w:val="00932F15"/>
    <w:rsid w:val="00944BF3"/>
    <w:rsid w:val="00966514"/>
    <w:rsid w:val="00973742"/>
    <w:rsid w:val="00984691"/>
    <w:rsid w:val="009B1306"/>
    <w:rsid w:val="00A052E2"/>
    <w:rsid w:val="00A428F7"/>
    <w:rsid w:val="00AB36A4"/>
    <w:rsid w:val="00AC034B"/>
    <w:rsid w:val="00AD36CA"/>
    <w:rsid w:val="00AD5FF2"/>
    <w:rsid w:val="00B51496"/>
    <w:rsid w:val="00B71D89"/>
    <w:rsid w:val="00B73F2D"/>
    <w:rsid w:val="00BB62BE"/>
    <w:rsid w:val="00BB70F5"/>
    <w:rsid w:val="00BE2304"/>
    <w:rsid w:val="00C06F5E"/>
    <w:rsid w:val="00C4217C"/>
    <w:rsid w:val="00C50446"/>
    <w:rsid w:val="00C659D8"/>
    <w:rsid w:val="00C862AE"/>
    <w:rsid w:val="00C900D1"/>
    <w:rsid w:val="00CC7245"/>
    <w:rsid w:val="00CE7FB5"/>
    <w:rsid w:val="00D218CA"/>
    <w:rsid w:val="00D46F29"/>
    <w:rsid w:val="00D71B0B"/>
    <w:rsid w:val="00D7597A"/>
    <w:rsid w:val="00D80B90"/>
    <w:rsid w:val="00DA3B90"/>
    <w:rsid w:val="00DC213E"/>
    <w:rsid w:val="00DF34A2"/>
    <w:rsid w:val="00DF768B"/>
    <w:rsid w:val="00E55474"/>
    <w:rsid w:val="00EC36C3"/>
    <w:rsid w:val="00F82515"/>
    <w:rsid w:val="00F908FF"/>
    <w:rsid w:val="00FA32C7"/>
    <w:rsid w:val="00FB4CDB"/>
    <w:rsid w:val="00FE7282"/>
    <w:rsid w:val="00FF0628"/>
    <w:rsid w:val="00FF2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C0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034B"/>
    <w:rPr>
      <w:sz w:val="20"/>
      <w:szCs w:val="20"/>
    </w:rPr>
  </w:style>
  <w:style w:type="character" w:styleId="FootnoteReference">
    <w:name w:val="footnote reference"/>
    <w:basedOn w:val="DefaultParagraphFont"/>
    <w:uiPriority w:val="99"/>
    <w:semiHidden/>
    <w:unhideWhenUsed/>
    <w:rsid w:val="00AC034B"/>
    <w:rPr>
      <w:vertAlign w:val="superscript"/>
    </w:rPr>
  </w:style>
  <w:style w:type="paragraph" w:styleId="ListParagraph">
    <w:name w:val="List Paragraph"/>
    <w:basedOn w:val="Normal"/>
    <w:uiPriority w:val="34"/>
    <w:qFormat/>
    <w:rsid w:val="00FB4CDB"/>
    <w:pPr>
      <w:ind w:left="720"/>
      <w:contextualSpacing/>
    </w:pPr>
  </w:style>
  <w:style w:type="character" w:styleId="Hyperlink">
    <w:name w:val="Hyperlink"/>
    <w:basedOn w:val="DefaultParagraphFont"/>
    <w:uiPriority w:val="99"/>
    <w:unhideWhenUsed/>
    <w:rsid w:val="005B6E4E"/>
    <w:rPr>
      <w:color w:val="0563C1" w:themeColor="hyperlink"/>
      <w:u w:val="single"/>
    </w:rPr>
  </w:style>
  <w:style w:type="paragraph" w:styleId="Header">
    <w:name w:val="header"/>
    <w:basedOn w:val="Normal"/>
    <w:link w:val="HeaderChar"/>
    <w:uiPriority w:val="99"/>
    <w:semiHidden/>
    <w:unhideWhenUsed/>
    <w:rsid w:val="00781F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FFF"/>
  </w:style>
  <w:style w:type="paragraph" w:styleId="Footer">
    <w:name w:val="footer"/>
    <w:basedOn w:val="Normal"/>
    <w:link w:val="FooterChar"/>
    <w:uiPriority w:val="99"/>
    <w:unhideWhenUsed/>
    <w:rsid w:val="00781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FFF"/>
  </w:style>
  <w:style w:type="paragraph" w:styleId="Revision">
    <w:name w:val="Revision"/>
    <w:hidden/>
    <w:uiPriority w:val="99"/>
    <w:semiHidden/>
    <w:rsid w:val="00076F65"/>
    <w:pPr>
      <w:spacing w:after="0" w:line="240" w:lineRule="auto"/>
    </w:pPr>
  </w:style>
  <w:style w:type="character" w:styleId="CommentReference">
    <w:name w:val="annotation reference"/>
    <w:basedOn w:val="DefaultParagraphFont"/>
    <w:uiPriority w:val="99"/>
    <w:semiHidden/>
    <w:unhideWhenUsed/>
    <w:rsid w:val="00076F65"/>
    <w:rPr>
      <w:sz w:val="16"/>
      <w:szCs w:val="16"/>
    </w:rPr>
  </w:style>
  <w:style w:type="paragraph" w:styleId="CommentText">
    <w:name w:val="annotation text"/>
    <w:basedOn w:val="Normal"/>
    <w:link w:val="CommentTextChar"/>
    <w:uiPriority w:val="99"/>
    <w:unhideWhenUsed/>
    <w:rsid w:val="00076F65"/>
    <w:pPr>
      <w:spacing w:line="240" w:lineRule="auto"/>
    </w:pPr>
    <w:rPr>
      <w:sz w:val="20"/>
      <w:szCs w:val="20"/>
    </w:rPr>
  </w:style>
  <w:style w:type="character" w:customStyle="1" w:styleId="CommentTextChar">
    <w:name w:val="Comment Text Char"/>
    <w:basedOn w:val="DefaultParagraphFont"/>
    <w:link w:val="CommentText"/>
    <w:uiPriority w:val="99"/>
    <w:rsid w:val="00076F65"/>
    <w:rPr>
      <w:sz w:val="20"/>
      <w:szCs w:val="20"/>
    </w:rPr>
  </w:style>
  <w:style w:type="paragraph" w:styleId="CommentSubject">
    <w:name w:val="annotation subject"/>
    <w:basedOn w:val="CommentText"/>
    <w:next w:val="CommentText"/>
    <w:link w:val="CommentSubjectChar"/>
    <w:uiPriority w:val="99"/>
    <w:semiHidden/>
    <w:unhideWhenUsed/>
    <w:rsid w:val="00076F65"/>
    <w:rPr>
      <w:b/>
      <w:bCs/>
    </w:rPr>
  </w:style>
  <w:style w:type="character" w:customStyle="1" w:styleId="CommentSubjectChar">
    <w:name w:val="Comment Subject Char"/>
    <w:basedOn w:val="CommentTextChar"/>
    <w:link w:val="CommentSubject"/>
    <w:uiPriority w:val="99"/>
    <w:semiHidden/>
    <w:rsid w:val="00076F65"/>
    <w:rPr>
      <w:b/>
      <w:bCs/>
      <w:sz w:val="20"/>
      <w:szCs w:val="20"/>
    </w:rPr>
  </w:style>
  <w:style w:type="character" w:customStyle="1" w:styleId="UnresolvedMention">
    <w:name w:val="Unresolved Mention"/>
    <w:basedOn w:val="DefaultParagraphFont"/>
    <w:uiPriority w:val="99"/>
    <w:semiHidden/>
    <w:unhideWhenUsed/>
    <w:rsid w:val="00BE2304"/>
    <w:rPr>
      <w:color w:val="605E5C"/>
      <w:shd w:val="clear" w:color="auto" w:fill="E1DFDD"/>
    </w:rPr>
  </w:style>
  <w:style w:type="paragraph" w:styleId="BalloonText">
    <w:name w:val="Balloon Text"/>
    <w:basedOn w:val="Normal"/>
    <w:link w:val="BalloonTextChar"/>
    <w:uiPriority w:val="99"/>
    <w:semiHidden/>
    <w:unhideWhenUsed/>
    <w:rsid w:val="0084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lex.justice.md/index.php?action=view&amp;view=doc&amp;lang=1&amp;id=376768" TargetMode="External"/><Relationship Id="rId2" Type="http://schemas.openxmlformats.org/officeDocument/2006/relationships/hyperlink" Target="https://www.parlament.md/StructuraParlamentului/SecretariateleComisiilorpermanente/tabid/84/CommissionId/42/language/en-US/Default.aspx" TargetMode="External"/><Relationship Id="rId1" Type="http://schemas.openxmlformats.org/officeDocument/2006/relationships/hyperlink" Target="https://www.bri.gov.md/ro/content/despre-agen%C8%9Bia-rela%C8%9Bii-interetnice" TargetMode="External"/><Relationship Id="rId6" Type="http://schemas.openxmlformats.org/officeDocument/2006/relationships/hyperlink" Target="https://constcourt.md/ccdocview.php?l=ro&amp;tip=hotariri&amp;docid=757" TargetMode="External"/><Relationship Id="rId5" Type="http://schemas.openxmlformats.org/officeDocument/2006/relationships/hyperlink" Target="https://www.legis.md/cautare/getResults?doc_id=141518&amp;lang=ro" TargetMode="External"/><Relationship Id="rId4" Type="http://schemas.openxmlformats.org/officeDocument/2006/relationships/hyperlink" Target="https://cancelaria.gov.md/sites/default/files/raport_de_evaluare_pnado_2018-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Individuals</Category>
    <Filename xmlns="d42e65b2-cf21-49c1-b27d-d23f90380c0e" xsi:nil="true"/>
    <Doctype xmlns="d42e65b2-cf21-49c1-b27d-d23f90380c0e">input-1</Doctype>
    <Contributor xmlns="d42e65b2-cf21-49c1-b27d-d23f90380c0e">Slava Balan</Contributor>
  </documentManagement>
</p:properties>
</file>

<file path=customXml/itemProps1.xml><?xml version="1.0" encoding="utf-8"?>
<ds:datastoreItem xmlns:ds="http://schemas.openxmlformats.org/officeDocument/2006/customXml" ds:itemID="{7360BBF8-718E-49FD-8CC7-492EA7F1E9E7}">
  <ds:schemaRefs>
    <ds:schemaRef ds:uri="http://schemas.openxmlformats.org/officeDocument/2006/bibliography"/>
  </ds:schemaRefs>
</ds:datastoreItem>
</file>

<file path=customXml/itemProps2.xml><?xml version="1.0" encoding="utf-8"?>
<ds:datastoreItem xmlns:ds="http://schemas.openxmlformats.org/officeDocument/2006/customXml" ds:itemID="{379E3129-8EC9-45A3-9166-2AA9B90F2A1B}"/>
</file>

<file path=customXml/itemProps3.xml><?xml version="1.0" encoding="utf-8"?>
<ds:datastoreItem xmlns:ds="http://schemas.openxmlformats.org/officeDocument/2006/customXml" ds:itemID="{D997E498-AAA5-467F-8FB4-A1295DEC9DE5}"/>
</file>

<file path=customXml/itemProps4.xml><?xml version="1.0" encoding="utf-8"?>
<ds:datastoreItem xmlns:ds="http://schemas.openxmlformats.org/officeDocument/2006/customXml" ds:itemID="{F6B3BB15-415C-41D5-8421-69B25778531E}"/>
</file>

<file path=docProps/app.xml><?xml version="1.0" encoding="utf-8"?>
<Properties xmlns="http://schemas.openxmlformats.org/officeDocument/2006/extended-properties" xmlns:vt="http://schemas.openxmlformats.org/officeDocument/2006/docPropsVTypes">
  <Template>Normal</Template>
  <TotalTime>49</TotalTime>
  <Pages>7</Pages>
  <Words>2912</Words>
  <Characters>16512</Characters>
  <Application>Microsoft Office Word</Application>
  <DocSecurity>0</DocSecurity>
  <Lines>246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 Balan</dc:creator>
  <cp:lastModifiedBy>Slava Balan</cp:lastModifiedBy>
  <cp:revision>6</cp:revision>
  <dcterms:created xsi:type="dcterms:W3CDTF">2024-05-10T08:30:00Z</dcterms:created>
  <dcterms:modified xsi:type="dcterms:W3CDTF">2024-05-10T09:18:00Z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