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99979" w14:textId="1BB4BDA2" w:rsidR="004919D5" w:rsidRPr="00A7188F" w:rsidRDefault="007E7B91" w:rsidP="008F0D47">
      <w:pPr>
        <w:jc w:val="both"/>
      </w:pPr>
      <w:r w:rsidRPr="00A7188F">
        <w:rPr>
          <w:noProof/>
        </w:rPr>
        <w:drawing>
          <wp:anchor distT="0" distB="0" distL="114300" distR="114300" simplePos="0" relativeHeight="251658240" behindDoc="1" locked="0" layoutInCell="1" allowOverlap="1" wp14:anchorId="18AE9A7C" wp14:editId="7FDBA532">
            <wp:simplePos x="0" y="0"/>
            <wp:positionH relativeFrom="margin">
              <wp:align>center</wp:align>
            </wp:positionH>
            <wp:positionV relativeFrom="paragraph">
              <wp:posOffset>5080</wp:posOffset>
            </wp:positionV>
            <wp:extent cx="1800691" cy="1833682"/>
            <wp:effectExtent l="0" t="0" r="9525" b="0"/>
            <wp:wrapTight wrapText="bothSides">
              <wp:wrapPolygon edited="0">
                <wp:start x="0" y="0"/>
                <wp:lineTo x="0" y="21323"/>
                <wp:lineTo x="21486" y="21323"/>
                <wp:lineTo x="21486" y="0"/>
                <wp:lineTo x="0" y="0"/>
              </wp:wrapPolygon>
            </wp:wrapTight>
            <wp:docPr id="2" name="Image 1" descr="Une image contenant Police, texte, Graphique, logo&#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rcRect/>
                    <a:stretch>
                      <a:fillRect/>
                    </a:stretch>
                  </pic:blipFill>
                  <pic:spPr>
                    <a:xfrm>
                      <a:off x="0" y="0"/>
                      <a:ext cx="1800691" cy="1833682"/>
                    </a:xfrm>
                    <a:prstGeom prst="rect">
                      <a:avLst/>
                    </a:prstGeom>
                    <a:noFill/>
                    <a:ln>
                      <a:noFill/>
                      <a:prstDash/>
                    </a:ln>
                  </pic:spPr>
                </pic:pic>
              </a:graphicData>
            </a:graphic>
          </wp:anchor>
        </w:drawing>
      </w:r>
    </w:p>
    <w:p w14:paraId="2A31A614" w14:textId="2AD07F6A" w:rsidR="004919D5" w:rsidRPr="00A7188F" w:rsidRDefault="004919D5" w:rsidP="008F0D47">
      <w:pPr>
        <w:jc w:val="center"/>
      </w:pPr>
    </w:p>
    <w:p w14:paraId="4DBD0F21" w14:textId="77777777" w:rsidR="004919D5" w:rsidRDefault="004919D5" w:rsidP="008F0D47">
      <w:pPr>
        <w:jc w:val="both"/>
      </w:pPr>
    </w:p>
    <w:p w14:paraId="2569252C" w14:textId="77777777" w:rsidR="007E7B91" w:rsidRDefault="007E7B91" w:rsidP="008F0D47">
      <w:pPr>
        <w:jc w:val="both"/>
      </w:pPr>
    </w:p>
    <w:p w14:paraId="79596D4C" w14:textId="77777777" w:rsidR="007E7B91" w:rsidRDefault="007E7B91" w:rsidP="008F0D47">
      <w:pPr>
        <w:jc w:val="both"/>
      </w:pPr>
    </w:p>
    <w:p w14:paraId="2D95557C" w14:textId="77777777" w:rsidR="007E7B91" w:rsidRDefault="007E7B91" w:rsidP="008F0D47">
      <w:pPr>
        <w:jc w:val="both"/>
      </w:pPr>
    </w:p>
    <w:p w14:paraId="14D78A2D" w14:textId="77777777" w:rsidR="007E7B91" w:rsidRDefault="007E7B91" w:rsidP="008F0D47">
      <w:pPr>
        <w:jc w:val="both"/>
      </w:pPr>
    </w:p>
    <w:p w14:paraId="473FA169" w14:textId="77777777" w:rsidR="007E7B91" w:rsidRDefault="007E7B91" w:rsidP="008F0D47">
      <w:pPr>
        <w:jc w:val="both"/>
      </w:pPr>
    </w:p>
    <w:p w14:paraId="3EA186E8" w14:textId="77777777" w:rsidR="007E7B91" w:rsidRDefault="007E7B91" w:rsidP="008F0D47">
      <w:pPr>
        <w:jc w:val="both"/>
      </w:pPr>
    </w:p>
    <w:p w14:paraId="72672061" w14:textId="77777777" w:rsidR="007E7B91" w:rsidRPr="007E7B91" w:rsidRDefault="007E7B91" w:rsidP="008F0D47">
      <w:pPr>
        <w:jc w:val="both"/>
      </w:pPr>
    </w:p>
    <w:p w14:paraId="0A13B43D" w14:textId="77777777" w:rsidR="007E7B91" w:rsidRDefault="007E7B91" w:rsidP="008F0D47">
      <w:pPr>
        <w:jc w:val="both"/>
      </w:pPr>
    </w:p>
    <w:p w14:paraId="5999DF17" w14:textId="77777777" w:rsidR="008F0D47" w:rsidRDefault="008F0D47" w:rsidP="008F0D47">
      <w:pPr>
        <w:jc w:val="center"/>
        <w:rPr>
          <w:sz w:val="32"/>
          <w:szCs w:val="32"/>
          <w:lang w:val="en-US"/>
        </w:rPr>
      </w:pPr>
    </w:p>
    <w:p w14:paraId="5B95297F" w14:textId="20D2FF53" w:rsidR="007E7B91" w:rsidRPr="007E7B91" w:rsidRDefault="007E7B91" w:rsidP="008F0D47">
      <w:pPr>
        <w:jc w:val="center"/>
        <w:rPr>
          <w:sz w:val="32"/>
          <w:szCs w:val="32"/>
          <w:lang w:val="en-US"/>
        </w:rPr>
      </w:pPr>
      <w:r w:rsidRPr="007E7B91">
        <w:rPr>
          <w:sz w:val="32"/>
          <w:szCs w:val="32"/>
          <w:lang w:val="en-US"/>
        </w:rPr>
        <w:t xml:space="preserve">Input to the report of the </w:t>
      </w:r>
    </w:p>
    <w:p w14:paraId="5468FE9F" w14:textId="77777777" w:rsidR="007E7B91" w:rsidRPr="007E7B91" w:rsidRDefault="007E7B91" w:rsidP="008F0D47">
      <w:pPr>
        <w:jc w:val="center"/>
        <w:rPr>
          <w:b/>
          <w:bCs/>
          <w:sz w:val="36"/>
          <w:szCs w:val="36"/>
          <w:lang w:val="en-US"/>
        </w:rPr>
      </w:pPr>
      <w:r w:rsidRPr="007E7B91">
        <w:rPr>
          <w:b/>
          <w:bCs/>
          <w:sz w:val="36"/>
          <w:szCs w:val="36"/>
          <w:lang w:val="en-US"/>
        </w:rPr>
        <w:t xml:space="preserve">Special Rapporteur on minority issues </w:t>
      </w:r>
    </w:p>
    <w:p w14:paraId="3A6F6B02" w14:textId="0465E759" w:rsidR="007E7B91" w:rsidRPr="007E7B91" w:rsidRDefault="007E7B91" w:rsidP="008F0D47">
      <w:pPr>
        <w:jc w:val="center"/>
        <w:rPr>
          <w:sz w:val="32"/>
          <w:szCs w:val="32"/>
          <w:lang w:val="en-US"/>
        </w:rPr>
      </w:pPr>
      <w:r w:rsidRPr="007E7B91">
        <w:rPr>
          <w:sz w:val="32"/>
          <w:szCs w:val="32"/>
          <w:lang w:val="en-US"/>
        </w:rPr>
        <w:t xml:space="preserve">to the UN General Assembly on </w:t>
      </w:r>
    </w:p>
    <w:p w14:paraId="5C96EB5F" w14:textId="77777777" w:rsidR="007E7B91" w:rsidRDefault="007E7B91" w:rsidP="008F0D47">
      <w:pPr>
        <w:jc w:val="center"/>
        <w:rPr>
          <w:b/>
          <w:bCs/>
          <w:sz w:val="32"/>
          <w:szCs w:val="32"/>
          <w:lang w:val="en-US"/>
        </w:rPr>
      </w:pPr>
    </w:p>
    <w:p w14:paraId="1D0ED866" w14:textId="77777777" w:rsidR="008F0D47" w:rsidRDefault="008F0D47" w:rsidP="008F0D47">
      <w:pPr>
        <w:jc w:val="center"/>
        <w:rPr>
          <w:b/>
          <w:bCs/>
          <w:sz w:val="32"/>
          <w:szCs w:val="32"/>
          <w:lang w:val="en-US"/>
        </w:rPr>
      </w:pPr>
    </w:p>
    <w:p w14:paraId="3872C614" w14:textId="5CF868EA" w:rsidR="007E7B91" w:rsidRPr="007E7B91" w:rsidRDefault="00FE38CF" w:rsidP="008F0D47">
      <w:pPr>
        <w:jc w:val="center"/>
        <w:rPr>
          <w:b/>
          <w:bCs/>
          <w:sz w:val="36"/>
          <w:szCs w:val="36"/>
          <w:lang w:val="en-US"/>
        </w:rPr>
      </w:pPr>
      <w:r>
        <w:rPr>
          <w:b/>
          <w:bCs/>
          <w:sz w:val="36"/>
          <w:szCs w:val="36"/>
          <w:lang w:val="en-US"/>
        </w:rPr>
        <w:t>“I</w:t>
      </w:r>
      <w:r w:rsidR="007E7B91" w:rsidRPr="007E7B91">
        <w:rPr>
          <w:b/>
          <w:bCs/>
          <w:sz w:val="36"/>
          <w:szCs w:val="36"/>
          <w:lang w:val="en-US"/>
        </w:rPr>
        <w:t xml:space="preserve">nstitutional arrangements of States </w:t>
      </w:r>
    </w:p>
    <w:p w14:paraId="70E1F351" w14:textId="7AED1CF7" w:rsidR="007E7B91" w:rsidRPr="007E7B91" w:rsidRDefault="007E7B91" w:rsidP="008F0D47">
      <w:pPr>
        <w:jc w:val="center"/>
        <w:rPr>
          <w:b/>
          <w:bCs/>
          <w:sz w:val="36"/>
          <w:szCs w:val="36"/>
          <w:lang w:val="en-US"/>
        </w:rPr>
      </w:pPr>
      <w:r w:rsidRPr="007E7B91">
        <w:rPr>
          <w:b/>
          <w:bCs/>
          <w:sz w:val="36"/>
          <w:szCs w:val="36"/>
          <w:lang w:val="en-US"/>
        </w:rPr>
        <w:t>that enable minority rights to flourish</w:t>
      </w:r>
      <w:r w:rsidR="00FE38CF">
        <w:rPr>
          <w:b/>
          <w:bCs/>
          <w:sz w:val="36"/>
          <w:szCs w:val="36"/>
          <w:lang w:val="en-US"/>
        </w:rPr>
        <w:t>”</w:t>
      </w:r>
    </w:p>
    <w:p w14:paraId="5A9736BD" w14:textId="77777777" w:rsidR="007E7B91" w:rsidRDefault="007E7B91" w:rsidP="008F0D47">
      <w:pPr>
        <w:jc w:val="both"/>
        <w:rPr>
          <w:lang w:val="en-US"/>
        </w:rPr>
      </w:pPr>
    </w:p>
    <w:p w14:paraId="247EF34D" w14:textId="77777777" w:rsidR="007E7B91" w:rsidRDefault="007E7B91" w:rsidP="008F0D47">
      <w:pPr>
        <w:jc w:val="both"/>
        <w:rPr>
          <w:lang w:val="en-US"/>
        </w:rPr>
      </w:pPr>
    </w:p>
    <w:p w14:paraId="502474B2" w14:textId="3AEF857D" w:rsidR="007E7B91" w:rsidRPr="007E7B91" w:rsidRDefault="007E7B91" w:rsidP="008F0D47">
      <w:pPr>
        <w:jc w:val="center"/>
        <w:rPr>
          <w:b/>
          <w:bCs/>
          <w:sz w:val="32"/>
          <w:szCs w:val="32"/>
          <w:lang w:val="en-US"/>
        </w:rPr>
      </w:pPr>
      <w:r w:rsidRPr="007E7B91">
        <w:rPr>
          <w:b/>
          <w:bCs/>
          <w:sz w:val="32"/>
          <w:szCs w:val="32"/>
          <w:lang w:val="en-US"/>
        </w:rPr>
        <w:t>May 2024</w:t>
      </w:r>
    </w:p>
    <w:p w14:paraId="3DB7174A" w14:textId="77777777" w:rsidR="007E7B91" w:rsidRPr="007E7B91" w:rsidRDefault="007E7B91" w:rsidP="00A04414">
      <w:pPr>
        <w:rPr>
          <w:b/>
          <w:bCs/>
          <w:lang w:val="en-US"/>
        </w:rPr>
      </w:pPr>
    </w:p>
    <w:p w14:paraId="790B3828" w14:textId="77777777" w:rsidR="007E7B91" w:rsidRPr="007E7B91" w:rsidRDefault="007E7B91" w:rsidP="008F0D47">
      <w:pPr>
        <w:jc w:val="both"/>
        <w:rPr>
          <w:lang w:val="en-US"/>
        </w:rPr>
      </w:pPr>
    </w:p>
    <w:p w14:paraId="60A1B0A3" w14:textId="6CF08460" w:rsidR="008F0D47" w:rsidRDefault="0045571E" w:rsidP="008F0D47">
      <w:pPr>
        <w:pStyle w:val="Paragraphedeliste"/>
        <w:numPr>
          <w:ilvl w:val="0"/>
          <w:numId w:val="15"/>
        </w:numPr>
        <w:spacing w:after="0" w:line="240" w:lineRule="auto"/>
        <w:ind w:left="0" w:firstLine="0"/>
        <w:jc w:val="both"/>
        <w:rPr>
          <w:lang w:val="en-US"/>
        </w:rPr>
      </w:pPr>
      <w:r w:rsidRPr="008F0D47">
        <w:rPr>
          <w:lang w:val="en-US"/>
        </w:rPr>
        <w:t xml:space="preserve">This </w:t>
      </w:r>
      <w:r w:rsidRPr="008F0D47">
        <w:rPr>
          <w:rStyle w:val="Titre3Car"/>
        </w:rPr>
        <w:t>written submission from the E</w:t>
      </w:r>
      <w:r w:rsidR="00FE38CF" w:rsidRPr="008F0D47">
        <w:rPr>
          <w:rStyle w:val="Titre3Car"/>
        </w:rPr>
        <w:t xml:space="preserve">uropean Centre for Law and Justice (ECLJ) aims </w:t>
      </w:r>
      <w:r w:rsidR="00361AAA">
        <w:rPr>
          <w:rStyle w:val="Titre3Car"/>
        </w:rPr>
        <w:t xml:space="preserve">at </w:t>
      </w:r>
      <w:r w:rsidRPr="008F0D47">
        <w:rPr>
          <w:rStyle w:val="Titre3Car"/>
        </w:rPr>
        <w:t>inform</w:t>
      </w:r>
      <w:r w:rsidR="00361AAA">
        <w:rPr>
          <w:rStyle w:val="Titre3Car"/>
        </w:rPr>
        <w:t>ing</w:t>
      </w:r>
      <w:r w:rsidRPr="008F0D47">
        <w:rPr>
          <w:rStyle w:val="Titre3Car"/>
        </w:rPr>
        <w:t xml:space="preserve"> </w:t>
      </w:r>
      <w:r w:rsidR="00FE38CF" w:rsidRPr="008F0D47">
        <w:rPr>
          <w:rStyle w:val="Titre3Car"/>
        </w:rPr>
        <w:t xml:space="preserve">the Special Rapporteur on minority issues for </w:t>
      </w:r>
      <w:r w:rsidRPr="008F0D47">
        <w:rPr>
          <w:rStyle w:val="Titre3Car"/>
        </w:rPr>
        <w:t xml:space="preserve">the preparation of the 2024 report </w:t>
      </w:r>
      <w:r w:rsidR="00361AAA" w:rsidRPr="008F0D47">
        <w:rPr>
          <w:rStyle w:val="Titre3Car"/>
        </w:rPr>
        <w:t xml:space="preserve">to be presented </w:t>
      </w:r>
      <w:r w:rsidR="00361AAA">
        <w:rPr>
          <w:rStyle w:val="Titre3Car"/>
        </w:rPr>
        <w:t>during the 79</w:t>
      </w:r>
      <w:r w:rsidR="00361AAA" w:rsidRPr="00361AAA">
        <w:rPr>
          <w:rStyle w:val="Titre3Car"/>
          <w:vertAlign w:val="superscript"/>
        </w:rPr>
        <w:t>th</w:t>
      </w:r>
      <w:r w:rsidR="00361AAA">
        <w:rPr>
          <w:rStyle w:val="Titre3Car"/>
        </w:rPr>
        <w:t xml:space="preserve"> </w:t>
      </w:r>
      <w:r w:rsidR="00361AAA" w:rsidRPr="008F0D47">
        <w:rPr>
          <w:rStyle w:val="Titre3Car"/>
        </w:rPr>
        <w:t>Gen</w:t>
      </w:r>
      <w:r w:rsidR="00361AAA" w:rsidRPr="008F0D47">
        <w:rPr>
          <w:lang w:val="en-US"/>
        </w:rPr>
        <w:t>eral Assembly in October 2024</w:t>
      </w:r>
      <w:r w:rsidR="00361AAA">
        <w:rPr>
          <w:lang w:val="en-US"/>
        </w:rPr>
        <w:t xml:space="preserve">, </w:t>
      </w:r>
      <w:r w:rsidR="00361AAA">
        <w:rPr>
          <w:rStyle w:val="Titre3Car"/>
        </w:rPr>
        <w:t xml:space="preserve">and that </w:t>
      </w:r>
      <w:r w:rsidRPr="008F0D47">
        <w:rPr>
          <w:rStyle w:val="Titre3Car"/>
        </w:rPr>
        <w:t>will highlight institutional arrangements of States relevant for tackling minority issues</w:t>
      </w:r>
      <w:r w:rsidR="00753B23" w:rsidRPr="008F0D47">
        <w:rPr>
          <w:lang w:val="en-US"/>
        </w:rPr>
        <w:t xml:space="preserve">. This concerns the Special Rapporteur in the context of his mandate, established in resolution 2005/79 by the Commission on Human Rights on April </w:t>
      </w:r>
      <w:r w:rsidR="00361AAA">
        <w:rPr>
          <w:lang w:val="en-US"/>
        </w:rPr>
        <w:t xml:space="preserve">21, </w:t>
      </w:r>
      <w:r w:rsidR="00753B23" w:rsidRPr="008F0D47">
        <w:rPr>
          <w:lang w:val="en-US"/>
        </w:rPr>
        <w:t>2005, to promote the implementation of the Declaration on the Rights of Persons Belonging to National or Ethnic, Religious and Linguistic Minorities.</w:t>
      </w:r>
    </w:p>
    <w:p w14:paraId="125F53B6" w14:textId="77777777" w:rsidR="008F0D47" w:rsidRDefault="008F0D47" w:rsidP="008F0D47">
      <w:pPr>
        <w:pStyle w:val="Paragraphedeliste"/>
        <w:spacing w:after="0" w:line="240" w:lineRule="auto"/>
        <w:ind w:left="0"/>
        <w:jc w:val="both"/>
        <w:rPr>
          <w:lang w:val="en-US"/>
        </w:rPr>
      </w:pPr>
    </w:p>
    <w:p w14:paraId="600324FB" w14:textId="3BD07CB0" w:rsidR="00FE38CF" w:rsidRPr="008F0D47" w:rsidRDefault="0045571E" w:rsidP="008F0D47">
      <w:pPr>
        <w:pStyle w:val="Paragraphedeliste"/>
        <w:numPr>
          <w:ilvl w:val="0"/>
          <w:numId w:val="15"/>
        </w:numPr>
        <w:spacing w:after="0" w:line="240" w:lineRule="auto"/>
        <w:ind w:left="0" w:firstLine="0"/>
        <w:jc w:val="both"/>
        <w:rPr>
          <w:lang w:val="en-US"/>
        </w:rPr>
      </w:pPr>
      <w:r w:rsidRPr="008F0D47">
        <w:rPr>
          <w:lang w:val="en-US"/>
        </w:rPr>
        <w:t>In its submission, the ECLJ wishes to draw the Special Rapporteur</w:t>
      </w:r>
      <w:r w:rsidR="00361AAA">
        <w:rPr>
          <w:lang w:val="en-US"/>
        </w:rPr>
        <w:t>’</w:t>
      </w:r>
      <w:r w:rsidRPr="008F0D47">
        <w:rPr>
          <w:lang w:val="en-US"/>
        </w:rPr>
        <w:t xml:space="preserve">s attention to the situation in </w:t>
      </w:r>
      <w:r w:rsidR="00FE38CF" w:rsidRPr="008F0D47">
        <w:rPr>
          <w:lang w:val="en-US"/>
        </w:rPr>
        <w:t>Algeria, Tunisia</w:t>
      </w:r>
      <w:r w:rsidRPr="008F0D47">
        <w:rPr>
          <w:lang w:val="en-US"/>
        </w:rPr>
        <w:t xml:space="preserve">, and </w:t>
      </w:r>
      <w:r w:rsidR="00FE38CF" w:rsidRPr="008F0D47">
        <w:rPr>
          <w:lang w:val="en-US"/>
        </w:rPr>
        <w:t xml:space="preserve">Morocco </w:t>
      </w:r>
      <w:r w:rsidRPr="008F0D47">
        <w:rPr>
          <w:lang w:val="en-US"/>
        </w:rPr>
        <w:t xml:space="preserve">and will respond to question 5. </w:t>
      </w:r>
      <w:r w:rsidR="00FE38CF" w:rsidRPr="008B359F">
        <w:rPr>
          <w:lang w:val="en-US"/>
        </w:rPr>
        <w:t xml:space="preserve">In these States, several legal and administrative obstacles prevent Christian minorities from freely exercising their faith. The ECLJ stresses the need to lift these restrictions </w:t>
      </w:r>
      <w:r w:rsidR="0023324F" w:rsidRPr="008B359F">
        <w:rPr>
          <w:lang w:val="en-US"/>
        </w:rPr>
        <w:t>to</w:t>
      </w:r>
      <w:r w:rsidR="00FE38CF" w:rsidRPr="008B359F">
        <w:rPr>
          <w:lang w:val="en-US"/>
        </w:rPr>
        <w:t xml:space="preserve"> respect the right of persons belonging to minorities “</w:t>
      </w:r>
      <w:r w:rsidR="00FE38CF" w:rsidRPr="008B359F">
        <w:rPr>
          <w:i/>
          <w:iCs/>
          <w:lang w:val="en-US"/>
        </w:rPr>
        <w:t>to participate fully in the cultural, religious, social, economic and public life</w:t>
      </w:r>
      <w:r w:rsidR="00FE38CF" w:rsidRPr="008B359F">
        <w:rPr>
          <w:lang w:val="en-US"/>
        </w:rPr>
        <w:t xml:space="preserve">” of their country, as set out in article 2 paragraph 2 of the 1992 Declaration on the Rights of Persons Belonging to National or Ethnic, Religious and Linguistic Minorities. </w:t>
      </w:r>
    </w:p>
    <w:p w14:paraId="70E49EE1" w14:textId="77777777" w:rsidR="008F0D47" w:rsidRPr="008F0D47" w:rsidRDefault="008F0D47" w:rsidP="008F0D47">
      <w:pPr>
        <w:pStyle w:val="Paragraphedeliste"/>
        <w:rPr>
          <w:lang w:val="en-US"/>
        </w:rPr>
      </w:pPr>
    </w:p>
    <w:p w14:paraId="33236BA0" w14:textId="545BC84E" w:rsidR="008F0D47" w:rsidRPr="008F0D47" w:rsidRDefault="008F0D47" w:rsidP="008F0D47">
      <w:pPr>
        <w:pStyle w:val="Paragraphedeliste"/>
        <w:numPr>
          <w:ilvl w:val="0"/>
          <w:numId w:val="15"/>
        </w:numPr>
        <w:spacing w:after="0" w:line="240" w:lineRule="auto"/>
        <w:ind w:left="0" w:firstLine="0"/>
        <w:jc w:val="both"/>
        <w:rPr>
          <w:lang w:val="en-US"/>
        </w:rPr>
      </w:pPr>
      <w:r w:rsidRPr="008F0D47">
        <w:rPr>
          <w:lang w:val="en-US"/>
        </w:rPr>
        <w:t>The ECLJ is an international non-governmental organi</w:t>
      </w:r>
      <w:r w:rsidR="008B359F">
        <w:rPr>
          <w:lang w:val="en-US"/>
        </w:rPr>
        <w:t>z</w:t>
      </w:r>
      <w:r w:rsidRPr="008F0D47">
        <w:rPr>
          <w:lang w:val="en-US"/>
        </w:rPr>
        <w:t>ation founded in 1998 and dedicated to the promotion and protection of human rights in Europe and worldwide. The ECLJ has held special consultative status with the United Nations / ECOSOC since 2007.</w:t>
      </w:r>
    </w:p>
    <w:p w14:paraId="6157D30F" w14:textId="73AE87F3" w:rsidR="004919D5" w:rsidRPr="00A7188F" w:rsidRDefault="004919D5" w:rsidP="008F0D47">
      <w:pPr>
        <w:jc w:val="both"/>
        <w:rPr>
          <w:lang w:val="en-US"/>
        </w:rPr>
      </w:pPr>
    </w:p>
    <w:p w14:paraId="58EBF141" w14:textId="77777777" w:rsidR="002337AD" w:rsidRDefault="002337AD">
      <w:pPr>
        <w:rPr>
          <w:b/>
          <w:bCs/>
          <w:sz w:val="28"/>
          <w:szCs w:val="28"/>
          <w:lang w:val="en-US"/>
        </w:rPr>
      </w:pPr>
      <w:r>
        <w:rPr>
          <w:b/>
          <w:bCs/>
          <w:sz w:val="28"/>
          <w:szCs w:val="28"/>
          <w:lang w:val="en-US"/>
        </w:rPr>
        <w:br w:type="page"/>
      </w:r>
    </w:p>
    <w:p w14:paraId="53ADB74F" w14:textId="520D07AA" w:rsidR="008F0D47" w:rsidRPr="008F0D47" w:rsidRDefault="008F0D47" w:rsidP="008F0D47">
      <w:pPr>
        <w:rPr>
          <w:b/>
          <w:bCs/>
          <w:sz w:val="28"/>
          <w:szCs w:val="28"/>
          <w:lang w:val="en-US"/>
        </w:rPr>
      </w:pPr>
      <w:r w:rsidRPr="008B359F">
        <w:rPr>
          <w:b/>
          <w:bCs/>
          <w:sz w:val="28"/>
          <w:szCs w:val="28"/>
          <w:lang w:val="en-US"/>
        </w:rPr>
        <w:lastRenderedPageBreak/>
        <w:t xml:space="preserve">The legal and administrative barriers to participate effectively in </w:t>
      </w:r>
    </w:p>
    <w:p w14:paraId="3033BE7E" w14:textId="644F5CF3" w:rsidR="008F0D47" w:rsidRPr="008B359F" w:rsidRDefault="008F0D47" w:rsidP="008F0D47">
      <w:pPr>
        <w:rPr>
          <w:b/>
          <w:bCs/>
          <w:sz w:val="28"/>
          <w:szCs w:val="28"/>
          <w:lang w:val="en-US"/>
        </w:rPr>
      </w:pPr>
      <w:r w:rsidRPr="008B359F">
        <w:rPr>
          <w:b/>
          <w:bCs/>
          <w:sz w:val="28"/>
          <w:szCs w:val="28"/>
          <w:lang w:val="en-US"/>
        </w:rPr>
        <w:t>the religious and social life in Algeria, Tunisia, and Morocco</w:t>
      </w:r>
    </w:p>
    <w:p w14:paraId="3FBC591B" w14:textId="6D5DA207" w:rsidR="00C05566" w:rsidRPr="00A7188F" w:rsidRDefault="00C05566" w:rsidP="008F0D47">
      <w:pPr>
        <w:jc w:val="both"/>
        <w:rPr>
          <w:lang w:val="en-US"/>
        </w:rPr>
      </w:pPr>
    </w:p>
    <w:p w14:paraId="2B54B429" w14:textId="77777777" w:rsidR="0015574B" w:rsidRPr="00A7188F" w:rsidRDefault="0015574B" w:rsidP="008F0D47">
      <w:pPr>
        <w:jc w:val="both"/>
        <w:rPr>
          <w:lang w:val="en-US"/>
        </w:rPr>
      </w:pPr>
    </w:p>
    <w:p w14:paraId="3B03F9D3" w14:textId="7BD96FE7" w:rsidR="00983303" w:rsidRPr="00A7188F" w:rsidRDefault="00C05566" w:rsidP="008F0D47">
      <w:pPr>
        <w:pStyle w:val="Titre1"/>
        <w:spacing w:after="0" w:line="240" w:lineRule="auto"/>
        <w:ind w:left="0" w:firstLine="0"/>
      </w:pPr>
      <w:r w:rsidRPr="00A7188F">
        <w:t xml:space="preserve">The </w:t>
      </w:r>
      <w:r w:rsidRPr="00FE38CF">
        <w:t>case</w:t>
      </w:r>
      <w:r w:rsidRPr="00A7188F">
        <w:t xml:space="preserve"> of Algeria</w:t>
      </w:r>
      <w:r w:rsidR="004919D5" w:rsidRPr="00A7188F">
        <w:t xml:space="preserve"> </w:t>
      </w:r>
    </w:p>
    <w:p w14:paraId="5FA6DC24" w14:textId="04F6E53B" w:rsidR="00983303" w:rsidRPr="00A7188F" w:rsidRDefault="00983303" w:rsidP="008F0D47">
      <w:pPr>
        <w:pStyle w:val="Paragraphedeliste"/>
        <w:spacing w:after="0" w:line="240" w:lineRule="auto"/>
        <w:ind w:left="0"/>
        <w:jc w:val="both"/>
        <w:rPr>
          <w:b/>
          <w:bCs/>
          <w:sz w:val="28"/>
          <w:szCs w:val="28"/>
          <w:lang w:val="en-US"/>
        </w:rPr>
      </w:pPr>
    </w:p>
    <w:p w14:paraId="6367EE56" w14:textId="151BF4C9" w:rsidR="008F0D47" w:rsidRDefault="00983303" w:rsidP="008F0D47">
      <w:pPr>
        <w:pStyle w:val="Titre3"/>
      </w:pPr>
      <w:r w:rsidRPr="00A7188F">
        <w:t>Algeria has an estimated population of 43.5 million people</w:t>
      </w:r>
      <w:r w:rsidRPr="00A7188F">
        <w:rPr>
          <w:rStyle w:val="Appelnotedebasdep"/>
        </w:rPr>
        <w:footnoteReference w:id="1"/>
      </w:r>
      <w:r w:rsidRPr="00A7188F">
        <w:t xml:space="preserve">. It is </w:t>
      </w:r>
      <w:r w:rsidR="0023324F" w:rsidRPr="00A7188F">
        <w:t>predomina</w:t>
      </w:r>
      <w:r w:rsidR="0023324F">
        <w:t>n</w:t>
      </w:r>
      <w:r w:rsidR="0023324F" w:rsidRPr="00A7188F">
        <w:t>tly</w:t>
      </w:r>
      <w:r w:rsidRPr="00A7188F">
        <w:t xml:space="preserve"> Muslim, with approximately 99% of the population identifying as Muslim and less than 1% identifying either Christian or Jewish</w:t>
      </w:r>
      <w:r w:rsidRPr="00A7188F">
        <w:rPr>
          <w:rStyle w:val="Appelnotedebasdep"/>
        </w:rPr>
        <w:footnoteReference w:id="2"/>
      </w:r>
      <w:r w:rsidRPr="00A7188F">
        <w:t>. In its 2022 World Watch List, Open Doors listed Algeria as the 22</w:t>
      </w:r>
      <w:r w:rsidR="008F0D47" w:rsidRPr="008F0D47">
        <w:rPr>
          <w:vertAlign w:val="superscript"/>
        </w:rPr>
        <w:t>nd</w:t>
      </w:r>
      <w:r w:rsidR="008F0D47">
        <w:t xml:space="preserve"> </w:t>
      </w:r>
      <w:r w:rsidRPr="00A7188F">
        <w:t xml:space="preserve"> worst place for Christians to live due to severe “Islamic oppression”</w:t>
      </w:r>
      <w:r w:rsidRPr="00A7188F">
        <w:rPr>
          <w:rStyle w:val="Appelnotedebasdep"/>
        </w:rPr>
        <w:footnoteReference w:id="3"/>
      </w:r>
      <w:r w:rsidRPr="00A7188F">
        <w:t xml:space="preserve">. According to Open Doors, Christians are at risk </w:t>
      </w:r>
      <w:r w:rsidR="008B359F">
        <w:t>of</w:t>
      </w:r>
      <w:r w:rsidRPr="00A7188F">
        <w:t xml:space="preserve"> “harassment, beatings, threats and imprisonment, as well as pressure to adhere to Islamic customs</w:t>
      </w:r>
      <w:r w:rsidR="00D51C60">
        <w:t>.</w:t>
      </w:r>
      <w:r w:rsidRPr="00A7188F">
        <w:t>”</w:t>
      </w:r>
      <w:r w:rsidRPr="00A7188F">
        <w:rPr>
          <w:rStyle w:val="Appelnotedebasdep"/>
        </w:rPr>
        <w:footnoteReference w:id="4"/>
      </w:r>
    </w:p>
    <w:p w14:paraId="68991455" w14:textId="77777777" w:rsidR="008F0D47" w:rsidRPr="008F0D47" w:rsidRDefault="008F0D47" w:rsidP="008F0D47">
      <w:pPr>
        <w:rPr>
          <w:lang w:val="en-US"/>
        </w:rPr>
      </w:pPr>
    </w:p>
    <w:p w14:paraId="56CA15E9" w14:textId="10F55C05" w:rsidR="00967A9B" w:rsidRPr="00A7188F" w:rsidRDefault="00967A9B" w:rsidP="008F0D47">
      <w:pPr>
        <w:pStyle w:val="Titre3"/>
      </w:pPr>
      <w:r w:rsidRPr="00A7188F">
        <w:t>Article 51 of the new Constitution</w:t>
      </w:r>
      <w:r w:rsidR="000710CA">
        <w:t xml:space="preserve"> of 2020</w:t>
      </w:r>
      <w:r w:rsidRPr="00A7188F">
        <w:t xml:space="preserve"> enshrines </w:t>
      </w:r>
      <w:r w:rsidR="000710CA">
        <w:t>freedom of</w:t>
      </w:r>
      <w:r w:rsidRPr="00A7188F">
        <w:t xml:space="preserve"> worship and freedom of </w:t>
      </w:r>
      <w:r w:rsidR="000710CA">
        <w:t>opinion</w:t>
      </w:r>
      <w:r w:rsidRPr="00A7188F">
        <w:t xml:space="preserve">. However, Algeria undermines these protections in </w:t>
      </w:r>
      <w:r w:rsidR="000710CA">
        <w:t>its</w:t>
      </w:r>
      <w:r w:rsidRPr="00A7188F">
        <w:t xml:space="preserve"> laws and practices</w:t>
      </w:r>
      <w:r w:rsidRPr="00A7188F">
        <w:rPr>
          <w:rStyle w:val="Appelnotedebasdep"/>
        </w:rPr>
        <w:footnoteReference w:id="5"/>
      </w:r>
      <w:r w:rsidRPr="00A7188F">
        <w:t>. The government adopted Ordinance 06-03</w:t>
      </w:r>
      <w:r w:rsidR="00433217">
        <w:t xml:space="preserve"> </w:t>
      </w:r>
      <w:r w:rsidR="00433217" w:rsidRPr="00A7188F">
        <w:t>of February 28, 2006</w:t>
      </w:r>
      <w:r w:rsidRPr="00A7188F">
        <w:t xml:space="preserve">, which regulates </w:t>
      </w:r>
      <w:r w:rsidR="000710CA" w:rsidRPr="00A7188F">
        <w:t xml:space="preserve">non-Muslim </w:t>
      </w:r>
      <w:r w:rsidRPr="00A7188F">
        <w:t>places of worship. Over the past several years, the government has used this law to shutdown numerous churches proving that the new Constitution does not</w:t>
      </w:r>
      <w:r w:rsidR="008B359F">
        <w:t>,</w:t>
      </w:r>
      <w:r w:rsidRPr="00A7188F">
        <w:t xml:space="preserve"> in fact</w:t>
      </w:r>
      <w:r w:rsidR="008B359F">
        <w:t>,</w:t>
      </w:r>
      <w:r w:rsidRPr="00A7188F">
        <w:t xml:space="preserve"> provide for freedom of worship.</w:t>
      </w:r>
    </w:p>
    <w:p w14:paraId="0E1A8AFD" w14:textId="77777777" w:rsidR="00967A9B" w:rsidRPr="008B359F" w:rsidRDefault="00967A9B" w:rsidP="008F0D47">
      <w:pPr>
        <w:jc w:val="both"/>
        <w:rPr>
          <w:b/>
          <w:bCs/>
          <w:sz w:val="28"/>
          <w:szCs w:val="28"/>
          <w:lang w:val="en-US"/>
        </w:rPr>
      </w:pPr>
    </w:p>
    <w:p w14:paraId="4738B8B1" w14:textId="6F2AADDA" w:rsidR="007D5C8D" w:rsidRPr="00A7188F" w:rsidRDefault="00BA4A67" w:rsidP="008F0D47">
      <w:pPr>
        <w:jc w:val="both"/>
        <w:rPr>
          <w:lang w:val="en-US"/>
        </w:rPr>
      </w:pPr>
      <w:r w:rsidRPr="00A7188F">
        <w:rPr>
          <w:lang w:val="en-US"/>
        </w:rPr>
        <w:t>6</w:t>
      </w:r>
      <w:r w:rsidR="004919D5" w:rsidRPr="00A7188F">
        <w:rPr>
          <w:lang w:val="en-US"/>
        </w:rPr>
        <w:t>.</w:t>
      </w:r>
      <w:r w:rsidR="004919D5" w:rsidRPr="00A7188F">
        <w:rPr>
          <w:lang w:val="en-US"/>
        </w:rPr>
        <w:tab/>
      </w:r>
      <w:r w:rsidR="00273705" w:rsidRPr="00A7188F">
        <w:rPr>
          <w:b/>
          <w:bCs/>
          <w:lang w:val="en-US"/>
        </w:rPr>
        <w:t>Restriction to</w:t>
      </w:r>
      <w:r w:rsidR="006732D3" w:rsidRPr="00A7188F">
        <w:rPr>
          <w:b/>
          <w:bCs/>
          <w:lang w:val="en-US"/>
        </w:rPr>
        <w:t xml:space="preserve"> the</w:t>
      </w:r>
      <w:r w:rsidR="00273705" w:rsidRPr="00A7188F">
        <w:rPr>
          <w:b/>
          <w:bCs/>
          <w:lang w:val="en-US"/>
        </w:rPr>
        <w:t xml:space="preserve"> </w:t>
      </w:r>
      <w:r w:rsidR="006732D3" w:rsidRPr="00A7188F">
        <w:rPr>
          <w:b/>
          <w:bCs/>
          <w:lang w:val="en-US"/>
        </w:rPr>
        <w:t>exercise</w:t>
      </w:r>
      <w:r w:rsidR="00273705" w:rsidRPr="00A7188F">
        <w:rPr>
          <w:b/>
          <w:bCs/>
          <w:lang w:val="en-US"/>
        </w:rPr>
        <w:t xml:space="preserve"> </w:t>
      </w:r>
      <w:r w:rsidR="00C05566" w:rsidRPr="00A7188F">
        <w:rPr>
          <w:b/>
          <w:bCs/>
          <w:lang w:val="en-US"/>
        </w:rPr>
        <w:t>of worship.</w:t>
      </w:r>
      <w:r w:rsidR="00967A9B" w:rsidRPr="00A7188F">
        <w:rPr>
          <w:lang w:val="en-US"/>
        </w:rPr>
        <w:t xml:space="preserve"> Ordinance 06-03 states that</w:t>
      </w:r>
      <w:r w:rsidR="005641F1">
        <w:rPr>
          <w:lang w:val="en-US"/>
        </w:rPr>
        <w:t>:</w:t>
      </w:r>
      <w:r w:rsidR="00967A9B" w:rsidRPr="00A7188F">
        <w:rPr>
          <w:lang w:val="en-US"/>
        </w:rPr>
        <w:t xml:space="preserve"> “its objective [is] to fix the conditions and rules of exercise of religious worship other than [Islam]” (</w:t>
      </w:r>
      <w:r w:rsidR="00A04414">
        <w:rPr>
          <w:lang w:val="en-US"/>
        </w:rPr>
        <w:t>A</w:t>
      </w:r>
      <w:r w:rsidR="00967A9B" w:rsidRPr="00A7188F">
        <w:rPr>
          <w:lang w:val="en-US"/>
        </w:rPr>
        <w:t xml:space="preserve">rticle 1) and </w:t>
      </w:r>
      <w:r w:rsidR="00A04414" w:rsidRPr="00A7188F">
        <w:rPr>
          <w:lang w:val="en-US"/>
        </w:rPr>
        <w:t>“</w:t>
      </w:r>
      <w:r w:rsidR="00967A9B" w:rsidRPr="00A7188F">
        <w:rPr>
          <w:lang w:val="en-US"/>
        </w:rPr>
        <w:t>guarantees the free exercise of worship</w:t>
      </w:r>
      <w:r w:rsidR="00A04414" w:rsidRPr="00A7188F">
        <w:rPr>
          <w:lang w:val="en-US"/>
        </w:rPr>
        <w:t>”</w:t>
      </w:r>
      <w:r w:rsidR="00967A9B" w:rsidRPr="00A7188F">
        <w:rPr>
          <w:lang w:val="en-US"/>
        </w:rPr>
        <w:t xml:space="preserve"> within the framework of respect for </w:t>
      </w:r>
      <w:r w:rsidR="00A04414">
        <w:rPr>
          <w:lang w:val="en-US"/>
        </w:rPr>
        <w:t>“</w:t>
      </w:r>
      <w:r w:rsidR="00967A9B" w:rsidRPr="00A7188F">
        <w:rPr>
          <w:lang w:val="en-US"/>
        </w:rPr>
        <w:t>public order</w:t>
      </w:r>
      <w:r w:rsidR="00A04414">
        <w:rPr>
          <w:lang w:val="en-US"/>
        </w:rPr>
        <w:t>”</w:t>
      </w:r>
      <w:r w:rsidR="00967A9B" w:rsidRPr="00A7188F">
        <w:rPr>
          <w:lang w:val="en-US"/>
        </w:rPr>
        <w:t xml:space="preserve"> and </w:t>
      </w:r>
      <w:r w:rsidR="00A04414">
        <w:rPr>
          <w:lang w:val="en-US"/>
        </w:rPr>
        <w:t>“</w:t>
      </w:r>
      <w:r w:rsidR="00967A9B" w:rsidRPr="00A7188F">
        <w:rPr>
          <w:lang w:val="en-US"/>
        </w:rPr>
        <w:t>good morals</w:t>
      </w:r>
      <w:r w:rsidR="00A04414">
        <w:rPr>
          <w:lang w:val="en-US"/>
        </w:rPr>
        <w:t>”</w:t>
      </w:r>
      <w:r w:rsidR="00967A9B" w:rsidRPr="00A7188F">
        <w:rPr>
          <w:lang w:val="en-US"/>
        </w:rPr>
        <w:t xml:space="preserve"> (</w:t>
      </w:r>
      <w:r w:rsidR="00A04414">
        <w:rPr>
          <w:lang w:val="en-US"/>
        </w:rPr>
        <w:t>A</w:t>
      </w:r>
      <w:r w:rsidR="00967A9B" w:rsidRPr="00A7188F">
        <w:rPr>
          <w:lang w:val="en-US"/>
        </w:rPr>
        <w:t xml:space="preserve">rticle 2). </w:t>
      </w:r>
      <w:r w:rsidR="00A04414" w:rsidRPr="00A04414">
        <w:rPr>
          <w:lang w:val="en-US"/>
        </w:rPr>
        <w:t xml:space="preserve">Although </w:t>
      </w:r>
      <w:r w:rsidR="004A59E9">
        <w:rPr>
          <w:lang w:val="en-US"/>
        </w:rPr>
        <w:t xml:space="preserve">this law </w:t>
      </w:r>
      <w:r w:rsidR="00A04414">
        <w:rPr>
          <w:lang w:val="en-US"/>
        </w:rPr>
        <w:t>g</w:t>
      </w:r>
      <w:r w:rsidR="00A04414" w:rsidRPr="00A04414">
        <w:rPr>
          <w:lang w:val="en-US"/>
        </w:rPr>
        <w:t>uarantee</w:t>
      </w:r>
      <w:r w:rsidR="004A59E9">
        <w:rPr>
          <w:lang w:val="en-US"/>
        </w:rPr>
        <w:t>s</w:t>
      </w:r>
      <w:r w:rsidR="00A04414" w:rsidRPr="00A04414">
        <w:rPr>
          <w:lang w:val="en-US"/>
        </w:rPr>
        <w:t xml:space="preserve"> respect for different religions, it also gives the government the power to restrict the religious practices of minority religions</w:t>
      </w:r>
      <w:r w:rsidR="004A59E9">
        <w:rPr>
          <w:lang w:val="en-US"/>
        </w:rPr>
        <w:t>.</w:t>
      </w:r>
      <w:r w:rsidR="00A04414" w:rsidRPr="00A04414">
        <w:rPr>
          <w:lang w:val="en-US"/>
        </w:rPr>
        <w:t xml:space="preserve"> </w:t>
      </w:r>
      <w:r w:rsidR="00A04414">
        <w:rPr>
          <w:lang w:val="en-US"/>
        </w:rPr>
        <w:t>A</w:t>
      </w:r>
      <w:r w:rsidR="00A04414" w:rsidRPr="00A04414">
        <w:rPr>
          <w:lang w:val="en-US"/>
        </w:rPr>
        <w:t xml:space="preserve">rticle 5 provides that </w:t>
      </w:r>
      <w:r w:rsidR="004A59E9">
        <w:rPr>
          <w:lang w:val="en-US"/>
        </w:rPr>
        <w:t>“</w:t>
      </w:r>
      <w:r w:rsidR="00A04414" w:rsidRPr="00A04414">
        <w:rPr>
          <w:lang w:val="en-US"/>
        </w:rPr>
        <w:t>the modification of a structure intended for the exercise of a religious cult is subject to the prior approval of the national commission for the exercise of cults provided for in article 9 of the present ordinance</w:t>
      </w:r>
      <w:r w:rsidR="005641F1">
        <w:rPr>
          <w:lang w:val="en-US"/>
        </w:rPr>
        <w:t>.</w:t>
      </w:r>
      <w:r w:rsidR="004A59E9">
        <w:rPr>
          <w:lang w:val="en-US"/>
        </w:rPr>
        <w:t>”</w:t>
      </w:r>
      <w:r w:rsidR="00A04414" w:rsidRPr="00A04414">
        <w:rPr>
          <w:lang w:val="en-US"/>
        </w:rPr>
        <w:t xml:space="preserve"> Furthermore, Article 5 prohibits any activity </w:t>
      </w:r>
      <w:r w:rsidR="004A59E9">
        <w:rPr>
          <w:lang w:val="en-US"/>
        </w:rPr>
        <w:t>“</w:t>
      </w:r>
      <w:r w:rsidR="00A04414" w:rsidRPr="00A04414">
        <w:rPr>
          <w:lang w:val="en-US"/>
        </w:rPr>
        <w:t>in premises intended for the exercise of religious worship, which would be contrary to the nature and objectives for which (the premises) are intended</w:t>
      </w:r>
      <w:r w:rsidR="005641F1">
        <w:rPr>
          <w:lang w:val="en-US"/>
        </w:rPr>
        <w:t>.</w:t>
      </w:r>
      <w:r w:rsidR="004A59E9">
        <w:rPr>
          <w:lang w:val="en-US"/>
        </w:rPr>
        <w:t>”</w:t>
      </w:r>
      <w:r w:rsidR="00A04414" w:rsidRPr="00A04414">
        <w:rPr>
          <w:lang w:val="en-US"/>
        </w:rPr>
        <w:t xml:space="preserve"> For the most part, small communities do not have the material resources to construct compliant buildings and are therefore deprived of the opportunity to meet.</w:t>
      </w:r>
    </w:p>
    <w:p w14:paraId="49CE00D5" w14:textId="77777777" w:rsidR="007D5C8D" w:rsidRPr="00A7188F" w:rsidRDefault="007D5C8D" w:rsidP="008F0D47">
      <w:pPr>
        <w:jc w:val="both"/>
        <w:rPr>
          <w:lang w:val="en-US"/>
        </w:rPr>
      </w:pPr>
    </w:p>
    <w:p w14:paraId="7F711697" w14:textId="7D7D9B88" w:rsidR="007D5C8D" w:rsidRPr="00A7188F" w:rsidRDefault="00273705" w:rsidP="008F0D47">
      <w:pPr>
        <w:jc w:val="both"/>
        <w:rPr>
          <w:lang w:val="en-US"/>
        </w:rPr>
      </w:pPr>
      <w:r w:rsidRPr="00A7188F">
        <w:rPr>
          <w:lang w:val="en-US"/>
        </w:rPr>
        <w:t>7.</w:t>
      </w:r>
      <w:r w:rsidRPr="00A7188F">
        <w:rPr>
          <w:lang w:val="en-US"/>
        </w:rPr>
        <w:tab/>
      </w:r>
      <w:r w:rsidRPr="00A7188F">
        <w:rPr>
          <w:b/>
          <w:bCs/>
          <w:lang w:val="en-US"/>
        </w:rPr>
        <w:t>Restriction</w:t>
      </w:r>
      <w:r w:rsidR="00450C95">
        <w:rPr>
          <w:b/>
          <w:bCs/>
          <w:lang w:val="en-US"/>
        </w:rPr>
        <w:t>s</w:t>
      </w:r>
      <w:r w:rsidRPr="00A7188F">
        <w:rPr>
          <w:b/>
          <w:bCs/>
          <w:lang w:val="en-US"/>
        </w:rPr>
        <w:t xml:space="preserve"> to freedom </w:t>
      </w:r>
      <w:r w:rsidR="007D5C8D" w:rsidRPr="00A7188F">
        <w:rPr>
          <w:b/>
          <w:bCs/>
          <w:lang w:val="en-US"/>
        </w:rPr>
        <w:t>of conscience</w:t>
      </w:r>
      <w:r w:rsidRPr="00A7188F">
        <w:rPr>
          <w:lang w:val="en-US"/>
        </w:rPr>
        <w:t xml:space="preserve">. </w:t>
      </w:r>
      <w:r w:rsidR="00FF1C8D" w:rsidRPr="00FF1C8D">
        <w:rPr>
          <w:lang w:val="en-US"/>
        </w:rPr>
        <w:t xml:space="preserve">The new Constitution of 2020 abolished Article 36, which provided for the inviolability of freedom of conscience. </w:t>
      </w:r>
      <w:r w:rsidR="00FF1C8D">
        <w:rPr>
          <w:lang w:val="en-US"/>
        </w:rPr>
        <w:t>Now</w:t>
      </w:r>
      <w:r w:rsidR="00FF1C8D" w:rsidRPr="00FF1C8D">
        <w:rPr>
          <w:lang w:val="en-US"/>
        </w:rPr>
        <w:t xml:space="preserve">, freedom of opinion and freedom of worship </w:t>
      </w:r>
      <w:r w:rsidR="005641F1">
        <w:rPr>
          <w:lang w:val="en-US"/>
        </w:rPr>
        <w:t xml:space="preserve">only </w:t>
      </w:r>
      <w:r w:rsidR="00FF1C8D" w:rsidRPr="00FF1C8D">
        <w:rPr>
          <w:lang w:val="en-US"/>
        </w:rPr>
        <w:t xml:space="preserve">are provided for in Article 51. However, </w:t>
      </w:r>
      <w:r w:rsidR="005641F1">
        <w:rPr>
          <w:lang w:val="en-US"/>
        </w:rPr>
        <w:t xml:space="preserve">it does </w:t>
      </w:r>
      <w:r w:rsidR="00FF1C8D" w:rsidRPr="00FF1C8D">
        <w:rPr>
          <w:lang w:val="en-US"/>
        </w:rPr>
        <w:t xml:space="preserve">not guarantee freedom of conscience, which is the right to believe or not to believe and to change religion. Ordinance 06-03 essentially prohibits proselytizing and the distribution of any Christian literature, so as not to incite or </w:t>
      </w:r>
      <w:r w:rsidR="00DD6A06">
        <w:rPr>
          <w:lang w:val="en-US"/>
        </w:rPr>
        <w:t>“</w:t>
      </w:r>
      <w:r w:rsidR="00FF1C8D" w:rsidRPr="00FF1C8D">
        <w:rPr>
          <w:lang w:val="en-US"/>
        </w:rPr>
        <w:t>shake the faith of a Muslim</w:t>
      </w:r>
      <w:r w:rsidR="00DD6A06">
        <w:rPr>
          <w:lang w:val="en-US"/>
        </w:rPr>
        <w:t>”</w:t>
      </w:r>
      <w:r w:rsidR="00FF1C8D" w:rsidRPr="00FF1C8D">
        <w:rPr>
          <w:lang w:val="en-US"/>
        </w:rPr>
        <w:t xml:space="preserve"> (article 11). Anyone who </w:t>
      </w:r>
      <w:r w:rsidR="00DD6A06">
        <w:rPr>
          <w:lang w:val="en-US"/>
        </w:rPr>
        <w:t>“</w:t>
      </w:r>
      <w:r w:rsidR="00FF1C8D" w:rsidRPr="00FF1C8D">
        <w:rPr>
          <w:lang w:val="en-US"/>
        </w:rPr>
        <w:t>manufactures, stocks or distributes Christian printed documents or audiovisual sequences</w:t>
      </w:r>
      <w:r w:rsidR="00DD6A06">
        <w:rPr>
          <w:lang w:val="en-US"/>
        </w:rPr>
        <w:t>”</w:t>
      </w:r>
      <w:r w:rsidR="00FF1C8D" w:rsidRPr="00FF1C8D">
        <w:rPr>
          <w:lang w:val="en-US"/>
        </w:rPr>
        <w:t xml:space="preserve"> is liable to a prison sentence of two to five years. Law no. 09-01 of June 6, 2001 prohibits blasphemy against Islam and punishes </w:t>
      </w:r>
      <w:r w:rsidR="00DD6A06">
        <w:rPr>
          <w:lang w:val="en-US"/>
        </w:rPr>
        <w:t>“</w:t>
      </w:r>
      <w:r w:rsidR="00FF1C8D" w:rsidRPr="00FF1C8D">
        <w:rPr>
          <w:lang w:val="en-US"/>
        </w:rPr>
        <w:t>anyone who offends the Prophet and messengers of God, or denigrates the dogmas or precepts of Islam, whether by writing, drawing, declaration or any other means, with three to five years</w:t>
      </w:r>
      <w:r w:rsidR="005641F1">
        <w:rPr>
          <w:lang w:val="en-US"/>
        </w:rPr>
        <w:t>’</w:t>
      </w:r>
      <w:r w:rsidR="00FF1C8D" w:rsidRPr="00FF1C8D">
        <w:rPr>
          <w:lang w:val="en-US"/>
        </w:rPr>
        <w:t xml:space="preserve"> imprisonment and a fine of fifty thousand to one </w:t>
      </w:r>
      <w:r w:rsidR="00FF1C8D" w:rsidRPr="00FF1C8D">
        <w:rPr>
          <w:lang w:val="en-US"/>
        </w:rPr>
        <w:lastRenderedPageBreak/>
        <w:t>hundred thousand dinars</w:t>
      </w:r>
      <w:r w:rsidR="00DD6A06">
        <w:rPr>
          <w:lang w:val="en-US"/>
        </w:rPr>
        <w:t>”</w:t>
      </w:r>
      <w:r w:rsidR="00FF1C8D" w:rsidRPr="00FF1C8D">
        <w:rPr>
          <w:lang w:val="en-US"/>
        </w:rPr>
        <w:t xml:space="preserve"> (</w:t>
      </w:r>
      <w:r w:rsidR="00DD6A06">
        <w:rPr>
          <w:lang w:val="en-US"/>
        </w:rPr>
        <w:t>A</w:t>
      </w:r>
      <w:r w:rsidR="00FF1C8D" w:rsidRPr="00FF1C8D">
        <w:rPr>
          <w:lang w:val="en-US"/>
        </w:rPr>
        <w:t>rticle 144 bis 2). Furthermore, Ordinance no. 06-03 prohibits the conversion of a Muslim to another religion (</w:t>
      </w:r>
      <w:r w:rsidR="00DD6A06">
        <w:rPr>
          <w:lang w:val="en-US"/>
        </w:rPr>
        <w:t>A</w:t>
      </w:r>
      <w:r w:rsidR="00FF1C8D" w:rsidRPr="00FF1C8D">
        <w:rPr>
          <w:lang w:val="en-US"/>
        </w:rPr>
        <w:t>rticle 11).</w:t>
      </w:r>
    </w:p>
    <w:p w14:paraId="56CC4C84" w14:textId="77777777" w:rsidR="00273705" w:rsidRPr="00A7188F" w:rsidRDefault="00273705" w:rsidP="008F0D47">
      <w:pPr>
        <w:jc w:val="both"/>
        <w:rPr>
          <w:b/>
          <w:bCs/>
          <w:lang w:val="en-US"/>
        </w:rPr>
      </w:pPr>
    </w:p>
    <w:p w14:paraId="37EEF33C" w14:textId="37CC04F8" w:rsidR="00C05566" w:rsidRPr="00A7188F" w:rsidRDefault="00BA4A67" w:rsidP="008F0D47">
      <w:pPr>
        <w:jc w:val="both"/>
        <w:rPr>
          <w:lang w:val="en-US"/>
        </w:rPr>
      </w:pPr>
      <w:r w:rsidRPr="00A7188F">
        <w:rPr>
          <w:lang w:val="en-US"/>
        </w:rPr>
        <w:t>8</w:t>
      </w:r>
      <w:r w:rsidR="004919D5" w:rsidRPr="00A7188F">
        <w:rPr>
          <w:lang w:val="en-US"/>
        </w:rPr>
        <w:t>.</w:t>
      </w:r>
      <w:r w:rsidR="004919D5" w:rsidRPr="00A7188F">
        <w:rPr>
          <w:lang w:val="en-US"/>
        </w:rPr>
        <w:tab/>
      </w:r>
      <w:r w:rsidR="00C05566" w:rsidRPr="00A7188F">
        <w:rPr>
          <w:b/>
          <w:bCs/>
          <w:lang w:val="en-US"/>
        </w:rPr>
        <w:t xml:space="preserve">Restriction </w:t>
      </w:r>
      <w:r w:rsidR="007D5C8D" w:rsidRPr="00A7188F">
        <w:rPr>
          <w:b/>
          <w:bCs/>
          <w:lang w:val="en-US"/>
        </w:rPr>
        <w:t>to</w:t>
      </w:r>
      <w:r w:rsidR="00C05566" w:rsidRPr="00A7188F">
        <w:rPr>
          <w:b/>
          <w:bCs/>
          <w:lang w:val="en-US"/>
        </w:rPr>
        <w:t xml:space="preserve"> freedom of association.</w:t>
      </w:r>
      <w:r w:rsidR="00C05566" w:rsidRPr="00A7188F">
        <w:rPr>
          <w:lang w:val="en-US"/>
        </w:rPr>
        <w:t xml:space="preserve"> </w:t>
      </w:r>
      <w:r w:rsidR="00D626B8" w:rsidRPr="00D626B8">
        <w:rPr>
          <w:lang w:val="en-US"/>
        </w:rPr>
        <w:t>Ordinance no. 06-03 imposes strict controls on the creation, approval and operation of religious associations, subject to prior registration (</w:t>
      </w:r>
      <w:r w:rsidR="00D626B8">
        <w:rPr>
          <w:lang w:val="en-US"/>
        </w:rPr>
        <w:t>A</w:t>
      </w:r>
      <w:r w:rsidR="00D626B8" w:rsidRPr="00D626B8">
        <w:rPr>
          <w:lang w:val="en-US"/>
        </w:rPr>
        <w:t xml:space="preserve">rticle 6), which should not be compulsory. Law no. 12-06 of January 12, 2012 grants excessive discretionary power to the government in approving associations, which can arbitrarily refuse to register an association if it decides that the object and aims of its activities are contrary to national values, public order, morality and the provisions of laws and regulations in force (Article 2 and Article 10). Article 47 of the law imposes heavy constraints and deadlines for the granting of legal personality, with a double opinion required by the national commission for the exercise of religious practices and by the administration responsible for approval. Article 6 of this law requires too high a minimum number of members to grant legal personality to associations. Article 19 allows excessive intrusion by public authorities into religious affairs. The conditions for suspending or dissolving an association </w:t>
      </w:r>
      <w:r w:rsidR="005641F1">
        <w:rPr>
          <w:lang w:val="en-US"/>
        </w:rPr>
        <w:t>“</w:t>
      </w:r>
      <w:r w:rsidR="00D626B8" w:rsidRPr="00D626B8">
        <w:rPr>
          <w:lang w:val="en-US"/>
        </w:rPr>
        <w:t>in the event of interference in the internal affairs of the country or infringement of national sovereignty,</w:t>
      </w:r>
      <w:r w:rsidR="005641F1">
        <w:rPr>
          <w:lang w:val="en-US"/>
        </w:rPr>
        <w:t>”</w:t>
      </w:r>
      <w:r w:rsidR="00D626B8" w:rsidRPr="00D626B8">
        <w:rPr>
          <w:lang w:val="en-US"/>
        </w:rPr>
        <w:t xml:space="preserve"> as provided for in Article 3</w:t>
      </w:r>
      <w:r w:rsidR="00D626B8">
        <w:rPr>
          <w:lang w:val="en-US"/>
        </w:rPr>
        <w:t>9</w:t>
      </w:r>
      <w:r w:rsidR="00D626B8" w:rsidRPr="00D626B8">
        <w:rPr>
          <w:lang w:val="en-US"/>
        </w:rPr>
        <w:t>, need to be relaxed.</w:t>
      </w:r>
    </w:p>
    <w:p w14:paraId="6CD74352" w14:textId="77777777" w:rsidR="007D5C8D" w:rsidRPr="00A7188F" w:rsidRDefault="007D5C8D" w:rsidP="008F0D47">
      <w:pPr>
        <w:jc w:val="both"/>
        <w:rPr>
          <w:b/>
          <w:bCs/>
          <w:lang w:val="en-US"/>
        </w:rPr>
      </w:pPr>
    </w:p>
    <w:p w14:paraId="1CCF017E" w14:textId="3DD366CF" w:rsidR="00C05566" w:rsidRPr="00A7188F" w:rsidRDefault="00BA4A67" w:rsidP="008F0D47">
      <w:pPr>
        <w:jc w:val="both"/>
        <w:rPr>
          <w:lang w:val="en-US"/>
        </w:rPr>
      </w:pPr>
      <w:r w:rsidRPr="00A7188F">
        <w:rPr>
          <w:lang w:val="en-US"/>
        </w:rPr>
        <w:t>9</w:t>
      </w:r>
      <w:r w:rsidR="004919D5" w:rsidRPr="00A7188F">
        <w:rPr>
          <w:lang w:val="en-US"/>
        </w:rPr>
        <w:t>.</w:t>
      </w:r>
      <w:r w:rsidR="004919D5" w:rsidRPr="00A7188F">
        <w:rPr>
          <w:lang w:val="en-US"/>
        </w:rPr>
        <w:tab/>
      </w:r>
      <w:r w:rsidR="00C05566" w:rsidRPr="00A7188F">
        <w:rPr>
          <w:b/>
          <w:bCs/>
          <w:lang w:val="en-US"/>
        </w:rPr>
        <w:t xml:space="preserve">Restriction </w:t>
      </w:r>
      <w:r w:rsidR="007D5C8D" w:rsidRPr="00A7188F">
        <w:rPr>
          <w:b/>
          <w:bCs/>
          <w:lang w:val="en-US"/>
        </w:rPr>
        <w:t>to</w:t>
      </w:r>
      <w:r w:rsidR="00C05566" w:rsidRPr="00A7188F">
        <w:rPr>
          <w:b/>
          <w:bCs/>
          <w:lang w:val="en-US"/>
        </w:rPr>
        <w:t xml:space="preserve"> </w:t>
      </w:r>
      <w:r w:rsidR="001B11A2">
        <w:rPr>
          <w:b/>
          <w:bCs/>
          <w:lang w:val="en-US"/>
        </w:rPr>
        <w:t>the right</w:t>
      </w:r>
      <w:r w:rsidR="00C05566" w:rsidRPr="00A7188F">
        <w:rPr>
          <w:b/>
          <w:bCs/>
          <w:lang w:val="en-US"/>
        </w:rPr>
        <w:t xml:space="preserve"> of assembly. </w:t>
      </w:r>
      <w:r w:rsidR="00C05566" w:rsidRPr="00A7188F">
        <w:rPr>
          <w:lang w:val="en-US"/>
        </w:rPr>
        <w:t xml:space="preserve">Ordinance no. 06-03 adds that anyone </w:t>
      </w:r>
      <w:r w:rsidR="007F28D6" w:rsidRPr="00A7188F">
        <w:rPr>
          <w:lang w:val="en-US"/>
        </w:rPr>
        <w:t>practicing</w:t>
      </w:r>
      <w:r w:rsidR="00C05566" w:rsidRPr="00A7188F">
        <w:rPr>
          <w:lang w:val="en-US"/>
        </w:rPr>
        <w:t xml:space="preserve"> unauthorized worship in a building not intended for the purpose is liable to one to three years</w:t>
      </w:r>
      <w:r w:rsidR="005641F1">
        <w:rPr>
          <w:lang w:val="en-US"/>
        </w:rPr>
        <w:t>’</w:t>
      </w:r>
      <w:r w:rsidR="00C05566" w:rsidRPr="00A7188F">
        <w:rPr>
          <w:lang w:val="en-US"/>
        </w:rPr>
        <w:t xml:space="preserve"> imprisonment and a fine of 100,000 to 300,000 dinars (article 13).</w:t>
      </w:r>
    </w:p>
    <w:p w14:paraId="13F3000F" w14:textId="77777777" w:rsidR="007D5C8D" w:rsidRPr="00A7188F" w:rsidRDefault="007D5C8D" w:rsidP="008F0D47">
      <w:pPr>
        <w:jc w:val="both"/>
        <w:rPr>
          <w:lang w:val="en-US"/>
        </w:rPr>
      </w:pPr>
    </w:p>
    <w:p w14:paraId="2D8CD71F" w14:textId="6DDB1CDA" w:rsidR="004919D5" w:rsidRPr="00A7188F" w:rsidRDefault="004919D5" w:rsidP="008F0D47">
      <w:pPr>
        <w:jc w:val="both"/>
        <w:rPr>
          <w:lang w:val="en-US"/>
        </w:rPr>
      </w:pPr>
      <w:r w:rsidRPr="00A7188F">
        <w:rPr>
          <w:lang w:val="en-US"/>
        </w:rPr>
        <w:t>1</w:t>
      </w:r>
      <w:r w:rsidR="00BA4A67" w:rsidRPr="00A7188F">
        <w:rPr>
          <w:lang w:val="en-US"/>
        </w:rPr>
        <w:t>0</w:t>
      </w:r>
      <w:r w:rsidRPr="00A7188F">
        <w:rPr>
          <w:lang w:val="en-US"/>
        </w:rPr>
        <w:t>.</w:t>
      </w:r>
      <w:r w:rsidRPr="00A7188F">
        <w:rPr>
          <w:lang w:val="en-US"/>
        </w:rPr>
        <w:tab/>
      </w:r>
      <w:r w:rsidR="00C05566" w:rsidRPr="00A7188F">
        <w:rPr>
          <w:b/>
          <w:bCs/>
          <w:lang w:val="en-US"/>
        </w:rPr>
        <w:t>Restriction</w:t>
      </w:r>
      <w:r w:rsidR="001B11A2">
        <w:rPr>
          <w:b/>
          <w:bCs/>
          <w:lang w:val="en-US"/>
        </w:rPr>
        <w:t xml:space="preserve"> to</w:t>
      </w:r>
      <w:r w:rsidR="00C05566" w:rsidRPr="00A7188F">
        <w:rPr>
          <w:b/>
          <w:bCs/>
          <w:lang w:val="en-US"/>
        </w:rPr>
        <w:t xml:space="preserve"> </w:t>
      </w:r>
      <w:r w:rsidR="001B11A2" w:rsidRPr="001B11A2">
        <w:rPr>
          <w:b/>
          <w:bCs/>
          <w:lang w:val="en-US"/>
        </w:rPr>
        <w:t>the right to marry and found a family</w:t>
      </w:r>
      <w:r w:rsidR="00C05566" w:rsidRPr="00A7188F">
        <w:rPr>
          <w:b/>
          <w:bCs/>
          <w:lang w:val="en-US"/>
        </w:rPr>
        <w:t xml:space="preserve">. </w:t>
      </w:r>
      <w:r w:rsidR="00C05566" w:rsidRPr="00A7188F">
        <w:rPr>
          <w:lang w:val="en-US"/>
        </w:rPr>
        <w:t>Mixed marriages are restricted</w:t>
      </w:r>
      <w:r w:rsidR="007F28D6" w:rsidRPr="00A7188F">
        <w:rPr>
          <w:lang w:val="en-US"/>
        </w:rPr>
        <w:t>. T</w:t>
      </w:r>
      <w:r w:rsidR="00C05566" w:rsidRPr="00A7188F">
        <w:rPr>
          <w:lang w:val="en-US"/>
        </w:rPr>
        <w:t xml:space="preserve">he Family Code forbids a Muslim woman to marry a non-Muslim man (article 31). </w:t>
      </w:r>
      <w:r w:rsidR="007F28D6" w:rsidRPr="00A7188F">
        <w:rPr>
          <w:lang w:val="en-US"/>
        </w:rPr>
        <w:t>A</w:t>
      </w:r>
      <w:r w:rsidR="00C05566" w:rsidRPr="00A7188F">
        <w:rPr>
          <w:lang w:val="en-US"/>
        </w:rPr>
        <w:t>doption</w:t>
      </w:r>
      <w:r w:rsidR="007F28D6" w:rsidRPr="00A7188F">
        <w:rPr>
          <w:lang w:val="en-US"/>
        </w:rPr>
        <w:t xml:space="preserve"> is </w:t>
      </w:r>
      <w:r w:rsidR="00BA4A67" w:rsidRPr="00A7188F">
        <w:rPr>
          <w:lang w:val="en-US"/>
        </w:rPr>
        <w:t>forbidden</w:t>
      </w:r>
      <w:r w:rsidR="00C05566" w:rsidRPr="00A7188F">
        <w:rPr>
          <w:lang w:val="en-US"/>
        </w:rPr>
        <w:t xml:space="preserve"> and the Family Code only authorizes guardianship of a child taken in by Muslims (article 118), taken up by Ordinance no. 05-02 of February 27, 2005, amending and supplementing law no. 84-11 of June 9, 1984.</w:t>
      </w:r>
    </w:p>
    <w:p w14:paraId="0DBC3A72" w14:textId="77777777" w:rsidR="007F28D6" w:rsidRPr="00A7188F" w:rsidRDefault="007F28D6" w:rsidP="008F0D47">
      <w:pPr>
        <w:jc w:val="both"/>
        <w:rPr>
          <w:lang w:val="en-US"/>
        </w:rPr>
      </w:pPr>
    </w:p>
    <w:p w14:paraId="0F2581D4" w14:textId="6E16E8B3" w:rsidR="004919D5" w:rsidRPr="00A7188F" w:rsidRDefault="004919D5" w:rsidP="008F0D47">
      <w:pPr>
        <w:jc w:val="both"/>
        <w:rPr>
          <w:lang w:val="en-US"/>
        </w:rPr>
      </w:pPr>
      <w:r w:rsidRPr="00A7188F">
        <w:rPr>
          <w:lang w:val="en-US"/>
        </w:rPr>
        <w:t>1</w:t>
      </w:r>
      <w:r w:rsidR="00BA4A67" w:rsidRPr="00A7188F">
        <w:rPr>
          <w:lang w:val="en-US"/>
        </w:rPr>
        <w:t>1</w:t>
      </w:r>
      <w:r w:rsidRPr="00A7188F">
        <w:rPr>
          <w:lang w:val="en-US"/>
        </w:rPr>
        <w:t>.</w:t>
      </w:r>
      <w:r w:rsidRPr="00A7188F">
        <w:rPr>
          <w:lang w:val="en-US"/>
        </w:rPr>
        <w:tab/>
      </w:r>
      <w:r w:rsidR="007F28D6" w:rsidRPr="00A7188F">
        <w:rPr>
          <w:b/>
          <w:bCs/>
          <w:lang w:val="en-US"/>
        </w:rPr>
        <w:t>Restriction</w:t>
      </w:r>
      <w:r w:rsidR="00C05566" w:rsidRPr="00A7188F">
        <w:rPr>
          <w:b/>
          <w:bCs/>
          <w:lang w:val="en-US"/>
        </w:rPr>
        <w:t xml:space="preserve"> </w:t>
      </w:r>
      <w:r w:rsidR="007F28D6" w:rsidRPr="00A7188F">
        <w:rPr>
          <w:b/>
          <w:bCs/>
          <w:lang w:val="en-US"/>
        </w:rPr>
        <w:t>to</w:t>
      </w:r>
      <w:r w:rsidR="00C05566" w:rsidRPr="00A7188F">
        <w:rPr>
          <w:b/>
          <w:bCs/>
          <w:lang w:val="en-US"/>
        </w:rPr>
        <w:t xml:space="preserve"> education. </w:t>
      </w:r>
      <w:r w:rsidR="00C05566" w:rsidRPr="00A7188F">
        <w:rPr>
          <w:lang w:val="en-US"/>
        </w:rPr>
        <w:t>Law no. 08-04 of January 23, 2008, the National Education Orientation Law, specifies that schools must help to perpetuate in children the image of Algeria as a Muslim and Arab country, and promote the identity and observance of Algerian moral and religious principles, namely Islam as a religion, culture and civilization (Preamble). Algeria</w:t>
      </w:r>
      <w:r w:rsidR="005641F1">
        <w:rPr>
          <w:lang w:val="en-US"/>
        </w:rPr>
        <w:t>’</w:t>
      </w:r>
      <w:r w:rsidR="00C05566" w:rsidRPr="00A7188F">
        <w:rPr>
          <w:lang w:val="en-US"/>
        </w:rPr>
        <w:t>s education reform offers a greater volume of teaching hours for Islamic education</w:t>
      </w:r>
      <w:r w:rsidR="007F28D6" w:rsidRPr="00A7188F">
        <w:rPr>
          <w:lang w:val="en-US"/>
        </w:rPr>
        <w:t xml:space="preserve"> </w:t>
      </w:r>
      <w:r w:rsidR="00C05566" w:rsidRPr="00A7188F">
        <w:rPr>
          <w:lang w:val="en-US"/>
        </w:rPr>
        <w:t>and makes no provision for the teaching of other religions.</w:t>
      </w:r>
    </w:p>
    <w:p w14:paraId="25F3736B" w14:textId="77777777" w:rsidR="007F28D6" w:rsidRPr="00A7188F" w:rsidRDefault="007F28D6" w:rsidP="008F0D47">
      <w:pPr>
        <w:jc w:val="both"/>
        <w:rPr>
          <w:lang w:val="en-US"/>
        </w:rPr>
      </w:pPr>
    </w:p>
    <w:p w14:paraId="49C5710A" w14:textId="488D4154" w:rsidR="00753B23" w:rsidRPr="00A7188F" w:rsidRDefault="004919D5" w:rsidP="008F0D47">
      <w:pPr>
        <w:jc w:val="both"/>
        <w:rPr>
          <w:lang w:val="en-US"/>
        </w:rPr>
      </w:pPr>
      <w:r w:rsidRPr="00A7188F">
        <w:rPr>
          <w:lang w:val="en-US"/>
        </w:rPr>
        <w:t>1</w:t>
      </w:r>
      <w:r w:rsidR="00BA4A67" w:rsidRPr="00A7188F">
        <w:rPr>
          <w:lang w:val="en-US"/>
        </w:rPr>
        <w:t>2</w:t>
      </w:r>
      <w:r w:rsidRPr="00A7188F">
        <w:rPr>
          <w:lang w:val="en-US"/>
        </w:rPr>
        <w:t>.</w:t>
      </w:r>
      <w:r w:rsidRPr="00A7188F">
        <w:rPr>
          <w:lang w:val="en-US"/>
        </w:rPr>
        <w:tab/>
      </w:r>
      <w:r w:rsidR="007F28D6" w:rsidRPr="00A7188F">
        <w:rPr>
          <w:b/>
          <w:bCs/>
          <w:lang w:val="en-US"/>
        </w:rPr>
        <w:t>Restriction to</w:t>
      </w:r>
      <w:r w:rsidR="00C05566" w:rsidRPr="00A7188F">
        <w:rPr>
          <w:b/>
          <w:bCs/>
          <w:lang w:val="en-US"/>
        </w:rPr>
        <w:t xml:space="preserve"> property rights. </w:t>
      </w:r>
      <w:r w:rsidR="00C05566" w:rsidRPr="00A7188F">
        <w:rPr>
          <w:lang w:val="en-US"/>
        </w:rPr>
        <w:t>The Family Code excludes anathematized persons and apostates from inheritance rights (article 138).</w:t>
      </w:r>
    </w:p>
    <w:p w14:paraId="3B11BB43" w14:textId="2538CF7D" w:rsidR="00753B23" w:rsidRPr="00A7188F" w:rsidRDefault="00753B23" w:rsidP="008F0D47">
      <w:pPr>
        <w:jc w:val="both"/>
        <w:rPr>
          <w:lang w:val="en-US"/>
        </w:rPr>
      </w:pPr>
    </w:p>
    <w:p w14:paraId="084C3912" w14:textId="30040272" w:rsidR="0083103F" w:rsidRPr="008B359F" w:rsidRDefault="0083103F" w:rsidP="008F0D47">
      <w:pPr>
        <w:jc w:val="both"/>
        <w:rPr>
          <w:lang w:val="en-US"/>
        </w:rPr>
      </w:pPr>
      <w:r w:rsidRPr="00A7188F">
        <w:rPr>
          <w:lang w:val="en-US"/>
        </w:rPr>
        <w:t>1</w:t>
      </w:r>
      <w:r w:rsidR="00BA4A67" w:rsidRPr="00A7188F">
        <w:rPr>
          <w:lang w:val="en-US"/>
        </w:rPr>
        <w:t>3</w:t>
      </w:r>
      <w:r w:rsidRPr="00A7188F">
        <w:rPr>
          <w:lang w:val="en-US"/>
        </w:rPr>
        <w:t>.</w:t>
      </w:r>
      <w:r w:rsidRPr="00A7188F">
        <w:rPr>
          <w:lang w:val="en-US"/>
        </w:rPr>
        <w:tab/>
      </w:r>
      <w:r w:rsidRPr="008B359F">
        <w:rPr>
          <w:lang w:val="en-US"/>
        </w:rPr>
        <w:t>The ECLJ is very concerned about Algeria’s lack of commitment to protect the freedom of religion, despite its international and domestic commitments to do so. Apparently, Algeria does not feel compelled to honor the</w:t>
      </w:r>
      <w:r w:rsidR="007F28D6" w:rsidRPr="00A7188F">
        <w:rPr>
          <w:lang w:val="en-US"/>
        </w:rPr>
        <w:t xml:space="preserve"> </w:t>
      </w:r>
      <w:r w:rsidR="008B359F">
        <w:rPr>
          <w:lang w:val="en-US"/>
        </w:rPr>
        <w:t>A</w:t>
      </w:r>
      <w:r w:rsidR="007F28D6" w:rsidRPr="00A7188F">
        <w:rPr>
          <w:lang w:val="en-US"/>
        </w:rPr>
        <w:t>rticle 2 of the 1992 Declaration on the Rights of Persons Belonging to National or Ethnic, Religious and Linguistic Minorities</w:t>
      </w:r>
      <w:r w:rsidRPr="008B359F">
        <w:rPr>
          <w:lang w:val="en-US"/>
        </w:rPr>
        <w:t xml:space="preserve">, or its own law that states that, “[t]he State equally guarantees the toleration and respect of different religions”. Not only does the new Constitution specifically leave out a protection from religious discrimination, but Ordinance </w:t>
      </w:r>
      <w:r w:rsidR="00450C95" w:rsidRPr="00450C95">
        <w:rPr>
          <w:lang w:val="en-US"/>
        </w:rPr>
        <w:t>0</w:t>
      </w:r>
      <w:r w:rsidRPr="008B359F">
        <w:rPr>
          <w:lang w:val="en-US"/>
        </w:rPr>
        <w:t>6-03, Penal Code</w:t>
      </w:r>
      <w:r w:rsidR="007F28D6" w:rsidRPr="00A7188F">
        <w:rPr>
          <w:lang w:val="en-US"/>
        </w:rPr>
        <w:t>, Family</w:t>
      </w:r>
      <w:r w:rsidRPr="008B359F">
        <w:rPr>
          <w:lang w:val="en-US"/>
        </w:rPr>
        <w:t xml:space="preserve"> and Law 12-06 </w:t>
      </w:r>
      <w:r w:rsidR="00F91937" w:rsidRPr="008B359F">
        <w:rPr>
          <w:lang w:val="en-US"/>
        </w:rPr>
        <w:t>promote</w:t>
      </w:r>
      <w:r w:rsidRPr="008B359F">
        <w:rPr>
          <w:lang w:val="en-US"/>
        </w:rPr>
        <w:t xml:space="preserve"> discrimination by punishing any minority religion that dares to </w:t>
      </w:r>
      <w:r w:rsidR="008B359F" w:rsidRPr="008B359F">
        <w:rPr>
          <w:lang w:val="en-US"/>
        </w:rPr>
        <w:t>proselytize</w:t>
      </w:r>
      <w:r w:rsidRPr="008B359F">
        <w:rPr>
          <w:lang w:val="en-US"/>
        </w:rPr>
        <w:t>, or insult Islam, as well as targeting and shutting down their churches</w:t>
      </w:r>
      <w:r w:rsidRPr="00A7188F">
        <w:rPr>
          <w:rStyle w:val="Appelnotedebasdep"/>
        </w:rPr>
        <w:footnoteReference w:id="6"/>
      </w:r>
      <w:r w:rsidRPr="008B359F">
        <w:rPr>
          <w:lang w:val="en-US"/>
        </w:rPr>
        <w:t>.</w:t>
      </w:r>
      <w:r w:rsidR="00D83F6C" w:rsidRPr="00A7188F">
        <w:rPr>
          <w:lang w:val="en-US"/>
        </w:rPr>
        <w:t xml:space="preserve"> T</w:t>
      </w:r>
      <w:r w:rsidR="00D83F6C" w:rsidRPr="008B359F">
        <w:rPr>
          <w:lang w:val="en-US"/>
        </w:rPr>
        <w:t xml:space="preserve">he government must stop its targeted attack against Christian </w:t>
      </w:r>
      <w:r w:rsidR="00D83F6C" w:rsidRPr="008B359F">
        <w:rPr>
          <w:lang w:val="en-US"/>
        </w:rPr>
        <w:lastRenderedPageBreak/>
        <w:t xml:space="preserve">associations and allow them to </w:t>
      </w:r>
      <w:r w:rsidR="00F91937" w:rsidRPr="008B359F">
        <w:rPr>
          <w:lang w:val="en-US"/>
        </w:rPr>
        <w:t>operate so openly and freely</w:t>
      </w:r>
      <w:r w:rsidR="00D83F6C" w:rsidRPr="008B359F">
        <w:rPr>
          <w:lang w:val="en-US"/>
        </w:rPr>
        <w:t xml:space="preserve"> that every Algerian citizen is able to exercise freedom of religion and belief</w:t>
      </w:r>
      <w:r w:rsidR="00D83F6C" w:rsidRPr="00A7188F">
        <w:rPr>
          <w:rStyle w:val="Appelnotedebasdep"/>
        </w:rPr>
        <w:footnoteReference w:id="7"/>
      </w:r>
      <w:r w:rsidR="004528A2">
        <w:rPr>
          <w:lang w:val="en-US"/>
        </w:rPr>
        <w:t>.</w:t>
      </w:r>
    </w:p>
    <w:p w14:paraId="0F7CA26B" w14:textId="6F362581" w:rsidR="0083103F" w:rsidRPr="00A7188F" w:rsidRDefault="0083103F" w:rsidP="008F0D47">
      <w:pPr>
        <w:jc w:val="both"/>
        <w:rPr>
          <w:lang w:val="en-US"/>
        </w:rPr>
      </w:pPr>
    </w:p>
    <w:p w14:paraId="49852783" w14:textId="711F9017" w:rsidR="00753B23" w:rsidRPr="00A7188F" w:rsidRDefault="00753B23" w:rsidP="008F0D47">
      <w:pPr>
        <w:pStyle w:val="Titre1"/>
        <w:spacing w:after="0" w:line="240" w:lineRule="auto"/>
        <w:ind w:left="0" w:firstLine="0"/>
      </w:pPr>
      <w:r w:rsidRPr="00A7188F">
        <w:t>T</w:t>
      </w:r>
      <w:r w:rsidR="005A7487" w:rsidRPr="00A7188F">
        <w:t>he case of Morocco</w:t>
      </w:r>
    </w:p>
    <w:p w14:paraId="2F70B75E" w14:textId="77777777" w:rsidR="00753B23" w:rsidRPr="00A7188F" w:rsidRDefault="00753B23" w:rsidP="008F0D47">
      <w:pPr>
        <w:pStyle w:val="Paragraphedeliste"/>
        <w:spacing w:after="0" w:line="240" w:lineRule="auto"/>
        <w:ind w:left="0"/>
        <w:jc w:val="both"/>
        <w:rPr>
          <w:lang w:val="en-US"/>
        </w:rPr>
      </w:pPr>
    </w:p>
    <w:p w14:paraId="73DAE0EA" w14:textId="0EE27C25" w:rsidR="00122252" w:rsidRPr="00A7188F" w:rsidRDefault="00BA4A67" w:rsidP="008F0D47">
      <w:pPr>
        <w:jc w:val="both"/>
        <w:rPr>
          <w:lang w:val="en-US"/>
        </w:rPr>
      </w:pPr>
      <w:r w:rsidRPr="00A7188F">
        <w:rPr>
          <w:lang w:val="en-US"/>
        </w:rPr>
        <w:t>14.</w:t>
      </w:r>
      <w:r w:rsidRPr="00A7188F">
        <w:rPr>
          <w:lang w:val="en-US"/>
        </w:rPr>
        <w:tab/>
      </w:r>
      <w:r w:rsidRPr="008B359F">
        <w:rPr>
          <w:lang w:val="en-US"/>
        </w:rPr>
        <w:t xml:space="preserve">Morocco </w:t>
      </w:r>
      <w:r w:rsidR="00A52EA2" w:rsidRPr="00A7188F">
        <w:rPr>
          <w:lang w:val="en-US"/>
        </w:rPr>
        <w:t>has an estimated</w:t>
      </w:r>
      <w:r w:rsidRPr="008B359F">
        <w:rPr>
          <w:lang w:val="en-US"/>
        </w:rPr>
        <w:t xml:space="preserve"> population of 26.5 million people</w:t>
      </w:r>
      <w:r w:rsidR="00A52EA2" w:rsidRPr="00A7188F">
        <w:rPr>
          <w:rStyle w:val="Appelnotedebasdep"/>
        </w:rPr>
        <w:footnoteReference w:id="8"/>
      </w:r>
      <w:r w:rsidRPr="008B359F">
        <w:rPr>
          <w:lang w:val="en-US"/>
        </w:rPr>
        <w:t xml:space="preserve">. It is a </w:t>
      </w:r>
      <w:r w:rsidR="008B359F" w:rsidRPr="008B359F">
        <w:rPr>
          <w:lang w:val="en-US"/>
        </w:rPr>
        <w:t>predomina</w:t>
      </w:r>
      <w:r w:rsidR="008B359F">
        <w:rPr>
          <w:lang w:val="en-US"/>
        </w:rPr>
        <w:t>n</w:t>
      </w:r>
      <w:r w:rsidR="008B359F" w:rsidRPr="008B359F">
        <w:rPr>
          <w:lang w:val="en-US"/>
        </w:rPr>
        <w:t>tly</w:t>
      </w:r>
      <w:r w:rsidRPr="008B359F">
        <w:rPr>
          <w:lang w:val="en-US"/>
        </w:rPr>
        <w:t xml:space="preserve"> Muslim country with 99% of the country identifying as Sunni Muslim</w:t>
      </w:r>
      <w:r w:rsidR="00A52EA2" w:rsidRPr="00A7188F">
        <w:rPr>
          <w:rStyle w:val="Appelnotedebasdep"/>
        </w:rPr>
        <w:footnoteReference w:id="9"/>
      </w:r>
      <w:r w:rsidRPr="008B359F">
        <w:rPr>
          <w:lang w:val="en-US"/>
        </w:rPr>
        <w:t>. The remaining 1% identify as Christians, Jews, or Baha’i</w:t>
      </w:r>
      <w:r w:rsidR="00A52EA2" w:rsidRPr="00A7188F">
        <w:rPr>
          <w:rStyle w:val="Appelnotedebasdep"/>
        </w:rPr>
        <w:footnoteReference w:id="10"/>
      </w:r>
      <w:r w:rsidRPr="008B359F">
        <w:rPr>
          <w:lang w:val="en-US"/>
        </w:rPr>
        <w:t xml:space="preserve">. </w:t>
      </w:r>
      <w:r w:rsidR="0005698F" w:rsidRPr="008B359F">
        <w:rPr>
          <w:lang w:val="en-US"/>
        </w:rPr>
        <w:t>Within Morocco, Christians represent a very small fraction of the population and are essentially divided into two categories, Moroccan Christians and foreign Christians. There are approximately 40,000 foreign Christians with approximately 30,000 of them identifying as Roman Catholic and 10,000 as Protestant</w:t>
      </w:r>
      <w:r w:rsidR="0005698F" w:rsidRPr="00A7188F">
        <w:rPr>
          <w:rStyle w:val="Appelnotedebasdep"/>
        </w:rPr>
        <w:footnoteReference w:id="11"/>
      </w:r>
      <w:r w:rsidR="0005698F" w:rsidRPr="00A7188F">
        <w:rPr>
          <w:lang w:val="en-US"/>
        </w:rPr>
        <w:t xml:space="preserve">. </w:t>
      </w:r>
      <w:r w:rsidRPr="008B359F">
        <w:rPr>
          <w:lang w:val="en-US"/>
        </w:rPr>
        <w:t xml:space="preserve">In its 2022 World Watch List, the human rights watchdog </w:t>
      </w:r>
      <w:r w:rsidR="008B359F" w:rsidRPr="008B359F">
        <w:rPr>
          <w:lang w:val="en-US"/>
        </w:rPr>
        <w:t>organization</w:t>
      </w:r>
      <w:r w:rsidRPr="008B359F">
        <w:rPr>
          <w:lang w:val="en-US"/>
        </w:rPr>
        <w:t>, Open Doors, listed Morocco as the 27 th</w:t>
      </w:r>
      <w:r w:rsidR="008B359F">
        <w:rPr>
          <w:lang w:val="en-US"/>
        </w:rPr>
        <w:t>e</w:t>
      </w:r>
      <w:r w:rsidRPr="008B359F">
        <w:rPr>
          <w:lang w:val="en-US"/>
        </w:rPr>
        <w:t xml:space="preserve"> worst place for Christians to live, citing “Islamic oppression” and laws </w:t>
      </w:r>
      <w:r w:rsidR="008B359F" w:rsidRPr="008B359F">
        <w:rPr>
          <w:lang w:val="en-US"/>
        </w:rPr>
        <w:t>criminalizing</w:t>
      </w:r>
      <w:r w:rsidRPr="008B359F">
        <w:rPr>
          <w:lang w:val="en-US"/>
        </w:rPr>
        <w:t xml:space="preserve"> acts which “shake the faith of a Muslim”</w:t>
      </w:r>
      <w:r w:rsidR="00A52EA2" w:rsidRPr="00A7188F">
        <w:rPr>
          <w:rStyle w:val="Appelnotedebasdep"/>
        </w:rPr>
        <w:footnoteReference w:id="12"/>
      </w:r>
      <w:r w:rsidR="00A52EA2" w:rsidRPr="00A7188F">
        <w:rPr>
          <w:lang w:val="en-US"/>
        </w:rPr>
        <w:t xml:space="preserve">. </w:t>
      </w:r>
    </w:p>
    <w:p w14:paraId="34BF34A1" w14:textId="77777777" w:rsidR="00122252" w:rsidRPr="00A7188F" w:rsidRDefault="00122252" w:rsidP="008F0D47">
      <w:pPr>
        <w:pStyle w:val="Paragraphedeliste"/>
        <w:spacing w:after="0" w:line="240" w:lineRule="auto"/>
        <w:ind w:left="0"/>
        <w:jc w:val="both"/>
        <w:rPr>
          <w:b/>
          <w:bCs/>
          <w:sz w:val="28"/>
          <w:szCs w:val="28"/>
          <w:lang w:val="en-US"/>
        </w:rPr>
      </w:pPr>
    </w:p>
    <w:p w14:paraId="39DCC355" w14:textId="5AEF6F18" w:rsidR="00122252" w:rsidRPr="00A7188F" w:rsidRDefault="00122252" w:rsidP="008F0D47">
      <w:pPr>
        <w:jc w:val="both"/>
        <w:rPr>
          <w:lang w:val="en-US"/>
        </w:rPr>
      </w:pPr>
      <w:r w:rsidRPr="00A7188F">
        <w:rPr>
          <w:lang w:val="en-US"/>
        </w:rPr>
        <w:t>15.</w:t>
      </w:r>
      <w:r w:rsidRPr="00A7188F">
        <w:rPr>
          <w:lang w:val="en-US"/>
        </w:rPr>
        <w:tab/>
      </w:r>
      <w:r w:rsidRPr="008B359F">
        <w:rPr>
          <w:lang w:val="en-US"/>
        </w:rPr>
        <w:t>Under Article 3 of the Constitution of Morocco, “Islam is the religion of the State, which guarantees to all the free exercise of beliefs [cultes]”</w:t>
      </w:r>
      <w:r w:rsidRPr="00A7188F">
        <w:rPr>
          <w:rStyle w:val="Appelnotedebasdep"/>
        </w:rPr>
        <w:footnoteReference w:id="13"/>
      </w:r>
      <w:r w:rsidRPr="008B359F">
        <w:rPr>
          <w:lang w:val="en-US"/>
        </w:rPr>
        <w:t>. Furthermore, Article 41 establishes that the King is the “Commander of the Faithful” and that “He is the Guarantor of the free exercise of beliefs [cultes]”</w:t>
      </w:r>
      <w:r w:rsidRPr="00A7188F">
        <w:rPr>
          <w:rStyle w:val="Appelnotedebasdep"/>
        </w:rPr>
        <w:footnoteReference w:id="14"/>
      </w:r>
      <w:r w:rsidRPr="008B359F">
        <w:rPr>
          <w:lang w:val="en-US"/>
        </w:rPr>
        <w:t>.</w:t>
      </w:r>
      <w:r w:rsidRPr="00A7188F">
        <w:rPr>
          <w:lang w:val="en-US"/>
        </w:rPr>
        <w:t xml:space="preserve"> </w:t>
      </w:r>
      <w:r w:rsidR="0018373B" w:rsidRPr="00A7188F">
        <w:rPr>
          <w:lang w:val="en-US"/>
        </w:rPr>
        <w:t xml:space="preserve">Because Islam is the religion of States, public laws and policies restrict Christians from participating fully in the exercise of their religious and social life. </w:t>
      </w:r>
    </w:p>
    <w:p w14:paraId="55655B50" w14:textId="682480F2" w:rsidR="00753B23" w:rsidRPr="00A7188F" w:rsidRDefault="00753B23" w:rsidP="008F0D47">
      <w:pPr>
        <w:jc w:val="both"/>
        <w:rPr>
          <w:lang w:val="en-US"/>
        </w:rPr>
      </w:pPr>
    </w:p>
    <w:p w14:paraId="7BB7005E" w14:textId="7690B284" w:rsidR="004919D5" w:rsidRPr="00A7188F" w:rsidRDefault="004919D5" w:rsidP="008F0D47">
      <w:pPr>
        <w:jc w:val="both"/>
        <w:rPr>
          <w:lang w:val="en-US"/>
        </w:rPr>
      </w:pPr>
      <w:r w:rsidRPr="00A7188F">
        <w:rPr>
          <w:lang w:val="en-US"/>
        </w:rPr>
        <w:t>1</w:t>
      </w:r>
      <w:r w:rsidR="00122252" w:rsidRPr="00A7188F">
        <w:rPr>
          <w:lang w:val="en-US"/>
        </w:rPr>
        <w:t>6</w:t>
      </w:r>
      <w:r w:rsidRPr="00A7188F">
        <w:rPr>
          <w:lang w:val="en-US"/>
        </w:rPr>
        <w:t>.</w:t>
      </w:r>
      <w:r w:rsidRPr="00A7188F">
        <w:rPr>
          <w:lang w:val="en-US"/>
        </w:rPr>
        <w:tab/>
      </w:r>
      <w:r w:rsidR="00C05566" w:rsidRPr="00A7188F">
        <w:rPr>
          <w:b/>
          <w:bCs/>
          <w:lang w:val="en-US"/>
        </w:rPr>
        <w:t xml:space="preserve">Restriction </w:t>
      </w:r>
      <w:r w:rsidR="00D83F6C" w:rsidRPr="00A7188F">
        <w:rPr>
          <w:b/>
          <w:bCs/>
          <w:lang w:val="en-US"/>
        </w:rPr>
        <w:t>to</w:t>
      </w:r>
      <w:r w:rsidR="00C05566" w:rsidRPr="00A7188F">
        <w:rPr>
          <w:b/>
          <w:bCs/>
          <w:lang w:val="en-US"/>
        </w:rPr>
        <w:t xml:space="preserve"> </w:t>
      </w:r>
      <w:r w:rsidR="00D83F6C" w:rsidRPr="00A7188F">
        <w:rPr>
          <w:b/>
          <w:bCs/>
          <w:lang w:val="en-US"/>
        </w:rPr>
        <w:t>the exercise</w:t>
      </w:r>
      <w:r w:rsidR="00C05566" w:rsidRPr="00A7188F">
        <w:rPr>
          <w:b/>
          <w:bCs/>
          <w:lang w:val="en-US"/>
        </w:rPr>
        <w:t xml:space="preserve"> </w:t>
      </w:r>
      <w:r w:rsidR="00D83F6C" w:rsidRPr="00A7188F">
        <w:rPr>
          <w:b/>
          <w:bCs/>
          <w:lang w:val="en-US"/>
        </w:rPr>
        <w:t>of</w:t>
      </w:r>
      <w:r w:rsidR="00C05566" w:rsidRPr="00A7188F">
        <w:rPr>
          <w:b/>
          <w:bCs/>
          <w:lang w:val="en-US"/>
        </w:rPr>
        <w:t xml:space="preserve"> worship. </w:t>
      </w:r>
      <w:r w:rsidR="00115710">
        <w:rPr>
          <w:lang w:val="en-US"/>
        </w:rPr>
        <w:t>P</w:t>
      </w:r>
      <w:r w:rsidR="00F91937" w:rsidRPr="00F91937">
        <w:rPr>
          <w:lang w:val="en-US"/>
        </w:rPr>
        <w:t xml:space="preserve">enal </w:t>
      </w:r>
      <w:r w:rsidR="00115710">
        <w:rPr>
          <w:lang w:val="en-US"/>
        </w:rPr>
        <w:t>C</w:t>
      </w:r>
      <w:r w:rsidR="00F91937" w:rsidRPr="00F91937">
        <w:rPr>
          <w:lang w:val="en-US"/>
        </w:rPr>
        <w:t xml:space="preserve">ode provides penalties for anyone who </w:t>
      </w:r>
      <w:r w:rsidR="00F91937">
        <w:rPr>
          <w:lang w:val="en-US"/>
        </w:rPr>
        <w:t>“</w:t>
      </w:r>
      <w:r w:rsidR="00F91937" w:rsidRPr="00F91937">
        <w:rPr>
          <w:lang w:val="en-US"/>
        </w:rPr>
        <w:t>undermines the Muslim religion</w:t>
      </w:r>
      <w:r w:rsidR="00F91937">
        <w:rPr>
          <w:lang w:val="en-US"/>
        </w:rPr>
        <w:t>”</w:t>
      </w:r>
      <w:r w:rsidR="00F91937" w:rsidRPr="00F91937">
        <w:rPr>
          <w:lang w:val="en-US"/>
        </w:rPr>
        <w:t xml:space="preserve"> (Article 267-5) and anyone who deliberately interferes with religious festivals or rites in a way that causes a nuisance or undermines the dignity of these religious acts. The authorities can summarily expel any non-citizen resident whose presence is considered a </w:t>
      </w:r>
      <w:r w:rsidR="00F91937">
        <w:rPr>
          <w:lang w:val="en-US"/>
        </w:rPr>
        <w:t>“</w:t>
      </w:r>
      <w:r w:rsidR="00F91937" w:rsidRPr="00F91937">
        <w:rPr>
          <w:lang w:val="en-US"/>
        </w:rPr>
        <w:t>threat to public order</w:t>
      </w:r>
      <w:r w:rsidR="00F91937">
        <w:rPr>
          <w:lang w:val="en-US"/>
        </w:rPr>
        <w:t>”</w:t>
      </w:r>
      <w:r w:rsidR="00F91937" w:rsidRPr="00F91937">
        <w:rPr>
          <w:lang w:val="en-US"/>
        </w:rPr>
        <w:t>. Public authorities have used this clause to expel foreigners suspected of proselytizing.</w:t>
      </w:r>
    </w:p>
    <w:p w14:paraId="77DB720D" w14:textId="38B3641E" w:rsidR="00D83F6C" w:rsidRPr="00A7188F" w:rsidRDefault="00D83F6C" w:rsidP="008F0D47">
      <w:pPr>
        <w:jc w:val="both"/>
        <w:rPr>
          <w:lang w:val="en-US"/>
        </w:rPr>
      </w:pPr>
    </w:p>
    <w:p w14:paraId="16811155" w14:textId="1F0481C3" w:rsidR="00D83F6C" w:rsidRPr="002F5F84" w:rsidRDefault="00D83F6C" w:rsidP="008F0D47">
      <w:pPr>
        <w:jc w:val="both"/>
        <w:rPr>
          <w:lang w:val="en-US"/>
        </w:rPr>
      </w:pPr>
      <w:r w:rsidRPr="00A7188F">
        <w:rPr>
          <w:lang w:val="en-US"/>
        </w:rPr>
        <w:t>1</w:t>
      </w:r>
      <w:r w:rsidR="00122252" w:rsidRPr="00A7188F">
        <w:rPr>
          <w:lang w:val="en-US"/>
        </w:rPr>
        <w:t>7</w:t>
      </w:r>
      <w:r w:rsidRPr="00A7188F">
        <w:rPr>
          <w:lang w:val="en-US"/>
        </w:rPr>
        <w:t>.</w:t>
      </w:r>
      <w:r w:rsidRPr="00A7188F">
        <w:rPr>
          <w:lang w:val="en-US"/>
        </w:rPr>
        <w:tab/>
      </w:r>
      <w:r w:rsidRPr="00A7188F">
        <w:rPr>
          <w:b/>
          <w:bCs/>
          <w:lang w:val="en-US"/>
        </w:rPr>
        <w:t xml:space="preserve">Restriction to freedom of expression. </w:t>
      </w:r>
      <w:r w:rsidR="002F5F84" w:rsidRPr="002F5F84">
        <w:rPr>
          <w:lang w:val="en-US"/>
        </w:rPr>
        <w:t xml:space="preserve">Article 220 of the Penal Code punishes </w:t>
      </w:r>
      <w:r w:rsidR="002F5F84">
        <w:rPr>
          <w:lang w:val="en-US"/>
        </w:rPr>
        <w:t>“</w:t>
      </w:r>
      <w:r w:rsidR="002F5F84" w:rsidRPr="002F5F84">
        <w:rPr>
          <w:lang w:val="en-US"/>
        </w:rPr>
        <w:t>with imprisonment from six months to three years and a fine from 20</w:t>
      </w:r>
      <w:r w:rsidR="004528A2">
        <w:rPr>
          <w:lang w:val="en-US"/>
        </w:rPr>
        <w:t>,</w:t>
      </w:r>
      <w:r w:rsidR="002F5F84" w:rsidRPr="002F5F84">
        <w:rPr>
          <w:lang w:val="en-US"/>
        </w:rPr>
        <w:t>060 to 500 dirhams</w:t>
      </w:r>
      <w:r w:rsidR="002F5F84">
        <w:rPr>
          <w:lang w:val="en-US"/>
        </w:rPr>
        <w:t>”</w:t>
      </w:r>
      <w:r w:rsidR="002F5F84" w:rsidRPr="002F5F84">
        <w:rPr>
          <w:lang w:val="en-US"/>
        </w:rPr>
        <w:t xml:space="preserve"> </w:t>
      </w:r>
      <w:r w:rsidR="002F5F84">
        <w:rPr>
          <w:lang w:val="en-US"/>
        </w:rPr>
        <w:t>“</w:t>
      </w:r>
      <w:r w:rsidR="002F5F84" w:rsidRPr="002F5F84">
        <w:rPr>
          <w:lang w:val="en-US"/>
        </w:rPr>
        <w:t>anyone who employs means of seduction with the aim of undermining the faith of a Muslim or converting him to another religion, either by exploiting his weakness or needs, or by using educational or health establishments, asylums or orphanages for these purposes</w:t>
      </w:r>
      <w:r w:rsidR="004528A2">
        <w:rPr>
          <w:lang w:val="en-US"/>
        </w:rPr>
        <w:t>.</w:t>
      </w:r>
      <w:r w:rsidR="002F5F84">
        <w:rPr>
          <w:lang w:val="en-US"/>
        </w:rPr>
        <w:t>”</w:t>
      </w:r>
      <w:r w:rsidR="002F5F84" w:rsidRPr="002F5F84">
        <w:rPr>
          <w:lang w:val="en-US"/>
        </w:rPr>
        <w:t xml:space="preserve"> Article 267-5 of the Penal Code and laws governing the media prohibit anyone, including members of parliament, from criticizing Islam in public, in printed or electronic form, or during public speeches, on pain of two years</w:t>
      </w:r>
      <w:r w:rsidR="002F5F84">
        <w:rPr>
          <w:lang w:val="en-US"/>
        </w:rPr>
        <w:t xml:space="preserve"> of </w:t>
      </w:r>
      <w:r w:rsidR="002F5F84" w:rsidRPr="002F5F84">
        <w:rPr>
          <w:lang w:val="en-US"/>
        </w:rPr>
        <w:t>imprisonment and a fine of up to 200,000 dirhams.</w:t>
      </w:r>
    </w:p>
    <w:p w14:paraId="5514B56E" w14:textId="77777777" w:rsidR="00D83F6C" w:rsidRPr="002F5F84" w:rsidRDefault="00D83F6C" w:rsidP="008F0D47">
      <w:pPr>
        <w:jc w:val="both"/>
        <w:rPr>
          <w:lang w:val="en-US"/>
        </w:rPr>
      </w:pPr>
    </w:p>
    <w:p w14:paraId="73832DEF" w14:textId="4E240AE1" w:rsidR="00D83F6C" w:rsidRDefault="004919D5" w:rsidP="008F0D47">
      <w:pPr>
        <w:jc w:val="both"/>
        <w:rPr>
          <w:lang w:val="en-US"/>
        </w:rPr>
      </w:pPr>
      <w:r w:rsidRPr="00A7188F">
        <w:rPr>
          <w:lang w:val="en-US"/>
        </w:rPr>
        <w:t>1</w:t>
      </w:r>
      <w:r w:rsidR="00122252" w:rsidRPr="00A7188F">
        <w:rPr>
          <w:lang w:val="en-US"/>
        </w:rPr>
        <w:t>8</w:t>
      </w:r>
      <w:r w:rsidRPr="00A7188F">
        <w:rPr>
          <w:lang w:val="en-US"/>
        </w:rPr>
        <w:t>.</w:t>
      </w:r>
      <w:r w:rsidRPr="00A7188F">
        <w:rPr>
          <w:lang w:val="en-US"/>
        </w:rPr>
        <w:tab/>
      </w:r>
      <w:r w:rsidR="00D83F6C" w:rsidRPr="00A7188F">
        <w:rPr>
          <w:b/>
          <w:bCs/>
          <w:lang w:val="en-US"/>
        </w:rPr>
        <w:t>Restriction to</w:t>
      </w:r>
      <w:r w:rsidR="00C05566" w:rsidRPr="00A7188F">
        <w:rPr>
          <w:b/>
          <w:bCs/>
          <w:lang w:val="en-US"/>
        </w:rPr>
        <w:t xml:space="preserve"> freedom of association. </w:t>
      </w:r>
      <w:r w:rsidR="002F5F84" w:rsidRPr="002F5F84">
        <w:rPr>
          <w:lang w:val="en-US"/>
        </w:rPr>
        <w:t xml:space="preserve">The conditions for the existence of churches are too strict. To carry out activities on behalf of the group, or to hold public meetings, a religious group must register as an association with the local officials of the Ministry of the Interior in the jurisdiction of the association's headquarters. An individual representative of a religious group that is neither recognized nor registered as an association may be held responsible for all </w:t>
      </w:r>
      <w:r w:rsidR="002F5F84" w:rsidRPr="002F5F84">
        <w:rPr>
          <w:lang w:val="en-US"/>
        </w:rPr>
        <w:lastRenderedPageBreak/>
        <w:t>public meetings, transactions, bank accounts, property rentals and/or applications made to the government in connection with the group.</w:t>
      </w:r>
    </w:p>
    <w:p w14:paraId="538D7DB8" w14:textId="77777777" w:rsidR="002F5F84" w:rsidRPr="002F5F84" w:rsidRDefault="002F5F84" w:rsidP="008F0D47">
      <w:pPr>
        <w:jc w:val="both"/>
        <w:rPr>
          <w:lang w:val="en-US"/>
        </w:rPr>
      </w:pPr>
    </w:p>
    <w:p w14:paraId="59F733CA" w14:textId="7CBA1127" w:rsidR="00C05566" w:rsidRPr="00A7188F" w:rsidRDefault="004919D5" w:rsidP="008F0D47">
      <w:pPr>
        <w:jc w:val="both"/>
        <w:rPr>
          <w:lang w:val="en-US"/>
        </w:rPr>
      </w:pPr>
      <w:r w:rsidRPr="00A7188F">
        <w:rPr>
          <w:lang w:val="en-US"/>
        </w:rPr>
        <w:t>1</w:t>
      </w:r>
      <w:r w:rsidR="00122252" w:rsidRPr="00A7188F">
        <w:rPr>
          <w:lang w:val="en-US"/>
        </w:rPr>
        <w:t>9</w:t>
      </w:r>
      <w:r w:rsidRPr="00A7188F">
        <w:rPr>
          <w:lang w:val="en-US"/>
        </w:rPr>
        <w:t>.</w:t>
      </w:r>
      <w:r w:rsidRPr="00A7188F">
        <w:rPr>
          <w:lang w:val="en-US"/>
        </w:rPr>
        <w:tab/>
      </w:r>
      <w:r w:rsidR="001B11A2" w:rsidRPr="00A7188F">
        <w:rPr>
          <w:b/>
          <w:bCs/>
          <w:lang w:val="en-US"/>
        </w:rPr>
        <w:t>Restriction</w:t>
      </w:r>
      <w:r w:rsidR="001B11A2">
        <w:rPr>
          <w:b/>
          <w:bCs/>
          <w:lang w:val="en-US"/>
        </w:rPr>
        <w:t xml:space="preserve"> to</w:t>
      </w:r>
      <w:r w:rsidR="001B11A2" w:rsidRPr="00A7188F">
        <w:rPr>
          <w:b/>
          <w:bCs/>
          <w:lang w:val="en-US"/>
        </w:rPr>
        <w:t xml:space="preserve"> </w:t>
      </w:r>
      <w:r w:rsidR="001B11A2" w:rsidRPr="001B11A2">
        <w:rPr>
          <w:b/>
          <w:bCs/>
          <w:lang w:val="en-US"/>
        </w:rPr>
        <w:t>the right to marry and found a family</w:t>
      </w:r>
      <w:r w:rsidR="00C05566" w:rsidRPr="00A7188F">
        <w:rPr>
          <w:b/>
          <w:bCs/>
          <w:lang w:val="en-US"/>
        </w:rPr>
        <w:t xml:space="preserve">. </w:t>
      </w:r>
      <w:r w:rsidR="00C05566" w:rsidRPr="00A7188F">
        <w:rPr>
          <w:lang w:val="en-US"/>
        </w:rPr>
        <w:t>Family Code states that a Muslim man is authorized to marry a Christian or a Jew, but a Muslim woman is not authorized to marry a man of another religion unless he converts to Islam (</w:t>
      </w:r>
      <w:r w:rsidR="00115710">
        <w:rPr>
          <w:lang w:val="en-US"/>
        </w:rPr>
        <w:t>A</w:t>
      </w:r>
      <w:r w:rsidR="00C05566" w:rsidRPr="00A7188F">
        <w:rPr>
          <w:lang w:val="en-US"/>
        </w:rPr>
        <w:t>rticle 39). Adoption is prohibited</w:t>
      </w:r>
      <w:r w:rsidR="00315F82">
        <w:rPr>
          <w:lang w:val="en-US"/>
        </w:rPr>
        <w:t>. H</w:t>
      </w:r>
      <w:r w:rsidR="00122252" w:rsidRPr="00A7188F">
        <w:rPr>
          <w:lang w:val="en-US"/>
        </w:rPr>
        <w:t>owever</w:t>
      </w:r>
      <w:r w:rsidR="00315F82">
        <w:rPr>
          <w:lang w:val="en-US"/>
        </w:rPr>
        <w:t>,</w:t>
      </w:r>
      <w:r w:rsidR="00122252" w:rsidRPr="00A7188F">
        <w:rPr>
          <w:lang w:val="en-US"/>
        </w:rPr>
        <w:t xml:space="preserve"> </w:t>
      </w:r>
      <w:r w:rsidR="00C05566" w:rsidRPr="00A7188F">
        <w:rPr>
          <w:lang w:val="en-US"/>
        </w:rPr>
        <w:t>Law no. 15-01 on the care of abandoned children</w:t>
      </w:r>
      <w:r w:rsidR="00122252" w:rsidRPr="00A7188F">
        <w:rPr>
          <w:lang w:val="en-US"/>
        </w:rPr>
        <w:t xml:space="preserve"> </w:t>
      </w:r>
      <w:r w:rsidR="00C05566" w:rsidRPr="00A7188F">
        <w:rPr>
          <w:lang w:val="en-US"/>
        </w:rPr>
        <w:t>authorizes guardianship for Muslims only (</w:t>
      </w:r>
      <w:r w:rsidR="00115710">
        <w:rPr>
          <w:lang w:val="en-US"/>
        </w:rPr>
        <w:t>A</w:t>
      </w:r>
      <w:r w:rsidR="00C05566" w:rsidRPr="00A7188F">
        <w:rPr>
          <w:lang w:val="en-US"/>
        </w:rPr>
        <w:t xml:space="preserve">rticle 9). </w:t>
      </w:r>
      <w:r w:rsidR="00122252" w:rsidRPr="00A7188F">
        <w:rPr>
          <w:lang w:val="en-US"/>
        </w:rPr>
        <w:t>N</w:t>
      </w:r>
      <w:r w:rsidR="00C05566" w:rsidRPr="00A7188F">
        <w:rPr>
          <w:lang w:val="en-US"/>
        </w:rPr>
        <w:t xml:space="preserve">on-Muslims must officially convert to Islam and be permanent residents of the country before they can become legal guardians of abandoned or orphaned children. </w:t>
      </w:r>
    </w:p>
    <w:p w14:paraId="45D60FCA" w14:textId="77777777" w:rsidR="00D83F6C" w:rsidRPr="00A7188F" w:rsidRDefault="00D83F6C" w:rsidP="008F0D47">
      <w:pPr>
        <w:jc w:val="both"/>
        <w:rPr>
          <w:lang w:val="en-US"/>
        </w:rPr>
      </w:pPr>
    </w:p>
    <w:p w14:paraId="3ED53560" w14:textId="6EDD292D" w:rsidR="00C05566" w:rsidRPr="00D505B0" w:rsidRDefault="00122252" w:rsidP="008F0D47">
      <w:pPr>
        <w:jc w:val="both"/>
        <w:rPr>
          <w:lang w:val="en-US"/>
        </w:rPr>
      </w:pPr>
      <w:r w:rsidRPr="00A7188F">
        <w:rPr>
          <w:lang w:val="en-US"/>
        </w:rPr>
        <w:t>20</w:t>
      </w:r>
      <w:r w:rsidR="004919D5" w:rsidRPr="00A7188F">
        <w:rPr>
          <w:lang w:val="en-US"/>
        </w:rPr>
        <w:t xml:space="preserve">. </w:t>
      </w:r>
      <w:r w:rsidR="004919D5" w:rsidRPr="00A7188F">
        <w:rPr>
          <w:lang w:val="en-US"/>
        </w:rPr>
        <w:tab/>
      </w:r>
      <w:r w:rsidR="00D83F6C" w:rsidRPr="00A7188F">
        <w:rPr>
          <w:b/>
          <w:bCs/>
          <w:lang w:val="en-US"/>
        </w:rPr>
        <w:t>Restriction</w:t>
      </w:r>
      <w:r w:rsidR="00C05566" w:rsidRPr="00A7188F">
        <w:rPr>
          <w:b/>
          <w:bCs/>
          <w:lang w:val="en-US"/>
        </w:rPr>
        <w:t xml:space="preserve"> to education. </w:t>
      </w:r>
      <w:r w:rsidR="00D505B0" w:rsidRPr="00D505B0">
        <w:rPr>
          <w:lang w:val="en-US"/>
        </w:rPr>
        <w:t xml:space="preserve">Article 1 of the National Charter on Education and Training stipulates that the education system of the Kingdom of Morocco is based on the principles and values of the Islamic religion. Article 1 of Law No. 01-00 on the organization of higher education adds that higher education is based on the principles and values of the Islamic religion. In this sense, some baccalaureate preparation manuals state that </w:t>
      </w:r>
      <w:r w:rsidR="00D505B0">
        <w:rPr>
          <w:lang w:val="en-US"/>
        </w:rPr>
        <w:t>“</w:t>
      </w:r>
      <w:r w:rsidR="00D505B0" w:rsidRPr="00D505B0">
        <w:rPr>
          <w:lang w:val="en-US"/>
        </w:rPr>
        <w:t>anyone who utters a word contrary to the beliefs and precepts of Islam is excluded from the Muslim community</w:t>
      </w:r>
      <w:r w:rsidR="00315F82">
        <w:rPr>
          <w:lang w:val="en-US"/>
        </w:rPr>
        <w:t>.</w:t>
      </w:r>
      <w:r w:rsidR="00D505B0">
        <w:rPr>
          <w:lang w:val="en-US"/>
        </w:rPr>
        <w:t>”</w:t>
      </w:r>
      <w:r w:rsidR="00D505B0" w:rsidRPr="00D505B0">
        <w:rPr>
          <w:lang w:val="en-US"/>
        </w:rPr>
        <w:t xml:space="preserve"> All publicly funded educational institutions are required to teach Sunni Islam in accordance with the teachings and tradition</w:t>
      </w:r>
      <w:r w:rsidR="00D505B0">
        <w:rPr>
          <w:lang w:val="en-US"/>
        </w:rPr>
        <w:t>s</w:t>
      </w:r>
      <w:r w:rsidR="00D505B0" w:rsidRPr="00D505B0">
        <w:rPr>
          <w:lang w:val="en-US"/>
        </w:rPr>
        <w:t xml:space="preserve"> of the Maliki and Ashari Islamic School of Jurisprudence. Privately run and funded schools may choose whether to include religious instruction in their curricula. Jewish private schools are allowed to teach Judaism. However, no provision is made for Christian schools.</w:t>
      </w:r>
    </w:p>
    <w:p w14:paraId="2F1D9CD8" w14:textId="77777777" w:rsidR="00D83F6C" w:rsidRPr="00A7188F" w:rsidRDefault="00D83F6C" w:rsidP="008F0D47">
      <w:pPr>
        <w:jc w:val="both"/>
        <w:rPr>
          <w:lang w:val="en-US"/>
        </w:rPr>
      </w:pPr>
    </w:p>
    <w:p w14:paraId="306EB2C7" w14:textId="46DCC775" w:rsidR="00C05566" w:rsidRPr="00A7188F" w:rsidRDefault="004919D5" w:rsidP="008F0D47">
      <w:pPr>
        <w:jc w:val="both"/>
        <w:rPr>
          <w:shd w:val="clear" w:color="auto" w:fill="FFFFFF"/>
          <w:lang w:val="en-US"/>
        </w:rPr>
      </w:pPr>
      <w:r w:rsidRPr="00A7188F">
        <w:rPr>
          <w:shd w:val="clear" w:color="auto" w:fill="FFFFFF"/>
          <w:lang w:val="en-US"/>
        </w:rPr>
        <w:t>2</w:t>
      </w:r>
      <w:r w:rsidR="00122252" w:rsidRPr="00A7188F">
        <w:rPr>
          <w:shd w:val="clear" w:color="auto" w:fill="FFFFFF"/>
          <w:lang w:val="en-US"/>
        </w:rPr>
        <w:t>1</w:t>
      </w:r>
      <w:r w:rsidRPr="00A7188F">
        <w:rPr>
          <w:shd w:val="clear" w:color="auto" w:fill="FFFFFF"/>
          <w:lang w:val="en-US"/>
        </w:rPr>
        <w:t>.</w:t>
      </w:r>
      <w:r w:rsidRPr="00A7188F">
        <w:rPr>
          <w:shd w:val="clear" w:color="auto" w:fill="FFFFFF"/>
          <w:lang w:val="en-US"/>
        </w:rPr>
        <w:tab/>
        <w:t xml:space="preserve"> </w:t>
      </w:r>
      <w:r w:rsidR="00D83F6C" w:rsidRPr="00A7188F">
        <w:rPr>
          <w:b/>
          <w:bCs/>
          <w:shd w:val="clear" w:color="auto" w:fill="FFFFFF"/>
          <w:lang w:val="en-US"/>
        </w:rPr>
        <w:t>Restriction to</w:t>
      </w:r>
      <w:r w:rsidR="00C05566" w:rsidRPr="00A7188F">
        <w:rPr>
          <w:b/>
          <w:bCs/>
          <w:shd w:val="clear" w:color="auto" w:fill="FFFFFF"/>
          <w:lang w:val="en-US"/>
        </w:rPr>
        <w:t xml:space="preserve"> inheritance rights. </w:t>
      </w:r>
      <w:r w:rsidR="00115710" w:rsidRPr="00115710">
        <w:rPr>
          <w:shd w:val="clear" w:color="auto" w:fill="FFFFFF"/>
          <w:lang w:val="en-US"/>
        </w:rPr>
        <w:t>Article 332 of the</w:t>
      </w:r>
      <w:r w:rsidR="00115710">
        <w:rPr>
          <w:b/>
          <w:bCs/>
          <w:shd w:val="clear" w:color="auto" w:fill="FFFFFF"/>
          <w:lang w:val="en-US"/>
        </w:rPr>
        <w:t xml:space="preserve"> </w:t>
      </w:r>
      <w:r w:rsidR="00C05566" w:rsidRPr="00A7188F">
        <w:rPr>
          <w:shd w:val="clear" w:color="auto" w:fill="FFFFFF"/>
          <w:lang w:val="en-US"/>
        </w:rPr>
        <w:t xml:space="preserve">Family Code states that </w:t>
      </w:r>
      <w:r w:rsidR="00115710">
        <w:rPr>
          <w:shd w:val="clear" w:color="auto" w:fill="FFFFFF"/>
          <w:lang w:val="en-US"/>
        </w:rPr>
        <w:t>“</w:t>
      </w:r>
      <w:r w:rsidR="00C05566" w:rsidRPr="00A7188F">
        <w:rPr>
          <w:shd w:val="clear" w:color="auto" w:fill="FFFFFF"/>
          <w:lang w:val="en-US"/>
        </w:rPr>
        <w:t>there is no inheritance between a Muslim and a non-Muslim</w:t>
      </w:r>
      <w:r w:rsidR="00315F82">
        <w:rPr>
          <w:shd w:val="clear" w:color="auto" w:fill="FFFFFF"/>
          <w:lang w:val="en-US"/>
        </w:rPr>
        <w:t>.</w:t>
      </w:r>
      <w:r w:rsidR="00115710">
        <w:rPr>
          <w:shd w:val="clear" w:color="auto" w:fill="FFFFFF"/>
          <w:lang w:val="en-US"/>
        </w:rPr>
        <w:t>”</w:t>
      </w:r>
      <w:r w:rsidR="00C05566" w:rsidRPr="00A7188F">
        <w:rPr>
          <w:shd w:val="clear" w:color="auto" w:fill="FFFFFF"/>
          <w:lang w:val="en-US"/>
        </w:rPr>
        <w:t xml:space="preserve"> Consequently, the Christian or Jewish wife of a Muslim Moroccan cannot inherit from her husband, unlike her children, who are considered Muslims by law. Similarly, children from the first marriage of a Frenchman who converted to Islam to marry a Moroccan woman cannot inherit from their father if the terms of succession are those of the </w:t>
      </w:r>
      <w:r w:rsidR="00C05566" w:rsidRPr="00315F82">
        <w:rPr>
          <w:i/>
          <w:iCs/>
          <w:shd w:val="clear" w:color="auto" w:fill="FFFFFF"/>
          <w:lang w:val="en-US"/>
        </w:rPr>
        <w:t>Moudawana</w:t>
      </w:r>
      <w:r w:rsidR="00C05566" w:rsidRPr="00A7188F">
        <w:rPr>
          <w:shd w:val="clear" w:color="auto" w:fill="FFFFFF"/>
          <w:lang w:val="en-US"/>
        </w:rPr>
        <w:t>.</w:t>
      </w:r>
    </w:p>
    <w:p w14:paraId="2FE96636" w14:textId="0AFAB9D5" w:rsidR="00753B23" w:rsidRPr="00A7188F" w:rsidRDefault="00753B23" w:rsidP="008F0D47">
      <w:pPr>
        <w:jc w:val="both"/>
        <w:rPr>
          <w:shd w:val="clear" w:color="auto" w:fill="FFFFFF"/>
          <w:lang w:val="en-US"/>
        </w:rPr>
      </w:pPr>
    </w:p>
    <w:p w14:paraId="1A00E9F2" w14:textId="474A8A3C" w:rsidR="0018373B" w:rsidRPr="008B359F" w:rsidRDefault="0018373B" w:rsidP="008F0D47">
      <w:pPr>
        <w:jc w:val="both"/>
        <w:rPr>
          <w:lang w:val="en-US"/>
        </w:rPr>
      </w:pPr>
      <w:r w:rsidRPr="00A7188F">
        <w:rPr>
          <w:shd w:val="clear" w:color="auto" w:fill="FFFFFF"/>
          <w:lang w:val="en-US"/>
        </w:rPr>
        <w:t>22.</w:t>
      </w:r>
      <w:r w:rsidRPr="00A7188F">
        <w:rPr>
          <w:shd w:val="clear" w:color="auto" w:fill="FFFFFF"/>
          <w:lang w:val="en-US"/>
        </w:rPr>
        <w:tab/>
      </w:r>
      <w:r w:rsidRPr="008B359F">
        <w:rPr>
          <w:lang w:val="en-US"/>
        </w:rPr>
        <w:t xml:space="preserve">The ECLJ is </w:t>
      </w:r>
      <w:r w:rsidR="00315F82">
        <w:rPr>
          <w:lang w:val="en-US"/>
        </w:rPr>
        <w:t xml:space="preserve">deeply </w:t>
      </w:r>
      <w:r w:rsidRPr="008B359F">
        <w:rPr>
          <w:lang w:val="en-US"/>
        </w:rPr>
        <w:t xml:space="preserve">concerned about </w:t>
      </w:r>
      <w:r w:rsidRPr="00A7188F">
        <w:rPr>
          <w:lang w:val="en-US"/>
        </w:rPr>
        <w:t>Morocco’s</w:t>
      </w:r>
      <w:r w:rsidRPr="008B359F">
        <w:rPr>
          <w:lang w:val="en-US"/>
        </w:rPr>
        <w:t xml:space="preserve"> lack of commitment to protect the freedom of religion, despite its international and domestic commitments to do so. </w:t>
      </w:r>
      <w:r w:rsidRPr="00A7188F">
        <w:rPr>
          <w:lang w:val="en-US"/>
        </w:rPr>
        <w:t>Morocco</w:t>
      </w:r>
      <w:r w:rsidRPr="008B359F">
        <w:rPr>
          <w:lang w:val="en-US"/>
        </w:rPr>
        <w:t xml:space="preserve"> does not feel </w:t>
      </w:r>
      <w:r w:rsidR="00315F82">
        <w:rPr>
          <w:lang w:val="en-US"/>
        </w:rPr>
        <w:t xml:space="preserve">apply </w:t>
      </w:r>
      <w:r w:rsidR="0023324F">
        <w:rPr>
          <w:lang w:val="en-US"/>
        </w:rPr>
        <w:t>A</w:t>
      </w:r>
      <w:r w:rsidRPr="00A7188F">
        <w:rPr>
          <w:lang w:val="en-US"/>
        </w:rPr>
        <w:t>rticle 2 of the 1992 Declaration on the Rights of Persons Belonging to National or Ethnic, Religious and Linguistic Minorities</w:t>
      </w:r>
      <w:r w:rsidRPr="008B359F">
        <w:rPr>
          <w:lang w:val="en-US"/>
        </w:rPr>
        <w:t xml:space="preserve">, </w:t>
      </w:r>
      <w:r w:rsidR="00315F82">
        <w:rPr>
          <w:lang w:val="en-US"/>
        </w:rPr>
        <w:t xml:space="preserve">even though </w:t>
      </w:r>
      <w:r w:rsidRPr="008B359F">
        <w:rPr>
          <w:lang w:val="en-US"/>
        </w:rPr>
        <w:t>its own law that states that,</w:t>
      </w:r>
      <w:r w:rsidRPr="00A7188F">
        <w:rPr>
          <w:lang w:val="en-US"/>
        </w:rPr>
        <w:t xml:space="preserve"> the State “</w:t>
      </w:r>
      <w:r w:rsidRPr="008B359F">
        <w:rPr>
          <w:lang w:val="en-US"/>
        </w:rPr>
        <w:t>guarantees to all the free exercise of beliefs [cultes]</w:t>
      </w:r>
      <w:r w:rsidRPr="00A7188F">
        <w:rPr>
          <w:lang w:val="en-US"/>
        </w:rPr>
        <w:t>”</w:t>
      </w:r>
      <w:r w:rsidRPr="00A7188F">
        <w:rPr>
          <w:rStyle w:val="Appelnotedebasdep"/>
          <w:lang w:val="en-US"/>
        </w:rPr>
        <w:footnoteReference w:id="15"/>
      </w:r>
      <w:r w:rsidRPr="00A7188F">
        <w:rPr>
          <w:lang w:val="en-US"/>
        </w:rPr>
        <w:t xml:space="preserve"> (Constitution)</w:t>
      </w:r>
      <w:r w:rsidRPr="008B359F">
        <w:rPr>
          <w:lang w:val="en-US"/>
        </w:rPr>
        <w:t xml:space="preserve">. Morocco must remove its ban on </w:t>
      </w:r>
      <w:r w:rsidR="0023324F" w:rsidRPr="008B359F">
        <w:rPr>
          <w:lang w:val="en-US"/>
        </w:rPr>
        <w:t>proselytization</w:t>
      </w:r>
      <w:r w:rsidRPr="008B359F">
        <w:rPr>
          <w:lang w:val="en-US"/>
        </w:rPr>
        <w:t xml:space="preserve"> within the criminal code so that all of its citizens can practice their religion peacefully and publicly. Morocco must also reform its laws to ensure that Moroccan Christians are granted the same rights and privileges as everyone else. Everyone should be permitted to worship in a </w:t>
      </w:r>
      <w:r w:rsidR="00E06909">
        <w:rPr>
          <w:lang w:val="en-US"/>
        </w:rPr>
        <w:t>place</w:t>
      </w:r>
      <w:r w:rsidRPr="008B359F">
        <w:rPr>
          <w:lang w:val="en-US"/>
        </w:rPr>
        <w:t xml:space="preserve"> according to the tenets of their faith and not be restricted from marrying whom they wish</w:t>
      </w:r>
      <w:r w:rsidR="00E06909">
        <w:rPr>
          <w:lang w:val="en-US"/>
        </w:rPr>
        <w:t>,</w:t>
      </w:r>
      <w:r w:rsidRPr="008B359F">
        <w:rPr>
          <w:lang w:val="en-US"/>
        </w:rPr>
        <w:t xml:space="preserve"> regardless of </w:t>
      </w:r>
      <w:r w:rsidR="00E06909">
        <w:rPr>
          <w:lang w:val="en-US"/>
        </w:rPr>
        <w:t xml:space="preserve">their </w:t>
      </w:r>
      <w:r w:rsidRPr="008B359F">
        <w:rPr>
          <w:lang w:val="en-US"/>
        </w:rPr>
        <w:t>religious affiliation. We also urge Morocco to utilize inter-faith dialogue and public government condemnation of societal harassment based on religion to put a stop to harassment of Moroccan Christians or any other religious minorities</w:t>
      </w:r>
      <w:r w:rsidRPr="00A7188F">
        <w:rPr>
          <w:rStyle w:val="Appelnotedebasdep"/>
        </w:rPr>
        <w:footnoteReference w:id="16"/>
      </w:r>
      <w:r w:rsidRPr="008B359F">
        <w:rPr>
          <w:lang w:val="en-US"/>
        </w:rPr>
        <w:t>.</w:t>
      </w:r>
    </w:p>
    <w:p w14:paraId="4FB7D86D" w14:textId="25CDA7A4" w:rsidR="0018373B" w:rsidRPr="008B359F" w:rsidRDefault="0018373B" w:rsidP="008F0D47">
      <w:pPr>
        <w:jc w:val="both"/>
        <w:rPr>
          <w:shd w:val="clear" w:color="auto" w:fill="FFFFFF"/>
          <w:lang w:val="en-US"/>
        </w:rPr>
      </w:pPr>
    </w:p>
    <w:p w14:paraId="1E0146C8" w14:textId="77777777" w:rsidR="002337AD" w:rsidRDefault="002337AD">
      <w:pPr>
        <w:rPr>
          <w:rFonts w:eastAsia="Aptos"/>
          <w:b/>
          <w:bCs/>
          <w:kern w:val="3"/>
          <w:sz w:val="28"/>
          <w:szCs w:val="28"/>
          <w:lang w:val="en-US" w:eastAsia="en-US"/>
        </w:rPr>
      </w:pPr>
      <w:r w:rsidRPr="00115710">
        <w:rPr>
          <w:lang w:val="en-US"/>
        </w:rPr>
        <w:br w:type="page"/>
      </w:r>
    </w:p>
    <w:p w14:paraId="4F01A1EB" w14:textId="6E93250D" w:rsidR="00983303" w:rsidRPr="00AB4E00" w:rsidRDefault="00753B23" w:rsidP="008F0D47">
      <w:pPr>
        <w:pStyle w:val="Titre1"/>
        <w:spacing w:after="0" w:line="240" w:lineRule="auto"/>
        <w:ind w:left="0" w:firstLine="0"/>
      </w:pPr>
      <w:r w:rsidRPr="00AB4E00">
        <w:lastRenderedPageBreak/>
        <w:t xml:space="preserve">The case of Tunisia </w:t>
      </w:r>
    </w:p>
    <w:p w14:paraId="78DFC3BA" w14:textId="77777777" w:rsidR="00983303" w:rsidRPr="00AB4E00" w:rsidRDefault="00983303" w:rsidP="008F0D47">
      <w:pPr>
        <w:pStyle w:val="Paragraphedeliste"/>
        <w:spacing w:after="0" w:line="240" w:lineRule="auto"/>
        <w:ind w:left="0"/>
        <w:jc w:val="both"/>
        <w:rPr>
          <w:b/>
          <w:bCs/>
        </w:rPr>
      </w:pPr>
    </w:p>
    <w:p w14:paraId="5AAAD8E2" w14:textId="26E41681" w:rsidR="000917DB" w:rsidRPr="00AB4E00" w:rsidRDefault="000917DB" w:rsidP="008F0D47">
      <w:pPr>
        <w:jc w:val="both"/>
        <w:rPr>
          <w:lang w:val="en-US"/>
        </w:rPr>
      </w:pPr>
      <w:r w:rsidRPr="00AB4E00">
        <w:rPr>
          <w:lang w:val="en-US"/>
        </w:rPr>
        <w:t>23.</w:t>
      </w:r>
      <w:r w:rsidRPr="00AB4E00">
        <w:rPr>
          <w:lang w:val="en-US"/>
        </w:rPr>
        <w:tab/>
        <w:t xml:space="preserve">Tunisia has an estimated </w:t>
      </w:r>
      <w:r w:rsidRPr="008B359F">
        <w:rPr>
          <w:lang w:val="en-US"/>
        </w:rPr>
        <w:t>population of 11.8 million people</w:t>
      </w:r>
      <w:r w:rsidRPr="00AB4E00">
        <w:rPr>
          <w:rStyle w:val="Appelnotedebasdep"/>
        </w:rPr>
        <w:footnoteReference w:id="17"/>
      </w:r>
      <w:r w:rsidRPr="008B359F">
        <w:rPr>
          <w:lang w:val="en-US"/>
        </w:rPr>
        <w:t xml:space="preserve">. Tunisia is </w:t>
      </w:r>
      <w:r w:rsidR="008B359F" w:rsidRPr="008B359F">
        <w:rPr>
          <w:lang w:val="en-US"/>
        </w:rPr>
        <w:t>predomina</w:t>
      </w:r>
      <w:r w:rsidR="008B359F">
        <w:rPr>
          <w:lang w:val="en-US"/>
        </w:rPr>
        <w:t>n</w:t>
      </w:r>
      <w:r w:rsidR="008B359F" w:rsidRPr="008B359F">
        <w:rPr>
          <w:lang w:val="en-US"/>
        </w:rPr>
        <w:t>tly</w:t>
      </w:r>
      <w:r w:rsidRPr="008B359F">
        <w:rPr>
          <w:lang w:val="en-US"/>
        </w:rPr>
        <w:t xml:space="preserve"> Muslim, with 99% of the population identifying as Sunni Muslim, and less than 1% identifying as Christian, Jewish, Shia Muslim, or Baha’i</w:t>
      </w:r>
      <w:r w:rsidR="00A7188F" w:rsidRPr="00AB4E00">
        <w:rPr>
          <w:rStyle w:val="Appelnotedebasdep"/>
        </w:rPr>
        <w:footnoteReference w:id="18"/>
      </w:r>
      <w:r w:rsidRPr="008B359F">
        <w:rPr>
          <w:lang w:val="en-US"/>
        </w:rPr>
        <w:t xml:space="preserve">. In its 2022 World Watch List, the human rights watch-dog </w:t>
      </w:r>
      <w:r w:rsidR="008B359F" w:rsidRPr="008B359F">
        <w:rPr>
          <w:lang w:val="en-US"/>
        </w:rPr>
        <w:t>organization</w:t>
      </w:r>
      <w:r w:rsidRPr="008B359F">
        <w:rPr>
          <w:lang w:val="en-US"/>
        </w:rPr>
        <w:t>, Open Doors, listed Tunisia as the 35</w:t>
      </w:r>
      <w:r w:rsidRPr="00E06909">
        <w:rPr>
          <w:vertAlign w:val="superscript"/>
          <w:lang w:val="en-US"/>
        </w:rPr>
        <w:t>th</w:t>
      </w:r>
      <w:r w:rsidR="00E06909">
        <w:rPr>
          <w:lang w:val="en-US"/>
        </w:rPr>
        <w:t xml:space="preserve"> </w:t>
      </w:r>
      <w:r w:rsidRPr="008B359F">
        <w:rPr>
          <w:lang w:val="en-US"/>
        </w:rPr>
        <w:t>worst place in the world for Christians to live, particularly Christians who convert from Islam</w:t>
      </w:r>
      <w:r w:rsidR="00A7188F" w:rsidRPr="00AB4E00">
        <w:rPr>
          <w:rStyle w:val="Appelnotedebasdep"/>
        </w:rPr>
        <w:footnoteReference w:id="19"/>
      </w:r>
      <w:r w:rsidRPr="008B359F">
        <w:rPr>
          <w:lang w:val="en-US"/>
        </w:rPr>
        <w:t xml:space="preserve">. In addition, according to a 2019 report by the Special Rapporteur on freedom of religion and belief, </w:t>
      </w:r>
      <w:r w:rsidR="0023324F" w:rsidRPr="00AB4E00">
        <w:rPr>
          <w:lang w:val="en-US"/>
        </w:rPr>
        <w:t>“there</w:t>
      </w:r>
      <w:r w:rsidRPr="008B359F">
        <w:rPr>
          <w:lang w:val="en-US"/>
        </w:rPr>
        <w:t xml:space="preserve"> are direct and hidden forms of discrimination based on religion or belief in the country</w:t>
      </w:r>
      <w:r w:rsidR="00A7188F" w:rsidRPr="00AB4E00">
        <w:rPr>
          <w:lang w:val="en-US"/>
        </w:rPr>
        <w:t>; m</w:t>
      </w:r>
      <w:r w:rsidRPr="008B359F">
        <w:rPr>
          <w:lang w:val="en-US"/>
        </w:rPr>
        <w:t>oreover, incidents of social hostility in the form of harassment or pressure directed at converts</w:t>
      </w:r>
      <w:r w:rsidR="00A7188F" w:rsidRPr="00AB4E00">
        <w:rPr>
          <w:lang w:val="en-US"/>
        </w:rPr>
        <w:t xml:space="preserve"> </w:t>
      </w:r>
      <w:r w:rsidRPr="008B359F">
        <w:rPr>
          <w:lang w:val="en-US"/>
        </w:rPr>
        <w:t xml:space="preserve">were reported. </w:t>
      </w:r>
      <w:r w:rsidR="00A7188F" w:rsidRPr="00AB4E00">
        <w:rPr>
          <w:lang w:val="en-US"/>
        </w:rPr>
        <w:t>H</w:t>
      </w:r>
      <w:r w:rsidRPr="008B359F">
        <w:rPr>
          <w:lang w:val="en-US"/>
        </w:rPr>
        <w:t>arassment is also carried out by law enforcement officials, in violation of national laws</w:t>
      </w:r>
      <w:r w:rsidR="00E06909">
        <w:rPr>
          <w:lang w:val="en-US"/>
        </w:rPr>
        <w:t>.</w:t>
      </w:r>
      <w:r w:rsidR="00A7188F" w:rsidRPr="00AB4E00">
        <w:rPr>
          <w:lang w:val="en-US"/>
        </w:rPr>
        <w:t>”</w:t>
      </w:r>
      <w:r w:rsidR="00A7188F" w:rsidRPr="00AB4E00">
        <w:rPr>
          <w:rStyle w:val="Appelnotedebasdep"/>
        </w:rPr>
        <w:footnoteReference w:id="20"/>
      </w:r>
      <w:r w:rsidRPr="008B359F">
        <w:rPr>
          <w:lang w:val="en-US"/>
        </w:rPr>
        <w:t xml:space="preserve"> As a result, the Christian</w:t>
      </w:r>
      <w:r w:rsidR="00E06909">
        <w:rPr>
          <w:lang w:val="en-US"/>
        </w:rPr>
        <w:t xml:space="preserve"> </w:t>
      </w:r>
      <w:r w:rsidR="00E06909" w:rsidRPr="008B359F">
        <w:rPr>
          <w:lang w:val="en-US"/>
        </w:rPr>
        <w:t>minority</w:t>
      </w:r>
      <w:r w:rsidRPr="008B359F">
        <w:rPr>
          <w:lang w:val="en-US"/>
        </w:rPr>
        <w:t xml:space="preserve"> </w:t>
      </w:r>
      <w:r w:rsidR="00E06909">
        <w:rPr>
          <w:lang w:val="en-US"/>
        </w:rPr>
        <w:t xml:space="preserve">is </w:t>
      </w:r>
      <w:r w:rsidRPr="008B359F">
        <w:rPr>
          <w:lang w:val="en-US"/>
        </w:rPr>
        <w:t xml:space="preserve">forced to live out </w:t>
      </w:r>
      <w:r w:rsidR="00E06909">
        <w:rPr>
          <w:lang w:val="en-US"/>
        </w:rPr>
        <w:t xml:space="preserve">its </w:t>
      </w:r>
      <w:r w:rsidRPr="008B359F">
        <w:rPr>
          <w:lang w:val="en-US"/>
        </w:rPr>
        <w:t>faith in private</w:t>
      </w:r>
      <w:r w:rsidR="00A7188F" w:rsidRPr="00AB4E00">
        <w:rPr>
          <w:rStyle w:val="Appelnotedebasdep"/>
        </w:rPr>
        <w:footnoteReference w:id="21"/>
      </w:r>
      <w:r w:rsidR="00A7188F" w:rsidRPr="00AB4E00">
        <w:rPr>
          <w:lang w:val="en-US"/>
        </w:rPr>
        <w:t>.</w:t>
      </w:r>
    </w:p>
    <w:p w14:paraId="0BF8CDC8" w14:textId="77777777" w:rsidR="000917DB" w:rsidRPr="00A7188F" w:rsidRDefault="000917DB" w:rsidP="008F0D47">
      <w:pPr>
        <w:jc w:val="both"/>
        <w:rPr>
          <w:lang w:val="en-US"/>
        </w:rPr>
      </w:pPr>
    </w:p>
    <w:p w14:paraId="012BEB23" w14:textId="08E07F1D" w:rsidR="00CE2D14" w:rsidRPr="00CE2D14" w:rsidRDefault="004919D5" w:rsidP="008F0D47">
      <w:pPr>
        <w:jc w:val="both"/>
        <w:rPr>
          <w:lang w:val="en-US"/>
        </w:rPr>
      </w:pPr>
      <w:r w:rsidRPr="008B359F">
        <w:rPr>
          <w:color w:val="000000"/>
          <w:spacing w:val="5"/>
          <w:shd w:val="clear" w:color="auto" w:fill="FFFFFF"/>
          <w:lang w:val="en-US"/>
        </w:rPr>
        <w:t>2</w:t>
      </w:r>
      <w:r w:rsidR="00696BCD" w:rsidRPr="00696BCD">
        <w:rPr>
          <w:color w:val="000000"/>
          <w:spacing w:val="5"/>
          <w:shd w:val="clear" w:color="auto" w:fill="FFFFFF"/>
          <w:lang w:val="en-US"/>
        </w:rPr>
        <w:t>4</w:t>
      </w:r>
      <w:r w:rsidRPr="008B359F">
        <w:rPr>
          <w:color w:val="000000"/>
          <w:spacing w:val="5"/>
          <w:shd w:val="clear" w:color="auto" w:fill="FFFFFF"/>
          <w:lang w:val="en-US"/>
        </w:rPr>
        <w:t>.</w:t>
      </w:r>
      <w:r w:rsidRPr="008B359F">
        <w:rPr>
          <w:color w:val="000000"/>
          <w:spacing w:val="5"/>
          <w:shd w:val="clear" w:color="auto" w:fill="FFFFFF"/>
          <w:lang w:val="en-US"/>
        </w:rPr>
        <w:tab/>
      </w:r>
      <w:r w:rsidR="00CE2D14" w:rsidRPr="008B359F">
        <w:rPr>
          <w:lang w:val="en-US"/>
        </w:rPr>
        <w:t>Under Article 1 of the Constitution of Tunisia, “Tunisia is a free, independent, sovereign state; its religion is Islam, its language Arabic, and its system is republican”</w:t>
      </w:r>
      <w:r w:rsidR="00CE2D14">
        <w:rPr>
          <w:rStyle w:val="Appelnotedebasdep"/>
        </w:rPr>
        <w:footnoteReference w:id="22"/>
      </w:r>
      <w:r w:rsidR="00CE2D14" w:rsidRPr="008B359F">
        <w:rPr>
          <w:lang w:val="en-US"/>
        </w:rPr>
        <w:t>. Article 6 enshrines protections for the freedom of religion</w:t>
      </w:r>
      <w:r w:rsidR="00CE2D14" w:rsidRPr="00CE2D14">
        <w:rPr>
          <w:lang w:val="en-US"/>
        </w:rPr>
        <w:t>.</w:t>
      </w:r>
      <w:r w:rsidR="00CE2D14">
        <w:rPr>
          <w:lang w:val="en-US"/>
        </w:rPr>
        <w:t xml:space="preserve"> </w:t>
      </w:r>
      <w:r w:rsidR="00CE2D14" w:rsidRPr="008B359F">
        <w:rPr>
          <w:lang w:val="en-US"/>
        </w:rPr>
        <w:t xml:space="preserve">However, despite these protections for worship enshrined within the Constitution, </w:t>
      </w:r>
      <w:r w:rsidR="00CE2D14" w:rsidRPr="00CE2D14">
        <w:rPr>
          <w:lang w:val="en-US"/>
        </w:rPr>
        <w:t>Tunisia</w:t>
      </w:r>
      <w:r w:rsidR="00CE2D14" w:rsidRPr="008B359F">
        <w:rPr>
          <w:lang w:val="en-US"/>
        </w:rPr>
        <w:t xml:space="preserve"> undermines these protections in their laws and practices</w:t>
      </w:r>
      <w:r w:rsidR="00CE2D14" w:rsidRPr="00CE2D14">
        <w:rPr>
          <w:lang w:val="en-US"/>
        </w:rPr>
        <w:t xml:space="preserve">. </w:t>
      </w:r>
    </w:p>
    <w:p w14:paraId="78F2EF02" w14:textId="77777777" w:rsidR="000917DB" w:rsidRPr="008B359F" w:rsidRDefault="000917DB" w:rsidP="008F0D47">
      <w:pPr>
        <w:jc w:val="both"/>
        <w:rPr>
          <w:color w:val="000000"/>
          <w:spacing w:val="5"/>
          <w:shd w:val="clear" w:color="auto" w:fill="FFFFFF"/>
          <w:lang w:val="en-US"/>
        </w:rPr>
      </w:pPr>
    </w:p>
    <w:p w14:paraId="68BCED39" w14:textId="3FC6E463" w:rsidR="00A7188F" w:rsidRDefault="004919D5" w:rsidP="008F0D47">
      <w:pPr>
        <w:jc w:val="both"/>
        <w:rPr>
          <w:lang w:val="en-US"/>
        </w:rPr>
      </w:pPr>
      <w:r w:rsidRPr="008B359F">
        <w:rPr>
          <w:color w:val="000000"/>
          <w:spacing w:val="5"/>
          <w:shd w:val="clear" w:color="auto" w:fill="FFFFFF"/>
          <w:lang w:val="en-US"/>
        </w:rPr>
        <w:t>24.</w:t>
      </w:r>
      <w:r w:rsidRPr="008B359F">
        <w:rPr>
          <w:color w:val="000000"/>
          <w:spacing w:val="5"/>
          <w:shd w:val="clear" w:color="auto" w:fill="FFFFFF"/>
          <w:lang w:val="en-US"/>
        </w:rPr>
        <w:tab/>
      </w:r>
      <w:r w:rsidRPr="008B359F">
        <w:rPr>
          <w:b/>
          <w:bCs/>
          <w:color w:val="000000"/>
          <w:spacing w:val="5"/>
          <w:shd w:val="clear" w:color="auto" w:fill="FFFFFF"/>
          <w:lang w:val="en-US"/>
        </w:rPr>
        <w:t xml:space="preserve">Restriction </w:t>
      </w:r>
      <w:r w:rsidR="00AB4E00" w:rsidRPr="00AB4E00">
        <w:rPr>
          <w:b/>
          <w:bCs/>
          <w:color w:val="000000"/>
          <w:spacing w:val="5"/>
          <w:shd w:val="clear" w:color="auto" w:fill="FFFFFF"/>
          <w:lang w:val="en-US"/>
        </w:rPr>
        <w:t xml:space="preserve">to freedom of </w:t>
      </w:r>
      <w:r w:rsidR="001B11A2">
        <w:rPr>
          <w:b/>
          <w:bCs/>
          <w:color w:val="000000"/>
          <w:spacing w:val="5"/>
          <w:shd w:val="clear" w:color="auto" w:fill="FFFFFF"/>
          <w:lang w:val="en-US"/>
        </w:rPr>
        <w:t>conscience</w:t>
      </w:r>
      <w:r w:rsidRPr="008B359F">
        <w:rPr>
          <w:color w:val="000000"/>
          <w:spacing w:val="5"/>
          <w:shd w:val="clear" w:color="auto" w:fill="FFFFFF"/>
          <w:lang w:val="en-US"/>
        </w:rPr>
        <w:t xml:space="preserve">. </w:t>
      </w:r>
      <w:r w:rsidR="00AB4E00" w:rsidRPr="008B359F">
        <w:rPr>
          <w:lang w:val="en-US"/>
        </w:rPr>
        <w:t>Article 14(8) of the law No. 2015-26 of 7 August 2015</w:t>
      </w:r>
      <w:r w:rsidR="00AB4E00" w:rsidRPr="00AB4E00">
        <w:rPr>
          <w:lang w:val="en-US"/>
        </w:rPr>
        <w:t xml:space="preserve"> </w:t>
      </w:r>
      <w:r w:rsidR="00AB4E00">
        <w:rPr>
          <w:lang w:val="en-US"/>
        </w:rPr>
        <w:t>prohibits apostasy</w:t>
      </w:r>
      <w:r w:rsidR="00AB4E00">
        <w:rPr>
          <w:rStyle w:val="Appelnotedebasdep"/>
          <w:lang w:val="en-US"/>
        </w:rPr>
        <w:footnoteReference w:id="23"/>
      </w:r>
      <w:r w:rsidR="00AB4E00">
        <w:rPr>
          <w:lang w:val="en-US"/>
        </w:rPr>
        <w:t xml:space="preserve"> and </w:t>
      </w:r>
      <w:r w:rsidR="00AB4E00" w:rsidRPr="008B359F">
        <w:rPr>
          <w:lang w:val="en-US"/>
        </w:rPr>
        <w:t>Article 226(2) of the Penal Code</w:t>
      </w:r>
      <w:r w:rsidR="00AB4E00" w:rsidRPr="00AB4E00">
        <w:rPr>
          <w:lang w:val="en-US"/>
        </w:rPr>
        <w:t xml:space="preserve"> Article 226(2) of the Penal Code makes it a crime for anyone to “distribute, offer for sale, publicly display, or possess, with the intent to distribute, sell, display for the purpose of propaganda, tracts, bulletins, and fliers, whether of foreign origin or not, that are liable to cause harm to the public order or public morals</w:t>
      </w:r>
      <w:r w:rsidR="00E06909">
        <w:rPr>
          <w:lang w:val="en-US"/>
        </w:rPr>
        <w:t>.</w:t>
      </w:r>
      <w:r w:rsidR="00AB4E00" w:rsidRPr="00AB4E00">
        <w:rPr>
          <w:lang w:val="en-US"/>
        </w:rPr>
        <w:t xml:space="preserve">” This kind of language is concerning, because it is interpreted in a way that outlaws </w:t>
      </w:r>
      <w:r w:rsidR="008B359F" w:rsidRPr="00AB4E00">
        <w:rPr>
          <w:lang w:val="en-US"/>
        </w:rPr>
        <w:t>proselytizing</w:t>
      </w:r>
      <w:r w:rsidR="00AB4E00" w:rsidRPr="00AB4E00">
        <w:rPr>
          <w:lang w:val="en-US"/>
        </w:rPr>
        <w:t xml:space="preserve"> and categorizes sharing one’s faith as “offensive</w:t>
      </w:r>
      <w:r w:rsidR="00E06909">
        <w:rPr>
          <w:lang w:val="en-US"/>
        </w:rPr>
        <w:t>.</w:t>
      </w:r>
      <w:r w:rsidR="00AB4E00" w:rsidRPr="00AB4E00">
        <w:rPr>
          <w:lang w:val="en-US"/>
        </w:rPr>
        <w:t>”</w:t>
      </w:r>
      <w:r w:rsidR="00AB4E00">
        <w:rPr>
          <w:lang w:val="en-US"/>
        </w:rPr>
        <w:t xml:space="preserve"> </w:t>
      </w:r>
    </w:p>
    <w:p w14:paraId="45996990" w14:textId="29739EEB" w:rsidR="00AB4E00" w:rsidRDefault="00AB4E00" w:rsidP="008F0D47">
      <w:pPr>
        <w:jc w:val="both"/>
        <w:rPr>
          <w:lang w:val="en-US"/>
        </w:rPr>
      </w:pPr>
    </w:p>
    <w:p w14:paraId="53A45C89" w14:textId="201FF9C5" w:rsidR="00AB4E00" w:rsidRPr="00AB4E00" w:rsidRDefault="00AB4E00" w:rsidP="008F0D47">
      <w:pPr>
        <w:jc w:val="both"/>
        <w:rPr>
          <w:color w:val="000000"/>
          <w:spacing w:val="5"/>
          <w:shd w:val="clear" w:color="auto" w:fill="FFFFFF"/>
          <w:lang w:val="en-US"/>
        </w:rPr>
      </w:pPr>
      <w:r>
        <w:rPr>
          <w:b/>
          <w:bCs/>
          <w:color w:val="000000"/>
          <w:spacing w:val="5"/>
          <w:shd w:val="clear" w:color="auto" w:fill="FFFFFF"/>
          <w:lang w:val="en-US"/>
        </w:rPr>
        <w:t>25.</w:t>
      </w:r>
      <w:r>
        <w:rPr>
          <w:b/>
          <w:bCs/>
          <w:color w:val="000000"/>
          <w:spacing w:val="5"/>
          <w:shd w:val="clear" w:color="auto" w:fill="FFFFFF"/>
          <w:lang w:val="en-US"/>
        </w:rPr>
        <w:tab/>
      </w:r>
      <w:r w:rsidRPr="00696BCD">
        <w:rPr>
          <w:b/>
          <w:bCs/>
          <w:color w:val="000000"/>
          <w:spacing w:val="5"/>
          <w:shd w:val="clear" w:color="auto" w:fill="FFFFFF"/>
          <w:lang w:val="en-US"/>
        </w:rPr>
        <w:t xml:space="preserve">Restriction </w:t>
      </w:r>
      <w:r>
        <w:rPr>
          <w:b/>
          <w:bCs/>
          <w:color w:val="000000"/>
          <w:spacing w:val="5"/>
          <w:shd w:val="clear" w:color="auto" w:fill="FFFFFF"/>
          <w:lang w:val="en-US"/>
        </w:rPr>
        <w:t>to</w:t>
      </w:r>
      <w:r w:rsidRPr="00696BCD">
        <w:rPr>
          <w:b/>
          <w:bCs/>
          <w:color w:val="000000"/>
          <w:spacing w:val="5"/>
          <w:shd w:val="clear" w:color="auto" w:fill="FFFFFF"/>
          <w:lang w:val="en-US"/>
        </w:rPr>
        <w:t xml:space="preserve"> education. </w:t>
      </w:r>
      <w:r w:rsidRPr="00696BCD">
        <w:rPr>
          <w:color w:val="000000"/>
          <w:spacing w:val="5"/>
          <w:shd w:val="clear" w:color="auto" w:fill="FFFFFF"/>
          <w:lang w:val="en-US"/>
        </w:rPr>
        <w:t xml:space="preserve">Law no. 2002-30 of July 23 stipulates that </w:t>
      </w:r>
      <w:r w:rsidR="00E06909">
        <w:rPr>
          <w:color w:val="000000"/>
          <w:spacing w:val="5"/>
          <w:shd w:val="clear" w:color="auto" w:fill="FFFFFF"/>
          <w:lang w:val="en-US"/>
        </w:rPr>
        <w:t>“</w:t>
      </w:r>
      <w:r w:rsidRPr="00696BCD">
        <w:rPr>
          <w:color w:val="000000"/>
          <w:spacing w:val="5"/>
          <w:shd w:val="clear" w:color="auto" w:fill="FFFFFF"/>
          <w:lang w:val="en-US"/>
        </w:rPr>
        <w:t>the purpose of education is to raise pupils in loyalty to Tunisia [...]. It reinforces in them [...] the feeling of belonging to a civilization with national, Maghrebian, Arab, African Islamic and Mediterranean dimensions</w:t>
      </w:r>
      <w:r w:rsidR="00E06909">
        <w:rPr>
          <w:color w:val="000000"/>
          <w:spacing w:val="5"/>
          <w:shd w:val="clear" w:color="auto" w:fill="FFFFFF"/>
          <w:lang w:val="en-US"/>
        </w:rPr>
        <w:t>”</w:t>
      </w:r>
      <w:r w:rsidRPr="00696BCD">
        <w:rPr>
          <w:color w:val="000000"/>
          <w:spacing w:val="5"/>
          <w:shd w:val="clear" w:color="auto" w:fill="FFFFFF"/>
          <w:lang w:val="en-US"/>
        </w:rPr>
        <w:t xml:space="preserve"> (article 3). This provision </w:t>
      </w:r>
      <w:r w:rsidRPr="00E06909">
        <w:rPr>
          <w:i/>
          <w:iCs/>
          <w:color w:val="000000"/>
          <w:spacing w:val="5"/>
          <w:shd w:val="clear" w:color="auto" w:fill="FFFFFF"/>
          <w:lang w:val="en-US"/>
        </w:rPr>
        <w:t>de facto</w:t>
      </w:r>
      <w:r w:rsidRPr="00696BCD">
        <w:rPr>
          <w:color w:val="000000"/>
          <w:spacing w:val="5"/>
          <w:shd w:val="clear" w:color="auto" w:fill="FFFFFF"/>
          <w:lang w:val="en-US"/>
        </w:rPr>
        <w:t xml:space="preserve"> excludes the teaching of other religions, notably Christianity.</w:t>
      </w:r>
    </w:p>
    <w:p w14:paraId="1318E590" w14:textId="77777777" w:rsidR="00AB4E00" w:rsidRPr="008B359F" w:rsidRDefault="00AB4E00" w:rsidP="008F0D47">
      <w:pPr>
        <w:jc w:val="both"/>
        <w:rPr>
          <w:lang w:val="en-US"/>
        </w:rPr>
      </w:pPr>
    </w:p>
    <w:p w14:paraId="2A5E8667" w14:textId="652CA8E4" w:rsidR="00A7188F" w:rsidRPr="008B359F" w:rsidRDefault="00A7188F" w:rsidP="008F0D47">
      <w:pPr>
        <w:jc w:val="both"/>
        <w:rPr>
          <w:lang w:val="en-US"/>
        </w:rPr>
      </w:pPr>
      <w:r w:rsidRPr="00A7188F">
        <w:rPr>
          <w:lang w:val="en-US"/>
        </w:rPr>
        <w:t>26.</w:t>
      </w:r>
      <w:r w:rsidRPr="00A7188F">
        <w:rPr>
          <w:lang w:val="en-US"/>
        </w:rPr>
        <w:tab/>
      </w:r>
      <w:r w:rsidRPr="008B359F">
        <w:rPr>
          <w:lang w:val="en-US"/>
        </w:rPr>
        <w:t xml:space="preserve">It is imperative that the government of Tunisia do more to protect the rights enshrined in its Constitution, including removing the vague criminal laws that have been used to </w:t>
      </w:r>
      <w:r w:rsidR="008B359F" w:rsidRPr="008B359F">
        <w:rPr>
          <w:lang w:val="en-US"/>
        </w:rPr>
        <w:t>criminalize</w:t>
      </w:r>
      <w:r w:rsidRPr="008B359F">
        <w:rPr>
          <w:lang w:val="en-US"/>
        </w:rPr>
        <w:t xml:space="preserve"> </w:t>
      </w:r>
      <w:r w:rsidR="008B359F" w:rsidRPr="008B359F">
        <w:rPr>
          <w:lang w:val="en-US"/>
        </w:rPr>
        <w:t>proselytization</w:t>
      </w:r>
      <w:r w:rsidRPr="008B359F">
        <w:rPr>
          <w:lang w:val="en-US"/>
        </w:rPr>
        <w:t>. Tunisia must protect the rights of everyone to practice their religion freely and peacefully without fear of being arrested or harassed. Additionally, it is imperative that the police properly investigate complaints filed by Christians who have been attacked because of their faith</w:t>
      </w:r>
      <w:r w:rsidRPr="00A7188F">
        <w:rPr>
          <w:lang w:val="en-US"/>
        </w:rPr>
        <w:t xml:space="preserve">. </w:t>
      </w:r>
      <w:r w:rsidRPr="008B359F">
        <w:rPr>
          <w:lang w:val="en-US"/>
        </w:rPr>
        <w:t xml:space="preserve">Furthermore, we urge the government to promote interfaith dialogue, such as the </w:t>
      </w:r>
      <w:r w:rsidR="0054274B">
        <w:rPr>
          <w:lang w:val="en-US"/>
        </w:rPr>
        <w:t>“</w:t>
      </w:r>
      <w:r w:rsidRPr="008B359F">
        <w:rPr>
          <w:lang w:val="en-US"/>
        </w:rPr>
        <w:t>National Pact for Coexistence</w:t>
      </w:r>
      <w:r w:rsidR="0054274B">
        <w:rPr>
          <w:lang w:val="en-US"/>
        </w:rPr>
        <w:t>”</w:t>
      </w:r>
      <w:r w:rsidRPr="008B359F">
        <w:rPr>
          <w:lang w:val="en-US"/>
        </w:rPr>
        <w:t xml:space="preserve"> </w:t>
      </w:r>
      <w:r w:rsidR="00D505B0" w:rsidRPr="008B359F">
        <w:rPr>
          <w:lang w:val="en-US"/>
        </w:rPr>
        <w:t>to</w:t>
      </w:r>
      <w:r w:rsidRPr="008B359F">
        <w:rPr>
          <w:lang w:val="en-US"/>
        </w:rPr>
        <w:t xml:space="preserve"> encourage greater religious harmony and freedom within Tunisia.</w:t>
      </w:r>
    </w:p>
    <w:sectPr w:rsidR="00A7188F" w:rsidRPr="008B359F">
      <w:footerReference w:type="default" r:id="rId9"/>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46610" w14:textId="77777777" w:rsidR="00CB5F1D" w:rsidRDefault="00CB5F1D" w:rsidP="004919D5">
      <w:r>
        <w:separator/>
      </w:r>
    </w:p>
  </w:endnote>
  <w:endnote w:type="continuationSeparator" w:id="0">
    <w:p w14:paraId="1A6786BD" w14:textId="77777777" w:rsidR="00CB5F1D" w:rsidRDefault="00CB5F1D" w:rsidP="0049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C6BBF" w14:textId="77777777" w:rsidR="007E7B91" w:rsidRPr="00FB29C6" w:rsidRDefault="007E7B91" w:rsidP="007E7B91">
    <w:pPr>
      <w:tabs>
        <w:tab w:val="center" w:pos="4536"/>
        <w:tab w:val="right" w:pos="9072"/>
      </w:tabs>
      <w:jc w:val="center"/>
      <w:rPr>
        <w:rFonts w:ascii="Century" w:eastAsia="Calibri" w:hAnsi="Century"/>
        <w:smallCaps/>
        <w:color w:val="1F3864"/>
        <w:spacing w:val="116"/>
        <w:sz w:val="18"/>
        <w:szCs w:val="18"/>
        <w:lang w:val="en-GB"/>
      </w:rPr>
    </w:pPr>
    <w:r w:rsidRPr="00FB29C6">
      <w:rPr>
        <w:rFonts w:ascii="Century" w:eastAsia="Calibri" w:hAnsi="Century"/>
        <w:smallCaps/>
        <w:color w:val="1F3864"/>
        <w:spacing w:val="116"/>
        <w:sz w:val="18"/>
        <w:szCs w:val="18"/>
        <w:lang w:val="en-GB"/>
      </w:rPr>
      <w:t>European Centre for Law and Justice</w:t>
    </w:r>
  </w:p>
  <w:p w14:paraId="0BE476EA" w14:textId="0E95AE7F" w:rsidR="001C000E" w:rsidRPr="007E7B91" w:rsidRDefault="007E7B91" w:rsidP="007E7B91">
    <w:pPr>
      <w:tabs>
        <w:tab w:val="center" w:pos="4536"/>
        <w:tab w:val="right" w:pos="9072"/>
      </w:tabs>
      <w:spacing w:before="80"/>
      <w:jc w:val="center"/>
      <w:rPr>
        <w:rFonts w:eastAsia="Calibri"/>
        <w:sz w:val="20"/>
        <w:szCs w:val="20"/>
      </w:rPr>
    </w:pPr>
    <w:r w:rsidRPr="00FB29C6">
      <w:rPr>
        <w:rFonts w:eastAsia="Calibri"/>
        <w:noProof/>
        <w:sz w:val="20"/>
        <w:szCs w:val="20"/>
      </w:rPr>
      <mc:AlternateContent>
        <mc:Choice Requires="wps">
          <w:drawing>
            <wp:anchor distT="0" distB="0" distL="114300" distR="114300" simplePos="0" relativeHeight="251659264" behindDoc="0" locked="0" layoutInCell="1" allowOverlap="1" wp14:anchorId="01BBF0F9" wp14:editId="22183F19">
              <wp:simplePos x="0" y="0"/>
              <wp:positionH relativeFrom="margin">
                <wp:align>center</wp:align>
              </wp:positionH>
              <wp:positionV relativeFrom="paragraph">
                <wp:posOffset>27940</wp:posOffset>
              </wp:positionV>
              <wp:extent cx="4670756" cy="3658"/>
              <wp:effectExtent l="0" t="0" r="34925" b="34925"/>
              <wp:wrapNone/>
              <wp:docPr id="3" name="Connecteur droit 3"/>
              <wp:cNvGraphicFramePr/>
              <a:graphic xmlns:a="http://schemas.openxmlformats.org/drawingml/2006/main">
                <a:graphicData uri="http://schemas.microsoft.com/office/word/2010/wordprocessingShape">
                  <wps:wsp>
                    <wps:cNvCnPr/>
                    <wps:spPr>
                      <a:xfrm flipV="1">
                        <a:off x="0" y="0"/>
                        <a:ext cx="4670756" cy="3658"/>
                      </a:xfrm>
                      <a:prstGeom prst="line">
                        <a:avLst/>
                      </a:prstGeom>
                      <a:noFill/>
                      <a:ln w="9525" cap="flat" cmpd="sng" algn="ctr">
                        <a:solidFill>
                          <a:srgbClr val="4472C4"/>
                        </a:solidFill>
                        <a:prstDash val="solid"/>
                      </a:ln>
                      <a:effectLst/>
                    </wps:spPr>
                    <wps:bodyPr/>
                  </wps:wsp>
                </a:graphicData>
              </a:graphic>
            </wp:anchor>
          </w:drawing>
        </mc:Choice>
        <mc:Fallback>
          <w:pict>
            <v:line w14:anchorId="5EDA22BF" id="Connecteur droit 3"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2.2pt" to="367.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" strokecolor="#4472c4">
              <w10:wrap anchorx="margin"/>
            </v:line>
          </w:pict>
        </mc:Fallback>
      </mc:AlternateContent>
    </w:r>
    <w:r w:rsidRPr="00FB29C6">
      <w:rPr>
        <w:rFonts w:eastAsia="Calibri"/>
        <w:sz w:val="20"/>
        <w:szCs w:val="20"/>
      </w:rPr>
      <w:t xml:space="preserve">4, Quai Koch, </w:t>
    </w:r>
    <w:r w:rsidRPr="00FB29C6">
      <w:rPr>
        <w:rFonts w:eastAsia="Calibri"/>
        <w:smallCaps/>
        <w:sz w:val="20"/>
        <w:szCs w:val="20"/>
      </w:rPr>
      <w:t>67000 Strasbourg, France – T</w:t>
    </w:r>
    <w:r w:rsidRPr="00FB29C6">
      <w:rPr>
        <w:rFonts w:eastAsia="Calibri"/>
        <w:sz w:val="20"/>
        <w:szCs w:val="20"/>
      </w:rPr>
      <w:t>él : +33 3 88 24 94 40 – secretariat@eclj.org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720A4" w14:textId="77777777" w:rsidR="00CB5F1D" w:rsidRDefault="00CB5F1D" w:rsidP="004919D5">
      <w:r>
        <w:separator/>
      </w:r>
    </w:p>
  </w:footnote>
  <w:footnote w:type="continuationSeparator" w:id="0">
    <w:p w14:paraId="0A8FDE27" w14:textId="77777777" w:rsidR="00CB5F1D" w:rsidRDefault="00CB5F1D" w:rsidP="004919D5">
      <w:r>
        <w:continuationSeparator/>
      </w:r>
    </w:p>
  </w:footnote>
  <w:footnote w:id="1">
    <w:p w14:paraId="47835521" w14:textId="32C1D00B" w:rsidR="00983303" w:rsidRPr="008B359F" w:rsidRDefault="00983303" w:rsidP="004C34F4">
      <w:pPr>
        <w:jc w:val="both"/>
        <w:rPr>
          <w:sz w:val="20"/>
          <w:szCs w:val="20"/>
          <w:lang w:val="en-US"/>
        </w:rPr>
      </w:pPr>
      <w:r w:rsidRPr="004C34F4">
        <w:rPr>
          <w:rStyle w:val="Appelnotedebasdep"/>
          <w:sz w:val="20"/>
          <w:szCs w:val="20"/>
        </w:rPr>
        <w:footnoteRef/>
      </w:r>
      <w:r w:rsidRPr="004C34F4">
        <w:rPr>
          <w:sz w:val="20"/>
          <w:szCs w:val="20"/>
          <w:lang w:val="en-US"/>
        </w:rPr>
        <w:t xml:space="preserve"> </w:t>
      </w:r>
      <w:hyperlink r:id="rId1" w:history="1">
        <w:r w:rsidRPr="008B359F">
          <w:rPr>
            <w:rStyle w:val="Lienhypertexte"/>
            <w:sz w:val="20"/>
            <w:szCs w:val="20"/>
            <w:lang w:val="en-US"/>
          </w:rPr>
          <w:t>Algeria</w:t>
        </w:r>
      </w:hyperlink>
      <w:r w:rsidRPr="008B359F">
        <w:rPr>
          <w:sz w:val="20"/>
          <w:szCs w:val="20"/>
          <w:lang w:val="en-US"/>
        </w:rPr>
        <w:t>, WORLD FACTBOOK (27 Sep. 202</w:t>
      </w:r>
      <w:r w:rsidR="00AB4E00" w:rsidRPr="004C34F4">
        <w:rPr>
          <w:sz w:val="20"/>
          <w:szCs w:val="20"/>
          <w:lang w:val="en-US"/>
        </w:rPr>
        <w:t>1)</w:t>
      </w:r>
      <w:r w:rsidRPr="008B359F">
        <w:rPr>
          <w:sz w:val="20"/>
          <w:szCs w:val="20"/>
          <w:lang w:val="en-US"/>
        </w:rPr>
        <w:t>.</w:t>
      </w:r>
    </w:p>
  </w:footnote>
  <w:footnote w:id="2">
    <w:p w14:paraId="446E0AAD" w14:textId="1D97444A" w:rsidR="00983303" w:rsidRPr="004C34F4" w:rsidRDefault="00983303" w:rsidP="004C34F4">
      <w:pPr>
        <w:pStyle w:val="Notedebasdepage"/>
        <w:jc w:val="both"/>
        <w:rPr>
          <w:rFonts w:ascii="Times New Roman" w:hAnsi="Times New Roman"/>
          <w:lang w:val="en-US"/>
        </w:rPr>
      </w:pPr>
      <w:r w:rsidRPr="004C34F4">
        <w:rPr>
          <w:rStyle w:val="Appelnotedebasdep"/>
          <w:rFonts w:ascii="Times New Roman" w:hAnsi="Times New Roman"/>
        </w:rPr>
        <w:footnoteRef/>
      </w:r>
      <w:r w:rsidRPr="004C34F4">
        <w:rPr>
          <w:rFonts w:ascii="Times New Roman" w:hAnsi="Times New Roman"/>
          <w:lang w:val="en-US"/>
        </w:rPr>
        <w:t xml:space="preserve"> </w:t>
      </w:r>
      <w:r w:rsidRPr="004C34F4">
        <w:rPr>
          <w:rFonts w:ascii="Times New Roman" w:hAnsi="Times New Roman"/>
          <w:i/>
          <w:iCs/>
          <w:lang w:val="en-US"/>
        </w:rPr>
        <w:t>Id</w:t>
      </w:r>
      <w:r w:rsidRPr="004C34F4">
        <w:rPr>
          <w:rFonts w:ascii="Times New Roman" w:hAnsi="Times New Roman"/>
          <w:lang w:val="en-US"/>
        </w:rPr>
        <w:t xml:space="preserve">. </w:t>
      </w:r>
    </w:p>
  </w:footnote>
  <w:footnote w:id="3">
    <w:p w14:paraId="2E9ECB03" w14:textId="393DA60D" w:rsidR="00983303" w:rsidRPr="00361AAA" w:rsidRDefault="00983303" w:rsidP="004C34F4">
      <w:pPr>
        <w:jc w:val="both"/>
        <w:rPr>
          <w:sz w:val="20"/>
          <w:szCs w:val="20"/>
          <w:lang w:val="nl-NL"/>
        </w:rPr>
      </w:pPr>
      <w:r w:rsidRPr="004C34F4">
        <w:rPr>
          <w:rStyle w:val="Appelnotedebasdep"/>
          <w:sz w:val="20"/>
          <w:szCs w:val="20"/>
        </w:rPr>
        <w:footnoteRef/>
      </w:r>
      <w:r w:rsidRPr="00226614">
        <w:rPr>
          <w:sz w:val="20"/>
          <w:szCs w:val="20"/>
          <w:lang w:val="nl-NL"/>
        </w:rPr>
        <w:t xml:space="preserve"> </w:t>
      </w:r>
      <w:hyperlink r:id="rId2" w:history="1">
        <w:r w:rsidRPr="00361AAA">
          <w:rPr>
            <w:rStyle w:val="Lienhypertexte"/>
            <w:sz w:val="20"/>
            <w:szCs w:val="20"/>
            <w:lang w:val="nl-NL"/>
          </w:rPr>
          <w:t>Algeria</w:t>
        </w:r>
      </w:hyperlink>
      <w:r w:rsidRPr="00361AAA">
        <w:rPr>
          <w:sz w:val="20"/>
          <w:szCs w:val="20"/>
          <w:lang w:val="nl-NL"/>
        </w:rPr>
        <w:t>, Open Doors.</w:t>
      </w:r>
    </w:p>
  </w:footnote>
  <w:footnote w:id="4">
    <w:p w14:paraId="2C8B11E1" w14:textId="6414BA0C" w:rsidR="00983303" w:rsidRPr="00226614" w:rsidRDefault="00983303" w:rsidP="004C34F4">
      <w:pPr>
        <w:pStyle w:val="Notedebasdepage"/>
        <w:jc w:val="both"/>
        <w:rPr>
          <w:rFonts w:ascii="Times New Roman" w:hAnsi="Times New Roman"/>
          <w:lang w:val="nl-NL"/>
        </w:rPr>
      </w:pPr>
      <w:r w:rsidRPr="004C34F4">
        <w:rPr>
          <w:rStyle w:val="Appelnotedebasdep"/>
          <w:rFonts w:ascii="Times New Roman" w:hAnsi="Times New Roman"/>
        </w:rPr>
        <w:footnoteRef/>
      </w:r>
      <w:r w:rsidRPr="00226614">
        <w:rPr>
          <w:rFonts w:ascii="Times New Roman" w:hAnsi="Times New Roman"/>
          <w:lang w:val="nl-NL"/>
        </w:rPr>
        <w:t xml:space="preserve"> </w:t>
      </w:r>
      <w:r w:rsidRPr="00226614">
        <w:rPr>
          <w:rFonts w:ascii="Times New Roman" w:hAnsi="Times New Roman"/>
          <w:i/>
          <w:iCs/>
          <w:lang w:val="nl-NL"/>
        </w:rPr>
        <w:t>Id</w:t>
      </w:r>
      <w:r w:rsidRPr="00226614">
        <w:rPr>
          <w:rFonts w:ascii="Times New Roman" w:hAnsi="Times New Roman"/>
          <w:lang w:val="nl-NL"/>
        </w:rPr>
        <w:t xml:space="preserve">. </w:t>
      </w:r>
    </w:p>
  </w:footnote>
  <w:footnote w:id="5">
    <w:p w14:paraId="21B76ACE" w14:textId="2CDE19C7" w:rsidR="00967A9B" w:rsidRPr="00226614" w:rsidRDefault="00967A9B" w:rsidP="004C34F4">
      <w:pPr>
        <w:pStyle w:val="Notedebasdepage"/>
        <w:jc w:val="both"/>
        <w:rPr>
          <w:lang w:val="nl-NL"/>
        </w:rPr>
      </w:pPr>
      <w:r w:rsidRPr="004C34F4">
        <w:rPr>
          <w:rStyle w:val="Appelnotedebasdep"/>
          <w:rFonts w:ascii="Times New Roman" w:hAnsi="Times New Roman"/>
        </w:rPr>
        <w:footnoteRef/>
      </w:r>
      <w:r w:rsidRPr="00226614">
        <w:rPr>
          <w:rFonts w:ascii="Times New Roman" w:hAnsi="Times New Roman"/>
          <w:lang w:val="nl-NL"/>
        </w:rPr>
        <w:t xml:space="preserve"> </w:t>
      </w:r>
      <w:r w:rsidR="00AB4E00" w:rsidRPr="00226614">
        <w:rPr>
          <w:rFonts w:ascii="Times New Roman" w:hAnsi="Times New Roman"/>
          <w:lang w:val="nl-NL"/>
        </w:rPr>
        <w:t xml:space="preserve">ECLJ, </w:t>
      </w:r>
      <w:hyperlink r:id="rId3" w:history="1">
        <w:r w:rsidR="00AB4E00" w:rsidRPr="00226614">
          <w:rPr>
            <w:rStyle w:val="Lienhypertexte"/>
            <w:rFonts w:ascii="Times New Roman" w:hAnsi="Times New Roman"/>
            <w:lang w:val="nl-NL"/>
          </w:rPr>
          <w:t>EPU Algeria 2022</w:t>
        </w:r>
      </w:hyperlink>
      <w:r w:rsidR="00AB4E00" w:rsidRPr="00226614">
        <w:rPr>
          <w:rFonts w:ascii="Times New Roman" w:hAnsi="Times New Roman"/>
          <w:lang w:val="nl-NL"/>
        </w:rPr>
        <w:t>.</w:t>
      </w:r>
    </w:p>
  </w:footnote>
  <w:footnote w:id="6">
    <w:p w14:paraId="513AB901" w14:textId="3346D5EA" w:rsidR="0083103F" w:rsidRPr="00361AAA" w:rsidRDefault="0083103F" w:rsidP="0018373B">
      <w:pPr>
        <w:pStyle w:val="Notedebasdepage"/>
        <w:jc w:val="both"/>
        <w:rPr>
          <w:rFonts w:ascii="Times New Roman" w:hAnsi="Times New Roman"/>
          <w:lang w:val="en-US"/>
        </w:rPr>
      </w:pPr>
      <w:r w:rsidRPr="0018373B">
        <w:rPr>
          <w:rStyle w:val="Appelnotedebasdep"/>
          <w:rFonts w:ascii="Times New Roman" w:hAnsi="Times New Roman"/>
        </w:rPr>
        <w:footnoteRef/>
      </w:r>
      <w:r w:rsidRPr="00361AAA">
        <w:rPr>
          <w:rFonts w:ascii="Times New Roman" w:hAnsi="Times New Roman"/>
          <w:lang w:val="en-US"/>
        </w:rPr>
        <w:t xml:space="preserve"> ECLJ</w:t>
      </w:r>
      <w:r w:rsidR="00AB4E00" w:rsidRPr="00361AAA">
        <w:rPr>
          <w:rFonts w:ascii="Times New Roman" w:hAnsi="Times New Roman"/>
          <w:lang w:val="en-US"/>
        </w:rPr>
        <w:t xml:space="preserve">, </w:t>
      </w:r>
      <w:hyperlink r:id="rId4" w:history="1">
        <w:r w:rsidR="00AB4E00" w:rsidRPr="00361AAA">
          <w:rPr>
            <w:rStyle w:val="Lienhypertexte"/>
            <w:rFonts w:ascii="Times New Roman" w:hAnsi="Times New Roman"/>
            <w:lang w:val="en-US"/>
          </w:rPr>
          <w:t>EPU Algeria 2022</w:t>
        </w:r>
      </w:hyperlink>
      <w:r w:rsidR="00AB4E00" w:rsidRPr="00361AAA">
        <w:rPr>
          <w:rFonts w:ascii="Times New Roman" w:hAnsi="Times New Roman"/>
          <w:lang w:val="en-US"/>
        </w:rPr>
        <w:t xml:space="preserve">. </w:t>
      </w:r>
    </w:p>
  </w:footnote>
  <w:footnote w:id="7">
    <w:p w14:paraId="1BB211AC" w14:textId="602D2A47" w:rsidR="00D83F6C" w:rsidRPr="00361AAA" w:rsidRDefault="00D83F6C" w:rsidP="0018373B">
      <w:pPr>
        <w:pStyle w:val="Notedebasdepage"/>
        <w:jc w:val="both"/>
        <w:rPr>
          <w:rFonts w:ascii="Times New Roman" w:hAnsi="Times New Roman"/>
          <w:lang w:val="en-US"/>
        </w:rPr>
      </w:pPr>
      <w:r w:rsidRPr="0018373B">
        <w:rPr>
          <w:rStyle w:val="Appelnotedebasdep"/>
          <w:rFonts w:ascii="Times New Roman" w:hAnsi="Times New Roman"/>
        </w:rPr>
        <w:footnoteRef/>
      </w:r>
      <w:r w:rsidRPr="00361AAA">
        <w:rPr>
          <w:rFonts w:ascii="Times New Roman" w:hAnsi="Times New Roman"/>
          <w:lang w:val="en-US"/>
        </w:rPr>
        <w:t xml:space="preserve"> Id. EPU. </w:t>
      </w:r>
    </w:p>
  </w:footnote>
  <w:footnote w:id="8">
    <w:p w14:paraId="5D335E84" w14:textId="3DF9F843" w:rsidR="00A52EA2" w:rsidRPr="007375F1" w:rsidRDefault="00A52EA2" w:rsidP="0018373B">
      <w:pPr>
        <w:jc w:val="both"/>
        <w:rPr>
          <w:sz w:val="20"/>
          <w:szCs w:val="20"/>
          <w:lang w:val="en-US"/>
        </w:rPr>
      </w:pPr>
      <w:r w:rsidRPr="0018373B">
        <w:rPr>
          <w:rStyle w:val="Appelnotedebasdep"/>
          <w:sz w:val="20"/>
          <w:szCs w:val="20"/>
        </w:rPr>
        <w:footnoteRef/>
      </w:r>
      <w:r w:rsidRPr="008B359F">
        <w:rPr>
          <w:sz w:val="20"/>
          <w:szCs w:val="20"/>
          <w:lang w:val="en-US"/>
        </w:rPr>
        <w:t xml:space="preserve"> </w:t>
      </w:r>
      <w:hyperlink r:id="rId5" w:history="1">
        <w:r w:rsidRPr="008B359F">
          <w:rPr>
            <w:rStyle w:val="Lienhypertexte"/>
            <w:sz w:val="20"/>
            <w:szCs w:val="20"/>
            <w:lang w:val="en-US"/>
          </w:rPr>
          <w:t>Morocco</w:t>
        </w:r>
      </w:hyperlink>
      <w:r w:rsidRPr="008B359F">
        <w:rPr>
          <w:sz w:val="20"/>
          <w:szCs w:val="20"/>
          <w:lang w:val="en-US"/>
        </w:rPr>
        <w:t>, THE WORLD FACTBOOK</w:t>
      </w:r>
      <w:r w:rsidR="007375F1" w:rsidRPr="007375F1">
        <w:rPr>
          <w:sz w:val="20"/>
          <w:szCs w:val="20"/>
          <w:lang w:val="en-US"/>
        </w:rPr>
        <w:t>.</w:t>
      </w:r>
    </w:p>
  </w:footnote>
  <w:footnote w:id="9">
    <w:p w14:paraId="40128E68" w14:textId="7CDE2E0B" w:rsidR="00A52EA2" w:rsidRPr="007375F1" w:rsidRDefault="00A52EA2" w:rsidP="0018373B">
      <w:pPr>
        <w:pStyle w:val="Notedebasdepage"/>
        <w:jc w:val="both"/>
        <w:rPr>
          <w:rFonts w:ascii="Times New Roman" w:hAnsi="Times New Roman"/>
          <w:i/>
          <w:iCs/>
          <w:lang w:val="en-US"/>
        </w:rPr>
      </w:pPr>
      <w:r w:rsidRPr="0018373B">
        <w:rPr>
          <w:rStyle w:val="Appelnotedebasdep"/>
          <w:rFonts w:ascii="Times New Roman" w:hAnsi="Times New Roman"/>
        </w:rPr>
        <w:footnoteRef/>
      </w:r>
      <w:r w:rsidRPr="007375F1">
        <w:rPr>
          <w:rFonts w:ascii="Times New Roman" w:hAnsi="Times New Roman"/>
          <w:lang w:val="en-US"/>
        </w:rPr>
        <w:t xml:space="preserve"> </w:t>
      </w:r>
      <w:r w:rsidRPr="007375F1">
        <w:rPr>
          <w:rFonts w:ascii="Times New Roman" w:hAnsi="Times New Roman"/>
          <w:i/>
          <w:iCs/>
          <w:lang w:val="en-US"/>
        </w:rPr>
        <w:t xml:space="preserve">Id. </w:t>
      </w:r>
    </w:p>
  </w:footnote>
  <w:footnote w:id="10">
    <w:p w14:paraId="420690FD" w14:textId="2F4C8EE5" w:rsidR="00A52EA2" w:rsidRPr="00226614" w:rsidRDefault="00A52EA2" w:rsidP="0018373B">
      <w:pPr>
        <w:pStyle w:val="Notedebasdepage"/>
        <w:jc w:val="both"/>
        <w:rPr>
          <w:rFonts w:ascii="Times New Roman" w:hAnsi="Times New Roman"/>
          <w:lang w:val="en-US"/>
        </w:rPr>
      </w:pPr>
      <w:r w:rsidRPr="0018373B">
        <w:rPr>
          <w:rStyle w:val="Appelnotedebasdep"/>
          <w:rFonts w:ascii="Times New Roman" w:hAnsi="Times New Roman"/>
        </w:rPr>
        <w:footnoteRef/>
      </w:r>
      <w:r w:rsidRPr="00226614">
        <w:rPr>
          <w:rFonts w:ascii="Times New Roman" w:hAnsi="Times New Roman"/>
          <w:i/>
          <w:iCs/>
          <w:lang w:val="en-US"/>
        </w:rPr>
        <w:t xml:space="preserve"> Id.</w:t>
      </w:r>
      <w:r w:rsidRPr="00226614">
        <w:rPr>
          <w:rFonts w:ascii="Times New Roman" w:hAnsi="Times New Roman"/>
          <w:lang w:val="en-US"/>
        </w:rPr>
        <w:t xml:space="preserve"> </w:t>
      </w:r>
    </w:p>
  </w:footnote>
  <w:footnote w:id="11">
    <w:p w14:paraId="2EE1171A" w14:textId="7CB56983" w:rsidR="0005698F" w:rsidRPr="007375F1" w:rsidRDefault="0005698F" w:rsidP="0018373B">
      <w:pPr>
        <w:jc w:val="both"/>
        <w:rPr>
          <w:sz w:val="20"/>
          <w:szCs w:val="20"/>
          <w:lang w:val="en-US"/>
        </w:rPr>
      </w:pPr>
      <w:r w:rsidRPr="0018373B">
        <w:rPr>
          <w:rStyle w:val="Appelnotedebasdep"/>
          <w:sz w:val="20"/>
          <w:szCs w:val="20"/>
        </w:rPr>
        <w:footnoteRef/>
      </w:r>
      <w:r w:rsidRPr="0018373B">
        <w:rPr>
          <w:sz w:val="20"/>
          <w:szCs w:val="20"/>
          <w:lang w:val="en-US"/>
        </w:rPr>
        <w:t xml:space="preserve"> </w:t>
      </w:r>
      <w:hyperlink r:id="rId6" w:history="1">
        <w:r w:rsidRPr="008B359F">
          <w:rPr>
            <w:rStyle w:val="Lienhypertexte"/>
            <w:sz w:val="20"/>
            <w:szCs w:val="20"/>
            <w:lang w:val="en-US"/>
          </w:rPr>
          <w:t>After Israel, Will Morocco Normalize with Christians, CHRISTIANITY TODAY</w:t>
        </w:r>
      </w:hyperlink>
      <w:r w:rsidRPr="008B359F">
        <w:rPr>
          <w:sz w:val="20"/>
          <w:szCs w:val="20"/>
          <w:lang w:val="en-US"/>
        </w:rPr>
        <w:t xml:space="preserve"> (8 Jan. 2020)</w:t>
      </w:r>
      <w:r w:rsidR="007375F1" w:rsidRPr="007375F1">
        <w:rPr>
          <w:sz w:val="20"/>
          <w:szCs w:val="20"/>
          <w:lang w:val="en-US"/>
        </w:rPr>
        <w:t>.</w:t>
      </w:r>
    </w:p>
  </w:footnote>
  <w:footnote w:id="12">
    <w:p w14:paraId="3712955B" w14:textId="54212CBC" w:rsidR="00A52EA2" w:rsidRPr="007375F1" w:rsidRDefault="00A52EA2" w:rsidP="0018373B">
      <w:pPr>
        <w:pStyle w:val="Notedebasdepage"/>
        <w:jc w:val="both"/>
        <w:rPr>
          <w:rFonts w:ascii="Times New Roman" w:hAnsi="Times New Roman"/>
          <w:lang w:val="en-US"/>
        </w:rPr>
      </w:pPr>
      <w:r w:rsidRPr="0018373B">
        <w:rPr>
          <w:rStyle w:val="Appelnotedebasdep"/>
          <w:rFonts w:ascii="Times New Roman" w:hAnsi="Times New Roman"/>
        </w:rPr>
        <w:footnoteRef/>
      </w:r>
      <w:r w:rsidRPr="007375F1">
        <w:rPr>
          <w:rFonts w:ascii="Times New Roman" w:hAnsi="Times New Roman"/>
          <w:lang w:val="en-US"/>
        </w:rPr>
        <w:t xml:space="preserve"> </w:t>
      </w:r>
      <w:r w:rsidRPr="007375F1">
        <w:rPr>
          <w:rFonts w:ascii="Times New Roman" w:hAnsi="Times New Roman"/>
          <w:i/>
          <w:iCs/>
          <w:lang w:val="en-US"/>
        </w:rPr>
        <w:t>Id.</w:t>
      </w:r>
    </w:p>
  </w:footnote>
  <w:footnote w:id="13">
    <w:p w14:paraId="1241D98C" w14:textId="172DE40D" w:rsidR="00122252" w:rsidRPr="008B359F" w:rsidRDefault="00122252" w:rsidP="0018373B">
      <w:pPr>
        <w:jc w:val="both"/>
        <w:rPr>
          <w:sz w:val="20"/>
          <w:szCs w:val="20"/>
          <w:lang w:val="en-US"/>
        </w:rPr>
      </w:pPr>
      <w:r w:rsidRPr="0018373B">
        <w:rPr>
          <w:rStyle w:val="Appelnotedebasdep"/>
          <w:sz w:val="20"/>
          <w:szCs w:val="20"/>
        </w:rPr>
        <w:footnoteRef/>
      </w:r>
      <w:r w:rsidR="007375F1" w:rsidRPr="007375F1">
        <w:rPr>
          <w:sz w:val="20"/>
          <w:szCs w:val="20"/>
          <w:lang w:val="en-US"/>
        </w:rPr>
        <w:t xml:space="preserve"> </w:t>
      </w:r>
      <w:hyperlink r:id="rId7" w:history="1">
        <w:r w:rsidR="007375F1" w:rsidRPr="008B359F">
          <w:rPr>
            <w:rStyle w:val="Lienhypertexte"/>
            <w:sz w:val="20"/>
            <w:szCs w:val="20"/>
            <w:lang w:val="en-US"/>
          </w:rPr>
          <w:t>Constitution of Morocco art. 3</w:t>
        </w:r>
      </w:hyperlink>
      <w:r w:rsidR="007375F1" w:rsidRPr="008B359F">
        <w:rPr>
          <w:color w:val="000000" w:themeColor="text1"/>
          <w:sz w:val="20"/>
          <w:szCs w:val="20"/>
          <w:lang w:val="en-US"/>
        </w:rPr>
        <w:t>.</w:t>
      </w:r>
    </w:p>
  </w:footnote>
  <w:footnote w:id="14">
    <w:p w14:paraId="29F0B6BB" w14:textId="432F992B" w:rsidR="00122252" w:rsidRPr="008B359F" w:rsidRDefault="00122252" w:rsidP="0018373B">
      <w:pPr>
        <w:jc w:val="both"/>
        <w:rPr>
          <w:lang w:val="en-US"/>
        </w:rPr>
      </w:pPr>
      <w:r w:rsidRPr="0018373B">
        <w:rPr>
          <w:rStyle w:val="Appelnotedebasdep"/>
          <w:sz w:val="20"/>
          <w:szCs w:val="20"/>
        </w:rPr>
        <w:footnoteRef/>
      </w:r>
      <w:r w:rsidRPr="008B359F">
        <w:rPr>
          <w:sz w:val="20"/>
          <w:szCs w:val="20"/>
          <w:lang w:val="en-US"/>
        </w:rPr>
        <w:t xml:space="preserve"> </w:t>
      </w:r>
      <w:r w:rsidRPr="008B359F">
        <w:rPr>
          <w:i/>
          <w:iCs/>
          <w:sz w:val="20"/>
          <w:szCs w:val="20"/>
          <w:lang w:val="en-US"/>
        </w:rPr>
        <w:t>Id.</w:t>
      </w:r>
      <w:r w:rsidRPr="008B359F">
        <w:rPr>
          <w:sz w:val="20"/>
          <w:szCs w:val="20"/>
          <w:lang w:val="en-US"/>
        </w:rPr>
        <w:t xml:space="preserve"> at art. 41.</w:t>
      </w:r>
    </w:p>
  </w:footnote>
  <w:footnote w:id="15">
    <w:p w14:paraId="30B8C9BA" w14:textId="4BF1B99F" w:rsidR="0018373B" w:rsidRPr="008B359F" w:rsidRDefault="0018373B" w:rsidP="00A7188F">
      <w:pPr>
        <w:jc w:val="both"/>
        <w:rPr>
          <w:color w:val="000000" w:themeColor="text1"/>
          <w:sz w:val="20"/>
          <w:szCs w:val="20"/>
          <w:lang w:val="en-US"/>
        </w:rPr>
      </w:pPr>
      <w:r w:rsidRPr="00A7188F">
        <w:rPr>
          <w:rStyle w:val="Appelnotedebasdep"/>
          <w:color w:val="000000" w:themeColor="text1"/>
          <w:sz w:val="20"/>
          <w:szCs w:val="20"/>
        </w:rPr>
        <w:footnoteRef/>
      </w:r>
      <w:r w:rsidRPr="008B359F">
        <w:rPr>
          <w:color w:val="000000" w:themeColor="text1"/>
          <w:sz w:val="20"/>
          <w:szCs w:val="20"/>
          <w:lang w:val="en-US"/>
        </w:rPr>
        <w:t xml:space="preserve"> </w:t>
      </w:r>
      <w:hyperlink r:id="rId8" w:history="1">
        <w:r w:rsidRPr="008B359F">
          <w:rPr>
            <w:rStyle w:val="Lienhypertexte"/>
            <w:sz w:val="20"/>
            <w:szCs w:val="20"/>
            <w:lang w:val="en-US"/>
          </w:rPr>
          <w:t>Constitution of Morocco art. 3</w:t>
        </w:r>
      </w:hyperlink>
      <w:r w:rsidRPr="008B359F">
        <w:rPr>
          <w:color w:val="000000" w:themeColor="text1"/>
          <w:sz w:val="20"/>
          <w:szCs w:val="20"/>
          <w:lang w:val="en-US"/>
        </w:rPr>
        <w:t>.</w:t>
      </w:r>
    </w:p>
  </w:footnote>
  <w:footnote w:id="16">
    <w:p w14:paraId="67D79F06" w14:textId="571C6284" w:rsidR="0018373B" w:rsidRPr="00AB4E00" w:rsidRDefault="0018373B" w:rsidP="00A7188F">
      <w:pPr>
        <w:pStyle w:val="Notedebasdepage"/>
        <w:jc w:val="both"/>
        <w:rPr>
          <w:rFonts w:ascii="Times New Roman" w:hAnsi="Times New Roman"/>
          <w:color w:val="000000" w:themeColor="text1"/>
          <w:lang w:val="en-US"/>
        </w:rPr>
      </w:pPr>
      <w:r w:rsidRPr="00A7188F">
        <w:rPr>
          <w:rStyle w:val="Appelnotedebasdep"/>
          <w:rFonts w:ascii="Times New Roman" w:hAnsi="Times New Roman"/>
          <w:color w:val="000000" w:themeColor="text1"/>
        </w:rPr>
        <w:footnoteRef/>
      </w:r>
      <w:r w:rsidRPr="00AB4E00">
        <w:rPr>
          <w:rFonts w:ascii="Times New Roman" w:hAnsi="Times New Roman"/>
          <w:color w:val="000000" w:themeColor="text1"/>
          <w:lang w:val="en-US"/>
        </w:rPr>
        <w:t xml:space="preserve"> ECLJ</w:t>
      </w:r>
      <w:r w:rsidR="00AB4E00" w:rsidRPr="00AB4E00">
        <w:rPr>
          <w:rFonts w:ascii="Times New Roman" w:hAnsi="Times New Roman"/>
          <w:color w:val="000000" w:themeColor="text1"/>
          <w:lang w:val="en-US"/>
        </w:rPr>
        <w:t xml:space="preserve">, </w:t>
      </w:r>
      <w:hyperlink r:id="rId9" w:history="1">
        <w:r w:rsidR="00AB4E00" w:rsidRPr="00AB4E00">
          <w:rPr>
            <w:rStyle w:val="Lienhypertexte"/>
            <w:rFonts w:ascii="Times New Roman" w:hAnsi="Times New Roman"/>
            <w:lang w:val="en-US"/>
          </w:rPr>
          <w:t>EPU</w:t>
        </w:r>
        <w:r w:rsidRPr="00AB4E00">
          <w:rPr>
            <w:rStyle w:val="Lienhypertexte"/>
            <w:rFonts w:ascii="Times New Roman" w:hAnsi="Times New Roman"/>
            <w:lang w:val="en-US"/>
          </w:rPr>
          <w:t xml:space="preserve"> Morocco 2022</w:t>
        </w:r>
      </w:hyperlink>
      <w:r w:rsidRPr="00AB4E00">
        <w:rPr>
          <w:rFonts w:ascii="Times New Roman" w:hAnsi="Times New Roman"/>
          <w:color w:val="000000" w:themeColor="text1"/>
          <w:lang w:val="en-US"/>
        </w:rPr>
        <w:t xml:space="preserve">. </w:t>
      </w:r>
    </w:p>
  </w:footnote>
  <w:footnote w:id="17">
    <w:p w14:paraId="3FE10EFC" w14:textId="46A1C9AD" w:rsidR="000917DB" w:rsidRPr="008B359F" w:rsidRDefault="000917DB" w:rsidP="00A7188F">
      <w:pPr>
        <w:jc w:val="both"/>
        <w:rPr>
          <w:sz w:val="20"/>
          <w:szCs w:val="20"/>
          <w:lang w:val="en-US"/>
        </w:rPr>
      </w:pPr>
      <w:r w:rsidRPr="00A7188F">
        <w:rPr>
          <w:rStyle w:val="Appelnotedebasdep"/>
          <w:sz w:val="20"/>
          <w:szCs w:val="20"/>
        </w:rPr>
        <w:footnoteRef/>
      </w:r>
      <w:hyperlink r:id="rId10" w:history="1">
        <w:r w:rsidR="00A7188F" w:rsidRPr="008B359F">
          <w:rPr>
            <w:rStyle w:val="Lienhypertexte"/>
            <w:sz w:val="20"/>
            <w:szCs w:val="20"/>
            <w:lang w:val="en-US"/>
          </w:rPr>
          <w:t>Tunisia</w:t>
        </w:r>
      </w:hyperlink>
      <w:r w:rsidR="00A7188F" w:rsidRPr="008B359F">
        <w:rPr>
          <w:sz w:val="20"/>
          <w:szCs w:val="20"/>
          <w:lang w:val="en-US"/>
        </w:rPr>
        <w:t>, THE WORLD FACTBOOK (14 Jul. 2021).</w:t>
      </w:r>
    </w:p>
  </w:footnote>
  <w:footnote w:id="18">
    <w:p w14:paraId="1880041B" w14:textId="3EA17888" w:rsidR="00A7188F" w:rsidRPr="00226614" w:rsidRDefault="00A7188F" w:rsidP="00A7188F">
      <w:pPr>
        <w:pStyle w:val="Notedebasdepage"/>
        <w:jc w:val="both"/>
        <w:rPr>
          <w:rFonts w:ascii="Times New Roman" w:hAnsi="Times New Roman"/>
          <w:i/>
          <w:iCs/>
          <w:lang w:val="en-US"/>
        </w:rPr>
      </w:pPr>
      <w:r w:rsidRPr="00A7188F">
        <w:rPr>
          <w:rStyle w:val="Appelnotedebasdep"/>
          <w:rFonts w:ascii="Times New Roman" w:hAnsi="Times New Roman"/>
        </w:rPr>
        <w:footnoteRef/>
      </w:r>
      <w:r w:rsidRPr="00226614">
        <w:rPr>
          <w:rFonts w:ascii="Times New Roman" w:hAnsi="Times New Roman"/>
          <w:lang w:val="en-US"/>
        </w:rPr>
        <w:t xml:space="preserve"> </w:t>
      </w:r>
      <w:r w:rsidRPr="00226614">
        <w:rPr>
          <w:rFonts w:ascii="Times New Roman" w:hAnsi="Times New Roman"/>
          <w:i/>
          <w:iCs/>
          <w:lang w:val="en-US"/>
        </w:rPr>
        <w:t xml:space="preserve">Id. </w:t>
      </w:r>
    </w:p>
  </w:footnote>
  <w:footnote w:id="19">
    <w:p w14:paraId="2FB72C17" w14:textId="1D7E6C48" w:rsidR="00A7188F" w:rsidRPr="008B359F" w:rsidRDefault="00A7188F" w:rsidP="00A7188F">
      <w:pPr>
        <w:jc w:val="both"/>
        <w:rPr>
          <w:sz w:val="20"/>
          <w:szCs w:val="20"/>
          <w:lang w:val="en-US"/>
        </w:rPr>
      </w:pPr>
      <w:r w:rsidRPr="00A7188F">
        <w:rPr>
          <w:rStyle w:val="Appelnotedebasdep"/>
          <w:sz w:val="20"/>
          <w:szCs w:val="20"/>
        </w:rPr>
        <w:footnoteRef/>
      </w:r>
      <w:hyperlink r:id="rId11" w:history="1">
        <w:r w:rsidRPr="008B359F">
          <w:rPr>
            <w:rStyle w:val="Lienhypertexte"/>
            <w:sz w:val="20"/>
            <w:szCs w:val="20"/>
            <w:lang w:val="en-US"/>
          </w:rPr>
          <w:t>Tunisia</w:t>
        </w:r>
      </w:hyperlink>
      <w:r w:rsidRPr="008B359F">
        <w:rPr>
          <w:sz w:val="20"/>
          <w:szCs w:val="20"/>
          <w:lang w:val="en-US"/>
        </w:rPr>
        <w:t>, OPEN DOORS.</w:t>
      </w:r>
    </w:p>
  </w:footnote>
  <w:footnote w:id="20">
    <w:p w14:paraId="35A8F5A6" w14:textId="12D22D45" w:rsidR="00A7188F" w:rsidRPr="007D0CFA" w:rsidRDefault="00A7188F" w:rsidP="007D0CFA">
      <w:pPr>
        <w:jc w:val="both"/>
        <w:rPr>
          <w:sz w:val="20"/>
          <w:szCs w:val="20"/>
          <w:lang w:val="en-US"/>
        </w:rPr>
      </w:pPr>
      <w:r w:rsidRPr="007D0CFA">
        <w:rPr>
          <w:rStyle w:val="Appelnotedebasdep"/>
          <w:sz w:val="20"/>
          <w:szCs w:val="20"/>
        </w:rPr>
        <w:footnoteRef/>
      </w:r>
      <w:r w:rsidRPr="008B359F">
        <w:rPr>
          <w:sz w:val="20"/>
          <w:szCs w:val="20"/>
          <w:lang w:val="en-US"/>
        </w:rPr>
        <w:t xml:space="preserve"> </w:t>
      </w:r>
      <w:hyperlink r:id="rId12" w:history="1">
        <w:r w:rsidRPr="008B359F">
          <w:rPr>
            <w:rStyle w:val="Lienhypertexte"/>
            <w:sz w:val="20"/>
            <w:szCs w:val="20"/>
            <w:lang w:val="en-US"/>
          </w:rPr>
          <w:t>Report of the Special Rapporteur on Freedom of Religion and Belief</w:t>
        </w:r>
      </w:hyperlink>
      <w:r w:rsidRPr="008B359F">
        <w:rPr>
          <w:sz w:val="20"/>
          <w:szCs w:val="20"/>
          <w:lang w:val="en-US"/>
        </w:rPr>
        <w:t>, UNHRC (19 Apr. 2019)</w:t>
      </w:r>
      <w:r w:rsidR="007375F1" w:rsidRPr="007D0CFA">
        <w:rPr>
          <w:sz w:val="20"/>
          <w:szCs w:val="20"/>
          <w:lang w:val="en-US"/>
        </w:rPr>
        <w:t>.</w:t>
      </w:r>
    </w:p>
  </w:footnote>
  <w:footnote w:id="21">
    <w:p w14:paraId="14947F4E" w14:textId="4CE09CA0" w:rsidR="00A7188F" w:rsidRPr="008B359F" w:rsidRDefault="00A7188F" w:rsidP="007D0CFA">
      <w:pPr>
        <w:jc w:val="both"/>
        <w:rPr>
          <w:sz w:val="20"/>
          <w:szCs w:val="20"/>
          <w:lang w:val="en-US"/>
        </w:rPr>
      </w:pPr>
      <w:r w:rsidRPr="007D0CFA">
        <w:rPr>
          <w:rStyle w:val="Appelnotedebasdep"/>
          <w:sz w:val="20"/>
          <w:szCs w:val="20"/>
        </w:rPr>
        <w:footnoteRef/>
      </w:r>
      <w:hyperlink r:id="rId13" w:history="1">
        <w:r w:rsidRPr="008B359F">
          <w:rPr>
            <w:rStyle w:val="Lienhypertexte"/>
            <w:sz w:val="20"/>
            <w:szCs w:val="20"/>
            <w:lang w:val="en-US"/>
          </w:rPr>
          <w:t>Tunisia</w:t>
        </w:r>
      </w:hyperlink>
      <w:r w:rsidRPr="008B359F">
        <w:rPr>
          <w:sz w:val="20"/>
          <w:szCs w:val="20"/>
          <w:lang w:val="en-US"/>
        </w:rPr>
        <w:t>, OPEN DOORS.</w:t>
      </w:r>
    </w:p>
  </w:footnote>
  <w:footnote w:id="22">
    <w:p w14:paraId="1FD4631A" w14:textId="515ECB07" w:rsidR="00CE2D14" w:rsidRPr="007D0CFA" w:rsidRDefault="00CE2D14" w:rsidP="007D0CFA">
      <w:pPr>
        <w:jc w:val="both"/>
        <w:rPr>
          <w:sz w:val="20"/>
          <w:szCs w:val="20"/>
          <w:lang w:val="en-US"/>
        </w:rPr>
      </w:pPr>
      <w:r w:rsidRPr="007D0CFA">
        <w:rPr>
          <w:rStyle w:val="Appelnotedebasdep"/>
          <w:sz w:val="20"/>
          <w:szCs w:val="20"/>
        </w:rPr>
        <w:footnoteRef/>
      </w:r>
      <w:r w:rsidRPr="008B359F">
        <w:rPr>
          <w:sz w:val="20"/>
          <w:szCs w:val="20"/>
          <w:lang w:val="en-US"/>
        </w:rPr>
        <w:t xml:space="preserve"> </w:t>
      </w:r>
      <w:hyperlink r:id="rId14" w:history="1">
        <w:r w:rsidRPr="008B359F">
          <w:rPr>
            <w:rStyle w:val="Lienhypertexte"/>
            <w:sz w:val="20"/>
            <w:szCs w:val="20"/>
            <w:lang w:val="en-US"/>
          </w:rPr>
          <w:t>Constitution of Tunisia art 1</w:t>
        </w:r>
        <w:r w:rsidRPr="007D0CFA">
          <w:rPr>
            <w:rStyle w:val="Lienhypertexte"/>
            <w:sz w:val="20"/>
            <w:szCs w:val="20"/>
            <w:lang w:val="en-US"/>
          </w:rPr>
          <w:t>.</w:t>
        </w:r>
      </w:hyperlink>
      <w:r w:rsidRPr="007D0CFA">
        <w:rPr>
          <w:sz w:val="20"/>
          <w:szCs w:val="20"/>
          <w:lang w:val="en-US"/>
        </w:rPr>
        <w:t xml:space="preserve"> </w:t>
      </w:r>
    </w:p>
  </w:footnote>
  <w:footnote w:id="23">
    <w:p w14:paraId="2E71AA8C" w14:textId="4CD8ECE1" w:rsidR="00AB4E00" w:rsidRPr="00AB4E00" w:rsidRDefault="00AB4E00" w:rsidP="007D0CFA">
      <w:pPr>
        <w:jc w:val="both"/>
        <w:rPr>
          <w:lang w:val="en-US"/>
        </w:rPr>
      </w:pPr>
      <w:r w:rsidRPr="007D0CFA">
        <w:rPr>
          <w:rStyle w:val="Appelnotedebasdep"/>
          <w:sz w:val="20"/>
          <w:szCs w:val="20"/>
        </w:rPr>
        <w:footnoteRef/>
      </w:r>
      <w:r w:rsidRPr="008B359F">
        <w:rPr>
          <w:sz w:val="20"/>
          <w:szCs w:val="20"/>
          <w:lang w:val="en-US"/>
        </w:rPr>
        <w:t xml:space="preserve"> </w:t>
      </w:r>
      <w:hyperlink r:id="rId15" w:history="1">
        <w:r w:rsidRPr="008B359F">
          <w:rPr>
            <w:rStyle w:val="Lienhypertexte"/>
            <w:sz w:val="20"/>
            <w:szCs w:val="20"/>
            <w:lang w:val="en-US"/>
          </w:rPr>
          <w:t>Law No. 2015-26 of 7 August 2015 art. 14.8</w:t>
        </w:r>
      </w:hyperlink>
      <w:r w:rsidRPr="007D0CFA">
        <w:rPr>
          <w:sz w:val="20"/>
          <w:szCs w:val="20"/>
          <w:lang w:val="en-US"/>
        </w:rPr>
        <w:t>.</w:t>
      </w:r>
      <w:r w:rsidRPr="00AB4E00">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4697C"/>
    <w:multiLevelType w:val="multilevel"/>
    <w:tmpl w:val="70A26C76"/>
    <w:lvl w:ilvl="0">
      <w:start w:val="1"/>
      <w:numFmt w:val="decimal"/>
      <w:lvlText w:val="%1."/>
      <w:lvlJc w:val="left"/>
      <w:pPr>
        <w:ind w:left="720" w:hanging="360"/>
      </w:pPr>
      <w:rPr>
        <w:rFonts w:hint="default"/>
        <w:b/>
        <w:bCs/>
        <w:sz w:val="28"/>
        <w:szCs w:val="26"/>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1F792BB5"/>
    <w:multiLevelType w:val="hybridMultilevel"/>
    <w:tmpl w:val="FB4A10B4"/>
    <w:lvl w:ilvl="0" w:tplc="BBB0F3F8">
      <w:start w:val="1"/>
      <w:numFmt w:val="upperLetter"/>
      <w:lvlText w:val="%1."/>
      <w:lvlJc w:val="left"/>
      <w:pPr>
        <w:ind w:left="2520" w:hanging="360"/>
      </w:pPr>
      <w:rPr>
        <w:rFonts w:hint="default"/>
      </w:rPr>
    </w:lvl>
    <w:lvl w:ilvl="1" w:tplc="040C0019">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2" w15:restartNumberingAfterBreak="0">
    <w:nsid w:val="2389650E"/>
    <w:multiLevelType w:val="hybridMultilevel"/>
    <w:tmpl w:val="F2AA03A0"/>
    <w:lvl w:ilvl="0" w:tplc="6E981612">
      <w:start w:val="1"/>
      <w:numFmt w:val="upperRoman"/>
      <w:pStyle w:val="Titre1"/>
      <w:lvlText w:val="%1."/>
      <w:lvlJc w:val="left"/>
      <w:pPr>
        <w:ind w:left="1080" w:hanging="720"/>
      </w:pPr>
      <w:rPr>
        <w:rFonts w:hint="default"/>
        <w:b/>
        <w:bCs/>
        <w:sz w:val="28"/>
        <w:szCs w:val="26"/>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9623F55"/>
    <w:multiLevelType w:val="hybridMultilevel"/>
    <w:tmpl w:val="81425C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D944D66"/>
    <w:multiLevelType w:val="multilevel"/>
    <w:tmpl w:val="70A26C76"/>
    <w:lvl w:ilvl="0">
      <w:start w:val="1"/>
      <w:numFmt w:val="decimal"/>
      <w:lvlText w:val="%1."/>
      <w:lvlJc w:val="left"/>
      <w:pPr>
        <w:ind w:left="720" w:hanging="360"/>
      </w:pPr>
      <w:rPr>
        <w:rFonts w:hint="default"/>
        <w:b/>
        <w:bCs/>
        <w:sz w:val="28"/>
        <w:szCs w:val="26"/>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3B155BF5"/>
    <w:multiLevelType w:val="hybridMultilevel"/>
    <w:tmpl w:val="EF649930"/>
    <w:lvl w:ilvl="0" w:tplc="B5A62490">
      <w:start w:val="1"/>
      <w:numFmt w:val="upperLetter"/>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43393001"/>
    <w:multiLevelType w:val="hybridMultilevel"/>
    <w:tmpl w:val="E774E27C"/>
    <w:lvl w:ilvl="0" w:tplc="3DC28598">
      <w:start w:val="1"/>
      <w:numFmt w:val="upperLetter"/>
      <w:pStyle w:val="Titre2"/>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43C23358"/>
    <w:multiLevelType w:val="hybridMultilevel"/>
    <w:tmpl w:val="6BD41610"/>
    <w:lvl w:ilvl="0" w:tplc="51CA399C">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4BE00ACA"/>
    <w:multiLevelType w:val="hybridMultilevel"/>
    <w:tmpl w:val="8EE2E0A4"/>
    <w:lvl w:ilvl="0" w:tplc="040C0015">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15:restartNumberingAfterBreak="0">
    <w:nsid w:val="5DC80A14"/>
    <w:multiLevelType w:val="hybridMultilevel"/>
    <w:tmpl w:val="1C820E9E"/>
    <w:lvl w:ilvl="0" w:tplc="33767F7E">
      <w:start w:val="1"/>
      <w:numFmt w:val="decimal"/>
      <w:pStyle w:val="Titre3"/>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7BF1BEB"/>
    <w:multiLevelType w:val="hybridMultilevel"/>
    <w:tmpl w:val="E2B001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89359570">
    <w:abstractNumId w:val="3"/>
  </w:num>
  <w:num w:numId="2" w16cid:durableId="1578249142">
    <w:abstractNumId w:val="10"/>
  </w:num>
  <w:num w:numId="3" w16cid:durableId="1109929094">
    <w:abstractNumId w:val="4"/>
  </w:num>
  <w:num w:numId="4" w16cid:durableId="301693031">
    <w:abstractNumId w:val="0"/>
  </w:num>
  <w:num w:numId="5" w16cid:durableId="624309535">
    <w:abstractNumId w:val="2"/>
  </w:num>
  <w:num w:numId="6" w16cid:durableId="913466858">
    <w:abstractNumId w:val="7"/>
  </w:num>
  <w:num w:numId="7" w16cid:durableId="1518083817">
    <w:abstractNumId w:val="6"/>
  </w:num>
  <w:num w:numId="8" w16cid:durableId="361053940">
    <w:abstractNumId w:val="5"/>
  </w:num>
  <w:num w:numId="9" w16cid:durableId="1016660221">
    <w:abstractNumId w:val="1"/>
  </w:num>
  <w:num w:numId="10" w16cid:durableId="789789488">
    <w:abstractNumId w:val="8"/>
  </w:num>
  <w:num w:numId="11" w16cid:durableId="263463328">
    <w:abstractNumId w:val="2"/>
    <w:lvlOverride w:ilvl="0">
      <w:startOverride w:val="1"/>
    </w:lvlOverride>
  </w:num>
  <w:num w:numId="12" w16cid:durableId="464279181">
    <w:abstractNumId w:val="2"/>
    <w:lvlOverride w:ilvl="0">
      <w:startOverride w:val="1"/>
    </w:lvlOverride>
  </w:num>
  <w:num w:numId="13" w16cid:durableId="205606097">
    <w:abstractNumId w:val="2"/>
    <w:lvlOverride w:ilvl="0">
      <w:startOverride w:val="1"/>
    </w:lvlOverride>
  </w:num>
  <w:num w:numId="14" w16cid:durableId="1912999462">
    <w:abstractNumId w:val="2"/>
    <w:lvlOverride w:ilvl="0">
      <w:startOverride w:val="1"/>
    </w:lvlOverride>
  </w:num>
  <w:num w:numId="15" w16cid:durableId="7381412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9D5"/>
    <w:rsid w:val="000071CE"/>
    <w:rsid w:val="0005698F"/>
    <w:rsid w:val="000710CA"/>
    <w:rsid w:val="000917DB"/>
    <w:rsid w:val="000E5161"/>
    <w:rsid w:val="00115710"/>
    <w:rsid w:val="00122252"/>
    <w:rsid w:val="0015574B"/>
    <w:rsid w:val="0016043F"/>
    <w:rsid w:val="0018373B"/>
    <w:rsid w:val="001B11A2"/>
    <w:rsid w:val="001C000E"/>
    <w:rsid w:val="00226614"/>
    <w:rsid w:val="0023324F"/>
    <w:rsid w:val="002337AD"/>
    <w:rsid w:val="00273705"/>
    <w:rsid w:val="002F5F84"/>
    <w:rsid w:val="00315F82"/>
    <w:rsid w:val="00361AAA"/>
    <w:rsid w:val="003C57B5"/>
    <w:rsid w:val="0042055E"/>
    <w:rsid w:val="0042638D"/>
    <w:rsid w:val="00433217"/>
    <w:rsid w:val="00450C95"/>
    <w:rsid w:val="004528A2"/>
    <w:rsid w:val="0045571E"/>
    <w:rsid w:val="00464AE1"/>
    <w:rsid w:val="004919D5"/>
    <w:rsid w:val="004A59E9"/>
    <w:rsid w:val="004C34F4"/>
    <w:rsid w:val="0054274B"/>
    <w:rsid w:val="005641F1"/>
    <w:rsid w:val="00584A4C"/>
    <w:rsid w:val="005A7487"/>
    <w:rsid w:val="006732D3"/>
    <w:rsid w:val="00696BCD"/>
    <w:rsid w:val="006E1043"/>
    <w:rsid w:val="007375F1"/>
    <w:rsid w:val="00753B23"/>
    <w:rsid w:val="007D0CFA"/>
    <w:rsid w:val="007D5C8D"/>
    <w:rsid w:val="007E7B91"/>
    <w:rsid w:val="007F28D6"/>
    <w:rsid w:val="0083103F"/>
    <w:rsid w:val="008B359F"/>
    <w:rsid w:val="008F0D47"/>
    <w:rsid w:val="00967A9B"/>
    <w:rsid w:val="00983303"/>
    <w:rsid w:val="009B4856"/>
    <w:rsid w:val="009D01AF"/>
    <w:rsid w:val="00A04414"/>
    <w:rsid w:val="00A4219D"/>
    <w:rsid w:val="00A52EA2"/>
    <w:rsid w:val="00A7188F"/>
    <w:rsid w:val="00AB4E00"/>
    <w:rsid w:val="00B112A3"/>
    <w:rsid w:val="00BA4A67"/>
    <w:rsid w:val="00C05566"/>
    <w:rsid w:val="00CB5F1D"/>
    <w:rsid w:val="00CE2D14"/>
    <w:rsid w:val="00D505B0"/>
    <w:rsid w:val="00D51C60"/>
    <w:rsid w:val="00D626B8"/>
    <w:rsid w:val="00D83F6C"/>
    <w:rsid w:val="00D87F46"/>
    <w:rsid w:val="00DD1B36"/>
    <w:rsid w:val="00DD6A06"/>
    <w:rsid w:val="00E06909"/>
    <w:rsid w:val="00F91937"/>
    <w:rsid w:val="00FC3795"/>
    <w:rsid w:val="00FE38CF"/>
    <w:rsid w:val="00FF1C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5FDEE"/>
  <w15:chartTrackingRefBased/>
  <w15:docId w15:val="{9D69B922-C17E-764F-A328-47A0B2A3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E00"/>
    <w:rPr>
      <w:rFonts w:ascii="Times New Roman" w:eastAsia="Times New Roman" w:hAnsi="Times New Roman" w:cs="Times New Roman"/>
      <w:lang w:eastAsia="fr-FR"/>
    </w:rPr>
  </w:style>
  <w:style w:type="paragraph" w:styleId="Titre1">
    <w:name w:val="heading 1"/>
    <w:basedOn w:val="Paragraphedeliste"/>
    <w:next w:val="Normal"/>
    <w:link w:val="Titre1Car"/>
    <w:uiPriority w:val="9"/>
    <w:qFormat/>
    <w:rsid w:val="00FE38CF"/>
    <w:pPr>
      <w:numPr>
        <w:numId w:val="5"/>
      </w:numPr>
      <w:spacing w:line="276" w:lineRule="auto"/>
      <w:jc w:val="both"/>
      <w:outlineLvl w:val="0"/>
    </w:pPr>
    <w:rPr>
      <w:b/>
      <w:bCs/>
      <w:sz w:val="28"/>
      <w:szCs w:val="28"/>
      <w:lang w:val="en-US"/>
    </w:rPr>
  </w:style>
  <w:style w:type="paragraph" w:styleId="Titre2">
    <w:name w:val="heading 2"/>
    <w:basedOn w:val="Paragraphedeliste"/>
    <w:next w:val="Normal"/>
    <w:link w:val="Titre2Car"/>
    <w:uiPriority w:val="9"/>
    <w:unhideWhenUsed/>
    <w:qFormat/>
    <w:rsid w:val="00FE38CF"/>
    <w:pPr>
      <w:numPr>
        <w:numId w:val="7"/>
      </w:numPr>
      <w:spacing w:line="276" w:lineRule="auto"/>
      <w:jc w:val="both"/>
      <w:outlineLvl w:val="1"/>
    </w:pPr>
    <w:rPr>
      <w:b/>
      <w:bCs/>
      <w:sz w:val="28"/>
      <w:szCs w:val="28"/>
      <w:lang w:val="en-US"/>
    </w:rPr>
  </w:style>
  <w:style w:type="paragraph" w:styleId="Titre3">
    <w:name w:val="heading 3"/>
    <w:basedOn w:val="Paragraphedeliste"/>
    <w:next w:val="Normal"/>
    <w:link w:val="Titre3Car"/>
    <w:uiPriority w:val="9"/>
    <w:unhideWhenUsed/>
    <w:qFormat/>
    <w:rsid w:val="008F0D47"/>
    <w:pPr>
      <w:numPr>
        <w:numId w:val="15"/>
      </w:numPr>
      <w:spacing w:after="0" w:line="240" w:lineRule="auto"/>
      <w:ind w:left="0" w:firstLine="0"/>
      <w:jc w:val="both"/>
      <w:outlineLvl w:val="2"/>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rsid w:val="004919D5"/>
    <w:pPr>
      <w:suppressAutoHyphens/>
      <w:autoSpaceDN w:val="0"/>
    </w:pPr>
    <w:rPr>
      <w:rFonts w:ascii="Aptos" w:eastAsia="Aptos" w:hAnsi="Aptos"/>
      <w:sz w:val="20"/>
      <w:szCs w:val="20"/>
      <w:lang w:eastAsia="en-US"/>
    </w:rPr>
  </w:style>
  <w:style w:type="character" w:customStyle="1" w:styleId="NotedebasdepageCar">
    <w:name w:val="Note de bas de page Car"/>
    <w:basedOn w:val="Policepardfaut"/>
    <w:link w:val="Notedebasdepage"/>
    <w:uiPriority w:val="99"/>
    <w:rsid w:val="004919D5"/>
    <w:rPr>
      <w:rFonts w:ascii="Aptos" w:eastAsia="Aptos" w:hAnsi="Aptos" w:cs="Times New Roman"/>
      <w:sz w:val="20"/>
      <w:szCs w:val="20"/>
      <w:lang w:val="fr-FR"/>
    </w:rPr>
  </w:style>
  <w:style w:type="character" w:styleId="Appelnotedebasdep">
    <w:name w:val="footnote reference"/>
    <w:basedOn w:val="Policepardfaut"/>
    <w:uiPriority w:val="99"/>
    <w:rsid w:val="004919D5"/>
    <w:rPr>
      <w:position w:val="0"/>
      <w:vertAlign w:val="superscript"/>
    </w:rPr>
  </w:style>
  <w:style w:type="paragraph" w:styleId="Pieddepage">
    <w:name w:val="footer"/>
    <w:basedOn w:val="Normal"/>
    <w:link w:val="PieddepageCar"/>
    <w:rsid w:val="004919D5"/>
    <w:pPr>
      <w:tabs>
        <w:tab w:val="center" w:pos="4536"/>
        <w:tab w:val="right" w:pos="9072"/>
      </w:tabs>
      <w:suppressAutoHyphens/>
      <w:autoSpaceDN w:val="0"/>
    </w:pPr>
    <w:rPr>
      <w:rFonts w:eastAsia="Aptos"/>
      <w:kern w:val="3"/>
      <w:lang w:eastAsia="en-US"/>
    </w:rPr>
  </w:style>
  <w:style w:type="character" w:customStyle="1" w:styleId="PieddepageCar">
    <w:name w:val="Pied de page Car"/>
    <w:basedOn w:val="Policepardfaut"/>
    <w:link w:val="Pieddepage"/>
    <w:rsid w:val="004919D5"/>
    <w:rPr>
      <w:rFonts w:ascii="Times New Roman" w:eastAsia="Aptos" w:hAnsi="Times New Roman" w:cs="Times New Roman"/>
      <w:kern w:val="3"/>
      <w:lang w:val="fr-FR"/>
    </w:rPr>
  </w:style>
  <w:style w:type="character" w:customStyle="1" w:styleId="hgkelc">
    <w:name w:val="hgkelc"/>
    <w:basedOn w:val="Policepardfaut"/>
    <w:rsid w:val="004919D5"/>
  </w:style>
  <w:style w:type="paragraph" w:customStyle="1" w:styleId="titre-article">
    <w:name w:val="titre-article"/>
    <w:basedOn w:val="Normal"/>
    <w:rsid w:val="004919D5"/>
    <w:pPr>
      <w:spacing w:before="100" w:beforeAutospacing="1" w:after="100" w:afterAutospacing="1"/>
    </w:pPr>
  </w:style>
  <w:style w:type="paragraph" w:styleId="Paragraphedeliste">
    <w:name w:val="List Paragraph"/>
    <w:basedOn w:val="Normal"/>
    <w:uiPriority w:val="34"/>
    <w:qFormat/>
    <w:rsid w:val="0045571E"/>
    <w:pPr>
      <w:suppressAutoHyphens/>
      <w:autoSpaceDN w:val="0"/>
      <w:spacing w:after="160" w:line="254" w:lineRule="auto"/>
      <w:ind w:left="720"/>
      <w:contextualSpacing/>
    </w:pPr>
    <w:rPr>
      <w:rFonts w:eastAsia="Aptos"/>
      <w:kern w:val="3"/>
      <w:lang w:eastAsia="en-US"/>
    </w:rPr>
  </w:style>
  <w:style w:type="paragraph" w:styleId="En-tte">
    <w:name w:val="header"/>
    <w:basedOn w:val="Normal"/>
    <w:link w:val="En-tteCar"/>
    <w:uiPriority w:val="99"/>
    <w:unhideWhenUsed/>
    <w:rsid w:val="0083103F"/>
    <w:pPr>
      <w:tabs>
        <w:tab w:val="center" w:pos="4513"/>
        <w:tab w:val="right" w:pos="9026"/>
      </w:tabs>
      <w:suppressAutoHyphens/>
      <w:autoSpaceDN w:val="0"/>
    </w:pPr>
    <w:rPr>
      <w:rFonts w:eastAsia="Aptos"/>
      <w:kern w:val="3"/>
      <w:lang w:eastAsia="en-US"/>
    </w:rPr>
  </w:style>
  <w:style w:type="character" w:customStyle="1" w:styleId="En-tteCar">
    <w:name w:val="En-tête Car"/>
    <w:basedOn w:val="Policepardfaut"/>
    <w:link w:val="En-tte"/>
    <w:uiPriority w:val="99"/>
    <w:rsid w:val="0083103F"/>
    <w:rPr>
      <w:rFonts w:ascii="Times New Roman" w:eastAsia="Aptos" w:hAnsi="Times New Roman" w:cs="Times New Roman"/>
      <w:kern w:val="3"/>
      <w:lang w:val="fr-FR"/>
    </w:rPr>
  </w:style>
  <w:style w:type="character" w:styleId="Lienhypertexte">
    <w:name w:val="Hyperlink"/>
    <w:basedOn w:val="Policepardfaut"/>
    <w:uiPriority w:val="99"/>
    <w:unhideWhenUsed/>
    <w:rsid w:val="007375F1"/>
    <w:rPr>
      <w:color w:val="0563C1" w:themeColor="hyperlink"/>
      <w:u w:val="single"/>
    </w:rPr>
  </w:style>
  <w:style w:type="character" w:styleId="Mentionnonrsolue">
    <w:name w:val="Unresolved Mention"/>
    <w:basedOn w:val="Policepardfaut"/>
    <w:uiPriority w:val="99"/>
    <w:semiHidden/>
    <w:unhideWhenUsed/>
    <w:rsid w:val="007375F1"/>
    <w:rPr>
      <w:color w:val="605E5C"/>
      <w:shd w:val="clear" w:color="auto" w:fill="E1DFDD"/>
    </w:rPr>
  </w:style>
  <w:style w:type="character" w:customStyle="1" w:styleId="Titre1Car">
    <w:name w:val="Titre 1 Car"/>
    <w:basedOn w:val="Policepardfaut"/>
    <w:link w:val="Titre1"/>
    <w:uiPriority w:val="9"/>
    <w:rsid w:val="00FE38CF"/>
    <w:rPr>
      <w:rFonts w:ascii="Times New Roman" w:eastAsia="Aptos" w:hAnsi="Times New Roman" w:cs="Times New Roman"/>
      <w:b/>
      <w:bCs/>
      <w:kern w:val="3"/>
      <w:sz w:val="28"/>
      <w:szCs w:val="28"/>
      <w:lang w:val="en-US"/>
    </w:rPr>
  </w:style>
  <w:style w:type="character" w:customStyle="1" w:styleId="Titre2Car">
    <w:name w:val="Titre 2 Car"/>
    <w:basedOn w:val="Policepardfaut"/>
    <w:link w:val="Titre2"/>
    <w:uiPriority w:val="9"/>
    <w:rsid w:val="00FE38CF"/>
    <w:rPr>
      <w:rFonts w:ascii="Times New Roman" w:eastAsia="Aptos" w:hAnsi="Times New Roman" w:cs="Times New Roman"/>
      <w:b/>
      <w:bCs/>
      <w:kern w:val="3"/>
      <w:sz w:val="28"/>
      <w:szCs w:val="28"/>
      <w:lang w:val="en-US"/>
    </w:rPr>
  </w:style>
  <w:style w:type="character" w:customStyle="1" w:styleId="Titre3Car">
    <w:name w:val="Titre 3 Car"/>
    <w:basedOn w:val="Policepardfaut"/>
    <w:link w:val="Titre3"/>
    <w:uiPriority w:val="9"/>
    <w:rsid w:val="008F0D47"/>
    <w:rPr>
      <w:rFonts w:ascii="Times New Roman" w:eastAsia="Aptos" w:hAnsi="Times New Roman" w:cs="Times New Roman"/>
      <w:kern w:val="3"/>
      <w:lang w:val="en-US"/>
    </w:rPr>
  </w:style>
  <w:style w:type="character" w:styleId="Lienhypertextesuivivisit">
    <w:name w:val="FollowedHyperlink"/>
    <w:basedOn w:val="Policepardfaut"/>
    <w:uiPriority w:val="99"/>
    <w:semiHidden/>
    <w:unhideWhenUsed/>
    <w:rsid w:val="000710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5515">
      <w:bodyDiv w:val="1"/>
      <w:marLeft w:val="0"/>
      <w:marRight w:val="0"/>
      <w:marTop w:val="0"/>
      <w:marBottom w:val="0"/>
      <w:divBdr>
        <w:top w:val="none" w:sz="0" w:space="0" w:color="auto"/>
        <w:left w:val="none" w:sz="0" w:space="0" w:color="auto"/>
        <w:bottom w:val="none" w:sz="0" w:space="0" w:color="auto"/>
        <w:right w:val="none" w:sz="0" w:space="0" w:color="auto"/>
      </w:divBdr>
    </w:div>
    <w:div w:id="53890676">
      <w:bodyDiv w:val="1"/>
      <w:marLeft w:val="0"/>
      <w:marRight w:val="0"/>
      <w:marTop w:val="0"/>
      <w:marBottom w:val="0"/>
      <w:divBdr>
        <w:top w:val="none" w:sz="0" w:space="0" w:color="auto"/>
        <w:left w:val="none" w:sz="0" w:space="0" w:color="auto"/>
        <w:bottom w:val="none" w:sz="0" w:space="0" w:color="auto"/>
        <w:right w:val="none" w:sz="0" w:space="0" w:color="auto"/>
      </w:divBdr>
    </w:div>
    <w:div w:id="65808047">
      <w:bodyDiv w:val="1"/>
      <w:marLeft w:val="0"/>
      <w:marRight w:val="0"/>
      <w:marTop w:val="0"/>
      <w:marBottom w:val="0"/>
      <w:divBdr>
        <w:top w:val="none" w:sz="0" w:space="0" w:color="auto"/>
        <w:left w:val="none" w:sz="0" w:space="0" w:color="auto"/>
        <w:bottom w:val="none" w:sz="0" w:space="0" w:color="auto"/>
        <w:right w:val="none" w:sz="0" w:space="0" w:color="auto"/>
      </w:divBdr>
    </w:div>
    <w:div w:id="137429088">
      <w:bodyDiv w:val="1"/>
      <w:marLeft w:val="0"/>
      <w:marRight w:val="0"/>
      <w:marTop w:val="0"/>
      <w:marBottom w:val="0"/>
      <w:divBdr>
        <w:top w:val="none" w:sz="0" w:space="0" w:color="auto"/>
        <w:left w:val="none" w:sz="0" w:space="0" w:color="auto"/>
        <w:bottom w:val="none" w:sz="0" w:space="0" w:color="auto"/>
        <w:right w:val="none" w:sz="0" w:space="0" w:color="auto"/>
      </w:divBdr>
    </w:div>
    <w:div w:id="201210090">
      <w:bodyDiv w:val="1"/>
      <w:marLeft w:val="0"/>
      <w:marRight w:val="0"/>
      <w:marTop w:val="0"/>
      <w:marBottom w:val="0"/>
      <w:divBdr>
        <w:top w:val="none" w:sz="0" w:space="0" w:color="auto"/>
        <w:left w:val="none" w:sz="0" w:space="0" w:color="auto"/>
        <w:bottom w:val="none" w:sz="0" w:space="0" w:color="auto"/>
        <w:right w:val="none" w:sz="0" w:space="0" w:color="auto"/>
      </w:divBdr>
    </w:div>
    <w:div w:id="202597057">
      <w:bodyDiv w:val="1"/>
      <w:marLeft w:val="0"/>
      <w:marRight w:val="0"/>
      <w:marTop w:val="0"/>
      <w:marBottom w:val="0"/>
      <w:divBdr>
        <w:top w:val="none" w:sz="0" w:space="0" w:color="auto"/>
        <w:left w:val="none" w:sz="0" w:space="0" w:color="auto"/>
        <w:bottom w:val="none" w:sz="0" w:space="0" w:color="auto"/>
        <w:right w:val="none" w:sz="0" w:space="0" w:color="auto"/>
      </w:divBdr>
    </w:div>
    <w:div w:id="229849958">
      <w:bodyDiv w:val="1"/>
      <w:marLeft w:val="0"/>
      <w:marRight w:val="0"/>
      <w:marTop w:val="0"/>
      <w:marBottom w:val="0"/>
      <w:divBdr>
        <w:top w:val="none" w:sz="0" w:space="0" w:color="auto"/>
        <w:left w:val="none" w:sz="0" w:space="0" w:color="auto"/>
        <w:bottom w:val="none" w:sz="0" w:space="0" w:color="auto"/>
        <w:right w:val="none" w:sz="0" w:space="0" w:color="auto"/>
      </w:divBdr>
    </w:div>
    <w:div w:id="236403750">
      <w:bodyDiv w:val="1"/>
      <w:marLeft w:val="0"/>
      <w:marRight w:val="0"/>
      <w:marTop w:val="0"/>
      <w:marBottom w:val="0"/>
      <w:divBdr>
        <w:top w:val="none" w:sz="0" w:space="0" w:color="auto"/>
        <w:left w:val="none" w:sz="0" w:space="0" w:color="auto"/>
        <w:bottom w:val="none" w:sz="0" w:space="0" w:color="auto"/>
        <w:right w:val="none" w:sz="0" w:space="0" w:color="auto"/>
      </w:divBdr>
    </w:div>
    <w:div w:id="241843143">
      <w:bodyDiv w:val="1"/>
      <w:marLeft w:val="0"/>
      <w:marRight w:val="0"/>
      <w:marTop w:val="0"/>
      <w:marBottom w:val="0"/>
      <w:divBdr>
        <w:top w:val="none" w:sz="0" w:space="0" w:color="auto"/>
        <w:left w:val="none" w:sz="0" w:space="0" w:color="auto"/>
        <w:bottom w:val="none" w:sz="0" w:space="0" w:color="auto"/>
        <w:right w:val="none" w:sz="0" w:space="0" w:color="auto"/>
      </w:divBdr>
    </w:div>
    <w:div w:id="252907920">
      <w:bodyDiv w:val="1"/>
      <w:marLeft w:val="0"/>
      <w:marRight w:val="0"/>
      <w:marTop w:val="0"/>
      <w:marBottom w:val="0"/>
      <w:divBdr>
        <w:top w:val="none" w:sz="0" w:space="0" w:color="auto"/>
        <w:left w:val="none" w:sz="0" w:space="0" w:color="auto"/>
        <w:bottom w:val="none" w:sz="0" w:space="0" w:color="auto"/>
        <w:right w:val="none" w:sz="0" w:space="0" w:color="auto"/>
      </w:divBdr>
    </w:div>
    <w:div w:id="265816919">
      <w:bodyDiv w:val="1"/>
      <w:marLeft w:val="0"/>
      <w:marRight w:val="0"/>
      <w:marTop w:val="0"/>
      <w:marBottom w:val="0"/>
      <w:divBdr>
        <w:top w:val="none" w:sz="0" w:space="0" w:color="auto"/>
        <w:left w:val="none" w:sz="0" w:space="0" w:color="auto"/>
        <w:bottom w:val="none" w:sz="0" w:space="0" w:color="auto"/>
        <w:right w:val="none" w:sz="0" w:space="0" w:color="auto"/>
      </w:divBdr>
    </w:div>
    <w:div w:id="301736237">
      <w:bodyDiv w:val="1"/>
      <w:marLeft w:val="0"/>
      <w:marRight w:val="0"/>
      <w:marTop w:val="0"/>
      <w:marBottom w:val="0"/>
      <w:divBdr>
        <w:top w:val="none" w:sz="0" w:space="0" w:color="auto"/>
        <w:left w:val="none" w:sz="0" w:space="0" w:color="auto"/>
        <w:bottom w:val="none" w:sz="0" w:space="0" w:color="auto"/>
        <w:right w:val="none" w:sz="0" w:space="0" w:color="auto"/>
      </w:divBdr>
    </w:div>
    <w:div w:id="371459508">
      <w:bodyDiv w:val="1"/>
      <w:marLeft w:val="0"/>
      <w:marRight w:val="0"/>
      <w:marTop w:val="0"/>
      <w:marBottom w:val="0"/>
      <w:divBdr>
        <w:top w:val="none" w:sz="0" w:space="0" w:color="auto"/>
        <w:left w:val="none" w:sz="0" w:space="0" w:color="auto"/>
        <w:bottom w:val="none" w:sz="0" w:space="0" w:color="auto"/>
        <w:right w:val="none" w:sz="0" w:space="0" w:color="auto"/>
      </w:divBdr>
    </w:div>
    <w:div w:id="377710497">
      <w:bodyDiv w:val="1"/>
      <w:marLeft w:val="0"/>
      <w:marRight w:val="0"/>
      <w:marTop w:val="0"/>
      <w:marBottom w:val="0"/>
      <w:divBdr>
        <w:top w:val="none" w:sz="0" w:space="0" w:color="auto"/>
        <w:left w:val="none" w:sz="0" w:space="0" w:color="auto"/>
        <w:bottom w:val="none" w:sz="0" w:space="0" w:color="auto"/>
        <w:right w:val="none" w:sz="0" w:space="0" w:color="auto"/>
      </w:divBdr>
    </w:div>
    <w:div w:id="525751050">
      <w:bodyDiv w:val="1"/>
      <w:marLeft w:val="0"/>
      <w:marRight w:val="0"/>
      <w:marTop w:val="0"/>
      <w:marBottom w:val="0"/>
      <w:divBdr>
        <w:top w:val="none" w:sz="0" w:space="0" w:color="auto"/>
        <w:left w:val="none" w:sz="0" w:space="0" w:color="auto"/>
        <w:bottom w:val="none" w:sz="0" w:space="0" w:color="auto"/>
        <w:right w:val="none" w:sz="0" w:space="0" w:color="auto"/>
      </w:divBdr>
    </w:div>
    <w:div w:id="526606951">
      <w:bodyDiv w:val="1"/>
      <w:marLeft w:val="0"/>
      <w:marRight w:val="0"/>
      <w:marTop w:val="0"/>
      <w:marBottom w:val="0"/>
      <w:divBdr>
        <w:top w:val="none" w:sz="0" w:space="0" w:color="auto"/>
        <w:left w:val="none" w:sz="0" w:space="0" w:color="auto"/>
        <w:bottom w:val="none" w:sz="0" w:space="0" w:color="auto"/>
        <w:right w:val="none" w:sz="0" w:space="0" w:color="auto"/>
      </w:divBdr>
    </w:div>
    <w:div w:id="573930472">
      <w:bodyDiv w:val="1"/>
      <w:marLeft w:val="0"/>
      <w:marRight w:val="0"/>
      <w:marTop w:val="0"/>
      <w:marBottom w:val="0"/>
      <w:divBdr>
        <w:top w:val="none" w:sz="0" w:space="0" w:color="auto"/>
        <w:left w:val="none" w:sz="0" w:space="0" w:color="auto"/>
        <w:bottom w:val="none" w:sz="0" w:space="0" w:color="auto"/>
        <w:right w:val="none" w:sz="0" w:space="0" w:color="auto"/>
      </w:divBdr>
    </w:div>
    <w:div w:id="589241596">
      <w:bodyDiv w:val="1"/>
      <w:marLeft w:val="0"/>
      <w:marRight w:val="0"/>
      <w:marTop w:val="0"/>
      <w:marBottom w:val="0"/>
      <w:divBdr>
        <w:top w:val="none" w:sz="0" w:space="0" w:color="auto"/>
        <w:left w:val="none" w:sz="0" w:space="0" w:color="auto"/>
        <w:bottom w:val="none" w:sz="0" w:space="0" w:color="auto"/>
        <w:right w:val="none" w:sz="0" w:space="0" w:color="auto"/>
      </w:divBdr>
    </w:div>
    <w:div w:id="591401788">
      <w:bodyDiv w:val="1"/>
      <w:marLeft w:val="0"/>
      <w:marRight w:val="0"/>
      <w:marTop w:val="0"/>
      <w:marBottom w:val="0"/>
      <w:divBdr>
        <w:top w:val="none" w:sz="0" w:space="0" w:color="auto"/>
        <w:left w:val="none" w:sz="0" w:space="0" w:color="auto"/>
        <w:bottom w:val="none" w:sz="0" w:space="0" w:color="auto"/>
        <w:right w:val="none" w:sz="0" w:space="0" w:color="auto"/>
      </w:divBdr>
    </w:div>
    <w:div w:id="625506387">
      <w:bodyDiv w:val="1"/>
      <w:marLeft w:val="0"/>
      <w:marRight w:val="0"/>
      <w:marTop w:val="0"/>
      <w:marBottom w:val="0"/>
      <w:divBdr>
        <w:top w:val="none" w:sz="0" w:space="0" w:color="auto"/>
        <w:left w:val="none" w:sz="0" w:space="0" w:color="auto"/>
        <w:bottom w:val="none" w:sz="0" w:space="0" w:color="auto"/>
        <w:right w:val="none" w:sz="0" w:space="0" w:color="auto"/>
      </w:divBdr>
    </w:div>
    <w:div w:id="806238608">
      <w:bodyDiv w:val="1"/>
      <w:marLeft w:val="0"/>
      <w:marRight w:val="0"/>
      <w:marTop w:val="0"/>
      <w:marBottom w:val="0"/>
      <w:divBdr>
        <w:top w:val="none" w:sz="0" w:space="0" w:color="auto"/>
        <w:left w:val="none" w:sz="0" w:space="0" w:color="auto"/>
        <w:bottom w:val="none" w:sz="0" w:space="0" w:color="auto"/>
        <w:right w:val="none" w:sz="0" w:space="0" w:color="auto"/>
      </w:divBdr>
    </w:div>
    <w:div w:id="807863751">
      <w:bodyDiv w:val="1"/>
      <w:marLeft w:val="0"/>
      <w:marRight w:val="0"/>
      <w:marTop w:val="0"/>
      <w:marBottom w:val="0"/>
      <w:divBdr>
        <w:top w:val="none" w:sz="0" w:space="0" w:color="auto"/>
        <w:left w:val="none" w:sz="0" w:space="0" w:color="auto"/>
        <w:bottom w:val="none" w:sz="0" w:space="0" w:color="auto"/>
        <w:right w:val="none" w:sz="0" w:space="0" w:color="auto"/>
      </w:divBdr>
    </w:div>
    <w:div w:id="904297752">
      <w:bodyDiv w:val="1"/>
      <w:marLeft w:val="0"/>
      <w:marRight w:val="0"/>
      <w:marTop w:val="0"/>
      <w:marBottom w:val="0"/>
      <w:divBdr>
        <w:top w:val="none" w:sz="0" w:space="0" w:color="auto"/>
        <w:left w:val="none" w:sz="0" w:space="0" w:color="auto"/>
        <w:bottom w:val="none" w:sz="0" w:space="0" w:color="auto"/>
        <w:right w:val="none" w:sz="0" w:space="0" w:color="auto"/>
      </w:divBdr>
    </w:div>
    <w:div w:id="918251272">
      <w:bodyDiv w:val="1"/>
      <w:marLeft w:val="0"/>
      <w:marRight w:val="0"/>
      <w:marTop w:val="0"/>
      <w:marBottom w:val="0"/>
      <w:divBdr>
        <w:top w:val="none" w:sz="0" w:space="0" w:color="auto"/>
        <w:left w:val="none" w:sz="0" w:space="0" w:color="auto"/>
        <w:bottom w:val="none" w:sz="0" w:space="0" w:color="auto"/>
        <w:right w:val="none" w:sz="0" w:space="0" w:color="auto"/>
      </w:divBdr>
    </w:div>
    <w:div w:id="919366484">
      <w:bodyDiv w:val="1"/>
      <w:marLeft w:val="0"/>
      <w:marRight w:val="0"/>
      <w:marTop w:val="0"/>
      <w:marBottom w:val="0"/>
      <w:divBdr>
        <w:top w:val="none" w:sz="0" w:space="0" w:color="auto"/>
        <w:left w:val="none" w:sz="0" w:space="0" w:color="auto"/>
        <w:bottom w:val="none" w:sz="0" w:space="0" w:color="auto"/>
        <w:right w:val="none" w:sz="0" w:space="0" w:color="auto"/>
      </w:divBdr>
    </w:div>
    <w:div w:id="1038121251">
      <w:bodyDiv w:val="1"/>
      <w:marLeft w:val="0"/>
      <w:marRight w:val="0"/>
      <w:marTop w:val="0"/>
      <w:marBottom w:val="0"/>
      <w:divBdr>
        <w:top w:val="none" w:sz="0" w:space="0" w:color="auto"/>
        <w:left w:val="none" w:sz="0" w:space="0" w:color="auto"/>
        <w:bottom w:val="none" w:sz="0" w:space="0" w:color="auto"/>
        <w:right w:val="none" w:sz="0" w:space="0" w:color="auto"/>
      </w:divBdr>
    </w:div>
    <w:div w:id="1096829399">
      <w:bodyDiv w:val="1"/>
      <w:marLeft w:val="0"/>
      <w:marRight w:val="0"/>
      <w:marTop w:val="0"/>
      <w:marBottom w:val="0"/>
      <w:divBdr>
        <w:top w:val="none" w:sz="0" w:space="0" w:color="auto"/>
        <w:left w:val="none" w:sz="0" w:space="0" w:color="auto"/>
        <w:bottom w:val="none" w:sz="0" w:space="0" w:color="auto"/>
        <w:right w:val="none" w:sz="0" w:space="0" w:color="auto"/>
      </w:divBdr>
    </w:div>
    <w:div w:id="1165587209">
      <w:bodyDiv w:val="1"/>
      <w:marLeft w:val="0"/>
      <w:marRight w:val="0"/>
      <w:marTop w:val="0"/>
      <w:marBottom w:val="0"/>
      <w:divBdr>
        <w:top w:val="none" w:sz="0" w:space="0" w:color="auto"/>
        <w:left w:val="none" w:sz="0" w:space="0" w:color="auto"/>
        <w:bottom w:val="none" w:sz="0" w:space="0" w:color="auto"/>
        <w:right w:val="none" w:sz="0" w:space="0" w:color="auto"/>
      </w:divBdr>
    </w:div>
    <w:div w:id="1194728917">
      <w:bodyDiv w:val="1"/>
      <w:marLeft w:val="0"/>
      <w:marRight w:val="0"/>
      <w:marTop w:val="0"/>
      <w:marBottom w:val="0"/>
      <w:divBdr>
        <w:top w:val="none" w:sz="0" w:space="0" w:color="auto"/>
        <w:left w:val="none" w:sz="0" w:space="0" w:color="auto"/>
        <w:bottom w:val="none" w:sz="0" w:space="0" w:color="auto"/>
        <w:right w:val="none" w:sz="0" w:space="0" w:color="auto"/>
      </w:divBdr>
    </w:div>
    <w:div w:id="1256287974">
      <w:bodyDiv w:val="1"/>
      <w:marLeft w:val="0"/>
      <w:marRight w:val="0"/>
      <w:marTop w:val="0"/>
      <w:marBottom w:val="0"/>
      <w:divBdr>
        <w:top w:val="none" w:sz="0" w:space="0" w:color="auto"/>
        <w:left w:val="none" w:sz="0" w:space="0" w:color="auto"/>
        <w:bottom w:val="none" w:sz="0" w:space="0" w:color="auto"/>
        <w:right w:val="none" w:sz="0" w:space="0" w:color="auto"/>
      </w:divBdr>
    </w:div>
    <w:div w:id="1397783589">
      <w:bodyDiv w:val="1"/>
      <w:marLeft w:val="0"/>
      <w:marRight w:val="0"/>
      <w:marTop w:val="0"/>
      <w:marBottom w:val="0"/>
      <w:divBdr>
        <w:top w:val="none" w:sz="0" w:space="0" w:color="auto"/>
        <w:left w:val="none" w:sz="0" w:space="0" w:color="auto"/>
        <w:bottom w:val="none" w:sz="0" w:space="0" w:color="auto"/>
        <w:right w:val="none" w:sz="0" w:space="0" w:color="auto"/>
      </w:divBdr>
    </w:div>
    <w:div w:id="1398939413">
      <w:bodyDiv w:val="1"/>
      <w:marLeft w:val="0"/>
      <w:marRight w:val="0"/>
      <w:marTop w:val="0"/>
      <w:marBottom w:val="0"/>
      <w:divBdr>
        <w:top w:val="none" w:sz="0" w:space="0" w:color="auto"/>
        <w:left w:val="none" w:sz="0" w:space="0" w:color="auto"/>
        <w:bottom w:val="none" w:sz="0" w:space="0" w:color="auto"/>
        <w:right w:val="none" w:sz="0" w:space="0" w:color="auto"/>
      </w:divBdr>
    </w:div>
    <w:div w:id="1411585507">
      <w:bodyDiv w:val="1"/>
      <w:marLeft w:val="0"/>
      <w:marRight w:val="0"/>
      <w:marTop w:val="0"/>
      <w:marBottom w:val="0"/>
      <w:divBdr>
        <w:top w:val="none" w:sz="0" w:space="0" w:color="auto"/>
        <w:left w:val="none" w:sz="0" w:space="0" w:color="auto"/>
        <w:bottom w:val="none" w:sz="0" w:space="0" w:color="auto"/>
        <w:right w:val="none" w:sz="0" w:space="0" w:color="auto"/>
      </w:divBdr>
    </w:div>
    <w:div w:id="1429232639">
      <w:bodyDiv w:val="1"/>
      <w:marLeft w:val="0"/>
      <w:marRight w:val="0"/>
      <w:marTop w:val="0"/>
      <w:marBottom w:val="0"/>
      <w:divBdr>
        <w:top w:val="none" w:sz="0" w:space="0" w:color="auto"/>
        <w:left w:val="none" w:sz="0" w:space="0" w:color="auto"/>
        <w:bottom w:val="none" w:sz="0" w:space="0" w:color="auto"/>
        <w:right w:val="none" w:sz="0" w:space="0" w:color="auto"/>
      </w:divBdr>
    </w:div>
    <w:div w:id="1432508442">
      <w:bodyDiv w:val="1"/>
      <w:marLeft w:val="0"/>
      <w:marRight w:val="0"/>
      <w:marTop w:val="0"/>
      <w:marBottom w:val="0"/>
      <w:divBdr>
        <w:top w:val="none" w:sz="0" w:space="0" w:color="auto"/>
        <w:left w:val="none" w:sz="0" w:space="0" w:color="auto"/>
        <w:bottom w:val="none" w:sz="0" w:space="0" w:color="auto"/>
        <w:right w:val="none" w:sz="0" w:space="0" w:color="auto"/>
      </w:divBdr>
    </w:div>
    <w:div w:id="1474251872">
      <w:bodyDiv w:val="1"/>
      <w:marLeft w:val="0"/>
      <w:marRight w:val="0"/>
      <w:marTop w:val="0"/>
      <w:marBottom w:val="0"/>
      <w:divBdr>
        <w:top w:val="none" w:sz="0" w:space="0" w:color="auto"/>
        <w:left w:val="none" w:sz="0" w:space="0" w:color="auto"/>
        <w:bottom w:val="none" w:sz="0" w:space="0" w:color="auto"/>
        <w:right w:val="none" w:sz="0" w:space="0" w:color="auto"/>
      </w:divBdr>
    </w:div>
    <w:div w:id="1536649642">
      <w:bodyDiv w:val="1"/>
      <w:marLeft w:val="0"/>
      <w:marRight w:val="0"/>
      <w:marTop w:val="0"/>
      <w:marBottom w:val="0"/>
      <w:divBdr>
        <w:top w:val="none" w:sz="0" w:space="0" w:color="auto"/>
        <w:left w:val="none" w:sz="0" w:space="0" w:color="auto"/>
        <w:bottom w:val="none" w:sz="0" w:space="0" w:color="auto"/>
        <w:right w:val="none" w:sz="0" w:space="0" w:color="auto"/>
      </w:divBdr>
    </w:div>
    <w:div w:id="1560357569">
      <w:bodyDiv w:val="1"/>
      <w:marLeft w:val="0"/>
      <w:marRight w:val="0"/>
      <w:marTop w:val="0"/>
      <w:marBottom w:val="0"/>
      <w:divBdr>
        <w:top w:val="none" w:sz="0" w:space="0" w:color="auto"/>
        <w:left w:val="none" w:sz="0" w:space="0" w:color="auto"/>
        <w:bottom w:val="none" w:sz="0" w:space="0" w:color="auto"/>
        <w:right w:val="none" w:sz="0" w:space="0" w:color="auto"/>
      </w:divBdr>
    </w:div>
    <w:div w:id="1574586281">
      <w:bodyDiv w:val="1"/>
      <w:marLeft w:val="0"/>
      <w:marRight w:val="0"/>
      <w:marTop w:val="0"/>
      <w:marBottom w:val="0"/>
      <w:divBdr>
        <w:top w:val="none" w:sz="0" w:space="0" w:color="auto"/>
        <w:left w:val="none" w:sz="0" w:space="0" w:color="auto"/>
        <w:bottom w:val="none" w:sz="0" w:space="0" w:color="auto"/>
        <w:right w:val="none" w:sz="0" w:space="0" w:color="auto"/>
      </w:divBdr>
    </w:div>
    <w:div w:id="1688557238">
      <w:bodyDiv w:val="1"/>
      <w:marLeft w:val="0"/>
      <w:marRight w:val="0"/>
      <w:marTop w:val="0"/>
      <w:marBottom w:val="0"/>
      <w:divBdr>
        <w:top w:val="none" w:sz="0" w:space="0" w:color="auto"/>
        <w:left w:val="none" w:sz="0" w:space="0" w:color="auto"/>
        <w:bottom w:val="none" w:sz="0" w:space="0" w:color="auto"/>
        <w:right w:val="none" w:sz="0" w:space="0" w:color="auto"/>
      </w:divBdr>
    </w:div>
    <w:div w:id="1741172707">
      <w:bodyDiv w:val="1"/>
      <w:marLeft w:val="0"/>
      <w:marRight w:val="0"/>
      <w:marTop w:val="0"/>
      <w:marBottom w:val="0"/>
      <w:divBdr>
        <w:top w:val="none" w:sz="0" w:space="0" w:color="auto"/>
        <w:left w:val="none" w:sz="0" w:space="0" w:color="auto"/>
        <w:bottom w:val="none" w:sz="0" w:space="0" w:color="auto"/>
        <w:right w:val="none" w:sz="0" w:space="0" w:color="auto"/>
      </w:divBdr>
    </w:div>
    <w:div w:id="1997099856">
      <w:bodyDiv w:val="1"/>
      <w:marLeft w:val="0"/>
      <w:marRight w:val="0"/>
      <w:marTop w:val="0"/>
      <w:marBottom w:val="0"/>
      <w:divBdr>
        <w:top w:val="none" w:sz="0" w:space="0" w:color="auto"/>
        <w:left w:val="none" w:sz="0" w:space="0" w:color="auto"/>
        <w:bottom w:val="none" w:sz="0" w:space="0" w:color="auto"/>
        <w:right w:val="none" w:sz="0" w:space="0" w:color="auto"/>
      </w:divBdr>
    </w:div>
    <w:div w:id="2001536946">
      <w:bodyDiv w:val="1"/>
      <w:marLeft w:val="0"/>
      <w:marRight w:val="0"/>
      <w:marTop w:val="0"/>
      <w:marBottom w:val="0"/>
      <w:divBdr>
        <w:top w:val="none" w:sz="0" w:space="0" w:color="auto"/>
        <w:left w:val="none" w:sz="0" w:space="0" w:color="auto"/>
        <w:bottom w:val="none" w:sz="0" w:space="0" w:color="auto"/>
        <w:right w:val="none" w:sz="0" w:space="0" w:color="auto"/>
      </w:divBdr>
    </w:div>
    <w:div w:id="200226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www.constituteproject.org/constitution/Morocco_2011.pdf." TargetMode="External"/><Relationship Id="rId13" Type="http://schemas.openxmlformats.org/officeDocument/2006/relationships/hyperlink" Target="https://www.opendoorsusa.org/christian-persecution/world-watchlist/tunisia/" TargetMode="External"/><Relationship Id="rId3" Type="http://schemas.openxmlformats.org/officeDocument/2006/relationships/hyperlink" Target="http://media.aclj.org/pdf/41-UPR-Algeria-ECLJ.pdf" TargetMode="External"/><Relationship Id="rId7" Type="http://schemas.openxmlformats.org/officeDocument/2006/relationships/hyperlink" Target="https://www.constituteproject.org/constitution/Morocco_2011.pdf." TargetMode="External"/><Relationship Id="rId12" Type="http://schemas.openxmlformats.org/officeDocument/2006/relationships/hyperlink" Target="https://www.ohchr.org/EN/HRBodies/HRC/RegularSessions/Session40/Documents/A_HRC_40_58_Add.1.doc%20x." TargetMode="External"/><Relationship Id="rId2" Type="http://schemas.openxmlformats.org/officeDocument/2006/relationships/hyperlink" Target="https://www.opendoorsusa.org/christian-persecution/world-watch-list/algeria/" TargetMode="External"/><Relationship Id="rId1" Type="http://schemas.openxmlformats.org/officeDocument/2006/relationships/hyperlink" Target="),%20https:/www.cia.gov/the-world-factbook/countries/algeria" TargetMode="External"/><Relationship Id="rId6" Type="http://schemas.openxmlformats.org/officeDocument/2006/relationships/hyperlink" Target="https://www.christianitytoday.com/news/2021/january/morocco-christians-israel-trump-peace-abrahamaccords.html." TargetMode="External"/><Relationship Id="rId11" Type="http://schemas.openxmlformats.org/officeDocument/2006/relationships/hyperlink" Target="https://www.opendoorsusa.org/christian-persecution/world-watchlist/tunisia/" TargetMode="External"/><Relationship Id="rId5" Type="http://schemas.openxmlformats.org/officeDocument/2006/relationships/hyperlink" Target="https://www.cia.gov/the-world-factbook/countries/morocco/" TargetMode="External"/><Relationship Id="rId15" Type="http://schemas.openxmlformats.org/officeDocument/2006/relationships/hyperlink" Target="https://www.ohchr.org/EN/HRBodies/HRC/RegularSessions/Session40/Documents/A_HRC_40_58_Add.1.doc" TargetMode="External"/><Relationship Id="rId10" Type="http://schemas.openxmlformats.org/officeDocument/2006/relationships/hyperlink" Target="https://www.cia.gov/the-worldfactbook/countries/tunisia/" TargetMode="External"/><Relationship Id="rId4" Type="http://schemas.openxmlformats.org/officeDocument/2006/relationships/hyperlink" Target="http://media.aclj.org/pdf/41-UPR-Algeria-ECLJ.pdf" TargetMode="External"/><Relationship Id="rId9" Type="http://schemas.openxmlformats.org/officeDocument/2006/relationships/hyperlink" Target="http://media.aclj.org/pdf/41-UPR-Morocco-ECLJ.pdf" TargetMode="External"/><Relationship Id="rId14" Type="http://schemas.openxmlformats.org/officeDocument/2006/relationships/hyperlink" Target=",%20https:/www.constituteproject.org/constitution/Tunisia_2014.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Doctype>
    <Contributor xmlns="d42e65b2-cf21-49c1-b27d-d23f90380c0e">European Centre for Law and Justice</Contributor>
  </documentManagement>
</p:properties>
</file>

<file path=customXml/itemProps1.xml><?xml version="1.0" encoding="utf-8"?>
<ds:datastoreItem xmlns:ds="http://schemas.openxmlformats.org/officeDocument/2006/customXml" ds:itemID="{FD3B3EF8-0DFB-7343-9DB2-93BA86D26CF8}">
  <ds:schemaRefs>
    <ds:schemaRef ds:uri="http://schemas.openxmlformats.org/officeDocument/2006/bibliography"/>
  </ds:schemaRefs>
</ds:datastoreItem>
</file>

<file path=customXml/itemProps2.xml><?xml version="1.0" encoding="utf-8"?>
<ds:datastoreItem xmlns:ds="http://schemas.openxmlformats.org/officeDocument/2006/customXml" ds:itemID="{54EA86AA-2E37-4D62-BFC1-B4A35A1B9546}"/>
</file>

<file path=customXml/itemProps3.xml><?xml version="1.0" encoding="utf-8"?>
<ds:datastoreItem xmlns:ds="http://schemas.openxmlformats.org/officeDocument/2006/customXml" ds:itemID="{51C5BC89-F71D-4814-9F9D-290C9504EBC2}"/>
</file>

<file path=customXml/itemProps4.xml><?xml version="1.0" encoding="utf-8"?>
<ds:datastoreItem xmlns:ds="http://schemas.openxmlformats.org/officeDocument/2006/customXml" ds:itemID="{C021852F-BE33-4007-9491-DA1B2186C95A}"/>
</file>

<file path=docProps/app.xml><?xml version="1.0" encoding="utf-8"?>
<Properties xmlns="http://schemas.openxmlformats.org/officeDocument/2006/extended-properties" xmlns:vt="http://schemas.openxmlformats.org/officeDocument/2006/docPropsVTypes">
  <Template>Normal.dotm</Template>
  <TotalTime>0</TotalTime>
  <Pages>6</Pages>
  <Words>2760</Words>
  <Characters>15180</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Jeanne</dc:creator>
  <cp:keywords/>
  <dc:description/>
  <cp:lastModifiedBy>Xof Foltzenlogel</cp:lastModifiedBy>
  <cp:revision>33</cp:revision>
  <dcterms:created xsi:type="dcterms:W3CDTF">2024-04-30T16:31:00Z</dcterms:created>
  <dcterms:modified xsi:type="dcterms:W3CDTF">2024-05-06T09:39:00Z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c928986a9939976116b3b5f04ff10a889af71b588b16ce137809584c1afb0366</vt:lpwstr>
  </property>
  <property fmtid="{D5CDD505-2E9C-101B-9397-08002B2CF9AE}" pid="3" name="ContentTypeId">
    <vt:lpwstr>0x0101009D953D6983EF5F4EB0B6A5354F975E96</vt:lpwstr>
  </property>
  <property fmtid="{D5CDD505-2E9C-101B-9397-08002B2CF9AE}" pid="4" name="MediaServiceImageTags">
    <vt:lpwstr/>
  </property>
</Properties>
</file>