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AEBE4" w14:textId="77777777" w:rsidR="000D4B39" w:rsidRDefault="000D4B39" w:rsidP="000D4B39">
      <w:pPr>
        <w:jc w:val="center"/>
        <w:rPr>
          <w:color w:val="000000" w:themeColor="text1"/>
          <w:lang w:val="en-US"/>
        </w:rPr>
      </w:pPr>
      <w:bookmarkStart w:id="0" w:name="_Hlk163567759"/>
    </w:p>
    <w:p w14:paraId="33986C0F" w14:textId="77777777" w:rsidR="000D4B39" w:rsidRDefault="000D4B39" w:rsidP="000D4B39">
      <w:pPr>
        <w:jc w:val="both"/>
        <w:rPr>
          <w:color w:val="000000"/>
        </w:rPr>
      </w:pPr>
      <w:r>
        <w:rPr>
          <w:noProof/>
        </w:rPr>
        <w:drawing>
          <wp:anchor distT="0" distB="0" distL="114300" distR="114300" simplePos="0" relativeHeight="251659264" behindDoc="0" locked="0" layoutInCell="1" allowOverlap="1" wp14:anchorId="6ED88CCF" wp14:editId="049EDA5D">
            <wp:simplePos x="0" y="0"/>
            <wp:positionH relativeFrom="margin">
              <wp:posOffset>2733675</wp:posOffset>
            </wp:positionH>
            <wp:positionV relativeFrom="margin">
              <wp:posOffset>-176530</wp:posOffset>
            </wp:positionV>
            <wp:extent cx="3937635" cy="787400"/>
            <wp:effectExtent l="0" t="0" r="5715" b="0"/>
            <wp:wrapSquare wrapText="bothSides"/>
            <wp:docPr id="9" name="Picture 9"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font, screenshot, graphic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7635" cy="787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D2BCA52" wp14:editId="73FD8FE4">
            <wp:simplePos x="0" y="0"/>
            <wp:positionH relativeFrom="margin">
              <wp:posOffset>-254000</wp:posOffset>
            </wp:positionH>
            <wp:positionV relativeFrom="margin">
              <wp:posOffset>-418465</wp:posOffset>
            </wp:positionV>
            <wp:extent cx="2717800" cy="2025650"/>
            <wp:effectExtent l="0" t="0" r="635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7800" cy="2025650"/>
                    </a:xfrm>
                    <a:prstGeom prst="rect">
                      <a:avLst/>
                    </a:prstGeom>
                    <a:noFill/>
                  </pic:spPr>
                </pic:pic>
              </a:graphicData>
            </a:graphic>
            <wp14:sizeRelH relativeFrom="page">
              <wp14:pctWidth>0</wp14:pctWidth>
            </wp14:sizeRelH>
            <wp14:sizeRelV relativeFrom="page">
              <wp14:pctHeight>0</wp14:pctHeight>
            </wp14:sizeRelV>
          </wp:anchor>
        </w:drawing>
      </w:r>
    </w:p>
    <w:p w14:paraId="79765A4E" w14:textId="77777777" w:rsidR="000D4B39" w:rsidRDefault="000D4B39" w:rsidP="000D4B39">
      <w:pPr>
        <w:jc w:val="both"/>
        <w:rPr>
          <w:color w:val="000000"/>
        </w:rPr>
      </w:pPr>
      <w:r>
        <w:rPr>
          <w:noProof/>
        </w:rPr>
        <w:drawing>
          <wp:anchor distT="0" distB="0" distL="114300" distR="114300" simplePos="0" relativeHeight="251661312" behindDoc="1" locked="0" layoutInCell="1" allowOverlap="1" wp14:anchorId="61861171" wp14:editId="6F580061">
            <wp:simplePos x="0" y="0"/>
            <wp:positionH relativeFrom="column">
              <wp:posOffset>2956560</wp:posOffset>
            </wp:positionH>
            <wp:positionV relativeFrom="paragraph">
              <wp:posOffset>73660</wp:posOffset>
            </wp:positionV>
            <wp:extent cx="3019425" cy="828040"/>
            <wp:effectExtent l="0" t="0" r="9525" b="0"/>
            <wp:wrapTight wrapText="bothSides">
              <wp:wrapPolygon edited="0">
                <wp:start x="0" y="0"/>
                <wp:lineTo x="0" y="20871"/>
                <wp:lineTo x="21532" y="20871"/>
                <wp:lineTo x="2153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9425" cy="828040"/>
                    </a:xfrm>
                    <a:prstGeom prst="rect">
                      <a:avLst/>
                    </a:prstGeom>
                    <a:noFill/>
                  </pic:spPr>
                </pic:pic>
              </a:graphicData>
            </a:graphic>
            <wp14:sizeRelH relativeFrom="page">
              <wp14:pctWidth>0</wp14:pctWidth>
            </wp14:sizeRelH>
            <wp14:sizeRelV relativeFrom="page">
              <wp14:pctHeight>0</wp14:pctHeight>
            </wp14:sizeRelV>
          </wp:anchor>
        </w:drawing>
      </w:r>
    </w:p>
    <w:p w14:paraId="4C7360E4" w14:textId="77777777" w:rsidR="000D4B39" w:rsidRDefault="000D4B39" w:rsidP="000D4B39">
      <w:pPr>
        <w:jc w:val="both"/>
        <w:rPr>
          <w:color w:val="000000"/>
        </w:rPr>
      </w:pPr>
    </w:p>
    <w:p w14:paraId="0158DCBB" w14:textId="77777777" w:rsidR="000D4B39" w:rsidRDefault="000D4B39" w:rsidP="000D4B39">
      <w:pPr>
        <w:jc w:val="both"/>
        <w:rPr>
          <w:color w:val="000000"/>
        </w:rPr>
      </w:pPr>
    </w:p>
    <w:p w14:paraId="49189380" w14:textId="77777777" w:rsidR="000D4B39" w:rsidRDefault="000D4B39" w:rsidP="000D4B39">
      <w:pPr>
        <w:jc w:val="center"/>
        <w:rPr>
          <w:color w:val="000000"/>
        </w:rPr>
      </w:pPr>
    </w:p>
    <w:p w14:paraId="34DFBAD2" w14:textId="77777777" w:rsidR="000D4B39" w:rsidRDefault="000D4B39" w:rsidP="00A573B8">
      <w:pPr>
        <w:jc w:val="both"/>
        <w:rPr>
          <w:rFonts w:ascii="Futura Std Book" w:hAnsi="Futura Std Book"/>
          <w:color w:val="000000" w:themeColor="text1"/>
        </w:rPr>
      </w:pPr>
    </w:p>
    <w:p w14:paraId="7FF749D6" w14:textId="77777777" w:rsidR="000D4B39" w:rsidRDefault="000D4B39" w:rsidP="00A573B8">
      <w:pPr>
        <w:jc w:val="both"/>
        <w:rPr>
          <w:rFonts w:ascii="Futura Std Book" w:hAnsi="Futura Std Book"/>
          <w:color w:val="000000" w:themeColor="text1"/>
        </w:rPr>
      </w:pPr>
    </w:p>
    <w:p w14:paraId="2A3AE9A6" w14:textId="77777777" w:rsidR="000D4B39" w:rsidRDefault="000D4B39" w:rsidP="00A573B8">
      <w:pPr>
        <w:jc w:val="both"/>
        <w:rPr>
          <w:rFonts w:ascii="Futura Std Book" w:hAnsi="Futura Std Book"/>
          <w:color w:val="000000" w:themeColor="text1"/>
        </w:rPr>
      </w:pPr>
    </w:p>
    <w:p w14:paraId="0B6465C0" w14:textId="77777777" w:rsidR="000D4B39" w:rsidRPr="00881564" w:rsidRDefault="000D4B39" w:rsidP="00A573B8">
      <w:pPr>
        <w:jc w:val="both"/>
        <w:rPr>
          <w:rFonts w:ascii="Futura Std Book" w:hAnsi="Futura Std Book"/>
          <w:color w:val="000000"/>
        </w:rPr>
      </w:pPr>
    </w:p>
    <w:p w14:paraId="53445F3F" w14:textId="77777777" w:rsidR="008B7075" w:rsidRPr="00881564" w:rsidRDefault="008B7075" w:rsidP="008B7075">
      <w:pPr>
        <w:jc w:val="center"/>
        <w:rPr>
          <w:rFonts w:ascii="Futura Std Book" w:hAnsi="Futura Std Book"/>
          <w:b/>
          <w:bCs/>
          <w:color w:val="000000" w:themeColor="text1"/>
        </w:rPr>
      </w:pPr>
      <w:bookmarkStart w:id="1" w:name="_heading=h.30j0zll"/>
      <w:bookmarkStart w:id="2" w:name="_heading=h.gjdgxs"/>
      <w:bookmarkStart w:id="3" w:name="_heading=h.1fob9te"/>
      <w:bookmarkEnd w:id="1"/>
      <w:bookmarkEnd w:id="2"/>
      <w:bookmarkEnd w:id="3"/>
    </w:p>
    <w:p w14:paraId="0D07018E" w14:textId="42E48162" w:rsidR="004D25DF" w:rsidRPr="000E1725" w:rsidRDefault="004D25DF" w:rsidP="008B7075">
      <w:pPr>
        <w:jc w:val="center"/>
        <w:rPr>
          <w:b/>
          <w:bCs/>
          <w:color w:val="4472C4" w:themeColor="accent1"/>
        </w:rPr>
      </w:pPr>
      <w:r w:rsidRPr="000E1725">
        <w:rPr>
          <w:b/>
          <w:bCs/>
          <w:color w:val="4472C4" w:themeColor="accent1"/>
        </w:rPr>
        <w:t>Promoting and protecting the rights of persons from descent-based communities:</w:t>
      </w:r>
      <w:r w:rsidR="008B7075" w:rsidRPr="000E1725">
        <w:rPr>
          <w:b/>
          <w:bCs/>
          <w:color w:val="4472C4" w:themeColor="accent1"/>
        </w:rPr>
        <w:t xml:space="preserve"> </w:t>
      </w:r>
      <w:r w:rsidRPr="000E1725">
        <w:rPr>
          <w:b/>
          <w:bCs/>
          <w:color w:val="4472C4" w:themeColor="accent1"/>
        </w:rPr>
        <w:t>Access to justice</w:t>
      </w:r>
    </w:p>
    <w:p w14:paraId="286FFDC5" w14:textId="5AF0EB90" w:rsidR="004D25DF" w:rsidRPr="000E1725" w:rsidRDefault="004D25DF" w:rsidP="004D25DF">
      <w:pPr>
        <w:jc w:val="center"/>
        <w:rPr>
          <w:b/>
          <w:bCs/>
          <w:color w:val="000000" w:themeColor="text1"/>
        </w:rPr>
      </w:pPr>
      <w:bookmarkStart w:id="4" w:name="_Hlk164780357"/>
      <w:r w:rsidRPr="000E1725">
        <w:rPr>
          <w:b/>
          <w:bCs/>
          <w:color w:val="000000" w:themeColor="text1"/>
        </w:rPr>
        <w:t xml:space="preserve">Mapping out access to justice for persons from descent-based communities </w:t>
      </w:r>
      <w:bookmarkEnd w:id="4"/>
      <w:r w:rsidRPr="000E1725">
        <w:rPr>
          <w:b/>
          <w:bCs/>
          <w:color w:val="000000" w:themeColor="text1"/>
        </w:rPr>
        <w:t xml:space="preserve">in </w:t>
      </w:r>
      <w:r w:rsidR="008543CD" w:rsidRPr="000E1725">
        <w:rPr>
          <w:b/>
          <w:bCs/>
          <w:color w:val="000000" w:themeColor="text1"/>
        </w:rPr>
        <w:t>five</w:t>
      </w:r>
      <w:r w:rsidRPr="000E1725">
        <w:rPr>
          <w:b/>
          <w:bCs/>
          <w:color w:val="000000" w:themeColor="text1"/>
        </w:rPr>
        <w:t xml:space="preserve"> pilot countries Bangladesh, India, Nepal, Pakistan, and Sri</w:t>
      </w:r>
      <w:r w:rsidR="00816066" w:rsidRPr="000E1725">
        <w:rPr>
          <w:b/>
          <w:bCs/>
          <w:color w:val="000000" w:themeColor="text1"/>
        </w:rPr>
        <w:t xml:space="preserve"> </w:t>
      </w:r>
      <w:r w:rsidRPr="000E1725">
        <w:rPr>
          <w:b/>
          <w:bCs/>
          <w:color w:val="000000" w:themeColor="text1"/>
        </w:rPr>
        <w:t>Lanka</w:t>
      </w:r>
    </w:p>
    <w:p w14:paraId="68C3E111" w14:textId="77777777" w:rsidR="008543CD" w:rsidRPr="000E1725" w:rsidRDefault="008543CD" w:rsidP="004D25DF">
      <w:pPr>
        <w:jc w:val="center"/>
        <w:rPr>
          <w:color w:val="000000" w:themeColor="text1"/>
        </w:rPr>
      </w:pPr>
    </w:p>
    <w:p w14:paraId="6B672C74" w14:textId="06FB6631" w:rsidR="004D25DF" w:rsidRPr="000E1725" w:rsidRDefault="00816066" w:rsidP="004D25DF">
      <w:pPr>
        <w:jc w:val="center"/>
        <w:rPr>
          <w:color w:val="000000" w:themeColor="text1"/>
        </w:rPr>
      </w:pPr>
      <w:r w:rsidRPr="000E1725">
        <w:rPr>
          <w:color w:val="000000" w:themeColor="text1"/>
        </w:rPr>
        <w:t xml:space="preserve">Bangkok, </w:t>
      </w:r>
      <w:r w:rsidR="004D25DF" w:rsidRPr="000E1725">
        <w:rPr>
          <w:color w:val="000000" w:themeColor="text1"/>
        </w:rPr>
        <w:t>19-21 August 2024</w:t>
      </w:r>
    </w:p>
    <w:bookmarkEnd w:id="0"/>
    <w:p w14:paraId="7C10244E" w14:textId="77777777" w:rsidR="008543CD" w:rsidRPr="000E1725" w:rsidRDefault="008543CD" w:rsidP="00F94CE3">
      <w:pPr>
        <w:jc w:val="center"/>
        <w:rPr>
          <w:b/>
          <w:bCs/>
          <w:color w:val="000000" w:themeColor="text1"/>
          <w:shd w:val="clear" w:color="auto" w:fill="FFFFFF"/>
        </w:rPr>
      </w:pPr>
    </w:p>
    <w:p w14:paraId="2C9BBE21" w14:textId="3D9E46D5" w:rsidR="00F94CE3" w:rsidRPr="000E1725" w:rsidRDefault="00F94CE3" w:rsidP="00F94CE3">
      <w:pPr>
        <w:jc w:val="center"/>
        <w:rPr>
          <w:b/>
          <w:bCs/>
          <w:color w:val="000000" w:themeColor="text1"/>
          <w:shd w:val="clear" w:color="auto" w:fill="FFFFFF"/>
        </w:rPr>
      </w:pPr>
      <w:r w:rsidRPr="000E1725">
        <w:rPr>
          <w:b/>
          <w:bCs/>
          <w:color w:val="000000" w:themeColor="text1"/>
          <w:shd w:val="clear" w:color="auto" w:fill="FFFFFF"/>
        </w:rPr>
        <w:t>OUTCOME DOCUMENT</w:t>
      </w:r>
    </w:p>
    <w:p w14:paraId="3A6DBBC7" w14:textId="77777777" w:rsidR="00A34701" w:rsidRPr="000E1725" w:rsidRDefault="00A34701" w:rsidP="00F94CE3">
      <w:pPr>
        <w:jc w:val="center"/>
        <w:rPr>
          <w:b/>
          <w:bCs/>
          <w:color w:val="000000" w:themeColor="text1"/>
          <w:shd w:val="clear" w:color="auto" w:fill="FFFFFF"/>
        </w:rPr>
      </w:pPr>
    </w:p>
    <w:p w14:paraId="533A7E67" w14:textId="77777777" w:rsidR="00F94CE3" w:rsidRPr="000E1725" w:rsidRDefault="00F94CE3" w:rsidP="006F45C4">
      <w:pPr>
        <w:jc w:val="both"/>
        <w:rPr>
          <w:color w:val="000000" w:themeColor="text1"/>
          <w:shd w:val="clear" w:color="auto" w:fill="FFFFFF"/>
        </w:rPr>
      </w:pPr>
    </w:p>
    <w:p w14:paraId="48DDBF80" w14:textId="5522B34D" w:rsidR="00037076" w:rsidRPr="000E1725" w:rsidRDefault="00037076" w:rsidP="00816066">
      <w:pPr>
        <w:pStyle w:val="ListParagraph"/>
        <w:numPr>
          <w:ilvl w:val="0"/>
          <w:numId w:val="26"/>
        </w:numPr>
        <w:jc w:val="both"/>
        <w:rPr>
          <w:b/>
          <w:bCs/>
          <w:color w:val="000000" w:themeColor="text1"/>
        </w:rPr>
      </w:pPr>
      <w:r w:rsidRPr="000E1725">
        <w:rPr>
          <w:b/>
          <w:bCs/>
          <w:color w:val="000000" w:themeColor="text1"/>
        </w:rPr>
        <w:t>General Background</w:t>
      </w:r>
    </w:p>
    <w:p w14:paraId="6AF00902" w14:textId="77777777" w:rsidR="00EF5435" w:rsidRPr="000E1725" w:rsidRDefault="00EF5435" w:rsidP="00EF5435">
      <w:pPr>
        <w:jc w:val="both"/>
        <w:rPr>
          <w:color w:val="000000" w:themeColor="text1"/>
        </w:rPr>
      </w:pPr>
    </w:p>
    <w:p w14:paraId="4A98C81D" w14:textId="62B21EC3" w:rsidR="00F908F6" w:rsidRPr="000E1725" w:rsidRDefault="00B1421F" w:rsidP="0036163F">
      <w:pPr>
        <w:jc w:val="both"/>
      </w:pPr>
      <w:r w:rsidRPr="000E1725">
        <w:t xml:space="preserve">Governments have an essential and fundamental role in establishing transparent, accountable institutions; an effective, impartial rule of law; and well-funded systems that deliver rights to everyone. When fulfilled, this role can foster social harmony and sustainable development. </w:t>
      </w:r>
      <w:r w:rsidR="00AB041D" w:rsidRPr="000E1725">
        <w:rPr>
          <w:color w:val="000000" w:themeColor="text1"/>
          <w:shd w:val="clear" w:color="auto" w:fill="FFFFFF"/>
        </w:rPr>
        <w:t xml:space="preserve">The </w:t>
      </w:r>
      <w:r w:rsidR="00AB041D" w:rsidRPr="000E1725">
        <w:rPr>
          <w:color w:val="000000" w:themeColor="text1"/>
        </w:rPr>
        <w:t>realization of the rights of persons belonging to descent-based communities constitute an integral part of the development of society as a whole and within a democratic framework based on the rule of law</w:t>
      </w:r>
      <w:r w:rsidR="00F908F6" w:rsidRPr="000E1725">
        <w:rPr>
          <w:color w:val="000000" w:themeColor="text1"/>
        </w:rPr>
        <w:t xml:space="preserve">.  </w:t>
      </w:r>
      <w:r w:rsidR="00307871" w:rsidRPr="000E1725">
        <w:rPr>
          <w:color w:val="000000" w:themeColor="text1"/>
        </w:rPr>
        <w:t>The law</w:t>
      </w:r>
      <w:r w:rsidR="00F908F6" w:rsidRPr="000E1725">
        <w:rPr>
          <w:color w:val="000000" w:themeColor="text1"/>
        </w:rPr>
        <w:t xml:space="preserve"> does not only set the applicable rules as to when rights are transgressed, it </w:t>
      </w:r>
      <w:proofErr w:type="gramStart"/>
      <w:r w:rsidR="00F908F6" w:rsidRPr="000E1725">
        <w:rPr>
          <w:color w:val="000000" w:themeColor="text1"/>
        </w:rPr>
        <w:t xml:space="preserve">articulates </w:t>
      </w:r>
      <w:r w:rsidR="00695B94" w:rsidRPr="000E1725">
        <w:rPr>
          <w:color w:val="000000" w:themeColor="text1"/>
        </w:rPr>
        <w:t>also</w:t>
      </w:r>
      <w:proofErr w:type="gramEnd"/>
      <w:r w:rsidR="00695B94" w:rsidRPr="000E1725">
        <w:rPr>
          <w:color w:val="000000" w:themeColor="text1"/>
        </w:rPr>
        <w:t xml:space="preserve"> </w:t>
      </w:r>
      <w:r w:rsidR="00F908F6" w:rsidRPr="000E1725">
        <w:rPr>
          <w:color w:val="000000" w:themeColor="text1"/>
        </w:rPr>
        <w:t xml:space="preserve">our norms and expectations as regards </w:t>
      </w:r>
      <w:r w:rsidR="00EC7A8D" w:rsidRPr="000E1725">
        <w:rPr>
          <w:color w:val="000000" w:themeColor="text1"/>
        </w:rPr>
        <w:t xml:space="preserve">equality and </w:t>
      </w:r>
      <w:r w:rsidR="00F908F6" w:rsidRPr="000E1725">
        <w:rPr>
          <w:color w:val="000000" w:themeColor="text1"/>
        </w:rPr>
        <w:t>the administration of justice.</w:t>
      </w:r>
    </w:p>
    <w:p w14:paraId="466264AC" w14:textId="77777777" w:rsidR="00AB041D" w:rsidRPr="000E1725" w:rsidRDefault="00AB041D" w:rsidP="0036163F">
      <w:pPr>
        <w:shd w:val="clear" w:color="auto" w:fill="FFFFFF"/>
        <w:jc w:val="both"/>
        <w:rPr>
          <w:color w:val="000000" w:themeColor="text1"/>
        </w:rPr>
      </w:pPr>
    </w:p>
    <w:p w14:paraId="33F366F6" w14:textId="1C6F556A" w:rsidR="00874490" w:rsidRPr="000E1725" w:rsidRDefault="00874490" w:rsidP="00874490">
      <w:pPr>
        <w:jc w:val="both"/>
        <w:rPr>
          <w:color w:val="000000" w:themeColor="text1"/>
        </w:rPr>
      </w:pPr>
      <w:r w:rsidRPr="000E1725">
        <w:rPr>
          <w:color w:val="000000" w:themeColor="text1"/>
        </w:rPr>
        <w:t>It is estimated that globally, more than 260 million people are victims of exclusion, segregation, and marginalization both in the public and private spheres based on their descent.</w:t>
      </w:r>
      <w:r w:rsidRPr="000E1725">
        <w:rPr>
          <w:rStyle w:val="FootnoteReference"/>
          <w:color w:val="000000" w:themeColor="text1"/>
        </w:rPr>
        <w:t xml:space="preserve"> </w:t>
      </w:r>
      <w:r w:rsidRPr="000E1725">
        <w:rPr>
          <w:rStyle w:val="FootnoteReference"/>
          <w:color w:val="000000" w:themeColor="text1"/>
        </w:rPr>
        <w:footnoteReference w:id="1"/>
      </w:r>
      <w:r w:rsidRPr="000E1725">
        <w:rPr>
          <w:color w:val="000000" w:themeColor="text1"/>
        </w:rPr>
        <w:t xml:space="preserve">  They are denied access to resources and services, leaving most living in abject poverty with little to no access to justice. Women and girls are particularly vulnerable to descent-based discrimination, owing to its multiple and intersecting forms. </w:t>
      </w:r>
    </w:p>
    <w:p w14:paraId="1BC1C44F" w14:textId="77777777" w:rsidR="00874490" w:rsidRPr="000E1725" w:rsidRDefault="00874490" w:rsidP="00874490">
      <w:pPr>
        <w:jc w:val="both"/>
      </w:pPr>
    </w:p>
    <w:p w14:paraId="17254FE4" w14:textId="3553B0CD" w:rsidR="00903FB6" w:rsidRPr="000E1725" w:rsidRDefault="00A661A7" w:rsidP="00525ED5">
      <w:pPr>
        <w:contextualSpacing/>
        <w:jc w:val="both"/>
        <w:rPr>
          <w:color w:val="000000" w:themeColor="text1"/>
          <w:lang w:bidi="ar-SA"/>
        </w:rPr>
      </w:pPr>
      <w:r w:rsidRPr="000E1725">
        <w:rPr>
          <w:color w:val="000000" w:themeColor="text1"/>
          <w:spacing w:val="4"/>
        </w:rPr>
        <w:t xml:space="preserve">Desiring to promote the realization of the principles contained in the </w:t>
      </w:r>
      <w:r w:rsidR="00132AB2" w:rsidRPr="000E1725">
        <w:rPr>
          <w:color w:val="000000" w:themeColor="text1"/>
          <w:spacing w:val="4"/>
        </w:rPr>
        <w:t xml:space="preserve">UN </w:t>
      </w:r>
      <w:r w:rsidRPr="000E1725">
        <w:rPr>
          <w:color w:val="000000" w:themeColor="text1"/>
          <w:spacing w:val="4"/>
        </w:rPr>
        <w:t>Charter</w:t>
      </w:r>
      <w:r w:rsidR="00132AB2" w:rsidRPr="000E1725">
        <w:rPr>
          <w:color w:val="000000" w:themeColor="text1"/>
          <w:spacing w:val="4"/>
        </w:rPr>
        <w:t xml:space="preserve">, States </w:t>
      </w:r>
      <w:r w:rsidR="00804AD3" w:rsidRPr="000E1725">
        <w:rPr>
          <w:color w:val="000000" w:themeColor="text1"/>
          <w:spacing w:val="4"/>
        </w:rPr>
        <w:t>including Bangladesh, India, Nepal, Pakistan and Sri</w:t>
      </w:r>
      <w:r w:rsidR="008543CD" w:rsidRPr="000E1725">
        <w:rPr>
          <w:color w:val="000000" w:themeColor="text1"/>
          <w:spacing w:val="4"/>
        </w:rPr>
        <w:t xml:space="preserve"> </w:t>
      </w:r>
      <w:r w:rsidR="00804AD3" w:rsidRPr="000E1725">
        <w:rPr>
          <w:color w:val="000000" w:themeColor="text1"/>
          <w:spacing w:val="4"/>
        </w:rPr>
        <w:t xml:space="preserve">Lanka </w:t>
      </w:r>
      <w:r w:rsidR="00132AB2" w:rsidRPr="000E1725">
        <w:rPr>
          <w:color w:val="000000" w:themeColor="text1"/>
          <w:spacing w:val="4"/>
        </w:rPr>
        <w:t xml:space="preserve">have ratified international human rights </w:t>
      </w:r>
      <w:r w:rsidR="00804AD3" w:rsidRPr="000E1725">
        <w:rPr>
          <w:color w:val="000000" w:themeColor="text1"/>
          <w:spacing w:val="4"/>
        </w:rPr>
        <w:t xml:space="preserve">conventions, such as </w:t>
      </w:r>
      <w:r w:rsidR="00132AB2" w:rsidRPr="000E1725">
        <w:rPr>
          <w:color w:val="000000" w:themeColor="text1"/>
          <w:spacing w:val="4"/>
        </w:rPr>
        <w:t xml:space="preserve"> the </w:t>
      </w:r>
      <w:r w:rsidRPr="000E1725">
        <w:rPr>
          <w:color w:val="000000" w:themeColor="text1"/>
          <w:spacing w:val="4"/>
        </w:rPr>
        <w:t>International Convention on the Elimination of All Forms of Racial Discrimination, the International Covenant on Civil and Political Rights, the International Covenant on Economic, Social and Cultural Rights, as well as other relevant international instruments</w:t>
      </w:r>
      <w:r w:rsidR="00804AD3" w:rsidRPr="000E1725">
        <w:rPr>
          <w:color w:val="000000" w:themeColor="text1"/>
          <w:spacing w:val="4"/>
        </w:rPr>
        <w:t xml:space="preserve"> which create </w:t>
      </w:r>
      <w:r w:rsidR="00804AD3" w:rsidRPr="000E1725">
        <w:rPr>
          <w:color w:val="000000" w:themeColor="text1"/>
        </w:rPr>
        <w:t>legal commitments to equality as an enforceable right under national law</w:t>
      </w:r>
      <w:r w:rsidR="00903FB6" w:rsidRPr="000E1725">
        <w:rPr>
          <w:color w:val="000000" w:themeColor="text1"/>
        </w:rPr>
        <w:t xml:space="preserve"> </w:t>
      </w:r>
      <w:r w:rsidR="001572D2" w:rsidRPr="000E1725">
        <w:rPr>
          <w:color w:val="000000" w:themeColor="text1"/>
        </w:rPr>
        <w:t>including via</w:t>
      </w:r>
      <w:r w:rsidR="00903FB6" w:rsidRPr="000E1725">
        <w:rPr>
          <w:color w:val="000000" w:themeColor="text1"/>
        </w:rPr>
        <w:t xml:space="preserve"> these treaties</w:t>
      </w:r>
      <w:r w:rsidR="00804AD3" w:rsidRPr="000E1725">
        <w:rPr>
          <w:color w:val="000000" w:themeColor="text1"/>
        </w:rPr>
        <w:t>.</w:t>
      </w:r>
      <w:r w:rsidR="00AB041D" w:rsidRPr="000E1725">
        <w:rPr>
          <w:color w:val="000000" w:themeColor="text1"/>
          <w:spacing w:val="4"/>
        </w:rPr>
        <w:t xml:space="preserve"> </w:t>
      </w:r>
      <w:r w:rsidR="00DF5EB0" w:rsidRPr="000E1725">
        <w:rPr>
          <w:color w:val="000000" w:themeColor="text1"/>
          <w:spacing w:val="4"/>
        </w:rPr>
        <w:t xml:space="preserve">Bangladesh, India, Nepal, </w:t>
      </w:r>
      <w:proofErr w:type="gramStart"/>
      <w:r w:rsidR="00DF5EB0" w:rsidRPr="000E1725">
        <w:rPr>
          <w:color w:val="000000" w:themeColor="text1"/>
          <w:spacing w:val="4"/>
        </w:rPr>
        <w:t>Pakistan</w:t>
      </w:r>
      <w:proofErr w:type="gramEnd"/>
      <w:r w:rsidR="00DF5EB0" w:rsidRPr="000E1725">
        <w:rPr>
          <w:color w:val="000000" w:themeColor="text1"/>
          <w:spacing w:val="4"/>
        </w:rPr>
        <w:t xml:space="preserve"> and Sri</w:t>
      </w:r>
      <w:r w:rsidR="008543CD" w:rsidRPr="000E1725">
        <w:rPr>
          <w:color w:val="000000" w:themeColor="text1"/>
          <w:spacing w:val="4"/>
        </w:rPr>
        <w:t xml:space="preserve"> </w:t>
      </w:r>
      <w:r w:rsidR="00DF5EB0" w:rsidRPr="000E1725">
        <w:rPr>
          <w:color w:val="000000" w:themeColor="text1"/>
          <w:spacing w:val="4"/>
        </w:rPr>
        <w:t xml:space="preserve">Lanka </w:t>
      </w:r>
      <w:r w:rsidR="00DF5EB0" w:rsidRPr="000E1725">
        <w:rPr>
          <w:color w:val="000000" w:themeColor="text1"/>
          <w:spacing w:val="4"/>
        </w:rPr>
        <w:lastRenderedPageBreak/>
        <w:t xml:space="preserve">have undertaken the obligation under international human rights law to </w:t>
      </w:r>
      <w:r w:rsidR="00000A82" w:rsidRPr="000E1725">
        <w:rPr>
          <w:color w:val="000000" w:themeColor="text1"/>
          <w:spacing w:val="4"/>
        </w:rPr>
        <w:t xml:space="preserve">treat everyone </w:t>
      </w:r>
      <w:r w:rsidR="00804AD3" w:rsidRPr="000E1725">
        <w:rPr>
          <w:color w:val="000000" w:themeColor="text1"/>
          <w:spacing w:val="4"/>
        </w:rPr>
        <w:t xml:space="preserve">with </w:t>
      </w:r>
      <w:r w:rsidR="00000A82" w:rsidRPr="000E1725">
        <w:rPr>
          <w:rFonts w:eastAsiaTheme="minorHAnsi"/>
          <w:color w:val="000000" w:themeColor="text1"/>
          <w:kern w:val="2"/>
          <w:lang w:bidi="ar-SA"/>
          <w14:ligatures w14:val="standardContextual"/>
        </w:rPr>
        <w:t>equal</w:t>
      </w:r>
      <w:r w:rsidR="00804AD3" w:rsidRPr="000E1725">
        <w:rPr>
          <w:rFonts w:eastAsiaTheme="minorHAnsi"/>
          <w:color w:val="000000" w:themeColor="text1"/>
          <w:kern w:val="2"/>
          <w:lang w:bidi="ar-SA"/>
          <w14:ligatures w14:val="standardContextual"/>
        </w:rPr>
        <w:t>ity</w:t>
      </w:r>
      <w:r w:rsidR="00000A82" w:rsidRPr="000E1725">
        <w:rPr>
          <w:rFonts w:eastAsiaTheme="minorHAnsi"/>
          <w:color w:val="000000" w:themeColor="text1"/>
          <w:kern w:val="2"/>
          <w:lang w:bidi="ar-SA"/>
          <w14:ligatures w14:val="standardContextual"/>
        </w:rPr>
        <w:t xml:space="preserve"> in dignity and rights</w:t>
      </w:r>
      <w:r w:rsidR="00000A82" w:rsidRPr="000E1725">
        <w:rPr>
          <w:rFonts w:eastAsiaTheme="minorHAnsi"/>
          <w:color w:val="000000" w:themeColor="text1"/>
          <w:spacing w:val="-5"/>
          <w:kern w:val="2"/>
          <w:lang w:bidi="ar-SA"/>
          <w14:ligatures w14:val="standardContextual"/>
        </w:rPr>
        <w:t xml:space="preserve"> regardless of race, colour, religion, sex, language, political or other opinion, national or social origin, property, birth or other status.</w:t>
      </w:r>
      <w:r w:rsidR="00903FB6" w:rsidRPr="000E1725">
        <w:rPr>
          <w:lang w:val="en-US"/>
        </w:rPr>
        <w:t xml:space="preserve">  </w:t>
      </w:r>
    </w:p>
    <w:p w14:paraId="28320C75" w14:textId="77777777" w:rsidR="00525ED5" w:rsidRPr="000E1725" w:rsidRDefault="00525ED5" w:rsidP="00525ED5">
      <w:pPr>
        <w:contextualSpacing/>
        <w:jc w:val="both"/>
        <w:rPr>
          <w:color w:val="000000" w:themeColor="text1"/>
        </w:rPr>
      </w:pPr>
    </w:p>
    <w:p w14:paraId="77488D58" w14:textId="35D0D96D" w:rsidR="00000A82" w:rsidRPr="000E1725" w:rsidRDefault="00AB041D" w:rsidP="00525ED5">
      <w:pPr>
        <w:contextualSpacing/>
        <w:jc w:val="both"/>
        <w:rPr>
          <w:color w:val="000000" w:themeColor="text1"/>
          <w:lang w:bidi="ar-SA"/>
        </w:rPr>
      </w:pPr>
      <w:r w:rsidRPr="000E1725">
        <w:rPr>
          <w:color w:val="000000" w:themeColor="text1"/>
        </w:rPr>
        <w:t>T</w:t>
      </w:r>
      <w:r w:rsidR="00F6056C" w:rsidRPr="000E1725">
        <w:rPr>
          <w:color w:val="000000" w:themeColor="text1"/>
        </w:rPr>
        <w:t>he</w:t>
      </w:r>
      <w:r w:rsidR="00EF5435" w:rsidRPr="000E1725">
        <w:rPr>
          <w:color w:val="000000" w:themeColor="text1"/>
        </w:rPr>
        <w:t xml:space="preserve"> UN Secretary General, the High Commissioner for Human Rights</w:t>
      </w:r>
      <w:r w:rsidR="00F908F6" w:rsidRPr="000E1725">
        <w:rPr>
          <w:color w:val="000000" w:themeColor="text1"/>
        </w:rPr>
        <w:t xml:space="preserve">, </w:t>
      </w:r>
      <w:r w:rsidR="00841431" w:rsidRPr="000E1725">
        <w:rPr>
          <w:color w:val="000000" w:themeColor="text1"/>
        </w:rPr>
        <w:t>UN</w:t>
      </w:r>
      <w:r w:rsidR="00EF5435" w:rsidRPr="000E1725">
        <w:rPr>
          <w:color w:val="000000" w:themeColor="text1"/>
        </w:rPr>
        <w:t xml:space="preserve"> Human Rights </w:t>
      </w:r>
      <w:proofErr w:type="gramStart"/>
      <w:r w:rsidR="00EF5435" w:rsidRPr="000E1725">
        <w:rPr>
          <w:color w:val="000000" w:themeColor="text1"/>
        </w:rPr>
        <w:t>mechanisms</w:t>
      </w:r>
      <w:proofErr w:type="gramEnd"/>
      <w:r w:rsidR="00F908F6" w:rsidRPr="000E1725">
        <w:rPr>
          <w:color w:val="000000" w:themeColor="text1"/>
        </w:rPr>
        <w:t xml:space="preserve"> and civil society organizations</w:t>
      </w:r>
      <w:r w:rsidR="00EF5435" w:rsidRPr="000E1725">
        <w:rPr>
          <w:color w:val="000000" w:themeColor="text1"/>
        </w:rPr>
        <w:t xml:space="preserve"> have repeatedly called for action by governments and world leaders to address</w:t>
      </w:r>
      <w:r w:rsidR="00F6056C" w:rsidRPr="000E1725">
        <w:rPr>
          <w:color w:val="000000" w:themeColor="text1"/>
        </w:rPr>
        <w:t xml:space="preserve"> </w:t>
      </w:r>
      <w:r w:rsidR="00EF5435" w:rsidRPr="000E1725">
        <w:rPr>
          <w:color w:val="000000" w:themeColor="text1"/>
        </w:rPr>
        <w:t>discrimination</w:t>
      </w:r>
      <w:r w:rsidR="00695B94" w:rsidRPr="000E1725">
        <w:rPr>
          <w:color w:val="000000" w:themeColor="text1"/>
        </w:rPr>
        <w:t xml:space="preserve"> and </w:t>
      </w:r>
      <w:r w:rsidR="00EF5435" w:rsidRPr="000E1725">
        <w:rPr>
          <w:color w:val="000000" w:themeColor="text1"/>
        </w:rPr>
        <w:t xml:space="preserve">create more inclusive and vibrant societies based on </w:t>
      </w:r>
      <w:r w:rsidR="00F6056C" w:rsidRPr="000E1725">
        <w:rPr>
          <w:color w:val="000000" w:themeColor="text1"/>
        </w:rPr>
        <w:t>access to justice and the rule of law.</w:t>
      </w:r>
      <w:r w:rsidR="00B112CB" w:rsidRPr="000E1725">
        <w:rPr>
          <w:color w:val="000000" w:themeColor="text1"/>
        </w:rPr>
        <w:t xml:space="preserve"> UN Treaty bodies, Special Procedures, and the Universal Periodic Review have all raised their concerns over discrimination as a violation of human rights law, and demonstrated how discrimination intersects with descent, placing persons targeted by discrimination in a particularly marginalized position and in need of focused attention. </w:t>
      </w:r>
      <w:r w:rsidR="00000A82" w:rsidRPr="000E1725">
        <w:rPr>
          <w:color w:val="000000" w:themeColor="text1"/>
        </w:rPr>
        <w:t xml:space="preserve"> </w:t>
      </w:r>
    </w:p>
    <w:p w14:paraId="41311575" w14:textId="77777777" w:rsidR="00000A82" w:rsidRPr="000E1725" w:rsidRDefault="00000A82" w:rsidP="00B112CB">
      <w:pPr>
        <w:jc w:val="both"/>
        <w:rPr>
          <w:color w:val="000000" w:themeColor="text1"/>
        </w:rPr>
      </w:pPr>
    </w:p>
    <w:p w14:paraId="1ED89A1C" w14:textId="06C4FF95" w:rsidR="00B112CB" w:rsidRPr="000E1725" w:rsidRDefault="00B112CB" w:rsidP="00B112CB">
      <w:pPr>
        <w:jc w:val="both"/>
        <w:rPr>
          <w:color w:val="000000" w:themeColor="text1"/>
        </w:rPr>
      </w:pPr>
      <w:r w:rsidRPr="000E1725">
        <w:rPr>
          <w:color w:val="000000" w:themeColor="text1"/>
        </w:rPr>
        <w:t>For example, General Recommendation No. 29 from the Committee on the Elimination of Racial Discrimination (Treaty body) concluded in 2002 that discrimination based on ‘descent’ found in Article 1 of the International Convention on the Elimination of All Forms of Racial Discrimination covered caste and analogous systems of inherited status or “inherited identity.”</w:t>
      </w:r>
      <w:r w:rsidRPr="000E1725">
        <w:rPr>
          <w:color w:val="000000" w:themeColor="text1"/>
          <w:vertAlign w:val="superscript"/>
        </w:rPr>
        <w:footnoteReference w:id="2"/>
      </w:r>
      <w:r w:rsidR="00F10121" w:rsidRPr="000E1725">
        <w:rPr>
          <w:color w:val="000000" w:themeColor="text1"/>
        </w:rPr>
        <w:t xml:space="preserve"> </w:t>
      </w:r>
      <w:r w:rsidR="00D54A98" w:rsidRPr="000E1725">
        <w:rPr>
          <w:color w:val="000000" w:themeColor="text1"/>
        </w:rPr>
        <w:t>The Office of the High Commissioner for Human Rights (</w:t>
      </w:r>
      <w:r w:rsidR="00F10121" w:rsidRPr="000E1725">
        <w:rPr>
          <w:color w:val="000000" w:themeColor="text1"/>
        </w:rPr>
        <w:t>OHCH</w:t>
      </w:r>
      <w:r w:rsidR="00D54A98" w:rsidRPr="000E1725">
        <w:rPr>
          <w:color w:val="000000" w:themeColor="text1"/>
        </w:rPr>
        <w:t>R)</w:t>
      </w:r>
      <w:r w:rsidR="00F10121" w:rsidRPr="000E1725">
        <w:rPr>
          <w:color w:val="000000" w:themeColor="text1"/>
        </w:rPr>
        <w:t xml:space="preserve"> has</w:t>
      </w:r>
      <w:r w:rsidR="00874490" w:rsidRPr="000E1725">
        <w:rPr>
          <w:color w:val="000000" w:themeColor="text1"/>
        </w:rPr>
        <w:t xml:space="preserve"> continuously  advocated for the rights of persons from</w:t>
      </w:r>
      <w:r w:rsidR="00F10121" w:rsidRPr="000E1725">
        <w:rPr>
          <w:color w:val="000000" w:themeColor="text1"/>
        </w:rPr>
        <w:t xml:space="preserve"> descent-based </w:t>
      </w:r>
      <w:r w:rsidR="00874490" w:rsidRPr="000E1725">
        <w:rPr>
          <w:color w:val="000000" w:themeColor="text1"/>
        </w:rPr>
        <w:t xml:space="preserve">communities </w:t>
      </w:r>
      <w:r w:rsidR="00F10121" w:rsidRPr="000E1725">
        <w:rPr>
          <w:color w:val="000000" w:themeColor="text1"/>
        </w:rPr>
        <w:t xml:space="preserve">in order for them to enjoy their human rights as guaranteed under the </w:t>
      </w:r>
      <w:r w:rsidR="00D54A98" w:rsidRPr="000E1725">
        <w:rPr>
          <w:color w:val="000000" w:themeColor="text1"/>
        </w:rPr>
        <w:t>Universal Declaration of Human Rights (</w:t>
      </w:r>
      <w:r w:rsidR="00F10121" w:rsidRPr="000E1725">
        <w:rPr>
          <w:color w:val="000000" w:themeColor="text1"/>
        </w:rPr>
        <w:t>UDHR</w:t>
      </w:r>
      <w:r w:rsidR="00D54A98" w:rsidRPr="000E1725">
        <w:rPr>
          <w:color w:val="000000" w:themeColor="text1"/>
        </w:rPr>
        <w:t>)</w:t>
      </w:r>
      <w:r w:rsidR="00F10121" w:rsidRPr="000E1725">
        <w:rPr>
          <w:color w:val="000000" w:themeColor="text1"/>
        </w:rPr>
        <w:t xml:space="preserve">.  </w:t>
      </w:r>
    </w:p>
    <w:p w14:paraId="539EBEED" w14:textId="77777777" w:rsidR="00A661A7" w:rsidRPr="000E1725" w:rsidRDefault="00A661A7" w:rsidP="00B112CB">
      <w:pPr>
        <w:jc w:val="both"/>
        <w:rPr>
          <w:color w:val="000000" w:themeColor="text1"/>
        </w:rPr>
      </w:pPr>
    </w:p>
    <w:p w14:paraId="78CD1F66" w14:textId="77777777" w:rsidR="00A661A7" w:rsidRPr="000E1725" w:rsidRDefault="00A661A7" w:rsidP="00A661A7">
      <w:pPr>
        <w:autoSpaceDE w:val="0"/>
        <w:autoSpaceDN w:val="0"/>
        <w:adjustRightInd w:val="0"/>
        <w:jc w:val="both"/>
        <w:rPr>
          <w:rFonts w:eastAsia="Arial"/>
          <w:color w:val="000000" w:themeColor="text1"/>
          <w:lang w:eastAsia="en-GB" w:bidi="ar-SA"/>
        </w:rPr>
      </w:pPr>
      <w:r w:rsidRPr="000E1725">
        <w:rPr>
          <w:rFonts w:eastAsia="Arial"/>
          <w:color w:val="000000" w:themeColor="text1"/>
          <w:lang w:eastAsia="en-GB" w:bidi="ar-SA"/>
        </w:rPr>
        <w:t>According to the UN Principles and Guidelines for the Effective Elimination of Discrimination Based on Work and Descent (2009), discrimination based on work and descent is ‘any distinction, exclusion, restriction, or preference based on inherited status such as caste, including present or ancestral occupation, family, community or social origin, name, birthplace, place of residence, dialect and accent that has the purpose or effect of nullifying or impairing the recognition, enjoyment, or exercise, on an equal footing, of human rights and fundamental freedoms in the political, economic, social, cultural, or any other field of public life.’</w:t>
      </w:r>
      <w:r w:rsidRPr="000E1725">
        <w:rPr>
          <w:rFonts w:eastAsia="Arial"/>
          <w:color w:val="000000" w:themeColor="text1"/>
          <w:vertAlign w:val="superscript"/>
          <w:lang w:eastAsia="en-GB" w:bidi="ar-SA"/>
        </w:rPr>
        <w:t xml:space="preserve"> </w:t>
      </w:r>
      <w:r w:rsidRPr="000E1725">
        <w:rPr>
          <w:rFonts w:eastAsia="Arial"/>
          <w:color w:val="000000" w:themeColor="text1"/>
          <w:vertAlign w:val="superscript"/>
          <w:lang w:eastAsia="en-GB" w:bidi="ar-SA"/>
        </w:rPr>
        <w:footnoteReference w:id="3"/>
      </w:r>
    </w:p>
    <w:p w14:paraId="19F24052" w14:textId="769CD47F" w:rsidR="00F6056C" w:rsidRPr="000E1725" w:rsidRDefault="00F6056C" w:rsidP="00EF5435">
      <w:pPr>
        <w:shd w:val="clear" w:color="auto" w:fill="FFFFFF"/>
        <w:jc w:val="both"/>
        <w:rPr>
          <w:color w:val="000000" w:themeColor="text1"/>
        </w:rPr>
      </w:pPr>
    </w:p>
    <w:p w14:paraId="3B1CE41B" w14:textId="14FD40AE" w:rsidR="006A4EDE" w:rsidRPr="000E1725" w:rsidRDefault="00014D9F" w:rsidP="00816066">
      <w:pPr>
        <w:pStyle w:val="ListParagraph"/>
        <w:numPr>
          <w:ilvl w:val="0"/>
          <w:numId w:val="26"/>
        </w:numPr>
        <w:jc w:val="both"/>
        <w:rPr>
          <w:b/>
          <w:bCs/>
          <w:color w:val="000000" w:themeColor="text1"/>
        </w:rPr>
      </w:pPr>
      <w:r w:rsidRPr="000E1725">
        <w:rPr>
          <w:b/>
          <w:bCs/>
          <w:color w:val="000000" w:themeColor="text1"/>
        </w:rPr>
        <w:t>The</w:t>
      </w:r>
      <w:r w:rsidR="005C43DA" w:rsidRPr="000E1725">
        <w:rPr>
          <w:b/>
          <w:bCs/>
          <w:color w:val="000000" w:themeColor="text1"/>
        </w:rPr>
        <w:t xml:space="preserve"> Bangkok</w:t>
      </w:r>
      <w:r w:rsidRPr="000E1725">
        <w:rPr>
          <w:b/>
          <w:bCs/>
          <w:color w:val="000000" w:themeColor="text1"/>
        </w:rPr>
        <w:t xml:space="preserve"> initiative</w:t>
      </w:r>
    </w:p>
    <w:p w14:paraId="7D72E939" w14:textId="77777777" w:rsidR="002C7D54" w:rsidRPr="000E1725" w:rsidRDefault="002C7D54" w:rsidP="00BD4523">
      <w:pPr>
        <w:jc w:val="both"/>
        <w:rPr>
          <w:color w:val="000000" w:themeColor="text1"/>
        </w:rPr>
      </w:pPr>
    </w:p>
    <w:p w14:paraId="2A06D18E" w14:textId="04DC446B" w:rsidR="00307871" w:rsidRPr="000E1725" w:rsidRDefault="00C456E5" w:rsidP="00BD4523">
      <w:pPr>
        <w:jc w:val="both"/>
        <w:rPr>
          <w:color w:val="000000" w:themeColor="text1"/>
        </w:rPr>
      </w:pPr>
      <w:r w:rsidRPr="000E1725">
        <w:t xml:space="preserve">In Our Common Agenda, </w:t>
      </w:r>
      <w:r w:rsidR="00874490" w:rsidRPr="000E1725">
        <w:t>the Secretary-General noted that</w:t>
      </w:r>
      <w:r w:rsidRPr="000E1725">
        <w:t xml:space="preserve"> “Racism, intolerance and discrimination continue to exist in all societies, as seen during the pandemic with scapegoating of groups blamed for the virus. As a start, the adoption of comprehensive laws against discrimination, including based on race or ethnicity, age, gender, religion, disability, and sexual orientation or gender identity, is long overdue.”</w:t>
      </w:r>
      <w:r w:rsidRPr="000E1725">
        <w:rPr>
          <w:rStyle w:val="FootnoteReference"/>
        </w:rPr>
        <w:footnoteReference w:id="4"/>
      </w:r>
      <w:r w:rsidRPr="000E1725">
        <w:t xml:space="preserve"> </w:t>
      </w:r>
      <w:r w:rsidR="00470E1C" w:rsidRPr="000E1725">
        <w:rPr>
          <w:color w:val="000000" w:themeColor="text1"/>
        </w:rPr>
        <w:t xml:space="preserve">In meeting their obligations under international human rights law </w:t>
      </w:r>
      <w:r w:rsidR="001E5498" w:rsidRPr="000E1725">
        <w:rPr>
          <w:color w:val="000000" w:themeColor="text1"/>
        </w:rPr>
        <w:t>States</w:t>
      </w:r>
      <w:r w:rsidR="00EC7A8D" w:rsidRPr="000E1725">
        <w:rPr>
          <w:color w:val="000000" w:themeColor="text1"/>
        </w:rPr>
        <w:t xml:space="preserve"> are required to </w:t>
      </w:r>
      <w:r w:rsidR="001E5498" w:rsidRPr="000E1725">
        <w:rPr>
          <w:color w:val="000000" w:themeColor="text1"/>
        </w:rPr>
        <w:t xml:space="preserve">establish and maintain </w:t>
      </w:r>
      <w:r w:rsidR="00EC7A8D" w:rsidRPr="000E1725">
        <w:rPr>
          <w:color w:val="000000" w:themeColor="text1"/>
        </w:rPr>
        <w:t xml:space="preserve">throughout their territory, </w:t>
      </w:r>
      <w:r w:rsidR="001E5498" w:rsidRPr="000E1725">
        <w:rPr>
          <w:color w:val="000000" w:themeColor="text1"/>
        </w:rPr>
        <w:t xml:space="preserve">well-resourced, independent and impartial judicial and other </w:t>
      </w:r>
      <w:r w:rsidR="00874490" w:rsidRPr="000E1725">
        <w:rPr>
          <w:color w:val="000000" w:themeColor="text1"/>
        </w:rPr>
        <w:t xml:space="preserve">law </w:t>
      </w:r>
      <w:r w:rsidR="001E5498" w:rsidRPr="000E1725">
        <w:rPr>
          <w:color w:val="000000" w:themeColor="text1"/>
        </w:rPr>
        <w:t xml:space="preserve">enforcement bodies to </w:t>
      </w:r>
      <w:r w:rsidR="00EC7A8D" w:rsidRPr="000E1725">
        <w:rPr>
          <w:color w:val="000000" w:themeColor="text1"/>
        </w:rPr>
        <w:t xml:space="preserve">address </w:t>
      </w:r>
      <w:r w:rsidR="001E5498" w:rsidRPr="000E1725">
        <w:rPr>
          <w:color w:val="000000" w:themeColor="text1"/>
        </w:rPr>
        <w:t>complaints</w:t>
      </w:r>
      <w:r w:rsidR="00153659" w:rsidRPr="000E1725">
        <w:rPr>
          <w:color w:val="000000" w:themeColor="text1"/>
        </w:rPr>
        <w:t xml:space="preserve"> and </w:t>
      </w:r>
      <w:r w:rsidR="00EC7A8D" w:rsidRPr="000E1725">
        <w:rPr>
          <w:color w:val="000000" w:themeColor="text1"/>
        </w:rPr>
        <w:t xml:space="preserve">translate international legal commitments to equality into actionable and enforceable rights under national law. </w:t>
      </w:r>
      <w:r w:rsidR="00142630" w:rsidRPr="000E1725">
        <w:rPr>
          <w:color w:val="000000" w:themeColor="text1"/>
        </w:rPr>
        <w:t xml:space="preserve">But </w:t>
      </w:r>
      <w:r w:rsidR="00874490" w:rsidRPr="000E1725">
        <w:rPr>
          <w:color w:val="000000" w:themeColor="text1"/>
        </w:rPr>
        <w:t>j</w:t>
      </w:r>
      <w:r w:rsidR="00BA6000" w:rsidRPr="000E1725">
        <w:rPr>
          <w:color w:val="000000" w:themeColor="text1"/>
        </w:rPr>
        <w:t>ustice depends</w:t>
      </w:r>
      <w:r w:rsidR="00142630" w:rsidRPr="000E1725">
        <w:rPr>
          <w:color w:val="000000" w:themeColor="text1"/>
        </w:rPr>
        <w:t xml:space="preserve"> on availability, </w:t>
      </w:r>
      <w:r w:rsidR="00BA6000" w:rsidRPr="000E1725">
        <w:rPr>
          <w:color w:val="000000" w:themeColor="text1"/>
        </w:rPr>
        <w:t xml:space="preserve">accessibility, </w:t>
      </w:r>
      <w:proofErr w:type="gramStart"/>
      <w:r w:rsidR="00142630" w:rsidRPr="000E1725">
        <w:rPr>
          <w:color w:val="000000" w:themeColor="text1"/>
        </w:rPr>
        <w:t>justiciability</w:t>
      </w:r>
      <w:proofErr w:type="gramEnd"/>
      <w:r w:rsidR="00142630" w:rsidRPr="000E1725">
        <w:rPr>
          <w:color w:val="000000" w:themeColor="text1"/>
        </w:rPr>
        <w:t xml:space="preserve"> and quality </w:t>
      </w:r>
      <w:r w:rsidR="00BA6000" w:rsidRPr="000E1725">
        <w:rPr>
          <w:color w:val="000000" w:themeColor="text1"/>
        </w:rPr>
        <w:t>in order for</w:t>
      </w:r>
      <w:r w:rsidR="00153659" w:rsidRPr="000E1725">
        <w:rPr>
          <w:color w:val="000000" w:themeColor="text1"/>
        </w:rPr>
        <w:t xml:space="preserve"> individuals </w:t>
      </w:r>
      <w:r w:rsidR="00CE0EC1" w:rsidRPr="000E1725">
        <w:rPr>
          <w:color w:val="000000" w:themeColor="text1"/>
        </w:rPr>
        <w:t xml:space="preserve">to </w:t>
      </w:r>
      <w:r w:rsidR="00CE0EC1" w:rsidRPr="000E1725">
        <w:rPr>
          <w:color w:val="000000" w:themeColor="text1"/>
          <w:shd w:val="clear" w:color="auto" w:fill="FFFFFF"/>
        </w:rPr>
        <w:t>enjoy</w:t>
      </w:r>
      <w:r w:rsidR="00153659" w:rsidRPr="000E1725">
        <w:rPr>
          <w:color w:val="000000" w:themeColor="text1"/>
          <w:shd w:val="clear" w:color="auto" w:fill="FFFFFF"/>
        </w:rPr>
        <w:t xml:space="preserve"> equal rights and better protection against discrimination.  </w:t>
      </w:r>
    </w:p>
    <w:p w14:paraId="7C866EFC" w14:textId="77777777" w:rsidR="00307871" w:rsidRPr="000E1725" w:rsidRDefault="00307871" w:rsidP="00BD4523">
      <w:pPr>
        <w:jc w:val="both"/>
        <w:rPr>
          <w:color w:val="000000" w:themeColor="text1"/>
        </w:rPr>
      </w:pPr>
    </w:p>
    <w:p w14:paraId="478C726F" w14:textId="77777777" w:rsidR="000E1725" w:rsidRPr="000E1725" w:rsidRDefault="005C43DA" w:rsidP="000E1725">
      <w:pPr>
        <w:jc w:val="both"/>
        <w:rPr>
          <w:color w:val="000000" w:themeColor="text1"/>
        </w:rPr>
      </w:pPr>
      <w:bookmarkStart w:id="5" w:name="_Hlk176348877"/>
      <w:r w:rsidRPr="000E1725">
        <w:rPr>
          <w:color w:val="000000" w:themeColor="text1"/>
        </w:rPr>
        <w:t xml:space="preserve">OHCHR in partnership with the International Dalit Solidarity </w:t>
      </w:r>
      <w:r w:rsidR="00884D31" w:rsidRPr="000E1725">
        <w:rPr>
          <w:color w:val="000000" w:themeColor="text1"/>
        </w:rPr>
        <w:t xml:space="preserve">Network </w:t>
      </w:r>
      <w:r w:rsidRPr="000E1725">
        <w:rPr>
          <w:color w:val="000000" w:themeColor="text1"/>
        </w:rPr>
        <w:t xml:space="preserve">(IDSN) and the Asia Dalit Rights Forum (ADRF) </w:t>
      </w:r>
      <w:bookmarkStart w:id="6" w:name="_Hlk160717713"/>
      <w:bookmarkEnd w:id="5"/>
      <w:r w:rsidRPr="000E1725">
        <w:rPr>
          <w:color w:val="000000" w:themeColor="text1"/>
        </w:rPr>
        <w:t xml:space="preserve">mapped </w:t>
      </w:r>
      <w:r w:rsidR="004D49FD" w:rsidRPr="000E1725">
        <w:rPr>
          <w:color w:val="000000" w:themeColor="text1"/>
        </w:rPr>
        <w:t xml:space="preserve">out </w:t>
      </w:r>
      <w:r w:rsidR="00147753" w:rsidRPr="000E1725">
        <w:rPr>
          <w:color w:val="000000" w:themeColor="text1"/>
        </w:rPr>
        <w:t xml:space="preserve">the path to </w:t>
      </w:r>
      <w:r w:rsidRPr="000E1725">
        <w:rPr>
          <w:color w:val="000000" w:themeColor="text1"/>
        </w:rPr>
        <w:t>access to justice</w:t>
      </w:r>
      <w:r w:rsidR="00D54A98" w:rsidRPr="000E1725">
        <w:rPr>
          <w:color w:val="000000" w:themeColor="text1"/>
        </w:rPr>
        <w:t xml:space="preserve"> </w:t>
      </w:r>
      <w:r w:rsidR="000A2219" w:rsidRPr="000E1725">
        <w:rPr>
          <w:color w:val="000000" w:themeColor="text1"/>
        </w:rPr>
        <w:t xml:space="preserve">in </w:t>
      </w:r>
      <w:r w:rsidR="00D011FF" w:rsidRPr="000E1725">
        <w:rPr>
          <w:color w:val="000000" w:themeColor="text1"/>
        </w:rPr>
        <w:t>5</w:t>
      </w:r>
      <w:r w:rsidR="000A2219" w:rsidRPr="000E1725">
        <w:rPr>
          <w:color w:val="000000" w:themeColor="text1"/>
        </w:rPr>
        <w:t xml:space="preserve"> pilot countries</w:t>
      </w:r>
      <w:bookmarkStart w:id="7" w:name="_Hlk158300654"/>
      <w:r w:rsidR="00147753" w:rsidRPr="000E1725">
        <w:rPr>
          <w:color w:val="000000" w:themeColor="text1"/>
        </w:rPr>
        <w:t xml:space="preserve"> where descent-based discrimination is most prevalent in South Asia: </w:t>
      </w:r>
      <w:r w:rsidR="000A2219" w:rsidRPr="000E1725">
        <w:rPr>
          <w:color w:val="000000" w:themeColor="text1"/>
        </w:rPr>
        <w:t>Bangladesh, India, Nepal</w:t>
      </w:r>
      <w:r w:rsidR="00527C76" w:rsidRPr="000E1725">
        <w:rPr>
          <w:color w:val="000000" w:themeColor="text1"/>
        </w:rPr>
        <w:t xml:space="preserve">, </w:t>
      </w:r>
      <w:r w:rsidR="0035651D" w:rsidRPr="000E1725">
        <w:rPr>
          <w:color w:val="000000" w:themeColor="text1"/>
        </w:rPr>
        <w:t>Pakistan</w:t>
      </w:r>
      <w:r w:rsidR="00807AAB" w:rsidRPr="000E1725">
        <w:rPr>
          <w:color w:val="000000" w:themeColor="text1"/>
        </w:rPr>
        <w:t>,</w:t>
      </w:r>
      <w:r w:rsidR="00527C76" w:rsidRPr="000E1725">
        <w:rPr>
          <w:color w:val="000000" w:themeColor="text1"/>
        </w:rPr>
        <w:t xml:space="preserve"> and Sri</w:t>
      </w:r>
      <w:r w:rsidR="00D952BE" w:rsidRPr="000E1725">
        <w:rPr>
          <w:color w:val="000000" w:themeColor="text1"/>
        </w:rPr>
        <w:t xml:space="preserve"> </w:t>
      </w:r>
      <w:r w:rsidR="00527C76" w:rsidRPr="000E1725">
        <w:rPr>
          <w:color w:val="000000" w:themeColor="text1"/>
        </w:rPr>
        <w:t>Lanka</w:t>
      </w:r>
      <w:bookmarkEnd w:id="6"/>
      <w:bookmarkEnd w:id="7"/>
      <w:r w:rsidR="00916FBA" w:rsidRPr="000E1725">
        <w:rPr>
          <w:color w:val="000000" w:themeColor="text1"/>
        </w:rPr>
        <w:t xml:space="preserve">. </w:t>
      </w:r>
      <w:bookmarkStart w:id="8" w:name="_Hlk163224993"/>
      <w:r w:rsidR="00916FBA" w:rsidRPr="000E1725">
        <w:rPr>
          <w:color w:val="000000" w:themeColor="text1"/>
        </w:rPr>
        <w:t xml:space="preserve">The </w:t>
      </w:r>
      <w:r w:rsidR="00147753" w:rsidRPr="000E1725">
        <w:rPr>
          <w:color w:val="000000" w:themeColor="text1"/>
        </w:rPr>
        <w:t>I</w:t>
      </w:r>
      <w:r w:rsidR="00916FBA" w:rsidRPr="000E1725">
        <w:rPr>
          <w:color w:val="000000" w:themeColor="text1"/>
        </w:rPr>
        <w:t xml:space="preserve">nitiative </w:t>
      </w:r>
      <w:r w:rsidR="008D1A1D" w:rsidRPr="000E1725">
        <w:rPr>
          <w:color w:val="000000" w:themeColor="text1"/>
        </w:rPr>
        <w:t>beg</w:t>
      </w:r>
      <w:r w:rsidR="00147753" w:rsidRPr="000E1725">
        <w:rPr>
          <w:color w:val="000000" w:themeColor="text1"/>
        </w:rPr>
        <w:t>an</w:t>
      </w:r>
      <w:r w:rsidR="008D1A1D" w:rsidRPr="000E1725">
        <w:rPr>
          <w:color w:val="000000" w:themeColor="text1"/>
        </w:rPr>
        <w:t xml:space="preserve"> with collecting and compiling information </w:t>
      </w:r>
      <w:r w:rsidR="00147753" w:rsidRPr="000E1725">
        <w:rPr>
          <w:color w:val="000000" w:themeColor="text1"/>
        </w:rPr>
        <w:t xml:space="preserve">on each country while </w:t>
      </w:r>
      <w:r w:rsidR="00455E7B" w:rsidRPr="000E1725">
        <w:rPr>
          <w:color w:val="000000" w:themeColor="text1"/>
        </w:rPr>
        <w:t>examin</w:t>
      </w:r>
      <w:r w:rsidR="00147753" w:rsidRPr="000E1725">
        <w:rPr>
          <w:color w:val="000000" w:themeColor="text1"/>
        </w:rPr>
        <w:t>ing</w:t>
      </w:r>
      <w:r w:rsidR="00455E7B" w:rsidRPr="000E1725">
        <w:rPr>
          <w:color w:val="000000" w:themeColor="text1"/>
        </w:rPr>
        <w:t xml:space="preserve"> </w:t>
      </w:r>
      <w:bookmarkStart w:id="9" w:name="_Hlk158286117"/>
      <w:r w:rsidR="00D952BE" w:rsidRPr="000E1725">
        <w:rPr>
          <w:color w:val="000000" w:themeColor="text1"/>
        </w:rPr>
        <w:t>existing</w:t>
      </w:r>
      <w:r w:rsidR="000A2219" w:rsidRPr="000E1725">
        <w:rPr>
          <w:color w:val="000000" w:themeColor="text1"/>
        </w:rPr>
        <w:t xml:space="preserve"> </w:t>
      </w:r>
      <w:r w:rsidR="000A2219" w:rsidRPr="000E1725">
        <w:rPr>
          <w:rStyle w:val="hgkelc"/>
          <w:color w:val="000000" w:themeColor="text1"/>
        </w:rPr>
        <w:t>judicial and non-judicial mechanisms</w:t>
      </w:r>
      <w:r w:rsidR="00455E7B" w:rsidRPr="000E1725">
        <w:rPr>
          <w:rStyle w:val="hgkelc"/>
          <w:color w:val="000000" w:themeColor="text1"/>
        </w:rPr>
        <w:t xml:space="preserve"> and </w:t>
      </w:r>
      <w:r w:rsidR="008D1A1D" w:rsidRPr="000E1725">
        <w:rPr>
          <w:rStyle w:val="hgkelc"/>
          <w:color w:val="000000" w:themeColor="text1"/>
        </w:rPr>
        <w:t xml:space="preserve">how accessible and efficient they </w:t>
      </w:r>
      <w:r w:rsidR="0085138F" w:rsidRPr="000E1725">
        <w:rPr>
          <w:rStyle w:val="hgkelc"/>
          <w:color w:val="000000" w:themeColor="text1"/>
        </w:rPr>
        <w:t xml:space="preserve">are </w:t>
      </w:r>
      <w:r w:rsidR="0085138F" w:rsidRPr="000E1725">
        <w:rPr>
          <w:color w:val="000000" w:themeColor="text1"/>
        </w:rPr>
        <w:t>as</w:t>
      </w:r>
      <w:r w:rsidR="00147753" w:rsidRPr="000E1725">
        <w:rPr>
          <w:color w:val="000000" w:themeColor="text1"/>
        </w:rPr>
        <w:t xml:space="preserve"> </w:t>
      </w:r>
      <w:r w:rsidR="00475694" w:rsidRPr="000E1725">
        <w:rPr>
          <w:color w:val="000000" w:themeColor="text1"/>
        </w:rPr>
        <w:t>regards</w:t>
      </w:r>
      <w:r w:rsidR="008D1A1D" w:rsidRPr="000E1725">
        <w:rPr>
          <w:color w:val="000000" w:themeColor="text1"/>
        </w:rPr>
        <w:t xml:space="preserve"> persons from </w:t>
      </w:r>
      <w:r w:rsidR="0085138F" w:rsidRPr="000E1725">
        <w:rPr>
          <w:color w:val="000000" w:themeColor="text1"/>
        </w:rPr>
        <w:t>descent-based</w:t>
      </w:r>
      <w:r w:rsidR="008D1A1D" w:rsidRPr="000E1725">
        <w:rPr>
          <w:color w:val="000000" w:themeColor="text1"/>
        </w:rPr>
        <w:t xml:space="preserve"> communitie</w:t>
      </w:r>
      <w:r w:rsidR="00DE31A4" w:rsidRPr="000E1725">
        <w:rPr>
          <w:color w:val="000000" w:themeColor="text1"/>
        </w:rPr>
        <w:t>s</w:t>
      </w:r>
      <w:r w:rsidR="00142480" w:rsidRPr="000E1725">
        <w:rPr>
          <w:color w:val="000000" w:themeColor="text1"/>
        </w:rPr>
        <w:t xml:space="preserve"> </w:t>
      </w:r>
      <w:r w:rsidR="000A2219" w:rsidRPr="000E1725">
        <w:rPr>
          <w:color w:val="000000" w:themeColor="text1"/>
        </w:rPr>
        <w:t>(good practices)</w:t>
      </w:r>
      <w:r w:rsidR="00222BA9" w:rsidRPr="000E1725">
        <w:rPr>
          <w:color w:val="000000" w:themeColor="text1"/>
        </w:rPr>
        <w:t xml:space="preserve">.  This exercise was followed by a workshop to examine </w:t>
      </w:r>
      <w:r w:rsidR="000A2219" w:rsidRPr="000E1725">
        <w:rPr>
          <w:color w:val="000000" w:themeColor="text1"/>
        </w:rPr>
        <w:t xml:space="preserve">what can be done to strengthen </w:t>
      </w:r>
      <w:r w:rsidR="00916FBA" w:rsidRPr="000E1725">
        <w:rPr>
          <w:color w:val="000000" w:themeColor="text1"/>
        </w:rPr>
        <w:t>the existing structures</w:t>
      </w:r>
      <w:r w:rsidR="008D1A1D" w:rsidRPr="000E1725">
        <w:rPr>
          <w:color w:val="000000" w:themeColor="text1"/>
        </w:rPr>
        <w:t xml:space="preserve"> and mechanisms</w:t>
      </w:r>
      <w:r w:rsidR="00916FBA" w:rsidRPr="000E1725">
        <w:rPr>
          <w:color w:val="000000" w:themeColor="text1"/>
        </w:rPr>
        <w:t xml:space="preserve"> </w:t>
      </w:r>
      <w:r w:rsidR="0035651D" w:rsidRPr="000E1725">
        <w:rPr>
          <w:color w:val="000000" w:themeColor="text1"/>
        </w:rPr>
        <w:t xml:space="preserve">at the national level </w:t>
      </w:r>
      <w:r w:rsidR="00147753" w:rsidRPr="000E1725">
        <w:rPr>
          <w:color w:val="000000" w:themeColor="text1"/>
        </w:rPr>
        <w:t xml:space="preserve">to </w:t>
      </w:r>
      <w:r w:rsidR="00916FBA" w:rsidRPr="000E1725">
        <w:rPr>
          <w:color w:val="000000" w:themeColor="text1"/>
        </w:rPr>
        <w:t>facilitat</w:t>
      </w:r>
      <w:r w:rsidR="008D1A1D" w:rsidRPr="000E1725">
        <w:rPr>
          <w:color w:val="000000" w:themeColor="text1"/>
        </w:rPr>
        <w:t>e</w:t>
      </w:r>
      <w:r w:rsidR="00916FBA" w:rsidRPr="000E1725">
        <w:rPr>
          <w:color w:val="000000" w:themeColor="text1"/>
        </w:rPr>
        <w:t xml:space="preserve"> </w:t>
      </w:r>
      <w:r w:rsidR="000A2219" w:rsidRPr="000E1725">
        <w:rPr>
          <w:color w:val="000000" w:themeColor="text1"/>
        </w:rPr>
        <w:t xml:space="preserve">access to justice pursuant to </w:t>
      </w:r>
      <w:r w:rsidR="004D49FD" w:rsidRPr="000E1725">
        <w:rPr>
          <w:color w:val="000000" w:themeColor="text1"/>
        </w:rPr>
        <w:t>these countries</w:t>
      </w:r>
      <w:r w:rsidR="00916FBA" w:rsidRPr="000E1725">
        <w:rPr>
          <w:color w:val="000000" w:themeColor="text1"/>
        </w:rPr>
        <w:t>’</w:t>
      </w:r>
      <w:r w:rsidR="004D49FD" w:rsidRPr="000E1725">
        <w:rPr>
          <w:color w:val="000000" w:themeColor="text1"/>
        </w:rPr>
        <w:t xml:space="preserve"> obligations under international human rights law</w:t>
      </w:r>
      <w:r w:rsidR="000A2219" w:rsidRPr="000E1725">
        <w:rPr>
          <w:color w:val="000000" w:themeColor="text1"/>
        </w:rPr>
        <w:t>.</w:t>
      </w:r>
      <w:r w:rsidR="004D49FD" w:rsidRPr="000E1725">
        <w:rPr>
          <w:color w:val="000000" w:themeColor="text1"/>
        </w:rPr>
        <w:t xml:space="preserve"> </w:t>
      </w:r>
      <w:bookmarkEnd w:id="8"/>
      <w:r w:rsidR="00CB6359" w:rsidRPr="000E1725">
        <w:rPr>
          <w:color w:val="000000" w:themeColor="text1"/>
        </w:rPr>
        <w:t>The country-specific research papers</w:t>
      </w:r>
      <w:r w:rsidR="00F97929" w:rsidRPr="000E1725">
        <w:rPr>
          <w:color w:val="000000" w:themeColor="text1"/>
        </w:rPr>
        <w:t xml:space="preserve"> attached</w:t>
      </w:r>
      <w:r w:rsidR="00CB6359" w:rsidRPr="000E1725">
        <w:rPr>
          <w:color w:val="000000" w:themeColor="text1"/>
        </w:rPr>
        <w:t xml:space="preserve"> offered facts and </w:t>
      </w:r>
      <w:r w:rsidR="00C755DD" w:rsidRPr="000E1725">
        <w:rPr>
          <w:color w:val="000000" w:themeColor="text1"/>
        </w:rPr>
        <w:t>case law as illustrative of</w:t>
      </w:r>
      <w:r w:rsidR="00CB6359" w:rsidRPr="000E1725">
        <w:rPr>
          <w:color w:val="000000" w:themeColor="text1"/>
        </w:rPr>
        <w:t xml:space="preserve"> </w:t>
      </w:r>
      <w:r w:rsidR="00190D5E" w:rsidRPr="000E1725">
        <w:rPr>
          <w:color w:val="000000" w:themeColor="text1"/>
        </w:rPr>
        <w:t xml:space="preserve">the injustice </w:t>
      </w:r>
      <w:r w:rsidR="00C755DD" w:rsidRPr="000E1725">
        <w:rPr>
          <w:color w:val="000000" w:themeColor="text1"/>
        </w:rPr>
        <w:t xml:space="preserve">being committed against persons from </w:t>
      </w:r>
      <w:r w:rsidR="00190D5E" w:rsidRPr="000E1725">
        <w:rPr>
          <w:color w:val="000000" w:themeColor="text1"/>
        </w:rPr>
        <w:t>descent-based</w:t>
      </w:r>
      <w:r w:rsidR="00C755DD" w:rsidRPr="000E1725">
        <w:rPr>
          <w:color w:val="000000" w:themeColor="text1"/>
        </w:rPr>
        <w:t xml:space="preserve"> communities </w:t>
      </w:r>
      <w:r w:rsidR="00133D5C" w:rsidRPr="000E1725">
        <w:rPr>
          <w:color w:val="000000" w:themeColor="text1"/>
        </w:rPr>
        <w:t>ranging from</w:t>
      </w:r>
      <w:r w:rsidR="00C755DD" w:rsidRPr="000E1725">
        <w:rPr>
          <w:color w:val="000000" w:themeColor="text1"/>
        </w:rPr>
        <w:t xml:space="preserve"> </w:t>
      </w:r>
      <w:r w:rsidR="00190D5E" w:rsidRPr="000E1725">
        <w:rPr>
          <w:color w:val="000000" w:themeColor="text1"/>
        </w:rPr>
        <w:t xml:space="preserve">the police refusing to file their report of allegations when victim of a crime; to </w:t>
      </w:r>
      <w:r w:rsidR="0067699A" w:rsidRPr="000E1725">
        <w:rPr>
          <w:color w:val="000000" w:themeColor="text1"/>
        </w:rPr>
        <w:t>their i</w:t>
      </w:r>
      <w:r w:rsidR="00C755DD" w:rsidRPr="000E1725">
        <w:rPr>
          <w:color w:val="000000" w:themeColor="text1"/>
        </w:rPr>
        <w:t xml:space="preserve">nability to </w:t>
      </w:r>
      <w:r w:rsidR="00190D5E" w:rsidRPr="000E1725">
        <w:rPr>
          <w:color w:val="000000" w:themeColor="text1"/>
        </w:rPr>
        <w:t xml:space="preserve">defend themselves when accused of </w:t>
      </w:r>
      <w:r w:rsidR="00810284" w:rsidRPr="000E1725">
        <w:rPr>
          <w:color w:val="000000" w:themeColor="text1"/>
        </w:rPr>
        <w:t>a crime</w:t>
      </w:r>
      <w:r w:rsidR="00190D5E" w:rsidRPr="000E1725">
        <w:rPr>
          <w:color w:val="000000" w:themeColor="text1"/>
        </w:rPr>
        <w:t xml:space="preserve"> due </w:t>
      </w:r>
      <w:r w:rsidR="0085138F" w:rsidRPr="000E1725">
        <w:rPr>
          <w:color w:val="000000" w:themeColor="text1"/>
        </w:rPr>
        <w:t xml:space="preserve">to </w:t>
      </w:r>
      <w:r w:rsidR="00C755DD" w:rsidRPr="000E1725">
        <w:rPr>
          <w:color w:val="000000" w:themeColor="text1"/>
        </w:rPr>
        <w:t xml:space="preserve">lack </w:t>
      </w:r>
      <w:r w:rsidR="00190D5E" w:rsidRPr="000E1725">
        <w:rPr>
          <w:color w:val="000000" w:themeColor="text1"/>
        </w:rPr>
        <w:t xml:space="preserve">of </w:t>
      </w:r>
      <w:r w:rsidR="00C755DD" w:rsidRPr="000E1725">
        <w:rPr>
          <w:color w:val="000000" w:themeColor="text1"/>
        </w:rPr>
        <w:t xml:space="preserve">effective representation </w:t>
      </w:r>
      <w:r w:rsidR="00190D5E" w:rsidRPr="000E1725">
        <w:rPr>
          <w:color w:val="000000" w:themeColor="text1"/>
        </w:rPr>
        <w:t xml:space="preserve">or representation </w:t>
      </w:r>
      <w:r w:rsidR="00C755DD" w:rsidRPr="000E1725">
        <w:rPr>
          <w:color w:val="000000" w:themeColor="text1"/>
        </w:rPr>
        <w:t xml:space="preserve">before </w:t>
      </w:r>
      <w:r w:rsidR="001404C9" w:rsidRPr="000E1725">
        <w:rPr>
          <w:color w:val="000000" w:themeColor="text1"/>
        </w:rPr>
        <w:t xml:space="preserve">a </w:t>
      </w:r>
      <w:r w:rsidR="00C755DD" w:rsidRPr="000E1725">
        <w:rPr>
          <w:color w:val="000000" w:themeColor="text1"/>
        </w:rPr>
        <w:t>court of law</w:t>
      </w:r>
      <w:r w:rsidR="0085138F" w:rsidRPr="000E1725">
        <w:rPr>
          <w:color w:val="000000" w:themeColor="text1"/>
        </w:rPr>
        <w:t>.</w:t>
      </w:r>
    </w:p>
    <w:p w14:paraId="4304EF62" w14:textId="77777777" w:rsidR="000E1725" w:rsidRPr="000E1725" w:rsidRDefault="000E1725" w:rsidP="000E1725">
      <w:pPr>
        <w:jc w:val="both"/>
        <w:rPr>
          <w:color w:val="000000" w:themeColor="text1"/>
        </w:rPr>
      </w:pPr>
    </w:p>
    <w:p w14:paraId="331B07B3" w14:textId="720EF61F" w:rsidR="00A06AF0" w:rsidRPr="000E1725" w:rsidRDefault="00475694" w:rsidP="000E1725">
      <w:pPr>
        <w:jc w:val="both"/>
        <w:rPr>
          <w:color w:val="000000" w:themeColor="text1"/>
        </w:rPr>
      </w:pPr>
      <w:r w:rsidRPr="000E1725">
        <w:rPr>
          <w:color w:val="000000" w:themeColor="text1"/>
        </w:rPr>
        <w:t xml:space="preserve">The workshop focused on the specific contexts of </w:t>
      </w:r>
      <w:r w:rsidR="00222BA9" w:rsidRPr="000E1725">
        <w:rPr>
          <w:color w:val="000000" w:themeColor="text1"/>
        </w:rPr>
        <w:t xml:space="preserve">each of the </w:t>
      </w:r>
      <w:r w:rsidR="00D952BE" w:rsidRPr="000E1725">
        <w:rPr>
          <w:color w:val="000000" w:themeColor="text1"/>
        </w:rPr>
        <w:t>five</w:t>
      </w:r>
      <w:r w:rsidR="00222BA9" w:rsidRPr="000E1725">
        <w:rPr>
          <w:color w:val="000000" w:themeColor="text1"/>
        </w:rPr>
        <w:t xml:space="preserve"> </w:t>
      </w:r>
      <w:r w:rsidR="00810284" w:rsidRPr="000E1725">
        <w:rPr>
          <w:color w:val="000000" w:themeColor="text1"/>
        </w:rPr>
        <w:t>countries with research</w:t>
      </w:r>
      <w:r w:rsidRPr="000E1725">
        <w:rPr>
          <w:color w:val="000000" w:themeColor="text1"/>
        </w:rPr>
        <w:t xml:space="preserve"> papers </w:t>
      </w:r>
      <w:r w:rsidR="00A06AF0" w:rsidRPr="000E1725">
        <w:rPr>
          <w:color w:val="000000" w:themeColor="text1"/>
        </w:rPr>
        <w:t xml:space="preserve">(attached) </w:t>
      </w:r>
      <w:r w:rsidRPr="000E1725">
        <w:rPr>
          <w:color w:val="000000" w:themeColor="text1"/>
        </w:rPr>
        <w:t>providing a summary view of the</w:t>
      </w:r>
      <w:r w:rsidR="00222BA9" w:rsidRPr="000E1725">
        <w:rPr>
          <w:color w:val="000000" w:themeColor="text1"/>
        </w:rPr>
        <w:t>ir</w:t>
      </w:r>
      <w:r w:rsidRPr="000E1725">
        <w:rPr>
          <w:color w:val="000000" w:themeColor="text1"/>
        </w:rPr>
        <w:t xml:space="preserve"> </w:t>
      </w:r>
      <w:r w:rsidR="00190D5E" w:rsidRPr="000E1725">
        <w:rPr>
          <w:color w:val="000000" w:themeColor="text1"/>
        </w:rPr>
        <w:t xml:space="preserve">political, </w:t>
      </w:r>
      <w:r w:rsidR="00F97929" w:rsidRPr="000E1725">
        <w:rPr>
          <w:color w:val="000000" w:themeColor="text1"/>
        </w:rPr>
        <w:t>legal,</w:t>
      </w:r>
      <w:r w:rsidRPr="000E1725">
        <w:rPr>
          <w:color w:val="000000" w:themeColor="text1"/>
        </w:rPr>
        <w:t xml:space="preserve"> </w:t>
      </w:r>
      <w:r w:rsidR="00256485" w:rsidRPr="000E1725">
        <w:rPr>
          <w:color w:val="000000" w:themeColor="text1"/>
        </w:rPr>
        <w:t>and judicial</w:t>
      </w:r>
      <w:r w:rsidRPr="000E1725">
        <w:rPr>
          <w:color w:val="000000" w:themeColor="text1"/>
        </w:rPr>
        <w:t xml:space="preserve"> landscapes</w:t>
      </w:r>
      <w:r w:rsidR="00222BA9" w:rsidRPr="000E1725">
        <w:rPr>
          <w:color w:val="000000" w:themeColor="text1"/>
        </w:rPr>
        <w:t xml:space="preserve">. </w:t>
      </w:r>
      <w:r w:rsidRPr="000E1725">
        <w:rPr>
          <w:color w:val="000000" w:themeColor="text1"/>
        </w:rPr>
        <w:t xml:space="preserve"> </w:t>
      </w:r>
      <w:r w:rsidR="00F97929" w:rsidRPr="000E1725">
        <w:rPr>
          <w:color w:val="000000" w:themeColor="text1"/>
        </w:rPr>
        <w:t>H</w:t>
      </w:r>
      <w:r w:rsidRPr="000E1725">
        <w:rPr>
          <w:color w:val="000000" w:themeColor="text1"/>
        </w:rPr>
        <w:t xml:space="preserve">eld in Bangkok and </w:t>
      </w:r>
      <w:r w:rsidR="00147753" w:rsidRPr="000E1725">
        <w:rPr>
          <w:color w:val="000000" w:themeColor="text1"/>
        </w:rPr>
        <w:t xml:space="preserve">titled “Mapping out Access to Justice for Persons from Descent-Based </w:t>
      </w:r>
      <w:r w:rsidR="00F97929" w:rsidRPr="000E1725">
        <w:rPr>
          <w:color w:val="000000" w:themeColor="text1"/>
        </w:rPr>
        <w:t>Communities”</w:t>
      </w:r>
      <w:r w:rsidR="00480EBF" w:rsidRPr="000E1725">
        <w:rPr>
          <w:color w:val="000000" w:themeColor="text1"/>
        </w:rPr>
        <w:t>,</w:t>
      </w:r>
      <w:r w:rsidR="00F97929" w:rsidRPr="000E1725">
        <w:rPr>
          <w:color w:val="000000" w:themeColor="text1"/>
        </w:rPr>
        <w:t xml:space="preserve"> the workshop </w:t>
      </w:r>
      <w:r w:rsidR="00222BA9" w:rsidRPr="000E1725">
        <w:rPr>
          <w:color w:val="000000" w:themeColor="text1"/>
        </w:rPr>
        <w:t>brought together</w:t>
      </w:r>
      <w:r w:rsidR="00646F00" w:rsidRPr="000E1725">
        <w:rPr>
          <w:color w:val="000000" w:themeColor="text1"/>
        </w:rPr>
        <w:t xml:space="preserve"> </w:t>
      </w:r>
      <w:r w:rsidR="00147753" w:rsidRPr="000E1725">
        <w:rPr>
          <w:color w:val="000000" w:themeColor="text1"/>
        </w:rPr>
        <w:t>legal experts</w:t>
      </w:r>
      <w:r w:rsidR="00646F00" w:rsidRPr="000E1725">
        <w:rPr>
          <w:color w:val="000000" w:themeColor="text1"/>
        </w:rPr>
        <w:t xml:space="preserve">, human </w:t>
      </w:r>
      <w:r w:rsidR="003B3708" w:rsidRPr="000E1725">
        <w:rPr>
          <w:color w:val="000000" w:themeColor="text1"/>
        </w:rPr>
        <w:t xml:space="preserve">rights </w:t>
      </w:r>
      <w:r w:rsidR="00F97929" w:rsidRPr="000E1725">
        <w:rPr>
          <w:color w:val="000000" w:themeColor="text1"/>
        </w:rPr>
        <w:t>defenders,</w:t>
      </w:r>
      <w:r w:rsidR="00646F00" w:rsidRPr="000E1725">
        <w:rPr>
          <w:color w:val="000000" w:themeColor="text1"/>
        </w:rPr>
        <w:t xml:space="preserve"> and youth advocates to discuss</w:t>
      </w:r>
      <w:r w:rsidR="00810284" w:rsidRPr="000E1725">
        <w:rPr>
          <w:color w:val="000000" w:themeColor="text1"/>
        </w:rPr>
        <w:t>:</w:t>
      </w:r>
      <w:r w:rsidR="00646F00" w:rsidRPr="000E1725">
        <w:rPr>
          <w:color w:val="000000" w:themeColor="text1"/>
        </w:rPr>
        <w:t xml:space="preserve"> the </w:t>
      </w:r>
      <w:r w:rsidR="003B3708" w:rsidRPr="000E1725">
        <w:rPr>
          <w:color w:val="000000" w:themeColor="text1"/>
        </w:rPr>
        <w:t>challenges hampering access to justice by Dalits</w:t>
      </w:r>
      <w:r w:rsidR="00810284" w:rsidRPr="000E1725">
        <w:rPr>
          <w:color w:val="000000" w:themeColor="text1"/>
        </w:rPr>
        <w:t>;</w:t>
      </w:r>
      <w:r w:rsidR="003B3708" w:rsidRPr="000E1725">
        <w:rPr>
          <w:color w:val="000000" w:themeColor="text1"/>
        </w:rPr>
        <w:t xml:space="preserve"> formulate strategies for </w:t>
      </w:r>
      <w:r w:rsidR="00222BA9" w:rsidRPr="000E1725">
        <w:rPr>
          <w:color w:val="000000" w:themeColor="text1"/>
        </w:rPr>
        <w:t>improving their</w:t>
      </w:r>
      <w:r w:rsidR="003B3708" w:rsidRPr="000E1725">
        <w:rPr>
          <w:color w:val="000000" w:themeColor="text1"/>
        </w:rPr>
        <w:t xml:space="preserve"> access</w:t>
      </w:r>
      <w:r w:rsidR="00810284" w:rsidRPr="000E1725">
        <w:rPr>
          <w:color w:val="000000" w:themeColor="text1"/>
        </w:rPr>
        <w:t xml:space="preserve">; </w:t>
      </w:r>
      <w:r w:rsidR="003B3708" w:rsidRPr="000E1725">
        <w:rPr>
          <w:color w:val="000000" w:themeColor="text1"/>
        </w:rPr>
        <w:t>examine good practices in this respect</w:t>
      </w:r>
      <w:r w:rsidR="00222BA9" w:rsidRPr="000E1725">
        <w:rPr>
          <w:color w:val="000000" w:themeColor="text1"/>
        </w:rPr>
        <w:t xml:space="preserve"> and the </w:t>
      </w:r>
      <w:r w:rsidR="00F97929" w:rsidRPr="000E1725">
        <w:rPr>
          <w:color w:val="000000" w:themeColor="text1"/>
        </w:rPr>
        <w:t xml:space="preserve">project as to the </w:t>
      </w:r>
      <w:r w:rsidR="00222BA9" w:rsidRPr="000E1725">
        <w:rPr>
          <w:color w:val="000000" w:themeColor="text1"/>
        </w:rPr>
        <w:t>way forward</w:t>
      </w:r>
      <w:r w:rsidR="003B3708" w:rsidRPr="000E1725">
        <w:rPr>
          <w:color w:val="000000" w:themeColor="text1"/>
        </w:rPr>
        <w:t xml:space="preserve">. </w:t>
      </w:r>
      <w:r w:rsidR="00A06AF0" w:rsidRPr="000E1725">
        <w:rPr>
          <w:color w:val="000000" w:themeColor="text1"/>
        </w:rPr>
        <w:t xml:space="preserve">  The workshop benefitted extensively from the active participation of the eight experts and particularly from </w:t>
      </w:r>
      <w:r w:rsidR="000E1725" w:rsidRPr="000E1725">
        <w:rPr>
          <w:rStyle w:val="Strong"/>
          <w:b w:val="0"/>
          <w:bCs w:val="0"/>
          <w:color w:val="000000" w:themeColor="text1"/>
          <w:spacing w:val="4"/>
        </w:rPr>
        <w:t>engagement of the</w:t>
      </w:r>
      <w:r w:rsidR="000E1725" w:rsidRPr="000E1725">
        <w:rPr>
          <w:rStyle w:val="Strong"/>
          <w:color w:val="000000" w:themeColor="text1"/>
          <w:spacing w:val="4"/>
        </w:rPr>
        <w:t xml:space="preserve"> </w:t>
      </w:r>
      <w:r w:rsidR="00A06AF0" w:rsidRPr="000E1725">
        <w:rPr>
          <w:color w:val="000000" w:themeColor="text1"/>
          <w:spacing w:val="4"/>
        </w:rPr>
        <w:t xml:space="preserve">Special Rapporteur on contemporary forms of racism </w:t>
      </w:r>
      <w:r w:rsidR="000E1725" w:rsidRPr="000E1725">
        <w:rPr>
          <w:color w:val="000000" w:themeColor="text1"/>
          <w:spacing w:val="4"/>
        </w:rPr>
        <w:t xml:space="preserve">Ms. </w:t>
      </w:r>
      <w:r w:rsidR="00A06AF0" w:rsidRPr="000E1725">
        <w:rPr>
          <w:rStyle w:val="Strong"/>
          <w:b w:val="0"/>
          <w:bCs w:val="0"/>
          <w:color w:val="000000" w:themeColor="text1"/>
          <w:spacing w:val="4"/>
        </w:rPr>
        <w:t>Ashwini K.P.</w:t>
      </w:r>
      <w:r w:rsidR="00A06AF0" w:rsidRPr="000E1725">
        <w:rPr>
          <w:color w:val="000000" w:themeColor="text1"/>
          <w:spacing w:val="4"/>
        </w:rPr>
        <w:t> </w:t>
      </w:r>
    </w:p>
    <w:p w14:paraId="4EE54F78" w14:textId="2F033EB0" w:rsidR="00307871" w:rsidRPr="000E1725" w:rsidRDefault="00307871" w:rsidP="00676567">
      <w:pPr>
        <w:jc w:val="both"/>
        <w:rPr>
          <w:color w:val="000000" w:themeColor="text1"/>
        </w:rPr>
      </w:pPr>
    </w:p>
    <w:p w14:paraId="1FCB6E6B" w14:textId="4D2B5205" w:rsidR="00637373" w:rsidRPr="000E1725" w:rsidRDefault="00646F00" w:rsidP="00637373">
      <w:pPr>
        <w:jc w:val="both"/>
        <w:rPr>
          <w:rFonts w:eastAsiaTheme="minorHAnsi"/>
          <w:color w:val="000000" w:themeColor="text1"/>
          <w:lang w:bidi="ar-SA"/>
        </w:rPr>
      </w:pPr>
      <w:r w:rsidRPr="000E1725">
        <w:rPr>
          <w:rFonts w:eastAsiaTheme="minorHAnsi"/>
          <w:color w:val="000000" w:themeColor="text1"/>
          <w:kern w:val="2"/>
          <w:lang w:bidi="ar-SA"/>
          <w14:ligatures w14:val="standardContextual"/>
        </w:rPr>
        <w:t xml:space="preserve">The format </w:t>
      </w:r>
      <w:r w:rsidR="00F97929" w:rsidRPr="000E1725">
        <w:rPr>
          <w:rFonts w:eastAsiaTheme="minorHAnsi"/>
          <w:color w:val="000000" w:themeColor="text1"/>
          <w:kern w:val="2"/>
          <w:lang w:bidi="ar-SA"/>
          <w14:ligatures w14:val="standardContextual"/>
        </w:rPr>
        <w:t xml:space="preserve">of the workshop </w:t>
      </w:r>
      <w:r w:rsidRPr="000E1725">
        <w:rPr>
          <w:rFonts w:eastAsiaTheme="minorHAnsi"/>
          <w:color w:val="000000" w:themeColor="text1"/>
          <w:kern w:val="2"/>
          <w:lang w:bidi="ar-SA"/>
          <w14:ligatures w14:val="standardContextual"/>
        </w:rPr>
        <w:t>provided for every session to be kicked off by the presentation of a country report followed by analysis and sharing of good practices by the experts.  The commentaries of the experts served to launch a broader conversation involving all participants and focused on the situation on the ground.  The pairing of younger researchers with more experienced specialists worked well and provided for an intergenerational cross-learning opportunity</w:t>
      </w:r>
      <w:r w:rsidR="00F97929" w:rsidRPr="000E1725">
        <w:rPr>
          <w:rFonts w:eastAsiaTheme="minorHAnsi"/>
          <w:color w:val="000000" w:themeColor="text1"/>
          <w:kern w:val="2"/>
          <w:lang w:bidi="ar-SA"/>
          <w14:ligatures w14:val="standardContextual"/>
        </w:rPr>
        <w:t xml:space="preserve"> and </w:t>
      </w:r>
      <w:r w:rsidR="00526D85" w:rsidRPr="000E1725">
        <w:rPr>
          <w:color w:val="000000" w:themeColor="text1"/>
        </w:rPr>
        <w:t>demonstrated the need for urgent action to improve access by Dalits to justice</w:t>
      </w:r>
      <w:bookmarkEnd w:id="9"/>
      <w:r w:rsidR="00695B94" w:rsidRPr="000E1725">
        <w:rPr>
          <w:color w:val="000000" w:themeColor="text1"/>
        </w:rPr>
        <w:t xml:space="preserve"> (see Agenda attached</w:t>
      </w:r>
      <w:r w:rsidR="00D46A45">
        <w:rPr>
          <w:color w:val="000000" w:themeColor="text1"/>
        </w:rPr>
        <w:t>)</w:t>
      </w:r>
      <w:r w:rsidR="00695B94" w:rsidRPr="000E1725">
        <w:rPr>
          <w:color w:val="000000" w:themeColor="text1"/>
        </w:rPr>
        <w:t>.</w:t>
      </w:r>
      <w:r w:rsidR="00E53F37" w:rsidRPr="000E1725">
        <w:rPr>
          <w:color w:val="000000" w:themeColor="text1"/>
        </w:rPr>
        <w:t xml:space="preserve"> </w:t>
      </w:r>
      <w:r w:rsidR="00676567" w:rsidRPr="000E1725">
        <w:rPr>
          <w:rFonts w:eastAsiaTheme="minorHAnsi"/>
          <w:color w:val="000000" w:themeColor="text1"/>
          <w:lang w:bidi="ar-SA"/>
        </w:rPr>
        <w:t>T</w:t>
      </w:r>
      <w:r w:rsidR="00F97929" w:rsidRPr="000E1725">
        <w:rPr>
          <w:rFonts w:eastAsiaTheme="minorHAnsi"/>
          <w:color w:val="000000" w:themeColor="text1"/>
          <w:lang w:bidi="ar-SA"/>
        </w:rPr>
        <w:t xml:space="preserve">he </w:t>
      </w:r>
      <w:r w:rsidR="004E29AE" w:rsidRPr="000E1725">
        <w:rPr>
          <w:rFonts w:eastAsiaTheme="minorHAnsi"/>
          <w:color w:val="000000" w:themeColor="text1"/>
          <w:lang w:bidi="ar-SA"/>
        </w:rPr>
        <w:t xml:space="preserve">nuanced </w:t>
      </w:r>
      <w:r w:rsidR="009F27D0" w:rsidRPr="000E1725">
        <w:rPr>
          <w:rFonts w:eastAsiaTheme="minorHAnsi"/>
          <w:color w:val="000000" w:themeColor="text1"/>
          <w:lang w:bidi="ar-SA"/>
        </w:rPr>
        <w:t xml:space="preserve">discussions </w:t>
      </w:r>
      <w:r w:rsidR="004E29AE" w:rsidRPr="000E1725">
        <w:rPr>
          <w:rFonts w:eastAsiaTheme="minorHAnsi"/>
          <w:color w:val="000000" w:themeColor="text1"/>
          <w:lang w:bidi="ar-SA"/>
        </w:rPr>
        <w:t xml:space="preserve">have </w:t>
      </w:r>
      <w:r w:rsidR="009F27D0" w:rsidRPr="000E1725">
        <w:rPr>
          <w:rFonts w:eastAsiaTheme="minorHAnsi"/>
          <w:color w:val="000000" w:themeColor="text1"/>
          <w:lang w:bidi="ar-SA"/>
        </w:rPr>
        <w:t>enriched our understanding of the critical issues affecting access to justice by persons from descent-based communities.</w:t>
      </w:r>
      <w:r w:rsidR="00480EBF" w:rsidRPr="000E1725">
        <w:rPr>
          <w:rFonts w:eastAsiaTheme="minorHAnsi"/>
          <w:color w:val="000000" w:themeColor="text1"/>
          <w:lang w:bidi="ar-SA"/>
        </w:rPr>
        <w:t xml:space="preserve"> </w:t>
      </w:r>
      <w:r w:rsidR="004E29AE" w:rsidRPr="000E1725">
        <w:rPr>
          <w:rFonts w:eastAsiaTheme="minorHAnsi"/>
          <w:color w:val="000000" w:themeColor="text1"/>
          <w:lang w:bidi="ar-SA"/>
        </w:rPr>
        <w:t>S</w:t>
      </w:r>
      <w:r w:rsidR="009F27D0" w:rsidRPr="000E1725">
        <w:rPr>
          <w:rFonts w:eastAsiaTheme="minorHAnsi"/>
          <w:color w:val="000000" w:themeColor="text1"/>
          <w:lang w:bidi="ar-SA"/>
        </w:rPr>
        <w:t xml:space="preserve">ome of the key observations and takeaways from </w:t>
      </w:r>
      <w:r w:rsidR="00D952BE" w:rsidRPr="000E1725">
        <w:rPr>
          <w:rFonts w:eastAsiaTheme="minorHAnsi"/>
          <w:color w:val="000000" w:themeColor="text1"/>
          <w:lang w:bidi="ar-SA"/>
        </w:rPr>
        <w:t>the</w:t>
      </w:r>
      <w:r w:rsidR="009F27D0" w:rsidRPr="000E1725">
        <w:rPr>
          <w:rFonts w:eastAsiaTheme="minorHAnsi"/>
          <w:color w:val="000000" w:themeColor="text1"/>
          <w:lang w:bidi="ar-SA"/>
        </w:rPr>
        <w:t xml:space="preserve"> discussions</w:t>
      </w:r>
      <w:r w:rsidR="004E29AE" w:rsidRPr="000E1725">
        <w:rPr>
          <w:rFonts w:eastAsiaTheme="minorHAnsi"/>
          <w:color w:val="000000" w:themeColor="text1"/>
          <w:lang w:bidi="ar-SA"/>
        </w:rPr>
        <w:t xml:space="preserve"> </w:t>
      </w:r>
      <w:r w:rsidR="001404C9" w:rsidRPr="000E1725">
        <w:rPr>
          <w:rFonts w:eastAsiaTheme="minorHAnsi"/>
          <w:color w:val="000000" w:themeColor="text1"/>
          <w:lang w:bidi="ar-SA"/>
        </w:rPr>
        <w:t>include</w:t>
      </w:r>
      <w:r w:rsidR="004E29AE" w:rsidRPr="000E1725">
        <w:rPr>
          <w:rFonts w:eastAsiaTheme="minorHAnsi"/>
          <w:color w:val="000000" w:themeColor="text1"/>
          <w:lang w:bidi="ar-SA"/>
        </w:rPr>
        <w:t xml:space="preserve"> the following</w:t>
      </w:r>
      <w:r w:rsidR="009F27D0" w:rsidRPr="000E1725">
        <w:rPr>
          <w:rFonts w:eastAsiaTheme="minorHAnsi"/>
          <w:color w:val="000000" w:themeColor="text1"/>
          <w:lang w:bidi="ar-SA"/>
        </w:rPr>
        <w:t>:</w:t>
      </w:r>
    </w:p>
    <w:p w14:paraId="723C482C" w14:textId="77777777" w:rsidR="00637373" w:rsidRPr="000E1725" w:rsidRDefault="00637373" w:rsidP="00637373">
      <w:pPr>
        <w:jc w:val="both"/>
        <w:rPr>
          <w:rFonts w:eastAsiaTheme="minorHAnsi"/>
          <w:color w:val="000000" w:themeColor="text1"/>
          <w:lang w:bidi="ar-SA"/>
        </w:rPr>
      </w:pPr>
    </w:p>
    <w:p w14:paraId="3883EB97" w14:textId="3F64EC24" w:rsidR="00637373" w:rsidRPr="000E1725" w:rsidRDefault="00637373" w:rsidP="00816066">
      <w:pPr>
        <w:pStyle w:val="ListParagraph"/>
        <w:numPr>
          <w:ilvl w:val="0"/>
          <w:numId w:val="26"/>
        </w:numPr>
        <w:jc w:val="both"/>
        <w:rPr>
          <w:rFonts w:eastAsiaTheme="minorHAnsi"/>
          <w:b/>
          <w:bCs/>
          <w:color w:val="000000" w:themeColor="text1"/>
          <w:lang w:bidi="ar-SA"/>
        </w:rPr>
      </w:pPr>
      <w:r w:rsidRPr="000E1725">
        <w:rPr>
          <w:rFonts w:eastAsiaTheme="minorHAnsi"/>
          <w:b/>
          <w:bCs/>
          <w:color w:val="000000" w:themeColor="text1"/>
          <w:lang w:bidi="ar-SA"/>
        </w:rPr>
        <w:t xml:space="preserve">Access to justice and </w:t>
      </w:r>
      <w:r w:rsidRPr="000E1725">
        <w:rPr>
          <w:b/>
          <w:bCs/>
        </w:rPr>
        <w:t xml:space="preserve">national accountability processes in the </w:t>
      </w:r>
      <w:r w:rsidR="00D952BE" w:rsidRPr="000E1725">
        <w:rPr>
          <w:b/>
          <w:bCs/>
        </w:rPr>
        <w:t>five</w:t>
      </w:r>
      <w:r w:rsidRPr="000E1725">
        <w:rPr>
          <w:b/>
          <w:bCs/>
        </w:rPr>
        <w:t xml:space="preserve"> countries</w:t>
      </w:r>
    </w:p>
    <w:p w14:paraId="06FB86FB" w14:textId="77777777" w:rsidR="004E29AE" w:rsidRPr="000E1725" w:rsidRDefault="004E29AE" w:rsidP="009F27D0">
      <w:pPr>
        <w:jc w:val="both"/>
        <w:rPr>
          <w:rFonts w:eastAsiaTheme="minorHAnsi"/>
          <w:b/>
          <w:bCs/>
          <w:color w:val="000000" w:themeColor="text1"/>
          <w:u w:val="single"/>
          <w:lang w:bidi="ar-SA"/>
        </w:rPr>
      </w:pPr>
    </w:p>
    <w:p w14:paraId="56323F1B" w14:textId="7599A0CA" w:rsidR="009F27D0" w:rsidRPr="000E1725" w:rsidRDefault="009F27D0" w:rsidP="00EC2FF8">
      <w:pPr>
        <w:ind w:firstLine="720"/>
        <w:jc w:val="both"/>
        <w:rPr>
          <w:rFonts w:eastAsiaTheme="minorHAnsi"/>
          <w:b/>
          <w:bCs/>
          <w:color w:val="000000" w:themeColor="text1"/>
          <w:lang w:bidi="ar-SA"/>
        </w:rPr>
      </w:pPr>
      <w:r w:rsidRPr="000E1725">
        <w:rPr>
          <w:rFonts w:eastAsiaTheme="minorHAnsi"/>
          <w:b/>
          <w:bCs/>
          <w:color w:val="000000" w:themeColor="text1"/>
          <w:lang w:bidi="ar-SA"/>
        </w:rPr>
        <w:t xml:space="preserve">Legislative </w:t>
      </w:r>
      <w:r w:rsidR="001404C9" w:rsidRPr="000E1725">
        <w:rPr>
          <w:rFonts w:eastAsiaTheme="minorHAnsi"/>
          <w:b/>
          <w:bCs/>
          <w:color w:val="000000" w:themeColor="text1"/>
          <w:lang w:bidi="ar-SA"/>
        </w:rPr>
        <w:t>F</w:t>
      </w:r>
      <w:r w:rsidRPr="000E1725">
        <w:rPr>
          <w:rFonts w:eastAsiaTheme="minorHAnsi"/>
          <w:b/>
          <w:bCs/>
          <w:color w:val="000000" w:themeColor="text1"/>
          <w:lang w:bidi="ar-SA"/>
        </w:rPr>
        <w:t>rameworks</w:t>
      </w:r>
    </w:p>
    <w:p w14:paraId="28767F8C" w14:textId="5DF23929" w:rsidR="00AB483F" w:rsidRPr="000E1725" w:rsidRDefault="009F27D0" w:rsidP="001404C9">
      <w:pPr>
        <w:numPr>
          <w:ilvl w:val="0"/>
          <w:numId w:val="20"/>
        </w:numPr>
        <w:contextualSpacing/>
        <w:jc w:val="both"/>
        <w:rPr>
          <w:color w:val="000000" w:themeColor="text1"/>
          <w:lang w:bidi="ar-SA"/>
        </w:rPr>
      </w:pPr>
      <w:r w:rsidRPr="000E1725">
        <w:rPr>
          <w:color w:val="000000" w:themeColor="text1"/>
          <w:lang w:bidi="ar-SA"/>
        </w:rPr>
        <w:t>India and Nepal have dedicated legislation to safeguard</w:t>
      </w:r>
      <w:r w:rsidR="00695B94" w:rsidRPr="000E1725">
        <w:rPr>
          <w:color w:val="000000" w:themeColor="text1"/>
          <w:lang w:bidi="ar-SA"/>
        </w:rPr>
        <w:t>ing</w:t>
      </w:r>
      <w:r w:rsidRPr="000E1725">
        <w:rPr>
          <w:color w:val="000000" w:themeColor="text1"/>
          <w:lang w:bidi="ar-SA"/>
        </w:rPr>
        <w:t xml:space="preserve"> the rights of persons from descent-based communities, </w:t>
      </w:r>
      <w:r w:rsidR="001404C9" w:rsidRPr="000E1725">
        <w:rPr>
          <w:color w:val="000000" w:themeColor="text1"/>
          <w:lang w:bidi="ar-SA"/>
        </w:rPr>
        <w:t xml:space="preserve">while </w:t>
      </w:r>
      <w:r w:rsidRPr="000E1725">
        <w:rPr>
          <w:color w:val="000000" w:themeColor="text1"/>
          <w:lang w:bidi="ar-SA"/>
        </w:rPr>
        <w:t xml:space="preserve">reflecting a robust commitment to their </w:t>
      </w:r>
      <w:r w:rsidR="001F2D31" w:rsidRPr="000E1725">
        <w:rPr>
          <w:color w:val="000000" w:themeColor="text1"/>
          <w:lang w:bidi="ar-SA"/>
        </w:rPr>
        <w:t>protection as</w:t>
      </w:r>
      <w:r w:rsidR="00E53F37" w:rsidRPr="000E1725">
        <w:rPr>
          <w:color w:val="000000" w:themeColor="text1"/>
          <w:lang w:bidi="ar-SA"/>
        </w:rPr>
        <w:t xml:space="preserve"> provided for under </w:t>
      </w:r>
      <w:r w:rsidR="001F2D31" w:rsidRPr="000E1725">
        <w:rPr>
          <w:color w:val="000000" w:themeColor="text1"/>
          <w:lang w:bidi="ar-SA"/>
        </w:rPr>
        <w:t>their respective</w:t>
      </w:r>
      <w:r w:rsidR="00E53F37" w:rsidRPr="000E1725">
        <w:rPr>
          <w:color w:val="000000" w:themeColor="text1"/>
          <w:lang w:bidi="ar-SA"/>
        </w:rPr>
        <w:t xml:space="preserve"> </w:t>
      </w:r>
      <w:r w:rsidRPr="000E1725">
        <w:rPr>
          <w:color w:val="000000" w:themeColor="text1"/>
          <w:lang w:bidi="ar-SA"/>
        </w:rPr>
        <w:t>national constitutions.</w:t>
      </w:r>
      <w:r w:rsidR="001F2D31" w:rsidRPr="000E1725">
        <w:rPr>
          <w:color w:val="000000" w:themeColor="text1"/>
        </w:rPr>
        <w:t xml:space="preserve"> </w:t>
      </w:r>
      <w:r w:rsidR="001404C9" w:rsidRPr="000E1725">
        <w:rPr>
          <w:color w:val="000000" w:themeColor="text1"/>
        </w:rPr>
        <w:t xml:space="preserve">This commitment remains restricted to the word considering the absence of processes or </w:t>
      </w:r>
      <w:r w:rsidR="00D952BE" w:rsidRPr="000E1725">
        <w:rPr>
          <w:color w:val="000000" w:themeColor="text1"/>
        </w:rPr>
        <w:t>accountability</w:t>
      </w:r>
      <w:r w:rsidR="00AB483F" w:rsidRPr="000E1725">
        <w:rPr>
          <w:color w:val="000000" w:themeColor="text1"/>
        </w:rPr>
        <w:t xml:space="preserve"> mechanisms to monitor implementation of the relevant legislatio</w:t>
      </w:r>
      <w:r w:rsidR="001404C9" w:rsidRPr="000E1725">
        <w:rPr>
          <w:color w:val="000000" w:themeColor="text1"/>
        </w:rPr>
        <w:t>ns</w:t>
      </w:r>
      <w:r w:rsidR="00AB483F" w:rsidRPr="000E1725">
        <w:rPr>
          <w:color w:val="000000" w:themeColor="text1"/>
        </w:rPr>
        <w:t xml:space="preserve"> that could benefit Dalits</w:t>
      </w:r>
      <w:r w:rsidR="001404C9" w:rsidRPr="000E1725">
        <w:rPr>
          <w:color w:val="000000" w:themeColor="text1"/>
        </w:rPr>
        <w:t>’</w:t>
      </w:r>
      <w:r w:rsidR="00AB483F" w:rsidRPr="000E1725">
        <w:rPr>
          <w:color w:val="000000" w:themeColor="text1"/>
        </w:rPr>
        <w:t xml:space="preserve"> human rights protection</w:t>
      </w:r>
      <w:r w:rsidR="001404C9" w:rsidRPr="000E1725">
        <w:rPr>
          <w:color w:val="000000" w:themeColor="text1"/>
        </w:rPr>
        <w:t xml:space="preserve">.  When they exist, they </w:t>
      </w:r>
      <w:r w:rsidR="00AB483F" w:rsidRPr="000E1725">
        <w:rPr>
          <w:color w:val="000000" w:themeColor="text1"/>
        </w:rPr>
        <w:t>are ineffective and little information is publicly available about their functioning,</w:t>
      </w:r>
    </w:p>
    <w:p w14:paraId="3D0EAE02" w14:textId="6E53DC65" w:rsidR="009F27D0" w:rsidRPr="000E1725" w:rsidRDefault="009F27D0" w:rsidP="009F27D0">
      <w:pPr>
        <w:numPr>
          <w:ilvl w:val="0"/>
          <w:numId w:val="20"/>
        </w:numPr>
        <w:contextualSpacing/>
        <w:jc w:val="both"/>
        <w:rPr>
          <w:color w:val="000000" w:themeColor="text1"/>
          <w:lang w:bidi="ar-SA"/>
        </w:rPr>
      </w:pPr>
      <w:r w:rsidRPr="000E1725">
        <w:rPr>
          <w:color w:val="000000" w:themeColor="text1"/>
          <w:lang w:bidi="ar-SA"/>
        </w:rPr>
        <w:t xml:space="preserve">In contrast, Bangladesh, </w:t>
      </w:r>
      <w:r w:rsidR="00F97929" w:rsidRPr="000E1725">
        <w:rPr>
          <w:color w:val="000000" w:themeColor="text1"/>
          <w:lang w:bidi="ar-SA"/>
        </w:rPr>
        <w:t>Pakistan,</w:t>
      </w:r>
      <w:r w:rsidRPr="000E1725">
        <w:rPr>
          <w:color w:val="000000" w:themeColor="text1"/>
          <w:lang w:bidi="ar-SA"/>
        </w:rPr>
        <w:t xml:space="preserve"> and Sri</w:t>
      </w:r>
      <w:r w:rsidR="00D952BE" w:rsidRPr="000E1725">
        <w:rPr>
          <w:color w:val="000000" w:themeColor="text1"/>
          <w:lang w:bidi="ar-SA"/>
        </w:rPr>
        <w:t xml:space="preserve"> </w:t>
      </w:r>
      <w:r w:rsidR="004E29AE" w:rsidRPr="000E1725">
        <w:rPr>
          <w:color w:val="000000" w:themeColor="text1"/>
          <w:lang w:bidi="ar-SA"/>
        </w:rPr>
        <w:t>Lanka</w:t>
      </w:r>
      <w:r w:rsidRPr="000E1725">
        <w:rPr>
          <w:color w:val="000000" w:themeColor="text1"/>
          <w:lang w:bidi="ar-SA"/>
        </w:rPr>
        <w:t xml:space="preserve"> </w:t>
      </w:r>
      <w:r w:rsidR="00AB483F" w:rsidRPr="000E1725">
        <w:rPr>
          <w:color w:val="000000" w:themeColor="text1"/>
          <w:lang w:bidi="ar-SA"/>
        </w:rPr>
        <w:t>have no</w:t>
      </w:r>
      <w:r w:rsidRPr="000E1725">
        <w:rPr>
          <w:color w:val="000000" w:themeColor="text1"/>
          <w:lang w:bidi="ar-SA"/>
        </w:rPr>
        <w:t xml:space="preserve"> explicit constitutional recognition and dedicated legal provisions for </w:t>
      </w:r>
      <w:r w:rsidR="001F2D31" w:rsidRPr="000E1725">
        <w:rPr>
          <w:color w:val="000000" w:themeColor="text1"/>
          <w:lang w:bidi="ar-SA"/>
        </w:rPr>
        <w:t>the protection of the rights of Dalits</w:t>
      </w:r>
      <w:r w:rsidRPr="000E1725">
        <w:rPr>
          <w:color w:val="000000" w:themeColor="text1"/>
          <w:lang w:bidi="ar-SA"/>
        </w:rPr>
        <w:t>. The lacunae of specific legislation in these countries underscores a critical gap in their national legal frameworks and requires urgent attention.</w:t>
      </w:r>
    </w:p>
    <w:p w14:paraId="642340BF" w14:textId="77777777" w:rsidR="00AB483F" w:rsidRPr="000E1725" w:rsidRDefault="00AB483F" w:rsidP="009F27D0">
      <w:pPr>
        <w:jc w:val="both"/>
        <w:rPr>
          <w:color w:val="000000" w:themeColor="text1"/>
        </w:rPr>
      </w:pPr>
    </w:p>
    <w:p w14:paraId="571E3912" w14:textId="1FA05CC4" w:rsidR="00DB3D36" w:rsidRPr="000E1725" w:rsidRDefault="00637373" w:rsidP="00EC2FF8">
      <w:pPr>
        <w:pBdr>
          <w:top w:val="nil"/>
          <w:left w:val="nil"/>
          <w:bottom w:val="nil"/>
          <w:right w:val="nil"/>
          <w:between w:val="nil"/>
        </w:pBdr>
        <w:ind w:firstLine="720"/>
        <w:jc w:val="both"/>
        <w:rPr>
          <w:b/>
          <w:bCs/>
          <w:color w:val="000000"/>
        </w:rPr>
      </w:pPr>
      <w:r w:rsidRPr="000E1725">
        <w:rPr>
          <w:rFonts w:eastAsiaTheme="minorHAnsi"/>
          <w:b/>
          <w:bCs/>
          <w:color w:val="000000" w:themeColor="text1"/>
          <w:lang w:bidi="ar-SA"/>
        </w:rPr>
        <w:t>Administration of justice</w:t>
      </w:r>
      <w:r w:rsidRPr="000E1725">
        <w:rPr>
          <w:b/>
          <w:bCs/>
          <w:color w:val="000000"/>
        </w:rPr>
        <w:t xml:space="preserve"> and accountability</w:t>
      </w:r>
    </w:p>
    <w:p w14:paraId="4EF66AC1" w14:textId="1619F6BC" w:rsidR="00E60EF5" w:rsidRPr="000E1725" w:rsidRDefault="00D952BE" w:rsidP="00DB3D36">
      <w:pPr>
        <w:numPr>
          <w:ilvl w:val="0"/>
          <w:numId w:val="20"/>
        </w:numPr>
        <w:contextualSpacing/>
        <w:jc w:val="both"/>
        <w:rPr>
          <w:color w:val="000000" w:themeColor="text1"/>
          <w:lang w:bidi="ar-SA"/>
        </w:rPr>
      </w:pPr>
      <w:r w:rsidRPr="000E1725">
        <w:t>Governments</w:t>
      </w:r>
      <w:r w:rsidR="00E60EF5" w:rsidRPr="000E1725">
        <w:t xml:space="preserve"> of the </w:t>
      </w:r>
      <w:r w:rsidRPr="000E1725">
        <w:t>five</w:t>
      </w:r>
      <w:r w:rsidR="00E60EF5" w:rsidRPr="000E1725">
        <w:t xml:space="preserve"> countries should be encouraged to prioritize transparency in </w:t>
      </w:r>
      <w:r w:rsidR="00695B94" w:rsidRPr="000E1725">
        <w:t>their</w:t>
      </w:r>
      <w:r w:rsidR="00E60EF5" w:rsidRPr="000E1725">
        <w:t xml:space="preserve"> legal processes to help build confidence in the justice system. They should engage with civil society and legal scholars including those who are Dalit in open dialogue toward reinforcing the legal framework and/or bolstering implementation of existing processe</w:t>
      </w:r>
      <w:r w:rsidR="00EC2FF8" w:rsidRPr="000E1725">
        <w:t>s</w:t>
      </w:r>
      <w:r w:rsidR="00E60EF5" w:rsidRPr="000E1725">
        <w:t>.</w:t>
      </w:r>
    </w:p>
    <w:p w14:paraId="56283834" w14:textId="65D3E25B" w:rsidR="00DB3D36" w:rsidRPr="000E1725" w:rsidRDefault="00E60EF5" w:rsidP="00E60EF5">
      <w:pPr>
        <w:numPr>
          <w:ilvl w:val="0"/>
          <w:numId w:val="20"/>
        </w:numPr>
        <w:contextualSpacing/>
        <w:jc w:val="both"/>
        <w:rPr>
          <w:color w:val="000000" w:themeColor="text1"/>
          <w:lang w:bidi="ar-SA"/>
        </w:rPr>
      </w:pPr>
      <w:r w:rsidRPr="000E1725">
        <w:t xml:space="preserve">In all </w:t>
      </w:r>
      <w:r w:rsidR="00D952BE" w:rsidRPr="000E1725">
        <w:t>five</w:t>
      </w:r>
      <w:r w:rsidRPr="000E1725">
        <w:t xml:space="preserve"> countries, </w:t>
      </w:r>
      <w:r w:rsidRPr="000E1725">
        <w:rPr>
          <w:color w:val="000000" w:themeColor="text1"/>
          <w:lang w:bidi="ar-SA"/>
        </w:rPr>
        <w:t>t</w:t>
      </w:r>
      <w:r w:rsidR="00DB3D36" w:rsidRPr="000E1725">
        <w:rPr>
          <w:color w:val="000000" w:themeColor="text1"/>
          <w:lang w:bidi="ar-SA"/>
        </w:rPr>
        <w:t>here is a glaring need for increased budgetary allocations to support human rights and access to justice mechanisms designed to promote and protect the rights of persons from descent-based communities as effective implementation of protective measures is contingent on resources.</w:t>
      </w:r>
    </w:p>
    <w:p w14:paraId="1A7DFF84" w14:textId="368CC131" w:rsidR="00637373" w:rsidRPr="000E1725" w:rsidRDefault="00637373" w:rsidP="009F27D0">
      <w:pPr>
        <w:jc w:val="both"/>
        <w:rPr>
          <w:rFonts w:eastAsiaTheme="minorHAnsi"/>
          <w:b/>
          <w:bCs/>
          <w:color w:val="000000" w:themeColor="text1"/>
          <w:u w:val="single"/>
          <w:lang w:bidi="ar-SA"/>
        </w:rPr>
      </w:pPr>
    </w:p>
    <w:p w14:paraId="29CEF362" w14:textId="4B593C78" w:rsidR="00E53F37" w:rsidRPr="000E1725" w:rsidRDefault="00637373" w:rsidP="00094F9C">
      <w:pPr>
        <w:ind w:firstLine="720"/>
        <w:jc w:val="both"/>
        <w:rPr>
          <w:rFonts w:eastAsiaTheme="minorHAnsi"/>
          <w:b/>
          <w:bCs/>
          <w:color w:val="000000" w:themeColor="text1"/>
          <w:lang w:bidi="ar-SA"/>
        </w:rPr>
      </w:pPr>
      <w:r w:rsidRPr="000E1725">
        <w:rPr>
          <w:rFonts w:eastAsiaTheme="minorHAnsi"/>
          <w:b/>
          <w:bCs/>
          <w:color w:val="000000" w:themeColor="text1"/>
          <w:lang w:bidi="ar-SA"/>
        </w:rPr>
        <w:t>The Police and investigations</w:t>
      </w:r>
    </w:p>
    <w:p w14:paraId="5AE47416" w14:textId="3E37D775" w:rsidR="00880773" w:rsidRPr="000E1725" w:rsidRDefault="00E53F37" w:rsidP="001F2D31">
      <w:pPr>
        <w:pStyle w:val="ListParagraph"/>
        <w:numPr>
          <w:ilvl w:val="0"/>
          <w:numId w:val="20"/>
        </w:numPr>
        <w:jc w:val="both"/>
        <w:rPr>
          <w:color w:val="000000" w:themeColor="text1"/>
        </w:rPr>
      </w:pPr>
      <w:r w:rsidRPr="000E1725">
        <w:rPr>
          <w:color w:val="000000" w:themeColor="text1"/>
        </w:rPr>
        <w:t xml:space="preserve">While the letter of the law in the </w:t>
      </w:r>
      <w:r w:rsidR="00D952BE" w:rsidRPr="000E1725">
        <w:rPr>
          <w:color w:val="000000" w:themeColor="text1"/>
        </w:rPr>
        <w:t>five</w:t>
      </w:r>
      <w:r w:rsidRPr="000E1725">
        <w:rPr>
          <w:color w:val="000000" w:themeColor="text1"/>
        </w:rPr>
        <w:t xml:space="preserve"> countries provide</w:t>
      </w:r>
      <w:r w:rsidR="00D22629" w:rsidRPr="000E1725">
        <w:rPr>
          <w:color w:val="000000" w:themeColor="text1"/>
        </w:rPr>
        <w:t>s</w:t>
      </w:r>
      <w:r w:rsidRPr="000E1725">
        <w:rPr>
          <w:color w:val="000000" w:themeColor="text1"/>
        </w:rPr>
        <w:t xml:space="preserve"> for non-discrimination in the admissibility of evidence, Dalits are routinely denied the opportunity</w:t>
      </w:r>
      <w:r w:rsidR="003870C9" w:rsidRPr="000E1725">
        <w:rPr>
          <w:color w:val="000000" w:themeColor="text1"/>
        </w:rPr>
        <w:t xml:space="preserve"> even</w:t>
      </w:r>
      <w:r w:rsidRPr="000E1725">
        <w:rPr>
          <w:color w:val="000000" w:themeColor="text1"/>
        </w:rPr>
        <w:t xml:space="preserve"> to lodge a complaint</w:t>
      </w:r>
      <w:r w:rsidR="001F2D31" w:rsidRPr="000E1725">
        <w:rPr>
          <w:color w:val="000000" w:themeColor="text1"/>
        </w:rPr>
        <w:t xml:space="preserve">. </w:t>
      </w:r>
      <w:r w:rsidR="009F27D0" w:rsidRPr="000E1725">
        <w:rPr>
          <w:color w:val="000000" w:themeColor="text1"/>
          <w:lang w:bidi="ar-SA"/>
        </w:rPr>
        <w:t xml:space="preserve">A significant barrier lies in the frequent </w:t>
      </w:r>
      <w:r w:rsidR="00880773" w:rsidRPr="000E1725">
        <w:rPr>
          <w:color w:val="000000" w:themeColor="text1"/>
        </w:rPr>
        <w:t xml:space="preserve">refusal </w:t>
      </w:r>
      <w:r w:rsidR="009F27D0" w:rsidRPr="000E1725">
        <w:rPr>
          <w:color w:val="000000" w:themeColor="text1"/>
          <w:lang w:bidi="ar-SA"/>
        </w:rPr>
        <w:t xml:space="preserve">by the police </w:t>
      </w:r>
      <w:r w:rsidR="00880773" w:rsidRPr="000E1725">
        <w:rPr>
          <w:color w:val="000000" w:themeColor="text1"/>
          <w:lang w:bidi="ar-SA"/>
        </w:rPr>
        <w:t>to register a victim’s First Information Report (</w:t>
      </w:r>
      <w:r w:rsidR="009F27D0" w:rsidRPr="000E1725">
        <w:rPr>
          <w:color w:val="000000" w:themeColor="text1"/>
          <w:lang w:bidi="ar-SA"/>
        </w:rPr>
        <w:t xml:space="preserve">FIR), </w:t>
      </w:r>
      <w:r w:rsidR="009F27D0" w:rsidRPr="000E1725">
        <w:rPr>
          <w:rFonts w:eastAsiaTheme="minorHAnsi"/>
          <w:color w:val="000000" w:themeColor="text1"/>
          <w:shd w:val="clear" w:color="auto" w:fill="FFFFFF"/>
          <w:lang w:bidi="ar-SA"/>
        </w:rPr>
        <w:t>a very important step which sets the criminal justice</w:t>
      </w:r>
      <w:r w:rsidR="003870C9" w:rsidRPr="000E1725">
        <w:rPr>
          <w:rFonts w:eastAsiaTheme="minorHAnsi"/>
          <w:color w:val="000000" w:themeColor="text1"/>
          <w:shd w:val="clear" w:color="auto" w:fill="FFFFFF"/>
          <w:lang w:bidi="ar-SA"/>
        </w:rPr>
        <w:t xml:space="preserve"> process</w:t>
      </w:r>
      <w:r w:rsidR="009F27D0" w:rsidRPr="000E1725">
        <w:rPr>
          <w:rFonts w:eastAsiaTheme="minorHAnsi"/>
          <w:color w:val="000000" w:themeColor="text1"/>
          <w:shd w:val="clear" w:color="auto" w:fill="FFFFFF"/>
          <w:lang w:bidi="ar-SA"/>
        </w:rPr>
        <w:t xml:space="preserve"> in motion.  </w:t>
      </w:r>
      <w:r w:rsidR="009F27D0" w:rsidRPr="000E1725">
        <w:rPr>
          <w:color w:val="000000" w:themeColor="text1"/>
          <w:lang w:bidi="ar-SA"/>
        </w:rPr>
        <w:t xml:space="preserve">This </w:t>
      </w:r>
      <w:r w:rsidR="00880773" w:rsidRPr="000E1725">
        <w:rPr>
          <w:color w:val="000000" w:themeColor="text1"/>
          <w:lang w:bidi="ar-SA"/>
        </w:rPr>
        <w:t>refusal can be connected to the police having accepted a bribe</w:t>
      </w:r>
      <w:r w:rsidR="008A205D" w:rsidRPr="000E1725">
        <w:rPr>
          <w:color w:val="000000" w:themeColor="text1"/>
        </w:rPr>
        <w:t xml:space="preserve"> </w:t>
      </w:r>
      <w:r w:rsidR="00880773" w:rsidRPr="000E1725">
        <w:rPr>
          <w:color w:val="000000" w:themeColor="text1"/>
        </w:rPr>
        <w:t>to drop the victim’s case; declaring the perpetrator innocent</w:t>
      </w:r>
      <w:r w:rsidR="008A205D" w:rsidRPr="000E1725">
        <w:rPr>
          <w:color w:val="000000" w:themeColor="text1"/>
        </w:rPr>
        <w:t xml:space="preserve">; </w:t>
      </w:r>
      <w:r w:rsidR="00880773" w:rsidRPr="000E1725">
        <w:rPr>
          <w:color w:val="000000" w:themeColor="text1"/>
        </w:rPr>
        <w:t>delaying their arrival to the</w:t>
      </w:r>
      <w:r w:rsidR="008A205D" w:rsidRPr="000E1725">
        <w:rPr>
          <w:color w:val="000000" w:themeColor="text1"/>
        </w:rPr>
        <w:t xml:space="preserve"> crime</w:t>
      </w:r>
      <w:r w:rsidR="00880773" w:rsidRPr="000E1725">
        <w:rPr>
          <w:color w:val="000000" w:themeColor="text1"/>
        </w:rPr>
        <w:t xml:space="preserve"> scene</w:t>
      </w:r>
      <w:r w:rsidR="008A205D" w:rsidRPr="000E1725">
        <w:rPr>
          <w:color w:val="000000" w:themeColor="text1"/>
        </w:rPr>
        <w:t xml:space="preserve"> </w:t>
      </w:r>
      <w:proofErr w:type="gramStart"/>
      <w:r w:rsidR="008A205D" w:rsidRPr="000E1725">
        <w:rPr>
          <w:color w:val="000000" w:themeColor="text1"/>
        </w:rPr>
        <w:t>in order to</w:t>
      </w:r>
      <w:proofErr w:type="gramEnd"/>
      <w:r w:rsidR="00880773" w:rsidRPr="000E1725">
        <w:rPr>
          <w:color w:val="000000" w:themeColor="text1"/>
        </w:rPr>
        <w:t xml:space="preserve"> weaken the evidence</w:t>
      </w:r>
      <w:r w:rsidR="008A205D" w:rsidRPr="000E1725">
        <w:rPr>
          <w:color w:val="000000" w:themeColor="text1"/>
        </w:rPr>
        <w:t xml:space="preserve">; </w:t>
      </w:r>
      <w:r w:rsidR="003870C9" w:rsidRPr="000E1725">
        <w:rPr>
          <w:color w:val="000000" w:themeColor="text1"/>
        </w:rPr>
        <w:t>or f</w:t>
      </w:r>
      <w:r w:rsidR="001F2D31" w:rsidRPr="000E1725">
        <w:rPr>
          <w:color w:val="000000" w:themeColor="text1"/>
        </w:rPr>
        <w:t>orce Dalits</w:t>
      </w:r>
      <w:r w:rsidR="008A205D" w:rsidRPr="000E1725">
        <w:rPr>
          <w:color w:val="000000" w:themeColor="text1"/>
        </w:rPr>
        <w:t xml:space="preserve"> to compromise under duress or threat of violence,</w:t>
      </w:r>
    </w:p>
    <w:p w14:paraId="25D7561B" w14:textId="7DDBB279" w:rsidR="00880773" w:rsidRPr="000E1725" w:rsidRDefault="003B7FC0" w:rsidP="00880773">
      <w:pPr>
        <w:numPr>
          <w:ilvl w:val="0"/>
          <w:numId w:val="20"/>
        </w:numPr>
        <w:contextualSpacing/>
        <w:jc w:val="both"/>
        <w:rPr>
          <w:color w:val="000000" w:themeColor="text1"/>
          <w:lang w:bidi="ar-SA"/>
        </w:rPr>
      </w:pPr>
      <w:r w:rsidRPr="000E1725">
        <w:t>Flawed legal basis, i</w:t>
      </w:r>
      <w:r w:rsidR="009F27D0" w:rsidRPr="000E1725">
        <w:rPr>
          <w:color w:val="000000" w:themeColor="text1"/>
          <w:lang w:bidi="ar-SA"/>
        </w:rPr>
        <w:t>nadequate</w:t>
      </w:r>
      <w:r w:rsidR="003870C9" w:rsidRPr="000E1725">
        <w:rPr>
          <w:color w:val="000000" w:themeColor="text1"/>
          <w:lang w:bidi="ar-SA"/>
        </w:rPr>
        <w:t>,</w:t>
      </w:r>
      <w:r w:rsidR="00CA09C2" w:rsidRPr="000E1725">
        <w:rPr>
          <w:color w:val="000000" w:themeColor="text1"/>
          <w:lang w:bidi="ar-SA"/>
        </w:rPr>
        <w:t xml:space="preserve"> and/or </w:t>
      </w:r>
      <w:r w:rsidR="00DB3D36" w:rsidRPr="000E1725">
        <w:rPr>
          <w:color w:val="212121"/>
        </w:rPr>
        <w:t xml:space="preserve">non-transparent, </w:t>
      </w:r>
      <w:r w:rsidR="009F27D0" w:rsidRPr="000E1725">
        <w:rPr>
          <w:color w:val="000000" w:themeColor="text1"/>
          <w:lang w:bidi="ar-SA"/>
        </w:rPr>
        <w:t xml:space="preserve">incomplete </w:t>
      </w:r>
      <w:r w:rsidR="008A205D" w:rsidRPr="000E1725">
        <w:rPr>
          <w:color w:val="000000" w:themeColor="text1"/>
        </w:rPr>
        <w:t>delayed</w:t>
      </w:r>
      <w:r w:rsidR="008A205D" w:rsidRPr="000E1725">
        <w:rPr>
          <w:color w:val="000000" w:themeColor="text1"/>
          <w:lang w:bidi="ar-SA"/>
        </w:rPr>
        <w:t xml:space="preserve"> </w:t>
      </w:r>
      <w:r w:rsidR="009F27D0" w:rsidRPr="000E1725">
        <w:rPr>
          <w:color w:val="000000" w:themeColor="text1"/>
          <w:lang w:bidi="ar-SA"/>
        </w:rPr>
        <w:t>investigation</w:t>
      </w:r>
      <w:r w:rsidR="003870C9" w:rsidRPr="000E1725">
        <w:rPr>
          <w:color w:val="000000" w:themeColor="text1"/>
          <w:lang w:bidi="ar-SA"/>
        </w:rPr>
        <w:t>s</w:t>
      </w:r>
      <w:r w:rsidR="009F27D0" w:rsidRPr="000E1725">
        <w:rPr>
          <w:color w:val="000000" w:themeColor="text1"/>
          <w:lang w:bidi="ar-SA"/>
        </w:rPr>
        <w:t xml:space="preserve"> </w:t>
      </w:r>
      <w:r w:rsidR="00CA09C2" w:rsidRPr="000E1725">
        <w:rPr>
          <w:color w:val="000000" w:themeColor="text1"/>
          <w:lang w:bidi="ar-SA"/>
        </w:rPr>
        <w:t xml:space="preserve">as well as </w:t>
      </w:r>
      <w:r w:rsidRPr="000E1725">
        <w:t xml:space="preserve">rushed prosecutions, </w:t>
      </w:r>
      <w:r w:rsidR="009F27D0" w:rsidRPr="000E1725">
        <w:rPr>
          <w:color w:val="000000" w:themeColor="text1"/>
          <w:lang w:bidi="ar-SA"/>
        </w:rPr>
        <w:t xml:space="preserve">and a general neglect regarding violations of the human rights of Dalits </w:t>
      </w:r>
      <w:r w:rsidR="00E86F78" w:rsidRPr="000E1725">
        <w:rPr>
          <w:color w:val="000000" w:themeColor="text1"/>
          <w:lang w:bidi="ar-SA"/>
        </w:rPr>
        <w:t xml:space="preserve">often </w:t>
      </w:r>
      <w:r w:rsidR="00CA09C2" w:rsidRPr="000E1725">
        <w:t xml:space="preserve">compromise the fairness of trials of Dalits. </w:t>
      </w:r>
      <w:r w:rsidRPr="000E1725">
        <w:rPr>
          <w:color w:val="000000" w:themeColor="text1"/>
          <w:lang w:bidi="ar-SA"/>
        </w:rPr>
        <w:t>The Governments should</w:t>
      </w:r>
      <w:r w:rsidR="00E13E1D" w:rsidRPr="000E1725">
        <w:rPr>
          <w:color w:val="000000" w:themeColor="text1"/>
          <w:lang w:bidi="ar-SA"/>
        </w:rPr>
        <w:t xml:space="preserve"> </w:t>
      </w:r>
      <w:r w:rsidRPr="000E1725">
        <w:t>allow sufficient time for thorough investigations and ensuring that justice is served without compromising due process.</w:t>
      </w:r>
    </w:p>
    <w:p w14:paraId="797A503B" w14:textId="77777777" w:rsidR="003870C9" w:rsidRPr="000E1725" w:rsidRDefault="003870C9" w:rsidP="002466D4">
      <w:pPr>
        <w:ind w:firstLine="720"/>
        <w:contextualSpacing/>
        <w:jc w:val="both"/>
        <w:rPr>
          <w:b/>
          <w:bCs/>
        </w:rPr>
      </w:pPr>
    </w:p>
    <w:p w14:paraId="7A45663D" w14:textId="2BBC7FA9" w:rsidR="00637373" w:rsidRPr="000E1725" w:rsidRDefault="00637373" w:rsidP="00816066">
      <w:pPr>
        <w:keepNext/>
        <w:ind w:firstLine="720"/>
        <w:contextualSpacing/>
        <w:jc w:val="both"/>
        <w:rPr>
          <w:b/>
          <w:bCs/>
        </w:rPr>
      </w:pPr>
      <w:r w:rsidRPr="000E1725">
        <w:rPr>
          <w:b/>
          <w:bCs/>
        </w:rPr>
        <w:t>Judicial processes</w:t>
      </w:r>
    </w:p>
    <w:p w14:paraId="42FBC544" w14:textId="108FA2F2" w:rsidR="00D952BE" w:rsidRPr="000E1725" w:rsidRDefault="003870C9" w:rsidP="00D952BE">
      <w:pPr>
        <w:numPr>
          <w:ilvl w:val="0"/>
          <w:numId w:val="20"/>
        </w:numPr>
        <w:contextualSpacing/>
        <w:jc w:val="both"/>
        <w:rPr>
          <w:lang w:bidi="ar-SA"/>
        </w:rPr>
      </w:pPr>
      <w:r w:rsidRPr="000E1725">
        <w:rPr>
          <w:color w:val="000000" w:themeColor="text1"/>
        </w:rPr>
        <w:t xml:space="preserve">In all five countries, and </w:t>
      </w:r>
      <w:r w:rsidR="00D22629" w:rsidRPr="000E1725">
        <w:rPr>
          <w:color w:val="000000" w:themeColor="text1"/>
        </w:rPr>
        <w:t xml:space="preserve">an </w:t>
      </w:r>
      <w:r w:rsidRPr="000E1725">
        <w:rPr>
          <w:color w:val="000000" w:themeColor="text1"/>
        </w:rPr>
        <w:t xml:space="preserve">inadequate number of </w:t>
      </w:r>
      <w:r w:rsidR="00903FB6" w:rsidRPr="000E1725">
        <w:rPr>
          <w:color w:val="000000" w:themeColor="text1"/>
        </w:rPr>
        <w:t xml:space="preserve">overburdened </w:t>
      </w:r>
      <w:r w:rsidRPr="000E1725">
        <w:rPr>
          <w:color w:val="000000" w:themeColor="text1"/>
        </w:rPr>
        <w:t xml:space="preserve">courts and public prosecutors </w:t>
      </w:r>
      <w:r w:rsidRPr="000E1725">
        <w:rPr>
          <w:color w:val="000000" w:themeColor="text1"/>
          <w:lang w:bidi="ar-SA"/>
        </w:rPr>
        <w:t xml:space="preserve">combined </w:t>
      </w:r>
      <w:r w:rsidRPr="000E1725">
        <w:rPr>
          <w:lang w:bidi="ar-SA"/>
        </w:rPr>
        <w:t>with d</w:t>
      </w:r>
      <w:r w:rsidRPr="000E1725">
        <w:t>eep</w:t>
      </w:r>
      <w:r w:rsidR="00D952BE" w:rsidRPr="000E1725">
        <w:t>-</w:t>
      </w:r>
      <w:r w:rsidRPr="000E1725">
        <w:t>rooted caste bias result in high rates of acquittals in cases where Dalits are the victims and harsh enforcement when they are defendants.</w:t>
      </w:r>
      <w:bookmarkStart w:id="10" w:name="_Hlk176789847"/>
    </w:p>
    <w:p w14:paraId="182EE7ED" w14:textId="1FA9750A" w:rsidR="003870C9" w:rsidRPr="000E1725" w:rsidRDefault="003870C9" w:rsidP="00D952BE">
      <w:pPr>
        <w:numPr>
          <w:ilvl w:val="0"/>
          <w:numId w:val="20"/>
        </w:numPr>
        <w:contextualSpacing/>
        <w:jc w:val="both"/>
        <w:rPr>
          <w:lang w:bidi="ar-SA"/>
        </w:rPr>
      </w:pPr>
      <w:r w:rsidRPr="000E1725">
        <w:t xml:space="preserve">In proceedings before a court or other competent authority, alleged victims of discrimination carry the burden to prove </w:t>
      </w:r>
      <w:r w:rsidRPr="000E1725">
        <w:rPr>
          <w:color w:val="000000" w:themeColor="text1"/>
        </w:rPr>
        <w:t xml:space="preserve">that the allegations presented are facts from which it may be presumed that there has been discrimination </w:t>
      </w:r>
      <w:r w:rsidRPr="000E1725">
        <w:t>(a prima facie case) instead of the respondent having to demonstrate the absence of intent to discriminate.</w:t>
      </w:r>
    </w:p>
    <w:bookmarkEnd w:id="10"/>
    <w:p w14:paraId="0F382EEB" w14:textId="77777777" w:rsidR="00637373" w:rsidRPr="000E1725" w:rsidRDefault="00637373" w:rsidP="00E53F37">
      <w:pPr>
        <w:contextualSpacing/>
        <w:jc w:val="both"/>
      </w:pPr>
    </w:p>
    <w:p w14:paraId="072951D6" w14:textId="53701DE8" w:rsidR="00E53F37" w:rsidRPr="000E1725" w:rsidRDefault="00E53F37" w:rsidP="00637373">
      <w:pPr>
        <w:ind w:firstLine="720"/>
        <w:contextualSpacing/>
        <w:jc w:val="both"/>
        <w:rPr>
          <w:b/>
          <w:bCs/>
        </w:rPr>
      </w:pPr>
      <w:r w:rsidRPr="000E1725">
        <w:rPr>
          <w:b/>
          <w:bCs/>
        </w:rPr>
        <w:t>Effective participation</w:t>
      </w:r>
    </w:p>
    <w:p w14:paraId="5DA683E4" w14:textId="2CA5297F" w:rsidR="00A146D5" w:rsidRPr="000E1725" w:rsidRDefault="00E53F37" w:rsidP="009F34F6">
      <w:pPr>
        <w:pStyle w:val="ListParagraph"/>
        <w:numPr>
          <w:ilvl w:val="0"/>
          <w:numId w:val="20"/>
        </w:numPr>
        <w:jc w:val="both"/>
        <w:rPr>
          <w:color w:val="000000" w:themeColor="text1"/>
          <w:lang w:bidi="ar-SA"/>
        </w:rPr>
      </w:pPr>
      <w:r w:rsidRPr="000E1725">
        <w:t xml:space="preserve">Dalits are not </w:t>
      </w:r>
      <w:r w:rsidR="00B6510A" w:rsidRPr="000E1725">
        <w:t xml:space="preserve">sufficiently </w:t>
      </w:r>
      <w:r w:rsidRPr="000E1725">
        <w:t>represented in the judicial mechanisms of the five countries.</w:t>
      </w:r>
      <w:r w:rsidR="00DB3D36" w:rsidRPr="000E1725">
        <w:t xml:space="preserve"> </w:t>
      </w:r>
      <w:r w:rsidRPr="000E1725">
        <w:t>Barriers to equal participation must be identified and removed, including through accessibility measures and procedural accommodations.</w:t>
      </w:r>
      <w:r w:rsidR="008C1657" w:rsidRPr="000E1725">
        <w:rPr>
          <w:color w:val="000000" w:themeColor="text1"/>
          <w:lang w:bidi="ar-SA"/>
        </w:rPr>
        <w:t xml:space="preserve"> There is a pressing need for greater representation/participation of Dalits </w:t>
      </w:r>
      <w:r w:rsidR="00094F9C" w:rsidRPr="000E1725">
        <w:rPr>
          <w:color w:val="000000" w:themeColor="text1"/>
          <w:lang w:bidi="ar-SA"/>
        </w:rPr>
        <w:t xml:space="preserve">and Dalit women </w:t>
      </w:r>
      <w:r w:rsidR="008C1657" w:rsidRPr="000E1725">
        <w:rPr>
          <w:color w:val="000000" w:themeColor="text1"/>
          <w:lang w:bidi="ar-SA"/>
        </w:rPr>
        <w:t xml:space="preserve">within justice mechanisms </w:t>
      </w:r>
      <w:r w:rsidR="00094F9C" w:rsidRPr="000E1725">
        <w:rPr>
          <w:color w:val="000000" w:themeColor="text1"/>
          <w:lang w:bidi="ar-SA"/>
        </w:rPr>
        <w:t>and</w:t>
      </w:r>
      <w:r w:rsidR="00B6510A" w:rsidRPr="000E1725">
        <w:rPr>
          <w:color w:val="000000" w:themeColor="text1"/>
          <w:lang w:bidi="ar-SA"/>
        </w:rPr>
        <w:t xml:space="preserve"> </w:t>
      </w:r>
      <w:r w:rsidR="00094F9C" w:rsidRPr="000E1725">
        <w:t xml:space="preserve">processes </w:t>
      </w:r>
      <w:r w:rsidR="008C1657" w:rsidRPr="000E1725">
        <w:rPr>
          <w:color w:val="000000" w:themeColor="text1"/>
          <w:lang w:bidi="ar-SA"/>
        </w:rPr>
        <w:t>to ensure fair and equitable treatment.</w:t>
      </w:r>
      <w:r w:rsidR="00094F9C" w:rsidRPr="000E1725">
        <w:rPr>
          <w:color w:val="000000" w:themeColor="text1"/>
          <w:lang w:bidi="ar-SA"/>
        </w:rPr>
        <w:t xml:space="preserve"> </w:t>
      </w:r>
      <w:r w:rsidR="00094F9C" w:rsidRPr="000E1725">
        <w:t xml:space="preserve">  </w:t>
      </w:r>
    </w:p>
    <w:p w14:paraId="28CD6810" w14:textId="672B4CCF" w:rsidR="00903FB6" w:rsidRPr="000E1725" w:rsidRDefault="009F27D0" w:rsidP="00525ED5">
      <w:pPr>
        <w:numPr>
          <w:ilvl w:val="0"/>
          <w:numId w:val="20"/>
        </w:numPr>
        <w:contextualSpacing/>
        <w:jc w:val="both"/>
        <w:rPr>
          <w:color w:val="000000" w:themeColor="text1"/>
          <w:lang w:bidi="ar-SA"/>
        </w:rPr>
      </w:pPr>
      <w:r w:rsidRPr="000E1725">
        <w:rPr>
          <w:color w:val="000000" w:themeColor="text1"/>
          <w:lang w:bidi="ar-SA"/>
        </w:rPr>
        <w:t xml:space="preserve">The politicization of National Human Rights Institutions (NHRIs), including political appointments of the members added to </w:t>
      </w:r>
      <w:r w:rsidR="00DB3D36" w:rsidRPr="000E1725">
        <w:rPr>
          <w:color w:val="000000" w:themeColor="text1"/>
          <w:lang w:bidi="ar-SA"/>
        </w:rPr>
        <w:t xml:space="preserve">hardly any Dalit representation and </w:t>
      </w:r>
      <w:r w:rsidRPr="000E1725">
        <w:rPr>
          <w:color w:val="000000" w:themeColor="text1"/>
          <w:lang w:bidi="ar-SA"/>
        </w:rPr>
        <w:t xml:space="preserve">insufficient human and </w:t>
      </w:r>
      <w:r w:rsidR="00DB3D36" w:rsidRPr="000E1725">
        <w:rPr>
          <w:color w:val="000000" w:themeColor="text1"/>
          <w:lang w:bidi="ar-SA"/>
        </w:rPr>
        <w:t xml:space="preserve">financial </w:t>
      </w:r>
      <w:r w:rsidR="00E60EF5" w:rsidRPr="000E1725">
        <w:rPr>
          <w:color w:val="000000" w:themeColor="text1"/>
          <w:lang w:bidi="ar-SA"/>
        </w:rPr>
        <w:t>allocations have</w:t>
      </w:r>
      <w:r w:rsidRPr="000E1725">
        <w:rPr>
          <w:color w:val="000000" w:themeColor="text1"/>
          <w:lang w:bidi="ar-SA"/>
        </w:rPr>
        <w:t xml:space="preserve"> served to severely impact NHRIs effectiveness in providing support to Dalits in accessing justice mechanisms.</w:t>
      </w:r>
    </w:p>
    <w:p w14:paraId="7E643794" w14:textId="77777777" w:rsidR="008C1657" w:rsidRPr="000E1725" w:rsidRDefault="008C1657" w:rsidP="00EC2FF8">
      <w:pPr>
        <w:ind w:left="720"/>
        <w:contextualSpacing/>
        <w:jc w:val="both"/>
        <w:rPr>
          <w:color w:val="000000" w:themeColor="text1"/>
          <w:lang w:bidi="ar-SA"/>
        </w:rPr>
      </w:pPr>
    </w:p>
    <w:p w14:paraId="530DD0A3" w14:textId="4AFAC65E" w:rsidR="009F27D0" w:rsidRPr="000E1725" w:rsidRDefault="009F27D0" w:rsidP="00EC2FF8">
      <w:pPr>
        <w:ind w:firstLine="720"/>
        <w:jc w:val="both"/>
        <w:rPr>
          <w:rFonts w:eastAsiaTheme="minorHAnsi"/>
          <w:b/>
          <w:bCs/>
          <w:color w:val="000000" w:themeColor="text1"/>
          <w:lang w:bidi="ar-SA"/>
        </w:rPr>
      </w:pPr>
      <w:r w:rsidRPr="000E1725">
        <w:rPr>
          <w:rFonts w:eastAsiaTheme="minorHAnsi"/>
          <w:b/>
          <w:bCs/>
          <w:color w:val="000000" w:themeColor="text1"/>
          <w:lang w:bidi="ar-SA"/>
        </w:rPr>
        <w:t xml:space="preserve">Implementation of </w:t>
      </w:r>
      <w:r w:rsidR="00E60EF5" w:rsidRPr="000E1725">
        <w:rPr>
          <w:rFonts w:eastAsiaTheme="minorHAnsi"/>
          <w:b/>
          <w:bCs/>
          <w:color w:val="000000" w:themeColor="text1"/>
          <w:lang w:bidi="ar-SA"/>
        </w:rPr>
        <w:t xml:space="preserve">UN </w:t>
      </w:r>
      <w:r w:rsidRPr="000E1725">
        <w:rPr>
          <w:rFonts w:eastAsiaTheme="minorHAnsi"/>
          <w:b/>
          <w:bCs/>
          <w:color w:val="000000" w:themeColor="text1"/>
          <w:lang w:bidi="ar-SA"/>
        </w:rPr>
        <w:t>Recommendations</w:t>
      </w:r>
    </w:p>
    <w:p w14:paraId="5409F22D" w14:textId="767A1D22" w:rsidR="009F27D0" w:rsidRPr="000E1725" w:rsidRDefault="009F27D0" w:rsidP="009F27D0">
      <w:pPr>
        <w:numPr>
          <w:ilvl w:val="0"/>
          <w:numId w:val="20"/>
        </w:numPr>
        <w:contextualSpacing/>
        <w:jc w:val="both"/>
        <w:rPr>
          <w:color w:val="000000" w:themeColor="text1"/>
          <w:lang w:bidi="ar-SA"/>
        </w:rPr>
      </w:pPr>
      <w:r w:rsidRPr="000E1725">
        <w:rPr>
          <w:color w:val="000000" w:themeColor="text1"/>
          <w:lang w:bidi="ar-SA"/>
        </w:rPr>
        <w:t xml:space="preserve">Recommendations from the Universal Periodic Review (UPR), Treaty Bodies, and Special Rapporteurs are regularly </w:t>
      </w:r>
      <w:r w:rsidR="00D952BE" w:rsidRPr="000E1725">
        <w:rPr>
          <w:color w:val="000000" w:themeColor="text1"/>
          <w:lang w:bidi="ar-SA"/>
        </w:rPr>
        <w:t>not implemented</w:t>
      </w:r>
      <w:r w:rsidR="00E60EF5" w:rsidRPr="000E1725">
        <w:rPr>
          <w:color w:val="000000" w:themeColor="text1"/>
          <w:lang w:bidi="ar-SA"/>
        </w:rPr>
        <w:t xml:space="preserve"> by the </w:t>
      </w:r>
      <w:r w:rsidR="00D952BE" w:rsidRPr="000E1725">
        <w:rPr>
          <w:color w:val="000000" w:themeColor="text1"/>
          <w:lang w:bidi="ar-SA"/>
        </w:rPr>
        <w:t>five</w:t>
      </w:r>
      <w:r w:rsidR="00E60EF5" w:rsidRPr="000E1725">
        <w:rPr>
          <w:color w:val="000000" w:themeColor="text1"/>
          <w:lang w:bidi="ar-SA"/>
        </w:rPr>
        <w:t xml:space="preserve"> States</w:t>
      </w:r>
      <w:r w:rsidRPr="000E1725">
        <w:rPr>
          <w:color w:val="000000" w:themeColor="text1"/>
          <w:lang w:bidi="ar-SA"/>
        </w:rPr>
        <w:t xml:space="preserve">. This practice results in lack of compliance by the concerned States in meeting their legal obligations under international human rights law. </w:t>
      </w:r>
    </w:p>
    <w:p w14:paraId="0D5074F7" w14:textId="7056BE97" w:rsidR="002466D4" w:rsidRPr="000E1725" w:rsidRDefault="00E60EF5" w:rsidP="009F27D0">
      <w:pPr>
        <w:numPr>
          <w:ilvl w:val="0"/>
          <w:numId w:val="20"/>
        </w:numPr>
        <w:contextualSpacing/>
        <w:jc w:val="both"/>
        <w:rPr>
          <w:color w:val="000000" w:themeColor="text1"/>
          <w:lang w:bidi="ar-SA"/>
        </w:rPr>
      </w:pPr>
      <w:r w:rsidRPr="000E1725">
        <w:rPr>
          <w:color w:val="000000" w:themeColor="text1"/>
        </w:rPr>
        <w:t>There is n</w:t>
      </w:r>
      <w:r w:rsidR="00E86F78" w:rsidRPr="000E1725">
        <w:rPr>
          <w:color w:val="000000" w:themeColor="text1"/>
        </w:rPr>
        <w:t xml:space="preserve">o evidence </w:t>
      </w:r>
      <w:r w:rsidRPr="000E1725">
        <w:rPr>
          <w:color w:val="000000" w:themeColor="text1"/>
        </w:rPr>
        <w:t xml:space="preserve">in the </w:t>
      </w:r>
      <w:r w:rsidR="00D952BE" w:rsidRPr="000E1725">
        <w:rPr>
          <w:color w:val="000000" w:themeColor="text1"/>
        </w:rPr>
        <w:t>five</w:t>
      </w:r>
      <w:r w:rsidRPr="000E1725">
        <w:rPr>
          <w:color w:val="000000" w:themeColor="text1"/>
        </w:rPr>
        <w:t xml:space="preserve"> States </w:t>
      </w:r>
      <w:r w:rsidR="00E86F78" w:rsidRPr="000E1725">
        <w:rPr>
          <w:color w:val="000000" w:themeColor="text1"/>
        </w:rPr>
        <w:t xml:space="preserve">of preventive measures to stop the occurrence </w:t>
      </w:r>
      <w:r w:rsidR="00307871" w:rsidRPr="000E1725">
        <w:rPr>
          <w:color w:val="000000" w:themeColor="text1"/>
        </w:rPr>
        <w:t>of violation</w:t>
      </w:r>
      <w:r w:rsidR="00E86F78" w:rsidRPr="000E1725">
        <w:rPr>
          <w:color w:val="000000" w:themeColor="text1"/>
        </w:rPr>
        <w:t xml:space="preserve"> of the human rights of Dalits</w:t>
      </w:r>
      <w:r w:rsidR="00E02E3D" w:rsidRPr="000E1725">
        <w:rPr>
          <w:color w:val="000000" w:themeColor="text1"/>
        </w:rPr>
        <w:t xml:space="preserve">.  The Governments of the </w:t>
      </w:r>
      <w:r w:rsidR="00D952BE" w:rsidRPr="000E1725">
        <w:rPr>
          <w:color w:val="000000" w:themeColor="text1"/>
        </w:rPr>
        <w:t>five</w:t>
      </w:r>
      <w:r w:rsidR="00E02E3D" w:rsidRPr="000E1725">
        <w:rPr>
          <w:color w:val="000000" w:themeColor="text1"/>
        </w:rPr>
        <w:t xml:space="preserve"> named countries </w:t>
      </w:r>
      <w:r w:rsidR="00E02E3D" w:rsidRPr="000E1725">
        <w:t xml:space="preserve">should be encouraged </w:t>
      </w:r>
      <w:r w:rsidRPr="000E1725">
        <w:t>to prioritize</w:t>
      </w:r>
      <w:r w:rsidR="00E02E3D" w:rsidRPr="000E1725">
        <w:t xml:space="preserve"> legal reforms to align with international standards, including ensuring the right to due process and </w:t>
      </w:r>
      <w:r w:rsidRPr="000E1725">
        <w:t>to a</w:t>
      </w:r>
      <w:r w:rsidR="00E02E3D" w:rsidRPr="000E1725">
        <w:t xml:space="preserve"> fair trial.</w:t>
      </w:r>
    </w:p>
    <w:p w14:paraId="184E0416" w14:textId="77777777" w:rsidR="00EC2FF8" w:rsidRPr="000E1725" w:rsidRDefault="00EC2FF8" w:rsidP="002466D4">
      <w:pPr>
        <w:jc w:val="both"/>
        <w:rPr>
          <w:rFonts w:eastAsiaTheme="minorHAnsi"/>
          <w:b/>
          <w:bCs/>
          <w:color w:val="000000" w:themeColor="text1"/>
          <w:lang w:bidi="ar-SA"/>
        </w:rPr>
      </w:pPr>
    </w:p>
    <w:p w14:paraId="4454E9B9" w14:textId="62FC9E4F" w:rsidR="002466D4" w:rsidRPr="000E1725" w:rsidRDefault="009F27D0" w:rsidP="00EC2FF8">
      <w:pPr>
        <w:ind w:firstLine="720"/>
        <w:jc w:val="both"/>
        <w:rPr>
          <w:rFonts w:eastAsiaTheme="minorHAnsi"/>
          <w:b/>
          <w:bCs/>
          <w:color w:val="000000" w:themeColor="text1"/>
          <w:lang w:bidi="ar-SA"/>
        </w:rPr>
      </w:pPr>
      <w:r w:rsidRPr="000E1725">
        <w:rPr>
          <w:rFonts w:eastAsiaTheme="minorHAnsi"/>
          <w:b/>
          <w:bCs/>
          <w:color w:val="000000" w:themeColor="text1"/>
          <w:lang w:bidi="ar-SA"/>
        </w:rPr>
        <w:t>Increas</w:t>
      </w:r>
      <w:r w:rsidR="002466D4" w:rsidRPr="000E1725">
        <w:rPr>
          <w:rFonts w:eastAsiaTheme="minorHAnsi"/>
          <w:b/>
          <w:bCs/>
          <w:color w:val="000000" w:themeColor="text1"/>
          <w:lang w:bidi="ar-SA"/>
        </w:rPr>
        <w:t xml:space="preserve">e in </w:t>
      </w:r>
      <w:proofErr w:type="gramStart"/>
      <w:r w:rsidR="001B383A" w:rsidRPr="000E1725">
        <w:rPr>
          <w:rFonts w:eastAsiaTheme="minorHAnsi"/>
          <w:b/>
          <w:bCs/>
          <w:color w:val="000000" w:themeColor="text1"/>
          <w:lang w:bidi="ar-SA"/>
        </w:rPr>
        <w:t>violations</w:t>
      </w:r>
      <w:proofErr w:type="gramEnd"/>
      <w:r w:rsidRPr="000E1725">
        <w:rPr>
          <w:rFonts w:eastAsiaTheme="minorHAnsi"/>
          <w:b/>
          <w:bCs/>
          <w:color w:val="000000" w:themeColor="text1"/>
          <w:lang w:bidi="ar-SA"/>
        </w:rPr>
        <w:t xml:space="preserve"> </w:t>
      </w:r>
    </w:p>
    <w:p w14:paraId="16A090B1" w14:textId="77777777" w:rsidR="00624289" w:rsidRDefault="009F27D0" w:rsidP="00624289">
      <w:pPr>
        <w:pStyle w:val="ListParagraph"/>
        <w:rPr>
          <w:color w:val="000000" w:themeColor="text1"/>
          <w:lang w:bidi="ar-SA"/>
        </w:rPr>
      </w:pPr>
      <w:r w:rsidRPr="00624289">
        <w:rPr>
          <w:color w:val="000000" w:themeColor="text1"/>
          <w:lang w:bidi="ar-SA"/>
        </w:rPr>
        <w:t xml:space="preserve">Violations of the human rights of </w:t>
      </w:r>
      <w:r w:rsidR="00E60EF5" w:rsidRPr="00624289">
        <w:rPr>
          <w:color w:val="000000" w:themeColor="text1"/>
          <w:lang w:bidi="ar-SA"/>
        </w:rPr>
        <w:t xml:space="preserve">Dalits </w:t>
      </w:r>
      <w:r w:rsidRPr="00624289">
        <w:rPr>
          <w:color w:val="000000" w:themeColor="text1"/>
          <w:lang w:bidi="ar-SA"/>
        </w:rPr>
        <w:t xml:space="preserve">from all </w:t>
      </w:r>
      <w:r w:rsidR="00D952BE" w:rsidRPr="00624289">
        <w:rPr>
          <w:color w:val="000000" w:themeColor="text1"/>
          <w:lang w:bidi="ar-SA"/>
        </w:rPr>
        <w:t>five</w:t>
      </w:r>
      <w:r w:rsidR="00E60EF5" w:rsidRPr="00624289">
        <w:rPr>
          <w:color w:val="000000" w:themeColor="text1"/>
          <w:lang w:bidi="ar-SA"/>
        </w:rPr>
        <w:t xml:space="preserve"> </w:t>
      </w:r>
      <w:r w:rsidRPr="00624289">
        <w:rPr>
          <w:color w:val="000000" w:themeColor="text1"/>
          <w:lang w:bidi="ar-SA"/>
        </w:rPr>
        <w:t xml:space="preserve">countries have increased, a trend highlighted by both researchers and experts. Common factors include lack of political will, absence of participation/representation of Dalits in administration of justice institutions and mechanisms ranging </w:t>
      </w:r>
      <w:r w:rsidR="004E29AE" w:rsidRPr="00624289">
        <w:rPr>
          <w:color w:val="000000" w:themeColor="text1"/>
          <w:lang w:bidi="ar-SA"/>
        </w:rPr>
        <w:t>from the police</w:t>
      </w:r>
      <w:r w:rsidRPr="00624289">
        <w:rPr>
          <w:color w:val="000000" w:themeColor="text1"/>
          <w:lang w:bidi="ar-SA"/>
        </w:rPr>
        <w:t xml:space="preserve"> to the courts and to NHRIs – all staffed by persons from the dominant group who accord no importance to Dalit issues</w:t>
      </w:r>
      <w:r w:rsidR="00624289">
        <w:rPr>
          <w:color w:val="000000" w:themeColor="text1"/>
          <w:lang w:bidi="ar-SA"/>
        </w:rPr>
        <w:t>.</w:t>
      </w:r>
      <w:bookmarkStart w:id="11" w:name="_Hlk180403669"/>
    </w:p>
    <w:p w14:paraId="0C830377" w14:textId="77777777" w:rsidR="00624289" w:rsidRDefault="00624289" w:rsidP="00624289">
      <w:pPr>
        <w:pStyle w:val="ListParagraph"/>
        <w:rPr>
          <w:color w:val="000000" w:themeColor="text1"/>
          <w:lang w:bidi="ar-SA"/>
        </w:rPr>
      </w:pPr>
    </w:p>
    <w:p w14:paraId="2CCF7C6D" w14:textId="28DB9F82" w:rsidR="00D94315" w:rsidRPr="00624289" w:rsidRDefault="00D94315" w:rsidP="00624289">
      <w:pPr>
        <w:pStyle w:val="ListParagraph"/>
        <w:rPr>
          <w:lang w:bidi="ar-SA"/>
        </w:rPr>
      </w:pPr>
      <w:r w:rsidRPr="00624289">
        <w:rPr>
          <w:color w:val="000000" w:themeColor="text1"/>
          <w:lang w:val="en-US" w:bidi="ar-SA"/>
        </w:rPr>
        <w:t xml:space="preserve">Increasing communal polarization in the name of nationalism is also contributing to violations of the human rights of persons from descent-based communities.  Their efforts in seeking justice are often </w:t>
      </w:r>
      <w:r w:rsidR="00E74DE4" w:rsidRPr="00624289">
        <w:rPr>
          <w:color w:val="000000" w:themeColor="text1"/>
          <w:lang w:val="en-US" w:bidi="ar-SA"/>
        </w:rPr>
        <w:t xml:space="preserve">perceived </w:t>
      </w:r>
      <w:r w:rsidRPr="00624289">
        <w:rPr>
          <w:color w:val="000000" w:themeColor="text1"/>
          <w:lang w:val="en-US" w:bidi="ar-SA"/>
        </w:rPr>
        <w:t>as threatening and undermining to nationalism.</w:t>
      </w:r>
    </w:p>
    <w:p w14:paraId="7E5EA1D3" w14:textId="77777777" w:rsidR="00EC2FF8" w:rsidRPr="00624289" w:rsidRDefault="00EC2FF8" w:rsidP="009F27D0">
      <w:pPr>
        <w:jc w:val="both"/>
        <w:rPr>
          <w:rFonts w:eastAsiaTheme="minorHAnsi"/>
          <w:b/>
          <w:bCs/>
          <w:color w:val="000000" w:themeColor="text1"/>
          <w:lang w:bidi="ar-SA"/>
        </w:rPr>
      </w:pPr>
    </w:p>
    <w:bookmarkEnd w:id="11"/>
    <w:p w14:paraId="3CD4C847" w14:textId="03FF90B2" w:rsidR="009F27D0" w:rsidRPr="000E1725" w:rsidRDefault="009F27D0" w:rsidP="00EC2FF8">
      <w:pPr>
        <w:ind w:firstLine="720"/>
        <w:jc w:val="both"/>
        <w:rPr>
          <w:rFonts w:eastAsiaTheme="minorHAnsi"/>
          <w:b/>
          <w:bCs/>
          <w:color w:val="000000" w:themeColor="text1"/>
          <w:lang w:bidi="ar-SA"/>
        </w:rPr>
      </w:pPr>
      <w:r w:rsidRPr="000E1725">
        <w:rPr>
          <w:rFonts w:eastAsiaTheme="minorHAnsi"/>
          <w:b/>
          <w:bCs/>
          <w:color w:val="000000" w:themeColor="text1"/>
          <w:lang w:bidi="ar-SA"/>
        </w:rPr>
        <w:t xml:space="preserve">Grassroots </w:t>
      </w:r>
      <w:r w:rsidR="002466D4" w:rsidRPr="000E1725">
        <w:rPr>
          <w:rFonts w:eastAsiaTheme="minorHAnsi"/>
          <w:b/>
          <w:bCs/>
          <w:color w:val="000000" w:themeColor="text1"/>
          <w:lang w:bidi="ar-SA"/>
        </w:rPr>
        <w:t>a</w:t>
      </w:r>
      <w:r w:rsidRPr="000E1725">
        <w:rPr>
          <w:rFonts w:eastAsiaTheme="minorHAnsi"/>
          <w:b/>
          <w:bCs/>
          <w:color w:val="000000" w:themeColor="text1"/>
          <w:lang w:bidi="ar-SA"/>
        </w:rPr>
        <w:t xml:space="preserve">wareness and </w:t>
      </w:r>
      <w:r w:rsidR="002466D4" w:rsidRPr="000E1725">
        <w:rPr>
          <w:rFonts w:eastAsiaTheme="minorHAnsi"/>
          <w:b/>
          <w:bCs/>
          <w:color w:val="000000" w:themeColor="text1"/>
          <w:lang w:bidi="ar-SA"/>
        </w:rPr>
        <w:t>m</w:t>
      </w:r>
      <w:r w:rsidRPr="000E1725">
        <w:rPr>
          <w:rFonts w:eastAsiaTheme="minorHAnsi"/>
          <w:b/>
          <w:bCs/>
          <w:color w:val="000000" w:themeColor="text1"/>
          <w:lang w:bidi="ar-SA"/>
        </w:rPr>
        <w:t>onitoring</w:t>
      </w:r>
    </w:p>
    <w:p w14:paraId="4A140EB4" w14:textId="1EEEA422" w:rsidR="009F27D0" w:rsidRPr="000E1725" w:rsidRDefault="009F27D0" w:rsidP="009F27D0">
      <w:pPr>
        <w:numPr>
          <w:ilvl w:val="0"/>
          <w:numId w:val="20"/>
        </w:numPr>
        <w:contextualSpacing/>
        <w:jc w:val="both"/>
        <w:rPr>
          <w:color w:val="000000" w:themeColor="text1"/>
          <w:lang w:bidi="ar-SA"/>
        </w:rPr>
      </w:pPr>
      <w:r w:rsidRPr="000E1725">
        <w:rPr>
          <w:color w:val="000000" w:themeColor="text1"/>
          <w:lang w:bidi="ar-SA"/>
        </w:rPr>
        <w:t xml:space="preserve">It is essential that judgments and verdicts </w:t>
      </w:r>
      <w:proofErr w:type="spellStart"/>
      <w:r w:rsidRPr="000E1725">
        <w:rPr>
          <w:color w:val="000000" w:themeColor="text1"/>
          <w:lang w:bidi="ar-SA"/>
        </w:rPr>
        <w:t>favoring</w:t>
      </w:r>
      <w:proofErr w:type="spellEnd"/>
      <w:r w:rsidRPr="000E1725">
        <w:rPr>
          <w:color w:val="000000" w:themeColor="text1"/>
          <w:lang w:bidi="ar-SA"/>
        </w:rPr>
        <w:t xml:space="preserve"> Dalits reach the grassroots level to ensure awareness and accountability. Strong monitoring mechanisms are vital to upholding Dalit rights. While India is equipped with some of these mechanisms, they tend to be limited in reach and effectiveness and need to be strengthened.  It would be useful for th</w:t>
      </w:r>
      <w:r w:rsidR="00094F9C" w:rsidRPr="000E1725">
        <w:rPr>
          <w:color w:val="000000" w:themeColor="text1"/>
          <w:lang w:bidi="ar-SA"/>
        </w:rPr>
        <w:t xml:space="preserve">e </w:t>
      </w:r>
      <w:r w:rsidRPr="000E1725">
        <w:rPr>
          <w:color w:val="000000" w:themeColor="text1"/>
          <w:lang w:bidi="ar-SA"/>
        </w:rPr>
        <w:t xml:space="preserve">other </w:t>
      </w:r>
      <w:r w:rsidR="00D952BE" w:rsidRPr="000E1725">
        <w:rPr>
          <w:color w:val="000000" w:themeColor="text1"/>
          <w:lang w:bidi="ar-SA"/>
        </w:rPr>
        <w:t>four</w:t>
      </w:r>
      <w:r w:rsidRPr="000E1725">
        <w:rPr>
          <w:color w:val="000000" w:themeColor="text1"/>
          <w:lang w:bidi="ar-SA"/>
        </w:rPr>
        <w:t xml:space="preserve"> countries to establish similar structures.</w:t>
      </w:r>
    </w:p>
    <w:p w14:paraId="4E8A6C19" w14:textId="77777777" w:rsidR="00EC2FF8" w:rsidRPr="000E1725" w:rsidRDefault="00EC2FF8" w:rsidP="009F27D0">
      <w:pPr>
        <w:jc w:val="both"/>
        <w:rPr>
          <w:rFonts w:eastAsiaTheme="minorHAnsi"/>
          <w:b/>
          <w:bCs/>
          <w:color w:val="000000" w:themeColor="text1"/>
          <w:lang w:bidi="ar-SA"/>
        </w:rPr>
      </w:pPr>
    </w:p>
    <w:p w14:paraId="7E84F118" w14:textId="0F731F74" w:rsidR="009F27D0" w:rsidRPr="000E1725" w:rsidRDefault="009F27D0" w:rsidP="00EC2FF8">
      <w:pPr>
        <w:ind w:firstLine="720"/>
        <w:jc w:val="both"/>
        <w:rPr>
          <w:rFonts w:eastAsiaTheme="minorHAnsi"/>
          <w:b/>
          <w:bCs/>
          <w:color w:val="000000" w:themeColor="text1"/>
          <w:lang w:bidi="ar-SA"/>
        </w:rPr>
      </w:pPr>
      <w:r w:rsidRPr="000E1725">
        <w:rPr>
          <w:rFonts w:eastAsiaTheme="minorHAnsi"/>
          <w:b/>
          <w:bCs/>
          <w:color w:val="000000" w:themeColor="text1"/>
          <w:lang w:bidi="ar-SA"/>
        </w:rPr>
        <w:t>Media and Civil Society</w:t>
      </w:r>
    </w:p>
    <w:p w14:paraId="4D222087" w14:textId="1A42C775" w:rsidR="009F27D0" w:rsidRPr="000E1725" w:rsidRDefault="009F27D0" w:rsidP="009F27D0">
      <w:pPr>
        <w:numPr>
          <w:ilvl w:val="0"/>
          <w:numId w:val="20"/>
        </w:numPr>
        <w:contextualSpacing/>
        <w:jc w:val="both"/>
        <w:rPr>
          <w:color w:val="000000" w:themeColor="text1"/>
          <w:lang w:bidi="ar-SA"/>
        </w:rPr>
      </w:pPr>
      <w:r w:rsidRPr="000E1725">
        <w:rPr>
          <w:color w:val="000000" w:themeColor="text1"/>
          <w:lang w:bidi="ar-SA"/>
        </w:rPr>
        <w:t xml:space="preserve">The media and wider civil society have often been selective in their coverage of Dalit human rights violations cases - bringing more </w:t>
      </w:r>
      <w:r w:rsidR="008C1657" w:rsidRPr="000E1725">
        <w:rPr>
          <w:color w:val="000000" w:themeColor="text1"/>
          <w:lang w:bidi="ar-SA"/>
        </w:rPr>
        <w:t xml:space="preserve">media </w:t>
      </w:r>
      <w:r w:rsidRPr="000E1725">
        <w:rPr>
          <w:color w:val="000000" w:themeColor="text1"/>
          <w:lang w:bidi="ar-SA"/>
        </w:rPr>
        <w:t xml:space="preserve">visibility and support </w:t>
      </w:r>
      <w:r w:rsidR="008C1657" w:rsidRPr="000E1725">
        <w:rPr>
          <w:color w:val="000000" w:themeColor="text1"/>
          <w:lang w:bidi="ar-SA"/>
        </w:rPr>
        <w:t>to</w:t>
      </w:r>
      <w:r w:rsidRPr="000E1725">
        <w:rPr>
          <w:color w:val="000000" w:themeColor="text1"/>
          <w:lang w:bidi="ar-SA"/>
        </w:rPr>
        <w:t xml:space="preserve"> Dalit-related cases remains crucial.</w:t>
      </w:r>
    </w:p>
    <w:p w14:paraId="4C0138DB" w14:textId="38D5D75D" w:rsidR="002466D4" w:rsidRPr="000E1725" w:rsidRDefault="009F27D0" w:rsidP="009F27D0">
      <w:pPr>
        <w:numPr>
          <w:ilvl w:val="0"/>
          <w:numId w:val="20"/>
        </w:numPr>
        <w:contextualSpacing/>
        <w:jc w:val="both"/>
        <w:rPr>
          <w:color w:val="000000" w:themeColor="text1"/>
          <w:lang w:bidi="ar-SA"/>
        </w:rPr>
      </w:pPr>
      <w:r w:rsidRPr="000E1725">
        <w:rPr>
          <w:color w:val="000000" w:themeColor="text1"/>
          <w:lang w:bidi="ar-SA"/>
        </w:rPr>
        <w:t>Dalit-led civil society organizations are frequently targeted</w:t>
      </w:r>
      <w:r w:rsidR="008C1657" w:rsidRPr="000E1725">
        <w:rPr>
          <w:color w:val="000000" w:themeColor="text1"/>
          <w:lang w:bidi="ar-SA"/>
        </w:rPr>
        <w:t xml:space="preserve"> with intimidation tactics and/or threats</w:t>
      </w:r>
      <w:r w:rsidRPr="000E1725">
        <w:rPr>
          <w:color w:val="000000" w:themeColor="text1"/>
          <w:lang w:bidi="ar-SA"/>
        </w:rPr>
        <w:t xml:space="preserve"> and lack the power and resources necessary to advocate effectively in the protection of </w:t>
      </w:r>
      <w:r w:rsidR="008C1657" w:rsidRPr="000E1725">
        <w:rPr>
          <w:color w:val="000000" w:themeColor="text1"/>
          <w:lang w:bidi="ar-SA"/>
        </w:rPr>
        <w:t>their</w:t>
      </w:r>
      <w:r w:rsidRPr="000E1725">
        <w:rPr>
          <w:color w:val="000000" w:themeColor="text1"/>
          <w:lang w:bidi="ar-SA"/>
        </w:rPr>
        <w:t xml:space="preserve"> rights. Their empowerment is crucial for advancing human rights and access to justice.</w:t>
      </w:r>
    </w:p>
    <w:p w14:paraId="57465280" w14:textId="77777777" w:rsidR="00EC2FF8" w:rsidRPr="000E1725" w:rsidRDefault="00EC2FF8" w:rsidP="009F27D0">
      <w:pPr>
        <w:jc w:val="both"/>
        <w:rPr>
          <w:rFonts w:eastAsiaTheme="minorHAnsi"/>
          <w:b/>
          <w:bCs/>
          <w:color w:val="000000" w:themeColor="text1"/>
          <w:lang w:bidi="ar-SA"/>
        </w:rPr>
      </w:pPr>
    </w:p>
    <w:p w14:paraId="7EECA6E9" w14:textId="2F61D572" w:rsidR="009F27D0" w:rsidRPr="000E1725" w:rsidRDefault="009F27D0" w:rsidP="00816066">
      <w:pPr>
        <w:keepNext/>
        <w:ind w:firstLine="720"/>
        <w:jc w:val="both"/>
        <w:rPr>
          <w:rFonts w:eastAsiaTheme="minorHAnsi"/>
          <w:b/>
          <w:bCs/>
          <w:color w:val="000000" w:themeColor="text1"/>
          <w:lang w:bidi="ar-SA"/>
        </w:rPr>
      </w:pPr>
      <w:r w:rsidRPr="000E1725">
        <w:rPr>
          <w:rFonts w:eastAsiaTheme="minorHAnsi"/>
          <w:b/>
          <w:bCs/>
          <w:color w:val="000000" w:themeColor="text1"/>
          <w:lang w:bidi="ar-SA"/>
        </w:rPr>
        <w:t>Legal Aid and Representation</w:t>
      </w:r>
    </w:p>
    <w:p w14:paraId="1C0B8276" w14:textId="05070A91" w:rsidR="008C1657" w:rsidRPr="000E1725" w:rsidRDefault="009F27D0" w:rsidP="009F27D0">
      <w:pPr>
        <w:numPr>
          <w:ilvl w:val="0"/>
          <w:numId w:val="20"/>
        </w:numPr>
        <w:contextualSpacing/>
        <w:jc w:val="both"/>
        <w:rPr>
          <w:color w:val="000000" w:themeColor="text1"/>
          <w:lang w:bidi="ar-SA"/>
        </w:rPr>
      </w:pPr>
      <w:r w:rsidRPr="000E1725">
        <w:rPr>
          <w:color w:val="000000" w:themeColor="text1"/>
          <w:lang w:bidi="ar-SA"/>
        </w:rPr>
        <w:t>Access to legal aid/effective legal aid remains a significant concern for persons from descent-based communities</w:t>
      </w:r>
      <w:r w:rsidR="00B6510A" w:rsidRPr="000E1725">
        <w:rPr>
          <w:color w:val="000000" w:themeColor="text1"/>
          <w:lang w:bidi="ar-SA"/>
        </w:rPr>
        <w:t xml:space="preserve"> in all the </w:t>
      </w:r>
      <w:r w:rsidR="00D952BE" w:rsidRPr="000E1725">
        <w:rPr>
          <w:color w:val="000000" w:themeColor="text1"/>
          <w:lang w:bidi="ar-SA"/>
        </w:rPr>
        <w:t>five</w:t>
      </w:r>
      <w:r w:rsidR="00D35EC5" w:rsidRPr="000E1725">
        <w:rPr>
          <w:color w:val="000000" w:themeColor="text1"/>
          <w:lang w:bidi="ar-SA"/>
        </w:rPr>
        <w:t xml:space="preserve"> </w:t>
      </w:r>
      <w:r w:rsidR="00B6510A" w:rsidRPr="000E1725">
        <w:rPr>
          <w:color w:val="000000" w:themeColor="text1"/>
          <w:lang w:bidi="ar-SA"/>
        </w:rPr>
        <w:t>countries</w:t>
      </w:r>
      <w:r w:rsidRPr="000E1725">
        <w:rPr>
          <w:color w:val="000000" w:themeColor="text1"/>
          <w:lang w:bidi="ar-SA"/>
        </w:rPr>
        <w:t>. Strengthening and creating legal aid systems and ensuring robust witness and victim protection programmes are essential for an effective administration of justice</w:t>
      </w:r>
      <w:r w:rsidR="00402E36" w:rsidRPr="000E1725">
        <w:rPr>
          <w:color w:val="000000" w:themeColor="text1"/>
          <w:lang w:bidi="ar-SA"/>
        </w:rPr>
        <w:t xml:space="preserve"> inclusive of</w:t>
      </w:r>
      <w:r w:rsidR="00402E36" w:rsidRPr="000E1725">
        <w:rPr>
          <w:color w:val="000000" w:themeColor="text1"/>
        </w:rPr>
        <w:t xml:space="preserve"> all individuals</w:t>
      </w:r>
      <w:r w:rsidR="00883AA7" w:rsidRPr="000E1725">
        <w:rPr>
          <w:color w:val="000000" w:themeColor="text1"/>
        </w:rPr>
        <w:t>, and particularly</w:t>
      </w:r>
      <w:r w:rsidR="00402E36" w:rsidRPr="000E1725">
        <w:rPr>
          <w:color w:val="000000" w:themeColor="text1"/>
        </w:rPr>
        <w:t xml:space="preserve"> those who are marginalised.   </w:t>
      </w:r>
    </w:p>
    <w:p w14:paraId="5708F5A1" w14:textId="77777777" w:rsidR="00EC2FF8" w:rsidRPr="000E1725" w:rsidRDefault="00EC2FF8" w:rsidP="009F27D0">
      <w:pPr>
        <w:jc w:val="both"/>
        <w:rPr>
          <w:rFonts w:eastAsiaTheme="minorHAnsi"/>
          <w:b/>
          <w:bCs/>
          <w:color w:val="000000" w:themeColor="text1"/>
          <w:lang w:bidi="ar-SA"/>
        </w:rPr>
      </w:pPr>
    </w:p>
    <w:p w14:paraId="361B4677" w14:textId="3FD7DB68" w:rsidR="009F27D0" w:rsidRPr="000E1725" w:rsidRDefault="009F27D0" w:rsidP="004C4980">
      <w:pPr>
        <w:keepNext/>
        <w:ind w:firstLine="720"/>
        <w:jc w:val="both"/>
        <w:rPr>
          <w:rFonts w:eastAsiaTheme="minorHAnsi"/>
          <w:b/>
          <w:bCs/>
          <w:color w:val="000000" w:themeColor="text1"/>
          <w:lang w:bidi="ar-SA"/>
        </w:rPr>
      </w:pPr>
      <w:r w:rsidRPr="000E1725">
        <w:rPr>
          <w:rFonts w:eastAsiaTheme="minorHAnsi"/>
          <w:b/>
          <w:bCs/>
          <w:color w:val="000000" w:themeColor="text1"/>
          <w:lang w:bidi="ar-SA"/>
        </w:rPr>
        <w:t>Regional Mechanisms</w:t>
      </w:r>
    </w:p>
    <w:p w14:paraId="4F6B1DF8" w14:textId="77777777" w:rsidR="009F27D0" w:rsidRPr="000E1725" w:rsidRDefault="009F27D0" w:rsidP="009F27D0">
      <w:pPr>
        <w:numPr>
          <w:ilvl w:val="0"/>
          <w:numId w:val="20"/>
        </w:numPr>
        <w:contextualSpacing/>
        <w:jc w:val="both"/>
        <w:rPr>
          <w:color w:val="000000" w:themeColor="text1"/>
          <w:lang w:bidi="ar-SA"/>
        </w:rPr>
      </w:pPr>
      <w:r w:rsidRPr="000E1725">
        <w:rPr>
          <w:color w:val="000000" w:themeColor="text1"/>
          <w:lang w:bidi="ar-SA"/>
        </w:rPr>
        <w:t>Establishing regional mechanisms at the South Asia level to protect the rights of persons from descent-based communities could provide a consistent approach to addressing these challenges.</w:t>
      </w:r>
    </w:p>
    <w:p w14:paraId="327F37D6" w14:textId="77777777" w:rsidR="00EC2FF8" w:rsidRPr="000E1725" w:rsidRDefault="00EC2FF8" w:rsidP="00A02A7A">
      <w:pPr>
        <w:contextualSpacing/>
        <w:jc w:val="both"/>
        <w:rPr>
          <w:b/>
          <w:bCs/>
          <w:color w:val="000000" w:themeColor="text1"/>
          <w:lang w:bidi="ar-SA"/>
        </w:rPr>
      </w:pPr>
    </w:p>
    <w:p w14:paraId="245EA3B0" w14:textId="0DC3FAF5" w:rsidR="00A02A7A" w:rsidRPr="000E1725" w:rsidRDefault="00A02A7A" w:rsidP="00EC2FF8">
      <w:pPr>
        <w:ind w:firstLine="720"/>
        <w:contextualSpacing/>
        <w:jc w:val="both"/>
        <w:rPr>
          <w:b/>
          <w:bCs/>
          <w:color w:val="000000" w:themeColor="text1"/>
          <w:lang w:bidi="ar-SA"/>
        </w:rPr>
      </w:pPr>
      <w:r w:rsidRPr="000E1725">
        <w:rPr>
          <w:b/>
          <w:bCs/>
          <w:color w:val="000000" w:themeColor="text1"/>
          <w:lang w:bidi="ar-SA"/>
        </w:rPr>
        <w:t>Lack of data</w:t>
      </w:r>
    </w:p>
    <w:p w14:paraId="52B462FC" w14:textId="02120FDF" w:rsidR="006B00D1" w:rsidRPr="000E1725" w:rsidRDefault="00041E37" w:rsidP="00A02A7A">
      <w:pPr>
        <w:numPr>
          <w:ilvl w:val="0"/>
          <w:numId w:val="20"/>
        </w:numPr>
        <w:contextualSpacing/>
        <w:jc w:val="both"/>
        <w:rPr>
          <w:color w:val="000000" w:themeColor="text1"/>
        </w:rPr>
      </w:pPr>
      <w:r w:rsidRPr="000E1725">
        <w:rPr>
          <w:color w:val="000000" w:themeColor="text1"/>
        </w:rPr>
        <w:t xml:space="preserve">The absence of data in the 5 countries as to violations of the rights of Dalits makes it difficult to demonstrate </w:t>
      </w:r>
      <w:r w:rsidR="00A02A7A" w:rsidRPr="000E1725">
        <w:rPr>
          <w:color w:val="000000" w:themeColor="text1"/>
        </w:rPr>
        <w:t>trends as to the States</w:t>
      </w:r>
      <w:r w:rsidR="008C1657" w:rsidRPr="000E1725">
        <w:rPr>
          <w:color w:val="000000" w:themeColor="text1"/>
        </w:rPr>
        <w:t>’</w:t>
      </w:r>
      <w:r w:rsidR="00A02A7A" w:rsidRPr="000E1725">
        <w:rPr>
          <w:color w:val="000000" w:themeColor="text1"/>
        </w:rPr>
        <w:t xml:space="preserve"> </w:t>
      </w:r>
      <w:r w:rsidRPr="000E1725">
        <w:rPr>
          <w:color w:val="000000" w:themeColor="text1"/>
        </w:rPr>
        <w:t xml:space="preserve">lack of </w:t>
      </w:r>
      <w:r w:rsidR="00A02A7A" w:rsidRPr="000E1725">
        <w:rPr>
          <w:color w:val="000000" w:themeColor="text1"/>
        </w:rPr>
        <w:t>commitment to</w:t>
      </w:r>
      <w:r w:rsidRPr="000E1725">
        <w:rPr>
          <w:color w:val="000000" w:themeColor="text1"/>
        </w:rPr>
        <w:t xml:space="preserve"> the implementation of </w:t>
      </w:r>
      <w:r w:rsidR="00A02A7A" w:rsidRPr="000E1725">
        <w:rPr>
          <w:color w:val="000000" w:themeColor="text1"/>
        </w:rPr>
        <w:t xml:space="preserve">specific international treaties for ensuring the protection of civil and political rights </w:t>
      </w:r>
      <w:r w:rsidR="008C1657" w:rsidRPr="000E1725">
        <w:rPr>
          <w:color w:val="000000" w:themeColor="text1"/>
        </w:rPr>
        <w:t>of Dalits</w:t>
      </w:r>
      <w:r w:rsidR="00A02A7A" w:rsidRPr="000E1725">
        <w:rPr>
          <w:color w:val="000000" w:themeColor="text1"/>
        </w:rPr>
        <w:t>, such as the International Covenant on Civil and Political Rights (ICCPR) and the Convention on Elimination of Racial Discrimination (CERD), is also undermined by weak implementation.</w:t>
      </w:r>
    </w:p>
    <w:p w14:paraId="2D95CC50" w14:textId="77777777" w:rsidR="00A02A7A" w:rsidRPr="000E1725" w:rsidRDefault="00A02A7A" w:rsidP="00A02A7A">
      <w:pPr>
        <w:contextualSpacing/>
        <w:jc w:val="both"/>
        <w:rPr>
          <w:rFonts w:eastAsiaTheme="minorHAnsi"/>
          <w:b/>
          <w:bCs/>
          <w:color w:val="000000"/>
          <w:u w:val="single"/>
          <w:lang w:bidi="ar-SA"/>
        </w:rPr>
      </w:pPr>
    </w:p>
    <w:p w14:paraId="5AC728B4" w14:textId="77777777" w:rsidR="00816066" w:rsidRPr="000E1725" w:rsidRDefault="00816066" w:rsidP="00A02A7A">
      <w:pPr>
        <w:contextualSpacing/>
        <w:jc w:val="both"/>
        <w:rPr>
          <w:rFonts w:eastAsiaTheme="minorHAnsi"/>
          <w:b/>
          <w:bCs/>
          <w:color w:val="000000"/>
          <w:u w:val="single"/>
          <w:lang w:bidi="ar-SA"/>
        </w:rPr>
      </w:pPr>
    </w:p>
    <w:p w14:paraId="46746170" w14:textId="0CD91475" w:rsidR="00F97929" w:rsidRPr="000E1725" w:rsidRDefault="00816066" w:rsidP="00816066">
      <w:pPr>
        <w:pStyle w:val="ListParagraph"/>
        <w:numPr>
          <w:ilvl w:val="0"/>
          <w:numId w:val="26"/>
        </w:numPr>
        <w:jc w:val="both"/>
        <w:rPr>
          <w:rFonts w:eastAsiaTheme="minorHAnsi"/>
          <w:b/>
          <w:bCs/>
          <w:lang w:bidi="ar-SA"/>
        </w:rPr>
      </w:pPr>
      <w:r w:rsidRPr="000E1725">
        <w:rPr>
          <w:rFonts w:eastAsiaTheme="minorHAnsi"/>
          <w:b/>
          <w:bCs/>
          <w:lang w:bidi="ar-SA"/>
        </w:rPr>
        <w:t xml:space="preserve"> </w:t>
      </w:r>
      <w:r w:rsidR="00F97929" w:rsidRPr="000E1725">
        <w:rPr>
          <w:rFonts w:eastAsiaTheme="minorHAnsi"/>
          <w:b/>
          <w:bCs/>
          <w:lang w:bidi="ar-SA"/>
        </w:rPr>
        <w:t>Way forward</w:t>
      </w:r>
    </w:p>
    <w:p w14:paraId="75899FC0" w14:textId="77777777" w:rsidR="00F97929" w:rsidRPr="000E1725" w:rsidRDefault="00F97929" w:rsidP="009F27D0">
      <w:pPr>
        <w:jc w:val="both"/>
        <w:rPr>
          <w:rFonts w:eastAsiaTheme="minorHAnsi"/>
          <w:color w:val="000000"/>
          <w:lang w:bidi="ar-SA"/>
        </w:rPr>
      </w:pPr>
    </w:p>
    <w:p w14:paraId="73AA8E5F" w14:textId="503A6C0D" w:rsidR="003E4975" w:rsidRPr="000E1725" w:rsidRDefault="002466D4" w:rsidP="003E4975">
      <w:pPr>
        <w:jc w:val="both"/>
        <w:rPr>
          <w:b/>
          <w:bCs/>
          <w:color w:val="000000" w:themeColor="text1"/>
        </w:rPr>
      </w:pPr>
      <w:r w:rsidRPr="000E1725">
        <w:rPr>
          <w:b/>
          <w:bCs/>
          <w:color w:val="000000" w:themeColor="text1"/>
        </w:rPr>
        <w:t>S</w:t>
      </w:r>
      <w:r w:rsidR="003E4975" w:rsidRPr="000E1725">
        <w:rPr>
          <w:b/>
          <w:bCs/>
          <w:color w:val="000000" w:themeColor="text1"/>
        </w:rPr>
        <w:t xml:space="preserve">trengthening existing structures and/or establish new mechanisms to facilitate access to </w:t>
      </w:r>
      <w:proofErr w:type="gramStart"/>
      <w:r w:rsidR="003E4975" w:rsidRPr="000E1725">
        <w:rPr>
          <w:b/>
          <w:bCs/>
          <w:color w:val="000000" w:themeColor="text1"/>
        </w:rPr>
        <w:t>justice</w:t>
      </w:r>
      <w:proofErr w:type="gramEnd"/>
      <w:r w:rsidR="003E4975" w:rsidRPr="000E1725">
        <w:rPr>
          <w:b/>
          <w:bCs/>
          <w:color w:val="000000" w:themeColor="text1"/>
        </w:rPr>
        <w:t xml:space="preserve">  </w:t>
      </w:r>
    </w:p>
    <w:p w14:paraId="2D66C036" w14:textId="77777777" w:rsidR="003E4975" w:rsidRPr="000E1725" w:rsidRDefault="003E4975" w:rsidP="003E4975">
      <w:pPr>
        <w:jc w:val="both"/>
        <w:rPr>
          <w:b/>
          <w:bCs/>
          <w:color w:val="000000" w:themeColor="text1"/>
        </w:rPr>
      </w:pPr>
    </w:p>
    <w:p w14:paraId="7921846C" w14:textId="135F5BF1" w:rsidR="00B54C64" w:rsidRPr="000E1725" w:rsidRDefault="003E4975" w:rsidP="003E4975">
      <w:pPr>
        <w:jc w:val="both"/>
        <w:rPr>
          <w:color w:val="000000" w:themeColor="text1"/>
        </w:rPr>
      </w:pPr>
      <w:r w:rsidRPr="000E1725">
        <w:rPr>
          <w:color w:val="000000" w:themeColor="text1"/>
        </w:rPr>
        <w:t xml:space="preserve">The Bangkok Initiative has </w:t>
      </w:r>
      <w:r w:rsidR="00816066" w:rsidRPr="000E1725">
        <w:rPr>
          <w:color w:val="000000" w:themeColor="text1"/>
        </w:rPr>
        <w:t>confirmed</w:t>
      </w:r>
      <w:r w:rsidRPr="000E1725">
        <w:rPr>
          <w:color w:val="000000" w:themeColor="text1"/>
        </w:rPr>
        <w:t xml:space="preserve"> that we must urgently find effective ways to </w:t>
      </w:r>
      <w:r w:rsidR="00B54C64" w:rsidRPr="000E1725">
        <w:rPr>
          <w:color w:val="000000" w:themeColor="text1"/>
        </w:rPr>
        <w:t>remove</w:t>
      </w:r>
      <w:r w:rsidRPr="000E1725">
        <w:rPr>
          <w:color w:val="000000" w:themeColor="text1"/>
        </w:rPr>
        <w:t xml:space="preserve"> the </w:t>
      </w:r>
      <w:r w:rsidR="00B54C64" w:rsidRPr="000E1725">
        <w:rPr>
          <w:color w:val="000000" w:themeColor="text1"/>
        </w:rPr>
        <w:t xml:space="preserve">legal and practical </w:t>
      </w:r>
      <w:r w:rsidRPr="000E1725">
        <w:rPr>
          <w:color w:val="000000" w:themeColor="text1"/>
        </w:rPr>
        <w:t xml:space="preserve">barriers imposed on Dalits </w:t>
      </w:r>
      <w:r w:rsidR="00142630" w:rsidRPr="000E1725">
        <w:rPr>
          <w:color w:val="000000" w:themeColor="text1"/>
        </w:rPr>
        <w:t xml:space="preserve">and thereby </w:t>
      </w:r>
      <w:r w:rsidR="009505D8" w:rsidRPr="000E1725">
        <w:rPr>
          <w:color w:val="000000" w:themeColor="text1"/>
        </w:rPr>
        <w:t>enforce</w:t>
      </w:r>
      <w:r w:rsidR="009505D8">
        <w:rPr>
          <w:color w:val="000000" w:themeColor="text1"/>
        </w:rPr>
        <w:t xml:space="preserve"> </w:t>
      </w:r>
      <w:r w:rsidR="00801429">
        <w:rPr>
          <w:color w:val="000000" w:themeColor="text1"/>
        </w:rPr>
        <w:t xml:space="preserve">their </w:t>
      </w:r>
      <w:r w:rsidR="00801429" w:rsidRPr="000E1725">
        <w:rPr>
          <w:color w:val="000000" w:themeColor="text1"/>
        </w:rPr>
        <w:t>access</w:t>
      </w:r>
      <w:r w:rsidR="009505D8">
        <w:rPr>
          <w:color w:val="000000" w:themeColor="text1"/>
        </w:rPr>
        <w:t xml:space="preserve"> to</w:t>
      </w:r>
      <w:r w:rsidRPr="000E1725">
        <w:rPr>
          <w:color w:val="000000" w:themeColor="text1"/>
        </w:rPr>
        <w:t xml:space="preserve"> justice.</w:t>
      </w:r>
      <w:r w:rsidR="00B54C64" w:rsidRPr="000E1725">
        <w:rPr>
          <w:color w:val="000000" w:themeColor="text1"/>
        </w:rPr>
        <w:t xml:space="preserve"> This requires the adoption of a wide range of measures designed to implement existing legislation which already provide for non-discrimination</w:t>
      </w:r>
      <w:r w:rsidR="00142630" w:rsidRPr="000E1725">
        <w:rPr>
          <w:color w:val="000000" w:themeColor="text1"/>
        </w:rPr>
        <w:t xml:space="preserve">.  </w:t>
      </w:r>
      <w:r w:rsidRPr="000E1725">
        <w:rPr>
          <w:color w:val="000000" w:themeColor="text1"/>
        </w:rPr>
        <w:t xml:space="preserve">The country reports attached provides a </w:t>
      </w:r>
      <w:r w:rsidR="00C5731B" w:rsidRPr="000E1725">
        <w:rPr>
          <w:color w:val="000000" w:themeColor="text1"/>
        </w:rPr>
        <w:t>synopsis</w:t>
      </w:r>
      <w:r w:rsidRPr="000E1725">
        <w:rPr>
          <w:color w:val="000000" w:themeColor="text1"/>
        </w:rPr>
        <w:t xml:space="preserve"> of the general situation on the ground in the </w:t>
      </w:r>
      <w:r w:rsidR="00816066" w:rsidRPr="000E1725">
        <w:rPr>
          <w:color w:val="000000" w:themeColor="text1"/>
        </w:rPr>
        <w:t>five</w:t>
      </w:r>
      <w:r w:rsidRPr="000E1725">
        <w:rPr>
          <w:color w:val="000000" w:themeColor="text1"/>
        </w:rPr>
        <w:t xml:space="preserve"> countries</w:t>
      </w:r>
      <w:r w:rsidR="00C5731B" w:rsidRPr="000E1725">
        <w:rPr>
          <w:color w:val="000000" w:themeColor="text1"/>
        </w:rPr>
        <w:t xml:space="preserve"> and </w:t>
      </w:r>
      <w:r w:rsidR="00816066" w:rsidRPr="000E1725">
        <w:rPr>
          <w:color w:val="000000" w:themeColor="text1"/>
        </w:rPr>
        <w:t xml:space="preserve">lay the </w:t>
      </w:r>
      <w:r w:rsidR="00C5731B" w:rsidRPr="000E1725">
        <w:rPr>
          <w:color w:val="000000" w:themeColor="text1"/>
        </w:rPr>
        <w:t>foundation for developing guidance</w:t>
      </w:r>
      <w:r w:rsidR="00816066" w:rsidRPr="000E1725">
        <w:rPr>
          <w:color w:val="000000" w:themeColor="text1"/>
        </w:rPr>
        <w:t>,</w:t>
      </w:r>
      <w:r w:rsidR="00C5731B" w:rsidRPr="000E1725">
        <w:rPr>
          <w:color w:val="000000" w:themeColor="text1"/>
        </w:rPr>
        <w:t xml:space="preserve"> which </w:t>
      </w:r>
      <w:r w:rsidR="00C5731B" w:rsidRPr="000E1725">
        <w:rPr>
          <w:color w:val="000000" w:themeColor="text1"/>
          <w:spacing w:val="4"/>
        </w:rPr>
        <w:t xml:space="preserve">legislators and advocates can </w:t>
      </w:r>
      <w:proofErr w:type="gramStart"/>
      <w:r w:rsidR="00C5731B" w:rsidRPr="000E1725">
        <w:rPr>
          <w:color w:val="000000" w:themeColor="text1"/>
          <w:spacing w:val="4"/>
        </w:rPr>
        <w:t>put to use</w:t>
      </w:r>
      <w:proofErr w:type="gramEnd"/>
      <w:r w:rsidR="00C5731B" w:rsidRPr="000E1725">
        <w:rPr>
          <w:color w:val="000000" w:themeColor="text1"/>
          <w:spacing w:val="4"/>
        </w:rPr>
        <w:t xml:space="preserve"> </w:t>
      </w:r>
      <w:r w:rsidR="00041E37" w:rsidRPr="000E1725">
        <w:rPr>
          <w:color w:val="000000" w:themeColor="text1"/>
          <w:spacing w:val="4"/>
        </w:rPr>
        <w:t>in</w:t>
      </w:r>
      <w:r w:rsidR="00B54C64" w:rsidRPr="000E1725">
        <w:rPr>
          <w:color w:val="000000" w:themeColor="text1"/>
          <w:spacing w:val="4"/>
        </w:rPr>
        <w:t xml:space="preserve"> </w:t>
      </w:r>
      <w:r w:rsidR="00041E37" w:rsidRPr="000E1725">
        <w:rPr>
          <w:color w:val="000000" w:themeColor="text1"/>
          <w:spacing w:val="4"/>
        </w:rPr>
        <w:t xml:space="preserve">the </w:t>
      </w:r>
      <w:r w:rsidR="00B54C64" w:rsidRPr="000E1725">
        <w:rPr>
          <w:color w:val="000000" w:themeColor="text1"/>
          <w:spacing w:val="4"/>
        </w:rPr>
        <w:t>implement</w:t>
      </w:r>
      <w:r w:rsidR="00041E37" w:rsidRPr="000E1725">
        <w:rPr>
          <w:color w:val="000000" w:themeColor="text1"/>
          <w:spacing w:val="4"/>
        </w:rPr>
        <w:t>ation of</w:t>
      </w:r>
      <w:r w:rsidR="00B54C64" w:rsidRPr="000E1725">
        <w:rPr>
          <w:color w:val="000000" w:themeColor="text1"/>
          <w:spacing w:val="4"/>
        </w:rPr>
        <w:t xml:space="preserve"> existing la</w:t>
      </w:r>
      <w:r w:rsidR="00041E37" w:rsidRPr="000E1725">
        <w:rPr>
          <w:color w:val="000000" w:themeColor="text1"/>
          <w:spacing w:val="4"/>
        </w:rPr>
        <w:t>ws</w:t>
      </w:r>
      <w:r w:rsidR="00B54C64" w:rsidRPr="000E1725">
        <w:rPr>
          <w:color w:val="000000" w:themeColor="text1"/>
          <w:spacing w:val="4"/>
        </w:rPr>
        <w:t xml:space="preserve"> and/or develop </w:t>
      </w:r>
      <w:r w:rsidR="00C5731B" w:rsidRPr="000E1725">
        <w:rPr>
          <w:color w:val="000000" w:themeColor="text1"/>
          <w:spacing w:val="4"/>
        </w:rPr>
        <w:t xml:space="preserve">anti-discrimination </w:t>
      </w:r>
      <w:r w:rsidR="00041E37" w:rsidRPr="000E1725">
        <w:rPr>
          <w:color w:val="000000" w:themeColor="text1"/>
          <w:spacing w:val="4"/>
        </w:rPr>
        <w:t xml:space="preserve">legislation specific to Dalits’ </w:t>
      </w:r>
      <w:r w:rsidR="00B54C64" w:rsidRPr="000E1725">
        <w:rPr>
          <w:color w:val="000000" w:themeColor="text1"/>
          <w:spacing w:val="4"/>
        </w:rPr>
        <w:t>access</w:t>
      </w:r>
      <w:r w:rsidR="00041E37" w:rsidRPr="000E1725">
        <w:rPr>
          <w:color w:val="000000" w:themeColor="text1"/>
          <w:spacing w:val="4"/>
        </w:rPr>
        <w:t xml:space="preserve"> to</w:t>
      </w:r>
      <w:r w:rsidR="00B54C64" w:rsidRPr="000E1725">
        <w:rPr>
          <w:color w:val="000000" w:themeColor="text1"/>
          <w:spacing w:val="4"/>
        </w:rPr>
        <w:t xml:space="preserve"> justice</w:t>
      </w:r>
      <w:r w:rsidR="00041E37" w:rsidRPr="000E1725">
        <w:rPr>
          <w:color w:val="000000" w:themeColor="text1"/>
          <w:spacing w:val="4"/>
        </w:rPr>
        <w:t>.</w:t>
      </w:r>
      <w:r w:rsidR="00B54C64" w:rsidRPr="000E1725">
        <w:rPr>
          <w:color w:val="000000" w:themeColor="text1"/>
          <w:spacing w:val="4"/>
        </w:rPr>
        <w:t xml:space="preserve"> </w:t>
      </w:r>
    </w:p>
    <w:p w14:paraId="56F348C3" w14:textId="77777777" w:rsidR="00041E37" w:rsidRPr="000E1725" w:rsidRDefault="00041E37" w:rsidP="002E7752">
      <w:pPr>
        <w:jc w:val="both"/>
        <w:rPr>
          <w:color w:val="000000" w:themeColor="text1"/>
          <w:spacing w:val="4"/>
        </w:rPr>
      </w:pPr>
    </w:p>
    <w:p w14:paraId="0E8333F0" w14:textId="0A3820BA" w:rsidR="002E7752" w:rsidRPr="000E1725" w:rsidRDefault="006320BC" w:rsidP="002E7752">
      <w:pPr>
        <w:jc w:val="both"/>
        <w:rPr>
          <w:color w:val="000000" w:themeColor="text1"/>
        </w:rPr>
      </w:pPr>
      <w:r w:rsidRPr="000E1725">
        <w:rPr>
          <w:color w:val="000000" w:themeColor="text1"/>
          <w:spacing w:val="4"/>
        </w:rPr>
        <w:t xml:space="preserve">OHCHR aims to assist States in meeting their core international law obligations to respect, protect and fulfil the rights to equality and non-discrimination. Over the years, </w:t>
      </w:r>
      <w:r w:rsidR="00106D74" w:rsidRPr="000E1725">
        <w:rPr>
          <w:color w:val="000000" w:themeColor="text1"/>
        </w:rPr>
        <w:t xml:space="preserve">OHCHR has generated trust and demand for technical support and guidance by governments and state institutions.   Through partnerships with civil society and the international community, OHCHR has created important opportunities for dialogue and exchange of knowledge on key human rights concerns and challenges. In this connection </w:t>
      </w:r>
      <w:r w:rsidR="00314F6C" w:rsidRPr="000E1725">
        <w:rPr>
          <w:color w:val="000000" w:themeColor="text1"/>
        </w:rPr>
        <w:t xml:space="preserve">OHCHR can </w:t>
      </w:r>
      <w:proofErr w:type="gramStart"/>
      <w:r w:rsidR="00314F6C" w:rsidRPr="000E1725">
        <w:rPr>
          <w:color w:val="000000" w:themeColor="text1"/>
        </w:rPr>
        <w:t xml:space="preserve">provide assistance </w:t>
      </w:r>
      <w:r w:rsidR="00094F9C" w:rsidRPr="000E1725">
        <w:rPr>
          <w:color w:val="000000" w:themeColor="text1"/>
        </w:rPr>
        <w:t>to</w:t>
      </w:r>
      <w:proofErr w:type="gramEnd"/>
      <w:r w:rsidR="00094F9C" w:rsidRPr="000E1725">
        <w:rPr>
          <w:color w:val="000000" w:themeColor="text1"/>
        </w:rPr>
        <w:t xml:space="preserve"> any of the </w:t>
      </w:r>
      <w:r w:rsidR="00816066" w:rsidRPr="000E1725">
        <w:rPr>
          <w:color w:val="000000" w:themeColor="text1"/>
        </w:rPr>
        <w:t>five</w:t>
      </w:r>
      <w:r w:rsidR="00094F9C" w:rsidRPr="000E1725">
        <w:rPr>
          <w:color w:val="000000" w:themeColor="text1"/>
        </w:rPr>
        <w:t xml:space="preserve"> States in planning</w:t>
      </w:r>
      <w:r w:rsidR="00314F6C" w:rsidRPr="000E1725">
        <w:rPr>
          <w:color w:val="000000" w:themeColor="text1"/>
        </w:rPr>
        <w:t xml:space="preserve"> reforms of national </w:t>
      </w:r>
      <w:r w:rsidR="00EC2FF8" w:rsidRPr="000E1725">
        <w:rPr>
          <w:color w:val="000000" w:themeColor="text1"/>
        </w:rPr>
        <w:t>legislation consistent</w:t>
      </w:r>
      <w:r w:rsidR="00314F6C" w:rsidRPr="000E1725">
        <w:rPr>
          <w:color w:val="000000" w:themeColor="text1"/>
        </w:rPr>
        <w:t xml:space="preserve"> with international human rights standards</w:t>
      </w:r>
      <w:r w:rsidR="002E7752" w:rsidRPr="000E1725">
        <w:rPr>
          <w:color w:val="000000" w:themeColor="text1"/>
        </w:rPr>
        <w:t xml:space="preserve"> and previous recommendations of the UN treaty bodies, special procedures and UPR process.</w:t>
      </w:r>
    </w:p>
    <w:p w14:paraId="5A6C3901" w14:textId="77777777" w:rsidR="002E7752" w:rsidRPr="000E1725" w:rsidRDefault="002E7752" w:rsidP="002E7752">
      <w:pPr>
        <w:jc w:val="both"/>
        <w:rPr>
          <w:color w:val="000000" w:themeColor="text1"/>
          <w:spacing w:val="4"/>
        </w:rPr>
      </w:pPr>
    </w:p>
    <w:p w14:paraId="6CC052D2" w14:textId="019141DF" w:rsidR="00314F6C" w:rsidRPr="000E1725" w:rsidRDefault="00094F9C" w:rsidP="00314F6C">
      <w:pPr>
        <w:jc w:val="both"/>
        <w:rPr>
          <w:color w:val="000000" w:themeColor="text1"/>
        </w:rPr>
      </w:pPr>
      <w:r w:rsidRPr="000E1725">
        <w:rPr>
          <w:color w:val="000000" w:themeColor="text1"/>
        </w:rPr>
        <w:t>OHCHR provide</w:t>
      </w:r>
      <w:r w:rsidR="00F05817" w:rsidRPr="000E1725">
        <w:rPr>
          <w:color w:val="000000" w:themeColor="text1"/>
        </w:rPr>
        <w:t>s</w:t>
      </w:r>
      <w:r w:rsidRPr="000E1725">
        <w:rPr>
          <w:color w:val="000000" w:themeColor="text1"/>
        </w:rPr>
        <w:t xml:space="preserve"> </w:t>
      </w:r>
      <w:r w:rsidR="00314F6C" w:rsidRPr="000E1725">
        <w:rPr>
          <w:color w:val="000000" w:themeColor="text1"/>
        </w:rPr>
        <w:t>advisory services and assistance in reviewing l</w:t>
      </w:r>
      <w:r w:rsidRPr="000E1725">
        <w:rPr>
          <w:color w:val="000000" w:themeColor="text1"/>
        </w:rPr>
        <w:t xml:space="preserve">egislations consistent with </w:t>
      </w:r>
      <w:r w:rsidR="00314F6C" w:rsidRPr="000E1725">
        <w:rPr>
          <w:color w:val="000000" w:themeColor="text1"/>
        </w:rPr>
        <w:t xml:space="preserve">inclusive and participatory consultation processes and public information campaigns. </w:t>
      </w:r>
      <w:r w:rsidR="00F05817" w:rsidRPr="000E1725">
        <w:rPr>
          <w:color w:val="000000" w:themeColor="text1"/>
        </w:rPr>
        <w:t>It can help in the s</w:t>
      </w:r>
      <w:r w:rsidR="00314F6C" w:rsidRPr="000E1725">
        <w:rPr>
          <w:color w:val="000000" w:themeColor="text1"/>
        </w:rPr>
        <w:t>trengthen</w:t>
      </w:r>
      <w:r w:rsidR="00340ECC" w:rsidRPr="000E1725">
        <w:rPr>
          <w:color w:val="000000" w:themeColor="text1"/>
        </w:rPr>
        <w:t>ing</w:t>
      </w:r>
      <w:r w:rsidR="00314F6C" w:rsidRPr="000E1725">
        <w:rPr>
          <w:color w:val="000000" w:themeColor="text1"/>
        </w:rPr>
        <w:t xml:space="preserve"> </w:t>
      </w:r>
      <w:r w:rsidR="00F05817" w:rsidRPr="000E1725">
        <w:rPr>
          <w:color w:val="000000" w:themeColor="text1"/>
        </w:rPr>
        <w:t xml:space="preserve">of </w:t>
      </w:r>
      <w:r w:rsidR="00314F6C" w:rsidRPr="000E1725">
        <w:rPr>
          <w:color w:val="000000" w:themeColor="text1"/>
        </w:rPr>
        <w:t>national institutions, including national human rights commission</w:t>
      </w:r>
      <w:r w:rsidR="00F05817" w:rsidRPr="000E1725">
        <w:rPr>
          <w:color w:val="000000" w:themeColor="text1"/>
        </w:rPr>
        <w:t>s</w:t>
      </w:r>
      <w:r w:rsidR="00314F6C" w:rsidRPr="000E1725">
        <w:rPr>
          <w:color w:val="000000" w:themeColor="text1"/>
        </w:rPr>
        <w:t xml:space="preserve"> in line with the Paris Principles to address discrimination faced by Dalits in accessing the wheels of justice starting with registering a complaint at the police station</w:t>
      </w:r>
      <w:r w:rsidRPr="000E1725">
        <w:rPr>
          <w:color w:val="000000" w:themeColor="text1"/>
        </w:rPr>
        <w:t>.</w:t>
      </w:r>
      <w:r w:rsidR="00EC2FF8" w:rsidRPr="000E1725">
        <w:rPr>
          <w:color w:val="000000" w:themeColor="text1"/>
        </w:rPr>
        <w:t xml:space="preserve"> </w:t>
      </w:r>
      <w:r w:rsidRPr="000E1725">
        <w:rPr>
          <w:color w:val="000000" w:themeColor="text1"/>
        </w:rPr>
        <w:t>OHCHR can also d</w:t>
      </w:r>
      <w:r w:rsidR="00314F6C" w:rsidRPr="000E1725">
        <w:rPr>
          <w:color w:val="000000" w:themeColor="text1"/>
        </w:rPr>
        <w:t>evelop tailored training and refresher programmes for judicial officials and law enforcement personnel.</w:t>
      </w:r>
    </w:p>
    <w:p w14:paraId="2679B69F" w14:textId="77777777" w:rsidR="00094F9C" w:rsidRPr="000E1725" w:rsidRDefault="00094F9C" w:rsidP="00314F6C">
      <w:pPr>
        <w:jc w:val="both"/>
        <w:rPr>
          <w:color w:val="000000" w:themeColor="text1"/>
        </w:rPr>
      </w:pPr>
    </w:p>
    <w:p w14:paraId="65311260" w14:textId="1575664D" w:rsidR="002E7752" w:rsidRPr="000E1725" w:rsidRDefault="00F05817" w:rsidP="002E7752">
      <w:pPr>
        <w:jc w:val="both"/>
        <w:rPr>
          <w:color w:val="000000" w:themeColor="text1"/>
        </w:rPr>
      </w:pPr>
      <w:bookmarkStart w:id="12" w:name="_Hlk177388202"/>
      <w:r w:rsidRPr="000E1725">
        <w:rPr>
          <w:color w:val="000000" w:themeColor="text1"/>
        </w:rPr>
        <w:t>OHCHR a</w:t>
      </w:r>
      <w:r w:rsidR="002E7752" w:rsidRPr="000E1725">
        <w:rPr>
          <w:color w:val="000000" w:themeColor="text1"/>
        </w:rPr>
        <w:t>ssist</w:t>
      </w:r>
      <w:r w:rsidRPr="000E1725">
        <w:rPr>
          <w:color w:val="000000" w:themeColor="text1"/>
        </w:rPr>
        <w:t>s</w:t>
      </w:r>
      <w:r w:rsidR="002E7752" w:rsidRPr="000E1725">
        <w:rPr>
          <w:color w:val="000000" w:themeColor="text1"/>
        </w:rPr>
        <w:t xml:space="preserve"> the UN System </w:t>
      </w:r>
      <w:r w:rsidR="00FC30AA" w:rsidRPr="000E1725">
        <w:rPr>
          <w:color w:val="000000" w:themeColor="text1"/>
        </w:rPr>
        <w:t xml:space="preserve">in ensuring </w:t>
      </w:r>
      <w:r w:rsidR="002E7752" w:rsidRPr="000E1725">
        <w:rPr>
          <w:color w:val="000000" w:themeColor="text1"/>
        </w:rPr>
        <w:t>a more systematic integration of Dalit rights i</w:t>
      </w:r>
      <w:r w:rsidR="00FC30AA" w:rsidRPr="000E1725">
        <w:rPr>
          <w:color w:val="000000" w:themeColor="text1"/>
        </w:rPr>
        <w:t>n</w:t>
      </w:r>
      <w:r w:rsidR="002E7752" w:rsidRPr="000E1725">
        <w:rPr>
          <w:color w:val="000000" w:themeColor="text1"/>
        </w:rPr>
        <w:t xml:space="preserve"> the</w:t>
      </w:r>
      <w:r w:rsidR="00FC30AA" w:rsidRPr="000E1725">
        <w:rPr>
          <w:color w:val="000000" w:themeColor="text1"/>
        </w:rPr>
        <w:t xml:space="preserve"> yearly UN Common Country Analysis</w:t>
      </w:r>
      <w:r w:rsidR="002E7752" w:rsidRPr="000E1725">
        <w:rPr>
          <w:color w:val="000000" w:themeColor="text1"/>
        </w:rPr>
        <w:t xml:space="preserve"> </w:t>
      </w:r>
      <w:r w:rsidR="00FC30AA" w:rsidRPr="000E1725">
        <w:rPr>
          <w:color w:val="000000" w:themeColor="text1"/>
          <w:shd w:val="clear" w:color="auto" w:fill="FFFFFF"/>
        </w:rPr>
        <w:t xml:space="preserve">allowing for independent, </w:t>
      </w:r>
      <w:proofErr w:type="gramStart"/>
      <w:r w:rsidR="00FC30AA" w:rsidRPr="000E1725">
        <w:rPr>
          <w:color w:val="000000" w:themeColor="text1"/>
          <w:shd w:val="clear" w:color="auto" w:fill="FFFFFF"/>
        </w:rPr>
        <w:t>impartial</w:t>
      </w:r>
      <w:proofErr w:type="gramEnd"/>
      <w:r w:rsidR="00FC30AA" w:rsidRPr="000E1725">
        <w:rPr>
          <w:color w:val="000000" w:themeColor="text1"/>
          <w:shd w:val="clear" w:color="auto" w:fill="FFFFFF"/>
        </w:rPr>
        <w:t xml:space="preserve"> and collective analysis of the Dalits situation in the </w:t>
      </w:r>
      <w:r w:rsidR="00816066" w:rsidRPr="000E1725">
        <w:rPr>
          <w:color w:val="000000" w:themeColor="text1"/>
          <w:shd w:val="clear" w:color="auto" w:fill="FFFFFF"/>
        </w:rPr>
        <w:t>five</w:t>
      </w:r>
      <w:r w:rsidR="00FC30AA" w:rsidRPr="000E1725">
        <w:rPr>
          <w:color w:val="000000" w:themeColor="text1"/>
          <w:shd w:val="clear" w:color="auto" w:fill="FFFFFF"/>
        </w:rPr>
        <w:t xml:space="preserve"> countries, its causes, implications and action the U</w:t>
      </w:r>
      <w:r w:rsidR="00FE23C5" w:rsidRPr="000E1725">
        <w:rPr>
          <w:color w:val="000000" w:themeColor="text1"/>
          <w:shd w:val="clear" w:color="auto" w:fill="FFFFFF"/>
        </w:rPr>
        <w:t>N</w:t>
      </w:r>
      <w:r w:rsidR="00FC30AA" w:rsidRPr="000E1725">
        <w:rPr>
          <w:color w:val="000000" w:themeColor="text1"/>
          <w:shd w:val="clear" w:color="auto" w:fill="FFFFFF"/>
        </w:rPr>
        <w:t xml:space="preserve"> can undertake on the grounds</w:t>
      </w:r>
      <w:r w:rsidR="006320BC" w:rsidRPr="000E1725">
        <w:rPr>
          <w:color w:val="000000" w:themeColor="text1"/>
          <w:shd w:val="clear" w:color="auto" w:fill="FFFFFF"/>
        </w:rPr>
        <w:t>.</w:t>
      </w:r>
    </w:p>
    <w:bookmarkEnd w:id="12"/>
    <w:p w14:paraId="79BBC1D0" w14:textId="77777777" w:rsidR="00A146D5" w:rsidRPr="000E1725" w:rsidRDefault="00A146D5" w:rsidP="002E7752">
      <w:pPr>
        <w:jc w:val="both"/>
        <w:rPr>
          <w:color w:val="000000" w:themeColor="text1"/>
        </w:rPr>
      </w:pPr>
    </w:p>
    <w:p w14:paraId="304F8748" w14:textId="328B7928" w:rsidR="00B50B9C" w:rsidRPr="000E1725" w:rsidRDefault="00B50B9C" w:rsidP="00B50B9C">
      <w:pPr>
        <w:spacing w:after="120"/>
        <w:jc w:val="both"/>
        <w:rPr>
          <w:color w:val="000000" w:themeColor="text1"/>
        </w:rPr>
      </w:pPr>
      <w:r w:rsidRPr="000E1725">
        <w:rPr>
          <w:color w:val="000000" w:themeColor="text1"/>
        </w:rPr>
        <w:t xml:space="preserve">OHCHR can help </w:t>
      </w:r>
      <w:r w:rsidR="0036163F" w:rsidRPr="000E1725">
        <w:rPr>
          <w:color w:val="000000" w:themeColor="text1"/>
        </w:rPr>
        <w:t xml:space="preserve">to build trust and solidarity among different civil society actors. It can </w:t>
      </w:r>
      <w:r w:rsidRPr="000E1725">
        <w:rPr>
          <w:color w:val="000000" w:themeColor="text1"/>
        </w:rPr>
        <w:t>establish a</w:t>
      </w:r>
      <w:r w:rsidR="006320BC" w:rsidRPr="000E1725">
        <w:rPr>
          <w:color w:val="000000" w:themeColor="text1"/>
        </w:rPr>
        <w:t>nd</w:t>
      </w:r>
      <w:r w:rsidRPr="000E1725">
        <w:rPr>
          <w:color w:val="000000" w:themeColor="text1"/>
        </w:rPr>
        <w:t xml:space="preserve"> support networks of legal interlocutors among civil society – including Dalit and non-Dalit </w:t>
      </w:r>
      <w:r w:rsidR="0036163F" w:rsidRPr="000E1725">
        <w:rPr>
          <w:color w:val="000000" w:themeColor="text1"/>
        </w:rPr>
        <w:t>NGOs and individual human rights defenders, youth, social movement leaders</w:t>
      </w:r>
      <w:r w:rsidRPr="000E1725">
        <w:rPr>
          <w:color w:val="000000" w:themeColor="text1"/>
        </w:rPr>
        <w:t>, student groups, academics, women’s organisations, business sector, representatives of minority groups.</w:t>
      </w:r>
      <w:r w:rsidR="0036163F" w:rsidRPr="000E1725">
        <w:rPr>
          <w:color w:val="000000" w:themeColor="text1"/>
        </w:rPr>
        <w:t xml:space="preserve"> There is an opportunity to strengthen national institutions, including national human rights commission in line with </w:t>
      </w:r>
      <w:r w:rsidR="008B7075" w:rsidRPr="000E1725">
        <w:rPr>
          <w:color w:val="000000" w:themeColor="text1"/>
        </w:rPr>
        <w:t xml:space="preserve">the </w:t>
      </w:r>
      <w:r w:rsidR="0036163F" w:rsidRPr="000E1725">
        <w:rPr>
          <w:color w:val="000000" w:themeColor="text1"/>
        </w:rPr>
        <w:t>Paris Principles</w:t>
      </w:r>
    </w:p>
    <w:p w14:paraId="3B6305BD" w14:textId="3B0574CE" w:rsidR="00B03FAB" w:rsidRPr="000E1725" w:rsidRDefault="006320BC" w:rsidP="00340ECC">
      <w:pPr>
        <w:jc w:val="both"/>
      </w:pPr>
      <w:r w:rsidRPr="000E1725">
        <w:rPr>
          <w:color w:val="000000" w:themeColor="text1"/>
          <w:spacing w:val="4"/>
        </w:rPr>
        <w:t xml:space="preserve">Currently OHCHR </w:t>
      </w:r>
      <w:r w:rsidR="00EC2FF8" w:rsidRPr="000E1725">
        <w:rPr>
          <w:color w:val="000000" w:themeColor="text1"/>
        </w:rPr>
        <w:t xml:space="preserve">assists the UN System in ensuring a more systematic integration of Dalit rights in the yearly UN Common Country Analysis  </w:t>
      </w:r>
      <w:r w:rsidR="00EC2FF8" w:rsidRPr="000E1725">
        <w:rPr>
          <w:color w:val="000000" w:themeColor="text1"/>
          <w:shd w:val="clear" w:color="auto" w:fill="FFFFFF"/>
        </w:rPr>
        <w:t xml:space="preserve"> allowing for an independent, </w:t>
      </w:r>
      <w:proofErr w:type="gramStart"/>
      <w:r w:rsidR="00EC2FF8" w:rsidRPr="000E1725">
        <w:rPr>
          <w:color w:val="000000" w:themeColor="text1"/>
          <w:shd w:val="clear" w:color="auto" w:fill="FFFFFF"/>
        </w:rPr>
        <w:t>impartial</w:t>
      </w:r>
      <w:proofErr w:type="gramEnd"/>
      <w:r w:rsidR="00EC2FF8" w:rsidRPr="000E1725">
        <w:rPr>
          <w:color w:val="000000" w:themeColor="text1"/>
          <w:shd w:val="clear" w:color="auto" w:fill="FFFFFF"/>
        </w:rPr>
        <w:t xml:space="preserve"> and collective analysis of the Dalits situation in the </w:t>
      </w:r>
      <w:r w:rsidR="00816066" w:rsidRPr="000E1725">
        <w:rPr>
          <w:color w:val="000000" w:themeColor="text1"/>
          <w:shd w:val="clear" w:color="auto" w:fill="FFFFFF"/>
        </w:rPr>
        <w:t>five</w:t>
      </w:r>
      <w:r w:rsidR="00EC2FF8" w:rsidRPr="000E1725">
        <w:rPr>
          <w:color w:val="000000" w:themeColor="text1"/>
          <w:shd w:val="clear" w:color="auto" w:fill="FFFFFF"/>
        </w:rPr>
        <w:t xml:space="preserve"> countries, its causes, implications and action the UN can undertake on the grounds.</w:t>
      </w:r>
      <w:r w:rsidR="00EC2FF8" w:rsidRPr="000E1725">
        <w:rPr>
          <w:color w:val="000000" w:themeColor="text1"/>
        </w:rPr>
        <w:t xml:space="preserve">   OHCHR </w:t>
      </w:r>
      <w:r w:rsidRPr="000E1725">
        <w:rPr>
          <w:color w:val="000000" w:themeColor="text1"/>
          <w:spacing w:val="4"/>
        </w:rPr>
        <w:t>offers important support to States through its flagship publication:</w:t>
      </w:r>
      <w:r w:rsidR="003D0D56" w:rsidRPr="000E1725">
        <w:rPr>
          <w:color w:val="000000" w:themeColor="text1"/>
          <w:spacing w:val="4"/>
        </w:rPr>
        <w:t xml:space="preserve"> </w:t>
      </w:r>
      <w:r w:rsidR="00B26F1E" w:rsidRPr="000E1725">
        <w:t>Guidance Tool on Descent-Based Discrimination Key Challenges and Strategic Approaches to Combat Caste-Based and Analogous Forms of Discrimination</w:t>
      </w:r>
      <w:r w:rsidR="009F6EBC" w:rsidRPr="000E1725">
        <w:t xml:space="preserve"> </w:t>
      </w:r>
      <w:r w:rsidR="00814DB7" w:rsidRPr="000E1725">
        <w:t>offering a human rights-based approach</w:t>
      </w:r>
      <w:r w:rsidR="00814DB7" w:rsidRPr="000E1725">
        <w:rPr>
          <w:rStyle w:val="FootnoteReference"/>
        </w:rPr>
        <w:footnoteReference w:id="5"/>
      </w:r>
      <w:r w:rsidR="00814DB7" w:rsidRPr="000E1725">
        <w:t xml:space="preserve"> on the realization of the rights of excluded and marginalized populations who are left behind, and those whose rights are at risk of being violated. It includes understanding how laws, social norms, traditional practices</w:t>
      </w:r>
      <w:r w:rsidR="008B7075" w:rsidRPr="000E1725">
        <w:t>,</w:t>
      </w:r>
      <w:r w:rsidR="00814DB7" w:rsidRPr="000E1725">
        <w:t xml:space="preserve"> and institutional responses positively or negatively affect the enjoyment of human rights and are anchored in a system of rights and corresponding obligations established by international law, including all civil, cultural, economic, political, social, and labour rights, as well as the right to development.  </w:t>
      </w:r>
      <w:r w:rsidR="000D4B39">
        <w:t xml:space="preserve"> </w:t>
      </w:r>
    </w:p>
    <w:p w14:paraId="0ABF782D" w14:textId="77777777" w:rsidR="00B03FAB" w:rsidRPr="000E1725" w:rsidRDefault="00B03FAB" w:rsidP="00340ECC">
      <w:pPr>
        <w:jc w:val="both"/>
      </w:pPr>
    </w:p>
    <w:p w14:paraId="5D78CCA7" w14:textId="336B1AAA" w:rsidR="00340ECC" w:rsidRPr="000E1725" w:rsidRDefault="00814DB7" w:rsidP="00340ECC">
      <w:pPr>
        <w:jc w:val="both"/>
      </w:pPr>
      <w:r w:rsidRPr="000E1725">
        <w:t xml:space="preserve">This </w:t>
      </w:r>
      <w:r w:rsidR="0045759D" w:rsidRPr="000E1725">
        <w:t xml:space="preserve">Guidance Tool is intended to usher in more concerted and system-wide action by the United Nations on the issue of discrimination based on descent.  While </w:t>
      </w:r>
      <w:r w:rsidR="008B7075" w:rsidRPr="000E1725">
        <w:t xml:space="preserve">it </w:t>
      </w:r>
      <w:r w:rsidR="0045759D" w:rsidRPr="000E1725">
        <w:t>is focused on UN action on the grounds</w:t>
      </w:r>
      <w:r w:rsidR="008B7075" w:rsidRPr="000E1725">
        <w:t>,</w:t>
      </w:r>
      <w:r w:rsidR="0045759D" w:rsidRPr="000E1725">
        <w:t xml:space="preserve"> it is also useful for other stakeholders that are working to address and combat descent-based discrimination</w:t>
      </w:r>
      <w:r w:rsidR="00340ECC" w:rsidRPr="000E1725">
        <w:t xml:space="preserve">. </w:t>
      </w:r>
      <w:r w:rsidR="00B03FAB" w:rsidRPr="000E1725">
        <w:rPr>
          <w:color w:val="000000" w:themeColor="text1"/>
        </w:rPr>
        <w:t xml:space="preserve">It is key to the </w:t>
      </w:r>
      <w:r w:rsidR="00340ECC" w:rsidRPr="000E1725">
        <w:rPr>
          <w:color w:val="000000" w:themeColor="text1"/>
        </w:rPr>
        <w:t xml:space="preserve">UN System </w:t>
      </w:r>
      <w:r w:rsidR="00B03FAB" w:rsidRPr="000E1725">
        <w:rPr>
          <w:color w:val="000000" w:themeColor="text1"/>
        </w:rPr>
        <w:t>by</w:t>
      </w:r>
      <w:r w:rsidR="00340ECC" w:rsidRPr="000E1725">
        <w:rPr>
          <w:color w:val="000000" w:themeColor="text1"/>
        </w:rPr>
        <w:t xml:space="preserve"> ensuring a more systematic integration of Dalit rights in the yearly UN Common Country Analysis</w:t>
      </w:r>
      <w:r w:rsidR="00B03FAB" w:rsidRPr="000E1725">
        <w:rPr>
          <w:color w:val="000000" w:themeColor="text1"/>
        </w:rPr>
        <w:t xml:space="preserve">, </w:t>
      </w:r>
      <w:r w:rsidR="00340ECC" w:rsidRPr="000E1725">
        <w:rPr>
          <w:color w:val="000000" w:themeColor="text1"/>
          <w:shd w:val="clear" w:color="auto" w:fill="FFFFFF"/>
        </w:rPr>
        <w:t xml:space="preserve">allowing for an independent, </w:t>
      </w:r>
      <w:proofErr w:type="gramStart"/>
      <w:r w:rsidR="00340ECC" w:rsidRPr="000E1725">
        <w:rPr>
          <w:color w:val="000000" w:themeColor="text1"/>
          <w:shd w:val="clear" w:color="auto" w:fill="FFFFFF"/>
        </w:rPr>
        <w:t>impartial</w:t>
      </w:r>
      <w:proofErr w:type="gramEnd"/>
      <w:r w:rsidR="00340ECC" w:rsidRPr="000E1725">
        <w:rPr>
          <w:color w:val="000000" w:themeColor="text1"/>
          <w:shd w:val="clear" w:color="auto" w:fill="FFFFFF"/>
        </w:rPr>
        <w:t xml:space="preserve"> and collective analysis of the Dalits situation, its causes, implications and action the UN can undertake </w:t>
      </w:r>
      <w:r w:rsidR="008B7075" w:rsidRPr="000E1725">
        <w:rPr>
          <w:color w:val="000000" w:themeColor="text1"/>
          <w:shd w:val="clear" w:color="auto" w:fill="FFFFFF"/>
        </w:rPr>
        <w:t>at the national level.</w:t>
      </w:r>
    </w:p>
    <w:p w14:paraId="3444EAC2" w14:textId="7ADFCB35" w:rsidR="00B26F1E" w:rsidRPr="000E1725" w:rsidRDefault="00B26F1E" w:rsidP="003E4975">
      <w:pPr>
        <w:jc w:val="both"/>
      </w:pPr>
      <w:r w:rsidRPr="000E1725">
        <w:t>https//www.ohchr.org/sites/default/files/Documents/Issues/Minorities/GuidanceToolDiscrimination.pdf</w:t>
      </w:r>
      <w:r w:rsidR="009F6EBC" w:rsidRPr="000E1725">
        <w:t xml:space="preserve">. </w:t>
      </w:r>
    </w:p>
    <w:p w14:paraId="6886D516" w14:textId="77777777" w:rsidR="00F05817" w:rsidRPr="000E1725" w:rsidRDefault="00F05817" w:rsidP="003E4975">
      <w:pPr>
        <w:jc w:val="both"/>
      </w:pPr>
    </w:p>
    <w:p w14:paraId="482151E5" w14:textId="2FEE6AE0" w:rsidR="003D0D56" w:rsidRPr="000E1725" w:rsidRDefault="0045759D" w:rsidP="003E4975">
      <w:pPr>
        <w:jc w:val="both"/>
        <w:rPr>
          <w:color w:val="000000" w:themeColor="text1"/>
          <w:shd w:val="clear" w:color="auto" w:fill="FFFFFF"/>
        </w:rPr>
      </w:pPr>
      <w:r w:rsidRPr="000E1725">
        <w:t xml:space="preserve">Additional insight is offered by OHCHR through </w:t>
      </w:r>
      <w:r w:rsidR="003D0D56" w:rsidRPr="000E1725">
        <w:rPr>
          <w:color w:val="000000" w:themeColor="text1"/>
          <w:spacing w:val="4"/>
        </w:rPr>
        <w:t>- A Practical Guide to Developing Anti-Discrimination Legislation</w:t>
      </w:r>
      <w:r w:rsidRPr="000E1725">
        <w:rPr>
          <w:color w:val="000000" w:themeColor="text1"/>
          <w:spacing w:val="4"/>
        </w:rPr>
        <w:t>.</w:t>
      </w:r>
      <w:r w:rsidR="003D0D56" w:rsidRPr="000E1725">
        <w:rPr>
          <w:color w:val="000000" w:themeColor="text1"/>
          <w:shd w:val="clear" w:color="auto" w:fill="FFFFFF"/>
        </w:rPr>
        <w:t xml:space="preserve"> This publication provides clear and accessible guidance on the necessary scope, </w:t>
      </w:r>
      <w:proofErr w:type="gramStart"/>
      <w:r w:rsidR="003D0D56" w:rsidRPr="000E1725">
        <w:rPr>
          <w:color w:val="000000" w:themeColor="text1"/>
          <w:shd w:val="clear" w:color="auto" w:fill="FFFFFF"/>
        </w:rPr>
        <w:t>structure</w:t>
      </w:r>
      <w:proofErr w:type="gramEnd"/>
      <w:r w:rsidR="003D0D56" w:rsidRPr="000E1725">
        <w:rPr>
          <w:color w:val="000000" w:themeColor="text1"/>
          <w:shd w:val="clear" w:color="auto" w:fill="FFFFFF"/>
        </w:rPr>
        <w:t xml:space="preserve"> and content of comprehensive anti-discrimination laws.  It offers the foundation for creating societies where all are equal in dignity and rights </w:t>
      </w:r>
      <w:r w:rsidR="003D0D56" w:rsidRPr="000E1725">
        <w:rPr>
          <w:color w:val="000000" w:themeColor="text1"/>
          <w:spacing w:val="4"/>
        </w:rPr>
        <w:t xml:space="preserve">and </w:t>
      </w:r>
      <w:r w:rsidR="00C5731B" w:rsidRPr="000E1725">
        <w:rPr>
          <w:color w:val="000000" w:themeColor="text1"/>
          <w:spacing w:val="4"/>
        </w:rPr>
        <w:t xml:space="preserve">includes practical examples to assist law- and </w:t>
      </w:r>
      <w:r w:rsidR="00A47D3A" w:rsidRPr="000E1725">
        <w:rPr>
          <w:color w:val="000000" w:themeColor="text1"/>
          <w:spacing w:val="4"/>
        </w:rPr>
        <w:t>policymakers</w:t>
      </w:r>
      <w:r w:rsidR="003D0D56" w:rsidRPr="000E1725">
        <w:rPr>
          <w:color w:val="000000" w:themeColor="text1"/>
          <w:spacing w:val="4"/>
        </w:rPr>
        <w:t xml:space="preserve"> in meeting their compliance </w:t>
      </w:r>
      <w:r w:rsidR="0036163F" w:rsidRPr="000E1725">
        <w:rPr>
          <w:color w:val="000000" w:themeColor="text1"/>
          <w:spacing w:val="4"/>
        </w:rPr>
        <w:t xml:space="preserve">obligations </w:t>
      </w:r>
      <w:r w:rsidR="0036163F" w:rsidRPr="000E1725">
        <w:rPr>
          <w:color w:val="000000" w:themeColor="text1"/>
          <w:shd w:val="clear" w:color="auto" w:fill="FFFFFF"/>
        </w:rPr>
        <w:t>under</w:t>
      </w:r>
      <w:r w:rsidR="003E4975" w:rsidRPr="000E1725">
        <w:rPr>
          <w:color w:val="000000" w:themeColor="text1"/>
          <w:shd w:val="clear" w:color="auto" w:fill="FFFFFF"/>
        </w:rPr>
        <w:t xml:space="preserve"> international </w:t>
      </w:r>
      <w:r w:rsidR="003D0D56" w:rsidRPr="000E1725">
        <w:rPr>
          <w:color w:val="000000" w:themeColor="text1"/>
          <w:shd w:val="clear" w:color="auto" w:fill="FFFFFF"/>
        </w:rPr>
        <w:t>human rights treaty law.</w:t>
      </w:r>
      <w:r w:rsidRPr="000E1725">
        <w:t xml:space="preserve"> </w:t>
      </w:r>
      <w:hyperlink r:id="rId11" w:history="1">
        <w:r w:rsidRPr="000E1725">
          <w:rPr>
            <w:rStyle w:val="Hyperlink"/>
            <w:spacing w:val="4"/>
          </w:rPr>
          <w:t>https://www.ohchr.org/en/publications/policy-and-methodological-publications/protecting-minority-rights-practical-guide</w:t>
        </w:r>
      </w:hyperlink>
      <w:r w:rsidRPr="000E1725">
        <w:rPr>
          <w:color w:val="000000" w:themeColor="text1"/>
          <w:shd w:val="clear" w:color="auto" w:fill="FFFFFF"/>
        </w:rPr>
        <w:t>.</w:t>
      </w:r>
    </w:p>
    <w:p w14:paraId="202238D6" w14:textId="77777777" w:rsidR="008B7075" w:rsidRPr="000E1725" w:rsidRDefault="008B7075" w:rsidP="003E4975">
      <w:pPr>
        <w:jc w:val="both"/>
        <w:rPr>
          <w:color w:val="000000" w:themeColor="text1"/>
        </w:rPr>
      </w:pPr>
    </w:p>
    <w:p w14:paraId="4C41CC2B" w14:textId="28B67E59" w:rsidR="009F27D0" w:rsidRPr="000E1725" w:rsidRDefault="009F27D0" w:rsidP="009F27D0">
      <w:pPr>
        <w:rPr>
          <w:b/>
          <w:bCs/>
          <w:color w:val="000000"/>
          <w:u w:val="single"/>
        </w:rPr>
      </w:pPr>
    </w:p>
    <w:p w14:paraId="1342794C" w14:textId="4FDB32E2" w:rsidR="009F27D0" w:rsidRPr="00D22629" w:rsidRDefault="000D4B39" w:rsidP="009F27D0">
      <w:pPr>
        <w:rPr>
          <w:rFonts w:ascii="Futura Std Book" w:eastAsiaTheme="minorHAnsi" w:hAnsi="Futura Std Book"/>
          <w:sz w:val="20"/>
          <w:szCs w:val="20"/>
          <w:lang w:bidi="ar-SA"/>
        </w:rPr>
      </w:pPr>
      <w:r>
        <w:rPr>
          <w:noProof/>
          <w14:ligatures w14:val="standardContextual"/>
        </w:rPr>
        <w:drawing>
          <wp:inline distT="0" distB="0" distL="0" distR="0" wp14:anchorId="273BE730" wp14:editId="10762D5C">
            <wp:extent cx="5731510" cy="3435844"/>
            <wp:effectExtent l="0" t="0" r="2540" b="0"/>
            <wp:docPr id="1120690519" name="Billede 1" descr="Et billede, der indeholder tøj, person, indendørs, m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920451" name="Billede 1" descr="Et billede, der indeholder tøj, person, indendørs, mur&#10;&#10;Automatisk genereret beskrivelse"/>
                    <pic:cNvPicPr>
                      <a:picLocks noChangeAspect="1"/>
                    </pic:cNvPicPr>
                  </pic:nvPicPr>
                  <pic:blipFill rotWithShape="1">
                    <a:blip r:embed="rId12" cstate="print">
                      <a:extLst>
                        <a:ext uri="{28A0092B-C50C-407E-A947-70E740481C1C}">
                          <a14:useLocalDpi xmlns:a14="http://schemas.microsoft.com/office/drawing/2010/main" val="0"/>
                        </a:ext>
                      </a:extLst>
                    </a:blip>
                    <a:srcRect t="20070"/>
                    <a:stretch/>
                  </pic:blipFill>
                  <pic:spPr bwMode="auto">
                    <a:xfrm>
                      <a:off x="0" y="0"/>
                      <a:ext cx="5731510" cy="3435844"/>
                    </a:xfrm>
                    <a:prstGeom prst="rect">
                      <a:avLst/>
                    </a:prstGeom>
                    <a:ln>
                      <a:noFill/>
                    </a:ln>
                    <a:extLst>
                      <a:ext uri="{53640926-AAD7-44D8-BBD7-CCE9431645EC}">
                        <a14:shadowObscured xmlns:a14="http://schemas.microsoft.com/office/drawing/2010/main"/>
                      </a:ext>
                    </a:extLst>
                  </pic:spPr>
                </pic:pic>
              </a:graphicData>
            </a:graphic>
          </wp:inline>
        </w:drawing>
      </w:r>
      <w:r w:rsidR="00057E5F" w:rsidRPr="00D22629">
        <w:rPr>
          <w:rFonts w:ascii="Futura Std Book" w:hAnsi="Futura Std Book"/>
          <w:noProof/>
          <w:sz w:val="20"/>
          <w:szCs w:val="20"/>
          <w14:ligatures w14:val="standardContextual"/>
        </w:rPr>
        <w:drawing>
          <wp:inline distT="0" distB="0" distL="0" distR="0" wp14:anchorId="544B455A" wp14:editId="7B052C01">
            <wp:extent cx="6032500" cy="3562985"/>
            <wp:effectExtent l="0" t="0" r="6350" b="0"/>
            <wp:docPr id="498920451" name="Billede 1" descr="Et billede, der indeholder tøj, person, indendørs, m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920451" name="Billede 1" descr="Et billede, der indeholder tøj, person, indendørs, mur&#10;&#10;Automatisk genereret beskrivelse"/>
                    <pic:cNvPicPr>
                      <a:picLocks noChangeAspect="1"/>
                    </pic:cNvPicPr>
                  </pic:nvPicPr>
                  <pic:blipFill rotWithShape="1">
                    <a:blip r:embed="rId12" cstate="print">
                      <a:extLst>
                        <a:ext uri="{28A0092B-C50C-407E-A947-70E740481C1C}">
                          <a14:useLocalDpi xmlns:a14="http://schemas.microsoft.com/office/drawing/2010/main" val="0"/>
                        </a:ext>
                      </a:extLst>
                    </a:blip>
                    <a:srcRect t="20070"/>
                    <a:stretch/>
                  </pic:blipFill>
                  <pic:spPr bwMode="auto">
                    <a:xfrm>
                      <a:off x="0" y="0"/>
                      <a:ext cx="6032500" cy="3562985"/>
                    </a:xfrm>
                    <a:prstGeom prst="rect">
                      <a:avLst/>
                    </a:prstGeom>
                    <a:ln>
                      <a:noFill/>
                    </a:ln>
                    <a:extLst>
                      <a:ext uri="{53640926-AAD7-44D8-BBD7-CCE9431645EC}">
                        <a14:shadowObscured xmlns:a14="http://schemas.microsoft.com/office/drawing/2010/main"/>
                      </a:ext>
                    </a:extLst>
                  </pic:spPr>
                </pic:pic>
              </a:graphicData>
            </a:graphic>
          </wp:inline>
        </w:drawing>
      </w:r>
    </w:p>
    <w:p w14:paraId="533B646D" w14:textId="77777777" w:rsidR="004D25DF" w:rsidRPr="00D22629" w:rsidRDefault="004D25DF" w:rsidP="004D25DF">
      <w:pPr>
        <w:rPr>
          <w:rFonts w:ascii="Futura Std Book" w:hAnsi="Futura Std Book"/>
          <w:sz w:val="20"/>
          <w:szCs w:val="20"/>
        </w:rPr>
      </w:pPr>
    </w:p>
    <w:p w14:paraId="759A422A" w14:textId="77777777" w:rsidR="00FE23C5" w:rsidRPr="00D22629" w:rsidRDefault="00FE23C5" w:rsidP="004D25DF">
      <w:pPr>
        <w:rPr>
          <w:rFonts w:ascii="Futura Std Book" w:hAnsi="Futura Std Book"/>
          <w:sz w:val="20"/>
          <w:szCs w:val="20"/>
        </w:rPr>
      </w:pPr>
    </w:p>
    <w:sectPr w:rsidR="00FE23C5" w:rsidRPr="00D22629" w:rsidSect="00816066">
      <w:footerReference w:type="default" r:id="rId13"/>
      <w:pgSz w:w="12240" w:h="15840"/>
      <w:pgMar w:top="709"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7B9DD" w14:textId="77777777" w:rsidR="007F13D8" w:rsidRDefault="007F13D8" w:rsidP="002447F0">
      <w:r>
        <w:separator/>
      </w:r>
    </w:p>
  </w:endnote>
  <w:endnote w:type="continuationSeparator" w:id="0">
    <w:p w14:paraId="6A499F46" w14:textId="77777777" w:rsidR="007F13D8" w:rsidRDefault="007F13D8" w:rsidP="0024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Futura Std Book">
    <w:altName w:val="Century Gothic"/>
    <w:charset w:val="B1"/>
    <w:family w:val="swiss"/>
    <w:pitch w:val="variable"/>
    <w:sig w:usb0="80000867"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utura Std Book" w:hAnsi="Futura Std Book"/>
        <w:sz w:val="18"/>
        <w:szCs w:val="18"/>
      </w:rPr>
      <w:id w:val="1475180389"/>
      <w:docPartObj>
        <w:docPartGallery w:val="Page Numbers (Bottom of Page)"/>
        <w:docPartUnique/>
      </w:docPartObj>
    </w:sdtPr>
    <w:sdtEndPr>
      <w:rPr>
        <w:noProof/>
      </w:rPr>
    </w:sdtEndPr>
    <w:sdtContent>
      <w:p w14:paraId="72EACF23" w14:textId="77777777" w:rsidR="00CF17E0" w:rsidRPr="00816066" w:rsidRDefault="00CF17E0">
        <w:pPr>
          <w:pStyle w:val="Footer"/>
          <w:jc w:val="center"/>
          <w:rPr>
            <w:rFonts w:ascii="Futura Std Book" w:hAnsi="Futura Std Book"/>
            <w:sz w:val="18"/>
            <w:szCs w:val="18"/>
          </w:rPr>
        </w:pPr>
        <w:r w:rsidRPr="00816066">
          <w:rPr>
            <w:rFonts w:ascii="Futura Std Book" w:hAnsi="Futura Std Book"/>
            <w:sz w:val="18"/>
            <w:szCs w:val="18"/>
          </w:rPr>
          <w:fldChar w:fldCharType="begin"/>
        </w:r>
        <w:r w:rsidRPr="00816066">
          <w:rPr>
            <w:rFonts w:ascii="Futura Std Book" w:hAnsi="Futura Std Book"/>
            <w:sz w:val="18"/>
            <w:szCs w:val="18"/>
          </w:rPr>
          <w:instrText xml:space="preserve"> PAGE   \* MERGEFORMAT </w:instrText>
        </w:r>
        <w:r w:rsidRPr="00816066">
          <w:rPr>
            <w:rFonts w:ascii="Futura Std Book" w:hAnsi="Futura Std Book"/>
            <w:sz w:val="18"/>
            <w:szCs w:val="18"/>
          </w:rPr>
          <w:fldChar w:fldCharType="separate"/>
        </w:r>
        <w:r w:rsidRPr="00816066">
          <w:rPr>
            <w:rFonts w:ascii="Futura Std Book" w:hAnsi="Futura Std Book"/>
            <w:noProof/>
            <w:sz w:val="18"/>
            <w:szCs w:val="18"/>
          </w:rPr>
          <w:t>2</w:t>
        </w:r>
        <w:r w:rsidRPr="00816066">
          <w:rPr>
            <w:rFonts w:ascii="Futura Std Book" w:hAnsi="Futura Std Book"/>
            <w:noProof/>
            <w:sz w:val="18"/>
            <w:szCs w:val="18"/>
          </w:rPr>
          <w:fldChar w:fldCharType="end"/>
        </w:r>
      </w:p>
    </w:sdtContent>
  </w:sdt>
  <w:p w14:paraId="7D075E53" w14:textId="77777777" w:rsidR="00CF17E0" w:rsidRPr="00816066" w:rsidRDefault="00CF17E0">
    <w:pPr>
      <w:pStyle w:val="Footer"/>
      <w:rPr>
        <w:rFonts w:ascii="Futura Std Book" w:hAnsi="Futura Std Book"/>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5A71B" w14:textId="77777777" w:rsidR="007F13D8" w:rsidRDefault="007F13D8" w:rsidP="002447F0">
      <w:r>
        <w:separator/>
      </w:r>
    </w:p>
  </w:footnote>
  <w:footnote w:type="continuationSeparator" w:id="0">
    <w:p w14:paraId="62EA8261" w14:textId="77777777" w:rsidR="007F13D8" w:rsidRDefault="007F13D8" w:rsidP="002447F0">
      <w:r>
        <w:continuationSeparator/>
      </w:r>
    </w:p>
  </w:footnote>
  <w:footnote w:id="1">
    <w:p w14:paraId="7394D57A" w14:textId="77777777" w:rsidR="00874490" w:rsidRPr="008543CD" w:rsidRDefault="00874490" w:rsidP="00874490">
      <w:pPr>
        <w:pStyle w:val="FootnoteText"/>
        <w:rPr>
          <w:rFonts w:ascii="Futura Std Book" w:hAnsi="Futura Std Book"/>
          <w:sz w:val="16"/>
          <w:szCs w:val="16"/>
          <w:lang w:val="en-US"/>
        </w:rPr>
      </w:pPr>
      <w:r w:rsidRPr="008543CD">
        <w:rPr>
          <w:rStyle w:val="FootnoteReference"/>
          <w:rFonts w:ascii="Futura Std Book" w:hAnsi="Futura Std Book"/>
          <w:sz w:val="16"/>
          <w:szCs w:val="16"/>
        </w:rPr>
        <w:footnoteRef/>
      </w:r>
      <w:r w:rsidRPr="008543CD">
        <w:rPr>
          <w:rFonts w:ascii="Futura Std Book" w:hAnsi="Futura Std Book"/>
          <w:sz w:val="16"/>
          <w:szCs w:val="16"/>
        </w:rPr>
        <w:t xml:space="preserve"> </w:t>
      </w:r>
      <w:r w:rsidRPr="008543CD">
        <w:rPr>
          <w:rFonts w:ascii="Futura Std Book" w:hAnsi="Futura Std Book" w:cs="Times New Roman"/>
          <w:sz w:val="16"/>
          <w:szCs w:val="16"/>
          <w:lang w:val="en-US"/>
        </w:rPr>
        <w:t xml:space="preserve">See, </w:t>
      </w:r>
      <w:hyperlink r:id="rId1" w:history="1">
        <w:r w:rsidRPr="008543CD">
          <w:rPr>
            <w:rStyle w:val="Hyperlink"/>
            <w:rFonts w:ascii="Futura Std Book" w:hAnsi="Futura Std Book" w:cs="Times New Roman"/>
            <w:sz w:val="16"/>
            <w:szCs w:val="16"/>
          </w:rPr>
          <w:t>https://www.globalforumcdwd.org</w:t>
        </w:r>
      </w:hyperlink>
    </w:p>
  </w:footnote>
  <w:footnote w:id="2">
    <w:p w14:paraId="79911268" w14:textId="77777777" w:rsidR="00B112CB" w:rsidRPr="008543CD" w:rsidRDefault="00B112CB" w:rsidP="00B112CB">
      <w:pPr>
        <w:pStyle w:val="FootnoteText"/>
        <w:rPr>
          <w:rFonts w:ascii="Futura Std Book" w:hAnsi="Futura Std Book" w:cs="Times New Roman"/>
          <w:color w:val="000000"/>
          <w:sz w:val="16"/>
          <w:szCs w:val="16"/>
          <w:shd w:val="clear" w:color="auto" w:fill="FFFFFF"/>
        </w:rPr>
      </w:pPr>
      <w:r w:rsidRPr="008543CD">
        <w:rPr>
          <w:rStyle w:val="FootnoteReference"/>
          <w:rFonts w:ascii="Futura Std Book" w:hAnsi="Futura Std Book" w:cs="Times New Roman"/>
          <w:sz w:val="16"/>
          <w:szCs w:val="16"/>
        </w:rPr>
        <w:footnoteRef/>
      </w:r>
      <w:r w:rsidRPr="008543CD">
        <w:rPr>
          <w:rFonts w:ascii="Futura Std Book" w:hAnsi="Futura Std Book" w:cs="Times New Roman"/>
          <w:sz w:val="16"/>
          <w:szCs w:val="16"/>
        </w:rPr>
        <w:t xml:space="preserve"> A/HRC/11/CRP.3 18 May 2009 https://www.ohchr.org/en/treaty-bodies/cerd </w:t>
      </w:r>
      <w:r w:rsidRPr="008543CD">
        <w:rPr>
          <w:rFonts w:ascii="Futura Std Book" w:hAnsi="Futura Std Book" w:cs="Times New Roman"/>
          <w:color w:val="000000"/>
          <w:sz w:val="16"/>
          <w:szCs w:val="16"/>
          <w:shd w:val="clear" w:color="auto" w:fill="FFFFFF"/>
        </w:rPr>
        <w:t>https://www.ohchr.org/sites/default/files/Documents/HRBodies/HRCouncil/RegularSession/Session11/A</w:t>
      </w:r>
    </w:p>
  </w:footnote>
  <w:footnote w:id="3">
    <w:p w14:paraId="0D665CDE" w14:textId="77777777" w:rsidR="00A661A7" w:rsidRPr="008543CD" w:rsidRDefault="00A661A7" w:rsidP="00A661A7">
      <w:pPr>
        <w:pStyle w:val="FootnoteText"/>
        <w:rPr>
          <w:rFonts w:ascii="Futura Std Book" w:hAnsi="Futura Std Book"/>
          <w:sz w:val="16"/>
          <w:szCs w:val="16"/>
        </w:rPr>
      </w:pPr>
      <w:r w:rsidRPr="008543CD">
        <w:rPr>
          <w:rStyle w:val="FootnoteReference"/>
          <w:rFonts w:ascii="Futura Std Book" w:hAnsi="Futura Std Book"/>
          <w:sz w:val="16"/>
          <w:szCs w:val="16"/>
        </w:rPr>
        <w:footnoteRef/>
      </w:r>
      <w:r w:rsidRPr="008543CD">
        <w:rPr>
          <w:rFonts w:ascii="Futura Std Book" w:hAnsi="Futura Std Book"/>
          <w:sz w:val="16"/>
          <w:szCs w:val="16"/>
        </w:rPr>
        <w:t xml:space="preserve"> </w:t>
      </w:r>
      <w:r w:rsidRPr="008543CD">
        <w:rPr>
          <w:rFonts w:ascii="Futura Std Book" w:hAnsi="Futura Std Book" w:cs="Times New Roman"/>
          <w:sz w:val="16"/>
          <w:szCs w:val="16"/>
        </w:rPr>
        <w:t xml:space="preserve">See final report of </w:t>
      </w:r>
      <w:r w:rsidRPr="008543CD">
        <w:rPr>
          <w:rFonts w:ascii="Futura Std Book" w:hAnsi="Futura Std Book"/>
          <w:sz w:val="16"/>
          <w:szCs w:val="16"/>
        </w:rPr>
        <w:t>Special Rapporteurs on the topic of discrimination based on work and descent A/HRC/11/CRP.3 available at https://digitallibrary.un.org/record/655264?ln=en</w:t>
      </w:r>
    </w:p>
  </w:footnote>
  <w:footnote w:id="4">
    <w:p w14:paraId="721B31C3" w14:textId="62F75F82" w:rsidR="00C456E5" w:rsidRPr="008543CD" w:rsidRDefault="00C456E5">
      <w:pPr>
        <w:pStyle w:val="FootnoteText"/>
        <w:rPr>
          <w:rFonts w:ascii="Futura Std Book" w:hAnsi="Futura Std Book"/>
          <w:sz w:val="16"/>
          <w:szCs w:val="16"/>
        </w:rPr>
      </w:pPr>
      <w:r w:rsidRPr="008543CD">
        <w:rPr>
          <w:rStyle w:val="FootnoteReference"/>
          <w:rFonts w:ascii="Futura Std Book" w:hAnsi="Futura Std Book"/>
          <w:sz w:val="16"/>
          <w:szCs w:val="16"/>
        </w:rPr>
        <w:footnoteRef/>
      </w:r>
      <w:r w:rsidRPr="008543CD">
        <w:rPr>
          <w:rFonts w:ascii="Futura Std Book" w:hAnsi="Futura Std Book"/>
          <w:sz w:val="16"/>
          <w:szCs w:val="16"/>
        </w:rPr>
        <w:t xml:space="preserve"> A/75/982, para. 34. The report of the Secretary-General was presented at the seventy-fifth session of the General Assembly in 2021. See also www.un.org/en/un75/common-agenda.</w:t>
      </w:r>
    </w:p>
  </w:footnote>
  <w:footnote w:id="5">
    <w:p w14:paraId="32F51CBC" w14:textId="3656CC94" w:rsidR="00814DB7" w:rsidRPr="008543CD" w:rsidRDefault="00814DB7">
      <w:pPr>
        <w:pStyle w:val="FootnoteText"/>
        <w:rPr>
          <w:rFonts w:ascii="Futura Std Book" w:hAnsi="Futura Std Book"/>
          <w:sz w:val="16"/>
          <w:szCs w:val="16"/>
        </w:rPr>
      </w:pPr>
      <w:r w:rsidRPr="008543CD">
        <w:rPr>
          <w:rStyle w:val="FootnoteReference"/>
          <w:rFonts w:ascii="Futura Std Book" w:hAnsi="Futura Std Book"/>
          <w:sz w:val="16"/>
          <w:szCs w:val="16"/>
        </w:rPr>
        <w:footnoteRef/>
      </w:r>
      <w:r w:rsidRPr="008543CD">
        <w:rPr>
          <w:rFonts w:ascii="Futura Std Book" w:hAnsi="Futura Std Book"/>
          <w:sz w:val="16"/>
          <w:szCs w:val="16"/>
        </w:rPr>
        <w:t xml:space="preserve"> United Nations, “Common Understanding on the Human Rights-Based Approach”, available from http://hrbaportal.org/the-human-rights-based-approach-to-development -cooperation-towards-a-common-understanding-among-un-agencies.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5954"/>
    <w:multiLevelType w:val="hybridMultilevel"/>
    <w:tmpl w:val="6956A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C4BC1"/>
    <w:multiLevelType w:val="hybridMultilevel"/>
    <w:tmpl w:val="5CE09080"/>
    <w:lvl w:ilvl="0" w:tplc="9A80984E">
      <w:start w:val="1"/>
      <w:numFmt w:val="decimal"/>
      <w:lvlText w:val="%1."/>
      <w:lvlJc w:val="left"/>
      <w:pPr>
        <w:ind w:left="720" w:hanging="360"/>
      </w:pPr>
      <w:rPr>
        <w:rFonts w:eastAsia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1C1B94"/>
    <w:multiLevelType w:val="multilevel"/>
    <w:tmpl w:val="7476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E4677"/>
    <w:multiLevelType w:val="hybridMultilevel"/>
    <w:tmpl w:val="53D21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20210A"/>
    <w:multiLevelType w:val="multilevel"/>
    <w:tmpl w:val="873C70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5C113E"/>
    <w:multiLevelType w:val="hybridMultilevel"/>
    <w:tmpl w:val="69C05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8578E"/>
    <w:multiLevelType w:val="hybridMultilevel"/>
    <w:tmpl w:val="A60EE37A"/>
    <w:lvl w:ilvl="0" w:tplc="40D81E46">
      <w:start w:val="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2B68A4"/>
    <w:multiLevelType w:val="hybridMultilevel"/>
    <w:tmpl w:val="7298C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AE6E36"/>
    <w:multiLevelType w:val="hybridMultilevel"/>
    <w:tmpl w:val="A840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272B23"/>
    <w:multiLevelType w:val="hybridMultilevel"/>
    <w:tmpl w:val="E2E2AC32"/>
    <w:lvl w:ilvl="0" w:tplc="42E813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B74775"/>
    <w:multiLevelType w:val="hybridMultilevel"/>
    <w:tmpl w:val="896A0D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C61B4C"/>
    <w:multiLevelType w:val="hybridMultilevel"/>
    <w:tmpl w:val="F0048F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47D4D26"/>
    <w:multiLevelType w:val="hybridMultilevel"/>
    <w:tmpl w:val="C3AE6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7491D22"/>
    <w:multiLevelType w:val="hybridMultilevel"/>
    <w:tmpl w:val="AB020842"/>
    <w:lvl w:ilvl="0" w:tplc="E116CB30">
      <w:start w:val="1"/>
      <w:numFmt w:val="lowerRoman"/>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14039B"/>
    <w:multiLevelType w:val="multilevel"/>
    <w:tmpl w:val="E686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377A24"/>
    <w:multiLevelType w:val="hybridMultilevel"/>
    <w:tmpl w:val="F2A67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7D7DE0"/>
    <w:multiLevelType w:val="hybridMultilevel"/>
    <w:tmpl w:val="94FA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B61224"/>
    <w:multiLevelType w:val="hybridMultilevel"/>
    <w:tmpl w:val="21BE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5620CD"/>
    <w:multiLevelType w:val="hybridMultilevel"/>
    <w:tmpl w:val="E2E2AC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65A7623"/>
    <w:multiLevelType w:val="hybridMultilevel"/>
    <w:tmpl w:val="3594B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75A6759"/>
    <w:multiLevelType w:val="hybridMultilevel"/>
    <w:tmpl w:val="F8B8612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9F4134"/>
    <w:multiLevelType w:val="hybridMultilevel"/>
    <w:tmpl w:val="8DA47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692D2F"/>
    <w:multiLevelType w:val="hybridMultilevel"/>
    <w:tmpl w:val="59EE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E717EB"/>
    <w:multiLevelType w:val="hybridMultilevel"/>
    <w:tmpl w:val="829E5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F72DAB"/>
    <w:multiLevelType w:val="hybridMultilevel"/>
    <w:tmpl w:val="6792C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DB0E4D"/>
    <w:multiLevelType w:val="hybridMultilevel"/>
    <w:tmpl w:val="25D832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47020B"/>
    <w:multiLevelType w:val="hybridMultilevel"/>
    <w:tmpl w:val="E2E2AC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FD7239A"/>
    <w:multiLevelType w:val="hybridMultilevel"/>
    <w:tmpl w:val="EC30A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151976">
    <w:abstractNumId w:val="19"/>
  </w:num>
  <w:num w:numId="2" w16cid:durableId="1029380737">
    <w:abstractNumId w:val="0"/>
  </w:num>
  <w:num w:numId="3" w16cid:durableId="1104962885">
    <w:abstractNumId w:val="17"/>
  </w:num>
  <w:num w:numId="4" w16cid:durableId="1941837709">
    <w:abstractNumId w:val="16"/>
  </w:num>
  <w:num w:numId="5" w16cid:durableId="925111232">
    <w:abstractNumId w:val="22"/>
  </w:num>
  <w:num w:numId="6" w16cid:durableId="270014740">
    <w:abstractNumId w:val="21"/>
  </w:num>
  <w:num w:numId="7" w16cid:durableId="1080828630">
    <w:abstractNumId w:val="9"/>
  </w:num>
  <w:num w:numId="8" w16cid:durableId="1212694114">
    <w:abstractNumId w:val="27"/>
  </w:num>
  <w:num w:numId="9" w16cid:durableId="542638095">
    <w:abstractNumId w:val="24"/>
  </w:num>
  <w:num w:numId="10" w16cid:durableId="1260331341">
    <w:abstractNumId w:val="23"/>
  </w:num>
  <w:num w:numId="11" w16cid:durableId="956718397">
    <w:abstractNumId w:val="10"/>
  </w:num>
  <w:num w:numId="12" w16cid:durableId="1566066276">
    <w:abstractNumId w:val="7"/>
  </w:num>
  <w:num w:numId="13" w16cid:durableId="931813703">
    <w:abstractNumId w:val="15"/>
  </w:num>
  <w:num w:numId="14" w16cid:durableId="1958752964">
    <w:abstractNumId w:val="1"/>
  </w:num>
  <w:num w:numId="15" w16cid:durableId="1004549278">
    <w:abstractNumId w:val="2"/>
  </w:num>
  <w:num w:numId="16" w16cid:durableId="1770735873">
    <w:abstractNumId w:val="13"/>
  </w:num>
  <w:num w:numId="17" w16cid:durableId="2134400254">
    <w:abstractNumId w:val="18"/>
  </w:num>
  <w:num w:numId="18" w16cid:durableId="255290022">
    <w:abstractNumId w:val="26"/>
  </w:num>
  <w:num w:numId="19" w16cid:durableId="842547978">
    <w:abstractNumId w:val="25"/>
  </w:num>
  <w:num w:numId="20" w16cid:durableId="143544767">
    <w:abstractNumId w:val="12"/>
  </w:num>
  <w:num w:numId="21" w16cid:durableId="290281485">
    <w:abstractNumId w:val="6"/>
  </w:num>
  <w:num w:numId="22" w16cid:durableId="1729068784">
    <w:abstractNumId w:val="5"/>
  </w:num>
  <w:num w:numId="23" w16cid:durableId="1246843392">
    <w:abstractNumId w:val="4"/>
  </w:num>
  <w:num w:numId="24" w16cid:durableId="1049837409">
    <w:abstractNumId w:val="8"/>
  </w:num>
  <w:num w:numId="25" w16cid:durableId="1349790314">
    <w:abstractNumId w:val="20"/>
  </w:num>
  <w:num w:numId="26" w16cid:durableId="168184043">
    <w:abstractNumId w:val="3"/>
  </w:num>
  <w:num w:numId="27" w16cid:durableId="567425764">
    <w:abstractNumId w:val="14"/>
  </w:num>
  <w:num w:numId="28" w16cid:durableId="16968094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336"/>
    <w:rsid w:val="00000A82"/>
    <w:rsid w:val="00000D2E"/>
    <w:rsid w:val="00001EB8"/>
    <w:rsid w:val="00002F64"/>
    <w:rsid w:val="00007732"/>
    <w:rsid w:val="000120F5"/>
    <w:rsid w:val="00014D9F"/>
    <w:rsid w:val="00016A3F"/>
    <w:rsid w:val="0002591F"/>
    <w:rsid w:val="00026918"/>
    <w:rsid w:val="00026DB9"/>
    <w:rsid w:val="0003336F"/>
    <w:rsid w:val="00037076"/>
    <w:rsid w:val="00037BFC"/>
    <w:rsid w:val="00041E37"/>
    <w:rsid w:val="000545FF"/>
    <w:rsid w:val="00057907"/>
    <w:rsid w:val="00057E5F"/>
    <w:rsid w:val="00065EAF"/>
    <w:rsid w:val="0007115D"/>
    <w:rsid w:val="00071448"/>
    <w:rsid w:val="000748CB"/>
    <w:rsid w:val="000763BB"/>
    <w:rsid w:val="00092774"/>
    <w:rsid w:val="000939A1"/>
    <w:rsid w:val="00094F9C"/>
    <w:rsid w:val="00095EC7"/>
    <w:rsid w:val="000A0322"/>
    <w:rsid w:val="000A2219"/>
    <w:rsid w:val="000A2A08"/>
    <w:rsid w:val="000A324E"/>
    <w:rsid w:val="000A344F"/>
    <w:rsid w:val="000A5124"/>
    <w:rsid w:val="000A5B44"/>
    <w:rsid w:val="000B0E3F"/>
    <w:rsid w:val="000B1B3A"/>
    <w:rsid w:val="000B25AF"/>
    <w:rsid w:val="000C6498"/>
    <w:rsid w:val="000D1FB7"/>
    <w:rsid w:val="000D2485"/>
    <w:rsid w:val="000D4B39"/>
    <w:rsid w:val="000D5006"/>
    <w:rsid w:val="000E0EE3"/>
    <w:rsid w:val="000E1725"/>
    <w:rsid w:val="000F437C"/>
    <w:rsid w:val="000F4892"/>
    <w:rsid w:val="00101E8D"/>
    <w:rsid w:val="00106D74"/>
    <w:rsid w:val="00112678"/>
    <w:rsid w:val="001209B3"/>
    <w:rsid w:val="00124E00"/>
    <w:rsid w:val="001316F5"/>
    <w:rsid w:val="00132AB2"/>
    <w:rsid w:val="00133931"/>
    <w:rsid w:val="00133D5C"/>
    <w:rsid w:val="00134261"/>
    <w:rsid w:val="00137787"/>
    <w:rsid w:val="0014010C"/>
    <w:rsid w:val="001404C9"/>
    <w:rsid w:val="00142480"/>
    <w:rsid w:val="00142630"/>
    <w:rsid w:val="00143C66"/>
    <w:rsid w:val="00144231"/>
    <w:rsid w:val="00144345"/>
    <w:rsid w:val="00147753"/>
    <w:rsid w:val="00151755"/>
    <w:rsid w:val="001521E6"/>
    <w:rsid w:val="00153659"/>
    <w:rsid w:val="001572D2"/>
    <w:rsid w:val="001676B1"/>
    <w:rsid w:val="00173D5F"/>
    <w:rsid w:val="00175047"/>
    <w:rsid w:val="00177922"/>
    <w:rsid w:val="00183E14"/>
    <w:rsid w:val="0018648D"/>
    <w:rsid w:val="00190081"/>
    <w:rsid w:val="00190D5E"/>
    <w:rsid w:val="001A167E"/>
    <w:rsid w:val="001A1B69"/>
    <w:rsid w:val="001A6094"/>
    <w:rsid w:val="001B383A"/>
    <w:rsid w:val="001C0AEC"/>
    <w:rsid w:val="001D3376"/>
    <w:rsid w:val="001E5498"/>
    <w:rsid w:val="001F2B3A"/>
    <w:rsid w:val="001F2D31"/>
    <w:rsid w:val="001F3DED"/>
    <w:rsid w:val="001F5746"/>
    <w:rsid w:val="002004A6"/>
    <w:rsid w:val="00202BF8"/>
    <w:rsid w:val="0020371B"/>
    <w:rsid w:val="00205172"/>
    <w:rsid w:val="00214147"/>
    <w:rsid w:val="002144F5"/>
    <w:rsid w:val="00222BA9"/>
    <w:rsid w:val="00223078"/>
    <w:rsid w:val="00223098"/>
    <w:rsid w:val="00232ECA"/>
    <w:rsid w:val="002366E0"/>
    <w:rsid w:val="0023771C"/>
    <w:rsid w:val="00243EC2"/>
    <w:rsid w:val="002447F0"/>
    <w:rsid w:val="0024622C"/>
    <w:rsid w:val="002466D4"/>
    <w:rsid w:val="0025432C"/>
    <w:rsid w:val="00256485"/>
    <w:rsid w:val="00256D1C"/>
    <w:rsid w:val="00260A10"/>
    <w:rsid w:val="002624B9"/>
    <w:rsid w:val="00264DE8"/>
    <w:rsid w:val="002842E5"/>
    <w:rsid w:val="00293FC2"/>
    <w:rsid w:val="00295185"/>
    <w:rsid w:val="002A147C"/>
    <w:rsid w:val="002B13E3"/>
    <w:rsid w:val="002C06C1"/>
    <w:rsid w:val="002C7D54"/>
    <w:rsid w:val="002E039D"/>
    <w:rsid w:val="002E569C"/>
    <w:rsid w:val="002E7752"/>
    <w:rsid w:val="002F2260"/>
    <w:rsid w:val="002F3658"/>
    <w:rsid w:val="002F38C5"/>
    <w:rsid w:val="002F6081"/>
    <w:rsid w:val="00305BAC"/>
    <w:rsid w:val="00307871"/>
    <w:rsid w:val="0031422F"/>
    <w:rsid w:val="00314F6C"/>
    <w:rsid w:val="003203E4"/>
    <w:rsid w:val="0032132D"/>
    <w:rsid w:val="00327B83"/>
    <w:rsid w:val="0033234A"/>
    <w:rsid w:val="003338B2"/>
    <w:rsid w:val="00337510"/>
    <w:rsid w:val="00340ECC"/>
    <w:rsid w:val="003448D7"/>
    <w:rsid w:val="0035651D"/>
    <w:rsid w:val="0036163F"/>
    <w:rsid w:val="00361B1F"/>
    <w:rsid w:val="003659B4"/>
    <w:rsid w:val="00367DBB"/>
    <w:rsid w:val="00372593"/>
    <w:rsid w:val="0037359B"/>
    <w:rsid w:val="00375707"/>
    <w:rsid w:val="00376A46"/>
    <w:rsid w:val="00385997"/>
    <w:rsid w:val="003862AC"/>
    <w:rsid w:val="003870C9"/>
    <w:rsid w:val="003923B6"/>
    <w:rsid w:val="00392878"/>
    <w:rsid w:val="003A3B5E"/>
    <w:rsid w:val="003A42F0"/>
    <w:rsid w:val="003A628C"/>
    <w:rsid w:val="003B1870"/>
    <w:rsid w:val="003B1A74"/>
    <w:rsid w:val="003B3708"/>
    <w:rsid w:val="003B4226"/>
    <w:rsid w:val="003B449F"/>
    <w:rsid w:val="003B69AF"/>
    <w:rsid w:val="003B7A10"/>
    <w:rsid w:val="003B7FC0"/>
    <w:rsid w:val="003C4845"/>
    <w:rsid w:val="003C5F4C"/>
    <w:rsid w:val="003D0D56"/>
    <w:rsid w:val="003E2D04"/>
    <w:rsid w:val="003E3A64"/>
    <w:rsid w:val="003E4975"/>
    <w:rsid w:val="003E534C"/>
    <w:rsid w:val="003E6677"/>
    <w:rsid w:val="004004F3"/>
    <w:rsid w:val="00400EAE"/>
    <w:rsid w:val="00402E36"/>
    <w:rsid w:val="004079D2"/>
    <w:rsid w:val="0041466A"/>
    <w:rsid w:val="00414707"/>
    <w:rsid w:val="004217CA"/>
    <w:rsid w:val="0042398B"/>
    <w:rsid w:val="00424302"/>
    <w:rsid w:val="00424643"/>
    <w:rsid w:val="004248E9"/>
    <w:rsid w:val="004251A2"/>
    <w:rsid w:val="004255B1"/>
    <w:rsid w:val="004303C0"/>
    <w:rsid w:val="00440EA2"/>
    <w:rsid w:val="0044156C"/>
    <w:rsid w:val="00444EA2"/>
    <w:rsid w:val="00447993"/>
    <w:rsid w:val="00455A07"/>
    <w:rsid w:val="00455E7B"/>
    <w:rsid w:val="0045759D"/>
    <w:rsid w:val="004672A9"/>
    <w:rsid w:val="00470E1C"/>
    <w:rsid w:val="00472B36"/>
    <w:rsid w:val="00475694"/>
    <w:rsid w:val="00476D22"/>
    <w:rsid w:val="00480001"/>
    <w:rsid w:val="00480DDA"/>
    <w:rsid w:val="00480EBF"/>
    <w:rsid w:val="004A18B1"/>
    <w:rsid w:val="004A75C8"/>
    <w:rsid w:val="004B0F6F"/>
    <w:rsid w:val="004B1035"/>
    <w:rsid w:val="004B588D"/>
    <w:rsid w:val="004C4980"/>
    <w:rsid w:val="004C54BA"/>
    <w:rsid w:val="004D0A58"/>
    <w:rsid w:val="004D162D"/>
    <w:rsid w:val="004D22F4"/>
    <w:rsid w:val="004D25DF"/>
    <w:rsid w:val="004D49FD"/>
    <w:rsid w:val="004E29AE"/>
    <w:rsid w:val="004E68AE"/>
    <w:rsid w:val="004F1E8B"/>
    <w:rsid w:val="00517820"/>
    <w:rsid w:val="00521B6B"/>
    <w:rsid w:val="00525ED5"/>
    <w:rsid w:val="00526D85"/>
    <w:rsid w:val="00527C76"/>
    <w:rsid w:val="00542E19"/>
    <w:rsid w:val="00555695"/>
    <w:rsid w:val="005627E4"/>
    <w:rsid w:val="00570D73"/>
    <w:rsid w:val="00572021"/>
    <w:rsid w:val="00586B95"/>
    <w:rsid w:val="005A5F4D"/>
    <w:rsid w:val="005B7B28"/>
    <w:rsid w:val="005C0574"/>
    <w:rsid w:val="005C2465"/>
    <w:rsid w:val="005C43DA"/>
    <w:rsid w:val="005C4443"/>
    <w:rsid w:val="005C6A84"/>
    <w:rsid w:val="005C6E70"/>
    <w:rsid w:val="005D0B47"/>
    <w:rsid w:val="005D4763"/>
    <w:rsid w:val="005D7975"/>
    <w:rsid w:val="005E1B58"/>
    <w:rsid w:val="005F00D0"/>
    <w:rsid w:val="005F55E6"/>
    <w:rsid w:val="00610B9B"/>
    <w:rsid w:val="00617852"/>
    <w:rsid w:val="00617CF9"/>
    <w:rsid w:val="0062220E"/>
    <w:rsid w:val="00624289"/>
    <w:rsid w:val="00627210"/>
    <w:rsid w:val="006275E7"/>
    <w:rsid w:val="00631592"/>
    <w:rsid w:val="006320BC"/>
    <w:rsid w:val="00637373"/>
    <w:rsid w:val="00643177"/>
    <w:rsid w:val="00646F00"/>
    <w:rsid w:val="00656978"/>
    <w:rsid w:val="006614FB"/>
    <w:rsid w:val="006616C2"/>
    <w:rsid w:val="006629BF"/>
    <w:rsid w:val="0066700D"/>
    <w:rsid w:val="0067119B"/>
    <w:rsid w:val="00676567"/>
    <w:rsid w:val="0067699A"/>
    <w:rsid w:val="0068388A"/>
    <w:rsid w:val="00683F8D"/>
    <w:rsid w:val="00695B94"/>
    <w:rsid w:val="006A2271"/>
    <w:rsid w:val="006A4EDE"/>
    <w:rsid w:val="006B00D1"/>
    <w:rsid w:val="006B1C01"/>
    <w:rsid w:val="006C0206"/>
    <w:rsid w:val="006C072D"/>
    <w:rsid w:val="006C3322"/>
    <w:rsid w:val="006C6877"/>
    <w:rsid w:val="006D2CD6"/>
    <w:rsid w:val="006D78C4"/>
    <w:rsid w:val="006E0854"/>
    <w:rsid w:val="006F0CE1"/>
    <w:rsid w:val="006F0D3F"/>
    <w:rsid w:val="006F45C4"/>
    <w:rsid w:val="00711172"/>
    <w:rsid w:val="00712E2F"/>
    <w:rsid w:val="00717EF8"/>
    <w:rsid w:val="00723A7F"/>
    <w:rsid w:val="00727EE2"/>
    <w:rsid w:val="00730CA5"/>
    <w:rsid w:val="007353BA"/>
    <w:rsid w:val="00735675"/>
    <w:rsid w:val="0073568F"/>
    <w:rsid w:val="007412C0"/>
    <w:rsid w:val="007433F7"/>
    <w:rsid w:val="00750C23"/>
    <w:rsid w:val="00750F0F"/>
    <w:rsid w:val="00757CF7"/>
    <w:rsid w:val="00757F2E"/>
    <w:rsid w:val="00760DED"/>
    <w:rsid w:val="00776179"/>
    <w:rsid w:val="0078402C"/>
    <w:rsid w:val="0079277D"/>
    <w:rsid w:val="007966EA"/>
    <w:rsid w:val="007A353C"/>
    <w:rsid w:val="007B1A8E"/>
    <w:rsid w:val="007B1C69"/>
    <w:rsid w:val="007C4EEE"/>
    <w:rsid w:val="007C5A13"/>
    <w:rsid w:val="007D6020"/>
    <w:rsid w:val="007E0B3C"/>
    <w:rsid w:val="007E4495"/>
    <w:rsid w:val="007E5118"/>
    <w:rsid w:val="007E6D96"/>
    <w:rsid w:val="007F13D8"/>
    <w:rsid w:val="007F3600"/>
    <w:rsid w:val="007F3D20"/>
    <w:rsid w:val="007F4018"/>
    <w:rsid w:val="007F48D5"/>
    <w:rsid w:val="007F4F88"/>
    <w:rsid w:val="00801429"/>
    <w:rsid w:val="00804AD3"/>
    <w:rsid w:val="00807AAB"/>
    <w:rsid w:val="00810284"/>
    <w:rsid w:val="008105DF"/>
    <w:rsid w:val="00814DB7"/>
    <w:rsid w:val="008157FB"/>
    <w:rsid w:val="00816066"/>
    <w:rsid w:val="00820D99"/>
    <w:rsid w:val="00824444"/>
    <w:rsid w:val="0083047E"/>
    <w:rsid w:val="008332AD"/>
    <w:rsid w:val="00835050"/>
    <w:rsid w:val="00837C8C"/>
    <w:rsid w:val="00841431"/>
    <w:rsid w:val="00843390"/>
    <w:rsid w:val="008452BF"/>
    <w:rsid w:val="00850A00"/>
    <w:rsid w:val="0085138F"/>
    <w:rsid w:val="00854323"/>
    <w:rsid w:val="008543CD"/>
    <w:rsid w:val="00854629"/>
    <w:rsid w:val="00857952"/>
    <w:rsid w:val="00862FEA"/>
    <w:rsid w:val="00863059"/>
    <w:rsid w:val="008663EF"/>
    <w:rsid w:val="008671B3"/>
    <w:rsid w:val="008720C7"/>
    <w:rsid w:val="008739E5"/>
    <w:rsid w:val="00874490"/>
    <w:rsid w:val="00880292"/>
    <w:rsid w:val="00880773"/>
    <w:rsid w:val="00881564"/>
    <w:rsid w:val="00883AA7"/>
    <w:rsid w:val="00884D31"/>
    <w:rsid w:val="0088531C"/>
    <w:rsid w:val="0088706C"/>
    <w:rsid w:val="00894867"/>
    <w:rsid w:val="0089570A"/>
    <w:rsid w:val="008968C4"/>
    <w:rsid w:val="008976D3"/>
    <w:rsid w:val="008A205D"/>
    <w:rsid w:val="008A5037"/>
    <w:rsid w:val="008B7075"/>
    <w:rsid w:val="008C0A9B"/>
    <w:rsid w:val="008C1657"/>
    <w:rsid w:val="008D1A1D"/>
    <w:rsid w:val="008D5EE5"/>
    <w:rsid w:val="008D763E"/>
    <w:rsid w:val="008D76E7"/>
    <w:rsid w:val="008E10CF"/>
    <w:rsid w:val="008E3165"/>
    <w:rsid w:val="008E52D8"/>
    <w:rsid w:val="008E5E55"/>
    <w:rsid w:val="008E6107"/>
    <w:rsid w:val="008E6525"/>
    <w:rsid w:val="008F0072"/>
    <w:rsid w:val="008F1835"/>
    <w:rsid w:val="008F1CB1"/>
    <w:rsid w:val="008F25B5"/>
    <w:rsid w:val="008F4011"/>
    <w:rsid w:val="008F5BB1"/>
    <w:rsid w:val="008F7692"/>
    <w:rsid w:val="00903FB6"/>
    <w:rsid w:val="00905254"/>
    <w:rsid w:val="00906ED9"/>
    <w:rsid w:val="00907151"/>
    <w:rsid w:val="009164B2"/>
    <w:rsid w:val="00916634"/>
    <w:rsid w:val="00916EFF"/>
    <w:rsid w:val="00916FBA"/>
    <w:rsid w:val="00922C37"/>
    <w:rsid w:val="00933539"/>
    <w:rsid w:val="00937B89"/>
    <w:rsid w:val="009411A3"/>
    <w:rsid w:val="00944A2F"/>
    <w:rsid w:val="009505D8"/>
    <w:rsid w:val="00950F60"/>
    <w:rsid w:val="00952F01"/>
    <w:rsid w:val="009536BD"/>
    <w:rsid w:val="00962837"/>
    <w:rsid w:val="00963148"/>
    <w:rsid w:val="00964BAD"/>
    <w:rsid w:val="0096575D"/>
    <w:rsid w:val="00971390"/>
    <w:rsid w:val="00973922"/>
    <w:rsid w:val="00976736"/>
    <w:rsid w:val="00977A8D"/>
    <w:rsid w:val="009928C8"/>
    <w:rsid w:val="00996C08"/>
    <w:rsid w:val="009A31DF"/>
    <w:rsid w:val="009A3926"/>
    <w:rsid w:val="009A3E07"/>
    <w:rsid w:val="009A3E94"/>
    <w:rsid w:val="009A3FA3"/>
    <w:rsid w:val="009A791B"/>
    <w:rsid w:val="009B4EED"/>
    <w:rsid w:val="009B5250"/>
    <w:rsid w:val="009C2C9E"/>
    <w:rsid w:val="009C4A8F"/>
    <w:rsid w:val="009D4BA9"/>
    <w:rsid w:val="009E30DC"/>
    <w:rsid w:val="009E5767"/>
    <w:rsid w:val="009F27D0"/>
    <w:rsid w:val="009F6CED"/>
    <w:rsid w:val="009F6EBC"/>
    <w:rsid w:val="009F7FA0"/>
    <w:rsid w:val="00A01CFC"/>
    <w:rsid w:val="00A02A7A"/>
    <w:rsid w:val="00A06AF0"/>
    <w:rsid w:val="00A146D5"/>
    <w:rsid w:val="00A1645F"/>
    <w:rsid w:val="00A16BC8"/>
    <w:rsid w:val="00A1736C"/>
    <w:rsid w:val="00A22336"/>
    <w:rsid w:val="00A313E0"/>
    <w:rsid w:val="00A33009"/>
    <w:rsid w:val="00A34701"/>
    <w:rsid w:val="00A43C42"/>
    <w:rsid w:val="00A46B7C"/>
    <w:rsid w:val="00A47D3A"/>
    <w:rsid w:val="00A509D2"/>
    <w:rsid w:val="00A53688"/>
    <w:rsid w:val="00A573B8"/>
    <w:rsid w:val="00A60805"/>
    <w:rsid w:val="00A60E98"/>
    <w:rsid w:val="00A61A88"/>
    <w:rsid w:val="00A661A7"/>
    <w:rsid w:val="00A6667A"/>
    <w:rsid w:val="00A6763A"/>
    <w:rsid w:val="00A7302D"/>
    <w:rsid w:val="00A745B4"/>
    <w:rsid w:val="00A7608F"/>
    <w:rsid w:val="00A91E10"/>
    <w:rsid w:val="00A96CA8"/>
    <w:rsid w:val="00AA11AD"/>
    <w:rsid w:val="00AA6CDA"/>
    <w:rsid w:val="00AA7F83"/>
    <w:rsid w:val="00AB041D"/>
    <w:rsid w:val="00AB41D5"/>
    <w:rsid w:val="00AB483F"/>
    <w:rsid w:val="00AB728A"/>
    <w:rsid w:val="00AC0BBB"/>
    <w:rsid w:val="00AC4A12"/>
    <w:rsid w:val="00AC728C"/>
    <w:rsid w:val="00AD4985"/>
    <w:rsid w:val="00AF21F0"/>
    <w:rsid w:val="00AF45E4"/>
    <w:rsid w:val="00B03FAB"/>
    <w:rsid w:val="00B04646"/>
    <w:rsid w:val="00B07B0E"/>
    <w:rsid w:val="00B112CB"/>
    <w:rsid w:val="00B13B0F"/>
    <w:rsid w:val="00B1421F"/>
    <w:rsid w:val="00B25542"/>
    <w:rsid w:val="00B26F1E"/>
    <w:rsid w:val="00B351EB"/>
    <w:rsid w:val="00B43C8C"/>
    <w:rsid w:val="00B4583C"/>
    <w:rsid w:val="00B45EE5"/>
    <w:rsid w:val="00B50B9C"/>
    <w:rsid w:val="00B50F08"/>
    <w:rsid w:val="00B54C64"/>
    <w:rsid w:val="00B55140"/>
    <w:rsid w:val="00B57846"/>
    <w:rsid w:val="00B61538"/>
    <w:rsid w:val="00B6233F"/>
    <w:rsid w:val="00B6510A"/>
    <w:rsid w:val="00B7119C"/>
    <w:rsid w:val="00B72B5A"/>
    <w:rsid w:val="00B73FD8"/>
    <w:rsid w:val="00B771EE"/>
    <w:rsid w:val="00B9153F"/>
    <w:rsid w:val="00B9640A"/>
    <w:rsid w:val="00BA6000"/>
    <w:rsid w:val="00BA6C90"/>
    <w:rsid w:val="00BB285B"/>
    <w:rsid w:val="00BB3C98"/>
    <w:rsid w:val="00BB6773"/>
    <w:rsid w:val="00BD27D8"/>
    <w:rsid w:val="00BD2AF0"/>
    <w:rsid w:val="00BD3241"/>
    <w:rsid w:val="00BD4523"/>
    <w:rsid w:val="00BD6702"/>
    <w:rsid w:val="00BD6C32"/>
    <w:rsid w:val="00BE1845"/>
    <w:rsid w:val="00BE21DC"/>
    <w:rsid w:val="00BE603A"/>
    <w:rsid w:val="00BE6552"/>
    <w:rsid w:val="00BF299F"/>
    <w:rsid w:val="00BF3F0B"/>
    <w:rsid w:val="00C03BDB"/>
    <w:rsid w:val="00C0422D"/>
    <w:rsid w:val="00C04775"/>
    <w:rsid w:val="00C06233"/>
    <w:rsid w:val="00C063B5"/>
    <w:rsid w:val="00C10D14"/>
    <w:rsid w:val="00C1288A"/>
    <w:rsid w:val="00C20B63"/>
    <w:rsid w:val="00C21C91"/>
    <w:rsid w:val="00C21D8F"/>
    <w:rsid w:val="00C25115"/>
    <w:rsid w:val="00C26F89"/>
    <w:rsid w:val="00C27305"/>
    <w:rsid w:val="00C31B20"/>
    <w:rsid w:val="00C34247"/>
    <w:rsid w:val="00C4151C"/>
    <w:rsid w:val="00C456E5"/>
    <w:rsid w:val="00C47E7E"/>
    <w:rsid w:val="00C52F9E"/>
    <w:rsid w:val="00C5731B"/>
    <w:rsid w:val="00C604CC"/>
    <w:rsid w:val="00C63B04"/>
    <w:rsid w:val="00C70D95"/>
    <w:rsid w:val="00C72735"/>
    <w:rsid w:val="00C755DD"/>
    <w:rsid w:val="00C8011C"/>
    <w:rsid w:val="00C80F1F"/>
    <w:rsid w:val="00C846EE"/>
    <w:rsid w:val="00C905FF"/>
    <w:rsid w:val="00C90AFB"/>
    <w:rsid w:val="00C97294"/>
    <w:rsid w:val="00CA09C2"/>
    <w:rsid w:val="00CA3E1A"/>
    <w:rsid w:val="00CB6359"/>
    <w:rsid w:val="00CB7292"/>
    <w:rsid w:val="00CB7B57"/>
    <w:rsid w:val="00CC1133"/>
    <w:rsid w:val="00CC6119"/>
    <w:rsid w:val="00CC7990"/>
    <w:rsid w:val="00CD6AD7"/>
    <w:rsid w:val="00CE0EC1"/>
    <w:rsid w:val="00CF17E0"/>
    <w:rsid w:val="00CF32BA"/>
    <w:rsid w:val="00CF59E8"/>
    <w:rsid w:val="00CF77A5"/>
    <w:rsid w:val="00D011FF"/>
    <w:rsid w:val="00D06254"/>
    <w:rsid w:val="00D062F3"/>
    <w:rsid w:val="00D149DA"/>
    <w:rsid w:val="00D22629"/>
    <w:rsid w:val="00D26EE3"/>
    <w:rsid w:val="00D27DE1"/>
    <w:rsid w:val="00D30D25"/>
    <w:rsid w:val="00D32554"/>
    <w:rsid w:val="00D35EC5"/>
    <w:rsid w:val="00D4021C"/>
    <w:rsid w:val="00D46316"/>
    <w:rsid w:val="00D46A45"/>
    <w:rsid w:val="00D53269"/>
    <w:rsid w:val="00D54A98"/>
    <w:rsid w:val="00D55FF7"/>
    <w:rsid w:val="00D60600"/>
    <w:rsid w:val="00D6335A"/>
    <w:rsid w:val="00D81C24"/>
    <w:rsid w:val="00D838CB"/>
    <w:rsid w:val="00D83D26"/>
    <w:rsid w:val="00D84BDA"/>
    <w:rsid w:val="00D84CB4"/>
    <w:rsid w:val="00D87B0D"/>
    <w:rsid w:val="00D87CC6"/>
    <w:rsid w:val="00D912CA"/>
    <w:rsid w:val="00D93B86"/>
    <w:rsid w:val="00D94315"/>
    <w:rsid w:val="00D952BE"/>
    <w:rsid w:val="00D95B48"/>
    <w:rsid w:val="00DA059C"/>
    <w:rsid w:val="00DA096E"/>
    <w:rsid w:val="00DA24B0"/>
    <w:rsid w:val="00DA498B"/>
    <w:rsid w:val="00DA5D8C"/>
    <w:rsid w:val="00DB0A2C"/>
    <w:rsid w:val="00DB16C0"/>
    <w:rsid w:val="00DB1FDE"/>
    <w:rsid w:val="00DB3D36"/>
    <w:rsid w:val="00DC0FD8"/>
    <w:rsid w:val="00DC2E40"/>
    <w:rsid w:val="00DD0597"/>
    <w:rsid w:val="00DD2470"/>
    <w:rsid w:val="00DD67A7"/>
    <w:rsid w:val="00DD6EFD"/>
    <w:rsid w:val="00DE1123"/>
    <w:rsid w:val="00DE1C83"/>
    <w:rsid w:val="00DE31A4"/>
    <w:rsid w:val="00DF0B0B"/>
    <w:rsid w:val="00DF19BB"/>
    <w:rsid w:val="00DF33AE"/>
    <w:rsid w:val="00DF3BFD"/>
    <w:rsid w:val="00DF5EB0"/>
    <w:rsid w:val="00E01E8F"/>
    <w:rsid w:val="00E02E3D"/>
    <w:rsid w:val="00E13E1D"/>
    <w:rsid w:val="00E17AE7"/>
    <w:rsid w:val="00E17CD8"/>
    <w:rsid w:val="00E25654"/>
    <w:rsid w:val="00E30C46"/>
    <w:rsid w:val="00E36B48"/>
    <w:rsid w:val="00E407DB"/>
    <w:rsid w:val="00E44B53"/>
    <w:rsid w:val="00E471D8"/>
    <w:rsid w:val="00E51FF7"/>
    <w:rsid w:val="00E53F37"/>
    <w:rsid w:val="00E57681"/>
    <w:rsid w:val="00E60AFB"/>
    <w:rsid w:val="00E60EF5"/>
    <w:rsid w:val="00E6759E"/>
    <w:rsid w:val="00E74DE4"/>
    <w:rsid w:val="00E763E2"/>
    <w:rsid w:val="00E844DB"/>
    <w:rsid w:val="00E85852"/>
    <w:rsid w:val="00E86F78"/>
    <w:rsid w:val="00E875FE"/>
    <w:rsid w:val="00EA2A45"/>
    <w:rsid w:val="00EB09ED"/>
    <w:rsid w:val="00EC2A23"/>
    <w:rsid w:val="00EC2CAF"/>
    <w:rsid w:val="00EC2FF8"/>
    <w:rsid w:val="00EC7A8D"/>
    <w:rsid w:val="00EE32CB"/>
    <w:rsid w:val="00EF017F"/>
    <w:rsid w:val="00EF2835"/>
    <w:rsid w:val="00EF5435"/>
    <w:rsid w:val="00F02AC3"/>
    <w:rsid w:val="00F05817"/>
    <w:rsid w:val="00F10121"/>
    <w:rsid w:val="00F10AF5"/>
    <w:rsid w:val="00F24145"/>
    <w:rsid w:val="00F24D5F"/>
    <w:rsid w:val="00F3606F"/>
    <w:rsid w:val="00F57982"/>
    <w:rsid w:val="00F6056C"/>
    <w:rsid w:val="00F60967"/>
    <w:rsid w:val="00F60972"/>
    <w:rsid w:val="00F709AA"/>
    <w:rsid w:val="00F764B9"/>
    <w:rsid w:val="00F908F6"/>
    <w:rsid w:val="00F91991"/>
    <w:rsid w:val="00F94CE3"/>
    <w:rsid w:val="00F95770"/>
    <w:rsid w:val="00F97929"/>
    <w:rsid w:val="00FA3047"/>
    <w:rsid w:val="00FA56FF"/>
    <w:rsid w:val="00FB1511"/>
    <w:rsid w:val="00FB4F84"/>
    <w:rsid w:val="00FC308F"/>
    <w:rsid w:val="00FC30AA"/>
    <w:rsid w:val="00FD0D27"/>
    <w:rsid w:val="00FD0D43"/>
    <w:rsid w:val="00FE044C"/>
    <w:rsid w:val="00FE23C5"/>
    <w:rsid w:val="00FE5C3A"/>
    <w:rsid w:val="00FE7DBC"/>
    <w:rsid w:val="00FF1252"/>
    <w:rsid w:val="00FF571A"/>
    <w:rsid w:val="00FF7BCC"/>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ED10D"/>
  <w15:chartTrackingRefBased/>
  <w15:docId w15:val="{406ACE91-533D-9B40-A53D-35BBB308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1"/>
        <w:lang w:val="en-GB" w:eastAsia="en-US"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E7B"/>
    <w:rPr>
      <w:rFonts w:ascii="Times New Roman" w:eastAsia="Times New Roman" w:hAnsi="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66A"/>
    <w:pPr>
      <w:ind w:left="720"/>
      <w:contextualSpacing/>
    </w:pPr>
  </w:style>
  <w:style w:type="character" w:styleId="Hyperlink">
    <w:name w:val="Hyperlink"/>
    <w:basedOn w:val="DefaultParagraphFont"/>
    <w:uiPriority w:val="99"/>
    <w:unhideWhenUsed/>
    <w:rsid w:val="002447F0"/>
    <w:rPr>
      <w:color w:val="0000FF"/>
      <w:u w:val="single"/>
    </w:rPr>
  </w:style>
  <w:style w:type="paragraph" w:styleId="FootnoteText">
    <w:name w:val="footnote text"/>
    <w:aliases w:val="5_G,Footnote Text Char1,Footnote Text Char Char,Footnote Text Char1 Char Char,Footnote Text Char Char Char Char,Footnote Text Char Char1,Footnote Text Char3,Footnote Text Char Char Char Char Char1,Text pozn. pod čarou Char,Footnotes"/>
    <w:basedOn w:val="Normal"/>
    <w:link w:val="FootnoteTextChar"/>
    <w:uiPriority w:val="99"/>
    <w:unhideWhenUsed/>
    <w:qFormat/>
    <w:rsid w:val="002447F0"/>
    <w:rPr>
      <w:rFonts w:cstheme="minorBidi"/>
      <w:sz w:val="20"/>
      <w:szCs w:val="20"/>
      <w:lang w:bidi="ar-SA"/>
    </w:rPr>
  </w:style>
  <w:style w:type="character" w:customStyle="1" w:styleId="FootnoteTextChar">
    <w:name w:val="Footnote Text Char"/>
    <w:aliases w:val="5_G Char,Footnote Text Char1 Char,Footnote Text Char Char Char,Footnote Text Char1 Char Char Char,Footnote Text Char Char Char Char Char,Footnote Text Char Char1 Char,Footnote Text Char3 Char,Text pozn. pod čarou Char Char"/>
    <w:basedOn w:val="DefaultParagraphFont"/>
    <w:link w:val="FootnoteText"/>
    <w:uiPriority w:val="99"/>
    <w:qFormat/>
    <w:rsid w:val="002447F0"/>
    <w:rPr>
      <w:sz w:val="20"/>
      <w:szCs w:val="20"/>
      <w:lang w:val="en-GB" w:bidi="ar-SA"/>
    </w:rPr>
  </w:style>
  <w:style w:type="character" w:styleId="FootnoteReference">
    <w:name w:val="footnote reference"/>
    <w:aliases w:val="4_G,Ref,de nota al pie,Footnotes refss,Footnote Ref,16 Point,Superscript 6 Point,ftref,Footnote,callout,Footnote symbol Car Zchn Zchn,Footnote Car Zchn Zchn,Times 10 Point Car Zchn Zchn,BVI fnr Car Zchn Zchn,Appel note de bas de p."/>
    <w:basedOn w:val="DefaultParagraphFont"/>
    <w:link w:val="ENFootnoteReference"/>
    <w:unhideWhenUsed/>
    <w:qFormat/>
    <w:rsid w:val="002447F0"/>
    <w:rPr>
      <w:vertAlign w:val="superscript"/>
    </w:rPr>
  </w:style>
  <w:style w:type="paragraph" w:customStyle="1" w:styleId="ENFootnoteReference">
    <w:name w:val="EN Footnote Reference"/>
    <w:aliases w:val="-E Fußnotenzeichen,number,SUPERS,BVI fnr תו Char Char Char,BVI fnr Car Car תו Char Char Char,BVI fnr Car תו Char Char Char,BVI fn"/>
    <w:basedOn w:val="Normal"/>
    <w:link w:val="FootnoteReference"/>
    <w:rsid w:val="002447F0"/>
    <w:pPr>
      <w:spacing w:after="160" w:line="240" w:lineRule="exact"/>
    </w:pPr>
    <w:rPr>
      <w:rFonts w:cstheme="minorBidi"/>
      <w:vertAlign w:val="superscript"/>
    </w:rPr>
  </w:style>
  <w:style w:type="character" w:customStyle="1" w:styleId="apple-converted-space">
    <w:name w:val="apple-converted-space"/>
    <w:basedOn w:val="DefaultParagraphFont"/>
    <w:rsid w:val="003B449F"/>
  </w:style>
  <w:style w:type="character" w:styleId="Strong">
    <w:name w:val="Strong"/>
    <w:basedOn w:val="DefaultParagraphFont"/>
    <w:uiPriority w:val="22"/>
    <w:qFormat/>
    <w:rsid w:val="00AC0BBB"/>
    <w:rPr>
      <w:b/>
      <w:bCs/>
    </w:rPr>
  </w:style>
  <w:style w:type="table" w:styleId="TableGrid">
    <w:name w:val="Table Grid"/>
    <w:basedOn w:val="TableNormal"/>
    <w:uiPriority w:val="39"/>
    <w:rsid w:val="00A7608F"/>
    <w:pPr>
      <w:autoSpaceDN w:val="0"/>
    </w:pPr>
    <w:rPr>
      <w:rFonts w:ascii="Calibri" w:eastAsia="Calibri" w:hAnsi="Calibri" w:cs="Times New Roman"/>
      <w:kern w:val="3"/>
      <w:sz w:val="22"/>
      <w:szCs w:val="22"/>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1">
    <w:name w:val="x_contentpasted1"/>
    <w:basedOn w:val="DefaultParagraphFont"/>
    <w:rsid w:val="00CC6119"/>
  </w:style>
  <w:style w:type="paragraph" w:styleId="Revision">
    <w:name w:val="Revision"/>
    <w:hidden/>
    <w:uiPriority w:val="99"/>
    <w:semiHidden/>
    <w:rsid w:val="00750F0F"/>
    <w:rPr>
      <w:rFonts w:ascii="Times New Roman" w:eastAsia="Times New Roman" w:hAnsi="Times New Roman" w:cs="Mangal"/>
      <w:kern w:val="0"/>
      <w14:ligatures w14:val="none"/>
    </w:rPr>
  </w:style>
  <w:style w:type="character" w:styleId="Emphasis">
    <w:name w:val="Emphasis"/>
    <w:basedOn w:val="DefaultParagraphFont"/>
    <w:uiPriority w:val="20"/>
    <w:qFormat/>
    <w:rsid w:val="00260A10"/>
    <w:rPr>
      <w:i/>
      <w:iCs/>
    </w:rPr>
  </w:style>
  <w:style w:type="character" w:customStyle="1" w:styleId="cskcde">
    <w:name w:val="cskcde"/>
    <w:basedOn w:val="DefaultParagraphFont"/>
    <w:rsid w:val="00A6667A"/>
  </w:style>
  <w:style w:type="character" w:customStyle="1" w:styleId="hgkelc">
    <w:name w:val="hgkelc"/>
    <w:basedOn w:val="DefaultParagraphFont"/>
    <w:rsid w:val="00A6667A"/>
  </w:style>
  <w:style w:type="paragraph" w:styleId="Header">
    <w:name w:val="header"/>
    <w:basedOn w:val="Normal"/>
    <w:link w:val="HeaderChar"/>
    <w:uiPriority w:val="99"/>
    <w:unhideWhenUsed/>
    <w:rsid w:val="00CF17E0"/>
    <w:pPr>
      <w:tabs>
        <w:tab w:val="center" w:pos="4513"/>
        <w:tab w:val="right" w:pos="9026"/>
      </w:tabs>
    </w:pPr>
    <w:rPr>
      <w:rFonts w:cs="Mangal"/>
      <w:szCs w:val="21"/>
    </w:rPr>
  </w:style>
  <w:style w:type="character" w:customStyle="1" w:styleId="HeaderChar">
    <w:name w:val="Header Char"/>
    <w:basedOn w:val="DefaultParagraphFont"/>
    <w:link w:val="Header"/>
    <w:uiPriority w:val="99"/>
    <w:rsid w:val="00CF17E0"/>
    <w:rPr>
      <w:rFonts w:ascii="Times New Roman" w:eastAsia="Times New Roman" w:hAnsi="Times New Roman" w:cs="Mangal"/>
      <w:kern w:val="0"/>
      <w14:ligatures w14:val="none"/>
    </w:rPr>
  </w:style>
  <w:style w:type="paragraph" w:styleId="Footer">
    <w:name w:val="footer"/>
    <w:basedOn w:val="Normal"/>
    <w:link w:val="FooterChar"/>
    <w:uiPriority w:val="99"/>
    <w:unhideWhenUsed/>
    <w:rsid w:val="00CF17E0"/>
    <w:pPr>
      <w:tabs>
        <w:tab w:val="center" w:pos="4513"/>
        <w:tab w:val="right" w:pos="9026"/>
      </w:tabs>
    </w:pPr>
    <w:rPr>
      <w:rFonts w:cs="Mangal"/>
      <w:szCs w:val="21"/>
    </w:rPr>
  </w:style>
  <w:style w:type="character" w:customStyle="1" w:styleId="FooterChar">
    <w:name w:val="Footer Char"/>
    <w:basedOn w:val="DefaultParagraphFont"/>
    <w:link w:val="Footer"/>
    <w:uiPriority w:val="99"/>
    <w:rsid w:val="00CF17E0"/>
    <w:rPr>
      <w:rFonts w:ascii="Times New Roman" w:eastAsia="Times New Roman" w:hAnsi="Times New Roman" w:cs="Mangal"/>
      <w:kern w:val="0"/>
      <w14:ligatures w14:val="none"/>
    </w:rPr>
  </w:style>
  <w:style w:type="character" w:styleId="CommentReference">
    <w:name w:val="annotation reference"/>
    <w:basedOn w:val="DefaultParagraphFont"/>
    <w:uiPriority w:val="99"/>
    <w:semiHidden/>
    <w:unhideWhenUsed/>
    <w:rsid w:val="000545FF"/>
    <w:rPr>
      <w:sz w:val="16"/>
      <w:szCs w:val="16"/>
    </w:rPr>
  </w:style>
  <w:style w:type="paragraph" w:styleId="CommentText">
    <w:name w:val="annotation text"/>
    <w:basedOn w:val="Normal"/>
    <w:link w:val="CommentTextChar"/>
    <w:uiPriority w:val="99"/>
    <w:unhideWhenUsed/>
    <w:rsid w:val="000545FF"/>
    <w:rPr>
      <w:rFonts w:cs="Mangal"/>
      <w:sz w:val="20"/>
      <w:szCs w:val="18"/>
    </w:rPr>
  </w:style>
  <w:style w:type="character" w:customStyle="1" w:styleId="CommentTextChar">
    <w:name w:val="Comment Text Char"/>
    <w:basedOn w:val="DefaultParagraphFont"/>
    <w:link w:val="CommentText"/>
    <w:uiPriority w:val="99"/>
    <w:rsid w:val="000545FF"/>
    <w:rPr>
      <w:rFonts w:ascii="Times New Roman" w:eastAsia="Times New Roman" w:hAnsi="Times New Roman" w:cs="Mangal"/>
      <w:kern w:val="0"/>
      <w:sz w:val="20"/>
      <w:szCs w:val="18"/>
      <w14:ligatures w14:val="none"/>
    </w:rPr>
  </w:style>
  <w:style w:type="paragraph" w:styleId="CommentSubject">
    <w:name w:val="annotation subject"/>
    <w:basedOn w:val="CommentText"/>
    <w:next w:val="CommentText"/>
    <w:link w:val="CommentSubjectChar"/>
    <w:uiPriority w:val="99"/>
    <w:semiHidden/>
    <w:unhideWhenUsed/>
    <w:rsid w:val="000545FF"/>
    <w:rPr>
      <w:b/>
      <w:bCs/>
    </w:rPr>
  </w:style>
  <w:style w:type="character" w:customStyle="1" w:styleId="CommentSubjectChar">
    <w:name w:val="Comment Subject Char"/>
    <w:basedOn w:val="CommentTextChar"/>
    <w:link w:val="CommentSubject"/>
    <w:uiPriority w:val="99"/>
    <w:semiHidden/>
    <w:rsid w:val="000545FF"/>
    <w:rPr>
      <w:rFonts w:ascii="Times New Roman" w:eastAsia="Times New Roman" w:hAnsi="Times New Roman" w:cs="Mangal"/>
      <w:b/>
      <w:bCs/>
      <w:kern w:val="0"/>
      <w:sz w:val="20"/>
      <w:szCs w:val="18"/>
      <w14:ligatures w14:val="none"/>
    </w:rPr>
  </w:style>
  <w:style w:type="paragraph" w:styleId="NormalWeb">
    <w:name w:val="Normal (Web)"/>
    <w:basedOn w:val="Normal"/>
    <w:uiPriority w:val="99"/>
    <w:semiHidden/>
    <w:unhideWhenUsed/>
    <w:rsid w:val="006A4EDE"/>
    <w:pPr>
      <w:spacing w:before="100" w:beforeAutospacing="1" w:after="100" w:afterAutospacing="1"/>
    </w:pPr>
    <w:rPr>
      <w:lang w:eastAsia="en-GB" w:bidi="ar-SA"/>
    </w:rPr>
  </w:style>
  <w:style w:type="character" w:styleId="UnresolvedMention">
    <w:name w:val="Unresolved Mention"/>
    <w:basedOn w:val="DefaultParagraphFont"/>
    <w:uiPriority w:val="99"/>
    <w:semiHidden/>
    <w:unhideWhenUsed/>
    <w:rsid w:val="00632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13853">
      <w:bodyDiv w:val="1"/>
      <w:marLeft w:val="0"/>
      <w:marRight w:val="0"/>
      <w:marTop w:val="0"/>
      <w:marBottom w:val="0"/>
      <w:divBdr>
        <w:top w:val="none" w:sz="0" w:space="0" w:color="auto"/>
        <w:left w:val="none" w:sz="0" w:space="0" w:color="auto"/>
        <w:bottom w:val="none" w:sz="0" w:space="0" w:color="auto"/>
        <w:right w:val="none" w:sz="0" w:space="0" w:color="auto"/>
      </w:divBdr>
    </w:div>
    <w:div w:id="260182993">
      <w:bodyDiv w:val="1"/>
      <w:marLeft w:val="0"/>
      <w:marRight w:val="0"/>
      <w:marTop w:val="0"/>
      <w:marBottom w:val="0"/>
      <w:divBdr>
        <w:top w:val="none" w:sz="0" w:space="0" w:color="auto"/>
        <w:left w:val="none" w:sz="0" w:space="0" w:color="auto"/>
        <w:bottom w:val="none" w:sz="0" w:space="0" w:color="auto"/>
        <w:right w:val="none" w:sz="0" w:space="0" w:color="auto"/>
      </w:divBdr>
    </w:div>
    <w:div w:id="373045532">
      <w:bodyDiv w:val="1"/>
      <w:marLeft w:val="0"/>
      <w:marRight w:val="0"/>
      <w:marTop w:val="0"/>
      <w:marBottom w:val="0"/>
      <w:divBdr>
        <w:top w:val="none" w:sz="0" w:space="0" w:color="auto"/>
        <w:left w:val="none" w:sz="0" w:space="0" w:color="auto"/>
        <w:bottom w:val="none" w:sz="0" w:space="0" w:color="auto"/>
        <w:right w:val="none" w:sz="0" w:space="0" w:color="auto"/>
      </w:divBdr>
    </w:div>
    <w:div w:id="467555445">
      <w:bodyDiv w:val="1"/>
      <w:marLeft w:val="0"/>
      <w:marRight w:val="0"/>
      <w:marTop w:val="0"/>
      <w:marBottom w:val="0"/>
      <w:divBdr>
        <w:top w:val="none" w:sz="0" w:space="0" w:color="auto"/>
        <w:left w:val="none" w:sz="0" w:space="0" w:color="auto"/>
        <w:bottom w:val="none" w:sz="0" w:space="0" w:color="auto"/>
        <w:right w:val="none" w:sz="0" w:space="0" w:color="auto"/>
      </w:divBdr>
    </w:div>
    <w:div w:id="641887527">
      <w:bodyDiv w:val="1"/>
      <w:marLeft w:val="0"/>
      <w:marRight w:val="0"/>
      <w:marTop w:val="0"/>
      <w:marBottom w:val="0"/>
      <w:divBdr>
        <w:top w:val="none" w:sz="0" w:space="0" w:color="auto"/>
        <w:left w:val="none" w:sz="0" w:space="0" w:color="auto"/>
        <w:bottom w:val="none" w:sz="0" w:space="0" w:color="auto"/>
        <w:right w:val="none" w:sz="0" w:space="0" w:color="auto"/>
      </w:divBdr>
      <w:divsChild>
        <w:div w:id="3283397">
          <w:marLeft w:val="0"/>
          <w:marRight w:val="0"/>
          <w:marTop w:val="0"/>
          <w:marBottom w:val="0"/>
          <w:divBdr>
            <w:top w:val="none" w:sz="0" w:space="0" w:color="auto"/>
            <w:left w:val="none" w:sz="0" w:space="0" w:color="auto"/>
            <w:bottom w:val="none" w:sz="0" w:space="0" w:color="auto"/>
            <w:right w:val="none" w:sz="0" w:space="0" w:color="auto"/>
          </w:divBdr>
          <w:divsChild>
            <w:div w:id="91779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60035">
      <w:bodyDiv w:val="1"/>
      <w:marLeft w:val="0"/>
      <w:marRight w:val="0"/>
      <w:marTop w:val="0"/>
      <w:marBottom w:val="0"/>
      <w:divBdr>
        <w:top w:val="none" w:sz="0" w:space="0" w:color="auto"/>
        <w:left w:val="none" w:sz="0" w:space="0" w:color="auto"/>
        <w:bottom w:val="none" w:sz="0" w:space="0" w:color="auto"/>
        <w:right w:val="none" w:sz="0" w:space="0" w:color="auto"/>
      </w:divBdr>
    </w:div>
    <w:div w:id="876506471">
      <w:bodyDiv w:val="1"/>
      <w:marLeft w:val="0"/>
      <w:marRight w:val="0"/>
      <w:marTop w:val="0"/>
      <w:marBottom w:val="0"/>
      <w:divBdr>
        <w:top w:val="none" w:sz="0" w:space="0" w:color="auto"/>
        <w:left w:val="none" w:sz="0" w:space="0" w:color="auto"/>
        <w:bottom w:val="none" w:sz="0" w:space="0" w:color="auto"/>
        <w:right w:val="none" w:sz="0" w:space="0" w:color="auto"/>
      </w:divBdr>
    </w:div>
    <w:div w:id="963267981">
      <w:bodyDiv w:val="1"/>
      <w:marLeft w:val="0"/>
      <w:marRight w:val="0"/>
      <w:marTop w:val="0"/>
      <w:marBottom w:val="0"/>
      <w:divBdr>
        <w:top w:val="none" w:sz="0" w:space="0" w:color="auto"/>
        <w:left w:val="none" w:sz="0" w:space="0" w:color="auto"/>
        <w:bottom w:val="none" w:sz="0" w:space="0" w:color="auto"/>
        <w:right w:val="none" w:sz="0" w:space="0" w:color="auto"/>
      </w:divBdr>
    </w:div>
    <w:div w:id="1092627926">
      <w:bodyDiv w:val="1"/>
      <w:marLeft w:val="0"/>
      <w:marRight w:val="0"/>
      <w:marTop w:val="0"/>
      <w:marBottom w:val="0"/>
      <w:divBdr>
        <w:top w:val="none" w:sz="0" w:space="0" w:color="auto"/>
        <w:left w:val="none" w:sz="0" w:space="0" w:color="auto"/>
        <w:bottom w:val="none" w:sz="0" w:space="0" w:color="auto"/>
        <w:right w:val="none" w:sz="0" w:space="0" w:color="auto"/>
      </w:divBdr>
      <w:divsChild>
        <w:div w:id="1003515271">
          <w:marLeft w:val="0"/>
          <w:marRight w:val="0"/>
          <w:marTop w:val="0"/>
          <w:marBottom w:val="0"/>
          <w:divBdr>
            <w:top w:val="none" w:sz="0" w:space="0" w:color="auto"/>
            <w:left w:val="none" w:sz="0" w:space="0" w:color="auto"/>
            <w:bottom w:val="none" w:sz="0" w:space="0" w:color="auto"/>
            <w:right w:val="none" w:sz="0" w:space="0" w:color="auto"/>
          </w:divBdr>
          <w:divsChild>
            <w:div w:id="1008097821">
              <w:marLeft w:val="0"/>
              <w:marRight w:val="0"/>
              <w:marTop w:val="0"/>
              <w:marBottom w:val="0"/>
              <w:divBdr>
                <w:top w:val="none" w:sz="0" w:space="0" w:color="auto"/>
                <w:left w:val="none" w:sz="0" w:space="0" w:color="auto"/>
                <w:bottom w:val="none" w:sz="0" w:space="0" w:color="auto"/>
                <w:right w:val="none" w:sz="0" w:space="0" w:color="auto"/>
              </w:divBdr>
              <w:divsChild>
                <w:div w:id="175547295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89276667">
          <w:marLeft w:val="0"/>
          <w:marRight w:val="0"/>
          <w:marTop w:val="0"/>
          <w:marBottom w:val="0"/>
          <w:divBdr>
            <w:top w:val="none" w:sz="0" w:space="0" w:color="auto"/>
            <w:left w:val="none" w:sz="0" w:space="0" w:color="auto"/>
            <w:bottom w:val="none" w:sz="0" w:space="0" w:color="auto"/>
            <w:right w:val="none" w:sz="0" w:space="0" w:color="auto"/>
          </w:divBdr>
          <w:divsChild>
            <w:div w:id="954143283">
              <w:marLeft w:val="0"/>
              <w:marRight w:val="0"/>
              <w:marTop w:val="0"/>
              <w:marBottom w:val="0"/>
              <w:divBdr>
                <w:top w:val="none" w:sz="0" w:space="0" w:color="auto"/>
                <w:left w:val="none" w:sz="0" w:space="0" w:color="auto"/>
                <w:bottom w:val="none" w:sz="0" w:space="0" w:color="auto"/>
                <w:right w:val="none" w:sz="0" w:space="0" w:color="auto"/>
              </w:divBdr>
              <w:divsChild>
                <w:div w:id="550269795">
                  <w:marLeft w:val="0"/>
                  <w:marRight w:val="0"/>
                  <w:marTop w:val="0"/>
                  <w:marBottom w:val="0"/>
                  <w:divBdr>
                    <w:top w:val="none" w:sz="0" w:space="0" w:color="auto"/>
                    <w:left w:val="none" w:sz="0" w:space="0" w:color="auto"/>
                    <w:bottom w:val="none" w:sz="0" w:space="0" w:color="auto"/>
                    <w:right w:val="none" w:sz="0" w:space="0" w:color="auto"/>
                  </w:divBdr>
                  <w:divsChild>
                    <w:div w:id="1151479672">
                      <w:marLeft w:val="0"/>
                      <w:marRight w:val="0"/>
                      <w:marTop w:val="0"/>
                      <w:marBottom w:val="0"/>
                      <w:divBdr>
                        <w:top w:val="none" w:sz="0" w:space="0" w:color="auto"/>
                        <w:left w:val="none" w:sz="0" w:space="0" w:color="auto"/>
                        <w:bottom w:val="none" w:sz="0" w:space="0" w:color="auto"/>
                        <w:right w:val="none" w:sz="0" w:space="0" w:color="auto"/>
                      </w:divBdr>
                      <w:divsChild>
                        <w:div w:id="1907764789">
                          <w:marLeft w:val="0"/>
                          <w:marRight w:val="0"/>
                          <w:marTop w:val="0"/>
                          <w:marBottom w:val="0"/>
                          <w:divBdr>
                            <w:top w:val="none" w:sz="0" w:space="0" w:color="auto"/>
                            <w:left w:val="none" w:sz="0" w:space="0" w:color="auto"/>
                            <w:bottom w:val="none" w:sz="0" w:space="0" w:color="auto"/>
                            <w:right w:val="none" w:sz="0" w:space="0" w:color="auto"/>
                          </w:divBdr>
                          <w:divsChild>
                            <w:div w:id="400100446">
                              <w:marLeft w:val="0"/>
                              <w:marRight w:val="0"/>
                              <w:marTop w:val="0"/>
                              <w:marBottom w:val="0"/>
                              <w:divBdr>
                                <w:top w:val="none" w:sz="0" w:space="0" w:color="auto"/>
                                <w:left w:val="none" w:sz="0" w:space="0" w:color="auto"/>
                                <w:bottom w:val="none" w:sz="0" w:space="0" w:color="auto"/>
                                <w:right w:val="none" w:sz="0" w:space="0" w:color="auto"/>
                              </w:divBdr>
                              <w:divsChild>
                                <w:div w:id="1391879950">
                                  <w:marLeft w:val="0"/>
                                  <w:marRight w:val="0"/>
                                  <w:marTop w:val="0"/>
                                  <w:marBottom w:val="0"/>
                                  <w:divBdr>
                                    <w:top w:val="none" w:sz="0" w:space="0" w:color="auto"/>
                                    <w:left w:val="none" w:sz="0" w:space="0" w:color="auto"/>
                                    <w:bottom w:val="none" w:sz="0" w:space="0" w:color="auto"/>
                                    <w:right w:val="none" w:sz="0" w:space="0" w:color="auto"/>
                                  </w:divBdr>
                                  <w:divsChild>
                                    <w:div w:id="190167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703699">
      <w:bodyDiv w:val="1"/>
      <w:marLeft w:val="0"/>
      <w:marRight w:val="0"/>
      <w:marTop w:val="0"/>
      <w:marBottom w:val="0"/>
      <w:divBdr>
        <w:top w:val="none" w:sz="0" w:space="0" w:color="auto"/>
        <w:left w:val="none" w:sz="0" w:space="0" w:color="auto"/>
        <w:bottom w:val="none" w:sz="0" w:space="0" w:color="auto"/>
        <w:right w:val="none" w:sz="0" w:space="0" w:color="auto"/>
      </w:divBdr>
    </w:div>
    <w:div w:id="1169295644">
      <w:bodyDiv w:val="1"/>
      <w:marLeft w:val="0"/>
      <w:marRight w:val="0"/>
      <w:marTop w:val="0"/>
      <w:marBottom w:val="0"/>
      <w:divBdr>
        <w:top w:val="none" w:sz="0" w:space="0" w:color="auto"/>
        <w:left w:val="none" w:sz="0" w:space="0" w:color="auto"/>
        <w:bottom w:val="none" w:sz="0" w:space="0" w:color="auto"/>
        <w:right w:val="none" w:sz="0" w:space="0" w:color="auto"/>
      </w:divBdr>
    </w:div>
    <w:div w:id="1197347337">
      <w:bodyDiv w:val="1"/>
      <w:marLeft w:val="0"/>
      <w:marRight w:val="0"/>
      <w:marTop w:val="0"/>
      <w:marBottom w:val="0"/>
      <w:divBdr>
        <w:top w:val="none" w:sz="0" w:space="0" w:color="auto"/>
        <w:left w:val="none" w:sz="0" w:space="0" w:color="auto"/>
        <w:bottom w:val="none" w:sz="0" w:space="0" w:color="auto"/>
        <w:right w:val="none" w:sz="0" w:space="0" w:color="auto"/>
      </w:divBdr>
      <w:divsChild>
        <w:div w:id="37821301">
          <w:marLeft w:val="0"/>
          <w:marRight w:val="0"/>
          <w:marTop w:val="0"/>
          <w:marBottom w:val="0"/>
          <w:divBdr>
            <w:top w:val="none" w:sz="0" w:space="0" w:color="auto"/>
            <w:left w:val="none" w:sz="0" w:space="0" w:color="auto"/>
            <w:bottom w:val="none" w:sz="0" w:space="0" w:color="auto"/>
            <w:right w:val="none" w:sz="0" w:space="0" w:color="auto"/>
          </w:divBdr>
          <w:divsChild>
            <w:div w:id="1364205770">
              <w:marLeft w:val="0"/>
              <w:marRight w:val="0"/>
              <w:marTop w:val="0"/>
              <w:marBottom w:val="450"/>
              <w:divBdr>
                <w:top w:val="none" w:sz="0" w:space="0" w:color="auto"/>
                <w:left w:val="none" w:sz="0" w:space="0" w:color="auto"/>
                <w:bottom w:val="none" w:sz="0" w:space="0" w:color="auto"/>
                <w:right w:val="none" w:sz="0" w:space="0" w:color="auto"/>
              </w:divBdr>
              <w:divsChild>
                <w:div w:id="407923104">
                  <w:marLeft w:val="0"/>
                  <w:marRight w:val="0"/>
                  <w:marTop w:val="0"/>
                  <w:marBottom w:val="0"/>
                  <w:divBdr>
                    <w:top w:val="none" w:sz="0" w:space="0" w:color="auto"/>
                    <w:left w:val="none" w:sz="0" w:space="0" w:color="auto"/>
                    <w:bottom w:val="none" w:sz="0" w:space="0" w:color="auto"/>
                    <w:right w:val="none" w:sz="0" w:space="0" w:color="auto"/>
                  </w:divBdr>
                  <w:divsChild>
                    <w:div w:id="1960642531">
                      <w:marLeft w:val="0"/>
                      <w:marRight w:val="0"/>
                      <w:marTop w:val="0"/>
                      <w:marBottom w:val="0"/>
                      <w:divBdr>
                        <w:top w:val="none" w:sz="0" w:space="0" w:color="auto"/>
                        <w:left w:val="none" w:sz="0" w:space="0" w:color="auto"/>
                        <w:bottom w:val="none" w:sz="0" w:space="0" w:color="auto"/>
                        <w:right w:val="none" w:sz="0" w:space="0" w:color="auto"/>
                      </w:divBdr>
                      <w:divsChild>
                        <w:div w:id="195228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044364">
      <w:bodyDiv w:val="1"/>
      <w:marLeft w:val="0"/>
      <w:marRight w:val="0"/>
      <w:marTop w:val="0"/>
      <w:marBottom w:val="0"/>
      <w:divBdr>
        <w:top w:val="none" w:sz="0" w:space="0" w:color="auto"/>
        <w:left w:val="none" w:sz="0" w:space="0" w:color="auto"/>
        <w:bottom w:val="none" w:sz="0" w:space="0" w:color="auto"/>
        <w:right w:val="none" w:sz="0" w:space="0" w:color="auto"/>
      </w:divBdr>
    </w:div>
    <w:div w:id="1404715325">
      <w:bodyDiv w:val="1"/>
      <w:marLeft w:val="0"/>
      <w:marRight w:val="0"/>
      <w:marTop w:val="0"/>
      <w:marBottom w:val="0"/>
      <w:divBdr>
        <w:top w:val="none" w:sz="0" w:space="0" w:color="auto"/>
        <w:left w:val="none" w:sz="0" w:space="0" w:color="auto"/>
        <w:bottom w:val="none" w:sz="0" w:space="0" w:color="auto"/>
        <w:right w:val="none" w:sz="0" w:space="0" w:color="auto"/>
      </w:divBdr>
    </w:div>
    <w:div w:id="1414355275">
      <w:bodyDiv w:val="1"/>
      <w:marLeft w:val="0"/>
      <w:marRight w:val="0"/>
      <w:marTop w:val="0"/>
      <w:marBottom w:val="0"/>
      <w:divBdr>
        <w:top w:val="none" w:sz="0" w:space="0" w:color="auto"/>
        <w:left w:val="none" w:sz="0" w:space="0" w:color="auto"/>
        <w:bottom w:val="none" w:sz="0" w:space="0" w:color="auto"/>
        <w:right w:val="none" w:sz="0" w:space="0" w:color="auto"/>
      </w:divBdr>
    </w:div>
    <w:div w:id="1458836913">
      <w:bodyDiv w:val="1"/>
      <w:marLeft w:val="0"/>
      <w:marRight w:val="0"/>
      <w:marTop w:val="0"/>
      <w:marBottom w:val="0"/>
      <w:divBdr>
        <w:top w:val="none" w:sz="0" w:space="0" w:color="auto"/>
        <w:left w:val="none" w:sz="0" w:space="0" w:color="auto"/>
        <w:bottom w:val="none" w:sz="0" w:space="0" w:color="auto"/>
        <w:right w:val="none" w:sz="0" w:space="0" w:color="auto"/>
      </w:divBdr>
    </w:div>
    <w:div w:id="1606889532">
      <w:bodyDiv w:val="1"/>
      <w:marLeft w:val="0"/>
      <w:marRight w:val="0"/>
      <w:marTop w:val="0"/>
      <w:marBottom w:val="0"/>
      <w:divBdr>
        <w:top w:val="none" w:sz="0" w:space="0" w:color="auto"/>
        <w:left w:val="none" w:sz="0" w:space="0" w:color="auto"/>
        <w:bottom w:val="none" w:sz="0" w:space="0" w:color="auto"/>
        <w:right w:val="none" w:sz="0" w:space="0" w:color="auto"/>
      </w:divBdr>
      <w:divsChild>
        <w:div w:id="1060206936">
          <w:marLeft w:val="0"/>
          <w:marRight w:val="0"/>
          <w:marTop w:val="0"/>
          <w:marBottom w:val="0"/>
          <w:divBdr>
            <w:top w:val="none" w:sz="0" w:space="0" w:color="auto"/>
            <w:left w:val="none" w:sz="0" w:space="0" w:color="auto"/>
            <w:bottom w:val="none" w:sz="0" w:space="0" w:color="auto"/>
            <w:right w:val="none" w:sz="0" w:space="0" w:color="auto"/>
          </w:divBdr>
          <w:divsChild>
            <w:div w:id="2325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3120">
      <w:bodyDiv w:val="1"/>
      <w:marLeft w:val="0"/>
      <w:marRight w:val="0"/>
      <w:marTop w:val="0"/>
      <w:marBottom w:val="0"/>
      <w:divBdr>
        <w:top w:val="none" w:sz="0" w:space="0" w:color="auto"/>
        <w:left w:val="none" w:sz="0" w:space="0" w:color="auto"/>
        <w:bottom w:val="none" w:sz="0" w:space="0" w:color="auto"/>
        <w:right w:val="none" w:sz="0" w:space="0" w:color="auto"/>
      </w:divBdr>
    </w:div>
    <w:div w:id="1716158303">
      <w:bodyDiv w:val="1"/>
      <w:marLeft w:val="0"/>
      <w:marRight w:val="0"/>
      <w:marTop w:val="0"/>
      <w:marBottom w:val="0"/>
      <w:divBdr>
        <w:top w:val="none" w:sz="0" w:space="0" w:color="auto"/>
        <w:left w:val="none" w:sz="0" w:space="0" w:color="auto"/>
        <w:bottom w:val="none" w:sz="0" w:space="0" w:color="auto"/>
        <w:right w:val="none" w:sz="0" w:space="0" w:color="auto"/>
      </w:divBdr>
    </w:div>
    <w:div w:id="1835337322">
      <w:bodyDiv w:val="1"/>
      <w:marLeft w:val="0"/>
      <w:marRight w:val="0"/>
      <w:marTop w:val="0"/>
      <w:marBottom w:val="0"/>
      <w:divBdr>
        <w:top w:val="none" w:sz="0" w:space="0" w:color="auto"/>
        <w:left w:val="none" w:sz="0" w:space="0" w:color="auto"/>
        <w:bottom w:val="none" w:sz="0" w:space="0" w:color="auto"/>
        <w:right w:val="none" w:sz="0" w:space="0" w:color="auto"/>
      </w:divBdr>
    </w:div>
    <w:div w:id="195193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chr.org/en/publications/policy-and-methodological-publications/protecting-minority-rights-practical-gui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lobalforumcdw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097F6-E693-A84B-8916-880D028CE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3149</Words>
  <Characters>17954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 Narayan Rasail (Consultant)</dc:creator>
  <cp:keywords/>
  <dc:description/>
  <cp:lastModifiedBy>Michele Buteau</cp:lastModifiedBy>
  <cp:revision>9</cp:revision>
  <dcterms:created xsi:type="dcterms:W3CDTF">2024-10-10T12:31:00Z</dcterms:created>
  <dcterms:modified xsi:type="dcterms:W3CDTF">2024-10-22T16:42:00Z</dcterms:modified>
</cp:coreProperties>
</file>