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D8BFE" w14:textId="2E0FE337" w:rsidR="007E004F" w:rsidRPr="008C35EF" w:rsidRDefault="007A4C2E" w:rsidP="008C35EF">
      <w:pPr>
        <w:autoSpaceDE w:val="0"/>
        <w:autoSpaceDN w:val="0"/>
        <w:adjustRightInd w:val="0"/>
        <w:spacing w:after="0" w:line="276" w:lineRule="auto"/>
        <w:jc w:val="center"/>
        <w:rPr>
          <w:rFonts w:cstheme="minorHAnsi"/>
          <w:b/>
          <w:bCs/>
          <w:sz w:val="24"/>
          <w:szCs w:val="24"/>
        </w:rPr>
      </w:pPr>
      <w:r w:rsidRPr="00A9309D">
        <w:rPr>
          <w:rFonts w:cstheme="minorHAnsi"/>
          <w:b/>
          <w:bCs/>
          <w:sz w:val="24"/>
          <w:szCs w:val="24"/>
        </w:rPr>
        <w:t>Follow-up on the Implementation of resolution A/RES/76/172 on the Protection of migrants</w:t>
      </w:r>
    </w:p>
    <w:p w14:paraId="7090363C" w14:textId="77777777" w:rsidR="007A4C2E" w:rsidRPr="00DC59D2" w:rsidRDefault="007A4C2E" w:rsidP="008C35EF">
      <w:pPr>
        <w:pStyle w:val="ListParagraph"/>
        <w:numPr>
          <w:ilvl w:val="0"/>
          <w:numId w:val="2"/>
        </w:numPr>
        <w:autoSpaceDE w:val="0"/>
        <w:autoSpaceDN w:val="0"/>
        <w:adjustRightInd w:val="0"/>
        <w:spacing w:before="240" w:after="0" w:line="276" w:lineRule="auto"/>
        <w:ind w:left="432" w:hanging="288"/>
        <w:jc w:val="both"/>
        <w:rPr>
          <w:rFonts w:cstheme="minorHAnsi"/>
          <w:b/>
          <w:bCs/>
        </w:rPr>
      </w:pPr>
      <w:r w:rsidRPr="00DC59D2">
        <w:rPr>
          <w:rFonts w:cstheme="minorHAnsi"/>
          <w:b/>
          <w:bCs/>
        </w:rPr>
        <w:t xml:space="preserve">Introduction </w:t>
      </w:r>
    </w:p>
    <w:p w14:paraId="5F569D53" w14:textId="77777777" w:rsidR="007A4C2E" w:rsidRDefault="007A4C2E" w:rsidP="007A4C2E">
      <w:pPr>
        <w:autoSpaceDE w:val="0"/>
        <w:autoSpaceDN w:val="0"/>
        <w:adjustRightInd w:val="0"/>
        <w:spacing w:after="0" w:line="276" w:lineRule="auto"/>
        <w:jc w:val="both"/>
        <w:rPr>
          <w:rFonts w:eastAsia="UniversLTStd-Cn" w:cstheme="minorHAnsi"/>
        </w:rPr>
      </w:pPr>
    </w:p>
    <w:p w14:paraId="03C3D0D4" w14:textId="77777777" w:rsidR="00032754" w:rsidRDefault="007A4C2E" w:rsidP="00032754">
      <w:pPr>
        <w:autoSpaceDE w:val="0"/>
        <w:autoSpaceDN w:val="0"/>
        <w:adjustRightInd w:val="0"/>
        <w:spacing w:after="0" w:line="276" w:lineRule="auto"/>
        <w:ind w:firstLine="720"/>
        <w:jc w:val="both"/>
        <w:rPr>
          <w:rFonts w:eastAsia="UniversLTStd-Cn" w:cstheme="minorHAnsi"/>
        </w:rPr>
      </w:pPr>
      <w:r w:rsidRPr="00DC59D2">
        <w:rPr>
          <w:rFonts w:eastAsia="UniversLTStd-Cn" w:cstheme="minorHAnsi"/>
        </w:rPr>
        <w:t xml:space="preserve">The Arab region is a prominent region of origin, transit and destination for migrants and forcibly displaced population. It hosts around 41.4 million migrants and refugees, constituting 15 per cent of all international migrants worldwide. </w:t>
      </w:r>
    </w:p>
    <w:p w14:paraId="496E3B0F" w14:textId="77777777" w:rsidR="00032754" w:rsidRDefault="00032754" w:rsidP="00032754">
      <w:pPr>
        <w:autoSpaceDE w:val="0"/>
        <w:autoSpaceDN w:val="0"/>
        <w:adjustRightInd w:val="0"/>
        <w:spacing w:after="0" w:line="276" w:lineRule="auto"/>
        <w:ind w:firstLine="720"/>
        <w:jc w:val="both"/>
        <w:rPr>
          <w:rFonts w:eastAsia="UniversLTStd-Cn" w:cstheme="minorHAnsi"/>
        </w:rPr>
      </w:pPr>
    </w:p>
    <w:p w14:paraId="33F71D98" w14:textId="0A2F08B8" w:rsidR="007A4C2E" w:rsidRPr="0079585C" w:rsidRDefault="007A4C2E" w:rsidP="00032754">
      <w:pPr>
        <w:autoSpaceDE w:val="0"/>
        <w:autoSpaceDN w:val="0"/>
        <w:adjustRightInd w:val="0"/>
        <w:spacing w:after="0" w:line="276" w:lineRule="auto"/>
        <w:ind w:firstLine="720"/>
        <w:jc w:val="both"/>
        <w:rPr>
          <w:rFonts w:cstheme="minorHAnsi"/>
        </w:rPr>
      </w:pPr>
      <w:r w:rsidRPr="007A4C2E">
        <w:rPr>
          <w:rFonts w:cstheme="minorHAnsi"/>
        </w:rPr>
        <w:t xml:space="preserve">The human rights of migrants </w:t>
      </w:r>
      <w:r w:rsidR="00C7649A">
        <w:rPr>
          <w:rFonts w:cstheme="minorHAnsi"/>
        </w:rPr>
        <w:t>are</w:t>
      </w:r>
      <w:r w:rsidRPr="007A4C2E">
        <w:rPr>
          <w:rFonts w:cstheme="minorHAnsi"/>
        </w:rPr>
        <w:t xml:space="preserve"> increasingly being addressed by ESCWA member states, as evidenced through the Global Compact on Migration (GCM) review process.</w:t>
      </w:r>
      <w:r w:rsidR="00D72909">
        <w:rPr>
          <w:rFonts w:cstheme="minorHAnsi"/>
        </w:rPr>
        <w:t xml:space="preserve"> Indeed, t</w:t>
      </w:r>
      <w:r w:rsidR="00D72909" w:rsidRPr="00D72909">
        <w:rPr>
          <w:rFonts w:cstheme="minorHAnsi"/>
        </w:rPr>
        <w:t>he adoption of the GCM acted as a catalyst that accelerated Arab countries’ efforts to adopt policy and institutional reforms related to migration governance.</w:t>
      </w:r>
      <w:r w:rsidR="00E24AD0">
        <w:rPr>
          <w:rFonts w:cstheme="minorHAnsi"/>
        </w:rPr>
        <w:t xml:space="preserve"> It also served to highlight continuing structural barriers that increase migrants’ vulnerability as revealed during the COVID-19 pandemic.</w:t>
      </w:r>
      <w:r w:rsidR="00166557">
        <w:rPr>
          <w:rFonts w:cstheme="minorHAnsi"/>
        </w:rPr>
        <w:t xml:space="preserve"> This </w:t>
      </w:r>
      <w:r w:rsidR="00D83931">
        <w:rPr>
          <w:rFonts w:cstheme="minorHAnsi"/>
        </w:rPr>
        <w:t>input</w:t>
      </w:r>
      <w:r w:rsidR="00166557">
        <w:rPr>
          <w:rFonts w:cstheme="minorHAnsi"/>
        </w:rPr>
        <w:t xml:space="preserve"> summarizes the key promising practices, challenges, and recommendations on the protection of migrant rights</w:t>
      </w:r>
      <w:r w:rsidR="00C82A80">
        <w:rPr>
          <w:rStyle w:val="FootnoteReference"/>
          <w:rFonts w:cstheme="minorHAnsi"/>
        </w:rPr>
        <w:footnoteReference w:id="1"/>
      </w:r>
      <w:r w:rsidR="00166557">
        <w:rPr>
          <w:rFonts w:cstheme="minorHAnsi"/>
        </w:rPr>
        <w:t xml:space="preserve">. </w:t>
      </w:r>
    </w:p>
    <w:p w14:paraId="092EF062" w14:textId="16E27B96" w:rsidR="007A4C2E" w:rsidRPr="00307D53" w:rsidRDefault="007A4C2E" w:rsidP="00213F9E">
      <w:pPr>
        <w:pStyle w:val="ListParagraph"/>
        <w:numPr>
          <w:ilvl w:val="0"/>
          <w:numId w:val="2"/>
        </w:numPr>
        <w:autoSpaceDE w:val="0"/>
        <w:autoSpaceDN w:val="0"/>
        <w:adjustRightInd w:val="0"/>
        <w:spacing w:before="240" w:after="0" w:line="276" w:lineRule="auto"/>
        <w:ind w:left="432" w:hanging="288"/>
        <w:jc w:val="both"/>
        <w:rPr>
          <w:rFonts w:cstheme="minorHAnsi"/>
          <w:b/>
          <w:bCs/>
          <w:color w:val="000000"/>
        </w:rPr>
      </w:pPr>
      <w:r>
        <w:rPr>
          <w:rFonts w:cstheme="minorHAnsi"/>
          <w:b/>
          <w:bCs/>
        </w:rPr>
        <w:t xml:space="preserve">The implementation </w:t>
      </w:r>
      <w:r w:rsidRPr="007A4C2E">
        <w:rPr>
          <w:rFonts w:cstheme="minorHAnsi"/>
          <w:b/>
          <w:bCs/>
        </w:rPr>
        <w:t xml:space="preserve">of resolution A/RES/76/172 on the Protection of migrants </w:t>
      </w:r>
      <w:r w:rsidRPr="00DC59D2">
        <w:rPr>
          <w:rFonts w:cstheme="minorHAnsi"/>
          <w:b/>
          <w:bCs/>
        </w:rPr>
        <w:t xml:space="preserve">in the Arab region </w:t>
      </w:r>
    </w:p>
    <w:p w14:paraId="30D6D8A8" w14:textId="282BD51A" w:rsidR="007B5223" w:rsidRPr="00497A0F" w:rsidRDefault="00307D53" w:rsidP="00497A0F">
      <w:pPr>
        <w:pStyle w:val="ListParagraph"/>
        <w:numPr>
          <w:ilvl w:val="1"/>
          <w:numId w:val="2"/>
        </w:numPr>
        <w:autoSpaceDE w:val="0"/>
        <w:autoSpaceDN w:val="0"/>
        <w:adjustRightInd w:val="0"/>
        <w:spacing w:before="240" w:after="0" w:line="276" w:lineRule="auto"/>
        <w:ind w:left="1080"/>
        <w:jc w:val="both"/>
        <w:rPr>
          <w:rFonts w:cstheme="minorHAnsi"/>
          <w:b/>
          <w:bCs/>
        </w:rPr>
      </w:pPr>
      <w:r w:rsidRPr="00307D53">
        <w:rPr>
          <w:rFonts w:cstheme="minorHAnsi"/>
          <w:b/>
          <w:bCs/>
        </w:rPr>
        <w:t xml:space="preserve">Promising practices </w:t>
      </w:r>
    </w:p>
    <w:p w14:paraId="033666F7" w14:textId="460BD997" w:rsidR="00EC4F75" w:rsidRPr="00EF5489" w:rsidRDefault="00EC4F75" w:rsidP="00217637">
      <w:pPr>
        <w:pStyle w:val="ListParagraph"/>
        <w:numPr>
          <w:ilvl w:val="2"/>
          <w:numId w:val="2"/>
        </w:numPr>
        <w:ind w:left="1627" w:hanging="187"/>
        <w:rPr>
          <w:rFonts w:cstheme="minorHAnsi"/>
          <w:i/>
          <w:iCs/>
          <w:color w:val="000000"/>
        </w:rPr>
      </w:pPr>
      <w:r w:rsidRPr="00EF5489">
        <w:rPr>
          <w:rFonts w:cstheme="minorHAnsi"/>
          <w:i/>
          <w:iCs/>
          <w:color w:val="000000"/>
        </w:rPr>
        <w:t>Combatting human trafficking &amp; smuggling of migrants (paras 5 c, 8, 9, 10</w:t>
      </w:r>
      <w:r w:rsidR="0071162A" w:rsidRPr="00EF5489">
        <w:rPr>
          <w:rFonts w:cstheme="minorHAnsi"/>
          <w:i/>
          <w:iCs/>
          <w:color w:val="000000"/>
        </w:rPr>
        <w:t>,</w:t>
      </w:r>
      <w:r w:rsidRPr="00EF5489">
        <w:rPr>
          <w:rFonts w:cstheme="minorHAnsi"/>
          <w:i/>
          <w:iCs/>
          <w:color w:val="000000"/>
        </w:rPr>
        <w:t xml:space="preserve"> and 11 d)</w:t>
      </w:r>
    </w:p>
    <w:p w14:paraId="1BC35588" w14:textId="5C4049B7" w:rsidR="00866459" w:rsidRDefault="00EC4F75" w:rsidP="00EF5489">
      <w:pPr>
        <w:autoSpaceDE w:val="0"/>
        <w:autoSpaceDN w:val="0"/>
        <w:adjustRightInd w:val="0"/>
        <w:spacing w:after="0" w:line="276" w:lineRule="auto"/>
        <w:ind w:firstLine="720"/>
        <w:jc w:val="both"/>
        <w:rPr>
          <w:rFonts w:cstheme="minorHAnsi"/>
        </w:rPr>
      </w:pPr>
      <w:r>
        <w:rPr>
          <w:rFonts w:cstheme="minorHAnsi"/>
        </w:rPr>
        <w:t>S</w:t>
      </w:r>
      <w:r w:rsidR="00866459" w:rsidRPr="00E1074C">
        <w:rPr>
          <w:rFonts w:cstheme="minorHAnsi"/>
        </w:rPr>
        <w:t xml:space="preserve">ome </w:t>
      </w:r>
      <w:r w:rsidR="00D83931">
        <w:rPr>
          <w:rFonts w:cstheme="minorHAnsi"/>
        </w:rPr>
        <w:t xml:space="preserve">Arab </w:t>
      </w:r>
      <w:r w:rsidR="00866459" w:rsidRPr="00E1074C">
        <w:rPr>
          <w:rFonts w:cstheme="minorHAnsi"/>
        </w:rPr>
        <w:t>countries adopted relevant laws, as in Mauritania and Morocco, and other countries, such as Iraq, established a central committee to combat human trafficking</w:t>
      </w:r>
      <w:r w:rsidR="007C4D8C">
        <w:rPr>
          <w:rFonts w:cstheme="minorHAnsi"/>
        </w:rPr>
        <w:t xml:space="preserve"> and </w:t>
      </w:r>
      <w:r w:rsidR="007C4D8C" w:rsidRPr="007C4D8C">
        <w:rPr>
          <w:rFonts w:cstheme="minorHAnsi"/>
        </w:rPr>
        <w:t>align national policy with international standards</w:t>
      </w:r>
      <w:r w:rsidR="00866459" w:rsidRPr="00E1074C">
        <w:rPr>
          <w:rFonts w:cstheme="minorHAnsi"/>
        </w:rPr>
        <w:t>. While some countries like Libya, developed programs to build the capacity of judicial bodies to address human trafficking and smuggling of migrants.</w:t>
      </w:r>
    </w:p>
    <w:p w14:paraId="2958D30A" w14:textId="77777777" w:rsidR="007C4D8C" w:rsidRPr="00217637" w:rsidRDefault="007C4D8C" w:rsidP="00217637">
      <w:pPr>
        <w:pStyle w:val="ListParagraph"/>
        <w:ind w:left="1627"/>
        <w:rPr>
          <w:rFonts w:cstheme="minorHAnsi"/>
          <w:i/>
          <w:iCs/>
          <w:color w:val="000000"/>
        </w:rPr>
      </w:pPr>
    </w:p>
    <w:p w14:paraId="68098E36" w14:textId="77777777" w:rsidR="00A8704B" w:rsidRPr="00EF5489" w:rsidRDefault="00A8704B" w:rsidP="00217637">
      <w:pPr>
        <w:pStyle w:val="ListParagraph"/>
        <w:numPr>
          <w:ilvl w:val="2"/>
          <w:numId w:val="2"/>
        </w:numPr>
        <w:ind w:left="1627" w:hanging="187"/>
        <w:rPr>
          <w:rFonts w:cstheme="minorHAnsi"/>
          <w:i/>
          <w:iCs/>
          <w:color w:val="000000"/>
        </w:rPr>
      </w:pPr>
      <w:r w:rsidRPr="00EF5489">
        <w:rPr>
          <w:rFonts w:cstheme="minorHAnsi"/>
          <w:i/>
          <w:iCs/>
          <w:color w:val="000000"/>
        </w:rPr>
        <w:t xml:space="preserve">Supporting migrant workers’ rights (para 5 l) </w:t>
      </w:r>
    </w:p>
    <w:p w14:paraId="51A1AAE6" w14:textId="7D715405" w:rsidR="00A8704B" w:rsidRDefault="00A8704B" w:rsidP="00EF5489">
      <w:pPr>
        <w:autoSpaceDE w:val="0"/>
        <w:autoSpaceDN w:val="0"/>
        <w:adjustRightInd w:val="0"/>
        <w:spacing w:after="0" w:line="276" w:lineRule="auto"/>
        <w:ind w:firstLine="720"/>
        <w:jc w:val="both"/>
        <w:rPr>
          <w:rFonts w:cstheme="minorHAnsi"/>
        </w:rPr>
      </w:pPr>
      <w:r w:rsidRPr="00393166">
        <w:rPr>
          <w:rFonts w:cstheme="minorHAnsi"/>
        </w:rPr>
        <w:t>Arab States have taken positive steps</w:t>
      </w:r>
      <w:r>
        <w:rPr>
          <w:rFonts w:cstheme="minorHAnsi"/>
        </w:rPr>
        <w:t xml:space="preserve"> </w:t>
      </w:r>
      <w:r w:rsidRPr="00393166">
        <w:rPr>
          <w:rFonts w:cstheme="minorHAnsi"/>
        </w:rPr>
        <w:t>to harmonize the working conditions of migrant workers with a protection- and rights-based approach</w:t>
      </w:r>
      <w:r>
        <w:rPr>
          <w:rFonts w:cstheme="minorHAnsi"/>
        </w:rPr>
        <w:t>.</w:t>
      </w:r>
      <w:r w:rsidR="004C1A23">
        <w:rPr>
          <w:rFonts w:cstheme="minorHAnsi"/>
        </w:rPr>
        <w:t xml:space="preserve"> For example, Morocco</w:t>
      </w:r>
      <w:r w:rsidR="004C1A23" w:rsidRPr="004C1A23">
        <w:rPr>
          <w:rFonts w:cstheme="minorHAnsi"/>
        </w:rPr>
        <w:t xml:space="preserve"> </w:t>
      </w:r>
      <w:r w:rsidR="004C1A23">
        <w:rPr>
          <w:rFonts w:cstheme="minorHAnsi"/>
        </w:rPr>
        <w:t xml:space="preserve">passed </w:t>
      </w:r>
      <w:r w:rsidR="004C1A23" w:rsidRPr="004C1A23">
        <w:rPr>
          <w:rFonts w:cstheme="minorHAnsi"/>
        </w:rPr>
        <w:t>the Law Establishing the Terms and Conditions of Labor and Employment of Female Migrant Workers Living in Morocco</w:t>
      </w:r>
      <w:r w:rsidR="004C1A23">
        <w:rPr>
          <w:rFonts w:cstheme="minorHAnsi"/>
        </w:rPr>
        <w:t xml:space="preserve"> and</w:t>
      </w:r>
      <w:r w:rsidR="004C1A23" w:rsidRPr="004C1A23">
        <w:rPr>
          <w:rFonts w:cstheme="minorHAnsi"/>
        </w:rPr>
        <w:t xml:space="preserve"> passed Law No. 12-19</w:t>
      </w:r>
      <w:r w:rsidR="004C1A23">
        <w:rPr>
          <w:rFonts w:cstheme="minorHAnsi"/>
        </w:rPr>
        <w:t>,</w:t>
      </w:r>
      <w:r w:rsidR="004C1A23" w:rsidRPr="004C1A23">
        <w:rPr>
          <w:rFonts w:cstheme="minorHAnsi"/>
        </w:rPr>
        <w:t xml:space="preserve"> which defines labour and employment conditions for domestic workers and guarantees them more rights and equity.</w:t>
      </w:r>
      <w:r w:rsidR="004C1A23">
        <w:rPr>
          <w:rFonts w:cstheme="minorHAnsi"/>
        </w:rPr>
        <w:t xml:space="preserve"> </w:t>
      </w:r>
      <w:r w:rsidR="009550E1">
        <w:rPr>
          <w:rFonts w:cstheme="minorHAnsi"/>
        </w:rPr>
        <w:t>Other Arab countries, such as Qatar, Lebanon, Libya, and Bahrain</w:t>
      </w:r>
      <w:r w:rsidR="00E11186">
        <w:rPr>
          <w:rFonts w:cstheme="minorHAnsi"/>
        </w:rPr>
        <w:t>,</w:t>
      </w:r>
      <w:r w:rsidR="009550E1">
        <w:rPr>
          <w:rFonts w:cstheme="minorHAnsi"/>
        </w:rPr>
        <w:t xml:space="preserve"> have also made reforms to enhance protection of migrant workers’ fundamental rights. </w:t>
      </w:r>
    </w:p>
    <w:p w14:paraId="5E03F8CE" w14:textId="0D500EAE" w:rsidR="00EC4F75" w:rsidRDefault="00EC4F75" w:rsidP="00E1074C">
      <w:pPr>
        <w:autoSpaceDE w:val="0"/>
        <w:autoSpaceDN w:val="0"/>
        <w:adjustRightInd w:val="0"/>
        <w:spacing w:after="0" w:line="276" w:lineRule="auto"/>
        <w:jc w:val="both"/>
        <w:rPr>
          <w:rFonts w:cstheme="minorHAnsi"/>
        </w:rPr>
      </w:pPr>
    </w:p>
    <w:p w14:paraId="534FE18E" w14:textId="0A56FBF0" w:rsidR="00EC4F75" w:rsidRPr="00EF5489" w:rsidRDefault="00EC4F75" w:rsidP="00217637">
      <w:pPr>
        <w:pStyle w:val="ListParagraph"/>
        <w:numPr>
          <w:ilvl w:val="2"/>
          <w:numId w:val="2"/>
        </w:numPr>
        <w:ind w:left="1627" w:hanging="187"/>
        <w:rPr>
          <w:rFonts w:cstheme="minorHAnsi"/>
          <w:i/>
          <w:iCs/>
          <w:color w:val="000000"/>
        </w:rPr>
      </w:pPr>
      <w:r w:rsidRPr="00EF5489">
        <w:rPr>
          <w:rFonts w:cstheme="minorHAnsi"/>
          <w:i/>
          <w:iCs/>
          <w:color w:val="000000"/>
        </w:rPr>
        <w:t>Addressing the COVID-19 pandemic (paras 6 d, e</w:t>
      </w:r>
      <w:r w:rsidR="0071162A" w:rsidRPr="00EF5489">
        <w:rPr>
          <w:rFonts w:cstheme="minorHAnsi"/>
          <w:i/>
          <w:iCs/>
          <w:color w:val="000000"/>
        </w:rPr>
        <w:t>,</w:t>
      </w:r>
      <w:r w:rsidRPr="00EF5489">
        <w:rPr>
          <w:rFonts w:cstheme="minorHAnsi"/>
          <w:i/>
          <w:iCs/>
          <w:color w:val="000000"/>
        </w:rPr>
        <w:t xml:space="preserve"> and f)</w:t>
      </w:r>
    </w:p>
    <w:p w14:paraId="54A8EB04" w14:textId="09008E0F" w:rsidR="00393166" w:rsidRDefault="00931650" w:rsidP="00EF5489">
      <w:pPr>
        <w:autoSpaceDE w:val="0"/>
        <w:autoSpaceDN w:val="0"/>
        <w:adjustRightInd w:val="0"/>
        <w:spacing w:after="0" w:line="276" w:lineRule="auto"/>
        <w:ind w:firstLine="720"/>
        <w:jc w:val="both"/>
        <w:rPr>
          <w:rFonts w:cstheme="minorHAnsi"/>
        </w:rPr>
      </w:pPr>
      <w:r w:rsidRPr="00E1074C">
        <w:rPr>
          <w:rFonts w:cstheme="minorHAnsi"/>
        </w:rPr>
        <w:t>Considering th</w:t>
      </w:r>
      <w:r w:rsidR="00D83931">
        <w:rPr>
          <w:rFonts w:cstheme="minorHAnsi"/>
        </w:rPr>
        <w:t>e COVID-19 pandemic,</w:t>
      </w:r>
      <w:r w:rsidRPr="00E1074C">
        <w:rPr>
          <w:rFonts w:cstheme="minorHAnsi"/>
        </w:rPr>
        <w:t xml:space="preserve"> many </w:t>
      </w:r>
      <w:r w:rsidR="00D83931">
        <w:rPr>
          <w:rFonts w:cstheme="minorHAnsi"/>
        </w:rPr>
        <w:t xml:space="preserve">Arab </w:t>
      </w:r>
      <w:r w:rsidRPr="00E1074C">
        <w:rPr>
          <w:rFonts w:cstheme="minorHAnsi"/>
        </w:rPr>
        <w:t xml:space="preserve">countries adopted policies and programs, including regularizing the status of migrants and extending their visas, residency and work permits, as in the case of Jordan, Lebanon, Qatar and Algeria. Many countries also provided health services and vaccines to migrants, as in the case of Egypt and Kuwait. Some countries, such as Egypt, have made it easier to enroll migrant children in schools during the pandemic, even if they do not have valid residence permits. While other </w:t>
      </w:r>
      <w:r w:rsidRPr="00E1074C">
        <w:rPr>
          <w:rFonts w:cstheme="minorHAnsi"/>
        </w:rPr>
        <w:lastRenderedPageBreak/>
        <w:t>countries</w:t>
      </w:r>
      <w:r w:rsidR="00BF6022">
        <w:rPr>
          <w:rFonts w:cstheme="minorHAnsi"/>
        </w:rPr>
        <w:t>,</w:t>
      </w:r>
      <w:r w:rsidRPr="00E1074C">
        <w:rPr>
          <w:rFonts w:cstheme="minorHAnsi"/>
        </w:rPr>
        <w:t xml:space="preserve"> such as Iraq</w:t>
      </w:r>
      <w:r w:rsidR="00BF6022">
        <w:rPr>
          <w:rFonts w:cstheme="minorHAnsi"/>
        </w:rPr>
        <w:t>,</w:t>
      </w:r>
      <w:r w:rsidRPr="00E1074C">
        <w:rPr>
          <w:rFonts w:cstheme="minorHAnsi"/>
        </w:rPr>
        <w:t xml:space="preserve"> targeted the displaced and refugees and intensified its efforts to raise awareness and established local centers to provide them with health services</w:t>
      </w:r>
      <w:r w:rsidR="006844BC">
        <w:rPr>
          <w:rFonts w:cstheme="minorHAnsi"/>
        </w:rPr>
        <w:t>.</w:t>
      </w:r>
      <w:r w:rsidR="00481432">
        <w:rPr>
          <w:rFonts w:cstheme="minorHAnsi"/>
        </w:rPr>
        <w:t xml:space="preserve"> </w:t>
      </w:r>
    </w:p>
    <w:p w14:paraId="06DB5980" w14:textId="77777777" w:rsidR="00501E00" w:rsidRDefault="00501E00" w:rsidP="003A3D52">
      <w:pPr>
        <w:autoSpaceDE w:val="0"/>
        <w:autoSpaceDN w:val="0"/>
        <w:adjustRightInd w:val="0"/>
        <w:spacing w:after="0" w:line="276" w:lineRule="auto"/>
        <w:ind w:firstLine="360"/>
        <w:jc w:val="both"/>
        <w:rPr>
          <w:rFonts w:cstheme="minorHAnsi"/>
        </w:rPr>
      </w:pPr>
    </w:p>
    <w:p w14:paraId="3ED56891" w14:textId="54B41322" w:rsidR="00501E00" w:rsidRPr="007B5223" w:rsidRDefault="001C2581" w:rsidP="00217637">
      <w:pPr>
        <w:pStyle w:val="ListParagraph"/>
        <w:numPr>
          <w:ilvl w:val="2"/>
          <w:numId w:val="2"/>
        </w:numPr>
        <w:ind w:left="1627" w:hanging="187"/>
        <w:rPr>
          <w:rFonts w:cstheme="minorHAnsi"/>
          <w:i/>
          <w:iCs/>
          <w:color w:val="000000"/>
        </w:rPr>
      </w:pPr>
      <w:r>
        <w:rPr>
          <w:rFonts w:cstheme="minorHAnsi"/>
          <w:i/>
          <w:iCs/>
          <w:color w:val="000000"/>
        </w:rPr>
        <w:t>I</w:t>
      </w:r>
      <w:r w:rsidR="00501E00" w:rsidRPr="007B5223">
        <w:rPr>
          <w:rFonts w:cstheme="minorHAnsi"/>
          <w:i/>
          <w:iCs/>
          <w:color w:val="000000"/>
        </w:rPr>
        <w:t>mplementation of planned and well-managed migration policies</w:t>
      </w:r>
      <w:r w:rsidR="00501E00">
        <w:rPr>
          <w:rFonts w:cstheme="minorHAnsi"/>
          <w:i/>
          <w:iCs/>
          <w:color w:val="000000"/>
        </w:rPr>
        <w:t xml:space="preserve"> (para 11b)</w:t>
      </w:r>
    </w:p>
    <w:p w14:paraId="1DA8732E" w14:textId="6E8BD5C5" w:rsidR="003A3D52" w:rsidRDefault="00D244A0" w:rsidP="00D244A0">
      <w:pPr>
        <w:autoSpaceDE w:val="0"/>
        <w:autoSpaceDN w:val="0"/>
        <w:adjustRightInd w:val="0"/>
        <w:spacing w:after="0" w:line="276" w:lineRule="auto"/>
        <w:ind w:firstLine="720"/>
        <w:jc w:val="both"/>
        <w:rPr>
          <w:rFonts w:cstheme="minorHAnsi"/>
        </w:rPr>
      </w:pPr>
      <w:r>
        <w:rPr>
          <w:rFonts w:cstheme="minorHAnsi"/>
        </w:rPr>
        <w:t>S</w:t>
      </w:r>
      <w:r w:rsidRPr="00D244A0">
        <w:rPr>
          <w:rFonts w:cstheme="minorHAnsi"/>
        </w:rPr>
        <w:t>everal Arab States have made strides in harmonizing the GCM with new or existing national mechanisms on the one hand and in advancing migration-related agenda-setting and policymaking on the other.</w:t>
      </w:r>
      <w:r>
        <w:rPr>
          <w:rFonts w:cstheme="minorHAnsi"/>
        </w:rPr>
        <w:t xml:space="preserve"> </w:t>
      </w:r>
      <w:r w:rsidR="00C60BE7">
        <w:rPr>
          <w:rFonts w:cstheme="minorHAnsi"/>
        </w:rPr>
        <w:t xml:space="preserve">Bahrain, Qatar, Egypt, Kuwait, Tunisia, Mauritania, and Libya have </w:t>
      </w:r>
      <w:r w:rsidR="00E04135" w:rsidRPr="00E04135">
        <w:rPr>
          <w:rFonts w:cstheme="minorHAnsi"/>
        </w:rPr>
        <w:t>integrate</w:t>
      </w:r>
      <w:r w:rsidR="00E04135">
        <w:rPr>
          <w:rFonts w:cstheme="minorHAnsi"/>
        </w:rPr>
        <w:t>d</w:t>
      </w:r>
      <w:r w:rsidR="00E04135" w:rsidRPr="00E04135">
        <w:rPr>
          <w:rFonts w:cstheme="minorHAnsi"/>
        </w:rPr>
        <w:t xml:space="preserve"> migration issues with the 2030 Agenda for Sustainable Development</w:t>
      </w:r>
      <w:r w:rsidR="00E04135">
        <w:rPr>
          <w:rFonts w:cstheme="minorHAnsi"/>
        </w:rPr>
        <w:t xml:space="preserve">. Moreover, several Arab States have </w:t>
      </w:r>
      <w:r w:rsidR="00E04135" w:rsidRPr="00E04135">
        <w:rPr>
          <w:rFonts w:cstheme="minorHAnsi"/>
        </w:rPr>
        <w:t>commit</w:t>
      </w:r>
      <w:r w:rsidR="00E04135">
        <w:rPr>
          <w:rFonts w:cstheme="minorHAnsi"/>
        </w:rPr>
        <w:t>ted</w:t>
      </w:r>
      <w:r w:rsidR="00E04135" w:rsidRPr="00E04135">
        <w:rPr>
          <w:rFonts w:cstheme="minorHAnsi"/>
        </w:rPr>
        <w:t xml:space="preserve"> to establish a National Migration Strategy (NMS) built on inter-ministerial consultations and a thorough and updated assessment of their migration realities and challenges</w:t>
      </w:r>
      <w:r w:rsidR="00C60BE7">
        <w:rPr>
          <w:rFonts w:cstheme="minorHAnsi"/>
        </w:rPr>
        <w:t>.</w:t>
      </w:r>
      <w:r w:rsidR="00E04135">
        <w:rPr>
          <w:rFonts w:cstheme="minorHAnsi"/>
        </w:rPr>
        <w:t xml:space="preserve"> In this pursuit</w:t>
      </w:r>
      <w:r w:rsidR="00C60BE7">
        <w:rPr>
          <w:rFonts w:cstheme="minorHAnsi"/>
        </w:rPr>
        <w:t xml:space="preserve">, ESCWA is in the process of supporting Jordan, Somalia, and the Sudan to develop national migration strategies.  </w:t>
      </w:r>
    </w:p>
    <w:p w14:paraId="69CAAC9D" w14:textId="77777777" w:rsidR="00501E00" w:rsidRDefault="00501E00" w:rsidP="00A8704B">
      <w:pPr>
        <w:autoSpaceDE w:val="0"/>
        <w:autoSpaceDN w:val="0"/>
        <w:adjustRightInd w:val="0"/>
        <w:spacing w:after="0" w:line="276" w:lineRule="auto"/>
        <w:jc w:val="both"/>
        <w:rPr>
          <w:rFonts w:cstheme="minorHAnsi"/>
        </w:rPr>
      </w:pPr>
    </w:p>
    <w:p w14:paraId="69DCE5E0" w14:textId="097C09B9" w:rsidR="00EC4F75" w:rsidRPr="00EF5489" w:rsidRDefault="00EC4F75" w:rsidP="00217637">
      <w:pPr>
        <w:pStyle w:val="ListParagraph"/>
        <w:numPr>
          <w:ilvl w:val="2"/>
          <w:numId w:val="2"/>
        </w:numPr>
        <w:ind w:left="1627" w:hanging="187"/>
        <w:rPr>
          <w:rFonts w:cstheme="minorHAnsi"/>
          <w:i/>
          <w:iCs/>
          <w:color w:val="000000"/>
        </w:rPr>
      </w:pPr>
      <w:r w:rsidRPr="00EF5489">
        <w:rPr>
          <w:rFonts w:cstheme="minorHAnsi"/>
          <w:i/>
          <w:iCs/>
          <w:color w:val="000000"/>
        </w:rPr>
        <w:t>Strengthening data systems for evidence-based policy making (para 11 e)</w:t>
      </w:r>
    </w:p>
    <w:p w14:paraId="0F36A361" w14:textId="0996F1A7" w:rsidR="007B5223" w:rsidRDefault="005C5D7D" w:rsidP="00EF5489">
      <w:pPr>
        <w:autoSpaceDE w:val="0"/>
        <w:autoSpaceDN w:val="0"/>
        <w:adjustRightInd w:val="0"/>
        <w:spacing w:after="0" w:line="276" w:lineRule="auto"/>
        <w:ind w:firstLine="720"/>
        <w:jc w:val="both"/>
        <w:rPr>
          <w:rFonts w:cstheme="minorHAnsi"/>
        </w:rPr>
      </w:pPr>
      <w:r w:rsidRPr="005C5D7D">
        <w:rPr>
          <w:rFonts w:cstheme="minorHAnsi"/>
        </w:rPr>
        <w:t>Finally, Arab States, for example Egypt, Iraq, Libya, Morocco, Qatar and Tunisia, have emphasized the development of data-sharing systems and the collection of accurate and disaggregated data as a basis for evidence-based policies on the one hand, and for improving migrants’ livelihoods, access to protection and working conditions on the other.</w:t>
      </w:r>
      <w:r w:rsidR="0096000A">
        <w:rPr>
          <w:rFonts w:cstheme="minorHAnsi"/>
        </w:rPr>
        <w:t xml:space="preserve"> </w:t>
      </w:r>
    </w:p>
    <w:p w14:paraId="03097A69" w14:textId="0FF3C631" w:rsidR="00307D53" w:rsidRPr="00307D53" w:rsidRDefault="00307D53" w:rsidP="00497A0F">
      <w:pPr>
        <w:pStyle w:val="ListParagraph"/>
        <w:numPr>
          <w:ilvl w:val="1"/>
          <w:numId w:val="2"/>
        </w:numPr>
        <w:autoSpaceDE w:val="0"/>
        <w:autoSpaceDN w:val="0"/>
        <w:adjustRightInd w:val="0"/>
        <w:spacing w:before="240" w:after="0" w:line="276" w:lineRule="auto"/>
        <w:ind w:left="1080"/>
        <w:jc w:val="both"/>
        <w:rPr>
          <w:rFonts w:cstheme="minorHAnsi"/>
          <w:b/>
          <w:bCs/>
        </w:rPr>
      </w:pPr>
      <w:r w:rsidRPr="00307D53">
        <w:rPr>
          <w:rFonts w:cstheme="minorHAnsi"/>
          <w:b/>
          <w:bCs/>
        </w:rPr>
        <w:t xml:space="preserve">Challenges </w:t>
      </w:r>
    </w:p>
    <w:p w14:paraId="1606FB27" w14:textId="72E20CD9" w:rsidR="00307D53" w:rsidRPr="00217637" w:rsidRDefault="009B483D" w:rsidP="00217637">
      <w:pPr>
        <w:pStyle w:val="ListParagraph"/>
        <w:numPr>
          <w:ilvl w:val="2"/>
          <w:numId w:val="2"/>
        </w:numPr>
        <w:ind w:left="1627" w:hanging="187"/>
        <w:rPr>
          <w:rFonts w:cstheme="minorHAnsi"/>
          <w:color w:val="000000"/>
        </w:rPr>
      </w:pPr>
      <w:r w:rsidRPr="00217637">
        <w:rPr>
          <w:rFonts w:cstheme="minorHAnsi"/>
          <w:color w:val="000000"/>
        </w:rPr>
        <w:t xml:space="preserve">Limited financial and human resources </w:t>
      </w:r>
      <w:r w:rsidR="006B7675" w:rsidRPr="00217637">
        <w:rPr>
          <w:rFonts w:cstheme="minorHAnsi"/>
          <w:color w:val="000000"/>
        </w:rPr>
        <w:t>hinder</w:t>
      </w:r>
      <w:r w:rsidR="000E2CF5">
        <w:rPr>
          <w:rFonts w:cstheme="minorHAnsi"/>
          <w:color w:val="000000"/>
        </w:rPr>
        <w:t xml:space="preserve"> the governments’</w:t>
      </w:r>
      <w:r w:rsidR="006B7675" w:rsidRPr="00217637">
        <w:rPr>
          <w:rFonts w:cstheme="minorHAnsi"/>
          <w:color w:val="000000"/>
        </w:rPr>
        <w:t xml:space="preserve"> ability to implement measures to protect migrants’ rights. </w:t>
      </w:r>
    </w:p>
    <w:p w14:paraId="6060C3A5" w14:textId="2E1188CF" w:rsidR="009B483D" w:rsidRPr="00217637" w:rsidRDefault="009B483D" w:rsidP="00217637">
      <w:pPr>
        <w:pStyle w:val="ListParagraph"/>
        <w:numPr>
          <w:ilvl w:val="2"/>
          <w:numId w:val="2"/>
        </w:numPr>
        <w:ind w:left="1627" w:hanging="187"/>
        <w:rPr>
          <w:rFonts w:cstheme="minorHAnsi"/>
          <w:color w:val="000000"/>
        </w:rPr>
      </w:pPr>
      <w:r w:rsidRPr="00217637">
        <w:rPr>
          <w:rFonts w:cstheme="minorHAnsi"/>
          <w:color w:val="000000"/>
        </w:rPr>
        <w:t>Weak capacity to collect, centralize and share migration data</w:t>
      </w:r>
      <w:r w:rsidR="006B7675" w:rsidRPr="00217637">
        <w:rPr>
          <w:rFonts w:cstheme="minorHAnsi"/>
          <w:color w:val="000000"/>
        </w:rPr>
        <w:t xml:space="preserve"> complicate efforts to develop well-governed</w:t>
      </w:r>
      <w:r w:rsidR="000E2CF5">
        <w:rPr>
          <w:rFonts w:cstheme="minorHAnsi"/>
          <w:color w:val="000000"/>
        </w:rPr>
        <w:t xml:space="preserve"> </w:t>
      </w:r>
      <w:r w:rsidR="006B7675" w:rsidRPr="00217637">
        <w:rPr>
          <w:rFonts w:cstheme="minorHAnsi"/>
          <w:color w:val="000000"/>
        </w:rPr>
        <w:t>migration policies</w:t>
      </w:r>
      <w:r w:rsidR="00663384" w:rsidRPr="00217637">
        <w:rPr>
          <w:rFonts w:cstheme="minorHAnsi"/>
          <w:color w:val="000000"/>
        </w:rPr>
        <w:t xml:space="preserve"> that protect migrants’ rights</w:t>
      </w:r>
      <w:r w:rsidR="006B7675" w:rsidRPr="00217637">
        <w:rPr>
          <w:rFonts w:cstheme="minorHAnsi"/>
          <w:color w:val="000000"/>
        </w:rPr>
        <w:t xml:space="preserve">. </w:t>
      </w:r>
    </w:p>
    <w:p w14:paraId="14FD9101" w14:textId="555C9BF3" w:rsidR="009B483D" w:rsidRPr="00217637" w:rsidRDefault="009B483D" w:rsidP="00217637">
      <w:pPr>
        <w:pStyle w:val="ListParagraph"/>
        <w:numPr>
          <w:ilvl w:val="2"/>
          <w:numId w:val="2"/>
        </w:numPr>
        <w:ind w:left="1627" w:hanging="187"/>
        <w:rPr>
          <w:rFonts w:cstheme="minorHAnsi"/>
          <w:color w:val="000000"/>
        </w:rPr>
      </w:pPr>
      <w:r w:rsidRPr="00217637">
        <w:rPr>
          <w:rFonts w:cstheme="minorHAnsi"/>
          <w:color w:val="000000"/>
        </w:rPr>
        <w:t>Limited research infrastructure on migration</w:t>
      </w:r>
      <w:r w:rsidR="006B7675" w:rsidRPr="00217637">
        <w:rPr>
          <w:rFonts w:cstheme="minorHAnsi"/>
          <w:color w:val="000000"/>
        </w:rPr>
        <w:t xml:space="preserve"> to support the development of evidence-based policymaking</w:t>
      </w:r>
      <w:r w:rsidR="00663384" w:rsidRPr="00217637">
        <w:rPr>
          <w:rFonts w:cstheme="minorHAnsi"/>
          <w:color w:val="000000"/>
        </w:rPr>
        <w:t xml:space="preserve"> for migrant’ rights</w:t>
      </w:r>
      <w:r w:rsidR="006B7675" w:rsidRPr="00217637">
        <w:rPr>
          <w:rFonts w:cstheme="minorHAnsi"/>
          <w:color w:val="000000"/>
        </w:rPr>
        <w:t xml:space="preserve">. </w:t>
      </w:r>
    </w:p>
    <w:p w14:paraId="3101A830" w14:textId="77722B85" w:rsidR="009B483D" w:rsidRPr="00217637" w:rsidRDefault="00663384" w:rsidP="00217637">
      <w:pPr>
        <w:pStyle w:val="ListParagraph"/>
        <w:numPr>
          <w:ilvl w:val="2"/>
          <w:numId w:val="2"/>
        </w:numPr>
        <w:ind w:left="1627" w:hanging="187"/>
        <w:rPr>
          <w:rFonts w:cstheme="minorHAnsi"/>
          <w:color w:val="000000"/>
        </w:rPr>
      </w:pPr>
      <w:r w:rsidRPr="00217637">
        <w:rPr>
          <w:rFonts w:cstheme="minorHAnsi"/>
          <w:color w:val="000000"/>
        </w:rPr>
        <w:t xml:space="preserve">Low levels of </w:t>
      </w:r>
      <w:r w:rsidR="009B483D" w:rsidRPr="00217637">
        <w:rPr>
          <w:rFonts w:cstheme="minorHAnsi"/>
          <w:color w:val="000000"/>
        </w:rPr>
        <w:t xml:space="preserve">intra-regional coordination </w:t>
      </w:r>
      <w:r w:rsidR="00734AF0" w:rsidRPr="00217637">
        <w:rPr>
          <w:rFonts w:cstheme="minorHAnsi"/>
          <w:color w:val="000000"/>
        </w:rPr>
        <w:t xml:space="preserve">and collaboration </w:t>
      </w:r>
      <w:r w:rsidRPr="00217637">
        <w:rPr>
          <w:rFonts w:cstheme="minorHAnsi"/>
          <w:color w:val="000000"/>
        </w:rPr>
        <w:t xml:space="preserve">limit opportunities to share best practices and data on migrants’ rights. </w:t>
      </w:r>
    </w:p>
    <w:p w14:paraId="16E2F560" w14:textId="750CD73D" w:rsidR="009B483D" w:rsidRPr="00217637" w:rsidRDefault="009B483D" w:rsidP="00217637">
      <w:pPr>
        <w:pStyle w:val="ListParagraph"/>
        <w:numPr>
          <w:ilvl w:val="2"/>
          <w:numId w:val="2"/>
        </w:numPr>
        <w:ind w:left="1627" w:hanging="187"/>
        <w:rPr>
          <w:rFonts w:cstheme="minorHAnsi"/>
          <w:i/>
          <w:iCs/>
          <w:color w:val="000000"/>
        </w:rPr>
      </w:pPr>
      <w:r w:rsidRPr="00217637">
        <w:rPr>
          <w:rFonts w:cstheme="minorHAnsi"/>
          <w:color w:val="000000"/>
        </w:rPr>
        <w:t>Exogenous shocks</w:t>
      </w:r>
      <w:r w:rsidR="00663384" w:rsidRPr="00217637">
        <w:rPr>
          <w:rFonts w:cstheme="minorHAnsi"/>
          <w:color w:val="000000"/>
        </w:rPr>
        <w:t xml:space="preserve">, such as </w:t>
      </w:r>
      <w:r w:rsidRPr="00217637">
        <w:rPr>
          <w:rFonts w:cstheme="minorHAnsi"/>
          <w:color w:val="000000"/>
        </w:rPr>
        <w:t xml:space="preserve">political instability, conflict, and </w:t>
      </w:r>
      <w:r w:rsidR="00663384" w:rsidRPr="00217637">
        <w:rPr>
          <w:rFonts w:cstheme="minorHAnsi"/>
          <w:color w:val="000000"/>
        </w:rPr>
        <w:t xml:space="preserve">the </w:t>
      </w:r>
      <w:r w:rsidRPr="00217637">
        <w:rPr>
          <w:rFonts w:cstheme="minorHAnsi"/>
          <w:color w:val="000000"/>
        </w:rPr>
        <w:t>COVID-19 pandemic</w:t>
      </w:r>
      <w:r w:rsidR="00663384" w:rsidRPr="00217637">
        <w:rPr>
          <w:rFonts w:cstheme="minorHAnsi"/>
          <w:color w:val="000000"/>
        </w:rPr>
        <w:t>, complicate efforts to protect migrants’ rights</w:t>
      </w:r>
      <w:r w:rsidR="00663384" w:rsidRPr="00217637">
        <w:rPr>
          <w:rFonts w:cstheme="minorHAnsi"/>
          <w:i/>
          <w:iCs/>
          <w:color w:val="000000"/>
        </w:rPr>
        <w:t xml:space="preserve">.  </w:t>
      </w:r>
      <w:r w:rsidRPr="00217637">
        <w:rPr>
          <w:rFonts w:cstheme="minorHAnsi"/>
          <w:i/>
          <w:iCs/>
          <w:color w:val="000000"/>
        </w:rPr>
        <w:t xml:space="preserve"> </w:t>
      </w:r>
    </w:p>
    <w:p w14:paraId="63FE3371" w14:textId="77777777" w:rsidR="00110D58" w:rsidRPr="009B483D" w:rsidRDefault="00110D58" w:rsidP="00110D58">
      <w:pPr>
        <w:pStyle w:val="ListParagraph"/>
        <w:autoSpaceDE w:val="0"/>
        <w:autoSpaceDN w:val="0"/>
        <w:adjustRightInd w:val="0"/>
        <w:spacing w:after="0" w:line="276" w:lineRule="auto"/>
        <w:ind w:left="2160"/>
        <w:jc w:val="both"/>
        <w:rPr>
          <w:rFonts w:cstheme="minorHAnsi"/>
        </w:rPr>
      </w:pPr>
    </w:p>
    <w:p w14:paraId="69AA8C4E" w14:textId="2E79166D" w:rsidR="00307D53" w:rsidRPr="00307D53" w:rsidRDefault="00307D53" w:rsidP="00497A0F">
      <w:pPr>
        <w:pStyle w:val="ListParagraph"/>
        <w:numPr>
          <w:ilvl w:val="1"/>
          <w:numId w:val="2"/>
        </w:numPr>
        <w:autoSpaceDE w:val="0"/>
        <w:autoSpaceDN w:val="0"/>
        <w:adjustRightInd w:val="0"/>
        <w:spacing w:before="240" w:after="0" w:line="276" w:lineRule="auto"/>
        <w:ind w:left="1080"/>
        <w:jc w:val="both"/>
        <w:rPr>
          <w:rFonts w:cstheme="minorHAnsi"/>
          <w:b/>
          <w:bCs/>
        </w:rPr>
      </w:pPr>
      <w:r w:rsidRPr="00307D53">
        <w:rPr>
          <w:rFonts w:cstheme="minorHAnsi"/>
          <w:b/>
          <w:bCs/>
        </w:rPr>
        <w:t>Recommendations</w:t>
      </w:r>
    </w:p>
    <w:p w14:paraId="61A57A68" w14:textId="26B696B3" w:rsidR="00837D60" w:rsidRPr="00217637" w:rsidRDefault="00837D60" w:rsidP="00217637">
      <w:pPr>
        <w:pStyle w:val="ListParagraph"/>
        <w:numPr>
          <w:ilvl w:val="2"/>
          <w:numId w:val="2"/>
        </w:numPr>
        <w:ind w:left="1627" w:hanging="187"/>
        <w:rPr>
          <w:rFonts w:cstheme="minorHAnsi"/>
          <w:color w:val="000000"/>
        </w:rPr>
      </w:pPr>
      <w:r w:rsidRPr="00217637">
        <w:rPr>
          <w:rFonts w:cstheme="minorHAnsi"/>
          <w:color w:val="000000"/>
        </w:rPr>
        <w:t>Respect the human rights of all migrants</w:t>
      </w:r>
      <w:r w:rsidR="008D6561" w:rsidRPr="00217637">
        <w:rPr>
          <w:rFonts w:cstheme="minorHAnsi"/>
          <w:color w:val="000000"/>
        </w:rPr>
        <w:t xml:space="preserve"> by ensuring equality</w:t>
      </w:r>
      <w:r w:rsidR="000E2CF5">
        <w:rPr>
          <w:rFonts w:cstheme="minorHAnsi"/>
          <w:color w:val="000000"/>
        </w:rPr>
        <w:t xml:space="preserve"> before the law</w:t>
      </w:r>
      <w:r w:rsidR="008D6561" w:rsidRPr="00217637">
        <w:rPr>
          <w:rFonts w:cstheme="minorHAnsi"/>
          <w:color w:val="000000"/>
        </w:rPr>
        <w:t xml:space="preserve"> through </w:t>
      </w:r>
      <w:r w:rsidR="000E2CF5">
        <w:rPr>
          <w:rFonts w:cstheme="minorHAnsi"/>
          <w:color w:val="000000"/>
        </w:rPr>
        <w:t xml:space="preserve">adopting necessary </w:t>
      </w:r>
      <w:r w:rsidR="008D6561" w:rsidRPr="00217637">
        <w:rPr>
          <w:rFonts w:cstheme="minorHAnsi"/>
          <w:color w:val="000000"/>
        </w:rPr>
        <w:t xml:space="preserve">legislation and promoting </w:t>
      </w:r>
      <w:r w:rsidR="000E2CF5">
        <w:rPr>
          <w:rFonts w:cstheme="minorHAnsi"/>
          <w:color w:val="000000"/>
        </w:rPr>
        <w:t>migrants’</w:t>
      </w:r>
      <w:r w:rsidR="008D6561" w:rsidRPr="00217637">
        <w:rPr>
          <w:rFonts w:cstheme="minorHAnsi"/>
          <w:color w:val="000000"/>
        </w:rPr>
        <w:t xml:space="preserve"> access to justice systems</w:t>
      </w:r>
      <w:r w:rsidR="00E62B89" w:rsidRPr="00217637">
        <w:rPr>
          <w:rFonts w:cstheme="minorHAnsi"/>
          <w:color w:val="000000"/>
        </w:rPr>
        <w:t>.</w:t>
      </w:r>
    </w:p>
    <w:p w14:paraId="765E2677" w14:textId="48D2B376" w:rsidR="00307D53" w:rsidRPr="00217637" w:rsidRDefault="00837D60" w:rsidP="00217637">
      <w:pPr>
        <w:pStyle w:val="ListParagraph"/>
        <w:numPr>
          <w:ilvl w:val="2"/>
          <w:numId w:val="2"/>
        </w:numPr>
        <w:ind w:left="1627" w:hanging="187"/>
        <w:rPr>
          <w:rFonts w:cstheme="minorHAnsi"/>
          <w:color w:val="000000"/>
        </w:rPr>
      </w:pPr>
      <w:r w:rsidRPr="00217637">
        <w:rPr>
          <w:rFonts w:cstheme="minorHAnsi"/>
          <w:color w:val="000000"/>
        </w:rPr>
        <w:t>Ensure that all migrants have the right to access to basic services</w:t>
      </w:r>
      <w:r w:rsidR="00E62B89" w:rsidRPr="00217637">
        <w:rPr>
          <w:rFonts w:cstheme="minorHAnsi"/>
          <w:color w:val="000000"/>
        </w:rPr>
        <w:t xml:space="preserve">, including health and education. </w:t>
      </w:r>
    </w:p>
    <w:p w14:paraId="184EC58F" w14:textId="613EAAC6" w:rsidR="00837D60" w:rsidRPr="00217637" w:rsidRDefault="00837D60" w:rsidP="00217637">
      <w:pPr>
        <w:pStyle w:val="ListParagraph"/>
        <w:numPr>
          <w:ilvl w:val="2"/>
          <w:numId w:val="2"/>
        </w:numPr>
        <w:ind w:left="1627" w:hanging="187"/>
        <w:rPr>
          <w:rFonts w:cstheme="minorHAnsi"/>
          <w:color w:val="000000"/>
        </w:rPr>
      </w:pPr>
      <w:r w:rsidRPr="00217637">
        <w:rPr>
          <w:rFonts w:cstheme="minorHAnsi"/>
          <w:color w:val="000000"/>
        </w:rPr>
        <w:t>Guarantee the rights of migrant children and women</w:t>
      </w:r>
      <w:r w:rsidR="00765D41" w:rsidRPr="00217637">
        <w:rPr>
          <w:rFonts w:cstheme="minorHAnsi"/>
          <w:color w:val="000000"/>
        </w:rPr>
        <w:t xml:space="preserve"> by mainstreaming a gender perspective across migration policies and ensuring they are child sensitive. </w:t>
      </w:r>
    </w:p>
    <w:p w14:paraId="2CD3FF46" w14:textId="2CAFD115" w:rsidR="00837D60" w:rsidRPr="00217637" w:rsidRDefault="00837D60" w:rsidP="00217637">
      <w:pPr>
        <w:pStyle w:val="ListParagraph"/>
        <w:numPr>
          <w:ilvl w:val="2"/>
          <w:numId w:val="2"/>
        </w:numPr>
        <w:ind w:left="1627" w:hanging="187"/>
        <w:rPr>
          <w:rFonts w:cstheme="minorHAnsi"/>
          <w:color w:val="000000"/>
        </w:rPr>
      </w:pPr>
      <w:r w:rsidRPr="00217637">
        <w:rPr>
          <w:rFonts w:cstheme="minorHAnsi"/>
          <w:color w:val="000000"/>
        </w:rPr>
        <w:t>Protect and empower migrant workers</w:t>
      </w:r>
      <w:r w:rsidR="004B0CC4" w:rsidRPr="00217637">
        <w:rPr>
          <w:rFonts w:cstheme="minorHAnsi"/>
          <w:color w:val="000000"/>
        </w:rPr>
        <w:t xml:space="preserve"> through</w:t>
      </w:r>
      <w:r w:rsidR="00655CE4">
        <w:rPr>
          <w:rFonts w:cstheme="minorHAnsi"/>
          <w:color w:val="000000"/>
        </w:rPr>
        <w:t xml:space="preserve"> adopting</w:t>
      </w:r>
      <w:r w:rsidR="004B0CC4" w:rsidRPr="00217637">
        <w:rPr>
          <w:rFonts w:cstheme="minorHAnsi"/>
          <w:color w:val="000000"/>
        </w:rPr>
        <w:t xml:space="preserve"> legislation and </w:t>
      </w:r>
      <w:r w:rsidR="00353E2A" w:rsidRPr="00217637">
        <w:rPr>
          <w:rFonts w:cstheme="minorHAnsi"/>
          <w:color w:val="000000"/>
        </w:rPr>
        <w:t xml:space="preserve">policies that are aligned with international labour and human rights standards. </w:t>
      </w:r>
      <w:r w:rsidR="00765D41" w:rsidRPr="00217637">
        <w:rPr>
          <w:rFonts w:cstheme="minorHAnsi"/>
          <w:color w:val="000000"/>
        </w:rPr>
        <w:t xml:space="preserve"> </w:t>
      </w:r>
    </w:p>
    <w:p w14:paraId="2179AF9D" w14:textId="609A8E52" w:rsidR="00110D58" w:rsidRPr="00217637" w:rsidRDefault="00837D60" w:rsidP="00217637">
      <w:pPr>
        <w:pStyle w:val="ListParagraph"/>
        <w:numPr>
          <w:ilvl w:val="2"/>
          <w:numId w:val="2"/>
        </w:numPr>
        <w:ind w:left="1627" w:hanging="187"/>
        <w:rPr>
          <w:rFonts w:cstheme="minorHAnsi"/>
          <w:color w:val="000000"/>
        </w:rPr>
      </w:pPr>
      <w:r w:rsidRPr="00217637">
        <w:rPr>
          <w:rFonts w:cstheme="minorHAnsi"/>
          <w:color w:val="000000"/>
        </w:rPr>
        <w:t>Combat human trafficking</w:t>
      </w:r>
      <w:r w:rsidR="00E7439E" w:rsidRPr="00217637">
        <w:rPr>
          <w:rFonts w:cstheme="minorHAnsi"/>
          <w:color w:val="000000"/>
        </w:rPr>
        <w:t xml:space="preserve"> and smuggling of migrants</w:t>
      </w:r>
      <w:r w:rsidR="00353E2A" w:rsidRPr="00217637">
        <w:rPr>
          <w:rFonts w:cstheme="minorHAnsi"/>
          <w:color w:val="000000"/>
        </w:rPr>
        <w:t xml:space="preserve"> and</w:t>
      </w:r>
      <w:r w:rsidR="00765D41" w:rsidRPr="00217637">
        <w:rPr>
          <w:rFonts w:cstheme="minorHAnsi"/>
          <w:color w:val="000000"/>
        </w:rPr>
        <w:t xml:space="preserve"> support victims of trafficking. </w:t>
      </w:r>
    </w:p>
    <w:sectPr w:rsidR="00110D58" w:rsidRPr="00217637" w:rsidSect="000B161B">
      <w:head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3CED1" w14:textId="77777777" w:rsidR="004038EA" w:rsidRDefault="004038EA" w:rsidP="000E3C8E">
      <w:pPr>
        <w:spacing w:after="0" w:line="240" w:lineRule="auto"/>
      </w:pPr>
      <w:r>
        <w:separator/>
      </w:r>
    </w:p>
  </w:endnote>
  <w:endnote w:type="continuationSeparator" w:id="0">
    <w:p w14:paraId="4F40C9FF" w14:textId="77777777" w:rsidR="004038EA" w:rsidRDefault="004038EA" w:rsidP="000E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LT Std 47 Cn Lt">
    <w:altName w:val="Calibri"/>
    <w:panose1 w:val="00000000000000000000"/>
    <w:charset w:val="00"/>
    <w:family w:val="swiss"/>
    <w:notTrueType/>
    <w:pitch w:val="variable"/>
    <w:sig w:usb0="800000AF" w:usb1="4000204A" w:usb2="00000000" w:usb3="00000000" w:csb0="00000001" w:csb1="00000000"/>
  </w:font>
  <w:font w:name="UniversLTStd-Cn">
    <w:altName w:val="Malgun Gothic"/>
    <w:panose1 w:val="00000000000000000000"/>
    <w:charset w:val="81"/>
    <w:family w:val="swiss"/>
    <w:notTrueType/>
    <w:pitch w:val="default"/>
    <w:sig w:usb0="00000003" w:usb1="09060000"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E856" w14:textId="77777777" w:rsidR="004038EA" w:rsidRDefault="004038EA" w:rsidP="000E3C8E">
      <w:pPr>
        <w:spacing w:after="0" w:line="240" w:lineRule="auto"/>
      </w:pPr>
      <w:r>
        <w:separator/>
      </w:r>
    </w:p>
  </w:footnote>
  <w:footnote w:type="continuationSeparator" w:id="0">
    <w:p w14:paraId="18CB915B" w14:textId="77777777" w:rsidR="004038EA" w:rsidRDefault="004038EA" w:rsidP="000E3C8E">
      <w:pPr>
        <w:spacing w:after="0" w:line="240" w:lineRule="auto"/>
      </w:pPr>
      <w:r>
        <w:continuationSeparator/>
      </w:r>
    </w:p>
  </w:footnote>
  <w:footnote w:id="1">
    <w:p w14:paraId="0E8FF5CC" w14:textId="47C92900" w:rsidR="00C82A80" w:rsidRDefault="00C82A80">
      <w:pPr>
        <w:pStyle w:val="FootnoteText"/>
      </w:pPr>
      <w:r>
        <w:rPr>
          <w:rStyle w:val="FootnoteReference"/>
        </w:rPr>
        <w:footnoteRef/>
      </w:r>
      <w:r>
        <w:t xml:space="preserve"> The information for this input was</w:t>
      </w:r>
      <w:r w:rsidR="008C4391">
        <w:t xml:space="preserve"> primarily</w:t>
      </w:r>
      <w:r>
        <w:t xml:space="preserve"> taken from the GCM Regional Review Report</w:t>
      </w:r>
      <w:r w:rsidR="00E73197">
        <w:t>, which is available</w:t>
      </w:r>
      <w:r>
        <w:t xml:space="preserve"> </w:t>
      </w:r>
      <w:hyperlink r:id="rId1" w:history="1">
        <w:r w:rsidRPr="009D0806">
          <w:rPr>
            <w:rStyle w:val="Hyperlink"/>
            <w:rFonts w:cstheme="minorHAnsi"/>
          </w:rPr>
          <w:t>here</w:t>
        </w:r>
      </w:hyperlink>
      <w:r>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E199" w14:textId="69C32878" w:rsidR="000E3C8E" w:rsidRDefault="00EE1D14" w:rsidP="00EE1D14">
    <w:pPr>
      <w:pStyle w:val="Header"/>
    </w:pPr>
    <w:r>
      <w:rPr>
        <w:noProof/>
      </w:rPr>
      <w:drawing>
        <wp:inline distT="0" distB="0" distL="0" distR="0" wp14:anchorId="1BE54E03" wp14:editId="5C549D5F">
          <wp:extent cx="1912620" cy="792480"/>
          <wp:effectExtent l="0" t="0" r="0" b="762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12620" cy="792480"/>
                  </a:xfrm>
                  <a:prstGeom prst="rect">
                    <a:avLst/>
                  </a:prstGeom>
                </pic:spPr>
              </pic:pic>
            </a:graphicData>
          </a:graphic>
        </wp:inline>
      </w:drawing>
    </w:r>
    <w:r w:rsidR="000E3C8E">
      <w:ptab w:relativeTo="margin" w:alignment="center" w:leader="none"/>
    </w:r>
    <w:r w:rsidR="000E3C8E">
      <w:ptab w:relativeTo="margin" w:alignment="right" w:leader="none"/>
    </w:r>
    <w:r w:rsidR="000E3C8E">
      <w:t xml:space="preserve">May </w:t>
    </w:r>
    <w:r w:rsidR="00CB2C8A">
      <w:t>1</w:t>
    </w:r>
    <w:r w:rsidR="00102026">
      <w:t>1</w:t>
    </w:r>
    <w:r w:rsidR="000E3C8E">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597"/>
    <w:multiLevelType w:val="hybridMultilevel"/>
    <w:tmpl w:val="EE8AE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BD6E1E"/>
    <w:multiLevelType w:val="hybridMultilevel"/>
    <w:tmpl w:val="794E0792"/>
    <w:lvl w:ilvl="0" w:tplc="39F61FD0">
      <w:start w:val="1"/>
      <w:numFmt w:val="lowerRoman"/>
      <w:lvlText w:val="%1."/>
      <w:lvlJc w:val="right"/>
      <w:pPr>
        <w:ind w:left="216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77876"/>
    <w:multiLevelType w:val="hybridMultilevel"/>
    <w:tmpl w:val="22D00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DC180D"/>
    <w:multiLevelType w:val="hybridMultilevel"/>
    <w:tmpl w:val="D4B8462C"/>
    <w:lvl w:ilvl="0" w:tplc="DA44EE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9F61FD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FA6EC1"/>
    <w:multiLevelType w:val="hybridMultilevel"/>
    <w:tmpl w:val="49E07CC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444231038">
    <w:abstractNumId w:val="2"/>
  </w:num>
  <w:num w:numId="2" w16cid:durableId="1145705179">
    <w:abstractNumId w:val="3"/>
  </w:num>
  <w:num w:numId="3" w16cid:durableId="1403868996">
    <w:abstractNumId w:val="0"/>
  </w:num>
  <w:num w:numId="4" w16cid:durableId="1109424552">
    <w:abstractNumId w:val="4"/>
  </w:num>
  <w:num w:numId="5" w16cid:durableId="848636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8E"/>
    <w:rsid w:val="00011338"/>
    <w:rsid w:val="00017FA2"/>
    <w:rsid w:val="00032754"/>
    <w:rsid w:val="00095F2E"/>
    <w:rsid w:val="0009604F"/>
    <w:rsid w:val="000B161B"/>
    <w:rsid w:val="000E125D"/>
    <w:rsid w:val="000E2CF5"/>
    <w:rsid w:val="000E3C8E"/>
    <w:rsid w:val="00102026"/>
    <w:rsid w:val="00110D58"/>
    <w:rsid w:val="001341B7"/>
    <w:rsid w:val="00136E7A"/>
    <w:rsid w:val="0015037E"/>
    <w:rsid w:val="00166557"/>
    <w:rsid w:val="00167C8B"/>
    <w:rsid w:val="001B7559"/>
    <w:rsid w:val="001C2581"/>
    <w:rsid w:val="001F354D"/>
    <w:rsid w:val="00213F9E"/>
    <w:rsid w:val="00217637"/>
    <w:rsid w:val="00255420"/>
    <w:rsid w:val="002B67CF"/>
    <w:rsid w:val="002C14D3"/>
    <w:rsid w:val="002F380D"/>
    <w:rsid w:val="002F5650"/>
    <w:rsid w:val="002F6ADF"/>
    <w:rsid w:val="00307D53"/>
    <w:rsid w:val="0033286A"/>
    <w:rsid w:val="00353E2A"/>
    <w:rsid w:val="003816C4"/>
    <w:rsid w:val="00386EFA"/>
    <w:rsid w:val="00393166"/>
    <w:rsid w:val="003A3D52"/>
    <w:rsid w:val="003B35DF"/>
    <w:rsid w:val="004038EA"/>
    <w:rsid w:val="00461E0D"/>
    <w:rsid w:val="004748B1"/>
    <w:rsid w:val="00481432"/>
    <w:rsid w:val="00497A0F"/>
    <w:rsid w:val="004B0CC4"/>
    <w:rsid w:val="004C1A23"/>
    <w:rsid w:val="004E2832"/>
    <w:rsid w:val="00501E00"/>
    <w:rsid w:val="005C5D7D"/>
    <w:rsid w:val="005E5D98"/>
    <w:rsid w:val="005F3BFB"/>
    <w:rsid w:val="0060711C"/>
    <w:rsid w:val="00655CE4"/>
    <w:rsid w:val="00663384"/>
    <w:rsid w:val="00684210"/>
    <w:rsid w:val="006844BC"/>
    <w:rsid w:val="006A1DFD"/>
    <w:rsid w:val="006B7675"/>
    <w:rsid w:val="0071162A"/>
    <w:rsid w:val="00734AF0"/>
    <w:rsid w:val="00765D41"/>
    <w:rsid w:val="007932EC"/>
    <w:rsid w:val="0079585C"/>
    <w:rsid w:val="007A4C2E"/>
    <w:rsid w:val="007B5223"/>
    <w:rsid w:val="007C4D8C"/>
    <w:rsid w:val="007E004F"/>
    <w:rsid w:val="007F2D3F"/>
    <w:rsid w:val="00837D60"/>
    <w:rsid w:val="00866459"/>
    <w:rsid w:val="0088532A"/>
    <w:rsid w:val="00885DB9"/>
    <w:rsid w:val="00897189"/>
    <w:rsid w:val="008C35EF"/>
    <w:rsid w:val="008C4391"/>
    <w:rsid w:val="008D6561"/>
    <w:rsid w:val="00920E73"/>
    <w:rsid w:val="00931650"/>
    <w:rsid w:val="009550E1"/>
    <w:rsid w:val="009568A7"/>
    <w:rsid w:val="0096000A"/>
    <w:rsid w:val="0096194A"/>
    <w:rsid w:val="009671CE"/>
    <w:rsid w:val="00990B11"/>
    <w:rsid w:val="009935B6"/>
    <w:rsid w:val="009B483D"/>
    <w:rsid w:val="009D0806"/>
    <w:rsid w:val="00A13A39"/>
    <w:rsid w:val="00A20254"/>
    <w:rsid w:val="00A46E1F"/>
    <w:rsid w:val="00A56FB2"/>
    <w:rsid w:val="00A8704B"/>
    <w:rsid w:val="00A9309D"/>
    <w:rsid w:val="00A94E4A"/>
    <w:rsid w:val="00AA0FB4"/>
    <w:rsid w:val="00AA72CC"/>
    <w:rsid w:val="00AC2F26"/>
    <w:rsid w:val="00AC39A5"/>
    <w:rsid w:val="00AF207A"/>
    <w:rsid w:val="00BA30D2"/>
    <w:rsid w:val="00BE66D1"/>
    <w:rsid w:val="00BF6022"/>
    <w:rsid w:val="00C60BE7"/>
    <w:rsid w:val="00C7649A"/>
    <w:rsid w:val="00C82A80"/>
    <w:rsid w:val="00C837D0"/>
    <w:rsid w:val="00CB2C8A"/>
    <w:rsid w:val="00CF357B"/>
    <w:rsid w:val="00D15026"/>
    <w:rsid w:val="00D21B56"/>
    <w:rsid w:val="00D244A0"/>
    <w:rsid w:val="00D4299B"/>
    <w:rsid w:val="00D6187D"/>
    <w:rsid w:val="00D72909"/>
    <w:rsid w:val="00D83931"/>
    <w:rsid w:val="00D94DF8"/>
    <w:rsid w:val="00DE1CFD"/>
    <w:rsid w:val="00E01916"/>
    <w:rsid w:val="00E04135"/>
    <w:rsid w:val="00E04856"/>
    <w:rsid w:val="00E1074C"/>
    <w:rsid w:val="00E11186"/>
    <w:rsid w:val="00E144CE"/>
    <w:rsid w:val="00E144FE"/>
    <w:rsid w:val="00E24AD0"/>
    <w:rsid w:val="00E62B89"/>
    <w:rsid w:val="00E73197"/>
    <w:rsid w:val="00E7439E"/>
    <w:rsid w:val="00EA52E6"/>
    <w:rsid w:val="00EC4F75"/>
    <w:rsid w:val="00ED4CFD"/>
    <w:rsid w:val="00ED75EC"/>
    <w:rsid w:val="00EE1D14"/>
    <w:rsid w:val="00EF5489"/>
    <w:rsid w:val="00F2577D"/>
    <w:rsid w:val="00F2736D"/>
    <w:rsid w:val="00F4300B"/>
    <w:rsid w:val="00F472CD"/>
    <w:rsid w:val="00FA2C2F"/>
    <w:rsid w:val="00FD6E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3E24C"/>
  <w15:chartTrackingRefBased/>
  <w15:docId w15:val="{54E6013E-2490-4FA0-A0A0-8061288D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3C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C8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E3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C8E"/>
  </w:style>
  <w:style w:type="paragraph" w:styleId="Footer">
    <w:name w:val="footer"/>
    <w:basedOn w:val="Normal"/>
    <w:link w:val="FooterChar"/>
    <w:uiPriority w:val="99"/>
    <w:unhideWhenUsed/>
    <w:rsid w:val="000E3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C8E"/>
  </w:style>
  <w:style w:type="character" w:styleId="Hyperlink">
    <w:name w:val="Hyperlink"/>
    <w:basedOn w:val="DefaultParagraphFont"/>
    <w:uiPriority w:val="99"/>
    <w:unhideWhenUsed/>
    <w:rsid w:val="007A4C2E"/>
    <w:rPr>
      <w:color w:val="0563C1" w:themeColor="hyperlink"/>
      <w:u w:val="single"/>
    </w:rPr>
  </w:style>
  <w:style w:type="paragraph" w:styleId="ListParagraph">
    <w:name w:val="List Paragraph"/>
    <w:basedOn w:val="Normal"/>
    <w:uiPriority w:val="34"/>
    <w:qFormat/>
    <w:rsid w:val="007A4C2E"/>
    <w:pPr>
      <w:ind w:left="720"/>
      <w:contextualSpacing/>
    </w:pPr>
  </w:style>
  <w:style w:type="paragraph" w:styleId="FootnoteText">
    <w:name w:val="footnote text"/>
    <w:basedOn w:val="Normal"/>
    <w:link w:val="FootnoteTextChar"/>
    <w:uiPriority w:val="99"/>
    <w:semiHidden/>
    <w:unhideWhenUsed/>
    <w:rsid w:val="007A4C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C2E"/>
    <w:rPr>
      <w:sz w:val="20"/>
      <w:szCs w:val="20"/>
    </w:rPr>
  </w:style>
  <w:style w:type="character" w:styleId="FootnoteReference">
    <w:name w:val="footnote reference"/>
    <w:basedOn w:val="DefaultParagraphFont"/>
    <w:uiPriority w:val="99"/>
    <w:semiHidden/>
    <w:unhideWhenUsed/>
    <w:rsid w:val="007A4C2E"/>
    <w:rPr>
      <w:vertAlign w:val="superscript"/>
    </w:rPr>
  </w:style>
  <w:style w:type="paragraph" w:customStyle="1" w:styleId="Pa34">
    <w:name w:val="Pa34"/>
    <w:basedOn w:val="Normal"/>
    <w:next w:val="Normal"/>
    <w:uiPriority w:val="99"/>
    <w:rsid w:val="007A4C2E"/>
    <w:pPr>
      <w:autoSpaceDE w:val="0"/>
      <w:autoSpaceDN w:val="0"/>
      <w:adjustRightInd w:val="0"/>
      <w:spacing w:after="0" w:line="181" w:lineRule="atLeast"/>
    </w:pPr>
    <w:rPr>
      <w:rFonts w:ascii="Univers LT Std 47 Cn Lt" w:hAnsi="Univers LT Std 47 Cn Lt"/>
      <w:sz w:val="24"/>
      <w:szCs w:val="24"/>
    </w:rPr>
  </w:style>
  <w:style w:type="paragraph" w:styleId="NoSpacing">
    <w:name w:val="No Spacing"/>
    <w:uiPriority w:val="1"/>
    <w:qFormat/>
    <w:rsid w:val="007A4C2E"/>
    <w:pPr>
      <w:spacing w:after="0" w:line="240" w:lineRule="auto"/>
    </w:pPr>
  </w:style>
  <w:style w:type="character" w:styleId="UnresolvedMention">
    <w:name w:val="Unresolved Mention"/>
    <w:basedOn w:val="DefaultParagraphFont"/>
    <w:uiPriority w:val="99"/>
    <w:semiHidden/>
    <w:unhideWhenUsed/>
    <w:rsid w:val="009D0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escwa.org/sites/default/files/event/materials/Arab%20Regional%20Global%20Compact%20for%20Migration%20Review%20Report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927134-E68E-4614-8273-672932E5A8ED}">
  <we:reference id="a3b40b4f-8edf-490e-9df1-7e66f93912bf" version="1.1.0.0" store="EXCatalog" storeType="EXCatalog"/>
  <we:alternateReferences>
    <we:reference id="WA104380526"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0A4D0-0FB7-4E95-9F2A-B8FC5DCA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 Pournik</dc:creator>
  <cp:keywords/>
  <dc:description/>
  <cp:lastModifiedBy>Migration Unit</cp:lastModifiedBy>
  <cp:revision>2</cp:revision>
  <dcterms:created xsi:type="dcterms:W3CDTF">2023-05-12T08:43:00Z</dcterms:created>
  <dcterms:modified xsi:type="dcterms:W3CDTF">2023-05-12T08:43:00Z</dcterms:modified>
</cp:coreProperties>
</file>