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60BE" w14:textId="22DA2FDA" w:rsidR="004C6AA4" w:rsidRDefault="004C6AA4" w:rsidP="004C6AA4">
      <w:pPr>
        <w:pStyle w:val="Default"/>
        <w:tabs>
          <w:tab w:val="left" w:pos="2692"/>
        </w:tabs>
        <w:spacing w:before="0" w:afterLines="142" w:after="340" w:line="276" w:lineRule="auto"/>
        <w:jc w:val="both"/>
        <w:rPr>
          <w:spacing w:val="4"/>
        </w:rPr>
      </w:pPr>
      <w:r>
        <w:rPr>
          <w:spacing w:val="4"/>
        </w:rPr>
        <w:tab/>
      </w:r>
      <w:r>
        <w:rPr>
          <w:noProof/>
        </w:rPr>
        <w:drawing>
          <wp:inline distT="0" distB="0" distL="0" distR="0" wp14:anchorId="15E75672" wp14:editId="66EC12E0">
            <wp:extent cx="2844800" cy="802671"/>
            <wp:effectExtent l="0" t="0" r="0" b="0"/>
            <wp:docPr id="1637278301" name="Picture 163727830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093" cy="819119"/>
                    </a:xfrm>
                    <a:prstGeom prst="rect">
                      <a:avLst/>
                    </a:prstGeom>
                    <a:ln w="12700" cap="flat">
                      <a:noFill/>
                      <a:miter lim="400000"/>
                    </a:ln>
                    <a:effectLst/>
                  </pic:spPr>
                </pic:pic>
              </a:graphicData>
            </a:graphic>
          </wp:inline>
        </w:drawing>
      </w:r>
    </w:p>
    <w:p w14:paraId="77775A7B" w14:textId="77777777" w:rsidR="004C6AA4" w:rsidRPr="00C101AF" w:rsidRDefault="004C6AA4" w:rsidP="004C6AA4">
      <w:pPr>
        <w:pStyle w:val="Default"/>
        <w:tabs>
          <w:tab w:val="left" w:pos="2692"/>
        </w:tabs>
        <w:spacing w:before="0" w:afterLines="142" w:after="340" w:line="276" w:lineRule="auto"/>
        <w:jc w:val="both"/>
        <w:rPr>
          <w:spacing w:val="4"/>
        </w:rPr>
      </w:pPr>
    </w:p>
    <w:p w14:paraId="68D9AD26" w14:textId="2A873AA8" w:rsidR="006902FB" w:rsidRPr="008C6390" w:rsidRDefault="006902FB" w:rsidP="006902FB">
      <w:pPr>
        <w:pStyle w:val="Default"/>
        <w:spacing w:afterLines="142" w:after="340" w:line="276" w:lineRule="auto"/>
        <w:jc w:val="both"/>
        <w:rPr>
          <w:rFonts w:ascii="Gilroy Bold" w:hAnsi="Gilroy Bold"/>
          <w:b/>
          <w:bCs/>
          <w:sz w:val="28"/>
          <w:szCs w:val="28"/>
        </w:rPr>
      </w:pPr>
      <w:r w:rsidRPr="00C101AF">
        <w:rPr>
          <w:rFonts w:ascii="Gilroy Bold" w:hAnsi="Gilroy Bold"/>
          <w:b/>
          <w:bCs/>
          <w:sz w:val="28"/>
          <w:szCs w:val="28"/>
        </w:rPr>
        <w:t xml:space="preserve">Privacy International’s response to the call for input for the UN </w:t>
      </w:r>
      <w:r>
        <w:rPr>
          <w:rFonts w:ascii="Gilroy Bold" w:hAnsi="Gilroy Bold"/>
          <w:b/>
          <w:bCs/>
          <w:sz w:val="28"/>
          <w:szCs w:val="28"/>
        </w:rPr>
        <w:t xml:space="preserve">Secretary-General’s report on the </w:t>
      </w:r>
      <w:r w:rsidR="00DD420A">
        <w:rPr>
          <w:rFonts w:ascii="Gilroy Bold" w:hAnsi="Gilroy Bold"/>
          <w:b/>
          <w:bCs/>
          <w:sz w:val="28"/>
          <w:szCs w:val="28"/>
        </w:rPr>
        <w:t>h</w:t>
      </w:r>
      <w:r>
        <w:rPr>
          <w:rFonts w:ascii="Gilroy Bold" w:hAnsi="Gilroy Bold"/>
          <w:b/>
          <w:bCs/>
          <w:sz w:val="28"/>
          <w:szCs w:val="28"/>
        </w:rPr>
        <w:t xml:space="preserve">uman </w:t>
      </w:r>
      <w:r w:rsidR="00DD420A">
        <w:rPr>
          <w:rFonts w:ascii="Gilroy Bold" w:hAnsi="Gilroy Bold"/>
          <w:b/>
          <w:bCs/>
          <w:sz w:val="28"/>
          <w:szCs w:val="28"/>
        </w:rPr>
        <w:t>r</w:t>
      </w:r>
      <w:r>
        <w:rPr>
          <w:rFonts w:ascii="Gilroy Bold" w:hAnsi="Gilroy Bold"/>
          <w:b/>
          <w:bCs/>
          <w:sz w:val="28"/>
          <w:szCs w:val="28"/>
        </w:rPr>
        <w:t xml:space="preserve">ights of </w:t>
      </w:r>
      <w:r w:rsidR="00DD420A">
        <w:rPr>
          <w:rFonts w:ascii="Gilroy Bold" w:hAnsi="Gilroy Bold"/>
          <w:b/>
          <w:bCs/>
          <w:sz w:val="28"/>
          <w:szCs w:val="28"/>
        </w:rPr>
        <w:t>m</w:t>
      </w:r>
      <w:r>
        <w:rPr>
          <w:rFonts w:ascii="Gilroy Bold" w:hAnsi="Gilroy Bold"/>
          <w:b/>
          <w:bCs/>
          <w:sz w:val="28"/>
          <w:szCs w:val="28"/>
        </w:rPr>
        <w:t>igrants</w:t>
      </w:r>
    </w:p>
    <w:p w14:paraId="01D46D6A" w14:textId="23CF2C8C" w:rsidR="006902FB" w:rsidRPr="00C101AF" w:rsidRDefault="00F46491" w:rsidP="006902FB">
      <w:pPr>
        <w:pStyle w:val="Default"/>
        <w:spacing w:afterLines="142" w:after="340" w:line="276" w:lineRule="auto"/>
        <w:jc w:val="right"/>
      </w:pPr>
      <w:r>
        <w:t xml:space="preserve">26 </w:t>
      </w:r>
      <w:r w:rsidR="006902FB">
        <w:t>May</w:t>
      </w:r>
      <w:r w:rsidR="006902FB" w:rsidRPr="00C101AF">
        <w:t xml:space="preserve"> 2023</w:t>
      </w:r>
    </w:p>
    <w:p w14:paraId="4D76307B" w14:textId="5B9A7B31" w:rsidR="006902FB" w:rsidRPr="00775F99" w:rsidRDefault="006902FB" w:rsidP="002A3186">
      <w:pPr>
        <w:pStyle w:val="Default"/>
        <w:numPr>
          <w:ilvl w:val="0"/>
          <w:numId w:val="4"/>
        </w:numPr>
        <w:spacing w:afterLines="142" w:after="340" w:line="276" w:lineRule="auto"/>
        <w:jc w:val="both"/>
        <w:rPr>
          <w:rFonts w:ascii="Gilroy" w:hAnsi="Gilroy"/>
          <w:b/>
          <w:bCs/>
        </w:rPr>
      </w:pPr>
      <w:r w:rsidRPr="00775F99">
        <w:rPr>
          <w:rFonts w:ascii="Gilroy" w:hAnsi="Gilroy"/>
          <w:b/>
          <w:bCs/>
        </w:rPr>
        <w:t>Introduction</w:t>
      </w:r>
    </w:p>
    <w:p w14:paraId="4E88D9BA" w14:textId="2A1BDC47" w:rsidR="00B022FB" w:rsidRDefault="006902FB" w:rsidP="006902FB">
      <w:pPr>
        <w:pStyle w:val="Default"/>
        <w:spacing w:afterLines="142" w:after="340" w:line="276" w:lineRule="auto"/>
        <w:jc w:val="both"/>
        <w:rPr>
          <w:rFonts w:ascii="Gilroy" w:hAnsi="Gilroy"/>
          <w:lang w:val="en-US"/>
        </w:rPr>
      </w:pPr>
      <w:r w:rsidRPr="00775F99">
        <w:rPr>
          <w:rFonts w:ascii="Gilroy" w:hAnsi="Gilroy"/>
        </w:rPr>
        <w:t>Privacy International (PI)</w:t>
      </w:r>
      <w:r w:rsidR="00E867C1">
        <w:rPr>
          <w:rStyle w:val="FootnoteReference"/>
          <w:rFonts w:ascii="Gilroy" w:hAnsi="Gilroy"/>
        </w:rPr>
        <w:footnoteReference w:id="1"/>
      </w:r>
      <w:r w:rsidRPr="00775F99">
        <w:rPr>
          <w:rFonts w:ascii="Gilroy" w:hAnsi="Gilroy"/>
        </w:rPr>
        <w:t xml:space="preserve"> welcomes the opportunity to provide input to </w:t>
      </w:r>
      <w:r w:rsidRPr="00775F99">
        <w:rPr>
          <w:rFonts w:ascii="Gilroy" w:hAnsi="Gilroy"/>
          <w:lang w:val="en-US"/>
        </w:rPr>
        <w:t xml:space="preserve">a report by the </w:t>
      </w:r>
      <w:r w:rsidR="00D3157C">
        <w:rPr>
          <w:rFonts w:ascii="Gilroy" w:hAnsi="Gilroy"/>
          <w:lang w:val="en-US"/>
        </w:rPr>
        <w:t>UN Secretary General (UNSG)</w:t>
      </w:r>
      <w:r w:rsidRPr="00775F99">
        <w:rPr>
          <w:rFonts w:ascii="Gilroy" w:hAnsi="Gilroy"/>
          <w:lang w:val="en-US"/>
        </w:rPr>
        <w:t xml:space="preserve"> on the human rights of migrants (the Report). We note that the Report will cover all aspects of the </w:t>
      </w:r>
      <w:r w:rsidR="00D3157C">
        <w:rPr>
          <w:rFonts w:ascii="Gilroy" w:hAnsi="Gilroy"/>
          <w:lang w:val="en-US"/>
        </w:rPr>
        <w:t xml:space="preserve">UN </w:t>
      </w:r>
      <w:r w:rsidRPr="00775F99">
        <w:rPr>
          <w:rFonts w:ascii="Gilroy" w:hAnsi="Gilroy"/>
          <w:lang w:val="en-US"/>
        </w:rPr>
        <w:t xml:space="preserve">General Assembly Resolution on the protection of </w:t>
      </w:r>
      <w:r w:rsidRPr="00775F99">
        <w:rPr>
          <w:rFonts w:ascii="Gilroy" w:hAnsi="Gilroy"/>
          <w:lang w:val="en-US"/>
        </w:rPr>
        <w:t>migrants (A/RES/76/172) dated 16 December 2021 (the Resolution).</w:t>
      </w:r>
    </w:p>
    <w:p w14:paraId="7FD3D98C" w14:textId="7C3B2CC8" w:rsidR="006902FB" w:rsidRPr="00F46491" w:rsidRDefault="00B92192" w:rsidP="006902FB">
      <w:pPr>
        <w:pStyle w:val="Default"/>
        <w:spacing w:afterLines="142" w:after="340" w:line="276" w:lineRule="auto"/>
        <w:jc w:val="both"/>
        <w:rPr>
          <w:rFonts w:ascii="Gilroy" w:hAnsi="Gilroy"/>
          <w:lang w:val="en-US"/>
        </w:rPr>
      </w:pPr>
      <w:r>
        <w:rPr>
          <w:rFonts w:ascii="Gilroy" w:hAnsi="Gilroy"/>
          <w:lang w:val="en-US"/>
        </w:rPr>
        <w:t>Our input focus</w:t>
      </w:r>
      <w:r w:rsidR="006902FB" w:rsidRPr="00775F99">
        <w:rPr>
          <w:rFonts w:ascii="Gilroy" w:hAnsi="Gilroy"/>
          <w:lang w:val="en-US"/>
        </w:rPr>
        <w:t xml:space="preserve"> on the </w:t>
      </w:r>
      <w:r w:rsidR="006902FB" w:rsidRPr="00775F99">
        <w:rPr>
          <w:rFonts w:ascii="Gilroy" w:hAnsi="Gilroy"/>
          <w:lang w:val="en-US"/>
        </w:rPr>
        <w:t xml:space="preserve">use of digital technologies in the context of border governance. </w:t>
      </w:r>
      <w:r w:rsidR="00B022FB">
        <w:rPr>
          <w:rFonts w:ascii="Gilroy" w:hAnsi="Gilroy"/>
          <w:lang w:val="en-US"/>
        </w:rPr>
        <w:t>This is an issue PI and our global partners have been exploring for many years with a particular focus on how these developments are impacting the rights of migrants.</w:t>
      </w:r>
      <w:r w:rsidR="00B022FB">
        <w:rPr>
          <w:rStyle w:val="FootnoteReference"/>
          <w:rFonts w:ascii="Gilroy" w:hAnsi="Gilroy"/>
          <w:lang w:val="en-US"/>
        </w:rPr>
        <w:footnoteReference w:id="2"/>
      </w:r>
    </w:p>
    <w:p w14:paraId="2D4220B6" w14:textId="156BFED1" w:rsidR="003F7B00" w:rsidRPr="003F7B00" w:rsidRDefault="006902FB" w:rsidP="00462C89">
      <w:pPr>
        <w:pStyle w:val="Default"/>
        <w:spacing w:after="20" w:line="276" w:lineRule="auto"/>
        <w:jc w:val="both"/>
        <w:rPr>
          <w:rFonts w:ascii="Gilroy" w:hAnsi="Gilroy"/>
        </w:rPr>
      </w:pPr>
      <w:r w:rsidRPr="00775F99">
        <w:rPr>
          <w:rFonts w:ascii="Gilroy" w:hAnsi="Gilroy"/>
        </w:rPr>
        <w:t xml:space="preserve">In </w:t>
      </w:r>
      <w:r w:rsidR="00EC2938">
        <w:rPr>
          <w:rFonts w:ascii="Gilroy" w:hAnsi="Gilroy"/>
        </w:rPr>
        <w:t>particular, the</w:t>
      </w:r>
      <w:r w:rsidRPr="00775F99">
        <w:rPr>
          <w:rFonts w:ascii="Gilroy" w:hAnsi="Gilroy"/>
        </w:rPr>
        <w:t xml:space="preserve"> </w:t>
      </w:r>
      <w:r w:rsidR="00B92192">
        <w:rPr>
          <w:rFonts w:ascii="Gilroy" w:hAnsi="Gilroy"/>
        </w:rPr>
        <w:t>submission focuses</w:t>
      </w:r>
      <w:r w:rsidR="00EC2938">
        <w:rPr>
          <w:rFonts w:ascii="Gilroy" w:hAnsi="Gilroy"/>
        </w:rPr>
        <w:t>:</w:t>
      </w:r>
      <w:r w:rsidR="00462C89">
        <w:rPr>
          <w:rFonts w:ascii="Gilroy" w:hAnsi="Gilroy"/>
        </w:rPr>
        <w:t xml:space="preserve"> f</w:t>
      </w:r>
      <w:r w:rsidR="003F7B00">
        <w:rPr>
          <w:rFonts w:ascii="Gilroy" w:hAnsi="Gilroy"/>
        </w:rPr>
        <w:t>irst, on t</w:t>
      </w:r>
      <w:r w:rsidRPr="00775F99">
        <w:rPr>
          <w:rFonts w:ascii="Gilroy" w:hAnsi="Gilroy"/>
        </w:rPr>
        <w:t>he ways in which states are adopting data</w:t>
      </w:r>
      <w:r w:rsidR="00E867C1">
        <w:rPr>
          <w:rFonts w:ascii="Gilroy" w:hAnsi="Gilroy"/>
        </w:rPr>
        <w:t>-</w:t>
      </w:r>
      <w:r w:rsidRPr="00775F99">
        <w:rPr>
          <w:rFonts w:ascii="Gilroy" w:hAnsi="Gilroy"/>
        </w:rPr>
        <w:t>intensive ID systems</w:t>
      </w:r>
      <w:r w:rsidR="00462C89">
        <w:rPr>
          <w:rFonts w:ascii="Gilroy" w:hAnsi="Gilroy"/>
        </w:rPr>
        <w:t>; s</w:t>
      </w:r>
      <w:r w:rsidR="003F7B00">
        <w:rPr>
          <w:rFonts w:ascii="Gilroy" w:hAnsi="Gilroy"/>
        </w:rPr>
        <w:t>econd, on t</w:t>
      </w:r>
      <w:r w:rsidR="003F7B00" w:rsidRPr="00775F99">
        <w:rPr>
          <w:rFonts w:ascii="Gilroy" w:hAnsi="Gilroy"/>
        </w:rPr>
        <w:t xml:space="preserve">he adoption by national immigration enforcement </w:t>
      </w:r>
      <w:r w:rsidR="003F7B00">
        <w:rPr>
          <w:rFonts w:ascii="Gilroy" w:hAnsi="Gilroy"/>
        </w:rPr>
        <w:t>agencies</w:t>
      </w:r>
      <w:r w:rsidR="003F7B00" w:rsidRPr="00775F99">
        <w:rPr>
          <w:rFonts w:ascii="Gilroy" w:hAnsi="Gilroy"/>
        </w:rPr>
        <w:t xml:space="preserve"> of </w:t>
      </w:r>
      <w:r w:rsidR="003F7B00">
        <w:rPr>
          <w:rFonts w:ascii="Gilroy" w:hAnsi="Gilroy"/>
        </w:rPr>
        <w:t xml:space="preserve">other </w:t>
      </w:r>
      <w:r w:rsidR="003F7B00" w:rsidRPr="00775F99">
        <w:rPr>
          <w:rFonts w:ascii="Gilroy" w:hAnsi="Gilroy"/>
        </w:rPr>
        <w:t>privacy-intrusive modes of surveillance</w:t>
      </w:r>
      <w:r w:rsidR="003F7B00">
        <w:rPr>
          <w:rFonts w:ascii="Gilroy" w:hAnsi="Gilroy"/>
        </w:rPr>
        <w:t xml:space="preserve"> and control</w:t>
      </w:r>
      <w:r w:rsidR="003F7B00" w:rsidRPr="00775F99">
        <w:rPr>
          <w:rFonts w:ascii="Gilroy" w:hAnsi="Gilroy"/>
        </w:rPr>
        <w:t>, including tracking by way of 24/7 Global Positioning System (GPS) technology</w:t>
      </w:r>
      <w:r w:rsidR="003F7B00">
        <w:rPr>
          <w:rFonts w:ascii="Gilroy" w:hAnsi="Gilroy"/>
        </w:rPr>
        <w:t xml:space="preserve"> and mobile device data extraction</w:t>
      </w:r>
      <w:r w:rsidR="003F7B00" w:rsidRPr="00775F99">
        <w:rPr>
          <w:rFonts w:ascii="Gilroy" w:hAnsi="Gilroy"/>
        </w:rPr>
        <w:t>;</w:t>
      </w:r>
      <w:r w:rsidR="00462C89">
        <w:rPr>
          <w:rFonts w:ascii="Gilroy" w:hAnsi="Gilroy"/>
        </w:rPr>
        <w:t xml:space="preserve"> t</w:t>
      </w:r>
      <w:r w:rsidR="003F7B00">
        <w:rPr>
          <w:rFonts w:ascii="Gilroy" w:hAnsi="Gilroy"/>
        </w:rPr>
        <w:t xml:space="preserve">hird, </w:t>
      </w:r>
      <w:r w:rsidR="00462C89">
        <w:rPr>
          <w:rFonts w:ascii="Gilroy" w:hAnsi="Gilroy"/>
        </w:rPr>
        <w:t xml:space="preserve">on </w:t>
      </w:r>
      <w:r w:rsidR="003F7B00">
        <w:rPr>
          <w:rFonts w:ascii="Gilroy" w:hAnsi="Gilroy"/>
        </w:rPr>
        <w:t>h</w:t>
      </w:r>
      <w:r w:rsidR="003F7B00" w:rsidRPr="00775F99">
        <w:rPr>
          <w:rFonts w:ascii="Gilroy" w:hAnsi="Gilroy"/>
        </w:rPr>
        <w:t>ow</w:t>
      </w:r>
      <w:r w:rsidR="003F7B00">
        <w:rPr>
          <w:rFonts w:ascii="Gilroy" w:hAnsi="Gilroy"/>
        </w:rPr>
        <w:t xml:space="preserve"> the intensification of</w:t>
      </w:r>
      <w:r w:rsidR="003F7B00" w:rsidRPr="00775F99">
        <w:rPr>
          <w:rFonts w:ascii="Gilroy" w:hAnsi="Gilroy"/>
        </w:rPr>
        <w:t xml:space="preserve"> border surveillance technolog</w:t>
      </w:r>
      <w:r w:rsidR="003F7B00">
        <w:rPr>
          <w:rFonts w:ascii="Gilroy" w:hAnsi="Gilroy"/>
        </w:rPr>
        <w:t>ies facilitate further</w:t>
      </w:r>
      <w:r w:rsidR="003F7B00" w:rsidRPr="00775F99">
        <w:rPr>
          <w:rFonts w:ascii="Gilroy" w:hAnsi="Gilroy"/>
        </w:rPr>
        <w:t xml:space="preserve"> human rights violations;</w:t>
      </w:r>
      <w:r w:rsidR="00462C89">
        <w:rPr>
          <w:rFonts w:ascii="Gilroy" w:hAnsi="Gilroy"/>
        </w:rPr>
        <w:t xml:space="preserve"> f</w:t>
      </w:r>
      <w:r w:rsidR="003F7B00">
        <w:rPr>
          <w:rFonts w:ascii="Gilroy" w:hAnsi="Gilroy"/>
        </w:rPr>
        <w:t xml:space="preserve">ourth, </w:t>
      </w:r>
      <w:r w:rsidR="00462C89">
        <w:rPr>
          <w:rFonts w:ascii="Gilroy" w:hAnsi="Gilroy"/>
        </w:rPr>
        <w:t>on the impact of border externalisation and transfer of surveillance capabilities to other countries;</w:t>
      </w:r>
      <w:r w:rsidRPr="00F46491">
        <w:rPr>
          <w:rFonts w:ascii="Gilroy" w:hAnsi="Gilroy"/>
        </w:rPr>
        <w:t xml:space="preserve"> </w:t>
      </w:r>
      <w:r w:rsidR="00462C89">
        <w:rPr>
          <w:rFonts w:ascii="Gilroy" w:hAnsi="Gilroy"/>
        </w:rPr>
        <w:t>f</w:t>
      </w:r>
      <w:r w:rsidR="003F7B00">
        <w:rPr>
          <w:rFonts w:ascii="Gilroy" w:hAnsi="Gilroy"/>
        </w:rPr>
        <w:t xml:space="preserve">ifth, </w:t>
      </w:r>
      <w:r w:rsidR="00462C89">
        <w:rPr>
          <w:rFonts w:ascii="Gilroy" w:hAnsi="Gilroy"/>
        </w:rPr>
        <w:t>on access to existing databases for other purposes and mission creep</w:t>
      </w:r>
      <w:r w:rsidR="003F7B00">
        <w:rPr>
          <w:rFonts w:ascii="Gilroy" w:hAnsi="Gilroy"/>
        </w:rPr>
        <w:t>;</w:t>
      </w:r>
      <w:r w:rsidR="00462C89">
        <w:rPr>
          <w:rFonts w:ascii="Gilroy" w:hAnsi="Gilroy"/>
        </w:rPr>
        <w:t xml:space="preserve"> and f</w:t>
      </w:r>
      <w:r w:rsidR="003F7B00">
        <w:rPr>
          <w:rFonts w:ascii="Gilroy" w:hAnsi="Gilroy"/>
        </w:rPr>
        <w:t>inally, on the increasing dependency on private companies to perform migration and border management duties.</w:t>
      </w:r>
    </w:p>
    <w:p w14:paraId="019412E3" w14:textId="77777777" w:rsidR="00F46491" w:rsidRDefault="00F46491" w:rsidP="00F46491">
      <w:pPr>
        <w:pStyle w:val="Default"/>
        <w:spacing w:after="20" w:line="276" w:lineRule="auto"/>
        <w:jc w:val="both"/>
        <w:rPr>
          <w:rFonts w:ascii="Gilroy" w:hAnsi="Gilroy"/>
        </w:rPr>
      </w:pPr>
    </w:p>
    <w:p w14:paraId="2A8F38C5" w14:textId="7B1CF652" w:rsidR="006902FB" w:rsidRDefault="006902FB" w:rsidP="00F46491">
      <w:pPr>
        <w:pStyle w:val="Default"/>
        <w:spacing w:after="20" w:line="276" w:lineRule="auto"/>
        <w:jc w:val="both"/>
        <w:rPr>
          <w:rFonts w:ascii="Gilroy" w:hAnsi="Gilroy"/>
        </w:rPr>
      </w:pPr>
      <w:r w:rsidRPr="00775F99">
        <w:rPr>
          <w:rFonts w:ascii="Gilroy" w:hAnsi="Gilroy"/>
        </w:rPr>
        <w:t>We recommend that the upcoming Report</w:t>
      </w:r>
      <w:r w:rsidR="00B022FB">
        <w:rPr>
          <w:rFonts w:ascii="Gilroy" w:hAnsi="Gilroy"/>
        </w:rPr>
        <w:t xml:space="preserve"> of the Secretary General on the rights of migrants</w:t>
      </w:r>
      <w:r w:rsidRPr="00775F99">
        <w:rPr>
          <w:rFonts w:ascii="Gilroy" w:hAnsi="Gilroy"/>
        </w:rPr>
        <w:t xml:space="preserve">: </w:t>
      </w:r>
    </w:p>
    <w:p w14:paraId="7519FD6C" w14:textId="77777777" w:rsidR="00F46491" w:rsidRPr="00775F99" w:rsidRDefault="00F46491" w:rsidP="00F46491">
      <w:pPr>
        <w:pStyle w:val="Default"/>
        <w:spacing w:after="20" w:line="276" w:lineRule="auto"/>
        <w:jc w:val="both"/>
        <w:rPr>
          <w:rFonts w:ascii="Gilroy" w:hAnsi="Gilroy"/>
        </w:rPr>
      </w:pPr>
    </w:p>
    <w:p w14:paraId="050BFEB6" w14:textId="5FD3D637" w:rsidR="00E04765" w:rsidRPr="005E3821" w:rsidRDefault="006902FB" w:rsidP="00462C89">
      <w:pPr>
        <w:pStyle w:val="Default"/>
        <w:numPr>
          <w:ilvl w:val="0"/>
          <w:numId w:val="12"/>
        </w:numPr>
        <w:spacing w:after="20" w:line="276" w:lineRule="auto"/>
        <w:jc w:val="both"/>
        <w:rPr>
          <w:rFonts w:ascii="Gilroy" w:hAnsi="Gilroy"/>
        </w:rPr>
      </w:pPr>
      <w:r w:rsidRPr="005E3821">
        <w:rPr>
          <w:rFonts w:ascii="Gilroy" w:hAnsi="Gilroy"/>
        </w:rPr>
        <w:t>Examines</w:t>
      </w:r>
      <w:r w:rsidR="00E00315">
        <w:rPr>
          <w:rFonts w:ascii="Gilroy" w:hAnsi="Gilroy"/>
        </w:rPr>
        <w:t xml:space="preserve"> the use of</w:t>
      </w:r>
      <w:r w:rsidRPr="005E3821">
        <w:rPr>
          <w:rFonts w:ascii="Gilroy" w:hAnsi="Gilroy"/>
        </w:rPr>
        <w:t xml:space="preserve"> </w:t>
      </w:r>
      <w:r w:rsidR="004C6AA4">
        <w:rPr>
          <w:rFonts w:ascii="Gilroy" w:hAnsi="Gilroy"/>
        </w:rPr>
        <w:t>new and emerging</w:t>
      </w:r>
      <w:r w:rsidRPr="005E3821">
        <w:rPr>
          <w:rFonts w:ascii="Gilroy" w:hAnsi="Gilroy"/>
        </w:rPr>
        <w:t xml:space="preserve"> technologies at borders and </w:t>
      </w:r>
      <w:r w:rsidR="00E00315">
        <w:rPr>
          <w:rFonts w:ascii="Gilroy" w:hAnsi="Gilroy"/>
        </w:rPr>
        <w:t xml:space="preserve">assesses </w:t>
      </w:r>
      <w:r w:rsidRPr="005E3821">
        <w:rPr>
          <w:rFonts w:ascii="Gilroy" w:hAnsi="Gilroy"/>
        </w:rPr>
        <w:t>the</w:t>
      </w:r>
      <w:r w:rsidR="00E00315">
        <w:rPr>
          <w:rFonts w:ascii="Gilroy" w:hAnsi="Gilroy"/>
        </w:rPr>
        <w:t>ir</w:t>
      </w:r>
      <w:r w:rsidRPr="005E3821">
        <w:rPr>
          <w:rFonts w:ascii="Gilroy" w:hAnsi="Gilroy"/>
        </w:rPr>
        <w:t xml:space="preserve"> implications for the human rights of </w:t>
      </w:r>
      <w:proofErr w:type="gramStart"/>
      <w:r w:rsidRPr="005E3821">
        <w:rPr>
          <w:rFonts w:ascii="Gilroy" w:hAnsi="Gilroy"/>
        </w:rPr>
        <w:t>migrants</w:t>
      </w:r>
      <w:r w:rsidR="00E04765" w:rsidRPr="005E3821">
        <w:rPr>
          <w:rFonts w:ascii="Gilroy" w:hAnsi="Gilroy"/>
        </w:rPr>
        <w:t>;</w:t>
      </w:r>
      <w:proofErr w:type="gramEnd"/>
    </w:p>
    <w:p w14:paraId="34A8B640" w14:textId="614C56A8" w:rsidR="00B92192" w:rsidRPr="005E3821" w:rsidRDefault="00E04765" w:rsidP="00462C89">
      <w:pPr>
        <w:pStyle w:val="Default"/>
        <w:numPr>
          <w:ilvl w:val="0"/>
          <w:numId w:val="12"/>
        </w:numPr>
        <w:spacing w:after="20" w:line="276" w:lineRule="auto"/>
        <w:jc w:val="both"/>
        <w:rPr>
          <w:rFonts w:ascii="Gilroy" w:hAnsi="Gilroy"/>
        </w:rPr>
      </w:pPr>
      <w:r w:rsidRPr="005E3821">
        <w:rPr>
          <w:rFonts w:ascii="Gilroy" w:hAnsi="Gilroy"/>
        </w:rPr>
        <w:t>Adopts a wide approach to the understanding of borders</w:t>
      </w:r>
      <w:r w:rsidR="00E00315">
        <w:rPr>
          <w:rFonts w:ascii="Gilroy" w:hAnsi="Gilroy"/>
        </w:rPr>
        <w:t>,</w:t>
      </w:r>
      <w:r w:rsidRPr="005E3821">
        <w:rPr>
          <w:rFonts w:ascii="Gilroy" w:hAnsi="Gilroy"/>
        </w:rPr>
        <w:t xml:space="preserve"> </w:t>
      </w:r>
      <w:r w:rsidR="00E00315">
        <w:rPr>
          <w:rFonts w:ascii="Gilroy" w:hAnsi="Gilroy"/>
        </w:rPr>
        <w:t>taking</w:t>
      </w:r>
      <w:r w:rsidRPr="005E3821">
        <w:rPr>
          <w:rFonts w:ascii="Gilroy" w:hAnsi="Gilroy"/>
        </w:rPr>
        <w:t xml:space="preserve"> into account</w:t>
      </w:r>
      <w:r w:rsidR="00E00315">
        <w:rPr>
          <w:rFonts w:ascii="Gilroy" w:hAnsi="Gilroy"/>
        </w:rPr>
        <w:t xml:space="preserve"> considerations about </w:t>
      </w:r>
      <w:r w:rsidRPr="005E3821">
        <w:rPr>
          <w:rFonts w:ascii="Gilroy" w:hAnsi="Gilroy"/>
        </w:rPr>
        <w:t xml:space="preserve">border externalisation and border </w:t>
      </w:r>
      <w:proofErr w:type="gramStart"/>
      <w:r w:rsidRPr="005E3821">
        <w:rPr>
          <w:rFonts w:ascii="Gilroy" w:hAnsi="Gilroy"/>
        </w:rPr>
        <w:t>digitalisation;</w:t>
      </w:r>
      <w:proofErr w:type="gramEnd"/>
    </w:p>
    <w:p w14:paraId="587E41BD" w14:textId="45FBA5D0" w:rsidR="00F46491" w:rsidRPr="005E3821" w:rsidRDefault="00E00315" w:rsidP="00462C89">
      <w:pPr>
        <w:pStyle w:val="Default"/>
        <w:numPr>
          <w:ilvl w:val="0"/>
          <w:numId w:val="12"/>
        </w:numPr>
        <w:spacing w:after="20" w:line="276" w:lineRule="auto"/>
        <w:jc w:val="both"/>
        <w:rPr>
          <w:rFonts w:ascii="Gilroy" w:hAnsi="Gilroy"/>
        </w:rPr>
      </w:pPr>
      <w:r w:rsidRPr="00E00315">
        <w:rPr>
          <w:rFonts w:ascii="Gilroy" w:hAnsi="Gilroy"/>
        </w:rPr>
        <w:t xml:space="preserve">Urges states to ensure that the deployment of digital technologies to manage migration occurs strictly in accordance with human rights standards, including the rights to privacy and data protection of </w:t>
      </w:r>
      <w:proofErr w:type="gramStart"/>
      <w:r w:rsidRPr="00E00315">
        <w:rPr>
          <w:rFonts w:ascii="Gilroy" w:hAnsi="Gilroy"/>
        </w:rPr>
        <w:t>migrants</w:t>
      </w:r>
      <w:r w:rsidR="00B92192" w:rsidRPr="005E3821">
        <w:rPr>
          <w:rFonts w:ascii="Gilroy" w:hAnsi="Gilroy"/>
        </w:rPr>
        <w:t>;</w:t>
      </w:r>
      <w:proofErr w:type="gramEnd"/>
    </w:p>
    <w:p w14:paraId="32AADF5A" w14:textId="340114C8" w:rsidR="006902FB" w:rsidRPr="005E3821" w:rsidRDefault="005E3821" w:rsidP="00462C89">
      <w:pPr>
        <w:pStyle w:val="Default"/>
        <w:numPr>
          <w:ilvl w:val="0"/>
          <w:numId w:val="12"/>
        </w:numPr>
        <w:spacing w:after="20" w:line="276" w:lineRule="auto"/>
        <w:jc w:val="both"/>
        <w:rPr>
          <w:rFonts w:ascii="Gilroy" w:hAnsi="Gilroy"/>
        </w:rPr>
      </w:pPr>
      <w:r w:rsidRPr="005E3821">
        <w:rPr>
          <w:rFonts w:ascii="Gilroy" w:hAnsi="Gilroy"/>
        </w:rPr>
        <w:t xml:space="preserve">Recommends </w:t>
      </w:r>
      <w:r w:rsidR="006902FB" w:rsidRPr="005E3821">
        <w:rPr>
          <w:rFonts w:ascii="Gilroy" w:hAnsi="Gilroy"/>
        </w:rPr>
        <w:t xml:space="preserve">on states to ensure that their use of digital technologies in border enforcement and administration </w:t>
      </w:r>
      <w:r w:rsidR="00E00315">
        <w:rPr>
          <w:rFonts w:ascii="Gilroy" w:hAnsi="Gilroy"/>
        </w:rPr>
        <w:t xml:space="preserve">does </w:t>
      </w:r>
      <w:r w:rsidR="006902FB" w:rsidRPr="005E3821">
        <w:rPr>
          <w:rFonts w:ascii="Gilroy" w:hAnsi="Gilroy"/>
        </w:rPr>
        <w:t>not</w:t>
      </w:r>
      <w:r w:rsidR="00463A29">
        <w:rPr>
          <w:rFonts w:ascii="Gilroy" w:hAnsi="Gilroy"/>
        </w:rPr>
        <w:t xml:space="preserve"> results in</w:t>
      </w:r>
      <w:r w:rsidR="006902FB" w:rsidRPr="005E3821">
        <w:rPr>
          <w:rFonts w:ascii="Gilroy" w:hAnsi="Gilroy"/>
        </w:rPr>
        <w:t xml:space="preserve"> </w:t>
      </w:r>
      <w:r w:rsidR="006902FB" w:rsidRPr="005E3821">
        <w:rPr>
          <w:rFonts w:ascii="Gilroy" w:hAnsi="Gilroy"/>
        </w:rPr>
        <w:t>exclusionary and discriminatory impacts</w:t>
      </w:r>
      <w:r w:rsidR="003F7B00" w:rsidRPr="005E3821">
        <w:rPr>
          <w:rFonts w:ascii="Gilroy" w:hAnsi="Gilroy"/>
        </w:rPr>
        <w:t xml:space="preserve"> on </w:t>
      </w:r>
      <w:proofErr w:type="gramStart"/>
      <w:r w:rsidR="003F7B00" w:rsidRPr="005E3821">
        <w:rPr>
          <w:rFonts w:ascii="Gilroy" w:hAnsi="Gilroy"/>
        </w:rPr>
        <w:t>migrants</w:t>
      </w:r>
      <w:r w:rsidR="00B92192" w:rsidRPr="005E3821">
        <w:rPr>
          <w:rFonts w:ascii="Gilroy" w:hAnsi="Gilroy"/>
        </w:rPr>
        <w:t>;</w:t>
      </w:r>
      <w:proofErr w:type="gramEnd"/>
    </w:p>
    <w:p w14:paraId="319E1134" w14:textId="53C3CD9E" w:rsidR="00854D41" w:rsidRPr="005E3821" w:rsidRDefault="00E04765" w:rsidP="00462C89">
      <w:pPr>
        <w:pStyle w:val="Default"/>
        <w:numPr>
          <w:ilvl w:val="0"/>
          <w:numId w:val="12"/>
        </w:numPr>
        <w:spacing w:after="20" w:line="276" w:lineRule="auto"/>
        <w:jc w:val="both"/>
        <w:rPr>
          <w:rFonts w:ascii="Gilroy" w:hAnsi="Gilroy"/>
        </w:rPr>
      </w:pPr>
      <w:r w:rsidRPr="005E3821">
        <w:rPr>
          <w:rFonts w:ascii="Gilroy" w:hAnsi="Gilroy"/>
        </w:rPr>
        <w:t xml:space="preserve">Urges states to </w:t>
      </w:r>
      <w:r w:rsidR="0022762D">
        <w:rPr>
          <w:rFonts w:ascii="Gilroy" w:hAnsi="Gilroy"/>
        </w:rPr>
        <w:t>cease</w:t>
      </w:r>
      <w:r w:rsidRPr="005E3821">
        <w:rPr>
          <w:rFonts w:ascii="Gilroy" w:hAnsi="Gilroy"/>
        </w:rPr>
        <w:t xml:space="preserve"> using intrusive surveillance technologies, such as GPS tags and mobile phone extraction, in violation of the principles of legality, necessity and proportionality against </w:t>
      </w:r>
      <w:proofErr w:type="gramStart"/>
      <w:r w:rsidRPr="005E3821">
        <w:rPr>
          <w:rFonts w:ascii="Gilroy" w:hAnsi="Gilroy"/>
        </w:rPr>
        <w:t>migrants;</w:t>
      </w:r>
      <w:proofErr w:type="gramEnd"/>
    </w:p>
    <w:p w14:paraId="634DA8C8" w14:textId="38662849" w:rsidR="00F46491" w:rsidRPr="005E3821" w:rsidRDefault="0022762D" w:rsidP="00462C89">
      <w:pPr>
        <w:pStyle w:val="Default"/>
        <w:numPr>
          <w:ilvl w:val="0"/>
          <w:numId w:val="12"/>
        </w:numPr>
        <w:spacing w:after="20" w:line="276" w:lineRule="auto"/>
        <w:jc w:val="both"/>
        <w:rPr>
          <w:rFonts w:ascii="Gilroy" w:hAnsi="Gilroy"/>
        </w:rPr>
      </w:pPr>
      <w:r w:rsidRPr="0022762D">
        <w:rPr>
          <w:rFonts w:ascii="Gilroy" w:hAnsi="Gilroy"/>
        </w:rPr>
        <w:t xml:space="preserve">Urges states to systematically conduct human rights due diligence, including regular comprehensive human rights impact assessments, when designing, developing, purchasing, deploying, and operating existing and emerging technologies for migration and border control </w:t>
      </w:r>
      <w:proofErr w:type="gramStart"/>
      <w:r w:rsidRPr="0022762D">
        <w:rPr>
          <w:rFonts w:ascii="Gilroy" w:hAnsi="Gilroy"/>
        </w:rPr>
        <w:t>purposes</w:t>
      </w:r>
      <w:r w:rsidR="00854D41" w:rsidRPr="005E3821">
        <w:rPr>
          <w:rFonts w:ascii="Gilroy" w:hAnsi="Gilroy"/>
        </w:rPr>
        <w:t>;</w:t>
      </w:r>
      <w:proofErr w:type="gramEnd"/>
    </w:p>
    <w:p w14:paraId="48B56C94" w14:textId="113BD048" w:rsidR="005E3821" w:rsidRPr="005E3821" w:rsidRDefault="005E3821" w:rsidP="00462C89">
      <w:pPr>
        <w:pStyle w:val="Default"/>
        <w:numPr>
          <w:ilvl w:val="0"/>
          <w:numId w:val="12"/>
        </w:numPr>
        <w:spacing w:after="20" w:line="276" w:lineRule="auto"/>
        <w:jc w:val="both"/>
        <w:rPr>
          <w:rFonts w:ascii="Gilroy" w:hAnsi="Gilroy"/>
        </w:rPr>
      </w:pPr>
      <w:r w:rsidRPr="005E3821">
        <w:rPr>
          <w:rFonts w:ascii="Gilroy" w:hAnsi="Gilroy"/>
        </w:rPr>
        <w:t xml:space="preserve">Calls on states to ensure that all projects financing border externalisation are carried out in accordance with international human rights standards, and that human rights impact assessments are conducted prior to the approval of any </w:t>
      </w:r>
      <w:proofErr w:type="gramStart"/>
      <w:r w:rsidRPr="005E3821">
        <w:rPr>
          <w:rFonts w:ascii="Gilroy" w:hAnsi="Gilroy"/>
        </w:rPr>
        <w:t>project;</w:t>
      </w:r>
      <w:proofErr w:type="gramEnd"/>
    </w:p>
    <w:p w14:paraId="66E56B96" w14:textId="2AD2E651" w:rsidR="005E3821" w:rsidRPr="005E3821" w:rsidRDefault="00905775" w:rsidP="00462C89">
      <w:pPr>
        <w:pStyle w:val="Default"/>
        <w:numPr>
          <w:ilvl w:val="0"/>
          <w:numId w:val="12"/>
        </w:numPr>
        <w:spacing w:after="20" w:line="276" w:lineRule="auto"/>
        <w:jc w:val="both"/>
        <w:rPr>
          <w:rFonts w:ascii="Gilroy" w:hAnsi="Gilroy"/>
        </w:rPr>
      </w:pPr>
      <w:r w:rsidRPr="005E3821">
        <w:rPr>
          <w:rFonts w:ascii="Gilroy" w:hAnsi="Gilroy"/>
        </w:rPr>
        <w:t xml:space="preserve">Recalls the responsibility of all business enterprises to respect human rights, and states’ duty to protect human rights even when outsourcing surveillance and </w:t>
      </w:r>
      <w:r w:rsidR="003F7B00" w:rsidRPr="005E3821">
        <w:rPr>
          <w:rFonts w:ascii="Gilroy" w:hAnsi="Gilroy"/>
        </w:rPr>
        <w:t xml:space="preserve">border </w:t>
      </w:r>
      <w:r w:rsidRPr="005E3821">
        <w:rPr>
          <w:rFonts w:ascii="Gilroy" w:hAnsi="Gilroy"/>
        </w:rPr>
        <w:t xml:space="preserve">control functions to the private </w:t>
      </w:r>
      <w:proofErr w:type="gramStart"/>
      <w:r w:rsidRPr="005E3821">
        <w:rPr>
          <w:rFonts w:ascii="Gilroy" w:hAnsi="Gilroy"/>
        </w:rPr>
        <w:t>sector</w:t>
      </w:r>
      <w:r w:rsidR="00B92192" w:rsidRPr="005E3821">
        <w:rPr>
          <w:rFonts w:ascii="Gilroy" w:hAnsi="Gilroy"/>
        </w:rPr>
        <w:t>;</w:t>
      </w:r>
      <w:proofErr w:type="gramEnd"/>
    </w:p>
    <w:p w14:paraId="13C21056" w14:textId="6011BB0F" w:rsidR="00F46491" w:rsidRPr="00462C89" w:rsidRDefault="005E3821" w:rsidP="00462C89">
      <w:pPr>
        <w:pStyle w:val="Default"/>
        <w:numPr>
          <w:ilvl w:val="0"/>
          <w:numId w:val="12"/>
        </w:numPr>
        <w:spacing w:after="20" w:line="276" w:lineRule="auto"/>
        <w:jc w:val="both"/>
        <w:rPr>
          <w:rFonts w:ascii="Gilroy" w:hAnsi="Gilroy"/>
        </w:rPr>
      </w:pPr>
      <w:r w:rsidRPr="005E3821">
        <w:rPr>
          <w:rFonts w:ascii="Gilroy" w:hAnsi="Gilroy"/>
        </w:rPr>
        <w:t>Requires that a</w:t>
      </w:r>
      <w:r w:rsidR="00C64C9E">
        <w:rPr>
          <w:rFonts w:ascii="Gilroy" w:hAnsi="Gilroy"/>
        </w:rPr>
        <w:t xml:space="preserve"> </w:t>
      </w:r>
      <w:r w:rsidRPr="005E3821">
        <w:rPr>
          <w:rFonts w:ascii="Gilroy" w:hAnsi="Gilroy"/>
        </w:rPr>
        <w:t xml:space="preserve">public private partnership collaboration is carried out in accordance with international human rights standards, including the United Nations Guiding Principles on Business and Human </w:t>
      </w:r>
      <w:proofErr w:type="gramStart"/>
      <w:r w:rsidRPr="005E3821">
        <w:rPr>
          <w:rFonts w:ascii="Gilroy" w:hAnsi="Gilroy"/>
        </w:rPr>
        <w:t>Rights;</w:t>
      </w:r>
      <w:proofErr w:type="gramEnd"/>
    </w:p>
    <w:p w14:paraId="4ADB315E" w14:textId="173B513B" w:rsidR="00F46491" w:rsidRPr="005E3821" w:rsidRDefault="007A59AA" w:rsidP="00462C89">
      <w:pPr>
        <w:pStyle w:val="Default"/>
        <w:numPr>
          <w:ilvl w:val="0"/>
          <w:numId w:val="12"/>
        </w:numPr>
        <w:spacing w:after="20" w:line="276" w:lineRule="auto"/>
        <w:jc w:val="both"/>
        <w:rPr>
          <w:rFonts w:ascii="Gilroy" w:hAnsi="Gilroy"/>
        </w:rPr>
      </w:pPr>
      <w:r w:rsidRPr="005E3821">
        <w:rPr>
          <w:rFonts w:ascii="Gilroy" w:hAnsi="Gilroy"/>
        </w:rPr>
        <w:t>Calls on states to separate</w:t>
      </w:r>
      <w:r w:rsidR="006902FB" w:rsidRPr="005E3821">
        <w:rPr>
          <w:rFonts w:ascii="Gilroy" w:hAnsi="Gilroy"/>
        </w:rPr>
        <w:t xml:space="preserve"> national immigration enforcement and administration from the delivery of essential services </w:t>
      </w:r>
      <w:r w:rsidRPr="005E3821">
        <w:rPr>
          <w:rFonts w:ascii="Gilroy" w:hAnsi="Gilroy"/>
        </w:rPr>
        <w:t>to</w:t>
      </w:r>
      <w:r w:rsidR="006902FB" w:rsidRPr="005E3821">
        <w:rPr>
          <w:rFonts w:ascii="Gilroy" w:hAnsi="Gilroy"/>
        </w:rPr>
        <w:t xml:space="preserve"> enable a truly migrant-inclusive</w:t>
      </w:r>
      <w:r w:rsidR="00463A29">
        <w:rPr>
          <w:rFonts w:ascii="Gilroy" w:hAnsi="Gilroy"/>
        </w:rPr>
        <w:t>, non</w:t>
      </w:r>
      <w:r w:rsidR="004C6AA4">
        <w:rPr>
          <w:rFonts w:ascii="Gilroy" w:hAnsi="Gilroy"/>
        </w:rPr>
        <w:t>-discriminatory</w:t>
      </w:r>
      <w:r w:rsidR="006902FB" w:rsidRPr="005E3821">
        <w:rPr>
          <w:rFonts w:ascii="Gilroy" w:hAnsi="Gilroy"/>
        </w:rPr>
        <w:t xml:space="preserve"> social protection system.</w:t>
      </w:r>
    </w:p>
    <w:p w14:paraId="18F23348" w14:textId="4A1CB867" w:rsidR="00F46491" w:rsidRPr="00F46491" w:rsidRDefault="006902FB" w:rsidP="00F46491">
      <w:pPr>
        <w:pStyle w:val="Default"/>
        <w:spacing w:after="20" w:line="276" w:lineRule="auto"/>
        <w:jc w:val="both"/>
        <w:rPr>
          <w:rFonts w:ascii="Gilroy" w:hAnsi="Gilroy"/>
        </w:rPr>
      </w:pPr>
      <w:r w:rsidRPr="00775F99">
        <w:rPr>
          <w:rFonts w:ascii="Gilroy" w:hAnsi="Gilroy"/>
        </w:rPr>
        <w:t xml:space="preserve"> </w:t>
      </w:r>
    </w:p>
    <w:p w14:paraId="6AA62372" w14:textId="6F92563F" w:rsidR="006902FB" w:rsidRPr="00775F99" w:rsidRDefault="006902FB" w:rsidP="00462C89">
      <w:pPr>
        <w:pStyle w:val="Default"/>
        <w:numPr>
          <w:ilvl w:val="0"/>
          <w:numId w:val="13"/>
        </w:numPr>
        <w:spacing w:afterLines="142" w:after="340" w:line="276" w:lineRule="auto"/>
        <w:jc w:val="both"/>
        <w:rPr>
          <w:rFonts w:ascii="Gilroy" w:hAnsi="Gilroy"/>
          <w:b/>
          <w:bCs/>
        </w:rPr>
      </w:pPr>
      <w:r w:rsidRPr="00775F99">
        <w:rPr>
          <w:rFonts w:ascii="Gilroy" w:hAnsi="Gilroy"/>
          <w:b/>
          <w:bCs/>
        </w:rPr>
        <w:t xml:space="preserve">Data intensive </w:t>
      </w:r>
      <w:r w:rsidR="00B43731">
        <w:rPr>
          <w:rFonts w:ascii="Gilroy" w:hAnsi="Gilroy"/>
          <w:b/>
          <w:bCs/>
        </w:rPr>
        <w:t>registration and identification</w:t>
      </w:r>
      <w:r w:rsidR="00B43731" w:rsidRPr="00775F99">
        <w:rPr>
          <w:rFonts w:ascii="Gilroy" w:hAnsi="Gilroy"/>
          <w:b/>
          <w:bCs/>
        </w:rPr>
        <w:t xml:space="preserve"> </w:t>
      </w:r>
      <w:r w:rsidRPr="00775F99">
        <w:rPr>
          <w:rFonts w:ascii="Gilroy" w:hAnsi="Gilroy"/>
          <w:b/>
          <w:bCs/>
        </w:rPr>
        <w:t xml:space="preserve">systems </w:t>
      </w:r>
      <w:r w:rsidR="00B92192">
        <w:rPr>
          <w:rFonts w:ascii="Gilroy" w:hAnsi="Gilroy"/>
          <w:b/>
          <w:bCs/>
        </w:rPr>
        <w:t>and their impact on migrants</w:t>
      </w:r>
    </w:p>
    <w:p w14:paraId="404C7E59" w14:textId="3CACA08A" w:rsidR="00136FC2" w:rsidRPr="00775F99" w:rsidRDefault="006902FB" w:rsidP="006902FB">
      <w:pPr>
        <w:pStyle w:val="Default"/>
        <w:spacing w:afterLines="142" w:after="340" w:line="276" w:lineRule="auto"/>
        <w:jc w:val="both"/>
        <w:rPr>
          <w:rFonts w:ascii="Gilroy" w:hAnsi="Gilroy"/>
        </w:rPr>
      </w:pPr>
      <w:r w:rsidRPr="00775F99">
        <w:rPr>
          <w:rFonts w:ascii="Gilroy" w:hAnsi="Gilroy"/>
        </w:rPr>
        <w:t>Governments around the world are using migrants as the testing ground for the mass deployment of novel technological innovations including the adoption of digital registration and identification systems, which</w:t>
      </w:r>
      <w:r w:rsidR="00B92192">
        <w:rPr>
          <w:rFonts w:ascii="Gilroy" w:hAnsi="Gilroy"/>
        </w:rPr>
        <w:t xml:space="preserve"> among others</w:t>
      </w:r>
      <w:r w:rsidRPr="00775F99">
        <w:rPr>
          <w:rFonts w:ascii="Gilroy" w:hAnsi="Gilroy"/>
        </w:rPr>
        <w:t xml:space="preserve"> record and store data relating to </w:t>
      </w:r>
      <w:r w:rsidR="00136FC2">
        <w:rPr>
          <w:rFonts w:ascii="Gilroy" w:hAnsi="Gilroy"/>
        </w:rPr>
        <w:t>people’s</w:t>
      </w:r>
      <w:r w:rsidR="00136FC2" w:rsidRPr="00775F99">
        <w:rPr>
          <w:rFonts w:ascii="Gilroy" w:hAnsi="Gilroy"/>
        </w:rPr>
        <w:t xml:space="preserve"> </w:t>
      </w:r>
      <w:r w:rsidRPr="00775F99">
        <w:rPr>
          <w:rFonts w:ascii="Gilroy" w:hAnsi="Gilroy"/>
        </w:rPr>
        <w:t xml:space="preserve">immigration status. They </w:t>
      </w:r>
      <w:r w:rsidR="00B43731">
        <w:rPr>
          <w:rFonts w:ascii="Gilroy" w:hAnsi="Gilroy"/>
        </w:rPr>
        <w:t>commonly</w:t>
      </w:r>
      <w:r w:rsidR="00B43731" w:rsidRPr="00775F99">
        <w:rPr>
          <w:rFonts w:ascii="Gilroy" w:hAnsi="Gilroy"/>
        </w:rPr>
        <w:t xml:space="preserve"> </w:t>
      </w:r>
      <w:r w:rsidRPr="00775F99">
        <w:rPr>
          <w:rFonts w:ascii="Gilroy" w:hAnsi="Gilroy"/>
        </w:rPr>
        <w:t xml:space="preserve">function by assigning </w:t>
      </w:r>
      <w:r w:rsidR="00136FC2">
        <w:rPr>
          <w:rFonts w:ascii="Gilroy" w:hAnsi="Gilroy"/>
        </w:rPr>
        <w:t xml:space="preserve">a card </w:t>
      </w:r>
      <w:r w:rsidR="00B43731">
        <w:rPr>
          <w:rFonts w:ascii="Gilroy" w:hAnsi="Gilroy"/>
        </w:rPr>
        <w:t>with a unique identifier</w:t>
      </w:r>
      <w:r w:rsidR="00136FC2">
        <w:rPr>
          <w:rFonts w:ascii="Gilroy" w:hAnsi="Gilroy"/>
        </w:rPr>
        <w:t xml:space="preserve"> to </w:t>
      </w:r>
      <w:r w:rsidRPr="00775F99">
        <w:rPr>
          <w:rFonts w:ascii="Gilroy" w:hAnsi="Gilroy"/>
        </w:rPr>
        <w:t xml:space="preserve">migrants </w:t>
      </w:r>
      <w:r w:rsidR="00136FC2">
        <w:rPr>
          <w:rFonts w:ascii="Gilroy" w:hAnsi="Gilroy"/>
        </w:rPr>
        <w:t>(</w:t>
      </w:r>
      <w:r w:rsidRPr="00775F99">
        <w:rPr>
          <w:rFonts w:ascii="Gilroy" w:hAnsi="Gilroy"/>
        </w:rPr>
        <w:t>often using biometric data</w:t>
      </w:r>
      <w:r w:rsidR="00136FC2">
        <w:rPr>
          <w:rFonts w:ascii="Gilroy" w:hAnsi="Gilroy"/>
        </w:rPr>
        <w:t>)</w:t>
      </w:r>
      <w:r w:rsidR="00B43731">
        <w:rPr>
          <w:rStyle w:val="FootnoteReference"/>
          <w:rFonts w:ascii="Gilroy" w:hAnsi="Gilroy"/>
        </w:rPr>
        <w:footnoteReference w:id="3"/>
      </w:r>
      <w:r w:rsidRPr="00775F99">
        <w:rPr>
          <w:rFonts w:ascii="Gilroy" w:hAnsi="Gilroy"/>
        </w:rPr>
        <w:t xml:space="preserve"> and requir</w:t>
      </w:r>
      <w:r w:rsidR="00136FC2">
        <w:rPr>
          <w:rFonts w:ascii="Gilroy" w:hAnsi="Gilroy"/>
        </w:rPr>
        <w:t>ing</w:t>
      </w:r>
      <w:r w:rsidRPr="00775F99">
        <w:rPr>
          <w:rFonts w:ascii="Gilroy" w:hAnsi="Gilroy"/>
        </w:rPr>
        <w:t xml:space="preserve"> identity authentication within the system </w:t>
      </w:r>
      <w:proofErr w:type="gramStart"/>
      <w:r w:rsidRPr="00775F99">
        <w:rPr>
          <w:rFonts w:ascii="Gilroy" w:hAnsi="Gilroy"/>
        </w:rPr>
        <w:t>in order to</w:t>
      </w:r>
      <w:proofErr w:type="gramEnd"/>
      <w:r w:rsidRPr="00775F99">
        <w:rPr>
          <w:rFonts w:ascii="Gilroy" w:hAnsi="Gilroy"/>
        </w:rPr>
        <w:t xml:space="preserve"> access public services, employment, and participate in civic spaces. </w:t>
      </w:r>
    </w:p>
    <w:p w14:paraId="0E88532C" w14:textId="4597B409" w:rsidR="008F0A63" w:rsidRPr="00775F99" w:rsidRDefault="006902FB" w:rsidP="006902FB">
      <w:pPr>
        <w:pStyle w:val="Default"/>
        <w:spacing w:afterLines="142" w:after="340" w:line="276" w:lineRule="auto"/>
        <w:jc w:val="both"/>
        <w:rPr>
          <w:rFonts w:ascii="Gilroy" w:hAnsi="Gilroy"/>
        </w:rPr>
      </w:pPr>
      <w:r w:rsidRPr="00775F99">
        <w:rPr>
          <w:rFonts w:ascii="Gilroy" w:hAnsi="Gilroy"/>
        </w:rPr>
        <w:t xml:space="preserve">These systems are increasingly digital-only. By way of an example: the UK’s </w:t>
      </w:r>
      <w:r w:rsidR="002A3186">
        <w:rPr>
          <w:rFonts w:ascii="Gilroy" w:hAnsi="Gilroy"/>
        </w:rPr>
        <w:t>European Union</w:t>
      </w:r>
      <w:r w:rsidRPr="00775F99">
        <w:rPr>
          <w:rFonts w:ascii="Gilroy" w:hAnsi="Gilroy"/>
        </w:rPr>
        <w:t xml:space="preserve"> Settlement Scheme (“EUSS”) requires individuals to input biometric facial imaging data together with personal data including date of birth, details of identification </w:t>
      </w:r>
      <w:r w:rsidRPr="00775F99">
        <w:rPr>
          <w:rFonts w:ascii="Gilroy" w:hAnsi="Gilroy"/>
        </w:rPr>
        <w:lastRenderedPageBreak/>
        <w:t>documents from the country of origin, and personal contact information (such as telephone numbers and email addresses)</w:t>
      </w:r>
      <w:r w:rsidRPr="00775F99">
        <w:rPr>
          <w:rStyle w:val="FootnoteReference"/>
          <w:rFonts w:ascii="Gilroy" w:hAnsi="Gilroy"/>
        </w:rPr>
        <w:footnoteReference w:id="4"/>
      </w:r>
      <w:r w:rsidRPr="00775F99">
        <w:rPr>
          <w:rFonts w:ascii="Gilroy" w:hAnsi="Gilroy"/>
        </w:rPr>
        <w:t>. Providing this data is both a requirement to secure immigration status in the UK</w:t>
      </w:r>
      <w:r w:rsidR="002A3186">
        <w:rPr>
          <w:rFonts w:ascii="Gilroy" w:hAnsi="Gilroy"/>
        </w:rPr>
        <w:t xml:space="preserve">, following the exit from the EU, </w:t>
      </w:r>
      <w:r w:rsidRPr="00775F99">
        <w:rPr>
          <w:rFonts w:ascii="Gilroy" w:hAnsi="Gilroy"/>
        </w:rPr>
        <w:t xml:space="preserve">and to prove one’s status to employers and landlords </w:t>
      </w:r>
      <w:proofErr w:type="gramStart"/>
      <w:r w:rsidR="00B92192">
        <w:rPr>
          <w:rFonts w:ascii="Gilroy" w:hAnsi="Gilroy"/>
        </w:rPr>
        <w:t xml:space="preserve">in order </w:t>
      </w:r>
      <w:r w:rsidRPr="00775F99">
        <w:rPr>
          <w:rFonts w:ascii="Gilroy" w:hAnsi="Gilroy"/>
        </w:rPr>
        <w:t>to</w:t>
      </w:r>
      <w:proofErr w:type="gramEnd"/>
      <w:r w:rsidRPr="00775F99">
        <w:rPr>
          <w:rFonts w:ascii="Gilroy" w:hAnsi="Gilroy"/>
        </w:rPr>
        <w:t xml:space="preserve"> access work and housing, for example. An individual’s status is provable by way </w:t>
      </w:r>
      <w:r w:rsidR="004B17EA">
        <w:rPr>
          <w:rFonts w:ascii="Gilroy" w:hAnsi="Gilroy"/>
        </w:rPr>
        <w:t xml:space="preserve">of </w:t>
      </w:r>
      <w:r w:rsidRPr="00775F99">
        <w:rPr>
          <w:rFonts w:ascii="Gilroy" w:hAnsi="Gilroy"/>
        </w:rPr>
        <w:t>an automatically generated “share code” that can be provided to the landlord and/or employer charged with verifying whether they have leave to remain in the UK</w:t>
      </w:r>
      <w:r w:rsidRPr="00775F99">
        <w:rPr>
          <w:rStyle w:val="FootnoteReference"/>
          <w:rFonts w:ascii="Gilroy" w:hAnsi="Gilroy"/>
        </w:rPr>
        <w:footnoteReference w:id="5"/>
      </w:r>
      <w:r w:rsidRPr="00775F99">
        <w:rPr>
          <w:rFonts w:ascii="Gilroy" w:hAnsi="Gilroy"/>
        </w:rPr>
        <w:t xml:space="preserve">. With little or no legislative scrutiny, this digital infrastructure </w:t>
      </w:r>
      <w:r w:rsidR="002A3186">
        <w:rPr>
          <w:rFonts w:ascii="Gilroy" w:hAnsi="Gilroy"/>
        </w:rPr>
        <w:t>has since been</w:t>
      </w:r>
      <w:r w:rsidRPr="00775F99">
        <w:rPr>
          <w:rFonts w:ascii="Gilroy" w:hAnsi="Gilroy"/>
        </w:rPr>
        <w:t xml:space="preserve"> extended to other forms of immigration status in the UK</w:t>
      </w:r>
      <w:r w:rsidRPr="00775F99">
        <w:rPr>
          <w:rStyle w:val="FootnoteReference"/>
          <w:rFonts w:ascii="Gilroy" w:hAnsi="Gilroy"/>
        </w:rPr>
        <w:footnoteReference w:id="6"/>
      </w:r>
      <w:r w:rsidRPr="00775F99">
        <w:rPr>
          <w:rFonts w:ascii="Gilroy" w:hAnsi="Gilroy"/>
        </w:rPr>
        <w:t xml:space="preserve">. </w:t>
      </w:r>
    </w:p>
    <w:p w14:paraId="475BEC48" w14:textId="772E803B" w:rsidR="00356F17" w:rsidRDefault="006902FB" w:rsidP="006902FB">
      <w:pPr>
        <w:pStyle w:val="Default"/>
        <w:spacing w:afterLines="142" w:after="340" w:line="276" w:lineRule="auto"/>
        <w:jc w:val="both"/>
        <w:rPr>
          <w:rFonts w:ascii="Gilroy" w:hAnsi="Gilroy"/>
        </w:rPr>
      </w:pPr>
      <w:r w:rsidRPr="00775F99">
        <w:rPr>
          <w:rFonts w:ascii="Gilroy" w:hAnsi="Gilroy"/>
        </w:rPr>
        <w:t xml:space="preserve">PI has drawn attention to these developments in </w:t>
      </w:r>
      <w:proofErr w:type="gramStart"/>
      <w:r w:rsidRPr="00775F99">
        <w:rPr>
          <w:rFonts w:ascii="Gilroy" w:hAnsi="Gilroy"/>
        </w:rPr>
        <w:t>a number of</w:t>
      </w:r>
      <w:proofErr w:type="gramEnd"/>
      <w:r w:rsidRPr="00775F99">
        <w:rPr>
          <w:rFonts w:ascii="Gilroy" w:hAnsi="Gilroy"/>
        </w:rPr>
        <w:t xml:space="preserve"> previous submissions to the </w:t>
      </w:r>
      <w:r w:rsidR="004B17EA" w:rsidRPr="00775F99">
        <w:rPr>
          <w:rFonts w:ascii="Gilroy" w:hAnsi="Gilroy"/>
        </w:rPr>
        <w:t>UN High Commissioner for human rights</w:t>
      </w:r>
      <w:r w:rsidR="004B17EA">
        <w:rPr>
          <w:rFonts w:ascii="Gilroy" w:hAnsi="Gilroy"/>
        </w:rPr>
        <w:t>,</w:t>
      </w:r>
      <w:r w:rsidR="004B17EA" w:rsidRPr="00775F99">
        <w:rPr>
          <w:rFonts w:ascii="Gilroy" w:hAnsi="Gilroy"/>
        </w:rPr>
        <w:t xml:space="preserve"> </w:t>
      </w:r>
      <w:r w:rsidRPr="00775F99">
        <w:rPr>
          <w:rFonts w:ascii="Gilroy" w:hAnsi="Gilroy"/>
        </w:rPr>
        <w:t xml:space="preserve">including our response to the call for input to a report on the right to privacy in the digital </w:t>
      </w:r>
      <w:r w:rsidR="004B17EA">
        <w:rPr>
          <w:rFonts w:ascii="Gilroy" w:hAnsi="Gilroy"/>
        </w:rPr>
        <w:t xml:space="preserve">age </w:t>
      </w:r>
      <w:r w:rsidR="00356F17">
        <w:rPr>
          <w:rFonts w:ascii="Gilroy" w:hAnsi="Gilroy"/>
        </w:rPr>
        <w:t>as part of our broader work on the deployment of digital identification systems</w:t>
      </w:r>
      <w:r w:rsidRPr="00775F99">
        <w:rPr>
          <w:rStyle w:val="FootnoteReference"/>
          <w:rFonts w:ascii="Gilroy" w:hAnsi="Gilroy"/>
        </w:rPr>
        <w:footnoteReference w:id="7"/>
      </w:r>
      <w:r w:rsidRPr="00775F99">
        <w:rPr>
          <w:rFonts w:ascii="Gilroy" w:hAnsi="Gilroy"/>
        </w:rPr>
        <w:t xml:space="preserve">. </w:t>
      </w:r>
      <w:r w:rsidR="00900EC5">
        <w:rPr>
          <w:rFonts w:ascii="Gilroy" w:hAnsi="Gilroy"/>
        </w:rPr>
        <w:t xml:space="preserve">Through this work we have identified </w:t>
      </w:r>
      <w:r w:rsidR="00B92192">
        <w:rPr>
          <w:rFonts w:ascii="Gilroy" w:hAnsi="Gilroy"/>
        </w:rPr>
        <w:t xml:space="preserve">at least </w:t>
      </w:r>
      <w:r w:rsidR="00900EC5">
        <w:rPr>
          <w:rFonts w:ascii="Gilroy" w:hAnsi="Gilroy"/>
        </w:rPr>
        <w:t xml:space="preserve">two </w:t>
      </w:r>
      <w:r w:rsidRPr="00775F99">
        <w:rPr>
          <w:rFonts w:ascii="Gilroy" w:hAnsi="Gilroy"/>
        </w:rPr>
        <w:t>key problematic features in the functionalities and implementations of these systems</w:t>
      </w:r>
      <w:r w:rsidR="00B92192">
        <w:rPr>
          <w:rFonts w:ascii="Gilroy" w:hAnsi="Gilroy"/>
        </w:rPr>
        <w:t xml:space="preserve"> relating to the human rights of migrants</w:t>
      </w:r>
      <w:r w:rsidRPr="00775F99">
        <w:rPr>
          <w:rFonts w:ascii="Gilroy" w:hAnsi="Gilroy"/>
        </w:rPr>
        <w:t xml:space="preserve">. </w:t>
      </w:r>
      <w:r w:rsidRPr="00462C89">
        <w:rPr>
          <w:rFonts w:ascii="Gilroy" w:hAnsi="Gilroy"/>
        </w:rPr>
        <w:t>Firstly</w:t>
      </w:r>
      <w:r w:rsidRPr="00775F99">
        <w:rPr>
          <w:rFonts w:ascii="Gilroy" w:hAnsi="Gilroy"/>
        </w:rPr>
        <w:t>, they frequently perpetuate the</w:t>
      </w:r>
      <w:r w:rsidR="004B17EA">
        <w:rPr>
          <w:rFonts w:ascii="Gilroy" w:hAnsi="Gilroy"/>
        </w:rPr>
        <w:t xml:space="preserve"> existing</w:t>
      </w:r>
      <w:r w:rsidRPr="00775F99">
        <w:rPr>
          <w:rFonts w:ascii="Gilroy" w:hAnsi="Gilroy"/>
        </w:rPr>
        <w:t xml:space="preserve"> exclusion of </w:t>
      </w:r>
      <w:r w:rsidR="004B17EA">
        <w:rPr>
          <w:rFonts w:ascii="Gilroy" w:hAnsi="Gilroy"/>
        </w:rPr>
        <w:t xml:space="preserve">certain </w:t>
      </w:r>
      <w:r w:rsidRPr="00775F99">
        <w:rPr>
          <w:rFonts w:ascii="Gilroy" w:hAnsi="Gilroy"/>
        </w:rPr>
        <w:t xml:space="preserve">individuals and </w:t>
      </w:r>
      <w:r w:rsidR="00DC5178">
        <w:rPr>
          <w:rFonts w:ascii="Gilroy" w:hAnsi="Gilroy"/>
        </w:rPr>
        <w:t>communit</w:t>
      </w:r>
      <w:r w:rsidR="002B5CB5">
        <w:rPr>
          <w:rFonts w:ascii="Gilroy" w:hAnsi="Gilroy"/>
        </w:rPr>
        <w:t>i</w:t>
      </w:r>
      <w:r w:rsidR="00DC5178">
        <w:rPr>
          <w:rFonts w:ascii="Gilroy" w:hAnsi="Gilroy"/>
        </w:rPr>
        <w:t>es,</w:t>
      </w:r>
      <w:r w:rsidRPr="00775F99">
        <w:rPr>
          <w:rFonts w:ascii="Gilroy" w:hAnsi="Gilroy"/>
        </w:rPr>
        <w:t xml:space="preserve"> </w:t>
      </w:r>
      <w:r w:rsidR="004B17EA">
        <w:rPr>
          <w:rFonts w:ascii="Gilroy" w:hAnsi="Gilroy"/>
        </w:rPr>
        <w:t>in direct contradiction</w:t>
      </w:r>
      <w:r w:rsidRPr="00775F99">
        <w:rPr>
          <w:rFonts w:ascii="Gilroy" w:hAnsi="Gilroy"/>
        </w:rPr>
        <w:t xml:space="preserve"> to their stated purposes and with discriminatory outcomes. </w:t>
      </w:r>
      <w:r w:rsidRPr="00462C89">
        <w:rPr>
          <w:rFonts w:ascii="Gilroy" w:hAnsi="Gilroy"/>
        </w:rPr>
        <w:t>Secondly</w:t>
      </w:r>
      <w:r w:rsidRPr="00775F99">
        <w:rPr>
          <w:rFonts w:ascii="Gilroy" w:hAnsi="Gilroy"/>
        </w:rPr>
        <w:t xml:space="preserve">, the systems pave the way for </w:t>
      </w:r>
      <w:r w:rsidR="00DC5178">
        <w:rPr>
          <w:rFonts w:ascii="Gilroy" w:hAnsi="Gilroy"/>
        </w:rPr>
        <w:t xml:space="preserve">surveillance and </w:t>
      </w:r>
      <w:r w:rsidRPr="00775F99">
        <w:rPr>
          <w:rFonts w:ascii="Gilroy" w:hAnsi="Gilroy"/>
        </w:rPr>
        <w:t xml:space="preserve">unlawful exploitation and processing of sensitive personal data with significant implications for the fundamental rights of </w:t>
      </w:r>
      <w:r w:rsidR="00356F17">
        <w:rPr>
          <w:rFonts w:ascii="Gilroy" w:hAnsi="Gilroy"/>
        </w:rPr>
        <w:t>individual</w:t>
      </w:r>
      <w:r w:rsidR="00B92192">
        <w:rPr>
          <w:rFonts w:ascii="Gilroy" w:hAnsi="Gilroy"/>
        </w:rPr>
        <w:t>s</w:t>
      </w:r>
      <w:r w:rsidR="00356F17">
        <w:rPr>
          <w:rFonts w:ascii="Gilroy" w:hAnsi="Gilroy"/>
        </w:rPr>
        <w:t xml:space="preserve"> and communities in particular communities at increased risk of being monitored and </w:t>
      </w:r>
      <w:proofErr w:type="spellStart"/>
      <w:r w:rsidR="00356F17">
        <w:rPr>
          <w:rFonts w:ascii="Gilroy" w:hAnsi="Gilroy"/>
        </w:rPr>
        <w:t>surveilled</w:t>
      </w:r>
      <w:proofErr w:type="spellEnd"/>
      <w:r w:rsidR="00356F17">
        <w:rPr>
          <w:rFonts w:ascii="Gilroy" w:hAnsi="Gilroy"/>
        </w:rPr>
        <w:t xml:space="preserve"> such as </w:t>
      </w:r>
      <w:r w:rsidRPr="00775F99">
        <w:rPr>
          <w:rFonts w:ascii="Gilroy" w:hAnsi="Gilroy"/>
        </w:rPr>
        <w:t>migrants. This is particularly the case</w:t>
      </w:r>
      <w:r w:rsidR="004B17EA">
        <w:rPr>
          <w:rFonts w:ascii="Gilroy" w:hAnsi="Gilroy"/>
        </w:rPr>
        <w:t xml:space="preserve"> in</w:t>
      </w:r>
      <w:r w:rsidRPr="00775F99">
        <w:rPr>
          <w:rFonts w:ascii="Gilroy" w:hAnsi="Gilroy"/>
        </w:rPr>
        <w:t xml:space="preserve">, but not limited to, contexts where there are no or weak </w:t>
      </w:r>
      <w:r w:rsidR="00356F17">
        <w:rPr>
          <w:rFonts w:ascii="Gilroy" w:hAnsi="Gilroy"/>
        </w:rPr>
        <w:t xml:space="preserve">legal and regulatory frameworks to protect people and their rights such as </w:t>
      </w:r>
      <w:r w:rsidRPr="00775F99">
        <w:rPr>
          <w:rFonts w:ascii="Gilroy" w:hAnsi="Gilroy"/>
        </w:rPr>
        <w:t>data protection laws.</w:t>
      </w:r>
      <w:r w:rsidR="004B17EA">
        <w:rPr>
          <w:rFonts w:ascii="Gilroy" w:hAnsi="Gilroy"/>
        </w:rPr>
        <w:t xml:space="preserve"> </w:t>
      </w:r>
    </w:p>
    <w:p w14:paraId="740C2E03" w14:textId="32B20F70" w:rsidR="006902FB" w:rsidRPr="00775F99" w:rsidRDefault="006902FB" w:rsidP="006902FB">
      <w:pPr>
        <w:pStyle w:val="Default"/>
        <w:spacing w:afterLines="142" w:after="340" w:line="276" w:lineRule="auto"/>
        <w:jc w:val="both"/>
        <w:rPr>
          <w:rFonts w:ascii="Gilroy" w:hAnsi="Gilroy"/>
        </w:rPr>
      </w:pPr>
      <w:r w:rsidRPr="00775F99">
        <w:rPr>
          <w:rFonts w:ascii="Gilroy" w:hAnsi="Gilroy"/>
        </w:rPr>
        <w:t>The below information and analysis remain grounded in these</w:t>
      </w:r>
      <w:r w:rsidR="00356F17">
        <w:rPr>
          <w:rFonts w:ascii="Gilroy" w:hAnsi="Gilroy"/>
        </w:rPr>
        <w:t xml:space="preserve"> two</w:t>
      </w:r>
      <w:r w:rsidRPr="00775F99">
        <w:rPr>
          <w:rFonts w:ascii="Gilroy" w:hAnsi="Gilroy"/>
        </w:rPr>
        <w:t xml:space="preserve"> issues and build on earlier submissions</w:t>
      </w:r>
      <w:r w:rsidR="00B92192">
        <w:rPr>
          <w:rFonts w:ascii="Gilroy" w:hAnsi="Gilroy"/>
        </w:rPr>
        <w:t>. It</w:t>
      </w:r>
      <w:r w:rsidRPr="00775F99">
        <w:rPr>
          <w:rFonts w:ascii="Gilroy" w:hAnsi="Gilroy"/>
        </w:rPr>
        <w:t xml:space="preserve"> </w:t>
      </w:r>
      <w:r w:rsidR="00B92192">
        <w:rPr>
          <w:rFonts w:ascii="Gilroy" w:hAnsi="Gilroy"/>
        </w:rPr>
        <w:t>further</w:t>
      </w:r>
      <w:r w:rsidRPr="00775F99">
        <w:rPr>
          <w:rFonts w:ascii="Gilroy" w:hAnsi="Gilroy"/>
        </w:rPr>
        <w:t xml:space="preserve"> underline</w:t>
      </w:r>
      <w:r w:rsidR="00B92192">
        <w:rPr>
          <w:rFonts w:ascii="Gilroy" w:hAnsi="Gilroy"/>
        </w:rPr>
        <w:t>s</w:t>
      </w:r>
      <w:r w:rsidRPr="00775F99">
        <w:rPr>
          <w:rFonts w:ascii="Gilroy" w:hAnsi="Gilroy"/>
        </w:rPr>
        <w:t xml:space="preserve"> novel evidence arising from PI’s work</w:t>
      </w:r>
      <w:r w:rsidR="00B92192">
        <w:rPr>
          <w:rFonts w:ascii="Gilroy" w:hAnsi="Gilroy"/>
        </w:rPr>
        <w:t>,</w:t>
      </w:r>
      <w:r w:rsidR="00B83343">
        <w:rPr>
          <w:rStyle w:val="FootnoteReference"/>
          <w:rFonts w:ascii="Gilroy" w:hAnsi="Gilroy"/>
        </w:rPr>
        <w:footnoteReference w:id="8"/>
      </w:r>
      <w:r w:rsidR="00B83343" w:rsidRPr="00775F99">
        <w:rPr>
          <w:rFonts w:ascii="Gilroy" w:hAnsi="Gilroy"/>
        </w:rPr>
        <w:t xml:space="preserve"> </w:t>
      </w:r>
      <w:r w:rsidRPr="00775F99">
        <w:rPr>
          <w:rFonts w:ascii="Gilroy" w:hAnsi="Gilroy"/>
        </w:rPr>
        <w:t xml:space="preserve"> as well that </w:t>
      </w:r>
      <w:r w:rsidRPr="00775F99">
        <w:rPr>
          <w:rFonts w:ascii="Gilroy" w:hAnsi="Gilroy"/>
        </w:rPr>
        <w:lastRenderedPageBreak/>
        <w:t>of its global partners</w:t>
      </w:r>
      <w:r w:rsidR="00B83343">
        <w:rPr>
          <w:rStyle w:val="FootnoteReference"/>
          <w:rFonts w:ascii="Gilroy" w:hAnsi="Gilroy"/>
        </w:rPr>
        <w:footnoteReference w:id="9"/>
      </w:r>
      <w:r w:rsidR="00B83343">
        <w:rPr>
          <w:rFonts w:ascii="Gilroy" w:hAnsi="Gilroy"/>
        </w:rPr>
        <w:t xml:space="preserve"> and other CSOs</w:t>
      </w:r>
      <w:r w:rsidR="00B92192">
        <w:rPr>
          <w:rFonts w:ascii="Gilroy" w:hAnsi="Gilroy"/>
        </w:rPr>
        <w:t>,</w:t>
      </w:r>
      <w:r w:rsidR="00B83343">
        <w:rPr>
          <w:rStyle w:val="FootnoteReference"/>
          <w:rFonts w:ascii="Gilroy" w:hAnsi="Gilroy"/>
        </w:rPr>
        <w:footnoteReference w:id="10"/>
      </w:r>
      <w:r w:rsidR="00356F17">
        <w:rPr>
          <w:rFonts w:ascii="Gilroy" w:hAnsi="Gilroy"/>
        </w:rPr>
        <w:t xml:space="preserve"> to document the impact of registration and identification systems on the rights of migrants</w:t>
      </w:r>
      <w:r w:rsidRPr="00775F99">
        <w:rPr>
          <w:rFonts w:ascii="Gilroy" w:hAnsi="Gilroy"/>
        </w:rPr>
        <w:t xml:space="preserve">. </w:t>
      </w:r>
    </w:p>
    <w:p w14:paraId="124E172A" w14:textId="77777777" w:rsidR="006902FB" w:rsidRPr="00775F99" w:rsidRDefault="006902FB" w:rsidP="006902FB">
      <w:pPr>
        <w:pStyle w:val="Default"/>
        <w:spacing w:afterLines="142" w:after="340" w:line="276" w:lineRule="auto"/>
        <w:jc w:val="both"/>
        <w:rPr>
          <w:rFonts w:ascii="Gilroy" w:hAnsi="Gilroy"/>
          <w:i/>
          <w:iCs/>
        </w:rPr>
      </w:pPr>
      <w:r w:rsidRPr="00775F99">
        <w:rPr>
          <w:rFonts w:ascii="Gilroy" w:hAnsi="Gilroy"/>
          <w:i/>
          <w:iCs/>
        </w:rPr>
        <w:t xml:space="preserve">The exclusionary impacts on migrant populations of identification systems </w:t>
      </w:r>
    </w:p>
    <w:p w14:paraId="71171E17" w14:textId="036F10C0" w:rsidR="006902FB" w:rsidRPr="00775F99" w:rsidRDefault="007D1FE7" w:rsidP="006902FB">
      <w:pPr>
        <w:pStyle w:val="Default"/>
        <w:spacing w:afterLines="142" w:after="340" w:line="276" w:lineRule="auto"/>
        <w:jc w:val="both"/>
        <w:rPr>
          <w:rFonts w:ascii="Gilroy" w:hAnsi="Gilroy"/>
        </w:rPr>
      </w:pPr>
      <w:r>
        <w:rPr>
          <w:rFonts w:ascii="Gilroy" w:hAnsi="Gilroy"/>
        </w:rPr>
        <w:t xml:space="preserve">As our </w:t>
      </w:r>
      <w:r w:rsidR="006902FB" w:rsidRPr="00775F99">
        <w:rPr>
          <w:rFonts w:ascii="Gilroy" w:hAnsi="Gilroy"/>
        </w:rPr>
        <w:t>global partners in Colombia</w:t>
      </w:r>
      <w:r>
        <w:rPr>
          <w:rFonts w:ascii="Gilroy" w:hAnsi="Gilroy"/>
        </w:rPr>
        <w:t xml:space="preserve">, </w:t>
      </w:r>
      <w:proofErr w:type="spellStart"/>
      <w:r>
        <w:rPr>
          <w:rFonts w:ascii="Gilroy" w:hAnsi="Gilroy"/>
        </w:rPr>
        <w:t>Dejusticia</w:t>
      </w:r>
      <w:proofErr w:type="spellEnd"/>
      <w:r>
        <w:rPr>
          <w:rFonts w:ascii="Gilroy" w:hAnsi="Gilroy"/>
        </w:rPr>
        <w:t xml:space="preserve"> and</w:t>
      </w:r>
      <w:r w:rsidRPr="007D1FE7">
        <w:rPr>
          <w:rFonts w:ascii="Gilroy" w:hAnsi="Gilroy"/>
        </w:rPr>
        <w:t xml:space="preserve"> </w:t>
      </w:r>
      <w:proofErr w:type="spellStart"/>
      <w:r w:rsidRPr="007D1FE7">
        <w:rPr>
          <w:rFonts w:ascii="Gilroy" w:hAnsi="Gilroy"/>
        </w:rPr>
        <w:t>Fundacion</w:t>
      </w:r>
      <w:proofErr w:type="spellEnd"/>
      <w:r w:rsidRPr="007D1FE7">
        <w:rPr>
          <w:rFonts w:ascii="Gilroy" w:hAnsi="Gilroy"/>
        </w:rPr>
        <w:t xml:space="preserve"> </w:t>
      </w:r>
      <w:proofErr w:type="spellStart"/>
      <w:r w:rsidRPr="007D1FE7">
        <w:rPr>
          <w:rFonts w:ascii="Gilroy" w:hAnsi="Gilroy"/>
        </w:rPr>
        <w:t>Karisma</w:t>
      </w:r>
      <w:proofErr w:type="spellEnd"/>
      <w:r w:rsidRPr="007D1FE7">
        <w:rPr>
          <w:rFonts w:ascii="Gilroy" w:hAnsi="Gilroy"/>
        </w:rPr>
        <w:t>,</w:t>
      </w:r>
      <w:r>
        <w:rPr>
          <w:rFonts w:ascii="Gilroy" w:hAnsi="Gilroy"/>
        </w:rPr>
        <w:t xml:space="preserve"> </w:t>
      </w:r>
      <w:r w:rsidRPr="007D1FE7">
        <w:rPr>
          <w:rFonts w:ascii="Gilroy" w:hAnsi="Gilroy"/>
        </w:rPr>
        <w:t xml:space="preserve">have </w:t>
      </w:r>
      <w:r w:rsidR="006902FB" w:rsidRPr="00775F99">
        <w:rPr>
          <w:rFonts w:ascii="Gilroy" w:hAnsi="Gilroy"/>
        </w:rPr>
        <w:t xml:space="preserve">noted in </w:t>
      </w:r>
      <w:r>
        <w:rPr>
          <w:rFonts w:ascii="Gilroy" w:hAnsi="Gilroy"/>
        </w:rPr>
        <w:t>their respective</w:t>
      </w:r>
      <w:r w:rsidR="0030692E">
        <w:rPr>
          <w:rFonts w:ascii="Gilroy" w:hAnsi="Gilroy"/>
        </w:rPr>
        <w:t xml:space="preserve"> </w:t>
      </w:r>
      <w:r w:rsidR="006902FB" w:rsidRPr="00775F99">
        <w:rPr>
          <w:rFonts w:ascii="Gilroy" w:hAnsi="Gilroy"/>
        </w:rPr>
        <w:t>submissions to the UN’s Special Rapporteur on the Human Rights of Migrants</w:t>
      </w:r>
      <w:r w:rsidR="00B92192">
        <w:rPr>
          <w:rFonts w:ascii="Gilroy" w:hAnsi="Gilroy"/>
        </w:rPr>
        <w:t>,</w:t>
      </w:r>
      <w:r w:rsidR="006902FB" w:rsidRPr="00775F99">
        <w:rPr>
          <w:rFonts w:ascii="Gilroy" w:hAnsi="Gilroy"/>
        </w:rPr>
        <w:t xml:space="preserve"> Colombia’s </w:t>
      </w:r>
      <w:r w:rsidR="00016013">
        <w:rPr>
          <w:rFonts w:ascii="Gilroy" w:hAnsi="Gilroy"/>
        </w:rPr>
        <w:t>new regularisation</w:t>
      </w:r>
      <w:r w:rsidR="006902FB" w:rsidRPr="00775F99">
        <w:rPr>
          <w:rFonts w:ascii="Gilroy" w:hAnsi="Gilroy"/>
        </w:rPr>
        <w:t xml:space="preserve"> scheme is preventing</w:t>
      </w:r>
      <w:r w:rsidR="00016013">
        <w:rPr>
          <w:rFonts w:ascii="Gilroy" w:hAnsi="Gilroy"/>
        </w:rPr>
        <w:t xml:space="preserve"> some</w:t>
      </w:r>
      <w:r w:rsidR="006902FB" w:rsidRPr="00775F99">
        <w:rPr>
          <w:rFonts w:ascii="Gilroy" w:hAnsi="Gilroy"/>
        </w:rPr>
        <w:t xml:space="preserve"> Venezuelan migrants from being granted immigration status in the country</w:t>
      </w:r>
      <w:r w:rsidR="006902FB" w:rsidRPr="00775F99">
        <w:rPr>
          <w:rStyle w:val="FootnoteReference"/>
          <w:rFonts w:ascii="Gilroy" w:hAnsi="Gilroy"/>
        </w:rPr>
        <w:footnoteReference w:id="11"/>
      </w:r>
      <w:r w:rsidR="006902FB" w:rsidRPr="00775F99">
        <w:rPr>
          <w:rFonts w:ascii="Gilroy" w:hAnsi="Gilroy"/>
        </w:rPr>
        <w:t xml:space="preserve">. </w:t>
      </w:r>
    </w:p>
    <w:p w14:paraId="1EEA3AE3" w14:textId="54643561" w:rsidR="006902FB" w:rsidRPr="00775F99" w:rsidRDefault="006902FB" w:rsidP="006902FB">
      <w:pPr>
        <w:pStyle w:val="Default"/>
        <w:spacing w:afterLines="142" w:after="340" w:line="276" w:lineRule="auto"/>
        <w:jc w:val="both"/>
        <w:rPr>
          <w:rFonts w:ascii="Gilroy" w:hAnsi="Gilroy"/>
        </w:rPr>
      </w:pPr>
      <w:r w:rsidRPr="00775F99">
        <w:rPr>
          <w:rFonts w:ascii="Gilroy" w:hAnsi="Gilroy"/>
        </w:rPr>
        <w:t>In 2021, the Colombian Ministry of Foreign Affairs created the Temporary Protection Statute for Venezuelan Migrants (ETPMV)</w:t>
      </w:r>
      <w:r w:rsidR="003E1C93">
        <w:rPr>
          <w:rFonts w:ascii="Gilroy" w:hAnsi="Gilroy"/>
        </w:rPr>
        <w:t>,</w:t>
      </w:r>
      <w:r w:rsidRPr="00775F99">
        <w:rPr>
          <w:rFonts w:ascii="Gilroy" w:hAnsi="Gilroy"/>
        </w:rPr>
        <w:t xml:space="preserve"> empower</w:t>
      </w:r>
      <w:r w:rsidR="003E1C93">
        <w:rPr>
          <w:rFonts w:ascii="Gilroy" w:hAnsi="Gilroy"/>
        </w:rPr>
        <w:t>ing</w:t>
      </w:r>
      <w:r w:rsidRPr="00775F99">
        <w:rPr>
          <w:rFonts w:ascii="Gilroy" w:hAnsi="Gilroy"/>
        </w:rPr>
        <w:t xml:space="preserve"> the state to create a scheme for the registration and identification of migrants from Venezuela. Registration under the scheme is a requirement </w:t>
      </w:r>
      <w:proofErr w:type="gramStart"/>
      <w:r w:rsidRPr="00775F99">
        <w:rPr>
          <w:rFonts w:ascii="Gilroy" w:hAnsi="Gilroy"/>
        </w:rPr>
        <w:t>in order to</w:t>
      </w:r>
      <w:proofErr w:type="gramEnd"/>
      <w:r w:rsidRPr="00775F99">
        <w:rPr>
          <w:rFonts w:ascii="Gilroy" w:hAnsi="Gilroy"/>
        </w:rPr>
        <w:t xml:space="preserve"> receive a residence permit, the Temporary Protection Permit (TPP), which authorises the person who bears it to reside in the country for 10 years, and to access the work, health, pension, education, and financial systems. The scheme excludes several </w:t>
      </w:r>
      <w:r w:rsidR="00016013">
        <w:rPr>
          <w:rFonts w:ascii="Gilroy" w:hAnsi="Gilroy"/>
        </w:rPr>
        <w:t>Venezuelan migrants</w:t>
      </w:r>
      <w:r w:rsidRPr="00775F99">
        <w:rPr>
          <w:rFonts w:ascii="Gilroy" w:hAnsi="Gilroy"/>
        </w:rPr>
        <w:t xml:space="preserve"> from registering despite their physical presence in Colombia and the stated purpose of the ETPMV and TPP</w:t>
      </w:r>
      <w:r w:rsidR="00016013">
        <w:rPr>
          <w:rFonts w:ascii="Gilroy" w:hAnsi="Gilroy"/>
        </w:rPr>
        <w:t xml:space="preserve"> if they do not comply with the </w:t>
      </w:r>
      <w:r w:rsidR="00016013" w:rsidRPr="00627F21">
        <w:rPr>
          <w:rFonts w:ascii="Gilroy" w:hAnsi="Gilroy"/>
        </w:rPr>
        <w:t>requirements established in Article 4 of Decree 216 of 2021</w:t>
      </w:r>
      <w:r w:rsidRPr="00775F99">
        <w:rPr>
          <w:rFonts w:ascii="Gilroy" w:hAnsi="Gilroy"/>
        </w:rPr>
        <w:t>. For example, the scheme’s enabling power prohibits the registration of Venezuelan migrants who arrived in the country via irregular means after February 1, 2021</w:t>
      </w:r>
      <w:r w:rsidRPr="00775F99">
        <w:rPr>
          <w:rStyle w:val="FootnoteReference"/>
          <w:rFonts w:ascii="Gilroy" w:hAnsi="Gilroy"/>
        </w:rPr>
        <w:footnoteReference w:id="12"/>
      </w:r>
      <w:r w:rsidRPr="00775F99">
        <w:rPr>
          <w:rFonts w:ascii="Gilroy" w:hAnsi="Gilroy"/>
        </w:rPr>
        <w:t xml:space="preserve">. </w:t>
      </w:r>
    </w:p>
    <w:p w14:paraId="1AE1EAE9" w14:textId="6A18FA3D" w:rsidR="006902FB" w:rsidRPr="00775F99" w:rsidRDefault="006902FB" w:rsidP="006902FB">
      <w:pPr>
        <w:pStyle w:val="Default"/>
        <w:spacing w:afterLines="142" w:after="340" w:line="276" w:lineRule="auto"/>
        <w:jc w:val="both"/>
        <w:rPr>
          <w:rFonts w:ascii="Gilroy" w:hAnsi="Gilroy"/>
        </w:rPr>
      </w:pPr>
      <w:r w:rsidRPr="00775F99">
        <w:rPr>
          <w:rFonts w:ascii="Gilroy" w:hAnsi="Gilroy"/>
        </w:rPr>
        <w:t xml:space="preserve">In line with paragraph 11(g) of the Resolution, which urges states to combat discrimination against all migrants, PI submits that these </w:t>
      </w:r>
      <w:r w:rsidR="004C6AA4">
        <w:rPr>
          <w:rFonts w:ascii="Gilroy" w:hAnsi="Gilroy"/>
        </w:rPr>
        <w:t>practices</w:t>
      </w:r>
      <w:r w:rsidRPr="00775F99">
        <w:rPr>
          <w:rFonts w:ascii="Gilroy" w:hAnsi="Gilroy"/>
        </w:rPr>
        <w:t xml:space="preserve"> risk direct and indirect discrimination including based on immigration status contrary to national and international human rights laws enshrining the principle of non-discrimination.  Not only is differential treatment built into the identification scheme, </w:t>
      </w:r>
      <w:proofErr w:type="gramStart"/>
      <w:r w:rsidR="002A3186" w:rsidRPr="00775F99">
        <w:rPr>
          <w:rFonts w:ascii="Gilroy" w:hAnsi="Gilroy"/>
        </w:rPr>
        <w:t>it</w:t>
      </w:r>
      <w:proofErr w:type="gramEnd"/>
      <w:r w:rsidRPr="00775F99">
        <w:rPr>
          <w:rFonts w:ascii="Gilroy" w:hAnsi="Gilroy"/>
        </w:rPr>
        <w:t xml:space="preserve"> also risks further discriminatory consequences after the point at which an individual is no longer able to register. Access to healthcare and other essential services will be conditional on migrants submitting their biometric data to the state as required by the registration scheme</w:t>
      </w:r>
      <w:r w:rsidR="002B5CB5">
        <w:rPr>
          <w:rFonts w:ascii="Gilroy" w:hAnsi="Gilroy"/>
        </w:rPr>
        <w:t>. The collection of such data r</w:t>
      </w:r>
      <w:r w:rsidR="0030692E">
        <w:rPr>
          <w:rFonts w:ascii="Gilroy" w:hAnsi="Gilroy"/>
        </w:rPr>
        <w:t xml:space="preserve">aises </w:t>
      </w:r>
      <w:r w:rsidR="00016013">
        <w:rPr>
          <w:rFonts w:ascii="Gilroy" w:hAnsi="Gilroy"/>
        </w:rPr>
        <w:t xml:space="preserve">additional </w:t>
      </w:r>
      <w:r w:rsidR="00016013">
        <w:rPr>
          <w:rFonts w:ascii="Gilroy" w:hAnsi="Gilroy"/>
        </w:rPr>
        <w:lastRenderedPageBreak/>
        <w:t xml:space="preserve">concerns about the </w:t>
      </w:r>
      <w:r w:rsidR="00E06EC2">
        <w:rPr>
          <w:rFonts w:ascii="Gilroy" w:hAnsi="Gilroy"/>
        </w:rPr>
        <w:t>exploitation</w:t>
      </w:r>
      <w:r w:rsidR="00016013">
        <w:rPr>
          <w:rFonts w:ascii="Gilroy" w:hAnsi="Gilroy"/>
        </w:rPr>
        <w:t xml:space="preserve"> </w:t>
      </w:r>
      <w:r w:rsidR="004972B4">
        <w:rPr>
          <w:rFonts w:ascii="Gilroy" w:hAnsi="Gilroy"/>
        </w:rPr>
        <w:t xml:space="preserve">of </w:t>
      </w:r>
      <w:r w:rsidR="00016013">
        <w:rPr>
          <w:rFonts w:ascii="Gilroy" w:hAnsi="Gilroy"/>
        </w:rPr>
        <w:t xml:space="preserve">sensitive </w:t>
      </w:r>
      <w:r w:rsidR="00016013">
        <w:rPr>
          <w:rFonts w:ascii="Gilroy" w:hAnsi="Gilroy"/>
        </w:rPr>
        <w:t xml:space="preserve">personal data </w:t>
      </w:r>
      <w:r w:rsidR="00E06EC2">
        <w:rPr>
          <w:rFonts w:ascii="Gilroy" w:hAnsi="Gilroy"/>
        </w:rPr>
        <w:t xml:space="preserve">– as detailed further in the following section - </w:t>
      </w:r>
      <w:r w:rsidR="00016013">
        <w:rPr>
          <w:rFonts w:ascii="Gilroy" w:hAnsi="Gilroy"/>
        </w:rPr>
        <w:t xml:space="preserve">in particular </w:t>
      </w:r>
      <w:r w:rsidR="0030692E">
        <w:rPr>
          <w:rFonts w:ascii="Gilroy" w:hAnsi="Gilroy"/>
        </w:rPr>
        <w:t xml:space="preserve">given that </w:t>
      </w:r>
      <w:r w:rsidR="00016013">
        <w:rPr>
          <w:rFonts w:ascii="Gilroy" w:hAnsi="Gilroy"/>
        </w:rPr>
        <w:t>th</w:t>
      </w:r>
      <w:r w:rsidR="00B12088">
        <w:rPr>
          <w:rFonts w:ascii="Gilroy" w:hAnsi="Gilroy"/>
        </w:rPr>
        <w:t>e data</w:t>
      </w:r>
      <w:r w:rsidR="00016013">
        <w:rPr>
          <w:rFonts w:ascii="Gilroy" w:hAnsi="Gilroy"/>
        </w:rPr>
        <w:t xml:space="preserve"> </w:t>
      </w:r>
      <w:r w:rsidR="00B12088">
        <w:rPr>
          <w:rFonts w:ascii="Gilroy" w:hAnsi="Gilroy"/>
        </w:rPr>
        <w:t>processing for the ETPMV and TPP are</w:t>
      </w:r>
      <w:r w:rsidR="00016013">
        <w:rPr>
          <w:rFonts w:ascii="Gilroy" w:hAnsi="Gilroy"/>
        </w:rPr>
        <w:t xml:space="preserve"> occurring in a legal void</w:t>
      </w:r>
      <w:r w:rsidRPr="00775F99">
        <w:rPr>
          <w:rFonts w:ascii="Gilroy" w:hAnsi="Gilroy"/>
        </w:rPr>
        <w:t>.</w:t>
      </w:r>
      <w:r w:rsidR="00016013">
        <w:rPr>
          <w:rStyle w:val="FootnoteReference"/>
          <w:rFonts w:ascii="Gilroy" w:hAnsi="Gilroy"/>
        </w:rPr>
        <w:footnoteReference w:id="13"/>
      </w:r>
      <w:r w:rsidRPr="00775F99">
        <w:rPr>
          <w:rFonts w:ascii="Gilroy" w:hAnsi="Gilroy"/>
        </w:rPr>
        <w:t xml:space="preserve"> </w:t>
      </w:r>
      <w:r w:rsidR="00C91BC6">
        <w:rPr>
          <w:rFonts w:ascii="Gilroy" w:hAnsi="Gilroy"/>
        </w:rPr>
        <w:t>Furthermore as</w:t>
      </w:r>
      <w:r w:rsidRPr="00775F99">
        <w:rPr>
          <w:rFonts w:ascii="Gilroy" w:hAnsi="Gilroy"/>
        </w:rPr>
        <w:t xml:space="preserve"> noted by </w:t>
      </w:r>
      <w:proofErr w:type="spellStart"/>
      <w:r w:rsidRPr="00775F99">
        <w:rPr>
          <w:rFonts w:ascii="Gilroy" w:hAnsi="Gilroy"/>
        </w:rPr>
        <w:t>Dejusticia</w:t>
      </w:r>
      <w:proofErr w:type="spellEnd"/>
      <w:r w:rsidRPr="00775F99">
        <w:rPr>
          <w:rFonts w:ascii="Gilroy" w:hAnsi="Gilroy"/>
        </w:rPr>
        <w:t xml:space="preserve">, the individuals who are likely to be excluded from registration are usually in positions of greater vulnerability through lack of access to </w:t>
      </w:r>
      <w:r w:rsidR="003E1C93">
        <w:rPr>
          <w:rFonts w:ascii="Gilroy" w:hAnsi="Gilroy"/>
        </w:rPr>
        <w:t>the necessary</w:t>
      </w:r>
      <w:r w:rsidR="003E1C93" w:rsidRPr="00775F99">
        <w:rPr>
          <w:rFonts w:ascii="Gilroy" w:hAnsi="Gilroy"/>
        </w:rPr>
        <w:t xml:space="preserve"> </w:t>
      </w:r>
      <w:r w:rsidRPr="00775F99">
        <w:rPr>
          <w:rFonts w:ascii="Gilroy" w:hAnsi="Gilroy"/>
        </w:rPr>
        <w:t>technology or information</w:t>
      </w:r>
      <w:r w:rsidR="002A3186">
        <w:rPr>
          <w:rStyle w:val="FootnoteReference"/>
          <w:rFonts w:ascii="Gilroy" w:hAnsi="Gilroy"/>
        </w:rPr>
        <w:footnoteReference w:id="14"/>
      </w:r>
      <w:r w:rsidRPr="00775F99">
        <w:rPr>
          <w:rFonts w:ascii="Gilroy" w:hAnsi="Gilroy"/>
        </w:rPr>
        <w:t xml:space="preserve">. </w:t>
      </w:r>
    </w:p>
    <w:p w14:paraId="1DFC4DD0" w14:textId="6EA6D5C7" w:rsidR="006902FB" w:rsidRPr="00775F99" w:rsidRDefault="004C6AA4" w:rsidP="006902FB">
      <w:pPr>
        <w:pStyle w:val="Default"/>
        <w:spacing w:afterLines="142" w:after="340" w:line="276" w:lineRule="auto"/>
        <w:jc w:val="both"/>
        <w:rPr>
          <w:rFonts w:ascii="Gilroy" w:hAnsi="Gilroy"/>
        </w:rPr>
      </w:pPr>
      <w:r w:rsidRPr="004C6AA4">
        <w:rPr>
          <w:rFonts w:ascii="Gilroy" w:hAnsi="Gilroy"/>
        </w:rPr>
        <w:t>The above example demonstrates the risk of the introduction of such systems</w:t>
      </w:r>
      <w:r>
        <w:rPr>
          <w:rFonts w:ascii="Gilroy" w:hAnsi="Gilroy"/>
        </w:rPr>
        <w:t xml:space="preserve"> without necessary</w:t>
      </w:r>
      <w:r w:rsidR="00BD1349">
        <w:rPr>
          <w:rFonts w:ascii="Gilroy" w:hAnsi="Gilroy"/>
        </w:rPr>
        <w:t xml:space="preserve"> steps to rectify</w:t>
      </w:r>
      <w:r w:rsidR="006902FB" w:rsidRPr="00775F99">
        <w:rPr>
          <w:rFonts w:ascii="Gilroy" w:hAnsi="Gilroy"/>
        </w:rPr>
        <w:t xml:space="preserve"> the previous failures of identification schemes for migrant populations – </w:t>
      </w:r>
      <w:proofErr w:type="gramStart"/>
      <w:r w:rsidR="006902FB" w:rsidRPr="00775F99">
        <w:rPr>
          <w:rFonts w:ascii="Gilroy" w:hAnsi="Gilroy"/>
        </w:rPr>
        <w:t>in particular that</w:t>
      </w:r>
      <w:proofErr w:type="gramEnd"/>
      <w:r w:rsidR="006902FB" w:rsidRPr="00775F99">
        <w:rPr>
          <w:rFonts w:ascii="Gilroy" w:hAnsi="Gilroy"/>
        </w:rPr>
        <w:t xml:space="preserve"> the introduction of such systems without adequate infrastructure and safeguards is likely to have catastrophic consequences for large numbers of vulnerable individuals.</w:t>
      </w:r>
    </w:p>
    <w:p w14:paraId="7341E3F3" w14:textId="77777777" w:rsidR="006902FB" w:rsidRPr="00775F99" w:rsidRDefault="006902FB" w:rsidP="006902FB">
      <w:pPr>
        <w:pStyle w:val="Default"/>
        <w:spacing w:afterLines="142" w:after="340" w:line="276" w:lineRule="auto"/>
        <w:jc w:val="both"/>
        <w:rPr>
          <w:rFonts w:ascii="Gilroy" w:hAnsi="Gilroy"/>
          <w:i/>
          <w:iCs/>
        </w:rPr>
      </w:pPr>
      <w:r w:rsidRPr="00775F99">
        <w:rPr>
          <w:rFonts w:ascii="Gilroy" w:hAnsi="Gilroy"/>
          <w:i/>
          <w:iCs/>
        </w:rPr>
        <w:t xml:space="preserve">Data protection and the mass processing of sensitive data through identification systems </w:t>
      </w:r>
    </w:p>
    <w:p w14:paraId="41D2D4BE" w14:textId="760E1103" w:rsidR="006902FB" w:rsidRPr="00775F99" w:rsidRDefault="003E1C93" w:rsidP="006902FB">
      <w:pPr>
        <w:pStyle w:val="Default"/>
        <w:spacing w:afterLines="142" w:after="340" w:line="276" w:lineRule="auto"/>
        <w:jc w:val="both"/>
        <w:rPr>
          <w:rFonts w:ascii="Gilroy" w:hAnsi="Gilroy"/>
        </w:rPr>
      </w:pPr>
      <w:r>
        <w:rPr>
          <w:rFonts w:ascii="Gilroy" w:hAnsi="Gilroy"/>
        </w:rPr>
        <w:t>T</w:t>
      </w:r>
      <w:r w:rsidRPr="00775F99">
        <w:rPr>
          <w:rFonts w:ascii="Gilroy" w:hAnsi="Gilroy"/>
        </w:rPr>
        <w:t xml:space="preserve">he risks inherent </w:t>
      </w:r>
      <w:r>
        <w:rPr>
          <w:rFonts w:ascii="Gilroy" w:hAnsi="Gilroy"/>
        </w:rPr>
        <w:t>to</w:t>
      </w:r>
      <w:r w:rsidRPr="00775F99">
        <w:rPr>
          <w:rFonts w:ascii="Gilroy" w:hAnsi="Gilroy"/>
        </w:rPr>
        <w:t xml:space="preserve"> the introduction of data-intensive, digital identification systems, which frequently rely on algorithmic and </w:t>
      </w:r>
      <w:r w:rsidR="004C6AA4">
        <w:rPr>
          <w:rFonts w:ascii="Gilroy" w:hAnsi="Gilroy"/>
        </w:rPr>
        <w:t>automated decision making</w:t>
      </w:r>
      <w:r w:rsidRPr="00775F99">
        <w:rPr>
          <w:rFonts w:ascii="Gilroy" w:hAnsi="Gilroy"/>
        </w:rPr>
        <w:t xml:space="preserve">, are also that systemic deficiencies will be replicated across databases with implications for data privacy and other fundamental rights and freedoms. These risks run in parallel and interrelate with the dynamics of exclusion set out above. </w:t>
      </w:r>
      <w:r>
        <w:rPr>
          <w:rFonts w:ascii="Gilroy" w:hAnsi="Gilroy"/>
        </w:rPr>
        <w:t>As above, these risks are</w:t>
      </w:r>
      <w:r w:rsidR="006902FB" w:rsidRPr="00775F99">
        <w:rPr>
          <w:rFonts w:ascii="Gilroy" w:hAnsi="Gilroy"/>
        </w:rPr>
        <w:t xml:space="preserve"> particularly pronounced in states with limited or no data protection standards</w:t>
      </w:r>
      <w:r w:rsidR="002B5CB5">
        <w:rPr>
          <w:rFonts w:ascii="Gilroy" w:hAnsi="Gilroy"/>
        </w:rPr>
        <w:t xml:space="preserve"> and other relevant laws and regulations</w:t>
      </w:r>
      <w:r w:rsidR="006902FB" w:rsidRPr="00775F99">
        <w:rPr>
          <w:rFonts w:ascii="Gilroy" w:hAnsi="Gilroy"/>
        </w:rPr>
        <w:t xml:space="preserve">, nevertheless there are also </w:t>
      </w:r>
      <w:r w:rsidR="002A3186">
        <w:rPr>
          <w:rFonts w:ascii="Gilroy" w:hAnsi="Gilroy"/>
        </w:rPr>
        <w:t xml:space="preserve">documented </w:t>
      </w:r>
      <w:r w:rsidR="006902FB" w:rsidRPr="00775F99">
        <w:rPr>
          <w:rFonts w:ascii="Gilroy" w:hAnsi="Gilroy"/>
        </w:rPr>
        <w:t>issues in states with data protection regulations and infrastructures to enforce them.</w:t>
      </w:r>
    </w:p>
    <w:p w14:paraId="5038536A" w14:textId="1750E78A" w:rsidR="006902FB" w:rsidRDefault="006902FB" w:rsidP="006902FB">
      <w:pPr>
        <w:pStyle w:val="Default"/>
        <w:spacing w:afterLines="142" w:after="340" w:line="276" w:lineRule="auto"/>
        <w:jc w:val="both"/>
        <w:rPr>
          <w:rFonts w:ascii="Gilroy" w:hAnsi="Gilroy"/>
        </w:rPr>
      </w:pPr>
      <w:r w:rsidRPr="00775F99">
        <w:rPr>
          <w:rFonts w:ascii="Gilroy" w:hAnsi="Gilroy"/>
        </w:rPr>
        <w:t>For example, we have concerns as regards the capacity of digital identification systems to ensure the accuracy of the personal data that they hold. In respect of the biometric data sharing program between the governments of Mexico and the US, a report of the US’s Department of Homeland Security found errors in 825,000 entries in a border crossing database</w:t>
      </w:r>
      <w:r w:rsidR="002A3186">
        <w:rPr>
          <w:rStyle w:val="FootnoteReference"/>
          <w:rFonts w:ascii="Gilroy" w:hAnsi="Gilroy"/>
        </w:rPr>
        <w:footnoteReference w:id="15"/>
      </w:r>
      <w:r w:rsidRPr="00775F99">
        <w:rPr>
          <w:rFonts w:ascii="Gilroy" w:hAnsi="Gilroy"/>
        </w:rPr>
        <w:t>. Given the significant legal effects that could result from false identification on such a database, failures to maintain accurate data engage</w:t>
      </w:r>
      <w:r w:rsidR="00E041B2">
        <w:rPr>
          <w:rFonts w:ascii="Gilroy" w:hAnsi="Gilroy"/>
        </w:rPr>
        <w:t>s</w:t>
      </w:r>
      <w:r w:rsidRPr="00775F99">
        <w:rPr>
          <w:rFonts w:ascii="Gilroy" w:hAnsi="Gilroy"/>
        </w:rPr>
        <w:t xml:space="preserve"> other fundamental freedoms such as the right to liberty</w:t>
      </w:r>
      <w:r w:rsidR="00BD1349">
        <w:rPr>
          <w:rFonts w:ascii="Gilroy" w:hAnsi="Gilroy"/>
        </w:rPr>
        <w:t xml:space="preserve"> and security or freedom of movement</w:t>
      </w:r>
      <w:r w:rsidRPr="00775F99">
        <w:rPr>
          <w:rFonts w:ascii="Gilroy" w:hAnsi="Gilroy"/>
        </w:rPr>
        <w:t>. The potential for inconsistencies and inaccuracies to stem from the automated processing of personal data raises additional issues. In the case of the EUSS,</w:t>
      </w:r>
      <w:r w:rsidR="00E041B2">
        <w:rPr>
          <w:rFonts w:ascii="Gilroy" w:hAnsi="Gilroy"/>
        </w:rPr>
        <w:t xml:space="preserve"> </w:t>
      </w:r>
      <w:r w:rsidR="00BD1349">
        <w:rPr>
          <w:rFonts w:ascii="Gilroy" w:hAnsi="Gilroy"/>
        </w:rPr>
        <w:t xml:space="preserve">mentioned </w:t>
      </w:r>
      <w:r w:rsidR="00D62B0F">
        <w:rPr>
          <w:rFonts w:ascii="Gilroy" w:hAnsi="Gilroy"/>
        </w:rPr>
        <w:t>above</w:t>
      </w:r>
      <w:r w:rsidR="00BD1349">
        <w:rPr>
          <w:rFonts w:ascii="Gilroy" w:hAnsi="Gilroy"/>
        </w:rPr>
        <w:t xml:space="preserve">, </w:t>
      </w:r>
      <w:r w:rsidR="00E041B2">
        <w:rPr>
          <w:rFonts w:ascii="Gilroy" w:hAnsi="Gilroy"/>
        </w:rPr>
        <w:t xml:space="preserve">the scheme </w:t>
      </w:r>
      <w:r w:rsidR="00E041B2">
        <w:rPr>
          <w:rFonts w:ascii="Gilroy" w:hAnsi="Gilroy"/>
        </w:rPr>
        <w:t>“</w:t>
      </w:r>
      <w:r w:rsidRPr="00775F99">
        <w:rPr>
          <w:rFonts w:ascii="Gilroy" w:hAnsi="Gilroy"/>
          <w:i/>
          <w:iCs/>
        </w:rPr>
        <w:t xml:space="preserve">is comprised of several databases and </w:t>
      </w:r>
      <w:r w:rsidRPr="00775F99">
        <w:rPr>
          <w:rStyle w:val="highlight"/>
          <w:rFonts w:ascii="Gilroy" w:hAnsi="Gilroy"/>
          <w:i/>
          <w:iCs/>
        </w:rPr>
        <w:t>algorith</w:t>
      </w:r>
      <w:r w:rsidRPr="00775F99">
        <w:rPr>
          <w:rFonts w:ascii="Gilroy" w:hAnsi="Gilroy"/>
          <w:i/>
          <w:iCs/>
        </w:rPr>
        <w:t>mic logics that determine which personal data and what immigration status is displayed during a check</w:t>
      </w:r>
      <w:r w:rsidRPr="00775F99">
        <w:rPr>
          <w:rFonts w:ascii="Gilroy" w:hAnsi="Gilroy"/>
        </w:rPr>
        <w:t>”</w:t>
      </w:r>
      <w:r w:rsidRPr="00775F99">
        <w:rPr>
          <w:rStyle w:val="FootnoteReference"/>
          <w:rFonts w:ascii="Gilroy" w:hAnsi="Gilroy"/>
        </w:rPr>
        <w:footnoteReference w:id="16"/>
      </w:r>
      <w:r w:rsidRPr="00775F99">
        <w:rPr>
          <w:rFonts w:ascii="Gilroy" w:hAnsi="Gilroy"/>
        </w:rPr>
        <w:t xml:space="preserve">. Several </w:t>
      </w:r>
      <w:r w:rsidR="00CF0B66">
        <w:rPr>
          <w:rFonts w:ascii="Gilroy" w:hAnsi="Gilroy"/>
        </w:rPr>
        <w:t>errors</w:t>
      </w:r>
      <w:r w:rsidRPr="00775F99">
        <w:rPr>
          <w:rFonts w:ascii="Gilroy" w:hAnsi="Gilroy"/>
        </w:rPr>
        <w:t xml:space="preserve"> have been identified since the commencement of the digital only status, with the consequence that non-British citizens were left unable to prove their lawful immigrations status</w:t>
      </w:r>
      <w:r w:rsidRPr="00775F99">
        <w:rPr>
          <w:rStyle w:val="FootnoteReference"/>
          <w:rFonts w:ascii="Gilroy" w:hAnsi="Gilroy"/>
        </w:rPr>
        <w:footnoteReference w:id="17"/>
      </w:r>
      <w:r w:rsidRPr="00775F99">
        <w:rPr>
          <w:rFonts w:ascii="Gilroy" w:hAnsi="Gilroy"/>
        </w:rPr>
        <w:t>.  If algorithms are employed without additional human scrutiny</w:t>
      </w:r>
      <w:r w:rsidR="00877BF2">
        <w:rPr>
          <w:rFonts w:ascii="Gilroy" w:hAnsi="Gilroy"/>
        </w:rPr>
        <w:t>,</w:t>
      </w:r>
      <w:r w:rsidRPr="00775F99">
        <w:rPr>
          <w:rFonts w:ascii="Gilroy" w:hAnsi="Gilroy"/>
        </w:rPr>
        <w:t xml:space="preserve"> and immigration administration bodies </w:t>
      </w:r>
      <w:r w:rsidRPr="00775F99">
        <w:rPr>
          <w:rFonts w:ascii="Gilroy" w:hAnsi="Gilroy"/>
        </w:rPr>
        <w:lastRenderedPageBreak/>
        <w:t xml:space="preserve">continue to collect and retain sensitive personal data in large-scale identification systems, </w:t>
      </w:r>
      <w:r w:rsidRPr="00775F99">
        <w:rPr>
          <w:rFonts w:ascii="Gilroy" w:hAnsi="Gilroy"/>
        </w:rPr>
        <w:t>such issues are likely to persist</w:t>
      </w:r>
      <w:r w:rsidR="00BD1349">
        <w:rPr>
          <w:rFonts w:ascii="Gilroy" w:hAnsi="Gilroy"/>
        </w:rPr>
        <w:t xml:space="preserve"> if not amplified</w:t>
      </w:r>
      <w:r w:rsidRPr="00775F99">
        <w:rPr>
          <w:rFonts w:ascii="Gilroy" w:hAnsi="Gilroy"/>
        </w:rPr>
        <w:t xml:space="preserve">. </w:t>
      </w:r>
    </w:p>
    <w:p w14:paraId="45E2975E" w14:textId="26E107B9" w:rsidR="002F1299" w:rsidRDefault="002F1299" w:rsidP="002F1299">
      <w:pPr>
        <w:pStyle w:val="Default"/>
        <w:spacing w:line="276" w:lineRule="auto"/>
        <w:jc w:val="both"/>
        <w:rPr>
          <w:rFonts w:ascii="Gilroy" w:hAnsi="Gilroy"/>
        </w:rPr>
      </w:pPr>
      <w:r>
        <w:rPr>
          <w:rFonts w:ascii="Gilroy" w:hAnsi="Gilroy"/>
        </w:rPr>
        <w:t xml:space="preserve">There are also concerns with such identification databases being used for </w:t>
      </w:r>
      <w:r w:rsidR="00280B8D">
        <w:rPr>
          <w:rFonts w:ascii="Gilroy" w:hAnsi="Gilroy"/>
        </w:rPr>
        <w:t xml:space="preserve">other </w:t>
      </w:r>
      <w:r>
        <w:rPr>
          <w:rFonts w:ascii="Gilroy" w:hAnsi="Gilroy"/>
        </w:rPr>
        <w:t>purposes</w:t>
      </w:r>
      <w:r w:rsidR="00280B8D">
        <w:rPr>
          <w:rFonts w:ascii="Gilroy" w:hAnsi="Gilroy"/>
        </w:rPr>
        <w:t xml:space="preserve"> </w:t>
      </w:r>
      <w:r w:rsidR="000C2E49">
        <w:rPr>
          <w:rFonts w:ascii="Gilroy" w:hAnsi="Gilroy"/>
        </w:rPr>
        <w:t>beyond migration management</w:t>
      </w:r>
      <w:r w:rsidR="00854D41">
        <w:rPr>
          <w:rFonts w:ascii="Gilroy" w:hAnsi="Gilroy"/>
        </w:rPr>
        <w:t xml:space="preserve"> </w:t>
      </w:r>
      <w:r w:rsidR="00280B8D">
        <w:rPr>
          <w:rFonts w:ascii="Gilroy" w:hAnsi="Gilroy"/>
        </w:rPr>
        <w:t>in contrave</w:t>
      </w:r>
      <w:r w:rsidR="00D62B0F">
        <w:rPr>
          <w:rFonts w:ascii="Gilroy" w:hAnsi="Gilroy"/>
        </w:rPr>
        <w:t>nt</w:t>
      </w:r>
      <w:r w:rsidR="00280B8D">
        <w:rPr>
          <w:rFonts w:ascii="Gilroy" w:hAnsi="Gilroy"/>
        </w:rPr>
        <w:t xml:space="preserve">ion of fundamental human </w:t>
      </w:r>
      <w:r w:rsidR="000C2E49">
        <w:rPr>
          <w:rFonts w:ascii="Gilroy" w:hAnsi="Gilroy"/>
        </w:rPr>
        <w:t>rights of migrants and others</w:t>
      </w:r>
      <w:r w:rsidR="0067578D">
        <w:rPr>
          <w:rFonts w:ascii="Gilroy" w:hAnsi="Gilroy"/>
        </w:rPr>
        <w:t>.</w:t>
      </w:r>
      <w:r>
        <w:rPr>
          <w:rFonts w:ascii="Gilroy" w:hAnsi="Gilroy"/>
        </w:rPr>
        <w:t xml:space="preserve"> </w:t>
      </w:r>
      <w:r w:rsidR="0067578D">
        <w:rPr>
          <w:rFonts w:ascii="Gilroy" w:hAnsi="Gilroy"/>
        </w:rPr>
        <w:t xml:space="preserve">For example, as </w:t>
      </w:r>
      <w:r>
        <w:rPr>
          <w:rFonts w:ascii="Gilroy" w:hAnsi="Gilroy"/>
        </w:rPr>
        <w:t>documented by our global partners Hermes in Italy where</w:t>
      </w:r>
      <w:r w:rsidRPr="002F1299">
        <w:rPr>
          <w:rFonts w:ascii="Gilroy" w:hAnsi="Gilroy"/>
        </w:rPr>
        <w:t xml:space="preserve"> biometric data collected during disembarking operations or at the time of arrival </w:t>
      </w:r>
      <w:r w:rsidR="000C2E49">
        <w:rPr>
          <w:rFonts w:ascii="Gilroy" w:hAnsi="Gilroy"/>
        </w:rPr>
        <w:t xml:space="preserve">of migrants </w:t>
      </w:r>
      <w:r w:rsidRPr="002F1299">
        <w:rPr>
          <w:rFonts w:ascii="Gilroy" w:hAnsi="Gilroy"/>
        </w:rPr>
        <w:t xml:space="preserve">on Italian territory are stored in a database (AFIS) that also contains data on potential criminal suspects. The same database is used to </w:t>
      </w:r>
      <w:r w:rsidR="000C2E49">
        <w:rPr>
          <w:rFonts w:ascii="Gilroy" w:hAnsi="Gilroy"/>
        </w:rPr>
        <w:t>identify</w:t>
      </w:r>
      <w:r w:rsidRPr="002F1299">
        <w:rPr>
          <w:rFonts w:ascii="Gilroy" w:hAnsi="Gilroy"/>
        </w:rPr>
        <w:t xml:space="preserve"> matches by the Italian National Police</w:t>
      </w:r>
      <w:r w:rsidR="00D62B0F">
        <w:rPr>
          <w:rFonts w:ascii="Gilroy" w:hAnsi="Gilroy"/>
        </w:rPr>
        <w:t xml:space="preserve"> putting migrants at a higher risk of being wrongfully targeted by law enforcement authorities</w:t>
      </w:r>
      <w:r w:rsidRPr="002F1299">
        <w:rPr>
          <w:rFonts w:ascii="Gilroy" w:hAnsi="Gilroy"/>
        </w:rPr>
        <w:t>.</w:t>
      </w:r>
      <w:r w:rsidRPr="002F1299">
        <w:rPr>
          <w:rFonts w:ascii="Gilroy" w:hAnsi="Gilroy"/>
          <w:vertAlign w:val="superscript"/>
        </w:rPr>
        <w:footnoteReference w:id="18"/>
      </w:r>
    </w:p>
    <w:p w14:paraId="5B091569" w14:textId="29A08A88" w:rsidR="002F1299" w:rsidRDefault="002F1299" w:rsidP="00462C89">
      <w:pPr>
        <w:pStyle w:val="Default"/>
        <w:spacing w:line="276" w:lineRule="auto"/>
        <w:jc w:val="both"/>
        <w:rPr>
          <w:rFonts w:ascii="Gilroy" w:hAnsi="Gilroy"/>
        </w:rPr>
      </w:pPr>
    </w:p>
    <w:p w14:paraId="23655EF6" w14:textId="108189B8" w:rsidR="002F1299" w:rsidRPr="00775F99" w:rsidRDefault="002F1299" w:rsidP="006902FB">
      <w:pPr>
        <w:pStyle w:val="Default"/>
        <w:spacing w:afterLines="142" w:after="340" w:line="276" w:lineRule="auto"/>
        <w:jc w:val="both"/>
        <w:rPr>
          <w:rFonts w:ascii="Gilroy" w:hAnsi="Gilroy"/>
        </w:rPr>
      </w:pPr>
      <w:r>
        <w:t>Governments are not the only actors demanding and processing personal data of migrants, asylum seekers and refugees. Humanitarian and development agencies have long processed their personal data from enrolment/registration to identification and authentication.</w:t>
      </w:r>
      <w:r w:rsidR="003A08A7" w:rsidRPr="003A08A7">
        <w:rPr>
          <w:vertAlign w:val="superscript"/>
        </w:rPr>
        <w:footnoteReference w:id="19"/>
      </w:r>
      <w:r>
        <w:t xml:space="preserve"> The</w:t>
      </w:r>
      <w:r w:rsidR="002B5CB5">
        <w:t>re have been documented</w:t>
      </w:r>
      <w:r>
        <w:t xml:space="preserve"> risks of </w:t>
      </w:r>
      <w:r w:rsidR="002B5CB5">
        <w:t xml:space="preserve">how </w:t>
      </w:r>
      <w:r w:rsidR="000C2E49">
        <w:t>t</w:t>
      </w:r>
      <w:r>
        <w:t xml:space="preserve">his data </w:t>
      </w:r>
      <w:r w:rsidR="002B5CB5">
        <w:t>may be</w:t>
      </w:r>
      <w:r>
        <w:t xml:space="preserve"> used </w:t>
      </w:r>
      <w:r w:rsidR="00746EA3">
        <w:t xml:space="preserve">by governments </w:t>
      </w:r>
      <w:r>
        <w:t>in ways that put individuals at risk have been exposed, for example in relation to data collected by UNHCR on Rohingyas refugees.</w:t>
      </w:r>
      <w:r>
        <w:rPr>
          <w:rStyle w:val="FootnoteReference"/>
        </w:rPr>
        <w:footnoteReference w:id="20"/>
      </w:r>
      <w:r w:rsidR="003A08A7">
        <w:t xml:space="preserve"> </w:t>
      </w:r>
      <w:r w:rsidR="003A08A7">
        <w:t>I</w:t>
      </w:r>
      <w:r w:rsidR="003A08A7" w:rsidRPr="003A08A7">
        <w:t>n the context of Kenya</w:t>
      </w:r>
      <w:r w:rsidR="003A08A7">
        <w:t>, there were</w:t>
      </w:r>
      <w:r w:rsidR="003A08A7" w:rsidRPr="003A08A7">
        <w:t xml:space="preserve"> thousands of Kenyan citizens stuck in legal limbo, unable to obtain national IDs because their fingerprints had been captured in refugee databases</w:t>
      </w:r>
      <w:r w:rsidR="003A08A7">
        <w:t>.</w:t>
      </w:r>
      <w:r w:rsidR="003A08A7" w:rsidRPr="003A08A7">
        <w:rPr>
          <w:vertAlign w:val="superscript"/>
        </w:rPr>
        <w:footnoteReference w:id="21"/>
      </w:r>
    </w:p>
    <w:p w14:paraId="697871CB" w14:textId="1FB8D0F8" w:rsidR="006902FB" w:rsidRPr="00775F99" w:rsidRDefault="006902FB" w:rsidP="00462C89">
      <w:pPr>
        <w:pStyle w:val="Default"/>
        <w:numPr>
          <w:ilvl w:val="0"/>
          <w:numId w:val="13"/>
        </w:numPr>
        <w:spacing w:afterLines="142" w:after="340" w:line="276" w:lineRule="auto"/>
        <w:jc w:val="both"/>
        <w:rPr>
          <w:rFonts w:ascii="Gilroy" w:hAnsi="Gilroy"/>
          <w:b/>
          <w:bCs/>
        </w:rPr>
      </w:pPr>
      <w:r w:rsidRPr="00775F99">
        <w:rPr>
          <w:rFonts w:ascii="Gilroy" w:hAnsi="Gilroy"/>
          <w:b/>
          <w:bCs/>
        </w:rPr>
        <w:t xml:space="preserve">The adoption of privacy-intrusive </w:t>
      </w:r>
      <w:r w:rsidR="00A234E1">
        <w:rPr>
          <w:rFonts w:ascii="Gilroy" w:hAnsi="Gilroy"/>
          <w:b/>
          <w:bCs/>
        </w:rPr>
        <w:t>policies</w:t>
      </w:r>
      <w:r w:rsidR="00A234E1" w:rsidRPr="00775F99">
        <w:rPr>
          <w:rFonts w:ascii="Gilroy" w:hAnsi="Gilroy"/>
          <w:b/>
          <w:bCs/>
        </w:rPr>
        <w:t xml:space="preserve"> </w:t>
      </w:r>
      <w:r w:rsidRPr="00775F99">
        <w:rPr>
          <w:rFonts w:ascii="Gilroy" w:hAnsi="Gilroy"/>
          <w:b/>
          <w:bCs/>
        </w:rPr>
        <w:t xml:space="preserve">by immigration authorities </w:t>
      </w:r>
    </w:p>
    <w:p w14:paraId="53DC44FE" w14:textId="466710DA" w:rsidR="00B559B9" w:rsidRDefault="006902FB" w:rsidP="006902FB">
      <w:pPr>
        <w:pStyle w:val="Default"/>
        <w:spacing w:afterLines="142" w:after="340" w:line="276" w:lineRule="auto"/>
        <w:jc w:val="both"/>
        <w:rPr>
          <w:rFonts w:ascii="Gilroy" w:hAnsi="Gilroy"/>
        </w:rPr>
      </w:pPr>
      <w:r w:rsidRPr="00775F99">
        <w:rPr>
          <w:rFonts w:ascii="Gilroy" w:hAnsi="Gilroy"/>
        </w:rPr>
        <w:t xml:space="preserve">In addition to the constellation of issues surrounding border externalisation, we note with concern </w:t>
      </w:r>
      <w:r w:rsidR="00E4540A">
        <w:rPr>
          <w:rFonts w:ascii="Gilroy" w:hAnsi="Gilroy"/>
        </w:rPr>
        <w:t>that</w:t>
      </w:r>
      <w:r w:rsidRPr="00775F99">
        <w:rPr>
          <w:rFonts w:ascii="Gilroy" w:hAnsi="Gilroy"/>
        </w:rPr>
        <w:t xml:space="preserve"> borders are no longer physical</w:t>
      </w:r>
      <w:r w:rsidR="00E4540A">
        <w:rPr>
          <w:rFonts w:ascii="Gilroy" w:hAnsi="Gilroy"/>
        </w:rPr>
        <w:t xml:space="preserve"> only,</w:t>
      </w:r>
      <w:r w:rsidRPr="00775F99">
        <w:rPr>
          <w:rFonts w:ascii="Gilroy" w:hAnsi="Gilroy"/>
        </w:rPr>
        <w:t xml:space="preserve"> and now extend inwards into </w:t>
      </w:r>
      <w:r w:rsidR="00F431A4">
        <w:rPr>
          <w:rFonts w:ascii="Gilroy" w:hAnsi="Gilroy"/>
        </w:rPr>
        <w:t>the wider management of immigration enforcement</w:t>
      </w:r>
      <w:r w:rsidR="00B559B9">
        <w:rPr>
          <w:rFonts w:ascii="Gilroy" w:hAnsi="Gilroy"/>
        </w:rPr>
        <w:t xml:space="preserve"> by governments</w:t>
      </w:r>
      <w:r w:rsidRPr="00775F99">
        <w:rPr>
          <w:rFonts w:ascii="Gilroy" w:hAnsi="Gilroy"/>
        </w:rPr>
        <w:t xml:space="preserve">. </w:t>
      </w:r>
      <w:r w:rsidR="00E4540A">
        <w:rPr>
          <w:rFonts w:ascii="Gilroy" w:hAnsi="Gilroy"/>
        </w:rPr>
        <w:t>N</w:t>
      </w:r>
      <w:r w:rsidRPr="00775F99">
        <w:rPr>
          <w:rFonts w:ascii="Gilroy" w:hAnsi="Gilroy"/>
        </w:rPr>
        <w:t xml:space="preserve">ational immigration enforcement bodies are </w:t>
      </w:r>
      <w:r w:rsidR="00E4540A">
        <w:rPr>
          <w:rFonts w:ascii="Gilroy" w:hAnsi="Gilroy"/>
        </w:rPr>
        <w:t xml:space="preserve">for example </w:t>
      </w:r>
      <w:r w:rsidRPr="00775F99">
        <w:rPr>
          <w:rFonts w:ascii="Gilroy" w:hAnsi="Gilroy"/>
        </w:rPr>
        <w:t>turning to invasive forms of technology to track and profile migrants</w:t>
      </w:r>
      <w:r w:rsidR="00B559B9">
        <w:rPr>
          <w:rFonts w:ascii="Gilroy" w:hAnsi="Gilroy"/>
        </w:rPr>
        <w:t xml:space="preserve">. We have observed that such practices are impacting </w:t>
      </w:r>
      <w:proofErr w:type="gramStart"/>
      <w:r w:rsidRPr="00775F99">
        <w:rPr>
          <w:rFonts w:ascii="Gilroy" w:hAnsi="Gilroy"/>
        </w:rPr>
        <w:t>particular groups</w:t>
      </w:r>
      <w:proofErr w:type="gramEnd"/>
      <w:r w:rsidR="00B559B9">
        <w:rPr>
          <w:rFonts w:ascii="Gilroy" w:hAnsi="Gilroy"/>
        </w:rPr>
        <w:t xml:space="preserve"> of migrants</w:t>
      </w:r>
      <w:r w:rsidRPr="00775F99">
        <w:rPr>
          <w:rFonts w:ascii="Gilroy" w:hAnsi="Gilroy"/>
        </w:rPr>
        <w:t xml:space="preserve"> – including </w:t>
      </w:r>
      <w:r w:rsidR="00B559B9">
        <w:rPr>
          <w:rFonts w:ascii="Gilroy" w:hAnsi="Gilroy"/>
        </w:rPr>
        <w:t>persons coming to seek asylum</w:t>
      </w:r>
      <w:r w:rsidRPr="00775F99">
        <w:rPr>
          <w:rFonts w:ascii="Gilroy" w:hAnsi="Gilroy"/>
        </w:rPr>
        <w:t xml:space="preserve"> and </w:t>
      </w:r>
      <w:r w:rsidR="00E4540A">
        <w:rPr>
          <w:rFonts w:ascii="Gilroy" w:hAnsi="Gilroy"/>
        </w:rPr>
        <w:t>non-citizens</w:t>
      </w:r>
      <w:r w:rsidR="00E4540A" w:rsidRPr="00775F99">
        <w:rPr>
          <w:rFonts w:ascii="Gilroy" w:hAnsi="Gilroy"/>
        </w:rPr>
        <w:t xml:space="preserve"> </w:t>
      </w:r>
      <w:r w:rsidRPr="00775F99">
        <w:rPr>
          <w:rFonts w:ascii="Gilroy" w:hAnsi="Gilroy"/>
        </w:rPr>
        <w:t>who have previously committed criminal offences.</w:t>
      </w:r>
      <w:r w:rsidR="00E4540A">
        <w:rPr>
          <w:rStyle w:val="FootnoteReference"/>
          <w:rFonts w:ascii="Gilroy" w:hAnsi="Gilroy"/>
        </w:rPr>
        <w:footnoteReference w:id="22"/>
      </w:r>
      <w:r w:rsidRPr="00775F99">
        <w:rPr>
          <w:rFonts w:ascii="Gilroy" w:hAnsi="Gilroy"/>
        </w:rPr>
        <w:t xml:space="preserve"> </w:t>
      </w:r>
      <w:r w:rsidR="00E4540A">
        <w:rPr>
          <w:rFonts w:ascii="Gilroy" w:hAnsi="Gilroy"/>
        </w:rPr>
        <w:t>S</w:t>
      </w:r>
      <w:r w:rsidRPr="00775F99">
        <w:rPr>
          <w:rFonts w:ascii="Gilroy" w:hAnsi="Gilroy"/>
        </w:rPr>
        <w:t>uch mechanisms of surveillance have the potential for function creep and are often result</w:t>
      </w:r>
      <w:r w:rsidR="00E041B2">
        <w:rPr>
          <w:rFonts w:ascii="Gilroy" w:hAnsi="Gilroy"/>
        </w:rPr>
        <w:t>ing</w:t>
      </w:r>
      <w:r w:rsidRPr="00775F99">
        <w:rPr>
          <w:rFonts w:ascii="Gilroy" w:hAnsi="Gilroy"/>
        </w:rPr>
        <w:t xml:space="preserve"> in serious mental health consequences for those subjected to them. </w:t>
      </w:r>
    </w:p>
    <w:p w14:paraId="1EBA85AB" w14:textId="10CF769A" w:rsidR="006902FB" w:rsidRPr="00775F99" w:rsidRDefault="00EC2938" w:rsidP="006902FB">
      <w:pPr>
        <w:pStyle w:val="Default"/>
        <w:spacing w:afterLines="142" w:after="340" w:line="276" w:lineRule="auto"/>
        <w:jc w:val="both"/>
        <w:rPr>
          <w:rFonts w:ascii="Gilroy" w:hAnsi="Gilroy"/>
        </w:rPr>
      </w:pPr>
      <w:r>
        <w:rPr>
          <w:rFonts w:ascii="Gilroy" w:hAnsi="Gilroy"/>
        </w:rPr>
        <w:lastRenderedPageBreak/>
        <w:t>While the examples raised above in relation to the data intensive ID systems and spreading of surveillance technologies outside the borders are also examples of this phenomenon, hereinafter,</w:t>
      </w:r>
      <w:r w:rsidR="00B559B9">
        <w:rPr>
          <w:rFonts w:ascii="Gilroy" w:hAnsi="Gilroy"/>
        </w:rPr>
        <w:t xml:space="preserve"> we </w:t>
      </w:r>
      <w:r w:rsidR="006902FB" w:rsidRPr="00775F99">
        <w:rPr>
          <w:rFonts w:ascii="Gilroy" w:hAnsi="Gilroy"/>
        </w:rPr>
        <w:t xml:space="preserve">focus on two examples of this phenomenon which PI has actively sought to document, research, and challenge – namely GPS monitoring of migrants and the extraction of data from mobile devices seized from migrants. </w:t>
      </w:r>
    </w:p>
    <w:p w14:paraId="74A6C6D6" w14:textId="12A214AE" w:rsidR="006902FB" w:rsidRPr="00775F99" w:rsidRDefault="006902FB" w:rsidP="006902FB">
      <w:pPr>
        <w:pStyle w:val="Default"/>
        <w:spacing w:afterLines="142" w:after="340" w:line="276" w:lineRule="auto"/>
        <w:jc w:val="both"/>
        <w:rPr>
          <w:rFonts w:ascii="Gilroy" w:hAnsi="Gilroy"/>
          <w:i/>
          <w:iCs/>
        </w:rPr>
      </w:pPr>
      <w:r w:rsidRPr="00775F99">
        <w:rPr>
          <w:rFonts w:ascii="Gilroy" w:hAnsi="Gilroy"/>
          <w:i/>
          <w:iCs/>
        </w:rPr>
        <w:t xml:space="preserve">GPS monitoring and the surveillance of migrants </w:t>
      </w:r>
    </w:p>
    <w:p w14:paraId="075F0721" w14:textId="32D0B5B8" w:rsidR="006902FB" w:rsidRPr="00775F99" w:rsidRDefault="006902FB" w:rsidP="00E4540A">
      <w:pPr>
        <w:pStyle w:val="Default"/>
        <w:spacing w:afterLines="142" w:after="340" w:line="276" w:lineRule="auto"/>
        <w:jc w:val="both"/>
        <w:rPr>
          <w:rFonts w:ascii="Gilroy" w:hAnsi="Gilroy"/>
        </w:rPr>
      </w:pPr>
      <w:r w:rsidRPr="00775F99">
        <w:rPr>
          <w:rFonts w:ascii="Gilroy" w:hAnsi="Gilroy"/>
        </w:rPr>
        <w:t xml:space="preserve">In the UK, </w:t>
      </w:r>
      <w:r w:rsidR="00631B76">
        <w:rPr>
          <w:rFonts w:ascii="Gilroy" w:hAnsi="Gilroy"/>
        </w:rPr>
        <w:t xml:space="preserve">the Home Office has recently introduced </w:t>
      </w:r>
      <w:proofErr w:type="gramStart"/>
      <w:r w:rsidR="00631B76">
        <w:rPr>
          <w:rFonts w:ascii="Gilroy" w:hAnsi="Gilroy"/>
        </w:rPr>
        <w:t>highly-intrusive</w:t>
      </w:r>
      <w:proofErr w:type="gramEnd"/>
      <w:r w:rsidR="00631B76">
        <w:rPr>
          <w:rFonts w:ascii="Gilroy" w:hAnsi="Gilroy"/>
        </w:rPr>
        <w:t xml:space="preserve"> </w:t>
      </w:r>
      <w:r w:rsidR="00631B76" w:rsidRPr="00775F99">
        <w:rPr>
          <w:rFonts w:ascii="Gilroy" w:hAnsi="Gilroy"/>
        </w:rPr>
        <w:t>Global Positioning System (GPS) devices</w:t>
      </w:r>
      <w:r w:rsidR="00631B76">
        <w:rPr>
          <w:rStyle w:val="FootnoteReference"/>
          <w:rFonts w:ascii="Gilroy" w:hAnsi="Gilroy"/>
        </w:rPr>
        <w:footnoteReference w:id="23"/>
      </w:r>
      <w:r w:rsidR="00631B76">
        <w:rPr>
          <w:rFonts w:ascii="Gilroy" w:hAnsi="Gilroy"/>
        </w:rPr>
        <w:t>, which</w:t>
      </w:r>
      <w:r w:rsidR="00631B76" w:rsidRPr="00775F99">
        <w:rPr>
          <w:rFonts w:ascii="Gilroy" w:hAnsi="Gilroy"/>
        </w:rPr>
        <w:t xml:space="preserve"> monitor an individual’s location 24/7 in real time</w:t>
      </w:r>
      <w:r w:rsidR="00BC15E2">
        <w:rPr>
          <w:rFonts w:ascii="Gilroy" w:hAnsi="Gilroy"/>
        </w:rPr>
        <w:t>, to monitor migrants</w:t>
      </w:r>
      <w:r w:rsidR="00631B76" w:rsidRPr="00775F99">
        <w:rPr>
          <w:rFonts w:ascii="Gilroy" w:hAnsi="Gilroy"/>
        </w:rPr>
        <w:t>.</w:t>
      </w:r>
      <w:r w:rsidRPr="00775F99">
        <w:rPr>
          <w:rStyle w:val="FootnoteReference"/>
          <w:rFonts w:ascii="Gilroy" w:hAnsi="Gilroy"/>
        </w:rPr>
        <w:footnoteReference w:id="24"/>
      </w:r>
      <w:r w:rsidRPr="00775F99">
        <w:rPr>
          <w:rFonts w:ascii="Gilroy" w:hAnsi="Gilroy"/>
        </w:rPr>
        <w:t xml:space="preserve"> </w:t>
      </w:r>
      <w:r w:rsidR="00E4540A">
        <w:rPr>
          <w:rFonts w:ascii="Gilroy" w:hAnsi="Gilroy"/>
        </w:rPr>
        <w:t>In</w:t>
      </w:r>
      <w:r w:rsidRPr="00775F99">
        <w:rPr>
          <w:rFonts w:ascii="Gilroy" w:hAnsi="Gilroy"/>
        </w:rPr>
        <w:t xml:space="preserve"> June 2022</w:t>
      </w:r>
      <w:r w:rsidR="00BC15E2">
        <w:rPr>
          <w:rFonts w:ascii="Gilroy" w:hAnsi="Gilroy"/>
        </w:rPr>
        <w:t>,</w:t>
      </w:r>
      <w:r w:rsidRPr="00775F99">
        <w:rPr>
          <w:rFonts w:ascii="Gilroy" w:hAnsi="Gilroy"/>
        </w:rPr>
        <w:t xml:space="preserve"> </w:t>
      </w:r>
      <w:r w:rsidR="00BC15E2">
        <w:rPr>
          <w:rFonts w:ascii="Gilroy" w:hAnsi="Gilroy"/>
        </w:rPr>
        <w:t>the UK authorities</w:t>
      </w:r>
      <w:r w:rsidRPr="00775F99">
        <w:rPr>
          <w:rFonts w:ascii="Gilroy" w:hAnsi="Gilroy"/>
        </w:rPr>
        <w:t xml:space="preserve"> announced a pilot policy to tag non-offenders who claimed asylum after having entered the UK via “dangerous and irregular routes”</w:t>
      </w:r>
      <w:r w:rsidRPr="00775F99">
        <w:rPr>
          <w:rStyle w:val="FootnoteReference"/>
          <w:rFonts w:ascii="Gilroy" w:hAnsi="Gilroy"/>
        </w:rPr>
        <w:footnoteReference w:id="25"/>
      </w:r>
      <w:r w:rsidRPr="00775F99">
        <w:rPr>
          <w:rFonts w:ascii="Gilroy" w:hAnsi="Gilroy"/>
        </w:rPr>
        <w:t xml:space="preserve">. </w:t>
      </w:r>
      <w:r w:rsidR="0003134B">
        <w:rPr>
          <w:rFonts w:ascii="Gilroy" w:hAnsi="Gilroy"/>
        </w:rPr>
        <w:t>As the</w:t>
      </w:r>
      <w:r w:rsidR="00BC15E2">
        <w:rPr>
          <w:rFonts w:ascii="Gilroy" w:hAnsi="Gilroy"/>
        </w:rPr>
        <w:t xml:space="preserve"> “regular”</w:t>
      </w:r>
      <w:r w:rsidR="0003134B">
        <w:rPr>
          <w:rFonts w:ascii="Gilroy" w:hAnsi="Gilroy"/>
        </w:rPr>
        <w:t xml:space="preserve"> routes to seeking asylum in the UK have been virtually annihilated</w:t>
      </w:r>
      <w:r w:rsidR="00BC15E2">
        <w:rPr>
          <w:rFonts w:ascii="Gilroy" w:hAnsi="Gilroy"/>
        </w:rPr>
        <w:t>,</w:t>
      </w:r>
      <w:r w:rsidR="0003134B">
        <w:rPr>
          <w:rStyle w:val="FootnoteReference"/>
          <w:rFonts w:ascii="Gilroy" w:hAnsi="Gilroy"/>
        </w:rPr>
        <w:footnoteReference w:id="26"/>
      </w:r>
      <w:r w:rsidR="0003134B">
        <w:rPr>
          <w:rFonts w:ascii="Gilroy" w:hAnsi="Gilroy"/>
        </w:rPr>
        <w:t xml:space="preserve"> this means virtually any asylum seeker can be subject to tagging. </w:t>
      </w:r>
    </w:p>
    <w:p w14:paraId="63A12021" w14:textId="15E318F1" w:rsidR="006902FB" w:rsidRPr="00775F99" w:rsidRDefault="006902FB" w:rsidP="006902FB">
      <w:pPr>
        <w:pStyle w:val="Default"/>
        <w:spacing w:afterLines="142" w:after="340" w:line="276" w:lineRule="auto"/>
        <w:jc w:val="both"/>
        <w:rPr>
          <w:rFonts w:ascii="Gilroy" w:hAnsi="Gilroy"/>
        </w:rPr>
      </w:pPr>
      <w:r w:rsidRPr="00775F99">
        <w:rPr>
          <w:rFonts w:ascii="Gilroy" w:hAnsi="Gilroy"/>
        </w:rPr>
        <w:t xml:space="preserve">Until November 2022, the devices were </w:t>
      </w:r>
      <w:r w:rsidR="00A234E1">
        <w:rPr>
          <w:rFonts w:ascii="Gilroy" w:hAnsi="Gilroy"/>
        </w:rPr>
        <w:t>all</w:t>
      </w:r>
      <w:r w:rsidR="00A234E1" w:rsidRPr="00775F99">
        <w:rPr>
          <w:rFonts w:ascii="Gilroy" w:hAnsi="Gilroy"/>
        </w:rPr>
        <w:t xml:space="preserve"> </w:t>
      </w:r>
      <w:r w:rsidR="0003134B">
        <w:rPr>
          <w:rFonts w:ascii="Gilroy" w:hAnsi="Gilroy"/>
        </w:rPr>
        <w:t xml:space="preserve">non-removeable </w:t>
      </w:r>
      <w:r w:rsidRPr="00775F99">
        <w:rPr>
          <w:rFonts w:ascii="Gilroy" w:hAnsi="Gilroy"/>
        </w:rPr>
        <w:t xml:space="preserve">ankle tags. However, since </w:t>
      </w:r>
      <w:r w:rsidR="00A234E1">
        <w:rPr>
          <w:rFonts w:ascii="Gilroy" w:hAnsi="Gilroy"/>
        </w:rPr>
        <w:t>then</w:t>
      </w:r>
      <w:r w:rsidRPr="00775F99">
        <w:rPr>
          <w:rFonts w:ascii="Gilroy" w:hAnsi="Gilroy"/>
        </w:rPr>
        <w:t xml:space="preserve"> </w:t>
      </w:r>
      <w:r w:rsidR="00BC15E2">
        <w:rPr>
          <w:rFonts w:ascii="Gilroy" w:hAnsi="Gilroy"/>
        </w:rPr>
        <w:t>the UK authorities</w:t>
      </w:r>
      <w:r w:rsidRPr="00775F99">
        <w:rPr>
          <w:rFonts w:ascii="Gilroy" w:hAnsi="Gilroy"/>
        </w:rPr>
        <w:t xml:space="preserve"> ha</w:t>
      </w:r>
      <w:r w:rsidR="00BC15E2">
        <w:rPr>
          <w:rFonts w:ascii="Gilroy" w:hAnsi="Gilroy"/>
        </w:rPr>
        <w:t>ve</w:t>
      </w:r>
      <w:r w:rsidRPr="00775F99">
        <w:rPr>
          <w:rFonts w:ascii="Gilroy" w:hAnsi="Gilroy"/>
        </w:rPr>
        <w:t xml:space="preserve"> begun to roll out devices that are not attached to the individual but must be </w:t>
      </w:r>
      <w:proofErr w:type="gramStart"/>
      <w:r w:rsidRPr="00775F99">
        <w:rPr>
          <w:rFonts w:ascii="Gilroy" w:hAnsi="Gilroy"/>
        </w:rPr>
        <w:t>carried by the person at all times</w:t>
      </w:r>
      <w:proofErr w:type="gramEnd"/>
      <w:r w:rsidR="00BC15E2">
        <w:rPr>
          <w:rFonts w:ascii="Gilroy" w:hAnsi="Gilroy"/>
        </w:rPr>
        <w:t>.</w:t>
      </w:r>
      <w:r w:rsidRPr="00775F99">
        <w:rPr>
          <w:rStyle w:val="FootnoteReference"/>
          <w:rFonts w:ascii="Gilroy" w:hAnsi="Gilroy"/>
        </w:rPr>
        <w:footnoteReference w:id="27"/>
      </w:r>
      <w:r w:rsidRPr="00775F99">
        <w:rPr>
          <w:rFonts w:ascii="Gilroy" w:hAnsi="Gilroy"/>
        </w:rPr>
        <w:t xml:space="preserve"> These new devices require the individual to input biometric fingerprint data </w:t>
      </w:r>
      <w:r w:rsidR="0003134B">
        <w:rPr>
          <w:rFonts w:ascii="Gilroy" w:hAnsi="Gilroy"/>
        </w:rPr>
        <w:t>upon random requests, up to five times a day</w:t>
      </w:r>
      <w:r w:rsidRPr="00775F99">
        <w:rPr>
          <w:rFonts w:ascii="Gilroy" w:hAnsi="Gilroy"/>
        </w:rPr>
        <w:t xml:space="preserve">. </w:t>
      </w:r>
    </w:p>
    <w:p w14:paraId="375A7319" w14:textId="7C5AD1A0" w:rsidR="006902FB" w:rsidRPr="00775F99" w:rsidRDefault="006902FB" w:rsidP="006902FB">
      <w:pPr>
        <w:pStyle w:val="Default"/>
        <w:spacing w:afterLines="142" w:after="340" w:line="276" w:lineRule="auto"/>
        <w:jc w:val="both"/>
        <w:rPr>
          <w:rFonts w:ascii="Gilroy" w:hAnsi="Gilroy"/>
        </w:rPr>
      </w:pPr>
      <w:r w:rsidRPr="00775F99">
        <w:rPr>
          <w:rFonts w:ascii="Gilroy" w:hAnsi="Gilroy"/>
        </w:rPr>
        <w:t xml:space="preserve">PI is concerned about the deployment of increasingly intrusive surveillance technologies on migrant populations once they cross national borders. In the UK’s case, GPS tracking is far more invasive than </w:t>
      </w:r>
      <w:r w:rsidR="00BC15E2">
        <w:rPr>
          <w:rFonts w:ascii="Gilroy" w:hAnsi="Gilroy"/>
        </w:rPr>
        <w:t>previous tracking methods</w:t>
      </w:r>
      <w:r w:rsidRPr="00775F99">
        <w:rPr>
          <w:rFonts w:ascii="Gilroy" w:hAnsi="Gilroy"/>
        </w:rPr>
        <w:t xml:space="preserve"> as it constantly collects and retains personal locational data rather than assessing whether an individual is present or absent from a certain location. </w:t>
      </w:r>
      <w:r w:rsidR="0003134B">
        <w:rPr>
          <w:rFonts w:ascii="Gilroy" w:hAnsi="Gilroy"/>
        </w:rPr>
        <w:t xml:space="preserve">This invasive practice is currently subject to complaints and legal claims for breach of public law, human </w:t>
      </w:r>
      <w:proofErr w:type="gramStart"/>
      <w:r w:rsidR="0003134B">
        <w:rPr>
          <w:rFonts w:ascii="Gilroy" w:hAnsi="Gilroy"/>
        </w:rPr>
        <w:t>rights</w:t>
      </w:r>
      <w:proofErr w:type="gramEnd"/>
      <w:r w:rsidR="0003134B">
        <w:rPr>
          <w:rFonts w:ascii="Gilroy" w:hAnsi="Gilroy"/>
        </w:rPr>
        <w:t xml:space="preserve"> and data protection laws</w:t>
      </w:r>
      <w:r w:rsidR="004416AD">
        <w:rPr>
          <w:rFonts w:ascii="Gilroy" w:hAnsi="Gilroy"/>
        </w:rPr>
        <w:t>.</w:t>
      </w:r>
      <w:r w:rsidR="0003134B">
        <w:rPr>
          <w:rStyle w:val="FootnoteReference"/>
          <w:rFonts w:ascii="Gilroy" w:hAnsi="Gilroy"/>
        </w:rPr>
        <w:footnoteReference w:id="28"/>
      </w:r>
      <w:r w:rsidR="0003134B">
        <w:rPr>
          <w:rFonts w:ascii="Gilroy" w:hAnsi="Gilroy"/>
        </w:rPr>
        <w:t xml:space="preserve"> </w:t>
      </w:r>
    </w:p>
    <w:p w14:paraId="7C4D49AF" w14:textId="325AB988" w:rsidR="0043402F" w:rsidRDefault="006902FB" w:rsidP="006902FB">
      <w:pPr>
        <w:pStyle w:val="Default"/>
        <w:spacing w:afterLines="142" w:after="340" w:line="276" w:lineRule="auto"/>
        <w:jc w:val="both"/>
        <w:rPr>
          <w:rFonts w:ascii="Gilroy" w:hAnsi="Gilroy"/>
        </w:rPr>
      </w:pPr>
      <w:r w:rsidRPr="00775F99">
        <w:rPr>
          <w:rFonts w:ascii="Gilroy" w:hAnsi="Gilroy"/>
        </w:rPr>
        <w:t>In the US, immigration authorities are deploying analogous GPS tracking programmes, which also use both ankle devices and hand-held ones that incorporate biometric scanners</w:t>
      </w:r>
      <w:r w:rsidR="00BC15E2">
        <w:rPr>
          <w:rFonts w:ascii="Gilroy" w:hAnsi="Gilroy"/>
        </w:rPr>
        <w:t>.</w:t>
      </w:r>
      <w:r w:rsidRPr="00775F99">
        <w:rPr>
          <w:rStyle w:val="FootnoteReference"/>
          <w:rFonts w:ascii="Gilroy" w:hAnsi="Gilroy"/>
        </w:rPr>
        <w:footnoteReference w:id="29"/>
      </w:r>
      <w:r w:rsidRPr="00775F99">
        <w:rPr>
          <w:rFonts w:ascii="Gilroy" w:hAnsi="Gilroy"/>
        </w:rPr>
        <w:t xml:space="preserve"> As of April 2022, 216,000 migrants were subject to such conditions despite the </w:t>
      </w:r>
      <w:r w:rsidRPr="00775F99">
        <w:rPr>
          <w:rFonts w:ascii="Gilroy" w:hAnsi="Gilroy"/>
        </w:rPr>
        <w:lastRenderedPageBreak/>
        <w:t>presence of other means of maintaining contact with migrants including reporting requirements</w:t>
      </w:r>
      <w:r w:rsidR="00BC15E2">
        <w:rPr>
          <w:rFonts w:ascii="Gilroy" w:hAnsi="Gilroy"/>
        </w:rPr>
        <w:t>.</w:t>
      </w:r>
      <w:r w:rsidRPr="00775F99">
        <w:rPr>
          <w:rStyle w:val="FootnoteReference"/>
          <w:rFonts w:ascii="Gilroy" w:hAnsi="Gilroy"/>
        </w:rPr>
        <w:footnoteReference w:id="30"/>
      </w:r>
      <w:r w:rsidRPr="00775F99">
        <w:rPr>
          <w:rFonts w:ascii="Gilroy" w:hAnsi="Gilroy"/>
        </w:rPr>
        <w:t xml:space="preserve"> </w:t>
      </w:r>
    </w:p>
    <w:p w14:paraId="6D48D9B8" w14:textId="5FF4BCA5" w:rsidR="006902FB" w:rsidRPr="00775F99" w:rsidRDefault="006902FB" w:rsidP="006902FB">
      <w:pPr>
        <w:pStyle w:val="Default"/>
        <w:spacing w:afterLines="142" w:after="340" w:line="276" w:lineRule="auto"/>
        <w:jc w:val="both"/>
        <w:rPr>
          <w:rFonts w:ascii="Gilroy" w:hAnsi="Gilroy"/>
        </w:rPr>
      </w:pPr>
      <w:r w:rsidRPr="00775F99">
        <w:rPr>
          <w:rFonts w:ascii="Gilroy" w:hAnsi="Gilroy"/>
        </w:rPr>
        <w:t>Both in the UK and the US, the use of GPS tagging in immigration enforcement is said by governments to constitute a humane alternative to detention. However, research by civil society organisations has demonstrated that individuals experience tagging as akin to imprisonment and a form of psychological torture</w:t>
      </w:r>
      <w:r w:rsidR="00BC15E2">
        <w:rPr>
          <w:rFonts w:ascii="Gilroy" w:hAnsi="Gilroy"/>
        </w:rPr>
        <w:t>.</w:t>
      </w:r>
      <w:r w:rsidRPr="00775F99">
        <w:rPr>
          <w:rStyle w:val="FootnoteReference"/>
          <w:rFonts w:ascii="Gilroy" w:hAnsi="Gilroy"/>
        </w:rPr>
        <w:footnoteReference w:id="31"/>
      </w:r>
      <w:r w:rsidRPr="00775F99">
        <w:rPr>
          <w:rFonts w:ascii="Gilroy" w:hAnsi="Gilroy"/>
        </w:rPr>
        <w:t xml:space="preserve"> In light of the serious implications for the wearers’ mental state and the possibility of furthering immigration control purposes by less intrusive means, we believe that the deployment of blanket 24/7 GPS surveillance on migrants </w:t>
      </w:r>
      <w:r w:rsidR="00A234E1">
        <w:rPr>
          <w:rFonts w:ascii="Gilroy" w:hAnsi="Gilroy"/>
        </w:rPr>
        <w:t>constitutes a</w:t>
      </w:r>
      <w:r w:rsidRPr="00775F99">
        <w:rPr>
          <w:rFonts w:ascii="Gilroy" w:hAnsi="Gilroy"/>
        </w:rPr>
        <w:t xml:space="preserve"> breach of the right to privacy. </w:t>
      </w:r>
    </w:p>
    <w:p w14:paraId="1ED55A69" w14:textId="77777777" w:rsidR="006902FB" w:rsidRPr="00775F99" w:rsidRDefault="006902FB" w:rsidP="006902FB">
      <w:pPr>
        <w:pStyle w:val="Default"/>
        <w:spacing w:afterLines="142" w:after="340" w:line="276" w:lineRule="auto"/>
        <w:jc w:val="both"/>
        <w:rPr>
          <w:rFonts w:ascii="Gilroy" w:hAnsi="Gilroy"/>
          <w:i/>
          <w:iCs/>
        </w:rPr>
      </w:pPr>
      <w:r w:rsidRPr="00775F99">
        <w:rPr>
          <w:rFonts w:ascii="Gilroy" w:hAnsi="Gilroy"/>
          <w:i/>
          <w:iCs/>
        </w:rPr>
        <w:t xml:space="preserve">Phone seizures and data extraction </w:t>
      </w:r>
    </w:p>
    <w:p w14:paraId="79FA3DA4" w14:textId="7EB5361E" w:rsidR="006902FB" w:rsidRPr="00775F99" w:rsidRDefault="003A08A7" w:rsidP="006902FB">
      <w:pPr>
        <w:pStyle w:val="Default"/>
        <w:spacing w:afterLines="142" w:after="340" w:line="276" w:lineRule="auto"/>
        <w:jc w:val="both"/>
        <w:rPr>
          <w:rFonts w:ascii="Gilroy" w:hAnsi="Gilroy"/>
          <w:lang w:val="en-US"/>
        </w:rPr>
      </w:pPr>
      <w:r>
        <w:rPr>
          <w:rFonts w:ascii="Gilroy" w:hAnsi="Gilroy"/>
        </w:rPr>
        <w:t>Increasingly</w:t>
      </w:r>
      <w:r w:rsidR="006902FB" w:rsidRPr="00775F99">
        <w:rPr>
          <w:rFonts w:ascii="Gilroy" w:hAnsi="Gilroy"/>
          <w:lang w:val="en-US"/>
        </w:rPr>
        <w:t xml:space="preserve"> </w:t>
      </w:r>
      <w:r w:rsidR="007A59AA">
        <w:rPr>
          <w:rFonts w:ascii="Gilroy" w:hAnsi="Gilroy"/>
          <w:lang w:val="en-US"/>
        </w:rPr>
        <w:t>public authorities</w:t>
      </w:r>
      <w:r w:rsidR="0043402F" w:rsidRPr="00775F99">
        <w:rPr>
          <w:rFonts w:ascii="Gilroy" w:hAnsi="Gilroy"/>
          <w:lang w:val="en-US"/>
        </w:rPr>
        <w:t xml:space="preserve"> </w:t>
      </w:r>
      <w:r>
        <w:rPr>
          <w:rFonts w:ascii="Gilroy" w:hAnsi="Gilroy"/>
          <w:lang w:val="en-US"/>
        </w:rPr>
        <w:t>have been</w:t>
      </w:r>
      <w:r w:rsidR="006902FB" w:rsidRPr="00775F99">
        <w:rPr>
          <w:rFonts w:ascii="Gilroy" w:hAnsi="Gilroy"/>
          <w:lang w:val="en-US"/>
        </w:rPr>
        <w:t xml:space="preserve"> (or have until recently been) operating phone seizure and data extraction policies in relation to asylum seekers who </w:t>
      </w:r>
      <w:r w:rsidR="0043402F">
        <w:rPr>
          <w:rFonts w:ascii="Gilroy" w:hAnsi="Gilroy"/>
          <w:lang w:val="en-US"/>
        </w:rPr>
        <w:t xml:space="preserve">are deemed to be </w:t>
      </w:r>
      <w:r w:rsidR="006902FB" w:rsidRPr="00775F99">
        <w:rPr>
          <w:rFonts w:ascii="Gilroy" w:hAnsi="Gilroy"/>
          <w:lang w:val="en-US"/>
        </w:rPr>
        <w:t>arriv</w:t>
      </w:r>
      <w:r w:rsidR="0043402F">
        <w:rPr>
          <w:rFonts w:ascii="Gilroy" w:hAnsi="Gilroy"/>
          <w:lang w:val="en-US"/>
        </w:rPr>
        <w:t>ing</w:t>
      </w:r>
      <w:r w:rsidR="006902FB" w:rsidRPr="00775F99">
        <w:rPr>
          <w:rFonts w:ascii="Gilroy" w:hAnsi="Gilroy"/>
          <w:lang w:val="en-US"/>
        </w:rPr>
        <w:t xml:space="preserve"> in the country via </w:t>
      </w:r>
      <w:r w:rsidR="00F458B4">
        <w:rPr>
          <w:rFonts w:ascii="Gilroy" w:hAnsi="Gilroy"/>
          <w:lang w:val="en-US"/>
        </w:rPr>
        <w:t>“</w:t>
      </w:r>
      <w:r w:rsidR="006902FB" w:rsidRPr="00775F99">
        <w:rPr>
          <w:rFonts w:ascii="Gilroy" w:hAnsi="Gilroy"/>
          <w:lang w:val="en-US"/>
        </w:rPr>
        <w:t>irregular means</w:t>
      </w:r>
      <w:r w:rsidR="00F458B4">
        <w:rPr>
          <w:rFonts w:ascii="Gilroy" w:hAnsi="Gilroy"/>
          <w:lang w:val="en-US"/>
        </w:rPr>
        <w:t>”</w:t>
      </w:r>
      <w:r w:rsidR="00BC15E2">
        <w:rPr>
          <w:rFonts w:ascii="Gilroy" w:hAnsi="Gilroy"/>
          <w:lang w:val="en-US"/>
        </w:rPr>
        <w:t>.</w:t>
      </w:r>
      <w:r w:rsidR="006902FB" w:rsidRPr="00775F99">
        <w:rPr>
          <w:rStyle w:val="FootnoteReference"/>
          <w:rFonts w:ascii="Gilroy" w:hAnsi="Gilroy"/>
          <w:lang w:val="en-US"/>
        </w:rPr>
        <w:footnoteReference w:id="32"/>
      </w:r>
      <w:r w:rsidR="006902FB" w:rsidRPr="00775F99">
        <w:rPr>
          <w:rFonts w:ascii="Gilroy" w:hAnsi="Gilroy"/>
          <w:lang w:val="en-US"/>
        </w:rPr>
        <w:t xml:space="preserve"> The concerns we have with the adoption of such surveillance practices are very similar to the issues we have identified in relation to the ongoing use of GPS tracking on migrants. The</w:t>
      </w:r>
      <w:r w:rsidR="007A59AA">
        <w:rPr>
          <w:rFonts w:ascii="Gilroy" w:hAnsi="Gilroy"/>
          <w:lang w:val="en-US"/>
        </w:rPr>
        <w:t>se</w:t>
      </w:r>
      <w:r w:rsidR="006902FB" w:rsidRPr="00775F99">
        <w:rPr>
          <w:rFonts w:ascii="Gilroy" w:hAnsi="Gilroy"/>
          <w:lang w:val="en-US"/>
        </w:rPr>
        <w:t xml:space="preserve"> technologies </w:t>
      </w:r>
      <w:r w:rsidR="0043402F">
        <w:rPr>
          <w:rFonts w:ascii="Gilroy" w:hAnsi="Gilroy"/>
          <w:lang w:val="en-US"/>
        </w:rPr>
        <w:t xml:space="preserve">increasingly available </w:t>
      </w:r>
      <w:r w:rsidR="006902FB" w:rsidRPr="00775F99">
        <w:rPr>
          <w:rFonts w:ascii="Gilroy" w:hAnsi="Gilroy"/>
          <w:lang w:val="en-US"/>
        </w:rPr>
        <w:t xml:space="preserve">to border officials </w:t>
      </w:r>
      <w:r w:rsidR="00F458B4">
        <w:rPr>
          <w:rFonts w:ascii="Gilroy" w:hAnsi="Gilroy"/>
          <w:lang w:val="en-US"/>
        </w:rPr>
        <w:t>are</w:t>
      </w:r>
      <w:r w:rsidR="006902FB" w:rsidRPr="00775F99">
        <w:rPr>
          <w:rFonts w:ascii="Gilroy" w:hAnsi="Gilroy"/>
          <w:lang w:val="en-US"/>
        </w:rPr>
        <w:t xml:space="preserve"> extremely intrusive</w:t>
      </w:r>
      <w:r w:rsidR="00CE0D20">
        <w:rPr>
          <w:rFonts w:ascii="Gilroy" w:hAnsi="Gilroy"/>
          <w:lang w:val="en-US"/>
        </w:rPr>
        <w:t>.</w:t>
      </w:r>
      <w:r w:rsidR="00BC15E2">
        <w:rPr>
          <w:rStyle w:val="FootnoteReference"/>
          <w:rFonts w:ascii="Gilroy" w:hAnsi="Gilroy"/>
          <w:lang w:val="en-US"/>
        </w:rPr>
        <w:footnoteReference w:id="33"/>
      </w:r>
      <w:r w:rsidR="00CE0D20">
        <w:rPr>
          <w:rFonts w:ascii="Gilroy" w:hAnsi="Gilroy"/>
          <w:lang w:val="en-US"/>
        </w:rPr>
        <w:t xml:space="preserve"> Th</w:t>
      </w:r>
      <w:r w:rsidR="00F458B4">
        <w:rPr>
          <w:rFonts w:ascii="Gilroy" w:hAnsi="Gilroy"/>
          <w:lang w:val="en-US"/>
        </w:rPr>
        <w:t>ey</w:t>
      </w:r>
      <w:r w:rsidR="006902FB" w:rsidRPr="00775F99">
        <w:rPr>
          <w:rFonts w:ascii="Gilroy" w:hAnsi="Gilroy"/>
          <w:lang w:val="en-US"/>
        </w:rPr>
        <w:t xml:space="preserve"> enable the authorities to download an individual</w:t>
      </w:r>
      <w:r w:rsidR="00F458B4">
        <w:rPr>
          <w:rFonts w:ascii="Gilroy" w:hAnsi="Gilroy"/>
          <w:lang w:val="en-US"/>
        </w:rPr>
        <w:t>’</w:t>
      </w:r>
      <w:r w:rsidR="006902FB" w:rsidRPr="00775F99">
        <w:rPr>
          <w:rFonts w:ascii="Gilroy" w:hAnsi="Gilroy"/>
          <w:lang w:val="en-US"/>
        </w:rPr>
        <w:t>s contacts, call metadata, text messages, stored files (such as photos and videos), location data</w:t>
      </w:r>
      <w:r w:rsidR="00F458B4">
        <w:rPr>
          <w:rFonts w:ascii="Gilroy" w:hAnsi="Gilroy"/>
          <w:lang w:val="en-US"/>
        </w:rPr>
        <w:t>, and many other types of intimate and sensitive data</w:t>
      </w:r>
      <w:r w:rsidR="006902FB" w:rsidRPr="00775F99">
        <w:rPr>
          <w:rFonts w:ascii="Gilroy" w:hAnsi="Gilroy"/>
          <w:lang w:val="en-US"/>
        </w:rPr>
        <w:t>.</w:t>
      </w:r>
      <w:r w:rsidR="00F458B4">
        <w:rPr>
          <w:rFonts w:ascii="Gilroy" w:hAnsi="Gilroy"/>
          <w:lang w:val="en-US"/>
        </w:rPr>
        <w:t xml:space="preserve"> Individuals are sometimes left without their phones, and hence without any contact with their families and friends, for months – and do not know what happens to their phones or the data extracted from them (sometimes they are not even informed that data will or can be extracted). </w:t>
      </w:r>
    </w:p>
    <w:p w14:paraId="101BB212" w14:textId="6137BD4A" w:rsidR="006902FB" w:rsidRPr="00775F99" w:rsidRDefault="006902FB" w:rsidP="006902FB">
      <w:pPr>
        <w:pStyle w:val="Default"/>
        <w:spacing w:afterLines="142" w:after="340" w:line="276" w:lineRule="auto"/>
        <w:jc w:val="both"/>
        <w:rPr>
          <w:rFonts w:ascii="Gilroy" w:hAnsi="Gilroy"/>
        </w:rPr>
      </w:pPr>
      <w:r w:rsidRPr="00775F99">
        <w:rPr>
          <w:rFonts w:ascii="Gilroy" w:hAnsi="Gilroy"/>
          <w:lang w:val="en-US"/>
        </w:rPr>
        <w:t>Moreover, the uses of this data by immigration enforcement bodies have gone far past the stated purposes of the policies without sufficient legal basis. In Germany, the policy permitted immigration officers to use extracted data for evidential purposes in asylum proceedings</w:t>
      </w:r>
      <w:r w:rsidR="00BC15E2">
        <w:rPr>
          <w:rFonts w:ascii="Gilroy" w:hAnsi="Gilroy"/>
          <w:lang w:val="en-US"/>
        </w:rPr>
        <w:t>.</w:t>
      </w:r>
      <w:r w:rsidRPr="00775F99">
        <w:rPr>
          <w:rStyle w:val="FootnoteReference"/>
          <w:rFonts w:ascii="Gilroy" w:hAnsi="Gilroy"/>
          <w:lang w:val="en-US"/>
        </w:rPr>
        <w:footnoteReference w:id="34"/>
      </w:r>
      <w:r w:rsidRPr="00775F99">
        <w:rPr>
          <w:rFonts w:ascii="Gilroy" w:hAnsi="Gilroy"/>
          <w:lang w:val="en-US"/>
        </w:rPr>
        <w:t xml:space="preserve"> </w:t>
      </w:r>
      <w:r w:rsidRPr="00775F99">
        <w:rPr>
          <w:rFonts w:ascii="Gilroy" w:hAnsi="Gilroy"/>
        </w:rPr>
        <w:t xml:space="preserve">The assumption that obtaining data from digital devices leads to reliable evidence is flawed, even more in the case of asylum seekers: in the course of a long and dangerous trip, they may have swapped phones, they may have accessed certain sites or liked certain social media activity for a whole variety of reasons, and they may have been in touch with people whose name spelling appears on watchlists for a whole variety of reasons. A parliamentary inquiry found in relation to the German policy that the use of </w:t>
      </w:r>
      <w:r w:rsidRPr="00775F99">
        <w:rPr>
          <w:rFonts w:ascii="Gilroy" w:hAnsi="Gilroy"/>
        </w:rPr>
        <w:lastRenderedPageBreak/>
        <w:t>mobile phone data rarely ever lead</w:t>
      </w:r>
      <w:r w:rsidR="00F458B4">
        <w:rPr>
          <w:rFonts w:ascii="Gilroy" w:hAnsi="Gilroy"/>
        </w:rPr>
        <w:t>s</w:t>
      </w:r>
      <w:r w:rsidRPr="00775F99">
        <w:rPr>
          <w:rFonts w:ascii="Gilroy" w:hAnsi="Gilroy"/>
        </w:rPr>
        <w:t xml:space="preserve"> to adverse information being found</w:t>
      </w:r>
      <w:r w:rsidR="001024B5">
        <w:rPr>
          <w:rFonts w:ascii="Gilroy" w:hAnsi="Gilroy"/>
        </w:rPr>
        <w:t>.</w:t>
      </w:r>
      <w:r w:rsidRPr="00775F99">
        <w:rPr>
          <w:rStyle w:val="FootnoteReference"/>
          <w:rFonts w:ascii="Gilroy" w:hAnsi="Gilroy"/>
        </w:rPr>
        <w:footnoteReference w:id="35"/>
      </w:r>
      <w:r w:rsidRPr="00775F99">
        <w:rPr>
          <w:rFonts w:ascii="Gilroy" w:hAnsi="Gilroy"/>
        </w:rPr>
        <w:t xml:space="preserve"> </w:t>
      </w:r>
      <w:r w:rsidR="00F458B4">
        <w:rPr>
          <w:rFonts w:ascii="Gilroy" w:hAnsi="Gilroy"/>
        </w:rPr>
        <w:t>The policy was challenged in court, which found the blanket phone seizure policy to be unconstitutional and in breach of the right to privacy.</w:t>
      </w:r>
      <w:r w:rsidR="001024B5">
        <w:rPr>
          <w:rStyle w:val="FootnoteReference"/>
          <w:rFonts w:ascii="Gilroy" w:hAnsi="Gilroy"/>
        </w:rPr>
        <w:footnoteReference w:id="36"/>
      </w:r>
    </w:p>
    <w:p w14:paraId="118B08D3" w14:textId="0B7F0694" w:rsidR="006902FB" w:rsidRPr="00775F99" w:rsidRDefault="006902FB" w:rsidP="006902FB">
      <w:pPr>
        <w:pStyle w:val="Default"/>
        <w:spacing w:afterLines="142" w:after="340" w:line="276" w:lineRule="auto"/>
        <w:jc w:val="both"/>
        <w:rPr>
          <w:rFonts w:ascii="Gilroy" w:hAnsi="Gilroy"/>
        </w:rPr>
      </w:pPr>
      <w:r w:rsidRPr="00775F99">
        <w:rPr>
          <w:rFonts w:ascii="Gilroy" w:hAnsi="Gilroy"/>
        </w:rPr>
        <w:t>In the UK a similar</w:t>
      </w:r>
      <w:r w:rsidR="003A08A7">
        <w:rPr>
          <w:rFonts w:ascii="Gilroy" w:hAnsi="Gilroy"/>
        </w:rPr>
        <w:t xml:space="preserve"> </w:t>
      </w:r>
      <w:r w:rsidRPr="00775F99">
        <w:rPr>
          <w:rFonts w:ascii="Gilroy" w:hAnsi="Gilroy"/>
        </w:rPr>
        <w:t xml:space="preserve">policy was deployed between April and November 2020. The policy deployed compulsory searches, seizures, and data extraction in relation to asylum seekers who arrived in the UK on small boats. </w:t>
      </w:r>
      <w:r w:rsidR="00F458B4">
        <w:rPr>
          <w:rFonts w:ascii="Gilroy" w:hAnsi="Gilroy"/>
        </w:rPr>
        <w:t>The policy was challenged, and</w:t>
      </w:r>
      <w:r w:rsidRPr="00775F99">
        <w:rPr>
          <w:rFonts w:ascii="Gilroy" w:hAnsi="Gilroy"/>
        </w:rPr>
        <w:t xml:space="preserve"> </w:t>
      </w:r>
      <w:r w:rsidR="00F458B4">
        <w:rPr>
          <w:rFonts w:ascii="Gilroy" w:hAnsi="Gilroy"/>
        </w:rPr>
        <w:t>t</w:t>
      </w:r>
      <w:r w:rsidRPr="00775F99">
        <w:rPr>
          <w:rFonts w:ascii="Gilroy" w:hAnsi="Gilroy"/>
        </w:rPr>
        <w:t>he judgment held that the searches of migrants were proceeding without lawful basis and that the blanket and secret policy of seizing mobile phones constituted an interference with the right to</w:t>
      </w:r>
      <w:r w:rsidR="00F458B4">
        <w:rPr>
          <w:rFonts w:ascii="Gilroy" w:hAnsi="Gilroy"/>
        </w:rPr>
        <w:t xml:space="preserve"> private and</w:t>
      </w:r>
      <w:r w:rsidRPr="00775F99">
        <w:rPr>
          <w:rFonts w:ascii="Gilroy" w:hAnsi="Gilroy"/>
        </w:rPr>
        <w:t xml:space="preserve"> family life as protected by Article 8 of the E</w:t>
      </w:r>
      <w:r w:rsidR="00BC15E2">
        <w:rPr>
          <w:rFonts w:ascii="Gilroy" w:hAnsi="Gilroy"/>
        </w:rPr>
        <w:t>uropean Convention on Human Rights.</w:t>
      </w:r>
      <w:r w:rsidRPr="00775F99">
        <w:rPr>
          <w:rStyle w:val="FootnoteReference"/>
          <w:rFonts w:ascii="Gilroy" w:hAnsi="Gilroy"/>
        </w:rPr>
        <w:footnoteReference w:id="37"/>
      </w:r>
      <w:r w:rsidRPr="00775F99">
        <w:rPr>
          <w:rFonts w:ascii="Gilroy" w:hAnsi="Gilroy"/>
        </w:rPr>
        <w:t xml:space="preserve"> </w:t>
      </w:r>
      <w:r w:rsidR="00F458B4">
        <w:rPr>
          <w:rFonts w:ascii="Gilroy" w:hAnsi="Gilroy"/>
        </w:rPr>
        <w:t>Despite</w:t>
      </w:r>
      <w:r w:rsidRPr="00775F99">
        <w:rPr>
          <w:rFonts w:ascii="Gilroy" w:hAnsi="Gilroy"/>
        </w:rPr>
        <w:t xml:space="preserve"> these </w:t>
      </w:r>
      <w:r w:rsidR="00F458B4">
        <w:rPr>
          <w:rFonts w:ascii="Gilroy" w:hAnsi="Gilroy"/>
        </w:rPr>
        <w:t>clear warnings about the human rights implications of a policy of</w:t>
      </w:r>
      <w:r w:rsidRPr="00775F99">
        <w:rPr>
          <w:rFonts w:ascii="Gilroy" w:hAnsi="Gilroy"/>
        </w:rPr>
        <w:t xml:space="preserve"> discretionary or compulsory phone seizure</w:t>
      </w:r>
      <w:r w:rsidR="00F458B4">
        <w:rPr>
          <w:rFonts w:ascii="Gilroy" w:hAnsi="Gilroy"/>
        </w:rPr>
        <w:t>, it</w:t>
      </w:r>
      <w:r w:rsidRPr="00775F99">
        <w:rPr>
          <w:rFonts w:ascii="Gilroy" w:hAnsi="Gilroy"/>
        </w:rPr>
        <w:t xml:space="preserve"> appears to be continuing, including in countries such as Norway, the Netherlands, and Austria</w:t>
      </w:r>
      <w:r w:rsidR="00EC50D4">
        <w:rPr>
          <w:rFonts w:ascii="Gilroy" w:hAnsi="Gilroy"/>
        </w:rPr>
        <w:t>.</w:t>
      </w:r>
      <w:r w:rsidRPr="00775F99">
        <w:rPr>
          <w:rStyle w:val="FootnoteReference"/>
          <w:rFonts w:ascii="Gilroy" w:hAnsi="Gilroy"/>
        </w:rPr>
        <w:footnoteReference w:id="38"/>
      </w:r>
      <w:r w:rsidRPr="00775F99">
        <w:rPr>
          <w:rFonts w:ascii="Gilroy" w:hAnsi="Gilroy"/>
        </w:rPr>
        <w:t xml:space="preserve"> </w:t>
      </w:r>
    </w:p>
    <w:p w14:paraId="7D971773" w14:textId="79A9B5DC" w:rsidR="006902FB" w:rsidRPr="00775F99" w:rsidRDefault="00854D41" w:rsidP="00462C89">
      <w:pPr>
        <w:pStyle w:val="Default"/>
        <w:numPr>
          <w:ilvl w:val="0"/>
          <w:numId w:val="13"/>
        </w:numPr>
        <w:spacing w:afterLines="142" w:after="340" w:line="276" w:lineRule="auto"/>
        <w:jc w:val="both"/>
        <w:rPr>
          <w:rFonts w:ascii="Gilroy" w:hAnsi="Gilroy"/>
          <w:b/>
          <w:bCs/>
        </w:rPr>
      </w:pPr>
      <w:r>
        <w:rPr>
          <w:rFonts w:ascii="Gilroy" w:hAnsi="Gilroy"/>
          <w:b/>
          <w:bCs/>
        </w:rPr>
        <w:t>Intensification of b</w:t>
      </w:r>
      <w:r w:rsidR="006902FB" w:rsidRPr="00775F99">
        <w:rPr>
          <w:rFonts w:ascii="Gilroy" w:hAnsi="Gilroy"/>
          <w:b/>
          <w:bCs/>
        </w:rPr>
        <w:t xml:space="preserve">order surveillance </w:t>
      </w:r>
      <w:r>
        <w:rPr>
          <w:rFonts w:ascii="Gilroy" w:hAnsi="Gilroy"/>
          <w:b/>
          <w:bCs/>
        </w:rPr>
        <w:t>measures</w:t>
      </w:r>
      <w:r w:rsidR="007E69BA">
        <w:rPr>
          <w:rFonts w:ascii="Gilroy" w:hAnsi="Gilroy"/>
          <w:b/>
          <w:bCs/>
        </w:rPr>
        <w:t xml:space="preserve"> without human rights safeguards</w:t>
      </w:r>
    </w:p>
    <w:p w14:paraId="736B5E82" w14:textId="46272E1F" w:rsidR="006902FB" w:rsidRPr="00775F99" w:rsidRDefault="006902FB" w:rsidP="006902FB">
      <w:pPr>
        <w:pStyle w:val="Default"/>
        <w:spacing w:afterLines="142" w:after="340" w:line="276" w:lineRule="auto"/>
        <w:jc w:val="both"/>
        <w:rPr>
          <w:rFonts w:ascii="Gilroy" w:hAnsi="Gilroy"/>
        </w:rPr>
      </w:pPr>
      <w:r w:rsidRPr="00775F99">
        <w:rPr>
          <w:rFonts w:ascii="Gilroy" w:hAnsi="Gilroy"/>
        </w:rPr>
        <w:t xml:space="preserve">PI and its partners have documented an alarming increase in the use of surveillance technology by national bodies on physical borders and in frontier zones since the </w:t>
      </w:r>
      <w:r w:rsidR="00E04765">
        <w:rPr>
          <w:rFonts w:ascii="Gilroy" w:hAnsi="Gilroy"/>
        </w:rPr>
        <w:t>UN Secretary General</w:t>
      </w:r>
      <w:r w:rsidR="00E04765" w:rsidRPr="00775F99">
        <w:rPr>
          <w:rFonts w:ascii="Gilroy" w:hAnsi="Gilroy"/>
        </w:rPr>
        <w:t xml:space="preserve">’s </w:t>
      </w:r>
      <w:r w:rsidRPr="00775F99">
        <w:rPr>
          <w:rFonts w:ascii="Gilroy" w:hAnsi="Gilroy"/>
        </w:rPr>
        <w:t>2020 report on the human rights of migrants.</w:t>
      </w:r>
      <w:r w:rsidR="00CE0D20">
        <w:rPr>
          <w:rStyle w:val="FootnoteReference"/>
          <w:rFonts w:ascii="Gilroy" w:hAnsi="Gilroy"/>
        </w:rPr>
        <w:footnoteReference w:id="39"/>
      </w:r>
      <w:r w:rsidRPr="00775F99">
        <w:rPr>
          <w:rFonts w:ascii="Gilroy" w:hAnsi="Gilroy"/>
        </w:rPr>
        <w:t xml:space="preserve"> We note that this </w:t>
      </w:r>
      <w:r w:rsidR="00A234E1">
        <w:rPr>
          <w:rFonts w:ascii="Gilroy" w:hAnsi="Gilroy"/>
        </w:rPr>
        <w:t xml:space="preserve">is </w:t>
      </w:r>
      <w:r w:rsidRPr="00775F99">
        <w:rPr>
          <w:rFonts w:ascii="Gilroy" w:hAnsi="Gilroy"/>
        </w:rPr>
        <w:t xml:space="preserve">a distinct, but interrelated, issue to the deployment of measures such as GPS monitoring and biometric identification systems that come into play once migrants have crossed physical borders. The mechanisms introduced make use of many different technologies and impact migrants with multiple different immigration statuses – including both individuals without regular status and those who have leave to remain in their host countries. </w:t>
      </w:r>
    </w:p>
    <w:p w14:paraId="4C7D3A8A" w14:textId="4B2D69C1" w:rsidR="006902FB" w:rsidRPr="00775F99" w:rsidRDefault="006902FB" w:rsidP="00462C89">
      <w:pPr>
        <w:pStyle w:val="Default"/>
        <w:spacing w:afterLines="142" w:after="340" w:line="276" w:lineRule="auto"/>
        <w:jc w:val="both"/>
        <w:rPr>
          <w:rFonts w:ascii="Gilroy" w:hAnsi="Gilroy"/>
          <w:i/>
          <w:iCs/>
        </w:rPr>
      </w:pPr>
      <w:r w:rsidRPr="00775F99">
        <w:rPr>
          <w:rFonts w:ascii="Gilroy" w:hAnsi="Gilroy"/>
        </w:rPr>
        <w:t xml:space="preserve">In its report titled </w:t>
      </w:r>
      <w:r w:rsidR="002F0F70">
        <w:rPr>
          <w:rFonts w:ascii="Gilroy" w:hAnsi="Gilroy"/>
        </w:rPr>
        <w:t>“</w:t>
      </w:r>
      <w:r w:rsidRPr="00775F99">
        <w:rPr>
          <w:rFonts w:ascii="Gilroy" w:hAnsi="Gilroy"/>
        </w:rPr>
        <w:t>Technologies and Human Rights in the Triple Border Area</w:t>
      </w:r>
      <w:r w:rsidR="002F0F70">
        <w:rPr>
          <w:rFonts w:ascii="Gilroy" w:hAnsi="Gilroy"/>
        </w:rPr>
        <w:t>”</w:t>
      </w:r>
      <w:r w:rsidRPr="00775F99">
        <w:rPr>
          <w:rFonts w:ascii="Gilroy" w:hAnsi="Gilroy"/>
        </w:rPr>
        <w:t>, published on 1 February 2023, our partner</w:t>
      </w:r>
      <w:r w:rsidR="00CE0D20">
        <w:rPr>
          <w:rFonts w:ascii="Gilroy" w:hAnsi="Gilroy"/>
        </w:rPr>
        <w:t>s</w:t>
      </w:r>
      <w:r w:rsidRPr="00775F99">
        <w:rPr>
          <w:rFonts w:ascii="Gilroy" w:hAnsi="Gilroy"/>
        </w:rPr>
        <w:t>, TEDIC</w:t>
      </w:r>
      <w:r w:rsidR="00CE0D20">
        <w:rPr>
          <w:rFonts w:ascii="Gilroy" w:hAnsi="Gilroy"/>
        </w:rPr>
        <w:t xml:space="preserve"> (Paraguay)</w:t>
      </w:r>
      <w:r w:rsidRPr="00775F99">
        <w:rPr>
          <w:rFonts w:ascii="Gilroy" w:hAnsi="Gilroy"/>
        </w:rPr>
        <w:t xml:space="preserve"> </w:t>
      </w:r>
      <w:r w:rsidR="002F0F70">
        <w:rPr>
          <w:rFonts w:ascii="Gilroy" w:hAnsi="Gilroy"/>
        </w:rPr>
        <w:t xml:space="preserve">and </w:t>
      </w:r>
      <w:r w:rsidR="002F0F70" w:rsidRPr="003A08A7">
        <w:rPr>
          <w:rFonts w:ascii="Gilroy" w:hAnsi="Gilroy"/>
        </w:rPr>
        <w:t xml:space="preserve">Data Privacy </w:t>
      </w:r>
      <w:r w:rsidR="00CE0D20" w:rsidRPr="003A08A7">
        <w:rPr>
          <w:rFonts w:ascii="Gilroy" w:hAnsi="Gilroy"/>
        </w:rPr>
        <w:t>Brazil</w:t>
      </w:r>
      <w:r w:rsidR="002F0F70" w:rsidRPr="003A08A7">
        <w:rPr>
          <w:rFonts w:ascii="Gilroy" w:hAnsi="Gilroy"/>
        </w:rPr>
        <w:t xml:space="preserve"> Research Association </w:t>
      </w:r>
      <w:r w:rsidRPr="003A08A7">
        <w:rPr>
          <w:rFonts w:ascii="Gilroy" w:hAnsi="Gilroy"/>
        </w:rPr>
        <w:t>documented the growing use of technologies to monitor borders in the Triple Border Area (TBA) between Argentina, Brazil, and Parag</w:t>
      </w:r>
      <w:r w:rsidRPr="00775F99">
        <w:rPr>
          <w:rFonts w:ascii="Gilroy" w:hAnsi="Gilroy"/>
        </w:rPr>
        <w:t>uay</w:t>
      </w:r>
      <w:r w:rsidRPr="00775F99">
        <w:rPr>
          <w:rStyle w:val="FootnoteReference"/>
          <w:rFonts w:ascii="Gilroy" w:hAnsi="Gilroy"/>
        </w:rPr>
        <w:footnoteReference w:id="40"/>
      </w:r>
      <w:r w:rsidRPr="00775F99">
        <w:rPr>
          <w:rFonts w:ascii="Gilroy" w:hAnsi="Gilroy"/>
        </w:rPr>
        <w:t xml:space="preserve">. The report utilises case studies, including a project that deploys facial recognition technology (FRT) to control migration flows between Paraguay and Brazil (SMARF). </w:t>
      </w:r>
    </w:p>
    <w:p w14:paraId="18D4AC80" w14:textId="65A21A89" w:rsidR="006902FB" w:rsidRPr="00775F99" w:rsidRDefault="006902FB" w:rsidP="006902FB">
      <w:pPr>
        <w:pStyle w:val="Default"/>
        <w:spacing w:afterLines="142" w:after="340" w:line="276" w:lineRule="auto"/>
        <w:jc w:val="both"/>
        <w:rPr>
          <w:rFonts w:ascii="Gilroy" w:hAnsi="Gilroy"/>
        </w:rPr>
      </w:pPr>
      <w:r w:rsidRPr="00775F99">
        <w:rPr>
          <w:rFonts w:ascii="Gilroy" w:hAnsi="Gilroy"/>
        </w:rPr>
        <w:t xml:space="preserve">SMARF employs algorithms to match an individual’s face to their immigration status. TEDIC documents </w:t>
      </w:r>
      <w:r w:rsidR="00A234E1">
        <w:rPr>
          <w:rFonts w:ascii="Gilroy" w:hAnsi="Gilroy"/>
        </w:rPr>
        <w:t>s</w:t>
      </w:r>
      <w:r w:rsidRPr="00775F99">
        <w:rPr>
          <w:rFonts w:ascii="Gilroy" w:hAnsi="Gilroy"/>
        </w:rPr>
        <w:t>how no human rights impact assessments were undertaken prior to the introduction of the scheme</w:t>
      </w:r>
      <w:r w:rsidR="00A234E1">
        <w:rPr>
          <w:rFonts w:ascii="Gilroy" w:hAnsi="Gilroy"/>
        </w:rPr>
        <w:t>, and</w:t>
      </w:r>
      <w:r w:rsidRPr="00775F99">
        <w:rPr>
          <w:rFonts w:ascii="Gilroy" w:hAnsi="Gilroy"/>
        </w:rPr>
        <w:t xml:space="preserve"> that the project lacks a privacy policy. The report also notes through interviews with border officials that the data collected by SMARF is retained </w:t>
      </w:r>
      <w:r w:rsidRPr="00775F99">
        <w:rPr>
          <w:rFonts w:ascii="Gilroy" w:hAnsi="Gilroy"/>
        </w:rPr>
        <w:lastRenderedPageBreak/>
        <w:t xml:space="preserve">in a database without accompanying </w:t>
      </w:r>
      <w:r w:rsidR="00CE0D20">
        <w:rPr>
          <w:rFonts w:ascii="Gilroy" w:hAnsi="Gilroy"/>
        </w:rPr>
        <w:t xml:space="preserve">data protection </w:t>
      </w:r>
      <w:r w:rsidRPr="00775F99">
        <w:rPr>
          <w:rFonts w:ascii="Gilroy" w:hAnsi="Gilroy"/>
        </w:rPr>
        <w:t>safeguards on how long it can be retained</w:t>
      </w:r>
      <w:r w:rsidR="00A234E1">
        <w:rPr>
          <w:rFonts w:ascii="Gilroy" w:hAnsi="Gilroy"/>
        </w:rPr>
        <w:t>, and without a comprehensive data protection law in place that could guide public institutions on a set of minimum standards</w:t>
      </w:r>
      <w:r w:rsidRPr="00775F99">
        <w:rPr>
          <w:rFonts w:ascii="Gilroy" w:hAnsi="Gilroy"/>
        </w:rPr>
        <w:t xml:space="preserve">. </w:t>
      </w:r>
    </w:p>
    <w:p w14:paraId="50DDCFA0" w14:textId="38405AAC" w:rsidR="00385225" w:rsidRPr="00775F99" w:rsidRDefault="00CE0D20" w:rsidP="00445CFA">
      <w:pPr>
        <w:pStyle w:val="Default"/>
        <w:spacing w:afterLines="142" w:after="340" w:line="276" w:lineRule="auto"/>
        <w:jc w:val="both"/>
        <w:rPr>
          <w:rFonts w:ascii="Gilroy" w:hAnsi="Gilroy"/>
        </w:rPr>
      </w:pPr>
      <w:r>
        <w:rPr>
          <w:rFonts w:ascii="Gilroy" w:hAnsi="Gilroy"/>
        </w:rPr>
        <w:t>Furthermore, i</w:t>
      </w:r>
      <w:r w:rsidR="00FA6DF8" w:rsidRPr="00775F99">
        <w:rPr>
          <w:rFonts w:ascii="Gilroy" w:hAnsi="Gilroy"/>
        </w:rPr>
        <w:t>n a context of algorithmic management of data and the operation of data sharing with law enforc</w:t>
      </w:r>
      <w:r w:rsidR="005D374C" w:rsidRPr="00775F99">
        <w:rPr>
          <w:rFonts w:ascii="Gilroy" w:hAnsi="Gilroy"/>
        </w:rPr>
        <w:t>ement bodies, there are insufficient safeguards</w:t>
      </w:r>
      <w:r w:rsidR="00FA6DF8" w:rsidRPr="00775F99">
        <w:rPr>
          <w:rFonts w:ascii="Gilroy" w:hAnsi="Gilroy"/>
        </w:rPr>
        <w:t xml:space="preserve"> </w:t>
      </w:r>
      <w:r w:rsidR="003C30AB" w:rsidRPr="00775F99">
        <w:rPr>
          <w:rFonts w:ascii="Gilroy" w:hAnsi="Gilroy"/>
        </w:rPr>
        <w:t>“</w:t>
      </w:r>
      <w:r w:rsidR="003C30AB" w:rsidRPr="00775F99">
        <w:rPr>
          <w:rFonts w:ascii="Gilroy" w:hAnsi="Gilroy"/>
          <w:i/>
          <w:iCs/>
        </w:rPr>
        <w:t>in how these automated systems can impact vulnerable communities, such as racial and ethnic minorities, LGTBQI+ groups, and others</w:t>
      </w:r>
      <w:r w:rsidR="00FA6DF8" w:rsidRPr="00775F99">
        <w:rPr>
          <w:rFonts w:ascii="Gilroy" w:hAnsi="Gilroy"/>
        </w:rPr>
        <w:t>”</w:t>
      </w:r>
      <w:r w:rsidR="00A27692">
        <w:rPr>
          <w:rStyle w:val="FootnoteReference"/>
          <w:rFonts w:ascii="Gilroy" w:hAnsi="Gilroy"/>
        </w:rPr>
        <w:footnoteReference w:id="41"/>
      </w:r>
      <w:r w:rsidR="00FA6DF8" w:rsidRPr="00775F99">
        <w:rPr>
          <w:rFonts w:ascii="Gilroy" w:hAnsi="Gilroy"/>
        </w:rPr>
        <w:t xml:space="preserve">. </w:t>
      </w:r>
      <w:r w:rsidR="00A234E1">
        <w:rPr>
          <w:rFonts w:ascii="Gilroy" w:hAnsi="Gilroy"/>
        </w:rPr>
        <w:t>A</w:t>
      </w:r>
      <w:r w:rsidR="005D374C" w:rsidRPr="00775F99">
        <w:rPr>
          <w:rFonts w:ascii="Gilroy" w:hAnsi="Gilroy"/>
        </w:rPr>
        <w:t>n emphasis on “techno-solutionism” and efficiency appear</w:t>
      </w:r>
      <w:r w:rsidR="00A234E1">
        <w:rPr>
          <w:rFonts w:ascii="Gilroy" w:hAnsi="Gilroy"/>
        </w:rPr>
        <w:t>s</w:t>
      </w:r>
      <w:r w:rsidR="005D374C" w:rsidRPr="00775F99">
        <w:rPr>
          <w:rFonts w:ascii="Gilroy" w:hAnsi="Gilroy"/>
        </w:rPr>
        <w:t xml:space="preserve"> to be at the forefront of how these systems are being framed, discussed, and understood. Such discourses are at odds with</w:t>
      </w:r>
      <w:r w:rsidR="00917674" w:rsidRPr="00775F99">
        <w:rPr>
          <w:rFonts w:ascii="Gilroy" w:hAnsi="Gilroy"/>
        </w:rPr>
        <w:t xml:space="preserve"> a risk-centred approach that could in turn foster the adoption of data protection and human rights safeguards </w:t>
      </w:r>
      <w:r w:rsidR="00EF46E4" w:rsidRPr="00775F99">
        <w:rPr>
          <w:rFonts w:ascii="Gilroy" w:hAnsi="Gilroy"/>
        </w:rPr>
        <w:t xml:space="preserve">in the use of technologies such as FRT </w:t>
      </w:r>
      <w:r w:rsidR="00A234E1">
        <w:rPr>
          <w:rFonts w:ascii="Gilroy" w:hAnsi="Gilroy"/>
        </w:rPr>
        <w:t>at</w:t>
      </w:r>
      <w:r w:rsidR="00EF46E4" w:rsidRPr="00775F99">
        <w:rPr>
          <w:rFonts w:ascii="Gilroy" w:hAnsi="Gilroy"/>
        </w:rPr>
        <w:t xml:space="preserve"> the border</w:t>
      </w:r>
      <w:r w:rsidR="00917674" w:rsidRPr="00775F99">
        <w:rPr>
          <w:rFonts w:ascii="Gilroy" w:hAnsi="Gilroy"/>
        </w:rPr>
        <w:t xml:space="preserve">. </w:t>
      </w:r>
    </w:p>
    <w:p w14:paraId="286A59C0" w14:textId="4E855A6B" w:rsidR="00854D41" w:rsidRPr="00462C89" w:rsidRDefault="00854D41" w:rsidP="00462C89">
      <w:pPr>
        <w:pStyle w:val="Default"/>
        <w:numPr>
          <w:ilvl w:val="0"/>
          <w:numId w:val="13"/>
        </w:numPr>
        <w:spacing w:afterLines="142" w:after="340" w:line="276" w:lineRule="auto"/>
        <w:jc w:val="both"/>
        <w:rPr>
          <w:rFonts w:ascii="Gilroy" w:hAnsi="Gilroy"/>
          <w:b/>
          <w:bCs/>
          <w:lang w:val="fr-CH"/>
        </w:rPr>
      </w:pPr>
      <w:r>
        <w:rPr>
          <w:rFonts w:ascii="Gilroy" w:hAnsi="Gilroy"/>
          <w:b/>
          <w:bCs/>
          <w:lang w:val="fr-CH"/>
        </w:rPr>
        <w:t>B</w:t>
      </w:r>
      <w:r w:rsidRPr="00462C89">
        <w:rPr>
          <w:rFonts w:ascii="Gilroy" w:hAnsi="Gilroy"/>
          <w:b/>
          <w:bCs/>
          <w:lang w:val="fr-CH"/>
        </w:rPr>
        <w:t xml:space="preserve">order externalisation </w:t>
      </w:r>
      <w:r>
        <w:rPr>
          <w:rFonts w:ascii="Gilroy" w:hAnsi="Gilroy"/>
          <w:b/>
          <w:bCs/>
          <w:lang w:val="fr-CH"/>
        </w:rPr>
        <w:t>and surveillance technologies</w:t>
      </w:r>
      <w:r w:rsidR="007E69BA">
        <w:rPr>
          <w:rFonts w:ascii="Gilroy" w:hAnsi="Gilroy"/>
          <w:b/>
          <w:bCs/>
          <w:lang w:val="fr-CH"/>
        </w:rPr>
        <w:t xml:space="preserve"> in migration management</w:t>
      </w:r>
    </w:p>
    <w:p w14:paraId="1301EBD3" w14:textId="77777777" w:rsidR="00854D41" w:rsidRPr="00775F99" w:rsidRDefault="00854D41" w:rsidP="00854D41">
      <w:pPr>
        <w:pStyle w:val="Default"/>
        <w:spacing w:afterLines="142" w:after="340" w:line="276" w:lineRule="auto"/>
        <w:jc w:val="both"/>
        <w:rPr>
          <w:rFonts w:ascii="Gilroy" w:hAnsi="Gilroy"/>
        </w:rPr>
      </w:pPr>
      <w:r w:rsidRPr="00775F99">
        <w:rPr>
          <w:rFonts w:ascii="Gilroy" w:hAnsi="Gilroy"/>
        </w:rPr>
        <w:t>PI has undertaken research and legal action in relation to the provision and funding of intrusive surveillance technologies as part of border externalisation initiatives by both national and intergovernmental bodies, including the E</w:t>
      </w:r>
      <w:r>
        <w:rPr>
          <w:rFonts w:ascii="Gilroy" w:hAnsi="Gilroy"/>
        </w:rPr>
        <w:t xml:space="preserve">uropean </w:t>
      </w:r>
      <w:r w:rsidRPr="00775F99">
        <w:rPr>
          <w:rFonts w:ascii="Gilroy" w:hAnsi="Gilroy"/>
        </w:rPr>
        <w:t>U</w:t>
      </w:r>
      <w:r>
        <w:rPr>
          <w:rFonts w:ascii="Gilroy" w:hAnsi="Gilroy"/>
        </w:rPr>
        <w:t>nion (EU)</w:t>
      </w:r>
      <w:r w:rsidRPr="00775F99">
        <w:rPr>
          <w:rFonts w:ascii="Gilroy" w:hAnsi="Gilroy"/>
        </w:rPr>
        <w:t>.</w:t>
      </w:r>
      <w:r>
        <w:rPr>
          <w:rStyle w:val="FootnoteReference"/>
          <w:rFonts w:ascii="Gilroy" w:hAnsi="Gilroy"/>
        </w:rPr>
        <w:footnoteReference w:id="42"/>
      </w:r>
      <w:r w:rsidRPr="00775F99">
        <w:rPr>
          <w:rFonts w:ascii="Gilroy" w:hAnsi="Gilroy"/>
        </w:rPr>
        <w:t xml:space="preserve"> Our investigations have shown that several foreign aid schemes, including the EU Emergency Trust Fund for stability and addressing root causes of irregular migration and displaced persons in Africa (EUTF), </w:t>
      </w:r>
      <w:r>
        <w:rPr>
          <w:rFonts w:ascii="Gilroy" w:hAnsi="Gilroy"/>
        </w:rPr>
        <w:t>involve</w:t>
      </w:r>
      <w:r w:rsidRPr="00775F99">
        <w:rPr>
          <w:rFonts w:ascii="Gilroy" w:hAnsi="Gilroy"/>
        </w:rPr>
        <w:t xml:space="preserve"> the transfer of surveillance capabilities to partner countries.</w:t>
      </w:r>
      <w:r>
        <w:rPr>
          <w:rStyle w:val="FootnoteReference"/>
          <w:rFonts w:ascii="Gilroy" w:hAnsi="Gilroy"/>
        </w:rPr>
        <w:footnoteReference w:id="43"/>
      </w:r>
      <w:r w:rsidRPr="00775F99">
        <w:rPr>
          <w:rFonts w:ascii="Gilroy" w:hAnsi="Gilroy"/>
        </w:rPr>
        <w:t xml:space="preserve"> This</w:t>
      </w:r>
      <w:r>
        <w:rPr>
          <w:rFonts w:ascii="Gilroy" w:hAnsi="Gilroy"/>
        </w:rPr>
        <w:t xml:space="preserve"> also</w:t>
      </w:r>
      <w:r w:rsidRPr="00775F99">
        <w:rPr>
          <w:rFonts w:ascii="Gilroy" w:hAnsi="Gilroy"/>
        </w:rPr>
        <w:t xml:space="preserve"> links to our above evidence regarding the establishment of biometric identification schemes given that the funding initiatives and transfers of surveillance capabilities were in part designated for the establishment of exactly such programmes. </w:t>
      </w:r>
    </w:p>
    <w:p w14:paraId="4BC0C5A8" w14:textId="77777777" w:rsidR="00854D41" w:rsidRPr="00775F99" w:rsidRDefault="00854D41" w:rsidP="00854D41">
      <w:pPr>
        <w:pStyle w:val="Default"/>
        <w:spacing w:after="20" w:line="276" w:lineRule="auto"/>
        <w:jc w:val="both"/>
        <w:rPr>
          <w:rFonts w:ascii="Gilroy" w:hAnsi="Gilroy"/>
        </w:rPr>
      </w:pPr>
      <w:proofErr w:type="gramStart"/>
      <w:r>
        <w:rPr>
          <w:rFonts w:ascii="Gilroy" w:hAnsi="Gilroy"/>
        </w:rPr>
        <w:t>In particular, we</w:t>
      </w:r>
      <w:proofErr w:type="gramEnd"/>
      <w:r>
        <w:rPr>
          <w:rFonts w:ascii="Gilroy" w:hAnsi="Gilroy"/>
        </w:rPr>
        <w:t xml:space="preserve"> have found that f</w:t>
      </w:r>
      <w:r w:rsidRPr="00775F99">
        <w:rPr>
          <w:rFonts w:ascii="Gilroy" w:hAnsi="Gilroy"/>
        </w:rPr>
        <w:t>unding through the EUT</w:t>
      </w:r>
      <w:r>
        <w:rPr>
          <w:rFonts w:ascii="Gilroy" w:hAnsi="Gilroy"/>
        </w:rPr>
        <w:t>F</w:t>
      </w:r>
      <w:r w:rsidRPr="00775F99">
        <w:rPr>
          <w:rFonts w:ascii="Gilroy" w:hAnsi="Gilroy"/>
        </w:rPr>
        <w:t xml:space="preserve"> was directly allocated to </w:t>
      </w:r>
      <w:r>
        <w:rPr>
          <w:rFonts w:ascii="Gilroy" w:hAnsi="Gilroy"/>
        </w:rPr>
        <w:t>supporting the acquisition by non-EU member states of</w:t>
      </w:r>
      <w:r w:rsidRPr="00775F99">
        <w:rPr>
          <w:rFonts w:ascii="Gilroy" w:hAnsi="Gilroy"/>
        </w:rPr>
        <w:t xml:space="preserve"> surveillance technologies whose purpose was</w:t>
      </w:r>
      <w:r>
        <w:rPr>
          <w:rFonts w:ascii="Gilroy" w:hAnsi="Gilroy"/>
        </w:rPr>
        <w:t xml:space="preserve"> wholly or in part</w:t>
      </w:r>
      <w:r w:rsidRPr="00775F99">
        <w:rPr>
          <w:rFonts w:ascii="Gilroy" w:hAnsi="Gilroy"/>
        </w:rPr>
        <w:t xml:space="preserve"> to track migrants</w:t>
      </w:r>
      <w:r>
        <w:rPr>
          <w:rFonts w:ascii="Gilroy" w:hAnsi="Gilroy"/>
        </w:rPr>
        <w:t>, such as surveillance drones, cameras and software, wiretapping centres, or IMSI catchers in Niger</w:t>
      </w:r>
      <w:r w:rsidRPr="00775F99">
        <w:rPr>
          <w:rFonts w:ascii="Gilroy" w:hAnsi="Gilroy"/>
        </w:rPr>
        <w:t>.</w:t>
      </w:r>
      <w:r>
        <w:rPr>
          <w:rStyle w:val="FootnoteReference"/>
          <w:rFonts w:ascii="Gilroy" w:hAnsi="Gilroy"/>
        </w:rPr>
        <w:footnoteReference w:id="44"/>
      </w:r>
      <w:r w:rsidRPr="00775F99">
        <w:rPr>
          <w:rFonts w:ascii="Gilroy" w:hAnsi="Gilroy"/>
        </w:rPr>
        <w:t xml:space="preserve"> </w:t>
      </w:r>
      <w:r>
        <w:rPr>
          <w:rFonts w:ascii="Gilroy" w:hAnsi="Gilroy"/>
        </w:rPr>
        <w:t>T</w:t>
      </w:r>
      <w:r w:rsidRPr="00775F99">
        <w:rPr>
          <w:rFonts w:ascii="Gilroy" w:hAnsi="Gilroy"/>
        </w:rPr>
        <w:t>he EUT</w:t>
      </w:r>
      <w:r>
        <w:rPr>
          <w:rFonts w:ascii="Gilroy" w:hAnsi="Gilroy"/>
        </w:rPr>
        <w:t>F</w:t>
      </w:r>
      <w:r w:rsidRPr="00775F99">
        <w:rPr>
          <w:rFonts w:ascii="Gilroy" w:hAnsi="Gilroy"/>
        </w:rPr>
        <w:t xml:space="preserve"> </w:t>
      </w:r>
      <w:r>
        <w:rPr>
          <w:rFonts w:ascii="Gilroy" w:hAnsi="Gilroy"/>
        </w:rPr>
        <w:t>also provided</w:t>
      </w:r>
      <w:r w:rsidRPr="00775F99">
        <w:rPr>
          <w:rFonts w:ascii="Gilroy" w:hAnsi="Gilroy"/>
        </w:rPr>
        <w:t xml:space="preserve"> funding and equipment for the establishment of national biometric-based identification schemes. </w:t>
      </w:r>
      <w:r>
        <w:rPr>
          <w:rFonts w:ascii="Gilroy" w:hAnsi="Gilroy"/>
        </w:rPr>
        <w:t>This</w:t>
      </w:r>
      <w:r w:rsidRPr="00775F99">
        <w:rPr>
          <w:rFonts w:ascii="Gilroy" w:hAnsi="Gilroy"/>
        </w:rPr>
        <w:t xml:space="preserve"> infrastructure </w:t>
      </w:r>
      <w:r>
        <w:rPr>
          <w:rFonts w:ascii="Gilroy" w:hAnsi="Gilroy"/>
        </w:rPr>
        <w:t>would also facilitate</w:t>
      </w:r>
      <w:r w:rsidRPr="00775F99">
        <w:rPr>
          <w:rFonts w:ascii="Gilroy" w:hAnsi="Gilroy"/>
        </w:rPr>
        <w:t xml:space="preserve"> the returns </w:t>
      </w:r>
      <w:r>
        <w:rPr>
          <w:rFonts w:ascii="Gilroy" w:hAnsi="Gilroy"/>
        </w:rPr>
        <w:t xml:space="preserve">from the EU </w:t>
      </w:r>
      <w:r w:rsidRPr="00775F99">
        <w:rPr>
          <w:rFonts w:ascii="Gilroy" w:hAnsi="Gilroy"/>
        </w:rPr>
        <w:t xml:space="preserve">of </w:t>
      </w:r>
      <w:r>
        <w:rPr>
          <w:rFonts w:ascii="Gilroy" w:hAnsi="Gilroy"/>
        </w:rPr>
        <w:t>migrants</w:t>
      </w:r>
      <w:r w:rsidRPr="00775F99">
        <w:rPr>
          <w:rFonts w:ascii="Gilroy" w:hAnsi="Gilroy"/>
        </w:rPr>
        <w:t>. The transfers of surveillance infrastructure at the heart of the complaint were often reliant on public-private partnerships with lucrative contracts given to European security and technology firms.</w:t>
      </w:r>
      <w:r>
        <w:rPr>
          <w:rStyle w:val="FootnoteReference"/>
          <w:rFonts w:ascii="Gilroy" w:hAnsi="Gilroy"/>
        </w:rPr>
        <w:footnoteReference w:id="45"/>
      </w:r>
      <w:r w:rsidRPr="00775F99">
        <w:rPr>
          <w:rFonts w:ascii="Gilroy" w:hAnsi="Gilroy"/>
        </w:rPr>
        <w:t xml:space="preserve"> Finally, there </w:t>
      </w:r>
      <w:r>
        <w:rPr>
          <w:rFonts w:ascii="Gilroy" w:hAnsi="Gilroy"/>
        </w:rPr>
        <w:t>are</w:t>
      </w:r>
      <w:r w:rsidRPr="00775F99">
        <w:rPr>
          <w:rFonts w:ascii="Gilroy" w:hAnsi="Gilroy"/>
        </w:rPr>
        <w:t xml:space="preserve"> link</w:t>
      </w:r>
      <w:r>
        <w:rPr>
          <w:rFonts w:ascii="Gilroy" w:hAnsi="Gilroy"/>
        </w:rPr>
        <w:t>s</w:t>
      </w:r>
      <w:r w:rsidRPr="00775F99">
        <w:rPr>
          <w:rFonts w:ascii="Gilroy" w:hAnsi="Gilroy"/>
        </w:rPr>
        <w:t xml:space="preserve"> between the funding and infrastructure provided and violations of human rights</w:t>
      </w:r>
      <w:r>
        <w:rPr>
          <w:rFonts w:ascii="Gilroy" w:hAnsi="Gilroy"/>
        </w:rPr>
        <w:t xml:space="preserve"> and data protection</w:t>
      </w:r>
      <w:r w:rsidRPr="00775F99">
        <w:rPr>
          <w:rFonts w:ascii="Gilroy" w:hAnsi="Gilroy"/>
        </w:rPr>
        <w:t xml:space="preserve"> standards carried out by authorities of the receiving countries. Despite obligations under EU law for EU bodies to promote and </w:t>
      </w:r>
      <w:r w:rsidRPr="00775F99">
        <w:rPr>
          <w:rFonts w:ascii="Gilroy" w:hAnsi="Gilroy"/>
        </w:rPr>
        <w:lastRenderedPageBreak/>
        <w:t>safeguard human rights and the rule of law in all their dealings with third countries, the relevant institutions involved failed to carry out any (or did so in an inadequate way) human rights impact assessments, including data protection impact assessments.</w:t>
      </w:r>
      <w:r w:rsidRPr="00775F99">
        <w:rPr>
          <w:rStyle w:val="FootnoteReference"/>
          <w:rFonts w:ascii="Gilroy" w:hAnsi="Gilroy"/>
        </w:rPr>
        <w:footnoteReference w:id="46"/>
      </w:r>
    </w:p>
    <w:p w14:paraId="3D6BAD3A" w14:textId="77777777" w:rsidR="00854D41" w:rsidRPr="00A234E1" w:rsidRDefault="00854D41" w:rsidP="00854D41">
      <w:pPr>
        <w:pStyle w:val="Default"/>
        <w:spacing w:after="20" w:line="276" w:lineRule="auto"/>
        <w:ind w:left="357"/>
        <w:jc w:val="both"/>
        <w:rPr>
          <w:rFonts w:ascii="Gilroy" w:hAnsi="Gilroy"/>
        </w:rPr>
      </w:pPr>
    </w:p>
    <w:p w14:paraId="66E152D3" w14:textId="77777777" w:rsidR="00854D41" w:rsidRPr="00775F99" w:rsidRDefault="00854D41" w:rsidP="00854D41">
      <w:pPr>
        <w:pStyle w:val="Default"/>
        <w:spacing w:afterLines="142" w:after="340" w:line="276" w:lineRule="auto"/>
        <w:jc w:val="both"/>
        <w:rPr>
          <w:rFonts w:ascii="Gilroy" w:hAnsi="Gilroy"/>
        </w:rPr>
      </w:pPr>
      <w:r>
        <w:rPr>
          <w:rFonts w:ascii="Gilroy" w:hAnsi="Gilroy"/>
        </w:rPr>
        <w:t>Our</w:t>
      </w:r>
      <w:r w:rsidRPr="00775F99">
        <w:rPr>
          <w:rFonts w:ascii="Gilroy" w:hAnsi="Gilroy"/>
        </w:rPr>
        <w:t xml:space="preserve"> investigations culminated in a joint complaint to the European Ombudsman (the Ombudsman) in respect of the EUT</w:t>
      </w:r>
      <w:r>
        <w:rPr>
          <w:rFonts w:ascii="Gilroy" w:hAnsi="Gilroy"/>
        </w:rPr>
        <w:t>F</w:t>
      </w:r>
      <w:r w:rsidRPr="00775F99">
        <w:rPr>
          <w:rFonts w:ascii="Gilroy" w:hAnsi="Gilroy"/>
        </w:rPr>
        <w:t xml:space="preserve"> and several other EU foreign aid programmes</w:t>
      </w:r>
      <w:r w:rsidRPr="00775F99">
        <w:rPr>
          <w:rStyle w:val="FootnoteReference"/>
          <w:rFonts w:ascii="Gilroy" w:hAnsi="Gilroy"/>
        </w:rPr>
        <w:footnoteReference w:id="47"/>
      </w:r>
      <w:r w:rsidRPr="00775F99">
        <w:rPr>
          <w:rFonts w:ascii="Gilroy" w:hAnsi="Gilroy"/>
        </w:rPr>
        <w:t xml:space="preserve">. On </w:t>
      </w:r>
      <w:r>
        <w:rPr>
          <w:rFonts w:ascii="Gilroy" w:hAnsi="Gilroy"/>
        </w:rPr>
        <w:t>28 November 2022</w:t>
      </w:r>
      <w:r w:rsidRPr="00775F99">
        <w:rPr>
          <w:rFonts w:ascii="Gilroy" w:hAnsi="Gilroy"/>
        </w:rPr>
        <w:t xml:space="preserve">, the Ombudsman upheld the complaint in a </w:t>
      </w:r>
      <w:r>
        <w:rPr>
          <w:rFonts w:ascii="Gilroy" w:hAnsi="Gilroy"/>
        </w:rPr>
        <w:t>decision</w:t>
      </w:r>
      <w:r w:rsidRPr="00775F99">
        <w:rPr>
          <w:rFonts w:ascii="Gilroy" w:hAnsi="Gilroy"/>
        </w:rPr>
        <w:t xml:space="preserve"> that found that “</w:t>
      </w:r>
      <w:r w:rsidRPr="00775F99">
        <w:rPr>
          <w:rFonts w:ascii="Gilroy" w:hAnsi="Gilroy"/>
          <w:i/>
          <w:iCs/>
        </w:rPr>
        <w:t>the Commission was not able to demonstrate that the measures in place ensured a coherent and structured approach to assessing the human rights impacts</w:t>
      </w:r>
      <w:r w:rsidRPr="00775F99">
        <w:rPr>
          <w:rFonts w:ascii="Gilroy" w:hAnsi="Gilroy"/>
        </w:rPr>
        <w:t xml:space="preserve">”. The Ombudsman recommended that the </w:t>
      </w:r>
      <w:r>
        <w:rPr>
          <w:rFonts w:ascii="Gilroy" w:hAnsi="Gilroy"/>
        </w:rPr>
        <w:t xml:space="preserve">European </w:t>
      </w:r>
      <w:r w:rsidRPr="00775F99">
        <w:rPr>
          <w:rFonts w:ascii="Gilroy" w:hAnsi="Gilroy"/>
        </w:rPr>
        <w:t>Commission now require that an “</w:t>
      </w:r>
      <w:r w:rsidRPr="00775F99">
        <w:rPr>
          <w:rFonts w:ascii="Gilroy" w:hAnsi="Gilroy"/>
          <w:i/>
          <w:iCs/>
        </w:rPr>
        <w:t>assessment of the potential human rights impact of projects be presented together with corresponding mitigation measures</w:t>
      </w:r>
      <w:r w:rsidRPr="00775F99">
        <w:rPr>
          <w:rFonts w:ascii="Gilroy" w:hAnsi="Gilroy"/>
        </w:rPr>
        <w:t>.”</w:t>
      </w:r>
      <w:r>
        <w:rPr>
          <w:rStyle w:val="FootnoteReference"/>
          <w:rFonts w:ascii="Gilroy" w:hAnsi="Gilroy"/>
        </w:rPr>
        <w:footnoteReference w:id="48"/>
      </w:r>
      <w:r w:rsidRPr="00775F99">
        <w:rPr>
          <w:rFonts w:ascii="Gilroy" w:hAnsi="Gilroy"/>
        </w:rPr>
        <w:t xml:space="preserve"> </w:t>
      </w:r>
    </w:p>
    <w:p w14:paraId="606FB256" w14:textId="27435482" w:rsidR="00854D41" w:rsidRPr="00462C89" w:rsidRDefault="00854D41" w:rsidP="00462C89">
      <w:pPr>
        <w:pStyle w:val="Default"/>
        <w:spacing w:afterLines="142" w:after="340" w:line="276" w:lineRule="auto"/>
        <w:jc w:val="both"/>
        <w:rPr>
          <w:rFonts w:ascii="Gilroy" w:hAnsi="Gilroy"/>
        </w:rPr>
      </w:pPr>
      <w:r w:rsidRPr="00775F99">
        <w:rPr>
          <w:rFonts w:ascii="Gilroy" w:hAnsi="Gilroy"/>
        </w:rPr>
        <w:t>PI</w:t>
      </w:r>
      <w:r w:rsidR="007E69BA">
        <w:rPr>
          <w:rFonts w:ascii="Gilroy" w:hAnsi="Gilroy"/>
        </w:rPr>
        <w:t>,</w:t>
      </w:r>
      <w:r>
        <w:rPr>
          <w:rFonts w:ascii="Gilroy" w:hAnsi="Gilroy"/>
        </w:rPr>
        <w:t xml:space="preserve"> together with other </w:t>
      </w:r>
      <w:r w:rsidR="007E69BA">
        <w:rPr>
          <w:rFonts w:ascii="Gilroy" w:hAnsi="Gilroy"/>
        </w:rPr>
        <w:t>civil society organisations</w:t>
      </w:r>
      <w:r>
        <w:rPr>
          <w:rFonts w:ascii="Gilroy" w:hAnsi="Gilroy"/>
        </w:rPr>
        <w:t xml:space="preserve">, </w:t>
      </w:r>
      <w:r w:rsidRPr="00775F99">
        <w:rPr>
          <w:rFonts w:ascii="Gilroy" w:hAnsi="Gilroy"/>
        </w:rPr>
        <w:t>filed similar</w:t>
      </w:r>
      <w:r>
        <w:rPr>
          <w:rFonts w:ascii="Gilroy" w:hAnsi="Gilroy"/>
        </w:rPr>
        <w:t xml:space="preserve"> </w:t>
      </w:r>
      <w:r w:rsidRPr="00775F99">
        <w:rPr>
          <w:rFonts w:ascii="Gilroy" w:hAnsi="Gilroy"/>
        </w:rPr>
        <w:t>complaint</w:t>
      </w:r>
      <w:r>
        <w:rPr>
          <w:rFonts w:ascii="Gilroy" w:hAnsi="Gilroy"/>
        </w:rPr>
        <w:t>s</w:t>
      </w:r>
      <w:r w:rsidRPr="00775F99">
        <w:rPr>
          <w:rFonts w:ascii="Gilroy" w:hAnsi="Gilroy"/>
        </w:rPr>
        <w:t xml:space="preserve"> against </w:t>
      </w:r>
      <w:r>
        <w:rPr>
          <w:rFonts w:ascii="Gilroy" w:hAnsi="Gilroy"/>
        </w:rPr>
        <w:t xml:space="preserve">European External Action Service (EEAS) and </w:t>
      </w:r>
      <w:r w:rsidRPr="00775F99">
        <w:rPr>
          <w:rFonts w:ascii="Gilroy" w:hAnsi="Gilroy"/>
        </w:rPr>
        <w:t>Frontex</w:t>
      </w:r>
      <w:r>
        <w:rPr>
          <w:rFonts w:ascii="Gilroy" w:hAnsi="Gilroy"/>
        </w:rPr>
        <w:t xml:space="preserve"> leading the Ombudsman to open additional inquiries, in relation to their compliance with human rights standards when providing</w:t>
      </w:r>
      <w:r w:rsidRPr="00775F99">
        <w:rPr>
          <w:rFonts w:ascii="Gilroy" w:hAnsi="Gilroy"/>
        </w:rPr>
        <w:t xml:space="preserve"> </w:t>
      </w:r>
      <w:r>
        <w:rPr>
          <w:rFonts w:ascii="Gilroy" w:hAnsi="Gilroy"/>
        </w:rPr>
        <w:t xml:space="preserve">among others </w:t>
      </w:r>
      <w:r w:rsidRPr="00775F99">
        <w:rPr>
          <w:rFonts w:ascii="Gilroy" w:hAnsi="Gilroy"/>
        </w:rPr>
        <w:t>technical assistance provided to non-EU countries, such as training in surveillance techniques and the provision of surveillance equipment and other related support</w:t>
      </w:r>
      <w:r w:rsidRPr="00775F99">
        <w:rPr>
          <w:rStyle w:val="FootnoteReference"/>
          <w:rFonts w:ascii="Gilroy" w:hAnsi="Gilroy"/>
        </w:rPr>
        <w:footnoteReference w:id="49"/>
      </w:r>
      <w:r w:rsidRPr="00775F99">
        <w:rPr>
          <w:rFonts w:ascii="Gilroy" w:hAnsi="Gilroy"/>
        </w:rPr>
        <w:t xml:space="preserve">. The </w:t>
      </w:r>
      <w:r w:rsidR="007E69BA">
        <w:rPr>
          <w:rFonts w:ascii="Gilroy" w:hAnsi="Gilroy"/>
        </w:rPr>
        <w:t>complaint</w:t>
      </w:r>
      <w:r w:rsidRPr="00775F99">
        <w:rPr>
          <w:rFonts w:ascii="Gilroy" w:hAnsi="Gilroy"/>
        </w:rPr>
        <w:t xml:space="preserve"> </w:t>
      </w:r>
      <w:r>
        <w:rPr>
          <w:rFonts w:ascii="Gilroy" w:hAnsi="Gilroy"/>
        </w:rPr>
        <w:t>questioned amongst others the</w:t>
      </w:r>
      <w:r w:rsidRPr="00775F99">
        <w:rPr>
          <w:rFonts w:ascii="Gilroy" w:hAnsi="Gilroy"/>
        </w:rPr>
        <w:t xml:space="preserve"> training support that the Libyan General Administration for Coastal Security (GACS) has received on maritime law enforcement in the Central Mediterranean Sea. </w:t>
      </w:r>
      <w:r>
        <w:rPr>
          <w:rFonts w:ascii="Gilroy" w:hAnsi="Gilroy"/>
        </w:rPr>
        <w:t>Shortly after opening of the inquiry, a</w:t>
      </w:r>
      <w:r w:rsidRPr="00775F99">
        <w:rPr>
          <w:rFonts w:ascii="Gilroy" w:hAnsi="Gilroy"/>
        </w:rPr>
        <w:t xml:space="preserve"> Human Rights Watch (HRW) Report found that data collected by Frontex</w:t>
      </w:r>
      <w:r>
        <w:rPr>
          <w:rFonts w:ascii="Gilroy" w:hAnsi="Gilroy"/>
        </w:rPr>
        <w:t>-</w:t>
      </w:r>
      <w:r w:rsidRPr="00775F99">
        <w:rPr>
          <w:rFonts w:ascii="Gilroy" w:hAnsi="Gilroy"/>
        </w:rPr>
        <w:t xml:space="preserve">operated drones and chartered aircraft rendered the </w:t>
      </w:r>
      <w:r>
        <w:rPr>
          <w:rFonts w:ascii="Gilroy" w:hAnsi="Gilroy"/>
        </w:rPr>
        <w:t>agency</w:t>
      </w:r>
      <w:r w:rsidRPr="00775F99">
        <w:rPr>
          <w:rFonts w:ascii="Gilroy" w:hAnsi="Gilroy"/>
        </w:rPr>
        <w:t xml:space="preserve"> complicit in maritime interceptions and human rights abuses perpetuated by the Libyan authorities</w:t>
      </w:r>
      <w:r>
        <w:rPr>
          <w:rFonts w:ascii="Gilroy" w:hAnsi="Gilroy"/>
        </w:rPr>
        <w:t>.</w:t>
      </w:r>
      <w:r w:rsidRPr="00775F99">
        <w:rPr>
          <w:rStyle w:val="FootnoteReference"/>
          <w:rFonts w:ascii="Gilroy" w:hAnsi="Gilroy"/>
        </w:rPr>
        <w:footnoteReference w:id="50"/>
      </w:r>
      <w:r w:rsidRPr="00775F99">
        <w:rPr>
          <w:rFonts w:ascii="Gilroy" w:hAnsi="Gilroy"/>
        </w:rPr>
        <w:t xml:space="preserve"> </w:t>
      </w:r>
    </w:p>
    <w:p w14:paraId="5B4466E4" w14:textId="02FA5872" w:rsidR="00385225" w:rsidRPr="00775F99" w:rsidRDefault="00E020CE" w:rsidP="00462C89">
      <w:pPr>
        <w:pStyle w:val="Default"/>
        <w:numPr>
          <w:ilvl w:val="0"/>
          <w:numId w:val="13"/>
        </w:numPr>
        <w:spacing w:afterLines="142" w:after="340" w:line="276" w:lineRule="auto"/>
        <w:jc w:val="both"/>
        <w:rPr>
          <w:rFonts w:ascii="Gilroy" w:hAnsi="Gilroy"/>
          <w:b/>
          <w:bCs/>
        </w:rPr>
      </w:pPr>
      <w:r>
        <w:rPr>
          <w:rFonts w:ascii="Gilroy" w:hAnsi="Gilroy"/>
          <w:b/>
          <w:bCs/>
        </w:rPr>
        <w:t>Access to data and mission creep risks</w:t>
      </w:r>
      <w:r w:rsidR="00631B76">
        <w:rPr>
          <w:rFonts w:ascii="Gilroy" w:hAnsi="Gilroy"/>
          <w:b/>
          <w:bCs/>
        </w:rPr>
        <w:t xml:space="preserve"> for migrants’ data</w:t>
      </w:r>
    </w:p>
    <w:p w14:paraId="75A2FAA5" w14:textId="069C9A4B" w:rsidR="00633904" w:rsidRDefault="007E69BA" w:rsidP="00633904">
      <w:pPr>
        <w:pStyle w:val="Default"/>
        <w:spacing w:afterLines="142" w:after="340" w:line="276" w:lineRule="auto"/>
        <w:jc w:val="both"/>
        <w:rPr>
          <w:rFonts w:ascii="Gilroy" w:hAnsi="Gilroy"/>
          <w:lang w:val="en-US"/>
        </w:rPr>
      </w:pPr>
      <w:r>
        <w:rPr>
          <w:rStyle w:val="markedcontent"/>
          <w:rFonts w:ascii="Gilroy" w:hAnsi="Gilroy" w:cs="Arial"/>
        </w:rPr>
        <w:t>Another</w:t>
      </w:r>
      <w:r w:rsidR="00633904" w:rsidRPr="00775F99">
        <w:rPr>
          <w:rStyle w:val="markedcontent"/>
          <w:rFonts w:ascii="Gilroy" w:hAnsi="Gilroy" w:cs="Arial"/>
        </w:rPr>
        <w:t xml:space="preserve"> significant </w:t>
      </w:r>
      <w:r w:rsidR="007104BE">
        <w:rPr>
          <w:rStyle w:val="markedcontent"/>
          <w:rFonts w:ascii="Gilroy" w:hAnsi="Gilroy" w:cs="Arial"/>
        </w:rPr>
        <w:t xml:space="preserve">concern relevant </w:t>
      </w:r>
      <w:r w:rsidR="00633904" w:rsidRPr="00775F99">
        <w:rPr>
          <w:rStyle w:val="markedcontent"/>
          <w:rFonts w:ascii="Gilroy" w:hAnsi="Gilroy" w:cs="Arial"/>
        </w:rPr>
        <w:t xml:space="preserve">to </w:t>
      </w:r>
      <w:r w:rsidR="00633904" w:rsidRPr="00775F99">
        <w:rPr>
          <w:rFonts w:ascii="Gilroy" w:hAnsi="Gilroy"/>
          <w:lang w:val="en-US"/>
        </w:rPr>
        <w:t xml:space="preserve">the use of digital technologies in the context of </w:t>
      </w:r>
      <w:r w:rsidR="00B36F9C">
        <w:rPr>
          <w:rFonts w:ascii="Gilroy" w:hAnsi="Gilroy"/>
          <w:lang w:val="en-US"/>
        </w:rPr>
        <w:t xml:space="preserve">immigration enforcement and </w:t>
      </w:r>
      <w:r w:rsidR="00633904" w:rsidRPr="00775F99">
        <w:rPr>
          <w:rFonts w:ascii="Gilroy" w:hAnsi="Gilroy"/>
          <w:lang w:val="en-US"/>
        </w:rPr>
        <w:t xml:space="preserve">border </w:t>
      </w:r>
      <w:r w:rsidR="00B36F9C">
        <w:rPr>
          <w:rFonts w:ascii="Gilroy" w:hAnsi="Gilroy"/>
          <w:lang w:val="en-US"/>
        </w:rPr>
        <w:t>management</w:t>
      </w:r>
      <w:r w:rsidR="00633904" w:rsidRPr="00775F99">
        <w:rPr>
          <w:rFonts w:ascii="Gilroy" w:hAnsi="Gilroy"/>
          <w:lang w:val="en-US"/>
        </w:rPr>
        <w:t xml:space="preserve"> </w:t>
      </w:r>
      <w:r w:rsidR="00E020CE">
        <w:rPr>
          <w:rFonts w:ascii="Gilroy" w:hAnsi="Gilroy"/>
          <w:lang w:val="en-US"/>
        </w:rPr>
        <w:t xml:space="preserve">is the increasing re-purposing of the collected information through </w:t>
      </w:r>
      <w:r w:rsidR="00633904" w:rsidRPr="00775F99">
        <w:rPr>
          <w:rFonts w:ascii="Gilroy" w:hAnsi="Gilroy"/>
          <w:lang w:val="en-US"/>
        </w:rPr>
        <w:t>data</w:t>
      </w:r>
      <w:r w:rsidR="00E655E0">
        <w:rPr>
          <w:rFonts w:ascii="Gilroy" w:hAnsi="Gilroy"/>
          <w:lang w:val="en-US"/>
        </w:rPr>
        <w:t>-</w:t>
      </w:r>
      <w:r w:rsidR="00633904" w:rsidRPr="00775F99">
        <w:rPr>
          <w:rFonts w:ascii="Gilroy" w:hAnsi="Gilroy"/>
          <w:lang w:val="en-US"/>
        </w:rPr>
        <w:t xml:space="preserve">sharing arrangements </w:t>
      </w:r>
      <w:r w:rsidR="007B484E" w:rsidRPr="00775F99">
        <w:rPr>
          <w:rFonts w:ascii="Gilroy" w:hAnsi="Gilroy"/>
          <w:lang w:val="en-US"/>
        </w:rPr>
        <w:t>in place with</w:t>
      </w:r>
      <w:r w:rsidR="00A27692">
        <w:rPr>
          <w:rFonts w:ascii="Gilroy" w:hAnsi="Gilroy"/>
          <w:lang w:val="en-US"/>
        </w:rPr>
        <w:t>in</w:t>
      </w:r>
      <w:r w:rsidR="007B484E" w:rsidRPr="00775F99">
        <w:rPr>
          <w:rFonts w:ascii="Gilroy" w:hAnsi="Gilroy"/>
          <w:lang w:val="en-US"/>
        </w:rPr>
        <w:t xml:space="preserve"> states and intergovernmental institutions. This phenomenon is not a new one and PI has been advocating against it for some time</w:t>
      </w:r>
      <w:r w:rsidR="00631B76">
        <w:rPr>
          <w:rFonts w:ascii="Gilroy" w:hAnsi="Gilroy"/>
          <w:lang w:val="en-US"/>
        </w:rPr>
        <w:t>,</w:t>
      </w:r>
      <w:r w:rsidR="00631B76">
        <w:rPr>
          <w:rStyle w:val="FootnoteReference"/>
          <w:rFonts w:ascii="Gilroy" w:hAnsi="Gilroy"/>
          <w:lang w:val="en-US"/>
        </w:rPr>
        <w:footnoteReference w:id="51"/>
      </w:r>
      <w:r w:rsidR="007B484E" w:rsidRPr="00775F99">
        <w:rPr>
          <w:rFonts w:ascii="Gilroy" w:hAnsi="Gilroy"/>
          <w:lang w:val="en-US"/>
        </w:rPr>
        <w:t xml:space="preserve"> however as with many of the issues identified above, </w:t>
      </w:r>
      <w:r w:rsidR="007B484E" w:rsidRPr="00775F99">
        <w:rPr>
          <w:rFonts w:ascii="Gilroy" w:hAnsi="Gilroy"/>
          <w:lang w:val="en-US"/>
        </w:rPr>
        <w:lastRenderedPageBreak/>
        <w:t>it has been accelerating in recent years</w:t>
      </w:r>
      <w:r w:rsidR="00E020CE">
        <w:rPr>
          <w:rFonts w:ascii="Gilroy" w:hAnsi="Gilroy"/>
          <w:lang w:val="en-US"/>
        </w:rPr>
        <w:t xml:space="preserve"> as databases become increasingly interoperable and concerted efforts by authorities to achieve that</w:t>
      </w:r>
      <w:r w:rsidR="007B484E" w:rsidRPr="00775F99">
        <w:rPr>
          <w:rFonts w:ascii="Gilroy" w:hAnsi="Gilroy"/>
          <w:lang w:val="en-US"/>
        </w:rPr>
        <w:t xml:space="preserve">. </w:t>
      </w:r>
    </w:p>
    <w:p w14:paraId="78216117" w14:textId="781964FC" w:rsidR="00E020CE" w:rsidRPr="00462C89" w:rsidRDefault="00E020CE" w:rsidP="00633904">
      <w:pPr>
        <w:pStyle w:val="Default"/>
        <w:spacing w:afterLines="142" w:after="340" w:line="276" w:lineRule="auto"/>
        <w:jc w:val="both"/>
        <w:rPr>
          <w:rFonts w:ascii="Gilroy" w:hAnsi="Gilroy"/>
        </w:rPr>
      </w:pPr>
      <w:r w:rsidRPr="00E020CE">
        <w:rPr>
          <w:rFonts w:ascii="Gilroy" w:hAnsi="Gilroy"/>
        </w:rPr>
        <w:t xml:space="preserve">For example, </w:t>
      </w:r>
      <w:r>
        <w:rPr>
          <w:rFonts w:ascii="Gilroy" w:hAnsi="Gilroy"/>
        </w:rPr>
        <w:t xml:space="preserve">already </w:t>
      </w:r>
      <w:r w:rsidRPr="00E020CE">
        <w:rPr>
          <w:rFonts w:ascii="Gilroy" w:hAnsi="Gilroy"/>
        </w:rPr>
        <w:t>in 2004, the European Asylum Dactyloscopy Database (“EURODAC”) was</w:t>
      </w:r>
      <w:r>
        <w:rPr>
          <w:rFonts w:ascii="Gilroy" w:hAnsi="Gilroy"/>
        </w:rPr>
        <w:t xml:space="preserve"> </w:t>
      </w:r>
      <w:r w:rsidRPr="00E020CE">
        <w:rPr>
          <w:rFonts w:ascii="Gilroy" w:hAnsi="Gilroy"/>
        </w:rPr>
        <w:t>established to facilitate the application of the Dublin Regulation, which determines the EU Member State responsible for examining an asylum application. In 2009, EU Member States</w:t>
      </w:r>
      <w:r>
        <w:rPr>
          <w:rFonts w:ascii="Gilroy" w:hAnsi="Gilroy"/>
        </w:rPr>
        <w:t xml:space="preserve"> </w:t>
      </w:r>
      <w:r w:rsidRPr="00E020CE">
        <w:rPr>
          <w:rFonts w:ascii="Gilroy" w:hAnsi="Gilroy"/>
        </w:rPr>
        <w:t xml:space="preserve">proceeded to decide that EURODAC should made accessible for law enforcement purposes </w:t>
      </w:r>
      <w:proofErr w:type="gramStart"/>
      <w:r w:rsidRPr="00E020CE">
        <w:rPr>
          <w:rFonts w:ascii="Gilroy" w:hAnsi="Gilroy"/>
        </w:rPr>
        <w:t>in</w:t>
      </w:r>
      <w:r>
        <w:rPr>
          <w:rFonts w:ascii="Gilroy" w:hAnsi="Gilroy"/>
        </w:rPr>
        <w:t xml:space="preserve"> </w:t>
      </w:r>
      <w:r w:rsidRPr="00E020CE">
        <w:rPr>
          <w:rFonts w:ascii="Gilroy" w:hAnsi="Gilroy"/>
        </w:rPr>
        <w:t>order to</w:t>
      </w:r>
      <w:proofErr w:type="gramEnd"/>
      <w:r w:rsidRPr="00E020CE">
        <w:rPr>
          <w:rFonts w:ascii="Gilroy" w:hAnsi="Gilroy"/>
        </w:rPr>
        <w:t xml:space="preserve"> fight terrorism, a purpose for which the data processed was never intended, as noted</w:t>
      </w:r>
      <w:r>
        <w:rPr>
          <w:rFonts w:ascii="Gilroy" w:hAnsi="Gilroy"/>
        </w:rPr>
        <w:t xml:space="preserve"> </w:t>
      </w:r>
      <w:r w:rsidRPr="00E020CE">
        <w:rPr>
          <w:rFonts w:ascii="Gilroy" w:hAnsi="Gilroy"/>
        </w:rPr>
        <w:t>by the European Data Protection Supervisor (“EDPS”) in its Opinion on the matter. The EDPS’s</w:t>
      </w:r>
      <w:r>
        <w:rPr>
          <w:rFonts w:ascii="Gilroy" w:hAnsi="Gilroy"/>
        </w:rPr>
        <w:t xml:space="preserve"> </w:t>
      </w:r>
      <w:r w:rsidRPr="00E020CE">
        <w:rPr>
          <w:rFonts w:ascii="Gilroy" w:hAnsi="Gilroy"/>
        </w:rPr>
        <w:t>opinion also raised that the use of EURODAC for law enforcement purposes, and specifically for</w:t>
      </w:r>
      <w:r>
        <w:rPr>
          <w:rFonts w:ascii="Gilroy" w:hAnsi="Gilroy"/>
        </w:rPr>
        <w:t xml:space="preserve"> </w:t>
      </w:r>
      <w:r w:rsidRPr="00E020CE">
        <w:rPr>
          <w:rFonts w:ascii="Gilroy" w:hAnsi="Gilroy"/>
        </w:rPr>
        <w:t>terrorism, means that a particular vulnerable group in society, namely applicants for asylum</w:t>
      </w:r>
      <w:r>
        <w:rPr>
          <w:rFonts w:ascii="Gilroy" w:hAnsi="Gilroy"/>
        </w:rPr>
        <w:t xml:space="preserve"> </w:t>
      </w:r>
      <w:r w:rsidRPr="00E020CE">
        <w:rPr>
          <w:rFonts w:ascii="Gilroy" w:hAnsi="Gilroy"/>
        </w:rPr>
        <w:t>could be exposed to further risks of stigmatisation, even though they are “not suspected of any</w:t>
      </w:r>
      <w:r>
        <w:rPr>
          <w:rFonts w:ascii="Gilroy" w:hAnsi="Gilroy"/>
        </w:rPr>
        <w:t xml:space="preserve"> </w:t>
      </w:r>
      <w:r w:rsidRPr="00E020CE">
        <w:rPr>
          <w:rFonts w:ascii="Gilroy" w:hAnsi="Gilroy"/>
        </w:rPr>
        <w:t>crime” and “are in need of higher protection because they flee from persecution.”</w:t>
      </w:r>
      <w:r>
        <w:rPr>
          <w:rStyle w:val="FootnoteReference"/>
          <w:rFonts w:ascii="Gilroy" w:hAnsi="Gilroy"/>
        </w:rPr>
        <w:footnoteReference w:id="52"/>
      </w:r>
    </w:p>
    <w:p w14:paraId="0506F4A4" w14:textId="59B0CCFE" w:rsidR="00E020CE" w:rsidRDefault="00E020CE" w:rsidP="00633904">
      <w:pPr>
        <w:pStyle w:val="Default"/>
        <w:spacing w:afterLines="142" w:after="340" w:line="276" w:lineRule="auto"/>
        <w:jc w:val="both"/>
        <w:rPr>
          <w:rFonts w:ascii="Gilroy" w:hAnsi="Gilroy"/>
        </w:rPr>
      </w:pPr>
      <w:r>
        <w:rPr>
          <w:rFonts w:ascii="Gilroy" w:hAnsi="Gilroy"/>
          <w:lang w:val="en-US"/>
        </w:rPr>
        <w:t>In 2019</w:t>
      </w:r>
      <w:r w:rsidR="007B484E" w:rsidRPr="00775F99">
        <w:rPr>
          <w:rFonts w:ascii="Gilroy" w:hAnsi="Gilroy"/>
          <w:lang w:val="en-US"/>
        </w:rPr>
        <w:t>, the</w:t>
      </w:r>
      <w:r>
        <w:rPr>
          <w:rFonts w:ascii="Gilroy" w:hAnsi="Gilroy"/>
          <w:lang w:val="en-US"/>
        </w:rPr>
        <w:t xml:space="preserve"> EU</w:t>
      </w:r>
      <w:r w:rsidR="007B484E" w:rsidRPr="00775F99">
        <w:rPr>
          <w:rFonts w:ascii="Gilroy" w:hAnsi="Gilroy"/>
          <w:lang w:val="en-US"/>
        </w:rPr>
        <w:t xml:space="preserve"> Interoperability Regulations </w:t>
      </w:r>
      <w:r>
        <w:rPr>
          <w:rFonts w:ascii="Gilroy" w:hAnsi="Gilroy"/>
        </w:rPr>
        <w:t>[</w:t>
      </w:r>
      <w:r w:rsidR="007B484E" w:rsidRPr="00775F99">
        <w:rPr>
          <w:rFonts w:ascii="Gilroy" w:hAnsi="Gilroy"/>
        </w:rPr>
        <w:t>(EU) 2019/817 and (EU) 2019/818)</w:t>
      </w:r>
      <w:r>
        <w:rPr>
          <w:rFonts w:ascii="Gilroy" w:hAnsi="Gilroy"/>
        </w:rPr>
        <w:t>] formally</w:t>
      </w:r>
      <w:r w:rsidR="002F07B7" w:rsidRPr="00775F99">
        <w:rPr>
          <w:rFonts w:ascii="Gilroy" w:hAnsi="Gilroy"/>
        </w:rPr>
        <w:t xml:space="preserve"> established a framework for interoperability between EU information systems in the areas of police and judicial cooperation, asylum migration, </w:t>
      </w:r>
      <w:proofErr w:type="gramStart"/>
      <w:r w:rsidR="002F07B7" w:rsidRPr="00775F99">
        <w:rPr>
          <w:rFonts w:ascii="Gilroy" w:hAnsi="Gilroy"/>
        </w:rPr>
        <w:t>borders</w:t>
      </w:r>
      <w:proofErr w:type="gramEnd"/>
      <w:r w:rsidR="002F07B7" w:rsidRPr="00775F99">
        <w:rPr>
          <w:rFonts w:ascii="Gilroy" w:hAnsi="Gilroy"/>
        </w:rPr>
        <w:t xml:space="preserve"> and visas. </w:t>
      </w:r>
      <w:r w:rsidR="00E655E0">
        <w:rPr>
          <w:rFonts w:ascii="Gilroy" w:hAnsi="Gilroy"/>
        </w:rPr>
        <w:t>Amongst others</w:t>
      </w:r>
      <w:r w:rsidR="002F07B7" w:rsidRPr="00775F99">
        <w:rPr>
          <w:rFonts w:ascii="Gilroy" w:hAnsi="Gilroy"/>
        </w:rPr>
        <w:t>, the Interoperability Regulations result in the storage of personal and biometric data of all non-EU citizens who come to the EU to work, study, and seek asylum among other things – in three centralised databases</w:t>
      </w:r>
      <w:r w:rsidR="002F07B7" w:rsidRPr="00775F99">
        <w:rPr>
          <w:rStyle w:val="FootnoteReference"/>
          <w:rFonts w:ascii="Gilroy" w:hAnsi="Gilroy"/>
        </w:rPr>
        <w:footnoteReference w:id="53"/>
      </w:r>
      <w:r w:rsidR="002F07B7" w:rsidRPr="00775F99">
        <w:rPr>
          <w:rFonts w:ascii="Gilroy" w:hAnsi="Gilroy"/>
        </w:rPr>
        <w:t xml:space="preserve">. One of the stated purposes of this centralisation relevant to border governance is the linking of law enforcement and immigration data </w:t>
      </w:r>
      <w:proofErr w:type="gramStart"/>
      <w:r w:rsidR="002F07B7" w:rsidRPr="00775F99">
        <w:rPr>
          <w:rFonts w:ascii="Gilroy" w:hAnsi="Gilroy"/>
        </w:rPr>
        <w:t>in order to</w:t>
      </w:r>
      <w:proofErr w:type="gramEnd"/>
      <w:r w:rsidR="002F07B7" w:rsidRPr="00775F99">
        <w:rPr>
          <w:rFonts w:ascii="Gilroy" w:hAnsi="Gilroy"/>
        </w:rPr>
        <w:t xml:space="preserve"> improve the EU’s response to irregular migration and serious criminality, including terrorism. </w:t>
      </w:r>
    </w:p>
    <w:p w14:paraId="631401AC" w14:textId="35478F36" w:rsidR="002F07B7" w:rsidRPr="00775F99" w:rsidRDefault="000B68C3" w:rsidP="00633904">
      <w:pPr>
        <w:pStyle w:val="Default"/>
        <w:spacing w:afterLines="142" w:after="340" w:line="276" w:lineRule="auto"/>
        <w:jc w:val="both"/>
        <w:rPr>
          <w:rFonts w:ascii="Gilroy" w:hAnsi="Gilroy"/>
        </w:rPr>
      </w:pPr>
      <w:r w:rsidRPr="00775F99">
        <w:rPr>
          <w:rFonts w:ascii="Gilroy" w:hAnsi="Gilroy"/>
        </w:rPr>
        <w:t>Civil society organisations have advocated against this trend for various reasons, including that it is discriminatory as it only applies to non-EU citizens</w:t>
      </w:r>
      <w:r w:rsidRPr="00775F99">
        <w:rPr>
          <w:rStyle w:val="FootnoteReference"/>
          <w:rFonts w:ascii="Gilroy" w:hAnsi="Gilroy"/>
        </w:rPr>
        <w:footnoteReference w:id="54"/>
      </w:r>
      <w:r w:rsidRPr="00775F99">
        <w:rPr>
          <w:rFonts w:ascii="Gilroy" w:hAnsi="Gilroy"/>
        </w:rPr>
        <w:t>; it unjustifiably conflates immigration and criminal law purposes</w:t>
      </w:r>
      <w:r w:rsidRPr="00775F99">
        <w:rPr>
          <w:rStyle w:val="FootnoteReference"/>
          <w:rFonts w:ascii="Gilroy" w:hAnsi="Gilroy"/>
        </w:rPr>
        <w:footnoteReference w:id="55"/>
      </w:r>
      <w:r w:rsidRPr="00775F99">
        <w:rPr>
          <w:rFonts w:ascii="Gilroy" w:hAnsi="Gilroy"/>
        </w:rPr>
        <w:t xml:space="preserve">; and it may be incompatible with </w:t>
      </w:r>
      <w:proofErr w:type="gramStart"/>
      <w:r w:rsidRPr="00775F99">
        <w:rPr>
          <w:rFonts w:ascii="Gilroy" w:hAnsi="Gilroy"/>
        </w:rPr>
        <w:t>a number of</w:t>
      </w:r>
      <w:proofErr w:type="gramEnd"/>
      <w:r w:rsidRPr="00775F99">
        <w:rPr>
          <w:rFonts w:ascii="Gilroy" w:hAnsi="Gilroy"/>
        </w:rPr>
        <w:t xml:space="preserve"> data protection principles including data minimisation and purpose limitation</w:t>
      </w:r>
      <w:r w:rsidRPr="00775F99">
        <w:rPr>
          <w:rStyle w:val="FootnoteReference"/>
          <w:rFonts w:ascii="Gilroy" w:hAnsi="Gilroy"/>
        </w:rPr>
        <w:footnoteReference w:id="56"/>
      </w:r>
      <w:r w:rsidRPr="00775F99">
        <w:rPr>
          <w:rFonts w:ascii="Gilroy" w:hAnsi="Gilroy"/>
        </w:rPr>
        <w:t xml:space="preserve">. </w:t>
      </w:r>
      <w:r w:rsidR="007A20C2" w:rsidRPr="00775F99">
        <w:rPr>
          <w:rFonts w:ascii="Gilroy" w:hAnsi="Gilroy"/>
        </w:rPr>
        <w:t xml:space="preserve">This is because data initially gathered for one purpose (immigration administration) may then be used for another (law enforcement processing) in ways that are often unforeseeable to the individual in question. </w:t>
      </w:r>
    </w:p>
    <w:p w14:paraId="6100A2F7" w14:textId="7A131365" w:rsidR="00B776E8" w:rsidRPr="00775F99" w:rsidRDefault="007A20C2" w:rsidP="00633904">
      <w:pPr>
        <w:pStyle w:val="Default"/>
        <w:spacing w:afterLines="142" w:after="340" w:line="276" w:lineRule="auto"/>
        <w:jc w:val="both"/>
        <w:rPr>
          <w:rFonts w:ascii="Gilroy" w:hAnsi="Gilroy"/>
        </w:rPr>
      </w:pPr>
      <w:r w:rsidRPr="00775F99">
        <w:rPr>
          <w:rFonts w:ascii="Gilroy" w:hAnsi="Gilroy"/>
        </w:rPr>
        <w:t xml:space="preserve">In January 2023, the </w:t>
      </w:r>
      <w:r w:rsidR="00E020CE">
        <w:rPr>
          <w:rFonts w:ascii="Gilroy" w:hAnsi="Gilroy"/>
        </w:rPr>
        <w:t xml:space="preserve">European </w:t>
      </w:r>
      <w:r w:rsidRPr="00775F99">
        <w:rPr>
          <w:rFonts w:ascii="Gilroy" w:hAnsi="Gilroy"/>
        </w:rPr>
        <w:t xml:space="preserve">Commission proposed an initiative to extend data </w:t>
      </w:r>
      <w:r w:rsidRPr="00775F99">
        <w:rPr>
          <w:rFonts w:ascii="Gilroy" w:hAnsi="Gilroy"/>
          <w:lang w:val="en-US"/>
        </w:rPr>
        <w:t xml:space="preserve">interoperability </w:t>
      </w:r>
      <w:r w:rsidRPr="00775F99">
        <w:rPr>
          <w:rFonts w:ascii="Gilroy" w:hAnsi="Gilroy"/>
        </w:rPr>
        <w:t>through a “security information sharing system between frontline officers in the EU and key partner countries”</w:t>
      </w:r>
      <w:r w:rsidR="008F38B3" w:rsidRPr="00775F99">
        <w:rPr>
          <w:rStyle w:val="FootnoteReference"/>
          <w:rFonts w:ascii="Gilroy" w:hAnsi="Gilroy"/>
        </w:rPr>
        <w:footnoteReference w:id="57"/>
      </w:r>
      <w:r w:rsidR="008F38B3" w:rsidRPr="00775F99">
        <w:rPr>
          <w:rFonts w:ascii="Gilroy" w:hAnsi="Gilroy"/>
        </w:rPr>
        <w:t xml:space="preserve">. As per PI’s joint submission to the </w:t>
      </w:r>
      <w:r w:rsidR="00E655E0">
        <w:rPr>
          <w:rFonts w:ascii="Gilroy" w:hAnsi="Gilroy"/>
        </w:rPr>
        <w:t xml:space="preserve">proposal’s </w:t>
      </w:r>
      <w:r w:rsidR="008F38B3" w:rsidRPr="00775F99">
        <w:rPr>
          <w:rFonts w:ascii="Gilroy" w:hAnsi="Gilroy"/>
        </w:rPr>
        <w:lastRenderedPageBreak/>
        <w:t>consultation, one of the purposes of this further interoperability initiative is to facilitate increased police identity checks and to “</w:t>
      </w:r>
      <w:r w:rsidR="008F38B3" w:rsidRPr="00A27692">
        <w:rPr>
          <w:rFonts w:ascii="Gilroy" w:hAnsi="Gilroy"/>
          <w:i/>
          <w:iCs/>
        </w:rPr>
        <w:t>repurpose the data collected for other means such as readmissions and deportations</w:t>
      </w:r>
      <w:r w:rsidR="008F38B3" w:rsidRPr="00775F99">
        <w:rPr>
          <w:rFonts w:ascii="Gilroy" w:hAnsi="Gilroy"/>
        </w:rPr>
        <w:t>”</w:t>
      </w:r>
      <w:r w:rsidR="008F38B3" w:rsidRPr="00775F99">
        <w:rPr>
          <w:rStyle w:val="FootnoteReference"/>
          <w:rFonts w:ascii="Gilroy" w:hAnsi="Gilroy"/>
        </w:rPr>
        <w:footnoteReference w:id="58"/>
      </w:r>
      <w:r w:rsidR="008F38B3" w:rsidRPr="00775F99">
        <w:rPr>
          <w:rFonts w:ascii="Gilroy" w:hAnsi="Gilroy"/>
        </w:rPr>
        <w:t xml:space="preserve">. </w:t>
      </w:r>
      <w:r w:rsidR="003E3CC2">
        <w:rPr>
          <w:rFonts w:ascii="Gilroy" w:hAnsi="Gilroy"/>
        </w:rPr>
        <w:t>T</w:t>
      </w:r>
      <w:r w:rsidR="008F38B3" w:rsidRPr="00775F99">
        <w:rPr>
          <w:rFonts w:ascii="Gilroy" w:hAnsi="Gilroy"/>
        </w:rPr>
        <w:t xml:space="preserve">here </w:t>
      </w:r>
      <w:r w:rsidR="003E3CC2">
        <w:rPr>
          <w:rFonts w:ascii="Gilroy" w:hAnsi="Gilroy"/>
        </w:rPr>
        <w:t>is</w:t>
      </w:r>
      <w:r w:rsidR="008F38B3" w:rsidRPr="00775F99">
        <w:rPr>
          <w:rFonts w:ascii="Gilroy" w:hAnsi="Gilroy"/>
        </w:rPr>
        <w:t xml:space="preserve"> </w:t>
      </w:r>
      <w:r w:rsidR="003E3CC2">
        <w:rPr>
          <w:rFonts w:ascii="Gilroy" w:hAnsi="Gilroy"/>
        </w:rPr>
        <w:t xml:space="preserve">currently </w:t>
      </w:r>
      <w:r w:rsidR="008F38B3" w:rsidRPr="00775F99">
        <w:rPr>
          <w:rFonts w:ascii="Gilroy" w:hAnsi="Gilroy"/>
        </w:rPr>
        <w:t xml:space="preserve">no legal basis for such an extension of data-sharing, which would represent an extension of </w:t>
      </w:r>
      <w:r w:rsidR="003E3CC2">
        <w:rPr>
          <w:rFonts w:ascii="Gilroy" w:hAnsi="Gilroy"/>
        </w:rPr>
        <w:t xml:space="preserve">the </w:t>
      </w:r>
      <w:r w:rsidR="008F38B3" w:rsidRPr="00775F99">
        <w:rPr>
          <w:rFonts w:ascii="Gilroy" w:hAnsi="Gilroy"/>
        </w:rPr>
        <w:t>ongoing trend of border externalisation.</w:t>
      </w:r>
      <w:r w:rsidR="00B776E8" w:rsidRPr="00775F99">
        <w:rPr>
          <w:rFonts w:ascii="Gilroy" w:hAnsi="Gilroy"/>
        </w:rPr>
        <w:t xml:space="preserve"> </w:t>
      </w:r>
    </w:p>
    <w:p w14:paraId="34ADBEA7" w14:textId="22FB07F7" w:rsidR="009607D6" w:rsidRPr="00775F99" w:rsidRDefault="00B776E8" w:rsidP="00633904">
      <w:pPr>
        <w:pStyle w:val="Default"/>
        <w:spacing w:afterLines="142" w:after="340" w:line="276" w:lineRule="auto"/>
        <w:jc w:val="both"/>
        <w:rPr>
          <w:rFonts w:ascii="Gilroy" w:hAnsi="Gilroy"/>
        </w:rPr>
      </w:pPr>
      <w:r w:rsidRPr="00775F99">
        <w:rPr>
          <w:rFonts w:ascii="Gilroy" w:hAnsi="Gilroy"/>
        </w:rPr>
        <w:t xml:space="preserve">For example, granting access to the EURODAC fingerprint database to Western Balkan states would facilitate removals of asylum seekers to such states, which have been designated as Safe Third Countries for the purposes of EU asylum law on the grounds that this was a fingerprinted person’s first country of asylum. This is </w:t>
      </w:r>
      <w:proofErr w:type="gramStart"/>
      <w:r w:rsidRPr="00775F99">
        <w:rPr>
          <w:rFonts w:ascii="Gilroy" w:hAnsi="Gilroy"/>
        </w:rPr>
        <w:t>despite the fact that</w:t>
      </w:r>
      <w:proofErr w:type="gramEnd"/>
      <w:r w:rsidRPr="00775F99">
        <w:rPr>
          <w:rFonts w:ascii="Gilroy" w:hAnsi="Gilroy"/>
        </w:rPr>
        <w:t xml:space="preserve"> they have not yet met the requirements for accession to the EU including compliance with the Common European Asylum System (CEAS)</w:t>
      </w:r>
      <w:r w:rsidRPr="00775F99">
        <w:rPr>
          <w:rStyle w:val="FootnoteReference"/>
          <w:rFonts w:ascii="Gilroy" w:hAnsi="Gilroy"/>
        </w:rPr>
        <w:footnoteReference w:id="59"/>
      </w:r>
      <w:r w:rsidRPr="00775F99">
        <w:rPr>
          <w:rFonts w:ascii="Gilroy" w:hAnsi="Gilroy"/>
        </w:rPr>
        <w:t>. Compliance with the CEAS entails states meeting minimum reception standards including in relation to the provision of housing, food, accommodation, clothing, healthcare, and education</w:t>
      </w:r>
      <w:r w:rsidRPr="00775F99">
        <w:rPr>
          <w:rStyle w:val="FootnoteReference"/>
          <w:rFonts w:ascii="Gilroy" w:hAnsi="Gilroy"/>
        </w:rPr>
        <w:footnoteReference w:id="60"/>
      </w:r>
      <w:r w:rsidRPr="00775F99">
        <w:rPr>
          <w:rFonts w:ascii="Gilroy" w:hAnsi="Gilroy"/>
        </w:rPr>
        <w:t xml:space="preserve">. </w:t>
      </w:r>
      <w:r w:rsidR="007E69BA">
        <w:rPr>
          <w:rFonts w:ascii="Gilroy" w:hAnsi="Gilroy"/>
        </w:rPr>
        <w:t>A</w:t>
      </w:r>
      <w:r w:rsidR="009607D6" w:rsidRPr="00775F99">
        <w:rPr>
          <w:rFonts w:ascii="Gilroy" w:hAnsi="Gilroy"/>
        </w:rPr>
        <w:t xml:space="preserve"> report by Refugee Rights Europe</w:t>
      </w:r>
      <w:r w:rsidR="007E69BA">
        <w:rPr>
          <w:rFonts w:ascii="Gilroy" w:hAnsi="Gilroy"/>
        </w:rPr>
        <w:t xml:space="preserve"> documented</w:t>
      </w:r>
      <w:r w:rsidR="009607D6" w:rsidRPr="00775F99">
        <w:rPr>
          <w:rFonts w:ascii="Gilroy" w:hAnsi="Gilroy"/>
        </w:rPr>
        <w:t xml:space="preserve"> illegal pushbacks </w:t>
      </w:r>
      <w:r w:rsidR="00B10035">
        <w:rPr>
          <w:rFonts w:ascii="Gilroy" w:hAnsi="Gilroy"/>
        </w:rPr>
        <w:t>to various Balkan states.</w:t>
      </w:r>
      <w:r w:rsidR="009607D6" w:rsidRPr="00775F99">
        <w:rPr>
          <w:rStyle w:val="FootnoteReference"/>
          <w:rFonts w:ascii="Gilroy" w:hAnsi="Gilroy"/>
        </w:rPr>
        <w:footnoteReference w:id="61"/>
      </w:r>
      <w:r w:rsidR="009607D6" w:rsidRPr="00775F99">
        <w:rPr>
          <w:rFonts w:ascii="Gilroy" w:hAnsi="Gilroy"/>
        </w:rPr>
        <w:t xml:space="preserve"> </w:t>
      </w:r>
      <w:r w:rsidR="00B10035">
        <w:rPr>
          <w:rFonts w:ascii="Gilroy" w:hAnsi="Gilroy"/>
        </w:rPr>
        <w:t>These highlight the risks of data sharing agreements facilitating the commission of further human rights abuses against migrants, including denial to access to essential services, right to seek asylum and eventually potential returns to their countries of origin where they would be put further at risk in violation of the non-refoulement principle.</w:t>
      </w:r>
    </w:p>
    <w:p w14:paraId="41E2B373" w14:textId="465E730B" w:rsidR="00E020CE" w:rsidRDefault="00B10035" w:rsidP="00E020CE">
      <w:pPr>
        <w:pStyle w:val="Default"/>
        <w:spacing w:afterLines="142" w:after="340" w:line="276" w:lineRule="auto"/>
        <w:jc w:val="both"/>
        <w:rPr>
          <w:rFonts w:ascii="Gilroy" w:hAnsi="Gilroy"/>
        </w:rPr>
      </w:pPr>
      <w:r>
        <w:rPr>
          <w:rFonts w:ascii="Gilroy" w:hAnsi="Gilroy"/>
        </w:rPr>
        <w:t xml:space="preserve">Another example is the UK’s </w:t>
      </w:r>
      <w:r w:rsidR="00452FE4" w:rsidRPr="00775F99">
        <w:rPr>
          <w:rFonts w:ascii="Gilroy" w:hAnsi="Gilroy"/>
        </w:rPr>
        <w:t>Department of Education (DfE)</w:t>
      </w:r>
      <w:r>
        <w:rPr>
          <w:rFonts w:ascii="Gilroy" w:hAnsi="Gilroy"/>
        </w:rPr>
        <w:t xml:space="preserve"> sharing data from national pupil database with immigration enforcement.</w:t>
      </w:r>
      <w:r w:rsidR="00452FE4" w:rsidRPr="00775F99">
        <w:rPr>
          <w:rFonts w:ascii="Gilroy" w:hAnsi="Gilroy"/>
        </w:rPr>
        <w:t xml:space="preserve"> </w:t>
      </w:r>
      <w:r>
        <w:rPr>
          <w:rFonts w:ascii="Gilroy" w:hAnsi="Gilroy"/>
        </w:rPr>
        <w:t>I</w:t>
      </w:r>
      <w:r w:rsidR="00452FE4" w:rsidRPr="00775F99">
        <w:rPr>
          <w:rFonts w:ascii="Gilroy" w:hAnsi="Gilroy"/>
        </w:rPr>
        <w:t>n 2018 it began collecting data for the schools’ census</w:t>
      </w:r>
      <w:r>
        <w:rPr>
          <w:rFonts w:ascii="Gilroy" w:hAnsi="Gilroy"/>
        </w:rPr>
        <w:t>. The</w:t>
      </w:r>
      <w:r w:rsidR="00452FE4" w:rsidRPr="00775F99">
        <w:rPr>
          <w:rFonts w:ascii="Gilroy" w:hAnsi="Gilroy"/>
        </w:rPr>
        <w:t xml:space="preserve"> collection of children's data recorded in the national pupil database and including details such as age, address, and academic achievements. </w:t>
      </w:r>
      <w:r>
        <w:rPr>
          <w:rFonts w:ascii="Gilroy" w:hAnsi="Gilroy"/>
        </w:rPr>
        <w:t>T</w:t>
      </w:r>
      <w:r w:rsidRPr="00775F99">
        <w:rPr>
          <w:rFonts w:ascii="Gilroy" w:hAnsi="Gilroy"/>
        </w:rPr>
        <w:t xml:space="preserve">he </w:t>
      </w:r>
      <w:r>
        <w:rPr>
          <w:rFonts w:ascii="Gilroy" w:hAnsi="Gilroy"/>
        </w:rPr>
        <w:t>DfE had allegedly abandoned that policy, but i</w:t>
      </w:r>
      <w:r w:rsidR="00452FE4" w:rsidRPr="00775F99">
        <w:rPr>
          <w:rFonts w:ascii="Gilroy" w:hAnsi="Gilroy"/>
        </w:rPr>
        <w:t xml:space="preserve">n January 2019, </w:t>
      </w:r>
      <w:r>
        <w:rPr>
          <w:rFonts w:ascii="Gilroy" w:hAnsi="Gilroy"/>
        </w:rPr>
        <w:t xml:space="preserve">it </w:t>
      </w:r>
      <w:r w:rsidR="00452FE4" w:rsidRPr="00775F99">
        <w:rPr>
          <w:rFonts w:ascii="Gilroy" w:hAnsi="Gilroy"/>
        </w:rPr>
        <w:t xml:space="preserve">admitted </w:t>
      </w:r>
      <w:r>
        <w:rPr>
          <w:rFonts w:ascii="Gilroy" w:hAnsi="Gilroy"/>
        </w:rPr>
        <w:t xml:space="preserve">to </w:t>
      </w:r>
      <w:r w:rsidR="00452FE4" w:rsidRPr="00775F99">
        <w:rPr>
          <w:rFonts w:ascii="Gilroy" w:hAnsi="Gilroy"/>
        </w:rPr>
        <w:t>contin</w:t>
      </w:r>
      <w:r>
        <w:rPr>
          <w:rFonts w:ascii="Gilroy" w:hAnsi="Gilroy"/>
        </w:rPr>
        <w:t>uing</w:t>
      </w:r>
      <w:r w:rsidR="00452FE4" w:rsidRPr="00775F99">
        <w:rPr>
          <w:rFonts w:ascii="Gilroy" w:hAnsi="Gilroy"/>
        </w:rPr>
        <w:t xml:space="preserve"> </w:t>
      </w:r>
      <w:proofErr w:type="gramStart"/>
      <w:r>
        <w:rPr>
          <w:rFonts w:ascii="Gilroy" w:hAnsi="Gilroy"/>
        </w:rPr>
        <w:t xml:space="preserve">storing </w:t>
      </w:r>
      <w:r w:rsidR="00452FE4" w:rsidRPr="00775F99">
        <w:rPr>
          <w:rFonts w:ascii="Gilroy" w:hAnsi="Gilroy"/>
        </w:rPr>
        <w:t xml:space="preserve"> the</w:t>
      </w:r>
      <w:proofErr w:type="gramEnd"/>
      <w:r w:rsidR="00452FE4" w:rsidRPr="00775F99">
        <w:rPr>
          <w:rFonts w:ascii="Gilroy" w:hAnsi="Gilroy"/>
        </w:rPr>
        <w:t xml:space="preserve"> data it had collected, and sharing the census data with immigration enforcement every month since 2015</w:t>
      </w:r>
      <w:r w:rsidR="00452FE4" w:rsidRPr="00775F99">
        <w:rPr>
          <w:rStyle w:val="FootnoteReference"/>
          <w:rFonts w:ascii="Gilroy" w:hAnsi="Gilroy"/>
        </w:rPr>
        <w:footnoteReference w:id="62"/>
      </w:r>
      <w:r w:rsidR="00452FE4" w:rsidRPr="00775F99">
        <w:rPr>
          <w:rFonts w:ascii="Gilroy" w:hAnsi="Gilroy"/>
        </w:rPr>
        <w:t xml:space="preserve">. During the COVID-19 pandemic, PI </w:t>
      </w:r>
      <w:r w:rsidR="002149C2" w:rsidRPr="00775F99">
        <w:rPr>
          <w:rFonts w:ascii="Gilroy" w:hAnsi="Gilroy"/>
        </w:rPr>
        <w:t>found that these data sharing practices had a chilling impact on migrants accessing healthcare services</w:t>
      </w:r>
      <w:r w:rsidR="003E3CC2">
        <w:rPr>
          <w:rFonts w:ascii="Gilroy" w:hAnsi="Gilroy"/>
        </w:rPr>
        <w:t>,</w:t>
      </w:r>
      <w:r w:rsidR="002149C2" w:rsidRPr="00775F99">
        <w:rPr>
          <w:rFonts w:ascii="Gilroy" w:hAnsi="Gilroy"/>
        </w:rPr>
        <w:t xml:space="preserve"> despite the UK’s National Health Service (NHS) announcing that it would not share vaccination data with immigration enforcement</w:t>
      </w:r>
      <w:r w:rsidR="002149C2" w:rsidRPr="00775F99">
        <w:rPr>
          <w:rStyle w:val="FootnoteReference"/>
          <w:rFonts w:ascii="Gilroy" w:hAnsi="Gilroy"/>
        </w:rPr>
        <w:footnoteReference w:id="63"/>
      </w:r>
      <w:r w:rsidR="002149C2" w:rsidRPr="00775F99">
        <w:rPr>
          <w:rFonts w:ascii="Gilroy" w:hAnsi="Gilroy"/>
        </w:rPr>
        <w:t xml:space="preserve">. </w:t>
      </w:r>
    </w:p>
    <w:p w14:paraId="56A8C896" w14:textId="6A42346F" w:rsidR="00854D41" w:rsidRDefault="00E020CE" w:rsidP="00462C89">
      <w:pPr>
        <w:pStyle w:val="Default"/>
        <w:numPr>
          <w:ilvl w:val="0"/>
          <w:numId w:val="13"/>
        </w:numPr>
        <w:spacing w:afterLines="142" w:after="340" w:line="276" w:lineRule="auto"/>
        <w:jc w:val="both"/>
        <w:rPr>
          <w:rFonts w:ascii="Gilroy" w:hAnsi="Gilroy"/>
          <w:b/>
          <w:bCs/>
        </w:rPr>
      </w:pPr>
      <w:r>
        <w:rPr>
          <w:rFonts w:ascii="Gilroy" w:hAnsi="Gilroy"/>
          <w:b/>
          <w:bCs/>
        </w:rPr>
        <w:lastRenderedPageBreak/>
        <w:t>The r</w:t>
      </w:r>
      <w:r w:rsidR="00854D41">
        <w:rPr>
          <w:rFonts w:ascii="Gilroy" w:hAnsi="Gilroy"/>
          <w:b/>
          <w:bCs/>
        </w:rPr>
        <w:t>ole of private sector and regulation of public private partnerships</w:t>
      </w:r>
    </w:p>
    <w:p w14:paraId="2DB0D6A0" w14:textId="01FA49ED" w:rsidR="00631B76" w:rsidRDefault="00854D41" w:rsidP="00631B76">
      <w:pPr>
        <w:pStyle w:val="Default"/>
        <w:spacing w:afterLines="142" w:after="340" w:line="276" w:lineRule="auto"/>
        <w:jc w:val="both"/>
      </w:pPr>
      <w:r w:rsidRPr="00462C89">
        <w:rPr>
          <w:rFonts w:ascii="Gilroy" w:hAnsi="Gilroy"/>
        </w:rPr>
        <w:t xml:space="preserve">As exemplified in various of the above provided examples, states increasingly rely on the private sector to develop and implement technologies for migration management. </w:t>
      </w:r>
      <w:r w:rsidR="00631B76">
        <w:rPr>
          <w:rFonts w:ascii="Gilroy" w:hAnsi="Gilroy"/>
        </w:rPr>
        <w:t>For instance,</w:t>
      </w:r>
      <w:r w:rsidR="00631B76" w:rsidRPr="00775F99">
        <w:rPr>
          <w:rFonts w:ascii="Gilroy" w:hAnsi="Gilroy"/>
        </w:rPr>
        <w:t xml:space="preserve"> in the</w:t>
      </w:r>
      <w:r w:rsidR="00631B76">
        <w:rPr>
          <w:rFonts w:ascii="Gilroy" w:hAnsi="Gilroy"/>
        </w:rPr>
        <w:t xml:space="preserve"> above-mentioned</w:t>
      </w:r>
      <w:r w:rsidR="00631B76" w:rsidRPr="00775F99">
        <w:rPr>
          <w:rFonts w:ascii="Gilroy" w:hAnsi="Gilroy"/>
        </w:rPr>
        <w:t xml:space="preserve"> H</w:t>
      </w:r>
      <w:r w:rsidR="00631B76">
        <w:rPr>
          <w:rFonts w:ascii="Gilroy" w:hAnsi="Gilroy"/>
        </w:rPr>
        <w:t>uman Rights Watch</w:t>
      </w:r>
      <w:r w:rsidR="00631B76" w:rsidRPr="00775F99">
        <w:rPr>
          <w:rFonts w:ascii="Gilroy" w:hAnsi="Gilroy"/>
        </w:rPr>
        <w:t xml:space="preserve"> report</w:t>
      </w:r>
      <w:r w:rsidR="00631B76">
        <w:rPr>
          <w:rFonts w:ascii="Gilroy" w:hAnsi="Gilroy"/>
        </w:rPr>
        <w:t xml:space="preserve"> on drones operated by the </w:t>
      </w:r>
      <w:r w:rsidR="00631B76" w:rsidRPr="00631B76">
        <w:rPr>
          <w:rFonts w:ascii="Gilroy" w:hAnsi="Gilroy"/>
        </w:rPr>
        <w:t>European Border and Coast Guard Agency</w:t>
      </w:r>
      <w:r w:rsidR="00631B76">
        <w:rPr>
          <w:rFonts w:ascii="Gilroy" w:hAnsi="Gilroy"/>
        </w:rPr>
        <w:t xml:space="preserve"> (Frontex) in Libya above</w:t>
      </w:r>
      <w:r w:rsidR="00631B76" w:rsidRPr="00775F99">
        <w:rPr>
          <w:rFonts w:ascii="Gilroy" w:hAnsi="Gilroy"/>
        </w:rPr>
        <w:t>,</w:t>
      </w:r>
      <w:r w:rsidR="00631B76">
        <w:rPr>
          <w:rFonts w:ascii="Gilroy" w:hAnsi="Gilroy"/>
        </w:rPr>
        <w:t xml:space="preserve"> it is noted that</w:t>
      </w:r>
      <w:r w:rsidR="00631B76" w:rsidRPr="00775F99">
        <w:rPr>
          <w:rFonts w:ascii="Gilroy" w:hAnsi="Gilroy"/>
        </w:rPr>
        <w:t xml:space="preserve"> the aircraft transmitting live data to Frontex is operated by private companies.</w:t>
      </w:r>
      <w:r w:rsidR="00631B76" w:rsidRPr="00775F99">
        <w:rPr>
          <w:rStyle w:val="FootnoteReference"/>
          <w:rFonts w:ascii="Gilroy" w:hAnsi="Gilroy"/>
        </w:rPr>
        <w:footnoteReference w:id="64"/>
      </w:r>
    </w:p>
    <w:p w14:paraId="6A43DA7A" w14:textId="742681DA" w:rsidR="00854D41" w:rsidRDefault="00854D41" w:rsidP="00462C89">
      <w:pPr>
        <w:pStyle w:val="Default"/>
        <w:spacing w:afterLines="142" w:after="340" w:line="276" w:lineRule="auto"/>
        <w:jc w:val="both"/>
        <w:rPr>
          <w:rFonts w:ascii="Gilroy" w:hAnsi="Gilroy"/>
        </w:rPr>
      </w:pPr>
      <w:r w:rsidRPr="00462C89">
        <w:rPr>
          <w:rFonts w:ascii="Gilroy" w:hAnsi="Gilroy"/>
        </w:rPr>
        <w:t xml:space="preserve">PI and its partners have documented several cases where public authorities (including police forces, but also national and local authorities) partner with private companies </w:t>
      </w:r>
      <w:proofErr w:type="gramStart"/>
      <w:r w:rsidRPr="00462C89">
        <w:rPr>
          <w:rFonts w:ascii="Gilroy" w:hAnsi="Gilroy"/>
        </w:rPr>
        <w:t>in order to</w:t>
      </w:r>
      <w:proofErr w:type="gramEnd"/>
      <w:r w:rsidRPr="00462C89">
        <w:rPr>
          <w:rFonts w:ascii="Gilroy" w:hAnsi="Gilroy"/>
        </w:rPr>
        <w:t xml:space="preserve"> expand their surveillance capabilities and process mass quantities of personal data (including often biometric data, such as facial images).</w:t>
      </w:r>
      <w:r w:rsidRPr="00462C89">
        <w:rPr>
          <w:rFonts w:ascii="Gilroy" w:hAnsi="Gilroy"/>
          <w:vertAlign w:val="superscript"/>
        </w:rPr>
        <w:footnoteReference w:id="65"/>
      </w:r>
      <w:r w:rsidRPr="00854D41">
        <w:rPr>
          <w:rFonts w:ascii="Gilroy" w:hAnsi="Gilroy"/>
          <w:b/>
          <w:bCs/>
        </w:rPr>
        <w:t xml:space="preserve"> </w:t>
      </w:r>
      <w:r w:rsidRPr="00462C89">
        <w:rPr>
          <w:rFonts w:ascii="Gilroy" w:hAnsi="Gilroy"/>
        </w:rPr>
        <w:t xml:space="preserve">These </w:t>
      </w:r>
      <w:r w:rsidR="00631B76">
        <w:rPr>
          <w:rFonts w:ascii="Gilroy" w:hAnsi="Gilroy"/>
        </w:rPr>
        <w:t>public private partnership</w:t>
      </w:r>
      <w:r w:rsidRPr="00462C89">
        <w:rPr>
          <w:rFonts w:ascii="Gilroy" w:hAnsi="Gilroy"/>
        </w:rPr>
        <w:t>s are taking on a new form, diverging from traditional public procurement relationships. We observe much more co-dependency between the parties, whereby the state may be developing new systems or processes entirely reliant on the services of one company, and the company may be receiving access to data or other information for use in developing its own services.</w:t>
      </w:r>
    </w:p>
    <w:p w14:paraId="4B73347B" w14:textId="77777777" w:rsidR="00631B76" w:rsidRPr="00AD2CD2" w:rsidRDefault="009973A8" w:rsidP="00631B76">
      <w:pPr>
        <w:pStyle w:val="Default"/>
        <w:spacing w:afterLines="142" w:after="340" w:line="276" w:lineRule="auto"/>
        <w:jc w:val="both"/>
        <w:rPr>
          <w:rFonts w:ascii="Gilroy" w:hAnsi="Gilroy"/>
          <w:b/>
          <w:bCs/>
        </w:rPr>
      </w:pPr>
      <w:r w:rsidRPr="00462C89">
        <w:rPr>
          <w:rFonts w:ascii="Gilroy" w:hAnsi="Gilroy"/>
        </w:rPr>
        <w:t xml:space="preserve">For instance, while governments bear the primary responsibility for the setting up of digital ID systems, private companies play a significant role in implementing these systems, not only by providing the relevant technologies, but by setting up and managing databases of whole populations. Notably, in December 2016 the French company </w:t>
      </w:r>
      <w:proofErr w:type="spellStart"/>
      <w:r w:rsidRPr="00462C89">
        <w:rPr>
          <w:rFonts w:ascii="Gilroy" w:hAnsi="Gilroy"/>
        </w:rPr>
        <w:t>Civipol</w:t>
      </w:r>
      <w:proofErr w:type="spellEnd"/>
      <w:r w:rsidRPr="00462C89">
        <w:rPr>
          <w:rFonts w:ascii="Gilroy" w:hAnsi="Gilroy"/>
        </w:rPr>
        <w:t xml:space="preserve"> was chosen to set-up databases to fingerprint everyone in Mali and Senegal. Going beyond fingerprinting, it is one of the two companies that are building a full biometric ID-system in Senegal. It also implements a similar project in Côte d’ Ivoire. These projects are financed by the EU Trust Fund for Africa.</w:t>
      </w:r>
      <w:r w:rsidRPr="00462C89">
        <w:rPr>
          <w:rStyle w:val="FootnoteReference"/>
          <w:rFonts w:ascii="Gilroy" w:hAnsi="Gilroy"/>
        </w:rPr>
        <w:footnoteReference w:id="66"/>
      </w:r>
      <w:r>
        <w:t xml:space="preserve"> </w:t>
      </w:r>
      <w:r w:rsidR="00631B76" w:rsidRPr="006A69E2">
        <w:rPr>
          <w:rFonts w:ascii="Gilroy" w:hAnsi="Gilroy"/>
        </w:rPr>
        <w:t>Resulting public private partnerships can introduce vast biometric programs, which are often developed without adequate due diligence and prior human rights impact assessments, including data protection ones.</w:t>
      </w:r>
      <w:r w:rsidR="00631B76">
        <w:rPr>
          <w:rStyle w:val="FootnoteReference"/>
        </w:rPr>
        <w:footnoteReference w:id="67"/>
      </w:r>
      <w:r w:rsidR="00631B76">
        <w:rPr>
          <w:rFonts w:ascii="Gilroy" w:hAnsi="Gilroy"/>
          <w:b/>
          <w:bCs/>
        </w:rPr>
        <w:t xml:space="preserve"> </w:t>
      </w:r>
    </w:p>
    <w:p w14:paraId="14283926" w14:textId="2B62A0E3" w:rsidR="00A615FF" w:rsidRPr="00462C89" w:rsidRDefault="00631B76" w:rsidP="00462C89">
      <w:pPr>
        <w:pStyle w:val="Default"/>
        <w:spacing w:afterLines="142" w:after="340" w:line="276" w:lineRule="auto"/>
        <w:jc w:val="both"/>
        <w:rPr>
          <w:rFonts w:ascii="Gilroy" w:hAnsi="Gilroy"/>
        </w:rPr>
      </w:pPr>
      <w:r>
        <w:rPr>
          <w:rFonts w:ascii="Gilroy" w:hAnsi="Gilroy"/>
        </w:rPr>
        <w:t>Similarly</w:t>
      </w:r>
      <w:r w:rsidR="00854D41" w:rsidRPr="00462C89">
        <w:rPr>
          <w:rFonts w:ascii="Gilroy" w:hAnsi="Gilroy"/>
        </w:rPr>
        <w:t xml:space="preserve">, there is a growing reliance by </w:t>
      </w:r>
      <w:r w:rsidR="00CE0D20">
        <w:rPr>
          <w:rFonts w:ascii="Gilroy" w:hAnsi="Gilroy"/>
        </w:rPr>
        <w:t>state authorities</w:t>
      </w:r>
      <w:r w:rsidR="00854D41" w:rsidRPr="00462C89">
        <w:rPr>
          <w:rFonts w:ascii="Gilroy" w:hAnsi="Gilroy"/>
        </w:rPr>
        <w:t xml:space="preserve"> on the services offered by data analytics companies, which provide analytical techniques to search, aggregate, and cross-reference large data sets </w:t>
      </w:r>
      <w:proofErr w:type="gramStart"/>
      <w:r w:rsidR="00854D41" w:rsidRPr="00462C89">
        <w:rPr>
          <w:rFonts w:ascii="Gilroy" w:hAnsi="Gilroy"/>
        </w:rPr>
        <w:t>in order to</w:t>
      </w:r>
      <w:proofErr w:type="gramEnd"/>
      <w:r w:rsidR="00854D41" w:rsidRPr="00462C89">
        <w:rPr>
          <w:rFonts w:ascii="Gilroy" w:hAnsi="Gilroy"/>
        </w:rPr>
        <w:t xml:space="preserve"> develop intelligence and insights, and thereby inform public decision-making.</w:t>
      </w:r>
      <w:r w:rsidR="00854D41" w:rsidRPr="00462C89">
        <w:rPr>
          <w:rFonts w:ascii="Gilroy" w:hAnsi="Gilroy"/>
          <w:lang w:val="en-US"/>
        </w:rPr>
        <w:t xml:space="preserve"> While per se data analytics tools do not necessarily raise human rights concerns, the way they are used do so</w:t>
      </w:r>
      <w:r w:rsidR="00854D41" w:rsidRPr="00462C89">
        <w:rPr>
          <w:rFonts w:ascii="Gilroy" w:hAnsi="Gilroy"/>
        </w:rPr>
        <w:t>. PI has raised concerns about data analytics practices, by companies such as Palantir, whose tools may pose a real danger to people in vulnerable positions such as at international border crossings.</w:t>
      </w:r>
      <w:r w:rsidR="00854D41" w:rsidRPr="00462C89">
        <w:rPr>
          <w:rFonts w:ascii="Gilroy" w:hAnsi="Gilroy"/>
          <w:vertAlign w:val="superscript"/>
        </w:rPr>
        <w:footnoteReference w:id="68"/>
      </w:r>
      <w:r w:rsidR="00854D41" w:rsidRPr="00462C89">
        <w:rPr>
          <w:rFonts w:ascii="Gilroy" w:hAnsi="Gilroy"/>
        </w:rPr>
        <w:t xml:space="preserve"> </w:t>
      </w:r>
      <w:r>
        <w:rPr>
          <w:rFonts w:ascii="Gilroy" w:hAnsi="Gilroy"/>
        </w:rPr>
        <w:t>Likewise</w:t>
      </w:r>
      <w:r w:rsidR="00CE0D20" w:rsidRPr="00775F99">
        <w:rPr>
          <w:rFonts w:ascii="Gilroy" w:hAnsi="Gilroy"/>
        </w:rPr>
        <w:t xml:space="preserve">, PI noted in previous submissions how </w:t>
      </w:r>
      <w:proofErr w:type="spellStart"/>
      <w:r w:rsidR="00CE0D20" w:rsidRPr="00775F99">
        <w:rPr>
          <w:rFonts w:ascii="Gilroy" w:hAnsi="Gilroy"/>
        </w:rPr>
        <w:t>Anduril</w:t>
      </w:r>
      <w:proofErr w:type="spellEnd"/>
      <w:r w:rsidR="00CE0D20" w:rsidRPr="00775F99">
        <w:rPr>
          <w:rFonts w:ascii="Gilroy" w:hAnsi="Gilroy"/>
        </w:rPr>
        <w:t xml:space="preserve">, an American defence company specialising in </w:t>
      </w:r>
      <w:r w:rsidR="00CE0D20" w:rsidRPr="00775F99">
        <w:rPr>
          <w:rFonts w:ascii="Gilroy" w:hAnsi="Gilroy"/>
        </w:rPr>
        <w:lastRenderedPageBreak/>
        <w:t>autonomous systems, had been contracted to expand the US’s digital border security system on the US-Mexican border</w:t>
      </w:r>
      <w:r w:rsidR="00CE0D20">
        <w:rPr>
          <w:rFonts w:ascii="Gilroy" w:hAnsi="Gilroy"/>
        </w:rPr>
        <w:t>.</w:t>
      </w:r>
      <w:r w:rsidR="00CE0D20" w:rsidRPr="00775F99">
        <w:rPr>
          <w:rStyle w:val="FootnoteReference"/>
          <w:rFonts w:ascii="Gilroy" w:hAnsi="Gilroy"/>
        </w:rPr>
        <w:footnoteReference w:id="69"/>
      </w:r>
      <w:r w:rsidR="00CE0D20" w:rsidRPr="00775F99">
        <w:rPr>
          <w:rFonts w:ascii="Gilroy" w:hAnsi="Gilroy"/>
        </w:rPr>
        <w:t xml:space="preserve"> </w:t>
      </w:r>
    </w:p>
    <w:p w14:paraId="12156A81" w14:textId="4D64733E" w:rsidR="009C26B9" w:rsidRPr="00775F99" w:rsidRDefault="00854D41" w:rsidP="00462C89">
      <w:pPr>
        <w:pStyle w:val="Default"/>
        <w:spacing w:afterLines="142" w:after="340" w:line="276" w:lineRule="auto"/>
        <w:jc w:val="both"/>
      </w:pPr>
      <w:r w:rsidRPr="00462C89">
        <w:rPr>
          <w:rFonts w:ascii="Gilroy" w:hAnsi="Gilroy"/>
        </w:rPr>
        <w:t>Based on the United Nations Guiding Principles on Business and Human Rights, PI developed a set of safeguards for states and companies to mitigate the risks of human rights abuses resulting from PPPs that rely on the processing of personal data.</w:t>
      </w:r>
      <w:r w:rsidRPr="00462C89">
        <w:rPr>
          <w:rFonts w:ascii="Gilroy" w:hAnsi="Gilroy"/>
          <w:vertAlign w:val="superscript"/>
        </w:rPr>
        <w:footnoteReference w:id="70"/>
      </w:r>
      <w:r w:rsidR="00A615FF" w:rsidRPr="00A615FF">
        <w:rPr>
          <w:rFonts w:ascii="Gilroy" w:hAnsi="Gilroy"/>
        </w:rPr>
        <w:t xml:space="preserve"> Such</w:t>
      </w:r>
      <w:r w:rsidR="00A615FF" w:rsidRPr="00775F99">
        <w:rPr>
          <w:rFonts w:ascii="Gilroy" w:hAnsi="Gilroy"/>
        </w:rPr>
        <w:t xml:space="preserve"> safeguards are particularly important in the case of migrants where (a) they are frequently in a position of vulnerability and (b) companies are increasingly developing and operating advanced surveillance technologies with public functions</w:t>
      </w:r>
      <w:r w:rsidR="00A615FF">
        <w:rPr>
          <w:rFonts w:ascii="Gilroy" w:hAnsi="Gilroy"/>
        </w:rPr>
        <w:t>,</w:t>
      </w:r>
      <w:r w:rsidR="00A615FF" w:rsidRPr="00775F99">
        <w:rPr>
          <w:rFonts w:ascii="Gilroy" w:hAnsi="Gilroy"/>
        </w:rPr>
        <w:t xml:space="preserve"> without </w:t>
      </w:r>
      <w:r w:rsidR="00A615FF">
        <w:rPr>
          <w:rFonts w:ascii="Gilroy" w:hAnsi="Gilroy"/>
        </w:rPr>
        <w:t>the same accountability</w:t>
      </w:r>
      <w:r w:rsidR="00A615FF" w:rsidRPr="00775F99">
        <w:rPr>
          <w:rFonts w:ascii="Gilroy" w:hAnsi="Gilroy"/>
        </w:rPr>
        <w:t xml:space="preserve"> under international law.</w:t>
      </w:r>
    </w:p>
    <w:sectPr w:rsidR="009C26B9" w:rsidRPr="00775F99" w:rsidSect="00462C89">
      <w:headerReference w:type="default" r:id="rId9"/>
      <w:footerReference w:type="even"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5E1B" w14:textId="77777777" w:rsidR="00B053B3" w:rsidRDefault="00B053B3" w:rsidP="006902FB">
      <w:r>
        <w:separator/>
      </w:r>
    </w:p>
  </w:endnote>
  <w:endnote w:type="continuationSeparator" w:id="0">
    <w:p w14:paraId="3DEF36B9" w14:textId="77777777" w:rsidR="00B053B3" w:rsidRDefault="00B053B3" w:rsidP="0069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roy">
    <w:panose1 w:val="020B0604020202020204"/>
    <w:charset w:val="4D"/>
    <w:family w:val="auto"/>
    <w:notTrueType/>
    <w:pitch w:val="variable"/>
    <w:sig w:usb0="00000207" w:usb1="00000000" w:usb2="00000000" w:usb3="00000000" w:csb0="00000097" w:csb1="00000000"/>
  </w:font>
  <w:font w:name="Gilroy Light">
    <w:panose1 w:val="020B0604020202020204"/>
    <w:charset w:val="4D"/>
    <w:family w:val="auto"/>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roy Bold">
    <w:panose1 w:val="00000800000000000000"/>
    <w:charset w:val="4D"/>
    <w:family w:val="auto"/>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3350173"/>
      <w:docPartObj>
        <w:docPartGallery w:val="Page Numbers (Bottom of Page)"/>
        <w:docPartUnique/>
      </w:docPartObj>
    </w:sdtPr>
    <w:sdtContent>
      <w:p w14:paraId="10FE7F86" w14:textId="52065AC5" w:rsidR="004B17EA" w:rsidRDefault="004B17EA" w:rsidP="00B853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F70EC6" w14:textId="77777777" w:rsidR="004B17EA" w:rsidRDefault="004B17EA" w:rsidP="004B17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roy" w:hAnsi="Gilroy"/>
        <w:sz w:val="22"/>
        <w:szCs w:val="22"/>
      </w:rPr>
      <w:id w:val="1456058800"/>
      <w:docPartObj>
        <w:docPartGallery w:val="Page Numbers (Bottom of Page)"/>
        <w:docPartUnique/>
      </w:docPartObj>
    </w:sdtPr>
    <w:sdtContent>
      <w:p w14:paraId="533DF1E8" w14:textId="6BC210A6" w:rsidR="004B17EA" w:rsidRPr="00462C89" w:rsidRDefault="004B17EA" w:rsidP="004C6AA4">
        <w:pPr>
          <w:pStyle w:val="Footer"/>
          <w:framePr w:wrap="none" w:vAnchor="text" w:hAnchor="page" w:x="5401" w:y="-10"/>
          <w:jc w:val="center"/>
          <w:rPr>
            <w:rStyle w:val="PageNumber"/>
            <w:rFonts w:ascii="Gilroy" w:hAnsi="Gilroy"/>
            <w:sz w:val="22"/>
            <w:szCs w:val="22"/>
          </w:rPr>
        </w:pPr>
        <w:r w:rsidRPr="00462C89">
          <w:rPr>
            <w:rStyle w:val="PageNumber"/>
            <w:rFonts w:ascii="Gilroy" w:hAnsi="Gilroy"/>
            <w:sz w:val="22"/>
            <w:szCs w:val="22"/>
          </w:rPr>
          <w:fldChar w:fldCharType="begin"/>
        </w:r>
        <w:r w:rsidRPr="00462C89">
          <w:rPr>
            <w:rStyle w:val="PageNumber"/>
            <w:rFonts w:ascii="Gilroy" w:hAnsi="Gilroy"/>
            <w:sz w:val="22"/>
            <w:szCs w:val="22"/>
          </w:rPr>
          <w:instrText xml:space="preserve"> PAGE </w:instrText>
        </w:r>
        <w:r w:rsidRPr="00462C89">
          <w:rPr>
            <w:rStyle w:val="PageNumber"/>
            <w:rFonts w:ascii="Gilroy" w:hAnsi="Gilroy"/>
            <w:sz w:val="22"/>
            <w:szCs w:val="22"/>
          </w:rPr>
          <w:fldChar w:fldCharType="separate"/>
        </w:r>
        <w:r w:rsidRPr="00462C89">
          <w:rPr>
            <w:rStyle w:val="PageNumber"/>
            <w:rFonts w:ascii="Gilroy" w:hAnsi="Gilroy"/>
            <w:noProof/>
            <w:sz w:val="22"/>
            <w:szCs w:val="22"/>
          </w:rPr>
          <w:t>1</w:t>
        </w:r>
        <w:r w:rsidRPr="00462C89">
          <w:rPr>
            <w:rStyle w:val="PageNumber"/>
            <w:rFonts w:ascii="Gilroy" w:hAnsi="Gilroy"/>
            <w:sz w:val="22"/>
            <w:szCs w:val="22"/>
          </w:rPr>
          <w:fldChar w:fldCharType="end"/>
        </w:r>
      </w:p>
    </w:sdtContent>
  </w:sdt>
  <w:p w14:paraId="39642DCD" w14:textId="77777777" w:rsidR="004B17EA" w:rsidRDefault="004B17EA" w:rsidP="004B17E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roy" w:hAnsi="Gilroy"/>
        <w:sz w:val="22"/>
        <w:szCs w:val="22"/>
      </w:rPr>
      <w:id w:val="947044150"/>
      <w:docPartObj>
        <w:docPartGallery w:val="Page Numbers (Bottom of Page)"/>
        <w:docPartUnique/>
      </w:docPartObj>
    </w:sdtPr>
    <w:sdtContent>
      <w:p w14:paraId="777BD3C9" w14:textId="3877DA77" w:rsidR="00462C89" w:rsidRPr="00462C89" w:rsidRDefault="00462C89" w:rsidP="00462C89">
        <w:pPr>
          <w:pStyle w:val="Footer"/>
          <w:framePr w:wrap="none" w:vAnchor="text" w:hAnchor="margin" w:xAlign="center" w:y="1"/>
          <w:rPr>
            <w:rStyle w:val="PageNumber"/>
            <w:rFonts w:ascii="Gilroy" w:hAnsi="Gilroy"/>
            <w:sz w:val="22"/>
            <w:szCs w:val="22"/>
          </w:rPr>
        </w:pPr>
        <w:r w:rsidRPr="00462C89">
          <w:rPr>
            <w:rStyle w:val="PageNumber"/>
            <w:rFonts w:ascii="Gilroy" w:hAnsi="Gilroy"/>
            <w:sz w:val="22"/>
            <w:szCs w:val="22"/>
          </w:rPr>
          <w:fldChar w:fldCharType="begin"/>
        </w:r>
        <w:r w:rsidRPr="00462C89">
          <w:rPr>
            <w:rStyle w:val="PageNumber"/>
            <w:rFonts w:ascii="Gilroy" w:hAnsi="Gilroy"/>
            <w:sz w:val="22"/>
            <w:szCs w:val="22"/>
          </w:rPr>
          <w:instrText xml:space="preserve"> PAGE </w:instrText>
        </w:r>
        <w:r w:rsidRPr="00462C89">
          <w:rPr>
            <w:rStyle w:val="PageNumber"/>
            <w:rFonts w:ascii="Gilroy" w:hAnsi="Gilroy"/>
            <w:sz w:val="22"/>
            <w:szCs w:val="22"/>
          </w:rPr>
          <w:fldChar w:fldCharType="separate"/>
        </w:r>
        <w:r w:rsidRPr="00462C89">
          <w:rPr>
            <w:rStyle w:val="PageNumber"/>
            <w:rFonts w:ascii="Gilroy" w:hAnsi="Gilroy"/>
            <w:noProof/>
            <w:sz w:val="22"/>
            <w:szCs w:val="22"/>
          </w:rPr>
          <w:t>1</w:t>
        </w:r>
        <w:r w:rsidRPr="00462C89">
          <w:rPr>
            <w:rStyle w:val="PageNumber"/>
            <w:rFonts w:ascii="Gilroy" w:hAnsi="Gilroy"/>
            <w:sz w:val="22"/>
            <w:szCs w:val="22"/>
          </w:rPr>
          <w:fldChar w:fldCharType="end"/>
        </w:r>
      </w:p>
    </w:sdtContent>
  </w:sdt>
  <w:p w14:paraId="121172EB" w14:textId="77777777" w:rsidR="00462C89" w:rsidRDefault="00462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1CAA" w14:textId="77777777" w:rsidR="00B053B3" w:rsidRDefault="00B053B3" w:rsidP="006902FB">
      <w:r>
        <w:separator/>
      </w:r>
    </w:p>
  </w:footnote>
  <w:footnote w:type="continuationSeparator" w:id="0">
    <w:p w14:paraId="795B3A5D" w14:textId="77777777" w:rsidR="00B053B3" w:rsidRDefault="00B053B3" w:rsidP="006902FB">
      <w:r>
        <w:continuationSeparator/>
      </w:r>
    </w:p>
  </w:footnote>
  <w:footnote w:id="1">
    <w:p w14:paraId="46475BFA" w14:textId="1791422D" w:rsidR="00E867C1" w:rsidRPr="003A08A7" w:rsidRDefault="00E867C1"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eastAsia="Times New Roman" w:hAnsi="Gilroy" w:cs="Arial"/>
          <w:sz w:val="18"/>
          <w:szCs w:val="18"/>
          <w:lang w:eastAsia="en-GB"/>
        </w:rPr>
        <w:t xml:space="preserve">Privacy International (PI) is a London-based non-profit, non-governmental organization (Charity Number: 1147471) that </w:t>
      </w:r>
      <w:proofErr w:type="gramStart"/>
      <w:r w:rsidRPr="003A08A7">
        <w:rPr>
          <w:rFonts w:ascii="Gilroy" w:eastAsia="Times New Roman" w:hAnsi="Gilroy" w:cs="Arial"/>
          <w:sz w:val="18"/>
          <w:szCs w:val="18"/>
          <w:lang w:eastAsia="en-GB"/>
        </w:rPr>
        <w:t>researches</w:t>
      </w:r>
      <w:proofErr w:type="gramEnd"/>
      <w:r w:rsidRPr="003A08A7">
        <w:rPr>
          <w:rFonts w:ascii="Gilroy" w:eastAsia="Times New Roman" w:hAnsi="Gilroy" w:cs="Arial"/>
          <w:sz w:val="18"/>
          <w:szCs w:val="18"/>
          <w:lang w:eastAsia="en-GB"/>
        </w:rPr>
        <w:t xml:space="preserve"> and advocates globally against government and corporate abuses of data and technology. It exposes harm and abuses, </w:t>
      </w:r>
      <w:proofErr w:type="spellStart"/>
      <w:r w:rsidRPr="003A08A7">
        <w:rPr>
          <w:rFonts w:ascii="Gilroy" w:eastAsia="Times New Roman" w:hAnsi="Gilroy" w:cs="Arial"/>
          <w:sz w:val="18"/>
          <w:szCs w:val="18"/>
          <w:lang w:eastAsia="en-GB"/>
        </w:rPr>
        <w:t>mobilises</w:t>
      </w:r>
      <w:proofErr w:type="spellEnd"/>
      <w:r w:rsidRPr="003A08A7">
        <w:rPr>
          <w:rFonts w:ascii="Gilroy" w:eastAsia="Times New Roman" w:hAnsi="Gilroy" w:cs="Arial"/>
          <w:sz w:val="18"/>
          <w:szCs w:val="18"/>
          <w:lang w:eastAsia="en-GB"/>
        </w:rPr>
        <w:t xml:space="preserve"> allies globally, campaigns with the public for solutions, and pressures companies and governments to change.</w:t>
      </w:r>
      <w:r w:rsidRPr="003A08A7">
        <w:rPr>
          <w:rStyle w:val="FootnoteReference"/>
          <w:rFonts w:ascii="Gilroy" w:eastAsia="Times New Roman" w:hAnsi="Gilroy" w:cs="Arial"/>
          <w:sz w:val="18"/>
          <w:szCs w:val="18"/>
          <w:lang w:eastAsia="en-GB"/>
        </w:rPr>
        <w:footnoteRef/>
      </w:r>
      <w:r w:rsidRPr="003A08A7">
        <w:rPr>
          <w:rFonts w:ascii="Gilroy" w:eastAsia="Times New Roman" w:hAnsi="Gilroy" w:cs="Arial"/>
          <w:sz w:val="18"/>
          <w:szCs w:val="18"/>
          <w:lang w:eastAsia="en-GB"/>
        </w:rPr>
        <w:t xml:space="preserve"> PI challenges overreaching state and corporate surveillance so that people everywhere can have greater security and freedom through greater personal privacy. Within its range of activities, PI investigates how peoples’ personal data is generated and exploited, and how it can be protected through legal and technological frameworks. </w:t>
      </w:r>
      <w:r w:rsidRPr="003A08A7">
        <w:rPr>
          <w:rFonts w:ascii="Gilroy" w:eastAsia="Times New Roman" w:hAnsi="Gilroy"/>
          <w:sz w:val="18"/>
          <w:szCs w:val="18"/>
          <w:lang w:eastAsia="en-GB"/>
        </w:rPr>
        <w:t xml:space="preserve">It has advised and reported to international </w:t>
      </w:r>
      <w:proofErr w:type="spellStart"/>
      <w:r w:rsidRPr="003A08A7">
        <w:rPr>
          <w:rFonts w:ascii="Gilroy" w:eastAsia="Times New Roman" w:hAnsi="Gilroy"/>
          <w:sz w:val="18"/>
          <w:szCs w:val="18"/>
          <w:lang w:eastAsia="en-GB"/>
        </w:rPr>
        <w:t>organisations</w:t>
      </w:r>
      <w:proofErr w:type="spellEnd"/>
      <w:r w:rsidRPr="003A08A7">
        <w:rPr>
          <w:rFonts w:ascii="Gilroy" w:eastAsia="Times New Roman" w:hAnsi="Gilroy"/>
          <w:sz w:val="18"/>
          <w:szCs w:val="18"/>
          <w:lang w:eastAsia="en-GB"/>
        </w:rPr>
        <w:t xml:space="preserve"> like the Council of Europe, the European Parliament, the </w:t>
      </w:r>
      <w:proofErr w:type="spellStart"/>
      <w:r w:rsidRPr="003A08A7">
        <w:rPr>
          <w:rFonts w:ascii="Gilroy" w:eastAsia="Times New Roman" w:hAnsi="Gilroy"/>
          <w:sz w:val="18"/>
          <w:szCs w:val="18"/>
          <w:lang w:eastAsia="en-GB"/>
        </w:rPr>
        <w:t>Organisation</w:t>
      </w:r>
      <w:proofErr w:type="spellEnd"/>
      <w:r w:rsidRPr="003A08A7">
        <w:rPr>
          <w:rFonts w:ascii="Gilroy" w:eastAsia="Times New Roman" w:hAnsi="Gilroy"/>
          <w:sz w:val="18"/>
          <w:szCs w:val="18"/>
          <w:lang w:eastAsia="en-GB"/>
        </w:rPr>
        <w:t xml:space="preserve"> for Economic Cooperation and Development and the UN Refugee Agency.</w:t>
      </w:r>
    </w:p>
  </w:footnote>
  <w:footnote w:id="2">
    <w:p w14:paraId="444ACD44" w14:textId="21A5EDFD" w:rsidR="00B022FB" w:rsidRPr="003A08A7" w:rsidRDefault="00B02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See</w:t>
      </w:r>
      <w:r w:rsidR="0095292A" w:rsidRPr="003A08A7">
        <w:rPr>
          <w:rFonts w:ascii="Gilroy" w:hAnsi="Gilroy"/>
          <w:sz w:val="18"/>
          <w:szCs w:val="18"/>
        </w:rPr>
        <w:t xml:space="preserve"> PI, “Migration and Borders”,</w:t>
      </w:r>
      <w:r w:rsidRPr="003A08A7">
        <w:rPr>
          <w:rFonts w:ascii="Gilroy" w:hAnsi="Gilroy"/>
          <w:sz w:val="18"/>
          <w:szCs w:val="18"/>
        </w:rPr>
        <w:t xml:space="preserve"> </w:t>
      </w:r>
      <w:hyperlink r:id="rId1" w:history="1">
        <w:r w:rsidRPr="003A08A7">
          <w:rPr>
            <w:rStyle w:val="Hyperlink"/>
            <w:rFonts w:ascii="Gilroy" w:hAnsi="Gilroy"/>
            <w:sz w:val="18"/>
            <w:szCs w:val="18"/>
          </w:rPr>
          <w:t>https://privacyinternational.org/learn/migration-and-borders</w:t>
        </w:r>
      </w:hyperlink>
      <w:r w:rsidRPr="003A08A7">
        <w:rPr>
          <w:rFonts w:ascii="Gilroy" w:hAnsi="Gilroy"/>
          <w:sz w:val="18"/>
          <w:szCs w:val="18"/>
        </w:rPr>
        <w:t xml:space="preserve">; </w:t>
      </w:r>
      <w:r w:rsidR="0095292A" w:rsidRPr="003A08A7">
        <w:rPr>
          <w:rFonts w:ascii="Gilroy" w:hAnsi="Gilroy"/>
          <w:sz w:val="18"/>
          <w:szCs w:val="18"/>
        </w:rPr>
        <w:t xml:space="preserve">PI, “Demand a Humane Approach to Immigration”, </w:t>
      </w:r>
      <w:hyperlink r:id="rId2" w:history="1">
        <w:r w:rsidR="0095292A" w:rsidRPr="003A08A7">
          <w:rPr>
            <w:rStyle w:val="Hyperlink"/>
            <w:rFonts w:ascii="Gilroy" w:hAnsi="Gilroy"/>
            <w:sz w:val="18"/>
            <w:szCs w:val="18"/>
          </w:rPr>
          <w:t>https://privacyinternational.org/what-we-do/demand-humane-approach-immigration</w:t>
        </w:r>
      </w:hyperlink>
      <w:r w:rsidR="0095292A" w:rsidRPr="003A08A7">
        <w:rPr>
          <w:rFonts w:ascii="Gilroy" w:hAnsi="Gilroy"/>
          <w:sz w:val="18"/>
          <w:szCs w:val="18"/>
        </w:rPr>
        <w:t xml:space="preserve"> </w:t>
      </w:r>
    </w:p>
  </w:footnote>
  <w:footnote w:id="3">
    <w:p w14:paraId="2FDB29D6" w14:textId="6E9C8885" w:rsidR="00B43731" w:rsidRPr="003A08A7" w:rsidRDefault="00B43731"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95292A" w:rsidRPr="003A08A7">
        <w:rPr>
          <w:rFonts w:ascii="Gilroy" w:hAnsi="Gilroy"/>
          <w:sz w:val="18"/>
          <w:szCs w:val="18"/>
        </w:rPr>
        <w:t xml:space="preserve"> PI, “A Guide to Litigating Identity Systems: Biometrics” (2020)</w:t>
      </w:r>
      <w:r w:rsidRPr="003A08A7">
        <w:rPr>
          <w:rFonts w:ascii="Gilroy" w:hAnsi="Gilroy"/>
          <w:sz w:val="18"/>
          <w:szCs w:val="18"/>
        </w:rPr>
        <w:t xml:space="preserve"> </w:t>
      </w:r>
      <w:hyperlink r:id="rId3" w:history="1">
        <w:r w:rsidR="00283945" w:rsidRPr="003A08A7">
          <w:rPr>
            <w:rStyle w:val="Hyperlink"/>
            <w:rFonts w:ascii="Gilroy" w:hAnsi="Gilroy"/>
            <w:sz w:val="18"/>
            <w:szCs w:val="18"/>
          </w:rPr>
          <w:t>https://privacyinternational.org/report/4157/guide-litigating-identity-systems-biometrics</w:t>
        </w:r>
      </w:hyperlink>
      <w:r w:rsidR="00283945" w:rsidRPr="003A08A7">
        <w:rPr>
          <w:rFonts w:ascii="Gilroy" w:hAnsi="Gilroy"/>
          <w:sz w:val="18"/>
          <w:szCs w:val="18"/>
        </w:rPr>
        <w:t xml:space="preserve"> </w:t>
      </w:r>
    </w:p>
  </w:footnote>
  <w:footnote w:id="4">
    <w:p w14:paraId="22AF4B29" w14:textId="754FAB53"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95292A" w:rsidRPr="003A08A7">
        <w:rPr>
          <w:rFonts w:ascii="Gilroy" w:hAnsi="Gilroy"/>
          <w:sz w:val="18"/>
          <w:szCs w:val="18"/>
        </w:rPr>
        <w:t xml:space="preserve"> UK, “View and prove your immigration status: get a share code”</w:t>
      </w:r>
      <w:r w:rsidRPr="003A08A7">
        <w:rPr>
          <w:rFonts w:ascii="Gilroy" w:hAnsi="Gilroy"/>
          <w:sz w:val="18"/>
          <w:szCs w:val="18"/>
        </w:rPr>
        <w:t xml:space="preserve"> </w:t>
      </w:r>
      <w:hyperlink r:id="rId4" w:history="1">
        <w:r w:rsidRPr="003A08A7">
          <w:rPr>
            <w:rStyle w:val="Hyperlink"/>
            <w:rFonts w:ascii="Gilroy" w:hAnsi="Gilroy"/>
            <w:sz w:val="18"/>
            <w:szCs w:val="18"/>
          </w:rPr>
          <w:t>https://www.gov.uk/view-prove-immigration-status</w:t>
        </w:r>
      </w:hyperlink>
      <w:r w:rsidRPr="003A08A7">
        <w:rPr>
          <w:rFonts w:ascii="Gilroy" w:hAnsi="Gilroy"/>
          <w:sz w:val="18"/>
          <w:szCs w:val="18"/>
        </w:rPr>
        <w:t xml:space="preserve">. </w:t>
      </w:r>
    </w:p>
  </w:footnote>
  <w:footnote w:id="5">
    <w:p w14:paraId="39E31A4B" w14:textId="77777777"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 xml:space="preserve">Ibid. </w:t>
      </w:r>
    </w:p>
  </w:footnote>
  <w:footnote w:id="6">
    <w:p w14:paraId="58748424" w14:textId="079B4D52"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proofErr w:type="spellStart"/>
      <w:r w:rsidRPr="003A08A7">
        <w:rPr>
          <w:rFonts w:ascii="Gilroy" w:hAnsi="Gilroy"/>
          <w:sz w:val="18"/>
          <w:szCs w:val="18"/>
        </w:rPr>
        <w:t>Jablonowski</w:t>
      </w:r>
      <w:proofErr w:type="spellEnd"/>
      <w:r w:rsidR="0095292A" w:rsidRPr="003A08A7">
        <w:rPr>
          <w:rFonts w:ascii="Gilroy" w:hAnsi="Gilroy"/>
          <w:sz w:val="18"/>
          <w:szCs w:val="18"/>
        </w:rPr>
        <w:t xml:space="preserve"> K.</w:t>
      </w:r>
      <w:r w:rsidRPr="003A08A7">
        <w:rPr>
          <w:rFonts w:ascii="Gilroy" w:hAnsi="Gilroy"/>
          <w:sz w:val="18"/>
          <w:szCs w:val="18"/>
        </w:rPr>
        <w:t xml:space="preserve">, </w:t>
      </w:r>
      <w:r w:rsidR="0095292A" w:rsidRPr="003A08A7">
        <w:rPr>
          <w:rFonts w:ascii="Gilroy" w:hAnsi="Gilroy"/>
          <w:sz w:val="18"/>
          <w:szCs w:val="18"/>
        </w:rPr>
        <w:t>“</w:t>
      </w:r>
      <w:r w:rsidRPr="003A08A7">
        <w:rPr>
          <w:rFonts w:ascii="Gilroy" w:hAnsi="Gilroy"/>
          <w:sz w:val="18"/>
          <w:szCs w:val="18"/>
        </w:rPr>
        <w:t>Digital Immigration Status: from Logics of Inscription to Logics of Control</w:t>
      </w:r>
      <w:r w:rsidR="0095292A" w:rsidRPr="003A08A7">
        <w:rPr>
          <w:rFonts w:ascii="Gilroy" w:hAnsi="Gilroy"/>
          <w:sz w:val="18"/>
          <w:szCs w:val="18"/>
        </w:rPr>
        <w:t>”</w:t>
      </w:r>
      <w:r w:rsidRPr="003A08A7">
        <w:rPr>
          <w:rFonts w:ascii="Gilroy" w:hAnsi="Gilroy"/>
          <w:sz w:val="18"/>
          <w:szCs w:val="18"/>
        </w:rPr>
        <w:t xml:space="preserve"> in </w:t>
      </w:r>
      <w:r w:rsidR="0095292A" w:rsidRPr="003A08A7">
        <w:rPr>
          <w:rFonts w:ascii="Gilroy" w:hAnsi="Gilroy"/>
          <w:sz w:val="18"/>
          <w:szCs w:val="18"/>
        </w:rPr>
        <w:t xml:space="preserve">Lessard-Phillips, L., </w:t>
      </w:r>
      <w:proofErr w:type="spellStart"/>
      <w:r w:rsidR="0095292A" w:rsidRPr="003A08A7">
        <w:rPr>
          <w:rFonts w:ascii="Gilroy" w:hAnsi="Gilroy"/>
          <w:sz w:val="18"/>
          <w:szCs w:val="18"/>
        </w:rPr>
        <w:t>Papoutsi</w:t>
      </w:r>
      <w:proofErr w:type="spellEnd"/>
      <w:r w:rsidR="0095292A" w:rsidRPr="003A08A7">
        <w:rPr>
          <w:rFonts w:ascii="Gilroy" w:hAnsi="Gilroy"/>
          <w:sz w:val="18"/>
          <w:szCs w:val="18"/>
        </w:rPr>
        <w:t xml:space="preserve">, A., </w:t>
      </w:r>
      <w:proofErr w:type="spellStart"/>
      <w:r w:rsidR="0095292A" w:rsidRPr="003A08A7">
        <w:rPr>
          <w:rFonts w:ascii="Gilroy" w:hAnsi="Gilroy"/>
          <w:sz w:val="18"/>
          <w:szCs w:val="18"/>
        </w:rPr>
        <w:t>Sigona</w:t>
      </w:r>
      <w:proofErr w:type="spellEnd"/>
      <w:r w:rsidR="0095292A" w:rsidRPr="003A08A7">
        <w:rPr>
          <w:rFonts w:ascii="Gilroy" w:hAnsi="Gilroy"/>
          <w:sz w:val="18"/>
          <w:szCs w:val="18"/>
        </w:rPr>
        <w:t xml:space="preserve">, N., and </w:t>
      </w:r>
      <w:proofErr w:type="spellStart"/>
      <w:r w:rsidR="0095292A" w:rsidRPr="003A08A7">
        <w:rPr>
          <w:rFonts w:ascii="Gilroy" w:hAnsi="Gilroy"/>
          <w:sz w:val="18"/>
          <w:szCs w:val="18"/>
        </w:rPr>
        <w:t>Ziss</w:t>
      </w:r>
      <w:proofErr w:type="spellEnd"/>
      <w:r w:rsidR="0095292A" w:rsidRPr="003A08A7">
        <w:rPr>
          <w:rFonts w:ascii="Gilroy" w:hAnsi="Gilroy"/>
          <w:sz w:val="18"/>
          <w:szCs w:val="18"/>
        </w:rPr>
        <w:t xml:space="preserve">, P. (eds), </w:t>
      </w:r>
      <w:r w:rsidRPr="003A08A7">
        <w:rPr>
          <w:rFonts w:ascii="Gilroy" w:hAnsi="Gilroy"/>
          <w:sz w:val="18"/>
          <w:szCs w:val="18"/>
        </w:rPr>
        <w:t xml:space="preserve">Migration, Displacement and Diversity: The </w:t>
      </w:r>
      <w:proofErr w:type="spellStart"/>
      <w:r w:rsidRPr="003A08A7">
        <w:rPr>
          <w:rFonts w:ascii="Gilroy" w:hAnsi="Gilroy"/>
          <w:sz w:val="18"/>
          <w:szCs w:val="18"/>
        </w:rPr>
        <w:t>IRiS</w:t>
      </w:r>
      <w:proofErr w:type="spellEnd"/>
      <w:r w:rsidRPr="003A08A7">
        <w:rPr>
          <w:rFonts w:ascii="Gilroy" w:hAnsi="Gilroy"/>
          <w:sz w:val="18"/>
          <w:szCs w:val="18"/>
        </w:rPr>
        <w:t xml:space="preserve"> Anthology. Oxford Publishing Services, 2023.</w:t>
      </w:r>
    </w:p>
  </w:footnote>
  <w:footnote w:id="7">
    <w:p w14:paraId="08FE2B34" w14:textId="3D6A35E6" w:rsidR="006902FB" w:rsidRPr="003A08A7" w:rsidRDefault="006902FB" w:rsidP="003A08A7">
      <w:pPr>
        <w:pStyle w:val="FootnoteText"/>
        <w:jc w:val="both"/>
        <w:rPr>
          <w:rFonts w:ascii="Gilroy" w:hAnsi="Gilroy"/>
          <w:sz w:val="18"/>
          <w:szCs w:val="18"/>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 xml:space="preserve">PI, </w:t>
      </w:r>
      <w:r w:rsidR="0095292A" w:rsidRPr="003A08A7">
        <w:rPr>
          <w:rFonts w:ascii="Gilroy" w:hAnsi="Gilroy"/>
          <w:sz w:val="18"/>
          <w:szCs w:val="18"/>
          <w:lang w:val="en-GB"/>
        </w:rPr>
        <w:t>“</w:t>
      </w:r>
      <w:r w:rsidRPr="003A08A7">
        <w:rPr>
          <w:rFonts w:ascii="Gilroy" w:hAnsi="Gilroy"/>
          <w:sz w:val="18"/>
          <w:szCs w:val="18"/>
        </w:rPr>
        <w:t>Response to the Call for Input to a Report on the Right to Privacy in the Digital by the UN High Commissioner for Human Rights</w:t>
      </w:r>
      <w:r w:rsidR="0095292A" w:rsidRPr="003A08A7">
        <w:rPr>
          <w:rFonts w:ascii="Gilroy" w:hAnsi="Gilroy"/>
          <w:sz w:val="18"/>
          <w:szCs w:val="18"/>
        </w:rPr>
        <w:t>” (</w:t>
      </w:r>
      <w:r w:rsidRPr="003A08A7">
        <w:rPr>
          <w:rFonts w:ascii="Gilroy" w:hAnsi="Gilroy"/>
          <w:sz w:val="18"/>
          <w:szCs w:val="18"/>
        </w:rPr>
        <w:t>June 2022</w:t>
      </w:r>
      <w:r w:rsidR="0095292A" w:rsidRPr="003A08A7">
        <w:rPr>
          <w:rFonts w:ascii="Gilroy" w:hAnsi="Gilroy"/>
          <w:sz w:val="18"/>
          <w:szCs w:val="18"/>
        </w:rPr>
        <w:t>)</w:t>
      </w:r>
      <w:r w:rsidRPr="003A08A7">
        <w:rPr>
          <w:rFonts w:ascii="Gilroy" w:hAnsi="Gilroy"/>
          <w:sz w:val="18"/>
          <w:szCs w:val="18"/>
        </w:rPr>
        <w:t xml:space="preserve"> </w:t>
      </w:r>
      <w:hyperlink r:id="rId5" w:history="1">
        <w:r w:rsidRPr="003A08A7">
          <w:rPr>
            <w:rStyle w:val="Hyperlink"/>
            <w:rFonts w:ascii="Gilroy" w:hAnsi="Gilroy"/>
            <w:sz w:val="18"/>
            <w:szCs w:val="18"/>
            <w:lang w:val="en-GB"/>
          </w:rPr>
          <w:t>https://privacyinternational.org/sites/default/files/2022-06/PI%20submission%20to%20OHCHR%202022%20report%20final.pdf</w:t>
        </w:r>
      </w:hyperlink>
      <w:r w:rsidRPr="003A08A7">
        <w:rPr>
          <w:rFonts w:ascii="Gilroy" w:hAnsi="Gilroy"/>
          <w:sz w:val="18"/>
          <w:szCs w:val="18"/>
          <w:lang w:val="en-GB"/>
        </w:rPr>
        <w:t xml:space="preserve"> </w:t>
      </w:r>
    </w:p>
  </w:footnote>
  <w:footnote w:id="8">
    <w:p w14:paraId="2CC8BCDB" w14:textId="2F806B39" w:rsidR="00B83343" w:rsidRPr="003A08A7" w:rsidRDefault="00B83343"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See</w:t>
      </w:r>
      <w:r w:rsidR="0095292A" w:rsidRPr="003A08A7">
        <w:rPr>
          <w:rFonts w:ascii="Gilroy" w:hAnsi="Gilroy"/>
          <w:sz w:val="18"/>
          <w:szCs w:val="18"/>
          <w:lang w:val="en-GB"/>
        </w:rPr>
        <w:t xml:space="preserve"> PI, “Privacy International Participates in Global Virtual Summit on Digital Identity for Refugees” (2019)</w:t>
      </w:r>
      <w:r w:rsidRPr="003A08A7">
        <w:rPr>
          <w:rFonts w:ascii="Gilroy" w:hAnsi="Gilroy"/>
          <w:sz w:val="18"/>
          <w:szCs w:val="18"/>
          <w:lang w:val="en-GB"/>
        </w:rPr>
        <w:t xml:space="preserve"> </w:t>
      </w:r>
      <w:hyperlink r:id="rId6" w:history="1">
        <w:r w:rsidR="0095292A" w:rsidRPr="003A08A7">
          <w:rPr>
            <w:rStyle w:val="Hyperlink"/>
            <w:rFonts w:ascii="Gilroy" w:hAnsi="Gilroy"/>
            <w:sz w:val="18"/>
            <w:szCs w:val="18"/>
          </w:rPr>
          <w:t>https://privacyinternational.org/node/2994</w:t>
        </w:r>
      </w:hyperlink>
      <w:r w:rsidRPr="003A08A7">
        <w:rPr>
          <w:rFonts w:ascii="Gilroy" w:hAnsi="Gilroy"/>
          <w:sz w:val="18"/>
          <w:szCs w:val="18"/>
          <w:lang w:val="en-GB"/>
        </w:rPr>
        <w:t>;</w:t>
      </w:r>
      <w:r w:rsidR="0095292A" w:rsidRPr="003A08A7">
        <w:rPr>
          <w:rFonts w:ascii="Gilroy" w:hAnsi="Gilroy"/>
          <w:sz w:val="18"/>
          <w:szCs w:val="18"/>
          <w:lang w:val="en-GB"/>
        </w:rPr>
        <w:t xml:space="preserve"> PI, “The EU, the Externalisation of Migration Control, and ID Systems: Here's What's Happening and What Needs to Change” (2021)</w:t>
      </w:r>
      <w:r w:rsidRPr="003A08A7">
        <w:rPr>
          <w:rFonts w:ascii="Gilroy" w:hAnsi="Gilroy"/>
          <w:sz w:val="18"/>
          <w:szCs w:val="18"/>
          <w:lang w:val="en-GB"/>
        </w:rPr>
        <w:t xml:space="preserve"> </w:t>
      </w:r>
      <w:hyperlink r:id="rId7" w:history="1">
        <w:r w:rsidRPr="003A08A7">
          <w:rPr>
            <w:rStyle w:val="Hyperlink"/>
            <w:rFonts w:ascii="Gilroy" w:hAnsi="Gilroy"/>
            <w:sz w:val="18"/>
            <w:szCs w:val="18"/>
            <w:lang w:val="en-GB"/>
          </w:rPr>
          <w:t>https://privacyinternational.org/long-read/4651/eu-externalisation-migration-control-and-id-systems-heres-whats-happening-and-what</w:t>
        </w:r>
      </w:hyperlink>
      <w:r w:rsidRPr="003A08A7">
        <w:rPr>
          <w:rFonts w:ascii="Gilroy" w:hAnsi="Gilroy"/>
          <w:sz w:val="18"/>
          <w:szCs w:val="18"/>
          <w:lang w:val="en-GB"/>
        </w:rPr>
        <w:t>;</w:t>
      </w:r>
      <w:r w:rsidR="0095292A" w:rsidRPr="003A08A7">
        <w:rPr>
          <w:rFonts w:ascii="Gilroy" w:hAnsi="Gilroy"/>
          <w:sz w:val="18"/>
          <w:szCs w:val="18"/>
          <w:lang w:val="en-GB"/>
        </w:rPr>
        <w:t xml:space="preserve"> Privacy International’s contribution to Global Virtual Summit on digital identity (April 2019) </w:t>
      </w:r>
      <w:hyperlink r:id="rId8" w:history="1">
        <w:r w:rsidR="0095292A" w:rsidRPr="003A08A7">
          <w:rPr>
            <w:rStyle w:val="Hyperlink"/>
            <w:rFonts w:ascii="Gilroy" w:hAnsi="Gilroy"/>
            <w:sz w:val="18"/>
            <w:szCs w:val="18"/>
            <w:lang w:val="en-GB"/>
          </w:rPr>
          <w:t>https://privacyinternational.org/sites/default/files/2019-05/Global%20Virtual%20Summit%20submission-%20Privacy%20International.pdf</w:t>
        </w:r>
      </w:hyperlink>
      <w:r w:rsidRPr="003A08A7">
        <w:rPr>
          <w:rFonts w:ascii="Gilroy" w:hAnsi="Gilroy"/>
          <w:sz w:val="18"/>
          <w:szCs w:val="18"/>
          <w:lang w:val="en-GB"/>
        </w:rPr>
        <w:t xml:space="preserve"> </w:t>
      </w:r>
    </w:p>
  </w:footnote>
  <w:footnote w:id="9">
    <w:p w14:paraId="10C2DE2B" w14:textId="23A2C7E6" w:rsidR="00B83343" w:rsidRPr="003A08A7" w:rsidRDefault="00B83343"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95292A" w:rsidRPr="003A08A7">
        <w:rPr>
          <w:rFonts w:ascii="Gilroy" w:hAnsi="Gilroy"/>
          <w:sz w:val="18"/>
          <w:szCs w:val="18"/>
        </w:rPr>
        <w:t xml:space="preserve">PI, “When ID leaves you without identity: the case of double registration in Kenya” (2021) </w:t>
      </w:r>
      <w:hyperlink r:id="rId9" w:history="1">
        <w:r w:rsidR="0095292A" w:rsidRPr="003A08A7">
          <w:rPr>
            <w:rStyle w:val="Hyperlink"/>
            <w:rFonts w:ascii="Gilroy" w:hAnsi="Gilroy"/>
            <w:sz w:val="18"/>
            <w:szCs w:val="18"/>
          </w:rPr>
          <w:t>https://privacyinternational.org/video/4412/when-id-leaves-you-without-identity-case-double-registration-kenya</w:t>
        </w:r>
      </w:hyperlink>
      <w:r w:rsidRPr="003A08A7">
        <w:rPr>
          <w:rStyle w:val="Hyperlink"/>
          <w:rFonts w:ascii="Gilroy" w:hAnsi="Gilroy"/>
          <w:sz w:val="18"/>
          <w:szCs w:val="18"/>
          <w:u w:val="none"/>
        </w:rPr>
        <w:t>;</w:t>
      </w:r>
      <w:r w:rsidR="0095292A" w:rsidRPr="003A08A7">
        <w:rPr>
          <w:rStyle w:val="Hyperlink"/>
          <w:rFonts w:ascii="Gilroy" w:hAnsi="Gilroy"/>
          <w:sz w:val="18"/>
          <w:szCs w:val="18"/>
          <w:u w:val="none"/>
        </w:rPr>
        <w:t xml:space="preserve"> </w:t>
      </w:r>
      <w:proofErr w:type="spellStart"/>
      <w:r w:rsidR="0095292A" w:rsidRPr="003A08A7">
        <w:rPr>
          <w:rStyle w:val="Hyperlink"/>
          <w:rFonts w:ascii="Gilroy" w:hAnsi="Gilroy"/>
          <w:sz w:val="18"/>
          <w:szCs w:val="18"/>
          <w:u w:val="none"/>
        </w:rPr>
        <w:t>Karisma</w:t>
      </w:r>
      <w:proofErr w:type="spellEnd"/>
      <w:r w:rsidR="0095292A" w:rsidRPr="003A08A7">
        <w:rPr>
          <w:rStyle w:val="Hyperlink"/>
          <w:rFonts w:ascii="Gilroy" w:hAnsi="Gilroy"/>
          <w:sz w:val="18"/>
          <w:szCs w:val="18"/>
          <w:u w:val="none"/>
        </w:rPr>
        <w:t>, “</w:t>
      </w:r>
      <w:proofErr w:type="spellStart"/>
      <w:r w:rsidR="0095292A" w:rsidRPr="003A08A7">
        <w:rPr>
          <w:rStyle w:val="Hyperlink"/>
          <w:rFonts w:ascii="Gilroy" w:hAnsi="Gilroy"/>
          <w:sz w:val="18"/>
          <w:szCs w:val="18"/>
          <w:u w:val="none"/>
        </w:rPr>
        <w:t>Biometría</w:t>
      </w:r>
      <w:proofErr w:type="spellEnd"/>
      <w:r w:rsidR="0095292A" w:rsidRPr="003A08A7">
        <w:rPr>
          <w:rStyle w:val="Hyperlink"/>
          <w:rFonts w:ascii="Gilroy" w:hAnsi="Gilroy"/>
          <w:sz w:val="18"/>
          <w:szCs w:val="18"/>
          <w:u w:val="none"/>
        </w:rPr>
        <w:t xml:space="preserve"> para </w:t>
      </w:r>
      <w:proofErr w:type="spellStart"/>
      <w:r w:rsidR="0095292A" w:rsidRPr="003A08A7">
        <w:rPr>
          <w:rStyle w:val="Hyperlink"/>
          <w:rFonts w:ascii="Gilroy" w:hAnsi="Gilroy"/>
          <w:sz w:val="18"/>
          <w:szCs w:val="18"/>
          <w:u w:val="none"/>
        </w:rPr>
        <w:t>entrar</w:t>
      </w:r>
      <w:proofErr w:type="spellEnd"/>
      <w:r w:rsidR="0095292A" w:rsidRPr="003A08A7">
        <w:rPr>
          <w:rStyle w:val="Hyperlink"/>
          <w:rFonts w:ascii="Gilroy" w:hAnsi="Gilroy"/>
          <w:sz w:val="18"/>
          <w:szCs w:val="18"/>
          <w:u w:val="none"/>
        </w:rPr>
        <w:t xml:space="preserve"> al </w:t>
      </w:r>
      <w:proofErr w:type="spellStart"/>
      <w:r w:rsidR="0095292A" w:rsidRPr="003A08A7">
        <w:rPr>
          <w:rStyle w:val="Hyperlink"/>
          <w:rFonts w:ascii="Gilroy" w:hAnsi="Gilroy"/>
          <w:sz w:val="18"/>
          <w:szCs w:val="18"/>
          <w:u w:val="none"/>
        </w:rPr>
        <w:t>país</w:t>
      </w:r>
      <w:proofErr w:type="spellEnd"/>
      <w:r w:rsidR="0095292A" w:rsidRPr="003A08A7">
        <w:rPr>
          <w:rStyle w:val="Hyperlink"/>
          <w:rFonts w:ascii="Gilroy" w:hAnsi="Gilroy"/>
          <w:sz w:val="18"/>
          <w:szCs w:val="18"/>
          <w:u w:val="none"/>
        </w:rPr>
        <w:t xml:space="preserve">: </w:t>
      </w:r>
      <w:proofErr w:type="spellStart"/>
      <w:r w:rsidR="0095292A" w:rsidRPr="003A08A7">
        <w:rPr>
          <w:rStyle w:val="Hyperlink"/>
          <w:rFonts w:ascii="Gilroy" w:hAnsi="Gilroy"/>
          <w:sz w:val="18"/>
          <w:szCs w:val="18"/>
          <w:u w:val="none"/>
        </w:rPr>
        <w:t>el</w:t>
      </w:r>
      <w:proofErr w:type="spellEnd"/>
      <w:r w:rsidR="0095292A" w:rsidRPr="003A08A7">
        <w:rPr>
          <w:rStyle w:val="Hyperlink"/>
          <w:rFonts w:ascii="Gilroy" w:hAnsi="Gilroy"/>
          <w:sz w:val="18"/>
          <w:szCs w:val="18"/>
          <w:u w:val="none"/>
        </w:rPr>
        <w:t xml:space="preserve"> </w:t>
      </w:r>
      <w:proofErr w:type="spellStart"/>
      <w:r w:rsidR="0095292A" w:rsidRPr="003A08A7">
        <w:rPr>
          <w:rStyle w:val="Hyperlink"/>
          <w:rFonts w:ascii="Gilroy" w:hAnsi="Gilroy"/>
          <w:sz w:val="18"/>
          <w:szCs w:val="18"/>
          <w:u w:val="none"/>
        </w:rPr>
        <w:t>Estatuto</w:t>
      </w:r>
      <w:proofErr w:type="spellEnd"/>
      <w:r w:rsidR="0095292A" w:rsidRPr="003A08A7">
        <w:rPr>
          <w:rStyle w:val="Hyperlink"/>
          <w:rFonts w:ascii="Gilroy" w:hAnsi="Gilroy"/>
          <w:sz w:val="18"/>
          <w:szCs w:val="18"/>
          <w:u w:val="none"/>
        </w:rPr>
        <w:t xml:space="preserve"> Temporal de </w:t>
      </w:r>
      <w:proofErr w:type="spellStart"/>
      <w:r w:rsidR="0095292A" w:rsidRPr="003A08A7">
        <w:rPr>
          <w:rStyle w:val="Hyperlink"/>
          <w:rFonts w:ascii="Gilroy" w:hAnsi="Gilroy"/>
          <w:sz w:val="18"/>
          <w:szCs w:val="18"/>
          <w:u w:val="none"/>
        </w:rPr>
        <w:t>Protección</w:t>
      </w:r>
      <w:proofErr w:type="spellEnd"/>
      <w:r w:rsidR="0095292A" w:rsidRPr="003A08A7">
        <w:rPr>
          <w:rStyle w:val="Hyperlink"/>
          <w:rFonts w:ascii="Gilroy" w:hAnsi="Gilroy"/>
          <w:sz w:val="18"/>
          <w:szCs w:val="18"/>
          <w:u w:val="none"/>
        </w:rPr>
        <w:t xml:space="preserve"> a </w:t>
      </w:r>
      <w:proofErr w:type="spellStart"/>
      <w:r w:rsidR="0095292A" w:rsidRPr="003A08A7">
        <w:rPr>
          <w:rStyle w:val="Hyperlink"/>
          <w:rFonts w:ascii="Gilroy" w:hAnsi="Gilroy"/>
          <w:sz w:val="18"/>
          <w:szCs w:val="18"/>
          <w:u w:val="none"/>
        </w:rPr>
        <w:t>Migrantes</w:t>
      </w:r>
      <w:proofErr w:type="spellEnd"/>
      <w:r w:rsidR="0095292A" w:rsidRPr="003A08A7">
        <w:rPr>
          <w:rStyle w:val="Hyperlink"/>
          <w:rFonts w:ascii="Gilroy" w:hAnsi="Gilroy"/>
          <w:sz w:val="18"/>
          <w:szCs w:val="18"/>
          <w:u w:val="none"/>
        </w:rPr>
        <w:t xml:space="preserve"> Venezolanos” (2021)</w:t>
      </w:r>
      <w:r w:rsidRPr="003A08A7">
        <w:rPr>
          <w:rStyle w:val="Hyperlink"/>
          <w:rFonts w:ascii="Gilroy" w:hAnsi="Gilroy"/>
          <w:sz w:val="18"/>
          <w:szCs w:val="18"/>
          <w:u w:val="none"/>
        </w:rPr>
        <w:t xml:space="preserve"> </w:t>
      </w:r>
      <w:hyperlink r:id="rId10" w:history="1">
        <w:r w:rsidRPr="003A08A7">
          <w:rPr>
            <w:rStyle w:val="Hyperlink"/>
            <w:rFonts w:ascii="Gilroy" w:hAnsi="Gilroy"/>
            <w:sz w:val="18"/>
            <w:szCs w:val="18"/>
          </w:rPr>
          <w:t>https://digitalid.karisma.org.co/2021/07/01/sistema-multibiometrico-etpmv/</w:t>
        </w:r>
      </w:hyperlink>
      <w:r w:rsidRPr="003A08A7">
        <w:rPr>
          <w:rFonts w:ascii="Gilroy" w:hAnsi="Gilroy"/>
          <w:sz w:val="18"/>
          <w:szCs w:val="18"/>
        </w:rPr>
        <w:t xml:space="preserve">; </w:t>
      </w:r>
      <w:proofErr w:type="spellStart"/>
      <w:r w:rsidR="0095292A" w:rsidRPr="003A08A7">
        <w:rPr>
          <w:rFonts w:ascii="Gilroy" w:hAnsi="Gilroy"/>
          <w:sz w:val="18"/>
          <w:szCs w:val="18"/>
        </w:rPr>
        <w:t>Dejusticia</w:t>
      </w:r>
      <w:proofErr w:type="spellEnd"/>
      <w:r w:rsidR="0095292A" w:rsidRPr="003A08A7">
        <w:rPr>
          <w:rFonts w:ascii="Gilroy" w:hAnsi="Gilroy"/>
          <w:sz w:val="18"/>
          <w:szCs w:val="18"/>
        </w:rPr>
        <w:t xml:space="preserve">, </w:t>
      </w:r>
      <w:proofErr w:type="spellStart"/>
      <w:r w:rsidR="0095292A" w:rsidRPr="003A08A7">
        <w:rPr>
          <w:rFonts w:ascii="Gilroy" w:hAnsi="Gilroy"/>
          <w:sz w:val="18"/>
          <w:szCs w:val="18"/>
        </w:rPr>
        <w:t>Karisma</w:t>
      </w:r>
      <w:proofErr w:type="spellEnd"/>
      <w:r w:rsidR="0095292A" w:rsidRPr="003A08A7">
        <w:rPr>
          <w:rFonts w:ascii="Gilroy" w:hAnsi="Gilroy"/>
          <w:sz w:val="18"/>
          <w:szCs w:val="18"/>
        </w:rPr>
        <w:t xml:space="preserve">, “Lo que no </w:t>
      </w:r>
      <w:proofErr w:type="spellStart"/>
      <w:r w:rsidR="0095292A" w:rsidRPr="003A08A7">
        <w:rPr>
          <w:rFonts w:ascii="Gilroy" w:hAnsi="Gilroy"/>
          <w:sz w:val="18"/>
          <w:szCs w:val="18"/>
        </w:rPr>
        <w:t>puede</w:t>
      </w:r>
      <w:proofErr w:type="spellEnd"/>
      <w:r w:rsidR="0095292A" w:rsidRPr="003A08A7">
        <w:rPr>
          <w:rFonts w:ascii="Gilroy" w:hAnsi="Gilroy"/>
          <w:sz w:val="18"/>
          <w:szCs w:val="18"/>
        </w:rPr>
        <w:t xml:space="preserve"> </w:t>
      </w:r>
      <w:proofErr w:type="spellStart"/>
      <w:r w:rsidR="0095292A" w:rsidRPr="003A08A7">
        <w:rPr>
          <w:rFonts w:ascii="Gilroy" w:hAnsi="Gilroy"/>
          <w:sz w:val="18"/>
          <w:szCs w:val="18"/>
        </w:rPr>
        <w:t>quedar</w:t>
      </w:r>
      <w:proofErr w:type="spellEnd"/>
      <w:r w:rsidR="0095292A" w:rsidRPr="003A08A7">
        <w:rPr>
          <w:rFonts w:ascii="Gilroy" w:hAnsi="Gilroy"/>
          <w:sz w:val="18"/>
          <w:szCs w:val="18"/>
        </w:rPr>
        <w:t xml:space="preserve"> </w:t>
      </w:r>
      <w:proofErr w:type="spellStart"/>
      <w:r w:rsidR="0095292A" w:rsidRPr="003A08A7">
        <w:rPr>
          <w:rFonts w:ascii="Gilroy" w:hAnsi="Gilroy"/>
          <w:sz w:val="18"/>
          <w:szCs w:val="18"/>
        </w:rPr>
        <w:t>por</w:t>
      </w:r>
      <w:proofErr w:type="spellEnd"/>
      <w:r w:rsidR="0095292A" w:rsidRPr="003A08A7">
        <w:rPr>
          <w:rFonts w:ascii="Gilroy" w:hAnsi="Gilroy"/>
          <w:sz w:val="18"/>
          <w:szCs w:val="18"/>
        </w:rPr>
        <w:t xml:space="preserve"> </w:t>
      </w:r>
      <w:proofErr w:type="spellStart"/>
      <w:r w:rsidR="0095292A" w:rsidRPr="003A08A7">
        <w:rPr>
          <w:rFonts w:ascii="Gilroy" w:hAnsi="Gilroy"/>
          <w:sz w:val="18"/>
          <w:szCs w:val="18"/>
        </w:rPr>
        <w:t>fuera</w:t>
      </w:r>
      <w:proofErr w:type="spellEnd"/>
      <w:r w:rsidR="0095292A" w:rsidRPr="003A08A7">
        <w:rPr>
          <w:rFonts w:ascii="Gilroy" w:hAnsi="Gilroy"/>
          <w:sz w:val="18"/>
          <w:szCs w:val="18"/>
        </w:rPr>
        <w:t xml:space="preserve"> del </w:t>
      </w:r>
      <w:proofErr w:type="spellStart"/>
      <w:r w:rsidR="0095292A" w:rsidRPr="003A08A7">
        <w:rPr>
          <w:rFonts w:ascii="Gilroy" w:hAnsi="Gilroy"/>
          <w:sz w:val="18"/>
          <w:szCs w:val="18"/>
        </w:rPr>
        <w:t>Estatuto</w:t>
      </w:r>
      <w:proofErr w:type="spellEnd"/>
      <w:r w:rsidR="0095292A" w:rsidRPr="003A08A7">
        <w:rPr>
          <w:rFonts w:ascii="Gilroy" w:hAnsi="Gilroy"/>
          <w:sz w:val="18"/>
          <w:szCs w:val="18"/>
        </w:rPr>
        <w:t xml:space="preserve"> Temporal de </w:t>
      </w:r>
      <w:proofErr w:type="spellStart"/>
      <w:r w:rsidR="0095292A" w:rsidRPr="003A08A7">
        <w:rPr>
          <w:rFonts w:ascii="Gilroy" w:hAnsi="Gilroy"/>
          <w:sz w:val="18"/>
          <w:szCs w:val="18"/>
        </w:rPr>
        <w:t>Protección</w:t>
      </w:r>
      <w:proofErr w:type="spellEnd"/>
      <w:r w:rsidR="0095292A" w:rsidRPr="003A08A7">
        <w:rPr>
          <w:rFonts w:ascii="Gilroy" w:hAnsi="Gilroy"/>
          <w:sz w:val="18"/>
          <w:szCs w:val="18"/>
        </w:rPr>
        <w:t xml:space="preserve"> para personas </w:t>
      </w:r>
      <w:proofErr w:type="spellStart"/>
      <w:r w:rsidR="0095292A" w:rsidRPr="003A08A7">
        <w:rPr>
          <w:rFonts w:ascii="Gilroy" w:hAnsi="Gilroy"/>
          <w:sz w:val="18"/>
          <w:szCs w:val="18"/>
        </w:rPr>
        <w:t>migrantes</w:t>
      </w:r>
      <w:proofErr w:type="spellEnd"/>
      <w:r w:rsidR="0095292A" w:rsidRPr="003A08A7">
        <w:rPr>
          <w:rFonts w:ascii="Gilroy" w:hAnsi="Gilroy"/>
          <w:sz w:val="18"/>
          <w:szCs w:val="18"/>
        </w:rPr>
        <w:t xml:space="preserve"> </w:t>
      </w:r>
      <w:proofErr w:type="spellStart"/>
      <w:r w:rsidR="0095292A" w:rsidRPr="003A08A7">
        <w:rPr>
          <w:rFonts w:ascii="Gilroy" w:hAnsi="Gilroy"/>
          <w:sz w:val="18"/>
          <w:szCs w:val="18"/>
        </w:rPr>
        <w:t>venezolanas</w:t>
      </w:r>
      <w:proofErr w:type="spellEnd"/>
      <w:r w:rsidR="0095292A" w:rsidRPr="003A08A7">
        <w:rPr>
          <w:rFonts w:ascii="Gilroy" w:hAnsi="Gilroy"/>
          <w:sz w:val="18"/>
          <w:szCs w:val="18"/>
        </w:rPr>
        <w:t xml:space="preserve">” (2021) </w:t>
      </w:r>
      <w:hyperlink w:history="1"/>
      <w:hyperlink r:id="rId11" w:history="1">
        <w:r w:rsidRPr="003A08A7">
          <w:rPr>
            <w:rStyle w:val="Hyperlink"/>
            <w:rFonts w:ascii="Gilroy" w:hAnsi="Gilroy"/>
            <w:sz w:val="18"/>
            <w:szCs w:val="18"/>
          </w:rPr>
          <w:t>https://www.dejusticia.org/lo-que-no-puede-quedar-por-fuera-del-estatuto-temporal-de-proteccion-para-personas-migrantes-venezolanas/</w:t>
        </w:r>
      </w:hyperlink>
      <w:r w:rsidRPr="003A08A7">
        <w:rPr>
          <w:rFonts w:ascii="Gilroy" w:hAnsi="Gilroy"/>
          <w:sz w:val="18"/>
          <w:szCs w:val="18"/>
        </w:rPr>
        <w:t xml:space="preserve">; </w:t>
      </w:r>
      <w:proofErr w:type="spellStart"/>
      <w:r w:rsidR="0095292A" w:rsidRPr="003A08A7">
        <w:rPr>
          <w:rFonts w:ascii="Gilroy" w:hAnsi="Gilroy"/>
          <w:sz w:val="18"/>
          <w:szCs w:val="18"/>
        </w:rPr>
        <w:t>EDRi</w:t>
      </w:r>
      <w:proofErr w:type="spellEnd"/>
      <w:r w:rsidR="0095292A" w:rsidRPr="003A08A7">
        <w:rPr>
          <w:rFonts w:ascii="Gilroy" w:hAnsi="Gilroy"/>
          <w:sz w:val="18"/>
          <w:szCs w:val="18"/>
        </w:rPr>
        <w:t xml:space="preserve">, “Technologies for border surveillance and control in Italy” (2022) </w:t>
      </w:r>
      <w:hyperlink w:history="1"/>
      <w:hyperlink r:id="rId12" w:tgtFrame="_blank" w:history="1">
        <w:r w:rsidRPr="003A08A7">
          <w:rPr>
            <w:rStyle w:val="Hyperlink"/>
            <w:rFonts w:ascii="Gilroy" w:hAnsi="Gilroy"/>
            <w:sz w:val="18"/>
            <w:szCs w:val="18"/>
          </w:rPr>
          <w:t>https://edri.org/our-work/technologies-for-border-surveillance-and-control-in-italy/</w:t>
        </w:r>
      </w:hyperlink>
    </w:p>
  </w:footnote>
  <w:footnote w:id="10">
    <w:p w14:paraId="41053994" w14:textId="1DAD72AC" w:rsidR="00B83343" w:rsidRPr="003A08A7" w:rsidRDefault="00B83343"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95292A" w:rsidRPr="003A08A7">
        <w:rPr>
          <w:rFonts w:ascii="Gilroy" w:hAnsi="Gilroy"/>
          <w:sz w:val="18"/>
          <w:szCs w:val="18"/>
        </w:rPr>
        <w:t xml:space="preserve"> HRW, “UN Shared Rohingya Data Without Informed Consent” (2021) </w:t>
      </w:r>
      <w:r w:rsidRPr="003A08A7">
        <w:rPr>
          <w:rFonts w:ascii="Gilroy" w:hAnsi="Gilroy"/>
          <w:sz w:val="18"/>
          <w:szCs w:val="18"/>
        </w:rPr>
        <w:t xml:space="preserve"> </w:t>
      </w:r>
      <w:hyperlink r:id="rId13" w:history="1">
        <w:r w:rsidR="0095292A" w:rsidRPr="003A08A7">
          <w:rPr>
            <w:rStyle w:val="Hyperlink"/>
            <w:rFonts w:ascii="Gilroy" w:hAnsi="Gilroy"/>
            <w:sz w:val="18"/>
            <w:szCs w:val="18"/>
          </w:rPr>
          <w:t>https://www.hrw.org/news/2021/06/15/un-shared-rohingya-data-without-informed-consent</w:t>
        </w:r>
      </w:hyperlink>
      <w:r w:rsidRPr="003A08A7">
        <w:rPr>
          <w:rStyle w:val="Hyperlink"/>
          <w:rFonts w:ascii="Gilroy" w:hAnsi="Gilroy"/>
          <w:sz w:val="18"/>
          <w:szCs w:val="18"/>
        </w:rPr>
        <w:t xml:space="preserve"> </w:t>
      </w:r>
    </w:p>
  </w:footnote>
  <w:footnote w:id="11">
    <w:p w14:paraId="22E22BB2" w14:textId="1AEF52B3" w:rsidR="0095292A" w:rsidRPr="003A08A7" w:rsidRDefault="006902FB" w:rsidP="003A08A7">
      <w:pPr>
        <w:pStyle w:val="FootnoteText"/>
        <w:jc w:val="both"/>
        <w:rPr>
          <w:rFonts w:ascii="Gilroy" w:hAnsi="Gilroy"/>
          <w:sz w:val="18"/>
          <w:szCs w:val="18"/>
        </w:rPr>
      </w:pPr>
      <w:r w:rsidRPr="003A08A7">
        <w:rPr>
          <w:rStyle w:val="FootnoteReference"/>
          <w:rFonts w:ascii="Gilroy" w:hAnsi="Gilroy"/>
          <w:sz w:val="18"/>
          <w:szCs w:val="18"/>
        </w:rPr>
        <w:footnoteRef/>
      </w:r>
      <w:r w:rsidRPr="003A08A7">
        <w:rPr>
          <w:rFonts w:ascii="Gilroy" w:hAnsi="Gilroy"/>
          <w:sz w:val="18"/>
          <w:szCs w:val="18"/>
        </w:rPr>
        <w:t xml:space="preserve"> </w:t>
      </w:r>
      <w:proofErr w:type="spellStart"/>
      <w:r w:rsidR="00016013" w:rsidRPr="003A08A7">
        <w:rPr>
          <w:rFonts w:ascii="Gilroy" w:hAnsi="Gilroy"/>
          <w:sz w:val="18"/>
          <w:szCs w:val="18"/>
          <w:lang w:val="en-GB"/>
        </w:rPr>
        <w:t>Dejusticia</w:t>
      </w:r>
      <w:proofErr w:type="spellEnd"/>
      <w:r w:rsidR="00016013" w:rsidRPr="003A08A7">
        <w:rPr>
          <w:rFonts w:ascii="Gilroy" w:hAnsi="Gilroy"/>
          <w:sz w:val="18"/>
          <w:szCs w:val="18"/>
          <w:lang w:val="en-GB"/>
        </w:rPr>
        <w:t xml:space="preserve">, </w:t>
      </w:r>
      <w:r w:rsidR="0095292A" w:rsidRPr="003A08A7">
        <w:rPr>
          <w:rFonts w:ascii="Gilroy" w:hAnsi="Gilroy"/>
          <w:sz w:val="18"/>
          <w:szCs w:val="18"/>
          <w:lang w:val="en-GB"/>
        </w:rPr>
        <w:t>“</w:t>
      </w:r>
      <w:r w:rsidR="00016013" w:rsidRPr="003A08A7">
        <w:rPr>
          <w:rFonts w:ascii="Gilroy" w:hAnsi="Gilroy"/>
          <w:sz w:val="18"/>
          <w:szCs w:val="18"/>
          <w:lang w:val="en-GB"/>
        </w:rPr>
        <w:t xml:space="preserve">Response to the Questionnaire from the Special Rapporteur </w:t>
      </w:r>
      <w:r w:rsidR="00016013" w:rsidRPr="003A08A7">
        <w:rPr>
          <w:rFonts w:ascii="Gilroy" w:hAnsi="Gilroy"/>
          <w:sz w:val="18"/>
          <w:szCs w:val="18"/>
        </w:rPr>
        <w:t>on the Human Rights of Migrants</w:t>
      </w:r>
      <w:r w:rsidR="0095292A" w:rsidRPr="003A08A7">
        <w:rPr>
          <w:rFonts w:ascii="Gilroy" w:hAnsi="Gilroy"/>
          <w:sz w:val="18"/>
          <w:szCs w:val="18"/>
        </w:rPr>
        <w:t>”</w:t>
      </w:r>
      <w:r w:rsidR="00016013" w:rsidRPr="003A08A7">
        <w:rPr>
          <w:rFonts w:ascii="Gilroy" w:hAnsi="Gilroy"/>
          <w:sz w:val="18"/>
          <w:szCs w:val="18"/>
        </w:rPr>
        <w:t xml:space="preserve"> </w:t>
      </w:r>
      <w:r w:rsidR="0095292A" w:rsidRPr="003A08A7">
        <w:rPr>
          <w:rFonts w:ascii="Gilroy" w:hAnsi="Gilroy"/>
          <w:sz w:val="18"/>
          <w:szCs w:val="18"/>
        </w:rPr>
        <w:t>(</w:t>
      </w:r>
      <w:r w:rsidR="00016013" w:rsidRPr="003A08A7">
        <w:rPr>
          <w:rFonts w:ascii="Gilroy" w:hAnsi="Gilroy"/>
          <w:sz w:val="18"/>
          <w:szCs w:val="18"/>
        </w:rPr>
        <w:t>February 2023</w:t>
      </w:r>
      <w:r w:rsidR="0095292A" w:rsidRPr="003A08A7">
        <w:rPr>
          <w:rFonts w:ascii="Gilroy" w:hAnsi="Gilroy"/>
          <w:sz w:val="18"/>
          <w:szCs w:val="18"/>
        </w:rPr>
        <w:t>)</w:t>
      </w:r>
      <w:r w:rsidR="00016013" w:rsidRPr="003A08A7">
        <w:rPr>
          <w:rFonts w:ascii="Gilroy" w:hAnsi="Gilroy"/>
          <w:sz w:val="18"/>
          <w:szCs w:val="18"/>
        </w:rPr>
        <w:t xml:space="preserve"> </w:t>
      </w:r>
    </w:p>
    <w:p w14:paraId="19CC205E" w14:textId="30E0F494" w:rsidR="006902FB" w:rsidRPr="003A08A7" w:rsidRDefault="00000000" w:rsidP="003A08A7">
      <w:pPr>
        <w:pStyle w:val="FootnoteText"/>
        <w:jc w:val="both"/>
        <w:rPr>
          <w:rFonts w:ascii="Gilroy" w:hAnsi="Gilroy"/>
          <w:sz w:val="18"/>
          <w:szCs w:val="18"/>
          <w:lang w:val="en-GB"/>
        </w:rPr>
      </w:pPr>
      <w:hyperlink r:id="rId14" w:history="1">
        <w:r w:rsidR="00016013" w:rsidRPr="003A08A7">
          <w:rPr>
            <w:rStyle w:val="Hyperlink"/>
            <w:rFonts w:ascii="Gilroy" w:hAnsi="Gilroy"/>
            <w:sz w:val="18"/>
            <w:szCs w:val="18"/>
          </w:rPr>
          <w:t>https://www.ohchr.org/sites/default/files/documents/issues/migration/cfis/regularization/submissions-regularization-dejusticia.pdf</w:t>
        </w:r>
      </w:hyperlink>
      <w:r w:rsidR="00016013" w:rsidRPr="003A08A7">
        <w:rPr>
          <w:rFonts w:ascii="Gilroy" w:hAnsi="Gilroy"/>
          <w:sz w:val="18"/>
          <w:szCs w:val="18"/>
        </w:rPr>
        <w:t xml:space="preserve">; </w:t>
      </w:r>
      <w:r w:rsidR="0095292A" w:rsidRPr="003A08A7">
        <w:rPr>
          <w:rFonts w:ascii="Gilroy" w:hAnsi="Gilroy"/>
          <w:sz w:val="18"/>
          <w:szCs w:val="18"/>
        </w:rPr>
        <w:t xml:space="preserve">Fundación </w:t>
      </w:r>
      <w:proofErr w:type="spellStart"/>
      <w:r w:rsidR="0095292A" w:rsidRPr="003A08A7">
        <w:rPr>
          <w:rFonts w:ascii="Gilroy" w:hAnsi="Gilroy"/>
          <w:sz w:val="18"/>
          <w:szCs w:val="18"/>
        </w:rPr>
        <w:t>Karisma</w:t>
      </w:r>
      <w:proofErr w:type="spellEnd"/>
      <w:r w:rsidR="00016013" w:rsidRPr="003A08A7">
        <w:rPr>
          <w:rFonts w:ascii="Gilroy" w:hAnsi="Gilroy"/>
          <w:sz w:val="18"/>
          <w:szCs w:val="18"/>
        </w:rPr>
        <w:t xml:space="preserve">, </w:t>
      </w:r>
      <w:r w:rsidR="00016013" w:rsidRPr="003A08A7">
        <w:rPr>
          <w:rFonts w:ascii="Gilroy" w:hAnsi="Gilroy"/>
          <w:sz w:val="18"/>
          <w:szCs w:val="18"/>
          <w:lang w:val="en-GB"/>
        </w:rPr>
        <w:t xml:space="preserve">Response to the Questionnaire from the Special Rapporteur </w:t>
      </w:r>
      <w:r w:rsidR="00016013" w:rsidRPr="003A08A7">
        <w:rPr>
          <w:rFonts w:ascii="Gilroy" w:hAnsi="Gilroy"/>
          <w:sz w:val="18"/>
          <w:szCs w:val="18"/>
        </w:rPr>
        <w:t>on the Human Rights of Migrants</w:t>
      </w:r>
      <w:r w:rsidR="0095292A" w:rsidRPr="003A08A7">
        <w:rPr>
          <w:rFonts w:ascii="Gilroy" w:hAnsi="Gilroy"/>
          <w:sz w:val="18"/>
          <w:szCs w:val="18"/>
        </w:rPr>
        <w:t xml:space="preserve"> (</w:t>
      </w:r>
      <w:r w:rsidR="00016013" w:rsidRPr="003A08A7">
        <w:rPr>
          <w:rFonts w:ascii="Gilroy" w:hAnsi="Gilroy"/>
          <w:sz w:val="18"/>
          <w:szCs w:val="18"/>
        </w:rPr>
        <w:t>February 2023</w:t>
      </w:r>
      <w:r w:rsidR="0095292A" w:rsidRPr="003A08A7">
        <w:rPr>
          <w:rFonts w:ascii="Gilroy" w:hAnsi="Gilroy"/>
          <w:sz w:val="18"/>
          <w:szCs w:val="18"/>
        </w:rPr>
        <w:t>)</w:t>
      </w:r>
      <w:r w:rsidR="00016013" w:rsidRPr="003A08A7">
        <w:rPr>
          <w:rFonts w:ascii="Gilroy" w:hAnsi="Gilroy"/>
          <w:sz w:val="18"/>
          <w:szCs w:val="18"/>
        </w:rPr>
        <w:t xml:space="preserve"> </w:t>
      </w:r>
      <w:hyperlink r:id="rId15" w:history="1">
        <w:r w:rsidR="0095292A" w:rsidRPr="003A08A7">
          <w:rPr>
            <w:rStyle w:val="Hyperlink"/>
            <w:rFonts w:ascii="Gilroy" w:hAnsi="Gilroy"/>
            <w:sz w:val="18"/>
            <w:szCs w:val="18"/>
          </w:rPr>
          <w:t>https://www.ohchr.org/sites/default/files/documents/issues/migration/cfis/regularization/submissions-regularization-fundacion-karisma.docx</w:t>
        </w:r>
      </w:hyperlink>
      <w:r w:rsidR="0095292A" w:rsidRPr="003A08A7">
        <w:rPr>
          <w:rFonts w:ascii="Gilroy" w:hAnsi="Gilroy"/>
          <w:sz w:val="18"/>
          <w:szCs w:val="18"/>
        </w:rPr>
        <w:t xml:space="preserve"> </w:t>
      </w:r>
    </w:p>
  </w:footnote>
  <w:footnote w:id="12">
    <w:p w14:paraId="3F1F5E2C" w14:textId="2B9120A3" w:rsidR="0095292A" w:rsidRPr="003A08A7" w:rsidRDefault="006902FB" w:rsidP="003A08A7">
      <w:pPr>
        <w:pStyle w:val="FootnoteText"/>
        <w:jc w:val="both"/>
        <w:rPr>
          <w:rFonts w:ascii="Gilroy" w:hAnsi="Gilroy"/>
          <w:sz w:val="18"/>
          <w:szCs w:val="18"/>
        </w:rPr>
      </w:pPr>
      <w:r w:rsidRPr="003A08A7">
        <w:rPr>
          <w:rStyle w:val="FootnoteReference"/>
          <w:rFonts w:ascii="Gilroy" w:hAnsi="Gilroy"/>
          <w:sz w:val="18"/>
          <w:szCs w:val="18"/>
        </w:rPr>
        <w:footnoteRef/>
      </w:r>
      <w:r w:rsidRPr="003A08A7">
        <w:rPr>
          <w:rFonts w:ascii="Gilroy" w:hAnsi="Gilroy"/>
          <w:sz w:val="18"/>
          <w:szCs w:val="18"/>
        </w:rPr>
        <w:t xml:space="preserve"> </w:t>
      </w:r>
      <w:proofErr w:type="spellStart"/>
      <w:r w:rsidR="00016013" w:rsidRPr="003A08A7">
        <w:rPr>
          <w:rFonts w:ascii="Gilroy" w:hAnsi="Gilroy"/>
          <w:sz w:val="18"/>
          <w:szCs w:val="18"/>
          <w:lang w:val="en-GB"/>
        </w:rPr>
        <w:t>Dejusticia</w:t>
      </w:r>
      <w:proofErr w:type="spellEnd"/>
      <w:r w:rsidR="00016013" w:rsidRPr="003A08A7">
        <w:rPr>
          <w:rFonts w:ascii="Gilroy" w:hAnsi="Gilroy"/>
          <w:sz w:val="18"/>
          <w:szCs w:val="18"/>
          <w:lang w:val="en-GB"/>
        </w:rPr>
        <w:t xml:space="preserve">, </w:t>
      </w:r>
      <w:r w:rsidR="0095292A" w:rsidRPr="003A08A7">
        <w:rPr>
          <w:rFonts w:ascii="Gilroy" w:hAnsi="Gilroy"/>
          <w:sz w:val="18"/>
          <w:szCs w:val="18"/>
          <w:lang w:val="en-GB"/>
        </w:rPr>
        <w:t>“</w:t>
      </w:r>
      <w:r w:rsidR="00016013" w:rsidRPr="003A08A7">
        <w:rPr>
          <w:rFonts w:ascii="Gilroy" w:hAnsi="Gilroy"/>
          <w:sz w:val="18"/>
          <w:szCs w:val="18"/>
          <w:lang w:val="en-GB"/>
        </w:rPr>
        <w:t xml:space="preserve">Response to the Questionnaire from the Special Rapporteur </w:t>
      </w:r>
      <w:r w:rsidR="00016013" w:rsidRPr="003A08A7">
        <w:rPr>
          <w:rFonts w:ascii="Gilroy" w:hAnsi="Gilroy"/>
          <w:sz w:val="18"/>
          <w:szCs w:val="18"/>
        </w:rPr>
        <w:t>on the Human Rights of Migrants</w:t>
      </w:r>
      <w:r w:rsidR="0095292A" w:rsidRPr="003A08A7">
        <w:rPr>
          <w:rFonts w:ascii="Gilroy" w:hAnsi="Gilroy"/>
          <w:sz w:val="18"/>
          <w:szCs w:val="18"/>
        </w:rPr>
        <w:t>” (</w:t>
      </w:r>
      <w:r w:rsidR="00016013" w:rsidRPr="003A08A7">
        <w:rPr>
          <w:rFonts w:ascii="Gilroy" w:hAnsi="Gilroy"/>
          <w:sz w:val="18"/>
          <w:szCs w:val="18"/>
        </w:rPr>
        <w:t>February 2023</w:t>
      </w:r>
      <w:r w:rsidR="0095292A" w:rsidRPr="003A08A7">
        <w:rPr>
          <w:rFonts w:ascii="Gilroy" w:hAnsi="Gilroy"/>
          <w:sz w:val="18"/>
          <w:szCs w:val="18"/>
        </w:rPr>
        <w:t>)</w:t>
      </w:r>
      <w:r w:rsidR="00660950" w:rsidRPr="003A08A7">
        <w:rPr>
          <w:rFonts w:ascii="Gilroy" w:hAnsi="Gilroy"/>
          <w:sz w:val="18"/>
          <w:szCs w:val="18"/>
        </w:rPr>
        <w:t xml:space="preserve"> </w:t>
      </w:r>
    </w:p>
    <w:p w14:paraId="47026BA6" w14:textId="069212C4" w:rsidR="006902FB" w:rsidRPr="003A08A7" w:rsidRDefault="00000000" w:rsidP="003A08A7">
      <w:pPr>
        <w:pStyle w:val="FootnoteText"/>
        <w:jc w:val="both"/>
        <w:rPr>
          <w:rFonts w:ascii="Gilroy" w:hAnsi="Gilroy"/>
          <w:sz w:val="18"/>
          <w:szCs w:val="18"/>
          <w:lang w:val="en-GB"/>
        </w:rPr>
      </w:pPr>
      <w:hyperlink r:id="rId16" w:history="1">
        <w:r w:rsidR="00016013" w:rsidRPr="003A08A7">
          <w:rPr>
            <w:rStyle w:val="Hyperlink"/>
            <w:rFonts w:ascii="Gilroy" w:hAnsi="Gilroy"/>
            <w:sz w:val="18"/>
            <w:szCs w:val="18"/>
          </w:rPr>
          <w:t>https://www.ohchr.org/sites/default/files/documents/issues/migration/cfis/regularization/submissions-regularization-dejusticia.pdf</w:t>
        </w:r>
      </w:hyperlink>
    </w:p>
  </w:footnote>
  <w:footnote w:id="13">
    <w:p w14:paraId="4026BC7E" w14:textId="5071C153" w:rsidR="00016013" w:rsidRPr="003A08A7" w:rsidRDefault="00016013" w:rsidP="003A08A7">
      <w:pPr>
        <w:pStyle w:val="FootnoteText"/>
        <w:jc w:val="both"/>
        <w:rPr>
          <w:rFonts w:ascii="Gilroy" w:hAnsi="Gilroy"/>
          <w:sz w:val="18"/>
          <w:szCs w:val="18"/>
          <w:lang w:val="fr-CH"/>
        </w:rPr>
      </w:pPr>
      <w:r w:rsidRPr="003A08A7">
        <w:rPr>
          <w:rStyle w:val="FootnoteReference"/>
          <w:rFonts w:ascii="Gilroy" w:hAnsi="Gilroy"/>
          <w:sz w:val="18"/>
          <w:szCs w:val="18"/>
        </w:rPr>
        <w:footnoteRef/>
      </w:r>
      <w:r w:rsidRPr="003A08A7">
        <w:rPr>
          <w:rFonts w:ascii="Gilroy" w:hAnsi="Gilroy"/>
          <w:sz w:val="18"/>
          <w:szCs w:val="18"/>
          <w:lang w:val="fr-CH"/>
        </w:rPr>
        <w:t xml:space="preserve"> </w:t>
      </w:r>
      <w:proofErr w:type="spellStart"/>
      <w:proofErr w:type="gramStart"/>
      <w:r w:rsidR="0095292A" w:rsidRPr="003A08A7">
        <w:rPr>
          <w:rFonts w:ascii="Gilroy" w:hAnsi="Gilroy"/>
          <w:sz w:val="18"/>
          <w:szCs w:val="18"/>
          <w:lang w:val="fr-CH"/>
        </w:rPr>
        <w:t>ibid</w:t>
      </w:r>
      <w:proofErr w:type="spellEnd"/>
      <w:r w:rsidR="0095292A" w:rsidRPr="003A08A7">
        <w:rPr>
          <w:rFonts w:ascii="Gilroy" w:hAnsi="Gilroy"/>
          <w:sz w:val="18"/>
          <w:szCs w:val="18"/>
          <w:lang w:val="fr-CH"/>
        </w:rPr>
        <w:t>;</w:t>
      </w:r>
      <w:proofErr w:type="gramEnd"/>
      <w:r w:rsidR="0095292A" w:rsidRPr="003A08A7">
        <w:rPr>
          <w:rFonts w:ascii="Gilroy" w:hAnsi="Gilroy"/>
          <w:sz w:val="18"/>
          <w:szCs w:val="18"/>
          <w:lang w:val="fr-CH"/>
        </w:rPr>
        <w:t xml:space="preserve"> </w:t>
      </w:r>
      <w:proofErr w:type="spellStart"/>
      <w:r w:rsidR="0095292A" w:rsidRPr="003A08A7">
        <w:rPr>
          <w:rFonts w:ascii="Gilroy" w:hAnsi="Gilroy"/>
          <w:sz w:val="18"/>
          <w:szCs w:val="18"/>
          <w:lang w:val="fr-CH"/>
        </w:rPr>
        <w:t>Karisma</w:t>
      </w:r>
      <w:proofErr w:type="spellEnd"/>
      <w:r w:rsidR="0095292A" w:rsidRPr="003A08A7">
        <w:rPr>
          <w:rFonts w:ascii="Gilroy" w:hAnsi="Gilroy"/>
          <w:sz w:val="18"/>
          <w:szCs w:val="18"/>
          <w:lang w:val="fr-CH"/>
        </w:rPr>
        <w:t>, “</w:t>
      </w:r>
      <w:proofErr w:type="spellStart"/>
      <w:r w:rsidR="0095292A" w:rsidRPr="003A08A7">
        <w:rPr>
          <w:rFonts w:ascii="Gilroy" w:hAnsi="Gilroy"/>
          <w:sz w:val="18"/>
          <w:szCs w:val="18"/>
          <w:lang w:val="fr-CH"/>
        </w:rPr>
        <w:t>Biometría</w:t>
      </w:r>
      <w:proofErr w:type="spellEnd"/>
      <w:r w:rsidR="0095292A" w:rsidRPr="003A08A7">
        <w:rPr>
          <w:rFonts w:ascii="Gilroy" w:hAnsi="Gilroy"/>
          <w:sz w:val="18"/>
          <w:szCs w:val="18"/>
          <w:lang w:val="fr-CH"/>
        </w:rPr>
        <w:t xml:space="preserve"> para </w:t>
      </w:r>
      <w:proofErr w:type="spellStart"/>
      <w:r w:rsidR="0095292A" w:rsidRPr="003A08A7">
        <w:rPr>
          <w:rFonts w:ascii="Gilroy" w:hAnsi="Gilroy"/>
          <w:sz w:val="18"/>
          <w:szCs w:val="18"/>
          <w:lang w:val="fr-CH"/>
        </w:rPr>
        <w:t>entrar</w:t>
      </w:r>
      <w:proofErr w:type="spellEnd"/>
      <w:r w:rsidR="0095292A" w:rsidRPr="003A08A7">
        <w:rPr>
          <w:rFonts w:ascii="Gilroy" w:hAnsi="Gilroy"/>
          <w:sz w:val="18"/>
          <w:szCs w:val="18"/>
          <w:lang w:val="fr-CH"/>
        </w:rPr>
        <w:t xml:space="preserve"> al </w:t>
      </w:r>
      <w:proofErr w:type="spellStart"/>
      <w:r w:rsidR="0095292A" w:rsidRPr="003A08A7">
        <w:rPr>
          <w:rFonts w:ascii="Gilroy" w:hAnsi="Gilroy"/>
          <w:sz w:val="18"/>
          <w:szCs w:val="18"/>
          <w:lang w:val="fr-CH"/>
        </w:rPr>
        <w:t>país</w:t>
      </w:r>
      <w:proofErr w:type="spellEnd"/>
      <w:r w:rsidR="0095292A" w:rsidRPr="003A08A7">
        <w:rPr>
          <w:rFonts w:ascii="Gilroy" w:hAnsi="Gilroy"/>
          <w:sz w:val="18"/>
          <w:szCs w:val="18"/>
          <w:lang w:val="fr-CH"/>
        </w:rPr>
        <w:t xml:space="preserve">: el </w:t>
      </w:r>
      <w:proofErr w:type="spellStart"/>
      <w:r w:rsidR="0095292A" w:rsidRPr="003A08A7">
        <w:rPr>
          <w:rFonts w:ascii="Gilroy" w:hAnsi="Gilroy"/>
          <w:sz w:val="18"/>
          <w:szCs w:val="18"/>
          <w:lang w:val="fr-CH"/>
        </w:rPr>
        <w:t>Estatuto</w:t>
      </w:r>
      <w:proofErr w:type="spellEnd"/>
      <w:r w:rsidR="0095292A" w:rsidRPr="003A08A7">
        <w:rPr>
          <w:rFonts w:ascii="Gilroy" w:hAnsi="Gilroy"/>
          <w:sz w:val="18"/>
          <w:szCs w:val="18"/>
          <w:lang w:val="fr-CH"/>
        </w:rPr>
        <w:t xml:space="preserve"> Temporal de </w:t>
      </w:r>
      <w:proofErr w:type="spellStart"/>
      <w:r w:rsidR="0095292A" w:rsidRPr="003A08A7">
        <w:rPr>
          <w:rFonts w:ascii="Gilroy" w:hAnsi="Gilroy"/>
          <w:sz w:val="18"/>
          <w:szCs w:val="18"/>
          <w:lang w:val="fr-CH"/>
        </w:rPr>
        <w:t>Protección</w:t>
      </w:r>
      <w:proofErr w:type="spellEnd"/>
      <w:r w:rsidR="0095292A" w:rsidRPr="003A08A7">
        <w:rPr>
          <w:rFonts w:ascii="Gilroy" w:hAnsi="Gilroy"/>
          <w:sz w:val="18"/>
          <w:szCs w:val="18"/>
          <w:lang w:val="fr-CH"/>
        </w:rPr>
        <w:t xml:space="preserve"> a Migrantes </w:t>
      </w:r>
      <w:proofErr w:type="spellStart"/>
      <w:r w:rsidR="0095292A" w:rsidRPr="003A08A7">
        <w:rPr>
          <w:rFonts w:ascii="Gilroy" w:hAnsi="Gilroy"/>
          <w:sz w:val="18"/>
          <w:szCs w:val="18"/>
          <w:lang w:val="fr-CH"/>
        </w:rPr>
        <w:t>Venezolanos</w:t>
      </w:r>
      <w:proofErr w:type="spellEnd"/>
      <w:r w:rsidR="0095292A" w:rsidRPr="003A08A7">
        <w:rPr>
          <w:rFonts w:ascii="Gilroy" w:hAnsi="Gilroy"/>
          <w:sz w:val="18"/>
          <w:szCs w:val="18"/>
          <w:lang w:val="fr-CH"/>
        </w:rPr>
        <w:t>” (2021)</w:t>
      </w:r>
      <w:r w:rsidR="00660950" w:rsidRPr="003A08A7">
        <w:rPr>
          <w:rFonts w:ascii="Gilroy" w:hAnsi="Gilroy"/>
          <w:sz w:val="18"/>
          <w:szCs w:val="18"/>
          <w:lang w:val="fr-CH"/>
        </w:rPr>
        <w:t xml:space="preserve"> </w:t>
      </w:r>
      <w:hyperlink r:id="rId17" w:history="1">
        <w:r w:rsidR="003A08A7" w:rsidRPr="003A08A7">
          <w:rPr>
            <w:rStyle w:val="Hyperlink"/>
            <w:rFonts w:ascii="Gilroy" w:hAnsi="Gilroy"/>
            <w:sz w:val="18"/>
            <w:szCs w:val="18"/>
            <w:lang w:val="fr-CH"/>
          </w:rPr>
          <w:t>https://digitalid.karisma.org.co/2021/07/01/sistema-multibiometrico-etpmv/</w:t>
        </w:r>
      </w:hyperlink>
      <w:r w:rsidR="003A08A7" w:rsidRPr="003A08A7">
        <w:rPr>
          <w:rFonts w:ascii="Gilroy" w:hAnsi="Gilroy"/>
          <w:sz w:val="18"/>
          <w:szCs w:val="18"/>
          <w:lang w:val="fr-CH"/>
        </w:rPr>
        <w:t xml:space="preserve"> </w:t>
      </w:r>
    </w:p>
  </w:footnote>
  <w:footnote w:id="14">
    <w:p w14:paraId="6766295A" w14:textId="376B4554" w:rsidR="002A3186" w:rsidRPr="003A08A7" w:rsidRDefault="002A3186"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95292A" w:rsidRPr="003A08A7">
        <w:rPr>
          <w:rFonts w:ascii="Gilroy" w:hAnsi="Gilroy"/>
          <w:sz w:val="18"/>
          <w:szCs w:val="18"/>
          <w:lang w:val="en-GB"/>
        </w:rPr>
        <w:t>ibid.</w:t>
      </w:r>
    </w:p>
  </w:footnote>
  <w:footnote w:id="15">
    <w:p w14:paraId="47E742B5" w14:textId="682E283B" w:rsidR="002A3186" w:rsidRPr="003A08A7" w:rsidRDefault="002A3186"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 xml:space="preserve">PI, </w:t>
      </w:r>
      <w:r w:rsidR="00076299" w:rsidRPr="003A08A7">
        <w:rPr>
          <w:rFonts w:ascii="Gilroy" w:hAnsi="Gilroy"/>
          <w:sz w:val="18"/>
          <w:szCs w:val="18"/>
          <w:lang w:val="en-GB"/>
        </w:rPr>
        <w:t>“</w:t>
      </w:r>
      <w:r w:rsidRPr="003A08A7">
        <w:rPr>
          <w:rStyle w:val="markedcontent"/>
          <w:rFonts w:ascii="Gilroy" w:hAnsi="Gilroy" w:cs="Arial"/>
          <w:sz w:val="18"/>
          <w:szCs w:val="18"/>
        </w:rPr>
        <w:t>Submission to the UN Special</w:t>
      </w:r>
      <w:r w:rsidRPr="003A08A7">
        <w:rPr>
          <w:rFonts w:ascii="Gilroy" w:hAnsi="Gilroy"/>
          <w:sz w:val="18"/>
          <w:szCs w:val="18"/>
        </w:rPr>
        <w:t xml:space="preserve"> </w:t>
      </w:r>
      <w:r w:rsidRPr="003A08A7">
        <w:rPr>
          <w:rStyle w:val="markedcontent"/>
          <w:rFonts w:ascii="Gilroy" w:hAnsi="Gilroy" w:cs="Arial"/>
          <w:sz w:val="18"/>
          <w:szCs w:val="18"/>
        </w:rPr>
        <w:t>Rapporteur on contemporary forms</w:t>
      </w:r>
      <w:r w:rsidRPr="003A08A7">
        <w:rPr>
          <w:rFonts w:ascii="Gilroy" w:hAnsi="Gilroy"/>
          <w:sz w:val="18"/>
          <w:szCs w:val="18"/>
        </w:rPr>
        <w:t xml:space="preserve"> </w:t>
      </w:r>
      <w:r w:rsidRPr="003A08A7">
        <w:rPr>
          <w:rStyle w:val="markedcontent"/>
          <w:rFonts w:ascii="Gilroy" w:hAnsi="Gilroy" w:cs="Arial"/>
          <w:sz w:val="18"/>
          <w:szCs w:val="18"/>
        </w:rPr>
        <w:t>of racism, racial discrimination,</w:t>
      </w:r>
      <w:r w:rsidRPr="003A08A7">
        <w:rPr>
          <w:rFonts w:ascii="Gilroy" w:hAnsi="Gilroy"/>
          <w:sz w:val="18"/>
          <w:szCs w:val="18"/>
        </w:rPr>
        <w:t xml:space="preserve"> </w:t>
      </w:r>
      <w:r w:rsidRPr="003A08A7">
        <w:rPr>
          <w:rStyle w:val="markedcontent"/>
          <w:rFonts w:ascii="Gilroy" w:hAnsi="Gilroy" w:cs="Arial"/>
          <w:sz w:val="18"/>
          <w:szCs w:val="18"/>
        </w:rPr>
        <w:t>xenophobia and related intolerance, submitted jointly by Privacy International,</w:t>
      </w:r>
      <w:r w:rsidRPr="003A08A7">
        <w:rPr>
          <w:rFonts w:ascii="Gilroy" w:hAnsi="Gilroy"/>
          <w:sz w:val="18"/>
          <w:szCs w:val="18"/>
        </w:rPr>
        <w:t xml:space="preserve"> </w:t>
      </w:r>
      <w:proofErr w:type="spellStart"/>
      <w:r w:rsidRPr="003A08A7">
        <w:rPr>
          <w:rStyle w:val="markedcontent"/>
          <w:rFonts w:ascii="Gilroy" w:hAnsi="Gilroy" w:cs="Arial"/>
          <w:sz w:val="18"/>
          <w:szCs w:val="18"/>
        </w:rPr>
        <w:t>Fundaciòn</w:t>
      </w:r>
      <w:proofErr w:type="spellEnd"/>
      <w:r w:rsidRPr="003A08A7">
        <w:rPr>
          <w:rStyle w:val="markedcontent"/>
          <w:rFonts w:ascii="Gilroy" w:hAnsi="Gilroy" w:cs="Arial"/>
          <w:sz w:val="18"/>
          <w:szCs w:val="18"/>
        </w:rPr>
        <w:t xml:space="preserve"> </w:t>
      </w:r>
      <w:proofErr w:type="spellStart"/>
      <w:r w:rsidRPr="003A08A7">
        <w:rPr>
          <w:rStyle w:val="markedcontent"/>
          <w:rFonts w:ascii="Gilroy" w:hAnsi="Gilroy" w:cs="Arial"/>
          <w:sz w:val="18"/>
          <w:szCs w:val="18"/>
        </w:rPr>
        <w:t>Datos</w:t>
      </w:r>
      <w:proofErr w:type="spellEnd"/>
      <w:r w:rsidRPr="003A08A7">
        <w:rPr>
          <w:rStyle w:val="markedcontent"/>
          <w:rFonts w:ascii="Gilroy" w:hAnsi="Gilroy" w:cs="Arial"/>
          <w:sz w:val="18"/>
          <w:szCs w:val="18"/>
        </w:rPr>
        <w:t xml:space="preserve"> </w:t>
      </w:r>
      <w:proofErr w:type="spellStart"/>
      <w:r w:rsidRPr="003A08A7">
        <w:rPr>
          <w:rStyle w:val="markedcontent"/>
          <w:rFonts w:ascii="Gilroy" w:hAnsi="Gilroy" w:cs="Arial"/>
          <w:sz w:val="18"/>
          <w:szCs w:val="18"/>
        </w:rPr>
        <w:t>Protegidos</w:t>
      </w:r>
      <w:proofErr w:type="spellEnd"/>
      <w:r w:rsidRPr="003A08A7">
        <w:rPr>
          <w:rStyle w:val="markedcontent"/>
          <w:rFonts w:ascii="Gilroy" w:hAnsi="Gilroy" w:cs="Arial"/>
          <w:sz w:val="18"/>
          <w:szCs w:val="18"/>
        </w:rPr>
        <w:t xml:space="preserve">, Red </w:t>
      </w:r>
      <w:proofErr w:type="spellStart"/>
      <w:r w:rsidRPr="003A08A7">
        <w:rPr>
          <w:rStyle w:val="markedcontent"/>
          <w:rFonts w:ascii="Gilroy" w:hAnsi="Gilroy" w:cs="Arial"/>
          <w:sz w:val="18"/>
          <w:szCs w:val="18"/>
        </w:rPr>
        <w:t>en</w:t>
      </w:r>
      <w:proofErr w:type="spellEnd"/>
      <w:r w:rsidRPr="003A08A7">
        <w:rPr>
          <w:rStyle w:val="markedcontent"/>
          <w:rFonts w:ascii="Gilroy" w:hAnsi="Gilroy" w:cs="Arial"/>
          <w:sz w:val="18"/>
          <w:szCs w:val="18"/>
        </w:rPr>
        <w:t xml:space="preserve"> </w:t>
      </w:r>
      <w:proofErr w:type="spellStart"/>
      <w:r w:rsidRPr="003A08A7">
        <w:rPr>
          <w:rStyle w:val="markedcontent"/>
          <w:rFonts w:ascii="Gilroy" w:hAnsi="Gilroy" w:cs="Arial"/>
          <w:sz w:val="18"/>
          <w:szCs w:val="18"/>
        </w:rPr>
        <w:t>Defensa</w:t>
      </w:r>
      <w:proofErr w:type="spellEnd"/>
      <w:r w:rsidRPr="003A08A7">
        <w:rPr>
          <w:rFonts w:ascii="Gilroy" w:hAnsi="Gilroy"/>
          <w:sz w:val="18"/>
          <w:szCs w:val="18"/>
        </w:rPr>
        <w:t xml:space="preserve"> </w:t>
      </w:r>
      <w:r w:rsidRPr="003A08A7">
        <w:rPr>
          <w:rStyle w:val="markedcontent"/>
          <w:rFonts w:ascii="Gilroy" w:hAnsi="Gilroy" w:cs="Arial"/>
          <w:sz w:val="18"/>
          <w:szCs w:val="18"/>
        </w:rPr>
        <w:t xml:space="preserve">de </w:t>
      </w:r>
      <w:proofErr w:type="spellStart"/>
      <w:r w:rsidRPr="003A08A7">
        <w:rPr>
          <w:rStyle w:val="markedcontent"/>
          <w:rFonts w:ascii="Gilroy" w:hAnsi="Gilroy" w:cs="Arial"/>
          <w:sz w:val="18"/>
          <w:szCs w:val="18"/>
        </w:rPr>
        <w:t>los</w:t>
      </w:r>
      <w:proofErr w:type="spellEnd"/>
      <w:r w:rsidRPr="003A08A7">
        <w:rPr>
          <w:rStyle w:val="markedcontent"/>
          <w:rFonts w:ascii="Gilroy" w:hAnsi="Gilroy" w:cs="Arial"/>
          <w:sz w:val="18"/>
          <w:szCs w:val="18"/>
        </w:rPr>
        <w:t xml:space="preserve"> Derechos </w:t>
      </w:r>
      <w:proofErr w:type="spellStart"/>
      <w:r w:rsidRPr="003A08A7">
        <w:rPr>
          <w:rStyle w:val="markedcontent"/>
          <w:rFonts w:ascii="Gilroy" w:hAnsi="Gilroy" w:cs="Arial"/>
          <w:sz w:val="18"/>
          <w:szCs w:val="18"/>
        </w:rPr>
        <w:t>Digitales</w:t>
      </w:r>
      <w:proofErr w:type="spellEnd"/>
      <w:r w:rsidRPr="003A08A7">
        <w:rPr>
          <w:rStyle w:val="markedcontent"/>
          <w:rFonts w:ascii="Gilroy" w:hAnsi="Gilroy" w:cs="Arial"/>
          <w:sz w:val="18"/>
          <w:szCs w:val="18"/>
        </w:rPr>
        <w:t xml:space="preserve"> and Statewatch</w:t>
      </w:r>
      <w:r w:rsidR="00076299" w:rsidRPr="003A08A7">
        <w:rPr>
          <w:rStyle w:val="markedcontent"/>
          <w:rFonts w:ascii="Gilroy" w:hAnsi="Gilroy" w:cs="Arial"/>
          <w:sz w:val="18"/>
          <w:szCs w:val="18"/>
        </w:rPr>
        <w:t>”</w:t>
      </w:r>
      <w:r w:rsidRPr="003A08A7">
        <w:rPr>
          <w:rStyle w:val="markedcontent"/>
          <w:rFonts w:ascii="Gilroy" w:hAnsi="Gilroy" w:cs="Arial"/>
          <w:sz w:val="18"/>
          <w:szCs w:val="18"/>
        </w:rPr>
        <w:t xml:space="preserve"> </w:t>
      </w:r>
      <w:r w:rsidR="00076299" w:rsidRPr="003A08A7">
        <w:rPr>
          <w:rStyle w:val="markedcontent"/>
          <w:rFonts w:ascii="Gilroy" w:hAnsi="Gilroy" w:cs="Arial"/>
          <w:sz w:val="18"/>
          <w:szCs w:val="18"/>
        </w:rPr>
        <w:t>(</w:t>
      </w:r>
      <w:r w:rsidRPr="003A08A7">
        <w:rPr>
          <w:rStyle w:val="markedcontent"/>
          <w:rFonts w:ascii="Gilroy" w:hAnsi="Gilroy" w:cs="Arial"/>
          <w:sz w:val="18"/>
          <w:szCs w:val="18"/>
        </w:rPr>
        <w:t>May 2020</w:t>
      </w:r>
      <w:r w:rsidR="00076299" w:rsidRPr="003A08A7">
        <w:rPr>
          <w:rStyle w:val="markedcontent"/>
          <w:rFonts w:ascii="Gilroy" w:hAnsi="Gilroy" w:cs="Arial"/>
          <w:sz w:val="18"/>
          <w:szCs w:val="18"/>
        </w:rPr>
        <w:t>)</w:t>
      </w:r>
      <w:r w:rsidRPr="003A08A7">
        <w:rPr>
          <w:rStyle w:val="markedcontent"/>
          <w:rFonts w:ascii="Gilroy" w:hAnsi="Gilroy" w:cs="Arial"/>
          <w:sz w:val="18"/>
          <w:szCs w:val="18"/>
        </w:rPr>
        <w:t xml:space="preserve"> </w:t>
      </w:r>
      <w:hyperlink r:id="rId18" w:history="1">
        <w:r w:rsidRPr="003A08A7">
          <w:rPr>
            <w:rStyle w:val="Hyperlink"/>
            <w:rFonts w:ascii="Gilroy" w:hAnsi="Gilroy" w:cs="Arial"/>
            <w:sz w:val="18"/>
            <w:szCs w:val="18"/>
          </w:rPr>
          <w:t>https://privacyinternational.org/sites/default/files/2020-06/PI%27s%20joint%20UN%20submission%20on%20race%20border%20tech_final.pdf</w:t>
        </w:r>
      </w:hyperlink>
    </w:p>
  </w:footnote>
  <w:footnote w:id="16">
    <w:p w14:paraId="49AEC4BB" w14:textId="4DCA5359"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proofErr w:type="spellStart"/>
      <w:r w:rsidR="00531FC9" w:rsidRPr="003A08A7">
        <w:rPr>
          <w:rFonts w:ascii="Gilroy" w:hAnsi="Gilroy"/>
          <w:sz w:val="18"/>
          <w:szCs w:val="18"/>
        </w:rPr>
        <w:t>Jablonowski</w:t>
      </w:r>
      <w:proofErr w:type="spellEnd"/>
      <w:r w:rsidR="00531FC9" w:rsidRPr="003A08A7">
        <w:rPr>
          <w:rFonts w:ascii="Gilroy" w:hAnsi="Gilroy"/>
          <w:sz w:val="18"/>
          <w:szCs w:val="18"/>
        </w:rPr>
        <w:t xml:space="preserve">, K., </w:t>
      </w:r>
      <w:r w:rsidRPr="003A08A7">
        <w:rPr>
          <w:rFonts w:ascii="Gilroy" w:hAnsi="Gilroy"/>
          <w:sz w:val="18"/>
          <w:szCs w:val="18"/>
        </w:rPr>
        <w:t>Digital Immigration Status: from Logics of Inscription to Logics of Control (2023)</w:t>
      </w:r>
      <w:r w:rsidR="00531FC9" w:rsidRPr="003A08A7">
        <w:rPr>
          <w:rFonts w:ascii="Gilroy" w:hAnsi="Gilroy"/>
          <w:sz w:val="18"/>
          <w:szCs w:val="18"/>
        </w:rPr>
        <w:t>, supra.</w:t>
      </w:r>
    </w:p>
  </w:footnote>
  <w:footnote w:id="17">
    <w:p w14:paraId="50BE25D4" w14:textId="77777777"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 xml:space="preserve">Ibid. </w:t>
      </w:r>
    </w:p>
  </w:footnote>
  <w:footnote w:id="18">
    <w:p w14:paraId="62171DE8" w14:textId="162D18A7" w:rsidR="002F1299" w:rsidRPr="003A08A7" w:rsidRDefault="002F1299"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531FC9" w:rsidRPr="003A08A7">
        <w:rPr>
          <w:rFonts w:ascii="Gilroy" w:hAnsi="Gilroy"/>
          <w:sz w:val="18"/>
          <w:szCs w:val="18"/>
        </w:rPr>
        <w:t xml:space="preserve"> Hermes, “Technologies for Border Surveillance and Control in Italy Identification, Facial Recognition, and European Union Funding” (2021)</w:t>
      </w:r>
      <w:r w:rsidRPr="003A08A7">
        <w:rPr>
          <w:rFonts w:ascii="Gilroy" w:hAnsi="Gilroy"/>
          <w:sz w:val="18"/>
          <w:szCs w:val="18"/>
        </w:rPr>
        <w:t xml:space="preserve"> </w:t>
      </w:r>
      <w:hyperlink r:id="rId19" w:history="1">
        <w:r w:rsidRPr="003A08A7">
          <w:rPr>
            <w:rStyle w:val="Hyperlink"/>
            <w:rFonts w:ascii="Gilroy" w:hAnsi="Gilroy"/>
            <w:sz w:val="18"/>
            <w:szCs w:val="18"/>
          </w:rPr>
          <w:t>https://www.documentcloud.org/documents/21200979-technologies-for-border-surveillance-and-control-in-italy-identification-facial-recognition-and-european-union-funding?responsive=1&amp;title=1</w:t>
        </w:r>
      </w:hyperlink>
      <w:r w:rsidRPr="003A08A7">
        <w:rPr>
          <w:rFonts w:ascii="Gilroy" w:hAnsi="Gilroy"/>
          <w:sz w:val="18"/>
          <w:szCs w:val="18"/>
        </w:rPr>
        <w:t xml:space="preserve"> </w:t>
      </w:r>
    </w:p>
  </w:footnote>
  <w:footnote w:id="19">
    <w:p w14:paraId="49C2F138" w14:textId="2A8ABB4A" w:rsidR="003A08A7" w:rsidRPr="0069522A" w:rsidRDefault="003A08A7" w:rsidP="003A08A7">
      <w:pPr>
        <w:pStyle w:val="FootnoteText"/>
        <w:jc w:val="both"/>
        <w:rPr>
          <w:lang w:val="en-GB"/>
        </w:rPr>
      </w:pPr>
      <w:r>
        <w:rPr>
          <w:rStyle w:val="FootnoteReference"/>
        </w:rPr>
        <w:footnoteRef/>
      </w:r>
      <w:r>
        <w:t xml:space="preserve"> </w:t>
      </w:r>
      <w:r w:rsidRPr="00BF178A">
        <w:rPr>
          <w:rFonts w:ascii="Gilroy" w:hAnsi="Gilroy"/>
          <w:sz w:val="18"/>
          <w:szCs w:val="18"/>
        </w:rPr>
        <w:t>PI, “</w:t>
      </w:r>
      <w:r w:rsidRPr="00BF178A">
        <w:rPr>
          <w:rFonts w:ascii="Gilroy" w:hAnsi="Gilroy"/>
          <w:sz w:val="18"/>
          <w:szCs w:val="18"/>
          <w:lang w:val="en-GB"/>
        </w:rPr>
        <w:t>Privacy International’s contribution to Global Virtual Summit on</w:t>
      </w:r>
      <w:r>
        <w:rPr>
          <w:rFonts w:ascii="Gilroy" w:hAnsi="Gilroy"/>
          <w:sz w:val="18"/>
          <w:szCs w:val="18"/>
          <w:lang w:val="en-GB"/>
        </w:rPr>
        <w:t xml:space="preserve"> </w:t>
      </w:r>
      <w:r w:rsidRPr="00BF178A">
        <w:rPr>
          <w:rFonts w:ascii="Gilroy" w:hAnsi="Gilroy"/>
          <w:sz w:val="18"/>
          <w:szCs w:val="18"/>
          <w:lang w:val="en-GB"/>
        </w:rPr>
        <w:t xml:space="preserve">digital identity” (2019) </w:t>
      </w:r>
      <w:r w:rsidRPr="00BF178A">
        <w:rPr>
          <w:rFonts w:ascii="Gilroy" w:hAnsi="Gilroy"/>
          <w:sz w:val="18"/>
          <w:szCs w:val="18"/>
        </w:rPr>
        <w:t>https://privacyinternational.org/sites/default/files/2019-05/Global%20Virtual%20Summit%20submission-%20Privacy%20International.pdf</w:t>
      </w:r>
    </w:p>
  </w:footnote>
  <w:footnote w:id="20">
    <w:p w14:paraId="61BE2FA1" w14:textId="36D624C9" w:rsidR="002F1299" w:rsidRPr="003A08A7" w:rsidRDefault="002F1299"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531FC9" w:rsidRPr="003A08A7">
        <w:rPr>
          <w:rFonts w:ascii="Gilroy" w:hAnsi="Gilroy"/>
          <w:sz w:val="18"/>
          <w:szCs w:val="18"/>
        </w:rPr>
        <w:t xml:space="preserve">HRW, “UN Shared Rohingya Data Without Informed Consent” (2021)  </w:t>
      </w:r>
      <w:hyperlink r:id="rId20" w:history="1">
        <w:r w:rsidR="00531FC9" w:rsidRPr="003A08A7">
          <w:rPr>
            <w:rStyle w:val="Hyperlink"/>
            <w:rFonts w:ascii="Gilroy" w:hAnsi="Gilroy"/>
            <w:sz w:val="18"/>
            <w:szCs w:val="18"/>
          </w:rPr>
          <w:t>https://www.hrw.org/news/2021/06/15/un-shared-rohingya-data-without-informed-consent</w:t>
        </w:r>
      </w:hyperlink>
    </w:p>
  </w:footnote>
  <w:footnote w:id="21">
    <w:p w14:paraId="195B19F2" w14:textId="5DFFB45E" w:rsidR="003A08A7" w:rsidRPr="003A08A7" w:rsidRDefault="003A08A7"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proofErr w:type="spellStart"/>
      <w:r w:rsidRPr="003A08A7">
        <w:rPr>
          <w:rFonts w:ascii="Gilroy" w:hAnsi="Gilroy"/>
          <w:sz w:val="18"/>
          <w:szCs w:val="18"/>
        </w:rPr>
        <w:t>Weitzberg</w:t>
      </w:r>
      <w:proofErr w:type="spellEnd"/>
      <w:r w:rsidRPr="003A08A7">
        <w:rPr>
          <w:rFonts w:ascii="Gilroy" w:hAnsi="Gilroy"/>
          <w:sz w:val="18"/>
          <w:szCs w:val="18"/>
        </w:rPr>
        <w:t xml:space="preserve">, K., “In Kenya, thousands left in limbo without ID cards”, Coda Story, 13 April 2020, </w:t>
      </w:r>
      <w:hyperlink r:id="rId21" w:history="1">
        <w:r w:rsidRPr="003A08A7">
          <w:rPr>
            <w:rStyle w:val="Hyperlink"/>
            <w:rFonts w:ascii="Gilroy" w:hAnsi="Gilroy"/>
            <w:sz w:val="18"/>
            <w:szCs w:val="18"/>
          </w:rPr>
          <w:t>https://www.codastory.com/authoritarian-tech/kenya-biometrics-double-registration/</w:t>
        </w:r>
      </w:hyperlink>
      <w:r w:rsidRPr="003A08A7">
        <w:rPr>
          <w:rFonts w:ascii="Gilroy" w:hAnsi="Gilroy"/>
          <w:sz w:val="18"/>
          <w:szCs w:val="18"/>
        </w:rPr>
        <w:t>;</w:t>
      </w:r>
      <w:r w:rsidRPr="003A08A7">
        <w:rPr>
          <w:rFonts w:ascii="Gilroy" w:hAnsi="Gilroy"/>
          <w:sz w:val="18"/>
          <w:szCs w:val="18"/>
        </w:rPr>
        <w:t xml:space="preserve"> PI, “When ID leaves you without identity: the case of double registration in Kenya” (2021) </w:t>
      </w:r>
      <w:hyperlink r:id="rId22" w:history="1">
        <w:r w:rsidRPr="003A08A7">
          <w:rPr>
            <w:rStyle w:val="Hyperlink"/>
            <w:rFonts w:ascii="Gilroy" w:hAnsi="Gilroy"/>
            <w:sz w:val="18"/>
            <w:szCs w:val="18"/>
          </w:rPr>
          <w:t>https://privacyinternational.org/video/4412/when-id-leaves-you-without-identity-case-double-registration-kenya</w:t>
        </w:r>
      </w:hyperlink>
    </w:p>
  </w:footnote>
  <w:footnote w:id="22">
    <w:p w14:paraId="4B941A60" w14:textId="504E1088" w:rsidR="00E4540A" w:rsidRPr="003A08A7" w:rsidRDefault="00E4540A" w:rsidP="003A08A7">
      <w:pPr>
        <w:pStyle w:val="FootnoteText"/>
        <w:jc w:val="both"/>
        <w:rPr>
          <w:rFonts w:ascii="Gilroy" w:hAnsi="Gilroy"/>
          <w:sz w:val="18"/>
          <w:szCs w:val="18"/>
        </w:rPr>
      </w:pPr>
      <w:r w:rsidRPr="003A08A7">
        <w:rPr>
          <w:rStyle w:val="FootnoteReference"/>
          <w:rFonts w:ascii="Gilroy" w:hAnsi="Gilroy"/>
          <w:sz w:val="18"/>
          <w:szCs w:val="18"/>
        </w:rPr>
        <w:footnoteRef/>
      </w:r>
      <w:r w:rsidRPr="003A08A7">
        <w:rPr>
          <w:rFonts w:ascii="Gilroy" w:hAnsi="Gilroy"/>
          <w:sz w:val="18"/>
          <w:szCs w:val="18"/>
        </w:rPr>
        <w:t xml:space="preserve"> UK Home Office, Immigration bail Version 15.0</w:t>
      </w:r>
      <w:r w:rsidR="00531FC9" w:rsidRPr="003A08A7">
        <w:rPr>
          <w:rFonts w:ascii="Gilroy" w:hAnsi="Gilroy"/>
          <w:sz w:val="18"/>
          <w:szCs w:val="18"/>
        </w:rPr>
        <w:t xml:space="preserve"> (2023)</w:t>
      </w:r>
      <w:r w:rsidRPr="003A08A7">
        <w:rPr>
          <w:rFonts w:ascii="Gilroy" w:hAnsi="Gilroy"/>
          <w:sz w:val="18"/>
          <w:szCs w:val="18"/>
        </w:rPr>
        <w:t xml:space="preserve"> </w:t>
      </w:r>
      <w:hyperlink r:id="rId23" w:history="1">
        <w:r w:rsidR="00531FC9" w:rsidRPr="003A08A7">
          <w:rPr>
            <w:rStyle w:val="Hyperlink"/>
            <w:rFonts w:ascii="Gilroy" w:hAnsi="Gilroy"/>
            <w:sz w:val="18"/>
            <w:szCs w:val="18"/>
          </w:rPr>
          <w:t>https://assets.publishing.service.gov.uk/government/uploads/system/uploads/attachment_data/file/1132640/Immigration_bail.pdf</w:t>
        </w:r>
      </w:hyperlink>
      <w:r w:rsidR="00531FC9" w:rsidRPr="003A08A7">
        <w:rPr>
          <w:rFonts w:ascii="Gilroy" w:hAnsi="Gilroy"/>
          <w:sz w:val="18"/>
          <w:szCs w:val="18"/>
        </w:rPr>
        <w:t xml:space="preserve"> </w:t>
      </w:r>
    </w:p>
  </w:footnote>
  <w:footnote w:id="23">
    <w:p w14:paraId="1727E6DA" w14:textId="57523728" w:rsidR="00631B76" w:rsidRPr="003A08A7" w:rsidRDefault="00631B76"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531FC9" w:rsidRPr="003A08A7">
        <w:rPr>
          <w:rFonts w:ascii="Gilroy" w:hAnsi="Gilroy"/>
          <w:sz w:val="18"/>
          <w:szCs w:val="18"/>
        </w:rPr>
        <w:t xml:space="preserve"> PI, “Electronic monitoring using GPS tags: a tech primer” (2022)</w:t>
      </w:r>
      <w:r w:rsidRPr="003A08A7">
        <w:rPr>
          <w:rFonts w:ascii="Gilroy" w:hAnsi="Gilroy"/>
          <w:sz w:val="18"/>
          <w:szCs w:val="18"/>
        </w:rPr>
        <w:t xml:space="preserve"> </w:t>
      </w:r>
      <w:hyperlink r:id="rId24" w:history="1">
        <w:r w:rsidRPr="003A08A7">
          <w:rPr>
            <w:rStyle w:val="Hyperlink"/>
            <w:rFonts w:ascii="Gilroy" w:hAnsi="Gilroy"/>
            <w:sz w:val="18"/>
            <w:szCs w:val="18"/>
          </w:rPr>
          <w:t>https://privacyinternational.org/explainer/4796/electronic-monitoring-using-gps-tags-tech-primer</w:t>
        </w:r>
      </w:hyperlink>
      <w:r w:rsidRPr="003A08A7">
        <w:rPr>
          <w:rFonts w:ascii="Gilroy" w:hAnsi="Gilroy"/>
          <w:sz w:val="18"/>
          <w:szCs w:val="18"/>
        </w:rPr>
        <w:t xml:space="preserve"> </w:t>
      </w:r>
    </w:p>
  </w:footnote>
  <w:footnote w:id="24">
    <w:p w14:paraId="1159E3AF" w14:textId="5DDCFF41"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631B76" w:rsidRPr="003A08A7">
        <w:rPr>
          <w:rFonts w:ascii="Gilroy" w:hAnsi="Gilroy"/>
          <w:sz w:val="18"/>
          <w:szCs w:val="18"/>
        </w:rPr>
        <w:t xml:space="preserve">The Home Office has used electronic monitoring (EM) to track migrants since 2004. An EM condition can be imposed on anyone in the UK on immigration bail, which is granted to migrants who are not in immigration detention and who do not have leave to remain in the UK </w:t>
      </w:r>
      <w:hyperlink r:id="rId25" w:history="1">
        <w:r w:rsidR="00631B76" w:rsidRPr="003A08A7">
          <w:rPr>
            <w:rStyle w:val="Hyperlink"/>
            <w:rFonts w:ascii="Gilroy" w:hAnsi="Gilroy"/>
            <w:sz w:val="18"/>
            <w:szCs w:val="18"/>
          </w:rPr>
          <w:t>https://www.legislation.gov.uk/ukpga/2004/19/section/36</w:t>
        </w:r>
      </w:hyperlink>
      <w:r w:rsidR="00631B76" w:rsidRPr="003A08A7">
        <w:rPr>
          <w:rFonts w:ascii="Gilroy" w:hAnsi="Gilroy"/>
          <w:sz w:val="18"/>
          <w:szCs w:val="18"/>
        </w:rPr>
        <w:t>;</w:t>
      </w:r>
    </w:p>
  </w:footnote>
  <w:footnote w:id="25">
    <w:p w14:paraId="1FC36918" w14:textId="6CB871BF" w:rsidR="006902FB" w:rsidRPr="003A08A7" w:rsidRDefault="006902FB" w:rsidP="003A08A7">
      <w:pPr>
        <w:pStyle w:val="FootnoteText"/>
        <w:jc w:val="both"/>
        <w:rPr>
          <w:rFonts w:ascii="Gilroy" w:hAnsi="Gilroy"/>
          <w:sz w:val="18"/>
          <w:szCs w:val="18"/>
        </w:rPr>
      </w:pPr>
      <w:r w:rsidRPr="003A08A7">
        <w:rPr>
          <w:rStyle w:val="FootnoteReference"/>
          <w:rFonts w:ascii="Gilroy" w:hAnsi="Gilroy"/>
          <w:sz w:val="18"/>
          <w:szCs w:val="18"/>
        </w:rPr>
        <w:footnoteRef/>
      </w:r>
      <w:r w:rsidR="00531FC9" w:rsidRPr="003A08A7">
        <w:rPr>
          <w:rFonts w:ascii="Gilroy" w:hAnsi="Gilroy"/>
          <w:sz w:val="18"/>
          <w:szCs w:val="18"/>
        </w:rPr>
        <w:t xml:space="preserve"> UK Home Office, “Immigration bail conditions: Electronic monitoring (EM) expansion pilot” (2022) </w:t>
      </w:r>
      <w:hyperlink r:id="rId26" w:history="1">
        <w:r w:rsidR="00531FC9" w:rsidRPr="003A08A7">
          <w:rPr>
            <w:rStyle w:val="Hyperlink"/>
            <w:rFonts w:ascii="Gilroy" w:hAnsi="Gilroy"/>
            <w:sz w:val="18"/>
            <w:szCs w:val="18"/>
          </w:rPr>
          <w:t>https://assets.publishing.service.gov.uk/government/uploads/system/uploads/attachment_data/file/1082956/Immigration_bail_conditions_-_Electronic_Monitoring__EM__Expansion_pilot.pdf</w:t>
        </w:r>
      </w:hyperlink>
      <w:r w:rsidRPr="003A08A7">
        <w:rPr>
          <w:rFonts w:ascii="Gilroy" w:hAnsi="Gilroy"/>
          <w:sz w:val="18"/>
          <w:szCs w:val="18"/>
        </w:rPr>
        <w:t xml:space="preserve"> </w:t>
      </w:r>
    </w:p>
  </w:footnote>
  <w:footnote w:id="26">
    <w:p w14:paraId="2490547C" w14:textId="02395641" w:rsidR="0003134B" w:rsidRPr="003A08A7" w:rsidRDefault="0003134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 xml:space="preserve">UNHCR UK, </w:t>
      </w:r>
      <w:r w:rsidR="00531FC9" w:rsidRPr="003A08A7">
        <w:rPr>
          <w:rFonts w:ascii="Gilroy" w:hAnsi="Gilroy"/>
          <w:sz w:val="18"/>
          <w:szCs w:val="18"/>
          <w:lang w:val="en-GB"/>
        </w:rPr>
        <w:t>“</w:t>
      </w:r>
      <w:r w:rsidRPr="003A08A7">
        <w:rPr>
          <w:rFonts w:ascii="Gilroy" w:hAnsi="Gilroy"/>
          <w:sz w:val="18"/>
          <w:szCs w:val="18"/>
          <w:lang w:val="en-GB"/>
        </w:rPr>
        <w:t>UK asylum and policy</w:t>
      </w:r>
      <w:r w:rsidR="00531FC9" w:rsidRPr="003A08A7">
        <w:rPr>
          <w:rFonts w:ascii="Gilroy" w:hAnsi="Gilroy"/>
          <w:sz w:val="18"/>
          <w:szCs w:val="18"/>
          <w:lang w:val="en-GB"/>
        </w:rPr>
        <w:t>” (2023)</w:t>
      </w:r>
      <w:r w:rsidRPr="003A08A7">
        <w:rPr>
          <w:rFonts w:ascii="Gilroy" w:hAnsi="Gilroy"/>
          <w:sz w:val="18"/>
          <w:szCs w:val="18"/>
          <w:lang w:val="en-GB"/>
        </w:rPr>
        <w:t xml:space="preserve"> </w:t>
      </w:r>
      <w:hyperlink r:id="rId27" w:history="1">
        <w:r w:rsidR="00531FC9" w:rsidRPr="003A08A7">
          <w:rPr>
            <w:rStyle w:val="Hyperlink"/>
            <w:rFonts w:ascii="Gilroy" w:hAnsi="Gilroy"/>
            <w:sz w:val="18"/>
            <w:szCs w:val="18"/>
          </w:rPr>
          <w:t>https://www.unhcr.org/uk/uk-asylum-and-policy</w:t>
        </w:r>
      </w:hyperlink>
      <w:r w:rsidR="00531FC9" w:rsidRPr="003A08A7">
        <w:rPr>
          <w:rFonts w:ascii="Gilroy" w:hAnsi="Gilroy"/>
          <w:sz w:val="18"/>
          <w:szCs w:val="18"/>
          <w:lang w:val="en-GB"/>
        </w:rPr>
        <w:t xml:space="preserve"> </w:t>
      </w:r>
    </w:p>
  </w:footnote>
  <w:footnote w:id="27">
    <w:p w14:paraId="6B704C56" w14:textId="78E52575"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531FC9" w:rsidRPr="003A08A7">
        <w:rPr>
          <w:rFonts w:ascii="Gilroy" w:hAnsi="Gilroy"/>
          <w:sz w:val="18"/>
          <w:szCs w:val="18"/>
        </w:rPr>
        <w:t xml:space="preserve"> UK Home Office, Immigration bail Version 15.0 (2023) </w:t>
      </w:r>
      <w:hyperlink r:id="rId28" w:history="1">
        <w:r w:rsidR="008D6A0F" w:rsidRPr="003A08A7">
          <w:rPr>
            <w:rStyle w:val="Hyperlink"/>
            <w:rFonts w:ascii="Gilroy" w:hAnsi="Gilroy"/>
            <w:sz w:val="18"/>
            <w:szCs w:val="18"/>
          </w:rPr>
          <w:t>https://assets.publishing.service.gov.uk/government/uploads/system/uploads/attachment_data/file/1132640/Immigration_bail.pdf</w:t>
        </w:r>
      </w:hyperlink>
      <w:r w:rsidRPr="003A08A7">
        <w:rPr>
          <w:rFonts w:ascii="Gilroy" w:hAnsi="Gilroy"/>
          <w:sz w:val="18"/>
          <w:szCs w:val="18"/>
        </w:rPr>
        <w:t xml:space="preserve"> </w:t>
      </w:r>
    </w:p>
  </w:footnote>
  <w:footnote w:id="28">
    <w:p w14:paraId="2699134B" w14:textId="05828B65" w:rsidR="0003134B" w:rsidRPr="003A08A7" w:rsidRDefault="0003134B" w:rsidP="003A08A7">
      <w:pPr>
        <w:pStyle w:val="FootnoteText"/>
        <w:jc w:val="both"/>
        <w:rPr>
          <w:rFonts w:ascii="Gilroy" w:hAnsi="Gilroy"/>
          <w:sz w:val="18"/>
          <w:szCs w:val="18"/>
        </w:rPr>
      </w:pPr>
      <w:r w:rsidRPr="003A08A7">
        <w:rPr>
          <w:rStyle w:val="FootnoteReference"/>
          <w:rFonts w:ascii="Gilroy" w:hAnsi="Gilroy"/>
          <w:sz w:val="18"/>
          <w:szCs w:val="18"/>
        </w:rPr>
        <w:footnoteRef/>
      </w:r>
      <w:r w:rsidRPr="003A08A7">
        <w:rPr>
          <w:rFonts w:ascii="Gilroy" w:hAnsi="Gilroy"/>
          <w:sz w:val="18"/>
          <w:szCs w:val="18"/>
        </w:rPr>
        <w:t xml:space="preserve"> PI, </w:t>
      </w:r>
      <w:r w:rsidR="008D6A0F" w:rsidRPr="003A08A7">
        <w:rPr>
          <w:rFonts w:ascii="Gilroy" w:hAnsi="Gilroy"/>
          <w:sz w:val="18"/>
          <w:szCs w:val="18"/>
        </w:rPr>
        <w:t>“</w:t>
      </w:r>
      <w:r w:rsidRPr="003A08A7">
        <w:rPr>
          <w:rFonts w:ascii="Gilroy" w:hAnsi="Gilroy"/>
          <w:sz w:val="18"/>
          <w:szCs w:val="18"/>
        </w:rPr>
        <w:t>Challenge to the UK’s GPS tagging of migrants</w:t>
      </w:r>
      <w:r w:rsidR="008D6A0F" w:rsidRPr="003A08A7">
        <w:rPr>
          <w:rFonts w:ascii="Gilroy" w:hAnsi="Gilroy"/>
          <w:sz w:val="18"/>
          <w:szCs w:val="18"/>
        </w:rPr>
        <w:t>”</w:t>
      </w:r>
      <w:r w:rsidRPr="003A08A7">
        <w:rPr>
          <w:rFonts w:ascii="Gilroy" w:hAnsi="Gilroy"/>
          <w:sz w:val="18"/>
          <w:szCs w:val="18"/>
        </w:rPr>
        <w:t xml:space="preserve">, </w:t>
      </w:r>
      <w:hyperlink r:id="rId29" w:history="1">
        <w:r w:rsidRPr="003A08A7">
          <w:rPr>
            <w:rStyle w:val="Hyperlink"/>
            <w:rFonts w:ascii="Gilroy" w:hAnsi="Gilroy"/>
            <w:sz w:val="18"/>
            <w:szCs w:val="18"/>
          </w:rPr>
          <w:t>https://privacyinternational.org/legal-action/challenge-uks-gps-tagging-migrants</w:t>
        </w:r>
      </w:hyperlink>
      <w:r w:rsidRPr="003A08A7">
        <w:rPr>
          <w:rFonts w:ascii="Gilroy" w:hAnsi="Gilroy"/>
          <w:sz w:val="18"/>
          <w:szCs w:val="18"/>
        </w:rPr>
        <w:t>; Lewis</w:t>
      </w:r>
      <w:r w:rsidR="008D6A0F" w:rsidRPr="003A08A7">
        <w:rPr>
          <w:rFonts w:ascii="Gilroy" w:hAnsi="Gilroy"/>
          <w:sz w:val="18"/>
          <w:szCs w:val="18"/>
        </w:rPr>
        <w:t xml:space="preserve"> D.</w:t>
      </w:r>
      <w:r w:rsidRPr="003A08A7">
        <w:rPr>
          <w:rFonts w:ascii="Gilroy" w:hAnsi="Gilroy"/>
          <w:sz w:val="18"/>
          <w:szCs w:val="18"/>
        </w:rPr>
        <w:t xml:space="preserve">, </w:t>
      </w:r>
      <w:r w:rsidR="008D6A0F" w:rsidRPr="003A08A7">
        <w:rPr>
          <w:rFonts w:ascii="Gilroy" w:hAnsi="Gilroy"/>
          <w:sz w:val="18"/>
          <w:szCs w:val="18"/>
        </w:rPr>
        <w:t>“</w:t>
      </w:r>
      <w:r w:rsidRPr="003A08A7">
        <w:rPr>
          <w:rFonts w:ascii="Gilroy" w:hAnsi="Gilroy"/>
          <w:sz w:val="18"/>
          <w:szCs w:val="18"/>
        </w:rPr>
        <w:t>Permission to Apply for Judicial Review Granted for Duncan Lewis Challenge to GPS tracking by the Home Office</w:t>
      </w:r>
      <w:r w:rsidR="008D6A0F" w:rsidRPr="003A08A7">
        <w:rPr>
          <w:rFonts w:ascii="Gilroy" w:hAnsi="Gilroy"/>
          <w:sz w:val="18"/>
          <w:szCs w:val="18"/>
        </w:rPr>
        <w:t>” (2023)</w:t>
      </w:r>
      <w:r w:rsidRPr="003A08A7">
        <w:rPr>
          <w:rFonts w:ascii="Gilroy" w:hAnsi="Gilroy"/>
          <w:sz w:val="18"/>
          <w:szCs w:val="18"/>
        </w:rPr>
        <w:t xml:space="preserve"> </w:t>
      </w:r>
      <w:hyperlink r:id="rId30" w:history="1">
        <w:r w:rsidR="008D6A0F" w:rsidRPr="003A08A7">
          <w:rPr>
            <w:rStyle w:val="Hyperlink"/>
            <w:rFonts w:ascii="Gilroy" w:hAnsi="Gilroy"/>
            <w:sz w:val="18"/>
            <w:szCs w:val="18"/>
          </w:rPr>
          <w:t>https://www.duncanlewis.co.uk/news/Permission_to_Apply_for_Judicial_Review_Granted_for_Duncan_Lewis_Challenge_to_GPS_tracking_by_the_Home_Office__(31_March_2023).html</w:t>
        </w:r>
      </w:hyperlink>
      <w:r w:rsidR="008D6A0F" w:rsidRPr="003A08A7">
        <w:rPr>
          <w:rFonts w:ascii="Gilroy" w:hAnsi="Gilroy"/>
          <w:sz w:val="18"/>
          <w:szCs w:val="18"/>
        </w:rPr>
        <w:t xml:space="preserve"> </w:t>
      </w:r>
    </w:p>
  </w:footnote>
  <w:footnote w:id="29">
    <w:p w14:paraId="132A51E5" w14:textId="70F11442"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8D6A0F" w:rsidRPr="003A08A7">
        <w:rPr>
          <w:rFonts w:ascii="Gilroy" w:hAnsi="Gilroy"/>
          <w:sz w:val="18"/>
          <w:szCs w:val="18"/>
        </w:rPr>
        <w:t xml:space="preserve"> Aguilera J., “U.S. Officials Deploy Technology to Track More Than 200,000 Immigrants, Triggering a New Privacy Lawsuit”, Time, 18 April 2022,</w:t>
      </w:r>
      <w:r w:rsidRPr="003A08A7">
        <w:rPr>
          <w:rFonts w:ascii="Gilroy" w:hAnsi="Gilroy"/>
          <w:sz w:val="18"/>
          <w:szCs w:val="18"/>
        </w:rPr>
        <w:t xml:space="preserve"> </w:t>
      </w:r>
      <w:hyperlink r:id="rId31" w:history="1">
        <w:r w:rsidRPr="003A08A7">
          <w:rPr>
            <w:rStyle w:val="Hyperlink"/>
            <w:rFonts w:ascii="Gilroy" w:hAnsi="Gilroy"/>
            <w:sz w:val="18"/>
            <w:szCs w:val="18"/>
          </w:rPr>
          <w:t>https://time.com/6167467/immigrant-tracking-ice-technology-data/</w:t>
        </w:r>
      </w:hyperlink>
      <w:r w:rsidRPr="003A08A7">
        <w:rPr>
          <w:rFonts w:ascii="Gilroy" w:hAnsi="Gilroy"/>
          <w:sz w:val="18"/>
          <w:szCs w:val="18"/>
        </w:rPr>
        <w:t xml:space="preserve">. </w:t>
      </w:r>
    </w:p>
  </w:footnote>
  <w:footnote w:id="30">
    <w:p w14:paraId="59947A35" w14:textId="77777777"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 xml:space="preserve">Ibid. </w:t>
      </w:r>
    </w:p>
  </w:footnote>
  <w:footnote w:id="31">
    <w:p w14:paraId="3021300D" w14:textId="7C2A522B"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proofErr w:type="spellStart"/>
      <w:r w:rsidR="008D6A0F" w:rsidRPr="003A08A7">
        <w:rPr>
          <w:rFonts w:ascii="Gilroy" w:hAnsi="Gilroy"/>
          <w:sz w:val="18"/>
          <w:szCs w:val="18"/>
        </w:rPr>
        <w:t>BiD</w:t>
      </w:r>
      <w:proofErr w:type="spellEnd"/>
      <w:r w:rsidR="008D6A0F" w:rsidRPr="003A08A7">
        <w:rPr>
          <w:rFonts w:ascii="Gilroy" w:hAnsi="Gilroy"/>
          <w:sz w:val="18"/>
          <w:szCs w:val="18"/>
        </w:rPr>
        <w:t>, Medical Justice &amp; Public Law Project, “</w:t>
      </w:r>
      <w:r w:rsidRPr="003A08A7">
        <w:rPr>
          <w:rStyle w:val="markedcontent"/>
          <w:rFonts w:ascii="Gilroy" w:hAnsi="Gilroy" w:cs="Arial"/>
          <w:sz w:val="18"/>
          <w:szCs w:val="18"/>
        </w:rPr>
        <w:t>Every Move You Make: The Human Cost of GPS Tagging in the Immigration System</w:t>
      </w:r>
      <w:r w:rsidR="008D6A0F" w:rsidRPr="003A08A7">
        <w:rPr>
          <w:rStyle w:val="markedcontent"/>
          <w:rFonts w:ascii="Gilroy" w:hAnsi="Gilroy" w:cs="Arial"/>
          <w:sz w:val="18"/>
          <w:szCs w:val="18"/>
        </w:rPr>
        <w:t>” (2022)</w:t>
      </w:r>
      <w:r w:rsidRPr="003A08A7">
        <w:rPr>
          <w:rStyle w:val="markedcontent"/>
          <w:rFonts w:ascii="Gilroy" w:hAnsi="Gilroy" w:cs="Arial"/>
          <w:sz w:val="18"/>
          <w:szCs w:val="18"/>
        </w:rPr>
        <w:t xml:space="preserve"> </w:t>
      </w:r>
      <w:hyperlink r:id="rId32" w:history="1">
        <w:r w:rsidRPr="003A08A7">
          <w:rPr>
            <w:rStyle w:val="Hyperlink"/>
            <w:rFonts w:ascii="Gilroy" w:hAnsi="Gilroy" w:cs="Arial"/>
            <w:sz w:val="18"/>
            <w:szCs w:val="18"/>
          </w:rPr>
          <w:t>https://hubble-live-assets.s3.amazonaws.com/biduk/file_asset/file/682/GPS_Tagging_Report_Final.pdf</w:t>
        </w:r>
      </w:hyperlink>
      <w:r w:rsidRPr="003A08A7">
        <w:rPr>
          <w:rStyle w:val="markedcontent"/>
          <w:rFonts w:ascii="Gilroy" w:hAnsi="Gilroy" w:cs="Arial"/>
          <w:sz w:val="18"/>
          <w:szCs w:val="18"/>
        </w:rPr>
        <w:t xml:space="preserve"> </w:t>
      </w:r>
    </w:p>
  </w:footnote>
  <w:footnote w:id="32">
    <w:p w14:paraId="043D32AD" w14:textId="6B5D5E3E"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8D6A0F" w:rsidRPr="003A08A7">
        <w:rPr>
          <w:rFonts w:ascii="Gilroy" w:hAnsi="Gilroy"/>
          <w:sz w:val="18"/>
          <w:szCs w:val="18"/>
        </w:rPr>
        <w:t xml:space="preserve"> PI, “At the border, asylum seekers are "guilty until proven innocent"” (2020)</w:t>
      </w:r>
      <w:r w:rsidRPr="003A08A7">
        <w:rPr>
          <w:rFonts w:ascii="Gilroy" w:hAnsi="Gilroy"/>
          <w:sz w:val="18"/>
          <w:szCs w:val="18"/>
        </w:rPr>
        <w:t xml:space="preserve"> </w:t>
      </w:r>
      <w:hyperlink r:id="rId33" w:history="1">
        <w:r w:rsidRPr="003A08A7">
          <w:rPr>
            <w:rStyle w:val="Hyperlink"/>
            <w:rFonts w:ascii="Gilroy" w:hAnsi="Gilroy"/>
            <w:sz w:val="18"/>
            <w:szCs w:val="18"/>
          </w:rPr>
          <w:t>https://privacyinternational.org/long-read/3938/border-asylum-seekers-are-guilty-until-proven-innocent</w:t>
        </w:r>
      </w:hyperlink>
      <w:r w:rsidRPr="003A08A7">
        <w:rPr>
          <w:rFonts w:ascii="Gilroy" w:hAnsi="Gilroy"/>
          <w:sz w:val="18"/>
          <w:szCs w:val="18"/>
        </w:rPr>
        <w:t xml:space="preserve"> </w:t>
      </w:r>
    </w:p>
  </w:footnote>
  <w:footnote w:id="33">
    <w:p w14:paraId="3752D987" w14:textId="36F9EAF7" w:rsidR="00BC15E2" w:rsidRPr="003A08A7" w:rsidRDefault="00BC15E2"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See</w:t>
      </w:r>
      <w:r w:rsidR="008D6A0F" w:rsidRPr="003A08A7">
        <w:rPr>
          <w:rFonts w:ascii="Gilroy" w:hAnsi="Gilroy"/>
          <w:sz w:val="18"/>
          <w:szCs w:val="18"/>
          <w:lang w:val="en-GB"/>
        </w:rPr>
        <w:t xml:space="preserve"> PI, “Privacy International’s submission to UNSR: “Human Rights Violations At International Borders: Trends, Prevention And Accountability” (2022)</w:t>
      </w:r>
      <w:r w:rsidRPr="003A08A7">
        <w:rPr>
          <w:rFonts w:ascii="Gilroy" w:hAnsi="Gilroy"/>
          <w:sz w:val="18"/>
          <w:szCs w:val="18"/>
          <w:lang w:val="en-GB"/>
        </w:rPr>
        <w:t xml:space="preserve"> </w:t>
      </w:r>
      <w:hyperlink r:id="rId34" w:history="1">
        <w:r w:rsidRPr="003A08A7">
          <w:rPr>
            <w:rStyle w:val="Hyperlink"/>
            <w:rFonts w:ascii="Gilroy" w:hAnsi="Gilroy"/>
            <w:sz w:val="18"/>
            <w:szCs w:val="18"/>
            <w:lang w:val="en-GB"/>
          </w:rPr>
          <w:t>https://privacyinternational.org/advocacy/4931/privacy-internationals-submission-unsr-human-rights-violations-international-borders</w:t>
        </w:r>
      </w:hyperlink>
      <w:r w:rsidRPr="003A08A7">
        <w:rPr>
          <w:rFonts w:ascii="Gilroy" w:hAnsi="Gilroy"/>
          <w:sz w:val="18"/>
          <w:szCs w:val="18"/>
          <w:lang w:val="en-GB"/>
        </w:rPr>
        <w:t>;</w:t>
      </w:r>
      <w:r w:rsidR="008D6A0F" w:rsidRPr="003A08A7">
        <w:rPr>
          <w:rFonts w:ascii="Gilroy" w:hAnsi="Gilroy"/>
          <w:sz w:val="18"/>
          <w:szCs w:val="18"/>
          <w:lang w:val="en-GB"/>
        </w:rPr>
        <w:t xml:space="preserve"> </w:t>
      </w:r>
      <w:proofErr w:type="spellStart"/>
      <w:r w:rsidRPr="003A08A7">
        <w:rPr>
          <w:rFonts w:ascii="Gilroy" w:hAnsi="Gilroy"/>
          <w:sz w:val="18"/>
          <w:szCs w:val="18"/>
          <w:lang w:val="en-GB"/>
        </w:rPr>
        <w:t>Meaker</w:t>
      </w:r>
      <w:proofErr w:type="spellEnd"/>
      <w:r w:rsidR="008D6A0F" w:rsidRPr="003A08A7">
        <w:rPr>
          <w:rFonts w:ascii="Gilroy" w:hAnsi="Gilroy"/>
          <w:sz w:val="18"/>
          <w:szCs w:val="18"/>
          <w:lang w:val="en-GB"/>
        </w:rPr>
        <w:t xml:space="preserve"> M.</w:t>
      </w:r>
      <w:r w:rsidRPr="003A08A7">
        <w:rPr>
          <w:rFonts w:ascii="Gilroy" w:hAnsi="Gilroy"/>
          <w:sz w:val="18"/>
          <w:szCs w:val="18"/>
          <w:lang w:val="en-GB"/>
        </w:rPr>
        <w:t xml:space="preserve">, “Europe Is Using Smartphone Data as a Weapon to Deport Refugees”, Wired UK, 2 July 2018, </w:t>
      </w:r>
      <w:hyperlink r:id="rId35" w:history="1">
        <w:r w:rsidRPr="003A08A7">
          <w:rPr>
            <w:rStyle w:val="Hyperlink"/>
            <w:rFonts w:ascii="Gilroy" w:hAnsi="Gilroy"/>
            <w:sz w:val="18"/>
            <w:szCs w:val="18"/>
            <w:lang w:val="en-GB"/>
          </w:rPr>
          <w:t>https://www.wired.co.uk/article/europe-immigration-refugees-smartphone-metadata-deportations</w:t>
        </w:r>
      </w:hyperlink>
    </w:p>
  </w:footnote>
  <w:footnote w:id="34">
    <w:p w14:paraId="3ACDC30E" w14:textId="6D35CC1B"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2701B5" w:rsidRPr="003A08A7">
        <w:rPr>
          <w:rFonts w:ascii="Gilroy" w:hAnsi="Gilroy"/>
          <w:sz w:val="18"/>
          <w:szCs w:val="18"/>
        </w:rPr>
        <w:t xml:space="preserve"> Society for Civil Rights </w:t>
      </w:r>
      <w:proofErr w:type="spellStart"/>
      <w:r w:rsidR="002701B5" w:rsidRPr="003A08A7">
        <w:rPr>
          <w:rFonts w:ascii="Gilroy" w:hAnsi="Gilroy"/>
          <w:sz w:val="18"/>
          <w:szCs w:val="18"/>
        </w:rPr>
        <w:t>e.V.</w:t>
      </w:r>
      <w:proofErr w:type="spellEnd"/>
      <w:r w:rsidR="002701B5" w:rsidRPr="003A08A7">
        <w:rPr>
          <w:rFonts w:ascii="Gilroy" w:hAnsi="Gilroy"/>
          <w:sz w:val="18"/>
          <w:szCs w:val="18"/>
        </w:rPr>
        <w:t xml:space="preserve"> (Gesellschaft für </w:t>
      </w:r>
      <w:proofErr w:type="spellStart"/>
      <w:r w:rsidR="002701B5" w:rsidRPr="003A08A7">
        <w:rPr>
          <w:rFonts w:ascii="Gilroy" w:hAnsi="Gilroy"/>
          <w:sz w:val="18"/>
          <w:szCs w:val="18"/>
        </w:rPr>
        <w:t>Freiheitsrechte</w:t>
      </w:r>
      <w:proofErr w:type="spellEnd"/>
      <w:r w:rsidR="002701B5" w:rsidRPr="003A08A7">
        <w:rPr>
          <w:rFonts w:ascii="Gilroy" w:hAnsi="Gilroy"/>
          <w:sz w:val="18"/>
          <w:szCs w:val="18"/>
        </w:rPr>
        <w:t xml:space="preserve"> </w:t>
      </w:r>
      <w:proofErr w:type="spellStart"/>
      <w:r w:rsidR="002701B5" w:rsidRPr="003A08A7">
        <w:rPr>
          <w:rFonts w:ascii="Gilroy" w:hAnsi="Gilroy"/>
          <w:sz w:val="18"/>
          <w:szCs w:val="18"/>
        </w:rPr>
        <w:t>e.V.</w:t>
      </w:r>
      <w:proofErr w:type="spellEnd"/>
      <w:r w:rsidR="002701B5" w:rsidRPr="003A08A7">
        <w:rPr>
          <w:rFonts w:ascii="Gilroy" w:hAnsi="Gilroy"/>
          <w:sz w:val="18"/>
          <w:szCs w:val="18"/>
        </w:rPr>
        <w:t>), “Refugee Phone Search”,</w:t>
      </w:r>
      <w:r w:rsidRPr="003A08A7">
        <w:rPr>
          <w:rFonts w:ascii="Gilroy" w:hAnsi="Gilroy"/>
          <w:sz w:val="18"/>
          <w:szCs w:val="18"/>
        </w:rPr>
        <w:t xml:space="preserve"> </w:t>
      </w:r>
      <w:hyperlink r:id="rId36" w:history="1">
        <w:r w:rsidRPr="003A08A7">
          <w:rPr>
            <w:rStyle w:val="Hyperlink"/>
            <w:rFonts w:ascii="Gilroy" w:hAnsi="Gilroy"/>
            <w:sz w:val="18"/>
            <w:szCs w:val="18"/>
          </w:rPr>
          <w:t>https://freiheitsrechte.org/en/themen/digitale-grundrechte/refugee-daten</w:t>
        </w:r>
      </w:hyperlink>
    </w:p>
  </w:footnote>
  <w:footnote w:id="35">
    <w:p w14:paraId="02C0D05F" w14:textId="77777777"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i/>
          <w:iCs/>
          <w:sz w:val="18"/>
          <w:szCs w:val="18"/>
        </w:rPr>
        <w:t>Ibid.</w:t>
      </w:r>
      <w:r w:rsidRPr="003A08A7">
        <w:rPr>
          <w:rFonts w:ascii="Gilroy" w:hAnsi="Gilroy"/>
          <w:sz w:val="18"/>
          <w:szCs w:val="18"/>
        </w:rPr>
        <w:t xml:space="preserve">  </w:t>
      </w:r>
    </w:p>
  </w:footnote>
  <w:footnote w:id="36">
    <w:p w14:paraId="4EF3A58B" w14:textId="0BBB8CCC" w:rsidR="001024B5" w:rsidRPr="003A08A7" w:rsidRDefault="001024B5"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2701B5" w:rsidRPr="003A08A7">
        <w:rPr>
          <w:rFonts w:ascii="Gilroy" w:hAnsi="Gilroy"/>
          <w:sz w:val="18"/>
          <w:szCs w:val="18"/>
        </w:rPr>
        <w:t xml:space="preserve"> </w:t>
      </w:r>
      <w:proofErr w:type="spellStart"/>
      <w:r w:rsidR="002701B5" w:rsidRPr="003A08A7">
        <w:rPr>
          <w:rFonts w:ascii="Gilroy" w:hAnsi="Gilroy"/>
          <w:sz w:val="18"/>
          <w:szCs w:val="18"/>
        </w:rPr>
        <w:t>Delcker</w:t>
      </w:r>
      <w:proofErr w:type="spellEnd"/>
      <w:r w:rsidR="002701B5" w:rsidRPr="003A08A7">
        <w:rPr>
          <w:rFonts w:ascii="Gilroy" w:hAnsi="Gilroy"/>
          <w:sz w:val="18"/>
          <w:szCs w:val="18"/>
        </w:rPr>
        <w:t xml:space="preserve"> J., “German court rules search of refugee's phone was illegal”, Deutsche </w:t>
      </w:r>
      <w:proofErr w:type="spellStart"/>
      <w:r w:rsidR="002701B5" w:rsidRPr="003A08A7">
        <w:rPr>
          <w:rFonts w:ascii="Gilroy" w:hAnsi="Gilroy"/>
          <w:sz w:val="18"/>
          <w:szCs w:val="18"/>
        </w:rPr>
        <w:t>Welle</w:t>
      </w:r>
      <w:proofErr w:type="spellEnd"/>
      <w:r w:rsidR="002701B5" w:rsidRPr="003A08A7">
        <w:rPr>
          <w:rFonts w:ascii="Gilroy" w:hAnsi="Gilroy"/>
          <w:sz w:val="18"/>
          <w:szCs w:val="18"/>
        </w:rPr>
        <w:t>, 16 February 2023,</w:t>
      </w:r>
      <w:r w:rsidRPr="003A08A7">
        <w:rPr>
          <w:rFonts w:ascii="Gilroy" w:hAnsi="Gilroy"/>
          <w:sz w:val="18"/>
          <w:szCs w:val="18"/>
        </w:rPr>
        <w:t xml:space="preserve"> </w:t>
      </w:r>
      <w:hyperlink r:id="rId37" w:history="1">
        <w:r w:rsidR="00E04765" w:rsidRPr="003A08A7">
          <w:rPr>
            <w:rStyle w:val="Hyperlink"/>
            <w:rFonts w:ascii="Gilroy" w:hAnsi="Gilroy"/>
            <w:sz w:val="18"/>
            <w:szCs w:val="18"/>
          </w:rPr>
          <w:t>https://www.dw.com/en/german-court-rules-that-search-of-refugees-phone-was-illegal/a-64685681</w:t>
        </w:r>
      </w:hyperlink>
      <w:r w:rsidR="00E04765" w:rsidRPr="003A08A7">
        <w:rPr>
          <w:rFonts w:ascii="Gilroy" w:hAnsi="Gilroy"/>
          <w:sz w:val="18"/>
          <w:szCs w:val="18"/>
        </w:rPr>
        <w:t xml:space="preserve"> </w:t>
      </w:r>
    </w:p>
  </w:footnote>
  <w:footnote w:id="37">
    <w:p w14:paraId="3A068FA6" w14:textId="77777777"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hyperlink r:id="rId38" w:history="1">
        <w:r w:rsidRPr="003A08A7">
          <w:rPr>
            <w:rStyle w:val="Hyperlink"/>
            <w:rFonts w:ascii="Gilroy" w:hAnsi="Gilroy"/>
            <w:sz w:val="18"/>
            <w:szCs w:val="18"/>
          </w:rPr>
          <w:t>R (on the application of HM, MA &amp; KH) v Secretary of State for the Home Department [2022] EWHC 695 (Admin)</w:t>
        </w:r>
      </w:hyperlink>
      <w:r w:rsidRPr="003A08A7">
        <w:rPr>
          <w:rFonts w:ascii="Gilroy" w:hAnsi="Gilroy"/>
          <w:sz w:val="18"/>
          <w:szCs w:val="18"/>
        </w:rPr>
        <w:t xml:space="preserve"> </w:t>
      </w:r>
    </w:p>
  </w:footnote>
  <w:footnote w:id="38">
    <w:p w14:paraId="27AC5DAC" w14:textId="7E9F2976"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proofErr w:type="spellStart"/>
      <w:r w:rsidR="009E7BAB" w:rsidRPr="003A08A7">
        <w:rPr>
          <w:rFonts w:ascii="Gilroy" w:hAnsi="Gilroy"/>
          <w:sz w:val="18"/>
          <w:szCs w:val="18"/>
        </w:rPr>
        <w:t>Palmiotto</w:t>
      </w:r>
      <w:proofErr w:type="spellEnd"/>
      <w:r w:rsidR="009E7BAB" w:rsidRPr="003A08A7">
        <w:rPr>
          <w:rFonts w:ascii="Gilroy" w:hAnsi="Gilroy"/>
          <w:sz w:val="18"/>
          <w:szCs w:val="18"/>
        </w:rPr>
        <w:t xml:space="preserve"> Fr. and </w:t>
      </w:r>
      <w:proofErr w:type="spellStart"/>
      <w:r w:rsidR="009E7BAB" w:rsidRPr="003A08A7">
        <w:rPr>
          <w:rFonts w:ascii="Gilroy" w:hAnsi="Gilroy"/>
          <w:sz w:val="18"/>
          <w:szCs w:val="18"/>
        </w:rPr>
        <w:t>Ozkul</w:t>
      </w:r>
      <w:proofErr w:type="spellEnd"/>
      <w:r w:rsidR="009E7BAB" w:rsidRPr="003A08A7">
        <w:rPr>
          <w:rFonts w:ascii="Gilroy" w:hAnsi="Gilroy"/>
          <w:sz w:val="18"/>
          <w:szCs w:val="18"/>
        </w:rPr>
        <w:t xml:space="preserve"> D., “Like Handing My Whole Life Over“ The German Federal Administrative Court’s Landmark Ruling on Mobile Phone Data Extraction in Asylum Procedures”, </w:t>
      </w:r>
      <w:proofErr w:type="spellStart"/>
      <w:r w:rsidR="009E7BAB" w:rsidRPr="003A08A7">
        <w:rPr>
          <w:rFonts w:ascii="Gilroy" w:hAnsi="Gilroy"/>
          <w:sz w:val="18"/>
          <w:szCs w:val="18"/>
        </w:rPr>
        <w:t>Verfassungsblog</w:t>
      </w:r>
      <w:proofErr w:type="spellEnd"/>
      <w:r w:rsidR="009E7BAB" w:rsidRPr="003A08A7">
        <w:rPr>
          <w:rFonts w:ascii="Gilroy" w:hAnsi="Gilroy"/>
          <w:sz w:val="18"/>
          <w:szCs w:val="18"/>
        </w:rPr>
        <w:t xml:space="preserve">, 28 February 2023, </w:t>
      </w:r>
      <w:hyperlink r:id="rId39" w:history="1">
        <w:r w:rsidR="009E7BAB" w:rsidRPr="003A08A7">
          <w:rPr>
            <w:rStyle w:val="Hyperlink"/>
            <w:rFonts w:ascii="Gilroy" w:hAnsi="Gilroy"/>
            <w:sz w:val="18"/>
            <w:szCs w:val="18"/>
          </w:rPr>
          <w:t>https://verfassungsblog.de/like-handing-my-whole-life-over/</w:t>
        </w:r>
      </w:hyperlink>
      <w:r w:rsidR="009E7BAB" w:rsidRPr="003A08A7">
        <w:rPr>
          <w:rFonts w:ascii="Gilroy" w:hAnsi="Gilroy"/>
          <w:sz w:val="18"/>
          <w:szCs w:val="18"/>
        </w:rPr>
        <w:t xml:space="preserve">  </w:t>
      </w:r>
    </w:p>
  </w:footnote>
  <w:footnote w:id="39">
    <w:p w14:paraId="558E84E1" w14:textId="49D818B1" w:rsidR="00CE0D20" w:rsidRPr="003A08A7" w:rsidRDefault="00CE0D20" w:rsidP="003A08A7">
      <w:pPr>
        <w:pStyle w:val="FootnoteText"/>
        <w:jc w:val="both"/>
        <w:rPr>
          <w:rFonts w:ascii="Gilroy" w:hAnsi="Gilroy"/>
          <w:sz w:val="18"/>
          <w:szCs w:val="18"/>
        </w:rPr>
      </w:pPr>
      <w:r w:rsidRPr="003A08A7">
        <w:rPr>
          <w:rStyle w:val="FootnoteReference"/>
          <w:rFonts w:ascii="Gilroy" w:hAnsi="Gilroy"/>
          <w:sz w:val="18"/>
          <w:szCs w:val="18"/>
        </w:rPr>
        <w:footnoteRef/>
      </w:r>
      <w:r w:rsidRPr="003A08A7">
        <w:rPr>
          <w:rFonts w:ascii="Gilroy" w:hAnsi="Gilroy"/>
          <w:sz w:val="18"/>
          <w:szCs w:val="18"/>
        </w:rPr>
        <w:t xml:space="preserve"> </w:t>
      </w:r>
      <w:r w:rsidR="009E7BAB" w:rsidRPr="003A08A7">
        <w:rPr>
          <w:rFonts w:ascii="Gilroy" w:hAnsi="Gilroy"/>
          <w:sz w:val="18"/>
          <w:szCs w:val="18"/>
        </w:rPr>
        <w:t xml:space="preserve">UNHRC, “Report of the Secretary-General on human rights of migrants” (A/HRC/45/30), 03 September 2020 </w:t>
      </w:r>
      <w:hyperlink r:id="rId40" w:history="1">
        <w:r w:rsidR="009E7BAB" w:rsidRPr="003A08A7">
          <w:rPr>
            <w:rStyle w:val="Hyperlink"/>
            <w:rFonts w:ascii="Gilroy" w:hAnsi="Gilroy"/>
            <w:sz w:val="18"/>
            <w:szCs w:val="18"/>
          </w:rPr>
          <w:t>https://www.ohchr.org/en/documents/reports/human-rights-migrants-report-secretary-general</w:t>
        </w:r>
      </w:hyperlink>
      <w:r w:rsidR="009E7BAB" w:rsidRPr="003A08A7">
        <w:rPr>
          <w:rFonts w:ascii="Gilroy" w:hAnsi="Gilroy"/>
          <w:sz w:val="18"/>
          <w:szCs w:val="18"/>
        </w:rPr>
        <w:t xml:space="preserve"> </w:t>
      </w:r>
    </w:p>
  </w:footnote>
  <w:footnote w:id="40">
    <w:p w14:paraId="1A925638" w14:textId="35812233" w:rsidR="006902FB" w:rsidRPr="003A08A7" w:rsidRDefault="006902FB"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TEDIC,</w:t>
      </w:r>
      <w:r w:rsidR="00AC7D0F" w:rsidRPr="003A08A7">
        <w:rPr>
          <w:rFonts w:ascii="Gilroy" w:hAnsi="Gilroy"/>
          <w:sz w:val="18"/>
          <w:szCs w:val="18"/>
          <w:lang w:val="en-GB"/>
        </w:rPr>
        <w:t xml:space="preserve"> "T</w:t>
      </w:r>
      <w:r w:rsidRPr="003A08A7">
        <w:rPr>
          <w:rFonts w:ascii="Gilroy" w:hAnsi="Gilroy"/>
          <w:sz w:val="18"/>
          <w:szCs w:val="18"/>
          <w:lang w:val="en-GB"/>
        </w:rPr>
        <w:t xml:space="preserve">echnologies and Human Rights in the Triple Border Area: An exploratory Study in the Security Programmes </w:t>
      </w:r>
      <w:proofErr w:type="spellStart"/>
      <w:r w:rsidRPr="003A08A7">
        <w:rPr>
          <w:rFonts w:ascii="Gilroy" w:hAnsi="Gilroy"/>
          <w:sz w:val="18"/>
          <w:szCs w:val="18"/>
          <w:lang w:val="en-GB"/>
        </w:rPr>
        <w:t>Muralha</w:t>
      </w:r>
      <w:proofErr w:type="spellEnd"/>
      <w:r w:rsidRPr="003A08A7">
        <w:rPr>
          <w:rFonts w:ascii="Gilroy" w:hAnsi="Gilroy"/>
          <w:sz w:val="18"/>
          <w:szCs w:val="18"/>
          <w:lang w:val="en-GB"/>
        </w:rPr>
        <w:t xml:space="preserve"> </w:t>
      </w:r>
      <w:proofErr w:type="spellStart"/>
      <w:r w:rsidRPr="003A08A7">
        <w:rPr>
          <w:rFonts w:ascii="Gilroy" w:hAnsi="Gilroy"/>
          <w:sz w:val="18"/>
          <w:szCs w:val="18"/>
          <w:lang w:val="en-GB"/>
        </w:rPr>
        <w:t>Inteligente</w:t>
      </w:r>
      <w:proofErr w:type="spellEnd"/>
      <w:r w:rsidRPr="003A08A7">
        <w:rPr>
          <w:rFonts w:ascii="Gilroy" w:hAnsi="Gilroy"/>
          <w:sz w:val="18"/>
          <w:szCs w:val="18"/>
          <w:lang w:val="en-GB"/>
        </w:rPr>
        <w:t xml:space="preserve"> (Brazil) and the Automated Migratory System for Facial Recognition</w:t>
      </w:r>
      <w:r w:rsidR="00AC7D0F" w:rsidRPr="003A08A7">
        <w:rPr>
          <w:rFonts w:ascii="Gilroy" w:hAnsi="Gilroy"/>
          <w:sz w:val="18"/>
          <w:szCs w:val="18"/>
          <w:lang w:val="en-GB"/>
        </w:rPr>
        <w:t>”</w:t>
      </w:r>
      <w:r w:rsidRPr="003A08A7">
        <w:rPr>
          <w:rFonts w:ascii="Gilroy" w:hAnsi="Gilroy"/>
          <w:sz w:val="18"/>
          <w:szCs w:val="18"/>
          <w:lang w:val="en-GB"/>
        </w:rPr>
        <w:t xml:space="preserve"> </w:t>
      </w:r>
      <w:r w:rsidR="00AC7D0F" w:rsidRPr="003A08A7">
        <w:rPr>
          <w:rFonts w:ascii="Gilroy" w:hAnsi="Gilroy"/>
          <w:sz w:val="18"/>
          <w:szCs w:val="18"/>
          <w:lang w:val="en-GB"/>
        </w:rPr>
        <w:t>(</w:t>
      </w:r>
      <w:r w:rsidRPr="003A08A7">
        <w:rPr>
          <w:rFonts w:ascii="Gilroy" w:hAnsi="Gilroy"/>
          <w:sz w:val="18"/>
          <w:szCs w:val="18"/>
          <w:lang w:val="en-GB"/>
        </w:rPr>
        <w:t>1 February 2023</w:t>
      </w:r>
      <w:r w:rsidR="00AC7D0F" w:rsidRPr="003A08A7">
        <w:rPr>
          <w:rFonts w:ascii="Gilroy" w:hAnsi="Gilroy"/>
          <w:sz w:val="18"/>
          <w:szCs w:val="18"/>
          <w:lang w:val="en-GB"/>
        </w:rPr>
        <w:t>)</w:t>
      </w:r>
      <w:r w:rsidRPr="003A08A7">
        <w:rPr>
          <w:rFonts w:ascii="Gilroy" w:hAnsi="Gilroy"/>
          <w:sz w:val="18"/>
          <w:szCs w:val="18"/>
          <w:lang w:val="en-GB"/>
        </w:rPr>
        <w:t xml:space="preserve"> </w:t>
      </w:r>
      <w:hyperlink r:id="rId41" w:history="1">
        <w:r w:rsidRPr="003A08A7">
          <w:rPr>
            <w:rStyle w:val="Hyperlink"/>
            <w:rFonts w:ascii="Gilroy" w:hAnsi="Gilroy"/>
            <w:sz w:val="18"/>
            <w:szCs w:val="18"/>
            <w:lang w:val="en-GB"/>
          </w:rPr>
          <w:t>https://www.tedic.org/wp-content/uploads/2023/02/Technologies-and-Human-Rights-in-the-Triple-Border-Area.pdf</w:t>
        </w:r>
      </w:hyperlink>
      <w:r w:rsidRPr="003A08A7">
        <w:rPr>
          <w:rFonts w:ascii="Gilroy" w:hAnsi="Gilroy"/>
          <w:sz w:val="18"/>
          <w:szCs w:val="18"/>
          <w:lang w:val="en-GB"/>
        </w:rPr>
        <w:t xml:space="preserve"> </w:t>
      </w:r>
    </w:p>
  </w:footnote>
  <w:footnote w:id="41">
    <w:p w14:paraId="171F6659" w14:textId="1298D1D2" w:rsidR="00A27692" w:rsidRPr="003A08A7" w:rsidRDefault="00A27692"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Ibid.</w:t>
      </w:r>
    </w:p>
  </w:footnote>
  <w:footnote w:id="42">
    <w:p w14:paraId="64AFB4BE" w14:textId="201AB407" w:rsidR="00854D41" w:rsidRPr="003A08A7" w:rsidRDefault="00854D41"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AC7D0F" w:rsidRPr="003A08A7">
        <w:rPr>
          <w:rFonts w:ascii="Gilroy" w:hAnsi="Gilroy"/>
          <w:sz w:val="18"/>
          <w:szCs w:val="18"/>
        </w:rPr>
        <w:t>PI, “Challenging Drivers of Surveillance”,</w:t>
      </w:r>
      <w:r w:rsidRPr="003A08A7">
        <w:rPr>
          <w:rFonts w:ascii="Gilroy" w:hAnsi="Gilroy"/>
          <w:sz w:val="18"/>
          <w:szCs w:val="18"/>
          <w:lang w:val="en-GB"/>
        </w:rPr>
        <w:t xml:space="preserve"> </w:t>
      </w:r>
      <w:hyperlink r:id="rId42" w:history="1">
        <w:r w:rsidRPr="003A08A7">
          <w:rPr>
            <w:rStyle w:val="Hyperlink"/>
            <w:rFonts w:ascii="Gilroy" w:hAnsi="Gilroy"/>
            <w:sz w:val="18"/>
            <w:szCs w:val="18"/>
            <w:lang w:val="en-GB"/>
          </w:rPr>
          <w:t>https://privacyinternational.org/challenging-drivers-surveillance</w:t>
        </w:r>
      </w:hyperlink>
      <w:r w:rsidRPr="003A08A7">
        <w:rPr>
          <w:rFonts w:ascii="Gilroy" w:hAnsi="Gilroy"/>
          <w:sz w:val="18"/>
          <w:szCs w:val="18"/>
          <w:lang w:val="en-GB"/>
        </w:rPr>
        <w:t xml:space="preserve"> </w:t>
      </w:r>
    </w:p>
  </w:footnote>
  <w:footnote w:id="43">
    <w:p w14:paraId="43B5C8FF" w14:textId="1E8E81CC" w:rsidR="00854D41" w:rsidRPr="003A08A7" w:rsidRDefault="00854D41" w:rsidP="003A08A7">
      <w:pPr>
        <w:pStyle w:val="FootnoteText"/>
        <w:jc w:val="both"/>
        <w:rPr>
          <w:rFonts w:ascii="Gilroy" w:hAnsi="Gilroy"/>
          <w:sz w:val="18"/>
          <w:szCs w:val="18"/>
        </w:rPr>
      </w:pPr>
      <w:r w:rsidRPr="003A08A7">
        <w:rPr>
          <w:rStyle w:val="FootnoteReference"/>
          <w:rFonts w:ascii="Gilroy" w:hAnsi="Gilroy"/>
          <w:sz w:val="18"/>
          <w:szCs w:val="18"/>
        </w:rPr>
        <w:footnoteRef/>
      </w:r>
      <w:r w:rsidR="0019505B" w:rsidRPr="003A08A7">
        <w:rPr>
          <w:rFonts w:ascii="Gilroy" w:hAnsi="Gilroy"/>
          <w:sz w:val="18"/>
          <w:szCs w:val="18"/>
        </w:rPr>
        <w:t xml:space="preserve"> PI, “Surveillance Disclosures Show Urgent Need for Reforms to EU Aid </w:t>
      </w:r>
      <w:proofErr w:type="spellStart"/>
      <w:r w:rsidR="0019505B" w:rsidRPr="003A08A7">
        <w:rPr>
          <w:rFonts w:ascii="Gilroy" w:hAnsi="Gilroy"/>
          <w:sz w:val="18"/>
          <w:szCs w:val="18"/>
        </w:rPr>
        <w:t>Programmes</w:t>
      </w:r>
      <w:proofErr w:type="spellEnd"/>
      <w:r w:rsidR="0019505B" w:rsidRPr="003A08A7">
        <w:rPr>
          <w:rFonts w:ascii="Gilroy" w:hAnsi="Gilroy"/>
          <w:sz w:val="18"/>
          <w:szCs w:val="18"/>
        </w:rPr>
        <w:t>” (2020)</w:t>
      </w:r>
      <w:r w:rsidRPr="003A08A7">
        <w:rPr>
          <w:rFonts w:ascii="Gilroy" w:hAnsi="Gilroy"/>
          <w:sz w:val="18"/>
          <w:szCs w:val="18"/>
        </w:rPr>
        <w:t xml:space="preserve"> </w:t>
      </w:r>
      <w:hyperlink r:id="rId43" w:history="1">
        <w:r w:rsidRPr="003A08A7">
          <w:rPr>
            <w:rStyle w:val="Hyperlink"/>
            <w:rFonts w:ascii="Gilroy" w:hAnsi="Gilroy"/>
            <w:sz w:val="18"/>
            <w:szCs w:val="18"/>
          </w:rPr>
          <w:t>https://privacyinternational.org/long-read/4291/surveillance-disclosures-show-urgent-need-reforms-eu-aid-programmes</w:t>
        </w:r>
      </w:hyperlink>
      <w:r w:rsidRPr="003A08A7">
        <w:rPr>
          <w:rFonts w:ascii="Gilroy" w:hAnsi="Gilroy"/>
          <w:sz w:val="18"/>
          <w:szCs w:val="18"/>
        </w:rPr>
        <w:t xml:space="preserve"> </w:t>
      </w:r>
    </w:p>
  </w:footnote>
  <w:footnote w:id="44">
    <w:p w14:paraId="2FECAEA9" w14:textId="1F857401" w:rsidR="00854D41" w:rsidRPr="003A08A7" w:rsidRDefault="00854D41"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3A08A7" w:rsidRPr="003A08A7">
        <w:rPr>
          <w:rFonts w:ascii="Gilroy" w:hAnsi="Gilroy"/>
          <w:sz w:val="18"/>
          <w:szCs w:val="18"/>
        </w:rPr>
        <w:t xml:space="preserve">“IMSI” stands for “International Mobile Subscriber Identity”, a number unique to </w:t>
      </w:r>
      <w:r w:rsidR="003A08A7">
        <w:rPr>
          <w:rFonts w:ascii="Gilroy" w:hAnsi="Gilroy"/>
          <w:sz w:val="18"/>
          <w:szCs w:val="18"/>
        </w:rPr>
        <w:t>each</w:t>
      </w:r>
      <w:r w:rsidR="003A08A7" w:rsidRPr="003A08A7">
        <w:rPr>
          <w:rFonts w:ascii="Gilroy" w:hAnsi="Gilroy"/>
          <w:sz w:val="18"/>
          <w:szCs w:val="18"/>
        </w:rPr>
        <w:t xml:space="preserve"> SIM card. Once </w:t>
      </w:r>
      <w:r w:rsidR="003A08A7">
        <w:rPr>
          <w:rFonts w:ascii="Gilroy" w:hAnsi="Gilroy"/>
          <w:sz w:val="18"/>
          <w:szCs w:val="18"/>
        </w:rPr>
        <w:t>a</w:t>
      </w:r>
      <w:r w:rsidR="003A08A7" w:rsidRPr="003A08A7">
        <w:rPr>
          <w:rFonts w:ascii="Gilroy" w:hAnsi="Gilroy"/>
          <w:sz w:val="18"/>
          <w:szCs w:val="18"/>
        </w:rPr>
        <w:t xml:space="preserve"> phone is tricked into connecting to an IMSI catcher, it reveals this unique number. Once the police </w:t>
      </w:r>
      <w:r w:rsidR="003A08A7">
        <w:rPr>
          <w:rFonts w:ascii="Gilroy" w:hAnsi="Gilroy"/>
          <w:sz w:val="18"/>
          <w:szCs w:val="18"/>
        </w:rPr>
        <w:t xml:space="preserve">have it, </w:t>
      </w:r>
      <w:r w:rsidR="003A08A7" w:rsidRPr="003A08A7">
        <w:rPr>
          <w:rFonts w:ascii="Gilroy" w:hAnsi="Gilroy"/>
          <w:sz w:val="18"/>
          <w:szCs w:val="18"/>
        </w:rPr>
        <w:t xml:space="preserve">they can easily determine </w:t>
      </w:r>
      <w:r w:rsidR="003A08A7">
        <w:rPr>
          <w:rFonts w:ascii="Gilroy" w:hAnsi="Gilroy"/>
          <w:sz w:val="18"/>
          <w:szCs w:val="18"/>
        </w:rPr>
        <w:t>the phone holder’s</w:t>
      </w:r>
      <w:r w:rsidR="003A08A7" w:rsidRPr="003A08A7">
        <w:rPr>
          <w:rFonts w:ascii="Gilroy" w:hAnsi="Gilroy"/>
          <w:sz w:val="18"/>
          <w:szCs w:val="18"/>
        </w:rPr>
        <w:t xml:space="preserve"> identity. </w:t>
      </w:r>
      <w:r w:rsidR="009E7BAB" w:rsidRPr="003A08A7">
        <w:rPr>
          <w:rFonts w:ascii="Gilroy" w:hAnsi="Gilroy"/>
          <w:sz w:val="18"/>
          <w:szCs w:val="18"/>
        </w:rPr>
        <w:t xml:space="preserve">PI, “Borders Without Borders: How the EU is Exporting Surveillance in Bid to Outsource its Border Controls” (2020) </w:t>
      </w:r>
      <w:hyperlink r:id="rId44" w:history="1">
        <w:r w:rsidR="009E7BAB" w:rsidRPr="003A08A7">
          <w:rPr>
            <w:rStyle w:val="Hyperlink"/>
            <w:rFonts w:ascii="Gilroy" w:hAnsi="Gilroy"/>
            <w:sz w:val="18"/>
            <w:szCs w:val="18"/>
          </w:rPr>
          <w:t>https://privacyinternational.org/long-read/4288/borders-without-borders-how-eu-exporting-surveillance-bid-outsource-its-border</w:t>
        </w:r>
      </w:hyperlink>
      <w:r w:rsidR="009E7BAB" w:rsidRPr="003A08A7">
        <w:rPr>
          <w:rFonts w:ascii="Gilroy" w:hAnsi="Gilroy"/>
          <w:sz w:val="18"/>
          <w:szCs w:val="18"/>
        </w:rPr>
        <w:t xml:space="preserve"> </w:t>
      </w:r>
    </w:p>
  </w:footnote>
  <w:footnote w:id="45">
    <w:p w14:paraId="25F562F0" w14:textId="7AD2BB60" w:rsidR="00854D41" w:rsidRPr="003A08A7" w:rsidRDefault="00854D41" w:rsidP="003A08A7">
      <w:pPr>
        <w:pStyle w:val="FootnoteText"/>
        <w:jc w:val="both"/>
        <w:rPr>
          <w:rFonts w:ascii="Gilroy" w:hAnsi="Gilroy"/>
          <w:sz w:val="18"/>
          <w:szCs w:val="18"/>
        </w:rPr>
      </w:pPr>
      <w:r w:rsidRPr="003A08A7">
        <w:rPr>
          <w:rStyle w:val="FootnoteReference"/>
          <w:rFonts w:ascii="Gilroy" w:hAnsi="Gilroy"/>
          <w:sz w:val="18"/>
          <w:szCs w:val="18"/>
        </w:rPr>
        <w:footnoteRef/>
      </w:r>
      <w:r w:rsidRPr="003A08A7">
        <w:rPr>
          <w:rFonts w:ascii="Gilroy" w:hAnsi="Gilroy"/>
          <w:sz w:val="18"/>
          <w:szCs w:val="18"/>
        </w:rPr>
        <w:t xml:space="preserve"> </w:t>
      </w:r>
      <w:r w:rsidR="009E7BAB" w:rsidRPr="003A08A7">
        <w:rPr>
          <w:rFonts w:ascii="Gilroy" w:hAnsi="Gilroy"/>
          <w:sz w:val="18"/>
          <w:szCs w:val="18"/>
        </w:rPr>
        <w:t xml:space="preserve">PI, “Here’s how a well-connected security company is quietly building mass biometric databases in West Africa with EU aid funds” (2020) </w:t>
      </w:r>
      <w:hyperlink r:id="rId45" w:history="1">
        <w:r w:rsidR="009E7BAB" w:rsidRPr="003A08A7">
          <w:rPr>
            <w:rStyle w:val="Hyperlink"/>
            <w:rFonts w:ascii="Gilroy" w:hAnsi="Gilroy"/>
            <w:sz w:val="18"/>
            <w:szCs w:val="18"/>
          </w:rPr>
          <w:t>https://privacyinternational.org/news-analysis/4290/heres-how-well-connected-security-company-quietly-building-mass-biometric</w:t>
        </w:r>
      </w:hyperlink>
      <w:r w:rsidR="009E7BAB" w:rsidRPr="003A08A7">
        <w:rPr>
          <w:rFonts w:ascii="Gilroy" w:hAnsi="Gilroy"/>
          <w:sz w:val="18"/>
          <w:szCs w:val="18"/>
        </w:rPr>
        <w:t xml:space="preserve"> </w:t>
      </w:r>
    </w:p>
  </w:footnote>
  <w:footnote w:id="46">
    <w:p w14:paraId="51E146FC" w14:textId="77777777" w:rsidR="00854D41" w:rsidRPr="003A08A7" w:rsidRDefault="00854D41"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 xml:space="preserve">PI, Complaint to the European Ombudsman under Article 228 TFEU: EU Transfers of Surveillance Capabilities to Third Countries, submitted jointly with Access Now, Border Violence Monitoring Network, Homo Digitalis, the </w:t>
      </w:r>
      <w:r w:rsidRPr="003A08A7">
        <w:rPr>
          <w:rFonts w:ascii="Gilroy" w:hAnsi="Gilroy" w:cs="Arial"/>
          <w:sz w:val="18"/>
          <w:szCs w:val="18"/>
        </w:rPr>
        <w:t xml:space="preserve">International Federation for Human Rights, and Sea-Watch, 19 October 2021, </w:t>
      </w:r>
      <w:hyperlink r:id="rId46" w:history="1">
        <w:r w:rsidRPr="003A08A7">
          <w:rPr>
            <w:rStyle w:val="Hyperlink"/>
            <w:rFonts w:ascii="Gilroy" w:hAnsi="Gilroy" w:cs="Arial"/>
            <w:sz w:val="18"/>
            <w:szCs w:val="18"/>
          </w:rPr>
          <w:t>https://privacyinternational.org/sites/default/files/2021-10/21.10.19_EU_Ombudsman_Complaint_Final.pdf</w:t>
        </w:r>
      </w:hyperlink>
      <w:r w:rsidRPr="003A08A7">
        <w:rPr>
          <w:rFonts w:ascii="Gilroy" w:hAnsi="Gilroy" w:cs="Arial"/>
          <w:sz w:val="18"/>
          <w:szCs w:val="18"/>
        </w:rPr>
        <w:t xml:space="preserve"> </w:t>
      </w:r>
    </w:p>
  </w:footnote>
  <w:footnote w:id="47">
    <w:p w14:paraId="4A6D1B6C" w14:textId="608255BD" w:rsidR="00854D41" w:rsidRPr="003A08A7" w:rsidRDefault="00854D41"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9E7BAB" w:rsidRPr="003A08A7">
        <w:rPr>
          <w:rFonts w:ascii="Gilroy" w:hAnsi="Gilroy"/>
          <w:sz w:val="18"/>
          <w:szCs w:val="18"/>
          <w:lang w:val="en-GB"/>
        </w:rPr>
        <w:t>Ibid.</w:t>
      </w:r>
      <w:r w:rsidRPr="003A08A7">
        <w:rPr>
          <w:rFonts w:ascii="Gilroy" w:hAnsi="Gilroy" w:cs="Arial"/>
          <w:sz w:val="18"/>
          <w:szCs w:val="18"/>
        </w:rPr>
        <w:t xml:space="preserve"> </w:t>
      </w:r>
    </w:p>
  </w:footnote>
  <w:footnote w:id="48">
    <w:p w14:paraId="56C1CAF6" w14:textId="3195C747" w:rsidR="00854D41" w:rsidRPr="003A08A7" w:rsidRDefault="00854D41" w:rsidP="003A08A7">
      <w:pPr>
        <w:pStyle w:val="FootnoteText"/>
        <w:jc w:val="both"/>
        <w:rPr>
          <w:rFonts w:ascii="Gilroy" w:hAnsi="Gilroy"/>
          <w:sz w:val="18"/>
          <w:szCs w:val="18"/>
        </w:rPr>
      </w:pPr>
      <w:r w:rsidRPr="003A08A7">
        <w:rPr>
          <w:rStyle w:val="FootnoteReference"/>
          <w:rFonts w:ascii="Gilroy" w:hAnsi="Gilroy"/>
          <w:sz w:val="18"/>
          <w:szCs w:val="18"/>
        </w:rPr>
        <w:footnoteRef/>
      </w:r>
      <w:r w:rsidRPr="003A08A7">
        <w:rPr>
          <w:rFonts w:ascii="Gilroy" w:hAnsi="Gilroy"/>
          <w:sz w:val="18"/>
          <w:szCs w:val="18"/>
        </w:rPr>
        <w:t xml:space="preserve"> European Ombudsman, Decision on how the European Commission assessed the human rights impact before providing support to African countries to develop surveillance capabilities (case 1904/2021/MHZ), 28 November 2022, </w:t>
      </w:r>
      <w:hyperlink r:id="rId47" w:history="1">
        <w:r w:rsidR="009E7BAB" w:rsidRPr="003A08A7">
          <w:rPr>
            <w:rStyle w:val="Hyperlink"/>
            <w:rFonts w:ascii="Gilroy" w:hAnsi="Gilroy"/>
            <w:sz w:val="18"/>
            <w:szCs w:val="18"/>
          </w:rPr>
          <w:t>https://www.ombudsman.europa.eu/en/decision/en/163491</w:t>
        </w:r>
      </w:hyperlink>
      <w:r w:rsidR="009E7BAB" w:rsidRPr="003A08A7">
        <w:rPr>
          <w:rFonts w:ascii="Gilroy" w:hAnsi="Gilroy"/>
          <w:sz w:val="18"/>
          <w:szCs w:val="18"/>
        </w:rPr>
        <w:t xml:space="preserve"> </w:t>
      </w:r>
    </w:p>
  </w:footnote>
  <w:footnote w:id="49">
    <w:p w14:paraId="63941934" w14:textId="5F362B31" w:rsidR="00854D41" w:rsidRPr="003A08A7" w:rsidRDefault="00854D41"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9E7BAB" w:rsidRPr="003A08A7">
        <w:rPr>
          <w:rFonts w:ascii="Gilroy" w:hAnsi="Gilroy"/>
          <w:sz w:val="18"/>
          <w:szCs w:val="18"/>
        </w:rPr>
        <w:t xml:space="preserve">PI, “EU Ombudsman opens inquiries into FRONTEX and EEAS on their support to develop surveillance capabilities in non-EU countries” (2022) </w:t>
      </w:r>
      <w:hyperlink r:id="rId48" w:history="1">
        <w:r w:rsidR="009E7BAB" w:rsidRPr="003A08A7">
          <w:rPr>
            <w:rStyle w:val="Hyperlink"/>
            <w:rFonts w:ascii="Gilroy" w:hAnsi="Gilroy"/>
            <w:sz w:val="18"/>
            <w:szCs w:val="18"/>
          </w:rPr>
          <w:t>https://privacyinternational.org/press-release/4962/eu-ombudsman-opens-inquiries-frontex-and-eeas-their-support-develop-surveillance</w:t>
        </w:r>
      </w:hyperlink>
      <w:r w:rsidRPr="003A08A7">
        <w:rPr>
          <w:rFonts w:ascii="Gilroy" w:hAnsi="Gilroy"/>
          <w:sz w:val="18"/>
          <w:szCs w:val="18"/>
        </w:rPr>
        <w:t xml:space="preserve"> </w:t>
      </w:r>
    </w:p>
  </w:footnote>
  <w:footnote w:id="50">
    <w:p w14:paraId="4397D7ED" w14:textId="5AD8C6AF" w:rsidR="00854D41" w:rsidRPr="003A08A7" w:rsidRDefault="00854D41" w:rsidP="003A08A7">
      <w:pPr>
        <w:pStyle w:val="FootnoteText"/>
        <w:jc w:val="both"/>
        <w:rPr>
          <w:rFonts w:ascii="Gilroy" w:hAnsi="Gilroy"/>
          <w:sz w:val="18"/>
          <w:szCs w:val="18"/>
        </w:rPr>
      </w:pPr>
      <w:r w:rsidRPr="003A08A7">
        <w:rPr>
          <w:rStyle w:val="FootnoteReference"/>
          <w:rFonts w:ascii="Gilroy" w:hAnsi="Gilroy"/>
          <w:sz w:val="18"/>
          <w:szCs w:val="18"/>
        </w:rPr>
        <w:footnoteRef/>
      </w:r>
      <w:r w:rsidR="009E7BAB" w:rsidRPr="003A08A7">
        <w:rPr>
          <w:rFonts w:ascii="Gilroy" w:hAnsi="Gilroy"/>
          <w:sz w:val="18"/>
          <w:szCs w:val="18"/>
        </w:rPr>
        <w:t xml:space="preserve"> HRW, “EU: Frontex Complicit in Abuse in Libya - Aerial Surveillance Is Enabling Interceptions, Return of Migrants to Harm” (2022)</w:t>
      </w:r>
      <w:r w:rsidRPr="003A08A7">
        <w:rPr>
          <w:rFonts w:ascii="Gilroy" w:hAnsi="Gilroy"/>
          <w:sz w:val="18"/>
          <w:szCs w:val="18"/>
        </w:rPr>
        <w:t xml:space="preserve"> </w:t>
      </w:r>
      <w:hyperlink r:id="rId49" w:history="1">
        <w:r w:rsidRPr="003A08A7">
          <w:rPr>
            <w:rStyle w:val="Hyperlink"/>
            <w:rFonts w:ascii="Gilroy" w:hAnsi="Gilroy"/>
            <w:sz w:val="18"/>
            <w:szCs w:val="18"/>
          </w:rPr>
          <w:t>https://www.hrw.org/news/2022/12/12/eu-frontex-complicit-abuse-libya</w:t>
        </w:r>
      </w:hyperlink>
      <w:r w:rsidRPr="003A08A7">
        <w:rPr>
          <w:rFonts w:ascii="Gilroy" w:hAnsi="Gilroy"/>
          <w:sz w:val="18"/>
          <w:szCs w:val="18"/>
        </w:rPr>
        <w:t xml:space="preserve"> </w:t>
      </w:r>
    </w:p>
  </w:footnote>
  <w:footnote w:id="51">
    <w:p w14:paraId="3EC286C2" w14:textId="7827AB89" w:rsidR="00631B76" w:rsidRPr="003A08A7" w:rsidRDefault="00631B76"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See section “Challenge to data sharing between public authorities”</w:t>
      </w:r>
      <w:r w:rsidR="009E7BAB" w:rsidRPr="003A08A7">
        <w:rPr>
          <w:rFonts w:ascii="Gilroy" w:hAnsi="Gilroy"/>
          <w:sz w:val="18"/>
          <w:szCs w:val="18"/>
          <w:lang w:val="en-GB"/>
        </w:rPr>
        <w:t xml:space="preserve"> in PI, “How Privacy and Data Protection Law Can Help Defend Migrants' Rights” (2022)</w:t>
      </w:r>
      <w:r w:rsidRPr="003A08A7">
        <w:rPr>
          <w:rFonts w:ascii="Gilroy" w:hAnsi="Gilroy"/>
          <w:sz w:val="18"/>
          <w:szCs w:val="18"/>
          <w:lang w:val="en-GB"/>
        </w:rPr>
        <w:t xml:space="preserve"> </w:t>
      </w:r>
      <w:hyperlink r:id="rId50" w:history="1">
        <w:r w:rsidRPr="003A08A7">
          <w:rPr>
            <w:rStyle w:val="Hyperlink"/>
            <w:rFonts w:ascii="Gilroy" w:hAnsi="Gilroy"/>
            <w:sz w:val="18"/>
            <w:szCs w:val="18"/>
            <w:lang w:val="en-GB"/>
          </w:rPr>
          <w:t>https://privacyinternational.org/long-read/4790/how-privacy-and-data-protection-law-can-help-defend-migrants-rights</w:t>
        </w:r>
      </w:hyperlink>
    </w:p>
  </w:footnote>
  <w:footnote w:id="52">
    <w:p w14:paraId="375936EB" w14:textId="24C5D13F" w:rsidR="00E020CE" w:rsidRPr="003A08A7" w:rsidRDefault="00E020CE" w:rsidP="003A08A7">
      <w:pPr>
        <w:pStyle w:val="FootnoteText"/>
        <w:jc w:val="both"/>
        <w:rPr>
          <w:rFonts w:ascii="Gilroy" w:hAnsi="Gilroy"/>
          <w:sz w:val="18"/>
          <w:szCs w:val="18"/>
        </w:rPr>
      </w:pPr>
      <w:r w:rsidRPr="003A08A7">
        <w:rPr>
          <w:rStyle w:val="FootnoteReference"/>
          <w:rFonts w:ascii="Gilroy" w:hAnsi="Gilroy"/>
          <w:sz w:val="18"/>
          <w:szCs w:val="18"/>
        </w:rPr>
        <w:footnoteRef/>
      </w:r>
      <w:r w:rsidRPr="003A08A7">
        <w:rPr>
          <w:rFonts w:ascii="Gilroy" w:hAnsi="Gilroy"/>
          <w:sz w:val="18"/>
          <w:szCs w:val="18"/>
        </w:rPr>
        <w:t xml:space="preserve"> European Data Protection Supervisor, Opinions, C92/1, </w:t>
      </w:r>
      <w:r w:rsidR="00D62B78" w:rsidRPr="003A08A7">
        <w:rPr>
          <w:rFonts w:ascii="Gilroy" w:hAnsi="Gilroy"/>
          <w:sz w:val="18"/>
          <w:szCs w:val="18"/>
        </w:rPr>
        <w:t>5 September 2012</w:t>
      </w:r>
      <w:r w:rsidRPr="003A08A7">
        <w:rPr>
          <w:rFonts w:ascii="Gilroy" w:hAnsi="Gilroy"/>
          <w:sz w:val="18"/>
          <w:szCs w:val="18"/>
        </w:rPr>
        <w:t xml:space="preserve">, </w:t>
      </w:r>
      <w:r w:rsidR="009E7BAB" w:rsidRPr="003A08A7">
        <w:rPr>
          <w:rFonts w:ascii="Gilroy" w:hAnsi="Gilroy"/>
          <w:sz w:val="18"/>
          <w:szCs w:val="18"/>
        </w:rPr>
        <w:t xml:space="preserve"> </w:t>
      </w:r>
      <w:hyperlink r:id="rId51" w:history="1">
        <w:r w:rsidR="00D62B78" w:rsidRPr="003A08A7">
          <w:rPr>
            <w:rStyle w:val="Hyperlink"/>
            <w:rFonts w:ascii="Gilroy" w:hAnsi="Gilroy"/>
            <w:sz w:val="18"/>
            <w:szCs w:val="18"/>
          </w:rPr>
          <w:t>https://edps.europa.eu/data-protection/our-work/publications/opinions/establishment-eurodac-comparison-fingerprints_en</w:t>
        </w:r>
      </w:hyperlink>
      <w:r w:rsidR="00D62B78" w:rsidRPr="003A08A7">
        <w:rPr>
          <w:rFonts w:ascii="Gilroy" w:hAnsi="Gilroy"/>
          <w:sz w:val="18"/>
          <w:szCs w:val="18"/>
        </w:rPr>
        <w:t xml:space="preserve"> </w:t>
      </w:r>
    </w:p>
  </w:footnote>
  <w:footnote w:id="53">
    <w:p w14:paraId="4910C386" w14:textId="476B8B6A" w:rsidR="002F07B7" w:rsidRPr="003A08A7" w:rsidRDefault="002F07B7" w:rsidP="003A08A7">
      <w:pPr>
        <w:pStyle w:val="FootnoteText"/>
        <w:jc w:val="both"/>
        <w:rPr>
          <w:rFonts w:ascii="Gilroy" w:hAnsi="Gilroy"/>
          <w:sz w:val="18"/>
          <w:szCs w:val="18"/>
        </w:rPr>
      </w:pPr>
      <w:r w:rsidRPr="003A08A7">
        <w:rPr>
          <w:rStyle w:val="FootnoteReference"/>
          <w:rFonts w:ascii="Gilroy" w:hAnsi="Gilroy"/>
          <w:sz w:val="18"/>
          <w:szCs w:val="18"/>
        </w:rPr>
        <w:footnoteRef/>
      </w:r>
      <w:r w:rsidR="00D62B78" w:rsidRPr="003A08A7">
        <w:rPr>
          <w:rFonts w:ascii="Gilroy" w:hAnsi="Gilroy"/>
          <w:sz w:val="18"/>
          <w:szCs w:val="18"/>
        </w:rPr>
        <w:t xml:space="preserve"> PICUM, “How do the new EU regulations on interoperability lead to discriminatory policing?”</w:t>
      </w:r>
      <w:r w:rsidRPr="003A08A7">
        <w:rPr>
          <w:rFonts w:ascii="Gilroy" w:hAnsi="Gilroy"/>
          <w:sz w:val="18"/>
          <w:szCs w:val="18"/>
        </w:rPr>
        <w:t xml:space="preserve"> </w:t>
      </w:r>
      <w:hyperlink r:id="rId52" w:history="1">
        <w:r w:rsidRPr="003A08A7">
          <w:rPr>
            <w:rStyle w:val="Hyperlink"/>
            <w:rFonts w:ascii="Gilroy" w:hAnsi="Gilroy"/>
            <w:sz w:val="18"/>
            <w:szCs w:val="18"/>
          </w:rPr>
          <w:t>https://picum.org/wp-content/uploads/2020/04/INFOGRAPHIC.-Interoperability-Systems-and-Access-to-Data_WEB_RGB.pdf</w:t>
        </w:r>
      </w:hyperlink>
      <w:r w:rsidRPr="003A08A7">
        <w:rPr>
          <w:rFonts w:ascii="Gilroy" w:hAnsi="Gilroy"/>
          <w:sz w:val="18"/>
          <w:szCs w:val="18"/>
        </w:rPr>
        <w:t xml:space="preserve"> </w:t>
      </w:r>
    </w:p>
  </w:footnote>
  <w:footnote w:id="54">
    <w:p w14:paraId="4D86905B" w14:textId="02DE51C7" w:rsidR="000B68C3" w:rsidRPr="003A08A7" w:rsidRDefault="000B68C3"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 xml:space="preserve">Ibid. </w:t>
      </w:r>
    </w:p>
  </w:footnote>
  <w:footnote w:id="55">
    <w:p w14:paraId="6236A0BE" w14:textId="6F2BC730" w:rsidR="000B68C3" w:rsidRPr="003A08A7" w:rsidRDefault="000B68C3"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Style w:val="markedcontent"/>
          <w:rFonts w:ascii="Gilroy" w:hAnsi="Gilroy" w:cs="Arial"/>
          <w:sz w:val="18"/>
          <w:szCs w:val="18"/>
        </w:rPr>
        <w:t xml:space="preserve">PICUM, Statewatch, </w:t>
      </w:r>
      <w:r w:rsidR="00D62B78" w:rsidRPr="003A08A7">
        <w:rPr>
          <w:rStyle w:val="markedcontent"/>
          <w:rFonts w:ascii="Gilroy" w:hAnsi="Gilroy" w:cs="Arial"/>
          <w:sz w:val="18"/>
          <w:szCs w:val="18"/>
        </w:rPr>
        <w:t>“</w:t>
      </w:r>
      <w:r w:rsidRPr="003A08A7">
        <w:rPr>
          <w:rStyle w:val="markedcontent"/>
          <w:rFonts w:ascii="Gilroy" w:hAnsi="Gilroy" w:cs="Arial"/>
          <w:sz w:val="18"/>
          <w:szCs w:val="18"/>
        </w:rPr>
        <w:t>Data Protection, Immigration Enforcement and Fundamental Rights: What the</w:t>
      </w:r>
      <w:r w:rsidRPr="003A08A7">
        <w:rPr>
          <w:rFonts w:ascii="Gilroy" w:hAnsi="Gilroy"/>
          <w:sz w:val="18"/>
          <w:szCs w:val="18"/>
        </w:rPr>
        <w:br/>
      </w:r>
      <w:r w:rsidRPr="003A08A7">
        <w:rPr>
          <w:rStyle w:val="markedcontent"/>
          <w:rFonts w:ascii="Gilroy" w:hAnsi="Gilroy" w:cs="Arial"/>
          <w:sz w:val="18"/>
          <w:szCs w:val="18"/>
        </w:rPr>
        <w:t>EU’s Regulations on Interoperability Mean for People with Irregular Status</w:t>
      </w:r>
      <w:r w:rsidR="00D62B78" w:rsidRPr="003A08A7">
        <w:rPr>
          <w:rStyle w:val="markedcontent"/>
          <w:rFonts w:ascii="Gilroy" w:hAnsi="Gilroy" w:cs="Arial"/>
          <w:sz w:val="18"/>
          <w:szCs w:val="18"/>
        </w:rPr>
        <w:t>”,</w:t>
      </w:r>
      <w:r w:rsidRPr="003A08A7">
        <w:rPr>
          <w:rStyle w:val="markedcontent"/>
          <w:rFonts w:ascii="Gilroy" w:hAnsi="Gilroy" w:cs="Arial"/>
          <w:sz w:val="18"/>
          <w:szCs w:val="18"/>
        </w:rPr>
        <w:t xml:space="preserve"> November 2019</w:t>
      </w:r>
      <w:r w:rsidR="00D62B78" w:rsidRPr="003A08A7">
        <w:rPr>
          <w:rStyle w:val="markedcontent"/>
          <w:rFonts w:ascii="Gilroy" w:hAnsi="Gilroy" w:cs="Arial"/>
          <w:sz w:val="18"/>
          <w:szCs w:val="18"/>
        </w:rPr>
        <w:t>,</w:t>
      </w:r>
      <w:r w:rsidRPr="003A08A7">
        <w:rPr>
          <w:rStyle w:val="markedcontent"/>
          <w:rFonts w:ascii="Gilroy" w:hAnsi="Gilroy" w:cs="Arial"/>
          <w:sz w:val="18"/>
          <w:szCs w:val="18"/>
        </w:rPr>
        <w:t xml:space="preserve"> </w:t>
      </w:r>
      <w:hyperlink r:id="rId53" w:history="1">
        <w:r w:rsidRPr="003A08A7">
          <w:rPr>
            <w:rStyle w:val="Hyperlink"/>
            <w:rFonts w:ascii="Gilroy" w:hAnsi="Gilroy" w:cs="Arial"/>
            <w:sz w:val="18"/>
            <w:szCs w:val="18"/>
          </w:rPr>
          <w:t>https://picum.org/wp-content/uploads/2019/11/Data-Protection-Immigration-Enforcement-and-Fundamental-Rights-Full-Report-EN.pdf</w:t>
        </w:r>
      </w:hyperlink>
      <w:r w:rsidRPr="003A08A7">
        <w:rPr>
          <w:rStyle w:val="markedcontent"/>
          <w:rFonts w:ascii="Gilroy" w:hAnsi="Gilroy" w:cs="Arial"/>
          <w:sz w:val="18"/>
          <w:szCs w:val="18"/>
        </w:rPr>
        <w:t xml:space="preserve"> </w:t>
      </w:r>
    </w:p>
  </w:footnote>
  <w:footnote w:id="56">
    <w:p w14:paraId="0AA157A2" w14:textId="38508B7D" w:rsidR="000B68C3" w:rsidRPr="003A08A7" w:rsidRDefault="000B68C3"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 xml:space="preserve">Ibid. </w:t>
      </w:r>
    </w:p>
  </w:footnote>
  <w:footnote w:id="57">
    <w:p w14:paraId="4DFB2EB3" w14:textId="2B7E0768" w:rsidR="008F38B3" w:rsidRPr="003A08A7" w:rsidRDefault="008F38B3"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Style w:val="markedcontent"/>
          <w:rFonts w:ascii="Gilroy" w:hAnsi="Gilroy" w:cs="Arial"/>
          <w:sz w:val="18"/>
          <w:szCs w:val="18"/>
        </w:rPr>
        <w:t xml:space="preserve">European Commission, </w:t>
      </w:r>
      <w:r w:rsidR="00D62B78" w:rsidRPr="003A08A7">
        <w:rPr>
          <w:rStyle w:val="markedcontent"/>
          <w:rFonts w:ascii="Gilroy" w:hAnsi="Gilroy" w:cs="Arial"/>
          <w:sz w:val="18"/>
          <w:szCs w:val="18"/>
        </w:rPr>
        <w:t>“</w:t>
      </w:r>
      <w:r w:rsidRPr="003A08A7">
        <w:rPr>
          <w:rStyle w:val="markedcontent"/>
          <w:rFonts w:ascii="Gilroy" w:hAnsi="Gilroy" w:cs="Arial"/>
          <w:sz w:val="18"/>
          <w:szCs w:val="18"/>
        </w:rPr>
        <w:t>Security-related information sharing - reciprocal access for frontline officers</w:t>
      </w:r>
      <w:r w:rsidRPr="003A08A7">
        <w:rPr>
          <w:rFonts w:ascii="Gilroy" w:hAnsi="Gilroy"/>
          <w:sz w:val="18"/>
          <w:szCs w:val="18"/>
        </w:rPr>
        <w:br/>
      </w:r>
      <w:r w:rsidRPr="003A08A7">
        <w:rPr>
          <w:rStyle w:val="markedcontent"/>
          <w:rFonts w:ascii="Gilroy" w:hAnsi="Gilroy" w:cs="Arial"/>
          <w:sz w:val="18"/>
          <w:szCs w:val="18"/>
        </w:rPr>
        <w:t>in the EU and key partner countries</w:t>
      </w:r>
      <w:r w:rsidR="00D62B78" w:rsidRPr="003A08A7">
        <w:rPr>
          <w:rStyle w:val="markedcontent"/>
          <w:rFonts w:ascii="Gilroy" w:hAnsi="Gilroy" w:cs="Arial"/>
          <w:sz w:val="18"/>
          <w:szCs w:val="18"/>
        </w:rPr>
        <w:t>”</w:t>
      </w:r>
      <w:r w:rsidRPr="003A08A7">
        <w:rPr>
          <w:rStyle w:val="markedcontent"/>
          <w:rFonts w:ascii="Gilroy" w:hAnsi="Gilroy" w:cs="Arial"/>
          <w:sz w:val="18"/>
          <w:szCs w:val="18"/>
        </w:rPr>
        <w:t xml:space="preserve"> </w:t>
      </w:r>
      <w:r w:rsidR="00D62B78" w:rsidRPr="003A08A7">
        <w:rPr>
          <w:rStyle w:val="markedcontent"/>
          <w:rFonts w:ascii="Gilroy" w:hAnsi="Gilroy" w:cs="Arial"/>
          <w:sz w:val="18"/>
          <w:szCs w:val="18"/>
        </w:rPr>
        <w:t>(</w:t>
      </w:r>
      <w:r w:rsidRPr="003A08A7">
        <w:rPr>
          <w:rStyle w:val="markedcontent"/>
          <w:rFonts w:ascii="Gilroy" w:hAnsi="Gilroy" w:cs="Arial"/>
          <w:sz w:val="18"/>
          <w:szCs w:val="18"/>
        </w:rPr>
        <w:t>January 2023</w:t>
      </w:r>
      <w:r w:rsidR="00D62B78" w:rsidRPr="003A08A7">
        <w:rPr>
          <w:rStyle w:val="markedcontent"/>
          <w:rFonts w:ascii="Gilroy" w:hAnsi="Gilroy" w:cs="Arial"/>
          <w:sz w:val="18"/>
          <w:szCs w:val="18"/>
        </w:rPr>
        <w:t>)</w:t>
      </w:r>
      <w:r w:rsidRPr="003A08A7">
        <w:rPr>
          <w:rStyle w:val="markedcontent"/>
          <w:rFonts w:ascii="Gilroy" w:hAnsi="Gilroy" w:cs="Arial"/>
          <w:sz w:val="18"/>
          <w:szCs w:val="18"/>
        </w:rPr>
        <w:t xml:space="preserve"> </w:t>
      </w:r>
      <w:hyperlink r:id="rId54" w:history="1">
        <w:r w:rsidR="00D62B78" w:rsidRPr="003A08A7">
          <w:rPr>
            <w:rStyle w:val="Hyperlink"/>
            <w:rFonts w:ascii="Gilroy" w:hAnsi="Gilroy" w:cs="Arial"/>
            <w:sz w:val="18"/>
            <w:szCs w:val="18"/>
          </w:rPr>
          <w:t>https://ec.europa.eu/info/law/better-regulation/have-your-say/initiatives/13243-Security-related-information-sharing-%E2%88%92-reciprocal-access-for-frontline-officers-in-the-EU-and-key-partner-countries_en</w:t>
        </w:r>
      </w:hyperlink>
      <w:r w:rsidR="00D62B78" w:rsidRPr="003A08A7">
        <w:rPr>
          <w:rStyle w:val="markedcontent"/>
          <w:rFonts w:ascii="Gilroy" w:hAnsi="Gilroy" w:cs="Arial"/>
          <w:sz w:val="18"/>
          <w:szCs w:val="18"/>
        </w:rPr>
        <w:t xml:space="preserve"> </w:t>
      </w:r>
    </w:p>
  </w:footnote>
  <w:footnote w:id="58">
    <w:p w14:paraId="3133FF09" w14:textId="12CA48B6" w:rsidR="008F38B3" w:rsidRPr="003A08A7" w:rsidRDefault="008F38B3"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PI, </w:t>
      </w:r>
      <w:r w:rsidR="00D62B78" w:rsidRPr="003A08A7">
        <w:rPr>
          <w:rFonts w:ascii="Gilroy" w:hAnsi="Gilroy"/>
          <w:sz w:val="18"/>
          <w:szCs w:val="18"/>
        </w:rPr>
        <w:t>“</w:t>
      </w:r>
      <w:r w:rsidRPr="003A08A7">
        <w:rPr>
          <w:rFonts w:ascii="Gilroy" w:hAnsi="Gilroy"/>
          <w:sz w:val="18"/>
          <w:szCs w:val="18"/>
        </w:rPr>
        <w:t>Joint Submission to European Commission on cross-border sharing of data for mixed criminal law and immigration control purposes</w:t>
      </w:r>
      <w:r w:rsidR="00D62B78" w:rsidRPr="003A08A7">
        <w:rPr>
          <w:rFonts w:ascii="Gilroy" w:hAnsi="Gilroy"/>
          <w:sz w:val="18"/>
          <w:szCs w:val="18"/>
        </w:rPr>
        <w:t>”</w:t>
      </w:r>
      <w:r w:rsidRPr="003A08A7">
        <w:rPr>
          <w:rFonts w:ascii="Gilroy" w:hAnsi="Gilroy"/>
          <w:sz w:val="18"/>
          <w:szCs w:val="18"/>
        </w:rPr>
        <w:t xml:space="preserve">, submitted together with Border Violence Monitoring Network (BVMN), Statewatch, </w:t>
      </w:r>
      <w:proofErr w:type="spellStart"/>
      <w:r w:rsidRPr="003A08A7">
        <w:rPr>
          <w:rFonts w:ascii="Gilroy" w:hAnsi="Gilroy"/>
          <w:sz w:val="18"/>
          <w:szCs w:val="18"/>
        </w:rPr>
        <w:t>Euromed</w:t>
      </w:r>
      <w:proofErr w:type="spellEnd"/>
      <w:r w:rsidRPr="003A08A7">
        <w:rPr>
          <w:rFonts w:ascii="Gilroy" w:hAnsi="Gilroy"/>
          <w:sz w:val="18"/>
          <w:szCs w:val="18"/>
        </w:rPr>
        <w:t xml:space="preserve"> Rights, European Digital Rights (</w:t>
      </w:r>
      <w:proofErr w:type="spellStart"/>
      <w:r w:rsidRPr="003A08A7">
        <w:rPr>
          <w:rFonts w:ascii="Gilroy" w:hAnsi="Gilroy"/>
          <w:sz w:val="18"/>
          <w:szCs w:val="18"/>
        </w:rPr>
        <w:t>EDRi</w:t>
      </w:r>
      <w:proofErr w:type="spellEnd"/>
      <w:r w:rsidRPr="003A08A7">
        <w:rPr>
          <w:rFonts w:ascii="Gilroy" w:hAnsi="Gilroy"/>
          <w:sz w:val="18"/>
          <w:szCs w:val="18"/>
        </w:rPr>
        <w:t xml:space="preserve">), Access Now, Refugee Law Lab (York University), Homo Digitalis and the Platform for International Cooperation on Undocumented Migrants (PICUM) </w:t>
      </w:r>
      <w:r w:rsidR="00D62B78" w:rsidRPr="003A08A7">
        <w:rPr>
          <w:rFonts w:ascii="Gilroy" w:hAnsi="Gilroy"/>
          <w:sz w:val="18"/>
          <w:szCs w:val="18"/>
        </w:rPr>
        <w:t>(</w:t>
      </w:r>
      <w:r w:rsidRPr="003A08A7">
        <w:rPr>
          <w:rFonts w:ascii="Gilroy" w:hAnsi="Gilroy"/>
          <w:sz w:val="18"/>
          <w:szCs w:val="18"/>
        </w:rPr>
        <w:t>30 March 2023</w:t>
      </w:r>
      <w:r w:rsidR="00D62B78" w:rsidRPr="003A08A7">
        <w:rPr>
          <w:rFonts w:ascii="Gilroy" w:hAnsi="Gilroy"/>
          <w:sz w:val="18"/>
          <w:szCs w:val="18"/>
        </w:rPr>
        <w:t>)</w:t>
      </w:r>
      <w:r w:rsidRPr="003A08A7">
        <w:rPr>
          <w:rFonts w:ascii="Gilroy" w:hAnsi="Gilroy"/>
          <w:sz w:val="18"/>
          <w:szCs w:val="18"/>
        </w:rPr>
        <w:t xml:space="preserve"> </w:t>
      </w:r>
      <w:hyperlink r:id="rId55" w:history="1">
        <w:r w:rsidRPr="003A08A7">
          <w:rPr>
            <w:rStyle w:val="Hyperlink"/>
            <w:rFonts w:ascii="Gilroy" w:hAnsi="Gilroy"/>
            <w:sz w:val="18"/>
            <w:szCs w:val="18"/>
          </w:rPr>
          <w:t>https://privacyinternational.org/advocacy/5055/joint-submission-european-commission-cross-border-sharing-data-mixed-criminal-law-and</w:t>
        </w:r>
      </w:hyperlink>
      <w:r w:rsidRPr="003A08A7">
        <w:rPr>
          <w:rFonts w:ascii="Gilroy" w:hAnsi="Gilroy"/>
          <w:sz w:val="18"/>
          <w:szCs w:val="18"/>
        </w:rPr>
        <w:t xml:space="preserve"> </w:t>
      </w:r>
    </w:p>
  </w:footnote>
  <w:footnote w:id="59">
    <w:p w14:paraId="2416D073" w14:textId="1860045F" w:rsidR="00B776E8" w:rsidRPr="003A08A7" w:rsidRDefault="00B776E8"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 xml:space="preserve">Ibid. </w:t>
      </w:r>
    </w:p>
  </w:footnote>
  <w:footnote w:id="60">
    <w:p w14:paraId="248106A8" w14:textId="56F2FDB7" w:rsidR="00B776E8" w:rsidRPr="003A08A7" w:rsidRDefault="00B776E8"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D62B78" w:rsidRPr="003A08A7">
        <w:rPr>
          <w:rFonts w:ascii="Gilroy" w:hAnsi="Gilroy"/>
          <w:sz w:val="18"/>
          <w:szCs w:val="18"/>
        </w:rPr>
        <w:t xml:space="preserve"> European Commission, Migration and Home Affairs, “Common European Asylum System”,</w:t>
      </w:r>
      <w:r w:rsidRPr="003A08A7">
        <w:rPr>
          <w:rFonts w:ascii="Gilroy" w:hAnsi="Gilroy"/>
          <w:sz w:val="18"/>
          <w:szCs w:val="18"/>
        </w:rPr>
        <w:t xml:space="preserve"> </w:t>
      </w:r>
      <w:hyperlink r:id="rId56" w:history="1">
        <w:r w:rsidRPr="003A08A7">
          <w:rPr>
            <w:rStyle w:val="Hyperlink"/>
            <w:rFonts w:ascii="Gilroy" w:hAnsi="Gilroy"/>
            <w:sz w:val="18"/>
            <w:szCs w:val="18"/>
          </w:rPr>
          <w:t>https://home-affairs.ec.europa.eu/policies/migration-and-asylum/common-european-asylum-system_en</w:t>
        </w:r>
      </w:hyperlink>
      <w:r w:rsidRPr="003A08A7">
        <w:rPr>
          <w:rFonts w:ascii="Gilroy" w:hAnsi="Gilroy"/>
          <w:sz w:val="18"/>
          <w:szCs w:val="18"/>
        </w:rPr>
        <w:t xml:space="preserve"> </w:t>
      </w:r>
    </w:p>
  </w:footnote>
  <w:footnote w:id="61">
    <w:p w14:paraId="2FFC9386" w14:textId="75541E5E" w:rsidR="009607D6" w:rsidRPr="003A08A7" w:rsidRDefault="009607D6"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Refugee Rights Europe, </w:t>
      </w:r>
      <w:r w:rsidR="00D62B78" w:rsidRPr="003A08A7">
        <w:rPr>
          <w:rFonts w:ascii="Gilroy" w:hAnsi="Gilroy"/>
          <w:sz w:val="18"/>
          <w:szCs w:val="18"/>
        </w:rPr>
        <w:t>“</w:t>
      </w:r>
      <w:r w:rsidRPr="003A08A7">
        <w:rPr>
          <w:rFonts w:ascii="Gilroy" w:hAnsi="Gilroy"/>
          <w:sz w:val="18"/>
          <w:szCs w:val="18"/>
        </w:rPr>
        <w:t>Limits to access to Asylum along the Balkan Route</w:t>
      </w:r>
      <w:r w:rsidR="00D62B78" w:rsidRPr="003A08A7">
        <w:rPr>
          <w:rFonts w:ascii="Gilroy" w:hAnsi="Gilroy"/>
          <w:sz w:val="18"/>
          <w:szCs w:val="18"/>
        </w:rPr>
        <w:t>” (2020)</w:t>
      </w:r>
      <w:r w:rsidRPr="003A08A7">
        <w:rPr>
          <w:rFonts w:ascii="Gilroy" w:hAnsi="Gilroy"/>
          <w:sz w:val="18"/>
          <w:szCs w:val="18"/>
        </w:rPr>
        <w:t xml:space="preserve"> </w:t>
      </w:r>
      <w:hyperlink r:id="rId57" w:history="1">
        <w:r w:rsidRPr="003A08A7">
          <w:rPr>
            <w:rStyle w:val="Hyperlink"/>
            <w:rFonts w:ascii="Gilroy" w:hAnsi="Gilroy"/>
            <w:sz w:val="18"/>
            <w:szCs w:val="18"/>
          </w:rPr>
          <w:t>https://refugee-rights.eu/wp-content/uploads/2020/07/RRE_LimitedAccessToAsylumAlongTheBalkanRoute.pdf</w:t>
        </w:r>
      </w:hyperlink>
      <w:r w:rsidRPr="003A08A7">
        <w:rPr>
          <w:rFonts w:ascii="Gilroy" w:hAnsi="Gilroy"/>
          <w:sz w:val="18"/>
          <w:szCs w:val="18"/>
        </w:rPr>
        <w:t xml:space="preserve">. </w:t>
      </w:r>
    </w:p>
  </w:footnote>
  <w:footnote w:id="62">
    <w:p w14:paraId="5A57535B" w14:textId="371DFB74" w:rsidR="00452FE4" w:rsidRPr="003A08A7" w:rsidRDefault="00452FE4"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D62B78" w:rsidRPr="003A08A7">
        <w:rPr>
          <w:rFonts w:ascii="Gilroy" w:hAnsi="Gilroy"/>
          <w:sz w:val="18"/>
          <w:szCs w:val="18"/>
        </w:rPr>
        <w:t xml:space="preserve"> PI, “UK </w:t>
      </w:r>
      <w:proofErr w:type="spellStart"/>
      <w:r w:rsidR="00D62B78" w:rsidRPr="003A08A7">
        <w:rPr>
          <w:rFonts w:ascii="Gilroy" w:hAnsi="Gilroy"/>
          <w:sz w:val="18"/>
          <w:szCs w:val="18"/>
        </w:rPr>
        <w:t>Deparment</w:t>
      </w:r>
      <w:proofErr w:type="spellEnd"/>
      <w:r w:rsidR="00D62B78" w:rsidRPr="003A08A7">
        <w:rPr>
          <w:rFonts w:ascii="Gilroy" w:hAnsi="Gilroy"/>
          <w:sz w:val="18"/>
          <w:szCs w:val="18"/>
        </w:rPr>
        <w:t xml:space="preserve"> of Education shares pupil data with immigration enforcement” (2019) </w:t>
      </w:r>
      <w:r w:rsidRPr="003A08A7">
        <w:rPr>
          <w:rFonts w:ascii="Gilroy" w:hAnsi="Gilroy"/>
          <w:sz w:val="18"/>
          <w:szCs w:val="18"/>
        </w:rPr>
        <w:t xml:space="preserve"> </w:t>
      </w:r>
      <w:hyperlink r:id="rId58" w:history="1">
        <w:r w:rsidRPr="003A08A7">
          <w:rPr>
            <w:rStyle w:val="Hyperlink"/>
            <w:rFonts w:ascii="Gilroy" w:hAnsi="Gilroy"/>
            <w:sz w:val="18"/>
            <w:szCs w:val="18"/>
          </w:rPr>
          <w:t>https://privacyinternational.org/examples/3152/uk-deparment-education-shares-pupil-data-immigration-enforcement</w:t>
        </w:r>
      </w:hyperlink>
      <w:r w:rsidR="002149C2" w:rsidRPr="003A08A7">
        <w:rPr>
          <w:rFonts w:ascii="Gilroy" w:hAnsi="Gilroy"/>
          <w:sz w:val="18"/>
          <w:szCs w:val="18"/>
        </w:rPr>
        <w:t xml:space="preserve"> </w:t>
      </w:r>
    </w:p>
  </w:footnote>
  <w:footnote w:id="63">
    <w:p w14:paraId="08D0BB8A" w14:textId="1D8A0AB9" w:rsidR="002149C2" w:rsidRPr="003A08A7" w:rsidRDefault="002149C2"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00D62B78" w:rsidRPr="003A08A7">
        <w:rPr>
          <w:rFonts w:ascii="Gilroy" w:hAnsi="Gilroy"/>
          <w:sz w:val="18"/>
          <w:szCs w:val="18"/>
        </w:rPr>
        <w:t xml:space="preserve"> </w:t>
      </w:r>
      <w:r w:rsidR="00027A5A" w:rsidRPr="003A08A7">
        <w:rPr>
          <w:rFonts w:ascii="Gilroy" w:hAnsi="Gilroy"/>
          <w:sz w:val="18"/>
          <w:szCs w:val="18"/>
        </w:rPr>
        <w:t xml:space="preserve">Gayle, D. </w:t>
      </w:r>
      <w:r w:rsidR="00D62B78" w:rsidRPr="003A08A7">
        <w:rPr>
          <w:rFonts w:ascii="Gilroy" w:hAnsi="Gilroy"/>
          <w:sz w:val="18"/>
          <w:szCs w:val="18"/>
        </w:rPr>
        <w:t>“</w:t>
      </w:r>
      <w:r w:rsidR="00027A5A" w:rsidRPr="003A08A7">
        <w:rPr>
          <w:rFonts w:ascii="Gilroy" w:hAnsi="Gilroy"/>
          <w:sz w:val="18"/>
          <w:szCs w:val="18"/>
        </w:rPr>
        <w:t>Schools census used to enforce immigration laws, minister says</w:t>
      </w:r>
      <w:r w:rsidR="00D62B78" w:rsidRPr="003A08A7">
        <w:rPr>
          <w:rFonts w:ascii="Gilroy" w:hAnsi="Gilroy"/>
          <w:sz w:val="18"/>
          <w:szCs w:val="18"/>
        </w:rPr>
        <w:t>”</w:t>
      </w:r>
      <w:r w:rsidR="00027A5A" w:rsidRPr="003A08A7">
        <w:rPr>
          <w:rFonts w:ascii="Gilroy" w:hAnsi="Gilroy"/>
          <w:sz w:val="18"/>
          <w:szCs w:val="18"/>
        </w:rPr>
        <w:t xml:space="preserve">, The Guardian, 13 January 2019, </w:t>
      </w:r>
      <w:hyperlink r:id="rId59" w:history="1">
        <w:r w:rsidRPr="003A08A7">
          <w:rPr>
            <w:rStyle w:val="Hyperlink"/>
            <w:rFonts w:ascii="Gilroy" w:hAnsi="Gilroy"/>
            <w:sz w:val="18"/>
            <w:szCs w:val="18"/>
          </w:rPr>
          <w:t>https://privacyinternational.org/news-analysis/4424/hostile-environment-incompatible-public-health-pi-joins-vaccine-all-campaign</w:t>
        </w:r>
      </w:hyperlink>
    </w:p>
  </w:footnote>
  <w:footnote w:id="64">
    <w:p w14:paraId="04507E36" w14:textId="1B409C70" w:rsidR="00631B76" w:rsidRPr="003A08A7" w:rsidRDefault="00631B76"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D62B78" w:rsidRPr="003A08A7">
        <w:rPr>
          <w:rFonts w:ascii="Gilroy" w:hAnsi="Gilroy"/>
          <w:sz w:val="18"/>
          <w:szCs w:val="18"/>
        </w:rPr>
        <w:t xml:space="preserve">HRW, “EU: Frontex Complicit in Abuse in Libya - Aerial Surveillance Is Enabling Interceptions, Return of Migrants to Harm” (2022) </w:t>
      </w:r>
      <w:hyperlink r:id="rId60" w:history="1">
        <w:r w:rsidR="00D62B78" w:rsidRPr="003A08A7">
          <w:rPr>
            <w:rStyle w:val="Hyperlink"/>
            <w:rFonts w:ascii="Gilroy" w:hAnsi="Gilroy"/>
            <w:sz w:val="18"/>
            <w:szCs w:val="18"/>
          </w:rPr>
          <w:t>https://www.hrw.org/news/2022/12/12/eu-frontex-complicit-abuse-libya</w:t>
        </w:r>
      </w:hyperlink>
    </w:p>
  </w:footnote>
  <w:footnote w:id="65">
    <w:p w14:paraId="1ABE6F5C" w14:textId="7BA38AAF" w:rsidR="00854D41" w:rsidRPr="003A08A7" w:rsidRDefault="00854D41"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D62B78" w:rsidRPr="003A08A7">
        <w:rPr>
          <w:rFonts w:ascii="Gilroy" w:hAnsi="Gilroy"/>
          <w:sz w:val="18"/>
          <w:szCs w:val="18"/>
        </w:rPr>
        <w:t xml:space="preserve">PI, “Public-Private surveillance partnerships”, </w:t>
      </w:r>
      <w:hyperlink r:id="rId61" w:history="1">
        <w:r w:rsidR="00D62B78" w:rsidRPr="003A08A7">
          <w:rPr>
            <w:rStyle w:val="Hyperlink"/>
            <w:rFonts w:ascii="Gilroy" w:hAnsi="Gilroy"/>
            <w:sz w:val="18"/>
            <w:szCs w:val="18"/>
          </w:rPr>
          <w:t>https://privacyinternational.org/learn/public-private-surveillance-partnerships</w:t>
        </w:r>
      </w:hyperlink>
      <w:r w:rsidR="00D62B78" w:rsidRPr="003A08A7">
        <w:rPr>
          <w:rFonts w:ascii="Gilroy" w:hAnsi="Gilroy"/>
          <w:sz w:val="18"/>
          <w:szCs w:val="18"/>
        </w:rPr>
        <w:t xml:space="preserve"> </w:t>
      </w:r>
    </w:p>
  </w:footnote>
  <w:footnote w:id="66">
    <w:p w14:paraId="28CD870B" w14:textId="4BF9AA09" w:rsidR="009973A8" w:rsidRPr="003A08A7" w:rsidRDefault="009973A8"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027A5A" w:rsidRPr="003A08A7">
        <w:rPr>
          <w:rFonts w:ascii="Gilroy" w:hAnsi="Gilroy"/>
          <w:sz w:val="18"/>
          <w:szCs w:val="18"/>
        </w:rPr>
        <w:t xml:space="preserve">PI, “Here’s how a well-connected security company is quietly building mass biometric databases in West Africa with EU aid funds” (2020) </w:t>
      </w:r>
      <w:hyperlink r:id="rId62" w:history="1">
        <w:r w:rsidR="00027A5A" w:rsidRPr="003A08A7">
          <w:rPr>
            <w:rStyle w:val="Hyperlink"/>
            <w:rFonts w:ascii="Gilroy" w:hAnsi="Gilroy"/>
            <w:sz w:val="18"/>
            <w:szCs w:val="18"/>
          </w:rPr>
          <w:t>https://privacyinternational.org/news-analysis/4290/heres-how-well-connected-security-company-quietly-building-mass-biometric</w:t>
        </w:r>
      </w:hyperlink>
    </w:p>
  </w:footnote>
  <w:footnote w:id="67">
    <w:p w14:paraId="337E45E7" w14:textId="228B12B2" w:rsidR="00631B76" w:rsidRPr="003A08A7" w:rsidRDefault="00631B76"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027A5A" w:rsidRPr="003A08A7">
        <w:rPr>
          <w:rFonts w:ascii="Gilroy" w:hAnsi="Gilroy"/>
          <w:sz w:val="18"/>
          <w:szCs w:val="18"/>
        </w:rPr>
        <w:t xml:space="preserve">PI, “Safeguards for Public-Private Surveillance Partnerships”, </w:t>
      </w:r>
      <w:hyperlink r:id="rId63" w:history="1">
        <w:r w:rsidR="00027A5A" w:rsidRPr="003A08A7">
          <w:rPr>
            <w:rStyle w:val="Hyperlink"/>
            <w:rFonts w:ascii="Gilroy" w:hAnsi="Gilroy"/>
            <w:sz w:val="18"/>
            <w:szCs w:val="18"/>
          </w:rPr>
          <w:t>https://privacyinternational.org/our-demands/safeguards-public-private-surveillance-partnerships</w:t>
        </w:r>
      </w:hyperlink>
      <w:r w:rsidRPr="003A08A7">
        <w:rPr>
          <w:rFonts w:ascii="Gilroy" w:hAnsi="Gilroy"/>
          <w:sz w:val="18"/>
          <w:szCs w:val="18"/>
        </w:rPr>
        <w:t xml:space="preserve"> </w:t>
      </w:r>
    </w:p>
  </w:footnote>
  <w:footnote w:id="68">
    <w:p w14:paraId="41B64DA3" w14:textId="7F2E8249" w:rsidR="00854D41" w:rsidRPr="003A08A7" w:rsidRDefault="00854D41" w:rsidP="003A08A7">
      <w:pPr>
        <w:pStyle w:val="FootnoteText"/>
        <w:jc w:val="both"/>
        <w:rPr>
          <w:rFonts w:ascii="Gilroy" w:hAnsi="Gilroy"/>
          <w:sz w:val="18"/>
          <w:szCs w:val="18"/>
        </w:rPr>
      </w:pPr>
      <w:r w:rsidRPr="003A08A7">
        <w:rPr>
          <w:rStyle w:val="FootnoteReference"/>
          <w:rFonts w:ascii="Gilroy" w:hAnsi="Gilroy"/>
          <w:sz w:val="18"/>
          <w:szCs w:val="18"/>
        </w:rPr>
        <w:footnoteRef/>
      </w:r>
      <w:r w:rsidR="00027A5A" w:rsidRPr="003A08A7">
        <w:rPr>
          <w:rFonts w:ascii="Gilroy" w:hAnsi="Gilroy"/>
          <w:sz w:val="18"/>
          <w:szCs w:val="18"/>
        </w:rPr>
        <w:t xml:space="preserve"> PI, “Who supplies the data, analysis, and tech infrastructure to US immigration authorities?” (2018) </w:t>
      </w:r>
      <w:r w:rsidRPr="003A08A7">
        <w:rPr>
          <w:rFonts w:ascii="Gilroy" w:hAnsi="Gilroy"/>
          <w:sz w:val="18"/>
          <w:szCs w:val="18"/>
        </w:rPr>
        <w:t xml:space="preserve"> </w:t>
      </w:r>
      <w:hyperlink r:id="rId64" w:history="1">
        <w:r w:rsidRPr="003A08A7">
          <w:rPr>
            <w:rStyle w:val="Hyperlink"/>
            <w:rFonts w:ascii="Gilroy" w:hAnsi="Gilroy"/>
            <w:sz w:val="18"/>
            <w:szCs w:val="18"/>
          </w:rPr>
          <w:t>https://privacyinternational.org/long-read/2216/who-supplies-data-analysis-and-tech-infrastructure-us-immigration-authorities</w:t>
        </w:r>
      </w:hyperlink>
    </w:p>
  </w:footnote>
  <w:footnote w:id="69">
    <w:p w14:paraId="19175B8D" w14:textId="303C4E86" w:rsidR="00CE0D20" w:rsidRPr="003A08A7" w:rsidRDefault="00CE0D20" w:rsidP="003A08A7">
      <w:pPr>
        <w:pStyle w:val="FootnoteText"/>
        <w:jc w:val="both"/>
        <w:rPr>
          <w:rFonts w:ascii="Gilroy" w:hAnsi="Gilroy" w:cs="Arial"/>
          <w:sz w:val="18"/>
          <w:szCs w:val="18"/>
        </w:rPr>
      </w:pPr>
      <w:r w:rsidRPr="003A08A7">
        <w:rPr>
          <w:rStyle w:val="FootnoteReference"/>
          <w:rFonts w:ascii="Gilroy" w:hAnsi="Gilroy"/>
          <w:sz w:val="18"/>
          <w:szCs w:val="18"/>
        </w:rPr>
        <w:footnoteRef/>
      </w:r>
      <w:r w:rsidRPr="003A08A7">
        <w:rPr>
          <w:rFonts w:ascii="Gilroy" w:hAnsi="Gilroy"/>
          <w:sz w:val="18"/>
          <w:szCs w:val="18"/>
        </w:rPr>
        <w:t xml:space="preserve"> </w:t>
      </w:r>
      <w:r w:rsidRPr="003A08A7">
        <w:rPr>
          <w:rFonts w:ascii="Gilroy" w:hAnsi="Gilroy"/>
          <w:sz w:val="18"/>
          <w:szCs w:val="18"/>
          <w:lang w:val="en-GB"/>
        </w:rPr>
        <w:t xml:space="preserve">PI, </w:t>
      </w:r>
      <w:r w:rsidR="00027A5A" w:rsidRPr="003A08A7">
        <w:rPr>
          <w:rFonts w:ascii="Gilroy" w:hAnsi="Gilroy"/>
          <w:sz w:val="18"/>
          <w:szCs w:val="18"/>
          <w:lang w:val="en-GB"/>
        </w:rPr>
        <w:t>“</w:t>
      </w:r>
      <w:r w:rsidRPr="003A08A7">
        <w:rPr>
          <w:rFonts w:ascii="Gilroy" w:hAnsi="Gilroy"/>
          <w:sz w:val="18"/>
          <w:szCs w:val="18"/>
          <w:lang w:val="en-GB"/>
        </w:rPr>
        <w:t xml:space="preserve">Submission to the </w:t>
      </w:r>
      <w:r w:rsidRPr="003A08A7">
        <w:rPr>
          <w:rStyle w:val="markedcontent"/>
          <w:rFonts w:ascii="Gilroy" w:hAnsi="Gilroy" w:cs="Arial"/>
          <w:sz w:val="18"/>
          <w:szCs w:val="18"/>
        </w:rPr>
        <w:t>UN Working</w:t>
      </w:r>
      <w:r w:rsidRPr="003A08A7">
        <w:rPr>
          <w:rFonts w:ascii="Gilroy" w:hAnsi="Gilroy"/>
          <w:sz w:val="18"/>
          <w:szCs w:val="18"/>
        </w:rPr>
        <w:t xml:space="preserve"> </w:t>
      </w:r>
      <w:r w:rsidRPr="003A08A7">
        <w:rPr>
          <w:rStyle w:val="markedcontent"/>
          <w:rFonts w:ascii="Gilroy" w:hAnsi="Gilroy" w:cs="Arial"/>
          <w:sz w:val="18"/>
          <w:szCs w:val="18"/>
        </w:rPr>
        <w:t>Group on the use of mercenaries: on the role of private companies</w:t>
      </w:r>
      <w:r w:rsidRPr="003A08A7">
        <w:rPr>
          <w:rFonts w:ascii="Gilroy" w:hAnsi="Gilroy"/>
          <w:sz w:val="18"/>
          <w:szCs w:val="18"/>
        </w:rPr>
        <w:t xml:space="preserve"> </w:t>
      </w:r>
      <w:r w:rsidRPr="003A08A7">
        <w:rPr>
          <w:rStyle w:val="markedcontent"/>
          <w:rFonts w:ascii="Gilroy" w:hAnsi="Gilroy" w:cs="Arial"/>
          <w:sz w:val="18"/>
          <w:szCs w:val="18"/>
        </w:rPr>
        <w:t>in immigration and border</w:t>
      </w:r>
      <w:r w:rsidRPr="003A08A7">
        <w:rPr>
          <w:rFonts w:ascii="Gilroy" w:hAnsi="Gilroy"/>
          <w:sz w:val="18"/>
          <w:szCs w:val="18"/>
        </w:rPr>
        <w:t xml:space="preserve"> </w:t>
      </w:r>
      <w:r w:rsidRPr="003A08A7">
        <w:rPr>
          <w:rStyle w:val="markedcontent"/>
          <w:rFonts w:ascii="Gilroy" w:hAnsi="Gilroy" w:cs="Arial"/>
          <w:sz w:val="18"/>
          <w:szCs w:val="18"/>
        </w:rPr>
        <w:t>management and the impact</w:t>
      </w:r>
      <w:r w:rsidRPr="003A08A7">
        <w:rPr>
          <w:rFonts w:ascii="Gilroy" w:hAnsi="Gilroy"/>
          <w:sz w:val="18"/>
          <w:szCs w:val="18"/>
        </w:rPr>
        <w:t xml:space="preserve"> </w:t>
      </w:r>
      <w:r w:rsidRPr="003A08A7">
        <w:rPr>
          <w:rStyle w:val="markedcontent"/>
          <w:rFonts w:ascii="Gilroy" w:hAnsi="Gilroy" w:cs="Arial"/>
          <w:sz w:val="18"/>
          <w:szCs w:val="18"/>
        </w:rPr>
        <w:t>on the rights of migrants</w:t>
      </w:r>
      <w:r w:rsidR="00027A5A" w:rsidRPr="003A08A7">
        <w:rPr>
          <w:rStyle w:val="markedcontent"/>
          <w:rFonts w:ascii="Gilroy" w:hAnsi="Gilroy" w:cs="Arial"/>
          <w:sz w:val="18"/>
          <w:szCs w:val="18"/>
        </w:rPr>
        <w:t xml:space="preserve"> (</w:t>
      </w:r>
      <w:r w:rsidRPr="003A08A7">
        <w:rPr>
          <w:rStyle w:val="markedcontent"/>
          <w:rFonts w:ascii="Gilroy" w:hAnsi="Gilroy" w:cs="Arial"/>
          <w:sz w:val="18"/>
          <w:szCs w:val="18"/>
        </w:rPr>
        <w:t>March 2020</w:t>
      </w:r>
      <w:r w:rsidR="00027A5A" w:rsidRPr="003A08A7">
        <w:rPr>
          <w:rStyle w:val="markedcontent"/>
          <w:rFonts w:ascii="Gilroy" w:hAnsi="Gilroy" w:cs="Arial"/>
          <w:sz w:val="18"/>
          <w:szCs w:val="18"/>
        </w:rPr>
        <w:t>)</w:t>
      </w:r>
      <w:r w:rsidRPr="003A08A7">
        <w:rPr>
          <w:rStyle w:val="markedcontent"/>
          <w:rFonts w:ascii="Gilroy" w:hAnsi="Gilroy" w:cs="Arial"/>
          <w:sz w:val="18"/>
          <w:szCs w:val="18"/>
        </w:rPr>
        <w:t xml:space="preserve"> </w:t>
      </w:r>
      <w:hyperlink r:id="rId65" w:history="1">
        <w:r w:rsidRPr="003A08A7">
          <w:rPr>
            <w:rStyle w:val="Hyperlink"/>
            <w:rFonts w:ascii="Gilroy" w:hAnsi="Gilroy"/>
            <w:sz w:val="18"/>
            <w:szCs w:val="18"/>
            <w:lang w:val="en-GB"/>
          </w:rPr>
          <w:t>https://privacyinternational.org/sites/default/files/2020-05/2020.3%20PI%20submission%20UN%20WG%20mercenaries.pdf</w:t>
        </w:r>
      </w:hyperlink>
      <w:r w:rsidRPr="003A08A7">
        <w:rPr>
          <w:rFonts w:ascii="Gilroy" w:hAnsi="Gilroy"/>
          <w:sz w:val="18"/>
          <w:szCs w:val="18"/>
          <w:lang w:val="en-GB"/>
        </w:rPr>
        <w:t xml:space="preserve"> </w:t>
      </w:r>
    </w:p>
  </w:footnote>
  <w:footnote w:id="70">
    <w:p w14:paraId="23ABD8EA" w14:textId="261BD8EC" w:rsidR="00854D41" w:rsidRPr="003A08A7" w:rsidRDefault="00854D41" w:rsidP="003A08A7">
      <w:pPr>
        <w:pStyle w:val="FootnoteText"/>
        <w:jc w:val="both"/>
        <w:rPr>
          <w:rFonts w:ascii="Gilroy" w:hAnsi="Gilroy"/>
          <w:sz w:val="18"/>
          <w:szCs w:val="18"/>
          <w:lang w:val="en-GB"/>
        </w:rPr>
      </w:pPr>
      <w:r w:rsidRPr="003A08A7">
        <w:rPr>
          <w:rStyle w:val="FootnoteReference"/>
          <w:rFonts w:ascii="Gilroy" w:hAnsi="Gilroy"/>
          <w:sz w:val="18"/>
          <w:szCs w:val="18"/>
        </w:rPr>
        <w:footnoteRef/>
      </w:r>
      <w:r w:rsidRPr="003A08A7">
        <w:rPr>
          <w:rFonts w:ascii="Gilroy" w:hAnsi="Gilroy"/>
          <w:sz w:val="18"/>
          <w:szCs w:val="18"/>
        </w:rPr>
        <w:t xml:space="preserve"> </w:t>
      </w:r>
      <w:r w:rsidR="00027A5A" w:rsidRPr="003A08A7">
        <w:rPr>
          <w:rFonts w:ascii="Gilroy" w:hAnsi="Gilroy"/>
          <w:sz w:val="18"/>
          <w:szCs w:val="18"/>
        </w:rPr>
        <w:t xml:space="preserve">PI, “Safeguards for Public-Private Surveillance Partnerships”, </w:t>
      </w:r>
      <w:hyperlink r:id="rId66" w:history="1">
        <w:r w:rsidR="00027A5A" w:rsidRPr="003A08A7">
          <w:rPr>
            <w:rStyle w:val="Hyperlink"/>
            <w:rFonts w:ascii="Gilroy" w:hAnsi="Gilroy"/>
            <w:sz w:val="18"/>
            <w:szCs w:val="18"/>
          </w:rPr>
          <w:t>https://privacyinternational.org/our-demands/safeguards-public-private-surveillance-partnerships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9BB8" w14:textId="1393A1AB" w:rsidR="006902FB" w:rsidRDefault="006902FB" w:rsidP="006902FB">
    <w:pPr>
      <w:pStyle w:val="Header"/>
      <w:jc w:val="center"/>
    </w:pPr>
  </w:p>
  <w:p w14:paraId="160807BC" w14:textId="77777777" w:rsidR="00E867C1" w:rsidRDefault="00E867C1" w:rsidP="006902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CAC"/>
    <w:multiLevelType w:val="hybridMultilevel"/>
    <w:tmpl w:val="94D8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33698"/>
    <w:multiLevelType w:val="hybridMultilevel"/>
    <w:tmpl w:val="8D521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72FE4"/>
    <w:multiLevelType w:val="multilevel"/>
    <w:tmpl w:val="AD2C222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92A5C"/>
    <w:multiLevelType w:val="hybridMultilevel"/>
    <w:tmpl w:val="1DCEBFF6"/>
    <w:lvl w:ilvl="0" w:tplc="C3226CB0">
      <w:start w:val="1"/>
      <w:numFmt w:val="decimal"/>
      <w:lvlText w:val="%1)"/>
      <w:lvlJc w:val="left"/>
      <w:pPr>
        <w:ind w:left="360" w:hanging="360"/>
      </w:pPr>
      <w:rPr>
        <w:rFonts w:ascii="Gilroy" w:eastAsia="Gilroy Light" w:hAnsi="Gilroy" w:cs="Gilroy Ligh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1872CE"/>
    <w:multiLevelType w:val="hybridMultilevel"/>
    <w:tmpl w:val="8D521D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2C3345"/>
    <w:multiLevelType w:val="hybridMultilevel"/>
    <w:tmpl w:val="2780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60DB4"/>
    <w:multiLevelType w:val="hybridMultilevel"/>
    <w:tmpl w:val="AF6E84E0"/>
    <w:lvl w:ilvl="0" w:tplc="C3226CB0">
      <w:start w:val="1"/>
      <w:numFmt w:val="decimal"/>
      <w:lvlText w:val="%1)"/>
      <w:lvlJc w:val="left"/>
      <w:pPr>
        <w:ind w:left="360" w:hanging="360"/>
      </w:pPr>
      <w:rPr>
        <w:rFonts w:ascii="Gilroy" w:eastAsia="Gilroy Light" w:hAnsi="Gilroy" w:cs="Gilroy Ligh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735FED"/>
    <w:multiLevelType w:val="hybridMultilevel"/>
    <w:tmpl w:val="BE263D7E"/>
    <w:lvl w:ilvl="0" w:tplc="C3226CB0">
      <w:start w:val="1"/>
      <w:numFmt w:val="decimal"/>
      <w:lvlText w:val="%1)"/>
      <w:lvlJc w:val="left"/>
      <w:pPr>
        <w:ind w:left="360" w:hanging="360"/>
      </w:pPr>
      <w:rPr>
        <w:rFonts w:ascii="Gilroy" w:eastAsia="Gilroy Light" w:hAnsi="Gilroy" w:cs="Gilroy Ligh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E36DEA"/>
    <w:multiLevelType w:val="hybridMultilevel"/>
    <w:tmpl w:val="05CA5D58"/>
    <w:lvl w:ilvl="0" w:tplc="C3226CB0">
      <w:start w:val="1"/>
      <w:numFmt w:val="decimal"/>
      <w:lvlText w:val="%1)"/>
      <w:lvlJc w:val="left"/>
      <w:pPr>
        <w:ind w:left="360" w:hanging="360"/>
      </w:pPr>
      <w:rPr>
        <w:rFonts w:ascii="Gilroy" w:eastAsia="Gilroy Light" w:hAnsi="Gilroy" w:cs="Gilroy Ligh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451E11"/>
    <w:multiLevelType w:val="hybridMultilevel"/>
    <w:tmpl w:val="13029DF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143934"/>
    <w:multiLevelType w:val="hybridMultilevel"/>
    <w:tmpl w:val="79E6E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C91E80"/>
    <w:multiLevelType w:val="hybridMultilevel"/>
    <w:tmpl w:val="8D521D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66009C"/>
    <w:multiLevelType w:val="hybridMultilevel"/>
    <w:tmpl w:val="3456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672916">
    <w:abstractNumId w:val="9"/>
  </w:num>
  <w:num w:numId="2" w16cid:durableId="666254315">
    <w:abstractNumId w:val="3"/>
  </w:num>
  <w:num w:numId="3" w16cid:durableId="1683555006">
    <w:abstractNumId w:val="10"/>
  </w:num>
  <w:num w:numId="4" w16cid:durableId="119348512">
    <w:abstractNumId w:val="1"/>
  </w:num>
  <w:num w:numId="5" w16cid:durableId="96685298">
    <w:abstractNumId w:val="5"/>
  </w:num>
  <w:num w:numId="6" w16cid:durableId="1263605101">
    <w:abstractNumId w:val="12"/>
  </w:num>
  <w:num w:numId="7" w16cid:durableId="1836996584">
    <w:abstractNumId w:val="0"/>
  </w:num>
  <w:num w:numId="8" w16cid:durableId="887954382">
    <w:abstractNumId w:val="2"/>
  </w:num>
  <w:num w:numId="9" w16cid:durableId="149371038">
    <w:abstractNumId w:val="7"/>
  </w:num>
  <w:num w:numId="10" w16cid:durableId="661004245">
    <w:abstractNumId w:val="8"/>
  </w:num>
  <w:num w:numId="11" w16cid:durableId="952250902">
    <w:abstractNumId w:val="6"/>
  </w:num>
  <w:num w:numId="12" w16cid:durableId="1287002253">
    <w:abstractNumId w:val="11"/>
  </w:num>
  <w:num w:numId="13" w16cid:durableId="119425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FB"/>
    <w:rsid w:val="000072C5"/>
    <w:rsid w:val="00016013"/>
    <w:rsid w:val="00026F70"/>
    <w:rsid w:val="00027A5A"/>
    <w:rsid w:val="0003134B"/>
    <w:rsid w:val="00070FF5"/>
    <w:rsid w:val="00076299"/>
    <w:rsid w:val="000B68C3"/>
    <w:rsid w:val="000C2E49"/>
    <w:rsid w:val="001024B5"/>
    <w:rsid w:val="00136FC2"/>
    <w:rsid w:val="00165D9E"/>
    <w:rsid w:val="0019505B"/>
    <w:rsid w:val="001A18F6"/>
    <w:rsid w:val="00202731"/>
    <w:rsid w:val="002149C2"/>
    <w:rsid w:val="00222E36"/>
    <w:rsid w:val="0022762D"/>
    <w:rsid w:val="00234A50"/>
    <w:rsid w:val="0024219A"/>
    <w:rsid w:val="00265498"/>
    <w:rsid w:val="0026622E"/>
    <w:rsid w:val="002701B5"/>
    <w:rsid w:val="00280B8D"/>
    <w:rsid w:val="00283945"/>
    <w:rsid w:val="00291139"/>
    <w:rsid w:val="002A3186"/>
    <w:rsid w:val="002B5CB5"/>
    <w:rsid w:val="002C2F96"/>
    <w:rsid w:val="002F07B7"/>
    <w:rsid w:val="002F0F70"/>
    <w:rsid w:val="002F1299"/>
    <w:rsid w:val="002F3FFD"/>
    <w:rsid w:val="00301A91"/>
    <w:rsid w:val="0030692E"/>
    <w:rsid w:val="0031472A"/>
    <w:rsid w:val="0035681D"/>
    <w:rsid w:val="00356F17"/>
    <w:rsid w:val="00385225"/>
    <w:rsid w:val="00395695"/>
    <w:rsid w:val="003A08A7"/>
    <w:rsid w:val="003C30AB"/>
    <w:rsid w:val="003D468F"/>
    <w:rsid w:val="003E1C93"/>
    <w:rsid w:val="003E3CC2"/>
    <w:rsid w:val="003F7B00"/>
    <w:rsid w:val="0043402F"/>
    <w:rsid w:val="004416AD"/>
    <w:rsid w:val="00445CFA"/>
    <w:rsid w:val="00452FE4"/>
    <w:rsid w:val="00462C89"/>
    <w:rsid w:val="00463A29"/>
    <w:rsid w:val="004972B4"/>
    <w:rsid w:val="004B17EA"/>
    <w:rsid w:val="004C5F58"/>
    <w:rsid w:val="004C6AA4"/>
    <w:rsid w:val="00531FC9"/>
    <w:rsid w:val="00535206"/>
    <w:rsid w:val="005B21CE"/>
    <w:rsid w:val="005D374C"/>
    <w:rsid w:val="005E3821"/>
    <w:rsid w:val="00631B76"/>
    <w:rsid w:val="00633904"/>
    <w:rsid w:val="00655555"/>
    <w:rsid w:val="00660950"/>
    <w:rsid w:val="0067578D"/>
    <w:rsid w:val="006902FB"/>
    <w:rsid w:val="00695458"/>
    <w:rsid w:val="006D4F40"/>
    <w:rsid w:val="007104BE"/>
    <w:rsid w:val="007221F5"/>
    <w:rsid w:val="00742EF3"/>
    <w:rsid w:val="00746EA3"/>
    <w:rsid w:val="00775F99"/>
    <w:rsid w:val="007A20C2"/>
    <w:rsid w:val="007A59AA"/>
    <w:rsid w:val="007B484E"/>
    <w:rsid w:val="007D1FE7"/>
    <w:rsid w:val="007E69BA"/>
    <w:rsid w:val="007F1410"/>
    <w:rsid w:val="007F6EEA"/>
    <w:rsid w:val="008025D9"/>
    <w:rsid w:val="00854D41"/>
    <w:rsid w:val="00877BF2"/>
    <w:rsid w:val="00880963"/>
    <w:rsid w:val="008D6A0F"/>
    <w:rsid w:val="008D790A"/>
    <w:rsid w:val="008F0A63"/>
    <w:rsid w:val="008F38B3"/>
    <w:rsid w:val="00900EC5"/>
    <w:rsid w:val="00905775"/>
    <w:rsid w:val="00917674"/>
    <w:rsid w:val="009300FB"/>
    <w:rsid w:val="0095292A"/>
    <w:rsid w:val="009607D6"/>
    <w:rsid w:val="009614E0"/>
    <w:rsid w:val="009973A8"/>
    <w:rsid w:val="009C26B9"/>
    <w:rsid w:val="009E7BAB"/>
    <w:rsid w:val="00A234E1"/>
    <w:rsid w:val="00A27692"/>
    <w:rsid w:val="00A475E2"/>
    <w:rsid w:val="00A54399"/>
    <w:rsid w:val="00A615FF"/>
    <w:rsid w:val="00AC2A38"/>
    <w:rsid w:val="00AC7D0F"/>
    <w:rsid w:val="00AF04B8"/>
    <w:rsid w:val="00B022FB"/>
    <w:rsid w:val="00B053B3"/>
    <w:rsid w:val="00B10035"/>
    <w:rsid w:val="00B12088"/>
    <w:rsid w:val="00B36F9C"/>
    <w:rsid w:val="00B43731"/>
    <w:rsid w:val="00B559B9"/>
    <w:rsid w:val="00B776E8"/>
    <w:rsid w:val="00B83343"/>
    <w:rsid w:val="00B92192"/>
    <w:rsid w:val="00BC15E2"/>
    <w:rsid w:val="00BD1349"/>
    <w:rsid w:val="00C012A9"/>
    <w:rsid w:val="00C3160F"/>
    <w:rsid w:val="00C5274F"/>
    <w:rsid w:val="00C64C9E"/>
    <w:rsid w:val="00C82530"/>
    <w:rsid w:val="00C91BC6"/>
    <w:rsid w:val="00CA344E"/>
    <w:rsid w:val="00CE0D20"/>
    <w:rsid w:val="00CE7C2B"/>
    <w:rsid w:val="00CF0B66"/>
    <w:rsid w:val="00D3157C"/>
    <w:rsid w:val="00D62B0F"/>
    <w:rsid w:val="00D62B78"/>
    <w:rsid w:val="00D85D21"/>
    <w:rsid w:val="00DC5178"/>
    <w:rsid w:val="00DD420A"/>
    <w:rsid w:val="00DD4D69"/>
    <w:rsid w:val="00E00315"/>
    <w:rsid w:val="00E020CE"/>
    <w:rsid w:val="00E041B2"/>
    <w:rsid w:val="00E04765"/>
    <w:rsid w:val="00E06EC2"/>
    <w:rsid w:val="00E4540A"/>
    <w:rsid w:val="00E50168"/>
    <w:rsid w:val="00E655E0"/>
    <w:rsid w:val="00E80344"/>
    <w:rsid w:val="00E85DCF"/>
    <w:rsid w:val="00E867C1"/>
    <w:rsid w:val="00EC2938"/>
    <w:rsid w:val="00EC50D4"/>
    <w:rsid w:val="00EF3F65"/>
    <w:rsid w:val="00EF46E4"/>
    <w:rsid w:val="00F30059"/>
    <w:rsid w:val="00F431A4"/>
    <w:rsid w:val="00F458B4"/>
    <w:rsid w:val="00F46491"/>
    <w:rsid w:val="00F610E5"/>
    <w:rsid w:val="00FA6DF8"/>
    <w:rsid w:val="00FC4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E2130F"/>
  <w15:chartTrackingRefBased/>
  <w15:docId w15:val="{E2A6B175-E623-964F-9573-82453963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02FB"/>
    <w:rPr>
      <w:u w:val="single"/>
    </w:rPr>
  </w:style>
  <w:style w:type="paragraph" w:customStyle="1" w:styleId="Default">
    <w:name w:val="Default"/>
    <w:rsid w:val="006902FB"/>
    <w:pPr>
      <w:pBdr>
        <w:top w:val="nil"/>
        <w:left w:val="nil"/>
        <w:bottom w:val="nil"/>
        <w:right w:val="nil"/>
        <w:between w:val="nil"/>
        <w:bar w:val="nil"/>
      </w:pBdr>
      <w:spacing w:before="20"/>
    </w:pPr>
    <w:rPr>
      <w:rFonts w:ascii="Gilroy Light" w:eastAsia="Gilroy Light" w:hAnsi="Gilroy Light" w:cs="Gilroy Light"/>
      <w:color w:val="000000"/>
      <w:kern w:val="0"/>
      <w:sz w:val="22"/>
      <w:szCs w:val="22"/>
      <w:bdr w:val="nil"/>
      <w:lang w:eastAsia="en-GB"/>
      <w14:textOutline w14:w="0" w14:cap="flat" w14:cmpd="sng" w14:algn="ctr">
        <w14:noFill/>
        <w14:prstDash w14:val="solid"/>
        <w14:bevel/>
      </w14:textOutline>
      <w14:ligatures w14:val="none"/>
    </w:rPr>
  </w:style>
  <w:style w:type="paragraph" w:styleId="FootnoteText">
    <w:name w:val="footnote text"/>
    <w:basedOn w:val="Normal"/>
    <w:link w:val="FootnoteTextChar"/>
    <w:uiPriority w:val="99"/>
    <w:semiHidden/>
    <w:unhideWhenUsed/>
    <w:rsid w:val="006902FB"/>
    <w:pPr>
      <w:pBdr>
        <w:top w:val="nil"/>
        <w:left w:val="nil"/>
        <w:bottom w:val="nil"/>
        <w:right w:val="nil"/>
        <w:between w:val="nil"/>
        <w:bar w:val="nil"/>
      </w:pBdr>
    </w:pPr>
    <w:rPr>
      <w:rFonts w:ascii="Times New Roman" w:eastAsia="Arial Unicode MS" w:hAnsi="Times New Roman" w:cs="Times New Roman"/>
      <w:kern w:val="0"/>
      <w:sz w:val="20"/>
      <w:szCs w:val="20"/>
      <w:bdr w:val="nil"/>
      <w:lang w:val="en-US"/>
      <w14:ligatures w14:val="none"/>
    </w:rPr>
  </w:style>
  <w:style w:type="character" w:customStyle="1" w:styleId="FootnoteTextChar">
    <w:name w:val="Footnote Text Char"/>
    <w:basedOn w:val="DefaultParagraphFont"/>
    <w:link w:val="FootnoteText"/>
    <w:uiPriority w:val="99"/>
    <w:semiHidden/>
    <w:rsid w:val="006902FB"/>
    <w:rPr>
      <w:rFonts w:ascii="Times New Roman" w:eastAsia="Arial Unicode MS" w:hAnsi="Times New Roman" w:cs="Times New Roman"/>
      <w:kern w:val="0"/>
      <w:sz w:val="20"/>
      <w:szCs w:val="20"/>
      <w:bdr w:val="nil"/>
      <w:lang w:val="en-US"/>
      <w14:ligatures w14:val="none"/>
    </w:rPr>
  </w:style>
  <w:style w:type="character" w:styleId="FootnoteReference">
    <w:name w:val="footnote reference"/>
    <w:basedOn w:val="DefaultParagraphFont"/>
    <w:uiPriority w:val="99"/>
    <w:unhideWhenUsed/>
    <w:rsid w:val="006902FB"/>
    <w:rPr>
      <w:vertAlign w:val="superscript"/>
    </w:rPr>
  </w:style>
  <w:style w:type="character" w:customStyle="1" w:styleId="markedcontent">
    <w:name w:val="markedcontent"/>
    <w:basedOn w:val="DefaultParagraphFont"/>
    <w:rsid w:val="006902FB"/>
  </w:style>
  <w:style w:type="character" w:customStyle="1" w:styleId="highlight">
    <w:name w:val="highlight"/>
    <w:basedOn w:val="DefaultParagraphFont"/>
    <w:rsid w:val="006902FB"/>
  </w:style>
  <w:style w:type="paragraph" w:styleId="Header">
    <w:name w:val="header"/>
    <w:basedOn w:val="Normal"/>
    <w:link w:val="HeaderChar"/>
    <w:uiPriority w:val="99"/>
    <w:unhideWhenUsed/>
    <w:rsid w:val="006902FB"/>
    <w:pPr>
      <w:tabs>
        <w:tab w:val="center" w:pos="4513"/>
        <w:tab w:val="right" w:pos="9026"/>
      </w:tabs>
    </w:pPr>
  </w:style>
  <w:style w:type="character" w:customStyle="1" w:styleId="HeaderChar">
    <w:name w:val="Header Char"/>
    <w:basedOn w:val="DefaultParagraphFont"/>
    <w:link w:val="Header"/>
    <w:uiPriority w:val="99"/>
    <w:rsid w:val="006902FB"/>
  </w:style>
  <w:style w:type="paragraph" w:styleId="Footer">
    <w:name w:val="footer"/>
    <w:basedOn w:val="Normal"/>
    <w:link w:val="FooterChar"/>
    <w:uiPriority w:val="99"/>
    <w:unhideWhenUsed/>
    <w:rsid w:val="006902FB"/>
    <w:pPr>
      <w:tabs>
        <w:tab w:val="center" w:pos="4513"/>
        <w:tab w:val="right" w:pos="9026"/>
      </w:tabs>
    </w:pPr>
  </w:style>
  <w:style w:type="character" w:customStyle="1" w:styleId="FooterChar">
    <w:name w:val="Footer Char"/>
    <w:basedOn w:val="DefaultParagraphFont"/>
    <w:link w:val="Footer"/>
    <w:uiPriority w:val="99"/>
    <w:rsid w:val="006902FB"/>
  </w:style>
  <w:style w:type="character" w:styleId="UnresolvedMention">
    <w:name w:val="Unresolved Mention"/>
    <w:basedOn w:val="DefaultParagraphFont"/>
    <w:uiPriority w:val="99"/>
    <w:semiHidden/>
    <w:unhideWhenUsed/>
    <w:rsid w:val="00CE7C2B"/>
    <w:rPr>
      <w:color w:val="605E5C"/>
      <w:shd w:val="clear" w:color="auto" w:fill="E1DFDD"/>
    </w:rPr>
  </w:style>
  <w:style w:type="character" w:styleId="FollowedHyperlink">
    <w:name w:val="FollowedHyperlink"/>
    <w:basedOn w:val="DefaultParagraphFont"/>
    <w:uiPriority w:val="99"/>
    <w:semiHidden/>
    <w:unhideWhenUsed/>
    <w:rsid w:val="00CE7C2B"/>
    <w:rPr>
      <w:color w:val="954F72" w:themeColor="followedHyperlink"/>
      <w:u w:val="single"/>
    </w:rPr>
  </w:style>
  <w:style w:type="character" w:styleId="CommentReference">
    <w:name w:val="annotation reference"/>
    <w:basedOn w:val="DefaultParagraphFont"/>
    <w:uiPriority w:val="99"/>
    <w:semiHidden/>
    <w:unhideWhenUsed/>
    <w:rsid w:val="002A3186"/>
    <w:rPr>
      <w:sz w:val="16"/>
      <w:szCs w:val="16"/>
    </w:rPr>
  </w:style>
  <w:style w:type="paragraph" w:styleId="CommentText">
    <w:name w:val="annotation text"/>
    <w:basedOn w:val="Normal"/>
    <w:link w:val="CommentTextChar"/>
    <w:uiPriority w:val="99"/>
    <w:semiHidden/>
    <w:unhideWhenUsed/>
    <w:rsid w:val="002A3186"/>
    <w:rPr>
      <w:sz w:val="20"/>
      <w:szCs w:val="20"/>
    </w:rPr>
  </w:style>
  <w:style w:type="character" w:customStyle="1" w:styleId="CommentTextChar">
    <w:name w:val="Comment Text Char"/>
    <w:basedOn w:val="DefaultParagraphFont"/>
    <w:link w:val="CommentText"/>
    <w:uiPriority w:val="99"/>
    <w:semiHidden/>
    <w:rsid w:val="002A3186"/>
    <w:rPr>
      <w:sz w:val="20"/>
      <w:szCs w:val="20"/>
    </w:rPr>
  </w:style>
  <w:style w:type="paragraph" w:styleId="CommentSubject">
    <w:name w:val="annotation subject"/>
    <w:basedOn w:val="CommentText"/>
    <w:next w:val="CommentText"/>
    <w:link w:val="CommentSubjectChar"/>
    <w:uiPriority w:val="99"/>
    <w:semiHidden/>
    <w:unhideWhenUsed/>
    <w:rsid w:val="002A3186"/>
    <w:rPr>
      <w:b/>
      <w:bCs/>
    </w:rPr>
  </w:style>
  <w:style w:type="character" w:customStyle="1" w:styleId="CommentSubjectChar">
    <w:name w:val="Comment Subject Char"/>
    <w:basedOn w:val="CommentTextChar"/>
    <w:link w:val="CommentSubject"/>
    <w:uiPriority w:val="99"/>
    <w:semiHidden/>
    <w:rsid w:val="002A3186"/>
    <w:rPr>
      <w:b/>
      <w:bCs/>
      <w:sz w:val="20"/>
      <w:szCs w:val="20"/>
    </w:rPr>
  </w:style>
  <w:style w:type="paragraph" w:styleId="Revision">
    <w:name w:val="Revision"/>
    <w:hidden/>
    <w:uiPriority w:val="99"/>
    <w:semiHidden/>
    <w:rsid w:val="00E867C1"/>
  </w:style>
  <w:style w:type="character" w:styleId="PageNumber">
    <w:name w:val="page number"/>
    <w:basedOn w:val="DefaultParagraphFont"/>
    <w:uiPriority w:val="99"/>
    <w:semiHidden/>
    <w:unhideWhenUsed/>
    <w:rsid w:val="004B17EA"/>
  </w:style>
  <w:style w:type="paragraph" w:styleId="ListParagraph">
    <w:name w:val="List Paragraph"/>
    <w:basedOn w:val="Normal"/>
    <w:uiPriority w:val="34"/>
    <w:qFormat/>
    <w:rsid w:val="00F46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443">
      <w:bodyDiv w:val="1"/>
      <w:marLeft w:val="0"/>
      <w:marRight w:val="0"/>
      <w:marTop w:val="0"/>
      <w:marBottom w:val="0"/>
      <w:divBdr>
        <w:top w:val="none" w:sz="0" w:space="0" w:color="auto"/>
        <w:left w:val="none" w:sz="0" w:space="0" w:color="auto"/>
        <w:bottom w:val="none" w:sz="0" w:space="0" w:color="auto"/>
        <w:right w:val="none" w:sz="0" w:space="0" w:color="auto"/>
      </w:divBdr>
    </w:div>
    <w:div w:id="17243709">
      <w:bodyDiv w:val="1"/>
      <w:marLeft w:val="0"/>
      <w:marRight w:val="0"/>
      <w:marTop w:val="0"/>
      <w:marBottom w:val="0"/>
      <w:divBdr>
        <w:top w:val="none" w:sz="0" w:space="0" w:color="auto"/>
        <w:left w:val="none" w:sz="0" w:space="0" w:color="auto"/>
        <w:bottom w:val="none" w:sz="0" w:space="0" w:color="auto"/>
        <w:right w:val="none" w:sz="0" w:space="0" w:color="auto"/>
      </w:divBdr>
    </w:div>
    <w:div w:id="117724192">
      <w:bodyDiv w:val="1"/>
      <w:marLeft w:val="0"/>
      <w:marRight w:val="0"/>
      <w:marTop w:val="0"/>
      <w:marBottom w:val="0"/>
      <w:divBdr>
        <w:top w:val="none" w:sz="0" w:space="0" w:color="auto"/>
        <w:left w:val="none" w:sz="0" w:space="0" w:color="auto"/>
        <w:bottom w:val="none" w:sz="0" w:space="0" w:color="auto"/>
        <w:right w:val="none" w:sz="0" w:space="0" w:color="auto"/>
      </w:divBdr>
    </w:div>
    <w:div w:id="234973191">
      <w:bodyDiv w:val="1"/>
      <w:marLeft w:val="0"/>
      <w:marRight w:val="0"/>
      <w:marTop w:val="0"/>
      <w:marBottom w:val="0"/>
      <w:divBdr>
        <w:top w:val="none" w:sz="0" w:space="0" w:color="auto"/>
        <w:left w:val="none" w:sz="0" w:space="0" w:color="auto"/>
        <w:bottom w:val="none" w:sz="0" w:space="0" w:color="auto"/>
        <w:right w:val="none" w:sz="0" w:space="0" w:color="auto"/>
      </w:divBdr>
    </w:div>
    <w:div w:id="273102709">
      <w:bodyDiv w:val="1"/>
      <w:marLeft w:val="0"/>
      <w:marRight w:val="0"/>
      <w:marTop w:val="0"/>
      <w:marBottom w:val="0"/>
      <w:divBdr>
        <w:top w:val="none" w:sz="0" w:space="0" w:color="auto"/>
        <w:left w:val="none" w:sz="0" w:space="0" w:color="auto"/>
        <w:bottom w:val="none" w:sz="0" w:space="0" w:color="auto"/>
        <w:right w:val="none" w:sz="0" w:space="0" w:color="auto"/>
      </w:divBdr>
    </w:div>
    <w:div w:id="291792442">
      <w:bodyDiv w:val="1"/>
      <w:marLeft w:val="0"/>
      <w:marRight w:val="0"/>
      <w:marTop w:val="0"/>
      <w:marBottom w:val="0"/>
      <w:divBdr>
        <w:top w:val="none" w:sz="0" w:space="0" w:color="auto"/>
        <w:left w:val="none" w:sz="0" w:space="0" w:color="auto"/>
        <w:bottom w:val="none" w:sz="0" w:space="0" w:color="auto"/>
        <w:right w:val="none" w:sz="0" w:space="0" w:color="auto"/>
      </w:divBdr>
    </w:div>
    <w:div w:id="368798931">
      <w:bodyDiv w:val="1"/>
      <w:marLeft w:val="0"/>
      <w:marRight w:val="0"/>
      <w:marTop w:val="0"/>
      <w:marBottom w:val="0"/>
      <w:divBdr>
        <w:top w:val="none" w:sz="0" w:space="0" w:color="auto"/>
        <w:left w:val="none" w:sz="0" w:space="0" w:color="auto"/>
        <w:bottom w:val="none" w:sz="0" w:space="0" w:color="auto"/>
        <w:right w:val="none" w:sz="0" w:space="0" w:color="auto"/>
      </w:divBdr>
    </w:div>
    <w:div w:id="396906044">
      <w:bodyDiv w:val="1"/>
      <w:marLeft w:val="0"/>
      <w:marRight w:val="0"/>
      <w:marTop w:val="0"/>
      <w:marBottom w:val="0"/>
      <w:divBdr>
        <w:top w:val="none" w:sz="0" w:space="0" w:color="auto"/>
        <w:left w:val="none" w:sz="0" w:space="0" w:color="auto"/>
        <w:bottom w:val="none" w:sz="0" w:space="0" w:color="auto"/>
        <w:right w:val="none" w:sz="0" w:space="0" w:color="auto"/>
      </w:divBdr>
    </w:div>
    <w:div w:id="443960250">
      <w:bodyDiv w:val="1"/>
      <w:marLeft w:val="0"/>
      <w:marRight w:val="0"/>
      <w:marTop w:val="0"/>
      <w:marBottom w:val="0"/>
      <w:divBdr>
        <w:top w:val="none" w:sz="0" w:space="0" w:color="auto"/>
        <w:left w:val="none" w:sz="0" w:space="0" w:color="auto"/>
        <w:bottom w:val="none" w:sz="0" w:space="0" w:color="auto"/>
        <w:right w:val="none" w:sz="0" w:space="0" w:color="auto"/>
      </w:divBdr>
    </w:div>
    <w:div w:id="632561797">
      <w:bodyDiv w:val="1"/>
      <w:marLeft w:val="0"/>
      <w:marRight w:val="0"/>
      <w:marTop w:val="0"/>
      <w:marBottom w:val="0"/>
      <w:divBdr>
        <w:top w:val="none" w:sz="0" w:space="0" w:color="auto"/>
        <w:left w:val="none" w:sz="0" w:space="0" w:color="auto"/>
        <w:bottom w:val="none" w:sz="0" w:space="0" w:color="auto"/>
        <w:right w:val="none" w:sz="0" w:space="0" w:color="auto"/>
      </w:divBdr>
    </w:div>
    <w:div w:id="695083045">
      <w:bodyDiv w:val="1"/>
      <w:marLeft w:val="0"/>
      <w:marRight w:val="0"/>
      <w:marTop w:val="0"/>
      <w:marBottom w:val="0"/>
      <w:divBdr>
        <w:top w:val="none" w:sz="0" w:space="0" w:color="auto"/>
        <w:left w:val="none" w:sz="0" w:space="0" w:color="auto"/>
        <w:bottom w:val="none" w:sz="0" w:space="0" w:color="auto"/>
        <w:right w:val="none" w:sz="0" w:space="0" w:color="auto"/>
      </w:divBdr>
    </w:div>
    <w:div w:id="763304509">
      <w:bodyDiv w:val="1"/>
      <w:marLeft w:val="0"/>
      <w:marRight w:val="0"/>
      <w:marTop w:val="0"/>
      <w:marBottom w:val="0"/>
      <w:divBdr>
        <w:top w:val="none" w:sz="0" w:space="0" w:color="auto"/>
        <w:left w:val="none" w:sz="0" w:space="0" w:color="auto"/>
        <w:bottom w:val="none" w:sz="0" w:space="0" w:color="auto"/>
        <w:right w:val="none" w:sz="0" w:space="0" w:color="auto"/>
      </w:divBdr>
    </w:div>
    <w:div w:id="858733835">
      <w:bodyDiv w:val="1"/>
      <w:marLeft w:val="0"/>
      <w:marRight w:val="0"/>
      <w:marTop w:val="0"/>
      <w:marBottom w:val="0"/>
      <w:divBdr>
        <w:top w:val="none" w:sz="0" w:space="0" w:color="auto"/>
        <w:left w:val="none" w:sz="0" w:space="0" w:color="auto"/>
        <w:bottom w:val="none" w:sz="0" w:space="0" w:color="auto"/>
        <w:right w:val="none" w:sz="0" w:space="0" w:color="auto"/>
      </w:divBdr>
    </w:div>
    <w:div w:id="936519254">
      <w:bodyDiv w:val="1"/>
      <w:marLeft w:val="0"/>
      <w:marRight w:val="0"/>
      <w:marTop w:val="0"/>
      <w:marBottom w:val="0"/>
      <w:divBdr>
        <w:top w:val="none" w:sz="0" w:space="0" w:color="auto"/>
        <w:left w:val="none" w:sz="0" w:space="0" w:color="auto"/>
        <w:bottom w:val="none" w:sz="0" w:space="0" w:color="auto"/>
        <w:right w:val="none" w:sz="0" w:space="0" w:color="auto"/>
      </w:divBdr>
      <w:divsChild>
        <w:div w:id="1509716501">
          <w:marLeft w:val="0"/>
          <w:marRight w:val="0"/>
          <w:marTop w:val="0"/>
          <w:marBottom w:val="0"/>
          <w:divBdr>
            <w:top w:val="none" w:sz="0" w:space="0" w:color="auto"/>
            <w:left w:val="none" w:sz="0" w:space="0" w:color="auto"/>
            <w:bottom w:val="none" w:sz="0" w:space="0" w:color="auto"/>
            <w:right w:val="none" w:sz="0" w:space="0" w:color="auto"/>
          </w:divBdr>
          <w:divsChild>
            <w:div w:id="559755880">
              <w:marLeft w:val="0"/>
              <w:marRight w:val="0"/>
              <w:marTop w:val="0"/>
              <w:marBottom w:val="0"/>
              <w:divBdr>
                <w:top w:val="none" w:sz="0" w:space="0" w:color="auto"/>
                <w:left w:val="none" w:sz="0" w:space="0" w:color="auto"/>
                <w:bottom w:val="none" w:sz="0" w:space="0" w:color="auto"/>
                <w:right w:val="none" w:sz="0" w:space="0" w:color="auto"/>
              </w:divBdr>
              <w:divsChild>
                <w:div w:id="5365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66910">
      <w:bodyDiv w:val="1"/>
      <w:marLeft w:val="0"/>
      <w:marRight w:val="0"/>
      <w:marTop w:val="0"/>
      <w:marBottom w:val="0"/>
      <w:divBdr>
        <w:top w:val="none" w:sz="0" w:space="0" w:color="auto"/>
        <w:left w:val="none" w:sz="0" w:space="0" w:color="auto"/>
        <w:bottom w:val="none" w:sz="0" w:space="0" w:color="auto"/>
        <w:right w:val="none" w:sz="0" w:space="0" w:color="auto"/>
      </w:divBdr>
    </w:div>
    <w:div w:id="1090663439">
      <w:bodyDiv w:val="1"/>
      <w:marLeft w:val="0"/>
      <w:marRight w:val="0"/>
      <w:marTop w:val="0"/>
      <w:marBottom w:val="0"/>
      <w:divBdr>
        <w:top w:val="none" w:sz="0" w:space="0" w:color="auto"/>
        <w:left w:val="none" w:sz="0" w:space="0" w:color="auto"/>
        <w:bottom w:val="none" w:sz="0" w:space="0" w:color="auto"/>
        <w:right w:val="none" w:sz="0" w:space="0" w:color="auto"/>
      </w:divBdr>
    </w:div>
    <w:div w:id="1092360789">
      <w:bodyDiv w:val="1"/>
      <w:marLeft w:val="0"/>
      <w:marRight w:val="0"/>
      <w:marTop w:val="0"/>
      <w:marBottom w:val="0"/>
      <w:divBdr>
        <w:top w:val="none" w:sz="0" w:space="0" w:color="auto"/>
        <w:left w:val="none" w:sz="0" w:space="0" w:color="auto"/>
        <w:bottom w:val="none" w:sz="0" w:space="0" w:color="auto"/>
        <w:right w:val="none" w:sz="0" w:space="0" w:color="auto"/>
      </w:divBdr>
    </w:div>
    <w:div w:id="1125351100">
      <w:bodyDiv w:val="1"/>
      <w:marLeft w:val="0"/>
      <w:marRight w:val="0"/>
      <w:marTop w:val="0"/>
      <w:marBottom w:val="0"/>
      <w:divBdr>
        <w:top w:val="none" w:sz="0" w:space="0" w:color="auto"/>
        <w:left w:val="none" w:sz="0" w:space="0" w:color="auto"/>
        <w:bottom w:val="none" w:sz="0" w:space="0" w:color="auto"/>
        <w:right w:val="none" w:sz="0" w:space="0" w:color="auto"/>
      </w:divBdr>
    </w:div>
    <w:div w:id="1211309638">
      <w:bodyDiv w:val="1"/>
      <w:marLeft w:val="0"/>
      <w:marRight w:val="0"/>
      <w:marTop w:val="0"/>
      <w:marBottom w:val="0"/>
      <w:divBdr>
        <w:top w:val="none" w:sz="0" w:space="0" w:color="auto"/>
        <w:left w:val="none" w:sz="0" w:space="0" w:color="auto"/>
        <w:bottom w:val="none" w:sz="0" w:space="0" w:color="auto"/>
        <w:right w:val="none" w:sz="0" w:space="0" w:color="auto"/>
      </w:divBdr>
    </w:div>
    <w:div w:id="1377241794">
      <w:bodyDiv w:val="1"/>
      <w:marLeft w:val="0"/>
      <w:marRight w:val="0"/>
      <w:marTop w:val="0"/>
      <w:marBottom w:val="0"/>
      <w:divBdr>
        <w:top w:val="none" w:sz="0" w:space="0" w:color="auto"/>
        <w:left w:val="none" w:sz="0" w:space="0" w:color="auto"/>
        <w:bottom w:val="none" w:sz="0" w:space="0" w:color="auto"/>
        <w:right w:val="none" w:sz="0" w:space="0" w:color="auto"/>
      </w:divBdr>
    </w:div>
    <w:div w:id="1428423510">
      <w:bodyDiv w:val="1"/>
      <w:marLeft w:val="0"/>
      <w:marRight w:val="0"/>
      <w:marTop w:val="0"/>
      <w:marBottom w:val="0"/>
      <w:divBdr>
        <w:top w:val="none" w:sz="0" w:space="0" w:color="auto"/>
        <w:left w:val="none" w:sz="0" w:space="0" w:color="auto"/>
        <w:bottom w:val="none" w:sz="0" w:space="0" w:color="auto"/>
        <w:right w:val="none" w:sz="0" w:space="0" w:color="auto"/>
      </w:divBdr>
    </w:div>
    <w:div w:id="1430199758">
      <w:bodyDiv w:val="1"/>
      <w:marLeft w:val="0"/>
      <w:marRight w:val="0"/>
      <w:marTop w:val="0"/>
      <w:marBottom w:val="0"/>
      <w:divBdr>
        <w:top w:val="none" w:sz="0" w:space="0" w:color="auto"/>
        <w:left w:val="none" w:sz="0" w:space="0" w:color="auto"/>
        <w:bottom w:val="none" w:sz="0" w:space="0" w:color="auto"/>
        <w:right w:val="none" w:sz="0" w:space="0" w:color="auto"/>
      </w:divBdr>
    </w:div>
    <w:div w:id="1483615376">
      <w:bodyDiv w:val="1"/>
      <w:marLeft w:val="0"/>
      <w:marRight w:val="0"/>
      <w:marTop w:val="0"/>
      <w:marBottom w:val="0"/>
      <w:divBdr>
        <w:top w:val="none" w:sz="0" w:space="0" w:color="auto"/>
        <w:left w:val="none" w:sz="0" w:space="0" w:color="auto"/>
        <w:bottom w:val="none" w:sz="0" w:space="0" w:color="auto"/>
        <w:right w:val="none" w:sz="0" w:space="0" w:color="auto"/>
      </w:divBdr>
    </w:div>
    <w:div w:id="1539121635">
      <w:bodyDiv w:val="1"/>
      <w:marLeft w:val="0"/>
      <w:marRight w:val="0"/>
      <w:marTop w:val="0"/>
      <w:marBottom w:val="0"/>
      <w:divBdr>
        <w:top w:val="none" w:sz="0" w:space="0" w:color="auto"/>
        <w:left w:val="none" w:sz="0" w:space="0" w:color="auto"/>
        <w:bottom w:val="none" w:sz="0" w:space="0" w:color="auto"/>
        <w:right w:val="none" w:sz="0" w:space="0" w:color="auto"/>
      </w:divBdr>
    </w:div>
    <w:div w:id="1544631628">
      <w:bodyDiv w:val="1"/>
      <w:marLeft w:val="0"/>
      <w:marRight w:val="0"/>
      <w:marTop w:val="0"/>
      <w:marBottom w:val="0"/>
      <w:divBdr>
        <w:top w:val="none" w:sz="0" w:space="0" w:color="auto"/>
        <w:left w:val="none" w:sz="0" w:space="0" w:color="auto"/>
        <w:bottom w:val="none" w:sz="0" w:space="0" w:color="auto"/>
        <w:right w:val="none" w:sz="0" w:space="0" w:color="auto"/>
      </w:divBdr>
      <w:divsChild>
        <w:div w:id="156188539">
          <w:marLeft w:val="0"/>
          <w:marRight w:val="0"/>
          <w:marTop w:val="0"/>
          <w:marBottom w:val="0"/>
          <w:divBdr>
            <w:top w:val="none" w:sz="0" w:space="0" w:color="auto"/>
            <w:left w:val="none" w:sz="0" w:space="0" w:color="auto"/>
            <w:bottom w:val="none" w:sz="0" w:space="0" w:color="auto"/>
            <w:right w:val="none" w:sz="0" w:space="0" w:color="auto"/>
          </w:divBdr>
        </w:div>
      </w:divsChild>
    </w:div>
    <w:div w:id="1561020596">
      <w:bodyDiv w:val="1"/>
      <w:marLeft w:val="0"/>
      <w:marRight w:val="0"/>
      <w:marTop w:val="0"/>
      <w:marBottom w:val="0"/>
      <w:divBdr>
        <w:top w:val="none" w:sz="0" w:space="0" w:color="auto"/>
        <w:left w:val="none" w:sz="0" w:space="0" w:color="auto"/>
        <w:bottom w:val="none" w:sz="0" w:space="0" w:color="auto"/>
        <w:right w:val="none" w:sz="0" w:space="0" w:color="auto"/>
      </w:divBdr>
      <w:divsChild>
        <w:div w:id="1817380322">
          <w:marLeft w:val="0"/>
          <w:marRight w:val="0"/>
          <w:marTop w:val="0"/>
          <w:marBottom w:val="0"/>
          <w:divBdr>
            <w:top w:val="none" w:sz="0" w:space="0" w:color="auto"/>
            <w:left w:val="none" w:sz="0" w:space="0" w:color="auto"/>
            <w:bottom w:val="none" w:sz="0" w:space="0" w:color="auto"/>
            <w:right w:val="none" w:sz="0" w:space="0" w:color="auto"/>
          </w:divBdr>
        </w:div>
        <w:div w:id="950018106">
          <w:marLeft w:val="0"/>
          <w:marRight w:val="0"/>
          <w:marTop w:val="0"/>
          <w:marBottom w:val="0"/>
          <w:divBdr>
            <w:top w:val="none" w:sz="0" w:space="0" w:color="auto"/>
            <w:left w:val="none" w:sz="0" w:space="0" w:color="auto"/>
            <w:bottom w:val="none" w:sz="0" w:space="0" w:color="auto"/>
            <w:right w:val="none" w:sz="0" w:space="0" w:color="auto"/>
          </w:divBdr>
        </w:div>
      </w:divsChild>
    </w:div>
    <w:div w:id="1692561728">
      <w:bodyDiv w:val="1"/>
      <w:marLeft w:val="0"/>
      <w:marRight w:val="0"/>
      <w:marTop w:val="0"/>
      <w:marBottom w:val="0"/>
      <w:divBdr>
        <w:top w:val="none" w:sz="0" w:space="0" w:color="auto"/>
        <w:left w:val="none" w:sz="0" w:space="0" w:color="auto"/>
        <w:bottom w:val="none" w:sz="0" w:space="0" w:color="auto"/>
        <w:right w:val="none" w:sz="0" w:space="0" w:color="auto"/>
      </w:divBdr>
    </w:div>
    <w:div w:id="1716468851">
      <w:bodyDiv w:val="1"/>
      <w:marLeft w:val="0"/>
      <w:marRight w:val="0"/>
      <w:marTop w:val="0"/>
      <w:marBottom w:val="0"/>
      <w:divBdr>
        <w:top w:val="none" w:sz="0" w:space="0" w:color="auto"/>
        <w:left w:val="none" w:sz="0" w:space="0" w:color="auto"/>
        <w:bottom w:val="none" w:sz="0" w:space="0" w:color="auto"/>
        <w:right w:val="none" w:sz="0" w:space="0" w:color="auto"/>
      </w:divBdr>
    </w:div>
    <w:div w:id="1722090162">
      <w:bodyDiv w:val="1"/>
      <w:marLeft w:val="0"/>
      <w:marRight w:val="0"/>
      <w:marTop w:val="0"/>
      <w:marBottom w:val="0"/>
      <w:divBdr>
        <w:top w:val="none" w:sz="0" w:space="0" w:color="auto"/>
        <w:left w:val="none" w:sz="0" w:space="0" w:color="auto"/>
        <w:bottom w:val="none" w:sz="0" w:space="0" w:color="auto"/>
        <w:right w:val="none" w:sz="0" w:space="0" w:color="auto"/>
      </w:divBdr>
    </w:div>
    <w:div w:id="1740859671">
      <w:bodyDiv w:val="1"/>
      <w:marLeft w:val="0"/>
      <w:marRight w:val="0"/>
      <w:marTop w:val="0"/>
      <w:marBottom w:val="0"/>
      <w:divBdr>
        <w:top w:val="none" w:sz="0" w:space="0" w:color="auto"/>
        <w:left w:val="none" w:sz="0" w:space="0" w:color="auto"/>
        <w:bottom w:val="none" w:sz="0" w:space="0" w:color="auto"/>
        <w:right w:val="none" w:sz="0" w:space="0" w:color="auto"/>
      </w:divBdr>
      <w:divsChild>
        <w:div w:id="1815488888">
          <w:marLeft w:val="0"/>
          <w:marRight w:val="0"/>
          <w:marTop w:val="0"/>
          <w:marBottom w:val="0"/>
          <w:divBdr>
            <w:top w:val="none" w:sz="0" w:space="0" w:color="auto"/>
            <w:left w:val="none" w:sz="0" w:space="0" w:color="auto"/>
            <w:bottom w:val="none" w:sz="0" w:space="0" w:color="auto"/>
            <w:right w:val="none" w:sz="0" w:space="0" w:color="auto"/>
          </w:divBdr>
        </w:div>
      </w:divsChild>
    </w:div>
    <w:div w:id="1741705662">
      <w:bodyDiv w:val="1"/>
      <w:marLeft w:val="0"/>
      <w:marRight w:val="0"/>
      <w:marTop w:val="0"/>
      <w:marBottom w:val="0"/>
      <w:divBdr>
        <w:top w:val="none" w:sz="0" w:space="0" w:color="auto"/>
        <w:left w:val="none" w:sz="0" w:space="0" w:color="auto"/>
        <w:bottom w:val="none" w:sz="0" w:space="0" w:color="auto"/>
        <w:right w:val="none" w:sz="0" w:space="0" w:color="auto"/>
      </w:divBdr>
    </w:div>
    <w:div w:id="1795515721">
      <w:bodyDiv w:val="1"/>
      <w:marLeft w:val="0"/>
      <w:marRight w:val="0"/>
      <w:marTop w:val="0"/>
      <w:marBottom w:val="0"/>
      <w:divBdr>
        <w:top w:val="none" w:sz="0" w:space="0" w:color="auto"/>
        <w:left w:val="none" w:sz="0" w:space="0" w:color="auto"/>
        <w:bottom w:val="none" w:sz="0" w:space="0" w:color="auto"/>
        <w:right w:val="none" w:sz="0" w:space="0" w:color="auto"/>
      </w:divBdr>
    </w:div>
    <w:div w:id="1814788718">
      <w:bodyDiv w:val="1"/>
      <w:marLeft w:val="0"/>
      <w:marRight w:val="0"/>
      <w:marTop w:val="0"/>
      <w:marBottom w:val="0"/>
      <w:divBdr>
        <w:top w:val="none" w:sz="0" w:space="0" w:color="auto"/>
        <w:left w:val="none" w:sz="0" w:space="0" w:color="auto"/>
        <w:bottom w:val="none" w:sz="0" w:space="0" w:color="auto"/>
        <w:right w:val="none" w:sz="0" w:space="0" w:color="auto"/>
      </w:divBdr>
    </w:div>
    <w:div w:id="1828399086">
      <w:bodyDiv w:val="1"/>
      <w:marLeft w:val="0"/>
      <w:marRight w:val="0"/>
      <w:marTop w:val="0"/>
      <w:marBottom w:val="0"/>
      <w:divBdr>
        <w:top w:val="none" w:sz="0" w:space="0" w:color="auto"/>
        <w:left w:val="none" w:sz="0" w:space="0" w:color="auto"/>
        <w:bottom w:val="none" w:sz="0" w:space="0" w:color="auto"/>
        <w:right w:val="none" w:sz="0" w:space="0" w:color="auto"/>
      </w:divBdr>
    </w:div>
    <w:div w:id="1847473863">
      <w:bodyDiv w:val="1"/>
      <w:marLeft w:val="0"/>
      <w:marRight w:val="0"/>
      <w:marTop w:val="0"/>
      <w:marBottom w:val="0"/>
      <w:divBdr>
        <w:top w:val="none" w:sz="0" w:space="0" w:color="auto"/>
        <w:left w:val="none" w:sz="0" w:space="0" w:color="auto"/>
        <w:bottom w:val="none" w:sz="0" w:space="0" w:color="auto"/>
        <w:right w:val="none" w:sz="0" w:space="0" w:color="auto"/>
      </w:divBdr>
    </w:div>
    <w:div w:id="1866675966">
      <w:bodyDiv w:val="1"/>
      <w:marLeft w:val="0"/>
      <w:marRight w:val="0"/>
      <w:marTop w:val="0"/>
      <w:marBottom w:val="0"/>
      <w:divBdr>
        <w:top w:val="none" w:sz="0" w:space="0" w:color="auto"/>
        <w:left w:val="none" w:sz="0" w:space="0" w:color="auto"/>
        <w:bottom w:val="none" w:sz="0" w:space="0" w:color="auto"/>
        <w:right w:val="none" w:sz="0" w:space="0" w:color="auto"/>
      </w:divBdr>
    </w:div>
    <w:div w:id="1881044617">
      <w:bodyDiv w:val="1"/>
      <w:marLeft w:val="0"/>
      <w:marRight w:val="0"/>
      <w:marTop w:val="0"/>
      <w:marBottom w:val="0"/>
      <w:divBdr>
        <w:top w:val="none" w:sz="0" w:space="0" w:color="auto"/>
        <w:left w:val="none" w:sz="0" w:space="0" w:color="auto"/>
        <w:bottom w:val="none" w:sz="0" w:space="0" w:color="auto"/>
        <w:right w:val="none" w:sz="0" w:space="0" w:color="auto"/>
      </w:divBdr>
    </w:div>
    <w:div w:id="1897083978">
      <w:bodyDiv w:val="1"/>
      <w:marLeft w:val="0"/>
      <w:marRight w:val="0"/>
      <w:marTop w:val="0"/>
      <w:marBottom w:val="0"/>
      <w:divBdr>
        <w:top w:val="none" w:sz="0" w:space="0" w:color="auto"/>
        <w:left w:val="none" w:sz="0" w:space="0" w:color="auto"/>
        <w:bottom w:val="none" w:sz="0" w:space="0" w:color="auto"/>
        <w:right w:val="none" w:sz="0" w:space="0" w:color="auto"/>
      </w:divBdr>
    </w:div>
    <w:div w:id="1903759730">
      <w:bodyDiv w:val="1"/>
      <w:marLeft w:val="0"/>
      <w:marRight w:val="0"/>
      <w:marTop w:val="0"/>
      <w:marBottom w:val="0"/>
      <w:divBdr>
        <w:top w:val="none" w:sz="0" w:space="0" w:color="auto"/>
        <w:left w:val="none" w:sz="0" w:space="0" w:color="auto"/>
        <w:bottom w:val="none" w:sz="0" w:space="0" w:color="auto"/>
        <w:right w:val="none" w:sz="0" w:space="0" w:color="auto"/>
      </w:divBdr>
    </w:div>
    <w:div w:id="19412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1082956/Immigration_bail_conditions_-_Electronic_Monitoring__EM__Expansion_pilot.pdf" TargetMode="External"/><Relationship Id="rId21" Type="http://schemas.openxmlformats.org/officeDocument/2006/relationships/hyperlink" Target="https://www.codastory.com/authoritarian-tech/kenya-biometrics-double-registration/" TargetMode="External"/><Relationship Id="rId34" Type="http://schemas.openxmlformats.org/officeDocument/2006/relationships/hyperlink" Target="https://privacyinternational.org/advocacy/4931/privacy-internationals-submission-unsr-human-rights-violations-international-borders" TargetMode="External"/><Relationship Id="rId42" Type="http://schemas.openxmlformats.org/officeDocument/2006/relationships/hyperlink" Target="https://privacyinternational.org/challenging-drivers-surveillance" TargetMode="External"/><Relationship Id="rId47" Type="http://schemas.openxmlformats.org/officeDocument/2006/relationships/hyperlink" Target="https://www.ombudsman.europa.eu/en/decision/en/163491" TargetMode="External"/><Relationship Id="rId50" Type="http://schemas.openxmlformats.org/officeDocument/2006/relationships/hyperlink" Target="https://privacyinternational.org/long-read/4790/how-privacy-and-data-protection-law-can-help-defend-migrants-rights" TargetMode="External"/><Relationship Id="rId55" Type="http://schemas.openxmlformats.org/officeDocument/2006/relationships/hyperlink" Target="https://privacyinternational.org/advocacy/5055/joint-submission-european-commission-cross-border-sharing-data-mixed-criminal-law-and" TargetMode="External"/><Relationship Id="rId63" Type="http://schemas.openxmlformats.org/officeDocument/2006/relationships/hyperlink" Target="https://privacyinternational.org/our-demands/safeguards-public-private-surveillance-partnerships" TargetMode="External"/><Relationship Id="rId7" Type="http://schemas.openxmlformats.org/officeDocument/2006/relationships/hyperlink" Target="https://privacyinternational.org/long-read/4651/eu-externalisation-migration-control-and-id-systems-heres-whats-happening-and-what" TargetMode="External"/><Relationship Id="rId2" Type="http://schemas.openxmlformats.org/officeDocument/2006/relationships/hyperlink" Target="https://privacyinternational.org/what-we-do/demand-humane-approach-immigration" TargetMode="External"/><Relationship Id="rId16" Type="http://schemas.openxmlformats.org/officeDocument/2006/relationships/hyperlink" Target="https://www.ohchr.org/sites/default/files/documents/issues/migration/cfis/regularization/submissions-regularization-dejusticia.pdf" TargetMode="External"/><Relationship Id="rId29" Type="http://schemas.openxmlformats.org/officeDocument/2006/relationships/hyperlink" Target="https://privacyinternational.org/legal-action/challenge-uks-gps-tagging-migrants" TargetMode="External"/><Relationship Id="rId11" Type="http://schemas.openxmlformats.org/officeDocument/2006/relationships/hyperlink" Target="https://www.dejusticia.org/lo-que-no-puede-quedar-por-fuera-del-estatuto-temporal-de-proteccion-para-personas-migrantes-venezolanas/" TargetMode="External"/><Relationship Id="rId24" Type="http://schemas.openxmlformats.org/officeDocument/2006/relationships/hyperlink" Target="https://privacyinternational.org/explainer/4796/electronic-monitoring-using-gps-tags-tech-primer" TargetMode="External"/><Relationship Id="rId32" Type="http://schemas.openxmlformats.org/officeDocument/2006/relationships/hyperlink" Target="https://hubble-live-assets.s3.amazonaws.com/biduk/file_asset/file/682/GPS_Tagging_Report_Final.pdf" TargetMode="External"/><Relationship Id="rId37" Type="http://schemas.openxmlformats.org/officeDocument/2006/relationships/hyperlink" Target="https://www.dw.com/en/german-court-rules-that-search-of-refugees-phone-was-illegal/a-64685681" TargetMode="External"/><Relationship Id="rId40" Type="http://schemas.openxmlformats.org/officeDocument/2006/relationships/hyperlink" Target="https://www.ohchr.org/en/documents/reports/human-rights-migrants-report-secretary-general" TargetMode="External"/><Relationship Id="rId45" Type="http://schemas.openxmlformats.org/officeDocument/2006/relationships/hyperlink" Target="https://privacyinternational.org/news-analysis/4290/heres-how-well-connected-security-company-quietly-building-mass-biometric" TargetMode="External"/><Relationship Id="rId53" Type="http://schemas.openxmlformats.org/officeDocument/2006/relationships/hyperlink" Target="https://picum.org/wp-content/uploads/2019/11/Data-Protection-Immigration-Enforcement-and-Fundamental-Rights-Full-Report-EN.pdf" TargetMode="External"/><Relationship Id="rId58" Type="http://schemas.openxmlformats.org/officeDocument/2006/relationships/hyperlink" Target="https://privacyinternational.org/examples/3152/uk-deparment-education-shares-pupil-data-immigration-enforcement" TargetMode="External"/><Relationship Id="rId66" Type="http://schemas.openxmlformats.org/officeDocument/2006/relationships/hyperlink" Target="https://privacyinternational.org/our-demands/safeguards-public-private-surveillance-partnerships" TargetMode="External"/><Relationship Id="rId5" Type="http://schemas.openxmlformats.org/officeDocument/2006/relationships/hyperlink" Target="https://privacyinternational.org/sites/default/files/2022-06/PI%20submission%20to%20OHCHR%202022%20report%20final.pdf" TargetMode="External"/><Relationship Id="rId61" Type="http://schemas.openxmlformats.org/officeDocument/2006/relationships/hyperlink" Target="https://privacyinternational.org/learn/public-private-surveillance-partnerships" TargetMode="External"/><Relationship Id="rId19" Type="http://schemas.openxmlformats.org/officeDocument/2006/relationships/hyperlink" Target="https://www.documentcloud.org/documents/21200979-technologies-for-border-surveillance-and-control-in-italy-identification-facial-recognition-and-european-union-funding?responsive=1&amp;title=1" TargetMode="External"/><Relationship Id="rId14" Type="http://schemas.openxmlformats.org/officeDocument/2006/relationships/hyperlink" Target="https://www.ohchr.org/sites/default/files/documents/issues/migration/cfis/regularization/submissions-regularization-dejusticia.pdf" TargetMode="External"/><Relationship Id="rId22" Type="http://schemas.openxmlformats.org/officeDocument/2006/relationships/hyperlink" Target="https://privacyinternational.org/video/4412/when-id-leaves-you-without-identity-case-double-registration-kenya" TargetMode="External"/><Relationship Id="rId27" Type="http://schemas.openxmlformats.org/officeDocument/2006/relationships/hyperlink" Target="https://www.unhcr.org/uk/uk-asylum-and-policy" TargetMode="External"/><Relationship Id="rId30" Type="http://schemas.openxmlformats.org/officeDocument/2006/relationships/hyperlink" Target="https://www.duncanlewis.co.uk/news/Permission_to_Apply_for_Judicial_Review_Granted_for_Duncan_Lewis_Challenge_to_GPS_tracking_by_the_Home_Office__(31_March_2023).html" TargetMode="External"/><Relationship Id="rId35" Type="http://schemas.openxmlformats.org/officeDocument/2006/relationships/hyperlink" Target="https://www.wired.co.uk/article/europe-immigration-refugees-smartphone-metadata-deportations" TargetMode="External"/><Relationship Id="rId43" Type="http://schemas.openxmlformats.org/officeDocument/2006/relationships/hyperlink" Target="https://privacyinternational.org/long-read/4291/surveillance-disclosures-show-urgent-need-reforms-eu-aid-programmes" TargetMode="External"/><Relationship Id="rId48" Type="http://schemas.openxmlformats.org/officeDocument/2006/relationships/hyperlink" Target="https://privacyinternational.org/press-release/4962/eu-ombudsman-opens-inquiries-frontex-and-eeas-their-support-develop-surveillance" TargetMode="External"/><Relationship Id="rId56" Type="http://schemas.openxmlformats.org/officeDocument/2006/relationships/hyperlink" Target="https://home-affairs.ec.europa.eu/policies/migration-and-asylum/common-european-asylum-system_en" TargetMode="External"/><Relationship Id="rId64" Type="http://schemas.openxmlformats.org/officeDocument/2006/relationships/hyperlink" Target="https://privacyinternational.org/long-read/2216/who-supplies-data-analysis-and-tech-infrastructure-us-immigration-authorities" TargetMode="External"/><Relationship Id="rId8" Type="http://schemas.openxmlformats.org/officeDocument/2006/relationships/hyperlink" Target="https://privacyinternational.org/sites/default/files/2019-05/Global%20Virtual%20Summit%20submission-%20Privacy%20International.pdf" TargetMode="External"/><Relationship Id="rId51" Type="http://schemas.openxmlformats.org/officeDocument/2006/relationships/hyperlink" Target="https://edps.europa.eu/data-protection/our-work/publications/opinions/establishment-eurodac-comparison-fingerprints_en" TargetMode="External"/><Relationship Id="rId3" Type="http://schemas.openxmlformats.org/officeDocument/2006/relationships/hyperlink" Target="https://privacyinternational.org/report/4157/guide-litigating-identity-systems-biometrics" TargetMode="External"/><Relationship Id="rId12" Type="http://schemas.openxmlformats.org/officeDocument/2006/relationships/hyperlink" Target="https://edri.org/our-work/technologies-for-border-surveillance-and-control-in-italy/" TargetMode="External"/><Relationship Id="rId17" Type="http://schemas.openxmlformats.org/officeDocument/2006/relationships/hyperlink" Target="https://digitalid.karisma.org.co/2021/07/01/sistema-multibiometrico-etpmv/" TargetMode="External"/><Relationship Id="rId25" Type="http://schemas.openxmlformats.org/officeDocument/2006/relationships/hyperlink" Target="https://www.legislation.gov.uk/ukpga/2004/19/section/36" TargetMode="External"/><Relationship Id="rId33" Type="http://schemas.openxmlformats.org/officeDocument/2006/relationships/hyperlink" Target="https://privacyinternational.org/long-read/3938/border-asylum-seekers-are-guilty-until-proven-innocent" TargetMode="External"/><Relationship Id="rId38" Type="http://schemas.openxmlformats.org/officeDocument/2006/relationships/hyperlink" Target="https://www.bailii.org/cgi-bin/format.cgi?doc=/ew/cases/EWHC/Admin/2022/695.html&amp;query=(.2022.)+AND+(EWHC)+AND+(695)+AND+((Admin))" TargetMode="External"/><Relationship Id="rId46" Type="http://schemas.openxmlformats.org/officeDocument/2006/relationships/hyperlink" Target="https://privacyinternational.org/sites/default/files/2021-10/21.10.19_EU_Ombudsman_Complaint_Final.pdf" TargetMode="External"/><Relationship Id="rId59" Type="http://schemas.openxmlformats.org/officeDocument/2006/relationships/hyperlink" Target="https://privacyinternational.org/news-analysis/4424/hostile-environment-incompatible-public-health-pi-joins-vaccine-all-campaign" TargetMode="External"/><Relationship Id="rId20" Type="http://schemas.openxmlformats.org/officeDocument/2006/relationships/hyperlink" Target="https://www.hrw.org/news/2021/06/15/un-shared-rohingya-data-without-informed-consent" TargetMode="External"/><Relationship Id="rId41" Type="http://schemas.openxmlformats.org/officeDocument/2006/relationships/hyperlink" Target="https://www.tedic.org/wp-content/uploads/2023/02/Technologies-and-Human-Rights-in-the-Triple-Border-Area.pdf" TargetMode="External"/><Relationship Id="rId54" Type="http://schemas.openxmlformats.org/officeDocument/2006/relationships/hyperlink" Target="https://ec.europa.eu/info/law/better-regulation/have-your-say/initiatives/13243-Security-related-information-sharing-%E2%88%92-reciprocal-access-for-frontline-officers-in-the-EU-and-key-partner-countries_en" TargetMode="External"/><Relationship Id="rId62" Type="http://schemas.openxmlformats.org/officeDocument/2006/relationships/hyperlink" Target="https://privacyinternational.org/news-analysis/4290/heres-how-well-connected-security-company-quietly-building-mass-biometric" TargetMode="External"/><Relationship Id="rId1" Type="http://schemas.openxmlformats.org/officeDocument/2006/relationships/hyperlink" Target="https://privacyinternational.org/learn/migration-and-borders" TargetMode="External"/><Relationship Id="rId6" Type="http://schemas.openxmlformats.org/officeDocument/2006/relationships/hyperlink" Target="https://privacyinternational.org/node/2994" TargetMode="External"/><Relationship Id="rId15" Type="http://schemas.openxmlformats.org/officeDocument/2006/relationships/hyperlink" Target="https://www.ohchr.org/sites/default/files/documents/issues/migration/cfis/regularization/submissions-regularization-fundacion-karisma.docx" TargetMode="External"/><Relationship Id="rId23" Type="http://schemas.openxmlformats.org/officeDocument/2006/relationships/hyperlink" Target="https://assets.publishing.service.gov.uk/government/uploads/system/uploads/attachment_data/file/1132640/Immigration_bail.pdf" TargetMode="External"/><Relationship Id="rId28" Type="http://schemas.openxmlformats.org/officeDocument/2006/relationships/hyperlink" Target="https://assets.publishing.service.gov.uk/government/uploads/system/uploads/attachment_data/file/1132640/Immigration_bail.pdf" TargetMode="External"/><Relationship Id="rId36" Type="http://schemas.openxmlformats.org/officeDocument/2006/relationships/hyperlink" Target="https://freiheitsrechte.org/en/themen/digitale-grundrechte/refugee-daten" TargetMode="External"/><Relationship Id="rId49" Type="http://schemas.openxmlformats.org/officeDocument/2006/relationships/hyperlink" Target="https://www.hrw.org/news/2022/12/12/eu-frontex-complicit-abuse-libya" TargetMode="External"/><Relationship Id="rId57" Type="http://schemas.openxmlformats.org/officeDocument/2006/relationships/hyperlink" Target="https://refugee-rights.eu/wp-content/uploads/2020/07/RRE_LimitedAccessToAsylumAlongTheBalkanRoute.pdf" TargetMode="External"/><Relationship Id="rId10" Type="http://schemas.openxmlformats.org/officeDocument/2006/relationships/hyperlink" Target="https://digitalid.karisma.org.co/2021/07/01/sistema-multibiometrico-etpmv/" TargetMode="External"/><Relationship Id="rId31" Type="http://schemas.openxmlformats.org/officeDocument/2006/relationships/hyperlink" Target="https://time.com/6167467/immigrant-tracking-ice-technology-data/" TargetMode="External"/><Relationship Id="rId44" Type="http://schemas.openxmlformats.org/officeDocument/2006/relationships/hyperlink" Target="https://privacyinternational.org/long-read/4288/borders-without-borders-how-eu-exporting-surveillance-bid-outsource-its-border" TargetMode="External"/><Relationship Id="rId52" Type="http://schemas.openxmlformats.org/officeDocument/2006/relationships/hyperlink" Target="https://picum.org/wp-content/uploads/2020/04/INFOGRAPHIC.-Interoperability-Systems-and-Access-to-Data_WEB_RGB.pdf" TargetMode="External"/><Relationship Id="rId60" Type="http://schemas.openxmlformats.org/officeDocument/2006/relationships/hyperlink" Target="https://www.hrw.org/news/2022/12/12/eu-frontex-complicit-abuse-libya" TargetMode="External"/><Relationship Id="rId65" Type="http://schemas.openxmlformats.org/officeDocument/2006/relationships/hyperlink" Target="https://privacyinternational.org/sites/default/files/2020-05/2020.3%20PI%20submission%20UN%20WG%20mercenaries.pdf" TargetMode="External"/><Relationship Id="rId4" Type="http://schemas.openxmlformats.org/officeDocument/2006/relationships/hyperlink" Target="https://www.gov.uk/view-prove-immigration-status" TargetMode="External"/><Relationship Id="rId9" Type="http://schemas.openxmlformats.org/officeDocument/2006/relationships/hyperlink" Target="https://privacyinternational.org/video/4412/when-id-leaves-you-without-identity-case-double-registration-kenya" TargetMode="External"/><Relationship Id="rId13" Type="http://schemas.openxmlformats.org/officeDocument/2006/relationships/hyperlink" Target="https://www.hrw.org/news/2021/06/15/un-shared-rohingya-data-without-informed-consent" TargetMode="External"/><Relationship Id="rId18" Type="http://schemas.openxmlformats.org/officeDocument/2006/relationships/hyperlink" Target="https://privacyinternational.org/sites/default/files/2020-06/PI%27s%20joint%20UN%20submission%20on%20race%20border%20tech_final.pdf" TargetMode="External"/><Relationship Id="rId39" Type="http://schemas.openxmlformats.org/officeDocument/2006/relationships/hyperlink" Target="https://verfassungsblog.de/like-handing-my-whole-life-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9F63B-67DE-6849-B25A-4DBC2D46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5102</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dc:creator>
  <cp:keywords/>
  <dc:description/>
  <cp:lastModifiedBy>Ilia Siatitsa</cp:lastModifiedBy>
  <cp:revision>4</cp:revision>
  <cp:lastPrinted>2023-05-17T11:35:00Z</cp:lastPrinted>
  <dcterms:created xsi:type="dcterms:W3CDTF">2023-05-26T10:25:00Z</dcterms:created>
  <dcterms:modified xsi:type="dcterms:W3CDTF">2023-05-26T12:13:00Z</dcterms:modified>
</cp:coreProperties>
</file>