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210" w14:textId="2E7EA521" w:rsidR="00053599" w:rsidRPr="00A31745" w:rsidRDefault="00E93D19" w:rsidP="00C675D9">
      <w:pPr>
        <w:pStyle w:val="Title"/>
        <w:spacing w:line="276" w:lineRule="auto"/>
        <w:jc w:val="center"/>
        <w:rPr>
          <w:sz w:val="24"/>
          <w:szCs w:val="24"/>
        </w:rPr>
      </w:pPr>
      <w:r w:rsidRPr="00C675D9">
        <w:rPr>
          <w:b/>
          <w:bCs/>
          <w:sz w:val="24"/>
          <w:szCs w:val="24"/>
        </w:rPr>
        <w:t xml:space="preserve"> </w:t>
      </w:r>
      <w:r w:rsidRPr="00A31745">
        <w:rPr>
          <w:sz w:val="24"/>
          <w:szCs w:val="24"/>
        </w:rPr>
        <w:t>“Los derechos humanos de los migrantes” en el contexto de la R</w:t>
      </w:r>
      <w:r w:rsidR="00053599" w:rsidRPr="00A31745">
        <w:rPr>
          <w:sz w:val="24"/>
          <w:szCs w:val="24"/>
        </w:rPr>
        <w:t>esolución de la Asamblea General A/RES/76/172 sobre la Protección de los migrantes</w:t>
      </w:r>
    </w:p>
    <w:p w14:paraId="0A361F4E" w14:textId="77777777" w:rsidR="00537272" w:rsidRDefault="00537272" w:rsidP="00A31745">
      <w:pPr>
        <w:spacing w:line="240" w:lineRule="auto"/>
        <w:jc w:val="center"/>
        <w:rPr>
          <w:b/>
          <w:bCs/>
        </w:rPr>
      </w:pPr>
    </w:p>
    <w:p w14:paraId="160C273F" w14:textId="4AC1DC88" w:rsidR="008D3E1B" w:rsidRDefault="00F5612F" w:rsidP="00A31745">
      <w:pPr>
        <w:spacing w:line="240" w:lineRule="auto"/>
        <w:jc w:val="center"/>
        <w:rPr>
          <w:b/>
          <w:bCs/>
        </w:rPr>
      </w:pPr>
      <w:r w:rsidRPr="00C675D9">
        <w:rPr>
          <w:b/>
          <w:bCs/>
        </w:rPr>
        <w:t>Insumo</w:t>
      </w:r>
      <w:r>
        <w:rPr>
          <w:b/>
          <w:bCs/>
        </w:rPr>
        <w:t xml:space="preserve">s del CELADE – División de Población de la Comisión Económica </w:t>
      </w:r>
      <w:r w:rsidR="00847D29">
        <w:rPr>
          <w:b/>
          <w:bCs/>
        </w:rPr>
        <w:t>para América Latina y el Caribe (CEPAL)</w:t>
      </w:r>
      <w:r w:rsidR="00A31745">
        <w:rPr>
          <w:b/>
          <w:bCs/>
        </w:rPr>
        <w:t>, 8 de mayo de 2023</w:t>
      </w:r>
    </w:p>
    <w:p w14:paraId="0BD410D4" w14:textId="77777777" w:rsidR="00537272" w:rsidRPr="00847D29" w:rsidRDefault="00537272" w:rsidP="00A31745">
      <w:pPr>
        <w:spacing w:line="240" w:lineRule="auto"/>
        <w:jc w:val="center"/>
      </w:pPr>
    </w:p>
    <w:p w14:paraId="3A9D2061" w14:textId="18545BE7" w:rsidR="00CD089B" w:rsidRDefault="00EE6863" w:rsidP="00C675D9">
      <w:pPr>
        <w:pStyle w:val="ListParagraph"/>
        <w:numPr>
          <w:ilvl w:val="0"/>
          <w:numId w:val="2"/>
        </w:numPr>
        <w:spacing w:before="100" w:beforeAutospacing="1" w:after="100" w:afterAutospacing="1"/>
        <w:ind w:left="426"/>
        <w:rPr>
          <w:color w:val="000000" w:themeColor="text1"/>
          <w:sz w:val="23"/>
          <w:szCs w:val="23"/>
        </w:rPr>
      </w:pPr>
      <w:r w:rsidRPr="000F009F">
        <w:rPr>
          <w:color w:val="000000" w:themeColor="text1"/>
          <w:sz w:val="23"/>
          <w:szCs w:val="23"/>
        </w:rPr>
        <w:t xml:space="preserve">La </w:t>
      </w:r>
      <w:r w:rsidR="00134ED9">
        <w:rPr>
          <w:color w:val="000000" w:themeColor="text1"/>
          <w:sz w:val="23"/>
          <w:szCs w:val="23"/>
        </w:rPr>
        <w:t>m</w:t>
      </w:r>
      <w:r w:rsidRPr="000F009F">
        <w:rPr>
          <w:color w:val="000000" w:themeColor="text1"/>
          <w:sz w:val="23"/>
          <w:szCs w:val="23"/>
        </w:rPr>
        <w:t xml:space="preserve">igración internacional es un tema multidimensional </w:t>
      </w:r>
      <w:r w:rsidR="000E433A">
        <w:rPr>
          <w:color w:val="000000" w:themeColor="text1"/>
          <w:sz w:val="23"/>
          <w:szCs w:val="23"/>
        </w:rPr>
        <w:t>con</w:t>
      </w:r>
      <w:r w:rsidR="00F74119" w:rsidRPr="000F009F">
        <w:rPr>
          <w:color w:val="000000" w:themeColor="text1"/>
          <w:sz w:val="23"/>
          <w:szCs w:val="23"/>
        </w:rPr>
        <w:t xml:space="preserve"> una creciente complejidad</w:t>
      </w:r>
      <w:r w:rsidR="007C4BB8" w:rsidRPr="000F009F">
        <w:rPr>
          <w:color w:val="000000" w:themeColor="text1"/>
          <w:sz w:val="23"/>
          <w:szCs w:val="23"/>
        </w:rPr>
        <w:t xml:space="preserve"> en la </w:t>
      </w:r>
      <w:r w:rsidR="000251C9" w:rsidRPr="000F009F">
        <w:rPr>
          <w:color w:val="000000" w:themeColor="text1"/>
          <w:sz w:val="23"/>
          <w:szCs w:val="23"/>
        </w:rPr>
        <w:t>región</w:t>
      </w:r>
      <w:r w:rsidR="00CD089B">
        <w:rPr>
          <w:color w:val="000000" w:themeColor="text1"/>
          <w:sz w:val="23"/>
          <w:szCs w:val="23"/>
        </w:rPr>
        <w:t xml:space="preserve">. Los </w:t>
      </w:r>
      <w:r w:rsidRPr="000F009F">
        <w:rPr>
          <w:color w:val="000000" w:themeColor="text1"/>
          <w:sz w:val="23"/>
          <w:szCs w:val="23"/>
        </w:rPr>
        <w:t>flujos</w:t>
      </w:r>
      <w:r w:rsidR="00CD089B">
        <w:rPr>
          <w:color w:val="000000" w:themeColor="text1"/>
          <w:sz w:val="23"/>
          <w:szCs w:val="23"/>
        </w:rPr>
        <w:t xml:space="preserve"> migratorios </w:t>
      </w:r>
      <w:r w:rsidR="00E72186">
        <w:rPr>
          <w:color w:val="000000" w:themeColor="text1"/>
          <w:sz w:val="23"/>
          <w:szCs w:val="23"/>
        </w:rPr>
        <w:t>se caracterizan</w:t>
      </w:r>
      <w:r w:rsidR="00CD089B">
        <w:rPr>
          <w:color w:val="000000" w:themeColor="text1"/>
          <w:sz w:val="23"/>
          <w:szCs w:val="23"/>
        </w:rPr>
        <w:t xml:space="preserve"> crecientemente</w:t>
      </w:r>
      <w:r w:rsidR="00E72186">
        <w:rPr>
          <w:color w:val="000000" w:themeColor="text1"/>
          <w:sz w:val="23"/>
          <w:szCs w:val="23"/>
        </w:rPr>
        <w:t xml:space="preserve"> por </w:t>
      </w:r>
      <w:r w:rsidR="003930D8" w:rsidRPr="003930D8">
        <w:rPr>
          <w:color w:val="000000" w:themeColor="text1"/>
          <w:sz w:val="23"/>
          <w:szCs w:val="23"/>
        </w:rPr>
        <w:t xml:space="preserve">“movimientos mixtos”, </w:t>
      </w:r>
      <w:r w:rsidR="00CD089B">
        <w:rPr>
          <w:color w:val="000000" w:themeColor="text1"/>
          <w:sz w:val="23"/>
          <w:szCs w:val="23"/>
        </w:rPr>
        <w:t xml:space="preserve">que </w:t>
      </w:r>
      <w:r w:rsidR="003930D8" w:rsidRPr="003930D8">
        <w:rPr>
          <w:color w:val="000000" w:themeColor="text1"/>
          <w:sz w:val="23"/>
          <w:szCs w:val="23"/>
        </w:rPr>
        <w:t xml:space="preserve">incluyen migrantes económicos, migrantes ambientales, migración forzada o involuntaria, solicitantes de asilo, refugiados, migrantes en situación irregular, personas traficadas, víctimas de trata y migrantes varados, niños, niñas y adolescentes no acompañados, entre otros. </w:t>
      </w:r>
    </w:p>
    <w:p w14:paraId="1BECCB3F" w14:textId="6354786F" w:rsidR="007A478C" w:rsidRPr="000F009F" w:rsidRDefault="007A478C" w:rsidP="00C675D9">
      <w:pPr>
        <w:pStyle w:val="ListParagraph"/>
        <w:numPr>
          <w:ilvl w:val="0"/>
          <w:numId w:val="2"/>
        </w:numPr>
        <w:spacing w:before="100" w:beforeAutospacing="1" w:after="100" w:afterAutospacing="1"/>
        <w:ind w:left="426"/>
        <w:rPr>
          <w:color w:val="000000" w:themeColor="text1"/>
          <w:sz w:val="23"/>
          <w:szCs w:val="23"/>
        </w:rPr>
      </w:pPr>
      <w:r w:rsidRPr="000F009F">
        <w:rPr>
          <w:sz w:val="23"/>
          <w:szCs w:val="23"/>
        </w:rPr>
        <w:t>En los últimos 15 años, el número de migrantes internacionales en América Latina y el Caribe se ha más que duplicado, pasando de 7 millones a 15 millones</w:t>
      </w:r>
      <w:r w:rsidR="00972B77" w:rsidRPr="000F009F">
        <w:rPr>
          <w:sz w:val="23"/>
          <w:szCs w:val="23"/>
        </w:rPr>
        <w:t>. Estas cifras conv</w:t>
      </w:r>
      <w:r w:rsidR="00F276B0" w:rsidRPr="000F009F">
        <w:rPr>
          <w:sz w:val="23"/>
          <w:szCs w:val="23"/>
        </w:rPr>
        <w:t xml:space="preserve">ierten </w:t>
      </w:r>
      <w:r w:rsidRPr="000F009F">
        <w:rPr>
          <w:sz w:val="23"/>
          <w:szCs w:val="23"/>
        </w:rPr>
        <w:t xml:space="preserve">la región </w:t>
      </w:r>
      <w:r w:rsidR="00F276B0" w:rsidRPr="000F009F">
        <w:rPr>
          <w:sz w:val="23"/>
          <w:szCs w:val="23"/>
        </w:rPr>
        <w:t xml:space="preserve">en aquella </w:t>
      </w:r>
      <w:r w:rsidRPr="000F009F">
        <w:rPr>
          <w:sz w:val="23"/>
          <w:szCs w:val="23"/>
        </w:rPr>
        <w:t>con la mayor tasa de crecimiento de migrantes internacionales.</w:t>
      </w:r>
      <w:r w:rsidR="00AF2FB2" w:rsidRPr="000F009F">
        <w:rPr>
          <w:rStyle w:val="FootnoteReference"/>
          <w:sz w:val="23"/>
          <w:szCs w:val="23"/>
        </w:rPr>
        <w:footnoteReference w:id="1"/>
      </w:r>
    </w:p>
    <w:p w14:paraId="047509FC" w14:textId="20B19243" w:rsidR="006F2F6D" w:rsidRPr="000F009F" w:rsidRDefault="00E81737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L</w:t>
      </w:r>
      <w:r w:rsidRPr="000F009F">
        <w:rPr>
          <w:sz w:val="23"/>
          <w:szCs w:val="23"/>
        </w:rPr>
        <w:t>a población migrante realiza importantes contribuciones a las sociedades de origen y de destino</w:t>
      </w:r>
      <w:r>
        <w:rPr>
          <w:sz w:val="23"/>
          <w:szCs w:val="23"/>
        </w:rPr>
        <w:t>, s</w:t>
      </w:r>
      <w:r w:rsidR="00BF1C1B">
        <w:rPr>
          <w:sz w:val="23"/>
          <w:szCs w:val="23"/>
        </w:rPr>
        <w:t>i bien l</w:t>
      </w:r>
      <w:r w:rsidR="00480A82" w:rsidRPr="000F009F">
        <w:rPr>
          <w:sz w:val="23"/>
          <w:szCs w:val="23"/>
        </w:rPr>
        <w:t xml:space="preserve">a </w:t>
      </w:r>
      <w:r w:rsidR="00FA6CC9" w:rsidRPr="000F009F">
        <w:rPr>
          <w:sz w:val="23"/>
          <w:szCs w:val="23"/>
        </w:rPr>
        <w:t>migración</w:t>
      </w:r>
      <w:r w:rsidR="00480A82" w:rsidRPr="000F009F">
        <w:rPr>
          <w:sz w:val="23"/>
          <w:szCs w:val="23"/>
        </w:rPr>
        <w:t xml:space="preserve"> </w:t>
      </w:r>
      <w:r w:rsidR="00FA6CC9" w:rsidRPr="000F009F">
        <w:rPr>
          <w:sz w:val="23"/>
          <w:szCs w:val="23"/>
        </w:rPr>
        <w:t>plantea varios desafíos</w:t>
      </w:r>
      <w:r>
        <w:rPr>
          <w:sz w:val="23"/>
          <w:szCs w:val="23"/>
        </w:rPr>
        <w:t>.</w:t>
      </w:r>
      <w:r w:rsidR="00B80E7A">
        <w:rPr>
          <w:rStyle w:val="FootnoteReference"/>
          <w:sz w:val="23"/>
          <w:szCs w:val="23"/>
        </w:rPr>
        <w:footnoteReference w:id="2"/>
      </w:r>
      <w:r w:rsidR="00BF1C1B">
        <w:rPr>
          <w:sz w:val="23"/>
          <w:szCs w:val="23"/>
        </w:rPr>
        <w:t xml:space="preserve"> </w:t>
      </w:r>
    </w:p>
    <w:p w14:paraId="61AFEB1B" w14:textId="6B3F8811" w:rsidR="00124326" w:rsidRPr="000F009F" w:rsidRDefault="00E311B9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L</w:t>
      </w:r>
      <w:r w:rsidR="00FC3EBC" w:rsidRPr="000F009F">
        <w:rPr>
          <w:sz w:val="23"/>
          <w:szCs w:val="23"/>
        </w:rPr>
        <w:t>as personas migrantes deben enfrentarse</w:t>
      </w:r>
      <w:r w:rsidR="00873702" w:rsidRPr="000F009F">
        <w:rPr>
          <w:sz w:val="23"/>
          <w:szCs w:val="23"/>
        </w:rPr>
        <w:t xml:space="preserve"> sistemáticamente a situaciones de violaciones de</w:t>
      </w:r>
      <w:r w:rsidR="00FC3EBC" w:rsidRPr="000F009F">
        <w:rPr>
          <w:sz w:val="23"/>
          <w:szCs w:val="23"/>
        </w:rPr>
        <w:t xml:space="preserve"> </w:t>
      </w:r>
      <w:r w:rsidR="00124326" w:rsidRPr="000F009F">
        <w:rPr>
          <w:sz w:val="23"/>
          <w:szCs w:val="23"/>
        </w:rPr>
        <w:t>sus derechos</w:t>
      </w:r>
      <w:r w:rsidR="008B1595" w:rsidRPr="000F009F">
        <w:rPr>
          <w:sz w:val="23"/>
          <w:szCs w:val="23"/>
        </w:rPr>
        <w:t>,</w:t>
      </w:r>
      <w:r w:rsidR="00AB6F0E" w:rsidRPr="000F009F">
        <w:rPr>
          <w:sz w:val="23"/>
          <w:szCs w:val="23"/>
        </w:rPr>
        <w:t xml:space="preserve"> </w:t>
      </w:r>
      <w:r w:rsidR="00124326" w:rsidRPr="000F009F">
        <w:rPr>
          <w:sz w:val="23"/>
          <w:szCs w:val="23"/>
        </w:rPr>
        <w:t xml:space="preserve">debido al racismo, la xenofobia, la discriminación, y la trata de personas, entre otros. </w:t>
      </w:r>
      <w:r w:rsidR="0014500F">
        <w:rPr>
          <w:sz w:val="23"/>
          <w:szCs w:val="23"/>
        </w:rPr>
        <w:t>M</w:t>
      </w:r>
      <w:r w:rsidR="00124326" w:rsidRPr="000F009F">
        <w:rPr>
          <w:sz w:val="23"/>
          <w:szCs w:val="23"/>
        </w:rPr>
        <w:t>ujeres, niños</w:t>
      </w:r>
      <w:r w:rsidR="004A69CF">
        <w:rPr>
          <w:sz w:val="23"/>
          <w:szCs w:val="23"/>
        </w:rPr>
        <w:t>, niñas</w:t>
      </w:r>
      <w:r w:rsidR="00124326" w:rsidRPr="000F009F">
        <w:rPr>
          <w:sz w:val="23"/>
          <w:szCs w:val="23"/>
        </w:rPr>
        <w:t xml:space="preserve"> y adolescentes</w:t>
      </w:r>
      <w:r w:rsidR="0014500F">
        <w:rPr>
          <w:sz w:val="23"/>
          <w:szCs w:val="23"/>
        </w:rPr>
        <w:t>, personas mayores y personas con discapacidad migrantes son particularmente vulnerables</w:t>
      </w:r>
      <w:r w:rsidR="00124326" w:rsidRPr="000F009F">
        <w:rPr>
          <w:sz w:val="23"/>
          <w:szCs w:val="23"/>
        </w:rPr>
        <w:t>.</w:t>
      </w:r>
    </w:p>
    <w:p w14:paraId="5ABF8E48" w14:textId="513A389C" w:rsidR="003740ED" w:rsidRPr="000F009F" w:rsidRDefault="003C4B3B" w:rsidP="00567CF3">
      <w:pPr>
        <w:pStyle w:val="ListParagraph"/>
        <w:numPr>
          <w:ilvl w:val="0"/>
          <w:numId w:val="1"/>
        </w:numPr>
        <w:tabs>
          <w:tab w:val="left" w:pos="1418"/>
        </w:tabs>
        <w:ind w:left="426"/>
        <w:rPr>
          <w:sz w:val="23"/>
          <w:szCs w:val="23"/>
        </w:rPr>
      </w:pPr>
      <w:r>
        <w:rPr>
          <w:sz w:val="23"/>
          <w:szCs w:val="23"/>
        </w:rPr>
        <w:t>E</w:t>
      </w:r>
      <w:r w:rsidR="000557BC" w:rsidRPr="000F009F">
        <w:rPr>
          <w:sz w:val="23"/>
          <w:szCs w:val="23"/>
        </w:rPr>
        <w:t xml:space="preserve">l Pacto Mundial para una Migración Segura, Ordenada y Regular, que se adoptó en 2018 </w:t>
      </w:r>
      <w:r w:rsidR="00A86147" w:rsidRPr="000F009F">
        <w:rPr>
          <w:sz w:val="23"/>
          <w:szCs w:val="23"/>
        </w:rPr>
        <w:t>y la Agenda 2030 para el Desarrollo Sostenible</w:t>
      </w:r>
      <w:r w:rsidR="00325DA4">
        <w:rPr>
          <w:sz w:val="23"/>
          <w:szCs w:val="23"/>
        </w:rPr>
        <w:t>, a nivel global, y el Consenso de Montevideo sobre Población y Desarrollo, a nivel regional,</w:t>
      </w:r>
      <w:r>
        <w:rPr>
          <w:sz w:val="23"/>
          <w:szCs w:val="23"/>
        </w:rPr>
        <w:t xml:space="preserve"> </w:t>
      </w:r>
      <w:r w:rsidR="00C9156E" w:rsidRPr="000F009F">
        <w:rPr>
          <w:sz w:val="23"/>
          <w:szCs w:val="23"/>
        </w:rPr>
        <w:t>representan importante</w:t>
      </w:r>
      <w:r w:rsidR="007B7034" w:rsidRPr="000F009F">
        <w:rPr>
          <w:sz w:val="23"/>
          <w:szCs w:val="23"/>
        </w:rPr>
        <w:t>s</w:t>
      </w:r>
      <w:r w:rsidR="00C9156E" w:rsidRPr="000F009F">
        <w:rPr>
          <w:sz w:val="23"/>
          <w:szCs w:val="23"/>
        </w:rPr>
        <w:t xml:space="preserve"> instrumentos para consolidar</w:t>
      </w:r>
      <w:r w:rsidR="0041283F" w:rsidRPr="000F009F">
        <w:rPr>
          <w:sz w:val="23"/>
          <w:szCs w:val="23"/>
        </w:rPr>
        <w:t xml:space="preserve"> el </w:t>
      </w:r>
      <w:r w:rsidR="00363C26" w:rsidRPr="000F009F">
        <w:rPr>
          <w:sz w:val="23"/>
          <w:szCs w:val="23"/>
        </w:rPr>
        <w:t xml:space="preserve">enfoque </w:t>
      </w:r>
      <w:r w:rsidR="0097455A" w:rsidRPr="000F009F">
        <w:rPr>
          <w:sz w:val="23"/>
          <w:szCs w:val="23"/>
        </w:rPr>
        <w:t xml:space="preserve">y el cumplimiento efectivos </w:t>
      </w:r>
      <w:r w:rsidR="00363C26" w:rsidRPr="000F009F">
        <w:rPr>
          <w:sz w:val="23"/>
          <w:szCs w:val="23"/>
        </w:rPr>
        <w:t>de</w:t>
      </w:r>
      <w:r w:rsidR="00E9785A" w:rsidRPr="000F009F">
        <w:rPr>
          <w:sz w:val="23"/>
          <w:szCs w:val="23"/>
        </w:rPr>
        <w:t xml:space="preserve"> derechos humanos</w:t>
      </w:r>
      <w:r w:rsidR="00C9156E" w:rsidRPr="000F009F">
        <w:rPr>
          <w:sz w:val="23"/>
          <w:szCs w:val="23"/>
        </w:rPr>
        <w:t xml:space="preserve"> de las personas migrantes en la región</w:t>
      </w:r>
      <w:r w:rsidR="00C22A80" w:rsidRPr="000F009F">
        <w:rPr>
          <w:sz w:val="23"/>
          <w:szCs w:val="23"/>
        </w:rPr>
        <w:t xml:space="preserve">, independientemente de su estatus migratorio, durante todas las etapas del ciclo </w:t>
      </w:r>
      <w:r w:rsidR="004A69CF">
        <w:rPr>
          <w:sz w:val="23"/>
          <w:szCs w:val="23"/>
        </w:rPr>
        <w:t>migratorio.</w:t>
      </w:r>
    </w:p>
    <w:p w14:paraId="695B837E" w14:textId="77777777" w:rsidR="00325DA4" w:rsidRPr="000F009F" w:rsidRDefault="00325DA4" w:rsidP="00325DA4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Estos</w:t>
      </w:r>
      <w:r w:rsidRPr="000F009F">
        <w:rPr>
          <w:sz w:val="23"/>
          <w:szCs w:val="23"/>
        </w:rPr>
        <w:t xml:space="preserve"> instrumentos destacan la prioridad de los derechos de la población migrante, la responsabilidad compartida de sus garantía y protección, y la importancia de la cooperación y del dialogo entre los países de origen, tránsito y destino. También insisten en que los derechos humanos y el acceso a los servicios básicos en condiciones de seguridad, como educación y salud, no deben depender de la condición migratoria de las personas. </w:t>
      </w:r>
    </w:p>
    <w:p w14:paraId="63C6C758" w14:textId="0357EE77" w:rsidR="00BF258E" w:rsidRPr="000F009F" w:rsidRDefault="00BF258E" w:rsidP="00BF258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sz w:val="23"/>
          <w:szCs w:val="23"/>
        </w:rPr>
      </w:pPr>
      <w:r w:rsidRPr="000F009F">
        <w:rPr>
          <w:sz w:val="23"/>
          <w:szCs w:val="23"/>
        </w:rPr>
        <w:lastRenderedPageBreak/>
        <w:t xml:space="preserve">A nivel regional, </w:t>
      </w:r>
      <w:r w:rsidR="0078113B">
        <w:rPr>
          <w:sz w:val="23"/>
          <w:szCs w:val="23"/>
        </w:rPr>
        <w:t xml:space="preserve">en </w:t>
      </w:r>
      <w:r w:rsidR="00A273CF" w:rsidRPr="000F009F">
        <w:rPr>
          <w:sz w:val="23"/>
          <w:szCs w:val="23"/>
        </w:rPr>
        <w:t>la Primera reunión de la Conferencia Regional sobre Población y Desarrollo de América Latina y el Caribe</w:t>
      </w:r>
      <w:r w:rsidR="00A273CF">
        <w:rPr>
          <w:sz w:val="23"/>
          <w:szCs w:val="23"/>
        </w:rPr>
        <w:t xml:space="preserve"> de </w:t>
      </w:r>
      <w:r w:rsidR="0078113B">
        <w:rPr>
          <w:sz w:val="23"/>
          <w:szCs w:val="23"/>
        </w:rPr>
        <w:t>2013</w:t>
      </w:r>
      <w:r w:rsidR="00A273CF">
        <w:rPr>
          <w:sz w:val="23"/>
          <w:szCs w:val="23"/>
        </w:rPr>
        <w:t>,</w:t>
      </w:r>
      <w:r w:rsidR="0078113B">
        <w:rPr>
          <w:sz w:val="23"/>
          <w:szCs w:val="23"/>
        </w:rPr>
        <w:t xml:space="preserve"> </w:t>
      </w:r>
      <w:r w:rsidR="00403F7F">
        <w:rPr>
          <w:sz w:val="23"/>
          <w:szCs w:val="23"/>
        </w:rPr>
        <w:t xml:space="preserve">los países </w:t>
      </w:r>
      <w:r w:rsidR="0078113B">
        <w:rPr>
          <w:sz w:val="23"/>
          <w:szCs w:val="23"/>
        </w:rPr>
        <w:t xml:space="preserve">aprobaron </w:t>
      </w:r>
      <w:r w:rsidR="0066067C" w:rsidRPr="000F009F">
        <w:rPr>
          <w:sz w:val="23"/>
          <w:szCs w:val="23"/>
        </w:rPr>
        <w:t xml:space="preserve">el Consenso de Montevideo </w:t>
      </w:r>
      <w:r w:rsidR="0066067C">
        <w:rPr>
          <w:sz w:val="23"/>
          <w:szCs w:val="23"/>
        </w:rPr>
        <w:t xml:space="preserve">sobre </w:t>
      </w:r>
      <w:r w:rsidR="0066067C" w:rsidRPr="000F009F">
        <w:rPr>
          <w:sz w:val="23"/>
          <w:szCs w:val="23"/>
        </w:rPr>
        <w:t>Población y Desarrollo</w:t>
      </w:r>
      <w:r w:rsidR="00403F7F">
        <w:rPr>
          <w:sz w:val="23"/>
          <w:szCs w:val="23"/>
        </w:rPr>
        <w:t>, cuyo</w:t>
      </w:r>
      <w:r w:rsidR="0066067C" w:rsidRPr="000F009F">
        <w:rPr>
          <w:sz w:val="23"/>
          <w:szCs w:val="23"/>
        </w:rPr>
        <w:t xml:space="preserve"> </w:t>
      </w:r>
      <w:r w:rsidR="00A273CF" w:rsidRPr="000F009F">
        <w:rPr>
          <w:sz w:val="23"/>
          <w:szCs w:val="23"/>
        </w:rPr>
        <w:t xml:space="preserve">capítulo F </w:t>
      </w:r>
      <w:r w:rsidR="00C82643">
        <w:rPr>
          <w:sz w:val="23"/>
          <w:szCs w:val="23"/>
        </w:rPr>
        <w:t xml:space="preserve">sobre </w:t>
      </w:r>
      <w:r w:rsidR="006D5D6A">
        <w:rPr>
          <w:sz w:val="23"/>
          <w:szCs w:val="23"/>
        </w:rPr>
        <w:t>“</w:t>
      </w:r>
      <w:r w:rsidR="00E915F3">
        <w:rPr>
          <w:sz w:val="23"/>
          <w:szCs w:val="23"/>
        </w:rPr>
        <w:t xml:space="preserve">La </w:t>
      </w:r>
      <w:r w:rsidR="00C82643">
        <w:rPr>
          <w:sz w:val="23"/>
          <w:szCs w:val="23"/>
        </w:rPr>
        <w:t>migración internacional</w:t>
      </w:r>
      <w:r w:rsidR="00E95B83">
        <w:rPr>
          <w:sz w:val="23"/>
          <w:szCs w:val="23"/>
        </w:rPr>
        <w:t xml:space="preserve"> </w:t>
      </w:r>
      <w:r w:rsidR="00E95B83" w:rsidRPr="000F009F">
        <w:rPr>
          <w:sz w:val="23"/>
          <w:szCs w:val="23"/>
        </w:rPr>
        <w:t>y la protección de los derechos humanos de las personas migrantes</w:t>
      </w:r>
      <w:r w:rsidR="006D5D6A">
        <w:rPr>
          <w:sz w:val="23"/>
          <w:szCs w:val="23"/>
        </w:rPr>
        <w:t>”</w:t>
      </w:r>
      <w:r w:rsidR="00A273CF" w:rsidRPr="000F009F">
        <w:rPr>
          <w:sz w:val="23"/>
          <w:szCs w:val="23"/>
        </w:rPr>
        <w:t>, que define una estrategia para la gobernanza migratoria fundada en la protección de los derechos humanos de todas las personas migrantes con propuestas concretas de acciones e indicadores</w:t>
      </w:r>
      <w:r w:rsidR="00602F58">
        <w:rPr>
          <w:sz w:val="23"/>
          <w:szCs w:val="23"/>
        </w:rPr>
        <w:t>.</w:t>
      </w:r>
      <w:r w:rsidR="00A273CF">
        <w:rPr>
          <w:sz w:val="23"/>
          <w:szCs w:val="23"/>
        </w:rPr>
        <w:t xml:space="preserve"> </w:t>
      </w:r>
      <w:r w:rsidR="00602F58">
        <w:rPr>
          <w:sz w:val="23"/>
          <w:szCs w:val="23"/>
        </w:rPr>
        <w:t>L</w:t>
      </w:r>
      <w:r w:rsidR="00602F58" w:rsidRPr="000F009F">
        <w:rPr>
          <w:sz w:val="23"/>
          <w:szCs w:val="23"/>
        </w:rPr>
        <w:t>a CEPAL</w:t>
      </w:r>
      <w:r w:rsidR="00602F58">
        <w:rPr>
          <w:sz w:val="23"/>
          <w:szCs w:val="23"/>
        </w:rPr>
        <w:t>,</w:t>
      </w:r>
      <w:r w:rsidR="00602F58" w:rsidRPr="000F009F">
        <w:rPr>
          <w:sz w:val="23"/>
          <w:szCs w:val="23"/>
        </w:rPr>
        <w:t xml:space="preserve"> </w:t>
      </w:r>
      <w:r w:rsidRPr="000F009F">
        <w:rPr>
          <w:sz w:val="23"/>
          <w:szCs w:val="23"/>
        </w:rPr>
        <w:t>en su calidad de Secretaría Técnica de la Conferencia Regional sobre Población y Desarrollo, promueve la implementación y el seguimiento de las medidas prioritarias del</w:t>
      </w:r>
      <w:r w:rsidR="00602F58">
        <w:rPr>
          <w:sz w:val="23"/>
          <w:szCs w:val="23"/>
        </w:rPr>
        <w:t xml:space="preserve"> Consenso de Montevideo</w:t>
      </w:r>
      <w:r w:rsidRPr="000F009F">
        <w:rPr>
          <w:sz w:val="23"/>
          <w:szCs w:val="23"/>
        </w:rPr>
        <w:t xml:space="preserve">. </w:t>
      </w:r>
    </w:p>
    <w:p w14:paraId="5E3750F5" w14:textId="1AEECFB1" w:rsidR="002E785D" w:rsidRPr="000F009F" w:rsidRDefault="007B7034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 w:rsidRPr="000F009F">
        <w:rPr>
          <w:sz w:val="23"/>
          <w:szCs w:val="23"/>
        </w:rPr>
        <w:t>Las medidas prioritarias</w:t>
      </w:r>
      <w:r w:rsidR="00A84DED" w:rsidRPr="000F009F">
        <w:rPr>
          <w:sz w:val="23"/>
          <w:szCs w:val="23"/>
        </w:rPr>
        <w:t xml:space="preserve"> </w:t>
      </w:r>
      <w:r w:rsidR="00567CF3" w:rsidRPr="000F009F">
        <w:rPr>
          <w:sz w:val="23"/>
          <w:szCs w:val="23"/>
        </w:rPr>
        <w:t xml:space="preserve">del Consenso de Montevideo </w:t>
      </w:r>
      <w:r w:rsidR="0061572A" w:rsidRPr="000F009F">
        <w:rPr>
          <w:sz w:val="23"/>
          <w:szCs w:val="23"/>
        </w:rPr>
        <w:t xml:space="preserve">sobre migración internacional </w:t>
      </w:r>
      <w:r w:rsidR="00163F3E" w:rsidRPr="000F009F">
        <w:rPr>
          <w:sz w:val="23"/>
          <w:szCs w:val="23"/>
        </w:rPr>
        <w:t>destaca</w:t>
      </w:r>
      <w:r w:rsidRPr="000F009F">
        <w:rPr>
          <w:sz w:val="23"/>
          <w:szCs w:val="23"/>
        </w:rPr>
        <w:t>n</w:t>
      </w:r>
      <w:r w:rsidR="009F5A63">
        <w:rPr>
          <w:sz w:val="23"/>
          <w:szCs w:val="23"/>
        </w:rPr>
        <w:t xml:space="preserve"> </w:t>
      </w:r>
      <w:r w:rsidRPr="000F009F">
        <w:rPr>
          <w:sz w:val="23"/>
          <w:szCs w:val="23"/>
        </w:rPr>
        <w:t>la necesidad de</w:t>
      </w:r>
      <w:r w:rsidR="009238A0" w:rsidRPr="000F009F">
        <w:rPr>
          <w:sz w:val="23"/>
          <w:szCs w:val="23"/>
        </w:rPr>
        <w:t xml:space="preserve"> fortalec</w:t>
      </w:r>
      <w:r w:rsidR="00531FB6">
        <w:rPr>
          <w:sz w:val="23"/>
          <w:szCs w:val="23"/>
        </w:rPr>
        <w:t>er</w:t>
      </w:r>
      <w:r w:rsidR="009238A0" w:rsidRPr="000F009F">
        <w:rPr>
          <w:sz w:val="23"/>
          <w:szCs w:val="23"/>
        </w:rPr>
        <w:t xml:space="preserve"> los canales de coordinación intersec</w:t>
      </w:r>
      <w:r w:rsidR="001A390C" w:rsidRPr="000F009F">
        <w:rPr>
          <w:sz w:val="23"/>
          <w:szCs w:val="23"/>
        </w:rPr>
        <w:t>torial</w:t>
      </w:r>
      <w:r w:rsidR="004A69CF">
        <w:rPr>
          <w:sz w:val="23"/>
          <w:szCs w:val="23"/>
        </w:rPr>
        <w:t xml:space="preserve"> y</w:t>
      </w:r>
      <w:r w:rsidR="001A390C" w:rsidRPr="000F009F">
        <w:rPr>
          <w:sz w:val="23"/>
          <w:szCs w:val="23"/>
        </w:rPr>
        <w:t xml:space="preserve"> </w:t>
      </w:r>
      <w:r w:rsidR="002157D1" w:rsidRPr="000F009F">
        <w:rPr>
          <w:sz w:val="23"/>
          <w:szCs w:val="23"/>
        </w:rPr>
        <w:t xml:space="preserve">la elaboración de </w:t>
      </w:r>
      <w:r w:rsidR="00CC7A53" w:rsidRPr="000F009F">
        <w:rPr>
          <w:sz w:val="23"/>
          <w:szCs w:val="23"/>
        </w:rPr>
        <w:t>convenios bilaterales y multilaterales</w:t>
      </w:r>
      <w:r w:rsidR="004A69CF">
        <w:rPr>
          <w:sz w:val="23"/>
          <w:szCs w:val="23"/>
        </w:rPr>
        <w:t>. Además, resalta la importancia de</w:t>
      </w:r>
      <w:r w:rsidR="007E112A" w:rsidRPr="000F009F">
        <w:rPr>
          <w:sz w:val="23"/>
          <w:szCs w:val="23"/>
        </w:rPr>
        <w:t xml:space="preserve"> la elaboración de </w:t>
      </w:r>
      <w:r w:rsidR="00E0588D" w:rsidRPr="000F009F">
        <w:rPr>
          <w:sz w:val="23"/>
          <w:szCs w:val="23"/>
        </w:rPr>
        <w:t xml:space="preserve">agendas y </w:t>
      </w:r>
      <w:r w:rsidR="007E112A" w:rsidRPr="000F009F">
        <w:rPr>
          <w:sz w:val="23"/>
          <w:szCs w:val="23"/>
        </w:rPr>
        <w:t xml:space="preserve">estrategias </w:t>
      </w:r>
      <w:r w:rsidR="00E0588D" w:rsidRPr="000F009F">
        <w:rPr>
          <w:sz w:val="23"/>
          <w:szCs w:val="23"/>
        </w:rPr>
        <w:t>mundiales, regionales y nacionales que garanti</w:t>
      </w:r>
      <w:r w:rsidR="004A69CF">
        <w:rPr>
          <w:sz w:val="23"/>
          <w:szCs w:val="23"/>
        </w:rPr>
        <w:t>cen</w:t>
      </w:r>
      <w:r w:rsidR="00E0588D" w:rsidRPr="000F009F">
        <w:rPr>
          <w:sz w:val="23"/>
          <w:szCs w:val="23"/>
        </w:rPr>
        <w:t xml:space="preserve"> </w:t>
      </w:r>
      <w:r w:rsidR="00122075" w:rsidRPr="000F009F">
        <w:rPr>
          <w:sz w:val="23"/>
          <w:szCs w:val="23"/>
        </w:rPr>
        <w:t>la descriminalización de la migración,</w:t>
      </w:r>
      <w:r w:rsidR="00C331BE" w:rsidRPr="000F009F">
        <w:rPr>
          <w:sz w:val="23"/>
          <w:szCs w:val="23"/>
        </w:rPr>
        <w:t xml:space="preserve"> </w:t>
      </w:r>
      <w:r w:rsidR="00C31FD2" w:rsidRPr="000F009F">
        <w:rPr>
          <w:sz w:val="23"/>
          <w:szCs w:val="23"/>
        </w:rPr>
        <w:t>el acceso a servicios básicos,</w:t>
      </w:r>
      <w:r w:rsidR="00AF720D" w:rsidRPr="000F009F">
        <w:rPr>
          <w:sz w:val="23"/>
          <w:szCs w:val="23"/>
        </w:rPr>
        <w:t xml:space="preserve"> </w:t>
      </w:r>
      <w:r w:rsidR="004A69CF">
        <w:rPr>
          <w:sz w:val="23"/>
          <w:szCs w:val="23"/>
        </w:rPr>
        <w:t xml:space="preserve">a la </w:t>
      </w:r>
      <w:r w:rsidR="00543FA9">
        <w:rPr>
          <w:sz w:val="23"/>
          <w:szCs w:val="23"/>
        </w:rPr>
        <w:t xml:space="preserve">protección </w:t>
      </w:r>
      <w:r w:rsidR="004A69CF">
        <w:rPr>
          <w:sz w:val="23"/>
          <w:szCs w:val="23"/>
        </w:rPr>
        <w:t xml:space="preserve">social, </w:t>
      </w:r>
      <w:r w:rsidR="00AF720D" w:rsidRPr="000F009F">
        <w:rPr>
          <w:sz w:val="23"/>
          <w:szCs w:val="23"/>
        </w:rPr>
        <w:t xml:space="preserve">el reconocimiento de </w:t>
      </w:r>
      <w:r w:rsidR="00D57963" w:rsidRPr="000F009F">
        <w:rPr>
          <w:sz w:val="23"/>
          <w:szCs w:val="23"/>
        </w:rPr>
        <w:t>l</w:t>
      </w:r>
      <w:r w:rsidR="00F95CF8" w:rsidRPr="000F009F">
        <w:rPr>
          <w:sz w:val="23"/>
          <w:szCs w:val="23"/>
        </w:rPr>
        <w:t xml:space="preserve">os beneficios </w:t>
      </w:r>
      <w:r w:rsidR="006F0F2E" w:rsidRPr="000F009F">
        <w:rPr>
          <w:sz w:val="23"/>
          <w:szCs w:val="23"/>
        </w:rPr>
        <w:t>de</w:t>
      </w:r>
      <w:r w:rsidR="00F95CF8" w:rsidRPr="000F009F">
        <w:rPr>
          <w:sz w:val="23"/>
          <w:szCs w:val="23"/>
        </w:rPr>
        <w:t xml:space="preserve"> la </w:t>
      </w:r>
      <w:r w:rsidR="00C31FD2" w:rsidRPr="000F009F">
        <w:rPr>
          <w:sz w:val="23"/>
          <w:szCs w:val="23"/>
        </w:rPr>
        <w:t>migración</w:t>
      </w:r>
      <w:r w:rsidR="000D073D" w:rsidRPr="000F009F">
        <w:rPr>
          <w:sz w:val="23"/>
          <w:szCs w:val="23"/>
        </w:rPr>
        <w:t>, y la protección y asistencia a la población migrante en todas las etapas del proceso migratorio</w:t>
      </w:r>
      <w:r w:rsidR="004A69CF">
        <w:rPr>
          <w:sz w:val="23"/>
          <w:szCs w:val="23"/>
        </w:rPr>
        <w:t xml:space="preserve">. </w:t>
      </w:r>
      <w:r w:rsidR="006C4451">
        <w:rPr>
          <w:sz w:val="23"/>
          <w:szCs w:val="23"/>
        </w:rPr>
        <w:t xml:space="preserve">Se hace </w:t>
      </w:r>
      <w:r w:rsidR="004A69CF">
        <w:rPr>
          <w:sz w:val="23"/>
          <w:szCs w:val="23"/>
        </w:rPr>
        <w:t>especial énfasis en</w:t>
      </w:r>
      <w:r w:rsidR="000D073D" w:rsidRPr="000F009F">
        <w:rPr>
          <w:sz w:val="23"/>
          <w:szCs w:val="23"/>
        </w:rPr>
        <w:t xml:space="preserve"> aquellos grupos en condición de </w:t>
      </w:r>
      <w:r w:rsidR="004A69CF">
        <w:rPr>
          <w:sz w:val="23"/>
          <w:szCs w:val="23"/>
        </w:rPr>
        <w:t xml:space="preserve">mayor </w:t>
      </w:r>
      <w:r w:rsidR="000D073D" w:rsidRPr="000F009F">
        <w:rPr>
          <w:sz w:val="23"/>
          <w:szCs w:val="23"/>
        </w:rPr>
        <w:t>vulnerabilidad y en base a los principios de reciprocidad y coherencia</w:t>
      </w:r>
      <w:r w:rsidR="00C31FD2" w:rsidRPr="000F009F">
        <w:rPr>
          <w:sz w:val="23"/>
          <w:szCs w:val="23"/>
        </w:rPr>
        <w:t xml:space="preserve">. </w:t>
      </w:r>
    </w:p>
    <w:p w14:paraId="296CF5D1" w14:textId="2F17836A" w:rsidR="00465BDA" w:rsidRPr="000F009F" w:rsidRDefault="00525E59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Asimismo la CEPAL, en conjunto con la Organización Internacional para las Migraciones (OIM)</w:t>
      </w:r>
      <w:r w:rsidR="00525C9C">
        <w:rPr>
          <w:sz w:val="23"/>
          <w:szCs w:val="23"/>
        </w:rPr>
        <w:t>, por medio de la Red Regional de Naciones Unidas sobre Migración</w:t>
      </w:r>
      <w:r w:rsidR="00F31119">
        <w:rPr>
          <w:sz w:val="23"/>
          <w:szCs w:val="23"/>
        </w:rPr>
        <w:t xml:space="preserve"> </w:t>
      </w:r>
      <w:r w:rsidR="00F31119" w:rsidRPr="00F31119">
        <w:rPr>
          <w:sz w:val="23"/>
          <w:szCs w:val="23"/>
        </w:rPr>
        <w:t>de América Latina y el Caribe</w:t>
      </w:r>
      <w:r w:rsidR="006E0454">
        <w:rPr>
          <w:sz w:val="23"/>
          <w:szCs w:val="23"/>
        </w:rPr>
        <w:t>,</w:t>
      </w:r>
      <w:r w:rsidR="00AB1BEB">
        <w:rPr>
          <w:sz w:val="23"/>
          <w:szCs w:val="23"/>
        </w:rPr>
        <w:t xml:space="preserve"> promueve a nivel regional </w:t>
      </w:r>
      <w:r w:rsidR="00C57543">
        <w:rPr>
          <w:sz w:val="23"/>
          <w:szCs w:val="23"/>
        </w:rPr>
        <w:t xml:space="preserve">la </w:t>
      </w:r>
      <w:r w:rsidR="00C57543" w:rsidRPr="000F009F">
        <w:rPr>
          <w:sz w:val="23"/>
          <w:szCs w:val="23"/>
        </w:rPr>
        <w:t>aplicación, seguimiento y examen</w:t>
      </w:r>
      <w:r w:rsidR="0095630C">
        <w:rPr>
          <w:sz w:val="23"/>
          <w:szCs w:val="23"/>
        </w:rPr>
        <w:t xml:space="preserve"> de los</w:t>
      </w:r>
      <w:r w:rsidR="00C57543" w:rsidRPr="000F009F" w:rsidDel="00AB1BEB">
        <w:rPr>
          <w:sz w:val="23"/>
          <w:szCs w:val="23"/>
        </w:rPr>
        <w:t xml:space="preserve"> </w:t>
      </w:r>
      <w:r w:rsidR="0095630C" w:rsidRPr="000F009F">
        <w:rPr>
          <w:sz w:val="23"/>
          <w:szCs w:val="23"/>
        </w:rPr>
        <w:t xml:space="preserve">23 objetivos </w:t>
      </w:r>
      <w:r w:rsidR="0095630C">
        <w:rPr>
          <w:sz w:val="23"/>
          <w:szCs w:val="23"/>
        </w:rPr>
        <w:t>d</w:t>
      </w:r>
      <w:r w:rsidR="00AB1BEB">
        <w:rPr>
          <w:sz w:val="23"/>
          <w:szCs w:val="23"/>
        </w:rPr>
        <w:t>e</w:t>
      </w:r>
      <w:r w:rsidR="00D51585" w:rsidRPr="000F009F">
        <w:rPr>
          <w:sz w:val="23"/>
          <w:szCs w:val="23"/>
        </w:rPr>
        <w:t xml:space="preserve">l Pacto Mundial para una Migración Segura, Ordenada y </w:t>
      </w:r>
      <w:proofErr w:type="gramStart"/>
      <w:r w:rsidR="00D51585" w:rsidRPr="000F009F">
        <w:rPr>
          <w:sz w:val="23"/>
          <w:szCs w:val="23"/>
        </w:rPr>
        <w:t>Regular</w:t>
      </w:r>
      <w:r w:rsidR="0095630C">
        <w:rPr>
          <w:sz w:val="23"/>
          <w:szCs w:val="23"/>
        </w:rPr>
        <w:t>.</w:t>
      </w:r>
      <w:r w:rsidR="00FD1BD0" w:rsidRPr="000F009F">
        <w:rPr>
          <w:sz w:val="23"/>
          <w:szCs w:val="23"/>
        </w:rPr>
        <w:t>.</w:t>
      </w:r>
      <w:proofErr w:type="gramEnd"/>
      <w:r w:rsidR="00FC5F05" w:rsidRPr="000F009F">
        <w:rPr>
          <w:sz w:val="23"/>
          <w:szCs w:val="23"/>
        </w:rPr>
        <w:t xml:space="preserve"> </w:t>
      </w:r>
    </w:p>
    <w:p w14:paraId="22BAC206" w14:textId="162C415A" w:rsidR="000B388A" w:rsidRPr="000F009F" w:rsidRDefault="00BB5DE6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 w:rsidRPr="000F009F">
        <w:rPr>
          <w:sz w:val="23"/>
          <w:szCs w:val="23"/>
        </w:rPr>
        <w:t>L</w:t>
      </w:r>
      <w:r w:rsidR="003860AA" w:rsidRPr="000F009F">
        <w:rPr>
          <w:sz w:val="23"/>
          <w:szCs w:val="23"/>
        </w:rPr>
        <w:t xml:space="preserve">as medidas establecidas </w:t>
      </w:r>
      <w:r w:rsidR="00B772C0" w:rsidRPr="000F009F">
        <w:rPr>
          <w:sz w:val="23"/>
          <w:szCs w:val="23"/>
        </w:rPr>
        <w:t>para garantizar los derechos humanos de las personas migrantes</w:t>
      </w:r>
      <w:r w:rsidR="00836047" w:rsidRPr="000F009F">
        <w:rPr>
          <w:sz w:val="23"/>
          <w:szCs w:val="23"/>
        </w:rPr>
        <w:t xml:space="preserve"> </w:t>
      </w:r>
      <w:r w:rsidR="003860AA" w:rsidRPr="000F009F">
        <w:rPr>
          <w:sz w:val="23"/>
          <w:szCs w:val="23"/>
        </w:rPr>
        <w:t>en e</w:t>
      </w:r>
      <w:r w:rsidR="000B388A" w:rsidRPr="000F009F">
        <w:rPr>
          <w:sz w:val="23"/>
          <w:szCs w:val="23"/>
        </w:rPr>
        <w:t xml:space="preserve">l capítulo </w:t>
      </w:r>
      <w:r w:rsidR="00416CF9">
        <w:rPr>
          <w:sz w:val="23"/>
          <w:szCs w:val="23"/>
        </w:rPr>
        <w:t xml:space="preserve">F </w:t>
      </w:r>
      <w:r w:rsidR="000B388A" w:rsidRPr="000F009F">
        <w:rPr>
          <w:sz w:val="23"/>
          <w:szCs w:val="23"/>
        </w:rPr>
        <w:t xml:space="preserve">del Consenso de Montevideo sobre migración internacional </w:t>
      </w:r>
      <w:r w:rsidR="00836047" w:rsidRPr="000F009F">
        <w:rPr>
          <w:sz w:val="23"/>
          <w:szCs w:val="23"/>
        </w:rPr>
        <w:t>y</w:t>
      </w:r>
      <w:r w:rsidR="000B388A" w:rsidRPr="000F009F">
        <w:rPr>
          <w:sz w:val="23"/>
          <w:szCs w:val="23"/>
        </w:rPr>
        <w:t xml:space="preserve"> </w:t>
      </w:r>
      <w:r w:rsidR="00836047" w:rsidRPr="000F009F">
        <w:rPr>
          <w:sz w:val="23"/>
          <w:szCs w:val="23"/>
        </w:rPr>
        <w:t xml:space="preserve">en </w:t>
      </w:r>
      <w:r w:rsidR="000B388A" w:rsidRPr="000F009F">
        <w:rPr>
          <w:sz w:val="23"/>
          <w:szCs w:val="23"/>
        </w:rPr>
        <w:t xml:space="preserve">el Pacto Mundial para una Migración Segura, Ordenada y Regular, </w:t>
      </w:r>
      <w:r w:rsidRPr="000F009F">
        <w:rPr>
          <w:sz w:val="23"/>
          <w:szCs w:val="23"/>
        </w:rPr>
        <w:t>contribuyen</w:t>
      </w:r>
      <w:r w:rsidR="00836047" w:rsidRPr="000F009F">
        <w:rPr>
          <w:sz w:val="23"/>
          <w:szCs w:val="23"/>
        </w:rPr>
        <w:t xml:space="preserve"> </w:t>
      </w:r>
      <w:r w:rsidR="000B388A" w:rsidRPr="000F009F">
        <w:rPr>
          <w:sz w:val="23"/>
          <w:szCs w:val="23"/>
        </w:rPr>
        <w:t>al cumplimiento de los Objetivos de Desarrollo Sostenible</w:t>
      </w:r>
      <w:r w:rsidR="006E0454">
        <w:rPr>
          <w:sz w:val="23"/>
          <w:szCs w:val="23"/>
        </w:rPr>
        <w:t>, y en particular</w:t>
      </w:r>
      <w:r w:rsidR="000B388A" w:rsidRPr="000F009F">
        <w:rPr>
          <w:sz w:val="23"/>
          <w:szCs w:val="23"/>
        </w:rPr>
        <w:t xml:space="preserve"> a la erradicación de la pobreza, la garantía de una vida sana y del bienestar para todos, una educación inclusiva y equitativa, la promoción del trabajo decente </w:t>
      </w:r>
      <w:r w:rsidR="006E0454">
        <w:rPr>
          <w:sz w:val="23"/>
          <w:szCs w:val="23"/>
        </w:rPr>
        <w:t>y</w:t>
      </w:r>
      <w:r w:rsidR="006E0454" w:rsidRPr="000F009F">
        <w:rPr>
          <w:sz w:val="23"/>
          <w:szCs w:val="23"/>
        </w:rPr>
        <w:t xml:space="preserve"> </w:t>
      </w:r>
      <w:r w:rsidR="000B388A" w:rsidRPr="000F009F">
        <w:rPr>
          <w:sz w:val="23"/>
          <w:szCs w:val="23"/>
        </w:rPr>
        <w:t xml:space="preserve">del crecimiento económico inclusivo y sostenible, la reducción de las desigualdades, y la promoción de sociedades justas e inclusivas. </w:t>
      </w:r>
    </w:p>
    <w:p w14:paraId="48DDA34B" w14:textId="4109C047" w:rsidR="00AF1D90" w:rsidRPr="000F009F" w:rsidRDefault="003B177D" w:rsidP="00C675D9">
      <w:pPr>
        <w:pStyle w:val="ListParagraph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E</w:t>
      </w:r>
      <w:r w:rsidR="00B307C3" w:rsidRPr="000F009F">
        <w:rPr>
          <w:sz w:val="23"/>
          <w:szCs w:val="23"/>
        </w:rPr>
        <w:t xml:space="preserve">n la </w:t>
      </w:r>
      <w:r w:rsidR="00A703B4" w:rsidRPr="000F009F">
        <w:rPr>
          <w:sz w:val="23"/>
          <w:szCs w:val="23"/>
        </w:rPr>
        <w:t xml:space="preserve">región, el Plan de Desarrollo Integral para El Salvador, Guatemala, Honduras y el </w:t>
      </w:r>
      <w:proofErr w:type="gramStart"/>
      <w:r w:rsidR="00A703B4" w:rsidRPr="000F009F">
        <w:rPr>
          <w:sz w:val="23"/>
          <w:szCs w:val="23"/>
        </w:rPr>
        <w:t>sur-sureste</w:t>
      </w:r>
      <w:proofErr w:type="gramEnd"/>
      <w:r w:rsidR="00A703B4" w:rsidRPr="000F009F">
        <w:rPr>
          <w:sz w:val="23"/>
          <w:szCs w:val="23"/>
        </w:rPr>
        <w:t xml:space="preserve"> de México</w:t>
      </w:r>
      <w:r w:rsidR="00D14563">
        <w:rPr>
          <w:sz w:val="23"/>
          <w:szCs w:val="23"/>
        </w:rPr>
        <w:t xml:space="preserve"> (PDI)</w:t>
      </w:r>
      <w:r w:rsidR="0091088D" w:rsidRPr="000F009F">
        <w:rPr>
          <w:sz w:val="23"/>
          <w:szCs w:val="23"/>
        </w:rPr>
        <w:t>,</w:t>
      </w:r>
      <w:r w:rsidR="0095714D">
        <w:rPr>
          <w:sz w:val="23"/>
          <w:szCs w:val="23"/>
        </w:rPr>
        <w:t xml:space="preserve"> es una iniciativa del Sistema de las Naciones Unidas</w:t>
      </w:r>
      <w:r w:rsidR="0091088D" w:rsidRPr="000F009F">
        <w:rPr>
          <w:sz w:val="23"/>
          <w:szCs w:val="23"/>
        </w:rPr>
        <w:t xml:space="preserve"> que</w:t>
      </w:r>
      <w:r w:rsidR="0095714D">
        <w:rPr>
          <w:sz w:val="23"/>
          <w:szCs w:val="23"/>
        </w:rPr>
        <w:t>,</w:t>
      </w:r>
      <w:r w:rsidR="0091088D" w:rsidRPr="000F009F">
        <w:rPr>
          <w:sz w:val="23"/>
          <w:szCs w:val="23"/>
        </w:rPr>
        <w:t xml:space="preserve"> </w:t>
      </w:r>
      <w:r w:rsidR="00FA6DE5" w:rsidRPr="000F009F">
        <w:rPr>
          <w:sz w:val="23"/>
          <w:szCs w:val="23"/>
        </w:rPr>
        <w:t>incorpora</w:t>
      </w:r>
      <w:r w:rsidR="0095714D">
        <w:rPr>
          <w:sz w:val="23"/>
          <w:szCs w:val="23"/>
        </w:rPr>
        <w:t>ndo</w:t>
      </w:r>
      <w:r w:rsidR="00FA6DE5" w:rsidRPr="000F009F">
        <w:rPr>
          <w:sz w:val="23"/>
          <w:szCs w:val="23"/>
        </w:rPr>
        <w:t xml:space="preserve"> </w:t>
      </w:r>
      <w:r w:rsidR="006A3F45" w:rsidRPr="000F009F">
        <w:rPr>
          <w:sz w:val="23"/>
          <w:szCs w:val="23"/>
        </w:rPr>
        <w:t>un enfoque de derechos humanos y de seguridad humana</w:t>
      </w:r>
      <w:r w:rsidR="0095714D">
        <w:rPr>
          <w:sz w:val="23"/>
          <w:szCs w:val="23"/>
        </w:rPr>
        <w:t xml:space="preserve">, </w:t>
      </w:r>
      <w:r w:rsidR="000F009F" w:rsidRPr="000F009F">
        <w:rPr>
          <w:sz w:val="23"/>
          <w:szCs w:val="23"/>
        </w:rPr>
        <w:t xml:space="preserve">busca ofrecer más oportunidades a </w:t>
      </w:r>
      <w:r w:rsidR="006430C2">
        <w:rPr>
          <w:sz w:val="23"/>
          <w:szCs w:val="23"/>
        </w:rPr>
        <w:t xml:space="preserve">las y </w:t>
      </w:r>
      <w:r w:rsidR="000F009F" w:rsidRPr="000F009F">
        <w:rPr>
          <w:sz w:val="23"/>
          <w:szCs w:val="23"/>
        </w:rPr>
        <w:t>los habitantes en sus comunidades de origen</w:t>
      </w:r>
      <w:r w:rsidR="009A1BC3">
        <w:rPr>
          <w:sz w:val="23"/>
          <w:szCs w:val="23"/>
        </w:rPr>
        <w:t xml:space="preserve"> y así responder a las causas estructurales de la migración</w:t>
      </w:r>
      <w:r w:rsidR="000F009F" w:rsidRPr="000F009F">
        <w:rPr>
          <w:sz w:val="23"/>
          <w:szCs w:val="23"/>
        </w:rPr>
        <w:t xml:space="preserve">. </w:t>
      </w:r>
      <w:r w:rsidR="00D14563">
        <w:rPr>
          <w:sz w:val="23"/>
          <w:szCs w:val="23"/>
        </w:rPr>
        <w:t xml:space="preserve">El PDI </w:t>
      </w:r>
      <w:proofErr w:type="gramStart"/>
      <w:r w:rsidR="0051581E">
        <w:rPr>
          <w:sz w:val="23"/>
          <w:szCs w:val="23"/>
        </w:rPr>
        <w:t xml:space="preserve">promueve </w:t>
      </w:r>
      <w:r w:rsidR="000F009F" w:rsidRPr="000F009F">
        <w:rPr>
          <w:sz w:val="23"/>
          <w:szCs w:val="23"/>
        </w:rPr>
        <w:t xml:space="preserve"> </w:t>
      </w:r>
      <w:r w:rsidR="00FB2E51">
        <w:rPr>
          <w:sz w:val="23"/>
          <w:szCs w:val="23"/>
        </w:rPr>
        <w:t>acciones</w:t>
      </w:r>
      <w:proofErr w:type="gramEnd"/>
      <w:r w:rsidR="00FB2E51" w:rsidRPr="000F009F">
        <w:rPr>
          <w:sz w:val="23"/>
          <w:szCs w:val="23"/>
        </w:rPr>
        <w:t xml:space="preserve"> </w:t>
      </w:r>
      <w:r w:rsidR="00FB2E51">
        <w:rPr>
          <w:sz w:val="23"/>
          <w:szCs w:val="23"/>
        </w:rPr>
        <w:t xml:space="preserve">para </w:t>
      </w:r>
      <w:r w:rsidR="000F009F" w:rsidRPr="000F009F">
        <w:rPr>
          <w:sz w:val="23"/>
          <w:szCs w:val="23"/>
        </w:rPr>
        <w:t>reducir las brechas productivas y salariales y gener</w:t>
      </w:r>
      <w:r w:rsidR="00940240">
        <w:rPr>
          <w:sz w:val="23"/>
          <w:szCs w:val="23"/>
        </w:rPr>
        <w:t>ar</w:t>
      </w:r>
      <w:r w:rsidR="000F009F" w:rsidRPr="000F009F">
        <w:rPr>
          <w:sz w:val="23"/>
          <w:szCs w:val="23"/>
        </w:rPr>
        <w:t xml:space="preserve"> posibilidades de desarrollo que alentarán decisiones migratorias informadas y no forzadas</w:t>
      </w:r>
      <w:r w:rsidR="0051269D">
        <w:rPr>
          <w:sz w:val="23"/>
          <w:szCs w:val="23"/>
        </w:rPr>
        <w:t>.</w:t>
      </w:r>
      <w:r w:rsidR="00796D35">
        <w:rPr>
          <w:rStyle w:val="FootnoteReference"/>
          <w:sz w:val="23"/>
          <w:szCs w:val="23"/>
        </w:rPr>
        <w:footnoteReference w:id="3"/>
      </w:r>
    </w:p>
    <w:sectPr w:rsidR="00AF1D90" w:rsidRPr="000F009F" w:rsidSect="00003A65">
      <w:pgSz w:w="12240" w:h="15840"/>
      <w:pgMar w:top="1296" w:right="1080" w:bottom="129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C2DA" w14:textId="77777777" w:rsidR="00C262BC" w:rsidRDefault="00C262BC" w:rsidP="00AF2FB2">
      <w:pPr>
        <w:spacing w:line="240" w:lineRule="auto"/>
      </w:pPr>
      <w:r>
        <w:separator/>
      </w:r>
    </w:p>
  </w:endnote>
  <w:endnote w:type="continuationSeparator" w:id="0">
    <w:p w14:paraId="0ABF4738" w14:textId="77777777" w:rsidR="00C262BC" w:rsidRDefault="00C262BC" w:rsidP="00AF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D820" w14:textId="77777777" w:rsidR="00C262BC" w:rsidRDefault="00C262BC" w:rsidP="00AF2FB2">
      <w:pPr>
        <w:spacing w:line="240" w:lineRule="auto"/>
      </w:pPr>
      <w:r>
        <w:separator/>
      </w:r>
    </w:p>
  </w:footnote>
  <w:footnote w:type="continuationSeparator" w:id="0">
    <w:p w14:paraId="7E35EE70" w14:textId="77777777" w:rsidR="00C262BC" w:rsidRDefault="00C262BC" w:rsidP="00AF2FB2">
      <w:pPr>
        <w:spacing w:line="240" w:lineRule="auto"/>
      </w:pPr>
      <w:r>
        <w:continuationSeparator/>
      </w:r>
    </w:p>
  </w:footnote>
  <w:footnote w:id="1">
    <w:p w14:paraId="354EBD5E" w14:textId="30944050" w:rsidR="00AF2FB2" w:rsidRPr="00AF2FB2" w:rsidRDefault="00AF2FB2" w:rsidP="00003A65">
      <w:pPr>
        <w:pStyle w:val="NormalWeb"/>
        <w:spacing w:after="0" w:afterAutospacing="0"/>
        <w:rPr>
          <w:lang w:val="en-US"/>
        </w:rPr>
      </w:pPr>
      <w:r>
        <w:rPr>
          <w:rStyle w:val="FootnoteReference"/>
        </w:rPr>
        <w:footnoteRef/>
      </w:r>
      <w:r w:rsidRPr="00AF2FB2">
        <w:rPr>
          <w:lang w:val="en-US"/>
        </w:rPr>
        <w:t xml:space="preserve"> </w:t>
      </w:r>
      <w:r w:rsidRPr="00AF2FB2">
        <w:rPr>
          <w:rFonts w:ascii="GillSansNova" w:hAnsi="GillSansNova"/>
          <w:sz w:val="18"/>
          <w:szCs w:val="18"/>
          <w:lang w:val="en-US"/>
        </w:rPr>
        <w:t xml:space="preserve">McAuliffe, </w:t>
      </w:r>
      <w:proofErr w:type="gramStart"/>
      <w:r w:rsidRPr="00AF2FB2">
        <w:rPr>
          <w:rFonts w:ascii="GillSansNova" w:hAnsi="GillSansNova"/>
          <w:sz w:val="18"/>
          <w:szCs w:val="18"/>
          <w:lang w:val="en-US"/>
        </w:rPr>
        <w:t>M.</w:t>
      </w:r>
      <w:proofErr w:type="gramEnd"/>
      <w:r w:rsidRPr="00AF2FB2">
        <w:rPr>
          <w:rFonts w:ascii="GillSansNova" w:hAnsi="GillSansNova"/>
          <w:sz w:val="18"/>
          <w:szCs w:val="18"/>
          <w:lang w:val="en-US"/>
        </w:rPr>
        <w:t xml:space="preserve"> and A. </w:t>
      </w:r>
      <w:proofErr w:type="spellStart"/>
      <w:r w:rsidRPr="00AF2FB2">
        <w:rPr>
          <w:rFonts w:ascii="GillSansNova" w:hAnsi="GillSansNova"/>
          <w:sz w:val="18"/>
          <w:szCs w:val="18"/>
          <w:lang w:val="en-US"/>
        </w:rPr>
        <w:t>Triandafyllidou</w:t>
      </w:r>
      <w:proofErr w:type="spellEnd"/>
      <w:r w:rsidRPr="00AF2FB2">
        <w:rPr>
          <w:rFonts w:ascii="GillSansNova" w:hAnsi="GillSansNova"/>
          <w:sz w:val="18"/>
          <w:szCs w:val="18"/>
          <w:lang w:val="en-US"/>
        </w:rPr>
        <w:t xml:space="preserve"> (eds.), 2021. </w:t>
      </w:r>
      <w:r w:rsidRPr="00AF2FB2">
        <w:rPr>
          <w:rFonts w:ascii="GillSansNova" w:hAnsi="GillSansNova"/>
          <w:i/>
          <w:iCs/>
          <w:sz w:val="18"/>
          <w:szCs w:val="18"/>
          <w:lang w:val="en-US"/>
        </w:rPr>
        <w:t>World Migration Report 2022</w:t>
      </w:r>
      <w:r w:rsidRPr="00AF2FB2">
        <w:rPr>
          <w:rFonts w:ascii="GillSansNova" w:hAnsi="GillSansNova"/>
          <w:sz w:val="18"/>
          <w:szCs w:val="18"/>
          <w:lang w:val="en-US"/>
        </w:rPr>
        <w:t>. International Organization for Migration (IOM), Geneva.</w:t>
      </w:r>
    </w:p>
  </w:footnote>
  <w:footnote w:id="2">
    <w:p w14:paraId="125DD307" w14:textId="47650055" w:rsidR="00B80E7A" w:rsidRPr="00B73A5E" w:rsidRDefault="00B80E7A" w:rsidP="00003A65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r w:rsidR="00B73A5E" w:rsidRPr="00B73A5E">
        <w:t xml:space="preserve">Martínez Pizarro, J. y M. Cano </w:t>
      </w:r>
      <w:proofErr w:type="spellStart"/>
      <w:r w:rsidR="00B73A5E" w:rsidRPr="00B73A5E">
        <w:t>Christiny</w:t>
      </w:r>
      <w:proofErr w:type="spellEnd"/>
      <w:r w:rsidR="00B73A5E" w:rsidRPr="00B73A5E">
        <w:t xml:space="preserve"> (eds.) (2022), “Sobre las contribuciones de la migración al desarrollo sostenible: estudios en países seleccionados”, Documentos de Proyectos (LC/TS.2021/195), Santiago, Comisión Económica para América Latina y el Caribe (CEPAL), [en línea] https://repositorio.cepal.org/bitstream/handle/11362/47801/1/S2100782_es.pdf</w:t>
      </w:r>
      <w:r w:rsidR="00B73A5E">
        <w:t>.</w:t>
      </w:r>
    </w:p>
  </w:footnote>
  <w:footnote w:id="3">
    <w:p w14:paraId="483B5C9A" w14:textId="74E35466" w:rsidR="00796D35" w:rsidRPr="00796D35" w:rsidRDefault="00796D35" w:rsidP="00003A65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Comisión Económica para América Latina y el Caribe (CEPAL), Plan de Desarrollo Integral para el Salvador, Guatemala, Honduras y el </w:t>
      </w:r>
      <w:proofErr w:type="gramStart"/>
      <w:r>
        <w:t>sur-sureste</w:t>
      </w:r>
      <w:proofErr w:type="gramEnd"/>
      <w:r>
        <w:t xml:space="preserve"> de México, Santiago, 2021 [en línea] </w:t>
      </w:r>
      <w:r w:rsidR="009304D8" w:rsidRPr="009304D8">
        <w:t>https://www.cepal.org/es/subtemas/plan-desarrollo-integral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57E0"/>
    <w:multiLevelType w:val="hybridMultilevel"/>
    <w:tmpl w:val="01C2F02C"/>
    <w:lvl w:ilvl="0" w:tplc="18B2E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DED8B7B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C491D"/>
    <w:multiLevelType w:val="hybridMultilevel"/>
    <w:tmpl w:val="E702D66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7323439">
    <w:abstractNumId w:val="1"/>
  </w:num>
  <w:num w:numId="2" w16cid:durableId="196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4"/>
    <w:rsid w:val="00003A65"/>
    <w:rsid w:val="00021027"/>
    <w:rsid w:val="000251C9"/>
    <w:rsid w:val="00052AD6"/>
    <w:rsid w:val="00053599"/>
    <w:rsid w:val="000557BC"/>
    <w:rsid w:val="000750EE"/>
    <w:rsid w:val="000752C3"/>
    <w:rsid w:val="000813C6"/>
    <w:rsid w:val="00085088"/>
    <w:rsid w:val="000B2BE6"/>
    <w:rsid w:val="000B388A"/>
    <w:rsid w:val="000B7BA4"/>
    <w:rsid w:val="000C2B58"/>
    <w:rsid w:val="000D073D"/>
    <w:rsid w:val="000D1C14"/>
    <w:rsid w:val="000E3BE7"/>
    <w:rsid w:val="000E420C"/>
    <w:rsid w:val="000E433A"/>
    <w:rsid w:val="000F009F"/>
    <w:rsid w:val="00104D07"/>
    <w:rsid w:val="0010791F"/>
    <w:rsid w:val="00122075"/>
    <w:rsid w:val="00124326"/>
    <w:rsid w:val="001248EA"/>
    <w:rsid w:val="001251AA"/>
    <w:rsid w:val="00134ED9"/>
    <w:rsid w:val="0013552B"/>
    <w:rsid w:val="0014500F"/>
    <w:rsid w:val="00146025"/>
    <w:rsid w:val="00151CF7"/>
    <w:rsid w:val="00163F3E"/>
    <w:rsid w:val="00183F42"/>
    <w:rsid w:val="001A390C"/>
    <w:rsid w:val="001B568B"/>
    <w:rsid w:val="001D4416"/>
    <w:rsid w:val="0021245A"/>
    <w:rsid w:val="002157D1"/>
    <w:rsid w:val="0023283D"/>
    <w:rsid w:val="0023586C"/>
    <w:rsid w:val="00244A9A"/>
    <w:rsid w:val="0026384E"/>
    <w:rsid w:val="002860CC"/>
    <w:rsid w:val="00286429"/>
    <w:rsid w:val="00296134"/>
    <w:rsid w:val="002A5FFE"/>
    <w:rsid w:val="002A7CA7"/>
    <w:rsid w:val="002C2086"/>
    <w:rsid w:val="002D4D40"/>
    <w:rsid w:val="002E785D"/>
    <w:rsid w:val="002F3DC0"/>
    <w:rsid w:val="00304DFD"/>
    <w:rsid w:val="00307E3B"/>
    <w:rsid w:val="00317694"/>
    <w:rsid w:val="00325DA4"/>
    <w:rsid w:val="003451A0"/>
    <w:rsid w:val="00346CDF"/>
    <w:rsid w:val="003629E6"/>
    <w:rsid w:val="00363C26"/>
    <w:rsid w:val="00367A8D"/>
    <w:rsid w:val="00370BEC"/>
    <w:rsid w:val="003740ED"/>
    <w:rsid w:val="0037638E"/>
    <w:rsid w:val="0038561B"/>
    <w:rsid w:val="003860AA"/>
    <w:rsid w:val="003930D8"/>
    <w:rsid w:val="0039592F"/>
    <w:rsid w:val="003B177D"/>
    <w:rsid w:val="003C2992"/>
    <w:rsid w:val="003C4B3B"/>
    <w:rsid w:val="003D2F89"/>
    <w:rsid w:val="003F571D"/>
    <w:rsid w:val="00403F7F"/>
    <w:rsid w:val="0041283F"/>
    <w:rsid w:val="00416CF9"/>
    <w:rsid w:val="00420E40"/>
    <w:rsid w:val="00422984"/>
    <w:rsid w:val="004251DB"/>
    <w:rsid w:val="00431ACC"/>
    <w:rsid w:val="00465BDA"/>
    <w:rsid w:val="00471AC6"/>
    <w:rsid w:val="00480A82"/>
    <w:rsid w:val="004870F8"/>
    <w:rsid w:val="004A0EFE"/>
    <w:rsid w:val="004A69CF"/>
    <w:rsid w:val="004A6ECE"/>
    <w:rsid w:val="004B09C8"/>
    <w:rsid w:val="004C5DC2"/>
    <w:rsid w:val="004E58D6"/>
    <w:rsid w:val="004F3CBF"/>
    <w:rsid w:val="004F4C0D"/>
    <w:rsid w:val="005054A8"/>
    <w:rsid w:val="0051269D"/>
    <w:rsid w:val="00512EA1"/>
    <w:rsid w:val="00513E28"/>
    <w:rsid w:val="0051581E"/>
    <w:rsid w:val="005201D1"/>
    <w:rsid w:val="005247E4"/>
    <w:rsid w:val="00524AB1"/>
    <w:rsid w:val="00525C9C"/>
    <w:rsid w:val="00525E59"/>
    <w:rsid w:val="00525EEC"/>
    <w:rsid w:val="005315F3"/>
    <w:rsid w:val="00531808"/>
    <w:rsid w:val="00531FB6"/>
    <w:rsid w:val="005322FF"/>
    <w:rsid w:val="00533E79"/>
    <w:rsid w:val="00537272"/>
    <w:rsid w:val="00543FA9"/>
    <w:rsid w:val="00567CF3"/>
    <w:rsid w:val="005A5347"/>
    <w:rsid w:val="005B72B0"/>
    <w:rsid w:val="005C14AC"/>
    <w:rsid w:val="005C2529"/>
    <w:rsid w:val="005C2E82"/>
    <w:rsid w:val="005E2268"/>
    <w:rsid w:val="005F159D"/>
    <w:rsid w:val="00602F58"/>
    <w:rsid w:val="00612387"/>
    <w:rsid w:val="0061572A"/>
    <w:rsid w:val="006166D8"/>
    <w:rsid w:val="006430C2"/>
    <w:rsid w:val="006552BC"/>
    <w:rsid w:val="0065621A"/>
    <w:rsid w:val="00657546"/>
    <w:rsid w:val="0066067C"/>
    <w:rsid w:val="00671906"/>
    <w:rsid w:val="006732A3"/>
    <w:rsid w:val="006A35D1"/>
    <w:rsid w:val="006A3F45"/>
    <w:rsid w:val="006C4451"/>
    <w:rsid w:val="006D3434"/>
    <w:rsid w:val="006D5D6A"/>
    <w:rsid w:val="006E0454"/>
    <w:rsid w:val="006E3A44"/>
    <w:rsid w:val="006E7089"/>
    <w:rsid w:val="006F0F2E"/>
    <w:rsid w:val="006F2F6D"/>
    <w:rsid w:val="00712A32"/>
    <w:rsid w:val="00731313"/>
    <w:rsid w:val="0074224E"/>
    <w:rsid w:val="007432BB"/>
    <w:rsid w:val="007522AD"/>
    <w:rsid w:val="007525F1"/>
    <w:rsid w:val="00767D7C"/>
    <w:rsid w:val="00772D68"/>
    <w:rsid w:val="0078113B"/>
    <w:rsid w:val="0078291A"/>
    <w:rsid w:val="00783785"/>
    <w:rsid w:val="00786D26"/>
    <w:rsid w:val="00796D35"/>
    <w:rsid w:val="007A42A8"/>
    <w:rsid w:val="007A478C"/>
    <w:rsid w:val="007B0119"/>
    <w:rsid w:val="007B40CE"/>
    <w:rsid w:val="007B490D"/>
    <w:rsid w:val="007B7034"/>
    <w:rsid w:val="007C456C"/>
    <w:rsid w:val="007C4BB8"/>
    <w:rsid w:val="007C7737"/>
    <w:rsid w:val="007E112A"/>
    <w:rsid w:val="007F0759"/>
    <w:rsid w:val="007F0B44"/>
    <w:rsid w:val="007F30DD"/>
    <w:rsid w:val="007F371A"/>
    <w:rsid w:val="007F4621"/>
    <w:rsid w:val="0082365E"/>
    <w:rsid w:val="008319D0"/>
    <w:rsid w:val="008343F7"/>
    <w:rsid w:val="00836047"/>
    <w:rsid w:val="0083658C"/>
    <w:rsid w:val="00836CFE"/>
    <w:rsid w:val="008418AB"/>
    <w:rsid w:val="00842E6E"/>
    <w:rsid w:val="00847D29"/>
    <w:rsid w:val="0085759D"/>
    <w:rsid w:val="0086505E"/>
    <w:rsid w:val="00873702"/>
    <w:rsid w:val="00894803"/>
    <w:rsid w:val="008B131E"/>
    <w:rsid w:val="008B1595"/>
    <w:rsid w:val="008B74A7"/>
    <w:rsid w:val="008C2A58"/>
    <w:rsid w:val="008C4580"/>
    <w:rsid w:val="008D03BC"/>
    <w:rsid w:val="008D2D3C"/>
    <w:rsid w:val="008D2ED0"/>
    <w:rsid w:val="008D3E1B"/>
    <w:rsid w:val="008F4D8D"/>
    <w:rsid w:val="00902116"/>
    <w:rsid w:val="0091088D"/>
    <w:rsid w:val="00913358"/>
    <w:rsid w:val="009169A2"/>
    <w:rsid w:val="009238A0"/>
    <w:rsid w:val="009304D8"/>
    <w:rsid w:val="00940240"/>
    <w:rsid w:val="00950C35"/>
    <w:rsid w:val="0095630C"/>
    <w:rsid w:val="009569E1"/>
    <w:rsid w:val="0095714D"/>
    <w:rsid w:val="00972B77"/>
    <w:rsid w:val="0097455A"/>
    <w:rsid w:val="00983EFA"/>
    <w:rsid w:val="0099494A"/>
    <w:rsid w:val="009A1BC3"/>
    <w:rsid w:val="009C0051"/>
    <w:rsid w:val="009C25CE"/>
    <w:rsid w:val="009C57DA"/>
    <w:rsid w:val="009D3659"/>
    <w:rsid w:val="009E227B"/>
    <w:rsid w:val="009E3C91"/>
    <w:rsid w:val="009F156F"/>
    <w:rsid w:val="009F1DD5"/>
    <w:rsid w:val="009F5A63"/>
    <w:rsid w:val="00A000C4"/>
    <w:rsid w:val="00A16632"/>
    <w:rsid w:val="00A20AC1"/>
    <w:rsid w:val="00A273CF"/>
    <w:rsid w:val="00A315A8"/>
    <w:rsid w:val="00A31745"/>
    <w:rsid w:val="00A32DC0"/>
    <w:rsid w:val="00A4433F"/>
    <w:rsid w:val="00A444FC"/>
    <w:rsid w:val="00A54C96"/>
    <w:rsid w:val="00A64E14"/>
    <w:rsid w:val="00A703B4"/>
    <w:rsid w:val="00A71516"/>
    <w:rsid w:val="00A73A42"/>
    <w:rsid w:val="00A73A53"/>
    <w:rsid w:val="00A84DED"/>
    <w:rsid w:val="00A86147"/>
    <w:rsid w:val="00A97C69"/>
    <w:rsid w:val="00AA1606"/>
    <w:rsid w:val="00AA20DA"/>
    <w:rsid w:val="00AA541E"/>
    <w:rsid w:val="00AA6F68"/>
    <w:rsid w:val="00AB1BEB"/>
    <w:rsid w:val="00AB6F0E"/>
    <w:rsid w:val="00AD3C5B"/>
    <w:rsid w:val="00AE055E"/>
    <w:rsid w:val="00AF1D90"/>
    <w:rsid w:val="00AF2FB2"/>
    <w:rsid w:val="00AF720D"/>
    <w:rsid w:val="00AF761A"/>
    <w:rsid w:val="00B00F97"/>
    <w:rsid w:val="00B02EDF"/>
    <w:rsid w:val="00B06DDD"/>
    <w:rsid w:val="00B07CF7"/>
    <w:rsid w:val="00B17E2E"/>
    <w:rsid w:val="00B2193E"/>
    <w:rsid w:val="00B307C3"/>
    <w:rsid w:val="00B312C2"/>
    <w:rsid w:val="00B33A51"/>
    <w:rsid w:val="00B44818"/>
    <w:rsid w:val="00B62202"/>
    <w:rsid w:val="00B73A5E"/>
    <w:rsid w:val="00B772C0"/>
    <w:rsid w:val="00B80E7A"/>
    <w:rsid w:val="00B96040"/>
    <w:rsid w:val="00B97024"/>
    <w:rsid w:val="00BA79BD"/>
    <w:rsid w:val="00BB5DE6"/>
    <w:rsid w:val="00BE721C"/>
    <w:rsid w:val="00BE7A13"/>
    <w:rsid w:val="00BF1C1B"/>
    <w:rsid w:val="00BF258E"/>
    <w:rsid w:val="00C22998"/>
    <w:rsid w:val="00C22A80"/>
    <w:rsid w:val="00C262BC"/>
    <w:rsid w:val="00C31FD2"/>
    <w:rsid w:val="00C331BE"/>
    <w:rsid w:val="00C445BC"/>
    <w:rsid w:val="00C4480C"/>
    <w:rsid w:val="00C57543"/>
    <w:rsid w:val="00C675D9"/>
    <w:rsid w:val="00C82643"/>
    <w:rsid w:val="00C9156E"/>
    <w:rsid w:val="00C91A12"/>
    <w:rsid w:val="00CA2851"/>
    <w:rsid w:val="00CC5206"/>
    <w:rsid w:val="00CC6396"/>
    <w:rsid w:val="00CC6FF1"/>
    <w:rsid w:val="00CC7A53"/>
    <w:rsid w:val="00CD089B"/>
    <w:rsid w:val="00CD3977"/>
    <w:rsid w:val="00D044E9"/>
    <w:rsid w:val="00D06498"/>
    <w:rsid w:val="00D14563"/>
    <w:rsid w:val="00D250D3"/>
    <w:rsid w:val="00D35829"/>
    <w:rsid w:val="00D361D6"/>
    <w:rsid w:val="00D50DD6"/>
    <w:rsid w:val="00D51585"/>
    <w:rsid w:val="00D57963"/>
    <w:rsid w:val="00D63A80"/>
    <w:rsid w:val="00D700C4"/>
    <w:rsid w:val="00D764E7"/>
    <w:rsid w:val="00D76B15"/>
    <w:rsid w:val="00DB796C"/>
    <w:rsid w:val="00DC1E99"/>
    <w:rsid w:val="00DC23B9"/>
    <w:rsid w:val="00DC50B6"/>
    <w:rsid w:val="00DE0E4A"/>
    <w:rsid w:val="00DE38B1"/>
    <w:rsid w:val="00E0390F"/>
    <w:rsid w:val="00E0588D"/>
    <w:rsid w:val="00E0780F"/>
    <w:rsid w:val="00E108CF"/>
    <w:rsid w:val="00E167F7"/>
    <w:rsid w:val="00E2174F"/>
    <w:rsid w:val="00E311B9"/>
    <w:rsid w:val="00E47543"/>
    <w:rsid w:val="00E6008E"/>
    <w:rsid w:val="00E63ABA"/>
    <w:rsid w:val="00E642AF"/>
    <w:rsid w:val="00E70060"/>
    <w:rsid w:val="00E72186"/>
    <w:rsid w:val="00E72B34"/>
    <w:rsid w:val="00E75980"/>
    <w:rsid w:val="00E800FA"/>
    <w:rsid w:val="00E81737"/>
    <w:rsid w:val="00E87A8A"/>
    <w:rsid w:val="00E915F3"/>
    <w:rsid w:val="00E93D19"/>
    <w:rsid w:val="00E95B83"/>
    <w:rsid w:val="00E9785A"/>
    <w:rsid w:val="00ED30F0"/>
    <w:rsid w:val="00EE0D20"/>
    <w:rsid w:val="00EE6863"/>
    <w:rsid w:val="00EF5B03"/>
    <w:rsid w:val="00F06D8F"/>
    <w:rsid w:val="00F276B0"/>
    <w:rsid w:val="00F31119"/>
    <w:rsid w:val="00F37F97"/>
    <w:rsid w:val="00F462CB"/>
    <w:rsid w:val="00F54653"/>
    <w:rsid w:val="00F5612F"/>
    <w:rsid w:val="00F74119"/>
    <w:rsid w:val="00F80A03"/>
    <w:rsid w:val="00F86B4C"/>
    <w:rsid w:val="00F87464"/>
    <w:rsid w:val="00F90D3A"/>
    <w:rsid w:val="00F95CF8"/>
    <w:rsid w:val="00FA3FD0"/>
    <w:rsid w:val="00FA6CC9"/>
    <w:rsid w:val="00FA6DE5"/>
    <w:rsid w:val="00FA775B"/>
    <w:rsid w:val="00FB2E51"/>
    <w:rsid w:val="00FC2235"/>
    <w:rsid w:val="00FC36BB"/>
    <w:rsid w:val="00FC3EBC"/>
    <w:rsid w:val="00FC5F05"/>
    <w:rsid w:val="00FD1BD0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6A66"/>
  <w15:chartTrackingRefBased/>
  <w15:docId w15:val="{9B6972ED-E028-DD4A-9CBD-F36A074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03"/>
    <w:pPr>
      <w:spacing w:line="360" w:lineRule="auto"/>
      <w:ind w:firstLine="708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6BB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36BB"/>
    <w:pPr>
      <w:contextualSpacing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C36BB"/>
    <w:rPr>
      <w:rFonts w:ascii="Times New Roman" w:eastAsiaTheme="majorEastAsia" w:hAnsi="Times New Roman" w:cs="Times New Roman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C36BB"/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57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2FB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FB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FB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2F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es-MX"/>
    </w:rPr>
  </w:style>
  <w:style w:type="paragraph" w:styleId="Revision">
    <w:name w:val="Revision"/>
    <w:hidden/>
    <w:uiPriority w:val="99"/>
    <w:semiHidden/>
    <w:rsid w:val="00FE52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56811-CA29-7647-9B4A-1EEABBCC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Yaël Paes</dc:creator>
  <cp:keywords/>
  <dc:description/>
  <cp:lastModifiedBy>OHCHR Migration Unit</cp:lastModifiedBy>
  <cp:revision>2</cp:revision>
  <dcterms:created xsi:type="dcterms:W3CDTF">2023-05-09T12:33:00Z</dcterms:created>
  <dcterms:modified xsi:type="dcterms:W3CDTF">2023-05-09T12:33:00Z</dcterms:modified>
</cp:coreProperties>
</file>