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CEA8" w14:textId="4A7643E3" w:rsidR="00ED24A5" w:rsidRPr="00E04783" w:rsidRDefault="009109A2" w:rsidP="00D07B77">
      <w:pPr>
        <w:spacing w:before="240" w:line="240" w:lineRule="auto"/>
        <w:jc w:val="center"/>
        <w:rPr>
          <w:lang w:val="en-US"/>
        </w:rPr>
      </w:pPr>
      <w:r w:rsidRPr="00E04783">
        <w:rPr>
          <w:noProof/>
          <w:lang w:val="es-MX" w:eastAsia="es-MX"/>
        </w:rPr>
        <w:drawing>
          <wp:anchor distT="0" distB="0" distL="114300" distR="114300" simplePos="0" relativeHeight="251659264" behindDoc="1" locked="0" layoutInCell="1" allowOverlap="1" wp14:anchorId="2C718978" wp14:editId="65DC3218">
            <wp:simplePos x="0" y="0"/>
            <wp:positionH relativeFrom="column">
              <wp:posOffset>2344420</wp:posOffset>
            </wp:positionH>
            <wp:positionV relativeFrom="paragraph">
              <wp:posOffset>311150</wp:posOffset>
            </wp:positionV>
            <wp:extent cx="933450" cy="1287307"/>
            <wp:effectExtent l="0" t="0" r="0" b="8255"/>
            <wp:wrapTight wrapText="bothSides">
              <wp:wrapPolygon edited="0">
                <wp:start x="12784" y="0"/>
                <wp:lineTo x="7494" y="320"/>
                <wp:lineTo x="2204" y="2877"/>
                <wp:lineTo x="2204" y="6074"/>
                <wp:lineTo x="0" y="12787"/>
                <wp:lineTo x="0" y="19820"/>
                <wp:lineTo x="6171" y="21419"/>
                <wp:lineTo x="6612" y="21419"/>
                <wp:lineTo x="21159" y="21419"/>
                <wp:lineTo x="21159" y="2238"/>
                <wp:lineTo x="16751" y="0"/>
                <wp:lineTo x="12784" y="0"/>
              </wp:wrapPolygon>
            </wp:wrapTight>
            <wp:docPr id="1854634980" name="Picture 1854634980" descr="A logo with colorful ov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634980" name="Picture 1854634980" descr="A logo with colorful oval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3450" cy="1287307"/>
                    </a:xfrm>
                    <a:prstGeom prst="rect">
                      <a:avLst/>
                    </a:prstGeom>
                  </pic:spPr>
                </pic:pic>
              </a:graphicData>
            </a:graphic>
          </wp:anchor>
        </w:drawing>
      </w:r>
      <w:r w:rsidRPr="00E04783">
        <w:rPr>
          <w:noProof/>
          <w:lang w:val="es-MX" w:eastAsia="es-MX"/>
        </w:rPr>
        <w:drawing>
          <wp:anchor distT="0" distB="0" distL="114300" distR="114300" simplePos="0" relativeHeight="251660288" behindDoc="1" locked="0" layoutInCell="1" allowOverlap="1" wp14:anchorId="0D0303C8" wp14:editId="55AB749A">
            <wp:simplePos x="0" y="0"/>
            <wp:positionH relativeFrom="column">
              <wp:posOffset>3468370</wp:posOffset>
            </wp:positionH>
            <wp:positionV relativeFrom="paragraph">
              <wp:posOffset>283845</wp:posOffset>
            </wp:positionV>
            <wp:extent cx="2099945" cy="1346200"/>
            <wp:effectExtent l="0" t="0" r="0" b="6350"/>
            <wp:wrapTight wrapText="bothSides">
              <wp:wrapPolygon edited="0">
                <wp:start x="0" y="0"/>
                <wp:lineTo x="0" y="21396"/>
                <wp:lineTo x="21358" y="21396"/>
                <wp:lineTo x="21358" y="0"/>
                <wp:lineTo x="0" y="0"/>
              </wp:wrapPolygon>
            </wp:wrapTight>
            <wp:docPr id="1343109984" name="Picture 1" descr="A logo with text and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09984" name="Picture 1" descr="A logo with text and circl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945" cy="1346200"/>
                    </a:xfrm>
                    <a:prstGeom prst="rect">
                      <a:avLst/>
                    </a:prstGeom>
                    <a:noFill/>
                    <a:ln>
                      <a:noFill/>
                    </a:ln>
                  </pic:spPr>
                </pic:pic>
              </a:graphicData>
            </a:graphic>
          </wp:anchor>
        </w:drawing>
      </w:r>
      <w:r w:rsidR="00F85C3A" w:rsidRPr="00E04783">
        <w:rPr>
          <w:lang w:val="en-US"/>
        </w:rPr>
        <w:t xml:space="preserve"> </w:t>
      </w:r>
    </w:p>
    <w:p w14:paraId="7DD2047C" w14:textId="2B173E42" w:rsidR="00760A6A" w:rsidRPr="00E04783" w:rsidRDefault="00760A6A" w:rsidP="00D07B77">
      <w:pPr>
        <w:spacing w:before="240" w:line="240" w:lineRule="auto"/>
        <w:jc w:val="center"/>
        <w:rPr>
          <w:lang w:val="en-US"/>
        </w:rPr>
      </w:pPr>
      <w:r w:rsidRPr="00E04783">
        <w:rPr>
          <w:noProof/>
          <w:lang w:val="es-MX" w:eastAsia="es-MX"/>
        </w:rPr>
        <w:drawing>
          <wp:anchor distT="0" distB="0" distL="114300" distR="114300" simplePos="0" relativeHeight="251658240" behindDoc="1" locked="0" layoutInCell="1" allowOverlap="1" wp14:anchorId="54E3FEF3" wp14:editId="038DB4DD">
            <wp:simplePos x="0" y="0"/>
            <wp:positionH relativeFrom="column">
              <wp:posOffset>250825</wp:posOffset>
            </wp:positionH>
            <wp:positionV relativeFrom="paragraph">
              <wp:posOffset>321945</wp:posOffset>
            </wp:positionV>
            <wp:extent cx="1724025" cy="600075"/>
            <wp:effectExtent l="0" t="0" r="9525" b="9525"/>
            <wp:wrapTight wrapText="bothSides">
              <wp:wrapPolygon edited="0">
                <wp:start x="0" y="0"/>
                <wp:lineTo x="0" y="4800"/>
                <wp:lineTo x="2148" y="10971"/>
                <wp:lineTo x="2148" y="15771"/>
                <wp:lineTo x="2864" y="21257"/>
                <wp:lineTo x="3580" y="21257"/>
                <wp:lineTo x="6206" y="21257"/>
                <wp:lineTo x="21481" y="18514"/>
                <wp:lineTo x="21481" y="6857"/>
                <wp:lineTo x="9308" y="0"/>
                <wp:lineTo x="0" y="0"/>
              </wp:wrapPolygon>
            </wp:wrapTight>
            <wp:docPr id="27267806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678068"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anchor>
        </w:drawing>
      </w:r>
    </w:p>
    <w:p w14:paraId="51AF58C9" w14:textId="62F3DE77" w:rsidR="00ED24A5" w:rsidRPr="00E04783" w:rsidRDefault="00ED24A5" w:rsidP="66FC65D6">
      <w:pPr>
        <w:spacing w:before="240" w:line="240" w:lineRule="auto"/>
        <w:jc w:val="center"/>
        <w:rPr>
          <w:rFonts w:ascii="Lato" w:hAnsi="Lato"/>
          <w:b/>
          <w:bCs/>
          <w:sz w:val="36"/>
          <w:szCs w:val="36"/>
          <w:lang w:val="en-US"/>
        </w:rPr>
      </w:pPr>
    </w:p>
    <w:p w14:paraId="60449FAC" w14:textId="77777777" w:rsidR="00760A6A" w:rsidRPr="00E04783" w:rsidRDefault="00760A6A" w:rsidP="66FC65D6">
      <w:pPr>
        <w:spacing w:before="240" w:line="240" w:lineRule="auto"/>
        <w:jc w:val="center"/>
        <w:rPr>
          <w:rFonts w:ascii="Lato" w:hAnsi="Lato"/>
          <w:b/>
          <w:bCs/>
          <w:sz w:val="36"/>
          <w:szCs w:val="36"/>
          <w:lang w:val="en-US"/>
        </w:rPr>
      </w:pPr>
    </w:p>
    <w:p w14:paraId="743BBB56" w14:textId="43AE73E2" w:rsidR="00ED24A5" w:rsidRPr="00E04783" w:rsidRDefault="75309028" w:rsidP="66FC65D6">
      <w:pPr>
        <w:spacing w:before="240" w:line="240" w:lineRule="auto"/>
        <w:jc w:val="center"/>
        <w:rPr>
          <w:rFonts w:ascii="Lato" w:hAnsi="Lato"/>
          <w:b/>
          <w:bCs/>
          <w:sz w:val="36"/>
          <w:szCs w:val="36"/>
          <w:lang w:val="en-US"/>
        </w:rPr>
      </w:pPr>
      <w:r w:rsidRPr="00E04783">
        <w:rPr>
          <w:rFonts w:ascii="Lato" w:hAnsi="Lato"/>
          <w:b/>
          <w:bCs/>
          <w:sz w:val="36"/>
          <w:szCs w:val="36"/>
          <w:lang w:val="en-US"/>
        </w:rPr>
        <w:t xml:space="preserve">Decriminalization of homelessness and </w:t>
      </w:r>
      <w:r w:rsidR="72FDBEF9" w:rsidRPr="00E04783">
        <w:rPr>
          <w:rFonts w:ascii="Lato" w:hAnsi="Lato"/>
          <w:b/>
          <w:bCs/>
          <w:sz w:val="36"/>
          <w:szCs w:val="36"/>
          <w:lang w:val="en-US"/>
        </w:rPr>
        <w:t xml:space="preserve">extreme </w:t>
      </w:r>
      <w:r w:rsidRPr="00E04783">
        <w:rPr>
          <w:rFonts w:ascii="Lato" w:hAnsi="Lato"/>
          <w:b/>
          <w:bCs/>
          <w:sz w:val="36"/>
          <w:szCs w:val="36"/>
          <w:lang w:val="en-US"/>
        </w:rPr>
        <w:t>poverty</w:t>
      </w:r>
      <w:r w:rsidR="3D07A825" w:rsidRPr="00E04783">
        <w:rPr>
          <w:rFonts w:ascii="Lato" w:hAnsi="Lato"/>
          <w:b/>
          <w:bCs/>
          <w:sz w:val="36"/>
          <w:szCs w:val="36"/>
          <w:lang w:val="en-US"/>
        </w:rPr>
        <w:t xml:space="preserve">: </w:t>
      </w:r>
      <w:r w:rsidR="481BA279" w:rsidRPr="00E04783">
        <w:rPr>
          <w:rFonts w:ascii="Lato" w:hAnsi="Lato"/>
          <w:b/>
          <w:bCs/>
          <w:sz w:val="36"/>
          <w:szCs w:val="36"/>
          <w:lang w:val="en-US"/>
        </w:rPr>
        <w:t xml:space="preserve">Addressing the vulnerabilities and global challenges for LGBTI people. </w:t>
      </w:r>
    </w:p>
    <w:p w14:paraId="0DF6F8F6" w14:textId="7296B5B3" w:rsidR="00C412E8" w:rsidRPr="00E04783" w:rsidRDefault="00C412E8" w:rsidP="66FC65D6">
      <w:pPr>
        <w:spacing w:before="240" w:line="240" w:lineRule="auto"/>
        <w:jc w:val="center"/>
        <w:rPr>
          <w:rFonts w:ascii="Lato" w:hAnsi="Lato"/>
          <w:b/>
          <w:bCs/>
          <w:sz w:val="36"/>
          <w:szCs w:val="36"/>
          <w:lang w:val="en-US"/>
        </w:rPr>
      </w:pPr>
    </w:p>
    <w:p w14:paraId="2B9A842B" w14:textId="4FA089E7" w:rsidR="00C412E8" w:rsidRPr="00E04783" w:rsidRDefault="13044D26" w:rsidP="00D07B77">
      <w:pPr>
        <w:spacing w:before="240" w:after="360" w:line="257" w:lineRule="auto"/>
        <w:jc w:val="center"/>
        <w:rPr>
          <w:rFonts w:ascii="Lato" w:eastAsia="Lato" w:hAnsi="Lato" w:cs="Lato"/>
          <w:i/>
          <w:iCs/>
          <w:color w:val="000000" w:themeColor="text1"/>
          <w:sz w:val="24"/>
          <w:szCs w:val="24"/>
          <w:lang w:val="en-US"/>
        </w:rPr>
      </w:pPr>
      <w:r w:rsidRPr="00E04783">
        <w:rPr>
          <w:rFonts w:ascii="Lato" w:eastAsia="Lato" w:hAnsi="Lato" w:cs="Lato"/>
          <w:i/>
          <w:iCs/>
          <w:color w:val="000000" w:themeColor="text1"/>
          <w:sz w:val="24"/>
          <w:szCs w:val="24"/>
          <w:lang w:val="en-US"/>
        </w:rPr>
        <w:t>Submission to the Special Rapporteur on the right to adequate housing and the Special Rapporteur on extreme poverty</w:t>
      </w:r>
    </w:p>
    <w:p w14:paraId="6C9FE103" w14:textId="74E5CB2E" w:rsidR="00C412E8" w:rsidRPr="00E04783" w:rsidRDefault="00C547B4" w:rsidP="00D07B77">
      <w:pPr>
        <w:spacing w:before="240" w:after="0" w:line="240" w:lineRule="auto"/>
        <w:jc w:val="center"/>
        <w:rPr>
          <w:rFonts w:ascii="Lato" w:eastAsia="Lato" w:hAnsi="Lato" w:cs="Lato"/>
          <w:color w:val="000000" w:themeColor="text1"/>
          <w:sz w:val="24"/>
          <w:szCs w:val="24"/>
          <w:lang w:val="en-US"/>
        </w:rPr>
      </w:pPr>
      <w:r w:rsidRPr="00E04783">
        <w:rPr>
          <w:rFonts w:ascii="Lato" w:eastAsia="Lato" w:hAnsi="Lato" w:cs="Lato"/>
          <w:color w:val="000000" w:themeColor="text1"/>
          <w:sz w:val="24"/>
          <w:szCs w:val="24"/>
          <w:lang w:val="en-US"/>
        </w:rPr>
        <w:t>06</w:t>
      </w:r>
      <w:r w:rsidR="13044D26" w:rsidRPr="00E04783">
        <w:rPr>
          <w:rFonts w:ascii="Lato" w:eastAsia="Lato" w:hAnsi="Lato" w:cs="Lato"/>
          <w:color w:val="000000" w:themeColor="text1"/>
          <w:sz w:val="24"/>
          <w:szCs w:val="24"/>
          <w:lang w:val="en-US"/>
        </w:rPr>
        <w:t xml:space="preserve"> </w:t>
      </w:r>
      <w:r w:rsidRPr="00E04783">
        <w:rPr>
          <w:rFonts w:ascii="Lato" w:eastAsia="Lato" w:hAnsi="Lato" w:cs="Lato"/>
          <w:color w:val="000000" w:themeColor="text1"/>
          <w:sz w:val="24"/>
          <w:szCs w:val="24"/>
          <w:lang w:val="en-US"/>
        </w:rPr>
        <w:t>October</w:t>
      </w:r>
      <w:r w:rsidR="13044D26" w:rsidRPr="00E04783">
        <w:rPr>
          <w:rFonts w:ascii="Lato" w:eastAsia="Lato" w:hAnsi="Lato" w:cs="Lato"/>
          <w:color w:val="000000" w:themeColor="text1"/>
          <w:sz w:val="24"/>
          <w:szCs w:val="24"/>
          <w:lang w:val="en-US"/>
        </w:rPr>
        <w:t xml:space="preserve"> 2023</w:t>
      </w:r>
    </w:p>
    <w:p w14:paraId="7FF45033" w14:textId="56E7AAAB" w:rsidR="00C412E8" w:rsidRPr="00E04783" w:rsidRDefault="13044D26" w:rsidP="00D07B77">
      <w:pPr>
        <w:spacing w:before="240" w:after="0" w:line="240" w:lineRule="auto"/>
        <w:jc w:val="both"/>
        <w:rPr>
          <w:rFonts w:ascii="Lato" w:eastAsia="Lato" w:hAnsi="Lato" w:cs="Lato"/>
          <w:b/>
          <w:bCs/>
          <w:color w:val="000000" w:themeColor="text1"/>
          <w:lang w:val="en-US"/>
        </w:rPr>
      </w:pPr>
      <w:r w:rsidRPr="00E04783">
        <w:rPr>
          <w:rFonts w:ascii="Lato" w:eastAsia="Lato" w:hAnsi="Lato" w:cs="Lato"/>
          <w:b/>
          <w:bCs/>
          <w:color w:val="000000" w:themeColor="text1"/>
          <w:lang w:val="en-US"/>
        </w:rPr>
        <w:t xml:space="preserve"> </w:t>
      </w:r>
    </w:p>
    <w:p w14:paraId="46BB3033" w14:textId="0B70C130" w:rsidR="00C412E8" w:rsidRPr="00E04783" w:rsidRDefault="13044D26" w:rsidP="00D07B77">
      <w:pPr>
        <w:spacing w:before="240" w:after="0" w:line="240" w:lineRule="auto"/>
        <w:jc w:val="center"/>
        <w:rPr>
          <w:rFonts w:ascii="Lato" w:eastAsia="Lato" w:hAnsi="Lato" w:cs="Lato"/>
          <w:b/>
          <w:bCs/>
          <w:color w:val="000000" w:themeColor="text1"/>
          <w:sz w:val="24"/>
          <w:szCs w:val="24"/>
          <w:lang w:val="en-US"/>
        </w:rPr>
      </w:pPr>
      <w:r w:rsidRPr="00E04783">
        <w:rPr>
          <w:rFonts w:ascii="Lato" w:eastAsia="Lato" w:hAnsi="Lato" w:cs="Lato"/>
          <w:b/>
          <w:bCs/>
          <w:color w:val="000000" w:themeColor="text1"/>
          <w:sz w:val="24"/>
          <w:szCs w:val="24"/>
          <w:lang w:val="en-US"/>
        </w:rPr>
        <w:t>Report submitted by:</w:t>
      </w:r>
    </w:p>
    <w:p w14:paraId="66160D92" w14:textId="79F102E5" w:rsidR="00C412E8" w:rsidRPr="00E04783" w:rsidRDefault="13044D26" w:rsidP="00D07B77">
      <w:pPr>
        <w:spacing w:before="240" w:after="0" w:line="240" w:lineRule="auto"/>
        <w:jc w:val="center"/>
        <w:rPr>
          <w:rFonts w:ascii="Lato" w:eastAsia="Lato" w:hAnsi="Lato" w:cs="Lato"/>
          <w:color w:val="000000" w:themeColor="text1"/>
          <w:sz w:val="24"/>
          <w:szCs w:val="24"/>
          <w:lang w:val="en-US"/>
        </w:rPr>
      </w:pPr>
      <w:r w:rsidRPr="00E04783">
        <w:rPr>
          <w:rFonts w:ascii="Lato" w:eastAsia="Lato" w:hAnsi="Lato" w:cs="Lato"/>
          <w:color w:val="000000" w:themeColor="text1"/>
          <w:sz w:val="24"/>
          <w:szCs w:val="24"/>
          <w:lang w:val="en-US"/>
        </w:rPr>
        <w:t>International Lesbian, Gay, Bisexual, Trans and Intersex Association (ILGA World)</w:t>
      </w:r>
    </w:p>
    <w:p w14:paraId="79921CB7" w14:textId="18C74313" w:rsidR="00C412E8" w:rsidRPr="00E04783" w:rsidRDefault="13044D26" w:rsidP="00D07B77">
      <w:pPr>
        <w:spacing w:before="240" w:after="0" w:line="240" w:lineRule="auto"/>
        <w:jc w:val="center"/>
        <w:rPr>
          <w:rFonts w:ascii="Lato" w:eastAsia="Lato" w:hAnsi="Lato" w:cs="Lato"/>
          <w:color w:val="000000" w:themeColor="text1"/>
          <w:sz w:val="24"/>
          <w:szCs w:val="24"/>
          <w:lang w:val="en-US"/>
        </w:rPr>
      </w:pPr>
      <w:r w:rsidRPr="00E04783">
        <w:rPr>
          <w:rFonts w:ascii="Lato" w:eastAsia="Lato" w:hAnsi="Lato" w:cs="Lato"/>
          <w:color w:val="000000" w:themeColor="text1"/>
          <w:sz w:val="24"/>
          <w:szCs w:val="24"/>
          <w:lang w:val="en-US"/>
        </w:rPr>
        <w:t xml:space="preserve"> </w:t>
      </w:r>
    </w:p>
    <w:p w14:paraId="57B1B928" w14:textId="3C9FA647" w:rsidR="00C412E8" w:rsidRPr="00E04783" w:rsidRDefault="13044D26" w:rsidP="00D07B77">
      <w:pPr>
        <w:spacing w:before="240" w:after="0" w:line="240" w:lineRule="auto"/>
        <w:jc w:val="center"/>
        <w:rPr>
          <w:rFonts w:ascii="Lato" w:eastAsia="Lato" w:hAnsi="Lato" w:cs="Lato"/>
          <w:b/>
          <w:bCs/>
          <w:color w:val="000000" w:themeColor="text1"/>
          <w:sz w:val="24"/>
          <w:szCs w:val="24"/>
          <w:lang w:val="en-US"/>
        </w:rPr>
      </w:pPr>
      <w:r w:rsidRPr="00E04783">
        <w:rPr>
          <w:rFonts w:ascii="Lato" w:eastAsia="Lato" w:hAnsi="Lato" w:cs="Lato"/>
          <w:b/>
          <w:bCs/>
          <w:color w:val="000000" w:themeColor="text1"/>
          <w:sz w:val="24"/>
          <w:szCs w:val="24"/>
          <w:lang w:val="en-US"/>
        </w:rPr>
        <w:t>With the support of:</w:t>
      </w:r>
    </w:p>
    <w:p w14:paraId="37575FD5" w14:textId="31117E63" w:rsidR="00C412E8" w:rsidRPr="00E04783" w:rsidRDefault="13044D26" w:rsidP="66FC65D6">
      <w:pPr>
        <w:spacing w:before="240" w:after="0" w:line="240" w:lineRule="auto"/>
        <w:jc w:val="center"/>
        <w:rPr>
          <w:rFonts w:ascii="Lato" w:eastAsia="Lato" w:hAnsi="Lato" w:cs="Lato"/>
          <w:color w:val="000000" w:themeColor="text1"/>
          <w:sz w:val="24"/>
          <w:szCs w:val="24"/>
          <w:lang w:val="en-US"/>
        </w:rPr>
      </w:pPr>
      <w:bookmarkStart w:id="0" w:name="_Hlk145676088"/>
      <w:r w:rsidRPr="00E04783">
        <w:rPr>
          <w:rFonts w:ascii="Lato" w:eastAsia="Lato" w:hAnsi="Lato" w:cs="Lato"/>
          <w:color w:val="000000" w:themeColor="text1"/>
          <w:sz w:val="24"/>
          <w:szCs w:val="24"/>
          <w:lang w:val="en-US"/>
        </w:rPr>
        <w:t>Más Igualdad Perú</w:t>
      </w:r>
    </w:p>
    <w:p w14:paraId="065F36B5" w14:textId="64B948D5" w:rsidR="00760A6A" w:rsidRPr="00E04783" w:rsidRDefault="00760A6A" w:rsidP="66FC65D6">
      <w:pPr>
        <w:spacing w:before="240" w:after="0" w:line="240" w:lineRule="auto"/>
        <w:jc w:val="center"/>
        <w:rPr>
          <w:rFonts w:ascii="Lato" w:eastAsia="Lato" w:hAnsi="Lato" w:cs="Lato"/>
          <w:color w:val="000000" w:themeColor="text1"/>
          <w:sz w:val="24"/>
          <w:szCs w:val="24"/>
          <w:lang w:val="en-US"/>
        </w:rPr>
      </w:pPr>
      <w:r w:rsidRPr="00E04783">
        <w:rPr>
          <w:rFonts w:ascii="Lato" w:eastAsia="Lato" w:hAnsi="Lato" w:cs="Lato"/>
          <w:color w:val="000000" w:themeColor="text1"/>
          <w:sz w:val="24"/>
          <w:szCs w:val="24"/>
          <w:lang w:val="en-US"/>
        </w:rPr>
        <w:t>Transgender Europe</w:t>
      </w:r>
    </w:p>
    <w:p w14:paraId="3F7FD068" w14:textId="3BE76C1E" w:rsidR="00AE56AD" w:rsidRPr="00E04783" w:rsidRDefault="00AE56AD" w:rsidP="66FC65D6">
      <w:pPr>
        <w:spacing w:before="240" w:after="0" w:line="240" w:lineRule="auto"/>
        <w:jc w:val="center"/>
        <w:rPr>
          <w:rFonts w:ascii="Lato" w:eastAsia="Lato" w:hAnsi="Lato" w:cs="Lato"/>
          <w:color w:val="000000" w:themeColor="text1"/>
          <w:sz w:val="24"/>
          <w:szCs w:val="24"/>
          <w:lang w:val="en-US"/>
        </w:rPr>
      </w:pPr>
      <w:r w:rsidRPr="00E04783">
        <w:rPr>
          <w:rFonts w:ascii="Lato" w:eastAsia="Lato" w:hAnsi="Lato" w:cs="Lato"/>
          <w:color w:val="000000" w:themeColor="text1"/>
          <w:sz w:val="24"/>
          <w:szCs w:val="24"/>
          <w:lang w:val="en-US"/>
        </w:rPr>
        <w:t>Victorian Pride Lobby</w:t>
      </w:r>
    </w:p>
    <w:bookmarkEnd w:id="0"/>
    <w:p w14:paraId="182C9C44" w14:textId="3EEC9CA0" w:rsidR="00C412E8" w:rsidRPr="00E04783" w:rsidRDefault="00540441" w:rsidP="00B25CFE">
      <w:pPr>
        <w:spacing w:before="240" w:after="0" w:line="240" w:lineRule="auto"/>
        <w:jc w:val="center"/>
        <w:rPr>
          <w:rFonts w:ascii="Lato" w:eastAsia="Lato" w:hAnsi="Lato" w:cs="Lato"/>
          <w:b/>
          <w:bCs/>
          <w:color w:val="000000" w:themeColor="text1"/>
          <w:sz w:val="24"/>
          <w:szCs w:val="24"/>
          <w:lang w:val="en-US"/>
        </w:rPr>
      </w:pPr>
      <w:r w:rsidRPr="00E04783">
        <w:rPr>
          <w:rFonts w:ascii="Lato" w:eastAsia="Lato" w:hAnsi="Lato" w:cs="Lato"/>
          <w:color w:val="000000" w:themeColor="text1"/>
          <w:sz w:val="24"/>
          <w:szCs w:val="24"/>
          <w:lang w:val="en-US"/>
        </w:rPr>
        <w:t>C</w:t>
      </w:r>
      <w:r w:rsidR="00FD0D40" w:rsidRPr="00E04783">
        <w:rPr>
          <w:rFonts w:ascii="Lato" w:eastAsia="Lato" w:hAnsi="Lato" w:cs="Lato"/>
          <w:color w:val="000000" w:themeColor="text1"/>
          <w:sz w:val="24"/>
          <w:szCs w:val="24"/>
          <w:lang w:val="en-US"/>
        </w:rPr>
        <w:t>ontributions from</w:t>
      </w:r>
      <w:r w:rsidR="00B25CFE" w:rsidRPr="00E04783">
        <w:rPr>
          <w:rFonts w:ascii="Lato" w:eastAsia="Lato" w:hAnsi="Lato" w:cs="Lato"/>
          <w:color w:val="000000" w:themeColor="text1"/>
          <w:sz w:val="24"/>
          <w:szCs w:val="24"/>
          <w:lang w:val="en-US"/>
        </w:rPr>
        <w:t xml:space="preserve"> individual LGBTI</w:t>
      </w:r>
      <w:r w:rsidR="00FD0D40" w:rsidRPr="00E04783">
        <w:rPr>
          <w:rFonts w:ascii="Lato" w:eastAsia="Lato" w:hAnsi="Lato" w:cs="Lato"/>
          <w:color w:val="000000" w:themeColor="text1"/>
          <w:sz w:val="24"/>
          <w:szCs w:val="24"/>
          <w:lang w:val="en-US"/>
        </w:rPr>
        <w:t xml:space="preserve"> a</w:t>
      </w:r>
      <w:r w:rsidR="13044D26" w:rsidRPr="00E04783">
        <w:rPr>
          <w:rFonts w:ascii="Lato" w:eastAsia="Lato" w:hAnsi="Lato" w:cs="Lato"/>
          <w:color w:val="000000" w:themeColor="text1"/>
          <w:sz w:val="24"/>
          <w:szCs w:val="24"/>
          <w:lang w:val="en-US"/>
        </w:rPr>
        <w:t>ctivi</w:t>
      </w:r>
      <w:r w:rsidR="0C1151FD" w:rsidRPr="00E04783">
        <w:rPr>
          <w:rFonts w:ascii="Lato" w:eastAsia="Lato" w:hAnsi="Lato" w:cs="Lato"/>
          <w:color w:val="000000" w:themeColor="text1"/>
          <w:sz w:val="24"/>
          <w:szCs w:val="24"/>
          <w:lang w:val="en-US"/>
        </w:rPr>
        <w:t>sts</w:t>
      </w:r>
      <w:r w:rsidR="009109A2" w:rsidRPr="00E04783">
        <w:rPr>
          <w:rFonts w:ascii="Lato" w:eastAsia="Lato" w:hAnsi="Lato" w:cs="Lato"/>
          <w:color w:val="000000" w:themeColor="text1"/>
          <w:sz w:val="24"/>
          <w:szCs w:val="24"/>
          <w:lang w:val="en-US"/>
        </w:rPr>
        <w:t xml:space="preserve">, </w:t>
      </w:r>
      <w:r w:rsidR="13044D26" w:rsidRPr="00E04783">
        <w:rPr>
          <w:rFonts w:ascii="Lato" w:eastAsia="Lato" w:hAnsi="Lato" w:cs="Lato"/>
          <w:color w:val="000000" w:themeColor="text1"/>
          <w:sz w:val="24"/>
          <w:szCs w:val="24"/>
          <w:lang w:val="en-US"/>
        </w:rPr>
        <w:t>researchers</w:t>
      </w:r>
      <w:r w:rsidR="009109A2" w:rsidRPr="00E04783">
        <w:rPr>
          <w:rFonts w:ascii="Lato" w:eastAsia="Lato" w:hAnsi="Lato" w:cs="Lato"/>
          <w:color w:val="000000" w:themeColor="text1"/>
          <w:sz w:val="24"/>
          <w:szCs w:val="24"/>
          <w:lang w:val="en-US"/>
        </w:rPr>
        <w:t xml:space="preserve"> and journalists</w:t>
      </w:r>
      <w:r w:rsidR="13044D26" w:rsidRPr="00E04783">
        <w:rPr>
          <w:rFonts w:ascii="Lato" w:eastAsia="Lato" w:hAnsi="Lato" w:cs="Lato"/>
          <w:color w:val="000000" w:themeColor="text1"/>
          <w:sz w:val="24"/>
          <w:szCs w:val="24"/>
          <w:lang w:val="en-US"/>
        </w:rPr>
        <w:t xml:space="preserve"> from </w:t>
      </w:r>
      <w:r w:rsidR="006E6778" w:rsidRPr="00385B6F">
        <w:rPr>
          <w:rFonts w:ascii="Lato" w:hAnsi="Lato"/>
          <w:sz w:val="24"/>
          <w:szCs w:val="24"/>
          <w:lang w:val="en-US"/>
        </w:rPr>
        <w:t>Aotearoa New Zealand</w:t>
      </w:r>
      <w:r w:rsidR="006E6778">
        <w:rPr>
          <w:rFonts w:ascii="Lato" w:eastAsia="Lato" w:hAnsi="Lato" w:cs="Lato"/>
          <w:color w:val="000000" w:themeColor="text1"/>
          <w:sz w:val="24"/>
          <w:szCs w:val="24"/>
          <w:lang w:val="en-US"/>
        </w:rPr>
        <w:t xml:space="preserve">, </w:t>
      </w:r>
      <w:r w:rsidR="00B25CFE" w:rsidRPr="00E04783">
        <w:rPr>
          <w:rFonts w:ascii="Lato" w:eastAsia="Lato" w:hAnsi="Lato" w:cs="Lato"/>
          <w:color w:val="000000" w:themeColor="text1"/>
          <w:sz w:val="24"/>
          <w:szCs w:val="24"/>
          <w:lang w:val="en-US"/>
        </w:rPr>
        <w:t xml:space="preserve">Australia, </w:t>
      </w:r>
      <w:r w:rsidR="006E6778">
        <w:rPr>
          <w:rFonts w:ascii="Lato" w:eastAsia="Lato" w:hAnsi="Lato" w:cs="Lato"/>
          <w:color w:val="000000" w:themeColor="text1"/>
          <w:sz w:val="24"/>
          <w:szCs w:val="24"/>
          <w:lang w:val="en-US"/>
        </w:rPr>
        <w:t xml:space="preserve">and </w:t>
      </w:r>
      <w:r w:rsidR="00B25CFE" w:rsidRPr="00E04783">
        <w:rPr>
          <w:rFonts w:ascii="Lato" w:eastAsia="Lato" w:hAnsi="Lato" w:cs="Lato"/>
          <w:color w:val="000000" w:themeColor="text1"/>
          <w:sz w:val="24"/>
          <w:szCs w:val="24"/>
          <w:lang w:val="en-US"/>
        </w:rPr>
        <w:t>the Caribbean</w:t>
      </w:r>
      <w:r w:rsidR="0007207F" w:rsidRPr="00E04783">
        <w:rPr>
          <w:rFonts w:ascii="Lato" w:eastAsia="Lato" w:hAnsi="Lato" w:cs="Lato"/>
          <w:b/>
          <w:bCs/>
          <w:color w:val="000000" w:themeColor="text1"/>
          <w:sz w:val="24"/>
          <w:szCs w:val="24"/>
          <w:lang w:val="en-US"/>
        </w:rPr>
        <w:t xml:space="preserve"> </w:t>
      </w:r>
    </w:p>
    <w:p w14:paraId="66740757" w14:textId="7831CB6C" w:rsidR="00C412E8" w:rsidRPr="00E04783" w:rsidRDefault="00C412E8" w:rsidP="00D07B77">
      <w:pPr>
        <w:spacing w:before="240" w:after="0" w:line="240" w:lineRule="auto"/>
        <w:jc w:val="center"/>
        <w:rPr>
          <w:rFonts w:ascii="Lato" w:eastAsia="Lato" w:hAnsi="Lato" w:cs="Lato"/>
          <w:b/>
          <w:bCs/>
          <w:color w:val="000000" w:themeColor="text1"/>
          <w:sz w:val="24"/>
          <w:szCs w:val="24"/>
          <w:lang w:val="en-US"/>
        </w:rPr>
      </w:pPr>
    </w:p>
    <w:p w14:paraId="6D21CAC0" w14:textId="42EDB006" w:rsidR="00C412E8" w:rsidRPr="00E04783" w:rsidRDefault="00C412E8" w:rsidP="66FC65D6">
      <w:pPr>
        <w:spacing w:before="240" w:line="240" w:lineRule="auto"/>
        <w:jc w:val="both"/>
        <w:rPr>
          <w:rFonts w:ascii="Lato" w:hAnsi="Lato"/>
          <w:b/>
          <w:bCs/>
          <w:sz w:val="24"/>
          <w:szCs w:val="24"/>
          <w:u w:val="single"/>
          <w:lang w:val="en-US"/>
        </w:rPr>
      </w:pPr>
    </w:p>
    <w:p w14:paraId="48ACBF0C" w14:textId="77777777" w:rsidR="00C412E8" w:rsidRPr="00E04783" w:rsidRDefault="00C412E8" w:rsidP="00152F62">
      <w:pPr>
        <w:jc w:val="both"/>
        <w:rPr>
          <w:rFonts w:ascii="Lato" w:hAnsi="Lato"/>
          <w:b/>
          <w:bCs/>
          <w:sz w:val="24"/>
          <w:szCs w:val="24"/>
          <w:u w:val="single"/>
          <w:lang w:val="en-US"/>
        </w:rPr>
      </w:pPr>
      <w:r w:rsidRPr="00E04783">
        <w:rPr>
          <w:rFonts w:ascii="Lato" w:hAnsi="Lato"/>
          <w:b/>
          <w:bCs/>
          <w:sz w:val="24"/>
          <w:szCs w:val="24"/>
          <w:u w:val="single"/>
          <w:lang w:val="en-US"/>
        </w:rPr>
        <w:br w:type="page"/>
      </w:r>
    </w:p>
    <w:sdt>
      <w:sdtPr>
        <w:rPr>
          <w:rFonts w:asciiTheme="minorHAnsi" w:eastAsiaTheme="minorHAnsi" w:hAnsiTheme="minorHAnsi" w:cstheme="minorBidi"/>
          <w:b w:val="0"/>
          <w:kern w:val="2"/>
          <w:sz w:val="22"/>
          <w:szCs w:val="22"/>
          <w:lang w:val="en-US" w:eastAsia="en-US"/>
          <w14:ligatures w14:val="standardContextual"/>
        </w:rPr>
        <w:id w:val="577167808"/>
        <w:docPartObj>
          <w:docPartGallery w:val="Table of Contents"/>
          <w:docPartUnique/>
        </w:docPartObj>
      </w:sdtPr>
      <w:sdtEndPr>
        <w:rPr>
          <w:bCs/>
        </w:rPr>
      </w:sdtEndPr>
      <w:sdtContent>
        <w:p w14:paraId="78E4D1B1" w14:textId="44692812" w:rsidR="00226E58" w:rsidRPr="00764969" w:rsidRDefault="00226E58">
          <w:pPr>
            <w:pStyle w:val="TOCHeading"/>
            <w:rPr>
              <w:sz w:val="24"/>
              <w:szCs w:val="24"/>
              <w:lang w:val="en-US"/>
            </w:rPr>
          </w:pPr>
          <w:r w:rsidRPr="00764969">
            <w:rPr>
              <w:sz w:val="24"/>
              <w:szCs w:val="24"/>
              <w:lang w:val="en-US"/>
            </w:rPr>
            <w:t>Contents</w:t>
          </w:r>
        </w:p>
        <w:p w14:paraId="095D7CE0" w14:textId="099C520F" w:rsidR="00764969" w:rsidRPr="00764969" w:rsidRDefault="00226E58">
          <w:pPr>
            <w:pStyle w:val="TOC1"/>
            <w:rPr>
              <w:rFonts w:ascii="Lato" w:eastAsiaTheme="minorEastAsia" w:hAnsi="Lato"/>
              <w:lang w:eastAsia="en-GB"/>
            </w:rPr>
          </w:pPr>
          <w:r w:rsidRPr="00764969">
            <w:rPr>
              <w:rFonts w:ascii="Lato" w:hAnsi="Lato"/>
              <w:lang w:val="en-US"/>
            </w:rPr>
            <w:fldChar w:fldCharType="begin"/>
          </w:r>
          <w:r w:rsidRPr="00764969">
            <w:rPr>
              <w:rFonts w:ascii="Lato" w:hAnsi="Lato"/>
              <w:lang w:val="en-US"/>
            </w:rPr>
            <w:instrText xml:space="preserve"> TOC \o "1-3" \h \z \u </w:instrText>
          </w:r>
          <w:r w:rsidRPr="00764969">
            <w:rPr>
              <w:rFonts w:ascii="Lato" w:hAnsi="Lato"/>
              <w:lang w:val="en-US"/>
            </w:rPr>
            <w:fldChar w:fldCharType="separate"/>
          </w:r>
          <w:hyperlink w:anchor="_Toc147244618" w:history="1">
            <w:r w:rsidR="00764969" w:rsidRPr="00764969">
              <w:rPr>
                <w:rStyle w:val="Hyperlink"/>
                <w:rFonts w:ascii="Lato" w:hAnsi="Lato"/>
                <w:lang w:val="en-US"/>
              </w:rPr>
              <w:t>1. Introduction</w:t>
            </w:r>
            <w:r w:rsidR="00764969" w:rsidRPr="00764969">
              <w:rPr>
                <w:rFonts w:ascii="Lato" w:hAnsi="Lato"/>
                <w:webHidden/>
              </w:rPr>
              <w:tab/>
            </w:r>
            <w:r w:rsidR="00764969" w:rsidRPr="00764969">
              <w:rPr>
                <w:rFonts w:ascii="Lato" w:hAnsi="Lato"/>
                <w:webHidden/>
              </w:rPr>
              <w:fldChar w:fldCharType="begin"/>
            </w:r>
            <w:r w:rsidR="00764969" w:rsidRPr="00764969">
              <w:rPr>
                <w:rFonts w:ascii="Lato" w:hAnsi="Lato"/>
                <w:webHidden/>
              </w:rPr>
              <w:instrText xml:space="preserve"> PAGEREF _Toc147244618 \h </w:instrText>
            </w:r>
            <w:r w:rsidR="00764969" w:rsidRPr="00764969">
              <w:rPr>
                <w:rFonts w:ascii="Lato" w:hAnsi="Lato"/>
                <w:webHidden/>
              </w:rPr>
            </w:r>
            <w:r w:rsidR="00764969" w:rsidRPr="00764969">
              <w:rPr>
                <w:rFonts w:ascii="Lato" w:hAnsi="Lato"/>
                <w:webHidden/>
              </w:rPr>
              <w:fldChar w:fldCharType="separate"/>
            </w:r>
            <w:r w:rsidR="002622E7">
              <w:rPr>
                <w:rFonts w:ascii="Lato" w:hAnsi="Lato"/>
                <w:webHidden/>
              </w:rPr>
              <w:t>3</w:t>
            </w:r>
            <w:r w:rsidR="00764969" w:rsidRPr="00764969">
              <w:rPr>
                <w:rFonts w:ascii="Lato" w:hAnsi="Lato"/>
                <w:webHidden/>
              </w:rPr>
              <w:fldChar w:fldCharType="end"/>
            </w:r>
          </w:hyperlink>
        </w:p>
        <w:p w14:paraId="628C4037" w14:textId="6EDDDDE7" w:rsidR="00764969" w:rsidRPr="00764969" w:rsidRDefault="00000000">
          <w:pPr>
            <w:pStyle w:val="TOC1"/>
            <w:rPr>
              <w:rFonts w:ascii="Lato" w:eastAsiaTheme="minorEastAsia" w:hAnsi="Lato"/>
              <w:lang w:eastAsia="en-GB"/>
            </w:rPr>
          </w:pPr>
          <w:hyperlink w:anchor="_Toc147244619" w:history="1">
            <w:r w:rsidR="00764969" w:rsidRPr="00764969">
              <w:rPr>
                <w:rStyle w:val="Hyperlink"/>
                <w:rFonts w:ascii="Lato" w:hAnsi="Lato"/>
                <w:lang w:val="en-US"/>
              </w:rPr>
              <w:t>2. The Current Situation: People of diverse SOGIESC and Laws and Regulations regarding homelessness and poverty</w:t>
            </w:r>
            <w:r w:rsidR="00764969" w:rsidRPr="00764969">
              <w:rPr>
                <w:rFonts w:ascii="Lato" w:hAnsi="Lato"/>
                <w:webHidden/>
              </w:rPr>
              <w:tab/>
            </w:r>
            <w:r w:rsidR="00764969" w:rsidRPr="00764969">
              <w:rPr>
                <w:rFonts w:ascii="Lato" w:hAnsi="Lato"/>
                <w:webHidden/>
              </w:rPr>
              <w:fldChar w:fldCharType="begin"/>
            </w:r>
            <w:r w:rsidR="00764969" w:rsidRPr="00764969">
              <w:rPr>
                <w:rFonts w:ascii="Lato" w:hAnsi="Lato"/>
                <w:webHidden/>
              </w:rPr>
              <w:instrText xml:space="preserve"> PAGEREF _Toc147244619 \h </w:instrText>
            </w:r>
            <w:r w:rsidR="00764969" w:rsidRPr="00764969">
              <w:rPr>
                <w:rFonts w:ascii="Lato" w:hAnsi="Lato"/>
                <w:webHidden/>
              </w:rPr>
            </w:r>
            <w:r w:rsidR="00764969" w:rsidRPr="00764969">
              <w:rPr>
                <w:rFonts w:ascii="Lato" w:hAnsi="Lato"/>
                <w:webHidden/>
              </w:rPr>
              <w:fldChar w:fldCharType="separate"/>
            </w:r>
            <w:r w:rsidR="002622E7">
              <w:rPr>
                <w:rFonts w:ascii="Lato" w:hAnsi="Lato"/>
                <w:webHidden/>
              </w:rPr>
              <w:t>4</w:t>
            </w:r>
            <w:r w:rsidR="00764969" w:rsidRPr="00764969">
              <w:rPr>
                <w:rFonts w:ascii="Lato" w:hAnsi="Lato"/>
                <w:webHidden/>
              </w:rPr>
              <w:fldChar w:fldCharType="end"/>
            </w:r>
          </w:hyperlink>
        </w:p>
        <w:p w14:paraId="39886994" w14:textId="4816630B" w:rsidR="00764969" w:rsidRPr="00764969" w:rsidRDefault="00000000">
          <w:pPr>
            <w:pStyle w:val="TOC2"/>
            <w:tabs>
              <w:tab w:val="right" w:leader="dot" w:pos="9016"/>
            </w:tabs>
            <w:rPr>
              <w:rFonts w:ascii="Lato" w:eastAsiaTheme="minorEastAsia" w:hAnsi="Lato"/>
              <w:noProof/>
              <w:sz w:val="24"/>
              <w:szCs w:val="24"/>
              <w:lang w:eastAsia="en-GB"/>
            </w:rPr>
          </w:pPr>
          <w:hyperlink w:anchor="_Toc147244620" w:history="1">
            <w:r w:rsidR="00764969" w:rsidRPr="00764969">
              <w:rPr>
                <w:rStyle w:val="Hyperlink"/>
                <w:rFonts w:ascii="Lato" w:hAnsi="Lato"/>
                <w:noProof/>
                <w:sz w:val="24"/>
                <w:szCs w:val="24"/>
                <w:lang w:val="en-US"/>
              </w:rPr>
              <w:t>2.1 Current Legislation: SOGIESC and Housing</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_Toc147244620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4</w:t>
            </w:r>
            <w:r w:rsidR="00764969" w:rsidRPr="00764969">
              <w:rPr>
                <w:rFonts w:ascii="Lato" w:hAnsi="Lato"/>
                <w:noProof/>
                <w:webHidden/>
                <w:sz w:val="24"/>
                <w:szCs w:val="24"/>
              </w:rPr>
              <w:fldChar w:fldCharType="end"/>
            </w:r>
          </w:hyperlink>
        </w:p>
        <w:p w14:paraId="41472650" w14:textId="1420DF7A" w:rsidR="00764969" w:rsidRPr="00764969" w:rsidRDefault="00000000">
          <w:pPr>
            <w:pStyle w:val="TOC3"/>
            <w:tabs>
              <w:tab w:val="right" w:leader="dot" w:pos="9016"/>
            </w:tabs>
            <w:rPr>
              <w:rFonts w:ascii="Lato" w:eastAsiaTheme="minorEastAsia" w:hAnsi="Lato"/>
              <w:noProof/>
              <w:sz w:val="24"/>
              <w:szCs w:val="24"/>
              <w:lang w:eastAsia="en-GB"/>
            </w:rPr>
          </w:pPr>
          <w:hyperlink w:anchor="_Toc147244621" w:history="1">
            <w:r w:rsidR="00764969" w:rsidRPr="00764969">
              <w:rPr>
                <w:rStyle w:val="Hyperlink"/>
                <w:rFonts w:ascii="Lato" w:eastAsia="Lato" w:hAnsi="Lato"/>
                <w:noProof/>
                <w:sz w:val="24"/>
                <w:szCs w:val="24"/>
                <w:lang w:val="en-US"/>
              </w:rPr>
              <w:t>2.1.2 Lack of protections</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_Toc147244621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11</w:t>
            </w:r>
            <w:r w:rsidR="00764969" w:rsidRPr="00764969">
              <w:rPr>
                <w:rFonts w:ascii="Lato" w:hAnsi="Lato"/>
                <w:noProof/>
                <w:webHidden/>
                <w:sz w:val="24"/>
                <w:szCs w:val="24"/>
              </w:rPr>
              <w:fldChar w:fldCharType="end"/>
            </w:r>
          </w:hyperlink>
        </w:p>
        <w:p w14:paraId="619592D8" w14:textId="044B70D3" w:rsidR="00764969" w:rsidRPr="00764969" w:rsidRDefault="00000000">
          <w:pPr>
            <w:pStyle w:val="TOC2"/>
            <w:tabs>
              <w:tab w:val="right" w:leader="dot" w:pos="9016"/>
            </w:tabs>
            <w:rPr>
              <w:rFonts w:ascii="Lato" w:eastAsiaTheme="minorEastAsia" w:hAnsi="Lato"/>
              <w:noProof/>
              <w:sz w:val="24"/>
              <w:szCs w:val="24"/>
              <w:lang w:eastAsia="en-GB"/>
            </w:rPr>
          </w:pPr>
          <w:hyperlink w:anchor="_Toc147244622" w:history="1">
            <w:r w:rsidR="00764969" w:rsidRPr="00764969">
              <w:rPr>
                <w:rStyle w:val="Hyperlink"/>
                <w:rFonts w:ascii="Lato" w:hAnsi="Lato"/>
                <w:noProof/>
                <w:sz w:val="24"/>
                <w:szCs w:val="24"/>
                <w:lang w:val="en-US"/>
              </w:rPr>
              <w:t>2</w:t>
            </w:r>
            <w:r w:rsidR="00764969" w:rsidRPr="00764969">
              <w:rPr>
                <w:rStyle w:val="Hyperlink"/>
                <w:rFonts w:ascii="Lato" w:hAnsi="Lato"/>
                <w:bCs/>
                <w:noProof/>
                <w:sz w:val="24"/>
                <w:szCs w:val="24"/>
                <w:lang w:val="en-US"/>
              </w:rPr>
              <w:t xml:space="preserve">.2 </w:t>
            </w:r>
            <w:r w:rsidR="00764969" w:rsidRPr="00764969">
              <w:rPr>
                <w:rStyle w:val="Hyperlink"/>
                <w:rFonts w:ascii="Lato" w:hAnsi="Lato"/>
                <w:noProof/>
                <w:sz w:val="24"/>
                <w:szCs w:val="24"/>
                <w:lang w:val="en-US"/>
              </w:rPr>
              <w:t>Impact and enforcement of legislation on people of diverse SOGIESC</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_Toc147244622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13</w:t>
            </w:r>
            <w:r w:rsidR="00764969" w:rsidRPr="00764969">
              <w:rPr>
                <w:rFonts w:ascii="Lato" w:hAnsi="Lato"/>
                <w:noProof/>
                <w:webHidden/>
                <w:sz w:val="24"/>
                <w:szCs w:val="24"/>
              </w:rPr>
              <w:fldChar w:fldCharType="end"/>
            </w:r>
          </w:hyperlink>
        </w:p>
        <w:p w14:paraId="422F42C2" w14:textId="30BB0CB8" w:rsidR="00764969" w:rsidRPr="00764969" w:rsidRDefault="00000000">
          <w:pPr>
            <w:pStyle w:val="TOC3"/>
            <w:tabs>
              <w:tab w:val="right" w:leader="dot" w:pos="9016"/>
            </w:tabs>
            <w:rPr>
              <w:rFonts w:ascii="Lato" w:eastAsiaTheme="minorEastAsia" w:hAnsi="Lato"/>
              <w:noProof/>
              <w:sz w:val="24"/>
              <w:szCs w:val="24"/>
              <w:lang w:eastAsia="en-GB"/>
            </w:rPr>
          </w:pPr>
          <w:hyperlink w:anchor="_Toc147244623" w:history="1">
            <w:r w:rsidR="00764969" w:rsidRPr="00764969">
              <w:rPr>
                <w:rStyle w:val="Hyperlink"/>
                <w:rFonts w:ascii="Lato" w:hAnsi="Lato"/>
                <w:noProof/>
                <w:sz w:val="24"/>
                <w:szCs w:val="24"/>
                <w:lang w:val="en-US"/>
              </w:rPr>
              <w:t>2.2.1 Youth</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_Toc147244623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13</w:t>
            </w:r>
            <w:r w:rsidR="00764969" w:rsidRPr="00764969">
              <w:rPr>
                <w:rFonts w:ascii="Lato" w:hAnsi="Lato"/>
                <w:noProof/>
                <w:webHidden/>
                <w:sz w:val="24"/>
                <w:szCs w:val="24"/>
              </w:rPr>
              <w:fldChar w:fldCharType="end"/>
            </w:r>
          </w:hyperlink>
        </w:p>
        <w:p w14:paraId="2A20E199" w14:textId="471B18CF" w:rsidR="00764969" w:rsidRPr="00764969" w:rsidRDefault="00000000">
          <w:pPr>
            <w:pStyle w:val="TOC3"/>
            <w:tabs>
              <w:tab w:val="right" w:leader="dot" w:pos="9016"/>
            </w:tabs>
            <w:rPr>
              <w:rFonts w:ascii="Lato" w:eastAsiaTheme="minorEastAsia" w:hAnsi="Lato"/>
              <w:noProof/>
              <w:sz w:val="24"/>
              <w:szCs w:val="24"/>
              <w:lang w:eastAsia="en-GB"/>
            </w:rPr>
          </w:pPr>
          <w:hyperlink w:anchor="_Toc147244624" w:history="1">
            <w:r w:rsidR="00764969" w:rsidRPr="00764969">
              <w:rPr>
                <w:rStyle w:val="Hyperlink"/>
                <w:rFonts w:ascii="Lato" w:hAnsi="Lato"/>
                <w:noProof/>
                <w:sz w:val="24"/>
                <w:szCs w:val="24"/>
                <w:lang w:val="en-US"/>
              </w:rPr>
              <w:t>2.2.2 Refugees and Migrants</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_Toc147244624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17</w:t>
            </w:r>
            <w:r w:rsidR="00764969" w:rsidRPr="00764969">
              <w:rPr>
                <w:rFonts w:ascii="Lato" w:hAnsi="Lato"/>
                <w:noProof/>
                <w:webHidden/>
                <w:sz w:val="24"/>
                <w:szCs w:val="24"/>
              </w:rPr>
              <w:fldChar w:fldCharType="end"/>
            </w:r>
          </w:hyperlink>
        </w:p>
        <w:p w14:paraId="4A7B6B3F" w14:textId="37D4664D" w:rsidR="00764969" w:rsidRPr="00764969" w:rsidRDefault="00000000">
          <w:pPr>
            <w:pStyle w:val="TOC3"/>
            <w:tabs>
              <w:tab w:val="right" w:leader="dot" w:pos="9016"/>
            </w:tabs>
            <w:rPr>
              <w:rFonts w:ascii="Lato" w:eastAsiaTheme="minorEastAsia" w:hAnsi="Lato"/>
              <w:noProof/>
              <w:sz w:val="24"/>
              <w:szCs w:val="24"/>
              <w:lang w:eastAsia="en-GB"/>
            </w:rPr>
          </w:pPr>
          <w:hyperlink w:anchor="_Toc147244625" w:history="1">
            <w:r w:rsidR="00764969" w:rsidRPr="00764969">
              <w:rPr>
                <w:rStyle w:val="Hyperlink"/>
                <w:rFonts w:ascii="Lato" w:hAnsi="Lato"/>
                <w:noProof/>
                <w:sz w:val="24"/>
                <w:szCs w:val="24"/>
                <w:lang w:val="en-US"/>
              </w:rPr>
              <w:t>2.2.3 Sex work</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_Toc147244625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20</w:t>
            </w:r>
            <w:r w:rsidR="00764969" w:rsidRPr="00764969">
              <w:rPr>
                <w:rFonts w:ascii="Lato" w:hAnsi="Lato"/>
                <w:noProof/>
                <w:webHidden/>
                <w:sz w:val="24"/>
                <w:szCs w:val="24"/>
              </w:rPr>
              <w:fldChar w:fldCharType="end"/>
            </w:r>
          </w:hyperlink>
        </w:p>
        <w:p w14:paraId="7BCE205B" w14:textId="4E64E5E9" w:rsidR="00764969" w:rsidRPr="00764969" w:rsidRDefault="00000000">
          <w:pPr>
            <w:pStyle w:val="TOC3"/>
            <w:tabs>
              <w:tab w:val="right" w:leader="dot" w:pos="9016"/>
            </w:tabs>
            <w:rPr>
              <w:rFonts w:ascii="Lato" w:eastAsiaTheme="minorEastAsia" w:hAnsi="Lato"/>
              <w:noProof/>
              <w:sz w:val="24"/>
              <w:szCs w:val="24"/>
              <w:lang w:eastAsia="en-GB"/>
            </w:rPr>
          </w:pPr>
          <w:hyperlink w:anchor="_Toc147244626" w:history="1">
            <w:r w:rsidR="00764969" w:rsidRPr="00764969">
              <w:rPr>
                <w:rStyle w:val="Hyperlink"/>
                <w:rFonts w:ascii="Lato" w:hAnsi="Lato"/>
                <w:noProof/>
                <w:sz w:val="24"/>
                <w:szCs w:val="24"/>
                <w:lang w:val="en-US"/>
              </w:rPr>
              <w:t>2.2.4 Spotlight on Peru: Contribution from Más Igualdad Perú</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_Toc147244626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25</w:t>
            </w:r>
            <w:r w:rsidR="00764969" w:rsidRPr="00764969">
              <w:rPr>
                <w:rFonts w:ascii="Lato" w:hAnsi="Lato"/>
                <w:noProof/>
                <w:webHidden/>
                <w:sz w:val="24"/>
                <w:szCs w:val="24"/>
              </w:rPr>
              <w:fldChar w:fldCharType="end"/>
            </w:r>
          </w:hyperlink>
        </w:p>
        <w:p w14:paraId="2DBC4669" w14:textId="77B7E944" w:rsidR="00764969" w:rsidRPr="00764969" w:rsidRDefault="00000000">
          <w:pPr>
            <w:pStyle w:val="TOC1"/>
            <w:rPr>
              <w:rFonts w:ascii="Lato" w:eastAsiaTheme="minorEastAsia" w:hAnsi="Lato"/>
              <w:lang w:eastAsia="en-GB"/>
            </w:rPr>
          </w:pPr>
          <w:hyperlink w:anchor="_Toc147244627" w:history="1">
            <w:r w:rsidR="00764969" w:rsidRPr="00764969">
              <w:rPr>
                <w:rStyle w:val="Hyperlink"/>
                <w:rFonts w:ascii="Lato" w:hAnsi="Lato"/>
                <w:lang w:val="en-US"/>
              </w:rPr>
              <w:t>3. Future Inclusion: Examples of Initiatives for Social Inclusion that focus on SOGIESC Homelessness</w:t>
            </w:r>
            <w:r w:rsidR="00764969" w:rsidRPr="00764969">
              <w:rPr>
                <w:rFonts w:ascii="Lato" w:hAnsi="Lato"/>
                <w:webHidden/>
              </w:rPr>
              <w:tab/>
            </w:r>
            <w:r w:rsidR="00764969" w:rsidRPr="00764969">
              <w:rPr>
                <w:rFonts w:ascii="Lato" w:hAnsi="Lato"/>
                <w:webHidden/>
              </w:rPr>
              <w:fldChar w:fldCharType="begin"/>
            </w:r>
            <w:r w:rsidR="00764969" w:rsidRPr="00764969">
              <w:rPr>
                <w:rFonts w:ascii="Lato" w:hAnsi="Lato"/>
                <w:webHidden/>
              </w:rPr>
              <w:instrText xml:space="preserve"> PAGEREF _Toc147244627 \h </w:instrText>
            </w:r>
            <w:r w:rsidR="00764969" w:rsidRPr="00764969">
              <w:rPr>
                <w:rFonts w:ascii="Lato" w:hAnsi="Lato"/>
                <w:webHidden/>
              </w:rPr>
            </w:r>
            <w:r w:rsidR="00764969" w:rsidRPr="00764969">
              <w:rPr>
                <w:rFonts w:ascii="Lato" w:hAnsi="Lato"/>
                <w:webHidden/>
              </w:rPr>
              <w:fldChar w:fldCharType="separate"/>
            </w:r>
            <w:r w:rsidR="002622E7">
              <w:rPr>
                <w:rFonts w:ascii="Lato" w:hAnsi="Lato"/>
                <w:webHidden/>
              </w:rPr>
              <w:t>26</w:t>
            </w:r>
            <w:r w:rsidR="00764969" w:rsidRPr="00764969">
              <w:rPr>
                <w:rFonts w:ascii="Lato" w:hAnsi="Lato"/>
                <w:webHidden/>
              </w:rPr>
              <w:fldChar w:fldCharType="end"/>
            </w:r>
          </w:hyperlink>
        </w:p>
        <w:p w14:paraId="2AE5EDA8" w14:textId="02BF24AB" w:rsidR="00764969" w:rsidRPr="00764969" w:rsidRDefault="00000000">
          <w:pPr>
            <w:pStyle w:val="TOC2"/>
            <w:tabs>
              <w:tab w:val="right" w:leader="dot" w:pos="9016"/>
            </w:tabs>
            <w:rPr>
              <w:rFonts w:ascii="Lato" w:eastAsiaTheme="minorEastAsia" w:hAnsi="Lato"/>
              <w:noProof/>
              <w:sz w:val="24"/>
              <w:szCs w:val="24"/>
              <w:lang w:eastAsia="en-GB"/>
            </w:rPr>
          </w:pPr>
          <w:hyperlink w:anchor="_Toc147244628" w:history="1">
            <w:r w:rsidR="00764969" w:rsidRPr="00764969">
              <w:rPr>
                <w:rStyle w:val="Hyperlink"/>
                <w:rFonts w:ascii="Lato" w:hAnsi="Lato"/>
                <w:noProof/>
                <w:sz w:val="24"/>
                <w:szCs w:val="24"/>
                <w:lang w:val="en-US"/>
              </w:rPr>
              <w:t>3.1 Belgium: Refuge Bruxelles</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_Toc147244628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26</w:t>
            </w:r>
            <w:r w:rsidR="00764969" w:rsidRPr="00764969">
              <w:rPr>
                <w:rFonts w:ascii="Lato" w:hAnsi="Lato"/>
                <w:noProof/>
                <w:webHidden/>
                <w:sz w:val="24"/>
                <w:szCs w:val="24"/>
              </w:rPr>
              <w:fldChar w:fldCharType="end"/>
            </w:r>
          </w:hyperlink>
        </w:p>
        <w:p w14:paraId="51DB12C2" w14:textId="498D8FD1" w:rsidR="00764969" w:rsidRPr="00764969" w:rsidRDefault="00000000">
          <w:pPr>
            <w:pStyle w:val="TOC2"/>
            <w:tabs>
              <w:tab w:val="right" w:leader="dot" w:pos="9016"/>
            </w:tabs>
            <w:rPr>
              <w:rFonts w:ascii="Lato" w:eastAsiaTheme="minorEastAsia" w:hAnsi="Lato"/>
              <w:noProof/>
              <w:sz w:val="24"/>
              <w:szCs w:val="24"/>
              <w:lang w:eastAsia="en-GB"/>
            </w:rPr>
          </w:pPr>
          <w:hyperlink w:anchor="_Toc147244629" w:history="1">
            <w:r w:rsidR="00764969" w:rsidRPr="00764969">
              <w:rPr>
                <w:rStyle w:val="Hyperlink"/>
                <w:rFonts w:ascii="Lato" w:hAnsi="Lato"/>
                <w:noProof/>
                <w:sz w:val="24"/>
                <w:szCs w:val="24"/>
                <w:lang w:val="en-US"/>
              </w:rPr>
              <w:t>3.2 Canada: National Housing Strategy</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_Toc147244629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27</w:t>
            </w:r>
            <w:r w:rsidR="00764969" w:rsidRPr="00764969">
              <w:rPr>
                <w:rFonts w:ascii="Lato" w:hAnsi="Lato"/>
                <w:noProof/>
                <w:webHidden/>
                <w:sz w:val="24"/>
                <w:szCs w:val="24"/>
              </w:rPr>
              <w:fldChar w:fldCharType="end"/>
            </w:r>
          </w:hyperlink>
        </w:p>
        <w:p w14:paraId="5C6B7650" w14:textId="7D80C92A"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0" w:history="1">
            <w:r w:rsidR="00764969" w:rsidRPr="00764969">
              <w:rPr>
                <w:rStyle w:val="Hyperlink"/>
                <w:rFonts w:ascii="Lato" w:hAnsi="Lato"/>
                <w:noProof/>
                <w:sz w:val="24"/>
                <w:szCs w:val="24"/>
                <w:lang w:val="en-US"/>
              </w:rPr>
              <w:t>3.3 Denmark: Project Udenfor</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_Toc147244630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27</w:t>
            </w:r>
            <w:r w:rsidR="00764969" w:rsidRPr="00764969">
              <w:rPr>
                <w:rFonts w:ascii="Lato" w:hAnsi="Lato"/>
                <w:noProof/>
                <w:webHidden/>
                <w:sz w:val="24"/>
                <w:szCs w:val="24"/>
              </w:rPr>
              <w:fldChar w:fldCharType="end"/>
            </w:r>
          </w:hyperlink>
        </w:p>
        <w:p w14:paraId="21A6D31A" w14:textId="617B2AFF"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1" w:history="1">
            <w:r w:rsidR="00764969" w:rsidRPr="00764969">
              <w:rPr>
                <w:rStyle w:val="Hyperlink"/>
                <w:rFonts w:ascii="Lato" w:hAnsi="Lato"/>
                <w:noProof/>
                <w:sz w:val="24"/>
                <w:szCs w:val="24"/>
                <w:lang w:val="en-US"/>
              </w:rPr>
              <w:t>3.4 Germany: Diakonie Frankfurt and Offenbach Facility</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_Toc147244631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27</w:t>
            </w:r>
            <w:r w:rsidR="00764969" w:rsidRPr="00764969">
              <w:rPr>
                <w:rFonts w:ascii="Lato" w:hAnsi="Lato"/>
                <w:noProof/>
                <w:webHidden/>
                <w:sz w:val="24"/>
                <w:szCs w:val="24"/>
              </w:rPr>
              <w:fldChar w:fldCharType="end"/>
            </w:r>
          </w:hyperlink>
        </w:p>
        <w:p w14:paraId="17FD3F79" w14:textId="5F3D7E6E"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2" w:history="1">
            <w:r w:rsidR="00764969" w:rsidRPr="00764969">
              <w:rPr>
                <w:rStyle w:val="Hyperlink"/>
                <w:rFonts w:ascii="Lato" w:hAnsi="Lato"/>
                <w:noProof/>
                <w:sz w:val="24"/>
                <w:szCs w:val="24"/>
                <w:lang w:val="en-US"/>
              </w:rPr>
              <w:t>3.5 Ireland: Focus Ireland and BelongTo LGBTQ+ Youth Ireland</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_Toc147244632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28</w:t>
            </w:r>
            <w:r w:rsidR="00764969" w:rsidRPr="00764969">
              <w:rPr>
                <w:rFonts w:ascii="Lato" w:hAnsi="Lato"/>
                <w:noProof/>
                <w:webHidden/>
                <w:sz w:val="24"/>
                <w:szCs w:val="24"/>
              </w:rPr>
              <w:fldChar w:fldCharType="end"/>
            </w:r>
          </w:hyperlink>
        </w:p>
        <w:p w14:paraId="6978D32E" w14:textId="00DEA0B5"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3" w:history="1">
            <w:r w:rsidR="00764969" w:rsidRPr="00764969">
              <w:rPr>
                <w:rStyle w:val="Hyperlink"/>
                <w:rFonts w:ascii="Lato" w:hAnsi="Lato"/>
                <w:noProof/>
                <w:sz w:val="24"/>
                <w:szCs w:val="24"/>
                <w:lang w:val="en-US"/>
              </w:rPr>
              <w:t>3.6 United States of America: Runaway and Homeless Youth Act</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_Toc147244633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29</w:t>
            </w:r>
            <w:r w:rsidR="00764969" w:rsidRPr="00764969">
              <w:rPr>
                <w:rFonts w:ascii="Lato" w:hAnsi="Lato"/>
                <w:noProof/>
                <w:webHidden/>
                <w:sz w:val="24"/>
                <w:szCs w:val="24"/>
              </w:rPr>
              <w:fldChar w:fldCharType="end"/>
            </w:r>
          </w:hyperlink>
        </w:p>
        <w:p w14:paraId="5B4A7DD3" w14:textId="4AFC24EE" w:rsidR="00764969" w:rsidRPr="00764969" w:rsidRDefault="00000000">
          <w:pPr>
            <w:pStyle w:val="TOC1"/>
            <w:rPr>
              <w:rFonts w:ascii="Lato" w:eastAsiaTheme="minorEastAsia" w:hAnsi="Lato"/>
              <w:lang w:eastAsia="en-GB"/>
            </w:rPr>
          </w:pPr>
          <w:hyperlink w:anchor="_Toc147244634" w:history="1">
            <w:r w:rsidR="00764969" w:rsidRPr="00764969">
              <w:rPr>
                <w:rStyle w:val="Hyperlink"/>
                <w:rFonts w:ascii="Lato" w:hAnsi="Lato"/>
                <w:lang w:val="en-US"/>
              </w:rPr>
              <w:t>4. Recommendations</w:t>
            </w:r>
            <w:r w:rsidR="00764969" w:rsidRPr="00764969">
              <w:rPr>
                <w:rFonts w:ascii="Lato" w:hAnsi="Lato"/>
                <w:webHidden/>
              </w:rPr>
              <w:tab/>
            </w:r>
            <w:r w:rsidR="00764969" w:rsidRPr="00764969">
              <w:rPr>
                <w:rFonts w:ascii="Lato" w:hAnsi="Lato"/>
                <w:webHidden/>
              </w:rPr>
              <w:fldChar w:fldCharType="begin"/>
            </w:r>
            <w:r w:rsidR="00764969" w:rsidRPr="00764969">
              <w:rPr>
                <w:rFonts w:ascii="Lato" w:hAnsi="Lato"/>
                <w:webHidden/>
              </w:rPr>
              <w:instrText xml:space="preserve"> PAGEREF _Toc147244634 \h </w:instrText>
            </w:r>
            <w:r w:rsidR="00764969" w:rsidRPr="00764969">
              <w:rPr>
                <w:rFonts w:ascii="Lato" w:hAnsi="Lato"/>
                <w:webHidden/>
              </w:rPr>
            </w:r>
            <w:r w:rsidR="00764969" w:rsidRPr="00764969">
              <w:rPr>
                <w:rFonts w:ascii="Lato" w:hAnsi="Lato"/>
                <w:webHidden/>
              </w:rPr>
              <w:fldChar w:fldCharType="separate"/>
            </w:r>
            <w:r w:rsidR="002622E7">
              <w:rPr>
                <w:rFonts w:ascii="Lato" w:hAnsi="Lato"/>
                <w:webHidden/>
              </w:rPr>
              <w:t>29</w:t>
            </w:r>
            <w:r w:rsidR="00764969" w:rsidRPr="00764969">
              <w:rPr>
                <w:rFonts w:ascii="Lato" w:hAnsi="Lato"/>
                <w:webHidden/>
              </w:rPr>
              <w:fldChar w:fldCharType="end"/>
            </w:r>
          </w:hyperlink>
        </w:p>
        <w:p w14:paraId="53C9F9FE" w14:textId="0F7B2F11"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5" w:history="1">
            <w:r w:rsidR="00764969" w:rsidRPr="00764969">
              <w:rPr>
                <w:rStyle w:val="Hyperlink"/>
                <w:rFonts w:ascii="Lato" w:hAnsi="Lato"/>
                <w:noProof/>
                <w:sz w:val="24"/>
                <w:szCs w:val="24"/>
                <w:lang w:val="en-US"/>
              </w:rPr>
              <w:t>4.1 Recommendations for addressing the ‘root causes’</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_Toc147244635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29</w:t>
            </w:r>
            <w:r w:rsidR="00764969" w:rsidRPr="00764969">
              <w:rPr>
                <w:rFonts w:ascii="Lato" w:hAnsi="Lato"/>
                <w:noProof/>
                <w:webHidden/>
                <w:sz w:val="24"/>
                <w:szCs w:val="24"/>
              </w:rPr>
              <w:fldChar w:fldCharType="end"/>
            </w:r>
          </w:hyperlink>
        </w:p>
        <w:p w14:paraId="06886629" w14:textId="5C15F21E"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6" w:history="1">
            <w:r w:rsidR="00764969" w:rsidRPr="00764969">
              <w:rPr>
                <w:rStyle w:val="Hyperlink"/>
                <w:rFonts w:ascii="Lato" w:hAnsi="Lato"/>
                <w:noProof/>
                <w:sz w:val="24"/>
                <w:szCs w:val="24"/>
                <w:lang w:val="en-US"/>
              </w:rPr>
              <w:t xml:space="preserve">4.2 Recommendations for </w:t>
            </w:r>
            <w:r w:rsidR="00764969" w:rsidRPr="00764969">
              <w:rPr>
                <w:rStyle w:val="Hyperlink"/>
                <w:rFonts w:ascii="Lato" w:hAnsi="Lato"/>
                <w:noProof/>
                <w:sz w:val="24"/>
                <w:szCs w:val="24"/>
              </w:rPr>
              <w:t>data collection, research, and methodologies</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_Toc147244636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30</w:t>
            </w:r>
            <w:r w:rsidR="00764969" w:rsidRPr="00764969">
              <w:rPr>
                <w:rFonts w:ascii="Lato" w:hAnsi="Lato"/>
                <w:noProof/>
                <w:webHidden/>
                <w:sz w:val="24"/>
                <w:szCs w:val="24"/>
              </w:rPr>
              <w:fldChar w:fldCharType="end"/>
            </w:r>
          </w:hyperlink>
        </w:p>
        <w:p w14:paraId="39C3E10D" w14:textId="12F51821" w:rsidR="00764969" w:rsidRPr="00764969" w:rsidRDefault="00000000">
          <w:pPr>
            <w:pStyle w:val="TOC2"/>
            <w:tabs>
              <w:tab w:val="right" w:leader="dot" w:pos="9016"/>
            </w:tabs>
            <w:rPr>
              <w:rFonts w:ascii="Lato" w:eastAsiaTheme="minorEastAsia" w:hAnsi="Lato"/>
              <w:noProof/>
              <w:sz w:val="24"/>
              <w:szCs w:val="24"/>
              <w:lang w:eastAsia="en-GB"/>
            </w:rPr>
          </w:pPr>
          <w:hyperlink w:anchor="_Toc147244637" w:history="1">
            <w:r w:rsidR="00764969" w:rsidRPr="00764969">
              <w:rPr>
                <w:rStyle w:val="Hyperlink"/>
                <w:rFonts w:ascii="Lato" w:hAnsi="Lato"/>
                <w:noProof/>
                <w:sz w:val="24"/>
                <w:szCs w:val="24"/>
                <w:lang w:val="en-US"/>
              </w:rPr>
              <w:t>4.3 Recommendations for</w:t>
            </w:r>
            <w:r w:rsidR="00764969" w:rsidRPr="00764969">
              <w:rPr>
                <w:rStyle w:val="Hyperlink"/>
                <w:rFonts w:ascii="Lato" w:hAnsi="Lato"/>
                <w:noProof/>
                <w:sz w:val="24"/>
                <w:szCs w:val="24"/>
              </w:rPr>
              <w:t xml:space="preserve"> initiative implementation</w:t>
            </w:r>
            <w:r w:rsidR="00764969" w:rsidRPr="00764969">
              <w:rPr>
                <w:rFonts w:ascii="Lato" w:hAnsi="Lato"/>
                <w:noProof/>
                <w:webHidden/>
                <w:sz w:val="24"/>
                <w:szCs w:val="24"/>
              </w:rPr>
              <w:tab/>
            </w:r>
            <w:r w:rsidR="00764969" w:rsidRPr="00764969">
              <w:rPr>
                <w:rFonts w:ascii="Lato" w:hAnsi="Lato"/>
                <w:noProof/>
                <w:webHidden/>
                <w:sz w:val="24"/>
                <w:szCs w:val="24"/>
              </w:rPr>
              <w:fldChar w:fldCharType="begin"/>
            </w:r>
            <w:r w:rsidR="00764969" w:rsidRPr="00764969">
              <w:rPr>
                <w:rFonts w:ascii="Lato" w:hAnsi="Lato"/>
                <w:noProof/>
                <w:webHidden/>
                <w:sz w:val="24"/>
                <w:szCs w:val="24"/>
              </w:rPr>
              <w:instrText xml:space="preserve"> PAGEREF _Toc147244637 \h </w:instrText>
            </w:r>
            <w:r w:rsidR="00764969" w:rsidRPr="00764969">
              <w:rPr>
                <w:rFonts w:ascii="Lato" w:hAnsi="Lato"/>
                <w:noProof/>
                <w:webHidden/>
                <w:sz w:val="24"/>
                <w:szCs w:val="24"/>
              </w:rPr>
            </w:r>
            <w:r w:rsidR="00764969" w:rsidRPr="00764969">
              <w:rPr>
                <w:rFonts w:ascii="Lato" w:hAnsi="Lato"/>
                <w:noProof/>
                <w:webHidden/>
                <w:sz w:val="24"/>
                <w:szCs w:val="24"/>
              </w:rPr>
              <w:fldChar w:fldCharType="separate"/>
            </w:r>
            <w:r w:rsidR="002622E7">
              <w:rPr>
                <w:rFonts w:ascii="Lato" w:hAnsi="Lato"/>
                <w:noProof/>
                <w:webHidden/>
                <w:sz w:val="24"/>
                <w:szCs w:val="24"/>
              </w:rPr>
              <w:t>31</w:t>
            </w:r>
            <w:r w:rsidR="00764969" w:rsidRPr="00764969">
              <w:rPr>
                <w:rFonts w:ascii="Lato" w:hAnsi="Lato"/>
                <w:noProof/>
                <w:webHidden/>
                <w:sz w:val="24"/>
                <w:szCs w:val="24"/>
              </w:rPr>
              <w:fldChar w:fldCharType="end"/>
            </w:r>
          </w:hyperlink>
        </w:p>
        <w:p w14:paraId="7D4D688F" w14:textId="2A9D855E" w:rsidR="00226E58" w:rsidRPr="00E04783" w:rsidRDefault="00226E58">
          <w:pPr>
            <w:rPr>
              <w:lang w:val="en-US"/>
            </w:rPr>
          </w:pPr>
          <w:r w:rsidRPr="00764969">
            <w:rPr>
              <w:rFonts w:ascii="Lato" w:hAnsi="Lato"/>
              <w:b/>
              <w:bCs/>
              <w:sz w:val="24"/>
              <w:szCs w:val="24"/>
              <w:lang w:val="en-US"/>
            </w:rPr>
            <w:fldChar w:fldCharType="end"/>
          </w:r>
        </w:p>
      </w:sdtContent>
    </w:sdt>
    <w:p w14:paraId="36F569FF" w14:textId="48378591" w:rsidR="00C412E8" w:rsidRPr="00E04783" w:rsidRDefault="00C412E8" w:rsidP="00152F62">
      <w:pPr>
        <w:spacing w:before="240" w:line="240" w:lineRule="auto"/>
        <w:jc w:val="both"/>
        <w:rPr>
          <w:rFonts w:ascii="Lato" w:hAnsi="Lato"/>
          <w:sz w:val="24"/>
          <w:szCs w:val="24"/>
          <w:lang w:val="en-US"/>
        </w:rPr>
      </w:pPr>
    </w:p>
    <w:p w14:paraId="150BF913" w14:textId="77777777" w:rsidR="00C412E8" w:rsidRPr="00E04783" w:rsidRDefault="00C412E8" w:rsidP="00152F62">
      <w:pPr>
        <w:jc w:val="both"/>
        <w:rPr>
          <w:rFonts w:ascii="Lato" w:hAnsi="Lato"/>
          <w:sz w:val="24"/>
          <w:szCs w:val="24"/>
          <w:lang w:val="en-US"/>
        </w:rPr>
      </w:pPr>
      <w:r w:rsidRPr="00E04783">
        <w:rPr>
          <w:rFonts w:ascii="Lato" w:hAnsi="Lato"/>
          <w:sz w:val="24"/>
          <w:szCs w:val="24"/>
          <w:lang w:val="en-US"/>
        </w:rPr>
        <w:br w:type="page"/>
      </w:r>
    </w:p>
    <w:p w14:paraId="29D92BDC" w14:textId="77777777" w:rsidR="00ED24A5" w:rsidRPr="00E04783" w:rsidRDefault="00ED24A5" w:rsidP="00152F62">
      <w:pPr>
        <w:pStyle w:val="Heading1"/>
        <w:jc w:val="both"/>
        <w:rPr>
          <w:lang w:val="en-US"/>
        </w:rPr>
      </w:pPr>
      <w:bookmarkStart w:id="1" w:name="_Toc147244618"/>
      <w:r w:rsidRPr="00E04783">
        <w:rPr>
          <w:lang w:val="en-US"/>
        </w:rPr>
        <w:lastRenderedPageBreak/>
        <w:t>1. Introduction</w:t>
      </w:r>
      <w:bookmarkEnd w:id="1"/>
    </w:p>
    <w:p w14:paraId="49EEAF79" w14:textId="384CDE1C" w:rsidR="00ED24A5" w:rsidRPr="00E04783" w:rsidRDefault="75309028" w:rsidP="3C8AD2B6">
      <w:pPr>
        <w:spacing w:line="240" w:lineRule="auto"/>
        <w:jc w:val="both"/>
        <w:rPr>
          <w:rFonts w:ascii="Lato" w:hAnsi="Lato"/>
          <w:sz w:val="24"/>
          <w:szCs w:val="24"/>
          <w:lang w:val="en-US"/>
        </w:rPr>
      </w:pPr>
      <w:r w:rsidRPr="00E04783">
        <w:rPr>
          <w:rFonts w:ascii="Lato" w:hAnsi="Lato"/>
          <w:sz w:val="24"/>
          <w:szCs w:val="24"/>
          <w:lang w:val="en-US"/>
        </w:rPr>
        <w:t>In this report, we use evidence</w:t>
      </w:r>
      <w:r w:rsidR="39253933" w:rsidRPr="00E04783">
        <w:rPr>
          <w:rFonts w:ascii="Lato" w:hAnsi="Lato"/>
          <w:sz w:val="24"/>
          <w:szCs w:val="24"/>
          <w:lang w:val="en-US"/>
        </w:rPr>
        <w:t xml:space="preserve"> gathered from reports, academic articles, laws, policies</w:t>
      </w:r>
      <w:r w:rsidR="5FA749C7" w:rsidRPr="00E04783">
        <w:rPr>
          <w:rFonts w:ascii="Lato" w:hAnsi="Lato"/>
          <w:sz w:val="24"/>
          <w:szCs w:val="24"/>
          <w:lang w:val="en-US"/>
        </w:rPr>
        <w:t xml:space="preserve">, global </w:t>
      </w:r>
      <w:r w:rsidR="24822DF8" w:rsidRPr="00E04783">
        <w:rPr>
          <w:rFonts w:ascii="Lato" w:hAnsi="Lato"/>
          <w:sz w:val="24"/>
          <w:szCs w:val="24"/>
          <w:lang w:val="en-US"/>
        </w:rPr>
        <w:t>databases,</w:t>
      </w:r>
      <w:r w:rsidR="5FA749C7" w:rsidRPr="00E04783">
        <w:rPr>
          <w:rFonts w:ascii="Lato" w:hAnsi="Lato"/>
          <w:sz w:val="24"/>
          <w:szCs w:val="24"/>
          <w:lang w:val="en-US"/>
        </w:rPr>
        <w:t xml:space="preserve"> and civil society contrib</w:t>
      </w:r>
      <w:r w:rsidR="353C474C" w:rsidRPr="00E04783">
        <w:rPr>
          <w:rFonts w:ascii="Lato" w:hAnsi="Lato"/>
          <w:sz w:val="24"/>
          <w:szCs w:val="24"/>
          <w:lang w:val="en-US"/>
        </w:rPr>
        <w:t xml:space="preserve">utions </w:t>
      </w:r>
      <w:r w:rsidRPr="00E04783">
        <w:rPr>
          <w:rFonts w:ascii="Lato" w:hAnsi="Lato"/>
          <w:sz w:val="24"/>
          <w:szCs w:val="24"/>
          <w:lang w:val="en-US"/>
        </w:rPr>
        <w:t>to highlight the criminali</w:t>
      </w:r>
      <w:r w:rsidR="00E04783" w:rsidRPr="00E04783">
        <w:rPr>
          <w:rFonts w:ascii="Lato" w:hAnsi="Lato"/>
          <w:sz w:val="24"/>
          <w:szCs w:val="24"/>
          <w:lang w:val="en-US"/>
        </w:rPr>
        <w:t>z</w:t>
      </w:r>
      <w:r w:rsidRPr="00E04783">
        <w:rPr>
          <w:rFonts w:ascii="Lato" w:hAnsi="Lato"/>
          <w:sz w:val="24"/>
          <w:szCs w:val="24"/>
          <w:lang w:val="en-US"/>
        </w:rPr>
        <w:t>ation of homelessness and poverty</w:t>
      </w:r>
      <w:r w:rsidR="105F58A5" w:rsidRPr="00E04783">
        <w:rPr>
          <w:rFonts w:ascii="Lato" w:hAnsi="Lato"/>
          <w:sz w:val="24"/>
          <w:szCs w:val="24"/>
          <w:lang w:val="en-US"/>
        </w:rPr>
        <w:t xml:space="preserve"> in different regions, </w:t>
      </w:r>
      <w:r w:rsidR="007B6B8B" w:rsidRPr="00E04783">
        <w:rPr>
          <w:rFonts w:ascii="Lato" w:hAnsi="Lato"/>
          <w:sz w:val="24"/>
          <w:szCs w:val="24"/>
          <w:lang w:val="en-US"/>
        </w:rPr>
        <w:t>countries,</w:t>
      </w:r>
      <w:r w:rsidR="105F58A5" w:rsidRPr="00E04783">
        <w:rPr>
          <w:rFonts w:ascii="Lato" w:hAnsi="Lato"/>
          <w:sz w:val="24"/>
          <w:szCs w:val="24"/>
          <w:lang w:val="en-US"/>
        </w:rPr>
        <w:t xml:space="preserve"> and social contexts</w:t>
      </w:r>
      <w:r w:rsidRPr="00E04783">
        <w:rPr>
          <w:rFonts w:ascii="Lato" w:hAnsi="Lato"/>
          <w:sz w:val="24"/>
          <w:szCs w:val="24"/>
          <w:lang w:val="en-US"/>
        </w:rPr>
        <w:t>. We seek to expand on what the Independent Expert on Sexual Orientation and Gender Identity (SOGI) has expressed in previous reports, about how ‘exclusionary processes lead to a disproportionate representation of LGBT people</w:t>
      </w:r>
      <w:r w:rsidR="6FD9449D" w:rsidRPr="00E04783">
        <w:rPr>
          <w:rFonts w:ascii="Lato" w:hAnsi="Lato"/>
          <w:sz w:val="24"/>
          <w:szCs w:val="24"/>
          <w:lang w:val="en-US"/>
        </w:rPr>
        <w:t xml:space="preserve"> [</w:t>
      </w:r>
      <w:r w:rsidRPr="00E04783">
        <w:rPr>
          <w:rFonts w:ascii="Lato" w:hAnsi="Lato"/>
          <w:sz w:val="24"/>
          <w:szCs w:val="24"/>
          <w:lang w:val="en-US"/>
        </w:rPr>
        <w:t>…</w:t>
      </w:r>
      <w:r w:rsidR="3E97C722" w:rsidRPr="00E04783">
        <w:rPr>
          <w:rFonts w:ascii="Lato" w:hAnsi="Lato"/>
          <w:sz w:val="24"/>
          <w:szCs w:val="24"/>
          <w:lang w:val="en-US"/>
        </w:rPr>
        <w:t xml:space="preserve">] </w:t>
      </w:r>
      <w:r w:rsidRPr="00E04783">
        <w:rPr>
          <w:rFonts w:ascii="Lato" w:hAnsi="Lato"/>
          <w:sz w:val="24"/>
          <w:szCs w:val="24"/>
          <w:lang w:val="en-US"/>
        </w:rPr>
        <w:t>within the homeless population’</w:t>
      </w:r>
      <w:r w:rsidR="00ED24A5" w:rsidRPr="00E04783">
        <w:rPr>
          <w:rStyle w:val="FootnoteReference"/>
          <w:rFonts w:ascii="Lato" w:hAnsi="Lato"/>
          <w:sz w:val="24"/>
          <w:szCs w:val="24"/>
          <w:lang w:val="en-US"/>
        </w:rPr>
        <w:footnoteReference w:id="2"/>
      </w:r>
      <w:r w:rsidRPr="00E04783">
        <w:rPr>
          <w:rFonts w:ascii="Lato" w:hAnsi="Lato"/>
          <w:sz w:val="24"/>
          <w:szCs w:val="24"/>
          <w:lang w:val="en-US"/>
        </w:rPr>
        <w:t xml:space="preserve"> and how subsequently ‘homelessness can result in further exclusion, criminalization and stigma.’</w:t>
      </w:r>
      <w:r w:rsidR="00ED24A5" w:rsidRPr="00E04783">
        <w:rPr>
          <w:rStyle w:val="FootnoteReference"/>
          <w:rFonts w:ascii="Lato" w:hAnsi="Lato"/>
          <w:sz w:val="24"/>
          <w:szCs w:val="24"/>
          <w:lang w:val="en-US"/>
        </w:rPr>
        <w:footnoteReference w:id="3"/>
      </w:r>
      <w:r w:rsidRPr="00E04783">
        <w:rPr>
          <w:rFonts w:ascii="Lato" w:hAnsi="Lato"/>
          <w:sz w:val="24"/>
          <w:szCs w:val="24"/>
          <w:lang w:val="en-US"/>
        </w:rPr>
        <w:t xml:space="preserve"> </w:t>
      </w:r>
    </w:p>
    <w:p w14:paraId="38C2AAA1" w14:textId="06B04629" w:rsidR="00E94B4C" w:rsidRPr="00E04783" w:rsidRDefault="00F06EC3" w:rsidP="00152F62">
      <w:pPr>
        <w:spacing w:line="240" w:lineRule="auto"/>
        <w:jc w:val="both"/>
        <w:rPr>
          <w:rFonts w:ascii="Lato" w:hAnsi="Lato"/>
          <w:sz w:val="24"/>
          <w:szCs w:val="24"/>
          <w:lang w:val="en-US"/>
        </w:rPr>
      </w:pPr>
      <w:r w:rsidRPr="00E04783">
        <w:rPr>
          <w:rFonts w:ascii="Lato" w:hAnsi="Lato"/>
          <w:sz w:val="24"/>
          <w:szCs w:val="24"/>
          <w:lang w:val="en-US"/>
        </w:rPr>
        <w:t xml:space="preserve">We echo the sentiment provided in a submission on the same topic by </w:t>
      </w:r>
      <w:r w:rsidR="005A1151" w:rsidRPr="00E04783">
        <w:rPr>
          <w:rFonts w:ascii="Lato" w:hAnsi="Lato"/>
          <w:sz w:val="24"/>
          <w:szCs w:val="24"/>
          <w:lang w:val="en-US"/>
        </w:rPr>
        <w:t>American University’s Department of Justice Law and Criminology</w:t>
      </w:r>
      <w:r w:rsidR="00E83F8F" w:rsidRPr="00E04783">
        <w:rPr>
          <w:rStyle w:val="FootnoteReference"/>
          <w:rFonts w:ascii="Lato" w:hAnsi="Lato"/>
          <w:sz w:val="24"/>
          <w:szCs w:val="24"/>
          <w:lang w:val="en-US"/>
        </w:rPr>
        <w:footnoteReference w:id="4"/>
      </w:r>
      <w:r w:rsidR="005A1151" w:rsidRPr="00E04783">
        <w:rPr>
          <w:rFonts w:ascii="Lato" w:hAnsi="Lato"/>
          <w:sz w:val="24"/>
          <w:szCs w:val="24"/>
          <w:lang w:val="en-US"/>
        </w:rPr>
        <w:t xml:space="preserve"> </w:t>
      </w:r>
      <w:r w:rsidR="00E83F8F" w:rsidRPr="00E04783">
        <w:rPr>
          <w:rFonts w:ascii="Lato" w:hAnsi="Lato"/>
          <w:sz w:val="24"/>
          <w:szCs w:val="24"/>
          <w:lang w:val="en-US"/>
        </w:rPr>
        <w:t>which</w:t>
      </w:r>
      <w:r w:rsidR="005A1151" w:rsidRPr="00E04783">
        <w:rPr>
          <w:rFonts w:ascii="Lato" w:hAnsi="Lato"/>
          <w:sz w:val="24"/>
          <w:szCs w:val="24"/>
          <w:lang w:val="en-US"/>
        </w:rPr>
        <w:t xml:space="preserve"> </w:t>
      </w:r>
      <w:r w:rsidR="00692785" w:rsidRPr="00E04783">
        <w:rPr>
          <w:rFonts w:ascii="Lato" w:hAnsi="Lato"/>
          <w:sz w:val="24"/>
          <w:szCs w:val="24"/>
          <w:lang w:val="en-US"/>
        </w:rPr>
        <w:t xml:space="preserve">asserts that the prevention of homelessness in the first instance </w:t>
      </w:r>
      <w:r w:rsidR="00596D79" w:rsidRPr="00E04783">
        <w:rPr>
          <w:rFonts w:ascii="Lato" w:hAnsi="Lato"/>
          <w:sz w:val="24"/>
          <w:szCs w:val="24"/>
          <w:lang w:val="en-US"/>
        </w:rPr>
        <w:t xml:space="preserve">is the core issue, rather than the </w:t>
      </w:r>
      <w:r w:rsidR="0059688F" w:rsidRPr="00E04783">
        <w:rPr>
          <w:rFonts w:ascii="Lato" w:hAnsi="Lato"/>
          <w:sz w:val="24"/>
          <w:szCs w:val="24"/>
          <w:lang w:val="en-US"/>
        </w:rPr>
        <w:t xml:space="preserve">laws that </w:t>
      </w:r>
      <w:r w:rsidR="00E053FA" w:rsidRPr="00E04783">
        <w:rPr>
          <w:rFonts w:ascii="Lato" w:hAnsi="Lato"/>
          <w:sz w:val="24"/>
          <w:szCs w:val="24"/>
          <w:lang w:val="en-US"/>
        </w:rPr>
        <w:t>criminalize</w:t>
      </w:r>
      <w:r w:rsidR="009546AB" w:rsidRPr="00E04783">
        <w:rPr>
          <w:rFonts w:ascii="Lato" w:hAnsi="Lato"/>
          <w:sz w:val="24"/>
          <w:szCs w:val="24"/>
          <w:lang w:val="en-US"/>
        </w:rPr>
        <w:t xml:space="preserve"> </w:t>
      </w:r>
      <w:r w:rsidR="00F2316C" w:rsidRPr="00E04783">
        <w:rPr>
          <w:rFonts w:ascii="Lato" w:hAnsi="Lato"/>
          <w:sz w:val="24"/>
          <w:szCs w:val="24"/>
          <w:lang w:val="en-US"/>
        </w:rPr>
        <w:t>the subseque</w:t>
      </w:r>
      <w:r w:rsidR="00EE1D3B" w:rsidRPr="00E04783">
        <w:rPr>
          <w:rFonts w:ascii="Lato" w:hAnsi="Lato"/>
          <w:sz w:val="24"/>
          <w:szCs w:val="24"/>
          <w:lang w:val="en-US"/>
        </w:rPr>
        <w:t xml:space="preserve">nt minor and petty </w:t>
      </w:r>
      <w:r w:rsidR="00B56F3C" w:rsidRPr="00E04783">
        <w:rPr>
          <w:rFonts w:ascii="Lato" w:hAnsi="Lato"/>
          <w:sz w:val="24"/>
          <w:szCs w:val="24"/>
          <w:lang w:val="en-US"/>
        </w:rPr>
        <w:t>offences</w:t>
      </w:r>
      <w:r w:rsidR="009546AB" w:rsidRPr="00E04783">
        <w:rPr>
          <w:rFonts w:ascii="Lato" w:hAnsi="Lato"/>
          <w:sz w:val="24"/>
          <w:szCs w:val="24"/>
          <w:lang w:val="en-US"/>
        </w:rPr>
        <w:t>: ‘with emphasis on the root problem, all other restrictive laws become null’.</w:t>
      </w:r>
      <w:r w:rsidR="009546AB" w:rsidRPr="00E04783">
        <w:rPr>
          <w:rStyle w:val="FootnoteReference"/>
          <w:rFonts w:ascii="Lato" w:hAnsi="Lato"/>
          <w:sz w:val="24"/>
          <w:szCs w:val="24"/>
          <w:lang w:val="en-US"/>
        </w:rPr>
        <w:footnoteReference w:id="5"/>
      </w:r>
    </w:p>
    <w:p w14:paraId="5DAD10FF" w14:textId="61BF8A14" w:rsidR="00ED24A5" w:rsidRPr="00E04783" w:rsidRDefault="002E2321" w:rsidP="00152F62">
      <w:pPr>
        <w:spacing w:line="240" w:lineRule="auto"/>
        <w:jc w:val="both"/>
        <w:rPr>
          <w:rFonts w:ascii="Lato" w:hAnsi="Lato"/>
          <w:sz w:val="24"/>
          <w:szCs w:val="24"/>
          <w:lang w:val="en-US"/>
        </w:rPr>
      </w:pPr>
      <w:r w:rsidRPr="006F4A2C">
        <w:rPr>
          <w:rFonts w:ascii="Lato" w:hAnsi="Lato"/>
          <w:sz w:val="24"/>
          <w:szCs w:val="24"/>
          <w:lang w:val="en-US"/>
        </w:rPr>
        <w:t>In this vein</w:t>
      </w:r>
      <w:r w:rsidR="00B56F3C" w:rsidRPr="006F4A2C">
        <w:rPr>
          <w:rFonts w:ascii="Lato" w:hAnsi="Lato"/>
          <w:sz w:val="24"/>
          <w:szCs w:val="24"/>
          <w:lang w:val="en-US"/>
        </w:rPr>
        <w:t xml:space="preserve">, </w:t>
      </w:r>
      <w:r w:rsidRPr="006F4A2C">
        <w:rPr>
          <w:rFonts w:ascii="Lato" w:hAnsi="Lato"/>
          <w:sz w:val="24"/>
          <w:szCs w:val="24"/>
          <w:lang w:val="en-US"/>
        </w:rPr>
        <w:t>this submission</w:t>
      </w:r>
      <w:r w:rsidR="75309028" w:rsidRPr="006F4A2C">
        <w:rPr>
          <w:rFonts w:ascii="Lato" w:hAnsi="Lato"/>
          <w:sz w:val="24"/>
          <w:szCs w:val="24"/>
          <w:lang w:val="en-US"/>
        </w:rPr>
        <w:t xml:space="preserve"> provide</w:t>
      </w:r>
      <w:r w:rsidRPr="006F4A2C">
        <w:rPr>
          <w:rFonts w:ascii="Lato" w:hAnsi="Lato"/>
          <w:sz w:val="24"/>
          <w:szCs w:val="24"/>
          <w:lang w:val="en-US"/>
        </w:rPr>
        <w:t>s</w:t>
      </w:r>
      <w:r w:rsidR="75309028" w:rsidRPr="006F4A2C">
        <w:rPr>
          <w:rFonts w:ascii="Lato" w:hAnsi="Lato"/>
          <w:sz w:val="24"/>
          <w:szCs w:val="24"/>
          <w:lang w:val="en-US"/>
        </w:rPr>
        <w:t xml:space="preserve"> information </w:t>
      </w:r>
      <w:r w:rsidR="1E2CF87B" w:rsidRPr="006F4A2C">
        <w:rPr>
          <w:rFonts w:ascii="Lato" w:hAnsi="Lato"/>
          <w:sz w:val="24"/>
          <w:szCs w:val="24"/>
          <w:lang w:val="en-US"/>
        </w:rPr>
        <w:t>on how</w:t>
      </w:r>
      <w:r w:rsidR="24822DF8" w:rsidRPr="006F4A2C">
        <w:rPr>
          <w:rFonts w:ascii="Lato" w:hAnsi="Lato"/>
          <w:sz w:val="24"/>
          <w:szCs w:val="24"/>
          <w:lang w:val="en-US"/>
        </w:rPr>
        <w:t xml:space="preserve"> </w:t>
      </w:r>
      <w:r w:rsidR="75309028" w:rsidRPr="006F4A2C">
        <w:rPr>
          <w:rFonts w:ascii="Lato" w:hAnsi="Lato"/>
          <w:sz w:val="24"/>
          <w:szCs w:val="24"/>
          <w:lang w:val="en-US"/>
        </w:rPr>
        <w:t xml:space="preserve">homelessness and extreme poverty intersect and adversely impact </w:t>
      </w:r>
      <w:r w:rsidR="366F180B" w:rsidRPr="006F4A2C">
        <w:rPr>
          <w:rFonts w:ascii="Lato" w:hAnsi="Lato"/>
          <w:sz w:val="24"/>
          <w:szCs w:val="24"/>
          <w:lang w:val="en-US"/>
        </w:rPr>
        <w:t xml:space="preserve">people with diverse </w:t>
      </w:r>
      <w:r w:rsidR="75309028" w:rsidRPr="006F4A2C">
        <w:rPr>
          <w:rFonts w:ascii="Lato" w:hAnsi="Lato"/>
          <w:sz w:val="24"/>
          <w:szCs w:val="24"/>
          <w:lang w:val="en-US"/>
        </w:rPr>
        <w:t>SOGIESC</w:t>
      </w:r>
      <w:r w:rsidR="00CF4D6B" w:rsidRPr="006F4A2C">
        <w:rPr>
          <w:rFonts w:ascii="Lato" w:hAnsi="Lato"/>
          <w:sz w:val="24"/>
          <w:szCs w:val="24"/>
          <w:lang w:val="en-US"/>
        </w:rPr>
        <w:t>.</w:t>
      </w:r>
      <w:r w:rsidR="00ED24A5" w:rsidRPr="006F4A2C">
        <w:rPr>
          <w:rStyle w:val="FootnoteReference"/>
          <w:rFonts w:ascii="Lato" w:hAnsi="Lato"/>
          <w:sz w:val="24"/>
          <w:szCs w:val="24"/>
          <w:lang w:val="en-US"/>
        </w:rPr>
        <w:footnoteReference w:id="6"/>
      </w:r>
      <w:r w:rsidR="75309028" w:rsidRPr="006F4A2C">
        <w:rPr>
          <w:rFonts w:ascii="Lato" w:hAnsi="Lato"/>
          <w:sz w:val="24"/>
          <w:szCs w:val="24"/>
          <w:lang w:val="en-US"/>
        </w:rPr>
        <w:t xml:space="preserve"> </w:t>
      </w:r>
      <w:r w:rsidR="00CF4D6B" w:rsidRPr="006F4A2C">
        <w:rPr>
          <w:rFonts w:ascii="Lato" w:hAnsi="Lato"/>
          <w:sz w:val="24"/>
          <w:szCs w:val="24"/>
          <w:lang w:val="en-US"/>
        </w:rPr>
        <w:t>We begin by</w:t>
      </w:r>
      <w:r w:rsidR="3FDD7DE6" w:rsidRPr="006F4A2C">
        <w:rPr>
          <w:rFonts w:ascii="Lato" w:hAnsi="Lato"/>
          <w:sz w:val="24"/>
          <w:szCs w:val="24"/>
          <w:lang w:val="en-US"/>
        </w:rPr>
        <w:t xml:space="preserve"> </w:t>
      </w:r>
      <w:r w:rsidR="75309028" w:rsidRPr="006F4A2C">
        <w:rPr>
          <w:rFonts w:ascii="Lato" w:hAnsi="Lato"/>
          <w:sz w:val="24"/>
          <w:szCs w:val="24"/>
          <w:lang w:val="en-US"/>
        </w:rPr>
        <w:t>outlin</w:t>
      </w:r>
      <w:r w:rsidR="00CF4D6B" w:rsidRPr="006F4A2C">
        <w:rPr>
          <w:rFonts w:ascii="Lato" w:hAnsi="Lato"/>
          <w:sz w:val="24"/>
          <w:szCs w:val="24"/>
          <w:lang w:val="en-US"/>
        </w:rPr>
        <w:t>ing</w:t>
      </w:r>
      <w:r w:rsidR="75309028" w:rsidRPr="006F4A2C">
        <w:rPr>
          <w:rFonts w:ascii="Lato" w:hAnsi="Lato"/>
          <w:sz w:val="24"/>
          <w:szCs w:val="24"/>
          <w:lang w:val="en-US"/>
        </w:rPr>
        <w:t xml:space="preserve"> the current legislation, by noting recent positive legislative developments concerning SOG</w:t>
      </w:r>
      <w:r w:rsidR="2D7D60C4" w:rsidRPr="006F4A2C">
        <w:rPr>
          <w:rFonts w:ascii="Lato" w:hAnsi="Lato"/>
          <w:sz w:val="24"/>
          <w:szCs w:val="24"/>
          <w:lang w:val="en-US"/>
        </w:rPr>
        <w:t>IE</w:t>
      </w:r>
      <w:r w:rsidR="75309028" w:rsidRPr="006F4A2C">
        <w:rPr>
          <w:rFonts w:ascii="Lato" w:hAnsi="Lato"/>
          <w:sz w:val="24"/>
          <w:szCs w:val="24"/>
          <w:lang w:val="en-US"/>
        </w:rPr>
        <w:t xml:space="preserve">SC protections </w:t>
      </w:r>
      <w:r w:rsidR="004F1971" w:rsidRPr="006F4A2C">
        <w:rPr>
          <w:rFonts w:ascii="Lato" w:hAnsi="Lato"/>
          <w:sz w:val="24"/>
          <w:szCs w:val="24"/>
          <w:lang w:val="en-US"/>
        </w:rPr>
        <w:t>regarding</w:t>
      </w:r>
      <w:r w:rsidR="75309028" w:rsidRPr="006F4A2C">
        <w:rPr>
          <w:rFonts w:ascii="Lato" w:hAnsi="Lato"/>
          <w:sz w:val="24"/>
          <w:szCs w:val="24"/>
          <w:lang w:val="en-US"/>
        </w:rPr>
        <w:t xml:space="preserve"> housing, </w:t>
      </w:r>
      <w:r w:rsidR="004F1971" w:rsidRPr="006F4A2C">
        <w:rPr>
          <w:rFonts w:ascii="Lato" w:hAnsi="Lato"/>
          <w:sz w:val="24"/>
          <w:szCs w:val="24"/>
          <w:lang w:val="en-US"/>
        </w:rPr>
        <w:t>homelessness,</w:t>
      </w:r>
      <w:r w:rsidR="75309028" w:rsidRPr="006F4A2C">
        <w:rPr>
          <w:rFonts w:ascii="Lato" w:hAnsi="Lato"/>
          <w:sz w:val="24"/>
          <w:szCs w:val="24"/>
          <w:lang w:val="en-US"/>
        </w:rPr>
        <w:t xml:space="preserve"> and poverty. We </w:t>
      </w:r>
      <w:r w:rsidR="0043299B" w:rsidRPr="006F4A2C">
        <w:rPr>
          <w:rFonts w:ascii="Lato" w:hAnsi="Lato"/>
          <w:sz w:val="24"/>
          <w:szCs w:val="24"/>
          <w:lang w:val="en-US"/>
        </w:rPr>
        <w:t>then</w:t>
      </w:r>
      <w:r w:rsidR="75309028" w:rsidRPr="006F4A2C">
        <w:rPr>
          <w:rFonts w:ascii="Lato" w:hAnsi="Lato"/>
          <w:sz w:val="24"/>
          <w:szCs w:val="24"/>
          <w:lang w:val="en-US"/>
        </w:rPr>
        <w:t xml:space="preserve"> demarcate </w:t>
      </w:r>
      <w:r w:rsidR="004F1971" w:rsidRPr="006F4A2C">
        <w:rPr>
          <w:rFonts w:ascii="Lato" w:hAnsi="Lato"/>
          <w:sz w:val="24"/>
          <w:szCs w:val="24"/>
          <w:lang w:val="en-US"/>
        </w:rPr>
        <w:t>the s</w:t>
      </w:r>
      <w:r w:rsidR="75309028" w:rsidRPr="006F4A2C">
        <w:rPr>
          <w:rFonts w:ascii="Lato" w:hAnsi="Lato"/>
          <w:sz w:val="24"/>
          <w:szCs w:val="24"/>
          <w:lang w:val="en-US"/>
        </w:rPr>
        <w:t xml:space="preserve">tates where legislation reveals a lack of legal protections in these areas. Following this, </w:t>
      </w:r>
      <w:r w:rsidR="004F1971" w:rsidRPr="006F4A2C">
        <w:rPr>
          <w:rFonts w:ascii="Lato" w:hAnsi="Lato"/>
          <w:sz w:val="24"/>
          <w:szCs w:val="24"/>
          <w:lang w:val="en-US"/>
        </w:rPr>
        <w:t>the second chapter of this submission</w:t>
      </w:r>
      <w:r w:rsidR="75309028" w:rsidRPr="006F4A2C">
        <w:rPr>
          <w:rFonts w:ascii="Lato" w:hAnsi="Lato"/>
          <w:sz w:val="24"/>
          <w:szCs w:val="24"/>
          <w:lang w:val="en-US"/>
        </w:rPr>
        <w:t xml:space="preserve"> explore</w:t>
      </w:r>
      <w:r w:rsidR="004F1971" w:rsidRPr="006F4A2C">
        <w:rPr>
          <w:rFonts w:ascii="Lato" w:hAnsi="Lato"/>
          <w:sz w:val="24"/>
          <w:szCs w:val="24"/>
          <w:lang w:val="en-US"/>
        </w:rPr>
        <w:t>s</w:t>
      </w:r>
      <w:r w:rsidR="75309028" w:rsidRPr="006F4A2C">
        <w:rPr>
          <w:rFonts w:ascii="Lato" w:hAnsi="Lato"/>
          <w:sz w:val="24"/>
          <w:szCs w:val="24"/>
          <w:lang w:val="en-US"/>
        </w:rPr>
        <w:t xml:space="preserve"> the impact and enforcement of this legislation on SOGIESC populations, through </w:t>
      </w:r>
      <w:r w:rsidR="004F1971" w:rsidRPr="006F4A2C">
        <w:rPr>
          <w:rFonts w:ascii="Lato" w:hAnsi="Lato"/>
          <w:sz w:val="24"/>
          <w:szCs w:val="24"/>
          <w:lang w:val="en-US"/>
        </w:rPr>
        <w:t>three</w:t>
      </w:r>
      <w:r w:rsidR="004B6477" w:rsidRPr="006F4A2C">
        <w:rPr>
          <w:rFonts w:ascii="Lato" w:hAnsi="Lato"/>
          <w:sz w:val="24"/>
          <w:szCs w:val="24"/>
          <w:lang w:val="en-US"/>
        </w:rPr>
        <w:t xml:space="preserve"> </w:t>
      </w:r>
      <w:r w:rsidR="7B245B7F" w:rsidRPr="006F4A2C">
        <w:rPr>
          <w:rFonts w:ascii="Lato" w:hAnsi="Lato"/>
          <w:sz w:val="24"/>
          <w:szCs w:val="24"/>
          <w:lang w:val="en-US"/>
        </w:rPr>
        <w:t>thematic</w:t>
      </w:r>
      <w:r w:rsidR="75309028" w:rsidRPr="006F4A2C">
        <w:rPr>
          <w:rFonts w:ascii="Lato" w:hAnsi="Lato"/>
          <w:sz w:val="24"/>
          <w:szCs w:val="24"/>
          <w:lang w:val="en-US"/>
        </w:rPr>
        <w:t xml:space="preserve"> areas: youth</w:t>
      </w:r>
      <w:r w:rsidR="004F1971" w:rsidRPr="006F4A2C">
        <w:rPr>
          <w:rFonts w:ascii="Lato" w:hAnsi="Lato"/>
          <w:sz w:val="24"/>
          <w:szCs w:val="24"/>
          <w:lang w:val="en-US"/>
        </w:rPr>
        <w:t xml:space="preserve">, </w:t>
      </w:r>
      <w:r w:rsidR="75309028" w:rsidRPr="006F4A2C">
        <w:rPr>
          <w:rFonts w:ascii="Lato" w:hAnsi="Lato"/>
          <w:sz w:val="24"/>
          <w:szCs w:val="24"/>
          <w:lang w:val="en-US"/>
        </w:rPr>
        <w:t>refugees and migrants</w:t>
      </w:r>
      <w:r w:rsidR="004F1971" w:rsidRPr="006F4A2C">
        <w:rPr>
          <w:rFonts w:ascii="Lato" w:hAnsi="Lato"/>
          <w:sz w:val="24"/>
          <w:szCs w:val="24"/>
          <w:lang w:val="en-US"/>
        </w:rPr>
        <w:t>, and sex work</w:t>
      </w:r>
      <w:r w:rsidR="75309028" w:rsidRPr="006F4A2C">
        <w:rPr>
          <w:rFonts w:ascii="Lato" w:hAnsi="Lato"/>
          <w:sz w:val="24"/>
          <w:szCs w:val="24"/>
          <w:lang w:val="en-US"/>
        </w:rPr>
        <w:t xml:space="preserve">. </w:t>
      </w:r>
      <w:r w:rsidR="004F1971" w:rsidRPr="006F4A2C">
        <w:rPr>
          <w:rFonts w:ascii="Lato" w:hAnsi="Lato"/>
          <w:sz w:val="24"/>
          <w:szCs w:val="24"/>
          <w:lang w:val="en-US"/>
        </w:rPr>
        <w:t xml:space="preserve">This second chapter also explores </w:t>
      </w:r>
      <w:r w:rsidR="006C38FC" w:rsidRPr="006F4A2C">
        <w:rPr>
          <w:rFonts w:ascii="Lato" w:hAnsi="Lato"/>
          <w:sz w:val="24"/>
          <w:szCs w:val="24"/>
          <w:lang w:val="en-US"/>
        </w:rPr>
        <w:t xml:space="preserve">the specific national context of Peru, contributed by </w:t>
      </w:r>
      <w:r w:rsidR="004A52B7" w:rsidRPr="006F4A2C">
        <w:rPr>
          <w:rFonts w:ascii="Lato" w:hAnsi="Lato"/>
          <w:i/>
          <w:iCs/>
          <w:sz w:val="24"/>
          <w:szCs w:val="24"/>
          <w:lang w:val="en-US"/>
        </w:rPr>
        <w:t>Más Igualdad</w:t>
      </w:r>
      <w:r w:rsidR="006E6778" w:rsidRPr="006E6778">
        <w:rPr>
          <w:rFonts w:ascii="Lato" w:eastAsia="Lato" w:hAnsi="Lato" w:cs="Lato"/>
          <w:color w:val="000000" w:themeColor="text1"/>
          <w:sz w:val="24"/>
          <w:szCs w:val="24"/>
          <w:lang w:val="en-US"/>
        </w:rPr>
        <w:t xml:space="preserve"> </w:t>
      </w:r>
      <w:r w:rsidR="006E6778" w:rsidRPr="006E6778">
        <w:rPr>
          <w:rFonts w:ascii="Lato" w:eastAsia="Lato" w:hAnsi="Lato" w:cs="Lato"/>
          <w:i/>
          <w:iCs/>
          <w:color w:val="000000" w:themeColor="text1"/>
          <w:sz w:val="24"/>
          <w:szCs w:val="24"/>
          <w:lang w:val="en-US"/>
        </w:rPr>
        <w:t>Perú</w:t>
      </w:r>
      <w:r w:rsidR="004A52B7" w:rsidRPr="006F4A2C">
        <w:rPr>
          <w:rFonts w:ascii="Lato" w:hAnsi="Lato"/>
          <w:sz w:val="24"/>
          <w:szCs w:val="24"/>
          <w:lang w:val="en-US"/>
        </w:rPr>
        <w:t xml:space="preserve">. </w:t>
      </w:r>
      <w:r w:rsidR="75309028" w:rsidRPr="006F4A2C">
        <w:rPr>
          <w:rFonts w:ascii="Lato" w:hAnsi="Lato"/>
          <w:sz w:val="24"/>
          <w:szCs w:val="24"/>
          <w:lang w:val="en-US"/>
        </w:rPr>
        <w:t xml:space="preserve">The third section of this report </w:t>
      </w:r>
      <w:r w:rsidR="1A360C74" w:rsidRPr="006F4A2C">
        <w:rPr>
          <w:rFonts w:ascii="Lato" w:hAnsi="Lato"/>
          <w:sz w:val="24"/>
          <w:szCs w:val="24"/>
          <w:lang w:val="en-US"/>
        </w:rPr>
        <w:t>explores</w:t>
      </w:r>
      <w:r w:rsidR="75309028" w:rsidRPr="006F4A2C">
        <w:rPr>
          <w:rFonts w:ascii="Lato" w:hAnsi="Lato"/>
          <w:sz w:val="24"/>
          <w:szCs w:val="24"/>
          <w:lang w:val="en-US"/>
        </w:rPr>
        <w:t xml:space="preserve"> initiatives and best practice</w:t>
      </w:r>
      <w:r w:rsidR="6A027C5E" w:rsidRPr="006F4A2C">
        <w:rPr>
          <w:rFonts w:ascii="Lato" w:hAnsi="Lato"/>
          <w:sz w:val="24"/>
          <w:szCs w:val="24"/>
          <w:lang w:val="en-US"/>
        </w:rPr>
        <w:t>s</w:t>
      </w:r>
      <w:r w:rsidR="75309028" w:rsidRPr="006F4A2C">
        <w:rPr>
          <w:rFonts w:ascii="Lato" w:hAnsi="Lato"/>
          <w:sz w:val="24"/>
          <w:szCs w:val="24"/>
          <w:lang w:val="en-US"/>
        </w:rPr>
        <w:t xml:space="preserve"> for the decriminalization and social inclusion of </w:t>
      </w:r>
      <w:r w:rsidR="0413190B" w:rsidRPr="006F4A2C">
        <w:rPr>
          <w:rFonts w:ascii="Lato" w:hAnsi="Lato"/>
          <w:sz w:val="24"/>
          <w:szCs w:val="24"/>
          <w:lang w:val="en-US"/>
        </w:rPr>
        <w:t xml:space="preserve">persons of diverse </w:t>
      </w:r>
      <w:r w:rsidR="75309028" w:rsidRPr="006F4A2C">
        <w:rPr>
          <w:rFonts w:ascii="Lato" w:hAnsi="Lato"/>
          <w:sz w:val="24"/>
          <w:szCs w:val="24"/>
          <w:lang w:val="en-US"/>
        </w:rPr>
        <w:t>SOGIESC living in poverty and in situations of vulnerability</w:t>
      </w:r>
      <w:r w:rsidR="004A52B7" w:rsidRPr="006F4A2C">
        <w:rPr>
          <w:rFonts w:ascii="Lato" w:hAnsi="Lato"/>
          <w:sz w:val="24"/>
          <w:szCs w:val="24"/>
          <w:lang w:val="en-US"/>
        </w:rPr>
        <w:t>,</w:t>
      </w:r>
      <w:r w:rsidR="004A52B7">
        <w:rPr>
          <w:rFonts w:ascii="Lato" w:hAnsi="Lato"/>
          <w:sz w:val="24"/>
          <w:szCs w:val="24"/>
          <w:lang w:val="en-US"/>
        </w:rPr>
        <w:t xml:space="preserve"> focusing on examples from Belgium, Canada, Denmark, Germany Ireland, and the USA. Finally, the submission concludes with recommendations based on the contents of the report</w:t>
      </w:r>
      <w:r w:rsidR="00D764B3">
        <w:rPr>
          <w:rFonts w:ascii="Lato" w:hAnsi="Lato"/>
          <w:sz w:val="24"/>
          <w:szCs w:val="24"/>
          <w:lang w:val="en-US"/>
        </w:rPr>
        <w:t xml:space="preserve">. </w:t>
      </w:r>
    </w:p>
    <w:p w14:paraId="600664CE" w14:textId="4A9BBE6A" w:rsidR="00AB1DAD" w:rsidRPr="00E04783" w:rsidRDefault="71E7BA22" w:rsidP="00152F62">
      <w:pPr>
        <w:spacing w:line="240" w:lineRule="auto"/>
        <w:jc w:val="both"/>
        <w:rPr>
          <w:rFonts w:ascii="Lato" w:hAnsi="Lato"/>
          <w:sz w:val="24"/>
          <w:szCs w:val="24"/>
          <w:lang w:val="en-US"/>
        </w:rPr>
      </w:pPr>
      <w:r w:rsidRPr="00E04783">
        <w:rPr>
          <w:rFonts w:ascii="Lato" w:hAnsi="Lato"/>
          <w:sz w:val="24"/>
          <w:szCs w:val="24"/>
          <w:lang w:val="en-US"/>
        </w:rPr>
        <w:t>Although there have been some recent positive development</w:t>
      </w:r>
      <w:r w:rsidR="3A1350F6" w:rsidRPr="00E04783">
        <w:rPr>
          <w:rFonts w:ascii="Lato" w:hAnsi="Lato"/>
          <w:sz w:val="24"/>
          <w:szCs w:val="24"/>
          <w:lang w:val="en-US"/>
        </w:rPr>
        <w:t>s</w:t>
      </w:r>
      <w:r w:rsidRPr="00E04783">
        <w:rPr>
          <w:rFonts w:ascii="Lato" w:hAnsi="Lato"/>
          <w:sz w:val="24"/>
          <w:szCs w:val="24"/>
          <w:lang w:val="en-US"/>
        </w:rPr>
        <w:t xml:space="preserve"> </w:t>
      </w:r>
      <w:r w:rsidR="3A1350F6" w:rsidRPr="00E04783">
        <w:rPr>
          <w:rFonts w:ascii="Lato" w:hAnsi="Lato"/>
          <w:sz w:val="24"/>
          <w:szCs w:val="24"/>
          <w:lang w:val="en-US"/>
        </w:rPr>
        <w:t>in</w:t>
      </w:r>
      <w:r w:rsidRPr="00E04783">
        <w:rPr>
          <w:rFonts w:ascii="Lato" w:hAnsi="Lato"/>
          <w:sz w:val="24"/>
          <w:szCs w:val="24"/>
          <w:lang w:val="en-US"/>
        </w:rPr>
        <w:t xml:space="preserve"> protections for those</w:t>
      </w:r>
      <w:r w:rsidR="33D981BE" w:rsidRPr="00E04783">
        <w:rPr>
          <w:rFonts w:ascii="Lato" w:hAnsi="Lato"/>
          <w:sz w:val="24"/>
          <w:szCs w:val="24"/>
          <w:lang w:val="en-US"/>
        </w:rPr>
        <w:t xml:space="preserve"> who are homeless and </w:t>
      </w:r>
      <w:r w:rsidR="00BC53D5">
        <w:rPr>
          <w:rFonts w:ascii="Lato" w:hAnsi="Lato"/>
          <w:sz w:val="24"/>
          <w:szCs w:val="24"/>
          <w:lang w:val="en-US"/>
        </w:rPr>
        <w:t xml:space="preserve">specific protections for people </w:t>
      </w:r>
      <w:r w:rsidR="04974B2D" w:rsidRPr="00E04783">
        <w:rPr>
          <w:rFonts w:ascii="Lato" w:hAnsi="Lato"/>
          <w:sz w:val="24"/>
          <w:szCs w:val="24"/>
          <w:lang w:val="en-US"/>
        </w:rPr>
        <w:t>that are part of sexual and gender minorities</w:t>
      </w:r>
      <w:r w:rsidR="3A1350F6" w:rsidRPr="00E04783">
        <w:rPr>
          <w:rFonts w:ascii="Lato" w:hAnsi="Lato"/>
          <w:sz w:val="24"/>
          <w:szCs w:val="24"/>
          <w:lang w:val="en-US"/>
        </w:rPr>
        <w:t xml:space="preserve">, there </w:t>
      </w:r>
      <w:r w:rsidR="65505AD0" w:rsidRPr="00E04783">
        <w:rPr>
          <w:rFonts w:ascii="Lato" w:hAnsi="Lato"/>
          <w:sz w:val="24"/>
          <w:szCs w:val="24"/>
          <w:lang w:val="en-US"/>
        </w:rPr>
        <w:t xml:space="preserve">are still many states that do not offer </w:t>
      </w:r>
      <w:r w:rsidR="00BC53D5">
        <w:rPr>
          <w:rFonts w:ascii="Lato" w:hAnsi="Lato"/>
          <w:sz w:val="24"/>
          <w:szCs w:val="24"/>
          <w:lang w:val="en-US"/>
        </w:rPr>
        <w:t xml:space="preserve">any kind of </w:t>
      </w:r>
      <w:r w:rsidR="65505AD0" w:rsidRPr="00E04783">
        <w:rPr>
          <w:rFonts w:ascii="Lato" w:hAnsi="Lato"/>
          <w:sz w:val="24"/>
          <w:szCs w:val="24"/>
          <w:lang w:val="en-US"/>
        </w:rPr>
        <w:t>protection</w:t>
      </w:r>
      <w:r w:rsidR="00562218">
        <w:rPr>
          <w:rFonts w:ascii="Lato" w:hAnsi="Lato"/>
          <w:sz w:val="24"/>
          <w:szCs w:val="24"/>
          <w:lang w:val="en-US"/>
        </w:rPr>
        <w:t xml:space="preserve"> against discrimination targeting both groups: sexual and gender minorities who are homeless and/or living in poverty. T</w:t>
      </w:r>
      <w:r w:rsidR="65505AD0" w:rsidRPr="00E04783">
        <w:rPr>
          <w:rFonts w:ascii="Lato" w:hAnsi="Lato"/>
          <w:sz w:val="24"/>
          <w:szCs w:val="24"/>
          <w:lang w:val="en-US"/>
        </w:rPr>
        <w:t>his lack of protection disproportionately impacts</w:t>
      </w:r>
      <w:r w:rsidR="007603FF">
        <w:rPr>
          <w:rFonts w:ascii="Lato" w:hAnsi="Lato"/>
          <w:sz w:val="24"/>
          <w:szCs w:val="24"/>
          <w:lang w:val="en-US"/>
        </w:rPr>
        <w:t xml:space="preserve"> LGBTI</w:t>
      </w:r>
      <w:r w:rsidR="65505AD0" w:rsidRPr="00E04783">
        <w:rPr>
          <w:rFonts w:ascii="Lato" w:hAnsi="Lato"/>
          <w:sz w:val="24"/>
          <w:szCs w:val="24"/>
          <w:lang w:val="en-US"/>
        </w:rPr>
        <w:t xml:space="preserve"> </w:t>
      </w:r>
      <w:r w:rsidR="04E30230" w:rsidRPr="00E04783">
        <w:rPr>
          <w:rFonts w:ascii="Lato" w:hAnsi="Lato"/>
          <w:sz w:val="24"/>
          <w:szCs w:val="24"/>
          <w:lang w:val="en-US"/>
        </w:rPr>
        <w:t>young people</w:t>
      </w:r>
      <w:r w:rsidR="004B6477" w:rsidRPr="00E04783">
        <w:rPr>
          <w:rFonts w:ascii="Lato" w:hAnsi="Lato"/>
          <w:sz w:val="24"/>
          <w:szCs w:val="24"/>
          <w:lang w:val="en-US"/>
        </w:rPr>
        <w:t xml:space="preserve"> </w:t>
      </w:r>
      <w:r w:rsidR="65505AD0" w:rsidRPr="00E04783">
        <w:rPr>
          <w:rFonts w:ascii="Lato" w:hAnsi="Lato"/>
          <w:sz w:val="24"/>
          <w:szCs w:val="24"/>
          <w:lang w:val="en-US"/>
        </w:rPr>
        <w:t>and migrants and refugees</w:t>
      </w:r>
      <w:r w:rsidR="62C373CB" w:rsidRPr="00E04783">
        <w:rPr>
          <w:rFonts w:ascii="Lato" w:hAnsi="Lato"/>
          <w:sz w:val="24"/>
          <w:szCs w:val="24"/>
          <w:lang w:val="en-US"/>
        </w:rPr>
        <w:t xml:space="preserve">; with few states offering </w:t>
      </w:r>
      <w:r w:rsidR="04A0FC2E" w:rsidRPr="00E04783">
        <w:rPr>
          <w:rFonts w:ascii="Lato" w:hAnsi="Lato"/>
          <w:sz w:val="24"/>
          <w:szCs w:val="24"/>
          <w:lang w:val="en-US"/>
        </w:rPr>
        <w:t xml:space="preserve">specific </w:t>
      </w:r>
      <w:r w:rsidR="62C373CB" w:rsidRPr="00E04783">
        <w:rPr>
          <w:rFonts w:ascii="Lato" w:hAnsi="Lato"/>
          <w:sz w:val="24"/>
          <w:szCs w:val="24"/>
          <w:lang w:val="en-US"/>
        </w:rPr>
        <w:t>effective initiatives and legal protection</w:t>
      </w:r>
      <w:r w:rsidR="04E30230" w:rsidRPr="00E04783">
        <w:rPr>
          <w:rFonts w:ascii="Lato" w:hAnsi="Lato"/>
          <w:sz w:val="24"/>
          <w:szCs w:val="24"/>
          <w:lang w:val="en-US"/>
        </w:rPr>
        <w:t xml:space="preserve"> for these</w:t>
      </w:r>
      <w:r w:rsidR="04A0FC2E" w:rsidRPr="00E04783">
        <w:rPr>
          <w:rFonts w:ascii="Lato" w:hAnsi="Lato"/>
          <w:sz w:val="24"/>
          <w:szCs w:val="24"/>
          <w:lang w:val="en-US"/>
        </w:rPr>
        <w:t xml:space="preserve"> demographics.</w:t>
      </w:r>
    </w:p>
    <w:p w14:paraId="2C0BB281" w14:textId="7B9E8A38" w:rsidR="00ED24A5" w:rsidRDefault="000D6798" w:rsidP="007B6B8B">
      <w:pPr>
        <w:spacing w:line="240" w:lineRule="auto"/>
        <w:jc w:val="both"/>
        <w:rPr>
          <w:rFonts w:ascii="Lato" w:hAnsi="Lato"/>
          <w:sz w:val="24"/>
          <w:szCs w:val="24"/>
          <w:lang w:val="en-US"/>
        </w:rPr>
      </w:pPr>
      <w:r w:rsidRPr="00E04783">
        <w:rPr>
          <w:rFonts w:ascii="Lato" w:hAnsi="Lato"/>
          <w:sz w:val="24"/>
          <w:szCs w:val="24"/>
          <w:lang w:val="en-US"/>
        </w:rPr>
        <w:t>Furthermore, it is imperative to highlight that during the drafting process</w:t>
      </w:r>
      <w:r w:rsidR="007603FF">
        <w:rPr>
          <w:rFonts w:ascii="Lato" w:hAnsi="Lato"/>
          <w:sz w:val="24"/>
          <w:szCs w:val="24"/>
          <w:lang w:val="en-US"/>
        </w:rPr>
        <w:t xml:space="preserve"> of this submission</w:t>
      </w:r>
      <w:r w:rsidRPr="00E04783">
        <w:rPr>
          <w:rFonts w:ascii="Lato" w:hAnsi="Lato"/>
          <w:sz w:val="24"/>
          <w:szCs w:val="24"/>
          <w:lang w:val="en-US"/>
        </w:rPr>
        <w:t xml:space="preserve">, </w:t>
      </w:r>
      <w:r w:rsidR="00B86B44" w:rsidRPr="00E04783">
        <w:rPr>
          <w:rFonts w:ascii="Lato" w:hAnsi="Lato"/>
          <w:sz w:val="24"/>
          <w:szCs w:val="24"/>
          <w:lang w:val="en-US"/>
        </w:rPr>
        <w:t xml:space="preserve">there was a significant challenge in finding data on these topics from the </w:t>
      </w:r>
      <w:r w:rsidR="007603FF">
        <w:rPr>
          <w:rFonts w:ascii="Lato" w:hAnsi="Lato"/>
          <w:sz w:val="24"/>
          <w:szCs w:val="24"/>
          <w:lang w:val="en-US"/>
        </w:rPr>
        <w:lastRenderedPageBreak/>
        <w:t>‘</w:t>
      </w:r>
      <w:r w:rsidR="00B86B44" w:rsidRPr="00E04783">
        <w:rPr>
          <w:rFonts w:ascii="Lato" w:hAnsi="Lato"/>
          <w:sz w:val="24"/>
          <w:szCs w:val="24"/>
          <w:lang w:val="en-US"/>
        </w:rPr>
        <w:t>Global South</w:t>
      </w:r>
      <w:r w:rsidR="007603FF">
        <w:rPr>
          <w:rFonts w:ascii="Lato" w:hAnsi="Lato"/>
          <w:sz w:val="24"/>
          <w:szCs w:val="24"/>
          <w:lang w:val="en-US"/>
        </w:rPr>
        <w:t>’</w:t>
      </w:r>
      <w:r w:rsidR="00B86B44" w:rsidRPr="00E04783">
        <w:rPr>
          <w:rFonts w:ascii="Lato" w:hAnsi="Lato"/>
          <w:sz w:val="24"/>
          <w:szCs w:val="24"/>
          <w:lang w:val="en-US"/>
        </w:rPr>
        <w:t xml:space="preserve">, with most research </w:t>
      </w:r>
      <w:r w:rsidR="00D764B3" w:rsidRPr="00E04783">
        <w:rPr>
          <w:rFonts w:ascii="Lato" w:hAnsi="Lato"/>
          <w:sz w:val="24"/>
          <w:szCs w:val="24"/>
          <w:lang w:val="en-US"/>
        </w:rPr>
        <w:t>centering</w:t>
      </w:r>
      <w:r w:rsidR="00B86B44" w:rsidRPr="00E04783">
        <w:rPr>
          <w:rFonts w:ascii="Lato" w:hAnsi="Lato"/>
          <w:sz w:val="24"/>
          <w:szCs w:val="24"/>
          <w:lang w:val="en-US"/>
        </w:rPr>
        <w:t xml:space="preserve"> around Europe and North America. </w:t>
      </w:r>
      <w:r w:rsidR="003D7239" w:rsidRPr="00E04783">
        <w:rPr>
          <w:rFonts w:ascii="Lato" w:hAnsi="Lato"/>
          <w:sz w:val="24"/>
          <w:szCs w:val="24"/>
          <w:lang w:val="en-US"/>
        </w:rPr>
        <w:t>Overall, we found that there is not extensive documentation - p</w:t>
      </w:r>
      <w:r w:rsidR="003679B7" w:rsidRPr="00E04783">
        <w:rPr>
          <w:rFonts w:ascii="Lato" w:hAnsi="Lato"/>
          <w:sz w:val="24"/>
          <w:szCs w:val="24"/>
          <w:lang w:val="en-US"/>
        </w:rPr>
        <w:t>ublic reports, research</w:t>
      </w:r>
      <w:r w:rsidR="003D7239" w:rsidRPr="00E04783">
        <w:rPr>
          <w:rFonts w:ascii="Lato" w:hAnsi="Lato"/>
          <w:sz w:val="24"/>
          <w:szCs w:val="24"/>
          <w:lang w:val="en-US"/>
        </w:rPr>
        <w:t xml:space="preserve">, </w:t>
      </w:r>
      <w:r w:rsidR="003679B7" w:rsidRPr="00E04783">
        <w:rPr>
          <w:rFonts w:ascii="Lato" w:hAnsi="Lato"/>
          <w:sz w:val="24"/>
          <w:szCs w:val="24"/>
          <w:lang w:val="en-US"/>
        </w:rPr>
        <w:t xml:space="preserve">accessible statistics </w:t>
      </w:r>
      <w:r w:rsidR="003D7239" w:rsidRPr="00E04783">
        <w:rPr>
          <w:rFonts w:ascii="Lato" w:hAnsi="Lato"/>
          <w:sz w:val="24"/>
          <w:szCs w:val="24"/>
          <w:lang w:val="en-US"/>
        </w:rPr>
        <w:t xml:space="preserve">- </w:t>
      </w:r>
      <w:r w:rsidR="003679B7" w:rsidRPr="00E04783">
        <w:rPr>
          <w:rFonts w:ascii="Lato" w:hAnsi="Lato"/>
          <w:sz w:val="24"/>
          <w:szCs w:val="24"/>
          <w:lang w:val="en-US"/>
        </w:rPr>
        <w:t>on homelessness and extreme poverty experienced by LGBTI</w:t>
      </w:r>
      <w:r w:rsidR="00DD62C5" w:rsidRPr="00E04783">
        <w:rPr>
          <w:rStyle w:val="FootnoteReference"/>
          <w:rFonts w:ascii="Lato" w:hAnsi="Lato"/>
          <w:sz w:val="24"/>
          <w:szCs w:val="24"/>
          <w:lang w:val="en-US"/>
        </w:rPr>
        <w:footnoteReference w:id="7"/>
      </w:r>
      <w:r w:rsidR="003679B7" w:rsidRPr="00E04783">
        <w:rPr>
          <w:rFonts w:ascii="Lato" w:hAnsi="Lato"/>
          <w:sz w:val="24"/>
          <w:szCs w:val="24"/>
          <w:lang w:val="en-US"/>
        </w:rPr>
        <w:t xml:space="preserve"> people</w:t>
      </w:r>
      <w:r w:rsidR="007603FF">
        <w:rPr>
          <w:rFonts w:ascii="Lato" w:hAnsi="Lato"/>
          <w:sz w:val="24"/>
          <w:szCs w:val="24"/>
          <w:lang w:val="en-US"/>
        </w:rPr>
        <w:t xml:space="preserve"> in regions like Asia, Africa and Latin America.</w:t>
      </w:r>
    </w:p>
    <w:p w14:paraId="6479B3DF" w14:textId="61022E01" w:rsidR="00D764B3" w:rsidRPr="00E04783" w:rsidRDefault="00D764B3" w:rsidP="007B6B8B">
      <w:pPr>
        <w:spacing w:line="240" w:lineRule="auto"/>
        <w:jc w:val="both"/>
        <w:rPr>
          <w:rFonts w:ascii="Lato" w:hAnsi="Lato"/>
          <w:sz w:val="24"/>
          <w:szCs w:val="24"/>
          <w:lang w:val="en-US"/>
        </w:rPr>
      </w:pPr>
      <w:r>
        <w:rPr>
          <w:rFonts w:ascii="Lato" w:hAnsi="Lato"/>
          <w:sz w:val="24"/>
          <w:szCs w:val="24"/>
          <w:lang w:val="en-US"/>
        </w:rPr>
        <w:t xml:space="preserve">Finally, ILGA World would like to extend a special thanks and acknowledgement to those who contributed </w:t>
      </w:r>
      <w:r w:rsidR="007603FF">
        <w:rPr>
          <w:rFonts w:ascii="Lato" w:hAnsi="Lato"/>
          <w:sz w:val="24"/>
          <w:szCs w:val="24"/>
          <w:lang w:val="en-US"/>
        </w:rPr>
        <w:t xml:space="preserve">with </w:t>
      </w:r>
      <w:r>
        <w:rPr>
          <w:rFonts w:ascii="Lato" w:hAnsi="Lato"/>
          <w:sz w:val="24"/>
          <w:szCs w:val="24"/>
          <w:lang w:val="en-US"/>
        </w:rPr>
        <w:t xml:space="preserve">testimonials, statistics, </w:t>
      </w:r>
      <w:r w:rsidR="00950400">
        <w:rPr>
          <w:rFonts w:ascii="Lato" w:hAnsi="Lato"/>
          <w:sz w:val="24"/>
          <w:szCs w:val="24"/>
          <w:lang w:val="en-US"/>
        </w:rPr>
        <w:t>information,</w:t>
      </w:r>
      <w:r>
        <w:rPr>
          <w:rFonts w:ascii="Lato" w:hAnsi="Lato"/>
          <w:sz w:val="24"/>
          <w:szCs w:val="24"/>
          <w:lang w:val="en-US"/>
        </w:rPr>
        <w:t xml:space="preserve"> and data to the report</w:t>
      </w:r>
      <w:r w:rsidR="00F058F0">
        <w:rPr>
          <w:rFonts w:ascii="Lato" w:hAnsi="Lato"/>
          <w:sz w:val="24"/>
          <w:szCs w:val="24"/>
          <w:lang w:val="en-US"/>
        </w:rPr>
        <w:t xml:space="preserve">, including </w:t>
      </w:r>
      <w:r w:rsidR="00950400">
        <w:rPr>
          <w:rFonts w:ascii="Lato" w:hAnsi="Lato"/>
          <w:sz w:val="24"/>
          <w:szCs w:val="24"/>
          <w:lang w:val="en-US"/>
        </w:rPr>
        <w:t>collaborat</w:t>
      </w:r>
      <w:r w:rsidR="007603FF">
        <w:rPr>
          <w:rFonts w:ascii="Lato" w:hAnsi="Lato"/>
          <w:sz w:val="24"/>
          <w:szCs w:val="24"/>
          <w:lang w:val="en-US"/>
        </w:rPr>
        <w:t>ions from:</w:t>
      </w:r>
      <w:r w:rsidR="00950400">
        <w:rPr>
          <w:rFonts w:ascii="Lato" w:hAnsi="Lato"/>
          <w:sz w:val="24"/>
          <w:szCs w:val="24"/>
          <w:lang w:val="en-US"/>
        </w:rPr>
        <w:t xml:space="preserve"> </w:t>
      </w:r>
      <w:r w:rsidR="00F058F0" w:rsidRPr="00385B6F">
        <w:rPr>
          <w:rFonts w:ascii="Lato" w:hAnsi="Lato"/>
          <w:i/>
          <w:iCs/>
          <w:sz w:val="24"/>
          <w:szCs w:val="24"/>
          <w:lang w:val="en-US"/>
        </w:rPr>
        <w:t>Más Igualdad</w:t>
      </w:r>
      <w:r w:rsidR="006E6778" w:rsidRPr="006E6778">
        <w:rPr>
          <w:rFonts w:ascii="Lato" w:hAnsi="Lato"/>
          <w:i/>
          <w:iCs/>
          <w:sz w:val="24"/>
          <w:szCs w:val="24"/>
          <w:lang w:val="en-US"/>
        </w:rPr>
        <w:t xml:space="preserve"> </w:t>
      </w:r>
      <w:r w:rsidR="006E6778" w:rsidRPr="006E6778">
        <w:rPr>
          <w:rFonts w:ascii="Lato" w:eastAsia="Lato" w:hAnsi="Lato" w:cs="Lato"/>
          <w:i/>
          <w:iCs/>
          <w:color w:val="000000" w:themeColor="text1"/>
          <w:sz w:val="24"/>
          <w:szCs w:val="24"/>
          <w:lang w:val="en-US"/>
        </w:rPr>
        <w:t>Perú</w:t>
      </w:r>
      <w:r w:rsidR="00F058F0">
        <w:rPr>
          <w:rFonts w:ascii="Lato" w:hAnsi="Lato"/>
          <w:sz w:val="24"/>
          <w:szCs w:val="24"/>
          <w:lang w:val="en-US"/>
        </w:rPr>
        <w:t xml:space="preserve">, </w:t>
      </w:r>
      <w:r w:rsidR="00F058F0" w:rsidRPr="00385B6F">
        <w:rPr>
          <w:rFonts w:ascii="Lato" w:hAnsi="Lato"/>
          <w:i/>
          <w:iCs/>
          <w:sz w:val="24"/>
          <w:szCs w:val="24"/>
          <w:lang w:val="en-US"/>
        </w:rPr>
        <w:t>Transgender Europe</w:t>
      </w:r>
      <w:r w:rsidR="00F058F0">
        <w:rPr>
          <w:rFonts w:ascii="Lato" w:hAnsi="Lato"/>
          <w:sz w:val="24"/>
          <w:szCs w:val="24"/>
          <w:lang w:val="en-US"/>
        </w:rPr>
        <w:t xml:space="preserve">, </w:t>
      </w:r>
      <w:r w:rsidR="00F058F0" w:rsidRPr="00385B6F">
        <w:rPr>
          <w:rFonts w:ascii="Lato" w:hAnsi="Lato"/>
          <w:i/>
          <w:iCs/>
          <w:sz w:val="24"/>
          <w:szCs w:val="24"/>
          <w:lang w:val="en-US"/>
        </w:rPr>
        <w:t>Victorian Pride Lobby</w:t>
      </w:r>
      <w:r w:rsidR="00F058F0">
        <w:rPr>
          <w:rFonts w:ascii="Lato" w:hAnsi="Lato"/>
          <w:sz w:val="24"/>
          <w:szCs w:val="24"/>
          <w:lang w:val="en-US"/>
        </w:rPr>
        <w:t>, and</w:t>
      </w:r>
      <w:r w:rsidR="00385B6F" w:rsidRPr="00385B6F">
        <w:t xml:space="preserve"> </w:t>
      </w:r>
      <w:r w:rsidR="006E6778">
        <w:rPr>
          <w:rFonts w:ascii="Lato" w:hAnsi="Lato"/>
          <w:sz w:val="24"/>
          <w:szCs w:val="24"/>
          <w:lang w:val="en-US"/>
        </w:rPr>
        <w:t xml:space="preserve">the </w:t>
      </w:r>
      <w:r w:rsidR="00385B6F" w:rsidRPr="00385B6F">
        <w:rPr>
          <w:rFonts w:ascii="Lato" w:hAnsi="Lato"/>
          <w:sz w:val="24"/>
          <w:szCs w:val="24"/>
          <w:lang w:val="en-US"/>
        </w:rPr>
        <w:t>individual LGBTI activists, researchers and journalists from Aotearoa New Zealand</w:t>
      </w:r>
      <w:r w:rsidR="00385B6F">
        <w:rPr>
          <w:rFonts w:ascii="Lato" w:hAnsi="Lato"/>
          <w:sz w:val="24"/>
          <w:szCs w:val="24"/>
          <w:lang w:val="en-US"/>
        </w:rPr>
        <w:t>,</w:t>
      </w:r>
      <w:r w:rsidR="00385B6F" w:rsidRPr="00385B6F">
        <w:rPr>
          <w:rFonts w:ascii="Lato" w:hAnsi="Lato"/>
          <w:sz w:val="24"/>
          <w:szCs w:val="24"/>
          <w:lang w:val="en-US"/>
        </w:rPr>
        <w:t xml:space="preserve"> Australia, </w:t>
      </w:r>
      <w:r w:rsidR="00385B6F">
        <w:rPr>
          <w:rFonts w:ascii="Lato" w:hAnsi="Lato"/>
          <w:sz w:val="24"/>
          <w:szCs w:val="24"/>
          <w:lang w:val="en-US"/>
        </w:rPr>
        <w:t>and</w:t>
      </w:r>
      <w:r w:rsidR="007603FF">
        <w:rPr>
          <w:rFonts w:ascii="Lato" w:hAnsi="Lato"/>
          <w:sz w:val="24"/>
          <w:szCs w:val="24"/>
          <w:lang w:val="en-US"/>
        </w:rPr>
        <w:t xml:space="preserve"> the</w:t>
      </w:r>
      <w:r w:rsidR="00385B6F">
        <w:rPr>
          <w:rFonts w:ascii="Lato" w:hAnsi="Lato"/>
          <w:sz w:val="24"/>
          <w:szCs w:val="24"/>
          <w:lang w:val="en-US"/>
        </w:rPr>
        <w:t xml:space="preserve"> </w:t>
      </w:r>
      <w:r w:rsidR="00385B6F" w:rsidRPr="00385B6F">
        <w:rPr>
          <w:rFonts w:ascii="Lato" w:hAnsi="Lato"/>
          <w:sz w:val="24"/>
          <w:szCs w:val="24"/>
          <w:lang w:val="en-US"/>
        </w:rPr>
        <w:t>Caribbea</w:t>
      </w:r>
      <w:r w:rsidR="00385B6F">
        <w:rPr>
          <w:rFonts w:ascii="Lato" w:hAnsi="Lato"/>
          <w:sz w:val="24"/>
          <w:szCs w:val="24"/>
          <w:lang w:val="en-US"/>
        </w:rPr>
        <w:t xml:space="preserve">n. </w:t>
      </w:r>
    </w:p>
    <w:p w14:paraId="08A18DDC" w14:textId="21B1CDB0" w:rsidR="00ED24A5" w:rsidRPr="00E04783" w:rsidRDefault="75309028" w:rsidP="00152F62">
      <w:pPr>
        <w:pStyle w:val="Heading1"/>
        <w:jc w:val="both"/>
        <w:rPr>
          <w:lang w:val="en-US"/>
        </w:rPr>
      </w:pPr>
      <w:bookmarkStart w:id="2" w:name="_Toc147244619"/>
      <w:r w:rsidRPr="00E04783">
        <w:rPr>
          <w:lang w:val="en-US"/>
        </w:rPr>
        <w:t xml:space="preserve">2. The Current Situation: </w:t>
      </w:r>
      <w:r w:rsidR="7840D0C2" w:rsidRPr="00E04783">
        <w:rPr>
          <w:lang w:val="en-US"/>
        </w:rPr>
        <w:t>People of diverse SOGIESC</w:t>
      </w:r>
      <w:r w:rsidRPr="00E04783">
        <w:rPr>
          <w:lang w:val="en-US"/>
        </w:rPr>
        <w:t xml:space="preserve"> and Laws and Regulations regarding homelessness and poverty</w:t>
      </w:r>
      <w:bookmarkEnd w:id="2"/>
    </w:p>
    <w:p w14:paraId="5C9120B3" w14:textId="51142516" w:rsidR="00417F84" w:rsidRPr="00E04783" w:rsidRDefault="00ED24A5" w:rsidP="00152F62">
      <w:pPr>
        <w:pStyle w:val="Heading2"/>
        <w:jc w:val="both"/>
        <w:rPr>
          <w:rStyle w:val="Heading2Char"/>
          <w:b/>
          <w:lang w:val="en-US"/>
        </w:rPr>
      </w:pPr>
      <w:bookmarkStart w:id="3" w:name="_Toc147244620"/>
      <w:r w:rsidRPr="00E04783">
        <w:rPr>
          <w:lang w:val="en-US"/>
        </w:rPr>
        <w:t>2</w:t>
      </w:r>
      <w:r w:rsidRPr="00E04783">
        <w:rPr>
          <w:rStyle w:val="Heading2Char"/>
          <w:b/>
          <w:lang w:val="en-US"/>
        </w:rPr>
        <w:t>.1 Current Legislation: SOGIESC</w:t>
      </w:r>
      <w:r w:rsidR="007603FF">
        <w:rPr>
          <w:rStyle w:val="Heading2Char"/>
          <w:b/>
          <w:lang w:val="en-US"/>
        </w:rPr>
        <w:t xml:space="preserve"> and</w:t>
      </w:r>
      <w:r w:rsidRPr="00E04783">
        <w:rPr>
          <w:rStyle w:val="Heading2Char"/>
          <w:b/>
          <w:lang w:val="en-US"/>
        </w:rPr>
        <w:t xml:space="preserve"> Housing</w:t>
      </w:r>
      <w:bookmarkEnd w:id="3"/>
      <w:r w:rsidRPr="00E04783">
        <w:rPr>
          <w:rStyle w:val="Heading2Char"/>
          <w:b/>
          <w:lang w:val="en-US"/>
        </w:rPr>
        <w:t xml:space="preserve"> </w:t>
      </w:r>
    </w:p>
    <w:p w14:paraId="24FF44E5" w14:textId="51AE2313" w:rsidR="00C51618" w:rsidRPr="00E04783" w:rsidRDefault="00A514D9" w:rsidP="000D2E42">
      <w:pPr>
        <w:jc w:val="both"/>
        <w:rPr>
          <w:rFonts w:ascii="Lato" w:hAnsi="Lato"/>
          <w:sz w:val="24"/>
          <w:szCs w:val="24"/>
          <w:lang w:val="en-US"/>
        </w:rPr>
      </w:pPr>
      <w:r w:rsidRPr="00E04783">
        <w:rPr>
          <w:rFonts w:ascii="Lato" w:hAnsi="Lato"/>
          <w:sz w:val="24"/>
          <w:szCs w:val="24"/>
          <w:lang w:val="en-US"/>
        </w:rPr>
        <w:t>Most</w:t>
      </w:r>
      <w:r w:rsidR="0049147F" w:rsidRPr="00E04783">
        <w:rPr>
          <w:rFonts w:ascii="Lato" w:hAnsi="Lato"/>
          <w:sz w:val="24"/>
          <w:szCs w:val="24"/>
          <w:lang w:val="en-US"/>
        </w:rPr>
        <w:t xml:space="preserve"> countries do not provide protection </w:t>
      </w:r>
      <w:r w:rsidR="00BD5987">
        <w:rPr>
          <w:rFonts w:ascii="Lato" w:hAnsi="Lato"/>
          <w:sz w:val="24"/>
          <w:szCs w:val="24"/>
          <w:lang w:val="en-US"/>
        </w:rPr>
        <w:t xml:space="preserve">against housing discrimination </w:t>
      </w:r>
      <w:r w:rsidR="0049147F" w:rsidRPr="00E04783">
        <w:rPr>
          <w:rFonts w:ascii="Lato" w:hAnsi="Lato"/>
          <w:sz w:val="24"/>
          <w:szCs w:val="24"/>
          <w:lang w:val="en-US"/>
        </w:rPr>
        <w:t>for LGBTI persons.</w:t>
      </w:r>
      <w:r w:rsidR="00682184" w:rsidRPr="00E04783">
        <w:rPr>
          <w:rFonts w:ascii="Lato" w:hAnsi="Lato"/>
          <w:sz w:val="24"/>
          <w:szCs w:val="24"/>
          <w:lang w:val="en-US"/>
        </w:rPr>
        <w:t xml:space="preserve"> In the instances where there are legislative protections on the grounds of sexual orientation, these are seldom extended to</w:t>
      </w:r>
      <w:r w:rsidR="007D722A" w:rsidRPr="00E04783">
        <w:rPr>
          <w:rFonts w:ascii="Lato" w:hAnsi="Lato"/>
          <w:sz w:val="24"/>
          <w:szCs w:val="24"/>
          <w:lang w:val="en-US"/>
        </w:rPr>
        <w:t xml:space="preserve"> protection</w:t>
      </w:r>
      <w:r w:rsidR="005F06F5" w:rsidRPr="00E04783">
        <w:rPr>
          <w:rFonts w:ascii="Lato" w:hAnsi="Lato"/>
          <w:sz w:val="24"/>
          <w:szCs w:val="24"/>
          <w:lang w:val="en-US"/>
        </w:rPr>
        <w:t>s</w:t>
      </w:r>
      <w:r w:rsidR="007D722A" w:rsidRPr="00E04783">
        <w:rPr>
          <w:rFonts w:ascii="Lato" w:hAnsi="Lato"/>
          <w:sz w:val="24"/>
          <w:szCs w:val="24"/>
          <w:lang w:val="en-US"/>
        </w:rPr>
        <w:t xml:space="preserve"> on the grounds of</w:t>
      </w:r>
      <w:r w:rsidR="00682184" w:rsidRPr="00E04783">
        <w:rPr>
          <w:rFonts w:ascii="Lato" w:hAnsi="Lato"/>
          <w:sz w:val="24"/>
          <w:szCs w:val="24"/>
          <w:lang w:val="en-US"/>
        </w:rPr>
        <w:t xml:space="preserve"> </w:t>
      </w:r>
      <w:r w:rsidR="00B17560" w:rsidRPr="00E04783">
        <w:rPr>
          <w:rFonts w:ascii="Lato" w:hAnsi="Lato"/>
          <w:sz w:val="24"/>
          <w:szCs w:val="24"/>
          <w:lang w:val="en-US"/>
        </w:rPr>
        <w:t>gender identity, gender expression and sex characteristics.</w:t>
      </w:r>
      <w:r w:rsidR="001922F0" w:rsidRPr="00E04783">
        <w:rPr>
          <w:rFonts w:ascii="Lato" w:hAnsi="Lato"/>
          <w:sz w:val="24"/>
          <w:szCs w:val="24"/>
          <w:lang w:val="en-US"/>
        </w:rPr>
        <w:t xml:space="preserve"> </w:t>
      </w:r>
      <w:r w:rsidR="008B0CC5">
        <w:rPr>
          <w:rFonts w:ascii="Lato" w:hAnsi="Lato"/>
          <w:sz w:val="24"/>
          <w:szCs w:val="24"/>
          <w:lang w:val="en-US"/>
        </w:rPr>
        <w:t>Of</w:t>
      </w:r>
      <w:r w:rsidR="001922F0" w:rsidRPr="00E04783">
        <w:rPr>
          <w:rFonts w:ascii="Lato" w:hAnsi="Lato"/>
          <w:sz w:val="24"/>
          <w:szCs w:val="24"/>
          <w:lang w:val="en-US"/>
        </w:rPr>
        <w:t xml:space="preserve"> </w:t>
      </w:r>
      <w:r w:rsidR="00922E6E" w:rsidRPr="00E04783">
        <w:rPr>
          <w:rFonts w:ascii="Lato" w:hAnsi="Lato"/>
          <w:sz w:val="24"/>
          <w:szCs w:val="24"/>
          <w:lang w:val="en-US"/>
        </w:rPr>
        <w:t>the 193 UN member states, 51 protect against discrimination</w:t>
      </w:r>
      <w:r w:rsidR="00C51618" w:rsidRPr="00E04783">
        <w:rPr>
          <w:rFonts w:ascii="Lato" w:hAnsi="Lato"/>
          <w:sz w:val="24"/>
          <w:szCs w:val="24"/>
          <w:lang w:val="en-US"/>
        </w:rPr>
        <w:t xml:space="preserve"> in housing</w:t>
      </w:r>
      <w:r w:rsidR="00922E6E" w:rsidRPr="00E04783">
        <w:rPr>
          <w:rFonts w:ascii="Lato" w:hAnsi="Lato"/>
          <w:sz w:val="24"/>
          <w:szCs w:val="24"/>
          <w:lang w:val="en-US"/>
        </w:rPr>
        <w:t xml:space="preserve"> </w:t>
      </w:r>
      <w:r w:rsidR="002B2464" w:rsidRPr="00E04783">
        <w:rPr>
          <w:rFonts w:ascii="Lato" w:hAnsi="Lato"/>
          <w:sz w:val="24"/>
          <w:szCs w:val="24"/>
          <w:lang w:val="en-US"/>
        </w:rPr>
        <w:t>based on sexual orientation</w:t>
      </w:r>
      <w:r w:rsidR="00922E6E" w:rsidRPr="00E04783">
        <w:rPr>
          <w:rFonts w:ascii="Lato" w:hAnsi="Lato"/>
          <w:sz w:val="24"/>
          <w:szCs w:val="24"/>
          <w:lang w:val="en-US"/>
        </w:rPr>
        <w:t>; meanwhile, only 38</w:t>
      </w:r>
      <w:r w:rsidR="005F06F5" w:rsidRPr="00E04783">
        <w:rPr>
          <w:rFonts w:ascii="Lato" w:hAnsi="Lato"/>
          <w:sz w:val="24"/>
          <w:szCs w:val="24"/>
          <w:lang w:val="en-US"/>
        </w:rPr>
        <w:t xml:space="preserve"> have</w:t>
      </w:r>
      <w:r w:rsidR="00922E6E" w:rsidRPr="00E04783">
        <w:rPr>
          <w:rFonts w:ascii="Lato" w:hAnsi="Lato"/>
          <w:sz w:val="24"/>
          <w:szCs w:val="24"/>
          <w:lang w:val="en-US"/>
        </w:rPr>
        <w:t xml:space="preserve"> protect</w:t>
      </w:r>
      <w:r w:rsidR="005F06F5" w:rsidRPr="00E04783">
        <w:rPr>
          <w:rFonts w:ascii="Lato" w:hAnsi="Lato"/>
          <w:sz w:val="24"/>
          <w:szCs w:val="24"/>
          <w:lang w:val="en-US"/>
        </w:rPr>
        <w:t>ions</w:t>
      </w:r>
      <w:r w:rsidR="00922E6E" w:rsidRPr="00E04783">
        <w:rPr>
          <w:rFonts w:ascii="Lato" w:hAnsi="Lato"/>
          <w:sz w:val="24"/>
          <w:szCs w:val="24"/>
          <w:lang w:val="en-US"/>
        </w:rPr>
        <w:t xml:space="preserve"> on the grounds of </w:t>
      </w:r>
      <w:r w:rsidR="002B2464" w:rsidRPr="00E04783">
        <w:rPr>
          <w:rFonts w:ascii="Lato" w:hAnsi="Lato"/>
          <w:sz w:val="24"/>
          <w:szCs w:val="24"/>
          <w:lang w:val="en-US"/>
        </w:rPr>
        <w:t>gender identity, 16 gender expression, and 14 on sex characteristics.</w:t>
      </w:r>
      <w:r w:rsidR="001A0AF5" w:rsidRPr="00E04783">
        <w:rPr>
          <w:rStyle w:val="FootnoteReference"/>
          <w:rFonts w:ascii="Lato" w:hAnsi="Lato"/>
          <w:sz w:val="24"/>
          <w:szCs w:val="24"/>
          <w:lang w:val="en-US"/>
        </w:rPr>
        <w:footnoteReference w:id="8"/>
      </w:r>
      <w:r w:rsidR="002B2464" w:rsidRPr="00E04783">
        <w:rPr>
          <w:rFonts w:ascii="Lato" w:hAnsi="Lato"/>
          <w:sz w:val="24"/>
          <w:szCs w:val="24"/>
          <w:lang w:val="en-US"/>
        </w:rPr>
        <w:t xml:space="preserve"> </w:t>
      </w:r>
      <w:r w:rsidR="0017055C" w:rsidRPr="00E04783">
        <w:rPr>
          <w:rFonts w:ascii="Lato" w:hAnsi="Lato"/>
          <w:sz w:val="24"/>
          <w:szCs w:val="24"/>
          <w:lang w:val="en-US"/>
        </w:rPr>
        <w:t xml:space="preserve">However, there is a growing trend of states offering </w:t>
      </w:r>
      <w:r w:rsidR="00C51618" w:rsidRPr="00E04783">
        <w:rPr>
          <w:rFonts w:ascii="Lato" w:hAnsi="Lato"/>
          <w:sz w:val="24"/>
          <w:szCs w:val="24"/>
          <w:lang w:val="en-US"/>
        </w:rPr>
        <w:t>such</w:t>
      </w:r>
      <w:r w:rsidR="0017055C" w:rsidRPr="00E04783">
        <w:rPr>
          <w:rFonts w:ascii="Lato" w:hAnsi="Lato"/>
          <w:sz w:val="24"/>
          <w:szCs w:val="24"/>
          <w:lang w:val="en-US"/>
        </w:rPr>
        <w:t xml:space="preserve"> protections in recent years. </w:t>
      </w:r>
    </w:p>
    <w:p w14:paraId="362377F2" w14:textId="4988A9AE" w:rsidR="00717DE1" w:rsidRPr="00E04783" w:rsidRDefault="00C51618" w:rsidP="000D2E42">
      <w:pPr>
        <w:jc w:val="both"/>
        <w:rPr>
          <w:lang w:val="en-US"/>
        </w:rPr>
      </w:pPr>
      <w:r w:rsidRPr="00E04783">
        <w:rPr>
          <w:rFonts w:ascii="Lato" w:hAnsi="Lato"/>
          <w:sz w:val="24"/>
          <w:szCs w:val="24"/>
          <w:lang w:val="en-US"/>
        </w:rPr>
        <w:t>First, t</w:t>
      </w:r>
      <w:r w:rsidR="0017055C" w:rsidRPr="00E04783">
        <w:rPr>
          <w:rFonts w:ascii="Lato" w:hAnsi="Lato"/>
          <w:sz w:val="24"/>
          <w:szCs w:val="24"/>
          <w:lang w:val="en-US"/>
        </w:rPr>
        <w:t>h</w:t>
      </w:r>
      <w:r w:rsidR="007603FF">
        <w:rPr>
          <w:rFonts w:ascii="Lato" w:hAnsi="Lato"/>
          <w:sz w:val="24"/>
          <w:szCs w:val="24"/>
          <w:lang w:val="en-US"/>
        </w:rPr>
        <w:t>e following</w:t>
      </w:r>
      <w:r w:rsidR="0017055C" w:rsidRPr="00E04783">
        <w:rPr>
          <w:rFonts w:ascii="Lato" w:hAnsi="Lato"/>
          <w:sz w:val="24"/>
          <w:szCs w:val="24"/>
          <w:lang w:val="en-US"/>
        </w:rPr>
        <w:t xml:space="preserve"> explores the </w:t>
      </w:r>
      <w:r w:rsidR="0017055C" w:rsidRPr="00E04783">
        <w:rPr>
          <w:rFonts w:ascii="Lato" w:hAnsi="Lato"/>
          <w:b/>
          <w:bCs/>
          <w:sz w:val="24"/>
          <w:szCs w:val="24"/>
          <w:lang w:val="en-US"/>
        </w:rPr>
        <w:t>recent positive developments</w:t>
      </w:r>
      <w:r w:rsidR="0017055C" w:rsidRPr="00E04783">
        <w:rPr>
          <w:rFonts w:ascii="Lato" w:hAnsi="Lato"/>
          <w:sz w:val="24"/>
          <w:szCs w:val="24"/>
          <w:lang w:val="en-US"/>
        </w:rPr>
        <w:t xml:space="preserve"> in housing legislation protections of SOGIESC persons. </w:t>
      </w:r>
      <w:r w:rsidR="008B0CC5">
        <w:rPr>
          <w:rFonts w:ascii="Lato" w:hAnsi="Lato"/>
          <w:sz w:val="24"/>
          <w:szCs w:val="24"/>
          <w:lang w:val="en-US"/>
        </w:rPr>
        <w:t xml:space="preserve">The </w:t>
      </w:r>
      <w:r w:rsidR="0017055C" w:rsidRPr="00E04783">
        <w:rPr>
          <w:rFonts w:ascii="Lato" w:hAnsi="Lato"/>
          <w:sz w:val="24"/>
          <w:szCs w:val="24"/>
          <w:lang w:val="en-US"/>
        </w:rPr>
        <w:t xml:space="preserve">subsequent section outlines examples of the </w:t>
      </w:r>
      <w:r w:rsidR="0017055C" w:rsidRPr="00E04783">
        <w:rPr>
          <w:rFonts w:ascii="Lato" w:hAnsi="Lato"/>
          <w:b/>
          <w:bCs/>
          <w:sz w:val="24"/>
          <w:szCs w:val="24"/>
          <w:lang w:val="en-US"/>
        </w:rPr>
        <w:t>lack of protections</w:t>
      </w:r>
      <w:r w:rsidR="0017055C" w:rsidRPr="00E04783">
        <w:rPr>
          <w:rFonts w:ascii="Lato" w:hAnsi="Lato"/>
          <w:sz w:val="24"/>
          <w:szCs w:val="24"/>
          <w:lang w:val="en-US"/>
        </w:rPr>
        <w:t xml:space="preserve"> of SOGIESC persons in housing legislation.</w:t>
      </w:r>
      <w:r w:rsidR="00DB7153" w:rsidRPr="00E04783">
        <w:rPr>
          <w:rFonts w:ascii="Lato" w:hAnsi="Lato"/>
          <w:sz w:val="24"/>
          <w:szCs w:val="24"/>
          <w:lang w:val="en-US"/>
        </w:rPr>
        <w:t xml:space="preserve"> These are divided into </w:t>
      </w:r>
      <w:r w:rsidR="003F5A66" w:rsidRPr="00E04783">
        <w:rPr>
          <w:rFonts w:ascii="Lato" w:hAnsi="Lato"/>
          <w:sz w:val="24"/>
          <w:szCs w:val="24"/>
          <w:lang w:val="en-US"/>
        </w:rPr>
        <w:t>sub</w:t>
      </w:r>
      <w:r w:rsidR="00DB7153" w:rsidRPr="00E04783">
        <w:rPr>
          <w:rFonts w:ascii="Lato" w:hAnsi="Lato"/>
          <w:sz w:val="24"/>
          <w:szCs w:val="24"/>
          <w:lang w:val="en-US"/>
        </w:rPr>
        <w:t xml:space="preserve">sections based on </w:t>
      </w:r>
      <w:r w:rsidR="008B0CC5">
        <w:rPr>
          <w:rFonts w:ascii="Lato" w:hAnsi="Lato"/>
          <w:sz w:val="24"/>
          <w:szCs w:val="24"/>
          <w:lang w:val="en-US"/>
        </w:rPr>
        <w:t xml:space="preserve">geographic </w:t>
      </w:r>
      <w:r w:rsidR="00DB7153" w:rsidRPr="00E04783">
        <w:rPr>
          <w:rFonts w:ascii="Lato" w:hAnsi="Lato"/>
          <w:sz w:val="24"/>
          <w:szCs w:val="24"/>
          <w:lang w:val="en-US"/>
        </w:rPr>
        <w:t xml:space="preserve">region. </w:t>
      </w:r>
    </w:p>
    <w:p w14:paraId="353EB63E" w14:textId="77777777" w:rsidR="00562218" w:rsidRDefault="00ED24A5" w:rsidP="00152F62">
      <w:pPr>
        <w:pStyle w:val="Heading4"/>
        <w:jc w:val="both"/>
        <w:rPr>
          <w:lang w:val="en-US"/>
        </w:rPr>
      </w:pPr>
      <w:r w:rsidRPr="00E04783">
        <w:rPr>
          <w:lang w:val="en-US"/>
        </w:rPr>
        <w:t>2.1.1 Recent positive development</w:t>
      </w:r>
      <w:r w:rsidR="00663E23" w:rsidRPr="00E04783">
        <w:rPr>
          <w:lang w:val="en-US"/>
        </w:rPr>
        <w:t>s</w:t>
      </w:r>
    </w:p>
    <w:p w14:paraId="709C26C1" w14:textId="28E00579" w:rsidR="002C0B18" w:rsidRPr="00E04783" w:rsidRDefault="002C0B18" w:rsidP="00152F62">
      <w:pPr>
        <w:pStyle w:val="Heading4"/>
        <w:jc w:val="both"/>
        <w:rPr>
          <w:rFonts w:ascii="Lato" w:hAnsi="Lato"/>
          <w:szCs w:val="24"/>
          <w:lang w:val="en-US"/>
        </w:rPr>
      </w:pPr>
      <w:r w:rsidRPr="00E04783">
        <w:rPr>
          <w:rFonts w:ascii="Lato" w:hAnsi="Lato"/>
          <w:szCs w:val="24"/>
          <w:lang w:val="en-US"/>
        </w:rPr>
        <w:t>Africa</w:t>
      </w:r>
    </w:p>
    <w:p w14:paraId="3187ABDB" w14:textId="5C0D9D80"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The 2019 National Housing Policy in </w:t>
      </w:r>
      <w:r w:rsidRPr="00E04783">
        <w:rPr>
          <w:rFonts w:ascii="Lato" w:hAnsi="Lato"/>
          <w:b/>
          <w:bCs/>
          <w:sz w:val="24"/>
          <w:szCs w:val="24"/>
          <w:lang w:val="en-US"/>
        </w:rPr>
        <w:t>Cape Verde</w:t>
      </w:r>
      <w:r w:rsidRPr="00E04783">
        <w:rPr>
          <w:rFonts w:ascii="Lato" w:hAnsi="Lato"/>
          <w:sz w:val="24"/>
          <w:szCs w:val="24"/>
          <w:lang w:val="en-US"/>
        </w:rPr>
        <w:t>, in Section 8, states it was established under the principle that regardless of their ‘sexual orientation’ everybody has a right to housing.</w:t>
      </w:r>
      <w:r w:rsidRPr="00E04783">
        <w:rPr>
          <w:rStyle w:val="FootnoteReference"/>
          <w:rFonts w:ascii="Lato" w:hAnsi="Lato"/>
          <w:sz w:val="24"/>
          <w:szCs w:val="24"/>
          <w:lang w:val="en-US"/>
        </w:rPr>
        <w:footnoteReference w:id="9"/>
      </w:r>
      <w:r w:rsidRPr="00E04783">
        <w:rPr>
          <w:rFonts w:ascii="Lato" w:hAnsi="Lato"/>
          <w:sz w:val="24"/>
          <w:szCs w:val="24"/>
          <w:lang w:val="en-US"/>
        </w:rPr>
        <w:t xml:space="preserve"> Furthermore, in 2021, it was reported that the National Commission for Human Rights and Citizenship (CNDHC) was drafting an anti-discrimination bill, ‘particularly regarding the lesbian, gay, bisexual transvestite, transsexual and intersex (LGBTI) community.’ In 2022, the draft bill was submitted to the Parliament for consideration.</w:t>
      </w:r>
      <w:r w:rsidRPr="00E04783">
        <w:rPr>
          <w:rStyle w:val="FootnoteReference"/>
          <w:rFonts w:ascii="Lato" w:hAnsi="Lato"/>
          <w:sz w:val="24"/>
          <w:szCs w:val="24"/>
          <w:lang w:val="en-US"/>
        </w:rPr>
        <w:footnoteReference w:id="10"/>
      </w:r>
      <w:r w:rsidR="00CB62BC">
        <w:rPr>
          <w:rFonts w:ascii="Lato" w:hAnsi="Lato"/>
          <w:sz w:val="24"/>
          <w:szCs w:val="24"/>
          <w:lang w:val="en-US"/>
        </w:rPr>
        <w:t xml:space="preserve"> As such, at present, t</w:t>
      </w:r>
      <w:r w:rsidR="00CB62BC" w:rsidRPr="00CB62BC">
        <w:rPr>
          <w:rFonts w:ascii="Lato" w:hAnsi="Lato"/>
          <w:sz w:val="24"/>
          <w:szCs w:val="24"/>
          <w:lang w:val="en-US"/>
        </w:rPr>
        <w:t xml:space="preserve">here is no legislation that protects against housing </w:t>
      </w:r>
      <w:r w:rsidR="00CB62BC" w:rsidRPr="00CB62BC">
        <w:rPr>
          <w:rFonts w:ascii="Lato" w:hAnsi="Lato"/>
          <w:sz w:val="24"/>
          <w:szCs w:val="24"/>
          <w:lang w:val="en-US"/>
        </w:rPr>
        <w:lastRenderedPageBreak/>
        <w:t xml:space="preserve">discrimination </w:t>
      </w:r>
      <w:r w:rsidR="00CB62BC">
        <w:rPr>
          <w:rFonts w:ascii="Lato" w:hAnsi="Lato"/>
          <w:sz w:val="24"/>
          <w:szCs w:val="24"/>
          <w:lang w:val="en-US"/>
        </w:rPr>
        <w:t>on the grounds of gender identity, gender expression or sex characteristics</w:t>
      </w:r>
      <w:r w:rsidR="00CB62BC" w:rsidRPr="00CB62BC">
        <w:rPr>
          <w:rFonts w:ascii="Lato" w:hAnsi="Lato"/>
          <w:sz w:val="24"/>
          <w:szCs w:val="24"/>
          <w:lang w:val="en-US"/>
        </w:rPr>
        <w:t xml:space="preserve"> in </w:t>
      </w:r>
      <w:r w:rsidR="00CB62BC">
        <w:rPr>
          <w:rFonts w:ascii="Lato" w:hAnsi="Lato"/>
          <w:sz w:val="24"/>
          <w:szCs w:val="24"/>
          <w:lang w:val="en-US"/>
        </w:rPr>
        <w:t>Cape Verde</w:t>
      </w:r>
      <w:r w:rsidR="00CB62BC" w:rsidRPr="00CB62BC">
        <w:rPr>
          <w:rFonts w:ascii="Lato" w:hAnsi="Lato"/>
          <w:sz w:val="24"/>
          <w:szCs w:val="24"/>
          <w:lang w:val="en-US"/>
        </w:rPr>
        <w:t>.</w:t>
      </w:r>
    </w:p>
    <w:p w14:paraId="3CD8C035" w14:textId="7D9B6103" w:rsidR="002C0B18" w:rsidRPr="00E04783" w:rsidRDefault="002C0B18" w:rsidP="00152F62">
      <w:pPr>
        <w:jc w:val="both"/>
        <w:rPr>
          <w:rFonts w:ascii="Lato" w:hAnsi="Lato"/>
          <w:sz w:val="24"/>
          <w:szCs w:val="24"/>
          <w:lang w:val="en-US"/>
        </w:rPr>
      </w:pPr>
      <w:r w:rsidRPr="00E04783">
        <w:rPr>
          <w:rFonts w:ascii="Lato" w:hAnsi="Lato"/>
          <w:b/>
          <w:bCs/>
          <w:sz w:val="24"/>
          <w:szCs w:val="24"/>
          <w:lang w:val="en-US"/>
        </w:rPr>
        <w:t>Mauritius</w:t>
      </w:r>
      <w:r w:rsidRPr="00E04783">
        <w:rPr>
          <w:rFonts w:ascii="Lato" w:hAnsi="Lato"/>
          <w:sz w:val="24"/>
          <w:szCs w:val="24"/>
          <w:lang w:val="en-US"/>
        </w:rPr>
        <w:t xml:space="preserve">’ 2008 Equal Opportunities Act includes </w:t>
      </w:r>
      <w:r w:rsidRPr="009C1723">
        <w:rPr>
          <w:rFonts w:ascii="Lato" w:hAnsi="Lato"/>
          <w:sz w:val="24"/>
          <w:szCs w:val="24"/>
          <w:lang w:val="en-US"/>
        </w:rPr>
        <w:t>sexual orientation</w:t>
      </w:r>
      <w:r w:rsidRPr="00E04783">
        <w:rPr>
          <w:rFonts w:ascii="Lato" w:hAnsi="Lato"/>
          <w:sz w:val="24"/>
          <w:szCs w:val="24"/>
          <w:lang w:val="en-US"/>
        </w:rPr>
        <w:t xml:space="preserve"> in the definition of ‘status’, defining it as ‘homosexuality (including lesbianism), bisexuality or heterosexuality.’</w:t>
      </w:r>
      <w:r w:rsidRPr="00E04783">
        <w:rPr>
          <w:rStyle w:val="FootnoteReference"/>
          <w:rFonts w:ascii="Lato" w:hAnsi="Lato"/>
          <w:sz w:val="24"/>
          <w:szCs w:val="24"/>
          <w:lang w:val="en-US"/>
        </w:rPr>
        <w:footnoteReference w:id="11"/>
      </w:r>
      <w:r w:rsidRPr="00E04783">
        <w:rPr>
          <w:rFonts w:ascii="Lato" w:hAnsi="Lato"/>
          <w:sz w:val="24"/>
          <w:szCs w:val="24"/>
          <w:lang w:val="en-US"/>
        </w:rPr>
        <w:t xml:space="preserve"> The Act applies to accommodation, such as housing.</w:t>
      </w:r>
      <w:r w:rsidRPr="00E04783">
        <w:rPr>
          <w:rStyle w:val="FootnoteReference"/>
          <w:rFonts w:ascii="Lato" w:hAnsi="Lato"/>
          <w:sz w:val="24"/>
          <w:szCs w:val="24"/>
          <w:lang w:val="en-US"/>
        </w:rPr>
        <w:footnoteReference w:id="12"/>
      </w:r>
      <w:r w:rsidR="009C1723">
        <w:rPr>
          <w:rFonts w:ascii="Lato" w:hAnsi="Lato"/>
          <w:sz w:val="24"/>
          <w:szCs w:val="24"/>
          <w:lang w:val="en-US"/>
        </w:rPr>
        <w:t xml:space="preserve"> However, currently t</w:t>
      </w:r>
      <w:r w:rsidR="009C1723" w:rsidRPr="00CB62BC">
        <w:rPr>
          <w:rFonts w:ascii="Lato" w:hAnsi="Lato"/>
          <w:sz w:val="24"/>
          <w:szCs w:val="24"/>
          <w:lang w:val="en-US"/>
        </w:rPr>
        <w:t xml:space="preserve">here is no legislation that protects against housing discrimination </w:t>
      </w:r>
      <w:r w:rsidR="009C1723">
        <w:rPr>
          <w:rFonts w:ascii="Lato" w:hAnsi="Lato"/>
          <w:sz w:val="24"/>
          <w:szCs w:val="24"/>
          <w:lang w:val="en-US"/>
        </w:rPr>
        <w:t>on the grounds of gender identity, gender expression or sex characteristics</w:t>
      </w:r>
      <w:r w:rsidR="009C1723" w:rsidRPr="00CB62BC">
        <w:rPr>
          <w:rFonts w:ascii="Lato" w:hAnsi="Lato"/>
          <w:sz w:val="24"/>
          <w:szCs w:val="24"/>
          <w:lang w:val="en-US"/>
        </w:rPr>
        <w:t xml:space="preserve"> in </w:t>
      </w:r>
      <w:r w:rsidR="009A5038">
        <w:rPr>
          <w:rFonts w:ascii="Lato" w:hAnsi="Lato"/>
          <w:sz w:val="24"/>
          <w:szCs w:val="24"/>
          <w:lang w:val="en-US"/>
        </w:rPr>
        <w:t>Mauritius</w:t>
      </w:r>
      <w:r w:rsidR="009C1723" w:rsidRPr="00CB62BC">
        <w:rPr>
          <w:rFonts w:ascii="Lato" w:hAnsi="Lato"/>
          <w:sz w:val="24"/>
          <w:szCs w:val="24"/>
          <w:lang w:val="en-US"/>
        </w:rPr>
        <w:t>.</w:t>
      </w:r>
    </w:p>
    <w:p w14:paraId="62528E50" w14:textId="0EBC4C5C"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South Africa</w:t>
      </w:r>
      <w:r w:rsidRPr="00E04783">
        <w:rPr>
          <w:rFonts w:ascii="Lato" w:hAnsi="Lato"/>
          <w:sz w:val="24"/>
          <w:szCs w:val="24"/>
          <w:lang w:val="en-US"/>
        </w:rPr>
        <w:t xml:space="preserve">, the Rental Housing Act (1999) ensures the protection of tenants from a landowner discriminating against them on the basis of </w:t>
      </w:r>
      <w:r w:rsidRPr="00C3768D">
        <w:rPr>
          <w:rFonts w:ascii="Lato" w:hAnsi="Lato"/>
          <w:sz w:val="24"/>
          <w:szCs w:val="24"/>
          <w:lang w:val="en-US"/>
        </w:rPr>
        <w:t>sexual orientation</w:t>
      </w:r>
      <w:r w:rsidRPr="00E04783">
        <w:rPr>
          <w:rFonts w:ascii="Lato" w:hAnsi="Lato"/>
          <w:sz w:val="24"/>
          <w:szCs w:val="24"/>
          <w:lang w:val="en-US"/>
        </w:rPr>
        <w:t>.</w:t>
      </w:r>
      <w:r w:rsidRPr="00E04783">
        <w:rPr>
          <w:rStyle w:val="FootnoteReference"/>
          <w:rFonts w:ascii="Lato" w:hAnsi="Lato"/>
          <w:sz w:val="24"/>
          <w:szCs w:val="24"/>
          <w:lang w:val="en-US"/>
        </w:rPr>
        <w:t xml:space="preserve"> </w:t>
      </w:r>
      <w:r w:rsidRPr="00E04783">
        <w:rPr>
          <w:rStyle w:val="FootnoteReference"/>
          <w:rFonts w:ascii="Lato" w:hAnsi="Lato"/>
          <w:sz w:val="24"/>
          <w:szCs w:val="24"/>
          <w:lang w:val="en-US"/>
        </w:rPr>
        <w:footnoteReference w:id="13"/>
      </w:r>
      <w:r w:rsidRPr="00E04783">
        <w:rPr>
          <w:rFonts w:ascii="Lato" w:hAnsi="Lato"/>
          <w:sz w:val="24"/>
          <w:szCs w:val="24"/>
          <w:lang w:val="en-US"/>
        </w:rPr>
        <w:t xml:space="preserve"> In 2005, the Judicial Matters Amendment Act (Act. No. 22) (2005) amended Section 1 of the Promotion of Equality and Prevention of Unfair Discrimination (Act No. 4) (2000) to include sexual orientation and sex</w:t>
      </w:r>
      <w:r w:rsidR="00F571FF">
        <w:rPr>
          <w:rFonts w:ascii="Lato" w:hAnsi="Lato"/>
          <w:sz w:val="24"/>
          <w:szCs w:val="24"/>
          <w:lang w:val="en-US"/>
        </w:rPr>
        <w:t>. This amendment o</w:t>
      </w:r>
      <w:r w:rsidRPr="00E04783">
        <w:rPr>
          <w:rFonts w:ascii="Lato" w:hAnsi="Lato"/>
          <w:sz w:val="24"/>
          <w:szCs w:val="24"/>
          <w:lang w:val="en-US"/>
        </w:rPr>
        <w:t>utlin</w:t>
      </w:r>
      <w:r w:rsidR="00F571FF">
        <w:rPr>
          <w:rFonts w:ascii="Lato" w:hAnsi="Lato"/>
          <w:sz w:val="24"/>
          <w:szCs w:val="24"/>
          <w:lang w:val="en-US"/>
        </w:rPr>
        <w:t>ed</w:t>
      </w:r>
      <w:r w:rsidRPr="00E04783">
        <w:rPr>
          <w:rFonts w:ascii="Lato" w:hAnsi="Lato"/>
          <w:sz w:val="24"/>
          <w:szCs w:val="24"/>
          <w:lang w:val="en-US"/>
        </w:rPr>
        <w:t xml:space="preserve"> that the term ‘sex’ includes ‘intersex’ as grounds for </w:t>
      </w:r>
      <w:r w:rsidR="00437453" w:rsidRPr="00E04783">
        <w:rPr>
          <w:rFonts w:ascii="Lato" w:hAnsi="Lato"/>
          <w:sz w:val="24"/>
          <w:szCs w:val="24"/>
          <w:lang w:val="en-US"/>
        </w:rPr>
        <w:t>discrimination and</w:t>
      </w:r>
      <w:r w:rsidRPr="00E04783">
        <w:rPr>
          <w:rFonts w:ascii="Lato" w:hAnsi="Lato"/>
          <w:sz w:val="24"/>
          <w:szCs w:val="24"/>
          <w:lang w:val="en-US"/>
        </w:rPr>
        <w:t xml:space="preserve"> defin</w:t>
      </w:r>
      <w:r w:rsidR="00F571FF">
        <w:rPr>
          <w:rFonts w:ascii="Lato" w:hAnsi="Lato"/>
          <w:sz w:val="24"/>
          <w:szCs w:val="24"/>
          <w:lang w:val="en-US"/>
        </w:rPr>
        <w:t>es</w:t>
      </w:r>
      <w:r w:rsidRPr="00E04783">
        <w:rPr>
          <w:rFonts w:ascii="Lato" w:hAnsi="Lato"/>
          <w:sz w:val="24"/>
          <w:szCs w:val="24"/>
          <w:lang w:val="en-US"/>
        </w:rPr>
        <w:t xml:space="preserve"> intersex as ‘a congenital sexual differentiation which is atypical to whatever degree.’</w:t>
      </w:r>
      <w:r w:rsidRPr="00E04783">
        <w:rPr>
          <w:rStyle w:val="FootnoteReference"/>
          <w:rFonts w:ascii="Lato" w:hAnsi="Lato"/>
          <w:sz w:val="24"/>
          <w:szCs w:val="24"/>
          <w:lang w:val="en-US"/>
        </w:rPr>
        <w:footnoteReference w:id="14"/>
      </w:r>
      <w:r w:rsidRPr="00E04783">
        <w:rPr>
          <w:rFonts w:ascii="Lato" w:hAnsi="Lato"/>
          <w:sz w:val="24"/>
          <w:szCs w:val="24"/>
          <w:lang w:val="en-US"/>
        </w:rPr>
        <w:t xml:space="preserve"> Housing is included under Section 6 of Act 4, which states</w:t>
      </w:r>
      <w:r w:rsidR="00F571FF">
        <w:rPr>
          <w:rFonts w:ascii="Lato" w:hAnsi="Lato"/>
          <w:sz w:val="24"/>
          <w:szCs w:val="24"/>
          <w:lang w:val="en-US"/>
        </w:rPr>
        <w:t xml:space="preserve"> that</w:t>
      </w:r>
      <w:r w:rsidRPr="00E04783">
        <w:rPr>
          <w:rFonts w:ascii="Lato" w:hAnsi="Lato"/>
          <w:sz w:val="24"/>
          <w:szCs w:val="24"/>
          <w:lang w:val="en-US"/>
        </w:rPr>
        <w:t xml:space="preserve"> ‘neither the State nor any person may unfairly discriminate against any person.’ Section 29 of this Act includes housing.</w:t>
      </w:r>
      <w:r w:rsidRPr="00E04783">
        <w:rPr>
          <w:rStyle w:val="FootnoteReference"/>
          <w:rFonts w:ascii="Lato" w:hAnsi="Lato"/>
          <w:sz w:val="24"/>
          <w:szCs w:val="24"/>
          <w:lang w:val="en-US"/>
        </w:rPr>
        <w:footnoteReference w:id="15"/>
      </w:r>
      <w:r w:rsidR="009A5038">
        <w:rPr>
          <w:rFonts w:ascii="Lato" w:hAnsi="Lato"/>
          <w:sz w:val="24"/>
          <w:szCs w:val="24"/>
          <w:lang w:val="en-US"/>
        </w:rPr>
        <w:t xml:space="preserve"> At present, t</w:t>
      </w:r>
      <w:r w:rsidR="009A5038" w:rsidRPr="00CB62BC">
        <w:rPr>
          <w:rFonts w:ascii="Lato" w:hAnsi="Lato"/>
          <w:sz w:val="24"/>
          <w:szCs w:val="24"/>
          <w:lang w:val="en-US"/>
        </w:rPr>
        <w:t xml:space="preserve">here is no legislation that protects against housing discrimination </w:t>
      </w:r>
      <w:r w:rsidR="009A5038">
        <w:rPr>
          <w:rFonts w:ascii="Lato" w:hAnsi="Lato"/>
          <w:sz w:val="24"/>
          <w:szCs w:val="24"/>
          <w:lang w:val="en-US"/>
        </w:rPr>
        <w:t>on the grounds of gender identity</w:t>
      </w:r>
      <w:r w:rsidR="00C3768D">
        <w:rPr>
          <w:rFonts w:ascii="Lato" w:hAnsi="Lato"/>
          <w:sz w:val="24"/>
          <w:szCs w:val="24"/>
          <w:lang w:val="en-US"/>
        </w:rPr>
        <w:t xml:space="preserve"> or</w:t>
      </w:r>
      <w:r w:rsidR="009A5038">
        <w:rPr>
          <w:rFonts w:ascii="Lato" w:hAnsi="Lato"/>
          <w:sz w:val="24"/>
          <w:szCs w:val="24"/>
          <w:lang w:val="en-US"/>
        </w:rPr>
        <w:t xml:space="preserve"> gender expression </w:t>
      </w:r>
      <w:r w:rsidR="009A5038" w:rsidRPr="00CB62BC">
        <w:rPr>
          <w:rFonts w:ascii="Lato" w:hAnsi="Lato"/>
          <w:sz w:val="24"/>
          <w:szCs w:val="24"/>
          <w:lang w:val="en-US"/>
        </w:rPr>
        <w:t xml:space="preserve">in </w:t>
      </w:r>
      <w:r w:rsidR="009A5038">
        <w:rPr>
          <w:rFonts w:ascii="Lato" w:hAnsi="Lato"/>
          <w:sz w:val="24"/>
          <w:szCs w:val="24"/>
          <w:lang w:val="en-US"/>
        </w:rPr>
        <w:t>South Africa</w:t>
      </w:r>
      <w:r w:rsidR="009A5038" w:rsidRPr="00CB62BC">
        <w:rPr>
          <w:rFonts w:ascii="Lato" w:hAnsi="Lato"/>
          <w:sz w:val="24"/>
          <w:szCs w:val="24"/>
          <w:lang w:val="en-US"/>
        </w:rPr>
        <w:t>.</w:t>
      </w:r>
    </w:p>
    <w:p w14:paraId="142A83D5" w14:textId="77777777" w:rsidR="002C0B18" w:rsidRPr="00E04783" w:rsidRDefault="002C0B18" w:rsidP="00152F62">
      <w:pPr>
        <w:pStyle w:val="Heading4"/>
        <w:jc w:val="both"/>
        <w:rPr>
          <w:rFonts w:ascii="Lato" w:hAnsi="Lato"/>
          <w:szCs w:val="24"/>
          <w:lang w:val="en-US"/>
        </w:rPr>
      </w:pPr>
      <w:r w:rsidRPr="00E04783">
        <w:rPr>
          <w:rFonts w:ascii="Lato" w:hAnsi="Lato"/>
          <w:szCs w:val="24"/>
          <w:lang w:val="en-US"/>
        </w:rPr>
        <w:t>Asia-Pacific</w:t>
      </w:r>
    </w:p>
    <w:p w14:paraId="2E813ABB" w14:textId="223CB823" w:rsidR="002105BB" w:rsidRPr="00E04783" w:rsidRDefault="002105BB" w:rsidP="002105BB">
      <w:pPr>
        <w:jc w:val="both"/>
        <w:rPr>
          <w:rFonts w:ascii="Lato" w:hAnsi="Lato"/>
          <w:sz w:val="24"/>
          <w:szCs w:val="24"/>
          <w:lang w:val="en-US"/>
        </w:rPr>
      </w:pPr>
      <w:r w:rsidRPr="00E04783">
        <w:rPr>
          <w:rFonts w:ascii="Lato" w:hAnsi="Lato"/>
          <w:sz w:val="24"/>
          <w:szCs w:val="24"/>
          <w:lang w:val="en-US"/>
        </w:rPr>
        <w:t xml:space="preserve">Nationwide legal protection against discrimination on the grounds of sexual orientation, gender identity, gender-related appearance or mannerisms and intersex status in </w:t>
      </w:r>
      <w:r w:rsidRPr="00E04783">
        <w:rPr>
          <w:rFonts w:ascii="Lato" w:hAnsi="Lato"/>
          <w:b/>
          <w:bCs/>
          <w:sz w:val="24"/>
          <w:szCs w:val="24"/>
          <w:lang w:val="en-US"/>
        </w:rPr>
        <w:t>Australia</w:t>
      </w:r>
      <w:r w:rsidRPr="00E04783">
        <w:rPr>
          <w:rFonts w:ascii="Lato" w:hAnsi="Lato"/>
          <w:sz w:val="24"/>
          <w:szCs w:val="24"/>
          <w:lang w:val="en-US"/>
        </w:rPr>
        <w:t xml:space="preserve"> was introduced in 2013 when the 1984 Sex Discrimination Act</w:t>
      </w:r>
      <w:r w:rsidRPr="00E04783">
        <w:rPr>
          <w:rStyle w:val="FootnoteReference"/>
          <w:rFonts w:ascii="Lato" w:hAnsi="Lato"/>
          <w:sz w:val="24"/>
          <w:szCs w:val="24"/>
          <w:lang w:val="en-US"/>
        </w:rPr>
        <w:footnoteReference w:id="16"/>
      </w:r>
      <w:r w:rsidRPr="00E04783">
        <w:rPr>
          <w:rFonts w:ascii="Lato" w:hAnsi="Lato"/>
          <w:sz w:val="24"/>
          <w:szCs w:val="24"/>
          <w:lang w:val="en-US"/>
        </w:rPr>
        <w:t xml:space="preserve"> was amended through the Sex Discrimination Amendment (Sexual Orientation, Gender Identity, and Intersex Status).</w:t>
      </w:r>
      <w:r w:rsidRPr="00E04783">
        <w:rPr>
          <w:rStyle w:val="FootnoteReference"/>
          <w:rFonts w:ascii="Lato" w:hAnsi="Lato"/>
          <w:sz w:val="24"/>
          <w:szCs w:val="24"/>
          <w:lang w:val="en-US"/>
        </w:rPr>
        <w:footnoteReference w:id="17"/>
      </w:r>
      <w:r w:rsidR="001A036F" w:rsidRPr="00E04783">
        <w:rPr>
          <w:rFonts w:ascii="Lato" w:hAnsi="Lato"/>
          <w:sz w:val="24"/>
          <w:szCs w:val="24"/>
          <w:lang w:val="en-US"/>
        </w:rPr>
        <w:t xml:space="preserve"> </w:t>
      </w:r>
      <w:r w:rsidRPr="00E04783">
        <w:rPr>
          <w:rFonts w:ascii="Lato" w:hAnsi="Lato"/>
          <w:sz w:val="24"/>
          <w:szCs w:val="24"/>
          <w:lang w:val="en-US"/>
        </w:rPr>
        <w:t>This amendment inclu</w:t>
      </w:r>
      <w:r w:rsidR="00282492">
        <w:rPr>
          <w:rFonts w:ascii="Lato" w:hAnsi="Lato"/>
          <w:sz w:val="24"/>
          <w:szCs w:val="24"/>
          <w:lang w:val="en-US"/>
        </w:rPr>
        <w:t>des</w:t>
      </w:r>
      <w:r w:rsidRPr="00E04783">
        <w:rPr>
          <w:rFonts w:ascii="Lato" w:hAnsi="Lato"/>
          <w:sz w:val="24"/>
          <w:szCs w:val="24"/>
          <w:lang w:val="en-US"/>
        </w:rPr>
        <w:t xml:space="preserve"> accommodation and facilities. Despite this, private religious-owned institutions, such as schools and hospitals, are exempt from this.</w:t>
      </w:r>
      <w:r w:rsidRPr="00E04783">
        <w:rPr>
          <w:rStyle w:val="FootnoteReference"/>
          <w:rFonts w:ascii="Lato" w:hAnsi="Lato"/>
          <w:sz w:val="24"/>
          <w:szCs w:val="24"/>
          <w:lang w:val="en-US"/>
        </w:rPr>
        <w:footnoteReference w:id="18"/>
      </w:r>
      <w:r w:rsidRPr="00E04783">
        <w:rPr>
          <w:rFonts w:ascii="Lato" w:hAnsi="Lato"/>
          <w:sz w:val="24"/>
          <w:szCs w:val="24"/>
          <w:lang w:val="en-US"/>
        </w:rPr>
        <w:t xml:space="preserve"> </w:t>
      </w:r>
    </w:p>
    <w:p w14:paraId="2EB6F6DE" w14:textId="16C8188F" w:rsidR="002105BB" w:rsidRPr="00E04783" w:rsidRDefault="0067397E" w:rsidP="002105BB">
      <w:pPr>
        <w:jc w:val="both"/>
        <w:rPr>
          <w:rFonts w:ascii="Lato" w:hAnsi="Lato"/>
          <w:sz w:val="24"/>
          <w:szCs w:val="24"/>
          <w:lang w:val="en-US"/>
        </w:rPr>
      </w:pPr>
      <w:r>
        <w:rPr>
          <w:rFonts w:ascii="Lato" w:hAnsi="Lato"/>
          <w:sz w:val="24"/>
          <w:szCs w:val="24"/>
          <w:lang w:val="en-US"/>
        </w:rPr>
        <w:t>Regardless of</w:t>
      </w:r>
      <w:r w:rsidR="00282492">
        <w:rPr>
          <w:rFonts w:ascii="Lato" w:hAnsi="Lato"/>
          <w:sz w:val="24"/>
          <w:szCs w:val="24"/>
          <w:lang w:val="en-US"/>
        </w:rPr>
        <w:t xml:space="preserve"> this protection, t</w:t>
      </w:r>
      <w:r w:rsidR="002105BB" w:rsidRPr="00E04783">
        <w:rPr>
          <w:rFonts w:ascii="Lato" w:hAnsi="Lato"/>
          <w:sz w:val="24"/>
          <w:szCs w:val="24"/>
          <w:lang w:val="en-US"/>
        </w:rPr>
        <w:t xml:space="preserve">he </w:t>
      </w:r>
      <w:hyperlink r:id="rId11" w:history="1">
        <w:r w:rsidR="002105BB" w:rsidRPr="00282492">
          <w:rPr>
            <w:rStyle w:val="Hyperlink"/>
            <w:rFonts w:ascii="Lato" w:hAnsi="Lato"/>
            <w:sz w:val="24"/>
            <w:szCs w:val="24"/>
            <w:lang w:val="en-US"/>
          </w:rPr>
          <w:t>Victorian Pride Lobby</w:t>
        </w:r>
      </w:hyperlink>
      <w:r w:rsidR="002105BB" w:rsidRPr="00E04783">
        <w:rPr>
          <w:rFonts w:ascii="Lato" w:hAnsi="Lato"/>
          <w:sz w:val="24"/>
          <w:szCs w:val="24"/>
          <w:lang w:val="en-US"/>
        </w:rPr>
        <w:t xml:space="preserve"> conducted a survey on LGBTI homelessness and housing in Ballarat, a regional town in Australia. This survey showed that some respondents were kicked out of their family home</w:t>
      </w:r>
      <w:r w:rsidR="00282492">
        <w:rPr>
          <w:rFonts w:ascii="Lato" w:hAnsi="Lato"/>
          <w:sz w:val="24"/>
          <w:szCs w:val="24"/>
          <w:lang w:val="en-US"/>
        </w:rPr>
        <w:t>s</w:t>
      </w:r>
      <w:r w:rsidR="002105BB" w:rsidRPr="00E04783">
        <w:rPr>
          <w:rFonts w:ascii="Lato" w:hAnsi="Lato"/>
          <w:sz w:val="24"/>
          <w:szCs w:val="24"/>
          <w:lang w:val="en-US"/>
        </w:rPr>
        <w:t xml:space="preserve"> due to their sexual orientation or gender identity. These respondents experienced periods of homelessness or insecure housing. Victoria-wide, 47.5% of LGBTIQ people have </w:t>
      </w:r>
      <w:r w:rsidR="002105BB" w:rsidRPr="00E04783">
        <w:rPr>
          <w:rFonts w:ascii="Lato" w:hAnsi="Lato"/>
          <w:sz w:val="24"/>
          <w:szCs w:val="24"/>
          <w:lang w:val="en-US"/>
        </w:rPr>
        <w:lastRenderedPageBreak/>
        <w:t>experienced homelessness, housing insecurity or have been at risk of homelessness.</w:t>
      </w:r>
      <w:r w:rsidR="002105BB" w:rsidRPr="00E04783">
        <w:rPr>
          <w:rStyle w:val="FootnoteReference"/>
          <w:rFonts w:ascii="Lato" w:hAnsi="Lato"/>
          <w:sz w:val="24"/>
          <w:szCs w:val="24"/>
          <w:lang w:val="en-US"/>
        </w:rPr>
        <w:footnoteReference w:id="19"/>
      </w:r>
      <w:r w:rsidR="002105BB" w:rsidRPr="00E04783">
        <w:rPr>
          <w:rFonts w:ascii="Lato" w:hAnsi="Lato"/>
          <w:sz w:val="24"/>
          <w:szCs w:val="24"/>
          <w:lang w:val="en-US"/>
        </w:rPr>
        <w:t xml:space="preserve"> Furthermore, 36.1% of respondents reported that they had faced discrimination in housing and or/accessing homelessness services (including being refused a home evicted).</w:t>
      </w:r>
      <w:r w:rsidR="002105BB" w:rsidRPr="00E04783">
        <w:rPr>
          <w:rStyle w:val="FootnoteReference"/>
          <w:rFonts w:ascii="Lato" w:hAnsi="Lato"/>
          <w:sz w:val="24"/>
          <w:szCs w:val="24"/>
          <w:lang w:val="en-US"/>
        </w:rPr>
        <w:footnoteReference w:id="20"/>
      </w:r>
    </w:p>
    <w:p w14:paraId="636EB8C0" w14:textId="77777777" w:rsidR="0067397E" w:rsidRDefault="002105BB" w:rsidP="00152F62">
      <w:pPr>
        <w:jc w:val="both"/>
        <w:rPr>
          <w:rFonts w:ascii="Lato" w:hAnsi="Lato"/>
          <w:sz w:val="24"/>
          <w:szCs w:val="24"/>
          <w:lang w:val="en-US"/>
        </w:rPr>
      </w:pPr>
      <w:r w:rsidRPr="00E04783">
        <w:rPr>
          <w:rFonts w:ascii="Lato" w:hAnsi="Lato"/>
          <w:sz w:val="24"/>
          <w:szCs w:val="24"/>
          <w:lang w:val="en-US"/>
        </w:rPr>
        <w:t>Furthermore, the following testimonial of an Australia</w:t>
      </w:r>
      <w:r w:rsidR="00282492">
        <w:rPr>
          <w:rFonts w:ascii="Lato" w:hAnsi="Lato"/>
          <w:sz w:val="24"/>
          <w:szCs w:val="24"/>
          <w:lang w:val="en-US"/>
        </w:rPr>
        <w:t>n activist</w:t>
      </w:r>
      <w:r w:rsidRPr="00E04783">
        <w:rPr>
          <w:rFonts w:ascii="Lato" w:hAnsi="Lato"/>
          <w:sz w:val="24"/>
          <w:szCs w:val="24"/>
          <w:lang w:val="en-US"/>
        </w:rPr>
        <w:t xml:space="preserve"> recounts their experiences of navigating homelessness, insecure housing, disability, and poverty after coming out as trans. They have observed an epidemic of hidden homelessness in their community, with many poor or unemployed trans people ‘couch surfing’ or living in crowded conditions and shared housing</w:t>
      </w:r>
      <w:r w:rsidR="0067397E">
        <w:rPr>
          <w:rFonts w:ascii="Lato" w:hAnsi="Lato"/>
          <w:sz w:val="24"/>
          <w:szCs w:val="24"/>
          <w:lang w:val="en-US"/>
        </w:rPr>
        <w:t xml:space="preserve">: </w:t>
      </w:r>
    </w:p>
    <w:p w14:paraId="5BFC4BB0" w14:textId="13D68F72" w:rsidR="002105BB" w:rsidRPr="00E04783" w:rsidRDefault="00A94891" w:rsidP="00152F62">
      <w:pPr>
        <w:jc w:val="both"/>
        <w:rPr>
          <w:rFonts w:ascii="Lato" w:hAnsi="Lato"/>
          <w:sz w:val="24"/>
          <w:szCs w:val="24"/>
          <w:lang w:val="en-US"/>
        </w:rPr>
      </w:pPr>
      <w:r w:rsidRPr="00B742C8">
        <w:rPr>
          <w:rFonts w:ascii="Lato" w:hAnsi="Lato"/>
          <w:i/>
          <w:sz w:val="24"/>
          <w:szCs w:val="24"/>
          <w:lang w:val="en-US"/>
        </w:rPr>
        <w:t>M</w:t>
      </w:r>
      <w:r w:rsidR="002105BB" w:rsidRPr="00B742C8">
        <w:rPr>
          <w:rFonts w:ascii="Lato" w:hAnsi="Lato"/>
          <w:i/>
          <w:sz w:val="24"/>
          <w:szCs w:val="24"/>
          <w:lang w:val="en-US"/>
        </w:rPr>
        <w:t xml:space="preserve">any trans people struggle to find work due to </w:t>
      </w:r>
      <w:r w:rsidRPr="00B742C8">
        <w:rPr>
          <w:rFonts w:ascii="Lato" w:hAnsi="Lato"/>
          <w:i/>
          <w:sz w:val="24"/>
          <w:szCs w:val="24"/>
          <w:lang w:val="en-US"/>
        </w:rPr>
        <w:t xml:space="preserve">both </w:t>
      </w:r>
      <w:r w:rsidR="002105BB" w:rsidRPr="00B742C8">
        <w:rPr>
          <w:rFonts w:ascii="Lato" w:hAnsi="Lato"/>
          <w:i/>
          <w:sz w:val="24"/>
          <w:szCs w:val="24"/>
          <w:lang w:val="en-US"/>
        </w:rPr>
        <w:t xml:space="preserve">discrimination and the expensive housing market, </w:t>
      </w:r>
      <w:r w:rsidRPr="00B742C8">
        <w:rPr>
          <w:rFonts w:ascii="Lato" w:hAnsi="Lato"/>
          <w:i/>
          <w:sz w:val="24"/>
          <w:szCs w:val="24"/>
          <w:lang w:val="en-US"/>
        </w:rPr>
        <w:t>in which</w:t>
      </w:r>
      <w:r w:rsidR="002105BB" w:rsidRPr="00B742C8">
        <w:rPr>
          <w:rFonts w:ascii="Lato" w:hAnsi="Lato"/>
          <w:i/>
          <w:sz w:val="24"/>
          <w:szCs w:val="24"/>
          <w:lang w:val="en-US"/>
        </w:rPr>
        <w:t xml:space="preserve"> only the highest paid workers can afford housing in the cities where there are services that provide support for trans people. Often, people in this community resolve to living in overcrowded or poor conditions in cities, in order to access services. The other option is to live in a regional area, and face discrimination and lack of access to community and affirmation. In their experience, few government housing programs </w:t>
      </w:r>
      <w:r w:rsidR="003170AF" w:rsidRPr="00B742C8">
        <w:rPr>
          <w:rFonts w:ascii="Lato" w:hAnsi="Lato"/>
          <w:i/>
          <w:sz w:val="24"/>
          <w:szCs w:val="24"/>
          <w:lang w:val="en-US"/>
        </w:rPr>
        <w:t xml:space="preserve">are seeking to </w:t>
      </w:r>
      <w:r w:rsidR="005C6299" w:rsidRPr="00B742C8">
        <w:rPr>
          <w:rFonts w:ascii="Lato" w:hAnsi="Lato"/>
          <w:i/>
          <w:sz w:val="24"/>
          <w:szCs w:val="24"/>
          <w:lang w:val="en-US"/>
        </w:rPr>
        <w:t xml:space="preserve">address this issue, or are willing to </w:t>
      </w:r>
      <w:r w:rsidR="002105BB" w:rsidRPr="00B742C8">
        <w:rPr>
          <w:rFonts w:ascii="Lato" w:hAnsi="Lato"/>
          <w:i/>
          <w:sz w:val="24"/>
          <w:szCs w:val="24"/>
          <w:lang w:val="en-US"/>
        </w:rPr>
        <w:t>acknowledge that LGBTIQ+ people are at higher risk of homelessness, despite trans people suffering from higher rates of suicidality, mental illness and drug and alcohol abuse, which is exacerbated by lack of access to secure, stable housing</w:t>
      </w:r>
      <w:r w:rsidR="002105BB" w:rsidRPr="00E04783">
        <w:rPr>
          <w:rFonts w:ascii="Lato" w:hAnsi="Lato"/>
          <w:sz w:val="24"/>
          <w:szCs w:val="24"/>
          <w:lang w:val="en-US"/>
        </w:rPr>
        <w:t>.</w:t>
      </w:r>
      <w:r w:rsidR="002105BB" w:rsidRPr="00E04783">
        <w:rPr>
          <w:rStyle w:val="FootnoteReference"/>
          <w:rFonts w:ascii="Lato" w:hAnsi="Lato"/>
          <w:sz w:val="24"/>
          <w:szCs w:val="24"/>
          <w:lang w:val="en-US"/>
        </w:rPr>
        <w:footnoteReference w:id="21"/>
      </w:r>
    </w:p>
    <w:p w14:paraId="110E2BCB" w14:textId="5D9D3C17"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Although there are no legal protections, in April 2022, section 3 of the Anti-Discrimination Bill was submitted by </w:t>
      </w:r>
      <w:r w:rsidRPr="00E04783">
        <w:rPr>
          <w:rFonts w:ascii="Lato" w:hAnsi="Lato"/>
          <w:b/>
          <w:bCs/>
          <w:sz w:val="24"/>
          <w:szCs w:val="24"/>
          <w:lang w:val="en-US"/>
        </w:rPr>
        <w:t>Bangladeshi</w:t>
      </w:r>
      <w:r w:rsidRPr="00E04783">
        <w:rPr>
          <w:rFonts w:ascii="Lato" w:hAnsi="Lato"/>
          <w:sz w:val="24"/>
          <w:szCs w:val="24"/>
          <w:lang w:val="en-US"/>
        </w:rPr>
        <w:t xml:space="preserve"> parliamentarians proposed legislation that distinguishes discrimination against </w:t>
      </w:r>
      <w:r w:rsidRPr="00927978">
        <w:rPr>
          <w:rFonts w:ascii="Lato" w:hAnsi="Lato"/>
          <w:sz w:val="24"/>
          <w:szCs w:val="24"/>
          <w:lang w:val="en-US"/>
        </w:rPr>
        <w:t>third gender people</w:t>
      </w:r>
      <w:r w:rsidRPr="00E04783">
        <w:rPr>
          <w:rFonts w:ascii="Lato" w:hAnsi="Lato"/>
          <w:sz w:val="24"/>
          <w:szCs w:val="24"/>
          <w:lang w:val="en-US"/>
        </w:rPr>
        <w:t xml:space="preserve"> and sets up a bureaucratic process to report discrimination. </w:t>
      </w:r>
      <w:r w:rsidR="0067397E">
        <w:rPr>
          <w:rFonts w:ascii="Lato" w:hAnsi="Lato"/>
          <w:sz w:val="24"/>
          <w:szCs w:val="24"/>
          <w:lang w:val="en-US"/>
        </w:rPr>
        <w:t>However, many a</w:t>
      </w:r>
      <w:r w:rsidRPr="00E04783">
        <w:rPr>
          <w:rFonts w:ascii="Lato" w:hAnsi="Lato"/>
          <w:sz w:val="24"/>
          <w:szCs w:val="24"/>
          <w:lang w:val="en-US"/>
        </w:rPr>
        <w:t xml:space="preserve">ctivists have voiced that </w:t>
      </w:r>
      <w:r w:rsidR="0067397E">
        <w:rPr>
          <w:rFonts w:ascii="Lato" w:hAnsi="Lato"/>
          <w:sz w:val="24"/>
          <w:szCs w:val="24"/>
          <w:lang w:val="en-US"/>
        </w:rPr>
        <w:t xml:space="preserve">the </w:t>
      </w:r>
      <w:r w:rsidR="005C6299" w:rsidRPr="00E04783">
        <w:rPr>
          <w:rFonts w:ascii="Lato" w:hAnsi="Lato"/>
          <w:sz w:val="24"/>
          <w:szCs w:val="24"/>
          <w:lang w:val="en-US"/>
        </w:rPr>
        <w:t>recogni</w:t>
      </w:r>
      <w:r w:rsidR="0067397E">
        <w:rPr>
          <w:rFonts w:ascii="Lato" w:hAnsi="Lato"/>
          <w:sz w:val="24"/>
          <w:szCs w:val="24"/>
          <w:lang w:val="en-US"/>
        </w:rPr>
        <w:t>tion of</w:t>
      </w:r>
      <w:r w:rsidR="00B742C8">
        <w:rPr>
          <w:rFonts w:ascii="Lato" w:hAnsi="Lato"/>
          <w:sz w:val="24"/>
          <w:szCs w:val="24"/>
          <w:lang w:val="en-US"/>
        </w:rPr>
        <w:t xml:space="preserve"> </w:t>
      </w:r>
      <w:r w:rsidR="0067397E">
        <w:rPr>
          <w:rFonts w:ascii="Lato" w:hAnsi="Lato"/>
          <w:sz w:val="24"/>
          <w:szCs w:val="24"/>
          <w:lang w:val="en-US"/>
        </w:rPr>
        <w:t>diverse</w:t>
      </w:r>
      <w:r w:rsidRPr="00E04783">
        <w:rPr>
          <w:rFonts w:ascii="Lato" w:hAnsi="Lato"/>
          <w:sz w:val="24"/>
          <w:szCs w:val="24"/>
          <w:lang w:val="en-US"/>
        </w:rPr>
        <w:t xml:space="preserve"> gender identit</w:t>
      </w:r>
      <w:r w:rsidR="0067397E">
        <w:rPr>
          <w:rFonts w:ascii="Lato" w:hAnsi="Lato"/>
          <w:sz w:val="24"/>
          <w:szCs w:val="24"/>
          <w:lang w:val="en-US"/>
        </w:rPr>
        <w:t>ies</w:t>
      </w:r>
      <w:r w:rsidRPr="00E04783">
        <w:rPr>
          <w:rFonts w:ascii="Lato" w:hAnsi="Lato"/>
          <w:sz w:val="24"/>
          <w:szCs w:val="24"/>
          <w:lang w:val="en-US"/>
        </w:rPr>
        <w:t xml:space="preserve"> </w:t>
      </w:r>
      <w:r w:rsidR="0067397E">
        <w:rPr>
          <w:rFonts w:ascii="Lato" w:hAnsi="Lato"/>
          <w:sz w:val="24"/>
          <w:szCs w:val="24"/>
          <w:lang w:val="en-US"/>
        </w:rPr>
        <w:t>would</w:t>
      </w:r>
      <w:r w:rsidRPr="00E04783">
        <w:rPr>
          <w:rFonts w:ascii="Lato" w:hAnsi="Lato"/>
          <w:sz w:val="24"/>
          <w:szCs w:val="24"/>
          <w:lang w:val="en-US"/>
        </w:rPr>
        <w:t xml:space="preserve"> be more inclusive and expand protections. Under this bill, evicting any person, imposing onerous rent conditions, and refusing rent is </w:t>
      </w:r>
      <w:r w:rsidR="005C6299" w:rsidRPr="00E04783">
        <w:rPr>
          <w:rFonts w:ascii="Lato" w:hAnsi="Lato"/>
          <w:sz w:val="24"/>
          <w:szCs w:val="24"/>
          <w:lang w:val="en-US"/>
        </w:rPr>
        <w:t>recognized</w:t>
      </w:r>
      <w:r w:rsidRPr="00E04783">
        <w:rPr>
          <w:rFonts w:ascii="Lato" w:hAnsi="Lato"/>
          <w:sz w:val="24"/>
          <w:szCs w:val="24"/>
          <w:lang w:val="en-US"/>
        </w:rPr>
        <w:t xml:space="preserve"> as discrimination.</w:t>
      </w:r>
      <w:r w:rsidRPr="00E04783">
        <w:rPr>
          <w:rStyle w:val="FootnoteReference"/>
          <w:rFonts w:ascii="Lato" w:hAnsi="Lato"/>
          <w:sz w:val="24"/>
          <w:szCs w:val="24"/>
          <w:lang w:val="en-US"/>
        </w:rPr>
        <w:footnoteReference w:id="22"/>
      </w:r>
      <w:r w:rsidR="00927978">
        <w:rPr>
          <w:rFonts w:ascii="Lato" w:hAnsi="Lato"/>
          <w:sz w:val="24"/>
          <w:szCs w:val="24"/>
          <w:lang w:val="en-US"/>
        </w:rPr>
        <w:t xml:space="preserve"> Despite this development, at present, t</w:t>
      </w:r>
      <w:r w:rsidR="00927978" w:rsidRPr="00CB62BC">
        <w:rPr>
          <w:rFonts w:ascii="Lato" w:hAnsi="Lato"/>
          <w:sz w:val="24"/>
          <w:szCs w:val="24"/>
          <w:lang w:val="en-US"/>
        </w:rPr>
        <w:t xml:space="preserve">here is no legislation that protects against housing discrimination </w:t>
      </w:r>
      <w:r w:rsidR="00927978">
        <w:rPr>
          <w:rFonts w:ascii="Lato" w:hAnsi="Lato"/>
          <w:sz w:val="24"/>
          <w:szCs w:val="24"/>
          <w:lang w:val="en-US"/>
        </w:rPr>
        <w:t xml:space="preserve">on the grounds of sexual orientation, gender identity, gender expression or sex characteristics </w:t>
      </w:r>
      <w:r w:rsidR="00927978" w:rsidRPr="00CB62BC">
        <w:rPr>
          <w:rFonts w:ascii="Lato" w:hAnsi="Lato"/>
          <w:sz w:val="24"/>
          <w:szCs w:val="24"/>
          <w:lang w:val="en-US"/>
        </w:rPr>
        <w:t xml:space="preserve">in </w:t>
      </w:r>
      <w:r w:rsidR="00927978">
        <w:rPr>
          <w:rFonts w:ascii="Lato" w:hAnsi="Lato"/>
          <w:sz w:val="24"/>
          <w:szCs w:val="24"/>
          <w:lang w:val="en-US"/>
        </w:rPr>
        <w:t>Bangladesh</w:t>
      </w:r>
      <w:r w:rsidR="00927978" w:rsidRPr="00CB62BC">
        <w:rPr>
          <w:rFonts w:ascii="Lato" w:hAnsi="Lato"/>
          <w:sz w:val="24"/>
          <w:szCs w:val="24"/>
          <w:lang w:val="en-US"/>
        </w:rPr>
        <w:t>.</w:t>
      </w:r>
    </w:p>
    <w:p w14:paraId="67B2B228" w14:textId="6D6D8B28"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the </w:t>
      </w:r>
      <w:r w:rsidRPr="00E04783">
        <w:rPr>
          <w:rFonts w:ascii="Lato" w:hAnsi="Lato"/>
          <w:b/>
          <w:bCs/>
          <w:sz w:val="24"/>
          <w:szCs w:val="24"/>
          <w:lang w:val="en-US"/>
        </w:rPr>
        <w:t>Micronesian</w:t>
      </w:r>
      <w:r w:rsidRPr="00E04783">
        <w:rPr>
          <w:rFonts w:ascii="Lato" w:hAnsi="Lato"/>
          <w:sz w:val="24"/>
          <w:szCs w:val="24"/>
          <w:lang w:val="en-US"/>
        </w:rPr>
        <w:t xml:space="preserve"> Congress, Bill No. 20-258 (2018)</w:t>
      </w:r>
      <w:r w:rsidRPr="00E04783">
        <w:rPr>
          <w:rStyle w:val="FootnoteReference"/>
          <w:rFonts w:ascii="Lato" w:hAnsi="Lato"/>
          <w:sz w:val="24"/>
          <w:szCs w:val="24"/>
          <w:lang w:val="en-US"/>
        </w:rPr>
        <w:footnoteReference w:id="23"/>
      </w:r>
      <w:r w:rsidRPr="00E04783">
        <w:rPr>
          <w:rFonts w:ascii="Lato" w:hAnsi="Lato"/>
          <w:sz w:val="24"/>
          <w:szCs w:val="24"/>
          <w:lang w:val="en-US"/>
        </w:rPr>
        <w:t xml:space="preserve"> in Chapter 1 of the Code of the Federated States of Micronesia (2014)</w:t>
      </w:r>
      <w:r w:rsidRPr="00E04783">
        <w:rPr>
          <w:rStyle w:val="FootnoteReference"/>
          <w:rFonts w:ascii="Lato" w:hAnsi="Lato"/>
          <w:sz w:val="24"/>
          <w:szCs w:val="24"/>
          <w:lang w:val="en-US"/>
        </w:rPr>
        <w:footnoteReference w:id="24"/>
      </w:r>
      <w:r w:rsidRPr="00E04783">
        <w:rPr>
          <w:rFonts w:ascii="Lato" w:hAnsi="Lato"/>
          <w:sz w:val="24"/>
          <w:szCs w:val="24"/>
          <w:lang w:val="en-US"/>
        </w:rPr>
        <w:t xml:space="preserve"> updated the country’s anti-discrimination law with Article 107 which includes </w:t>
      </w:r>
      <w:r w:rsidRPr="00F536B6">
        <w:rPr>
          <w:rFonts w:ascii="Lato" w:hAnsi="Lato"/>
          <w:sz w:val="24"/>
          <w:szCs w:val="24"/>
          <w:lang w:val="en-US"/>
        </w:rPr>
        <w:t>sex orientation</w:t>
      </w:r>
      <w:r w:rsidRPr="00E04783">
        <w:rPr>
          <w:rFonts w:ascii="Lato" w:hAnsi="Lato"/>
          <w:sz w:val="24"/>
          <w:szCs w:val="24"/>
          <w:lang w:val="en-US"/>
        </w:rPr>
        <w:t xml:space="preserve"> for anti-discrimination. This includes housing, as this prohibition is expressed in broad terms.</w:t>
      </w:r>
      <w:r w:rsidR="00F536B6" w:rsidRPr="00F536B6">
        <w:rPr>
          <w:rFonts w:ascii="Lato" w:hAnsi="Lato"/>
          <w:sz w:val="24"/>
          <w:szCs w:val="24"/>
          <w:lang w:val="en-US"/>
        </w:rPr>
        <w:t xml:space="preserve"> </w:t>
      </w:r>
      <w:r w:rsidR="00F536B6">
        <w:rPr>
          <w:rFonts w:ascii="Lato" w:hAnsi="Lato"/>
          <w:sz w:val="24"/>
          <w:szCs w:val="24"/>
          <w:lang w:val="en-US"/>
        </w:rPr>
        <w:t>Currently, t</w:t>
      </w:r>
      <w:r w:rsidR="00F536B6" w:rsidRPr="00CB62BC">
        <w:rPr>
          <w:rFonts w:ascii="Lato" w:hAnsi="Lato"/>
          <w:sz w:val="24"/>
          <w:szCs w:val="24"/>
          <w:lang w:val="en-US"/>
        </w:rPr>
        <w:t xml:space="preserve">here is no legislation </w:t>
      </w:r>
      <w:r w:rsidR="00F536B6" w:rsidRPr="00CB62BC">
        <w:rPr>
          <w:rFonts w:ascii="Lato" w:hAnsi="Lato"/>
          <w:sz w:val="24"/>
          <w:szCs w:val="24"/>
          <w:lang w:val="en-US"/>
        </w:rPr>
        <w:lastRenderedPageBreak/>
        <w:t xml:space="preserve">that protects against housing discrimination </w:t>
      </w:r>
      <w:r w:rsidR="00F536B6">
        <w:rPr>
          <w:rFonts w:ascii="Lato" w:hAnsi="Lato"/>
          <w:sz w:val="24"/>
          <w:szCs w:val="24"/>
          <w:lang w:val="en-US"/>
        </w:rPr>
        <w:t xml:space="preserve">on the grounds of gender identity, gender expression or sex characteristics </w:t>
      </w:r>
      <w:r w:rsidR="00F536B6" w:rsidRPr="00CB62BC">
        <w:rPr>
          <w:rFonts w:ascii="Lato" w:hAnsi="Lato"/>
          <w:sz w:val="24"/>
          <w:szCs w:val="24"/>
          <w:lang w:val="en-US"/>
        </w:rPr>
        <w:t xml:space="preserve">in </w:t>
      </w:r>
      <w:r w:rsidR="00F536B6">
        <w:rPr>
          <w:rFonts w:ascii="Lato" w:hAnsi="Lato"/>
          <w:sz w:val="24"/>
          <w:szCs w:val="24"/>
          <w:lang w:val="en-US"/>
        </w:rPr>
        <w:t>Micronesia</w:t>
      </w:r>
      <w:r w:rsidR="00F536B6" w:rsidRPr="00CB62BC">
        <w:rPr>
          <w:rFonts w:ascii="Lato" w:hAnsi="Lato"/>
          <w:sz w:val="24"/>
          <w:szCs w:val="24"/>
          <w:lang w:val="en-US"/>
        </w:rPr>
        <w:t>.</w:t>
      </w:r>
    </w:p>
    <w:p w14:paraId="4D699733" w14:textId="2384D729"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Mongolia</w:t>
      </w:r>
      <w:r w:rsidRPr="00E04783">
        <w:rPr>
          <w:rFonts w:ascii="Lato" w:hAnsi="Lato"/>
          <w:sz w:val="24"/>
          <w:szCs w:val="24"/>
          <w:lang w:val="en-US"/>
        </w:rPr>
        <w:t xml:space="preserve">, </w:t>
      </w:r>
      <w:r w:rsidR="0033119D">
        <w:rPr>
          <w:rFonts w:ascii="Lato" w:hAnsi="Lato"/>
          <w:sz w:val="24"/>
          <w:szCs w:val="24"/>
          <w:lang w:val="en-US"/>
        </w:rPr>
        <w:t xml:space="preserve">the </w:t>
      </w:r>
      <w:r w:rsidRPr="00E04783">
        <w:rPr>
          <w:rFonts w:ascii="Lato" w:hAnsi="Lato"/>
          <w:sz w:val="24"/>
          <w:szCs w:val="24"/>
          <w:lang w:val="en-US"/>
        </w:rPr>
        <w:t>2015 Penal Code</w:t>
      </w:r>
      <w:r w:rsidRPr="00E04783">
        <w:rPr>
          <w:rStyle w:val="FootnoteReference"/>
          <w:rFonts w:ascii="Lato" w:hAnsi="Lato"/>
          <w:sz w:val="24"/>
          <w:szCs w:val="24"/>
          <w:lang w:val="en-US"/>
        </w:rPr>
        <w:footnoteReference w:id="25"/>
      </w:r>
      <w:r w:rsidRPr="00E04783">
        <w:rPr>
          <w:rFonts w:ascii="Lato" w:hAnsi="Lato"/>
          <w:sz w:val="24"/>
          <w:szCs w:val="24"/>
          <w:lang w:val="en-US"/>
        </w:rPr>
        <w:t xml:space="preserve"> </w:t>
      </w:r>
      <w:r w:rsidR="00E053FA" w:rsidRPr="00E04783">
        <w:rPr>
          <w:rFonts w:ascii="Lato" w:hAnsi="Lato"/>
          <w:sz w:val="24"/>
          <w:szCs w:val="24"/>
          <w:lang w:val="en-US"/>
        </w:rPr>
        <w:t>criminalizes</w:t>
      </w:r>
      <w:r w:rsidRPr="00E04783">
        <w:rPr>
          <w:rFonts w:ascii="Lato" w:hAnsi="Lato"/>
          <w:sz w:val="24"/>
          <w:szCs w:val="24"/>
          <w:lang w:val="en-US"/>
        </w:rPr>
        <w:t xml:space="preserve"> acts of discrimination based on </w:t>
      </w:r>
      <w:r w:rsidRPr="00BA232F">
        <w:rPr>
          <w:rFonts w:ascii="Lato" w:hAnsi="Lato"/>
          <w:sz w:val="24"/>
          <w:szCs w:val="24"/>
          <w:lang w:val="en-US"/>
        </w:rPr>
        <w:t>sexual orientation and gender identity</w:t>
      </w:r>
      <w:r w:rsidRPr="00E04783">
        <w:rPr>
          <w:rFonts w:ascii="Lato" w:hAnsi="Lato"/>
          <w:sz w:val="24"/>
          <w:szCs w:val="24"/>
          <w:lang w:val="en-US"/>
        </w:rPr>
        <w:t>, and is drafted in broad terms, thus encompassing, and applying to, housing. Article 14.1.2.3 intensifies penalties if such acts are committed by public officials.</w:t>
      </w:r>
      <w:r w:rsidRPr="00E04783">
        <w:rPr>
          <w:rStyle w:val="FootnoteReference"/>
          <w:rFonts w:ascii="Lato" w:hAnsi="Lato"/>
          <w:sz w:val="24"/>
          <w:szCs w:val="24"/>
          <w:lang w:val="en-US"/>
        </w:rPr>
        <w:footnoteReference w:id="26"/>
      </w:r>
      <w:r w:rsidR="00BA232F">
        <w:rPr>
          <w:rFonts w:ascii="Lato" w:hAnsi="Lato"/>
          <w:sz w:val="24"/>
          <w:szCs w:val="24"/>
          <w:lang w:val="en-US"/>
        </w:rPr>
        <w:t xml:space="preserve"> However, t</w:t>
      </w:r>
      <w:r w:rsidR="00BA232F" w:rsidRPr="00CB62BC">
        <w:rPr>
          <w:rFonts w:ascii="Lato" w:hAnsi="Lato"/>
          <w:sz w:val="24"/>
          <w:szCs w:val="24"/>
          <w:lang w:val="en-US"/>
        </w:rPr>
        <w:t xml:space="preserve">here is no legislation that protects against housing discrimination </w:t>
      </w:r>
      <w:r w:rsidR="00BA232F">
        <w:rPr>
          <w:rFonts w:ascii="Lato" w:hAnsi="Lato"/>
          <w:sz w:val="24"/>
          <w:szCs w:val="24"/>
          <w:lang w:val="en-US"/>
        </w:rPr>
        <w:t xml:space="preserve">on the grounds of gender expression or sex characteristics </w:t>
      </w:r>
      <w:r w:rsidR="00BA232F" w:rsidRPr="00CB62BC">
        <w:rPr>
          <w:rFonts w:ascii="Lato" w:hAnsi="Lato"/>
          <w:sz w:val="24"/>
          <w:szCs w:val="24"/>
          <w:lang w:val="en-US"/>
        </w:rPr>
        <w:t xml:space="preserve">in </w:t>
      </w:r>
      <w:r w:rsidR="00BA232F">
        <w:rPr>
          <w:rFonts w:ascii="Lato" w:hAnsi="Lato"/>
          <w:sz w:val="24"/>
          <w:szCs w:val="24"/>
          <w:lang w:val="en-US"/>
        </w:rPr>
        <w:t>Mongolia</w:t>
      </w:r>
      <w:r w:rsidR="00BA232F" w:rsidRPr="00CB62BC">
        <w:rPr>
          <w:rFonts w:ascii="Lato" w:hAnsi="Lato"/>
          <w:sz w:val="24"/>
          <w:szCs w:val="24"/>
          <w:lang w:val="en-US"/>
        </w:rPr>
        <w:t>.</w:t>
      </w:r>
    </w:p>
    <w:p w14:paraId="66DA643B" w14:textId="20F6D273"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Discrimination in housing on the grounds of </w:t>
      </w:r>
      <w:r w:rsidRPr="00E73CE2">
        <w:rPr>
          <w:rFonts w:ascii="Lato" w:hAnsi="Lato"/>
          <w:sz w:val="24"/>
          <w:szCs w:val="24"/>
          <w:lang w:val="en-US"/>
        </w:rPr>
        <w:t>gender identity and gender expression</w:t>
      </w:r>
      <w:r w:rsidRPr="00E04783">
        <w:rPr>
          <w:rFonts w:ascii="Lato" w:hAnsi="Lato"/>
          <w:sz w:val="24"/>
          <w:szCs w:val="24"/>
          <w:lang w:val="en-US"/>
        </w:rPr>
        <w:t xml:space="preserve"> is protected in Article 4 of </w:t>
      </w:r>
      <w:r w:rsidRPr="00E04783">
        <w:rPr>
          <w:rFonts w:ascii="Lato" w:hAnsi="Lato"/>
          <w:b/>
          <w:bCs/>
          <w:sz w:val="24"/>
          <w:szCs w:val="24"/>
          <w:lang w:val="en-US"/>
        </w:rPr>
        <w:t>Pakistan</w:t>
      </w:r>
      <w:r w:rsidRPr="00E04783">
        <w:rPr>
          <w:rFonts w:ascii="Lato" w:hAnsi="Lato"/>
          <w:sz w:val="24"/>
          <w:szCs w:val="24"/>
          <w:lang w:val="en-US"/>
        </w:rPr>
        <w:t>’s 2018 Transgender Persons (Protection of Rights) Act.</w:t>
      </w:r>
      <w:r w:rsidRPr="00E04783">
        <w:rPr>
          <w:rStyle w:val="FootnoteReference"/>
          <w:rFonts w:ascii="Lato" w:hAnsi="Lato"/>
          <w:sz w:val="24"/>
          <w:szCs w:val="24"/>
          <w:lang w:val="en-US"/>
        </w:rPr>
        <w:footnoteReference w:id="27"/>
      </w:r>
      <w:r w:rsidRPr="00E04783">
        <w:rPr>
          <w:rFonts w:ascii="Lato" w:hAnsi="Lato"/>
          <w:sz w:val="24"/>
          <w:szCs w:val="24"/>
          <w:lang w:val="en-US"/>
        </w:rPr>
        <w:t xml:space="preserve"> Article 2(n) of this legislation also includes ‘intersex (Khunsa)’ people, who are defined as persons with a ‘mixture of male and female genital features or congenital ambiguities.’</w:t>
      </w:r>
      <w:r w:rsidRPr="00E04783">
        <w:rPr>
          <w:rStyle w:val="FootnoteReference"/>
          <w:rFonts w:ascii="Lato" w:hAnsi="Lato"/>
          <w:sz w:val="24"/>
          <w:szCs w:val="24"/>
          <w:lang w:val="en-US"/>
        </w:rPr>
        <w:footnoteReference w:id="28"/>
      </w:r>
      <w:r w:rsidR="00E73CE2">
        <w:rPr>
          <w:rFonts w:ascii="Lato" w:hAnsi="Lato"/>
          <w:sz w:val="24"/>
          <w:szCs w:val="24"/>
          <w:lang w:val="en-US"/>
        </w:rPr>
        <w:t xml:space="preserve"> However, t</w:t>
      </w:r>
      <w:r w:rsidR="00E73CE2" w:rsidRPr="00CB62BC">
        <w:rPr>
          <w:rFonts w:ascii="Lato" w:hAnsi="Lato"/>
          <w:sz w:val="24"/>
          <w:szCs w:val="24"/>
          <w:lang w:val="en-US"/>
        </w:rPr>
        <w:t xml:space="preserve">here is no legislation that protects against housing discrimination </w:t>
      </w:r>
      <w:r w:rsidR="00E73CE2">
        <w:rPr>
          <w:rFonts w:ascii="Lato" w:hAnsi="Lato"/>
          <w:sz w:val="24"/>
          <w:szCs w:val="24"/>
          <w:lang w:val="en-US"/>
        </w:rPr>
        <w:t>on the grounds of sexual orientation in Pakistan.</w:t>
      </w:r>
    </w:p>
    <w:p w14:paraId="63440A11" w14:textId="77777777" w:rsidR="002C0B18" w:rsidRPr="00E04783" w:rsidRDefault="002C0B18" w:rsidP="00152F62">
      <w:pPr>
        <w:pStyle w:val="Heading4"/>
        <w:jc w:val="both"/>
        <w:rPr>
          <w:rFonts w:ascii="Lato" w:hAnsi="Lato"/>
          <w:szCs w:val="24"/>
          <w:lang w:val="en-US"/>
        </w:rPr>
      </w:pPr>
      <w:r w:rsidRPr="00E04783">
        <w:rPr>
          <w:rFonts w:ascii="Lato" w:hAnsi="Lato"/>
          <w:szCs w:val="24"/>
          <w:lang w:val="en-US"/>
        </w:rPr>
        <w:t>Europe</w:t>
      </w:r>
    </w:p>
    <w:p w14:paraId="444317D3" w14:textId="77FF4B25" w:rsidR="002C0B18" w:rsidRPr="00E04783" w:rsidRDefault="002C0B18" w:rsidP="00152F62">
      <w:pPr>
        <w:jc w:val="both"/>
        <w:rPr>
          <w:rFonts w:ascii="Lato" w:hAnsi="Lato"/>
          <w:sz w:val="24"/>
          <w:szCs w:val="24"/>
          <w:lang w:val="en-US"/>
        </w:rPr>
      </w:pPr>
      <w:r w:rsidRPr="00E04783">
        <w:rPr>
          <w:rFonts w:ascii="Lato" w:hAnsi="Lato"/>
          <w:sz w:val="24"/>
          <w:szCs w:val="24"/>
          <w:lang w:val="en-US"/>
        </w:rPr>
        <w:t>Law No. 10,221</w:t>
      </w:r>
      <w:r w:rsidRPr="00E04783">
        <w:rPr>
          <w:rStyle w:val="FootnoteReference"/>
          <w:rFonts w:ascii="Lato" w:hAnsi="Lato"/>
          <w:sz w:val="24"/>
          <w:szCs w:val="24"/>
          <w:lang w:val="en-US"/>
        </w:rPr>
        <w:footnoteReference w:id="29"/>
      </w:r>
      <w:r w:rsidRPr="00E04783">
        <w:rPr>
          <w:rFonts w:ascii="Lato" w:hAnsi="Lato"/>
          <w:sz w:val="24"/>
          <w:szCs w:val="24"/>
          <w:lang w:val="en-US"/>
        </w:rPr>
        <w:t xml:space="preserve"> in the 2010 Protection from Discrimination Act in </w:t>
      </w:r>
      <w:r w:rsidRPr="00E04783">
        <w:rPr>
          <w:rFonts w:ascii="Lato" w:hAnsi="Lato"/>
          <w:b/>
          <w:bCs/>
          <w:sz w:val="24"/>
          <w:szCs w:val="24"/>
          <w:lang w:val="en-US"/>
        </w:rPr>
        <w:t>Albania</w:t>
      </w:r>
      <w:r w:rsidRPr="00E04783">
        <w:rPr>
          <w:rFonts w:ascii="Lato" w:hAnsi="Lato"/>
          <w:sz w:val="24"/>
          <w:szCs w:val="24"/>
          <w:lang w:val="en-US"/>
        </w:rPr>
        <w:t xml:space="preserve"> prohibits discrimination </w:t>
      </w:r>
      <w:r w:rsidR="00694BB5">
        <w:rPr>
          <w:rFonts w:ascii="Lato" w:hAnsi="Lato"/>
          <w:sz w:val="24"/>
          <w:szCs w:val="24"/>
          <w:lang w:val="en-US"/>
        </w:rPr>
        <w:t xml:space="preserve">on the basis of </w:t>
      </w:r>
      <w:r w:rsidRPr="00ED2DE5">
        <w:rPr>
          <w:rFonts w:ascii="Lato" w:hAnsi="Lato"/>
          <w:sz w:val="24"/>
          <w:szCs w:val="24"/>
          <w:lang w:val="en-US"/>
        </w:rPr>
        <w:t>sexual orientation</w:t>
      </w:r>
      <w:r w:rsidR="00ED2DE5">
        <w:rPr>
          <w:rFonts w:ascii="Lato" w:hAnsi="Lato"/>
          <w:sz w:val="24"/>
          <w:szCs w:val="24"/>
          <w:lang w:val="en-US"/>
        </w:rPr>
        <w:t xml:space="preserve"> and gender identity</w:t>
      </w:r>
      <w:r w:rsidRPr="00E04783">
        <w:rPr>
          <w:rFonts w:ascii="Lato" w:hAnsi="Lato"/>
          <w:sz w:val="24"/>
          <w:szCs w:val="24"/>
          <w:lang w:val="en-US"/>
        </w:rPr>
        <w:t xml:space="preserve"> in Article 5, both in the public and private sectors (as outlined in Article 7.1). Article 1 of the 2020 amendment (Law No. 124/2020) also prohibits discrimination based on ‘</w:t>
      </w:r>
      <w:r w:rsidRPr="00ED2DE5">
        <w:rPr>
          <w:rFonts w:ascii="Lato" w:hAnsi="Lato"/>
          <w:sz w:val="24"/>
          <w:szCs w:val="24"/>
          <w:lang w:val="en-US"/>
        </w:rPr>
        <w:t>sex characteristics</w:t>
      </w:r>
      <w:r w:rsidRPr="00E04783">
        <w:rPr>
          <w:rFonts w:ascii="Lato" w:hAnsi="Lato"/>
          <w:sz w:val="24"/>
          <w:szCs w:val="24"/>
          <w:lang w:val="en-US"/>
        </w:rPr>
        <w:t>.’</w:t>
      </w:r>
      <w:r w:rsidRPr="00E04783">
        <w:rPr>
          <w:rStyle w:val="FootnoteReference"/>
          <w:rFonts w:ascii="Lato" w:hAnsi="Lato"/>
          <w:sz w:val="24"/>
          <w:szCs w:val="24"/>
          <w:lang w:val="en-US"/>
        </w:rPr>
        <w:footnoteReference w:id="30"/>
      </w:r>
      <w:r w:rsidRPr="00E04783">
        <w:rPr>
          <w:rFonts w:ascii="Lato" w:hAnsi="Lato"/>
          <w:sz w:val="24"/>
          <w:szCs w:val="24"/>
          <w:lang w:val="en-US"/>
        </w:rPr>
        <w:t xml:space="preserve"> Article 20 applies the law to the sale or renting of premises and residences, or to wherever housing is offered.</w:t>
      </w:r>
      <w:r w:rsidRPr="00E04783">
        <w:rPr>
          <w:rStyle w:val="FootnoteReference"/>
          <w:rFonts w:ascii="Lato" w:hAnsi="Lato"/>
          <w:sz w:val="24"/>
          <w:szCs w:val="24"/>
          <w:lang w:val="en-US"/>
        </w:rPr>
        <w:footnoteReference w:id="31"/>
      </w:r>
      <w:r w:rsidR="00ED2DE5">
        <w:rPr>
          <w:rFonts w:ascii="Lato" w:hAnsi="Lato"/>
          <w:sz w:val="24"/>
          <w:szCs w:val="24"/>
          <w:lang w:val="en-US"/>
        </w:rPr>
        <w:t xml:space="preserve"> Despite this, t</w:t>
      </w:r>
      <w:r w:rsidR="00ED2DE5" w:rsidRPr="00CB62BC">
        <w:rPr>
          <w:rFonts w:ascii="Lato" w:hAnsi="Lato"/>
          <w:sz w:val="24"/>
          <w:szCs w:val="24"/>
          <w:lang w:val="en-US"/>
        </w:rPr>
        <w:t>here is</w:t>
      </w:r>
      <w:r w:rsidR="00ED2DE5">
        <w:rPr>
          <w:rFonts w:ascii="Lato" w:hAnsi="Lato"/>
          <w:sz w:val="24"/>
          <w:szCs w:val="24"/>
          <w:lang w:val="en-US"/>
        </w:rPr>
        <w:t xml:space="preserve"> currently</w:t>
      </w:r>
      <w:r w:rsidR="00ED2DE5" w:rsidRPr="00CB62BC">
        <w:rPr>
          <w:rFonts w:ascii="Lato" w:hAnsi="Lato"/>
          <w:sz w:val="24"/>
          <w:szCs w:val="24"/>
          <w:lang w:val="en-US"/>
        </w:rPr>
        <w:t xml:space="preserve"> no legislation that protects against housing discrimination </w:t>
      </w:r>
      <w:r w:rsidR="00ED2DE5">
        <w:rPr>
          <w:rFonts w:ascii="Lato" w:hAnsi="Lato"/>
          <w:sz w:val="24"/>
          <w:szCs w:val="24"/>
          <w:lang w:val="en-US"/>
        </w:rPr>
        <w:t xml:space="preserve">on the grounds of gender expression </w:t>
      </w:r>
      <w:r w:rsidR="00ED2DE5" w:rsidRPr="00CB62BC">
        <w:rPr>
          <w:rFonts w:ascii="Lato" w:hAnsi="Lato"/>
          <w:sz w:val="24"/>
          <w:szCs w:val="24"/>
          <w:lang w:val="en-US"/>
        </w:rPr>
        <w:t xml:space="preserve">in </w:t>
      </w:r>
      <w:r w:rsidR="00ED2DE5">
        <w:rPr>
          <w:rFonts w:ascii="Lato" w:hAnsi="Lato"/>
          <w:sz w:val="24"/>
          <w:szCs w:val="24"/>
          <w:lang w:val="en-US"/>
        </w:rPr>
        <w:t>Albania</w:t>
      </w:r>
      <w:r w:rsidR="00ED2DE5" w:rsidRPr="00CB62BC">
        <w:rPr>
          <w:rFonts w:ascii="Lato" w:hAnsi="Lato"/>
          <w:sz w:val="24"/>
          <w:szCs w:val="24"/>
          <w:lang w:val="en-US"/>
        </w:rPr>
        <w:t>.</w:t>
      </w:r>
    </w:p>
    <w:p w14:paraId="5CF5D7D6" w14:textId="20CEA3AB" w:rsidR="002C0B18" w:rsidRPr="00E04783" w:rsidRDefault="002C0B18" w:rsidP="00152F62">
      <w:pPr>
        <w:jc w:val="both"/>
        <w:rPr>
          <w:rFonts w:ascii="Lato" w:hAnsi="Lato"/>
          <w:sz w:val="24"/>
          <w:szCs w:val="24"/>
          <w:lang w:val="en-US"/>
        </w:rPr>
      </w:pPr>
      <w:r w:rsidRPr="00E04783">
        <w:rPr>
          <w:rFonts w:ascii="Lato" w:hAnsi="Lato"/>
          <w:b/>
          <w:bCs/>
          <w:sz w:val="24"/>
          <w:szCs w:val="24"/>
          <w:lang w:val="en-US"/>
        </w:rPr>
        <w:t>Andorra</w:t>
      </w:r>
      <w:r w:rsidRPr="00E04783">
        <w:rPr>
          <w:rFonts w:ascii="Lato" w:hAnsi="Lato"/>
          <w:sz w:val="24"/>
          <w:szCs w:val="24"/>
          <w:lang w:val="en-US"/>
        </w:rPr>
        <w:t xml:space="preserve">’s Article 4(2) in Law No. 13/2019, the 2019 Law on Equal Treatment and Non-Discrimination, prohibits housing discrimination in Article on the basis of sexual orientation, gender identity and gender expression. While this legislation is a positive development, and intersex people are </w:t>
      </w:r>
      <w:r w:rsidR="00694BB5" w:rsidRPr="00E04783">
        <w:rPr>
          <w:rFonts w:ascii="Lato" w:hAnsi="Lato"/>
          <w:sz w:val="24"/>
          <w:szCs w:val="24"/>
          <w:lang w:val="en-US"/>
        </w:rPr>
        <w:t>categorized</w:t>
      </w:r>
      <w:r w:rsidRPr="00E04783">
        <w:rPr>
          <w:rFonts w:ascii="Lato" w:hAnsi="Lato"/>
          <w:sz w:val="24"/>
          <w:szCs w:val="24"/>
          <w:lang w:val="en-US"/>
        </w:rPr>
        <w:t xml:space="preserve"> as a vulnerable group protected by law under Article 2(3)(e), discrimination against sex characteristics is not universally protected in the same capacity.</w:t>
      </w:r>
      <w:r w:rsidRPr="00E04783">
        <w:rPr>
          <w:rStyle w:val="FootnoteReference"/>
          <w:rFonts w:ascii="Lato" w:hAnsi="Lato"/>
          <w:sz w:val="24"/>
          <w:szCs w:val="24"/>
          <w:lang w:val="en-US"/>
        </w:rPr>
        <w:footnoteReference w:id="32"/>
      </w:r>
      <w:r w:rsidR="0055439D">
        <w:rPr>
          <w:rFonts w:ascii="Lato" w:hAnsi="Lato"/>
          <w:sz w:val="24"/>
          <w:szCs w:val="24"/>
          <w:lang w:val="en-US"/>
        </w:rPr>
        <w:t xml:space="preserve"> </w:t>
      </w:r>
      <w:r w:rsidR="0055439D" w:rsidRPr="003432F4">
        <w:rPr>
          <w:rFonts w:ascii="Lato" w:hAnsi="Lato"/>
          <w:sz w:val="24"/>
          <w:szCs w:val="24"/>
          <w:lang w:val="en-US"/>
        </w:rPr>
        <w:t xml:space="preserve">There is currently no legislation that protects against housing discrimination based on sex characteristics in </w:t>
      </w:r>
      <w:r w:rsidR="003432F4" w:rsidRPr="003432F4">
        <w:rPr>
          <w:rFonts w:ascii="Lato" w:hAnsi="Lato"/>
          <w:sz w:val="24"/>
          <w:szCs w:val="24"/>
          <w:lang w:val="en-US"/>
        </w:rPr>
        <w:t>Andorra</w:t>
      </w:r>
      <w:r w:rsidR="0055439D" w:rsidRPr="003432F4">
        <w:rPr>
          <w:rFonts w:ascii="Lato" w:hAnsi="Lato"/>
          <w:sz w:val="24"/>
          <w:szCs w:val="24"/>
          <w:lang w:val="en-US"/>
        </w:rPr>
        <w:t>.</w:t>
      </w:r>
    </w:p>
    <w:p w14:paraId="5E6612F1" w14:textId="5DF4FAAF" w:rsidR="002C0B18" w:rsidRPr="00E04783" w:rsidRDefault="002C0B18" w:rsidP="00152F62">
      <w:pPr>
        <w:shd w:val="clear" w:color="auto" w:fill="FFFFFF" w:themeFill="background1"/>
        <w:spacing w:line="240" w:lineRule="auto"/>
        <w:jc w:val="both"/>
        <w:rPr>
          <w:rFonts w:ascii="Lato" w:eastAsia="Lato" w:hAnsi="Lato" w:cs="Lato"/>
          <w:color w:val="1C1C1C"/>
          <w:sz w:val="24"/>
          <w:szCs w:val="24"/>
          <w:lang w:val="en-US"/>
        </w:rPr>
      </w:pPr>
      <w:r w:rsidRPr="00E04783">
        <w:rPr>
          <w:rFonts w:ascii="Lato" w:eastAsia="Lato" w:hAnsi="Lato" w:cs="Lato"/>
          <w:color w:val="1C1C1C"/>
          <w:sz w:val="24"/>
          <w:szCs w:val="24"/>
          <w:lang w:val="en-US"/>
        </w:rPr>
        <w:t>Article 4(1) of the Law against Discrimination (2004)</w:t>
      </w:r>
      <w:r w:rsidRPr="00E04783">
        <w:rPr>
          <w:rStyle w:val="FootnoteReference"/>
          <w:rFonts w:ascii="Lato" w:eastAsia="Lato" w:hAnsi="Lato" w:cs="Lato"/>
          <w:color w:val="1C1C1C"/>
          <w:sz w:val="24"/>
          <w:szCs w:val="24"/>
          <w:lang w:val="en-US"/>
        </w:rPr>
        <w:footnoteReference w:id="33"/>
      </w:r>
      <w:r w:rsidRPr="00E04783">
        <w:rPr>
          <w:rFonts w:ascii="Lato" w:eastAsia="Lato" w:hAnsi="Lato" w:cs="Lato"/>
          <w:color w:val="1C1C1C"/>
          <w:sz w:val="24"/>
          <w:szCs w:val="24"/>
          <w:lang w:val="en-US"/>
        </w:rPr>
        <w:t xml:space="preserve"> in </w:t>
      </w:r>
      <w:r w:rsidRPr="00E04783">
        <w:rPr>
          <w:rFonts w:ascii="Lato" w:eastAsia="Lato" w:hAnsi="Lato" w:cs="Lato"/>
          <w:b/>
          <w:bCs/>
          <w:color w:val="1C1C1C"/>
          <w:sz w:val="24"/>
          <w:szCs w:val="24"/>
          <w:lang w:val="en-US"/>
        </w:rPr>
        <w:t>Bulgaria</w:t>
      </w:r>
      <w:r w:rsidRPr="00E04783">
        <w:rPr>
          <w:rFonts w:ascii="Lato" w:eastAsia="Lato" w:hAnsi="Lato" w:cs="Lato"/>
          <w:color w:val="1C1C1C"/>
          <w:sz w:val="24"/>
          <w:szCs w:val="24"/>
          <w:lang w:val="en-US"/>
        </w:rPr>
        <w:t xml:space="preserve"> bans both direct and indirect discrimination based on </w:t>
      </w:r>
      <w:r w:rsidRPr="002D6D62">
        <w:rPr>
          <w:rFonts w:ascii="Lato" w:eastAsia="Lato" w:hAnsi="Lato" w:cs="Lato"/>
          <w:color w:val="1C1C1C"/>
          <w:sz w:val="24"/>
          <w:szCs w:val="24"/>
          <w:lang w:val="en-US"/>
        </w:rPr>
        <w:t>sexual orientation</w:t>
      </w:r>
      <w:r w:rsidRPr="00E04783">
        <w:rPr>
          <w:rFonts w:ascii="Lato" w:eastAsia="Lato" w:hAnsi="Lato" w:cs="Lato"/>
          <w:color w:val="1C1C1C"/>
          <w:sz w:val="24"/>
          <w:szCs w:val="24"/>
          <w:lang w:val="en-US"/>
        </w:rPr>
        <w:t xml:space="preserve">. This </w:t>
      </w:r>
      <w:r w:rsidRPr="00E04783">
        <w:rPr>
          <w:rFonts w:ascii="Lato" w:hAnsi="Lato"/>
          <w:color w:val="1C1C1C"/>
          <w:sz w:val="24"/>
          <w:szCs w:val="24"/>
          <w:shd w:val="clear" w:color="auto" w:fill="FFFFFF"/>
          <w:lang w:val="en-US"/>
        </w:rPr>
        <w:t>was amended by the </w:t>
      </w:r>
      <w:r w:rsidRPr="00E04783">
        <w:rPr>
          <w:rStyle w:val="sourcetooltip"/>
          <w:rFonts w:ascii="Lato" w:hAnsi="Lato"/>
          <w:sz w:val="24"/>
          <w:szCs w:val="24"/>
          <w:lang w:val="en-US"/>
        </w:rPr>
        <w:t xml:space="preserve">Law on </w:t>
      </w:r>
      <w:r w:rsidRPr="00E04783">
        <w:rPr>
          <w:rStyle w:val="sourcetooltip"/>
          <w:rFonts w:ascii="Lato" w:hAnsi="Lato"/>
          <w:sz w:val="24"/>
          <w:szCs w:val="24"/>
          <w:lang w:val="en-US"/>
        </w:rPr>
        <w:lastRenderedPageBreak/>
        <w:t>Amendment and Supplementation of the Law against Discrimination</w:t>
      </w:r>
      <w:r w:rsidRPr="00E04783">
        <w:rPr>
          <w:rFonts w:ascii="Lato" w:hAnsi="Lato"/>
          <w:sz w:val="24"/>
          <w:szCs w:val="24"/>
          <w:shd w:val="clear" w:color="auto" w:fill="FFFFFF"/>
          <w:lang w:val="en-US"/>
        </w:rPr>
        <w:t> </w:t>
      </w:r>
      <w:r w:rsidRPr="00E04783">
        <w:rPr>
          <w:rFonts w:ascii="Lato" w:hAnsi="Lato"/>
          <w:color w:val="1C1C1C"/>
          <w:sz w:val="24"/>
          <w:szCs w:val="24"/>
          <w:shd w:val="clear" w:color="auto" w:fill="FFFFFF"/>
          <w:lang w:val="en-US"/>
        </w:rPr>
        <w:t>(2015),</w:t>
      </w:r>
      <w:r w:rsidRPr="00E04783">
        <w:rPr>
          <w:rStyle w:val="FootnoteReference"/>
          <w:rFonts w:ascii="Lato" w:hAnsi="Lato"/>
          <w:color w:val="1C1C1C"/>
          <w:sz w:val="24"/>
          <w:szCs w:val="24"/>
          <w:shd w:val="clear" w:color="auto" w:fill="FFFFFF"/>
          <w:lang w:val="en-US"/>
        </w:rPr>
        <w:footnoteReference w:id="34"/>
      </w:r>
      <w:r w:rsidRPr="00E04783">
        <w:rPr>
          <w:rFonts w:ascii="Lato" w:hAnsi="Lato"/>
          <w:color w:val="1C1C1C"/>
          <w:sz w:val="24"/>
          <w:szCs w:val="24"/>
          <w:shd w:val="clear" w:color="auto" w:fill="FFFFFF"/>
          <w:lang w:val="en-US"/>
        </w:rPr>
        <w:t xml:space="preserve"> to include Additional Provision 1(17) establishing that the term ‘sex’ includes the category ‘sex change.’ Although this is a positive advancement, it may fail to protect persons who experience discrimination based on ‘gender identity.’</w:t>
      </w:r>
      <w:r w:rsidRPr="00E04783">
        <w:rPr>
          <w:rStyle w:val="FootnoteReference"/>
          <w:rFonts w:ascii="Lato" w:hAnsi="Lato"/>
          <w:color w:val="1C1C1C"/>
          <w:sz w:val="24"/>
          <w:szCs w:val="24"/>
          <w:shd w:val="clear" w:color="auto" w:fill="FFFFFF"/>
          <w:lang w:val="en-US"/>
        </w:rPr>
        <w:footnoteReference w:id="35"/>
      </w:r>
      <w:r w:rsidR="00305844">
        <w:rPr>
          <w:rFonts w:ascii="Lato" w:hAnsi="Lato"/>
          <w:color w:val="1C1C1C"/>
          <w:sz w:val="24"/>
          <w:szCs w:val="24"/>
          <w:shd w:val="clear" w:color="auto" w:fill="FFFFFF"/>
          <w:lang w:val="en-US"/>
        </w:rPr>
        <w:t xml:space="preserve"> </w:t>
      </w:r>
      <w:r w:rsidR="00305844">
        <w:rPr>
          <w:rFonts w:ascii="Lato" w:hAnsi="Lato"/>
          <w:sz w:val="24"/>
          <w:szCs w:val="24"/>
          <w:lang w:val="en-US"/>
        </w:rPr>
        <w:t>However, t</w:t>
      </w:r>
      <w:r w:rsidR="00305844" w:rsidRPr="00CB62BC">
        <w:rPr>
          <w:rFonts w:ascii="Lato" w:hAnsi="Lato"/>
          <w:sz w:val="24"/>
          <w:szCs w:val="24"/>
          <w:lang w:val="en-US"/>
        </w:rPr>
        <w:t>here is</w:t>
      </w:r>
      <w:r w:rsidR="00305844">
        <w:rPr>
          <w:rFonts w:ascii="Lato" w:hAnsi="Lato"/>
          <w:sz w:val="24"/>
          <w:szCs w:val="24"/>
          <w:lang w:val="en-US"/>
        </w:rPr>
        <w:t xml:space="preserve"> currently</w:t>
      </w:r>
      <w:r w:rsidR="00305844" w:rsidRPr="00CB62BC">
        <w:rPr>
          <w:rFonts w:ascii="Lato" w:hAnsi="Lato"/>
          <w:sz w:val="24"/>
          <w:szCs w:val="24"/>
          <w:lang w:val="en-US"/>
        </w:rPr>
        <w:t xml:space="preserve"> no legislation that protects against housing discrimination </w:t>
      </w:r>
      <w:r w:rsidR="00305844">
        <w:rPr>
          <w:rFonts w:ascii="Lato" w:hAnsi="Lato"/>
          <w:sz w:val="24"/>
          <w:szCs w:val="24"/>
          <w:lang w:val="en-US"/>
        </w:rPr>
        <w:t xml:space="preserve">on the grounds of gender expression or sex characteristics </w:t>
      </w:r>
      <w:r w:rsidR="00305844" w:rsidRPr="00CB62BC">
        <w:rPr>
          <w:rFonts w:ascii="Lato" w:hAnsi="Lato"/>
          <w:sz w:val="24"/>
          <w:szCs w:val="24"/>
          <w:lang w:val="en-US"/>
        </w:rPr>
        <w:t xml:space="preserve">in </w:t>
      </w:r>
      <w:r w:rsidR="00305844">
        <w:rPr>
          <w:rFonts w:ascii="Lato" w:hAnsi="Lato"/>
          <w:sz w:val="24"/>
          <w:szCs w:val="24"/>
          <w:lang w:val="en-US"/>
        </w:rPr>
        <w:t>Bulgaria</w:t>
      </w:r>
      <w:r w:rsidR="00305844" w:rsidRPr="00CB62BC">
        <w:rPr>
          <w:rFonts w:ascii="Lato" w:hAnsi="Lato"/>
          <w:sz w:val="24"/>
          <w:szCs w:val="24"/>
          <w:lang w:val="en-US"/>
        </w:rPr>
        <w:t>.</w:t>
      </w:r>
    </w:p>
    <w:p w14:paraId="0CF19E77" w14:textId="77777777"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Denmark</w:t>
      </w:r>
      <w:r w:rsidRPr="00E04783">
        <w:rPr>
          <w:rFonts w:ascii="Lato" w:hAnsi="Lato"/>
          <w:sz w:val="24"/>
          <w:szCs w:val="24"/>
          <w:lang w:val="en-US"/>
        </w:rPr>
        <w:t>, Article 2 of the Law on Equality between Women and Men (Law No. 751) (2021),</w:t>
      </w:r>
      <w:r w:rsidRPr="00E04783">
        <w:rPr>
          <w:rStyle w:val="FootnoteReference"/>
          <w:rFonts w:ascii="Lato" w:hAnsi="Lato"/>
          <w:sz w:val="24"/>
          <w:szCs w:val="24"/>
          <w:lang w:val="en-US"/>
        </w:rPr>
        <w:footnoteReference w:id="36"/>
      </w:r>
      <w:r w:rsidRPr="00E04783">
        <w:rPr>
          <w:rFonts w:ascii="Lato" w:hAnsi="Lato"/>
          <w:sz w:val="24"/>
          <w:szCs w:val="24"/>
          <w:lang w:val="en-US"/>
        </w:rPr>
        <w:t xml:space="preserve"> bans any discrimination based on sexual orientation, gender orientation, gender expression and sex characteristics.</w:t>
      </w:r>
      <w:r w:rsidRPr="00E04783">
        <w:rPr>
          <w:rStyle w:val="FootnoteReference"/>
          <w:rFonts w:ascii="Lato" w:hAnsi="Lato"/>
          <w:sz w:val="24"/>
          <w:szCs w:val="24"/>
          <w:lang w:val="en-US"/>
        </w:rPr>
        <w:footnoteReference w:id="37"/>
      </w:r>
    </w:p>
    <w:p w14:paraId="2C58F8D3" w14:textId="09F6B9D4" w:rsidR="002C0B18" w:rsidRPr="00E04783" w:rsidRDefault="002C0B18" w:rsidP="00152F62">
      <w:pPr>
        <w:jc w:val="both"/>
        <w:rPr>
          <w:rFonts w:ascii="Lato" w:hAnsi="Lato"/>
          <w:sz w:val="24"/>
          <w:szCs w:val="24"/>
          <w:lang w:val="en-US"/>
        </w:rPr>
      </w:pPr>
      <w:r w:rsidRPr="00E04783">
        <w:rPr>
          <w:rFonts w:ascii="Lato" w:hAnsi="Lato"/>
          <w:sz w:val="24"/>
          <w:szCs w:val="24"/>
          <w:lang w:val="en-US"/>
        </w:rPr>
        <w:t>Article 1 of Law No. 89-462 (1989)</w:t>
      </w:r>
      <w:r w:rsidRPr="00E04783">
        <w:rPr>
          <w:rStyle w:val="FootnoteReference"/>
          <w:rFonts w:ascii="Lato" w:hAnsi="Lato"/>
          <w:sz w:val="24"/>
          <w:szCs w:val="24"/>
          <w:lang w:val="en-US"/>
        </w:rPr>
        <w:footnoteReference w:id="38"/>
      </w:r>
      <w:r w:rsidRPr="00E04783">
        <w:rPr>
          <w:rFonts w:ascii="Lato" w:hAnsi="Lato"/>
          <w:sz w:val="24"/>
          <w:szCs w:val="24"/>
          <w:lang w:val="en-US"/>
        </w:rPr>
        <w:t xml:space="preserve"> in </w:t>
      </w:r>
      <w:r w:rsidRPr="00E04783">
        <w:rPr>
          <w:rFonts w:ascii="Lato" w:hAnsi="Lato"/>
          <w:b/>
          <w:bCs/>
          <w:sz w:val="24"/>
          <w:szCs w:val="24"/>
          <w:lang w:val="en-US"/>
        </w:rPr>
        <w:t>France</w:t>
      </w:r>
      <w:r w:rsidRPr="00E04783">
        <w:rPr>
          <w:rFonts w:ascii="Lato" w:hAnsi="Lato"/>
          <w:sz w:val="24"/>
          <w:szCs w:val="24"/>
          <w:lang w:val="en-US"/>
        </w:rPr>
        <w:t xml:space="preserve"> was updated in 2002 in Article 158 of Law No. 2002-73</w:t>
      </w:r>
      <w:r w:rsidRPr="00E04783">
        <w:rPr>
          <w:rStyle w:val="FootnoteReference"/>
          <w:rFonts w:ascii="Lato" w:hAnsi="Lato"/>
          <w:sz w:val="24"/>
          <w:szCs w:val="24"/>
          <w:lang w:val="en-US"/>
        </w:rPr>
        <w:footnoteReference w:id="39"/>
      </w:r>
      <w:r w:rsidRPr="00E04783">
        <w:rPr>
          <w:rFonts w:ascii="Lato" w:hAnsi="Lato"/>
          <w:sz w:val="24"/>
          <w:szCs w:val="24"/>
          <w:lang w:val="en-US"/>
        </w:rPr>
        <w:t xml:space="preserve"> to prohibit a landowner from discriminating against tenants based on </w:t>
      </w:r>
      <w:r w:rsidRPr="00262EEE">
        <w:rPr>
          <w:rFonts w:ascii="Lato" w:hAnsi="Lato"/>
          <w:sz w:val="24"/>
          <w:szCs w:val="24"/>
          <w:lang w:val="en-US"/>
        </w:rPr>
        <w:t>sexual orientation</w:t>
      </w:r>
      <w:r w:rsidRPr="00E04783">
        <w:rPr>
          <w:rFonts w:ascii="Lato" w:hAnsi="Lato"/>
          <w:sz w:val="24"/>
          <w:szCs w:val="24"/>
          <w:lang w:val="en-US"/>
        </w:rPr>
        <w:t>. The provision was modified in Law No. 2014-366 (2014)</w:t>
      </w:r>
      <w:r w:rsidR="004C113C">
        <w:rPr>
          <w:rFonts w:ascii="Lato" w:hAnsi="Lato"/>
          <w:sz w:val="24"/>
          <w:szCs w:val="24"/>
          <w:lang w:val="en-US"/>
        </w:rPr>
        <w:t>,</w:t>
      </w:r>
      <w:r w:rsidRPr="00E04783">
        <w:rPr>
          <w:rFonts w:ascii="Lato" w:hAnsi="Lato"/>
          <w:sz w:val="24"/>
          <w:szCs w:val="24"/>
          <w:lang w:val="en-US"/>
        </w:rPr>
        <w:t xml:space="preserve"> but kept the aforementioned prohibition. It is unclear whether universal protection is in place to prevent against discrimination based on gender identity; however, the amended Law No. 2014-366 (2014) prevents landowners from discriminating against tenants on the grounds by Article 225-1 of the Penal Code</w:t>
      </w:r>
      <w:r w:rsidRPr="00E04783">
        <w:rPr>
          <w:rStyle w:val="FootnoteReference"/>
          <w:rFonts w:ascii="Lato" w:hAnsi="Lato"/>
          <w:sz w:val="24"/>
          <w:szCs w:val="24"/>
          <w:lang w:val="en-US"/>
        </w:rPr>
        <w:footnoteReference w:id="40"/>
      </w:r>
      <w:r w:rsidRPr="00E04783">
        <w:rPr>
          <w:rFonts w:ascii="Lato" w:hAnsi="Lato"/>
          <w:sz w:val="24"/>
          <w:szCs w:val="24"/>
          <w:lang w:val="en-US"/>
        </w:rPr>
        <w:t xml:space="preserve"> which does include gender identity.</w:t>
      </w:r>
      <w:r w:rsidRPr="00E04783">
        <w:rPr>
          <w:rStyle w:val="FootnoteReference"/>
          <w:rFonts w:ascii="Lato" w:hAnsi="Lato"/>
          <w:sz w:val="24"/>
          <w:szCs w:val="24"/>
          <w:lang w:val="en-US"/>
        </w:rPr>
        <w:footnoteReference w:id="41"/>
      </w:r>
      <w:r w:rsidR="00175A07">
        <w:rPr>
          <w:rFonts w:ascii="Lato" w:hAnsi="Lato"/>
          <w:sz w:val="24"/>
          <w:szCs w:val="24"/>
          <w:lang w:val="en-US"/>
        </w:rPr>
        <w:t xml:space="preserve"> </w:t>
      </w:r>
      <w:r w:rsidR="00262EEE">
        <w:rPr>
          <w:rFonts w:ascii="Lato" w:hAnsi="Lato"/>
          <w:sz w:val="24"/>
          <w:szCs w:val="24"/>
          <w:lang w:val="en-US"/>
        </w:rPr>
        <w:t>At present, t</w:t>
      </w:r>
      <w:r w:rsidR="00262EEE" w:rsidRPr="00CB62BC">
        <w:rPr>
          <w:rFonts w:ascii="Lato" w:hAnsi="Lato"/>
          <w:sz w:val="24"/>
          <w:szCs w:val="24"/>
          <w:lang w:val="en-US"/>
        </w:rPr>
        <w:t>here is</w:t>
      </w:r>
      <w:r w:rsidR="00262EEE">
        <w:rPr>
          <w:rFonts w:ascii="Lato" w:hAnsi="Lato"/>
          <w:sz w:val="24"/>
          <w:szCs w:val="24"/>
          <w:lang w:val="en-US"/>
        </w:rPr>
        <w:t xml:space="preserve"> currently</w:t>
      </w:r>
      <w:r w:rsidR="00262EEE" w:rsidRPr="00CB62BC">
        <w:rPr>
          <w:rFonts w:ascii="Lato" w:hAnsi="Lato"/>
          <w:sz w:val="24"/>
          <w:szCs w:val="24"/>
          <w:lang w:val="en-US"/>
        </w:rPr>
        <w:t xml:space="preserve"> no legislation that protects against housing discrimination </w:t>
      </w:r>
      <w:r w:rsidR="00262EEE">
        <w:rPr>
          <w:rFonts w:ascii="Lato" w:hAnsi="Lato"/>
          <w:sz w:val="24"/>
          <w:szCs w:val="24"/>
          <w:lang w:val="en-US"/>
        </w:rPr>
        <w:t xml:space="preserve">on the grounds of sex characteristics </w:t>
      </w:r>
      <w:r w:rsidR="00262EEE" w:rsidRPr="00CB62BC">
        <w:rPr>
          <w:rFonts w:ascii="Lato" w:hAnsi="Lato"/>
          <w:sz w:val="24"/>
          <w:szCs w:val="24"/>
          <w:lang w:val="en-US"/>
        </w:rPr>
        <w:t xml:space="preserve">in </w:t>
      </w:r>
      <w:r w:rsidR="00262EEE">
        <w:rPr>
          <w:rFonts w:ascii="Lato" w:hAnsi="Lato"/>
          <w:sz w:val="24"/>
          <w:szCs w:val="24"/>
          <w:lang w:val="en-US"/>
        </w:rPr>
        <w:t>France</w:t>
      </w:r>
      <w:r w:rsidR="00262EEE" w:rsidRPr="00CB62BC">
        <w:rPr>
          <w:rFonts w:ascii="Lato" w:hAnsi="Lato"/>
          <w:sz w:val="24"/>
          <w:szCs w:val="24"/>
          <w:lang w:val="en-US"/>
        </w:rPr>
        <w:t>.</w:t>
      </w:r>
    </w:p>
    <w:p w14:paraId="6C4E75F7" w14:textId="05EE6C81" w:rsidR="002C0B18" w:rsidRPr="00E04783" w:rsidRDefault="002C0B18" w:rsidP="00152F62">
      <w:pPr>
        <w:jc w:val="both"/>
        <w:rPr>
          <w:rFonts w:ascii="Lato" w:hAnsi="Lato"/>
          <w:b/>
          <w:bCs/>
          <w:sz w:val="24"/>
          <w:szCs w:val="24"/>
          <w:lang w:val="en-US"/>
        </w:rPr>
      </w:pPr>
      <w:r w:rsidRPr="00E04783">
        <w:rPr>
          <w:rFonts w:ascii="Lato" w:hAnsi="Lato"/>
          <w:b/>
          <w:bCs/>
          <w:sz w:val="24"/>
          <w:szCs w:val="24"/>
          <w:lang w:val="en-US"/>
        </w:rPr>
        <w:t>Serbia</w:t>
      </w:r>
      <w:r w:rsidRPr="00E04783">
        <w:rPr>
          <w:rFonts w:ascii="Lato" w:hAnsi="Lato"/>
          <w:sz w:val="24"/>
          <w:szCs w:val="24"/>
          <w:lang w:val="en-US"/>
        </w:rPr>
        <w:t>’s Prohibition of Discrimination Act (2010)</w:t>
      </w:r>
      <w:r w:rsidRPr="00E04783">
        <w:rPr>
          <w:rStyle w:val="FootnoteReference"/>
          <w:rFonts w:ascii="Lato" w:hAnsi="Lato"/>
          <w:sz w:val="24"/>
          <w:szCs w:val="24"/>
          <w:lang w:val="en-US"/>
        </w:rPr>
        <w:footnoteReference w:id="42"/>
      </w:r>
      <w:r w:rsidRPr="00E04783">
        <w:rPr>
          <w:rFonts w:ascii="Lato" w:hAnsi="Lato"/>
          <w:sz w:val="24"/>
          <w:szCs w:val="24"/>
          <w:lang w:val="en-US"/>
        </w:rPr>
        <w:t xml:space="preserve"> bans discrimination against </w:t>
      </w:r>
      <w:r w:rsidRPr="000C1621">
        <w:rPr>
          <w:rFonts w:ascii="Lato" w:hAnsi="Lato"/>
          <w:sz w:val="24"/>
          <w:szCs w:val="24"/>
          <w:lang w:val="en-US"/>
        </w:rPr>
        <w:t>sexual orientation and gender identity</w:t>
      </w:r>
      <w:r w:rsidRPr="00E04783">
        <w:rPr>
          <w:rFonts w:ascii="Lato" w:hAnsi="Lato"/>
          <w:sz w:val="24"/>
          <w:szCs w:val="24"/>
          <w:lang w:val="en-US"/>
        </w:rPr>
        <w:t xml:space="preserve"> according to Articles 1 and 2; Article 27a applies this to housing.</w:t>
      </w:r>
      <w:r w:rsidRPr="00E04783">
        <w:rPr>
          <w:rStyle w:val="FootnoteReference"/>
          <w:rFonts w:ascii="Lato" w:hAnsi="Lato"/>
          <w:sz w:val="24"/>
          <w:szCs w:val="24"/>
          <w:lang w:val="en-US"/>
        </w:rPr>
        <w:footnoteReference w:id="43"/>
      </w:r>
      <w:r w:rsidR="00D574B2">
        <w:rPr>
          <w:rFonts w:ascii="Lato" w:hAnsi="Lato"/>
          <w:sz w:val="24"/>
          <w:szCs w:val="24"/>
          <w:lang w:val="en-US"/>
        </w:rPr>
        <w:t xml:space="preserve"> T</w:t>
      </w:r>
      <w:r w:rsidR="00D574B2" w:rsidRPr="00CB62BC">
        <w:rPr>
          <w:rFonts w:ascii="Lato" w:hAnsi="Lato"/>
          <w:sz w:val="24"/>
          <w:szCs w:val="24"/>
          <w:lang w:val="en-US"/>
        </w:rPr>
        <w:t>here is</w:t>
      </w:r>
      <w:r w:rsidR="00D574B2">
        <w:rPr>
          <w:rFonts w:ascii="Lato" w:hAnsi="Lato"/>
          <w:sz w:val="24"/>
          <w:szCs w:val="24"/>
          <w:lang w:val="en-US"/>
        </w:rPr>
        <w:t xml:space="preserve"> currently</w:t>
      </w:r>
      <w:r w:rsidR="00D574B2" w:rsidRPr="00CB62BC">
        <w:rPr>
          <w:rFonts w:ascii="Lato" w:hAnsi="Lato"/>
          <w:sz w:val="24"/>
          <w:szCs w:val="24"/>
          <w:lang w:val="en-US"/>
        </w:rPr>
        <w:t xml:space="preserve"> no legislation that protects against housing discrimination </w:t>
      </w:r>
      <w:r w:rsidR="00D574B2">
        <w:rPr>
          <w:rFonts w:ascii="Lato" w:hAnsi="Lato"/>
          <w:sz w:val="24"/>
          <w:szCs w:val="24"/>
          <w:lang w:val="en-US"/>
        </w:rPr>
        <w:t xml:space="preserve">on the grounds of gender expression </w:t>
      </w:r>
      <w:r w:rsidR="00D574B2" w:rsidRPr="00CB62BC">
        <w:rPr>
          <w:rFonts w:ascii="Lato" w:hAnsi="Lato"/>
          <w:sz w:val="24"/>
          <w:szCs w:val="24"/>
          <w:lang w:val="en-US"/>
        </w:rPr>
        <w:t xml:space="preserve">in </w:t>
      </w:r>
      <w:r w:rsidR="000C1621">
        <w:rPr>
          <w:rFonts w:ascii="Lato" w:hAnsi="Lato"/>
          <w:sz w:val="24"/>
          <w:szCs w:val="24"/>
          <w:lang w:val="en-US"/>
        </w:rPr>
        <w:t>Serbia</w:t>
      </w:r>
      <w:r w:rsidR="00D574B2" w:rsidRPr="00CB62BC">
        <w:rPr>
          <w:rFonts w:ascii="Lato" w:hAnsi="Lato"/>
          <w:sz w:val="24"/>
          <w:szCs w:val="24"/>
          <w:lang w:val="en-US"/>
        </w:rPr>
        <w:t>.</w:t>
      </w:r>
      <w:r w:rsidR="000C1621">
        <w:rPr>
          <w:rFonts w:ascii="Lato" w:hAnsi="Lato"/>
          <w:sz w:val="24"/>
          <w:szCs w:val="24"/>
          <w:lang w:val="en-US"/>
        </w:rPr>
        <w:t xml:space="preserve"> </w:t>
      </w:r>
    </w:p>
    <w:p w14:paraId="1910713B" w14:textId="0D00A4B2" w:rsidR="002C0B18" w:rsidRPr="00E04783" w:rsidRDefault="002C0B18" w:rsidP="00152F62">
      <w:pPr>
        <w:jc w:val="both"/>
        <w:rPr>
          <w:rFonts w:ascii="Lato" w:hAnsi="Lato"/>
          <w:sz w:val="24"/>
          <w:szCs w:val="24"/>
          <w:lang w:val="en-US"/>
        </w:rPr>
      </w:pPr>
      <w:r w:rsidRPr="00E04783">
        <w:rPr>
          <w:rFonts w:ascii="Lato" w:hAnsi="Lato"/>
          <w:sz w:val="24"/>
          <w:szCs w:val="24"/>
          <w:lang w:val="en-US"/>
        </w:rPr>
        <w:t>The Act on Equal Treatment in Certain Areas and Protection against Discrimination (2004)</w:t>
      </w:r>
      <w:r w:rsidRPr="00E04783">
        <w:rPr>
          <w:rStyle w:val="FootnoteReference"/>
          <w:rFonts w:ascii="Lato" w:hAnsi="Lato"/>
          <w:sz w:val="24"/>
          <w:szCs w:val="24"/>
          <w:lang w:val="en-US"/>
        </w:rPr>
        <w:footnoteReference w:id="44"/>
      </w:r>
      <w:r w:rsidRPr="00E04783">
        <w:rPr>
          <w:rFonts w:ascii="Lato" w:hAnsi="Lato"/>
          <w:sz w:val="24"/>
          <w:szCs w:val="24"/>
          <w:lang w:val="en-US"/>
        </w:rPr>
        <w:t xml:space="preserve"> in </w:t>
      </w:r>
      <w:r w:rsidRPr="00E04783">
        <w:rPr>
          <w:rFonts w:ascii="Lato" w:hAnsi="Lato"/>
          <w:b/>
          <w:bCs/>
          <w:sz w:val="24"/>
          <w:szCs w:val="24"/>
          <w:lang w:val="en-US"/>
        </w:rPr>
        <w:t>Slovakia</w:t>
      </w:r>
      <w:r w:rsidRPr="00E04783">
        <w:rPr>
          <w:rFonts w:ascii="Lato" w:hAnsi="Lato"/>
          <w:sz w:val="24"/>
          <w:szCs w:val="24"/>
          <w:lang w:val="en-US"/>
        </w:rPr>
        <w:t xml:space="preserve"> was amended by Law No. 85 (2008)</w:t>
      </w:r>
      <w:r w:rsidRPr="00E04783">
        <w:rPr>
          <w:rStyle w:val="FootnoteReference"/>
          <w:rFonts w:ascii="Lato" w:hAnsi="Lato"/>
          <w:sz w:val="24"/>
          <w:szCs w:val="24"/>
          <w:lang w:val="en-US"/>
        </w:rPr>
        <w:footnoteReference w:id="45"/>
      </w:r>
      <w:r w:rsidRPr="00E04783">
        <w:rPr>
          <w:rFonts w:ascii="Lato" w:hAnsi="Lato"/>
          <w:sz w:val="24"/>
          <w:szCs w:val="24"/>
          <w:lang w:val="en-US"/>
        </w:rPr>
        <w:t xml:space="preserve"> to prohibit </w:t>
      </w:r>
      <w:r w:rsidRPr="000C1621">
        <w:rPr>
          <w:rFonts w:ascii="Lato" w:hAnsi="Lato"/>
          <w:sz w:val="24"/>
          <w:szCs w:val="24"/>
          <w:lang w:val="en-US"/>
        </w:rPr>
        <w:t>sexual orientation</w:t>
      </w:r>
      <w:r w:rsidRPr="00E04783">
        <w:rPr>
          <w:rFonts w:ascii="Lato" w:hAnsi="Lato"/>
          <w:sz w:val="24"/>
          <w:szCs w:val="24"/>
          <w:lang w:val="en-US"/>
        </w:rPr>
        <w:t xml:space="preserve"> (Section 2(1)) and </w:t>
      </w:r>
      <w:r w:rsidRPr="000C1621">
        <w:rPr>
          <w:rFonts w:ascii="Lato" w:hAnsi="Lato"/>
          <w:sz w:val="24"/>
          <w:szCs w:val="24"/>
          <w:lang w:val="en-US"/>
        </w:rPr>
        <w:t>gender identity</w:t>
      </w:r>
      <w:r w:rsidRPr="00E04783">
        <w:rPr>
          <w:rFonts w:ascii="Lato" w:hAnsi="Lato"/>
          <w:sz w:val="24"/>
          <w:szCs w:val="24"/>
          <w:lang w:val="en-US"/>
        </w:rPr>
        <w:t xml:space="preserve"> (Section 2a(11)). This was amended to include housing as per Section 5 of the Law.</w:t>
      </w:r>
      <w:r w:rsidRPr="00E04783">
        <w:rPr>
          <w:rStyle w:val="FootnoteReference"/>
          <w:rFonts w:ascii="Lato" w:hAnsi="Lato"/>
          <w:sz w:val="24"/>
          <w:szCs w:val="24"/>
          <w:lang w:val="en-US"/>
        </w:rPr>
        <w:footnoteReference w:id="46"/>
      </w:r>
      <w:r w:rsidR="000C1621" w:rsidRPr="000C1621">
        <w:rPr>
          <w:rFonts w:ascii="Lato" w:hAnsi="Lato"/>
          <w:sz w:val="24"/>
          <w:szCs w:val="24"/>
          <w:lang w:val="en-US"/>
        </w:rPr>
        <w:t xml:space="preserve"> </w:t>
      </w:r>
      <w:r w:rsidR="000C1621">
        <w:rPr>
          <w:rFonts w:ascii="Lato" w:hAnsi="Lato"/>
          <w:sz w:val="24"/>
          <w:szCs w:val="24"/>
          <w:lang w:val="en-US"/>
        </w:rPr>
        <w:t>T</w:t>
      </w:r>
      <w:r w:rsidR="000C1621" w:rsidRPr="00CB62BC">
        <w:rPr>
          <w:rFonts w:ascii="Lato" w:hAnsi="Lato"/>
          <w:sz w:val="24"/>
          <w:szCs w:val="24"/>
          <w:lang w:val="en-US"/>
        </w:rPr>
        <w:t>here is</w:t>
      </w:r>
      <w:r w:rsidR="000C1621">
        <w:rPr>
          <w:rFonts w:ascii="Lato" w:hAnsi="Lato"/>
          <w:sz w:val="24"/>
          <w:szCs w:val="24"/>
          <w:lang w:val="en-US"/>
        </w:rPr>
        <w:t xml:space="preserve"> currently</w:t>
      </w:r>
      <w:r w:rsidR="000C1621" w:rsidRPr="00CB62BC">
        <w:rPr>
          <w:rFonts w:ascii="Lato" w:hAnsi="Lato"/>
          <w:sz w:val="24"/>
          <w:szCs w:val="24"/>
          <w:lang w:val="en-US"/>
        </w:rPr>
        <w:t xml:space="preserve"> no legislation that protects against housing discrimination </w:t>
      </w:r>
      <w:r w:rsidR="000C1621">
        <w:rPr>
          <w:rFonts w:ascii="Lato" w:hAnsi="Lato"/>
          <w:sz w:val="24"/>
          <w:szCs w:val="24"/>
          <w:lang w:val="en-US"/>
        </w:rPr>
        <w:t xml:space="preserve">on the grounds of gender expression or sex characteristics </w:t>
      </w:r>
      <w:r w:rsidR="000C1621" w:rsidRPr="00CB62BC">
        <w:rPr>
          <w:rFonts w:ascii="Lato" w:hAnsi="Lato"/>
          <w:sz w:val="24"/>
          <w:szCs w:val="24"/>
          <w:lang w:val="en-US"/>
        </w:rPr>
        <w:t xml:space="preserve">in </w:t>
      </w:r>
      <w:r w:rsidR="000C1621">
        <w:rPr>
          <w:rFonts w:ascii="Lato" w:hAnsi="Lato"/>
          <w:sz w:val="24"/>
          <w:szCs w:val="24"/>
          <w:lang w:val="en-US"/>
        </w:rPr>
        <w:t>Slovakia</w:t>
      </w:r>
      <w:r w:rsidR="000C1621" w:rsidRPr="00CB62BC">
        <w:rPr>
          <w:rFonts w:ascii="Lato" w:hAnsi="Lato"/>
          <w:sz w:val="24"/>
          <w:szCs w:val="24"/>
          <w:lang w:val="en-US"/>
        </w:rPr>
        <w:t>.</w:t>
      </w:r>
    </w:p>
    <w:p w14:paraId="26D49883" w14:textId="60AE563D" w:rsidR="002C0B18" w:rsidRPr="00E04783" w:rsidRDefault="002C0B18" w:rsidP="00152F62">
      <w:pPr>
        <w:jc w:val="both"/>
        <w:rPr>
          <w:rFonts w:ascii="Lato" w:hAnsi="Lato"/>
          <w:sz w:val="24"/>
          <w:szCs w:val="24"/>
          <w:lang w:val="en-US"/>
        </w:rPr>
      </w:pPr>
      <w:r w:rsidRPr="00E04783">
        <w:rPr>
          <w:rFonts w:ascii="Lato" w:hAnsi="Lato"/>
          <w:b/>
          <w:bCs/>
          <w:sz w:val="24"/>
          <w:szCs w:val="24"/>
          <w:lang w:val="en-US"/>
        </w:rPr>
        <w:lastRenderedPageBreak/>
        <w:t>Slovenia</w:t>
      </w:r>
      <w:r w:rsidRPr="00E04783">
        <w:rPr>
          <w:rFonts w:ascii="Lato" w:hAnsi="Lato"/>
          <w:sz w:val="24"/>
          <w:szCs w:val="24"/>
          <w:lang w:val="en-US"/>
        </w:rPr>
        <w:t>’s Penal Code (1995)</w:t>
      </w:r>
      <w:r w:rsidRPr="00E04783">
        <w:rPr>
          <w:rStyle w:val="FootnoteReference"/>
          <w:rFonts w:ascii="Lato" w:hAnsi="Lato"/>
          <w:sz w:val="24"/>
          <w:szCs w:val="24"/>
          <w:lang w:val="en-US"/>
        </w:rPr>
        <w:footnoteReference w:id="47"/>
      </w:r>
      <w:r w:rsidRPr="00E04783">
        <w:rPr>
          <w:rFonts w:ascii="Lato" w:hAnsi="Lato"/>
          <w:sz w:val="24"/>
          <w:szCs w:val="24"/>
          <w:lang w:val="en-US"/>
        </w:rPr>
        <w:t xml:space="preserve"> </w:t>
      </w:r>
      <w:r w:rsidR="00E053FA" w:rsidRPr="00E04783">
        <w:rPr>
          <w:rFonts w:ascii="Lato" w:hAnsi="Lato"/>
          <w:sz w:val="24"/>
          <w:szCs w:val="24"/>
          <w:lang w:val="en-US"/>
        </w:rPr>
        <w:t>criminalizes</w:t>
      </w:r>
      <w:r w:rsidRPr="00E04783">
        <w:rPr>
          <w:rFonts w:ascii="Lato" w:hAnsi="Lato"/>
          <w:sz w:val="24"/>
          <w:szCs w:val="24"/>
          <w:lang w:val="en-US"/>
        </w:rPr>
        <w:t xml:space="preserve"> any act of discrimination based </w:t>
      </w:r>
      <w:r w:rsidRPr="00D009C9">
        <w:rPr>
          <w:rFonts w:ascii="Lato" w:hAnsi="Lato"/>
          <w:sz w:val="24"/>
          <w:szCs w:val="24"/>
          <w:lang w:val="en-US"/>
        </w:rPr>
        <w:t>on sexual orientation</w:t>
      </w:r>
      <w:r w:rsidRPr="00E04783">
        <w:rPr>
          <w:rFonts w:ascii="Lato" w:hAnsi="Lato"/>
          <w:sz w:val="24"/>
          <w:szCs w:val="24"/>
          <w:lang w:val="en-US"/>
        </w:rPr>
        <w:t xml:space="preserve"> and applies to housing, as it applies to all human rights or fundamental freedoms </w:t>
      </w:r>
      <w:r w:rsidR="00E053FA" w:rsidRPr="00E04783">
        <w:rPr>
          <w:rFonts w:ascii="Lato" w:hAnsi="Lato"/>
          <w:sz w:val="24"/>
          <w:szCs w:val="24"/>
          <w:lang w:val="en-US"/>
        </w:rPr>
        <w:t>recognized</w:t>
      </w:r>
      <w:r w:rsidRPr="00E04783">
        <w:rPr>
          <w:rFonts w:ascii="Lato" w:hAnsi="Lato"/>
          <w:sz w:val="24"/>
          <w:szCs w:val="24"/>
          <w:lang w:val="en-US"/>
        </w:rPr>
        <w:t xml:space="preserve"> by the international community. This was kept in the new Penal Code (2009), Article 131.</w:t>
      </w:r>
      <w:r w:rsidRPr="00E04783">
        <w:rPr>
          <w:rStyle w:val="FootnoteReference"/>
          <w:rFonts w:ascii="Lato" w:hAnsi="Lato"/>
          <w:sz w:val="24"/>
          <w:szCs w:val="24"/>
          <w:lang w:val="en-US"/>
        </w:rPr>
        <w:footnoteReference w:id="48"/>
      </w:r>
      <w:r w:rsidRPr="00E04783">
        <w:rPr>
          <w:rFonts w:ascii="Lato" w:hAnsi="Lato"/>
          <w:sz w:val="24"/>
          <w:szCs w:val="24"/>
          <w:lang w:val="en-US"/>
        </w:rPr>
        <w:t xml:space="preserve"> Article 2 of the Protection against Discrimination Act (2016) prohibits discrimination on the basis of </w:t>
      </w:r>
      <w:r w:rsidRPr="00D009C9">
        <w:rPr>
          <w:rFonts w:ascii="Lato" w:hAnsi="Lato"/>
          <w:sz w:val="24"/>
          <w:szCs w:val="24"/>
          <w:lang w:val="en-US"/>
        </w:rPr>
        <w:t>sexual orientation, sexual identity, and sexual expression</w:t>
      </w:r>
      <w:r w:rsidRPr="00E04783">
        <w:rPr>
          <w:rFonts w:ascii="Lato" w:hAnsi="Lato"/>
          <w:sz w:val="24"/>
          <w:szCs w:val="24"/>
          <w:lang w:val="en-US"/>
        </w:rPr>
        <w:t>.</w:t>
      </w:r>
      <w:r w:rsidRPr="00E04783">
        <w:rPr>
          <w:rStyle w:val="FootnoteReference"/>
          <w:rFonts w:ascii="Lato" w:hAnsi="Lato"/>
          <w:sz w:val="24"/>
          <w:szCs w:val="24"/>
          <w:lang w:val="en-US"/>
        </w:rPr>
        <w:footnoteReference w:id="49"/>
      </w:r>
      <w:r w:rsidR="00D009C9">
        <w:rPr>
          <w:rFonts w:ascii="Lato" w:hAnsi="Lato"/>
          <w:sz w:val="24"/>
          <w:szCs w:val="24"/>
          <w:lang w:val="en-US"/>
        </w:rPr>
        <w:t xml:space="preserve"> Despite this, t</w:t>
      </w:r>
      <w:r w:rsidR="00D009C9" w:rsidRPr="00CB62BC">
        <w:rPr>
          <w:rFonts w:ascii="Lato" w:hAnsi="Lato"/>
          <w:sz w:val="24"/>
          <w:szCs w:val="24"/>
          <w:lang w:val="en-US"/>
        </w:rPr>
        <w:t>here is</w:t>
      </w:r>
      <w:r w:rsidR="00D009C9">
        <w:rPr>
          <w:rFonts w:ascii="Lato" w:hAnsi="Lato"/>
          <w:sz w:val="24"/>
          <w:szCs w:val="24"/>
          <w:lang w:val="en-US"/>
        </w:rPr>
        <w:t xml:space="preserve"> currently</w:t>
      </w:r>
      <w:r w:rsidR="00D009C9" w:rsidRPr="00CB62BC">
        <w:rPr>
          <w:rFonts w:ascii="Lato" w:hAnsi="Lato"/>
          <w:sz w:val="24"/>
          <w:szCs w:val="24"/>
          <w:lang w:val="en-US"/>
        </w:rPr>
        <w:t xml:space="preserve"> no legislation that protects against housing discrimination </w:t>
      </w:r>
      <w:r w:rsidR="00D009C9">
        <w:rPr>
          <w:rFonts w:ascii="Lato" w:hAnsi="Lato"/>
          <w:sz w:val="24"/>
          <w:szCs w:val="24"/>
          <w:lang w:val="en-US"/>
        </w:rPr>
        <w:t xml:space="preserve">on the grounds of sex characteristics </w:t>
      </w:r>
      <w:r w:rsidR="00D009C9" w:rsidRPr="00CB62BC">
        <w:rPr>
          <w:rFonts w:ascii="Lato" w:hAnsi="Lato"/>
          <w:sz w:val="24"/>
          <w:szCs w:val="24"/>
          <w:lang w:val="en-US"/>
        </w:rPr>
        <w:t xml:space="preserve">in </w:t>
      </w:r>
      <w:r w:rsidR="00D009C9">
        <w:rPr>
          <w:rFonts w:ascii="Lato" w:hAnsi="Lato"/>
          <w:sz w:val="24"/>
          <w:szCs w:val="24"/>
          <w:lang w:val="en-US"/>
        </w:rPr>
        <w:t>Slovenia</w:t>
      </w:r>
      <w:r w:rsidR="00D009C9" w:rsidRPr="00CB62BC">
        <w:rPr>
          <w:rFonts w:ascii="Lato" w:hAnsi="Lato"/>
          <w:sz w:val="24"/>
          <w:szCs w:val="24"/>
          <w:lang w:val="en-US"/>
        </w:rPr>
        <w:t>.</w:t>
      </w:r>
    </w:p>
    <w:p w14:paraId="687F35C4" w14:textId="77777777" w:rsidR="00C86672" w:rsidRDefault="002C0B18" w:rsidP="00152F62">
      <w:pPr>
        <w:jc w:val="both"/>
        <w:rPr>
          <w:rFonts w:ascii="Lato" w:eastAsia="Lato" w:hAnsi="Lato" w:cs="Lato"/>
          <w:color w:val="1C1C1C"/>
          <w:sz w:val="24"/>
          <w:szCs w:val="24"/>
          <w:lang w:val="en-US"/>
        </w:rPr>
      </w:pPr>
      <w:r w:rsidRPr="00E04783">
        <w:rPr>
          <w:rFonts w:ascii="Lato" w:hAnsi="Lato"/>
          <w:b/>
          <w:bCs/>
          <w:sz w:val="24"/>
          <w:szCs w:val="24"/>
          <w:lang w:val="en-US"/>
        </w:rPr>
        <w:t>Spain</w:t>
      </w:r>
      <w:r w:rsidRPr="00E04783">
        <w:rPr>
          <w:rFonts w:ascii="Lato" w:hAnsi="Lato"/>
          <w:sz w:val="24"/>
          <w:szCs w:val="24"/>
          <w:lang w:val="en-US"/>
        </w:rPr>
        <w:t xml:space="preserve">’s </w:t>
      </w:r>
      <w:r w:rsidRPr="00E04783">
        <w:rPr>
          <w:rFonts w:ascii="Lato" w:eastAsia="Lato" w:hAnsi="Lato" w:cs="Lato"/>
          <w:color w:val="1C1C1C"/>
          <w:sz w:val="24"/>
          <w:szCs w:val="24"/>
          <w:lang w:val="en-US"/>
        </w:rPr>
        <w:t>Integral Law for Equal Treatment and Non-Discrimination (Law No. 15) (2022)</w:t>
      </w:r>
      <w:r w:rsidRPr="00E04783">
        <w:rPr>
          <w:rStyle w:val="FootnoteReference"/>
          <w:rFonts w:ascii="Lato" w:eastAsia="Lato" w:hAnsi="Lato" w:cs="Lato"/>
          <w:color w:val="1C1C1C"/>
          <w:sz w:val="24"/>
          <w:szCs w:val="24"/>
          <w:lang w:val="en-US"/>
        </w:rPr>
        <w:footnoteReference w:id="50"/>
      </w:r>
      <w:r w:rsidRPr="00E04783">
        <w:rPr>
          <w:rFonts w:ascii="Lato" w:eastAsia="Lato" w:hAnsi="Lato" w:cs="Lato"/>
          <w:color w:val="1C1C1C"/>
          <w:sz w:val="24"/>
          <w:szCs w:val="24"/>
          <w:lang w:val="en-US"/>
        </w:rPr>
        <w:t xml:space="preserve"> prohibits discrimination based on </w:t>
      </w:r>
      <w:r w:rsidRPr="009B69D1">
        <w:rPr>
          <w:rFonts w:ascii="Lato" w:eastAsia="Lato" w:hAnsi="Lato" w:cs="Lato"/>
          <w:color w:val="1C1C1C"/>
          <w:sz w:val="24"/>
          <w:szCs w:val="24"/>
          <w:lang w:val="en-US"/>
        </w:rPr>
        <w:t>sexual orientation</w:t>
      </w:r>
      <w:r w:rsidR="008C6C70" w:rsidRPr="009B69D1">
        <w:rPr>
          <w:rFonts w:ascii="Lato" w:eastAsia="Lato" w:hAnsi="Lato" w:cs="Lato"/>
          <w:color w:val="1C1C1C"/>
          <w:sz w:val="24"/>
          <w:szCs w:val="24"/>
          <w:lang w:val="en-US"/>
        </w:rPr>
        <w:t xml:space="preserve">, sexual identity, </w:t>
      </w:r>
      <w:r w:rsidR="00C86672" w:rsidRPr="009B69D1">
        <w:rPr>
          <w:rFonts w:ascii="Lato" w:eastAsia="Lato" w:hAnsi="Lato" w:cs="Lato"/>
          <w:color w:val="1C1C1C"/>
          <w:sz w:val="24"/>
          <w:szCs w:val="24"/>
          <w:lang w:val="en-US"/>
        </w:rPr>
        <w:t xml:space="preserve">and </w:t>
      </w:r>
      <w:r w:rsidR="008C6C70" w:rsidRPr="009B69D1">
        <w:rPr>
          <w:rFonts w:ascii="Lato" w:eastAsia="Lato" w:hAnsi="Lato" w:cs="Lato"/>
          <w:color w:val="1C1C1C"/>
          <w:sz w:val="24"/>
          <w:szCs w:val="24"/>
          <w:lang w:val="en-US"/>
        </w:rPr>
        <w:t>gender expression</w:t>
      </w:r>
      <w:r w:rsidRPr="00E04783">
        <w:rPr>
          <w:rFonts w:ascii="Lato" w:eastAsia="Lato" w:hAnsi="Lato" w:cs="Lato"/>
          <w:color w:val="1C1C1C"/>
          <w:sz w:val="24"/>
          <w:szCs w:val="24"/>
          <w:lang w:val="en-US"/>
        </w:rPr>
        <w:t>. Article 3 (Law No. 29) (1994) explicitly includes access to goods, and housing. Furthermore, the Law on Urban Rentals has many conditions aimed at protecting the tenant’s partner in housing which explicitly state that any partner can benefit regardless of sexual orientation.</w:t>
      </w:r>
      <w:r w:rsidRPr="00E04783">
        <w:rPr>
          <w:rStyle w:val="FootnoteReference"/>
          <w:rFonts w:ascii="Lato" w:eastAsia="Lato" w:hAnsi="Lato" w:cs="Lato"/>
          <w:color w:val="1C1C1C"/>
          <w:sz w:val="24"/>
          <w:szCs w:val="24"/>
          <w:lang w:val="en-US"/>
        </w:rPr>
        <w:footnoteReference w:id="51"/>
      </w:r>
      <w:r w:rsidRPr="00E04783">
        <w:rPr>
          <w:rFonts w:ascii="Lato" w:eastAsia="Lato" w:hAnsi="Lato" w:cs="Lato"/>
          <w:color w:val="1C1C1C"/>
          <w:sz w:val="24"/>
          <w:szCs w:val="24"/>
          <w:lang w:val="en-US"/>
        </w:rPr>
        <w:t xml:space="preserve"> </w:t>
      </w:r>
    </w:p>
    <w:p w14:paraId="44EB9648" w14:textId="41CC0C5B" w:rsidR="002C0B18" w:rsidRPr="00E04783" w:rsidRDefault="002C0B18" w:rsidP="00152F62">
      <w:pPr>
        <w:jc w:val="both"/>
        <w:rPr>
          <w:rFonts w:ascii="Lato" w:eastAsia="Lato" w:hAnsi="Lato" w:cs="Lato"/>
          <w:color w:val="1C1C1C"/>
          <w:sz w:val="24"/>
          <w:szCs w:val="24"/>
          <w:lang w:val="en-US"/>
        </w:rPr>
      </w:pPr>
      <w:r w:rsidRPr="00E04783">
        <w:rPr>
          <w:rFonts w:ascii="Lato" w:eastAsia="Lato" w:hAnsi="Lato" w:cs="Lato"/>
          <w:color w:val="1C1C1C"/>
          <w:sz w:val="24"/>
          <w:szCs w:val="24"/>
          <w:lang w:val="en-US"/>
        </w:rPr>
        <w:t xml:space="preserve">In 2023, </w:t>
      </w:r>
      <w:r w:rsidR="00B801B7">
        <w:rPr>
          <w:rFonts w:ascii="Lato" w:eastAsia="Lato" w:hAnsi="Lato" w:cs="Lato"/>
          <w:color w:val="1C1C1C"/>
          <w:sz w:val="24"/>
          <w:szCs w:val="24"/>
          <w:lang w:val="en-US"/>
        </w:rPr>
        <w:t xml:space="preserve">both of Spain’s legislative chambers approved the </w:t>
      </w:r>
      <w:r w:rsidRPr="00E04783">
        <w:rPr>
          <w:rFonts w:ascii="Lato" w:eastAsia="Lato" w:hAnsi="Lato" w:cs="Lato"/>
          <w:color w:val="1C1C1C"/>
          <w:sz w:val="24"/>
          <w:szCs w:val="24"/>
          <w:lang w:val="en-US"/>
        </w:rPr>
        <w:t>Law for the real and effective equality of trans people and to guarantee the rights of LGBTI people</w:t>
      </w:r>
      <w:r w:rsidR="00B801B7">
        <w:rPr>
          <w:rFonts w:ascii="Lato" w:eastAsia="Lato" w:hAnsi="Lato" w:cs="Lato"/>
          <w:color w:val="1C1C1C"/>
          <w:sz w:val="24"/>
          <w:szCs w:val="24"/>
          <w:lang w:val="en-US"/>
        </w:rPr>
        <w:t xml:space="preserve"> (Law No. 4)</w:t>
      </w:r>
      <w:r w:rsidRPr="00E04783">
        <w:rPr>
          <w:rFonts w:ascii="Lato" w:eastAsia="Lato" w:hAnsi="Lato" w:cs="Lato"/>
          <w:color w:val="1C1C1C"/>
          <w:sz w:val="24"/>
          <w:szCs w:val="24"/>
          <w:lang w:val="en-US"/>
        </w:rPr>
        <w:t>.</w:t>
      </w:r>
      <w:r w:rsidRPr="00E04783">
        <w:rPr>
          <w:rStyle w:val="FootnoteReference"/>
          <w:rFonts w:ascii="Lato" w:eastAsia="Lato" w:hAnsi="Lato" w:cs="Lato"/>
          <w:color w:val="1C1C1C"/>
          <w:sz w:val="24"/>
          <w:szCs w:val="24"/>
          <w:lang w:val="en-US"/>
        </w:rPr>
        <w:footnoteReference w:id="52"/>
      </w:r>
      <w:r w:rsidRPr="00E04783">
        <w:rPr>
          <w:rFonts w:ascii="Lato" w:eastAsia="Lato" w:hAnsi="Lato" w:cs="Lato"/>
          <w:color w:val="1C1C1C"/>
          <w:sz w:val="24"/>
          <w:szCs w:val="24"/>
          <w:lang w:val="en-US"/>
        </w:rPr>
        <w:t xml:space="preserve"> </w:t>
      </w:r>
      <w:r w:rsidR="00B801B7">
        <w:rPr>
          <w:rFonts w:ascii="Lato" w:eastAsia="Lato" w:hAnsi="Lato" w:cs="Lato"/>
          <w:color w:val="1C1C1C"/>
          <w:sz w:val="24"/>
          <w:szCs w:val="24"/>
          <w:lang w:val="en-US"/>
        </w:rPr>
        <w:t>Article 4 of this</w:t>
      </w:r>
      <w:r w:rsidRPr="00E04783">
        <w:rPr>
          <w:rFonts w:ascii="Lato" w:eastAsia="Lato" w:hAnsi="Lato" w:cs="Lato"/>
          <w:color w:val="1C1C1C"/>
          <w:sz w:val="24"/>
          <w:szCs w:val="24"/>
          <w:lang w:val="en-US"/>
        </w:rPr>
        <w:t xml:space="preserve"> law establishes the duty of all public authorities to protect against discrimination based </w:t>
      </w:r>
      <w:r w:rsidRPr="009B69D1">
        <w:rPr>
          <w:rFonts w:ascii="Lato" w:eastAsia="Lato" w:hAnsi="Lato" w:cs="Lato"/>
          <w:color w:val="1C1C1C"/>
          <w:sz w:val="24"/>
          <w:szCs w:val="24"/>
          <w:lang w:val="en-US"/>
        </w:rPr>
        <w:t>on sexual orientation, sexual identity, gender expression and sex characteristics</w:t>
      </w:r>
      <w:r w:rsidRPr="00E04783">
        <w:rPr>
          <w:rFonts w:ascii="Lato" w:eastAsia="Lato" w:hAnsi="Lato" w:cs="Lato"/>
          <w:color w:val="1C1C1C"/>
          <w:sz w:val="24"/>
          <w:szCs w:val="24"/>
          <w:lang w:val="en-US"/>
        </w:rPr>
        <w:t>. It sanctions discriminatory denial of housing in Article 79, denouncing it as a ‘very serious infraction.’ In addition, this legislation states public authorities should develop policies to ensure equality in housing of LGBTI persons.</w:t>
      </w:r>
      <w:r w:rsidRPr="00E04783">
        <w:rPr>
          <w:rStyle w:val="FootnoteReference"/>
          <w:rFonts w:ascii="Lato" w:eastAsia="Lato" w:hAnsi="Lato" w:cs="Lato"/>
          <w:color w:val="1C1C1C"/>
          <w:sz w:val="24"/>
          <w:szCs w:val="24"/>
          <w:lang w:val="en-US"/>
        </w:rPr>
        <w:footnoteReference w:id="53"/>
      </w:r>
    </w:p>
    <w:p w14:paraId="1CF126F1" w14:textId="2807CA15"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North Macedonia</w:t>
      </w:r>
      <w:r w:rsidRPr="00E04783">
        <w:rPr>
          <w:rFonts w:ascii="Lato" w:hAnsi="Lato"/>
          <w:sz w:val="24"/>
          <w:szCs w:val="24"/>
          <w:lang w:val="en-US"/>
        </w:rPr>
        <w:t>, Article 3(5) of the Law on Prevention of and Protection against Discrimination (2019)</w:t>
      </w:r>
      <w:r w:rsidRPr="00E04783">
        <w:rPr>
          <w:rStyle w:val="FootnoteReference"/>
          <w:rFonts w:ascii="Lato" w:hAnsi="Lato"/>
          <w:sz w:val="24"/>
          <w:szCs w:val="24"/>
          <w:lang w:val="en-US"/>
        </w:rPr>
        <w:footnoteReference w:id="54"/>
      </w:r>
      <w:r w:rsidRPr="00E04783">
        <w:rPr>
          <w:rFonts w:ascii="Lato" w:hAnsi="Lato"/>
          <w:sz w:val="24"/>
          <w:szCs w:val="24"/>
          <w:lang w:val="en-US"/>
        </w:rPr>
        <w:t xml:space="preserve"> prohibits housing discrimination on the grounds of </w:t>
      </w:r>
      <w:r w:rsidRPr="0097716B">
        <w:rPr>
          <w:rFonts w:ascii="Lato" w:hAnsi="Lato"/>
          <w:sz w:val="24"/>
          <w:szCs w:val="24"/>
          <w:lang w:val="en-US"/>
        </w:rPr>
        <w:t>sexual orientation</w:t>
      </w:r>
      <w:r w:rsidRPr="00E04783">
        <w:rPr>
          <w:rFonts w:ascii="Lato" w:hAnsi="Lato"/>
          <w:sz w:val="24"/>
          <w:szCs w:val="24"/>
          <w:lang w:val="en-US"/>
        </w:rPr>
        <w:t>. The Constitutional Court struck down this law in May 2020 stating procedural issues. However, this was temporary, and the Law was reinstated in October 2020 as the Law on Prevention and Protection from Discrimination (2020).</w:t>
      </w:r>
      <w:r w:rsidRPr="00E04783">
        <w:rPr>
          <w:rStyle w:val="FootnoteReference"/>
          <w:rFonts w:ascii="Lato" w:hAnsi="Lato"/>
          <w:sz w:val="24"/>
          <w:szCs w:val="24"/>
          <w:lang w:val="en-US"/>
        </w:rPr>
        <w:footnoteReference w:id="55"/>
      </w:r>
      <w:r w:rsidR="0097716B">
        <w:rPr>
          <w:rFonts w:ascii="Lato" w:hAnsi="Lato"/>
          <w:sz w:val="24"/>
          <w:szCs w:val="24"/>
          <w:lang w:val="en-US"/>
        </w:rPr>
        <w:t xml:space="preserve"> T</w:t>
      </w:r>
      <w:r w:rsidR="0097716B" w:rsidRPr="00CB62BC">
        <w:rPr>
          <w:rFonts w:ascii="Lato" w:hAnsi="Lato"/>
          <w:sz w:val="24"/>
          <w:szCs w:val="24"/>
          <w:lang w:val="en-US"/>
        </w:rPr>
        <w:t>here is</w:t>
      </w:r>
      <w:r w:rsidR="0097716B">
        <w:rPr>
          <w:rFonts w:ascii="Lato" w:hAnsi="Lato"/>
          <w:sz w:val="24"/>
          <w:szCs w:val="24"/>
          <w:lang w:val="en-US"/>
        </w:rPr>
        <w:t xml:space="preserve"> currently</w:t>
      </w:r>
      <w:r w:rsidR="0097716B" w:rsidRPr="00CB62BC">
        <w:rPr>
          <w:rFonts w:ascii="Lato" w:hAnsi="Lato"/>
          <w:sz w:val="24"/>
          <w:szCs w:val="24"/>
          <w:lang w:val="en-US"/>
        </w:rPr>
        <w:t xml:space="preserve"> no legislation that protects against housing discrimination </w:t>
      </w:r>
      <w:r w:rsidR="0097716B">
        <w:rPr>
          <w:rFonts w:ascii="Lato" w:hAnsi="Lato"/>
          <w:sz w:val="24"/>
          <w:szCs w:val="24"/>
          <w:lang w:val="en-US"/>
        </w:rPr>
        <w:t xml:space="preserve">on the grounds of gender expression or sex characteristics </w:t>
      </w:r>
      <w:r w:rsidR="0097716B" w:rsidRPr="00CB62BC">
        <w:rPr>
          <w:rFonts w:ascii="Lato" w:hAnsi="Lato"/>
          <w:sz w:val="24"/>
          <w:szCs w:val="24"/>
          <w:lang w:val="en-US"/>
        </w:rPr>
        <w:t>in</w:t>
      </w:r>
      <w:r w:rsidR="0097716B">
        <w:rPr>
          <w:rFonts w:ascii="Lato" w:hAnsi="Lato"/>
          <w:sz w:val="24"/>
          <w:szCs w:val="24"/>
          <w:lang w:val="en-US"/>
        </w:rPr>
        <w:t xml:space="preserve"> North Macedonia</w:t>
      </w:r>
      <w:r w:rsidR="0097716B" w:rsidRPr="00CB62BC">
        <w:rPr>
          <w:rFonts w:ascii="Lato" w:hAnsi="Lato"/>
          <w:sz w:val="24"/>
          <w:szCs w:val="24"/>
          <w:lang w:val="en-US"/>
        </w:rPr>
        <w:t>.</w:t>
      </w:r>
    </w:p>
    <w:p w14:paraId="6A6FBCC5" w14:textId="77777777" w:rsidR="002C0B18" w:rsidRPr="00E04783" w:rsidRDefault="002C0B18" w:rsidP="00152F62">
      <w:pPr>
        <w:pStyle w:val="Heading4"/>
        <w:jc w:val="both"/>
        <w:rPr>
          <w:rFonts w:ascii="Lato" w:hAnsi="Lato"/>
          <w:szCs w:val="24"/>
          <w:lang w:val="en-US"/>
        </w:rPr>
      </w:pPr>
      <w:r w:rsidRPr="00E04783">
        <w:rPr>
          <w:rFonts w:ascii="Lato" w:hAnsi="Lato"/>
          <w:szCs w:val="24"/>
          <w:lang w:val="en-US"/>
        </w:rPr>
        <w:t>Latin America and the Caribbean</w:t>
      </w:r>
    </w:p>
    <w:p w14:paraId="5BA9CDDF" w14:textId="093731A5"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The </w:t>
      </w:r>
      <w:r w:rsidRPr="00E04783">
        <w:rPr>
          <w:rFonts w:ascii="Lato" w:hAnsi="Lato"/>
          <w:b/>
          <w:bCs/>
          <w:sz w:val="24"/>
          <w:szCs w:val="24"/>
          <w:lang w:val="en-US"/>
        </w:rPr>
        <w:t>Brazilian</w:t>
      </w:r>
      <w:r w:rsidRPr="00E04783">
        <w:rPr>
          <w:rFonts w:ascii="Lato" w:hAnsi="Lato"/>
          <w:sz w:val="24"/>
          <w:szCs w:val="24"/>
          <w:lang w:val="en-US"/>
        </w:rPr>
        <w:t xml:space="preserve"> Federal Supreme Court passed legislation</w:t>
      </w:r>
      <w:r w:rsidRPr="00E04783">
        <w:rPr>
          <w:rStyle w:val="FootnoteReference"/>
          <w:rFonts w:ascii="Lato" w:hAnsi="Lato"/>
          <w:sz w:val="24"/>
          <w:szCs w:val="24"/>
          <w:lang w:val="en-US"/>
        </w:rPr>
        <w:footnoteReference w:id="56"/>
      </w:r>
      <w:r w:rsidRPr="00E04783">
        <w:rPr>
          <w:rFonts w:ascii="Lato" w:hAnsi="Lato"/>
          <w:sz w:val="24"/>
          <w:szCs w:val="24"/>
          <w:lang w:val="en-US"/>
        </w:rPr>
        <w:t xml:space="preserve"> to acknowledge acts of </w:t>
      </w:r>
      <w:r w:rsidRPr="00590BD7">
        <w:rPr>
          <w:rFonts w:ascii="Lato" w:hAnsi="Lato"/>
          <w:sz w:val="24"/>
          <w:szCs w:val="24"/>
          <w:lang w:val="en-US"/>
        </w:rPr>
        <w:t>homophobia</w:t>
      </w:r>
      <w:r w:rsidRPr="00E04783">
        <w:rPr>
          <w:rFonts w:ascii="Lato" w:hAnsi="Lato"/>
          <w:sz w:val="24"/>
          <w:szCs w:val="24"/>
          <w:lang w:val="en-US"/>
        </w:rPr>
        <w:t xml:space="preserve"> to be included within the definition of racism under Law No. 7,716 </w:t>
      </w:r>
      <w:r w:rsidRPr="00E04783">
        <w:rPr>
          <w:rFonts w:ascii="Lato" w:hAnsi="Lato"/>
          <w:sz w:val="24"/>
          <w:szCs w:val="24"/>
          <w:lang w:val="en-US"/>
        </w:rPr>
        <w:lastRenderedPageBreak/>
        <w:t>(1989)</w:t>
      </w:r>
      <w:r w:rsidRPr="00E04783">
        <w:rPr>
          <w:rStyle w:val="FootnoteReference"/>
          <w:rFonts w:ascii="Lato" w:hAnsi="Lato"/>
          <w:sz w:val="24"/>
          <w:szCs w:val="24"/>
          <w:lang w:val="en-US"/>
        </w:rPr>
        <w:footnoteReference w:id="57"/>
      </w:r>
      <w:r w:rsidRPr="00E04783">
        <w:rPr>
          <w:rFonts w:ascii="Lato" w:hAnsi="Lato"/>
          <w:sz w:val="24"/>
          <w:szCs w:val="24"/>
          <w:lang w:val="en-US"/>
        </w:rPr>
        <w:t xml:space="preserve"> in 2019. This applies to housing and will be in effect until Parliament rules in legislation that specifically condemns discrimination on the grounds of sexual orientation. Bill PL No. 1947 (2021) was brought to the National Congress in 2021, to explicitly include same-sex couples as a group to be given priority in a national-level housing </w:t>
      </w:r>
      <w:r w:rsidR="003E2B73" w:rsidRPr="00E04783">
        <w:rPr>
          <w:rFonts w:ascii="Lato" w:hAnsi="Lato"/>
          <w:sz w:val="24"/>
          <w:szCs w:val="24"/>
          <w:lang w:val="en-US"/>
        </w:rPr>
        <w:t>program</w:t>
      </w:r>
      <w:r w:rsidRPr="00E04783">
        <w:rPr>
          <w:rFonts w:ascii="Lato" w:hAnsi="Lato"/>
          <w:sz w:val="24"/>
          <w:szCs w:val="24"/>
          <w:lang w:val="en-US"/>
        </w:rPr>
        <w:t>.</w:t>
      </w:r>
      <w:r w:rsidRPr="00E04783">
        <w:rPr>
          <w:rStyle w:val="FootnoteReference"/>
          <w:rFonts w:ascii="Lato" w:hAnsi="Lato"/>
          <w:sz w:val="24"/>
          <w:szCs w:val="24"/>
          <w:lang w:val="en-US"/>
        </w:rPr>
        <w:footnoteReference w:id="58"/>
      </w:r>
      <w:r w:rsidR="008F4FDC">
        <w:rPr>
          <w:rFonts w:ascii="Lato" w:hAnsi="Lato"/>
          <w:sz w:val="24"/>
          <w:szCs w:val="24"/>
          <w:lang w:val="en-US"/>
        </w:rPr>
        <w:t xml:space="preserve"> Currently, t</w:t>
      </w:r>
      <w:r w:rsidR="008F4FDC" w:rsidRPr="00CB62BC">
        <w:rPr>
          <w:rFonts w:ascii="Lato" w:hAnsi="Lato"/>
          <w:sz w:val="24"/>
          <w:szCs w:val="24"/>
          <w:lang w:val="en-US"/>
        </w:rPr>
        <w:t>here is</w:t>
      </w:r>
      <w:r w:rsidR="008F4FDC">
        <w:rPr>
          <w:rFonts w:ascii="Lato" w:hAnsi="Lato"/>
          <w:sz w:val="24"/>
          <w:szCs w:val="24"/>
          <w:lang w:val="en-US"/>
        </w:rPr>
        <w:t xml:space="preserve"> currently</w:t>
      </w:r>
      <w:r w:rsidR="008F4FDC" w:rsidRPr="00CB62BC">
        <w:rPr>
          <w:rFonts w:ascii="Lato" w:hAnsi="Lato"/>
          <w:sz w:val="24"/>
          <w:szCs w:val="24"/>
          <w:lang w:val="en-US"/>
        </w:rPr>
        <w:t xml:space="preserve"> no legislation that protects against housing discrimination </w:t>
      </w:r>
      <w:r w:rsidR="008F4FDC">
        <w:rPr>
          <w:rFonts w:ascii="Lato" w:hAnsi="Lato"/>
          <w:sz w:val="24"/>
          <w:szCs w:val="24"/>
          <w:lang w:val="en-US"/>
        </w:rPr>
        <w:t xml:space="preserve">on the grounds of gender expression or sex characteristics </w:t>
      </w:r>
      <w:r w:rsidR="008F4FDC" w:rsidRPr="00CB62BC">
        <w:rPr>
          <w:rFonts w:ascii="Lato" w:hAnsi="Lato"/>
          <w:sz w:val="24"/>
          <w:szCs w:val="24"/>
          <w:lang w:val="en-US"/>
        </w:rPr>
        <w:t xml:space="preserve">in </w:t>
      </w:r>
      <w:r w:rsidR="008F4FDC">
        <w:rPr>
          <w:rFonts w:ascii="Lato" w:hAnsi="Lato"/>
          <w:sz w:val="24"/>
          <w:szCs w:val="24"/>
          <w:lang w:val="en-US"/>
        </w:rPr>
        <w:t>Brazil</w:t>
      </w:r>
      <w:r w:rsidR="008F4FDC" w:rsidRPr="00CB62BC">
        <w:rPr>
          <w:rFonts w:ascii="Lato" w:hAnsi="Lato"/>
          <w:sz w:val="24"/>
          <w:szCs w:val="24"/>
          <w:lang w:val="en-US"/>
        </w:rPr>
        <w:t>.</w:t>
      </w:r>
    </w:p>
    <w:p w14:paraId="1C4BCAF7" w14:textId="02182CCE"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Chile</w:t>
      </w:r>
      <w:r w:rsidRPr="00E04783">
        <w:rPr>
          <w:rFonts w:ascii="Lato" w:hAnsi="Lato"/>
          <w:sz w:val="24"/>
          <w:szCs w:val="24"/>
          <w:lang w:val="en-US"/>
        </w:rPr>
        <w:t xml:space="preserve">, the Law on the Adoption of Measures against Discrimination (Law No. 20, 609) (2021) prohibits discrimination based on </w:t>
      </w:r>
      <w:r w:rsidRPr="00590BD7">
        <w:rPr>
          <w:rFonts w:ascii="Lato" w:hAnsi="Lato"/>
          <w:sz w:val="24"/>
          <w:szCs w:val="24"/>
          <w:lang w:val="en-US"/>
        </w:rPr>
        <w:t>sexual orientation, gender identity and gender expression</w:t>
      </w:r>
      <w:r w:rsidRPr="00E04783">
        <w:rPr>
          <w:rFonts w:ascii="Lato" w:hAnsi="Lato"/>
          <w:sz w:val="24"/>
          <w:szCs w:val="24"/>
          <w:lang w:val="en-US"/>
        </w:rPr>
        <w:t xml:space="preserve"> in regards with any right in the Constitution, including housing.</w:t>
      </w:r>
      <w:r w:rsidRPr="00E04783">
        <w:rPr>
          <w:rStyle w:val="FootnoteReference"/>
          <w:rFonts w:ascii="Lato" w:hAnsi="Lato"/>
          <w:sz w:val="24"/>
          <w:szCs w:val="24"/>
          <w:lang w:val="en-US"/>
        </w:rPr>
        <w:footnoteReference w:id="59"/>
      </w:r>
      <w:r w:rsidRPr="00E04783">
        <w:rPr>
          <w:rFonts w:ascii="Lato" w:hAnsi="Lato"/>
          <w:sz w:val="24"/>
          <w:szCs w:val="24"/>
          <w:lang w:val="en-US"/>
        </w:rPr>
        <w:t xml:space="preserve"> A bill was introduced to amend this law in 2020, which would protect against discrimination based on </w:t>
      </w:r>
      <w:r w:rsidRPr="00590BD7">
        <w:rPr>
          <w:rFonts w:ascii="Lato" w:hAnsi="Lato"/>
          <w:sz w:val="24"/>
          <w:szCs w:val="24"/>
          <w:lang w:val="en-US"/>
        </w:rPr>
        <w:t>sex characteristics</w:t>
      </w:r>
      <w:r w:rsidRPr="00E04783">
        <w:rPr>
          <w:rFonts w:ascii="Lato" w:hAnsi="Lato"/>
          <w:sz w:val="24"/>
          <w:szCs w:val="24"/>
          <w:lang w:val="en-US"/>
        </w:rPr>
        <w:t>.</w:t>
      </w:r>
      <w:r w:rsidRPr="00E04783">
        <w:rPr>
          <w:rStyle w:val="FootnoteReference"/>
          <w:rFonts w:ascii="Lato" w:hAnsi="Lato"/>
          <w:sz w:val="24"/>
          <w:szCs w:val="24"/>
          <w:lang w:val="en-US"/>
        </w:rPr>
        <w:footnoteReference w:id="60"/>
      </w:r>
      <w:r w:rsidRPr="00E04783">
        <w:rPr>
          <w:rFonts w:ascii="Lato" w:hAnsi="Lato"/>
          <w:sz w:val="24"/>
          <w:szCs w:val="24"/>
          <w:lang w:val="en-US"/>
        </w:rPr>
        <w:t xml:space="preserve"> The 2021 Bill No. 14,748-1 had the same goal.</w:t>
      </w:r>
      <w:r w:rsidRPr="00E04783">
        <w:rPr>
          <w:rStyle w:val="FootnoteReference"/>
          <w:rFonts w:ascii="Lato" w:hAnsi="Lato"/>
          <w:sz w:val="24"/>
          <w:szCs w:val="24"/>
          <w:lang w:val="en-US"/>
        </w:rPr>
        <w:footnoteReference w:id="61"/>
      </w:r>
      <w:r w:rsidR="00590BD7">
        <w:rPr>
          <w:rFonts w:ascii="Lato" w:hAnsi="Lato"/>
          <w:sz w:val="24"/>
          <w:szCs w:val="24"/>
          <w:lang w:val="en-US"/>
        </w:rPr>
        <w:t xml:space="preserve"> Despite this, t</w:t>
      </w:r>
      <w:r w:rsidR="00590BD7" w:rsidRPr="00CB62BC">
        <w:rPr>
          <w:rFonts w:ascii="Lato" w:hAnsi="Lato"/>
          <w:sz w:val="24"/>
          <w:szCs w:val="24"/>
          <w:lang w:val="en-US"/>
        </w:rPr>
        <w:t>here is</w:t>
      </w:r>
      <w:r w:rsidR="00590BD7">
        <w:rPr>
          <w:rFonts w:ascii="Lato" w:hAnsi="Lato"/>
          <w:sz w:val="24"/>
          <w:szCs w:val="24"/>
          <w:lang w:val="en-US"/>
        </w:rPr>
        <w:t xml:space="preserve"> currently</w:t>
      </w:r>
      <w:r w:rsidR="00590BD7" w:rsidRPr="00CB62BC">
        <w:rPr>
          <w:rFonts w:ascii="Lato" w:hAnsi="Lato"/>
          <w:sz w:val="24"/>
          <w:szCs w:val="24"/>
          <w:lang w:val="en-US"/>
        </w:rPr>
        <w:t xml:space="preserve"> no legislation that protects against housing discrimination </w:t>
      </w:r>
      <w:r w:rsidR="00590BD7">
        <w:rPr>
          <w:rFonts w:ascii="Lato" w:hAnsi="Lato"/>
          <w:sz w:val="24"/>
          <w:szCs w:val="24"/>
          <w:lang w:val="en-US"/>
        </w:rPr>
        <w:t xml:space="preserve">on the grounds of sex characteristics </w:t>
      </w:r>
      <w:r w:rsidR="00590BD7" w:rsidRPr="00CB62BC">
        <w:rPr>
          <w:rFonts w:ascii="Lato" w:hAnsi="Lato"/>
          <w:sz w:val="24"/>
          <w:szCs w:val="24"/>
          <w:lang w:val="en-US"/>
        </w:rPr>
        <w:t xml:space="preserve">in </w:t>
      </w:r>
      <w:r w:rsidR="00590BD7">
        <w:rPr>
          <w:rFonts w:ascii="Lato" w:hAnsi="Lato"/>
          <w:sz w:val="24"/>
          <w:szCs w:val="24"/>
          <w:lang w:val="en-US"/>
        </w:rPr>
        <w:t>Chile</w:t>
      </w:r>
      <w:r w:rsidR="00590BD7" w:rsidRPr="00CB62BC">
        <w:rPr>
          <w:rFonts w:ascii="Lato" w:hAnsi="Lato"/>
          <w:sz w:val="24"/>
          <w:szCs w:val="24"/>
          <w:lang w:val="en-US"/>
        </w:rPr>
        <w:t>.</w:t>
      </w:r>
    </w:p>
    <w:p w14:paraId="22B62F3D" w14:textId="7ABF2EB4" w:rsidR="002C0B18" w:rsidRPr="00E04783" w:rsidRDefault="002C0B18" w:rsidP="00152F62">
      <w:pPr>
        <w:shd w:val="clear" w:color="auto" w:fill="FFFFFF" w:themeFill="background1"/>
        <w:spacing w:line="240" w:lineRule="auto"/>
        <w:jc w:val="both"/>
        <w:rPr>
          <w:rFonts w:ascii="Lato" w:hAnsi="Lato"/>
          <w:sz w:val="24"/>
          <w:szCs w:val="24"/>
          <w:lang w:val="en-US"/>
        </w:rPr>
      </w:pPr>
      <w:r w:rsidRPr="00E04783">
        <w:rPr>
          <w:rFonts w:ascii="Lato" w:hAnsi="Lato"/>
          <w:sz w:val="24"/>
          <w:szCs w:val="24"/>
          <w:lang w:val="en-US"/>
        </w:rPr>
        <w:t>Article 3 of the Law No. 1,482 (2011)</w:t>
      </w:r>
      <w:r w:rsidRPr="00E04783">
        <w:rPr>
          <w:rStyle w:val="FootnoteReference"/>
          <w:rFonts w:ascii="Lato" w:hAnsi="Lato"/>
          <w:sz w:val="24"/>
          <w:szCs w:val="24"/>
          <w:lang w:val="en-US"/>
        </w:rPr>
        <w:footnoteReference w:id="62"/>
      </w:r>
      <w:r w:rsidRPr="00E04783">
        <w:rPr>
          <w:rFonts w:ascii="Lato" w:hAnsi="Lato"/>
          <w:sz w:val="24"/>
          <w:szCs w:val="24"/>
          <w:lang w:val="en-US"/>
        </w:rPr>
        <w:t xml:space="preserve"> amended </w:t>
      </w:r>
      <w:r w:rsidRPr="00E04783">
        <w:rPr>
          <w:rFonts w:ascii="Lato" w:hAnsi="Lato"/>
          <w:b/>
          <w:bCs/>
          <w:sz w:val="24"/>
          <w:szCs w:val="24"/>
          <w:lang w:val="en-US"/>
        </w:rPr>
        <w:t>Colombia</w:t>
      </w:r>
      <w:r w:rsidRPr="00E04783">
        <w:rPr>
          <w:rFonts w:ascii="Lato" w:hAnsi="Lato"/>
          <w:sz w:val="24"/>
          <w:szCs w:val="24"/>
          <w:lang w:val="en-US"/>
        </w:rPr>
        <w:t>’s Criminal Code</w:t>
      </w:r>
      <w:r w:rsidRPr="00E04783">
        <w:rPr>
          <w:rStyle w:val="FootnoteReference"/>
          <w:rFonts w:ascii="Lato" w:hAnsi="Lato"/>
          <w:sz w:val="24"/>
          <w:szCs w:val="24"/>
          <w:lang w:val="en-US"/>
        </w:rPr>
        <w:footnoteReference w:id="63"/>
      </w:r>
      <w:r w:rsidRPr="00E04783">
        <w:rPr>
          <w:rFonts w:ascii="Lato" w:hAnsi="Lato"/>
          <w:sz w:val="24"/>
          <w:szCs w:val="24"/>
          <w:lang w:val="en-US"/>
        </w:rPr>
        <w:t xml:space="preserve"> to </w:t>
      </w:r>
      <w:r w:rsidR="00E053FA" w:rsidRPr="00E04783">
        <w:rPr>
          <w:rFonts w:ascii="Lato" w:hAnsi="Lato"/>
          <w:sz w:val="24"/>
          <w:szCs w:val="24"/>
          <w:lang w:val="en-US"/>
        </w:rPr>
        <w:t>criminalize</w:t>
      </w:r>
      <w:r w:rsidRPr="00E04783">
        <w:rPr>
          <w:rFonts w:ascii="Lato" w:hAnsi="Lato"/>
          <w:sz w:val="24"/>
          <w:szCs w:val="24"/>
          <w:lang w:val="en-US"/>
        </w:rPr>
        <w:t xml:space="preserve"> acts of discrimination - including housing discrimination - based on </w:t>
      </w:r>
      <w:r w:rsidRPr="00C11F5F">
        <w:rPr>
          <w:rFonts w:ascii="Lato" w:hAnsi="Lato"/>
          <w:sz w:val="24"/>
          <w:szCs w:val="24"/>
          <w:lang w:val="en-US"/>
        </w:rPr>
        <w:t>sexual orientation</w:t>
      </w:r>
      <w:r w:rsidRPr="00E04783">
        <w:rPr>
          <w:rFonts w:ascii="Lato" w:hAnsi="Lato"/>
          <w:sz w:val="24"/>
          <w:szCs w:val="24"/>
          <w:lang w:val="en-US"/>
        </w:rPr>
        <w:t>.</w:t>
      </w:r>
      <w:r w:rsidRPr="00E04783">
        <w:rPr>
          <w:rStyle w:val="FootnoteReference"/>
          <w:rFonts w:ascii="Lato" w:hAnsi="Lato"/>
          <w:sz w:val="24"/>
          <w:szCs w:val="24"/>
          <w:lang w:val="en-US"/>
        </w:rPr>
        <w:footnoteReference w:id="64"/>
      </w:r>
      <w:r w:rsidR="00C11F5F">
        <w:rPr>
          <w:rFonts w:ascii="Lato" w:hAnsi="Lato"/>
          <w:sz w:val="24"/>
          <w:szCs w:val="24"/>
          <w:lang w:val="en-US"/>
        </w:rPr>
        <w:t xml:space="preserve"> However, at present, t</w:t>
      </w:r>
      <w:r w:rsidR="00C11F5F" w:rsidRPr="00CB62BC">
        <w:rPr>
          <w:rFonts w:ascii="Lato" w:hAnsi="Lato"/>
          <w:sz w:val="24"/>
          <w:szCs w:val="24"/>
          <w:lang w:val="en-US"/>
        </w:rPr>
        <w:t>here is</w:t>
      </w:r>
      <w:r w:rsidR="00C11F5F">
        <w:rPr>
          <w:rFonts w:ascii="Lato" w:hAnsi="Lato"/>
          <w:sz w:val="24"/>
          <w:szCs w:val="24"/>
          <w:lang w:val="en-US"/>
        </w:rPr>
        <w:t xml:space="preserve"> </w:t>
      </w:r>
      <w:r w:rsidR="00C11F5F" w:rsidRPr="00CB62BC">
        <w:rPr>
          <w:rFonts w:ascii="Lato" w:hAnsi="Lato"/>
          <w:sz w:val="24"/>
          <w:szCs w:val="24"/>
          <w:lang w:val="en-US"/>
        </w:rPr>
        <w:t xml:space="preserve">no legislation that protects against housing discrimination </w:t>
      </w:r>
      <w:r w:rsidR="00C11F5F">
        <w:rPr>
          <w:rFonts w:ascii="Lato" w:hAnsi="Lato"/>
          <w:sz w:val="24"/>
          <w:szCs w:val="24"/>
          <w:lang w:val="en-US"/>
        </w:rPr>
        <w:t xml:space="preserve">on the grounds of gender identity, gender expression or sex characteristics </w:t>
      </w:r>
      <w:r w:rsidR="00C11F5F" w:rsidRPr="00CB62BC">
        <w:rPr>
          <w:rFonts w:ascii="Lato" w:hAnsi="Lato"/>
          <w:sz w:val="24"/>
          <w:szCs w:val="24"/>
          <w:lang w:val="en-US"/>
        </w:rPr>
        <w:t xml:space="preserve">in </w:t>
      </w:r>
      <w:r w:rsidR="00C11F5F">
        <w:rPr>
          <w:rFonts w:ascii="Lato" w:hAnsi="Lato"/>
          <w:sz w:val="24"/>
          <w:szCs w:val="24"/>
          <w:lang w:val="en-US"/>
        </w:rPr>
        <w:t>Albania</w:t>
      </w:r>
      <w:r w:rsidR="00C11F5F" w:rsidRPr="00CB62BC">
        <w:rPr>
          <w:rFonts w:ascii="Lato" w:hAnsi="Lato"/>
          <w:sz w:val="24"/>
          <w:szCs w:val="24"/>
          <w:lang w:val="en-US"/>
        </w:rPr>
        <w:t>.</w:t>
      </w:r>
    </w:p>
    <w:p w14:paraId="53C03D3F" w14:textId="6ECAF8F5" w:rsidR="002C0B18" w:rsidRPr="00E04783" w:rsidRDefault="002C0B18" w:rsidP="00152F62">
      <w:pPr>
        <w:jc w:val="both"/>
        <w:rPr>
          <w:rFonts w:ascii="Lato" w:hAnsi="Lato"/>
          <w:sz w:val="24"/>
          <w:szCs w:val="24"/>
          <w:lang w:val="en-US"/>
        </w:rPr>
      </w:pPr>
      <w:r w:rsidRPr="00E04783">
        <w:rPr>
          <w:rFonts w:ascii="Lato" w:hAnsi="Lato"/>
          <w:sz w:val="24"/>
          <w:szCs w:val="24"/>
          <w:lang w:val="en-US"/>
        </w:rPr>
        <w:t xml:space="preserve">In the </w:t>
      </w:r>
      <w:r w:rsidRPr="00E04783">
        <w:rPr>
          <w:rFonts w:ascii="Lato" w:hAnsi="Lato"/>
          <w:b/>
          <w:bCs/>
          <w:sz w:val="24"/>
          <w:szCs w:val="24"/>
          <w:lang w:val="en-US"/>
        </w:rPr>
        <w:t>Dominican Republic</w:t>
      </w:r>
      <w:r w:rsidRPr="00E04783">
        <w:rPr>
          <w:rFonts w:ascii="Lato" w:hAnsi="Lato"/>
          <w:sz w:val="24"/>
          <w:szCs w:val="24"/>
          <w:lang w:val="en-US"/>
        </w:rPr>
        <w:t xml:space="preserve">, no law broadly offers protection on the basis of sexual orientation; however, two laws do mention </w:t>
      </w:r>
      <w:r w:rsidRPr="00687942">
        <w:rPr>
          <w:rFonts w:ascii="Lato" w:hAnsi="Lato"/>
          <w:sz w:val="24"/>
          <w:szCs w:val="24"/>
          <w:lang w:val="en-US"/>
        </w:rPr>
        <w:t>sexual orientation</w:t>
      </w:r>
      <w:r w:rsidRPr="00E04783">
        <w:rPr>
          <w:rFonts w:ascii="Lato" w:hAnsi="Lato"/>
          <w:sz w:val="24"/>
          <w:szCs w:val="24"/>
          <w:lang w:val="en-US"/>
        </w:rPr>
        <w:t xml:space="preserve"> as prosecution grounds for youth (persons aged 14-25) and people living with HIV. In 2021 there was discussion of the Penal Code prohibiting discrimination based on ‘sexual preference or orientation,’ although the final draft, did not feature in the text approved by the Congress of Deputies. This mention reinstated in the text discussed by the Senate, but the consideration of the bill had to be restarted.</w:t>
      </w:r>
      <w:r w:rsidRPr="00E04783">
        <w:rPr>
          <w:rStyle w:val="FootnoteReference"/>
          <w:rFonts w:ascii="Lato" w:hAnsi="Lato"/>
          <w:sz w:val="24"/>
          <w:szCs w:val="24"/>
          <w:lang w:val="en-US"/>
        </w:rPr>
        <w:footnoteReference w:id="65"/>
      </w:r>
      <w:r w:rsidR="00E60457">
        <w:rPr>
          <w:rFonts w:ascii="Lato" w:hAnsi="Lato"/>
          <w:sz w:val="24"/>
          <w:szCs w:val="24"/>
          <w:lang w:val="en-US"/>
        </w:rPr>
        <w:t xml:space="preserve"> </w:t>
      </w:r>
      <w:r w:rsidR="000057BC">
        <w:rPr>
          <w:rFonts w:ascii="Lato" w:hAnsi="Lato"/>
          <w:sz w:val="24"/>
          <w:szCs w:val="24"/>
          <w:lang w:val="en-US"/>
        </w:rPr>
        <w:t>However, at present, t</w:t>
      </w:r>
      <w:r w:rsidR="000057BC" w:rsidRPr="00CB62BC">
        <w:rPr>
          <w:rFonts w:ascii="Lato" w:hAnsi="Lato"/>
          <w:sz w:val="24"/>
          <w:szCs w:val="24"/>
          <w:lang w:val="en-US"/>
        </w:rPr>
        <w:t>here is</w:t>
      </w:r>
      <w:r w:rsidR="000057BC">
        <w:rPr>
          <w:rFonts w:ascii="Lato" w:hAnsi="Lato"/>
          <w:sz w:val="24"/>
          <w:szCs w:val="24"/>
          <w:lang w:val="en-US"/>
        </w:rPr>
        <w:t xml:space="preserve"> currently</w:t>
      </w:r>
      <w:r w:rsidR="000057BC" w:rsidRPr="00CB62BC">
        <w:rPr>
          <w:rFonts w:ascii="Lato" w:hAnsi="Lato"/>
          <w:sz w:val="24"/>
          <w:szCs w:val="24"/>
          <w:lang w:val="en-US"/>
        </w:rPr>
        <w:t xml:space="preserve"> no legislation that protects against housing discrimination </w:t>
      </w:r>
      <w:r w:rsidR="000057BC">
        <w:rPr>
          <w:rFonts w:ascii="Lato" w:hAnsi="Lato"/>
          <w:sz w:val="24"/>
          <w:szCs w:val="24"/>
          <w:lang w:val="en-US"/>
        </w:rPr>
        <w:t xml:space="preserve">on the grounds of </w:t>
      </w:r>
      <w:r w:rsidR="00687942">
        <w:rPr>
          <w:rFonts w:ascii="Lato" w:hAnsi="Lato"/>
          <w:sz w:val="24"/>
          <w:szCs w:val="24"/>
          <w:lang w:val="en-US"/>
        </w:rPr>
        <w:t xml:space="preserve">sexual orientation, gender identity, </w:t>
      </w:r>
      <w:r w:rsidR="000057BC">
        <w:rPr>
          <w:rFonts w:ascii="Lato" w:hAnsi="Lato"/>
          <w:sz w:val="24"/>
          <w:szCs w:val="24"/>
          <w:lang w:val="en-US"/>
        </w:rPr>
        <w:t>gender expression</w:t>
      </w:r>
      <w:r w:rsidR="00687942">
        <w:rPr>
          <w:rFonts w:ascii="Lato" w:hAnsi="Lato"/>
          <w:sz w:val="24"/>
          <w:szCs w:val="24"/>
          <w:lang w:val="en-US"/>
        </w:rPr>
        <w:t xml:space="preserve"> or sex characteristics</w:t>
      </w:r>
      <w:r w:rsidR="000057BC">
        <w:rPr>
          <w:rFonts w:ascii="Lato" w:hAnsi="Lato"/>
          <w:sz w:val="24"/>
          <w:szCs w:val="24"/>
          <w:lang w:val="en-US"/>
        </w:rPr>
        <w:t xml:space="preserve"> </w:t>
      </w:r>
      <w:r w:rsidR="000057BC" w:rsidRPr="00CB62BC">
        <w:rPr>
          <w:rFonts w:ascii="Lato" w:hAnsi="Lato"/>
          <w:sz w:val="24"/>
          <w:szCs w:val="24"/>
          <w:lang w:val="en-US"/>
        </w:rPr>
        <w:t xml:space="preserve">in </w:t>
      </w:r>
      <w:r w:rsidR="00687942">
        <w:rPr>
          <w:rFonts w:ascii="Lato" w:hAnsi="Lato"/>
          <w:sz w:val="24"/>
          <w:szCs w:val="24"/>
          <w:lang w:val="en-US"/>
        </w:rPr>
        <w:t>Dominican Republic</w:t>
      </w:r>
      <w:r w:rsidR="000057BC" w:rsidRPr="00CB62BC">
        <w:rPr>
          <w:rFonts w:ascii="Lato" w:hAnsi="Lato"/>
          <w:sz w:val="24"/>
          <w:szCs w:val="24"/>
          <w:lang w:val="en-US"/>
        </w:rPr>
        <w:t>.</w:t>
      </w:r>
    </w:p>
    <w:p w14:paraId="10FA8C75" w14:textId="5E78DAE8" w:rsidR="002C0B18" w:rsidRPr="00E04783" w:rsidRDefault="002C0B18" w:rsidP="00152F62">
      <w:pPr>
        <w:shd w:val="clear" w:color="auto" w:fill="FFFFFF" w:themeFill="background1"/>
        <w:spacing w:line="240" w:lineRule="auto"/>
        <w:jc w:val="both"/>
        <w:rPr>
          <w:rFonts w:ascii="Lato" w:eastAsia="Lato" w:hAnsi="Lato" w:cs="Lato"/>
          <w:color w:val="1C1C1C"/>
          <w:sz w:val="24"/>
          <w:szCs w:val="24"/>
          <w:lang w:val="en-US"/>
        </w:rPr>
      </w:pPr>
      <w:r w:rsidRPr="00E04783">
        <w:rPr>
          <w:rFonts w:ascii="Lato" w:eastAsia="Lato" w:hAnsi="Lato" w:cs="Lato"/>
          <w:b/>
          <w:bCs/>
          <w:color w:val="1C1C1C"/>
          <w:sz w:val="24"/>
          <w:szCs w:val="24"/>
          <w:lang w:val="en-US"/>
        </w:rPr>
        <w:t>Mexico</w:t>
      </w:r>
      <w:r w:rsidRPr="00E04783">
        <w:rPr>
          <w:rFonts w:ascii="Lato" w:eastAsia="Lato" w:hAnsi="Lato" w:cs="Lato"/>
          <w:color w:val="1C1C1C"/>
          <w:sz w:val="24"/>
          <w:szCs w:val="24"/>
          <w:lang w:val="en-US"/>
        </w:rPr>
        <w:t xml:space="preserve"> has federal level protections through Article 1(2) of the Federal Act to Prevent and Eliminate Discrimination (2003).</w:t>
      </w:r>
      <w:r w:rsidRPr="00E04783">
        <w:rPr>
          <w:rStyle w:val="FootnoteReference"/>
          <w:rFonts w:ascii="Lato" w:eastAsia="Lato" w:hAnsi="Lato" w:cs="Lato"/>
          <w:color w:val="1C1C1C"/>
          <w:sz w:val="24"/>
          <w:szCs w:val="24"/>
          <w:lang w:val="en-US"/>
        </w:rPr>
        <w:footnoteReference w:id="66"/>
      </w:r>
      <w:r w:rsidRPr="00E04783">
        <w:rPr>
          <w:rFonts w:ascii="Lato" w:eastAsia="Lato" w:hAnsi="Lato" w:cs="Lato"/>
          <w:color w:val="1C1C1C"/>
          <w:sz w:val="24"/>
          <w:szCs w:val="24"/>
          <w:lang w:val="en-US"/>
        </w:rPr>
        <w:t xml:space="preserve"> This law – which applies to housing as per Article 9(XXI) – includes discrimination against </w:t>
      </w:r>
      <w:r w:rsidR="00982CFB">
        <w:rPr>
          <w:rFonts w:ascii="Lato" w:eastAsia="Lato" w:hAnsi="Lato" w:cs="Lato"/>
          <w:color w:val="1C1C1C"/>
          <w:sz w:val="24"/>
          <w:szCs w:val="24"/>
          <w:lang w:val="en-US"/>
        </w:rPr>
        <w:t>‘</w:t>
      </w:r>
      <w:r w:rsidRPr="00D04F85">
        <w:rPr>
          <w:rFonts w:ascii="Lato" w:eastAsia="Lato" w:hAnsi="Lato" w:cs="Lato"/>
          <w:color w:val="1C1C1C"/>
          <w:sz w:val="24"/>
          <w:szCs w:val="24"/>
          <w:lang w:val="en-US"/>
        </w:rPr>
        <w:t>sexual preference</w:t>
      </w:r>
      <w:r w:rsidR="00982CFB">
        <w:rPr>
          <w:rFonts w:ascii="Lato" w:eastAsia="Lato" w:hAnsi="Lato" w:cs="Lato"/>
          <w:color w:val="1C1C1C"/>
          <w:sz w:val="24"/>
          <w:szCs w:val="24"/>
          <w:lang w:val="en-US"/>
        </w:rPr>
        <w:t>’</w:t>
      </w:r>
      <w:r w:rsidRPr="00E04783">
        <w:rPr>
          <w:rFonts w:ascii="Lato" w:eastAsia="Lato" w:hAnsi="Lato" w:cs="Lato"/>
          <w:color w:val="1C1C1C"/>
          <w:sz w:val="24"/>
          <w:szCs w:val="24"/>
          <w:lang w:val="en-US"/>
        </w:rPr>
        <w:t xml:space="preserve"> as grounds for protection.</w:t>
      </w:r>
      <w:r w:rsidRPr="00E04783">
        <w:rPr>
          <w:rStyle w:val="FootnoteReference"/>
          <w:rFonts w:ascii="Lato" w:eastAsia="Lato" w:hAnsi="Lato" w:cs="Lato"/>
          <w:color w:val="1C1C1C"/>
          <w:sz w:val="24"/>
          <w:szCs w:val="24"/>
          <w:lang w:val="en-US"/>
        </w:rPr>
        <w:footnoteReference w:id="67"/>
      </w:r>
      <w:r w:rsidR="00D04F85">
        <w:rPr>
          <w:rFonts w:ascii="Lato" w:eastAsia="Lato" w:hAnsi="Lato" w:cs="Lato"/>
          <w:color w:val="1C1C1C"/>
          <w:sz w:val="24"/>
          <w:szCs w:val="24"/>
          <w:lang w:val="en-US"/>
        </w:rPr>
        <w:t xml:space="preserve"> </w:t>
      </w:r>
      <w:r w:rsidR="00D04F85">
        <w:rPr>
          <w:rFonts w:ascii="Lato" w:hAnsi="Lato"/>
          <w:sz w:val="24"/>
          <w:szCs w:val="24"/>
          <w:lang w:val="en-US"/>
        </w:rPr>
        <w:lastRenderedPageBreak/>
        <w:t>Despite this, t</w:t>
      </w:r>
      <w:r w:rsidR="00D04F85" w:rsidRPr="00CB62BC">
        <w:rPr>
          <w:rFonts w:ascii="Lato" w:hAnsi="Lato"/>
          <w:sz w:val="24"/>
          <w:szCs w:val="24"/>
          <w:lang w:val="en-US"/>
        </w:rPr>
        <w:t>here is</w:t>
      </w:r>
      <w:r w:rsidR="00D04F85">
        <w:rPr>
          <w:rFonts w:ascii="Lato" w:hAnsi="Lato"/>
          <w:sz w:val="24"/>
          <w:szCs w:val="24"/>
          <w:lang w:val="en-US"/>
        </w:rPr>
        <w:t xml:space="preserve"> currently</w:t>
      </w:r>
      <w:r w:rsidR="00D04F85" w:rsidRPr="00CB62BC">
        <w:rPr>
          <w:rFonts w:ascii="Lato" w:hAnsi="Lato"/>
          <w:sz w:val="24"/>
          <w:szCs w:val="24"/>
          <w:lang w:val="en-US"/>
        </w:rPr>
        <w:t xml:space="preserve"> no legislation that protects against housing discrimination </w:t>
      </w:r>
      <w:r w:rsidR="00D04F85">
        <w:rPr>
          <w:rFonts w:ascii="Lato" w:hAnsi="Lato"/>
          <w:sz w:val="24"/>
          <w:szCs w:val="24"/>
          <w:lang w:val="en-US"/>
        </w:rPr>
        <w:t xml:space="preserve">on the grounds of gender identity or sex characteristics </w:t>
      </w:r>
      <w:r w:rsidR="00D04F85" w:rsidRPr="00CB62BC">
        <w:rPr>
          <w:rFonts w:ascii="Lato" w:hAnsi="Lato"/>
          <w:sz w:val="24"/>
          <w:szCs w:val="24"/>
          <w:lang w:val="en-US"/>
        </w:rPr>
        <w:t xml:space="preserve">in </w:t>
      </w:r>
      <w:r w:rsidR="00D04F85">
        <w:rPr>
          <w:rFonts w:ascii="Lato" w:hAnsi="Lato"/>
          <w:sz w:val="24"/>
          <w:szCs w:val="24"/>
          <w:lang w:val="en-US"/>
        </w:rPr>
        <w:t>Mexico</w:t>
      </w:r>
      <w:r w:rsidR="00D04F85" w:rsidRPr="00CB62BC">
        <w:rPr>
          <w:rFonts w:ascii="Lato" w:hAnsi="Lato"/>
          <w:sz w:val="24"/>
          <w:szCs w:val="24"/>
          <w:lang w:val="en-US"/>
        </w:rPr>
        <w:t>.</w:t>
      </w:r>
    </w:p>
    <w:p w14:paraId="0EF1AEEE" w14:textId="57BC1786" w:rsidR="00BE120B" w:rsidRPr="00E04783" w:rsidRDefault="5BD73272" w:rsidP="00BE120B">
      <w:pPr>
        <w:shd w:val="clear" w:color="auto" w:fill="FFFFFF" w:themeFill="background1"/>
        <w:spacing w:line="240" w:lineRule="auto"/>
        <w:jc w:val="both"/>
        <w:rPr>
          <w:rFonts w:ascii="Lato" w:hAnsi="Lato"/>
          <w:sz w:val="24"/>
          <w:szCs w:val="24"/>
          <w:lang w:val="en-US"/>
        </w:rPr>
      </w:pPr>
      <w:r w:rsidRPr="00E04783">
        <w:rPr>
          <w:rFonts w:ascii="Lato" w:eastAsia="Lato" w:hAnsi="Lato" w:cs="Lato"/>
          <w:b/>
          <w:bCs/>
          <w:color w:val="1C1C1C"/>
          <w:sz w:val="24"/>
          <w:szCs w:val="24"/>
          <w:lang w:val="en-US"/>
        </w:rPr>
        <w:t>Peru</w:t>
      </w:r>
      <w:r w:rsidRPr="00E04783">
        <w:rPr>
          <w:rFonts w:ascii="Lato" w:eastAsia="Lato" w:hAnsi="Lato" w:cs="Lato"/>
          <w:color w:val="1C1C1C"/>
          <w:sz w:val="24"/>
          <w:szCs w:val="24"/>
          <w:lang w:val="en-US"/>
        </w:rPr>
        <w:t xml:space="preserve">’s Constitutional Procedural Code establishes that the writ of amparo is sufficient in cases of discrimination based on </w:t>
      </w:r>
      <w:r w:rsidRPr="00A7550E">
        <w:rPr>
          <w:rFonts w:ascii="Lato" w:eastAsia="Lato" w:hAnsi="Lato" w:cs="Lato"/>
          <w:color w:val="1C1C1C"/>
          <w:sz w:val="24"/>
          <w:szCs w:val="24"/>
          <w:lang w:val="en-US"/>
        </w:rPr>
        <w:t>sexual orientation</w:t>
      </w:r>
      <w:r w:rsidRPr="00E04783">
        <w:rPr>
          <w:rFonts w:ascii="Lato" w:eastAsia="Lato" w:hAnsi="Lato" w:cs="Lato"/>
          <w:color w:val="1C1C1C"/>
          <w:sz w:val="24"/>
          <w:szCs w:val="24"/>
          <w:lang w:val="en-US"/>
        </w:rPr>
        <w:t>.</w:t>
      </w:r>
      <w:r w:rsidR="002C0B18" w:rsidRPr="00E04783">
        <w:rPr>
          <w:rStyle w:val="FootnoteReference"/>
          <w:rFonts w:ascii="Lato" w:eastAsia="Lato" w:hAnsi="Lato" w:cs="Lato"/>
          <w:color w:val="1C1C1C"/>
          <w:sz w:val="24"/>
          <w:szCs w:val="24"/>
          <w:lang w:val="en-US"/>
        </w:rPr>
        <w:footnoteReference w:id="68"/>
      </w:r>
      <w:r w:rsidRPr="00E04783">
        <w:rPr>
          <w:rFonts w:ascii="Lato" w:eastAsia="Lato" w:hAnsi="Lato" w:cs="Lato"/>
          <w:color w:val="1C1C1C"/>
          <w:sz w:val="24"/>
          <w:szCs w:val="24"/>
          <w:lang w:val="en-US"/>
        </w:rPr>
        <w:t xml:space="preserve"> In 2017, the Criminal Code (1991)</w:t>
      </w:r>
      <w:r w:rsidR="002C0B18" w:rsidRPr="00E04783">
        <w:rPr>
          <w:rStyle w:val="FootnoteReference"/>
          <w:rFonts w:ascii="Lato" w:eastAsia="Lato" w:hAnsi="Lato" w:cs="Lato"/>
          <w:color w:val="1C1C1C"/>
          <w:sz w:val="24"/>
          <w:szCs w:val="24"/>
          <w:lang w:val="en-US"/>
        </w:rPr>
        <w:footnoteReference w:id="69"/>
      </w:r>
      <w:r w:rsidRPr="00E04783">
        <w:rPr>
          <w:rFonts w:ascii="Lato" w:eastAsia="Lato" w:hAnsi="Lato" w:cs="Lato"/>
          <w:color w:val="1C1C1C"/>
          <w:sz w:val="24"/>
          <w:szCs w:val="24"/>
          <w:lang w:val="en-US"/>
        </w:rPr>
        <w:t xml:space="preserve"> was amended to explicitly </w:t>
      </w:r>
      <w:r w:rsidR="00E053FA" w:rsidRPr="00E04783">
        <w:rPr>
          <w:rFonts w:ascii="Lato" w:eastAsia="Lato" w:hAnsi="Lato" w:cs="Lato"/>
          <w:color w:val="1C1C1C"/>
          <w:sz w:val="24"/>
          <w:szCs w:val="24"/>
          <w:lang w:val="en-US"/>
        </w:rPr>
        <w:t>criminalize</w:t>
      </w:r>
      <w:r w:rsidRPr="00E04783">
        <w:rPr>
          <w:rFonts w:ascii="Lato" w:eastAsia="Lato" w:hAnsi="Lato" w:cs="Lato"/>
          <w:color w:val="1C1C1C"/>
          <w:sz w:val="24"/>
          <w:szCs w:val="24"/>
          <w:lang w:val="en-US"/>
        </w:rPr>
        <w:t xml:space="preserve"> acts of discrimination based on sexual orientation and gender identity, including housing, with public servants receiving penalties if they commit such offences.</w:t>
      </w:r>
      <w:r w:rsidR="002C0B18" w:rsidRPr="00E04783">
        <w:rPr>
          <w:rStyle w:val="FootnoteReference"/>
          <w:rFonts w:ascii="Lato" w:eastAsia="Lato" w:hAnsi="Lato" w:cs="Lato"/>
          <w:color w:val="1C1C1C"/>
          <w:sz w:val="24"/>
          <w:szCs w:val="24"/>
          <w:lang w:val="en-US"/>
        </w:rPr>
        <w:footnoteReference w:id="70"/>
      </w:r>
      <w:r w:rsidRPr="00E04783">
        <w:rPr>
          <w:rFonts w:ascii="Lato" w:eastAsia="Lato" w:hAnsi="Lato" w:cs="Lato"/>
          <w:color w:val="1C1C1C"/>
          <w:sz w:val="24"/>
          <w:szCs w:val="24"/>
          <w:lang w:val="en-US"/>
        </w:rPr>
        <w:t xml:space="preserve"> Subnational legislation enacted by regional governments complements national protections.</w:t>
      </w:r>
      <w:r w:rsidR="002C0B18" w:rsidRPr="00E04783">
        <w:rPr>
          <w:rStyle w:val="FootnoteReference"/>
          <w:rFonts w:ascii="Lato" w:eastAsia="Lato" w:hAnsi="Lato" w:cs="Lato"/>
          <w:color w:val="1C1C1C"/>
          <w:sz w:val="24"/>
          <w:szCs w:val="24"/>
          <w:lang w:val="en-US"/>
        </w:rPr>
        <w:footnoteReference w:id="71"/>
      </w:r>
      <w:r w:rsidR="00617F7C">
        <w:rPr>
          <w:rFonts w:ascii="Lato" w:eastAsia="Lato" w:hAnsi="Lato" w:cs="Lato"/>
          <w:color w:val="1C1C1C"/>
          <w:sz w:val="24"/>
          <w:szCs w:val="24"/>
          <w:lang w:val="en-US"/>
        </w:rPr>
        <w:t xml:space="preserve"> </w:t>
      </w:r>
      <w:r w:rsidR="00617F7C">
        <w:rPr>
          <w:rFonts w:ascii="Lato" w:hAnsi="Lato"/>
          <w:sz w:val="24"/>
          <w:szCs w:val="24"/>
          <w:lang w:val="en-US"/>
        </w:rPr>
        <w:t>However, t</w:t>
      </w:r>
      <w:r w:rsidR="00617F7C" w:rsidRPr="00CB62BC">
        <w:rPr>
          <w:rFonts w:ascii="Lato" w:hAnsi="Lato"/>
          <w:sz w:val="24"/>
          <w:szCs w:val="24"/>
          <w:lang w:val="en-US"/>
        </w:rPr>
        <w:t>here is</w:t>
      </w:r>
      <w:r w:rsidR="00617F7C">
        <w:rPr>
          <w:rFonts w:ascii="Lato" w:hAnsi="Lato"/>
          <w:sz w:val="24"/>
          <w:szCs w:val="24"/>
          <w:lang w:val="en-US"/>
        </w:rPr>
        <w:t xml:space="preserve"> currently</w:t>
      </w:r>
      <w:r w:rsidR="00617F7C" w:rsidRPr="00CB62BC">
        <w:rPr>
          <w:rFonts w:ascii="Lato" w:hAnsi="Lato"/>
          <w:sz w:val="24"/>
          <w:szCs w:val="24"/>
          <w:lang w:val="en-US"/>
        </w:rPr>
        <w:t xml:space="preserve"> no legislation that protects against housing discrimination </w:t>
      </w:r>
      <w:r w:rsidR="00617F7C">
        <w:rPr>
          <w:rFonts w:ascii="Lato" w:hAnsi="Lato"/>
          <w:sz w:val="24"/>
          <w:szCs w:val="24"/>
          <w:lang w:val="en-US"/>
        </w:rPr>
        <w:t>on the grounds of gender expression</w:t>
      </w:r>
      <w:r w:rsidR="00A7550E">
        <w:rPr>
          <w:rFonts w:ascii="Lato" w:hAnsi="Lato"/>
          <w:sz w:val="24"/>
          <w:szCs w:val="24"/>
          <w:lang w:val="en-US"/>
        </w:rPr>
        <w:t xml:space="preserve"> or sex characteristics</w:t>
      </w:r>
      <w:r w:rsidR="00617F7C">
        <w:rPr>
          <w:rFonts w:ascii="Lato" w:hAnsi="Lato"/>
          <w:sz w:val="24"/>
          <w:szCs w:val="24"/>
          <w:lang w:val="en-US"/>
        </w:rPr>
        <w:t xml:space="preserve"> </w:t>
      </w:r>
      <w:r w:rsidR="00617F7C" w:rsidRPr="00CB62BC">
        <w:rPr>
          <w:rFonts w:ascii="Lato" w:hAnsi="Lato"/>
          <w:sz w:val="24"/>
          <w:szCs w:val="24"/>
          <w:lang w:val="en-US"/>
        </w:rPr>
        <w:t xml:space="preserve">in </w:t>
      </w:r>
      <w:r w:rsidR="00A7550E">
        <w:rPr>
          <w:rFonts w:ascii="Lato" w:hAnsi="Lato"/>
          <w:sz w:val="24"/>
          <w:szCs w:val="24"/>
          <w:lang w:val="en-US"/>
        </w:rPr>
        <w:t>Peru</w:t>
      </w:r>
      <w:r w:rsidR="00617F7C" w:rsidRPr="00CB62BC">
        <w:rPr>
          <w:rFonts w:ascii="Lato" w:hAnsi="Lato"/>
          <w:sz w:val="24"/>
          <w:szCs w:val="24"/>
          <w:lang w:val="en-US"/>
        </w:rPr>
        <w:t>.</w:t>
      </w:r>
    </w:p>
    <w:p w14:paraId="32743BD5" w14:textId="77777777" w:rsidR="002C0B18" w:rsidRPr="00E04783" w:rsidRDefault="002C0B18" w:rsidP="00152F62">
      <w:pPr>
        <w:pStyle w:val="Heading4"/>
        <w:jc w:val="both"/>
        <w:rPr>
          <w:rFonts w:ascii="Lato" w:hAnsi="Lato"/>
          <w:szCs w:val="24"/>
          <w:lang w:val="en-US"/>
        </w:rPr>
      </w:pPr>
      <w:r w:rsidRPr="00E04783">
        <w:rPr>
          <w:rFonts w:ascii="Lato" w:hAnsi="Lato"/>
          <w:szCs w:val="24"/>
          <w:lang w:val="en-US"/>
        </w:rPr>
        <w:t>North America</w:t>
      </w:r>
    </w:p>
    <w:p w14:paraId="0C685439" w14:textId="20582797" w:rsidR="002C0B18" w:rsidRPr="00E04783" w:rsidRDefault="002C0B18" w:rsidP="00152F62">
      <w:pPr>
        <w:jc w:val="both"/>
        <w:rPr>
          <w:rFonts w:ascii="Lato" w:hAnsi="Lato"/>
          <w:sz w:val="24"/>
          <w:szCs w:val="24"/>
          <w:lang w:val="en-US"/>
        </w:rPr>
      </w:pPr>
      <w:r w:rsidRPr="00E04783">
        <w:rPr>
          <w:rFonts w:ascii="Lato" w:hAnsi="Lato"/>
          <w:b/>
          <w:bCs/>
          <w:sz w:val="24"/>
          <w:szCs w:val="24"/>
          <w:lang w:val="en-US"/>
        </w:rPr>
        <w:t>Canada</w:t>
      </w:r>
      <w:r w:rsidRPr="00E04783">
        <w:rPr>
          <w:rFonts w:ascii="Lato" w:hAnsi="Lato"/>
          <w:sz w:val="24"/>
          <w:szCs w:val="24"/>
          <w:lang w:val="en-US"/>
        </w:rPr>
        <w:t xml:space="preserve">’s Human Rights Act was amended in 1996 to include </w:t>
      </w:r>
      <w:r w:rsidRPr="00E16AB7">
        <w:rPr>
          <w:rFonts w:ascii="Lato" w:hAnsi="Lato"/>
          <w:sz w:val="24"/>
          <w:szCs w:val="24"/>
          <w:lang w:val="en-US"/>
        </w:rPr>
        <w:t>sexual orientation</w:t>
      </w:r>
      <w:r w:rsidRPr="00E04783">
        <w:rPr>
          <w:rFonts w:ascii="Lato" w:hAnsi="Lato"/>
          <w:sz w:val="24"/>
          <w:szCs w:val="24"/>
          <w:lang w:val="en-US"/>
        </w:rPr>
        <w:t xml:space="preserve"> as a prohibited ground for discrimination.</w:t>
      </w:r>
      <w:r w:rsidRPr="00E04783">
        <w:rPr>
          <w:rStyle w:val="FootnoteReference"/>
          <w:rFonts w:ascii="Lato" w:hAnsi="Lato"/>
          <w:sz w:val="24"/>
          <w:szCs w:val="24"/>
          <w:lang w:val="en-US"/>
        </w:rPr>
        <w:footnoteReference w:id="72"/>
      </w:r>
      <w:r w:rsidRPr="00E04783">
        <w:rPr>
          <w:rFonts w:ascii="Lato" w:hAnsi="Lato"/>
          <w:sz w:val="24"/>
          <w:szCs w:val="24"/>
          <w:lang w:val="en-US"/>
        </w:rPr>
        <w:t xml:space="preserve"> The Act was amended again in 2016 through Bill C-16 to include </w:t>
      </w:r>
      <w:r w:rsidRPr="00E16AB7">
        <w:rPr>
          <w:rFonts w:ascii="Lato" w:hAnsi="Lato"/>
          <w:sz w:val="24"/>
          <w:szCs w:val="24"/>
          <w:lang w:val="en-US"/>
        </w:rPr>
        <w:t>gender identity</w:t>
      </w:r>
      <w:r w:rsidRPr="00E04783">
        <w:rPr>
          <w:rFonts w:ascii="Lato" w:hAnsi="Lato"/>
          <w:sz w:val="24"/>
          <w:szCs w:val="24"/>
          <w:lang w:val="en-US"/>
        </w:rPr>
        <w:t xml:space="preserve"> and </w:t>
      </w:r>
      <w:r w:rsidRPr="00E16AB7">
        <w:rPr>
          <w:rFonts w:ascii="Lato" w:hAnsi="Lato"/>
          <w:sz w:val="24"/>
          <w:szCs w:val="24"/>
          <w:lang w:val="en-US"/>
        </w:rPr>
        <w:t>gender expression</w:t>
      </w:r>
      <w:r w:rsidRPr="00E04783">
        <w:rPr>
          <w:rFonts w:ascii="Lato" w:hAnsi="Lato"/>
          <w:sz w:val="24"/>
          <w:szCs w:val="24"/>
          <w:lang w:val="en-US"/>
        </w:rPr>
        <w:t>.</w:t>
      </w:r>
      <w:r w:rsidRPr="00E04783">
        <w:rPr>
          <w:rStyle w:val="FootnoteReference"/>
          <w:rFonts w:ascii="Lato" w:hAnsi="Lato"/>
          <w:sz w:val="24"/>
          <w:szCs w:val="24"/>
          <w:lang w:val="en-US"/>
        </w:rPr>
        <w:footnoteReference w:id="73"/>
      </w:r>
      <w:r w:rsidRPr="00E04783">
        <w:rPr>
          <w:rFonts w:ascii="Lato" w:hAnsi="Lato"/>
          <w:sz w:val="24"/>
          <w:szCs w:val="24"/>
          <w:lang w:val="en-US"/>
        </w:rPr>
        <w:t xml:space="preserve"> These amendments apply to ‘residential accommodation’.</w:t>
      </w:r>
      <w:r w:rsidRPr="00E04783">
        <w:rPr>
          <w:rStyle w:val="FootnoteReference"/>
          <w:rFonts w:ascii="Lato" w:hAnsi="Lato"/>
          <w:sz w:val="24"/>
          <w:szCs w:val="24"/>
          <w:lang w:val="en-US"/>
        </w:rPr>
        <w:footnoteReference w:id="74"/>
      </w:r>
      <w:r w:rsidR="00CD1BBC">
        <w:rPr>
          <w:rFonts w:ascii="Lato" w:hAnsi="Lato"/>
          <w:sz w:val="24"/>
          <w:szCs w:val="24"/>
          <w:lang w:val="en-US"/>
        </w:rPr>
        <w:t xml:space="preserve"> Currently, </w:t>
      </w:r>
      <w:r w:rsidR="00E16AB7">
        <w:rPr>
          <w:rFonts w:ascii="Lato" w:hAnsi="Lato"/>
          <w:sz w:val="24"/>
          <w:szCs w:val="24"/>
          <w:lang w:val="en-US"/>
        </w:rPr>
        <w:t xml:space="preserve">there is no legislation that protects against national housing discrimination on the grounds of sexual characteristics in Canada. </w:t>
      </w:r>
      <w:r w:rsidR="005C39FA">
        <w:rPr>
          <w:rFonts w:ascii="Lato" w:hAnsi="Lato"/>
          <w:sz w:val="24"/>
          <w:szCs w:val="24"/>
          <w:lang w:val="en-US"/>
        </w:rPr>
        <w:t>Currently, Canada has n</w:t>
      </w:r>
      <w:r w:rsidR="005C39FA" w:rsidRPr="00CB62BC">
        <w:rPr>
          <w:rFonts w:ascii="Lato" w:hAnsi="Lato"/>
          <w:sz w:val="24"/>
          <w:szCs w:val="24"/>
          <w:lang w:val="en-US"/>
        </w:rPr>
        <w:t xml:space="preserve">o legislation that protects against housing discrimination </w:t>
      </w:r>
      <w:r w:rsidR="005C39FA">
        <w:rPr>
          <w:rFonts w:ascii="Lato" w:hAnsi="Lato"/>
          <w:sz w:val="24"/>
          <w:szCs w:val="24"/>
          <w:lang w:val="en-US"/>
        </w:rPr>
        <w:t>on the grounds of sex characteristics.</w:t>
      </w:r>
    </w:p>
    <w:p w14:paraId="6C7A2AE6" w14:textId="709154B5" w:rsidR="00ED24A5" w:rsidRPr="00E04783" w:rsidRDefault="00ED24A5" w:rsidP="00152F62">
      <w:pPr>
        <w:pStyle w:val="Heading3"/>
        <w:jc w:val="both"/>
        <w:rPr>
          <w:rFonts w:eastAsia="Lato"/>
          <w:lang w:val="en-US"/>
        </w:rPr>
      </w:pPr>
      <w:bookmarkStart w:id="5" w:name="_Toc147244621"/>
      <w:r w:rsidRPr="00E04783">
        <w:rPr>
          <w:rFonts w:eastAsia="Lato"/>
          <w:lang w:val="en-US"/>
        </w:rPr>
        <w:t>2.1.2 Lack of protections</w:t>
      </w:r>
      <w:bookmarkEnd w:id="5"/>
    </w:p>
    <w:p w14:paraId="381F6F77" w14:textId="5F74454A" w:rsidR="00ED24A5" w:rsidRPr="00E04783" w:rsidRDefault="00ED24A5" w:rsidP="00152F62">
      <w:pPr>
        <w:jc w:val="both"/>
        <w:rPr>
          <w:rFonts w:ascii="Lato" w:hAnsi="Lato"/>
          <w:sz w:val="24"/>
          <w:szCs w:val="24"/>
          <w:lang w:val="en-US"/>
        </w:rPr>
      </w:pPr>
      <w:r w:rsidRPr="00E04783">
        <w:rPr>
          <w:rFonts w:ascii="Lato" w:hAnsi="Lato"/>
          <w:sz w:val="24"/>
          <w:szCs w:val="24"/>
          <w:lang w:val="en-US"/>
        </w:rPr>
        <w:t>This section explore</w:t>
      </w:r>
      <w:r w:rsidR="005C39FA">
        <w:rPr>
          <w:rFonts w:ascii="Lato" w:hAnsi="Lato"/>
          <w:sz w:val="24"/>
          <w:szCs w:val="24"/>
          <w:lang w:val="en-US"/>
        </w:rPr>
        <w:t>s</w:t>
      </w:r>
      <w:r w:rsidRPr="00E04783">
        <w:rPr>
          <w:rFonts w:ascii="Lato" w:hAnsi="Lato"/>
          <w:sz w:val="24"/>
          <w:szCs w:val="24"/>
          <w:lang w:val="en-US"/>
        </w:rPr>
        <w:t xml:space="preserve"> current housing laws and regulations that negatively and </w:t>
      </w:r>
      <w:r w:rsidR="005C39FA" w:rsidRPr="00E04783">
        <w:rPr>
          <w:rFonts w:ascii="Lato" w:hAnsi="Lato"/>
          <w:sz w:val="24"/>
          <w:szCs w:val="24"/>
          <w:lang w:val="en-US"/>
        </w:rPr>
        <w:t>unfavorably</w:t>
      </w:r>
      <w:r w:rsidRPr="00E04783">
        <w:rPr>
          <w:rFonts w:ascii="Lato" w:hAnsi="Lato"/>
          <w:sz w:val="24"/>
          <w:szCs w:val="24"/>
          <w:lang w:val="en-US"/>
        </w:rPr>
        <w:t xml:space="preserve"> impact sexual and gender minorities today, and which directly affect their enjoyment of human rights.</w:t>
      </w:r>
    </w:p>
    <w:p w14:paraId="5359D34F" w14:textId="0DD035D9" w:rsidR="009722D1" w:rsidRPr="00E04783" w:rsidRDefault="009722D1" w:rsidP="00152F62">
      <w:pPr>
        <w:pStyle w:val="Heading4"/>
        <w:jc w:val="both"/>
        <w:rPr>
          <w:rFonts w:ascii="Lato" w:hAnsi="Lato"/>
          <w:szCs w:val="24"/>
          <w:lang w:val="en-US"/>
        </w:rPr>
      </w:pPr>
      <w:r w:rsidRPr="00E04783">
        <w:rPr>
          <w:rFonts w:ascii="Lato" w:hAnsi="Lato"/>
          <w:szCs w:val="24"/>
          <w:lang w:val="en-US"/>
        </w:rPr>
        <w:t>Asia-Pacific</w:t>
      </w:r>
    </w:p>
    <w:p w14:paraId="177AEAE1" w14:textId="0991691D" w:rsidR="00810474" w:rsidRPr="00E04783" w:rsidRDefault="00810474" w:rsidP="00810474">
      <w:pPr>
        <w:jc w:val="both"/>
        <w:rPr>
          <w:rFonts w:ascii="Lato" w:eastAsia="Lato" w:hAnsi="Lato" w:cs="Lato"/>
          <w:color w:val="1C1C1C"/>
          <w:sz w:val="24"/>
          <w:szCs w:val="24"/>
          <w:lang w:val="en-US"/>
        </w:rPr>
      </w:pPr>
      <w:r w:rsidRPr="00E04783">
        <w:rPr>
          <w:rFonts w:ascii="Lato" w:eastAsia="Lato" w:hAnsi="Lato" w:cs="Lato"/>
          <w:color w:val="1C1C1C"/>
          <w:sz w:val="24"/>
          <w:szCs w:val="24"/>
          <w:lang w:val="en-US"/>
        </w:rPr>
        <w:t xml:space="preserve">In 2018, a public rental housing application submitted by a same-sex couple was rejected by the Housing Authority in </w:t>
      </w:r>
      <w:r w:rsidRPr="00E04783">
        <w:rPr>
          <w:rFonts w:ascii="Lato" w:eastAsia="Lato" w:hAnsi="Lato" w:cs="Lato"/>
          <w:b/>
          <w:bCs/>
          <w:color w:val="1C1C1C"/>
          <w:sz w:val="24"/>
          <w:szCs w:val="24"/>
          <w:lang w:val="en-US"/>
        </w:rPr>
        <w:t>Hong Kong</w:t>
      </w:r>
      <w:r w:rsidRPr="00E04783">
        <w:rPr>
          <w:rFonts w:ascii="Lato" w:eastAsia="Lato" w:hAnsi="Lato" w:cs="Lato"/>
          <w:color w:val="1C1C1C"/>
          <w:sz w:val="24"/>
          <w:szCs w:val="24"/>
          <w:lang w:val="en-US"/>
        </w:rPr>
        <w:t>, despite their marriage being registered overseas. Their application was rejected because they were not deemed an ‘ordinary family’ in the Housing Authority’s Spousal Policy. Following a judicial review, the court ruled that the policy was in fact unconstitutional, allowing the couple to apply for the public housing scheme. The court ruled that the policy violated Article 22 of the Hong Kong Bill of Rights, which guarantees equality before the law. However, the government has filed for an appeal to overturn this decision.</w:t>
      </w:r>
      <w:r w:rsidRPr="00E04783">
        <w:rPr>
          <w:rStyle w:val="FootnoteReference"/>
          <w:rFonts w:ascii="Lato" w:eastAsia="Lato" w:hAnsi="Lato" w:cs="Lato"/>
          <w:color w:val="1C1C1C"/>
          <w:sz w:val="24"/>
          <w:szCs w:val="24"/>
          <w:lang w:val="en-US"/>
        </w:rPr>
        <w:footnoteReference w:id="75"/>
      </w:r>
      <w:r w:rsidR="00E16AB7">
        <w:rPr>
          <w:rFonts w:ascii="Lato" w:eastAsia="Lato" w:hAnsi="Lato" w:cs="Lato"/>
          <w:color w:val="1C1C1C"/>
          <w:sz w:val="24"/>
          <w:szCs w:val="24"/>
          <w:lang w:val="en-US"/>
        </w:rPr>
        <w:t xml:space="preserve"> </w:t>
      </w:r>
      <w:r w:rsidR="001128F2">
        <w:rPr>
          <w:rFonts w:ascii="Lato" w:eastAsia="Lato" w:hAnsi="Lato" w:cs="Lato"/>
          <w:color w:val="1C1C1C"/>
          <w:sz w:val="24"/>
          <w:szCs w:val="24"/>
          <w:lang w:val="en-US"/>
        </w:rPr>
        <w:t xml:space="preserve">Overall, </w:t>
      </w:r>
      <w:r w:rsidR="00CD5A0A">
        <w:rPr>
          <w:rFonts w:ascii="Lato" w:eastAsia="Lato" w:hAnsi="Lato" w:cs="Lato"/>
          <w:color w:val="1C1C1C"/>
          <w:sz w:val="24"/>
          <w:szCs w:val="24"/>
          <w:lang w:val="en-US"/>
        </w:rPr>
        <w:t xml:space="preserve">at present, </w:t>
      </w:r>
      <w:r w:rsidR="001128F2">
        <w:rPr>
          <w:rFonts w:ascii="Lato" w:eastAsia="Lato" w:hAnsi="Lato" w:cs="Lato"/>
          <w:color w:val="1C1C1C"/>
          <w:sz w:val="24"/>
          <w:szCs w:val="24"/>
          <w:lang w:val="en-US"/>
        </w:rPr>
        <w:t xml:space="preserve">Hong </w:t>
      </w:r>
      <w:r w:rsidR="001128F2">
        <w:rPr>
          <w:rFonts w:ascii="Lato" w:eastAsia="Lato" w:hAnsi="Lato" w:cs="Lato"/>
          <w:color w:val="1C1C1C"/>
          <w:sz w:val="24"/>
          <w:szCs w:val="24"/>
          <w:lang w:val="en-US"/>
        </w:rPr>
        <w:lastRenderedPageBreak/>
        <w:t xml:space="preserve">Kong offers no </w:t>
      </w:r>
      <w:r w:rsidR="00CD5A0A">
        <w:rPr>
          <w:rFonts w:ascii="Lato" w:eastAsia="Lato" w:hAnsi="Lato" w:cs="Lato"/>
          <w:color w:val="1C1C1C"/>
          <w:sz w:val="24"/>
          <w:szCs w:val="24"/>
          <w:lang w:val="en-US"/>
        </w:rPr>
        <w:t xml:space="preserve">legislative protections against housing discrimination on the grounds of sexual orientation, gender identity, gender expression or sex characteristics. </w:t>
      </w:r>
    </w:p>
    <w:p w14:paraId="380C4F86" w14:textId="236F6677" w:rsidR="009722D1" w:rsidRPr="00E04783" w:rsidRDefault="009722D1" w:rsidP="00152F62">
      <w:pPr>
        <w:jc w:val="both"/>
        <w:rPr>
          <w:rFonts w:ascii="Lato" w:eastAsia="Lato" w:hAnsi="Lato" w:cs="Lato"/>
          <w:color w:val="1C1C1C"/>
          <w:sz w:val="24"/>
          <w:szCs w:val="24"/>
          <w:lang w:val="en-US"/>
        </w:rPr>
      </w:pPr>
      <w:r w:rsidRPr="00E04783">
        <w:rPr>
          <w:rFonts w:ascii="Lato" w:hAnsi="Lato"/>
          <w:sz w:val="24"/>
          <w:szCs w:val="24"/>
          <w:lang w:val="en-US"/>
        </w:rPr>
        <w:t xml:space="preserve">In December 2018, the </w:t>
      </w:r>
      <w:r w:rsidRPr="00E04783">
        <w:rPr>
          <w:rFonts w:ascii="Lato" w:eastAsia="Lato" w:hAnsi="Lato" w:cs="Lato"/>
          <w:color w:val="1C1C1C"/>
          <w:sz w:val="24"/>
          <w:szCs w:val="24"/>
          <w:lang w:val="en-US"/>
        </w:rPr>
        <w:t xml:space="preserve">Bill on Promotion of Elimination of Discrimination on the Grounds of Sexual Orientation or Gender Identity (2018) was presented in </w:t>
      </w:r>
      <w:r w:rsidRPr="00E04783">
        <w:rPr>
          <w:rFonts w:ascii="Lato" w:eastAsia="Lato" w:hAnsi="Lato" w:cs="Lato"/>
          <w:b/>
          <w:bCs/>
          <w:color w:val="1C1C1C"/>
          <w:sz w:val="24"/>
          <w:szCs w:val="24"/>
          <w:lang w:val="en-US"/>
        </w:rPr>
        <w:t>Japan</w:t>
      </w:r>
      <w:r w:rsidRPr="00E04783">
        <w:rPr>
          <w:rFonts w:ascii="Lato" w:eastAsia="Lato" w:hAnsi="Lato" w:cs="Lato"/>
          <w:color w:val="1C1C1C"/>
          <w:sz w:val="24"/>
          <w:szCs w:val="24"/>
          <w:lang w:val="en-US"/>
        </w:rPr>
        <w:t>’s House of Representatives but did not pass. There are ongoing efforts to pass a law that offers protection for sexual orientation, gender identity, gender expression and sex characteristics at the national level.</w:t>
      </w:r>
      <w:r w:rsidRPr="00E04783">
        <w:rPr>
          <w:rStyle w:val="FootnoteReference"/>
          <w:rFonts w:ascii="Lato" w:eastAsia="Lato" w:hAnsi="Lato" w:cs="Lato"/>
          <w:color w:val="1C1C1C"/>
          <w:sz w:val="24"/>
          <w:szCs w:val="24"/>
          <w:lang w:val="en-US"/>
        </w:rPr>
        <w:footnoteReference w:id="76"/>
      </w:r>
      <w:r w:rsidRPr="00E04783">
        <w:rPr>
          <w:rFonts w:ascii="Lato" w:eastAsia="Lato" w:hAnsi="Lato" w:cs="Lato"/>
          <w:color w:val="1C1C1C"/>
          <w:sz w:val="24"/>
          <w:szCs w:val="24"/>
          <w:lang w:val="en-US"/>
        </w:rPr>
        <w:t xml:space="preserve"> A number of subnational jurisdictions enact local provisions that provide some protection.</w:t>
      </w:r>
      <w:r w:rsidRPr="00E04783">
        <w:rPr>
          <w:rStyle w:val="FootnoteReference"/>
          <w:rFonts w:ascii="Lato" w:eastAsia="Lato" w:hAnsi="Lato" w:cs="Lato"/>
          <w:color w:val="1C1C1C"/>
          <w:sz w:val="24"/>
          <w:szCs w:val="24"/>
          <w:lang w:val="en-US"/>
        </w:rPr>
        <w:footnoteReference w:id="77"/>
      </w:r>
      <w:r w:rsidR="005065D6">
        <w:rPr>
          <w:rFonts w:ascii="Lato" w:eastAsia="Lato" w:hAnsi="Lato" w:cs="Lato"/>
          <w:color w:val="1C1C1C"/>
          <w:sz w:val="24"/>
          <w:szCs w:val="24"/>
          <w:lang w:val="en-US"/>
        </w:rPr>
        <w:t xml:space="preserve"> Currently, Japan offers no legislative protections against housing discrimination on the grounds of gender expression or sex characteristics.</w:t>
      </w:r>
    </w:p>
    <w:p w14:paraId="117B4F29" w14:textId="3D0A9A04" w:rsidR="00810474" w:rsidRPr="00E04783" w:rsidRDefault="009722D1" w:rsidP="00810474">
      <w:pPr>
        <w:pStyle w:val="Heading4"/>
        <w:jc w:val="both"/>
        <w:rPr>
          <w:rFonts w:ascii="Lato" w:hAnsi="Lato"/>
          <w:szCs w:val="24"/>
          <w:lang w:val="en-US"/>
        </w:rPr>
      </w:pPr>
      <w:r w:rsidRPr="00E04783">
        <w:rPr>
          <w:rFonts w:ascii="Lato" w:hAnsi="Lato"/>
          <w:szCs w:val="24"/>
          <w:lang w:val="en-US"/>
        </w:rPr>
        <w:t>Europe</w:t>
      </w:r>
    </w:p>
    <w:p w14:paraId="45BDA38D" w14:textId="5D72D19E" w:rsidR="009722D1" w:rsidRPr="00E04783" w:rsidRDefault="009722D1" w:rsidP="00152F62">
      <w:pPr>
        <w:jc w:val="both"/>
        <w:rPr>
          <w:rFonts w:ascii="Lato" w:eastAsia="Lato" w:hAnsi="Lato" w:cs="Lato"/>
          <w:color w:val="1C1C1C"/>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Austria</w:t>
      </w:r>
      <w:r w:rsidRPr="00E04783">
        <w:rPr>
          <w:rFonts w:ascii="Lato" w:hAnsi="Lato"/>
          <w:sz w:val="24"/>
          <w:szCs w:val="24"/>
          <w:lang w:val="en-US"/>
        </w:rPr>
        <w:t xml:space="preserve">, there is no federal level law that prohibits discrimination on the grounds of ‘sexual orientation’ in housing. In April 2021 and April 2022, Austria’s Social Democratic Party </w:t>
      </w:r>
      <w:r w:rsidRPr="00E04783">
        <w:rPr>
          <w:rFonts w:ascii="Lato" w:eastAsia="Lato" w:hAnsi="Lato" w:cs="Lato"/>
          <w:color w:val="1C1C1C"/>
          <w:sz w:val="24"/>
          <w:szCs w:val="24"/>
          <w:lang w:val="en-US"/>
        </w:rPr>
        <w:t>(SPÖ) submitted a draft bill for consideration that would prohibit discrimination based on ‘sexual orientation’ in areas</w:t>
      </w:r>
      <w:r w:rsidR="00982CFB">
        <w:rPr>
          <w:rFonts w:ascii="Lato" w:eastAsia="Lato" w:hAnsi="Lato" w:cs="Lato"/>
          <w:color w:val="1C1C1C"/>
          <w:sz w:val="24"/>
          <w:szCs w:val="24"/>
          <w:lang w:val="en-US"/>
        </w:rPr>
        <w:t xml:space="preserve"> of</w:t>
      </w:r>
      <w:r w:rsidRPr="00E04783">
        <w:rPr>
          <w:rFonts w:ascii="Lato" w:eastAsia="Lato" w:hAnsi="Lato" w:cs="Lato"/>
          <w:color w:val="1C1C1C"/>
          <w:sz w:val="24"/>
          <w:szCs w:val="24"/>
          <w:lang w:val="en-US"/>
        </w:rPr>
        <w:t xml:space="preserve"> life such as ‘accessing apartments.’</w:t>
      </w:r>
      <w:r w:rsidR="0013377C" w:rsidRPr="00E04783">
        <w:rPr>
          <w:rStyle w:val="FootnoteReference"/>
          <w:rFonts w:ascii="Lato" w:eastAsia="Lato" w:hAnsi="Lato" w:cs="Lato"/>
          <w:color w:val="1C1C1C"/>
          <w:sz w:val="24"/>
          <w:szCs w:val="24"/>
          <w:lang w:val="en-US"/>
        </w:rPr>
        <w:footnoteReference w:id="78"/>
      </w:r>
      <w:r w:rsidR="002B56A6">
        <w:rPr>
          <w:rFonts w:ascii="Lato" w:eastAsia="Lato" w:hAnsi="Lato" w:cs="Lato"/>
          <w:color w:val="1C1C1C"/>
          <w:sz w:val="24"/>
          <w:szCs w:val="24"/>
          <w:lang w:val="en-US"/>
        </w:rPr>
        <w:t xml:space="preserve"> At present, Austria offers no legislative protections against housing discrimination on the grounds of gender expression or sex characteristics.</w:t>
      </w:r>
    </w:p>
    <w:p w14:paraId="3F2F1BE2" w14:textId="7F854E78" w:rsidR="009722D1" w:rsidRPr="00E04783" w:rsidRDefault="009722D1"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Cyprus</w:t>
      </w:r>
      <w:r w:rsidRPr="00E04783">
        <w:rPr>
          <w:rFonts w:ascii="Lato" w:hAnsi="Lato"/>
          <w:sz w:val="24"/>
          <w:szCs w:val="24"/>
          <w:lang w:val="en-US"/>
        </w:rPr>
        <w:t>, despite Article 6 of the Combating Racism and Other Forms of Discrimination (Commissioner) Act (2004)</w:t>
      </w:r>
      <w:r w:rsidRPr="00E04783">
        <w:rPr>
          <w:rStyle w:val="FootnoteReference"/>
          <w:rFonts w:ascii="Lato" w:hAnsi="Lato"/>
          <w:sz w:val="24"/>
          <w:szCs w:val="24"/>
          <w:lang w:val="en-US"/>
        </w:rPr>
        <w:footnoteReference w:id="79"/>
      </w:r>
      <w:r w:rsidRPr="00E04783">
        <w:rPr>
          <w:rFonts w:ascii="Lato" w:hAnsi="Lato"/>
          <w:sz w:val="24"/>
          <w:szCs w:val="24"/>
          <w:lang w:val="en-US"/>
        </w:rPr>
        <w:t xml:space="preserve"> including ‘sexual orientation’ in housing, there does not translate to legal prohibition that is enforceable by the courts.</w:t>
      </w:r>
      <w:r w:rsidRPr="00E04783">
        <w:rPr>
          <w:rStyle w:val="FootnoteReference"/>
          <w:rFonts w:ascii="Lato" w:hAnsi="Lato"/>
          <w:sz w:val="24"/>
          <w:szCs w:val="24"/>
          <w:lang w:val="en-US"/>
        </w:rPr>
        <w:footnoteReference w:id="80"/>
      </w:r>
      <w:r w:rsidR="0046212D">
        <w:rPr>
          <w:rFonts w:ascii="Lato" w:hAnsi="Lato"/>
          <w:sz w:val="24"/>
          <w:szCs w:val="24"/>
          <w:lang w:val="en-US"/>
        </w:rPr>
        <w:t xml:space="preserve"> </w:t>
      </w:r>
      <w:r w:rsidR="0046212D">
        <w:rPr>
          <w:rFonts w:ascii="Lato" w:eastAsia="Lato" w:hAnsi="Lato" w:cs="Lato"/>
          <w:color w:val="1C1C1C"/>
          <w:sz w:val="24"/>
          <w:szCs w:val="24"/>
          <w:lang w:val="en-US"/>
        </w:rPr>
        <w:t>Overall, at present, Cyprus offers no legislative protections against housing discrimination on the grounds of sexual orientation, gender identity, gender expression or sex characteristics.</w:t>
      </w:r>
    </w:p>
    <w:p w14:paraId="649D84FB" w14:textId="2A23DC58" w:rsidR="009722D1" w:rsidRPr="00E04783" w:rsidRDefault="009722D1" w:rsidP="00152F62">
      <w:pPr>
        <w:shd w:val="clear" w:color="auto" w:fill="FFFFFF"/>
        <w:spacing w:line="240" w:lineRule="auto"/>
        <w:jc w:val="both"/>
        <w:rPr>
          <w:rFonts w:ascii="Lato" w:eastAsia="Lato" w:hAnsi="Lato" w:cs="Lato"/>
          <w:color w:val="1C1C1C"/>
          <w:sz w:val="24"/>
          <w:szCs w:val="24"/>
          <w:lang w:val="en-US"/>
        </w:rPr>
      </w:pPr>
      <w:r w:rsidRPr="00E04783">
        <w:rPr>
          <w:rFonts w:ascii="Lato" w:eastAsia="Lato" w:hAnsi="Lato" w:cs="Lato"/>
          <w:color w:val="1C1C1C"/>
          <w:sz w:val="24"/>
          <w:szCs w:val="24"/>
          <w:lang w:val="en-US"/>
        </w:rPr>
        <w:t xml:space="preserve">At the national level in </w:t>
      </w:r>
      <w:r w:rsidRPr="00E04783">
        <w:rPr>
          <w:rFonts w:ascii="Lato" w:eastAsia="Lato" w:hAnsi="Lato" w:cs="Lato"/>
          <w:b/>
          <w:bCs/>
          <w:color w:val="1C1C1C"/>
          <w:sz w:val="24"/>
          <w:szCs w:val="24"/>
          <w:lang w:val="en-US"/>
        </w:rPr>
        <w:t>Italy</w:t>
      </w:r>
      <w:r w:rsidRPr="00E04783">
        <w:rPr>
          <w:rFonts w:ascii="Lato" w:eastAsia="Lato" w:hAnsi="Lato" w:cs="Lato"/>
          <w:color w:val="1C1C1C"/>
          <w:sz w:val="24"/>
          <w:szCs w:val="24"/>
          <w:lang w:val="en-US"/>
        </w:rPr>
        <w:t xml:space="preserve">, there is no national law that offers protection from discrimination based on </w:t>
      </w:r>
      <w:r w:rsidR="002A7961">
        <w:rPr>
          <w:rFonts w:ascii="Lato" w:eastAsia="Lato" w:hAnsi="Lato" w:cs="Lato"/>
          <w:color w:val="1C1C1C"/>
          <w:sz w:val="24"/>
          <w:szCs w:val="24"/>
          <w:lang w:val="en-US"/>
        </w:rPr>
        <w:t>‘</w:t>
      </w:r>
      <w:r w:rsidRPr="00E04783">
        <w:rPr>
          <w:rFonts w:ascii="Lato" w:eastAsia="Lato" w:hAnsi="Lato" w:cs="Lato"/>
          <w:color w:val="1C1C1C"/>
          <w:sz w:val="24"/>
          <w:szCs w:val="24"/>
          <w:lang w:val="en-US"/>
        </w:rPr>
        <w:t>sexual orientation</w:t>
      </w:r>
      <w:r w:rsidR="002A7961">
        <w:rPr>
          <w:rFonts w:ascii="Lato" w:eastAsia="Lato" w:hAnsi="Lato" w:cs="Lato"/>
          <w:color w:val="1C1C1C"/>
          <w:sz w:val="24"/>
          <w:szCs w:val="24"/>
          <w:lang w:val="en-US"/>
        </w:rPr>
        <w:t>’</w:t>
      </w:r>
      <w:r w:rsidRPr="00E04783">
        <w:rPr>
          <w:rFonts w:ascii="Lato" w:eastAsia="Lato" w:hAnsi="Lato" w:cs="Lato"/>
          <w:color w:val="1C1C1C"/>
          <w:sz w:val="24"/>
          <w:szCs w:val="24"/>
          <w:lang w:val="en-US"/>
        </w:rPr>
        <w:t xml:space="preserve"> in housing. Much like aforementioned states, several subnational jurisdictions have local laws that protection that applies to matters under the control of the local governments.</w:t>
      </w:r>
      <w:r w:rsidRPr="00E04783">
        <w:rPr>
          <w:rStyle w:val="FootnoteReference"/>
          <w:rFonts w:ascii="Lato" w:eastAsia="Lato" w:hAnsi="Lato" w:cs="Lato"/>
          <w:color w:val="1C1C1C"/>
          <w:sz w:val="24"/>
          <w:szCs w:val="24"/>
          <w:lang w:val="en-US"/>
        </w:rPr>
        <w:footnoteReference w:id="81"/>
      </w:r>
      <w:r w:rsidR="00A20099">
        <w:rPr>
          <w:rFonts w:ascii="Lato" w:eastAsia="Lato" w:hAnsi="Lato" w:cs="Lato"/>
          <w:color w:val="1C1C1C"/>
          <w:sz w:val="24"/>
          <w:szCs w:val="24"/>
          <w:lang w:val="en-US"/>
        </w:rPr>
        <w:t xml:space="preserve"> </w:t>
      </w:r>
      <w:r w:rsidR="00A20099">
        <w:rPr>
          <w:rFonts w:ascii="Lato" w:hAnsi="Lato"/>
          <w:sz w:val="24"/>
          <w:szCs w:val="24"/>
          <w:lang w:val="en-US"/>
        </w:rPr>
        <w:t>T</w:t>
      </w:r>
      <w:r w:rsidR="00A20099" w:rsidRPr="00CB62BC">
        <w:rPr>
          <w:rFonts w:ascii="Lato" w:hAnsi="Lato"/>
          <w:sz w:val="24"/>
          <w:szCs w:val="24"/>
          <w:lang w:val="en-US"/>
        </w:rPr>
        <w:t>here is</w:t>
      </w:r>
      <w:r w:rsidR="00A20099">
        <w:rPr>
          <w:rFonts w:ascii="Lato" w:hAnsi="Lato"/>
          <w:sz w:val="24"/>
          <w:szCs w:val="24"/>
          <w:lang w:val="en-US"/>
        </w:rPr>
        <w:t xml:space="preserve"> currently</w:t>
      </w:r>
      <w:r w:rsidR="00A20099" w:rsidRPr="00CB62BC">
        <w:rPr>
          <w:rFonts w:ascii="Lato" w:hAnsi="Lato"/>
          <w:sz w:val="24"/>
          <w:szCs w:val="24"/>
          <w:lang w:val="en-US"/>
        </w:rPr>
        <w:t xml:space="preserve"> no legislation that protects against housing discrimination </w:t>
      </w:r>
      <w:r w:rsidR="00A20099">
        <w:rPr>
          <w:rFonts w:ascii="Lato" w:hAnsi="Lato"/>
          <w:sz w:val="24"/>
          <w:szCs w:val="24"/>
          <w:lang w:val="en-US"/>
        </w:rPr>
        <w:t xml:space="preserve">on the grounds of sex characteristics </w:t>
      </w:r>
      <w:r w:rsidR="00A20099" w:rsidRPr="00CB62BC">
        <w:rPr>
          <w:rFonts w:ascii="Lato" w:hAnsi="Lato"/>
          <w:sz w:val="24"/>
          <w:szCs w:val="24"/>
          <w:lang w:val="en-US"/>
        </w:rPr>
        <w:t xml:space="preserve">in </w:t>
      </w:r>
      <w:r w:rsidR="00A20099">
        <w:rPr>
          <w:rFonts w:ascii="Lato" w:hAnsi="Lato"/>
          <w:sz w:val="24"/>
          <w:szCs w:val="24"/>
          <w:lang w:val="en-US"/>
        </w:rPr>
        <w:t>Italy</w:t>
      </w:r>
      <w:r w:rsidR="00A20099" w:rsidRPr="00CB62BC">
        <w:rPr>
          <w:rFonts w:ascii="Lato" w:hAnsi="Lato"/>
          <w:sz w:val="24"/>
          <w:szCs w:val="24"/>
          <w:lang w:val="en-US"/>
        </w:rPr>
        <w:t>.</w:t>
      </w:r>
    </w:p>
    <w:p w14:paraId="2903F58F" w14:textId="77777777" w:rsidR="00ED24A5" w:rsidRPr="00E04783" w:rsidRDefault="00ED24A5" w:rsidP="00152F62">
      <w:pPr>
        <w:pStyle w:val="Heading4"/>
        <w:jc w:val="both"/>
        <w:rPr>
          <w:rFonts w:ascii="Lato" w:hAnsi="Lato"/>
          <w:szCs w:val="24"/>
          <w:lang w:val="en-US"/>
        </w:rPr>
      </w:pPr>
      <w:r w:rsidRPr="00E04783">
        <w:rPr>
          <w:rFonts w:ascii="Lato" w:hAnsi="Lato"/>
          <w:szCs w:val="24"/>
          <w:lang w:val="en-US"/>
        </w:rPr>
        <w:lastRenderedPageBreak/>
        <w:t>Latin America and the Caribbean</w:t>
      </w:r>
    </w:p>
    <w:p w14:paraId="56F29F16" w14:textId="36D0EA9F" w:rsidR="00BE120B" w:rsidRPr="00E04783" w:rsidRDefault="00ED24A5" w:rsidP="00206BE7">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Argentina</w:t>
      </w:r>
      <w:r w:rsidRPr="00E04783">
        <w:rPr>
          <w:rFonts w:ascii="Lato" w:hAnsi="Lato"/>
          <w:sz w:val="24"/>
          <w:szCs w:val="24"/>
          <w:lang w:val="en-US"/>
        </w:rPr>
        <w:t>, certain regional laws in Argentina provide protection against housing discrimination based on ‘sexual orientation’, ‘gender identity’ and ‘gender expression.’</w:t>
      </w:r>
      <w:r w:rsidRPr="00E04783">
        <w:rPr>
          <w:rStyle w:val="FootnoteReference"/>
          <w:rFonts w:ascii="Lato" w:hAnsi="Lato"/>
          <w:sz w:val="24"/>
          <w:szCs w:val="24"/>
          <w:lang w:val="en-US"/>
        </w:rPr>
        <w:footnoteReference w:id="82"/>
      </w:r>
      <w:r w:rsidRPr="00E04783">
        <w:rPr>
          <w:rFonts w:ascii="Lato" w:hAnsi="Lato"/>
          <w:sz w:val="24"/>
          <w:szCs w:val="24"/>
          <w:lang w:val="en-US"/>
        </w:rPr>
        <w:t xml:space="preserve"> However, no housing law exists against discrimination based on ‘sexual orientation’, ‘gender identity’, ‘gender expression’ or ‘sex characteristics’ at the federal level, and no regional laws protect ‘sexual characteristics.’</w:t>
      </w:r>
      <w:r w:rsidRPr="00E04783">
        <w:rPr>
          <w:rStyle w:val="FootnoteReference"/>
          <w:rFonts w:ascii="Lato" w:hAnsi="Lato"/>
          <w:sz w:val="24"/>
          <w:szCs w:val="24"/>
          <w:lang w:val="en-US"/>
        </w:rPr>
        <w:footnoteReference w:id="83"/>
      </w:r>
      <w:r w:rsidRPr="00E04783">
        <w:rPr>
          <w:rFonts w:ascii="Lato" w:hAnsi="Lato"/>
          <w:sz w:val="24"/>
          <w:szCs w:val="24"/>
          <w:lang w:val="en-US"/>
        </w:rPr>
        <w:t xml:space="preserve"> Since at least 2005, multiple attempts to incorporate ‘sexual orientation’ as a protected factor into the current anti-discrimination law has been unsuccessful.</w:t>
      </w:r>
      <w:r w:rsidRPr="00E04783">
        <w:rPr>
          <w:rStyle w:val="FootnoteReference"/>
          <w:rFonts w:ascii="Lato" w:hAnsi="Lato"/>
          <w:sz w:val="24"/>
          <w:szCs w:val="24"/>
          <w:lang w:val="en-US"/>
        </w:rPr>
        <w:footnoteReference w:id="84"/>
      </w:r>
      <w:r w:rsidR="00F942BC">
        <w:rPr>
          <w:rFonts w:ascii="Lato" w:hAnsi="Lato"/>
          <w:sz w:val="24"/>
          <w:szCs w:val="24"/>
          <w:lang w:val="en-US"/>
        </w:rPr>
        <w:t xml:space="preserve"> </w:t>
      </w:r>
      <w:r w:rsidR="00903946">
        <w:rPr>
          <w:rFonts w:ascii="Lato" w:hAnsi="Lato"/>
          <w:sz w:val="24"/>
          <w:szCs w:val="24"/>
          <w:lang w:val="en-US"/>
        </w:rPr>
        <w:t>Therefore, a</w:t>
      </w:r>
      <w:r w:rsidR="00F942BC">
        <w:rPr>
          <w:rFonts w:ascii="Lato" w:hAnsi="Lato"/>
          <w:sz w:val="24"/>
          <w:szCs w:val="24"/>
          <w:lang w:val="en-US"/>
        </w:rPr>
        <w:t>t the federal level,</w:t>
      </w:r>
      <w:r w:rsidR="00903946">
        <w:rPr>
          <w:rFonts w:ascii="Lato" w:hAnsi="Lato"/>
          <w:sz w:val="24"/>
          <w:szCs w:val="24"/>
          <w:lang w:val="en-US"/>
        </w:rPr>
        <w:t xml:space="preserve"> </w:t>
      </w:r>
      <w:r w:rsidR="00F942BC">
        <w:rPr>
          <w:rFonts w:ascii="Lato" w:hAnsi="Lato"/>
          <w:sz w:val="24"/>
          <w:szCs w:val="24"/>
          <w:lang w:val="en-US"/>
        </w:rPr>
        <w:t>t</w:t>
      </w:r>
      <w:r w:rsidR="00F942BC" w:rsidRPr="00CB62BC">
        <w:rPr>
          <w:rFonts w:ascii="Lato" w:hAnsi="Lato"/>
          <w:sz w:val="24"/>
          <w:szCs w:val="24"/>
          <w:lang w:val="en-US"/>
        </w:rPr>
        <w:t>here is</w:t>
      </w:r>
      <w:r w:rsidR="00F942BC">
        <w:rPr>
          <w:rFonts w:ascii="Lato" w:hAnsi="Lato"/>
          <w:sz w:val="24"/>
          <w:szCs w:val="24"/>
          <w:lang w:val="en-US"/>
        </w:rPr>
        <w:t xml:space="preserve"> currently</w:t>
      </w:r>
      <w:r w:rsidR="00F942BC" w:rsidRPr="00CB62BC">
        <w:rPr>
          <w:rFonts w:ascii="Lato" w:hAnsi="Lato"/>
          <w:sz w:val="24"/>
          <w:szCs w:val="24"/>
          <w:lang w:val="en-US"/>
        </w:rPr>
        <w:t xml:space="preserve"> no legislation that protects against housing discrimination </w:t>
      </w:r>
      <w:r w:rsidR="00F942BC">
        <w:rPr>
          <w:rFonts w:ascii="Lato" w:hAnsi="Lato"/>
          <w:sz w:val="24"/>
          <w:szCs w:val="24"/>
          <w:lang w:val="en-US"/>
        </w:rPr>
        <w:t xml:space="preserve">on the grounds of </w:t>
      </w:r>
      <w:r w:rsidR="00903946">
        <w:rPr>
          <w:rFonts w:ascii="Lato" w:hAnsi="Lato"/>
          <w:sz w:val="24"/>
          <w:szCs w:val="24"/>
          <w:lang w:val="en-US"/>
        </w:rPr>
        <w:t xml:space="preserve">sexual orientation, gender identity, </w:t>
      </w:r>
      <w:r w:rsidR="00F942BC">
        <w:rPr>
          <w:rFonts w:ascii="Lato" w:hAnsi="Lato"/>
          <w:sz w:val="24"/>
          <w:szCs w:val="24"/>
          <w:lang w:val="en-US"/>
        </w:rPr>
        <w:t xml:space="preserve">gender expression or sex characteristics </w:t>
      </w:r>
      <w:r w:rsidR="00F942BC" w:rsidRPr="00CB62BC">
        <w:rPr>
          <w:rFonts w:ascii="Lato" w:hAnsi="Lato"/>
          <w:sz w:val="24"/>
          <w:szCs w:val="24"/>
          <w:lang w:val="en-US"/>
        </w:rPr>
        <w:t xml:space="preserve">in </w:t>
      </w:r>
      <w:r w:rsidR="00F942BC">
        <w:rPr>
          <w:rFonts w:ascii="Lato" w:hAnsi="Lato"/>
          <w:sz w:val="24"/>
          <w:szCs w:val="24"/>
          <w:lang w:val="en-US"/>
        </w:rPr>
        <w:t>Argentina</w:t>
      </w:r>
      <w:r w:rsidR="00F942BC" w:rsidRPr="00CB62BC">
        <w:rPr>
          <w:rFonts w:ascii="Lato" w:hAnsi="Lato"/>
          <w:sz w:val="24"/>
          <w:szCs w:val="24"/>
          <w:lang w:val="en-US"/>
        </w:rPr>
        <w:t>.</w:t>
      </w:r>
    </w:p>
    <w:p w14:paraId="209DA6CC" w14:textId="77777777" w:rsidR="00ED24A5" w:rsidRPr="00E04783" w:rsidRDefault="00ED24A5" w:rsidP="00152F62">
      <w:pPr>
        <w:pStyle w:val="Heading4"/>
        <w:jc w:val="both"/>
        <w:rPr>
          <w:rFonts w:ascii="Lato" w:eastAsia="Lato" w:hAnsi="Lato"/>
          <w:szCs w:val="24"/>
          <w:lang w:val="en-US"/>
        </w:rPr>
      </w:pPr>
      <w:r w:rsidRPr="00E04783">
        <w:rPr>
          <w:rFonts w:ascii="Lato" w:eastAsia="Lato" w:hAnsi="Lato"/>
          <w:szCs w:val="24"/>
          <w:lang w:val="en-US"/>
        </w:rPr>
        <w:t>North America</w:t>
      </w:r>
    </w:p>
    <w:p w14:paraId="430B4761" w14:textId="7ED73E92" w:rsidR="00ED24A5" w:rsidRPr="00E04783" w:rsidRDefault="00ED24A5" w:rsidP="00152F62">
      <w:pPr>
        <w:jc w:val="both"/>
        <w:rPr>
          <w:rFonts w:ascii="Lato" w:eastAsia="Lato" w:hAnsi="Lato" w:cs="Lato"/>
          <w:color w:val="1C1C1C"/>
          <w:sz w:val="24"/>
          <w:szCs w:val="24"/>
          <w:lang w:val="en-US"/>
        </w:rPr>
      </w:pPr>
      <w:r w:rsidRPr="00E04783">
        <w:rPr>
          <w:rFonts w:ascii="Lato" w:eastAsia="Lato" w:hAnsi="Lato" w:cs="Lato"/>
          <w:color w:val="1C1C1C"/>
          <w:sz w:val="24"/>
          <w:szCs w:val="24"/>
          <w:lang w:val="en-US"/>
        </w:rPr>
        <w:t xml:space="preserve">There is no federal law in the </w:t>
      </w:r>
      <w:r w:rsidRPr="00E04783">
        <w:rPr>
          <w:rFonts w:ascii="Lato" w:eastAsia="Lato" w:hAnsi="Lato" w:cs="Lato"/>
          <w:b/>
          <w:bCs/>
          <w:color w:val="1C1C1C"/>
          <w:sz w:val="24"/>
          <w:szCs w:val="24"/>
          <w:lang w:val="en-US"/>
        </w:rPr>
        <w:t>United States of America</w:t>
      </w:r>
      <w:r w:rsidRPr="00E04783">
        <w:rPr>
          <w:rFonts w:ascii="Lato" w:eastAsia="Lato" w:hAnsi="Lato" w:cs="Lato"/>
          <w:color w:val="1C1C1C"/>
          <w:sz w:val="24"/>
          <w:szCs w:val="24"/>
          <w:lang w:val="en-US"/>
        </w:rPr>
        <w:t xml:space="preserve"> that provides legal protection against discrimination based on ‘sexual orientation’ or ‘gender identity’. The US House of Representatives passed the 2021 Equality Act, which would codify protections based on ‘sexual orientation’ in housing on the federal level; the bill is still pending.</w:t>
      </w:r>
      <w:r w:rsidRPr="00E04783">
        <w:rPr>
          <w:rStyle w:val="FootnoteReference"/>
          <w:rFonts w:ascii="Lato" w:eastAsia="Lato" w:hAnsi="Lato" w:cs="Lato"/>
          <w:color w:val="1C1C1C"/>
          <w:sz w:val="24"/>
          <w:szCs w:val="24"/>
          <w:lang w:val="en-US"/>
        </w:rPr>
        <w:footnoteReference w:id="85"/>
      </w:r>
      <w:r w:rsidRPr="00E04783">
        <w:rPr>
          <w:rFonts w:ascii="Lato" w:eastAsia="Lato" w:hAnsi="Lato" w:cs="Lato"/>
          <w:color w:val="1C1C1C"/>
          <w:sz w:val="24"/>
          <w:szCs w:val="24"/>
          <w:lang w:val="en-US"/>
        </w:rPr>
        <w:t xml:space="preserve"> </w:t>
      </w:r>
      <w:r w:rsidR="004325FE">
        <w:rPr>
          <w:rFonts w:ascii="Lato" w:eastAsia="Lato" w:hAnsi="Lato" w:cs="Lato"/>
          <w:color w:val="1C1C1C"/>
          <w:sz w:val="24"/>
          <w:szCs w:val="24"/>
          <w:lang w:val="en-US"/>
        </w:rPr>
        <w:t xml:space="preserve">Overall, no </w:t>
      </w:r>
      <w:r w:rsidR="006E217A">
        <w:rPr>
          <w:rFonts w:ascii="Lato" w:eastAsia="Lato" w:hAnsi="Lato" w:cs="Lato"/>
          <w:color w:val="1C1C1C"/>
          <w:sz w:val="24"/>
          <w:szCs w:val="24"/>
          <w:lang w:val="en-US"/>
        </w:rPr>
        <w:t xml:space="preserve">federal </w:t>
      </w:r>
      <w:r w:rsidR="004325FE">
        <w:rPr>
          <w:rFonts w:ascii="Lato" w:eastAsia="Lato" w:hAnsi="Lato" w:cs="Lato"/>
          <w:color w:val="1C1C1C"/>
          <w:sz w:val="24"/>
          <w:szCs w:val="24"/>
          <w:lang w:val="en-US"/>
        </w:rPr>
        <w:t xml:space="preserve">legislation in the United States to protect </w:t>
      </w:r>
      <w:r w:rsidR="00CC3BF7">
        <w:rPr>
          <w:rFonts w:ascii="Lato" w:eastAsia="Lato" w:hAnsi="Lato" w:cs="Lato"/>
          <w:color w:val="1C1C1C"/>
          <w:sz w:val="24"/>
          <w:szCs w:val="24"/>
          <w:lang w:val="en-US"/>
        </w:rPr>
        <w:t>against</w:t>
      </w:r>
      <w:r w:rsidR="006E217A">
        <w:rPr>
          <w:rFonts w:ascii="Lato" w:eastAsia="Lato" w:hAnsi="Lato" w:cs="Lato"/>
          <w:color w:val="1C1C1C"/>
          <w:sz w:val="24"/>
          <w:szCs w:val="24"/>
          <w:lang w:val="en-US"/>
        </w:rPr>
        <w:t xml:space="preserve"> housing discrimination based on sexual orientation</w:t>
      </w:r>
      <w:r w:rsidR="00A52980">
        <w:rPr>
          <w:rFonts w:ascii="Lato" w:eastAsia="Lato" w:hAnsi="Lato" w:cs="Lato"/>
          <w:color w:val="1C1C1C"/>
          <w:sz w:val="24"/>
          <w:szCs w:val="24"/>
          <w:lang w:val="en-US"/>
        </w:rPr>
        <w:t xml:space="preserve">, gender identity, gender expression or sex characteristics. </w:t>
      </w:r>
    </w:p>
    <w:p w14:paraId="3E404954" w14:textId="3A568A33" w:rsidR="003B5B92" w:rsidRPr="00E04783" w:rsidRDefault="75309028" w:rsidP="003B5B92">
      <w:pPr>
        <w:pStyle w:val="Heading2"/>
        <w:jc w:val="both"/>
        <w:rPr>
          <w:lang w:val="en-US"/>
        </w:rPr>
      </w:pPr>
      <w:bookmarkStart w:id="6" w:name="_Toc147244622"/>
      <w:r w:rsidRPr="00E04783">
        <w:rPr>
          <w:lang w:val="en-US"/>
        </w:rPr>
        <w:t>2</w:t>
      </w:r>
      <w:r w:rsidRPr="00E04783">
        <w:rPr>
          <w:rStyle w:val="Heading2Char"/>
          <w:b/>
          <w:bCs/>
          <w:lang w:val="en-US"/>
        </w:rPr>
        <w:t xml:space="preserve">.2 </w:t>
      </w:r>
      <w:r w:rsidRPr="00E04783">
        <w:rPr>
          <w:lang w:val="en-US"/>
        </w:rPr>
        <w:t xml:space="preserve">Impact and enforcement of legislation on </w:t>
      </w:r>
      <w:r w:rsidR="2DC272EB" w:rsidRPr="00E04783">
        <w:rPr>
          <w:lang w:val="en-US"/>
        </w:rPr>
        <w:t xml:space="preserve">people of diverse </w:t>
      </w:r>
      <w:r w:rsidRPr="00E04783">
        <w:rPr>
          <w:lang w:val="en-US"/>
        </w:rPr>
        <w:t>SOGIESC</w:t>
      </w:r>
      <w:bookmarkEnd w:id="6"/>
    </w:p>
    <w:p w14:paraId="13FFB7FE" w14:textId="7BC63370" w:rsidR="0024108E" w:rsidRPr="00E04783" w:rsidRDefault="0024108E" w:rsidP="0024108E">
      <w:pPr>
        <w:rPr>
          <w:rFonts w:ascii="Lato" w:hAnsi="Lato"/>
          <w:sz w:val="24"/>
          <w:szCs w:val="24"/>
          <w:lang w:val="en-US"/>
        </w:rPr>
      </w:pPr>
      <w:r w:rsidRPr="0081612B">
        <w:rPr>
          <w:rFonts w:ascii="Lato" w:hAnsi="Lato"/>
          <w:sz w:val="24"/>
          <w:szCs w:val="24"/>
          <w:lang w:val="en-US"/>
        </w:rPr>
        <w:t xml:space="preserve">The second </w:t>
      </w:r>
      <w:r w:rsidR="005F7730" w:rsidRPr="0081612B">
        <w:rPr>
          <w:rFonts w:ascii="Lato" w:hAnsi="Lato"/>
          <w:sz w:val="24"/>
          <w:szCs w:val="24"/>
          <w:lang w:val="en-US"/>
        </w:rPr>
        <w:t xml:space="preserve">section of this report focusses on 4 main areas: youth, </w:t>
      </w:r>
      <w:r w:rsidR="00127AAE">
        <w:rPr>
          <w:rFonts w:ascii="Lato" w:hAnsi="Lato"/>
          <w:sz w:val="24"/>
          <w:szCs w:val="24"/>
          <w:lang w:val="en-US"/>
        </w:rPr>
        <w:t xml:space="preserve">refugees and </w:t>
      </w:r>
      <w:r w:rsidR="005F7730" w:rsidRPr="0081612B">
        <w:rPr>
          <w:rFonts w:ascii="Lato" w:hAnsi="Lato"/>
          <w:sz w:val="24"/>
          <w:szCs w:val="24"/>
          <w:lang w:val="en-US"/>
        </w:rPr>
        <w:t xml:space="preserve">migration, sex work and a spotlight on Peru, with a submission from Más Igualdad </w:t>
      </w:r>
      <w:r w:rsidR="007936FB" w:rsidRPr="0081612B">
        <w:rPr>
          <w:rFonts w:ascii="Lato" w:eastAsia="Lato" w:hAnsi="Lato" w:cs="Lato"/>
          <w:color w:val="000000" w:themeColor="text1"/>
          <w:sz w:val="24"/>
          <w:szCs w:val="24"/>
          <w:lang w:val="en-US"/>
        </w:rPr>
        <w:t>Perú</w:t>
      </w:r>
      <w:r w:rsidR="005F7730" w:rsidRPr="0081612B">
        <w:rPr>
          <w:rFonts w:ascii="Lato" w:hAnsi="Lato"/>
          <w:sz w:val="24"/>
          <w:szCs w:val="24"/>
          <w:lang w:val="en-US"/>
        </w:rPr>
        <w:t>.</w:t>
      </w:r>
    </w:p>
    <w:p w14:paraId="59B5E483" w14:textId="2B7A9572" w:rsidR="00FB3ED9" w:rsidRPr="00E04783" w:rsidRDefault="0024108E" w:rsidP="00D07B77">
      <w:pPr>
        <w:pStyle w:val="Heading3"/>
        <w:jc w:val="both"/>
        <w:rPr>
          <w:b w:val="0"/>
          <w:bCs/>
          <w:lang w:val="en-US"/>
        </w:rPr>
      </w:pPr>
      <w:bookmarkStart w:id="7" w:name="_Toc147244623"/>
      <w:r w:rsidRPr="00E04783">
        <w:rPr>
          <w:lang w:val="en-US"/>
        </w:rPr>
        <w:t>2.2.1</w:t>
      </w:r>
      <w:r w:rsidR="005F7730" w:rsidRPr="00E04783">
        <w:rPr>
          <w:lang w:val="en-US"/>
        </w:rPr>
        <w:t xml:space="preserve"> </w:t>
      </w:r>
      <w:r w:rsidR="00ED24A5" w:rsidRPr="00E04783">
        <w:rPr>
          <w:lang w:val="en-US"/>
        </w:rPr>
        <w:t>Youth</w:t>
      </w:r>
      <w:bookmarkEnd w:id="7"/>
    </w:p>
    <w:p w14:paraId="2D516734" w14:textId="422FF89E"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LGBTI youth are disproportionately impacted by homelessness and its </w:t>
      </w:r>
      <w:r w:rsidR="00E04783" w:rsidRPr="00E04783">
        <w:rPr>
          <w:rFonts w:ascii="Lato" w:hAnsi="Lato"/>
          <w:sz w:val="24"/>
          <w:szCs w:val="24"/>
          <w:lang w:val="en-US"/>
        </w:rPr>
        <w:t>criminalization</w:t>
      </w:r>
      <w:r w:rsidR="00982CFB">
        <w:rPr>
          <w:rFonts w:ascii="Lato" w:hAnsi="Lato"/>
          <w:sz w:val="24"/>
          <w:szCs w:val="24"/>
          <w:lang w:val="en-US"/>
        </w:rPr>
        <w:t>. For insta</w:t>
      </w:r>
      <w:r w:rsidR="00B742C8">
        <w:rPr>
          <w:rFonts w:ascii="Lato" w:hAnsi="Lato"/>
          <w:sz w:val="24"/>
          <w:szCs w:val="24"/>
          <w:lang w:val="en-US"/>
        </w:rPr>
        <w:t>n</w:t>
      </w:r>
      <w:r w:rsidR="00982CFB">
        <w:rPr>
          <w:rFonts w:ascii="Lato" w:hAnsi="Lato"/>
          <w:sz w:val="24"/>
          <w:szCs w:val="24"/>
          <w:lang w:val="en-US"/>
        </w:rPr>
        <w:t>ce, in United States</w:t>
      </w:r>
      <w:r w:rsidRPr="00E04783">
        <w:rPr>
          <w:rFonts w:ascii="Lato" w:hAnsi="Lato"/>
          <w:sz w:val="24"/>
          <w:szCs w:val="24"/>
          <w:lang w:val="en-US"/>
        </w:rPr>
        <w:t xml:space="preserve"> LGBT</w:t>
      </w:r>
      <w:r w:rsidR="008C034D">
        <w:rPr>
          <w:rFonts w:ascii="Lato" w:hAnsi="Lato"/>
          <w:sz w:val="24"/>
          <w:szCs w:val="24"/>
          <w:lang w:val="en-US"/>
        </w:rPr>
        <w:t>I</w:t>
      </w:r>
      <w:r w:rsidRPr="00E04783">
        <w:rPr>
          <w:rFonts w:ascii="Lato" w:hAnsi="Lato"/>
          <w:sz w:val="24"/>
          <w:szCs w:val="24"/>
          <w:lang w:val="en-US"/>
        </w:rPr>
        <w:t xml:space="preserve"> youth </w:t>
      </w:r>
      <w:r w:rsidR="00982CFB">
        <w:rPr>
          <w:rFonts w:ascii="Lato" w:hAnsi="Lato"/>
          <w:sz w:val="24"/>
          <w:szCs w:val="24"/>
          <w:lang w:val="en-US"/>
        </w:rPr>
        <w:t>experiences</w:t>
      </w:r>
      <w:r w:rsidRPr="00E04783">
        <w:rPr>
          <w:rFonts w:ascii="Lato" w:hAnsi="Lato"/>
          <w:sz w:val="24"/>
          <w:szCs w:val="24"/>
          <w:lang w:val="en-US"/>
        </w:rPr>
        <w:t xml:space="preserve"> a 120% higher risk of reporting homelessness compared to young people who identify as heterosexual and cisgender.</w:t>
      </w:r>
      <w:r w:rsidRPr="00E04783">
        <w:rPr>
          <w:rStyle w:val="FootnoteReference"/>
          <w:rFonts w:ascii="Lato" w:hAnsi="Lato"/>
          <w:sz w:val="24"/>
          <w:szCs w:val="24"/>
          <w:lang w:val="en-US"/>
        </w:rPr>
        <w:footnoteReference w:id="86"/>
      </w:r>
      <w:r w:rsidRPr="00E04783">
        <w:rPr>
          <w:rFonts w:ascii="Lato" w:hAnsi="Lato"/>
          <w:sz w:val="24"/>
          <w:szCs w:val="24"/>
          <w:lang w:val="en-US"/>
        </w:rPr>
        <w:t xml:space="preserve"> Overall, this demographic also tends to be homeless at a younger age and for longer periods of time than their heterosexual and cisgender counterparts of the same age.</w:t>
      </w:r>
      <w:r w:rsidRPr="00E04783">
        <w:rPr>
          <w:rStyle w:val="FootnoteReference"/>
          <w:rFonts w:ascii="Lato" w:hAnsi="Lato"/>
          <w:sz w:val="24"/>
          <w:szCs w:val="24"/>
          <w:lang w:val="en-US"/>
        </w:rPr>
        <w:footnoteReference w:id="87"/>
      </w:r>
    </w:p>
    <w:p w14:paraId="26F10DEF" w14:textId="4B664D02" w:rsidR="00FB3ED9" w:rsidRPr="00E04783" w:rsidRDefault="00FB3ED9" w:rsidP="00152F62">
      <w:pPr>
        <w:jc w:val="both"/>
        <w:rPr>
          <w:rFonts w:ascii="Lato" w:hAnsi="Lato"/>
          <w:sz w:val="24"/>
          <w:szCs w:val="24"/>
          <w:lang w:val="en-US"/>
        </w:rPr>
      </w:pPr>
      <w:r w:rsidRPr="00E04783">
        <w:rPr>
          <w:rFonts w:ascii="Lato" w:hAnsi="Lato"/>
          <w:sz w:val="24"/>
          <w:szCs w:val="24"/>
          <w:lang w:val="en-US"/>
        </w:rPr>
        <w:lastRenderedPageBreak/>
        <w:t>In a</w:t>
      </w:r>
      <w:r w:rsidR="00982CFB">
        <w:rPr>
          <w:rFonts w:ascii="Lato" w:hAnsi="Lato"/>
          <w:sz w:val="24"/>
          <w:szCs w:val="24"/>
          <w:lang w:val="en-US"/>
        </w:rPr>
        <w:t xml:space="preserve">nother </w:t>
      </w:r>
      <w:r w:rsidRPr="00E04783">
        <w:rPr>
          <w:rFonts w:ascii="Lato" w:hAnsi="Lato"/>
          <w:sz w:val="24"/>
          <w:szCs w:val="24"/>
          <w:lang w:val="en-US"/>
        </w:rPr>
        <w:t xml:space="preserve">study conducted in the </w:t>
      </w:r>
      <w:r w:rsidRPr="00E04783">
        <w:rPr>
          <w:rFonts w:ascii="Lato" w:hAnsi="Lato"/>
          <w:b/>
          <w:bCs/>
          <w:sz w:val="24"/>
          <w:szCs w:val="24"/>
          <w:lang w:val="en-US"/>
        </w:rPr>
        <w:t>US</w:t>
      </w:r>
      <w:r w:rsidRPr="00E04783">
        <w:rPr>
          <w:rFonts w:ascii="Lato" w:hAnsi="Lato"/>
          <w:sz w:val="24"/>
          <w:szCs w:val="24"/>
          <w:lang w:val="en-US"/>
        </w:rPr>
        <w:t>, data suggests that LGB young people were between 4 and 13 times more likely to report homelessness than that of their heterosexual peers.</w:t>
      </w:r>
      <w:r w:rsidRPr="00E04783">
        <w:rPr>
          <w:rStyle w:val="FootnoteReference"/>
          <w:rFonts w:ascii="Lato" w:hAnsi="Lato"/>
          <w:sz w:val="24"/>
          <w:szCs w:val="24"/>
          <w:lang w:val="en-US"/>
        </w:rPr>
        <w:footnoteReference w:id="88"/>
      </w:r>
      <w:r w:rsidRPr="00E04783">
        <w:rPr>
          <w:rFonts w:ascii="Lato" w:hAnsi="Lato"/>
          <w:sz w:val="24"/>
          <w:szCs w:val="24"/>
          <w:lang w:val="en-US"/>
        </w:rPr>
        <w:t xml:space="preserve"> The </w:t>
      </w:r>
      <w:r w:rsidR="00982CFB">
        <w:rPr>
          <w:rFonts w:ascii="Lato" w:hAnsi="Lato"/>
          <w:sz w:val="24"/>
          <w:szCs w:val="24"/>
          <w:lang w:val="en-US"/>
        </w:rPr>
        <w:t xml:space="preserve">organization </w:t>
      </w:r>
      <w:r w:rsidRPr="00E04783">
        <w:rPr>
          <w:rFonts w:ascii="Lato" w:hAnsi="Lato"/>
          <w:sz w:val="24"/>
          <w:szCs w:val="24"/>
          <w:lang w:val="en-US"/>
        </w:rPr>
        <w:t>Human Rights Campaign estimates that of all unaccompanied homeless young people [in the US], LGBT</w:t>
      </w:r>
      <w:r w:rsidR="008C034D">
        <w:rPr>
          <w:rFonts w:ascii="Lato" w:hAnsi="Lato"/>
          <w:sz w:val="24"/>
          <w:szCs w:val="24"/>
          <w:lang w:val="en-US"/>
        </w:rPr>
        <w:t>I</w:t>
      </w:r>
      <w:r w:rsidRPr="00E04783">
        <w:rPr>
          <w:rFonts w:ascii="Lato" w:hAnsi="Lato"/>
          <w:sz w:val="24"/>
          <w:szCs w:val="24"/>
          <w:lang w:val="en-US"/>
        </w:rPr>
        <w:t xml:space="preserve"> youth make up 40% of the total figure.</w:t>
      </w:r>
      <w:r w:rsidRPr="00E04783">
        <w:rPr>
          <w:rStyle w:val="FootnoteReference"/>
          <w:rFonts w:ascii="Lato" w:hAnsi="Lato"/>
          <w:sz w:val="24"/>
          <w:szCs w:val="24"/>
          <w:lang w:val="en-US"/>
        </w:rPr>
        <w:footnoteReference w:id="89"/>
      </w:r>
    </w:p>
    <w:p w14:paraId="08B04DB7" w14:textId="6EE1979C" w:rsidR="00FB3ED9" w:rsidRPr="00E04783" w:rsidRDefault="0022283E" w:rsidP="00152F62">
      <w:pPr>
        <w:jc w:val="both"/>
        <w:rPr>
          <w:rFonts w:ascii="Lato" w:hAnsi="Lato"/>
          <w:sz w:val="24"/>
          <w:szCs w:val="24"/>
          <w:lang w:val="en-US"/>
        </w:rPr>
      </w:pPr>
      <w:r>
        <w:rPr>
          <w:rFonts w:ascii="Lato" w:hAnsi="Lato"/>
          <w:sz w:val="24"/>
          <w:szCs w:val="24"/>
          <w:lang w:val="en-US"/>
        </w:rPr>
        <w:t>Moreover</w:t>
      </w:r>
      <w:r w:rsidR="00982CFB">
        <w:rPr>
          <w:rFonts w:ascii="Lato" w:hAnsi="Lato"/>
          <w:sz w:val="24"/>
          <w:szCs w:val="24"/>
          <w:lang w:val="en-US"/>
        </w:rPr>
        <w:t>, t</w:t>
      </w:r>
      <w:r w:rsidR="159F4649" w:rsidRPr="00E04783">
        <w:rPr>
          <w:rFonts w:ascii="Lato" w:hAnsi="Lato"/>
          <w:sz w:val="24"/>
          <w:szCs w:val="24"/>
          <w:lang w:val="en-US"/>
        </w:rPr>
        <w:t xml:space="preserve">he Albert Kennedy Trust found that in the </w:t>
      </w:r>
      <w:r w:rsidR="159F4649" w:rsidRPr="00E04783">
        <w:rPr>
          <w:rFonts w:ascii="Lato" w:hAnsi="Lato"/>
          <w:b/>
          <w:bCs/>
          <w:sz w:val="24"/>
          <w:szCs w:val="24"/>
          <w:lang w:val="en-US"/>
        </w:rPr>
        <w:t>UK</w:t>
      </w:r>
      <w:r w:rsidR="159F4649" w:rsidRPr="00E04783">
        <w:rPr>
          <w:rFonts w:ascii="Lato" w:hAnsi="Lato"/>
          <w:sz w:val="24"/>
          <w:szCs w:val="24"/>
          <w:lang w:val="en-US"/>
        </w:rPr>
        <w:t xml:space="preserve"> 24% of young homeless people identify as LGBTI.</w:t>
      </w:r>
      <w:r w:rsidR="00FB3ED9" w:rsidRPr="00E04783">
        <w:rPr>
          <w:rStyle w:val="FootnoteReference"/>
          <w:rFonts w:ascii="Lato" w:hAnsi="Lato"/>
          <w:sz w:val="24"/>
          <w:szCs w:val="24"/>
          <w:lang w:val="en-US"/>
        </w:rPr>
        <w:footnoteReference w:id="90"/>
      </w:r>
      <w:r w:rsidR="159F4649" w:rsidRPr="00E04783">
        <w:rPr>
          <w:rFonts w:ascii="Lato" w:hAnsi="Lato"/>
          <w:sz w:val="24"/>
          <w:szCs w:val="24"/>
          <w:lang w:val="en-US"/>
        </w:rPr>
        <w:t xml:space="preserve"> Meanwhile in </w:t>
      </w:r>
      <w:r w:rsidR="159F4649" w:rsidRPr="00E04783">
        <w:rPr>
          <w:rFonts w:ascii="Lato" w:hAnsi="Lato"/>
          <w:b/>
          <w:bCs/>
          <w:sz w:val="24"/>
          <w:szCs w:val="24"/>
          <w:lang w:val="en-US"/>
        </w:rPr>
        <w:t>Canada</w:t>
      </w:r>
      <w:r w:rsidR="159F4649" w:rsidRPr="00E04783">
        <w:rPr>
          <w:rFonts w:ascii="Lato" w:hAnsi="Lato"/>
          <w:sz w:val="24"/>
          <w:szCs w:val="24"/>
          <w:lang w:val="en-US"/>
        </w:rPr>
        <w:t xml:space="preserve">, 29.5% of </w:t>
      </w:r>
      <w:r w:rsidR="21A40D7F" w:rsidRPr="00E04783">
        <w:rPr>
          <w:rFonts w:ascii="Lato" w:hAnsi="Lato"/>
          <w:sz w:val="24"/>
          <w:szCs w:val="24"/>
          <w:lang w:val="en-US"/>
        </w:rPr>
        <w:t xml:space="preserve">homeless </w:t>
      </w:r>
      <w:r w:rsidR="159F4649" w:rsidRPr="00E04783">
        <w:rPr>
          <w:rFonts w:ascii="Lato" w:hAnsi="Lato"/>
          <w:sz w:val="24"/>
          <w:szCs w:val="24"/>
          <w:lang w:val="en-US"/>
        </w:rPr>
        <w:t>young people self-identify as LGBTI.</w:t>
      </w:r>
      <w:r w:rsidR="00FB3ED9" w:rsidRPr="00E04783">
        <w:rPr>
          <w:rStyle w:val="FootnoteReference"/>
          <w:rFonts w:ascii="Lato" w:hAnsi="Lato"/>
          <w:sz w:val="24"/>
          <w:szCs w:val="24"/>
          <w:lang w:val="en-US"/>
        </w:rPr>
        <w:footnoteReference w:id="91"/>
      </w:r>
    </w:p>
    <w:p w14:paraId="6EA20852" w14:textId="046D814B"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In 2021, over 60% of LGBTI </w:t>
      </w:r>
      <w:r w:rsidR="005B3D39" w:rsidRPr="00E04783">
        <w:rPr>
          <w:rFonts w:ascii="Lato" w:hAnsi="Lato"/>
          <w:sz w:val="24"/>
          <w:szCs w:val="24"/>
          <w:lang w:val="en-US"/>
        </w:rPr>
        <w:t>organizations</w:t>
      </w:r>
      <w:r w:rsidRPr="00E04783">
        <w:rPr>
          <w:rFonts w:ascii="Lato" w:hAnsi="Lato"/>
          <w:sz w:val="24"/>
          <w:szCs w:val="24"/>
          <w:lang w:val="en-US"/>
        </w:rPr>
        <w:t xml:space="preserve"> surveyed by ILGA-Europe stated that they had worked with young people who had experienced homelessness.</w:t>
      </w:r>
      <w:r w:rsidRPr="00E04783">
        <w:rPr>
          <w:rStyle w:val="FootnoteReference"/>
          <w:rFonts w:ascii="Lato" w:hAnsi="Lato"/>
          <w:sz w:val="24"/>
          <w:szCs w:val="24"/>
          <w:lang w:val="en-US"/>
        </w:rPr>
        <w:footnoteReference w:id="92"/>
      </w:r>
    </w:p>
    <w:p w14:paraId="59261D63" w14:textId="0F1D8081"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India</w:t>
      </w:r>
      <w:r w:rsidRPr="00E04783">
        <w:rPr>
          <w:rFonts w:ascii="Lato" w:hAnsi="Lato"/>
          <w:sz w:val="24"/>
          <w:szCs w:val="24"/>
          <w:lang w:val="en-US"/>
        </w:rPr>
        <w:t>, transgender children are abandoned at as early as 12 years old, according to the National Human Rights Commission, and in some contexts LGBT</w:t>
      </w:r>
      <w:r w:rsidR="00982CFB">
        <w:rPr>
          <w:rFonts w:ascii="Lato" w:hAnsi="Lato"/>
          <w:sz w:val="24"/>
          <w:szCs w:val="24"/>
          <w:lang w:val="en-US"/>
        </w:rPr>
        <w:t>I</w:t>
      </w:r>
      <w:r w:rsidRPr="00E04783">
        <w:rPr>
          <w:rFonts w:ascii="Lato" w:hAnsi="Lato"/>
          <w:sz w:val="24"/>
          <w:szCs w:val="24"/>
          <w:lang w:val="en-US"/>
        </w:rPr>
        <w:t xml:space="preserve"> youth make up as much as 40% of homeless people in their age group.</w:t>
      </w:r>
      <w:r w:rsidRPr="00E04783">
        <w:rPr>
          <w:rStyle w:val="FootnoteReference"/>
          <w:rFonts w:ascii="Lato" w:hAnsi="Lato"/>
          <w:sz w:val="24"/>
          <w:szCs w:val="24"/>
          <w:lang w:val="en-US"/>
        </w:rPr>
        <w:footnoteReference w:id="93"/>
      </w:r>
    </w:p>
    <w:p w14:paraId="26423283" w14:textId="054CEE04" w:rsidR="00FB3ED9" w:rsidRPr="00E04783" w:rsidRDefault="159F4649" w:rsidP="00152F62">
      <w:pPr>
        <w:jc w:val="both"/>
        <w:rPr>
          <w:rFonts w:ascii="Lato" w:hAnsi="Lato"/>
          <w:sz w:val="24"/>
          <w:szCs w:val="24"/>
          <w:lang w:val="en-US"/>
        </w:rPr>
      </w:pPr>
      <w:r w:rsidRPr="00E04783">
        <w:rPr>
          <w:rFonts w:ascii="Lato" w:hAnsi="Lato"/>
          <w:sz w:val="24"/>
          <w:szCs w:val="24"/>
          <w:lang w:val="en-US"/>
        </w:rPr>
        <w:t>Overall, however, LGBTI youth homeless is a hidden problem; there is a gap in the data surrounding this subject area to entirely understand the scale of the issue,</w:t>
      </w:r>
      <w:r w:rsidR="00FB3ED9" w:rsidRPr="00E04783">
        <w:rPr>
          <w:rStyle w:val="FootnoteReference"/>
          <w:rFonts w:ascii="Lato" w:hAnsi="Lato"/>
          <w:sz w:val="24"/>
          <w:szCs w:val="24"/>
          <w:lang w:val="en-US"/>
        </w:rPr>
        <w:footnoteReference w:id="94"/>
      </w:r>
      <w:r w:rsidRPr="00E04783">
        <w:rPr>
          <w:rFonts w:ascii="Lato" w:hAnsi="Lato"/>
          <w:sz w:val="24"/>
          <w:szCs w:val="24"/>
          <w:lang w:val="en-US"/>
        </w:rPr>
        <w:t xml:space="preserve"> particularly outside of Europe and North America.</w:t>
      </w:r>
    </w:p>
    <w:p w14:paraId="5498935F" w14:textId="61CD82F8" w:rsidR="00FB3ED9" w:rsidRPr="00E04783" w:rsidRDefault="00FB3ED9" w:rsidP="00152F62">
      <w:pPr>
        <w:pStyle w:val="Heading4"/>
        <w:jc w:val="both"/>
        <w:rPr>
          <w:rFonts w:ascii="Lato" w:hAnsi="Lato"/>
          <w:szCs w:val="24"/>
          <w:lang w:val="en-US"/>
        </w:rPr>
      </w:pPr>
      <w:r w:rsidRPr="00E04783">
        <w:rPr>
          <w:rFonts w:ascii="Lato" w:hAnsi="Lato"/>
          <w:szCs w:val="24"/>
          <w:lang w:val="en-US"/>
        </w:rPr>
        <w:t>Causes of LGBTI youth homelessness</w:t>
      </w:r>
    </w:p>
    <w:p w14:paraId="7C5A7DCC" w14:textId="17C04A79" w:rsidR="00FB3ED9" w:rsidRPr="00E04783" w:rsidRDefault="00FB3ED9" w:rsidP="00152F62">
      <w:pPr>
        <w:jc w:val="both"/>
        <w:rPr>
          <w:rFonts w:ascii="Lato" w:hAnsi="Lato"/>
          <w:sz w:val="24"/>
          <w:szCs w:val="24"/>
          <w:lang w:val="en-US"/>
        </w:rPr>
      </w:pPr>
      <w:r w:rsidRPr="00E04783">
        <w:rPr>
          <w:rFonts w:ascii="Lato" w:hAnsi="Lato"/>
          <w:sz w:val="24"/>
          <w:szCs w:val="24"/>
          <w:lang w:val="en-US"/>
        </w:rPr>
        <w:t>The most consistent cause for LGBTI youth homelessness is ‘the coming out process and all of the fallout that is often associated with it.’</w:t>
      </w:r>
      <w:r w:rsidRPr="00E04783">
        <w:rPr>
          <w:rStyle w:val="FootnoteReference"/>
          <w:rFonts w:ascii="Lato" w:hAnsi="Lato"/>
          <w:sz w:val="24"/>
          <w:szCs w:val="24"/>
          <w:lang w:val="en-US"/>
        </w:rPr>
        <w:footnoteReference w:id="95"/>
      </w:r>
      <w:r w:rsidRPr="00E04783">
        <w:rPr>
          <w:rFonts w:ascii="Lato" w:hAnsi="Lato"/>
          <w:sz w:val="24"/>
          <w:szCs w:val="24"/>
          <w:lang w:val="en-US"/>
        </w:rPr>
        <w:t xml:space="preserve"> According to a Williams Institute study on LGBT</w:t>
      </w:r>
      <w:r w:rsidR="007A129B">
        <w:rPr>
          <w:rFonts w:ascii="Lato" w:hAnsi="Lato"/>
          <w:sz w:val="24"/>
          <w:szCs w:val="24"/>
          <w:lang w:val="en-US"/>
        </w:rPr>
        <w:t>I</w:t>
      </w:r>
      <w:r w:rsidRPr="00E04783">
        <w:rPr>
          <w:rFonts w:ascii="Lato" w:hAnsi="Lato"/>
          <w:sz w:val="24"/>
          <w:szCs w:val="24"/>
          <w:lang w:val="en-US"/>
        </w:rPr>
        <w:t xml:space="preserve"> youth homelessness in the </w:t>
      </w:r>
      <w:r w:rsidRPr="00E04783">
        <w:rPr>
          <w:rFonts w:ascii="Lato" w:hAnsi="Lato"/>
          <w:b/>
          <w:bCs/>
          <w:sz w:val="24"/>
          <w:szCs w:val="24"/>
          <w:lang w:val="en-US"/>
        </w:rPr>
        <w:t>United States</w:t>
      </w:r>
      <w:r w:rsidRPr="00E04783">
        <w:rPr>
          <w:rFonts w:ascii="Lato" w:hAnsi="Lato"/>
          <w:sz w:val="24"/>
          <w:szCs w:val="24"/>
          <w:lang w:val="en-US"/>
        </w:rPr>
        <w:t xml:space="preserve">, 46% family rejection was the </w:t>
      </w:r>
      <w:r w:rsidRPr="00E04783">
        <w:rPr>
          <w:rFonts w:ascii="Lato" w:hAnsi="Lato"/>
          <w:sz w:val="24"/>
          <w:szCs w:val="24"/>
          <w:lang w:val="en-US"/>
        </w:rPr>
        <w:lastRenderedPageBreak/>
        <w:t>cause of LGBT</w:t>
      </w:r>
      <w:r w:rsidR="007A129B">
        <w:rPr>
          <w:rFonts w:ascii="Lato" w:hAnsi="Lato"/>
          <w:sz w:val="24"/>
          <w:szCs w:val="24"/>
          <w:lang w:val="en-US"/>
        </w:rPr>
        <w:t>I</w:t>
      </w:r>
      <w:r w:rsidRPr="00E04783">
        <w:rPr>
          <w:rFonts w:ascii="Lato" w:hAnsi="Lato"/>
          <w:sz w:val="24"/>
          <w:szCs w:val="24"/>
          <w:lang w:val="en-US"/>
        </w:rPr>
        <w:t xml:space="preserve"> running away from home, while 43% were ‘forced out’ by their parents.</w:t>
      </w:r>
      <w:r w:rsidRPr="00E04783">
        <w:rPr>
          <w:rStyle w:val="FootnoteReference"/>
          <w:rFonts w:ascii="Lato" w:hAnsi="Lato"/>
          <w:sz w:val="24"/>
          <w:szCs w:val="24"/>
          <w:lang w:val="en-US"/>
        </w:rPr>
        <w:footnoteReference w:id="96"/>
      </w:r>
    </w:p>
    <w:p w14:paraId="3698F698" w14:textId="77777777"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In the Independent Experts for SOGI’s Country Visit to </w:t>
      </w:r>
      <w:r w:rsidRPr="00E04783">
        <w:rPr>
          <w:rFonts w:ascii="Lato" w:hAnsi="Lato"/>
          <w:b/>
          <w:bCs/>
          <w:sz w:val="24"/>
          <w:szCs w:val="24"/>
          <w:lang w:val="en-US"/>
        </w:rPr>
        <w:t>Georgia</w:t>
      </w:r>
      <w:r w:rsidRPr="00E04783">
        <w:rPr>
          <w:rFonts w:ascii="Lato" w:hAnsi="Lato"/>
          <w:sz w:val="24"/>
          <w:szCs w:val="24"/>
          <w:lang w:val="en-US"/>
        </w:rPr>
        <w:t>, ‘coming out’ was cited as a common reason for young people with diverse sexual orientations or gender identities being banished from the home, leaving the in ‘extremely vulnerable situations.’</w:t>
      </w:r>
      <w:r w:rsidRPr="00E04783">
        <w:rPr>
          <w:rStyle w:val="FootnoteReference"/>
          <w:rFonts w:ascii="Lato" w:hAnsi="Lato"/>
          <w:sz w:val="24"/>
          <w:szCs w:val="24"/>
          <w:lang w:val="en-US"/>
        </w:rPr>
        <w:footnoteReference w:id="97"/>
      </w:r>
      <w:r w:rsidRPr="00E04783">
        <w:rPr>
          <w:rFonts w:ascii="Lato" w:hAnsi="Lato"/>
          <w:sz w:val="24"/>
          <w:szCs w:val="24"/>
          <w:lang w:val="en-US"/>
        </w:rPr>
        <w:t xml:space="preserve"> Furthermore, in a study conducted in </w:t>
      </w:r>
      <w:r w:rsidRPr="00E04783">
        <w:rPr>
          <w:rFonts w:ascii="Lato" w:hAnsi="Lato"/>
          <w:b/>
          <w:bCs/>
          <w:sz w:val="24"/>
          <w:szCs w:val="24"/>
          <w:lang w:val="en-US"/>
        </w:rPr>
        <w:t>Europe</w:t>
      </w:r>
      <w:r w:rsidRPr="00E04783">
        <w:rPr>
          <w:rFonts w:ascii="Lato" w:hAnsi="Lato"/>
          <w:sz w:val="24"/>
          <w:szCs w:val="24"/>
          <w:lang w:val="en-US"/>
        </w:rPr>
        <w:t>, 72% of LGBTI homeless youth surveyed stated identity-related family conflict as the main cause for their homelessness.</w:t>
      </w:r>
      <w:r w:rsidRPr="00E04783">
        <w:rPr>
          <w:rStyle w:val="FootnoteReference"/>
          <w:rFonts w:ascii="Lato" w:hAnsi="Lato"/>
          <w:sz w:val="24"/>
          <w:szCs w:val="24"/>
          <w:lang w:val="en-US"/>
        </w:rPr>
        <w:footnoteReference w:id="98"/>
      </w:r>
      <w:r w:rsidRPr="00E04783">
        <w:rPr>
          <w:rFonts w:ascii="Lato" w:hAnsi="Lato"/>
          <w:sz w:val="24"/>
          <w:szCs w:val="24"/>
          <w:lang w:val="en-US"/>
        </w:rPr>
        <w:t xml:space="preserve"> </w:t>
      </w:r>
    </w:p>
    <w:p w14:paraId="3EF53C23" w14:textId="77777777" w:rsidR="00196134" w:rsidRDefault="00FB3ED9" w:rsidP="00152F62">
      <w:pPr>
        <w:jc w:val="both"/>
        <w:rPr>
          <w:rFonts w:ascii="Lato" w:hAnsi="Lato"/>
          <w:sz w:val="24"/>
          <w:szCs w:val="24"/>
          <w:lang w:val="en-US"/>
        </w:rPr>
      </w:pPr>
      <w:r w:rsidRPr="00E04783">
        <w:rPr>
          <w:rFonts w:ascii="Lato" w:hAnsi="Lato"/>
          <w:sz w:val="24"/>
          <w:szCs w:val="24"/>
          <w:lang w:val="en-US"/>
        </w:rPr>
        <w:t>Also cited as causes for LGBTI+ youth homelessness in the US context, was young people running away from families who reject them because of their sexual orientation or gender identity, as well as ageing out of or running away from the foster care system.</w:t>
      </w:r>
      <w:r w:rsidRPr="00E04783">
        <w:rPr>
          <w:rStyle w:val="FootnoteReference"/>
          <w:rFonts w:ascii="Lato" w:hAnsi="Lato"/>
          <w:sz w:val="24"/>
          <w:szCs w:val="24"/>
          <w:lang w:val="en-US"/>
        </w:rPr>
        <w:footnoteReference w:id="99"/>
      </w:r>
      <w:r w:rsidRPr="00E04783">
        <w:rPr>
          <w:rFonts w:ascii="Lato" w:hAnsi="Lato"/>
          <w:sz w:val="24"/>
          <w:szCs w:val="24"/>
          <w:lang w:val="en-US"/>
        </w:rPr>
        <w:t xml:space="preserve"> </w:t>
      </w:r>
    </w:p>
    <w:p w14:paraId="2538E5E2" w14:textId="4EB633FC" w:rsidR="00FB3ED9" w:rsidRPr="00E04783" w:rsidRDefault="00FB3ED9" w:rsidP="00152F62">
      <w:pPr>
        <w:jc w:val="both"/>
        <w:rPr>
          <w:rFonts w:ascii="Lato" w:hAnsi="Lato"/>
          <w:b/>
          <w:bCs/>
          <w:sz w:val="24"/>
          <w:szCs w:val="24"/>
          <w:lang w:val="en-US"/>
        </w:rPr>
      </w:pPr>
      <w:r w:rsidRPr="00E04783">
        <w:rPr>
          <w:rFonts w:ascii="Lato" w:hAnsi="Lato"/>
          <w:sz w:val="24"/>
          <w:szCs w:val="24"/>
          <w:lang w:val="en-US"/>
        </w:rPr>
        <w:t xml:space="preserve">In </w:t>
      </w:r>
      <w:r w:rsidRPr="00E04783">
        <w:rPr>
          <w:rFonts w:ascii="Lato" w:hAnsi="Lato"/>
          <w:b/>
          <w:bCs/>
          <w:sz w:val="24"/>
          <w:szCs w:val="24"/>
          <w:lang w:val="en-US"/>
        </w:rPr>
        <w:t>Europe</w:t>
      </w:r>
      <w:r w:rsidRPr="00E04783">
        <w:rPr>
          <w:rFonts w:ascii="Lato" w:hAnsi="Lato"/>
          <w:sz w:val="24"/>
          <w:szCs w:val="24"/>
          <w:lang w:val="en-US"/>
        </w:rPr>
        <w:t>, lack of institutional support and social rejection was reported by 44% of respondents as another major contributing factor to the rates of LGBTI+ homeless youth.</w:t>
      </w:r>
      <w:r w:rsidRPr="00E04783">
        <w:rPr>
          <w:rStyle w:val="FootnoteReference"/>
          <w:rFonts w:ascii="Lato" w:hAnsi="Lato"/>
          <w:sz w:val="24"/>
          <w:szCs w:val="24"/>
          <w:lang w:val="en-US"/>
        </w:rPr>
        <w:footnoteReference w:id="100"/>
      </w:r>
      <w:r w:rsidRPr="00E04783">
        <w:rPr>
          <w:rFonts w:ascii="Lato" w:hAnsi="Lato"/>
          <w:sz w:val="24"/>
          <w:szCs w:val="24"/>
          <w:lang w:val="en-US"/>
        </w:rPr>
        <w:t xml:space="preserve"> Other causes cited include poverty, mental health issues and substance abuse.</w:t>
      </w:r>
      <w:r w:rsidRPr="00E04783">
        <w:rPr>
          <w:rStyle w:val="FootnoteReference"/>
          <w:rFonts w:ascii="Lato" w:hAnsi="Lato"/>
          <w:sz w:val="24"/>
          <w:szCs w:val="24"/>
          <w:lang w:val="en-US"/>
        </w:rPr>
        <w:footnoteReference w:id="101"/>
      </w:r>
    </w:p>
    <w:p w14:paraId="12D7DF94" w14:textId="6277618F" w:rsidR="00FB3ED9" w:rsidRPr="00E04783" w:rsidRDefault="00FB3ED9" w:rsidP="00152F62">
      <w:pPr>
        <w:pStyle w:val="Heading4"/>
        <w:jc w:val="both"/>
        <w:rPr>
          <w:rFonts w:ascii="Lato" w:hAnsi="Lato"/>
          <w:szCs w:val="24"/>
          <w:lang w:val="en-US"/>
        </w:rPr>
      </w:pPr>
      <w:r w:rsidRPr="00E04783">
        <w:rPr>
          <w:rFonts w:ascii="Lato" w:hAnsi="Lato"/>
          <w:szCs w:val="24"/>
          <w:lang w:val="en-US"/>
        </w:rPr>
        <w:lastRenderedPageBreak/>
        <w:t xml:space="preserve">Intersection </w:t>
      </w:r>
      <w:r w:rsidR="00F631F4">
        <w:rPr>
          <w:rFonts w:ascii="Lato" w:hAnsi="Lato"/>
          <w:szCs w:val="24"/>
          <w:lang w:val="en-US"/>
        </w:rPr>
        <w:t>between</w:t>
      </w:r>
      <w:r w:rsidRPr="00E04783">
        <w:rPr>
          <w:rFonts w:ascii="Lato" w:hAnsi="Lato"/>
          <w:szCs w:val="24"/>
          <w:lang w:val="en-US"/>
        </w:rPr>
        <w:t xml:space="preserve"> </w:t>
      </w:r>
      <w:r w:rsidR="00F631F4">
        <w:rPr>
          <w:rFonts w:ascii="Lato" w:hAnsi="Lato"/>
          <w:szCs w:val="24"/>
          <w:lang w:val="en-US"/>
        </w:rPr>
        <w:t xml:space="preserve">LGBTI+ </w:t>
      </w:r>
      <w:r w:rsidRPr="00E04783">
        <w:rPr>
          <w:rFonts w:ascii="Lato" w:hAnsi="Lato"/>
          <w:szCs w:val="24"/>
          <w:lang w:val="en-US"/>
        </w:rPr>
        <w:t xml:space="preserve">youth homelessness </w:t>
      </w:r>
      <w:r w:rsidR="00F631F4">
        <w:rPr>
          <w:rFonts w:ascii="Lato" w:hAnsi="Lato"/>
          <w:szCs w:val="24"/>
          <w:lang w:val="en-US"/>
        </w:rPr>
        <w:t>and</w:t>
      </w:r>
      <w:r w:rsidRPr="00E04783">
        <w:rPr>
          <w:rFonts w:ascii="Lato" w:hAnsi="Lato"/>
          <w:szCs w:val="24"/>
          <w:lang w:val="en-US"/>
        </w:rPr>
        <w:t xml:space="preserve"> poverty</w:t>
      </w:r>
    </w:p>
    <w:p w14:paraId="7EA8E763" w14:textId="63D26712"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There is a clear intersection between homelessness and poverty. In </w:t>
      </w:r>
      <w:r w:rsidRPr="00E04783">
        <w:rPr>
          <w:rFonts w:ascii="Lato" w:hAnsi="Lato"/>
          <w:b/>
          <w:bCs/>
          <w:sz w:val="24"/>
          <w:szCs w:val="24"/>
          <w:lang w:val="en-US"/>
        </w:rPr>
        <w:t>India</w:t>
      </w:r>
      <w:r w:rsidRPr="00E04783">
        <w:rPr>
          <w:rFonts w:ascii="Lato" w:hAnsi="Lato"/>
          <w:sz w:val="24"/>
          <w:szCs w:val="24"/>
          <w:lang w:val="en-US"/>
        </w:rPr>
        <w:t>, due to many LGBT</w:t>
      </w:r>
      <w:r w:rsidR="008C034D">
        <w:rPr>
          <w:rFonts w:ascii="Lato" w:hAnsi="Lato"/>
          <w:sz w:val="24"/>
          <w:szCs w:val="24"/>
          <w:lang w:val="en-US"/>
        </w:rPr>
        <w:t>I</w:t>
      </w:r>
      <w:r w:rsidRPr="00E04783">
        <w:rPr>
          <w:rFonts w:ascii="Lato" w:hAnsi="Lato"/>
          <w:sz w:val="24"/>
          <w:szCs w:val="24"/>
          <w:lang w:val="en-US"/>
        </w:rPr>
        <w:t xml:space="preserve"> homeless children running away or being </w:t>
      </w:r>
      <w:r w:rsidR="007A129B">
        <w:rPr>
          <w:rFonts w:ascii="Lato" w:hAnsi="Lato"/>
          <w:sz w:val="24"/>
          <w:szCs w:val="24"/>
          <w:lang w:val="en-US"/>
        </w:rPr>
        <w:t>r</w:t>
      </w:r>
      <w:r w:rsidRPr="00E04783">
        <w:rPr>
          <w:rFonts w:ascii="Lato" w:hAnsi="Lato"/>
          <w:sz w:val="24"/>
          <w:szCs w:val="24"/>
          <w:lang w:val="en-US"/>
        </w:rPr>
        <w:t xml:space="preserve">ejected from their family homes, many do not receive State benefits. As a result, these children often do not have means for survival and shelter, which leaves them in vulnerable positions. In the case that a child is protected by State services such as shelter </w:t>
      </w:r>
      <w:r w:rsidR="00BB4234" w:rsidRPr="00E04783">
        <w:rPr>
          <w:rFonts w:ascii="Lato" w:hAnsi="Lato"/>
          <w:sz w:val="24"/>
          <w:szCs w:val="24"/>
          <w:lang w:val="en-US"/>
        </w:rPr>
        <w:t>programs</w:t>
      </w:r>
      <w:r w:rsidRPr="00E04783">
        <w:rPr>
          <w:rFonts w:ascii="Lato" w:hAnsi="Lato"/>
          <w:sz w:val="24"/>
          <w:szCs w:val="24"/>
          <w:lang w:val="en-US"/>
        </w:rPr>
        <w:t>, young people with diverse sexual orientation and gender identity find themselves homeless when they reach legal adulthood.</w:t>
      </w:r>
      <w:r w:rsidRPr="00E04783">
        <w:rPr>
          <w:rStyle w:val="FootnoteReference"/>
          <w:rFonts w:ascii="Lato" w:hAnsi="Lato"/>
          <w:sz w:val="24"/>
          <w:szCs w:val="24"/>
          <w:lang w:val="en-US"/>
        </w:rPr>
        <w:footnoteReference w:id="102"/>
      </w:r>
    </w:p>
    <w:p w14:paraId="30C1AAC4" w14:textId="136CC413" w:rsidR="00FB3ED9" w:rsidRPr="00E04783" w:rsidRDefault="159F4649" w:rsidP="00152F62">
      <w:pPr>
        <w:jc w:val="both"/>
        <w:rPr>
          <w:rFonts w:ascii="Lato" w:hAnsi="Lato"/>
          <w:sz w:val="24"/>
          <w:szCs w:val="24"/>
          <w:lang w:val="en-US"/>
        </w:rPr>
      </w:pPr>
      <w:r w:rsidRPr="00E04783">
        <w:rPr>
          <w:rFonts w:ascii="Lato" w:hAnsi="Lato"/>
          <w:sz w:val="24"/>
          <w:szCs w:val="24"/>
          <w:lang w:val="en-US"/>
        </w:rPr>
        <w:t>This impacts trans and intersex communities more than it impacts cisgender LGB people; in a study conducted by</w:t>
      </w:r>
      <w:r w:rsidR="006B1844" w:rsidRPr="00E04783">
        <w:rPr>
          <w:rFonts w:ascii="Lato" w:hAnsi="Lato"/>
          <w:sz w:val="24"/>
          <w:szCs w:val="24"/>
          <w:lang w:val="en-US"/>
        </w:rPr>
        <w:t xml:space="preserve"> the European Union Agency </w:t>
      </w:r>
      <w:r w:rsidR="00184E3C" w:rsidRPr="00E04783">
        <w:rPr>
          <w:rFonts w:ascii="Lato" w:hAnsi="Lato"/>
          <w:sz w:val="24"/>
          <w:szCs w:val="24"/>
          <w:lang w:val="en-US"/>
        </w:rPr>
        <w:t>for Fundamental Rights,</w:t>
      </w:r>
      <w:r w:rsidRPr="00E04783">
        <w:rPr>
          <w:rFonts w:ascii="Lato" w:hAnsi="Lato"/>
          <w:sz w:val="24"/>
          <w:szCs w:val="24"/>
          <w:lang w:val="en-US"/>
        </w:rPr>
        <w:t xml:space="preserve"> one third of LGBTI respondents stated that their households had run into financial difficulty. For trans respondents this rose to 46%, and for intersex respondents this rose to 52%. According to the same data, within their lifetime, 25% of trans respondents and 29% of intersex respondents had had some form of housing difficulty in their lifetime, compared to 17% of cisgender LGB respondents.</w:t>
      </w:r>
      <w:r w:rsidR="00FB3ED9" w:rsidRPr="00E04783">
        <w:rPr>
          <w:rStyle w:val="FootnoteReference"/>
          <w:rFonts w:ascii="Lato" w:hAnsi="Lato"/>
          <w:sz w:val="24"/>
          <w:szCs w:val="24"/>
          <w:lang w:val="en-US"/>
        </w:rPr>
        <w:footnoteReference w:id="103"/>
      </w:r>
    </w:p>
    <w:p w14:paraId="10C0E6F7" w14:textId="77777777" w:rsidR="00FB3ED9" w:rsidRPr="00E04783" w:rsidRDefault="00FB3ED9" w:rsidP="00152F62">
      <w:pPr>
        <w:pStyle w:val="Heading4"/>
        <w:jc w:val="both"/>
        <w:rPr>
          <w:rFonts w:ascii="Lato" w:hAnsi="Lato"/>
          <w:szCs w:val="24"/>
          <w:lang w:val="en-US"/>
        </w:rPr>
      </w:pPr>
      <w:r w:rsidRPr="00E04783">
        <w:rPr>
          <w:rFonts w:ascii="Lato" w:hAnsi="Lato"/>
          <w:szCs w:val="24"/>
          <w:lang w:val="en-US"/>
        </w:rPr>
        <w:t>Consequences of LGBTI+ youth homelessness</w:t>
      </w:r>
    </w:p>
    <w:p w14:paraId="53694954" w14:textId="79E3D479" w:rsidR="00FB3ED9" w:rsidRPr="00E04783" w:rsidRDefault="00FB3ED9" w:rsidP="00152F62">
      <w:pPr>
        <w:jc w:val="both"/>
        <w:rPr>
          <w:rFonts w:ascii="Lato" w:hAnsi="Lato"/>
          <w:sz w:val="24"/>
          <w:szCs w:val="24"/>
          <w:lang w:val="en-US"/>
        </w:rPr>
      </w:pPr>
      <w:r w:rsidRPr="00E04783">
        <w:rPr>
          <w:rFonts w:ascii="Lato" w:hAnsi="Lato"/>
          <w:sz w:val="24"/>
          <w:szCs w:val="24"/>
          <w:lang w:val="en-US"/>
        </w:rPr>
        <w:t>LGBTI+ homeless youth face poorer outcomes than their heterosexual and cisgender counterparts</w:t>
      </w:r>
      <w:r w:rsidRPr="00E04783">
        <w:rPr>
          <w:rStyle w:val="FootnoteReference"/>
          <w:rFonts w:ascii="Lato" w:hAnsi="Lato"/>
          <w:sz w:val="24"/>
          <w:szCs w:val="24"/>
          <w:lang w:val="en-US"/>
        </w:rPr>
        <w:footnoteReference w:id="104"/>
      </w:r>
      <w:r w:rsidRPr="00E04783">
        <w:rPr>
          <w:rFonts w:ascii="Lato" w:hAnsi="Lato"/>
          <w:sz w:val="24"/>
          <w:szCs w:val="24"/>
          <w:lang w:val="en-US"/>
        </w:rPr>
        <w:t xml:space="preserve"> across several axes. This demographic is more likely to suffer from poor mental health, suicidal </w:t>
      </w:r>
      <w:r w:rsidR="00AD0208" w:rsidRPr="00E04783">
        <w:rPr>
          <w:rFonts w:ascii="Lato" w:hAnsi="Lato"/>
          <w:sz w:val="24"/>
          <w:szCs w:val="24"/>
          <w:lang w:val="en-US"/>
        </w:rPr>
        <w:t>behaviors</w:t>
      </w:r>
      <w:r w:rsidRPr="00E04783">
        <w:rPr>
          <w:rFonts w:ascii="Lato" w:hAnsi="Lato"/>
          <w:sz w:val="24"/>
          <w:szCs w:val="24"/>
          <w:lang w:val="en-US"/>
        </w:rPr>
        <w:t xml:space="preserve">, sexual exploitation, substance abuse, physical </w:t>
      </w:r>
      <w:r w:rsidR="00AD0208" w:rsidRPr="00E04783">
        <w:rPr>
          <w:rFonts w:ascii="Lato" w:hAnsi="Lato"/>
          <w:sz w:val="24"/>
          <w:szCs w:val="24"/>
          <w:lang w:val="en-US"/>
        </w:rPr>
        <w:t>victimization</w:t>
      </w:r>
      <w:r w:rsidRPr="00E04783">
        <w:rPr>
          <w:rFonts w:ascii="Lato" w:hAnsi="Lato"/>
          <w:sz w:val="24"/>
          <w:szCs w:val="24"/>
          <w:lang w:val="en-US"/>
        </w:rPr>
        <w:t xml:space="preserve">, sexually risky </w:t>
      </w:r>
      <w:r w:rsidR="00AD0208" w:rsidRPr="00E04783">
        <w:rPr>
          <w:rFonts w:ascii="Lato" w:hAnsi="Lato"/>
          <w:sz w:val="24"/>
          <w:szCs w:val="24"/>
          <w:lang w:val="en-US"/>
        </w:rPr>
        <w:t>behaviors</w:t>
      </w:r>
      <w:r w:rsidRPr="00E04783">
        <w:rPr>
          <w:rFonts w:ascii="Lato" w:hAnsi="Lato"/>
          <w:sz w:val="24"/>
          <w:szCs w:val="24"/>
          <w:lang w:val="en-US"/>
        </w:rPr>
        <w:t xml:space="preserve">, </w:t>
      </w:r>
      <w:r w:rsidR="00104970" w:rsidRPr="00E04783">
        <w:rPr>
          <w:rFonts w:ascii="Lato" w:hAnsi="Lato"/>
          <w:sz w:val="24"/>
          <w:szCs w:val="24"/>
          <w:lang w:val="en-US"/>
        </w:rPr>
        <w:t>violence,</w:t>
      </w:r>
      <w:r w:rsidRPr="00E04783">
        <w:rPr>
          <w:rFonts w:ascii="Lato" w:hAnsi="Lato"/>
          <w:sz w:val="24"/>
          <w:szCs w:val="24"/>
          <w:lang w:val="en-US"/>
        </w:rPr>
        <w:t xml:space="preserve"> and discrimination/stigma.</w:t>
      </w:r>
      <w:r w:rsidRPr="00E04783">
        <w:rPr>
          <w:rStyle w:val="FootnoteReference"/>
          <w:rFonts w:ascii="Lato" w:hAnsi="Lato"/>
          <w:sz w:val="24"/>
          <w:szCs w:val="24"/>
          <w:lang w:val="en-US"/>
        </w:rPr>
        <w:footnoteReference w:id="105"/>
      </w:r>
    </w:p>
    <w:p w14:paraId="092EECD1" w14:textId="0AA08E15" w:rsidR="00FB3ED9" w:rsidRPr="00E04783" w:rsidRDefault="00FB3ED9" w:rsidP="00152F62">
      <w:pPr>
        <w:jc w:val="both"/>
        <w:rPr>
          <w:rFonts w:ascii="Lato" w:hAnsi="Lato"/>
          <w:sz w:val="24"/>
          <w:szCs w:val="24"/>
          <w:lang w:val="en-US"/>
        </w:rPr>
      </w:pPr>
      <w:r w:rsidRPr="00E04783">
        <w:rPr>
          <w:rFonts w:ascii="Lato" w:hAnsi="Lato"/>
          <w:sz w:val="24"/>
          <w:szCs w:val="24"/>
          <w:lang w:val="en-US"/>
        </w:rPr>
        <w:t xml:space="preserve">Survival sex </w:t>
      </w:r>
      <w:r w:rsidR="007A129B">
        <w:rPr>
          <w:rFonts w:ascii="Lato" w:hAnsi="Lato"/>
          <w:sz w:val="24"/>
          <w:szCs w:val="24"/>
          <w:lang w:val="en-US"/>
        </w:rPr>
        <w:t>can be</w:t>
      </w:r>
      <w:r w:rsidR="008F2C02">
        <w:rPr>
          <w:rFonts w:ascii="Lato" w:hAnsi="Lato"/>
          <w:sz w:val="24"/>
          <w:szCs w:val="24"/>
          <w:lang w:val="en-US"/>
        </w:rPr>
        <w:t xml:space="preserve"> </w:t>
      </w:r>
      <w:r w:rsidRPr="00E04783">
        <w:rPr>
          <w:rFonts w:ascii="Lato" w:hAnsi="Lato"/>
          <w:sz w:val="24"/>
          <w:szCs w:val="24"/>
          <w:lang w:val="en-US"/>
        </w:rPr>
        <w:t>a strategy used by homeless people as a means of obtaining food, money, shelter, or other needs.</w:t>
      </w:r>
      <w:r w:rsidRPr="00E04783">
        <w:rPr>
          <w:rStyle w:val="FootnoteReference"/>
          <w:rFonts w:ascii="Lato" w:hAnsi="Lato"/>
          <w:sz w:val="24"/>
          <w:szCs w:val="24"/>
          <w:lang w:val="en-US"/>
        </w:rPr>
        <w:footnoteReference w:id="106"/>
      </w:r>
      <w:r w:rsidRPr="00E04783">
        <w:rPr>
          <w:rFonts w:ascii="Lato" w:hAnsi="Lato"/>
          <w:sz w:val="24"/>
          <w:szCs w:val="24"/>
          <w:lang w:val="en-US"/>
        </w:rPr>
        <w:t xml:space="preserve"> In the </w:t>
      </w:r>
      <w:r w:rsidRPr="00E04783">
        <w:rPr>
          <w:rFonts w:ascii="Lato" w:hAnsi="Lato"/>
          <w:b/>
          <w:bCs/>
          <w:sz w:val="24"/>
          <w:szCs w:val="24"/>
          <w:lang w:val="en-US"/>
        </w:rPr>
        <w:t>USA</w:t>
      </w:r>
      <w:r w:rsidRPr="00E04783">
        <w:rPr>
          <w:rFonts w:ascii="Lato" w:hAnsi="Lato"/>
          <w:sz w:val="24"/>
          <w:szCs w:val="24"/>
          <w:lang w:val="en-US"/>
        </w:rPr>
        <w:t>, homeless LGBT you between the ages of 10 and 25 are 70% more likely to engage in survival sex than their homeless heterosexual peers.</w:t>
      </w:r>
      <w:r w:rsidRPr="00E04783">
        <w:rPr>
          <w:rStyle w:val="FootnoteReference"/>
          <w:rFonts w:ascii="Lato" w:hAnsi="Lato"/>
          <w:sz w:val="24"/>
          <w:szCs w:val="24"/>
          <w:lang w:val="en-US"/>
        </w:rPr>
        <w:footnoteReference w:id="107"/>
      </w:r>
      <w:r w:rsidRPr="00E04783">
        <w:rPr>
          <w:rFonts w:ascii="Lato" w:hAnsi="Lato"/>
          <w:sz w:val="24"/>
          <w:szCs w:val="24"/>
          <w:lang w:val="en-US"/>
        </w:rPr>
        <w:t xml:space="preserve"> Furthermore, those aged 13 to 21 are more likely to have unprotected intercourse, and experience physical or sexual v</w:t>
      </w:r>
      <w:r w:rsidR="00CE17F7">
        <w:rPr>
          <w:rFonts w:ascii="Lato" w:hAnsi="Lato"/>
          <w:sz w:val="24"/>
          <w:szCs w:val="24"/>
          <w:lang w:val="en-US"/>
        </w:rPr>
        <w:t>iolence</w:t>
      </w:r>
      <w:r w:rsidRPr="00E04783">
        <w:rPr>
          <w:rFonts w:ascii="Lato" w:hAnsi="Lato"/>
          <w:sz w:val="24"/>
          <w:szCs w:val="24"/>
          <w:lang w:val="en-US"/>
        </w:rPr>
        <w:t xml:space="preserve"> while homeless.</w:t>
      </w:r>
      <w:r w:rsidRPr="00E04783">
        <w:rPr>
          <w:rStyle w:val="FootnoteReference"/>
          <w:rFonts w:ascii="Lato" w:hAnsi="Lato"/>
          <w:sz w:val="24"/>
          <w:szCs w:val="24"/>
          <w:lang w:val="en-US"/>
        </w:rPr>
        <w:footnoteReference w:id="108"/>
      </w:r>
    </w:p>
    <w:p w14:paraId="0188DB87" w14:textId="5D5A75D1" w:rsidR="008446D3" w:rsidRPr="00E04783" w:rsidRDefault="00FB3ED9" w:rsidP="004B6477">
      <w:pPr>
        <w:jc w:val="both"/>
        <w:rPr>
          <w:rFonts w:ascii="Lato" w:hAnsi="Lato"/>
          <w:b/>
          <w:bCs/>
          <w:sz w:val="24"/>
          <w:szCs w:val="24"/>
          <w:lang w:val="en-US"/>
        </w:rPr>
      </w:pPr>
      <w:r w:rsidRPr="00E04783">
        <w:rPr>
          <w:rFonts w:ascii="Lato" w:hAnsi="Lato"/>
          <w:sz w:val="24"/>
          <w:szCs w:val="24"/>
          <w:lang w:val="en-US"/>
        </w:rPr>
        <w:lastRenderedPageBreak/>
        <w:t xml:space="preserve">In the Toronto and surrounding areas in Ontario, </w:t>
      </w:r>
      <w:r w:rsidRPr="00E04783">
        <w:rPr>
          <w:rFonts w:ascii="Lato" w:hAnsi="Lato"/>
          <w:b/>
          <w:bCs/>
          <w:sz w:val="24"/>
          <w:szCs w:val="24"/>
          <w:lang w:val="en-US"/>
        </w:rPr>
        <w:t>Canada</w:t>
      </w:r>
      <w:r w:rsidRPr="00E04783">
        <w:rPr>
          <w:rFonts w:ascii="Lato" w:hAnsi="Lato"/>
          <w:sz w:val="24"/>
          <w:szCs w:val="24"/>
          <w:lang w:val="en-US"/>
        </w:rPr>
        <w:t xml:space="preserve">, homelessness was exacerbated by the COVID-19 pandemic, when it was reported that there was a clear rise in </w:t>
      </w:r>
      <w:r w:rsidR="00B317DF">
        <w:rPr>
          <w:rFonts w:ascii="Lato" w:hAnsi="Lato"/>
          <w:sz w:val="24"/>
          <w:szCs w:val="24"/>
          <w:lang w:val="en-US"/>
        </w:rPr>
        <w:t>LGBTI</w:t>
      </w:r>
      <w:r w:rsidRPr="00E04783">
        <w:rPr>
          <w:rFonts w:ascii="Lato" w:hAnsi="Lato"/>
          <w:sz w:val="24"/>
          <w:szCs w:val="24"/>
          <w:lang w:val="en-US"/>
        </w:rPr>
        <w:t xml:space="preserve"> youth in precarious housing situations (shelters, transitional housing programs, group homes, public spaces). Pre-pandemic statistics indicated that 12% of youth lived in a public space, with this rising to 23% after the start of the pandemic.</w:t>
      </w:r>
      <w:r w:rsidRPr="00E04783">
        <w:rPr>
          <w:rStyle w:val="FootnoteReference"/>
          <w:rFonts w:ascii="Lato" w:hAnsi="Lato"/>
          <w:sz w:val="24"/>
          <w:szCs w:val="24"/>
          <w:lang w:val="en-US"/>
        </w:rPr>
        <w:footnoteReference w:id="109"/>
      </w:r>
      <w:r w:rsidRPr="00E04783">
        <w:rPr>
          <w:rFonts w:ascii="Lato" w:hAnsi="Lato"/>
          <w:sz w:val="24"/>
          <w:szCs w:val="24"/>
          <w:lang w:val="en-US"/>
        </w:rPr>
        <w:t xml:space="preserve"> This was linked to the need to self-isolate in unsafe and unsupportive living conditions, paired with a reduced access and availability to housing and care services.</w:t>
      </w:r>
      <w:r w:rsidRPr="00E04783">
        <w:rPr>
          <w:rStyle w:val="FootnoteReference"/>
          <w:rFonts w:ascii="Lato" w:hAnsi="Lato"/>
          <w:sz w:val="24"/>
          <w:szCs w:val="24"/>
          <w:lang w:val="en-US"/>
        </w:rPr>
        <w:footnoteReference w:id="110"/>
      </w:r>
      <w:r w:rsidR="008446D3" w:rsidRPr="00E04783">
        <w:rPr>
          <w:rFonts w:ascii="Lato" w:hAnsi="Lato"/>
          <w:sz w:val="24"/>
          <w:szCs w:val="24"/>
          <w:lang w:val="en-US"/>
        </w:rPr>
        <w:t xml:space="preserve"> </w:t>
      </w:r>
    </w:p>
    <w:p w14:paraId="65F1933B" w14:textId="77AE0C2D" w:rsidR="00ED24A5" w:rsidRPr="00E04783" w:rsidRDefault="005F7730" w:rsidP="00152F62">
      <w:pPr>
        <w:pStyle w:val="Heading3"/>
        <w:jc w:val="both"/>
        <w:rPr>
          <w:lang w:val="en-US"/>
        </w:rPr>
      </w:pPr>
      <w:bookmarkStart w:id="8" w:name="_Toc147244624"/>
      <w:r w:rsidRPr="00E04783">
        <w:rPr>
          <w:lang w:val="en-US"/>
        </w:rPr>
        <w:t xml:space="preserve">2.2.2 </w:t>
      </w:r>
      <w:r w:rsidR="00ED24A5" w:rsidRPr="00E04783">
        <w:rPr>
          <w:lang w:val="en-US"/>
        </w:rPr>
        <w:t>Refugees and Migrants</w:t>
      </w:r>
      <w:bookmarkEnd w:id="8"/>
    </w:p>
    <w:p w14:paraId="48725B9F" w14:textId="260D34FD" w:rsidR="00C82622" w:rsidRPr="00E04783" w:rsidRDefault="008E302A" w:rsidP="00316402">
      <w:pPr>
        <w:jc w:val="both"/>
        <w:rPr>
          <w:rFonts w:ascii="Lato" w:hAnsi="Lato"/>
          <w:sz w:val="24"/>
          <w:szCs w:val="24"/>
          <w:lang w:val="en-US"/>
        </w:rPr>
      </w:pPr>
      <w:r w:rsidRPr="00E04783">
        <w:rPr>
          <w:rFonts w:ascii="Lato" w:hAnsi="Lato"/>
          <w:sz w:val="24"/>
          <w:szCs w:val="24"/>
          <w:lang w:val="en-US"/>
        </w:rPr>
        <w:t xml:space="preserve">This section explores </w:t>
      </w:r>
      <w:r w:rsidR="00677C71" w:rsidRPr="00E04783">
        <w:rPr>
          <w:rFonts w:ascii="Lato" w:hAnsi="Lato"/>
          <w:sz w:val="24"/>
          <w:szCs w:val="24"/>
          <w:lang w:val="en-US"/>
        </w:rPr>
        <w:t xml:space="preserve">the intersection between homelessness, LGBTI persons, and </w:t>
      </w:r>
      <w:r w:rsidR="00D937CE" w:rsidRPr="00E04783">
        <w:rPr>
          <w:rFonts w:ascii="Lato" w:hAnsi="Lato"/>
          <w:sz w:val="24"/>
          <w:szCs w:val="24"/>
          <w:lang w:val="en-US"/>
        </w:rPr>
        <w:t xml:space="preserve">refugees and migrants. </w:t>
      </w:r>
      <w:r w:rsidR="002559AF" w:rsidRPr="00E04783">
        <w:rPr>
          <w:rFonts w:ascii="Lato" w:hAnsi="Lato"/>
          <w:sz w:val="24"/>
          <w:szCs w:val="24"/>
          <w:lang w:val="en-US"/>
        </w:rPr>
        <w:t>There is specific focus on the Venezuelan refugee crisis and the experiences of LGBTI</w:t>
      </w:r>
      <w:r w:rsidR="00BC54E4" w:rsidRPr="00E04783">
        <w:rPr>
          <w:rFonts w:ascii="Lato" w:hAnsi="Lato"/>
          <w:sz w:val="24"/>
          <w:szCs w:val="24"/>
          <w:lang w:val="en-US"/>
        </w:rPr>
        <w:t xml:space="preserve"> Venezuelan refugees </w:t>
      </w:r>
      <w:r w:rsidR="00CE17F7">
        <w:rPr>
          <w:rFonts w:ascii="Lato" w:hAnsi="Lato"/>
          <w:sz w:val="24"/>
          <w:szCs w:val="24"/>
          <w:lang w:val="en-US"/>
        </w:rPr>
        <w:t>in</w:t>
      </w:r>
      <w:r w:rsidR="00BC54E4" w:rsidRPr="00E04783">
        <w:rPr>
          <w:rFonts w:ascii="Lato" w:hAnsi="Lato"/>
          <w:sz w:val="24"/>
          <w:szCs w:val="24"/>
          <w:lang w:val="en-US"/>
        </w:rPr>
        <w:t xml:space="preserve"> Brazil and Colombia. Following this, there is an exploration the Syrian refugee crisis, and their experiences in Lebanon. Finally, the situation of refugees in Spain is outlined, particularly </w:t>
      </w:r>
      <w:r w:rsidR="002C0458" w:rsidRPr="00E04783">
        <w:rPr>
          <w:rFonts w:ascii="Lato" w:hAnsi="Lato"/>
          <w:sz w:val="24"/>
          <w:szCs w:val="24"/>
          <w:lang w:val="en-US"/>
        </w:rPr>
        <w:t>focusing</w:t>
      </w:r>
      <w:r w:rsidR="00BC54E4" w:rsidRPr="00E04783">
        <w:rPr>
          <w:rFonts w:ascii="Lato" w:hAnsi="Lato"/>
          <w:sz w:val="24"/>
          <w:szCs w:val="24"/>
          <w:lang w:val="en-US"/>
        </w:rPr>
        <w:t xml:space="preserve"> on </w:t>
      </w:r>
      <w:r w:rsidR="003F5A66" w:rsidRPr="00E04783">
        <w:rPr>
          <w:rFonts w:ascii="Lato" w:hAnsi="Lato"/>
          <w:sz w:val="24"/>
          <w:szCs w:val="24"/>
          <w:lang w:val="en-US"/>
        </w:rPr>
        <w:t>those who identify as travesti and transgender.</w:t>
      </w:r>
    </w:p>
    <w:p w14:paraId="2832E16B" w14:textId="77777777" w:rsidR="00050A2E" w:rsidRPr="00E04783" w:rsidRDefault="00050A2E" w:rsidP="00152F62">
      <w:pPr>
        <w:pStyle w:val="Heading4"/>
        <w:jc w:val="both"/>
        <w:rPr>
          <w:rFonts w:ascii="Lato" w:hAnsi="Lato"/>
          <w:szCs w:val="24"/>
          <w:lang w:val="en-US"/>
        </w:rPr>
      </w:pPr>
      <w:r w:rsidRPr="00E04783">
        <w:rPr>
          <w:rFonts w:ascii="Lato" w:hAnsi="Lato"/>
          <w:szCs w:val="24"/>
          <w:lang w:val="en-US"/>
        </w:rPr>
        <w:t>Venezuelan Refugee Crisis</w:t>
      </w:r>
    </w:p>
    <w:p w14:paraId="42FE95D2" w14:textId="1E336330" w:rsidR="00050A2E" w:rsidRPr="00E04783" w:rsidRDefault="00050A2E" w:rsidP="00152F62">
      <w:pPr>
        <w:jc w:val="both"/>
        <w:rPr>
          <w:rFonts w:ascii="Lato" w:hAnsi="Lato"/>
          <w:sz w:val="24"/>
          <w:szCs w:val="24"/>
          <w:lang w:val="en-US"/>
        </w:rPr>
      </w:pPr>
      <w:r w:rsidRPr="00E04783">
        <w:rPr>
          <w:rFonts w:ascii="Lato" w:hAnsi="Lato"/>
          <w:sz w:val="24"/>
          <w:szCs w:val="24"/>
          <w:lang w:val="en-US"/>
        </w:rPr>
        <w:t>Venezuela currently faces a multidimensional emergency that has led to one of the largest humanitarian crises in the world, with over 7 million Venezuelan refugees and migrants worldwide.</w:t>
      </w:r>
      <w:r w:rsidRPr="00E04783">
        <w:rPr>
          <w:rFonts w:ascii="Lato" w:hAnsi="Lato"/>
          <w:sz w:val="24"/>
          <w:szCs w:val="24"/>
          <w:vertAlign w:val="superscript"/>
          <w:lang w:val="en-US"/>
        </w:rPr>
        <w:footnoteReference w:id="111"/>
      </w:r>
      <w:r w:rsidRPr="00E04783">
        <w:rPr>
          <w:rFonts w:ascii="Lato" w:hAnsi="Lato"/>
          <w:sz w:val="24"/>
          <w:szCs w:val="24"/>
          <w:lang w:val="en-US"/>
        </w:rPr>
        <w:t xml:space="preserve"> Although consensual same-sex sexual acts are not criminalized in Venezuela, same-sex marriage, and protection against various forms of discrimination based on sexual orientation and gender identity are not enacted in the country</w:t>
      </w:r>
      <w:r w:rsidR="008974D1">
        <w:rPr>
          <w:rFonts w:ascii="Lato" w:hAnsi="Lato"/>
          <w:sz w:val="24"/>
          <w:szCs w:val="24"/>
          <w:lang w:val="en-US"/>
        </w:rPr>
        <w:t>’s</w:t>
      </w:r>
      <w:r w:rsidRPr="00E04783">
        <w:rPr>
          <w:rFonts w:ascii="Lato" w:hAnsi="Lato"/>
          <w:sz w:val="24"/>
          <w:szCs w:val="24"/>
          <w:lang w:val="en-US"/>
        </w:rPr>
        <w:t xml:space="preserve"> legislation.</w:t>
      </w:r>
      <w:r w:rsidRPr="00E04783">
        <w:rPr>
          <w:rFonts w:ascii="Lato" w:hAnsi="Lato"/>
          <w:sz w:val="24"/>
          <w:szCs w:val="24"/>
          <w:vertAlign w:val="superscript"/>
          <w:lang w:val="en-US"/>
        </w:rPr>
        <w:footnoteReference w:id="112"/>
      </w:r>
      <w:r w:rsidRPr="00E04783">
        <w:rPr>
          <w:rFonts w:ascii="Lato" w:hAnsi="Lato"/>
          <w:sz w:val="24"/>
          <w:szCs w:val="24"/>
          <w:lang w:val="en-US"/>
        </w:rPr>
        <w:t xml:space="preserve"> LGBTI persons are among the most vulnerable demographics of the migrants, refugees, and asylum seekers who decide to flee the country,</w:t>
      </w:r>
      <w:r w:rsidRPr="00E04783">
        <w:rPr>
          <w:rFonts w:ascii="Lato" w:hAnsi="Lato"/>
          <w:sz w:val="24"/>
          <w:szCs w:val="24"/>
          <w:vertAlign w:val="superscript"/>
          <w:lang w:val="en-US"/>
        </w:rPr>
        <w:footnoteReference w:id="113"/>
      </w:r>
      <w:r w:rsidRPr="00E04783">
        <w:rPr>
          <w:rFonts w:ascii="Lato" w:hAnsi="Lato"/>
          <w:sz w:val="24"/>
          <w:szCs w:val="24"/>
          <w:lang w:val="en-US"/>
        </w:rPr>
        <w:t xml:space="preserve"> and face challenges regarding criminalization of homelessness while displaced.</w:t>
      </w:r>
    </w:p>
    <w:p w14:paraId="3BC66BDC" w14:textId="1A5FB39A" w:rsidR="00050A2E" w:rsidRPr="00E04783" w:rsidRDefault="00094EA7" w:rsidP="00152F62">
      <w:pPr>
        <w:jc w:val="both"/>
        <w:rPr>
          <w:rFonts w:ascii="Lato" w:hAnsi="Lato"/>
          <w:sz w:val="24"/>
          <w:szCs w:val="24"/>
          <w:lang w:val="en-US"/>
        </w:rPr>
      </w:pPr>
      <w:r>
        <w:rPr>
          <w:rFonts w:ascii="Lato" w:hAnsi="Lato"/>
          <w:sz w:val="24"/>
          <w:szCs w:val="24"/>
          <w:lang w:val="en-US"/>
        </w:rPr>
        <w:t xml:space="preserve">Many Venezuelan migrants and asylum seekers that have crossed the border to northern Brazil are experiencing a housing crisis </w:t>
      </w:r>
      <w:r w:rsidR="00050A2E" w:rsidRPr="00E04783">
        <w:rPr>
          <w:rFonts w:ascii="Lato" w:hAnsi="Lato"/>
          <w:sz w:val="24"/>
          <w:szCs w:val="24"/>
          <w:lang w:val="en-US"/>
        </w:rPr>
        <w:t xml:space="preserve">with many living in tents or on the streets. Casa Miga is the first-known shelter for homeless LGBTI and refugees in the </w:t>
      </w:r>
      <w:r w:rsidR="00050A2E" w:rsidRPr="00E04783">
        <w:rPr>
          <w:rFonts w:ascii="Lato" w:hAnsi="Lato"/>
          <w:b/>
          <w:bCs/>
          <w:sz w:val="24"/>
          <w:szCs w:val="24"/>
          <w:lang w:val="en-US"/>
        </w:rPr>
        <w:t>Brazilian Amazon</w:t>
      </w:r>
      <w:r w:rsidR="00050A2E" w:rsidRPr="00E04783">
        <w:rPr>
          <w:rFonts w:ascii="Lato" w:hAnsi="Lato"/>
          <w:sz w:val="24"/>
          <w:szCs w:val="24"/>
          <w:lang w:val="en-US"/>
        </w:rPr>
        <w:t xml:space="preserve"> region. In partnership with Manifesta LGBT+, refugees can stay in the shelter for up to three months, receiving health care, educational opportunities, help obtaining documentation and employment training.</w:t>
      </w:r>
      <w:r w:rsidR="00050A2E" w:rsidRPr="00E04783">
        <w:rPr>
          <w:rFonts w:ascii="Lato" w:hAnsi="Lato"/>
          <w:sz w:val="24"/>
          <w:szCs w:val="24"/>
          <w:vertAlign w:val="superscript"/>
          <w:lang w:val="en-US"/>
        </w:rPr>
        <w:footnoteReference w:id="114"/>
      </w:r>
      <w:r w:rsidR="00050A2E" w:rsidRPr="00E04783">
        <w:rPr>
          <w:rFonts w:ascii="Lato" w:hAnsi="Lato"/>
          <w:sz w:val="24"/>
          <w:szCs w:val="24"/>
          <w:lang w:val="en-US"/>
        </w:rPr>
        <w:t xml:space="preserve"> While migrant policy in Brazil </w:t>
      </w:r>
      <w:r w:rsidR="00050A2E" w:rsidRPr="00E04783">
        <w:rPr>
          <w:rFonts w:ascii="Lato" w:hAnsi="Lato"/>
          <w:sz w:val="24"/>
          <w:szCs w:val="24"/>
          <w:lang w:val="en-US"/>
        </w:rPr>
        <w:lastRenderedPageBreak/>
        <w:t>has taken steps that make it easier to secure refugee status for Venezuelan asylum applicants,</w:t>
      </w:r>
      <w:r w:rsidR="00050A2E" w:rsidRPr="00E04783">
        <w:rPr>
          <w:rFonts w:ascii="Lato" w:hAnsi="Lato"/>
          <w:sz w:val="24"/>
          <w:szCs w:val="24"/>
          <w:vertAlign w:val="superscript"/>
          <w:lang w:val="en-US"/>
        </w:rPr>
        <w:footnoteReference w:id="115"/>
      </w:r>
      <w:r w:rsidR="00050A2E" w:rsidRPr="00E04783">
        <w:rPr>
          <w:rFonts w:ascii="Lato" w:hAnsi="Lato"/>
          <w:sz w:val="24"/>
          <w:szCs w:val="24"/>
          <w:lang w:val="en-US"/>
        </w:rPr>
        <w:t xml:space="preserve"> there are no specific protections in place for those with diverse sexual orientation and gender identity.</w:t>
      </w:r>
      <w:r w:rsidR="00050A2E" w:rsidRPr="00E04783">
        <w:rPr>
          <w:rFonts w:ascii="Lato" w:hAnsi="Lato"/>
          <w:sz w:val="24"/>
          <w:szCs w:val="24"/>
          <w:vertAlign w:val="superscript"/>
          <w:lang w:val="en-US"/>
        </w:rPr>
        <w:footnoteReference w:id="116"/>
      </w:r>
    </w:p>
    <w:p w14:paraId="4624B734" w14:textId="464D7C03" w:rsidR="00050A2E" w:rsidRPr="00E04783" w:rsidRDefault="00050A2E" w:rsidP="00152F62">
      <w:pPr>
        <w:jc w:val="both"/>
        <w:rPr>
          <w:rFonts w:ascii="Lato" w:hAnsi="Lato"/>
          <w:sz w:val="24"/>
          <w:szCs w:val="24"/>
          <w:lang w:val="en-US"/>
        </w:rPr>
      </w:pPr>
      <w:r w:rsidRPr="00E04783">
        <w:rPr>
          <w:rFonts w:ascii="Lato" w:hAnsi="Lato"/>
          <w:sz w:val="24"/>
          <w:szCs w:val="24"/>
          <w:lang w:val="en-US"/>
        </w:rPr>
        <w:t xml:space="preserve">Homeless transgender refugees face high levels of discrimination, violence, and harassment. In Maicao, a municipality in </w:t>
      </w:r>
      <w:r w:rsidRPr="00E04783">
        <w:rPr>
          <w:rFonts w:ascii="Lato" w:hAnsi="Lato"/>
          <w:b/>
          <w:bCs/>
          <w:sz w:val="24"/>
          <w:szCs w:val="24"/>
          <w:lang w:val="en-US"/>
        </w:rPr>
        <w:t>Colombia</w:t>
      </w:r>
      <w:r w:rsidRPr="00E04783">
        <w:rPr>
          <w:rFonts w:ascii="Lato" w:hAnsi="Lato"/>
          <w:sz w:val="24"/>
          <w:szCs w:val="24"/>
          <w:lang w:val="en-US"/>
        </w:rPr>
        <w:t>, four homeless, transgender, Venezuelan refugees were subject to arbitrary detention for performing sex work; the police officers also insulted, humiliated, and beat the women, while threatening them with rape and death. A client who had intimidated them and tried to attack them after they refused to accept sexual penetration without a condom participated in the harassment and beatings by the police. The motivation of the attack was the women’s gender identities, and they are particularly vulnerable and exposed to violence due to their status as migrants</w:t>
      </w:r>
      <w:r w:rsidR="00E34679">
        <w:rPr>
          <w:rFonts w:ascii="Lato" w:hAnsi="Lato"/>
          <w:sz w:val="24"/>
          <w:szCs w:val="24"/>
          <w:lang w:val="en-US"/>
        </w:rPr>
        <w:t>,</w:t>
      </w:r>
      <w:r w:rsidRPr="00E04783">
        <w:rPr>
          <w:rFonts w:ascii="Lato" w:hAnsi="Lato"/>
          <w:sz w:val="24"/>
          <w:szCs w:val="24"/>
          <w:lang w:val="en-US"/>
        </w:rPr>
        <w:t xml:space="preserve"> their occupation as sex workers, and the isolation measures implemented due to the COVID-19 pandemic. The perpetrators are unpunished, and the violence by Colombian authorities forced the women to move internally.</w:t>
      </w:r>
      <w:r w:rsidRPr="00E04783">
        <w:rPr>
          <w:rFonts w:ascii="Lato" w:hAnsi="Lato"/>
          <w:sz w:val="24"/>
          <w:szCs w:val="24"/>
          <w:vertAlign w:val="superscript"/>
          <w:lang w:val="en-US"/>
        </w:rPr>
        <w:footnoteReference w:id="117"/>
      </w:r>
    </w:p>
    <w:p w14:paraId="09952F65" w14:textId="77777777" w:rsidR="00050A2E" w:rsidRPr="00E04783" w:rsidRDefault="00050A2E" w:rsidP="00152F62">
      <w:pPr>
        <w:pStyle w:val="Heading4"/>
        <w:jc w:val="both"/>
        <w:rPr>
          <w:rFonts w:ascii="Lato" w:hAnsi="Lato"/>
          <w:szCs w:val="24"/>
          <w:lang w:val="en-US"/>
        </w:rPr>
      </w:pPr>
      <w:r w:rsidRPr="00E04783">
        <w:rPr>
          <w:rFonts w:ascii="Lato" w:hAnsi="Lato"/>
          <w:szCs w:val="24"/>
          <w:lang w:val="en-US"/>
        </w:rPr>
        <w:t>Syrian Refugee Crisis</w:t>
      </w:r>
    </w:p>
    <w:p w14:paraId="3B47DF94" w14:textId="60C77550" w:rsidR="00050A2E" w:rsidRPr="00E04783" w:rsidRDefault="3785086D" w:rsidP="00152F62">
      <w:pPr>
        <w:jc w:val="both"/>
        <w:rPr>
          <w:rFonts w:ascii="Lato" w:hAnsi="Lato"/>
          <w:sz w:val="24"/>
          <w:szCs w:val="24"/>
          <w:lang w:val="en-US"/>
        </w:rPr>
      </w:pPr>
      <w:r w:rsidRPr="00E04783">
        <w:rPr>
          <w:rFonts w:ascii="Lato" w:hAnsi="Lato"/>
          <w:sz w:val="24"/>
          <w:szCs w:val="24"/>
          <w:lang w:val="en-US"/>
        </w:rPr>
        <w:t>The Syrian refugee crisis is also a homelessness crisis, especially among LGBT</w:t>
      </w:r>
      <w:r w:rsidR="00A039E9">
        <w:rPr>
          <w:rFonts w:ascii="Lato" w:hAnsi="Lato"/>
          <w:sz w:val="24"/>
          <w:szCs w:val="24"/>
          <w:lang w:val="en-US"/>
        </w:rPr>
        <w:t>I</w:t>
      </w:r>
      <w:r w:rsidRPr="00E04783">
        <w:rPr>
          <w:rFonts w:ascii="Lato" w:hAnsi="Lato"/>
          <w:sz w:val="24"/>
          <w:szCs w:val="24"/>
          <w:lang w:val="en-US"/>
        </w:rPr>
        <w:t xml:space="preserve"> refugees, as shown by a report by the Heartland Alliance on the vulnerabilities and experiences of Syrian individuals of diverse sexual orientation and gender identities in Lebanon. Due to the criminalization of same-sex acts in the country, LGBT</w:t>
      </w:r>
      <w:r w:rsidR="00A039E9">
        <w:rPr>
          <w:rFonts w:ascii="Lato" w:hAnsi="Lato"/>
          <w:sz w:val="24"/>
          <w:szCs w:val="24"/>
          <w:lang w:val="en-US"/>
        </w:rPr>
        <w:t>I</w:t>
      </w:r>
      <w:r w:rsidRPr="00E04783">
        <w:rPr>
          <w:rFonts w:ascii="Lato" w:hAnsi="Lato"/>
          <w:sz w:val="24"/>
          <w:szCs w:val="24"/>
          <w:lang w:val="en-US"/>
        </w:rPr>
        <w:t xml:space="preserve"> Syrian refugees face disproportionate marginalization accessing services such as housing, employment, and healthcare. Syria and Lebanon present difficult contexts for LGBT</w:t>
      </w:r>
      <w:r w:rsidR="003E491F" w:rsidRPr="00E04783">
        <w:rPr>
          <w:rFonts w:ascii="Lato" w:hAnsi="Lato"/>
          <w:sz w:val="24"/>
          <w:szCs w:val="24"/>
          <w:lang w:val="en-US"/>
        </w:rPr>
        <w:t>I</w:t>
      </w:r>
      <w:r w:rsidRPr="00E04783">
        <w:rPr>
          <w:rFonts w:ascii="Lato" w:hAnsi="Lato"/>
          <w:sz w:val="24"/>
          <w:szCs w:val="24"/>
          <w:lang w:val="en-US"/>
        </w:rPr>
        <w:t xml:space="preserve"> persons; statistics show high-level threats of violence against this demographic in both countries.</w:t>
      </w:r>
      <w:r w:rsidR="00050A2E" w:rsidRPr="00E04783">
        <w:rPr>
          <w:rFonts w:ascii="Lato" w:hAnsi="Lato"/>
          <w:sz w:val="24"/>
          <w:szCs w:val="24"/>
          <w:vertAlign w:val="superscript"/>
          <w:lang w:val="en-US"/>
        </w:rPr>
        <w:footnoteReference w:id="118"/>
      </w:r>
    </w:p>
    <w:p w14:paraId="4F58F8D9" w14:textId="1D0D6397" w:rsidR="00050A2E" w:rsidRPr="00E04783" w:rsidRDefault="00050A2E" w:rsidP="00152F62">
      <w:pPr>
        <w:jc w:val="both"/>
        <w:rPr>
          <w:rFonts w:ascii="Lato" w:hAnsi="Lato"/>
          <w:sz w:val="24"/>
          <w:szCs w:val="24"/>
          <w:lang w:val="en-US"/>
        </w:rPr>
      </w:pPr>
      <w:r w:rsidRPr="00E04783">
        <w:rPr>
          <w:rFonts w:ascii="Lato" w:hAnsi="Lato"/>
          <w:sz w:val="24"/>
          <w:szCs w:val="24"/>
          <w:lang w:val="en-US"/>
        </w:rPr>
        <w:t xml:space="preserve">Homeless Syrian refugees of </w:t>
      </w:r>
      <w:r w:rsidR="00E34679">
        <w:rPr>
          <w:rFonts w:ascii="Lato" w:hAnsi="Lato"/>
          <w:sz w:val="24"/>
          <w:szCs w:val="24"/>
          <w:lang w:val="en-US"/>
        </w:rPr>
        <w:t xml:space="preserve">diverse </w:t>
      </w:r>
      <w:r w:rsidRPr="00E04783">
        <w:rPr>
          <w:rFonts w:ascii="Lato" w:hAnsi="Lato"/>
          <w:sz w:val="24"/>
          <w:szCs w:val="24"/>
          <w:lang w:val="en-US"/>
        </w:rPr>
        <w:t>sexual orientation and gender identit</w:t>
      </w:r>
      <w:r w:rsidR="00E34679">
        <w:rPr>
          <w:rFonts w:ascii="Lato" w:hAnsi="Lato"/>
          <w:sz w:val="24"/>
          <w:szCs w:val="24"/>
          <w:lang w:val="en-US"/>
        </w:rPr>
        <w:t>ies</w:t>
      </w:r>
      <w:r w:rsidRPr="00E04783">
        <w:rPr>
          <w:rFonts w:ascii="Lato" w:hAnsi="Lato"/>
          <w:sz w:val="24"/>
          <w:szCs w:val="24"/>
          <w:lang w:val="en-US"/>
        </w:rPr>
        <w:t xml:space="preserve"> surveyed by Heartland Alliance International consider personal security and shelter to be a priority with 87% living in dorm-style accommodations for single persons or in apartments with roommates.</w:t>
      </w:r>
      <w:r w:rsidRPr="00E04783">
        <w:rPr>
          <w:rFonts w:ascii="Lato" w:hAnsi="Lato"/>
          <w:sz w:val="24"/>
          <w:szCs w:val="24"/>
          <w:vertAlign w:val="superscript"/>
          <w:lang w:val="en-US"/>
        </w:rPr>
        <w:footnoteReference w:id="119"/>
      </w:r>
      <w:r w:rsidRPr="00E04783">
        <w:rPr>
          <w:rFonts w:ascii="Lato" w:hAnsi="Lato"/>
          <w:sz w:val="24"/>
          <w:szCs w:val="24"/>
          <w:lang w:val="en-US"/>
        </w:rPr>
        <w:t xml:space="preserve"> Due to belonging to such a vulnerable population, it is common for this demographic to borrow money, share apartments with multiple people and engaging in survival sex, which increases the risk of facing abuse, exploitation, discrimination and trafficking. 7% of the surveyed persons by the organization highlighted that they had been sexually coerced exclusively in exchange of housing </w:t>
      </w:r>
      <w:r w:rsidRPr="00E04783">
        <w:rPr>
          <w:rFonts w:ascii="Lato" w:hAnsi="Lato"/>
          <w:sz w:val="24"/>
          <w:szCs w:val="24"/>
          <w:lang w:val="en-US"/>
        </w:rPr>
        <w:lastRenderedPageBreak/>
        <w:t>benefits, while 25% reported that they engaged on that due to multiple reasons such as access to services and food, for example.</w:t>
      </w:r>
      <w:r w:rsidRPr="00E04783">
        <w:rPr>
          <w:rFonts w:ascii="Lato" w:hAnsi="Lato"/>
          <w:sz w:val="24"/>
          <w:szCs w:val="24"/>
          <w:vertAlign w:val="superscript"/>
          <w:lang w:val="en-US"/>
        </w:rPr>
        <w:footnoteReference w:id="120"/>
      </w:r>
    </w:p>
    <w:p w14:paraId="234F6CA2" w14:textId="77777777" w:rsidR="00050A2E" w:rsidRPr="00E04783" w:rsidRDefault="00050A2E" w:rsidP="00152F62">
      <w:pPr>
        <w:pStyle w:val="Heading4"/>
        <w:jc w:val="both"/>
        <w:rPr>
          <w:rFonts w:ascii="Lato" w:hAnsi="Lato"/>
          <w:szCs w:val="24"/>
          <w:lang w:val="en-US"/>
        </w:rPr>
      </w:pPr>
      <w:r w:rsidRPr="00E04783">
        <w:rPr>
          <w:rFonts w:ascii="Lato" w:hAnsi="Lato"/>
          <w:szCs w:val="24"/>
          <w:lang w:val="en-US"/>
        </w:rPr>
        <w:t>Refugees in Spain</w:t>
      </w:r>
    </w:p>
    <w:p w14:paraId="3907477D" w14:textId="1AAD4C28" w:rsidR="00050A2E" w:rsidRPr="00E04783" w:rsidRDefault="00050A2E" w:rsidP="00152F62">
      <w:pPr>
        <w:jc w:val="both"/>
        <w:rPr>
          <w:rFonts w:ascii="Lato" w:hAnsi="Lato"/>
          <w:sz w:val="24"/>
          <w:szCs w:val="24"/>
          <w:lang w:val="en-US"/>
        </w:rPr>
      </w:pPr>
      <w:r w:rsidRPr="00E04783">
        <w:rPr>
          <w:rFonts w:ascii="Lato" w:hAnsi="Lato"/>
          <w:sz w:val="24"/>
          <w:szCs w:val="24"/>
          <w:lang w:val="en-US"/>
        </w:rPr>
        <w:t>Spain is a</w:t>
      </w:r>
      <w:r w:rsidR="00E34679">
        <w:rPr>
          <w:rFonts w:ascii="Lato" w:hAnsi="Lato"/>
          <w:sz w:val="24"/>
          <w:szCs w:val="24"/>
          <w:lang w:val="en-US"/>
        </w:rPr>
        <w:t xml:space="preserve"> usual</w:t>
      </w:r>
      <w:r w:rsidRPr="00E04783">
        <w:rPr>
          <w:rFonts w:ascii="Lato" w:hAnsi="Lato"/>
          <w:sz w:val="24"/>
          <w:szCs w:val="24"/>
          <w:lang w:val="en-US"/>
        </w:rPr>
        <w:t xml:space="preserve"> destination for Latin-American refugees and migrants. LGBTI+ refugees, especially transgender and travestis often experience abandonment by the government, mainly regarding housing and employment. It is reported 40% of the trans people in the </w:t>
      </w:r>
      <w:r w:rsidRPr="00E04783">
        <w:rPr>
          <w:rFonts w:ascii="Lato" w:hAnsi="Lato"/>
          <w:b/>
          <w:bCs/>
          <w:sz w:val="24"/>
          <w:szCs w:val="24"/>
          <w:lang w:val="en-US"/>
        </w:rPr>
        <w:t>European Union</w:t>
      </w:r>
      <w:r w:rsidRPr="00E04783">
        <w:rPr>
          <w:rFonts w:ascii="Lato" w:hAnsi="Lato"/>
          <w:sz w:val="24"/>
          <w:szCs w:val="24"/>
          <w:lang w:val="en-US"/>
        </w:rPr>
        <w:t xml:space="preserve"> that experienced homelessness also identified as belonging to an ‘ethnic minority (including migrant background).</w:t>
      </w:r>
      <w:r w:rsidRPr="00E04783">
        <w:rPr>
          <w:rFonts w:ascii="Lato" w:hAnsi="Lato"/>
          <w:sz w:val="24"/>
          <w:szCs w:val="24"/>
          <w:vertAlign w:val="superscript"/>
          <w:lang w:val="en-US"/>
        </w:rPr>
        <w:footnoteReference w:id="121"/>
      </w:r>
      <w:r w:rsidRPr="00E04783">
        <w:rPr>
          <w:rFonts w:ascii="Lato" w:hAnsi="Lato"/>
          <w:sz w:val="24"/>
          <w:szCs w:val="24"/>
          <w:lang w:val="en-US"/>
        </w:rPr>
        <w:t xml:space="preserve"> Furthermore, in Madrid, more than 85% of trans people are unemployed, a percentage rises when including migrant individuals, thus facilitating a precarious cycle of homelessness.</w:t>
      </w:r>
      <w:r w:rsidRPr="00E04783">
        <w:rPr>
          <w:rFonts w:ascii="Lato" w:hAnsi="Lato"/>
          <w:sz w:val="24"/>
          <w:szCs w:val="24"/>
          <w:vertAlign w:val="superscript"/>
          <w:lang w:val="en-US"/>
        </w:rPr>
        <w:footnoteReference w:id="122"/>
      </w:r>
    </w:p>
    <w:p w14:paraId="499A43A4" w14:textId="2D2BC118" w:rsidR="00050A2E" w:rsidRPr="00E04783" w:rsidRDefault="00050A2E" w:rsidP="00152F62">
      <w:pPr>
        <w:jc w:val="both"/>
        <w:rPr>
          <w:rFonts w:ascii="Lato" w:hAnsi="Lato"/>
          <w:sz w:val="24"/>
          <w:szCs w:val="24"/>
          <w:lang w:val="en-US"/>
        </w:rPr>
      </w:pPr>
      <w:r w:rsidRPr="00E04783">
        <w:rPr>
          <w:rFonts w:ascii="Lato" w:hAnsi="Lato"/>
          <w:sz w:val="24"/>
          <w:szCs w:val="24"/>
          <w:lang w:val="en-US"/>
        </w:rPr>
        <w:t xml:space="preserve">Local activists and representatives from Civil Society Organizations affirm that the main problem is the </w:t>
      </w:r>
      <w:r w:rsidR="002A7961">
        <w:rPr>
          <w:rFonts w:ascii="Lato" w:hAnsi="Lato"/>
          <w:sz w:val="24"/>
          <w:szCs w:val="24"/>
          <w:lang w:val="en-US"/>
        </w:rPr>
        <w:t>‘</w:t>
      </w:r>
      <w:r w:rsidRPr="00E04783">
        <w:rPr>
          <w:rFonts w:ascii="Lato" w:hAnsi="Lato"/>
          <w:sz w:val="24"/>
          <w:szCs w:val="24"/>
          <w:lang w:val="en-US"/>
        </w:rPr>
        <w:t>Ley de Extranjería</w:t>
      </w:r>
      <w:r w:rsidR="002A7961">
        <w:rPr>
          <w:rFonts w:ascii="Lato" w:hAnsi="Lato"/>
          <w:sz w:val="24"/>
          <w:szCs w:val="24"/>
          <w:lang w:val="en-US"/>
        </w:rPr>
        <w:t>’</w:t>
      </w:r>
      <w:r w:rsidRPr="00E04783">
        <w:rPr>
          <w:rFonts w:ascii="Lato" w:hAnsi="Lato"/>
          <w:sz w:val="24"/>
          <w:szCs w:val="24"/>
          <w:lang w:val="en-US"/>
        </w:rPr>
        <w:t xml:space="preserve">, which inhumanly </w:t>
      </w:r>
      <w:r w:rsidR="00FD220C" w:rsidRPr="00E04783">
        <w:rPr>
          <w:rFonts w:ascii="Lato" w:hAnsi="Lato"/>
          <w:sz w:val="24"/>
          <w:szCs w:val="24"/>
          <w:lang w:val="en-US"/>
        </w:rPr>
        <w:t>categorizes</w:t>
      </w:r>
      <w:r w:rsidRPr="00E04783">
        <w:rPr>
          <w:rFonts w:ascii="Lato" w:hAnsi="Lato"/>
          <w:sz w:val="24"/>
          <w:szCs w:val="24"/>
          <w:lang w:val="en-US"/>
        </w:rPr>
        <w:t xml:space="preserve"> migrants as </w:t>
      </w:r>
      <w:r w:rsidR="002A7961">
        <w:rPr>
          <w:rFonts w:ascii="Lato" w:hAnsi="Lato"/>
          <w:sz w:val="24"/>
          <w:szCs w:val="24"/>
          <w:lang w:val="en-US"/>
        </w:rPr>
        <w:t>‘</w:t>
      </w:r>
      <w:r w:rsidRPr="00E04783">
        <w:rPr>
          <w:rFonts w:ascii="Lato" w:hAnsi="Lato"/>
          <w:sz w:val="24"/>
          <w:szCs w:val="24"/>
          <w:lang w:val="en-US"/>
        </w:rPr>
        <w:t>a different human category.</w:t>
      </w:r>
      <w:r w:rsidR="002A7961">
        <w:rPr>
          <w:rFonts w:ascii="Lato" w:hAnsi="Lato"/>
          <w:sz w:val="24"/>
          <w:szCs w:val="24"/>
          <w:lang w:val="en-US"/>
        </w:rPr>
        <w:t>’</w:t>
      </w:r>
      <w:r w:rsidRPr="00E04783">
        <w:rPr>
          <w:rFonts w:ascii="Lato" w:hAnsi="Lato"/>
          <w:sz w:val="24"/>
          <w:szCs w:val="24"/>
          <w:vertAlign w:val="superscript"/>
          <w:lang w:val="en-US"/>
        </w:rPr>
        <w:footnoteReference w:id="123"/>
      </w:r>
    </w:p>
    <w:p w14:paraId="38B958DB" w14:textId="799E3E6E" w:rsidR="00EB64E0" w:rsidRPr="00E04783" w:rsidRDefault="00594768" w:rsidP="00EB64E0">
      <w:pPr>
        <w:pStyle w:val="Heading4"/>
        <w:jc w:val="both"/>
        <w:rPr>
          <w:rFonts w:ascii="Lato" w:hAnsi="Lato"/>
          <w:szCs w:val="24"/>
          <w:lang w:val="en-US"/>
        </w:rPr>
      </w:pPr>
      <w:r w:rsidRPr="00E04783">
        <w:rPr>
          <w:rFonts w:ascii="Lato" w:hAnsi="Lato"/>
          <w:szCs w:val="24"/>
          <w:lang w:val="en-US"/>
        </w:rPr>
        <w:t xml:space="preserve">Trans &amp; Poverty: </w:t>
      </w:r>
      <w:r w:rsidR="00FB18E3" w:rsidRPr="00E04783">
        <w:rPr>
          <w:rFonts w:ascii="Lato" w:hAnsi="Lato"/>
          <w:szCs w:val="24"/>
          <w:lang w:val="en-US"/>
        </w:rPr>
        <w:t>The experiences of</w:t>
      </w:r>
      <w:r w:rsidR="00EB64E0" w:rsidRPr="00E04783">
        <w:rPr>
          <w:rFonts w:ascii="Lato" w:hAnsi="Lato"/>
          <w:szCs w:val="24"/>
          <w:lang w:val="en-US"/>
        </w:rPr>
        <w:t xml:space="preserve"> trans </w:t>
      </w:r>
      <w:r w:rsidR="00FB18E3" w:rsidRPr="00E04783">
        <w:rPr>
          <w:rFonts w:ascii="Lato" w:hAnsi="Lato"/>
          <w:szCs w:val="24"/>
          <w:lang w:val="en-US"/>
        </w:rPr>
        <w:t>migrants</w:t>
      </w:r>
      <w:r w:rsidR="00EB64E0" w:rsidRPr="00E04783">
        <w:rPr>
          <w:rFonts w:ascii="Lato" w:hAnsi="Lato"/>
          <w:szCs w:val="24"/>
          <w:lang w:val="en-US"/>
        </w:rPr>
        <w:t xml:space="preserve"> in </w:t>
      </w:r>
      <w:r w:rsidR="00A64814" w:rsidRPr="00E04783">
        <w:rPr>
          <w:rFonts w:ascii="Lato" w:hAnsi="Lato"/>
          <w:szCs w:val="24"/>
          <w:lang w:val="en-US"/>
        </w:rPr>
        <w:t>the European Union</w:t>
      </w:r>
    </w:p>
    <w:p w14:paraId="1B0CC8A2" w14:textId="702150E8" w:rsidR="00594768" w:rsidRPr="00E04783" w:rsidRDefault="00594768" w:rsidP="00594768">
      <w:pPr>
        <w:jc w:val="both"/>
        <w:rPr>
          <w:rFonts w:ascii="Lato" w:hAnsi="Lato"/>
          <w:sz w:val="24"/>
          <w:szCs w:val="24"/>
          <w:lang w:val="en-US"/>
        </w:rPr>
      </w:pPr>
      <w:r w:rsidRPr="00E04783">
        <w:rPr>
          <w:rFonts w:ascii="Lato" w:hAnsi="Lato"/>
          <w:i/>
          <w:iCs/>
          <w:sz w:val="24"/>
          <w:szCs w:val="24"/>
          <w:lang w:val="en-US"/>
        </w:rPr>
        <w:t xml:space="preserve">The following information has been provided by </w:t>
      </w:r>
      <w:hyperlink r:id="rId12" w:history="1">
        <w:r w:rsidRPr="00E04783">
          <w:rPr>
            <w:rStyle w:val="Hyperlink"/>
            <w:rFonts w:ascii="Lato" w:hAnsi="Lato"/>
            <w:i/>
            <w:iCs/>
            <w:sz w:val="24"/>
            <w:szCs w:val="24"/>
            <w:lang w:val="en-US"/>
          </w:rPr>
          <w:t>Transgender Europe (TGEU)</w:t>
        </w:r>
      </w:hyperlink>
      <w:r w:rsidR="008F2C02">
        <w:rPr>
          <w:rStyle w:val="Hyperlink"/>
          <w:rFonts w:ascii="Lato" w:hAnsi="Lato"/>
          <w:i/>
          <w:iCs/>
          <w:sz w:val="24"/>
          <w:szCs w:val="24"/>
          <w:lang w:val="en-US"/>
        </w:rPr>
        <w:t>.</w:t>
      </w:r>
      <w:r w:rsidRPr="00E04783">
        <w:rPr>
          <w:rFonts w:ascii="Lato" w:hAnsi="Lato"/>
          <w:i/>
          <w:iCs/>
          <w:sz w:val="24"/>
          <w:szCs w:val="24"/>
          <w:lang w:val="en-US"/>
        </w:rPr>
        <w:t xml:space="preserve"> This information is based on the report entitled ‘Trans &amp; Poverty: Poverty and Economic Insecurity in Trans Communities in the EU.’</w:t>
      </w:r>
      <w:r w:rsidRPr="00E04783">
        <w:rPr>
          <w:rStyle w:val="FootnoteReference"/>
          <w:rFonts w:ascii="Lato" w:hAnsi="Lato"/>
          <w:i/>
          <w:iCs/>
          <w:sz w:val="24"/>
          <w:szCs w:val="24"/>
          <w:lang w:val="en-US"/>
        </w:rPr>
        <w:footnoteReference w:id="124"/>
      </w:r>
    </w:p>
    <w:p w14:paraId="6BF8CE04" w14:textId="193A9834" w:rsidR="00151D13" w:rsidRPr="00A64814" w:rsidRDefault="00A64814" w:rsidP="00A64814">
      <w:pPr>
        <w:jc w:val="both"/>
        <w:rPr>
          <w:rFonts w:ascii="Lato" w:hAnsi="Lato"/>
          <w:sz w:val="24"/>
          <w:szCs w:val="24"/>
          <w:lang w:val="en-US"/>
        </w:rPr>
      </w:pPr>
      <w:r w:rsidRPr="00A64814">
        <w:rPr>
          <w:rFonts w:ascii="Lato" w:hAnsi="Lato"/>
          <w:sz w:val="24"/>
          <w:szCs w:val="24"/>
          <w:lang w:val="en-US"/>
        </w:rPr>
        <w:lastRenderedPageBreak/>
        <w:t xml:space="preserve">The </w:t>
      </w:r>
      <w:r w:rsidR="00E34679">
        <w:rPr>
          <w:rFonts w:ascii="Lato" w:hAnsi="Lato"/>
          <w:sz w:val="24"/>
          <w:szCs w:val="24"/>
          <w:lang w:val="en-US"/>
        </w:rPr>
        <w:t xml:space="preserve">report emphasizes </w:t>
      </w:r>
      <w:r w:rsidR="007258C0" w:rsidRPr="00E04783">
        <w:rPr>
          <w:rFonts w:ascii="Lato" w:hAnsi="Lato"/>
          <w:sz w:val="24"/>
          <w:szCs w:val="24"/>
          <w:lang w:val="en-US"/>
        </w:rPr>
        <w:t xml:space="preserve"> that poverty, discrimination</w:t>
      </w:r>
      <w:r w:rsidR="00B00781" w:rsidRPr="00E04783">
        <w:rPr>
          <w:rFonts w:ascii="Lato" w:hAnsi="Lato"/>
          <w:sz w:val="24"/>
          <w:szCs w:val="24"/>
          <w:lang w:val="en-US"/>
        </w:rPr>
        <w:t>,</w:t>
      </w:r>
      <w:r w:rsidR="007258C0" w:rsidRPr="00E04783">
        <w:rPr>
          <w:rFonts w:ascii="Lato" w:hAnsi="Lato"/>
          <w:sz w:val="24"/>
          <w:szCs w:val="24"/>
          <w:lang w:val="en-US"/>
        </w:rPr>
        <w:t xml:space="preserve"> and violence reinforce one another in a </w:t>
      </w:r>
      <w:r w:rsidR="007258C0" w:rsidRPr="00E04783">
        <w:rPr>
          <w:rFonts w:ascii="Lato" w:hAnsi="Lato"/>
          <w:b/>
          <w:bCs/>
          <w:sz w:val="24"/>
          <w:szCs w:val="24"/>
          <w:lang w:val="en-US"/>
        </w:rPr>
        <w:t>vicious cycle</w:t>
      </w:r>
      <w:r w:rsidR="00151D13" w:rsidRPr="00E04783">
        <w:rPr>
          <w:rFonts w:ascii="Lato" w:hAnsi="Lato"/>
          <w:sz w:val="24"/>
          <w:szCs w:val="24"/>
          <w:lang w:val="en-US"/>
        </w:rPr>
        <w:t xml:space="preserve">, as </w:t>
      </w:r>
      <w:r w:rsidR="00266C94">
        <w:rPr>
          <w:rFonts w:ascii="Lato" w:hAnsi="Lato"/>
          <w:sz w:val="24"/>
          <w:szCs w:val="24"/>
          <w:lang w:val="en-US"/>
        </w:rPr>
        <w:t>shown</w:t>
      </w:r>
      <w:r w:rsidR="00151D13" w:rsidRPr="00E04783">
        <w:rPr>
          <w:rFonts w:ascii="Lato" w:hAnsi="Lato"/>
          <w:sz w:val="24"/>
          <w:szCs w:val="24"/>
          <w:lang w:val="en-US"/>
        </w:rPr>
        <w:t xml:space="preserve"> </w:t>
      </w:r>
      <w:r w:rsidR="006C123E">
        <w:rPr>
          <w:rFonts w:ascii="Lato" w:hAnsi="Lato"/>
          <w:sz w:val="24"/>
          <w:szCs w:val="24"/>
          <w:lang w:val="en-US"/>
        </w:rPr>
        <w:t>in the figure</w:t>
      </w:r>
      <w:r w:rsidR="00151D13" w:rsidRPr="00E04783">
        <w:rPr>
          <w:rFonts w:ascii="Lato" w:hAnsi="Lato"/>
          <w:sz w:val="24"/>
          <w:szCs w:val="24"/>
          <w:lang w:val="en-US"/>
        </w:rPr>
        <w:t>.</w:t>
      </w:r>
      <w:r w:rsidR="00896841" w:rsidRPr="00E04783">
        <w:rPr>
          <w:rStyle w:val="FootnoteReference"/>
          <w:rFonts w:ascii="Lato" w:hAnsi="Lato"/>
          <w:sz w:val="24"/>
          <w:szCs w:val="24"/>
          <w:lang w:val="en-US"/>
        </w:rPr>
        <w:footnoteReference w:id="125"/>
      </w:r>
      <w:r w:rsidR="00896841" w:rsidRPr="00E04783">
        <w:rPr>
          <w:rFonts w:ascii="Lato" w:hAnsi="Lato"/>
          <w:sz w:val="24"/>
          <w:szCs w:val="24"/>
          <w:lang w:val="en-US"/>
        </w:rPr>
        <w:t xml:space="preserve"> </w:t>
      </w:r>
      <w:r w:rsidR="006112F6" w:rsidRPr="00E04783">
        <w:rPr>
          <w:rFonts w:ascii="Lato" w:hAnsi="Lato"/>
          <w:sz w:val="24"/>
          <w:szCs w:val="24"/>
          <w:lang w:val="en-US"/>
        </w:rPr>
        <w:t xml:space="preserve">Trans </w:t>
      </w:r>
      <w:r w:rsidR="006C123E" w:rsidRPr="00E04783">
        <w:rPr>
          <w:rFonts w:ascii="Lato" w:hAnsi="Lato"/>
          <w:noProof/>
          <w:sz w:val="24"/>
          <w:szCs w:val="24"/>
          <w:lang w:val="es-MX" w:eastAsia="es-MX"/>
        </w:rPr>
        <w:drawing>
          <wp:anchor distT="0" distB="0" distL="114300" distR="114300" simplePos="0" relativeHeight="251661312" behindDoc="1" locked="0" layoutInCell="1" allowOverlap="1" wp14:anchorId="31D58332" wp14:editId="4971DDDF">
            <wp:simplePos x="0" y="0"/>
            <wp:positionH relativeFrom="column">
              <wp:posOffset>2954020</wp:posOffset>
            </wp:positionH>
            <wp:positionV relativeFrom="paragraph">
              <wp:posOffset>0</wp:posOffset>
            </wp:positionV>
            <wp:extent cx="2775585" cy="2806700"/>
            <wp:effectExtent l="0" t="0" r="5715" b="0"/>
            <wp:wrapTight wrapText="bothSides">
              <wp:wrapPolygon edited="0">
                <wp:start x="0" y="0"/>
                <wp:lineTo x="0" y="21405"/>
                <wp:lineTo x="21496" y="21405"/>
                <wp:lineTo x="21496" y="0"/>
                <wp:lineTo x="0" y="0"/>
              </wp:wrapPolygon>
            </wp:wrapTight>
            <wp:docPr id="410114878" name="Picture 1" descr="A circle with text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14878" name="Picture 1" descr="A circle with text in the center&#10;&#10;Description automatically generated"/>
                    <pic:cNvPicPr/>
                  </pic:nvPicPr>
                  <pic:blipFill rotWithShape="1">
                    <a:blip r:embed="rId13" cstate="print">
                      <a:extLst>
                        <a:ext uri="{28A0092B-C50C-407E-A947-70E740481C1C}">
                          <a14:useLocalDpi xmlns:a14="http://schemas.microsoft.com/office/drawing/2010/main" val="0"/>
                        </a:ext>
                      </a:extLst>
                    </a:blip>
                    <a:srcRect l="4828" t="-1856" r="-1397" b="-1372"/>
                    <a:stretch/>
                  </pic:blipFill>
                  <pic:spPr bwMode="auto">
                    <a:xfrm>
                      <a:off x="0" y="0"/>
                      <a:ext cx="2775585" cy="280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12F6" w:rsidRPr="00E04783">
        <w:rPr>
          <w:rFonts w:ascii="Lato" w:hAnsi="Lato"/>
          <w:sz w:val="24"/>
          <w:szCs w:val="24"/>
          <w:lang w:val="en-US"/>
        </w:rPr>
        <w:t>people – who are highly affected by discrimination in multiple social spheres, such as housing,</w:t>
      </w:r>
      <w:r w:rsidR="006102D4" w:rsidRPr="00E04783">
        <w:rPr>
          <w:rFonts w:ascii="Lato" w:hAnsi="Lato"/>
          <w:sz w:val="24"/>
          <w:szCs w:val="24"/>
          <w:lang w:val="en-US"/>
        </w:rPr>
        <w:t xml:space="preserve"> education, employment, healthcare – will therefore be impacted by high rates of poverty due to this.</w:t>
      </w:r>
      <w:r w:rsidR="00617AC4" w:rsidRPr="00E04783">
        <w:rPr>
          <w:rFonts w:ascii="Lato" w:hAnsi="Lato"/>
          <w:sz w:val="24"/>
          <w:szCs w:val="24"/>
          <w:lang w:val="en-US"/>
        </w:rPr>
        <w:t xml:space="preserve"> As a consequence to living in poverty, trans people will then experience more discrimination an</w:t>
      </w:r>
      <w:r w:rsidR="00340108" w:rsidRPr="00E04783">
        <w:rPr>
          <w:rFonts w:ascii="Lato" w:hAnsi="Lato"/>
          <w:sz w:val="24"/>
          <w:szCs w:val="24"/>
          <w:lang w:val="en-US"/>
        </w:rPr>
        <w:t>d</w:t>
      </w:r>
      <w:r w:rsidR="00617AC4" w:rsidRPr="00E04783">
        <w:rPr>
          <w:rFonts w:ascii="Lato" w:hAnsi="Lato"/>
          <w:sz w:val="24"/>
          <w:szCs w:val="24"/>
          <w:lang w:val="en-US"/>
        </w:rPr>
        <w:t xml:space="preserve"> violence, and so the cycle continues. This </w:t>
      </w:r>
      <w:r w:rsidR="00B60458" w:rsidRPr="00E04783">
        <w:rPr>
          <w:rFonts w:ascii="Lato" w:hAnsi="Lato"/>
          <w:sz w:val="24"/>
          <w:szCs w:val="24"/>
          <w:lang w:val="en-US"/>
        </w:rPr>
        <w:t xml:space="preserve"> severely </w:t>
      </w:r>
      <w:r w:rsidR="00617AC4" w:rsidRPr="00E04783">
        <w:rPr>
          <w:rFonts w:ascii="Lato" w:hAnsi="Lato"/>
          <w:sz w:val="24"/>
          <w:szCs w:val="24"/>
          <w:lang w:val="en-US"/>
        </w:rPr>
        <w:t>impact</w:t>
      </w:r>
      <w:r w:rsidR="00E34679">
        <w:rPr>
          <w:rFonts w:ascii="Lato" w:hAnsi="Lato"/>
          <w:sz w:val="24"/>
          <w:szCs w:val="24"/>
          <w:lang w:val="en-US"/>
        </w:rPr>
        <w:t>s</w:t>
      </w:r>
      <w:r w:rsidR="00617AC4" w:rsidRPr="00E04783">
        <w:rPr>
          <w:rFonts w:ascii="Lato" w:hAnsi="Lato"/>
          <w:sz w:val="24"/>
          <w:szCs w:val="24"/>
          <w:lang w:val="en-US"/>
        </w:rPr>
        <w:t xml:space="preserve"> those with intersec</w:t>
      </w:r>
      <w:r w:rsidR="00B60458" w:rsidRPr="00E04783">
        <w:rPr>
          <w:rFonts w:ascii="Lato" w:hAnsi="Lato"/>
          <w:sz w:val="24"/>
          <w:szCs w:val="24"/>
          <w:lang w:val="en-US"/>
        </w:rPr>
        <w:t>tional discrimination</w:t>
      </w:r>
      <w:r w:rsidR="00340108" w:rsidRPr="00E04783">
        <w:rPr>
          <w:rFonts w:ascii="Lato" w:hAnsi="Lato"/>
          <w:sz w:val="24"/>
          <w:szCs w:val="24"/>
          <w:lang w:val="en-US"/>
        </w:rPr>
        <w:t>, for example trans migrants.</w:t>
      </w:r>
      <w:r w:rsidR="00357F87" w:rsidRPr="00E04783">
        <w:rPr>
          <w:rStyle w:val="FootnoteReference"/>
          <w:rFonts w:ascii="Lato" w:hAnsi="Lato"/>
          <w:sz w:val="24"/>
          <w:szCs w:val="24"/>
          <w:lang w:val="en-US"/>
        </w:rPr>
        <w:footnoteReference w:id="126"/>
      </w:r>
    </w:p>
    <w:p w14:paraId="62632AE1" w14:textId="1C7E8130" w:rsidR="00FF7B5A" w:rsidRPr="00E04783" w:rsidRDefault="00151D13" w:rsidP="00152F62">
      <w:pPr>
        <w:jc w:val="both"/>
        <w:rPr>
          <w:rFonts w:ascii="Lato" w:hAnsi="Lato"/>
          <w:sz w:val="24"/>
          <w:szCs w:val="24"/>
          <w:lang w:val="en-US"/>
        </w:rPr>
      </w:pPr>
      <w:r w:rsidRPr="00E04783">
        <w:rPr>
          <w:rFonts w:ascii="Lato" w:hAnsi="Lato"/>
          <w:sz w:val="24"/>
          <w:szCs w:val="24"/>
          <w:lang w:val="en-US"/>
        </w:rPr>
        <w:t>Furthermore,</w:t>
      </w:r>
      <w:r w:rsidR="00EB38E5" w:rsidRPr="00E04783">
        <w:rPr>
          <w:rFonts w:ascii="Lato" w:hAnsi="Lato"/>
          <w:sz w:val="24"/>
          <w:szCs w:val="24"/>
          <w:lang w:val="en-US"/>
        </w:rPr>
        <w:t xml:space="preserve"> TGEU’s </w:t>
      </w:r>
      <w:r w:rsidR="00E34679">
        <w:rPr>
          <w:rFonts w:ascii="Lato" w:hAnsi="Lato"/>
          <w:sz w:val="24"/>
          <w:szCs w:val="24"/>
          <w:lang w:val="en-US"/>
        </w:rPr>
        <w:t xml:space="preserve">report on </w:t>
      </w:r>
      <w:r w:rsidR="00EB38E5" w:rsidRPr="00E04783">
        <w:rPr>
          <w:rFonts w:ascii="Lato" w:hAnsi="Lato"/>
          <w:sz w:val="24"/>
          <w:szCs w:val="24"/>
          <w:lang w:val="en-US"/>
        </w:rPr>
        <w:t xml:space="preserve">2020 </w:t>
      </w:r>
      <w:r w:rsidR="00EB38E5" w:rsidRPr="00E04783">
        <w:rPr>
          <w:rFonts w:ascii="Lato" w:hAnsi="Lato"/>
          <w:i/>
          <w:iCs/>
          <w:sz w:val="24"/>
          <w:szCs w:val="24"/>
          <w:lang w:val="en-US"/>
        </w:rPr>
        <w:t xml:space="preserve">Impact Assessment: COVID-19 and trans people in Europe and Central Asia </w:t>
      </w:r>
      <w:r w:rsidR="0067235D" w:rsidRPr="00E04783">
        <w:rPr>
          <w:rFonts w:ascii="Lato" w:hAnsi="Lato"/>
          <w:sz w:val="24"/>
          <w:szCs w:val="24"/>
          <w:lang w:val="en-US"/>
        </w:rPr>
        <w:t xml:space="preserve">showed undocumented migrants </w:t>
      </w:r>
      <w:r w:rsidR="00454547" w:rsidRPr="00E04783">
        <w:rPr>
          <w:rFonts w:ascii="Lato" w:hAnsi="Lato"/>
          <w:sz w:val="24"/>
          <w:szCs w:val="24"/>
          <w:lang w:val="en-US"/>
        </w:rPr>
        <w:t>as</w:t>
      </w:r>
      <w:r w:rsidR="006C187B" w:rsidRPr="00E04783">
        <w:rPr>
          <w:rFonts w:ascii="Lato" w:hAnsi="Lato"/>
          <w:sz w:val="24"/>
          <w:szCs w:val="24"/>
          <w:lang w:val="en-US"/>
        </w:rPr>
        <w:t xml:space="preserve"> one of the groups</w:t>
      </w:r>
      <w:r w:rsidR="004C7331" w:rsidRPr="00E04783">
        <w:rPr>
          <w:rFonts w:ascii="Lato" w:hAnsi="Lato"/>
          <w:sz w:val="24"/>
          <w:szCs w:val="24"/>
          <w:lang w:val="en-US"/>
        </w:rPr>
        <w:t xml:space="preserve"> </w:t>
      </w:r>
      <w:r w:rsidR="009B4232">
        <w:rPr>
          <w:rFonts w:ascii="Lato" w:hAnsi="Lato"/>
          <w:sz w:val="24"/>
          <w:szCs w:val="24"/>
          <w:lang w:val="en-US"/>
        </w:rPr>
        <w:t xml:space="preserve">that </w:t>
      </w:r>
      <w:r w:rsidR="004C7331" w:rsidRPr="00E04783">
        <w:rPr>
          <w:rFonts w:ascii="Lato" w:hAnsi="Lato"/>
          <w:sz w:val="24"/>
          <w:szCs w:val="24"/>
          <w:lang w:val="en-US"/>
        </w:rPr>
        <w:t>especially</w:t>
      </w:r>
      <w:r w:rsidR="005B1FA4">
        <w:rPr>
          <w:rFonts w:ascii="Lato" w:hAnsi="Lato"/>
          <w:sz w:val="24"/>
          <w:szCs w:val="24"/>
          <w:lang w:val="en-US"/>
        </w:rPr>
        <w:t xml:space="preserve"> and</w:t>
      </w:r>
      <w:r w:rsidR="004C7331" w:rsidRPr="00E04783">
        <w:rPr>
          <w:rFonts w:ascii="Lato" w:hAnsi="Lato"/>
          <w:sz w:val="24"/>
          <w:szCs w:val="24"/>
          <w:lang w:val="en-US"/>
        </w:rPr>
        <w:t xml:space="preserve"> </w:t>
      </w:r>
      <w:r w:rsidR="00C05313" w:rsidRPr="00E04783">
        <w:rPr>
          <w:rFonts w:ascii="Lato" w:hAnsi="Lato"/>
          <w:sz w:val="24"/>
          <w:szCs w:val="24"/>
          <w:lang w:val="en-US"/>
        </w:rPr>
        <w:t xml:space="preserve">disproportionately </w:t>
      </w:r>
      <w:r w:rsidR="00454547" w:rsidRPr="00E04783">
        <w:rPr>
          <w:rFonts w:ascii="Lato" w:hAnsi="Lato"/>
          <w:sz w:val="24"/>
          <w:szCs w:val="24"/>
          <w:lang w:val="en-US"/>
        </w:rPr>
        <w:t>experienced socio-economic injustice</w:t>
      </w:r>
      <w:r w:rsidR="009B4232">
        <w:rPr>
          <w:rFonts w:ascii="Lato" w:hAnsi="Lato"/>
          <w:sz w:val="24"/>
          <w:szCs w:val="24"/>
          <w:lang w:val="en-US"/>
        </w:rPr>
        <w:t>,</w:t>
      </w:r>
      <w:r w:rsidR="00520E9D" w:rsidRPr="00E04783">
        <w:rPr>
          <w:rFonts w:ascii="Lato" w:hAnsi="Lato"/>
          <w:sz w:val="24"/>
          <w:szCs w:val="24"/>
          <w:lang w:val="en-US"/>
        </w:rPr>
        <w:t xml:space="preserve"> </w:t>
      </w:r>
      <w:r w:rsidR="009B4232">
        <w:rPr>
          <w:rFonts w:ascii="Lato" w:hAnsi="Lato"/>
          <w:sz w:val="24"/>
          <w:szCs w:val="24"/>
          <w:lang w:val="en-US"/>
        </w:rPr>
        <w:t>which</w:t>
      </w:r>
      <w:r w:rsidR="00520E9D" w:rsidRPr="00E04783">
        <w:rPr>
          <w:rFonts w:ascii="Lato" w:hAnsi="Lato"/>
          <w:sz w:val="24"/>
          <w:szCs w:val="24"/>
          <w:lang w:val="en-US"/>
        </w:rPr>
        <w:t xml:space="preserve"> was further exacerbated by the COVID-19 pandemic.</w:t>
      </w:r>
      <w:r w:rsidR="00454547" w:rsidRPr="00E04783">
        <w:rPr>
          <w:rStyle w:val="FootnoteReference"/>
          <w:rFonts w:ascii="Lato" w:hAnsi="Lato"/>
          <w:sz w:val="24"/>
          <w:szCs w:val="24"/>
          <w:lang w:val="en-US"/>
        </w:rPr>
        <w:footnoteReference w:id="127"/>
      </w:r>
      <w:r w:rsidR="00520E9D" w:rsidRPr="00E04783">
        <w:rPr>
          <w:rFonts w:ascii="Lato" w:hAnsi="Lato"/>
          <w:sz w:val="24"/>
          <w:szCs w:val="24"/>
          <w:lang w:val="en-US"/>
        </w:rPr>
        <w:t xml:space="preserve"> </w:t>
      </w:r>
      <w:r w:rsidR="00336180" w:rsidRPr="00E04783">
        <w:rPr>
          <w:rFonts w:ascii="Lato" w:hAnsi="Lato"/>
          <w:sz w:val="24"/>
          <w:szCs w:val="24"/>
          <w:lang w:val="en-US"/>
        </w:rPr>
        <w:t xml:space="preserve">Specifically regarding the pandemic, TGEU member </w:t>
      </w:r>
      <w:r w:rsidR="009B4232" w:rsidRPr="00E04783">
        <w:rPr>
          <w:rFonts w:ascii="Lato" w:hAnsi="Lato"/>
          <w:sz w:val="24"/>
          <w:szCs w:val="24"/>
          <w:lang w:val="en-US"/>
        </w:rPr>
        <w:t>organizations</w:t>
      </w:r>
      <w:r w:rsidR="00336180" w:rsidRPr="00E04783">
        <w:rPr>
          <w:rFonts w:ascii="Lato" w:hAnsi="Lato"/>
          <w:sz w:val="24"/>
          <w:szCs w:val="24"/>
          <w:lang w:val="en-US"/>
        </w:rPr>
        <w:t xml:space="preserve"> reported that </w:t>
      </w:r>
      <w:r w:rsidR="001D58BD" w:rsidRPr="00E04783">
        <w:rPr>
          <w:rFonts w:ascii="Lato" w:hAnsi="Lato"/>
          <w:sz w:val="24"/>
          <w:szCs w:val="24"/>
          <w:lang w:val="en-US"/>
        </w:rPr>
        <w:t xml:space="preserve">many trans people ‘struggle to cover bare necessities since many have lost their jobs and/or homes’, </w:t>
      </w:r>
      <w:r w:rsidR="00B00781" w:rsidRPr="00E04783">
        <w:rPr>
          <w:rFonts w:ascii="Lato" w:hAnsi="Lato"/>
          <w:sz w:val="24"/>
          <w:szCs w:val="24"/>
          <w:lang w:val="en-US"/>
        </w:rPr>
        <w:t>trans people often ‘suffer decrease or loss of income, especially undocumented migrants and/or sex workers and face high risk of homelessness’, or ‘shelter with unaccepting or abusive family members or relatives.’</w:t>
      </w:r>
      <w:r w:rsidR="00B00781" w:rsidRPr="00E04783">
        <w:rPr>
          <w:rStyle w:val="FootnoteReference"/>
          <w:rFonts w:ascii="Lato" w:hAnsi="Lato"/>
          <w:sz w:val="24"/>
          <w:szCs w:val="24"/>
          <w:lang w:val="en-US"/>
        </w:rPr>
        <w:footnoteReference w:id="128"/>
      </w:r>
    </w:p>
    <w:p w14:paraId="658229C1" w14:textId="623BA099" w:rsidR="00EC42BF" w:rsidRPr="00E04783" w:rsidRDefault="00EC42BF" w:rsidP="00152F62">
      <w:pPr>
        <w:jc w:val="both"/>
        <w:rPr>
          <w:rFonts w:ascii="Lato" w:hAnsi="Lato"/>
          <w:sz w:val="24"/>
          <w:szCs w:val="24"/>
          <w:lang w:val="en-US"/>
        </w:rPr>
      </w:pPr>
      <w:r w:rsidRPr="00E04783">
        <w:rPr>
          <w:rFonts w:ascii="Lato" w:hAnsi="Lato"/>
          <w:sz w:val="24"/>
          <w:szCs w:val="24"/>
          <w:lang w:val="en-US"/>
        </w:rPr>
        <w:t xml:space="preserve">This information is corroborated by the </w:t>
      </w:r>
      <w:r w:rsidR="00D71B71" w:rsidRPr="00E04783">
        <w:rPr>
          <w:rFonts w:ascii="Lato" w:hAnsi="Lato"/>
          <w:sz w:val="24"/>
          <w:szCs w:val="24"/>
          <w:lang w:val="en-US"/>
        </w:rPr>
        <w:t>testimonies</w:t>
      </w:r>
      <w:r w:rsidRPr="00E04783">
        <w:rPr>
          <w:rFonts w:ascii="Lato" w:hAnsi="Lato"/>
          <w:sz w:val="24"/>
          <w:szCs w:val="24"/>
          <w:lang w:val="en-US"/>
        </w:rPr>
        <w:t xml:space="preserve"> of </w:t>
      </w:r>
      <w:r w:rsidR="00FE6501" w:rsidRPr="00E04783">
        <w:rPr>
          <w:rFonts w:ascii="Lato" w:hAnsi="Lato"/>
          <w:sz w:val="24"/>
          <w:szCs w:val="24"/>
          <w:lang w:val="en-US"/>
        </w:rPr>
        <w:t xml:space="preserve">LGBTI </w:t>
      </w:r>
      <w:r w:rsidR="00D71B71" w:rsidRPr="00E04783">
        <w:rPr>
          <w:rFonts w:ascii="Lato" w:hAnsi="Lato"/>
          <w:sz w:val="24"/>
          <w:szCs w:val="24"/>
          <w:lang w:val="en-US"/>
        </w:rPr>
        <w:t>activists</w:t>
      </w:r>
      <w:r w:rsidR="00FE6501" w:rsidRPr="00E04783">
        <w:rPr>
          <w:rFonts w:ascii="Lato" w:hAnsi="Lato"/>
          <w:sz w:val="24"/>
          <w:szCs w:val="24"/>
          <w:lang w:val="en-US"/>
        </w:rPr>
        <w:t xml:space="preserve"> from the Caribbean in Paris, France</w:t>
      </w:r>
      <w:r w:rsidR="00453163" w:rsidRPr="00E04783">
        <w:rPr>
          <w:rFonts w:ascii="Lato" w:hAnsi="Lato"/>
          <w:sz w:val="24"/>
          <w:szCs w:val="24"/>
          <w:lang w:val="en-US"/>
        </w:rPr>
        <w:t xml:space="preserve"> who experienced the intersecting issues of being LGBTI migrants and sex workers</w:t>
      </w:r>
      <w:r w:rsidR="00F85ACC" w:rsidRPr="00E04783">
        <w:rPr>
          <w:rFonts w:ascii="Lato" w:hAnsi="Lato"/>
          <w:sz w:val="24"/>
          <w:szCs w:val="24"/>
          <w:lang w:val="en-US"/>
        </w:rPr>
        <w:t xml:space="preserve">, resulting in </w:t>
      </w:r>
      <w:r w:rsidR="007430E6" w:rsidRPr="00E04783">
        <w:rPr>
          <w:rFonts w:ascii="Lato" w:hAnsi="Lato"/>
          <w:sz w:val="24"/>
          <w:szCs w:val="24"/>
          <w:lang w:val="en-US"/>
        </w:rPr>
        <w:t>experiences</w:t>
      </w:r>
      <w:r w:rsidR="00F85ACC" w:rsidRPr="00E04783">
        <w:rPr>
          <w:rFonts w:ascii="Lato" w:hAnsi="Lato"/>
          <w:sz w:val="24"/>
          <w:szCs w:val="24"/>
          <w:lang w:val="en-US"/>
        </w:rPr>
        <w:t xml:space="preserve"> of homelessness and poverty.</w:t>
      </w:r>
      <w:r w:rsidR="00D71B71" w:rsidRPr="00E04783">
        <w:rPr>
          <w:rStyle w:val="FootnoteReference"/>
          <w:rFonts w:ascii="Lato" w:hAnsi="Lato"/>
          <w:sz w:val="24"/>
          <w:szCs w:val="24"/>
          <w:lang w:val="en-US"/>
        </w:rPr>
        <w:footnoteReference w:id="129"/>
      </w:r>
    </w:p>
    <w:p w14:paraId="332DDE9F" w14:textId="1BC1DD83" w:rsidR="00222309" w:rsidRPr="00E04783" w:rsidRDefault="005F7730" w:rsidP="00222309">
      <w:pPr>
        <w:pStyle w:val="Heading3"/>
        <w:jc w:val="both"/>
        <w:rPr>
          <w:lang w:val="en-US"/>
        </w:rPr>
      </w:pPr>
      <w:bookmarkStart w:id="9" w:name="_Toc145616308"/>
      <w:bookmarkStart w:id="10" w:name="_Toc147244625"/>
      <w:r w:rsidRPr="00E04783">
        <w:rPr>
          <w:lang w:val="en-US"/>
        </w:rPr>
        <w:t xml:space="preserve">2.2.3 </w:t>
      </w:r>
      <w:r w:rsidR="00222309" w:rsidRPr="00E04783">
        <w:rPr>
          <w:lang w:val="en-US"/>
        </w:rPr>
        <w:t>Sex work</w:t>
      </w:r>
      <w:bookmarkEnd w:id="9"/>
      <w:bookmarkEnd w:id="10"/>
    </w:p>
    <w:p w14:paraId="01C25447" w14:textId="69F8C920" w:rsidR="00222309" w:rsidRPr="00E04783" w:rsidRDefault="00222309" w:rsidP="00222309">
      <w:pPr>
        <w:jc w:val="both"/>
        <w:rPr>
          <w:rFonts w:ascii="Lato" w:hAnsi="Lato"/>
          <w:sz w:val="24"/>
          <w:szCs w:val="24"/>
          <w:lang w:val="en-US"/>
        </w:rPr>
      </w:pPr>
      <w:r w:rsidRPr="00E04783">
        <w:rPr>
          <w:rFonts w:ascii="Lato" w:hAnsi="Lato"/>
          <w:sz w:val="24"/>
          <w:szCs w:val="24"/>
          <w:lang w:val="en-US"/>
        </w:rPr>
        <w:t>The criminalization of sex work has several consequences on the housing situation of LGBTI+ people. The Global Network of Sex Work Projects (NSWP) outlines several</w:t>
      </w:r>
      <w:r w:rsidRPr="00E04783">
        <w:rPr>
          <w:rStyle w:val="FootnoteReference"/>
          <w:rFonts w:ascii="Lato" w:hAnsi="Lato"/>
          <w:sz w:val="24"/>
          <w:szCs w:val="24"/>
          <w:lang w:val="en-US"/>
        </w:rPr>
        <w:footnoteReference w:id="130"/>
      </w:r>
      <w:r w:rsidRPr="00E04783">
        <w:rPr>
          <w:rFonts w:ascii="Lato" w:hAnsi="Lato"/>
          <w:sz w:val="24"/>
          <w:szCs w:val="24"/>
          <w:lang w:val="en-US"/>
        </w:rPr>
        <w:t xml:space="preserve"> ways that this </w:t>
      </w:r>
      <w:r w:rsidR="00E04783" w:rsidRPr="00E04783">
        <w:rPr>
          <w:rFonts w:ascii="Lato" w:hAnsi="Lato"/>
          <w:sz w:val="24"/>
          <w:szCs w:val="24"/>
          <w:lang w:val="en-US"/>
        </w:rPr>
        <w:t>criminalization</w:t>
      </w:r>
      <w:r w:rsidRPr="00E04783">
        <w:rPr>
          <w:rFonts w:ascii="Lato" w:hAnsi="Lato"/>
          <w:sz w:val="24"/>
          <w:szCs w:val="24"/>
          <w:lang w:val="en-US"/>
        </w:rPr>
        <w:t xml:space="preserve"> impedes access to safe and affordable housing. It bolsters discrimination from landlords and mortgage lenders and blocks access to formal rental </w:t>
      </w:r>
      <w:r w:rsidRPr="00E04783">
        <w:rPr>
          <w:rFonts w:ascii="Lato" w:hAnsi="Lato"/>
          <w:sz w:val="24"/>
          <w:szCs w:val="24"/>
          <w:lang w:val="en-US"/>
        </w:rPr>
        <w:lastRenderedPageBreak/>
        <w:t>agreements or mortgages subsequently pushing sex workers to pay higher rates and bank on informal arrangements. Furthermore, rent space for sex workers is criminalized, resulting in landlords refusing to rent properties to sex workers.</w:t>
      </w:r>
      <w:r w:rsidRPr="00E04783">
        <w:rPr>
          <w:rStyle w:val="FootnoteReference"/>
          <w:rFonts w:ascii="Lato" w:hAnsi="Lato"/>
          <w:sz w:val="24"/>
          <w:szCs w:val="24"/>
          <w:lang w:val="en-US"/>
        </w:rPr>
        <w:footnoteReference w:id="131"/>
      </w:r>
      <w:r w:rsidRPr="00E04783">
        <w:rPr>
          <w:rFonts w:ascii="Lato" w:hAnsi="Lato"/>
          <w:sz w:val="24"/>
          <w:szCs w:val="24"/>
          <w:lang w:val="en-US"/>
        </w:rPr>
        <w:t xml:space="preserve"> Criminalization also feeds the exclusion of sex workers from legally owning property</w:t>
      </w:r>
      <w:r w:rsidRPr="00E04783">
        <w:rPr>
          <w:rStyle w:val="FootnoteReference"/>
          <w:rFonts w:ascii="Lato" w:hAnsi="Lato"/>
          <w:sz w:val="24"/>
          <w:szCs w:val="24"/>
          <w:lang w:val="en-US"/>
        </w:rPr>
        <w:footnoteReference w:id="132"/>
      </w:r>
      <w:r w:rsidRPr="00E04783">
        <w:rPr>
          <w:rFonts w:ascii="Lato" w:hAnsi="Lato"/>
          <w:sz w:val="24"/>
          <w:szCs w:val="24"/>
          <w:lang w:val="en-US"/>
        </w:rPr>
        <w:t xml:space="preserve"> or being unable to access shelters due to strict policies regarding illegal </w:t>
      </w:r>
      <w:r w:rsidR="00BE62D3" w:rsidRPr="00E04783">
        <w:rPr>
          <w:rFonts w:ascii="Lato" w:hAnsi="Lato"/>
          <w:sz w:val="24"/>
          <w:szCs w:val="24"/>
          <w:lang w:val="en-US"/>
        </w:rPr>
        <w:t>behaviors</w:t>
      </w:r>
      <w:r w:rsidRPr="00E04783">
        <w:rPr>
          <w:rFonts w:ascii="Lato" w:hAnsi="Lato"/>
          <w:sz w:val="24"/>
          <w:szCs w:val="24"/>
          <w:lang w:val="en-US"/>
        </w:rPr>
        <w:t xml:space="preserve"> such as sex work.</w:t>
      </w:r>
      <w:r w:rsidRPr="00E04783">
        <w:rPr>
          <w:rStyle w:val="FootnoteReference"/>
          <w:rFonts w:ascii="Lato" w:hAnsi="Lato"/>
          <w:sz w:val="24"/>
          <w:szCs w:val="24"/>
          <w:lang w:val="en-US"/>
        </w:rPr>
        <w:footnoteReference w:id="133"/>
      </w:r>
    </w:p>
    <w:p w14:paraId="1727EB75" w14:textId="77777777" w:rsidR="00222309" w:rsidRPr="00E04783" w:rsidRDefault="00222309" w:rsidP="00222309">
      <w:pPr>
        <w:jc w:val="both"/>
        <w:rPr>
          <w:rFonts w:ascii="Lato" w:hAnsi="Lato"/>
          <w:sz w:val="24"/>
          <w:szCs w:val="24"/>
          <w:lang w:val="en-US"/>
        </w:rPr>
      </w:pPr>
      <w:r w:rsidRPr="00E04783">
        <w:rPr>
          <w:rFonts w:ascii="Lato" w:hAnsi="Lato"/>
          <w:sz w:val="24"/>
          <w:szCs w:val="24"/>
          <w:lang w:val="en-US"/>
        </w:rPr>
        <w:t>Examples outlined by the Global Network of Sex Work Projects (NSWP) show the mass eviction of sex workers in Bangladesh and Indonesia.</w:t>
      </w:r>
      <w:r w:rsidRPr="00E04783">
        <w:rPr>
          <w:rStyle w:val="FootnoteReference"/>
          <w:rFonts w:ascii="Lato" w:hAnsi="Lato"/>
          <w:sz w:val="24"/>
          <w:szCs w:val="24"/>
          <w:lang w:val="en-US"/>
        </w:rPr>
        <w:footnoteReference w:id="134"/>
      </w:r>
      <w:r w:rsidRPr="00E04783">
        <w:rPr>
          <w:rFonts w:ascii="Lato" w:hAnsi="Lato"/>
          <w:sz w:val="24"/>
          <w:szCs w:val="24"/>
          <w:lang w:val="en-US"/>
        </w:rPr>
        <w:t xml:space="preserve"> Red-light districts have been demolished leaving thousands of sex workers without housing, compensation, or shelter.</w:t>
      </w:r>
      <w:r w:rsidRPr="00E04783">
        <w:rPr>
          <w:rStyle w:val="FootnoteReference"/>
          <w:rFonts w:ascii="Lato" w:hAnsi="Lato"/>
          <w:sz w:val="24"/>
          <w:szCs w:val="24"/>
          <w:lang w:val="en-US"/>
        </w:rPr>
        <w:footnoteReference w:id="135"/>
      </w:r>
      <w:r w:rsidRPr="00E04783">
        <w:rPr>
          <w:rFonts w:ascii="Lato" w:hAnsi="Lato"/>
          <w:sz w:val="24"/>
          <w:szCs w:val="24"/>
          <w:lang w:val="en-US"/>
        </w:rPr>
        <w:t xml:space="preserve"> </w:t>
      </w:r>
    </w:p>
    <w:p w14:paraId="71809BCE" w14:textId="5FE1A056" w:rsidR="00222309" w:rsidRPr="00E04783" w:rsidRDefault="00222309" w:rsidP="00222309">
      <w:pPr>
        <w:jc w:val="both"/>
        <w:rPr>
          <w:rFonts w:ascii="Lato" w:hAnsi="Lato"/>
          <w:sz w:val="24"/>
          <w:szCs w:val="24"/>
          <w:lang w:val="en-US"/>
        </w:rPr>
      </w:pPr>
      <w:r w:rsidRPr="00E04783">
        <w:rPr>
          <w:rFonts w:ascii="Lato" w:hAnsi="Lato"/>
          <w:sz w:val="24"/>
          <w:szCs w:val="24"/>
          <w:lang w:val="en-US"/>
        </w:rPr>
        <w:t xml:space="preserve">As mentioned in the context of migration, there is a cyclical nature to this issue; having no housing stability excludes and jeopardizes an individuals’ ability to access services where one would require an official permanent address, such as social protections, finance support, or voting. For example, during the COVID-19 pandemic, because of the closure of affordable short-term housing or sex work workplaces, many sex workers </w:t>
      </w:r>
      <w:r w:rsidR="00F17127">
        <w:rPr>
          <w:rFonts w:ascii="Lato" w:hAnsi="Lato"/>
          <w:sz w:val="24"/>
          <w:szCs w:val="24"/>
          <w:lang w:val="en-US"/>
        </w:rPr>
        <w:t>were</w:t>
      </w:r>
      <w:r w:rsidRPr="00E04783">
        <w:rPr>
          <w:rFonts w:ascii="Lato" w:hAnsi="Lato"/>
          <w:sz w:val="24"/>
          <w:szCs w:val="24"/>
          <w:lang w:val="en-US"/>
        </w:rPr>
        <w:t xml:space="preserve"> driven to homelessness. On top of this, self-isolation measures impeded sex workers’ ability to earn money to survive</w:t>
      </w:r>
      <w:r w:rsidR="0067758F">
        <w:rPr>
          <w:rFonts w:ascii="Lato" w:hAnsi="Lato"/>
          <w:sz w:val="24"/>
          <w:szCs w:val="24"/>
          <w:lang w:val="en-US"/>
        </w:rPr>
        <w:t>. D</w:t>
      </w:r>
      <w:r w:rsidRPr="00E04783">
        <w:rPr>
          <w:rFonts w:ascii="Lato" w:hAnsi="Lato"/>
          <w:sz w:val="24"/>
          <w:szCs w:val="24"/>
          <w:lang w:val="en-US"/>
        </w:rPr>
        <w:t>ue to the criminalization of sex work, many sex workers are not eligible for emergency support such as mortgage or rent relief.</w:t>
      </w:r>
      <w:r w:rsidRPr="00E04783">
        <w:rPr>
          <w:rStyle w:val="FootnoteReference"/>
          <w:rFonts w:ascii="Lato" w:hAnsi="Lato"/>
          <w:sz w:val="24"/>
          <w:szCs w:val="24"/>
          <w:lang w:val="en-US"/>
        </w:rPr>
        <w:footnoteReference w:id="136"/>
      </w:r>
    </w:p>
    <w:p w14:paraId="6DE6166F" w14:textId="77777777" w:rsidR="00222309" w:rsidRPr="00E04783" w:rsidRDefault="00222309" w:rsidP="00222309">
      <w:pPr>
        <w:pStyle w:val="Heading4"/>
        <w:jc w:val="both"/>
        <w:rPr>
          <w:rFonts w:ascii="Lato" w:hAnsi="Lato"/>
          <w:i w:val="0"/>
          <w:iCs w:val="0"/>
          <w:szCs w:val="24"/>
          <w:lang w:val="en-US"/>
        </w:rPr>
      </w:pPr>
      <w:bookmarkStart w:id="11" w:name="_Hlk146722740"/>
      <w:r w:rsidRPr="00E04783">
        <w:rPr>
          <w:rFonts w:ascii="Lato" w:hAnsi="Lato"/>
          <w:szCs w:val="24"/>
          <w:lang w:val="en-US"/>
        </w:rPr>
        <w:t>Aotearoa</w:t>
      </w:r>
      <w:bookmarkEnd w:id="11"/>
      <w:r w:rsidRPr="00E04783">
        <w:rPr>
          <w:rFonts w:ascii="Lato" w:hAnsi="Lato"/>
          <w:szCs w:val="24"/>
          <w:lang w:val="en-US"/>
        </w:rPr>
        <w:t xml:space="preserve"> New Zealand</w:t>
      </w:r>
    </w:p>
    <w:p w14:paraId="2EF7900B" w14:textId="77777777" w:rsidR="00222309" w:rsidRPr="00E04783" w:rsidRDefault="00222309" w:rsidP="00222309">
      <w:pPr>
        <w:jc w:val="both"/>
        <w:rPr>
          <w:rFonts w:ascii="Lato" w:hAnsi="Lato"/>
          <w:sz w:val="24"/>
          <w:szCs w:val="24"/>
          <w:lang w:val="en-US"/>
        </w:rPr>
      </w:pPr>
      <w:r w:rsidRPr="00E04783">
        <w:rPr>
          <w:rFonts w:ascii="Lato" w:hAnsi="Lato"/>
          <w:sz w:val="24"/>
          <w:szCs w:val="24"/>
          <w:lang w:val="en-US"/>
        </w:rPr>
        <w:t>In Aotearoa New Zealand, the 2018 census showed that 41,000 people - nearly 0.9% of New Zealanders - are homeless.</w:t>
      </w:r>
      <w:r w:rsidRPr="00E04783">
        <w:rPr>
          <w:rStyle w:val="FootnoteReference"/>
          <w:rFonts w:ascii="Lato" w:hAnsi="Lato"/>
          <w:sz w:val="24"/>
          <w:szCs w:val="24"/>
          <w:lang w:val="en-US"/>
        </w:rPr>
        <w:footnoteReference w:id="137"/>
      </w:r>
      <w:r w:rsidRPr="00E04783">
        <w:rPr>
          <w:rFonts w:ascii="Lato" w:hAnsi="Lato"/>
          <w:sz w:val="24"/>
          <w:szCs w:val="24"/>
          <w:lang w:val="en-US"/>
        </w:rPr>
        <w:t xml:space="preserve"> Furthermore, while there is little data on the rates of homelessness for takatāpui/LGBTIQ+ homelessness in Aotearoa NZ, estimations show that 1 in every 5 trans and gender diverse people have experienced homelessness.</w:t>
      </w:r>
      <w:r w:rsidRPr="00E04783">
        <w:rPr>
          <w:rStyle w:val="FootnoteReference"/>
          <w:rFonts w:ascii="Lato" w:hAnsi="Lato"/>
          <w:sz w:val="24"/>
          <w:szCs w:val="24"/>
          <w:lang w:val="en-US"/>
        </w:rPr>
        <w:footnoteReference w:id="138"/>
      </w:r>
      <w:r w:rsidRPr="00E04783">
        <w:rPr>
          <w:rFonts w:ascii="Lato" w:hAnsi="Lato"/>
          <w:sz w:val="24"/>
          <w:szCs w:val="24"/>
          <w:lang w:val="en-US"/>
        </w:rPr>
        <w:t xml:space="preserve"> </w:t>
      </w:r>
    </w:p>
    <w:p w14:paraId="6A5DC93D" w14:textId="2F588CD8" w:rsidR="00222309" w:rsidRPr="00E04783" w:rsidRDefault="00222309" w:rsidP="00222309">
      <w:pPr>
        <w:jc w:val="both"/>
        <w:rPr>
          <w:rFonts w:ascii="Lato" w:hAnsi="Lato"/>
          <w:sz w:val="24"/>
          <w:szCs w:val="24"/>
          <w:lang w:val="en-US"/>
        </w:rPr>
      </w:pPr>
      <w:r w:rsidRPr="00E04783">
        <w:rPr>
          <w:rFonts w:ascii="Lato" w:hAnsi="Lato"/>
          <w:sz w:val="24"/>
          <w:szCs w:val="24"/>
          <w:lang w:val="en-US"/>
        </w:rPr>
        <w:lastRenderedPageBreak/>
        <w:t xml:space="preserve">Aoteoroa NZ was also the first country to </w:t>
      </w:r>
      <w:r w:rsidR="00E053FA" w:rsidRPr="00E04783">
        <w:rPr>
          <w:rFonts w:ascii="Lato" w:hAnsi="Lato"/>
          <w:sz w:val="24"/>
          <w:szCs w:val="24"/>
          <w:lang w:val="en-US"/>
        </w:rPr>
        <w:t>decriminalize</w:t>
      </w:r>
      <w:r w:rsidRPr="00E04783">
        <w:rPr>
          <w:rFonts w:ascii="Lato" w:hAnsi="Lato"/>
          <w:sz w:val="24"/>
          <w:szCs w:val="24"/>
          <w:lang w:val="en-US"/>
        </w:rPr>
        <w:t xml:space="preserve"> sex work in 2003, with the passing of the </w:t>
      </w:r>
      <w:r w:rsidRPr="00E04783">
        <w:rPr>
          <w:rFonts w:ascii="Lato" w:hAnsi="Lato"/>
          <w:i/>
          <w:iCs/>
          <w:sz w:val="24"/>
          <w:szCs w:val="24"/>
          <w:lang w:val="en-US"/>
        </w:rPr>
        <w:t>Prostitution Reform Act 2003</w:t>
      </w:r>
      <w:r w:rsidRPr="00E04783">
        <w:rPr>
          <w:rFonts w:ascii="Lato" w:hAnsi="Lato"/>
          <w:sz w:val="24"/>
          <w:szCs w:val="24"/>
          <w:lang w:val="en-US"/>
        </w:rPr>
        <w:t>.</w:t>
      </w:r>
      <w:r w:rsidRPr="00E04783">
        <w:rPr>
          <w:rStyle w:val="FootnoteReference"/>
          <w:rFonts w:ascii="Lato" w:hAnsi="Lato"/>
          <w:sz w:val="24"/>
          <w:szCs w:val="24"/>
          <w:lang w:val="en-US"/>
        </w:rPr>
        <w:footnoteReference w:id="139"/>
      </w:r>
      <w:r w:rsidRPr="00E04783">
        <w:rPr>
          <w:rFonts w:ascii="Lato" w:hAnsi="Lato"/>
          <w:sz w:val="24"/>
          <w:szCs w:val="24"/>
          <w:lang w:val="en-US"/>
        </w:rPr>
        <w:t xml:space="preserve"> It has been found that LGBTIQ+ people who experience homelessness engage in sex work and ‘survival sex’ at a higher rate than their non-LGBTIQ+ counterparts.</w:t>
      </w:r>
      <w:r w:rsidRPr="00E04783">
        <w:rPr>
          <w:rStyle w:val="FootnoteReference"/>
          <w:rFonts w:ascii="Lato" w:hAnsi="Lato"/>
          <w:sz w:val="24"/>
          <w:szCs w:val="24"/>
          <w:lang w:val="en-US"/>
        </w:rPr>
        <w:footnoteReference w:id="140"/>
      </w:r>
      <w:r w:rsidRPr="00E04783">
        <w:rPr>
          <w:rFonts w:ascii="Lato" w:hAnsi="Lato"/>
          <w:sz w:val="24"/>
          <w:szCs w:val="24"/>
          <w:lang w:val="en-US"/>
        </w:rPr>
        <w:t xml:space="preserve"> In one study, of those interviewed, the majority engaged in sex work so as to make money to meet basic needs, such as homelessness and poverty. They also felt unsupported and failed by institutional support systems. Furthermore, those interview</w:t>
      </w:r>
      <w:r w:rsidR="00997CA1">
        <w:rPr>
          <w:rFonts w:ascii="Lato" w:hAnsi="Lato"/>
          <w:sz w:val="24"/>
          <w:szCs w:val="24"/>
          <w:lang w:val="en-US"/>
        </w:rPr>
        <w:t>ed</w:t>
      </w:r>
      <w:r w:rsidRPr="00E04783">
        <w:rPr>
          <w:rFonts w:ascii="Lato" w:hAnsi="Lato"/>
          <w:sz w:val="24"/>
          <w:szCs w:val="24"/>
          <w:lang w:val="en-US"/>
        </w:rPr>
        <w:t xml:space="preserve"> who experienced sex work and homelessness stated that this situation resulted in ‘exploitation and reduced personal safety’.</w:t>
      </w:r>
      <w:r w:rsidRPr="00E04783">
        <w:rPr>
          <w:rStyle w:val="FootnoteReference"/>
          <w:rFonts w:ascii="Lato" w:hAnsi="Lato"/>
          <w:sz w:val="24"/>
          <w:szCs w:val="24"/>
          <w:lang w:val="en-US"/>
        </w:rPr>
        <w:footnoteReference w:id="141"/>
      </w:r>
      <w:r w:rsidRPr="00E04783">
        <w:rPr>
          <w:rFonts w:ascii="Lato" w:hAnsi="Lato"/>
          <w:sz w:val="24"/>
          <w:szCs w:val="24"/>
          <w:lang w:val="en-US"/>
        </w:rPr>
        <w:t xml:space="preserve"> Thus</w:t>
      </w:r>
      <w:r w:rsidR="00272180">
        <w:rPr>
          <w:rFonts w:ascii="Lato" w:hAnsi="Lato"/>
          <w:sz w:val="24"/>
          <w:szCs w:val="24"/>
          <w:lang w:val="en-US"/>
        </w:rPr>
        <w:t>, according to this report,</w:t>
      </w:r>
      <w:r w:rsidRPr="00E04783">
        <w:rPr>
          <w:rFonts w:ascii="Lato" w:hAnsi="Lato"/>
          <w:sz w:val="24"/>
          <w:szCs w:val="24"/>
          <w:lang w:val="en-US"/>
        </w:rPr>
        <w:t xml:space="preserve"> doing sex work while in the confines of structural inequalities such as homelessness and poverty</w:t>
      </w:r>
      <w:r w:rsidR="00272180">
        <w:rPr>
          <w:rFonts w:ascii="Lato" w:hAnsi="Lato"/>
          <w:sz w:val="24"/>
          <w:szCs w:val="24"/>
          <w:lang w:val="en-US"/>
        </w:rPr>
        <w:t xml:space="preserve"> </w:t>
      </w:r>
      <w:r w:rsidRPr="00E04783">
        <w:rPr>
          <w:rFonts w:ascii="Lato" w:hAnsi="Lato"/>
          <w:sz w:val="24"/>
          <w:szCs w:val="24"/>
          <w:lang w:val="en-US"/>
        </w:rPr>
        <w:t>had mixed consequences; for some it was a catalyst through which to meet needs, for others it resulted in negative sense of self, in part also due to stigma.</w:t>
      </w:r>
      <w:r w:rsidRPr="00E04783">
        <w:rPr>
          <w:rStyle w:val="FootnoteReference"/>
          <w:rFonts w:ascii="Lato" w:hAnsi="Lato"/>
          <w:sz w:val="24"/>
          <w:szCs w:val="24"/>
          <w:lang w:val="en-US"/>
        </w:rPr>
        <w:footnoteReference w:id="142"/>
      </w:r>
    </w:p>
    <w:p w14:paraId="2AFE21CC" w14:textId="52091C86" w:rsidR="00222309" w:rsidRPr="00E04783" w:rsidRDefault="00222309" w:rsidP="00222309">
      <w:pPr>
        <w:jc w:val="both"/>
        <w:rPr>
          <w:lang w:val="en-US"/>
        </w:rPr>
      </w:pPr>
      <w:r w:rsidRPr="00E04783">
        <w:rPr>
          <w:rFonts w:ascii="Lato" w:hAnsi="Lato"/>
          <w:sz w:val="24"/>
          <w:szCs w:val="24"/>
          <w:lang w:val="en-US"/>
        </w:rPr>
        <w:t xml:space="preserve">Although the </w:t>
      </w:r>
      <w:r w:rsidR="00E04783" w:rsidRPr="00E04783">
        <w:rPr>
          <w:rFonts w:ascii="Lato" w:hAnsi="Lato"/>
          <w:sz w:val="24"/>
          <w:szCs w:val="24"/>
          <w:lang w:val="en-US"/>
        </w:rPr>
        <w:t>decriminalization</w:t>
      </w:r>
      <w:r w:rsidRPr="00E04783">
        <w:rPr>
          <w:rFonts w:ascii="Lato" w:hAnsi="Lato"/>
          <w:sz w:val="24"/>
          <w:szCs w:val="24"/>
          <w:lang w:val="en-US"/>
        </w:rPr>
        <w:t xml:space="preserve"> of sex work has created a safer industry for many, for those who feel unsafe while engage in sex work whilst homeless, implementing institutional support such as the Welfare System to bolster and complement this </w:t>
      </w:r>
      <w:r w:rsidR="00E04783" w:rsidRPr="00E04783">
        <w:rPr>
          <w:rFonts w:ascii="Lato" w:hAnsi="Lato"/>
          <w:sz w:val="24"/>
          <w:szCs w:val="24"/>
          <w:lang w:val="en-US"/>
        </w:rPr>
        <w:t>decriminalization</w:t>
      </w:r>
      <w:r w:rsidRPr="00E04783">
        <w:rPr>
          <w:rFonts w:ascii="Lato" w:hAnsi="Lato"/>
          <w:sz w:val="24"/>
          <w:szCs w:val="24"/>
          <w:lang w:val="en-US"/>
        </w:rPr>
        <w:t xml:space="preserve"> would be advisory.</w:t>
      </w:r>
      <w:r w:rsidRPr="00E04783">
        <w:rPr>
          <w:rStyle w:val="FootnoteReference"/>
          <w:rFonts w:ascii="Lato" w:hAnsi="Lato"/>
          <w:sz w:val="24"/>
          <w:szCs w:val="24"/>
          <w:lang w:val="en-US"/>
        </w:rPr>
        <w:footnoteReference w:id="143"/>
      </w:r>
    </w:p>
    <w:p w14:paraId="72635384" w14:textId="77777777" w:rsidR="00222309" w:rsidRPr="00E04783" w:rsidRDefault="00222309" w:rsidP="00222309">
      <w:pPr>
        <w:pStyle w:val="Heading4"/>
        <w:jc w:val="both"/>
        <w:rPr>
          <w:rFonts w:ascii="Lato" w:hAnsi="Lato"/>
          <w:szCs w:val="24"/>
          <w:lang w:val="en-US"/>
        </w:rPr>
      </w:pPr>
      <w:r w:rsidRPr="00E04783">
        <w:rPr>
          <w:rFonts w:ascii="Lato" w:hAnsi="Lato"/>
          <w:szCs w:val="24"/>
          <w:lang w:val="en-US"/>
        </w:rPr>
        <w:t xml:space="preserve">Argentina </w:t>
      </w:r>
    </w:p>
    <w:p w14:paraId="6787E8EF" w14:textId="26A048A2" w:rsidR="00222309" w:rsidRPr="00E04783" w:rsidRDefault="00222309" w:rsidP="00222309">
      <w:pPr>
        <w:jc w:val="both"/>
        <w:rPr>
          <w:rFonts w:ascii="Lato" w:hAnsi="Lato"/>
          <w:sz w:val="24"/>
          <w:szCs w:val="24"/>
          <w:lang w:val="en-US"/>
        </w:rPr>
      </w:pPr>
      <w:r w:rsidRPr="00E04783">
        <w:rPr>
          <w:rFonts w:ascii="Lato" w:hAnsi="Lato"/>
          <w:sz w:val="24"/>
          <w:szCs w:val="24"/>
          <w:lang w:val="en-US"/>
        </w:rPr>
        <w:t xml:space="preserve">Provincial legislation in the Buenos Aires code of offences gives the police power to act against persons or groups on the grounds of ‘public decency’, an ambiguous term that lends itself to inconsistencies and injustices when it comes to sex work. </w:t>
      </w:r>
      <w:r w:rsidR="00272180">
        <w:rPr>
          <w:rFonts w:ascii="Lato" w:hAnsi="Lato"/>
          <w:sz w:val="24"/>
          <w:szCs w:val="24"/>
          <w:lang w:val="en-US"/>
        </w:rPr>
        <w:t>T</w:t>
      </w:r>
      <w:r w:rsidRPr="00E04783">
        <w:rPr>
          <w:rFonts w:ascii="Lato" w:hAnsi="Lato"/>
          <w:sz w:val="24"/>
          <w:szCs w:val="24"/>
          <w:lang w:val="en-US"/>
        </w:rPr>
        <w:t>he Mendoza law No. 3.365 of 1965 that concerns ‘Scandalous prostitution and homosexualism’ outlines that ‘a women and a homosexual who, alone or in company, exhibits, incites, offers, or makes provocative signs or gestures to others in public, open or exposed to the public, for the purpose of engaging in prostitution, shall be punished by arrest for a term of ten to thirty days and fines of up to one million five hundred pesos’.</w:t>
      </w:r>
      <w:r w:rsidRPr="00E04783">
        <w:rPr>
          <w:rStyle w:val="FootnoteReference"/>
          <w:rFonts w:ascii="Lato" w:hAnsi="Lato"/>
          <w:sz w:val="24"/>
          <w:szCs w:val="24"/>
          <w:lang w:val="en-US"/>
        </w:rPr>
        <w:t xml:space="preserve"> </w:t>
      </w:r>
      <w:r w:rsidRPr="00E04783">
        <w:rPr>
          <w:rStyle w:val="FootnoteReference"/>
          <w:rFonts w:ascii="Lato" w:hAnsi="Lato"/>
          <w:sz w:val="24"/>
          <w:szCs w:val="24"/>
          <w:lang w:val="en-US"/>
        </w:rPr>
        <w:footnoteReference w:id="144"/>
      </w:r>
    </w:p>
    <w:p w14:paraId="64000DEF" w14:textId="0D493193" w:rsidR="00222309" w:rsidRPr="00E04783" w:rsidRDefault="00222309" w:rsidP="00222309">
      <w:pPr>
        <w:jc w:val="both"/>
        <w:rPr>
          <w:rFonts w:ascii="Lato" w:hAnsi="Lato"/>
          <w:sz w:val="24"/>
          <w:szCs w:val="24"/>
          <w:lang w:val="en-US"/>
        </w:rPr>
      </w:pPr>
      <w:r w:rsidRPr="00E04783">
        <w:rPr>
          <w:rFonts w:ascii="Lato" w:hAnsi="Lato"/>
          <w:sz w:val="24"/>
          <w:szCs w:val="24"/>
          <w:lang w:val="en-US"/>
        </w:rPr>
        <w:t xml:space="preserve">In 2015, figures from the Public Defence Office of the City of Buenos Aires’ District 134 showed that of 805 sex work charges, 543 had been brought against homeless, transgender Peruvians. In certain areas, such as the Jujuy and Tucumán Provinces, police arrests of transgender women </w:t>
      </w:r>
      <w:r w:rsidR="00ED16F8">
        <w:rPr>
          <w:rFonts w:ascii="Lato" w:hAnsi="Lato"/>
          <w:sz w:val="24"/>
          <w:szCs w:val="24"/>
          <w:lang w:val="en-US"/>
        </w:rPr>
        <w:t>were</w:t>
      </w:r>
      <w:r w:rsidRPr="00E04783">
        <w:rPr>
          <w:rFonts w:ascii="Lato" w:hAnsi="Lato"/>
          <w:sz w:val="24"/>
          <w:szCs w:val="24"/>
          <w:lang w:val="en-US"/>
        </w:rPr>
        <w:t xml:space="preserve"> abusive and violent.</w:t>
      </w:r>
      <w:r w:rsidRPr="00E04783">
        <w:rPr>
          <w:rStyle w:val="FootnoteReference"/>
          <w:rFonts w:ascii="Lato" w:hAnsi="Lato"/>
          <w:sz w:val="24"/>
          <w:szCs w:val="24"/>
          <w:lang w:val="en-US"/>
        </w:rPr>
        <w:footnoteReference w:id="145"/>
      </w:r>
    </w:p>
    <w:p w14:paraId="7123865A" w14:textId="5A2336D0" w:rsidR="00222309" w:rsidRPr="00E04783" w:rsidRDefault="00222309" w:rsidP="00222309">
      <w:pPr>
        <w:jc w:val="both"/>
        <w:rPr>
          <w:rFonts w:ascii="Lato" w:hAnsi="Lato"/>
          <w:sz w:val="24"/>
          <w:szCs w:val="24"/>
          <w:lang w:val="en-US"/>
        </w:rPr>
      </w:pPr>
      <w:r w:rsidRPr="00E04783">
        <w:rPr>
          <w:rFonts w:ascii="Lato" w:hAnsi="Lato"/>
          <w:sz w:val="24"/>
          <w:szCs w:val="24"/>
          <w:lang w:val="en-US"/>
        </w:rPr>
        <w:t xml:space="preserve">In Argentina, homeless transgender people, particularly women from racial minority groups, have an elevated exposure to human rights violations such as killings, assaults, and harassments. As a vulnerable group, where social exclusion can lead to poverty and socioeconomic deprivation, there is an increased number of transgender women who </w:t>
      </w:r>
      <w:r w:rsidRPr="00E04783">
        <w:rPr>
          <w:rFonts w:ascii="Lato" w:hAnsi="Lato"/>
          <w:sz w:val="24"/>
          <w:szCs w:val="24"/>
          <w:lang w:val="en-US"/>
        </w:rPr>
        <w:lastRenderedPageBreak/>
        <w:t>engage in sex work and are homeless.</w:t>
      </w:r>
      <w:r w:rsidRPr="00E04783">
        <w:rPr>
          <w:rStyle w:val="FootnoteReference"/>
          <w:rFonts w:ascii="Lato" w:hAnsi="Lato"/>
          <w:sz w:val="24"/>
          <w:szCs w:val="24"/>
          <w:lang w:val="en-US"/>
        </w:rPr>
        <w:footnoteReference w:id="146"/>
      </w:r>
      <w:r w:rsidRPr="00E04783">
        <w:rPr>
          <w:rFonts w:ascii="Lato" w:hAnsi="Lato"/>
          <w:sz w:val="24"/>
          <w:szCs w:val="24"/>
          <w:lang w:val="en-US"/>
        </w:rPr>
        <w:t xml:space="preserve"> This </w:t>
      </w:r>
      <w:r w:rsidR="009A6031">
        <w:rPr>
          <w:rFonts w:ascii="Lato" w:hAnsi="Lato"/>
          <w:sz w:val="24"/>
          <w:szCs w:val="24"/>
          <w:lang w:val="en-US"/>
        </w:rPr>
        <w:t xml:space="preserve">vicious </w:t>
      </w:r>
      <w:r w:rsidRPr="00E04783">
        <w:rPr>
          <w:rFonts w:ascii="Lato" w:hAnsi="Lato"/>
          <w:sz w:val="24"/>
          <w:szCs w:val="24"/>
          <w:lang w:val="en-US"/>
        </w:rPr>
        <w:t>cycle of exclusion makes this population more susceptible to violence and discrimination in community homes, shelters and on the street.</w:t>
      </w:r>
      <w:r w:rsidRPr="00E04783">
        <w:rPr>
          <w:rStyle w:val="FootnoteReference"/>
          <w:rFonts w:ascii="Lato" w:hAnsi="Lato"/>
          <w:sz w:val="24"/>
          <w:szCs w:val="24"/>
          <w:lang w:val="en-US"/>
        </w:rPr>
        <w:footnoteReference w:id="147"/>
      </w:r>
    </w:p>
    <w:p w14:paraId="7AE6268C" w14:textId="1321A3A9" w:rsidR="00222309" w:rsidRPr="00E04783" w:rsidRDefault="00222309" w:rsidP="00222309">
      <w:pPr>
        <w:jc w:val="both"/>
        <w:rPr>
          <w:rFonts w:ascii="Lato" w:hAnsi="Lato"/>
          <w:sz w:val="24"/>
          <w:szCs w:val="24"/>
          <w:lang w:val="en-US"/>
        </w:rPr>
      </w:pPr>
      <w:r w:rsidRPr="00E04783">
        <w:rPr>
          <w:rFonts w:ascii="Lato" w:hAnsi="Lato"/>
          <w:sz w:val="24"/>
          <w:szCs w:val="24"/>
          <w:lang w:val="en-US"/>
        </w:rPr>
        <w:t xml:space="preserve">The Inter-American Court </w:t>
      </w:r>
      <w:r w:rsidR="009A6031" w:rsidRPr="00E04783">
        <w:rPr>
          <w:rFonts w:ascii="Lato" w:hAnsi="Lato"/>
          <w:sz w:val="24"/>
          <w:szCs w:val="24"/>
          <w:lang w:val="en-US"/>
        </w:rPr>
        <w:t>recognized</w:t>
      </w:r>
      <w:r w:rsidRPr="00E04783">
        <w:rPr>
          <w:rFonts w:ascii="Lato" w:hAnsi="Lato"/>
          <w:sz w:val="24"/>
          <w:szCs w:val="24"/>
          <w:lang w:val="en-US"/>
        </w:rPr>
        <w:t xml:space="preserve"> that LGBTI communities are disproportionately impacted by poverty, at the ‘individual level, but also at the societal level, as LGBTI persons who are denied basic rights such as work, health, education and housing live in situations of poverty, deprived of any economic opportunity.’</w:t>
      </w:r>
      <w:r w:rsidRPr="00E04783">
        <w:rPr>
          <w:rStyle w:val="FootnoteReference"/>
          <w:rFonts w:ascii="Lato" w:hAnsi="Lato"/>
          <w:sz w:val="24"/>
          <w:szCs w:val="24"/>
          <w:lang w:val="en-US"/>
        </w:rPr>
        <w:footnoteReference w:id="148"/>
      </w:r>
    </w:p>
    <w:p w14:paraId="10D09166" w14:textId="15E6DAAA" w:rsidR="000417BA" w:rsidRPr="00E04783" w:rsidRDefault="00393678" w:rsidP="000417BA">
      <w:pPr>
        <w:pStyle w:val="Heading4"/>
        <w:jc w:val="both"/>
        <w:rPr>
          <w:rFonts w:ascii="Lato" w:hAnsi="Lato"/>
          <w:szCs w:val="24"/>
          <w:lang w:val="en-US"/>
        </w:rPr>
      </w:pPr>
      <w:r w:rsidRPr="00E04783">
        <w:rPr>
          <w:rFonts w:ascii="Lato" w:hAnsi="Lato"/>
          <w:szCs w:val="24"/>
          <w:lang w:val="en-US"/>
        </w:rPr>
        <w:t xml:space="preserve">Consequences of sex-work </w:t>
      </w:r>
      <w:r w:rsidR="00E04783" w:rsidRPr="00E04783">
        <w:rPr>
          <w:rFonts w:ascii="Lato" w:hAnsi="Lato"/>
          <w:szCs w:val="24"/>
          <w:lang w:val="en-US"/>
        </w:rPr>
        <w:t>criminalization</w:t>
      </w:r>
      <w:r w:rsidRPr="00E04783">
        <w:rPr>
          <w:rFonts w:ascii="Lato" w:hAnsi="Lato"/>
          <w:szCs w:val="24"/>
          <w:lang w:val="en-US"/>
        </w:rPr>
        <w:t xml:space="preserve"> on trans people in Europe</w:t>
      </w:r>
    </w:p>
    <w:p w14:paraId="75F38667" w14:textId="74B35A6A" w:rsidR="00393678" w:rsidRPr="00E04783" w:rsidRDefault="009C51B6" w:rsidP="00DA5C0C">
      <w:pPr>
        <w:jc w:val="both"/>
        <w:rPr>
          <w:rFonts w:ascii="Lato" w:hAnsi="Lato"/>
          <w:sz w:val="24"/>
          <w:szCs w:val="24"/>
          <w:lang w:val="en-US"/>
        </w:rPr>
      </w:pPr>
      <w:r w:rsidRPr="00E04783">
        <w:rPr>
          <w:rFonts w:ascii="Lato" w:hAnsi="Lato"/>
          <w:i/>
          <w:iCs/>
          <w:sz w:val="24"/>
          <w:szCs w:val="24"/>
          <w:lang w:val="en-US"/>
        </w:rPr>
        <w:t xml:space="preserve">This information is based on </w:t>
      </w:r>
      <w:r w:rsidR="00C84B0E" w:rsidRPr="00E04783">
        <w:rPr>
          <w:rFonts w:ascii="Lato" w:hAnsi="Lato"/>
          <w:i/>
          <w:iCs/>
          <w:sz w:val="24"/>
          <w:szCs w:val="24"/>
          <w:lang w:val="en-US"/>
        </w:rPr>
        <w:t xml:space="preserve">two </w:t>
      </w:r>
      <w:r w:rsidR="000D7573" w:rsidRPr="00E04783">
        <w:rPr>
          <w:rFonts w:ascii="Lato" w:hAnsi="Lato"/>
          <w:i/>
          <w:iCs/>
          <w:sz w:val="24"/>
          <w:szCs w:val="24"/>
          <w:lang w:val="en-US"/>
        </w:rPr>
        <w:t>T</w:t>
      </w:r>
      <w:r w:rsidR="002B7E7F" w:rsidRPr="00E04783">
        <w:rPr>
          <w:rFonts w:ascii="Lato" w:hAnsi="Lato"/>
          <w:i/>
          <w:iCs/>
          <w:sz w:val="24"/>
          <w:szCs w:val="24"/>
          <w:lang w:val="en-US"/>
        </w:rPr>
        <w:t xml:space="preserve">GEU </w:t>
      </w:r>
      <w:r w:rsidR="00C84B0E" w:rsidRPr="00E04783">
        <w:rPr>
          <w:rFonts w:ascii="Lato" w:hAnsi="Lato"/>
          <w:i/>
          <w:iCs/>
          <w:sz w:val="24"/>
          <w:szCs w:val="24"/>
          <w:lang w:val="en-US"/>
        </w:rPr>
        <w:t>reports</w:t>
      </w:r>
      <w:r w:rsidR="004E2D60" w:rsidRPr="00E04783">
        <w:rPr>
          <w:rFonts w:ascii="Lato" w:hAnsi="Lato"/>
          <w:i/>
          <w:iCs/>
          <w:sz w:val="24"/>
          <w:szCs w:val="24"/>
          <w:lang w:val="en-US"/>
        </w:rPr>
        <w:t xml:space="preserve"> and a TvT press release</w:t>
      </w:r>
      <w:r w:rsidR="00C84B0E" w:rsidRPr="00E04783">
        <w:rPr>
          <w:rFonts w:ascii="Lato" w:hAnsi="Lato"/>
          <w:i/>
          <w:iCs/>
          <w:sz w:val="24"/>
          <w:szCs w:val="24"/>
          <w:lang w:val="en-US"/>
        </w:rPr>
        <w:t xml:space="preserve">: </w:t>
      </w:r>
      <w:r w:rsidR="002B7E7F" w:rsidRPr="00E04783">
        <w:rPr>
          <w:rFonts w:ascii="Lato" w:hAnsi="Lato"/>
          <w:i/>
          <w:iCs/>
          <w:sz w:val="24"/>
          <w:szCs w:val="24"/>
          <w:lang w:val="en-US"/>
        </w:rPr>
        <w:t>‘Trans &amp; Poverty: Poverty and Economic Insecurity in Trans Communities in the EU’</w:t>
      </w:r>
      <w:r w:rsidR="004E2D60" w:rsidRPr="00E04783">
        <w:rPr>
          <w:rFonts w:ascii="Lato" w:hAnsi="Lato"/>
          <w:i/>
          <w:iCs/>
          <w:sz w:val="24"/>
          <w:szCs w:val="24"/>
          <w:lang w:val="en-US"/>
        </w:rPr>
        <w:t>;</w:t>
      </w:r>
      <w:r w:rsidR="00266DC1" w:rsidRPr="00E04783">
        <w:rPr>
          <w:rStyle w:val="FootnoteReference"/>
          <w:rFonts w:ascii="Lato" w:hAnsi="Lato"/>
          <w:i/>
          <w:iCs/>
          <w:sz w:val="24"/>
          <w:szCs w:val="24"/>
          <w:lang w:val="en-US"/>
        </w:rPr>
        <w:footnoteReference w:id="149"/>
      </w:r>
      <w:r w:rsidR="00C84B0E" w:rsidRPr="00E04783">
        <w:rPr>
          <w:rFonts w:ascii="Lato" w:hAnsi="Lato"/>
          <w:i/>
          <w:iCs/>
          <w:sz w:val="24"/>
          <w:szCs w:val="24"/>
          <w:lang w:val="en-US"/>
        </w:rPr>
        <w:t xml:space="preserve"> </w:t>
      </w:r>
      <w:r w:rsidR="00E701BB" w:rsidRPr="00E04783">
        <w:rPr>
          <w:rFonts w:ascii="Lato" w:hAnsi="Lato"/>
          <w:i/>
          <w:iCs/>
          <w:sz w:val="24"/>
          <w:szCs w:val="24"/>
          <w:lang w:val="en-US"/>
        </w:rPr>
        <w:t xml:space="preserve">‘The </w:t>
      </w:r>
      <w:r w:rsidR="00840541" w:rsidRPr="00E04783">
        <w:rPr>
          <w:rFonts w:ascii="Lato" w:hAnsi="Lato"/>
          <w:i/>
          <w:iCs/>
          <w:sz w:val="24"/>
          <w:szCs w:val="24"/>
          <w:lang w:val="en-US"/>
        </w:rPr>
        <w:t>vicious circle of violence: Trans and gender-diverse people, migration, and sex work’</w:t>
      </w:r>
      <w:r w:rsidR="004E2D60" w:rsidRPr="00E04783">
        <w:rPr>
          <w:rFonts w:ascii="Lato" w:hAnsi="Lato"/>
          <w:i/>
          <w:iCs/>
          <w:sz w:val="24"/>
          <w:szCs w:val="24"/>
          <w:lang w:val="en-US"/>
        </w:rPr>
        <w:t>;</w:t>
      </w:r>
      <w:r w:rsidR="00266DC1" w:rsidRPr="00E04783">
        <w:rPr>
          <w:rStyle w:val="FootnoteReference"/>
          <w:rFonts w:ascii="Lato" w:hAnsi="Lato"/>
          <w:i/>
          <w:iCs/>
          <w:sz w:val="24"/>
          <w:szCs w:val="24"/>
          <w:lang w:val="en-US"/>
        </w:rPr>
        <w:footnoteReference w:id="150"/>
      </w:r>
      <w:r w:rsidR="006E46ED" w:rsidRPr="00E04783">
        <w:rPr>
          <w:rFonts w:ascii="Lato" w:hAnsi="Lato"/>
          <w:i/>
          <w:iCs/>
          <w:sz w:val="24"/>
          <w:szCs w:val="24"/>
          <w:lang w:val="en-US"/>
        </w:rPr>
        <w:t>and ‘Trans Murder Monitoring Update Trans Day of Remembrance 2022’</w:t>
      </w:r>
      <w:r w:rsidR="006E46ED" w:rsidRPr="00E04783">
        <w:rPr>
          <w:rStyle w:val="FootnoteReference"/>
          <w:rFonts w:ascii="Lato" w:hAnsi="Lato"/>
          <w:i/>
          <w:iCs/>
          <w:sz w:val="24"/>
          <w:szCs w:val="24"/>
          <w:lang w:val="en-US"/>
        </w:rPr>
        <w:footnoteReference w:id="151"/>
      </w:r>
    </w:p>
    <w:p w14:paraId="04E2A8A5" w14:textId="2A4D85AE" w:rsidR="00307743" w:rsidRPr="00E04783" w:rsidRDefault="00307743" w:rsidP="00307743">
      <w:pPr>
        <w:jc w:val="both"/>
        <w:rPr>
          <w:rFonts w:ascii="Lato" w:hAnsi="Lato"/>
          <w:sz w:val="24"/>
          <w:szCs w:val="24"/>
          <w:lang w:val="en-US"/>
        </w:rPr>
      </w:pPr>
      <w:r w:rsidRPr="00E04783">
        <w:rPr>
          <w:rFonts w:ascii="Lato" w:hAnsi="Lato"/>
          <w:sz w:val="24"/>
          <w:szCs w:val="24"/>
          <w:lang w:val="en-US"/>
        </w:rPr>
        <w:t xml:space="preserve">The structural exclusion [of trans people] from legal and formal employment leads to a high prevalence of trans people working in </w:t>
      </w:r>
      <w:r w:rsidR="00E04783" w:rsidRPr="00E04783">
        <w:rPr>
          <w:rFonts w:ascii="Lato" w:hAnsi="Lato"/>
          <w:sz w:val="24"/>
          <w:szCs w:val="24"/>
          <w:lang w:val="en-US"/>
        </w:rPr>
        <w:t>criminalized</w:t>
      </w:r>
      <w:r w:rsidRPr="00E04783">
        <w:rPr>
          <w:rFonts w:ascii="Lato" w:hAnsi="Lato"/>
          <w:sz w:val="24"/>
          <w:szCs w:val="24"/>
          <w:lang w:val="en-US"/>
        </w:rPr>
        <w:t xml:space="preserve"> and/or informal settings, for instance, doing sex work or care work. The </w:t>
      </w:r>
      <w:r w:rsidR="00E04783" w:rsidRPr="00E04783">
        <w:rPr>
          <w:rFonts w:ascii="Lato" w:hAnsi="Lato"/>
          <w:sz w:val="24"/>
          <w:szCs w:val="24"/>
          <w:lang w:val="en-US"/>
        </w:rPr>
        <w:t>criminalization</w:t>
      </w:r>
      <w:r w:rsidRPr="00E04783">
        <w:rPr>
          <w:rFonts w:ascii="Lato" w:hAnsi="Lato"/>
          <w:sz w:val="24"/>
          <w:szCs w:val="24"/>
          <w:lang w:val="en-US"/>
        </w:rPr>
        <w:t xml:space="preserve"> of sex work increases trans people’s vulnerability to discrimination, violence, exploitation, and HIV. The lack of official recognition of sex workers as workers also means that those engaging in sex work are not entitled to social and welfare benefits, such as sick pay, parental leave, or pension schemes.</w:t>
      </w:r>
      <w:r w:rsidRPr="00E04783">
        <w:rPr>
          <w:rStyle w:val="FootnoteReference"/>
          <w:rFonts w:ascii="Lato" w:hAnsi="Lato"/>
          <w:sz w:val="24"/>
          <w:szCs w:val="24"/>
          <w:lang w:val="en-US"/>
        </w:rPr>
        <w:footnoteReference w:id="152"/>
      </w:r>
    </w:p>
    <w:p w14:paraId="409DBE15" w14:textId="7E2CA963" w:rsidR="000417BA" w:rsidRPr="00E04783" w:rsidRDefault="00E04783" w:rsidP="00307743">
      <w:pPr>
        <w:jc w:val="both"/>
        <w:rPr>
          <w:rFonts w:ascii="Lato" w:hAnsi="Lato"/>
          <w:sz w:val="24"/>
          <w:szCs w:val="24"/>
          <w:lang w:val="en-US"/>
        </w:rPr>
      </w:pPr>
      <w:r w:rsidRPr="00E04783">
        <w:rPr>
          <w:rFonts w:ascii="Lato" w:hAnsi="Lato"/>
          <w:sz w:val="24"/>
          <w:szCs w:val="24"/>
          <w:lang w:val="en-US"/>
        </w:rPr>
        <w:t>Decriminalization</w:t>
      </w:r>
      <w:r w:rsidR="00307743" w:rsidRPr="00E04783">
        <w:rPr>
          <w:rFonts w:ascii="Lato" w:hAnsi="Lato"/>
          <w:sz w:val="24"/>
          <w:szCs w:val="24"/>
          <w:lang w:val="en-US"/>
        </w:rPr>
        <w:t xml:space="preserve"> allows for sex workers to be protected by employment law, to negotiate, </w:t>
      </w:r>
      <w:r w:rsidRPr="00E04783">
        <w:rPr>
          <w:rFonts w:ascii="Lato" w:hAnsi="Lato"/>
          <w:sz w:val="24"/>
          <w:szCs w:val="24"/>
          <w:lang w:val="en-US"/>
        </w:rPr>
        <w:t>organize</w:t>
      </w:r>
      <w:r w:rsidR="00307743" w:rsidRPr="00E04783">
        <w:rPr>
          <w:rFonts w:ascii="Lato" w:hAnsi="Lato"/>
          <w:sz w:val="24"/>
          <w:szCs w:val="24"/>
          <w:lang w:val="en-US"/>
        </w:rPr>
        <w:t xml:space="preserve">, and challenge exploitation. As the European Sex Workers’ Rights Alliance highlighted in 2021, </w:t>
      </w:r>
      <w:r w:rsidR="002A7961">
        <w:rPr>
          <w:rFonts w:ascii="Lato" w:hAnsi="Lato"/>
          <w:sz w:val="24"/>
          <w:szCs w:val="24"/>
          <w:lang w:val="en-US"/>
        </w:rPr>
        <w:t>‘</w:t>
      </w:r>
      <w:r w:rsidRPr="00E04783">
        <w:rPr>
          <w:rFonts w:ascii="Lato" w:hAnsi="Lato"/>
          <w:sz w:val="24"/>
          <w:szCs w:val="24"/>
          <w:lang w:val="en-US"/>
        </w:rPr>
        <w:t>decriminalization</w:t>
      </w:r>
      <w:r w:rsidR="00307743" w:rsidRPr="00E04783">
        <w:rPr>
          <w:rFonts w:ascii="Lato" w:hAnsi="Lato"/>
          <w:sz w:val="24"/>
          <w:szCs w:val="24"/>
          <w:lang w:val="en-US"/>
        </w:rPr>
        <w:t xml:space="preserve"> also contributes to enabling sex workers’ rights to health, housing and justice, access to which is hampered through </w:t>
      </w:r>
      <w:r w:rsidRPr="00E04783">
        <w:rPr>
          <w:rFonts w:ascii="Lato" w:hAnsi="Lato"/>
          <w:sz w:val="24"/>
          <w:szCs w:val="24"/>
          <w:lang w:val="en-US"/>
        </w:rPr>
        <w:t>criminalization</w:t>
      </w:r>
      <w:r w:rsidR="00307743" w:rsidRPr="00E04783">
        <w:rPr>
          <w:rFonts w:ascii="Lato" w:hAnsi="Lato"/>
          <w:sz w:val="24"/>
          <w:szCs w:val="24"/>
          <w:lang w:val="en-US"/>
        </w:rPr>
        <w:t>.</w:t>
      </w:r>
      <w:r w:rsidR="002A7961">
        <w:rPr>
          <w:rFonts w:ascii="Lato" w:hAnsi="Lato"/>
          <w:sz w:val="24"/>
          <w:szCs w:val="24"/>
          <w:lang w:val="en-US"/>
        </w:rPr>
        <w:t>’</w:t>
      </w:r>
      <w:r w:rsidR="00F61A5C" w:rsidRPr="00E04783">
        <w:rPr>
          <w:rStyle w:val="FootnoteReference"/>
          <w:rFonts w:ascii="Lato" w:hAnsi="Lato"/>
          <w:sz w:val="24"/>
          <w:szCs w:val="24"/>
          <w:lang w:val="en-US"/>
        </w:rPr>
        <w:footnoteReference w:id="153"/>
      </w:r>
    </w:p>
    <w:p w14:paraId="2FE7DD18" w14:textId="1DC84D64" w:rsidR="000E0CA0" w:rsidRPr="00E04783" w:rsidRDefault="000E0CA0" w:rsidP="000E0CA0">
      <w:pPr>
        <w:jc w:val="both"/>
        <w:rPr>
          <w:rFonts w:ascii="Lato" w:hAnsi="Lato"/>
          <w:sz w:val="24"/>
          <w:szCs w:val="24"/>
          <w:lang w:val="en-US"/>
        </w:rPr>
      </w:pPr>
      <w:r w:rsidRPr="00E04783">
        <w:rPr>
          <w:rFonts w:ascii="Lato" w:hAnsi="Lato"/>
          <w:sz w:val="24"/>
          <w:szCs w:val="24"/>
          <w:lang w:val="en-US"/>
        </w:rPr>
        <w:lastRenderedPageBreak/>
        <w:t xml:space="preserve">Laws that prohibit consenting adults to buy and/or sell sex and legal provisions that </w:t>
      </w:r>
      <w:r w:rsidR="00E053FA" w:rsidRPr="00E04783">
        <w:rPr>
          <w:rFonts w:ascii="Lato" w:hAnsi="Lato"/>
          <w:sz w:val="24"/>
          <w:szCs w:val="24"/>
          <w:lang w:val="en-US"/>
        </w:rPr>
        <w:t>criminalize</w:t>
      </w:r>
      <w:r w:rsidRPr="00E04783">
        <w:rPr>
          <w:rFonts w:ascii="Lato" w:hAnsi="Lato"/>
          <w:sz w:val="24"/>
          <w:szCs w:val="24"/>
          <w:lang w:val="en-US"/>
        </w:rPr>
        <w:t xml:space="preserve"> same-sex relations, and non-normative gender identities and/or expressions negatively impact trans sex workers’ wellbeing and access to services, exposing them to police violence, incarceration, and dangerous working conditions, that lead to negative health outcomes. Prostitution laws also deeply affect many non-sex worker trans people who are perceived, through </w:t>
      </w:r>
      <w:r w:rsidR="00E04783" w:rsidRPr="00E04783">
        <w:rPr>
          <w:rFonts w:ascii="Lato" w:hAnsi="Lato"/>
          <w:sz w:val="24"/>
          <w:szCs w:val="24"/>
          <w:lang w:val="en-US"/>
        </w:rPr>
        <w:t>hypersexualized</w:t>
      </w:r>
      <w:r w:rsidRPr="00E04783">
        <w:rPr>
          <w:rFonts w:ascii="Lato" w:hAnsi="Lato"/>
          <w:sz w:val="24"/>
          <w:szCs w:val="24"/>
          <w:lang w:val="en-US"/>
        </w:rPr>
        <w:t xml:space="preserve"> prejudices, as sex workers.</w:t>
      </w:r>
      <w:r w:rsidR="005D3E9C" w:rsidRPr="00E04783">
        <w:rPr>
          <w:rStyle w:val="FootnoteReference"/>
          <w:rFonts w:ascii="Lato" w:hAnsi="Lato"/>
          <w:sz w:val="24"/>
          <w:szCs w:val="24"/>
          <w:lang w:val="en-US"/>
        </w:rPr>
        <w:footnoteReference w:id="154"/>
      </w:r>
    </w:p>
    <w:p w14:paraId="6D19BD47" w14:textId="25A3EE07" w:rsidR="000E0CA0" w:rsidRPr="00E04783" w:rsidRDefault="000E0CA0" w:rsidP="000E0CA0">
      <w:pPr>
        <w:jc w:val="both"/>
        <w:rPr>
          <w:rFonts w:ascii="Lato" w:hAnsi="Lato"/>
          <w:sz w:val="24"/>
          <w:szCs w:val="24"/>
          <w:lang w:val="en-US"/>
        </w:rPr>
      </w:pPr>
      <w:r w:rsidRPr="00E04783">
        <w:rPr>
          <w:rFonts w:ascii="Lato" w:hAnsi="Lato"/>
          <w:sz w:val="24"/>
          <w:szCs w:val="24"/>
          <w:lang w:val="en-US"/>
        </w:rPr>
        <w:t xml:space="preserve">Police surveillance and control is one of the harshest consequences of legal oppression and </w:t>
      </w:r>
      <w:r w:rsidR="00E04783" w:rsidRPr="00E04783">
        <w:rPr>
          <w:rFonts w:ascii="Lato" w:hAnsi="Lato"/>
          <w:sz w:val="24"/>
          <w:szCs w:val="24"/>
          <w:lang w:val="en-US"/>
        </w:rPr>
        <w:t>criminalization</w:t>
      </w:r>
      <w:r w:rsidRPr="00E04783">
        <w:rPr>
          <w:rFonts w:ascii="Lato" w:hAnsi="Lato"/>
          <w:sz w:val="24"/>
          <w:szCs w:val="24"/>
          <w:lang w:val="en-US"/>
        </w:rPr>
        <w:t xml:space="preserve">. Trans women and trans-feminine people are often perceived as sex workers by police, through </w:t>
      </w:r>
      <w:r w:rsidR="00E04783" w:rsidRPr="00E04783">
        <w:rPr>
          <w:rFonts w:ascii="Lato" w:hAnsi="Lato"/>
          <w:sz w:val="24"/>
          <w:szCs w:val="24"/>
          <w:lang w:val="en-US"/>
        </w:rPr>
        <w:t>racialized</w:t>
      </w:r>
      <w:r w:rsidRPr="00E04783">
        <w:rPr>
          <w:rFonts w:ascii="Lato" w:hAnsi="Lato"/>
          <w:sz w:val="24"/>
          <w:szCs w:val="24"/>
          <w:lang w:val="en-US"/>
        </w:rPr>
        <w:t xml:space="preserve"> and gendered stereotypes that frame them as hypersexual and sexually available. Law enforcement officers’ </w:t>
      </w:r>
      <w:r w:rsidR="00E04783" w:rsidRPr="00E04783">
        <w:rPr>
          <w:rFonts w:ascii="Lato" w:hAnsi="Lato"/>
          <w:sz w:val="24"/>
          <w:szCs w:val="24"/>
          <w:lang w:val="en-US"/>
        </w:rPr>
        <w:t>internalization</w:t>
      </w:r>
      <w:r w:rsidRPr="00E04783">
        <w:rPr>
          <w:rFonts w:ascii="Lato" w:hAnsi="Lato"/>
          <w:sz w:val="24"/>
          <w:szCs w:val="24"/>
          <w:lang w:val="en-US"/>
        </w:rPr>
        <w:t xml:space="preserve"> and perpetuation of these stereotypes, combined with the high degree of discretion afforded by vague </w:t>
      </w:r>
      <w:r w:rsidR="002A7961">
        <w:rPr>
          <w:rFonts w:ascii="Lato" w:hAnsi="Lato"/>
          <w:sz w:val="24"/>
          <w:szCs w:val="24"/>
          <w:lang w:val="en-US"/>
        </w:rPr>
        <w:t>‘</w:t>
      </w:r>
      <w:r w:rsidRPr="00E04783">
        <w:rPr>
          <w:rFonts w:ascii="Lato" w:hAnsi="Lato"/>
          <w:sz w:val="24"/>
          <w:szCs w:val="24"/>
          <w:lang w:val="en-US"/>
        </w:rPr>
        <w:t>quality of life</w:t>
      </w:r>
      <w:r w:rsidR="002A7961">
        <w:rPr>
          <w:rFonts w:ascii="Lato" w:hAnsi="Lato"/>
          <w:sz w:val="24"/>
          <w:szCs w:val="24"/>
          <w:lang w:val="en-US"/>
        </w:rPr>
        <w:t>’</w:t>
      </w:r>
      <w:r w:rsidRPr="00E04783">
        <w:rPr>
          <w:rFonts w:ascii="Lato" w:hAnsi="Lato"/>
          <w:sz w:val="24"/>
          <w:szCs w:val="24"/>
          <w:lang w:val="en-US"/>
        </w:rPr>
        <w:t xml:space="preserve">, </w:t>
      </w:r>
      <w:r w:rsidR="002A7961">
        <w:rPr>
          <w:rFonts w:ascii="Lato" w:hAnsi="Lato"/>
          <w:sz w:val="24"/>
          <w:szCs w:val="24"/>
          <w:lang w:val="en-US"/>
        </w:rPr>
        <w:t>‘</w:t>
      </w:r>
      <w:r w:rsidRPr="00E04783">
        <w:rPr>
          <w:rFonts w:ascii="Lato" w:hAnsi="Lato"/>
          <w:sz w:val="24"/>
          <w:szCs w:val="24"/>
          <w:lang w:val="en-US"/>
        </w:rPr>
        <w:t>nuisance</w:t>
      </w:r>
      <w:r w:rsidR="002A7961">
        <w:rPr>
          <w:rFonts w:ascii="Lato" w:hAnsi="Lato"/>
          <w:sz w:val="24"/>
          <w:szCs w:val="24"/>
          <w:lang w:val="en-US"/>
        </w:rPr>
        <w:t>’</w:t>
      </w:r>
      <w:r w:rsidRPr="00E04783">
        <w:rPr>
          <w:rFonts w:ascii="Lato" w:hAnsi="Lato"/>
          <w:sz w:val="24"/>
          <w:szCs w:val="24"/>
          <w:lang w:val="en-US"/>
        </w:rPr>
        <w:t xml:space="preserve">, </w:t>
      </w:r>
      <w:r w:rsidR="002A7961">
        <w:rPr>
          <w:rFonts w:ascii="Lato" w:hAnsi="Lato"/>
          <w:sz w:val="24"/>
          <w:szCs w:val="24"/>
          <w:lang w:val="en-US"/>
        </w:rPr>
        <w:t>‘</w:t>
      </w:r>
      <w:r w:rsidRPr="00E04783">
        <w:rPr>
          <w:rFonts w:ascii="Lato" w:hAnsi="Lato"/>
          <w:sz w:val="24"/>
          <w:szCs w:val="24"/>
          <w:lang w:val="en-US"/>
        </w:rPr>
        <w:t>public morality,</w:t>
      </w:r>
      <w:r w:rsidR="002A7961">
        <w:rPr>
          <w:rFonts w:ascii="Lato" w:hAnsi="Lato"/>
          <w:sz w:val="24"/>
          <w:szCs w:val="24"/>
          <w:lang w:val="en-US"/>
        </w:rPr>
        <w:t>’</w:t>
      </w:r>
      <w:r w:rsidRPr="00E04783">
        <w:rPr>
          <w:rFonts w:ascii="Lato" w:hAnsi="Lato"/>
          <w:sz w:val="24"/>
          <w:szCs w:val="24"/>
          <w:lang w:val="en-US"/>
        </w:rPr>
        <w:t xml:space="preserve"> and prostitution regulations, results in police profiling of trans women, more often trans women of </w:t>
      </w:r>
      <w:r w:rsidR="002517A7" w:rsidRPr="00E04783">
        <w:rPr>
          <w:rFonts w:ascii="Lato" w:hAnsi="Lato"/>
          <w:sz w:val="24"/>
          <w:szCs w:val="24"/>
          <w:lang w:val="en-US"/>
        </w:rPr>
        <w:t>color</w:t>
      </w:r>
      <w:r w:rsidRPr="00E04783">
        <w:rPr>
          <w:rFonts w:ascii="Lato" w:hAnsi="Lato"/>
          <w:sz w:val="24"/>
          <w:szCs w:val="24"/>
          <w:lang w:val="en-US"/>
        </w:rPr>
        <w:t xml:space="preserve"> and/or migrants, as sex workers, with selective targeting for harassment, detention, and arrest.</w:t>
      </w:r>
      <w:r w:rsidR="005D3E9C" w:rsidRPr="00E04783">
        <w:rPr>
          <w:rStyle w:val="FootnoteReference"/>
          <w:rFonts w:ascii="Lato" w:hAnsi="Lato"/>
          <w:sz w:val="24"/>
          <w:szCs w:val="24"/>
          <w:lang w:val="en-US"/>
        </w:rPr>
        <w:footnoteReference w:id="155"/>
      </w:r>
    </w:p>
    <w:p w14:paraId="02CFB773" w14:textId="58BCD56C" w:rsidR="000E0CA0" w:rsidRPr="00E04783" w:rsidRDefault="005D3E9C" w:rsidP="000E0CA0">
      <w:pPr>
        <w:jc w:val="both"/>
        <w:rPr>
          <w:rFonts w:ascii="Lato" w:hAnsi="Lato"/>
          <w:sz w:val="24"/>
          <w:szCs w:val="24"/>
          <w:lang w:val="en-US"/>
        </w:rPr>
      </w:pPr>
      <w:r w:rsidRPr="00E04783">
        <w:rPr>
          <w:rFonts w:ascii="Lato" w:hAnsi="Lato"/>
          <w:sz w:val="24"/>
          <w:szCs w:val="24"/>
          <w:lang w:val="en-US"/>
        </w:rPr>
        <w:t>R</w:t>
      </w:r>
      <w:r w:rsidR="000E0CA0" w:rsidRPr="00E04783">
        <w:rPr>
          <w:rFonts w:ascii="Lato" w:hAnsi="Lato"/>
          <w:sz w:val="24"/>
          <w:szCs w:val="24"/>
          <w:lang w:val="en-US"/>
        </w:rPr>
        <w:t xml:space="preserve">esults from the 2015 U.S. Transgender Survey showed high rates of police harassment, abuse, or mistreatment among trans people who interacted with the police either while doing sex work or who were mistakenly thought to be doing sex work, </w:t>
      </w:r>
      <w:r w:rsidR="002A7961">
        <w:rPr>
          <w:rFonts w:ascii="Lato" w:hAnsi="Lato"/>
          <w:sz w:val="24"/>
          <w:szCs w:val="24"/>
          <w:lang w:val="en-US"/>
        </w:rPr>
        <w:t>‘</w:t>
      </w:r>
      <w:r w:rsidR="000E0CA0" w:rsidRPr="00E04783">
        <w:rPr>
          <w:rFonts w:ascii="Lato" w:hAnsi="Lato"/>
          <w:sz w:val="24"/>
          <w:szCs w:val="24"/>
          <w:lang w:val="en-US"/>
        </w:rPr>
        <w:t>with nearly nine out of ten (86 per cent) reporting being harassed, attacked, sexually assaulted, or mistreated in some other way by police.</w:t>
      </w:r>
      <w:r w:rsidR="002A7961">
        <w:rPr>
          <w:rFonts w:ascii="Lato" w:hAnsi="Lato"/>
          <w:sz w:val="24"/>
          <w:szCs w:val="24"/>
          <w:lang w:val="en-US"/>
        </w:rPr>
        <w:t>’</w:t>
      </w:r>
      <w:r w:rsidR="0092012C" w:rsidRPr="00E04783">
        <w:rPr>
          <w:rStyle w:val="FootnoteReference"/>
          <w:rFonts w:ascii="Lato" w:hAnsi="Lato"/>
          <w:sz w:val="24"/>
          <w:szCs w:val="24"/>
          <w:lang w:val="en-US"/>
        </w:rPr>
        <w:footnoteReference w:id="156"/>
      </w:r>
      <w:r w:rsidR="000E0CA0" w:rsidRPr="00E04783">
        <w:rPr>
          <w:rFonts w:ascii="Lato" w:hAnsi="Lato"/>
          <w:sz w:val="24"/>
          <w:szCs w:val="24"/>
          <w:lang w:val="en-US"/>
        </w:rPr>
        <w:t xml:space="preserve"> A survey carried out in Beijing and Shanghai in China also confirms high police abuse rates among female trans sex workers. According to the results, 64% of the sex workers had been arrested and detained by the police, many of whom had been arrested more than once</w:t>
      </w:r>
      <w:r w:rsidR="0092012C" w:rsidRPr="00E04783">
        <w:rPr>
          <w:rFonts w:ascii="Lato" w:hAnsi="Lato"/>
          <w:sz w:val="24"/>
          <w:szCs w:val="24"/>
          <w:lang w:val="en-US"/>
        </w:rPr>
        <w:t>.</w:t>
      </w:r>
      <w:r w:rsidR="0092012C" w:rsidRPr="00E04783">
        <w:rPr>
          <w:rStyle w:val="FootnoteReference"/>
          <w:rFonts w:ascii="Lato" w:hAnsi="Lato"/>
          <w:sz w:val="24"/>
          <w:szCs w:val="24"/>
          <w:lang w:val="en-US"/>
        </w:rPr>
        <w:footnoteReference w:id="157"/>
      </w:r>
    </w:p>
    <w:p w14:paraId="62829C84" w14:textId="264FB607" w:rsidR="008073E1" w:rsidRPr="00E04783" w:rsidRDefault="005B5D38" w:rsidP="000E0CA0">
      <w:pPr>
        <w:jc w:val="both"/>
        <w:rPr>
          <w:rFonts w:ascii="Lato" w:hAnsi="Lato"/>
          <w:sz w:val="24"/>
          <w:szCs w:val="24"/>
          <w:lang w:val="en-US"/>
        </w:rPr>
      </w:pPr>
      <w:r w:rsidRPr="00E04783">
        <w:rPr>
          <w:rFonts w:ascii="Lato" w:hAnsi="Lato"/>
          <w:sz w:val="24"/>
          <w:szCs w:val="24"/>
          <w:lang w:val="en-US"/>
        </w:rPr>
        <w:t xml:space="preserve">Furthermore, </w:t>
      </w:r>
      <w:r w:rsidR="00E459E9" w:rsidRPr="00E04783">
        <w:rPr>
          <w:rFonts w:ascii="Lato" w:hAnsi="Lato"/>
          <w:sz w:val="24"/>
          <w:szCs w:val="24"/>
          <w:lang w:val="en-US"/>
        </w:rPr>
        <w:t xml:space="preserve">the 2022 Trans Murder Monitoring project update found that </w:t>
      </w:r>
      <w:r w:rsidR="003A0847" w:rsidRPr="00E04783">
        <w:rPr>
          <w:rFonts w:ascii="Lato" w:hAnsi="Lato"/>
          <w:sz w:val="24"/>
          <w:szCs w:val="24"/>
          <w:lang w:val="en-US"/>
        </w:rPr>
        <w:t>as of International Trans Day of Remembrance on November 1</w:t>
      </w:r>
      <w:r w:rsidR="003A0847" w:rsidRPr="00E04783">
        <w:rPr>
          <w:rFonts w:ascii="Lato" w:hAnsi="Lato"/>
          <w:sz w:val="24"/>
          <w:szCs w:val="24"/>
          <w:vertAlign w:val="superscript"/>
          <w:lang w:val="en-US"/>
        </w:rPr>
        <w:t>st</w:t>
      </w:r>
      <w:r w:rsidR="00203EA7" w:rsidRPr="00E04783">
        <w:rPr>
          <w:rFonts w:ascii="Lato" w:hAnsi="Lato"/>
          <w:sz w:val="24"/>
          <w:szCs w:val="24"/>
          <w:lang w:val="en-US"/>
        </w:rPr>
        <w:t>, 2022</w:t>
      </w:r>
      <w:r w:rsidR="003A0847" w:rsidRPr="00E04783">
        <w:rPr>
          <w:rFonts w:ascii="Lato" w:hAnsi="Lato"/>
          <w:sz w:val="24"/>
          <w:szCs w:val="24"/>
          <w:lang w:val="en-US"/>
        </w:rPr>
        <w:t xml:space="preserve">, </w:t>
      </w:r>
      <w:r w:rsidR="00E97E35" w:rsidRPr="00E04783">
        <w:rPr>
          <w:rFonts w:ascii="Lato" w:hAnsi="Lato"/>
          <w:sz w:val="24"/>
          <w:szCs w:val="24"/>
          <w:lang w:val="en-US"/>
        </w:rPr>
        <w:t xml:space="preserve">there </w:t>
      </w:r>
      <w:r w:rsidR="002933C0">
        <w:rPr>
          <w:rFonts w:ascii="Lato" w:hAnsi="Lato"/>
          <w:sz w:val="24"/>
          <w:szCs w:val="24"/>
          <w:lang w:val="en-US"/>
        </w:rPr>
        <w:t>had been</w:t>
      </w:r>
      <w:r w:rsidR="00E97E35" w:rsidRPr="00E04783">
        <w:rPr>
          <w:rFonts w:ascii="Lato" w:hAnsi="Lato"/>
          <w:sz w:val="24"/>
          <w:szCs w:val="24"/>
          <w:lang w:val="en-US"/>
        </w:rPr>
        <w:t xml:space="preserve"> 372 reported murders of trans and gender diverse people between 1</w:t>
      </w:r>
      <w:r w:rsidR="00E97E35" w:rsidRPr="00E04783">
        <w:rPr>
          <w:rFonts w:ascii="Lato" w:hAnsi="Lato"/>
          <w:sz w:val="24"/>
          <w:szCs w:val="24"/>
          <w:vertAlign w:val="superscript"/>
          <w:lang w:val="en-US"/>
        </w:rPr>
        <w:t>st</w:t>
      </w:r>
      <w:r w:rsidR="00E97E35" w:rsidRPr="00E04783">
        <w:rPr>
          <w:rFonts w:ascii="Lato" w:hAnsi="Lato"/>
          <w:sz w:val="24"/>
          <w:szCs w:val="24"/>
          <w:lang w:val="en-US"/>
        </w:rPr>
        <w:t xml:space="preserve"> October 2022 and 30 September 2022</w:t>
      </w:r>
      <w:r w:rsidR="00F737E5">
        <w:rPr>
          <w:rFonts w:ascii="Lato" w:hAnsi="Lato"/>
          <w:sz w:val="24"/>
          <w:szCs w:val="24"/>
          <w:lang w:val="en-US"/>
        </w:rPr>
        <w:t xml:space="preserve"> globally</w:t>
      </w:r>
      <w:r w:rsidR="00E97E35" w:rsidRPr="00E04783">
        <w:rPr>
          <w:rFonts w:ascii="Lato" w:hAnsi="Lato"/>
          <w:sz w:val="24"/>
          <w:szCs w:val="24"/>
          <w:lang w:val="en-US"/>
        </w:rPr>
        <w:t>; half of th</w:t>
      </w:r>
      <w:r w:rsidR="00203EA7" w:rsidRPr="00E04783">
        <w:rPr>
          <w:rFonts w:ascii="Lato" w:hAnsi="Lato"/>
          <w:sz w:val="24"/>
          <w:szCs w:val="24"/>
          <w:lang w:val="en-US"/>
        </w:rPr>
        <w:t xml:space="preserve">ose </w:t>
      </w:r>
      <w:r w:rsidR="00E97E35" w:rsidRPr="00E04783">
        <w:rPr>
          <w:rFonts w:ascii="Lato" w:hAnsi="Lato"/>
          <w:sz w:val="24"/>
          <w:szCs w:val="24"/>
          <w:lang w:val="en-US"/>
        </w:rPr>
        <w:t>reported murdered whose occupation is known were sex workers.</w:t>
      </w:r>
      <w:r w:rsidR="00D025A6" w:rsidRPr="00E04783">
        <w:rPr>
          <w:rFonts w:ascii="Lato" w:hAnsi="Lato"/>
          <w:sz w:val="24"/>
          <w:szCs w:val="24"/>
          <w:lang w:val="en-US"/>
        </w:rPr>
        <w:t xml:space="preserve"> To quote the press release update: ‘the data continues to indicate a worrying global trend when it comes to the intersections of misogyny, racism, xenophobia, and whorephobia</w:t>
      </w:r>
      <w:r w:rsidR="00A61C49" w:rsidRPr="00E04783">
        <w:rPr>
          <w:rFonts w:ascii="Lato" w:hAnsi="Lato"/>
          <w:sz w:val="24"/>
          <w:szCs w:val="24"/>
          <w:lang w:val="en-US"/>
        </w:rPr>
        <w:t xml:space="preserve">, with most victims being Black and migrant trans women of </w:t>
      </w:r>
      <w:r w:rsidR="00104970" w:rsidRPr="00E04783">
        <w:rPr>
          <w:rFonts w:ascii="Lato" w:hAnsi="Lato"/>
          <w:sz w:val="24"/>
          <w:szCs w:val="24"/>
          <w:lang w:val="en-US"/>
        </w:rPr>
        <w:t>color</w:t>
      </w:r>
      <w:r w:rsidR="00A61C49" w:rsidRPr="00E04783">
        <w:rPr>
          <w:rFonts w:ascii="Lato" w:hAnsi="Lato"/>
          <w:sz w:val="24"/>
          <w:szCs w:val="24"/>
          <w:lang w:val="en-US"/>
        </w:rPr>
        <w:t>, and trans sex workers.’</w:t>
      </w:r>
      <w:r w:rsidR="00203EA7" w:rsidRPr="00E04783">
        <w:rPr>
          <w:rStyle w:val="FootnoteReference"/>
          <w:rFonts w:ascii="Lato" w:hAnsi="Lato"/>
          <w:sz w:val="24"/>
          <w:szCs w:val="24"/>
          <w:lang w:val="en-US"/>
        </w:rPr>
        <w:footnoteReference w:id="158"/>
      </w:r>
    </w:p>
    <w:p w14:paraId="7748A216" w14:textId="09D0EC7E" w:rsidR="005168EF" w:rsidRPr="00E04783" w:rsidRDefault="005F7730" w:rsidP="005168EF">
      <w:pPr>
        <w:pStyle w:val="Heading3"/>
        <w:rPr>
          <w:lang w:val="en-US"/>
        </w:rPr>
      </w:pPr>
      <w:bookmarkStart w:id="12" w:name="_Toc147244626"/>
      <w:r w:rsidRPr="00E04783">
        <w:rPr>
          <w:lang w:val="en-US"/>
        </w:rPr>
        <w:lastRenderedPageBreak/>
        <w:t xml:space="preserve">2.2.4 </w:t>
      </w:r>
      <w:r w:rsidR="005168EF" w:rsidRPr="00E04783">
        <w:rPr>
          <w:lang w:val="en-US"/>
        </w:rPr>
        <w:t>Spotlight on Peru: Contribution from Más Igualdad Perú</w:t>
      </w:r>
      <w:bookmarkEnd w:id="12"/>
    </w:p>
    <w:p w14:paraId="43A9CBE6" w14:textId="77416C90" w:rsidR="00AB6F2B" w:rsidRPr="00E04783" w:rsidRDefault="00AB6F2B" w:rsidP="00DA5C0C">
      <w:pPr>
        <w:jc w:val="both"/>
        <w:rPr>
          <w:lang w:val="en-US"/>
        </w:rPr>
      </w:pPr>
      <w:r w:rsidRPr="00E04783">
        <w:rPr>
          <w:rFonts w:ascii="Lato" w:hAnsi="Lato"/>
          <w:i/>
          <w:iCs/>
          <w:sz w:val="24"/>
          <w:szCs w:val="24"/>
          <w:lang w:val="en-US"/>
        </w:rPr>
        <w:t xml:space="preserve">The following text has been </w:t>
      </w:r>
      <w:r w:rsidR="009113B2" w:rsidRPr="00E04783">
        <w:rPr>
          <w:rFonts w:ascii="Lato" w:hAnsi="Lato"/>
          <w:i/>
          <w:iCs/>
          <w:sz w:val="24"/>
          <w:szCs w:val="24"/>
          <w:lang w:val="en-US"/>
        </w:rPr>
        <w:t>provided by</w:t>
      </w:r>
      <w:r w:rsidRPr="00E04783">
        <w:rPr>
          <w:rFonts w:ascii="Lato" w:hAnsi="Lato"/>
          <w:i/>
          <w:iCs/>
          <w:sz w:val="24"/>
          <w:szCs w:val="24"/>
          <w:lang w:val="en-US"/>
        </w:rPr>
        <w:t xml:space="preserve"> </w:t>
      </w:r>
      <w:hyperlink r:id="rId14" w:history="1">
        <w:r w:rsidRPr="00E04783">
          <w:rPr>
            <w:rStyle w:val="Hyperlink"/>
            <w:rFonts w:ascii="Lato" w:hAnsi="Lato"/>
            <w:i/>
            <w:iCs/>
            <w:sz w:val="24"/>
            <w:szCs w:val="24"/>
            <w:lang w:val="en-US"/>
          </w:rPr>
          <w:t>Más Igualdad Peru</w:t>
        </w:r>
      </w:hyperlink>
      <w:r w:rsidRPr="00E04783">
        <w:rPr>
          <w:rFonts w:ascii="Lato" w:hAnsi="Lato"/>
          <w:i/>
          <w:iCs/>
          <w:sz w:val="24"/>
          <w:szCs w:val="24"/>
          <w:lang w:val="en-US"/>
        </w:rPr>
        <w:t xml:space="preserve">, </w:t>
      </w:r>
      <w:r w:rsidR="009113B2" w:rsidRPr="00E04783">
        <w:rPr>
          <w:rFonts w:ascii="Lato" w:hAnsi="Lato"/>
          <w:i/>
          <w:iCs/>
          <w:sz w:val="24"/>
          <w:szCs w:val="24"/>
          <w:lang w:val="en-US"/>
        </w:rPr>
        <w:t xml:space="preserve">an intersectional feminist </w:t>
      </w:r>
      <w:r w:rsidR="00E10314" w:rsidRPr="00E04783">
        <w:rPr>
          <w:rFonts w:ascii="Lato" w:hAnsi="Lato"/>
          <w:i/>
          <w:iCs/>
          <w:sz w:val="24"/>
          <w:szCs w:val="24"/>
          <w:lang w:val="en-US"/>
        </w:rPr>
        <w:t>organization</w:t>
      </w:r>
      <w:r w:rsidR="009113B2" w:rsidRPr="00E04783">
        <w:rPr>
          <w:rFonts w:ascii="Lato" w:hAnsi="Lato"/>
          <w:i/>
          <w:iCs/>
          <w:sz w:val="24"/>
          <w:szCs w:val="24"/>
          <w:lang w:val="en-US"/>
        </w:rPr>
        <w:t xml:space="preserve"> that works for the visibility and rights of LGBTIQ+ people in Peru</w:t>
      </w:r>
      <w:r w:rsidR="009113B2" w:rsidRPr="00E04783">
        <w:rPr>
          <w:rFonts w:ascii="Lato" w:hAnsi="Lato"/>
          <w:sz w:val="24"/>
          <w:szCs w:val="24"/>
          <w:lang w:val="en-US"/>
        </w:rPr>
        <w:t>.</w:t>
      </w:r>
    </w:p>
    <w:p w14:paraId="387F1855" w14:textId="25CF0D66" w:rsidR="005168EF" w:rsidRPr="00E04783" w:rsidRDefault="005168EF" w:rsidP="005168EF">
      <w:pPr>
        <w:jc w:val="both"/>
        <w:rPr>
          <w:rFonts w:ascii="Lato" w:hAnsi="Lato"/>
          <w:sz w:val="24"/>
          <w:szCs w:val="24"/>
          <w:lang w:val="en-US"/>
        </w:rPr>
      </w:pPr>
      <w:r w:rsidRPr="00E04783">
        <w:rPr>
          <w:rFonts w:ascii="Lato" w:hAnsi="Lato"/>
          <w:sz w:val="24"/>
          <w:szCs w:val="24"/>
          <w:lang w:val="en-US"/>
        </w:rPr>
        <w:t>LGBT</w:t>
      </w:r>
      <w:r w:rsidR="00526A7F">
        <w:rPr>
          <w:rFonts w:ascii="Lato" w:hAnsi="Lato"/>
          <w:sz w:val="24"/>
          <w:szCs w:val="24"/>
          <w:lang w:val="en-US"/>
        </w:rPr>
        <w:t>I</w:t>
      </w:r>
      <w:r w:rsidRPr="00E04783">
        <w:rPr>
          <w:rFonts w:ascii="Lato" w:hAnsi="Lato"/>
          <w:sz w:val="24"/>
          <w:szCs w:val="24"/>
          <w:lang w:val="en-US"/>
        </w:rPr>
        <w:t xml:space="preserve"> people in Peru are exposed to increased rates of experiencing homelessness and extreme poverty due to their sexual orientation and gender identity and expression. For queer, </w:t>
      </w:r>
      <w:r w:rsidR="00104970" w:rsidRPr="00E04783">
        <w:rPr>
          <w:rFonts w:ascii="Lato" w:hAnsi="Lato"/>
          <w:sz w:val="24"/>
          <w:szCs w:val="24"/>
          <w:lang w:val="en-US"/>
        </w:rPr>
        <w:t>transgender,</w:t>
      </w:r>
      <w:r w:rsidRPr="00E04783">
        <w:rPr>
          <w:rFonts w:ascii="Lato" w:hAnsi="Lato"/>
          <w:sz w:val="24"/>
          <w:szCs w:val="24"/>
          <w:lang w:val="en-US"/>
        </w:rPr>
        <w:t xml:space="preserve"> and non-binary people, lack of access to stable working conditions due to having identification documents that don’t reflect their social name and preferred gender pushes them to seek accommodations that require daily or weekly payments, often more expensive than in a regular monthly contract. </w:t>
      </w:r>
    </w:p>
    <w:p w14:paraId="7ED555E8" w14:textId="77777777" w:rsidR="005168EF" w:rsidRPr="00E04783" w:rsidRDefault="005168EF" w:rsidP="005168EF">
      <w:pPr>
        <w:jc w:val="both"/>
        <w:rPr>
          <w:rFonts w:ascii="Lato" w:hAnsi="Lato"/>
          <w:sz w:val="24"/>
          <w:szCs w:val="24"/>
          <w:lang w:val="en-US"/>
        </w:rPr>
      </w:pPr>
      <w:r w:rsidRPr="00E04783">
        <w:rPr>
          <w:rFonts w:ascii="Lato" w:hAnsi="Lato"/>
          <w:sz w:val="24"/>
          <w:szCs w:val="24"/>
          <w:lang w:val="en-US"/>
        </w:rPr>
        <w:t xml:space="preserve">Additionally, discriminatory ideas about sexual orientation and gender expression still affect lesbian, gay and bisexual people in the search for housing. This is especially notorious when a same-sex couple is looking to rent housing. Landlords and rental administrators can impose harsher conditions to same-sex couples in an attempt to discourage them from going forward with the rental, such as greater number of payments as security deposits or advanced payments, which has an important impact in the financial capabilities of LGBTIQ+ tenants. </w:t>
      </w:r>
    </w:p>
    <w:p w14:paraId="594DAE19" w14:textId="3500A1B9" w:rsidR="005168EF" w:rsidRPr="00E04783" w:rsidRDefault="005168EF" w:rsidP="005168EF">
      <w:pPr>
        <w:jc w:val="both"/>
        <w:rPr>
          <w:rFonts w:ascii="Lato" w:hAnsi="Lato"/>
          <w:sz w:val="24"/>
          <w:szCs w:val="24"/>
          <w:lang w:val="en-US"/>
        </w:rPr>
      </w:pPr>
      <w:r w:rsidRPr="00E04783">
        <w:rPr>
          <w:rFonts w:ascii="Lato" w:hAnsi="Lato"/>
          <w:sz w:val="24"/>
          <w:szCs w:val="24"/>
          <w:lang w:val="en-US"/>
        </w:rPr>
        <w:t>We have received information on several cases of transgender individuals who have been threatened with eviction for unpaid rents due to the inability to find and maintain stable jobs. In one case, LGBTIQ+ organizations had to put in place an emergency campaign to support a transgender activist that was in the verge of eviction so that supporters could donate money to prevent this eviction. Like this case, there are many others, especially related to transgender and non-binary people and activists, that require support from civil society organizations. This is because there are no refuges or public accommodation houses that allow transgender people to spend the night in them, since it’s mainly oriented to serve women victims of domestic violence.</w:t>
      </w:r>
    </w:p>
    <w:p w14:paraId="141CE900" w14:textId="364D0551" w:rsidR="005168EF" w:rsidRPr="00E04783" w:rsidRDefault="005168EF" w:rsidP="005168EF">
      <w:pPr>
        <w:jc w:val="both"/>
        <w:rPr>
          <w:rFonts w:ascii="Lato" w:hAnsi="Lato"/>
          <w:sz w:val="24"/>
          <w:szCs w:val="24"/>
          <w:lang w:val="en-US"/>
        </w:rPr>
      </w:pPr>
      <w:r w:rsidRPr="00E04783">
        <w:rPr>
          <w:rFonts w:ascii="Lato" w:hAnsi="Lato"/>
          <w:sz w:val="24"/>
          <w:szCs w:val="24"/>
          <w:lang w:val="en-US"/>
        </w:rPr>
        <w:t xml:space="preserve">In the last few years, there have been two notorious cases of gay men that have been evicted from their residence after the death of their same-sex partner, this </w:t>
      </w:r>
      <w:r w:rsidR="00C805BD">
        <w:rPr>
          <w:rFonts w:ascii="Lato" w:hAnsi="Lato"/>
          <w:sz w:val="24"/>
          <w:szCs w:val="24"/>
          <w:lang w:val="en-US"/>
        </w:rPr>
        <w:t xml:space="preserve">is </w:t>
      </w:r>
      <w:r w:rsidRPr="00E04783">
        <w:rPr>
          <w:rFonts w:ascii="Lato" w:hAnsi="Lato"/>
          <w:sz w:val="24"/>
          <w:szCs w:val="24"/>
          <w:lang w:val="en-US"/>
        </w:rPr>
        <w:t xml:space="preserve">because in Peru there are no laws that guarantee fundamental rights for same-sex couples. In the case of </w:t>
      </w:r>
      <w:hyperlink r:id="rId15" w:history="1">
        <w:r w:rsidRPr="00E04783">
          <w:rPr>
            <w:rStyle w:val="Hyperlink"/>
            <w:rFonts w:ascii="Lato" w:hAnsi="Lato"/>
            <w:sz w:val="24"/>
            <w:szCs w:val="24"/>
            <w:lang w:val="en-US"/>
          </w:rPr>
          <w:t>Armando Zorrilla</w:t>
        </w:r>
      </w:hyperlink>
      <w:r w:rsidRPr="00E04783">
        <w:rPr>
          <w:rFonts w:ascii="Lato" w:hAnsi="Lato"/>
          <w:sz w:val="24"/>
          <w:szCs w:val="24"/>
          <w:lang w:val="en-US"/>
        </w:rPr>
        <w:t xml:space="preserve">, after the death of his partner of 26 years, his partner’s sons decided to take possession of all of the properties registered under their father’s name, even if they were acquired with funds from both Alejandro and Armando. This included an independent room that Armando requested to keep. After this, Armando is litigating the post-mortem recognition of their same-sex union with the help of Promsex. </w:t>
      </w:r>
    </w:p>
    <w:p w14:paraId="34235867" w14:textId="77777777" w:rsidR="005168EF" w:rsidRPr="00E04783" w:rsidRDefault="005168EF" w:rsidP="005168EF">
      <w:pPr>
        <w:jc w:val="both"/>
        <w:rPr>
          <w:rFonts w:ascii="Lato" w:hAnsi="Lato"/>
          <w:sz w:val="24"/>
          <w:szCs w:val="24"/>
          <w:lang w:val="en-US"/>
        </w:rPr>
      </w:pPr>
      <w:r w:rsidRPr="00E04783">
        <w:rPr>
          <w:rFonts w:ascii="Lato" w:hAnsi="Lato"/>
          <w:sz w:val="24"/>
          <w:szCs w:val="24"/>
          <w:lang w:val="en-US"/>
        </w:rPr>
        <w:t xml:space="preserve">In the case of </w:t>
      </w:r>
      <w:hyperlink r:id="rId16" w:history="1">
        <w:r w:rsidRPr="00E04783">
          <w:rPr>
            <w:rStyle w:val="Hyperlink"/>
            <w:rFonts w:ascii="Lato" w:hAnsi="Lato"/>
            <w:sz w:val="24"/>
            <w:szCs w:val="24"/>
            <w:lang w:val="en-US"/>
          </w:rPr>
          <w:t>Jonathan Huamaní</w:t>
        </w:r>
      </w:hyperlink>
      <w:r w:rsidRPr="00E04783">
        <w:rPr>
          <w:rFonts w:ascii="Lato" w:hAnsi="Lato"/>
          <w:sz w:val="24"/>
          <w:szCs w:val="24"/>
          <w:lang w:val="en-US"/>
        </w:rPr>
        <w:t>, he and his partner, former Minister of Culture and a renowned cultural promoter, Luis Repetto, lived for 8 years in Repetto’s apartment in Miraflores. After Repetto’s death, his family violently evicted Jonathan from the residence, after which Jonathan reported this action to the Police and also reported the stealing of his personal belongings. Jonathan has not been allowed to return to the apartment ever since.</w:t>
      </w:r>
    </w:p>
    <w:p w14:paraId="30E25E4E" w14:textId="2F0420D3" w:rsidR="005168EF" w:rsidRPr="00E04783" w:rsidRDefault="005168EF" w:rsidP="00152F62">
      <w:pPr>
        <w:jc w:val="both"/>
        <w:rPr>
          <w:rFonts w:ascii="Lato" w:hAnsi="Lato"/>
          <w:sz w:val="24"/>
          <w:szCs w:val="24"/>
          <w:lang w:val="en-US"/>
        </w:rPr>
      </w:pPr>
      <w:r w:rsidRPr="00E04783">
        <w:rPr>
          <w:rFonts w:ascii="Lato" w:hAnsi="Lato"/>
          <w:sz w:val="24"/>
          <w:szCs w:val="24"/>
          <w:lang w:val="en-US"/>
        </w:rPr>
        <w:lastRenderedPageBreak/>
        <w:t xml:space="preserve">During the COVID-19 pandemic quarantines, </w:t>
      </w:r>
      <w:r w:rsidR="00D4794D">
        <w:rPr>
          <w:rFonts w:ascii="Lato" w:hAnsi="Lato"/>
          <w:sz w:val="24"/>
          <w:szCs w:val="24"/>
          <w:lang w:val="en-US"/>
        </w:rPr>
        <w:t xml:space="preserve">Más Igualdad Perú </w:t>
      </w:r>
      <w:r w:rsidRPr="00E04783">
        <w:rPr>
          <w:rFonts w:ascii="Lato" w:hAnsi="Lato"/>
          <w:sz w:val="24"/>
          <w:szCs w:val="24"/>
          <w:lang w:val="en-US"/>
        </w:rPr>
        <w:t xml:space="preserve">received numerous reports of transgender and non-binary people that, due to the immobility orders across the country, were unable to provide food and shelter for themselves and their families. In response, Más Igualdad organized a </w:t>
      </w:r>
      <w:hyperlink r:id="rId17" w:history="1">
        <w:r w:rsidRPr="00E04783">
          <w:rPr>
            <w:rStyle w:val="Hyperlink"/>
            <w:rFonts w:ascii="Lato" w:hAnsi="Lato"/>
            <w:sz w:val="24"/>
            <w:szCs w:val="24"/>
            <w:lang w:val="en-US"/>
          </w:rPr>
          <w:t>widespread donation campaign</w:t>
        </w:r>
      </w:hyperlink>
      <w:r w:rsidRPr="00E04783">
        <w:rPr>
          <w:rFonts w:ascii="Lato" w:hAnsi="Lato"/>
          <w:sz w:val="24"/>
          <w:szCs w:val="24"/>
          <w:lang w:val="en-US"/>
        </w:rPr>
        <w:t xml:space="preserve">, in coalition with Féminas, Diversidades Transmasculinas and the </w:t>
      </w:r>
      <w:r w:rsidR="00D4794D">
        <w:rPr>
          <w:rFonts w:ascii="Lato" w:hAnsi="Lato"/>
          <w:sz w:val="24"/>
          <w:szCs w:val="24"/>
          <w:lang w:val="en-US"/>
        </w:rPr>
        <w:t>individual trans activists</w:t>
      </w:r>
      <w:r w:rsidRPr="00E04783">
        <w:rPr>
          <w:rFonts w:ascii="Lato" w:hAnsi="Lato"/>
          <w:sz w:val="24"/>
          <w:szCs w:val="24"/>
          <w:lang w:val="en-US"/>
        </w:rPr>
        <w:t xml:space="preserve">, aimed at receiving and distributing funds to transgender and non-binary people to be used to buy food, personal items, and pay rent. As a result, </w:t>
      </w:r>
      <w:r w:rsidR="00D4794D">
        <w:rPr>
          <w:rFonts w:ascii="Lato" w:hAnsi="Lato"/>
          <w:sz w:val="24"/>
          <w:szCs w:val="24"/>
          <w:lang w:val="en-US"/>
        </w:rPr>
        <w:t>they</w:t>
      </w:r>
      <w:r w:rsidRPr="00E04783">
        <w:rPr>
          <w:rFonts w:ascii="Lato" w:hAnsi="Lato"/>
          <w:sz w:val="24"/>
          <w:szCs w:val="24"/>
          <w:lang w:val="en-US"/>
        </w:rPr>
        <w:t xml:space="preserve"> were able to benefit 433 people that could not benefit from the stimulus program implemented by the Government.</w:t>
      </w:r>
    </w:p>
    <w:p w14:paraId="718230AE" w14:textId="0E6F6689" w:rsidR="008840E1" w:rsidRDefault="00ED24A5" w:rsidP="00D57627">
      <w:pPr>
        <w:pStyle w:val="Heading1"/>
        <w:jc w:val="both"/>
        <w:rPr>
          <w:lang w:val="en-US"/>
        </w:rPr>
      </w:pPr>
      <w:bookmarkStart w:id="13" w:name="_Toc147244627"/>
      <w:r w:rsidRPr="00E04783">
        <w:rPr>
          <w:lang w:val="en-US"/>
        </w:rPr>
        <w:t xml:space="preserve">3. Future Inclusion: </w:t>
      </w:r>
      <w:r w:rsidR="00900884" w:rsidRPr="00E04783">
        <w:rPr>
          <w:lang w:val="en-US"/>
        </w:rPr>
        <w:t xml:space="preserve">Examples of Initiatives </w:t>
      </w:r>
      <w:r w:rsidR="007D74C0" w:rsidRPr="00E04783">
        <w:rPr>
          <w:lang w:val="en-US"/>
        </w:rPr>
        <w:t>for Social Inclusion that focus on SOGIESC Homelessness</w:t>
      </w:r>
      <w:bookmarkEnd w:id="13"/>
    </w:p>
    <w:p w14:paraId="5F2F55A5" w14:textId="349BE366" w:rsidR="000750B7" w:rsidRPr="001E7FA6" w:rsidRDefault="000750B7" w:rsidP="00500E5A">
      <w:pPr>
        <w:jc w:val="both"/>
        <w:rPr>
          <w:rFonts w:ascii="Lato" w:hAnsi="Lato"/>
          <w:sz w:val="24"/>
          <w:szCs w:val="24"/>
          <w:lang w:val="en-US"/>
        </w:rPr>
      </w:pPr>
      <w:r w:rsidRPr="001E7FA6">
        <w:rPr>
          <w:rFonts w:ascii="Lato" w:hAnsi="Lato"/>
          <w:sz w:val="24"/>
          <w:szCs w:val="24"/>
          <w:lang w:val="en-US"/>
        </w:rPr>
        <w:t xml:space="preserve">The following section </w:t>
      </w:r>
      <w:r w:rsidR="001E7FA6">
        <w:rPr>
          <w:rFonts w:ascii="Lato" w:hAnsi="Lato"/>
          <w:sz w:val="24"/>
          <w:szCs w:val="24"/>
          <w:lang w:val="en-US"/>
        </w:rPr>
        <w:t xml:space="preserve">outlines </w:t>
      </w:r>
      <w:r w:rsidR="00500E5A">
        <w:rPr>
          <w:rFonts w:ascii="Lato" w:hAnsi="Lato"/>
          <w:sz w:val="24"/>
          <w:szCs w:val="24"/>
          <w:lang w:val="en-US"/>
        </w:rPr>
        <w:t>several</w:t>
      </w:r>
      <w:r w:rsidR="001E7FA6">
        <w:rPr>
          <w:rFonts w:ascii="Lato" w:hAnsi="Lato"/>
          <w:sz w:val="24"/>
          <w:szCs w:val="24"/>
          <w:lang w:val="en-US"/>
        </w:rPr>
        <w:t xml:space="preserve"> measures and services available at the national, </w:t>
      </w:r>
      <w:r w:rsidR="008B71EE">
        <w:rPr>
          <w:rFonts w:ascii="Lato" w:hAnsi="Lato"/>
          <w:sz w:val="24"/>
          <w:szCs w:val="24"/>
          <w:lang w:val="en-US"/>
        </w:rPr>
        <w:t>regional,</w:t>
      </w:r>
      <w:r w:rsidR="001E7FA6">
        <w:rPr>
          <w:rFonts w:ascii="Lato" w:hAnsi="Lato"/>
          <w:sz w:val="24"/>
          <w:szCs w:val="24"/>
          <w:lang w:val="en-US"/>
        </w:rPr>
        <w:t xml:space="preserve"> or municipal level to support LGBTI people living in poverty and in situations of vulnerability from having to resort to begging, sleeping, washing, defecating or performing other hygienic activities in public spaces because they lack access to employment, social assistance, adequate housing, public showers and toilets.</w:t>
      </w:r>
      <w:r w:rsidR="00B02260">
        <w:rPr>
          <w:rStyle w:val="FootnoteReference"/>
          <w:rFonts w:ascii="Lato" w:hAnsi="Lato"/>
          <w:sz w:val="24"/>
          <w:szCs w:val="24"/>
          <w:lang w:val="en-US"/>
        </w:rPr>
        <w:footnoteReference w:id="159"/>
      </w:r>
    </w:p>
    <w:p w14:paraId="37C504CD" w14:textId="0BCDCB80" w:rsidR="003F4590" w:rsidRPr="00E04783" w:rsidRDefault="00157754" w:rsidP="00D57627">
      <w:pPr>
        <w:pStyle w:val="Heading2"/>
        <w:rPr>
          <w:lang w:val="en-US"/>
        </w:rPr>
      </w:pPr>
      <w:bookmarkStart w:id="14" w:name="_Toc147244628"/>
      <w:r>
        <w:rPr>
          <w:lang w:val="en-US"/>
        </w:rPr>
        <w:t xml:space="preserve">3.1 </w:t>
      </w:r>
      <w:r w:rsidR="008840E1" w:rsidRPr="00E04783">
        <w:rPr>
          <w:lang w:val="en-US"/>
        </w:rPr>
        <w:t>Belgium</w:t>
      </w:r>
      <w:r w:rsidR="003F4590" w:rsidRPr="00E04783">
        <w:rPr>
          <w:lang w:val="en-US"/>
        </w:rPr>
        <w:t>: Refuge Bruxelles</w:t>
      </w:r>
      <w:bookmarkEnd w:id="14"/>
    </w:p>
    <w:p w14:paraId="31A12470" w14:textId="5FD0A0AD" w:rsidR="003F4590" w:rsidRPr="00E04783" w:rsidRDefault="003F4590" w:rsidP="005F718C">
      <w:pPr>
        <w:jc w:val="both"/>
        <w:rPr>
          <w:rFonts w:ascii="Lato" w:hAnsi="Lato"/>
          <w:sz w:val="24"/>
          <w:szCs w:val="24"/>
          <w:vertAlign w:val="superscript"/>
          <w:lang w:val="en-US"/>
        </w:rPr>
      </w:pPr>
      <w:r w:rsidRPr="00E04783">
        <w:rPr>
          <w:rFonts w:ascii="Lato" w:hAnsi="Lato"/>
          <w:sz w:val="24"/>
          <w:szCs w:val="24"/>
          <w:lang w:val="en-US"/>
        </w:rPr>
        <w:t>Refuge Bruxelles</w:t>
      </w:r>
      <w:r w:rsidR="00B71141" w:rsidRPr="00E04783">
        <w:rPr>
          <w:rFonts w:ascii="Lato" w:hAnsi="Lato"/>
          <w:sz w:val="24"/>
          <w:szCs w:val="24"/>
          <w:lang w:val="en-US"/>
        </w:rPr>
        <w:t xml:space="preserve"> </w:t>
      </w:r>
      <w:r w:rsidR="002E0DB5" w:rsidRPr="00E04783">
        <w:rPr>
          <w:rFonts w:ascii="Lato" w:hAnsi="Lato"/>
          <w:sz w:val="24"/>
          <w:szCs w:val="24"/>
          <w:lang w:val="en-US"/>
        </w:rPr>
        <w:t xml:space="preserve">provides accommodation and support for people aged 18 – 25 with diverse sexual orientation and gender identities. </w:t>
      </w:r>
      <w:r w:rsidR="005F718C" w:rsidRPr="00E04783">
        <w:rPr>
          <w:rFonts w:ascii="Lato" w:hAnsi="Lato"/>
          <w:sz w:val="24"/>
          <w:szCs w:val="24"/>
          <w:lang w:val="en-US"/>
        </w:rPr>
        <w:t>Refuge Bruxelles started in 2018, and now has approximately 30 emergency and post-refuge accommodation places.</w:t>
      </w:r>
      <w:r w:rsidR="005F718C" w:rsidRPr="00E04783">
        <w:rPr>
          <w:rFonts w:ascii="Lato" w:hAnsi="Lato"/>
          <w:sz w:val="24"/>
          <w:szCs w:val="24"/>
          <w:vertAlign w:val="superscript"/>
          <w:lang w:val="en-US"/>
        </w:rPr>
        <w:t xml:space="preserve"> </w:t>
      </w:r>
      <w:r w:rsidR="00B42EFB" w:rsidRPr="00E04783">
        <w:rPr>
          <w:rFonts w:ascii="Lato" w:hAnsi="Lato"/>
          <w:sz w:val="24"/>
          <w:szCs w:val="24"/>
          <w:lang w:val="en-US"/>
        </w:rPr>
        <w:t>The Refuge offer</w:t>
      </w:r>
      <w:r w:rsidR="005A5434">
        <w:rPr>
          <w:rFonts w:ascii="Lato" w:hAnsi="Lato"/>
          <w:sz w:val="24"/>
          <w:szCs w:val="24"/>
          <w:lang w:val="en-US"/>
        </w:rPr>
        <w:t>s</w:t>
      </w:r>
      <w:r w:rsidR="00B42EFB" w:rsidRPr="00E04783">
        <w:rPr>
          <w:rFonts w:ascii="Lato" w:hAnsi="Lato"/>
          <w:sz w:val="24"/>
          <w:szCs w:val="24"/>
          <w:lang w:val="en-US"/>
        </w:rPr>
        <w:t xml:space="preserve"> </w:t>
      </w:r>
      <w:r w:rsidR="00C240E8" w:rsidRPr="00E04783">
        <w:rPr>
          <w:rFonts w:ascii="Lato" w:hAnsi="Lato"/>
          <w:sz w:val="24"/>
          <w:szCs w:val="24"/>
          <w:lang w:val="en-US"/>
        </w:rPr>
        <w:t>emergency accommodation for up to three months</w:t>
      </w:r>
      <w:r w:rsidR="00162024" w:rsidRPr="00E04783">
        <w:rPr>
          <w:rFonts w:ascii="Lato" w:hAnsi="Lato"/>
          <w:sz w:val="24"/>
          <w:szCs w:val="24"/>
          <w:lang w:val="en-US"/>
        </w:rPr>
        <w:t xml:space="preserve">, </w:t>
      </w:r>
      <w:r w:rsidR="009622F4" w:rsidRPr="00E04783">
        <w:rPr>
          <w:rFonts w:ascii="Lato" w:hAnsi="Lato"/>
          <w:sz w:val="24"/>
          <w:szCs w:val="24"/>
          <w:lang w:val="en-US"/>
        </w:rPr>
        <w:t>and</w:t>
      </w:r>
      <w:r w:rsidR="00162024" w:rsidRPr="00E04783">
        <w:rPr>
          <w:rFonts w:ascii="Lato" w:hAnsi="Lato"/>
          <w:sz w:val="24"/>
          <w:szCs w:val="24"/>
          <w:lang w:val="en-US"/>
        </w:rPr>
        <w:t xml:space="preserve"> offers support for access to social support like physical and mental health care</w:t>
      </w:r>
      <w:r w:rsidR="00F51BB6" w:rsidRPr="00E04783">
        <w:rPr>
          <w:rFonts w:ascii="Lato" w:hAnsi="Lato"/>
          <w:sz w:val="24"/>
          <w:szCs w:val="24"/>
          <w:lang w:val="en-US"/>
        </w:rPr>
        <w:t>, social activities, help finding employment, ai</w:t>
      </w:r>
      <w:r w:rsidR="001B1E03">
        <w:rPr>
          <w:rFonts w:ascii="Lato" w:hAnsi="Lato"/>
          <w:sz w:val="24"/>
          <w:szCs w:val="24"/>
          <w:lang w:val="en-US"/>
        </w:rPr>
        <w:t>d</w:t>
      </w:r>
      <w:r w:rsidR="00F51BB6" w:rsidRPr="00E04783">
        <w:rPr>
          <w:rFonts w:ascii="Lato" w:hAnsi="Lato"/>
          <w:sz w:val="24"/>
          <w:szCs w:val="24"/>
          <w:lang w:val="en-US"/>
        </w:rPr>
        <w:t xml:space="preserve"> in finding accommodation and support in continuing education or studies.</w:t>
      </w:r>
      <w:r w:rsidR="00F51BB6" w:rsidRPr="00E04783">
        <w:rPr>
          <w:rFonts w:ascii="Lato" w:hAnsi="Lato"/>
          <w:sz w:val="24"/>
          <w:szCs w:val="24"/>
          <w:vertAlign w:val="superscript"/>
          <w:lang w:val="en-US"/>
        </w:rPr>
        <w:t xml:space="preserve"> </w:t>
      </w:r>
      <w:r w:rsidR="00F51BB6" w:rsidRPr="00E04783">
        <w:rPr>
          <w:rFonts w:ascii="Lato" w:hAnsi="Lato"/>
          <w:sz w:val="24"/>
          <w:szCs w:val="24"/>
          <w:vertAlign w:val="superscript"/>
          <w:lang w:val="en-US"/>
        </w:rPr>
        <w:footnoteReference w:id="160"/>
      </w:r>
      <w:r w:rsidR="00B03386" w:rsidRPr="00E04783">
        <w:rPr>
          <w:rFonts w:ascii="Lato" w:hAnsi="Lato"/>
          <w:sz w:val="24"/>
          <w:szCs w:val="24"/>
          <w:vertAlign w:val="superscript"/>
          <w:lang w:val="en-US"/>
        </w:rPr>
        <w:t xml:space="preserve"> </w:t>
      </w:r>
      <w:r w:rsidR="00672DBD" w:rsidRPr="00E04783">
        <w:rPr>
          <w:rFonts w:ascii="Lato" w:hAnsi="Lato"/>
          <w:sz w:val="24"/>
          <w:szCs w:val="24"/>
          <w:lang w:val="en-US"/>
        </w:rPr>
        <w:t>Since 2018, the refuge has seen incredible growth in demand</w:t>
      </w:r>
      <w:r w:rsidR="00D15A92" w:rsidRPr="00E04783">
        <w:rPr>
          <w:rFonts w:ascii="Lato" w:hAnsi="Lato"/>
          <w:sz w:val="24"/>
          <w:szCs w:val="24"/>
          <w:lang w:val="en-US"/>
        </w:rPr>
        <w:t xml:space="preserve">; in 2022, 32 people were accommodated and 143 people received support, there were many other people who had to be turned away due to the refuge’s </w:t>
      </w:r>
      <w:r w:rsidR="00BE2B89" w:rsidRPr="00E04783">
        <w:rPr>
          <w:rFonts w:ascii="Lato" w:hAnsi="Lato"/>
          <w:sz w:val="24"/>
          <w:szCs w:val="24"/>
          <w:lang w:val="en-US"/>
        </w:rPr>
        <w:t>capacity.</w:t>
      </w:r>
      <w:r w:rsidR="00BE2B89" w:rsidRPr="00E04783">
        <w:rPr>
          <w:rStyle w:val="FootnoteReference"/>
          <w:rFonts w:ascii="Lato" w:hAnsi="Lato"/>
          <w:sz w:val="24"/>
          <w:szCs w:val="24"/>
          <w:lang w:val="en-US"/>
        </w:rPr>
        <w:footnoteReference w:id="161"/>
      </w:r>
      <w:r w:rsidR="00BE2B89" w:rsidRPr="00E04783">
        <w:rPr>
          <w:rFonts w:ascii="Lato" w:hAnsi="Lato"/>
          <w:sz w:val="24"/>
          <w:szCs w:val="24"/>
          <w:lang w:val="en-US"/>
        </w:rPr>
        <w:t xml:space="preserve"> </w:t>
      </w:r>
      <w:r w:rsidR="00FA5256" w:rsidRPr="00E04783">
        <w:rPr>
          <w:rFonts w:ascii="Lato" w:hAnsi="Lato"/>
          <w:sz w:val="24"/>
          <w:szCs w:val="24"/>
          <w:lang w:val="en-US"/>
        </w:rPr>
        <w:t>Due to the</w:t>
      </w:r>
      <w:r w:rsidR="00BE2B89" w:rsidRPr="00E04783">
        <w:rPr>
          <w:rFonts w:ascii="Lato" w:hAnsi="Lato"/>
          <w:sz w:val="24"/>
          <w:szCs w:val="24"/>
          <w:lang w:val="en-US"/>
        </w:rPr>
        <w:t xml:space="preserve"> lack of data collected in Belgiu</w:t>
      </w:r>
      <w:r w:rsidR="00FA5256" w:rsidRPr="00E04783">
        <w:rPr>
          <w:rFonts w:ascii="Lato" w:hAnsi="Lato"/>
          <w:sz w:val="24"/>
          <w:szCs w:val="24"/>
          <w:lang w:val="en-US"/>
        </w:rPr>
        <w:t>m on this topic, t</w:t>
      </w:r>
      <w:r w:rsidR="005435DD" w:rsidRPr="00E04783">
        <w:rPr>
          <w:rFonts w:ascii="Lato" w:hAnsi="Lato"/>
          <w:sz w:val="24"/>
          <w:szCs w:val="24"/>
          <w:lang w:val="en-US"/>
        </w:rPr>
        <w:t xml:space="preserve">he </w:t>
      </w:r>
      <w:r w:rsidR="005A5434" w:rsidRPr="00E04783">
        <w:rPr>
          <w:rFonts w:ascii="Lato" w:hAnsi="Lato"/>
          <w:sz w:val="24"/>
          <w:szCs w:val="24"/>
          <w:lang w:val="en-US"/>
        </w:rPr>
        <w:t>organization</w:t>
      </w:r>
      <w:r w:rsidR="00883BD7" w:rsidRPr="00E04783">
        <w:rPr>
          <w:rFonts w:ascii="Lato" w:hAnsi="Lato"/>
          <w:sz w:val="24"/>
          <w:szCs w:val="24"/>
          <w:lang w:val="en-US"/>
        </w:rPr>
        <w:t xml:space="preserve"> </w:t>
      </w:r>
      <w:r w:rsidR="005435DD" w:rsidRPr="00E04783">
        <w:rPr>
          <w:rFonts w:ascii="Lato" w:hAnsi="Lato"/>
          <w:sz w:val="24"/>
          <w:szCs w:val="24"/>
          <w:lang w:val="en-US"/>
        </w:rPr>
        <w:t>advocat</w:t>
      </w:r>
      <w:r w:rsidR="00685655" w:rsidRPr="00E04783">
        <w:rPr>
          <w:rFonts w:ascii="Lato" w:hAnsi="Lato"/>
          <w:sz w:val="24"/>
          <w:szCs w:val="24"/>
          <w:lang w:val="en-US"/>
        </w:rPr>
        <w:t>es</w:t>
      </w:r>
      <w:r w:rsidR="005435DD" w:rsidRPr="00E04783">
        <w:rPr>
          <w:rFonts w:ascii="Lato" w:hAnsi="Lato"/>
          <w:sz w:val="24"/>
          <w:szCs w:val="24"/>
          <w:lang w:val="en-US"/>
        </w:rPr>
        <w:t xml:space="preserve"> for </w:t>
      </w:r>
      <w:r w:rsidR="00EC51E3" w:rsidRPr="00E04783">
        <w:rPr>
          <w:rFonts w:ascii="Lato" w:hAnsi="Lato"/>
          <w:sz w:val="24"/>
          <w:szCs w:val="24"/>
          <w:lang w:val="en-US"/>
        </w:rPr>
        <w:t>comprehensive research</w:t>
      </w:r>
      <w:r w:rsidR="00B03386" w:rsidRPr="00E04783">
        <w:rPr>
          <w:rFonts w:ascii="Lato" w:hAnsi="Lato"/>
          <w:sz w:val="24"/>
          <w:szCs w:val="24"/>
          <w:lang w:val="en-US"/>
        </w:rPr>
        <w:t xml:space="preserve"> </w:t>
      </w:r>
      <w:r w:rsidR="005435DD" w:rsidRPr="00E04783">
        <w:rPr>
          <w:rFonts w:ascii="Lato" w:hAnsi="Lato"/>
          <w:sz w:val="24"/>
          <w:szCs w:val="24"/>
          <w:lang w:val="en-US"/>
        </w:rPr>
        <w:t xml:space="preserve">to be </w:t>
      </w:r>
      <w:r w:rsidR="00B03386" w:rsidRPr="00E04783">
        <w:rPr>
          <w:rFonts w:ascii="Lato" w:hAnsi="Lato"/>
          <w:sz w:val="24"/>
          <w:szCs w:val="24"/>
          <w:lang w:val="en-US"/>
        </w:rPr>
        <w:t xml:space="preserve">conducted </w:t>
      </w:r>
      <w:r w:rsidR="005435DD" w:rsidRPr="00E04783">
        <w:rPr>
          <w:rFonts w:ascii="Lato" w:hAnsi="Lato"/>
          <w:sz w:val="24"/>
          <w:szCs w:val="24"/>
          <w:lang w:val="en-US"/>
        </w:rPr>
        <w:t xml:space="preserve">to </w:t>
      </w:r>
      <w:r w:rsidR="00883BD7" w:rsidRPr="00E04783">
        <w:rPr>
          <w:rFonts w:ascii="Lato" w:hAnsi="Lato"/>
          <w:sz w:val="24"/>
          <w:szCs w:val="24"/>
          <w:lang w:val="en-US"/>
        </w:rPr>
        <w:t>better understand the situation for LGBTI people who need accommodation and protection</w:t>
      </w:r>
      <w:r w:rsidR="00EC51E3" w:rsidRPr="00E04783">
        <w:rPr>
          <w:rFonts w:ascii="Lato" w:hAnsi="Lato"/>
          <w:sz w:val="24"/>
          <w:szCs w:val="24"/>
          <w:lang w:val="en-US"/>
        </w:rPr>
        <w:t xml:space="preserve">. </w:t>
      </w:r>
      <w:r w:rsidR="00EC0DA5" w:rsidRPr="00E04783">
        <w:rPr>
          <w:rFonts w:ascii="Lato" w:hAnsi="Lato"/>
          <w:sz w:val="24"/>
          <w:szCs w:val="24"/>
          <w:lang w:val="en-US"/>
        </w:rPr>
        <w:t>In their approach to sourcing data on this topic</w:t>
      </w:r>
      <w:r w:rsidR="00935AA1" w:rsidRPr="00E04783">
        <w:rPr>
          <w:rFonts w:ascii="Lato" w:hAnsi="Lato"/>
          <w:sz w:val="24"/>
          <w:szCs w:val="24"/>
          <w:lang w:val="en-US"/>
        </w:rPr>
        <w:t xml:space="preserve">, the </w:t>
      </w:r>
      <w:r w:rsidR="001B1E03" w:rsidRPr="00E04783">
        <w:rPr>
          <w:rFonts w:ascii="Lato" w:hAnsi="Lato"/>
          <w:sz w:val="24"/>
          <w:szCs w:val="24"/>
          <w:lang w:val="en-US"/>
        </w:rPr>
        <w:t>center</w:t>
      </w:r>
      <w:r w:rsidR="00935AA1" w:rsidRPr="00E04783">
        <w:rPr>
          <w:rFonts w:ascii="Lato" w:hAnsi="Lato"/>
          <w:sz w:val="24"/>
          <w:szCs w:val="24"/>
          <w:lang w:val="en-US"/>
        </w:rPr>
        <w:t xml:space="preserve"> </w:t>
      </w:r>
      <w:r w:rsidR="00EC0DA5" w:rsidRPr="00E04783">
        <w:rPr>
          <w:rFonts w:ascii="Lato" w:hAnsi="Lato"/>
          <w:sz w:val="24"/>
          <w:szCs w:val="24"/>
          <w:lang w:val="en-US"/>
        </w:rPr>
        <w:t>aim</w:t>
      </w:r>
      <w:r w:rsidR="005A5434">
        <w:rPr>
          <w:rFonts w:ascii="Lato" w:hAnsi="Lato"/>
          <w:sz w:val="24"/>
          <w:szCs w:val="24"/>
          <w:lang w:val="en-US"/>
        </w:rPr>
        <w:t>s</w:t>
      </w:r>
      <w:r w:rsidR="00EC0DA5" w:rsidRPr="00E04783">
        <w:rPr>
          <w:rFonts w:ascii="Lato" w:hAnsi="Lato"/>
          <w:sz w:val="24"/>
          <w:szCs w:val="24"/>
          <w:lang w:val="en-US"/>
        </w:rPr>
        <w:t xml:space="preserve"> to coproduce data with the communities that are affected, follow </w:t>
      </w:r>
      <w:r w:rsidR="00962745" w:rsidRPr="00E04783">
        <w:rPr>
          <w:rFonts w:ascii="Lato" w:hAnsi="Lato"/>
          <w:sz w:val="24"/>
          <w:szCs w:val="24"/>
          <w:lang w:val="en-US"/>
        </w:rPr>
        <w:t>the laws around personal data and its protection across all stages of data processes, be clear about its purpose of collecting data and how they will collect it, and maintain the principles of transparency and accountability, also.</w:t>
      </w:r>
      <w:r w:rsidR="00962745" w:rsidRPr="00E04783">
        <w:rPr>
          <w:rStyle w:val="FootnoteReference"/>
          <w:rFonts w:ascii="Lato" w:hAnsi="Lato"/>
          <w:sz w:val="24"/>
          <w:szCs w:val="24"/>
          <w:lang w:val="en-US"/>
        </w:rPr>
        <w:footnoteReference w:id="162"/>
      </w:r>
    </w:p>
    <w:p w14:paraId="036EC6C7" w14:textId="15AE50E4" w:rsidR="00F352F7" w:rsidRPr="00E04783" w:rsidRDefault="00157754" w:rsidP="00D57627">
      <w:pPr>
        <w:pStyle w:val="Heading2"/>
        <w:rPr>
          <w:lang w:val="en-US"/>
        </w:rPr>
      </w:pPr>
      <w:bookmarkStart w:id="15" w:name="_Toc147244629"/>
      <w:r>
        <w:rPr>
          <w:lang w:val="en-US"/>
        </w:rPr>
        <w:lastRenderedPageBreak/>
        <w:t xml:space="preserve">3.2 </w:t>
      </w:r>
      <w:r w:rsidR="00F352F7" w:rsidRPr="00E04783">
        <w:rPr>
          <w:lang w:val="en-US"/>
        </w:rPr>
        <w:t>Canada: National Housing Strategy</w:t>
      </w:r>
      <w:bookmarkEnd w:id="15"/>
    </w:p>
    <w:p w14:paraId="4BCC6ED3" w14:textId="31404A2B" w:rsidR="00F352F7" w:rsidRPr="00E04783" w:rsidRDefault="00F352F7" w:rsidP="00152F62">
      <w:pPr>
        <w:jc w:val="both"/>
        <w:rPr>
          <w:rFonts w:ascii="Lato" w:hAnsi="Lato"/>
          <w:sz w:val="24"/>
          <w:szCs w:val="24"/>
          <w:lang w:val="en-US"/>
        </w:rPr>
      </w:pPr>
      <w:r w:rsidRPr="00E04783">
        <w:rPr>
          <w:rFonts w:ascii="Lato" w:hAnsi="Lato"/>
          <w:sz w:val="24"/>
          <w:szCs w:val="24"/>
          <w:lang w:val="en-US"/>
        </w:rPr>
        <w:t>The Canadian Government launched the National Housing Strategy in 2018 and have dedicated billions of dollars in their attempt to reduce homelessness by 50%.</w:t>
      </w:r>
      <w:r w:rsidRPr="00E04783">
        <w:rPr>
          <w:rFonts w:ascii="Lato" w:hAnsi="Lato"/>
          <w:sz w:val="24"/>
          <w:szCs w:val="24"/>
          <w:vertAlign w:val="superscript"/>
          <w:lang w:val="en-US"/>
        </w:rPr>
        <w:footnoteReference w:id="163"/>
      </w:r>
      <w:r w:rsidRPr="00E04783">
        <w:rPr>
          <w:rFonts w:ascii="Lato" w:hAnsi="Lato"/>
          <w:sz w:val="24"/>
          <w:szCs w:val="24"/>
          <w:lang w:val="en-US"/>
        </w:rPr>
        <w:t xml:space="preserve"> This 10-year initiative aims to give people access to affordable housing to meet their needs. The strategy pledges to focus on the most vulnerable Canadians first, including </w:t>
      </w:r>
      <w:r w:rsidR="00A85BF4">
        <w:rPr>
          <w:rFonts w:ascii="Lato" w:hAnsi="Lato"/>
          <w:sz w:val="24"/>
          <w:szCs w:val="24"/>
          <w:lang w:val="en-US"/>
        </w:rPr>
        <w:t>LGBTI</w:t>
      </w:r>
      <w:r w:rsidRPr="00E04783">
        <w:rPr>
          <w:rFonts w:ascii="Lato" w:hAnsi="Lato"/>
          <w:sz w:val="24"/>
          <w:szCs w:val="24"/>
          <w:lang w:val="en-US"/>
        </w:rPr>
        <w:t xml:space="preserve"> persons, young adults, and recent immigrants, especially refugees.</w:t>
      </w:r>
      <w:r w:rsidRPr="00E04783">
        <w:rPr>
          <w:rFonts w:ascii="Lato" w:hAnsi="Lato"/>
          <w:sz w:val="24"/>
          <w:szCs w:val="24"/>
          <w:vertAlign w:val="superscript"/>
          <w:lang w:val="en-US"/>
        </w:rPr>
        <w:footnoteReference w:id="164"/>
      </w:r>
      <w:r w:rsidRPr="00E04783">
        <w:rPr>
          <w:rFonts w:ascii="Lato" w:hAnsi="Lato"/>
          <w:sz w:val="24"/>
          <w:szCs w:val="24"/>
          <w:lang w:val="en-US"/>
        </w:rPr>
        <w:t xml:space="preserve"> In Canada, it is </w:t>
      </w:r>
      <w:r w:rsidR="00A85BF4">
        <w:rPr>
          <w:rFonts w:ascii="Lato" w:hAnsi="Lato"/>
          <w:sz w:val="24"/>
          <w:szCs w:val="24"/>
          <w:lang w:val="en-US"/>
        </w:rPr>
        <w:t>LGBTI</w:t>
      </w:r>
      <w:r w:rsidRPr="00E04783">
        <w:rPr>
          <w:rFonts w:ascii="Lato" w:hAnsi="Lato"/>
          <w:sz w:val="24"/>
          <w:szCs w:val="24"/>
          <w:lang w:val="en-US"/>
        </w:rPr>
        <w:t xml:space="preserve"> youth are estimated to comprise between 25% and 40% of all homeless youth in Canada; as such, almost 1 in 3 homeless young people in Canada identify as </w:t>
      </w:r>
      <w:r w:rsidR="00A85BF4">
        <w:rPr>
          <w:rFonts w:ascii="Lato" w:hAnsi="Lato"/>
          <w:sz w:val="24"/>
          <w:szCs w:val="24"/>
          <w:lang w:val="en-US"/>
        </w:rPr>
        <w:t>LGBTI</w:t>
      </w:r>
      <w:r w:rsidRPr="00E04783">
        <w:rPr>
          <w:rFonts w:ascii="Lato" w:hAnsi="Lato"/>
          <w:sz w:val="24"/>
          <w:szCs w:val="24"/>
          <w:lang w:val="en-US"/>
        </w:rPr>
        <w:t>.</w:t>
      </w:r>
      <w:r w:rsidRPr="00E04783">
        <w:rPr>
          <w:rFonts w:ascii="Lato" w:hAnsi="Lato"/>
          <w:sz w:val="24"/>
          <w:szCs w:val="24"/>
          <w:vertAlign w:val="superscript"/>
          <w:lang w:val="en-US"/>
        </w:rPr>
        <w:footnoteReference w:id="165"/>
      </w:r>
    </w:p>
    <w:p w14:paraId="7CC466C5" w14:textId="2A1DE1C3" w:rsidR="00F352F7" w:rsidRPr="00E04783" w:rsidRDefault="00157754" w:rsidP="00D57627">
      <w:pPr>
        <w:pStyle w:val="Heading2"/>
        <w:rPr>
          <w:lang w:val="en-US"/>
        </w:rPr>
      </w:pPr>
      <w:bookmarkStart w:id="16" w:name="_Toc147244630"/>
      <w:r>
        <w:rPr>
          <w:lang w:val="en-US"/>
        </w:rPr>
        <w:t xml:space="preserve">3.3 </w:t>
      </w:r>
      <w:r w:rsidR="00F352F7" w:rsidRPr="00E04783">
        <w:rPr>
          <w:lang w:val="en-US"/>
        </w:rPr>
        <w:t>Denmark: Project Udenfor</w:t>
      </w:r>
      <w:bookmarkEnd w:id="16"/>
    </w:p>
    <w:p w14:paraId="15A796C5" w14:textId="5854E166" w:rsidR="00F352F7" w:rsidRPr="00E04783" w:rsidRDefault="00F352F7" w:rsidP="00152F62">
      <w:pPr>
        <w:jc w:val="both"/>
        <w:rPr>
          <w:rFonts w:ascii="Lato" w:hAnsi="Lato"/>
          <w:sz w:val="24"/>
          <w:szCs w:val="24"/>
          <w:lang w:val="en-US"/>
        </w:rPr>
      </w:pPr>
      <w:r w:rsidRPr="00E04783">
        <w:rPr>
          <w:rFonts w:ascii="Lato" w:hAnsi="Lato"/>
          <w:sz w:val="24"/>
          <w:szCs w:val="24"/>
          <w:lang w:val="en-US"/>
        </w:rPr>
        <w:t>Project Udenfor, an NGO in Denmark, started a 3-year project in May 2023 which focusses on LGBT</w:t>
      </w:r>
      <w:r w:rsidR="0005652F">
        <w:rPr>
          <w:rFonts w:ascii="Lato" w:hAnsi="Lato"/>
          <w:sz w:val="24"/>
          <w:szCs w:val="24"/>
          <w:lang w:val="en-US"/>
        </w:rPr>
        <w:t>I</w:t>
      </w:r>
      <w:r w:rsidRPr="00E04783">
        <w:rPr>
          <w:rFonts w:ascii="Lato" w:hAnsi="Lato"/>
          <w:sz w:val="24"/>
          <w:szCs w:val="24"/>
          <w:lang w:val="en-US"/>
        </w:rPr>
        <w:t xml:space="preserve"> homeless people. This follows the conclusion of a 1-year pilot investigation report that concluded LGBT</w:t>
      </w:r>
      <w:r w:rsidR="0005652F">
        <w:rPr>
          <w:rFonts w:ascii="Lato" w:hAnsi="Lato"/>
          <w:sz w:val="24"/>
          <w:szCs w:val="24"/>
          <w:lang w:val="en-US"/>
        </w:rPr>
        <w:t>I</w:t>
      </w:r>
      <w:r w:rsidRPr="00E04783">
        <w:rPr>
          <w:rFonts w:ascii="Lato" w:hAnsi="Lato"/>
          <w:sz w:val="24"/>
          <w:szCs w:val="24"/>
          <w:lang w:val="en-US"/>
        </w:rPr>
        <w:t xml:space="preserve"> people lack places to go to feel safe and receive professional help with their specific needs.</w:t>
      </w:r>
      <w:r w:rsidRPr="00E04783">
        <w:rPr>
          <w:rFonts w:ascii="Lato" w:hAnsi="Lato"/>
          <w:sz w:val="24"/>
          <w:szCs w:val="24"/>
          <w:vertAlign w:val="superscript"/>
          <w:lang w:val="en-US"/>
        </w:rPr>
        <w:footnoteReference w:id="166"/>
      </w:r>
      <w:r w:rsidRPr="00E04783">
        <w:rPr>
          <w:rFonts w:ascii="Lato" w:hAnsi="Lato"/>
          <w:sz w:val="24"/>
          <w:szCs w:val="24"/>
          <w:lang w:val="en-US"/>
        </w:rPr>
        <w:t xml:space="preserve"> Located in Copenhagen, the initiative is made up of three strands: </w:t>
      </w:r>
    </w:p>
    <w:p w14:paraId="594FB924" w14:textId="77777777" w:rsidR="00F352F7" w:rsidRPr="00E04783" w:rsidRDefault="00F352F7" w:rsidP="00152F62">
      <w:pPr>
        <w:numPr>
          <w:ilvl w:val="0"/>
          <w:numId w:val="1"/>
        </w:numPr>
        <w:contextualSpacing/>
        <w:jc w:val="both"/>
        <w:rPr>
          <w:rFonts w:ascii="Lato" w:hAnsi="Lato"/>
          <w:sz w:val="24"/>
          <w:szCs w:val="24"/>
          <w:lang w:val="en-US"/>
        </w:rPr>
      </w:pPr>
      <w:r w:rsidRPr="00E04783">
        <w:rPr>
          <w:rFonts w:ascii="Lato" w:hAnsi="Lato"/>
          <w:sz w:val="24"/>
          <w:szCs w:val="24"/>
          <w:lang w:val="en-US"/>
        </w:rPr>
        <w:t>A street-level outreach and relationship-building effort. This strand focusses on homeless people who have diverse sexual orientation and gender identity.</w:t>
      </w:r>
    </w:p>
    <w:p w14:paraId="627E6F0C" w14:textId="146FBFE3" w:rsidR="00F352F7" w:rsidRPr="00E04783" w:rsidRDefault="00F352F7" w:rsidP="00152F62">
      <w:pPr>
        <w:numPr>
          <w:ilvl w:val="0"/>
          <w:numId w:val="1"/>
        </w:numPr>
        <w:contextualSpacing/>
        <w:jc w:val="both"/>
        <w:rPr>
          <w:rFonts w:ascii="Lato" w:hAnsi="Lato"/>
          <w:sz w:val="24"/>
          <w:szCs w:val="24"/>
          <w:lang w:val="en-US"/>
        </w:rPr>
      </w:pPr>
      <w:r w:rsidRPr="00E04783">
        <w:rPr>
          <w:rFonts w:ascii="Lato" w:hAnsi="Lato"/>
          <w:sz w:val="24"/>
          <w:szCs w:val="24"/>
          <w:lang w:val="en-US"/>
        </w:rPr>
        <w:t>The teaching and preparation of teaching material for existing institutions with the goal of disseminating knowledge about the specific challenges facing LG</w:t>
      </w:r>
      <w:r w:rsidR="00AB538A">
        <w:rPr>
          <w:rFonts w:ascii="Lato" w:hAnsi="Lato"/>
          <w:sz w:val="24"/>
          <w:szCs w:val="24"/>
          <w:lang w:val="en-US"/>
        </w:rPr>
        <w:t>BT</w:t>
      </w:r>
      <w:r w:rsidR="0005652F">
        <w:rPr>
          <w:rFonts w:ascii="Lato" w:hAnsi="Lato"/>
          <w:sz w:val="24"/>
          <w:szCs w:val="24"/>
          <w:lang w:val="en-US"/>
        </w:rPr>
        <w:t>I</w:t>
      </w:r>
      <w:r w:rsidRPr="00E04783">
        <w:rPr>
          <w:rFonts w:ascii="Lato" w:hAnsi="Lato"/>
          <w:sz w:val="24"/>
          <w:szCs w:val="24"/>
          <w:lang w:val="en-US"/>
        </w:rPr>
        <w:t xml:space="preserve"> homeless persons.</w:t>
      </w:r>
    </w:p>
    <w:p w14:paraId="2776F873" w14:textId="07B06949" w:rsidR="00F352F7" w:rsidRPr="00E04783" w:rsidRDefault="00F352F7" w:rsidP="00152F62">
      <w:pPr>
        <w:numPr>
          <w:ilvl w:val="0"/>
          <w:numId w:val="1"/>
        </w:numPr>
        <w:contextualSpacing/>
        <w:jc w:val="both"/>
        <w:rPr>
          <w:rFonts w:ascii="Lato" w:hAnsi="Lato"/>
          <w:sz w:val="24"/>
          <w:szCs w:val="24"/>
          <w:lang w:val="en-US"/>
        </w:rPr>
      </w:pPr>
      <w:r w:rsidRPr="00E04783">
        <w:rPr>
          <w:rFonts w:ascii="Lato" w:hAnsi="Lato"/>
          <w:sz w:val="24"/>
          <w:szCs w:val="24"/>
          <w:lang w:val="en-US"/>
        </w:rPr>
        <w:t xml:space="preserve">Establishment of a safe and inclusive </w:t>
      </w:r>
      <w:r w:rsidR="00C43DD5" w:rsidRPr="00E04783">
        <w:rPr>
          <w:rFonts w:ascii="Lato" w:hAnsi="Lato"/>
          <w:sz w:val="24"/>
          <w:szCs w:val="24"/>
          <w:lang w:val="en-US"/>
        </w:rPr>
        <w:t>programs</w:t>
      </w:r>
      <w:r w:rsidRPr="00E04783">
        <w:rPr>
          <w:rFonts w:ascii="Lato" w:hAnsi="Lato"/>
          <w:sz w:val="24"/>
          <w:szCs w:val="24"/>
          <w:lang w:val="en-US"/>
        </w:rPr>
        <w:t xml:space="preserve"> for LGBT</w:t>
      </w:r>
      <w:r w:rsidR="0005652F">
        <w:rPr>
          <w:rFonts w:ascii="Lato" w:hAnsi="Lato"/>
          <w:sz w:val="24"/>
          <w:szCs w:val="24"/>
          <w:lang w:val="en-US"/>
        </w:rPr>
        <w:t>I</w:t>
      </w:r>
      <w:r w:rsidRPr="00E04783">
        <w:rPr>
          <w:rFonts w:ascii="Lato" w:hAnsi="Lato"/>
          <w:sz w:val="24"/>
          <w:szCs w:val="24"/>
          <w:lang w:val="en-US"/>
        </w:rPr>
        <w:t xml:space="preserve"> homeless people.</w:t>
      </w:r>
      <w:r w:rsidRPr="00E04783">
        <w:rPr>
          <w:rFonts w:ascii="Lato" w:hAnsi="Lato"/>
          <w:sz w:val="24"/>
          <w:szCs w:val="24"/>
          <w:vertAlign w:val="superscript"/>
          <w:lang w:val="en-US"/>
        </w:rPr>
        <w:footnoteReference w:id="167"/>
      </w:r>
    </w:p>
    <w:p w14:paraId="1A262C7F" w14:textId="2698281F" w:rsidR="00F352F7" w:rsidRPr="00E04783" w:rsidRDefault="00157754" w:rsidP="00D57627">
      <w:pPr>
        <w:pStyle w:val="Heading2"/>
        <w:rPr>
          <w:lang w:val="en-US"/>
        </w:rPr>
      </w:pPr>
      <w:bookmarkStart w:id="17" w:name="_Toc147244631"/>
      <w:r>
        <w:rPr>
          <w:lang w:val="en-US"/>
        </w:rPr>
        <w:t xml:space="preserve">3.4 </w:t>
      </w:r>
      <w:r w:rsidR="00F352F7" w:rsidRPr="00E04783">
        <w:rPr>
          <w:lang w:val="en-US"/>
        </w:rPr>
        <w:t>Germany: Diakonie Frankfurt and O</w:t>
      </w:r>
      <w:r w:rsidR="00215D88" w:rsidRPr="00E04783">
        <w:rPr>
          <w:lang w:val="en-US"/>
        </w:rPr>
        <w:t>ff</w:t>
      </w:r>
      <w:r w:rsidR="00F352F7" w:rsidRPr="00E04783">
        <w:rPr>
          <w:lang w:val="en-US"/>
        </w:rPr>
        <w:t>enbach Facility</w:t>
      </w:r>
      <w:bookmarkEnd w:id="17"/>
    </w:p>
    <w:p w14:paraId="4585BA03" w14:textId="77777777" w:rsidR="00F352F7" w:rsidRPr="00E04783" w:rsidRDefault="00F352F7" w:rsidP="00152F62">
      <w:pPr>
        <w:jc w:val="both"/>
        <w:rPr>
          <w:rFonts w:ascii="Lato" w:hAnsi="Lato"/>
          <w:b/>
          <w:bCs/>
          <w:sz w:val="24"/>
          <w:szCs w:val="24"/>
          <w:lang w:val="en-US"/>
        </w:rPr>
      </w:pPr>
      <w:r w:rsidRPr="00E04783">
        <w:rPr>
          <w:rFonts w:ascii="Lato" w:hAnsi="Lato"/>
          <w:sz w:val="24"/>
          <w:szCs w:val="24"/>
          <w:lang w:val="en-US"/>
        </w:rPr>
        <w:t>In Germany, the Diakonie Frankfurt and Offenbach facility</w:t>
      </w:r>
      <w:r w:rsidRPr="00E04783">
        <w:rPr>
          <w:rFonts w:ascii="Lato" w:hAnsi="Lato"/>
          <w:sz w:val="24"/>
          <w:szCs w:val="24"/>
          <w:vertAlign w:val="superscript"/>
          <w:lang w:val="en-US"/>
        </w:rPr>
        <w:footnoteReference w:id="168"/>
      </w:r>
      <w:r w:rsidRPr="00E04783">
        <w:rPr>
          <w:rFonts w:ascii="Lato" w:hAnsi="Lato"/>
          <w:sz w:val="24"/>
          <w:szCs w:val="24"/>
          <w:lang w:val="en-US"/>
        </w:rPr>
        <w:t xml:space="preserve"> named ‘Hannah - Living for Women’ provided support to women experiencing social difficulties, including emergency housing for homeless women. The facility saw an increase in admissions of trans woman as inpatients to the facility between 2020 and 2022, so the staff hosted a consultation seminar with an external consultant on best practice in this area, to learn about how to best support the trans women coming to the facility. Following the seminar, common consensus resulted in the following conclusions:</w:t>
      </w:r>
    </w:p>
    <w:p w14:paraId="363DCF92" w14:textId="77777777" w:rsidR="00F352F7" w:rsidRPr="00E04783" w:rsidRDefault="00F352F7" w:rsidP="00152F62">
      <w:pPr>
        <w:numPr>
          <w:ilvl w:val="0"/>
          <w:numId w:val="2"/>
        </w:numPr>
        <w:contextualSpacing/>
        <w:jc w:val="both"/>
        <w:rPr>
          <w:rFonts w:ascii="Lato" w:hAnsi="Lato"/>
          <w:sz w:val="24"/>
          <w:szCs w:val="24"/>
          <w:lang w:val="en-US"/>
        </w:rPr>
      </w:pPr>
      <w:r w:rsidRPr="00E04783">
        <w:rPr>
          <w:rFonts w:ascii="Lato" w:hAnsi="Lato"/>
          <w:sz w:val="24"/>
          <w:szCs w:val="24"/>
          <w:lang w:val="en-US"/>
        </w:rPr>
        <w:t>Trans women should be admitted both for an overnight emergency stay and in the residential group setting.</w:t>
      </w:r>
    </w:p>
    <w:p w14:paraId="7C50DCA4" w14:textId="1E38E009" w:rsidR="00F352F7" w:rsidRPr="00E04783" w:rsidRDefault="00F352F7" w:rsidP="00152F62">
      <w:pPr>
        <w:numPr>
          <w:ilvl w:val="0"/>
          <w:numId w:val="2"/>
        </w:numPr>
        <w:contextualSpacing/>
        <w:jc w:val="both"/>
        <w:rPr>
          <w:rFonts w:ascii="Lato" w:hAnsi="Lato"/>
          <w:sz w:val="24"/>
          <w:szCs w:val="24"/>
          <w:lang w:val="en-US"/>
        </w:rPr>
      </w:pPr>
      <w:r w:rsidRPr="00E04783">
        <w:rPr>
          <w:rFonts w:ascii="Lato" w:hAnsi="Lato"/>
          <w:sz w:val="24"/>
          <w:szCs w:val="24"/>
          <w:lang w:val="en-US"/>
        </w:rPr>
        <w:lastRenderedPageBreak/>
        <w:t xml:space="preserve">The individual’s gender self-determination should be </w:t>
      </w:r>
      <w:r w:rsidR="00566478" w:rsidRPr="00E04783">
        <w:rPr>
          <w:rFonts w:ascii="Lato" w:hAnsi="Lato"/>
          <w:sz w:val="24"/>
          <w:szCs w:val="24"/>
          <w:lang w:val="en-US"/>
        </w:rPr>
        <w:t>recognized</w:t>
      </w:r>
      <w:r w:rsidRPr="00E04783">
        <w:rPr>
          <w:rFonts w:ascii="Lato" w:hAnsi="Lato"/>
          <w:sz w:val="24"/>
          <w:szCs w:val="24"/>
          <w:lang w:val="en-US"/>
        </w:rPr>
        <w:t xml:space="preserve">, and not based only on official identity documents or physical characteristics. Admission should be based solely on the admission interview, as is the case with cisgender women. </w:t>
      </w:r>
    </w:p>
    <w:p w14:paraId="452D8028" w14:textId="77777777" w:rsidR="00F352F7" w:rsidRPr="00E04783" w:rsidRDefault="00F352F7" w:rsidP="00152F62">
      <w:pPr>
        <w:numPr>
          <w:ilvl w:val="0"/>
          <w:numId w:val="2"/>
        </w:numPr>
        <w:contextualSpacing/>
        <w:jc w:val="both"/>
        <w:rPr>
          <w:rFonts w:ascii="Lato" w:hAnsi="Lato"/>
          <w:sz w:val="24"/>
          <w:szCs w:val="24"/>
          <w:lang w:val="en-US"/>
        </w:rPr>
      </w:pPr>
      <w:r w:rsidRPr="00E04783">
        <w:rPr>
          <w:rFonts w:ascii="Lato" w:hAnsi="Lato"/>
          <w:sz w:val="24"/>
          <w:szCs w:val="24"/>
          <w:lang w:val="en-US"/>
        </w:rPr>
        <w:t>In the case that a transgender woman still may be read as ‘male’, it should be discussed with her how she and the staff would like to deal with potential queries or perhaps difficult interactions with other residents.</w:t>
      </w:r>
    </w:p>
    <w:p w14:paraId="7D9A4CAE" w14:textId="77777777" w:rsidR="00F352F7" w:rsidRPr="00E04783" w:rsidRDefault="00F352F7" w:rsidP="00152F62">
      <w:pPr>
        <w:numPr>
          <w:ilvl w:val="0"/>
          <w:numId w:val="2"/>
        </w:numPr>
        <w:contextualSpacing/>
        <w:jc w:val="both"/>
        <w:rPr>
          <w:rFonts w:ascii="Lato" w:hAnsi="Lato"/>
          <w:sz w:val="24"/>
          <w:szCs w:val="24"/>
          <w:lang w:val="en-US"/>
        </w:rPr>
      </w:pPr>
      <w:r w:rsidRPr="00E04783">
        <w:rPr>
          <w:rFonts w:ascii="Lato" w:hAnsi="Lato"/>
          <w:sz w:val="24"/>
          <w:szCs w:val="24"/>
          <w:lang w:val="en-US"/>
        </w:rPr>
        <w:t>The facility and house rules should be updated to include that the facility is a discrimination-free space. This is signed by all clients on admission.</w:t>
      </w:r>
    </w:p>
    <w:p w14:paraId="237C9A5C" w14:textId="77777777" w:rsidR="00F352F7" w:rsidRPr="00E04783" w:rsidRDefault="00F352F7" w:rsidP="00152F62">
      <w:pPr>
        <w:numPr>
          <w:ilvl w:val="0"/>
          <w:numId w:val="2"/>
        </w:numPr>
        <w:contextualSpacing/>
        <w:jc w:val="both"/>
        <w:rPr>
          <w:rFonts w:ascii="Lato" w:hAnsi="Lato"/>
          <w:sz w:val="24"/>
          <w:szCs w:val="24"/>
          <w:lang w:val="en-US"/>
        </w:rPr>
      </w:pPr>
      <w:r w:rsidRPr="00E04783">
        <w:rPr>
          <w:rFonts w:ascii="Lato" w:hAnsi="Lato"/>
          <w:sz w:val="24"/>
          <w:szCs w:val="24"/>
          <w:lang w:val="en-US"/>
        </w:rPr>
        <w:t>Staff members are offered training on gender and sexual diversity.</w:t>
      </w:r>
      <w:r w:rsidRPr="00E04783">
        <w:rPr>
          <w:rFonts w:ascii="Lato" w:hAnsi="Lato"/>
          <w:sz w:val="24"/>
          <w:szCs w:val="24"/>
          <w:vertAlign w:val="superscript"/>
          <w:lang w:val="en-US"/>
        </w:rPr>
        <w:footnoteReference w:id="169"/>
      </w:r>
    </w:p>
    <w:p w14:paraId="7E3A8BAB" w14:textId="0FB9BDAD" w:rsidR="00F352F7" w:rsidRPr="00E04783" w:rsidRDefault="00157754" w:rsidP="00D57627">
      <w:pPr>
        <w:pStyle w:val="Heading2"/>
        <w:rPr>
          <w:lang w:val="en-US"/>
        </w:rPr>
      </w:pPr>
      <w:bookmarkStart w:id="18" w:name="_Toc147244632"/>
      <w:r>
        <w:rPr>
          <w:lang w:val="en-US"/>
        </w:rPr>
        <w:t xml:space="preserve">3.5 </w:t>
      </w:r>
      <w:r w:rsidR="00F352F7" w:rsidRPr="00E04783">
        <w:rPr>
          <w:lang w:val="en-US"/>
        </w:rPr>
        <w:t>Ireland: Focus Ireland and BelongTo LGBTQ+ Youth Ireland</w:t>
      </w:r>
      <w:r w:rsidR="00BD7826" w:rsidRPr="00E04783">
        <w:rPr>
          <w:rStyle w:val="FootnoteReference"/>
          <w:lang w:val="en-US"/>
        </w:rPr>
        <w:footnoteReference w:id="170"/>
      </w:r>
      <w:bookmarkEnd w:id="18"/>
    </w:p>
    <w:p w14:paraId="270D0D91" w14:textId="6C899B07" w:rsidR="00F352F7" w:rsidRPr="00E04783" w:rsidRDefault="00F352F7" w:rsidP="00152F62">
      <w:pPr>
        <w:jc w:val="both"/>
        <w:rPr>
          <w:rFonts w:ascii="Lato" w:hAnsi="Lato"/>
          <w:sz w:val="24"/>
          <w:szCs w:val="24"/>
          <w:lang w:val="en-US"/>
        </w:rPr>
      </w:pPr>
      <w:r w:rsidRPr="00E04783">
        <w:rPr>
          <w:rFonts w:ascii="Lato" w:hAnsi="Lato"/>
          <w:sz w:val="24"/>
          <w:szCs w:val="24"/>
          <w:lang w:val="en-US"/>
        </w:rPr>
        <w:t>Following the publication of a 2020 report commissioned by Focus Ireland</w:t>
      </w:r>
      <w:r w:rsidRPr="00E04783">
        <w:rPr>
          <w:rFonts w:ascii="Lato" w:hAnsi="Lato"/>
          <w:sz w:val="24"/>
          <w:szCs w:val="24"/>
          <w:vertAlign w:val="superscript"/>
          <w:lang w:val="en-US"/>
        </w:rPr>
        <w:footnoteReference w:id="171"/>
      </w:r>
      <w:r w:rsidRPr="00E04783">
        <w:rPr>
          <w:rFonts w:ascii="Lato" w:hAnsi="Lato"/>
          <w:sz w:val="24"/>
          <w:szCs w:val="24"/>
          <w:lang w:val="en-US"/>
        </w:rPr>
        <w:t xml:space="preserve"> and BelongTo LGBTQ+ Youth Ireland</w:t>
      </w:r>
      <w:r w:rsidRPr="00E04783">
        <w:rPr>
          <w:rFonts w:ascii="Lato" w:hAnsi="Lato"/>
          <w:sz w:val="24"/>
          <w:szCs w:val="24"/>
          <w:vertAlign w:val="superscript"/>
          <w:lang w:val="en-US"/>
        </w:rPr>
        <w:footnoteReference w:id="172"/>
      </w:r>
      <w:r w:rsidRPr="00E04783">
        <w:rPr>
          <w:rFonts w:ascii="Lato" w:hAnsi="Lato"/>
          <w:sz w:val="24"/>
          <w:szCs w:val="24"/>
          <w:lang w:val="en-US"/>
        </w:rPr>
        <w:t xml:space="preserve"> authored by Professor Michelle Norris and Dr Aideen Quilty, entitled ‘A Qualitative Study of LGBTQI+ Youth Homelessness in Ireland’, the charity Focus Ireland has worked towards </w:t>
      </w:r>
      <w:r w:rsidR="000B4084" w:rsidRPr="00E04783">
        <w:rPr>
          <w:rFonts w:ascii="Lato" w:hAnsi="Lato"/>
          <w:sz w:val="24"/>
          <w:szCs w:val="24"/>
          <w:lang w:val="en-US"/>
        </w:rPr>
        <w:t>realizing</w:t>
      </w:r>
      <w:r w:rsidRPr="00E04783">
        <w:rPr>
          <w:rFonts w:ascii="Lato" w:hAnsi="Lato"/>
          <w:sz w:val="24"/>
          <w:szCs w:val="24"/>
          <w:lang w:val="en-US"/>
        </w:rPr>
        <w:t xml:space="preserve"> the report’s recommendations.</w:t>
      </w:r>
      <w:r w:rsidRPr="00E04783">
        <w:rPr>
          <w:rFonts w:ascii="Lato" w:hAnsi="Lato"/>
          <w:sz w:val="24"/>
          <w:szCs w:val="24"/>
          <w:vertAlign w:val="superscript"/>
          <w:lang w:val="en-US"/>
        </w:rPr>
        <w:footnoteReference w:id="173"/>
      </w:r>
    </w:p>
    <w:p w14:paraId="3ACE43A0" w14:textId="448A5455" w:rsidR="00F352F7" w:rsidRPr="00E04783" w:rsidRDefault="00F352F7" w:rsidP="00152F62">
      <w:pPr>
        <w:jc w:val="both"/>
        <w:rPr>
          <w:rFonts w:ascii="Lato" w:hAnsi="Lato"/>
          <w:sz w:val="24"/>
          <w:szCs w:val="24"/>
          <w:lang w:val="en-US"/>
        </w:rPr>
      </w:pPr>
      <w:r w:rsidRPr="00E04783">
        <w:rPr>
          <w:rFonts w:ascii="Lato" w:hAnsi="Lato"/>
          <w:sz w:val="24"/>
          <w:szCs w:val="24"/>
          <w:lang w:val="en-US"/>
        </w:rPr>
        <w:t xml:space="preserve">The Homelessness Network in Ireland also established an </w:t>
      </w:r>
      <w:r w:rsidR="00A85BF4">
        <w:rPr>
          <w:rFonts w:ascii="Lato" w:hAnsi="Lato"/>
          <w:sz w:val="24"/>
          <w:szCs w:val="24"/>
          <w:lang w:val="en-US"/>
        </w:rPr>
        <w:t>LGBTI</w:t>
      </w:r>
      <w:r w:rsidRPr="00E04783">
        <w:rPr>
          <w:rFonts w:ascii="Lato" w:hAnsi="Lato"/>
          <w:sz w:val="24"/>
          <w:szCs w:val="24"/>
          <w:lang w:val="en-US"/>
        </w:rPr>
        <w:t xml:space="preserve"> homelessness working group, which in 2021 conducted a training needs analysis through the surveying of staff working in homelessness services. The survey found 4 areas of focus for staff training:</w:t>
      </w:r>
    </w:p>
    <w:p w14:paraId="160523B3" w14:textId="6E12AA8A" w:rsidR="00F352F7" w:rsidRPr="00E04783" w:rsidRDefault="00F352F7" w:rsidP="00152F62">
      <w:pPr>
        <w:numPr>
          <w:ilvl w:val="0"/>
          <w:numId w:val="3"/>
        </w:numPr>
        <w:contextualSpacing/>
        <w:jc w:val="both"/>
        <w:rPr>
          <w:rFonts w:ascii="Lato" w:hAnsi="Lato"/>
          <w:sz w:val="24"/>
          <w:szCs w:val="24"/>
          <w:lang w:val="en-US"/>
        </w:rPr>
      </w:pPr>
      <w:r w:rsidRPr="00E04783">
        <w:rPr>
          <w:rFonts w:ascii="Lato" w:hAnsi="Lato"/>
          <w:sz w:val="24"/>
          <w:szCs w:val="24"/>
          <w:lang w:val="en-US"/>
        </w:rPr>
        <w:t>To understand LGBT</w:t>
      </w:r>
      <w:r w:rsidR="00A85BF4">
        <w:rPr>
          <w:rFonts w:ascii="Lato" w:hAnsi="Lato"/>
          <w:sz w:val="24"/>
          <w:szCs w:val="24"/>
          <w:lang w:val="en-US"/>
        </w:rPr>
        <w:t>I</w:t>
      </w:r>
      <w:r w:rsidRPr="00E04783">
        <w:rPr>
          <w:rFonts w:ascii="Lato" w:hAnsi="Lato"/>
          <w:sz w:val="24"/>
          <w:szCs w:val="24"/>
          <w:lang w:val="en-US"/>
        </w:rPr>
        <w:t xml:space="preserve"> </w:t>
      </w:r>
      <w:r w:rsidR="009622F4" w:rsidRPr="00E04783">
        <w:rPr>
          <w:rFonts w:ascii="Lato" w:hAnsi="Lato"/>
          <w:sz w:val="24"/>
          <w:szCs w:val="24"/>
          <w:lang w:val="en-US"/>
        </w:rPr>
        <w:t>terminology.</w:t>
      </w:r>
    </w:p>
    <w:p w14:paraId="5E3743F2" w14:textId="79129609" w:rsidR="00F352F7" w:rsidRPr="00E04783" w:rsidRDefault="00F352F7" w:rsidP="00152F62">
      <w:pPr>
        <w:numPr>
          <w:ilvl w:val="0"/>
          <w:numId w:val="3"/>
        </w:numPr>
        <w:contextualSpacing/>
        <w:jc w:val="both"/>
        <w:rPr>
          <w:rFonts w:ascii="Lato" w:hAnsi="Lato"/>
          <w:sz w:val="24"/>
          <w:szCs w:val="24"/>
          <w:lang w:val="en-US"/>
        </w:rPr>
      </w:pPr>
      <w:r w:rsidRPr="00E04783">
        <w:rPr>
          <w:rFonts w:ascii="Lato" w:hAnsi="Lato"/>
          <w:sz w:val="24"/>
          <w:szCs w:val="24"/>
          <w:lang w:val="en-US"/>
        </w:rPr>
        <w:t>Training on LGBT</w:t>
      </w:r>
      <w:r w:rsidR="00A85BF4">
        <w:rPr>
          <w:rFonts w:ascii="Lato" w:hAnsi="Lato"/>
          <w:sz w:val="24"/>
          <w:szCs w:val="24"/>
          <w:lang w:val="en-US"/>
        </w:rPr>
        <w:t>I</w:t>
      </w:r>
      <w:r w:rsidRPr="00E04783">
        <w:rPr>
          <w:rFonts w:ascii="Lato" w:hAnsi="Lato"/>
          <w:sz w:val="24"/>
          <w:szCs w:val="24"/>
          <w:lang w:val="en-US"/>
        </w:rPr>
        <w:t xml:space="preserve"> homelessness to make sure staff are confident in their </w:t>
      </w:r>
      <w:r w:rsidR="009622F4" w:rsidRPr="00E04783">
        <w:rPr>
          <w:rFonts w:ascii="Lato" w:hAnsi="Lato"/>
          <w:sz w:val="24"/>
          <w:szCs w:val="24"/>
          <w:lang w:val="en-US"/>
        </w:rPr>
        <w:t>practice.</w:t>
      </w:r>
    </w:p>
    <w:p w14:paraId="0936846B" w14:textId="1D8F3DD7" w:rsidR="00F352F7" w:rsidRPr="00E04783" w:rsidRDefault="00F352F7" w:rsidP="00152F62">
      <w:pPr>
        <w:numPr>
          <w:ilvl w:val="0"/>
          <w:numId w:val="3"/>
        </w:numPr>
        <w:contextualSpacing/>
        <w:jc w:val="both"/>
        <w:rPr>
          <w:rFonts w:ascii="Lato" w:hAnsi="Lato"/>
          <w:sz w:val="24"/>
          <w:szCs w:val="24"/>
          <w:lang w:val="en-US"/>
        </w:rPr>
      </w:pPr>
      <w:r w:rsidRPr="00E04783">
        <w:rPr>
          <w:rFonts w:ascii="Lato" w:hAnsi="Lato"/>
          <w:sz w:val="24"/>
          <w:szCs w:val="24"/>
          <w:lang w:val="en-US"/>
        </w:rPr>
        <w:t xml:space="preserve">To have support of in their role by their Senior </w:t>
      </w:r>
      <w:r w:rsidR="009622F4" w:rsidRPr="00E04783">
        <w:rPr>
          <w:rFonts w:ascii="Lato" w:hAnsi="Lato"/>
          <w:sz w:val="24"/>
          <w:szCs w:val="24"/>
          <w:lang w:val="en-US"/>
        </w:rPr>
        <w:t>Manager.</w:t>
      </w:r>
    </w:p>
    <w:p w14:paraId="0B82A6C2" w14:textId="1C1D3570" w:rsidR="00F352F7" w:rsidRPr="00E04783" w:rsidRDefault="00F352F7" w:rsidP="00152F62">
      <w:pPr>
        <w:numPr>
          <w:ilvl w:val="0"/>
          <w:numId w:val="3"/>
        </w:numPr>
        <w:contextualSpacing/>
        <w:jc w:val="both"/>
        <w:rPr>
          <w:rFonts w:ascii="Lato" w:hAnsi="Lato"/>
          <w:sz w:val="24"/>
          <w:szCs w:val="24"/>
          <w:lang w:val="en-US"/>
        </w:rPr>
      </w:pPr>
      <w:r w:rsidRPr="00E04783">
        <w:rPr>
          <w:rFonts w:ascii="Lato" w:hAnsi="Lato"/>
          <w:sz w:val="24"/>
          <w:szCs w:val="24"/>
          <w:lang w:val="en-US"/>
        </w:rPr>
        <w:t>To develop knowledge on pathways for LGBT</w:t>
      </w:r>
      <w:r w:rsidR="00A85BF4">
        <w:rPr>
          <w:rFonts w:ascii="Lato" w:hAnsi="Lato"/>
          <w:sz w:val="24"/>
          <w:szCs w:val="24"/>
          <w:lang w:val="en-US"/>
        </w:rPr>
        <w:t>I</w:t>
      </w:r>
      <w:r w:rsidRPr="00E04783">
        <w:rPr>
          <w:rFonts w:ascii="Lato" w:hAnsi="Lato"/>
          <w:sz w:val="24"/>
          <w:szCs w:val="24"/>
          <w:lang w:val="en-US"/>
        </w:rPr>
        <w:t xml:space="preserve"> specific support services</w:t>
      </w:r>
      <w:r w:rsidR="005F245A" w:rsidRPr="00E04783">
        <w:rPr>
          <w:rFonts w:ascii="Lato" w:hAnsi="Lato"/>
          <w:sz w:val="24"/>
          <w:szCs w:val="24"/>
          <w:lang w:val="en-US"/>
        </w:rPr>
        <w:t>.</w:t>
      </w:r>
      <w:r w:rsidRPr="00E04783">
        <w:rPr>
          <w:rFonts w:ascii="Lato" w:hAnsi="Lato"/>
          <w:sz w:val="24"/>
          <w:szCs w:val="24"/>
          <w:vertAlign w:val="superscript"/>
          <w:lang w:val="en-US"/>
        </w:rPr>
        <w:footnoteReference w:id="174"/>
      </w:r>
    </w:p>
    <w:p w14:paraId="462DEC21" w14:textId="77777777" w:rsidR="009924FA" w:rsidRPr="00E04783" w:rsidRDefault="009924FA" w:rsidP="009924FA">
      <w:pPr>
        <w:contextualSpacing/>
        <w:jc w:val="both"/>
        <w:rPr>
          <w:rFonts w:ascii="Lato" w:hAnsi="Lato"/>
          <w:sz w:val="24"/>
          <w:szCs w:val="24"/>
          <w:lang w:val="en-US"/>
        </w:rPr>
      </w:pPr>
    </w:p>
    <w:p w14:paraId="2E44288F" w14:textId="63D988A8" w:rsidR="00F352F7" w:rsidRPr="00E04783" w:rsidRDefault="00F352F7" w:rsidP="00152F62">
      <w:pPr>
        <w:jc w:val="both"/>
        <w:rPr>
          <w:rFonts w:ascii="Lato" w:hAnsi="Lato"/>
          <w:sz w:val="24"/>
          <w:szCs w:val="24"/>
          <w:lang w:val="en-US"/>
        </w:rPr>
      </w:pPr>
      <w:r w:rsidRPr="00E04783">
        <w:rPr>
          <w:rFonts w:ascii="Lato" w:hAnsi="Lato"/>
          <w:sz w:val="24"/>
          <w:szCs w:val="24"/>
          <w:lang w:val="en-US"/>
        </w:rPr>
        <w:t xml:space="preserve">A </w:t>
      </w:r>
      <w:r w:rsidR="000161FA" w:rsidRPr="00E04783">
        <w:rPr>
          <w:rFonts w:ascii="Lato" w:hAnsi="Lato"/>
          <w:sz w:val="24"/>
          <w:szCs w:val="24"/>
          <w:lang w:val="en-US"/>
        </w:rPr>
        <w:t>specializing</w:t>
      </w:r>
      <w:r w:rsidRPr="00E04783">
        <w:rPr>
          <w:rFonts w:ascii="Lato" w:hAnsi="Lato"/>
          <w:sz w:val="24"/>
          <w:szCs w:val="24"/>
          <w:lang w:val="en-US"/>
        </w:rPr>
        <w:t xml:space="preserve"> training pilot </w:t>
      </w:r>
      <w:r w:rsidR="000161FA" w:rsidRPr="00E04783">
        <w:rPr>
          <w:rFonts w:ascii="Lato" w:hAnsi="Lato"/>
          <w:sz w:val="24"/>
          <w:szCs w:val="24"/>
          <w:lang w:val="en-US"/>
        </w:rPr>
        <w:t>program</w:t>
      </w:r>
      <w:r w:rsidRPr="00E04783">
        <w:rPr>
          <w:rFonts w:ascii="Lato" w:hAnsi="Lato"/>
          <w:sz w:val="24"/>
          <w:szCs w:val="24"/>
          <w:lang w:val="en-US"/>
        </w:rPr>
        <w:t xml:space="preserve"> delivered in 2022 by BelongTo LGBTQ+ Youth Ireland </w:t>
      </w:r>
      <w:r w:rsidR="000161FA" w:rsidRPr="00E04783">
        <w:rPr>
          <w:rFonts w:ascii="Lato" w:hAnsi="Lato"/>
          <w:sz w:val="24"/>
          <w:szCs w:val="24"/>
          <w:lang w:val="en-US"/>
        </w:rPr>
        <w:t>focused</w:t>
      </w:r>
      <w:r w:rsidRPr="00E04783">
        <w:rPr>
          <w:rFonts w:ascii="Lato" w:hAnsi="Lato"/>
          <w:sz w:val="24"/>
          <w:szCs w:val="24"/>
          <w:lang w:val="en-US"/>
        </w:rPr>
        <w:t xml:space="preserve"> on these four areas.</w:t>
      </w:r>
    </w:p>
    <w:p w14:paraId="07D4C5C0" w14:textId="59B542BC" w:rsidR="00F352F7" w:rsidRPr="00E04783" w:rsidRDefault="00F352F7" w:rsidP="00152F62">
      <w:pPr>
        <w:jc w:val="both"/>
        <w:rPr>
          <w:rFonts w:ascii="Lato" w:hAnsi="Lato"/>
          <w:sz w:val="24"/>
          <w:szCs w:val="24"/>
          <w:lang w:val="en-US"/>
        </w:rPr>
      </w:pPr>
      <w:r w:rsidRPr="00E04783">
        <w:rPr>
          <w:rFonts w:ascii="Lato" w:hAnsi="Lato"/>
          <w:sz w:val="24"/>
          <w:szCs w:val="24"/>
          <w:lang w:val="en-US"/>
        </w:rPr>
        <w:t>Through this specialist training, Focus Ireland and BelongTo LGBTQ+ Youth Ireland have advocated for the inclusion of LGBT</w:t>
      </w:r>
      <w:r w:rsidR="00A85BF4">
        <w:rPr>
          <w:rFonts w:ascii="Lato" w:hAnsi="Lato"/>
          <w:sz w:val="24"/>
          <w:szCs w:val="24"/>
          <w:lang w:val="en-US"/>
        </w:rPr>
        <w:t>I</w:t>
      </w:r>
      <w:r w:rsidRPr="00E04783">
        <w:rPr>
          <w:rFonts w:ascii="Lato" w:hAnsi="Lato"/>
          <w:sz w:val="24"/>
          <w:szCs w:val="24"/>
          <w:lang w:val="en-US"/>
        </w:rPr>
        <w:t xml:space="preserve"> homelessness on the regional and national levels. As a result, the Department of Housing launched its Youth Homelessness Strategy 2023-2025 and includes LGBT</w:t>
      </w:r>
      <w:r w:rsidR="00A85BF4">
        <w:rPr>
          <w:rFonts w:ascii="Lato" w:hAnsi="Lato"/>
          <w:sz w:val="24"/>
          <w:szCs w:val="24"/>
          <w:lang w:val="en-US"/>
        </w:rPr>
        <w:t>I</w:t>
      </w:r>
      <w:r w:rsidRPr="00E04783">
        <w:rPr>
          <w:rFonts w:ascii="Lato" w:hAnsi="Lato"/>
          <w:sz w:val="24"/>
          <w:szCs w:val="24"/>
          <w:lang w:val="en-US"/>
        </w:rPr>
        <w:t xml:space="preserve"> homelessness.</w:t>
      </w:r>
      <w:r w:rsidRPr="00E04783">
        <w:rPr>
          <w:rFonts w:ascii="Lato" w:hAnsi="Lato"/>
          <w:sz w:val="24"/>
          <w:szCs w:val="24"/>
          <w:vertAlign w:val="superscript"/>
          <w:lang w:val="en-US"/>
        </w:rPr>
        <w:footnoteReference w:id="175"/>
      </w:r>
      <w:r w:rsidRPr="00E04783">
        <w:rPr>
          <w:rFonts w:ascii="Lato" w:hAnsi="Lato"/>
          <w:sz w:val="24"/>
          <w:szCs w:val="24"/>
          <w:lang w:val="en-US"/>
        </w:rPr>
        <w:t xml:space="preserve"> The policy document identified </w:t>
      </w:r>
      <w:r w:rsidRPr="00E04783">
        <w:rPr>
          <w:rFonts w:ascii="Lato" w:hAnsi="Lato"/>
          <w:sz w:val="24"/>
          <w:szCs w:val="24"/>
          <w:lang w:val="en-US"/>
        </w:rPr>
        <w:lastRenderedPageBreak/>
        <w:t>LGBT</w:t>
      </w:r>
      <w:r w:rsidR="00A85BF4">
        <w:rPr>
          <w:rFonts w:ascii="Lato" w:hAnsi="Lato"/>
          <w:sz w:val="24"/>
          <w:szCs w:val="24"/>
          <w:lang w:val="en-US"/>
        </w:rPr>
        <w:t>I</w:t>
      </w:r>
      <w:r w:rsidRPr="00E04783">
        <w:rPr>
          <w:rFonts w:ascii="Lato" w:hAnsi="Lato"/>
          <w:sz w:val="24"/>
          <w:szCs w:val="24"/>
          <w:lang w:val="en-US"/>
        </w:rPr>
        <w:t xml:space="preserve"> youth as particularly vulnerable and outlines how service providers can meet the needs of this population. Furthermore, Ireland signed the European Platform </w:t>
      </w:r>
      <w:r w:rsidR="009622F4" w:rsidRPr="00E04783">
        <w:rPr>
          <w:rFonts w:ascii="Lato" w:hAnsi="Lato"/>
          <w:sz w:val="24"/>
          <w:szCs w:val="24"/>
          <w:lang w:val="en-US"/>
        </w:rPr>
        <w:t>on</w:t>
      </w:r>
      <w:r w:rsidRPr="00E04783">
        <w:rPr>
          <w:rFonts w:ascii="Lato" w:hAnsi="Lato"/>
          <w:sz w:val="24"/>
          <w:szCs w:val="24"/>
          <w:lang w:val="en-US"/>
        </w:rPr>
        <w:t xml:space="preserve"> Combatting Homelessness’ Lison Declaration in 2021 which aims to end homelessness by 2030.</w:t>
      </w:r>
      <w:r w:rsidRPr="00E04783">
        <w:rPr>
          <w:rFonts w:ascii="Lato" w:hAnsi="Lato"/>
          <w:sz w:val="24"/>
          <w:szCs w:val="24"/>
          <w:vertAlign w:val="superscript"/>
          <w:lang w:val="en-US"/>
        </w:rPr>
        <w:footnoteReference w:id="176"/>
      </w:r>
    </w:p>
    <w:p w14:paraId="08B31B63" w14:textId="670D14D1" w:rsidR="00F352F7" w:rsidRPr="00E04783" w:rsidRDefault="00157754" w:rsidP="00D57627">
      <w:pPr>
        <w:pStyle w:val="Heading2"/>
        <w:rPr>
          <w:lang w:val="en-US"/>
        </w:rPr>
      </w:pPr>
      <w:bookmarkStart w:id="19" w:name="_Toc147244633"/>
      <w:r>
        <w:rPr>
          <w:lang w:val="en-US"/>
        </w:rPr>
        <w:t xml:space="preserve">3.6 </w:t>
      </w:r>
      <w:r w:rsidR="00F352F7" w:rsidRPr="00E04783">
        <w:rPr>
          <w:lang w:val="en-US"/>
        </w:rPr>
        <w:t>United States of America: Runaway and Homeless Youth Act</w:t>
      </w:r>
      <w:r w:rsidR="00C90E82" w:rsidRPr="00E04783">
        <w:rPr>
          <w:rStyle w:val="FootnoteReference"/>
          <w:lang w:val="en-US"/>
        </w:rPr>
        <w:footnoteReference w:id="177"/>
      </w:r>
      <w:bookmarkEnd w:id="19"/>
    </w:p>
    <w:p w14:paraId="5A2E6720" w14:textId="12E95C12" w:rsidR="00F352F7" w:rsidRPr="00E04783" w:rsidRDefault="00F352F7" w:rsidP="00152F62">
      <w:pPr>
        <w:jc w:val="both"/>
        <w:rPr>
          <w:rFonts w:ascii="Lato" w:hAnsi="Lato"/>
          <w:sz w:val="24"/>
          <w:szCs w:val="24"/>
          <w:lang w:val="en-US"/>
        </w:rPr>
      </w:pPr>
      <w:r w:rsidRPr="00E04783">
        <w:rPr>
          <w:rFonts w:ascii="Lato" w:hAnsi="Lato"/>
          <w:sz w:val="24"/>
          <w:szCs w:val="24"/>
          <w:lang w:val="en-US"/>
        </w:rPr>
        <w:t xml:space="preserve">In the USA, the </w:t>
      </w:r>
      <w:r w:rsidR="000161FA" w:rsidRPr="00E04783">
        <w:rPr>
          <w:rFonts w:ascii="Lato" w:hAnsi="Lato"/>
          <w:sz w:val="24"/>
          <w:szCs w:val="24"/>
          <w:lang w:val="en-US"/>
        </w:rPr>
        <w:t>reauthorizing</w:t>
      </w:r>
      <w:r w:rsidRPr="00E04783">
        <w:rPr>
          <w:rFonts w:ascii="Lato" w:hAnsi="Lato"/>
          <w:sz w:val="24"/>
          <w:szCs w:val="24"/>
          <w:lang w:val="en-US"/>
        </w:rPr>
        <w:t xml:space="preserve"> of the Runaway and Homeless Youth Act (2018) delegated $115 million per year of the federal budget to help homeless youth.</w:t>
      </w:r>
      <w:r w:rsidRPr="00E04783">
        <w:rPr>
          <w:rFonts w:ascii="Lato" w:hAnsi="Lato"/>
          <w:sz w:val="24"/>
          <w:szCs w:val="24"/>
          <w:vertAlign w:val="superscript"/>
          <w:lang w:val="en-US"/>
        </w:rPr>
        <w:footnoteReference w:id="178"/>
      </w:r>
      <w:r w:rsidRPr="00E04783">
        <w:rPr>
          <w:rFonts w:ascii="Lato" w:hAnsi="Lato"/>
          <w:sz w:val="24"/>
          <w:szCs w:val="24"/>
          <w:lang w:val="en-US"/>
        </w:rPr>
        <w:t xml:space="preserve"> Th</w:t>
      </w:r>
      <w:r w:rsidR="009622F4">
        <w:rPr>
          <w:rFonts w:ascii="Lato" w:hAnsi="Lato"/>
          <w:sz w:val="24"/>
          <w:szCs w:val="24"/>
          <w:lang w:val="en-US"/>
        </w:rPr>
        <w:t>e act</w:t>
      </w:r>
      <w:r w:rsidRPr="00E04783">
        <w:rPr>
          <w:rFonts w:ascii="Lato" w:hAnsi="Lato"/>
          <w:sz w:val="24"/>
          <w:szCs w:val="24"/>
          <w:lang w:val="en-US"/>
        </w:rPr>
        <w:t xml:space="preserve"> spans across three pillars of intervention:</w:t>
      </w:r>
    </w:p>
    <w:p w14:paraId="41371F60" w14:textId="4DC175F5" w:rsidR="00F352F7" w:rsidRPr="00E04783" w:rsidRDefault="00F352F7" w:rsidP="00152F62">
      <w:pPr>
        <w:numPr>
          <w:ilvl w:val="0"/>
          <w:numId w:val="4"/>
        </w:numPr>
        <w:contextualSpacing/>
        <w:jc w:val="both"/>
        <w:rPr>
          <w:rFonts w:ascii="Lato" w:hAnsi="Lato"/>
          <w:sz w:val="24"/>
          <w:szCs w:val="24"/>
          <w:lang w:val="en-US"/>
        </w:rPr>
      </w:pPr>
      <w:r w:rsidRPr="00E04783">
        <w:rPr>
          <w:rFonts w:ascii="Lato" w:hAnsi="Lato"/>
          <w:sz w:val="24"/>
          <w:szCs w:val="24"/>
          <w:lang w:val="en-US"/>
        </w:rPr>
        <w:t xml:space="preserve">Street outreach, including education, treatment, and referrals to vital </w:t>
      </w:r>
      <w:r w:rsidR="009622F4" w:rsidRPr="00E04783">
        <w:rPr>
          <w:rFonts w:ascii="Lato" w:hAnsi="Lato"/>
          <w:sz w:val="24"/>
          <w:szCs w:val="24"/>
          <w:lang w:val="en-US"/>
        </w:rPr>
        <w:t>services.</w:t>
      </w:r>
    </w:p>
    <w:p w14:paraId="7ABB7D2A" w14:textId="3B1A1278" w:rsidR="00F352F7" w:rsidRPr="00E04783" w:rsidRDefault="00F352F7" w:rsidP="00152F62">
      <w:pPr>
        <w:numPr>
          <w:ilvl w:val="0"/>
          <w:numId w:val="4"/>
        </w:numPr>
        <w:contextualSpacing/>
        <w:jc w:val="both"/>
        <w:rPr>
          <w:rFonts w:ascii="Lato" w:hAnsi="Lato"/>
          <w:sz w:val="24"/>
          <w:szCs w:val="24"/>
          <w:lang w:val="en-US"/>
        </w:rPr>
      </w:pPr>
      <w:r w:rsidRPr="00E04783">
        <w:rPr>
          <w:rFonts w:ascii="Lato" w:hAnsi="Lato"/>
          <w:sz w:val="24"/>
          <w:szCs w:val="24"/>
          <w:lang w:val="en-US"/>
        </w:rPr>
        <w:t xml:space="preserve">Basic </w:t>
      </w:r>
      <w:r w:rsidR="000161FA" w:rsidRPr="00E04783">
        <w:rPr>
          <w:rFonts w:ascii="Lato" w:hAnsi="Lato"/>
          <w:sz w:val="24"/>
          <w:szCs w:val="24"/>
          <w:lang w:val="en-US"/>
        </w:rPr>
        <w:t>centers</w:t>
      </w:r>
      <w:r w:rsidRPr="00E04783">
        <w:rPr>
          <w:rFonts w:ascii="Lato" w:hAnsi="Lato"/>
          <w:sz w:val="24"/>
          <w:szCs w:val="24"/>
          <w:lang w:val="en-US"/>
        </w:rPr>
        <w:t xml:space="preserve">, including temporary shelter, family reunification, and </w:t>
      </w:r>
      <w:r w:rsidR="009622F4" w:rsidRPr="00E04783">
        <w:rPr>
          <w:rFonts w:ascii="Lato" w:hAnsi="Lato"/>
          <w:sz w:val="24"/>
          <w:szCs w:val="24"/>
          <w:lang w:val="en-US"/>
        </w:rPr>
        <w:t>aftercare.</w:t>
      </w:r>
    </w:p>
    <w:p w14:paraId="05BDA58E" w14:textId="160F465C" w:rsidR="00F352F7" w:rsidRPr="00E04783" w:rsidRDefault="00F352F7" w:rsidP="00152F62">
      <w:pPr>
        <w:numPr>
          <w:ilvl w:val="0"/>
          <w:numId w:val="4"/>
        </w:numPr>
        <w:contextualSpacing/>
        <w:jc w:val="both"/>
        <w:rPr>
          <w:rFonts w:ascii="Lato" w:hAnsi="Lato"/>
          <w:sz w:val="24"/>
          <w:szCs w:val="24"/>
          <w:lang w:val="en-US"/>
        </w:rPr>
      </w:pPr>
      <w:r w:rsidRPr="00E04783">
        <w:rPr>
          <w:rFonts w:ascii="Lato" w:hAnsi="Lato"/>
          <w:sz w:val="24"/>
          <w:szCs w:val="24"/>
          <w:lang w:val="en-US"/>
        </w:rPr>
        <w:t>Transitional living, including long-term housing and support services</w:t>
      </w:r>
      <w:r w:rsidR="0071137E" w:rsidRPr="00E04783">
        <w:rPr>
          <w:rFonts w:ascii="Lato" w:hAnsi="Lato"/>
          <w:sz w:val="24"/>
          <w:szCs w:val="24"/>
          <w:lang w:val="en-US"/>
        </w:rPr>
        <w:t>.</w:t>
      </w:r>
    </w:p>
    <w:p w14:paraId="48943957" w14:textId="77777777" w:rsidR="009924FA" w:rsidRPr="00E04783" w:rsidRDefault="009924FA" w:rsidP="009924FA">
      <w:pPr>
        <w:contextualSpacing/>
        <w:jc w:val="both"/>
        <w:rPr>
          <w:rFonts w:ascii="Lato" w:hAnsi="Lato"/>
          <w:sz w:val="24"/>
          <w:szCs w:val="24"/>
          <w:lang w:val="en-US"/>
        </w:rPr>
      </w:pPr>
    </w:p>
    <w:p w14:paraId="57DF5063" w14:textId="2C4B9AA7" w:rsidR="003C2720" w:rsidRPr="00E04783" w:rsidRDefault="00F352F7" w:rsidP="00152F62">
      <w:pPr>
        <w:jc w:val="both"/>
        <w:rPr>
          <w:rFonts w:ascii="Lato" w:hAnsi="Lato"/>
          <w:sz w:val="24"/>
          <w:szCs w:val="24"/>
          <w:lang w:val="en-US"/>
        </w:rPr>
      </w:pPr>
      <w:r w:rsidRPr="00E04783">
        <w:rPr>
          <w:rFonts w:ascii="Lato" w:hAnsi="Lato"/>
          <w:sz w:val="24"/>
          <w:szCs w:val="24"/>
          <w:lang w:val="en-US"/>
        </w:rPr>
        <w:t>This initiative has not necessarily proved to be beneficial for LGBT</w:t>
      </w:r>
      <w:r w:rsidR="00C24FBC">
        <w:rPr>
          <w:rFonts w:ascii="Lato" w:hAnsi="Lato"/>
          <w:sz w:val="24"/>
          <w:szCs w:val="24"/>
          <w:lang w:val="en-US"/>
        </w:rPr>
        <w:t>I</w:t>
      </w:r>
      <w:r w:rsidRPr="00E04783">
        <w:rPr>
          <w:rFonts w:ascii="Lato" w:hAnsi="Lato"/>
          <w:sz w:val="24"/>
          <w:szCs w:val="24"/>
          <w:lang w:val="en-US"/>
        </w:rPr>
        <w:t xml:space="preserve"> youth. The Obama administration</w:t>
      </w:r>
      <w:r w:rsidRPr="00E04783">
        <w:rPr>
          <w:rFonts w:ascii="Lato" w:hAnsi="Lato"/>
          <w:sz w:val="24"/>
          <w:szCs w:val="24"/>
          <w:vertAlign w:val="superscript"/>
          <w:lang w:val="en-US"/>
        </w:rPr>
        <w:footnoteReference w:id="179"/>
      </w:r>
      <w:r w:rsidRPr="00E04783">
        <w:rPr>
          <w:rFonts w:ascii="Lato" w:hAnsi="Lato"/>
          <w:sz w:val="24"/>
          <w:szCs w:val="24"/>
          <w:lang w:val="en-US"/>
        </w:rPr>
        <w:t xml:space="preserve"> initially made it illegal for federally funded shelters to discriminate against persons with diverse sexual orientation or gender identity, these protections were later weakened.</w:t>
      </w:r>
      <w:r w:rsidRPr="00E04783">
        <w:rPr>
          <w:rFonts w:ascii="Lato" w:hAnsi="Lato"/>
          <w:sz w:val="24"/>
          <w:szCs w:val="24"/>
          <w:vertAlign w:val="superscript"/>
          <w:lang w:val="en-US"/>
        </w:rPr>
        <w:footnoteReference w:id="180"/>
      </w:r>
    </w:p>
    <w:p w14:paraId="1BEB1872" w14:textId="3C7B54ED" w:rsidR="00FA298A" w:rsidRPr="00E04783" w:rsidRDefault="75309028" w:rsidP="00E11130">
      <w:pPr>
        <w:pStyle w:val="Heading1"/>
        <w:jc w:val="both"/>
        <w:rPr>
          <w:lang w:val="en-US"/>
        </w:rPr>
      </w:pPr>
      <w:bookmarkStart w:id="20" w:name="_Toc147244634"/>
      <w:r w:rsidRPr="00E04783">
        <w:rPr>
          <w:lang w:val="en-US"/>
        </w:rPr>
        <w:t xml:space="preserve">4. </w:t>
      </w:r>
      <w:r w:rsidR="00E11130" w:rsidRPr="00043C97">
        <w:rPr>
          <w:lang w:val="en-US"/>
        </w:rPr>
        <w:t>Recommendations</w:t>
      </w:r>
      <w:bookmarkEnd w:id="20"/>
      <w:r w:rsidR="00603075" w:rsidRPr="00E04783">
        <w:rPr>
          <w:lang w:val="en-US"/>
        </w:rPr>
        <w:t xml:space="preserve"> </w:t>
      </w:r>
    </w:p>
    <w:p w14:paraId="3F9003E1" w14:textId="652EC557" w:rsidR="00A96776" w:rsidRPr="00E04783" w:rsidRDefault="00663A73" w:rsidP="00AE33D1">
      <w:pPr>
        <w:jc w:val="both"/>
        <w:rPr>
          <w:rFonts w:ascii="Lato" w:hAnsi="Lato"/>
          <w:sz w:val="24"/>
          <w:szCs w:val="24"/>
          <w:lang w:val="en-US"/>
        </w:rPr>
      </w:pPr>
      <w:r>
        <w:rPr>
          <w:rFonts w:ascii="Lato" w:hAnsi="Lato"/>
          <w:sz w:val="24"/>
          <w:szCs w:val="24"/>
          <w:lang w:val="en-US"/>
        </w:rPr>
        <w:t>Our recommendations based on this report are split into three sections: addressing the ‘root causes’ of homelessness and poverty; data collection, research, and methodologies; and recommendations for initiative implementation.</w:t>
      </w:r>
    </w:p>
    <w:p w14:paraId="30100B45" w14:textId="077A3051" w:rsidR="00DE2D49" w:rsidRPr="00DE2D49" w:rsidRDefault="004321D4" w:rsidP="00DE2D49">
      <w:pPr>
        <w:pStyle w:val="Heading2"/>
        <w:rPr>
          <w:lang w:val="en-US"/>
        </w:rPr>
      </w:pPr>
      <w:bookmarkStart w:id="21" w:name="_Toc147244635"/>
      <w:r>
        <w:rPr>
          <w:lang w:val="en-US"/>
        </w:rPr>
        <w:t xml:space="preserve">4.1 </w:t>
      </w:r>
      <w:r w:rsidR="00DE2D49">
        <w:rPr>
          <w:lang w:val="en-US"/>
        </w:rPr>
        <w:t>Recommendations for addressing the ‘root causes’</w:t>
      </w:r>
      <w:bookmarkEnd w:id="21"/>
    </w:p>
    <w:p w14:paraId="0A079305" w14:textId="1CEBA460" w:rsidR="00DE2D49" w:rsidRDefault="00DE2D49" w:rsidP="0073234B">
      <w:pPr>
        <w:pStyle w:val="ListParagraph"/>
        <w:numPr>
          <w:ilvl w:val="0"/>
          <w:numId w:val="8"/>
        </w:numPr>
        <w:ind w:left="426"/>
        <w:jc w:val="both"/>
        <w:rPr>
          <w:rFonts w:ascii="Lato" w:hAnsi="Lato"/>
          <w:sz w:val="24"/>
          <w:szCs w:val="24"/>
        </w:rPr>
      </w:pPr>
      <w:r>
        <w:rPr>
          <w:rFonts w:ascii="Lato" w:hAnsi="Lato"/>
          <w:sz w:val="24"/>
          <w:szCs w:val="24"/>
        </w:rPr>
        <w:t>E</w:t>
      </w:r>
      <w:r w:rsidRPr="002A74BE">
        <w:rPr>
          <w:rFonts w:ascii="Lato" w:hAnsi="Lato"/>
          <w:sz w:val="24"/>
          <w:szCs w:val="24"/>
        </w:rPr>
        <w:t xml:space="preserve">ncourage states to implement legal protections against housing discrimination </w:t>
      </w:r>
      <w:r w:rsidR="00D4794D">
        <w:rPr>
          <w:rFonts w:ascii="Lato" w:hAnsi="Lato"/>
          <w:sz w:val="24"/>
          <w:szCs w:val="24"/>
        </w:rPr>
        <w:t>towards</w:t>
      </w:r>
      <w:r w:rsidRPr="002A74BE">
        <w:rPr>
          <w:rFonts w:ascii="Lato" w:hAnsi="Lato"/>
          <w:sz w:val="24"/>
          <w:szCs w:val="24"/>
        </w:rPr>
        <w:t xml:space="preserve"> LGBTI persons</w:t>
      </w:r>
      <w:r>
        <w:rPr>
          <w:rFonts w:ascii="Lato" w:hAnsi="Lato"/>
          <w:sz w:val="24"/>
          <w:szCs w:val="24"/>
        </w:rPr>
        <w:t>, to aptly address the ‘root causes’ of the criminalization of LGBTI persons who experience homelessness and poverty</w:t>
      </w:r>
      <w:r w:rsidRPr="002A74BE">
        <w:rPr>
          <w:rFonts w:ascii="Lato" w:hAnsi="Lato"/>
          <w:sz w:val="24"/>
          <w:szCs w:val="24"/>
        </w:rPr>
        <w:t xml:space="preserve">. </w:t>
      </w:r>
      <w:r>
        <w:rPr>
          <w:rFonts w:ascii="Lato" w:hAnsi="Lato"/>
          <w:sz w:val="24"/>
          <w:szCs w:val="24"/>
        </w:rPr>
        <w:t xml:space="preserve">For these protections to be fully comprehensive, states should enact </w:t>
      </w:r>
      <w:r w:rsidR="00861CCC">
        <w:rPr>
          <w:rFonts w:ascii="Lato" w:hAnsi="Lato"/>
          <w:sz w:val="24"/>
          <w:szCs w:val="24"/>
        </w:rPr>
        <w:t>national housing</w:t>
      </w:r>
      <w:r>
        <w:rPr>
          <w:rFonts w:ascii="Lato" w:hAnsi="Lato"/>
          <w:sz w:val="24"/>
          <w:szCs w:val="24"/>
        </w:rPr>
        <w:t xml:space="preserve"> </w:t>
      </w:r>
      <w:r w:rsidR="000F7AF4">
        <w:rPr>
          <w:rFonts w:ascii="Lato" w:hAnsi="Lato"/>
          <w:sz w:val="24"/>
          <w:szCs w:val="24"/>
        </w:rPr>
        <w:t xml:space="preserve">policy and </w:t>
      </w:r>
      <w:r>
        <w:rPr>
          <w:rFonts w:ascii="Lato" w:hAnsi="Lato"/>
          <w:sz w:val="24"/>
          <w:szCs w:val="24"/>
        </w:rPr>
        <w:lastRenderedPageBreak/>
        <w:t xml:space="preserve">legislation on a federal level </w:t>
      </w:r>
      <w:r w:rsidR="000F7AF4">
        <w:rPr>
          <w:rFonts w:ascii="Lato" w:hAnsi="Lato"/>
          <w:sz w:val="24"/>
          <w:szCs w:val="24"/>
        </w:rPr>
        <w:t xml:space="preserve">to </w:t>
      </w:r>
      <w:r>
        <w:rPr>
          <w:rFonts w:ascii="Lato" w:hAnsi="Lato"/>
          <w:sz w:val="24"/>
          <w:szCs w:val="24"/>
        </w:rPr>
        <w:t>explicitly encompass discrimination on the grounds of sexual orientation, gender identity, gender expression and sex characteristics.</w:t>
      </w:r>
    </w:p>
    <w:p w14:paraId="5F9FCD2E" w14:textId="77777777" w:rsidR="00DE2D49" w:rsidRDefault="00DE2D49" w:rsidP="0073234B">
      <w:pPr>
        <w:pStyle w:val="ListParagraph"/>
        <w:numPr>
          <w:ilvl w:val="0"/>
          <w:numId w:val="8"/>
        </w:numPr>
        <w:ind w:left="426"/>
        <w:jc w:val="both"/>
        <w:rPr>
          <w:rFonts w:ascii="Lato" w:hAnsi="Lato"/>
          <w:sz w:val="24"/>
          <w:szCs w:val="24"/>
        </w:rPr>
      </w:pPr>
      <w:r>
        <w:rPr>
          <w:rFonts w:ascii="Lato" w:hAnsi="Lato"/>
          <w:sz w:val="24"/>
          <w:szCs w:val="24"/>
        </w:rPr>
        <w:t>Address the decriminalization of housing and poverty with an understanding that there are distinct causes for LGBTI homelessness and poverty, such as familial rejection due to diverse SOGEISC, exacerbated mental health issues or substance abuse. In a similar vein, LGBTI people who face homelessness also experience challenges distinct from their non-LGBTI peers, including heightened risk of sexual exploitation, physical victimization, violence, and suicidal behaviours.</w:t>
      </w:r>
    </w:p>
    <w:p w14:paraId="6136BCA3" w14:textId="59283A56" w:rsidR="00B14AA0" w:rsidRDefault="00050592" w:rsidP="0073234B">
      <w:pPr>
        <w:pStyle w:val="ListParagraph"/>
        <w:numPr>
          <w:ilvl w:val="0"/>
          <w:numId w:val="8"/>
        </w:numPr>
        <w:ind w:left="426"/>
        <w:jc w:val="both"/>
        <w:rPr>
          <w:rFonts w:ascii="Lato" w:hAnsi="Lato"/>
          <w:sz w:val="24"/>
          <w:szCs w:val="24"/>
        </w:rPr>
      </w:pPr>
      <w:r>
        <w:rPr>
          <w:rFonts w:ascii="Lato" w:hAnsi="Lato"/>
          <w:sz w:val="24"/>
          <w:szCs w:val="24"/>
        </w:rPr>
        <w:t>Explore further the contexts of the criminalization of LGBTI persons as a risk factor to homelessness and extreme poverty. For example, t</w:t>
      </w:r>
      <w:r w:rsidR="000F7AF4" w:rsidRPr="00050592">
        <w:rPr>
          <w:rFonts w:ascii="Lato" w:hAnsi="Lato"/>
          <w:sz w:val="24"/>
          <w:szCs w:val="24"/>
        </w:rPr>
        <w:t>ackle</w:t>
      </w:r>
      <w:r w:rsidR="002A1437" w:rsidRPr="00050592">
        <w:rPr>
          <w:rFonts w:ascii="Lato" w:hAnsi="Lato"/>
          <w:sz w:val="24"/>
          <w:szCs w:val="24"/>
        </w:rPr>
        <w:t xml:space="preserve"> the</w:t>
      </w:r>
      <w:r w:rsidR="00ED0E58" w:rsidRPr="00050592">
        <w:rPr>
          <w:rFonts w:ascii="Lato" w:hAnsi="Lato"/>
          <w:sz w:val="24"/>
          <w:szCs w:val="24"/>
        </w:rPr>
        <w:t xml:space="preserve"> </w:t>
      </w:r>
      <w:r w:rsidR="00ED0E58" w:rsidRPr="00B73FCA">
        <w:rPr>
          <w:rFonts w:ascii="Lato" w:hAnsi="Lato"/>
          <w:sz w:val="24"/>
          <w:szCs w:val="24"/>
        </w:rPr>
        <w:t>inadequate</w:t>
      </w:r>
      <w:r w:rsidR="002A1437" w:rsidRPr="00B73FCA">
        <w:rPr>
          <w:rFonts w:ascii="Lato" w:hAnsi="Lato"/>
          <w:sz w:val="24"/>
          <w:szCs w:val="24"/>
        </w:rPr>
        <w:t xml:space="preserve"> structural and systemic </w:t>
      </w:r>
      <w:r w:rsidR="00ED0E58" w:rsidRPr="00B73FCA">
        <w:rPr>
          <w:rFonts w:ascii="Lato" w:hAnsi="Lato"/>
          <w:sz w:val="24"/>
          <w:szCs w:val="24"/>
        </w:rPr>
        <w:t>infrastructures</w:t>
      </w:r>
      <w:r w:rsidR="002A1437" w:rsidRPr="00B73FCA">
        <w:rPr>
          <w:rFonts w:ascii="Lato" w:hAnsi="Lato"/>
          <w:sz w:val="24"/>
          <w:szCs w:val="24"/>
        </w:rPr>
        <w:t xml:space="preserve"> that </w:t>
      </w:r>
      <w:r w:rsidR="00DE3CEE" w:rsidRPr="00B73FCA">
        <w:rPr>
          <w:rFonts w:ascii="Lato" w:hAnsi="Lato"/>
          <w:sz w:val="24"/>
          <w:szCs w:val="24"/>
        </w:rPr>
        <w:t xml:space="preserve">expose </w:t>
      </w:r>
      <w:r w:rsidR="002A1437" w:rsidRPr="00B73FCA">
        <w:rPr>
          <w:rFonts w:ascii="Lato" w:hAnsi="Lato"/>
          <w:sz w:val="24"/>
          <w:szCs w:val="24"/>
        </w:rPr>
        <w:t xml:space="preserve">LGBTI </w:t>
      </w:r>
      <w:r w:rsidR="00DE3CEE" w:rsidRPr="00B73FCA">
        <w:rPr>
          <w:rFonts w:ascii="Lato" w:hAnsi="Lato"/>
          <w:sz w:val="24"/>
          <w:szCs w:val="24"/>
        </w:rPr>
        <w:t xml:space="preserve">persons to socio-economic injustices, and which result in </w:t>
      </w:r>
      <w:r w:rsidR="002A1437" w:rsidRPr="00B73FCA">
        <w:rPr>
          <w:rFonts w:ascii="Lato" w:hAnsi="Lato"/>
          <w:sz w:val="24"/>
          <w:szCs w:val="24"/>
        </w:rPr>
        <w:t>homelessness or poverty</w:t>
      </w:r>
      <w:r w:rsidR="00B114B6" w:rsidRPr="00B73FCA">
        <w:rPr>
          <w:rFonts w:ascii="Lato" w:hAnsi="Lato"/>
          <w:sz w:val="24"/>
          <w:szCs w:val="24"/>
        </w:rPr>
        <w:t>.</w:t>
      </w:r>
      <w:r w:rsidR="00B114B6" w:rsidRPr="00050592">
        <w:rPr>
          <w:rFonts w:ascii="Lato" w:hAnsi="Lato"/>
          <w:sz w:val="24"/>
          <w:szCs w:val="24"/>
        </w:rPr>
        <w:t xml:space="preserve"> F</w:t>
      </w:r>
      <w:r w:rsidR="00CD6BE2" w:rsidRPr="00050592">
        <w:rPr>
          <w:rFonts w:ascii="Lato" w:hAnsi="Lato"/>
          <w:sz w:val="24"/>
          <w:szCs w:val="24"/>
        </w:rPr>
        <w:t>or example, the lack o</w:t>
      </w:r>
      <w:r w:rsidR="00B114B6" w:rsidRPr="00050592">
        <w:rPr>
          <w:rFonts w:ascii="Lato" w:hAnsi="Lato"/>
          <w:sz w:val="24"/>
          <w:szCs w:val="24"/>
        </w:rPr>
        <w:t>f</w:t>
      </w:r>
      <w:r w:rsidR="001B3B89">
        <w:rPr>
          <w:rFonts w:ascii="Lato" w:hAnsi="Lato"/>
          <w:sz w:val="24"/>
          <w:szCs w:val="24"/>
        </w:rPr>
        <w:t xml:space="preserve"> employment</w:t>
      </w:r>
      <w:r w:rsidR="00B114B6" w:rsidRPr="00050592">
        <w:rPr>
          <w:rFonts w:ascii="Lato" w:hAnsi="Lato"/>
          <w:sz w:val="24"/>
          <w:szCs w:val="24"/>
        </w:rPr>
        <w:t xml:space="preserve"> protections </w:t>
      </w:r>
      <w:r w:rsidR="00B73FCA">
        <w:rPr>
          <w:rFonts w:ascii="Lato" w:hAnsi="Lato"/>
          <w:sz w:val="24"/>
          <w:szCs w:val="24"/>
        </w:rPr>
        <w:t xml:space="preserve">for </w:t>
      </w:r>
      <w:r w:rsidR="00B114B6" w:rsidRPr="00050592">
        <w:rPr>
          <w:rFonts w:ascii="Lato" w:hAnsi="Lato"/>
          <w:sz w:val="24"/>
          <w:szCs w:val="24"/>
        </w:rPr>
        <w:t xml:space="preserve">sex work </w:t>
      </w:r>
      <w:r w:rsidR="00B73FCA">
        <w:rPr>
          <w:rFonts w:ascii="Lato" w:hAnsi="Lato"/>
          <w:sz w:val="24"/>
          <w:szCs w:val="24"/>
        </w:rPr>
        <w:t>can lead to vulnerability, discrimination, violence</w:t>
      </w:r>
      <w:r w:rsidR="00AF4C24">
        <w:rPr>
          <w:rFonts w:ascii="Lato" w:hAnsi="Lato"/>
          <w:sz w:val="24"/>
          <w:szCs w:val="24"/>
        </w:rPr>
        <w:t>,</w:t>
      </w:r>
      <w:r w:rsidR="00B73FCA">
        <w:rPr>
          <w:rFonts w:ascii="Lato" w:hAnsi="Lato"/>
          <w:sz w:val="24"/>
          <w:szCs w:val="24"/>
        </w:rPr>
        <w:t xml:space="preserve"> and exploitation</w:t>
      </w:r>
      <w:r w:rsidR="00B114B6" w:rsidRPr="00050592">
        <w:rPr>
          <w:rFonts w:ascii="Lato" w:hAnsi="Lato"/>
          <w:sz w:val="24"/>
          <w:szCs w:val="24"/>
        </w:rPr>
        <w:t>.</w:t>
      </w:r>
      <w:r w:rsidR="00AF4C24">
        <w:rPr>
          <w:rFonts w:ascii="Lato" w:hAnsi="Lato"/>
          <w:sz w:val="24"/>
          <w:szCs w:val="24"/>
        </w:rPr>
        <w:t xml:space="preserve"> Lack of official recognition also excludes sex workers from entitlements to welfare support.</w:t>
      </w:r>
      <w:r w:rsidR="00B73FCA">
        <w:rPr>
          <w:rStyle w:val="FootnoteReference"/>
          <w:rFonts w:ascii="Lato" w:hAnsi="Lato"/>
          <w:sz w:val="24"/>
          <w:szCs w:val="24"/>
        </w:rPr>
        <w:footnoteReference w:id="181"/>
      </w:r>
      <w:r w:rsidR="00B114B6" w:rsidRPr="00050592">
        <w:rPr>
          <w:rFonts w:ascii="Lato" w:hAnsi="Lato"/>
          <w:sz w:val="24"/>
          <w:szCs w:val="24"/>
        </w:rPr>
        <w:t xml:space="preserve"> Or </w:t>
      </w:r>
      <w:r w:rsidR="00B114B6" w:rsidRPr="00E75C7E">
        <w:rPr>
          <w:rFonts w:ascii="Lato" w:hAnsi="Lato"/>
          <w:sz w:val="24"/>
          <w:szCs w:val="24"/>
        </w:rPr>
        <w:t>if</w:t>
      </w:r>
      <w:r w:rsidR="00E75C7E">
        <w:rPr>
          <w:rFonts w:ascii="Lato" w:hAnsi="Lato"/>
          <w:sz w:val="24"/>
          <w:szCs w:val="24"/>
        </w:rPr>
        <w:t xml:space="preserve"> migrants and refugees </w:t>
      </w:r>
      <w:r w:rsidR="00C057D4">
        <w:rPr>
          <w:rFonts w:ascii="Lato" w:hAnsi="Lato"/>
          <w:sz w:val="24"/>
          <w:szCs w:val="24"/>
        </w:rPr>
        <w:t>are disallowed from working</w:t>
      </w:r>
      <w:r w:rsidR="00B114B6" w:rsidRPr="00050592">
        <w:rPr>
          <w:rFonts w:ascii="Lato" w:hAnsi="Lato"/>
          <w:sz w:val="24"/>
          <w:szCs w:val="24"/>
        </w:rPr>
        <w:t xml:space="preserve">, </w:t>
      </w:r>
      <w:r w:rsidR="00F2774F" w:rsidRPr="00050592">
        <w:rPr>
          <w:rFonts w:ascii="Lato" w:hAnsi="Lato"/>
          <w:sz w:val="24"/>
          <w:szCs w:val="24"/>
        </w:rPr>
        <w:t>this will exacerbate the exposure to poverty and homelessness</w:t>
      </w:r>
      <w:r w:rsidR="00C057D4">
        <w:rPr>
          <w:rFonts w:ascii="Lato" w:hAnsi="Lato"/>
          <w:sz w:val="24"/>
          <w:szCs w:val="24"/>
        </w:rPr>
        <w:t xml:space="preserve"> due to lack of economic agency and autonomy.</w:t>
      </w:r>
      <w:r w:rsidR="00C057D4">
        <w:rPr>
          <w:rStyle w:val="FootnoteReference"/>
          <w:rFonts w:ascii="Lato" w:hAnsi="Lato"/>
          <w:sz w:val="24"/>
          <w:szCs w:val="24"/>
        </w:rPr>
        <w:footnoteReference w:id="182"/>
      </w:r>
    </w:p>
    <w:p w14:paraId="11306529" w14:textId="085A69DA" w:rsidR="00050592" w:rsidRPr="00050592" w:rsidRDefault="00050592" w:rsidP="0073234B">
      <w:pPr>
        <w:pStyle w:val="ListParagraph"/>
        <w:numPr>
          <w:ilvl w:val="0"/>
          <w:numId w:val="8"/>
        </w:numPr>
        <w:ind w:left="426"/>
        <w:jc w:val="both"/>
        <w:rPr>
          <w:rFonts w:ascii="Lato" w:hAnsi="Lato"/>
          <w:sz w:val="24"/>
          <w:szCs w:val="24"/>
        </w:rPr>
      </w:pPr>
      <w:r>
        <w:rPr>
          <w:rFonts w:ascii="Lato" w:hAnsi="Lato"/>
          <w:sz w:val="24"/>
          <w:szCs w:val="24"/>
        </w:rPr>
        <w:t xml:space="preserve">Design campaigns that specifically focus on the ‘root causes’ and consequences of homelessness and extreme poverty </w:t>
      </w:r>
      <w:r w:rsidR="002E37F1">
        <w:rPr>
          <w:rFonts w:ascii="Lato" w:hAnsi="Lato"/>
          <w:sz w:val="24"/>
          <w:szCs w:val="24"/>
        </w:rPr>
        <w:t xml:space="preserve">within the LGBTI population, with focusses on </w:t>
      </w:r>
      <w:r w:rsidR="00F10BA7">
        <w:rPr>
          <w:rFonts w:ascii="Lato" w:hAnsi="Lato"/>
          <w:sz w:val="24"/>
          <w:szCs w:val="24"/>
        </w:rPr>
        <w:t xml:space="preserve">more marginalized populations such as </w:t>
      </w:r>
      <w:r w:rsidR="00F10BA7" w:rsidRPr="00591281">
        <w:rPr>
          <w:rFonts w:ascii="Lato" w:hAnsi="Lato"/>
          <w:sz w:val="24"/>
          <w:szCs w:val="24"/>
        </w:rPr>
        <w:t>migrants and refugees, racial and ethnic minorities, women, sex workers and youth</w:t>
      </w:r>
      <w:r w:rsidR="00F10BA7">
        <w:rPr>
          <w:rFonts w:ascii="Lato" w:hAnsi="Lato"/>
          <w:sz w:val="24"/>
          <w:szCs w:val="24"/>
        </w:rPr>
        <w:t xml:space="preserve">. </w:t>
      </w:r>
    </w:p>
    <w:p w14:paraId="108F378E" w14:textId="6E7B2B29" w:rsidR="00DE2D49" w:rsidRDefault="004321D4" w:rsidP="0073234B">
      <w:pPr>
        <w:pStyle w:val="Heading2"/>
        <w:ind w:left="66"/>
        <w:rPr>
          <w:szCs w:val="24"/>
        </w:rPr>
      </w:pPr>
      <w:bookmarkStart w:id="22" w:name="_Toc147244636"/>
      <w:r>
        <w:rPr>
          <w:lang w:val="en-US"/>
        </w:rPr>
        <w:t xml:space="preserve">4.2 </w:t>
      </w:r>
      <w:r w:rsidR="00DE2D49">
        <w:rPr>
          <w:lang w:val="en-US"/>
        </w:rPr>
        <w:t xml:space="preserve">Recommendations for </w:t>
      </w:r>
      <w:r w:rsidR="00DE2D49">
        <w:rPr>
          <w:szCs w:val="24"/>
        </w:rPr>
        <w:t>data collection, research, and methodologies</w:t>
      </w:r>
      <w:bookmarkEnd w:id="22"/>
    </w:p>
    <w:p w14:paraId="457D4395" w14:textId="6A0507F3" w:rsidR="00DE2D49" w:rsidRPr="001E60BF" w:rsidRDefault="00DE2D49" w:rsidP="0073234B">
      <w:pPr>
        <w:pStyle w:val="ListParagraph"/>
        <w:numPr>
          <w:ilvl w:val="0"/>
          <w:numId w:val="7"/>
        </w:numPr>
        <w:ind w:left="426"/>
        <w:jc w:val="both"/>
        <w:rPr>
          <w:rFonts w:ascii="Lato" w:hAnsi="Lato"/>
          <w:sz w:val="24"/>
          <w:szCs w:val="24"/>
        </w:rPr>
      </w:pPr>
      <w:r w:rsidRPr="008C0D8A">
        <w:rPr>
          <w:rFonts w:ascii="Lato" w:hAnsi="Lato"/>
          <w:sz w:val="24"/>
          <w:szCs w:val="24"/>
        </w:rPr>
        <w:t>Encourage states to increase and improve their data collection and research on LGBTI persons who experience homelessness and poverty. This should include tailored surveys that consider the specific challenges experienced by LGBTI persons, and the reporting of data disaggregated by SOGIESC</w:t>
      </w:r>
      <w:r>
        <w:rPr>
          <w:rFonts w:ascii="Lato" w:hAnsi="Lato"/>
          <w:sz w:val="24"/>
          <w:szCs w:val="24"/>
        </w:rPr>
        <w:t>.</w:t>
      </w:r>
      <w:r w:rsidRPr="001E60BF">
        <w:rPr>
          <w:rFonts w:ascii="Lato" w:hAnsi="Lato"/>
          <w:sz w:val="24"/>
          <w:szCs w:val="24"/>
        </w:rPr>
        <w:t xml:space="preserve"> </w:t>
      </w:r>
    </w:p>
    <w:p w14:paraId="7196795A" w14:textId="77777777" w:rsidR="00DE2D49" w:rsidRDefault="00DE2D49" w:rsidP="0073234B">
      <w:pPr>
        <w:pStyle w:val="ListParagraph"/>
        <w:numPr>
          <w:ilvl w:val="0"/>
          <w:numId w:val="7"/>
        </w:numPr>
        <w:ind w:left="426"/>
        <w:jc w:val="both"/>
        <w:rPr>
          <w:rFonts w:ascii="Lato" w:hAnsi="Lato"/>
          <w:sz w:val="24"/>
          <w:szCs w:val="24"/>
        </w:rPr>
      </w:pPr>
      <w:r>
        <w:rPr>
          <w:rFonts w:ascii="Lato" w:hAnsi="Lato"/>
          <w:sz w:val="24"/>
          <w:szCs w:val="24"/>
        </w:rPr>
        <w:t xml:space="preserve">Encourage data and research methodologies on the criminalization of homelessness and poverty to use an intersectional feminist approach, that factors in and addresses the multifaceted and overlapping identities of LGBTI persons, paying specific attention to those most vulnerable and marginalised who are most likely to get left the furthest behind: </w:t>
      </w:r>
      <w:r w:rsidRPr="001E60BF">
        <w:rPr>
          <w:rFonts w:ascii="Lato" w:hAnsi="Lato"/>
          <w:sz w:val="24"/>
          <w:szCs w:val="24"/>
        </w:rPr>
        <w:t>migrants and refugees, racial and ethnic minorities, women, sex workers and youth</w:t>
      </w:r>
      <w:r>
        <w:rPr>
          <w:rFonts w:ascii="Lato" w:hAnsi="Lato"/>
          <w:sz w:val="24"/>
          <w:szCs w:val="24"/>
        </w:rPr>
        <w:t>.</w:t>
      </w:r>
    </w:p>
    <w:p w14:paraId="68C76839" w14:textId="77777777" w:rsidR="00C057D4" w:rsidRDefault="00DE2D49" w:rsidP="00C057D4">
      <w:pPr>
        <w:pStyle w:val="ListParagraph"/>
        <w:numPr>
          <w:ilvl w:val="0"/>
          <w:numId w:val="7"/>
        </w:numPr>
        <w:ind w:left="426"/>
        <w:jc w:val="both"/>
        <w:rPr>
          <w:rFonts w:ascii="Lato" w:hAnsi="Lato"/>
          <w:sz w:val="24"/>
          <w:szCs w:val="24"/>
        </w:rPr>
      </w:pPr>
      <w:bookmarkStart w:id="23" w:name="_Hlk146880271"/>
      <w:r>
        <w:rPr>
          <w:rFonts w:ascii="Lato" w:hAnsi="Lato"/>
          <w:sz w:val="24"/>
          <w:szCs w:val="24"/>
        </w:rPr>
        <w:t xml:space="preserve">Encourage data and research to be informed by the lived experiences of LGBTI persons who have </w:t>
      </w:r>
      <w:bookmarkEnd w:id="23"/>
      <w:r>
        <w:rPr>
          <w:rFonts w:ascii="Lato" w:hAnsi="Lato"/>
          <w:sz w:val="24"/>
          <w:szCs w:val="24"/>
        </w:rPr>
        <w:t xml:space="preserve">lived through homelessness and poverty. </w:t>
      </w:r>
    </w:p>
    <w:p w14:paraId="064F73ED" w14:textId="05B41647" w:rsidR="00050592" w:rsidRPr="00C057D4" w:rsidRDefault="00DE2D49" w:rsidP="00C057D4">
      <w:pPr>
        <w:pStyle w:val="ListParagraph"/>
        <w:numPr>
          <w:ilvl w:val="1"/>
          <w:numId w:val="7"/>
        </w:numPr>
        <w:ind w:left="1134"/>
        <w:jc w:val="both"/>
        <w:rPr>
          <w:rFonts w:ascii="Lato" w:hAnsi="Lato"/>
          <w:sz w:val="24"/>
          <w:szCs w:val="24"/>
        </w:rPr>
      </w:pPr>
      <w:r w:rsidRPr="00C057D4">
        <w:rPr>
          <w:rFonts w:ascii="Lato" w:hAnsi="Lato"/>
          <w:sz w:val="24"/>
          <w:szCs w:val="24"/>
        </w:rPr>
        <w:t>For example, organize consultations and build relationships with local, grassroots LGBTI groups and Civil Society Organizations whose focus is combatting LGBTI homelessness and poverty</w:t>
      </w:r>
      <w:r w:rsidR="00DF6253" w:rsidRPr="00C057D4">
        <w:rPr>
          <w:rFonts w:ascii="Lato" w:hAnsi="Lato"/>
          <w:sz w:val="24"/>
          <w:szCs w:val="24"/>
        </w:rPr>
        <w:t xml:space="preserve"> to ensure meaningful community involvement in data collection and research</w:t>
      </w:r>
      <w:r w:rsidRPr="00C057D4">
        <w:rPr>
          <w:rFonts w:ascii="Lato" w:hAnsi="Lato"/>
          <w:sz w:val="24"/>
          <w:szCs w:val="24"/>
        </w:rPr>
        <w:t>. Once again, centre the lived experiences of those most marginalized, to reach those left furthest behind.</w:t>
      </w:r>
    </w:p>
    <w:p w14:paraId="24217A6D" w14:textId="5D9156A0" w:rsidR="00B84DD6" w:rsidRPr="00050592" w:rsidRDefault="00B84DD6" w:rsidP="0073234B">
      <w:pPr>
        <w:pStyle w:val="ListParagraph"/>
        <w:numPr>
          <w:ilvl w:val="0"/>
          <w:numId w:val="7"/>
        </w:numPr>
        <w:ind w:left="426"/>
        <w:jc w:val="both"/>
        <w:rPr>
          <w:rFonts w:ascii="Lato" w:hAnsi="Lato"/>
          <w:sz w:val="24"/>
          <w:szCs w:val="24"/>
        </w:rPr>
      </w:pPr>
      <w:r>
        <w:rPr>
          <w:rFonts w:ascii="Lato" w:hAnsi="Lato"/>
          <w:sz w:val="24"/>
          <w:szCs w:val="24"/>
        </w:rPr>
        <w:lastRenderedPageBreak/>
        <w:t xml:space="preserve">Implement the ‘vicious cycle’ as a framework for understanding the intersecting issues faced by vulnerable LGBTI communities. </w:t>
      </w:r>
      <w:r w:rsidR="00530AAD">
        <w:rPr>
          <w:rFonts w:ascii="Lato" w:hAnsi="Lato"/>
          <w:sz w:val="24"/>
          <w:szCs w:val="24"/>
        </w:rPr>
        <w:t xml:space="preserve">To exemplify how </w:t>
      </w:r>
      <w:r w:rsidR="00C12FF3">
        <w:rPr>
          <w:rFonts w:ascii="Lato" w:hAnsi="Lato"/>
          <w:sz w:val="24"/>
          <w:szCs w:val="24"/>
        </w:rPr>
        <w:t>the ‘cycle of exclusion’ can</w:t>
      </w:r>
      <w:r w:rsidR="00530AAD">
        <w:rPr>
          <w:rFonts w:ascii="Lato" w:hAnsi="Lato"/>
          <w:sz w:val="24"/>
          <w:szCs w:val="24"/>
        </w:rPr>
        <w:t xml:space="preserve"> been used effectively</w:t>
      </w:r>
      <w:r w:rsidR="00C12FF3">
        <w:rPr>
          <w:rFonts w:ascii="Lato" w:hAnsi="Lato"/>
          <w:sz w:val="24"/>
          <w:szCs w:val="24"/>
        </w:rPr>
        <w:t xml:space="preserve"> for such analyses</w:t>
      </w:r>
      <w:r w:rsidR="00530AAD">
        <w:rPr>
          <w:rFonts w:ascii="Lato" w:hAnsi="Lato"/>
          <w:sz w:val="24"/>
          <w:szCs w:val="24"/>
        </w:rPr>
        <w:t xml:space="preserve">, one can look to reports published by the Independent Expert on </w:t>
      </w:r>
      <w:r w:rsidR="006D702E">
        <w:rPr>
          <w:rFonts w:ascii="Lato" w:hAnsi="Lato"/>
          <w:sz w:val="24"/>
          <w:szCs w:val="24"/>
        </w:rPr>
        <w:t>sexual orientation and gender identity</w:t>
      </w:r>
      <w:r w:rsidR="00FE4F86">
        <w:rPr>
          <w:rStyle w:val="FootnoteReference"/>
          <w:rFonts w:ascii="Lato" w:hAnsi="Lato"/>
          <w:sz w:val="24"/>
          <w:szCs w:val="24"/>
        </w:rPr>
        <w:footnoteReference w:id="183"/>
      </w:r>
    </w:p>
    <w:p w14:paraId="6D93EE9D" w14:textId="45471859" w:rsidR="00DE2D49" w:rsidRDefault="004321D4" w:rsidP="0073234B">
      <w:pPr>
        <w:pStyle w:val="Heading2"/>
        <w:ind w:left="66"/>
        <w:rPr>
          <w:szCs w:val="24"/>
        </w:rPr>
      </w:pPr>
      <w:bookmarkStart w:id="24" w:name="_Toc147244637"/>
      <w:r>
        <w:rPr>
          <w:lang w:val="en-US"/>
        </w:rPr>
        <w:t xml:space="preserve">4.3 </w:t>
      </w:r>
      <w:r w:rsidR="00DE2D49">
        <w:rPr>
          <w:lang w:val="en-US"/>
        </w:rPr>
        <w:t>Recommendations for</w:t>
      </w:r>
      <w:r w:rsidR="00DE2D49">
        <w:rPr>
          <w:szCs w:val="24"/>
        </w:rPr>
        <w:t xml:space="preserve"> initiative</w:t>
      </w:r>
      <w:r w:rsidR="0079066C">
        <w:rPr>
          <w:szCs w:val="24"/>
        </w:rPr>
        <w:t xml:space="preserve"> implementation</w:t>
      </w:r>
      <w:bookmarkEnd w:id="24"/>
    </w:p>
    <w:p w14:paraId="7E034DEF" w14:textId="1AA7DAC8" w:rsidR="00591281" w:rsidRDefault="0079066C" w:rsidP="0073234B">
      <w:pPr>
        <w:pStyle w:val="ListParagraph"/>
        <w:numPr>
          <w:ilvl w:val="0"/>
          <w:numId w:val="9"/>
        </w:numPr>
        <w:ind w:left="426"/>
        <w:jc w:val="both"/>
        <w:rPr>
          <w:rFonts w:ascii="Lato" w:hAnsi="Lato"/>
          <w:sz w:val="24"/>
          <w:szCs w:val="24"/>
        </w:rPr>
      </w:pPr>
      <w:r w:rsidRPr="00591281">
        <w:rPr>
          <w:rFonts w:ascii="Lato" w:hAnsi="Lato"/>
          <w:sz w:val="24"/>
          <w:szCs w:val="24"/>
        </w:rPr>
        <w:t xml:space="preserve">Finance </w:t>
      </w:r>
      <w:r w:rsidR="007D0A5D">
        <w:rPr>
          <w:rFonts w:ascii="Lato" w:hAnsi="Lato"/>
          <w:sz w:val="24"/>
          <w:szCs w:val="24"/>
        </w:rPr>
        <w:t xml:space="preserve">and fund </w:t>
      </w:r>
      <w:r w:rsidRPr="00591281">
        <w:rPr>
          <w:rFonts w:ascii="Lato" w:hAnsi="Lato"/>
          <w:sz w:val="24"/>
          <w:szCs w:val="24"/>
        </w:rPr>
        <w:t xml:space="preserve">community-based initiatives that </w:t>
      </w:r>
      <w:r w:rsidR="00591281" w:rsidRPr="00591281">
        <w:rPr>
          <w:rFonts w:ascii="Lato" w:hAnsi="Lato"/>
          <w:sz w:val="24"/>
          <w:szCs w:val="24"/>
        </w:rPr>
        <w:t>aim at addressing existing gaps of access to housing for LGBTI persons, with particular focus on those that are most vulnerable, including migrants and refugees, racial and ethnic minorities, women, sex workers and youth.</w:t>
      </w:r>
    </w:p>
    <w:p w14:paraId="3B9CD479" w14:textId="77777777" w:rsidR="00C057D4" w:rsidRDefault="001C250D" w:rsidP="00C057D4">
      <w:pPr>
        <w:pStyle w:val="ListParagraph"/>
        <w:numPr>
          <w:ilvl w:val="0"/>
          <w:numId w:val="9"/>
        </w:numPr>
        <w:ind w:left="426"/>
        <w:jc w:val="both"/>
        <w:rPr>
          <w:rFonts w:ascii="Lato" w:hAnsi="Lato"/>
          <w:sz w:val="24"/>
          <w:szCs w:val="24"/>
        </w:rPr>
      </w:pPr>
      <w:r>
        <w:rPr>
          <w:rFonts w:ascii="Lato" w:hAnsi="Lato"/>
          <w:sz w:val="24"/>
          <w:szCs w:val="24"/>
        </w:rPr>
        <w:t>Encourage initiatives to</w:t>
      </w:r>
      <w:r w:rsidR="00050592">
        <w:rPr>
          <w:rFonts w:ascii="Lato" w:hAnsi="Lato"/>
          <w:sz w:val="24"/>
          <w:szCs w:val="24"/>
        </w:rPr>
        <w:t xml:space="preserve"> </w:t>
      </w:r>
      <w:r w:rsidR="00823963">
        <w:rPr>
          <w:rFonts w:ascii="Lato" w:hAnsi="Lato"/>
          <w:sz w:val="24"/>
          <w:szCs w:val="24"/>
        </w:rPr>
        <w:t xml:space="preserve">actively </w:t>
      </w:r>
      <w:r w:rsidR="00050592">
        <w:rPr>
          <w:rFonts w:ascii="Lato" w:hAnsi="Lato"/>
          <w:sz w:val="24"/>
          <w:szCs w:val="24"/>
        </w:rPr>
        <w:t>address the specific housing and poverty issues faced by LGBTI persons</w:t>
      </w:r>
      <w:r w:rsidR="001C0EBD">
        <w:rPr>
          <w:rFonts w:ascii="Lato" w:hAnsi="Lato"/>
          <w:sz w:val="24"/>
          <w:szCs w:val="24"/>
        </w:rPr>
        <w:t>; e</w:t>
      </w:r>
      <w:r>
        <w:rPr>
          <w:rFonts w:ascii="Lato" w:hAnsi="Lato"/>
          <w:sz w:val="24"/>
          <w:szCs w:val="24"/>
        </w:rPr>
        <w:t>stablish and follow best practice for LGBTI service-users</w:t>
      </w:r>
      <w:r w:rsidR="00F86B9B">
        <w:rPr>
          <w:rFonts w:ascii="Lato" w:hAnsi="Lato"/>
          <w:sz w:val="24"/>
          <w:szCs w:val="24"/>
        </w:rPr>
        <w:t>, based on their specific needs.</w:t>
      </w:r>
    </w:p>
    <w:p w14:paraId="538124D2" w14:textId="01768A1B" w:rsidR="00823963" w:rsidRPr="00C057D4" w:rsidRDefault="00B5452F" w:rsidP="00C057D4">
      <w:pPr>
        <w:pStyle w:val="ListParagraph"/>
        <w:numPr>
          <w:ilvl w:val="1"/>
          <w:numId w:val="9"/>
        </w:numPr>
        <w:ind w:left="1134"/>
        <w:jc w:val="both"/>
        <w:rPr>
          <w:rFonts w:ascii="Lato" w:hAnsi="Lato"/>
          <w:sz w:val="24"/>
          <w:szCs w:val="24"/>
        </w:rPr>
      </w:pPr>
      <w:r w:rsidRPr="00C057D4">
        <w:rPr>
          <w:rFonts w:ascii="Lato" w:hAnsi="Lato"/>
          <w:sz w:val="24"/>
          <w:szCs w:val="24"/>
        </w:rPr>
        <w:t xml:space="preserve">For example, </w:t>
      </w:r>
      <w:r w:rsidR="00823963" w:rsidRPr="00C057D4">
        <w:rPr>
          <w:rFonts w:ascii="Lato" w:hAnsi="Lato"/>
          <w:sz w:val="24"/>
          <w:szCs w:val="24"/>
        </w:rPr>
        <w:t>establish clear</w:t>
      </w:r>
      <w:r w:rsidR="0067054E" w:rsidRPr="00C057D4">
        <w:rPr>
          <w:rFonts w:ascii="Lato" w:hAnsi="Lato"/>
          <w:sz w:val="24"/>
          <w:szCs w:val="24"/>
        </w:rPr>
        <w:t xml:space="preserve"> internal</w:t>
      </w:r>
      <w:r w:rsidR="00823963" w:rsidRPr="00C057D4">
        <w:rPr>
          <w:rFonts w:ascii="Lato" w:hAnsi="Lato"/>
          <w:sz w:val="24"/>
          <w:szCs w:val="24"/>
        </w:rPr>
        <w:t xml:space="preserve"> policies about how to deal with anti-LGBTI </w:t>
      </w:r>
      <w:r w:rsidR="001C0EBD" w:rsidRPr="00C057D4">
        <w:rPr>
          <w:rFonts w:ascii="Lato" w:hAnsi="Lato"/>
          <w:sz w:val="24"/>
          <w:szCs w:val="24"/>
        </w:rPr>
        <w:t>and racist discriminations and incidents; facilitate staff education and learning of LGBTI terminology and best practices; ensure senior management are competent and supportive of LGBTI inclusio</w:t>
      </w:r>
      <w:r w:rsidR="00B63E86" w:rsidRPr="00C057D4">
        <w:rPr>
          <w:rFonts w:ascii="Lato" w:hAnsi="Lato"/>
          <w:sz w:val="24"/>
          <w:szCs w:val="24"/>
        </w:rPr>
        <w:t>n.</w:t>
      </w:r>
    </w:p>
    <w:sectPr w:rsidR="00823963" w:rsidRPr="00C057D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03FC" w14:textId="77777777" w:rsidR="00B55434" w:rsidRDefault="00B55434" w:rsidP="00ED24A5">
      <w:pPr>
        <w:spacing w:after="0" w:line="240" w:lineRule="auto"/>
      </w:pPr>
      <w:r>
        <w:separator/>
      </w:r>
    </w:p>
  </w:endnote>
  <w:endnote w:type="continuationSeparator" w:id="0">
    <w:p w14:paraId="69259B9D" w14:textId="77777777" w:rsidR="00B55434" w:rsidRDefault="00B55434" w:rsidP="00ED24A5">
      <w:pPr>
        <w:spacing w:after="0" w:line="240" w:lineRule="auto"/>
      </w:pPr>
      <w:r>
        <w:continuationSeparator/>
      </w:r>
    </w:p>
  </w:endnote>
  <w:endnote w:type="continuationNotice" w:id="1">
    <w:p w14:paraId="5971DE4E" w14:textId="77777777" w:rsidR="00B55434" w:rsidRDefault="00B55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Nunito">
    <w:altName w:val="Calibri"/>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901983"/>
      <w:docPartObj>
        <w:docPartGallery w:val="Page Numbers (Bottom of Page)"/>
        <w:docPartUnique/>
      </w:docPartObj>
    </w:sdtPr>
    <w:sdtEndPr>
      <w:rPr>
        <w:rFonts w:ascii="Lato" w:hAnsi="Lato"/>
      </w:rPr>
    </w:sdtEndPr>
    <w:sdtContent>
      <w:p w14:paraId="446E7D3A" w14:textId="463488BA" w:rsidR="00BC53D5" w:rsidRPr="00F9190D" w:rsidRDefault="00BC53D5">
        <w:pPr>
          <w:pStyle w:val="Footer"/>
          <w:jc w:val="center"/>
          <w:rPr>
            <w:rFonts w:ascii="Lato" w:hAnsi="Lato"/>
          </w:rPr>
        </w:pPr>
        <w:r w:rsidRPr="00F9190D">
          <w:rPr>
            <w:rFonts w:ascii="Lato" w:hAnsi="Lato"/>
          </w:rPr>
          <w:fldChar w:fldCharType="begin"/>
        </w:r>
        <w:r w:rsidRPr="00F9190D">
          <w:rPr>
            <w:rFonts w:ascii="Lato" w:hAnsi="Lato"/>
          </w:rPr>
          <w:instrText>PAGE   \* MERGEFORMAT</w:instrText>
        </w:r>
        <w:r w:rsidRPr="00F9190D">
          <w:rPr>
            <w:rFonts w:ascii="Lato" w:hAnsi="Lato"/>
          </w:rPr>
          <w:fldChar w:fldCharType="separate"/>
        </w:r>
        <w:r w:rsidR="00C53108">
          <w:rPr>
            <w:rFonts w:ascii="Lato" w:hAnsi="Lato"/>
            <w:noProof/>
          </w:rPr>
          <w:t>23</w:t>
        </w:r>
        <w:r w:rsidRPr="00F9190D">
          <w:rPr>
            <w:rFonts w:ascii="Lato" w:hAnsi="Lato"/>
          </w:rPr>
          <w:fldChar w:fldCharType="end"/>
        </w:r>
      </w:p>
    </w:sdtContent>
  </w:sdt>
  <w:p w14:paraId="723CD49C" w14:textId="77777777" w:rsidR="00BC53D5" w:rsidRDefault="00BC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98A5" w14:textId="77777777" w:rsidR="00B55434" w:rsidRDefault="00B55434" w:rsidP="00ED24A5">
      <w:pPr>
        <w:spacing w:after="0" w:line="240" w:lineRule="auto"/>
      </w:pPr>
      <w:r>
        <w:separator/>
      </w:r>
    </w:p>
  </w:footnote>
  <w:footnote w:type="continuationSeparator" w:id="0">
    <w:p w14:paraId="1BA27698" w14:textId="77777777" w:rsidR="00B55434" w:rsidRDefault="00B55434" w:rsidP="00ED24A5">
      <w:pPr>
        <w:spacing w:after="0" w:line="240" w:lineRule="auto"/>
      </w:pPr>
      <w:r>
        <w:continuationSeparator/>
      </w:r>
    </w:p>
  </w:footnote>
  <w:footnote w:type="continuationNotice" w:id="1">
    <w:p w14:paraId="6C31CF89" w14:textId="77777777" w:rsidR="00B55434" w:rsidRDefault="00B55434">
      <w:pPr>
        <w:spacing w:after="0" w:line="240" w:lineRule="auto"/>
      </w:pPr>
    </w:p>
  </w:footnote>
  <w:footnote w:id="2">
    <w:p w14:paraId="3C312DCA"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United Nations General Assembly. </w:t>
      </w:r>
      <w:r w:rsidRPr="00B76FAC">
        <w:rPr>
          <w:rFonts w:ascii="Lato" w:hAnsi="Lato"/>
          <w:i/>
          <w:iCs/>
          <w:sz w:val="18"/>
          <w:szCs w:val="18"/>
        </w:rPr>
        <w:t xml:space="preserve">Protection against violence and discrimination based on sexual orientation and sexual identity. </w:t>
      </w:r>
      <w:r w:rsidRPr="00B76FAC">
        <w:rPr>
          <w:rFonts w:ascii="Lato" w:hAnsi="Lato"/>
          <w:sz w:val="18"/>
          <w:szCs w:val="18"/>
        </w:rPr>
        <w:t>(17 September 2019). Paragraph 15. URL: https://undocs.org/en/A/74/181</w:t>
      </w:r>
    </w:p>
  </w:footnote>
  <w:footnote w:id="3">
    <w:p w14:paraId="45B66F9B" w14:textId="0365B32C"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Paragraph 17. URL: https://undocs.org/en/A/74/181</w:t>
      </w:r>
    </w:p>
  </w:footnote>
  <w:footnote w:id="4">
    <w:p w14:paraId="47A0621D" w14:textId="24C59B40" w:rsidR="00BC53D5" w:rsidRPr="00B76FAC" w:rsidRDefault="00BC53D5" w:rsidP="00AB10A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Crock, J., Stevenson, W., Mercer, J., Butt, W., Lawlor, B., Baker, S., Federowicz, L., Khan, L., da Silveira, E., &amp; Plourde, A. (2021). </w:t>
      </w:r>
      <w:r w:rsidRPr="00B76FAC">
        <w:rPr>
          <w:rFonts w:ascii="Lato" w:hAnsi="Lato"/>
          <w:i/>
          <w:iCs/>
          <w:sz w:val="18"/>
          <w:szCs w:val="18"/>
        </w:rPr>
        <w:t>The Human Right to Housing and the United States: Submission to the UN Special Rapporteurs on the Right to Adequate Housing and Extreme Poverty and Human Rights</w:t>
      </w:r>
      <w:r w:rsidRPr="00B76FAC">
        <w:rPr>
          <w:rFonts w:ascii="Lato" w:hAnsi="Lato"/>
          <w:sz w:val="18"/>
          <w:szCs w:val="18"/>
        </w:rPr>
        <w:t>. https://www.ohchr.org/sites/default/files/2022-03/AmericanUniversityWashingtonDC.pdf</w:t>
      </w:r>
    </w:p>
  </w:footnote>
  <w:footnote w:id="5">
    <w:p w14:paraId="3BE7676B" w14:textId="752A82D3"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4. </w:t>
      </w:r>
    </w:p>
  </w:footnote>
  <w:footnote w:id="6">
    <w:p w14:paraId="67742754" w14:textId="08660BD3" w:rsidR="00BC53D5" w:rsidRPr="00B76FAC" w:rsidRDefault="00BC53D5" w:rsidP="0065200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SOGIESC is an acronym for ‘Sexual orientation, gender identity and expression and sex characteristics’.</w:t>
      </w:r>
    </w:p>
  </w:footnote>
  <w:footnote w:id="7">
    <w:p w14:paraId="267E9BBE" w14:textId="13F3EA21"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This submission uses the acronym LGBTI (Lesbian, Gay, Bisexual, Transgender, Intersex), unless citing a source that uses an alternative. </w:t>
      </w:r>
    </w:p>
  </w:footnote>
  <w:footnote w:id="8">
    <w:p w14:paraId="37FD20F4" w14:textId="44376599"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 w:history="1">
        <w:r w:rsidRPr="00B76FAC">
          <w:rPr>
            <w:rStyle w:val="Hyperlink"/>
            <w:rFonts w:ascii="Lato" w:hAnsi="Lato"/>
            <w:i/>
            <w:iCs/>
            <w:sz w:val="18"/>
            <w:szCs w:val="18"/>
          </w:rPr>
          <w:t>Legal Frameworks | Protection against discrimination in housing</w:t>
        </w:r>
      </w:hyperlink>
      <w:r w:rsidRPr="00B76FAC">
        <w:rPr>
          <w:rFonts w:ascii="Lato" w:hAnsi="Lato"/>
          <w:sz w:val="18"/>
          <w:szCs w:val="18"/>
        </w:rPr>
        <w:t xml:space="preserve"> (retrieved 30 August 2023)</w:t>
      </w:r>
    </w:p>
  </w:footnote>
  <w:footnote w:id="9">
    <w:p w14:paraId="26BA5938" w14:textId="1549FC3F"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 w:history="1">
        <w:r w:rsidRPr="00B76FAC">
          <w:rPr>
            <w:rStyle w:val="Hyperlink"/>
            <w:rFonts w:ascii="Lato" w:hAnsi="Lato"/>
            <w:i/>
            <w:iCs/>
            <w:sz w:val="18"/>
            <w:szCs w:val="18"/>
          </w:rPr>
          <w:t>National Housing Policy – Cape Verde</w:t>
        </w:r>
      </w:hyperlink>
      <w:r w:rsidRPr="00B76FAC">
        <w:rPr>
          <w:rFonts w:ascii="Lato" w:hAnsi="Lato"/>
          <w:sz w:val="18"/>
          <w:szCs w:val="18"/>
        </w:rPr>
        <w:t xml:space="preserve"> (retrieved 30 August 2023)</w:t>
      </w:r>
    </w:p>
  </w:footnote>
  <w:footnote w:id="10">
    <w:p w14:paraId="55FD7895" w14:textId="194CA72C"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 w:history="1">
        <w:r w:rsidRPr="00B76FAC">
          <w:rPr>
            <w:rStyle w:val="Hyperlink"/>
            <w:rFonts w:ascii="Lato" w:hAnsi="Lato"/>
            <w:i/>
            <w:iCs/>
            <w:sz w:val="18"/>
            <w:szCs w:val="18"/>
          </w:rPr>
          <w:t>ILGA World Database: Protection against discrimination in housing - Cape Verde</w:t>
        </w:r>
      </w:hyperlink>
      <w:r w:rsidRPr="00B76FAC">
        <w:rPr>
          <w:rFonts w:ascii="Lato" w:hAnsi="Lato"/>
          <w:i/>
          <w:iCs/>
          <w:sz w:val="18"/>
          <w:szCs w:val="18"/>
        </w:rPr>
        <w:t xml:space="preserve"> </w:t>
      </w:r>
      <w:r w:rsidRPr="00B76FAC">
        <w:rPr>
          <w:rFonts w:ascii="Lato" w:hAnsi="Lato"/>
          <w:sz w:val="18"/>
          <w:szCs w:val="18"/>
        </w:rPr>
        <w:t>(retrieved 30 August 2023)</w:t>
      </w:r>
    </w:p>
  </w:footnote>
  <w:footnote w:id="11">
    <w:p w14:paraId="7807D1A7" w14:textId="070C7BF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 w:history="1">
        <w:r w:rsidRPr="00B76FAC">
          <w:rPr>
            <w:rStyle w:val="Hyperlink"/>
            <w:rFonts w:ascii="Lato" w:hAnsi="Lato"/>
            <w:i/>
            <w:iCs/>
            <w:sz w:val="18"/>
            <w:szCs w:val="18"/>
          </w:rPr>
          <w:t>Equal Opportunities Act 2008 - Mauritius</w:t>
        </w:r>
      </w:hyperlink>
      <w:r w:rsidRPr="00B76FAC">
        <w:rPr>
          <w:rFonts w:ascii="Lato" w:hAnsi="Lato"/>
          <w:sz w:val="18"/>
          <w:szCs w:val="18"/>
        </w:rPr>
        <w:t xml:space="preserve"> (retrieved 01 September 2023)</w:t>
      </w:r>
    </w:p>
  </w:footnote>
  <w:footnote w:id="12">
    <w:p w14:paraId="5F02F897" w14:textId="72DF65B6"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 w:history="1">
        <w:r w:rsidRPr="00B76FAC">
          <w:rPr>
            <w:rStyle w:val="Hyperlink"/>
            <w:rFonts w:ascii="Lato" w:hAnsi="Lato"/>
            <w:i/>
            <w:iCs/>
            <w:sz w:val="18"/>
            <w:szCs w:val="18"/>
          </w:rPr>
          <w:t>ILGA World Database: Protection against discrimination in housing - Mauritius</w:t>
        </w:r>
      </w:hyperlink>
      <w:r w:rsidRPr="00B76FAC">
        <w:rPr>
          <w:rFonts w:ascii="Lato" w:hAnsi="Lato"/>
          <w:sz w:val="18"/>
          <w:szCs w:val="18"/>
        </w:rPr>
        <w:t xml:space="preserve"> (retrieved 01 September 2023)</w:t>
      </w:r>
    </w:p>
  </w:footnote>
  <w:footnote w:id="13">
    <w:p w14:paraId="10079BB0" w14:textId="6980DFB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 w:history="1">
        <w:r w:rsidRPr="00B76FAC">
          <w:rPr>
            <w:rStyle w:val="Hyperlink"/>
            <w:rFonts w:ascii="Lato" w:hAnsi="Lato"/>
            <w:i/>
            <w:iCs/>
            <w:sz w:val="18"/>
            <w:szCs w:val="18"/>
          </w:rPr>
          <w:t>Rental Housing Act (1999) – South Africa</w:t>
        </w:r>
      </w:hyperlink>
      <w:r w:rsidRPr="00B76FAC">
        <w:rPr>
          <w:rFonts w:ascii="Lato" w:hAnsi="Lato"/>
          <w:sz w:val="18"/>
          <w:szCs w:val="18"/>
        </w:rPr>
        <w:t xml:space="preserve"> (retrieved 01 September 2023)</w:t>
      </w:r>
    </w:p>
  </w:footnote>
  <w:footnote w:id="14">
    <w:p w14:paraId="0EEC78D2" w14:textId="506C0F64"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7" w:history="1">
        <w:r w:rsidRPr="00B76FAC">
          <w:rPr>
            <w:rStyle w:val="Hyperlink"/>
            <w:rFonts w:ascii="Lato" w:hAnsi="Lato"/>
            <w:i/>
            <w:iCs/>
            <w:sz w:val="18"/>
            <w:szCs w:val="18"/>
          </w:rPr>
          <w:t>Judicial Matters Amendment Act – South Africa</w:t>
        </w:r>
      </w:hyperlink>
      <w:r w:rsidRPr="00B76FAC">
        <w:rPr>
          <w:rFonts w:ascii="Lato" w:hAnsi="Lato"/>
          <w:sz w:val="18"/>
          <w:szCs w:val="18"/>
        </w:rPr>
        <w:t xml:space="preserve"> (retrieved 01 September 2023)</w:t>
      </w:r>
    </w:p>
  </w:footnote>
  <w:footnote w:id="15">
    <w:p w14:paraId="20E3C783" w14:textId="31C514F8"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8" w:history="1">
        <w:r w:rsidRPr="00B76FAC">
          <w:rPr>
            <w:rStyle w:val="Hyperlink"/>
            <w:rFonts w:ascii="Lato" w:hAnsi="Lato"/>
            <w:i/>
            <w:iCs/>
            <w:sz w:val="18"/>
            <w:szCs w:val="18"/>
          </w:rPr>
          <w:t>ILGA World Database: Protection against discrimination in housing - South Africa</w:t>
        </w:r>
      </w:hyperlink>
      <w:r w:rsidRPr="00B76FAC">
        <w:rPr>
          <w:rFonts w:ascii="Lato" w:hAnsi="Lato"/>
          <w:sz w:val="18"/>
          <w:szCs w:val="18"/>
        </w:rPr>
        <w:t xml:space="preserve"> (retrieved 01 September 2023)</w:t>
      </w:r>
    </w:p>
  </w:footnote>
  <w:footnote w:id="16">
    <w:p w14:paraId="2E5F0B77" w14:textId="310A4BAD" w:rsidR="00BC53D5" w:rsidRPr="00B76FAC" w:rsidRDefault="00BC53D5" w:rsidP="002105BB">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9" w:history="1">
        <w:r w:rsidRPr="00B76FAC">
          <w:rPr>
            <w:rStyle w:val="Hyperlink"/>
            <w:rFonts w:ascii="Lato" w:hAnsi="Lato"/>
            <w:i/>
            <w:iCs/>
            <w:sz w:val="18"/>
            <w:szCs w:val="18"/>
          </w:rPr>
          <w:t>Sex Discrimination Act 1984 – Australia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17">
    <w:p w14:paraId="0F47B09F" w14:textId="77777777" w:rsidR="00BC53D5" w:rsidRPr="00B76FAC" w:rsidRDefault="00BC53D5" w:rsidP="002105BB">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0" w:history="1">
        <w:r w:rsidRPr="00B76FAC">
          <w:rPr>
            <w:rStyle w:val="Hyperlink"/>
            <w:rFonts w:ascii="Lato" w:hAnsi="Lato"/>
            <w:i/>
            <w:iCs/>
            <w:sz w:val="18"/>
            <w:szCs w:val="18"/>
          </w:rPr>
          <w:t>Sex Discrimination Amendment (Sexual Orientation, Gender Identity and Intersex Status – Australia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18">
    <w:p w14:paraId="4C4F75D0" w14:textId="77777777" w:rsidR="00BC53D5" w:rsidRPr="00B76FAC" w:rsidRDefault="00BC53D5" w:rsidP="002105BB">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1" w:history="1">
        <w:r w:rsidRPr="00B76FAC">
          <w:rPr>
            <w:rStyle w:val="Hyperlink"/>
            <w:rFonts w:ascii="Lato" w:hAnsi="Lato"/>
            <w:i/>
            <w:iCs/>
            <w:sz w:val="18"/>
            <w:szCs w:val="18"/>
          </w:rPr>
          <w:t>ILGA World Database: Protection against discrimination in housing - Australia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19">
    <w:p w14:paraId="7BC9EA6D" w14:textId="793DDDE0" w:rsidR="00BC53D5" w:rsidRPr="00B76FAC" w:rsidRDefault="00BC53D5" w:rsidP="000C481E">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i/>
          <w:iCs/>
          <w:sz w:val="18"/>
          <w:szCs w:val="18"/>
        </w:rPr>
        <w:t xml:space="preserve">This information has been provided by the </w:t>
      </w:r>
      <w:hyperlink r:id="rId12" w:history="1">
        <w:r w:rsidRPr="00B76FAC">
          <w:rPr>
            <w:rStyle w:val="Hyperlink"/>
            <w:rFonts w:ascii="Lato" w:hAnsi="Lato"/>
            <w:i/>
            <w:iCs/>
            <w:sz w:val="18"/>
            <w:szCs w:val="18"/>
          </w:rPr>
          <w:t>Victorian Pride Lobby</w:t>
        </w:r>
      </w:hyperlink>
      <w:r w:rsidRPr="00B76FAC">
        <w:rPr>
          <w:rFonts w:ascii="Lato" w:hAnsi="Lato"/>
          <w:i/>
          <w:iCs/>
          <w:sz w:val="18"/>
          <w:szCs w:val="18"/>
        </w:rPr>
        <w:t>, a volunteer advocacy group working toward equality and social justice for the LGBTIQA+ community in the state of Victoria, Australia.</w:t>
      </w:r>
    </w:p>
    <w:p w14:paraId="68E5D607" w14:textId="40FE4F59" w:rsidR="00BC53D5" w:rsidRPr="00B76FAC" w:rsidRDefault="00BC53D5" w:rsidP="002105BB">
      <w:pPr>
        <w:pStyle w:val="FootnoteText"/>
        <w:rPr>
          <w:rFonts w:ascii="Lato" w:hAnsi="Lato"/>
          <w:sz w:val="18"/>
          <w:szCs w:val="18"/>
        </w:rPr>
      </w:pPr>
      <w:r w:rsidRPr="00B76FAC">
        <w:rPr>
          <w:rFonts w:ascii="Lato" w:hAnsi="Lato"/>
          <w:sz w:val="18"/>
          <w:szCs w:val="18"/>
        </w:rPr>
        <w:t xml:space="preserve">Victorian Pride Lobby. (2023, October 6). Victorian Gender Equality Strategy. Victorian Pride Lobby. </w:t>
      </w:r>
      <w:hyperlink r:id="rId13" w:history="1">
        <w:r w:rsidRPr="00B76FAC">
          <w:rPr>
            <w:rStyle w:val="Hyperlink"/>
            <w:rFonts w:ascii="Lato" w:hAnsi="Lato"/>
            <w:sz w:val="18"/>
            <w:szCs w:val="18"/>
          </w:rPr>
          <w:t>https://www.vicpridelobby.org/download/victorian-gender-equality-strategy/#</w:t>
        </w:r>
      </w:hyperlink>
    </w:p>
  </w:footnote>
  <w:footnote w:id="20">
    <w:p w14:paraId="4D7F43F0" w14:textId="68FF4ECF" w:rsidR="00BC53D5" w:rsidRPr="00B76FAC" w:rsidRDefault="00BC53D5" w:rsidP="002105BB">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w:t>
      </w:r>
    </w:p>
  </w:footnote>
  <w:footnote w:id="21">
    <w:p w14:paraId="265E367D" w14:textId="67D879D6" w:rsidR="00BC53D5" w:rsidRPr="00B76FAC" w:rsidRDefault="00BC53D5" w:rsidP="002105BB">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This testimonial evidence was provided by a local LGBTI+ activist. </w:t>
      </w:r>
    </w:p>
  </w:footnote>
  <w:footnote w:id="22">
    <w:p w14:paraId="23F50E2A" w14:textId="262FD5E5"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4" w:history="1">
        <w:r w:rsidRPr="00B76FAC">
          <w:rPr>
            <w:rStyle w:val="Hyperlink"/>
            <w:rFonts w:ascii="Lato" w:hAnsi="Lato"/>
            <w:i/>
            <w:iCs/>
            <w:sz w:val="18"/>
            <w:szCs w:val="18"/>
          </w:rPr>
          <w:t>ILGA World Database: Protection against discrimination in housing – Bangladesh</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23">
    <w:p w14:paraId="0B2D32C9" w14:textId="3267A052" w:rsidR="00BC53D5" w:rsidRPr="00B76FAC" w:rsidRDefault="00BC53D5" w:rsidP="00D47069">
      <w:pPr>
        <w:pStyle w:val="FootnoteText"/>
        <w:rPr>
          <w:rFonts w:ascii="Lato" w:hAnsi="Lato"/>
          <w:i/>
          <w:iCs/>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5" w:history="1">
        <w:r w:rsidRPr="00B76FAC">
          <w:rPr>
            <w:rStyle w:val="Hyperlink"/>
            <w:rFonts w:ascii="Lato" w:hAnsi="Lato"/>
            <w:i/>
            <w:iCs/>
            <w:sz w:val="18"/>
            <w:szCs w:val="18"/>
          </w:rPr>
          <w:t>Bill No. 20-258 (2018) – Micronesia</w:t>
        </w:r>
      </w:hyperlink>
      <w:r w:rsidRPr="00B76FAC">
        <w:rPr>
          <w:rFonts w:ascii="Lato" w:hAnsi="Lato"/>
          <w:sz w:val="18"/>
          <w:szCs w:val="18"/>
        </w:rPr>
        <w:t xml:space="preserve"> (retrieved 01 September 2023)</w:t>
      </w:r>
    </w:p>
  </w:footnote>
  <w:footnote w:id="24">
    <w:p w14:paraId="6001EE1B"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6" w:history="1">
        <w:r w:rsidRPr="00B76FAC">
          <w:rPr>
            <w:rStyle w:val="Hyperlink"/>
            <w:rFonts w:ascii="Lato" w:hAnsi="Lato"/>
            <w:i/>
            <w:iCs/>
            <w:sz w:val="18"/>
            <w:szCs w:val="18"/>
          </w:rPr>
          <w:t>Chapter 1 of the Code of the Federated States of Micronesia (2014)</w:t>
        </w:r>
      </w:hyperlink>
      <w:r w:rsidRPr="00B76FAC">
        <w:rPr>
          <w:rFonts w:ascii="Lato" w:hAnsi="Lato"/>
          <w:sz w:val="18"/>
          <w:szCs w:val="18"/>
        </w:rPr>
        <w:t xml:space="preserve"> (retrieved 01 September 2023)</w:t>
      </w:r>
    </w:p>
  </w:footnote>
  <w:footnote w:id="25">
    <w:p w14:paraId="45187EA4" w14:textId="21A7D82A"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7" w:history="1">
        <w:r w:rsidRPr="00B76FAC">
          <w:rPr>
            <w:rStyle w:val="Hyperlink"/>
            <w:rFonts w:ascii="Lato" w:hAnsi="Lato"/>
            <w:i/>
            <w:iCs/>
            <w:sz w:val="18"/>
            <w:szCs w:val="18"/>
          </w:rPr>
          <w:t>Penal Code – Mongolia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26">
    <w:p w14:paraId="57BF2495" w14:textId="72027BE8"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18" w:history="1">
        <w:r w:rsidRPr="00B76FAC">
          <w:rPr>
            <w:rStyle w:val="Hyperlink"/>
            <w:rFonts w:ascii="Lato" w:hAnsi="Lato"/>
            <w:i/>
            <w:iCs/>
            <w:sz w:val="18"/>
            <w:szCs w:val="18"/>
          </w:rPr>
          <w:t>ILGA World Database: Protection against discrimination in housing – Mongolia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27">
    <w:p w14:paraId="5AEB3B26" w14:textId="0A66E401"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9" w:history="1">
        <w:r w:rsidRPr="00B76FAC">
          <w:rPr>
            <w:rStyle w:val="Hyperlink"/>
            <w:rFonts w:ascii="Lato" w:hAnsi="Lato"/>
            <w:i/>
            <w:iCs/>
            <w:sz w:val="18"/>
            <w:szCs w:val="18"/>
          </w:rPr>
          <w:t>Transgender Persons (Protection of Rights) Act (2018)</w:t>
        </w:r>
      </w:hyperlink>
      <w:r w:rsidRPr="00B76FAC">
        <w:rPr>
          <w:rFonts w:ascii="Lato" w:hAnsi="Lato"/>
          <w:sz w:val="18"/>
          <w:szCs w:val="18"/>
        </w:rPr>
        <w:t xml:space="preserve"> (retrieved 01 September 2023)</w:t>
      </w:r>
    </w:p>
  </w:footnote>
  <w:footnote w:id="28">
    <w:p w14:paraId="0D49048A" w14:textId="282CAC44"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0" w:history="1">
        <w:r w:rsidRPr="00B76FAC">
          <w:rPr>
            <w:rStyle w:val="Hyperlink"/>
            <w:rFonts w:ascii="Lato" w:hAnsi="Lato"/>
            <w:i/>
            <w:iCs/>
            <w:sz w:val="18"/>
            <w:szCs w:val="18"/>
          </w:rPr>
          <w:t>ILGA World Database: Protection against discrimination in housing - Pakistan</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29">
    <w:p w14:paraId="453FCC8B" w14:textId="045AC113"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1" w:history="1">
        <w:r w:rsidRPr="00B76FAC">
          <w:rPr>
            <w:rStyle w:val="Hyperlink"/>
            <w:rFonts w:ascii="Lato" w:hAnsi="Lato"/>
            <w:i/>
            <w:iCs/>
            <w:sz w:val="18"/>
            <w:szCs w:val="18"/>
          </w:rPr>
          <w:t>Law No. 10,221 2010 Protection from Discrimination Act – Albania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0">
    <w:p w14:paraId="3B96C2FE" w14:textId="281FAD3C"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2" w:history="1">
        <w:r w:rsidRPr="00B76FAC">
          <w:rPr>
            <w:rStyle w:val="Hyperlink"/>
            <w:rFonts w:ascii="Lato" w:hAnsi="Lato"/>
            <w:i/>
            <w:iCs/>
            <w:sz w:val="18"/>
            <w:szCs w:val="18"/>
          </w:rPr>
          <w:t>Law No. 124/2020 - Albania</w:t>
        </w:r>
      </w:hyperlink>
      <w:r w:rsidRPr="00B76FAC">
        <w:rPr>
          <w:rFonts w:ascii="Lato" w:hAnsi="Lato"/>
          <w:sz w:val="18"/>
          <w:szCs w:val="18"/>
        </w:rPr>
        <w:t xml:space="preserve"> (retrieved 01 September 2023)</w:t>
      </w:r>
    </w:p>
  </w:footnote>
  <w:footnote w:id="31">
    <w:p w14:paraId="21C36397" w14:textId="2E4E1472"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23" w:history="1">
        <w:r w:rsidRPr="00B76FAC">
          <w:rPr>
            <w:rStyle w:val="Hyperlink"/>
            <w:rFonts w:ascii="Lato" w:hAnsi="Lato"/>
            <w:i/>
            <w:iCs/>
            <w:sz w:val="18"/>
            <w:szCs w:val="18"/>
          </w:rPr>
          <w:t>ILGA World Database: Protection against discrimination in housing – Albania</w:t>
        </w:r>
      </w:hyperlink>
      <w:r w:rsidRPr="00B76FAC">
        <w:rPr>
          <w:rFonts w:ascii="Lato" w:hAnsi="Lato"/>
          <w:sz w:val="18"/>
          <w:szCs w:val="18"/>
        </w:rPr>
        <w:t xml:space="preserve"> (retrieved 01 September 2023)</w:t>
      </w:r>
    </w:p>
  </w:footnote>
  <w:footnote w:id="32">
    <w:p w14:paraId="5FD05F1C" w14:textId="0D34DE5D"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24" w:history="1">
        <w:r w:rsidRPr="00B76FAC">
          <w:rPr>
            <w:rStyle w:val="Hyperlink"/>
            <w:rFonts w:ascii="Lato" w:hAnsi="Lato"/>
            <w:i/>
            <w:iCs/>
            <w:sz w:val="18"/>
            <w:szCs w:val="18"/>
          </w:rPr>
          <w:t>ILGA World Database: Protection against discrimination – Andorra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3">
    <w:p w14:paraId="57DDAB68" w14:textId="2340A1F6"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5" w:history="1">
        <w:r w:rsidRPr="00B76FAC">
          <w:rPr>
            <w:rStyle w:val="Hyperlink"/>
            <w:rFonts w:ascii="Lato" w:hAnsi="Lato"/>
            <w:i/>
            <w:iCs/>
            <w:sz w:val="18"/>
            <w:szCs w:val="18"/>
          </w:rPr>
          <w:t>Law Against Discrimination (2004) – Bulgaria</w:t>
        </w:r>
      </w:hyperlink>
      <w:r w:rsidRPr="00B76FAC">
        <w:rPr>
          <w:rFonts w:ascii="Lato" w:hAnsi="Lato"/>
          <w:sz w:val="18"/>
          <w:szCs w:val="18"/>
        </w:rPr>
        <w:t xml:space="preserve"> (retrieved 01 September 2023)</w:t>
      </w:r>
    </w:p>
  </w:footnote>
  <w:footnote w:id="34">
    <w:p w14:paraId="6E05A6BF" w14:textId="21F626E3"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6" w:history="1">
        <w:r w:rsidRPr="00B76FAC">
          <w:rPr>
            <w:rStyle w:val="Hyperlink"/>
            <w:rFonts w:ascii="Lato" w:hAnsi="Lato"/>
            <w:i/>
            <w:iCs/>
            <w:sz w:val="18"/>
            <w:szCs w:val="18"/>
          </w:rPr>
          <w:t>Law on Amendment and Supplementation of the Law against Discrimination (2015) - Bulgaria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5">
    <w:p w14:paraId="69DAD1CA" w14:textId="0638F501"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7" w:history="1">
        <w:r w:rsidRPr="00B76FAC">
          <w:rPr>
            <w:rStyle w:val="Hyperlink"/>
            <w:rFonts w:ascii="Lato" w:hAnsi="Lato"/>
            <w:i/>
            <w:iCs/>
            <w:sz w:val="18"/>
            <w:szCs w:val="18"/>
          </w:rPr>
          <w:t>ILGA World Database: Protection against discrimination in housing – Bulgaria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6">
    <w:p w14:paraId="0AAF1B83" w14:textId="42D69B1C"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8" w:history="1">
        <w:r w:rsidRPr="00B76FAC">
          <w:rPr>
            <w:rStyle w:val="Hyperlink"/>
            <w:rFonts w:ascii="Lato" w:hAnsi="Lato"/>
            <w:i/>
            <w:iCs/>
            <w:sz w:val="18"/>
            <w:szCs w:val="18"/>
          </w:rPr>
          <w:t>Law on Equality between Women and Men (Law No. 751) - Denmark</w:t>
        </w:r>
      </w:hyperlink>
      <w:r w:rsidRPr="00B76FAC">
        <w:rPr>
          <w:rFonts w:ascii="Lato" w:hAnsi="Lato"/>
          <w:i/>
          <w:iCs/>
          <w:sz w:val="18"/>
          <w:szCs w:val="18"/>
        </w:rPr>
        <w:t xml:space="preserve"> (2021) </w:t>
      </w:r>
      <w:r w:rsidRPr="00B76FAC">
        <w:rPr>
          <w:rFonts w:ascii="Lato" w:hAnsi="Lato"/>
          <w:sz w:val="18"/>
          <w:szCs w:val="18"/>
        </w:rPr>
        <w:t>(retrieved 01 September 2023)</w:t>
      </w:r>
    </w:p>
  </w:footnote>
  <w:footnote w:id="37">
    <w:p w14:paraId="7ABF1DFE" w14:textId="52CF4B59"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29" w:history="1">
        <w:r w:rsidRPr="00B76FAC">
          <w:rPr>
            <w:rStyle w:val="Hyperlink"/>
            <w:rFonts w:ascii="Lato" w:hAnsi="Lato"/>
            <w:i/>
            <w:iCs/>
            <w:sz w:val="18"/>
            <w:szCs w:val="18"/>
          </w:rPr>
          <w:t>ILGA World Database: Protection against discrimination in housing – Denmark</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8">
    <w:p w14:paraId="10EE9C54" w14:textId="4BD5FD8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0" w:history="1">
        <w:r w:rsidRPr="00B76FAC">
          <w:rPr>
            <w:rStyle w:val="Hyperlink"/>
            <w:rFonts w:ascii="Lato" w:hAnsi="Lato"/>
            <w:i/>
            <w:iCs/>
            <w:sz w:val="18"/>
            <w:szCs w:val="18"/>
          </w:rPr>
          <w:t>Law No. 89-462 (1989) – France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39">
    <w:p w14:paraId="2CEFEA27" w14:textId="0AA0B63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1" w:history="1">
        <w:r w:rsidRPr="00B76FAC">
          <w:rPr>
            <w:rStyle w:val="Hyperlink"/>
            <w:rFonts w:ascii="Lato" w:hAnsi="Lato"/>
            <w:i/>
            <w:iCs/>
            <w:sz w:val="18"/>
            <w:szCs w:val="18"/>
          </w:rPr>
          <w:t>Law No. 2002-73 (2002) – France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0">
    <w:p w14:paraId="0AF6B762" w14:textId="57713D23"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2" w:history="1">
        <w:r w:rsidRPr="00B76FAC">
          <w:rPr>
            <w:rStyle w:val="Hyperlink"/>
            <w:rFonts w:ascii="Lato" w:hAnsi="Lato"/>
            <w:i/>
            <w:iCs/>
            <w:sz w:val="18"/>
            <w:szCs w:val="18"/>
          </w:rPr>
          <w:t>Law No. 2014-366 (2014) – France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1">
    <w:p w14:paraId="35E5DC94" w14:textId="690DCA0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3" w:history="1">
        <w:r w:rsidRPr="00B76FAC">
          <w:rPr>
            <w:rStyle w:val="Hyperlink"/>
            <w:rFonts w:ascii="Lato" w:hAnsi="Lato"/>
            <w:i/>
            <w:iCs/>
            <w:sz w:val="18"/>
            <w:szCs w:val="18"/>
          </w:rPr>
          <w:t>Penal Code - France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2">
    <w:p w14:paraId="4E4BF986" w14:textId="3857A128"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4" w:history="1">
        <w:r w:rsidRPr="00B76FAC">
          <w:rPr>
            <w:rStyle w:val="Hyperlink"/>
            <w:rFonts w:ascii="Lato" w:hAnsi="Lato"/>
            <w:i/>
            <w:iCs/>
            <w:sz w:val="18"/>
            <w:szCs w:val="18"/>
          </w:rPr>
          <w:t>Prohibition of Discrimination Act (2010) - Serbia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3">
    <w:p w14:paraId="53B068C3" w14:textId="65B3C7E1"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5" w:history="1">
        <w:r w:rsidRPr="00B76FAC">
          <w:rPr>
            <w:rStyle w:val="Hyperlink"/>
            <w:rFonts w:ascii="Lato" w:hAnsi="Lato"/>
            <w:i/>
            <w:iCs/>
            <w:sz w:val="18"/>
            <w:szCs w:val="18"/>
          </w:rPr>
          <w:t>ILGA World Database: Protection against discrimination in housing - Serbia</w:t>
        </w:r>
      </w:hyperlink>
      <w:r w:rsidRPr="00B76FAC">
        <w:rPr>
          <w:rFonts w:ascii="Lato" w:hAnsi="Lato"/>
          <w:sz w:val="18"/>
          <w:szCs w:val="18"/>
        </w:rPr>
        <w:t xml:space="preserve"> (retrieved 01 September 2023)</w:t>
      </w:r>
    </w:p>
  </w:footnote>
  <w:footnote w:id="44">
    <w:p w14:paraId="31AFEDF0" w14:textId="32A063D5"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6" w:history="1">
        <w:r w:rsidRPr="00B76FAC">
          <w:rPr>
            <w:rStyle w:val="Hyperlink"/>
            <w:rFonts w:ascii="Lato" w:hAnsi="Lato"/>
            <w:i/>
            <w:iCs/>
            <w:sz w:val="18"/>
            <w:szCs w:val="18"/>
          </w:rPr>
          <w:t>Act on Equal Treatment in Certain Areas and Protection against Discrimination (2004) - Slovakia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5">
    <w:p w14:paraId="4547D5A5" w14:textId="23681B5E"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7" w:history="1">
        <w:r w:rsidRPr="00B76FAC">
          <w:rPr>
            <w:rStyle w:val="Hyperlink"/>
            <w:rFonts w:ascii="Lato" w:hAnsi="Lato"/>
            <w:i/>
            <w:iCs/>
            <w:sz w:val="18"/>
            <w:szCs w:val="18"/>
          </w:rPr>
          <w:t>Law No. 85 (2008) - Slovakia</w:t>
        </w:r>
      </w:hyperlink>
      <w:r w:rsidRPr="00B76FAC">
        <w:rPr>
          <w:rFonts w:ascii="Lato" w:hAnsi="Lato"/>
          <w:sz w:val="18"/>
          <w:szCs w:val="18"/>
        </w:rPr>
        <w:t xml:space="preserve"> (retrieved 01 September 2023)</w:t>
      </w:r>
    </w:p>
  </w:footnote>
  <w:footnote w:id="46">
    <w:p w14:paraId="6FDC0364" w14:textId="3BA140F4"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8" w:history="1">
        <w:r w:rsidRPr="00B76FAC">
          <w:rPr>
            <w:rStyle w:val="Hyperlink"/>
            <w:rFonts w:ascii="Lato" w:hAnsi="Lato"/>
            <w:i/>
            <w:iCs/>
            <w:sz w:val="18"/>
            <w:szCs w:val="18"/>
          </w:rPr>
          <w:t>ILGA World Database: Protection against discrimination in housing - Slovakia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7">
    <w:p w14:paraId="667AF51C" w14:textId="6D821B2F"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39" w:history="1">
        <w:r w:rsidRPr="00B76FAC">
          <w:rPr>
            <w:rStyle w:val="Hyperlink"/>
            <w:rFonts w:ascii="Lato" w:hAnsi="Lato"/>
            <w:i/>
            <w:iCs/>
            <w:sz w:val="18"/>
            <w:szCs w:val="18"/>
          </w:rPr>
          <w:t>Penal Code (1995) – Slovenia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48">
    <w:p w14:paraId="161A0EAA" w14:textId="16DE8126"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bookmarkStart w:id="4" w:name="_Hlk144484976"/>
      <w:r w:rsidRPr="00B76FAC">
        <w:rPr>
          <w:rFonts w:ascii="Lato" w:hAnsi="Lato"/>
          <w:sz w:val="18"/>
          <w:szCs w:val="18"/>
        </w:rPr>
        <w:t xml:space="preserve">ILGA World Database, </w:t>
      </w:r>
      <w:hyperlink r:id="rId40" w:history="1">
        <w:r w:rsidRPr="00B76FAC">
          <w:rPr>
            <w:rStyle w:val="Hyperlink"/>
            <w:rFonts w:ascii="Lato" w:hAnsi="Lato"/>
            <w:i/>
            <w:iCs/>
            <w:sz w:val="18"/>
            <w:szCs w:val="18"/>
          </w:rPr>
          <w:t>Penal Code (2009) – Slovenia</w:t>
        </w:r>
      </w:hyperlink>
      <w:r w:rsidRPr="00B76FAC">
        <w:rPr>
          <w:rFonts w:ascii="Lato" w:hAnsi="Lato"/>
          <w:i/>
          <w:iCs/>
          <w:sz w:val="18"/>
          <w:szCs w:val="18"/>
        </w:rPr>
        <w:t xml:space="preserve"> </w:t>
      </w:r>
      <w:r w:rsidRPr="00B76FAC">
        <w:rPr>
          <w:rFonts w:ascii="Lato" w:hAnsi="Lato"/>
          <w:sz w:val="18"/>
          <w:szCs w:val="18"/>
        </w:rPr>
        <w:t>(retrieved 01 September 2023)</w:t>
      </w:r>
      <w:bookmarkEnd w:id="4"/>
    </w:p>
  </w:footnote>
  <w:footnote w:id="49">
    <w:p w14:paraId="00B13AEC" w14:textId="51A7F78D"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1" w:history="1">
        <w:r w:rsidRPr="00B76FAC">
          <w:rPr>
            <w:rStyle w:val="Hyperlink"/>
            <w:rFonts w:ascii="Lato" w:hAnsi="Lato"/>
            <w:i/>
            <w:iCs/>
            <w:sz w:val="18"/>
            <w:szCs w:val="18"/>
          </w:rPr>
          <w:t>Protection against Discrimination Act (2016)</w:t>
        </w:r>
      </w:hyperlink>
      <w:r w:rsidRPr="00B76FAC">
        <w:rPr>
          <w:rStyle w:val="Hyperlink"/>
          <w:rFonts w:ascii="Lato" w:hAnsi="Lato"/>
          <w:i/>
          <w:iCs/>
          <w:sz w:val="18"/>
          <w:szCs w:val="18"/>
        </w:rPr>
        <w:t xml:space="preserve"> - Slovenia</w:t>
      </w:r>
      <w:r w:rsidRPr="00B76FAC">
        <w:rPr>
          <w:rFonts w:ascii="Lato" w:hAnsi="Lato"/>
          <w:i/>
          <w:iCs/>
          <w:sz w:val="18"/>
          <w:szCs w:val="18"/>
        </w:rPr>
        <w:t xml:space="preserve"> </w:t>
      </w:r>
      <w:r w:rsidRPr="00B76FAC">
        <w:rPr>
          <w:rFonts w:ascii="Lato" w:hAnsi="Lato"/>
          <w:sz w:val="18"/>
          <w:szCs w:val="18"/>
        </w:rPr>
        <w:t>(retrieved 01 September 2023)</w:t>
      </w:r>
    </w:p>
  </w:footnote>
  <w:footnote w:id="50">
    <w:p w14:paraId="2A2E14D3" w14:textId="4EA52480"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2" w:history="1">
        <w:r w:rsidRPr="00B76FAC">
          <w:rPr>
            <w:rStyle w:val="Hyperlink"/>
            <w:rFonts w:ascii="Lato" w:hAnsi="Lato"/>
            <w:i/>
            <w:iCs/>
            <w:sz w:val="18"/>
            <w:szCs w:val="18"/>
          </w:rPr>
          <w:t>Integral Law for Equal Treatment and Non-Discrimination (Law No. 15) (2022) – Spain</w:t>
        </w:r>
      </w:hyperlink>
      <w:r w:rsidRPr="00B76FAC">
        <w:rPr>
          <w:rFonts w:ascii="Lato" w:hAnsi="Lato"/>
          <w:sz w:val="18"/>
          <w:szCs w:val="18"/>
        </w:rPr>
        <w:t xml:space="preserve"> (retrieved 01 September 2023)</w:t>
      </w:r>
    </w:p>
  </w:footnote>
  <w:footnote w:id="51">
    <w:p w14:paraId="44E1B91F" w14:textId="3D6C4FD0"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3" w:history="1">
        <w:r w:rsidRPr="00B76FAC">
          <w:rPr>
            <w:rStyle w:val="Hyperlink"/>
            <w:rFonts w:ascii="Lato" w:hAnsi="Lato"/>
            <w:i/>
            <w:iCs/>
            <w:sz w:val="18"/>
            <w:szCs w:val="18"/>
          </w:rPr>
          <w:t>Article 3 (Law No. 29) (1994) – Spain</w:t>
        </w:r>
      </w:hyperlink>
      <w:r w:rsidRPr="00B76FAC">
        <w:rPr>
          <w:rFonts w:ascii="Lato" w:hAnsi="Lato"/>
          <w:i/>
          <w:iCs/>
          <w:sz w:val="18"/>
          <w:szCs w:val="18"/>
        </w:rPr>
        <w:t xml:space="preserve"> – Spain </w:t>
      </w:r>
      <w:r w:rsidRPr="00B76FAC">
        <w:rPr>
          <w:rFonts w:ascii="Lato" w:hAnsi="Lato"/>
          <w:sz w:val="18"/>
          <w:szCs w:val="18"/>
        </w:rPr>
        <w:t>(retrieved 01 September 2023)</w:t>
      </w:r>
    </w:p>
  </w:footnote>
  <w:footnote w:id="52">
    <w:p w14:paraId="2287B0C5" w14:textId="24A813EB" w:rsidR="00BC53D5" w:rsidRPr="00B76FAC" w:rsidRDefault="00BC53D5" w:rsidP="00D47069">
      <w:pPr>
        <w:pStyle w:val="FootnoteText"/>
        <w:rPr>
          <w:rFonts w:ascii="Lato" w:hAnsi="Lato"/>
          <w:i/>
          <w:iCs/>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4" w:history="1">
        <w:r w:rsidRPr="00B76FAC">
          <w:rPr>
            <w:rStyle w:val="Hyperlink"/>
            <w:rFonts w:ascii="Lato" w:hAnsi="Lato"/>
            <w:i/>
            <w:iCs/>
            <w:sz w:val="18"/>
            <w:szCs w:val="18"/>
          </w:rPr>
          <w:t>Law for the real and effective equality of trans people and to guarantee the rights of LGBTI people (2023) – Spain</w:t>
        </w:r>
      </w:hyperlink>
      <w:r w:rsidRPr="00B76FAC">
        <w:rPr>
          <w:rFonts w:ascii="Lato" w:hAnsi="Lato"/>
          <w:sz w:val="18"/>
          <w:szCs w:val="18"/>
        </w:rPr>
        <w:t xml:space="preserve"> (retrieved 01 September 2023)</w:t>
      </w:r>
    </w:p>
  </w:footnote>
  <w:footnote w:id="53">
    <w:p w14:paraId="4A9530E9" w14:textId="293A630E"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5" w:history="1">
        <w:r w:rsidRPr="00B76FAC">
          <w:rPr>
            <w:rStyle w:val="Hyperlink"/>
            <w:rFonts w:ascii="Lato" w:hAnsi="Lato"/>
            <w:i/>
            <w:iCs/>
            <w:sz w:val="18"/>
            <w:szCs w:val="18"/>
          </w:rPr>
          <w:t>ILGA World Database: Protection against discrimination in housing – Spain</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54">
    <w:p w14:paraId="58822F16" w14:textId="39900D6D"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6" w:history="1">
        <w:r w:rsidRPr="00B76FAC">
          <w:rPr>
            <w:rStyle w:val="Hyperlink"/>
            <w:rFonts w:ascii="Lato" w:hAnsi="Lato"/>
            <w:i/>
            <w:iCs/>
            <w:sz w:val="18"/>
            <w:szCs w:val="18"/>
          </w:rPr>
          <w:t>Law on Prevention of and Protection against Discrimination (2019) – North Macedonia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55">
    <w:p w14:paraId="15555408" w14:textId="054E65EE"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7" w:history="1">
        <w:r w:rsidRPr="00B76FAC">
          <w:rPr>
            <w:rStyle w:val="Hyperlink"/>
            <w:rFonts w:ascii="Lato" w:hAnsi="Lato"/>
            <w:i/>
            <w:iCs/>
            <w:sz w:val="18"/>
            <w:szCs w:val="18"/>
          </w:rPr>
          <w:t>ILGA World Database: Protection against discrimination in housing - North Macedonia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56">
    <w:p w14:paraId="0585861C" w14:textId="725EC7A9"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8" w:history="1">
        <w:r w:rsidRPr="00B76FAC">
          <w:rPr>
            <w:rStyle w:val="Hyperlink"/>
            <w:rFonts w:ascii="Lato" w:hAnsi="Lato"/>
            <w:i/>
            <w:iCs/>
            <w:sz w:val="18"/>
            <w:szCs w:val="18"/>
          </w:rPr>
          <w:t>ADO No. 26 and MI No. 4,733 (2019) - Brazil</w:t>
        </w:r>
      </w:hyperlink>
      <w:r w:rsidRPr="00B76FAC">
        <w:rPr>
          <w:rFonts w:ascii="Lato" w:hAnsi="Lato"/>
          <w:sz w:val="18"/>
          <w:szCs w:val="18"/>
        </w:rPr>
        <w:t xml:space="preserve"> (retrieved 01 September 2023)</w:t>
      </w:r>
    </w:p>
  </w:footnote>
  <w:footnote w:id="57">
    <w:p w14:paraId="6E76936C" w14:textId="62F150C8"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49" w:history="1">
        <w:r w:rsidRPr="00B76FAC">
          <w:rPr>
            <w:rStyle w:val="Hyperlink"/>
            <w:rFonts w:ascii="Lato" w:hAnsi="Lato"/>
            <w:i/>
            <w:iCs/>
            <w:sz w:val="18"/>
            <w:szCs w:val="18"/>
          </w:rPr>
          <w:t>Law No. 7,716 (1989) – Brazil</w:t>
        </w:r>
      </w:hyperlink>
      <w:r w:rsidRPr="00B76FAC">
        <w:rPr>
          <w:rFonts w:ascii="Lato" w:hAnsi="Lato"/>
          <w:sz w:val="18"/>
          <w:szCs w:val="18"/>
        </w:rPr>
        <w:t xml:space="preserve"> (retrieved 01 September 2023)</w:t>
      </w:r>
    </w:p>
  </w:footnote>
  <w:footnote w:id="58">
    <w:p w14:paraId="5602795D" w14:textId="5DE60259"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0" w:history="1">
        <w:r w:rsidRPr="00B76FAC">
          <w:rPr>
            <w:rStyle w:val="Hyperlink"/>
            <w:rFonts w:ascii="Lato" w:hAnsi="Lato"/>
            <w:i/>
            <w:iCs/>
            <w:sz w:val="18"/>
            <w:szCs w:val="18"/>
          </w:rPr>
          <w:t>Bill PL No. 1947 (2021) – Brazil</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59">
    <w:p w14:paraId="37F6CA9D" w14:textId="60942B74"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1" w:history="1">
        <w:r w:rsidRPr="00B76FAC">
          <w:rPr>
            <w:rStyle w:val="Hyperlink"/>
            <w:rFonts w:ascii="Lato" w:hAnsi="Lato"/>
            <w:i/>
            <w:iCs/>
            <w:sz w:val="18"/>
            <w:szCs w:val="18"/>
          </w:rPr>
          <w:t>Law on the Adoption of Measures against Discrimination (Law No. 20, 609) (2021) – Chile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0">
    <w:p w14:paraId="11C7BD1C" w14:textId="406630F3"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2" w:history="1">
        <w:r w:rsidRPr="00B76FAC">
          <w:rPr>
            <w:rStyle w:val="Hyperlink"/>
            <w:rFonts w:ascii="Lato" w:hAnsi="Lato"/>
            <w:i/>
            <w:iCs/>
            <w:sz w:val="18"/>
            <w:szCs w:val="18"/>
          </w:rPr>
          <w:t>Bill amending No. 20.609 – Chile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1">
    <w:p w14:paraId="36AE8701" w14:textId="1C70237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3" w:history="1">
        <w:r w:rsidRPr="00B76FAC">
          <w:rPr>
            <w:rStyle w:val="Hyperlink"/>
            <w:rFonts w:ascii="Lato" w:hAnsi="Lato"/>
            <w:i/>
            <w:iCs/>
            <w:sz w:val="18"/>
            <w:szCs w:val="18"/>
          </w:rPr>
          <w:t>Bill No. 14,748-1 (2021) – Chile</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2">
    <w:p w14:paraId="607E152B" w14:textId="1D8A28DF"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w:t>
      </w:r>
      <w:r w:rsidRPr="00B76FAC">
        <w:rPr>
          <w:rFonts w:ascii="Lato" w:hAnsi="Lato"/>
          <w:i/>
          <w:iCs/>
          <w:sz w:val="18"/>
          <w:szCs w:val="18"/>
        </w:rPr>
        <w:t xml:space="preserve"> </w:t>
      </w:r>
      <w:hyperlink r:id="rId54" w:history="1">
        <w:r w:rsidRPr="00B76FAC">
          <w:rPr>
            <w:rStyle w:val="Hyperlink"/>
            <w:rFonts w:ascii="Lato" w:hAnsi="Lato"/>
            <w:i/>
            <w:iCs/>
            <w:sz w:val="18"/>
            <w:szCs w:val="18"/>
          </w:rPr>
          <w:t>Law No. 1,482 (2011) – Colombia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3">
    <w:p w14:paraId="5FFEEA5C" w14:textId="5D6CAE89"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5" w:history="1">
        <w:r w:rsidRPr="00B76FAC">
          <w:rPr>
            <w:rStyle w:val="Hyperlink"/>
            <w:rFonts w:ascii="Lato" w:hAnsi="Lato"/>
            <w:i/>
            <w:iCs/>
            <w:sz w:val="18"/>
            <w:szCs w:val="18"/>
          </w:rPr>
          <w:t>Criminal Code (2000) – Colombia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4">
    <w:p w14:paraId="5171C029" w14:textId="4D5BBD3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6" w:history="1">
        <w:r w:rsidRPr="00B76FAC">
          <w:rPr>
            <w:rStyle w:val="Hyperlink"/>
            <w:rFonts w:ascii="Lato" w:hAnsi="Lato"/>
            <w:i/>
            <w:iCs/>
            <w:sz w:val="18"/>
            <w:szCs w:val="18"/>
          </w:rPr>
          <w:t>ILGA World Database – Colombia</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5">
    <w:p w14:paraId="13E5BE96" w14:textId="107ED6B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7" w:history="1">
        <w:r w:rsidRPr="00B76FAC">
          <w:rPr>
            <w:rStyle w:val="Hyperlink"/>
            <w:rFonts w:ascii="Lato" w:hAnsi="Lato"/>
            <w:i/>
            <w:iCs/>
            <w:sz w:val="18"/>
            <w:szCs w:val="18"/>
          </w:rPr>
          <w:t>ILGA World Database: Protection against discrimination in housing – Dominican Republic</w:t>
        </w:r>
      </w:hyperlink>
      <w:r w:rsidRPr="00B76FAC">
        <w:rPr>
          <w:rFonts w:ascii="Lato" w:hAnsi="Lato"/>
          <w:i/>
          <w:iCs/>
          <w:sz w:val="18"/>
          <w:szCs w:val="18"/>
        </w:rPr>
        <w:t xml:space="preserve"> </w:t>
      </w:r>
      <w:r w:rsidRPr="00B76FAC">
        <w:rPr>
          <w:rFonts w:ascii="Lato" w:hAnsi="Lato"/>
          <w:sz w:val="18"/>
          <w:szCs w:val="18"/>
        </w:rPr>
        <w:t>(retrieved 01 September 2023)</w:t>
      </w:r>
    </w:p>
  </w:footnote>
  <w:footnote w:id="66">
    <w:p w14:paraId="6FCD443A" w14:textId="69FE74D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8" w:history="1">
        <w:r w:rsidRPr="00B76FAC">
          <w:rPr>
            <w:rStyle w:val="Hyperlink"/>
            <w:rFonts w:ascii="Lato" w:hAnsi="Lato"/>
            <w:i/>
            <w:iCs/>
            <w:sz w:val="18"/>
            <w:szCs w:val="18"/>
          </w:rPr>
          <w:t>Federal Act to Prevent and Eliminate Discrimination (2003) - Mexico</w:t>
        </w:r>
      </w:hyperlink>
      <w:r w:rsidRPr="00B76FAC">
        <w:rPr>
          <w:rFonts w:ascii="Lato" w:hAnsi="Lato"/>
          <w:sz w:val="18"/>
          <w:szCs w:val="18"/>
        </w:rPr>
        <w:t xml:space="preserve"> (retrieved 01 September 2023)</w:t>
      </w:r>
    </w:p>
  </w:footnote>
  <w:footnote w:id="67">
    <w:p w14:paraId="30BF46B4" w14:textId="11694D72"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59" w:history="1">
        <w:r w:rsidRPr="00B76FAC">
          <w:rPr>
            <w:rStyle w:val="Hyperlink"/>
            <w:rFonts w:ascii="Lato" w:hAnsi="Lato"/>
            <w:i/>
            <w:iCs/>
            <w:sz w:val="18"/>
            <w:szCs w:val="18"/>
          </w:rPr>
          <w:t>ILGA World Database: Protection against discrimination in housing - Mexico</w:t>
        </w:r>
      </w:hyperlink>
      <w:r w:rsidRPr="00B76FAC">
        <w:rPr>
          <w:rFonts w:ascii="Lato" w:hAnsi="Lato"/>
          <w:sz w:val="18"/>
          <w:szCs w:val="18"/>
        </w:rPr>
        <w:t xml:space="preserve"> (retrieved 01 September 2023)</w:t>
      </w:r>
    </w:p>
  </w:footnote>
  <w:footnote w:id="68">
    <w:p w14:paraId="350834F1" w14:textId="1CEB07DF"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0" w:history="1">
        <w:r w:rsidRPr="00B76FAC">
          <w:rPr>
            <w:rStyle w:val="Hyperlink"/>
            <w:rFonts w:ascii="Lato" w:hAnsi="Lato"/>
            <w:i/>
            <w:iCs/>
            <w:sz w:val="18"/>
            <w:szCs w:val="18"/>
          </w:rPr>
          <w:t>Constitutional Procedural Code – Peru</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69">
    <w:p w14:paraId="16E3DB51" w14:textId="48BF6746"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1" w:history="1">
        <w:r w:rsidRPr="00B76FAC">
          <w:rPr>
            <w:rStyle w:val="Hyperlink"/>
            <w:rFonts w:ascii="Lato" w:hAnsi="Lato"/>
            <w:i/>
            <w:iCs/>
            <w:sz w:val="18"/>
            <w:szCs w:val="18"/>
          </w:rPr>
          <w:t>Criminal Code (1991) – Peru</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70">
    <w:p w14:paraId="3E617D21" w14:textId="324CC60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2" w:history="1">
        <w:r w:rsidRPr="00B76FAC">
          <w:rPr>
            <w:rStyle w:val="Hyperlink"/>
            <w:rFonts w:ascii="Lato" w:hAnsi="Lato"/>
            <w:i/>
            <w:iCs/>
            <w:sz w:val="18"/>
            <w:szCs w:val="18"/>
          </w:rPr>
          <w:t>Legislative Order No. 1,323</w:t>
        </w:r>
        <w:r w:rsidRPr="00B76FAC">
          <w:rPr>
            <w:rStyle w:val="Hyperlink"/>
            <w:rFonts w:ascii="Lato" w:hAnsi="Lato"/>
            <w:sz w:val="18"/>
            <w:szCs w:val="18"/>
          </w:rPr>
          <w:t xml:space="preserve"> </w:t>
        </w:r>
        <w:r w:rsidRPr="00B76FAC">
          <w:rPr>
            <w:rStyle w:val="Hyperlink"/>
            <w:rFonts w:ascii="Lato" w:hAnsi="Lato"/>
            <w:i/>
            <w:iCs/>
            <w:sz w:val="18"/>
            <w:szCs w:val="18"/>
          </w:rPr>
          <w:t>- Peru</w:t>
        </w:r>
      </w:hyperlink>
      <w:r w:rsidRPr="00B76FAC">
        <w:rPr>
          <w:rFonts w:ascii="Lato" w:hAnsi="Lato"/>
          <w:sz w:val="18"/>
          <w:szCs w:val="18"/>
        </w:rPr>
        <w:t xml:space="preserve"> (retrieved 02 September 2023)</w:t>
      </w:r>
    </w:p>
  </w:footnote>
  <w:footnote w:id="71">
    <w:p w14:paraId="3D0A3880" w14:textId="5603801D"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3" w:history="1">
        <w:r w:rsidRPr="00B76FAC">
          <w:rPr>
            <w:rStyle w:val="Hyperlink"/>
            <w:rFonts w:ascii="Lato" w:hAnsi="Lato"/>
            <w:i/>
            <w:iCs/>
            <w:sz w:val="18"/>
            <w:szCs w:val="18"/>
          </w:rPr>
          <w:t>ILGA World Database: Protection against discrimination in housing - Peru</w:t>
        </w:r>
      </w:hyperlink>
      <w:r w:rsidRPr="00B76FAC">
        <w:rPr>
          <w:rFonts w:ascii="Lato" w:hAnsi="Lato"/>
          <w:sz w:val="18"/>
          <w:szCs w:val="18"/>
        </w:rPr>
        <w:t xml:space="preserve"> (retrieved 02 September 2023)</w:t>
      </w:r>
    </w:p>
  </w:footnote>
  <w:footnote w:id="72">
    <w:p w14:paraId="4C26545A" w14:textId="538470F0" w:rsidR="00BC53D5" w:rsidRPr="00B76FAC" w:rsidRDefault="00BC53D5" w:rsidP="00D47069">
      <w:pPr>
        <w:spacing w:after="0"/>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w:t>
      </w:r>
      <w:r w:rsidRPr="00B76FAC">
        <w:rPr>
          <w:rFonts w:ascii="Lato" w:hAnsi="Lato"/>
          <w:i/>
          <w:iCs/>
          <w:sz w:val="18"/>
          <w:szCs w:val="18"/>
        </w:rPr>
        <w:t xml:space="preserve"> </w:t>
      </w:r>
      <w:hyperlink r:id="rId64" w:history="1">
        <w:r w:rsidRPr="00B76FAC">
          <w:rPr>
            <w:rStyle w:val="Hyperlink"/>
            <w:rFonts w:ascii="Lato" w:hAnsi="Lato"/>
            <w:i/>
            <w:iCs/>
            <w:sz w:val="18"/>
            <w:szCs w:val="18"/>
          </w:rPr>
          <w:t>Canadian Human Rights Act (1985) - Canada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73">
    <w:p w14:paraId="757ECFF7" w14:textId="236AA781"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5" w:history="1">
        <w:r w:rsidRPr="00B76FAC">
          <w:rPr>
            <w:rStyle w:val="Hyperlink"/>
            <w:rFonts w:ascii="Lato" w:hAnsi="Lato"/>
            <w:i/>
            <w:iCs/>
            <w:sz w:val="18"/>
            <w:szCs w:val="18"/>
          </w:rPr>
          <w:t>BILL C-16 An Act to amend the Canadian Human Rights Act and the Criminal Code – Canada</w:t>
        </w:r>
      </w:hyperlink>
      <w:r w:rsidRPr="00B76FAC">
        <w:rPr>
          <w:rFonts w:ascii="Lato" w:hAnsi="Lato"/>
          <w:sz w:val="18"/>
          <w:szCs w:val="18"/>
        </w:rPr>
        <w:t xml:space="preserve"> (retrieved 02 September 2023)</w:t>
      </w:r>
    </w:p>
  </w:footnote>
  <w:footnote w:id="74">
    <w:p w14:paraId="1CFD3DAE" w14:textId="51CCB85F" w:rsidR="00BC53D5" w:rsidRPr="00B76FAC" w:rsidRDefault="00BC53D5" w:rsidP="00D47069">
      <w:pPr>
        <w:spacing w:after="0"/>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6" w:history="1">
        <w:r w:rsidRPr="00B76FAC">
          <w:rPr>
            <w:rStyle w:val="Hyperlink"/>
            <w:rFonts w:ascii="Lato" w:hAnsi="Lato"/>
            <w:i/>
            <w:iCs/>
            <w:sz w:val="18"/>
            <w:szCs w:val="18"/>
          </w:rPr>
          <w:t>ILGA World Database: Protection against discrimination in housing - Canada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75">
    <w:p w14:paraId="619181F8" w14:textId="77777777" w:rsidR="00BC53D5" w:rsidRPr="00B76FAC" w:rsidRDefault="00BC53D5" w:rsidP="00810474">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7" w:history="1">
        <w:r w:rsidRPr="00B76FAC">
          <w:rPr>
            <w:rStyle w:val="Hyperlink"/>
            <w:rFonts w:ascii="Lato" w:hAnsi="Lato"/>
            <w:i/>
            <w:iCs/>
            <w:sz w:val="18"/>
            <w:szCs w:val="18"/>
          </w:rPr>
          <w:t>ILGA World Database: Protection against discrimination in housing - Hong Kong (China)</w:t>
        </w:r>
      </w:hyperlink>
      <w:r w:rsidRPr="00B76FAC">
        <w:rPr>
          <w:rFonts w:ascii="Lato" w:hAnsi="Lato"/>
          <w:sz w:val="18"/>
          <w:szCs w:val="18"/>
        </w:rPr>
        <w:t xml:space="preserve"> (retrieved 21 August 2023).</w:t>
      </w:r>
    </w:p>
  </w:footnote>
  <w:footnote w:id="76">
    <w:p w14:paraId="3AA647E1" w14:textId="5AF0C7B8"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68" w:history="1">
        <w:r w:rsidRPr="00B76FAC">
          <w:rPr>
            <w:rStyle w:val="Hyperlink"/>
            <w:rFonts w:ascii="Lato" w:eastAsia="Lato" w:hAnsi="Lato"/>
            <w:i/>
            <w:iCs/>
            <w:sz w:val="18"/>
            <w:szCs w:val="18"/>
          </w:rPr>
          <w:t xml:space="preserve">Bill </w:t>
        </w:r>
        <w:r w:rsidRPr="00B76FAC">
          <w:rPr>
            <w:rStyle w:val="Hyperlink"/>
            <w:rFonts w:ascii="Lato" w:eastAsia="Lato" w:hAnsi="Lato"/>
            <w:i/>
            <w:iCs/>
            <w:color w:val="0563C1"/>
            <w:sz w:val="18"/>
            <w:szCs w:val="18"/>
          </w:rPr>
          <w:t>on Promotion of Elimination of Discrimination on the Grounds of Sexual Orientation or Gender Identity (2018) - Japan</w:t>
        </w:r>
      </w:hyperlink>
      <w:r w:rsidRPr="00B76FAC">
        <w:rPr>
          <w:rFonts w:ascii="Lato" w:hAnsi="Lato"/>
          <w:sz w:val="18"/>
          <w:szCs w:val="18"/>
        </w:rPr>
        <w:t xml:space="preserve"> (retrieved 18 August 2023).</w:t>
      </w:r>
    </w:p>
  </w:footnote>
  <w:footnote w:id="77">
    <w:p w14:paraId="182060C7"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For example: the Ibaraki Prefecture 2019 bylaw; media reports of Hokkaido allowing same-sex couples to move to prefecture-run homes in 2023; media reports of Nara prefecture admitting same-sex couples to its public housing programmes; Saitama Prefectural Assembly adopted an ordinance to ban any discrimination based on ‘sexual orientation’ and ‘gender identity’; Tokyo Metropolitan Government bylaw (2018).</w:t>
      </w:r>
    </w:p>
  </w:footnote>
  <w:footnote w:id="78">
    <w:p w14:paraId="7CE23E87" w14:textId="127EE8C3"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69" w:history="1">
        <w:r w:rsidRPr="00B76FAC">
          <w:rPr>
            <w:rStyle w:val="Hyperlink"/>
            <w:rFonts w:ascii="Lato" w:hAnsi="Lato"/>
            <w:i/>
            <w:iCs/>
            <w:sz w:val="18"/>
            <w:szCs w:val="18"/>
          </w:rPr>
          <w:t>ILGA World Database: Protection against discrimination in housing - Austria</w:t>
        </w:r>
      </w:hyperlink>
      <w:r w:rsidRPr="00B76FAC">
        <w:rPr>
          <w:rFonts w:ascii="Lato" w:hAnsi="Lato"/>
          <w:i/>
          <w:iCs/>
          <w:sz w:val="18"/>
          <w:szCs w:val="18"/>
        </w:rPr>
        <w:t xml:space="preserve"> </w:t>
      </w:r>
      <w:r w:rsidRPr="00B76FAC">
        <w:rPr>
          <w:rFonts w:ascii="Lato" w:hAnsi="Lato"/>
          <w:sz w:val="18"/>
          <w:szCs w:val="18"/>
        </w:rPr>
        <w:t>(retrieved 02 September 2023)</w:t>
      </w:r>
    </w:p>
  </w:footnote>
  <w:footnote w:id="79">
    <w:p w14:paraId="66C515C6" w14:textId="0F4652DA"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70" w:history="1">
        <w:r w:rsidRPr="00B76FAC">
          <w:rPr>
            <w:rStyle w:val="Hyperlink"/>
            <w:rFonts w:ascii="Lato" w:hAnsi="Lato"/>
            <w:i/>
            <w:iCs/>
            <w:sz w:val="18"/>
            <w:szCs w:val="18"/>
          </w:rPr>
          <w:t>Combating Racism and Other Forms of Discrimination (Commissioner) Act (2004) – Cyprus</w:t>
        </w:r>
      </w:hyperlink>
      <w:r w:rsidRPr="00B76FAC">
        <w:rPr>
          <w:rFonts w:ascii="Lato" w:hAnsi="Lato"/>
          <w:sz w:val="18"/>
          <w:szCs w:val="18"/>
        </w:rPr>
        <w:t xml:space="preserve"> (retrieved 18 August 2023).</w:t>
      </w:r>
    </w:p>
  </w:footnote>
  <w:footnote w:id="80">
    <w:p w14:paraId="31E13DD9" w14:textId="505E3D3D"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71" w:history="1">
        <w:r w:rsidRPr="00B76FAC">
          <w:rPr>
            <w:rStyle w:val="Emphasis"/>
            <w:rFonts w:ascii="Lato" w:eastAsiaTheme="majorEastAsia" w:hAnsi="Lato"/>
            <w:color w:val="0563C1"/>
            <w:sz w:val="18"/>
            <w:szCs w:val="18"/>
            <w:u w:val="single"/>
          </w:rPr>
          <w:t>ILGA World Database: Protection against discrimination in housing - Cyprus</w:t>
        </w:r>
      </w:hyperlink>
      <w:r w:rsidRPr="00B76FAC">
        <w:rPr>
          <w:rFonts w:ascii="Lato" w:hAnsi="Lato"/>
          <w:sz w:val="18"/>
          <w:szCs w:val="18"/>
        </w:rPr>
        <w:t xml:space="preserve"> (retrieved 21 August 2023).</w:t>
      </w:r>
    </w:p>
  </w:footnote>
  <w:footnote w:id="81">
    <w:p w14:paraId="290E7D68" w14:textId="65ADFDB4"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72" w:history="1">
        <w:r w:rsidRPr="00B76FAC">
          <w:rPr>
            <w:rStyle w:val="Emphasis"/>
            <w:rFonts w:ascii="Lato" w:eastAsiaTheme="majorEastAsia" w:hAnsi="Lato"/>
            <w:color w:val="0563C1"/>
            <w:sz w:val="18"/>
            <w:szCs w:val="18"/>
            <w:u w:val="single"/>
          </w:rPr>
          <w:t>ILGA World Database: Protection against discrimination in housing - Italy</w:t>
        </w:r>
      </w:hyperlink>
      <w:r w:rsidRPr="00B76FAC">
        <w:rPr>
          <w:rFonts w:ascii="Lato" w:hAnsi="Lato"/>
          <w:sz w:val="18"/>
          <w:szCs w:val="18"/>
        </w:rPr>
        <w:t xml:space="preserve"> (retrieved 21 August 2023).</w:t>
      </w:r>
    </w:p>
  </w:footnote>
  <w:footnote w:id="82">
    <w:p w14:paraId="7517AA72" w14:textId="73237CFA"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For example: in the Chaco region </w:t>
      </w:r>
      <w:hyperlink r:id="rId73" w:history="1">
        <w:r w:rsidRPr="00B76FAC">
          <w:rPr>
            <w:rStyle w:val="Hyperlink"/>
            <w:rFonts w:ascii="Lato" w:eastAsiaTheme="majorEastAsia" w:hAnsi="Lato"/>
            <w:color w:val="0563C1"/>
            <w:sz w:val="18"/>
            <w:szCs w:val="18"/>
          </w:rPr>
          <w:t>Law</w:t>
        </w:r>
        <w:r w:rsidRPr="00B76FAC">
          <w:rPr>
            <w:rStyle w:val="Hyperlink"/>
            <w:rFonts w:ascii="Lato" w:eastAsiaTheme="majorEastAsia" w:hAnsi="Lato"/>
            <w:sz w:val="18"/>
            <w:szCs w:val="18"/>
          </w:rPr>
          <w:t xml:space="preserve"> No. 3,467</w:t>
        </w:r>
      </w:hyperlink>
      <w:r w:rsidRPr="00B76FAC">
        <w:rPr>
          <w:rFonts w:ascii="Lato" w:hAnsi="Lato"/>
          <w:sz w:val="18"/>
          <w:szCs w:val="18"/>
        </w:rPr>
        <w:t xml:space="preserve"> (2021); in the Autonomous City in Buenos Aires 15 </w:t>
      </w:r>
      <w:hyperlink r:id="rId74" w:history="1">
        <w:r w:rsidRPr="00B76FAC">
          <w:rPr>
            <w:rStyle w:val="Hyperlink"/>
            <w:rFonts w:ascii="Lato" w:eastAsiaTheme="majorEastAsia" w:hAnsi="Lato"/>
            <w:sz w:val="18"/>
            <w:szCs w:val="18"/>
          </w:rPr>
          <w:t>Law No. 5,261</w:t>
        </w:r>
      </w:hyperlink>
      <w:r w:rsidRPr="00B76FAC">
        <w:rPr>
          <w:rFonts w:ascii="Lato" w:hAnsi="Lato"/>
          <w:sz w:val="18"/>
          <w:szCs w:val="18"/>
        </w:rPr>
        <w:t xml:space="preserve"> (2015); in Article 3(a) of the La Rioja region </w:t>
      </w:r>
      <w:hyperlink r:id="rId75" w:history="1">
        <w:r w:rsidRPr="00B76FAC">
          <w:rPr>
            <w:rStyle w:val="Hyperlink"/>
            <w:rFonts w:ascii="Lato" w:eastAsiaTheme="majorEastAsia" w:hAnsi="Lato"/>
            <w:sz w:val="18"/>
            <w:szCs w:val="18"/>
          </w:rPr>
          <w:t>Provincial Law No. 10,374</w:t>
        </w:r>
      </w:hyperlink>
      <w:r w:rsidRPr="00B76FAC">
        <w:rPr>
          <w:rFonts w:ascii="Lato" w:hAnsi="Lato"/>
          <w:sz w:val="18"/>
          <w:szCs w:val="18"/>
        </w:rPr>
        <w:t xml:space="preserve"> (2021); in the Rio Negro region </w:t>
      </w:r>
      <w:hyperlink r:id="rId76" w:history="1">
        <w:r w:rsidRPr="00B76FAC">
          <w:rPr>
            <w:rStyle w:val="Hyperlink"/>
            <w:rFonts w:ascii="Lato" w:eastAsiaTheme="majorEastAsia" w:hAnsi="Lato"/>
            <w:sz w:val="18"/>
            <w:szCs w:val="18"/>
          </w:rPr>
          <w:t>Law No. B 3.055</w:t>
        </w:r>
      </w:hyperlink>
      <w:r w:rsidRPr="00B76FAC">
        <w:rPr>
          <w:rFonts w:ascii="Lato" w:hAnsi="Lato"/>
          <w:sz w:val="18"/>
          <w:szCs w:val="18"/>
        </w:rPr>
        <w:t xml:space="preserve"> (2008); in Article 108 of the San Juan region’s Code of Misdemeanour Law </w:t>
      </w:r>
      <w:hyperlink r:id="rId77" w:history="1">
        <w:r w:rsidRPr="00B76FAC">
          <w:rPr>
            <w:rStyle w:val="Hyperlink"/>
            <w:rFonts w:ascii="Lato" w:eastAsiaTheme="majorEastAsia" w:hAnsi="Lato"/>
            <w:sz w:val="18"/>
            <w:szCs w:val="18"/>
          </w:rPr>
          <w:t>No. 7.819 </w:t>
        </w:r>
      </w:hyperlink>
      <w:r w:rsidRPr="00B76FAC">
        <w:rPr>
          <w:rFonts w:ascii="Lato" w:hAnsi="Lato"/>
          <w:sz w:val="18"/>
          <w:szCs w:val="18"/>
        </w:rPr>
        <w:t>(2007); in Article 7 of the Santa Fe region of Article 7 of Provincial Law No. 12,967 (2009); in Article 43 of the Santiago del Estero region’s Code of Misdemeanour </w:t>
      </w:r>
      <w:hyperlink r:id="rId78" w:history="1">
        <w:r w:rsidRPr="00B76FAC">
          <w:rPr>
            <w:rStyle w:val="Hyperlink"/>
            <w:rFonts w:ascii="Lato" w:eastAsiaTheme="majorEastAsia" w:hAnsi="Lato"/>
            <w:sz w:val="18"/>
            <w:szCs w:val="18"/>
          </w:rPr>
          <w:t>Provincial Law No. 6.906</w:t>
        </w:r>
      </w:hyperlink>
      <w:r w:rsidRPr="00B76FAC">
        <w:rPr>
          <w:rFonts w:ascii="Lato" w:hAnsi="Lato"/>
          <w:sz w:val="18"/>
          <w:szCs w:val="18"/>
        </w:rPr>
        <w:t xml:space="preserve"> (2008). Information obtained from the ILGA World Database, </w:t>
      </w:r>
      <w:hyperlink r:id="rId79" w:history="1">
        <w:r w:rsidRPr="00B76FAC">
          <w:rPr>
            <w:rStyle w:val="Emphasis"/>
            <w:rFonts w:ascii="Lato" w:hAnsi="Lato"/>
            <w:color w:val="0563C1"/>
            <w:sz w:val="18"/>
            <w:szCs w:val="18"/>
            <w:u w:val="single"/>
          </w:rPr>
          <w:t>ILGA World Database: Protection against discrimination in housing - Argentina</w:t>
        </w:r>
      </w:hyperlink>
      <w:r w:rsidRPr="00B76FAC">
        <w:rPr>
          <w:rFonts w:ascii="Lato" w:hAnsi="Lato"/>
          <w:sz w:val="18"/>
          <w:szCs w:val="18"/>
        </w:rPr>
        <w:t xml:space="preserve"> (retrieved 18 August 2023).</w:t>
      </w:r>
    </w:p>
  </w:footnote>
  <w:footnote w:id="83">
    <w:p w14:paraId="27F2D9B7" w14:textId="13D1F8D5"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80" w:history="1">
        <w:r w:rsidRPr="00B76FAC">
          <w:rPr>
            <w:rStyle w:val="Emphasis"/>
            <w:rFonts w:ascii="Lato" w:hAnsi="Lato"/>
            <w:color w:val="0563C1"/>
            <w:sz w:val="18"/>
            <w:szCs w:val="18"/>
            <w:u w:val="single"/>
          </w:rPr>
          <w:t>ILGA World Database: Protection against discrimination in housing - Argentina</w:t>
        </w:r>
      </w:hyperlink>
      <w:r w:rsidRPr="00B76FAC">
        <w:rPr>
          <w:rFonts w:ascii="Lato" w:hAnsi="Lato"/>
          <w:sz w:val="18"/>
          <w:szCs w:val="18"/>
        </w:rPr>
        <w:t xml:space="preserve"> (retrieved 18 August 2023).</w:t>
      </w:r>
    </w:p>
  </w:footnote>
  <w:footnote w:id="84">
    <w:p w14:paraId="2A971687" w14:textId="35A562EA"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w:t>
      </w:r>
      <w:r w:rsidRPr="00B76FAC">
        <w:rPr>
          <w:rFonts w:ascii="Lato" w:hAnsi="Lato"/>
          <w:color w:val="0563C1"/>
          <w:sz w:val="18"/>
          <w:szCs w:val="18"/>
        </w:rPr>
        <w:t xml:space="preserve">, </w:t>
      </w:r>
      <w:hyperlink r:id="rId81" w:history="1">
        <w:r w:rsidRPr="00B76FAC">
          <w:rPr>
            <w:rStyle w:val="Emphasis"/>
            <w:rFonts w:ascii="Lato" w:hAnsi="Lato"/>
            <w:color w:val="0563C1"/>
            <w:sz w:val="18"/>
            <w:szCs w:val="18"/>
            <w:u w:val="single"/>
          </w:rPr>
          <w:t>ILGA World Database: Protection against discrimination in housing - Argentina</w:t>
        </w:r>
      </w:hyperlink>
      <w:r w:rsidRPr="00B76FAC">
        <w:rPr>
          <w:rFonts w:ascii="Lato" w:hAnsi="Lato"/>
          <w:color w:val="0563C1"/>
          <w:sz w:val="18"/>
          <w:szCs w:val="18"/>
        </w:rPr>
        <w:t xml:space="preserve"> </w:t>
      </w:r>
      <w:r w:rsidRPr="00B76FAC">
        <w:rPr>
          <w:rFonts w:ascii="Lato" w:hAnsi="Lato"/>
          <w:sz w:val="18"/>
          <w:szCs w:val="18"/>
        </w:rPr>
        <w:t>(retrieved 18 August 2023).</w:t>
      </w:r>
    </w:p>
  </w:footnote>
  <w:footnote w:id="85">
    <w:p w14:paraId="02896765" w14:textId="3A65FA44"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82" w:history="1">
        <w:r w:rsidRPr="00B76FAC">
          <w:rPr>
            <w:rStyle w:val="Hyperlink"/>
            <w:rFonts w:ascii="Lato" w:hAnsi="Lato"/>
            <w:i/>
            <w:iCs/>
            <w:sz w:val="18"/>
            <w:szCs w:val="18"/>
          </w:rPr>
          <w:t>Equality Act (2021) – United States of America</w:t>
        </w:r>
      </w:hyperlink>
      <w:r w:rsidRPr="00B76FAC">
        <w:rPr>
          <w:rFonts w:ascii="Lato" w:hAnsi="Lato"/>
          <w:sz w:val="18"/>
          <w:szCs w:val="18"/>
        </w:rPr>
        <w:t xml:space="preserve"> (retrieved 02 September 2023)</w:t>
      </w:r>
    </w:p>
  </w:footnote>
  <w:footnote w:id="86">
    <w:p w14:paraId="716138C9"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Morton, M. H., Dworsky, A., &amp; Samuels, G. M. (2017). </w:t>
      </w:r>
      <w:r w:rsidRPr="00B76FAC">
        <w:rPr>
          <w:rFonts w:ascii="Lato" w:hAnsi="Lato"/>
          <w:i/>
          <w:iCs/>
          <w:sz w:val="18"/>
          <w:szCs w:val="18"/>
        </w:rPr>
        <w:t>Missed opportunities: Youth homelessness in America. National estimates.</w:t>
      </w:r>
      <w:r w:rsidRPr="00B76FAC">
        <w:rPr>
          <w:rFonts w:ascii="Lato" w:hAnsi="Lato"/>
          <w:sz w:val="18"/>
          <w:szCs w:val="18"/>
        </w:rPr>
        <w:t xml:space="preserve"> Chapin Hall at the University of Chicago. </w:t>
      </w:r>
      <w:hyperlink r:id="rId83" w:history="1">
        <w:r w:rsidRPr="00B76FAC">
          <w:rPr>
            <w:rStyle w:val="Hyperlink"/>
            <w:rFonts w:ascii="Lato" w:hAnsi="Lato"/>
            <w:sz w:val="18"/>
            <w:szCs w:val="18"/>
          </w:rPr>
          <w:t>https://voicesofyouthcount.org/wp-content/uploads/2017/11/ChapinHall_VoYC_NationalReport_Final.pdf</w:t>
        </w:r>
      </w:hyperlink>
    </w:p>
  </w:footnote>
  <w:footnote w:id="87">
    <w:p w14:paraId="39CC6743" w14:textId="18EE18F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Walls, N. E., &amp; Bell, S. (2011). Correlates of Engaging in Survival Sex among Homeless Youth and Young Adults. </w:t>
      </w:r>
      <w:r w:rsidRPr="00B76FAC">
        <w:rPr>
          <w:rFonts w:ascii="Lato" w:hAnsi="Lato"/>
          <w:i/>
          <w:iCs/>
          <w:sz w:val="18"/>
          <w:szCs w:val="18"/>
        </w:rPr>
        <w:t>Journal of Sex Research</w:t>
      </w:r>
      <w:r w:rsidRPr="00B76FAC">
        <w:rPr>
          <w:rFonts w:ascii="Lato" w:hAnsi="Lato"/>
          <w:sz w:val="18"/>
          <w:szCs w:val="18"/>
        </w:rPr>
        <w:t xml:space="preserve">, </w:t>
      </w:r>
      <w:r w:rsidRPr="00B76FAC">
        <w:rPr>
          <w:rFonts w:ascii="Lato" w:hAnsi="Lato"/>
          <w:i/>
          <w:iCs/>
          <w:sz w:val="18"/>
          <w:szCs w:val="18"/>
        </w:rPr>
        <w:t>48</w:t>
      </w:r>
      <w:r w:rsidRPr="00B76FAC">
        <w:rPr>
          <w:rFonts w:ascii="Lato" w:hAnsi="Lato"/>
          <w:sz w:val="18"/>
          <w:szCs w:val="18"/>
        </w:rPr>
        <w:t>(5), 423–436. https://doi.org/10.1080/00224499.2010.501916</w:t>
      </w:r>
    </w:p>
  </w:footnote>
  <w:footnote w:id="88">
    <w:p w14:paraId="71A25313"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Corliss, H. L., Goodenow, C. S., Nichols, L., &amp; Austin, S. B. (2011). High Burden of Homelessness Among Sexual-Minority Adolescents: Findings From a Representative Massachusetts High School Sample. </w:t>
      </w:r>
      <w:r w:rsidRPr="00B76FAC">
        <w:rPr>
          <w:rFonts w:ascii="Lato" w:hAnsi="Lato"/>
          <w:i/>
          <w:iCs/>
          <w:sz w:val="18"/>
          <w:szCs w:val="18"/>
        </w:rPr>
        <w:t>American Journal of Public Health</w:t>
      </w:r>
      <w:r w:rsidRPr="00B76FAC">
        <w:rPr>
          <w:rFonts w:ascii="Lato" w:hAnsi="Lato"/>
          <w:sz w:val="18"/>
          <w:szCs w:val="18"/>
        </w:rPr>
        <w:t xml:space="preserve">, </w:t>
      </w:r>
      <w:r w:rsidRPr="00B76FAC">
        <w:rPr>
          <w:rFonts w:ascii="Lato" w:hAnsi="Lato"/>
          <w:i/>
          <w:iCs/>
          <w:sz w:val="18"/>
          <w:szCs w:val="18"/>
        </w:rPr>
        <w:t>101</w:t>
      </w:r>
      <w:r w:rsidRPr="00B76FAC">
        <w:rPr>
          <w:rFonts w:ascii="Lato" w:hAnsi="Lato"/>
          <w:sz w:val="18"/>
          <w:szCs w:val="18"/>
        </w:rPr>
        <w:t xml:space="preserve">(9), 1683–1689. </w:t>
      </w:r>
      <w:hyperlink r:id="rId84" w:history="1">
        <w:r w:rsidRPr="00B76FAC">
          <w:rPr>
            <w:rStyle w:val="Hyperlink"/>
            <w:rFonts w:ascii="Lato" w:hAnsi="Lato"/>
            <w:sz w:val="18"/>
            <w:szCs w:val="18"/>
          </w:rPr>
          <w:t>https://doi.org/10.2105/ajph.2011.300155</w:t>
        </w:r>
      </w:hyperlink>
    </w:p>
  </w:footnote>
  <w:footnote w:id="89">
    <w:p w14:paraId="7B59E2A8"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HRC Staff. (2017, November 15). </w:t>
      </w:r>
      <w:r w:rsidRPr="00B76FAC">
        <w:rPr>
          <w:rFonts w:ascii="Lato" w:hAnsi="Lato"/>
          <w:i/>
          <w:iCs/>
          <w:sz w:val="18"/>
          <w:szCs w:val="18"/>
        </w:rPr>
        <w:t>LGBTQ Youth Disproportionately Experience Homelessness</w:t>
      </w:r>
      <w:r w:rsidRPr="00B76FAC">
        <w:rPr>
          <w:rFonts w:ascii="Lato" w:hAnsi="Lato"/>
          <w:sz w:val="18"/>
          <w:szCs w:val="18"/>
        </w:rPr>
        <w:t xml:space="preserve">. Human Rights Campaign. </w:t>
      </w:r>
      <w:hyperlink r:id="rId85" w:history="1">
        <w:r w:rsidRPr="00B76FAC">
          <w:rPr>
            <w:rStyle w:val="Hyperlink"/>
            <w:rFonts w:ascii="Lato" w:hAnsi="Lato"/>
            <w:sz w:val="18"/>
            <w:szCs w:val="18"/>
          </w:rPr>
          <w:t>https://www.hrc.org/news/new-report-on-youth-homeless-affirms-that-lgbtq-youth-disproportionately-ex</w:t>
        </w:r>
      </w:hyperlink>
    </w:p>
  </w:footnote>
  <w:footnote w:id="90">
    <w:p w14:paraId="42593075"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The Albert Kennedy Trust. (2015). </w:t>
      </w:r>
      <w:r w:rsidRPr="00B76FAC">
        <w:rPr>
          <w:rFonts w:ascii="Lato" w:hAnsi="Lato"/>
          <w:i/>
          <w:iCs/>
          <w:sz w:val="18"/>
          <w:szCs w:val="18"/>
        </w:rPr>
        <w:t>LGBT Youth Homelessness: A UK scoping of cause, prevalence, response and outcome</w:t>
      </w:r>
      <w:r w:rsidRPr="00B76FAC">
        <w:rPr>
          <w:rFonts w:ascii="Lato" w:hAnsi="Lato"/>
          <w:sz w:val="18"/>
          <w:szCs w:val="18"/>
        </w:rPr>
        <w:t xml:space="preserve">. Albert Kennedy Trust. </w:t>
      </w:r>
      <w:hyperlink r:id="rId86" w:history="1">
        <w:r w:rsidRPr="00B76FAC">
          <w:rPr>
            <w:rStyle w:val="Hyperlink"/>
            <w:rFonts w:ascii="Lato" w:hAnsi="Lato"/>
            <w:sz w:val="18"/>
            <w:szCs w:val="18"/>
          </w:rPr>
          <w:t>https://www.basw.co.uk/system/files/resources/basw_31219-10_0.pdf</w:t>
        </w:r>
      </w:hyperlink>
    </w:p>
  </w:footnote>
  <w:footnote w:id="91">
    <w:p w14:paraId="72A4C1DB"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Gaetz, S., O’Grady, B., Kidd, S., &amp; Schwan, K. (2015). Without a Home: The National Youth Homelessness Survey. In </w:t>
      </w:r>
      <w:r w:rsidRPr="00B76FAC">
        <w:rPr>
          <w:rFonts w:ascii="Lato" w:hAnsi="Lato"/>
          <w:i/>
          <w:iCs/>
          <w:sz w:val="18"/>
          <w:szCs w:val="18"/>
        </w:rPr>
        <w:t>Homeless Hub</w:t>
      </w:r>
      <w:r w:rsidRPr="00B76FAC">
        <w:rPr>
          <w:rFonts w:ascii="Lato" w:hAnsi="Lato"/>
          <w:sz w:val="18"/>
          <w:szCs w:val="18"/>
        </w:rPr>
        <w:t xml:space="preserve">. Canadian Observatory on Homelessness Plan. </w:t>
      </w:r>
      <w:hyperlink r:id="rId87" w:history="1">
        <w:r w:rsidRPr="00B76FAC">
          <w:rPr>
            <w:rStyle w:val="Hyperlink"/>
            <w:rFonts w:ascii="Lato" w:hAnsi="Lato"/>
            <w:sz w:val="18"/>
            <w:szCs w:val="18"/>
          </w:rPr>
          <w:t>https://www.homelesshub.ca/sites/default/files/attachments/WithoutAHome-final.pdf</w:t>
        </w:r>
      </w:hyperlink>
    </w:p>
  </w:footnote>
  <w:footnote w:id="92">
    <w:p w14:paraId="35ADE818"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Shelton, J., Ritosa, A., Van Roozendaal, B., Hugendubel, K., &amp; Dodds, S. J. (2021). Perceptions: Addressing LGBTI Youth Homelessness in Europe and Central Asia - Findings from a Survey of LGBTI Organisations. In </w:t>
      </w:r>
      <w:r w:rsidRPr="00B76FAC">
        <w:rPr>
          <w:rFonts w:ascii="Lato" w:hAnsi="Lato"/>
          <w:i/>
          <w:iCs/>
          <w:sz w:val="18"/>
          <w:szCs w:val="18"/>
        </w:rPr>
        <w:t>ILGA EUROPE</w:t>
      </w:r>
      <w:r w:rsidRPr="00B76FAC">
        <w:rPr>
          <w:rFonts w:ascii="Lato" w:hAnsi="Lato"/>
          <w:sz w:val="18"/>
          <w:szCs w:val="18"/>
        </w:rPr>
        <w:t xml:space="preserve">. ILGA-Europe, True Colors United, and the Silberman Center for Sexuality and Gender at Hunter College. </w:t>
      </w:r>
      <w:hyperlink r:id="rId88" w:history="1">
        <w:r w:rsidRPr="00B76FAC">
          <w:rPr>
            <w:rStyle w:val="Hyperlink"/>
            <w:rFonts w:ascii="Lato" w:hAnsi="Lato"/>
            <w:sz w:val="18"/>
            <w:szCs w:val="18"/>
          </w:rPr>
          <w:t>https://www.ilga-europe.org/report/perceptions-addressing-lgbti-youth-homelessness-in-europe-and-central-asia/</w:t>
        </w:r>
      </w:hyperlink>
    </w:p>
  </w:footnote>
  <w:footnote w:id="93">
    <w:p w14:paraId="6BADAC2B" w14:textId="2BE04ED6" w:rsidR="00BC53D5" w:rsidRPr="00B76FAC" w:rsidRDefault="00BC53D5" w:rsidP="00D47069">
      <w:pPr>
        <w:pStyle w:val="FootnoteText"/>
        <w:rPr>
          <w:rFonts w:ascii="Lato" w:hAnsi="Lato"/>
          <w:sz w:val="18"/>
          <w:szCs w:val="18"/>
          <w:lang w:val="es-ES"/>
        </w:rPr>
      </w:pPr>
      <w:r w:rsidRPr="00B76FAC">
        <w:rPr>
          <w:rStyle w:val="FootnoteReference"/>
          <w:rFonts w:ascii="Lato" w:hAnsi="Lato"/>
          <w:sz w:val="18"/>
          <w:szCs w:val="18"/>
        </w:rPr>
        <w:footnoteRef/>
      </w:r>
      <w:r w:rsidRPr="00B76FAC">
        <w:rPr>
          <w:rFonts w:ascii="Lato" w:hAnsi="Lato"/>
          <w:sz w:val="18"/>
          <w:szCs w:val="18"/>
        </w:rPr>
        <w:t xml:space="preserve"> Independent Expert SOGI. (2019). Report of the Independent Expert on protection against violence and discrimination based on sexual orientation and gender identity. </w:t>
      </w:r>
      <w:r w:rsidRPr="00B76FAC">
        <w:rPr>
          <w:rFonts w:ascii="Lato" w:hAnsi="Lato"/>
          <w:sz w:val="18"/>
          <w:szCs w:val="18"/>
          <w:lang w:val="es-ES"/>
        </w:rPr>
        <w:t xml:space="preserve">Para. 45 </w:t>
      </w:r>
      <w:hyperlink r:id="rId89" w:history="1">
        <w:r w:rsidRPr="00B76FAC">
          <w:rPr>
            <w:rStyle w:val="Hyperlink"/>
            <w:rFonts w:ascii="Lato" w:hAnsi="Lato"/>
            <w:sz w:val="18"/>
            <w:szCs w:val="18"/>
            <w:lang w:val="es-ES"/>
          </w:rPr>
          <w:t>https://Database.ilga.org/api/downloader/download/4/en-A_74_181.pdf</w:t>
        </w:r>
      </w:hyperlink>
    </w:p>
  </w:footnote>
  <w:footnote w:id="94">
    <w:p w14:paraId="00B2EA75"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Ritosa, A., Shelton, J., Stakelum, R., Van Roozendaal, B., Hugendubel, K., &amp; Dodd, S. J. (2021). Perceptions: Comparative findings from a study of homeless service providers and LGBTI-focused organisations about LGBTIQ youth homelessness in Europe. In </w:t>
      </w:r>
      <w:r w:rsidRPr="00B76FAC">
        <w:rPr>
          <w:rFonts w:ascii="Lato" w:hAnsi="Lato"/>
          <w:i/>
          <w:iCs/>
          <w:sz w:val="18"/>
          <w:szCs w:val="18"/>
        </w:rPr>
        <w:t>ILGA Europe</w:t>
      </w:r>
      <w:r w:rsidRPr="00B76FAC">
        <w:rPr>
          <w:rFonts w:ascii="Lato" w:hAnsi="Lato"/>
          <w:sz w:val="18"/>
          <w:szCs w:val="18"/>
        </w:rPr>
        <w:t xml:space="preserve">. FEANTSA, ILGA-Europe, True Colors United, and the Silberman Center for Sexuality and Gender at Hunter College. Pg. 3 </w:t>
      </w:r>
      <w:hyperlink r:id="rId90" w:history="1">
        <w:r w:rsidRPr="00B76FAC">
          <w:rPr>
            <w:rStyle w:val="Hyperlink"/>
            <w:rFonts w:ascii="Lato" w:hAnsi="Lato"/>
            <w:sz w:val="18"/>
            <w:szCs w:val="18"/>
          </w:rPr>
          <w:t>https://www.ilga-europe.org/files/uploads/2022/04/Perceptions-Comparative-findings-study-homeless-service-providers-LGBTI-focused-organisations.pdf</w:t>
        </w:r>
      </w:hyperlink>
    </w:p>
  </w:footnote>
  <w:footnote w:id="95">
    <w:p w14:paraId="6AD92F4B"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Aboulafia, A. (2019). The New John Lawrence: An Analysis of the Criminalization of LGBTQ Homelessness. </w:t>
      </w:r>
      <w:r w:rsidRPr="00B76FAC">
        <w:rPr>
          <w:rFonts w:ascii="Lato" w:hAnsi="Lato"/>
          <w:i/>
          <w:iCs/>
          <w:sz w:val="18"/>
          <w:szCs w:val="18"/>
        </w:rPr>
        <w:t>Connecticut Public Interest Law Journal</w:t>
      </w:r>
      <w:r w:rsidRPr="00B76FAC">
        <w:rPr>
          <w:rFonts w:ascii="Lato" w:hAnsi="Lato"/>
          <w:sz w:val="18"/>
          <w:szCs w:val="18"/>
        </w:rPr>
        <w:t xml:space="preserve">, </w:t>
      </w:r>
      <w:r w:rsidRPr="00B76FAC">
        <w:rPr>
          <w:rFonts w:ascii="Lato" w:hAnsi="Lato"/>
          <w:i/>
          <w:iCs/>
          <w:sz w:val="18"/>
          <w:szCs w:val="18"/>
        </w:rPr>
        <w:t>19</w:t>
      </w:r>
      <w:r w:rsidRPr="00B76FAC">
        <w:rPr>
          <w:rFonts w:ascii="Lato" w:hAnsi="Lato"/>
          <w:sz w:val="18"/>
          <w:szCs w:val="18"/>
        </w:rPr>
        <w:t xml:space="preserve">(1), 199–219. Pg. 206. </w:t>
      </w:r>
      <w:hyperlink r:id="rId91" w:history="1">
        <w:r w:rsidRPr="00B76FAC">
          <w:rPr>
            <w:rStyle w:val="Hyperlink"/>
            <w:rFonts w:ascii="Lato" w:hAnsi="Lato"/>
            <w:sz w:val="18"/>
            <w:szCs w:val="18"/>
          </w:rPr>
          <w:t>https://cpilj.law.uconn.edu/wp-content/uploads/sites/2515/2020/03/CPILJ-19.1-The-New-John-Lawrence-An-Analysis-of-the-Criminalization-of-LGBTQ-Homelessness-by-Ariana-H.-Aboulafia.pdf</w:t>
        </w:r>
      </w:hyperlink>
    </w:p>
  </w:footnote>
  <w:footnote w:id="96">
    <w:p w14:paraId="28F83135"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Durso, L., &amp; Gates, G. (2012). </w:t>
      </w:r>
      <w:r w:rsidRPr="00B76FAC">
        <w:rPr>
          <w:rFonts w:ascii="Lato" w:hAnsi="Lato"/>
          <w:i/>
          <w:iCs/>
          <w:sz w:val="18"/>
          <w:szCs w:val="18"/>
        </w:rPr>
        <w:t>Serving Our Youth: Findings from a National Survey of Services Providers Working with Lesbian, Gay, Bisexual and Transgender Youth Who Are Homeless or At Risk of Becoming Homeless</w:t>
      </w:r>
      <w:r w:rsidRPr="00B76FAC">
        <w:rPr>
          <w:rFonts w:ascii="Lato" w:hAnsi="Lato"/>
          <w:sz w:val="18"/>
          <w:szCs w:val="18"/>
        </w:rPr>
        <w:t xml:space="preserve">. The Williams Institute with True Colors Fund and The Palette Fund. </w:t>
      </w:r>
      <w:hyperlink r:id="rId92" w:history="1">
        <w:r w:rsidRPr="00B76FAC">
          <w:rPr>
            <w:rStyle w:val="Hyperlink"/>
            <w:rFonts w:ascii="Lato" w:hAnsi="Lato"/>
            <w:sz w:val="18"/>
            <w:szCs w:val="18"/>
          </w:rPr>
          <w:t>https://escholarship.org/uc/item/80x75033</w:t>
        </w:r>
      </w:hyperlink>
    </w:p>
  </w:footnote>
  <w:footnote w:id="97">
    <w:p w14:paraId="54847EEB" w14:textId="77777777" w:rsidR="00BC53D5" w:rsidRPr="00B76FAC" w:rsidRDefault="00BC53D5" w:rsidP="00D47069">
      <w:pPr>
        <w:pStyle w:val="FootnoteText"/>
        <w:rPr>
          <w:rFonts w:ascii="Lato" w:hAnsi="Lato"/>
          <w:sz w:val="18"/>
          <w:szCs w:val="18"/>
          <w:lang w:val="es-ES"/>
        </w:rPr>
      </w:pPr>
      <w:r w:rsidRPr="00B76FAC">
        <w:rPr>
          <w:rStyle w:val="FootnoteReference"/>
          <w:rFonts w:ascii="Lato" w:hAnsi="Lato"/>
          <w:sz w:val="18"/>
          <w:szCs w:val="18"/>
        </w:rPr>
        <w:footnoteRef/>
      </w:r>
      <w:r w:rsidRPr="00B76FAC">
        <w:rPr>
          <w:rFonts w:ascii="Lato" w:hAnsi="Lato"/>
          <w:sz w:val="18"/>
          <w:szCs w:val="18"/>
        </w:rPr>
        <w:t xml:space="preserve"> Independent Expert on SOGI. (2019). Report of the Independent Expert on his visit to Georgia. </w:t>
      </w:r>
      <w:r w:rsidRPr="00B76FAC">
        <w:rPr>
          <w:rFonts w:ascii="Lato" w:hAnsi="Lato"/>
          <w:sz w:val="18"/>
          <w:szCs w:val="18"/>
          <w:lang w:val="es-ES"/>
        </w:rPr>
        <w:t xml:space="preserve">Para. 74. </w:t>
      </w:r>
      <w:hyperlink r:id="rId93" w:history="1">
        <w:r w:rsidRPr="00B76FAC">
          <w:rPr>
            <w:rStyle w:val="Hyperlink"/>
            <w:rFonts w:ascii="Lato" w:hAnsi="Lato"/>
            <w:sz w:val="18"/>
            <w:szCs w:val="18"/>
            <w:lang w:val="es-ES"/>
          </w:rPr>
          <w:t>https://database.ilga.org/api/downloader/download/4/en-A_HRC_41_45_Add-1.pdf</w:t>
        </w:r>
      </w:hyperlink>
    </w:p>
  </w:footnote>
  <w:footnote w:id="98">
    <w:p w14:paraId="7A05CDD7"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Shelton, J., Ritosa, A., Van Roozendaal, B., Hugendubel, K., &amp; Dodds, S. J. (2021). Perceptions: Addressing LGBTI Youth Homelessness in Europe and Central Asia - Findings from a Survey of LGBTI Organisations. In </w:t>
      </w:r>
      <w:r w:rsidRPr="00B76FAC">
        <w:rPr>
          <w:rFonts w:ascii="Lato" w:hAnsi="Lato"/>
          <w:i/>
          <w:iCs/>
          <w:sz w:val="18"/>
          <w:szCs w:val="18"/>
        </w:rPr>
        <w:t>ILGA EUROPE</w:t>
      </w:r>
      <w:r w:rsidRPr="00B76FAC">
        <w:rPr>
          <w:rFonts w:ascii="Lato" w:hAnsi="Lato"/>
          <w:sz w:val="18"/>
          <w:szCs w:val="18"/>
        </w:rPr>
        <w:t xml:space="preserve">. ILGA-Europe, True Colors United, and the Silberman Center for Sexuality and Gender at Hunter College. Pg. 13. </w:t>
      </w:r>
      <w:hyperlink r:id="rId94" w:history="1">
        <w:r w:rsidRPr="00B76FAC">
          <w:rPr>
            <w:rStyle w:val="Hyperlink"/>
            <w:rFonts w:ascii="Lato" w:hAnsi="Lato"/>
            <w:sz w:val="18"/>
            <w:szCs w:val="18"/>
          </w:rPr>
          <w:t>https://www.ilga-europe.org/report/perceptions-addressing-lgbti-youth-homelessness-in-europe-and-central-asia/</w:t>
        </w:r>
      </w:hyperlink>
    </w:p>
  </w:footnote>
  <w:footnote w:id="99">
    <w:p w14:paraId="4BB6B474" w14:textId="4C4E3306"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Durso, L., &amp; Gates, G. (2012). </w:t>
      </w:r>
      <w:r w:rsidRPr="00B76FAC">
        <w:rPr>
          <w:rFonts w:ascii="Lato" w:hAnsi="Lato" w:cstheme="minorHAnsi"/>
          <w:i/>
          <w:iCs/>
          <w:sz w:val="18"/>
          <w:szCs w:val="18"/>
        </w:rPr>
        <w:t>Serving Our Youth: Findings from a National Survey of Services Providers Working with Lesbian, Gay, Bisexual and Transgender Youth Who Are Homeless or At Risk of Becoming Homeless</w:t>
      </w:r>
      <w:r w:rsidRPr="00B76FAC">
        <w:rPr>
          <w:rFonts w:ascii="Lato" w:hAnsi="Lato" w:cstheme="minorHAnsi"/>
          <w:sz w:val="18"/>
          <w:szCs w:val="18"/>
        </w:rPr>
        <w:t xml:space="preserve">. The Williams Institute with True Colors Fund and The Palette Fund. </w:t>
      </w:r>
      <w:hyperlink r:id="rId95" w:history="1">
        <w:r w:rsidRPr="00B76FAC">
          <w:rPr>
            <w:rStyle w:val="Hyperlink"/>
            <w:rFonts w:ascii="Lato" w:hAnsi="Lato" w:cstheme="minorHAnsi"/>
            <w:sz w:val="18"/>
            <w:szCs w:val="18"/>
          </w:rPr>
          <w:t>https://escholarship.org/uc/item/80x75033</w:t>
        </w:r>
      </w:hyperlink>
      <w:r w:rsidRPr="00B76FAC">
        <w:rPr>
          <w:rFonts w:ascii="Lato" w:hAnsi="Lato" w:cstheme="minorHAnsi"/>
          <w:sz w:val="18"/>
          <w:szCs w:val="18"/>
        </w:rPr>
        <w:t xml:space="preserve">; Mallon, G. P. (1997). Toward a Competent Child Welfare Service Delivery System for Gay and Lesbian Adolescents and Their Families. </w:t>
      </w:r>
      <w:r w:rsidRPr="00B76FAC">
        <w:rPr>
          <w:rFonts w:ascii="Lato" w:hAnsi="Lato" w:cstheme="minorHAnsi"/>
          <w:i/>
          <w:iCs/>
          <w:sz w:val="18"/>
          <w:szCs w:val="18"/>
        </w:rPr>
        <w:t>Journal of Multicultural Social Work</w:t>
      </w:r>
      <w:r w:rsidRPr="00B76FAC">
        <w:rPr>
          <w:rFonts w:ascii="Lato" w:hAnsi="Lato" w:cstheme="minorHAnsi"/>
          <w:sz w:val="18"/>
          <w:szCs w:val="18"/>
        </w:rPr>
        <w:t xml:space="preserve">, </w:t>
      </w:r>
      <w:r w:rsidRPr="00B76FAC">
        <w:rPr>
          <w:rFonts w:ascii="Lato" w:hAnsi="Lato" w:cstheme="minorHAnsi"/>
          <w:i/>
          <w:iCs/>
          <w:sz w:val="18"/>
          <w:szCs w:val="18"/>
        </w:rPr>
        <w:t>5</w:t>
      </w:r>
      <w:r w:rsidRPr="00B76FAC">
        <w:rPr>
          <w:rFonts w:ascii="Lato" w:hAnsi="Lato" w:cstheme="minorHAnsi"/>
          <w:sz w:val="18"/>
          <w:szCs w:val="18"/>
        </w:rPr>
        <w:t xml:space="preserve">(3-4), 177–194. </w:t>
      </w:r>
      <w:hyperlink r:id="rId96" w:history="1">
        <w:r w:rsidRPr="00B76FAC">
          <w:rPr>
            <w:rStyle w:val="Hyperlink"/>
            <w:rFonts w:ascii="Lato" w:hAnsi="Lato" w:cstheme="minorHAnsi"/>
            <w:sz w:val="18"/>
            <w:szCs w:val="18"/>
          </w:rPr>
          <w:t>https://doi.org/10.1300/j285v05n03_05</w:t>
        </w:r>
      </w:hyperlink>
      <w:r w:rsidRPr="00B76FAC">
        <w:rPr>
          <w:rFonts w:ascii="Lato" w:hAnsi="Lato" w:cstheme="minorHAnsi"/>
          <w:sz w:val="18"/>
          <w:szCs w:val="18"/>
        </w:rPr>
        <w:t>; Mallon, G. P. (1997). Basic Premises, Guiding Principles, and Competent Practices for a Positive Youth Development Approach to Working with Gay, Lesbian, and Bisexual Youths in Out-of Home Care. </w:t>
      </w:r>
      <w:r w:rsidRPr="00B76FAC">
        <w:rPr>
          <w:rFonts w:ascii="Lato" w:hAnsi="Lato" w:cstheme="minorHAnsi"/>
          <w:i/>
          <w:iCs/>
          <w:sz w:val="18"/>
          <w:szCs w:val="18"/>
        </w:rPr>
        <w:t>Child Welfare</w:t>
      </w:r>
      <w:r w:rsidRPr="00B76FAC">
        <w:rPr>
          <w:rFonts w:ascii="Lato" w:hAnsi="Lato" w:cstheme="minorHAnsi"/>
          <w:sz w:val="18"/>
          <w:szCs w:val="18"/>
        </w:rPr>
        <w:t>, </w:t>
      </w:r>
      <w:r w:rsidRPr="00B76FAC">
        <w:rPr>
          <w:rFonts w:ascii="Lato" w:hAnsi="Lato" w:cstheme="minorHAnsi"/>
          <w:i/>
          <w:iCs/>
          <w:sz w:val="18"/>
          <w:szCs w:val="18"/>
        </w:rPr>
        <w:t>76</w:t>
      </w:r>
      <w:r w:rsidRPr="00B76FAC">
        <w:rPr>
          <w:rFonts w:ascii="Lato" w:hAnsi="Lato" w:cstheme="minorHAnsi"/>
          <w:sz w:val="18"/>
          <w:szCs w:val="18"/>
        </w:rPr>
        <w:t xml:space="preserve">(5), 591–609. </w:t>
      </w:r>
      <w:hyperlink r:id="rId97" w:history="1">
        <w:r w:rsidRPr="00B76FAC">
          <w:rPr>
            <w:rStyle w:val="Hyperlink"/>
            <w:rFonts w:ascii="Lato" w:hAnsi="Lato" w:cstheme="minorHAnsi"/>
            <w:sz w:val="18"/>
            <w:szCs w:val="18"/>
          </w:rPr>
          <w:t>http://www.jstor.org/stable/45399619</w:t>
        </w:r>
      </w:hyperlink>
      <w:r w:rsidRPr="00B76FAC">
        <w:rPr>
          <w:rFonts w:ascii="Lato" w:hAnsi="Lato" w:cstheme="minorHAnsi"/>
          <w:sz w:val="18"/>
          <w:szCs w:val="18"/>
        </w:rPr>
        <w:t xml:space="preserve">; Ray, N. (2006). Lesbian, gay, bisexual and transgender youth: An epidemic of homelessness. In </w:t>
      </w:r>
      <w:r w:rsidRPr="00B76FAC">
        <w:rPr>
          <w:rFonts w:ascii="Lato" w:hAnsi="Lato" w:cstheme="minorHAnsi"/>
          <w:i/>
          <w:iCs/>
          <w:sz w:val="18"/>
          <w:szCs w:val="18"/>
        </w:rPr>
        <w:t>National LGBTQ Task Force</w:t>
      </w:r>
      <w:r w:rsidRPr="00B76FAC">
        <w:rPr>
          <w:rFonts w:ascii="Lato" w:hAnsi="Lato" w:cstheme="minorHAnsi"/>
          <w:sz w:val="18"/>
          <w:szCs w:val="18"/>
        </w:rPr>
        <w:t xml:space="preserve">: National Gay and Lesbian Task Force Policy Institute and the National Coalition for the Homeless. </w:t>
      </w:r>
      <w:hyperlink r:id="rId98" w:history="1">
        <w:r w:rsidRPr="00B76FAC">
          <w:rPr>
            <w:rStyle w:val="Hyperlink"/>
            <w:rFonts w:ascii="Lato" w:hAnsi="Lato" w:cstheme="minorHAnsi"/>
            <w:sz w:val="18"/>
            <w:szCs w:val="18"/>
          </w:rPr>
          <w:t>https://www.thetaskforce.org/app/uploads/2007/01/Lesbian-Gay-Bisexual-and-Transgender-Youth-An-Epidemic-of-Homelessness.pdf</w:t>
        </w:r>
      </w:hyperlink>
      <w:r w:rsidRPr="00B76FAC">
        <w:rPr>
          <w:rFonts w:ascii="Lato" w:hAnsi="Lato" w:cstheme="minorHAnsi"/>
          <w:sz w:val="18"/>
          <w:szCs w:val="18"/>
        </w:rPr>
        <w:t>.</w:t>
      </w:r>
    </w:p>
  </w:footnote>
  <w:footnote w:id="100">
    <w:p w14:paraId="3B35B004" w14:textId="77777777"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Shelton, J., Ritosa, A., Van Roozendaal, B., Hugendubel, K., &amp; Dodds, S. J. (2021). Perceptions: Addressing LGBTI Youth Homelessness in Europe and Central Asia - Findings from a Survey of LGBTI Organisations. In </w:t>
      </w:r>
      <w:r w:rsidRPr="00B76FAC">
        <w:rPr>
          <w:rFonts w:ascii="Lato" w:hAnsi="Lato" w:cstheme="minorHAnsi"/>
          <w:i/>
          <w:iCs/>
          <w:sz w:val="18"/>
          <w:szCs w:val="18"/>
        </w:rPr>
        <w:t>ILGA EUROPE</w:t>
      </w:r>
      <w:r w:rsidRPr="00B76FAC">
        <w:rPr>
          <w:rFonts w:ascii="Lato" w:hAnsi="Lato" w:cstheme="minorHAnsi"/>
          <w:sz w:val="18"/>
          <w:szCs w:val="18"/>
        </w:rPr>
        <w:t xml:space="preserve">. ILGA-Europe, True Colors United, and the Silberman Center for Sexuality and Gender at Hunter College. Pg. 13. </w:t>
      </w:r>
      <w:hyperlink r:id="rId99" w:history="1">
        <w:r w:rsidRPr="00B76FAC">
          <w:rPr>
            <w:rStyle w:val="Hyperlink"/>
            <w:rFonts w:ascii="Lato" w:hAnsi="Lato" w:cstheme="minorHAnsi"/>
            <w:sz w:val="18"/>
            <w:szCs w:val="18"/>
          </w:rPr>
          <w:t>https://www.ilga-europe.org/report/perceptions-addressing-lgbti-youth-homelessness-in-europe-and-central-asia/</w:t>
        </w:r>
      </w:hyperlink>
    </w:p>
  </w:footnote>
  <w:footnote w:id="101">
    <w:p w14:paraId="15AE562F" w14:textId="77777777"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Ritosa, A., Shelton, J., Stakelum, R., Van Roozendaal, B., Hugendubel, K., &amp; Dodd, S. J. (2021). Perceptions: Comparative findings from a study of homeless service providers and LGBTI-focused organisations about LGBTIQ youth homelessness in Europe. In </w:t>
      </w:r>
      <w:r w:rsidRPr="00B76FAC">
        <w:rPr>
          <w:rFonts w:ascii="Lato" w:hAnsi="Lato" w:cstheme="minorHAnsi"/>
          <w:i/>
          <w:iCs/>
          <w:sz w:val="18"/>
          <w:szCs w:val="18"/>
        </w:rPr>
        <w:t>ILGA Europe</w:t>
      </w:r>
      <w:r w:rsidRPr="00B76FAC">
        <w:rPr>
          <w:rFonts w:ascii="Lato" w:hAnsi="Lato" w:cstheme="minorHAnsi"/>
          <w:sz w:val="18"/>
          <w:szCs w:val="18"/>
        </w:rPr>
        <w:t xml:space="preserve">. FEANTSA, ILGA-Europe, True Colors United, and the Silberman Center for Sexuality and Gender at Hunter College. Pg. 7. </w:t>
      </w:r>
      <w:hyperlink r:id="rId100" w:history="1">
        <w:r w:rsidRPr="00B76FAC">
          <w:rPr>
            <w:rStyle w:val="Hyperlink"/>
            <w:rFonts w:ascii="Lato" w:hAnsi="Lato" w:cstheme="minorHAnsi"/>
            <w:sz w:val="18"/>
            <w:szCs w:val="18"/>
          </w:rPr>
          <w:t>https://www.ilga-europe.org/files/uploads/2022/04/Perceptions-Comparative-findings-study-homeless-service-providers-LGBTI-focused-organisations.pdf</w:t>
        </w:r>
      </w:hyperlink>
    </w:p>
  </w:footnote>
  <w:footnote w:id="102">
    <w:p w14:paraId="5C2CFC8C" w14:textId="77777777" w:rsidR="00BC53D5" w:rsidRPr="00B76FAC" w:rsidRDefault="00BC53D5" w:rsidP="00D47069">
      <w:pPr>
        <w:pStyle w:val="FootnoteText"/>
        <w:rPr>
          <w:rFonts w:ascii="Lato" w:hAnsi="Lato"/>
          <w:sz w:val="18"/>
          <w:szCs w:val="18"/>
          <w:lang w:val="es-ES"/>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Independent Expert SOGI. (2019). Protection against violence and discrimination based on sexual orientation and gender identity. </w:t>
      </w:r>
      <w:r w:rsidRPr="00B76FAC">
        <w:rPr>
          <w:rFonts w:ascii="Lato" w:hAnsi="Lato" w:cstheme="minorHAnsi"/>
          <w:sz w:val="18"/>
          <w:szCs w:val="18"/>
          <w:lang w:val="es-ES"/>
        </w:rPr>
        <w:t xml:space="preserve">Para. 45. </w:t>
      </w:r>
      <w:hyperlink r:id="rId101" w:history="1">
        <w:r w:rsidRPr="00B76FAC">
          <w:rPr>
            <w:rStyle w:val="Hyperlink"/>
            <w:rFonts w:ascii="Lato" w:hAnsi="Lato" w:cstheme="minorHAnsi"/>
            <w:sz w:val="18"/>
            <w:szCs w:val="18"/>
            <w:lang w:val="es-ES"/>
          </w:rPr>
          <w:t>https://database.ilga.org/api/downloader/download/4/en-A_74_181.pdf</w:t>
        </w:r>
      </w:hyperlink>
    </w:p>
  </w:footnote>
  <w:footnote w:id="103">
    <w:p w14:paraId="44E17EE5" w14:textId="77777777" w:rsidR="00BC53D5" w:rsidRPr="00B76FAC" w:rsidRDefault="00BC53D5" w:rsidP="00D47069">
      <w:pPr>
        <w:spacing w:after="0"/>
        <w:rPr>
          <w:rFonts w:ascii="Lato" w:hAnsi="Lato" w:cstheme="minorHAnsi"/>
          <w:color w:val="212121"/>
          <w:sz w:val="18"/>
          <w:szCs w:val="18"/>
          <w:shd w:val="clear" w:color="auto" w:fill="FFFFFF"/>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w:t>
      </w:r>
      <w:r w:rsidRPr="00B76FAC">
        <w:rPr>
          <w:rFonts w:ascii="Lato" w:hAnsi="Lato" w:cstheme="minorHAnsi"/>
          <w:color w:val="212121"/>
          <w:sz w:val="18"/>
          <w:szCs w:val="18"/>
          <w:shd w:val="clear" w:color="auto" w:fill="FFFFFF"/>
        </w:rPr>
        <w:t xml:space="preserve">European Union Agency for Fundamental Rights. (2020). A long way to go for LGBTI equality. In </w:t>
      </w:r>
      <w:r w:rsidRPr="00B76FAC">
        <w:rPr>
          <w:rFonts w:ascii="Lato" w:hAnsi="Lato" w:cstheme="minorHAnsi"/>
          <w:i/>
          <w:iCs/>
          <w:color w:val="212121"/>
          <w:sz w:val="18"/>
          <w:szCs w:val="18"/>
          <w:shd w:val="clear" w:color="auto" w:fill="FFFFFF"/>
        </w:rPr>
        <w:t>European Agency for Fundamental Rights</w:t>
      </w:r>
      <w:r w:rsidRPr="00B76FAC">
        <w:rPr>
          <w:rFonts w:ascii="Lato" w:hAnsi="Lato" w:cstheme="minorHAnsi"/>
          <w:color w:val="212121"/>
          <w:sz w:val="18"/>
          <w:szCs w:val="18"/>
          <w:shd w:val="clear" w:color="auto" w:fill="FFFFFF"/>
        </w:rPr>
        <w:t xml:space="preserve">. Pg. 63. </w:t>
      </w:r>
      <w:hyperlink r:id="rId102" w:history="1">
        <w:r w:rsidRPr="00B76FAC">
          <w:rPr>
            <w:rStyle w:val="Hyperlink"/>
            <w:rFonts w:ascii="Lato" w:hAnsi="Lato" w:cstheme="minorHAnsi"/>
            <w:sz w:val="18"/>
            <w:szCs w:val="18"/>
            <w:shd w:val="clear" w:color="auto" w:fill="FFFFFF"/>
          </w:rPr>
          <w:t>https://fra.europa.eu/sites/default/files/fra_uploads/fra-2020-lgbti-equality-1_en.pdf</w:t>
        </w:r>
      </w:hyperlink>
    </w:p>
  </w:footnote>
  <w:footnote w:id="104">
    <w:p w14:paraId="19CDF095" w14:textId="6F084E82"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Ecker, J. (2016). Queer, young, and homeless: A review of the literature. </w:t>
      </w:r>
      <w:r w:rsidRPr="00B76FAC">
        <w:rPr>
          <w:rFonts w:ascii="Lato" w:hAnsi="Lato" w:cstheme="minorHAnsi"/>
          <w:i/>
          <w:iCs/>
          <w:sz w:val="18"/>
          <w:szCs w:val="18"/>
        </w:rPr>
        <w:t>Child &amp; Youth Services</w:t>
      </w:r>
      <w:r w:rsidRPr="00B76FAC">
        <w:rPr>
          <w:rFonts w:ascii="Lato" w:hAnsi="Lato" w:cstheme="minorHAnsi"/>
          <w:sz w:val="18"/>
          <w:szCs w:val="18"/>
        </w:rPr>
        <w:t xml:space="preserve">, </w:t>
      </w:r>
      <w:r w:rsidRPr="00B76FAC">
        <w:rPr>
          <w:rFonts w:ascii="Lato" w:hAnsi="Lato" w:cstheme="minorHAnsi"/>
          <w:i/>
          <w:iCs/>
          <w:sz w:val="18"/>
          <w:szCs w:val="18"/>
        </w:rPr>
        <w:t>37</w:t>
      </w:r>
      <w:r w:rsidRPr="00B76FAC">
        <w:rPr>
          <w:rFonts w:ascii="Lato" w:hAnsi="Lato" w:cstheme="minorHAnsi"/>
          <w:sz w:val="18"/>
          <w:szCs w:val="18"/>
        </w:rPr>
        <w:t xml:space="preserve">(4), 325–361. </w:t>
      </w:r>
      <w:hyperlink r:id="rId103" w:history="1">
        <w:r w:rsidRPr="00B76FAC">
          <w:rPr>
            <w:rStyle w:val="Hyperlink"/>
            <w:rFonts w:ascii="Lato" w:hAnsi="Lato" w:cstheme="minorHAnsi"/>
            <w:sz w:val="18"/>
            <w:szCs w:val="18"/>
          </w:rPr>
          <w:t>https://doi.org/10.1080/0145935x.2016.1151781</w:t>
        </w:r>
      </w:hyperlink>
      <w:r w:rsidRPr="00B76FAC">
        <w:rPr>
          <w:rFonts w:ascii="Lato" w:hAnsi="Lato" w:cstheme="minorHAnsi"/>
          <w:sz w:val="18"/>
          <w:szCs w:val="18"/>
        </w:rPr>
        <w:t xml:space="preserve">; Gattis, M. (2009). Psychosocial Problems Associated With Homelessness in Sexual Minority Youths. Journal of Human Behavior in the Social Environment, 19(8), 1066–1094. </w:t>
      </w:r>
      <w:hyperlink r:id="rId104" w:history="1">
        <w:r w:rsidRPr="00B76FAC">
          <w:rPr>
            <w:rStyle w:val="Hyperlink"/>
            <w:rFonts w:ascii="Lato" w:hAnsi="Lato" w:cstheme="minorHAnsi"/>
            <w:sz w:val="18"/>
            <w:szCs w:val="18"/>
          </w:rPr>
          <w:t>https://doi.org/10.1080/10911350902990478</w:t>
        </w:r>
      </w:hyperlink>
      <w:r w:rsidRPr="00B76FAC">
        <w:rPr>
          <w:rFonts w:ascii="Lato" w:hAnsi="Lato" w:cstheme="minorHAnsi"/>
          <w:sz w:val="18"/>
          <w:szCs w:val="18"/>
        </w:rPr>
        <w:t xml:space="preserve">; Page, M. (2017). Forgotten Youth: Homeless LGBT Youth of Color and the Runaway and Homeless Youth Act. </w:t>
      </w:r>
      <w:r w:rsidRPr="00B76FAC">
        <w:rPr>
          <w:rFonts w:ascii="Lato" w:hAnsi="Lato" w:cstheme="minorHAnsi"/>
          <w:i/>
          <w:iCs/>
          <w:sz w:val="18"/>
          <w:szCs w:val="18"/>
        </w:rPr>
        <w:t>Northwestern Journal of Law and Social Policy</w:t>
      </w:r>
      <w:r w:rsidRPr="00B76FAC">
        <w:rPr>
          <w:rFonts w:ascii="Lato" w:hAnsi="Lato" w:cstheme="minorHAnsi"/>
          <w:sz w:val="18"/>
          <w:szCs w:val="18"/>
        </w:rPr>
        <w:t xml:space="preserve">, </w:t>
      </w:r>
      <w:r w:rsidRPr="00B76FAC">
        <w:rPr>
          <w:rFonts w:ascii="Lato" w:hAnsi="Lato" w:cstheme="minorHAnsi"/>
          <w:i/>
          <w:iCs/>
          <w:sz w:val="18"/>
          <w:szCs w:val="18"/>
        </w:rPr>
        <w:t>12</w:t>
      </w:r>
      <w:r w:rsidRPr="00B76FAC">
        <w:rPr>
          <w:rFonts w:ascii="Lato" w:hAnsi="Lato" w:cstheme="minorHAnsi"/>
          <w:sz w:val="18"/>
          <w:szCs w:val="18"/>
        </w:rPr>
        <w:t xml:space="preserve">(2), 17–45. </w:t>
      </w:r>
      <w:hyperlink r:id="rId105" w:history="1">
        <w:r w:rsidRPr="00B76FAC">
          <w:rPr>
            <w:rStyle w:val="Hyperlink"/>
            <w:rFonts w:ascii="Lato" w:hAnsi="Lato" w:cstheme="minorHAnsi"/>
            <w:sz w:val="18"/>
            <w:szCs w:val="18"/>
          </w:rPr>
          <w:t>https://scholarlycommons.law.northwestern.edu/njlsp/vol12/iss2/2</w:t>
        </w:r>
      </w:hyperlink>
    </w:p>
  </w:footnote>
  <w:footnote w:id="105">
    <w:p w14:paraId="0C93525C" w14:textId="77777777"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Ecker, J. (2016). Queer, young, and homeless: A review of the literature. </w:t>
      </w:r>
      <w:r w:rsidRPr="00B76FAC">
        <w:rPr>
          <w:rFonts w:ascii="Lato" w:hAnsi="Lato" w:cstheme="minorHAnsi"/>
          <w:i/>
          <w:iCs/>
          <w:sz w:val="18"/>
          <w:szCs w:val="18"/>
        </w:rPr>
        <w:t>Child &amp; Youth Services</w:t>
      </w:r>
      <w:r w:rsidRPr="00B76FAC">
        <w:rPr>
          <w:rFonts w:ascii="Lato" w:hAnsi="Lato" w:cstheme="minorHAnsi"/>
          <w:sz w:val="18"/>
          <w:szCs w:val="18"/>
        </w:rPr>
        <w:t xml:space="preserve">, </w:t>
      </w:r>
      <w:r w:rsidRPr="00B76FAC">
        <w:rPr>
          <w:rFonts w:ascii="Lato" w:hAnsi="Lato" w:cstheme="minorHAnsi"/>
          <w:i/>
          <w:iCs/>
          <w:sz w:val="18"/>
          <w:szCs w:val="18"/>
        </w:rPr>
        <w:t>37</w:t>
      </w:r>
      <w:r w:rsidRPr="00B76FAC">
        <w:rPr>
          <w:rFonts w:ascii="Lato" w:hAnsi="Lato" w:cstheme="minorHAnsi"/>
          <w:sz w:val="18"/>
          <w:szCs w:val="18"/>
        </w:rPr>
        <w:t xml:space="preserve">(4). Pg. 343. </w:t>
      </w:r>
      <w:hyperlink r:id="rId106" w:history="1">
        <w:r w:rsidRPr="00B76FAC">
          <w:rPr>
            <w:rStyle w:val="Hyperlink"/>
            <w:rFonts w:ascii="Lato" w:hAnsi="Lato" w:cstheme="minorHAnsi"/>
            <w:sz w:val="18"/>
            <w:szCs w:val="18"/>
          </w:rPr>
          <w:t>https://doi.org/10.1080/0145935x.2016.1151781</w:t>
        </w:r>
      </w:hyperlink>
    </w:p>
  </w:footnote>
  <w:footnote w:id="106">
    <w:p w14:paraId="0ACB38D1" w14:textId="77777777"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Wamoyi, J., Stobeanau, K., Bobrova, N., Abramsky, T., &amp; Watts, C. (2016). Transactional sex and risk for HIV infection in sub-Saharan Africa: a systematic review and meta-analysis. </w:t>
      </w:r>
      <w:r w:rsidRPr="00B76FAC">
        <w:rPr>
          <w:rFonts w:ascii="Lato" w:hAnsi="Lato" w:cstheme="minorHAnsi"/>
          <w:i/>
          <w:iCs/>
          <w:sz w:val="18"/>
          <w:szCs w:val="18"/>
        </w:rPr>
        <w:t>Journal of the International AIDS Society</w:t>
      </w:r>
      <w:r w:rsidRPr="00B76FAC">
        <w:rPr>
          <w:rFonts w:ascii="Lato" w:hAnsi="Lato" w:cstheme="minorHAnsi"/>
          <w:sz w:val="18"/>
          <w:szCs w:val="18"/>
        </w:rPr>
        <w:t>, </w:t>
      </w:r>
      <w:r w:rsidRPr="00B76FAC">
        <w:rPr>
          <w:rFonts w:ascii="Lato" w:hAnsi="Lato" w:cstheme="minorHAnsi"/>
          <w:i/>
          <w:iCs/>
          <w:sz w:val="18"/>
          <w:szCs w:val="18"/>
        </w:rPr>
        <w:t>19</w:t>
      </w:r>
      <w:r w:rsidRPr="00B76FAC">
        <w:rPr>
          <w:rFonts w:ascii="Lato" w:hAnsi="Lato" w:cstheme="minorHAnsi"/>
          <w:sz w:val="18"/>
          <w:szCs w:val="18"/>
        </w:rPr>
        <w:t>(1), 20992. https://doi.org/10.7448/IAS.19.1.20992</w:t>
      </w:r>
    </w:p>
  </w:footnote>
  <w:footnote w:id="107">
    <w:p w14:paraId="314F4F8A" w14:textId="2DDDDCBA"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Walls, N. E., &amp; Bell, S. (2011). Correlates of Engaging in Survival Sex among Homeless Youth and Young Adults. </w:t>
      </w:r>
      <w:r w:rsidRPr="00B76FAC">
        <w:rPr>
          <w:rFonts w:ascii="Lato" w:hAnsi="Lato" w:cstheme="minorHAnsi"/>
          <w:i/>
          <w:iCs/>
          <w:sz w:val="18"/>
          <w:szCs w:val="18"/>
        </w:rPr>
        <w:t>Journal of Sex Research</w:t>
      </w:r>
      <w:r w:rsidRPr="00B76FAC">
        <w:rPr>
          <w:rFonts w:ascii="Lato" w:hAnsi="Lato" w:cstheme="minorHAnsi"/>
          <w:sz w:val="18"/>
          <w:szCs w:val="18"/>
        </w:rPr>
        <w:t xml:space="preserve">, </w:t>
      </w:r>
      <w:r w:rsidRPr="00B76FAC">
        <w:rPr>
          <w:rFonts w:ascii="Lato" w:hAnsi="Lato" w:cstheme="minorHAnsi"/>
          <w:i/>
          <w:iCs/>
          <w:sz w:val="18"/>
          <w:szCs w:val="18"/>
        </w:rPr>
        <w:t>48</w:t>
      </w:r>
      <w:r w:rsidRPr="00B76FAC">
        <w:rPr>
          <w:rFonts w:ascii="Lato" w:hAnsi="Lato" w:cstheme="minorHAnsi"/>
          <w:sz w:val="18"/>
          <w:szCs w:val="18"/>
        </w:rPr>
        <w:t xml:space="preserve">(5), 423–436. </w:t>
      </w:r>
      <w:hyperlink r:id="rId107" w:history="1">
        <w:r w:rsidRPr="00B76FAC">
          <w:rPr>
            <w:rStyle w:val="Hyperlink"/>
            <w:rFonts w:ascii="Lato" w:hAnsi="Lato" w:cstheme="minorHAnsi"/>
            <w:sz w:val="18"/>
            <w:szCs w:val="18"/>
          </w:rPr>
          <w:t>https://doi.org/10.1080/00224499.2010.501916</w:t>
        </w:r>
      </w:hyperlink>
    </w:p>
  </w:footnote>
  <w:footnote w:id="108">
    <w:p w14:paraId="4AAB4204" w14:textId="77777777" w:rsidR="00BC53D5" w:rsidRPr="00B76FAC" w:rsidRDefault="00BC53D5" w:rsidP="00D47069">
      <w:pPr>
        <w:pStyle w:val="FootnoteText"/>
        <w:rPr>
          <w:rFonts w:ascii="Lato" w:hAnsi="Lato" w:cstheme="minorHAnsi"/>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Choi, S. K., Wilson, B. D. M., Shelton, J., &amp; Gates, G. J. (2015). </w:t>
      </w:r>
      <w:r w:rsidRPr="00B76FAC">
        <w:rPr>
          <w:rFonts w:ascii="Lato" w:hAnsi="Lato" w:cstheme="minorHAnsi"/>
          <w:i/>
          <w:iCs/>
          <w:sz w:val="18"/>
          <w:szCs w:val="18"/>
        </w:rPr>
        <w:t>Serving Our Youth 2015: The Needs and Experiences of Lesbian, Gay, Bisexual, Transgender, and Questioning Youth Experiencing Homelessness.</w:t>
      </w:r>
      <w:r w:rsidRPr="00B76FAC">
        <w:rPr>
          <w:rFonts w:ascii="Lato" w:hAnsi="Lato" w:cstheme="minorHAnsi"/>
          <w:sz w:val="18"/>
          <w:szCs w:val="18"/>
        </w:rPr>
        <w:t xml:space="preserve"> The Williams Institute with True Colors Fund. </w:t>
      </w:r>
      <w:hyperlink r:id="rId108" w:history="1">
        <w:r w:rsidRPr="00B76FAC">
          <w:rPr>
            <w:rStyle w:val="Hyperlink"/>
            <w:rFonts w:ascii="Lato" w:hAnsi="Lato" w:cstheme="minorHAnsi"/>
            <w:sz w:val="18"/>
            <w:szCs w:val="18"/>
          </w:rPr>
          <w:t>https://escholarship.org/uc/item/1pd9886n</w:t>
        </w:r>
      </w:hyperlink>
      <w:r w:rsidRPr="00B76FAC">
        <w:rPr>
          <w:rFonts w:ascii="Lato" w:hAnsi="Lato" w:cstheme="minorHAnsi"/>
          <w:sz w:val="18"/>
          <w:szCs w:val="18"/>
        </w:rPr>
        <w:t xml:space="preserve">; Cochran, B. N., Stewart, A. J., Ginzler, J. A., &amp; Cauce, A. M. (2002). Challenges Faced by Homeless Sexual Minorities: Comparison of Gay, Lesbian, Bisexual, and Transgender Homeless Adolescents With Their Heterosexual Counterparts. </w:t>
      </w:r>
      <w:r w:rsidRPr="00B76FAC">
        <w:rPr>
          <w:rFonts w:ascii="Lato" w:hAnsi="Lato" w:cstheme="minorHAnsi"/>
          <w:i/>
          <w:iCs/>
          <w:sz w:val="18"/>
          <w:szCs w:val="18"/>
        </w:rPr>
        <w:t>American Journal of Public Health</w:t>
      </w:r>
      <w:r w:rsidRPr="00B76FAC">
        <w:rPr>
          <w:rFonts w:ascii="Lato" w:hAnsi="Lato" w:cstheme="minorHAnsi"/>
          <w:sz w:val="18"/>
          <w:szCs w:val="18"/>
        </w:rPr>
        <w:t xml:space="preserve">, </w:t>
      </w:r>
      <w:r w:rsidRPr="00B76FAC">
        <w:rPr>
          <w:rFonts w:ascii="Lato" w:hAnsi="Lato" w:cstheme="minorHAnsi"/>
          <w:i/>
          <w:iCs/>
          <w:sz w:val="18"/>
          <w:szCs w:val="18"/>
        </w:rPr>
        <w:t>92</w:t>
      </w:r>
      <w:r w:rsidRPr="00B76FAC">
        <w:rPr>
          <w:rFonts w:ascii="Lato" w:hAnsi="Lato" w:cstheme="minorHAnsi"/>
          <w:sz w:val="18"/>
          <w:szCs w:val="18"/>
        </w:rPr>
        <w:t xml:space="preserve">(5), 773–777. </w:t>
      </w:r>
      <w:hyperlink r:id="rId109" w:history="1">
        <w:r w:rsidRPr="00B76FAC">
          <w:rPr>
            <w:rStyle w:val="Hyperlink"/>
            <w:rFonts w:ascii="Lato" w:hAnsi="Lato" w:cstheme="minorHAnsi"/>
            <w:sz w:val="18"/>
            <w:szCs w:val="18"/>
          </w:rPr>
          <w:t>https://doi.org/10.2105/AJPH.92.5.773</w:t>
        </w:r>
      </w:hyperlink>
    </w:p>
  </w:footnote>
  <w:footnote w:id="109">
    <w:p w14:paraId="271067F9" w14:textId="77777777" w:rsidR="00BC53D5" w:rsidRPr="00B76FAC" w:rsidRDefault="00BC53D5" w:rsidP="00D47069">
      <w:pPr>
        <w:pStyle w:val="FootnoteText"/>
        <w:rPr>
          <w:rFonts w:ascii="Lato" w:hAnsi="Lato"/>
          <w:sz w:val="18"/>
          <w:szCs w:val="18"/>
        </w:rPr>
      </w:pPr>
      <w:r w:rsidRPr="00B76FAC">
        <w:rPr>
          <w:rStyle w:val="FootnoteReference"/>
          <w:rFonts w:ascii="Lato" w:hAnsi="Lato" w:cstheme="minorHAnsi"/>
          <w:sz w:val="18"/>
          <w:szCs w:val="18"/>
        </w:rPr>
        <w:footnoteRef/>
      </w:r>
      <w:r w:rsidRPr="00B76FAC">
        <w:rPr>
          <w:rFonts w:ascii="Lato" w:hAnsi="Lato" w:cstheme="minorHAnsi"/>
          <w:sz w:val="18"/>
          <w:szCs w:val="18"/>
        </w:rPr>
        <w:t xml:space="preserve"> FEANTSA. (2023). Pride: Homelessness in the LGBTIQ Community. In </w:t>
      </w:r>
      <w:r w:rsidRPr="00B76FAC">
        <w:rPr>
          <w:rFonts w:ascii="Lato" w:hAnsi="Lato" w:cstheme="minorHAnsi"/>
          <w:i/>
          <w:iCs/>
          <w:sz w:val="18"/>
          <w:szCs w:val="18"/>
        </w:rPr>
        <w:t>FEANTSA</w:t>
      </w:r>
      <w:r w:rsidRPr="00B76FAC">
        <w:rPr>
          <w:rFonts w:ascii="Lato" w:hAnsi="Lato" w:cstheme="minorHAnsi"/>
          <w:sz w:val="18"/>
          <w:szCs w:val="18"/>
        </w:rPr>
        <w:t xml:space="preserve">. Pg. 11 </w:t>
      </w:r>
      <w:hyperlink r:id="rId110" w:history="1">
        <w:r w:rsidRPr="00B76FAC">
          <w:rPr>
            <w:rStyle w:val="Hyperlink"/>
            <w:rFonts w:ascii="Lato" w:hAnsi="Lato" w:cstheme="minorHAnsi"/>
            <w:sz w:val="18"/>
            <w:szCs w:val="18"/>
          </w:rPr>
          <w:t>https://www.feantsa.org/public/user/Magazine/2023/Spring_magazine_2023/FEA_magazine_spring_2023.pdf</w:t>
        </w:r>
      </w:hyperlink>
    </w:p>
  </w:footnote>
  <w:footnote w:id="110">
    <w:p w14:paraId="3B71911A"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Abramovich, A., Pang, N., &amp; Moss, A. (2022). Experiences of family violence among 2SLGBTQ + youth at risk of, and experiencing, homelessness before and during the COVID-19 pandemic. </w:t>
      </w:r>
      <w:r w:rsidRPr="00B76FAC">
        <w:rPr>
          <w:rFonts w:ascii="Lato" w:hAnsi="Lato"/>
          <w:i/>
          <w:iCs/>
          <w:sz w:val="18"/>
          <w:szCs w:val="18"/>
        </w:rPr>
        <w:t>Journal of Gay &amp; Lesbian Mental Health</w:t>
      </w:r>
      <w:r w:rsidRPr="00B76FAC">
        <w:rPr>
          <w:rFonts w:ascii="Lato" w:hAnsi="Lato"/>
          <w:sz w:val="18"/>
          <w:szCs w:val="18"/>
        </w:rPr>
        <w:t xml:space="preserve">, </w:t>
      </w:r>
      <w:r w:rsidRPr="00B76FAC">
        <w:rPr>
          <w:rFonts w:ascii="Lato" w:hAnsi="Lato"/>
          <w:i/>
          <w:iCs/>
          <w:sz w:val="18"/>
          <w:szCs w:val="18"/>
        </w:rPr>
        <w:t>23</w:t>
      </w:r>
      <w:r w:rsidRPr="00B76FAC">
        <w:rPr>
          <w:rFonts w:ascii="Lato" w:hAnsi="Lato"/>
          <w:sz w:val="18"/>
          <w:szCs w:val="18"/>
        </w:rPr>
        <w:t xml:space="preserve">(3), 1–24. </w:t>
      </w:r>
      <w:hyperlink r:id="rId111" w:history="1">
        <w:r w:rsidRPr="00B76FAC">
          <w:rPr>
            <w:rStyle w:val="Hyperlink"/>
            <w:rFonts w:ascii="Lato" w:hAnsi="Lato"/>
            <w:sz w:val="18"/>
            <w:szCs w:val="18"/>
          </w:rPr>
          <w:t>https://doi.org/10.1080/19359705.2022.2076759</w:t>
        </w:r>
      </w:hyperlink>
    </w:p>
  </w:footnote>
  <w:footnote w:id="111">
    <w:p w14:paraId="4042A9AD"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i/>
          <w:iCs/>
          <w:sz w:val="18"/>
          <w:szCs w:val="18"/>
        </w:rPr>
        <w:t>Refugees and Migrants from Venezuela | R4V</w:t>
      </w:r>
      <w:r w:rsidRPr="00B76FAC">
        <w:rPr>
          <w:rFonts w:ascii="Lato" w:hAnsi="Lato"/>
          <w:sz w:val="18"/>
          <w:szCs w:val="18"/>
        </w:rPr>
        <w:t xml:space="preserve">. </w:t>
      </w:r>
      <w:hyperlink r:id="rId112" w:history="1">
        <w:r w:rsidRPr="00B76FAC">
          <w:rPr>
            <w:rStyle w:val="Hyperlink"/>
            <w:rFonts w:ascii="Lato" w:hAnsi="Lato"/>
            <w:sz w:val="18"/>
            <w:szCs w:val="18"/>
          </w:rPr>
          <w:t>https://www.r4v.info/en/refugeeandmigrants</w:t>
        </w:r>
      </w:hyperlink>
    </w:p>
  </w:footnote>
  <w:footnote w:id="112">
    <w:p w14:paraId="58741CC6" w14:textId="6AFEB31C"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13" w:history="1">
        <w:r w:rsidRPr="00B76FAC">
          <w:rPr>
            <w:rStyle w:val="Hyperlink"/>
            <w:rFonts w:ascii="Lato" w:hAnsi="Lato"/>
            <w:i/>
            <w:iCs/>
            <w:sz w:val="18"/>
            <w:szCs w:val="18"/>
          </w:rPr>
          <w:t>ILGA World Database - Venezuela</w:t>
        </w:r>
      </w:hyperlink>
      <w:r w:rsidRPr="00B76FAC">
        <w:rPr>
          <w:rFonts w:ascii="Lato" w:hAnsi="Lato"/>
          <w:sz w:val="18"/>
          <w:szCs w:val="18"/>
        </w:rPr>
        <w:t xml:space="preserve"> (retrieved 29 August 2023)</w:t>
      </w:r>
    </w:p>
  </w:footnote>
  <w:footnote w:id="113">
    <w:p w14:paraId="7980CA58"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Shaw, A., &amp; Verghese, N. (2022). LGBTQI+ Refugees and Asylum Seekers: A review of research and data needs. In </w:t>
      </w:r>
      <w:r w:rsidRPr="00B76FAC">
        <w:rPr>
          <w:rFonts w:ascii="Lato" w:hAnsi="Lato"/>
          <w:i/>
          <w:iCs/>
          <w:sz w:val="18"/>
          <w:szCs w:val="18"/>
        </w:rPr>
        <w:t>Williams Institute School of Law</w:t>
      </w:r>
      <w:r w:rsidRPr="00B76FAC">
        <w:rPr>
          <w:rFonts w:ascii="Lato" w:hAnsi="Lato"/>
          <w:sz w:val="18"/>
          <w:szCs w:val="18"/>
        </w:rPr>
        <w:t xml:space="preserve">. </w:t>
      </w:r>
      <w:hyperlink r:id="rId114" w:history="1">
        <w:r w:rsidRPr="00B76FAC">
          <w:rPr>
            <w:rStyle w:val="Hyperlink"/>
            <w:rFonts w:ascii="Lato" w:hAnsi="Lato"/>
            <w:sz w:val="18"/>
            <w:szCs w:val="18"/>
          </w:rPr>
          <w:t>https://williamsinstitute.law.ucla.edu/publications/lgbtqi-refugees-asylum-seekers/</w:t>
        </w:r>
      </w:hyperlink>
    </w:p>
  </w:footnote>
  <w:footnote w:id="114">
    <w:p w14:paraId="5CDF79D1"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Valiquette, T., Su, Y., &amp; Felix, E. (2020, March 25). </w:t>
      </w:r>
      <w:r w:rsidRPr="00B76FAC">
        <w:rPr>
          <w:rFonts w:ascii="Lato" w:hAnsi="Lato"/>
          <w:i/>
          <w:iCs/>
          <w:sz w:val="18"/>
          <w:szCs w:val="18"/>
        </w:rPr>
        <w:t>Out of the shadows: the precarious lives of Venezuelan LGBTQI+ asylum-seekers in Brazil</w:t>
      </w:r>
      <w:r w:rsidRPr="00B76FAC">
        <w:rPr>
          <w:rFonts w:ascii="Lato" w:hAnsi="Lato"/>
          <w:sz w:val="18"/>
          <w:szCs w:val="18"/>
        </w:rPr>
        <w:t xml:space="preserve">. Humanitarian Practice Network. </w:t>
      </w:r>
      <w:hyperlink r:id="rId115" w:history="1">
        <w:r w:rsidRPr="00B76FAC">
          <w:rPr>
            <w:rStyle w:val="Hyperlink"/>
            <w:rFonts w:ascii="Lato" w:hAnsi="Lato"/>
            <w:sz w:val="18"/>
            <w:szCs w:val="18"/>
          </w:rPr>
          <w:t>https://odihpn.org/publication/out-of-the-shadows-the-precarious-lives-of-venezuelan-lgbtqi-asylum-seekers-in-brazil/</w:t>
        </w:r>
      </w:hyperlink>
    </w:p>
  </w:footnote>
  <w:footnote w:id="115">
    <w:p w14:paraId="04513DD7"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Macklin, A. (2020, February 12). </w:t>
      </w:r>
      <w:r w:rsidRPr="00B76FAC">
        <w:rPr>
          <w:rFonts w:ascii="Lato" w:hAnsi="Lato"/>
          <w:i/>
          <w:iCs/>
          <w:sz w:val="18"/>
          <w:szCs w:val="18"/>
        </w:rPr>
        <w:t>Brazil’s humane refugee policies: Good ideas can travel north, U of T expert says</w:t>
      </w:r>
      <w:r w:rsidRPr="00B76FAC">
        <w:rPr>
          <w:rFonts w:ascii="Lato" w:hAnsi="Lato"/>
          <w:sz w:val="18"/>
          <w:szCs w:val="18"/>
        </w:rPr>
        <w:t xml:space="preserve">. University of Toronto News. </w:t>
      </w:r>
      <w:hyperlink r:id="rId116" w:history="1">
        <w:r w:rsidRPr="00B76FAC">
          <w:rPr>
            <w:rStyle w:val="Hyperlink"/>
            <w:rFonts w:ascii="Lato" w:hAnsi="Lato"/>
            <w:sz w:val="18"/>
            <w:szCs w:val="18"/>
          </w:rPr>
          <w:t>https://www.utoronto.ca/news/brazil-s-humane-refugee-policies-good-ideas-can-travel-north-u-t-expert-says</w:t>
        </w:r>
      </w:hyperlink>
    </w:p>
  </w:footnote>
  <w:footnote w:id="116">
    <w:p w14:paraId="3BBE1EB2"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Valiquette, T., Su, Y., &amp; Felix, E. (2020, March 25). </w:t>
      </w:r>
      <w:r w:rsidRPr="00B76FAC">
        <w:rPr>
          <w:rFonts w:ascii="Lato" w:hAnsi="Lato"/>
          <w:i/>
          <w:iCs/>
          <w:sz w:val="18"/>
          <w:szCs w:val="18"/>
        </w:rPr>
        <w:t>Out of the shadows: the precarious lives of Venezuelan LGBTQI+ asylum-seekers in Brazil</w:t>
      </w:r>
      <w:r w:rsidRPr="00B76FAC">
        <w:rPr>
          <w:rFonts w:ascii="Lato" w:hAnsi="Lato"/>
          <w:sz w:val="18"/>
          <w:szCs w:val="18"/>
        </w:rPr>
        <w:t xml:space="preserve">. Humanitarian Practice Network. </w:t>
      </w:r>
      <w:hyperlink r:id="rId117" w:history="1">
        <w:r w:rsidRPr="00B76FAC">
          <w:rPr>
            <w:rStyle w:val="Hyperlink"/>
            <w:rFonts w:ascii="Lato" w:hAnsi="Lato"/>
            <w:sz w:val="18"/>
            <w:szCs w:val="18"/>
          </w:rPr>
          <w:t>https://odihpn.org/publication/out-of-the-shadows-the-precarious-lives-of-venezuelan-lgbtqi-asylum-seekers-in-brazil/</w:t>
        </w:r>
      </w:hyperlink>
    </w:p>
  </w:footnote>
  <w:footnote w:id="117">
    <w:p w14:paraId="07AC7858" w14:textId="7C8CB121" w:rsidR="00BC53D5" w:rsidRPr="00B76FAC" w:rsidRDefault="00BC53D5" w:rsidP="00D47069">
      <w:pPr>
        <w:pStyle w:val="NormalWeb"/>
        <w:spacing w:before="0" w:beforeAutospacing="0" w:after="0" w:afterAutospacing="0"/>
        <w:rPr>
          <w:rFonts w:ascii="Lato" w:hAnsi="Lato"/>
          <w:sz w:val="18"/>
          <w:szCs w:val="18"/>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118" w:history="1">
        <w:r w:rsidRPr="00B76FAC">
          <w:rPr>
            <w:rStyle w:val="Hyperlink"/>
            <w:rFonts w:ascii="Lato" w:eastAsiaTheme="majorEastAsia" w:hAnsi="Lato"/>
            <w:i/>
            <w:iCs/>
            <w:sz w:val="18"/>
            <w:szCs w:val="18"/>
          </w:rPr>
          <w:t>Communication to IE SOGI, SR Migrants, SR Torture, SR Violence a/Women, WG Arbitrary Det., WG Discrim. Women, 2020: JAL COL 6/2020</w:t>
        </w:r>
      </w:hyperlink>
      <w:r w:rsidRPr="00B76FAC">
        <w:rPr>
          <w:rStyle w:val="Hyperlink"/>
          <w:rFonts w:ascii="Lato" w:eastAsiaTheme="majorEastAsia" w:hAnsi="Lato"/>
          <w:i/>
          <w:iCs/>
          <w:sz w:val="18"/>
          <w:szCs w:val="18"/>
        </w:rPr>
        <w:t xml:space="preserve"> (20 November 2020)</w:t>
      </w:r>
      <w:r w:rsidRPr="00B76FAC">
        <w:rPr>
          <w:rFonts w:ascii="Lato" w:hAnsi="Lato"/>
          <w:sz w:val="18"/>
          <w:szCs w:val="18"/>
        </w:rPr>
        <w:t xml:space="preserve"> (retrieved 02 September 2023)</w:t>
      </w:r>
    </w:p>
  </w:footnote>
  <w:footnote w:id="118">
    <w:p w14:paraId="7E918E19" w14:textId="3E488191"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Heartland Alliance International. (2014). </w:t>
      </w:r>
      <w:r w:rsidRPr="00B76FAC">
        <w:rPr>
          <w:rFonts w:ascii="Lato" w:hAnsi="Lato"/>
          <w:i/>
          <w:iCs/>
          <w:sz w:val="18"/>
          <w:szCs w:val="18"/>
        </w:rPr>
        <w:t>“No Place for People Like You” An Analysis of the Needs, Vulnerabilities, and Experiences of LGBT Syrian Refugees in Lebanon</w:t>
      </w:r>
      <w:r w:rsidRPr="00B76FAC">
        <w:rPr>
          <w:rFonts w:ascii="Lato" w:hAnsi="Lato"/>
          <w:sz w:val="18"/>
          <w:szCs w:val="18"/>
        </w:rPr>
        <w:t xml:space="preserve">. Pg. 16. Heartland Alliance International. </w:t>
      </w:r>
      <w:hyperlink r:id="rId119" w:history="1">
        <w:r w:rsidRPr="00B76FAC">
          <w:rPr>
            <w:rStyle w:val="Hyperlink"/>
            <w:rFonts w:ascii="Lato" w:hAnsi="Lato"/>
            <w:sz w:val="18"/>
            <w:szCs w:val="18"/>
          </w:rPr>
          <w:t>https://www.heartlandalliance.org/</w:t>
        </w:r>
      </w:hyperlink>
    </w:p>
  </w:footnote>
  <w:footnote w:id="119">
    <w:p w14:paraId="310555E3"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Heartland Alliance International. (2014). </w:t>
      </w:r>
      <w:r w:rsidRPr="00B76FAC">
        <w:rPr>
          <w:rFonts w:ascii="Lato" w:hAnsi="Lato"/>
          <w:i/>
          <w:iCs/>
          <w:sz w:val="18"/>
          <w:szCs w:val="18"/>
        </w:rPr>
        <w:t>“No Place for People Like You” An Analysis of the Needs, Vulnerabilities, and Experiences of LGBT Syrian Refugees in Lebanon</w:t>
      </w:r>
      <w:r w:rsidRPr="00B76FAC">
        <w:rPr>
          <w:rFonts w:ascii="Lato" w:hAnsi="Lato"/>
          <w:sz w:val="18"/>
          <w:szCs w:val="18"/>
        </w:rPr>
        <w:t xml:space="preserve">. Pg. 17. Heartland Alliance International. </w:t>
      </w:r>
      <w:hyperlink r:id="rId120" w:history="1">
        <w:r w:rsidRPr="00B76FAC">
          <w:rPr>
            <w:rStyle w:val="Hyperlink"/>
            <w:rFonts w:ascii="Lato" w:hAnsi="Lato"/>
            <w:sz w:val="18"/>
            <w:szCs w:val="18"/>
          </w:rPr>
          <w:t>https://www.heartlandalliance.org/</w:t>
        </w:r>
      </w:hyperlink>
    </w:p>
  </w:footnote>
  <w:footnote w:id="120">
    <w:p w14:paraId="34BCA23C" w14:textId="77777777" w:rsidR="00BC53D5" w:rsidRPr="00B76FAC" w:rsidRDefault="00BC53D5" w:rsidP="00D4706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Heartland Alliance International. (2014). </w:t>
      </w:r>
      <w:r w:rsidRPr="00B76FAC">
        <w:rPr>
          <w:rFonts w:ascii="Lato" w:hAnsi="Lato"/>
          <w:i/>
          <w:iCs/>
          <w:sz w:val="18"/>
          <w:szCs w:val="18"/>
        </w:rPr>
        <w:t>“No Place for People Like You” An Analysis of the Needs, Vulnerabilities, and Experiences of LGBT Syrian Refugees in Lebanon</w:t>
      </w:r>
      <w:r w:rsidRPr="00B76FAC">
        <w:rPr>
          <w:rFonts w:ascii="Lato" w:hAnsi="Lato"/>
          <w:sz w:val="18"/>
          <w:szCs w:val="18"/>
        </w:rPr>
        <w:t xml:space="preserve">. Pg. 22. Heartland Alliance International. </w:t>
      </w:r>
      <w:hyperlink r:id="rId121" w:history="1">
        <w:r w:rsidRPr="00B76FAC">
          <w:rPr>
            <w:rStyle w:val="Hyperlink"/>
            <w:rFonts w:ascii="Lato" w:hAnsi="Lato"/>
            <w:sz w:val="18"/>
            <w:szCs w:val="18"/>
          </w:rPr>
          <w:t>https://www.heartlandalliance.org/</w:t>
        </w:r>
      </w:hyperlink>
    </w:p>
  </w:footnote>
  <w:footnote w:id="121">
    <w:p w14:paraId="43A89730" w14:textId="77777777" w:rsidR="00BC53D5" w:rsidRPr="00B76FAC" w:rsidRDefault="00BC53D5" w:rsidP="00D47069">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Transgender Europe. (2021). Coming Home: Homelessness Among Trans People in the EU Policy Brief. </w:t>
      </w:r>
      <w:r w:rsidRPr="00B76FAC">
        <w:rPr>
          <w:rFonts w:ascii="Lato" w:hAnsi="Lato"/>
          <w:sz w:val="18"/>
          <w:szCs w:val="18"/>
          <w:lang w:val="de-DE"/>
        </w:rPr>
        <w:t xml:space="preserve">In </w:t>
      </w:r>
      <w:r w:rsidRPr="00B76FAC">
        <w:rPr>
          <w:rFonts w:ascii="Lato" w:hAnsi="Lato"/>
          <w:i/>
          <w:iCs/>
          <w:sz w:val="18"/>
          <w:szCs w:val="18"/>
          <w:lang w:val="de-DE"/>
        </w:rPr>
        <w:t>TGEU</w:t>
      </w:r>
      <w:r w:rsidRPr="00B76FAC">
        <w:rPr>
          <w:rFonts w:ascii="Lato" w:hAnsi="Lato"/>
          <w:sz w:val="18"/>
          <w:szCs w:val="18"/>
          <w:lang w:val="de-DE"/>
        </w:rPr>
        <w:t xml:space="preserve">. </w:t>
      </w:r>
      <w:hyperlink r:id="rId122" w:history="1">
        <w:r w:rsidRPr="00B76FAC">
          <w:rPr>
            <w:rStyle w:val="Hyperlink"/>
            <w:rFonts w:ascii="Lato" w:hAnsi="Lato"/>
            <w:sz w:val="18"/>
            <w:szCs w:val="18"/>
            <w:lang w:val="de-DE"/>
          </w:rPr>
          <w:t>https://tgeu.org/wp-content/uploads/2021/12/tgeu-homelessness-policy-brief-en.pdf</w:t>
        </w:r>
      </w:hyperlink>
    </w:p>
  </w:footnote>
  <w:footnote w:id="122">
    <w:p w14:paraId="35BCD98A" w14:textId="77777777" w:rsidR="00BC53D5" w:rsidRPr="00B76FAC" w:rsidRDefault="00BC53D5" w:rsidP="00D47069">
      <w:pPr>
        <w:pStyle w:val="FootnoteText"/>
        <w:rPr>
          <w:rFonts w:ascii="Lato" w:hAnsi="Lato"/>
          <w:sz w:val="18"/>
          <w:szCs w:val="18"/>
          <w:lang w:val="es-ES"/>
        </w:rPr>
      </w:pPr>
      <w:r w:rsidRPr="00B76FAC">
        <w:rPr>
          <w:rStyle w:val="FootnoteReference"/>
          <w:rFonts w:ascii="Lato" w:hAnsi="Lato"/>
          <w:sz w:val="18"/>
          <w:szCs w:val="18"/>
        </w:rPr>
        <w:footnoteRef/>
      </w:r>
      <w:r w:rsidRPr="00B76FAC">
        <w:rPr>
          <w:rFonts w:ascii="Lato" w:hAnsi="Lato"/>
          <w:sz w:val="18"/>
          <w:szCs w:val="18"/>
          <w:lang w:val="es-ES"/>
        </w:rPr>
        <w:t xml:space="preserve"> Varea, P. (2021, September 17). </w:t>
      </w:r>
      <w:r w:rsidRPr="00B76FAC">
        <w:rPr>
          <w:rFonts w:ascii="Lato" w:hAnsi="Lato"/>
          <w:i/>
          <w:iCs/>
          <w:sz w:val="18"/>
          <w:szCs w:val="18"/>
          <w:lang w:val="es-ES"/>
        </w:rPr>
        <w:t>Personas trans migrantes, supervivencia ante el desamparo del Estado español</w:t>
      </w:r>
      <w:r w:rsidRPr="00B76FAC">
        <w:rPr>
          <w:rFonts w:ascii="Lato" w:hAnsi="Lato"/>
          <w:sz w:val="18"/>
          <w:szCs w:val="18"/>
          <w:lang w:val="es-ES"/>
        </w:rPr>
        <w:t xml:space="preserve">. Www.elsaltodiario.com. </w:t>
      </w:r>
      <w:hyperlink r:id="rId123" w:history="1">
        <w:r w:rsidRPr="00B76FAC">
          <w:rPr>
            <w:rStyle w:val="Hyperlink"/>
            <w:rFonts w:ascii="Lato" w:hAnsi="Lato"/>
            <w:sz w:val="18"/>
            <w:szCs w:val="18"/>
            <w:lang w:val="es-ES"/>
          </w:rPr>
          <w:t>https://www.elsaltodiario.com/transexualidad/personas-trans-migrantes-supervivencia-ante-el-desamparo-del-estado-espanol</w:t>
        </w:r>
      </w:hyperlink>
    </w:p>
  </w:footnote>
  <w:footnote w:id="123">
    <w:p w14:paraId="34C722DA" w14:textId="7690D52E" w:rsidR="00BC53D5" w:rsidRPr="00B76FAC" w:rsidRDefault="00BC53D5" w:rsidP="00D47069">
      <w:pPr>
        <w:pStyle w:val="FootnoteText"/>
        <w:rPr>
          <w:rFonts w:ascii="Lato" w:hAnsi="Lato"/>
          <w:sz w:val="18"/>
          <w:szCs w:val="18"/>
          <w:lang w:val="es-ES"/>
        </w:rPr>
      </w:pPr>
      <w:r w:rsidRPr="00B76FAC">
        <w:rPr>
          <w:rStyle w:val="FootnoteReference"/>
          <w:rFonts w:ascii="Lato" w:hAnsi="Lato"/>
          <w:sz w:val="18"/>
          <w:szCs w:val="18"/>
        </w:rPr>
        <w:footnoteRef/>
      </w:r>
      <w:r w:rsidRPr="00B76FAC">
        <w:rPr>
          <w:rFonts w:ascii="Lato" w:hAnsi="Lato"/>
          <w:sz w:val="18"/>
          <w:szCs w:val="18"/>
          <w:lang w:val="es-ES"/>
        </w:rPr>
        <w:t xml:space="preserve"> Varea, P. (2021, September 17). </w:t>
      </w:r>
      <w:r w:rsidRPr="00B76FAC">
        <w:rPr>
          <w:rFonts w:ascii="Lato" w:hAnsi="Lato"/>
          <w:i/>
          <w:iCs/>
          <w:sz w:val="18"/>
          <w:szCs w:val="18"/>
          <w:lang w:val="es-ES"/>
        </w:rPr>
        <w:t>Personas trans migrantes, supervivencia ante el desamparo del Estado español</w:t>
      </w:r>
      <w:r w:rsidRPr="00B76FAC">
        <w:rPr>
          <w:rFonts w:ascii="Lato" w:hAnsi="Lato"/>
          <w:sz w:val="18"/>
          <w:szCs w:val="18"/>
          <w:lang w:val="es-ES"/>
        </w:rPr>
        <w:t xml:space="preserve">. Www.elsaltodiario.com. </w:t>
      </w:r>
      <w:hyperlink r:id="rId124" w:history="1">
        <w:r w:rsidRPr="00B76FAC">
          <w:rPr>
            <w:rStyle w:val="Hyperlink"/>
            <w:rFonts w:ascii="Lato" w:hAnsi="Lato"/>
            <w:sz w:val="18"/>
            <w:szCs w:val="18"/>
            <w:lang w:val="es-ES"/>
          </w:rPr>
          <w:t>https://www.elsaltodiario.com/transexualidad/personas-trans-migrantes-supervivencia-ante-el-desamparo-del-estado-espanol</w:t>
        </w:r>
      </w:hyperlink>
    </w:p>
  </w:footnote>
  <w:footnote w:id="124">
    <w:p w14:paraId="54799CC8" w14:textId="77777777" w:rsidR="00BC53D5" w:rsidRPr="00B76FAC" w:rsidRDefault="00BC53D5" w:rsidP="00594768">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w:t>
      </w:r>
      <w:hyperlink r:id="rId125" w:history="1">
        <w:r w:rsidRPr="00B76FAC">
          <w:rPr>
            <w:rStyle w:val="Hyperlink"/>
            <w:rFonts w:ascii="Lato" w:hAnsi="Lato"/>
            <w:sz w:val="18"/>
            <w:szCs w:val="18"/>
            <w:lang w:val="de-DE"/>
          </w:rPr>
          <w:t>https://tgeu.org/wp-content/uploads/2021/11/TGEU-trans-poverty-report-2021.pdf</w:t>
        </w:r>
      </w:hyperlink>
    </w:p>
  </w:footnote>
  <w:footnote w:id="125">
    <w:p w14:paraId="46A9D180" w14:textId="1AA1F07F"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7. Figure from the same source.</w:t>
      </w:r>
    </w:p>
  </w:footnote>
  <w:footnote w:id="126">
    <w:p w14:paraId="185A289F" w14:textId="098B84BE"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7. </w:t>
      </w:r>
    </w:p>
  </w:footnote>
  <w:footnote w:id="127">
    <w:p w14:paraId="4E5465FC" w14:textId="104B87A4"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Fedorko, B., Ogrm, A., &amp; Kurmanov , S. (2021). </w:t>
      </w:r>
      <w:r w:rsidRPr="00B76FAC">
        <w:rPr>
          <w:rFonts w:ascii="Lato" w:hAnsi="Lato"/>
          <w:i/>
          <w:iCs/>
          <w:sz w:val="18"/>
          <w:szCs w:val="18"/>
        </w:rPr>
        <w:t>COVID-19 and trans people in Europe and Central Asia</w:t>
      </w:r>
      <w:r w:rsidRPr="00B76FAC">
        <w:rPr>
          <w:rFonts w:ascii="Lato" w:hAnsi="Lato"/>
          <w:sz w:val="18"/>
          <w:szCs w:val="18"/>
        </w:rPr>
        <w:t xml:space="preserve">. </w:t>
      </w:r>
      <w:r w:rsidRPr="00B76FAC">
        <w:rPr>
          <w:rFonts w:ascii="Lato" w:hAnsi="Lato"/>
          <w:sz w:val="18"/>
          <w:szCs w:val="18"/>
          <w:lang w:val="de-DE"/>
        </w:rPr>
        <w:t xml:space="preserve">TGEU. Pg. 5 </w:t>
      </w:r>
      <w:hyperlink r:id="rId126" w:history="1">
        <w:r w:rsidRPr="00B76FAC">
          <w:rPr>
            <w:rStyle w:val="Hyperlink"/>
            <w:rFonts w:ascii="Lato" w:hAnsi="Lato"/>
            <w:sz w:val="18"/>
            <w:szCs w:val="18"/>
            <w:lang w:val="de-DE"/>
          </w:rPr>
          <w:t>https://tgeu.org/wp-content/uploads/2021/01/impact-assessment-covid19-and-trans-people-in-europe-and-central-asia.pdf</w:t>
        </w:r>
      </w:hyperlink>
    </w:p>
  </w:footnote>
  <w:footnote w:id="128">
    <w:p w14:paraId="0D81FC17" w14:textId="198F4A72"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Fedorko, B., Ogrm, A., &amp; Kurmanov , S. (2021). </w:t>
      </w:r>
      <w:r w:rsidRPr="00B76FAC">
        <w:rPr>
          <w:rFonts w:ascii="Lato" w:hAnsi="Lato"/>
          <w:i/>
          <w:iCs/>
          <w:sz w:val="18"/>
          <w:szCs w:val="18"/>
        </w:rPr>
        <w:t>COVID-19 and trans people in Europe and Central Asia</w:t>
      </w:r>
      <w:r w:rsidRPr="00B76FAC">
        <w:rPr>
          <w:rFonts w:ascii="Lato" w:hAnsi="Lato"/>
          <w:sz w:val="18"/>
          <w:szCs w:val="18"/>
        </w:rPr>
        <w:t xml:space="preserve">. </w:t>
      </w:r>
      <w:r w:rsidRPr="00B76FAC">
        <w:rPr>
          <w:rFonts w:ascii="Lato" w:hAnsi="Lato"/>
          <w:sz w:val="18"/>
          <w:szCs w:val="18"/>
          <w:lang w:val="de-DE"/>
        </w:rPr>
        <w:t xml:space="preserve">TGEU. Pg. 18 </w:t>
      </w:r>
      <w:hyperlink r:id="rId127" w:history="1">
        <w:r w:rsidRPr="00B76FAC">
          <w:rPr>
            <w:rStyle w:val="Hyperlink"/>
            <w:rFonts w:ascii="Lato" w:hAnsi="Lato"/>
            <w:sz w:val="18"/>
            <w:szCs w:val="18"/>
            <w:lang w:val="de-DE"/>
          </w:rPr>
          <w:t>https://tgeu.org/wp-content/uploads/2021/01/impact-assessment-covid19-and-trans-people-in-europe-and-central-asia.pdf</w:t>
        </w:r>
      </w:hyperlink>
      <w:r w:rsidRPr="00B76FAC">
        <w:rPr>
          <w:rFonts w:ascii="Lato" w:hAnsi="Lato"/>
          <w:sz w:val="18"/>
          <w:szCs w:val="18"/>
          <w:lang w:val="de-DE"/>
        </w:rPr>
        <w:t xml:space="preserve">. </w:t>
      </w:r>
      <w:r w:rsidRPr="00B76FAC">
        <w:rPr>
          <w:rFonts w:ascii="Lato" w:hAnsi="Lato"/>
          <w:sz w:val="18"/>
          <w:szCs w:val="18"/>
        </w:rPr>
        <w:t xml:space="preserve">In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w:t>
      </w:r>
      <w:hyperlink r:id="rId128" w:history="1">
        <w:r w:rsidRPr="00B76FAC">
          <w:rPr>
            <w:rStyle w:val="Hyperlink"/>
            <w:rFonts w:ascii="Lato" w:hAnsi="Lato"/>
            <w:sz w:val="18"/>
            <w:szCs w:val="18"/>
            <w:lang w:val="de-DE"/>
          </w:rPr>
          <w:t>https://tgeu.org/wp-content/uploads/2021/11/TGEU-trans-poverty-report-2021.pdf</w:t>
        </w:r>
      </w:hyperlink>
    </w:p>
  </w:footnote>
  <w:footnote w:id="129">
    <w:p w14:paraId="4EA68595" w14:textId="52401821" w:rsidR="00BC53D5" w:rsidRPr="00B76FAC" w:rsidRDefault="00BC53D5" w:rsidP="00AF3B8A">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Manoël-Florisse, M. (2023, April 13). A life at risk: Fleeing to Paris from Caribbean homophobia in Saint-Martin. Erasing 76 Crimes. </w:t>
      </w:r>
      <w:hyperlink r:id="rId129" w:history="1">
        <w:r w:rsidRPr="00B76FAC">
          <w:rPr>
            <w:rStyle w:val="Hyperlink"/>
            <w:rFonts w:ascii="Lato" w:hAnsi="Lato"/>
            <w:sz w:val="18"/>
            <w:szCs w:val="18"/>
          </w:rPr>
          <w:t>https://76crimes.com/2023/04/13/a-life-at-risk-fleeing-to-paris-from-caribbean-homophobia-in-saint-martin/</w:t>
        </w:r>
      </w:hyperlink>
      <w:r w:rsidRPr="00B76FAC">
        <w:rPr>
          <w:rFonts w:ascii="Lato" w:hAnsi="Lato"/>
          <w:sz w:val="18"/>
          <w:szCs w:val="18"/>
        </w:rPr>
        <w:t xml:space="preserve">; Manoël-Florisse, M. (2023, April 26). After homophobia and homelessness: A Caribbean story with a happier ending. Erasing 76 Crimes. </w:t>
      </w:r>
      <w:hyperlink r:id="rId130" w:history="1">
        <w:r w:rsidRPr="00B76FAC">
          <w:rPr>
            <w:rStyle w:val="Hyperlink"/>
            <w:rFonts w:ascii="Lato" w:hAnsi="Lato"/>
            <w:sz w:val="18"/>
            <w:szCs w:val="18"/>
          </w:rPr>
          <w:t>https://76crimes.com/2023/04/25/after-homophobia-and-homelessness-a-caribbean-story-with-a-happier-ending/</w:t>
        </w:r>
      </w:hyperlink>
    </w:p>
  </w:footnote>
  <w:footnote w:id="130">
    <w:p w14:paraId="720C2BE0"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NSWP. (2019). Briefing Note: Social Protection. In </w:t>
      </w:r>
      <w:r w:rsidRPr="00B76FAC">
        <w:rPr>
          <w:rFonts w:ascii="Lato" w:hAnsi="Lato"/>
          <w:i/>
          <w:iCs/>
          <w:sz w:val="18"/>
          <w:szCs w:val="18"/>
        </w:rPr>
        <w:t>Global Network of Sex Work Projects</w:t>
      </w:r>
      <w:r w:rsidRPr="00B76FAC">
        <w:rPr>
          <w:rFonts w:ascii="Lato" w:hAnsi="Lato"/>
          <w:sz w:val="18"/>
          <w:szCs w:val="18"/>
        </w:rPr>
        <w:t xml:space="preserve">. </w:t>
      </w:r>
      <w:hyperlink r:id="rId131" w:history="1">
        <w:r w:rsidRPr="00B76FAC">
          <w:rPr>
            <w:rStyle w:val="Hyperlink"/>
            <w:rFonts w:ascii="Lato" w:hAnsi="Lato"/>
            <w:sz w:val="18"/>
            <w:szCs w:val="18"/>
          </w:rPr>
          <w:t>https://www.nswp.org/sites/nswp.org/files/briefing_note_social_protection_nswp_-_2019_0.pdf</w:t>
        </w:r>
      </w:hyperlink>
    </w:p>
  </w:footnote>
  <w:footnote w:id="131">
    <w:p w14:paraId="57FC1621" w14:textId="77777777" w:rsidR="00BC53D5" w:rsidRPr="00B76FAC" w:rsidRDefault="00BC53D5" w:rsidP="00222309">
      <w:pPr>
        <w:pStyle w:val="FootnoteText"/>
        <w:rPr>
          <w:rFonts w:ascii="Lato" w:hAnsi="Lato"/>
          <w:sz w:val="18"/>
          <w:szCs w:val="18"/>
          <w:lang w:val="es-ES"/>
        </w:rPr>
      </w:pPr>
      <w:r w:rsidRPr="00B76FAC">
        <w:rPr>
          <w:rStyle w:val="FootnoteReference"/>
          <w:rFonts w:ascii="Lato" w:hAnsi="Lato"/>
          <w:sz w:val="18"/>
          <w:szCs w:val="18"/>
        </w:rPr>
        <w:footnoteRef/>
      </w:r>
      <w:r w:rsidRPr="00B76FAC">
        <w:rPr>
          <w:rFonts w:ascii="Lato" w:hAnsi="Lato"/>
          <w:sz w:val="18"/>
          <w:szCs w:val="18"/>
        </w:rPr>
        <w:t xml:space="preserve"> Joint UPR submission on Rwanda by the African Sex Workers Alliance and the Sexual Rights Initiative. </w:t>
      </w:r>
      <w:r w:rsidRPr="00B76FAC">
        <w:rPr>
          <w:rFonts w:ascii="Lato" w:hAnsi="Lato"/>
          <w:sz w:val="18"/>
          <w:szCs w:val="18"/>
          <w:lang w:val="es-ES"/>
        </w:rPr>
        <w:t xml:space="preserve">Para. 9. </w:t>
      </w:r>
      <w:hyperlink r:id="rId132" w:history="1">
        <w:r w:rsidRPr="00B76FAC">
          <w:rPr>
            <w:rStyle w:val="Hyperlink"/>
            <w:rFonts w:ascii="Lato" w:hAnsi="Lato"/>
            <w:sz w:val="18"/>
            <w:szCs w:val="18"/>
            <w:lang w:val="es-ES"/>
          </w:rPr>
          <w:t>https://www.sexualrightsinitiative.org/sites/default/files/resources/files/2020-08/UPR37%20Rwanda%20ASWA%20and%20SRI_0.pdf</w:t>
        </w:r>
      </w:hyperlink>
    </w:p>
  </w:footnote>
  <w:footnote w:id="132">
    <w:p w14:paraId="7CE9C8A0"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SRI. (2021). Submission to the Special Rapporteur on the right to adequate housing for the report on discrimination, segregation and the right to adequate housing. In </w:t>
      </w:r>
      <w:r w:rsidRPr="00B76FAC">
        <w:rPr>
          <w:rFonts w:ascii="Lato" w:hAnsi="Lato"/>
          <w:i/>
          <w:iCs/>
          <w:sz w:val="18"/>
          <w:szCs w:val="18"/>
        </w:rPr>
        <w:t>Sexual Rights Initiative</w:t>
      </w:r>
      <w:r w:rsidRPr="00B76FAC">
        <w:rPr>
          <w:rFonts w:ascii="Lato" w:hAnsi="Lato"/>
          <w:sz w:val="18"/>
          <w:szCs w:val="18"/>
        </w:rPr>
        <w:t xml:space="preserve">. Para. 14. </w:t>
      </w:r>
      <w:hyperlink r:id="rId133" w:history="1">
        <w:r w:rsidRPr="00B76FAC">
          <w:rPr>
            <w:rStyle w:val="Hyperlink"/>
            <w:rFonts w:ascii="Lato" w:hAnsi="Lato"/>
            <w:sz w:val="18"/>
            <w:szCs w:val="18"/>
          </w:rPr>
          <w:t>https://www.sexualrightsinitiative.org/sites/default/files/resources/files/2021-06/SRI%20submission%20to%20the%20Special%20Rapporteur%20on%20Housing_0.pdf</w:t>
        </w:r>
      </w:hyperlink>
    </w:p>
  </w:footnote>
  <w:footnote w:id="133">
    <w:p w14:paraId="2FC29DC2"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Fraser, B., Pierse, N., Chisholm, E., &amp; Cook, H. (2019). LGBTIQ+ Homelessness: A Review of the Literature. International journal of environmental research and public health, 16(15), 2677. Pg. 8. </w:t>
      </w:r>
      <w:hyperlink r:id="rId134" w:history="1">
        <w:r w:rsidRPr="00B76FAC">
          <w:rPr>
            <w:rStyle w:val="Hyperlink"/>
            <w:rFonts w:ascii="Lato" w:hAnsi="Lato"/>
            <w:sz w:val="18"/>
            <w:szCs w:val="18"/>
          </w:rPr>
          <w:t>https://doi.org/10.3390/ijerph16152677</w:t>
        </w:r>
      </w:hyperlink>
    </w:p>
  </w:footnote>
  <w:footnote w:id="134">
    <w:p w14:paraId="582AEA3A"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NSWP. (2013, August 29). Sex workers in Bangladesh evicted in gentrification drive; offered “rehabiliation.” Global Network of Sex Work Projects. </w:t>
      </w:r>
      <w:hyperlink r:id="rId135" w:history="1">
        <w:r w:rsidRPr="00B76FAC">
          <w:rPr>
            <w:rStyle w:val="Hyperlink"/>
            <w:rFonts w:ascii="Lato" w:hAnsi="Lato"/>
            <w:sz w:val="18"/>
            <w:szCs w:val="18"/>
          </w:rPr>
          <w:t>https://www.nswp.org/news/sex-workers-bangladesh-evicted-gentrification-drive-offered-rehabiliation</w:t>
        </w:r>
      </w:hyperlink>
    </w:p>
  </w:footnote>
  <w:footnote w:id="135">
    <w:p w14:paraId="0168893E"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NSWP. (2016, March 28). </w:t>
      </w:r>
      <w:r w:rsidRPr="00B76FAC">
        <w:rPr>
          <w:rFonts w:ascii="Lato" w:hAnsi="Lato"/>
          <w:i/>
          <w:iCs/>
          <w:sz w:val="18"/>
          <w:szCs w:val="18"/>
        </w:rPr>
        <w:t>Another Red-Light Area Closes in Indonesia</w:t>
      </w:r>
      <w:r w:rsidRPr="00B76FAC">
        <w:rPr>
          <w:rFonts w:ascii="Lato" w:hAnsi="Lato"/>
          <w:sz w:val="18"/>
          <w:szCs w:val="18"/>
        </w:rPr>
        <w:t xml:space="preserve">. Global Network of Sex Work Projects. </w:t>
      </w:r>
      <w:hyperlink r:id="rId136" w:history="1">
        <w:r w:rsidRPr="00B76FAC">
          <w:rPr>
            <w:rStyle w:val="Hyperlink"/>
            <w:rFonts w:ascii="Lato" w:hAnsi="Lato"/>
            <w:sz w:val="18"/>
            <w:szCs w:val="18"/>
          </w:rPr>
          <w:t>https://www.nswp.org/news/another-red-light-area-closes-indonesia</w:t>
        </w:r>
      </w:hyperlink>
    </w:p>
  </w:footnote>
  <w:footnote w:id="136">
    <w:p w14:paraId="2265BEA8"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UNAIDS. (2020, April 8). </w:t>
      </w:r>
      <w:r w:rsidRPr="00B76FAC">
        <w:rPr>
          <w:rFonts w:ascii="Lato" w:hAnsi="Lato"/>
          <w:i/>
          <w:iCs/>
          <w:sz w:val="18"/>
          <w:szCs w:val="18"/>
        </w:rPr>
        <w:t>Sex workers must not be left behind in the response to COVID-19</w:t>
      </w:r>
      <w:r w:rsidRPr="00B76FAC">
        <w:rPr>
          <w:rFonts w:ascii="Lato" w:hAnsi="Lato"/>
          <w:sz w:val="18"/>
          <w:szCs w:val="18"/>
        </w:rPr>
        <w:t xml:space="preserve">. UNAIDS. </w:t>
      </w:r>
      <w:hyperlink r:id="rId137" w:history="1">
        <w:r w:rsidRPr="00B76FAC">
          <w:rPr>
            <w:rStyle w:val="Hyperlink"/>
            <w:rFonts w:ascii="Lato" w:hAnsi="Lato"/>
            <w:sz w:val="18"/>
            <w:szCs w:val="18"/>
          </w:rPr>
          <w:t>https://www.unaids.org/en/resources/presscentre/pressreleaseandstatementarchive/2020/april/20200408_sex-workers-covid-19</w:t>
        </w:r>
      </w:hyperlink>
    </w:p>
  </w:footnote>
  <w:footnote w:id="137">
    <w:p w14:paraId="344FF02D"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Amore, K., Viggers, H., &amp; Howden Chapman, P. (2021). Severe housing deprivation in Aotearoa New Zealand, 2018. University of Otago. Pg. 4. </w:t>
      </w:r>
      <w:hyperlink r:id="rId138" w:history="1">
        <w:r w:rsidRPr="00B76FAC">
          <w:rPr>
            <w:rStyle w:val="Hyperlink"/>
            <w:rFonts w:ascii="Lato" w:hAnsi="Lato"/>
            <w:sz w:val="18"/>
            <w:szCs w:val="18"/>
          </w:rPr>
          <w:t>https://www.hud.govt.nz/assets/Uploads/Documents/Severe-Housing-Deprivation-2018-Estimate-Report.pdf</w:t>
        </w:r>
      </w:hyperlink>
    </w:p>
  </w:footnote>
  <w:footnote w:id="138">
    <w:p w14:paraId="79BDB5B7"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Veale, J., Byrne, J., Tan, K., Guy, S., Yee, A., Nopera, T., &amp; Bentham, R. (2019). Counting Ourselves: The health and wellbeing of trans and non-binary people in Aotearoa New Zealand. Transgender Health Research Lab, The University of Waikato. </w:t>
      </w:r>
      <w:hyperlink r:id="rId139" w:history="1">
        <w:r w:rsidRPr="00B76FAC">
          <w:rPr>
            <w:rStyle w:val="Hyperlink"/>
            <w:rFonts w:ascii="Lato" w:hAnsi="Lato"/>
            <w:sz w:val="18"/>
            <w:szCs w:val="18"/>
          </w:rPr>
          <w:t>https://researchcommons.waikato.ac.nz/bitstream/handle/10289/12942/Counting%20Ourselves_Report%20Dec%2019-Online.pdf?sequence=54&amp;isAllowed=y</w:t>
        </w:r>
      </w:hyperlink>
    </w:p>
  </w:footnote>
  <w:footnote w:id="139">
    <w:p w14:paraId="25A5348D" w14:textId="682F7E0A"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Prostitution Reform Act 2003 No 28 (as at 26 November 2018), Public Act Contents – New Zealand Legislation. (2003). Www.legislation.govt.nz. </w:t>
      </w:r>
      <w:hyperlink r:id="rId140" w:history="1">
        <w:r w:rsidRPr="00B76FAC">
          <w:rPr>
            <w:rStyle w:val="Hyperlink"/>
            <w:rFonts w:ascii="Lato" w:hAnsi="Lato"/>
            <w:sz w:val="18"/>
            <w:szCs w:val="18"/>
          </w:rPr>
          <w:t>https://www.legislation.govt.nz/act/public/2003/0028/latest/DLM197815.html</w:t>
        </w:r>
      </w:hyperlink>
    </w:p>
  </w:footnote>
  <w:footnote w:id="140">
    <w:p w14:paraId="4DDDDA91"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Fraser, B., Chisholm, E., &amp; Pierse, N. (2023). Takatāpui/LGBTIQ+ People’s Experiences of Homelessness and Sex Work in Aotearoa New Zealand. Anti Trafficking Review, 20. Pg. 16. </w:t>
      </w:r>
      <w:hyperlink r:id="rId141" w:history="1">
        <w:r w:rsidRPr="00B76FAC">
          <w:rPr>
            <w:rStyle w:val="Hyperlink"/>
            <w:rFonts w:ascii="Lato" w:hAnsi="Lato"/>
            <w:sz w:val="18"/>
            <w:szCs w:val="18"/>
          </w:rPr>
          <w:t>https://doi.org/10.14197/atr.20122320</w:t>
        </w:r>
      </w:hyperlink>
    </w:p>
  </w:footnote>
  <w:footnote w:id="141">
    <w:p w14:paraId="5316C23E"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29.</w:t>
      </w:r>
    </w:p>
  </w:footnote>
  <w:footnote w:id="142">
    <w:p w14:paraId="2B26AF00"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31. </w:t>
      </w:r>
    </w:p>
  </w:footnote>
  <w:footnote w:id="143">
    <w:p w14:paraId="06144AC0"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31. </w:t>
      </w:r>
    </w:p>
  </w:footnote>
  <w:footnote w:id="144">
    <w:p w14:paraId="5384609F"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i/>
          <w:iCs/>
          <w:sz w:val="18"/>
          <w:szCs w:val="18"/>
        </w:rPr>
        <w:t xml:space="preserve"> Ley 3.365</w:t>
      </w:r>
      <w:r w:rsidRPr="00B76FAC">
        <w:rPr>
          <w:rFonts w:ascii="Lato" w:hAnsi="Lato"/>
          <w:sz w:val="18"/>
          <w:szCs w:val="18"/>
        </w:rPr>
        <w:t xml:space="preserve">. Argentina.justia.com. </w:t>
      </w:r>
      <w:hyperlink r:id="rId142" w:history="1">
        <w:r w:rsidRPr="00B76FAC">
          <w:rPr>
            <w:rStyle w:val="Hyperlink"/>
            <w:rFonts w:ascii="Lato" w:hAnsi="Lato"/>
            <w:sz w:val="18"/>
            <w:szCs w:val="18"/>
          </w:rPr>
          <w:t>https://argentina.justia.com/provinciales/mendoza/codigos/ley-3-365-nov-25-1965/gdoc/</w:t>
        </w:r>
      </w:hyperlink>
      <w:r w:rsidRPr="00B76FAC">
        <w:rPr>
          <w:rFonts w:ascii="Lato" w:hAnsi="Lato"/>
          <w:sz w:val="18"/>
          <w:szCs w:val="18"/>
        </w:rPr>
        <w:t xml:space="preserve"> artículo 54 (retrieved September 14, 2023).</w:t>
      </w:r>
    </w:p>
  </w:footnote>
  <w:footnote w:id="145">
    <w:p w14:paraId="187B886F"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ILGA World Database, </w:t>
      </w:r>
      <w:hyperlink r:id="rId143" w:tgtFrame="_blank" w:history="1">
        <w:r w:rsidRPr="00B76FAC">
          <w:rPr>
            <w:rStyle w:val="Hyperlink"/>
            <w:rFonts w:ascii="Lato" w:hAnsi="Lato"/>
            <w:i/>
            <w:iCs/>
            <w:sz w:val="18"/>
            <w:szCs w:val="18"/>
          </w:rPr>
          <w:t>Report of the Special Rapporteur on violence against women, its causes and consequences, on her mission to Argentina (12 April 2017)</w:t>
        </w:r>
      </w:hyperlink>
      <w:r w:rsidRPr="00B76FAC">
        <w:rPr>
          <w:rFonts w:ascii="Lato" w:hAnsi="Lato"/>
          <w:sz w:val="18"/>
          <w:szCs w:val="18"/>
        </w:rPr>
        <w:t xml:space="preserve"> para. 35. (retrieved 02 September 2023)</w:t>
      </w:r>
    </w:p>
  </w:footnote>
  <w:footnote w:id="146">
    <w:p w14:paraId="562DC78A" w14:textId="77777777" w:rsidR="00BC53D5" w:rsidRPr="00B76FAC" w:rsidRDefault="00BC53D5" w:rsidP="00222309">
      <w:pPr>
        <w:pStyle w:val="NormalWeb"/>
        <w:spacing w:before="0" w:beforeAutospacing="0" w:after="0" w:afterAutospacing="0"/>
        <w:rPr>
          <w:rFonts w:ascii="Lato" w:hAnsi="Lato"/>
          <w:sz w:val="18"/>
          <w:szCs w:val="18"/>
          <w:lang w:val="es-ES"/>
        </w:rPr>
      </w:pPr>
      <w:r w:rsidRPr="00B76FAC">
        <w:rPr>
          <w:rStyle w:val="FootnoteReference"/>
          <w:rFonts w:ascii="Lato" w:eastAsiaTheme="majorEastAsia" w:hAnsi="Lato"/>
          <w:sz w:val="18"/>
          <w:szCs w:val="18"/>
        </w:rPr>
        <w:footnoteRef/>
      </w:r>
      <w:r w:rsidRPr="00B76FAC">
        <w:rPr>
          <w:rFonts w:ascii="Lato" w:hAnsi="Lato"/>
          <w:sz w:val="18"/>
          <w:szCs w:val="18"/>
        </w:rPr>
        <w:t xml:space="preserve"> ILGA World Database, </w:t>
      </w:r>
      <w:hyperlink r:id="rId144" w:tgtFrame="_blank" w:history="1">
        <w:r w:rsidRPr="00B76FAC">
          <w:rPr>
            <w:rStyle w:val="Hyperlink"/>
            <w:rFonts w:ascii="Lato" w:hAnsi="Lato"/>
            <w:i/>
            <w:iCs/>
            <w:sz w:val="18"/>
            <w:szCs w:val="18"/>
          </w:rPr>
          <w:t>Report of the Independent Expert on his mission to Argentina (09 April 2018)</w:t>
        </w:r>
      </w:hyperlink>
      <w:r w:rsidRPr="00B76FAC">
        <w:rPr>
          <w:rFonts w:ascii="Lato" w:hAnsi="Lato"/>
          <w:sz w:val="18"/>
          <w:szCs w:val="18"/>
        </w:rPr>
        <w:t xml:space="preserve"> para. </w:t>
      </w:r>
      <w:r w:rsidRPr="00B76FAC">
        <w:rPr>
          <w:rFonts w:ascii="Lato" w:hAnsi="Lato"/>
          <w:sz w:val="18"/>
          <w:szCs w:val="18"/>
          <w:lang w:val="es-ES"/>
        </w:rPr>
        <w:t>6. (retrieved 02 September 2023)</w:t>
      </w:r>
    </w:p>
  </w:footnote>
  <w:footnote w:id="147">
    <w:p w14:paraId="354CE255" w14:textId="77777777"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lang w:val="es-ES"/>
        </w:rPr>
        <w:t xml:space="preserve"> Comisión Interamericana de Derechos Humanos. (2018). Avances y Desafíos hacia el reconocimiento de los derechos de las personas LGBTI en las Américas. </w:t>
      </w:r>
      <w:r w:rsidRPr="00B76FAC">
        <w:rPr>
          <w:rFonts w:ascii="Lato" w:hAnsi="Lato"/>
          <w:sz w:val="18"/>
          <w:szCs w:val="18"/>
        </w:rPr>
        <w:t xml:space="preserve">In </w:t>
      </w:r>
      <w:r w:rsidRPr="00B76FAC">
        <w:rPr>
          <w:rFonts w:ascii="Lato" w:hAnsi="Lato"/>
          <w:i/>
          <w:iCs/>
          <w:sz w:val="18"/>
          <w:szCs w:val="18"/>
        </w:rPr>
        <w:t>Organization of American States</w:t>
      </w:r>
      <w:r w:rsidRPr="00B76FAC">
        <w:rPr>
          <w:rFonts w:ascii="Lato" w:hAnsi="Lato"/>
          <w:sz w:val="18"/>
          <w:szCs w:val="18"/>
        </w:rPr>
        <w:t xml:space="preserve">. Para. 208. </w:t>
      </w:r>
      <w:hyperlink r:id="rId145" w:history="1">
        <w:r w:rsidRPr="00B76FAC">
          <w:rPr>
            <w:rStyle w:val="Hyperlink"/>
            <w:rFonts w:ascii="Lato" w:hAnsi="Lato"/>
            <w:sz w:val="18"/>
            <w:szCs w:val="18"/>
          </w:rPr>
          <w:t>http://www.oas.org/es/cidh/informes/pdfs/LGBTI-ReconocimientoDerechos2019.pdf</w:t>
        </w:r>
      </w:hyperlink>
    </w:p>
  </w:footnote>
  <w:footnote w:id="148">
    <w:p w14:paraId="6193B19E" w14:textId="30251B02" w:rsidR="00BC53D5" w:rsidRPr="00B76FAC" w:rsidRDefault="00BC53D5" w:rsidP="00222309">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lang w:val="es-ES"/>
        </w:rPr>
        <w:t xml:space="preserve"> Translated from the Spanish original: “esas múltiples formas de discriminación pueden tener efectos a nivel individual, pero también en el plano social, ya que las personas LGBTI que ven vedado su acceso a derechos básicos como el trabajo, la salud, la educación y la vivienda viven en situaciones de pobreza, privadas de toda oportunidad económica.” Comisión Interamericana de Derechos Humanos. (2018). Avances y Desafíos hacia el reconocimiento de los derechos de las personas LGBTI en las Américas. </w:t>
      </w:r>
      <w:r w:rsidRPr="00B76FAC">
        <w:rPr>
          <w:rFonts w:ascii="Lato" w:hAnsi="Lato"/>
          <w:sz w:val="18"/>
          <w:szCs w:val="18"/>
        </w:rPr>
        <w:t xml:space="preserve">In </w:t>
      </w:r>
      <w:r w:rsidRPr="00B76FAC">
        <w:rPr>
          <w:rFonts w:ascii="Lato" w:hAnsi="Lato"/>
          <w:i/>
          <w:iCs/>
          <w:sz w:val="18"/>
          <w:szCs w:val="18"/>
        </w:rPr>
        <w:t>Organization of American States</w:t>
      </w:r>
      <w:r w:rsidRPr="00B76FAC">
        <w:rPr>
          <w:rFonts w:ascii="Lato" w:hAnsi="Lato"/>
          <w:sz w:val="18"/>
          <w:szCs w:val="18"/>
        </w:rPr>
        <w:t xml:space="preserve">. Para. 209. </w:t>
      </w:r>
      <w:hyperlink r:id="rId146" w:history="1">
        <w:r w:rsidRPr="00B76FAC">
          <w:rPr>
            <w:rStyle w:val="Hyperlink"/>
            <w:rFonts w:ascii="Lato" w:hAnsi="Lato"/>
            <w:sz w:val="18"/>
            <w:szCs w:val="18"/>
          </w:rPr>
          <w:t>http://www.oas.org/es/cidh/informes/pdfs/LGBTI-ReconocimientoDerechos2019.pdf</w:t>
        </w:r>
      </w:hyperlink>
    </w:p>
  </w:footnote>
  <w:footnote w:id="149">
    <w:p w14:paraId="01763F6D" w14:textId="78CFB7C1"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w:t>
      </w:r>
      <w:hyperlink r:id="rId147" w:history="1">
        <w:r w:rsidRPr="00B76FAC">
          <w:rPr>
            <w:rStyle w:val="Hyperlink"/>
            <w:rFonts w:ascii="Lato" w:hAnsi="Lato"/>
            <w:sz w:val="18"/>
            <w:szCs w:val="18"/>
            <w:lang w:val="de-DE"/>
          </w:rPr>
          <w:t>https://tgeu.org/wp-content/uploads/2021/11/TGEU-trans-poverty-report-2021.pdf</w:t>
        </w:r>
      </w:hyperlink>
    </w:p>
  </w:footnote>
  <w:footnote w:id="150">
    <w:p w14:paraId="2F6048D0" w14:textId="29612E9C"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Fedorko, B., &amp; Berredo, L. (2017). The vicious circle of violence: Trans and gender-diverse people, migration, and sex work. In </w:t>
      </w:r>
      <w:r w:rsidRPr="00B76FAC">
        <w:rPr>
          <w:rFonts w:ascii="Lato" w:hAnsi="Lato"/>
          <w:i/>
          <w:iCs/>
          <w:sz w:val="18"/>
          <w:szCs w:val="18"/>
        </w:rPr>
        <w:t>TvT Publication Series</w:t>
      </w:r>
      <w:r w:rsidRPr="00B76FAC">
        <w:rPr>
          <w:rFonts w:ascii="Lato" w:hAnsi="Lato"/>
          <w:sz w:val="18"/>
          <w:szCs w:val="18"/>
        </w:rPr>
        <w:t xml:space="preserve">. TGEU. </w:t>
      </w:r>
      <w:hyperlink r:id="rId148" w:history="1">
        <w:r w:rsidRPr="00B76FAC">
          <w:rPr>
            <w:rStyle w:val="Hyperlink"/>
            <w:rFonts w:ascii="Lato" w:hAnsi="Lato"/>
            <w:sz w:val="18"/>
            <w:szCs w:val="18"/>
          </w:rPr>
          <w:t>https://transrespect.org/wp-content/uploads/2018/01/TvT-PS-Vol16-2017.pdf</w:t>
        </w:r>
      </w:hyperlink>
    </w:p>
  </w:footnote>
  <w:footnote w:id="151">
    <w:p w14:paraId="396EB65C" w14:textId="1FF1B304"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Berredo, L. (2022, November 8). </w:t>
      </w:r>
      <w:r w:rsidRPr="00B76FAC">
        <w:rPr>
          <w:rFonts w:ascii="Lato" w:hAnsi="Lato"/>
          <w:i/>
          <w:iCs/>
          <w:sz w:val="18"/>
          <w:szCs w:val="18"/>
        </w:rPr>
        <w:t>TMM Update TDoR 2022</w:t>
      </w:r>
      <w:r w:rsidRPr="00B76FAC">
        <w:rPr>
          <w:rFonts w:ascii="Lato" w:hAnsi="Lato"/>
          <w:sz w:val="18"/>
          <w:szCs w:val="18"/>
        </w:rPr>
        <w:t xml:space="preserve">. TvT. </w:t>
      </w:r>
      <w:hyperlink r:id="rId149" w:history="1">
        <w:r w:rsidRPr="00B76FAC">
          <w:rPr>
            <w:rStyle w:val="Hyperlink"/>
            <w:rFonts w:ascii="Lato" w:hAnsi="Lato"/>
            <w:sz w:val="18"/>
            <w:szCs w:val="18"/>
          </w:rPr>
          <w:t>https://transrespect.org/en/tmm-update-tdor-2022/</w:t>
        </w:r>
      </w:hyperlink>
    </w:p>
  </w:footnote>
  <w:footnote w:id="152">
    <w:p w14:paraId="1F34FEA6" w14:textId="3BF4D131"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Pg. 12 </w:t>
      </w:r>
      <w:hyperlink r:id="rId150" w:history="1">
        <w:r w:rsidRPr="00B76FAC">
          <w:rPr>
            <w:rStyle w:val="Hyperlink"/>
            <w:rFonts w:ascii="Lato" w:hAnsi="Lato"/>
            <w:sz w:val="18"/>
            <w:szCs w:val="18"/>
            <w:lang w:val="de-DE"/>
          </w:rPr>
          <w:t>https://tgeu.org/wp-content/uploads/2021/11/TGEU-trans-poverty-report-2021.pdf</w:t>
        </w:r>
      </w:hyperlink>
    </w:p>
  </w:footnote>
  <w:footnote w:id="153">
    <w:p w14:paraId="5C888314" w14:textId="47C1CF31"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European Sex Workers Rights Alliance (2021) Don’t outlaw sex workers’ consent! - Policy Brief in response to law proposal to criminalize sex work in Spain, op. cit, p. 2. In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Pg. 13 </w:t>
      </w:r>
      <w:hyperlink r:id="rId151" w:history="1">
        <w:r w:rsidRPr="00B76FAC">
          <w:rPr>
            <w:rStyle w:val="Hyperlink"/>
            <w:rFonts w:ascii="Lato" w:hAnsi="Lato"/>
            <w:sz w:val="18"/>
            <w:szCs w:val="18"/>
            <w:lang w:val="de-DE"/>
          </w:rPr>
          <w:t>https://tgeu.org/wp-content/uploads/2021/11/TGEU-trans-poverty-report-2021.pdf</w:t>
        </w:r>
      </w:hyperlink>
    </w:p>
  </w:footnote>
  <w:footnote w:id="154">
    <w:p w14:paraId="176C023D" w14:textId="422651FC"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Fedorko, B., &amp; Berredo, L. (2017). The vicious circle of violence: Trans and gender-diverse people, migration, and sex work. In </w:t>
      </w:r>
      <w:r w:rsidRPr="00B76FAC">
        <w:rPr>
          <w:rFonts w:ascii="Lato" w:hAnsi="Lato"/>
          <w:i/>
          <w:iCs/>
          <w:sz w:val="18"/>
          <w:szCs w:val="18"/>
        </w:rPr>
        <w:t>TvT Publication Series</w:t>
      </w:r>
      <w:r w:rsidRPr="00B76FAC">
        <w:rPr>
          <w:rFonts w:ascii="Lato" w:hAnsi="Lato"/>
          <w:sz w:val="18"/>
          <w:szCs w:val="18"/>
        </w:rPr>
        <w:t xml:space="preserve">. TGEU. Pg. 10 </w:t>
      </w:r>
      <w:hyperlink r:id="rId152" w:history="1">
        <w:r w:rsidRPr="00B76FAC">
          <w:rPr>
            <w:rStyle w:val="Hyperlink"/>
            <w:rFonts w:ascii="Lato" w:hAnsi="Lato"/>
            <w:sz w:val="18"/>
            <w:szCs w:val="18"/>
          </w:rPr>
          <w:t>https://transrespect.org/wp-content/uploads/2018/01/TvT-PS-Vol16-2017.pdf</w:t>
        </w:r>
      </w:hyperlink>
    </w:p>
  </w:footnote>
  <w:footnote w:id="155">
    <w:p w14:paraId="6B35C00F" w14:textId="2B5DE745"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w:t>
      </w:r>
    </w:p>
  </w:footnote>
  <w:footnote w:id="156">
    <w:p w14:paraId="30C6B3A8" w14:textId="2DC40B71"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James, Sandy E., Jody L. Herman, Susan Rankin, Mara Keisling, Lisa Mottet, and Ma'ayan Anafi (2016). In Fedorko, B., &amp; Berredo, L. (2017). The vicious circle of violence: Trans and gender-diverse people, migration, and sex work. In </w:t>
      </w:r>
      <w:r w:rsidRPr="00B76FAC">
        <w:rPr>
          <w:rFonts w:ascii="Lato" w:hAnsi="Lato"/>
          <w:i/>
          <w:iCs/>
          <w:sz w:val="18"/>
          <w:szCs w:val="18"/>
        </w:rPr>
        <w:t>TvT Publication Series</w:t>
      </w:r>
      <w:r w:rsidRPr="00B76FAC">
        <w:rPr>
          <w:rFonts w:ascii="Lato" w:hAnsi="Lato"/>
          <w:sz w:val="18"/>
          <w:szCs w:val="18"/>
        </w:rPr>
        <w:t xml:space="preserve">. TGEU. Pg. 18 </w:t>
      </w:r>
      <w:hyperlink r:id="rId153" w:history="1">
        <w:r w:rsidRPr="00B76FAC">
          <w:rPr>
            <w:rStyle w:val="Hyperlink"/>
            <w:rFonts w:ascii="Lato" w:hAnsi="Lato"/>
            <w:sz w:val="18"/>
            <w:szCs w:val="18"/>
          </w:rPr>
          <w:t>https://transrespect.org/wp-content/uploads/2018/01/TvT-PS-Vol16-2017.pdf</w:t>
        </w:r>
      </w:hyperlink>
    </w:p>
  </w:footnote>
  <w:footnote w:id="157">
    <w:p w14:paraId="1AC185E1" w14:textId="3AA5E4DD"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Asia Catalyst (2015). “My life is too dark to see” - A Survey of the Living Conditions of Transgender Female Sex Workers in Beijing and Shanghai. Available at: http://asiacatalyst.org/wp-content/ uploads/2014/09/Asia-Catalyst-TG-SWReport.pdf (last accessed on 3 October 2017). In Fedorko, B., &amp; Berredo, L. (2017). The vicious circle of violence: Trans and gender-diverse people, migration, and sex work. In </w:t>
      </w:r>
      <w:r w:rsidRPr="00B76FAC">
        <w:rPr>
          <w:rFonts w:ascii="Lato" w:hAnsi="Lato"/>
          <w:i/>
          <w:iCs/>
          <w:sz w:val="18"/>
          <w:szCs w:val="18"/>
        </w:rPr>
        <w:t>TvT Publication Series</w:t>
      </w:r>
      <w:r w:rsidRPr="00B76FAC">
        <w:rPr>
          <w:rFonts w:ascii="Lato" w:hAnsi="Lato"/>
          <w:sz w:val="18"/>
          <w:szCs w:val="18"/>
        </w:rPr>
        <w:t xml:space="preserve">. TGEU. Pg. 19 </w:t>
      </w:r>
      <w:hyperlink r:id="rId154" w:history="1">
        <w:r w:rsidRPr="00B76FAC">
          <w:rPr>
            <w:rStyle w:val="Hyperlink"/>
            <w:rFonts w:ascii="Lato" w:hAnsi="Lato"/>
            <w:sz w:val="18"/>
            <w:szCs w:val="18"/>
          </w:rPr>
          <w:t>https://transrespect.org/wp-content/uploads/2018/01/TvT-PS-Vol16-2017.pdf</w:t>
        </w:r>
      </w:hyperlink>
    </w:p>
  </w:footnote>
  <w:footnote w:id="158">
    <w:p w14:paraId="7B371B10" w14:textId="0A8C4D48"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Berredo, L. (2022, November 8). </w:t>
      </w:r>
      <w:r w:rsidRPr="00B76FAC">
        <w:rPr>
          <w:rFonts w:ascii="Lato" w:hAnsi="Lato"/>
          <w:i/>
          <w:iCs/>
          <w:sz w:val="18"/>
          <w:szCs w:val="18"/>
        </w:rPr>
        <w:t>TMM Update TDoR 2022</w:t>
      </w:r>
      <w:r w:rsidRPr="00B76FAC">
        <w:rPr>
          <w:rFonts w:ascii="Lato" w:hAnsi="Lato"/>
          <w:sz w:val="18"/>
          <w:szCs w:val="18"/>
        </w:rPr>
        <w:t xml:space="preserve">. TvT. </w:t>
      </w:r>
      <w:hyperlink r:id="rId155" w:history="1">
        <w:r w:rsidRPr="00B76FAC">
          <w:rPr>
            <w:rStyle w:val="Hyperlink"/>
            <w:rFonts w:ascii="Lato" w:hAnsi="Lato"/>
            <w:sz w:val="18"/>
            <w:szCs w:val="18"/>
          </w:rPr>
          <w:t>https://transrespect.org/en/tmm-update-tdor-2022/</w:t>
        </w:r>
      </w:hyperlink>
    </w:p>
  </w:footnote>
  <w:footnote w:id="159">
    <w:p w14:paraId="7BEF6413" w14:textId="0CFB7EEB" w:rsidR="00B02260" w:rsidRPr="00B76FAC" w:rsidRDefault="00B02260">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00C07B76" w:rsidRPr="00B76FAC">
        <w:rPr>
          <w:rFonts w:ascii="Lato" w:hAnsi="Lato"/>
          <w:sz w:val="18"/>
          <w:szCs w:val="18"/>
          <w:lang w:val="en-US"/>
        </w:rPr>
        <w:t xml:space="preserve">Most examples of these initiatives have been sourced from the article Spring 2023 edition of Homeless in Europe, a magazine by </w:t>
      </w:r>
      <w:hyperlink r:id="rId156" w:history="1">
        <w:r w:rsidR="00C07B76" w:rsidRPr="00B76FAC">
          <w:rPr>
            <w:rStyle w:val="Hyperlink"/>
            <w:rFonts w:ascii="Lato" w:hAnsi="Lato"/>
            <w:sz w:val="18"/>
            <w:szCs w:val="18"/>
            <w:lang w:val="en-US"/>
          </w:rPr>
          <w:t>FEANTSA</w:t>
        </w:r>
      </w:hyperlink>
      <w:r w:rsidR="00C07B76" w:rsidRPr="00B76FAC">
        <w:rPr>
          <w:rFonts w:ascii="Lato" w:hAnsi="Lato"/>
          <w:sz w:val="18"/>
          <w:szCs w:val="18"/>
          <w:lang w:val="en-US"/>
        </w:rPr>
        <w:t xml:space="preserve"> (European Federation of National Organisations Working with the Homeless) the only European NGO focusing exclusively on the fight against homelessness in Europe: </w:t>
      </w:r>
      <w:r w:rsidR="00C07B76" w:rsidRPr="00B76FAC">
        <w:rPr>
          <w:rFonts w:ascii="Lato" w:hAnsi="Lato" w:cstheme="minorHAnsi"/>
          <w:sz w:val="18"/>
          <w:szCs w:val="18"/>
        </w:rPr>
        <w:t xml:space="preserve">FEANTSA. (2023). Pride: Homelessness in the LGBTIQ Community. In </w:t>
      </w:r>
      <w:r w:rsidR="00C07B76" w:rsidRPr="00B76FAC">
        <w:rPr>
          <w:rFonts w:ascii="Lato" w:hAnsi="Lato" w:cstheme="minorHAnsi"/>
          <w:i/>
          <w:iCs/>
          <w:sz w:val="18"/>
          <w:szCs w:val="18"/>
        </w:rPr>
        <w:t>FEANTSA</w:t>
      </w:r>
      <w:r w:rsidR="00C07B76" w:rsidRPr="00B76FAC">
        <w:rPr>
          <w:rFonts w:ascii="Lato" w:hAnsi="Lato" w:cstheme="minorHAnsi"/>
          <w:sz w:val="18"/>
          <w:szCs w:val="18"/>
        </w:rPr>
        <w:t xml:space="preserve">. Pg. 11 </w:t>
      </w:r>
      <w:hyperlink r:id="rId157" w:history="1">
        <w:r w:rsidR="00C07B76" w:rsidRPr="00B76FAC">
          <w:rPr>
            <w:rFonts w:ascii="Lato" w:hAnsi="Lato" w:cstheme="minorHAnsi"/>
            <w:color w:val="0563C1" w:themeColor="hyperlink"/>
            <w:sz w:val="18"/>
            <w:szCs w:val="18"/>
            <w:u w:val="single"/>
          </w:rPr>
          <w:t>https://www.feantsa.org/public/user/Magazine/2023/Spring_magazine_2023/FEA_magazine_spring_2023.pdf</w:t>
        </w:r>
      </w:hyperlink>
    </w:p>
  </w:footnote>
  <w:footnote w:id="160">
    <w:p w14:paraId="48FF5E04" w14:textId="003531F4" w:rsidR="00BC53D5" w:rsidRPr="00B76FAC" w:rsidRDefault="00BC53D5" w:rsidP="00F51BB6">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i/>
          <w:iCs/>
          <w:sz w:val="18"/>
          <w:szCs w:val="18"/>
        </w:rPr>
        <w:t>À propos</w:t>
      </w:r>
      <w:r w:rsidRPr="00B76FAC">
        <w:rPr>
          <w:rFonts w:ascii="Lato" w:hAnsi="Lato"/>
          <w:sz w:val="18"/>
          <w:szCs w:val="18"/>
        </w:rPr>
        <w:t xml:space="preserve">. Le Refuge Bruxelles / Het Opvanghuis Brussel. Retrieved September 6, 2023, from </w:t>
      </w:r>
      <w:hyperlink r:id="rId158" w:history="1">
        <w:r w:rsidRPr="00B76FAC">
          <w:rPr>
            <w:rStyle w:val="Hyperlink"/>
            <w:rFonts w:ascii="Lato" w:hAnsi="Lato"/>
            <w:sz w:val="18"/>
            <w:szCs w:val="18"/>
          </w:rPr>
          <w:t>https://www.refugeopvanghuis.be/le-refuge/notre-action/</w:t>
        </w:r>
      </w:hyperlink>
    </w:p>
  </w:footnote>
  <w:footnote w:id="161">
    <w:p w14:paraId="0F1A88B6" w14:textId="17F49C79"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cstheme="minorHAnsi"/>
          <w:sz w:val="18"/>
          <w:szCs w:val="18"/>
        </w:rPr>
        <w:t xml:space="preserve">FEANTSA. (2023). Pride: Homelessness in the LGBTIQ Community. In </w:t>
      </w:r>
      <w:r w:rsidRPr="00B76FAC">
        <w:rPr>
          <w:rFonts w:ascii="Lato" w:hAnsi="Lato" w:cstheme="minorHAnsi"/>
          <w:i/>
          <w:iCs/>
          <w:sz w:val="18"/>
          <w:szCs w:val="18"/>
        </w:rPr>
        <w:t>FEANTSA</w:t>
      </w:r>
      <w:r w:rsidRPr="00B76FAC">
        <w:rPr>
          <w:rFonts w:ascii="Lato" w:hAnsi="Lato" w:cstheme="minorHAnsi"/>
          <w:sz w:val="18"/>
          <w:szCs w:val="18"/>
        </w:rPr>
        <w:t xml:space="preserve">. Pg. 44 </w:t>
      </w:r>
      <w:hyperlink r:id="rId159" w:history="1">
        <w:r w:rsidRPr="00B76FAC">
          <w:rPr>
            <w:rFonts w:ascii="Lato" w:hAnsi="Lato" w:cstheme="minorHAnsi"/>
            <w:color w:val="0563C1" w:themeColor="hyperlink"/>
            <w:sz w:val="18"/>
            <w:szCs w:val="18"/>
            <w:u w:val="single"/>
          </w:rPr>
          <w:t>https://www.feantsa.org/public/user/Magazine/2023/Spring_magazine_2023/FEA_magazine_spring_2023.pdf</w:t>
        </w:r>
      </w:hyperlink>
    </w:p>
  </w:footnote>
  <w:footnote w:id="162">
    <w:p w14:paraId="48CA3C1E" w14:textId="456894FF"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cstheme="minorHAnsi"/>
          <w:sz w:val="18"/>
          <w:szCs w:val="18"/>
        </w:rPr>
        <w:t xml:space="preserve">FEANTSA. (2023). Pride: Homelessness in the LGBTIQ Community. In </w:t>
      </w:r>
      <w:r w:rsidRPr="00B76FAC">
        <w:rPr>
          <w:rFonts w:ascii="Lato" w:hAnsi="Lato" w:cstheme="minorHAnsi"/>
          <w:i/>
          <w:iCs/>
          <w:sz w:val="18"/>
          <w:szCs w:val="18"/>
        </w:rPr>
        <w:t>FEANTSA</w:t>
      </w:r>
      <w:r w:rsidRPr="00B76FAC">
        <w:rPr>
          <w:rFonts w:ascii="Lato" w:hAnsi="Lato" w:cstheme="minorHAnsi"/>
          <w:sz w:val="18"/>
          <w:szCs w:val="18"/>
        </w:rPr>
        <w:t xml:space="preserve">. Pg. 46 </w:t>
      </w:r>
      <w:hyperlink r:id="rId160" w:history="1">
        <w:r w:rsidRPr="00B76FAC">
          <w:rPr>
            <w:rStyle w:val="Hyperlink"/>
            <w:rFonts w:ascii="Lato" w:hAnsi="Lato" w:cstheme="minorHAnsi"/>
            <w:sz w:val="18"/>
            <w:szCs w:val="18"/>
          </w:rPr>
          <w:t>https://www.feantsa.org/public/user/Magazine/2023/Spring_magazine_2023/FEA_magazine_spring_2023.pdf</w:t>
        </w:r>
      </w:hyperlink>
    </w:p>
  </w:footnote>
  <w:footnote w:id="163">
    <w:p w14:paraId="5CCD998E" w14:textId="77777777" w:rsidR="00BC53D5" w:rsidRPr="00B76FAC" w:rsidRDefault="00BC53D5" w:rsidP="00F352F7">
      <w:pPr>
        <w:pStyle w:val="FootnoteText"/>
        <w:rPr>
          <w:rFonts w:ascii="Lato" w:hAnsi="Lato"/>
          <w:color w:val="2E74B5" w:themeColor="accent5" w:themeShade="BF"/>
          <w:sz w:val="18"/>
          <w:szCs w:val="18"/>
        </w:rPr>
      </w:pPr>
      <w:r w:rsidRPr="00B76FAC">
        <w:rPr>
          <w:rStyle w:val="FootnoteReference"/>
          <w:rFonts w:ascii="Lato" w:hAnsi="Lato"/>
          <w:sz w:val="18"/>
          <w:szCs w:val="18"/>
        </w:rPr>
        <w:footnoteRef/>
      </w:r>
      <w:r w:rsidRPr="00B76FAC">
        <w:rPr>
          <w:rFonts w:ascii="Lato" w:hAnsi="Lato"/>
          <w:sz w:val="18"/>
          <w:szCs w:val="18"/>
        </w:rPr>
        <w:t xml:space="preserve"> Government of Canada. (2019). </w:t>
      </w:r>
      <w:r w:rsidRPr="00B76FAC">
        <w:rPr>
          <w:rFonts w:ascii="Lato" w:hAnsi="Lato"/>
          <w:i/>
          <w:iCs/>
          <w:sz w:val="18"/>
          <w:szCs w:val="18"/>
        </w:rPr>
        <w:t>Canada’s First Ever National Housing Strategy | A Place to Call Home</w:t>
      </w:r>
      <w:r w:rsidRPr="00B76FAC">
        <w:rPr>
          <w:rFonts w:ascii="Lato" w:hAnsi="Lato"/>
          <w:sz w:val="18"/>
          <w:szCs w:val="18"/>
        </w:rPr>
        <w:t xml:space="preserve">. A Place to Call Home. </w:t>
      </w:r>
      <w:hyperlink r:id="rId161" w:history="1">
        <w:r w:rsidRPr="00B76FAC">
          <w:rPr>
            <w:rStyle w:val="Hyperlink"/>
            <w:rFonts w:ascii="Lato" w:hAnsi="Lato"/>
            <w:color w:val="2E74B5" w:themeColor="accent5" w:themeShade="BF"/>
            <w:sz w:val="18"/>
            <w:szCs w:val="18"/>
          </w:rPr>
          <w:t>https://www.placetocallhome.ca/</w:t>
        </w:r>
      </w:hyperlink>
    </w:p>
  </w:footnote>
  <w:footnote w:id="164">
    <w:p w14:paraId="5688B29A"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Government of Canada. (2018, July 23). </w:t>
      </w:r>
      <w:r w:rsidRPr="00B76FAC">
        <w:rPr>
          <w:rFonts w:ascii="Lato" w:hAnsi="Lato"/>
          <w:i/>
          <w:iCs/>
          <w:sz w:val="18"/>
          <w:szCs w:val="18"/>
        </w:rPr>
        <w:t>Priority areas for action | CMHC</w:t>
      </w:r>
      <w:r w:rsidRPr="00B76FAC">
        <w:rPr>
          <w:rFonts w:ascii="Lato" w:hAnsi="Lato"/>
          <w:sz w:val="18"/>
          <w:szCs w:val="18"/>
        </w:rPr>
        <w:t xml:space="preserve">. Www.cmhc-Schl.gc.ca. </w:t>
      </w:r>
      <w:hyperlink r:id="rId162" w:history="1">
        <w:r w:rsidRPr="00B76FAC">
          <w:rPr>
            <w:rStyle w:val="Hyperlink"/>
            <w:rFonts w:ascii="Lato" w:hAnsi="Lato"/>
            <w:color w:val="2E74B5" w:themeColor="accent5" w:themeShade="BF"/>
            <w:sz w:val="18"/>
            <w:szCs w:val="18"/>
          </w:rPr>
          <w:t>https://www.cmhc-schl.gc.ca/nhs/guidepage-strategy/priority-areas-for-action</w:t>
        </w:r>
      </w:hyperlink>
    </w:p>
  </w:footnote>
  <w:footnote w:id="165">
    <w:p w14:paraId="5538ABDD"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Elver, D. (2022, June 15). </w:t>
      </w:r>
      <w:r w:rsidRPr="00B76FAC">
        <w:rPr>
          <w:rFonts w:ascii="Lato" w:hAnsi="Lato"/>
          <w:i/>
          <w:iCs/>
          <w:sz w:val="18"/>
          <w:szCs w:val="18"/>
        </w:rPr>
        <w:t>2SLGBTQIA+ Housing Needs and Challenges</w:t>
      </w:r>
      <w:r w:rsidRPr="00B76FAC">
        <w:rPr>
          <w:rFonts w:ascii="Lato" w:hAnsi="Lato"/>
          <w:sz w:val="18"/>
          <w:szCs w:val="18"/>
        </w:rPr>
        <w:t xml:space="preserve">. Www.cmhc-Schl.gc.ca. </w:t>
      </w:r>
      <w:hyperlink r:id="rId163" w:anchor=":~:text=According%20to%20the%20most%20recent" w:history="1">
        <w:r w:rsidRPr="00B76FAC">
          <w:rPr>
            <w:rStyle w:val="Hyperlink"/>
            <w:rFonts w:ascii="Lato" w:hAnsi="Lato"/>
            <w:color w:val="2E74B5" w:themeColor="accent5" w:themeShade="BF"/>
            <w:sz w:val="18"/>
            <w:szCs w:val="18"/>
          </w:rPr>
          <w:t>https://www.cmhc-schl.gc.ca/blog/2022/2slgbtqia-housing-needs-challenges#:~:text=According%20to%20the%20most%20recent</w:t>
        </w:r>
      </w:hyperlink>
    </w:p>
  </w:footnote>
  <w:footnote w:id="166">
    <w:p w14:paraId="7A262907" w14:textId="77777777" w:rsidR="00BC53D5" w:rsidRPr="00B76FAC" w:rsidRDefault="00BC53D5" w:rsidP="00F352F7">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lang w:val="de-DE"/>
        </w:rPr>
        <w:t xml:space="preserve"> Voldum-Clausen, N., Maini-Thorsen, A.-S., Skovlund Asmussen, K., &amp; Kirkegaard, A. (2022). </w:t>
      </w:r>
      <w:r w:rsidRPr="00B76FAC">
        <w:rPr>
          <w:rFonts w:ascii="Lato" w:hAnsi="Lato"/>
          <w:i/>
          <w:iCs/>
          <w:sz w:val="18"/>
          <w:szCs w:val="18"/>
        </w:rPr>
        <w:t>Alienated – a qualitative study of LGBT+ people’s experiences with homelessness</w:t>
      </w:r>
      <w:r w:rsidRPr="00B76FAC">
        <w:rPr>
          <w:rFonts w:ascii="Lato" w:hAnsi="Lato"/>
          <w:sz w:val="18"/>
          <w:szCs w:val="18"/>
        </w:rPr>
        <w:t xml:space="preserve">. </w:t>
      </w:r>
      <w:r w:rsidRPr="00B76FAC">
        <w:rPr>
          <w:rFonts w:ascii="Lato" w:hAnsi="Lato"/>
          <w:sz w:val="18"/>
          <w:szCs w:val="18"/>
          <w:lang w:val="de-DE"/>
        </w:rPr>
        <w:t>Projekt Udenfor.</w:t>
      </w:r>
    </w:p>
  </w:footnote>
  <w:footnote w:id="167">
    <w:p w14:paraId="2500F964" w14:textId="77777777" w:rsidR="00BC53D5" w:rsidRPr="00B76FAC" w:rsidRDefault="00BC53D5" w:rsidP="00F352F7">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lang w:val="de-DE"/>
        </w:rPr>
        <w:t xml:space="preserve"> Project Udenfor. (n.d.). </w:t>
      </w:r>
      <w:r w:rsidRPr="00B76FAC">
        <w:rPr>
          <w:rFonts w:ascii="Lato" w:hAnsi="Lato"/>
          <w:i/>
          <w:iCs/>
          <w:sz w:val="18"/>
          <w:szCs w:val="18"/>
          <w:lang w:val="de-DE"/>
        </w:rPr>
        <w:t>Projekt LGBT+ Hjemløshed</w:t>
      </w:r>
      <w:r w:rsidRPr="00B76FAC">
        <w:rPr>
          <w:rFonts w:ascii="Lato" w:hAnsi="Lato"/>
          <w:sz w:val="18"/>
          <w:szCs w:val="18"/>
          <w:lang w:val="de-DE"/>
        </w:rPr>
        <w:t xml:space="preserve">. Projekt Udenfor. Retrieved September 2, 2023, from </w:t>
      </w:r>
      <w:hyperlink r:id="rId164" w:history="1">
        <w:r w:rsidRPr="00B76FAC">
          <w:rPr>
            <w:rStyle w:val="Hyperlink"/>
            <w:rFonts w:ascii="Lato" w:hAnsi="Lato"/>
            <w:color w:val="2E74B5" w:themeColor="accent5" w:themeShade="BF"/>
            <w:sz w:val="18"/>
            <w:szCs w:val="18"/>
            <w:lang w:val="de-DE"/>
          </w:rPr>
          <w:t>https://udenfor.dk/projekt-lgbt-hjemloeshed/</w:t>
        </w:r>
      </w:hyperlink>
    </w:p>
  </w:footnote>
  <w:footnote w:id="168">
    <w:p w14:paraId="316C30F2" w14:textId="77777777" w:rsidR="00BC53D5" w:rsidRPr="00B76FAC" w:rsidRDefault="00BC53D5" w:rsidP="00F352F7">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lang w:val="de-DE"/>
        </w:rPr>
        <w:t xml:space="preserve"> Diakonie Frankfurt und Offenbach. (n.d.). </w:t>
      </w:r>
      <w:r w:rsidRPr="00B76FAC">
        <w:rPr>
          <w:rFonts w:ascii="Lato" w:hAnsi="Lato"/>
          <w:i/>
          <w:iCs/>
          <w:sz w:val="18"/>
          <w:szCs w:val="18"/>
          <w:lang w:val="de-DE"/>
        </w:rPr>
        <w:t>Hannah – Wohnen für Frauen |</w:t>
      </w:r>
      <w:r w:rsidRPr="00B76FAC">
        <w:rPr>
          <w:rFonts w:ascii="Lato" w:hAnsi="Lato"/>
          <w:sz w:val="18"/>
          <w:szCs w:val="18"/>
          <w:lang w:val="de-DE"/>
        </w:rPr>
        <w:t xml:space="preserve">. Www.diakonie-Frankfurt-Offenbach.de. Retrieved September 3, 2023, from </w:t>
      </w:r>
      <w:hyperlink r:id="rId165" w:history="1">
        <w:r w:rsidRPr="00B76FAC">
          <w:rPr>
            <w:rStyle w:val="Hyperlink"/>
            <w:rFonts w:ascii="Lato" w:hAnsi="Lato"/>
            <w:color w:val="2E74B5" w:themeColor="accent5" w:themeShade="BF"/>
            <w:sz w:val="18"/>
            <w:szCs w:val="18"/>
            <w:lang w:val="de-DE"/>
          </w:rPr>
          <w:t>https://www.diakonie-frankfurt-offenbach.de/ich-suche-hilfe/wohnen-arbeit/hannah-wohnen-fuer-frauen/</w:t>
        </w:r>
      </w:hyperlink>
    </w:p>
  </w:footnote>
  <w:footnote w:id="169">
    <w:p w14:paraId="1E9E6F8F"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cstheme="minorHAnsi"/>
          <w:sz w:val="18"/>
          <w:szCs w:val="18"/>
        </w:rPr>
        <w:t xml:space="preserve">FEANTSA. (2023). Pride: Homelessness in the LGBTIQ Community. In </w:t>
      </w:r>
      <w:r w:rsidRPr="00B76FAC">
        <w:rPr>
          <w:rFonts w:ascii="Lato" w:hAnsi="Lato" w:cstheme="minorHAnsi"/>
          <w:i/>
          <w:iCs/>
          <w:sz w:val="18"/>
          <w:szCs w:val="18"/>
        </w:rPr>
        <w:t>FEANTSA</w:t>
      </w:r>
      <w:r w:rsidRPr="00B76FAC">
        <w:rPr>
          <w:rFonts w:ascii="Lato" w:hAnsi="Lato" w:cstheme="minorHAnsi"/>
          <w:sz w:val="18"/>
          <w:szCs w:val="18"/>
        </w:rPr>
        <w:t xml:space="preserve">. Pg. 11 </w:t>
      </w:r>
      <w:hyperlink r:id="rId166" w:history="1">
        <w:r w:rsidRPr="00B76FAC">
          <w:rPr>
            <w:rFonts w:ascii="Lato" w:hAnsi="Lato" w:cstheme="minorHAnsi"/>
            <w:color w:val="0563C1" w:themeColor="hyperlink"/>
            <w:sz w:val="18"/>
            <w:szCs w:val="18"/>
            <w:u w:val="single"/>
          </w:rPr>
          <w:t>https://www.feantsa.org/public/user/Magazine/2023/Spring_magazine_2023/FEA_magazine_spring_2023.pdf</w:t>
        </w:r>
      </w:hyperlink>
    </w:p>
  </w:footnote>
  <w:footnote w:id="170">
    <w:p w14:paraId="2F8897BB" w14:textId="1067D7F5" w:rsidR="00BC53D5" w:rsidRPr="00B76FAC" w:rsidRDefault="00BC53D5">
      <w:pPr>
        <w:pStyle w:val="FootnoteText"/>
        <w:rPr>
          <w:rFonts w:ascii="Lato" w:hAnsi="Lato"/>
          <w:sz w:val="18"/>
          <w:szCs w:val="18"/>
          <w:lang w:val="en-US"/>
        </w:rPr>
      </w:pPr>
      <w:r w:rsidRPr="00B76FAC">
        <w:rPr>
          <w:rStyle w:val="FootnoteReference"/>
          <w:rFonts w:ascii="Lato" w:hAnsi="Lato"/>
          <w:sz w:val="18"/>
          <w:szCs w:val="18"/>
        </w:rPr>
        <w:footnoteRef/>
      </w:r>
      <w:r w:rsidRPr="00B76FAC">
        <w:rPr>
          <w:rFonts w:ascii="Lato" w:hAnsi="Lato"/>
          <w:sz w:val="18"/>
          <w:szCs w:val="18"/>
        </w:rPr>
        <w:t xml:space="preserve"> Ireland’s legislative measures to improve homelessness for marginalised groups are mentioned in the following Treaty Bodies documents: </w:t>
      </w:r>
      <w:r w:rsidRPr="00B76FAC">
        <w:rPr>
          <w:rFonts w:ascii="Lato" w:hAnsi="Lato"/>
          <w:sz w:val="18"/>
          <w:szCs w:val="18"/>
          <w:lang w:val="en-US"/>
        </w:rPr>
        <w:t>135</w:t>
      </w:r>
      <w:r w:rsidRPr="00B76FAC">
        <w:rPr>
          <w:rFonts w:ascii="Lato" w:hAnsi="Lato"/>
          <w:sz w:val="18"/>
          <w:szCs w:val="18"/>
          <w:vertAlign w:val="superscript"/>
          <w:lang w:val="en-US"/>
        </w:rPr>
        <w:t xml:space="preserve">th </w:t>
      </w:r>
      <w:r w:rsidRPr="00B76FAC">
        <w:rPr>
          <w:rFonts w:ascii="Lato" w:hAnsi="Lato"/>
          <w:sz w:val="18"/>
          <w:szCs w:val="18"/>
          <w:lang w:val="en-US"/>
        </w:rPr>
        <w:t>session, 14 January 2021, 5</w:t>
      </w:r>
      <w:r w:rsidRPr="00B76FAC">
        <w:rPr>
          <w:rFonts w:ascii="Lato" w:hAnsi="Lato"/>
          <w:sz w:val="18"/>
          <w:szCs w:val="18"/>
          <w:vertAlign w:val="superscript"/>
          <w:lang w:val="en-US"/>
        </w:rPr>
        <w:t xml:space="preserve">th </w:t>
      </w:r>
      <w:r w:rsidRPr="00B76FAC">
        <w:rPr>
          <w:rFonts w:ascii="Lato" w:hAnsi="Lato"/>
          <w:sz w:val="18"/>
          <w:szCs w:val="18"/>
          <w:lang w:val="en-US"/>
        </w:rPr>
        <w:t xml:space="preserve">review, </w:t>
      </w:r>
      <w:hyperlink r:id="rId167">
        <w:r w:rsidRPr="00B76FAC">
          <w:rPr>
            <w:rStyle w:val="Hyperlink"/>
            <w:rFonts w:ascii="Lato" w:hAnsi="Lato"/>
            <w:sz w:val="18"/>
            <w:szCs w:val="18"/>
            <w:lang w:val="en-US"/>
          </w:rPr>
          <w:t>CCPR/C/IRL/Q/5</w:t>
        </w:r>
      </w:hyperlink>
      <w:r w:rsidRPr="00B76FAC">
        <w:rPr>
          <w:rFonts w:ascii="Lato" w:hAnsi="Lato"/>
          <w:sz w:val="18"/>
          <w:szCs w:val="18"/>
        </w:rPr>
        <w:t xml:space="preserve">; </w:t>
      </w:r>
      <w:r w:rsidRPr="00B76FAC">
        <w:rPr>
          <w:rFonts w:ascii="Lato" w:hAnsi="Lato"/>
          <w:sz w:val="18"/>
          <w:szCs w:val="18"/>
          <w:lang w:val="en-US"/>
        </w:rPr>
        <w:t>93</w:t>
      </w:r>
      <w:r w:rsidRPr="00B76FAC">
        <w:rPr>
          <w:rFonts w:ascii="Lato" w:hAnsi="Lato"/>
          <w:sz w:val="18"/>
          <w:szCs w:val="18"/>
          <w:vertAlign w:val="superscript"/>
          <w:lang w:val="en-US"/>
        </w:rPr>
        <w:t xml:space="preserve">rd </w:t>
      </w:r>
      <w:r w:rsidRPr="00B76FAC">
        <w:rPr>
          <w:rFonts w:ascii="Lato" w:hAnsi="Lato"/>
          <w:sz w:val="18"/>
          <w:szCs w:val="18"/>
          <w:lang w:val="en-US"/>
        </w:rPr>
        <w:t>session, 18 November 2020, 5-6</w:t>
      </w:r>
      <w:r w:rsidRPr="00B76FAC">
        <w:rPr>
          <w:rFonts w:ascii="Lato" w:hAnsi="Lato"/>
          <w:sz w:val="18"/>
          <w:szCs w:val="18"/>
          <w:vertAlign w:val="superscript"/>
          <w:lang w:val="en-US"/>
        </w:rPr>
        <w:t xml:space="preserve">th </w:t>
      </w:r>
      <w:r w:rsidRPr="00B76FAC">
        <w:rPr>
          <w:rFonts w:ascii="Lato" w:hAnsi="Lato"/>
          <w:sz w:val="18"/>
          <w:szCs w:val="18"/>
          <w:lang w:val="en-US"/>
        </w:rPr>
        <w:t xml:space="preserve">review, </w:t>
      </w:r>
      <w:hyperlink r:id="rId168">
        <w:r w:rsidRPr="00B76FAC">
          <w:rPr>
            <w:rStyle w:val="Hyperlink"/>
            <w:rFonts w:ascii="Lato" w:hAnsi="Lato"/>
            <w:sz w:val="18"/>
            <w:szCs w:val="18"/>
            <w:lang w:val="en-US"/>
          </w:rPr>
          <w:t>CRC/C/IRL/QPR/5-6</w:t>
        </w:r>
      </w:hyperlink>
      <w:r w:rsidRPr="00B76FAC">
        <w:rPr>
          <w:rFonts w:ascii="Lato" w:hAnsi="Lato"/>
          <w:sz w:val="18"/>
          <w:szCs w:val="18"/>
          <w:lang w:val="en-US"/>
        </w:rPr>
        <w:t>; 135</w:t>
      </w:r>
      <w:r w:rsidRPr="00B76FAC">
        <w:rPr>
          <w:rFonts w:ascii="Lato" w:hAnsi="Lato"/>
          <w:sz w:val="18"/>
          <w:szCs w:val="18"/>
          <w:vertAlign w:val="superscript"/>
          <w:lang w:val="en-US"/>
        </w:rPr>
        <w:t xml:space="preserve">th </w:t>
      </w:r>
      <w:r w:rsidRPr="00B76FAC">
        <w:rPr>
          <w:rFonts w:ascii="Lato" w:hAnsi="Lato"/>
          <w:sz w:val="18"/>
          <w:szCs w:val="18"/>
          <w:lang w:val="en-US"/>
        </w:rPr>
        <w:t>session, 14 January 2021, 5</w:t>
      </w:r>
      <w:r w:rsidRPr="00B76FAC">
        <w:rPr>
          <w:rFonts w:ascii="Lato" w:hAnsi="Lato"/>
          <w:sz w:val="18"/>
          <w:szCs w:val="18"/>
          <w:vertAlign w:val="superscript"/>
          <w:lang w:val="en-US"/>
        </w:rPr>
        <w:t xml:space="preserve">th </w:t>
      </w:r>
      <w:r w:rsidRPr="00B76FAC">
        <w:rPr>
          <w:rFonts w:ascii="Lato" w:hAnsi="Lato"/>
          <w:sz w:val="18"/>
          <w:szCs w:val="18"/>
          <w:lang w:val="en-US"/>
        </w:rPr>
        <w:t xml:space="preserve">review, </w:t>
      </w:r>
      <w:hyperlink r:id="rId169">
        <w:r w:rsidRPr="00B76FAC">
          <w:rPr>
            <w:rStyle w:val="Hyperlink"/>
            <w:rFonts w:ascii="Lato" w:hAnsi="Lato"/>
            <w:sz w:val="18"/>
            <w:szCs w:val="18"/>
            <w:lang w:val="en-US"/>
          </w:rPr>
          <w:t>CCPR/C/IRL/Q/5</w:t>
        </w:r>
      </w:hyperlink>
      <w:r w:rsidRPr="00B76FAC">
        <w:rPr>
          <w:rFonts w:ascii="Lato" w:hAnsi="Lato"/>
          <w:sz w:val="18"/>
          <w:szCs w:val="18"/>
          <w:lang w:val="en-US"/>
        </w:rPr>
        <w:t>; 93</w:t>
      </w:r>
      <w:r w:rsidRPr="00B76FAC">
        <w:rPr>
          <w:rFonts w:ascii="Lato" w:hAnsi="Lato"/>
          <w:sz w:val="18"/>
          <w:szCs w:val="18"/>
          <w:vertAlign w:val="superscript"/>
          <w:lang w:val="en-US"/>
        </w:rPr>
        <w:t xml:space="preserve">rd </w:t>
      </w:r>
      <w:r w:rsidRPr="00B76FAC">
        <w:rPr>
          <w:rFonts w:ascii="Lato" w:hAnsi="Lato"/>
          <w:sz w:val="18"/>
          <w:szCs w:val="18"/>
          <w:lang w:val="en-US"/>
        </w:rPr>
        <w:t>session, 18 November 2020, 5-6</w:t>
      </w:r>
      <w:r w:rsidRPr="00B76FAC">
        <w:rPr>
          <w:rFonts w:ascii="Lato" w:hAnsi="Lato"/>
          <w:sz w:val="18"/>
          <w:szCs w:val="18"/>
          <w:vertAlign w:val="superscript"/>
          <w:lang w:val="en-US"/>
        </w:rPr>
        <w:t xml:space="preserve">th </w:t>
      </w:r>
      <w:r w:rsidRPr="00B76FAC">
        <w:rPr>
          <w:rFonts w:ascii="Lato" w:hAnsi="Lato"/>
          <w:sz w:val="18"/>
          <w:szCs w:val="18"/>
          <w:lang w:val="en-US"/>
        </w:rPr>
        <w:t xml:space="preserve">review, </w:t>
      </w:r>
      <w:hyperlink r:id="rId170">
        <w:r w:rsidRPr="00B76FAC">
          <w:rPr>
            <w:rStyle w:val="Hyperlink"/>
            <w:rFonts w:ascii="Lato" w:hAnsi="Lato"/>
            <w:sz w:val="18"/>
            <w:szCs w:val="18"/>
            <w:lang w:val="en-US"/>
          </w:rPr>
          <w:t>CRC/C/IRL/QPR/5-6</w:t>
        </w:r>
      </w:hyperlink>
      <w:r w:rsidRPr="00B76FAC">
        <w:rPr>
          <w:rFonts w:ascii="Lato" w:hAnsi="Lato"/>
          <w:sz w:val="18"/>
          <w:szCs w:val="18"/>
          <w:lang w:val="en-US"/>
        </w:rPr>
        <w:t>; 87</w:t>
      </w:r>
      <w:r w:rsidRPr="00B76FAC">
        <w:rPr>
          <w:rFonts w:ascii="Lato" w:hAnsi="Lato"/>
          <w:sz w:val="18"/>
          <w:szCs w:val="18"/>
          <w:vertAlign w:val="superscript"/>
          <w:lang w:val="en-US"/>
        </w:rPr>
        <w:t xml:space="preserve">th </w:t>
      </w:r>
      <w:r w:rsidRPr="00B76FAC">
        <w:rPr>
          <w:rFonts w:ascii="Lato" w:hAnsi="Lato"/>
          <w:sz w:val="18"/>
          <w:szCs w:val="18"/>
          <w:lang w:val="en-US"/>
        </w:rPr>
        <w:t>PSWG, 18 November 2020, 5</w:t>
      </w:r>
      <w:r w:rsidRPr="00B76FAC">
        <w:rPr>
          <w:rFonts w:ascii="Lato" w:hAnsi="Lato"/>
          <w:sz w:val="18"/>
          <w:szCs w:val="18"/>
          <w:vertAlign w:val="superscript"/>
          <w:lang w:val="en-US"/>
        </w:rPr>
        <w:t>th</w:t>
      </w:r>
      <w:r w:rsidRPr="00B76FAC">
        <w:rPr>
          <w:rFonts w:ascii="Lato" w:hAnsi="Lato"/>
          <w:sz w:val="18"/>
          <w:szCs w:val="18"/>
          <w:lang w:val="en-US"/>
        </w:rPr>
        <w:t>-6</w:t>
      </w:r>
      <w:r w:rsidRPr="00B76FAC">
        <w:rPr>
          <w:rFonts w:ascii="Lato" w:hAnsi="Lato"/>
          <w:sz w:val="18"/>
          <w:szCs w:val="18"/>
          <w:vertAlign w:val="superscript"/>
          <w:lang w:val="en-US"/>
        </w:rPr>
        <w:t xml:space="preserve">th </w:t>
      </w:r>
      <w:r w:rsidRPr="00B76FAC">
        <w:rPr>
          <w:rFonts w:ascii="Lato" w:hAnsi="Lato"/>
          <w:sz w:val="18"/>
          <w:szCs w:val="18"/>
          <w:lang w:val="en-US"/>
        </w:rPr>
        <w:t>review.</w:t>
      </w:r>
    </w:p>
  </w:footnote>
  <w:footnote w:id="171">
    <w:p w14:paraId="3F2A8AE7" w14:textId="77777777" w:rsidR="00BC53D5" w:rsidRPr="00B76FAC" w:rsidRDefault="00BC53D5" w:rsidP="00F352F7">
      <w:pPr>
        <w:pStyle w:val="FootnoteText"/>
        <w:rPr>
          <w:rFonts w:ascii="Lato" w:hAnsi="Lato"/>
          <w:color w:val="2E74B5" w:themeColor="accent5" w:themeShade="BF"/>
          <w:sz w:val="18"/>
          <w:szCs w:val="18"/>
        </w:rPr>
      </w:pPr>
      <w:r w:rsidRPr="00B76FAC">
        <w:rPr>
          <w:rStyle w:val="FootnoteReference"/>
          <w:rFonts w:ascii="Lato" w:hAnsi="Lato"/>
          <w:sz w:val="18"/>
          <w:szCs w:val="18"/>
        </w:rPr>
        <w:footnoteRef/>
      </w:r>
      <w:r w:rsidRPr="00B76FAC">
        <w:rPr>
          <w:rFonts w:ascii="Lato" w:hAnsi="Lato"/>
          <w:sz w:val="18"/>
          <w:szCs w:val="18"/>
        </w:rPr>
        <w:t xml:space="preserve"> Focus Ireland. (2018). </w:t>
      </w:r>
      <w:hyperlink r:id="rId171" w:history="1">
        <w:r w:rsidRPr="00B76FAC">
          <w:rPr>
            <w:rStyle w:val="Hyperlink"/>
            <w:rFonts w:ascii="Lato" w:hAnsi="Lato"/>
            <w:color w:val="2E74B5" w:themeColor="accent5" w:themeShade="BF"/>
            <w:sz w:val="18"/>
            <w:szCs w:val="18"/>
          </w:rPr>
          <w:t>https://www.focusireland.ie/</w:t>
        </w:r>
      </w:hyperlink>
    </w:p>
  </w:footnote>
  <w:footnote w:id="172">
    <w:p w14:paraId="5E1FA478" w14:textId="0F0FD15B" w:rsidR="00BC53D5" w:rsidRPr="00B76FAC" w:rsidRDefault="00BC53D5" w:rsidP="00F352F7">
      <w:pPr>
        <w:pStyle w:val="FootnoteText"/>
        <w:rPr>
          <w:rFonts w:ascii="Lato" w:hAnsi="Lato"/>
          <w:color w:val="2E74B5" w:themeColor="accent5" w:themeShade="BF"/>
          <w:sz w:val="18"/>
          <w:szCs w:val="18"/>
        </w:rPr>
      </w:pPr>
      <w:r w:rsidRPr="00B76FAC">
        <w:rPr>
          <w:rStyle w:val="FootnoteReference"/>
          <w:rFonts w:ascii="Lato" w:hAnsi="Lato"/>
          <w:sz w:val="18"/>
          <w:szCs w:val="18"/>
        </w:rPr>
        <w:footnoteRef/>
      </w:r>
      <w:r w:rsidRPr="00B76FAC">
        <w:rPr>
          <w:rFonts w:ascii="Lato" w:hAnsi="Lato"/>
          <w:sz w:val="18"/>
          <w:szCs w:val="18"/>
        </w:rPr>
        <w:t xml:space="preserve"> BeLonG To. Retrieved September 3, 2023, from </w:t>
      </w:r>
      <w:hyperlink r:id="rId172" w:history="1">
        <w:r w:rsidRPr="00B76FAC">
          <w:rPr>
            <w:rStyle w:val="Hyperlink"/>
            <w:rFonts w:ascii="Lato" w:hAnsi="Lato"/>
            <w:color w:val="2E74B5" w:themeColor="accent5" w:themeShade="BF"/>
            <w:sz w:val="18"/>
            <w:szCs w:val="18"/>
          </w:rPr>
          <w:t>https://www.belongto.org/</w:t>
        </w:r>
      </w:hyperlink>
    </w:p>
  </w:footnote>
  <w:footnote w:id="173">
    <w:p w14:paraId="7EF586A7"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Quilty, A., &amp; Norris, M. (2020). A Qualitative Study of LGBTQI+ Youth Homelessness in Ireland Executive Summary. In </w:t>
      </w:r>
      <w:r w:rsidRPr="00B76FAC">
        <w:rPr>
          <w:rFonts w:ascii="Lato" w:hAnsi="Lato"/>
          <w:i/>
          <w:iCs/>
          <w:sz w:val="18"/>
          <w:szCs w:val="18"/>
        </w:rPr>
        <w:t>Focus Ireland</w:t>
      </w:r>
      <w:r w:rsidRPr="00B76FAC">
        <w:rPr>
          <w:rFonts w:ascii="Lato" w:hAnsi="Lato"/>
          <w:sz w:val="18"/>
          <w:szCs w:val="18"/>
        </w:rPr>
        <w:t xml:space="preserve">. </w:t>
      </w:r>
      <w:hyperlink r:id="rId173" w:history="1">
        <w:r w:rsidRPr="00B76FAC">
          <w:rPr>
            <w:rStyle w:val="Hyperlink"/>
            <w:rFonts w:ascii="Lato" w:hAnsi="Lato"/>
            <w:color w:val="2E74B5" w:themeColor="accent5" w:themeShade="BF"/>
            <w:sz w:val="18"/>
            <w:szCs w:val="18"/>
          </w:rPr>
          <w:t>https://www.focusireland.ie/wp-content/uploads/2021/09/LGBTQI-Youth-Homelessness-Report_FINAL-VERSION.pdf</w:t>
        </w:r>
      </w:hyperlink>
    </w:p>
  </w:footnote>
  <w:footnote w:id="174">
    <w:p w14:paraId="2C3BA68F"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w:t>
      </w:r>
      <w:r w:rsidRPr="00B76FAC">
        <w:rPr>
          <w:rFonts w:ascii="Lato" w:hAnsi="Lato" w:cstheme="minorHAnsi"/>
          <w:sz w:val="18"/>
          <w:szCs w:val="18"/>
        </w:rPr>
        <w:t xml:space="preserve">FEANTSA. (2023). Pride: Homelessness in the LGBTIQ Community. In </w:t>
      </w:r>
      <w:r w:rsidRPr="00B76FAC">
        <w:rPr>
          <w:rFonts w:ascii="Lato" w:hAnsi="Lato" w:cstheme="minorHAnsi"/>
          <w:i/>
          <w:iCs/>
          <w:sz w:val="18"/>
          <w:szCs w:val="18"/>
        </w:rPr>
        <w:t>FEANTSA</w:t>
      </w:r>
      <w:r w:rsidRPr="00B76FAC">
        <w:rPr>
          <w:rFonts w:ascii="Lato" w:hAnsi="Lato" w:cstheme="minorHAnsi"/>
          <w:sz w:val="18"/>
          <w:szCs w:val="18"/>
        </w:rPr>
        <w:t xml:space="preserve">. Pg. 16 </w:t>
      </w:r>
      <w:hyperlink r:id="rId174" w:history="1">
        <w:r w:rsidRPr="00B76FAC">
          <w:rPr>
            <w:rFonts w:ascii="Lato" w:hAnsi="Lato" w:cstheme="minorHAnsi"/>
            <w:color w:val="0563C1" w:themeColor="hyperlink"/>
            <w:sz w:val="18"/>
            <w:szCs w:val="18"/>
            <w:u w:val="single"/>
          </w:rPr>
          <w:t>https://www.feantsa.org/public/user/Magazine/2023/Spring_magazine_2023/FEA_magazine_spring_2023.pdf</w:t>
        </w:r>
      </w:hyperlink>
    </w:p>
  </w:footnote>
  <w:footnote w:id="175">
    <w:p w14:paraId="07719963"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Government of Ireland. (2022). In </w:t>
      </w:r>
      <w:r w:rsidRPr="00B76FAC">
        <w:rPr>
          <w:rFonts w:ascii="Lato" w:hAnsi="Lato"/>
          <w:i/>
          <w:iCs/>
          <w:sz w:val="18"/>
          <w:szCs w:val="18"/>
        </w:rPr>
        <w:t>Youth Homelessness Strategy</w:t>
      </w:r>
      <w:r w:rsidRPr="00B76FAC">
        <w:rPr>
          <w:rFonts w:ascii="Lato" w:hAnsi="Lato"/>
          <w:sz w:val="18"/>
          <w:szCs w:val="18"/>
        </w:rPr>
        <w:t xml:space="preserve">. Government of Ireland. </w:t>
      </w:r>
      <w:hyperlink r:id="rId175" w:history="1">
        <w:r w:rsidRPr="00B76FAC">
          <w:rPr>
            <w:rStyle w:val="Hyperlink"/>
            <w:rFonts w:ascii="Lato" w:hAnsi="Lato"/>
            <w:color w:val="2E74B5" w:themeColor="accent5" w:themeShade="BF"/>
            <w:sz w:val="18"/>
            <w:szCs w:val="18"/>
          </w:rPr>
          <w:t>https://assets.gov.ie/239255/99c987df-4439-4bc2-8730-be614eae1e2e.pdf</w:t>
        </w:r>
      </w:hyperlink>
    </w:p>
  </w:footnote>
  <w:footnote w:id="176">
    <w:p w14:paraId="2C1631D9"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European Commission. (2021). </w:t>
      </w:r>
      <w:r w:rsidRPr="00B76FAC">
        <w:rPr>
          <w:rFonts w:ascii="Lato" w:hAnsi="Lato"/>
          <w:i/>
          <w:iCs/>
          <w:sz w:val="18"/>
          <w:szCs w:val="18"/>
        </w:rPr>
        <w:t>Lisbon Declaration on the European Platform on Combatting Homelessness</w:t>
      </w:r>
      <w:r w:rsidRPr="00B76FAC">
        <w:rPr>
          <w:rFonts w:ascii="Lato" w:hAnsi="Lato"/>
          <w:sz w:val="18"/>
          <w:szCs w:val="18"/>
        </w:rPr>
        <w:t xml:space="preserve">. </w:t>
      </w:r>
      <w:hyperlink r:id="rId176" w:history="1">
        <w:r w:rsidRPr="00B76FAC">
          <w:rPr>
            <w:rStyle w:val="Hyperlink"/>
            <w:rFonts w:ascii="Lato" w:hAnsi="Lato"/>
            <w:color w:val="2E74B5" w:themeColor="accent5" w:themeShade="BF"/>
            <w:sz w:val="18"/>
            <w:szCs w:val="18"/>
          </w:rPr>
          <w:t>https://ec.europa.eu/social/BlobServlet?docId=24120&amp;langId=en</w:t>
        </w:r>
      </w:hyperlink>
    </w:p>
  </w:footnote>
  <w:footnote w:id="177">
    <w:p w14:paraId="1FE7D136" w14:textId="4F7A90D8"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The Committee on the Elimination of Racial Discrimination mention the United States of America’s legislative measures and strategic plan entitled ‘Home, Together’, however the concluding observations by CERD highlight that a concerning number of state and local laws criminalize homelessness, with ‘a disproportionately high number of persons belonging to racial and ethnic minorities affected by homelessness, in particular people of African descent, indigenous peoples and persons of Hispanic/Latino origin, including women and lesbian, gay, bisexual and transgender persons.’ Taken from: </w:t>
      </w:r>
      <w:r w:rsidRPr="00B76FAC">
        <w:rPr>
          <w:rFonts w:ascii="Lato" w:hAnsi="Lato"/>
          <w:sz w:val="18"/>
          <w:szCs w:val="18"/>
          <w:lang w:val="en-US"/>
        </w:rPr>
        <w:t>Concluding Observations – 107</w:t>
      </w:r>
      <w:r w:rsidRPr="00B76FAC">
        <w:rPr>
          <w:rFonts w:ascii="Lato" w:hAnsi="Lato"/>
          <w:sz w:val="18"/>
          <w:szCs w:val="18"/>
          <w:vertAlign w:val="superscript"/>
          <w:lang w:val="en-US"/>
        </w:rPr>
        <w:t xml:space="preserve">th </w:t>
      </w:r>
      <w:r w:rsidRPr="00B76FAC">
        <w:rPr>
          <w:rFonts w:ascii="Lato" w:hAnsi="Lato"/>
          <w:sz w:val="18"/>
          <w:szCs w:val="18"/>
          <w:lang w:val="en-US"/>
        </w:rPr>
        <w:t>session, 21 September 2022, 10-12</w:t>
      </w:r>
      <w:r w:rsidRPr="00B76FAC">
        <w:rPr>
          <w:rFonts w:ascii="Lato" w:hAnsi="Lato"/>
          <w:sz w:val="18"/>
          <w:szCs w:val="18"/>
          <w:vertAlign w:val="superscript"/>
          <w:lang w:val="en-US"/>
        </w:rPr>
        <w:t xml:space="preserve">th </w:t>
      </w:r>
      <w:r w:rsidRPr="00B76FAC">
        <w:rPr>
          <w:rFonts w:ascii="Lato" w:hAnsi="Lato"/>
          <w:sz w:val="18"/>
          <w:szCs w:val="18"/>
          <w:lang w:val="en-US"/>
        </w:rPr>
        <w:t xml:space="preserve">review, </w:t>
      </w:r>
      <w:hyperlink r:id="rId177">
        <w:r w:rsidRPr="00B76FAC">
          <w:rPr>
            <w:rStyle w:val="Hyperlink"/>
            <w:rFonts w:ascii="Lato" w:hAnsi="Lato"/>
            <w:sz w:val="18"/>
            <w:szCs w:val="18"/>
            <w:lang w:val="en-US"/>
          </w:rPr>
          <w:t>CERD/C/USA/CO/10-12</w:t>
        </w:r>
      </w:hyperlink>
      <w:r w:rsidRPr="00B76FAC">
        <w:rPr>
          <w:rFonts w:ascii="Lato" w:hAnsi="Lato"/>
          <w:sz w:val="18"/>
          <w:szCs w:val="18"/>
        </w:rPr>
        <w:t xml:space="preserve">. </w:t>
      </w:r>
    </w:p>
  </w:footnote>
  <w:footnote w:id="178">
    <w:p w14:paraId="6A83253A"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Family and Youth Services Bureau: An Office of the Administration for Children &amp; Families. (2018). </w:t>
      </w:r>
      <w:r w:rsidRPr="00B76FAC">
        <w:rPr>
          <w:rFonts w:ascii="Lato" w:hAnsi="Lato"/>
          <w:i/>
          <w:iCs/>
          <w:sz w:val="18"/>
          <w:szCs w:val="18"/>
        </w:rPr>
        <w:t>Runaway and Homeless Youth Program Authorizing Legislation</w:t>
      </w:r>
      <w:r w:rsidRPr="00B76FAC">
        <w:rPr>
          <w:rFonts w:ascii="Lato" w:hAnsi="Lato"/>
          <w:sz w:val="18"/>
          <w:szCs w:val="18"/>
        </w:rPr>
        <w:t xml:space="preserve">. Www.acf.hhs.gov. Retrieved September 3, 2023, from </w:t>
      </w:r>
      <w:hyperlink r:id="rId178" w:history="1">
        <w:r w:rsidRPr="00B76FAC">
          <w:rPr>
            <w:rStyle w:val="Hyperlink"/>
            <w:rFonts w:ascii="Lato" w:hAnsi="Lato"/>
            <w:color w:val="2E74B5" w:themeColor="accent5" w:themeShade="BF"/>
            <w:sz w:val="18"/>
            <w:szCs w:val="18"/>
          </w:rPr>
          <w:t>https://www.acf.hhs.gov/fysb/law-regulation/runaway-and-homeless-youth-program-authorizing-legislation</w:t>
        </w:r>
      </w:hyperlink>
    </w:p>
  </w:footnote>
  <w:footnote w:id="179">
    <w:p w14:paraId="44380247" w14:textId="07D30A42"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Chris Johnson, HUD Makes Rule Final Barring Anti-Trans Bias in Homeless Shelters, WASH. BLADE (Sept. 20, 2016, 1:09 PM),</w:t>
      </w:r>
      <w:r w:rsidRPr="00B76FAC">
        <w:rPr>
          <w:rFonts w:ascii="Lato" w:hAnsi="Lato"/>
          <w:color w:val="2E74B5" w:themeColor="accent5" w:themeShade="BF"/>
          <w:sz w:val="18"/>
          <w:szCs w:val="18"/>
        </w:rPr>
        <w:t xml:space="preserve"> </w:t>
      </w:r>
      <w:hyperlink r:id="rId179" w:history="1">
        <w:r w:rsidRPr="00B76FAC">
          <w:rPr>
            <w:rStyle w:val="Hyperlink"/>
            <w:rFonts w:ascii="Lato" w:hAnsi="Lato"/>
            <w:color w:val="2E74B5" w:themeColor="accent5" w:themeShade="BF"/>
            <w:sz w:val="18"/>
            <w:szCs w:val="18"/>
          </w:rPr>
          <w:t>https://www.washingtonblade.com/2016/09/20/hud-finalizes-rulebarring-anti-trans-discrimination-in-homeless-shelters/</w:t>
        </w:r>
      </w:hyperlink>
    </w:p>
  </w:footnote>
  <w:footnote w:id="180">
    <w:p w14:paraId="33BC4053" w14:textId="77777777" w:rsidR="00BC53D5" w:rsidRPr="00B76FAC" w:rsidRDefault="00BC53D5" w:rsidP="00F352F7">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Aboulafia, A. (2019). The New John Lawrence: An Analysis of the Criminalization of LGBTQ Homelessness. </w:t>
      </w:r>
      <w:r w:rsidRPr="00B76FAC">
        <w:rPr>
          <w:rFonts w:ascii="Lato" w:hAnsi="Lato"/>
          <w:i/>
          <w:iCs/>
          <w:sz w:val="18"/>
          <w:szCs w:val="18"/>
        </w:rPr>
        <w:t>Connecticut Public Interest Law Journal</w:t>
      </w:r>
      <w:r w:rsidRPr="00B76FAC">
        <w:rPr>
          <w:rFonts w:ascii="Lato" w:hAnsi="Lato"/>
          <w:sz w:val="18"/>
          <w:szCs w:val="18"/>
        </w:rPr>
        <w:t xml:space="preserve">, </w:t>
      </w:r>
      <w:r w:rsidRPr="00B76FAC">
        <w:rPr>
          <w:rFonts w:ascii="Lato" w:hAnsi="Lato"/>
          <w:i/>
          <w:iCs/>
          <w:sz w:val="18"/>
          <w:szCs w:val="18"/>
        </w:rPr>
        <w:t>19</w:t>
      </w:r>
      <w:r w:rsidRPr="00B76FAC">
        <w:rPr>
          <w:rFonts w:ascii="Lato" w:hAnsi="Lato"/>
          <w:sz w:val="18"/>
          <w:szCs w:val="18"/>
        </w:rPr>
        <w:t xml:space="preserve">(1), 199–219. Pg. 208. </w:t>
      </w:r>
      <w:hyperlink r:id="rId180" w:history="1">
        <w:r w:rsidRPr="00B76FAC">
          <w:rPr>
            <w:rStyle w:val="Hyperlink"/>
            <w:rFonts w:ascii="Lato" w:hAnsi="Lato"/>
            <w:sz w:val="18"/>
            <w:szCs w:val="18"/>
          </w:rPr>
          <w:t>https://cpilj.law.uconn.edu/wp-content/uploads/sites/2515/2020/03/CPILJ-19.1-The-New-John-Lawrence-An-Analysis-of-the-Criminalization-of-LGBTQ-Homelessness-by-Ariana-H.-Aboulafia.pdf</w:t>
        </w:r>
      </w:hyperlink>
    </w:p>
  </w:footnote>
  <w:footnote w:id="181">
    <w:p w14:paraId="3F6EE46D" w14:textId="4E5D6AE8" w:rsidR="00BC53D5" w:rsidRPr="00B76FAC" w:rsidRDefault="00BC53D5">
      <w:pPr>
        <w:pStyle w:val="FootnoteText"/>
        <w:rPr>
          <w:rFonts w:ascii="Lato" w:hAnsi="Lato"/>
          <w:sz w:val="18"/>
          <w:szCs w:val="18"/>
          <w:lang w:val="de-DE"/>
        </w:rPr>
      </w:pPr>
      <w:r w:rsidRPr="00B76FAC">
        <w:rPr>
          <w:rStyle w:val="FootnoteReference"/>
          <w:rFonts w:ascii="Lato" w:hAnsi="Lato"/>
          <w:sz w:val="18"/>
          <w:szCs w:val="18"/>
        </w:rPr>
        <w:footnoteRef/>
      </w:r>
      <w:r w:rsidRPr="00B76FAC">
        <w:rPr>
          <w:rFonts w:ascii="Lato" w:hAnsi="Lato"/>
          <w:sz w:val="18"/>
          <w:szCs w:val="18"/>
        </w:rPr>
        <w:t xml:space="preserve"> Karsay, D. (2021). </w:t>
      </w:r>
      <w:r w:rsidRPr="00B76FAC">
        <w:rPr>
          <w:rFonts w:ascii="Lato" w:hAnsi="Lato"/>
          <w:i/>
          <w:iCs/>
          <w:sz w:val="18"/>
          <w:szCs w:val="18"/>
        </w:rPr>
        <w:t>Trans &amp; Poverty. Poverty and economic insecurity in trans communities in the EU</w:t>
      </w:r>
      <w:r w:rsidRPr="00B76FAC">
        <w:rPr>
          <w:rFonts w:ascii="Lato" w:hAnsi="Lato"/>
          <w:sz w:val="18"/>
          <w:szCs w:val="18"/>
        </w:rPr>
        <w:t xml:space="preserve">. </w:t>
      </w:r>
      <w:r w:rsidRPr="00B76FAC">
        <w:rPr>
          <w:rFonts w:ascii="Lato" w:hAnsi="Lato"/>
          <w:sz w:val="18"/>
          <w:szCs w:val="18"/>
          <w:lang w:val="de-DE"/>
        </w:rPr>
        <w:t xml:space="preserve">TGEU. Pg. 12. </w:t>
      </w:r>
      <w:hyperlink r:id="rId181" w:history="1">
        <w:r w:rsidRPr="00B76FAC">
          <w:rPr>
            <w:rStyle w:val="Hyperlink"/>
            <w:rFonts w:ascii="Lato" w:hAnsi="Lato"/>
            <w:sz w:val="18"/>
            <w:szCs w:val="18"/>
            <w:lang w:val="de-DE"/>
          </w:rPr>
          <w:t>https://tgeu.org/wp-content/uploads/2021/11/TGEU-trans-poverty-report-2021.pdf</w:t>
        </w:r>
      </w:hyperlink>
      <w:r w:rsidRPr="00B76FAC">
        <w:rPr>
          <w:rStyle w:val="Hyperlink"/>
          <w:rFonts w:ascii="Lato" w:hAnsi="Lato"/>
          <w:sz w:val="18"/>
          <w:szCs w:val="18"/>
          <w:lang w:val="de-DE"/>
        </w:rPr>
        <w:t xml:space="preserve"> </w:t>
      </w:r>
    </w:p>
  </w:footnote>
  <w:footnote w:id="182">
    <w:p w14:paraId="7752E329" w14:textId="3F9BA134"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Ibid. Pg. 13.</w:t>
      </w:r>
    </w:p>
  </w:footnote>
  <w:footnote w:id="183">
    <w:p w14:paraId="67AF60A0" w14:textId="6E4CA50C" w:rsidR="00BC53D5" w:rsidRPr="00B76FAC" w:rsidRDefault="00BC53D5">
      <w:pPr>
        <w:pStyle w:val="FootnoteText"/>
        <w:rPr>
          <w:rFonts w:ascii="Lato" w:hAnsi="Lato"/>
          <w:sz w:val="18"/>
          <w:szCs w:val="18"/>
        </w:rPr>
      </w:pPr>
      <w:r w:rsidRPr="00B76FAC">
        <w:rPr>
          <w:rStyle w:val="FootnoteReference"/>
          <w:rFonts w:ascii="Lato" w:hAnsi="Lato"/>
          <w:sz w:val="18"/>
          <w:szCs w:val="18"/>
        </w:rPr>
        <w:footnoteRef/>
      </w:r>
      <w:r w:rsidRPr="00B76FAC">
        <w:rPr>
          <w:rFonts w:ascii="Lato" w:hAnsi="Lato"/>
          <w:sz w:val="18"/>
          <w:szCs w:val="18"/>
        </w:rPr>
        <w:t xml:space="preserve"> UN Human Rights Council (2019) Protection against violence and discrimination based on sexual orientation and gender identity, 17 July 2019, A/74/181. Para 35. Available: </w:t>
      </w:r>
      <w:hyperlink r:id="rId182" w:history="1">
        <w:r w:rsidRPr="00B76FAC">
          <w:rPr>
            <w:rStyle w:val="Hyperlink"/>
            <w:rFonts w:ascii="Lato" w:hAnsi="Lato"/>
            <w:sz w:val="18"/>
            <w:szCs w:val="18"/>
          </w:rPr>
          <w:t>https://undocs.org/A/74/181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7427"/>
    <w:multiLevelType w:val="hybridMultilevel"/>
    <w:tmpl w:val="9282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A74A2"/>
    <w:multiLevelType w:val="hybridMultilevel"/>
    <w:tmpl w:val="989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26688"/>
    <w:multiLevelType w:val="hybridMultilevel"/>
    <w:tmpl w:val="61EE55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53677ED"/>
    <w:multiLevelType w:val="hybridMultilevel"/>
    <w:tmpl w:val="1824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76B95"/>
    <w:multiLevelType w:val="hybridMultilevel"/>
    <w:tmpl w:val="2582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B7AAC"/>
    <w:multiLevelType w:val="hybridMultilevel"/>
    <w:tmpl w:val="E956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11FD2"/>
    <w:multiLevelType w:val="hybridMultilevel"/>
    <w:tmpl w:val="E542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526DE"/>
    <w:multiLevelType w:val="hybridMultilevel"/>
    <w:tmpl w:val="99CE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F73F8"/>
    <w:multiLevelType w:val="hybridMultilevel"/>
    <w:tmpl w:val="8FEA8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796148">
    <w:abstractNumId w:val="3"/>
  </w:num>
  <w:num w:numId="2" w16cid:durableId="760223188">
    <w:abstractNumId w:val="1"/>
  </w:num>
  <w:num w:numId="3" w16cid:durableId="1438982789">
    <w:abstractNumId w:val="5"/>
  </w:num>
  <w:num w:numId="4" w16cid:durableId="148251875">
    <w:abstractNumId w:val="6"/>
  </w:num>
  <w:num w:numId="5" w16cid:durableId="1697927699">
    <w:abstractNumId w:val="7"/>
  </w:num>
  <w:num w:numId="6" w16cid:durableId="1633557237">
    <w:abstractNumId w:val="2"/>
  </w:num>
  <w:num w:numId="7" w16cid:durableId="1212621488">
    <w:abstractNumId w:val="0"/>
  </w:num>
  <w:num w:numId="8" w16cid:durableId="1051537019">
    <w:abstractNumId w:val="4"/>
  </w:num>
  <w:num w:numId="9" w16cid:durableId="1805391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A5"/>
    <w:rsid w:val="000057BC"/>
    <w:rsid w:val="00010908"/>
    <w:rsid w:val="00014425"/>
    <w:rsid w:val="000161FA"/>
    <w:rsid w:val="000417BA"/>
    <w:rsid w:val="00043C97"/>
    <w:rsid w:val="00050592"/>
    <w:rsid w:val="000505AB"/>
    <w:rsid w:val="00050A2E"/>
    <w:rsid w:val="00052520"/>
    <w:rsid w:val="00052835"/>
    <w:rsid w:val="0005652F"/>
    <w:rsid w:val="0007207F"/>
    <w:rsid w:val="000750B7"/>
    <w:rsid w:val="00076829"/>
    <w:rsid w:val="00086032"/>
    <w:rsid w:val="000901BD"/>
    <w:rsid w:val="000927E3"/>
    <w:rsid w:val="00094EA7"/>
    <w:rsid w:val="000A1F5C"/>
    <w:rsid w:val="000A4C82"/>
    <w:rsid w:val="000A7DBB"/>
    <w:rsid w:val="000B4084"/>
    <w:rsid w:val="000C1621"/>
    <w:rsid w:val="000C16BC"/>
    <w:rsid w:val="000C28C1"/>
    <w:rsid w:val="000C381A"/>
    <w:rsid w:val="000C481E"/>
    <w:rsid w:val="000D2E42"/>
    <w:rsid w:val="000D6798"/>
    <w:rsid w:val="000D7573"/>
    <w:rsid w:val="000E04C2"/>
    <w:rsid w:val="000E0CA0"/>
    <w:rsid w:val="000F158B"/>
    <w:rsid w:val="000F743F"/>
    <w:rsid w:val="000F7AF4"/>
    <w:rsid w:val="000F7D6F"/>
    <w:rsid w:val="00101FD3"/>
    <w:rsid w:val="00104970"/>
    <w:rsid w:val="001101E7"/>
    <w:rsid w:val="001128F2"/>
    <w:rsid w:val="00115826"/>
    <w:rsid w:val="001257BA"/>
    <w:rsid w:val="00127AAE"/>
    <w:rsid w:val="00130235"/>
    <w:rsid w:val="00130F3C"/>
    <w:rsid w:val="0013377C"/>
    <w:rsid w:val="00136473"/>
    <w:rsid w:val="001405B9"/>
    <w:rsid w:val="0014632E"/>
    <w:rsid w:val="0014707E"/>
    <w:rsid w:val="00151456"/>
    <w:rsid w:val="00151D13"/>
    <w:rsid w:val="00152F62"/>
    <w:rsid w:val="0015500F"/>
    <w:rsid w:val="00157754"/>
    <w:rsid w:val="00162024"/>
    <w:rsid w:val="0017055C"/>
    <w:rsid w:val="00172AA1"/>
    <w:rsid w:val="00175A07"/>
    <w:rsid w:val="00176206"/>
    <w:rsid w:val="00184E3C"/>
    <w:rsid w:val="001922F0"/>
    <w:rsid w:val="0019481D"/>
    <w:rsid w:val="00196134"/>
    <w:rsid w:val="001A036F"/>
    <w:rsid w:val="001A0AF5"/>
    <w:rsid w:val="001A1A50"/>
    <w:rsid w:val="001A35FF"/>
    <w:rsid w:val="001A49FC"/>
    <w:rsid w:val="001B1E03"/>
    <w:rsid w:val="001B3B89"/>
    <w:rsid w:val="001C0EBD"/>
    <w:rsid w:val="001C250D"/>
    <w:rsid w:val="001D495C"/>
    <w:rsid w:val="001D58BD"/>
    <w:rsid w:val="001E0326"/>
    <w:rsid w:val="001E66F5"/>
    <w:rsid w:val="001E7FA6"/>
    <w:rsid w:val="00203EA7"/>
    <w:rsid w:val="0020493D"/>
    <w:rsid w:val="00206BE7"/>
    <w:rsid w:val="002105BB"/>
    <w:rsid w:val="00210E85"/>
    <w:rsid w:val="00212095"/>
    <w:rsid w:val="00215D88"/>
    <w:rsid w:val="00217D6A"/>
    <w:rsid w:val="00222309"/>
    <w:rsid w:val="0022283E"/>
    <w:rsid w:val="00226E58"/>
    <w:rsid w:val="0024108E"/>
    <w:rsid w:val="00242539"/>
    <w:rsid w:val="0024653D"/>
    <w:rsid w:val="002517A7"/>
    <w:rsid w:val="00251A4D"/>
    <w:rsid w:val="002559AF"/>
    <w:rsid w:val="002562A4"/>
    <w:rsid w:val="002622E7"/>
    <w:rsid w:val="00262524"/>
    <w:rsid w:val="00262EEE"/>
    <w:rsid w:val="0026485C"/>
    <w:rsid w:val="00266C94"/>
    <w:rsid w:val="00266DC1"/>
    <w:rsid w:val="00267D26"/>
    <w:rsid w:val="00272180"/>
    <w:rsid w:val="002742DE"/>
    <w:rsid w:val="00282492"/>
    <w:rsid w:val="00285ADB"/>
    <w:rsid w:val="002933C0"/>
    <w:rsid w:val="002A1437"/>
    <w:rsid w:val="002A7961"/>
    <w:rsid w:val="002B2464"/>
    <w:rsid w:val="002B56A6"/>
    <w:rsid w:val="002B7BC5"/>
    <w:rsid w:val="002B7E7F"/>
    <w:rsid w:val="002C0458"/>
    <w:rsid w:val="002C0B18"/>
    <w:rsid w:val="002D5F79"/>
    <w:rsid w:val="002D6D62"/>
    <w:rsid w:val="002E0DB5"/>
    <w:rsid w:val="002E1075"/>
    <w:rsid w:val="002E2321"/>
    <w:rsid w:val="002E37F1"/>
    <w:rsid w:val="002F03A1"/>
    <w:rsid w:val="002F08C6"/>
    <w:rsid w:val="002F1CE4"/>
    <w:rsid w:val="002F2AAC"/>
    <w:rsid w:val="00302923"/>
    <w:rsid w:val="003031E2"/>
    <w:rsid w:val="00305844"/>
    <w:rsid w:val="00307743"/>
    <w:rsid w:val="00316402"/>
    <w:rsid w:val="003170AF"/>
    <w:rsid w:val="003171F6"/>
    <w:rsid w:val="0032441A"/>
    <w:rsid w:val="00324BFC"/>
    <w:rsid w:val="0032586F"/>
    <w:rsid w:val="003271B8"/>
    <w:rsid w:val="0033119D"/>
    <w:rsid w:val="003315A9"/>
    <w:rsid w:val="00336180"/>
    <w:rsid w:val="00340108"/>
    <w:rsid w:val="003432F4"/>
    <w:rsid w:val="00346FEF"/>
    <w:rsid w:val="00357F87"/>
    <w:rsid w:val="003679B7"/>
    <w:rsid w:val="00373E2F"/>
    <w:rsid w:val="00376C05"/>
    <w:rsid w:val="00383E31"/>
    <w:rsid w:val="00385B6F"/>
    <w:rsid w:val="00387C2A"/>
    <w:rsid w:val="00393678"/>
    <w:rsid w:val="003A0847"/>
    <w:rsid w:val="003A3BC4"/>
    <w:rsid w:val="003A720B"/>
    <w:rsid w:val="003B5B92"/>
    <w:rsid w:val="003B6999"/>
    <w:rsid w:val="003B7DF2"/>
    <w:rsid w:val="003C04B5"/>
    <w:rsid w:val="003C2720"/>
    <w:rsid w:val="003C2C11"/>
    <w:rsid w:val="003D0BFF"/>
    <w:rsid w:val="003D259E"/>
    <w:rsid w:val="003D7239"/>
    <w:rsid w:val="003E070E"/>
    <w:rsid w:val="003E1673"/>
    <w:rsid w:val="003E2B73"/>
    <w:rsid w:val="003E2E94"/>
    <w:rsid w:val="003E491F"/>
    <w:rsid w:val="003F4590"/>
    <w:rsid w:val="003F5A66"/>
    <w:rsid w:val="00402EB1"/>
    <w:rsid w:val="0040772F"/>
    <w:rsid w:val="004147D7"/>
    <w:rsid w:val="004147EB"/>
    <w:rsid w:val="00417F84"/>
    <w:rsid w:val="00426C00"/>
    <w:rsid w:val="004321D4"/>
    <w:rsid w:val="004325FE"/>
    <w:rsid w:val="0043299B"/>
    <w:rsid w:val="00437453"/>
    <w:rsid w:val="00437D66"/>
    <w:rsid w:val="004409DC"/>
    <w:rsid w:val="00446D9C"/>
    <w:rsid w:val="0045063A"/>
    <w:rsid w:val="00453163"/>
    <w:rsid w:val="00454547"/>
    <w:rsid w:val="00455697"/>
    <w:rsid w:val="0046212D"/>
    <w:rsid w:val="00474BFA"/>
    <w:rsid w:val="00474C9D"/>
    <w:rsid w:val="004907C5"/>
    <w:rsid w:val="0049147F"/>
    <w:rsid w:val="004959C2"/>
    <w:rsid w:val="004978C6"/>
    <w:rsid w:val="004A52B7"/>
    <w:rsid w:val="004B2EBD"/>
    <w:rsid w:val="004B4A3C"/>
    <w:rsid w:val="004B6477"/>
    <w:rsid w:val="004C113C"/>
    <w:rsid w:val="004C54C8"/>
    <w:rsid w:val="004C7331"/>
    <w:rsid w:val="004D110A"/>
    <w:rsid w:val="004E2D60"/>
    <w:rsid w:val="004E5149"/>
    <w:rsid w:val="004F1971"/>
    <w:rsid w:val="004F5DA8"/>
    <w:rsid w:val="00500E5A"/>
    <w:rsid w:val="00505427"/>
    <w:rsid w:val="005065D6"/>
    <w:rsid w:val="00507B67"/>
    <w:rsid w:val="005168EF"/>
    <w:rsid w:val="00520E9D"/>
    <w:rsid w:val="0052494C"/>
    <w:rsid w:val="00526A7F"/>
    <w:rsid w:val="00530AAD"/>
    <w:rsid w:val="005320C1"/>
    <w:rsid w:val="00540441"/>
    <w:rsid w:val="005435DD"/>
    <w:rsid w:val="00544DF9"/>
    <w:rsid w:val="0055439D"/>
    <w:rsid w:val="005560ED"/>
    <w:rsid w:val="00562218"/>
    <w:rsid w:val="00566478"/>
    <w:rsid w:val="0057085E"/>
    <w:rsid w:val="00585D6E"/>
    <w:rsid w:val="0058716D"/>
    <w:rsid w:val="005900AF"/>
    <w:rsid w:val="00590BD7"/>
    <w:rsid w:val="00591281"/>
    <w:rsid w:val="005912F7"/>
    <w:rsid w:val="00591376"/>
    <w:rsid w:val="005918BC"/>
    <w:rsid w:val="005927E3"/>
    <w:rsid w:val="00594768"/>
    <w:rsid w:val="0059688F"/>
    <w:rsid w:val="00596D79"/>
    <w:rsid w:val="005A1151"/>
    <w:rsid w:val="005A5434"/>
    <w:rsid w:val="005B12B5"/>
    <w:rsid w:val="005B1FA4"/>
    <w:rsid w:val="005B3D39"/>
    <w:rsid w:val="005B46D6"/>
    <w:rsid w:val="005B5D38"/>
    <w:rsid w:val="005C39FA"/>
    <w:rsid w:val="005C6299"/>
    <w:rsid w:val="005D3E9C"/>
    <w:rsid w:val="005F06F5"/>
    <w:rsid w:val="005F245A"/>
    <w:rsid w:val="005F6BF7"/>
    <w:rsid w:val="005F718C"/>
    <w:rsid w:val="005F7730"/>
    <w:rsid w:val="00603075"/>
    <w:rsid w:val="00603D3A"/>
    <w:rsid w:val="006102D4"/>
    <w:rsid w:val="006112F6"/>
    <w:rsid w:val="00611664"/>
    <w:rsid w:val="00617AC4"/>
    <w:rsid w:val="00617F7C"/>
    <w:rsid w:val="00620EC3"/>
    <w:rsid w:val="00623B3A"/>
    <w:rsid w:val="00625A05"/>
    <w:rsid w:val="0062634A"/>
    <w:rsid w:val="00652007"/>
    <w:rsid w:val="006551F8"/>
    <w:rsid w:val="00663A73"/>
    <w:rsid w:val="00663E23"/>
    <w:rsid w:val="0066573C"/>
    <w:rsid w:val="0067054E"/>
    <w:rsid w:val="0067235D"/>
    <w:rsid w:val="00672DBD"/>
    <w:rsid w:val="0067397E"/>
    <w:rsid w:val="00675E2A"/>
    <w:rsid w:val="00676A0B"/>
    <w:rsid w:val="0067758F"/>
    <w:rsid w:val="00677C71"/>
    <w:rsid w:val="00682184"/>
    <w:rsid w:val="0068242E"/>
    <w:rsid w:val="00685655"/>
    <w:rsid w:val="00685993"/>
    <w:rsid w:val="00685CB4"/>
    <w:rsid w:val="00687942"/>
    <w:rsid w:val="00692785"/>
    <w:rsid w:val="0069461E"/>
    <w:rsid w:val="00694BB5"/>
    <w:rsid w:val="00695D95"/>
    <w:rsid w:val="006A5418"/>
    <w:rsid w:val="006A7820"/>
    <w:rsid w:val="006B1844"/>
    <w:rsid w:val="006C123E"/>
    <w:rsid w:val="006C187B"/>
    <w:rsid w:val="006C2689"/>
    <w:rsid w:val="006C38FC"/>
    <w:rsid w:val="006D02F1"/>
    <w:rsid w:val="006D41CC"/>
    <w:rsid w:val="006D4957"/>
    <w:rsid w:val="006D563D"/>
    <w:rsid w:val="006D702E"/>
    <w:rsid w:val="006D7E3E"/>
    <w:rsid w:val="006E217A"/>
    <w:rsid w:val="006E3DA0"/>
    <w:rsid w:val="006E46ED"/>
    <w:rsid w:val="006E638F"/>
    <w:rsid w:val="006E6778"/>
    <w:rsid w:val="006F4A2C"/>
    <w:rsid w:val="006F656D"/>
    <w:rsid w:val="007019EB"/>
    <w:rsid w:val="0070214F"/>
    <w:rsid w:val="0071137E"/>
    <w:rsid w:val="007116B7"/>
    <w:rsid w:val="0071671E"/>
    <w:rsid w:val="0071794C"/>
    <w:rsid w:val="00717DE1"/>
    <w:rsid w:val="00721B3E"/>
    <w:rsid w:val="0072277A"/>
    <w:rsid w:val="007258C0"/>
    <w:rsid w:val="0073234B"/>
    <w:rsid w:val="00734721"/>
    <w:rsid w:val="00740A2F"/>
    <w:rsid w:val="007424B0"/>
    <w:rsid w:val="00742A9D"/>
    <w:rsid w:val="007430E6"/>
    <w:rsid w:val="00743A12"/>
    <w:rsid w:val="00750357"/>
    <w:rsid w:val="00751F4E"/>
    <w:rsid w:val="007538D8"/>
    <w:rsid w:val="007603FF"/>
    <w:rsid w:val="00760A6A"/>
    <w:rsid w:val="00761B72"/>
    <w:rsid w:val="00764969"/>
    <w:rsid w:val="00766A6B"/>
    <w:rsid w:val="00770B46"/>
    <w:rsid w:val="007868A5"/>
    <w:rsid w:val="00786D01"/>
    <w:rsid w:val="007877A8"/>
    <w:rsid w:val="0079066C"/>
    <w:rsid w:val="007913AE"/>
    <w:rsid w:val="007936FB"/>
    <w:rsid w:val="007A129B"/>
    <w:rsid w:val="007A1E8A"/>
    <w:rsid w:val="007A71AE"/>
    <w:rsid w:val="007B1591"/>
    <w:rsid w:val="007B2044"/>
    <w:rsid w:val="007B613A"/>
    <w:rsid w:val="007B647A"/>
    <w:rsid w:val="007B6B8B"/>
    <w:rsid w:val="007B741F"/>
    <w:rsid w:val="007C57A8"/>
    <w:rsid w:val="007D0A5D"/>
    <w:rsid w:val="007D4E65"/>
    <w:rsid w:val="007D722A"/>
    <w:rsid w:val="007D74C0"/>
    <w:rsid w:val="00801292"/>
    <w:rsid w:val="008014B2"/>
    <w:rsid w:val="00801670"/>
    <w:rsid w:val="008022B9"/>
    <w:rsid w:val="00805957"/>
    <w:rsid w:val="008073E1"/>
    <w:rsid w:val="00810474"/>
    <w:rsid w:val="008113F6"/>
    <w:rsid w:val="008156CF"/>
    <w:rsid w:val="0081612B"/>
    <w:rsid w:val="00823963"/>
    <w:rsid w:val="00840541"/>
    <w:rsid w:val="008446D3"/>
    <w:rsid w:val="00845016"/>
    <w:rsid w:val="00852024"/>
    <w:rsid w:val="008536A2"/>
    <w:rsid w:val="00854C63"/>
    <w:rsid w:val="00857B3E"/>
    <w:rsid w:val="00860185"/>
    <w:rsid w:val="00861CCC"/>
    <w:rsid w:val="00883BD7"/>
    <w:rsid w:val="008840E1"/>
    <w:rsid w:val="00884421"/>
    <w:rsid w:val="00896841"/>
    <w:rsid w:val="008974D1"/>
    <w:rsid w:val="008A461C"/>
    <w:rsid w:val="008A65D3"/>
    <w:rsid w:val="008B090D"/>
    <w:rsid w:val="008B0CC5"/>
    <w:rsid w:val="008B456D"/>
    <w:rsid w:val="008B55E5"/>
    <w:rsid w:val="008B6CB5"/>
    <w:rsid w:val="008B71EE"/>
    <w:rsid w:val="008C034D"/>
    <w:rsid w:val="008C40ED"/>
    <w:rsid w:val="008C5942"/>
    <w:rsid w:val="008C64D4"/>
    <w:rsid w:val="008C6C70"/>
    <w:rsid w:val="008D58D8"/>
    <w:rsid w:val="008E302A"/>
    <w:rsid w:val="008E30AF"/>
    <w:rsid w:val="008E5EC2"/>
    <w:rsid w:val="008E782B"/>
    <w:rsid w:val="008E789F"/>
    <w:rsid w:val="008E7ED1"/>
    <w:rsid w:val="008F1204"/>
    <w:rsid w:val="008F292E"/>
    <w:rsid w:val="008F2C02"/>
    <w:rsid w:val="008F4FDC"/>
    <w:rsid w:val="008F7E12"/>
    <w:rsid w:val="00900884"/>
    <w:rsid w:val="009011D4"/>
    <w:rsid w:val="00903946"/>
    <w:rsid w:val="009109A2"/>
    <w:rsid w:val="009113B2"/>
    <w:rsid w:val="00917A89"/>
    <w:rsid w:val="0092012C"/>
    <w:rsid w:val="009228CE"/>
    <w:rsid w:val="00922E6E"/>
    <w:rsid w:val="0092516A"/>
    <w:rsid w:val="00927493"/>
    <w:rsid w:val="00927978"/>
    <w:rsid w:val="00932EDB"/>
    <w:rsid w:val="009351CD"/>
    <w:rsid w:val="00935AA1"/>
    <w:rsid w:val="009449C2"/>
    <w:rsid w:val="009461EE"/>
    <w:rsid w:val="0094743D"/>
    <w:rsid w:val="00950400"/>
    <w:rsid w:val="009546AB"/>
    <w:rsid w:val="0095688D"/>
    <w:rsid w:val="009622F4"/>
    <w:rsid w:val="00962745"/>
    <w:rsid w:val="00962D88"/>
    <w:rsid w:val="00964510"/>
    <w:rsid w:val="00964A04"/>
    <w:rsid w:val="009722D1"/>
    <w:rsid w:val="0097716B"/>
    <w:rsid w:val="0097735F"/>
    <w:rsid w:val="00982CFB"/>
    <w:rsid w:val="009873C8"/>
    <w:rsid w:val="009924FA"/>
    <w:rsid w:val="009964DA"/>
    <w:rsid w:val="00997CA1"/>
    <w:rsid w:val="009A0E32"/>
    <w:rsid w:val="009A228E"/>
    <w:rsid w:val="009A4536"/>
    <w:rsid w:val="009A5038"/>
    <w:rsid w:val="009A6031"/>
    <w:rsid w:val="009B29DD"/>
    <w:rsid w:val="009B4232"/>
    <w:rsid w:val="009B659D"/>
    <w:rsid w:val="009B69D1"/>
    <w:rsid w:val="009C1723"/>
    <w:rsid w:val="009C2A1C"/>
    <w:rsid w:val="009C439F"/>
    <w:rsid w:val="009C51B6"/>
    <w:rsid w:val="009D16A6"/>
    <w:rsid w:val="009E46B2"/>
    <w:rsid w:val="009E5FD0"/>
    <w:rsid w:val="009F03B4"/>
    <w:rsid w:val="009F457E"/>
    <w:rsid w:val="009F6264"/>
    <w:rsid w:val="009F74D7"/>
    <w:rsid w:val="00A039E9"/>
    <w:rsid w:val="00A048CD"/>
    <w:rsid w:val="00A17A8D"/>
    <w:rsid w:val="00A20099"/>
    <w:rsid w:val="00A26A48"/>
    <w:rsid w:val="00A26DD7"/>
    <w:rsid w:val="00A30D1A"/>
    <w:rsid w:val="00A37EB5"/>
    <w:rsid w:val="00A41B64"/>
    <w:rsid w:val="00A4232E"/>
    <w:rsid w:val="00A47C7D"/>
    <w:rsid w:val="00A514D9"/>
    <w:rsid w:val="00A5176B"/>
    <w:rsid w:val="00A52980"/>
    <w:rsid w:val="00A53E6F"/>
    <w:rsid w:val="00A605A5"/>
    <w:rsid w:val="00A61C49"/>
    <w:rsid w:val="00A63486"/>
    <w:rsid w:val="00A64814"/>
    <w:rsid w:val="00A7550E"/>
    <w:rsid w:val="00A83067"/>
    <w:rsid w:val="00A85BF4"/>
    <w:rsid w:val="00A94371"/>
    <w:rsid w:val="00A94891"/>
    <w:rsid w:val="00A96776"/>
    <w:rsid w:val="00AA0E48"/>
    <w:rsid w:val="00AA6156"/>
    <w:rsid w:val="00AA7C33"/>
    <w:rsid w:val="00AB028F"/>
    <w:rsid w:val="00AB10A7"/>
    <w:rsid w:val="00AB1DAD"/>
    <w:rsid w:val="00AB2B46"/>
    <w:rsid w:val="00AB538A"/>
    <w:rsid w:val="00AB6F2B"/>
    <w:rsid w:val="00AD0208"/>
    <w:rsid w:val="00AD0513"/>
    <w:rsid w:val="00AD0EFC"/>
    <w:rsid w:val="00AE33D1"/>
    <w:rsid w:val="00AE56AD"/>
    <w:rsid w:val="00AF3B8A"/>
    <w:rsid w:val="00AF4ABE"/>
    <w:rsid w:val="00AF4C24"/>
    <w:rsid w:val="00AF58D6"/>
    <w:rsid w:val="00B00781"/>
    <w:rsid w:val="00B02260"/>
    <w:rsid w:val="00B03386"/>
    <w:rsid w:val="00B0612E"/>
    <w:rsid w:val="00B10150"/>
    <w:rsid w:val="00B114B6"/>
    <w:rsid w:val="00B11B68"/>
    <w:rsid w:val="00B14AA0"/>
    <w:rsid w:val="00B159B8"/>
    <w:rsid w:val="00B16732"/>
    <w:rsid w:val="00B17560"/>
    <w:rsid w:val="00B219C2"/>
    <w:rsid w:val="00B25CFE"/>
    <w:rsid w:val="00B317DF"/>
    <w:rsid w:val="00B338B8"/>
    <w:rsid w:val="00B349DC"/>
    <w:rsid w:val="00B35AFF"/>
    <w:rsid w:val="00B42EFB"/>
    <w:rsid w:val="00B43B6E"/>
    <w:rsid w:val="00B509E4"/>
    <w:rsid w:val="00B51190"/>
    <w:rsid w:val="00B53FCD"/>
    <w:rsid w:val="00B5452F"/>
    <w:rsid w:val="00B5524A"/>
    <w:rsid w:val="00B55434"/>
    <w:rsid w:val="00B56F3C"/>
    <w:rsid w:val="00B60458"/>
    <w:rsid w:val="00B63E86"/>
    <w:rsid w:val="00B71141"/>
    <w:rsid w:val="00B73FCA"/>
    <w:rsid w:val="00B742C8"/>
    <w:rsid w:val="00B75DE1"/>
    <w:rsid w:val="00B76FAC"/>
    <w:rsid w:val="00B801B7"/>
    <w:rsid w:val="00B84DD6"/>
    <w:rsid w:val="00B86B44"/>
    <w:rsid w:val="00B96602"/>
    <w:rsid w:val="00B97354"/>
    <w:rsid w:val="00BA1145"/>
    <w:rsid w:val="00BA232F"/>
    <w:rsid w:val="00BA3483"/>
    <w:rsid w:val="00BA36F7"/>
    <w:rsid w:val="00BA775D"/>
    <w:rsid w:val="00BB4234"/>
    <w:rsid w:val="00BC1F95"/>
    <w:rsid w:val="00BC2F02"/>
    <w:rsid w:val="00BC53D5"/>
    <w:rsid w:val="00BC54E4"/>
    <w:rsid w:val="00BC6226"/>
    <w:rsid w:val="00BC6E73"/>
    <w:rsid w:val="00BD48DA"/>
    <w:rsid w:val="00BD5987"/>
    <w:rsid w:val="00BD7826"/>
    <w:rsid w:val="00BE0CF9"/>
    <w:rsid w:val="00BE120B"/>
    <w:rsid w:val="00BE1CF8"/>
    <w:rsid w:val="00BE2B89"/>
    <w:rsid w:val="00BE2F85"/>
    <w:rsid w:val="00BE36E4"/>
    <w:rsid w:val="00BE62D3"/>
    <w:rsid w:val="00BF6A37"/>
    <w:rsid w:val="00C05313"/>
    <w:rsid w:val="00C057D4"/>
    <w:rsid w:val="00C07B76"/>
    <w:rsid w:val="00C11F5F"/>
    <w:rsid w:val="00C12FF3"/>
    <w:rsid w:val="00C23C49"/>
    <w:rsid w:val="00C240E8"/>
    <w:rsid w:val="00C24FBC"/>
    <w:rsid w:val="00C27464"/>
    <w:rsid w:val="00C30288"/>
    <w:rsid w:val="00C31FC1"/>
    <w:rsid w:val="00C34C56"/>
    <w:rsid w:val="00C3616F"/>
    <w:rsid w:val="00C3768D"/>
    <w:rsid w:val="00C412E8"/>
    <w:rsid w:val="00C43A6B"/>
    <w:rsid w:val="00C43DD5"/>
    <w:rsid w:val="00C46088"/>
    <w:rsid w:val="00C51618"/>
    <w:rsid w:val="00C53108"/>
    <w:rsid w:val="00C547B4"/>
    <w:rsid w:val="00C56E6B"/>
    <w:rsid w:val="00C64411"/>
    <w:rsid w:val="00C64A69"/>
    <w:rsid w:val="00C66854"/>
    <w:rsid w:val="00C67D17"/>
    <w:rsid w:val="00C805BD"/>
    <w:rsid w:val="00C82577"/>
    <w:rsid w:val="00C82622"/>
    <w:rsid w:val="00C837A1"/>
    <w:rsid w:val="00C84B0E"/>
    <w:rsid w:val="00C86672"/>
    <w:rsid w:val="00C87251"/>
    <w:rsid w:val="00C90E82"/>
    <w:rsid w:val="00CA4FDE"/>
    <w:rsid w:val="00CA5A9E"/>
    <w:rsid w:val="00CB62BC"/>
    <w:rsid w:val="00CC118E"/>
    <w:rsid w:val="00CC3BF7"/>
    <w:rsid w:val="00CD1BBC"/>
    <w:rsid w:val="00CD5A0A"/>
    <w:rsid w:val="00CD6BE2"/>
    <w:rsid w:val="00CE17F7"/>
    <w:rsid w:val="00CE7B7D"/>
    <w:rsid w:val="00CF2664"/>
    <w:rsid w:val="00CF4D6B"/>
    <w:rsid w:val="00D000E0"/>
    <w:rsid w:val="00D009C9"/>
    <w:rsid w:val="00D025A6"/>
    <w:rsid w:val="00D034F8"/>
    <w:rsid w:val="00D04F85"/>
    <w:rsid w:val="00D07B77"/>
    <w:rsid w:val="00D12990"/>
    <w:rsid w:val="00D15A92"/>
    <w:rsid w:val="00D16BF4"/>
    <w:rsid w:val="00D24923"/>
    <w:rsid w:val="00D27A36"/>
    <w:rsid w:val="00D322D4"/>
    <w:rsid w:val="00D379C9"/>
    <w:rsid w:val="00D40255"/>
    <w:rsid w:val="00D47069"/>
    <w:rsid w:val="00D4794D"/>
    <w:rsid w:val="00D574B2"/>
    <w:rsid w:val="00D57627"/>
    <w:rsid w:val="00D60B92"/>
    <w:rsid w:val="00D71B71"/>
    <w:rsid w:val="00D71DB7"/>
    <w:rsid w:val="00D764B3"/>
    <w:rsid w:val="00D8172C"/>
    <w:rsid w:val="00D9227D"/>
    <w:rsid w:val="00D937CE"/>
    <w:rsid w:val="00D94C8D"/>
    <w:rsid w:val="00DA0347"/>
    <w:rsid w:val="00DA20A2"/>
    <w:rsid w:val="00DA5C0C"/>
    <w:rsid w:val="00DB4C5A"/>
    <w:rsid w:val="00DB7153"/>
    <w:rsid w:val="00DC007E"/>
    <w:rsid w:val="00DC12D7"/>
    <w:rsid w:val="00DC6542"/>
    <w:rsid w:val="00DC6C43"/>
    <w:rsid w:val="00DC6CE1"/>
    <w:rsid w:val="00DD62C5"/>
    <w:rsid w:val="00DE2D49"/>
    <w:rsid w:val="00DE3CEE"/>
    <w:rsid w:val="00DE4CA3"/>
    <w:rsid w:val="00DF1A67"/>
    <w:rsid w:val="00DF6253"/>
    <w:rsid w:val="00E01071"/>
    <w:rsid w:val="00E04783"/>
    <w:rsid w:val="00E04933"/>
    <w:rsid w:val="00E053FA"/>
    <w:rsid w:val="00E06C67"/>
    <w:rsid w:val="00E0717F"/>
    <w:rsid w:val="00E10314"/>
    <w:rsid w:val="00E11130"/>
    <w:rsid w:val="00E12195"/>
    <w:rsid w:val="00E16AB7"/>
    <w:rsid w:val="00E17D4B"/>
    <w:rsid w:val="00E17D6A"/>
    <w:rsid w:val="00E17EA7"/>
    <w:rsid w:val="00E2473B"/>
    <w:rsid w:val="00E31F60"/>
    <w:rsid w:val="00E34679"/>
    <w:rsid w:val="00E42A83"/>
    <w:rsid w:val="00E459E9"/>
    <w:rsid w:val="00E60457"/>
    <w:rsid w:val="00E64227"/>
    <w:rsid w:val="00E701BB"/>
    <w:rsid w:val="00E72D37"/>
    <w:rsid w:val="00E73CE2"/>
    <w:rsid w:val="00E75C7E"/>
    <w:rsid w:val="00E80F07"/>
    <w:rsid w:val="00E82FA6"/>
    <w:rsid w:val="00E83F8F"/>
    <w:rsid w:val="00E8492D"/>
    <w:rsid w:val="00E87598"/>
    <w:rsid w:val="00E94B4C"/>
    <w:rsid w:val="00E97E35"/>
    <w:rsid w:val="00EA03D2"/>
    <w:rsid w:val="00EA4B01"/>
    <w:rsid w:val="00EB38E5"/>
    <w:rsid w:val="00EB583E"/>
    <w:rsid w:val="00EB64E0"/>
    <w:rsid w:val="00EC0DA5"/>
    <w:rsid w:val="00EC12AE"/>
    <w:rsid w:val="00EC42BF"/>
    <w:rsid w:val="00EC51E3"/>
    <w:rsid w:val="00EC7667"/>
    <w:rsid w:val="00ED0E58"/>
    <w:rsid w:val="00ED16F8"/>
    <w:rsid w:val="00ED24A5"/>
    <w:rsid w:val="00ED2DE5"/>
    <w:rsid w:val="00ED7C1D"/>
    <w:rsid w:val="00EE1D3B"/>
    <w:rsid w:val="00EF2DAD"/>
    <w:rsid w:val="00F000E6"/>
    <w:rsid w:val="00F058F0"/>
    <w:rsid w:val="00F05EB5"/>
    <w:rsid w:val="00F06EC3"/>
    <w:rsid w:val="00F07E29"/>
    <w:rsid w:val="00F10281"/>
    <w:rsid w:val="00F10BA7"/>
    <w:rsid w:val="00F12FE7"/>
    <w:rsid w:val="00F14757"/>
    <w:rsid w:val="00F17127"/>
    <w:rsid w:val="00F2316C"/>
    <w:rsid w:val="00F23D81"/>
    <w:rsid w:val="00F26393"/>
    <w:rsid w:val="00F2639F"/>
    <w:rsid w:val="00F2774F"/>
    <w:rsid w:val="00F27EFB"/>
    <w:rsid w:val="00F32512"/>
    <w:rsid w:val="00F352F7"/>
    <w:rsid w:val="00F51BB6"/>
    <w:rsid w:val="00F536B6"/>
    <w:rsid w:val="00F538D1"/>
    <w:rsid w:val="00F5706F"/>
    <w:rsid w:val="00F571FF"/>
    <w:rsid w:val="00F61A5C"/>
    <w:rsid w:val="00F631F4"/>
    <w:rsid w:val="00F64E95"/>
    <w:rsid w:val="00F737E5"/>
    <w:rsid w:val="00F742C4"/>
    <w:rsid w:val="00F77BAE"/>
    <w:rsid w:val="00F821A1"/>
    <w:rsid w:val="00F8418D"/>
    <w:rsid w:val="00F85ACC"/>
    <w:rsid w:val="00F85C3A"/>
    <w:rsid w:val="00F86B9B"/>
    <w:rsid w:val="00F9190D"/>
    <w:rsid w:val="00F930EB"/>
    <w:rsid w:val="00F93F89"/>
    <w:rsid w:val="00F942BC"/>
    <w:rsid w:val="00F95B5C"/>
    <w:rsid w:val="00F97EC7"/>
    <w:rsid w:val="00FA2082"/>
    <w:rsid w:val="00FA298A"/>
    <w:rsid w:val="00FA2A0B"/>
    <w:rsid w:val="00FA5256"/>
    <w:rsid w:val="00FA5BB9"/>
    <w:rsid w:val="00FA6C26"/>
    <w:rsid w:val="00FA73CD"/>
    <w:rsid w:val="00FB1008"/>
    <w:rsid w:val="00FB18E3"/>
    <w:rsid w:val="00FB3ED9"/>
    <w:rsid w:val="00FC514B"/>
    <w:rsid w:val="00FD0C1F"/>
    <w:rsid w:val="00FD0D40"/>
    <w:rsid w:val="00FD170F"/>
    <w:rsid w:val="00FD180E"/>
    <w:rsid w:val="00FD220C"/>
    <w:rsid w:val="00FD7FA0"/>
    <w:rsid w:val="00FE4F86"/>
    <w:rsid w:val="00FE597E"/>
    <w:rsid w:val="00FE6501"/>
    <w:rsid w:val="00FE7EB8"/>
    <w:rsid w:val="00FF7B5A"/>
    <w:rsid w:val="015CE36E"/>
    <w:rsid w:val="01BE6946"/>
    <w:rsid w:val="0413190B"/>
    <w:rsid w:val="04974B2D"/>
    <w:rsid w:val="04A0FC2E"/>
    <w:rsid w:val="04E30230"/>
    <w:rsid w:val="0BD86B25"/>
    <w:rsid w:val="0BE3CB12"/>
    <w:rsid w:val="0C1151FD"/>
    <w:rsid w:val="0CACEE63"/>
    <w:rsid w:val="105F58A5"/>
    <w:rsid w:val="116013EC"/>
    <w:rsid w:val="11640130"/>
    <w:rsid w:val="12A8CAEA"/>
    <w:rsid w:val="13044D26"/>
    <w:rsid w:val="14F60B2B"/>
    <w:rsid w:val="159F4649"/>
    <w:rsid w:val="16AB5F02"/>
    <w:rsid w:val="17D342B4"/>
    <w:rsid w:val="18C829AC"/>
    <w:rsid w:val="1A360C74"/>
    <w:rsid w:val="1BB3CF16"/>
    <w:rsid w:val="1C056049"/>
    <w:rsid w:val="1D9A76CA"/>
    <w:rsid w:val="1E2CF87B"/>
    <w:rsid w:val="1FC52C3C"/>
    <w:rsid w:val="21A40D7F"/>
    <w:rsid w:val="223F55D9"/>
    <w:rsid w:val="22904213"/>
    <w:rsid w:val="22E1EFB5"/>
    <w:rsid w:val="24822DF8"/>
    <w:rsid w:val="2683E1EB"/>
    <w:rsid w:val="272B66AC"/>
    <w:rsid w:val="2CDC7B7F"/>
    <w:rsid w:val="2D7D60C4"/>
    <w:rsid w:val="2DC272EB"/>
    <w:rsid w:val="2F12C95B"/>
    <w:rsid w:val="308C9F54"/>
    <w:rsid w:val="331ADE4E"/>
    <w:rsid w:val="33D981BE"/>
    <w:rsid w:val="3502818C"/>
    <w:rsid w:val="353C474C"/>
    <w:rsid w:val="35D7725C"/>
    <w:rsid w:val="36527F10"/>
    <w:rsid w:val="366F180B"/>
    <w:rsid w:val="377342BD"/>
    <w:rsid w:val="3785086D"/>
    <w:rsid w:val="39253933"/>
    <w:rsid w:val="3A1350F6"/>
    <w:rsid w:val="3B6CEE2B"/>
    <w:rsid w:val="3C8AD2B6"/>
    <w:rsid w:val="3D07A825"/>
    <w:rsid w:val="3E0F5F6C"/>
    <w:rsid w:val="3E97C722"/>
    <w:rsid w:val="3E9AA929"/>
    <w:rsid w:val="3FDD7DE6"/>
    <w:rsid w:val="435377C6"/>
    <w:rsid w:val="4645B2B9"/>
    <w:rsid w:val="47E01827"/>
    <w:rsid w:val="481BA279"/>
    <w:rsid w:val="49801A78"/>
    <w:rsid w:val="4A8658FC"/>
    <w:rsid w:val="4D5B784D"/>
    <w:rsid w:val="4D8A08E6"/>
    <w:rsid w:val="4F36EDFE"/>
    <w:rsid w:val="5019AB85"/>
    <w:rsid w:val="55F92EE4"/>
    <w:rsid w:val="57F40FDD"/>
    <w:rsid w:val="5900551A"/>
    <w:rsid w:val="5962F72C"/>
    <w:rsid w:val="59C87B51"/>
    <w:rsid w:val="5A9C257B"/>
    <w:rsid w:val="5AB450BE"/>
    <w:rsid w:val="5BD73272"/>
    <w:rsid w:val="5C36F8C2"/>
    <w:rsid w:val="5D23CB49"/>
    <w:rsid w:val="5F86E8CD"/>
    <w:rsid w:val="5FA749C7"/>
    <w:rsid w:val="62C373CB"/>
    <w:rsid w:val="636F5D97"/>
    <w:rsid w:val="64420AA7"/>
    <w:rsid w:val="65505AD0"/>
    <w:rsid w:val="6622A021"/>
    <w:rsid w:val="66FC65D6"/>
    <w:rsid w:val="688DA58E"/>
    <w:rsid w:val="69655069"/>
    <w:rsid w:val="6A027C5E"/>
    <w:rsid w:val="6AA3A0E7"/>
    <w:rsid w:val="6F2A5427"/>
    <w:rsid w:val="6F9338D2"/>
    <w:rsid w:val="6FD9449D"/>
    <w:rsid w:val="71E7BA22"/>
    <w:rsid w:val="720B67F8"/>
    <w:rsid w:val="72FDBEF9"/>
    <w:rsid w:val="75309028"/>
    <w:rsid w:val="75DCF3B4"/>
    <w:rsid w:val="7668696B"/>
    <w:rsid w:val="7797BCB9"/>
    <w:rsid w:val="7840D0C2"/>
    <w:rsid w:val="79573C50"/>
    <w:rsid w:val="7B245B7F"/>
    <w:rsid w:val="7C5906C7"/>
    <w:rsid w:val="7F89A641"/>
    <w:rsid w:val="7FA2CE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96327"/>
  <w15:chartTrackingRefBased/>
  <w15:docId w15:val="{9EF7F524-CED5-4738-9448-DD91E9C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92"/>
  </w:style>
  <w:style w:type="paragraph" w:styleId="Heading1">
    <w:name w:val="heading 1"/>
    <w:basedOn w:val="Normal"/>
    <w:next w:val="Normal"/>
    <w:link w:val="Heading1Char"/>
    <w:uiPriority w:val="9"/>
    <w:qFormat/>
    <w:rsid w:val="00417F84"/>
    <w:pPr>
      <w:keepNext/>
      <w:keepLines/>
      <w:spacing w:before="240" w:after="240"/>
      <w:outlineLvl w:val="0"/>
    </w:pPr>
    <w:rPr>
      <w:rFonts w:ascii="Lato" w:eastAsiaTheme="majorEastAsia" w:hAnsi="Lato" w:cstheme="majorBidi"/>
      <w:b/>
      <w:sz w:val="28"/>
      <w:szCs w:val="32"/>
    </w:rPr>
  </w:style>
  <w:style w:type="paragraph" w:styleId="Heading2">
    <w:name w:val="heading 2"/>
    <w:basedOn w:val="Normal"/>
    <w:next w:val="Normal"/>
    <w:link w:val="Heading2Char"/>
    <w:uiPriority w:val="9"/>
    <w:unhideWhenUsed/>
    <w:qFormat/>
    <w:rsid w:val="0024108E"/>
    <w:pPr>
      <w:keepNext/>
      <w:keepLines/>
      <w:spacing w:before="40" w:after="120"/>
      <w:outlineLvl w:val="1"/>
    </w:pPr>
    <w:rPr>
      <w:rFonts w:ascii="Lato" w:eastAsiaTheme="majorEastAsia" w:hAnsi="Lato" w:cstheme="majorBidi"/>
      <w:b/>
      <w:sz w:val="24"/>
      <w:szCs w:val="26"/>
    </w:rPr>
  </w:style>
  <w:style w:type="paragraph" w:styleId="Heading3">
    <w:name w:val="heading 3"/>
    <w:basedOn w:val="Normal"/>
    <w:next w:val="Normal"/>
    <w:link w:val="Heading3Char"/>
    <w:uiPriority w:val="9"/>
    <w:unhideWhenUsed/>
    <w:qFormat/>
    <w:rsid w:val="00417F84"/>
    <w:pPr>
      <w:keepNext/>
      <w:keepLines/>
      <w:spacing w:before="40" w:after="40"/>
      <w:outlineLvl w:val="2"/>
    </w:pPr>
    <w:rPr>
      <w:rFonts w:ascii="Lato" w:eastAsiaTheme="majorEastAsia" w:hAnsi="Lato" w:cstheme="majorBidi"/>
      <w:b/>
      <w:i/>
      <w:sz w:val="24"/>
      <w:szCs w:val="24"/>
    </w:rPr>
  </w:style>
  <w:style w:type="paragraph" w:styleId="Heading4">
    <w:name w:val="heading 4"/>
    <w:basedOn w:val="Normal"/>
    <w:next w:val="Normal"/>
    <w:link w:val="Heading4Char"/>
    <w:uiPriority w:val="9"/>
    <w:unhideWhenUsed/>
    <w:qFormat/>
    <w:rsid w:val="0071671E"/>
    <w:pPr>
      <w:keepNext/>
      <w:keepLines/>
      <w:spacing w:before="200" w:after="200"/>
      <w:outlineLvl w:val="3"/>
    </w:pPr>
    <w:rPr>
      <w:rFonts w:ascii="Nunito" w:eastAsiaTheme="majorEastAsia" w:hAnsi="Nunito"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nitoHeading2">
    <w:name w:val="Nunito Heading 2"/>
    <w:basedOn w:val="Normal"/>
    <w:link w:val="NunitoHeading2Char"/>
    <w:qFormat/>
    <w:rsid w:val="001101E7"/>
    <w:rPr>
      <w:rFonts w:ascii="Nunito" w:hAnsi="Nunito"/>
      <w:b/>
      <w:bCs/>
      <w:sz w:val="24"/>
    </w:rPr>
  </w:style>
  <w:style w:type="character" w:customStyle="1" w:styleId="NunitoHeading2Char">
    <w:name w:val="Nunito Heading 2 Char"/>
    <w:basedOn w:val="DefaultParagraphFont"/>
    <w:link w:val="NunitoHeading2"/>
    <w:rsid w:val="001101E7"/>
    <w:rPr>
      <w:rFonts w:ascii="Nunito" w:hAnsi="Nunito"/>
      <w:b/>
      <w:bCs/>
      <w:sz w:val="24"/>
    </w:rPr>
  </w:style>
  <w:style w:type="paragraph" w:customStyle="1" w:styleId="NunitoHeading1">
    <w:name w:val="Nunito Heading 1"/>
    <w:basedOn w:val="Heading1"/>
    <w:link w:val="NunitoHeading1Char"/>
    <w:qFormat/>
    <w:rsid w:val="00ED24A5"/>
    <w:rPr>
      <w:rFonts w:ascii="Nunito" w:hAnsi="Nunito"/>
      <w:b w:val="0"/>
      <w:bCs/>
      <w:sz w:val="24"/>
    </w:rPr>
  </w:style>
  <w:style w:type="character" w:customStyle="1" w:styleId="NunitoHeading1Char">
    <w:name w:val="Nunito Heading 1 Char"/>
    <w:basedOn w:val="DefaultParagraphFont"/>
    <w:link w:val="NunitoHeading1"/>
    <w:rsid w:val="00ED24A5"/>
    <w:rPr>
      <w:rFonts w:ascii="Nunito" w:eastAsiaTheme="majorEastAsia" w:hAnsi="Nunito" w:cstheme="majorBidi"/>
      <w:b/>
      <w:bCs/>
      <w:sz w:val="24"/>
      <w:szCs w:val="32"/>
    </w:rPr>
  </w:style>
  <w:style w:type="character" w:customStyle="1" w:styleId="Heading1Char">
    <w:name w:val="Heading 1 Char"/>
    <w:basedOn w:val="DefaultParagraphFont"/>
    <w:link w:val="Heading1"/>
    <w:uiPriority w:val="9"/>
    <w:rsid w:val="00417F84"/>
    <w:rPr>
      <w:rFonts w:ascii="Lato" w:eastAsiaTheme="majorEastAsia" w:hAnsi="Lato" w:cstheme="majorBidi"/>
      <w:b/>
      <w:sz w:val="28"/>
      <w:szCs w:val="32"/>
    </w:rPr>
  </w:style>
  <w:style w:type="paragraph" w:customStyle="1" w:styleId="NunitoHeading3">
    <w:name w:val="Nunito Heading 3"/>
    <w:basedOn w:val="Heading3"/>
    <w:link w:val="NunitoHeading3Char"/>
    <w:qFormat/>
    <w:rsid w:val="00ED24A5"/>
    <w:rPr>
      <w:rFonts w:ascii="Nunito Light" w:hAnsi="Nunito Light"/>
      <w:b w:val="0"/>
    </w:rPr>
  </w:style>
  <w:style w:type="character" w:customStyle="1" w:styleId="NunitoHeading3Char">
    <w:name w:val="Nunito Heading 3 Char"/>
    <w:basedOn w:val="Heading3Char"/>
    <w:link w:val="NunitoHeading3"/>
    <w:rsid w:val="00ED24A5"/>
    <w:rPr>
      <w:rFonts w:ascii="Nunito Light" w:eastAsiaTheme="majorEastAsia" w:hAnsi="Nunito Light" w:cstheme="majorBidi"/>
      <w:b w:val="0"/>
      <w:i/>
      <w:color w:val="1F3763" w:themeColor="accent1" w:themeShade="7F"/>
      <w:sz w:val="24"/>
      <w:szCs w:val="24"/>
    </w:rPr>
  </w:style>
  <w:style w:type="character" w:customStyle="1" w:styleId="Heading3Char">
    <w:name w:val="Heading 3 Char"/>
    <w:basedOn w:val="DefaultParagraphFont"/>
    <w:link w:val="Heading3"/>
    <w:uiPriority w:val="9"/>
    <w:rsid w:val="00417F84"/>
    <w:rPr>
      <w:rFonts w:ascii="Lato" w:eastAsiaTheme="majorEastAsia" w:hAnsi="Lato" w:cstheme="majorBidi"/>
      <w:b/>
      <w:i/>
      <w:sz w:val="24"/>
      <w:szCs w:val="24"/>
    </w:rPr>
  </w:style>
  <w:style w:type="character" w:styleId="CommentReference">
    <w:name w:val="annotation reference"/>
    <w:basedOn w:val="DefaultParagraphFont"/>
    <w:uiPriority w:val="99"/>
    <w:semiHidden/>
    <w:unhideWhenUsed/>
    <w:rsid w:val="00ED24A5"/>
    <w:rPr>
      <w:sz w:val="16"/>
      <w:szCs w:val="16"/>
    </w:rPr>
  </w:style>
  <w:style w:type="paragraph" w:styleId="CommentText">
    <w:name w:val="annotation text"/>
    <w:basedOn w:val="Normal"/>
    <w:link w:val="CommentTextChar"/>
    <w:uiPriority w:val="99"/>
    <w:unhideWhenUsed/>
    <w:rsid w:val="00ED24A5"/>
    <w:pPr>
      <w:spacing w:line="240" w:lineRule="auto"/>
    </w:pPr>
    <w:rPr>
      <w:sz w:val="20"/>
      <w:szCs w:val="20"/>
    </w:rPr>
  </w:style>
  <w:style w:type="character" w:customStyle="1" w:styleId="CommentTextChar">
    <w:name w:val="Comment Text Char"/>
    <w:basedOn w:val="DefaultParagraphFont"/>
    <w:link w:val="CommentText"/>
    <w:uiPriority w:val="99"/>
    <w:rsid w:val="00ED24A5"/>
    <w:rPr>
      <w:sz w:val="20"/>
      <w:szCs w:val="20"/>
    </w:rPr>
  </w:style>
  <w:style w:type="character" w:customStyle="1" w:styleId="Heading2Char">
    <w:name w:val="Heading 2 Char"/>
    <w:basedOn w:val="DefaultParagraphFont"/>
    <w:link w:val="Heading2"/>
    <w:uiPriority w:val="9"/>
    <w:rsid w:val="0024108E"/>
    <w:rPr>
      <w:rFonts w:ascii="Lato" w:eastAsiaTheme="majorEastAsia" w:hAnsi="Lato" w:cstheme="majorBidi"/>
      <w:b/>
      <w:sz w:val="24"/>
      <w:szCs w:val="26"/>
    </w:rPr>
  </w:style>
  <w:style w:type="paragraph" w:styleId="FootnoteText">
    <w:name w:val="footnote text"/>
    <w:basedOn w:val="Normal"/>
    <w:link w:val="FootnoteTextChar"/>
    <w:uiPriority w:val="99"/>
    <w:unhideWhenUsed/>
    <w:rsid w:val="00ED24A5"/>
    <w:pPr>
      <w:spacing w:after="0" w:line="240" w:lineRule="auto"/>
    </w:pPr>
    <w:rPr>
      <w:sz w:val="20"/>
      <w:szCs w:val="20"/>
    </w:rPr>
  </w:style>
  <w:style w:type="character" w:customStyle="1" w:styleId="FootnoteTextChar">
    <w:name w:val="Footnote Text Char"/>
    <w:basedOn w:val="DefaultParagraphFont"/>
    <w:link w:val="FootnoteText"/>
    <w:uiPriority w:val="99"/>
    <w:rsid w:val="00ED24A5"/>
    <w:rPr>
      <w:sz w:val="20"/>
      <w:szCs w:val="20"/>
    </w:rPr>
  </w:style>
  <w:style w:type="character" w:styleId="FootnoteReference">
    <w:name w:val="footnote reference"/>
    <w:basedOn w:val="DefaultParagraphFont"/>
    <w:uiPriority w:val="99"/>
    <w:semiHidden/>
    <w:unhideWhenUsed/>
    <w:rsid w:val="00ED24A5"/>
    <w:rPr>
      <w:vertAlign w:val="superscript"/>
    </w:rPr>
  </w:style>
  <w:style w:type="character" w:styleId="Hyperlink">
    <w:name w:val="Hyperlink"/>
    <w:basedOn w:val="DefaultParagraphFont"/>
    <w:uiPriority w:val="99"/>
    <w:unhideWhenUsed/>
    <w:rsid w:val="00ED24A5"/>
    <w:rPr>
      <w:color w:val="0563C1" w:themeColor="hyperlink"/>
      <w:u w:val="single"/>
    </w:rPr>
  </w:style>
  <w:style w:type="paragraph" w:styleId="NormalWeb">
    <w:name w:val="Normal (Web)"/>
    <w:basedOn w:val="Normal"/>
    <w:uiPriority w:val="99"/>
    <w:unhideWhenUsed/>
    <w:rsid w:val="00ED24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ED24A5"/>
    <w:rPr>
      <w:i/>
      <w:iCs/>
    </w:rPr>
  </w:style>
  <w:style w:type="character" w:styleId="FollowedHyperlink">
    <w:name w:val="FollowedHyperlink"/>
    <w:basedOn w:val="DefaultParagraphFont"/>
    <w:uiPriority w:val="99"/>
    <w:semiHidden/>
    <w:unhideWhenUsed/>
    <w:rsid w:val="00FB3ED9"/>
    <w:rPr>
      <w:color w:val="954F72" w:themeColor="followedHyperlink"/>
      <w:u w:val="single"/>
    </w:rPr>
  </w:style>
  <w:style w:type="character" w:customStyle="1" w:styleId="UnresolvedMention1">
    <w:name w:val="Unresolved Mention1"/>
    <w:basedOn w:val="DefaultParagraphFont"/>
    <w:uiPriority w:val="99"/>
    <w:semiHidden/>
    <w:unhideWhenUsed/>
    <w:rsid w:val="003C2C11"/>
    <w:rPr>
      <w:color w:val="605E5C"/>
      <w:shd w:val="clear" w:color="auto" w:fill="E1DFDD"/>
    </w:rPr>
  </w:style>
  <w:style w:type="character" w:customStyle="1" w:styleId="sourcetooltip">
    <w:name w:val="sourcetooltip"/>
    <w:basedOn w:val="DefaultParagraphFont"/>
    <w:rsid w:val="002C0B18"/>
  </w:style>
  <w:style w:type="paragraph" w:styleId="Revision">
    <w:name w:val="Revision"/>
    <w:hidden/>
    <w:uiPriority w:val="99"/>
    <w:semiHidden/>
    <w:rsid w:val="008A65D3"/>
    <w:pPr>
      <w:spacing w:after="0" w:line="240" w:lineRule="auto"/>
    </w:pPr>
  </w:style>
  <w:style w:type="character" w:customStyle="1" w:styleId="Heading4Char">
    <w:name w:val="Heading 4 Char"/>
    <w:basedOn w:val="DefaultParagraphFont"/>
    <w:link w:val="Heading4"/>
    <w:uiPriority w:val="9"/>
    <w:rsid w:val="0071671E"/>
    <w:rPr>
      <w:rFonts w:ascii="Nunito" w:eastAsiaTheme="majorEastAsia" w:hAnsi="Nunito" w:cstheme="majorBidi"/>
      <w:b/>
      <w:i/>
      <w:iCs/>
      <w:sz w:val="24"/>
    </w:rPr>
  </w:style>
  <w:style w:type="paragraph" w:styleId="Header">
    <w:name w:val="header"/>
    <w:basedOn w:val="Normal"/>
    <w:link w:val="HeaderChar"/>
    <w:uiPriority w:val="99"/>
    <w:unhideWhenUsed/>
    <w:rsid w:val="00CF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664"/>
  </w:style>
  <w:style w:type="paragraph" w:styleId="Footer">
    <w:name w:val="footer"/>
    <w:basedOn w:val="Normal"/>
    <w:link w:val="FooterChar"/>
    <w:uiPriority w:val="99"/>
    <w:unhideWhenUsed/>
    <w:rsid w:val="00CF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64"/>
  </w:style>
  <w:style w:type="paragraph" w:styleId="TOCHeading">
    <w:name w:val="TOC Heading"/>
    <w:basedOn w:val="Heading1"/>
    <w:next w:val="Normal"/>
    <w:uiPriority w:val="39"/>
    <w:unhideWhenUsed/>
    <w:qFormat/>
    <w:rsid w:val="00C412E8"/>
    <w:pPr>
      <w:outlineLvl w:val="9"/>
    </w:pPr>
    <w:rPr>
      <w:kern w:val="0"/>
      <w:lang w:eastAsia="en-GB"/>
      <w14:ligatures w14:val="none"/>
    </w:rPr>
  </w:style>
  <w:style w:type="paragraph" w:styleId="TOC1">
    <w:name w:val="toc 1"/>
    <w:basedOn w:val="Normal"/>
    <w:next w:val="Normal"/>
    <w:autoRedefine/>
    <w:uiPriority w:val="39"/>
    <w:unhideWhenUsed/>
    <w:rsid w:val="00C412E8"/>
    <w:pPr>
      <w:tabs>
        <w:tab w:val="right" w:leader="dot" w:pos="9016"/>
      </w:tabs>
      <w:spacing w:after="100"/>
    </w:pPr>
    <w:rPr>
      <w:rFonts w:ascii="Nunito" w:hAnsi="Nunito"/>
      <w:noProof/>
      <w:sz w:val="24"/>
      <w:szCs w:val="24"/>
    </w:rPr>
  </w:style>
  <w:style w:type="paragraph" w:styleId="TOC2">
    <w:name w:val="toc 2"/>
    <w:basedOn w:val="Normal"/>
    <w:next w:val="Normal"/>
    <w:autoRedefine/>
    <w:uiPriority w:val="39"/>
    <w:unhideWhenUsed/>
    <w:rsid w:val="00C412E8"/>
    <w:pPr>
      <w:spacing w:after="100"/>
      <w:ind w:left="220"/>
    </w:pPr>
  </w:style>
  <w:style w:type="paragraph" w:styleId="TOC3">
    <w:name w:val="toc 3"/>
    <w:basedOn w:val="Normal"/>
    <w:next w:val="Normal"/>
    <w:autoRedefine/>
    <w:uiPriority w:val="39"/>
    <w:unhideWhenUsed/>
    <w:rsid w:val="00C412E8"/>
    <w:pPr>
      <w:spacing w:after="100"/>
      <w:ind w:left="440"/>
    </w:pPr>
  </w:style>
  <w:style w:type="paragraph" w:styleId="ListParagraph">
    <w:name w:val="List Paragraph"/>
    <w:basedOn w:val="Normal"/>
    <w:uiPriority w:val="34"/>
    <w:qFormat/>
    <w:rsid w:val="00F10281"/>
    <w:pPr>
      <w:ind w:left="720"/>
      <w:contextualSpacing/>
    </w:pPr>
  </w:style>
  <w:style w:type="paragraph" w:styleId="Caption">
    <w:name w:val="caption"/>
    <w:basedOn w:val="Normal"/>
    <w:next w:val="Normal"/>
    <w:uiPriority w:val="35"/>
    <w:unhideWhenUsed/>
    <w:qFormat/>
    <w:rsid w:val="00A41B64"/>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BC53D5"/>
    <w:rPr>
      <w:b/>
      <w:bCs/>
    </w:rPr>
  </w:style>
  <w:style w:type="character" w:customStyle="1" w:styleId="CommentSubjectChar">
    <w:name w:val="Comment Subject Char"/>
    <w:basedOn w:val="CommentTextChar"/>
    <w:link w:val="CommentSubject"/>
    <w:uiPriority w:val="99"/>
    <w:semiHidden/>
    <w:rsid w:val="00BC53D5"/>
    <w:rPr>
      <w:b/>
      <w:bCs/>
      <w:sz w:val="20"/>
      <w:szCs w:val="20"/>
    </w:rPr>
  </w:style>
  <w:style w:type="paragraph" w:styleId="BalloonText">
    <w:name w:val="Balloon Text"/>
    <w:basedOn w:val="Normal"/>
    <w:link w:val="BalloonTextChar"/>
    <w:uiPriority w:val="99"/>
    <w:semiHidden/>
    <w:unhideWhenUsed/>
    <w:rsid w:val="00BC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D5"/>
    <w:rPr>
      <w:rFonts w:ascii="Segoe UI" w:hAnsi="Segoe UI" w:cs="Segoe UI"/>
      <w:sz w:val="18"/>
      <w:szCs w:val="18"/>
    </w:rPr>
  </w:style>
  <w:style w:type="character" w:styleId="UnresolvedMention">
    <w:name w:val="Unresolved Mention"/>
    <w:basedOn w:val="DefaultParagraphFont"/>
    <w:uiPriority w:val="99"/>
    <w:semiHidden/>
    <w:unhideWhenUsed/>
    <w:rsid w:val="00C0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792">
      <w:bodyDiv w:val="1"/>
      <w:marLeft w:val="0"/>
      <w:marRight w:val="0"/>
      <w:marTop w:val="0"/>
      <w:marBottom w:val="0"/>
      <w:divBdr>
        <w:top w:val="none" w:sz="0" w:space="0" w:color="auto"/>
        <w:left w:val="none" w:sz="0" w:space="0" w:color="auto"/>
        <w:bottom w:val="none" w:sz="0" w:space="0" w:color="auto"/>
        <w:right w:val="none" w:sz="0" w:space="0" w:color="auto"/>
      </w:divBdr>
    </w:div>
    <w:div w:id="130368876">
      <w:bodyDiv w:val="1"/>
      <w:marLeft w:val="0"/>
      <w:marRight w:val="0"/>
      <w:marTop w:val="0"/>
      <w:marBottom w:val="0"/>
      <w:divBdr>
        <w:top w:val="none" w:sz="0" w:space="0" w:color="auto"/>
        <w:left w:val="none" w:sz="0" w:space="0" w:color="auto"/>
        <w:bottom w:val="none" w:sz="0" w:space="0" w:color="auto"/>
        <w:right w:val="none" w:sz="0" w:space="0" w:color="auto"/>
      </w:divBdr>
      <w:divsChild>
        <w:div w:id="891769728">
          <w:marLeft w:val="0"/>
          <w:marRight w:val="0"/>
          <w:marTop w:val="0"/>
          <w:marBottom w:val="0"/>
          <w:divBdr>
            <w:top w:val="none" w:sz="0" w:space="0" w:color="auto"/>
            <w:left w:val="none" w:sz="0" w:space="0" w:color="auto"/>
            <w:bottom w:val="none" w:sz="0" w:space="0" w:color="auto"/>
            <w:right w:val="none" w:sz="0" w:space="0" w:color="auto"/>
          </w:divBdr>
        </w:div>
      </w:divsChild>
    </w:div>
    <w:div w:id="135995171">
      <w:bodyDiv w:val="1"/>
      <w:marLeft w:val="0"/>
      <w:marRight w:val="0"/>
      <w:marTop w:val="0"/>
      <w:marBottom w:val="0"/>
      <w:divBdr>
        <w:top w:val="none" w:sz="0" w:space="0" w:color="auto"/>
        <w:left w:val="none" w:sz="0" w:space="0" w:color="auto"/>
        <w:bottom w:val="none" w:sz="0" w:space="0" w:color="auto"/>
        <w:right w:val="none" w:sz="0" w:space="0" w:color="auto"/>
      </w:divBdr>
    </w:div>
    <w:div w:id="195893842">
      <w:bodyDiv w:val="1"/>
      <w:marLeft w:val="0"/>
      <w:marRight w:val="0"/>
      <w:marTop w:val="0"/>
      <w:marBottom w:val="0"/>
      <w:divBdr>
        <w:top w:val="none" w:sz="0" w:space="0" w:color="auto"/>
        <w:left w:val="none" w:sz="0" w:space="0" w:color="auto"/>
        <w:bottom w:val="none" w:sz="0" w:space="0" w:color="auto"/>
        <w:right w:val="none" w:sz="0" w:space="0" w:color="auto"/>
      </w:divBdr>
    </w:div>
    <w:div w:id="439179028">
      <w:bodyDiv w:val="1"/>
      <w:marLeft w:val="0"/>
      <w:marRight w:val="0"/>
      <w:marTop w:val="0"/>
      <w:marBottom w:val="0"/>
      <w:divBdr>
        <w:top w:val="none" w:sz="0" w:space="0" w:color="auto"/>
        <w:left w:val="none" w:sz="0" w:space="0" w:color="auto"/>
        <w:bottom w:val="none" w:sz="0" w:space="0" w:color="auto"/>
        <w:right w:val="none" w:sz="0" w:space="0" w:color="auto"/>
      </w:divBdr>
      <w:divsChild>
        <w:div w:id="679353720">
          <w:marLeft w:val="0"/>
          <w:marRight w:val="0"/>
          <w:marTop w:val="0"/>
          <w:marBottom w:val="0"/>
          <w:divBdr>
            <w:top w:val="none" w:sz="0" w:space="0" w:color="auto"/>
            <w:left w:val="none" w:sz="0" w:space="0" w:color="auto"/>
            <w:bottom w:val="none" w:sz="0" w:space="0" w:color="auto"/>
            <w:right w:val="none" w:sz="0" w:space="0" w:color="auto"/>
          </w:divBdr>
        </w:div>
      </w:divsChild>
    </w:div>
    <w:div w:id="529882468">
      <w:bodyDiv w:val="1"/>
      <w:marLeft w:val="0"/>
      <w:marRight w:val="0"/>
      <w:marTop w:val="0"/>
      <w:marBottom w:val="0"/>
      <w:divBdr>
        <w:top w:val="none" w:sz="0" w:space="0" w:color="auto"/>
        <w:left w:val="none" w:sz="0" w:space="0" w:color="auto"/>
        <w:bottom w:val="none" w:sz="0" w:space="0" w:color="auto"/>
        <w:right w:val="none" w:sz="0" w:space="0" w:color="auto"/>
      </w:divBdr>
      <w:divsChild>
        <w:div w:id="320500448">
          <w:marLeft w:val="0"/>
          <w:marRight w:val="0"/>
          <w:marTop w:val="0"/>
          <w:marBottom w:val="0"/>
          <w:divBdr>
            <w:top w:val="none" w:sz="0" w:space="0" w:color="auto"/>
            <w:left w:val="none" w:sz="0" w:space="0" w:color="auto"/>
            <w:bottom w:val="none" w:sz="0" w:space="0" w:color="auto"/>
            <w:right w:val="none" w:sz="0" w:space="0" w:color="auto"/>
          </w:divBdr>
        </w:div>
      </w:divsChild>
    </w:div>
    <w:div w:id="544609174">
      <w:bodyDiv w:val="1"/>
      <w:marLeft w:val="0"/>
      <w:marRight w:val="0"/>
      <w:marTop w:val="0"/>
      <w:marBottom w:val="0"/>
      <w:divBdr>
        <w:top w:val="none" w:sz="0" w:space="0" w:color="auto"/>
        <w:left w:val="none" w:sz="0" w:space="0" w:color="auto"/>
        <w:bottom w:val="none" w:sz="0" w:space="0" w:color="auto"/>
        <w:right w:val="none" w:sz="0" w:space="0" w:color="auto"/>
      </w:divBdr>
    </w:div>
    <w:div w:id="624383703">
      <w:bodyDiv w:val="1"/>
      <w:marLeft w:val="0"/>
      <w:marRight w:val="0"/>
      <w:marTop w:val="0"/>
      <w:marBottom w:val="0"/>
      <w:divBdr>
        <w:top w:val="none" w:sz="0" w:space="0" w:color="auto"/>
        <w:left w:val="none" w:sz="0" w:space="0" w:color="auto"/>
        <w:bottom w:val="none" w:sz="0" w:space="0" w:color="auto"/>
        <w:right w:val="none" w:sz="0" w:space="0" w:color="auto"/>
      </w:divBdr>
      <w:divsChild>
        <w:div w:id="789979803">
          <w:marLeft w:val="0"/>
          <w:marRight w:val="0"/>
          <w:marTop w:val="0"/>
          <w:marBottom w:val="0"/>
          <w:divBdr>
            <w:top w:val="none" w:sz="0" w:space="0" w:color="auto"/>
            <w:left w:val="none" w:sz="0" w:space="0" w:color="auto"/>
            <w:bottom w:val="none" w:sz="0" w:space="0" w:color="auto"/>
            <w:right w:val="none" w:sz="0" w:space="0" w:color="auto"/>
          </w:divBdr>
        </w:div>
      </w:divsChild>
    </w:div>
    <w:div w:id="723335372">
      <w:bodyDiv w:val="1"/>
      <w:marLeft w:val="0"/>
      <w:marRight w:val="0"/>
      <w:marTop w:val="0"/>
      <w:marBottom w:val="0"/>
      <w:divBdr>
        <w:top w:val="none" w:sz="0" w:space="0" w:color="auto"/>
        <w:left w:val="none" w:sz="0" w:space="0" w:color="auto"/>
        <w:bottom w:val="none" w:sz="0" w:space="0" w:color="auto"/>
        <w:right w:val="none" w:sz="0" w:space="0" w:color="auto"/>
      </w:divBdr>
      <w:divsChild>
        <w:div w:id="60176953">
          <w:marLeft w:val="0"/>
          <w:marRight w:val="0"/>
          <w:marTop w:val="0"/>
          <w:marBottom w:val="0"/>
          <w:divBdr>
            <w:top w:val="none" w:sz="0" w:space="0" w:color="auto"/>
            <w:left w:val="none" w:sz="0" w:space="0" w:color="auto"/>
            <w:bottom w:val="none" w:sz="0" w:space="0" w:color="auto"/>
            <w:right w:val="none" w:sz="0" w:space="0" w:color="auto"/>
          </w:divBdr>
        </w:div>
      </w:divsChild>
    </w:div>
    <w:div w:id="777915291">
      <w:bodyDiv w:val="1"/>
      <w:marLeft w:val="0"/>
      <w:marRight w:val="0"/>
      <w:marTop w:val="0"/>
      <w:marBottom w:val="0"/>
      <w:divBdr>
        <w:top w:val="none" w:sz="0" w:space="0" w:color="auto"/>
        <w:left w:val="none" w:sz="0" w:space="0" w:color="auto"/>
        <w:bottom w:val="none" w:sz="0" w:space="0" w:color="auto"/>
        <w:right w:val="none" w:sz="0" w:space="0" w:color="auto"/>
      </w:divBdr>
    </w:div>
    <w:div w:id="946501738">
      <w:bodyDiv w:val="1"/>
      <w:marLeft w:val="0"/>
      <w:marRight w:val="0"/>
      <w:marTop w:val="0"/>
      <w:marBottom w:val="0"/>
      <w:divBdr>
        <w:top w:val="none" w:sz="0" w:space="0" w:color="auto"/>
        <w:left w:val="none" w:sz="0" w:space="0" w:color="auto"/>
        <w:bottom w:val="none" w:sz="0" w:space="0" w:color="auto"/>
        <w:right w:val="none" w:sz="0" w:space="0" w:color="auto"/>
      </w:divBdr>
      <w:divsChild>
        <w:div w:id="23555091">
          <w:marLeft w:val="0"/>
          <w:marRight w:val="0"/>
          <w:marTop w:val="0"/>
          <w:marBottom w:val="0"/>
          <w:divBdr>
            <w:top w:val="none" w:sz="0" w:space="0" w:color="auto"/>
            <w:left w:val="none" w:sz="0" w:space="0" w:color="auto"/>
            <w:bottom w:val="none" w:sz="0" w:space="0" w:color="auto"/>
            <w:right w:val="none" w:sz="0" w:space="0" w:color="auto"/>
          </w:divBdr>
        </w:div>
      </w:divsChild>
    </w:div>
    <w:div w:id="969633120">
      <w:bodyDiv w:val="1"/>
      <w:marLeft w:val="0"/>
      <w:marRight w:val="0"/>
      <w:marTop w:val="0"/>
      <w:marBottom w:val="0"/>
      <w:divBdr>
        <w:top w:val="none" w:sz="0" w:space="0" w:color="auto"/>
        <w:left w:val="none" w:sz="0" w:space="0" w:color="auto"/>
        <w:bottom w:val="none" w:sz="0" w:space="0" w:color="auto"/>
        <w:right w:val="none" w:sz="0" w:space="0" w:color="auto"/>
      </w:divBdr>
      <w:divsChild>
        <w:div w:id="29191764">
          <w:marLeft w:val="0"/>
          <w:marRight w:val="0"/>
          <w:marTop w:val="0"/>
          <w:marBottom w:val="0"/>
          <w:divBdr>
            <w:top w:val="none" w:sz="0" w:space="0" w:color="auto"/>
            <w:left w:val="none" w:sz="0" w:space="0" w:color="auto"/>
            <w:bottom w:val="none" w:sz="0" w:space="0" w:color="auto"/>
            <w:right w:val="none" w:sz="0" w:space="0" w:color="auto"/>
          </w:divBdr>
        </w:div>
      </w:divsChild>
    </w:div>
    <w:div w:id="985160698">
      <w:bodyDiv w:val="1"/>
      <w:marLeft w:val="0"/>
      <w:marRight w:val="0"/>
      <w:marTop w:val="0"/>
      <w:marBottom w:val="0"/>
      <w:divBdr>
        <w:top w:val="none" w:sz="0" w:space="0" w:color="auto"/>
        <w:left w:val="none" w:sz="0" w:space="0" w:color="auto"/>
        <w:bottom w:val="none" w:sz="0" w:space="0" w:color="auto"/>
        <w:right w:val="none" w:sz="0" w:space="0" w:color="auto"/>
      </w:divBdr>
    </w:div>
    <w:div w:id="1037655851">
      <w:bodyDiv w:val="1"/>
      <w:marLeft w:val="0"/>
      <w:marRight w:val="0"/>
      <w:marTop w:val="0"/>
      <w:marBottom w:val="0"/>
      <w:divBdr>
        <w:top w:val="none" w:sz="0" w:space="0" w:color="auto"/>
        <w:left w:val="none" w:sz="0" w:space="0" w:color="auto"/>
        <w:bottom w:val="none" w:sz="0" w:space="0" w:color="auto"/>
        <w:right w:val="none" w:sz="0" w:space="0" w:color="auto"/>
      </w:divBdr>
    </w:div>
    <w:div w:id="1117067593">
      <w:bodyDiv w:val="1"/>
      <w:marLeft w:val="0"/>
      <w:marRight w:val="0"/>
      <w:marTop w:val="0"/>
      <w:marBottom w:val="0"/>
      <w:divBdr>
        <w:top w:val="none" w:sz="0" w:space="0" w:color="auto"/>
        <w:left w:val="none" w:sz="0" w:space="0" w:color="auto"/>
        <w:bottom w:val="none" w:sz="0" w:space="0" w:color="auto"/>
        <w:right w:val="none" w:sz="0" w:space="0" w:color="auto"/>
      </w:divBdr>
      <w:divsChild>
        <w:div w:id="68041987">
          <w:marLeft w:val="0"/>
          <w:marRight w:val="0"/>
          <w:marTop w:val="0"/>
          <w:marBottom w:val="0"/>
          <w:divBdr>
            <w:top w:val="none" w:sz="0" w:space="0" w:color="auto"/>
            <w:left w:val="none" w:sz="0" w:space="0" w:color="auto"/>
            <w:bottom w:val="none" w:sz="0" w:space="0" w:color="auto"/>
            <w:right w:val="none" w:sz="0" w:space="0" w:color="auto"/>
          </w:divBdr>
        </w:div>
      </w:divsChild>
    </w:div>
    <w:div w:id="1131022482">
      <w:bodyDiv w:val="1"/>
      <w:marLeft w:val="0"/>
      <w:marRight w:val="0"/>
      <w:marTop w:val="0"/>
      <w:marBottom w:val="0"/>
      <w:divBdr>
        <w:top w:val="none" w:sz="0" w:space="0" w:color="auto"/>
        <w:left w:val="none" w:sz="0" w:space="0" w:color="auto"/>
        <w:bottom w:val="none" w:sz="0" w:space="0" w:color="auto"/>
        <w:right w:val="none" w:sz="0" w:space="0" w:color="auto"/>
      </w:divBdr>
      <w:divsChild>
        <w:div w:id="1432893596">
          <w:marLeft w:val="0"/>
          <w:marRight w:val="0"/>
          <w:marTop w:val="0"/>
          <w:marBottom w:val="0"/>
          <w:divBdr>
            <w:top w:val="none" w:sz="0" w:space="0" w:color="auto"/>
            <w:left w:val="none" w:sz="0" w:space="0" w:color="auto"/>
            <w:bottom w:val="none" w:sz="0" w:space="0" w:color="auto"/>
            <w:right w:val="none" w:sz="0" w:space="0" w:color="auto"/>
          </w:divBdr>
        </w:div>
      </w:divsChild>
    </w:div>
    <w:div w:id="1150095884">
      <w:bodyDiv w:val="1"/>
      <w:marLeft w:val="0"/>
      <w:marRight w:val="0"/>
      <w:marTop w:val="0"/>
      <w:marBottom w:val="0"/>
      <w:divBdr>
        <w:top w:val="none" w:sz="0" w:space="0" w:color="auto"/>
        <w:left w:val="none" w:sz="0" w:space="0" w:color="auto"/>
        <w:bottom w:val="none" w:sz="0" w:space="0" w:color="auto"/>
        <w:right w:val="none" w:sz="0" w:space="0" w:color="auto"/>
      </w:divBdr>
      <w:divsChild>
        <w:div w:id="506091134">
          <w:marLeft w:val="0"/>
          <w:marRight w:val="0"/>
          <w:marTop w:val="0"/>
          <w:marBottom w:val="0"/>
          <w:divBdr>
            <w:top w:val="none" w:sz="0" w:space="0" w:color="auto"/>
            <w:left w:val="none" w:sz="0" w:space="0" w:color="auto"/>
            <w:bottom w:val="none" w:sz="0" w:space="0" w:color="auto"/>
            <w:right w:val="none" w:sz="0" w:space="0" w:color="auto"/>
          </w:divBdr>
        </w:div>
      </w:divsChild>
    </w:div>
    <w:div w:id="1194612511">
      <w:bodyDiv w:val="1"/>
      <w:marLeft w:val="0"/>
      <w:marRight w:val="0"/>
      <w:marTop w:val="0"/>
      <w:marBottom w:val="0"/>
      <w:divBdr>
        <w:top w:val="none" w:sz="0" w:space="0" w:color="auto"/>
        <w:left w:val="none" w:sz="0" w:space="0" w:color="auto"/>
        <w:bottom w:val="none" w:sz="0" w:space="0" w:color="auto"/>
        <w:right w:val="none" w:sz="0" w:space="0" w:color="auto"/>
      </w:divBdr>
      <w:divsChild>
        <w:div w:id="87965245">
          <w:marLeft w:val="0"/>
          <w:marRight w:val="0"/>
          <w:marTop w:val="0"/>
          <w:marBottom w:val="0"/>
          <w:divBdr>
            <w:top w:val="none" w:sz="0" w:space="0" w:color="auto"/>
            <w:left w:val="none" w:sz="0" w:space="0" w:color="auto"/>
            <w:bottom w:val="none" w:sz="0" w:space="0" w:color="auto"/>
            <w:right w:val="none" w:sz="0" w:space="0" w:color="auto"/>
          </w:divBdr>
        </w:div>
      </w:divsChild>
    </w:div>
    <w:div w:id="1216812635">
      <w:bodyDiv w:val="1"/>
      <w:marLeft w:val="0"/>
      <w:marRight w:val="0"/>
      <w:marTop w:val="0"/>
      <w:marBottom w:val="0"/>
      <w:divBdr>
        <w:top w:val="none" w:sz="0" w:space="0" w:color="auto"/>
        <w:left w:val="none" w:sz="0" w:space="0" w:color="auto"/>
        <w:bottom w:val="none" w:sz="0" w:space="0" w:color="auto"/>
        <w:right w:val="none" w:sz="0" w:space="0" w:color="auto"/>
      </w:divBdr>
    </w:div>
    <w:div w:id="1424179119">
      <w:bodyDiv w:val="1"/>
      <w:marLeft w:val="0"/>
      <w:marRight w:val="0"/>
      <w:marTop w:val="0"/>
      <w:marBottom w:val="0"/>
      <w:divBdr>
        <w:top w:val="none" w:sz="0" w:space="0" w:color="auto"/>
        <w:left w:val="none" w:sz="0" w:space="0" w:color="auto"/>
        <w:bottom w:val="none" w:sz="0" w:space="0" w:color="auto"/>
        <w:right w:val="none" w:sz="0" w:space="0" w:color="auto"/>
      </w:divBdr>
      <w:divsChild>
        <w:div w:id="889615687">
          <w:marLeft w:val="0"/>
          <w:marRight w:val="0"/>
          <w:marTop w:val="0"/>
          <w:marBottom w:val="0"/>
          <w:divBdr>
            <w:top w:val="none" w:sz="0" w:space="0" w:color="auto"/>
            <w:left w:val="none" w:sz="0" w:space="0" w:color="auto"/>
            <w:bottom w:val="none" w:sz="0" w:space="0" w:color="auto"/>
            <w:right w:val="none" w:sz="0" w:space="0" w:color="auto"/>
          </w:divBdr>
        </w:div>
      </w:divsChild>
    </w:div>
    <w:div w:id="1459032001">
      <w:bodyDiv w:val="1"/>
      <w:marLeft w:val="0"/>
      <w:marRight w:val="0"/>
      <w:marTop w:val="0"/>
      <w:marBottom w:val="0"/>
      <w:divBdr>
        <w:top w:val="none" w:sz="0" w:space="0" w:color="auto"/>
        <w:left w:val="none" w:sz="0" w:space="0" w:color="auto"/>
        <w:bottom w:val="none" w:sz="0" w:space="0" w:color="auto"/>
        <w:right w:val="none" w:sz="0" w:space="0" w:color="auto"/>
      </w:divBdr>
      <w:divsChild>
        <w:div w:id="785319932">
          <w:marLeft w:val="0"/>
          <w:marRight w:val="0"/>
          <w:marTop w:val="0"/>
          <w:marBottom w:val="0"/>
          <w:divBdr>
            <w:top w:val="none" w:sz="0" w:space="0" w:color="auto"/>
            <w:left w:val="none" w:sz="0" w:space="0" w:color="auto"/>
            <w:bottom w:val="none" w:sz="0" w:space="0" w:color="auto"/>
            <w:right w:val="none" w:sz="0" w:space="0" w:color="auto"/>
          </w:divBdr>
        </w:div>
      </w:divsChild>
    </w:div>
    <w:div w:id="1460026054">
      <w:bodyDiv w:val="1"/>
      <w:marLeft w:val="0"/>
      <w:marRight w:val="0"/>
      <w:marTop w:val="0"/>
      <w:marBottom w:val="0"/>
      <w:divBdr>
        <w:top w:val="none" w:sz="0" w:space="0" w:color="auto"/>
        <w:left w:val="none" w:sz="0" w:space="0" w:color="auto"/>
        <w:bottom w:val="none" w:sz="0" w:space="0" w:color="auto"/>
        <w:right w:val="none" w:sz="0" w:space="0" w:color="auto"/>
      </w:divBdr>
      <w:divsChild>
        <w:div w:id="899901903">
          <w:marLeft w:val="0"/>
          <w:marRight w:val="0"/>
          <w:marTop w:val="0"/>
          <w:marBottom w:val="0"/>
          <w:divBdr>
            <w:top w:val="none" w:sz="0" w:space="0" w:color="auto"/>
            <w:left w:val="none" w:sz="0" w:space="0" w:color="auto"/>
            <w:bottom w:val="none" w:sz="0" w:space="0" w:color="auto"/>
            <w:right w:val="none" w:sz="0" w:space="0" w:color="auto"/>
          </w:divBdr>
        </w:div>
      </w:divsChild>
    </w:div>
    <w:div w:id="1611352211">
      <w:bodyDiv w:val="1"/>
      <w:marLeft w:val="0"/>
      <w:marRight w:val="0"/>
      <w:marTop w:val="0"/>
      <w:marBottom w:val="0"/>
      <w:divBdr>
        <w:top w:val="none" w:sz="0" w:space="0" w:color="auto"/>
        <w:left w:val="none" w:sz="0" w:space="0" w:color="auto"/>
        <w:bottom w:val="none" w:sz="0" w:space="0" w:color="auto"/>
        <w:right w:val="none" w:sz="0" w:space="0" w:color="auto"/>
      </w:divBdr>
    </w:div>
    <w:div w:id="1816606822">
      <w:bodyDiv w:val="1"/>
      <w:marLeft w:val="0"/>
      <w:marRight w:val="0"/>
      <w:marTop w:val="0"/>
      <w:marBottom w:val="0"/>
      <w:divBdr>
        <w:top w:val="none" w:sz="0" w:space="0" w:color="auto"/>
        <w:left w:val="none" w:sz="0" w:space="0" w:color="auto"/>
        <w:bottom w:val="none" w:sz="0" w:space="0" w:color="auto"/>
        <w:right w:val="none" w:sz="0" w:space="0" w:color="auto"/>
      </w:divBdr>
    </w:div>
    <w:div w:id="1912423944">
      <w:bodyDiv w:val="1"/>
      <w:marLeft w:val="0"/>
      <w:marRight w:val="0"/>
      <w:marTop w:val="0"/>
      <w:marBottom w:val="0"/>
      <w:divBdr>
        <w:top w:val="none" w:sz="0" w:space="0" w:color="auto"/>
        <w:left w:val="none" w:sz="0" w:space="0" w:color="auto"/>
        <w:bottom w:val="none" w:sz="0" w:space="0" w:color="auto"/>
        <w:right w:val="none" w:sz="0" w:space="0" w:color="auto"/>
      </w:divBdr>
      <w:divsChild>
        <w:div w:id="546071922">
          <w:marLeft w:val="0"/>
          <w:marRight w:val="0"/>
          <w:marTop w:val="0"/>
          <w:marBottom w:val="0"/>
          <w:divBdr>
            <w:top w:val="none" w:sz="0" w:space="0" w:color="auto"/>
            <w:left w:val="none" w:sz="0" w:space="0" w:color="auto"/>
            <w:bottom w:val="none" w:sz="0" w:space="0" w:color="auto"/>
            <w:right w:val="none" w:sz="0" w:space="0" w:color="auto"/>
          </w:divBdr>
        </w:div>
      </w:divsChild>
    </w:div>
    <w:div w:id="1920865698">
      <w:bodyDiv w:val="1"/>
      <w:marLeft w:val="0"/>
      <w:marRight w:val="0"/>
      <w:marTop w:val="0"/>
      <w:marBottom w:val="0"/>
      <w:divBdr>
        <w:top w:val="none" w:sz="0" w:space="0" w:color="auto"/>
        <w:left w:val="none" w:sz="0" w:space="0" w:color="auto"/>
        <w:bottom w:val="none" w:sz="0" w:space="0" w:color="auto"/>
        <w:right w:val="none" w:sz="0" w:space="0" w:color="auto"/>
      </w:divBdr>
      <w:divsChild>
        <w:div w:id="264263899">
          <w:marLeft w:val="0"/>
          <w:marRight w:val="0"/>
          <w:marTop w:val="0"/>
          <w:marBottom w:val="0"/>
          <w:divBdr>
            <w:top w:val="none" w:sz="0" w:space="0" w:color="auto"/>
            <w:left w:val="none" w:sz="0" w:space="0" w:color="auto"/>
            <w:bottom w:val="none" w:sz="0" w:space="0" w:color="auto"/>
            <w:right w:val="none" w:sz="0" w:space="0" w:color="auto"/>
          </w:divBdr>
        </w:div>
      </w:divsChild>
    </w:div>
    <w:div w:id="2016182223">
      <w:bodyDiv w:val="1"/>
      <w:marLeft w:val="0"/>
      <w:marRight w:val="0"/>
      <w:marTop w:val="0"/>
      <w:marBottom w:val="0"/>
      <w:divBdr>
        <w:top w:val="none" w:sz="0" w:space="0" w:color="auto"/>
        <w:left w:val="none" w:sz="0" w:space="0" w:color="auto"/>
        <w:bottom w:val="none" w:sz="0" w:space="0" w:color="auto"/>
        <w:right w:val="none" w:sz="0" w:space="0" w:color="auto"/>
      </w:divBdr>
    </w:div>
    <w:div w:id="2086409842">
      <w:bodyDiv w:val="1"/>
      <w:marLeft w:val="0"/>
      <w:marRight w:val="0"/>
      <w:marTop w:val="0"/>
      <w:marBottom w:val="0"/>
      <w:divBdr>
        <w:top w:val="none" w:sz="0" w:space="0" w:color="auto"/>
        <w:left w:val="none" w:sz="0" w:space="0" w:color="auto"/>
        <w:bottom w:val="none" w:sz="0" w:space="0" w:color="auto"/>
        <w:right w:val="none" w:sz="0" w:space="0" w:color="auto"/>
      </w:divBdr>
      <w:divsChild>
        <w:div w:id="175341123">
          <w:marLeft w:val="0"/>
          <w:marRight w:val="0"/>
          <w:marTop w:val="0"/>
          <w:marBottom w:val="0"/>
          <w:divBdr>
            <w:top w:val="none" w:sz="0" w:space="0" w:color="auto"/>
            <w:left w:val="none" w:sz="0" w:space="0" w:color="auto"/>
            <w:bottom w:val="none" w:sz="0" w:space="0" w:color="auto"/>
            <w:right w:val="none" w:sz="0" w:space="0" w:color="auto"/>
          </w:divBdr>
        </w:div>
      </w:divsChild>
    </w:div>
    <w:div w:id="2121754212">
      <w:bodyDiv w:val="1"/>
      <w:marLeft w:val="0"/>
      <w:marRight w:val="0"/>
      <w:marTop w:val="0"/>
      <w:marBottom w:val="0"/>
      <w:divBdr>
        <w:top w:val="none" w:sz="0" w:space="0" w:color="auto"/>
        <w:left w:val="none" w:sz="0" w:space="0" w:color="auto"/>
        <w:bottom w:val="none" w:sz="0" w:space="0" w:color="auto"/>
        <w:right w:val="none" w:sz="0" w:space="0" w:color="auto"/>
      </w:divBdr>
      <w:divsChild>
        <w:div w:id="30366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geu.org/wp-content/uploads/2021/11/TGEU-trans-poverty-report-2021.pdf" TargetMode="External"/><Relationship Id="rId17" Type="http://schemas.openxmlformats.org/officeDocument/2006/relationships/hyperlink" Target="https://ilgaworld-my.sharepoint.com/personal/ilia_projects_ilga_org/Documents/Attachments/masigualdad.pe/covid-donaci&#243;n-para-personas-trans" TargetMode="External"/><Relationship Id="rId2" Type="http://schemas.openxmlformats.org/officeDocument/2006/relationships/numbering" Target="numbering.xml"/><Relationship Id="rId16" Type="http://schemas.openxmlformats.org/officeDocument/2006/relationships/hyperlink" Target="https://panamericana.pe/24horas/locales/298113-miraflores-familiares-luis-repetto-desalojan-companero-domicilio-vivi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pridelobby.org/" TargetMode="External"/><Relationship Id="rId5" Type="http://schemas.openxmlformats.org/officeDocument/2006/relationships/webSettings" Target="webSettings.xml"/><Relationship Id="rId15" Type="http://schemas.openxmlformats.org/officeDocument/2006/relationships/hyperlink" Target="https://incidenciainternacional.promsex.org/casos/armando-zorrilla/"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sigualdad.pe/"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7" Type="http://schemas.openxmlformats.org/officeDocument/2006/relationships/hyperlink" Target="https://odihpn.org/publication/out-of-the-shadows-the-precarious-lives-of-venezuelan-lgbtqi-asylum-seekers-in-brazil/" TargetMode="External"/><Relationship Id="rId21" Type="http://schemas.openxmlformats.org/officeDocument/2006/relationships/hyperlink" Target="https://database.ilga.org/api/downloader/download/1/AL%20-%20LEG%20-%20%20Law%20on%20Protection%20from%20Discrimination%20(2010)%20-%20(en).pdf" TargetMode="External"/><Relationship Id="rId42" Type="http://schemas.openxmlformats.org/officeDocument/2006/relationships/hyperlink" Target="https://database.ilga.org/api/downloader/download/1/ES%20-%20LEG%20-%20Law%20on%20equal%20treatment%20(2022)%20-%20OR-OFF%20(es).pdf" TargetMode="External"/><Relationship Id="rId63" Type="http://schemas.openxmlformats.org/officeDocument/2006/relationships/hyperlink" Target="https://database.ilga.org/discrimination-housing-lgbti" TargetMode="External"/><Relationship Id="rId84" Type="http://schemas.openxmlformats.org/officeDocument/2006/relationships/hyperlink" Target="https://doi.org/10.2105/ajph.2011.300155" TargetMode="External"/><Relationship Id="rId138" Type="http://schemas.openxmlformats.org/officeDocument/2006/relationships/hyperlink" Target="https://www.hud.govt.nz/assets/Uploads/Documents/Severe-Housing-Deprivation-2018-Estimate-Report.pdf" TargetMode="External"/><Relationship Id="rId159" Type="http://schemas.openxmlformats.org/officeDocument/2006/relationships/hyperlink" Target="https://www.feantsa.org/public/user/Magazine/2023/Spring_magazine_2023/FEA_magazine_spring_2023.pdf" TargetMode="External"/><Relationship Id="rId170" Type="http://schemas.openxmlformats.org/officeDocument/2006/relationships/hyperlink" Target="https://tbinternet.ohchr.org/_layouts/15/treatybodyexternal/Download.aspx?symbolno=CRC%2FC%2FIRL%2FQPR%2F5-6&amp;Lang=en" TargetMode="External"/><Relationship Id="rId107" Type="http://schemas.openxmlformats.org/officeDocument/2006/relationships/hyperlink" Target="https://doi.org/10.1080/00224499.2010.501916" TargetMode="External"/><Relationship Id="rId11" Type="http://schemas.openxmlformats.org/officeDocument/2006/relationships/hyperlink" Target="https://database.ilga.org/discrimination-housing-lgbti" TargetMode="External"/><Relationship Id="rId32" Type="http://schemas.openxmlformats.org/officeDocument/2006/relationships/hyperlink" Target="https://database.ilga.org/api/downloader/download/1/FR%20-%20LEG%20-%20Law%20No.%202014-366%20(2014)%20-%20OR-OFF(fr).pdf" TargetMode="External"/><Relationship Id="rId53" Type="http://schemas.openxmlformats.org/officeDocument/2006/relationships/hyperlink" Target="https://database.ilga.org/api/downloader/download/1/CL%20-%20LEG%20-%20Bill%20no.%2014748-17%20(2021)%20-%20OR%20(es).pdf" TargetMode="External"/><Relationship Id="rId74" Type="http://schemas.openxmlformats.org/officeDocument/2006/relationships/hyperlink" Target="https://database.ilga.org/api/downloader/download/1/AR%20-%20LEG%20-%20%20Law%20Against%20Discrimination%20-%20Law%20No.%205.261%20(2015)%20-%20OR-OFF(es).pdf" TargetMode="External"/><Relationship Id="rId128" Type="http://schemas.openxmlformats.org/officeDocument/2006/relationships/hyperlink" Target="https://tgeu.org/wp-content/uploads/2021/11/TGEU-trans-poverty-report-2021.pdf" TargetMode="External"/><Relationship Id="rId149" Type="http://schemas.openxmlformats.org/officeDocument/2006/relationships/hyperlink" Target="https://transrespect.org/en/tmm-update-tdor-2022/" TargetMode="External"/><Relationship Id="rId5" Type="http://schemas.openxmlformats.org/officeDocument/2006/relationships/hyperlink" Target="https://database.ilga.org/discrimination-housing-lgbti" TargetMode="External"/><Relationship Id="rId95" Type="http://schemas.openxmlformats.org/officeDocument/2006/relationships/hyperlink" Target="https://escholarship.org/uc/item/80x75033" TargetMode="External"/><Relationship Id="rId160" Type="http://schemas.openxmlformats.org/officeDocument/2006/relationships/hyperlink" Target="https://www.feantsa.org/public/user/Magazine/2023/Spring_magazine_2023/FEA_magazine_spring_2023.pdf" TargetMode="External"/><Relationship Id="rId181" Type="http://schemas.openxmlformats.org/officeDocument/2006/relationships/hyperlink" Target="https://tgeu.org/wp-content/uploads/2021/11/TGEU-trans-poverty-report-2021.pdf" TargetMode="External"/><Relationship Id="rId22" Type="http://schemas.openxmlformats.org/officeDocument/2006/relationships/hyperlink" Target="https://database.ilga.org/api/downloader/download/1/AL%20-%20LEG%20-%20Protection%20from%20Discrimination%20Act%20(Law%20No.%2010,221%20(2010)%20-%20TR(en).pdf" TargetMode="External"/><Relationship Id="rId43" Type="http://schemas.openxmlformats.org/officeDocument/2006/relationships/hyperlink" Target="https://database.ilga.org/api/downloader/download/1/ES%20-%20LEG%20-%20Law%20on%20urban%20rentals%20(1994)%20-%20OR-OFF(es).pdf" TargetMode="External"/><Relationship Id="rId64" Type="http://schemas.openxmlformats.org/officeDocument/2006/relationships/hyperlink" Target="https://database.ilga.org/api/downloader/download/1/CA%20-%20LEG%20-%20%20Canadian%20Human%20Rights%20Act%20(1996)%20-%20OR-OFF(en-fr).pdf" TargetMode="External"/><Relationship Id="rId118" Type="http://schemas.openxmlformats.org/officeDocument/2006/relationships/hyperlink" Target="https://database.ilga.org/api/downloader/download/4/en-JAL.COL.6_2020.pdf" TargetMode="External"/><Relationship Id="rId139" Type="http://schemas.openxmlformats.org/officeDocument/2006/relationships/hyperlink" Target="https://researchcommons.waikato.ac.nz/bitstream/handle/10289/12942/Counting%20Ourselves_Report%20Dec%2019-Online.pdf?sequence=54&amp;isAllowed=y" TargetMode="External"/><Relationship Id="rId85" Type="http://schemas.openxmlformats.org/officeDocument/2006/relationships/hyperlink" Target="https://www.hrc.org/news/new-report-on-youth-homeless-affirms-that-lgbtq-youth-disproportionately-ex" TargetMode="External"/><Relationship Id="rId150" Type="http://schemas.openxmlformats.org/officeDocument/2006/relationships/hyperlink" Target="https://tgeu.org/wp-content/uploads/2021/11/TGEU-trans-poverty-report-2021.pdf" TargetMode="External"/><Relationship Id="rId171" Type="http://schemas.openxmlformats.org/officeDocument/2006/relationships/hyperlink" Target="https://www.focusireland.ie/" TargetMode="External"/><Relationship Id="rId12" Type="http://schemas.openxmlformats.org/officeDocument/2006/relationships/hyperlink" Target="https://www.vicpridelobby.org/" TargetMode="External"/><Relationship Id="rId33" Type="http://schemas.openxmlformats.org/officeDocument/2006/relationships/hyperlink" Target="https://database.ilga.org/api/downloader/download/1/FR%20-%20LEG%20-%20Penal%20Code%20ed%202021%20(1994)%20-%20OR-OFF(fr).pdf" TargetMode="External"/><Relationship Id="rId108" Type="http://schemas.openxmlformats.org/officeDocument/2006/relationships/hyperlink" Target="https://escholarship.org/uc/item/1pd9886n" TargetMode="External"/><Relationship Id="rId129" Type="http://schemas.openxmlformats.org/officeDocument/2006/relationships/hyperlink" Target="https://76crimes.com/2023/04/13/a-life-at-risk-fleeing-to-paris-from-caribbean-homophobia-in-saint-martin/" TargetMode="External"/><Relationship Id="rId54" Type="http://schemas.openxmlformats.org/officeDocument/2006/relationships/hyperlink" Target="https://database.ilga.org/api/downloader/download/1/CO%20-%20LEG%20-%20Law%20No.%201,482%20(2011)%20-%20OR-OFF(es).pdf" TargetMode="External"/><Relationship Id="rId75" Type="http://schemas.openxmlformats.org/officeDocument/2006/relationships/hyperlink" Target="https://database.ilga.org/api/downloader/download/1/AR%20-%20Law%2010.374%20(2021)%20La%20Rioja%20-%20OR-OFF(es).pdf" TargetMode="External"/><Relationship Id="rId96" Type="http://schemas.openxmlformats.org/officeDocument/2006/relationships/hyperlink" Target="https://doi.org/10.1300/j285v05n03_05" TargetMode="External"/><Relationship Id="rId140" Type="http://schemas.openxmlformats.org/officeDocument/2006/relationships/hyperlink" Target="https://www.legislation.govt.nz/act/public/2003/0028/latest/DLM197815.html" TargetMode="External"/><Relationship Id="rId161" Type="http://schemas.openxmlformats.org/officeDocument/2006/relationships/hyperlink" Target="https://www.placetocallhome.ca/" TargetMode="External"/><Relationship Id="rId182" Type="http://schemas.openxmlformats.org/officeDocument/2006/relationships/hyperlink" Target="https://undocs.org/A/74/181" TargetMode="External"/><Relationship Id="rId6" Type="http://schemas.openxmlformats.org/officeDocument/2006/relationships/hyperlink" Target="https://database.ilga.org/api/downloader/download/1/ZA%20-%20LEG%20-%20Rental%20Housing%20Act%20(1999)%20-%20OR-OFF(en).pdf" TargetMode="External"/><Relationship Id="rId23" Type="http://schemas.openxmlformats.org/officeDocument/2006/relationships/hyperlink" Target="https://database.ilga.org/discrimination-housing-lgbti" TargetMode="External"/><Relationship Id="rId119" Type="http://schemas.openxmlformats.org/officeDocument/2006/relationships/hyperlink" Target="https://www.heartlandalliance.org/" TargetMode="External"/><Relationship Id="rId44" Type="http://schemas.openxmlformats.org/officeDocument/2006/relationships/hyperlink" Target="https://database.ilga.org/api/downloader/download/1/ES%20-%20LEG%20-%20Trans%20and%20LGBTI%20Law%20(2023)%20-%20OR-OFF%20(es).pdf" TargetMode="External"/><Relationship Id="rId60" Type="http://schemas.openxmlformats.org/officeDocument/2006/relationships/hyperlink" Target="https://database.ilga.org/api/downloader/download/1/PE%20-%20LEG%20-%20Constitutional%20Procedure%20Code%20-%20Law%20No.%2028237%20(2004)%20-%20OR(es).pdf" TargetMode="External"/><Relationship Id="rId65" Type="http://schemas.openxmlformats.org/officeDocument/2006/relationships/hyperlink" Target="https://database.ilga.org/api/downloader/download/1/CA%20-%20LEG%20-%20An%20Act%20to%20amend%20the%20Canadian%20Human%20Rights%20Act%20and%20the%20Criminal%20Code%20(2017)%20-%20OR-OFF(en-fr).pdf" TargetMode="External"/><Relationship Id="rId81" Type="http://schemas.openxmlformats.org/officeDocument/2006/relationships/hyperlink" Target="https://database.ilga.org/discrimination-housing-lgbti" TargetMode="External"/><Relationship Id="rId86" Type="http://schemas.openxmlformats.org/officeDocument/2006/relationships/hyperlink" Target="https://www.basw.co.uk/system/files/resources/basw_31219-10_0.pdf" TargetMode="External"/><Relationship Id="rId130" Type="http://schemas.openxmlformats.org/officeDocument/2006/relationships/hyperlink" Target="https://76crimes.com/2023/04/25/after-homophobia-and-homelessness-a-caribbean-story-with-a-happier-ending/" TargetMode="External"/><Relationship Id="rId135" Type="http://schemas.openxmlformats.org/officeDocument/2006/relationships/hyperlink" Target="https://www.nswp.org/news/sex-workers-bangladesh-evicted-gentrification-drive-offered-rehabiliation" TargetMode="External"/><Relationship Id="rId151" Type="http://schemas.openxmlformats.org/officeDocument/2006/relationships/hyperlink" Target="https://tgeu.org/wp-content/uploads/2021/11/TGEU-trans-poverty-report-2021.pdf" TargetMode="External"/><Relationship Id="rId156" Type="http://schemas.openxmlformats.org/officeDocument/2006/relationships/hyperlink" Target="https://www.feantsa.org/en" TargetMode="External"/><Relationship Id="rId177" Type="http://schemas.openxmlformats.org/officeDocument/2006/relationships/hyperlink" Target="https://tbinternet.ohchr.org/_layouts/15/treatybodyexternal/Download.aspx?symbolno=CERD%2FC%2FUSA%2FCO%2F10-12&amp;Lang=en" TargetMode="External"/><Relationship Id="rId172" Type="http://schemas.openxmlformats.org/officeDocument/2006/relationships/hyperlink" Target="https://www.belongto.org/" TargetMode="External"/><Relationship Id="rId13" Type="http://schemas.openxmlformats.org/officeDocument/2006/relationships/hyperlink" Target="https://www.vicpridelobby.org/download/victorian-gender-equality-strategy/" TargetMode="External"/><Relationship Id="rId18" Type="http://schemas.openxmlformats.org/officeDocument/2006/relationships/hyperlink" Target="https://database.ilga.org/discrimination-goods-and-services-lgbti" TargetMode="External"/><Relationship Id="rId39" Type="http://schemas.openxmlformats.org/officeDocument/2006/relationships/hyperlink" Target="https://database.ilga.org/api/downloader/download/1/SI%20-%20LEG%20-%20Penal%20Code%20(1994)%20-%20OR-OFF(sl).pdf" TargetMode="External"/><Relationship Id="rId109" Type="http://schemas.openxmlformats.org/officeDocument/2006/relationships/hyperlink" Target="https://doi.org/10.2105/AJPH.92.5.773" TargetMode="External"/><Relationship Id="rId34" Type="http://schemas.openxmlformats.org/officeDocument/2006/relationships/hyperlink" Target="https://database.ilga.org/api/downloader/download/1/RS%20-%20LEG%20-%20Prohibition%20of%20Discrimination%20Act%20(2010)%20-%20TR(en).pdf" TargetMode="External"/><Relationship Id="rId50" Type="http://schemas.openxmlformats.org/officeDocument/2006/relationships/hyperlink" Target="https://database.ilga.org/api/downloader/download/1/BR%20-%20LEG%20-%20Bill%20PL%201947-2021%20(2021)%20-%20OR-OFF(pt).pdf" TargetMode="External"/><Relationship Id="rId55" Type="http://schemas.openxmlformats.org/officeDocument/2006/relationships/hyperlink" Target="https://database.ilga.org/api/downloader/download/1/CO%20-%20LEG%20-%20Penal%20Code%20(2000)%20-%20OR(es).pdf" TargetMode="External"/><Relationship Id="rId76" Type="http://schemas.openxmlformats.org/officeDocument/2006/relationships/hyperlink" Target="https://database.ilga.org/api/downloader/download/1/AR%20-%20LEG%20-%20%20Law%20No.%20B%203.055%20(2008)%20-%20OR-OFF(es).pdf" TargetMode="External"/><Relationship Id="rId97" Type="http://schemas.openxmlformats.org/officeDocument/2006/relationships/hyperlink" Target="http://www.jstor.org/stable/45399619" TargetMode="External"/><Relationship Id="rId104" Type="http://schemas.openxmlformats.org/officeDocument/2006/relationships/hyperlink" Target="https://doi.org/10.1080/10911350902990478" TargetMode="External"/><Relationship Id="rId120" Type="http://schemas.openxmlformats.org/officeDocument/2006/relationships/hyperlink" Target="https://www.heartlandalliance.org/" TargetMode="External"/><Relationship Id="rId125" Type="http://schemas.openxmlformats.org/officeDocument/2006/relationships/hyperlink" Target="https://tgeu.org/wp-content/uploads/2021/11/TGEU-trans-poverty-report-2021.pdf" TargetMode="External"/><Relationship Id="rId141" Type="http://schemas.openxmlformats.org/officeDocument/2006/relationships/hyperlink" Target="https://doi.org/10.14197/atr.20122320" TargetMode="External"/><Relationship Id="rId146" Type="http://schemas.openxmlformats.org/officeDocument/2006/relationships/hyperlink" Target="http://www.oas.org/es/cidh/informes/pdfs/LGBTI-ReconocimientoDerechos2019.pdf" TargetMode="External"/><Relationship Id="rId167" Type="http://schemas.openxmlformats.org/officeDocument/2006/relationships/hyperlink" Target="https://tbinternet.ohchr.org/_layouts/15/treatybodyexternal/Download.aspx?symbolno=CCPR%2FC%2FIRL%2FQ%2F5&amp;Lang=en" TargetMode="External"/><Relationship Id="rId7" Type="http://schemas.openxmlformats.org/officeDocument/2006/relationships/hyperlink" Target="https://database.ilga.org/api/downloader/download/1/ZA%20-%20LEG%20-%20Promotion%20of%20Equality%20and%20Prevention%20of%20Unfair%20Discrimination%20Act%204%20(2000)%20-%20OR-OFF(en).pdf" TargetMode="External"/><Relationship Id="rId71" Type="http://schemas.openxmlformats.org/officeDocument/2006/relationships/hyperlink" Target="https://database.ilga.org/discrimination-housing-lgbti" TargetMode="External"/><Relationship Id="rId92" Type="http://schemas.openxmlformats.org/officeDocument/2006/relationships/hyperlink" Target="https://escholarship.org/uc/item/80x75033" TargetMode="External"/><Relationship Id="rId162" Type="http://schemas.openxmlformats.org/officeDocument/2006/relationships/hyperlink" Target="https://www.cmhc-schl.gc.ca/nhs/guidepage-strategy/priority-areas-for-action" TargetMode="External"/><Relationship Id="rId2" Type="http://schemas.openxmlformats.org/officeDocument/2006/relationships/hyperlink" Target="https://database.ilga.org/api/downloader/download/1/CV%20-%20LEG%20-%20National%20Housing%20Policy%20(2019)%20-%20OR-OFF(pt).pdf" TargetMode="External"/><Relationship Id="rId29" Type="http://schemas.openxmlformats.org/officeDocument/2006/relationships/hyperlink" Target="https://database.ilga.org/discrimination-housing-lgbti" TargetMode="External"/><Relationship Id="rId24" Type="http://schemas.openxmlformats.org/officeDocument/2006/relationships/hyperlink" Target="https://database.ilga.org/discrimination-housing-lgbti" TargetMode="External"/><Relationship Id="rId40" Type="http://schemas.openxmlformats.org/officeDocument/2006/relationships/hyperlink" Target="https://database.ilga.org/api/downloader/download/1/SI%20-%20LEG%20-%20Penal%20Code%20(2008)%20-%20OR-OFF(sl).pdf" TargetMode="External"/><Relationship Id="rId45" Type="http://schemas.openxmlformats.org/officeDocument/2006/relationships/hyperlink" Target="https://database.ilga.org/discrimination-housing-lgbti" TargetMode="External"/><Relationship Id="rId66" Type="http://schemas.openxmlformats.org/officeDocument/2006/relationships/hyperlink" Target="https://database.ilga.org/discrimination-housing-lgbti" TargetMode="External"/><Relationship Id="rId87" Type="http://schemas.openxmlformats.org/officeDocument/2006/relationships/hyperlink" Target="https://www.homelesshub.ca/sites/default/files/attachments/WithoutAHome-final.pdf" TargetMode="External"/><Relationship Id="rId110" Type="http://schemas.openxmlformats.org/officeDocument/2006/relationships/hyperlink" Target="https://www.feantsa.org/public/user/Magazine/2023/Spring_magazine_2023/FEA_magazine_spring_2023.pdf" TargetMode="External"/><Relationship Id="rId115" Type="http://schemas.openxmlformats.org/officeDocument/2006/relationships/hyperlink" Target="https://odihpn.org/publication/out-of-the-shadows-the-precarious-lives-of-venezuelan-lgbtqi-asylum-seekers-in-brazil/" TargetMode="External"/><Relationship Id="rId131" Type="http://schemas.openxmlformats.org/officeDocument/2006/relationships/hyperlink" Target="https://www.nswp.org/sites/nswp.org/files/briefing_note_social_protection_nswp_-_2019_0.pdf" TargetMode="External"/><Relationship Id="rId136" Type="http://schemas.openxmlformats.org/officeDocument/2006/relationships/hyperlink" Target="https://www.nswp.org/news/another-red-light-area-closes-indonesia" TargetMode="External"/><Relationship Id="rId157" Type="http://schemas.openxmlformats.org/officeDocument/2006/relationships/hyperlink" Target="https://www.feantsa.org/public/user/Magazine/2023/Spring_magazine_2023/FEA_magazine_spring_2023.pdf" TargetMode="External"/><Relationship Id="rId178" Type="http://schemas.openxmlformats.org/officeDocument/2006/relationships/hyperlink" Target="https://www.acf.hhs.gov/fysb/law-regulation/runaway-and-homeless-youth-program-authorizing-legislation" TargetMode="External"/><Relationship Id="rId61" Type="http://schemas.openxmlformats.org/officeDocument/2006/relationships/hyperlink" Target="https://database.ilga.org/api/downloader/download/1/PE%20-%20Crimial%20Code%20(1991)%20-%20OR(es).pdf" TargetMode="External"/><Relationship Id="rId82" Type="http://schemas.openxmlformats.org/officeDocument/2006/relationships/hyperlink" Target="https://database.ilga.org/api/downloader/download/1/US%20-%20LEG%20-%20Bill%20HR%205%20The%20Equality%20Act%20(2021)%20-%20OF-OFF%20(en).pdf" TargetMode="External"/><Relationship Id="rId152" Type="http://schemas.openxmlformats.org/officeDocument/2006/relationships/hyperlink" Target="https://transrespect.org/wp-content/uploads/2018/01/TvT-PS-Vol16-2017.pdf" TargetMode="External"/><Relationship Id="rId173" Type="http://schemas.openxmlformats.org/officeDocument/2006/relationships/hyperlink" Target="https://www.focusireland.ie/wp-content/uploads/2021/09/LGBTQI-Youth-Homelessness-Report_FINAL-VERSION.pdf" TargetMode="External"/><Relationship Id="rId19" Type="http://schemas.openxmlformats.org/officeDocument/2006/relationships/hyperlink" Target="https://database.ilga.org/api/downloader/download/1/PK%20-%20LEG%20-%20Transgender%20Persons%20Act%20(2018)%20-%20OR(en).pdf" TargetMode="External"/><Relationship Id="rId14" Type="http://schemas.openxmlformats.org/officeDocument/2006/relationships/hyperlink" Target="https://database.ilga.org/discrimination-housing-lgbti" TargetMode="External"/><Relationship Id="rId30" Type="http://schemas.openxmlformats.org/officeDocument/2006/relationships/hyperlink" Target="https://database.ilga.org/api/downloader/download/1/FR%20-%20LEG%20-%20Law%20No.%2089-462%20(1989)%20-%20OR-OFF(fr).pdf" TargetMode="External"/><Relationship Id="rId35" Type="http://schemas.openxmlformats.org/officeDocument/2006/relationships/hyperlink" Target="https://database.ilga.org/discrimination-housing-lgbti" TargetMode="External"/><Relationship Id="rId56" Type="http://schemas.openxmlformats.org/officeDocument/2006/relationships/hyperlink" Target="https://ilgaworld-my.sharepoint.com/personal/ilia_projects_ilga_org/Documents/Attachments/ILGA%20World%20Database:%20Protection%20against%20discrimination%20in%20housing%20-%20Colombia" TargetMode="External"/><Relationship Id="rId77" Type="http://schemas.openxmlformats.org/officeDocument/2006/relationships/hyperlink" Target="https://database.ilga.org/api/downloader/download/1/AR%20-%20LEG%20-%20%20Law%20No.%207.819%20(2007)%20-%20OR-OFF(es).pdf" TargetMode="External"/><Relationship Id="rId100" Type="http://schemas.openxmlformats.org/officeDocument/2006/relationships/hyperlink" Target="https://www.ilga-europe.org/files/uploads/2022/04/Perceptions-Comparative-findings-study-homeless-service-providers-LGBTI-focused-organisations.pdf" TargetMode="External"/><Relationship Id="rId105" Type="http://schemas.openxmlformats.org/officeDocument/2006/relationships/hyperlink" Target="https://scholarlycommons.law.northwestern.edu/njlsp/vol12/iss2/2" TargetMode="External"/><Relationship Id="rId126" Type="http://schemas.openxmlformats.org/officeDocument/2006/relationships/hyperlink" Target="https://tgeu.org/wp-content/uploads/2021/01/impact-assessment-covid19-and-trans-people-in-europe-and-central-asia.pdf" TargetMode="External"/><Relationship Id="rId147" Type="http://schemas.openxmlformats.org/officeDocument/2006/relationships/hyperlink" Target="https://tgeu.org/wp-content/uploads/2021/11/TGEU-trans-poverty-report-2021.pdf" TargetMode="External"/><Relationship Id="rId168" Type="http://schemas.openxmlformats.org/officeDocument/2006/relationships/hyperlink" Target="https://tbinternet.ohchr.org/_layouts/15/treatybodyexternal/Download.aspx?symbolno=CRC%2FC%2FIRL%2FQPR%2F5-6&amp;Lang=en" TargetMode="External"/><Relationship Id="rId8" Type="http://schemas.openxmlformats.org/officeDocument/2006/relationships/hyperlink" Target="https://database.ilga.org/discrimination-housing-lgbti" TargetMode="External"/><Relationship Id="rId51" Type="http://schemas.openxmlformats.org/officeDocument/2006/relationships/hyperlink" Target="https://database.ilga.org/api/downloader/download/1/CL%20-%20LEG%20-%20Law%20No.%2020,609%20(2012)%20-%20OR-OFF(es).pdf" TargetMode="External"/><Relationship Id="rId72" Type="http://schemas.openxmlformats.org/officeDocument/2006/relationships/hyperlink" Target="https://database.ilga.org/discrimination-housing-lgbti" TargetMode="External"/><Relationship Id="rId93" Type="http://schemas.openxmlformats.org/officeDocument/2006/relationships/hyperlink" Target="https://database.ilga.org/api/downloader/download/4/en-A_HRC_41_45_Add-1.pdf" TargetMode="External"/><Relationship Id="rId98" Type="http://schemas.openxmlformats.org/officeDocument/2006/relationships/hyperlink" Target="https://www.thetaskforce.org/app/uploads/2007/01/Lesbian-Gay-Bisexual-and-Transgender-Youth-An-Epidemic-of-Homelessness.pdf" TargetMode="External"/><Relationship Id="rId121" Type="http://schemas.openxmlformats.org/officeDocument/2006/relationships/hyperlink" Target="https://www.heartlandalliance.org/" TargetMode="External"/><Relationship Id="rId142" Type="http://schemas.openxmlformats.org/officeDocument/2006/relationships/hyperlink" Target="https://argentina.justia.com/provinciales/mendoza/codigos/ley-3-365-nov-25-1965/gdoc/" TargetMode="External"/><Relationship Id="rId163" Type="http://schemas.openxmlformats.org/officeDocument/2006/relationships/hyperlink" Target="https://www.cmhc-schl.gc.ca/blog/2022/2slgbtqia-housing-needs-challenges" TargetMode="External"/><Relationship Id="rId3" Type="http://schemas.openxmlformats.org/officeDocument/2006/relationships/hyperlink" Target="https://database.ilga.org/discrimination-housing-lgbti" TargetMode="External"/><Relationship Id="rId25" Type="http://schemas.openxmlformats.org/officeDocument/2006/relationships/hyperlink" Target="https://database.ilga.org/api/downloader/download/1/BG%20-%20LEG%20-%20%20Law%20on%20Protection%20Against%20Discrimination%20(2003)%20-%20TR(en).pdf" TargetMode="External"/><Relationship Id="rId46" Type="http://schemas.openxmlformats.org/officeDocument/2006/relationships/hyperlink" Target="https://database.ilga.org/api/downloader/download/1/MK%20-%20LEG%20-%20Law%20on%20Prevention%20of%20and%20Protection%20against%20Discrimination%20(2019)%20-%20OR-OFF(mk).pdf" TargetMode="External"/><Relationship Id="rId67" Type="http://schemas.openxmlformats.org/officeDocument/2006/relationships/hyperlink" Target="https://database.ilga.org/discrimination-housing-lgbti" TargetMode="External"/><Relationship Id="rId116" Type="http://schemas.openxmlformats.org/officeDocument/2006/relationships/hyperlink" Target="https://www.utoronto.ca/news/brazil-s-humane-refugee-policies-good-ideas-can-travel-north-u-t-expert-says" TargetMode="External"/><Relationship Id="rId137" Type="http://schemas.openxmlformats.org/officeDocument/2006/relationships/hyperlink" Target="https://www.unaids.org/en/resources/presscentre/pressreleaseandstatementarchive/2020/april/20200408_sex-workers-covid-19" TargetMode="External"/><Relationship Id="rId158" Type="http://schemas.openxmlformats.org/officeDocument/2006/relationships/hyperlink" Target="https://www.refugeopvanghuis.be/le-refuge/notre-action/" TargetMode="External"/><Relationship Id="rId20" Type="http://schemas.openxmlformats.org/officeDocument/2006/relationships/hyperlink" Target="https://database.ilga.org/discrimination-housing-lgbti" TargetMode="External"/><Relationship Id="rId41" Type="http://schemas.openxmlformats.org/officeDocument/2006/relationships/hyperlink" Target="https://database.ilga.org/api/downloader/download/1/SL%20-%20LEG%20-%20Protection%20against%20Discrimination%20Act%20(2016)%20-%20OR-OFF(sl).pdf" TargetMode="External"/><Relationship Id="rId62" Type="http://schemas.openxmlformats.org/officeDocument/2006/relationships/hyperlink" Target="https://database.ilga.org/api/downloader/download/1/PE%20-%20LEG%20-%20Executive%20Order%20No.%201323%20(2017)%20-%20OR-OFF(es).pdf" TargetMode="External"/><Relationship Id="rId83" Type="http://schemas.openxmlformats.org/officeDocument/2006/relationships/hyperlink" Target="https://voicesofyouthcount.org/wp-content/uploads/2017/11/ChapinHall_VoYC_NationalReport_Final.pdf" TargetMode="External"/><Relationship Id="rId88" Type="http://schemas.openxmlformats.org/officeDocument/2006/relationships/hyperlink" Target="https://www.ilga-europe.org/report/perceptions-addressing-lgbti-youth-homelessness-in-europe-and-central-asia/" TargetMode="External"/><Relationship Id="rId111" Type="http://schemas.openxmlformats.org/officeDocument/2006/relationships/hyperlink" Target="https://doi.org/10.1080/19359705.2022.2076759" TargetMode="External"/><Relationship Id="rId132" Type="http://schemas.openxmlformats.org/officeDocument/2006/relationships/hyperlink" Target="https://www.sexualrightsinitiative.org/sites/default/files/resources/files/2020-08/UPR37%20Rwanda%20ASWA%20and%20SRI_0.pdf" TargetMode="External"/><Relationship Id="rId153" Type="http://schemas.openxmlformats.org/officeDocument/2006/relationships/hyperlink" Target="https://transrespect.org/wp-content/uploads/2018/01/TvT-PS-Vol16-2017.pdf" TargetMode="External"/><Relationship Id="rId174" Type="http://schemas.openxmlformats.org/officeDocument/2006/relationships/hyperlink" Target="https://www.feantsa.org/public/user/Magazine/2023/Spring_magazine_2023/FEA_magazine_spring_2023.pdf" TargetMode="External"/><Relationship Id="rId179" Type="http://schemas.openxmlformats.org/officeDocument/2006/relationships/hyperlink" Target="https://www.washingtonblade.com/2016/09/20/hud-finalizes-rulebarring-anti-trans-discrimination-in-homeless-shelters/" TargetMode="External"/><Relationship Id="rId15" Type="http://schemas.openxmlformats.org/officeDocument/2006/relationships/hyperlink" Target="https://database.ilga.org/api/downloader/download/1/FM%20-%20LEG%20-%20Bill%2020-258%20(2018)%20-%20OR-OFF(en).pdf" TargetMode="External"/><Relationship Id="rId36" Type="http://schemas.openxmlformats.org/officeDocument/2006/relationships/hyperlink" Target="https://database.ilga.org/api/downloader/download/1/SK%20-%20LEG%20-%20Act%20on%20Equal%20Treatment%20in%20Certain%20Areas%20and%20Protection%20against%20Discrimination%20(2004)%20-%20OR-OFF(sk).pdf" TargetMode="External"/><Relationship Id="rId57" Type="http://schemas.openxmlformats.org/officeDocument/2006/relationships/hyperlink" Target="https://ilgaworld-my.sharepoint.com/personal/ilia_projects_ilga_org/Documents/Attachments/Dominican%20Republic:%20Protection%20against%20discrimination%20in%20housingSexual%20Orientation:%20Although%20no%20law%20offers%20protection%20on%20the%20basis%20of%20%22sexual%20orientation%22%20in%20broad%20terms,%20at%20least%20two%20laws%20explicitly%20mention" TargetMode="External"/><Relationship Id="rId106" Type="http://schemas.openxmlformats.org/officeDocument/2006/relationships/hyperlink" Target="https://doi.org/10.1080/0145935x.2016.1151781" TargetMode="External"/><Relationship Id="rId127" Type="http://schemas.openxmlformats.org/officeDocument/2006/relationships/hyperlink" Target="https://tgeu.org/wp-content/uploads/2021/01/impact-assessment-covid19-and-trans-people-in-europe-and-central-asia.pdf" TargetMode="External"/><Relationship Id="rId10" Type="http://schemas.openxmlformats.org/officeDocument/2006/relationships/hyperlink" Target="https://database.ilga.org/api/downloader/download/1/AU%20-%20LEG%20-%20Sex%20Discrimination%20Amendment%20(Sexual%20Orientation,%20Gender%20Identity%20and%20Intersex%20Status)%20Act%20(2013)%20-%20OR-OFF(en).pdf" TargetMode="External"/><Relationship Id="rId31" Type="http://schemas.openxmlformats.org/officeDocument/2006/relationships/hyperlink" Target="https://database.ilga.org/api/downloader/download/1/FR%20-%20LEG%20-%20Law%20No.%202002-73%20(2002)%20-%20OR-OFF(fr).pdf" TargetMode="External"/><Relationship Id="rId52" Type="http://schemas.openxmlformats.org/officeDocument/2006/relationships/hyperlink" Target="https://database.ilga.org/api/downloader/download/1/CL%20-%20LEG%20-%20Bill%20to%20amend%20Law%2020609%20(2020)%20-%20OR-OFF(es).pdf" TargetMode="External"/><Relationship Id="rId73" Type="http://schemas.openxmlformats.org/officeDocument/2006/relationships/hyperlink" Target="https://database.ilga.org/api/downloader/download/1/AR%20-%20LEG%20-%20Chaco%20Housing%20Law%20No.%203.467%20(2021)%20-%20OR-OFF(es).pdf" TargetMode="External"/><Relationship Id="rId78" Type="http://schemas.openxmlformats.org/officeDocument/2006/relationships/hyperlink" Target="https://database.ilga.org/api/downloader/download/1/AR%20-%20LEG%20-%20Law%206.915%20(2008)%20Santiago%20del%20Estero%20-%20OR(es).pdf" TargetMode="External"/><Relationship Id="rId94" Type="http://schemas.openxmlformats.org/officeDocument/2006/relationships/hyperlink" Target="https://www.ilga-europe.org/report/perceptions-addressing-lgbti-youth-homelessness-in-europe-and-central-asia/" TargetMode="External"/><Relationship Id="rId99" Type="http://schemas.openxmlformats.org/officeDocument/2006/relationships/hyperlink" Target="https://www.ilga-europe.org/report/perceptions-addressing-lgbti-youth-homelessness-in-europe-and-central-asia/" TargetMode="External"/><Relationship Id="rId101" Type="http://schemas.openxmlformats.org/officeDocument/2006/relationships/hyperlink" Target="https://database.ilga.org/api/downloader/download/4/en-A_74_181.pdf" TargetMode="External"/><Relationship Id="rId122" Type="http://schemas.openxmlformats.org/officeDocument/2006/relationships/hyperlink" Target="https://tgeu.org/wp-content/uploads/2021/12/tgeu-homelessness-policy-brief-en.pdf" TargetMode="External"/><Relationship Id="rId143" Type="http://schemas.openxmlformats.org/officeDocument/2006/relationships/hyperlink" Target="https://database.ilga.org/api/downloader/download/4/en-A_HRC_35_30_Add-3.pdf" TargetMode="External"/><Relationship Id="rId148" Type="http://schemas.openxmlformats.org/officeDocument/2006/relationships/hyperlink" Target="https://transrespect.org/wp-content/uploads/2018/01/TvT-PS-Vol16-2017.pdf" TargetMode="External"/><Relationship Id="rId164" Type="http://schemas.openxmlformats.org/officeDocument/2006/relationships/hyperlink" Target="https://udenfor.dk/projekt-lgbt-hjemloeshed/" TargetMode="External"/><Relationship Id="rId169" Type="http://schemas.openxmlformats.org/officeDocument/2006/relationships/hyperlink" Target="https://tbinternet.ohchr.org/_layouts/15/treatybodyexternal/Download.aspx?symbolno=CCPR%2FC%2FIRL%2FQ%2F5&amp;Lang=en" TargetMode="External"/><Relationship Id="rId4" Type="http://schemas.openxmlformats.org/officeDocument/2006/relationships/hyperlink" Target="https://database.ilga.org/api/downloader/download/1/MU%20-%20LEG%20-%20Equal%20Opportunities%20Act%20(2008)%20-%20OR(en).pdf" TargetMode="External"/><Relationship Id="rId9" Type="http://schemas.openxmlformats.org/officeDocument/2006/relationships/hyperlink" Target="https://ilgaworld-my.sharepoint.com/personal/ilia_projects_ilga_org/Documents/Attachments/Information%20obtained%20from%20the%20ILGA%20World%20database,%20ILGA%20World%20Database:%20Protection%20against%20discrimination%20in%20housing%20&#8211;%20Australia%20(retrieved%2001%20September%202023)" TargetMode="External"/><Relationship Id="rId180" Type="http://schemas.openxmlformats.org/officeDocument/2006/relationships/hyperlink" Target="https://cpilj.law.uconn.edu/wp-content/uploads/sites/2515/2020/03/CPILJ-19.1-The-New-John-Lawrence-An-Analysis-of-the-Criminalization-of-LGBTQ-Homelessness-by-Ariana-H.-Aboulafia.pdf" TargetMode="External"/><Relationship Id="rId26" Type="http://schemas.openxmlformats.org/officeDocument/2006/relationships/hyperlink" Target="https://ilgaworld-my.sharepoint.com/personal/ilia_projects_ilga_org/Documents/Attachments/Law%20on%20Amendment%20and%20Supplementation%20of%20the%20Law%20against%20Discrimination%20(2015)" TargetMode="External"/><Relationship Id="rId47" Type="http://schemas.openxmlformats.org/officeDocument/2006/relationships/hyperlink" Target="https://database.ilga.org/discrimination-housing-lgbti" TargetMode="External"/><Relationship Id="rId68" Type="http://schemas.openxmlformats.org/officeDocument/2006/relationships/hyperlink" Target="https://database.ilga.org/api/downloader/download/1/JP%20-%20LEG%20-%20Antidiscrimination%20Bill%20(2018)%20-%20OR-OFF(jp).pdf" TargetMode="External"/><Relationship Id="rId89" Type="http://schemas.openxmlformats.org/officeDocument/2006/relationships/hyperlink" Target="https://database.ilga.org/api/downloader/download/4/en-A_74_181.pdf" TargetMode="External"/><Relationship Id="rId112" Type="http://schemas.openxmlformats.org/officeDocument/2006/relationships/hyperlink" Target="https://www.r4v.info/en/refugeeandmigrants" TargetMode="External"/><Relationship Id="rId133" Type="http://schemas.openxmlformats.org/officeDocument/2006/relationships/hyperlink" Target="https://www.sexualrightsinitiative.org/sites/default/files/resources/files/2021-06/SRI%20submission%20to%20the%20Special%20Rapporteur%20on%20Housing_0.pdf" TargetMode="External"/><Relationship Id="rId154" Type="http://schemas.openxmlformats.org/officeDocument/2006/relationships/hyperlink" Target="https://transrespect.org/wp-content/uploads/2018/01/TvT-PS-Vol16-2017.pdf" TargetMode="External"/><Relationship Id="rId175" Type="http://schemas.openxmlformats.org/officeDocument/2006/relationships/hyperlink" Target="https://assets.gov.ie/239255/99c987df-4439-4bc2-8730-be614eae1e2e.pdf" TargetMode="External"/><Relationship Id="rId16" Type="http://schemas.openxmlformats.org/officeDocument/2006/relationships/hyperlink" Target="https://database.ilga.org/api/downloader/download/1/FM%20-%20LEG%20-%20%20Code%20of%20the%20Federated%20States%20of%20Micronesia%20(2014)%20-%20OR-OFF(en).pdf" TargetMode="External"/><Relationship Id="rId37" Type="http://schemas.openxmlformats.org/officeDocument/2006/relationships/hyperlink" Target="https://database.ilga.org/api/downloader/download/1/SK%20-%20LEG%20-%20Act%20No.%2085%20(2008)%20-%20OR(sk).pdf" TargetMode="External"/><Relationship Id="rId58" Type="http://schemas.openxmlformats.org/officeDocument/2006/relationships/hyperlink" Target="https://database.ilga.org/api/downloader/download/1/MX%20-%20LEG%20-%20Federal%20Law%20for%20the%20Prevention%20and%20Elimination%20of%20Discrimination%20(2003)%20-%20OR-OFF(es).pdf" TargetMode="External"/><Relationship Id="rId79" Type="http://schemas.openxmlformats.org/officeDocument/2006/relationships/hyperlink" Target="https://database.ilga.org/discrimination-housing-lgbti" TargetMode="External"/><Relationship Id="rId102" Type="http://schemas.openxmlformats.org/officeDocument/2006/relationships/hyperlink" Target="https://fra.europa.eu/sites/default/files/fra_uploads/fra-2020-lgbti-equality-1_en.pdf" TargetMode="External"/><Relationship Id="rId123" Type="http://schemas.openxmlformats.org/officeDocument/2006/relationships/hyperlink" Target="https://www.elsaltodiario.com/transexualidad/personas-trans-migrantes-supervivencia-ante-el-desamparo-del-estado-espanol" TargetMode="External"/><Relationship Id="rId144" Type="http://schemas.openxmlformats.org/officeDocument/2006/relationships/hyperlink" Target="https://database.ilga.org/api/downloader/download/4/en-A_HRC_38_43_Add-1.pdf" TargetMode="External"/><Relationship Id="rId90" Type="http://schemas.openxmlformats.org/officeDocument/2006/relationships/hyperlink" Target="https://www.ilga-europe.org/files/uploads/2022/04/Perceptions-Comparative-findings-study-homeless-service-providers-LGBTI-focused-organisations.pdf" TargetMode="External"/><Relationship Id="rId165" Type="http://schemas.openxmlformats.org/officeDocument/2006/relationships/hyperlink" Target="https://www.diakonie-frankfurt-offenbach.de/ich-suche-hilfe/wohnen-arbeit/hannah-wohnen-fuer-frauen/" TargetMode="External"/><Relationship Id="rId27" Type="http://schemas.openxmlformats.org/officeDocument/2006/relationships/hyperlink" Target="Bulgaria:%20Protection%20against%20discrimination%20in%20housingSexual%20Orientation:%20Article%204(1)%20of%20the%20Law%20against%20Discrimination%20(2004)%20bans%20direct%20and%20indirect%20discrimination%20based%20on%20%22sexual%20orientation%22.Article%206(1)%20establishes%20that%20the%20prohibition%20of%20discrimination%20shall%20apply%20in%20the%20exercise%20of%20all%20rights%20and%20freedoms%20provided%20for%20in%20the%20Constitution%20and%20the%20laws%20of%20the%20Republic%20of%20Bulgaria,%20including%20healthcare.Gender%20Identity:%20In%202015,%20the%20Law%20against%20Discrimination%20(2004)%20was%20amended%20by%20the%20Law%20on%20Amendment%20and%20Supplementation%20of%20the%20Law%20against%20Discrimination%20(2015),%20which%20inserted%20Additional%20Provision%201(17)%20establishing%20that%20the%20term%20%22sex%22%20includes%20the%20category%20%22sex%20change%22.%20Even%20though%20this%20is%20a%20progressive%20step,%20this%20terminology%20may%20fail%20to%20offer%20comprehensive%20protections%20against%20discrimination%20based%20on%20%22gender%20identity%22.Article%206(1)%20establishes%20that%20the%20prohibition%20of%20discrimination%20shall%20apply%20in%20the%20exercise%20of%20all%20rights%20and%20freedoms%20provided%20for%20in%20the%20Constitution%20and%20the%20laws%20of%20the%20Republic%20of%20Bulgaria,%20including%20housing.Source:%20ILGA%20World,%20ILGA%20World%20Database:%20Protection%20against%20discrimination%20in%20housing%20-%20Bulgaria%20%20(retrieved:%2001%20September%202023)." TargetMode="External"/><Relationship Id="rId48" Type="http://schemas.openxmlformats.org/officeDocument/2006/relationships/hyperlink" Target="https://database.ilga.org/api/downloader/download/1/BR%20-%20JUD%20-%20ADO%20No.%2026%20and%20MI%20No.%204,733%20(2019)%20-%20OR-OFF(pt).pdf" TargetMode="External"/><Relationship Id="rId69" Type="http://schemas.openxmlformats.org/officeDocument/2006/relationships/hyperlink" Target="https://database.ilga.org/discrimination-housing-lgbti" TargetMode="External"/><Relationship Id="rId113" Type="http://schemas.openxmlformats.org/officeDocument/2006/relationships/hyperlink" Target="https://database.ilga.org/venezuela-lgbti" TargetMode="External"/><Relationship Id="rId134" Type="http://schemas.openxmlformats.org/officeDocument/2006/relationships/hyperlink" Target="https://doi.org/10.3390/ijerph16152677" TargetMode="External"/><Relationship Id="rId80" Type="http://schemas.openxmlformats.org/officeDocument/2006/relationships/hyperlink" Target="https://database.ilga.org/discrimination-housing-lgbti" TargetMode="External"/><Relationship Id="rId155" Type="http://schemas.openxmlformats.org/officeDocument/2006/relationships/hyperlink" Target="https://transrespect.org/en/tmm-update-tdor-2022/" TargetMode="External"/><Relationship Id="rId176" Type="http://schemas.openxmlformats.org/officeDocument/2006/relationships/hyperlink" Target="https://ec.europa.eu/social/BlobServlet?docId=24120&amp;langId=en" TargetMode="External"/><Relationship Id="rId17" Type="http://schemas.openxmlformats.org/officeDocument/2006/relationships/hyperlink" Target="https://database.ilga.org/api/downloader/download/1/MN%20-%20LEG%20-%20%20Penal%20Code%20(2015)%20-%20OR-OFF(mn).pdf" TargetMode="External"/><Relationship Id="rId38" Type="http://schemas.openxmlformats.org/officeDocument/2006/relationships/hyperlink" Target="https://database.ilga.org/discrimination-housing-lgbti" TargetMode="External"/><Relationship Id="rId59" Type="http://schemas.openxmlformats.org/officeDocument/2006/relationships/hyperlink" Target="https://database.ilga.org/discrimination-housing-lgbti" TargetMode="External"/><Relationship Id="rId103" Type="http://schemas.openxmlformats.org/officeDocument/2006/relationships/hyperlink" Target="https://doi.org/10.1080/0145935x.2016.1151781" TargetMode="External"/><Relationship Id="rId124" Type="http://schemas.openxmlformats.org/officeDocument/2006/relationships/hyperlink" Target="https://www.elsaltodiario.com/transexualidad/personas-trans-migrantes-supervivencia-ante-el-desamparo-del-estado-espanol" TargetMode="External"/><Relationship Id="rId70" Type="http://schemas.openxmlformats.org/officeDocument/2006/relationships/hyperlink" Target="https://database.ilga.org/api/downloader/download/1/CY%20-%20LEG%20-%20Combating%20Racism%20and%20Other%20Forms%20of%20Discrimination%20(Commissioner)%20Act%20(2004)%20-%20TR(en).pdf" TargetMode="External"/><Relationship Id="rId91" Type="http://schemas.openxmlformats.org/officeDocument/2006/relationships/hyperlink" Target="https://cpilj.law.uconn.edu/wp-content/uploads/sites/2515/2020/03/CPILJ-19.1-The-New-John-Lawrence-An-Analysis-of-the-Criminalization-of-LGBTQ-Homelessness-by-Ariana-H.-Aboulafia.pdf" TargetMode="External"/><Relationship Id="rId145" Type="http://schemas.openxmlformats.org/officeDocument/2006/relationships/hyperlink" Target="http://www.oas.org/es/cidh/informes/pdfs/LGBTI-ReconocimientoDerechos2019.pdf" TargetMode="External"/><Relationship Id="rId166" Type="http://schemas.openxmlformats.org/officeDocument/2006/relationships/hyperlink" Target="https://www.feantsa.org/public/user/Magazine/2023/Spring_magazine_2023/FEA_magazine_spring_2023.pdf" TargetMode="External"/><Relationship Id="rId1" Type="http://schemas.openxmlformats.org/officeDocument/2006/relationships/hyperlink" Target="https://database.ilga.org/discrimination-housing-lgbti" TargetMode="External"/><Relationship Id="rId28" Type="http://schemas.openxmlformats.org/officeDocument/2006/relationships/hyperlink" Target="https://database.ilga.org/api/downloader/download/1/DK%20-%20LEG%20-%20LBK%20751%20Equality%20Women%20and%20men%20(2021)%20-%20OR-OFF(da).pdf" TargetMode="External"/><Relationship Id="rId49" Type="http://schemas.openxmlformats.org/officeDocument/2006/relationships/hyperlink" Target="https://database.ilga.org/api/downloader/download/1/BR%20-%20LEG%20-%20%20Law%20No.%207.716%20(1989)%20-%20OR-OFF(pt).pdf" TargetMode="External"/><Relationship Id="rId114" Type="http://schemas.openxmlformats.org/officeDocument/2006/relationships/hyperlink" Target="https://williamsinstitute.law.ucla.edu/publications/lgbtqi-refugees-asylum-see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ILGA World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CB02B0D3-4FD6-4DC9-A4E5-2A6BB0AB0B8C}">
  <ds:schemaRefs>
    <ds:schemaRef ds:uri="http://schemas.openxmlformats.org/officeDocument/2006/bibliography"/>
  </ds:schemaRefs>
</ds:datastoreItem>
</file>

<file path=customXml/itemProps2.xml><?xml version="1.0" encoding="utf-8"?>
<ds:datastoreItem xmlns:ds="http://schemas.openxmlformats.org/officeDocument/2006/customXml" ds:itemID="{0E41C02A-2B64-40D0-BAD1-D0A495023B35}"/>
</file>

<file path=customXml/itemProps3.xml><?xml version="1.0" encoding="utf-8"?>
<ds:datastoreItem xmlns:ds="http://schemas.openxmlformats.org/officeDocument/2006/customXml" ds:itemID="{2DCFE727-2AA2-46BD-AC54-282EA11597EF}"/>
</file>

<file path=customXml/itemProps4.xml><?xml version="1.0" encoding="utf-8"?>
<ds:datastoreItem xmlns:ds="http://schemas.openxmlformats.org/officeDocument/2006/customXml" ds:itemID="{C20F40AB-5683-4D6C-B54C-232F48915533}"/>
</file>

<file path=docProps/app.xml><?xml version="1.0" encoding="utf-8"?>
<Properties xmlns="http://schemas.openxmlformats.org/officeDocument/2006/extended-properties" xmlns:vt="http://schemas.openxmlformats.org/officeDocument/2006/docPropsVTypes">
  <Template>Normal</Template>
  <TotalTime>43</TotalTime>
  <Pages>31</Pages>
  <Words>9803</Words>
  <Characters>55882</Characters>
  <Application>Microsoft Office Word</Application>
  <DocSecurity>0</DocSecurity>
  <Lines>465</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Hionidou</dc:creator>
  <cp:keywords/>
  <dc:description/>
  <cp:lastModifiedBy>Ilia Hionidou</cp:lastModifiedBy>
  <cp:revision>29</cp:revision>
  <cp:lastPrinted>2023-10-06T09:28:00Z</cp:lastPrinted>
  <dcterms:created xsi:type="dcterms:W3CDTF">2023-10-03T15:19:00Z</dcterms:created>
  <dcterms:modified xsi:type="dcterms:W3CDTF">2023-10-06T09:29:00Z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