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C678" w14:textId="4F3D2BBF" w:rsidR="00B628FE" w:rsidRPr="0051033F" w:rsidRDefault="0051033F">
      <w:pPr>
        <w:spacing w:line="240" w:lineRule="auto"/>
        <w:jc w:val="both"/>
        <w:rPr>
          <w:rFonts w:asciiTheme="majorHAnsi" w:eastAsia="Calibri" w:hAnsiTheme="majorHAnsi" w:cstheme="majorHAnsi"/>
          <w:sz w:val="34"/>
          <w:szCs w:val="34"/>
          <w:highlight w:val="yellow"/>
          <w:lang w:val="en-GB"/>
        </w:rPr>
      </w:pPr>
      <w:r w:rsidRPr="0051033F">
        <w:rPr>
          <w:rFonts w:asciiTheme="majorHAnsi" w:eastAsia="Calibri" w:hAnsiTheme="majorHAnsi" w:cstheme="majorHAnsi"/>
          <w:b/>
          <w:noProof/>
          <w:sz w:val="40"/>
          <w:szCs w:val="40"/>
          <w:lang w:val="en-GB"/>
        </w:rPr>
        <w:drawing>
          <wp:anchor distT="0" distB="0" distL="114300" distR="114300" simplePos="0" relativeHeight="251664384" behindDoc="1" locked="0" layoutInCell="1" allowOverlap="1" wp14:anchorId="02FDB58B" wp14:editId="7D764EE0">
            <wp:simplePos x="0" y="0"/>
            <wp:positionH relativeFrom="column">
              <wp:posOffset>-47625</wp:posOffset>
            </wp:positionH>
            <wp:positionV relativeFrom="paragraph">
              <wp:posOffset>-535305</wp:posOffset>
            </wp:positionV>
            <wp:extent cx="1971675" cy="755650"/>
            <wp:effectExtent l="0" t="0" r="0" b="6350"/>
            <wp:wrapNone/>
            <wp:docPr id="2" name="image3.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jpg" descr="A close-up of a logo&#10;&#10;Description automatically generated"/>
                    <pic:cNvPicPr preferRelativeResize="0"/>
                  </pic:nvPicPr>
                  <pic:blipFill rotWithShape="1">
                    <a:blip r:embed="rId7" cstate="print">
                      <a:extLst>
                        <a:ext uri="{28A0092B-C50C-407E-A947-70E740481C1C}">
                          <a14:useLocalDpi xmlns:a14="http://schemas.microsoft.com/office/drawing/2010/main" val="0"/>
                        </a:ext>
                      </a:extLst>
                    </a:blip>
                    <a:srcRect b="16032"/>
                    <a:stretch/>
                  </pic:blipFill>
                  <pic:spPr bwMode="auto">
                    <a:xfrm>
                      <a:off x="0" y="0"/>
                      <a:ext cx="1971675"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033F">
        <w:rPr>
          <w:rFonts w:asciiTheme="majorHAnsi" w:eastAsia="Calibri" w:hAnsiTheme="majorHAnsi" w:cstheme="majorHAnsi"/>
          <w:noProof/>
          <w:sz w:val="34"/>
          <w:szCs w:val="34"/>
          <w:lang w:val="en-GB"/>
        </w:rPr>
        <w:drawing>
          <wp:anchor distT="0" distB="0" distL="114300" distR="114300" simplePos="0" relativeHeight="251662336" behindDoc="1" locked="0" layoutInCell="1" allowOverlap="1" wp14:anchorId="6EC26504" wp14:editId="58E8FE72">
            <wp:simplePos x="0" y="0"/>
            <wp:positionH relativeFrom="column">
              <wp:posOffset>4570730</wp:posOffset>
            </wp:positionH>
            <wp:positionV relativeFrom="paragraph">
              <wp:posOffset>-550545</wp:posOffset>
            </wp:positionV>
            <wp:extent cx="1223010" cy="791845"/>
            <wp:effectExtent l="0" t="0" r="0" b="0"/>
            <wp:wrapNone/>
            <wp:docPr id="609113645"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13645" name="Picture 1" descr="Blue letters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010" cy="791845"/>
                    </a:xfrm>
                    <a:prstGeom prst="rect">
                      <a:avLst/>
                    </a:prstGeom>
                  </pic:spPr>
                </pic:pic>
              </a:graphicData>
            </a:graphic>
            <wp14:sizeRelH relativeFrom="page">
              <wp14:pctWidth>0</wp14:pctWidth>
            </wp14:sizeRelH>
            <wp14:sizeRelV relativeFrom="page">
              <wp14:pctHeight>0</wp14:pctHeight>
            </wp14:sizeRelV>
          </wp:anchor>
        </w:drawing>
      </w:r>
      <w:r w:rsidRPr="0051033F">
        <w:rPr>
          <w:rFonts w:asciiTheme="majorHAnsi" w:eastAsia="Calibri" w:hAnsiTheme="majorHAnsi" w:cstheme="majorHAnsi"/>
          <w:noProof/>
          <w:sz w:val="34"/>
          <w:szCs w:val="34"/>
          <w:lang w:val="en-GB"/>
        </w:rPr>
        <w:drawing>
          <wp:anchor distT="0" distB="0" distL="114300" distR="114300" simplePos="0" relativeHeight="251663360" behindDoc="1" locked="0" layoutInCell="1" allowOverlap="1" wp14:anchorId="194810EC" wp14:editId="1F674C5B">
            <wp:simplePos x="0" y="0"/>
            <wp:positionH relativeFrom="column">
              <wp:posOffset>2718435</wp:posOffset>
            </wp:positionH>
            <wp:positionV relativeFrom="paragraph">
              <wp:posOffset>-554990</wp:posOffset>
            </wp:positionV>
            <wp:extent cx="1055370" cy="791845"/>
            <wp:effectExtent l="0" t="0" r="0" b="0"/>
            <wp:wrapNone/>
            <wp:docPr id="104057240" name="Picture 2"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240" name="Picture 2" descr="A colorful logo with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5370" cy="791845"/>
                    </a:xfrm>
                    <a:prstGeom prst="rect">
                      <a:avLst/>
                    </a:prstGeom>
                  </pic:spPr>
                </pic:pic>
              </a:graphicData>
            </a:graphic>
            <wp14:sizeRelH relativeFrom="page">
              <wp14:pctWidth>0</wp14:pctWidth>
            </wp14:sizeRelH>
            <wp14:sizeRelV relativeFrom="page">
              <wp14:pctHeight>0</wp14:pctHeight>
            </wp14:sizeRelV>
          </wp:anchor>
        </w:drawing>
      </w:r>
    </w:p>
    <w:p w14:paraId="3F7ECB73" w14:textId="65DC58AB" w:rsidR="00B628FE" w:rsidRPr="0051033F" w:rsidRDefault="0051033F">
      <w:pPr>
        <w:spacing w:line="240" w:lineRule="auto"/>
        <w:jc w:val="both"/>
        <w:rPr>
          <w:rFonts w:asciiTheme="majorHAnsi" w:eastAsia="Calibri" w:hAnsiTheme="majorHAnsi" w:cstheme="majorHAnsi"/>
          <w:b/>
          <w:sz w:val="40"/>
          <w:szCs w:val="40"/>
          <w:lang w:val="en-GB"/>
        </w:rPr>
      </w:pPr>
      <w:r w:rsidRPr="0051033F">
        <w:rPr>
          <w:rFonts w:asciiTheme="majorHAnsi" w:eastAsia="Calibri" w:hAnsiTheme="majorHAnsi" w:cstheme="majorHAnsi"/>
          <w:b/>
          <w:noProof/>
          <w:sz w:val="40"/>
          <w:szCs w:val="40"/>
          <w:lang w:val="en-GB"/>
        </w:rPr>
        <w:drawing>
          <wp:anchor distT="0" distB="0" distL="114300" distR="114300" simplePos="0" relativeHeight="251660288" behindDoc="1" locked="0" layoutInCell="1" allowOverlap="1" wp14:anchorId="0C73D1DD" wp14:editId="69E325E7">
            <wp:simplePos x="0" y="0"/>
            <wp:positionH relativeFrom="column">
              <wp:posOffset>3594100</wp:posOffset>
            </wp:positionH>
            <wp:positionV relativeFrom="paragraph">
              <wp:posOffset>106045</wp:posOffset>
            </wp:positionV>
            <wp:extent cx="1088390" cy="791845"/>
            <wp:effectExtent l="0" t="0" r="381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088390" cy="791845"/>
                    </a:xfrm>
                    <a:prstGeom prst="rect">
                      <a:avLst/>
                    </a:prstGeom>
                    <a:ln/>
                  </pic:spPr>
                </pic:pic>
              </a:graphicData>
            </a:graphic>
            <wp14:sizeRelH relativeFrom="page">
              <wp14:pctWidth>0</wp14:pctWidth>
            </wp14:sizeRelH>
            <wp14:sizeRelV relativeFrom="page">
              <wp14:pctHeight>0</wp14:pctHeight>
            </wp14:sizeRelV>
          </wp:anchor>
        </w:drawing>
      </w:r>
      <w:r w:rsidRPr="0051033F">
        <w:rPr>
          <w:rFonts w:asciiTheme="majorHAnsi" w:eastAsia="Calibri" w:hAnsiTheme="majorHAnsi" w:cstheme="majorHAnsi"/>
          <w:b/>
          <w:noProof/>
          <w:sz w:val="40"/>
          <w:szCs w:val="40"/>
          <w:lang w:val="en-GB"/>
        </w:rPr>
        <w:drawing>
          <wp:anchor distT="0" distB="0" distL="114300" distR="114300" simplePos="0" relativeHeight="251661312" behindDoc="1" locked="0" layoutInCell="1" allowOverlap="1" wp14:anchorId="7EB0A71F" wp14:editId="2D75E88E">
            <wp:simplePos x="0" y="0"/>
            <wp:positionH relativeFrom="column">
              <wp:posOffset>1918335</wp:posOffset>
            </wp:positionH>
            <wp:positionV relativeFrom="paragraph">
              <wp:posOffset>105518</wp:posOffset>
            </wp:positionV>
            <wp:extent cx="671830" cy="791845"/>
            <wp:effectExtent l="0" t="0" r="127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671830" cy="791845"/>
                    </a:xfrm>
                    <a:prstGeom prst="rect">
                      <a:avLst/>
                    </a:prstGeom>
                    <a:ln/>
                  </pic:spPr>
                </pic:pic>
              </a:graphicData>
            </a:graphic>
            <wp14:sizeRelH relativeFrom="page">
              <wp14:pctWidth>0</wp14:pctWidth>
            </wp14:sizeRelH>
            <wp14:sizeRelV relativeFrom="page">
              <wp14:pctHeight>0</wp14:pctHeight>
            </wp14:sizeRelV>
          </wp:anchor>
        </w:drawing>
      </w:r>
    </w:p>
    <w:p w14:paraId="7E4FDD28" w14:textId="6E6F9819" w:rsidR="00B628FE" w:rsidRPr="0051033F" w:rsidRDefault="00000000">
      <w:pPr>
        <w:spacing w:line="240" w:lineRule="auto"/>
        <w:jc w:val="both"/>
        <w:rPr>
          <w:rFonts w:asciiTheme="majorHAnsi" w:eastAsia="Calibri" w:hAnsiTheme="majorHAnsi" w:cstheme="majorHAnsi"/>
          <w:b/>
          <w:sz w:val="40"/>
          <w:szCs w:val="40"/>
          <w:lang w:val="en-GB"/>
        </w:rPr>
      </w:pPr>
      <w:r w:rsidRPr="0051033F">
        <w:rPr>
          <w:rFonts w:asciiTheme="majorHAnsi" w:eastAsia="Calibri" w:hAnsiTheme="majorHAnsi" w:cstheme="majorHAnsi"/>
          <w:b/>
          <w:sz w:val="40"/>
          <w:szCs w:val="40"/>
          <w:lang w:val="en-GB"/>
        </w:rPr>
        <w:t xml:space="preserve">       </w:t>
      </w:r>
    </w:p>
    <w:p w14:paraId="58E43453" w14:textId="77777777" w:rsidR="00B628FE" w:rsidRPr="0051033F" w:rsidRDefault="00B628FE">
      <w:pPr>
        <w:spacing w:line="240" w:lineRule="auto"/>
        <w:jc w:val="both"/>
        <w:rPr>
          <w:rFonts w:asciiTheme="majorHAnsi" w:eastAsia="Calibri" w:hAnsiTheme="majorHAnsi" w:cstheme="majorHAnsi"/>
          <w:b/>
          <w:sz w:val="40"/>
          <w:szCs w:val="40"/>
          <w:lang w:val="en-GB"/>
        </w:rPr>
      </w:pPr>
    </w:p>
    <w:p w14:paraId="62EA2F25" w14:textId="77777777" w:rsidR="0051033F" w:rsidRPr="0051033F" w:rsidRDefault="0051033F">
      <w:pPr>
        <w:spacing w:line="240" w:lineRule="auto"/>
        <w:jc w:val="both"/>
        <w:rPr>
          <w:rFonts w:asciiTheme="majorHAnsi" w:eastAsia="Calibri" w:hAnsiTheme="majorHAnsi" w:cstheme="majorHAnsi"/>
          <w:b/>
          <w:sz w:val="40"/>
          <w:szCs w:val="40"/>
          <w:lang w:val="en-GB"/>
        </w:rPr>
      </w:pPr>
    </w:p>
    <w:p w14:paraId="046C5DC2" w14:textId="77777777" w:rsidR="00B628FE" w:rsidRPr="0051033F" w:rsidRDefault="00000000">
      <w:pPr>
        <w:spacing w:line="240" w:lineRule="auto"/>
        <w:jc w:val="both"/>
        <w:rPr>
          <w:rFonts w:asciiTheme="majorHAnsi" w:eastAsia="Calibri" w:hAnsiTheme="majorHAnsi" w:cstheme="majorHAnsi"/>
          <w:b/>
          <w:sz w:val="40"/>
          <w:szCs w:val="40"/>
          <w:lang w:val="en-GB"/>
        </w:rPr>
      </w:pPr>
      <w:r w:rsidRPr="0051033F">
        <w:rPr>
          <w:rFonts w:asciiTheme="majorHAnsi" w:eastAsia="Calibri" w:hAnsiTheme="majorHAnsi" w:cstheme="majorHAnsi"/>
          <w:b/>
          <w:sz w:val="40"/>
          <w:szCs w:val="40"/>
          <w:lang w:val="en-GB"/>
        </w:rPr>
        <w:t>Submission to the UN Special rapporteurs on the right to adequate housing and on extreme poverty and human rights</w:t>
      </w:r>
    </w:p>
    <w:p w14:paraId="4C559E9D" w14:textId="77777777" w:rsidR="00B628FE" w:rsidRPr="0051033F" w:rsidRDefault="00B628FE">
      <w:pPr>
        <w:spacing w:line="240" w:lineRule="auto"/>
        <w:jc w:val="both"/>
        <w:rPr>
          <w:rFonts w:asciiTheme="majorHAnsi" w:eastAsia="Calibri" w:hAnsiTheme="majorHAnsi" w:cstheme="majorHAnsi"/>
          <w:b/>
          <w:sz w:val="32"/>
          <w:szCs w:val="32"/>
          <w:lang w:val="en-GB"/>
        </w:rPr>
      </w:pPr>
    </w:p>
    <w:p w14:paraId="203ED8F0" w14:textId="77777777" w:rsidR="0051033F" w:rsidRPr="0051033F" w:rsidRDefault="0051033F">
      <w:pPr>
        <w:spacing w:line="240" w:lineRule="auto"/>
        <w:jc w:val="both"/>
        <w:rPr>
          <w:rFonts w:asciiTheme="majorHAnsi" w:eastAsia="Calibri" w:hAnsiTheme="majorHAnsi" w:cstheme="majorHAnsi"/>
          <w:b/>
          <w:sz w:val="32"/>
          <w:szCs w:val="32"/>
          <w:lang w:val="en-GB"/>
        </w:rPr>
      </w:pPr>
    </w:p>
    <w:p w14:paraId="0BB2BD49" w14:textId="77777777" w:rsidR="00B628FE" w:rsidRPr="0051033F" w:rsidRDefault="00000000">
      <w:pPr>
        <w:spacing w:line="240" w:lineRule="auto"/>
        <w:rPr>
          <w:rFonts w:asciiTheme="majorHAnsi" w:eastAsia="Calibri" w:hAnsiTheme="majorHAnsi" w:cstheme="majorHAnsi"/>
          <w:b/>
          <w:sz w:val="32"/>
          <w:szCs w:val="32"/>
          <w:lang w:val="en-GB"/>
        </w:rPr>
      </w:pPr>
      <w:r w:rsidRPr="0051033F">
        <w:rPr>
          <w:rFonts w:asciiTheme="majorHAnsi" w:eastAsia="Calibri" w:hAnsiTheme="majorHAnsi" w:cstheme="majorHAnsi"/>
          <w:b/>
          <w:sz w:val="40"/>
          <w:szCs w:val="40"/>
          <w:lang w:val="en-GB"/>
        </w:rPr>
        <w:t xml:space="preserve">‘Protectionist’ criminal laws and their impact on homelessness and poverty </w:t>
      </w:r>
    </w:p>
    <w:p w14:paraId="18FB8A97" w14:textId="05007A9B" w:rsidR="0051033F" w:rsidRPr="0051033F" w:rsidRDefault="00000000">
      <w:pPr>
        <w:spacing w:line="240" w:lineRule="auto"/>
        <w:jc w:val="both"/>
        <w:rPr>
          <w:rFonts w:asciiTheme="majorHAnsi" w:eastAsia="Calibri" w:hAnsiTheme="majorHAnsi" w:cstheme="majorHAnsi"/>
          <w:b/>
          <w:sz w:val="40"/>
          <w:szCs w:val="40"/>
          <w:lang w:val="en-GB"/>
        </w:rPr>
      </w:pPr>
      <w:r w:rsidRPr="0051033F">
        <w:rPr>
          <w:rFonts w:asciiTheme="majorHAnsi" w:eastAsia="Calibri" w:hAnsiTheme="majorHAnsi" w:cstheme="majorHAnsi"/>
          <w:b/>
          <w:sz w:val="40"/>
          <w:szCs w:val="40"/>
          <w:lang w:val="en-GB"/>
        </w:rPr>
        <w:t xml:space="preserve"> </w:t>
      </w:r>
    </w:p>
    <w:p w14:paraId="59DE6BDA" w14:textId="75B6CD2A" w:rsidR="00B628FE" w:rsidRPr="0051033F" w:rsidRDefault="00000000">
      <w:pPr>
        <w:spacing w:line="240" w:lineRule="auto"/>
        <w:jc w:val="both"/>
        <w:rPr>
          <w:rFonts w:asciiTheme="majorHAnsi" w:eastAsia="Calibri" w:hAnsiTheme="majorHAnsi" w:cstheme="majorHAnsi"/>
          <w:b/>
          <w:sz w:val="32"/>
          <w:szCs w:val="32"/>
          <w:lang w:val="en-GB"/>
        </w:rPr>
      </w:pPr>
      <w:r w:rsidRPr="0051033F">
        <w:rPr>
          <w:rFonts w:asciiTheme="majorHAnsi" w:eastAsia="Calibri" w:hAnsiTheme="majorHAnsi" w:cstheme="majorHAnsi"/>
          <w:b/>
          <w:sz w:val="24"/>
          <w:szCs w:val="24"/>
          <w:lang w:val="en-GB"/>
        </w:rPr>
        <w:t>October 2023</w:t>
      </w:r>
    </w:p>
    <w:p w14:paraId="44DC63CF" w14:textId="77777777" w:rsidR="00B628FE" w:rsidRPr="0051033F" w:rsidRDefault="00B628FE">
      <w:pPr>
        <w:spacing w:line="240" w:lineRule="auto"/>
        <w:jc w:val="both"/>
        <w:rPr>
          <w:rFonts w:asciiTheme="majorHAnsi" w:eastAsia="Calibri" w:hAnsiTheme="majorHAnsi" w:cstheme="majorHAnsi"/>
          <w:sz w:val="24"/>
          <w:szCs w:val="24"/>
          <w:lang w:val="en-GB"/>
        </w:rPr>
      </w:pPr>
    </w:p>
    <w:p w14:paraId="23E34BE0" w14:textId="77777777" w:rsidR="0051033F" w:rsidRPr="0051033F" w:rsidRDefault="0051033F">
      <w:pPr>
        <w:spacing w:line="240" w:lineRule="auto"/>
        <w:jc w:val="both"/>
        <w:rPr>
          <w:rFonts w:asciiTheme="majorHAnsi" w:eastAsia="Calibri" w:hAnsiTheme="majorHAnsi" w:cstheme="majorHAnsi"/>
          <w:sz w:val="24"/>
          <w:szCs w:val="24"/>
          <w:lang w:val="en-GB"/>
        </w:rPr>
      </w:pPr>
    </w:p>
    <w:p w14:paraId="55EDDF54" w14:textId="77777777" w:rsidR="00B628FE" w:rsidRPr="0051033F" w:rsidRDefault="00000000">
      <w:pPr>
        <w:spacing w:line="240" w:lineRule="auto"/>
        <w:jc w:val="both"/>
        <w:rPr>
          <w:rFonts w:asciiTheme="majorHAnsi" w:eastAsia="Calibri" w:hAnsiTheme="majorHAnsi" w:cstheme="majorHAnsi"/>
          <w:b/>
          <w:sz w:val="24"/>
          <w:szCs w:val="24"/>
          <w:lang w:val="en-GB"/>
        </w:rPr>
      </w:pPr>
      <w:r w:rsidRPr="0051033F">
        <w:rPr>
          <w:rFonts w:asciiTheme="majorHAnsi" w:eastAsia="Calibri" w:hAnsiTheme="majorHAnsi" w:cstheme="majorHAnsi"/>
          <w:b/>
          <w:sz w:val="24"/>
          <w:szCs w:val="24"/>
          <w:lang w:val="en-GB"/>
        </w:rPr>
        <w:t>Submitting organisations and contacts:</w:t>
      </w:r>
    </w:p>
    <w:p w14:paraId="219D7F45" w14:textId="77777777" w:rsidR="00B628FE" w:rsidRPr="0051033F" w:rsidRDefault="00B628FE">
      <w:pPr>
        <w:spacing w:line="240" w:lineRule="auto"/>
        <w:jc w:val="both"/>
        <w:rPr>
          <w:rFonts w:asciiTheme="majorHAnsi" w:eastAsia="Calibri" w:hAnsiTheme="majorHAnsi" w:cstheme="majorHAnsi"/>
          <w:sz w:val="24"/>
          <w:szCs w:val="24"/>
          <w:lang w:val="en-GB"/>
        </w:rPr>
      </w:pPr>
    </w:p>
    <w:tbl>
      <w:tblPr>
        <w:tblStyle w:val="a"/>
        <w:tblW w:w="9360" w:type="dxa"/>
        <w:tblLayout w:type="fixed"/>
        <w:tblLook w:val="0600" w:firstRow="0" w:lastRow="0" w:firstColumn="0" w:lastColumn="0" w:noHBand="1" w:noVBand="1"/>
      </w:tblPr>
      <w:tblGrid>
        <w:gridCol w:w="3585"/>
        <w:gridCol w:w="5775"/>
      </w:tblGrid>
      <w:tr w:rsidR="00B628FE" w:rsidRPr="0051033F" w14:paraId="17342261" w14:textId="77777777" w:rsidTr="0051033F">
        <w:tc>
          <w:tcPr>
            <w:tcW w:w="3585" w:type="dxa"/>
            <w:shd w:val="clear" w:color="auto" w:fill="auto"/>
            <w:tcMar>
              <w:top w:w="100" w:type="dxa"/>
              <w:left w:w="100" w:type="dxa"/>
              <w:bottom w:w="100" w:type="dxa"/>
              <w:right w:w="100" w:type="dxa"/>
            </w:tcMar>
          </w:tcPr>
          <w:p w14:paraId="3228472B"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b/>
                <w:sz w:val="24"/>
                <w:szCs w:val="24"/>
                <w:lang w:val="en-GB"/>
              </w:rPr>
            </w:pPr>
            <w:r w:rsidRPr="0051033F">
              <w:rPr>
                <w:rFonts w:asciiTheme="majorHAnsi" w:eastAsia="Calibri" w:hAnsiTheme="majorHAnsi" w:cstheme="majorHAnsi"/>
                <w:b/>
                <w:sz w:val="24"/>
                <w:szCs w:val="24"/>
                <w:lang w:val="en-GB"/>
              </w:rPr>
              <w:t>Global Alliance Against Traffic in Women (GAATW)</w:t>
            </w:r>
          </w:p>
        </w:tc>
        <w:tc>
          <w:tcPr>
            <w:tcW w:w="5775" w:type="dxa"/>
            <w:shd w:val="clear" w:color="auto" w:fill="auto"/>
            <w:tcMar>
              <w:top w:w="100" w:type="dxa"/>
              <w:left w:w="100" w:type="dxa"/>
              <w:bottom w:w="100" w:type="dxa"/>
              <w:right w:w="100" w:type="dxa"/>
            </w:tcMar>
          </w:tcPr>
          <w:p w14:paraId="4E3F12F0"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sz w:val="24"/>
                <w:szCs w:val="24"/>
                <w:highlight w:val="yellow"/>
                <w:lang w:val="en-GB"/>
              </w:rPr>
            </w:pPr>
            <w:r w:rsidRPr="0051033F">
              <w:rPr>
                <w:rFonts w:asciiTheme="majorHAnsi" w:eastAsia="Calibri" w:hAnsiTheme="majorHAnsi" w:cstheme="majorHAnsi"/>
                <w:sz w:val="24"/>
                <w:szCs w:val="24"/>
                <w:lang w:val="en-GB"/>
              </w:rPr>
              <w:t xml:space="preserve">GAATW is an alliance of almost 100 NGOs from Asia, Africa, </w:t>
            </w:r>
            <w:proofErr w:type="gramStart"/>
            <w:r w:rsidRPr="0051033F">
              <w:rPr>
                <w:rFonts w:asciiTheme="majorHAnsi" w:eastAsia="Calibri" w:hAnsiTheme="majorHAnsi" w:cstheme="majorHAnsi"/>
                <w:sz w:val="24"/>
                <w:szCs w:val="24"/>
                <w:lang w:val="en-GB"/>
              </w:rPr>
              <w:t>Europe</w:t>
            </w:r>
            <w:proofErr w:type="gramEnd"/>
            <w:r w:rsidRPr="0051033F">
              <w:rPr>
                <w:rFonts w:asciiTheme="majorHAnsi" w:eastAsia="Calibri" w:hAnsiTheme="majorHAnsi" w:cstheme="majorHAnsi"/>
                <w:sz w:val="24"/>
                <w:szCs w:val="24"/>
                <w:lang w:val="en-GB"/>
              </w:rPr>
              <w:t xml:space="preserve"> and the Americas that promote the rights of migrant women and trafficked persons. </w:t>
            </w:r>
          </w:p>
          <w:p w14:paraId="64C6649E" w14:textId="77777777" w:rsidR="00B628FE" w:rsidRPr="0051033F" w:rsidRDefault="00B628FE">
            <w:pPr>
              <w:widowControl w:val="0"/>
              <w:pBdr>
                <w:top w:val="nil"/>
                <w:left w:val="nil"/>
                <w:bottom w:val="nil"/>
                <w:right w:val="nil"/>
                <w:between w:val="nil"/>
              </w:pBdr>
              <w:spacing w:line="240" w:lineRule="auto"/>
              <w:rPr>
                <w:rFonts w:asciiTheme="majorHAnsi" w:eastAsia="Calibri" w:hAnsiTheme="majorHAnsi" w:cstheme="majorHAnsi"/>
                <w:sz w:val="24"/>
                <w:szCs w:val="24"/>
                <w:lang w:val="en-GB"/>
              </w:rPr>
            </w:pPr>
          </w:p>
          <w:p w14:paraId="2A0EDCAA"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sz w:val="24"/>
                <w:szCs w:val="24"/>
                <w:highlight w:val="yellow"/>
                <w:lang w:val="en-GB"/>
              </w:rPr>
            </w:pPr>
            <w:r w:rsidRPr="0051033F">
              <w:rPr>
                <w:rFonts w:asciiTheme="majorHAnsi" w:eastAsia="Calibri" w:hAnsiTheme="majorHAnsi" w:cstheme="majorHAnsi"/>
                <w:sz w:val="24"/>
                <w:szCs w:val="24"/>
                <w:lang w:val="en-GB"/>
              </w:rPr>
              <w:t xml:space="preserve">Contact: </w:t>
            </w:r>
            <w:hyperlink r:id="rId12">
              <w:r w:rsidRPr="0051033F">
                <w:rPr>
                  <w:rFonts w:asciiTheme="majorHAnsi" w:eastAsia="Calibri" w:hAnsiTheme="majorHAnsi" w:cstheme="majorHAnsi"/>
                  <w:color w:val="1155CC"/>
                  <w:sz w:val="24"/>
                  <w:szCs w:val="24"/>
                  <w:u w:val="single"/>
                  <w:lang w:val="en-GB"/>
                </w:rPr>
                <w:t>maya@gaatw.org</w:t>
              </w:r>
            </w:hyperlink>
            <w:r w:rsidRPr="0051033F">
              <w:rPr>
                <w:rFonts w:asciiTheme="majorHAnsi" w:eastAsia="Calibri" w:hAnsiTheme="majorHAnsi" w:cstheme="majorHAnsi"/>
                <w:sz w:val="24"/>
                <w:szCs w:val="24"/>
                <w:lang w:val="en-GB"/>
              </w:rPr>
              <w:t xml:space="preserve"> </w:t>
            </w:r>
          </w:p>
        </w:tc>
      </w:tr>
      <w:tr w:rsidR="00B628FE" w:rsidRPr="0051033F" w14:paraId="7EA34422" w14:textId="77777777" w:rsidTr="0051033F">
        <w:tc>
          <w:tcPr>
            <w:tcW w:w="3585" w:type="dxa"/>
            <w:shd w:val="clear" w:color="auto" w:fill="auto"/>
            <w:tcMar>
              <w:top w:w="100" w:type="dxa"/>
              <w:left w:w="100" w:type="dxa"/>
              <w:bottom w:w="100" w:type="dxa"/>
              <w:right w:w="100" w:type="dxa"/>
            </w:tcMar>
          </w:tcPr>
          <w:p w14:paraId="461794B1"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b/>
                <w:sz w:val="24"/>
                <w:szCs w:val="24"/>
                <w:lang w:val="en-GB"/>
              </w:rPr>
            </w:pPr>
            <w:r w:rsidRPr="0051033F">
              <w:rPr>
                <w:rFonts w:asciiTheme="majorHAnsi" w:eastAsia="Calibri" w:hAnsiTheme="majorHAnsi" w:cstheme="majorHAnsi"/>
                <w:b/>
                <w:sz w:val="24"/>
                <w:szCs w:val="24"/>
                <w:lang w:val="en-GB"/>
              </w:rPr>
              <w:t>International Drug Policy Consortium (IDPC)</w:t>
            </w:r>
          </w:p>
        </w:tc>
        <w:tc>
          <w:tcPr>
            <w:tcW w:w="5775" w:type="dxa"/>
            <w:shd w:val="clear" w:color="auto" w:fill="auto"/>
            <w:tcMar>
              <w:top w:w="100" w:type="dxa"/>
              <w:left w:w="100" w:type="dxa"/>
              <w:bottom w:w="100" w:type="dxa"/>
              <w:right w:w="100" w:type="dxa"/>
            </w:tcMar>
          </w:tcPr>
          <w:p w14:paraId="11B01FA6"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lang w:val="en-GB"/>
              </w:rPr>
            </w:pPr>
            <w:r w:rsidRPr="0051033F">
              <w:rPr>
                <w:rFonts w:asciiTheme="majorHAnsi" w:eastAsia="Calibri" w:hAnsiTheme="majorHAnsi" w:cstheme="majorHAnsi"/>
                <w:sz w:val="24"/>
                <w:szCs w:val="24"/>
                <w:lang w:val="en-GB"/>
              </w:rPr>
              <w:t xml:space="preserve">IDPC is </w:t>
            </w:r>
            <w:r w:rsidRPr="0051033F">
              <w:rPr>
                <w:rFonts w:asciiTheme="majorHAnsi" w:eastAsia="Calibri" w:hAnsiTheme="majorHAnsi" w:cstheme="majorHAnsi"/>
                <w:lang w:val="en-GB"/>
              </w:rPr>
              <w:t>a global network of over 190 NGOs that come together to promote person-centred and rights-affirming drug policies.</w:t>
            </w:r>
          </w:p>
          <w:p w14:paraId="2CBAD283" w14:textId="77777777" w:rsidR="00B628FE" w:rsidRPr="0051033F" w:rsidRDefault="00000000">
            <w:pPr>
              <w:widowControl w:val="0"/>
              <w:spacing w:line="240" w:lineRule="auto"/>
              <w:jc w:val="both"/>
              <w:rPr>
                <w:rFonts w:asciiTheme="majorHAnsi" w:eastAsia="Calibri" w:hAnsiTheme="majorHAnsi" w:cstheme="majorHAnsi"/>
                <w:lang w:val="en-GB"/>
              </w:rPr>
            </w:pPr>
            <w:r w:rsidRPr="0051033F">
              <w:rPr>
                <w:rFonts w:asciiTheme="majorHAnsi" w:eastAsia="Calibri" w:hAnsiTheme="majorHAnsi" w:cstheme="majorHAnsi"/>
                <w:lang w:val="en-GB"/>
              </w:rPr>
              <w:t xml:space="preserve"> </w:t>
            </w:r>
          </w:p>
          <w:p w14:paraId="162AAFB4"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sz w:val="24"/>
                <w:szCs w:val="24"/>
                <w:lang w:val="en-GB"/>
              </w:rPr>
            </w:pPr>
            <w:r w:rsidRPr="0051033F">
              <w:rPr>
                <w:rFonts w:asciiTheme="majorHAnsi" w:eastAsia="Calibri" w:hAnsiTheme="majorHAnsi" w:cstheme="majorHAnsi"/>
                <w:lang w:val="en-GB"/>
              </w:rPr>
              <w:t xml:space="preserve">Contact: </w:t>
            </w:r>
            <w:r w:rsidRPr="0051033F">
              <w:rPr>
                <w:rFonts w:asciiTheme="majorHAnsi" w:eastAsia="Calibri" w:hAnsiTheme="majorHAnsi" w:cstheme="majorHAnsi"/>
                <w:color w:val="0000FF"/>
                <w:lang w:val="en-GB"/>
              </w:rPr>
              <w:t>contact@idpc.net</w:t>
            </w:r>
          </w:p>
        </w:tc>
      </w:tr>
      <w:tr w:rsidR="00B628FE" w:rsidRPr="0051033F" w14:paraId="323E4519" w14:textId="77777777" w:rsidTr="0051033F">
        <w:tc>
          <w:tcPr>
            <w:tcW w:w="3585" w:type="dxa"/>
            <w:shd w:val="clear" w:color="auto" w:fill="auto"/>
            <w:tcMar>
              <w:top w:w="100" w:type="dxa"/>
              <w:left w:w="100" w:type="dxa"/>
              <w:bottom w:w="100" w:type="dxa"/>
              <w:right w:w="100" w:type="dxa"/>
            </w:tcMar>
          </w:tcPr>
          <w:p w14:paraId="5879D1F3"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b/>
                <w:sz w:val="24"/>
                <w:szCs w:val="24"/>
                <w:lang w:val="en-GB"/>
              </w:rPr>
            </w:pPr>
            <w:r w:rsidRPr="0051033F">
              <w:rPr>
                <w:rFonts w:asciiTheme="majorHAnsi" w:eastAsia="Calibri" w:hAnsiTheme="majorHAnsi" w:cstheme="majorHAnsi"/>
                <w:b/>
                <w:sz w:val="24"/>
                <w:szCs w:val="24"/>
                <w:lang w:val="en-GB"/>
              </w:rPr>
              <w:t>International Women's Rights Action Watch Asia Pacific (IWRAW Asia Pacific)</w:t>
            </w:r>
          </w:p>
        </w:tc>
        <w:tc>
          <w:tcPr>
            <w:tcW w:w="5775" w:type="dxa"/>
            <w:shd w:val="clear" w:color="auto" w:fill="auto"/>
            <w:tcMar>
              <w:top w:w="100" w:type="dxa"/>
              <w:left w:w="100" w:type="dxa"/>
              <w:bottom w:w="100" w:type="dxa"/>
              <w:right w:w="100" w:type="dxa"/>
            </w:tcMar>
          </w:tcPr>
          <w:p w14:paraId="54782C05" w14:textId="77777777" w:rsidR="00B628FE" w:rsidRPr="0051033F" w:rsidRDefault="00000000">
            <w:pPr>
              <w:widowControl w:val="0"/>
              <w:spacing w:line="240" w:lineRule="auto"/>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IWRAW Asia-Pacific is an international feminist organisation committed to the full realisation of women’s human rights through the pursuit of equality.</w:t>
            </w:r>
          </w:p>
          <w:p w14:paraId="213DA65E" w14:textId="77777777" w:rsidR="00B628FE" w:rsidRPr="0051033F" w:rsidRDefault="00B628FE">
            <w:pPr>
              <w:widowControl w:val="0"/>
              <w:spacing w:line="240" w:lineRule="auto"/>
              <w:rPr>
                <w:rFonts w:asciiTheme="majorHAnsi" w:eastAsia="Calibri" w:hAnsiTheme="majorHAnsi" w:cstheme="majorHAnsi"/>
                <w:sz w:val="24"/>
                <w:szCs w:val="24"/>
                <w:lang w:val="en-GB"/>
              </w:rPr>
            </w:pPr>
          </w:p>
          <w:p w14:paraId="552422DD" w14:textId="77777777" w:rsidR="00B628FE" w:rsidRPr="0051033F" w:rsidRDefault="00000000">
            <w:pPr>
              <w:widowControl w:val="0"/>
              <w:spacing w:line="240" w:lineRule="auto"/>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Contact: </w:t>
            </w:r>
            <w:hyperlink r:id="rId13">
              <w:r w:rsidRPr="0051033F">
                <w:rPr>
                  <w:rFonts w:asciiTheme="majorHAnsi" w:eastAsia="Calibri" w:hAnsiTheme="majorHAnsi" w:cstheme="majorHAnsi"/>
                  <w:color w:val="1155CC"/>
                  <w:sz w:val="24"/>
                  <w:szCs w:val="24"/>
                  <w:u w:val="single"/>
                  <w:lang w:val="en-GB"/>
                </w:rPr>
                <w:t>nine@iwraw-ap.org</w:t>
              </w:r>
            </w:hyperlink>
            <w:r w:rsidRPr="0051033F">
              <w:rPr>
                <w:rFonts w:asciiTheme="majorHAnsi" w:eastAsia="Calibri" w:hAnsiTheme="majorHAnsi" w:cstheme="majorHAnsi"/>
                <w:sz w:val="24"/>
                <w:szCs w:val="24"/>
                <w:lang w:val="en-GB"/>
              </w:rPr>
              <w:t xml:space="preserve">; </w:t>
            </w:r>
            <w:hyperlink r:id="rId14">
              <w:r w:rsidRPr="0051033F">
                <w:rPr>
                  <w:rFonts w:asciiTheme="majorHAnsi" w:eastAsia="Calibri" w:hAnsiTheme="majorHAnsi" w:cstheme="majorHAnsi"/>
                  <w:color w:val="1155CC"/>
                  <w:sz w:val="24"/>
                  <w:szCs w:val="24"/>
                  <w:u w:val="single"/>
                  <w:lang w:val="en-GB"/>
                </w:rPr>
                <w:t>constanza@iwraw-ap.org</w:t>
              </w:r>
            </w:hyperlink>
            <w:r w:rsidRPr="0051033F">
              <w:rPr>
                <w:rFonts w:asciiTheme="majorHAnsi" w:eastAsia="Calibri" w:hAnsiTheme="majorHAnsi" w:cstheme="majorHAnsi"/>
                <w:sz w:val="24"/>
                <w:szCs w:val="24"/>
                <w:lang w:val="en-GB"/>
              </w:rPr>
              <w:t xml:space="preserve">;  </w:t>
            </w:r>
            <w:hyperlink r:id="rId15">
              <w:r w:rsidRPr="0051033F">
                <w:rPr>
                  <w:rFonts w:asciiTheme="majorHAnsi" w:eastAsia="Calibri" w:hAnsiTheme="majorHAnsi" w:cstheme="majorHAnsi"/>
                  <w:color w:val="1155CC"/>
                  <w:sz w:val="24"/>
                  <w:szCs w:val="24"/>
                  <w:u w:val="single"/>
                  <w:lang w:val="en-GB"/>
                </w:rPr>
                <w:t>iwraw-ap@iwraw-ap.org</w:t>
              </w:r>
            </w:hyperlink>
            <w:r w:rsidRPr="0051033F">
              <w:rPr>
                <w:rFonts w:asciiTheme="majorHAnsi" w:eastAsia="Calibri" w:hAnsiTheme="majorHAnsi" w:cstheme="majorHAnsi"/>
                <w:sz w:val="24"/>
                <w:szCs w:val="24"/>
                <w:lang w:val="en-GB"/>
              </w:rPr>
              <w:t xml:space="preserve"> </w:t>
            </w:r>
          </w:p>
          <w:p w14:paraId="665A5365" w14:textId="77777777" w:rsidR="00B628FE" w:rsidRPr="0051033F" w:rsidRDefault="00B628FE">
            <w:pPr>
              <w:widowControl w:val="0"/>
              <w:spacing w:line="240" w:lineRule="auto"/>
              <w:rPr>
                <w:rFonts w:asciiTheme="majorHAnsi" w:eastAsia="Calibri" w:hAnsiTheme="majorHAnsi" w:cstheme="majorHAnsi"/>
                <w:sz w:val="24"/>
                <w:szCs w:val="24"/>
                <w:lang w:val="en-GB"/>
              </w:rPr>
            </w:pPr>
          </w:p>
        </w:tc>
      </w:tr>
      <w:tr w:rsidR="00B628FE" w:rsidRPr="0051033F" w14:paraId="645FCFFF" w14:textId="77777777" w:rsidTr="0051033F">
        <w:tc>
          <w:tcPr>
            <w:tcW w:w="3585" w:type="dxa"/>
            <w:shd w:val="clear" w:color="auto" w:fill="auto"/>
            <w:tcMar>
              <w:top w:w="100" w:type="dxa"/>
              <w:left w:w="100" w:type="dxa"/>
              <w:bottom w:w="100" w:type="dxa"/>
              <w:right w:w="100" w:type="dxa"/>
            </w:tcMar>
          </w:tcPr>
          <w:p w14:paraId="19EDB025"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b/>
                <w:sz w:val="24"/>
                <w:szCs w:val="24"/>
                <w:lang w:val="en-GB"/>
              </w:rPr>
            </w:pPr>
            <w:r w:rsidRPr="0051033F">
              <w:rPr>
                <w:rFonts w:asciiTheme="majorHAnsi" w:eastAsia="Calibri" w:hAnsiTheme="majorHAnsi" w:cstheme="majorHAnsi"/>
                <w:b/>
                <w:sz w:val="24"/>
                <w:szCs w:val="24"/>
                <w:lang w:val="en-GB"/>
              </w:rPr>
              <w:lastRenderedPageBreak/>
              <w:t>Sexual Rights Initiative (SRI)</w:t>
            </w:r>
          </w:p>
        </w:tc>
        <w:tc>
          <w:tcPr>
            <w:tcW w:w="5775" w:type="dxa"/>
            <w:shd w:val="clear" w:color="auto" w:fill="auto"/>
            <w:tcMar>
              <w:top w:w="100" w:type="dxa"/>
              <w:left w:w="100" w:type="dxa"/>
              <w:bottom w:w="100" w:type="dxa"/>
              <w:right w:w="100" w:type="dxa"/>
            </w:tcMar>
          </w:tcPr>
          <w:p w14:paraId="4E8B29AC" w14:textId="77777777" w:rsidR="00B628FE" w:rsidRPr="0051033F" w:rsidRDefault="00000000">
            <w:pPr>
              <w:spacing w:line="240" w:lineRule="auto"/>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The Sexual Rights Initiative is a coalition of national and regional organizations based in Canada, Poland, India, Egypt, Argentina that work together to advance human rights related to sexuality at the United Nations.</w:t>
            </w:r>
          </w:p>
          <w:p w14:paraId="4BCA8818" w14:textId="77777777" w:rsidR="00B628FE" w:rsidRPr="0051033F" w:rsidRDefault="00B628FE">
            <w:pPr>
              <w:widowControl w:val="0"/>
              <w:spacing w:line="240" w:lineRule="auto"/>
              <w:rPr>
                <w:rFonts w:asciiTheme="majorHAnsi" w:eastAsia="Calibri" w:hAnsiTheme="majorHAnsi" w:cstheme="majorHAnsi"/>
                <w:sz w:val="24"/>
                <w:szCs w:val="24"/>
                <w:lang w:val="en-GB"/>
              </w:rPr>
            </w:pPr>
          </w:p>
          <w:p w14:paraId="33D3EE0A" w14:textId="77777777" w:rsidR="00B628FE" w:rsidRPr="0051033F" w:rsidRDefault="00000000">
            <w:pPr>
              <w:widowControl w:val="0"/>
              <w:spacing w:line="240" w:lineRule="auto"/>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Contact: </w:t>
            </w:r>
            <w:hyperlink r:id="rId16">
              <w:r w:rsidRPr="0051033F">
                <w:rPr>
                  <w:rFonts w:asciiTheme="majorHAnsi" w:eastAsia="Calibri" w:hAnsiTheme="majorHAnsi" w:cstheme="majorHAnsi"/>
                  <w:color w:val="1155CC"/>
                  <w:sz w:val="24"/>
                  <w:szCs w:val="24"/>
                  <w:u w:val="single"/>
                  <w:lang w:val="en-GB"/>
                </w:rPr>
                <w:t>emeline@srigeneva.org</w:t>
              </w:r>
            </w:hyperlink>
            <w:r w:rsidRPr="0051033F">
              <w:rPr>
                <w:rFonts w:asciiTheme="majorHAnsi" w:eastAsia="Calibri" w:hAnsiTheme="majorHAnsi" w:cstheme="majorHAnsi"/>
                <w:sz w:val="24"/>
                <w:szCs w:val="24"/>
                <w:lang w:val="en-GB"/>
              </w:rPr>
              <w:t xml:space="preserve">; </w:t>
            </w:r>
            <w:hyperlink r:id="rId17">
              <w:r w:rsidRPr="0051033F">
                <w:rPr>
                  <w:rFonts w:asciiTheme="majorHAnsi" w:eastAsia="Calibri" w:hAnsiTheme="majorHAnsi" w:cstheme="majorHAnsi"/>
                  <w:color w:val="1155CC"/>
                  <w:sz w:val="24"/>
                  <w:szCs w:val="24"/>
                  <w:u w:val="single"/>
                  <w:lang w:val="en-GB"/>
                </w:rPr>
                <w:t>carrie@srigeneva.org</w:t>
              </w:r>
            </w:hyperlink>
            <w:r w:rsidRPr="0051033F">
              <w:rPr>
                <w:rFonts w:asciiTheme="majorHAnsi" w:eastAsia="Calibri" w:hAnsiTheme="majorHAnsi" w:cstheme="majorHAnsi"/>
                <w:sz w:val="24"/>
                <w:szCs w:val="24"/>
                <w:lang w:val="en-GB"/>
              </w:rPr>
              <w:t xml:space="preserve"> </w:t>
            </w:r>
          </w:p>
        </w:tc>
      </w:tr>
      <w:tr w:rsidR="00B628FE" w:rsidRPr="0051033F" w14:paraId="5E75B85E" w14:textId="77777777" w:rsidTr="0051033F">
        <w:tc>
          <w:tcPr>
            <w:tcW w:w="3585" w:type="dxa"/>
            <w:shd w:val="clear" w:color="auto" w:fill="auto"/>
            <w:tcMar>
              <w:top w:w="100" w:type="dxa"/>
              <w:left w:w="100" w:type="dxa"/>
              <w:bottom w:w="100" w:type="dxa"/>
              <w:right w:w="100" w:type="dxa"/>
            </w:tcMar>
          </w:tcPr>
          <w:p w14:paraId="4ABB45B9"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b/>
                <w:sz w:val="24"/>
                <w:szCs w:val="24"/>
                <w:lang w:val="en-GB"/>
              </w:rPr>
            </w:pPr>
            <w:r w:rsidRPr="0051033F">
              <w:rPr>
                <w:rFonts w:asciiTheme="majorHAnsi" w:eastAsia="Calibri" w:hAnsiTheme="majorHAnsi" w:cstheme="majorHAnsi"/>
                <w:b/>
                <w:sz w:val="24"/>
                <w:szCs w:val="24"/>
                <w:lang w:val="en-GB"/>
              </w:rPr>
              <w:t>Women and Harm Reduction International Network (WHRIN)</w:t>
            </w:r>
          </w:p>
        </w:tc>
        <w:tc>
          <w:tcPr>
            <w:tcW w:w="5775" w:type="dxa"/>
            <w:shd w:val="clear" w:color="auto" w:fill="auto"/>
            <w:tcMar>
              <w:top w:w="100" w:type="dxa"/>
              <w:left w:w="100" w:type="dxa"/>
              <w:bottom w:w="100" w:type="dxa"/>
              <w:right w:w="100" w:type="dxa"/>
            </w:tcMar>
          </w:tcPr>
          <w:p w14:paraId="0D6EAD1E" w14:textId="77777777" w:rsidR="00B628FE" w:rsidRPr="0051033F" w:rsidRDefault="00000000">
            <w:pPr>
              <w:widowControl w:val="0"/>
              <w:pBdr>
                <w:top w:val="nil"/>
                <w:left w:val="nil"/>
                <w:bottom w:val="nil"/>
                <w:right w:val="nil"/>
                <w:between w:val="nil"/>
              </w:pBdr>
              <w:spacing w:line="240" w:lineRule="auto"/>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WHRIN is a global network working to expand harm reduction approaches for women and gender non-conforming people who use drugs.</w:t>
            </w:r>
          </w:p>
          <w:p w14:paraId="69F40261" w14:textId="77777777" w:rsidR="00B628FE" w:rsidRPr="0051033F" w:rsidRDefault="00B628FE">
            <w:pPr>
              <w:widowControl w:val="0"/>
              <w:pBdr>
                <w:top w:val="nil"/>
                <w:left w:val="nil"/>
                <w:bottom w:val="nil"/>
                <w:right w:val="nil"/>
                <w:between w:val="nil"/>
              </w:pBdr>
              <w:spacing w:line="240" w:lineRule="auto"/>
              <w:rPr>
                <w:rFonts w:asciiTheme="majorHAnsi" w:eastAsia="Calibri" w:hAnsiTheme="majorHAnsi" w:cstheme="majorHAnsi"/>
                <w:sz w:val="24"/>
                <w:szCs w:val="24"/>
                <w:lang w:val="en-GB"/>
              </w:rPr>
            </w:pPr>
          </w:p>
          <w:p w14:paraId="510C4311" w14:textId="77777777" w:rsidR="00B628FE" w:rsidRPr="0051033F" w:rsidRDefault="00000000">
            <w:pPr>
              <w:widowControl w:val="0"/>
              <w:spacing w:line="240" w:lineRule="auto"/>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Contact: </w:t>
            </w:r>
            <w:proofErr w:type="spellStart"/>
            <w:r w:rsidRPr="0051033F">
              <w:rPr>
                <w:rFonts w:asciiTheme="majorHAnsi" w:eastAsia="Calibri" w:hAnsiTheme="majorHAnsi" w:cstheme="majorHAnsi"/>
                <w:sz w:val="24"/>
                <w:szCs w:val="24"/>
                <w:lang w:val="en-GB"/>
              </w:rPr>
              <w:t>ailish@whrin.site</w:t>
            </w:r>
            <w:proofErr w:type="spellEnd"/>
          </w:p>
        </w:tc>
      </w:tr>
    </w:tbl>
    <w:p w14:paraId="652EDC24" w14:textId="77777777" w:rsidR="00B628FE" w:rsidRPr="0051033F" w:rsidRDefault="00B628FE">
      <w:pPr>
        <w:spacing w:line="240" w:lineRule="auto"/>
        <w:jc w:val="both"/>
        <w:rPr>
          <w:rFonts w:asciiTheme="majorHAnsi" w:eastAsia="Calibri" w:hAnsiTheme="majorHAnsi" w:cstheme="majorHAnsi"/>
          <w:sz w:val="24"/>
          <w:szCs w:val="24"/>
          <w:lang w:val="en-GB"/>
        </w:rPr>
        <w:sectPr w:rsidR="00B628FE" w:rsidRPr="0051033F">
          <w:endnotePr>
            <w:numFmt w:val="decimal"/>
          </w:endnotePr>
          <w:pgSz w:w="12240" w:h="15840"/>
          <w:pgMar w:top="1440" w:right="1440" w:bottom="1440" w:left="1440" w:header="720" w:footer="720" w:gutter="0"/>
          <w:pgNumType w:start="1"/>
          <w:cols w:space="720"/>
        </w:sectPr>
      </w:pPr>
    </w:p>
    <w:p w14:paraId="57F5A01B" w14:textId="3A182593" w:rsidR="00B628FE" w:rsidRPr="0051033F" w:rsidRDefault="0051033F" w:rsidP="0051033F">
      <w:pPr>
        <w:spacing w:after="200" w:line="240" w:lineRule="auto"/>
        <w:jc w:val="both"/>
        <w:rPr>
          <w:rFonts w:asciiTheme="majorHAnsi" w:eastAsia="Calibri" w:hAnsiTheme="majorHAnsi" w:cstheme="majorHAnsi"/>
          <w:b/>
          <w:sz w:val="24"/>
          <w:szCs w:val="24"/>
          <w:lang w:val="en-GB"/>
        </w:rPr>
      </w:pPr>
      <w:r w:rsidRPr="0051033F">
        <w:rPr>
          <w:rFonts w:asciiTheme="majorHAnsi" w:eastAsia="Calibri" w:hAnsiTheme="majorHAnsi" w:cstheme="majorHAnsi"/>
          <w:b/>
          <w:sz w:val="24"/>
          <w:szCs w:val="24"/>
          <w:lang w:val="en-GB"/>
        </w:rPr>
        <w:lastRenderedPageBreak/>
        <w:t xml:space="preserve">A. </w:t>
      </w:r>
      <w:r w:rsidR="00000000" w:rsidRPr="0051033F">
        <w:rPr>
          <w:rFonts w:asciiTheme="majorHAnsi" w:eastAsia="Calibri" w:hAnsiTheme="majorHAnsi" w:cstheme="majorHAnsi"/>
          <w:b/>
          <w:sz w:val="24"/>
          <w:szCs w:val="24"/>
          <w:lang w:val="en-GB"/>
        </w:rPr>
        <w:t>Introduction</w:t>
      </w:r>
    </w:p>
    <w:p w14:paraId="3B1EAD82" w14:textId="372F667F" w:rsidR="00B628FE" w:rsidRPr="0051033F" w:rsidRDefault="00000000" w:rsidP="0051033F">
      <w:pPr>
        <w:numPr>
          <w:ilvl w:val="0"/>
          <w:numId w:val="3"/>
        </w:numP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GAATW, IDPC, IWRAW Asia Pacific, SRI, and WHRIN welcome the opportunity to submit a response to the call for inputs and questionnaire released by the UN Special Rapporteur on adequate housing and the UN Special Rapporteur on extreme poverty and human rights, in preparation of a joint report on efforts made to decriminalise offences frequently associated with homelessness and povert</w:t>
      </w:r>
      <w:r w:rsidRPr="0051033F">
        <w:rPr>
          <w:rFonts w:asciiTheme="majorHAnsi" w:eastAsia="Calibri" w:hAnsiTheme="majorHAnsi" w:cstheme="majorHAnsi"/>
          <w:color w:val="4A4A4A"/>
          <w:sz w:val="24"/>
          <w:szCs w:val="24"/>
          <w:lang w:val="en-GB"/>
        </w:rPr>
        <w:t>y.</w:t>
      </w:r>
    </w:p>
    <w:p w14:paraId="67210980" w14:textId="3FF48B32" w:rsidR="00B628FE" w:rsidRPr="0051033F" w:rsidRDefault="00000000"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Criminal laws that purport to ‘protect’ society, morality, public </w:t>
      </w:r>
      <w:proofErr w:type="gramStart"/>
      <w:r w:rsidRPr="0051033F">
        <w:rPr>
          <w:rFonts w:asciiTheme="majorHAnsi" w:eastAsia="Calibri" w:hAnsiTheme="majorHAnsi" w:cstheme="majorHAnsi"/>
          <w:sz w:val="24"/>
          <w:szCs w:val="24"/>
          <w:lang w:val="en-GB"/>
        </w:rPr>
        <w:t>order</w:t>
      </w:r>
      <w:proofErr w:type="gramEnd"/>
      <w:r w:rsidRPr="0051033F">
        <w:rPr>
          <w:rFonts w:asciiTheme="majorHAnsi" w:eastAsia="Calibri" w:hAnsiTheme="majorHAnsi" w:cstheme="majorHAnsi"/>
          <w:sz w:val="24"/>
          <w:szCs w:val="24"/>
          <w:lang w:val="en-GB"/>
        </w:rPr>
        <w:t xml:space="preserve"> or public health - including laws that criminalise sex work or drug use - often harm the communities they are meant to safeguard. They do so by entrenching stigma, discrimination, and policing of people who are marginalised </w:t>
      </w:r>
      <w:proofErr w:type="gramStart"/>
      <w:r w:rsidRPr="0051033F">
        <w:rPr>
          <w:rFonts w:asciiTheme="majorHAnsi" w:eastAsia="Calibri" w:hAnsiTheme="majorHAnsi" w:cstheme="majorHAnsi"/>
          <w:sz w:val="24"/>
          <w:szCs w:val="24"/>
          <w:lang w:val="en-GB"/>
        </w:rPr>
        <w:t>on the basis of</w:t>
      </w:r>
      <w:proofErr w:type="gramEnd"/>
      <w:r w:rsidRPr="0051033F">
        <w:rPr>
          <w:rFonts w:asciiTheme="majorHAnsi" w:eastAsia="Calibri" w:hAnsiTheme="majorHAnsi" w:cstheme="majorHAnsi"/>
          <w:sz w:val="24"/>
          <w:szCs w:val="24"/>
          <w:lang w:val="en-GB"/>
        </w:rPr>
        <w:t xml:space="preserve"> their gender identity, sexual orientation, race, ethnicity, or class. In many cases, ‘protectionist’ criminal laws are also a determinant element in placing such persons in a situation of homelessness, and in denying shelter or public housing. </w:t>
      </w:r>
    </w:p>
    <w:p w14:paraId="79765C79" w14:textId="77777777" w:rsidR="00B628FE" w:rsidRPr="0051033F" w:rsidRDefault="00000000"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This submission provides a conceptual background and evidence for how ‘protectionist’ criminal laws - particularly in the fields of sex work and drug use - contribute to these trends. As such, it constitutes a response to questions 3 and 4 of the Questionnaire released by the Special Rapporteurs. We conclude with a series of recommendations for the forthcoming joint report. </w:t>
      </w:r>
      <w:proofErr w:type="gramStart"/>
      <w:r w:rsidRPr="0051033F">
        <w:rPr>
          <w:rFonts w:asciiTheme="majorHAnsi" w:eastAsia="Calibri" w:hAnsiTheme="majorHAnsi" w:cstheme="majorHAnsi"/>
          <w:sz w:val="24"/>
          <w:szCs w:val="24"/>
          <w:lang w:val="en-GB"/>
        </w:rPr>
        <w:t>In particular, we</w:t>
      </w:r>
      <w:proofErr w:type="gramEnd"/>
      <w:r w:rsidRPr="0051033F">
        <w:rPr>
          <w:rFonts w:asciiTheme="majorHAnsi" w:eastAsia="Calibri" w:hAnsiTheme="majorHAnsi" w:cstheme="majorHAnsi"/>
          <w:sz w:val="24"/>
          <w:szCs w:val="24"/>
          <w:lang w:val="en-GB"/>
        </w:rPr>
        <w:t xml:space="preserve"> urge the Special Rapporteurs to go beyond the decriminalisation of life-sustaining activities and to join a growing number of human rights bodies in calling for the decriminalisation of all activities relating to sex work and drug use.</w:t>
      </w:r>
    </w:p>
    <w:p w14:paraId="4CC67A27" w14:textId="77777777" w:rsidR="00B628FE" w:rsidRPr="0051033F" w:rsidRDefault="00B628FE" w:rsidP="0051033F">
      <w:p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p>
    <w:p w14:paraId="0ED4FF43" w14:textId="2A5EA324" w:rsidR="00B628FE" w:rsidRPr="0051033F" w:rsidRDefault="0051033F" w:rsidP="0051033F">
      <w:pP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b/>
          <w:sz w:val="24"/>
          <w:szCs w:val="24"/>
          <w:lang w:val="en-GB"/>
        </w:rPr>
        <w:t xml:space="preserve">B. </w:t>
      </w:r>
      <w:r w:rsidR="00000000" w:rsidRPr="0051033F">
        <w:rPr>
          <w:rFonts w:asciiTheme="majorHAnsi" w:eastAsia="Calibri" w:hAnsiTheme="majorHAnsi" w:cstheme="majorHAnsi"/>
          <w:b/>
          <w:sz w:val="24"/>
          <w:szCs w:val="24"/>
          <w:lang w:val="en-GB"/>
        </w:rPr>
        <w:t xml:space="preserve">Conceptual background: Origins and impacts of ‘protectionist’ criminal </w:t>
      </w:r>
      <w:proofErr w:type="gramStart"/>
      <w:r w:rsidR="00000000" w:rsidRPr="0051033F">
        <w:rPr>
          <w:rFonts w:asciiTheme="majorHAnsi" w:eastAsia="Calibri" w:hAnsiTheme="majorHAnsi" w:cstheme="majorHAnsi"/>
          <w:b/>
          <w:sz w:val="24"/>
          <w:szCs w:val="24"/>
          <w:lang w:val="en-GB"/>
        </w:rPr>
        <w:t>laws</w:t>
      </w:r>
      <w:proofErr w:type="gramEnd"/>
    </w:p>
    <w:p w14:paraId="79803DA5" w14:textId="04148EF3" w:rsidR="00B628FE" w:rsidRPr="0051033F" w:rsidRDefault="00000000"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 xml:space="preserve">This section examines some of the colonial, ‘protectionist’ and neo-liberal aspects of the criminalization </w:t>
      </w:r>
      <w:r w:rsidRPr="0051033F">
        <w:rPr>
          <w:rFonts w:asciiTheme="majorHAnsi" w:eastAsia="Calibri" w:hAnsiTheme="majorHAnsi" w:cstheme="majorHAnsi"/>
          <w:sz w:val="24"/>
          <w:szCs w:val="24"/>
          <w:lang w:val="en-GB"/>
        </w:rPr>
        <w:t>of</w:t>
      </w:r>
      <w:r w:rsidRPr="0051033F">
        <w:rPr>
          <w:rFonts w:asciiTheme="majorHAnsi" w:eastAsia="Calibri" w:hAnsiTheme="majorHAnsi" w:cstheme="majorHAnsi"/>
          <w:color w:val="212121"/>
          <w:sz w:val="24"/>
          <w:szCs w:val="24"/>
          <w:lang w:val="en-GB"/>
        </w:rPr>
        <w:t xml:space="preserve"> poverty, homelessness and related issues and their impacts on women and marginalized people. It argues that a human rights-based approach to the criminalization of poverty and homelessness must also address these structures and root causes.</w:t>
      </w:r>
    </w:p>
    <w:p w14:paraId="2760D116" w14:textId="42D84540" w:rsidR="00B628FE" w:rsidRPr="0051033F" w:rsidRDefault="00000000" w:rsidP="0051033F">
      <w:pPr>
        <w:pBdr>
          <w:top w:val="nil"/>
          <w:left w:val="nil"/>
          <w:bottom w:val="nil"/>
          <w:right w:val="nil"/>
          <w:between w:val="nil"/>
        </w:pBdr>
        <w:spacing w:after="200" w:line="240" w:lineRule="auto"/>
        <w:jc w:val="both"/>
        <w:rPr>
          <w:rFonts w:asciiTheme="majorHAnsi" w:eastAsia="Calibri" w:hAnsiTheme="majorHAnsi" w:cstheme="majorHAnsi"/>
          <w:color w:val="212121"/>
          <w:sz w:val="24"/>
          <w:szCs w:val="24"/>
          <w:u w:val="single"/>
          <w:lang w:val="en-GB"/>
        </w:rPr>
      </w:pPr>
      <w:r w:rsidRPr="0051033F">
        <w:rPr>
          <w:rFonts w:asciiTheme="majorHAnsi" w:eastAsia="Calibri" w:hAnsiTheme="majorHAnsi" w:cstheme="majorHAnsi"/>
          <w:color w:val="212121"/>
          <w:sz w:val="24"/>
          <w:szCs w:val="24"/>
          <w:u w:val="single"/>
          <w:lang w:val="en-GB"/>
        </w:rPr>
        <w:t>Colonialism</w:t>
      </w:r>
    </w:p>
    <w:p w14:paraId="27808215" w14:textId="7CAB2785" w:rsidR="0051033F" w:rsidRPr="0051033F" w:rsidRDefault="00000000"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As recently pointed out by the Special Rapporteur on the independence of judges and lawyers, “legacies of colonialism [...] continue to affect the judiciary today. Many countries’ judicial systems were deeply shaped by colonialism [and] contemporary manifestations of colonialism [...] can threaten the legitimacy of judicial systems and undermine the right to a fair trial.”</w:t>
      </w:r>
      <w:r w:rsidR="0051033F" w:rsidRPr="0051033F">
        <w:rPr>
          <w:rFonts w:asciiTheme="majorHAnsi" w:eastAsia="Calibri" w:hAnsiTheme="majorHAnsi" w:cstheme="majorHAnsi"/>
          <w:color w:val="212121"/>
          <w:sz w:val="24"/>
          <w:szCs w:val="24"/>
          <w:vertAlign w:val="superscript"/>
          <w:lang w:val="en-GB"/>
        </w:rPr>
        <w:endnoteReference w:id="1"/>
      </w:r>
      <w:r w:rsidR="0051033F" w:rsidRPr="0051033F">
        <w:rPr>
          <w:rFonts w:asciiTheme="majorHAnsi" w:eastAsia="Calibri" w:hAnsiTheme="majorHAnsi" w:cstheme="majorHAnsi"/>
          <w:color w:val="212121"/>
          <w:sz w:val="24"/>
          <w:szCs w:val="24"/>
          <w:lang w:val="en-GB"/>
        </w:rPr>
        <w:t xml:space="preserve"> </w:t>
      </w:r>
    </w:p>
    <w:p w14:paraId="2E6F8762" w14:textId="010A7FD4"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Vagrancy laws are but one example of the colonial underpinnings of criminal laws and justice systems, reflecting colonial interests in “maintaining the social order.”</w:t>
      </w:r>
      <w:r w:rsidRPr="0051033F">
        <w:rPr>
          <w:rFonts w:asciiTheme="majorHAnsi" w:eastAsia="Calibri" w:hAnsiTheme="majorHAnsi" w:cstheme="majorHAnsi"/>
          <w:color w:val="212121"/>
          <w:sz w:val="24"/>
          <w:szCs w:val="24"/>
          <w:vertAlign w:val="superscript"/>
          <w:lang w:val="en-GB"/>
        </w:rPr>
        <w:endnoteReference w:id="2"/>
      </w:r>
      <w:r w:rsidRPr="0051033F">
        <w:rPr>
          <w:rFonts w:asciiTheme="majorHAnsi" w:eastAsia="Calibri" w:hAnsiTheme="majorHAnsi" w:cstheme="majorHAnsi"/>
          <w:color w:val="212121"/>
          <w:sz w:val="24"/>
          <w:szCs w:val="24"/>
          <w:lang w:val="en-GB"/>
        </w:rPr>
        <w:t xml:space="preserve"> As stated by the African Court on Human and Peoples’ Rights, “vagrancy laws commonly use the terms “rogue”, “vagabond”, “idle” and “disorderly” [which] are a reflection of an outdated </w:t>
      </w:r>
      <w:r w:rsidRPr="0051033F">
        <w:rPr>
          <w:rFonts w:asciiTheme="majorHAnsi" w:eastAsia="Calibri" w:hAnsiTheme="majorHAnsi" w:cstheme="majorHAnsi"/>
          <w:color w:val="212121"/>
          <w:sz w:val="24"/>
          <w:szCs w:val="24"/>
          <w:lang w:val="en-GB"/>
        </w:rPr>
        <w:lastRenderedPageBreak/>
        <w:t>and largely colonial perception of individuals without any rights and their use dehumanizes and degrades individuals with a perceived lower status.”</w:t>
      </w:r>
      <w:r w:rsidRPr="0051033F">
        <w:rPr>
          <w:rFonts w:asciiTheme="majorHAnsi" w:eastAsia="Calibri" w:hAnsiTheme="majorHAnsi" w:cstheme="majorHAnsi"/>
          <w:color w:val="212121"/>
          <w:sz w:val="24"/>
          <w:szCs w:val="24"/>
          <w:vertAlign w:val="superscript"/>
          <w:lang w:val="en-GB"/>
        </w:rPr>
        <w:endnoteReference w:id="3"/>
      </w:r>
    </w:p>
    <w:p w14:paraId="0EA530C1" w14:textId="288597C9"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Colonialism has also played an important role in the criminalization of transgressions of sexual and gender norms.</w:t>
      </w:r>
      <w:r w:rsidRPr="0051033F">
        <w:rPr>
          <w:rFonts w:asciiTheme="majorHAnsi" w:eastAsia="Calibri" w:hAnsiTheme="majorHAnsi" w:cstheme="majorHAnsi"/>
          <w:color w:val="212121"/>
          <w:sz w:val="24"/>
          <w:szCs w:val="24"/>
          <w:vertAlign w:val="superscript"/>
          <w:lang w:val="en-GB"/>
        </w:rPr>
        <w:endnoteReference w:id="4"/>
      </w:r>
      <w:r w:rsidRPr="0051033F">
        <w:rPr>
          <w:rFonts w:asciiTheme="majorHAnsi" w:eastAsia="Calibri" w:hAnsiTheme="majorHAnsi" w:cstheme="majorHAnsi"/>
          <w:color w:val="212121"/>
          <w:sz w:val="24"/>
          <w:szCs w:val="24"/>
          <w:lang w:val="en-GB"/>
        </w:rPr>
        <w:t xml:space="preserve"> The Special Rapporteur on health has noted that the criminalization of sex work, often purporting to “protect public morality and decency,” can also be traced back to the colonial project’s use of “morality” for repression and control of sexuality and people.</w:t>
      </w:r>
      <w:r w:rsidRPr="0051033F">
        <w:rPr>
          <w:rFonts w:asciiTheme="majorHAnsi" w:eastAsia="Calibri" w:hAnsiTheme="majorHAnsi" w:cstheme="majorHAnsi"/>
          <w:color w:val="212121"/>
          <w:sz w:val="24"/>
          <w:szCs w:val="24"/>
          <w:vertAlign w:val="superscript"/>
          <w:lang w:val="en-GB"/>
        </w:rPr>
        <w:endnoteReference w:id="5"/>
      </w:r>
      <w:r w:rsidRPr="0051033F">
        <w:rPr>
          <w:rFonts w:asciiTheme="majorHAnsi" w:eastAsia="Calibri" w:hAnsiTheme="majorHAnsi" w:cstheme="majorHAnsi"/>
          <w:color w:val="212121"/>
          <w:sz w:val="24"/>
          <w:szCs w:val="24"/>
          <w:lang w:val="en-GB"/>
        </w:rPr>
        <w:t xml:space="preserve"> As outlined</w:t>
      </w:r>
      <w:r w:rsidRPr="0051033F">
        <w:rPr>
          <w:rFonts w:asciiTheme="majorHAnsi" w:eastAsia="Calibri" w:hAnsiTheme="majorHAnsi" w:cstheme="majorHAnsi"/>
          <w:color w:val="212121"/>
          <w:sz w:val="24"/>
          <w:szCs w:val="24"/>
          <w:highlight w:val="white"/>
          <w:lang w:val="en-GB"/>
        </w:rPr>
        <w:t xml:space="preserve"> in section</w:t>
      </w:r>
      <w:r>
        <w:rPr>
          <w:rFonts w:asciiTheme="majorHAnsi" w:eastAsia="Calibri" w:hAnsiTheme="majorHAnsi" w:cstheme="majorHAnsi"/>
          <w:color w:val="212121"/>
          <w:sz w:val="24"/>
          <w:szCs w:val="24"/>
          <w:highlight w:val="white"/>
          <w:lang w:val="en-GB"/>
        </w:rPr>
        <w:t xml:space="preserve"> C,</w:t>
      </w:r>
      <w:r w:rsidRPr="0051033F">
        <w:rPr>
          <w:rFonts w:asciiTheme="majorHAnsi" w:eastAsia="Calibri" w:hAnsiTheme="majorHAnsi" w:cstheme="majorHAnsi"/>
          <w:color w:val="212121"/>
          <w:sz w:val="24"/>
          <w:szCs w:val="24"/>
          <w:highlight w:val="white"/>
          <w:lang w:val="en-GB"/>
        </w:rPr>
        <w:t xml:space="preserve"> t</w:t>
      </w:r>
      <w:r w:rsidRPr="0051033F">
        <w:rPr>
          <w:rFonts w:asciiTheme="majorHAnsi" w:eastAsia="Calibri" w:hAnsiTheme="majorHAnsi" w:cstheme="majorHAnsi"/>
          <w:color w:val="212121"/>
          <w:sz w:val="24"/>
          <w:szCs w:val="24"/>
          <w:lang w:val="en-GB"/>
        </w:rPr>
        <w:t xml:space="preserve">his has severe consequences for sex workers’ rights, including their rights to housing, non-discrimination and an adequate standard of living. </w:t>
      </w:r>
    </w:p>
    <w:p w14:paraId="6ADF46F3" w14:textId="16C90A84"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highlight w:val="white"/>
          <w:lang w:val="en-GB"/>
        </w:rPr>
        <w:t>Drug control has also been used to maintain colonial interests and power structures, and to target and incarcerate racialized and other marginalized people around the world, including through the imposition or encouragement by the USA and European states of criminal responses in the Global South, and the disproportionate policing of racialized people in the North.</w:t>
      </w:r>
      <w:r w:rsidRPr="0051033F">
        <w:rPr>
          <w:rFonts w:asciiTheme="majorHAnsi" w:eastAsia="Calibri" w:hAnsiTheme="majorHAnsi" w:cstheme="majorHAnsi"/>
          <w:color w:val="212121"/>
          <w:sz w:val="24"/>
          <w:szCs w:val="24"/>
          <w:highlight w:val="white"/>
          <w:vertAlign w:val="superscript"/>
          <w:lang w:val="en-GB"/>
        </w:rPr>
        <w:endnoteReference w:id="6"/>
      </w:r>
      <w:r w:rsidRPr="0051033F">
        <w:rPr>
          <w:rFonts w:asciiTheme="majorHAnsi" w:eastAsia="Calibri" w:hAnsiTheme="majorHAnsi" w:cstheme="majorHAnsi"/>
          <w:color w:val="212121"/>
          <w:sz w:val="24"/>
          <w:szCs w:val="24"/>
          <w:highlight w:val="white"/>
          <w:lang w:val="en-GB"/>
        </w:rPr>
        <w:t xml:space="preserve"> This is important to note given the </w:t>
      </w:r>
      <w:r w:rsidRPr="0051033F">
        <w:rPr>
          <w:rFonts w:asciiTheme="majorHAnsi" w:eastAsia="Calibri" w:hAnsiTheme="majorHAnsi" w:cstheme="majorHAnsi"/>
          <w:sz w:val="24"/>
          <w:szCs w:val="24"/>
          <w:lang w:val="en-GB"/>
        </w:rPr>
        <w:t>overlaps between communities of people who are homeless and communities of people who use drugs, as noted in section</w:t>
      </w:r>
      <w:r>
        <w:rPr>
          <w:rFonts w:asciiTheme="majorHAnsi" w:eastAsia="Calibri" w:hAnsiTheme="majorHAnsi" w:cstheme="majorHAnsi"/>
          <w:sz w:val="24"/>
          <w:szCs w:val="24"/>
          <w:lang w:val="en-GB"/>
        </w:rPr>
        <w:t xml:space="preserve"> D.</w:t>
      </w:r>
    </w:p>
    <w:p w14:paraId="4707EF44" w14:textId="0012BF08" w:rsidR="0051033F" w:rsidRPr="0051033F" w:rsidRDefault="0051033F" w:rsidP="0051033F">
      <w:pPr>
        <w:pBdr>
          <w:top w:val="nil"/>
          <w:left w:val="nil"/>
          <w:bottom w:val="nil"/>
          <w:right w:val="nil"/>
          <w:between w:val="nil"/>
        </w:pBdr>
        <w:spacing w:after="200" w:line="240" w:lineRule="auto"/>
        <w:jc w:val="both"/>
        <w:rPr>
          <w:rFonts w:asciiTheme="majorHAnsi" w:eastAsia="Calibri" w:hAnsiTheme="majorHAnsi" w:cstheme="majorHAnsi"/>
          <w:i/>
          <w:iCs/>
          <w:color w:val="212121"/>
          <w:sz w:val="24"/>
          <w:szCs w:val="24"/>
          <w:u w:val="single"/>
          <w:lang w:val="en-GB"/>
        </w:rPr>
      </w:pPr>
      <w:r w:rsidRPr="0051033F">
        <w:rPr>
          <w:rFonts w:asciiTheme="majorHAnsi" w:eastAsia="Calibri" w:hAnsiTheme="majorHAnsi" w:cstheme="majorHAnsi"/>
          <w:i/>
          <w:iCs/>
          <w:color w:val="212121"/>
          <w:sz w:val="24"/>
          <w:szCs w:val="24"/>
          <w:highlight w:val="white"/>
          <w:u w:val="single"/>
          <w:lang w:val="en-GB"/>
        </w:rPr>
        <w:t>Protectionism</w:t>
      </w:r>
      <w:r w:rsidRPr="0051033F">
        <w:rPr>
          <w:rFonts w:asciiTheme="majorHAnsi" w:eastAsia="Calibri" w:hAnsiTheme="majorHAnsi" w:cstheme="majorHAnsi"/>
          <w:b/>
          <w:i/>
          <w:iCs/>
          <w:color w:val="212121"/>
          <w:sz w:val="24"/>
          <w:szCs w:val="24"/>
          <w:highlight w:val="white"/>
          <w:u w:val="single"/>
          <w:lang w:val="en-GB"/>
        </w:rPr>
        <w:t xml:space="preserve"> </w:t>
      </w:r>
    </w:p>
    <w:p w14:paraId="4E0921EB" w14:textId="4D6B9F66"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 xml:space="preserve">Criminal law often purports </w:t>
      </w:r>
      <w:r w:rsidRPr="0051033F">
        <w:rPr>
          <w:rFonts w:asciiTheme="majorHAnsi" w:eastAsia="Calibri" w:hAnsiTheme="majorHAnsi" w:cstheme="majorHAnsi"/>
          <w:color w:val="212121"/>
          <w:sz w:val="24"/>
          <w:szCs w:val="24"/>
          <w:highlight w:val="white"/>
          <w:lang w:val="en-GB"/>
        </w:rPr>
        <w:t xml:space="preserve">to “protect” society, morality, public </w:t>
      </w:r>
      <w:proofErr w:type="gramStart"/>
      <w:r w:rsidRPr="0051033F">
        <w:rPr>
          <w:rFonts w:asciiTheme="majorHAnsi" w:eastAsia="Calibri" w:hAnsiTheme="majorHAnsi" w:cstheme="majorHAnsi"/>
          <w:color w:val="212121"/>
          <w:sz w:val="24"/>
          <w:szCs w:val="24"/>
          <w:highlight w:val="white"/>
          <w:lang w:val="en-GB"/>
        </w:rPr>
        <w:t>order</w:t>
      </w:r>
      <w:proofErr w:type="gramEnd"/>
      <w:r w:rsidRPr="0051033F">
        <w:rPr>
          <w:rFonts w:asciiTheme="majorHAnsi" w:eastAsia="Calibri" w:hAnsiTheme="majorHAnsi" w:cstheme="majorHAnsi"/>
          <w:color w:val="212121"/>
          <w:sz w:val="24"/>
          <w:szCs w:val="24"/>
          <w:highlight w:val="white"/>
          <w:lang w:val="en-GB"/>
        </w:rPr>
        <w:t xml:space="preserve"> or public health.</w:t>
      </w:r>
      <w:r w:rsidRPr="0051033F">
        <w:rPr>
          <w:rFonts w:asciiTheme="majorHAnsi" w:eastAsia="Calibri" w:hAnsiTheme="majorHAnsi" w:cstheme="majorHAnsi"/>
          <w:color w:val="212121"/>
          <w:sz w:val="24"/>
          <w:szCs w:val="24"/>
          <w:highlight w:val="white"/>
          <w:vertAlign w:val="superscript"/>
          <w:lang w:val="en-GB"/>
        </w:rPr>
        <w:endnoteReference w:id="7"/>
      </w:r>
      <w:r w:rsidRPr="0051033F">
        <w:rPr>
          <w:rFonts w:asciiTheme="majorHAnsi" w:eastAsia="Calibri" w:hAnsiTheme="majorHAnsi" w:cstheme="majorHAnsi"/>
          <w:color w:val="212121"/>
          <w:sz w:val="24"/>
          <w:szCs w:val="24"/>
          <w:highlight w:val="white"/>
          <w:lang w:val="en-GB"/>
        </w:rPr>
        <w:t xml:space="preserve"> </w:t>
      </w:r>
      <w:r w:rsidRPr="0051033F">
        <w:rPr>
          <w:rFonts w:asciiTheme="majorHAnsi" w:eastAsia="Calibri" w:hAnsiTheme="majorHAnsi" w:cstheme="majorHAnsi"/>
          <w:color w:val="212121"/>
          <w:sz w:val="24"/>
          <w:szCs w:val="24"/>
          <w:lang w:val="en-GB"/>
        </w:rPr>
        <w:t>However, criminal laws and justice systems also signal which groups, people and behaviours are worthy of protection,</w:t>
      </w:r>
      <w:r w:rsidRPr="0051033F">
        <w:rPr>
          <w:rFonts w:asciiTheme="majorHAnsi" w:eastAsia="Calibri" w:hAnsiTheme="majorHAnsi" w:cstheme="majorHAnsi"/>
          <w:color w:val="212121"/>
          <w:sz w:val="24"/>
          <w:szCs w:val="24"/>
          <w:vertAlign w:val="superscript"/>
          <w:lang w:val="en-GB"/>
        </w:rPr>
        <w:endnoteReference w:id="8"/>
      </w:r>
      <w:r w:rsidRPr="0051033F">
        <w:rPr>
          <w:rFonts w:asciiTheme="majorHAnsi" w:eastAsia="Calibri" w:hAnsiTheme="majorHAnsi" w:cstheme="majorHAnsi"/>
          <w:color w:val="212121"/>
          <w:sz w:val="24"/>
          <w:szCs w:val="24"/>
          <w:highlight w:val="white"/>
          <w:lang w:val="en-GB"/>
        </w:rPr>
        <w:t xml:space="preserve"> and often reflect racial, class and other hierarchies. </w:t>
      </w:r>
    </w:p>
    <w:p w14:paraId="42D7B9EA" w14:textId="24FB6EDE"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 xml:space="preserve">In this context, it is important to challenge the “protectionism” which frequently underlies criminal and punitive laws and policies. Protectionism refers to </w:t>
      </w:r>
      <w:r w:rsidRPr="0051033F">
        <w:rPr>
          <w:rFonts w:asciiTheme="majorHAnsi" w:eastAsia="Calibri" w:hAnsiTheme="majorHAnsi" w:cstheme="majorHAnsi"/>
          <w:color w:val="212121"/>
          <w:sz w:val="24"/>
          <w:szCs w:val="24"/>
          <w:highlight w:val="white"/>
          <w:lang w:val="en-GB"/>
        </w:rPr>
        <w:t>“a worldview and attitude that sees certain individuals and groups – notably, women and girls, and other gendered and sexualised people – as “naturally” vulnerable to violence and discrimination and as requiring the protection of the state and the patriarch,”</w:t>
      </w:r>
      <w:r w:rsidRPr="0051033F">
        <w:rPr>
          <w:rFonts w:asciiTheme="majorHAnsi" w:eastAsia="Calibri" w:hAnsiTheme="majorHAnsi" w:cstheme="majorHAnsi"/>
          <w:color w:val="212121"/>
          <w:sz w:val="24"/>
          <w:szCs w:val="24"/>
          <w:highlight w:val="white"/>
          <w:vertAlign w:val="superscript"/>
          <w:lang w:val="en-GB"/>
        </w:rPr>
        <w:endnoteReference w:id="9"/>
      </w:r>
      <w:r w:rsidRPr="0051033F">
        <w:rPr>
          <w:rFonts w:asciiTheme="majorHAnsi" w:eastAsia="Calibri" w:hAnsiTheme="majorHAnsi" w:cstheme="majorHAnsi"/>
          <w:color w:val="212121"/>
          <w:sz w:val="24"/>
          <w:szCs w:val="24"/>
          <w:highlight w:val="white"/>
          <w:lang w:val="en-GB"/>
        </w:rPr>
        <w:t xml:space="preserve"> </w:t>
      </w:r>
      <w:r w:rsidRPr="0051033F">
        <w:rPr>
          <w:rFonts w:asciiTheme="majorHAnsi" w:eastAsia="Calibri" w:hAnsiTheme="majorHAnsi" w:cstheme="majorHAnsi"/>
          <w:color w:val="212121"/>
          <w:sz w:val="24"/>
          <w:szCs w:val="24"/>
          <w:lang w:val="en-GB"/>
        </w:rPr>
        <w:t>from themselves and/or from real and perceived dangers.</w:t>
      </w:r>
      <w:r w:rsidRPr="0051033F">
        <w:rPr>
          <w:rFonts w:asciiTheme="majorHAnsi" w:eastAsia="Calibri" w:hAnsiTheme="majorHAnsi" w:cstheme="majorHAnsi"/>
          <w:color w:val="212121"/>
          <w:sz w:val="24"/>
          <w:szCs w:val="24"/>
          <w:vertAlign w:val="superscript"/>
          <w:lang w:val="en-GB"/>
        </w:rPr>
        <w:endnoteReference w:id="10"/>
      </w:r>
      <w:r w:rsidRPr="0051033F">
        <w:rPr>
          <w:rFonts w:asciiTheme="majorHAnsi" w:eastAsia="Calibri" w:hAnsiTheme="majorHAnsi" w:cstheme="majorHAnsi"/>
          <w:color w:val="212121"/>
          <w:sz w:val="24"/>
          <w:szCs w:val="24"/>
          <w:lang w:val="en-GB"/>
        </w:rPr>
        <w:t xml:space="preserve"> Often however, such policies fail to address the root causes of discrimination and violence, and instead individualize, punish and deepen systemic inequality.</w:t>
      </w:r>
      <w:r w:rsidRPr="0051033F">
        <w:rPr>
          <w:rFonts w:asciiTheme="majorHAnsi" w:eastAsia="Calibri" w:hAnsiTheme="majorHAnsi" w:cstheme="majorHAnsi"/>
          <w:color w:val="212121"/>
          <w:sz w:val="24"/>
          <w:szCs w:val="24"/>
          <w:highlight w:val="white"/>
          <w:vertAlign w:val="superscript"/>
          <w:lang w:val="en-GB"/>
        </w:rPr>
        <w:endnoteReference w:id="11"/>
      </w:r>
      <w:r w:rsidRPr="0051033F">
        <w:rPr>
          <w:rFonts w:asciiTheme="majorHAnsi" w:eastAsia="Calibri" w:hAnsiTheme="majorHAnsi" w:cstheme="majorHAnsi"/>
          <w:color w:val="212121"/>
          <w:sz w:val="24"/>
          <w:szCs w:val="24"/>
          <w:highlight w:val="white"/>
          <w:lang w:val="en-GB"/>
        </w:rPr>
        <w:t xml:space="preserve"> </w:t>
      </w:r>
    </w:p>
    <w:p w14:paraId="5DF33D41" w14:textId="671DCC01"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highlight w:val="white"/>
          <w:lang w:val="en-GB"/>
        </w:rPr>
        <w:t>Protectionist policies and their emphasis on “protecting women” often operate at the expense of women’s rights and autonomy.</w:t>
      </w:r>
      <w:r w:rsidRPr="0051033F">
        <w:rPr>
          <w:rFonts w:asciiTheme="majorHAnsi" w:eastAsia="Calibri" w:hAnsiTheme="majorHAnsi" w:cstheme="majorHAnsi"/>
          <w:color w:val="212121"/>
          <w:sz w:val="24"/>
          <w:szCs w:val="24"/>
          <w:vertAlign w:val="superscript"/>
          <w:lang w:val="en-GB"/>
        </w:rPr>
        <w:endnoteReference w:id="12"/>
      </w:r>
      <w:r w:rsidRPr="0051033F">
        <w:rPr>
          <w:rFonts w:asciiTheme="majorHAnsi" w:eastAsia="Calibri" w:hAnsiTheme="majorHAnsi" w:cstheme="majorHAnsi"/>
          <w:color w:val="212121"/>
          <w:sz w:val="24"/>
          <w:szCs w:val="24"/>
          <w:highlight w:val="white"/>
          <w:lang w:val="en-GB"/>
        </w:rPr>
        <w:t xml:space="preserve"> One example is</w:t>
      </w:r>
      <w:r w:rsidRPr="0051033F">
        <w:rPr>
          <w:rFonts w:asciiTheme="majorHAnsi" w:eastAsia="Calibri" w:hAnsiTheme="majorHAnsi" w:cstheme="majorHAnsi"/>
          <w:color w:val="212121"/>
          <w:sz w:val="24"/>
          <w:szCs w:val="24"/>
          <w:lang w:val="en-GB"/>
        </w:rPr>
        <w:t xml:space="preserve"> the harmful conflation of sex work and trafficking. Under the guise of “protection,” anti-trafficking policies increase the surveillance and criminalization of sex workers,</w:t>
      </w:r>
      <w:r w:rsidRPr="0051033F">
        <w:rPr>
          <w:rFonts w:asciiTheme="majorHAnsi" w:eastAsia="Calibri" w:hAnsiTheme="majorHAnsi" w:cstheme="majorHAnsi"/>
          <w:color w:val="212121"/>
          <w:sz w:val="24"/>
          <w:szCs w:val="24"/>
          <w:vertAlign w:val="superscript"/>
          <w:lang w:val="en-GB"/>
        </w:rPr>
        <w:endnoteReference w:id="13"/>
      </w:r>
      <w:r w:rsidRPr="0051033F">
        <w:rPr>
          <w:rFonts w:asciiTheme="majorHAnsi" w:eastAsia="Calibri" w:hAnsiTheme="majorHAnsi" w:cstheme="majorHAnsi"/>
          <w:color w:val="212121"/>
          <w:sz w:val="24"/>
          <w:szCs w:val="24"/>
          <w:lang w:val="en-GB"/>
        </w:rPr>
        <w:t xml:space="preserve"> and can contribute to homelessness as outlined in section</w:t>
      </w:r>
      <w:r>
        <w:rPr>
          <w:rFonts w:asciiTheme="majorHAnsi" w:eastAsia="Calibri" w:hAnsiTheme="majorHAnsi" w:cstheme="majorHAnsi"/>
          <w:color w:val="212121"/>
          <w:sz w:val="24"/>
          <w:szCs w:val="24"/>
          <w:lang w:val="en-GB"/>
        </w:rPr>
        <w:t xml:space="preserve"> C</w:t>
      </w:r>
      <w:r>
        <w:rPr>
          <w:rFonts w:asciiTheme="majorHAnsi" w:eastAsia="Calibri" w:hAnsiTheme="majorHAnsi" w:cstheme="majorHAnsi"/>
          <w:i/>
          <w:color w:val="212121"/>
          <w:sz w:val="24"/>
          <w:szCs w:val="24"/>
          <w:lang w:val="en-GB"/>
        </w:rPr>
        <w:t>.</w:t>
      </w:r>
    </w:p>
    <w:p w14:paraId="28594CF6" w14:textId="7113DD7B"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 xml:space="preserve">In the context of gender-based violence, protectionism creates hierarchies between survivors and requires them to comply with </w:t>
      </w:r>
      <w:r w:rsidRPr="0051033F">
        <w:rPr>
          <w:rFonts w:asciiTheme="majorHAnsi" w:eastAsia="Calibri" w:hAnsiTheme="majorHAnsi" w:cstheme="majorHAnsi"/>
          <w:color w:val="212121"/>
          <w:sz w:val="24"/>
          <w:szCs w:val="24"/>
          <w:highlight w:val="white"/>
          <w:lang w:val="en-GB"/>
        </w:rPr>
        <w:t>arbitrary and discriminatory standards of victimhood, “innocence” or “decency.”</w:t>
      </w:r>
      <w:r w:rsidRPr="0051033F">
        <w:rPr>
          <w:rFonts w:asciiTheme="majorHAnsi" w:eastAsia="Calibri" w:hAnsiTheme="majorHAnsi" w:cstheme="majorHAnsi"/>
          <w:color w:val="212121"/>
          <w:sz w:val="24"/>
          <w:szCs w:val="24"/>
          <w:highlight w:val="white"/>
          <w:vertAlign w:val="superscript"/>
          <w:lang w:val="en-GB"/>
        </w:rPr>
        <w:endnoteReference w:id="14"/>
      </w:r>
      <w:r w:rsidRPr="0051033F">
        <w:rPr>
          <w:rFonts w:asciiTheme="majorHAnsi" w:eastAsia="Calibri" w:hAnsiTheme="majorHAnsi" w:cstheme="majorHAnsi"/>
          <w:color w:val="212121"/>
          <w:sz w:val="24"/>
          <w:szCs w:val="24"/>
          <w:highlight w:val="white"/>
          <w:lang w:val="en-GB"/>
        </w:rPr>
        <w:t xml:space="preserve"> </w:t>
      </w:r>
      <w:proofErr w:type="gramStart"/>
      <w:r w:rsidRPr="0051033F">
        <w:rPr>
          <w:rFonts w:asciiTheme="majorHAnsi" w:eastAsia="Calibri" w:hAnsiTheme="majorHAnsi" w:cstheme="majorHAnsi"/>
          <w:color w:val="212121"/>
          <w:sz w:val="24"/>
          <w:szCs w:val="24"/>
          <w:highlight w:val="white"/>
          <w:lang w:val="en-GB"/>
        </w:rPr>
        <w:t xml:space="preserve">This </w:t>
      </w:r>
      <w:r w:rsidRPr="0051033F">
        <w:rPr>
          <w:rFonts w:asciiTheme="majorHAnsi" w:eastAsia="Calibri" w:hAnsiTheme="majorHAnsi" w:cstheme="majorHAnsi"/>
          <w:color w:val="212121"/>
          <w:sz w:val="24"/>
          <w:szCs w:val="24"/>
          <w:lang w:val="en-GB"/>
        </w:rPr>
        <w:t>manifests</w:t>
      </w:r>
      <w:proofErr w:type="gramEnd"/>
      <w:r w:rsidRPr="0051033F">
        <w:rPr>
          <w:rFonts w:asciiTheme="majorHAnsi" w:eastAsia="Calibri" w:hAnsiTheme="majorHAnsi" w:cstheme="majorHAnsi"/>
          <w:color w:val="212121"/>
          <w:sz w:val="24"/>
          <w:szCs w:val="24"/>
          <w:lang w:val="en-GB"/>
        </w:rPr>
        <w:t xml:space="preserve"> for instance in the frequent exclusion from women’s shelters of women who use drugs, as outlined in </w:t>
      </w:r>
      <w:r w:rsidRPr="0051033F">
        <w:rPr>
          <w:rFonts w:asciiTheme="majorHAnsi" w:eastAsia="Calibri" w:hAnsiTheme="majorHAnsi" w:cstheme="majorHAnsi"/>
          <w:iCs/>
          <w:color w:val="212121"/>
          <w:sz w:val="24"/>
          <w:szCs w:val="24"/>
          <w:lang w:val="en-GB"/>
        </w:rPr>
        <w:t>section D,</w:t>
      </w:r>
      <w:r>
        <w:rPr>
          <w:rFonts w:asciiTheme="majorHAnsi" w:eastAsia="Calibri" w:hAnsiTheme="majorHAnsi" w:cstheme="majorHAnsi"/>
          <w:i/>
          <w:color w:val="212121"/>
          <w:sz w:val="24"/>
          <w:szCs w:val="24"/>
          <w:lang w:val="en-GB"/>
        </w:rPr>
        <w:t xml:space="preserve"> </w:t>
      </w:r>
      <w:r w:rsidRPr="0051033F">
        <w:rPr>
          <w:rFonts w:asciiTheme="majorHAnsi" w:eastAsia="Calibri" w:hAnsiTheme="majorHAnsi" w:cstheme="majorHAnsi"/>
          <w:color w:val="212121"/>
          <w:sz w:val="24"/>
          <w:szCs w:val="24"/>
          <w:lang w:val="en-GB"/>
        </w:rPr>
        <w:t>based on discriminatory stereotypes and narratives that other survivors must be “protected” from their presence</w:t>
      </w:r>
      <w:r w:rsidRPr="0051033F">
        <w:rPr>
          <w:rFonts w:asciiTheme="majorHAnsi" w:eastAsia="Calibri" w:hAnsiTheme="majorHAnsi" w:cstheme="majorHAnsi"/>
          <w:color w:val="212121"/>
          <w:sz w:val="24"/>
          <w:szCs w:val="24"/>
          <w:highlight w:val="white"/>
          <w:lang w:val="en-GB"/>
        </w:rPr>
        <w:t xml:space="preserve">. </w:t>
      </w:r>
    </w:p>
    <w:p w14:paraId="2879389D" w14:textId="2DA756A6"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highlight w:val="white"/>
          <w:lang w:val="en-GB"/>
        </w:rPr>
        <w:lastRenderedPageBreak/>
        <w:t>Anti-immigration policies that compound the impacts of these criminal laws frequently purport to “protect the nation” and its people, pointing again to the racialized hierarchies entrenched by discourses of “protection.”</w:t>
      </w:r>
      <w:r w:rsidRPr="0051033F">
        <w:rPr>
          <w:rFonts w:asciiTheme="majorHAnsi" w:eastAsia="Calibri" w:hAnsiTheme="majorHAnsi" w:cstheme="majorHAnsi"/>
          <w:color w:val="212121"/>
          <w:sz w:val="24"/>
          <w:szCs w:val="24"/>
          <w:highlight w:val="white"/>
          <w:vertAlign w:val="superscript"/>
          <w:lang w:val="en-GB"/>
        </w:rPr>
        <w:endnoteReference w:id="15"/>
      </w:r>
      <w:r w:rsidRPr="0051033F">
        <w:rPr>
          <w:rFonts w:asciiTheme="majorHAnsi" w:eastAsia="Calibri" w:hAnsiTheme="majorHAnsi" w:cstheme="majorHAnsi"/>
          <w:color w:val="212121"/>
          <w:sz w:val="24"/>
          <w:szCs w:val="24"/>
          <w:highlight w:val="white"/>
          <w:lang w:val="en-GB"/>
        </w:rPr>
        <w:t xml:space="preserve"> </w:t>
      </w:r>
    </w:p>
    <w:p w14:paraId="69D42A6F" w14:textId="592EFBA3" w:rsidR="0051033F" w:rsidRPr="0051033F" w:rsidRDefault="0051033F" w:rsidP="0051033F">
      <w:pPr>
        <w:pBdr>
          <w:top w:val="nil"/>
          <w:left w:val="nil"/>
          <w:bottom w:val="nil"/>
          <w:right w:val="nil"/>
          <w:between w:val="nil"/>
        </w:pBdr>
        <w:spacing w:after="200" w:line="240" w:lineRule="auto"/>
        <w:jc w:val="both"/>
        <w:rPr>
          <w:rFonts w:asciiTheme="majorHAnsi" w:eastAsia="Calibri" w:hAnsiTheme="majorHAnsi" w:cstheme="majorHAnsi"/>
          <w:bCs/>
          <w:color w:val="212121"/>
          <w:sz w:val="24"/>
          <w:szCs w:val="24"/>
          <w:u w:val="single"/>
          <w:lang w:val="en-GB"/>
        </w:rPr>
      </w:pPr>
      <w:r w:rsidRPr="0051033F">
        <w:rPr>
          <w:rFonts w:asciiTheme="majorHAnsi" w:eastAsia="Calibri" w:hAnsiTheme="majorHAnsi" w:cstheme="majorHAnsi"/>
          <w:bCs/>
          <w:color w:val="212121"/>
          <w:sz w:val="24"/>
          <w:szCs w:val="24"/>
          <w:u w:val="single"/>
          <w:lang w:val="en-GB"/>
        </w:rPr>
        <w:t>Neoliberalism</w:t>
      </w:r>
    </w:p>
    <w:p w14:paraId="6A378FD8" w14:textId="5117BA8F"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 xml:space="preserve">Criminalization, </w:t>
      </w:r>
      <w:proofErr w:type="gramStart"/>
      <w:r w:rsidRPr="0051033F">
        <w:rPr>
          <w:rFonts w:asciiTheme="majorHAnsi" w:eastAsia="Calibri" w:hAnsiTheme="majorHAnsi" w:cstheme="majorHAnsi"/>
          <w:color w:val="212121"/>
          <w:sz w:val="24"/>
          <w:szCs w:val="24"/>
          <w:lang w:val="en-GB"/>
        </w:rPr>
        <w:t>policing</w:t>
      </w:r>
      <w:proofErr w:type="gramEnd"/>
      <w:r w:rsidRPr="0051033F">
        <w:rPr>
          <w:rFonts w:asciiTheme="majorHAnsi" w:eastAsia="Calibri" w:hAnsiTheme="majorHAnsi" w:cstheme="majorHAnsi"/>
          <w:color w:val="212121"/>
          <w:sz w:val="24"/>
          <w:szCs w:val="24"/>
          <w:lang w:val="en-GB"/>
        </w:rPr>
        <w:t xml:space="preserve"> and protectionism are essential tools in allowing neoliberal economies to penalize individuals for societal and structural harms. Poverty and homelessness are telling examples of situations that constitute socio-economic rights violations requiring transformative rather than punitive state intervention.</w:t>
      </w:r>
      <w:r w:rsidRPr="0051033F">
        <w:rPr>
          <w:rFonts w:asciiTheme="majorHAnsi" w:eastAsia="Calibri" w:hAnsiTheme="majorHAnsi" w:cstheme="majorHAnsi"/>
          <w:color w:val="212121"/>
          <w:sz w:val="24"/>
          <w:szCs w:val="24"/>
          <w:vertAlign w:val="superscript"/>
          <w:lang w:val="en-GB"/>
        </w:rPr>
        <w:endnoteReference w:id="16"/>
      </w:r>
      <w:r w:rsidRPr="0051033F">
        <w:rPr>
          <w:rFonts w:asciiTheme="majorHAnsi" w:eastAsia="Calibri" w:hAnsiTheme="majorHAnsi" w:cstheme="majorHAnsi"/>
          <w:color w:val="212121"/>
          <w:sz w:val="24"/>
          <w:szCs w:val="24"/>
          <w:lang w:val="en-GB"/>
        </w:rPr>
        <w:t xml:space="preserve"> Instead of addressing the root causes of these violations, neoliberal policies rely on the criminal system to control and contain people whose disenfranchisement and marginalization increase along with austerity and cuts to public services.</w:t>
      </w:r>
      <w:r w:rsidRPr="0051033F">
        <w:rPr>
          <w:rFonts w:asciiTheme="majorHAnsi" w:eastAsia="Calibri" w:hAnsiTheme="majorHAnsi" w:cstheme="majorHAnsi"/>
          <w:color w:val="212121"/>
          <w:sz w:val="24"/>
          <w:szCs w:val="24"/>
          <w:vertAlign w:val="superscript"/>
          <w:lang w:val="en-GB"/>
        </w:rPr>
        <w:endnoteReference w:id="17"/>
      </w:r>
      <w:r w:rsidRPr="0051033F">
        <w:rPr>
          <w:rFonts w:asciiTheme="majorHAnsi" w:eastAsia="Calibri" w:hAnsiTheme="majorHAnsi" w:cstheme="majorHAnsi"/>
          <w:color w:val="212121"/>
          <w:sz w:val="24"/>
          <w:szCs w:val="24"/>
          <w:lang w:val="en-GB"/>
        </w:rPr>
        <w:t xml:space="preserve"> </w:t>
      </w:r>
    </w:p>
    <w:p w14:paraId="4F3B8283" w14:textId="39CC9D3C"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Inequality, segregation, displacement and homelessness are not ‘facts of life’ but the logical consequences of the neoliberal push for profit, privatization, financialization and commodification of public space, housing, services and land,</w:t>
      </w:r>
      <w:r w:rsidRPr="0051033F">
        <w:rPr>
          <w:rFonts w:asciiTheme="majorHAnsi" w:eastAsia="Calibri" w:hAnsiTheme="majorHAnsi" w:cstheme="majorHAnsi"/>
          <w:color w:val="212121"/>
          <w:sz w:val="24"/>
          <w:szCs w:val="24"/>
          <w:vertAlign w:val="superscript"/>
          <w:lang w:val="en-GB"/>
        </w:rPr>
        <w:endnoteReference w:id="18"/>
      </w:r>
      <w:r w:rsidRPr="0051033F">
        <w:rPr>
          <w:rFonts w:asciiTheme="majorHAnsi" w:eastAsia="Calibri" w:hAnsiTheme="majorHAnsi" w:cstheme="majorHAnsi"/>
          <w:color w:val="212121"/>
          <w:sz w:val="24"/>
          <w:szCs w:val="24"/>
          <w:lang w:val="en-GB"/>
        </w:rPr>
        <w:t xml:space="preserve"> as Right to the City movements have long articulated.</w:t>
      </w:r>
      <w:r w:rsidRPr="0051033F">
        <w:rPr>
          <w:rFonts w:asciiTheme="majorHAnsi" w:eastAsia="Calibri" w:hAnsiTheme="majorHAnsi" w:cstheme="majorHAnsi"/>
          <w:color w:val="212121"/>
          <w:sz w:val="24"/>
          <w:szCs w:val="24"/>
          <w:vertAlign w:val="superscript"/>
          <w:lang w:val="en-GB"/>
        </w:rPr>
        <w:endnoteReference w:id="19"/>
      </w:r>
      <w:r w:rsidRPr="0051033F">
        <w:rPr>
          <w:rFonts w:asciiTheme="majorHAnsi" w:eastAsia="Calibri" w:hAnsiTheme="majorHAnsi" w:cstheme="majorHAnsi"/>
          <w:color w:val="212121"/>
          <w:sz w:val="24"/>
          <w:szCs w:val="24"/>
          <w:lang w:val="en-GB"/>
        </w:rPr>
        <w:t xml:space="preserve"> The privatization of public space goes hand in hand with the criminalization, stigmatization and exclusion of people whose presence is deemed “illegal,” “undesirable” or to go against classist, racist and patriarchal interests and conceptions of “protection” and “public order.”</w:t>
      </w:r>
      <w:r w:rsidRPr="0051033F">
        <w:rPr>
          <w:rFonts w:asciiTheme="majorHAnsi" w:eastAsia="Calibri" w:hAnsiTheme="majorHAnsi" w:cstheme="majorHAnsi"/>
          <w:color w:val="212121"/>
          <w:sz w:val="24"/>
          <w:szCs w:val="24"/>
          <w:vertAlign w:val="superscript"/>
          <w:lang w:val="en-GB"/>
        </w:rPr>
        <w:endnoteReference w:id="20"/>
      </w:r>
      <w:r w:rsidRPr="0051033F">
        <w:rPr>
          <w:rFonts w:asciiTheme="majorHAnsi" w:eastAsia="Calibri" w:hAnsiTheme="majorHAnsi" w:cstheme="majorHAnsi"/>
          <w:color w:val="212121"/>
          <w:sz w:val="24"/>
          <w:szCs w:val="24"/>
          <w:lang w:val="en-GB"/>
        </w:rPr>
        <w:t xml:space="preserve"> In addition, it is important to go beyond the concept of “extreme poverty” and examine poverty itself as a human rights violation, and as the result of wilful impoverishment,</w:t>
      </w:r>
      <w:r w:rsidRPr="0051033F">
        <w:rPr>
          <w:rFonts w:asciiTheme="majorHAnsi" w:eastAsia="Calibri" w:hAnsiTheme="majorHAnsi" w:cstheme="majorHAnsi"/>
          <w:color w:val="212121"/>
          <w:sz w:val="24"/>
          <w:szCs w:val="24"/>
          <w:vertAlign w:val="superscript"/>
          <w:lang w:val="en-GB"/>
        </w:rPr>
        <w:endnoteReference w:id="21"/>
      </w:r>
      <w:r w:rsidRPr="0051033F">
        <w:rPr>
          <w:rFonts w:asciiTheme="majorHAnsi" w:eastAsia="Calibri" w:hAnsiTheme="majorHAnsi" w:cstheme="majorHAnsi"/>
          <w:color w:val="212121"/>
          <w:sz w:val="24"/>
          <w:szCs w:val="24"/>
          <w:lang w:val="en-GB"/>
        </w:rPr>
        <w:t xml:space="preserve"> including through colonial and neo-colonial exploitation, and the deliberate prioritization of profit under capitalism.</w:t>
      </w:r>
      <w:r w:rsidRPr="0051033F">
        <w:rPr>
          <w:rFonts w:asciiTheme="majorHAnsi" w:eastAsia="Calibri" w:hAnsiTheme="majorHAnsi" w:cstheme="majorHAnsi"/>
          <w:color w:val="212121"/>
          <w:sz w:val="24"/>
          <w:szCs w:val="24"/>
          <w:vertAlign w:val="superscript"/>
          <w:lang w:val="en-GB"/>
        </w:rPr>
        <w:endnoteReference w:id="22"/>
      </w:r>
    </w:p>
    <w:p w14:paraId="6D06F5CD" w14:textId="57464549"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color w:val="212121"/>
          <w:sz w:val="24"/>
          <w:szCs w:val="24"/>
          <w:lang w:val="en-GB"/>
        </w:rPr>
        <w:t xml:space="preserve">In this context, it is important for the Special Rapporteurs to challenge the neoliberal economic model positioning homelessness and poverty as anything other than human rights violations, and to call on states to </w:t>
      </w:r>
      <w:r w:rsidRPr="0051033F">
        <w:rPr>
          <w:rFonts w:asciiTheme="majorHAnsi" w:eastAsia="Calibri" w:hAnsiTheme="majorHAnsi" w:cstheme="majorHAnsi"/>
          <w:color w:val="212121"/>
          <w:sz w:val="24"/>
          <w:szCs w:val="24"/>
          <w:highlight w:val="white"/>
          <w:lang w:val="en-GB"/>
        </w:rPr>
        <w:t xml:space="preserve">expand public services and ensure an adequate standard of living, </w:t>
      </w:r>
      <w:r w:rsidRPr="0051033F">
        <w:rPr>
          <w:rFonts w:asciiTheme="majorHAnsi" w:eastAsia="Calibri" w:hAnsiTheme="majorHAnsi" w:cstheme="majorHAnsi"/>
          <w:color w:val="212121"/>
          <w:sz w:val="24"/>
          <w:szCs w:val="24"/>
          <w:lang w:val="en-GB"/>
        </w:rPr>
        <w:t>rather than resort to punitive and carceral responses.</w:t>
      </w:r>
    </w:p>
    <w:p w14:paraId="182ECBCD" w14:textId="77777777" w:rsidR="0051033F" w:rsidRPr="0051033F" w:rsidRDefault="0051033F" w:rsidP="0051033F">
      <w:p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p>
    <w:p w14:paraId="7C06DDC0" w14:textId="22680B47" w:rsidR="0051033F" w:rsidRPr="0051033F" w:rsidRDefault="0051033F" w:rsidP="0051033F">
      <w:pP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b/>
          <w:sz w:val="24"/>
          <w:szCs w:val="24"/>
          <w:lang w:val="en-GB"/>
        </w:rPr>
        <w:t>C. The criminalisation of sex work and homelessness</w:t>
      </w:r>
    </w:p>
    <w:p w14:paraId="033F4BC6" w14:textId="4D69ED37"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Anti-trafficking laws and initiatives that conflate sex work with exploitation can contribute to homelessness.</w:t>
      </w:r>
      <w:r w:rsidRPr="0051033F">
        <w:rPr>
          <w:rFonts w:asciiTheme="majorHAnsi" w:eastAsia="Calibri" w:hAnsiTheme="majorHAnsi" w:cstheme="majorHAnsi"/>
          <w:sz w:val="24"/>
          <w:szCs w:val="24"/>
          <w:vertAlign w:val="superscript"/>
          <w:lang w:val="en-GB"/>
        </w:rPr>
        <w:endnoteReference w:id="23"/>
      </w:r>
      <w:r w:rsidRPr="0051033F">
        <w:rPr>
          <w:rFonts w:asciiTheme="majorHAnsi" w:eastAsia="Calibri" w:hAnsiTheme="majorHAnsi" w:cstheme="majorHAnsi"/>
          <w:sz w:val="24"/>
          <w:szCs w:val="24"/>
          <w:lang w:val="en-GB"/>
        </w:rPr>
        <w:t xml:space="preserve"> The conflation of sex work with trafficking and slavery has led to the criminalisation of sex work in much of the United States.</w:t>
      </w:r>
      <w:r w:rsidRPr="0051033F">
        <w:rPr>
          <w:rFonts w:asciiTheme="majorHAnsi" w:eastAsia="Calibri" w:hAnsiTheme="majorHAnsi" w:cstheme="majorHAnsi"/>
          <w:sz w:val="24"/>
          <w:szCs w:val="24"/>
          <w:vertAlign w:val="superscript"/>
          <w:lang w:val="en-GB"/>
        </w:rPr>
        <w:endnoteReference w:id="24"/>
      </w:r>
      <w:r w:rsidRPr="0051033F">
        <w:rPr>
          <w:rFonts w:asciiTheme="majorHAnsi" w:eastAsia="Calibri" w:hAnsiTheme="majorHAnsi" w:cstheme="majorHAnsi"/>
          <w:sz w:val="24"/>
          <w:szCs w:val="24"/>
          <w:lang w:val="en-GB"/>
        </w:rPr>
        <w:t xml:space="preserve"> These same attitudes have also led to specific restrictions on the ability of migrants to engage in sex work in, for example, New Zealand, where despite the decriminalisation of sex work amongst adults, it remains illegal for migrants on temporary visas to work in the sex industry.</w:t>
      </w:r>
      <w:r w:rsidRPr="0051033F">
        <w:rPr>
          <w:rFonts w:asciiTheme="majorHAnsi" w:eastAsia="Calibri" w:hAnsiTheme="majorHAnsi" w:cstheme="majorHAnsi"/>
          <w:sz w:val="24"/>
          <w:szCs w:val="24"/>
          <w:vertAlign w:val="superscript"/>
          <w:lang w:val="en-GB"/>
        </w:rPr>
        <w:endnoteReference w:id="25"/>
      </w:r>
    </w:p>
    <w:p w14:paraId="7D308A08" w14:textId="7EA592A7"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Far from tackling exploitation, these attitudes have had a huge impact on the vulnerability of people engaged in sex work to homelessness. In the United States, women engaging in street-based sex work, who are the primary targets of prostitution arrests and incarceration, often report unstable housing or homelessness as a result of repeated arrests and detention.</w:t>
      </w:r>
      <w:r w:rsidRPr="0051033F">
        <w:rPr>
          <w:rFonts w:asciiTheme="majorHAnsi" w:eastAsia="Calibri" w:hAnsiTheme="majorHAnsi" w:cstheme="majorHAnsi"/>
          <w:sz w:val="24"/>
          <w:szCs w:val="24"/>
          <w:vertAlign w:val="superscript"/>
          <w:lang w:val="en-GB"/>
        </w:rPr>
        <w:endnoteReference w:id="26"/>
      </w:r>
      <w:r w:rsidRPr="0051033F">
        <w:rPr>
          <w:rFonts w:asciiTheme="majorHAnsi" w:eastAsia="Calibri" w:hAnsiTheme="majorHAnsi" w:cstheme="majorHAnsi"/>
          <w:sz w:val="24"/>
          <w:szCs w:val="24"/>
          <w:lang w:val="en-GB"/>
        </w:rPr>
        <w:t xml:space="preserve"> Sex work may also constitute the basis for eviction or exclusion </w:t>
      </w:r>
      <w:r w:rsidRPr="0051033F">
        <w:rPr>
          <w:rFonts w:asciiTheme="majorHAnsi" w:eastAsia="Calibri" w:hAnsiTheme="majorHAnsi" w:cstheme="majorHAnsi"/>
          <w:sz w:val="24"/>
          <w:szCs w:val="24"/>
          <w:lang w:val="en-GB"/>
        </w:rPr>
        <w:lastRenderedPageBreak/>
        <w:t>from public housing.</w:t>
      </w:r>
      <w:r w:rsidRPr="0051033F">
        <w:rPr>
          <w:rFonts w:asciiTheme="majorHAnsi" w:eastAsia="Calibri" w:hAnsiTheme="majorHAnsi" w:cstheme="majorHAnsi"/>
          <w:sz w:val="24"/>
          <w:szCs w:val="24"/>
          <w:vertAlign w:val="superscript"/>
          <w:lang w:val="en-GB"/>
        </w:rPr>
        <w:endnoteReference w:id="27"/>
      </w:r>
      <w:r w:rsidRPr="0051033F">
        <w:rPr>
          <w:rFonts w:asciiTheme="majorHAnsi" w:eastAsia="Calibri" w:hAnsiTheme="majorHAnsi" w:cstheme="majorHAnsi"/>
          <w:sz w:val="24"/>
          <w:szCs w:val="24"/>
          <w:vertAlign w:val="superscript"/>
          <w:lang w:val="en-GB"/>
        </w:rPr>
        <w:t xml:space="preserve"> </w:t>
      </w:r>
      <w:r w:rsidRPr="0051033F">
        <w:rPr>
          <w:rFonts w:asciiTheme="majorHAnsi" w:eastAsia="Calibri" w:hAnsiTheme="majorHAnsi" w:cstheme="majorHAnsi"/>
          <w:sz w:val="24"/>
          <w:szCs w:val="24"/>
          <w:lang w:val="en-GB"/>
        </w:rPr>
        <w:t>The scale of this problem is exemplified by the fact that some women engaged in sex work have described jail as a viable housing option, in juxtaposition to the difficulty of obtaining and maintaining housing as a person engaged in sex work in the United States.</w:t>
      </w:r>
      <w:r w:rsidRPr="0051033F">
        <w:rPr>
          <w:rFonts w:asciiTheme="majorHAnsi" w:eastAsia="Calibri" w:hAnsiTheme="majorHAnsi" w:cstheme="majorHAnsi"/>
          <w:sz w:val="24"/>
          <w:szCs w:val="24"/>
          <w:vertAlign w:val="superscript"/>
          <w:lang w:val="en-GB"/>
        </w:rPr>
        <w:endnoteReference w:id="28"/>
      </w:r>
    </w:p>
    <w:p w14:paraId="23ACCF32" w14:textId="42CE9F8D"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The long-term impact of criminalisation has also been demonstrated in New Zealand, where even post-decriminalisation, historic convictions have made it more difficult for sex workers to obtain jobs and a stable income and has therefore made many more vulnerable to homelessness.</w:t>
      </w:r>
      <w:r w:rsidRPr="0051033F">
        <w:rPr>
          <w:rFonts w:asciiTheme="majorHAnsi" w:eastAsia="Calibri" w:hAnsiTheme="majorHAnsi" w:cstheme="majorHAnsi"/>
          <w:sz w:val="24"/>
          <w:szCs w:val="24"/>
          <w:vertAlign w:val="superscript"/>
          <w:lang w:val="en-GB"/>
        </w:rPr>
        <w:endnoteReference w:id="29"/>
      </w:r>
      <w:r w:rsidRPr="0051033F">
        <w:rPr>
          <w:rFonts w:asciiTheme="majorHAnsi" w:eastAsia="Calibri" w:hAnsiTheme="majorHAnsi" w:cstheme="majorHAnsi"/>
          <w:sz w:val="24"/>
          <w:szCs w:val="24"/>
          <w:lang w:val="en-GB"/>
        </w:rPr>
        <w:t xml:space="preserve"> </w:t>
      </w:r>
    </w:p>
    <w:p w14:paraId="2E145C68" w14:textId="77777777" w:rsidR="0051033F" w:rsidRPr="0051033F" w:rsidRDefault="0051033F" w:rsidP="0051033F">
      <w:pPr>
        <w:pBdr>
          <w:top w:val="nil"/>
          <w:left w:val="nil"/>
          <w:bottom w:val="nil"/>
          <w:right w:val="nil"/>
          <w:between w:val="nil"/>
        </w:pBdr>
        <w:spacing w:after="200" w:line="240" w:lineRule="auto"/>
        <w:ind w:left="708"/>
        <w:jc w:val="both"/>
        <w:rPr>
          <w:rFonts w:asciiTheme="majorHAnsi" w:eastAsia="Calibri" w:hAnsiTheme="majorHAnsi" w:cstheme="majorHAnsi"/>
          <w:sz w:val="24"/>
          <w:szCs w:val="24"/>
          <w:lang w:val="en-GB"/>
        </w:rPr>
      </w:pPr>
    </w:p>
    <w:p w14:paraId="79F7D119" w14:textId="4142F678" w:rsidR="0051033F" w:rsidRPr="0051033F" w:rsidRDefault="0051033F" w:rsidP="0051033F">
      <w:pP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b/>
          <w:sz w:val="24"/>
          <w:szCs w:val="24"/>
          <w:lang w:val="en-GB"/>
        </w:rPr>
        <w:t>D. The criminalisation of drug possession for personal use and homelessness</w:t>
      </w:r>
    </w:p>
    <w:p w14:paraId="15AC0F95" w14:textId="47D42FFC" w:rsidR="0051033F" w:rsidRPr="0051033F" w:rsidRDefault="0051033F" w:rsidP="0051033F">
      <w:pPr>
        <w:numPr>
          <w:ilvl w:val="0"/>
          <w:numId w:val="3"/>
        </w:numPr>
        <w:pBdr>
          <w:top w:val="nil"/>
          <w:left w:val="nil"/>
          <w:bottom w:val="nil"/>
          <w:right w:val="nil"/>
          <w:between w:val="nil"/>
        </w:pBdr>
        <w:spacing w:after="200" w:line="240" w:lineRule="auto"/>
        <w:ind w:left="720" w:hanging="720"/>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WHRIN and partners highlight the clear overlaps between communities of people who are homeless and communities of people who use drugs where, under homelessness laws and regulations, people who use drugs face compounding oppression through mechanisms beyond punitive drug policy.</w:t>
      </w:r>
      <w:r w:rsidRPr="0051033F">
        <w:rPr>
          <w:rFonts w:asciiTheme="majorHAnsi" w:eastAsia="Calibri" w:hAnsiTheme="majorHAnsi" w:cstheme="majorHAnsi"/>
          <w:sz w:val="24"/>
          <w:szCs w:val="24"/>
          <w:vertAlign w:val="superscript"/>
          <w:lang w:val="en-GB"/>
        </w:rPr>
        <w:endnoteReference w:id="30"/>
      </w:r>
      <w:r w:rsidRPr="0051033F">
        <w:rPr>
          <w:rFonts w:asciiTheme="majorHAnsi" w:eastAsia="Calibri" w:hAnsiTheme="majorHAnsi" w:cstheme="majorHAnsi"/>
          <w:sz w:val="24"/>
          <w:szCs w:val="24"/>
          <w:lang w:val="en-GB"/>
        </w:rPr>
        <w:t xml:space="preserve"> </w:t>
      </w:r>
    </w:p>
    <w:p w14:paraId="653507F0" w14:textId="24E1DDA8" w:rsidR="0051033F" w:rsidRPr="0051033F" w:rsidRDefault="0051033F" w:rsidP="0051033F">
      <w:pPr>
        <w:numPr>
          <w:ilvl w:val="0"/>
          <w:numId w:val="3"/>
        </w:numPr>
        <w:pBdr>
          <w:top w:val="nil"/>
          <w:left w:val="nil"/>
          <w:bottom w:val="nil"/>
          <w:right w:val="nil"/>
          <w:between w:val="nil"/>
        </w:pBdr>
        <w:spacing w:after="200" w:line="240" w:lineRule="auto"/>
        <w:ind w:left="720" w:hanging="720"/>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There are clear intersecting</w:t>
      </w:r>
      <w:r w:rsidRPr="0051033F">
        <w:rPr>
          <w:rFonts w:asciiTheme="majorHAnsi" w:eastAsia="Calibri" w:hAnsiTheme="majorHAnsi" w:cstheme="majorHAnsi"/>
          <w:sz w:val="24"/>
          <w:szCs w:val="24"/>
          <w:vertAlign w:val="superscript"/>
          <w:lang w:val="en-GB"/>
        </w:rPr>
        <w:endnoteReference w:id="31"/>
      </w:r>
      <w:r w:rsidRPr="0051033F">
        <w:rPr>
          <w:rFonts w:asciiTheme="majorHAnsi" w:eastAsia="Calibri" w:hAnsiTheme="majorHAnsi" w:cstheme="majorHAnsi"/>
          <w:sz w:val="24"/>
          <w:szCs w:val="24"/>
          <w:lang w:val="en-GB"/>
        </w:rPr>
        <w:t xml:space="preserve"> causal linkages between violence and homelessness experienced by women who use drugs. Women who use drugs, including women living with HIV, are at elevated risk of experiencing violence .</w:t>
      </w:r>
      <w:r w:rsidRPr="0051033F">
        <w:rPr>
          <w:rFonts w:asciiTheme="majorHAnsi" w:eastAsia="Calibri" w:hAnsiTheme="majorHAnsi" w:cstheme="majorHAnsi"/>
          <w:sz w:val="24"/>
          <w:szCs w:val="24"/>
          <w:vertAlign w:val="superscript"/>
          <w:lang w:val="en-GB"/>
        </w:rPr>
        <w:endnoteReference w:id="32"/>
      </w:r>
      <w:r w:rsidRPr="0051033F">
        <w:rPr>
          <w:rFonts w:asciiTheme="majorHAnsi" w:eastAsia="Calibri" w:hAnsiTheme="majorHAnsi" w:cstheme="majorHAnsi"/>
          <w:sz w:val="24"/>
          <w:szCs w:val="24"/>
          <w:lang w:val="en-GB"/>
        </w:rPr>
        <w:t xml:space="preserve"> </w:t>
      </w:r>
      <w:r w:rsidRPr="0051033F">
        <w:rPr>
          <w:rFonts w:asciiTheme="majorHAnsi" w:eastAsia="Calibri" w:hAnsiTheme="majorHAnsi" w:cstheme="majorHAnsi"/>
          <w:sz w:val="24"/>
          <w:szCs w:val="24"/>
          <w:vertAlign w:val="superscript"/>
          <w:lang w:val="en-GB"/>
        </w:rPr>
        <w:endnoteReference w:id="33"/>
      </w:r>
      <w:r w:rsidRPr="0051033F">
        <w:rPr>
          <w:rFonts w:asciiTheme="majorHAnsi" w:eastAsia="Calibri" w:hAnsiTheme="majorHAnsi" w:cstheme="majorHAnsi"/>
          <w:sz w:val="24"/>
          <w:szCs w:val="24"/>
          <w:lang w:val="en-GB"/>
        </w:rPr>
        <w:t xml:space="preserve"> </w:t>
      </w:r>
      <w:r w:rsidRPr="0051033F">
        <w:rPr>
          <w:rFonts w:asciiTheme="majorHAnsi" w:eastAsia="Calibri" w:hAnsiTheme="majorHAnsi" w:cstheme="majorHAnsi"/>
          <w:sz w:val="24"/>
          <w:szCs w:val="24"/>
          <w:vertAlign w:val="superscript"/>
          <w:lang w:val="en-GB"/>
        </w:rPr>
        <w:endnoteReference w:id="34"/>
      </w:r>
      <w:r w:rsidRPr="0051033F">
        <w:rPr>
          <w:rFonts w:asciiTheme="majorHAnsi" w:eastAsia="Calibri" w:hAnsiTheme="majorHAnsi" w:cstheme="majorHAnsi"/>
          <w:sz w:val="24"/>
          <w:szCs w:val="24"/>
          <w:lang w:val="en-GB"/>
        </w:rPr>
        <w:t xml:space="preserve"> </w:t>
      </w:r>
      <w:r w:rsidRPr="0051033F">
        <w:rPr>
          <w:rFonts w:asciiTheme="majorHAnsi" w:eastAsia="Calibri" w:hAnsiTheme="majorHAnsi" w:cstheme="majorHAnsi"/>
          <w:sz w:val="24"/>
          <w:szCs w:val="24"/>
          <w:vertAlign w:val="superscript"/>
          <w:lang w:val="en-GB"/>
        </w:rPr>
        <w:endnoteReference w:id="35"/>
      </w:r>
      <w:r w:rsidRPr="0051033F">
        <w:rPr>
          <w:rFonts w:asciiTheme="majorHAnsi" w:eastAsia="Calibri" w:hAnsiTheme="majorHAnsi" w:cstheme="majorHAnsi"/>
          <w:sz w:val="24"/>
          <w:szCs w:val="24"/>
          <w:vertAlign w:val="superscript"/>
          <w:lang w:val="en-GB"/>
        </w:rPr>
        <w:t xml:space="preserve"> </w:t>
      </w:r>
      <w:r w:rsidRPr="0051033F">
        <w:rPr>
          <w:rFonts w:asciiTheme="majorHAnsi" w:eastAsia="Calibri" w:hAnsiTheme="majorHAnsi" w:cstheme="majorHAnsi"/>
          <w:sz w:val="24"/>
          <w:szCs w:val="24"/>
          <w:lang w:val="en-GB"/>
        </w:rPr>
        <w:t>Research also indicates that HIV prevention and treatment as well as drug use management for homeless people is exceptionally difficult unless their housing needs are addressed.</w:t>
      </w:r>
      <w:r w:rsidRPr="0051033F">
        <w:rPr>
          <w:rFonts w:asciiTheme="majorHAnsi" w:eastAsia="Calibri" w:hAnsiTheme="majorHAnsi" w:cstheme="majorHAnsi"/>
          <w:sz w:val="24"/>
          <w:szCs w:val="24"/>
          <w:vertAlign w:val="superscript"/>
          <w:lang w:val="en-GB"/>
        </w:rPr>
        <w:endnoteReference w:id="36"/>
      </w:r>
      <w:r w:rsidRPr="0051033F">
        <w:rPr>
          <w:rFonts w:asciiTheme="majorHAnsi" w:eastAsia="Calibri" w:hAnsiTheme="majorHAnsi" w:cstheme="majorHAnsi"/>
          <w:sz w:val="24"/>
          <w:szCs w:val="24"/>
          <w:vertAlign w:val="superscript"/>
          <w:lang w:val="en-GB"/>
        </w:rPr>
        <w:endnoteReference w:id="37"/>
      </w:r>
      <w:r w:rsidRPr="0051033F">
        <w:rPr>
          <w:rFonts w:asciiTheme="majorHAnsi" w:eastAsia="Calibri" w:hAnsiTheme="majorHAnsi" w:cstheme="majorHAnsi"/>
          <w:sz w:val="24"/>
          <w:szCs w:val="24"/>
          <w:vertAlign w:val="superscript"/>
          <w:lang w:val="en-GB"/>
        </w:rPr>
        <w:endnoteReference w:id="38"/>
      </w:r>
      <w:r w:rsidRPr="0051033F">
        <w:rPr>
          <w:rFonts w:asciiTheme="majorHAnsi" w:eastAsia="Calibri" w:hAnsiTheme="majorHAnsi" w:cstheme="majorHAnsi"/>
          <w:color w:val="494949"/>
          <w:sz w:val="24"/>
          <w:szCs w:val="24"/>
          <w:lang w:val="en-GB"/>
        </w:rPr>
        <w:t xml:space="preserve"> </w:t>
      </w:r>
      <w:r w:rsidRPr="0051033F">
        <w:rPr>
          <w:rFonts w:asciiTheme="majorHAnsi" w:eastAsia="Calibri" w:hAnsiTheme="majorHAnsi" w:cstheme="majorHAnsi"/>
          <w:sz w:val="24"/>
          <w:szCs w:val="24"/>
          <w:lang w:val="en-GB"/>
        </w:rPr>
        <w:t>This reality (and lack of tailored, responsive, cross-sectoral services) can have devastating and disruptive consequences, leading to homelessness and socio-economic precarity as well as poor health outcomes, unintended pregnancies, incarceration and social isolation, impacting unfavourably on bodily autonomy and power dynamics.</w:t>
      </w:r>
      <w:r w:rsidRPr="0051033F">
        <w:rPr>
          <w:rFonts w:asciiTheme="majorHAnsi" w:eastAsia="Calibri" w:hAnsiTheme="majorHAnsi" w:cstheme="majorHAnsi"/>
          <w:sz w:val="24"/>
          <w:szCs w:val="24"/>
          <w:vertAlign w:val="superscript"/>
          <w:lang w:val="en-GB"/>
        </w:rPr>
        <w:endnoteReference w:id="39"/>
      </w:r>
      <w:r w:rsidRPr="0051033F">
        <w:rPr>
          <w:rFonts w:asciiTheme="majorHAnsi" w:eastAsia="Calibri" w:hAnsiTheme="majorHAnsi" w:cstheme="majorHAnsi"/>
          <w:sz w:val="24"/>
          <w:szCs w:val="24"/>
          <w:lang w:val="en-GB"/>
        </w:rPr>
        <w:t xml:space="preserve"> Drug use, sex work for goods and services, homelessness, overdose and imprisonment have all been correlated with an elevated risk of violence.</w:t>
      </w:r>
      <w:r w:rsidRPr="0051033F">
        <w:rPr>
          <w:rFonts w:asciiTheme="majorHAnsi" w:eastAsia="Calibri" w:hAnsiTheme="majorHAnsi" w:cstheme="majorHAnsi"/>
          <w:sz w:val="24"/>
          <w:szCs w:val="24"/>
          <w:vertAlign w:val="superscript"/>
          <w:lang w:val="en-GB"/>
        </w:rPr>
        <w:endnoteReference w:id="40"/>
      </w:r>
      <w:r w:rsidRPr="0051033F">
        <w:rPr>
          <w:rFonts w:asciiTheme="majorHAnsi" w:eastAsia="Calibri" w:hAnsiTheme="majorHAnsi" w:cstheme="majorHAnsi"/>
          <w:sz w:val="24"/>
          <w:szCs w:val="24"/>
          <w:lang w:val="en-GB"/>
        </w:rPr>
        <w:t xml:space="preserve"> </w:t>
      </w:r>
      <w:r w:rsidRPr="0051033F">
        <w:rPr>
          <w:rFonts w:asciiTheme="majorHAnsi" w:eastAsia="Calibri" w:hAnsiTheme="majorHAnsi" w:cstheme="majorHAnsi"/>
          <w:sz w:val="24"/>
          <w:szCs w:val="24"/>
          <w:vertAlign w:val="superscript"/>
          <w:lang w:val="en-GB"/>
        </w:rPr>
        <w:t xml:space="preserve"> </w:t>
      </w:r>
      <w:r w:rsidRPr="0051033F">
        <w:rPr>
          <w:rFonts w:asciiTheme="majorHAnsi" w:eastAsia="Calibri" w:hAnsiTheme="majorHAnsi" w:cstheme="majorHAnsi"/>
          <w:sz w:val="24"/>
          <w:szCs w:val="24"/>
          <w:lang w:val="en-GB"/>
        </w:rPr>
        <w:t>In most jurisdictions, access to welfare services, support, or housing is contingent upon abstinence which, in practice, contributes to further exposure to violence, trauma, and housing instability.</w:t>
      </w:r>
      <w:r w:rsidRPr="0051033F">
        <w:rPr>
          <w:rFonts w:asciiTheme="majorHAnsi" w:eastAsia="Calibri" w:hAnsiTheme="majorHAnsi" w:cstheme="majorHAnsi"/>
          <w:sz w:val="24"/>
          <w:szCs w:val="24"/>
          <w:vertAlign w:val="superscript"/>
          <w:lang w:val="en-GB"/>
        </w:rPr>
        <w:endnoteReference w:id="41"/>
      </w:r>
      <w:r w:rsidRPr="0051033F">
        <w:rPr>
          <w:rFonts w:asciiTheme="majorHAnsi" w:eastAsia="Calibri" w:hAnsiTheme="majorHAnsi" w:cstheme="majorHAnsi"/>
          <w:sz w:val="24"/>
          <w:szCs w:val="24"/>
          <w:vertAlign w:val="superscript"/>
          <w:lang w:val="en-GB"/>
        </w:rPr>
        <w:endnoteReference w:id="42"/>
      </w:r>
      <w:r w:rsidRPr="0051033F">
        <w:rPr>
          <w:rFonts w:asciiTheme="majorHAnsi" w:eastAsia="Calibri" w:hAnsiTheme="majorHAnsi" w:cstheme="majorHAnsi"/>
          <w:sz w:val="24"/>
          <w:szCs w:val="24"/>
          <w:vertAlign w:val="superscript"/>
          <w:lang w:val="en-GB"/>
        </w:rPr>
        <w:endnoteReference w:id="43"/>
      </w:r>
      <w:r w:rsidRPr="0051033F">
        <w:rPr>
          <w:rFonts w:asciiTheme="majorHAnsi" w:eastAsia="Calibri" w:hAnsiTheme="majorHAnsi" w:cstheme="majorHAnsi"/>
          <w:sz w:val="24"/>
          <w:szCs w:val="24"/>
          <w:lang w:val="en-GB"/>
        </w:rPr>
        <w:t xml:space="preserve"> In a study of women who use drugs in Dar es Salaam, housing instability was found to be independently associated with both physical and sexual violence victimization in the past year.</w:t>
      </w:r>
      <w:r w:rsidRPr="0051033F">
        <w:rPr>
          <w:rFonts w:asciiTheme="majorHAnsi" w:eastAsia="Calibri" w:hAnsiTheme="majorHAnsi" w:cstheme="majorHAnsi"/>
          <w:sz w:val="24"/>
          <w:szCs w:val="24"/>
          <w:vertAlign w:val="superscript"/>
          <w:lang w:val="en-GB"/>
        </w:rPr>
        <w:endnoteReference w:id="44"/>
      </w:r>
      <w:r w:rsidRPr="0051033F">
        <w:rPr>
          <w:rFonts w:asciiTheme="majorHAnsi" w:eastAsia="Calibri" w:hAnsiTheme="majorHAnsi" w:cstheme="majorHAnsi"/>
          <w:sz w:val="24"/>
          <w:szCs w:val="24"/>
          <w:lang w:val="en-GB"/>
        </w:rPr>
        <w:t xml:space="preserve"> Yet, women who use drugs experiencing violence are consistently denied access to shelters based on their drug use status, either by law or by institutionalised practice. A recent study in Indonesia likewise confirmed that women who use drugs are effectively barred from access to </w:t>
      </w:r>
      <w:proofErr w:type="gramStart"/>
      <w:r w:rsidRPr="0051033F">
        <w:rPr>
          <w:rFonts w:asciiTheme="majorHAnsi" w:eastAsia="Calibri" w:hAnsiTheme="majorHAnsi" w:cstheme="majorHAnsi"/>
          <w:sz w:val="24"/>
          <w:szCs w:val="24"/>
          <w:lang w:val="en-GB"/>
        </w:rPr>
        <w:t>gender based</w:t>
      </w:r>
      <w:proofErr w:type="gramEnd"/>
      <w:r w:rsidRPr="0051033F">
        <w:rPr>
          <w:rFonts w:asciiTheme="majorHAnsi" w:eastAsia="Calibri" w:hAnsiTheme="majorHAnsi" w:cstheme="majorHAnsi"/>
          <w:sz w:val="24"/>
          <w:szCs w:val="24"/>
          <w:lang w:val="en-GB"/>
        </w:rPr>
        <w:t xml:space="preserve"> violence supports including emergency shelter.</w:t>
      </w:r>
      <w:r w:rsidRPr="0051033F">
        <w:rPr>
          <w:rFonts w:asciiTheme="majorHAnsi" w:eastAsia="Calibri" w:hAnsiTheme="majorHAnsi" w:cstheme="majorHAnsi"/>
          <w:sz w:val="24"/>
          <w:szCs w:val="24"/>
          <w:vertAlign w:val="superscript"/>
          <w:lang w:val="en-GB"/>
        </w:rPr>
        <w:endnoteReference w:id="45"/>
      </w:r>
      <w:r w:rsidRPr="0051033F">
        <w:rPr>
          <w:rFonts w:asciiTheme="majorHAnsi" w:eastAsia="Calibri" w:hAnsiTheme="majorHAnsi" w:cstheme="majorHAnsi"/>
          <w:sz w:val="24"/>
          <w:szCs w:val="24"/>
          <w:lang w:val="en-GB"/>
        </w:rPr>
        <w:t xml:space="preserve"> </w:t>
      </w:r>
    </w:p>
    <w:p w14:paraId="121B9905" w14:textId="2F490C83" w:rsidR="0051033F" w:rsidRP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Humanitarian crises have also been shown to elevate the already disproportionate incidence of homelessness among women who use drugs.</w:t>
      </w:r>
      <w:r w:rsidRPr="0051033F">
        <w:rPr>
          <w:rFonts w:asciiTheme="majorHAnsi" w:eastAsia="Calibri" w:hAnsiTheme="majorHAnsi" w:cstheme="majorHAnsi"/>
          <w:sz w:val="24"/>
          <w:szCs w:val="24"/>
          <w:vertAlign w:val="superscript"/>
          <w:lang w:val="en-GB"/>
        </w:rPr>
        <w:endnoteReference w:id="46"/>
      </w:r>
      <w:r w:rsidRPr="0051033F">
        <w:rPr>
          <w:rFonts w:asciiTheme="majorHAnsi" w:eastAsia="Calibri" w:hAnsiTheme="majorHAnsi" w:cstheme="majorHAnsi"/>
          <w:sz w:val="24"/>
          <w:szCs w:val="24"/>
          <w:lang w:val="en-GB"/>
        </w:rPr>
        <w:t xml:space="preserve"> A 2021 review of harm reduction responses for women who use drugs found that GBV and unstable housing or homelessness were worsened by COVID lockdown conditions, with responses of </w:t>
      </w:r>
      <w:proofErr w:type="gramStart"/>
      <w:r w:rsidRPr="0051033F">
        <w:rPr>
          <w:rFonts w:asciiTheme="majorHAnsi" w:eastAsia="Calibri" w:hAnsiTheme="majorHAnsi" w:cstheme="majorHAnsi"/>
          <w:sz w:val="24"/>
          <w:szCs w:val="24"/>
          <w:lang w:val="en-GB"/>
        </w:rPr>
        <w:t>a  limited</w:t>
      </w:r>
      <w:proofErr w:type="gramEnd"/>
      <w:r w:rsidRPr="0051033F">
        <w:rPr>
          <w:rFonts w:asciiTheme="majorHAnsi" w:eastAsia="Calibri" w:hAnsiTheme="majorHAnsi" w:cstheme="majorHAnsi"/>
          <w:sz w:val="24"/>
          <w:szCs w:val="24"/>
          <w:lang w:val="en-GB"/>
        </w:rPr>
        <w:t xml:space="preserve"> scale, under-resourced and not able to meet demand for shelters, violence prevention, support services, or food.</w:t>
      </w:r>
      <w:r w:rsidRPr="0051033F">
        <w:rPr>
          <w:rFonts w:asciiTheme="majorHAnsi" w:eastAsia="Calibri" w:hAnsiTheme="majorHAnsi" w:cstheme="majorHAnsi"/>
          <w:sz w:val="24"/>
          <w:szCs w:val="24"/>
          <w:vertAlign w:val="superscript"/>
          <w:lang w:val="en-GB"/>
        </w:rPr>
        <w:endnoteReference w:id="47"/>
      </w:r>
    </w:p>
    <w:p w14:paraId="2AF52AB5" w14:textId="730AC27C" w:rsidR="0051033F" w:rsidRDefault="0051033F" w:rsidP="0051033F">
      <w:pPr>
        <w:numPr>
          <w:ilvl w:val="0"/>
          <w:numId w:val="3"/>
        </w:numPr>
        <w:pBdr>
          <w:top w:val="nil"/>
          <w:left w:val="nil"/>
          <w:bottom w:val="nil"/>
          <w:right w:val="nil"/>
          <w:between w:val="nil"/>
        </w:pBd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lastRenderedPageBreak/>
        <w:t>Women who use drugs experiencing homelessness and/or living in poverty face disproportionate targeting from law enforcement. Police often justify initiating a stop and search, or otherwise unfairly target women experiencing homelessness due to their appearance or presence in an area associated with drug use, even when this is no legitimate justification for doing so.</w:t>
      </w:r>
      <w:r w:rsidRPr="0051033F">
        <w:rPr>
          <w:rFonts w:asciiTheme="majorHAnsi" w:eastAsia="Calibri" w:hAnsiTheme="majorHAnsi" w:cstheme="majorHAnsi"/>
          <w:sz w:val="24"/>
          <w:szCs w:val="24"/>
          <w:vertAlign w:val="superscript"/>
          <w:lang w:val="en-GB"/>
        </w:rPr>
        <w:endnoteReference w:id="48"/>
      </w:r>
      <w:r w:rsidRPr="0051033F">
        <w:rPr>
          <w:rFonts w:asciiTheme="majorHAnsi" w:eastAsia="Calibri" w:hAnsiTheme="majorHAnsi" w:cstheme="majorHAnsi"/>
          <w:sz w:val="24"/>
          <w:szCs w:val="24"/>
          <w:lang w:val="en-GB"/>
        </w:rPr>
        <w:t xml:space="preserve"> W</w:t>
      </w:r>
      <w:r w:rsidRPr="0051033F">
        <w:rPr>
          <w:rFonts w:asciiTheme="majorHAnsi" w:eastAsia="Calibri" w:hAnsiTheme="majorHAnsi" w:cstheme="majorHAnsi"/>
          <w:sz w:val="24"/>
          <w:szCs w:val="24"/>
          <w:highlight w:val="white"/>
          <w:lang w:val="en-GB"/>
        </w:rPr>
        <w:t xml:space="preserve">ith mandatory prison sentences for even low-level drug trafficking, the incarceration of women has jumped globally </w:t>
      </w:r>
      <w:r w:rsidRPr="0051033F">
        <w:rPr>
          <w:rFonts w:asciiTheme="majorHAnsi" w:eastAsia="Calibri" w:hAnsiTheme="majorHAnsi" w:cstheme="majorHAnsi"/>
          <w:sz w:val="24"/>
          <w:szCs w:val="24"/>
          <w:lang w:val="en-GB"/>
        </w:rPr>
        <w:t>by</w:t>
      </w:r>
      <w:r w:rsidRPr="0051033F">
        <w:rPr>
          <w:rFonts w:asciiTheme="majorHAnsi" w:eastAsia="Calibri" w:hAnsiTheme="majorHAnsi" w:cstheme="majorHAnsi"/>
          <w:sz w:val="24"/>
          <w:szCs w:val="24"/>
          <w:highlight w:val="white"/>
          <w:lang w:val="en-GB"/>
        </w:rPr>
        <w:t xml:space="preserve"> 59% since 2000.</w:t>
      </w:r>
      <w:r w:rsidRPr="0051033F">
        <w:rPr>
          <w:rFonts w:asciiTheme="majorHAnsi" w:eastAsia="Calibri" w:hAnsiTheme="majorHAnsi" w:cstheme="majorHAnsi"/>
          <w:sz w:val="24"/>
          <w:szCs w:val="24"/>
          <w:highlight w:val="white"/>
          <w:vertAlign w:val="superscript"/>
          <w:lang w:val="en-GB"/>
        </w:rPr>
        <w:endnoteReference w:id="49"/>
      </w:r>
      <w:r w:rsidRPr="0051033F">
        <w:rPr>
          <w:rFonts w:asciiTheme="majorHAnsi" w:eastAsia="Calibri" w:hAnsiTheme="majorHAnsi" w:cstheme="majorHAnsi"/>
          <w:sz w:val="24"/>
          <w:szCs w:val="24"/>
          <w:highlight w:val="white"/>
          <w:lang w:val="en-GB"/>
        </w:rPr>
        <w:t xml:space="preserve"> </w:t>
      </w:r>
      <w:r w:rsidRPr="0051033F">
        <w:rPr>
          <w:rFonts w:asciiTheme="majorHAnsi" w:eastAsia="Calibri" w:hAnsiTheme="majorHAnsi" w:cstheme="majorHAnsi"/>
          <w:i/>
          <w:color w:val="494949"/>
          <w:sz w:val="24"/>
          <w:szCs w:val="24"/>
          <w:vertAlign w:val="superscript"/>
          <w:lang w:val="en-GB"/>
        </w:rPr>
        <w:t xml:space="preserve"> </w:t>
      </w:r>
      <w:r w:rsidRPr="0051033F">
        <w:rPr>
          <w:rFonts w:asciiTheme="majorHAnsi" w:eastAsia="Calibri" w:hAnsiTheme="majorHAnsi" w:cstheme="majorHAnsi"/>
          <w:sz w:val="24"/>
          <w:szCs w:val="24"/>
          <w:lang w:val="en-GB"/>
        </w:rPr>
        <w:t>In instances where people have been arrested and charged with possession of controlled substances, associated structures together with stigma further compound cycles of poverty and homelessness. People charged with possession of controlled substances face further discrimination in employment and in accessing housing. For women, LGBTQ+ people, sex workers, or other marginalized groups, the stigma is compounded further. In the case of women who use drugs and experience poverty or homelessness, they are viewed to be subverting gender norms and failing to fulfil their societal expectations as women.</w:t>
      </w:r>
    </w:p>
    <w:p w14:paraId="27A7A404" w14:textId="77777777" w:rsidR="0051033F" w:rsidRPr="0051033F" w:rsidRDefault="0051033F" w:rsidP="0051033F">
      <w:pPr>
        <w:pBdr>
          <w:top w:val="nil"/>
          <w:left w:val="nil"/>
          <w:bottom w:val="nil"/>
          <w:right w:val="nil"/>
          <w:between w:val="nil"/>
        </w:pBdr>
        <w:spacing w:after="200" w:line="240" w:lineRule="auto"/>
        <w:ind w:left="708"/>
        <w:jc w:val="both"/>
        <w:rPr>
          <w:rFonts w:asciiTheme="majorHAnsi" w:eastAsia="Calibri" w:hAnsiTheme="majorHAnsi" w:cstheme="majorHAnsi"/>
          <w:sz w:val="24"/>
          <w:szCs w:val="24"/>
          <w:lang w:val="en-GB"/>
        </w:rPr>
      </w:pPr>
    </w:p>
    <w:p w14:paraId="74CF0E0A" w14:textId="4178EB7A" w:rsidR="0051033F" w:rsidRPr="0051033F" w:rsidRDefault="0051033F" w:rsidP="0051033F">
      <w:pPr>
        <w:spacing w:after="200" w:line="240" w:lineRule="auto"/>
        <w:jc w:val="both"/>
        <w:rPr>
          <w:rFonts w:asciiTheme="majorHAnsi" w:eastAsia="Calibri" w:hAnsiTheme="majorHAnsi" w:cstheme="majorHAnsi"/>
          <w:b/>
          <w:sz w:val="24"/>
          <w:szCs w:val="24"/>
          <w:lang w:val="en-GB"/>
        </w:rPr>
      </w:pPr>
      <w:r w:rsidRPr="0051033F">
        <w:rPr>
          <w:rFonts w:asciiTheme="majorHAnsi" w:eastAsia="Calibri" w:hAnsiTheme="majorHAnsi" w:cstheme="majorHAnsi"/>
          <w:b/>
          <w:sz w:val="24"/>
          <w:szCs w:val="24"/>
          <w:lang w:val="en-GB"/>
        </w:rPr>
        <w:t>E. Recommendations</w:t>
      </w:r>
    </w:p>
    <w:p w14:paraId="1A58B9C1" w14:textId="63EC32EC" w:rsidR="0051033F" w:rsidRPr="0051033F" w:rsidRDefault="0051033F" w:rsidP="0051033F">
      <w:pPr>
        <w:numPr>
          <w:ilvl w:val="0"/>
          <w:numId w:val="3"/>
        </w:numP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In this submission, we have argued that ‘protectionist’ criminal laws that aim to safeguard morals and public health can result in the further criminalisation of marginalised communities, particularly women and people discriminated against </w:t>
      </w:r>
      <w:proofErr w:type="gramStart"/>
      <w:r w:rsidRPr="0051033F">
        <w:rPr>
          <w:rFonts w:asciiTheme="majorHAnsi" w:eastAsia="Calibri" w:hAnsiTheme="majorHAnsi" w:cstheme="majorHAnsi"/>
          <w:sz w:val="24"/>
          <w:szCs w:val="24"/>
          <w:lang w:val="en-GB"/>
        </w:rPr>
        <w:t>on the basis of</w:t>
      </w:r>
      <w:proofErr w:type="gramEnd"/>
      <w:r w:rsidRPr="0051033F">
        <w:rPr>
          <w:rFonts w:asciiTheme="majorHAnsi" w:eastAsia="Calibri" w:hAnsiTheme="majorHAnsi" w:cstheme="majorHAnsi"/>
          <w:sz w:val="24"/>
          <w:szCs w:val="24"/>
          <w:lang w:val="en-GB"/>
        </w:rPr>
        <w:t xml:space="preserve"> the gender identity, sexual orientation, race or ethnicity, or class, and that such criminalisation is a barrier to accessing housing and other critical services. The key recommendation emerging from this submission is that the joint reports </w:t>
      </w:r>
      <w:proofErr w:type="gramStart"/>
      <w:r w:rsidRPr="0051033F">
        <w:rPr>
          <w:rFonts w:asciiTheme="majorHAnsi" w:eastAsia="Calibri" w:hAnsiTheme="majorHAnsi" w:cstheme="majorHAnsi"/>
          <w:sz w:val="24"/>
          <w:szCs w:val="24"/>
          <w:lang w:val="en-GB"/>
        </w:rPr>
        <w:t>goes</w:t>
      </w:r>
      <w:proofErr w:type="gramEnd"/>
      <w:r w:rsidRPr="0051033F">
        <w:rPr>
          <w:rFonts w:asciiTheme="majorHAnsi" w:eastAsia="Calibri" w:hAnsiTheme="majorHAnsi" w:cstheme="majorHAnsi"/>
          <w:sz w:val="24"/>
          <w:szCs w:val="24"/>
          <w:lang w:val="en-GB"/>
        </w:rPr>
        <w:t xml:space="preserve"> beyond the decriminalisation of life-sustaining activities and include a strong call for the decriminalisation of all activities related to sex work and drug use.</w:t>
      </w:r>
    </w:p>
    <w:p w14:paraId="6233A752" w14:textId="5F80A564" w:rsidR="0051033F" w:rsidRPr="0051033F" w:rsidRDefault="0051033F" w:rsidP="0051033F">
      <w:pPr>
        <w:numPr>
          <w:ilvl w:val="0"/>
          <w:numId w:val="3"/>
        </w:numP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In doing so, the report would join a growing body of UN human rights mechanisms that have recommended the decriminalisation of these activities, including:</w:t>
      </w:r>
    </w:p>
    <w:p w14:paraId="08CCB490" w14:textId="577234D8" w:rsidR="0051033F" w:rsidRPr="0051033F" w:rsidRDefault="0051033F" w:rsidP="0051033F">
      <w:pPr>
        <w:numPr>
          <w:ilvl w:val="0"/>
          <w:numId w:val="4"/>
        </w:numPr>
        <w:spacing w:after="200" w:line="240" w:lineRule="auto"/>
        <w:ind w:left="1276" w:hanging="425"/>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In 2023, the UN Working Group on the Elimination of Discrimination Against Women and Girls issued a position paper proposing ‘full decriminalisation of adult voluntary sex work from a human rights perspective’.</w:t>
      </w:r>
      <w:r w:rsidRPr="0051033F">
        <w:rPr>
          <w:rFonts w:asciiTheme="majorHAnsi" w:eastAsia="Calibri" w:hAnsiTheme="majorHAnsi" w:cstheme="majorHAnsi"/>
          <w:sz w:val="24"/>
          <w:szCs w:val="24"/>
          <w:vertAlign w:val="superscript"/>
          <w:lang w:val="en-GB"/>
        </w:rPr>
        <w:endnoteReference w:id="50"/>
      </w:r>
      <w:r w:rsidRPr="0051033F">
        <w:rPr>
          <w:rFonts w:asciiTheme="majorHAnsi" w:eastAsia="Calibri" w:hAnsiTheme="majorHAnsi" w:cstheme="majorHAnsi"/>
          <w:sz w:val="24"/>
          <w:szCs w:val="24"/>
          <w:lang w:val="en-GB"/>
        </w:rPr>
        <w:t xml:space="preserve"> In its General Recommendation 35,</w:t>
      </w:r>
      <w:r w:rsidRPr="0051033F">
        <w:rPr>
          <w:rFonts w:asciiTheme="majorHAnsi" w:eastAsia="Calibri" w:hAnsiTheme="majorHAnsi" w:cstheme="majorHAnsi"/>
          <w:sz w:val="24"/>
          <w:szCs w:val="24"/>
          <w:vertAlign w:val="superscript"/>
          <w:lang w:val="en-GB"/>
        </w:rPr>
        <w:endnoteReference w:id="51"/>
      </w:r>
      <w:r w:rsidRPr="0051033F">
        <w:rPr>
          <w:rFonts w:asciiTheme="majorHAnsi" w:eastAsia="Calibri" w:hAnsiTheme="majorHAnsi" w:cstheme="majorHAnsi"/>
          <w:sz w:val="24"/>
          <w:szCs w:val="24"/>
          <w:lang w:val="en-GB"/>
        </w:rPr>
        <w:t xml:space="preserve"> the CEDAW Committee concluded that laws criminalising sex workers are ‘discriminatory against women, and thereby enshrine, encourage, facilitate, justify or tolerate any form of gender-based violence against them’. Such a call has also been endorsed by UNAIDS, UNFP, WHO and UNDP.</w:t>
      </w:r>
      <w:r w:rsidRPr="0051033F">
        <w:rPr>
          <w:rFonts w:asciiTheme="majorHAnsi" w:eastAsia="Calibri" w:hAnsiTheme="majorHAnsi" w:cstheme="majorHAnsi"/>
          <w:sz w:val="24"/>
          <w:szCs w:val="24"/>
          <w:vertAlign w:val="superscript"/>
          <w:lang w:val="en-GB"/>
        </w:rPr>
        <w:endnoteReference w:id="52"/>
      </w:r>
      <w:r w:rsidRPr="0051033F">
        <w:rPr>
          <w:rFonts w:asciiTheme="majorHAnsi" w:eastAsia="Calibri" w:hAnsiTheme="majorHAnsi" w:cstheme="majorHAnsi"/>
          <w:sz w:val="24"/>
          <w:szCs w:val="24"/>
          <w:lang w:val="en-GB"/>
        </w:rPr>
        <w:t xml:space="preserve"> </w:t>
      </w:r>
    </w:p>
    <w:p w14:paraId="6383ED84" w14:textId="6F453A2E" w:rsidR="0051033F" w:rsidRPr="0051033F" w:rsidRDefault="0051033F" w:rsidP="0051033F">
      <w:pPr>
        <w:numPr>
          <w:ilvl w:val="0"/>
          <w:numId w:val="4"/>
        </w:numPr>
        <w:spacing w:after="200" w:line="240" w:lineRule="auto"/>
        <w:ind w:left="1276" w:hanging="425"/>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Many UN entities and human rights experts are promoting the decriminalisation of drug use and possession for personal use as a core component of a rights- and health-based approach towards people who use drugs, including OHCHR,</w:t>
      </w:r>
      <w:r w:rsidRPr="0051033F">
        <w:rPr>
          <w:rFonts w:asciiTheme="majorHAnsi" w:eastAsia="Calibri" w:hAnsiTheme="majorHAnsi" w:cstheme="majorHAnsi"/>
          <w:sz w:val="24"/>
          <w:szCs w:val="24"/>
          <w:vertAlign w:val="superscript"/>
          <w:lang w:val="en-GB"/>
        </w:rPr>
        <w:endnoteReference w:id="53"/>
      </w:r>
      <w:r w:rsidRPr="0051033F">
        <w:rPr>
          <w:rFonts w:asciiTheme="majorHAnsi" w:eastAsia="Calibri" w:hAnsiTheme="majorHAnsi" w:cstheme="majorHAnsi"/>
          <w:sz w:val="24"/>
          <w:szCs w:val="24"/>
          <w:lang w:val="en-GB"/>
        </w:rPr>
        <w:t xml:space="preserve"> UNAIDS,</w:t>
      </w:r>
      <w:r w:rsidRPr="0051033F">
        <w:rPr>
          <w:rFonts w:asciiTheme="majorHAnsi" w:eastAsia="Calibri" w:hAnsiTheme="majorHAnsi" w:cstheme="majorHAnsi"/>
          <w:sz w:val="24"/>
          <w:szCs w:val="24"/>
          <w:vertAlign w:val="superscript"/>
          <w:lang w:val="en-GB"/>
        </w:rPr>
        <w:endnoteReference w:id="54"/>
      </w:r>
      <w:r w:rsidRPr="0051033F">
        <w:rPr>
          <w:rFonts w:asciiTheme="majorHAnsi" w:eastAsia="Calibri" w:hAnsiTheme="majorHAnsi" w:cstheme="majorHAnsi"/>
          <w:sz w:val="24"/>
          <w:szCs w:val="24"/>
          <w:lang w:val="en-GB"/>
        </w:rPr>
        <w:t xml:space="preserve"> WHO,</w:t>
      </w:r>
      <w:r w:rsidRPr="0051033F">
        <w:rPr>
          <w:rFonts w:asciiTheme="majorHAnsi" w:eastAsia="Calibri" w:hAnsiTheme="majorHAnsi" w:cstheme="majorHAnsi"/>
          <w:sz w:val="24"/>
          <w:szCs w:val="24"/>
          <w:vertAlign w:val="superscript"/>
          <w:lang w:val="en-GB"/>
        </w:rPr>
        <w:endnoteReference w:id="55"/>
      </w:r>
      <w:r w:rsidRPr="0051033F">
        <w:rPr>
          <w:rFonts w:asciiTheme="majorHAnsi" w:eastAsia="Calibri" w:hAnsiTheme="majorHAnsi" w:cstheme="majorHAnsi"/>
          <w:sz w:val="24"/>
          <w:szCs w:val="24"/>
          <w:lang w:val="en-GB"/>
        </w:rPr>
        <w:t xml:space="preserve"> UNDP,</w:t>
      </w:r>
      <w:r w:rsidRPr="0051033F">
        <w:rPr>
          <w:rFonts w:asciiTheme="majorHAnsi" w:eastAsia="Calibri" w:hAnsiTheme="majorHAnsi" w:cstheme="majorHAnsi"/>
          <w:sz w:val="24"/>
          <w:szCs w:val="24"/>
          <w:vertAlign w:val="superscript"/>
          <w:lang w:val="en-GB"/>
        </w:rPr>
        <w:endnoteReference w:id="56"/>
      </w:r>
      <w:r w:rsidRPr="0051033F">
        <w:rPr>
          <w:rFonts w:asciiTheme="majorHAnsi" w:eastAsia="Calibri" w:hAnsiTheme="majorHAnsi" w:cstheme="majorHAnsi"/>
          <w:sz w:val="24"/>
          <w:szCs w:val="24"/>
          <w:lang w:val="en-GB"/>
        </w:rPr>
        <w:t xml:space="preserve"> UN Women,</w:t>
      </w:r>
      <w:r w:rsidRPr="0051033F">
        <w:rPr>
          <w:rFonts w:asciiTheme="majorHAnsi" w:eastAsia="Calibri" w:hAnsiTheme="majorHAnsi" w:cstheme="majorHAnsi"/>
          <w:sz w:val="24"/>
          <w:szCs w:val="24"/>
          <w:vertAlign w:val="superscript"/>
          <w:lang w:val="en-GB"/>
        </w:rPr>
        <w:endnoteReference w:id="57"/>
      </w:r>
      <w:r w:rsidRPr="0051033F">
        <w:rPr>
          <w:rFonts w:asciiTheme="majorHAnsi" w:eastAsia="Calibri" w:hAnsiTheme="majorHAnsi" w:cstheme="majorHAnsi"/>
          <w:sz w:val="24"/>
          <w:szCs w:val="24"/>
          <w:lang w:val="en-GB"/>
        </w:rPr>
        <w:t xml:space="preserve"> the CESCR Committee,</w:t>
      </w:r>
      <w:r w:rsidRPr="0051033F">
        <w:rPr>
          <w:rFonts w:asciiTheme="majorHAnsi" w:eastAsia="Calibri" w:hAnsiTheme="majorHAnsi" w:cstheme="majorHAnsi"/>
          <w:sz w:val="24"/>
          <w:szCs w:val="24"/>
          <w:vertAlign w:val="superscript"/>
          <w:lang w:val="en-GB"/>
        </w:rPr>
        <w:endnoteReference w:id="58"/>
      </w:r>
      <w:r w:rsidRPr="0051033F">
        <w:rPr>
          <w:rFonts w:asciiTheme="majorHAnsi" w:eastAsia="Calibri" w:hAnsiTheme="majorHAnsi" w:cstheme="majorHAnsi"/>
          <w:sz w:val="24"/>
          <w:szCs w:val="24"/>
          <w:vertAlign w:val="superscript"/>
          <w:lang w:val="en-GB"/>
        </w:rPr>
        <w:t xml:space="preserve"> </w:t>
      </w:r>
      <w:r w:rsidRPr="0051033F">
        <w:rPr>
          <w:rFonts w:asciiTheme="majorHAnsi" w:eastAsia="Calibri" w:hAnsiTheme="majorHAnsi" w:cstheme="majorHAnsi"/>
          <w:sz w:val="24"/>
          <w:szCs w:val="24"/>
          <w:lang w:val="en-GB"/>
        </w:rPr>
        <w:t>the WGAD</w:t>
      </w:r>
      <w:r w:rsidRPr="0051033F">
        <w:rPr>
          <w:rFonts w:asciiTheme="majorHAnsi" w:eastAsia="Calibri" w:hAnsiTheme="majorHAnsi" w:cstheme="majorHAnsi"/>
          <w:sz w:val="24"/>
          <w:szCs w:val="24"/>
          <w:vertAlign w:val="superscript"/>
          <w:lang w:val="en-GB"/>
        </w:rPr>
        <w:endnoteReference w:id="59"/>
      </w:r>
      <w:r w:rsidRPr="0051033F">
        <w:rPr>
          <w:rFonts w:asciiTheme="majorHAnsi" w:eastAsia="Calibri" w:hAnsiTheme="majorHAnsi" w:cstheme="majorHAnsi"/>
          <w:sz w:val="24"/>
          <w:szCs w:val="24"/>
          <w:lang w:val="en-GB"/>
        </w:rPr>
        <w:t xml:space="preserve"> and the Special Rapporteur on health.</w:t>
      </w:r>
      <w:r w:rsidRPr="0051033F">
        <w:rPr>
          <w:rFonts w:asciiTheme="majorHAnsi" w:eastAsia="Calibri" w:hAnsiTheme="majorHAnsi" w:cstheme="majorHAnsi"/>
          <w:sz w:val="24"/>
          <w:szCs w:val="24"/>
          <w:vertAlign w:val="superscript"/>
          <w:lang w:val="en-GB"/>
        </w:rPr>
        <w:endnoteReference w:id="60"/>
      </w:r>
      <w:r w:rsidRPr="0051033F">
        <w:rPr>
          <w:rFonts w:asciiTheme="majorHAnsi" w:eastAsia="Calibri" w:hAnsiTheme="majorHAnsi" w:cstheme="majorHAnsi"/>
          <w:sz w:val="24"/>
          <w:szCs w:val="24"/>
          <w:lang w:val="en-GB"/>
        </w:rPr>
        <w:t xml:space="preserve"> The UN system Common Position on drugs, the UN overarching policy document on drug policy, promotes decriminalisation amongst its directions for action.</w:t>
      </w:r>
      <w:r w:rsidRPr="0051033F">
        <w:rPr>
          <w:rFonts w:asciiTheme="majorHAnsi" w:eastAsia="Calibri" w:hAnsiTheme="majorHAnsi" w:cstheme="majorHAnsi"/>
          <w:sz w:val="24"/>
          <w:szCs w:val="24"/>
          <w:vertAlign w:val="superscript"/>
          <w:lang w:val="en-GB"/>
        </w:rPr>
        <w:endnoteReference w:id="61"/>
      </w:r>
    </w:p>
    <w:p w14:paraId="2EA413EE" w14:textId="5025656A" w:rsidR="00B628FE" w:rsidRPr="0051033F" w:rsidRDefault="00000000" w:rsidP="0051033F">
      <w:pPr>
        <w:numPr>
          <w:ilvl w:val="0"/>
          <w:numId w:val="3"/>
        </w:numPr>
        <w:spacing w:after="200" w:line="240" w:lineRule="auto"/>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lastRenderedPageBreak/>
        <w:t xml:space="preserve">In addition to a strong endorsement of decriminalisation of sex work and drug use and possession for personal use, the following recommendations </w:t>
      </w:r>
      <w:proofErr w:type="gramStart"/>
      <w:r w:rsidRPr="0051033F">
        <w:rPr>
          <w:rFonts w:asciiTheme="majorHAnsi" w:eastAsia="Calibri" w:hAnsiTheme="majorHAnsi" w:cstheme="majorHAnsi"/>
          <w:sz w:val="24"/>
          <w:szCs w:val="24"/>
          <w:lang w:val="en-GB"/>
        </w:rPr>
        <w:t>are  provided</w:t>
      </w:r>
      <w:proofErr w:type="gramEnd"/>
      <w:r w:rsidRPr="0051033F">
        <w:rPr>
          <w:rFonts w:asciiTheme="majorHAnsi" w:eastAsia="Calibri" w:hAnsiTheme="majorHAnsi" w:cstheme="majorHAnsi"/>
          <w:sz w:val="24"/>
          <w:szCs w:val="24"/>
          <w:lang w:val="en-GB"/>
        </w:rPr>
        <w:t xml:space="preserve"> for the joint report:</w:t>
      </w:r>
    </w:p>
    <w:p w14:paraId="1AB796D7" w14:textId="4D7BEBCF" w:rsidR="00B628FE" w:rsidRPr="0051033F" w:rsidRDefault="00000000" w:rsidP="0051033F">
      <w:pPr>
        <w:spacing w:after="200" w:line="240" w:lineRule="auto"/>
        <w:jc w:val="both"/>
        <w:rPr>
          <w:rFonts w:asciiTheme="majorHAnsi" w:eastAsia="Calibri" w:hAnsiTheme="majorHAnsi" w:cstheme="majorHAnsi"/>
          <w:sz w:val="24"/>
          <w:szCs w:val="24"/>
          <w:u w:val="single"/>
          <w:lang w:val="en-GB"/>
        </w:rPr>
      </w:pPr>
      <w:r w:rsidRPr="0051033F">
        <w:rPr>
          <w:rFonts w:asciiTheme="majorHAnsi" w:eastAsia="Calibri" w:hAnsiTheme="majorHAnsi" w:cstheme="majorHAnsi"/>
          <w:sz w:val="24"/>
          <w:szCs w:val="24"/>
          <w:u w:val="single"/>
          <w:lang w:val="en-GB"/>
        </w:rPr>
        <w:t>Conceptual framework</w:t>
      </w:r>
    </w:p>
    <w:p w14:paraId="158F2FE7" w14:textId="5E94650F" w:rsidR="00B628FE" w:rsidRPr="0051033F" w:rsidRDefault="00000000" w:rsidP="0051033F">
      <w:pPr>
        <w:pStyle w:val="ListParagraph"/>
        <w:numPr>
          <w:ilvl w:val="0"/>
          <w:numId w:val="9"/>
        </w:numPr>
        <w:spacing w:after="200" w:line="240" w:lineRule="auto"/>
        <w:contextualSpacing w:val="0"/>
        <w:jc w:val="both"/>
        <w:rPr>
          <w:rFonts w:asciiTheme="majorHAnsi" w:eastAsia="Calibri" w:hAnsiTheme="majorHAnsi" w:cstheme="majorHAnsi"/>
          <w:color w:val="212121"/>
          <w:sz w:val="24"/>
          <w:szCs w:val="24"/>
          <w:lang w:val="en-GB"/>
        </w:rPr>
      </w:pPr>
      <w:r w:rsidRPr="0051033F">
        <w:rPr>
          <w:rFonts w:asciiTheme="majorHAnsi" w:eastAsia="Calibri" w:hAnsiTheme="majorHAnsi" w:cstheme="majorHAnsi"/>
          <w:color w:val="212121"/>
          <w:sz w:val="24"/>
          <w:szCs w:val="24"/>
          <w:lang w:val="en-GB"/>
        </w:rPr>
        <w:t xml:space="preserve">Examine the deeply gendered, classed and racialized foundations and impacts of laws criminalizing poverty, homelessness, sex work, drug use and possession for personal use, and related issues from an intersectional perspective, and call on States to eradicate these systems of </w:t>
      </w:r>
      <w:proofErr w:type="gramStart"/>
      <w:r w:rsidRPr="0051033F">
        <w:rPr>
          <w:rFonts w:asciiTheme="majorHAnsi" w:eastAsia="Calibri" w:hAnsiTheme="majorHAnsi" w:cstheme="majorHAnsi"/>
          <w:color w:val="212121"/>
          <w:sz w:val="24"/>
          <w:szCs w:val="24"/>
          <w:lang w:val="en-GB"/>
        </w:rPr>
        <w:t>oppression;</w:t>
      </w:r>
      <w:proofErr w:type="gramEnd"/>
    </w:p>
    <w:p w14:paraId="3925DDB0" w14:textId="55466B64" w:rsidR="00B628FE" w:rsidRPr="0051033F" w:rsidRDefault="00000000" w:rsidP="0051033F">
      <w:pPr>
        <w:pStyle w:val="ListParagraph"/>
        <w:numPr>
          <w:ilvl w:val="0"/>
          <w:numId w:val="9"/>
        </w:numPr>
        <w:spacing w:after="200" w:line="240" w:lineRule="auto"/>
        <w:contextualSpacing w:val="0"/>
        <w:jc w:val="both"/>
        <w:rPr>
          <w:rFonts w:asciiTheme="majorHAnsi" w:eastAsia="Calibri" w:hAnsiTheme="majorHAnsi" w:cstheme="majorHAnsi"/>
          <w:color w:val="212121"/>
          <w:sz w:val="24"/>
          <w:szCs w:val="24"/>
          <w:lang w:val="en-GB"/>
        </w:rPr>
      </w:pPr>
      <w:r w:rsidRPr="0051033F">
        <w:rPr>
          <w:rFonts w:asciiTheme="majorHAnsi" w:eastAsia="Calibri" w:hAnsiTheme="majorHAnsi" w:cstheme="majorHAnsi"/>
          <w:color w:val="212121"/>
          <w:sz w:val="24"/>
          <w:szCs w:val="24"/>
          <w:lang w:val="en-GB"/>
        </w:rPr>
        <w:t xml:space="preserve">Challenge the colonial, protectionist and neoliberal origins and objectives of many of these laws and policies, as well as the conditions that create impoverishment, inequality and restrict housing </w:t>
      </w:r>
      <w:proofErr w:type="gramStart"/>
      <w:r w:rsidRPr="0051033F">
        <w:rPr>
          <w:rFonts w:asciiTheme="majorHAnsi" w:eastAsia="Calibri" w:hAnsiTheme="majorHAnsi" w:cstheme="majorHAnsi"/>
          <w:color w:val="212121"/>
          <w:sz w:val="24"/>
          <w:szCs w:val="24"/>
          <w:lang w:val="en-GB"/>
        </w:rPr>
        <w:t>options;</w:t>
      </w:r>
      <w:proofErr w:type="gramEnd"/>
    </w:p>
    <w:p w14:paraId="7E1D7C7B" w14:textId="1CBD802F" w:rsidR="00B628FE" w:rsidRPr="0051033F" w:rsidRDefault="00000000" w:rsidP="0051033F">
      <w:pPr>
        <w:pStyle w:val="ListParagraph"/>
        <w:numPr>
          <w:ilvl w:val="0"/>
          <w:numId w:val="9"/>
        </w:numPr>
        <w:spacing w:after="200" w:line="240" w:lineRule="auto"/>
        <w:contextualSpacing w:val="0"/>
        <w:jc w:val="both"/>
        <w:rPr>
          <w:rFonts w:asciiTheme="majorHAnsi" w:eastAsia="Calibri" w:hAnsiTheme="majorHAnsi" w:cstheme="majorHAnsi"/>
          <w:color w:val="212121"/>
          <w:sz w:val="24"/>
          <w:szCs w:val="24"/>
          <w:lang w:val="en-GB"/>
        </w:rPr>
      </w:pPr>
      <w:r w:rsidRPr="0051033F">
        <w:rPr>
          <w:rFonts w:asciiTheme="majorHAnsi" w:eastAsia="Calibri" w:hAnsiTheme="majorHAnsi" w:cstheme="majorHAnsi"/>
          <w:color w:val="212121"/>
          <w:sz w:val="24"/>
          <w:szCs w:val="24"/>
          <w:lang w:val="en-GB"/>
        </w:rPr>
        <w:t xml:space="preserve">Position homelessness and poverty as human rights violations that require transformative state intervention (including unconditioned access to social protection systems and welfare programs, including universal basic income) rather than criminal and neo-liberal </w:t>
      </w:r>
      <w:proofErr w:type="gramStart"/>
      <w:r w:rsidRPr="0051033F">
        <w:rPr>
          <w:rFonts w:asciiTheme="majorHAnsi" w:eastAsia="Calibri" w:hAnsiTheme="majorHAnsi" w:cstheme="majorHAnsi"/>
          <w:color w:val="212121"/>
          <w:sz w:val="24"/>
          <w:szCs w:val="24"/>
          <w:lang w:val="en-GB"/>
        </w:rPr>
        <w:t>responses;</w:t>
      </w:r>
      <w:proofErr w:type="gramEnd"/>
    </w:p>
    <w:p w14:paraId="6F9451B5" w14:textId="2CEB5122" w:rsidR="00B628FE" w:rsidRPr="0051033F" w:rsidRDefault="00000000" w:rsidP="0051033F">
      <w:pPr>
        <w:spacing w:after="200" w:line="240" w:lineRule="auto"/>
        <w:jc w:val="both"/>
        <w:rPr>
          <w:rFonts w:asciiTheme="majorHAnsi" w:eastAsia="Calibri" w:hAnsiTheme="majorHAnsi" w:cstheme="majorHAnsi"/>
          <w:color w:val="212121"/>
          <w:sz w:val="24"/>
          <w:szCs w:val="24"/>
          <w:lang w:val="en-GB"/>
        </w:rPr>
      </w:pPr>
      <w:r w:rsidRPr="0051033F">
        <w:rPr>
          <w:rFonts w:asciiTheme="majorHAnsi" w:eastAsia="Calibri" w:hAnsiTheme="majorHAnsi" w:cstheme="majorHAnsi"/>
          <w:sz w:val="24"/>
          <w:szCs w:val="24"/>
          <w:u w:val="single"/>
          <w:lang w:val="en-GB"/>
        </w:rPr>
        <w:t>On the criminalisation of sex work and related issues</w:t>
      </w:r>
    </w:p>
    <w:p w14:paraId="749FE734" w14:textId="16C7B0F7" w:rsidR="00B628FE" w:rsidRPr="0051033F" w:rsidRDefault="00000000" w:rsidP="0051033F">
      <w:pPr>
        <w:pStyle w:val="ListParagraph"/>
        <w:numPr>
          <w:ilvl w:val="0"/>
          <w:numId w:val="7"/>
        </w:numPr>
        <w:spacing w:after="200" w:line="240" w:lineRule="auto"/>
        <w:contextualSpacing w:val="0"/>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End anti-trafficking initiatives which conflate sex work with trafficking and slavery, decriminalise sex work, remove restrictions on the rights of migrants to carry out sex work, and expunge any historic convictions for sex </w:t>
      </w:r>
      <w:proofErr w:type="gramStart"/>
      <w:r w:rsidRPr="0051033F">
        <w:rPr>
          <w:rFonts w:asciiTheme="majorHAnsi" w:eastAsia="Calibri" w:hAnsiTheme="majorHAnsi" w:cstheme="majorHAnsi"/>
          <w:sz w:val="24"/>
          <w:szCs w:val="24"/>
          <w:lang w:val="en-GB"/>
        </w:rPr>
        <w:t>work;</w:t>
      </w:r>
      <w:proofErr w:type="gramEnd"/>
    </w:p>
    <w:p w14:paraId="7DF1BE3E" w14:textId="676675A4" w:rsidR="00B628FE" w:rsidRPr="0051033F" w:rsidRDefault="00000000" w:rsidP="0051033F">
      <w:pPr>
        <w:pStyle w:val="ListParagraph"/>
        <w:numPr>
          <w:ilvl w:val="0"/>
          <w:numId w:val="7"/>
        </w:numPr>
        <w:spacing w:after="200" w:line="240" w:lineRule="auto"/>
        <w:contextualSpacing w:val="0"/>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Give irregular migrants and migrants on temporary visas access to social/public housing, permission to work so as to be able to earn a stable income, and access to adequate welfare benefits for those who are unable to </w:t>
      </w:r>
      <w:proofErr w:type="gramStart"/>
      <w:r w:rsidRPr="0051033F">
        <w:rPr>
          <w:rFonts w:asciiTheme="majorHAnsi" w:eastAsia="Calibri" w:hAnsiTheme="majorHAnsi" w:cstheme="majorHAnsi"/>
          <w:sz w:val="24"/>
          <w:szCs w:val="24"/>
          <w:lang w:val="en-GB"/>
        </w:rPr>
        <w:t>work;</w:t>
      </w:r>
      <w:proofErr w:type="gramEnd"/>
    </w:p>
    <w:p w14:paraId="602397CD" w14:textId="60BC03FF" w:rsidR="00B628FE" w:rsidRPr="0051033F" w:rsidRDefault="00000000" w:rsidP="0051033F">
      <w:pPr>
        <w:spacing w:after="200" w:line="240" w:lineRule="auto"/>
        <w:jc w:val="both"/>
        <w:rPr>
          <w:rFonts w:asciiTheme="majorHAnsi" w:eastAsia="Calibri" w:hAnsiTheme="majorHAnsi" w:cstheme="majorHAnsi"/>
          <w:color w:val="212121"/>
          <w:sz w:val="24"/>
          <w:szCs w:val="24"/>
          <w:lang w:val="en-GB"/>
        </w:rPr>
      </w:pPr>
      <w:r w:rsidRPr="0051033F">
        <w:rPr>
          <w:rFonts w:asciiTheme="majorHAnsi" w:eastAsia="Calibri" w:hAnsiTheme="majorHAnsi" w:cstheme="majorHAnsi"/>
          <w:sz w:val="24"/>
          <w:szCs w:val="24"/>
          <w:u w:val="single"/>
          <w:lang w:val="en-GB"/>
        </w:rPr>
        <w:t>On the criminalisation of drug use and possession for personal use and related issues</w:t>
      </w:r>
    </w:p>
    <w:p w14:paraId="5DDCFE09" w14:textId="70757A2C" w:rsidR="00B628FE" w:rsidRPr="0051033F" w:rsidRDefault="00000000" w:rsidP="0051033F">
      <w:pPr>
        <w:pStyle w:val="ListParagraph"/>
        <w:numPr>
          <w:ilvl w:val="0"/>
          <w:numId w:val="8"/>
        </w:numPr>
        <w:spacing w:after="200" w:line="240" w:lineRule="auto"/>
        <w:contextualSpacing w:val="0"/>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Remove restrictions in shelter and housing provision to include accommodation for women who use drugs and women who engage in sex work, including through minimum threshold criteria for access. Ensure that all shelters and housing provision bodies approach drug use as a public health issue, including through access to </w:t>
      </w:r>
      <w:proofErr w:type="spellStart"/>
      <w:r w:rsidRPr="0051033F">
        <w:rPr>
          <w:rFonts w:asciiTheme="majorHAnsi" w:eastAsia="Calibri" w:hAnsiTheme="majorHAnsi" w:cstheme="majorHAnsi"/>
          <w:sz w:val="24"/>
          <w:szCs w:val="24"/>
          <w:lang w:val="en-GB"/>
        </w:rPr>
        <w:t>linakes</w:t>
      </w:r>
      <w:proofErr w:type="spellEnd"/>
      <w:r w:rsidRPr="0051033F">
        <w:rPr>
          <w:rFonts w:asciiTheme="majorHAnsi" w:eastAsia="Calibri" w:hAnsiTheme="majorHAnsi" w:cstheme="majorHAnsi"/>
          <w:sz w:val="24"/>
          <w:szCs w:val="24"/>
          <w:lang w:val="en-GB"/>
        </w:rPr>
        <w:t xml:space="preserve"> with harm reduction services, remove punitive </w:t>
      </w:r>
      <w:proofErr w:type="gramStart"/>
      <w:r w:rsidRPr="0051033F">
        <w:rPr>
          <w:rFonts w:asciiTheme="majorHAnsi" w:eastAsia="Calibri" w:hAnsiTheme="majorHAnsi" w:cstheme="majorHAnsi"/>
          <w:sz w:val="24"/>
          <w:szCs w:val="24"/>
          <w:lang w:val="en-GB"/>
        </w:rPr>
        <w:t>measures,  and</w:t>
      </w:r>
      <w:proofErr w:type="gramEnd"/>
      <w:r w:rsidRPr="0051033F">
        <w:rPr>
          <w:rFonts w:asciiTheme="majorHAnsi" w:eastAsia="Calibri" w:hAnsiTheme="majorHAnsi" w:cstheme="majorHAnsi"/>
          <w:sz w:val="24"/>
          <w:szCs w:val="24"/>
          <w:lang w:val="en-GB"/>
        </w:rPr>
        <w:t xml:space="preserve"> that focus remains on the safety and ensuring housing security for all women as well as gender diverse people;</w:t>
      </w:r>
    </w:p>
    <w:p w14:paraId="66705D5E" w14:textId="6AD39720" w:rsidR="00B628FE" w:rsidRPr="0051033F" w:rsidRDefault="00000000" w:rsidP="0051033F">
      <w:pPr>
        <w:pStyle w:val="ListParagraph"/>
        <w:numPr>
          <w:ilvl w:val="0"/>
          <w:numId w:val="8"/>
        </w:numPr>
        <w:shd w:val="clear" w:color="auto" w:fill="FFFFFF"/>
        <w:spacing w:after="200" w:line="240" w:lineRule="auto"/>
        <w:contextualSpacing w:val="0"/>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Lessons learned from the COVID-19 pandemic and other recent humanitarian emergencies show repeatedly that community involvement, low threshold service access, emergency shelters and other targeted relief measures are required and effective in ameliorating predictable hardship experienced by displaced women who use </w:t>
      </w:r>
      <w:proofErr w:type="gramStart"/>
      <w:r w:rsidRPr="0051033F">
        <w:rPr>
          <w:rFonts w:asciiTheme="majorHAnsi" w:eastAsia="Calibri" w:hAnsiTheme="majorHAnsi" w:cstheme="majorHAnsi"/>
          <w:sz w:val="24"/>
          <w:szCs w:val="24"/>
          <w:lang w:val="en-GB"/>
        </w:rPr>
        <w:t>drugs;</w:t>
      </w:r>
      <w:proofErr w:type="gramEnd"/>
    </w:p>
    <w:p w14:paraId="3DA4990E" w14:textId="3DDFE9A6" w:rsidR="00B628FE" w:rsidRPr="0051033F" w:rsidRDefault="00000000" w:rsidP="0051033F">
      <w:pPr>
        <w:pStyle w:val="ListParagraph"/>
        <w:numPr>
          <w:ilvl w:val="0"/>
          <w:numId w:val="8"/>
        </w:numPr>
        <w:shd w:val="clear" w:color="auto" w:fill="FFFFFF"/>
        <w:spacing w:after="200" w:line="240" w:lineRule="auto"/>
        <w:contextualSpacing w:val="0"/>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t xml:space="preserve">The provision of psychosocial support for GBV survivors who use drugs, along with economic empowerment/cash transfers, must be integrated with wider GBV </w:t>
      </w:r>
      <w:proofErr w:type="gramStart"/>
      <w:r w:rsidRPr="0051033F">
        <w:rPr>
          <w:rFonts w:asciiTheme="majorHAnsi" w:eastAsia="Calibri" w:hAnsiTheme="majorHAnsi" w:cstheme="majorHAnsi"/>
          <w:sz w:val="24"/>
          <w:szCs w:val="24"/>
          <w:lang w:val="en-GB"/>
        </w:rPr>
        <w:t>responses;</w:t>
      </w:r>
      <w:proofErr w:type="gramEnd"/>
    </w:p>
    <w:p w14:paraId="377C7AA3" w14:textId="34EA580A" w:rsidR="00B628FE" w:rsidRPr="0051033F" w:rsidRDefault="00000000" w:rsidP="0051033F">
      <w:pPr>
        <w:pStyle w:val="ListParagraph"/>
        <w:numPr>
          <w:ilvl w:val="0"/>
          <w:numId w:val="8"/>
        </w:numPr>
        <w:spacing w:after="200" w:line="240" w:lineRule="auto"/>
        <w:contextualSpacing w:val="0"/>
        <w:jc w:val="both"/>
        <w:rPr>
          <w:rFonts w:asciiTheme="majorHAnsi" w:eastAsia="Calibri" w:hAnsiTheme="majorHAnsi" w:cstheme="majorHAnsi"/>
          <w:sz w:val="24"/>
          <w:szCs w:val="24"/>
          <w:lang w:val="en-GB"/>
        </w:rPr>
      </w:pPr>
      <w:r w:rsidRPr="0051033F">
        <w:rPr>
          <w:rFonts w:asciiTheme="majorHAnsi" w:eastAsia="Calibri" w:hAnsiTheme="majorHAnsi" w:cstheme="majorHAnsi"/>
          <w:sz w:val="24"/>
          <w:szCs w:val="24"/>
          <w:lang w:val="en-GB"/>
        </w:rPr>
        <w:lastRenderedPageBreak/>
        <w:t xml:space="preserve">Advocacy and capacity building is required to ensure that safe housing eligibility, access to financial support programs and social protection mechanisms are not contingent on drug use abstinence and proof of </w:t>
      </w:r>
      <w:proofErr w:type="gramStart"/>
      <w:r w:rsidRPr="0051033F">
        <w:rPr>
          <w:rFonts w:asciiTheme="majorHAnsi" w:eastAsia="Calibri" w:hAnsiTheme="majorHAnsi" w:cstheme="majorHAnsi"/>
          <w:sz w:val="24"/>
          <w:szCs w:val="24"/>
          <w:lang w:val="en-GB"/>
        </w:rPr>
        <w:t>identity;</w:t>
      </w:r>
      <w:proofErr w:type="gramEnd"/>
    </w:p>
    <w:p w14:paraId="6BF8E12F" w14:textId="77777777" w:rsidR="0051033F" w:rsidRPr="0051033F" w:rsidRDefault="00000000" w:rsidP="0051033F">
      <w:pPr>
        <w:pStyle w:val="ListParagraph"/>
        <w:numPr>
          <w:ilvl w:val="0"/>
          <w:numId w:val="8"/>
        </w:numPr>
        <w:spacing w:after="200" w:line="240" w:lineRule="auto"/>
        <w:contextualSpacing w:val="0"/>
        <w:jc w:val="both"/>
        <w:rPr>
          <w:rFonts w:asciiTheme="majorHAnsi" w:eastAsia="Calibri" w:hAnsiTheme="majorHAnsi" w:cstheme="majorHAnsi"/>
          <w:color w:val="212121"/>
          <w:lang w:val="en-GB"/>
        </w:rPr>
      </w:pPr>
      <w:r w:rsidRPr="0051033F">
        <w:rPr>
          <w:rFonts w:asciiTheme="majorHAnsi" w:eastAsia="Calibri" w:hAnsiTheme="majorHAnsi" w:cstheme="majorHAnsi"/>
          <w:sz w:val="24"/>
          <w:szCs w:val="24"/>
          <w:lang w:val="en-GB"/>
        </w:rPr>
        <w:t>Interventions to reduce police harassment and violence and bolster accountability must be instituted to eliminate human rights violations perpetrated by law enforcement and to support GBV reporting.</w:t>
      </w:r>
    </w:p>
    <w:p w14:paraId="16594D99" w14:textId="018F27DC" w:rsidR="00B628FE" w:rsidRPr="0051033F" w:rsidRDefault="0051033F" w:rsidP="0051033F">
      <w:pPr>
        <w:pStyle w:val="ListParagraph"/>
        <w:spacing w:after="200" w:line="240" w:lineRule="auto"/>
        <w:contextualSpacing w:val="0"/>
        <w:jc w:val="both"/>
        <w:rPr>
          <w:rFonts w:asciiTheme="majorHAnsi" w:eastAsia="Calibri" w:hAnsiTheme="majorHAnsi" w:cstheme="majorHAnsi"/>
          <w:color w:val="212121"/>
          <w:lang w:val="en-GB"/>
        </w:rPr>
      </w:pPr>
      <w:r w:rsidRPr="0051033F">
        <w:rPr>
          <w:rFonts w:asciiTheme="majorHAnsi" w:eastAsia="Calibri" w:hAnsiTheme="majorHAnsi" w:cstheme="majorHAnsi"/>
          <w:color w:val="212121"/>
          <w:lang w:val="en-GB"/>
        </w:rPr>
        <w:t xml:space="preserve"> </w:t>
      </w:r>
    </w:p>
    <w:sectPr w:rsidR="00B628FE" w:rsidRPr="0051033F">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A216" w14:textId="77777777" w:rsidR="00585F9C" w:rsidRDefault="00585F9C">
      <w:pPr>
        <w:spacing w:line="240" w:lineRule="auto"/>
      </w:pPr>
      <w:r>
        <w:separator/>
      </w:r>
    </w:p>
  </w:endnote>
  <w:endnote w:type="continuationSeparator" w:id="0">
    <w:p w14:paraId="150CB407" w14:textId="77777777" w:rsidR="00585F9C" w:rsidRDefault="00585F9C">
      <w:pPr>
        <w:spacing w:line="240" w:lineRule="auto"/>
      </w:pPr>
      <w:r>
        <w:continuationSeparator/>
      </w:r>
    </w:p>
  </w:endnote>
  <w:endnote w:id="1">
    <w:p w14:paraId="0D66CE09" w14:textId="737045ED" w:rsidR="0051033F" w:rsidRPr="0051033F" w:rsidRDefault="0051033F">
      <w:pPr>
        <w:spacing w:line="240" w:lineRule="auto"/>
        <w:rPr>
          <w:rFonts w:asciiTheme="majorHAnsi" w:hAnsiTheme="majorHAnsi" w:cstheme="majorHAnsi"/>
          <w:b/>
          <w:bCs/>
          <w:sz w:val="18"/>
          <w:szCs w:val="18"/>
        </w:rPr>
      </w:pPr>
      <w:r w:rsidRPr="0051033F">
        <w:rPr>
          <w:rFonts w:asciiTheme="majorHAnsi" w:hAnsiTheme="majorHAnsi" w:cstheme="majorHAnsi"/>
          <w:b/>
          <w:bCs/>
          <w:sz w:val="18"/>
          <w:szCs w:val="18"/>
        </w:rPr>
        <w:t>ENDNOTES</w:t>
      </w:r>
    </w:p>
    <w:p w14:paraId="236F0456" w14:textId="77777777" w:rsidR="0051033F" w:rsidRDefault="0051033F">
      <w:pPr>
        <w:spacing w:line="240" w:lineRule="auto"/>
        <w:rPr>
          <w:rFonts w:asciiTheme="majorHAnsi" w:hAnsiTheme="majorHAnsi" w:cstheme="majorHAnsi"/>
          <w:sz w:val="18"/>
          <w:szCs w:val="18"/>
        </w:rPr>
      </w:pPr>
    </w:p>
    <w:p w14:paraId="708818D0" w14:textId="3BFAE6A4"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Report of the Special Rapporteur on the independence of judges and lawyers, Margaret Satterthwaite: Reimagining justice: confronting contemporary challenges to the independence of judges and lawyers. </w:t>
      </w:r>
      <w:hyperlink r:id="rId1">
        <w:r w:rsidRPr="0051033F">
          <w:rPr>
            <w:rFonts w:asciiTheme="majorHAnsi" w:hAnsiTheme="majorHAnsi" w:cstheme="majorHAnsi"/>
            <w:color w:val="1155CC"/>
            <w:sz w:val="18"/>
            <w:szCs w:val="18"/>
            <w:u w:val="single"/>
          </w:rPr>
          <w:t>A/HRC/53/31</w:t>
        </w:r>
      </w:hyperlink>
      <w:r w:rsidRPr="0051033F">
        <w:rPr>
          <w:rFonts w:asciiTheme="majorHAnsi" w:hAnsiTheme="majorHAnsi" w:cstheme="majorHAnsi"/>
          <w:sz w:val="18"/>
          <w:szCs w:val="18"/>
        </w:rPr>
        <w:t>, July 2023. Para. 37.</w:t>
      </w:r>
    </w:p>
  </w:endnote>
  <w:endnote w:id="2">
    <w:p w14:paraId="302CDBD3"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“Vagrancy laws: Discrimination based on poverty and status.” Southern Africa Litigation Centre, 9 June 2023. </w:t>
      </w:r>
      <w:hyperlink r:id="rId2" w:anchor=":~:text=ZIMBABWE'S%20VAGRANCY%20ACT&amp;text=The%20Act%20also%20allows%20a,who%20assists%20or%20encourages%20vagrancy">
        <w:r w:rsidRPr="0051033F">
          <w:rPr>
            <w:rFonts w:asciiTheme="majorHAnsi" w:hAnsiTheme="majorHAnsi" w:cstheme="majorHAnsi"/>
            <w:color w:val="1155CC"/>
            <w:sz w:val="18"/>
            <w:szCs w:val="18"/>
            <w:u w:val="single"/>
          </w:rPr>
          <w:t>https://www.southernafricalitigationcentre.org/2023/06/09/vagrancy-laws-discrimination-based-on-poverty-and-status/#:~:text=ZIMBABWE'S%20VAGRANCY%20ACT&amp;text=The%20Act%20also%20allows%20a,who%20assists%20or%20encourages%20vagrancy</w:t>
        </w:r>
      </w:hyperlink>
      <w:r w:rsidRPr="0051033F">
        <w:rPr>
          <w:rFonts w:asciiTheme="majorHAnsi" w:hAnsiTheme="majorHAnsi" w:cstheme="majorHAnsi"/>
          <w:sz w:val="18"/>
          <w:szCs w:val="18"/>
        </w:rPr>
        <w:t xml:space="preserve">. </w:t>
      </w:r>
    </w:p>
  </w:endnote>
  <w:endnote w:id="3">
    <w:p w14:paraId="43F9F5A9"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African Court on Human and Peoples’ Rights Advisory Opinion No 001/2018 On the compatibility of Vagrancy Laws with the African Charter on Human and Peoples’ Rights and other human rights instruments applicable in Africa, requested by Pan African Lawyers Union (PALU). </w:t>
      </w:r>
      <w:hyperlink r:id="rId3">
        <w:r w:rsidRPr="0051033F">
          <w:rPr>
            <w:rFonts w:asciiTheme="majorHAnsi" w:hAnsiTheme="majorHAnsi" w:cstheme="majorHAnsi"/>
            <w:color w:val="1155CC"/>
            <w:sz w:val="18"/>
            <w:szCs w:val="18"/>
            <w:u w:val="single"/>
          </w:rPr>
          <w:t>https://www.african-court.org/cpmt/storage/app/uploads/public/5fd/0c6/49b/5fd0c649b6658574074462.pdf</w:t>
        </w:r>
      </w:hyperlink>
      <w:r w:rsidRPr="0051033F">
        <w:rPr>
          <w:rFonts w:asciiTheme="majorHAnsi" w:hAnsiTheme="majorHAnsi" w:cstheme="majorHAnsi"/>
          <w:sz w:val="18"/>
          <w:szCs w:val="18"/>
        </w:rPr>
        <w:t xml:space="preserve"> Para. 79, also cited by the Special Rapporteur on the independence of judges and lawyers in op. cit.</w:t>
      </w:r>
    </w:p>
  </w:endnote>
  <w:endnote w:id="4">
    <w:p w14:paraId="67521D39"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Joint submission by SRI and NSWP to the Working Group on discrimination against women (2018), focusing on deprivation of liberty, available at </w:t>
      </w:r>
      <w:hyperlink r:id="rId4">
        <w:r w:rsidRPr="0051033F">
          <w:rPr>
            <w:rFonts w:asciiTheme="majorHAnsi" w:hAnsiTheme="majorHAnsi" w:cstheme="majorHAnsi"/>
            <w:color w:val="1155CC"/>
            <w:sz w:val="18"/>
            <w:szCs w:val="18"/>
            <w:u w:val="single"/>
          </w:rPr>
          <w:t>https://www.sexualrightsinitiative.org/resources/sri-submission-working-group-discrimination-against-women-and-girls-deprivation-liberty</w:t>
        </w:r>
      </w:hyperlink>
      <w:r w:rsidRPr="0051033F">
        <w:rPr>
          <w:rFonts w:asciiTheme="majorHAnsi" w:hAnsiTheme="majorHAnsi" w:cstheme="majorHAnsi"/>
          <w:sz w:val="18"/>
          <w:szCs w:val="18"/>
        </w:rPr>
        <w:t xml:space="preserve"> </w:t>
      </w:r>
    </w:p>
  </w:endnote>
  <w:endnote w:id="5">
    <w:p w14:paraId="543802D3"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Report of the Special Rapporteur on the right of everyone to the enjoyment of the highest attainable standard of physical and mental health, </w:t>
      </w:r>
      <w:proofErr w:type="spellStart"/>
      <w:r w:rsidRPr="0051033F">
        <w:rPr>
          <w:rFonts w:asciiTheme="majorHAnsi" w:hAnsiTheme="majorHAnsi" w:cstheme="majorHAnsi"/>
          <w:sz w:val="18"/>
          <w:szCs w:val="18"/>
        </w:rPr>
        <w:t>Tlaleng</w:t>
      </w:r>
      <w:proofErr w:type="spellEnd"/>
      <w:r w:rsidRPr="0051033F">
        <w:rPr>
          <w:rFonts w:asciiTheme="majorHAnsi" w:hAnsiTheme="majorHAnsi" w:cstheme="majorHAnsi"/>
          <w:sz w:val="18"/>
          <w:szCs w:val="18"/>
        </w:rPr>
        <w:t xml:space="preserve"> Mofokeng. Strategic priorities of work. April 2021. </w:t>
      </w:r>
      <w:hyperlink r:id="rId5">
        <w:r w:rsidRPr="0051033F">
          <w:rPr>
            <w:rFonts w:asciiTheme="majorHAnsi" w:hAnsiTheme="majorHAnsi" w:cstheme="majorHAnsi"/>
            <w:color w:val="1155CC"/>
            <w:sz w:val="18"/>
            <w:szCs w:val="18"/>
            <w:u w:val="single"/>
          </w:rPr>
          <w:t>A/HRC/47/28</w:t>
        </w:r>
      </w:hyperlink>
      <w:r w:rsidRPr="0051033F">
        <w:rPr>
          <w:rFonts w:asciiTheme="majorHAnsi" w:hAnsiTheme="majorHAnsi" w:cstheme="majorHAnsi"/>
          <w:sz w:val="18"/>
          <w:szCs w:val="18"/>
        </w:rPr>
        <w:t xml:space="preserve">, paras. 76-77. </w:t>
      </w:r>
    </w:p>
  </w:endnote>
  <w:endnote w:id="6">
    <w:p w14:paraId="03D140CF"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Daniels, C., </w:t>
      </w:r>
      <w:proofErr w:type="spellStart"/>
      <w:r w:rsidRPr="0051033F">
        <w:rPr>
          <w:rFonts w:asciiTheme="majorHAnsi" w:hAnsiTheme="majorHAnsi" w:cstheme="majorHAnsi"/>
          <w:sz w:val="18"/>
          <w:szCs w:val="18"/>
        </w:rPr>
        <w:t>Aluso</w:t>
      </w:r>
      <w:proofErr w:type="spellEnd"/>
      <w:r w:rsidRPr="0051033F">
        <w:rPr>
          <w:rFonts w:asciiTheme="majorHAnsi" w:hAnsiTheme="majorHAnsi" w:cstheme="majorHAnsi"/>
          <w:sz w:val="18"/>
          <w:szCs w:val="18"/>
        </w:rPr>
        <w:t>, A., Burke-</w:t>
      </w:r>
      <w:proofErr w:type="spellStart"/>
      <w:r w:rsidRPr="0051033F">
        <w:rPr>
          <w:rFonts w:asciiTheme="majorHAnsi" w:hAnsiTheme="majorHAnsi" w:cstheme="majorHAnsi"/>
          <w:sz w:val="18"/>
          <w:szCs w:val="18"/>
        </w:rPr>
        <w:t>Shyne</w:t>
      </w:r>
      <w:proofErr w:type="spellEnd"/>
      <w:r w:rsidRPr="0051033F">
        <w:rPr>
          <w:rFonts w:asciiTheme="majorHAnsi" w:hAnsiTheme="majorHAnsi" w:cstheme="majorHAnsi"/>
          <w:sz w:val="18"/>
          <w:szCs w:val="18"/>
        </w:rPr>
        <w:t xml:space="preserve">, N. </w:t>
      </w:r>
      <w:r w:rsidRPr="0051033F">
        <w:rPr>
          <w:rFonts w:asciiTheme="majorHAnsi" w:hAnsiTheme="majorHAnsi" w:cstheme="majorHAnsi"/>
          <w:i/>
          <w:sz w:val="18"/>
          <w:szCs w:val="18"/>
        </w:rPr>
        <w:t>et al.</w:t>
      </w:r>
      <w:r w:rsidRPr="0051033F">
        <w:rPr>
          <w:rFonts w:asciiTheme="majorHAnsi" w:hAnsiTheme="majorHAnsi" w:cstheme="majorHAnsi"/>
          <w:sz w:val="18"/>
          <w:szCs w:val="18"/>
        </w:rPr>
        <w:t xml:space="preserve"> Decolonizing drug policy. </w:t>
      </w:r>
      <w:r w:rsidRPr="0051033F">
        <w:rPr>
          <w:rFonts w:asciiTheme="majorHAnsi" w:hAnsiTheme="majorHAnsi" w:cstheme="majorHAnsi"/>
          <w:i/>
          <w:sz w:val="18"/>
          <w:szCs w:val="18"/>
        </w:rPr>
        <w:t>Harm Reduction Journal</w:t>
      </w:r>
      <w:r w:rsidRPr="0051033F">
        <w:rPr>
          <w:rFonts w:asciiTheme="majorHAnsi" w:hAnsiTheme="majorHAnsi" w:cstheme="majorHAnsi"/>
          <w:sz w:val="18"/>
          <w:szCs w:val="18"/>
        </w:rPr>
        <w:t xml:space="preserve"> 18, 120 (2021). </w:t>
      </w:r>
      <w:hyperlink r:id="rId6">
        <w:r w:rsidRPr="0051033F">
          <w:rPr>
            <w:rFonts w:asciiTheme="majorHAnsi" w:hAnsiTheme="majorHAnsi" w:cstheme="majorHAnsi"/>
            <w:color w:val="1155CC"/>
            <w:sz w:val="18"/>
            <w:szCs w:val="18"/>
            <w:u w:val="single"/>
          </w:rPr>
          <w:t>https://doi.org/10.1186/s12954-021-00564-7</w:t>
        </w:r>
      </w:hyperlink>
      <w:r w:rsidRPr="0051033F">
        <w:rPr>
          <w:rFonts w:asciiTheme="majorHAnsi" w:hAnsiTheme="majorHAnsi" w:cstheme="majorHAnsi"/>
          <w:sz w:val="18"/>
          <w:szCs w:val="18"/>
        </w:rPr>
        <w:t xml:space="preserve"> </w:t>
      </w:r>
    </w:p>
  </w:endnote>
  <w:endnote w:id="7">
    <w:p w14:paraId="0DAFE4BF"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See for instance the Interim report of the Special Rapporteur on the right of everyone to the enjoyment of the highest attainable standard of physical and mental health, </w:t>
      </w:r>
      <w:hyperlink r:id="rId7">
        <w:r w:rsidRPr="0051033F">
          <w:rPr>
            <w:rFonts w:asciiTheme="majorHAnsi" w:hAnsiTheme="majorHAnsi" w:cstheme="majorHAnsi"/>
            <w:color w:val="1155CC"/>
            <w:sz w:val="18"/>
            <w:szCs w:val="18"/>
            <w:u w:val="single"/>
          </w:rPr>
          <w:t>A/66/254</w:t>
        </w:r>
      </w:hyperlink>
      <w:r w:rsidRPr="0051033F">
        <w:rPr>
          <w:rFonts w:asciiTheme="majorHAnsi" w:hAnsiTheme="majorHAnsi" w:cstheme="majorHAnsi"/>
          <w:sz w:val="18"/>
          <w:szCs w:val="18"/>
        </w:rPr>
        <w:t>, 2011, para. 18.</w:t>
      </w:r>
    </w:p>
  </w:endnote>
  <w:endnote w:id="8">
    <w:p w14:paraId="2FE738EC"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International Commission of Jurists: The 8 March Principles for a Human Rights-Based Approach to Criminal Law Proscribing Conduct Associated with Sex, Reproduction, Drug Use, HIV, Homelessness and Poverty, page 1. </w:t>
      </w:r>
      <w:hyperlink r:id="rId8">
        <w:r w:rsidRPr="0051033F">
          <w:rPr>
            <w:rFonts w:asciiTheme="majorHAnsi" w:hAnsiTheme="majorHAnsi" w:cstheme="majorHAnsi"/>
            <w:color w:val="1155CC"/>
            <w:sz w:val="18"/>
            <w:szCs w:val="18"/>
            <w:u w:val="single"/>
          </w:rPr>
          <w:t>https://icj2.wpenginepowered.com/wp-content/uploads/2023/03/8-March-Principles-Report_final_print-version.pdf</w:t>
        </w:r>
      </w:hyperlink>
      <w:r w:rsidRPr="0051033F">
        <w:rPr>
          <w:rFonts w:asciiTheme="majorHAnsi" w:hAnsiTheme="majorHAnsi" w:cstheme="majorHAnsi"/>
          <w:sz w:val="18"/>
          <w:szCs w:val="18"/>
        </w:rPr>
        <w:t xml:space="preserve"> </w:t>
      </w:r>
    </w:p>
  </w:endnote>
  <w:endnote w:id="9">
    <w:p w14:paraId="547F7ECA"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“Autonomy vs Protectionism: looking back on our HRC 53 Side-event.” Sexual Rights Initiative, 2023. </w:t>
      </w:r>
      <w:hyperlink r:id="rId9">
        <w:r w:rsidRPr="0051033F">
          <w:rPr>
            <w:rFonts w:asciiTheme="majorHAnsi" w:hAnsiTheme="majorHAnsi" w:cstheme="majorHAnsi"/>
            <w:color w:val="1155CC"/>
            <w:sz w:val="18"/>
            <w:szCs w:val="18"/>
            <w:u w:val="single"/>
          </w:rPr>
          <w:t>https://www.sexualrightsinitiative.org/resources/autonomy-vs-protectionism-looking-back-our-hrc-53-side-event</w:t>
        </w:r>
      </w:hyperlink>
      <w:r w:rsidRPr="0051033F">
        <w:rPr>
          <w:rFonts w:asciiTheme="majorHAnsi" w:hAnsiTheme="majorHAnsi" w:cstheme="majorHAnsi"/>
          <w:sz w:val="18"/>
          <w:szCs w:val="18"/>
        </w:rPr>
        <w:t xml:space="preserve">; see also Miller, Alice M. “Sexuality, Violence against Women, and Human Rights: Women Make Demands and Ladies Get Protection.” </w:t>
      </w:r>
      <w:r w:rsidRPr="0051033F">
        <w:rPr>
          <w:rFonts w:asciiTheme="majorHAnsi" w:hAnsiTheme="majorHAnsi" w:cstheme="majorHAnsi"/>
          <w:i/>
          <w:sz w:val="18"/>
          <w:szCs w:val="18"/>
        </w:rPr>
        <w:t>Health and Human Rights</w:t>
      </w:r>
      <w:r w:rsidRPr="0051033F">
        <w:rPr>
          <w:rFonts w:asciiTheme="majorHAnsi" w:hAnsiTheme="majorHAnsi" w:cstheme="majorHAnsi"/>
          <w:sz w:val="18"/>
          <w:szCs w:val="18"/>
        </w:rPr>
        <w:t xml:space="preserve">, vol. 7, no. 2, 2004, pp. 16–47. </w:t>
      </w:r>
      <w:r w:rsidRPr="0051033F">
        <w:rPr>
          <w:rFonts w:asciiTheme="majorHAnsi" w:hAnsiTheme="majorHAnsi" w:cstheme="majorHAnsi"/>
          <w:i/>
          <w:sz w:val="18"/>
          <w:szCs w:val="18"/>
        </w:rPr>
        <w:t>JSTOR</w:t>
      </w:r>
      <w:r w:rsidRPr="0051033F">
        <w:rPr>
          <w:rFonts w:asciiTheme="majorHAnsi" w:hAnsiTheme="majorHAnsi" w:cstheme="majorHAnsi"/>
          <w:sz w:val="18"/>
          <w:szCs w:val="18"/>
        </w:rPr>
        <w:t xml:space="preserve">, </w:t>
      </w:r>
      <w:hyperlink r:id="rId10">
        <w:r w:rsidRPr="0051033F">
          <w:rPr>
            <w:rFonts w:asciiTheme="majorHAnsi" w:hAnsiTheme="majorHAnsi" w:cstheme="majorHAnsi"/>
            <w:color w:val="1155CC"/>
            <w:sz w:val="18"/>
            <w:szCs w:val="18"/>
            <w:u w:val="single"/>
          </w:rPr>
          <w:t>https://doi.org/10.2307/4065347</w:t>
        </w:r>
      </w:hyperlink>
      <w:r w:rsidRPr="0051033F">
        <w:rPr>
          <w:rFonts w:asciiTheme="majorHAnsi" w:hAnsiTheme="majorHAnsi" w:cstheme="majorHAnsi"/>
          <w:sz w:val="18"/>
          <w:szCs w:val="18"/>
        </w:rPr>
        <w:t xml:space="preserve">.  </w:t>
      </w:r>
    </w:p>
  </w:endnote>
  <w:endnote w:id="10">
    <w:p w14:paraId="3A2FE90B"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An example of this is the practice of “rescuing” and “rehabilitating” sex workers, with no regard for</w:t>
      </w:r>
    </w:p>
    <w:p w14:paraId="5B0C26C8"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rPr>
        <w:t xml:space="preserve">the wishes, </w:t>
      </w:r>
      <w:proofErr w:type="gramStart"/>
      <w:r w:rsidRPr="0051033F">
        <w:rPr>
          <w:rFonts w:asciiTheme="majorHAnsi" w:hAnsiTheme="majorHAnsi" w:cstheme="majorHAnsi"/>
          <w:sz w:val="18"/>
          <w:szCs w:val="18"/>
        </w:rPr>
        <w:t>desires</w:t>
      </w:r>
      <w:proofErr w:type="gramEnd"/>
      <w:r w:rsidRPr="0051033F">
        <w:rPr>
          <w:rFonts w:asciiTheme="majorHAnsi" w:hAnsiTheme="majorHAnsi" w:cstheme="majorHAnsi"/>
          <w:sz w:val="18"/>
          <w:szCs w:val="18"/>
        </w:rPr>
        <w:t xml:space="preserve"> or decisions of the sex workers themselves. See, for instance, the joint submission by SRI and NSWP to the Working Group on Discrimination against Women and Girls for its report on</w:t>
      </w:r>
    </w:p>
    <w:p w14:paraId="7C38B40C"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rPr>
        <w:t xml:space="preserve">women deprived of liberty: </w:t>
      </w:r>
      <w:hyperlink r:id="rId11">
        <w:r w:rsidRPr="0051033F">
          <w:rPr>
            <w:rFonts w:asciiTheme="majorHAnsi" w:hAnsiTheme="majorHAnsi" w:cstheme="majorHAnsi"/>
            <w:color w:val="1155CC"/>
            <w:sz w:val="18"/>
            <w:szCs w:val="18"/>
            <w:u w:val="single"/>
          </w:rPr>
          <w:t>https://www.sexualrightsinitiative.com/resources/sri-submission-working-Group-discrimination-against-women-and-girls-deprivation-liberty</w:t>
        </w:r>
      </w:hyperlink>
      <w:r w:rsidRPr="0051033F">
        <w:rPr>
          <w:rFonts w:asciiTheme="majorHAnsi" w:hAnsiTheme="majorHAnsi" w:cstheme="majorHAnsi"/>
          <w:sz w:val="18"/>
          <w:szCs w:val="18"/>
        </w:rPr>
        <w:t xml:space="preserve">  </w:t>
      </w:r>
    </w:p>
  </w:endnote>
  <w:endnote w:id="11">
    <w:p w14:paraId="2660380E"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“Autonomy vs Protectionism: looking back on our HRC 53 Side-event.” Sexual Rights Initiative, 2023. </w:t>
      </w:r>
      <w:hyperlink r:id="rId12">
        <w:r w:rsidRPr="0051033F">
          <w:rPr>
            <w:rFonts w:asciiTheme="majorHAnsi" w:hAnsiTheme="majorHAnsi" w:cstheme="majorHAnsi"/>
            <w:color w:val="1155CC"/>
            <w:sz w:val="18"/>
            <w:szCs w:val="18"/>
            <w:u w:val="single"/>
          </w:rPr>
          <w:t>https://www.sexualrightsinitiative.org/resources/autonomy-vs-protectionism-looking-back-our-hrc-53-side-event</w:t>
        </w:r>
      </w:hyperlink>
    </w:p>
  </w:endnote>
  <w:endnote w:id="12">
    <w:p w14:paraId="54534920"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proofErr w:type="spellStart"/>
      <w:r w:rsidRPr="0051033F">
        <w:rPr>
          <w:rFonts w:asciiTheme="majorHAnsi" w:hAnsiTheme="majorHAnsi" w:cstheme="majorHAnsi"/>
          <w:sz w:val="18"/>
          <w:szCs w:val="18"/>
        </w:rPr>
        <w:t>Sunila</w:t>
      </w:r>
      <w:proofErr w:type="spellEnd"/>
      <w:r w:rsidRPr="0051033F">
        <w:rPr>
          <w:rFonts w:asciiTheme="majorHAnsi" w:hAnsiTheme="majorHAnsi" w:cstheme="majorHAnsi"/>
          <w:sz w:val="18"/>
          <w:szCs w:val="18"/>
        </w:rPr>
        <w:t xml:space="preserve"> </w:t>
      </w:r>
      <w:proofErr w:type="spellStart"/>
      <w:r w:rsidRPr="0051033F">
        <w:rPr>
          <w:rFonts w:asciiTheme="majorHAnsi" w:hAnsiTheme="majorHAnsi" w:cstheme="majorHAnsi"/>
          <w:sz w:val="18"/>
          <w:szCs w:val="18"/>
        </w:rPr>
        <w:t>Abeyesekera</w:t>
      </w:r>
      <w:proofErr w:type="spellEnd"/>
      <w:r w:rsidRPr="0051033F">
        <w:rPr>
          <w:rFonts w:asciiTheme="majorHAnsi" w:hAnsiTheme="majorHAnsi" w:cstheme="majorHAnsi"/>
          <w:sz w:val="18"/>
          <w:szCs w:val="18"/>
        </w:rPr>
        <w:t xml:space="preserve">, as cited in Miller, Alice M. “Sexuality, Violence against Women, and Human Rights: Women Make Demands and Ladies Get Protection.” </w:t>
      </w:r>
      <w:r w:rsidRPr="0051033F">
        <w:rPr>
          <w:rFonts w:asciiTheme="majorHAnsi" w:hAnsiTheme="majorHAnsi" w:cstheme="majorHAnsi"/>
          <w:i/>
          <w:sz w:val="18"/>
          <w:szCs w:val="18"/>
        </w:rPr>
        <w:t>Health and Human Rights</w:t>
      </w:r>
      <w:r w:rsidRPr="0051033F">
        <w:rPr>
          <w:rFonts w:asciiTheme="majorHAnsi" w:hAnsiTheme="majorHAnsi" w:cstheme="majorHAnsi"/>
          <w:sz w:val="18"/>
          <w:szCs w:val="18"/>
        </w:rPr>
        <w:t xml:space="preserve">, vol. 7, no. 2, 2004, p. 18. </w:t>
      </w:r>
      <w:hyperlink r:id="rId13">
        <w:r w:rsidRPr="0051033F">
          <w:rPr>
            <w:rFonts w:asciiTheme="majorHAnsi" w:hAnsiTheme="majorHAnsi" w:cstheme="majorHAnsi"/>
            <w:color w:val="1155CC"/>
            <w:sz w:val="18"/>
            <w:szCs w:val="18"/>
            <w:u w:val="single"/>
          </w:rPr>
          <w:t>https://doi.org/10.2307/4065347</w:t>
        </w:r>
      </w:hyperlink>
      <w:r w:rsidRPr="0051033F">
        <w:rPr>
          <w:rFonts w:asciiTheme="majorHAnsi" w:hAnsiTheme="majorHAnsi" w:cstheme="majorHAnsi"/>
          <w:sz w:val="18"/>
          <w:szCs w:val="18"/>
        </w:rPr>
        <w:t xml:space="preserve">.  </w:t>
      </w:r>
    </w:p>
  </w:endnote>
  <w:endnote w:id="13">
    <w:p w14:paraId="1A293AE0"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Joint submission by SRI, NSWP and IWRAW Asia Pacific to the Special Rapporteur on violence against women, its </w:t>
      </w:r>
      <w:proofErr w:type="gramStart"/>
      <w:r w:rsidRPr="0051033F">
        <w:rPr>
          <w:rFonts w:asciiTheme="majorHAnsi" w:hAnsiTheme="majorHAnsi" w:cstheme="majorHAnsi"/>
          <w:sz w:val="18"/>
          <w:szCs w:val="18"/>
        </w:rPr>
        <w:t>causes</w:t>
      </w:r>
      <w:proofErr w:type="gramEnd"/>
      <w:r w:rsidRPr="0051033F">
        <w:rPr>
          <w:rFonts w:asciiTheme="majorHAnsi" w:hAnsiTheme="majorHAnsi" w:cstheme="majorHAnsi"/>
          <w:sz w:val="18"/>
          <w:szCs w:val="18"/>
        </w:rPr>
        <w:t xml:space="preserve"> and consequences (2020), para. 8. </w:t>
      </w:r>
      <w:hyperlink r:id="rId14">
        <w:r w:rsidRPr="0051033F">
          <w:rPr>
            <w:rFonts w:asciiTheme="majorHAnsi" w:hAnsiTheme="majorHAnsi" w:cstheme="majorHAnsi"/>
            <w:color w:val="1155CC"/>
            <w:sz w:val="18"/>
            <w:szCs w:val="18"/>
            <w:u w:val="single"/>
          </w:rPr>
          <w:t>https://www.sexualrightsinitiative.org/resources/joint-submission-special-rapporteur-violence-against-women-its-causes-and-consequences</w:t>
        </w:r>
      </w:hyperlink>
      <w:r w:rsidRPr="0051033F">
        <w:rPr>
          <w:rFonts w:asciiTheme="majorHAnsi" w:hAnsiTheme="majorHAnsi" w:cstheme="majorHAnsi"/>
          <w:sz w:val="18"/>
          <w:szCs w:val="18"/>
        </w:rPr>
        <w:t xml:space="preserve"> </w:t>
      </w:r>
    </w:p>
  </w:endnote>
  <w:endnote w:id="14">
    <w:p w14:paraId="3AC46C95"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Stringer, R. (2014). Knowing Victims: Feminism, </w:t>
      </w:r>
      <w:proofErr w:type="gramStart"/>
      <w:r w:rsidRPr="0051033F">
        <w:rPr>
          <w:rFonts w:asciiTheme="majorHAnsi" w:hAnsiTheme="majorHAnsi" w:cstheme="majorHAnsi"/>
          <w:sz w:val="18"/>
          <w:szCs w:val="18"/>
        </w:rPr>
        <w:t>agency</w:t>
      </w:r>
      <w:proofErr w:type="gramEnd"/>
      <w:r w:rsidRPr="0051033F">
        <w:rPr>
          <w:rFonts w:asciiTheme="majorHAnsi" w:hAnsiTheme="majorHAnsi" w:cstheme="majorHAnsi"/>
          <w:sz w:val="18"/>
          <w:szCs w:val="18"/>
        </w:rPr>
        <w:t xml:space="preserve"> and victim politics in neoliberal times (1st ed.).</w:t>
      </w:r>
    </w:p>
    <w:p w14:paraId="1C86555D"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rPr>
        <w:t>Routledge. https://doi.org/10.4324/9781315880129, page 41, as cited in Online Anti-Rape Activism:</w:t>
      </w:r>
    </w:p>
    <w:p w14:paraId="6885A454"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rPr>
        <w:t xml:space="preserve">Exploring the Politics of the Personal in the Age of Digital Media, 87–119. Rachel </w:t>
      </w:r>
      <w:proofErr w:type="spellStart"/>
      <w:r w:rsidRPr="0051033F">
        <w:rPr>
          <w:rFonts w:asciiTheme="majorHAnsi" w:hAnsiTheme="majorHAnsi" w:cstheme="majorHAnsi"/>
          <w:sz w:val="18"/>
          <w:szCs w:val="18"/>
        </w:rPr>
        <w:t>Loney</w:t>
      </w:r>
      <w:proofErr w:type="spellEnd"/>
      <w:r w:rsidRPr="0051033F">
        <w:rPr>
          <w:rFonts w:asciiTheme="majorHAnsi" w:hAnsiTheme="majorHAnsi" w:cstheme="majorHAnsi"/>
          <w:sz w:val="18"/>
          <w:szCs w:val="18"/>
        </w:rPr>
        <w:t>-Howes, 2020.</w:t>
      </w:r>
    </w:p>
    <w:p w14:paraId="69FE18A8"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rPr>
        <w:t xml:space="preserve">doi:10.1108/978-1-83867-439-720201007, page 90. </w:t>
      </w:r>
    </w:p>
  </w:endnote>
  <w:endnote w:id="15">
    <w:p w14:paraId="5404E5AF"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SRI submission to the Special Rapporteur on racism, focusing on nationalist populism (2018), para. 5. </w:t>
      </w:r>
      <w:hyperlink r:id="rId15">
        <w:r w:rsidRPr="0051033F">
          <w:rPr>
            <w:rFonts w:asciiTheme="majorHAnsi" w:hAnsiTheme="majorHAnsi" w:cstheme="majorHAnsi"/>
            <w:color w:val="1155CC"/>
            <w:sz w:val="18"/>
            <w:szCs w:val="18"/>
            <w:u w:val="single"/>
          </w:rPr>
          <w:t>https://www.sexualrightsinitiative.org/resources/sri-submission-special-rapporteur-racism-nationalist-populism</w:t>
        </w:r>
      </w:hyperlink>
      <w:r w:rsidRPr="0051033F">
        <w:rPr>
          <w:rFonts w:asciiTheme="majorHAnsi" w:hAnsiTheme="majorHAnsi" w:cstheme="majorHAnsi"/>
          <w:sz w:val="18"/>
          <w:szCs w:val="18"/>
        </w:rPr>
        <w:t xml:space="preserve">; Report of the Special Rapporteur on racism focusing on nationalist populism. </w:t>
      </w:r>
      <w:hyperlink r:id="rId16">
        <w:r w:rsidRPr="0051033F">
          <w:rPr>
            <w:rFonts w:asciiTheme="majorHAnsi" w:hAnsiTheme="majorHAnsi" w:cstheme="majorHAnsi"/>
            <w:color w:val="1155CC"/>
            <w:sz w:val="18"/>
            <w:szCs w:val="18"/>
            <w:u w:val="single"/>
          </w:rPr>
          <w:t>A/73/305</w:t>
        </w:r>
      </w:hyperlink>
      <w:r w:rsidRPr="0051033F">
        <w:rPr>
          <w:rFonts w:asciiTheme="majorHAnsi" w:hAnsiTheme="majorHAnsi" w:cstheme="majorHAnsi"/>
          <w:sz w:val="18"/>
          <w:szCs w:val="18"/>
        </w:rPr>
        <w:t xml:space="preserve">, 2018, para. 11. </w:t>
      </w:r>
    </w:p>
  </w:endnote>
  <w:endnote w:id="16">
    <w:p w14:paraId="5AEC3FB1"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On the link between protectionism, vagrancy and the criminalization of homelessness, please see Anthea </w:t>
      </w:r>
      <w:proofErr w:type="spellStart"/>
      <w:r w:rsidRPr="0051033F">
        <w:rPr>
          <w:rFonts w:asciiTheme="majorHAnsi" w:hAnsiTheme="majorHAnsi" w:cstheme="majorHAnsi"/>
          <w:sz w:val="18"/>
          <w:szCs w:val="18"/>
        </w:rPr>
        <w:t>Taderera’s</w:t>
      </w:r>
      <w:proofErr w:type="spellEnd"/>
      <w:r w:rsidRPr="0051033F">
        <w:rPr>
          <w:rFonts w:asciiTheme="majorHAnsi" w:hAnsiTheme="majorHAnsi" w:cstheme="majorHAnsi"/>
          <w:sz w:val="18"/>
          <w:szCs w:val="18"/>
        </w:rPr>
        <w:t xml:space="preserve"> intervention in the Sexual Rights Initiative’s side event “Autonomy vs. Protectionism,” (2023) </w:t>
      </w:r>
      <w:hyperlink r:id="rId17">
        <w:r w:rsidRPr="0051033F">
          <w:rPr>
            <w:rFonts w:asciiTheme="majorHAnsi" w:hAnsiTheme="majorHAnsi" w:cstheme="majorHAnsi"/>
            <w:color w:val="1155CC"/>
            <w:sz w:val="18"/>
            <w:szCs w:val="18"/>
            <w:u w:val="single"/>
          </w:rPr>
          <w:t>https://youtu.be/uR8H3Xv9Du0?si=IywYjadl4UBdAyDm&amp;t=385</w:t>
        </w:r>
      </w:hyperlink>
      <w:r w:rsidRPr="0051033F">
        <w:rPr>
          <w:rFonts w:asciiTheme="majorHAnsi" w:hAnsiTheme="majorHAnsi" w:cstheme="majorHAnsi"/>
          <w:sz w:val="18"/>
          <w:szCs w:val="18"/>
        </w:rPr>
        <w:t>.</w:t>
      </w:r>
    </w:p>
    <w:p w14:paraId="34545054"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rPr>
        <w:t xml:space="preserve">On the need to treat poverty as a human rights violation, please see the </w:t>
      </w:r>
      <w:hyperlink r:id="rId18">
        <w:r w:rsidRPr="0051033F">
          <w:rPr>
            <w:rFonts w:asciiTheme="majorHAnsi" w:hAnsiTheme="majorHAnsi" w:cstheme="majorHAnsi"/>
            <w:color w:val="1155CC"/>
            <w:sz w:val="18"/>
            <w:szCs w:val="18"/>
            <w:u w:val="single"/>
          </w:rPr>
          <w:t>joint submission</w:t>
        </w:r>
      </w:hyperlink>
      <w:r w:rsidRPr="0051033F">
        <w:rPr>
          <w:rFonts w:asciiTheme="majorHAnsi" w:hAnsiTheme="majorHAnsi" w:cstheme="majorHAnsi"/>
          <w:sz w:val="18"/>
          <w:szCs w:val="18"/>
        </w:rPr>
        <w:t xml:space="preserve"> by SRI, AWID and IWRAW Asia Pacific to the Working Group on discrimination against women and girls, focusing on poverty and inequality, para. 11. On homelessness as a human rights violation, see for instance para. 30 of the Guidelines for the Implementation of the Right to Adequate Housing. Report of the Special Rapporteur on adequate housing as a component of the right to an adequate standard of living, and on the right to non-discrimination in this context. </w:t>
      </w:r>
      <w:hyperlink r:id="rId19">
        <w:r w:rsidRPr="0051033F">
          <w:rPr>
            <w:rFonts w:asciiTheme="majorHAnsi" w:hAnsiTheme="majorHAnsi" w:cstheme="majorHAnsi"/>
            <w:color w:val="1155CC"/>
            <w:sz w:val="18"/>
            <w:szCs w:val="18"/>
            <w:u w:val="single"/>
          </w:rPr>
          <w:t>A/HRC/43/43</w:t>
        </w:r>
      </w:hyperlink>
      <w:r w:rsidRPr="0051033F">
        <w:rPr>
          <w:rFonts w:asciiTheme="majorHAnsi" w:hAnsiTheme="majorHAnsi" w:cstheme="majorHAnsi"/>
          <w:sz w:val="18"/>
          <w:szCs w:val="18"/>
        </w:rPr>
        <w:t>, 2019.</w:t>
      </w:r>
    </w:p>
  </w:endnote>
  <w:endnote w:id="17">
    <w:p w14:paraId="219A76FE"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Bernstein, Elizabeth. "Carceral Politics as Gender Justice? The "traffic in Women" and Neoliberal</w:t>
      </w:r>
    </w:p>
    <w:p w14:paraId="3DD3A4E6"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rPr>
        <w:t>Circuits of Crime, Sex, and Rights." Theory and Society 41, no. 3 (2012): 233-59.</w:t>
      </w:r>
    </w:p>
    <w:p w14:paraId="7B69CEFD" w14:textId="77777777" w:rsidR="0051033F" w:rsidRPr="0051033F" w:rsidRDefault="0051033F">
      <w:pPr>
        <w:spacing w:line="240" w:lineRule="auto"/>
        <w:rPr>
          <w:rFonts w:asciiTheme="majorHAnsi" w:hAnsiTheme="majorHAnsi" w:cstheme="majorHAnsi"/>
          <w:sz w:val="18"/>
          <w:szCs w:val="18"/>
        </w:rPr>
      </w:pPr>
      <w:hyperlink r:id="rId20">
        <w:r w:rsidRPr="0051033F">
          <w:rPr>
            <w:rFonts w:asciiTheme="majorHAnsi" w:hAnsiTheme="majorHAnsi" w:cstheme="majorHAnsi"/>
            <w:color w:val="1155CC"/>
            <w:sz w:val="18"/>
            <w:szCs w:val="18"/>
            <w:u w:val="single"/>
          </w:rPr>
          <w:t>http://www.jstor.org/stable/4147571</w:t>
        </w:r>
      </w:hyperlink>
      <w:r w:rsidRPr="0051033F">
        <w:rPr>
          <w:rFonts w:asciiTheme="majorHAnsi" w:hAnsiTheme="majorHAnsi" w:cstheme="majorHAnsi"/>
          <w:sz w:val="18"/>
          <w:szCs w:val="18"/>
        </w:rPr>
        <w:t xml:space="preserve">, page 259 </w:t>
      </w:r>
    </w:p>
  </w:endnote>
  <w:endnote w:id="18">
    <w:p w14:paraId="2536AC09"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See for instance Report of the Special Rapporteur on adequate housing as a </w:t>
      </w:r>
      <w:proofErr w:type="gramStart"/>
      <w:r w:rsidRPr="0051033F">
        <w:rPr>
          <w:rFonts w:asciiTheme="majorHAnsi" w:hAnsiTheme="majorHAnsi" w:cstheme="majorHAnsi"/>
          <w:sz w:val="18"/>
          <w:szCs w:val="18"/>
        </w:rPr>
        <w:t>component</w:t>
      </w:r>
      <w:proofErr w:type="gramEnd"/>
    </w:p>
    <w:p w14:paraId="3D728CF1"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rPr>
        <w:t xml:space="preserve">of the right to an adequate standard of living, and on the right to non-discrimination in this context, Balakrishnan Rajagopal: Spatial segregation and the right to adequate housing. </w:t>
      </w:r>
      <w:hyperlink r:id="rId21">
        <w:r w:rsidRPr="0051033F">
          <w:rPr>
            <w:rFonts w:asciiTheme="majorHAnsi" w:hAnsiTheme="majorHAnsi" w:cstheme="majorHAnsi"/>
            <w:color w:val="1155CC"/>
            <w:sz w:val="18"/>
            <w:szCs w:val="18"/>
            <w:u w:val="single"/>
          </w:rPr>
          <w:t>A/HRC/49/48</w:t>
        </w:r>
      </w:hyperlink>
      <w:r w:rsidRPr="0051033F">
        <w:rPr>
          <w:rFonts w:asciiTheme="majorHAnsi" w:hAnsiTheme="majorHAnsi" w:cstheme="majorHAnsi"/>
          <w:sz w:val="18"/>
          <w:szCs w:val="18"/>
        </w:rPr>
        <w:t xml:space="preserve">, 2022, para. 31; Report of the Special Rapporteur on adequate housing as a component of the right to an adequate standard of living, and on the right to non-discrimination in this context, </w:t>
      </w:r>
      <w:hyperlink r:id="rId22">
        <w:r w:rsidRPr="0051033F">
          <w:rPr>
            <w:rFonts w:asciiTheme="majorHAnsi" w:hAnsiTheme="majorHAnsi" w:cstheme="majorHAnsi"/>
            <w:color w:val="1155CC"/>
            <w:sz w:val="18"/>
            <w:szCs w:val="18"/>
            <w:u w:val="single"/>
          </w:rPr>
          <w:t>A/HRC/34/51</w:t>
        </w:r>
      </w:hyperlink>
      <w:r w:rsidRPr="0051033F">
        <w:rPr>
          <w:rFonts w:asciiTheme="majorHAnsi" w:hAnsiTheme="majorHAnsi" w:cstheme="majorHAnsi"/>
          <w:sz w:val="18"/>
          <w:szCs w:val="18"/>
        </w:rPr>
        <w:t xml:space="preserve">, 2017, para. 19; Report of the Special Rapporteur on adequate housing as a component of the right to an adequate standard of living, and on the right to non-discrimination in this context, Raquel Rolnik, </w:t>
      </w:r>
      <w:hyperlink r:id="rId23">
        <w:r w:rsidRPr="0051033F">
          <w:rPr>
            <w:rFonts w:asciiTheme="majorHAnsi" w:hAnsiTheme="majorHAnsi" w:cstheme="majorHAnsi"/>
            <w:color w:val="1155CC"/>
            <w:sz w:val="18"/>
            <w:szCs w:val="18"/>
            <w:u w:val="single"/>
          </w:rPr>
          <w:t>A/HRC/10/7</w:t>
        </w:r>
      </w:hyperlink>
      <w:r w:rsidRPr="0051033F">
        <w:rPr>
          <w:rFonts w:asciiTheme="majorHAnsi" w:hAnsiTheme="majorHAnsi" w:cstheme="majorHAnsi"/>
          <w:sz w:val="18"/>
          <w:szCs w:val="18"/>
        </w:rPr>
        <w:t xml:space="preserve">, 2009; </w:t>
      </w:r>
    </w:p>
  </w:endnote>
  <w:endnote w:id="19">
    <w:p w14:paraId="6E95D1D0"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See for instance “Cities for All: Proposals and Experiences towards the Right to the City.” Edited by Ana </w:t>
      </w:r>
      <w:proofErr w:type="spellStart"/>
      <w:r w:rsidRPr="0051033F">
        <w:rPr>
          <w:rFonts w:asciiTheme="majorHAnsi" w:hAnsiTheme="majorHAnsi" w:cstheme="majorHAnsi"/>
          <w:sz w:val="18"/>
          <w:szCs w:val="18"/>
        </w:rPr>
        <w:t>Sugranyes</w:t>
      </w:r>
      <w:proofErr w:type="spellEnd"/>
      <w:r w:rsidRPr="0051033F">
        <w:rPr>
          <w:rFonts w:asciiTheme="majorHAnsi" w:hAnsiTheme="majorHAnsi" w:cstheme="majorHAnsi"/>
          <w:sz w:val="18"/>
          <w:szCs w:val="18"/>
        </w:rPr>
        <w:t xml:space="preserve"> and Charlotte </w:t>
      </w:r>
      <w:proofErr w:type="spellStart"/>
      <w:r w:rsidRPr="0051033F">
        <w:rPr>
          <w:rFonts w:asciiTheme="majorHAnsi" w:hAnsiTheme="majorHAnsi" w:cstheme="majorHAnsi"/>
          <w:sz w:val="18"/>
          <w:szCs w:val="18"/>
        </w:rPr>
        <w:t>Mathivet</w:t>
      </w:r>
      <w:proofErr w:type="spellEnd"/>
      <w:r w:rsidRPr="0051033F">
        <w:rPr>
          <w:rFonts w:asciiTheme="majorHAnsi" w:hAnsiTheme="majorHAnsi" w:cstheme="majorHAnsi"/>
          <w:sz w:val="18"/>
          <w:szCs w:val="18"/>
        </w:rPr>
        <w:t xml:space="preserve">. Habitat International Coalition. First edition - Santiago, Chile, 2010. </w:t>
      </w:r>
      <w:hyperlink r:id="rId24">
        <w:r w:rsidRPr="0051033F">
          <w:rPr>
            <w:rFonts w:asciiTheme="majorHAnsi" w:hAnsiTheme="majorHAnsi" w:cstheme="majorHAnsi"/>
            <w:color w:val="1155CC"/>
            <w:sz w:val="18"/>
            <w:szCs w:val="18"/>
            <w:u w:val="single"/>
          </w:rPr>
          <w:t>https://www.right2city.org/wp-content/uploads/2023/06/Cities_For_All_ENG.pdf</w:t>
        </w:r>
      </w:hyperlink>
      <w:r w:rsidRPr="0051033F">
        <w:rPr>
          <w:rFonts w:asciiTheme="majorHAnsi" w:hAnsiTheme="majorHAnsi" w:cstheme="majorHAnsi"/>
          <w:sz w:val="18"/>
          <w:szCs w:val="18"/>
        </w:rPr>
        <w:t xml:space="preserve"> ; ​Harvey David. “The Right to the City.” </w:t>
      </w:r>
      <w:r w:rsidRPr="0051033F">
        <w:rPr>
          <w:rFonts w:asciiTheme="majorHAnsi" w:hAnsiTheme="majorHAnsi" w:cstheme="majorHAnsi"/>
          <w:i/>
          <w:sz w:val="18"/>
          <w:szCs w:val="18"/>
        </w:rPr>
        <w:t>International Journal of Urban and Regional Research</w:t>
      </w:r>
      <w:r w:rsidRPr="0051033F">
        <w:rPr>
          <w:rFonts w:asciiTheme="majorHAnsi" w:hAnsiTheme="majorHAnsi" w:cstheme="majorHAnsi"/>
          <w:sz w:val="18"/>
          <w:szCs w:val="18"/>
        </w:rPr>
        <w:t xml:space="preserve"> 2003 pp. 939–941. </w:t>
      </w:r>
      <w:hyperlink r:id="rId25">
        <w:r w:rsidRPr="0051033F">
          <w:rPr>
            <w:rFonts w:asciiTheme="majorHAnsi" w:hAnsiTheme="majorHAnsi" w:cstheme="majorHAnsi"/>
            <w:color w:val="1155CC"/>
            <w:sz w:val="18"/>
            <w:szCs w:val="18"/>
            <w:u w:val="single"/>
          </w:rPr>
          <w:t>https://doi.org/10.1111/j.0309-1317.2003.00492.x</w:t>
        </w:r>
      </w:hyperlink>
      <w:r w:rsidRPr="0051033F">
        <w:rPr>
          <w:rFonts w:asciiTheme="majorHAnsi" w:hAnsiTheme="majorHAnsi" w:cstheme="majorHAnsi"/>
          <w:sz w:val="18"/>
          <w:szCs w:val="18"/>
        </w:rPr>
        <w:t xml:space="preserve">. </w:t>
      </w:r>
    </w:p>
  </w:endnote>
  <w:endnote w:id="20">
    <w:p w14:paraId="049F17B8"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See Anthea </w:t>
      </w:r>
      <w:proofErr w:type="spellStart"/>
      <w:r w:rsidRPr="0051033F">
        <w:rPr>
          <w:rFonts w:asciiTheme="majorHAnsi" w:hAnsiTheme="majorHAnsi" w:cstheme="majorHAnsi"/>
          <w:sz w:val="18"/>
          <w:szCs w:val="18"/>
        </w:rPr>
        <w:t>Taderera’s</w:t>
      </w:r>
      <w:proofErr w:type="spellEnd"/>
      <w:r w:rsidRPr="0051033F">
        <w:rPr>
          <w:rFonts w:asciiTheme="majorHAnsi" w:hAnsiTheme="majorHAnsi" w:cstheme="majorHAnsi"/>
          <w:sz w:val="18"/>
          <w:szCs w:val="18"/>
        </w:rPr>
        <w:t xml:space="preserve"> intervention in the Sexual Rights Initiative’s side event “Autonomy vs. Protectionism,” (2023) </w:t>
      </w:r>
      <w:hyperlink r:id="rId26">
        <w:r w:rsidRPr="0051033F">
          <w:rPr>
            <w:rFonts w:asciiTheme="majorHAnsi" w:hAnsiTheme="majorHAnsi" w:cstheme="majorHAnsi"/>
            <w:color w:val="1155CC"/>
            <w:sz w:val="18"/>
            <w:szCs w:val="18"/>
            <w:u w:val="single"/>
          </w:rPr>
          <w:t>https://youtu.be/uR8H3Xv9Du0?si=IywYjadl4UBdAyDm&amp;t=385</w:t>
        </w:r>
      </w:hyperlink>
    </w:p>
  </w:endnote>
  <w:endnote w:id="21">
    <w:p w14:paraId="665DAAC2"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Report of the Working Group on discrimination against women and girls: Gendered inequalities of poverty: feminist and human rights-based approaches. </w:t>
      </w:r>
      <w:hyperlink r:id="rId27">
        <w:r w:rsidRPr="0051033F">
          <w:rPr>
            <w:rFonts w:asciiTheme="majorHAnsi" w:hAnsiTheme="majorHAnsi" w:cstheme="majorHAnsi"/>
            <w:color w:val="1155CC"/>
            <w:sz w:val="18"/>
            <w:szCs w:val="18"/>
            <w:u w:val="single"/>
          </w:rPr>
          <w:t>A/HRC/53/39</w:t>
        </w:r>
      </w:hyperlink>
      <w:r w:rsidRPr="0051033F">
        <w:rPr>
          <w:rFonts w:asciiTheme="majorHAnsi" w:hAnsiTheme="majorHAnsi" w:cstheme="majorHAnsi"/>
          <w:sz w:val="18"/>
          <w:szCs w:val="18"/>
        </w:rPr>
        <w:t>, 2023, para. 21.</w:t>
      </w:r>
    </w:p>
  </w:endnote>
  <w:endnote w:id="22">
    <w:p w14:paraId="326CC82B"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Joint submission by AWID, IWRAW Asia Pacific and SRI to the Working Group on discrimination against women and girls, 2022, paras 11-14. See </w:t>
      </w:r>
      <w:hyperlink r:id="rId28">
        <w:r w:rsidRPr="0051033F">
          <w:rPr>
            <w:rFonts w:asciiTheme="majorHAnsi" w:hAnsiTheme="majorHAnsi" w:cstheme="majorHAnsi"/>
            <w:color w:val="1155CC"/>
            <w:sz w:val="18"/>
            <w:szCs w:val="18"/>
            <w:u w:val="single"/>
          </w:rPr>
          <w:t>https://www.sexualrightsinitiative.org/resources/joint-submission-working-group-discrimination-against-women-and-girls-poverty-and</w:t>
        </w:r>
      </w:hyperlink>
      <w:r w:rsidRPr="0051033F">
        <w:rPr>
          <w:rFonts w:asciiTheme="majorHAnsi" w:hAnsiTheme="majorHAnsi" w:cstheme="majorHAnsi"/>
          <w:sz w:val="18"/>
          <w:szCs w:val="18"/>
        </w:rPr>
        <w:t xml:space="preserve"> </w:t>
      </w:r>
    </w:p>
  </w:endnote>
  <w:endnote w:id="23">
    <w:p w14:paraId="1247DE7C" w14:textId="77777777" w:rsidR="0051033F" w:rsidRPr="0051033F" w:rsidRDefault="0051033F">
      <w:pPr>
        <w:spacing w:line="240" w:lineRule="auto"/>
        <w:rPr>
          <w:rFonts w:asciiTheme="majorHAnsi" w:eastAsia="Calibr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B Fraser, E Chisholm, and N Pierse, ‘</w:t>
      </w:r>
      <w:proofErr w:type="spellStart"/>
      <w:r w:rsidRPr="0051033F">
        <w:rPr>
          <w:rFonts w:asciiTheme="majorHAnsi" w:eastAsia="Calibri" w:hAnsiTheme="majorHAnsi" w:cstheme="majorHAnsi"/>
          <w:sz w:val="18"/>
          <w:szCs w:val="18"/>
        </w:rPr>
        <w:t>Takatapui</w:t>
      </w:r>
      <w:proofErr w:type="spellEnd"/>
      <w:r w:rsidRPr="0051033F">
        <w:rPr>
          <w:rFonts w:asciiTheme="majorHAnsi" w:eastAsia="Calibri" w:hAnsiTheme="majorHAnsi" w:cstheme="majorHAnsi"/>
          <w:sz w:val="18"/>
          <w:szCs w:val="18"/>
        </w:rPr>
        <w:t xml:space="preserve">/LGBTIQ+ people’s experiences of homelessness and sex work in Aotearoa New Zealand,’ </w:t>
      </w:r>
      <w:r w:rsidRPr="0051033F">
        <w:rPr>
          <w:rFonts w:asciiTheme="majorHAnsi" w:eastAsia="Calibri" w:hAnsiTheme="majorHAnsi" w:cstheme="majorHAnsi"/>
          <w:i/>
          <w:sz w:val="18"/>
          <w:szCs w:val="18"/>
        </w:rPr>
        <w:t>Anti-Trafficking Review</w:t>
      </w:r>
      <w:r w:rsidRPr="0051033F">
        <w:rPr>
          <w:rFonts w:asciiTheme="majorHAnsi" w:eastAsia="Calibri" w:hAnsiTheme="majorHAnsi" w:cstheme="majorHAnsi"/>
          <w:sz w:val="18"/>
          <w:szCs w:val="18"/>
        </w:rPr>
        <w:t>,</w:t>
      </w:r>
      <w:r w:rsidRPr="0051033F">
        <w:rPr>
          <w:rFonts w:asciiTheme="majorHAnsi" w:eastAsia="Calibri" w:hAnsiTheme="majorHAnsi" w:cstheme="majorHAnsi"/>
          <w:i/>
          <w:sz w:val="18"/>
          <w:szCs w:val="18"/>
        </w:rPr>
        <w:t xml:space="preserve"> </w:t>
      </w:r>
      <w:r w:rsidRPr="0051033F">
        <w:rPr>
          <w:rFonts w:asciiTheme="majorHAnsi" w:eastAsia="Calibri" w:hAnsiTheme="majorHAnsi" w:cstheme="majorHAnsi"/>
          <w:sz w:val="18"/>
          <w:szCs w:val="18"/>
        </w:rPr>
        <w:t>issue 20, 2023</w:t>
      </w:r>
    </w:p>
  </w:endnote>
  <w:endnote w:id="24">
    <w:p w14:paraId="6A2EEBBF" w14:textId="77777777" w:rsidR="0051033F" w:rsidRPr="0051033F" w:rsidRDefault="0051033F">
      <w:pPr>
        <w:spacing w:line="240" w:lineRule="auto"/>
        <w:rPr>
          <w:rFonts w:asciiTheme="majorHAnsi" w:eastAsia="Calibr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 xml:space="preserve">C S </w:t>
      </w:r>
      <w:proofErr w:type="spellStart"/>
      <w:r w:rsidRPr="0051033F">
        <w:rPr>
          <w:rFonts w:asciiTheme="majorHAnsi" w:eastAsia="Calibri" w:hAnsiTheme="majorHAnsi" w:cstheme="majorHAnsi"/>
          <w:sz w:val="18"/>
          <w:szCs w:val="18"/>
        </w:rPr>
        <w:t>Shdaimah</w:t>
      </w:r>
      <w:proofErr w:type="spellEnd"/>
      <w:r w:rsidRPr="0051033F">
        <w:rPr>
          <w:rFonts w:asciiTheme="majorHAnsi" w:eastAsia="Calibri" w:hAnsiTheme="majorHAnsi" w:cstheme="majorHAnsi"/>
          <w:sz w:val="18"/>
          <w:szCs w:val="18"/>
        </w:rPr>
        <w:t xml:space="preserve">, N D Franke, T D Becker, C S Leon, ‘Of House and Home: The meanings of housing for women engaged in </w:t>
      </w:r>
      <w:proofErr w:type="spellStart"/>
      <w:r w:rsidRPr="0051033F">
        <w:rPr>
          <w:rFonts w:asciiTheme="majorHAnsi" w:eastAsia="Calibri" w:hAnsiTheme="majorHAnsi" w:cstheme="majorHAnsi"/>
          <w:sz w:val="18"/>
          <w:szCs w:val="18"/>
        </w:rPr>
        <w:t>criminalised</w:t>
      </w:r>
      <w:proofErr w:type="spellEnd"/>
      <w:r w:rsidRPr="0051033F">
        <w:rPr>
          <w:rFonts w:asciiTheme="majorHAnsi" w:eastAsia="Calibri" w:hAnsiTheme="majorHAnsi" w:cstheme="majorHAnsi"/>
          <w:sz w:val="18"/>
          <w:szCs w:val="18"/>
        </w:rPr>
        <w:t xml:space="preserve"> street-based sex work,’ </w:t>
      </w:r>
      <w:r w:rsidRPr="0051033F">
        <w:rPr>
          <w:rFonts w:asciiTheme="majorHAnsi" w:eastAsia="Calibri" w:hAnsiTheme="majorHAnsi" w:cstheme="majorHAnsi"/>
          <w:i/>
          <w:sz w:val="18"/>
          <w:szCs w:val="18"/>
        </w:rPr>
        <w:t>Anti-Trafficking Review</w:t>
      </w:r>
      <w:r w:rsidRPr="0051033F">
        <w:rPr>
          <w:rFonts w:asciiTheme="majorHAnsi" w:eastAsia="Calibri" w:hAnsiTheme="majorHAnsi" w:cstheme="majorHAnsi"/>
          <w:sz w:val="18"/>
          <w:szCs w:val="18"/>
        </w:rPr>
        <w:t>,</w:t>
      </w:r>
      <w:r w:rsidRPr="0051033F">
        <w:rPr>
          <w:rFonts w:asciiTheme="majorHAnsi" w:eastAsia="Calibri" w:hAnsiTheme="majorHAnsi" w:cstheme="majorHAnsi"/>
          <w:i/>
          <w:sz w:val="18"/>
          <w:szCs w:val="18"/>
        </w:rPr>
        <w:t xml:space="preserve"> </w:t>
      </w:r>
      <w:r w:rsidRPr="0051033F">
        <w:rPr>
          <w:rFonts w:asciiTheme="majorHAnsi" w:eastAsia="Calibri" w:hAnsiTheme="majorHAnsi" w:cstheme="majorHAnsi"/>
          <w:sz w:val="18"/>
          <w:szCs w:val="18"/>
        </w:rPr>
        <w:t>issue 20, 2023</w:t>
      </w:r>
    </w:p>
  </w:endnote>
  <w:endnote w:id="25">
    <w:p w14:paraId="25170123"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B Fraser, E Chisholm, and N Pierse, ‘</w:t>
      </w:r>
      <w:proofErr w:type="spellStart"/>
      <w:r w:rsidRPr="0051033F">
        <w:rPr>
          <w:rFonts w:asciiTheme="majorHAnsi" w:eastAsia="Calibri" w:hAnsiTheme="majorHAnsi" w:cstheme="majorHAnsi"/>
          <w:sz w:val="18"/>
          <w:szCs w:val="18"/>
        </w:rPr>
        <w:t>Takatapui</w:t>
      </w:r>
      <w:proofErr w:type="spellEnd"/>
      <w:r w:rsidRPr="0051033F">
        <w:rPr>
          <w:rFonts w:asciiTheme="majorHAnsi" w:eastAsia="Calibri" w:hAnsiTheme="majorHAnsi" w:cstheme="majorHAnsi"/>
          <w:sz w:val="18"/>
          <w:szCs w:val="18"/>
        </w:rPr>
        <w:t xml:space="preserve">/LGBTIQ+ people’s experiences of homelessness and sex work in Aotearoa New Zealand,’ </w:t>
      </w:r>
      <w:r w:rsidRPr="0051033F">
        <w:rPr>
          <w:rFonts w:asciiTheme="majorHAnsi" w:eastAsia="Calibri" w:hAnsiTheme="majorHAnsi" w:cstheme="majorHAnsi"/>
          <w:i/>
          <w:sz w:val="18"/>
          <w:szCs w:val="18"/>
        </w:rPr>
        <w:t>Anti-Trafficking Review</w:t>
      </w:r>
      <w:r w:rsidRPr="0051033F">
        <w:rPr>
          <w:rFonts w:asciiTheme="majorHAnsi" w:eastAsia="Calibri" w:hAnsiTheme="majorHAnsi" w:cstheme="majorHAnsi"/>
          <w:sz w:val="18"/>
          <w:szCs w:val="18"/>
        </w:rPr>
        <w:t>,</w:t>
      </w:r>
      <w:r w:rsidRPr="0051033F">
        <w:rPr>
          <w:rFonts w:asciiTheme="majorHAnsi" w:eastAsia="Calibri" w:hAnsiTheme="majorHAnsi" w:cstheme="majorHAnsi"/>
          <w:i/>
          <w:sz w:val="18"/>
          <w:szCs w:val="18"/>
        </w:rPr>
        <w:t xml:space="preserve"> </w:t>
      </w:r>
      <w:r w:rsidRPr="0051033F">
        <w:rPr>
          <w:rFonts w:asciiTheme="majorHAnsi" w:eastAsia="Calibri" w:hAnsiTheme="majorHAnsi" w:cstheme="majorHAnsi"/>
          <w:sz w:val="18"/>
          <w:szCs w:val="18"/>
        </w:rPr>
        <w:t>issue 20, 2023</w:t>
      </w:r>
    </w:p>
  </w:endnote>
  <w:endnote w:id="26">
    <w:p w14:paraId="7E937420" w14:textId="77777777" w:rsidR="0051033F" w:rsidRPr="0051033F" w:rsidRDefault="0051033F">
      <w:pPr>
        <w:spacing w:line="240" w:lineRule="auto"/>
        <w:rPr>
          <w:rFonts w:asciiTheme="majorHAnsi" w:hAnsiTheme="majorHAnsi" w:cstheme="majorHAnsi"/>
          <w:sz w:val="18"/>
          <w:szCs w:val="18"/>
          <w:vertAlign w:val="superscript"/>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vertAlign w:val="superscript"/>
        </w:rPr>
        <w:t xml:space="preserve"> </w:t>
      </w:r>
      <w:r w:rsidRPr="0051033F">
        <w:rPr>
          <w:rFonts w:asciiTheme="majorHAnsi" w:eastAsia="Calibri" w:hAnsiTheme="majorHAnsi" w:cstheme="majorHAnsi"/>
          <w:sz w:val="18"/>
          <w:szCs w:val="18"/>
        </w:rPr>
        <w:t xml:space="preserve"> C S </w:t>
      </w:r>
      <w:proofErr w:type="spellStart"/>
      <w:r w:rsidRPr="0051033F">
        <w:rPr>
          <w:rFonts w:asciiTheme="majorHAnsi" w:eastAsia="Calibri" w:hAnsiTheme="majorHAnsi" w:cstheme="majorHAnsi"/>
          <w:sz w:val="18"/>
          <w:szCs w:val="18"/>
        </w:rPr>
        <w:t>Shdaimah</w:t>
      </w:r>
      <w:proofErr w:type="spellEnd"/>
      <w:r w:rsidRPr="0051033F">
        <w:rPr>
          <w:rFonts w:asciiTheme="majorHAnsi" w:eastAsia="Calibri" w:hAnsiTheme="majorHAnsi" w:cstheme="majorHAnsi"/>
          <w:sz w:val="18"/>
          <w:szCs w:val="18"/>
        </w:rPr>
        <w:t xml:space="preserve">, N D Franke, T D Becker, C S Leon, ‘Of House and Home: The meanings of housing for women engaged in </w:t>
      </w:r>
      <w:proofErr w:type="spellStart"/>
      <w:r w:rsidRPr="0051033F">
        <w:rPr>
          <w:rFonts w:asciiTheme="majorHAnsi" w:eastAsia="Calibri" w:hAnsiTheme="majorHAnsi" w:cstheme="majorHAnsi"/>
          <w:sz w:val="18"/>
          <w:szCs w:val="18"/>
        </w:rPr>
        <w:t>criminalised</w:t>
      </w:r>
      <w:proofErr w:type="spellEnd"/>
      <w:r w:rsidRPr="0051033F">
        <w:rPr>
          <w:rFonts w:asciiTheme="majorHAnsi" w:eastAsia="Calibri" w:hAnsiTheme="majorHAnsi" w:cstheme="majorHAnsi"/>
          <w:sz w:val="18"/>
          <w:szCs w:val="18"/>
        </w:rPr>
        <w:t xml:space="preserve"> street-based sex work,’ </w:t>
      </w:r>
      <w:r w:rsidRPr="0051033F">
        <w:rPr>
          <w:rFonts w:asciiTheme="majorHAnsi" w:eastAsia="Calibri" w:hAnsiTheme="majorHAnsi" w:cstheme="majorHAnsi"/>
          <w:i/>
          <w:sz w:val="18"/>
          <w:szCs w:val="18"/>
        </w:rPr>
        <w:t>Anti-Trafficking Review</w:t>
      </w:r>
      <w:r w:rsidRPr="0051033F">
        <w:rPr>
          <w:rFonts w:asciiTheme="majorHAnsi" w:eastAsia="Calibri" w:hAnsiTheme="majorHAnsi" w:cstheme="majorHAnsi"/>
          <w:sz w:val="18"/>
          <w:szCs w:val="18"/>
        </w:rPr>
        <w:t>,</w:t>
      </w:r>
      <w:r w:rsidRPr="0051033F">
        <w:rPr>
          <w:rFonts w:asciiTheme="majorHAnsi" w:eastAsia="Calibri" w:hAnsiTheme="majorHAnsi" w:cstheme="majorHAnsi"/>
          <w:i/>
          <w:sz w:val="18"/>
          <w:szCs w:val="18"/>
        </w:rPr>
        <w:t xml:space="preserve"> </w:t>
      </w:r>
      <w:r w:rsidRPr="0051033F">
        <w:rPr>
          <w:rFonts w:asciiTheme="majorHAnsi" w:eastAsia="Calibri" w:hAnsiTheme="majorHAnsi" w:cstheme="majorHAnsi"/>
          <w:sz w:val="18"/>
          <w:szCs w:val="18"/>
        </w:rPr>
        <w:t>issue 20, 2023</w:t>
      </w:r>
    </w:p>
  </w:endnote>
  <w:endnote w:id="27">
    <w:p w14:paraId="79DAFCB6" w14:textId="77777777" w:rsidR="0051033F" w:rsidRPr="0051033F" w:rsidRDefault="0051033F">
      <w:pPr>
        <w:spacing w:line="240" w:lineRule="auto"/>
        <w:rPr>
          <w:rFonts w:asciiTheme="majorHAnsi" w:hAnsiTheme="majorHAnsi" w:cstheme="majorHAnsi"/>
          <w:sz w:val="18"/>
          <w:szCs w:val="18"/>
          <w:vertAlign w:val="superscript"/>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vertAlign w:val="superscript"/>
        </w:rPr>
        <w:t xml:space="preserve"> </w:t>
      </w:r>
      <w:r w:rsidRPr="0051033F">
        <w:rPr>
          <w:rFonts w:asciiTheme="majorHAnsi" w:eastAsia="Calibri" w:hAnsiTheme="majorHAnsi" w:cstheme="majorHAnsi"/>
          <w:sz w:val="18"/>
          <w:szCs w:val="18"/>
        </w:rPr>
        <w:t xml:space="preserve"> C S </w:t>
      </w:r>
      <w:proofErr w:type="spellStart"/>
      <w:r w:rsidRPr="0051033F">
        <w:rPr>
          <w:rFonts w:asciiTheme="majorHAnsi" w:eastAsia="Calibri" w:hAnsiTheme="majorHAnsi" w:cstheme="majorHAnsi"/>
          <w:sz w:val="18"/>
          <w:szCs w:val="18"/>
        </w:rPr>
        <w:t>Shdaimah</w:t>
      </w:r>
      <w:proofErr w:type="spellEnd"/>
      <w:r w:rsidRPr="0051033F">
        <w:rPr>
          <w:rFonts w:asciiTheme="majorHAnsi" w:eastAsia="Calibri" w:hAnsiTheme="majorHAnsi" w:cstheme="majorHAnsi"/>
          <w:sz w:val="18"/>
          <w:szCs w:val="18"/>
        </w:rPr>
        <w:t xml:space="preserve">, N D Franke, T D Becker, C S Leon, ‘Of House and Home: The meanings of housing for women engaged in </w:t>
      </w:r>
      <w:proofErr w:type="spellStart"/>
      <w:r w:rsidRPr="0051033F">
        <w:rPr>
          <w:rFonts w:asciiTheme="majorHAnsi" w:eastAsia="Calibri" w:hAnsiTheme="majorHAnsi" w:cstheme="majorHAnsi"/>
          <w:sz w:val="18"/>
          <w:szCs w:val="18"/>
        </w:rPr>
        <w:t>criminalised</w:t>
      </w:r>
      <w:proofErr w:type="spellEnd"/>
      <w:r w:rsidRPr="0051033F">
        <w:rPr>
          <w:rFonts w:asciiTheme="majorHAnsi" w:eastAsia="Calibri" w:hAnsiTheme="majorHAnsi" w:cstheme="majorHAnsi"/>
          <w:sz w:val="18"/>
          <w:szCs w:val="18"/>
        </w:rPr>
        <w:t xml:space="preserve"> street-based sex work,’ </w:t>
      </w:r>
      <w:r w:rsidRPr="0051033F">
        <w:rPr>
          <w:rFonts w:asciiTheme="majorHAnsi" w:eastAsia="Calibri" w:hAnsiTheme="majorHAnsi" w:cstheme="majorHAnsi"/>
          <w:i/>
          <w:sz w:val="18"/>
          <w:szCs w:val="18"/>
        </w:rPr>
        <w:t>Anti-Trafficking Review</w:t>
      </w:r>
      <w:r w:rsidRPr="0051033F">
        <w:rPr>
          <w:rFonts w:asciiTheme="majorHAnsi" w:eastAsia="Calibri" w:hAnsiTheme="majorHAnsi" w:cstheme="majorHAnsi"/>
          <w:sz w:val="18"/>
          <w:szCs w:val="18"/>
        </w:rPr>
        <w:t>,</w:t>
      </w:r>
      <w:r w:rsidRPr="0051033F">
        <w:rPr>
          <w:rFonts w:asciiTheme="majorHAnsi" w:eastAsia="Calibri" w:hAnsiTheme="majorHAnsi" w:cstheme="majorHAnsi"/>
          <w:i/>
          <w:sz w:val="18"/>
          <w:szCs w:val="18"/>
        </w:rPr>
        <w:t xml:space="preserve"> </w:t>
      </w:r>
      <w:r w:rsidRPr="0051033F">
        <w:rPr>
          <w:rFonts w:asciiTheme="majorHAnsi" w:eastAsia="Calibri" w:hAnsiTheme="majorHAnsi" w:cstheme="majorHAnsi"/>
          <w:sz w:val="18"/>
          <w:szCs w:val="18"/>
        </w:rPr>
        <w:t>issue 20, 2023</w:t>
      </w:r>
    </w:p>
  </w:endnote>
  <w:endnote w:id="28">
    <w:p w14:paraId="611DD384"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 xml:space="preserve"> C S </w:t>
      </w:r>
      <w:proofErr w:type="spellStart"/>
      <w:r w:rsidRPr="0051033F">
        <w:rPr>
          <w:rFonts w:asciiTheme="majorHAnsi" w:eastAsia="Calibri" w:hAnsiTheme="majorHAnsi" w:cstheme="majorHAnsi"/>
          <w:sz w:val="18"/>
          <w:szCs w:val="18"/>
        </w:rPr>
        <w:t>Shdaimah</w:t>
      </w:r>
      <w:proofErr w:type="spellEnd"/>
      <w:r w:rsidRPr="0051033F">
        <w:rPr>
          <w:rFonts w:asciiTheme="majorHAnsi" w:eastAsia="Calibri" w:hAnsiTheme="majorHAnsi" w:cstheme="majorHAnsi"/>
          <w:sz w:val="18"/>
          <w:szCs w:val="18"/>
        </w:rPr>
        <w:t xml:space="preserve">, N D Franke, T D Becker, C S Leon, ‘Of House and Home: The meanings of housing for women engaged in </w:t>
      </w:r>
      <w:proofErr w:type="spellStart"/>
      <w:r w:rsidRPr="0051033F">
        <w:rPr>
          <w:rFonts w:asciiTheme="majorHAnsi" w:eastAsia="Calibri" w:hAnsiTheme="majorHAnsi" w:cstheme="majorHAnsi"/>
          <w:sz w:val="18"/>
          <w:szCs w:val="18"/>
        </w:rPr>
        <w:t>criminalised</w:t>
      </w:r>
      <w:proofErr w:type="spellEnd"/>
      <w:r w:rsidRPr="0051033F">
        <w:rPr>
          <w:rFonts w:asciiTheme="majorHAnsi" w:eastAsia="Calibri" w:hAnsiTheme="majorHAnsi" w:cstheme="majorHAnsi"/>
          <w:sz w:val="18"/>
          <w:szCs w:val="18"/>
        </w:rPr>
        <w:t xml:space="preserve"> street-based sex work,’ </w:t>
      </w:r>
      <w:r w:rsidRPr="0051033F">
        <w:rPr>
          <w:rFonts w:asciiTheme="majorHAnsi" w:eastAsia="Calibri" w:hAnsiTheme="majorHAnsi" w:cstheme="majorHAnsi"/>
          <w:i/>
          <w:sz w:val="18"/>
          <w:szCs w:val="18"/>
        </w:rPr>
        <w:t>Anti-Trafficking Review</w:t>
      </w:r>
      <w:r w:rsidRPr="0051033F">
        <w:rPr>
          <w:rFonts w:asciiTheme="majorHAnsi" w:eastAsia="Calibri" w:hAnsiTheme="majorHAnsi" w:cstheme="majorHAnsi"/>
          <w:sz w:val="18"/>
          <w:szCs w:val="18"/>
        </w:rPr>
        <w:t>,</w:t>
      </w:r>
      <w:r w:rsidRPr="0051033F">
        <w:rPr>
          <w:rFonts w:asciiTheme="majorHAnsi" w:eastAsia="Calibri" w:hAnsiTheme="majorHAnsi" w:cstheme="majorHAnsi"/>
          <w:i/>
          <w:sz w:val="18"/>
          <w:szCs w:val="18"/>
        </w:rPr>
        <w:t xml:space="preserve"> </w:t>
      </w:r>
      <w:r w:rsidRPr="0051033F">
        <w:rPr>
          <w:rFonts w:asciiTheme="majorHAnsi" w:eastAsia="Calibri" w:hAnsiTheme="majorHAnsi" w:cstheme="majorHAnsi"/>
          <w:sz w:val="18"/>
          <w:szCs w:val="18"/>
        </w:rPr>
        <w:t>issue 20, 2023</w:t>
      </w:r>
    </w:p>
  </w:endnote>
  <w:endnote w:id="29">
    <w:p w14:paraId="50486377"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 xml:space="preserve"> B Fraser, E Chisholm, and N Pierse, ‘</w:t>
      </w:r>
      <w:proofErr w:type="spellStart"/>
      <w:r w:rsidRPr="0051033F">
        <w:rPr>
          <w:rFonts w:asciiTheme="majorHAnsi" w:eastAsia="Calibri" w:hAnsiTheme="majorHAnsi" w:cstheme="majorHAnsi"/>
          <w:sz w:val="18"/>
          <w:szCs w:val="18"/>
        </w:rPr>
        <w:t>Takatapui</w:t>
      </w:r>
      <w:proofErr w:type="spellEnd"/>
      <w:r w:rsidRPr="0051033F">
        <w:rPr>
          <w:rFonts w:asciiTheme="majorHAnsi" w:eastAsia="Calibri" w:hAnsiTheme="majorHAnsi" w:cstheme="majorHAnsi"/>
          <w:sz w:val="18"/>
          <w:szCs w:val="18"/>
        </w:rPr>
        <w:t xml:space="preserve">/LGBTIQ+ people’s experiences of homelessness and sex work in Aotearoa New Zealand,’ </w:t>
      </w:r>
      <w:r w:rsidRPr="0051033F">
        <w:rPr>
          <w:rFonts w:asciiTheme="majorHAnsi" w:eastAsia="Calibri" w:hAnsiTheme="majorHAnsi" w:cstheme="majorHAnsi"/>
          <w:i/>
          <w:sz w:val="18"/>
          <w:szCs w:val="18"/>
        </w:rPr>
        <w:t>Anti-Trafficking Review</w:t>
      </w:r>
      <w:r w:rsidRPr="0051033F">
        <w:rPr>
          <w:rFonts w:asciiTheme="majorHAnsi" w:eastAsia="Calibri" w:hAnsiTheme="majorHAnsi" w:cstheme="majorHAnsi"/>
          <w:sz w:val="18"/>
          <w:szCs w:val="18"/>
        </w:rPr>
        <w:t>,</w:t>
      </w:r>
      <w:r w:rsidRPr="0051033F">
        <w:rPr>
          <w:rFonts w:asciiTheme="majorHAnsi" w:eastAsia="Calibri" w:hAnsiTheme="majorHAnsi" w:cstheme="majorHAnsi"/>
          <w:i/>
          <w:sz w:val="18"/>
          <w:szCs w:val="18"/>
        </w:rPr>
        <w:t xml:space="preserve"> </w:t>
      </w:r>
      <w:r w:rsidRPr="0051033F">
        <w:rPr>
          <w:rFonts w:asciiTheme="majorHAnsi" w:eastAsia="Calibri" w:hAnsiTheme="majorHAnsi" w:cstheme="majorHAnsi"/>
          <w:sz w:val="18"/>
          <w:szCs w:val="18"/>
        </w:rPr>
        <w:t>issue 20, 2023</w:t>
      </w:r>
    </w:p>
  </w:endnote>
  <w:endnote w:id="30">
    <w:p w14:paraId="041CB762"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 xml:space="preserve">European Monitoring Centre for Drugs and Drug Addiction. </w:t>
      </w:r>
      <w:r w:rsidRPr="0051033F">
        <w:rPr>
          <w:rFonts w:asciiTheme="majorHAnsi" w:eastAsia="Calibri" w:hAnsiTheme="majorHAnsi" w:cstheme="majorHAnsi"/>
          <w:i/>
          <w:sz w:val="18"/>
          <w:szCs w:val="18"/>
        </w:rPr>
        <w:t>Homelessness and drugs: health and social responses.</w:t>
      </w:r>
      <w:r w:rsidRPr="0051033F">
        <w:rPr>
          <w:rFonts w:asciiTheme="majorHAnsi" w:eastAsia="Calibri" w:hAnsiTheme="majorHAnsi" w:cstheme="majorHAnsi"/>
          <w:sz w:val="18"/>
          <w:szCs w:val="18"/>
        </w:rPr>
        <w:t xml:space="preserve"> Lisbon: European Monitoring Centre for Drugs and Drug Addiction. DOI: 10.2810/841350. 2022 </w:t>
      </w:r>
    </w:p>
  </w:endnote>
  <w:endnote w:id="31">
    <w:p w14:paraId="5CB3D456"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 xml:space="preserve">WHRIN. </w:t>
      </w:r>
      <w:r w:rsidRPr="0051033F">
        <w:rPr>
          <w:rFonts w:asciiTheme="majorHAnsi" w:eastAsia="Calibri" w:hAnsiTheme="majorHAnsi" w:cstheme="majorHAnsi"/>
          <w:i/>
          <w:sz w:val="18"/>
          <w:szCs w:val="18"/>
        </w:rPr>
        <w:t>Intersectionality and women who use drugs</w:t>
      </w:r>
      <w:r w:rsidRPr="0051033F">
        <w:rPr>
          <w:rFonts w:asciiTheme="majorHAnsi" w:eastAsia="Calibri" w:hAnsiTheme="majorHAnsi" w:cstheme="majorHAnsi"/>
          <w:sz w:val="18"/>
          <w:szCs w:val="18"/>
        </w:rPr>
        <w:t>. 2021. https://drive.google.com/file/d/1e_v26GzKUf5GmRXpF9oG6st9WNEJ3Eb4/view</w:t>
      </w:r>
    </w:p>
  </w:endnote>
  <w:endnote w:id="32">
    <w:p w14:paraId="79E5C7BF"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proofErr w:type="spellStart"/>
      <w:r w:rsidRPr="0051033F">
        <w:rPr>
          <w:rFonts w:asciiTheme="majorHAnsi" w:eastAsia="Calibri" w:hAnsiTheme="majorHAnsi" w:cstheme="majorHAnsi"/>
          <w:sz w:val="18"/>
          <w:szCs w:val="18"/>
          <w:shd w:val="clear" w:color="auto" w:fill="FCFCFC"/>
        </w:rPr>
        <w:t>Stoicescu</w:t>
      </w:r>
      <w:proofErr w:type="spellEnd"/>
      <w:r w:rsidRPr="0051033F">
        <w:rPr>
          <w:rFonts w:asciiTheme="majorHAnsi" w:eastAsia="Calibri" w:hAnsiTheme="majorHAnsi" w:cstheme="majorHAnsi"/>
          <w:sz w:val="18"/>
          <w:szCs w:val="18"/>
          <w:shd w:val="clear" w:color="auto" w:fill="FCFCFC"/>
        </w:rPr>
        <w:t xml:space="preserve">, C., </w:t>
      </w:r>
      <w:proofErr w:type="spellStart"/>
      <w:r w:rsidRPr="0051033F">
        <w:rPr>
          <w:rFonts w:asciiTheme="majorHAnsi" w:eastAsia="Calibri" w:hAnsiTheme="majorHAnsi" w:cstheme="majorHAnsi"/>
          <w:sz w:val="18"/>
          <w:szCs w:val="18"/>
          <w:shd w:val="clear" w:color="auto" w:fill="FCFCFC"/>
        </w:rPr>
        <w:t>Cluver</w:t>
      </w:r>
      <w:proofErr w:type="spellEnd"/>
      <w:r w:rsidRPr="0051033F">
        <w:rPr>
          <w:rFonts w:asciiTheme="majorHAnsi" w:eastAsia="Calibri" w:hAnsiTheme="majorHAnsi" w:cstheme="majorHAnsi"/>
          <w:sz w:val="18"/>
          <w:szCs w:val="18"/>
          <w:shd w:val="clear" w:color="auto" w:fill="FCFCFC"/>
        </w:rPr>
        <w:t xml:space="preserve">, L.D., </w:t>
      </w:r>
      <w:proofErr w:type="spellStart"/>
      <w:r w:rsidRPr="0051033F">
        <w:rPr>
          <w:rFonts w:asciiTheme="majorHAnsi" w:eastAsia="Calibri" w:hAnsiTheme="majorHAnsi" w:cstheme="majorHAnsi"/>
          <w:sz w:val="18"/>
          <w:szCs w:val="18"/>
          <w:shd w:val="clear" w:color="auto" w:fill="FCFCFC"/>
        </w:rPr>
        <w:t>Spreckelsen</w:t>
      </w:r>
      <w:proofErr w:type="spellEnd"/>
      <w:r w:rsidRPr="0051033F">
        <w:rPr>
          <w:rFonts w:asciiTheme="majorHAnsi" w:eastAsia="Calibri" w:hAnsiTheme="majorHAnsi" w:cstheme="majorHAnsi"/>
          <w:sz w:val="18"/>
          <w:szCs w:val="18"/>
          <w:shd w:val="clear" w:color="auto" w:fill="FCFCFC"/>
        </w:rPr>
        <w:t>, T.</w:t>
      </w:r>
      <w:r w:rsidRPr="0051033F">
        <w:rPr>
          <w:rFonts w:asciiTheme="majorHAnsi" w:eastAsia="Calibri" w:hAnsiTheme="majorHAnsi" w:cstheme="majorHAnsi"/>
          <w:sz w:val="18"/>
          <w:szCs w:val="18"/>
        </w:rPr>
        <w:t xml:space="preserve">et al. </w:t>
      </w:r>
      <w:r w:rsidRPr="0051033F">
        <w:rPr>
          <w:rFonts w:asciiTheme="majorHAnsi" w:eastAsia="Calibri" w:hAnsiTheme="majorHAnsi" w:cstheme="majorHAnsi"/>
          <w:i/>
          <w:sz w:val="18"/>
          <w:szCs w:val="18"/>
          <w:shd w:val="clear" w:color="auto" w:fill="FCFCFC"/>
        </w:rPr>
        <w:t xml:space="preserve">Intimate Partner Violence and HIV Sexual Risk </w:t>
      </w:r>
      <w:proofErr w:type="spellStart"/>
      <w:r w:rsidRPr="0051033F">
        <w:rPr>
          <w:rFonts w:asciiTheme="majorHAnsi" w:eastAsia="Calibri" w:hAnsiTheme="majorHAnsi" w:cstheme="majorHAnsi"/>
          <w:i/>
          <w:sz w:val="18"/>
          <w:szCs w:val="18"/>
          <w:shd w:val="clear" w:color="auto" w:fill="FCFCFC"/>
        </w:rPr>
        <w:t>Behaviour</w:t>
      </w:r>
      <w:proofErr w:type="spellEnd"/>
      <w:r w:rsidRPr="0051033F">
        <w:rPr>
          <w:rFonts w:asciiTheme="majorHAnsi" w:eastAsia="Calibri" w:hAnsiTheme="majorHAnsi" w:cstheme="majorHAnsi"/>
          <w:i/>
          <w:sz w:val="18"/>
          <w:szCs w:val="18"/>
          <w:shd w:val="clear" w:color="auto" w:fill="FCFCFC"/>
        </w:rPr>
        <w:t xml:space="preserve"> Among Women Who Inject Drugs in Indonesia: A Respondent-Driven Sampling Study</w:t>
      </w:r>
      <w:r w:rsidRPr="0051033F">
        <w:rPr>
          <w:rFonts w:asciiTheme="majorHAnsi" w:eastAsia="Calibri" w:hAnsiTheme="majorHAnsi" w:cstheme="majorHAnsi"/>
          <w:sz w:val="18"/>
          <w:szCs w:val="18"/>
          <w:shd w:val="clear" w:color="auto" w:fill="FCFCFC"/>
        </w:rPr>
        <w:t xml:space="preserve">. </w:t>
      </w:r>
      <w:r w:rsidRPr="0051033F">
        <w:rPr>
          <w:rFonts w:asciiTheme="majorHAnsi" w:eastAsia="Calibri" w:hAnsiTheme="majorHAnsi" w:cstheme="majorHAnsi"/>
          <w:sz w:val="18"/>
          <w:szCs w:val="18"/>
        </w:rPr>
        <w:t xml:space="preserve">AIDS </w:t>
      </w:r>
      <w:proofErr w:type="spellStart"/>
      <w:r w:rsidRPr="0051033F">
        <w:rPr>
          <w:rFonts w:asciiTheme="majorHAnsi" w:eastAsia="Calibri" w:hAnsiTheme="majorHAnsi" w:cstheme="majorHAnsi"/>
          <w:sz w:val="18"/>
          <w:szCs w:val="18"/>
        </w:rPr>
        <w:t>Behav</w:t>
      </w:r>
      <w:proofErr w:type="spellEnd"/>
      <w:r w:rsidRPr="0051033F">
        <w:rPr>
          <w:rFonts w:asciiTheme="majorHAnsi" w:eastAsia="Calibri" w:hAnsiTheme="majorHAnsi" w:cstheme="majorHAnsi"/>
          <w:sz w:val="18"/>
          <w:szCs w:val="18"/>
          <w:shd w:val="clear" w:color="auto" w:fill="FCFCFC"/>
        </w:rPr>
        <w:t xml:space="preserve"> </w:t>
      </w:r>
      <w:r w:rsidRPr="0051033F">
        <w:rPr>
          <w:rFonts w:asciiTheme="majorHAnsi" w:eastAsia="Calibri" w:hAnsiTheme="majorHAnsi" w:cstheme="majorHAnsi"/>
          <w:sz w:val="18"/>
          <w:szCs w:val="18"/>
        </w:rPr>
        <w:t xml:space="preserve">22, </w:t>
      </w:r>
      <w:r w:rsidRPr="0051033F">
        <w:rPr>
          <w:rFonts w:asciiTheme="majorHAnsi" w:eastAsia="Calibri" w:hAnsiTheme="majorHAnsi" w:cstheme="majorHAnsi"/>
          <w:sz w:val="18"/>
          <w:szCs w:val="18"/>
          <w:shd w:val="clear" w:color="auto" w:fill="FCFCFC"/>
        </w:rPr>
        <w:t>3307–3323. 2018.</w:t>
      </w:r>
    </w:p>
  </w:endnote>
  <w:endnote w:id="33">
    <w:p w14:paraId="7F2CE8CA"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UNODC.</w:t>
      </w:r>
      <w:hyperlink r:id="rId29">
        <w:r w:rsidRPr="0051033F">
          <w:rPr>
            <w:rFonts w:asciiTheme="majorHAnsi" w:eastAsia="Calibri" w:hAnsiTheme="majorHAnsi" w:cstheme="majorHAnsi"/>
            <w:i/>
            <w:sz w:val="18"/>
            <w:szCs w:val="18"/>
          </w:rPr>
          <w:t xml:space="preserve"> </w:t>
        </w:r>
      </w:hyperlink>
      <w:hyperlink r:id="rId30">
        <w:r w:rsidRPr="0051033F">
          <w:rPr>
            <w:rFonts w:asciiTheme="majorHAnsi" w:eastAsia="Calibri" w:hAnsiTheme="majorHAnsi" w:cstheme="majorHAnsi"/>
            <w:i/>
            <w:color w:val="0000FF"/>
            <w:sz w:val="18"/>
            <w:szCs w:val="18"/>
            <w:u w:val="single"/>
          </w:rPr>
          <w:t>Global study on homicide: Gender-related killing of women and girls.</w:t>
        </w:r>
      </w:hyperlink>
      <w:r w:rsidRPr="0051033F">
        <w:rPr>
          <w:rFonts w:asciiTheme="majorHAnsi" w:eastAsia="Calibri" w:hAnsiTheme="majorHAnsi" w:cstheme="majorHAnsi"/>
          <w:sz w:val="18"/>
          <w:szCs w:val="18"/>
        </w:rPr>
        <w:t xml:space="preserve"> 2018.</w:t>
      </w:r>
    </w:p>
  </w:endnote>
  <w:endnote w:id="34">
    <w:p w14:paraId="78EB77B4"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proofErr w:type="spellStart"/>
      <w:r w:rsidRPr="0051033F">
        <w:rPr>
          <w:rFonts w:asciiTheme="majorHAnsi" w:eastAsia="Calibri" w:hAnsiTheme="majorHAnsi" w:cstheme="majorHAnsi"/>
          <w:color w:val="111111"/>
          <w:sz w:val="18"/>
          <w:szCs w:val="18"/>
        </w:rPr>
        <w:t>Olowookere</w:t>
      </w:r>
      <w:proofErr w:type="spellEnd"/>
      <w:r w:rsidRPr="0051033F">
        <w:rPr>
          <w:rFonts w:asciiTheme="majorHAnsi" w:eastAsia="Calibri" w:hAnsiTheme="majorHAnsi" w:cstheme="majorHAnsi"/>
          <w:color w:val="111111"/>
          <w:sz w:val="18"/>
          <w:szCs w:val="18"/>
        </w:rPr>
        <w:t xml:space="preserve"> SA, </w:t>
      </w:r>
      <w:proofErr w:type="spellStart"/>
      <w:r w:rsidRPr="0051033F">
        <w:rPr>
          <w:rFonts w:asciiTheme="majorHAnsi" w:eastAsia="Calibri" w:hAnsiTheme="majorHAnsi" w:cstheme="majorHAnsi"/>
          <w:color w:val="111111"/>
          <w:sz w:val="18"/>
          <w:szCs w:val="18"/>
        </w:rPr>
        <w:t>Fawole</w:t>
      </w:r>
      <w:proofErr w:type="spellEnd"/>
      <w:r w:rsidRPr="0051033F">
        <w:rPr>
          <w:rFonts w:asciiTheme="majorHAnsi" w:eastAsia="Calibri" w:hAnsiTheme="majorHAnsi" w:cstheme="majorHAnsi"/>
          <w:color w:val="111111"/>
          <w:sz w:val="18"/>
          <w:szCs w:val="18"/>
        </w:rPr>
        <w:t xml:space="preserve"> OI, </w:t>
      </w:r>
      <w:proofErr w:type="spellStart"/>
      <w:r w:rsidRPr="0051033F">
        <w:rPr>
          <w:rFonts w:asciiTheme="majorHAnsi" w:eastAsia="Calibri" w:hAnsiTheme="majorHAnsi" w:cstheme="majorHAnsi"/>
          <w:color w:val="111111"/>
          <w:sz w:val="18"/>
          <w:szCs w:val="18"/>
        </w:rPr>
        <w:t>Adekanle</w:t>
      </w:r>
      <w:proofErr w:type="spellEnd"/>
      <w:r w:rsidRPr="0051033F">
        <w:rPr>
          <w:rFonts w:asciiTheme="majorHAnsi" w:eastAsia="Calibri" w:hAnsiTheme="majorHAnsi" w:cstheme="majorHAnsi"/>
          <w:color w:val="111111"/>
          <w:sz w:val="18"/>
          <w:szCs w:val="18"/>
        </w:rPr>
        <w:t xml:space="preserve"> DA, Adeleke NA, </w:t>
      </w:r>
      <w:proofErr w:type="spellStart"/>
      <w:r w:rsidRPr="0051033F">
        <w:rPr>
          <w:rFonts w:asciiTheme="majorHAnsi" w:eastAsia="Calibri" w:hAnsiTheme="majorHAnsi" w:cstheme="majorHAnsi"/>
          <w:color w:val="111111"/>
          <w:sz w:val="18"/>
          <w:szCs w:val="18"/>
        </w:rPr>
        <w:t>Abioye-Kuteyi</w:t>
      </w:r>
      <w:proofErr w:type="spellEnd"/>
      <w:r w:rsidRPr="0051033F">
        <w:rPr>
          <w:rFonts w:asciiTheme="majorHAnsi" w:eastAsia="Calibri" w:hAnsiTheme="majorHAnsi" w:cstheme="majorHAnsi"/>
          <w:color w:val="111111"/>
          <w:sz w:val="18"/>
          <w:szCs w:val="18"/>
        </w:rPr>
        <w:t xml:space="preserve"> EA. </w:t>
      </w:r>
      <w:r w:rsidRPr="0051033F">
        <w:rPr>
          <w:rFonts w:asciiTheme="majorHAnsi" w:eastAsia="Calibri" w:hAnsiTheme="majorHAnsi" w:cstheme="majorHAnsi"/>
          <w:i/>
          <w:color w:val="111111"/>
          <w:sz w:val="18"/>
          <w:szCs w:val="18"/>
        </w:rPr>
        <w:t>Patterns and correlates of intimate partner violence to women living with HIV/AIDS in Osogbo, Southwest Nigeria. Violence Against Women</w:t>
      </w:r>
      <w:r w:rsidRPr="0051033F">
        <w:rPr>
          <w:rFonts w:asciiTheme="majorHAnsi" w:eastAsia="Calibri" w:hAnsiTheme="majorHAnsi" w:cstheme="majorHAnsi"/>
          <w:color w:val="111111"/>
          <w:sz w:val="18"/>
          <w:szCs w:val="18"/>
        </w:rPr>
        <w:t>. 2015;21(11):1330–40.</w:t>
      </w:r>
    </w:p>
  </w:endnote>
  <w:endnote w:id="35">
    <w:p w14:paraId="7C5C2B00"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color w:val="212121"/>
          <w:sz w:val="18"/>
          <w:szCs w:val="18"/>
          <w:highlight w:val="white"/>
        </w:rPr>
        <w:t xml:space="preserve">Bennett L, Bland P. </w:t>
      </w:r>
      <w:r w:rsidRPr="0051033F">
        <w:rPr>
          <w:rFonts w:asciiTheme="majorHAnsi" w:eastAsia="Calibri" w:hAnsiTheme="majorHAnsi" w:cstheme="majorHAnsi"/>
          <w:i/>
          <w:color w:val="212121"/>
          <w:sz w:val="18"/>
          <w:szCs w:val="18"/>
          <w:highlight w:val="white"/>
        </w:rPr>
        <w:t xml:space="preserve">Substance </w:t>
      </w:r>
      <w:proofErr w:type="gramStart"/>
      <w:r w:rsidRPr="0051033F">
        <w:rPr>
          <w:rFonts w:asciiTheme="majorHAnsi" w:eastAsia="Calibri" w:hAnsiTheme="majorHAnsi" w:cstheme="majorHAnsi"/>
          <w:i/>
          <w:color w:val="212121"/>
          <w:sz w:val="18"/>
          <w:szCs w:val="18"/>
          <w:highlight w:val="white"/>
        </w:rPr>
        <w:t>Abuse</w:t>
      </w:r>
      <w:proofErr w:type="gramEnd"/>
      <w:r w:rsidRPr="0051033F">
        <w:rPr>
          <w:rFonts w:asciiTheme="majorHAnsi" w:eastAsia="Calibri" w:hAnsiTheme="majorHAnsi" w:cstheme="majorHAnsi"/>
          <w:i/>
          <w:color w:val="212121"/>
          <w:sz w:val="18"/>
          <w:szCs w:val="18"/>
          <w:highlight w:val="white"/>
        </w:rPr>
        <w:t xml:space="preserve"> and Intimate Partner Violence.</w:t>
      </w:r>
      <w:r w:rsidRPr="0051033F">
        <w:rPr>
          <w:rFonts w:asciiTheme="majorHAnsi" w:eastAsia="Calibri" w:hAnsiTheme="majorHAnsi" w:cstheme="majorHAnsi"/>
          <w:color w:val="212121"/>
          <w:sz w:val="18"/>
          <w:szCs w:val="18"/>
          <w:highlight w:val="white"/>
        </w:rPr>
        <w:t xml:space="preserve"> </w:t>
      </w:r>
      <w:proofErr w:type="spellStart"/>
      <w:r w:rsidRPr="0051033F">
        <w:rPr>
          <w:rFonts w:asciiTheme="majorHAnsi" w:eastAsia="Calibri" w:hAnsiTheme="majorHAnsi" w:cstheme="majorHAnsi"/>
          <w:color w:val="212121"/>
          <w:sz w:val="18"/>
          <w:szCs w:val="18"/>
          <w:highlight w:val="white"/>
        </w:rPr>
        <w:t>VAWnet</w:t>
      </w:r>
      <w:proofErr w:type="spellEnd"/>
      <w:r w:rsidRPr="0051033F">
        <w:rPr>
          <w:rFonts w:asciiTheme="majorHAnsi" w:eastAsia="Calibri" w:hAnsiTheme="majorHAnsi" w:cstheme="majorHAnsi"/>
          <w:color w:val="212121"/>
          <w:sz w:val="18"/>
          <w:szCs w:val="18"/>
          <w:highlight w:val="white"/>
        </w:rPr>
        <w:t>. 2008</w:t>
      </w:r>
    </w:p>
  </w:endnote>
  <w:endnote w:id="36">
    <w:p w14:paraId="76EA8D84"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proofErr w:type="spellStart"/>
      <w:r w:rsidRPr="0051033F">
        <w:rPr>
          <w:rFonts w:asciiTheme="majorHAnsi" w:eastAsia="Calibri" w:hAnsiTheme="majorHAnsi" w:cstheme="majorHAnsi"/>
          <w:sz w:val="18"/>
          <w:szCs w:val="18"/>
        </w:rPr>
        <w:t>Metsch</w:t>
      </w:r>
      <w:proofErr w:type="spellEnd"/>
      <w:r w:rsidRPr="0051033F">
        <w:rPr>
          <w:rFonts w:asciiTheme="majorHAnsi" w:eastAsia="Calibri" w:hAnsiTheme="majorHAnsi" w:cstheme="majorHAnsi"/>
          <w:sz w:val="18"/>
          <w:szCs w:val="18"/>
        </w:rPr>
        <w:t xml:space="preserve"> L, Philbin M, Parish C, </w:t>
      </w:r>
      <w:proofErr w:type="spellStart"/>
      <w:r w:rsidRPr="0051033F">
        <w:rPr>
          <w:rFonts w:asciiTheme="majorHAnsi" w:eastAsia="Calibri" w:hAnsiTheme="majorHAnsi" w:cstheme="majorHAnsi"/>
          <w:sz w:val="18"/>
          <w:szCs w:val="18"/>
        </w:rPr>
        <w:t>Shiu</w:t>
      </w:r>
      <w:proofErr w:type="spellEnd"/>
      <w:r w:rsidRPr="0051033F">
        <w:rPr>
          <w:rFonts w:asciiTheme="majorHAnsi" w:eastAsia="Calibri" w:hAnsiTheme="majorHAnsi" w:cstheme="majorHAnsi"/>
          <w:sz w:val="18"/>
          <w:szCs w:val="18"/>
        </w:rPr>
        <w:t xml:space="preserve"> K, Frimpong JA. </w:t>
      </w:r>
      <w:r w:rsidRPr="0051033F">
        <w:rPr>
          <w:rFonts w:asciiTheme="majorHAnsi" w:eastAsia="Calibri" w:hAnsiTheme="majorHAnsi" w:cstheme="majorHAnsi"/>
          <w:i/>
          <w:sz w:val="18"/>
          <w:szCs w:val="18"/>
        </w:rPr>
        <w:t>HIV testing, care, and treatment among women who use drugs from a global perspective: progress and challenges</w:t>
      </w:r>
      <w:r w:rsidRPr="0051033F">
        <w:rPr>
          <w:rFonts w:asciiTheme="majorHAnsi" w:eastAsia="Calibri" w:hAnsiTheme="majorHAnsi" w:cstheme="majorHAnsi"/>
          <w:sz w:val="18"/>
          <w:szCs w:val="18"/>
        </w:rPr>
        <w:t>. Journal of acquired immune deficiency syndromes. 2015.</w:t>
      </w:r>
    </w:p>
  </w:endnote>
  <w:endnote w:id="37">
    <w:p w14:paraId="1F43FE29"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El-</w:t>
      </w:r>
      <w:proofErr w:type="spellStart"/>
      <w:r w:rsidRPr="0051033F">
        <w:rPr>
          <w:rFonts w:asciiTheme="majorHAnsi" w:eastAsia="Calibri" w:hAnsiTheme="majorHAnsi" w:cstheme="majorHAnsi"/>
          <w:sz w:val="18"/>
          <w:szCs w:val="18"/>
        </w:rPr>
        <w:t>Bassel</w:t>
      </w:r>
      <w:proofErr w:type="spellEnd"/>
      <w:r w:rsidRPr="0051033F">
        <w:rPr>
          <w:rFonts w:asciiTheme="majorHAnsi" w:eastAsia="Calibri" w:hAnsiTheme="majorHAnsi" w:cstheme="majorHAnsi"/>
          <w:sz w:val="18"/>
          <w:szCs w:val="18"/>
        </w:rPr>
        <w:t xml:space="preserve"> N, </w:t>
      </w:r>
      <w:proofErr w:type="spellStart"/>
      <w:r w:rsidRPr="0051033F">
        <w:rPr>
          <w:rFonts w:asciiTheme="majorHAnsi" w:eastAsia="Calibri" w:hAnsiTheme="majorHAnsi" w:cstheme="majorHAnsi"/>
          <w:sz w:val="18"/>
          <w:szCs w:val="18"/>
        </w:rPr>
        <w:t>Strathdee</w:t>
      </w:r>
      <w:proofErr w:type="spellEnd"/>
      <w:r w:rsidRPr="0051033F">
        <w:rPr>
          <w:rFonts w:asciiTheme="majorHAnsi" w:eastAsia="Calibri" w:hAnsiTheme="majorHAnsi" w:cstheme="majorHAnsi"/>
          <w:sz w:val="18"/>
          <w:szCs w:val="18"/>
        </w:rPr>
        <w:t xml:space="preserve"> SA. (2015). Women who use or inject drugs: an action agenda for women-specific, multilevel and combination HIV prevention and research. </w:t>
      </w:r>
      <w:r w:rsidRPr="0051033F">
        <w:rPr>
          <w:rFonts w:asciiTheme="majorHAnsi" w:eastAsia="Calibri" w:hAnsiTheme="majorHAnsi" w:cstheme="majorHAnsi"/>
          <w:i/>
          <w:sz w:val="18"/>
          <w:szCs w:val="18"/>
        </w:rPr>
        <w:t>Journal of acquired immune deficiency syndromes. 2015</w:t>
      </w:r>
    </w:p>
  </w:endnote>
  <w:endnote w:id="38">
    <w:p w14:paraId="0E7A3274"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 xml:space="preserve">Roth AM, Tran NK, </w:t>
      </w:r>
      <w:proofErr w:type="spellStart"/>
      <w:r w:rsidRPr="0051033F">
        <w:rPr>
          <w:rFonts w:asciiTheme="majorHAnsi" w:eastAsia="Calibri" w:hAnsiTheme="majorHAnsi" w:cstheme="majorHAnsi"/>
          <w:sz w:val="18"/>
          <w:szCs w:val="18"/>
        </w:rPr>
        <w:t>Felsher</w:t>
      </w:r>
      <w:proofErr w:type="spellEnd"/>
      <w:r w:rsidRPr="0051033F">
        <w:rPr>
          <w:rFonts w:asciiTheme="majorHAnsi" w:eastAsia="Calibri" w:hAnsiTheme="majorHAnsi" w:cstheme="majorHAnsi"/>
          <w:sz w:val="18"/>
          <w:szCs w:val="18"/>
        </w:rPr>
        <w:t xml:space="preserve"> MA, </w:t>
      </w:r>
      <w:proofErr w:type="spellStart"/>
      <w:r w:rsidRPr="0051033F">
        <w:rPr>
          <w:rFonts w:asciiTheme="majorHAnsi" w:eastAsia="Calibri" w:hAnsiTheme="majorHAnsi" w:cstheme="majorHAnsi"/>
          <w:sz w:val="18"/>
          <w:szCs w:val="18"/>
        </w:rPr>
        <w:t>Gadegbeku</w:t>
      </w:r>
      <w:proofErr w:type="spellEnd"/>
      <w:r w:rsidRPr="0051033F">
        <w:rPr>
          <w:rFonts w:asciiTheme="majorHAnsi" w:eastAsia="Calibri" w:hAnsiTheme="majorHAnsi" w:cstheme="majorHAnsi"/>
          <w:sz w:val="18"/>
          <w:szCs w:val="18"/>
        </w:rPr>
        <w:t xml:space="preserve"> AB, </w:t>
      </w:r>
      <w:proofErr w:type="spellStart"/>
      <w:r w:rsidRPr="0051033F">
        <w:rPr>
          <w:rFonts w:asciiTheme="majorHAnsi" w:eastAsia="Calibri" w:hAnsiTheme="majorHAnsi" w:cstheme="majorHAnsi"/>
          <w:sz w:val="18"/>
          <w:szCs w:val="18"/>
        </w:rPr>
        <w:t>Piecara</w:t>
      </w:r>
      <w:proofErr w:type="spellEnd"/>
      <w:r w:rsidRPr="0051033F">
        <w:rPr>
          <w:rFonts w:asciiTheme="majorHAnsi" w:eastAsia="Calibri" w:hAnsiTheme="majorHAnsi" w:cstheme="majorHAnsi"/>
          <w:sz w:val="18"/>
          <w:szCs w:val="18"/>
        </w:rPr>
        <w:t xml:space="preserve"> B, Fox R, Van Der Pol B. </w:t>
      </w:r>
      <w:r w:rsidRPr="0051033F">
        <w:rPr>
          <w:rFonts w:asciiTheme="majorHAnsi" w:eastAsia="Calibri" w:hAnsiTheme="majorHAnsi" w:cstheme="majorHAnsi"/>
          <w:i/>
          <w:sz w:val="18"/>
          <w:szCs w:val="18"/>
        </w:rPr>
        <w:t>Integrating HIV pre-exposure prophylaxis with community-based syringe services for women who inject drugs: Results from the Project SHE demonstration study.</w:t>
      </w:r>
      <w:r w:rsidRPr="0051033F">
        <w:rPr>
          <w:rFonts w:asciiTheme="majorHAnsi" w:eastAsia="Calibri" w:hAnsiTheme="majorHAnsi" w:cstheme="majorHAnsi"/>
          <w:sz w:val="18"/>
          <w:szCs w:val="18"/>
        </w:rPr>
        <w:t xml:space="preserve"> Journal of acquired immune deficiency syndromes. 2021</w:t>
      </w:r>
    </w:p>
  </w:endnote>
  <w:endnote w:id="39">
    <w:p w14:paraId="00EE5187"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proofErr w:type="spellStart"/>
      <w:r w:rsidRPr="0051033F">
        <w:rPr>
          <w:rFonts w:asciiTheme="majorHAnsi" w:eastAsia="Calibri" w:hAnsiTheme="majorHAnsi" w:cstheme="majorHAnsi"/>
          <w:sz w:val="18"/>
          <w:szCs w:val="18"/>
        </w:rPr>
        <w:t>Dunkle</w:t>
      </w:r>
      <w:proofErr w:type="spellEnd"/>
      <w:r w:rsidRPr="0051033F">
        <w:rPr>
          <w:rFonts w:asciiTheme="majorHAnsi" w:eastAsia="Calibri" w:hAnsiTheme="majorHAnsi" w:cstheme="majorHAnsi"/>
          <w:sz w:val="18"/>
          <w:szCs w:val="18"/>
        </w:rPr>
        <w:t xml:space="preserve"> KL, Decker MR. </w:t>
      </w:r>
      <w:r w:rsidRPr="0051033F">
        <w:rPr>
          <w:rFonts w:asciiTheme="majorHAnsi" w:eastAsia="Calibri" w:hAnsiTheme="majorHAnsi" w:cstheme="majorHAnsi"/>
          <w:i/>
          <w:sz w:val="18"/>
          <w:szCs w:val="18"/>
        </w:rPr>
        <w:t xml:space="preserve">Gender-based violence and HIV: reviewing </w:t>
      </w:r>
      <w:proofErr w:type="gramStart"/>
      <w:r w:rsidRPr="0051033F">
        <w:rPr>
          <w:rFonts w:asciiTheme="majorHAnsi" w:eastAsia="Calibri" w:hAnsiTheme="majorHAnsi" w:cstheme="majorHAnsi"/>
          <w:i/>
          <w:sz w:val="18"/>
          <w:szCs w:val="18"/>
        </w:rPr>
        <w:t>the  evidence</w:t>
      </w:r>
      <w:proofErr w:type="gramEnd"/>
      <w:r w:rsidRPr="0051033F">
        <w:rPr>
          <w:rFonts w:asciiTheme="majorHAnsi" w:eastAsia="Calibri" w:hAnsiTheme="majorHAnsi" w:cstheme="majorHAnsi"/>
          <w:i/>
          <w:sz w:val="18"/>
          <w:szCs w:val="18"/>
        </w:rPr>
        <w:t xml:space="preserve"> for links and causal pathways in the general population and high-risk groups.</w:t>
      </w:r>
      <w:r w:rsidRPr="0051033F">
        <w:rPr>
          <w:rFonts w:asciiTheme="majorHAnsi" w:eastAsia="Calibri" w:hAnsiTheme="majorHAnsi" w:cstheme="majorHAnsi"/>
          <w:sz w:val="18"/>
          <w:szCs w:val="18"/>
        </w:rPr>
        <w:t xml:space="preserve"> Am J </w:t>
      </w:r>
      <w:proofErr w:type="spellStart"/>
      <w:r w:rsidRPr="0051033F">
        <w:rPr>
          <w:rFonts w:asciiTheme="majorHAnsi" w:eastAsia="Calibri" w:hAnsiTheme="majorHAnsi" w:cstheme="majorHAnsi"/>
          <w:sz w:val="18"/>
          <w:szCs w:val="18"/>
        </w:rPr>
        <w:t>Reprod</w:t>
      </w:r>
      <w:proofErr w:type="spellEnd"/>
      <w:r w:rsidRPr="0051033F">
        <w:rPr>
          <w:rFonts w:asciiTheme="majorHAnsi" w:eastAsia="Calibri" w:hAnsiTheme="majorHAnsi" w:cstheme="majorHAnsi"/>
          <w:sz w:val="18"/>
          <w:szCs w:val="18"/>
        </w:rPr>
        <w:t xml:space="preserve"> Immunol. 2013;69(Suppl 1):20–6. New York, NY: 1989. </w:t>
      </w:r>
    </w:p>
  </w:endnote>
  <w:endnote w:id="40">
    <w:p w14:paraId="51BA6329"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proofErr w:type="spellStart"/>
      <w:r w:rsidRPr="0051033F">
        <w:rPr>
          <w:rFonts w:asciiTheme="majorHAnsi" w:eastAsia="Calibri" w:hAnsiTheme="majorHAnsi" w:cstheme="majorHAnsi"/>
          <w:color w:val="212121"/>
          <w:sz w:val="18"/>
          <w:szCs w:val="18"/>
          <w:highlight w:val="white"/>
        </w:rPr>
        <w:t>Ataiants</w:t>
      </w:r>
      <w:proofErr w:type="spellEnd"/>
      <w:r w:rsidRPr="0051033F">
        <w:rPr>
          <w:rFonts w:asciiTheme="majorHAnsi" w:eastAsia="Calibri" w:hAnsiTheme="majorHAnsi" w:cstheme="majorHAnsi"/>
          <w:color w:val="212121"/>
          <w:sz w:val="18"/>
          <w:szCs w:val="18"/>
          <w:highlight w:val="white"/>
        </w:rPr>
        <w:t xml:space="preserve"> J, Mazzella S, Roth AM, Robinson LF, Sell RL, </w:t>
      </w:r>
      <w:proofErr w:type="spellStart"/>
      <w:r w:rsidRPr="0051033F">
        <w:rPr>
          <w:rFonts w:asciiTheme="majorHAnsi" w:eastAsia="Calibri" w:hAnsiTheme="majorHAnsi" w:cstheme="majorHAnsi"/>
          <w:color w:val="212121"/>
          <w:sz w:val="18"/>
          <w:szCs w:val="18"/>
          <w:highlight w:val="white"/>
        </w:rPr>
        <w:t>Lankenau</w:t>
      </w:r>
      <w:proofErr w:type="spellEnd"/>
      <w:r w:rsidRPr="0051033F">
        <w:rPr>
          <w:rFonts w:asciiTheme="majorHAnsi" w:eastAsia="Calibri" w:hAnsiTheme="majorHAnsi" w:cstheme="majorHAnsi"/>
          <w:color w:val="212121"/>
          <w:sz w:val="18"/>
          <w:szCs w:val="18"/>
          <w:highlight w:val="white"/>
        </w:rPr>
        <w:t xml:space="preserve"> SE. </w:t>
      </w:r>
      <w:r w:rsidRPr="0051033F">
        <w:rPr>
          <w:rFonts w:asciiTheme="majorHAnsi" w:eastAsia="Calibri" w:hAnsiTheme="majorHAnsi" w:cstheme="majorHAnsi"/>
          <w:i/>
          <w:color w:val="212121"/>
          <w:sz w:val="18"/>
          <w:szCs w:val="18"/>
          <w:highlight w:val="white"/>
        </w:rPr>
        <w:t xml:space="preserve">Multiple Victimizations and Overdose Among Women </w:t>
      </w:r>
      <w:proofErr w:type="gramStart"/>
      <w:r w:rsidRPr="0051033F">
        <w:rPr>
          <w:rFonts w:asciiTheme="majorHAnsi" w:eastAsia="Calibri" w:hAnsiTheme="majorHAnsi" w:cstheme="majorHAnsi"/>
          <w:i/>
          <w:color w:val="212121"/>
          <w:sz w:val="18"/>
          <w:szCs w:val="18"/>
          <w:highlight w:val="white"/>
        </w:rPr>
        <w:t>With</w:t>
      </w:r>
      <w:proofErr w:type="gramEnd"/>
      <w:r w:rsidRPr="0051033F">
        <w:rPr>
          <w:rFonts w:asciiTheme="majorHAnsi" w:eastAsia="Calibri" w:hAnsiTheme="majorHAnsi" w:cstheme="majorHAnsi"/>
          <w:i/>
          <w:color w:val="212121"/>
          <w:sz w:val="18"/>
          <w:szCs w:val="18"/>
          <w:highlight w:val="white"/>
        </w:rPr>
        <w:t xml:space="preserve"> a History of Illicit Drug Use</w:t>
      </w:r>
      <w:r w:rsidRPr="0051033F">
        <w:rPr>
          <w:rFonts w:asciiTheme="majorHAnsi" w:eastAsia="Calibri" w:hAnsiTheme="majorHAnsi" w:cstheme="majorHAnsi"/>
          <w:color w:val="212121"/>
          <w:sz w:val="18"/>
          <w:szCs w:val="18"/>
          <w:highlight w:val="white"/>
        </w:rPr>
        <w:t xml:space="preserve">. J </w:t>
      </w:r>
      <w:proofErr w:type="spellStart"/>
      <w:r w:rsidRPr="0051033F">
        <w:rPr>
          <w:rFonts w:asciiTheme="majorHAnsi" w:eastAsia="Calibri" w:hAnsiTheme="majorHAnsi" w:cstheme="majorHAnsi"/>
          <w:color w:val="212121"/>
          <w:sz w:val="18"/>
          <w:szCs w:val="18"/>
          <w:highlight w:val="white"/>
        </w:rPr>
        <w:t>Interpers</w:t>
      </w:r>
      <w:proofErr w:type="spellEnd"/>
      <w:r w:rsidRPr="0051033F">
        <w:rPr>
          <w:rFonts w:asciiTheme="majorHAnsi" w:eastAsia="Calibri" w:hAnsiTheme="majorHAnsi" w:cstheme="majorHAnsi"/>
          <w:color w:val="212121"/>
          <w:sz w:val="18"/>
          <w:szCs w:val="18"/>
          <w:highlight w:val="white"/>
        </w:rPr>
        <w:t xml:space="preserve"> Violence. 2022 </w:t>
      </w:r>
    </w:p>
  </w:endnote>
  <w:endnote w:id="41">
    <w:p w14:paraId="767B01CC"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 xml:space="preserve">Schwan K, </w:t>
      </w:r>
      <w:proofErr w:type="spellStart"/>
      <w:r w:rsidRPr="0051033F">
        <w:rPr>
          <w:rFonts w:asciiTheme="majorHAnsi" w:eastAsia="Calibri" w:hAnsiTheme="majorHAnsi" w:cstheme="majorHAnsi"/>
          <w:sz w:val="18"/>
          <w:szCs w:val="18"/>
        </w:rPr>
        <w:t>Versteegh</w:t>
      </w:r>
      <w:proofErr w:type="spellEnd"/>
      <w:r w:rsidRPr="0051033F">
        <w:rPr>
          <w:rFonts w:asciiTheme="majorHAnsi" w:eastAsia="Calibri" w:hAnsiTheme="majorHAnsi" w:cstheme="majorHAnsi"/>
          <w:sz w:val="18"/>
          <w:szCs w:val="18"/>
        </w:rPr>
        <w:t xml:space="preserve"> A, Perri M, Caplan R, </w:t>
      </w:r>
      <w:proofErr w:type="spellStart"/>
      <w:r w:rsidRPr="0051033F">
        <w:rPr>
          <w:rFonts w:asciiTheme="majorHAnsi" w:eastAsia="Calibri" w:hAnsiTheme="majorHAnsi" w:cstheme="majorHAnsi"/>
          <w:sz w:val="18"/>
          <w:szCs w:val="18"/>
        </w:rPr>
        <w:t>Baig</w:t>
      </w:r>
      <w:proofErr w:type="spellEnd"/>
      <w:r w:rsidRPr="0051033F">
        <w:rPr>
          <w:rFonts w:asciiTheme="majorHAnsi" w:eastAsia="Calibri" w:hAnsiTheme="majorHAnsi" w:cstheme="majorHAnsi"/>
          <w:sz w:val="18"/>
          <w:szCs w:val="18"/>
        </w:rPr>
        <w:t xml:space="preserve"> K, Dej E, Jenkinson J, </w:t>
      </w:r>
      <w:proofErr w:type="spellStart"/>
      <w:r w:rsidRPr="0051033F">
        <w:rPr>
          <w:rFonts w:asciiTheme="majorHAnsi" w:eastAsia="Calibri" w:hAnsiTheme="majorHAnsi" w:cstheme="majorHAnsi"/>
          <w:sz w:val="18"/>
          <w:szCs w:val="18"/>
        </w:rPr>
        <w:t>Brais</w:t>
      </w:r>
      <w:proofErr w:type="spellEnd"/>
      <w:r w:rsidRPr="0051033F">
        <w:rPr>
          <w:rFonts w:asciiTheme="majorHAnsi" w:eastAsia="Calibri" w:hAnsiTheme="majorHAnsi" w:cstheme="majorHAnsi"/>
          <w:sz w:val="18"/>
          <w:szCs w:val="18"/>
        </w:rPr>
        <w:t xml:space="preserve"> H, </w:t>
      </w:r>
      <w:proofErr w:type="spellStart"/>
      <w:r w:rsidRPr="0051033F">
        <w:rPr>
          <w:rFonts w:asciiTheme="majorHAnsi" w:eastAsia="Calibri" w:hAnsiTheme="majorHAnsi" w:cstheme="majorHAnsi"/>
          <w:sz w:val="18"/>
          <w:szCs w:val="18"/>
        </w:rPr>
        <w:t>Eiboff</w:t>
      </w:r>
      <w:proofErr w:type="spellEnd"/>
      <w:r w:rsidRPr="0051033F">
        <w:rPr>
          <w:rFonts w:asciiTheme="majorHAnsi" w:eastAsia="Calibri" w:hAnsiTheme="majorHAnsi" w:cstheme="majorHAnsi"/>
          <w:sz w:val="18"/>
          <w:szCs w:val="18"/>
        </w:rPr>
        <w:t xml:space="preserve"> F, </w:t>
      </w:r>
      <w:proofErr w:type="spellStart"/>
      <w:r w:rsidRPr="0051033F">
        <w:rPr>
          <w:rFonts w:asciiTheme="majorHAnsi" w:eastAsia="Calibri" w:hAnsiTheme="majorHAnsi" w:cstheme="majorHAnsi"/>
          <w:sz w:val="18"/>
          <w:szCs w:val="18"/>
        </w:rPr>
        <w:t>Pahlevan</w:t>
      </w:r>
      <w:proofErr w:type="spellEnd"/>
      <w:r w:rsidRPr="0051033F">
        <w:rPr>
          <w:rFonts w:asciiTheme="majorHAnsi" w:eastAsia="Calibri" w:hAnsiTheme="majorHAnsi" w:cstheme="majorHAnsi"/>
          <w:sz w:val="18"/>
          <w:szCs w:val="18"/>
        </w:rPr>
        <w:t xml:space="preserve"> </w:t>
      </w:r>
      <w:proofErr w:type="spellStart"/>
      <w:r w:rsidRPr="0051033F">
        <w:rPr>
          <w:rFonts w:asciiTheme="majorHAnsi" w:eastAsia="Calibri" w:hAnsiTheme="majorHAnsi" w:cstheme="majorHAnsi"/>
          <w:sz w:val="18"/>
          <w:szCs w:val="18"/>
        </w:rPr>
        <w:t>Chaleshtari</w:t>
      </w:r>
      <w:proofErr w:type="spellEnd"/>
      <w:r w:rsidRPr="0051033F">
        <w:rPr>
          <w:rFonts w:asciiTheme="majorHAnsi" w:eastAsia="Calibri" w:hAnsiTheme="majorHAnsi" w:cstheme="majorHAnsi"/>
          <w:sz w:val="18"/>
          <w:szCs w:val="18"/>
        </w:rPr>
        <w:t xml:space="preserve"> T. </w:t>
      </w:r>
      <w:r w:rsidRPr="0051033F">
        <w:rPr>
          <w:rFonts w:asciiTheme="majorHAnsi" w:eastAsia="Calibri" w:hAnsiTheme="majorHAnsi" w:cstheme="majorHAnsi"/>
          <w:i/>
          <w:sz w:val="18"/>
          <w:szCs w:val="18"/>
        </w:rPr>
        <w:t>The State of Women’s Housing Need &amp; Homelessness in Canada:</w:t>
      </w:r>
      <w:r w:rsidRPr="0051033F">
        <w:rPr>
          <w:rFonts w:asciiTheme="majorHAnsi" w:eastAsia="Calibri" w:hAnsiTheme="majorHAnsi" w:cstheme="majorHAnsi"/>
          <w:sz w:val="18"/>
          <w:szCs w:val="18"/>
        </w:rPr>
        <w:t xml:space="preserve"> Executive Summary. </w:t>
      </w:r>
      <w:proofErr w:type="spellStart"/>
      <w:r w:rsidRPr="0051033F">
        <w:rPr>
          <w:rFonts w:asciiTheme="majorHAnsi" w:eastAsia="Calibri" w:hAnsiTheme="majorHAnsi" w:cstheme="majorHAnsi"/>
          <w:sz w:val="18"/>
          <w:szCs w:val="18"/>
        </w:rPr>
        <w:t>Hache</w:t>
      </w:r>
      <w:proofErr w:type="spellEnd"/>
      <w:r w:rsidRPr="0051033F">
        <w:rPr>
          <w:rFonts w:asciiTheme="majorHAnsi" w:eastAsia="Calibri" w:hAnsiTheme="majorHAnsi" w:cstheme="majorHAnsi"/>
          <w:sz w:val="18"/>
          <w:szCs w:val="18"/>
        </w:rPr>
        <w:t xml:space="preserve"> A, Nelson A, </w:t>
      </w:r>
      <w:proofErr w:type="spellStart"/>
      <w:r w:rsidRPr="0051033F">
        <w:rPr>
          <w:rFonts w:asciiTheme="majorHAnsi" w:eastAsia="Calibri" w:hAnsiTheme="majorHAnsi" w:cstheme="majorHAnsi"/>
          <w:sz w:val="18"/>
          <w:szCs w:val="18"/>
        </w:rPr>
        <w:t>Kratochvil</w:t>
      </w:r>
      <w:proofErr w:type="spellEnd"/>
      <w:r w:rsidRPr="0051033F">
        <w:rPr>
          <w:rFonts w:asciiTheme="majorHAnsi" w:eastAsia="Calibri" w:hAnsiTheme="majorHAnsi" w:cstheme="majorHAnsi"/>
          <w:sz w:val="18"/>
          <w:szCs w:val="18"/>
        </w:rPr>
        <w:t xml:space="preserve"> E, </w:t>
      </w:r>
      <w:proofErr w:type="spellStart"/>
      <w:r w:rsidRPr="0051033F">
        <w:rPr>
          <w:rFonts w:asciiTheme="majorHAnsi" w:eastAsia="Calibri" w:hAnsiTheme="majorHAnsi" w:cstheme="majorHAnsi"/>
          <w:sz w:val="18"/>
          <w:szCs w:val="18"/>
        </w:rPr>
        <w:t>Malenfant</w:t>
      </w:r>
      <w:proofErr w:type="spellEnd"/>
      <w:r w:rsidRPr="0051033F">
        <w:rPr>
          <w:rFonts w:asciiTheme="majorHAnsi" w:eastAsia="Calibri" w:hAnsiTheme="majorHAnsi" w:cstheme="majorHAnsi"/>
          <w:sz w:val="18"/>
          <w:szCs w:val="18"/>
        </w:rPr>
        <w:t xml:space="preserve"> J. (Eds). Toronto, ON: Canadian Observatory on Homelessness Press. 2020.</w:t>
      </w:r>
    </w:p>
  </w:endnote>
  <w:endnote w:id="42">
    <w:p w14:paraId="6800D59C"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proofErr w:type="spellStart"/>
      <w:r w:rsidRPr="0051033F">
        <w:rPr>
          <w:rFonts w:asciiTheme="majorHAnsi" w:eastAsia="Calibri" w:hAnsiTheme="majorHAnsi" w:cstheme="majorHAnsi"/>
          <w:sz w:val="18"/>
          <w:szCs w:val="18"/>
          <w:highlight w:val="white"/>
        </w:rPr>
        <w:t>Giacomello</w:t>
      </w:r>
      <w:proofErr w:type="spellEnd"/>
      <w:r w:rsidRPr="0051033F">
        <w:rPr>
          <w:rFonts w:asciiTheme="majorHAnsi" w:eastAsia="Calibri" w:hAnsiTheme="majorHAnsi" w:cstheme="majorHAnsi"/>
          <w:sz w:val="18"/>
          <w:szCs w:val="18"/>
          <w:highlight w:val="white"/>
        </w:rPr>
        <w:t xml:space="preserve"> C. </w:t>
      </w:r>
      <w:r w:rsidRPr="0051033F">
        <w:rPr>
          <w:rFonts w:asciiTheme="majorHAnsi" w:eastAsia="Calibri" w:hAnsiTheme="majorHAnsi" w:cstheme="majorHAnsi"/>
          <w:i/>
          <w:sz w:val="18"/>
          <w:szCs w:val="18"/>
          <w:highlight w:val="white"/>
        </w:rPr>
        <w:t>The Gendered Impacts of Drug Policy on Women: Case Studies from Mexico</w:t>
      </w:r>
      <w:r w:rsidRPr="0051033F">
        <w:rPr>
          <w:rFonts w:asciiTheme="majorHAnsi" w:eastAsia="Calibri" w:hAnsiTheme="majorHAnsi" w:cstheme="majorHAnsi"/>
          <w:sz w:val="18"/>
          <w:szCs w:val="18"/>
          <w:highlight w:val="white"/>
        </w:rPr>
        <w:t xml:space="preserve">, </w:t>
      </w:r>
      <w:r w:rsidRPr="0051033F">
        <w:rPr>
          <w:rFonts w:asciiTheme="majorHAnsi" w:eastAsia="Calibri" w:hAnsiTheme="majorHAnsi" w:cstheme="majorHAnsi"/>
          <w:i/>
          <w:sz w:val="18"/>
          <w:szCs w:val="18"/>
          <w:highlight w:val="white"/>
        </w:rPr>
        <w:t>International Development Policy</w:t>
      </w:r>
      <w:r w:rsidRPr="0051033F">
        <w:rPr>
          <w:rFonts w:asciiTheme="majorHAnsi" w:eastAsia="Calibri" w:hAnsiTheme="majorHAnsi" w:cstheme="majorHAnsi"/>
          <w:sz w:val="18"/>
          <w:szCs w:val="18"/>
          <w:highlight w:val="white"/>
        </w:rPr>
        <w:t>. 2020</w:t>
      </w:r>
    </w:p>
  </w:endnote>
  <w:endnote w:id="43">
    <w:p w14:paraId="030FAE19"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eastAsia="Calibri" w:hAnsiTheme="majorHAnsi" w:cstheme="majorHAnsi"/>
          <w:sz w:val="18"/>
          <w:szCs w:val="18"/>
        </w:rPr>
        <w:t xml:space="preserve">Schwan K, </w:t>
      </w:r>
      <w:proofErr w:type="spellStart"/>
      <w:r w:rsidRPr="0051033F">
        <w:rPr>
          <w:rFonts w:asciiTheme="majorHAnsi" w:eastAsia="Calibri" w:hAnsiTheme="majorHAnsi" w:cstheme="majorHAnsi"/>
          <w:sz w:val="18"/>
          <w:szCs w:val="18"/>
        </w:rPr>
        <w:t>Versteegh</w:t>
      </w:r>
      <w:proofErr w:type="spellEnd"/>
      <w:r w:rsidRPr="0051033F">
        <w:rPr>
          <w:rFonts w:asciiTheme="majorHAnsi" w:eastAsia="Calibri" w:hAnsiTheme="majorHAnsi" w:cstheme="majorHAnsi"/>
          <w:sz w:val="18"/>
          <w:szCs w:val="18"/>
        </w:rPr>
        <w:t xml:space="preserve"> A, Perri M, Caplan R, </w:t>
      </w:r>
      <w:proofErr w:type="spellStart"/>
      <w:r w:rsidRPr="0051033F">
        <w:rPr>
          <w:rFonts w:asciiTheme="majorHAnsi" w:eastAsia="Calibri" w:hAnsiTheme="majorHAnsi" w:cstheme="majorHAnsi"/>
          <w:sz w:val="18"/>
          <w:szCs w:val="18"/>
        </w:rPr>
        <w:t>Baig</w:t>
      </w:r>
      <w:proofErr w:type="spellEnd"/>
      <w:r w:rsidRPr="0051033F">
        <w:rPr>
          <w:rFonts w:asciiTheme="majorHAnsi" w:eastAsia="Calibri" w:hAnsiTheme="majorHAnsi" w:cstheme="majorHAnsi"/>
          <w:sz w:val="18"/>
          <w:szCs w:val="18"/>
        </w:rPr>
        <w:t xml:space="preserve"> K, Dej E., Jenkinson J, </w:t>
      </w:r>
      <w:proofErr w:type="spellStart"/>
      <w:r w:rsidRPr="0051033F">
        <w:rPr>
          <w:rFonts w:asciiTheme="majorHAnsi" w:eastAsia="Calibri" w:hAnsiTheme="majorHAnsi" w:cstheme="majorHAnsi"/>
          <w:sz w:val="18"/>
          <w:szCs w:val="18"/>
        </w:rPr>
        <w:t>Brais</w:t>
      </w:r>
      <w:proofErr w:type="spellEnd"/>
      <w:r w:rsidRPr="0051033F">
        <w:rPr>
          <w:rFonts w:asciiTheme="majorHAnsi" w:eastAsia="Calibri" w:hAnsiTheme="majorHAnsi" w:cstheme="majorHAnsi"/>
          <w:sz w:val="18"/>
          <w:szCs w:val="18"/>
        </w:rPr>
        <w:t xml:space="preserve"> H, </w:t>
      </w:r>
      <w:proofErr w:type="spellStart"/>
      <w:r w:rsidRPr="0051033F">
        <w:rPr>
          <w:rFonts w:asciiTheme="majorHAnsi" w:eastAsia="Calibri" w:hAnsiTheme="majorHAnsi" w:cstheme="majorHAnsi"/>
          <w:sz w:val="18"/>
          <w:szCs w:val="18"/>
        </w:rPr>
        <w:t>Eiboff</w:t>
      </w:r>
      <w:proofErr w:type="spellEnd"/>
      <w:r w:rsidRPr="0051033F">
        <w:rPr>
          <w:rFonts w:asciiTheme="majorHAnsi" w:eastAsia="Calibri" w:hAnsiTheme="majorHAnsi" w:cstheme="majorHAnsi"/>
          <w:sz w:val="18"/>
          <w:szCs w:val="18"/>
        </w:rPr>
        <w:t xml:space="preserve"> F, </w:t>
      </w:r>
      <w:proofErr w:type="spellStart"/>
      <w:r w:rsidRPr="0051033F">
        <w:rPr>
          <w:rFonts w:asciiTheme="majorHAnsi" w:eastAsia="Calibri" w:hAnsiTheme="majorHAnsi" w:cstheme="majorHAnsi"/>
          <w:sz w:val="18"/>
          <w:szCs w:val="18"/>
        </w:rPr>
        <w:t>Pahlevan</w:t>
      </w:r>
      <w:proofErr w:type="spellEnd"/>
      <w:r w:rsidRPr="0051033F">
        <w:rPr>
          <w:rFonts w:asciiTheme="majorHAnsi" w:eastAsia="Calibri" w:hAnsiTheme="majorHAnsi" w:cstheme="majorHAnsi"/>
          <w:sz w:val="18"/>
          <w:szCs w:val="18"/>
        </w:rPr>
        <w:t xml:space="preserve"> </w:t>
      </w:r>
      <w:proofErr w:type="spellStart"/>
      <w:r w:rsidRPr="0051033F">
        <w:rPr>
          <w:rFonts w:asciiTheme="majorHAnsi" w:eastAsia="Calibri" w:hAnsiTheme="majorHAnsi" w:cstheme="majorHAnsi"/>
          <w:sz w:val="18"/>
          <w:szCs w:val="18"/>
        </w:rPr>
        <w:t>Chaleshtari</w:t>
      </w:r>
      <w:proofErr w:type="spellEnd"/>
      <w:r w:rsidRPr="0051033F">
        <w:rPr>
          <w:rFonts w:asciiTheme="majorHAnsi" w:eastAsia="Calibri" w:hAnsiTheme="majorHAnsi" w:cstheme="majorHAnsi"/>
          <w:sz w:val="18"/>
          <w:szCs w:val="18"/>
        </w:rPr>
        <w:t xml:space="preserve"> T. </w:t>
      </w:r>
      <w:r w:rsidRPr="0051033F">
        <w:rPr>
          <w:rFonts w:asciiTheme="majorHAnsi" w:eastAsia="Calibri" w:hAnsiTheme="majorHAnsi" w:cstheme="majorHAnsi"/>
          <w:i/>
          <w:sz w:val="18"/>
          <w:szCs w:val="18"/>
        </w:rPr>
        <w:t>The State of Women’s Housing Need &amp; Homelessness in Canada: Executive Summary</w:t>
      </w:r>
      <w:r w:rsidRPr="0051033F">
        <w:rPr>
          <w:rFonts w:asciiTheme="majorHAnsi" w:eastAsia="Calibri" w:hAnsiTheme="majorHAnsi" w:cstheme="majorHAnsi"/>
          <w:sz w:val="18"/>
          <w:szCs w:val="18"/>
        </w:rPr>
        <w:t xml:space="preserve">. </w:t>
      </w:r>
      <w:proofErr w:type="spellStart"/>
      <w:r w:rsidRPr="0051033F">
        <w:rPr>
          <w:rFonts w:asciiTheme="majorHAnsi" w:eastAsia="Calibri" w:hAnsiTheme="majorHAnsi" w:cstheme="majorHAnsi"/>
          <w:sz w:val="18"/>
          <w:szCs w:val="18"/>
        </w:rPr>
        <w:t>Hache</w:t>
      </w:r>
      <w:proofErr w:type="spellEnd"/>
      <w:r w:rsidRPr="0051033F">
        <w:rPr>
          <w:rFonts w:asciiTheme="majorHAnsi" w:eastAsia="Calibri" w:hAnsiTheme="majorHAnsi" w:cstheme="majorHAnsi"/>
          <w:sz w:val="18"/>
          <w:szCs w:val="18"/>
        </w:rPr>
        <w:t xml:space="preserve">, A., Nelson, A., </w:t>
      </w:r>
      <w:proofErr w:type="spellStart"/>
      <w:r w:rsidRPr="0051033F">
        <w:rPr>
          <w:rFonts w:asciiTheme="majorHAnsi" w:eastAsia="Calibri" w:hAnsiTheme="majorHAnsi" w:cstheme="majorHAnsi"/>
          <w:sz w:val="18"/>
          <w:szCs w:val="18"/>
        </w:rPr>
        <w:t>Kratochvil</w:t>
      </w:r>
      <w:proofErr w:type="spellEnd"/>
      <w:r w:rsidRPr="0051033F">
        <w:rPr>
          <w:rFonts w:asciiTheme="majorHAnsi" w:eastAsia="Calibri" w:hAnsiTheme="majorHAnsi" w:cstheme="majorHAnsi"/>
          <w:sz w:val="18"/>
          <w:szCs w:val="18"/>
        </w:rPr>
        <w:t xml:space="preserve">, E., &amp; </w:t>
      </w:r>
      <w:proofErr w:type="spellStart"/>
      <w:r w:rsidRPr="0051033F">
        <w:rPr>
          <w:rFonts w:asciiTheme="majorHAnsi" w:eastAsia="Calibri" w:hAnsiTheme="majorHAnsi" w:cstheme="majorHAnsi"/>
          <w:sz w:val="18"/>
          <w:szCs w:val="18"/>
        </w:rPr>
        <w:t>Malenfant</w:t>
      </w:r>
      <w:proofErr w:type="spellEnd"/>
      <w:r w:rsidRPr="0051033F">
        <w:rPr>
          <w:rFonts w:asciiTheme="majorHAnsi" w:eastAsia="Calibri" w:hAnsiTheme="majorHAnsi" w:cstheme="majorHAnsi"/>
          <w:sz w:val="18"/>
          <w:szCs w:val="18"/>
        </w:rPr>
        <w:t>, J. (Eds). Toronto, ON: Canadian Observatory on Homelessness Press. 2020</w:t>
      </w:r>
      <w:r w:rsidRPr="0051033F">
        <w:rPr>
          <w:rFonts w:asciiTheme="majorHAnsi" w:hAnsiTheme="majorHAnsi" w:cstheme="majorHAnsi"/>
          <w:sz w:val="18"/>
          <w:szCs w:val="18"/>
        </w:rPr>
        <w:t xml:space="preserve"> </w:t>
      </w:r>
    </w:p>
  </w:endnote>
  <w:endnote w:id="44">
    <w:p w14:paraId="0B96A231"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proofErr w:type="spellStart"/>
      <w:r w:rsidRPr="0051033F">
        <w:rPr>
          <w:rFonts w:asciiTheme="majorHAnsi" w:eastAsia="Calibri" w:hAnsiTheme="majorHAnsi" w:cstheme="majorHAnsi"/>
          <w:color w:val="212121"/>
          <w:sz w:val="18"/>
          <w:szCs w:val="18"/>
          <w:highlight w:val="white"/>
        </w:rPr>
        <w:t>Silberg</w:t>
      </w:r>
      <w:proofErr w:type="spellEnd"/>
      <w:r w:rsidRPr="0051033F">
        <w:rPr>
          <w:rFonts w:asciiTheme="majorHAnsi" w:eastAsia="Calibri" w:hAnsiTheme="majorHAnsi" w:cstheme="majorHAnsi"/>
          <w:color w:val="212121"/>
          <w:sz w:val="18"/>
          <w:szCs w:val="18"/>
          <w:highlight w:val="white"/>
        </w:rPr>
        <w:t xml:space="preserve"> C, </w:t>
      </w:r>
      <w:proofErr w:type="spellStart"/>
      <w:r w:rsidRPr="0051033F">
        <w:rPr>
          <w:rFonts w:asciiTheme="majorHAnsi" w:eastAsia="Calibri" w:hAnsiTheme="majorHAnsi" w:cstheme="majorHAnsi"/>
          <w:color w:val="212121"/>
          <w:sz w:val="18"/>
          <w:szCs w:val="18"/>
          <w:highlight w:val="white"/>
        </w:rPr>
        <w:t>Likindikoki</w:t>
      </w:r>
      <w:proofErr w:type="spellEnd"/>
      <w:r w:rsidRPr="0051033F">
        <w:rPr>
          <w:rFonts w:asciiTheme="majorHAnsi" w:eastAsia="Calibri" w:hAnsiTheme="majorHAnsi" w:cstheme="majorHAnsi"/>
          <w:color w:val="212121"/>
          <w:sz w:val="18"/>
          <w:szCs w:val="18"/>
          <w:highlight w:val="white"/>
        </w:rPr>
        <w:t xml:space="preserve"> S, </w:t>
      </w:r>
      <w:proofErr w:type="spellStart"/>
      <w:r w:rsidRPr="0051033F">
        <w:rPr>
          <w:rFonts w:asciiTheme="majorHAnsi" w:eastAsia="Calibri" w:hAnsiTheme="majorHAnsi" w:cstheme="majorHAnsi"/>
          <w:color w:val="212121"/>
          <w:sz w:val="18"/>
          <w:szCs w:val="18"/>
          <w:highlight w:val="white"/>
        </w:rPr>
        <w:t>Mbwambo</w:t>
      </w:r>
      <w:proofErr w:type="spellEnd"/>
      <w:r w:rsidRPr="0051033F">
        <w:rPr>
          <w:rFonts w:asciiTheme="majorHAnsi" w:eastAsia="Calibri" w:hAnsiTheme="majorHAnsi" w:cstheme="majorHAnsi"/>
          <w:color w:val="212121"/>
          <w:sz w:val="18"/>
          <w:szCs w:val="18"/>
          <w:highlight w:val="white"/>
        </w:rPr>
        <w:t xml:space="preserve"> J. </w:t>
      </w:r>
      <w:r w:rsidRPr="0051033F">
        <w:rPr>
          <w:rFonts w:asciiTheme="majorHAnsi" w:eastAsia="Calibri" w:hAnsiTheme="majorHAnsi" w:cstheme="majorHAnsi"/>
          <w:i/>
          <w:color w:val="212121"/>
          <w:sz w:val="18"/>
          <w:szCs w:val="18"/>
          <w:highlight w:val="white"/>
        </w:rPr>
        <w:t>Housing instability and violence among women who use drugs in Dar es Salaam, Tanzania</w:t>
      </w:r>
      <w:r w:rsidRPr="0051033F">
        <w:rPr>
          <w:rFonts w:asciiTheme="majorHAnsi" w:eastAsia="Calibri" w:hAnsiTheme="majorHAnsi" w:cstheme="majorHAnsi"/>
          <w:color w:val="212121"/>
          <w:sz w:val="18"/>
          <w:szCs w:val="18"/>
          <w:highlight w:val="white"/>
        </w:rPr>
        <w:t xml:space="preserve">. Harm </w:t>
      </w:r>
      <w:proofErr w:type="spellStart"/>
      <w:r w:rsidRPr="0051033F">
        <w:rPr>
          <w:rFonts w:asciiTheme="majorHAnsi" w:eastAsia="Calibri" w:hAnsiTheme="majorHAnsi" w:cstheme="majorHAnsi"/>
          <w:color w:val="212121"/>
          <w:sz w:val="18"/>
          <w:szCs w:val="18"/>
          <w:highlight w:val="white"/>
        </w:rPr>
        <w:t>Reduct</w:t>
      </w:r>
      <w:proofErr w:type="spellEnd"/>
      <w:r w:rsidRPr="0051033F">
        <w:rPr>
          <w:rFonts w:asciiTheme="majorHAnsi" w:eastAsia="Calibri" w:hAnsiTheme="majorHAnsi" w:cstheme="majorHAnsi"/>
          <w:color w:val="212121"/>
          <w:sz w:val="18"/>
          <w:szCs w:val="18"/>
          <w:highlight w:val="white"/>
        </w:rPr>
        <w:t xml:space="preserve"> J 19,68, 2022.</w:t>
      </w:r>
    </w:p>
  </w:endnote>
  <w:endnote w:id="45">
    <w:p w14:paraId="2CD8F29E"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 xml:space="preserve">ICJR, WHRIN. </w:t>
      </w:r>
      <w:r w:rsidRPr="0051033F">
        <w:rPr>
          <w:rFonts w:asciiTheme="majorHAnsi" w:eastAsia="Calibri" w:hAnsiTheme="majorHAnsi" w:cstheme="majorHAnsi"/>
          <w:i/>
          <w:sz w:val="18"/>
          <w:szCs w:val="18"/>
        </w:rPr>
        <w:t>Advocacy for Equity in Service Responses for Women who Use Drugs as Survivors of Gender Based Violence Based on TPKS Law</w:t>
      </w:r>
      <w:r w:rsidRPr="0051033F">
        <w:rPr>
          <w:rFonts w:asciiTheme="majorHAnsi" w:eastAsia="Calibri" w:hAnsiTheme="majorHAnsi" w:cstheme="majorHAnsi"/>
          <w:sz w:val="18"/>
          <w:szCs w:val="18"/>
        </w:rPr>
        <w:t>. 2022</w:t>
      </w:r>
    </w:p>
  </w:endnote>
  <w:endnote w:id="46">
    <w:p w14:paraId="19E06671"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 xml:space="preserve">WHRIN. </w:t>
      </w:r>
      <w:r w:rsidRPr="0051033F">
        <w:rPr>
          <w:rFonts w:asciiTheme="majorHAnsi" w:eastAsia="Calibri" w:hAnsiTheme="majorHAnsi" w:cstheme="majorHAnsi"/>
          <w:i/>
          <w:sz w:val="18"/>
          <w:szCs w:val="18"/>
        </w:rPr>
        <w:t>When there are two wars.</w:t>
      </w:r>
      <w:r w:rsidRPr="0051033F">
        <w:rPr>
          <w:rFonts w:asciiTheme="majorHAnsi" w:eastAsia="Calibri" w:hAnsiTheme="majorHAnsi" w:cstheme="majorHAnsi"/>
          <w:sz w:val="18"/>
          <w:szCs w:val="18"/>
        </w:rPr>
        <w:t xml:space="preserve"> 2022. https://whrin.site/positionstatement/when-there-are-two-wars/</w:t>
      </w:r>
    </w:p>
  </w:endnote>
  <w:endnote w:id="47">
    <w:p w14:paraId="50C6B97B" w14:textId="77777777" w:rsidR="0051033F" w:rsidRPr="0051033F" w:rsidRDefault="0051033F">
      <w:pPr>
        <w:spacing w:line="240" w:lineRule="auto"/>
        <w:rPr>
          <w:rFonts w:asciiTheme="majorHAnsi" w:hAnsiTheme="majorHAnsi" w:cstheme="majorHAnsi"/>
          <w:sz w:val="18"/>
          <w:szCs w:val="18"/>
          <w:vertAlign w:val="superscript"/>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vertAlign w:val="superscript"/>
        </w:rPr>
        <w:t xml:space="preserve"> </w:t>
      </w:r>
      <w:r w:rsidRPr="0051033F">
        <w:rPr>
          <w:rFonts w:asciiTheme="majorHAnsi" w:eastAsia="Calibri" w:hAnsiTheme="majorHAnsi" w:cstheme="majorHAnsi"/>
          <w:sz w:val="18"/>
          <w:szCs w:val="18"/>
        </w:rPr>
        <w:t xml:space="preserve">WHRIN. </w:t>
      </w:r>
      <w:r w:rsidRPr="0051033F">
        <w:rPr>
          <w:rFonts w:asciiTheme="majorHAnsi" w:eastAsia="Calibri" w:hAnsiTheme="majorHAnsi" w:cstheme="majorHAnsi"/>
          <w:i/>
          <w:sz w:val="18"/>
          <w:szCs w:val="18"/>
        </w:rPr>
        <w:t>Harm reduction responses to COVID-19 for women who use drugs: country examples</w:t>
      </w:r>
      <w:r w:rsidRPr="0051033F">
        <w:rPr>
          <w:rFonts w:asciiTheme="majorHAnsi" w:eastAsia="Calibri" w:hAnsiTheme="majorHAnsi" w:cstheme="majorHAnsi"/>
          <w:sz w:val="18"/>
          <w:szCs w:val="18"/>
        </w:rPr>
        <w:t>. 2021.</w:t>
      </w:r>
      <w:hyperlink r:id="rId31">
        <w:r w:rsidRPr="0051033F">
          <w:rPr>
            <w:rFonts w:asciiTheme="majorHAnsi" w:eastAsia="Calibri" w:hAnsiTheme="majorHAnsi" w:cstheme="majorHAnsi"/>
            <w:sz w:val="18"/>
            <w:szCs w:val="18"/>
          </w:rPr>
          <w:t xml:space="preserve"> </w:t>
        </w:r>
      </w:hyperlink>
      <w:hyperlink r:id="rId32">
        <w:r w:rsidRPr="0051033F">
          <w:rPr>
            <w:rFonts w:asciiTheme="majorHAnsi" w:eastAsia="Calibri" w:hAnsiTheme="majorHAnsi" w:cstheme="majorHAnsi"/>
            <w:color w:val="1155CC"/>
            <w:sz w:val="18"/>
            <w:szCs w:val="18"/>
            <w:u w:val="single"/>
          </w:rPr>
          <w:t>https://whrin.site/ourpublication/country-examples-of-covid-hr-responses-for-wud-2/</w:t>
        </w:r>
      </w:hyperlink>
    </w:p>
  </w:endnote>
  <w:endnote w:id="48">
    <w:p w14:paraId="72C67D42" w14:textId="77777777" w:rsidR="0051033F" w:rsidRPr="0051033F" w:rsidRDefault="0051033F">
      <w:pPr>
        <w:spacing w:line="240" w:lineRule="auto"/>
        <w:rPr>
          <w:rFonts w:asciiTheme="majorHAnsi" w:hAnsiTheme="majorHAnsi" w:cstheme="majorHAnsi"/>
          <w:sz w:val="18"/>
          <w:szCs w:val="18"/>
          <w:vertAlign w:val="superscript"/>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vertAlign w:val="superscript"/>
        </w:rPr>
        <w:t xml:space="preserve"> </w:t>
      </w:r>
      <w:r w:rsidRPr="0051033F">
        <w:rPr>
          <w:rFonts w:asciiTheme="majorHAnsi" w:eastAsia="Calibri" w:hAnsiTheme="majorHAnsi" w:cstheme="majorHAnsi"/>
          <w:sz w:val="18"/>
          <w:szCs w:val="18"/>
        </w:rPr>
        <w:t xml:space="preserve">PIAC. </w:t>
      </w:r>
      <w:r w:rsidRPr="0051033F">
        <w:rPr>
          <w:rFonts w:asciiTheme="majorHAnsi" w:eastAsia="Calibri" w:hAnsiTheme="majorHAnsi" w:cstheme="majorHAnsi"/>
          <w:i/>
          <w:sz w:val="18"/>
          <w:szCs w:val="18"/>
        </w:rPr>
        <w:t>Homelessness NSW. Policing Public Spaces: The Experience of People Sleeping Rough. S</w:t>
      </w:r>
      <w:r w:rsidRPr="0051033F">
        <w:rPr>
          <w:rFonts w:asciiTheme="majorHAnsi" w:eastAsia="Calibri" w:hAnsiTheme="majorHAnsi" w:cstheme="majorHAnsi"/>
          <w:sz w:val="18"/>
          <w:szCs w:val="18"/>
        </w:rPr>
        <w:t>ydney, 2021.</w:t>
      </w:r>
      <w:hyperlink r:id="rId33">
        <w:r w:rsidRPr="0051033F">
          <w:rPr>
            <w:rFonts w:asciiTheme="majorHAnsi" w:eastAsia="Calibri" w:hAnsiTheme="majorHAnsi" w:cstheme="majorHAnsi"/>
            <w:sz w:val="18"/>
            <w:szCs w:val="18"/>
          </w:rPr>
          <w:t xml:space="preserve"> https://homelessnessnsw.org.au/wp-content/uploads/2021/05/HNSW-Report-Policing-Public-Space-Report-PIAC_Web.pdf</w:t>
        </w:r>
      </w:hyperlink>
      <w:r w:rsidRPr="0051033F">
        <w:rPr>
          <w:rFonts w:asciiTheme="majorHAnsi" w:eastAsia="Calibri" w:hAnsiTheme="majorHAnsi" w:cstheme="majorHAnsi"/>
          <w:sz w:val="18"/>
          <w:szCs w:val="18"/>
        </w:rPr>
        <w:t xml:space="preserve">  </w:t>
      </w:r>
    </w:p>
  </w:endnote>
  <w:endnote w:id="49">
    <w:p w14:paraId="43C03FD7" w14:textId="77777777" w:rsidR="0051033F" w:rsidRPr="0051033F" w:rsidRDefault="0051033F">
      <w:pPr>
        <w:spacing w:line="240" w:lineRule="auto"/>
        <w:rPr>
          <w:rFonts w:asciiTheme="majorHAnsi" w:hAnsiTheme="majorHAnsi" w:cstheme="majorHAnsi"/>
          <w:sz w:val="18"/>
          <w:szCs w:val="18"/>
          <w:vertAlign w:val="superscript"/>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vertAlign w:val="superscript"/>
        </w:rPr>
        <w:t xml:space="preserve"> </w:t>
      </w:r>
      <w:r w:rsidRPr="0051033F">
        <w:rPr>
          <w:rFonts w:asciiTheme="majorHAnsi" w:eastAsia="Calibri" w:hAnsiTheme="majorHAnsi" w:cstheme="majorHAnsi"/>
          <w:sz w:val="18"/>
          <w:szCs w:val="18"/>
        </w:rPr>
        <w:t xml:space="preserve">Fair H, </w:t>
      </w:r>
      <w:r w:rsidRPr="0051033F">
        <w:rPr>
          <w:rFonts w:asciiTheme="majorHAnsi" w:eastAsia="Calibri" w:hAnsiTheme="majorHAnsi" w:cstheme="majorHAnsi"/>
          <w:sz w:val="18"/>
          <w:szCs w:val="18"/>
          <w:highlight w:val="white"/>
        </w:rPr>
        <w:t xml:space="preserve">Walmsley R. </w:t>
      </w:r>
      <w:r w:rsidRPr="0051033F">
        <w:rPr>
          <w:rFonts w:asciiTheme="majorHAnsi" w:eastAsia="Calibri" w:hAnsiTheme="majorHAnsi" w:cstheme="majorHAnsi"/>
          <w:i/>
          <w:sz w:val="18"/>
          <w:szCs w:val="18"/>
          <w:highlight w:val="white"/>
        </w:rPr>
        <w:t>World Female Imprisonment List. Women and girls in penal institutions, including pre-trial detainees/remand prisoners.</w:t>
      </w:r>
      <w:r w:rsidRPr="0051033F">
        <w:rPr>
          <w:rFonts w:asciiTheme="majorHAnsi" w:eastAsia="Calibri" w:hAnsiTheme="majorHAnsi" w:cstheme="majorHAnsi"/>
          <w:sz w:val="18"/>
          <w:szCs w:val="18"/>
          <w:highlight w:val="white"/>
        </w:rPr>
        <w:t xml:space="preserve"> Fifth edition. London, Institute for Crime &amp; Justice Policy Research, 2022 (</w:t>
      </w:r>
      <w:hyperlink r:id="rId34">
        <w:r w:rsidRPr="0051033F">
          <w:rPr>
            <w:rFonts w:asciiTheme="majorHAnsi" w:eastAsia="Calibri" w:hAnsiTheme="majorHAnsi" w:cstheme="majorHAnsi"/>
            <w:color w:val="0000FF"/>
            <w:sz w:val="18"/>
            <w:szCs w:val="18"/>
            <w:highlight w:val="white"/>
            <w:u w:val="single"/>
          </w:rPr>
          <w:t>https://www.prisonstudies.org/sites/default/files/resources/downloads/world_female_imprisonment_list_5th_edition.pdf</w:t>
        </w:r>
      </w:hyperlink>
      <w:r w:rsidRPr="0051033F">
        <w:rPr>
          <w:rFonts w:asciiTheme="majorHAnsi" w:eastAsia="Calibri" w:hAnsiTheme="majorHAnsi" w:cstheme="majorHAnsi"/>
          <w:sz w:val="18"/>
          <w:szCs w:val="18"/>
          <w:highlight w:val="white"/>
        </w:rPr>
        <w:t>).</w:t>
      </w:r>
    </w:p>
  </w:endnote>
  <w:endnote w:id="50">
    <w:p w14:paraId="415E067A"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hyperlink r:id="rId35">
        <w:r w:rsidRPr="0051033F">
          <w:rPr>
            <w:rFonts w:asciiTheme="majorHAnsi" w:hAnsiTheme="majorHAnsi" w:cstheme="majorHAnsi"/>
            <w:color w:val="1155CC"/>
            <w:sz w:val="18"/>
            <w:szCs w:val="18"/>
            <w:u w:val="single"/>
          </w:rPr>
          <w:t>https://www.ohchr.org/sites/default/files/documents/issues/women/wg/sex-work-pp-fin-proofread-24-sept.pdf</w:t>
        </w:r>
      </w:hyperlink>
      <w:r w:rsidRPr="0051033F">
        <w:rPr>
          <w:rFonts w:asciiTheme="majorHAnsi" w:hAnsiTheme="majorHAnsi" w:cstheme="majorHAnsi"/>
          <w:sz w:val="18"/>
          <w:szCs w:val="18"/>
        </w:rPr>
        <w:t xml:space="preserve"> </w:t>
      </w:r>
    </w:p>
  </w:endnote>
  <w:endnote w:id="51">
    <w:p w14:paraId="4F2B5B53"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hyperlink r:id="rId36">
        <w:r w:rsidRPr="0051033F">
          <w:rPr>
            <w:rFonts w:asciiTheme="majorHAnsi" w:hAnsiTheme="majorHAnsi" w:cstheme="majorHAnsi"/>
            <w:color w:val="1155CC"/>
            <w:sz w:val="18"/>
            <w:szCs w:val="18"/>
            <w:u w:val="single"/>
          </w:rPr>
          <w:t>https://www.ohchr.org/en/documents/general-comments-and-recommendations/general-recommendation-no-35-2017-gender-based</w:t>
        </w:r>
      </w:hyperlink>
      <w:r w:rsidRPr="0051033F">
        <w:rPr>
          <w:rFonts w:asciiTheme="majorHAnsi" w:hAnsiTheme="majorHAnsi" w:cstheme="majorHAnsi"/>
          <w:sz w:val="18"/>
          <w:szCs w:val="18"/>
        </w:rPr>
        <w:t xml:space="preserve"> </w:t>
      </w:r>
    </w:p>
  </w:endnote>
  <w:endnote w:id="52">
    <w:p w14:paraId="4D5B534C"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Cited in </w:t>
      </w:r>
      <w:hyperlink r:id="rId37">
        <w:r w:rsidRPr="0051033F">
          <w:rPr>
            <w:rFonts w:asciiTheme="majorHAnsi" w:hAnsiTheme="majorHAnsi" w:cstheme="majorHAnsi"/>
            <w:color w:val="1155CC"/>
            <w:sz w:val="18"/>
            <w:szCs w:val="18"/>
            <w:u w:val="single"/>
          </w:rPr>
          <w:t>https://www.ohchr.org/sites/default/files/documents/issues/women/wg/sex-work-pp-fin-proofread-24-sept.pdf</w:t>
        </w:r>
      </w:hyperlink>
      <w:r w:rsidRPr="0051033F">
        <w:rPr>
          <w:rFonts w:asciiTheme="majorHAnsi" w:hAnsiTheme="majorHAnsi" w:cstheme="majorHAnsi"/>
          <w:sz w:val="18"/>
          <w:szCs w:val="18"/>
        </w:rPr>
        <w:t xml:space="preserve"> </w:t>
      </w:r>
    </w:p>
  </w:endnote>
  <w:endnote w:id="53">
    <w:p w14:paraId="439763C6"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See:</w:t>
      </w:r>
      <w:hyperlink r:id="rId38">
        <w:r w:rsidRPr="0051033F">
          <w:rPr>
            <w:rFonts w:asciiTheme="majorHAnsi" w:eastAsia="Calibri" w:hAnsiTheme="majorHAnsi" w:cstheme="majorHAnsi"/>
            <w:sz w:val="18"/>
            <w:szCs w:val="18"/>
          </w:rPr>
          <w:t xml:space="preserve"> </w:t>
        </w:r>
      </w:hyperlink>
      <w:hyperlink r:id="rId39">
        <w:r w:rsidRPr="0051033F">
          <w:rPr>
            <w:rFonts w:asciiTheme="majorHAnsi" w:eastAsia="Calibri" w:hAnsiTheme="majorHAnsi" w:cstheme="majorHAnsi"/>
            <w:color w:val="954F72"/>
            <w:sz w:val="18"/>
            <w:szCs w:val="18"/>
            <w:u w:val="single"/>
          </w:rPr>
          <w:t>https://www.ohchr.org/EN/NewsEvents/Pages/Drug-policy.aspx</w:t>
        </w:r>
      </w:hyperlink>
    </w:p>
  </w:endnote>
  <w:endnote w:id="54">
    <w:p w14:paraId="21DB829E"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See:</w:t>
      </w:r>
      <w:hyperlink r:id="rId40">
        <w:r w:rsidRPr="0051033F">
          <w:rPr>
            <w:rFonts w:asciiTheme="majorHAnsi" w:eastAsia="Calibri" w:hAnsiTheme="majorHAnsi" w:cstheme="majorHAnsi"/>
            <w:sz w:val="18"/>
            <w:szCs w:val="18"/>
          </w:rPr>
          <w:t xml:space="preserve"> </w:t>
        </w:r>
      </w:hyperlink>
      <w:hyperlink r:id="rId41">
        <w:r w:rsidRPr="0051033F">
          <w:rPr>
            <w:rFonts w:asciiTheme="majorHAnsi" w:eastAsia="Calibri" w:hAnsiTheme="majorHAnsi" w:cstheme="majorHAnsi"/>
            <w:color w:val="954F72"/>
            <w:sz w:val="18"/>
            <w:szCs w:val="18"/>
            <w:u w:val="single"/>
          </w:rPr>
          <w:t>https://www.unaids.org/sites/default/files/media_asset/global-AIDS-strategy-2021-2026_en.pdf</w:t>
        </w:r>
      </w:hyperlink>
    </w:p>
  </w:endnote>
  <w:endnote w:id="55">
    <w:p w14:paraId="7D2E9926" w14:textId="77777777" w:rsidR="0051033F" w:rsidRPr="0051033F" w:rsidRDefault="0051033F">
      <w:pPr>
        <w:spacing w:line="240" w:lineRule="auto"/>
        <w:rPr>
          <w:rFonts w:asciiTheme="majorHAnsi" w:eastAsia="Calibri" w:hAnsiTheme="majorHAnsi" w:cstheme="majorHAnsi"/>
          <w:color w:val="954F72"/>
          <w:sz w:val="18"/>
          <w:szCs w:val="18"/>
          <w:u w:val="single"/>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See:</w:t>
      </w:r>
      <w:hyperlink r:id="rId42">
        <w:r w:rsidRPr="0051033F">
          <w:rPr>
            <w:rFonts w:asciiTheme="majorHAnsi" w:eastAsia="Calibri" w:hAnsiTheme="majorHAnsi" w:cstheme="majorHAnsi"/>
            <w:sz w:val="18"/>
            <w:szCs w:val="18"/>
          </w:rPr>
          <w:t xml:space="preserve"> </w:t>
        </w:r>
      </w:hyperlink>
      <w:hyperlink r:id="rId43">
        <w:r w:rsidRPr="0051033F">
          <w:rPr>
            <w:rFonts w:asciiTheme="majorHAnsi" w:eastAsia="Calibri" w:hAnsiTheme="majorHAnsi" w:cstheme="majorHAnsi"/>
            <w:color w:val="954F72"/>
            <w:sz w:val="18"/>
            <w:szCs w:val="18"/>
            <w:u w:val="single"/>
          </w:rPr>
          <w:t>http://www.undp.org/content/dam/undp/library/HIV-AIDS/Discussion-Paper--Addressing-the-Development-Dimensions-of-Drug-Policy.pdf</w:t>
        </w:r>
      </w:hyperlink>
    </w:p>
    <w:p w14:paraId="7FB63805" w14:textId="77777777" w:rsidR="0051033F" w:rsidRPr="0051033F" w:rsidRDefault="0051033F">
      <w:pPr>
        <w:spacing w:line="240" w:lineRule="auto"/>
        <w:rPr>
          <w:rFonts w:asciiTheme="majorHAnsi" w:hAnsiTheme="majorHAnsi" w:cstheme="majorHAnsi"/>
          <w:sz w:val="18"/>
          <w:szCs w:val="18"/>
        </w:rPr>
      </w:pPr>
    </w:p>
  </w:endnote>
  <w:endnote w:id="56">
    <w:p w14:paraId="0C900358"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See:</w:t>
      </w:r>
      <w:hyperlink r:id="rId44">
        <w:r w:rsidRPr="0051033F">
          <w:rPr>
            <w:rFonts w:asciiTheme="majorHAnsi" w:eastAsia="Calibri" w:hAnsiTheme="majorHAnsi" w:cstheme="majorHAnsi"/>
            <w:sz w:val="18"/>
            <w:szCs w:val="18"/>
          </w:rPr>
          <w:t xml:space="preserve"> </w:t>
        </w:r>
      </w:hyperlink>
      <w:hyperlink r:id="rId45">
        <w:r w:rsidRPr="0051033F">
          <w:rPr>
            <w:rFonts w:asciiTheme="majorHAnsi" w:eastAsia="Calibri" w:hAnsiTheme="majorHAnsi" w:cstheme="majorHAnsi"/>
            <w:color w:val="954F72"/>
            <w:sz w:val="18"/>
            <w:szCs w:val="18"/>
            <w:u w:val="single"/>
          </w:rPr>
          <w:t>http://www.undp.org/content/dam/undp/library/HIV-AIDS/Discussion-Paper--Addressing-the-Development-Dimensions-of-Drug-Policy.pdf</w:t>
        </w:r>
      </w:hyperlink>
    </w:p>
  </w:endnote>
  <w:endnote w:id="57">
    <w:p w14:paraId="0BDCED43"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See:</w:t>
      </w:r>
      <w:hyperlink r:id="rId46">
        <w:r w:rsidRPr="0051033F">
          <w:rPr>
            <w:rFonts w:asciiTheme="majorHAnsi" w:eastAsia="Calibri" w:hAnsiTheme="majorHAnsi" w:cstheme="majorHAnsi"/>
            <w:sz w:val="18"/>
            <w:szCs w:val="18"/>
          </w:rPr>
          <w:t xml:space="preserve"> </w:t>
        </w:r>
      </w:hyperlink>
      <w:hyperlink r:id="rId47">
        <w:r w:rsidRPr="0051033F">
          <w:rPr>
            <w:rFonts w:asciiTheme="majorHAnsi" w:eastAsia="Calibri" w:hAnsiTheme="majorHAnsi" w:cstheme="majorHAnsi"/>
            <w:color w:val="954F72"/>
            <w:sz w:val="18"/>
            <w:szCs w:val="18"/>
            <w:u w:val="single"/>
          </w:rPr>
          <w:t>https://www.unodc.org/documents/ungass2016//Contributions/UN/Gender_and_Drugs_-_UN_Women_Policy_Brief.pdf</w:t>
        </w:r>
      </w:hyperlink>
    </w:p>
  </w:endnote>
  <w:endnote w:id="58">
    <w:p w14:paraId="3586CFD9"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See:</w:t>
      </w:r>
      <w:hyperlink r:id="rId48">
        <w:r w:rsidRPr="0051033F">
          <w:rPr>
            <w:rFonts w:asciiTheme="majorHAnsi" w:eastAsia="Calibri" w:hAnsiTheme="majorHAnsi" w:cstheme="majorHAnsi"/>
            <w:sz w:val="18"/>
            <w:szCs w:val="18"/>
          </w:rPr>
          <w:t xml:space="preserve"> </w:t>
        </w:r>
      </w:hyperlink>
      <w:hyperlink r:id="rId49">
        <w:r w:rsidRPr="0051033F">
          <w:rPr>
            <w:rFonts w:asciiTheme="majorHAnsi" w:eastAsia="Calibri" w:hAnsiTheme="majorHAnsi" w:cstheme="majorHAnsi"/>
            <w:color w:val="954F72"/>
            <w:sz w:val="18"/>
            <w:szCs w:val="18"/>
            <w:highlight w:val="white"/>
            <w:u w:val="single"/>
          </w:rPr>
          <w:t>E/C.12/NOR/CO/6</w:t>
        </w:r>
      </w:hyperlink>
      <w:r w:rsidRPr="0051033F">
        <w:rPr>
          <w:rFonts w:asciiTheme="majorHAnsi" w:eastAsia="Calibri" w:hAnsiTheme="majorHAnsi" w:cstheme="majorHAnsi"/>
          <w:color w:val="333333"/>
          <w:sz w:val="18"/>
          <w:szCs w:val="18"/>
          <w:highlight w:val="white"/>
        </w:rPr>
        <w:t>, p. 43</w:t>
      </w:r>
    </w:p>
  </w:endnote>
  <w:endnote w:id="59">
    <w:p w14:paraId="0FE08DA1"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See: A/HRC/42/39/ADD.1</w:t>
      </w:r>
    </w:p>
  </w:endnote>
  <w:endnote w:id="60">
    <w:p w14:paraId="34A60C24"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See: A/65/255</w:t>
      </w:r>
    </w:p>
  </w:endnote>
  <w:endnote w:id="61">
    <w:p w14:paraId="612C92D3" w14:textId="77777777" w:rsidR="0051033F" w:rsidRPr="0051033F" w:rsidRDefault="0051033F">
      <w:pPr>
        <w:spacing w:line="240" w:lineRule="auto"/>
        <w:rPr>
          <w:rFonts w:asciiTheme="majorHAnsi" w:hAnsiTheme="majorHAnsi" w:cstheme="majorHAnsi"/>
          <w:sz w:val="18"/>
          <w:szCs w:val="18"/>
        </w:rPr>
      </w:pPr>
      <w:r w:rsidRPr="0051033F">
        <w:rPr>
          <w:rFonts w:asciiTheme="majorHAnsi" w:hAnsiTheme="majorHAnsi" w:cstheme="majorHAnsi"/>
          <w:sz w:val="18"/>
          <w:szCs w:val="18"/>
          <w:vertAlign w:val="superscript"/>
        </w:rPr>
        <w:endnoteRef/>
      </w:r>
      <w:r w:rsidRPr="0051033F">
        <w:rPr>
          <w:rFonts w:asciiTheme="majorHAnsi" w:hAnsiTheme="majorHAnsi" w:cstheme="majorHAnsi"/>
          <w:sz w:val="18"/>
          <w:szCs w:val="18"/>
        </w:rPr>
        <w:t xml:space="preserve"> </w:t>
      </w:r>
      <w:r w:rsidRPr="0051033F">
        <w:rPr>
          <w:rFonts w:asciiTheme="majorHAnsi" w:eastAsia="Calibri" w:hAnsiTheme="majorHAnsi" w:cstheme="majorHAnsi"/>
          <w:sz w:val="18"/>
          <w:szCs w:val="18"/>
        </w:rPr>
        <w:t>See:</w:t>
      </w:r>
      <w:hyperlink r:id="rId50">
        <w:r w:rsidRPr="0051033F">
          <w:rPr>
            <w:rFonts w:asciiTheme="majorHAnsi" w:eastAsia="Calibri" w:hAnsiTheme="majorHAnsi" w:cstheme="majorHAnsi"/>
            <w:sz w:val="18"/>
            <w:szCs w:val="18"/>
          </w:rPr>
          <w:t xml:space="preserve"> </w:t>
        </w:r>
      </w:hyperlink>
      <w:hyperlink r:id="rId51">
        <w:r w:rsidRPr="0051033F">
          <w:rPr>
            <w:rFonts w:asciiTheme="majorHAnsi" w:eastAsia="Calibri" w:hAnsiTheme="majorHAnsi" w:cstheme="majorHAnsi"/>
            <w:color w:val="954F72"/>
            <w:sz w:val="18"/>
            <w:szCs w:val="18"/>
            <w:u w:val="single"/>
          </w:rPr>
          <w:t>https://unsceb.org/united-nations-system-common-position-supporting-implementation-international-drug-control-policy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1609" w14:textId="77777777" w:rsidR="00585F9C" w:rsidRDefault="00585F9C">
      <w:pPr>
        <w:spacing w:line="240" w:lineRule="auto"/>
      </w:pPr>
      <w:r>
        <w:separator/>
      </w:r>
    </w:p>
  </w:footnote>
  <w:footnote w:type="continuationSeparator" w:id="0">
    <w:p w14:paraId="2EB0D911" w14:textId="77777777" w:rsidR="00585F9C" w:rsidRDefault="00585F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6930"/>
    <w:multiLevelType w:val="multilevel"/>
    <w:tmpl w:val="3D6A8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9562C4"/>
    <w:multiLevelType w:val="multilevel"/>
    <w:tmpl w:val="94F85F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997F8D"/>
    <w:multiLevelType w:val="multilevel"/>
    <w:tmpl w:val="94F85F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BC322C"/>
    <w:multiLevelType w:val="multilevel"/>
    <w:tmpl w:val="94F85F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B32F36"/>
    <w:multiLevelType w:val="multilevel"/>
    <w:tmpl w:val="C4A45C60"/>
    <w:lvl w:ilvl="0">
      <w:start w:val="1"/>
      <w:numFmt w:val="decimal"/>
      <w:lvlText w:val="%1."/>
      <w:lvlJc w:val="left"/>
      <w:pPr>
        <w:ind w:left="708" w:hanging="708"/>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0D5872"/>
    <w:multiLevelType w:val="multilevel"/>
    <w:tmpl w:val="CF7C77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8731F15"/>
    <w:multiLevelType w:val="multilevel"/>
    <w:tmpl w:val="56542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216311"/>
    <w:multiLevelType w:val="multilevel"/>
    <w:tmpl w:val="94F85F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B92D33"/>
    <w:multiLevelType w:val="multilevel"/>
    <w:tmpl w:val="6290C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6037489">
    <w:abstractNumId w:val="6"/>
  </w:num>
  <w:num w:numId="2" w16cid:durableId="2100708253">
    <w:abstractNumId w:val="8"/>
  </w:num>
  <w:num w:numId="3" w16cid:durableId="534005239">
    <w:abstractNumId w:val="4"/>
  </w:num>
  <w:num w:numId="4" w16cid:durableId="1800876249">
    <w:abstractNumId w:val="5"/>
  </w:num>
  <w:num w:numId="5" w16cid:durableId="875777755">
    <w:abstractNumId w:val="0"/>
  </w:num>
  <w:num w:numId="6" w16cid:durableId="1241253349">
    <w:abstractNumId w:val="7"/>
  </w:num>
  <w:num w:numId="7" w16cid:durableId="1979605627">
    <w:abstractNumId w:val="3"/>
  </w:num>
  <w:num w:numId="8" w16cid:durableId="301622610">
    <w:abstractNumId w:val="2"/>
  </w:num>
  <w:num w:numId="9" w16cid:durableId="35299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FE"/>
    <w:rsid w:val="0051033F"/>
    <w:rsid w:val="00585F9C"/>
    <w:rsid w:val="007344FA"/>
    <w:rsid w:val="00B628FE"/>
    <w:rsid w:val="00BF349B"/>
    <w:rsid w:val="00E4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541A"/>
  <w15:docId w15:val="{2E2D8FF3-A995-1B45-A223-0832D640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1033F"/>
    <w:pPr>
      <w:ind w:left="720"/>
      <w:contextualSpacing/>
    </w:pPr>
  </w:style>
  <w:style w:type="paragraph" w:styleId="FootnoteText">
    <w:name w:val="footnote text"/>
    <w:basedOn w:val="Normal"/>
    <w:link w:val="FootnoteTextChar"/>
    <w:uiPriority w:val="99"/>
    <w:semiHidden/>
    <w:unhideWhenUsed/>
    <w:rsid w:val="0051033F"/>
    <w:pPr>
      <w:spacing w:line="240" w:lineRule="auto"/>
    </w:pPr>
    <w:rPr>
      <w:sz w:val="20"/>
      <w:szCs w:val="20"/>
    </w:rPr>
  </w:style>
  <w:style w:type="character" w:customStyle="1" w:styleId="FootnoteTextChar">
    <w:name w:val="Footnote Text Char"/>
    <w:basedOn w:val="DefaultParagraphFont"/>
    <w:link w:val="FootnoteText"/>
    <w:uiPriority w:val="99"/>
    <w:semiHidden/>
    <w:rsid w:val="0051033F"/>
    <w:rPr>
      <w:sz w:val="20"/>
      <w:szCs w:val="20"/>
    </w:rPr>
  </w:style>
  <w:style w:type="paragraph" w:styleId="EndnoteText">
    <w:name w:val="endnote text"/>
    <w:basedOn w:val="Normal"/>
    <w:link w:val="EndnoteTextChar"/>
    <w:uiPriority w:val="99"/>
    <w:semiHidden/>
    <w:unhideWhenUsed/>
    <w:rsid w:val="0051033F"/>
    <w:pPr>
      <w:spacing w:line="240" w:lineRule="auto"/>
    </w:pPr>
    <w:rPr>
      <w:sz w:val="20"/>
      <w:szCs w:val="20"/>
    </w:rPr>
  </w:style>
  <w:style w:type="character" w:customStyle="1" w:styleId="EndnoteTextChar">
    <w:name w:val="Endnote Text Char"/>
    <w:basedOn w:val="DefaultParagraphFont"/>
    <w:link w:val="EndnoteText"/>
    <w:uiPriority w:val="99"/>
    <w:semiHidden/>
    <w:rsid w:val="0051033F"/>
    <w:rPr>
      <w:sz w:val="20"/>
      <w:szCs w:val="20"/>
    </w:rPr>
  </w:style>
  <w:style w:type="character" w:styleId="FootnoteReference">
    <w:name w:val="footnote reference"/>
    <w:basedOn w:val="DefaultParagraphFont"/>
    <w:uiPriority w:val="99"/>
    <w:semiHidden/>
    <w:unhideWhenUsed/>
    <w:rsid w:val="0051033F"/>
    <w:rPr>
      <w:vertAlign w:val="superscript"/>
    </w:rPr>
  </w:style>
  <w:style w:type="character" w:styleId="EndnoteReference">
    <w:name w:val="endnote reference"/>
    <w:basedOn w:val="DefaultParagraphFont"/>
    <w:uiPriority w:val="99"/>
    <w:semiHidden/>
    <w:unhideWhenUsed/>
    <w:rsid w:val="00510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ine@iwraw-ap.or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mailto:maya@gaatw.org" TargetMode="External"/><Relationship Id="rId17" Type="http://schemas.openxmlformats.org/officeDocument/2006/relationships/hyperlink" Target="mailto:carrie@srigeneva.org" TargetMode="External"/><Relationship Id="rId2" Type="http://schemas.openxmlformats.org/officeDocument/2006/relationships/styles" Target="styles.xml"/><Relationship Id="rId16" Type="http://schemas.openxmlformats.org/officeDocument/2006/relationships/hyperlink" Target="mailto:emeline@srigeneva.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mailto:iwraw-ap@iwraw-ap.or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nstanza@iwraw-ap.org" TargetMode="External"/><Relationship Id="rId22"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3" Type="http://schemas.openxmlformats.org/officeDocument/2006/relationships/hyperlink" Target="https://doi.org/10.2307/4065347" TargetMode="External"/><Relationship Id="rId18" Type="http://schemas.openxmlformats.org/officeDocument/2006/relationships/hyperlink" Target="https://www.sexualrightsinitiative.org/resources/joint-submission-working-group-discrimination-against-women-and-girls-poverty-and" TargetMode="External"/><Relationship Id="rId26" Type="http://schemas.openxmlformats.org/officeDocument/2006/relationships/hyperlink" Target="https://youtu.be/uR8H3Xv9Du0?si=IywYjadl4UBdAyDm&amp;t=385" TargetMode="External"/><Relationship Id="rId39" Type="http://schemas.openxmlformats.org/officeDocument/2006/relationships/hyperlink" Target="https://www.ohchr.org/EN/NewsEvents/Pages/Drug-policy.aspx" TargetMode="External"/><Relationship Id="rId21" Type="http://schemas.openxmlformats.org/officeDocument/2006/relationships/hyperlink" Target="https://www.undocs.org/Home/Mobile?FinalSymbol=A%2FHRC%2F49%2F48&amp;Language=E&amp;DeviceType=Desktop&amp;LangRequested=False" TargetMode="External"/><Relationship Id="rId34" Type="http://schemas.openxmlformats.org/officeDocument/2006/relationships/hyperlink" Target="https://www.prisonstudies.org/sites/default/files/resources/downloads/world_female_imprisonment_list_5th_edition.pdf" TargetMode="External"/><Relationship Id="rId42" Type="http://schemas.openxmlformats.org/officeDocument/2006/relationships/hyperlink" Target="http://www.undp.org/content/dam/undp/library/HIV-AIDS/Discussion-Paper--Addressing-the-Development-Dimensions-of-Drug-Policy.pdf" TargetMode="External"/><Relationship Id="rId47" Type="http://schemas.openxmlformats.org/officeDocument/2006/relationships/hyperlink" Target="https://www.unodc.org/documents/ungass2016/Contributions/UN/Gender_and_Drugs_-_UN_Women_Policy_Brief.pdf" TargetMode="External"/><Relationship Id="rId50" Type="http://schemas.openxmlformats.org/officeDocument/2006/relationships/hyperlink" Target="https://unsceb.org/united-nations-system-common-position-supporting-implementation-international-drug-control-policy" TargetMode="External"/><Relationship Id="rId7" Type="http://schemas.openxmlformats.org/officeDocument/2006/relationships/hyperlink" Target="https://undocs.org/Home/Mobile?FinalSymbol=A%2F66%2F254&amp;Language=E&amp;DeviceType=Desktop&amp;LangRequested=False" TargetMode="External"/><Relationship Id="rId2" Type="http://schemas.openxmlformats.org/officeDocument/2006/relationships/hyperlink" Target="https://www.southernafricalitigationcentre.org/2023/06/09/vagrancy-laws-discrimination-based-on-poverty-and-status/" TargetMode="External"/><Relationship Id="rId16" Type="http://schemas.openxmlformats.org/officeDocument/2006/relationships/hyperlink" Target="http://undocs.org/en/A/73/305" TargetMode="External"/><Relationship Id="rId29" Type="http://schemas.openxmlformats.org/officeDocument/2006/relationships/hyperlink" Target="https://www.unodc.org/documents/data-%20and-analysis/GSH2018/GSH18_Gender-related_killing_of_women_and_girls.pdf" TargetMode="External"/><Relationship Id="rId11" Type="http://schemas.openxmlformats.org/officeDocument/2006/relationships/hyperlink" Target="https://www.sexualrightsinitiative.com/resources/sri-submission-working-Group-discrimination-against-women-and-girls-deprivation-liberty" TargetMode="External"/><Relationship Id="rId24" Type="http://schemas.openxmlformats.org/officeDocument/2006/relationships/hyperlink" Target="https://www.right2city.org/wp-content/uploads/2023/06/Cities_For_All_ENG.pdf" TargetMode="External"/><Relationship Id="rId32" Type="http://schemas.openxmlformats.org/officeDocument/2006/relationships/hyperlink" Target="https://whrin.site/ourpublication/country-examples-of-covid-hr-responses-for-wud-2/" TargetMode="External"/><Relationship Id="rId37" Type="http://schemas.openxmlformats.org/officeDocument/2006/relationships/hyperlink" Target="https://www.ohchr.org/sites/default/files/documents/issues/women/wg/sex-work-pp-fin-proofread-24-sept.pdf" TargetMode="External"/><Relationship Id="rId40" Type="http://schemas.openxmlformats.org/officeDocument/2006/relationships/hyperlink" Target="https://www.unaids.org/sites/default/files/media_asset/global-AIDS-strategy-2021-2026_en.pdf" TargetMode="External"/><Relationship Id="rId45" Type="http://schemas.openxmlformats.org/officeDocument/2006/relationships/hyperlink" Target="http://www.undp.org/content/dam/undp/library/HIV-AIDS/Discussion-Paper--Addressing-the-Development-Dimensions-of-Drug-Policy.pdf" TargetMode="External"/><Relationship Id="rId5" Type="http://schemas.openxmlformats.org/officeDocument/2006/relationships/hyperlink" Target="https://undocs.org/A/HRC/47/28" TargetMode="External"/><Relationship Id="rId15" Type="http://schemas.openxmlformats.org/officeDocument/2006/relationships/hyperlink" Target="https://www.sexualrightsinitiative.org/resources/sri-submission-special-rapporteur-racism-nationalist-populism" TargetMode="External"/><Relationship Id="rId23" Type="http://schemas.openxmlformats.org/officeDocument/2006/relationships/hyperlink" Target="https://www.refworld.org/pdfid/49a54f4a2.pdf" TargetMode="External"/><Relationship Id="rId28" Type="http://schemas.openxmlformats.org/officeDocument/2006/relationships/hyperlink" Target="https://www.sexualrightsinitiative.org/resources/joint-submission-working-group-discrimination-against-women-and-girls-poverty-and" TargetMode="External"/><Relationship Id="rId36" Type="http://schemas.openxmlformats.org/officeDocument/2006/relationships/hyperlink" Target="https://www.ohchr.org/en/documents/general-comments-and-recommendations/general-recommendation-no-35-2017-gender-based" TargetMode="External"/><Relationship Id="rId49" Type="http://schemas.openxmlformats.org/officeDocument/2006/relationships/hyperlink" Target="https://docstore.ohchr.org/SelfServices/FilesHandler.ashx?enc=4slQ6QSmlBEDzFEovLCuWyfGZLRp7qMd2d61J9CM%2fQe6o1SZjh9qa5Fzb1cuVDX84j1tEvGXkL9htaheknN1G9pPMrK6PSJSHNTLhDCeYjwLbhDFWnOdWgHua9tg%2f%2fPO" TargetMode="External"/><Relationship Id="rId10" Type="http://schemas.openxmlformats.org/officeDocument/2006/relationships/hyperlink" Target="https://doi.org/10.2307/4065347" TargetMode="External"/><Relationship Id="rId19" Type="http://schemas.openxmlformats.org/officeDocument/2006/relationships/hyperlink" Target="https://undocs.org/Home/Mobile?FinalSymbol=A%2FHRC%2F43%2F43&amp;Language=E&amp;DeviceType=Desktop&amp;LangRequested=False" TargetMode="External"/><Relationship Id="rId31" Type="http://schemas.openxmlformats.org/officeDocument/2006/relationships/hyperlink" Target="https://whrin.site/ourpublication/country-examples-of-covid-hr-responses-for-wud-2/" TargetMode="External"/><Relationship Id="rId44" Type="http://schemas.openxmlformats.org/officeDocument/2006/relationships/hyperlink" Target="http://www.undp.org/content/dam/undp/library/HIV-AIDS/Discussion-Paper--Addressing-the-Development-Dimensions-of-Drug-Policy.pdf" TargetMode="External"/><Relationship Id="rId4" Type="http://schemas.openxmlformats.org/officeDocument/2006/relationships/hyperlink" Target="https://www.sexualrightsinitiative.org/resources/sri-submission-working-group-discrimination-against-women-and-girls-deprivation-liberty" TargetMode="External"/><Relationship Id="rId9" Type="http://schemas.openxmlformats.org/officeDocument/2006/relationships/hyperlink" Target="https://www.sexualrightsinitiative.org/resources/autonomy-vs-protectionism-looking-back-our-hrc-53-side-event" TargetMode="External"/><Relationship Id="rId14" Type="http://schemas.openxmlformats.org/officeDocument/2006/relationships/hyperlink" Target="https://www.sexualrightsinitiative.org/resources/joint-submission-special-rapporteur-violence-against-women-its-causes-and-consequences" TargetMode="External"/><Relationship Id="rId22" Type="http://schemas.openxmlformats.org/officeDocument/2006/relationships/hyperlink" Target="https://undocs.org/Home/Mobile?FinalSymbol=A%2FHRC%2F34%2F51&amp;Language=E&amp;DeviceType=Desktop&amp;LangRequested=False" TargetMode="External"/><Relationship Id="rId27" Type="http://schemas.openxmlformats.org/officeDocument/2006/relationships/hyperlink" Target="https://undocs.org/en/A/HRC/53/39" TargetMode="External"/><Relationship Id="rId30" Type="http://schemas.openxmlformats.org/officeDocument/2006/relationships/hyperlink" Target="https://www.unodc.org/documents/data-%20and-analysis/GSH2018/GSH18_Gender-related_killing_of_women_and_girls.pdf" TargetMode="External"/><Relationship Id="rId35" Type="http://schemas.openxmlformats.org/officeDocument/2006/relationships/hyperlink" Target="https://www.ohchr.org/sites/default/files/documents/issues/women/wg/sex-work-pp-fin-proofread-24-sept.pdf" TargetMode="External"/><Relationship Id="rId43" Type="http://schemas.openxmlformats.org/officeDocument/2006/relationships/hyperlink" Target="http://www.undp.org/content/dam/undp/library/HIV-AIDS/Discussion-Paper--Addressing-the-Development-Dimensions-of-Drug-Policy.pdf" TargetMode="External"/><Relationship Id="rId48" Type="http://schemas.openxmlformats.org/officeDocument/2006/relationships/hyperlink" Target="https://docstore.ohchr.org/SelfServices/FilesHandler.ashx?enc=4slQ6QSmlBEDzFEovLCuWyfGZLRp7qMd2d61J9CM%2fQe6o1SZjh9qa5Fzb1cuVDX84j1tEvGXkL9htaheknN1G9pPMrK6PSJSHNTLhDCeYjwLbhDFWnOdWgHua9tg%2f%2fPO" TargetMode="External"/><Relationship Id="rId8" Type="http://schemas.openxmlformats.org/officeDocument/2006/relationships/hyperlink" Target="https://icj2.wpenginepowered.com/wp-content/uploads/2023/03/8-March-Principles-Report_final_print-version.pdf" TargetMode="External"/><Relationship Id="rId51" Type="http://schemas.openxmlformats.org/officeDocument/2006/relationships/hyperlink" Target="https://unsceb.org/united-nations-system-common-position-supporting-implementation-international-drug-control-policy" TargetMode="External"/><Relationship Id="rId3" Type="http://schemas.openxmlformats.org/officeDocument/2006/relationships/hyperlink" Target="https://www.african-court.org/cpmt/storage/app/uploads/public/5fd/0c6/49b/5fd0c649b6658574074462.pdf" TargetMode="External"/><Relationship Id="rId12" Type="http://schemas.openxmlformats.org/officeDocument/2006/relationships/hyperlink" Target="https://www.sexualrightsinitiative.org/resources/autonomy-vs-protectionism-looking-back-our-hrc-53-side-event" TargetMode="External"/><Relationship Id="rId17" Type="http://schemas.openxmlformats.org/officeDocument/2006/relationships/hyperlink" Target="https://youtu.be/uR8H3Xv9Du0?si=IywYjadl4UBdAyDm&amp;t=385" TargetMode="External"/><Relationship Id="rId25" Type="http://schemas.openxmlformats.org/officeDocument/2006/relationships/hyperlink" Target="https://doi.org/10.1111/j.0309-1317.2003.00492.x" TargetMode="External"/><Relationship Id="rId33" Type="http://schemas.openxmlformats.org/officeDocument/2006/relationships/hyperlink" Target="https://homelessnessnsw.org.au/wp-content/uploads/2021/05/HNSW-Report-Policing-Public-Space-Report-PIAC_Web.pdf" TargetMode="External"/><Relationship Id="rId38" Type="http://schemas.openxmlformats.org/officeDocument/2006/relationships/hyperlink" Target="https://www.ohchr.org/EN/NewsEvents/Pages/Drug-policy.aspx" TargetMode="External"/><Relationship Id="rId46" Type="http://schemas.openxmlformats.org/officeDocument/2006/relationships/hyperlink" Target="https://www.unodc.org/documents/ungass2016/Contributions/UN/Gender_and_Drugs_-_UN_Women_Policy_Brief.pdf" TargetMode="External"/><Relationship Id="rId20" Type="http://schemas.openxmlformats.org/officeDocument/2006/relationships/hyperlink" Target="http://www.jstor.org/stable/4147571" TargetMode="External"/><Relationship Id="rId41" Type="http://schemas.openxmlformats.org/officeDocument/2006/relationships/hyperlink" Target="https://www.unaids.org/sites/default/files/media_asset/global-AIDS-strategy-2021-2026_en.pdf" TargetMode="External"/><Relationship Id="rId1" Type="http://schemas.openxmlformats.org/officeDocument/2006/relationships/hyperlink" Target="https://www.ohchr.org/en/documents/thematic-reports/ahrc5331-reimagining-justice-confronting-contemporary-challenges" TargetMode="External"/><Relationship Id="rId6" Type="http://schemas.openxmlformats.org/officeDocument/2006/relationships/hyperlink" Target="https://doi.org/10.1186/s12954-021-005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GAATW joint submission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AAA8DF9-7781-440E-AE0C-E678F07A8092}"/>
</file>

<file path=customXml/itemProps2.xml><?xml version="1.0" encoding="utf-8"?>
<ds:datastoreItem xmlns:ds="http://schemas.openxmlformats.org/officeDocument/2006/customXml" ds:itemID="{9B0EFB9D-ACFE-4794-9519-FDB7DF6C6A5F}"/>
</file>

<file path=customXml/itemProps3.xml><?xml version="1.0" encoding="utf-8"?>
<ds:datastoreItem xmlns:ds="http://schemas.openxmlformats.org/officeDocument/2006/customXml" ds:itemID="{64A1D814-8EEA-4184-A9A7-B5D78254B03B}"/>
</file>

<file path=docProps/app.xml><?xml version="1.0" encoding="utf-8"?>
<Properties xmlns="http://schemas.openxmlformats.org/officeDocument/2006/extended-properties" xmlns:vt="http://schemas.openxmlformats.org/officeDocument/2006/docPropsVTypes">
  <Template>Normal.dotm</Template>
  <TotalTime>1</TotalTime>
  <Pages>11</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2</cp:revision>
  <dcterms:created xsi:type="dcterms:W3CDTF">2023-10-09T08:01:00Z</dcterms:created>
  <dcterms:modified xsi:type="dcterms:W3CDTF">2023-10-09T08:01:00Z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